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2600" w:after="0"/>
        <w:jc w:val="center"/>
      </w:pPr>
    </w:p>
    <w:p>
      <w:pPr>
        <w:spacing w:after="360"/>
        <w:jc w:val="center"/>
      </w:pPr>
      <w:r>
        <w:rPr>
          <w:rFonts w:ascii="Calibri" w:eastAsia="Calibri" w:hAnsi="Calibri" w:cs="Calibri"/>
          <w:color w:val="546E7A"/>
          <w:spacing w:val="10"/>
          <w:sz w:val="20"/>
          <w:szCs w:val="20"/>
        </w:rPr>
        <w:t xml:space="preserve">Agreement between the United States of America, the United Mexican States, and Canada</w:t>
      </w:r>
    </w:p>
    <w:p>
      <w:pPr>
        <w:spacing w:after="320"/>
        <w:jc w:val="center"/>
      </w:pPr>
      <w:r>
        <w:rPr>
          <w:rFonts w:ascii="Calibri" w:eastAsia="Calibri" w:hAnsi="Calibri" w:cs="Calibri"/>
          <w:b/>
          <w:color w:val="37474F"/>
          <w:spacing w:val="40"/>
          <w:sz w:val="52"/>
          <w:szCs w:val="52"/>
        </w:rPr>
        <w:t xml:space="preserve">NORTH AMERICAN ECONOMIC SECURITY AND TRADE MODERNIZATION AGREEMENT</w:t>
      </w:r>
    </w:p>
    <w:p>
      <w:pPr>
        <w:spacing w:after="520"/>
        <w:jc w:val="center"/>
      </w:pPr>
      <w:r>
        <w:rPr>
          <w:rFonts w:ascii="Calibri" w:eastAsia="Calibri" w:hAnsi="Calibri" w:cs="Calibri"/>
          <w:i/>
          <w:color w:val="546E7A"/>
          <w:sz w:val="27"/>
          <w:szCs w:val="27"/>
        </w:rPr>
        <w:t xml:space="preserve">The Modernized and Hardened North American Trade Framework</w:t>
      </w:r>
    </w:p>
    <w:p>
      <w:pPr>
        <w:pBdr>
          <w:bottom w:val="single" w:sz="6" w:space="1" w:color="546E7A"/>
        </w:pBdr>
        <w:spacing w:after="520"/>
        <w:ind w:left="2600" w:right="2600"/>
      </w:pPr>
    </w:p>
    <w:p>
      <w:pPr>
        <w:spacing w:after="160"/>
        <w:jc w:val="center"/>
      </w:pPr>
      <w:r>
        <w:rPr>
          <w:rFonts w:ascii="Calibri" w:eastAsia="Calibri" w:hAnsi="Calibri" w:cs="Calibri"/>
          <w:sz w:val="24"/>
          <w:szCs w:val="24"/>
        </w:rPr>
        <w:t xml:space="preserve">Version 10.0-FS  ·  2026</w:t>
      </w:r>
    </w:p>
    <w:p>
      <w:pPr>
        <w:spacing w:after="160"/>
        <w:jc w:val="center"/>
      </w:pPr>
      <w:r>
        <w:rPr>
          <w:rFonts w:ascii="Calibri" w:eastAsia="Calibri" w:hAnsi="Calibri" w:cs="Calibri"/>
          <w:color w:val="546E7A"/>
          <w:sz w:val="22"/>
          <w:szCs w:val="22"/>
        </w:rPr>
        <w:t xml:space="preserve">Full Consolidated Treaty Text</w:t>
      </w:r>
    </w:p>
    <w:p>
      <w:pPr>
        <w:spacing w:after="2400"/>
        <w:ind w:left="600" w:right="600"/>
        <w:jc w:val="center"/>
      </w:pPr>
      <w:r>
        <w:rPr>
          <w:rFonts w:ascii="Calibri" w:eastAsia="Calibri" w:hAnsi="Calibri" w:cs="Calibri"/>
          <w:i/>
          <w:color w:val="78909C"/>
          <w:sz w:val="20"/>
          <w:szCs w:val="20"/>
        </w:rPr>
        <w:t xml:space="preserve">Incorporating the Protocol of Modernization, the Proportional Trade Adjustment System, the NTSM Verification Framework, the No-Fade Guarantee, and the Treaty Integrity Regime</w:t>
      </w:r>
    </w:p>
    <w:p>
      <w:pPr>
        <w:spacing w:after="160"/>
        <w:jc w:val="center"/>
      </w:pPr>
      <w:r>
        <w:rPr>
          <w:rFonts w:ascii="Calibri" w:eastAsia="Calibri" w:hAnsi="Calibri" w:cs="Calibri"/>
          <w:b/>
          <w:color w:val="37474F"/>
          <w:sz w:val="22"/>
          <w:szCs w:val="22"/>
        </w:rPr>
        <w:t xml:space="preserve">The United States of America  ·  The United Mexican States  ·  Canada</w:t>
      </w:r>
    </w:p>
    <w:p>
      <w:pPr>
        <w:spacing w:after="160"/>
        <w:jc w:val="center"/>
      </w:pPr>
      <w:r>
        <w:rPr>
          <w:rFonts w:ascii="Calibri" w:eastAsia="Calibri" w:hAnsi="Calibri" w:cs="Calibri"/>
          <w:color w:val="546E7A"/>
          <w:sz w:val="20"/>
          <w:szCs w:val="20"/>
        </w:rPr>
        <w:t xml:space="preserve">Chapters 1–68  ·  Annexes and Implementation Instruments  ·  Amendment Ledger</w:t>
      </w:r>
    </w:p>
    <w:p>
      <w:pPr>
        <w:spacing w:after="0"/>
        <w:jc w:val="center"/>
        <w:sectPr>
          <w:pgSz w:w="12240" w:h="15840"/>
          <w:pgMar w:top="1134" w:right="1440" w:bottom="1134" w:left="1440" w:header="720" w:footer="720" w:gutter="0"/>
          <w:pgBorders>
            <w:top w:val="double" w:sz="6" w:space="28" w:color="37474F"/>
            <w:left w:val="double" w:sz="6" w:space="28" w:color="37474F"/>
            <w:bottom w:val="double" w:sz="6" w:space="28" w:color="37474F"/>
            <w:right w:val="double" w:sz="6" w:space="28" w:color="37474F"/>
          </w:pgBorders>
          <w:cols w:space="720"/>
        </w:sectPr>
      </w:pPr>
    </w:p>
    <w:p>
      <w:pPr>
        <w:keepNext/>
        <w:spacing w:after="360"/>
      </w:pPr>
      <w:r>
        <w:rPr>
          <w:rFonts w:ascii="Calibri" w:eastAsia="Calibri" w:hAnsi="Calibri" w:cs="Calibri"/>
          <w:b/>
          <w:caps/>
          <w:color w:val="37474F"/>
          <w:sz w:val="32"/>
          <w:szCs w:val="32"/>
        </w:rPr>
        <w:t>Table of Contents</w:t>
      </w:r>
    </w:p>
    <w:p>
      <w:pPr>
        <w:pStyle w:val="TOC1"/>
      </w:pPr>
      <w:hyperlink w:anchor="_Toc300000000" w:history="1">
        <w:r>
          <w:t>COUNTRY WINS AND NAVIGATION GUIDE</w:t>
        </w:r>
        <w:r>
          <w:tab/>
        </w:r>
        <w:r>
          <w:t>55</w:t>
        </w:r>
      </w:hyperlink>
    </w:p>
    <w:p>
      <w:pPr>
        <w:pStyle w:val="TOC2"/>
      </w:pPr>
      <w:hyperlink w:anchor="_Toc300000001" w:history="1">
        <w:r>
          <w:t>CANADA: NEGOTIATOR VISIBILITY INDEX</w:t>
        </w:r>
        <w:r>
          <w:tab/>
        </w:r>
        <w:r>
          <w:t>55</w:t>
        </w:r>
      </w:hyperlink>
    </w:p>
    <w:p>
      <w:pPr>
        <w:pStyle w:val="TOC2"/>
      </w:pPr>
      <w:hyperlink w:anchor="_Toc300000002" w:history="1">
        <w:r>
          <w:t>UNITED STATES: NEGOTIATOR VISIBILITY INDEX</w:t>
        </w:r>
        <w:r>
          <w:tab/>
        </w:r>
        <w:r>
          <w:t>55</w:t>
        </w:r>
      </w:hyperlink>
    </w:p>
    <w:p>
      <w:pPr>
        <w:pStyle w:val="TOC2"/>
      </w:pPr>
      <w:hyperlink w:anchor="_Toc300000003" w:history="1">
        <w:r>
          <w:t>MEXICO: NEGOTIATOR VISIBILITY INDEX</w:t>
        </w:r>
        <w:r>
          <w:tab/>
        </w:r>
        <w:r>
          <w:t>56</w:t>
        </w:r>
      </w:hyperlink>
    </w:p>
    <w:p>
      <w:pPr>
        <w:pStyle w:val="TOC1"/>
      </w:pPr>
      <w:hyperlink w:anchor="_Toc300000004" w:history="1">
        <w:r>
          <w:t>PROPOSED PROTOCOL OF MODERNIZATION TO THE AGREEMENT BETWEEN CANADA, THE UNITED STATES OF AMERICA, AND THE UNITED MEXICAN STATES</w:t>
        </w:r>
        <w:r>
          <w:tab/>
        </w:r>
        <w:r>
          <w:t>57</w:t>
        </w:r>
      </w:hyperlink>
    </w:p>
    <w:p>
      <w:pPr>
        <w:pStyle w:val="TOC1"/>
      </w:pPr>
      <w:hyperlink w:anchor="_Toc300000005" w:history="1">
        <w:r>
          <w:t>PREAMBLE TO THE AGREEMENT AS MODERNIZED</w:t>
        </w:r>
        <w:r>
          <w:tab/>
        </w:r>
        <w:r>
          <w:t>60</w:t>
        </w:r>
      </w:hyperlink>
    </w:p>
    <w:p>
      <w:pPr>
        <w:pStyle w:val="TOC1"/>
      </w:pPr>
      <w:hyperlink w:anchor="_Toc300000006" w:history="1">
        <w:r>
          <w:t>DRAFTING AND CONSOLIDATION CONVENTIONS APPLIED TO THIS TEXT</w:t>
        </w:r>
        <w:r>
          <w:tab/>
        </w:r>
        <w:r>
          <w:t>61</w:t>
        </w:r>
      </w:hyperlink>
    </w:p>
    <w:p>
      <w:pPr>
        <w:pStyle w:val="TOC2"/>
      </w:pPr>
      <w:hyperlink w:anchor="_Toc300000007" w:history="1">
        <w:r>
          <w:t>Search aliases: high-value cross-cutting terms</w:t>
        </w:r>
        <w:r>
          <w:tab/>
        </w:r>
        <w:r>
          <w:t>66</w:t>
        </w:r>
      </w:hyperlink>
    </w:p>
    <w:p>
      <w:pPr>
        <w:pStyle w:val="TOC2"/>
      </w:pPr>
      <w:hyperlink w:anchor="_Toc300000008" w:history="1">
        <w:r>
          <w:t>I. Foundational, Institutional, Transparency and Dispute Settlement</w:t>
        </w:r>
        <w:r>
          <w:tab/>
        </w:r>
        <w:r>
          <w:t>66</w:t>
        </w:r>
      </w:hyperlink>
    </w:p>
    <w:p>
      <w:pPr>
        <w:pStyle w:val="TOC2"/>
      </w:pPr>
      <w:hyperlink w:anchor="_Toc300000009" w:history="1">
        <w:r>
          <w:t>II. Trade In Goods, Origin, Customs and Remedies</w:t>
        </w:r>
        <w:r>
          <w:tab/>
        </w:r>
        <w:r>
          <w:t>66</w:t>
        </w:r>
      </w:hyperlink>
    </w:p>
    <w:p>
      <w:pPr>
        <w:pStyle w:val="TOC2"/>
      </w:pPr>
      <w:hyperlink w:anchor="_Toc300000010" w:history="1">
        <w:r>
          <w:t>III. Agriculture, Food and Sector-specific Goods</w:t>
        </w:r>
        <w:r>
          <w:tab/>
        </w:r>
        <w:r>
          <w:t>66</w:t>
        </w:r>
      </w:hyperlink>
    </w:p>
    <w:p>
      <w:pPr>
        <w:pStyle w:val="TOC2"/>
      </w:pPr>
      <w:hyperlink w:anchor="_Toc300000011" w:history="1">
        <w:r>
          <w:t>IV. Services, Investment, Mobility, Finance, Digital and Telecom</w:t>
        </w:r>
        <w:r>
          <w:tab/>
        </w:r>
        <w:r>
          <w:t>67</w:t>
        </w:r>
      </w:hyperlink>
    </w:p>
    <w:p>
      <w:pPr>
        <w:pStyle w:val="TOC2"/>
      </w:pPr>
      <w:hyperlink w:anchor="_Toc300000012" w:history="1">
        <w:r>
          <w:t>V. Intellectual Property, State Enterprises, Competition and Procurement</w:t>
        </w:r>
        <w:r>
          <w:tab/>
        </w:r>
        <w:r>
          <w:t>67</w:t>
        </w:r>
      </w:hyperlink>
    </w:p>
    <w:p>
      <w:pPr>
        <w:pStyle w:val="TOC2"/>
      </w:pPr>
      <w:hyperlink w:anchor="_Toc300000013" w:history="1">
        <w:r>
          <w:t>VI. Labor / Labour and Worker Protection</w:t>
        </w:r>
        <w:r>
          <w:tab/>
        </w:r>
        <w:r>
          <w:t>67</w:t>
        </w:r>
      </w:hyperlink>
    </w:p>
    <w:p>
      <w:pPr>
        <w:pStyle w:val="TOC2"/>
      </w:pPr>
      <w:hyperlink w:anchor="_Toc300000014" w:history="1">
        <w:r>
          <w:t>VII. Environment, Forestry, Wildfire and Conservation</w:t>
        </w:r>
        <w:r>
          <w:tab/>
        </w:r>
        <w:r>
          <w:t>67</w:t>
        </w:r>
      </w:hyperlink>
    </w:p>
    <w:p>
      <w:pPr>
        <w:pStyle w:val="TOC2"/>
      </w:pPr>
      <w:hyperlink w:anchor="_Toc300000015" w:history="1">
        <w:r>
          <w:t>VIII. Strategic, Security, Minerals, Energy and Emergency Continuity</w:t>
        </w:r>
        <w:r>
          <w:tab/>
        </w:r>
        <w:r>
          <w:t>67</w:t>
        </w:r>
      </w:hyperlink>
    </w:p>
    <w:p>
      <w:pPr>
        <w:pStyle w:val="TOC2"/>
      </w:pPr>
      <w:hyperlink w:anchor="_Toc300000016" w:history="1">
        <w:r>
          <w:t>IX. Inclusive Trade, SMEs, Competitiveness, Anticorruption and Regulation</w:t>
        </w:r>
        <w:r>
          <w:tab/>
        </w:r>
        <w:r>
          <w:t>67</w:t>
        </w:r>
      </w:hyperlink>
    </w:p>
    <w:p>
      <w:pPr>
        <w:pStyle w:val="TOC2"/>
      </w:pPr>
      <w:hyperlink w:anchor="_Toc300000017" w:history="1">
        <w:r>
          <w:t>X. Mobility, Immigration, Asylum and Humanitarian Protection</w:t>
        </w:r>
        <w:r>
          <w:tab/>
        </w:r>
        <w:r>
          <w:t>68</w:t>
        </w:r>
      </w:hyperlink>
    </w:p>
    <w:p>
      <w:pPr>
        <w:pStyle w:val="TOC2"/>
      </w:pPr>
      <w:hyperlink w:anchor="_Toc300000018" w:history="1">
        <w:r>
          <w:t>XI. Custodial, Prisoner and Correctional Rights</w:t>
        </w:r>
        <w:r>
          <w:tab/>
        </w:r>
        <w:r>
          <w:t>68</w:t>
        </w:r>
      </w:hyperlink>
    </w:p>
    <w:p>
      <w:pPr>
        <w:pStyle w:val="TOC2"/>
      </w:pPr>
      <w:hyperlink w:anchor="_Toc300000019" w:history="1">
        <w:r>
          <w:t>XII. Side Letters, Annexes and Non-conforming Measures</w:t>
        </w:r>
        <w:r>
          <w:tab/>
        </w:r>
        <w:r>
          <w:t>68</w:t>
        </w:r>
      </w:hyperlink>
    </w:p>
    <w:p>
      <w:pPr>
        <w:pStyle w:val="TOC1"/>
      </w:pPr>
      <w:hyperlink w:anchor="_Toc300000020" w:history="1">
        <w:r>
          <w:t xml:space="preserve">CHAPTER 1 INITIAL PROVISIONS AND GENERAL DEFINITIONS</w:t>
        </w:r>
        <w:r>
          <w:t xml:space="preserve"> </w:t>
        </w:r>
        <w:r>
          <w:t xml:space="preserve">Section A: Initial Provisions</w:t>
        </w:r>
        <w:r>
          <w:tab/>
        </w:r>
        <w:r>
          <w:t>69</w:t>
        </w:r>
      </w:hyperlink>
    </w:p>
    <w:p>
      <w:pPr>
        <w:pStyle w:val="TOC2"/>
      </w:pPr>
      <w:hyperlink w:anchor="_Toc300000021" w:history="1">
        <w:r>
          <w:t>Article 1.1: Establishment of a Free Trade Area</w:t>
        </w:r>
        <w:r>
          <w:tab/>
        </w:r>
        <w:r>
          <w:t>69</w:t>
        </w:r>
      </w:hyperlink>
    </w:p>
    <w:p>
      <w:pPr>
        <w:pStyle w:val="TOC2"/>
      </w:pPr>
      <w:hyperlink w:anchor="_Toc300000022" w:history="1">
        <w:r>
          <w:t>Article 1.2: Relation to Other Agreements</w:t>
        </w:r>
        <w:r>
          <w:tab/>
        </w:r>
        <w:r>
          <w:t>69</w:t>
        </w:r>
      </w:hyperlink>
    </w:p>
    <w:p>
      <w:pPr>
        <w:pStyle w:val="TOC2"/>
      </w:pPr>
      <w:hyperlink w:anchor="_Toc901200005" w:history="1">
        <w:r>
          <w:t>Article 1.3: Relation to Environmental and Conservation Agreements</w:t>
        </w:r>
        <w:r>
          <w:tab/>
        </w:r>
        <w:r>
          <w:t>69</w:t>
        </w:r>
      </w:hyperlink>
    </w:p>
    <w:p>
      <w:pPr>
        <w:pStyle w:val="TOC2"/>
      </w:pPr>
      <w:hyperlink w:anchor="_Toc901200006" w:history="1">
        <w:r>
          <w:t>Article 1.4: Persons Exercising Delegated Governmental Authority</w:t>
        </w:r>
        <w:r>
          <w:tab/>
        </w:r>
        <w:r>
          <w:t>70</w:t>
        </w:r>
      </w:hyperlink>
    </w:p>
    <w:p>
      <w:pPr>
        <w:pStyle w:val="TOC2"/>
      </w:pPr>
      <w:hyperlink w:anchor="_Toc901200007" w:history="1">
        <w:r>
          <w:t>Article 1.5: General Definitions</w:t>
        </w:r>
        <w:r>
          <w:tab/>
        </w:r>
        <w:r>
          <w:t>70</w:t>
        </w:r>
      </w:hyperlink>
    </w:p>
    <w:p>
      <w:pPr>
        <w:pStyle w:val="TOC2"/>
      </w:pPr>
      <w:hyperlink w:anchor="_Toc300000025" w:history="1">
        <w:r>
          <w:t>CHAPTER 1: CUSMA 2.0 MODERNIZATION PROVISIONS</w:t>
        </w:r>
        <w:r>
          <w:tab/>
        </w:r>
        <w:r>
          <w:t>74</w:t>
        </w:r>
      </w:hyperlink>
    </w:p>
    <w:p>
      <w:pPr>
        <w:pStyle w:val="TOC2"/>
      </w:pPr>
      <w:hyperlink w:anchor="_Toc300000026" w:history="1">
        <w:r>
          <w:t>Article 1.A: Additional General Definitions</w:t>
        </w:r>
        <w:r>
          <w:tab/>
        </w:r>
        <w:r>
          <w:t>74</w:t>
        </w:r>
      </w:hyperlink>
    </w:p>
    <w:p>
      <w:pPr>
        <w:pStyle w:val="TOC2"/>
      </w:pPr>
      <w:hyperlink w:anchor="_Toc300000027" w:history="1">
        <w:r>
          <w:t>Article 1.B: Relation of the Agreement to Extraordinary Domestic Measures</w:t>
        </w:r>
        <w:r>
          <w:tab/>
        </w:r>
        <w:r>
          <w:t>76</w:t>
        </w:r>
      </w:hyperlink>
    </w:p>
    <w:p>
      <w:pPr>
        <w:pStyle w:val="TOC2"/>
      </w:pPr>
      <w:hyperlink w:anchor="_Toc300000028" w:history="1">
        <w:r>
          <w:t>Article 1.C: Distinction Between Political Commitments and Legal Obligations</w:t>
        </w:r>
        <w:r>
          <w:tab/>
        </w:r>
        <w:r>
          <w:t>77</w:t>
        </w:r>
      </w:hyperlink>
    </w:p>
    <w:p>
      <w:pPr>
        <w:pStyle w:val="TOC1"/>
      </w:pPr>
      <w:hyperlink w:anchor="_Toc300000029" w:history="1">
        <w:r>
          <w:t>CHAPTER 2 NATIONAL TREATMENT AND MARKET ACCESS FOR GOODS</w:t>
        </w:r>
        <w:r>
          <w:tab/>
        </w:r>
        <w:r>
          <w:t>78</w:t>
        </w:r>
      </w:hyperlink>
    </w:p>
    <w:p>
      <w:pPr>
        <w:pStyle w:val="TOC2"/>
      </w:pPr>
      <w:hyperlink w:anchor="_Toc300000030" w:history="1">
        <w:r>
          <w:t>Article 2.1: Definitions</w:t>
        </w:r>
        <w:r>
          <w:tab/>
        </w:r>
        <w:r>
          <w:t>78</w:t>
        </w:r>
      </w:hyperlink>
    </w:p>
    <w:p>
      <w:pPr>
        <w:pStyle w:val="TOC2"/>
      </w:pPr>
      <w:hyperlink w:anchor="_Toc300000031" w:history="1">
        <w:r>
          <w:t>Article 2.2: Scope</w:t>
        </w:r>
        <w:r>
          <w:tab/>
        </w:r>
        <w:r>
          <w:t>80</w:t>
        </w:r>
      </w:hyperlink>
    </w:p>
    <w:p>
      <w:pPr>
        <w:pStyle w:val="TOC2"/>
      </w:pPr>
      <w:hyperlink w:anchor="_Toc300000032" w:history="1">
        <w:r>
          <w:t>Article 2.3: National Treatment</w:t>
        </w:r>
        <w:r>
          <w:tab/>
        </w:r>
        <w:r>
          <w:t>80</w:t>
        </w:r>
      </w:hyperlink>
    </w:p>
    <w:p>
      <w:pPr>
        <w:pStyle w:val="TOC2"/>
      </w:pPr>
      <w:hyperlink w:anchor="_Toc300000033" w:history="1">
        <w:r>
          <w:t>Article 2.4: Treatment of Customs Duties</w:t>
        </w:r>
        <w:r>
          <w:tab/>
        </w:r>
        <w:r>
          <w:t>80</w:t>
        </w:r>
      </w:hyperlink>
    </w:p>
    <w:p>
      <w:pPr>
        <w:pStyle w:val="TOC2"/>
      </w:pPr>
      <w:hyperlink w:anchor="_Toc300000034" w:history="1">
        <w:r>
          <w:t>Article 2.5: Drawback and Duty Deferral Programs</w:t>
        </w:r>
        <w:r>
          <w:tab/>
        </w:r>
        <w:r>
          <w:t>81</w:t>
        </w:r>
      </w:hyperlink>
    </w:p>
    <w:p>
      <w:pPr>
        <w:pStyle w:val="TOC2"/>
      </w:pPr>
      <w:hyperlink w:anchor="_Toc300000035" w:history="1">
        <w:r>
          <w:t>Article 2.6: Waiver of Customs Duties</w:t>
        </w:r>
        <w:r>
          <w:tab/>
        </w:r>
        <w:r>
          <w:t>82</w:t>
        </w:r>
      </w:hyperlink>
    </w:p>
    <w:p>
      <w:pPr>
        <w:pStyle w:val="TOC2"/>
      </w:pPr>
      <w:hyperlink w:anchor="_Toc300000036" w:history="1">
        <w:r>
          <w:t>Article 2.7: Temporary Admission of Goods</w:t>
        </w:r>
        <w:r>
          <w:tab/>
        </w:r>
        <w:r>
          <w:t>82</w:t>
        </w:r>
      </w:hyperlink>
    </w:p>
    <w:p>
      <w:pPr>
        <w:pStyle w:val="TOC2"/>
      </w:pPr>
      <w:hyperlink w:anchor="_Toc300000037" w:history="1">
        <w:r>
          <w:t>Article 2.8: Goods Re-Entered after Repair or Alteration</w:t>
        </w:r>
        <w:r>
          <w:tab/>
        </w:r>
        <w:r>
          <w:t>84</w:t>
        </w:r>
      </w:hyperlink>
    </w:p>
    <w:p>
      <w:pPr>
        <w:pStyle w:val="TOC2"/>
      </w:pPr>
      <w:hyperlink w:anchor="_Toc300000038" w:history="1">
        <w:r>
          <w:t>Article 2.9: Duty-Free Entry of Commercial Samples of Negligible Value and Printed Advertising Materials</w:t>
        </w:r>
        <w:r>
          <w:tab/>
        </w:r>
        <w:r>
          <w:t>84</w:t>
        </w:r>
      </w:hyperlink>
    </w:p>
    <w:p>
      <w:pPr>
        <w:pStyle w:val="TOC2"/>
      </w:pPr>
      <w:hyperlink w:anchor="_Toc300000039" w:history="1">
        <w:r>
          <w:t xml:space="preserve">Article 2.10: Most-Favored-Nation Rates of Duty on Certain Goods</w:t>
        </w:r>
        <w:r>
          <w:tab/>
        </w:r>
        <w:r>
          <w:t>85</w:t>
        </w:r>
      </w:hyperlink>
    </w:p>
    <w:p>
      <w:pPr>
        <w:pStyle w:val="TOC2"/>
      </w:pPr>
      <w:hyperlink w:anchor="_Toc300000040" w:history="1">
        <w:r>
          <w:t>Article 2.11: Import and Export Restrictions</w:t>
        </w:r>
        <w:r>
          <w:tab/>
        </w:r>
        <w:r>
          <w:t>87</w:t>
        </w:r>
      </w:hyperlink>
    </w:p>
    <w:p>
      <w:pPr>
        <w:pStyle w:val="TOC2"/>
      </w:pPr>
      <w:hyperlink w:anchor="_Toc300000041" w:history="1">
        <w:r>
          <w:t>Article 2.12: Remanufactured Goods</w:t>
        </w:r>
        <w:r>
          <w:tab/>
        </w:r>
        <w:r>
          <w:t>88</w:t>
        </w:r>
      </w:hyperlink>
    </w:p>
    <w:p>
      <w:pPr>
        <w:pStyle w:val="TOC2"/>
      </w:pPr>
      <w:hyperlink w:anchor="_Toc300000042" w:history="1">
        <w:r>
          <w:t>Article 2.13: Transparency in Import Licensing Procedures</w:t>
        </w:r>
        <w:r>
          <w:tab/>
        </w:r>
        <w:r>
          <w:t>89</w:t>
        </w:r>
      </w:hyperlink>
    </w:p>
    <w:p>
      <w:pPr>
        <w:pStyle w:val="TOC2"/>
      </w:pPr>
      <w:hyperlink w:anchor="_Toc300000043" w:history="1">
        <w:r>
          <w:t>Article 2.14: Transparency in Export Licensing Procedures</w:t>
        </w:r>
        <w:r>
          <w:tab/>
        </w:r>
        <w:r>
          <w:t>89</w:t>
        </w:r>
      </w:hyperlink>
    </w:p>
    <w:p>
      <w:pPr>
        <w:pStyle w:val="TOC2"/>
      </w:pPr>
      <w:hyperlink w:anchor="_Toc300000044" w:history="1">
        <w:r>
          <w:t>Article 2.15: Export Duties, Taxes, or Other Charges</w:t>
        </w:r>
        <w:r>
          <w:tab/>
        </w:r>
        <w:r>
          <w:t>90</w:t>
        </w:r>
      </w:hyperlink>
    </w:p>
    <w:p>
      <w:pPr>
        <w:pStyle w:val="TOC2"/>
      </w:pPr>
      <w:hyperlink w:anchor="_Toc300000045" w:history="1">
        <w:r>
          <w:t>Article 2.16: Administrative Fees and Formalities</w:t>
        </w:r>
        <w:r>
          <w:tab/>
        </w:r>
        <w:r>
          <w:t>90</w:t>
        </w:r>
      </w:hyperlink>
    </w:p>
    <w:p>
      <w:pPr>
        <w:pStyle w:val="TOC2"/>
      </w:pPr>
      <w:hyperlink w:anchor="_Toc300000046" w:history="1">
        <w:r>
          <w:t>Article 2.17: Committee on Trade in Goods</w:t>
        </w:r>
        <w:r>
          <w:tab/>
        </w:r>
        <w:r>
          <w:t>90</w:t>
        </w:r>
      </w:hyperlink>
    </w:p>
    <w:p>
      <w:pPr>
        <w:pStyle w:val="TOC2"/>
      </w:pPr>
      <w:hyperlink w:anchor="_Toc300000047" w:history="1">
        <w:r>
          <w:t>ANNEX 2-A EXCEPTIONS TO ARTICLE 2.3 (NATIONAL TREATMENT) AND ARTICLE 2.11 (IMPORT AND EXPORT RESTRICTIONS)</w:t>
        </w:r>
        <w:r>
          <w:tab/>
        </w:r>
        <w:r>
          <w:t>91</w:t>
        </w:r>
      </w:hyperlink>
    </w:p>
    <w:p>
      <w:pPr>
        <w:pStyle w:val="TOC2"/>
      </w:pPr>
      <w:hyperlink w:anchor="_Toc300000048" w:history="1">
        <w:r>
          <w:t>Article 2.A.1: Application of Article 2.3 (National Treatment) and Article 2.11 (Import and Export Restrictions)</w:t>
        </w:r>
        <w:r>
          <w:tab/>
        </w:r>
        <w:r>
          <w:t>91</w:t>
        </w:r>
      </w:hyperlink>
    </w:p>
    <w:p>
      <w:pPr>
        <w:pStyle w:val="TOC2"/>
      </w:pPr>
      <w:hyperlink w:anchor="_Toc300000049" w:history="1">
        <w:r>
          <w:t>Article 2.A.2: Measures of Canada</w:t>
        </w:r>
        <w:r>
          <w:tab/>
        </w:r>
        <w:r>
          <w:t>91</w:t>
        </w:r>
      </w:hyperlink>
    </w:p>
    <w:p>
      <w:pPr>
        <w:pStyle w:val="TOC2"/>
      </w:pPr>
      <w:hyperlink w:anchor="_Toc300000050" w:history="1">
        <w:r>
          <w:t>Article 2.A.3: Measures of Mexico</w:t>
        </w:r>
        <w:r>
          <w:tab/>
        </w:r>
        <w:r>
          <w:t>92</w:t>
        </w:r>
      </w:hyperlink>
    </w:p>
    <w:p>
      <w:pPr>
        <w:pStyle w:val="TOC2"/>
      </w:pPr>
      <w:hyperlink w:anchor="_Toc300000051" w:history="1">
        <w:r>
          <w:t>Article 2.A.4: Measures of the United States</w:t>
        </w:r>
        <w:r>
          <w:tab/>
        </w:r>
        <w:r>
          <w:t>93</w:t>
        </w:r>
      </w:hyperlink>
    </w:p>
    <w:p>
      <w:pPr>
        <w:pStyle w:val="TOC2"/>
      </w:pPr>
      <w:hyperlink w:anchor="_Toc300000052" w:history="1">
        <w:r>
          <w:t>ANNEX 2-B TARIFF COMMITMENTS</w:t>
        </w:r>
        <w:r>
          <w:tab/>
        </w:r>
        <w:r>
          <w:t>93</w:t>
        </w:r>
      </w:hyperlink>
    </w:p>
    <w:p>
      <w:pPr>
        <w:pStyle w:val="TOC2"/>
      </w:pPr>
      <w:hyperlink w:anchor="_Toc300000053" w:history="1">
        <w:r>
          <w:t>TARIFF SCHEDULE OF CANADA GENERAL NOTES</w:t>
        </w:r>
        <w:r>
          <w:tab/>
        </w:r>
        <w:r>
          <w:t>93</w:t>
        </w:r>
      </w:hyperlink>
    </w:p>
    <w:p>
      <w:pPr>
        <w:pStyle w:val="TOC2"/>
      </w:pPr>
      <w:hyperlink w:anchor="_Toc300000054" w:history="1">
        <w:r>
          <w:t>TARIFF SCHEDULE OF MEXICO GENERAL NOTES</w:t>
        </w:r>
        <w:r>
          <w:tab/>
        </w:r>
        <w:r>
          <w:t>95</w:t>
        </w:r>
      </w:hyperlink>
    </w:p>
    <w:p>
      <w:pPr>
        <w:pStyle w:val="TOC2"/>
      </w:pPr>
      <w:hyperlink w:anchor="_Toc300000055" w:history="1">
        <w:r>
          <w:t>TARIFF SCHEDULE OF THE UNITED STATES GENERAL NOTES</w:t>
        </w:r>
        <w:r>
          <w:tab/>
        </w:r>
        <w:r>
          <w:t>96</w:t>
        </w:r>
      </w:hyperlink>
    </w:p>
    <w:p>
      <w:pPr>
        <w:pStyle w:val="TOC2"/>
      </w:pPr>
      <w:hyperlink w:anchor="_Toc300000056" w:history="1">
        <w:r>
          <w:t>Appendix 2: Tariff Schedule of Canada - (Tariff Rate Quotas)</w:t>
        </w:r>
        <w:r>
          <w:tab/>
        </w:r>
        <w:r>
          <w:t>96</w:t>
        </w:r>
      </w:hyperlink>
    </w:p>
    <w:p>
      <w:pPr>
        <w:pStyle w:val="TOC2"/>
      </w:pPr>
      <w:hyperlink w:anchor="_Toc300000057" w:history="1">
        <w:r>
          <w:t>Appendix 2: Tariff Schedule of the United States - (Tariff Rate Quotas)</w:t>
        </w:r>
        <w:r>
          <w:tab/>
        </w:r>
        <w:r>
          <w:t>108</w:t>
        </w:r>
      </w:hyperlink>
    </w:p>
    <w:p>
      <w:pPr>
        <w:pStyle w:val="TOC2"/>
      </w:pPr>
      <w:hyperlink w:anchor="_Toc300000058" w:history="1">
        <w:r>
          <w:t>ANNEX 2-C PROVISIONS BETWEEN MEXICO AND THE UNITED STATES ON AUTOMOTIVE GOODS</w:t>
        </w:r>
        <w:r>
          <w:tab/>
        </w:r>
        <w:r>
          <w:t>118</w:t>
        </w:r>
      </w:hyperlink>
    </w:p>
    <w:p>
      <w:pPr>
        <w:pStyle w:val="TOC2"/>
      </w:pPr>
      <w:hyperlink w:anchor="_Toc300000059" w:history="1">
        <w:r>
          <w:t>APPENDIX AUTO PARTS</w:t>
        </w:r>
        <w:r>
          <w:tab/>
        </w:r>
        <w:r>
          <w:t>120</w:t>
        </w:r>
      </w:hyperlink>
    </w:p>
    <w:p>
      <w:pPr>
        <w:pStyle w:val="TOC2"/>
      </w:pPr>
      <w:hyperlink w:anchor="_Toc300000060" w:history="1">
        <w:r>
          <w:t>TARIFF SCHEDULE OF CANADA</w:t>
        </w:r>
        <w:r>
          <w:tab/>
        </w:r>
        <w:r>
          <w:t>123</w:t>
        </w:r>
      </w:hyperlink>
    </w:p>
    <w:p>
      <w:pPr>
        <w:pStyle w:val="TOC2"/>
      </w:pPr>
      <w:hyperlink w:anchor="_Toc300000061" w:history="1">
        <w:r>
          <w:t>TARIFF SCHEDULE OF CANADA: APPENDIX 1</w:t>
        </w:r>
        <w:r>
          <w:tab/>
        </w:r>
        <w:r>
          <w:t>310</w:t>
        </w:r>
      </w:hyperlink>
    </w:p>
    <w:p>
      <w:pPr>
        <w:pStyle w:val="TOC2"/>
      </w:pPr>
      <w:hyperlink w:anchor="_Toc300000062" w:history="1">
        <w:r>
          <w:t>TARIFF SCHEDULE OF THE UNITED STATES</w:t>
        </w:r>
        <w:r>
          <w:tab/>
        </w:r>
        <w:r>
          <w:t>316</w:t>
        </w:r>
      </w:hyperlink>
    </w:p>
    <w:p>
      <w:pPr>
        <w:pStyle w:val="TOC2"/>
      </w:pPr>
      <w:hyperlink w:anchor="_Toc300000063" w:history="1">
        <w:r>
          <w:t>TARIFF SCHEDULE OF THE UNITED STATES: APPENDIX 1</w:t>
        </w:r>
        <w:r>
          <w:tab/>
        </w:r>
        <w:r>
          <w:t>316</w:t>
        </w:r>
      </w:hyperlink>
    </w:p>
    <w:p>
      <w:pPr>
        <w:pStyle w:val="TOC2"/>
      </w:pPr>
      <w:hyperlink w:anchor="_Toc300000064" w:history="1">
        <w:r>
          <w:t>CHAPTER 2: CUSMA 2.0 MODERNIZATION PROVISIONS</w:t>
        </w:r>
        <w:r>
          <w:tab/>
        </w:r>
        <w:r>
          <w:t>581</w:t>
        </w:r>
      </w:hyperlink>
    </w:p>
    <w:p>
      <w:pPr>
        <w:pStyle w:val="TOC2"/>
      </w:pPr>
      <w:hyperlink w:anchor="_Toc901200008" w:history="1">
        <w:r>
          <w:t>Article 2.A: Tariff Treatment of Originating Goods (Supplement to Article 2.4)</w:t>
        </w:r>
        <w:r>
          <w:tab/>
        </w:r>
        <w:r>
          <w:t>581</w:t>
        </w:r>
      </w:hyperlink>
    </w:p>
    <w:p>
      <w:pPr>
        <w:pStyle w:val="TOC2"/>
      </w:pPr>
      <w:hyperlink w:anchor="_Toc300000066" w:history="1">
        <w:r>
          <w:t>Article 2.B: Prohibition of Equivalent Charges</w:t>
        </w:r>
        <w:r>
          <w:tab/>
        </w:r>
        <w:r>
          <w:t>582</w:t>
        </w:r>
      </w:hyperlink>
    </w:p>
    <w:p>
      <w:pPr>
        <w:pStyle w:val="TOC2"/>
      </w:pPr>
      <w:hyperlink w:anchor="_Toc300000067" w:history="1">
        <w:r>
          <w:t>Article 2.C: Low-Value Shipments</w:t>
        </w:r>
        <w:r>
          <w:tab/>
        </w:r>
        <w:r>
          <w:t>582</w:t>
        </w:r>
      </w:hyperlink>
    </w:p>
    <w:p>
      <w:pPr>
        <w:pStyle w:val="TOC2"/>
      </w:pPr>
      <w:hyperlink w:anchor="_Toc300000068" w:history="1">
        <w:r>
          <w:t>Article 2.D: Non-Discriminatory Administration of Tariff-Rate Quotas</w:t>
        </w:r>
        <w:r>
          <w:tab/>
        </w:r>
        <w:r>
          <w:t>582</w:t>
        </w:r>
      </w:hyperlink>
    </w:p>
    <w:p>
      <w:pPr>
        <w:pStyle w:val="TOC2"/>
      </w:pPr>
      <w:hyperlink w:anchor="_Toc300000069" w:history="1">
        <w:r>
          <w:t>Article 2.E: Alcoholic Beverages, Non-Discriminatory Treatment</w:t>
        </w:r>
        <w:r>
          <w:tab/>
        </w:r>
        <w:r>
          <w:t>583</w:t>
        </w:r>
      </w:hyperlink>
    </w:p>
    <w:p>
      <w:pPr>
        <w:pStyle w:val="TOC2"/>
      </w:pPr>
      <w:hyperlink w:anchor="_Toc300000070" w:history="1">
        <w:r>
          <w:t>Article 2.F: Goods Re-Entered After Repair or Alteration; Temporary Admission</w:t>
        </w:r>
        <w:r>
          <w:tab/>
        </w:r>
        <w:r>
          <w:t>583</w:t>
        </w:r>
      </w:hyperlink>
    </w:p>
    <w:p>
      <w:pPr>
        <w:pStyle w:val="TOC2"/>
      </w:pPr>
      <w:hyperlink w:anchor="_Toc300000071" w:history="1">
        <w:r>
          <w:t>Article 2.G: Import and Export Restrictions</w:t>
        </w:r>
        <w:r>
          <w:tab/>
        </w:r>
        <w:r>
          <w:t>584</w:t>
        </w:r>
      </w:hyperlink>
    </w:p>
    <w:p>
      <w:pPr>
        <w:pStyle w:val="TOC2"/>
      </w:pPr>
      <w:hyperlink w:anchor="_Toc300000072" w:history="1">
        <w:r>
          <w:t>Article 2.H: Consultation on Non-Party Preferential Treatment</w:t>
        </w:r>
        <w:r>
          <w:tab/>
        </w:r>
        <w:r>
          <w:t>584</w:t>
        </w:r>
      </w:hyperlink>
    </w:p>
    <w:p>
      <w:pPr>
        <w:pStyle w:val="TOC2"/>
      </w:pPr>
      <w:hyperlink w:anchor="_Toc300000073" w:history="1">
        <w:r>
          <w:t>Article 2.I: Committee on Trade in Goods, Additional Functions</w:t>
        </w:r>
        <w:r>
          <w:tab/>
        </w:r>
        <w:r>
          <w:t>585</w:t>
        </w:r>
      </w:hyperlink>
    </w:p>
    <w:p>
      <w:pPr>
        <w:pStyle w:val="TOC1"/>
      </w:pPr>
      <w:hyperlink w:anchor="_Toc300000074" w:history="1">
        <w:r>
          <w:t xml:space="preserve">CHAPTER 3 AGRICULTURE</w:t>
        </w:r>
        <w:r>
          <w:t xml:space="preserve"> </w:t>
        </w:r>
        <w:r>
          <w:t xml:space="preserve">Section A: General Provisions</w:t>
        </w:r>
        <w:r>
          <w:tab/>
        </w:r>
        <w:r>
          <w:t>586</w:t>
        </w:r>
      </w:hyperlink>
    </w:p>
    <w:p>
      <w:pPr>
        <w:pStyle w:val="TOC2"/>
      </w:pPr>
      <w:hyperlink w:anchor="_Toc300000075" w:history="1">
        <w:r>
          <w:t>Article 3.1: Definitions</w:t>
        </w:r>
        <w:r>
          <w:tab/>
        </w:r>
        <w:r>
          <w:t>586</w:t>
        </w:r>
      </w:hyperlink>
    </w:p>
    <w:p>
      <w:pPr>
        <w:pStyle w:val="TOC2"/>
      </w:pPr>
      <w:hyperlink w:anchor="_Toc300000076" w:history="1">
        <w:r>
          <w:t>Article 3.2: Scope</w:t>
        </w:r>
        <w:r>
          <w:tab/>
        </w:r>
        <w:r>
          <w:t>586</w:t>
        </w:r>
      </w:hyperlink>
    </w:p>
    <w:p>
      <w:pPr>
        <w:pStyle w:val="TOC2"/>
      </w:pPr>
      <w:hyperlink w:anchor="_Toc300000077" w:history="1">
        <w:r>
          <w:t>Article 3.3: International Cooperation</w:t>
        </w:r>
        <w:r>
          <w:tab/>
        </w:r>
        <w:r>
          <w:t>586</w:t>
        </w:r>
      </w:hyperlink>
    </w:p>
    <w:p>
      <w:pPr>
        <w:pStyle w:val="TOC2"/>
      </w:pPr>
      <w:hyperlink w:anchor="_Toc300000078" w:history="1">
        <w:r>
          <w:t>Article 3.4: Export Competition</w:t>
        </w:r>
        <w:r>
          <w:tab/>
        </w:r>
        <w:r>
          <w:t>586</w:t>
        </w:r>
      </w:hyperlink>
    </w:p>
    <w:p>
      <w:pPr>
        <w:pStyle w:val="TOC2"/>
      </w:pPr>
      <w:hyperlink w:anchor="_Toc300000079" w:history="1">
        <w:r>
          <w:t>Article 3.5: Export Restrictions – Food Security</w:t>
        </w:r>
        <w:r>
          <w:tab/>
        </w:r>
        <w:r>
          <w:t>586</w:t>
        </w:r>
      </w:hyperlink>
    </w:p>
    <w:p>
      <w:pPr>
        <w:pStyle w:val="TOC2"/>
      </w:pPr>
      <w:hyperlink w:anchor="_Toc300000080" w:history="1">
        <w:r>
          <w:t>Article 3.6: Domestic Support</w:t>
        </w:r>
        <w:r>
          <w:tab/>
        </w:r>
        <w:r>
          <w:t>588</w:t>
        </w:r>
      </w:hyperlink>
    </w:p>
    <w:p>
      <w:pPr>
        <w:pStyle w:val="TOC2"/>
      </w:pPr>
      <w:hyperlink w:anchor="_Toc300000081" w:history="1">
        <w:r>
          <w:t>Article 3.7: Committee on Agricultural Trade</w:t>
        </w:r>
        <w:r>
          <w:tab/>
        </w:r>
        <w:r>
          <w:t>588</w:t>
        </w:r>
      </w:hyperlink>
    </w:p>
    <w:p>
      <w:pPr>
        <w:pStyle w:val="TOC2"/>
      </w:pPr>
      <w:hyperlink w:anchor="_Toc300000082" w:history="1">
        <w:r>
          <w:t>Article 3.8: Consultative Committees on Agriculture</w:t>
        </w:r>
        <w:r>
          <w:tab/>
        </w:r>
        <w:r>
          <w:t>589</w:t>
        </w:r>
      </w:hyperlink>
    </w:p>
    <w:p>
      <w:pPr>
        <w:pStyle w:val="TOC2"/>
      </w:pPr>
      <w:hyperlink w:anchor="_Toc300000083" w:history="1">
        <w:r>
          <w:t>Article 3.9: Agricultural Special Safeguards</w:t>
        </w:r>
        <w:r>
          <w:tab/>
        </w:r>
        <w:r>
          <w:t>589</w:t>
        </w:r>
      </w:hyperlink>
    </w:p>
    <w:p>
      <w:pPr>
        <w:pStyle w:val="TOC2"/>
      </w:pPr>
      <w:hyperlink w:anchor="_Toc300000084" w:history="1">
        <w:r>
          <w:t>Article 3.10: Transparency and Consultations</w:t>
        </w:r>
        <w:r>
          <w:tab/>
        </w:r>
        <w:r>
          <w:t>589</w:t>
        </w:r>
      </w:hyperlink>
    </w:p>
    <w:p>
      <w:pPr>
        <w:pStyle w:val="TOC2"/>
      </w:pPr>
      <w:hyperlink w:anchor="_Toc300000085" w:history="1">
        <w:r>
          <w:t>Article 3.11: Annexes</w:t>
        </w:r>
        <w:r>
          <w:tab/>
        </w:r>
        <w:r>
          <w:t>589</w:t>
        </w:r>
      </w:hyperlink>
    </w:p>
    <w:p>
      <w:pPr>
        <w:pStyle w:val="TOC2"/>
      </w:pPr>
      <w:hyperlink w:anchor="_Toc300000086" w:history="1">
        <w:r>
          <w:t>Article 3.12: Definitions</w:t>
        </w:r>
        <w:r>
          <w:tab/>
        </w:r>
        <w:r>
          <w:t>589</w:t>
        </w:r>
      </w:hyperlink>
    </w:p>
    <w:p>
      <w:pPr>
        <w:pStyle w:val="TOC2"/>
      </w:pPr>
      <w:hyperlink w:anchor="_Toc300000087" w:history="1">
        <w:r>
          <w:t>Article 3.13: Contact Points</w:t>
        </w:r>
        <w:r>
          <w:tab/>
        </w:r>
        <w:r>
          <w:t>589</w:t>
        </w:r>
      </w:hyperlink>
    </w:p>
    <w:p>
      <w:pPr>
        <w:pStyle w:val="TOC2"/>
      </w:pPr>
      <w:hyperlink w:anchor="_Toc300000088" w:history="1">
        <w:r>
          <w:t>Article 3.14: Trade in Products of Agricultural Biotechnology</w:t>
        </w:r>
        <w:r>
          <w:tab/>
        </w:r>
        <w:r>
          <w:t>590</w:t>
        </w:r>
      </w:hyperlink>
    </w:p>
    <w:p>
      <w:pPr>
        <w:pStyle w:val="TOC2"/>
      </w:pPr>
      <w:hyperlink w:anchor="_Toc300000089" w:history="1">
        <w:r>
          <w:t>Article 3.15: LLP Occurrence</w:t>
        </w:r>
        <w:r>
          <w:tab/>
        </w:r>
        <w:r>
          <w:t>590</w:t>
        </w:r>
      </w:hyperlink>
    </w:p>
    <w:p>
      <w:pPr>
        <w:pStyle w:val="TOC2"/>
      </w:pPr>
      <w:hyperlink w:anchor="_Toc300000090" w:history="1">
        <w:r>
          <w:t>Article 3.16: Working Group for Cooperation on Agricultural Biotechnology</w:t>
        </w:r>
        <w:r>
          <w:tab/>
        </w:r>
        <w:r>
          <w:t>591</w:t>
        </w:r>
      </w:hyperlink>
    </w:p>
    <w:p>
      <w:pPr>
        <w:pStyle w:val="TOC2"/>
      </w:pPr>
      <w:hyperlink w:anchor="_Toc300000091" w:history="1">
        <w:r>
          <w:t>ANNEX 3-A AGRICULTURAL TRADE BETWEEN CANADA AND THE UNITED STATES</w:t>
        </w:r>
        <w:r>
          <w:tab/>
        </w:r>
        <w:r>
          <w:t>592</w:t>
        </w:r>
      </w:hyperlink>
    </w:p>
    <w:p>
      <w:pPr>
        <w:pStyle w:val="TOC2"/>
      </w:pPr>
      <w:hyperlink w:anchor="_Toc300000092" w:history="1">
        <w:r>
          <w:t>Article 3.A.1: Tariff Classifications</w:t>
        </w:r>
        <w:r>
          <w:tab/>
        </w:r>
        <w:r>
          <w:t>592</w:t>
        </w:r>
      </w:hyperlink>
    </w:p>
    <w:p>
      <w:pPr>
        <w:pStyle w:val="TOC2"/>
      </w:pPr>
      <w:hyperlink w:anchor="_Toc300000093" w:history="1">
        <w:r>
          <w:t>Article 3.A.2: Tariff-Rate Quota Administration</w:t>
        </w:r>
        <w:r>
          <w:tab/>
        </w:r>
        <w:r>
          <w:t>593</w:t>
        </w:r>
      </w:hyperlink>
    </w:p>
    <w:p>
      <w:pPr>
        <w:pStyle w:val="TOC2"/>
      </w:pPr>
      <w:hyperlink w:anchor="_Toc300000094" w:history="1">
        <w:r>
          <w:t>Article 3.A.3: Dairy Pricing and Exports</w:t>
        </w:r>
        <w:r>
          <w:tab/>
        </w:r>
        <w:r>
          <w:t>596</w:t>
        </w:r>
      </w:hyperlink>
    </w:p>
    <w:p>
      <w:pPr>
        <w:pStyle w:val="TOC2"/>
      </w:pPr>
      <w:hyperlink w:anchor="_Toc300000095" w:history="1">
        <w:r>
          <w:t>Article 3.A.4: Grain</w:t>
        </w:r>
        <w:r>
          <w:tab/>
        </w:r>
        <w:r>
          <w:t>599</w:t>
        </w:r>
      </w:hyperlink>
    </w:p>
    <w:p>
      <w:pPr>
        <w:pStyle w:val="TOC2"/>
      </w:pPr>
      <w:hyperlink w:anchor="_Toc300000096" w:history="1">
        <w:r>
          <w:t>Article 3.A.5: Sugar and Sugar Containing Products</w:t>
        </w:r>
        <w:r>
          <w:tab/>
        </w:r>
        <w:r>
          <w:t>599</w:t>
        </w:r>
      </w:hyperlink>
    </w:p>
    <w:p>
      <w:pPr>
        <w:pStyle w:val="TOC2"/>
      </w:pPr>
      <w:hyperlink w:anchor="_Toc300000097" w:history="1">
        <w:r>
          <w:t>Article 3.A.6: Other</w:t>
        </w:r>
        <w:r>
          <w:tab/>
        </w:r>
        <w:r>
          <w:t>600</w:t>
        </w:r>
      </w:hyperlink>
    </w:p>
    <w:p>
      <w:pPr>
        <w:pStyle w:val="TOC2"/>
      </w:pPr>
      <w:hyperlink w:anchor="_Toc300000098" w:history="1">
        <w:r>
          <w:t>ANNEX 3-B AGRICULTURAL TRADE BETWEEN MEXICO AND THE UNITED STATES</w:t>
        </w:r>
        <w:r>
          <w:tab/>
        </w:r>
        <w:r>
          <w:t>601</w:t>
        </w:r>
      </w:hyperlink>
    </w:p>
    <w:p>
      <w:pPr>
        <w:pStyle w:val="TOC2"/>
      </w:pPr>
      <w:hyperlink w:anchor="_Toc300000099" w:history="1">
        <w:r>
          <w:t>ANNEX 3-C DISTILLED SPIRITS, WINE, BEER, AND OTHER ALCOHOL BEVERAGES</w:t>
        </w:r>
        <w:r>
          <w:tab/>
        </w:r>
        <w:r>
          <w:t>603</w:t>
        </w:r>
      </w:hyperlink>
    </w:p>
    <w:p>
      <w:pPr>
        <w:pStyle w:val="TOC2"/>
      </w:pPr>
      <w:hyperlink w:anchor="_Toc300000100" w:history="1">
        <w:r>
          <w:t>Article 3.C.1: Internal Sale and Distribution of Distilled Spirits, Wine, Beer, or other Alcohol Beverages</w:t>
        </w:r>
        <w:r>
          <w:tab/>
        </w:r>
        <w:r>
          <w:t>603</w:t>
        </w:r>
      </w:hyperlink>
    </w:p>
    <w:p>
      <w:pPr>
        <w:pStyle w:val="TOC2"/>
      </w:pPr>
      <w:hyperlink w:anchor="_Toc300000101" w:history="1">
        <w:r>
          <w:t>Article 3.C.2: Distinctive Products</w:t>
        </w:r>
        <w:r>
          <w:tab/>
        </w:r>
        <w:r>
          <w:t>605</w:t>
        </w:r>
      </w:hyperlink>
    </w:p>
    <w:p>
      <w:pPr>
        <w:pStyle w:val="TOC2"/>
      </w:pPr>
      <w:hyperlink w:anchor="_Toc300000102" w:history="1">
        <w:r>
          <w:t>Article 3.C.3: Wine and Distilled Spirits</w:t>
        </w:r>
        <w:r>
          <w:tab/>
        </w:r>
        <w:r>
          <w:t>605</w:t>
        </w:r>
      </w:hyperlink>
    </w:p>
    <w:p>
      <w:pPr>
        <w:pStyle w:val="TOC2"/>
      </w:pPr>
      <w:hyperlink w:anchor="_Toc300000103" w:history="1">
        <w:r>
          <w:t>Article 3.C.4: Other Provisions</w:t>
        </w:r>
        <w:r>
          <w:tab/>
        </w:r>
        <w:r>
          <w:t>605</w:t>
        </w:r>
      </w:hyperlink>
    </w:p>
    <w:p>
      <w:pPr>
        <w:pStyle w:val="TOC2"/>
      </w:pPr>
      <w:hyperlink w:anchor="_Toc300000104" w:history="1">
        <w:r>
          <w:t>ANNEX 3-D PROPRIETARY FORMULAS FOR PREPACKAGED FOODS AND FOOD ADDITIVES</w:t>
        </w:r>
        <w:r>
          <w:tab/>
        </w:r>
        <w:r>
          <w:t>609</w:t>
        </w:r>
      </w:hyperlink>
    </w:p>
    <w:p>
      <w:pPr>
        <w:pStyle w:val="TOC1"/>
      </w:pPr>
      <w:hyperlink w:anchor="_Toc300000105" w:history="1">
        <w:r>
          <w:t>CHAPTER 4 RULES OF ORIGIN</w:t>
        </w:r>
        <w:r>
          <w:tab/>
        </w:r>
        <w:r>
          <w:t>610</w:t>
        </w:r>
      </w:hyperlink>
    </w:p>
    <w:p>
      <w:pPr>
        <w:pStyle w:val="TOC2"/>
      </w:pPr>
      <w:hyperlink w:anchor="_Toc300000106" w:history="1">
        <w:r>
          <w:t>Article 4.1: Definitions</w:t>
        </w:r>
        <w:r>
          <w:tab/>
        </w:r>
        <w:r>
          <w:t>610</w:t>
        </w:r>
      </w:hyperlink>
    </w:p>
    <w:p>
      <w:pPr>
        <w:pStyle w:val="TOC2"/>
      </w:pPr>
      <w:hyperlink w:anchor="_Toc300000107" w:history="1">
        <w:r>
          <w:t>Article 4.2: Originating Goods</w:t>
        </w:r>
        <w:r>
          <w:tab/>
        </w:r>
        <w:r>
          <w:t>612</w:t>
        </w:r>
      </w:hyperlink>
    </w:p>
    <w:p>
      <w:pPr>
        <w:pStyle w:val="TOC2"/>
      </w:pPr>
      <w:hyperlink w:anchor="_Toc300000108" w:history="1">
        <w:r>
          <w:t>Article 4.3: Wholly Obtained or Produced Goods</w:t>
        </w:r>
        <w:r>
          <w:tab/>
        </w:r>
        <w:r>
          <w:t>612</w:t>
        </w:r>
      </w:hyperlink>
    </w:p>
    <w:p>
      <w:pPr>
        <w:pStyle w:val="TOC2"/>
      </w:pPr>
      <w:hyperlink w:anchor="_Toc300000109" w:history="1">
        <w:r>
          <w:t>Article 4.4: Treatment of Recovered Materials Used in the Production of a Remanufactured Good</w:t>
        </w:r>
        <w:r>
          <w:tab/>
        </w:r>
        <w:r>
          <w:t>613</w:t>
        </w:r>
      </w:hyperlink>
    </w:p>
    <w:p>
      <w:pPr>
        <w:pStyle w:val="TOC2"/>
      </w:pPr>
      <w:hyperlink w:anchor="_Toc300000110" w:history="1">
        <w:r>
          <w:t>Article 4.5: Regional Value Content</w:t>
        </w:r>
        <w:r>
          <w:tab/>
        </w:r>
        <w:r>
          <w:t>613</w:t>
        </w:r>
      </w:hyperlink>
    </w:p>
    <w:p>
      <w:pPr>
        <w:pStyle w:val="TOC2"/>
      </w:pPr>
      <w:hyperlink w:anchor="_Toc300000111" w:history="1">
        <w:r>
          <w:t>Article 4.6: Value of Materials Used in Production</w:t>
        </w:r>
        <w:r>
          <w:tab/>
        </w:r>
        <w:r>
          <w:t>614</w:t>
        </w:r>
      </w:hyperlink>
    </w:p>
    <w:p>
      <w:pPr>
        <w:pStyle w:val="TOC2"/>
      </w:pPr>
      <w:hyperlink w:anchor="_Toc300000112" w:history="1">
        <w:r>
          <w:t>Article 4.7: Further Adjustments to the Value of Materials</w:t>
        </w:r>
        <w:r>
          <w:tab/>
        </w:r>
        <w:r>
          <w:t>614</w:t>
        </w:r>
      </w:hyperlink>
    </w:p>
    <w:p>
      <w:pPr>
        <w:pStyle w:val="TOC2"/>
      </w:pPr>
      <w:hyperlink w:anchor="_Toc300000113" w:history="1">
        <w:r>
          <w:t>Article 4.8: Intermediate Materials</w:t>
        </w:r>
        <w:r>
          <w:tab/>
        </w:r>
        <w:r>
          <w:t>614</w:t>
        </w:r>
      </w:hyperlink>
    </w:p>
    <w:p>
      <w:pPr>
        <w:pStyle w:val="TOC2"/>
      </w:pPr>
      <w:hyperlink w:anchor="_Toc300000114" w:history="1">
        <w:r>
          <w:t>Article 4.9: Indirect Materials</w:t>
        </w:r>
        <w:r>
          <w:tab/>
        </w:r>
        <w:r>
          <w:t>615</w:t>
        </w:r>
      </w:hyperlink>
    </w:p>
    <w:p>
      <w:pPr>
        <w:pStyle w:val="TOC2"/>
      </w:pPr>
      <w:hyperlink w:anchor="_Toc300000115" w:history="1">
        <w:r>
          <w:t>Article 4.10: Automotive Goods</w:t>
        </w:r>
        <w:r>
          <w:tab/>
        </w:r>
        <w:r>
          <w:t>615</w:t>
        </w:r>
      </w:hyperlink>
    </w:p>
    <w:p>
      <w:pPr>
        <w:pStyle w:val="TOC2"/>
      </w:pPr>
      <w:hyperlink w:anchor="_Toc300000116" w:history="1">
        <w:r>
          <w:t>Article 4.11: Accumulation</w:t>
        </w:r>
        <w:r>
          <w:tab/>
        </w:r>
        <w:r>
          <w:t>615</w:t>
        </w:r>
      </w:hyperlink>
    </w:p>
    <w:p>
      <w:pPr>
        <w:pStyle w:val="TOC2"/>
      </w:pPr>
      <w:hyperlink w:anchor="_Toc300000117" w:history="1">
        <w:r>
          <w:t>Article 4.12: De Minimis</w:t>
        </w:r>
        <w:r>
          <w:tab/>
        </w:r>
        <w:r>
          <w:t>615</w:t>
        </w:r>
      </w:hyperlink>
    </w:p>
    <w:p>
      <w:pPr>
        <w:pStyle w:val="TOC2"/>
      </w:pPr>
      <w:hyperlink w:anchor="_Toc300000118" w:history="1">
        <w:r>
          <w:t>Article 4.13: Fungible Goods and Materials</w:t>
        </w:r>
        <w:r>
          <w:tab/>
        </w:r>
        <w:r>
          <w:t>616</w:t>
        </w:r>
      </w:hyperlink>
    </w:p>
    <w:p>
      <w:pPr>
        <w:pStyle w:val="TOC2"/>
      </w:pPr>
      <w:hyperlink w:anchor="_Toc300000119" w:history="1">
        <w:r>
          <w:t>Article 4.14: Accessories, Spare Parts, Tools, or Instructional or Other Information Materials</w:t>
        </w:r>
        <w:r>
          <w:tab/>
        </w:r>
        <w:r>
          <w:t>616</w:t>
        </w:r>
      </w:hyperlink>
    </w:p>
    <w:p>
      <w:pPr>
        <w:pStyle w:val="TOC2"/>
      </w:pPr>
      <w:hyperlink w:anchor="_Toc300000120" w:history="1">
        <w:r>
          <w:t>Article 4.15: Packaging Materials and Containers for Retail Sale</w:t>
        </w:r>
        <w:r>
          <w:tab/>
        </w:r>
        <w:r>
          <w:t>617</w:t>
        </w:r>
      </w:hyperlink>
    </w:p>
    <w:p>
      <w:pPr>
        <w:pStyle w:val="TOC2"/>
      </w:pPr>
      <w:hyperlink w:anchor="_Toc300000121" w:history="1">
        <w:r>
          <w:t>Article 4.16: Packing Materials and Containers for Shipment</w:t>
        </w:r>
        <w:r>
          <w:tab/>
        </w:r>
        <w:r>
          <w:t>617</w:t>
        </w:r>
      </w:hyperlink>
    </w:p>
    <w:p>
      <w:pPr>
        <w:pStyle w:val="TOC2"/>
      </w:pPr>
      <w:hyperlink w:anchor="_Toc300000122" w:history="1">
        <w:r>
          <w:t>Article 4.17: Sets of Goods, Kits or Composite Goods</w:t>
        </w:r>
        <w:r>
          <w:tab/>
        </w:r>
        <w:r>
          <w:t>617</w:t>
        </w:r>
      </w:hyperlink>
    </w:p>
    <w:p>
      <w:pPr>
        <w:pStyle w:val="TOC2"/>
      </w:pPr>
      <w:hyperlink w:anchor="_Toc300000123" w:history="1">
        <w:r>
          <w:t>Article 4.18: Transit and Transshipment</w:t>
        </w:r>
        <w:r>
          <w:tab/>
        </w:r>
        <w:r>
          <w:t>617</w:t>
        </w:r>
      </w:hyperlink>
    </w:p>
    <w:p>
      <w:pPr>
        <w:pStyle w:val="TOC2"/>
      </w:pPr>
      <w:hyperlink w:anchor="_Toc300000124" w:history="1">
        <w:r>
          <w:t>Article 4.19: Non-Qualifying Operations</w:t>
        </w:r>
        <w:r>
          <w:tab/>
        </w:r>
        <w:r>
          <w:t>618</w:t>
        </w:r>
      </w:hyperlink>
    </w:p>
    <w:p>
      <w:pPr>
        <w:pStyle w:val="TOC2"/>
      </w:pPr>
      <w:hyperlink w:anchor="_Toc300000125" w:history="1">
        <w:r>
          <w:t>ANNEX 4-A EXCEPTIONS TO ARTICLE 4.12 (DE MINIMIS)</w:t>
        </w:r>
        <w:r>
          <w:tab/>
        </w:r>
        <w:r>
          <w:t>618</w:t>
        </w:r>
      </w:hyperlink>
    </w:p>
    <w:p>
      <w:pPr>
        <w:pStyle w:val="TOC2"/>
      </w:pPr>
      <w:hyperlink w:anchor="_Toc300000126" w:history="1">
        <w:r>
          <w:t>ANNEX 4-B PRODUCT-SPECIFIC RULES OF ORIGIN</w:t>
        </w:r>
        <w:r>
          <w:tab/>
        </w:r>
        <w:r>
          <w:t>618</w:t>
        </w:r>
      </w:hyperlink>
    </w:p>
    <w:p>
      <w:pPr>
        <w:pStyle w:val="TOC3"/>
      </w:pPr>
      <w:hyperlink w:anchor="_Toc300000127" w:history="1">
        <w:r>
          <w:t>Section A: General Interpretative Note</w:t>
        </w:r>
        <w:r>
          <w:tab/>
        </w:r>
        <w:r>
          <w:t>618</w:t>
        </w:r>
      </w:hyperlink>
    </w:p>
    <w:p>
      <w:pPr>
        <w:pStyle w:val="TOC3"/>
      </w:pPr>
      <w:hyperlink w:anchor="_Toc300000128" w:history="1">
        <w:r>
          <w:t>Section B: Product-Specific Rules of Origin</w:t>
        </w:r>
        <w:r>
          <w:tab/>
        </w:r>
        <w:r>
          <w:t>618</w:t>
        </w:r>
      </w:hyperlink>
    </w:p>
    <w:p>
      <w:pPr>
        <w:pStyle w:val="TOC3"/>
      </w:pPr>
      <w:hyperlink w:anchor="_Toc300000129" w:history="1">
        <w:r>
          <w:t>Section I - Live Animals; Animal Products (Chapter 1-5)</w:t>
        </w:r>
        <w:r>
          <w:tab/>
        </w:r>
        <w:r>
          <w:t>618</w:t>
        </w:r>
      </w:hyperlink>
    </w:p>
    <w:p>
      <w:pPr>
        <w:pStyle w:val="TOC3"/>
      </w:pPr>
      <w:hyperlink w:anchor="_Toc300000130" w:history="1">
        <w:r>
          <w:t>Section II - Vegetable Products (Chapter 6-14)</w:t>
        </w:r>
        <w:r>
          <w:tab/>
        </w:r>
        <w:r>
          <w:t>619</w:t>
        </w:r>
      </w:hyperlink>
    </w:p>
    <w:p>
      <w:pPr>
        <w:pStyle w:val="TOC3"/>
      </w:pPr>
      <w:hyperlink w:anchor="_Toc300000131" w:history="1">
        <w:r>
          <w:t>Section III - Animal or Vegetable Fats and Oils and Their Cleavage Products; Prepared Edible Fats; Animal or Vegetable Waxes (Chapter 15)</w:t>
        </w:r>
        <w:r>
          <w:tab/>
        </w:r>
        <w:r>
          <w:t>621</w:t>
        </w:r>
      </w:hyperlink>
    </w:p>
    <w:p>
      <w:pPr>
        <w:pStyle w:val="TOC3"/>
      </w:pPr>
      <w:hyperlink w:anchor="_Toc300000132" w:history="1">
        <w:r>
          <w:t>Section IV - Prepared Foodstuffs; Beverages, Spirits and Vinegar; Tobacco and Manufactured Tobacco Substitutes (Chapter 16-24)</w:t>
        </w:r>
        <w:r>
          <w:tab/>
        </w:r>
        <w:r>
          <w:t>622</w:t>
        </w:r>
      </w:hyperlink>
    </w:p>
    <w:p>
      <w:pPr>
        <w:pStyle w:val="TOC3"/>
      </w:pPr>
      <w:hyperlink w:anchor="_Toc300000133" w:history="1">
        <w:r>
          <w:t>Section V - Mineral Products (Chapter 25-27)</w:t>
        </w:r>
        <w:r>
          <w:tab/>
        </w:r>
        <w:r>
          <w:t>624</w:t>
        </w:r>
      </w:hyperlink>
    </w:p>
    <w:p>
      <w:pPr>
        <w:pStyle w:val="TOC3"/>
      </w:pPr>
      <w:hyperlink w:anchor="_Toc300000134" w:history="1">
        <w:r>
          <w:t>Section VI - Products of the Chemical or Allied Industries (Chapter 28-38)</w:t>
        </w:r>
        <w:r>
          <w:tab/>
        </w:r>
        <w:r>
          <w:t>626</w:t>
        </w:r>
      </w:hyperlink>
    </w:p>
    <w:p>
      <w:pPr>
        <w:pStyle w:val="TOC3"/>
      </w:pPr>
      <w:hyperlink w:anchor="_Toc300000135" w:history="1">
        <w:r>
          <w:t>Section VII - Plastics and Articles Thereof; Rubber and Articles Thereof (Chapter 39-40)</w:t>
        </w:r>
        <w:r>
          <w:tab/>
        </w:r>
        <w:r>
          <w:t>630</w:t>
        </w:r>
      </w:hyperlink>
    </w:p>
    <w:p>
      <w:pPr>
        <w:pStyle w:val="TOC3"/>
      </w:pPr>
      <w:hyperlink w:anchor="_Toc300000136" w:history="1">
        <w:r>
          <w:t>Section VIII - Raw Hides and Skins, Leather, Furskins and Articles Thereof; Saddlery and Harness; Travel Goods, Handbags and Similar Containers; Articles of Animal Gut (Other Than Silk-worm Gut) (Chapter 41-43)</w:t>
        </w:r>
        <w:r>
          <w:tab/>
        </w:r>
        <w:r>
          <w:t>634</w:t>
        </w:r>
      </w:hyperlink>
    </w:p>
    <w:p>
      <w:pPr>
        <w:pStyle w:val="TOC3"/>
      </w:pPr>
      <w:hyperlink w:anchor="_Toc300000137" w:history="1">
        <w:r>
          <w:t>Section IX - Wood and Articles of Wood; Wood Charcoal; Cork and Articles of Cork; Manufactures of Straw, of Esparto, or of Other Plaiting Materials; Basketware and Wickerwork (Chapter 44-46)</w:t>
        </w:r>
        <w:r>
          <w:tab/>
        </w:r>
        <w:r>
          <w:t>635</w:t>
        </w:r>
      </w:hyperlink>
    </w:p>
    <w:p>
      <w:pPr>
        <w:pStyle w:val="TOC3"/>
      </w:pPr>
      <w:hyperlink w:anchor="_Toc300000138" w:history="1">
        <w:r>
          <w:t>Section X - Pulp of Wood or of other Fibrous Cellulosic Material; Waste and Scrap of Paper or Paperboard; Paper and Paperboard and Articles Thereof (Chapter 47-49)</w:t>
        </w:r>
        <w:r>
          <w:tab/>
        </w:r>
        <w:r>
          <w:t>635</w:t>
        </w:r>
      </w:hyperlink>
    </w:p>
    <w:p>
      <w:pPr>
        <w:pStyle w:val="TOC3"/>
      </w:pPr>
      <w:hyperlink w:anchor="_Toc300000139" w:history="1">
        <w:r>
          <w:t>Section XI - Textiles and Textile Articles (Chapter 50-63)</w:t>
        </w:r>
        <w:r>
          <w:tab/>
        </w:r>
        <w:r>
          <w:t>636</w:t>
        </w:r>
      </w:hyperlink>
    </w:p>
    <w:p>
      <w:pPr>
        <w:pStyle w:val="TOC3"/>
      </w:pPr>
      <w:hyperlink w:anchor="_Toc300000140" w:history="1">
        <w:r>
          <w:t>Section XII - Footwear, Headgear, Umbrellas, Sun Umbrellas, Walking-Sticks, Seat-Sticks, Whips, Riding-Crops and Parts Thereof; Prepared Feathers and Articles Made Therewith; Artificial Flowers; Articles of Human Hair (Chapter 64-67)</w:t>
        </w:r>
        <w:r>
          <w:tab/>
        </w:r>
        <w:r>
          <w:t>648</w:t>
        </w:r>
      </w:hyperlink>
    </w:p>
    <w:p>
      <w:pPr>
        <w:pStyle w:val="TOC3"/>
      </w:pPr>
      <w:hyperlink w:anchor="_Toc300000141" w:history="1">
        <w:r>
          <w:t>Section XIII - Articles of Stone, Plaster, Cement, Asbestos, Mica or Similar Materials; Ceramic Products; Glass and Glassware (Chapter 68-70)</w:t>
        </w:r>
        <w:r>
          <w:tab/>
        </w:r>
        <w:r>
          <w:t>648</w:t>
        </w:r>
      </w:hyperlink>
    </w:p>
    <w:p>
      <w:pPr>
        <w:pStyle w:val="TOC3"/>
      </w:pPr>
      <w:hyperlink w:anchor="_Toc300000142" w:history="1">
        <w:r>
          <w:t>Section XIV - Natural or Cultured Pearls, Precious or Semi-precious Stones, Precious Metals, Metals Clad with Precious Metal, and Articles Thereof; Imitation Jewellery; Coin (Chapter 71)</w:t>
        </w:r>
        <w:r>
          <w:tab/>
        </w:r>
        <w:r>
          <w:t>649</w:t>
        </w:r>
      </w:hyperlink>
    </w:p>
    <w:p>
      <w:pPr>
        <w:pStyle w:val="TOC3"/>
      </w:pPr>
      <w:hyperlink w:anchor="_Toc300000143" w:history="1">
        <w:r>
          <w:t>Section XV - Base Metals and Articles of Base Metal (Chapter 72-83)</w:t>
        </w:r>
        <w:r>
          <w:tab/>
        </w:r>
        <w:r>
          <w:t>650</w:t>
        </w:r>
      </w:hyperlink>
    </w:p>
    <w:p>
      <w:pPr>
        <w:pStyle w:val="TOC3"/>
      </w:pPr>
      <w:hyperlink w:anchor="_Toc300000144" w:history="1">
        <w:r>
          <w:t>Section XVI - Machinery and Mechanical Appliances; Electrical Equipment; Parts Thereof; Sound Recorders and Reproducers, Television Image and Sound Recorders and Reproducers, and Parts and Accessories of Such Articles (Chapter 84-85)</w:t>
        </w:r>
        <w:r>
          <w:tab/>
        </w:r>
        <w:r>
          <w:t>659</w:t>
        </w:r>
      </w:hyperlink>
    </w:p>
    <w:p>
      <w:pPr>
        <w:pStyle w:val="TOC3"/>
      </w:pPr>
      <w:hyperlink w:anchor="_Toc300000145" w:history="1">
        <w:r>
          <w:t>Section XVII - Vehicles, Aircraft, Vessels and Associated Transport Equipment (Chapter 86-89)</w:t>
        </w:r>
        <w:r>
          <w:tab/>
        </w:r>
        <w:r>
          <w:t>686</w:t>
        </w:r>
      </w:hyperlink>
    </w:p>
    <w:p>
      <w:pPr>
        <w:pStyle w:val="TOC3"/>
      </w:pPr>
      <w:hyperlink w:anchor="_Toc300000146" w:history="1">
        <w:r>
          <w:t>Section XVIII- Optical, Photographic, Cinematographic, Measuring, Checking, Precision, Medical or Surgical Instruments and Apparatus; Clocks and Watches; Musical Instruments; Parts and Accessories Thereof (Chapter 90-92)</w:t>
        </w:r>
        <w:r>
          <w:tab/>
        </w:r>
        <w:r>
          <w:t>690</w:t>
        </w:r>
      </w:hyperlink>
    </w:p>
    <w:p>
      <w:pPr>
        <w:pStyle w:val="TOC3"/>
      </w:pPr>
      <w:hyperlink w:anchor="_Toc300000147" w:history="1">
        <w:r>
          <w:t>Section XIX - Arms and Ammunition; Parts and Accessories Thereof (Chapter 93)</w:t>
        </w:r>
        <w:r>
          <w:tab/>
        </w:r>
        <w:r>
          <w:t>696</w:t>
        </w:r>
      </w:hyperlink>
    </w:p>
    <w:p>
      <w:pPr>
        <w:pStyle w:val="TOC3"/>
      </w:pPr>
      <w:hyperlink w:anchor="_Toc300000148" w:history="1">
        <w:r>
          <w:t>Section XX - Miscellaneous Manufactured Articles (Chapter 94-96)</w:t>
        </w:r>
        <w:r>
          <w:tab/>
        </w:r>
        <w:r>
          <w:t>696</w:t>
        </w:r>
      </w:hyperlink>
    </w:p>
    <w:p>
      <w:pPr>
        <w:pStyle w:val="TOC3"/>
      </w:pPr>
      <w:hyperlink w:anchor="_Toc300000149" w:history="1">
        <w:r>
          <w:t>Section XXI - Works of Art, Collectors’ Pieces and Antiques</w:t>
        </w:r>
        <w:r>
          <w:tab/>
        </w:r>
        <w:r>
          <w:t>698</w:t>
        </w:r>
      </w:hyperlink>
    </w:p>
    <w:p>
      <w:pPr>
        <w:pStyle w:val="TOC3"/>
      </w:pPr>
      <w:hyperlink w:anchor="_Toc300000150" w:history="1">
        <w:r>
          <w:t>Section C: Revised Tariff Items (HS 2012)</w:t>
        </w:r>
        <w:r>
          <w:tab/>
        </w:r>
        <w:r>
          <w:t>698</w:t>
        </w:r>
      </w:hyperlink>
    </w:p>
    <w:p>
      <w:pPr>
        <w:pStyle w:val="TOC2"/>
      </w:pPr>
      <w:hyperlink w:anchor="_Toc300000151" w:history="1">
        <w:r>
          <w:t>APPENDIX PROVISIONS RELATED TO THE PRODUCT-SPECIFIC RULES OF ORIGIN FOR AUTOMOTIVE GOODS</w:t>
        </w:r>
        <w:r>
          <w:tab/>
        </w:r>
        <w:r>
          <w:t>703</w:t>
        </w:r>
      </w:hyperlink>
    </w:p>
    <w:p>
      <w:pPr>
        <w:pStyle w:val="TOC2"/>
      </w:pPr>
      <w:hyperlink w:anchor="_Toc300000152" w:history="1">
        <w:r>
          <w:t>Article 1: Definitions</w:t>
        </w:r>
        <w:r>
          <w:tab/>
        </w:r>
        <w:r>
          <w:t>703</w:t>
        </w:r>
      </w:hyperlink>
    </w:p>
    <w:p>
      <w:pPr>
        <w:pStyle w:val="TOC2"/>
      </w:pPr>
      <w:hyperlink w:anchor="_Toc300000153" w:history="1">
        <w:r>
          <w:t>Article 2: Product-Specific Rules of Origin for Vehicles</w:t>
        </w:r>
        <w:r>
          <w:tab/>
        </w:r>
        <w:r>
          <w:t>704</w:t>
        </w:r>
      </w:hyperlink>
    </w:p>
    <w:p>
      <w:pPr>
        <w:pStyle w:val="TOC2"/>
      </w:pPr>
      <w:hyperlink w:anchor="_Toc300000154" w:history="1">
        <w:r>
          <w:t>Article 3: Regional Value Content for Passenger Vehicles, Light Trucks, and Parts Thereof</w:t>
        </w:r>
        <w:r>
          <w:tab/>
        </w:r>
        <w:r>
          <w:t>712</w:t>
        </w:r>
      </w:hyperlink>
    </w:p>
    <w:p>
      <w:pPr>
        <w:pStyle w:val="TOC2"/>
      </w:pPr>
      <w:hyperlink w:anchor="_Toc300000155" w:history="1">
        <w:r>
          <w:t>Article 4: Regional Value Content for Heavy Trucks and Parts Thereof</w:t>
        </w:r>
        <w:r>
          <w:tab/>
        </w:r>
        <w:r>
          <w:t>714</w:t>
        </w:r>
      </w:hyperlink>
    </w:p>
    <w:p>
      <w:pPr>
        <w:pStyle w:val="TOC2"/>
      </w:pPr>
      <w:hyperlink w:anchor="_Toc300000156" w:history="1">
        <w:r>
          <w:t>Article 5: Averaging</w:t>
        </w:r>
        <w:r>
          <w:tab/>
        </w:r>
        <w:r>
          <w:t>715</w:t>
        </w:r>
      </w:hyperlink>
    </w:p>
    <w:p>
      <w:pPr>
        <w:pStyle w:val="TOC2"/>
      </w:pPr>
      <w:hyperlink w:anchor="_Toc300000157" w:history="1">
        <w:r>
          <w:t>Article 6: Steel and Aluminum</w:t>
        </w:r>
        <w:r>
          <w:tab/>
        </w:r>
        <w:r>
          <w:t>716</w:t>
        </w:r>
      </w:hyperlink>
    </w:p>
    <w:p>
      <w:pPr>
        <w:pStyle w:val="TOC2"/>
      </w:pPr>
      <w:hyperlink w:anchor="_Toc300000158" w:history="1">
        <w:r>
          <w:t>Article 7: North American Automotive Workforce Advancement Standard</w:t>
        </w:r>
        <w:r>
          <w:tab/>
        </w:r>
        <w:r>
          <w:t>717</w:t>
        </w:r>
      </w:hyperlink>
    </w:p>
    <w:p>
      <w:pPr>
        <w:pStyle w:val="TOC2"/>
      </w:pPr>
      <w:hyperlink w:anchor="_Toc300000159" w:history="1">
        <w:r>
          <w:t>Article 8: Transitions</w:t>
        </w:r>
        <w:r>
          <w:tab/>
        </w:r>
        <w:r>
          <w:t>718</w:t>
        </w:r>
      </w:hyperlink>
    </w:p>
    <w:p>
      <w:pPr>
        <w:pStyle w:val="TOC2"/>
      </w:pPr>
      <w:hyperlink w:anchor="_Toc300000160" w:history="1">
        <w:r>
          <w:t>Article 9: Review and Transitional Arrangements</w:t>
        </w:r>
        <w:r>
          <w:tab/>
        </w:r>
        <w:r>
          <w:t>719</w:t>
        </w:r>
      </w:hyperlink>
    </w:p>
    <w:p>
      <w:pPr>
        <w:pStyle w:val="TOC2"/>
      </w:pPr>
      <w:hyperlink w:anchor="_Toc300000161" w:history="1">
        <w:r>
          <w:t>Article 10: Regional Value Content for Other Vehicles</w:t>
        </w:r>
        <w:r>
          <w:tab/>
        </w:r>
        <w:r>
          <w:t>720</w:t>
        </w:r>
      </w:hyperlink>
    </w:p>
    <w:p>
      <w:pPr>
        <w:pStyle w:val="TOC2"/>
      </w:pPr>
      <w:hyperlink w:anchor="_Toc300000162" w:history="1">
        <w:r>
          <w:t>CHAPTER 4: CUSMA 2.0 MODERNIZATION PROVISIONS</w:t>
        </w:r>
        <w:r>
          <w:tab/>
        </w:r>
        <w:r>
          <w:t>730</w:t>
        </w:r>
      </w:hyperlink>
    </w:p>
    <w:p>
      <w:pPr>
        <w:pStyle w:val="TOC2"/>
      </w:pPr>
      <w:hyperlink w:anchor="_Toc300000163" w:history="1">
        <w:r>
          <w:t>Article 4.A: Modernized General Origin Provisions</w:t>
        </w:r>
        <w:r>
          <w:tab/>
        </w:r>
        <w:r>
          <w:t>730</w:t>
        </w:r>
      </w:hyperlink>
    </w:p>
    <w:p>
      <w:pPr>
        <w:pStyle w:val="TOC2"/>
      </w:pPr>
      <w:hyperlink w:anchor="_Toc300000164" w:history="1">
        <w:r>
          <w:t>Article 4.A.1: North American Origin as the Organizing Concept</w:t>
        </w:r>
        <w:r>
          <w:tab/>
        </w:r>
        <w:r>
          <w:t>730</w:t>
        </w:r>
      </w:hyperlink>
    </w:p>
    <w:p>
      <w:pPr>
        <w:pStyle w:val="TOC2"/>
      </w:pPr>
      <w:hyperlink w:anchor="_Toc300000165" w:history="1">
        <w:r>
          <w:t>Article 4.A.2: Automotive Goods, Modernized Architecture</w:t>
        </w:r>
        <w:r>
          <w:tab/>
        </w:r>
        <w:r>
          <w:t>730</w:t>
        </w:r>
      </w:hyperlink>
    </w:p>
    <w:p>
      <w:pPr>
        <w:pStyle w:val="TOC2"/>
      </w:pPr>
      <w:hyperlink w:anchor="_Toc300000166" w:history="1">
        <w:r>
          <w:t>Article 4.A.2A: Automotive Sector Worker and Community Support</w:t>
        </w:r>
        <w:r>
          <w:tab/>
        </w:r>
        <w:r>
          <w:t>731</w:t>
        </w:r>
      </w:hyperlink>
    </w:p>
    <w:p>
      <w:pPr>
        <w:pStyle w:val="TOC2"/>
      </w:pPr>
      <w:hyperlink w:anchor="_Toc300000167" w:history="1">
        <w:r>
          <w:t>Article 4.A.3: Steel and Aluminum, Melted and Poured; Smelted and Cast</w:t>
        </w:r>
        <w:r>
          <w:tab/>
        </w:r>
        <w:r>
          <w:t>733</w:t>
        </w:r>
      </w:hyperlink>
    </w:p>
    <w:p>
      <w:pPr>
        <w:pStyle w:val="TOC2"/>
      </w:pPr>
      <w:hyperlink w:anchor="_Toc300000168" w:history="1">
        <w:r>
          <w:t>Article 4.A.4: Circular Production, Recycling, Recovery, Refurbishment, Remanufacturing</w:t>
        </w:r>
        <w:r>
          <w:tab/>
        </w:r>
        <w:r>
          <w:t>733</w:t>
        </w:r>
      </w:hyperlink>
    </w:p>
    <w:p>
      <w:pPr>
        <w:pStyle w:val="TOC2"/>
      </w:pPr>
      <w:hyperlink w:anchor="_Toc300000169" w:history="1">
        <w:r>
          <w:t>Article 4.A.5: Semiconductors and Embedded Electronics</w:t>
        </w:r>
        <w:r>
          <w:tab/>
        </w:r>
        <w:r>
          <w:t>734</w:t>
        </w:r>
      </w:hyperlink>
    </w:p>
    <w:p>
      <w:pPr>
        <w:pStyle w:val="TOC2"/>
      </w:pPr>
      <w:hyperlink w:anchor="_Toc300000170" w:history="1">
        <w:r>
          <w:t>Article 4.A.5A: Strategic Compute and AI Hardware Origin Integrity</w:t>
        </w:r>
        <w:r>
          <w:tab/>
        </w:r>
        <w:r>
          <w:t>735</w:t>
        </w:r>
      </w:hyperlink>
    </w:p>
    <w:p>
      <w:pPr>
        <w:pStyle w:val="TOC2"/>
      </w:pPr>
      <w:hyperlink w:anchor="_Toc300000171" w:history="1">
        <w:r>
          <w:t>Article 4.A.6: SME Access</w:t>
        </w:r>
        <w:r>
          <w:tab/>
        </w:r>
        <w:r>
          <w:t>736</w:t>
        </w:r>
      </w:hyperlink>
    </w:p>
    <w:p>
      <w:pPr>
        <w:pStyle w:val="TOC2"/>
      </w:pPr>
      <w:hyperlink w:anchor="_Toc300000172" w:history="1">
        <w:r>
          <w:t>Article 4.A.7: Committee on Rules of Origin, Additional Functions</w:t>
        </w:r>
        <w:r>
          <w:tab/>
        </w:r>
        <w:r>
          <w:t>738</w:t>
        </w:r>
      </w:hyperlink>
    </w:p>
    <w:p>
      <w:pPr>
        <w:pStyle w:val="TOC2"/>
      </w:pPr>
      <w:hyperlink w:anchor="_Toc300000173" w:history="1">
        <w:r>
          <w:t>Article 4.A.2E: Automotive Duty-Free Safe Harbor and Alternative Settlement Election</w:t>
        </w:r>
        <w:r>
          <w:tab/>
        </w:r>
        <w:r>
          <w:t>739</w:t>
        </w:r>
      </w:hyperlink>
    </w:p>
    <w:p>
      <w:pPr>
        <w:pStyle w:val="TOC2"/>
      </w:pPr>
      <w:hyperlink w:anchor="_Toc300000174" w:history="1">
        <w:r>
          <w:t>Article 4.A.2B: Strategic Component Banking and Portfolio Flexibility</w:t>
        </w:r>
        <w:r>
          <w:tab/>
        </w:r>
        <w:r>
          <w:t>739</w:t>
        </w:r>
      </w:hyperlink>
    </w:p>
    <w:p>
      <w:pPr>
        <w:pStyle w:val="TOC2"/>
      </w:pPr>
      <w:hyperlink w:anchor="_Toc300000175" w:history="1">
        <w:r>
          <w:t>Article 4.A.2C: De Facto Party-Specific Quota Fast Track</w:t>
        </w:r>
        <w:r>
          <w:tab/>
        </w:r>
        <w:r>
          <w:t>740</w:t>
        </w:r>
      </w:hyperlink>
    </w:p>
    <w:p>
      <w:pPr>
        <w:pStyle w:val="TOC2"/>
      </w:pPr>
      <w:hyperlink w:anchor="_Toc300000176" w:history="1">
        <w:r>
          <w:t>Article 4.A.2D: Advanced Automotive Components and Electrified Powertrain Origin</w:t>
        </w:r>
        <w:r>
          <w:tab/>
        </w:r>
        <w:r>
          <w:t>741</w:t>
        </w:r>
      </w:hyperlink>
    </w:p>
    <w:p>
      <w:pPr>
        <w:pStyle w:val="TOC2"/>
      </w:pPr>
      <w:hyperlink w:anchor="_Toc300000177" w:history="1">
        <w:r>
          <w:t>ANNEX 4-E-1: Consolidated Automotive Tier Reference</w:t>
        </w:r>
        <w:r>
          <w:tab/>
        </w:r>
        <w:r>
          <w:t>742</w:t>
        </w:r>
      </w:hyperlink>
    </w:p>
    <w:p>
      <w:pPr>
        <w:pStyle w:val="TOC2"/>
      </w:pPr>
      <w:hyperlink w:anchor="_Toc300000178" w:history="1">
        <w:r>
          <w:t>ANNEX 4-E-2: Advanced Automotive Component Origin Methodology and Worked Examples</w:t>
        </w:r>
        <w:r>
          <w:tab/>
        </w:r>
        <w:r>
          <w:t>743</w:t>
        </w:r>
      </w:hyperlink>
    </w:p>
    <w:p>
      <w:pPr>
        <w:pStyle w:val="TOC1"/>
      </w:pPr>
      <w:hyperlink w:anchor="_Toc300000179" w:history="1">
        <w:r>
          <w:t>CHAPTER 5 ORIGIN PROCEDURES</w:t>
        </w:r>
        <w:r>
          <w:tab/>
        </w:r>
        <w:r>
          <w:t>748</w:t>
        </w:r>
      </w:hyperlink>
    </w:p>
    <w:p>
      <w:pPr>
        <w:pStyle w:val="TOC2"/>
      </w:pPr>
      <w:hyperlink w:anchor="_Toc300000180" w:history="1">
        <w:r>
          <w:t>Article 5.1: Definitions</w:t>
        </w:r>
        <w:r>
          <w:tab/>
        </w:r>
        <w:r>
          <w:t>748</w:t>
        </w:r>
      </w:hyperlink>
    </w:p>
    <w:p>
      <w:pPr>
        <w:pStyle w:val="TOC2"/>
      </w:pPr>
      <w:hyperlink w:anchor="_Toc300000181" w:history="1">
        <w:r>
          <w:t>Article 5.2: Claims for Preferential Tariff Treatment</w:t>
        </w:r>
        <w:r>
          <w:tab/>
        </w:r>
        <w:r>
          <w:t>748</w:t>
        </w:r>
      </w:hyperlink>
    </w:p>
    <w:p>
      <w:pPr>
        <w:pStyle w:val="TOC2"/>
      </w:pPr>
      <w:hyperlink w:anchor="_Toc300000182" w:history="1">
        <w:r>
          <w:t>Article 5.3: Basis of a Certification of Origin</w:t>
        </w:r>
        <w:r>
          <w:tab/>
        </w:r>
        <w:r>
          <w:t>748</w:t>
        </w:r>
      </w:hyperlink>
    </w:p>
    <w:p>
      <w:pPr>
        <w:pStyle w:val="TOC2"/>
      </w:pPr>
      <w:hyperlink w:anchor="_Toc300000183" w:history="1">
        <w:r>
          <w:t>Article 5.4: Obligations Regarding Importations</w:t>
        </w:r>
        <w:r>
          <w:tab/>
        </w:r>
        <w:r>
          <w:t>748</w:t>
        </w:r>
      </w:hyperlink>
    </w:p>
    <w:p>
      <w:pPr>
        <w:pStyle w:val="TOC2"/>
      </w:pPr>
      <w:hyperlink w:anchor="_Toc300000184" w:history="1">
        <w:r>
          <w:t>Article 5.5: Exceptions to Certification of Origin</w:t>
        </w:r>
        <w:r>
          <w:tab/>
        </w:r>
        <w:r>
          <w:t>749</w:t>
        </w:r>
      </w:hyperlink>
    </w:p>
    <w:p>
      <w:pPr>
        <w:pStyle w:val="TOC2"/>
      </w:pPr>
      <w:hyperlink w:anchor="_Toc300000185" w:history="1">
        <w:r>
          <w:t>Article 5.6: Obligations Regarding Exportations</w:t>
        </w:r>
        <w:r>
          <w:tab/>
        </w:r>
        <w:r>
          <w:t>749</w:t>
        </w:r>
      </w:hyperlink>
    </w:p>
    <w:p>
      <w:pPr>
        <w:pStyle w:val="TOC2"/>
      </w:pPr>
      <w:hyperlink w:anchor="_Toc300000186" w:history="1">
        <w:r>
          <w:t>Article 5.7: Errors or Discrepancies</w:t>
        </w:r>
        <w:r>
          <w:tab/>
        </w:r>
        <w:r>
          <w:t>750</w:t>
        </w:r>
      </w:hyperlink>
    </w:p>
    <w:p>
      <w:pPr>
        <w:pStyle w:val="TOC2"/>
      </w:pPr>
      <w:hyperlink w:anchor="_Toc300000187" w:history="1">
        <w:r>
          <w:t>Article 5.8: Record Keeping Requirements</w:t>
        </w:r>
        <w:r>
          <w:tab/>
        </w:r>
        <w:r>
          <w:t>750</w:t>
        </w:r>
      </w:hyperlink>
    </w:p>
    <w:p>
      <w:pPr>
        <w:pStyle w:val="TOC2"/>
      </w:pPr>
      <w:hyperlink w:anchor="_Toc300000188" w:history="1">
        <w:r>
          <w:t>Article 5.9: Origin Verification</w:t>
        </w:r>
        <w:r>
          <w:tab/>
        </w:r>
        <w:r>
          <w:t>751</w:t>
        </w:r>
      </w:hyperlink>
    </w:p>
    <w:p>
      <w:pPr>
        <w:pStyle w:val="TOC2"/>
      </w:pPr>
      <w:hyperlink w:anchor="_Toc300000189" w:history="1">
        <w:r>
          <w:t>Article 5.10: Determinations of Origin</w:t>
        </w:r>
        <w:r>
          <w:tab/>
        </w:r>
        <w:r>
          <w:t>753</w:t>
        </w:r>
      </w:hyperlink>
    </w:p>
    <w:p>
      <w:pPr>
        <w:pStyle w:val="TOC2"/>
      </w:pPr>
      <w:hyperlink w:anchor="_Toc300000190" w:history="1">
        <w:r>
          <w:t>Article 5.11: Refunds and Claims for Preferential Tariff Treatment after Importation</w:t>
        </w:r>
        <w:r>
          <w:tab/>
        </w:r>
        <w:r>
          <w:t>754</w:t>
        </w:r>
      </w:hyperlink>
    </w:p>
    <w:p>
      <w:pPr>
        <w:pStyle w:val="TOC2"/>
      </w:pPr>
      <w:hyperlink w:anchor="_Toc300000191" w:history="1">
        <w:r>
          <w:t>Article 5.12: Confidentiality</w:t>
        </w:r>
        <w:r>
          <w:tab/>
        </w:r>
        <w:r>
          <w:t>754</w:t>
        </w:r>
      </w:hyperlink>
    </w:p>
    <w:p>
      <w:pPr>
        <w:pStyle w:val="TOC2"/>
      </w:pPr>
      <w:hyperlink w:anchor="_Toc300000192" w:history="1">
        <w:r>
          <w:t>Article 5.13: Penalties</w:t>
        </w:r>
        <w:r>
          <w:tab/>
        </w:r>
        <w:r>
          <w:t>754</w:t>
        </w:r>
      </w:hyperlink>
    </w:p>
    <w:p>
      <w:pPr>
        <w:pStyle w:val="TOC2"/>
      </w:pPr>
      <w:hyperlink w:anchor="_Toc300000193" w:history="1">
        <w:r>
          <w:t>Article 5.14: Advance Rulings Relating to Origin</w:t>
        </w:r>
        <w:r>
          <w:tab/>
        </w:r>
        <w:r>
          <w:t>754</w:t>
        </w:r>
      </w:hyperlink>
    </w:p>
    <w:p>
      <w:pPr>
        <w:pStyle w:val="TOC2"/>
      </w:pPr>
      <w:hyperlink w:anchor="_Toc300000194" w:history="1">
        <w:r>
          <w:t>Article 5.15: Review and Appeal</w:t>
        </w:r>
        <w:r>
          <w:tab/>
        </w:r>
        <w:r>
          <w:t>754</w:t>
        </w:r>
      </w:hyperlink>
    </w:p>
    <w:p>
      <w:pPr>
        <w:pStyle w:val="TOC2"/>
      </w:pPr>
      <w:hyperlink w:anchor="_Toc300000195" w:history="1">
        <w:r>
          <w:t>Article 5.16: Uniform Regulations</w:t>
        </w:r>
        <w:r>
          <w:tab/>
        </w:r>
        <w:r>
          <w:t>754</w:t>
        </w:r>
      </w:hyperlink>
    </w:p>
    <w:p>
      <w:pPr>
        <w:pStyle w:val="TOC2"/>
      </w:pPr>
      <w:hyperlink w:anchor="_Toc300000196" w:history="1">
        <w:r>
          <w:t>Article 5.17: Notification of Treatment</w:t>
        </w:r>
        <w:r>
          <w:tab/>
        </w:r>
        <w:r>
          <w:t>754</w:t>
        </w:r>
      </w:hyperlink>
    </w:p>
    <w:p>
      <w:pPr>
        <w:pStyle w:val="TOC2"/>
      </w:pPr>
      <w:hyperlink w:anchor="_Toc300000197" w:history="1">
        <w:r>
          <w:t>Article 5.18: Committee on Rules of Origin and Origin Procedures</w:t>
        </w:r>
        <w:r>
          <w:tab/>
        </w:r>
        <w:r>
          <w:t>755</w:t>
        </w:r>
      </w:hyperlink>
    </w:p>
    <w:p>
      <w:pPr>
        <w:pStyle w:val="TOC2"/>
      </w:pPr>
      <w:hyperlink w:anchor="_Toc300000198" w:history="1">
        <w:r>
          <w:t>Article 5.19: Sub-Committee on Origin Verification</w:t>
        </w:r>
        <w:r>
          <w:tab/>
        </w:r>
        <w:r>
          <w:t>755</w:t>
        </w:r>
      </w:hyperlink>
    </w:p>
    <w:p>
      <w:pPr>
        <w:pStyle w:val="TOC2"/>
      </w:pPr>
      <w:hyperlink w:anchor="_Toc300000199" w:history="1">
        <w:r>
          <w:t>ANNEX 5-A MINIMUM DATA ELEMENTS</w:t>
        </w:r>
        <w:r>
          <w:tab/>
        </w:r>
        <w:r>
          <w:t>756</w:t>
        </w:r>
      </w:hyperlink>
    </w:p>
    <w:p>
      <w:pPr>
        <w:pStyle w:val="TOC2"/>
      </w:pPr>
      <w:hyperlink w:anchor="_Toc300000200" w:history="1">
        <w:r>
          <w:t>CHAPTER 5: CUSMA 2.0 MODERNIZATION PROVISIONS</w:t>
        </w:r>
        <w:r>
          <w:tab/>
        </w:r>
        <w:r>
          <w:t>756</w:t>
        </w:r>
      </w:hyperlink>
    </w:p>
    <w:p>
      <w:pPr>
        <w:pStyle w:val="TOC2"/>
      </w:pPr>
      <w:hyperlink w:anchor="_Toc300000201" w:history="1">
        <w:r>
          <w:t>Article 5.A: Verification Modernization</w:t>
        </w:r>
        <w:r>
          <w:tab/>
        </w:r>
        <w:r>
          <w:t>757</w:t>
        </w:r>
      </w:hyperlink>
    </w:p>
    <w:p>
      <w:pPr>
        <w:pStyle w:val="TOC2"/>
      </w:pPr>
      <w:hyperlink w:anchor="_Toc300000202" w:history="1">
        <w:r>
          <w:t>Article 5.B: Joint Verification and Data Exchange</w:t>
        </w:r>
        <w:r>
          <w:tab/>
        </w:r>
        <w:r>
          <w:t>758</w:t>
        </w:r>
      </w:hyperlink>
    </w:p>
    <w:p>
      <w:pPr>
        <w:pStyle w:val="TOC2"/>
      </w:pPr>
      <w:hyperlink w:anchor="_Toc300000203" w:history="1">
        <w:r>
          <w:t>Article 5.C: Anti-Circumvention Discipline</w:t>
        </w:r>
        <w:r>
          <w:tab/>
        </w:r>
        <w:r>
          <w:t>759</w:t>
        </w:r>
      </w:hyperlink>
    </w:p>
    <w:p>
      <w:pPr>
        <w:pStyle w:val="TOC2"/>
      </w:pPr>
      <w:hyperlink w:anchor="_Toc300000204" w:history="1">
        <w:r>
          <w:t>Article 5.D: Advance Rulings and Appeals</w:t>
        </w:r>
        <w:r>
          <w:tab/>
        </w:r>
        <w:r>
          <w:t>760</w:t>
        </w:r>
      </w:hyperlink>
    </w:p>
    <w:p>
      <w:pPr>
        <w:pStyle w:val="TOC2"/>
      </w:pPr>
      <w:hyperlink w:anchor="_Toc300000205" w:history="1">
        <w:r>
          <w:t>Article 5.E: Electronic Certification</w:t>
        </w:r>
        <w:r>
          <w:tab/>
        </w:r>
        <w:r>
          <w:t>760</w:t>
        </w:r>
      </w:hyperlink>
    </w:p>
    <w:p>
      <w:pPr>
        <w:pStyle w:val="TOC2"/>
      </w:pPr>
      <w:hyperlink w:anchor="_Toc300000206" w:history="1">
        <w:r>
          <w:t>Article 5.F: Administrative Simplicity and Least-Burdensome Verification</w:t>
        </w:r>
        <w:r>
          <w:tab/>
        </w:r>
        <w:r>
          <w:t>761</w:t>
        </w:r>
      </w:hyperlink>
    </w:p>
    <w:p>
      <w:pPr>
        <w:pStyle w:val="TOC2"/>
      </w:pPr>
      <w:hyperlink w:anchor="_Toc300000207" w:history="1">
        <w:r>
          <w:t>Article 5.G: Standardized Verification Requests and Decisions</w:t>
        </w:r>
        <w:r>
          <w:tab/>
        </w:r>
        <w:r>
          <w:t>761</w:t>
        </w:r>
      </w:hyperlink>
    </w:p>
    <w:p>
      <w:pPr>
        <w:pStyle w:val="TOC2"/>
      </w:pPr>
      <w:hyperlink w:anchor="_Toc300000208" w:history="1">
        <w:r>
          <w:t>Article 5.H: Risk-Tiered Verification</w:t>
        </w:r>
        <w:r>
          <w:tab/>
        </w:r>
        <w:r>
          <w:t>761</w:t>
        </w:r>
      </w:hyperlink>
    </w:p>
    <w:p>
      <w:pPr>
        <w:pStyle w:val="TOC2"/>
      </w:pPr>
      <w:hyperlink w:anchor="_Toc300000209" w:history="1">
        <w:r>
          <w:t>Article 5.I: Single Submission and Reuse of Reliable Evidence</w:t>
        </w:r>
        <w:r>
          <w:tab/>
        </w:r>
        <w:r>
          <w:t>762</w:t>
        </w:r>
      </w:hyperlink>
    </w:p>
    <w:p>
      <w:pPr>
        <w:pStyle w:val="TOC2"/>
      </w:pPr>
      <w:hyperlink w:anchor="_Toc300000210" w:history="1">
        <w:r>
          <w:t>Article 5.J: Batch Certification and Model-Year Determinations</w:t>
        </w:r>
        <w:r>
          <w:tab/>
        </w:r>
        <w:r>
          <w:t>763</w:t>
        </w:r>
      </w:hyperlink>
    </w:p>
    <w:p>
      <w:pPr>
        <w:pStyle w:val="TOC2"/>
      </w:pPr>
      <w:hyperlink w:anchor="_Toc300000211" w:history="1">
        <w:r>
          <w:t>Article 5.K: Correction, Cure, and Administrative Stay</w:t>
        </w:r>
        <w:r>
          <w:tab/>
        </w:r>
        <w:r>
          <w:t>763</w:t>
        </w:r>
      </w:hyperlink>
    </w:p>
    <w:p>
      <w:pPr>
        <w:pStyle w:val="TOC2"/>
      </w:pPr>
      <w:hyperlink w:anchor="_Toc300000212" w:history="1">
        <w:r>
          <w:t>Article 5.L: Verification Clocks and Status Transparency</w:t>
        </w:r>
        <w:r>
          <w:tab/>
        </w:r>
        <w:r>
          <w:t>763</w:t>
        </w:r>
      </w:hyperlink>
    </w:p>
    <w:p>
      <w:pPr>
        <w:pStyle w:val="TOC2"/>
      </w:pPr>
      <w:hyperlink w:anchor="_Toc300000213" w:history="1">
        <w:r>
          <w:t>Article 5.M: Electronic Traceability and Technology Neutrality</w:t>
        </w:r>
        <w:r>
          <w:tab/>
        </w:r>
        <w:r>
          <w:t>764</w:t>
        </w:r>
      </w:hyperlink>
    </w:p>
    <w:p>
      <w:pPr>
        <w:pStyle w:val="TOC2"/>
      </w:pPr>
      <w:hyperlink w:anchor="_Toc300000214" w:history="1">
        <w:r>
          <w:t>Article 5.N: Proportionate Supplier Documentation</w:t>
        </w:r>
        <w:r>
          <w:tab/>
        </w:r>
        <w:r>
          <w:t>764</w:t>
        </w:r>
      </w:hyperlink>
    </w:p>
    <w:p>
      <w:pPr>
        <w:pStyle w:val="TOC2"/>
      </w:pPr>
      <w:hyperlink w:anchor="_Toc300000215" w:history="1">
        <w:r>
          <w:t>Article 5.O: Appeals Without Unnecessary Trade Interruption</w:t>
        </w:r>
        <w:r>
          <w:tab/>
        </w:r>
        <w:r>
          <w:t>765</w:t>
        </w:r>
      </w:hyperlink>
    </w:p>
    <w:p>
      <w:pPr>
        <w:pStyle w:val="TOC2"/>
      </w:pPr>
      <w:hyperlink w:anchor="_Toc300000216" w:history="1">
        <w:r>
          <w:t>Article 5.P: Consolidated Origin Verification Manual and Training</w:t>
        </w:r>
        <w:r>
          <w:tab/>
        </w:r>
        <w:r>
          <w:t>765</w:t>
        </w:r>
      </w:hyperlink>
    </w:p>
    <w:p>
      <w:pPr>
        <w:pStyle w:val="TOC2"/>
      </w:pPr>
      <w:hyperlink w:anchor="_Toc300000217" w:history="1">
        <w:r>
          <w:t>Article 5.Q: No Delay of Chapter 23-B Benefits Through Verification</w:t>
        </w:r>
        <w:r>
          <w:tab/>
        </w:r>
        <w:r>
          <w:t>766</w:t>
        </w:r>
      </w:hyperlink>
    </w:p>
    <w:p>
      <w:pPr>
        <w:pStyle w:val="TOC2"/>
      </w:pPr>
      <w:hyperlink w:anchor="_Toc300000218" w:history="1">
        <w:r>
          <w:t>ANNEX 5-Z: Verification Service Standards and Safe-Harbor Matrix</w:t>
        </w:r>
        <w:r>
          <w:tab/>
        </w:r>
        <w:r>
          <w:t>766</w:t>
        </w:r>
      </w:hyperlink>
    </w:p>
    <w:p>
      <w:pPr>
        <w:pStyle w:val="TOC2"/>
      </w:pPr>
      <w:hyperlink w:anchor="_Toc300000219" w:history="1">
        <w:r>
          <w:t>Implementation Direction</w:t>
        </w:r>
        <w:r>
          <w:tab/>
        </w:r>
        <w:r>
          <w:t>766</w:t>
        </w:r>
      </w:hyperlink>
    </w:p>
    <w:p>
      <w:pPr>
        <w:pStyle w:val="TOC1"/>
      </w:pPr>
      <w:hyperlink w:anchor="_Toc300000220" w:history="1">
        <w:r>
          <w:t>CHAPTER 6 TEXTILE AND APPAREL GOODS</w:t>
        </w:r>
        <w:r>
          <w:tab/>
        </w:r>
        <w:r>
          <w:t>767</w:t>
        </w:r>
      </w:hyperlink>
    </w:p>
    <w:p>
      <w:pPr>
        <w:pStyle w:val="TOC2"/>
      </w:pPr>
      <w:hyperlink w:anchor="_Toc300000221" w:history="1">
        <w:r>
          <w:t>Article 6.1: Rules of Origin and Related Matters</w:t>
        </w:r>
        <w:r>
          <w:tab/>
        </w:r>
        <w:r>
          <w:t>767</w:t>
        </w:r>
      </w:hyperlink>
    </w:p>
    <w:p>
      <w:pPr>
        <w:pStyle w:val="TOC2"/>
      </w:pPr>
      <w:hyperlink w:anchor="_Toc300000222" w:history="1">
        <w:r>
          <w:t>Article 6.2: Handmade, Traditional Folkloric, or Indigenous Handicraft Goods</w:t>
        </w:r>
        <w:r>
          <w:tab/>
        </w:r>
        <w:r>
          <w:t>767</w:t>
        </w:r>
      </w:hyperlink>
    </w:p>
    <w:p>
      <w:pPr>
        <w:pStyle w:val="TOC2"/>
      </w:pPr>
      <w:hyperlink w:anchor="_Toc300000223" w:history="1">
        <w:r>
          <w:t>Article 6.3: Special Provisions</w:t>
        </w:r>
        <w:r>
          <w:tab/>
        </w:r>
        <w:r>
          <w:t>768</w:t>
        </w:r>
      </w:hyperlink>
    </w:p>
    <w:p>
      <w:pPr>
        <w:pStyle w:val="TOC2"/>
      </w:pPr>
      <w:hyperlink w:anchor="_Toc300000224" w:history="1">
        <w:r>
          <w:t>Article 6.4: Review and Revision of Rules of Origin</w:t>
        </w:r>
        <w:r>
          <w:tab/>
        </w:r>
        <w:r>
          <w:t>768</w:t>
        </w:r>
      </w:hyperlink>
    </w:p>
    <w:p>
      <w:pPr>
        <w:pStyle w:val="TOC2"/>
      </w:pPr>
      <w:hyperlink w:anchor="_Toc300000225" w:history="1">
        <w:r>
          <w:t>Article 6.5: Cooperation</w:t>
        </w:r>
        <w:r>
          <w:tab/>
        </w:r>
        <w:r>
          <w:t>768</w:t>
        </w:r>
      </w:hyperlink>
    </w:p>
    <w:p>
      <w:pPr>
        <w:pStyle w:val="TOC2"/>
      </w:pPr>
      <w:hyperlink w:anchor="_Toc300000226" w:history="1">
        <w:r>
          <w:t>Article 6.6: Verification</w:t>
        </w:r>
        <w:r>
          <w:tab/>
        </w:r>
        <w:r>
          <w:t>769</w:t>
        </w:r>
      </w:hyperlink>
    </w:p>
    <w:p>
      <w:pPr>
        <w:pStyle w:val="TOC2"/>
      </w:pPr>
      <w:hyperlink w:anchor="_Toc300000227" w:history="1">
        <w:r>
          <w:t>Article 6.7: Determinations</w:t>
        </w:r>
        <w:r>
          <w:tab/>
        </w:r>
        <w:r>
          <w:t>771</w:t>
        </w:r>
      </w:hyperlink>
    </w:p>
    <w:p>
      <w:pPr>
        <w:pStyle w:val="TOC2"/>
      </w:pPr>
      <w:hyperlink w:anchor="_Toc300000228" w:history="1">
        <w:r>
          <w:t>Article 6.8: Committee on Textile and Apparel Trade Matters</w:t>
        </w:r>
        <w:r>
          <w:tab/>
        </w:r>
        <w:r>
          <w:t>771</w:t>
        </w:r>
      </w:hyperlink>
    </w:p>
    <w:p>
      <w:pPr>
        <w:pStyle w:val="TOC2"/>
      </w:pPr>
      <w:hyperlink w:anchor="_Toc300000229" w:history="1">
        <w:r>
          <w:t>Article 6.9: Confidentiality</w:t>
        </w:r>
        <w:r>
          <w:tab/>
        </w:r>
        <w:r>
          <w:t>772</w:t>
        </w:r>
      </w:hyperlink>
    </w:p>
    <w:p>
      <w:pPr>
        <w:pStyle w:val="TOC2"/>
      </w:pPr>
      <w:hyperlink w:anchor="_Toc300000230" w:history="1">
        <w:r>
          <w:t>ANNEX 6-A SPECIAL PROVISIONS</w:t>
        </w:r>
        <w:r>
          <w:tab/>
        </w:r>
        <w:r>
          <w:t>772</w:t>
        </w:r>
      </w:hyperlink>
    </w:p>
    <w:p>
      <w:pPr>
        <w:pStyle w:val="TOC2"/>
      </w:pPr>
      <w:hyperlink w:anchor="_Toc300000231" w:history="1">
        <w:r>
          <w:t>APPENDIX 1 PREFERENTIAL TARIFF TREATMENT FOR NON-ORIGINATING APPAREL</w:t>
        </w:r>
        <w:r>
          <w:tab/>
        </w:r>
        <w:r>
          <w:t>772</w:t>
        </w:r>
      </w:hyperlink>
    </w:p>
    <w:p>
      <w:pPr>
        <w:pStyle w:val="TOC2"/>
      </w:pPr>
      <w:hyperlink w:anchor="_Toc300000232" w:history="1">
        <w:r>
          <w:t>APPENDIX 2 PREFERENTIAL TARIFF TREATMENT FOR NON-ORIGINATING COTTON OR MAN-MADE FIBER FABRICS AND MADE-UP GOODS</w:t>
        </w:r>
        <w:r>
          <w:tab/>
        </w:r>
        <w:r>
          <w:t>773</w:t>
        </w:r>
      </w:hyperlink>
    </w:p>
    <w:p>
      <w:pPr>
        <w:pStyle w:val="TOC2"/>
      </w:pPr>
      <w:hyperlink w:anchor="_Toc300000233" w:history="1">
        <w:r>
          <w:t>APPENDIX 3: PREFERENTIAL TARIFF TREATMENT FOR NON-ORIGINATING COTTON OR MAN-MADE FIBER SPUN YARN</w:t>
        </w:r>
        <w:r>
          <w:tab/>
        </w:r>
        <w:r>
          <w:t>774</w:t>
        </w:r>
      </w:hyperlink>
    </w:p>
    <w:p>
      <w:pPr>
        <w:pStyle w:val="TOC2"/>
      </w:pPr>
      <w:hyperlink w:anchor="_Toc300000234" w:history="1">
        <w:r>
          <w:t>ANNEX 6-B CONVERSION FACTORS</w:t>
        </w:r>
        <w:r>
          <w:tab/>
        </w:r>
        <w:r>
          <w:t>776</w:t>
        </w:r>
      </w:hyperlink>
    </w:p>
    <w:p>
      <w:pPr>
        <w:pStyle w:val="TOC1"/>
      </w:pPr>
      <w:hyperlink w:anchor="_Toc300000235" w:history="1">
        <w:r>
          <w:t xml:space="preserve">CHAPTER 7 CUSTOMS ADMINISTRATION AND TRADE FACILITATION</w:t>
        </w:r>
        <w:r>
          <w:t xml:space="preserve"> </w:t>
        </w:r>
        <w:r>
          <w:t xml:space="preserve">Section A: Trade Facilitation</w:t>
        </w:r>
        <w:r>
          <w:tab/>
        </w:r>
        <w:r>
          <w:t>790</w:t>
        </w:r>
      </w:hyperlink>
    </w:p>
    <w:p>
      <w:pPr>
        <w:pStyle w:val="TOC2"/>
      </w:pPr>
      <w:hyperlink w:anchor="_Toc300000236" w:history="1">
        <w:r>
          <w:t>Article 7.1: Trade Facilitation</w:t>
        </w:r>
        <w:r>
          <w:tab/>
        </w:r>
        <w:r>
          <w:t>790</w:t>
        </w:r>
      </w:hyperlink>
    </w:p>
    <w:p>
      <w:pPr>
        <w:pStyle w:val="TOC2"/>
      </w:pPr>
      <w:hyperlink w:anchor="_Toc300000237" w:history="1">
        <w:r>
          <w:t>Article 7.2: Online Publication</w:t>
        </w:r>
        <w:r>
          <w:tab/>
        </w:r>
        <w:r>
          <w:t>790</w:t>
        </w:r>
      </w:hyperlink>
    </w:p>
    <w:p>
      <w:pPr>
        <w:pStyle w:val="TOC2"/>
      </w:pPr>
      <w:hyperlink w:anchor="_Toc300000238" w:history="1">
        <w:r>
          <w:t>Article 7.3: Communication with Traders</w:t>
        </w:r>
        <w:r>
          <w:tab/>
        </w:r>
        <w:r>
          <w:t>790</w:t>
        </w:r>
      </w:hyperlink>
    </w:p>
    <w:p>
      <w:pPr>
        <w:pStyle w:val="TOC2"/>
      </w:pPr>
      <w:hyperlink w:anchor="_Toc300000239" w:history="1">
        <w:r>
          <w:t>Article 7.4: Enquiry Points</w:t>
        </w:r>
        <w:r>
          <w:tab/>
        </w:r>
        <w:r>
          <w:t>790</w:t>
        </w:r>
      </w:hyperlink>
    </w:p>
    <w:p>
      <w:pPr>
        <w:pStyle w:val="TOC2"/>
      </w:pPr>
      <w:hyperlink w:anchor="_Toc300000240" w:history="1">
        <w:r>
          <w:t>Article 7.5: Advance Rulings</w:t>
        </w:r>
        <w:r>
          <w:tab/>
        </w:r>
        <w:r>
          <w:t>791</w:t>
        </w:r>
      </w:hyperlink>
    </w:p>
    <w:p>
      <w:pPr>
        <w:pStyle w:val="TOC2"/>
      </w:pPr>
      <w:hyperlink w:anchor="_Toc300000241" w:history="1">
        <w:r>
          <w:t>Article 7.6: Advice or Information Regarding Duty Drawback or Duty Deferral Programs</w:t>
        </w:r>
        <w:r>
          <w:tab/>
        </w:r>
        <w:r>
          <w:t>792</w:t>
        </w:r>
      </w:hyperlink>
    </w:p>
    <w:p>
      <w:pPr>
        <w:pStyle w:val="TOC2"/>
      </w:pPr>
      <w:hyperlink w:anchor="_Toc300000242" w:history="1">
        <w:r>
          <w:t>Article 7.7: Release of Goods</w:t>
        </w:r>
        <w:r>
          <w:tab/>
        </w:r>
        <w:r>
          <w:t>792</w:t>
        </w:r>
      </w:hyperlink>
    </w:p>
    <w:p>
      <w:pPr>
        <w:pStyle w:val="TOC2"/>
      </w:pPr>
      <w:hyperlink w:anchor="_Toc300000243" w:history="1">
        <w:r>
          <w:t>Article 7.8: Express Shipments</w:t>
        </w:r>
        <w:r>
          <w:tab/>
        </w:r>
        <w:r>
          <w:t>793</w:t>
        </w:r>
      </w:hyperlink>
    </w:p>
    <w:p>
      <w:pPr>
        <w:pStyle w:val="TOC2"/>
      </w:pPr>
      <w:hyperlink w:anchor="_Toc300000244" w:history="1">
        <w:r>
          <w:t>Article 7.9: Use of Information Technology</w:t>
        </w:r>
        <w:r>
          <w:tab/>
        </w:r>
        <w:r>
          <w:t>794</w:t>
        </w:r>
      </w:hyperlink>
    </w:p>
    <w:p>
      <w:pPr>
        <w:pStyle w:val="TOC2"/>
      </w:pPr>
      <w:hyperlink w:anchor="_Toc300000245" w:history="1">
        <w:r>
          <w:t>Article 7.10: Single Window</w:t>
        </w:r>
        <w:r>
          <w:tab/>
        </w:r>
        <w:r>
          <w:t>795</w:t>
        </w:r>
      </w:hyperlink>
    </w:p>
    <w:p>
      <w:pPr>
        <w:pStyle w:val="TOC2"/>
      </w:pPr>
      <w:hyperlink w:anchor="_Toc300000246" w:history="1">
        <w:r>
          <w:t>Article 7.11: Transparency, Predictability, and Consistency in Customs Procedures</w:t>
        </w:r>
        <w:r>
          <w:tab/>
        </w:r>
        <w:r>
          <w:t>795</w:t>
        </w:r>
      </w:hyperlink>
    </w:p>
    <w:p>
      <w:pPr>
        <w:pStyle w:val="TOC2"/>
      </w:pPr>
      <w:hyperlink w:anchor="_Toc300000247" w:history="1">
        <w:r>
          <w:t>Article 7.12: Risk Management</w:t>
        </w:r>
        <w:r>
          <w:tab/>
        </w:r>
        <w:r>
          <w:t>795</w:t>
        </w:r>
      </w:hyperlink>
    </w:p>
    <w:p>
      <w:pPr>
        <w:pStyle w:val="TOC2"/>
      </w:pPr>
      <w:hyperlink w:anchor="_Toc300000248" w:history="1">
        <w:r>
          <w:t>Article 7.13: Post-Clearance Audit</w:t>
        </w:r>
        <w:r>
          <w:tab/>
        </w:r>
        <w:r>
          <w:t>796</w:t>
        </w:r>
      </w:hyperlink>
    </w:p>
    <w:p>
      <w:pPr>
        <w:pStyle w:val="TOC2"/>
      </w:pPr>
      <w:hyperlink w:anchor="_Toc300000249" w:history="1">
        <w:r>
          <w:t>Article 7.14: Authorized Economic Operator – AEO</w:t>
        </w:r>
        <w:r>
          <w:tab/>
        </w:r>
        <w:r>
          <w:t>796</w:t>
        </w:r>
      </w:hyperlink>
    </w:p>
    <w:p>
      <w:pPr>
        <w:pStyle w:val="TOC2"/>
      </w:pPr>
      <w:hyperlink w:anchor="_Toc300000250" w:history="1">
        <w:r>
          <w:t>Article 7.15: Review and Appeal of Customs Determinations</w:t>
        </w:r>
        <w:r>
          <w:tab/>
        </w:r>
        <w:r>
          <w:t>796</w:t>
        </w:r>
      </w:hyperlink>
    </w:p>
    <w:p>
      <w:pPr>
        <w:pStyle w:val="TOC2"/>
      </w:pPr>
      <w:hyperlink w:anchor="_Toc300000251" w:history="1">
        <w:r>
          <w:t>Article 7.16: Administrative Guidance</w:t>
        </w:r>
        <w:r>
          <w:tab/>
        </w:r>
        <w:r>
          <w:t>797</w:t>
        </w:r>
      </w:hyperlink>
    </w:p>
    <w:p>
      <w:pPr>
        <w:pStyle w:val="TOC2"/>
      </w:pPr>
      <w:hyperlink w:anchor="_Toc300000252" w:history="1">
        <w:r>
          <w:t>Article 7.17: Transit</w:t>
        </w:r>
        <w:r>
          <w:tab/>
        </w:r>
        <w:r>
          <w:t>797</w:t>
        </w:r>
      </w:hyperlink>
    </w:p>
    <w:p>
      <w:pPr>
        <w:pStyle w:val="TOC2"/>
      </w:pPr>
      <w:hyperlink w:anchor="_Toc300000253" w:history="1">
        <w:r>
          <w:t>Article: 7.18: Penalties</w:t>
        </w:r>
        <w:r>
          <w:tab/>
        </w:r>
        <w:r>
          <w:t>798</w:t>
        </w:r>
      </w:hyperlink>
    </w:p>
    <w:p>
      <w:pPr>
        <w:pStyle w:val="TOC2"/>
      </w:pPr>
      <w:hyperlink w:anchor="_Toc300000254" w:history="1">
        <w:r>
          <w:t>Article 7.19: Standards of Conduct</w:t>
        </w:r>
        <w:r>
          <w:tab/>
        </w:r>
        <w:r>
          <w:t>799</w:t>
        </w:r>
      </w:hyperlink>
    </w:p>
    <w:p>
      <w:pPr>
        <w:pStyle w:val="TOC2"/>
      </w:pPr>
      <w:hyperlink w:anchor="_Toc300000255" w:history="1">
        <w:r>
          <w:t>Article 7.20: Customs Brokers</w:t>
        </w:r>
        <w:r>
          <w:tab/>
        </w:r>
        <w:r>
          <w:t>800</w:t>
        </w:r>
      </w:hyperlink>
    </w:p>
    <w:p>
      <w:pPr>
        <w:pStyle w:val="TOC2"/>
      </w:pPr>
      <w:hyperlink w:anchor="_Toc300000256" w:history="1">
        <w:r>
          <w:t>Article 7.21: Border Inspections</w:t>
        </w:r>
        <w:r>
          <w:tab/>
        </w:r>
        <w:r>
          <w:t>800</w:t>
        </w:r>
      </w:hyperlink>
    </w:p>
    <w:p>
      <w:pPr>
        <w:pStyle w:val="TOC2"/>
      </w:pPr>
      <w:hyperlink w:anchor="_Toc300000257" w:history="1">
        <w:r>
          <w:t>Article 7.22: Protection of Trader Information</w:t>
        </w:r>
        <w:r>
          <w:tab/>
        </w:r>
        <w:r>
          <w:t>801</w:t>
        </w:r>
      </w:hyperlink>
    </w:p>
    <w:p>
      <w:pPr>
        <w:pStyle w:val="TOC2"/>
      </w:pPr>
      <w:hyperlink w:anchor="_Toc300000258" w:history="1">
        <w:r>
          <w:t>Article 7.23: Customs Initiatives for Trade Facilitation</w:t>
        </w:r>
        <w:r>
          <w:tab/>
        </w:r>
        <w:r>
          <w:t>801</w:t>
        </w:r>
      </w:hyperlink>
    </w:p>
    <w:p>
      <w:pPr>
        <w:pStyle w:val="TOC2"/>
      </w:pPr>
      <w:hyperlink w:anchor="_Toc300000259" w:history="1">
        <w:r>
          <w:t>Article 7.24: Committee on Trade Facilitation</w:t>
        </w:r>
        <w:r>
          <w:tab/>
        </w:r>
        <w:r>
          <w:t>801</w:t>
        </w:r>
      </w:hyperlink>
    </w:p>
    <w:p>
      <w:pPr>
        <w:pStyle w:val="TOC2"/>
      </w:pPr>
      <w:hyperlink w:anchor="_Toc300000260" w:history="1">
        <w:r>
          <w:t>Article 7.25: Regional and Bilateral Cooperation on Enforcement</w:t>
        </w:r>
        <w:r>
          <w:tab/>
        </w:r>
        <w:r>
          <w:t>802</w:t>
        </w:r>
      </w:hyperlink>
    </w:p>
    <w:p>
      <w:pPr>
        <w:pStyle w:val="TOC2"/>
      </w:pPr>
      <w:hyperlink w:anchor="_Toc300000261" w:history="1">
        <w:r>
          <w:t>Article 7.26: Exchange of Specific Confidential Information</w:t>
        </w:r>
        <w:r>
          <w:tab/>
        </w:r>
        <w:r>
          <w:t>802</w:t>
        </w:r>
      </w:hyperlink>
    </w:p>
    <w:p>
      <w:pPr>
        <w:pStyle w:val="TOC2"/>
      </w:pPr>
      <w:hyperlink w:anchor="_Toc300000262" w:history="1">
        <w:r>
          <w:t>Article 7.27: Customs Compliance Verification Requests</w:t>
        </w:r>
        <w:r>
          <w:tab/>
        </w:r>
        <w:r>
          <w:t>803</w:t>
        </w:r>
      </w:hyperlink>
    </w:p>
    <w:p>
      <w:pPr>
        <w:pStyle w:val="TOC2"/>
      </w:pPr>
      <w:hyperlink w:anchor="_Toc300000263" w:history="1">
        <w:r>
          <w:t>Article 7.28: Confidentiality between Parties</w:t>
        </w:r>
        <w:r>
          <w:tab/>
        </w:r>
        <w:r>
          <w:t>803</w:t>
        </w:r>
      </w:hyperlink>
    </w:p>
    <w:p>
      <w:pPr>
        <w:pStyle w:val="TOC2"/>
      </w:pPr>
      <w:hyperlink w:anchor="_Toc300000264" w:history="1">
        <w:r>
          <w:t>Article 7.29: Sub-Committee on Customs Enforcement</w:t>
        </w:r>
        <w:r>
          <w:tab/>
        </w:r>
        <w:r>
          <w:t>804</w:t>
        </w:r>
      </w:hyperlink>
    </w:p>
    <w:p>
      <w:pPr>
        <w:pStyle w:val="TOC2"/>
      </w:pPr>
      <w:hyperlink w:anchor="_Toc300000265" w:history="1">
        <w:r>
          <w:t>CHAPTER 7: CUSMA 2.0 MODERNIZATION PROVISIONS</w:t>
        </w:r>
        <w:r>
          <w:tab/>
        </w:r>
        <w:r>
          <w:t>804</w:t>
        </w:r>
      </w:hyperlink>
    </w:p>
    <w:p>
      <w:pPr>
        <w:pStyle w:val="TOC2"/>
      </w:pPr>
      <w:hyperlink w:anchor="_Toc300000266" w:history="1">
        <w:r>
          <w:t>Article 7.A: Low-Value Shipments (Implementation of Article 2.C)</w:t>
        </w:r>
        <w:r>
          <w:tab/>
        </w:r>
        <w:r>
          <w:t>805</w:t>
        </w:r>
      </w:hyperlink>
    </w:p>
    <w:p>
      <w:pPr>
        <w:pStyle w:val="TOC2"/>
      </w:pPr>
      <w:hyperlink w:anchor="_Toc300000267" w:history="1">
        <w:r>
          <w:t>Article 7.B: North American Single Window Interoperability</w:t>
        </w:r>
        <w:r>
          <w:tab/>
        </w:r>
        <w:r>
          <w:t>805</w:t>
        </w:r>
      </w:hyperlink>
    </w:p>
    <w:p>
      <w:pPr>
        <w:pStyle w:val="TOC2"/>
      </w:pPr>
      <w:hyperlink w:anchor="_Toc300000268" w:history="1">
        <w:r>
          <w:t>Article 7.C: Uniformity of Customs Administration</w:t>
        </w:r>
        <w:r>
          <w:tab/>
        </w:r>
        <w:r>
          <w:t>806</w:t>
        </w:r>
      </w:hyperlink>
    </w:p>
    <w:p>
      <w:pPr>
        <w:pStyle w:val="TOC2"/>
      </w:pPr>
      <w:hyperlink w:anchor="_Toc300000269" w:history="1">
        <w:r>
          <w:t>Article 7.D: Border Processing Times and Transparency</w:t>
        </w:r>
        <w:r>
          <w:tab/>
        </w:r>
        <w:r>
          <w:t>806</w:t>
        </w:r>
      </w:hyperlink>
    </w:p>
    <w:p>
      <w:pPr>
        <w:pStyle w:val="TOC2"/>
      </w:pPr>
      <w:hyperlink w:anchor="_Toc300000270" w:history="1">
        <w:r>
          <w:t>Article 7.E: Trusted Trader Programs</w:t>
        </w:r>
        <w:r>
          <w:tab/>
        </w:r>
        <w:r>
          <w:t>807</w:t>
        </w:r>
      </w:hyperlink>
    </w:p>
    <w:p>
      <w:pPr>
        <w:pStyle w:val="TOC1"/>
      </w:pPr>
      <w:hyperlink w:anchor="_Toc300000271" w:history="1">
        <w:r>
          <w:t>CHAPTER 8 RECOGNITION OF THE UNITED MEXICAN STATES’ DIRECT, INALIENABLE, AND IMPRESCRIPTIBLE OWNERSHIP OF HYDROCARBONS</w:t>
        </w:r>
        <w:r>
          <w:tab/>
        </w:r>
        <w:r>
          <w:t>808</w:t>
        </w:r>
      </w:hyperlink>
    </w:p>
    <w:p>
      <w:pPr>
        <w:pStyle w:val="TOC2"/>
      </w:pPr>
      <w:hyperlink w:anchor="_Toc300000272" w:history="1">
        <w:r>
          <w:t>Article 8.1: Recognition of the United Mexican States’ Direct, Inalienable, and Imprescriptible Ownership of Hydrocarbons</w:t>
        </w:r>
        <w:r>
          <w:tab/>
        </w:r>
        <w:r>
          <w:t>808</w:t>
        </w:r>
      </w:hyperlink>
    </w:p>
    <w:p>
      <w:pPr>
        <w:pStyle w:val="TOC1"/>
      </w:pPr>
      <w:hyperlink w:anchor="_Toc300000273" w:history="1">
        <w:r>
          <w:t>CHAPTER 9 SANITARY AND PHYTOSANITARY MEASURES</w:t>
        </w:r>
        <w:r>
          <w:tab/>
        </w:r>
        <w:r>
          <w:t>809</w:t>
        </w:r>
      </w:hyperlink>
    </w:p>
    <w:p>
      <w:pPr>
        <w:pStyle w:val="TOC2"/>
      </w:pPr>
      <w:hyperlink w:anchor="_Toc300000274" w:history="1">
        <w:r>
          <w:t>Article 9.1: Definitions</w:t>
        </w:r>
        <w:r>
          <w:tab/>
        </w:r>
        <w:r>
          <w:t>809</w:t>
        </w:r>
      </w:hyperlink>
    </w:p>
    <w:p>
      <w:pPr>
        <w:pStyle w:val="TOC2"/>
      </w:pPr>
      <w:hyperlink w:anchor="_Toc300000275" w:history="1">
        <w:r>
          <w:t>Article 9.2: Scope</w:t>
        </w:r>
        <w:r>
          <w:tab/>
        </w:r>
        <w:r>
          <w:t>809</w:t>
        </w:r>
      </w:hyperlink>
    </w:p>
    <w:p>
      <w:pPr>
        <w:pStyle w:val="TOC2"/>
      </w:pPr>
      <w:hyperlink w:anchor="_Toc300000276" w:history="1">
        <w:r>
          <w:t>Article 9.3: Objectives</w:t>
        </w:r>
        <w:r>
          <w:tab/>
        </w:r>
        <w:r>
          <w:t>809</w:t>
        </w:r>
      </w:hyperlink>
    </w:p>
    <w:p>
      <w:pPr>
        <w:pStyle w:val="TOC2"/>
      </w:pPr>
      <w:hyperlink w:anchor="_Toc300000277" w:history="1">
        <w:r>
          <w:t>Article 9.4: General Provisions</w:t>
        </w:r>
        <w:r>
          <w:tab/>
        </w:r>
        <w:r>
          <w:t>809</w:t>
        </w:r>
      </w:hyperlink>
    </w:p>
    <w:p>
      <w:pPr>
        <w:pStyle w:val="TOC2"/>
      </w:pPr>
      <w:hyperlink w:anchor="_Toc300000278" w:history="1">
        <w:r>
          <w:t>Article 9.5: Competent Authorities and Contact Points</w:t>
        </w:r>
        <w:r>
          <w:tab/>
        </w:r>
        <w:r>
          <w:t>809</w:t>
        </w:r>
      </w:hyperlink>
    </w:p>
    <w:p>
      <w:pPr>
        <w:pStyle w:val="TOC2"/>
      </w:pPr>
      <w:hyperlink w:anchor="_Toc300000279" w:history="1">
        <w:r>
          <w:t>Article 9.6: Science and Risk Analysis</w:t>
        </w:r>
        <w:r>
          <w:tab/>
        </w:r>
        <w:r>
          <w:t>809</w:t>
        </w:r>
      </w:hyperlink>
    </w:p>
    <w:p>
      <w:pPr>
        <w:pStyle w:val="TOC2"/>
      </w:pPr>
      <w:hyperlink w:anchor="_Toc300000280" w:history="1">
        <w:r>
          <w:t>Article 9.7: Enhancing Compatibility of Sanitary and Phytosanitary Measures</w:t>
        </w:r>
        <w:r>
          <w:tab/>
        </w:r>
        <w:r>
          <w:t>811</w:t>
        </w:r>
      </w:hyperlink>
    </w:p>
    <w:p>
      <w:pPr>
        <w:pStyle w:val="TOC2"/>
      </w:pPr>
      <w:hyperlink w:anchor="_Toc300000281" w:history="1">
        <w:r>
          <w:t>Article 9.8: Adaptation to Regional Conditions, Including Pest- or Disease-Free Areas and Areas of Low Pest or Disease Prevalence</w:t>
        </w:r>
        <w:r>
          <w:tab/>
        </w:r>
        <w:r>
          <w:t>812</w:t>
        </w:r>
      </w:hyperlink>
    </w:p>
    <w:p>
      <w:pPr>
        <w:pStyle w:val="TOC2"/>
      </w:pPr>
      <w:hyperlink w:anchor="_Toc300000282" w:history="1">
        <w:r>
          <w:t>Article 9.9: Equivalence</w:t>
        </w:r>
        <w:r>
          <w:tab/>
        </w:r>
        <w:r>
          <w:t>813</w:t>
        </w:r>
      </w:hyperlink>
    </w:p>
    <w:p>
      <w:pPr>
        <w:pStyle w:val="TOC2"/>
      </w:pPr>
      <w:hyperlink w:anchor="_Toc300000283" w:history="1">
        <w:r>
          <w:t xml:space="preserve">Article 9.10: Audits</w:t>
        </w:r>
        <w:r>
          <w:rPr>
            <w:vertAlign w:val="superscript"/>
          </w:rPr>
          <w:t xml:space="preserve">4</w:t>
        </w:r>
        <w:r>
          <w:tab/>
        </w:r>
        <w:r>
          <w:t>814</w:t>
        </w:r>
      </w:hyperlink>
    </w:p>
    <w:p>
      <w:pPr>
        <w:pStyle w:val="TOC2"/>
      </w:pPr>
      <w:hyperlink w:anchor="_Toc300000284" w:history="1">
        <w:r>
          <w:t>Article 9.11: Import Checks</w:t>
        </w:r>
        <w:r>
          <w:tab/>
        </w:r>
        <w:r>
          <w:t>815</w:t>
        </w:r>
      </w:hyperlink>
    </w:p>
    <w:p>
      <w:pPr>
        <w:pStyle w:val="TOC2"/>
      </w:pPr>
      <w:hyperlink w:anchor="_Toc300000285" w:history="1">
        <w:r>
          <w:t>Article 9.12: Certification</w:t>
        </w:r>
        <w:r>
          <w:tab/>
        </w:r>
        <w:r>
          <w:t>817</w:t>
        </w:r>
      </w:hyperlink>
    </w:p>
    <w:p>
      <w:pPr>
        <w:pStyle w:val="TOC2"/>
      </w:pPr>
      <w:hyperlink w:anchor="_Toc300000286" w:history="1">
        <w:r>
          <w:t>Article 9.13: Transparency</w:t>
        </w:r>
        <w:r>
          <w:tab/>
        </w:r>
        <w:r>
          <w:t>817</w:t>
        </w:r>
      </w:hyperlink>
    </w:p>
    <w:p>
      <w:pPr>
        <w:pStyle w:val="TOC2"/>
      </w:pPr>
      <w:hyperlink w:anchor="_Toc300000287" w:history="1">
        <w:r>
          <w:t>Article 9.14: Emergency Measures</w:t>
        </w:r>
        <w:r>
          <w:tab/>
        </w:r>
        <w:r>
          <w:t>819</w:t>
        </w:r>
      </w:hyperlink>
    </w:p>
    <w:p>
      <w:pPr>
        <w:pStyle w:val="TOC2"/>
      </w:pPr>
      <w:hyperlink w:anchor="_Toc300000288" w:history="1">
        <w:r>
          <w:t>Article 9.15: Information Exchange</w:t>
        </w:r>
        <w:r>
          <w:tab/>
        </w:r>
        <w:r>
          <w:t>819</w:t>
        </w:r>
      </w:hyperlink>
    </w:p>
    <w:p>
      <w:pPr>
        <w:pStyle w:val="TOC2"/>
      </w:pPr>
      <w:hyperlink w:anchor="_Toc300000289" w:history="1">
        <w:r>
          <w:t>Article 9.16: Cooperation</w:t>
        </w:r>
        <w:r>
          <w:tab/>
        </w:r>
        <w:r>
          <w:t>820</w:t>
        </w:r>
      </w:hyperlink>
    </w:p>
    <w:p>
      <w:pPr>
        <w:pStyle w:val="TOC2"/>
      </w:pPr>
      <w:hyperlink w:anchor="_Toc300000290" w:history="1">
        <w:r>
          <w:t>Article 9.17: Committee on Sanitary and Phytosanitary Measures</w:t>
        </w:r>
        <w:r>
          <w:tab/>
        </w:r>
        <w:r>
          <w:t>820</w:t>
        </w:r>
      </w:hyperlink>
    </w:p>
    <w:p>
      <w:pPr>
        <w:pStyle w:val="TOC2"/>
      </w:pPr>
      <w:hyperlink w:anchor="_Toc300000291" w:history="1">
        <w:r>
          <w:t>Article 9.18: Technical Working Groups</w:t>
        </w:r>
        <w:r>
          <w:tab/>
        </w:r>
        <w:r>
          <w:t>820</w:t>
        </w:r>
      </w:hyperlink>
    </w:p>
    <w:p>
      <w:pPr>
        <w:pStyle w:val="TOC2"/>
      </w:pPr>
      <w:hyperlink w:anchor="_Toc300000292" w:history="1">
        <w:r>
          <w:t>Article 9.19: Technical Consultations</w:t>
        </w:r>
        <w:r>
          <w:tab/>
        </w:r>
        <w:r>
          <w:t>821</w:t>
        </w:r>
      </w:hyperlink>
    </w:p>
    <w:p>
      <w:pPr>
        <w:pStyle w:val="TOC2"/>
      </w:pPr>
      <w:hyperlink w:anchor="_Toc300000293" w:history="1">
        <w:r>
          <w:t>Article 9.20: Dispute Settlement</w:t>
        </w:r>
        <w:r>
          <w:tab/>
        </w:r>
        <w:r>
          <w:t>822</w:t>
        </w:r>
      </w:hyperlink>
    </w:p>
    <w:p>
      <w:pPr>
        <w:pStyle w:val="TOC1"/>
      </w:pPr>
      <w:hyperlink w:anchor="_Toc300000294" w:history="1">
        <w:r>
          <w:t xml:space="preserve">CHAPTER 10 TRADE REMEDIES</w:t>
        </w:r>
        <w:r>
          <w:t xml:space="preserve"> </w:t>
        </w:r>
        <w:r>
          <w:t xml:space="preserve">Section A: Safeguards</w:t>
        </w:r>
        <w:r>
          <w:tab/>
        </w:r>
        <w:r>
          <w:t>823</w:t>
        </w:r>
      </w:hyperlink>
    </w:p>
    <w:p>
      <w:pPr>
        <w:pStyle w:val="TOC2"/>
      </w:pPr>
      <w:hyperlink w:anchor="_Toc300000295" w:history="1">
        <w:r>
          <w:t>Article 10.1: Definitions</w:t>
        </w:r>
        <w:r>
          <w:tab/>
        </w:r>
        <w:r>
          <w:t>823</w:t>
        </w:r>
      </w:hyperlink>
    </w:p>
    <w:p>
      <w:pPr>
        <w:pStyle w:val="TOC2"/>
      </w:pPr>
      <w:hyperlink w:anchor="_Toc300000296" w:history="1">
        <w:r>
          <w:t>Article 10.2: Rights and Obligations</w:t>
        </w:r>
        <w:r>
          <w:tab/>
        </w:r>
        <w:r>
          <w:t>823</w:t>
        </w:r>
      </w:hyperlink>
    </w:p>
    <w:p>
      <w:pPr>
        <w:pStyle w:val="TOC2"/>
      </w:pPr>
      <w:hyperlink w:anchor="_Toc300000297" w:history="1">
        <w:r>
          <w:t>Article 10.3: Administration of Emergency Action Proceedings</w:t>
        </w:r>
        <w:r>
          <w:tab/>
        </w:r>
        <w:r>
          <w:t>824</w:t>
        </w:r>
      </w:hyperlink>
    </w:p>
    <w:p>
      <w:pPr>
        <w:pStyle w:val="TOC2"/>
      </w:pPr>
      <w:hyperlink w:anchor="_Toc300000298" w:history="1">
        <w:r>
          <w:t>Article 10.4: Definitions</w:t>
        </w:r>
        <w:r>
          <w:tab/>
        </w:r>
        <w:r>
          <w:t>824</w:t>
        </w:r>
      </w:hyperlink>
    </w:p>
    <w:p>
      <w:pPr>
        <w:pStyle w:val="TOC2"/>
      </w:pPr>
      <w:hyperlink w:anchor="_Toc300000299" w:history="1">
        <w:r>
          <w:t>Article 10.5: Rights and Obligations</w:t>
        </w:r>
        <w:r>
          <w:tab/>
        </w:r>
        <w:r>
          <w:t>825</w:t>
        </w:r>
      </w:hyperlink>
    </w:p>
    <w:p>
      <w:pPr>
        <w:pStyle w:val="TOC2"/>
      </w:pPr>
      <w:hyperlink w:anchor="_Toc300000300" w:history="1">
        <w:r>
          <w:t>Article 10.6: General</w:t>
        </w:r>
        <w:r>
          <w:tab/>
        </w:r>
        <w:r>
          <w:t>825</w:t>
        </w:r>
      </w:hyperlink>
    </w:p>
    <w:p>
      <w:pPr>
        <w:pStyle w:val="TOC2"/>
      </w:pPr>
      <w:hyperlink w:anchor="_Toc300000301" w:history="1">
        <w:r>
          <w:t>Article 10.7: Duty Evasion Cooperation</w:t>
        </w:r>
        <w:r>
          <w:tab/>
        </w:r>
        <w:r>
          <w:t>825</w:t>
        </w:r>
      </w:hyperlink>
    </w:p>
    <w:p>
      <w:pPr>
        <w:pStyle w:val="TOC2"/>
      </w:pPr>
      <w:hyperlink w:anchor="_Toc300000302" w:history="1">
        <w:r>
          <w:t>Article 10.8: Definitions</w:t>
        </w:r>
        <w:r>
          <w:tab/>
        </w:r>
        <w:r>
          <w:t>826</w:t>
        </w:r>
      </w:hyperlink>
    </w:p>
    <w:p>
      <w:pPr>
        <w:pStyle w:val="TOC2"/>
      </w:pPr>
      <w:hyperlink w:anchor="_Toc300000303" w:history="1">
        <w:r>
          <w:t>Article 10.9: General Provisions</w:t>
        </w:r>
        <w:r>
          <w:tab/>
        </w:r>
        <w:r>
          <w:t>829</w:t>
        </w:r>
      </w:hyperlink>
    </w:p>
    <w:p>
      <w:pPr>
        <w:pStyle w:val="TOC2"/>
      </w:pPr>
      <w:hyperlink w:anchor="_Toc300000304" w:history="1">
        <w:r>
          <w:t>Article 10.10: Retention of Domestic Antidumping Law and Countervailing Duty Law</w:t>
        </w:r>
        <w:r>
          <w:tab/>
        </w:r>
        <w:r>
          <w:t>829</w:t>
        </w:r>
      </w:hyperlink>
    </w:p>
    <w:p>
      <w:pPr>
        <w:pStyle w:val="TOC2"/>
      </w:pPr>
      <w:hyperlink w:anchor="_Toc300000305" w:history="1">
        <w:r>
          <w:t>Article 10.11: Review of Statutory Amendments</w:t>
        </w:r>
        <w:r>
          <w:tab/>
        </w:r>
        <w:r>
          <w:t>829</w:t>
        </w:r>
      </w:hyperlink>
    </w:p>
    <w:p>
      <w:pPr>
        <w:pStyle w:val="TOC2"/>
      </w:pPr>
      <w:hyperlink w:anchor="_Toc300000306" w:history="1">
        <w:r>
          <w:t>Article 10.12: Review of Final Antidumping and Countervailing Duty Determinations</w:t>
        </w:r>
        <w:r>
          <w:tab/>
        </w:r>
        <w:r>
          <w:t>829</w:t>
        </w:r>
      </w:hyperlink>
    </w:p>
    <w:p>
      <w:pPr>
        <w:pStyle w:val="TOC2"/>
      </w:pPr>
      <w:hyperlink w:anchor="_Toc300000307" w:history="1">
        <w:r>
          <w:t>Article 10.13: Safeguarding the Panel Review System</w:t>
        </w:r>
        <w:r>
          <w:tab/>
        </w:r>
        <w:r>
          <w:t>833</w:t>
        </w:r>
      </w:hyperlink>
    </w:p>
    <w:p>
      <w:pPr>
        <w:pStyle w:val="TOC2"/>
      </w:pPr>
      <w:hyperlink w:anchor="_Toc300000308" w:history="1">
        <w:r>
          <w:t>Article 10.14: Prospective Application</w:t>
        </w:r>
        <w:r>
          <w:tab/>
        </w:r>
        <w:r>
          <w:t>835</w:t>
        </w:r>
      </w:hyperlink>
    </w:p>
    <w:p>
      <w:pPr>
        <w:pStyle w:val="TOC2"/>
      </w:pPr>
      <w:hyperlink w:anchor="_Toc300000309" w:history="1">
        <w:r>
          <w:t>Article 10.15: Consultations</w:t>
        </w:r>
        <w:r>
          <w:tab/>
        </w:r>
        <w:r>
          <w:t>835</w:t>
        </w:r>
      </w:hyperlink>
    </w:p>
    <w:p>
      <w:pPr>
        <w:pStyle w:val="TOC2"/>
      </w:pPr>
      <w:hyperlink w:anchor="_Toc300000310" w:history="1">
        <w:r>
          <w:t>Article 10.16: Special Secretariat Provisions</w:t>
        </w:r>
        <w:r>
          <w:tab/>
        </w:r>
        <w:r>
          <w:t>836</w:t>
        </w:r>
      </w:hyperlink>
    </w:p>
    <w:p>
      <w:pPr>
        <w:pStyle w:val="TOC2"/>
      </w:pPr>
      <w:hyperlink w:anchor="_Toc300000311" w:history="1">
        <w:r>
          <w:t>Article 10.17: Code of Conduct</w:t>
        </w:r>
        <w:r>
          <w:tab/>
        </w:r>
        <w:r>
          <w:t>837</w:t>
        </w:r>
      </w:hyperlink>
    </w:p>
    <w:p>
      <w:pPr>
        <w:pStyle w:val="TOC2"/>
      </w:pPr>
      <w:hyperlink w:anchor="_Toc300000312" w:history="1">
        <w:r>
          <w:t>Article 10.18: Miscellaneous</w:t>
        </w:r>
        <w:r>
          <w:tab/>
        </w:r>
        <w:r>
          <w:t>837</w:t>
        </w:r>
      </w:hyperlink>
    </w:p>
    <w:p>
      <w:pPr>
        <w:pStyle w:val="TOC2"/>
      </w:pPr>
      <w:hyperlink w:anchor="_Toc300000313" w:history="1">
        <w:r>
          <w:t>ANNEX 10-A PRACTICES RELATING TO ANTIDUMPING AND COUNTERVAILING DUTY PROCEEDINGS</w:t>
        </w:r>
        <w:r>
          <w:tab/>
        </w:r>
        <w:r>
          <w:t>837</w:t>
        </w:r>
      </w:hyperlink>
    </w:p>
    <w:p>
      <w:pPr>
        <w:pStyle w:val="TOC2"/>
      </w:pPr>
      <w:hyperlink w:anchor="_Toc300000314" w:history="1">
        <w:r>
          <w:t>ANNEX 10-B.1 ESTABLISHMENT OF BINATIONAL PANELS</w:t>
        </w:r>
        <w:r>
          <w:tab/>
        </w:r>
        <w:r>
          <w:t>840</w:t>
        </w:r>
      </w:hyperlink>
    </w:p>
    <w:p>
      <w:pPr>
        <w:pStyle w:val="TOC2"/>
      </w:pPr>
      <w:hyperlink w:anchor="_Toc300000315" w:history="1">
        <w:r>
          <w:t>ANNEX 10-B.2 PANEL PROCEDURES UNDER ARTICLE 10.11</w:t>
        </w:r>
        <w:r>
          <w:tab/>
        </w:r>
        <w:r>
          <w:t>840</w:t>
        </w:r>
      </w:hyperlink>
    </w:p>
    <w:p>
      <w:pPr>
        <w:pStyle w:val="TOC2"/>
      </w:pPr>
      <w:hyperlink w:anchor="_Toc300000316" w:history="1">
        <w:r>
          <w:t>ANNEX 10-B.3 EXTRAORDINARY CHALLENGE PROCEDURE</w:t>
        </w:r>
        <w:r>
          <w:tab/>
        </w:r>
        <w:r>
          <w:t>841</w:t>
        </w:r>
      </w:hyperlink>
    </w:p>
    <w:p>
      <w:pPr>
        <w:pStyle w:val="TOC2"/>
      </w:pPr>
      <w:hyperlink w:anchor="_Toc300000317" w:history="1">
        <w:r>
          <w:t>ANNEX 10-B.4 SPECIAL COMMITTEE PROCEDURES</w:t>
        </w:r>
        <w:r>
          <w:tab/>
        </w:r>
        <w:r>
          <w:t>842</w:t>
        </w:r>
      </w:hyperlink>
    </w:p>
    <w:p>
      <w:pPr>
        <w:pStyle w:val="TOC2"/>
      </w:pPr>
      <w:hyperlink w:anchor="_Toc300000318" w:history="1">
        <w:r>
          <w:t>ANNEX 10-B.5 AMENDMENTS TO DOMESTIC LAWS</w:t>
        </w:r>
        <w:r>
          <w:tab/>
        </w:r>
        <w:r>
          <w:t>842</w:t>
        </w:r>
      </w:hyperlink>
    </w:p>
    <w:p>
      <w:pPr>
        <w:pStyle w:val="TOC2"/>
      </w:pPr>
      <w:hyperlink w:anchor="_Toc300000319" w:history="1">
        <w:r>
          <w:t>CHAPTER 10: CUSMA 2.0 MODERNIZATION PROVISIONS</w:t>
        </w:r>
        <w:r>
          <w:tab/>
        </w:r>
        <w:r>
          <w:t>846</w:t>
        </w:r>
      </w:hyperlink>
    </w:p>
    <w:p>
      <w:pPr>
        <w:pStyle w:val="TOC2"/>
      </w:pPr>
      <w:hyperlink w:anchor="_Toc300000320" w:history="1">
        <w:r>
          <w:t>Article 10.A: Antidumping and Countervailing Duty Disciplines Among the Parties</w:t>
        </w:r>
        <w:r>
          <w:tab/>
        </w:r>
        <w:r>
          <w:t>847</w:t>
        </w:r>
      </w:hyperlink>
    </w:p>
    <w:p>
      <w:pPr>
        <w:pStyle w:val="TOC2"/>
      </w:pPr>
      <w:hyperlink w:anchor="_Toc300000321" w:history="1">
        <w:r>
          <w:t>Article 10.B: Safeguard Measures, Party-Specific Analysis</w:t>
        </w:r>
        <w:r>
          <w:tab/>
        </w:r>
        <w:r>
          <w:t>848</w:t>
        </w:r>
      </w:hyperlink>
    </w:p>
    <w:p>
      <w:pPr>
        <w:pStyle w:val="TOC1"/>
      </w:pPr>
      <w:hyperlink w:anchor="_Toc300000322" w:history="1">
        <w:r>
          <w:t>CHAPTER 11 TECHNICAL BARRIERS TO TRADE</w:t>
        </w:r>
        <w:r>
          <w:tab/>
        </w:r>
        <w:r>
          <w:t>849</w:t>
        </w:r>
      </w:hyperlink>
    </w:p>
    <w:p>
      <w:pPr>
        <w:pStyle w:val="TOC2"/>
      </w:pPr>
      <w:hyperlink w:anchor="_Toc300000323" w:history="1">
        <w:r>
          <w:t>Article 11.1: Definitions</w:t>
        </w:r>
        <w:r>
          <w:tab/>
        </w:r>
        <w:r>
          <w:t>849</w:t>
        </w:r>
      </w:hyperlink>
    </w:p>
    <w:p>
      <w:pPr>
        <w:pStyle w:val="TOC2"/>
      </w:pPr>
      <w:hyperlink w:anchor="_Toc300000324" w:history="1">
        <w:r>
          <w:t>Article 11.2: Scope</w:t>
        </w:r>
        <w:r>
          <w:tab/>
        </w:r>
        <w:r>
          <w:t>849</w:t>
        </w:r>
      </w:hyperlink>
    </w:p>
    <w:p>
      <w:pPr>
        <w:pStyle w:val="TOC2"/>
      </w:pPr>
      <w:hyperlink w:anchor="_Toc300000325" w:history="1">
        <w:r>
          <w:t>Article 11.3: Incorporation of the TBT Agreement</w:t>
        </w:r>
        <w:r>
          <w:tab/>
        </w:r>
        <w:r>
          <w:t>850</w:t>
        </w:r>
      </w:hyperlink>
    </w:p>
    <w:p>
      <w:pPr>
        <w:pStyle w:val="TOC2"/>
      </w:pPr>
      <w:hyperlink w:anchor="_Toc300000326" w:history="1">
        <w:r>
          <w:t>Article 11.4: International Standards, Guides and Recommendations</w:t>
        </w:r>
        <w:r>
          <w:tab/>
        </w:r>
        <w:r>
          <w:t>850</w:t>
        </w:r>
      </w:hyperlink>
    </w:p>
    <w:p>
      <w:pPr>
        <w:pStyle w:val="TOC2"/>
      </w:pPr>
      <w:hyperlink w:anchor="_Toc300000327" w:history="1">
        <w:r>
          <w:t>Article 11.5: Technical Regulations</w:t>
        </w:r>
        <w:r>
          <w:tab/>
        </w:r>
        <w:r>
          <w:t>851</w:t>
        </w:r>
      </w:hyperlink>
    </w:p>
    <w:p>
      <w:pPr>
        <w:pStyle w:val="TOC2"/>
      </w:pPr>
      <w:hyperlink w:anchor="_Toc300000328" w:history="1">
        <w:r>
          <w:t>Article 11.6: Conformity Assessment</w:t>
        </w:r>
        <w:r>
          <w:tab/>
        </w:r>
        <w:r>
          <w:t>853</w:t>
        </w:r>
      </w:hyperlink>
    </w:p>
    <w:p>
      <w:pPr>
        <w:pStyle w:val="TOC2"/>
      </w:pPr>
      <w:hyperlink w:anchor="_Toc300000329" w:history="1">
        <w:r>
          <w:t>Article 11.7: Transparency</w:t>
        </w:r>
        <w:r>
          <w:tab/>
        </w:r>
        <w:r>
          <w:t>854</w:t>
        </w:r>
      </w:hyperlink>
    </w:p>
    <w:p>
      <w:pPr>
        <w:pStyle w:val="TOC2"/>
      </w:pPr>
      <w:hyperlink w:anchor="_Toc300000330" w:history="1">
        <w:r>
          <w:t>Article 11.8: Compliance Period for Technical Regulations and Conformity Assessment Procedures</w:t>
        </w:r>
        <w:r>
          <w:tab/>
        </w:r>
        <w:r>
          <w:t>858</w:t>
        </w:r>
      </w:hyperlink>
    </w:p>
    <w:p>
      <w:pPr>
        <w:pStyle w:val="TOC2"/>
      </w:pPr>
      <w:hyperlink w:anchor="_Toc300000331" w:history="1">
        <w:r>
          <w:t>Article 11.9: Cooperation and Trade Facilitation</w:t>
        </w:r>
        <w:r>
          <w:tab/>
        </w:r>
        <w:r>
          <w:t>858</w:t>
        </w:r>
      </w:hyperlink>
    </w:p>
    <w:p>
      <w:pPr>
        <w:pStyle w:val="TOC2"/>
      </w:pPr>
      <w:hyperlink w:anchor="_Toc300000332" w:history="1">
        <w:r>
          <w:t>Article 11.10: Information Exchange and Technical Discussions</w:t>
        </w:r>
        <w:r>
          <w:tab/>
        </w:r>
        <w:r>
          <w:t>860</w:t>
        </w:r>
      </w:hyperlink>
    </w:p>
    <w:p>
      <w:pPr>
        <w:pStyle w:val="TOC2"/>
      </w:pPr>
      <w:hyperlink w:anchor="_Toc300000333" w:history="1">
        <w:r>
          <w:t>Article 11.11: Committee on Technical Barriers to Trade</w:t>
        </w:r>
        <w:r>
          <w:tab/>
        </w:r>
        <w:r>
          <w:t>860</w:t>
        </w:r>
      </w:hyperlink>
    </w:p>
    <w:p>
      <w:pPr>
        <w:pStyle w:val="TOC2"/>
      </w:pPr>
      <w:hyperlink w:anchor="_Toc300000334" w:history="1">
        <w:r>
          <w:t>Article 11.12: Contact Points</w:t>
        </w:r>
        <w:r>
          <w:tab/>
        </w:r>
        <w:r>
          <w:t>861</w:t>
        </w:r>
      </w:hyperlink>
    </w:p>
    <w:p>
      <w:pPr>
        <w:pStyle w:val="TOC1"/>
      </w:pPr>
      <w:hyperlink w:anchor="_Toc300000335" w:history="1">
        <w:r>
          <w:t>CHAPTER 12 SECTORAL ANNEXES</w:t>
        </w:r>
        <w:r>
          <w:tab/>
        </w:r>
        <w:r>
          <w:t>862</w:t>
        </w:r>
      </w:hyperlink>
    </w:p>
    <w:p>
      <w:pPr>
        <w:pStyle w:val="TOC2"/>
      </w:pPr>
      <w:hyperlink w:anchor="_Toc300000336" w:history="1">
        <w:r>
          <w:t>Article 12.1: Sectoral Annexes</w:t>
        </w:r>
        <w:r>
          <w:tab/>
        </w:r>
        <w:r>
          <w:t>862</w:t>
        </w:r>
      </w:hyperlink>
    </w:p>
    <w:p>
      <w:pPr>
        <w:pStyle w:val="TOC2"/>
      </w:pPr>
      <w:hyperlink w:anchor="_Toc300000337" w:history="1">
        <w:r>
          <w:t>Article 12.2: Sectoral Implementation Work Program</w:t>
        </w:r>
        <w:r>
          <w:tab/>
        </w:r>
        <w:r>
          <w:t>862</w:t>
        </w:r>
      </w:hyperlink>
    </w:p>
    <w:p>
      <w:pPr>
        <w:pStyle w:val="TOC2"/>
      </w:pPr>
      <w:hyperlink w:anchor="_Toc300000338" w:history="1">
        <w:r>
          <w:t>ANNEX 12-A CHEMICAL SUBSTANCES</w:t>
        </w:r>
        <w:r>
          <w:tab/>
        </w:r>
        <w:r>
          <w:t>862</w:t>
        </w:r>
      </w:hyperlink>
    </w:p>
    <w:p>
      <w:pPr>
        <w:pStyle w:val="TOC2"/>
      </w:pPr>
      <w:hyperlink w:anchor="_Toc300000339" w:history="1">
        <w:r>
          <w:t>Article 12.A.1: Definitions</w:t>
        </w:r>
        <w:r>
          <w:tab/>
        </w:r>
        <w:r>
          <w:t>862</w:t>
        </w:r>
      </w:hyperlink>
    </w:p>
    <w:p>
      <w:pPr>
        <w:pStyle w:val="TOC2"/>
      </w:pPr>
      <w:hyperlink w:anchor="_Toc300000340" w:history="1">
        <w:r>
          <w:t>Article 12.A.2: Scope</w:t>
        </w:r>
        <w:r>
          <w:tab/>
        </w:r>
        <w:r>
          <w:t>863</w:t>
        </w:r>
      </w:hyperlink>
    </w:p>
    <w:p>
      <w:pPr>
        <w:pStyle w:val="TOC2"/>
      </w:pPr>
      <w:hyperlink w:anchor="_Toc300000341" w:history="1">
        <w:r>
          <w:t>Article 12.A.3: Competent Authorities</w:t>
        </w:r>
        <w:r>
          <w:tab/>
        </w:r>
        <w:r>
          <w:t>863</w:t>
        </w:r>
      </w:hyperlink>
    </w:p>
    <w:p>
      <w:pPr>
        <w:pStyle w:val="TOC2"/>
      </w:pPr>
      <w:hyperlink w:anchor="_Toc300000342" w:history="1">
        <w:r>
          <w:t>Article 12.A.4: Enhancing Regulatory Compatibility</w:t>
        </w:r>
        <w:r>
          <w:tab/>
        </w:r>
        <w:r>
          <w:t>863</w:t>
        </w:r>
      </w:hyperlink>
    </w:p>
    <w:p>
      <w:pPr>
        <w:pStyle w:val="TOC2"/>
      </w:pPr>
      <w:hyperlink w:anchor="_Toc300000343" w:history="1">
        <w:r>
          <w:t>Article 12.A.5: Data and Information Exchange</w:t>
        </w:r>
        <w:r>
          <w:tab/>
        </w:r>
        <w:r>
          <w:t>864</w:t>
        </w:r>
      </w:hyperlink>
    </w:p>
    <w:p>
      <w:pPr>
        <w:pStyle w:val="TOC2"/>
      </w:pPr>
      <w:hyperlink w:anchor="_Toc300000344" w:history="1">
        <w:r>
          <w:t>ANNEX 12-B COSMETIC PRODUCTS</w:t>
        </w:r>
        <w:r>
          <w:tab/>
        </w:r>
        <w:r>
          <w:t>865</w:t>
        </w:r>
      </w:hyperlink>
    </w:p>
    <w:p>
      <w:pPr>
        <w:pStyle w:val="TOC2"/>
      </w:pPr>
      <w:hyperlink w:anchor="_Toc300000345" w:history="1">
        <w:r>
          <w:t>Article 12.B.1: Definitions</w:t>
        </w:r>
        <w:r>
          <w:tab/>
        </w:r>
        <w:r>
          <w:t>865</w:t>
        </w:r>
      </w:hyperlink>
    </w:p>
    <w:p>
      <w:pPr>
        <w:pStyle w:val="TOC2"/>
      </w:pPr>
      <w:hyperlink w:anchor="_Toc300000346" w:history="1">
        <w:r>
          <w:t>Article 12.B.2: Scope</w:t>
        </w:r>
        <w:r>
          <w:tab/>
        </w:r>
        <w:r>
          <w:t>865</w:t>
        </w:r>
      </w:hyperlink>
    </w:p>
    <w:p>
      <w:pPr>
        <w:pStyle w:val="TOC2"/>
      </w:pPr>
      <w:hyperlink w:anchor="_Toc300000347" w:history="1">
        <w:r>
          <w:t>Article 12.B.3: Competent Authorities</w:t>
        </w:r>
        <w:r>
          <w:tab/>
        </w:r>
        <w:r>
          <w:t>865</w:t>
        </w:r>
      </w:hyperlink>
    </w:p>
    <w:p>
      <w:pPr>
        <w:pStyle w:val="TOC2"/>
      </w:pPr>
      <w:hyperlink w:anchor="_Toc300000348" w:history="1">
        <w:r>
          <w:t>Article 12.B.4: Enhancing Regulatory Compatibility</w:t>
        </w:r>
        <w:r>
          <w:tab/>
        </w:r>
        <w:r>
          <w:t>866</w:t>
        </w:r>
      </w:hyperlink>
    </w:p>
    <w:p>
      <w:pPr>
        <w:pStyle w:val="TOC2"/>
      </w:pPr>
      <w:hyperlink w:anchor="_Toc300000349" w:history="1">
        <w:r>
          <w:t>Article 12.B.5: Application of Regulatory Controls</w:t>
        </w:r>
        <w:r>
          <w:tab/>
        </w:r>
        <w:r>
          <w:t>866</w:t>
        </w:r>
      </w:hyperlink>
    </w:p>
    <w:p>
      <w:pPr>
        <w:pStyle w:val="TOC2"/>
      </w:pPr>
      <w:hyperlink w:anchor="_Toc300000350" w:history="1">
        <w:r>
          <w:t>Article 12.B.6: Labeling</w:t>
        </w:r>
        <w:r>
          <w:tab/>
        </w:r>
        <w:r>
          <w:t>867</w:t>
        </w:r>
      </w:hyperlink>
    </w:p>
    <w:p>
      <w:pPr>
        <w:pStyle w:val="TOC2"/>
      </w:pPr>
      <w:hyperlink w:anchor="_Toc300000351" w:history="1">
        <w:r>
          <w:t>APPENDIX 1 ENHANCING REGULATORY COMPATIBILITY FOR PRODUCTS RECOGNIZED AS BEING AT THE INTERFACE OF COSMETICS AND DRUGS</w:t>
        </w:r>
        <w:r>
          <w:tab/>
        </w:r>
        <w:r>
          <w:t>867</w:t>
        </w:r>
      </w:hyperlink>
    </w:p>
    <w:p>
      <w:pPr>
        <w:pStyle w:val="TOC2"/>
      </w:pPr>
      <w:hyperlink w:anchor="_Toc300000352" w:history="1">
        <w:r>
          <w:t>ANNEX 12-C INFORMATION AND COMMUNICATION TECHNOLOGY</w:t>
        </w:r>
        <w:r>
          <w:tab/>
        </w:r>
        <w:r>
          <w:t>867</w:t>
        </w:r>
      </w:hyperlink>
    </w:p>
    <w:p>
      <w:pPr>
        <w:pStyle w:val="TOC2"/>
      </w:pPr>
      <w:hyperlink w:anchor="_Toc300000353" w:history="1">
        <w:r>
          <w:t>Article 12.C.2: ICT Goods that Use Cryptography</w:t>
        </w:r>
        <w:r>
          <w:tab/>
        </w:r>
        <w:r>
          <w:t>868</w:t>
        </w:r>
      </w:hyperlink>
    </w:p>
    <w:p>
      <w:pPr>
        <w:pStyle w:val="TOC2"/>
      </w:pPr>
      <w:hyperlink w:anchor="_Toc300000354" w:history="1">
        <w:r>
          <w:t>Article 12.C.3: Electromagnetic Compatibility of ITE Products</w:t>
        </w:r>
        <w:r>
          <w:tab/>
        </w:r>
        <w:r>
          <w:t>869</w:t>
        </w:r>
      </w:hyperlink>
    </w:p>
    <w:p>
      <w:pPr>
        <w:pStyle w:val="TOC2"/>
      </w:pPr>
      <w:hyperlink w:anchor="_Toc300000355" w:history="1">
        <w:r>
          <w:t>Article 12.C.4: Regional Cooperation Activities on Telecommunications Equipment</w:t>
        </w:r>
        <w:r>
          <w:tab/>
        </w:r>
        <w:r>
          <w:t>869</w:t>
        </w:r>
      </w:hyperlink>
    </w:p>
    <w:p>
      <w:pPr>
        <w:pStyle w:val="TOC2"/>
      </w:pPr>
      <w:hyperlink w:anchor="_Toc300000356" w:history="1">
        <w:r>
          <w:t>Article 12.C.5: Terminal Equipment</w:t>
        </w:r>
        <w:r>
          <w:tab/>
        </w:r>
        <w:r>
          <w:t>870</w:t>
        </w:r>
      </w:hyperlink>
    </w:p>
    <w:p>
      <w:pPr>
        <w:pStyle w:val="TOC2"/>
      </w:pPr>
      <w:hyperlink w:anchor="_Toc300000357" w:history="1">
        <w:r>
          <w:t>ANNEX 12-D ENERGY PERFORMANCE STANDARDS</w:t>
        </w:r>
        <w:r>
          <w:tab/>
        </w:r>
        <w:r>
          <w:t>871</w:t>
        </w:r>
      </w:hyperlink>
    </w:p>
    <w:p>
      <w:pPr>
        <w:pStyle w:val="TOC2"/>
      </w:pPr>
      <w:hyperlink w:anchor="_Toc300000358" w:history="1">
        <w:r>
          <w:t>Article 12.D.1: Definitions</w:t>
        </w:r>
        <w:r>
          <w:tab/>
        </w:r>
        <w:r>
          <w:t>871</w:t>
        </w:r>
      </w:hyperlink>
    </w:p>
    <w:p>
      <w:pPr>
        <w:pStyle w:val="TOC2"/>
      </w:pPr>
      <w:hyperlink w:anchor="_Toc300000359" w:history="1">
        <w:r>
          <w:t>Article 12.D.2: Scope</w:t>
        </w:r>
        <w:r>
          <w:tab/>
        </w:r>
        <w:r>
          <w:t>871</w:t>
        </w:r>
      </w:hyperlink>
    </w:p>
    <w:p>
      <w:pPr>
        <w:pStyle w:val="TOC2"/>
      </w:pPr>
      <w:hyperlink w:anchor="_Toc300000360" w:history="1">
        <w:r>
          <w:t>Article 12.D.3: Competent Authorities</w:t>
        </w:r>
        <w:r>
          <w:tab/>
        </w:r>
        <w:r>
          <w:t>871</w:t>
        </w:r>
      </w:hyperlink>
    </w:p>
    <w:p>
      <w:pPr>
        <w:pStyle w:val="TOC2"/>
      </w:pPr>
      <w:hyperlink w:anchor="_Toc300000361" w:history="1">
        <w:r>
          <w:t>Article 12.D.4: Enhancing Regulatory Compatibility</w:t>
        </w:r>
        <w:r>
          <w:tab/>
        </w:r>
        <w:r>
          <w:t>871</w:t>
        </w:r>
      </w:hyperlink>
    </w:p>
    <w:p>
      <w:pPr>
        <w:pStyle w:val="TOC2"/>
      </w:pPr>
      <w:hyperlink w:anchor="_Toc300000362" w:history="1">
        <w:r>
          <w:t>Article 12.D.5: Voluntary Approaches to Promote Energy Efficiency</w:t>
        </w:r>
        <w:r>
          <w:tab/>
        </w:r>
        <w:r>
          <w:t>872</w:t>
        </w:r>
      </w:hyperlink>
    </w:p>
    <w:p>
      <w:pPr>
        <w:pStyle w:val="TOC2"/>
      </w:pPr>
      <w:hyperlink w:anchor="_Toc300000363" w:history="1">
        <w:r>
          <w:t>ANNEX 12-E MEDICAL DEVICES</w:t>
        </w:r>
        <w:r>
          <w:tab/>
        </w:r>
        <w:r>
          <w:t>872</w:t>
        </w:r>
      </w:hyperlink>
    </w:p>
    <w:p>
      <w:pPr>
        <w:pStyle w:val="TOC2"/>
      </w:pPr>
      <w:hyperlink w:anchor="_Toc300000364" w:history="1">
        <w:r>
          <w:t>Article 12.E.1: Definitions</w:t>
        </w:r>
        <w:r>
          <w:tab/>
        </w:r>
        <w:r>
          <w:t>872</w:t>
        </w:r>
      </w:hyperlink>
    </w:p>
    <w:p>
      <w:pPr>
        <w:pStyle w:val="TOC2"/>
      </w:pPr>
      <w:hyperlink w:anchor="_Toc300000365" w:history="1">
        <w:r>
          <w:t>Article 12.E.3: Competent Authorities</w:t>
        </w:r>
        <w:r>
          <w:tab/>
        </w:r>
        <w:r>
          <w:t>872</w:t>
        </w:r>
      </w:hyperlink>
    </w:p>
    <w:p>
      <w:pPr>
        <w:pStyle w:val="TOC2"/>
      </w:pPr>
      <w:hyperlink w:anchor="_Toc300000366" w:history="1">
        <w:r>
          <w:t>Article 12.E.4: Enhancing Regulatory Compatibility</w:t>
        </w:r>
        <w:r>
          <w:tab/>
        </w:r>
        <w:r>
          <w:t>873</w:t>
        </w:r>
      </w:hyperlink>
    </w:p>
    <w:p>
      <w:pPr>
        <w:pStyle w:val="TOC2"/>
      </w:pPr>
      <w:hyperlink w:anchor="_Toc300000367" w:history="1">
        <w:r>
          <w:t>Article 12.E.5: Application of Regulatory Controls</w:t>
        </w:r>
        <w:r>
          <w:tab/>
        </w:r>
        <w:r>
          <w:t>873</w:t>
        </w:r>
      </w:hyperlink>
    </w:p>
    <w:p>
      <w:pPr>
        <w:pStyle w:val="TOC2"/>
      </w:pPr>
      <w:hyperlink w:anchor="_Toc300000368" w:history="1">
        <w:r>
          <w:t>ANNEX 12-F PHARMACEUTICALS</w:t>
        </w:r>
        <w:r>
          <w:tab/>
        </w:r>
        <w:r>
          <w:t>874</w:t>
        </w:r>
      </w:hyperlink>
    </w:p>
    <w:p>
      <w:pPr>
        <w:pStyle w:val="TOC2"/>
      </w:pPr>
      <w:hyperlink w:anchor="_Toc300000369" w:history="1">
        <w:r>
          <w:t>Article 12.F.1: Definitions</w:t>
        </w:r>
        <w:r>
          <w:tab/>
        </w:r>
        <w:r>
          <w:t>874</w:t>
        </w:r>
      </w:hyperlink>
    </w:p>
    <w:p>
      <w:pPr>
        <w:pStyle w:val="TOC2"/>
      </w:pPr>
      <w:hyperlink w:anchor="_Toc300000370" w:history="1">
        <w:r>
          <w:t>Article 12.F.2: Scope</w:t>
        </w:r>
        <w:r>
          <w:tab/>
        </w:r>
        <w:r>
          <w:t>874</w:t>
        </w:r>
      </w:hyperlink>
    </w:p>
    <w:p>
      <w:pPr>
        <w:pStyle w:val="TOC2"/>
      </w:pPr>
      <w:hyperlink w:anchor="_Toc300000371" w:history="1">
        <w:r>
          <w:t>Article 12.F.3: Competent Authorities</w:t>
        </w:r>
        <w:r>
          <w:tab/>
        </w:r>
        <w:r>
          <w:t>875</w:t>
        </w:r>
      </w:hyperlink>
    </w:p>
    <w:p>
      <w:pPr>
        <w:pStyle w:val="TOC2"/>
      </w:pPr>
      <w:hyperlink w:anchor="_Toc300000372" w:history="1">
        <w:r>
          <w:t>Article 12.F.4: Enhancing Regulatory Compatibility</w:t>
        </w:r>
        <w:r>
          <w:tab/>
        </w:r>
        <w:r>
          <w:t>875</w:t>
        </w:r>
      </w:hyperlink>
    </w:p>
    <w:p>
      <w:pPr>
        <w:pStyle w:val="TOC2"/>
      </w:pPr>
      <w:hyperlink w:anchor="_Toc300000373" w:history="1">
        <w:r>
          <w:t>Article 12.F.5: Application of Regulatory Controls</w:t>
        </w:r>
        <w:r>
          <w:tab/>
        </w:r>
        <w:r>
          <w:t>875</w:t>
        </w:r>
      </w:hyperlink>
    </w:p>
    <w:p>
      <w:pPr>
        <w:pStyle w:val="TOC2"/>
      </w:pPr>
      <w:hyperlink w:anchor="_Toc300000374" w:history="1">
        <w:r>
          <w:t>Article 12.F.6: Marketing Authorizations</w:t>
        </w:r>
        <w:r>
          <w:tab/>
        </w:r>
        <w:r>
          <w:t>876</w:t>
        </w:r>
      </w:hyperlink>
    </w:p>
    <w:p>
      <w:pPr>
        <w:pStyle w:val="TOC2"/>
      </w:pPr>
      <w:hyperlink w:anchor="_Toc300000375" w:history="1">
        <w:r>
          <w:t>CHAPTER 12: CUSMA 2.0 AVIATION CERTIFICATION MODERNIZATION</w:t>
        </w:r>
        <w:r>
          <w:tab/>
        </w:r>
        <w:r>
          <w:t>878</w:t>
        </w:r>
      </w:hyperlink>
    </w:p>
    <w:p>
      <w:pPr>
        <w:pStyle w:val="TOC2"/>
      </w:pPr>
      <w:hyperlink w:anchor="_Toc300000376" w:history="1">
        <w:r>
          <w:t>ANNEX 12-G: NORTH AMERICAN AVIATION CERTIFICATION FAST LANE</w:t>
        </w:r>
        <w:r>
          <w:tab/>
        </w:r>
        <w:r>
          <w:t>878</w:t>
        </w:r>
      </w:hyperlink>
    </w:p>
    <w:p>
      <w:pPr>
        <w:pStyle w:val="TOC2"/>
      </w:pPr>
      <w:hyperlink w:anchor="_Toc300000377" w:history="1">
        <w:r>
          <w:t>Article 12.G.1: Purpose and Scope</w:t>
        </w:r>
        <w:r>
          <w:tab/>
        </w:r>
        <w:r>
          <w:t>878</w:t>
        </w:r>
      </w:hyperlink>
    </w:p>
    <w:p>
      <w:pPr>
        <w:pStyle w:val="TOC2"/>
      </w:pPr>
      <w:hyperlink w:anchor="_Toc300000378" w:history="1">
        <w:r>
          <w:t>Article 12.G.2: Sovereign Safety Authority and Safety Firewall</w:t>
        </w:r>
        <w:r>
          <w:tab/>
        </w:r>
        <w:r>
          <w:t>879</w:t>
        </w:r>
      </w:hyperlink>
    </w:p>
    <w:p>
      <w:pPr>
        <w:pStyle w:val="TOC2"/>
      </w:pPr>
      <w:hyperlink w:anchor="_Toc300000379" w:history="1">
        <w:r>
          <w:t>Article 12.G.3: Concurrent and Coordinated Review</w:t>
        </w:r>
        <w:r>
          <w:tab/>
        </w:r>
        <w:r>
          <w:t>879</w:t>
        </w:r>
      </w:hyperlink>
    </w:p>
    <w:p>
      <w:pPr>
        <w:pStyle w:val="TOC2"/>
      </w:pPr>
      <w:hyperlink w:anchor="_Toc300000380" w:history="1">
        <w:r>
          <w:t>Article 12.G.4: Maximum Lawful Reliance and Avoidance of Duplicative Testing</w:t>
        </w:r>
        <w:r>
          <w:tab/>
        </w:r>
        <w:r>
          <w:t>879</w:t>
        </w:r>
      </w:hyperlink>
    </w:p>
    <w:p>
      <w:pPr>
        <w:pStyle w:val="TOC2"/>
      </w:pPr>
      <w:hyperlink w:anchor="_Toc300000381" w:history="1">
        <w:r>
          <w:t>Article 12.G.5: Published Response Clocks and Complete-Application Discipline</w:t>
        </w:r>
        <w:r>
          <w:tab/>
        </w:r>
        <w:r>
          <w:t>880</w:t>
        </w:r>
      </w:hyperlink>
    </w:p>
    <w:p>
      <w:pPr>
        <w:pStyle w:val="TOC2"/>
      </w:pPr>
      <w:hyperlink w:anchor="_Toc300000382" w:history="1">
        <w:r>
          <w:t>Article 12.G.6: Non-Discrimination and No Politically Motivated Certification Delay</w:t>
        </w:r>
        <w:r>
          <w:tab/>
        </w:r>
        <w:r>
          <w:t>881</w:t>
        </w:r>
      </w:hyperlink>
    </w:p>
    <w:p>
      <w:pPr>
        <w:pStyle w:val="TOC2"/>
      </w:pPr>
      <w:hyperlink w:anchor="_Toc300000383" w:history="1">
        <w:r>
          <w:t>Article 12.G.7: Delay Escalation, Technical Review, and Institutional Boundary</w:t>
        </w:r>
        <w:r>
          <w:tab/>
        </w:r>
        <w:r>
          <w:t>881</w:t>
        </w:r>
      </w:hyperlink>
    </w:p>
    <w:p>
      <w:pPr>
        <w:pStyle w:val="TOC2"/>
      </w:pPr>
      <w:hyperlink w:anchor="_Toc300000384" w:history="1">
        <w:r>
          <w:t>Article 12.G.8: North American Joint Certification Pathway and Continuous Improvement</w:t>
        </w:r>
        <w:r>
          <w:tab/>
        </w:r>
        <w:r>
          <w:t>885</w:t>
        </w:r>
      </w:hyperlink>
    </w:p>
    <w:p>
      <w:pPr>
        <w:pStyle w:val="TOC1"/>
      </w:pPr>
      <w:hyperlink w:anchor="_Toc300000385" w:history="1">
        <w:r>
          <w:t>CHAPTER 13 GOVERNMENT PROCUREMENT</w:t>
        </w:r>
        <w:r>
          <w:tab/>
        </w:r>
        <w:r>
          <w:t>886</w:t>
        </w:r>
      </w:hyperlink>
    </w:p>
    <w:p>
      <w:pPr>
        <w:pStyle w:val="TOC2"/>
      </w:pPr>
      <w:hyperlink w:anchor="_Toc300000386" w:history="1">
        <w:r>
          <w:t>Article 13.2: Scope</w:t>
        </w:r>
        <w:r>
          <w:tab/>
        </w:r>
        <w:r>
          <w:t>887</w:t>
        </w:r>
      </w:hyperlink>
    </w:p>
    <w:p>
      <w:pPr>
        <w:pStyle w:val="TOC2"/>
      </w:pPr>
      <w:hyperlink w:anchor="_Toc300000387" w:history="1">
        <w:r>
          <w:t>Article 13.3: Exceptions</w:t>
        </w:r>
        <w:r>
          <w:tab/>
        </w:r>
        <w:r>
          <w:t>887</w:t>
        </w:r>
      </w:hyperlink>
    </w:p>
    <w:p>
      <w:pPr>
        <w:pStyle w:val="TOC2"/>
      </w:pPr>
      <w:hyperlink w:anchor="_Toc300000388" w:history="1">
        <w:r>
          <w:t>Article 13.4: General Principles</w:t>
        </w:r>
        <w:r>
          <w:tab/>
        </w:r>
        <w:r>
          <w:t>887</w:t>
        </w:r>
      </w:hyperlink>
    </w:p>
    <w:p>
      <w:pPr>
        <w:pStyle w:val="TOC2"/>
      </w:pPr>
      <w:hyperlink w:anchor="_Toc300000389" w:history="1">
        <w:r>
          <w:t>Article 13.5: Publication of Procurement Information</w:t>
        </w:r>
        <w:r>
          <w:tab/>
        </w:r>
        <w:r>
          <w:t>888</w:t>
        </w:r>
      </w:hyperlink>
    </w:p>
    <w:p>
      <w:pPr>
        <w:pStyle w:val="TOC2"/>
      </w:pPr>
      <w:hyperlink w:anchor="_Toc300000390" w:history="1">
        <w:r>
          <w:t>Article 13.6: Notices of Intended Procurement</w:t>
        </w:r>
        <w:r>
          <w:tab/>
        </w:r>
        <w:r>
          <w:t>888</w:t>
        </w:r>
      </w:hyperlink>
    </w:p>
    <w:p>
      <w:pPr>
        <w:pStyle w:val="TOC2"/>
      </w:pPr>
      <w:hyperlink w:anchor="_Toc300000391" w:history="1">
        <w:r>
          <w:t>Article 13.7: Conditions for Participation</w:t>
        </w:r>
        <w:r>
          <w:tab/>
        </w:r>
        <w:r>
          <w:t>890</w:t>
        </w:r>
      </w:hyperlink>
    </w:p>
    <w:p>
      <w:pPr>
        <w:pStyle w:val="TOC2"/>
      </w:pPr>
      <w:hyperlink w:anchor="_Toc300000392" w:history="1">
        <w:r>
          <w:t>Article 13.8: Qualification of Suppliers</w:t>
        </w:r>
        <w:r>
          <w:tab/>
        </w:r>
        <w:r>
          <w:t>890</w:t>
        </w:r>
      </w:hyperlink>
    </w:p>
    <w:p>
      <w:pPr>
        <w:pStyle w:val="TOC2"/>
      </w:pPr>
      <w:hyperlink w:anchor="_Toc300000393" w:history="1">
        <w:r>
          <w:t>Article 13.9: Limited Tendering</w:t>
        </w:r>
        <w:r>
          <w:tab/>
        </w:r>
        <w:r>
          <w:t>892</w:t>
        </w:r>
      </w:hyperlink>
    </w:p>
    <w:p>
      <w:pPr>
        <w:pStyle w:val="TOC2"/>
      </w:pPr>
      <w:hyperlink w:anchor="_Toc300000394" w:history="1">
        <w:r>
          <w:t>Article 13.10: Negotiations</w:t>
        </w:r>
        <w:r>
          <w:tab/>
        </w:r>
        <w:r>
          <w:t>892</w:t>
        </w:r>
      </w:hyperlink>
    </w:p>
    <w:p>
      <w:pPr>
        <w:pStyle w:val="TOC2"/>
      </w:pPr>
      <w:hyperlink w:anchor="_Toc300000395" w:history="1">
        <w:r>
          <w:t>Article 13.11: Technical Specifications</w:t>
        </w:r>
        <w:r>
          <w:tab/>
        </w:r>
        <w:r>
          <w:t>892</w:t>
        </w:r>
      </w:hyperlink>
    </w:p>
    <w:p>
      <w:pPr>
        <w:pStyle w:val="TOC2"/>
      </w:pPr>
      <w:hyperlink w:anchor="_Toc300000396" w:history="1">
        <w:r>
          <w:t>Article 13.12: Tender Documentation</w:t>
        </w:r>
        <w:r>
          <w:tab/>
        </w:r>
        <w:r>
          <w:t>892</w:t>
        </w:r>
      </w:hyperlink>
    </w:p>
    <w:p>
      <w:pPr>
        <w:pStyle w:val="TOC2"/>
      </w:pPr>
      <w:hyperlink w:anchor="_Toc300000397" w:history="1">
        <w:r>
          <w:t>Article 13.13: Time Periods</w:t>
        </w:r>
        <w:r>
          <w:tab/>
        </w:r>
        <w:r>
          <w:t>892</w:t>
        </w:r>
      </w:hyperlink>
    </w:p>
    <w:p>
      <w:pPr>
        <w:pStyle w:val="TOC2"/>
      </w:pPr>
      <w:hyperlink w:anchor="_Toc300000398" w:history="1">
        <w:r>
          <w:t>Article 13.14: Treatment of Tenders and Awarding of Contracts</w:t>
        </w:r>
        <w:r>
          <w:tab/>
        </w:r>
        <w:r>
          <w:t>892</w:t>
        </w:r>
      </w:hyperlink>
    </w:p>
    <w:p>
      <w:pPr>
        <w:pStyle w:val="TOC2"/>
      </w:pPr>
      <w:hyperlink w:anchor="_Toc300000399" w:history="1">
        <w:r>
          <w:t>Article 13.15: Transparency and Post-Award Information</w:t>
        </w:r>
        <w:r>
          <w:tab/>
        </w:r>
        <w:r>
          <w:t>896</w:t>
        </w:r>
      </w:hyperlink>
    </w:p>
    <w:p>
      <w:pPr>
        <w:pStyle w:val="TOC2"/>
      </w:pPr>
      <w:hyperlink w:anchor="_Toc300000400" w:history="1">
        <w:r>
          <w:t>Article 13.16: Disclosure of Information</w:t>
        </w:r>
        <w:r>
          <w:tab/>
        </w:r>
        <w:r>
          <w:t>896</w:t>
        </w:r>
      </w:hyperlink>
    </w:p>
    <w:p>
      <w:pPr>
        <w:pStyle w:val="TOC2"/>
      </w:pPr>
      <w:hyperlink w:anchor="_Toc300000401" w:history="1">
        <w:r>
          <w:t>Article 13.17: Ensuring Integrity in Procurement Practices</w:t>
        </w:r>
        <w:r>
          <w:tab/>
        </w:r>
        <w:r>
          <w:t>897</w:t>
        </w:r>
      </w:hyperlink>
    </w:p>
    <w:p>
      <w:pPr>
        <w:pStyle w:val="TOC2"/>
      </w:pPr>
      <w:hyperlink w:anchor="_Toc300000402" w:history="1">
        <w:r>
          <w:t>Article 13.18: Domestic Review</w:t>
        </w:r>
        <w:r>
          <w:tab/>
        </w:r>
        <w:r>
          <w:t>898</w:t>
        </w:r>
      </w:hyperlink>
    </w:p>
    <w:p>
      <w:pPr>
        <w:pStyle w:val="TOC2"/>
      </w:pPr>
      <w:hyperlink w:anchor="_Toc300000403" w:history="1">
        <w:r>
          <w:t>Article 13.19: Modifications and Rectifications of Annex</w:t>
        </w:r>
        <w:r>
          <w:tab/>
        </w:r>
        <w:r>
          <w:t>899</w:t>
        </w:r>
      </w:hyperlink>
    </w:p>
    <w:p>
      <w:pPr>
        <w:pStyle w:val="TOC2"/>
      </w:pPr>
      <w:hyperlink w:anchor="_Toc300000404" w:history="1">
        <w:r>
          <w:t>Article 13.20: Facilitation of Participation by SMEs</w:t>
        </w:r>
        <w:r>
          <w:tab/>
        </w:r>
        <w:r>
          <w:t>899</w:t>
        </w:r>
      </w:hyperlink>
    </w:p>
    <w:p>
      <w:pPr>
        <w:pStyle w:val="TOC2"/>
      </w:pPr>
      <w:hyperlink w:anchor="_Toc300000405" w:history="1">
        <w:r>
          <w:t>Article 13.21: Committee on Government Procurement</w:t>
        </w:r>
        <w:r>
          <w:tab/>
        </w:r>
        <w:r>
          <w:t>900</w:t>
        </w:r>
      </w:hyperlink>
    </w:p>
    <w:p>
      <w:pPr>
        <w:pStyle w:val="TOC2"/>
      </w:pPr>
      <w:hyperlink w:anchor="_Toc300000406" w:history="1">
        <w:r>
          <w:t>ANNEX 13-A SCHEDULE OF MEXICO</w:t>
        </w:r>
        <w:r>
          <w:tab/>
        </w:r>
        <w:r>
          <w:t>900</w:t>
        </w:r>
      </w:hyperlink>
    </w:p>
    <w:p>
      <w:pPr>
        <w:pStyle w:val="TOC2"/>
      </w:pPr>
      <w:hyperlink w:anchor="_Toc300000407" w:history="1">
        <w:r>
          <w:t>Appendix 13-D-1: Common Classification System Services</w:t>
        </w:r>
        <w:r>
          <w:tab/>
        </w:r>
        <w:r>
          <w:t>904</w:t>
        </w:r>
      </w:hyperlink>
    </w:p>
    <w:p>
      <w:pPr>
        <w:pStyle w:val="TOC1"/>
      </w:pPr>
      <w:hyperlink w:anchor="_Toc300000408" w:history="1">
        <w:r>
          <w:t>CHAPTER 14 INVESTMENT</w:t>
        </w:r>
        <w:r>
          <w:tab/>
        </w:r>
        <w:r>
          <w:t>917</w:t>
        </w:r>
      </w:hyperlink>
    </w:p>
    <w:p>
      <w:pPr>
        <w:pStyle w:val="TOC2"/>
      </w:pPr>
      <w:hyperlink w:anchor="_Toc300000409" w:history="1">
        <w:r>
          <w:t>Article 14.1: Definitions</w:t>
        </w:r>
        <w:r>
          <w:tab/>
        </w:r>
        <w:r>
          <w:t>917</w:t>
        </w:r>
      </w:hyperlink>
    </w:p>
    <w:p>
      <w:pPr>
        <w:pStyle w:val="TOC2"/>
      </w:pPr>
      <w:hyperlink w:anchor="_Toc300000410" w:history="1">
        <w:r>
          <w:t>Article 14.2: Scope</w:t>
        </w:r>
        <w:r>
          <w:tab/>
        </w:r>
        <w:r>
          <w:t>918</w:t>
        </w:r>
      </w:hyperlink>
    </w:p>
    <w:p>
      <w:pPr>
        <w:pStyle w:val="TOC2"/>
      </w:pPr>
      <w:hyperlink w:anchor="_Toc300000411" w:history="1">
        <w:r>
          <w:t>Article 14.3: Relation to Other Chapters</w:t>
        </w:r>
        <w:r>
          <w:tab/>
        </w:r>
        <w:r>
          <w:t>918</w:t>
        </w:r>
      </w:hyperlink>
    </w:p>
    <w:p>
      <w:pPr>
        <w:pStyle w:val="TOC2"/>
      </w:pPr>
      <w:hyperlink w:anchor="_Toc300000412" w:history="1">
        <w:r>
          <w:t>Article 14.4: National Treatment</w:t>
        </w:r>
        <w:r>
          <w:tab/>
        </w:r>
        <w:r>
          <w:t>919</w:t>
        </w:r>
      </w:hyperlink>
    </w:p>
    <w:p>
      <w:pPr>
        <w:pStyle w:val="TOC2"/>
      </w:pPr>
      <w:hyperlink w:anchor="_Toc300000413" w:history="1">
        <w:r>
          <w:t>Article 14.5: Most-Favored-Nation Treatment</w:t>
        </w:r>
        <w:r>
          <w:tab/>
        </w:r>
        <w:r>
          <w:t>919</w:t>
        </w:r>
      </w:hyperlink>
    </w:p>
    <w:p>
      <w:pPr>
        <w:pStyle w:val="TOC2"/>
      </w:pPr>
      <w:hyperlink w:anchor="_Toc300000414" w:history="1">
        <w:r>
          <w:t xml:space="preserve">Article 14.6: Minimum Standard of Treatment</w:t>
        </w:r>
        <w:r>
          <w:rPr>
            <w:vertAlign w:val="superscript"/>
          </w:rPr>
          <w:t xml:space="preserve">6</w:t>
        </w:r>
        <w:r>
          <w:tab/>
        </w:r>
        <w:r>
          <w:t>920</w:t>
        </w:r>
      </w:hyperlink>
    </w:p>
    <w:p>
      <w:pPr>
        <w:pStyle w:val="TOC2"/>
      </w:pPr>
      <w:hyperlink w:anchor="_Toc300000415" w:history="1">
        <w:r>
          <w:t>Article 14.7: Treatment in Case of Armed Conflict or Civil Strife</w:t>
        </w:r>
        <w:r>
          <w:tab/>
        </w:r>
        <w:r>
          <w:t>920</w:t>
        </w:r>
      </w:hyperlink>
    </w:p>
    <w:p>
      <w:pPr>
        <w:pStyle w:val="TOC2"/>
      </w:pPr>
      <w:hyperlink w:anchor="_Toc300000416" w:history="1">
        <w:r>
          <w:t xml:space="preserve">Article 14.8: Expropriation and Compensation</w:t>
        </w:r>
        <w:r>
          <w:rPr>
            <w:vertAlign w:val="superscript"/>
          </w:rPr>
          <w:t xml:space="preserve">7</w:t>
        </w:r>
        <w:r>
          <w:tab/>
        </w:r>
        <w:r>
          <w:t>921</w:t>
        </w:r>
      </w:hyperlink>
    </w:p>
    <w:p>
      <w:pPr>
        <w:pStyle w:val="TOC2"/>
      </w:pPr>
      <w:hyperlink w:anchor="_Toc300000417" w:history="1">
        <w:r>
          <w:t>Article 14.9: Transfers</w:t>
        </w:r>
        <w:r>
          <w:tab/>
        </w:r>
        <w:r>
          <w:t>921</w:t>
        </w:r>
      </w:hyperlink>
    </w:p>
    <w:p>
      <w:pPr>
        <w:pStyle w:val="TOC2"/>
      </w:pPr>
      <w:hyperlink w:anchor="_Toc300000418" w:history="1">
        <w:r>
          <w:t>Article 14.10: Performance Requirements</w:t>
        </w:r>
        <w:r>
          <w:tab/>
        </w:r>
        <w:r>
          <w:t>921</w:t>
        </w:r>
      </w:hyperlink>
    </w:p>
    <w:p>
      <w:pPr>
        <w:pStyle w:val="TOC2"/>
      </w:pPr>
      <w:hyperlink w:anchor="_Toc300000419" w:history="1">
        <w:r>
          <w:t>Article 14.11: Senior Management and Boards of Directors</w:t>
        </w:r>
        <w:r>
          <w:tab/>
        </w:r>
        <w:r>
          <w:t>924</w:t>
        </w:r>
      </w:hyperlink>
    </w:p>
    <w:p>
      <w:pPr>
        <w:pStyle w:val="TOC2"/>
      </w:pPr>
      <w:hyperlink w:anchor="_Toc300000420" w:history="1">
        <w:r>
          <w:t>Article 14.12: Non-Conforming Measures</w:t>
        </w:r>
        <w:r>
          <w:tab/>
        </w:r>
        <w:r>
          <w:t>924</w:t>
        </w:r>
      </w:hyperlink>
    </w:p>
    <w:p>
      <w:pPr>
        <w:pStyle w:val="TOC2"/>
      </w:pPr>
      <w:hyperlink w:anchor="_Toc300000421" w:history="1">
        <w:r>
          <w:t>Article 14.13: Special Formalities and Information Requirements</w:t>
        </w:r>
        <w:r>
          <w:tab/>
        </w:r>
        <w:r>
          <w:t>925</w:t>
        </w:r>
      </w:hyperlink>
    </w:p>
    <w:p>
      <w:pPr>
        <w:pStyle w:val="TOC2"/>
      </w:pPr>
      <w:hyperlink w:anchor="_Toc300000422" w:history="1">
        <w:r>
          <w:t>Article 14.14: Denial of Benefits</w:t>
        </w:r>
        <w:r>
          <w:tab/>
        </w:r>
        <w:r>
          <w:t>925</w:t>
        </w:r>
      </w:hyperlink>
    </w:p>
    <w:p>
      <w:pPr>
        <w:pStyle w:val="TOC2"/>
      </w:pPr>
      <w:hyperlink w:anchor="_Toc300000423" w:history="1">
        <w:r>
          <w:t>Article 14.15: Subrogation</w:t>
        </w:r>
        <w:r>
          <w:tab/>
        </w:r>
        <w:r>
          <w:t>925</w:t>
        </w:r>
      </w:hyperlink>
    </w:p>
    <w:p>
      <w:pPr>
        <w:pStyle w:val="TOC2"/>
      </w:pPr>
      <w:hyperlink w:anchor="_Toc300000424" w:history="1">
        <w:r>
          <w:t>Article 14.16: Investment and Environmental, Health, Safety, and other Regulatory Objectives</w:t>
        </w:r>
        <w:r>
          <w:tab/>
        </w:r>
        <w:r>
          <w:t>926</w:t>
        </w:r>
      </w:hyperlink>
    </w:p>
    <w:p>
      <w:pPr>
        <w:pStyle w:val="TOC2"/>
      </w:pPr>
      <w:hyperlink w:anchor="_Toc300000425" w:history="1">
        <w:r>
          <w:t>Article 14.17: Corporate Social Responsibility</w:t>
        </w:r>
        <w:r>
          <w:tab/>
        </w:r>
        <w:r>
          <w:t>926</w:t>
        </w:r>
      </w:hyperlink>
    </w:p>
    <w:p>
      <w:pPr>
        <w:pStyle w:val="TOC2"/>
      </w:pPr>
      <w:hyperlink w:anchor="_Toc300000426" w:history="1">
        <w:r>
          <w:t>ANNEX 14-A CUSTOMARY INTERNATIONAL LAW</w:t>
        </w:r>
        <w:r>
          <w:tab/>
        </w:r>
        <w:r>
          <w:t>926</w:t>
        </w:r>
      </w:hyperlink>
    </w:p>
    <w:p>
      <w:pPr>
        <w:pStyle w:val="TOC2"/>
      </w:pPr>
      <w:hyperlink w:anchor="_Toc300000427" w:history="1">
        <w:r>
          <w:t>ANNEX 14-B EXPROPRIATION</w:t>
        </w:r>
        <w:r>
          <w:tab/>
        </w:r>
        <w:r>
          <w:t>926</w:t>
        </w:r>
      </w:hyperlink>
    </w:p>
    <w:p>
      <w:pPr>
        <w:pStyle w:val="TOC2"/>
      </w:pPr>
      <w:hyperlink w:anchor="_Toc300000428" w:history="1">
        <w:r>
          <w:t>ANNEX 14-C LEGACY INVESTMENT CLAIMS AND PENDING CLAIMS</w:t>
        </w:r>
        <w:r>
          <w:tab/>
        </w:r>
        <w:r>
          <w:t>927</w:t>
        </w:r>
      </w:hyperlink>
    </w:p>
    <w:p>
      <w:pPr>
        <w:pStyle w:val="TOC2"/>
      </w:pPr>
      <w:hyperlink w:anchor="_Toc300000429" w:history="1">
        <w:r>
          <w:t>ANNEX 14-D MEXICO-UNITED STATES INVESTMENT DISPUTES</w:t>
        </w:r>
        <w:r>
          <w:tab/>
        </w:r>
        <w:r>
          <w:t>928</w:t>
        </w:r>
      </w:hyperlink>
    </w:p>
    <w:p>
      <w:pPr>
        <w:pStyle w:val="TOC2"/>
      </w:pPr>
      <w:hyperlink w:anchor="_Toc300000430" w:history="1">
        <w:r>
          <w:t>Article 14.D.1: Definitions</w:t>
        </w:r>
        <w:r>
          <w:tab/>
        </w:r>
        <w:r>
          <w:t>928</w:t>
        </w:r>
      </w:hyperlink>
    </w:p>
    <w:p>
      <w:pPr>
        <w:pStyle w:val="TOC2"/>
      </w:pPr>
      <w:hyperlink w:anchor="_Toc300000431" w:history="1">
        <w:r>
          <w:t>Article 14.D.2: Consultation and Negotiation</w:t>
        </w:r>
        <w:r>
          <w:tab/>
        </w:r>
        <w:r>
          <w:t>928</w:t>
        </w:r>
      </w:hyperlink>
    </w:p>
    <w:p>
      <w:pPr>
        <w:pStyle w:val="TOC2"/>
      </w:pPr>
      <w:hyperlink w:anchor="_Toc300000432" w:history="1">
        <w:r>
          <w:t>Article 14.D.3: Submission of a Claim to Arbitration</w:t>
        </w:r>
        <w:r>
          <w:tab/>
        </w:r>
        <w:r>
          <w:t>928</w:t>
        </w:r>
      </w:hyperlink>
    </w:p>
    <w:p>
      <w:pPr>
        <w:pStyle w:val="TOC2"/>
      </w:pPr>
      <w:hyperlink w:anchor="_Toc300000433" w:history="1">
        <w:r>
          <w:t>Article 14.D.4: Consent to Arbitration</w:t>
        </w:r>
        <w:r>
          <w:tab/>
        </w:r>
        <w:r>
          <w:t>929</w:t>
        </w:r>
      </w:hyperlink>
    </w:p>
    <w:p>
      <w:pPr>
        <w:pStyle w:val="TOC2"/>
      </w:pPr>
      <w:hyperlink w:anchor="_Toc300000434" w:history="1">
        <w:r>
          <w:t>Article 14.D.5: Conditions and Limitations on Consent</w:t>
        </w:r>
        <w:r>
          <w:tab/>
        </w:r>
        <w:r>
          <w:t>930</w:t>
        </w:r>
      </w:hyperlink>
    </w:p>
    <w:p>
      <w:pPr>
        <w:pStyle w:val="TOC2"/>
      </w:pPr>
      <w:hyperlink w:anchor="_Toc300000435" w:history="1">
        <w:r>
          <w:t>Article 14.D.6: Selection of Arbitrators</w:t>
        </w:r>
        <w:r>
          <w:tab/>
        </w:r>
        <w:r>
          <w:t>930</w:t>
        </w:r>
      </w:hyperlink>
    </w:p>
    <w:p>
      <w:pPr>
        <w:pStyle w:val="TOC2"/>
      </w:pPr>
      <w:hyperlink w:anchor="_Toc300000436" w:history="1">
        <w:r>
          <w:t>Article 14.D.7: Conduct of the Arbitration</w:t>
        </w:r>
        <w:r>
          <w:tab/>
        </w:r>
        <w:r>
          <w:t>931</w:t>
        </w:r>
      </w:hyperlink>
    </w:p>
    <w:p>
      <w:pPr>
        <w:pStyle w:val="TOC2"/>
      </w:pPr>
      <w:hyperlink w:anchor="_Toc300000437" w:history="1">
        <w:r>
          <w:t>Article 14.D.8: Transparency of Arbitral Proceedings</w:t>
        </w:r>
        <w:r>
          <w:tab/>
        </w:r>
        <w:r>
          <w:t>933</w:t>
        </w:r>
      </w:hyperlink>
    </w:p>
    <w:p>
      <w:pPr>
        <w:pStyle w:val="TOC2"/>
      </w:pPr>
      <w:hyperlink w:anchor="_Toc300000438" w:history="1">
        <w:r>
          <w:t>Article 14.D.9: Governing Law</w:t>
        </w:r>
        <w:r>
          <w:tab/>
        </w:r>
        <w:r>
          <w:t>934</w:t>
        </w:r>
      </w:hyperlink>
    </w:p>
    <w:p>
      <w:pPr>
        <w:pStyle w:val="TOC2"/>
      </w:pPr>
      <w:hyperlink w:anchor="_Toc300000439" w:history="1">
        <w:r>
          <w:t>Article 14.D.10: Interpretation of Annexes</w:t>
        </w:r>
        <w:r>
          <w:tab/>
        </w:r>
        <w:r>
          <w:t>935</w:t>
        </w:r>
      </w:hyperlink>
    </w:p>
    <w:p>
      <w:pPr>
        <w:pStyle w:val="TOC2"/>
      </w:pPr>
      <w:hyperlink w:anchor="_Toc300000440" w:history="1">
        <w:r>
          <w:t>Article 14.D.11: Expert Reports</w:t>
        </w:r>
        <w:r>
          <w:tab/>
        </w:r>
        <w:r>
          <w:t>935</w:t>
        </w:r>
      </w:hyperlink>
    </w:p>
    <w:p>
      <w:pPr>
        <w:pStyle w:val="TOC2"/>
      </w:pPr>
      <w:hyperlink w:anchor="_Toc300000441" w:history="1">
        <w:r>
          <w:t>Article 14.D.12: Consolidation</w:t>
        </w:r>
        <w:r>
          <w:tab/>
        </w:r>
        <w:r>
          <w:t>936</w:t>
        </w:r>
      </w:hyperlink>
    </w:p>
    <w:p>
      <w:pPr>
        <w:pStyle w:val="TOC2"/>
      </w:pPr>
      <w:hyperlink w:anchor="_Toc300000442" w:history="1">
        <w:r>
          <w:t>Article 14.D.13: Awards</w:t>
        </w:r>
        <w:r>
          <w:tab/>
        </w:r>
        <w:r>
          <w:t>937</w:t>
        </w:r>
      </w:hyperlink>
    </w:p>
    <w:p>
      <w:pPr>
        <w:pStyle w:val="TOC2"/>
      </w:pPr>
      <w:hyperlink w:anchor="_Toc300000443" w:history="1">
        <w:r>
          <w:t>Article 14.D.14: Service of Documents</w:t>
        </w:r>
        <w:r>
          <w:tab/>
        </w:r>
        <w:r>
          <w:t>938</w:t>
        </w:r>
      </w:hyperlink>
    </w:p>
    <w:p>
      <w:pPr>
        <w:pStyle w:val="TOC2"/>
      </w:pPr>
      <w:hyperlink w:anchor="_Toc300000444" w:history="1">
        <w:r>
          <w:t>APPENDIX 1 SERVICE OF DOCUMENTS ON AN ANNEX PARTY</w:t>
        </w:r>
        <w:r>
          <w:tab/>
        </w:r>
        <w:r>
          <w:t>938</w:t>
        </w:r>
      </w:hyperlink>
    </w:p>
    <w:p>
      <w:pPr>
        <w:pStyle w:val="TOC2"/>
      </w:pPr>
      <w:hyperlink w:anchor="_Toc300000445" w:history="1">
        <w:r>
          <w:t>APPENDIX 2 PUBLIC DEBT</w:t>
        </w:r>
        <w:r>
          <w:tab/>
        </w:r>
        <w:r>
          <w:t>939</w:t>
        </w:r>
      </w:hyperlink>
    </w:p>
    <w:p>
      <w:pPr>
        <w:pStyle w:val="TOC2"/>
      </w:pPr>
      <w:hyperlink w:anchor="_Toc300000446" w:history="1">
        <w:r>
          <w:t>APPENDIX 3 SUBMISSION OF A CLAIM TO ARBITRATION</w:t>
        </w:r>
        <w:r>
          <w:tab/>
        </w:r>
        <w:r>
          <w:t>939</w:t>
        </w:r>
      </w:hyperlink>
    </w:p>
    <w:p>
      <w:pPr>
        <w:pStyle w:val="TOC2"/>
      </w:pPr>
      <w:hyperlink w:anchor="_Toc300000447" w:history="1">
        <w:r>
          <w:t>ANNEX 14-E MEXICO-UNITED STATES INVESTMENT DISPUTES RELATED TO COVERED GOVERNMENT CONTRACTS</w:t>
        </w:r>
        <w:r>
          <w:tab/>
        </w:r>
        <w:r>
          <w:t>939</w:t>
        </w:r>
      </w:hyperlink>
    </w:p>
    <w:p>
      <w:pPr>
        <w:pStyle w:val="TOC1"/>
      </w:pPr>
      <w:hyperlink w:anchor="_Toc300000448" w:history="1">
        <w:r>
          <w:t>CHAPTER 15 CROSS-BORDER TRADE IN SERVICES</w:t>
        </w:r>
        <w:r>
          <w:tab/>
        </w:r>
        <w:r>
          <w:t>941</w:t>
        </w:r>
      </w:hyperlink>
    </w:p>
    <w:p>
      <w:pPr>
        <w:pStyle w:val="TOC2"/>
      </w:pPr>
      <w:hyperlink w:anchor="_Toc300000449" w:history="1">
        <w:r>
          <w:t>Article 15.1: Definitions</w:t>
        </w:r>
        <w:r>
          <w:tab/>
        </w:r>
        <w:r>
          <w:t>941</w:t>
        </w:r>
      </w:hyperlink>
    </w:p>
    <w:p>
      <w:pPr>
        <w:pStyle w:val="TOC2"/>
      </w:pPr>
      <w:hyperlink w:anchor="_Toc300000450" w:history="1">
        <w:r>
          <w:t>Article 15.2: Scope</w:t>
        </w:r>
        <w:r>
          <w:tab/>
        </w:r>
        <w:r>
          <w:t>941</w:t>
        </w:r>
      </w:hyperlink>
    </w:p>
    <w:p>
      <w:pPr>
        <w:pStyle w:val="TOC2"/>
      </w:pPr>
      <w:hyperlink w:anchor="_Toc300000451" w:history="1">
        <w:r>
          <w:t>Article 15.3: National Treatment</w:t>
        </w:r>
        <w:r>
          <w:tab/>
        </w:r>
        <w:r>
          <w:t>942</w:t>
        </w:r>
      </w:hyperlink>
    </w:p>
    <w:p>
      <w:pPr>
        <w:pStyle w:val="TOC2"/>
      </w:pPr>
      <w:hyperlink w:anchor="_Toc300000452" w:history="1">
        <w:r>
          <w:t>Article 15.4: Most-Favored-Nation Treatment</w:t>
        </w:r>
        <w:r>
          <w:tab/>
        </w:r>
        <w:r>
          <w:t>942</w:t>
        </w:r>
      </w:hyperlink>
    </w:p>
    <w:p>
      <w:pPr>
        <w:pStyle w:val="TOC2"/>
      </w:pPr>
      <w:hyperlink w:anchor="_Toc300000453" w:history="1">
        <w:r>
          <w:t>Article 15.5: Market Access</w:t>
        </w:r>
        <w:r>
          <w:tab/>
        </w:r>
        <w:r>
          <w:t>943</w:t>
        </w:r>
      </w:hyperlink>
    </w:p>
    <w:p>
      <w:pPr>
        <w:pStyle w:val="TOC2"/>
      </w:pPr>
      <w:hyperlink w:anchor="_Toc300000454" w:history="1">
        <w:r>
          <w:t>Article 15.6: Local Presence</w:t>
        </w:r>
        <w:r>
          <w:tab/>
        </w:r>
        <w:r>
          <w:t>943</w:t>
        </w:r>
      </w:hyperlink>
    </w:p>
    <w:p>
      <w:pPr>
        <w:pStyle w:val="TOC2"/>
      </w:pPr>
      <w:hyperlink w:anchor="_Toc300000455" w:history="1">
        <w:r>
          <w:t>Article 15.7: Non-Conforming Measures</w:t>
        </w:r>
        <w:r>
          <w:tab/>
        </w:r>
        <w:r>
          <w:t>943</w:t>
        </w:r>
      </w:hyperlink>
    </w:p>
    <w:p>
      <w:pPr>
        <w:pStyle w:val="TOC2"/>
      </w:pPr>
      <w:hyperlink w:anchor="_Toc300000456" w:history="1">
        <w:r>
          <w:t>Article 15.8: Development and Administration of Measures</w:t>
        </w:r>
        <w:r>
          <w:tab/>
        </w:r>
        <w:r>
          <w:t>944</w:t>
        </w:r>
      </w:hyperlink>
    </w:p>
    <w:p>
      <w:pPr>
        <w:pStyle w:val="TOC2"/>
      </w:pPr>
      <w:hyperlink w:anchor="_Toc300000457" w:history="1">
        <w:r>
          <w:t>Article 15.9: Recognition</w:t>
        </w:r>
        <w:r>
          <w:tab/>
        </w:r>
        <w:r>
          <w:t>946</w:t>
        </w:r>
      </w:hyperlink>
    </w:p>
    <w:p>
      <w:pPr>
        <w:pStyle w:val="TOC2"/>
      </w:pPr>
      <w:hyperlink w:anchor="_Toc300000458" w:history="1">
        <w:r>
          <w:t>Article 15.10: Small and Medium-Sized Enterprises</w:t>
        </w:r>
        <w:r>
          <w:tab/>
        </w:r>
        <w:r>
          <w:t>946</w:t>
        </w:r>
      </w:hyperlink>
    </w:p>
    <w:p>
      <w:pPr>
        <w:pStyle w:val="TOC2"/>
      </w:pPr>
      <w:hyperlink w:anchor="_Toc300000459" w:history="1">
        <w:r>
          <w:t>Article 15.11: Denial of Benefits</w:t>
        </w:r>
        <w:r>
          <w:tab/>
        </w:r>
        <w:r>
          <w:t>947</w:t>
        </w:r>
      </w:hyperlink>
    </w:p>
    <w:p>
      <w:pPr>
        <w:pStyle w:val="TOC2"/>
      </w:pPr>
      <w:hyperlink w:anchor="_Toc300000460" w:history="1">
        <w:r>
          <w:t>Article 15.12: Payments and Transfers</w:t>
        </w:r>
        <w:r>
          <w:tab/>
        </w:r>
        <w:r>
          <w:t>947</w:t>
        </w:r>
      </w:hyperlink>
    </w:p>
    <w:p>
      <w:pPr>
        <w:pStyle w:val="TOC2"/>
      </w:pPr>
      <w:hyperlink w:anchor="_Toc300000461" w:history="1">
        <w:r>
          <w:t>ANNEX 15-A DELIVERY SERVICES</w:t>
        </w:r>
        <w:r>
          <w:tab/>
        </w:r>
        <w:r>
          <w:t>947</w:t>
        </w:r>
      </w:hyperlink>
    </w:p>
    <w:p>
      <w:pPr>
        <w:pStyle w:val="TOC2"/>
      </w:pPr>
      <w:hyperlink w:anchor="_Toc300000462" w:history="1">
        <w:r>
          <w:t>ANNEX 15-B COMMITTEE ON TRANSPORTATION SERVICES</w:t>
        </w:r>
        <w:r>
          <w:tab/>
        </w:r>
        <w:r>
          <w:t>948</w:t>
        </w:r>
      </w:hyperlink>
    </w:p>
    <w:p>
      <w:pPr>
        <w:pStyle w:val="TOC2"/>
      </w:pPr>
      <w:hyperlink w:anchor="_Toc300000463" w:history="1">
        <w:r>
          <w:t>ANNEX 15-C PROFESSIONAL SERVICES</w:t>
        </w:r>
        <w:r>
          <w:tab/>
        </w:r>
        <w:r>
          <w:t>948</w:t>
        </w:r>
      </w:hyperlink>
    </w:p>
    <w:p>
      <w:pPr>
        <w:pStyle w:val="TOC2"/>
      </w:pPr>
      <w:hyperlink w:anchor="_Toc300000464" w:history="1">
        <w:r>
          <w:t>APPENDIX 1 GUIDELINES FOR MUTUAL RECOGNITION AGREEMENTS OR ARRANGEMENTS FOR THE PROFESSIONAL SERVICES SECTOR</w:t>
        </w:r>
        <w:r>
          <w:tab/>
        </w:r>
        <w:r>
          <w:t>949</w:t>
        </w:r>
      </w:hyperlink>
    </w:p>
    <w:p>
      <w:pPr>
        <w:pStyle w:val="TOC2"/>
      </w:pPr>
      <w:hyperlink w:anchor="_Toc300000465" w:history="1">
        <w:r>
          <w:t>ANNEX 15-D PROGRAMMING SERVICES</w:t>
        </w:r>
        <w:r>
          <w:tab/>
        </w:r>
        <w:r>
          <w:t>952</w:t>
        </w:r>
      </w:hyperlink>
    </w:p>
    <w:p>
      <w:pPr>
        <w:pStyle w:val="TOC2"/>
      </w:pPr>
      <w:hyperlink w:anchor="_Toc300000466" w:history="1">
        <w:r>
          <w:t>ANNEX 15-E MEXICO’S CULTURAL EXCEPTIONS</w:t>
        </w:r>
        <w:r>
          <w:tab/>
        </w:r>
        <w:r>
          <w:t>953</w:t>
        </w:r>
      </w:hyperlink>
    </w:p>
    <w:p>
      <w:pPr>
        <w:pStyle w:val="TOC2"/>
      </w:pPr>
      <w:hyperlink w:anchor="_Toc300000467" w:history="1">
        <w:r>
          <w:t>CHAPTER 15: CUSMA 2.0 MODERNIZATION PROVISIONS</w:t>
        </w:r>
        <w:r>
          <w:tab/>
        </w:r>
        <w:r>
          <w:t>953</w:t>
        </w:r>
      </w:hyperlink>
    </w:p>
    <w:p>
      <w:pPr>
        <w:pStyle w:val="TOC2"/>
      </w:pPr>
      <w:hyperlink w:anchor="_Toc300000468" w:history="1">
        <w:r>
          <w:t>Article 15.H: North American Franchise and Consumer Services Market Access</w:t>
        </w:r>
        <w:r>
          <w:tab/>
        </w:r>
        <w:r>
          <w:t>953</w:t>
        </w:r>
      </w:hyperlink>
    </w:p>
    <w:p>
      <w:pPr>
        <w:pStyle w:val="TOC1"/>
      </w:pPr>
      <w:hyperlink w:anchor="_Toc300000469" w:history="1">
        <w:r>
          <w:t>CHAPTER 16 TEMPORARY ENTRY FOR BUSINESS PERSONS</w:t>
        </w:r>
        <w:r>
          <w:tab/>
        </w:r>
        <w:r>
          <w:t>956</w:t>
        </w:r>
      </w:hyperlink>
    </w:p>
    <w:p>
      <w:pPr>
        <w:pStyle w:val="TOC2"/>
      </w:pPr>
      <w:hyperlink w:anchor="_Toc300000470" w:history="1">
        <w:r>
          <w:t>Article 16.1: Definitions</w:t>
        </w:r>
        <w:r>
          <w:tab/>
        </w:r>
        <w:r>
          <w:t>956</w:t>
        </w:r>
      </w:hyperlink>
    </w:p>
    <w:p>
      <w:pPr>
        <w:pStyle w:val="TOC2"/>
      </w:pPr>
      <w:hyperlink w:anchor="_Toc300000471" w:history="1">
        <w:r>
          <w:t>Article 16.2: Scope</w:t>
        </w:r>
        <w:r>
          <w:tab/>
        </w:r>
        <w:r>
          <w:t>956</w:t>
        </w:r>
      </w:hyperlink>
    </w:p>
    <w:p>
      <w:pPr>
        <w:pStyle w:val="TOC2"/>
      </w:pPr>
      <w:hyperlink w:anchor="_Toc300000472" w:history="1">
        <w:r>
          <w:t>Article 16.3: General Obligations</w:t>
        </w:r>
        <w:r>
          <w:tab/>
        </w:r>
        <w:r>
          <w:t>956</w:t>
        </w:r>
      </w:hyperlink>
    </w:p>
    <w:p>
      <w:pPr>
        <w:pStyle w:val="TOC2"/>
      </w:pPr>
      <w:hyperlink w:anchor="_Toc300000473" w:history="1">
        <w:r>
          <w:t>Article 16.4: Grant of Temporary Entry</w:t>
        </w:r>
        <w:r>
          <w:tab/>
        </w:r>
        <w:r>
          <w:t>956</w:t>
        </w:r>
      </w:hyperlink>
    </w:p>
    <w:p>
      <w:pPr>
        <w:pStyle w:val="TOC2"/>
      </w:pPr>
      <w:hyperlink w:anchor="_Toc300000474" w:history="1">
        <w:r>
          <w:t>Article 16.5: Provision of Information</w:t>
        </w:r>
        <w:r>
          <w:tab/>
        </w:r>
        <w:r>
          <w:t>957</w:t>
        </w:r>
      </w:hyperlink>
    </w:p>
    <w:p>
      <w:pPr>
        <w:pStyle w:val="TOC2"/>
      </w:pPr>
      <w:hyperlink w:anchor="_Toc300000475" w:history="1">
        <w:r>
          <w:t>Article 16.6: Temporary Entry Working Group</w:t>
        </w:r>
        <w:r>
          <w:tab/>
        </w:r>
        <w:r>
          <w:t>957</w:t>
        </w:r>
      </w:hyperlink>
    </w:p>
    <w:p>
      <w:pPr>
        <w:pStyle w:val="TOC2"/>
      </w:pPr>
      <w:hyperlink w:anchor="_Toc300000476" w:history="1">
        <w:r>
          <w:t>Article 16.7: Dispute Settlement</w:t>
        </w:r>
        <w:r>
          <w:tab/>
        </w:r>
        <w:r>
          <w:t>957</w:t>
        </w:r>
      </w:hyperlink>
    </w:p>
    <w:p>
      <w:pPr>
        <w:pStyle w:val="TOC2"/>
      </w:pPr>
      <w:hyperlink w:anchor="_Toc300000477" w:history="1">
        <w:r>
          <w:t>Article 16.8: Relation to Other Chapters</w:t>
        </w:r>
        <w:r>
          <w:tab/>
        </w:r>
        <w:r>
          <w:t>958</w:t>
        </w:r>
      </w:hyperlink>
    </w:p>
    <w:p>
      <w:pPr>
        <w:pStyle w:val="TOC2"/>
      </w:pPr>
      <w:hyperlink w:anchor="_Toc300000478" w:history="1">
        <w:r>
          <w:t>ANNEX 16-A TEMPORARY ENTRY FOR BUSINESS PERSONS</w:t>
        </w:r>
        <w:r>
          <w:tab/>
        </w:r>
        <w:r>
          <w:t>958</w:t>
        </w:r>
      </w:hyperlink>
    </w:p>
    <w:p>
      <w:pPr>
        <w:pStyle w:val="TOC2"/>
      </w:pPr>
      <w:hyperlink w:anchor="_Toc300000479" w:history="1">
        <w:r>
          <w:t>APPENDIX 1 BUSINESS VISITORS</w:t>
        </w:r>
        <w:r>
          <w:tab/>
        </w:r>
        <w:r>
          <w:t>960</w:t>
        </w:r>
      </w:hyperlink>
    </w:p>
    <w:p>
      <w:pPr>
        <w:pStyle w:val="TOC2"/>
      </w:pPr>
      <w:hyperlink w:anchor="_Toc300000480" w:history="1">
        <w:r>
          <w:t>APPENDIX 2 PROFESSIONALS</w:t>
        </w:r>
        <w:r>
          <w:tab/>
        </w:r>
        <w:r>
          <w:t>960</w:t>
        </w:r>
      </w:hyperlink>
    </w:p>
    <w:p>
      <w:pPr>
        <w:pStyle w:val="TOC2"/>
      </w:pPr>
      <w:hyperlink w:anchor="_Toc300000481" w:history="1">
        <w:r>
          <w:t>CHAPTER 16: CUSMA 2.0 MOBILITY SUPPLEMENT</w:t>
        </w:r>
        <w:r>
          <w:tab/>
        </w:r>
        <w:r>
          <w:t>963</w:t>
        </w:r>
      </w:hyperlink>
    </w:p>
    <w:p>
      <w:pPr>
        <w:pStyle w:val="TOC2"/>
      </w:pPr>
      <w:hyperlink w:anchor="_Toc300000482" w:history="1">
        <w:r>
          <w:t>Article 16.B: Trusted North American Visitor and Snowbird Mobility Framework</w:t>
        </w:r>
        <w:r>
          <w:tab/>
        </w:r>
        <w:r>
          <w:t>963</w:t>
        </w:r>
      </w:hyperlink>
    </w:p>
    <w:p>
      <w:pPr>
        <w:pStyle w:val="TOC1"/>
      </w:pPr>
      <w:hyperlink w:anchor="_Toc300000483" w:history="1">
        <w:r>
          <w:t>CHAPTER 17 FINANCIAL SERVICES</w:t>
        </w:r>
        <w:r>
          <w:tab/>
        </w:r>
        <w:r>
          <w:t>965</w:t>
        </w:r>
      </w:hyperlink>
    </w:p>
    <w:p>
      <w:pPr>
        <w:pStyle w:val="TOC2"/>
      </w:pPr>
      <w:hyperlink w:anchor="_Toc300000484" w:history="1">
        <w:r>
          <w:t>Article 17.1: Definitions</w:t>
        </w:r>
        <w:r>
          <w:tab/>
        </w:r>
        <w:r>
          <w:t>965</w:t>
        </w:r>
      </w:hyperlink>
    </w:p>
    <w:p>
      <w:pPr>
        <w:pStyle w:val="TOC2"/>
      </w:pPr>
      <w:hyperlink w:anchor="_Toc300000485" w:history="1">
        <w:r>
          <w:t>Article 17.2: Scope</w:t>
        </w:r>
        <w:r>
          <w:tab/>
        </w:r>
        <w:r>
          <w:t>966</w:t>
        </w:r>
      </w:hyperlink>
    </w:p>
    <w:p>
      <w:pPr>
        <w:pStyle w:val="TOC2"/>
      </w:pPr>
      <w:hyperlink w:anchor="_Toc300000486" w:history="1">
        <w:r>
          <w:t>Article 17.3: National Treatment</w:t>
        </w:r>
        <w:r>
          <w:tab/>
        </w:r>
        <w:r>
          <w:t>967</w:t>
        </w:r>
      </w:hyperlink>
    </w:p>
    <w:p>
      <w:pPr>
        <w:pStyle w:val="TOC2"/>
      </w:pPr>
      <w:hyperlink w:anchor="_Toc300000487" w:history="1">
        <w:r>
          <w:t>Article 17.4: Most-Favored-Nation Treatment</w:t>
        </w:r>
        <w:r>
          <w:tab/>
        </w:r>
        <w:r>
          <w:t>968</w:t>
        </w:r>
      </w:hyperlink>
    </w:p>
    <w:p>
      <w:pPr>
        <w:pStyle w:val="TOC2"/>
      </w:pPr>
      <w:hyperlink w:anchor="_Toc300000488" w:history="1">
        <w:r>
          <w:t>Article 17.5: Market Access</w:t>
        </w:r>
        <w:r>
          <w:tab/>
        </w:r>
        <w:r>
          <w:t>968</w:t>
        </w:r>
      </w:hyperlink>
    </w:p>
    <w:p>
      <w:pPr>
        <w:pStyle w:val="TOC2"/>
      </w:pPr>
      <w:hyperlink w:anchor="_Toc300000489" w:history="1">
        <w:r>
          <w:t>Article 17.6: Cross-Border Trade Standstill</w:t>
        </w:r>
        <w:r>
          <w:tab/>
        </w:r>
        <w:r>
          <w:t>969</w:t>
        </w:r>
      </w:hyperlink>
    </w:p>
    <w:p>
      <w:pPr>
        <w:pStyle w:val="TOC2"/>
      </w:pPr>
      <w:hyperlink w:anchor="_Toc300000490" w:history="1">
        <w:r>
          <w:t xml:space="preserve">Article 17.7: New Financial Services</w:t>
        </w:r>
        <w:r>
          <w:rPr>
            <w:vertAlign w:val="superscript"/>
          </w:rPr>
          <w:t xml:space="preserve">4</w:t>
        </w:r>
        <w:r>
          <w:tab/>
        </w:r>
        <w:r>
          <w:t>969</w:t>
        </w:r>
      </w:hyperlink>
    </w:p>
    <w:p>
      <w:pPr>
        <w:pStyle w:val="TOC2"/>
      </w:pPr>
      <w:hyperlink w:anchor="_Toc300000491" w:history="1">
        <w:r>
          <w:t>Article 17.8: Treatment of Customer Information</w:t>
        </w:r>
        <w:r>
          <w:tab/>
        </w:r>
        <w:r>
          <w:t>969</w:t>
        </w:r>
      </w:hyperlink>
    </w:p>
    <w:p>
      <w:pPr>
        <w:pStyle w:val="TOC2"/>
      </w:pPr>
      <w:hyperlink w:anchor="_Toc300000492" w:history="1">
        <w:r>
          <w:t>Article 17.9: Senior Management and Boards of Directors</w:t>
        </w:r>
        <w:r>
          <w:tab/>
        </w:r>
        <w:r>
          <w:t>970</w:t>
        </w:r>
      </w:hyperlink>
    </w:p>
    <w:p>
      <w:pPr>
        <w:pStyle w:val="TOC2"/>
      </w:pPr>
      <w:hyperlink w:anchor="_Toc300000493" w:history="1">
        <w:r>
          <w:t>Article 17.10: Non-Conforming Measures</w:t>
        </w:r>
        <w:r>
          <w:tab/>
        </w:r>
        <w:r>
          <w:t>970</w:t>
        </w:r>
      </w:hyperlink>
    </w:p>
    <w:p>
      <w:pPr>
        <w:pStyle w:val="TOC2"/>
      </w:pPr>
      <w:hyperlink w:anchor="_Toc300000494" w:history="1">
        <w:r>
          <w:t>Article 17.11: Exceptions</w:t>
        </w:r>
        <w:r>
          <w:tab/>
        </w:r>
        <w:r>
          <w:t>971</w:t>
        </w:r>
      </w:hyperlink>
    </w:p>
    <w:p>
      <w:pPr>
        <w:pStyle w:val="TOC2"/>
      </w:pPr>
      <w:hyperlink w:anchor="_Toc300000495" w:history="1">
        <w:r>
          <w:t>Article 17.12: Recognition</w:t>
        </w:r>
        <w:r>
          <w:tab/>
        </w:r>
        <w:r>
          <w:t>972</w:t>
        </w:r>
      </w:hyperlink>
    </w:p>
    <w:p>
      <w:pPr>
        <w:pStyle w:val="TOC2"/>
      </w:pPr>
      <w:hyperlink w:anchor="_Toc300000496" w:history="1">
        <w:r>
          <w:t>Article 17.13: Transparency and Administration of Certain Measures</w:t>
        </w:r>
        <w:r>
          <w:tab/>
        </w:r>
        <w:r>
          <w:t>972</w:t>
        </w:r>
      </w:hyperlink>
    </w:p>
    <w:p>
      <w:pPr>
        <w:pStyle w:val="TOC2"/>
      </w:pPr>
      <w:hyperlink w:anchor="_Toc300000497" w:history="1">
        <w:r>
          <w:t>Article 17.14: Self-Regulatory Organizations</w:t>
        </w:r>
        <w:r>
          <w:tab/>
        </w:r>
        <w:r>
          <w:t>972</w:t>
        </w:r>
      </w:hyperlink>
    </w:p>
    <w:p>
      <w:pPr>
        <w:pStyle w:val="TOC2"/>
      </w:pPr>
      <w:hyperlink w:anchor="_Toc300000498" w:history="1">
        <w:r>
          <w:t>Article 17.15: Payment and Clearing Systems</w:t>
        </w:r>
        <w:r>
          <w:tab/>
        </w:r>
        <w:r>
          <w:t>973</w:t>
        </w:r>
      </w:hyperlink>
    </w:p>
    <w:p>
      <w:pPr>
        <w:pStyle w:val="TOC2"/>
      </w:pPr>
      <w:hyperlink w:anchor="_Toc300000499" w:history="1">
        <w:r>
          <w:t>Article 17.16: Expedited Availability of Insurance Services</w:t>
        </w:r>
        <w:r>
          <w:tab/>
        </w:r>
        <w:r>
          <w:t>973</w:t>
        </w:r>
      </w:hyperlink>
    </w:p>
    <w:p>
      <w:pPr>
        <w:pStyle w:val="TOC2"/>
      </w:pPr>
      <w:hyperlink w:anchor="_Toc300000500" w:history="1">
        <w:r>
          <w:t>Article 17.17: Transfer of Information</w:t>
        </w:r>
        <w:r>
          <w:tab/>
        </w:r>
        <w:r>
          <w:t>973</w:t>
        </w:r>
      </w:hyperlink>
    </w:p>
    <w:p>
      <w:pPr>
        <w:pStyle w:val="TOC2"/>
      </w:pPr>
      <w:hyperlink w:anchor="_Toc300000501" w:history="1">
        <w:r>
          <w:t>Article 17.18: Location of Computing Facilities</w:t>
        </w:r>
        <w:r>
          <w:tab/>
        </w:r>
        <w:r>
          <w:t>973</w:t>
        </w:r>
      </w:hyperlink>
    </w:p>
    <w:p>
      <w:pPr>
        <w:pStyle w:val="TOC2"/>
      </w:pPr>
      <w:hyperlink w:anchor="_Toc300000502" w:history="1">
        <w:r>
          <w:t>Article 17.19: Committee on Financial Services</w:t>
        </w:r>
        <w:r>
          <w:tab/>
        </w:r>
        <w:r>
          <w:t>974</w:t>
        </w:r>
      </w:hyperlink>
    </w:p>
    <w:p>
      <w:pPr>
        <w:pStyle w:val="TOC2"/>
      </w:pPr>
      <w:hyperlink w:anchor="_Toc300000503" w:history="1">
        <w:r>
          <w:t>Article 17.20: Consultations</w:t>
        </w:r>
        <w:r>
          <w:tab/>
        </w:r>
        <w:r>
          <w:t>975</w:t>
        </w:r>
      </w:hyperlink>
    </w:p>
    <w:p>
      <w:pPr>
        <w:pStyle w:val="TOC2"/>
      </w:pPr>
      <w:hyperlink w:anchor="_Toc300000504" w:history="1">
        <w:r>
          <w:t>Article 17.21: Dispute Settlement</w:t>
        </w:r>
        <w:r>
          <w:tab/>
        </w:r>
        <w:r>
          <w:t>975</w:t>
        </w:r>
      </w:hyperlink>
    </w:p>
    <w:p>
      <w:pPr>
        <w:pStyle w:val="TOC2"/>
      </w:pPr>
      <w:hyperlink w:anchor="_Toc300000505" w:history="1">
        <w:r>
          <w:t>ANNEX 17-A CROSS-BORDER TRADE</w:t>
        </w:r>
        <w:r>
          <w:tab/>
        </w:r>
        <w:r>
          <w:t>976</w:t>
        </w:r>
      </w:hyperlink>
    </w:p>
    <w:p>
      <w:pPr>
        <w:pStyle w:val="TOC2"/>
      </w:pPr>
      <w:hyperlink w:anchor="_Toc300000506" w:history="1">
        <w:r>
          <w:t>ANNEX 17-B AUTHORITIES RESPONSIBLE FOR FINANCIAL SERVICES</w:t>
        </w:r>
        <w:r>
          <w:tab/>
        </w:r>
        <w:r>
          <w:t>979</w:t>
        </w:r>
      </w:hyperlink>
    </w:p>
    <w:p>
      <w:pPr>
        <w:pStyle w:val="TOC2"/>
      </w:pPr>
      <w:hyperlink w:anchor="_Toc300000507" w:history="1">
        <w:r>
          <w:t>ANNEX 17-C MEXICO-UNITED STATES INVESTMENT DISPUTES IN FINANCIAL SERVICES</w:t>
        </w:r>
        <w:r>
          <w:tab/>
        </w:r>
        <w:r>
          <w:t>979</w:t>
        </w:r>
      </w:hyperlink>
    </w:p>
    <w:p>
      <w:pPr>
        <w:pStyle w:val="TOC2"/>
      </w:pPr>
      <w:hyperlink w:anchor="_Toc300000508" w:history="1">
        <w:r>
          <w:t>ANNEX 17-D LOCATION OF COMPUTING FACILITIES</w:t>
        </w:r>
        <w:r>
          <w:tab/>
        </w:r>
        <w:r>
          <w:t>983</w:t>
        </w:r>
      </w:hyperlink>
    </w:p>
    <w:p>
      <w:pPr>
        <w:pStyle w:val="TOC1"/>
      </w:pPr>
      <w:hyperlink w:anchor="_Toc300000509" w:history="1">
        <w:r>
          <w:t>CHAPTER 18 TELECOMMUNICATIONS</w:t>
        </w:r>
        <w:r>
          <w:tab/>
        </w:r>
        <w:r>
          <w:t>984</w:t>
        </w:r>
      </w:hyperlink>
    </w:p>
    <w:p>
      <w:pPr>
        <w:pStyle w:val="TOC2"/>
      </w:pPr>
      <w:hyperlink w:anchor="_Toc300000510" w:history="1">
        <w:r>
          <w:t>Article 18.1: Definitions</w:t>
        </w:r>
        <w:r>
          <w:tab/>
        </w:r>
        <w:r>
          <w:t>984</w:t>
        </w:r>
      </w:hyperlink>
    </w:p>
    <w:p>
      <w:pPr>
        <w:pStyle w:val="TOC2"/>
      </w:pPr>
      <w:hyperlink w:anchor="_Toc300000511" w:history="1">
        <w:r>
          <w:t>Article 18.2: Scope</w:t>
        </w:r>
        <w:r>
          <w:tab/>
        </w:r>
        <w:r>
          <w:t>985</w:t>
        </w:r>
      </w:hyperlink>
    </w:p>
    <w:p>
      <w:pPr>
        <w:pStyle w:val="TOC2"/>
      </w:pPr>
      <w:hyperlink w:anchor="_Toc300000512" w:history="1">
        <w:r>
          <w:t>Article 18.3: Access and Use</w:t>
        </w:r>
        <w:r>
          <w:tab/>
        </w:r>
        <w:r>
          <w:t>985</w:t>
        </w:r>
      </w:hyperlink>
    </w:p>
    <w:p>
      <w:pPr>
        <w:pStyle w:val="TOC2"/>
      </w:pPr>
      <w:hyperlink w:anchor="_Toc300000513" w:history="1">
        <w:r>
          <w:t>Article 18.4: Obligations Relating to Suppliers of Public Telecommunications Services</w:t>
        </w:r>
        <w:r>
          <w:tab/>
        </w:r>
        <w:r>
          <w:t>986</w:t>
        </w:r>
      </w:hyperlink>
    </w:p>
    <w:p>
      <w:pPr>
        <w:pStyle w:val="TOC2"/>
      </w:pPr>
      <w:hyperlink w:anchor="_Toc300000514" w:history="1">
        <w:r>
          <w:t>Article 18.5: Treatment by Major Suppliers of Public Telecommunications Services</w:t>
        </w:r>
        <w:r>
          <w:tab/>
        </w:r>
        <w:r>
          <w:t>987</w:t>
        </w:r>
      </w:hyperlink>
    </w:p>
    <w:p>
      <w:pPr>
        <w:pStyle w:val="TOC2"/>
      </w:pPr>
      <w:hyperlink w:anchor="_Toc300000515" w:history="1">
        <w:r>
          <w:t>Article 18.6: Competitive Safeguards</w:t>
        </w:r>
        <w:r>
          <w:tab/>
        </w:r>
        <w:r>
          <w:t>987</w:t>
        </w:r>
      </w:hyperlink>
    </w:p>
    <w:p>
      <w:pPr>
        <w:pStyle w:val="TOC2"/>
      </w:pPr>
      <w:hyperlink w:anchor="_Toc300000516" w:history="1">
        <w:r>
          <w:t xml:space="preserve">Article 18.7: Resale</w:t>
        </w:r>
        <w:r>
          <w:rPr>
            <w:vertAlign w:val="superscript"/>
          </w:rPr>
          <w:t xml:space="preserve">7</w:t>
        </w:r>
        <w:r>
          <w:tab/>
        </w:r>
        <w:r>
          <w:t>988</w:t>
        </w:r>
      </w:hyperlink>
    </w:p>
    <w:p>
      <w:pPr>
        <w:pStyle w:val="TOC2"/>
      </w:pPr>
      <w:hyperlink w:anchor="_Toc300000517" w:history="1">
        <w:r>
          <w:t>Article 18.8: Unbundling of Network Elements</w:t>
        </w:r>
        <w:r>
          <w:tab/>
        </w:r>
        <w:r>
          <w:t>988</w:t>
        </w:r>
      </w:hyperlink>
    </w:p>
    <w:p>
      <w:pPr>
        <w:pStyle w:val="TOC2"/>
      </w:pPr>
      <w:hyperlink w:anchor="_Toc300000518" w:history="1">
        <w:r>
          <w:t>Article 18.9: Interconnection with Major Suppliers</w:t>
        </w:r>
        <w:r>
          <w:tab/>
        </w:r>
        <w:r>
          <w:t>988</w:t>
        </w:r>
      </w:hyperlink>
    </w:p>
    <w:p>
      <w:pPr>
        <w:pStyle w:val="TOC2"/>
      </w:pPr>
      <w:hyperlink w:anchor="_Toc300000519" w:history="1">
        <w:r>
          <w:t>Article 18.10: Provisioning and Pricing of Leased Circuits Services</w:t>
        </w:r>
        <w:r>
          <w:tab/>
        </w:r>
        <w:r>
          <w:t>989</w:t>
        </w:r>
      </w:hyperlink>
    </w:p>
    <w:p>
      <w:pPr>
        <w:pStyle w:val="TOC2"/>
      </w:pPr>
      <w:hyperlink w:anchor="_Toc300000520" w:history="1">
        <w:r>
          <w:t xml:space="preserve">Article 18.11: Co-Location</w:t>
        </w:r>
        <w:r>
          <w:rPr>
            <w:vertAlign w:val="superscript"/>
          </w:rPr>
          <w:t xml:space="preserve">8</w:t>
        </w:r>
        <w:r>
          <w:tab/>
        </w:r>
        <w:r>
          <w:t>989</w:t>
        </w:r>
      </w:hyperlink>
    </w:p>
    <w:p>
      <w:pPr>
        <w:pStyle w:val="TOC2"/>
      </w:pPr>
      <w:hyperlink w:anchor="_Toc300000521" w:history="1">
        <w:r>
          <w:t xml:space="preserve">Article 18.12: Access to Poles, Ducts, Conduits, and Rights-of-Way</w:t>
        </w:r>
        <w:r>
          <w:rPr>
            <w:vertAlign w:val="superscript"/>
          </w:rPr>
          <w:t xml:space="preserve">9</w:t>
        </w:r>
        <w:r>
          <w:tab/>
        </w:r>
        <w:r>
          <w:t>990</w:t>
        </w:r>
      </w:hyperlink>
    </w:p>
    <w:p>
      <w:pPr>
        <w:pStyle w:val="TOC2"/>
      </w:pPr>
      <w:hyperlink w:anchor="_Toc300000522" w:history="1">
        <w:r>
          <w:t>Article 18.13: Submarine Cable Systems</w:t>
        </w:r>
        <w:r>
          <w:tab/>
        </w:r>
        <w:r>
          <w:t>990</w:t>
        </w:r>
      </w:hyperlink>
    </w:p>
    <w:p>
      <w:pPr>
        <w:pStyle w:val="TOC2"/>
      </w:pPr>
      <w:hyperlink w:anchor="_Toc300000523" w:history="1">
        <w:r>
          <w:t xml:space="preserve">Article 18.14: Conditions for the Supply of Value-Added Services</w:t>
        </w:r>
        <w:r>
          <w:rPr>
            <w:vertAlign w:val="superscript"/>
          </w:rPr>
          <w:t xml:space="preserve">11</w:t>
        </w:r>
        <w:r>
          <w:tab/>
        </w:r>
        <w:r>
          <w:t>990</w:t>
        </w:r>
      </w:hyperlink>
    </w:p>
    <w:p>
      <w:pPr>
        <w:pStyle w:val="TOC2"/>
      </w:pPr>
      <w:hyperlink w:anchor="_Toc300000524" w:history="1">
        <w:r>
          <w:t>Article 18.15: Flexibility in the Choice of Technology</w:t>
        </w:r>
        <w:r>
          <w:tab/>
        </w:r>
        <w:r>
          <w:t>991</w:t>
        </w:r>
      </w:hyperlink>
    </w:p>
    <w:p>
      <w:pPr>
        <w:pStyle w:val="TOC2"/>
      </w:pPr>
      <w:hyperlink w:anchor="_Toc300000525" w:history="1">
        <w:r>
          <w:t>Article 18.16: Approaches to Regulation</w:t>
        </w:r>
        <w:r>
          <w:tab/>
        </w:r>
        <w:r>
          <w:t>991</w:t>
        </w:r>
      </w:hyperlink>
    </w:p>
    <w:p>
      <w:pPr>
        <w:pStyle w:val="TOC2"/>
      </w:pPr>
      <w:hyperlink w:anchor="_Toc300000526" w:history="1">
        <w:r>
          <w:t>Article 18.17: Telecommunications Regulatory Bodies</w:t>
        </w:r>
        <w:r>
          <w:tab/>
        </w:r>
        <w:r>
          <w:t>992</w:t>
        </w:r>
      </w:hyperlink>
    </w:p>
    <w:p>
      <w:pPr>
        <w:pStyle w:val="TOC2"/>
      </w:pPr>
      <w:hyperlink w:anchor="_Toc300000527" w:history="1">
        <w:r>
          <w:t>Article 18.18: State Enterprises</w:t>
        </w:r>
        <w:r>
          <w:tab/>
        </w:r>
        <w:r>
          <w:t>992</w:t>
        </w:r>
      </w:hyperlink>
    </w:p>
    <w:p>
      <w:pPr>
        <w:pStyle w:val="TOC2"/>
      </w:pPr>
      <w:hyperlink w:anchor="_Toc300000528" w:history="1">
        <w:r>
          <w:t>Article 18.19: Universal Services</w:t>
        </w:r>
        <w:r>
          <w:tab/>
        </w:r>
        <w:r>
          <w:t>992</w:t>
        </w:r>
      </w:hyperlink>
    </w:p>
    <w:p>
      <w:pPr>
        <w:pStyle w:val="TOC2"/>
      </w:pPr>
      <w:hyperlink w:anchor="_Toc300000529" w:history="1">
        <w:r>
          <w:t>Article 18.20: Licensing Process</w:t>
        </w:r>
        <w:r>
          <w:tab/>
        </w:r>
        <w:r>
          <w:t>992</w:t>
        </w:r>
      </w:hyperlink>
    </w:p>
    <w:p>
      <w:pPr>
        <w:pStyle w:val="TOC2"/>
      </w:pPr>
      <w:hyperlink w:anchor="_Toc300000530" w:history="1">
        <w:r>
          <w:t>Article 18.21: Allocation and Use of Scarce Resources</w:t>
        </w:r>
        <w:r>
          <w:tab/>
        </w:r>
        <w:r>
          <w:t>992</w:t>
        </w:r>
      </w:hyperlink>
    </w:p>
    <w:p>
      <w:pPr>
        <w:pStyle w:val="TOC2"/>
      </w:pPr>
      <w:hyperlink w:anchor="_Toc300000531" w:history="1">
        <w:r>
          <w:t>Article 18.22: Enforcement</w:t>
        </w:r>
        <w:r>
          <w:tab/>
        </w:r>
        <w:r>
          <w:t>993</w:t>
        </w:r>
      </w:hyperlink>
    </w:p>
    <w:p>
      <w:pPr>
        <w:pStyle w:val="TOC2"/>
      </w:pPr>
      <w:hyperlink w:anchor="_Toc300000532" w:history="1">
        <w:r>
          <w:t>Article 18.23: Resolution of Disputes</w:t>
        </w:r>
        <w:r>
          <w:tab/>
        </w:r>
        <w:r>
          <w:t>993</w:t>
        </w:r>
      </w:hyperlink>
    </w:p>
    <w:p>
      <w:pPr>
        <w:pStyle w:val="TOC2"/>
      </w:pPr>
      <w:hyperlink w:anchor="_Toc300000533" w:history="1">
        <w:r>
          <w:t>Article 18.24: Transparency</w:t>
        </w:r>
        <w:r>
          <w:tab/>
        </w:r>
        <w:r>
          <w:t>994</w:t>
        </w:r>
      </w:hyperlink>
    </w:p>
    <w:p>
      <w:pPr>
        <w:pStyle w:val="TOC2"/>
      </w:pPr>
      <w:hyperlink w:anchor="_Toc300000534" w:history="1">
        <w:r>
          <w:t>Article 18.25: International Roaming Services</w:t>
        </w:r>
        <w:r>
          <w:tab/>
        </w:r>
        <w:r>
          <w:t>994</w:t>
        </w:r>
      </w:hyperlink>
    </w:p>
    <w:p>
      <w:pPr>
        <w:pStyle w:val="TOC2"/>
      </w:pPr>
      <w:hyperlink w:anchor="_Toc300000535" w:history="1">
        <w:r>
          <w:t>Article 18.26: Relation to Other Chapters</w:t>
        </w:r>
        <w:r>
          <w:tab/>
        </w:r>
        <w:r>
          <w:t>995</w:t>
        </w:r>
      </w:hyperlink>
    </w:p>
    <w:p>
      <w:pPr>
        <w:pStyle w:val="TOC2"/>
      </w:pPr>
      <w:hyperlink w:anchor="_Toc300000536" w:history="1">
        <w:r>
          <w:t>Article 18.27: Telecommunications Committee</w:t>
        </w:r>
        <w:r>
          <w:tab/>
        </w:r>
        <w:r>
          <w:t>995</w:t>
        </w:r>
      </w:hyperlink>
    </w:p>
    <w:p>
      <w:pPr>
        <w:pStyle w:val="TOC2"/>
      </w:pPr>
      <w:hyperlink w:anchor="_Toc300000537" w:history="1">
        <w:r>
          <w:t>ANNEX 18-A RURAL TELEPHONE SUPPLIERS</w:t>
        </w:r>
        <w:r>
          <w:tab/>
        </w:r>
        <w:r>
          <w:t>995</w:t>
        </w:r>
      </w:hyperlink>
    </w:p>
    <w:p>
      <w:pPr>
        <w:pStyle w:val="TOC1"/>
      </w:pPr>
      <w:hyperlink w:anchor="_Toc300000538" w:history="1">
        <w:r>
          <w:t>CHAPTER 19 DIGITAL TRADE</w:t>
        </w:r>
        <w:r>
          <w:tab/>
        </w:r>
        <w:r>
          <w:t>996</w:t>
        </w:r>
      </w:hyperlink>
    </w:p>
    <w:p>
      <w:pPr>
        <w:pStyle w:val="TOC2"/>
      </w:pPr>
      <w:hyperlink w:anchor="_Toc300000539" w:history="1">
        <w:r>
          <w:t>Article 19.1: Definitions</w:t>
        </w:r>
        <w:r>
          <w:tab/>
        </w:r>
        <w:r>
          <w:t>996</w:t>
        </w:r>
      </w:hyperlink>
    </w:p>
    <w:p>
      <w:pPr>
        <w:pStyle w:val="TOC2"/>
      </w:pPr>
      <w:hyperlink w:anchor="_Toc300000540" w:history="1">
        <w:r>
          <w:t>Article 19.2: Scope and General Provisions</w:t>
        </w:r>
        <w:r>
          <w:tab/>
        </w:r>
        <w:r>
          <w:t>996</w:t>
        </w:r>
      </w:hyperlink>
    </w:p>
    <w:p>
      <w:pPr>
        <w:pStyle w:val="TOC2"/>
      </w:pPr>
      <w:hyperlink w:anchor="_Toc300000541" w:history="1">
        <w:r>
          <w:t>Article 19.3: Customs Duties</w:t>
        </w:r>
        <w:r>
          <w:tab/>
        </w:r>
        <w:r>
          <w:t>997</w:t>
        </w:r>
      </w:hyperlink>
    </w:p>
    <w:p>
      <w:pPr>
        <w:pStyle w:val="TOC2"/>
      </w:pPr>
      <w:hyperlink w:anchor="_Toc300000542" w:history="1">
        <w:r>
          <w:t>Article 19.4: Non-Discriminatory Treatment of Digital Products</w:t>
        </w:r>
        <w:r>
          <w:tab/>
        </w:r>
        <w:r>
          <w:t>997</w:t>
        </w:r>
      </w:hyperlink>
    </w:p>
    <w:p>
      <w:pPr>
        <w:pStyle w:val="TOC2"/>
      </w:pPr>
      <w:hyperlink w:anchor="_Toc300000543" w:history="1">
        <w:r>
          <w:t>Article 19.5: Domestic Electronic Transactions Framework</w:t>
        </w:r>
        <w:r>
          <w:tab/>
        </w:r>
        <w:r>
          <w:t>997</w:t>
        </w:r>
      </w:hyperlink>
    </w:p>
    <w:p>
      <w:pPr>
        <w:pStyle w:val="TOC2"/>
      </w:pPr>
      <w:hyperlink w:anchor="_Toc300000544" w:history="1">
        <w:r>
          <w:t>Article 19.6: Electronic Authentication and Electronic Signatures</w:t>
        </w:r>
        <w:r>
          <w:tab/>
        </w:r>
        <w:r>
          <w:t>997</w:t>
        </w:r>
      </w:hyperlink>
    </w:p>
    <w:p>
      <w:pPr>
        <w:pStyle w:val="TOC2"/>
      </w:pPr>
      <w:hyperlink w:anchor="_Toc300000545" w:history="1">
        <w:r>
          <w:t>Article 19.7: Online Consumer Protection</w:t>
        </w:r>
        <w:r>
          <w:tab/>
        </w:r>
        <w:r>
          <w:t>998</w:t>
        </w:r>
      </w:hyperlink>
    </w:p>
    <w:p>
      <w:pPr>
        <w:pStyle w:val="TOC2"/>
      </w:pPr>
      <w:hyperlink w:anchor="_Toc300000546" w:history="1">
        <w:r>
          <w:t>Article 19.8: Personal Information Protection</w:t>
        </w:r>
        <w:r>
          <w:tab/>
        </w:r>
        <w:r>
          <w:t>998</w:t>
        </w:r>
      </w:hyperlink>
    </w:p>
    <w:p>
      <w:pPr>
        <w:pStyle w:val="TOC2"/>
      </w:pPr>
      <w:hyperlink w:anchor="_Toc300000547" w:history="1">
        <w:r>
          <w:t>Article 19.9: Paperless Trading</w:t>
        </w:r>
        <w:r>
          <w:tab/>
        </w:r>
        <w:r>
          <w:t>998</w:t>
        </w:r>
      </w:hyperlink>
    </w:p>
    <w:p>
      <w:pPr>
        <w:pStyle w:val="TOC2"/>
      </w:pPr>
      <w:hyperlink w:anchor="_Toc300000548" w:history="1">
        <w:r>
          <w:t>Article 19.10: Principles on Access to and Use of the Internet for Digital Trade</w:t>
        </w:r>
        <w:r>
          <w:tab/>
        </w:r>
        <w:r>
          <w:t>998</w:t>
        </w:r>
      </w:hyperlink>
    </w:p>
    <w:p>
      <w:pPr>
        <w:pStyle w:val="TOC2"/>
      </w:pPr>
      <w:hyperlink w:anchor="_Toc300000549" w:history="1">
        <w:r>
          <w:t>Article 19.11: Cross-Border Transfer of Information by Electronic Means</w:t>
        </w:r>
        <w:r>
          <w:tab/>
        </w:r>
        <w:r>
          <w:t>998</w:t>
        </w:r>
      </w:hyperlink>
    </w:p>
    <w:p>
      <w:pPr>
        <w:pStyle w:val="TOC2"/>
      </w:pPr>
      <w:hyperlink w:anchor="_Toc300000550" w:history="1">
        <w:r>
          <w:t>Article 19.12: Location of Computing Facilities</w:t>
        </w:r>
        <w:r>
          <w:tab/>
        </w:r>
        <w:r>
          <w:t>998</w:t>
        </w:r>
      </w:hyperlink>
    </w:p>
    <w:p>
      <w:pPr>
        <w:pStyle w:val="TOC2"/>
      </w:pPr>
      <w:hyperlink w:anchor="_Toc300000551" w:history="1">
        <w:r>
          <w:t>Article 19.13: Unsolicited Commercial Electronic Communications</w:t>
        </w:r>
        <w:r>
          <w:tab/>
        </w:r>
        <w:r>
          <w:t>999</w:t>
        </w:r>
      </w:hyperlink>
    </w:p>
    <w:p>
      <w:pPr>
        <w:pStyle w:val="TOC2"/>
      </w:pPr>
      <w:hyperlink w:anchor="_Toc300000552" w:history="1">
        <w:r>
          <w:t>Article 19.14: Cooperation</w:t>
        </w:r>
        <w:r>
          <w:tab/>
        </w:r>
        <w:r>
          <w:t>999</w:t>
        </w:r>
      </w:hyperlink>
    </w:p>
    <w:p>
      <w:pPr>
        <w:pStyle w:val="TOC2"/>
      </w:pPr>
      <w:hyperlink w:anchor="_Toc300000553" w:history="1">
        <w:r>
          <w:t>Article 19.15: Cybersecurity</w:t>
        </w:r>
        <w:r>
          <w:tab/>
        </w:r>
        <w:r>
          <w:t>1000</w:t>
        </w:r>
      </w:hyperlink>
    </w:p>
    <w:p>
      <w:pPr>
        <w:pStyle w:val="TOC2"/>
      </w:pPr>
      <w:hyperlink w:anchor="_Toc300000554" w:history="1">
        <w:r>
          <w:t>Article 19.16: Source Code</w:t>
        </w:r>
        <w:r>
          <w:tab/>
        </w:r>
        <w:r>
          <w:t>1000</w:t>
        </w:r>
      </w:hyperlink>
    </w:p>
    <w:p>
      <w:pPr>
        <w:pStyle w:val="TOC2"/>
      </w:pPr>
      <w:hyperlink w:anchor="_Toc300000555" w:history="1">
        <w:r>
          <w:t>Article 19.17: Interactive Computer Services</w:t>
        </w:r>
        <w:r>
          <w:tab/>
        </w:r>
        <w:r>
          <w:t>1000</w:t>
        </w:r>
      </w:hyperlink>
    </w:p>
    <w:p>
      <w:pPr>
        <w:pStyle w:val="TOC2"/>
      </w:pPr>
      <w:hyperlink w:anchor="_Toc300000556" w:history="1">
        <w:r>
          <w:t>Article 19.18: Open Government Data</w:t>
        </w:r>
        <w:r>
          <w:tab/>
        </w:r>
        <w:r>
          <w:t>1001</w:t>
        </w:r>
      </w:hyperlink>
    </w:p>
    <w:p>
      <w:pPr>
        <w:pStyle w:val="TOC2"/>
      </w:pPr>
      <w:hyperlink w:anchor="_Toc300000557" w:history="1">
        <w:r>
          <w:t>ANNEX 19-A</w:t>
        </w:r>
        <w:r>
          <w:tab/>
        </w:r>
        <w:r>
          <w:t>1001</w:t>
        </w:r>
      </w:hyperlink>
    </w:p>
    <w:p>
      <w:pPr>
        <w:pStyle w:val="TOC2"/>
      </w:pPr>
      <w:hyperlink w:anchor="_Toc300000558" w:history="1">
        <w:r>
          <w:t>CHAPTER 19: CUSMA 2.0 MODERNIZATION PROVISIONS</w:t>
        </w:r>
        <w:r>
          <w:tab/>
        </w:r>
        <w:r>
          <w:t>1002</w:t>
        </w:r>
      </w:hyperlink>
    </w:p>
    <w:p>
      <w:pPr>
        <w:pStyle w:val="TOC2"/>
      </w:pPr>
      <w:hyperlink w:anchor="_Toc300000559" w:history="1">
        <w:r>
          <w:t>Article 19.A: Scope Modernization</w:t>
        </w:r>
        <w:r>
          <w:tab/>
        </w:r>
        <w:r>
          <w:t>1002</w:t>
        </w:r>
      </w:hyperlink>
    </w:p>
    <w:p>
      <w:pPr>
        <w:pStyle w:val="TOC2"/>
      </w:pPr>
      <w:hyperlink w:anchor="_Toc300000560" w:history="1">
        <w:r>
          <w:t>Article 19.B: Cybersecurity Cooperation for Trade Infrastructure</w:t>
        </w:r>
        <w:r>
          <w:tab/>
        </w:r>
        <w:r>
          <w:t>1003</w:t>
        </w:r>
      </w:hyperlink>
    </w:p>
    <w:p>
      <w:pPr>
        <w:pStyle w:val="TOC2"/>
      </w:pPr>
      <w:hyperlink w:anchor="_Toc300000561" w:history="1">
        <w:r>
          <w:t>Article 19.C: Electronic Payments</w:t>
        </w:r>
        <w:r>
          <w:tab/>
        </w:r>
        <w:r>
          <w:t>1003</w:t>
        </w:r>
      </w:hyperlink>
    </w:p>
    <w:p>
      <w:pPr>
        <w:pStyle w:val="TOC2"/>
      </w:pPr>
      <w:hyperlink w:anchor="_Toc300000562" w:history="1">
        <w:r>
          <w:t>Article 19.D: Data Governance and Interoperability</w:t>
        </w:r>
        <w:r>
          <w:tab/>
        </w:r>
        <w:r>
          <w:t>1004</w:t>
        </w:r>
      </w:hyperlink>
    </w:p>
    <w:p>
      <w:pPr>
        <w:pStyle w:val="TOC2"/>
      </w:pPr>
      <w:hyperlink w:anchor="_Toc300000563" w:history="1">
        <w:r>
          <w:t>Article 19.E: Digital Identity and Trust Services</w:t>
        </w:r>
        <w:r>
          <w:tab/>
        </w:r>
        <w:r>
          <w:t>1004</w:t>
        </w:r>
      </w:hyperlink>
    </w:p>
    <w:p>
      <w:pPr>
        <w:pStyle w:val="TOC2"/>
      </w:pPr>
      <w:hyperlink w:anchor="_Toc300000564" w:history="1">
        <w:r>
          <w:t>Article 19.F: Committee on Digital Trade Cooperation</w:t>
        </w:r>
        <w:r>
          <w:tab/>
        </w:r>
        <w:r>
          <w:t>1004</w:t>
        </w:r>
      </w:hyperlink>
    </w:p>
    <w:p>
      <w:pPr>
        <w:pStyle w:val="TOC2"/>
      </w:pPr>
      <w:hyperlink w:anchor="_Toc300000565" w:history="1">
        <w:r>
          <w:t>Article 19.G: Open Government Data for Trade</w:t>
        </w:r>
        <w:r>
          <w:tab/>
        </w:r>
        <w:r>
          <w:t>1004</w:t>
        </w:r>
      </w:hyperlink>
    </w:p>
    <w:p>
      <w:pPr>
        <w:pStyle w:val="TOC2"/>
      </w:pPr>
      <w:hyperlink w:anchor="_Toc300000566" w:history="1">
        <w:r>
          <w:t>Article 19.H: Digital Regulatory Interoperability and Verified Outcomes</w:t>
        </w:r>
        <w:r>
          <w:tab/>
        </w:r>
        <w:r>
          <w:t>1004</w:t>
        </w:r>
      </w:hyperlink>
    </w:p>
    <w:p>
      <w:pPr>
        <w:pStyle w:val="TOC2"/>
      </w:pPr>
      <w:hyperlink w:anchor="_Toc300000567" w:history="1">
        <w:r>
          <w:t>Article 19.I: Portable Compliance Evidence and Regulatory Reliance</w:t>
        </w:r>
        <w:r>
          <w:tab/>
        </w:r>
        <w:r>
          <w:t>1005</w:t>
        </w:r>
      </w:hyperlink>
    </w:p>
    <w:p>
      <w:pPr>
        <w:pStyle w:val="TOC2"/>
      </w:pPr>
      <w:hyperlink w:anchor="_Toc300000568" w:history="1">
        <w:r>
          <w:t>Article 19.J: Child-Safe Digital Services and Incentive-Based Safety</w:t>
        </w:r>
        <w:r>
          <w:tab/>
        </w:r>
        <w:r>
          <w:t>1006</w:t>
        </w:r>
      </w:hyperlink>
    </w:p>
    <w:p>
      <w:pPr>
        <w:pStyle w:val="TOC2"/>
      </w:pPr>
      <w:hyperlink w:anchor="_Toc300000569" w:history="1">
        <w:r>
          <w:t>Article 19.K: Privacy-Preserving Age Assurance and Anonymous Adult Access</w:t>
        </w:r>
        <w:r>
          <w:tab/>
        </w:r>
        <w:r>
          <w:t>1007</w:t>
        </w:r>
      </w:hyperlink>
    </w:p>
    <w:p>
      <w:pPr>
        <w:pStyle w:val="TOC2"/>
      </w:pPr>
      <w:hyperlink w:anchor="_Toc300000570" w:history="1">
        <w:r>
          <w:t>Article 19.L: Digital Content and Function Risk Bands</w:t>
        </w:r>
        <w:r>
          <w:tab/>
        </w:r>
        <w:r>
          <w:t>1007</w:t>
        </w:r>
      </w:hyperlink>
    </w:p>
    <w:p>
      <w:pPr>
        <w:pStyle w:val="TOC2"/>
      </w:pPr>
      <w:hyperlink w:anchor="_Toc300000571" w:history="1">
        <w:r>
          <w:t>Article 19.M: Interactive Artificial Intelligence and Minor Safety</w:t>
        </w:r>
        <w:r>
          <w:tab/>
        </w:r>
        <w:r>
          <w:t>1008</w:t>
        </w:r>
      </w:hyperlink>
    </w:p>
    <w:p>
      <w:pPr>
        <w:pStyle w:val="TOC2"/>
      </w:pPr>
      <w:hyperlink w:anchor="_Toc300000572" w:history="1">
        <w:r>
          <w:t>Article 19.N: Encryption, Source Code, and Security-by-Design</w:t>
        </w:r>
        <w:r>
          <w:tab/>
        </w:r>
        <w:r>
          <w:t>1008</w:t>
        </w:r>
      </w:hyperlink>
    </w:p>
    <w:p>
      <w:pPr>
        <w:pStyle w:val="TOC2"/>
      </w:pPr>
      <w:hyperlink w:anchor="_Toc300000573" w:history="1">
        <w:r>
          <w:t>Article 19.O: Cybersecurity Interoperability and Reusable Assurance</w:t>
        </w:r>
        <w:r>
          <w:tab/>
        </w:r>
        <w:r>
          <w:t>1008</w:t>
        </w:r>
      </w:hyperlink>
    </w:p>
    <w:p>
      <w:pPr>
        <w:pStyle w:val="TOC2"/>
      </w:pPr>
      <w:hyperlink w:anchor="_Toc300000574" w:history="1">
        <w:r>
          <w:t>Article 19.P: Artificial Intelligence Capability and Productivity</w:t>
        </w:r>
        <w:r>
          <w:tab/>
        </w:r>
        <w:r>
          <w:t>1009</w:t>
        </w:r>
      </w:hyperlink>
    </w:p>
    <w:p>
      <w:pPr>
        <w:pStyle w:val="TOC2"/>
      </w:pPr>
      <w:hyperlink w:anchor="_Toc300000575" w:history="1">
        <w:r>
          <w:t>Article 19.Q: North American AI Literacy, Skills, and Opportunity</w:t>
        </w:r>
        <w:r>
          <w:tab/>
        </w:r>
        <w:r>
          <w:t>1009</w:t>
        </w:r>
      </w:hyperlink>
    </w:p>
    <w:p>
      <w:pPr>
        <w:pStyle w:val="TOC2"/>
      </w:pPr>
      <w:hyperlink w:anchor="_Toc300000576" w:history="1">
        <w:r>
          <w:t>Article 19.R: Portable AI Credentials and Workforce Mobility</w:t>
        </w:r>
        <w:r>
          <w:tab/>
        </w:r>
        <w:r>
          <w:t>1010</w:t>
        </w:r>
      </w:hyperlink>
    </w:p>
    <w:p>
      <w:pPr>
        <w:pStyle w:val="TOC2"/>
      </w:pPr>
      <w:hyperlink w:anchor="_Toc300000577" w:history="1">
        <w:r>
          <w:t>Article 19.S: SME Artificial Intelligence Diffusion</w:t>
        </w:r>
        <w:r>
          <w:tab/>
        </w:r>
        <w:r>
          <w:t>1010</w:t>
        </w:r>
      </w:hyperlink>
    </w:p>
    <w:p>
      <w:pPr>
        <w:pStyle w:val="TOC2"/>
      </w:pPr>
      <w:hyperlink w:anchor="_Toc300000578" w:history="1">
        <w:r>
          <w:t>Article 19.T: AI-Ready Public Data and Modular Government Technology</w:t>
        </w:r>
        <w:r>
          <w:tab/>
        </w:r>
        <w:r>
          <w:t>1011</w:t>
        </w:r>
      </w:hyperlink>
    </w:p>
    <w:p>
      <w:pPr>
        <w:pStyle w:val="TOC2"/>
      </w:pPr>
      <w:hyperlink w:anchor="_Toc300000579" w:history="1">
        <w:r>
          <w:t>Article 19.U: AI Productivity Dividend and Experimental Public-Service Adoption</w:t>
        </w:r>
        <w:r>
          <w:tab/>
        </w:r>
        <w:r>
          <w:t>1011</w:t>
        </w:r>
      </w:hyperlink>
    </w:p>
    <w:p>
      <w:pPr>
        <w:pStyle w:val="TOC2"/>
      </w:pPr>
      <w:hyperlink w:anchor="_Toc300000580" w:history="1">
        <w:r>
          <w:t>Article 19.V: AI-Enabled Health Innovation and Interoperability</w:t>
        </w:r>
        <w:r>
          <w:tab/>
        </w:r>
        <w:r>
          <w:t>1011</w:t>
        </w:r>
      </w:hyperlink>
    </w:p>
    <w:p>
      <w:pPr>
        <w:pStyle w:val="TOC2"/>
      </w:pPr>
      <w:hyperlink w:anchor="_Toc300000581" w:history="1">
        <w:r>
          <w:t>Article 19.W: North American Medical AI Evaluation and Research Evidence</w:t>
        </w:r>
        <w:r>
          <w:tab/>
        </w:r>
        <w:r>
          <w:t>1011</w:t>
        </w:r>
      </w:hyperlink>
    </w:p>
    <w:p>
      <w:pPr>
        <w:pStyle w:val="TOC2"/>
      </w:pPr>
      <w:hyperlink w:anchor="_Toc300000582" w:history="1">
        <w:r>
          <w:t>Article 19.X: AI Vendor Interoperability, Competition, and Open Interfaces</w:t>
        </w:r>
        <w:r>
          <w:tab/>
        </w:r>
        <w:r>
          <w:t>1012</w:t>
        </w:r>
      </w:hyperlink>
    </w:p>
    <w:p>
      <w:pPr>
        <w:pStyle w:val="TOC2"/>
      </w:pPr>
      <w:hyperlink w:anchor="_Toc300000583" w:history="1">
        <w:r>
          <w:t>Article 19.Y: Functional Classification of Digital Financial Services</w:t>
        </w:r>
        <w:r>
          <w:tab/>
        </w:r>
        <w:r>
          <w:t>1012</w:t>
        </w:r>
      </w:hyperlink>
    </w:p>
    <w:p>
      <w:pPr>
        <w:pStyle w:val="TOC2"/>
      </w:pPr>
      <w:hyperlink w:anchor="_Toc300000584" w:history="1">
        <w:r>
          <w:t>Article 19.Z: Existing-Institution Presumption for Digital and AI Cooperation</w:t>
        </w:r>
        <w:r>
          <w:tab/>
        </w:r>
        <w:r>
          <w:t>1013</w:t>
        </w:r>
      </w:hyperlink>
    </w:p>
    <w:p>
      <w:pPr>
        <w:pStyle w:val="TOC1"/>
      </w:pPr>
      <w:hyperlink w:anchor="_Toc901200009" w:history="1">
        <w:r>
          <w:t xml:space="preserve">CHAPTER 20 INTELLECTUAL PROPERTY RIGHTS Section A: General Provisions</w:t>
        </w:r>
        <w:r>
          <w:tab/>
        </w:r>
        <w:r>
          <w:t>1014</w:t>
        </w:r>
      </w:hyperlink>
    </w:p>
    <w:p>
      <w:pPr>
        <w:pStyle w:val="TOC2"/>
      </w:pPr>
      <w:hyperlink w:anchor="_Toc901200010" w:history="1">
        <w:r>
          <w:t>Article 20.1: Definitions</w:t>
        </w:r>
        <w:r>
          <w:tab/>
        </w:r>
        <w:r>
          <w:t>1014</w:t>
        </w:r>
      </w:hyperlink>
    </w:p>
    <w:p>
      <w:pPr>
        <w:pStyle w:val="TOC2"/>
      </w:pPr>
      <w:hyperlink w:anchor="_Toc901200011" w:history="1">
        <w:r>
          <w:t>Article 20.2: Objectives</w:t>
        </w:r>
        <w:r>
          <w:tab/>
        </w:r>
        <w:r>
          <w:t>1015</w:t>
        </w:r>
      </w:hyperlink>
    </w:p>
    <w:p>
      <w:pPr>
        <w:pStyle w:val="TOC2"/>
      </w:pPr>
      <w:hyperlink w:anchor="_Toc901200012" w:history="1">
        <w:r>
          <w:t>Article 20.3: Principles</w:t>
        </w:r>
        <w:r>
          <w:tab/>
        </w:r>
        <w:r>
          <w:t>1015</w:t>
        </w:r>
      </w:hyperlink>
    </w:p>
    <w:p>
      <w:pPr>
        <w:pStyle w:val="TOC2"/>
      </w:pPr>
      <w:hyperlink w:anchor="_Toc901200013" w:history="1">
        <w:r>
          <w:t>Article 20.4: Understandings in Respect of this Chapter</w:t>
        </w:r>
        <w:r>
          <w:tab/>
        </w:r>
        <w:r>
          <w:t>1015</w:t>
        </w:r>
      </w:hyperlink>
    </w:p>
    <w:p>
      <w:pPr>
        <w:pStyle w:val="TOC2"/>
      </w:pPr>
      <w:hyperlink w:anchor="_Toc901200014" w:history="1">
        <w:r>
          <w:t>Article 20.5: Nature and Scope of Obligations</w:t>
        </w:r>
        <w:r>
          <w:tab/>
        </w:r>
        <w:r>
          <w:t>1015</w:t>
        </w:r>
      </w:hyperlink>
    </w:p>
    <w:p>
      <w:pPr>
        <w:pStyle w:val="TOC2"/>
      </w:pPr>
      <w:hyperlink w:anchor="_Toc901200015" w:history="1">
        <w:r>
          <w:t>Article 20.6: Understandings Regarding Certain Public Health Measures</w:t>
        </w:r>
        <w:r>
          <w:tab/>
        </w:r>
        <w:r>
          <w:t>1016</w:t>
        </w:r>
      </w:hyperlink>
    </w:p>
    <w:p>
      <w:pPr>
        <w:pStyle w:val="TOC2"/>
      </w:pPr>
      <w:hyperlink w:anchor="_Toc901200016" w:history="1">
        <w:r>
          <w:t>Article 20.7: International Agreements</w:t>
        </w:r>
        <w:r>
          <w:tab/>
        </w:r>
        <w:r>
          <w:t>1016</w:t>
        </w:r>
      </w:hyperlink>
    </w:p>
    <w:p>
      <w:pPr>
        <w:pStyle w:val="TOC2"/>
      </w:pPr>
      <w:hyperlink w:anchor="_Toc901200017" w:history="1">
        <w:r>
          <w:t>Article 20.8: National Treatment</w:t>
        </w:r>
        <w:r>
          <w:tab/>
        </w:r>
        <w:r>
          <w:t>1017</w:t>
        </w:r>
      </w:hyperlink>
    </w:p>
    <w:p>
      <w:pPr>
        <w:pStyle w:val="TOC2"/>
      </w:pPr>
      <w:hyperlink w:anchor="_Toc901200018" w:history="1">
        <w:r>
          <w:t>Article 20.9: Transparency</w:t>
        </w:r>
        <w:r>
          <w:tab/>
        </w:r>
        <w:r>
          <w:t>1017</w:t>
        </w:r>
      </w:hyperlink>
    </w:p>
    <w:p>
      <w:pPr>
        <w:pStyle w:val="TOC2"/>
      </w:pPr>
      <w:hyperlink w:anchor="_Toc901200019" w:history="1">
        <w:r>
          <w:t>Article 20.10: Application of Chapter to Existing Subject Matter and Prior Acts</w:t>
        </w:r>
        <w:r>
          <w:tab/>
        </w:r>
        <w:r>
          <w:t>1017</w:t>
        </w:r>
      </w:hyperlink>
    </w:p>
    <w:p>
      <w:pPr>
        <w:pStyle w:val="TOC2"/>
      </w:pPr>
      <w:hyperlink w:anchor="_Toc901200020" w:history="1">
        <w:r>
          <w:t>Article 20.11: Exhaustion of Intellectual Property Rights</w:t>
        </w:r>
        <w:r>
          <w:tab/>
        </w:r>
        <w:r>
          <w:t>1017</w:t>
        </w:r>
      </w:hyperlink>
    </w:p>
    <w:p>
      <w:pPr>
        <w:pStyle w:val="TOC2"/>
      </w:pPr>
      <w:hyperlink w:anchor="_Toc901200021" w:history="1">
        <w:r>
          <w:t>Article 20.12: Contact Points for Cooperation</w:t>
        </w:r>
        <w:r>
          <w:tab/>
        </w:r>
        <w:r>
          <w:t>1017</w:t>
        </w:r>
      </w:hyperlink>
    </w:p>
    <w:p>
      <w:pPr>
        <w:pStyle w:val="TOC2"/>
      </w:pPr>
      <w:hyperlink w:anchor="_Toc901200022" w:history="1">
        <w:r>
          <w:t>Article 20.13: Cooperation</w:t>
        </w:r>
        <w:r>
          <w:tab/>
        </w:r>
        <w:r>
          <w:t>1017</w:t>
        </w:r>
      </w:hyperlink>
    </w:p>
    <w:p>
      <w:pPr>
        <w:pStyle w:val="TOC2"/>
      </w:pPr>
      <w:hyperlink w:anchor="_Toc901200023" w:history="1">
        <w:r>
          <w:t>Article 20.14: Committee on Intellectual Property Rights</w:t>
        </w:r>
        <w:r>
          <w:tab/>
        </w:r>
        <w:r>
          <w:t>1017</w:t>
        </w:r>
      </w:hyperlink>
    </w:p>
    <w:p>
      <w:pPr>
        <w:pStyle w:val="TOC2"/>
      </w:pPr>
      <w:hyperlink w:anchor="_Toc901200024" w:history="1">
        <w:r>
          <w:t>Article 20.15: Patent Cooperation and Work Sharing</w:t>
        </w:r>
        <w:r>
          <w:tab/>
        </w:r>
        <w:r>
          <w:t>1018</w:t>
        </w:r>
      </w:hyperlink>
    </w:p>
    <w:p>
      <w:pPr>
        <w:pStyle w:val="TOC2"/>
      </w:pPr>
      <w:hyperlink w:anchor="_Toc901200025" w:history="1">
        <w:r>
          <w:t>Article 20.16: Cooperation on Request</w:t>
        </w:r>
        <w:r>
          <w:tab/>
        </w:r>
        <w:r>
          <w:t>1019</w:t>
        </w:r>
      </w:hyperlink>
    </w:p>
    <w:p>
      <w:pPr>
        <w:pStyle w:val="TOC2"/>
      </w:pPr>
      <w:hyperlink w:anchor="_Toc901200026" w:history="1">
        <w:r>
          <w:t>Article 20.17: Types of Signs Registrable as Trademarks</w:t>
        </w:r>
        <w:r>
          <w:tab/>
        </w:r>
        <w:r>
          <w:t>1019</w:t>
        </w:r>
      </w:hyperlink>
    </w:p>
    <w:p>
      <w:pPr>
        <w:pStyle w:val="TOC2"/>
      </w:pPr>
      <w:hyperlink w:anchor="_Toc901200027" w:history="1">
        <w:r>
          <w:t>Article 20.18: Collective and Certification Marks</w:t>
        </w:r>
        <w:r>
          <w:tab/>
        </w:r>
        <w:r>
          <w:t>1019</w:t>
        </w:r>
      </w:hyperlink>
    </w:p>
    <w:p>
      <w:pPr>
        <w:pStyle w:val="TOC2"/>
      </w:pPr>
      <w:hyperlink w:anchor="_Toc901200028" w:history="1">
        <w:r>
          <w:t>Article 20.19: Use of Identical or Similar Signs</w:t>
        </w:r>
        <w:r>
          <w:tab/>
        </w:r>
        <w:r>
          <w:t>1019</w:t>
        </w:r>
      </w:hyperlink>
    </w:p>
    <w:p>
      <w:pPr>
        <w:pStyle w:val="TOC2"/>
      </w:pPr>
      <w:hyperlink w:anchor="_Toc901200029" w:history="1">
        <w:r>
          <w:t>Article 20.20: Exceptions</w:t>
        </w:r>
        <w:r>
          <w:tab/>
        </w:r>
        <w:r>
          <w:t>1019</w:t>
        </w:r>
      </w:hyperlink>
    </w:p>
    <w:p>
      <w:pPr>
        <w:pStyle w:val="TOC2"/>
      </w:pPr>
      <w:hyperlink w:anchor="_Toc901200030" w:history="1">
        <w:r>
          <w:t>Article 20.21: Well-Known Trademarks</w:t>
        </w:r>
        <w:r>
          <w:tab/>
        </w:r>
        <w:r>
          <w:t>1020</w:t>
        </w:r>
      </w:hyperlink>
    </w:p>
    <w:p>
      <w:pPr>
        <w:pStyle w:val="TOC2"/>
      </w:pPr>
      <w:hyperlink w:anchor="_Toc901200031" w:history="1">
        <w:r>
          <w:t>Article 20.22: Procedural Aspects of Examination, Opposition, and Cancellation</w:t>
        </w:r>
        <w:r>
          <w:tab/>
        </w:r>
        <w:r>
          <w:t>1020</w:t>
        </w:r>
      </w:hyperlink>
    </w:p>
    <w:p>
      <w:pPr>
        <w:pStyle w:val="TOC2"/>
      </w:pPr>
      <w:hyperlink w:anchor="_Toc901200032" w:history="1">
        <w:r>
          <w:t>Article 20.23: Electronic Trademarks System</w:t>
        </w:r>
        <w:r>
          <w:tab/>
        </w:r>
        <w:r>
          <w:t>1021</w:t>
        </w:r>
      </w:hyperlink>
    </w:p>
    <w:p>
      <w:pPr>
        <w:pStyle w:val="TOC2"/>
      </w:pPr>
      <w:hyperlink w:anchor="_Toc901200033" w:history="1">
        <w:r>
          <w:t>Article 20.24: Classification of Goods and Services</w:t>
        </w:r>
        <w:r>
          <w:tab/>
        </w:r>
        <w:r>
          <w:t>1021</w:t>
        </w:r>
      </w:hyperlink>
    </w:p>
    <w:p>
      <w:pPr>
        <w:pStyle w:val="TOC2"/>
      </w:pPr>
      <w:hyperlink w:anchor="_Toc901200034" w:history="1">
        <w:r>
          <w:t>Article 20.25: Term of Protection for Trademarks</w:t>
        </w:r>
        <w:r>
          <w:tab/>
        </w:r>
        <w:r>
          <w:t>1021</w:t>
        </w:r>
      </w:hyperlink>
    </w:p>
    <w:p>
      <w:pPr>
        <w:pStyle w:val="TOC2"/>
      </w:pPr>
      <w:hyperlink w:anchor="_Toc901200035" w:history="1">
        <w:r>
          <w:t>Article 20.26: Non-Recordal of a License</w:t>
        </w:r>
        <w:r>
          <w:tab/>
        </w:r>
        <w:r>
          <w:t>1021</w:t>
        </w:r>
      </w:hyperlink>
    </w:p>
    <w:p>
      <w:pPr>
        <w:pStyle w:val="TOC2"/>
      </w:pPr>
      <w:hyperlink w:anchor="_Toc901200036" w:history="1">
        <w:r>
          <w:t>Article 20.27: Domain Names</w:t>
        </w:r>
        <w:r>
          <w:tab/>
        </w:r>
        <w:r>
          <w:t>1022</w:t>
        </w:r>
      </w:hyperlink>
    </w:p>
    <w:p>
      <w:pPr>
        <w:pStyle w:val="TOC2"/>
      </w:pPr>
      <w:hyperlink w:anchor="_Toc901200037" w:history="1">
        <w:r>
          <w:t>Article 20.28: Country Names</w:t>
        </w:r>
        <w:r>
          <w:tab/>
        </w:r>
        <w:r>
          <w:t>1022</w:t>
        </w:r>
      </w:hyperlink>
    </w:p>
    <w:p>
      <w:pPr>
        <w:pStyle w:val="TOC2"/>
      </w:pPr>
      <w:hyperlink w:anchor="_Toc901200038" w:history="1">
        <w:r>
          <w:t>Article 20.29: Recognition of Geographical Indications</w:t>
        </w:r>
        <w:r>
          <w:tab/>
        </w:r>
        <w:r>
          <w:t>1022</w:t>
        </w:r>
      </w:hyperlink>
    </w:p>
    <w:p>
      <w:pPr>
        <w:pStyle w:val="TOC2"/>
      </w:pPr>
      <w:hyperlink w:anchor="_Toc901200039" w:history="1">
        <w:r>
          <w:t>Article 20.30: Administrative Procedures for the Protection or Recognition of Geographical Indications</w:t>
        </w:r>
        <w:r>
          <w:tab/>
        </w:r>
        <w:r>
          <w:t>1022</w:t>
        </w:r>
      </w:hyperlink>
    </w:p>
    <w:p>
      <w:pPr>
        <w:pStyle w:val="TOC2"/>
      </w:pPr>
      <w:hyperlink w:anchor="_Toc901200040" w:history="1">
        <w:r>
          <w:t xml:space="preserve">Article 20.31: Grounds of Denial, Opposition, and Cancellation</w:t>
        </w:r>
        <w:r>
          <w:rPr>
            <w:vertAlign w:val="superscript"/>
          </w:rPr>
          <w:t xml:space="preserve">17</w:t>
        </w:r>
        <w:r>
          <w:tab/>
        </w:r>
        <w:r>
          <w:t>1023</w:t>
        </w:r>
      </w:hyperlink>
    </w:p>
    <w:p>
      <w:pPr>
        <w:pStyle w:val="TOC2"/>
      </w:pPr>
      <w:hyperlink w:anchor="_Toc901200041" w:history="1">
        <w:r>
          <w:t>Article 20.32: Guidelines for Determining Whether a Term is the Term Customary in the Common Language</w:t>
        </w:r>
        <w:r>
          <w:tab/>
        </w:r>
        <w:r>
          <w:t>1024</w:t>
        </w:r>
      </w:hyperlink>
    </w:p>
    <w:p>
      <w:pPr>
        <w:pStyle w:val="TOC2"/>
      </w:pPr>
      <w:hyperlink w:anchor="_Toc901200042" w:history="1">
        <w:r>
          <w:t>Article 20.33: Multi-Component Terms</w:t>
        </w:r>
        <w:r>
          <w:tab/>
        </w:r>
        <w:r>
          <w:t>1024</w:t>
        </w:r>
      </w:hyperlink>
    </w:p>
    <w:p>
      <w:pPr>
        <w:pStyle w:val="TOC2"/>
      </w:pPr>
      <w:hyperlink w:anchor="_Toc901200043" w:history="1">
        <w:r>
          <w:t>Article 20.34: Date of Protection of a Geographical Indication</w:t>
        </w:r>
        <w:r>
          <w:tab/>
        </w:r>
        <w:r>
          <w:t>1024</w:t>
        </w:r>
      </w:hyperlink>
    </w:p>
    <w:p>
      <w:pPr>
        <w:pStyle w:val="TOC2"/>
      </w:pPr>
      <w:hyperlink w:anchor="_Toc901200044" w:history="1">
        <w:r>
          <w:t>Article 20.35: International Agreements</w:t>
        </w:r>
        <w:r>
          <w:tab/>
        </w:r>
        <w:r>
          <w:t>1024</w:t>
        </w:r>
      </w:hyperlink>
    </w:p>
    <w:p>
      <w:pPr>
        <w:pStyle w:val="TOC2"/>
      </w:pPr>
      <w:hyperlink w:anchor="_Toc901200045" w:history="1">
        <w:r>
          <w:t>Article 20.36: Patentable Subject Matter</w:t>
        </w:r>
        <w:r>
          <w:tab/>
        </w:r>
        <w:r>
          <w:t>1026</w:t>
        </w:r>
      </w:hyperlink>
    </w:p>
    <w:p>
      <w:pPr>
        <w:pStyle w:val="TOC2"/>
      </w:pPr>
      <w:hyperlink w:anchor="_Toc901200046" w:history="1">
        <w:r>
          <w:t>Article 20.37: Grace Period</w:t>
        </w:r>
        <w:r>
          <w:tab/>
        </w:r>
        <w:r>
          <w:t>1027</w:t>
        </w:r>
      </w:hyperlink>
    </w:p>
    <w:p>
      <w:pPr>
        <w:pStyle w:val="TOC2"/>
      </w:pPr>
      <w:hyperlink w:anchor="_Toc901200047" w:history="1">
        <w:r>
          <w:t>Article 20.38: Patent Revocation</w:t>
        </w:r>
        <w:r>
          <w:tab/>
        </w:r>
        <w:r>
          <w:t>1027</w:t>
        </w:r>
      </w:hyperlink>
    </w:p>
    <w:p>
      <w:pPr>
        <w:pStyle w:val="TOC2"/>
      </w:pPr>
      <w:hyperlink w:anchor="_Toc901200048" w:history="1">
        <w:r>
          <w:t>Article 20.39: Exceptions</w:t>
        </w:r>
        <w:r>
          <w:tab/>
        </w:r>
        <w:r>
          <w:t>1027</w:t>
        </w:r>
      </w:hyperlink>
    </w:p>
    <w:p>
      <w:pPr>
        <w:pStyle w:val="TOC2"/>
      </w:pPr>
      <w:hyperlink w:anchor="_Toc901200049" w:history="1">
        <w:r>
          <w:t>Article 20.40: Other Use Without Authorization of the Right Holder</w:t>
        </w:r>
        <w:r>
          <w:tab/>
        </w:r>
        <w:r>
          <w:t>1027</w:t>
        </w:r>
      </w:hyperlink>
    </w:p>
    <w:p>
      <w:pPr>
        <w:pStyle w:val="TOC2"/>
      </w:pPr>
      <w:hyperlink w:anchor="_Toc901200050" w:history="1">
        <w:r>
          <w:t>Article 20.41: Amendments, Corrections, and Observations</w:t>
        </w:r>
        <w:r>
          <w:tab/>
        </w:r>
        <w:r>
          <w:t>1027</w:t>
        </w:r>
      </w:hyperlink>
    </w:p>
    <w:p>
      <w:pPr>
        <w:pStyle w:val="TOC2"/>
      </w:pPr>
      <w:hyperlink w:anchor="_Toc901200051" w:history="1">
        <w:r>
          <w:t>Article 20.42: Publication of Patent Applications</w:t>
        </w:r>
        <w:r>
          <w:tab/>
        </w:r>
        <w:r>
          <w:t>1028</w:t>
        </w:r>
      </w:hyperlink>
    </w:p>
    <w:p>
      <w:pPr>
        <w:pStyle w:val="TOC2"/>
      </w:pPr>
      <w:hyperlink w:anchor="_Toc901200052" w:history="1">
        <w:r>
          <w:t>Article 20.43: Information Relating to Published Patent Applications and Granted Patents</w:t>
        </w:r>
        <w:r>
          <w:tab/>
        </w:r>
        <w:r>
          <w:t>1028</w:t>
        </w:r>
      </w:hyperlink>
    </w:p>
    <w:p>
      <w:pPr>
        <w:pStyle w:val="TOC2"/>
      </w:pPr>
      <w:hyperlink w:anchor="_Toc901200053" w:history="1">
        <w:r>
          <w:t>Article 20.44: Patent Term Adjustment for Unreasonable Granting Authority Delays</w:t>
        </w:r>
        <w:r>
          <w:tab/>
        </w:r>
        <w:r>
          <w:t>1028</w:t>
        </w:r>
      </w:hyperlink>
    </w:p>
    <w:p>
      <w:pPr>
        <w:pStyle w:val="TOC2"/>
      </w:pPr>
      <w:hyperlink w:anchor="_Toc901200054" w:history="1">
        <w:r>
          <w:t>Article 20.45: Protection of Undisclosed Test or Other Data for Agricultural Chemical Products</w:t>
        </w:r>
        <w:r>
          <w:tab/>
        </w:r>
        <w:r>
          <w:t>1029</w:t>
        </w:r>
      </w:hyperlink>
    </w:p>
    <w:p>
      <w:pPr>
        <w:pStyle w:val="TOC2"/>
      </w:pPr>
      <w:hyperlink w:anchor="_Toc901200055" w:history="1">
        <w:r>
          <w:t>Article 20.46: Patent Term Adjustment for Unreasonable Curtailment</w:t>
        </w:r>
        <w:r>
          <w:tab/>
        </w:r>
        <w:r>
          <w:t>1030</w:t>
        </w:r>
      </w:hyperlink>
    </w:p>
    <w:p>
      <w:pPr>
        <w:pStyle w:val="TOC2"/>
      </w:pPr>
      <w:hyperlink w:anchor="_Toc901200056" w:history="1">
        <w:r>
          <w:t>Article 20.47: Regulatory Review Exception</w:t>
        </w:r>
        <w:r>
          <w:tab/>
        </w:r>
        <w:r>
          <w:t>1030</w:t>
        </w:r>
      </w:hyperlink>
    </w:p>
    <w:p>
      <w:pPr>
        <w:pStyle w:val="TOC2"/>
      </w:pPr>
      <w:hyperlink w:anchor="_Toc901200057" w:history="1">
        <w:r>
          <w:t>Article 20.48: Protection of Undisclosed Test or Other Data</w:t>
        </w:r>
        <w:r>
          <w:tab/>
        </w:r>
        <w:r>
          <w:t>1030</w:t>
        </w:r>
      </w:hyperlink>
    </w:p>
    <w:p>
      <w:pPr>
        <w:pStyle w:val="TOC2"/>
      </w:pPr>
      <w:hyperlink w:anchor="_Toc901200058" w:history="1">
        <w:r>
          <w:t>Article 20.49: Definition of New Pharmaceutical Product</w:t>
        </w:r>
        <w:r>
          <w:tab/>
        </w:r>
        <w:r>
          <w:t>1031</w:t>
        </w:r>
      </w:hyperlink>
    </w:p>
    <w:p>
      <w:pPr>
        <w:pStyle w:val="TOC2"/>
      </w:pPr>
      <w:hyperlink w:anchor="_Toc901200059" w:history="1">
        <w:r>
          <w:t xml:space="preserve">Article 20.50: Measures Relating to the Marketing of Certain Pharmaceutical Products</w:t>
        </w:r>
        <w:r>
          <w:rPr>
            <w:vertAlign w:val="superscript"/>
          </w:rPr>
          <w:t xml:space="preserve">48</w:t>
        </w:r>
        <w:r>
          <w:tab/>
        </w:r>
        <w:r>
          <w:t>1031</w:t>
        </w:r>
      </w:hyperlink>
    </w:p>
    <w:p>
      <w:pPr>
        <w:pStyle w:val="TOC2"/>
      </w:pPr>
      <w:hyperlink w:anchor="_Toc901200060" w:history="1">
        <w:r>
          <w:t>Article 20.51: Alteration of Period of Protection</w:t>
        </w:r>
        <w:r>
          <w:tab/>
        </w:r>
        <w:r>
          <w:t>1032</w:t>
        </w:r>
      </w:hyperlink>
    </w:p>
    <w:p>
      <w:pPr>
        <w:pStyle w:val="TOC2"/>
      </w:pPr>
      <w:hyperlink w:anchor="_Toc901200061" w:history="1">
        <w:r>
          <w:t>Article 20.52: Protection</w:t>
        </w:r>
        <w:r>
          <w:tab/>
        </w:r>
        <w:r>
          <w:t>1032</w:t>
        </w:r>
      </w:hyperlink>
    </w:p>
    <w:p>
      <w:pPr>
        <w:pStyle w:val="TOC2"/>
      </w:pPr>
      <w:hyperlink w:anchor="_Toc901200062" w:history="1">
        <w:r>
          <w:t xml:space="preserve">Article 20.53: Non-Prejudicial Disclosures/Grace Period</w:t>
        </w:r>
        <w:r>
          <w:rPr>
            <w:vertAlign w:val="superscript"/>
          </w:rPr>
          <w:t xml:space="preserve">51</w:t>
        </w:r>
        <w:r>
          <w:tab/>
        </w:r>
        <w:r>
          <w:t>1032</w:t>
        </w:r>
      </w:hyperlink>
    </w:p>
    <w:p>
      <w:pPr>
        <w:pStyle w:val="TOC2"/>
      </w:pPr>
      <w:hyperlink w:anchor="_Toc901200063" w:history="1">
        <w:r>
          <w:t>Article 20.54: Electronic Industrial Design System</w:t>
        </w:r>
        <w:r>
          <w:tab/>
        </w:r>
        <w:r>
          <w:t>1032</w:t>
        </w:r>
      </w:hyperlink>
    </w:p>
    <w:p>
      <w:pPr>
        <w:pStyle w:val="TOC2"/>
      </w:pPr>
      <w:hyperlink w:anchor="_Toc901200064" w:history="1">
        <w:r>
          <w:t>Article 20.55: Term of Protection</w:t>
        </w:r>
        <w:r>
          <w:tab/>
        </w:r>
        <w:r>
          <w:t>1033</w:t>
        </w:r>
      </w:hyperlink>
    </w:p>
    <w:p>
      <w:pPr>
        <w:pStyle w:val="TOC2"/>
      </w:pPr>
      <w:hyperlink w:anchor="_Toc901200065" w:history="1">
        <w:r>
          <w:t>Article 20.56: Definitions</w:t>
        </w:r>
        <w:r>
          <w:tab/>
        </w:r>
        <w:r>
          <w:t>1033</w:t>
        </w:r>
      </w:hyperlink>
    </w:p>
    <w:p>
      <w:pPr>
        <w:pStyle w:val="TOC2"/>
      </w:pPr>
      <w:hyperlink w:anchor="_Toc901200066" w:history="1">
        <w:r>
          <w:t>Article 20.57: Right of Reproduction</w:t>
        </w:r>
        <w:r>
          <w:tab/>
        </w:r>
        <w:r>
          <w:t>1033</w:t>
        </w:r>
      </w:hyperlink>
    </w:p>
    <w:p>
      <w:pPr>
        <w:pStyle w:val="TOC2"/>
      </w:pPr>
      <w:hyperlink w:anchor="_Toc901200067" w:history="1">
        <w:r>
          <w:t>Article 20.58: Right of Communication to the Public</w:t>
        </w:r>
        <w:r>
          <w:tab/>
        </w:r>
        <w:r>
          <w:t>1034</w:t>
        </w:r>
      </w:hyperlink>
    </w:p>
    <w:p>
      <w:pPr>
        <w:pStyle w:val="TOC2"/>
      </w:pPr>
      <w:hyperlink w:anchor="_Toc901200068" w:history="1">
        <w:r>
          <w:t>Article 20.59: Right of Distribution</w:t>
        </w:r>
        <w:r>
          <w:tab/>
        </w:r>
        <w:r>
          <w:t>1034</w:t>
        </w:r>
      </w:hyperlink>
    </w:p>
    <w:p>
      <w:pPr>
        <w:pStyle w:val="TOC2"/>
      </w:pPr>
      <w:hyperlink w:anchor="_Toc901200069" w:history="1">
        <w:r>
          <w:t>Article 20.60: No Hierarchy</w:t>
        </w:r>
        <w:r>
          <w:tab/>
        </w:r>
        <w:r>
          <w:t>1034</w:t>
        </w:r>
      </w:hyperlink>
    </w:p>
    <w:p>
      <w:pPr>
        <w:pStyle w:val="TOC2"/>
      </w:pPr>
      <w:hyperlink w:anchor="_Toc901200070" w:history="1">
        <w:r>
          <w:t>Article 20.61: Related Rights</w:t>
        </w:r>
        <w:r>
          <w:tab/>
        </w:r>
        <w:r>
          <w:t>1034</w:t>
        </w:r>
      </w:hyperlink>
    </w:p>
    <w:p>
      <w:pPr>
        <w:pStyle w:val="TOC2"/>
      </w:pPr>
      <w:hyperlink w:anchor="_Toc901200071" w:history="1">
        <w:r>
          <w:t>Article 20.62: Term of Protection for Copyright and Related Rights</w:t>
        </w:r>
        <w:r>
          <w:tab/>
        </w:r>
        <w:r>
          <w:t>1035</w:t>
        </w:r>
      </w:hyperlink>
    </w:p>
    <w:p>
      <w:pPr>
        <w:pStyle w:val="TOC2"/>
      </w:pPr>
      <w:hyperlink w:anchor="_Toc901200072" w:history="1">
        <w:r>
          <w:t>Article 20.63: Application of Article 18 of the Berne Convention and Article 14.6 of the TRIPS Agreement</w:t>
        </w:r>
        <w:r>
          <w:tab/>
        </w:r>
        <w:r>
          <w:t>1036</w:t>
        </w:r>
      </w:hyperlink>
    </w:p>
    <w:p>
      <w:pPr>
        <w:pStyle w:val="TOC2"/>
      </w:pPr>
      <w:hyperlink w:anchor="_Toc901200073" w:history="1">
        <w:r>
          <w:t>Article 20.64: Limitations and Exceptions</w:t>
        </w:r>
        <w:r>
          <w:tab/>
        </w:r>
        <w:r>
          <w:t>1036</w:t>
        </w:r>
      </w:hyperlink>
    </w:p>
    <w:p>
      <w:pPr>
        <w:pStyle w:val="TOC2"/>
      </w:pPr>
      <w:hyperlink w:anchor="_Toc901200074" w:history="1">
        <w:r>
          <w:t>Article 20.65: Contractual Transfers</w:t>
        </w:r>
        <w:r>
          <w:tab/>
        </w:r>
        <w:r>
          <w:t>1036</w:t>
        </w:r>
      </w:hyperlink>
    </w:p>
    <w:p>
      <w:pPr>
        <w:pStyle w:val="TOC2"/>
      </w:pPr>
      <w:hyperlink w:anchor="_Toc901200075" w:history="1">
        <w:r>
          <w:t xml:space="preserve">Article 20.66: Technological Protection Measures</w:t>
        </w:r>
        <w:r>
          <w:rPr>
            <w:vertAlign w:val="superscript"/>
          </w:rPr>
          <w:t xml:space="preserve">65</w:t>
        </w:r>
        <w:r>
          <w:tab/>
        </w:r>
        <w:r>
          <w:t>1036</w:t>
        </w:r>
      </w:hyperlink>
    </w:p>
    <w:p>
      <w:pPr>
        <w:pStyle w:val="TOC2"/>
      </w:pPr>
      <w:hyperlink w:anchor="_Toc901200076" w:history="1">
        <w:r>
          <w:t xml:space="preserve">Article 20.67: Rights Management Information</w:t>
        </w:r>
        <w:r>
          <w:rPr>
            <w:vertAlign w:val="superscript"/>
          </w:rPr>
          <w:t xml:space="preserve">73</w:t>
        </w:r>
        <w:r>
          <w:tab/>
        </w:r>
        <w:r>
          <w:t>1037</w:t>
        </w:r>
      </w:hyperlink>
    </w:p>
    <w:p>
      <w:pPr>
        <w:pStyle w:val="TOC2"/>
      </w:pPr>
      <w:hyperlink w:anchor="_Toc901200077" w:history="1">
        <w:r>
          <w:t>Article 20.68: Collective Management</w:t>
        </w:r>
        <w:r>
          <w:tab/>
        </w:r>
        <w:r>
          <w:t>1039</w:t>
        </w:r>
      </w:hyperlink>
    </w:p>
    <w:p>
      <w:pPr>
        <w:pStyle w:val="TOC2"/>
      </w:pPr>
      <w:hyperlink w:anchor="_Toc901200078" w:history="1">
        <w:r>
          <w:t>Article 20.69: Protection of Trade Secrets</w:t>
        </w:r>
        <w:r>
          <w:tab/>
        </w:r>
        <w:r>
          <w:t>1039</w:t>
        </w:r>
      </w:hyperlink>
    </w:p>
    <w:p>
      <w:pPr>
        <w:pStyle w:val="TOC2"/>
      </w:pPr>
      <w:hyperlink w:anchor="_Toc901200079" w:history="1">
        <w:r>
          <w:t>Article 20.70: Civil Protection and Enforcement</w:t>
        </w:r>
        <w:r>
          <w:tab/>
        </w:r>
        <w:r>
          <w:t>1039</w:t>
        </w:r>
      </w:hyperlink>
    </w:p>
    <w:p>
      <w:pPr>
        <w:pStyle w:val="TOC2"/>
      </w:pPr>
      <w:hyperlink w:anchor="_Toc901200080" w:history="1">
        <w:r>
          <w:t>Article 20.71: Criminal Enforcement</w:t>
        </w:r>
        <w:r>
          <w:tab/>
        </w:r>
        <w:r>
          <w:t>1040</w:t>
        </w:r>
      </w:hyperlink>
    </w:p>
    <w:p>
      <w:pPr>
        <w:pStyle w:val="TOC2"/>
      </w:pPr>
      <w:hyperlink w:anchor="_Toc901200081" w:history="1">
        <w:r>
          <w:t>Article 20.72: Definitions</w:t>
        </w:r>
        <w:r>
          <w:tab/>
        </w:r>
        <w:r>
          <w:t>1040</w:t>
        </w:r>
      </w:hyperlink>
    </w:p>
    <w:p>
      <w:pPr>
        <w:pStyle w:val="TOC2"/>
      </w:pPr>
      <w:hyperlink w:anchor="_Toc901200082" w:history="1">
        <w:r>
          <w:t>Article 20.73: Provisional Measures</w:t>
        </w:r>
        <w:r>
          <w:tab/>
        </w:r>
        <w:r>
          <w:t>1040</w:t>
        </w:r>
      </w:hyperlink>
    </w:p>
    <w:p>
      <w:pPr>
        <w:pStyle w:val="TOC2"/>
      </w:pPr>
      <w:hyperlink w:anchor="_Toc901200083" w:history="1">
        <w:r>
          <w:t>Article 20.74: Confidentiality</w:t>
        </w:r>
        <w:r>
          <w:tab/>
        </w:r>
        <w:r>
          <w:t>1041</w:t>
        </w:r>
      </w:hyperlink>
    </w:p>
    <w:p>
      <w:pPr>
        <w:pStyle w:val="TOC2"/>
      </w:pPr>
      <w:hyperlink w:anchor="_Toc901200084" w:history="1">
        <w:r>
          <w:t>Article 20.75: Civil Remedies</w:t>
        </w:r>
        <w:r>
          <w:tab/>
        </w:r>
        <w:r>
          <w:t>1041</w:t>
        </w:r>
      </w:hyperlink>
    </w:p>
    <w:p>
      <w:pPr>
        <w:pStyle w:val="TOC2"/>
      </w:pPr>
      <w:hyperlink w:anchor="_Toc901200085" w:history="1">
        <w:r>
          <w:t>Article 20.76: Licensing and Transfer of Trade Secrets</w:t>
        </w:r>
        <w:r>
          <w:tab/>
        </w:r>
        <w:r>
          <w:t>1041</w:t>
        </w:r>
      </w:hyperlink>
    </w:p>
    <w:p>
      <w:pPr>
        <w:pStyle w:val="TOC2"/>
      </w:pPr>
      <w:hyperlink w:anchor="_Toc901200086" w:history="1">
        <w:r>
          <w:t>Article 20.77: Prohibition of Unauthorized Disclosure or Use of a Trade Secret by Government Officials Outside the Scope of Their Official Duties</w:t>
        </w:r>
        <w:r>
          <w:tab/>
        </w:r>
        <w:r>
          <w:t>1041</w:t>
        </w:r>
      </w:hyperlink>
    </w:p>
    <w:p>
      <w:pPr>
        <w:pStyle w:val="TOC2"/>
      </w:pPr>
      <w:hyperlink w:anchor="_Toc901200087" w:history="1">
        <w:r>
          <w:t>Article 20.78: General Obligations</w:t>
        </w:r>
        <w:r>
          <w:tab/>
        </w:r>
        <w:r>
          <w:t>1042</w:t>
        </w:r>
      </w:hyperlink>
    </w:p>
    <w:p>
      <w:pPr>
        <w:pStyle w:val="TOC2"/>
      </w:pPr>
      <w:hyperlink w:anchor="_Toc901200088" w:history="1">
        <w:r>
          <w:t>Article 20.79: Presumptions</w:t>
        </w:r>
        <w:r>
          <w:tab/>
        </w:r>
        <w:r>
          <w:t>1042</w:t>
        </w:r>
      </w:hyperlink>
    </w:p>
    <w:p>
      <w:pPr>
        <w:pStyle w:val="TOC2"/>
      </w:pPr>
      <w:hyperlink w:anchor="_Toc901200089" w:history="1">
        <w:r>
          <w:t>Article 20.80: Enforcement Practices with Respect to Intellectual Property Rights</w:t>
        </w:r>
        <w:r>
          <w:tab/>
        </w:r>
        <w:r>
          <w:t>1042</w:t>
        </w:r>
      </w:hyperlink>
    </w:p>
    <w:p>
      <w:pPr>
        <w:pStyle w:val="TOC2"/>
      </w:pPr>
      <w:hyperlink w:anchor="_Toc901200090" w:history="1">
        <w:r>
          <w:t>Article 20.81: Civil and Administrative Procedures and Remedies</w:t>
        </w:r>
        <w:r>
          <w:tab/>
        </w:r>
        <w:r>
          <w:t>1042</w:t>
        </w:r>
      </w:hyperlink>
    </w:p>
    <w:p>
      <w:pPr>
        <w:pStyle w:val="TOC2"/>
      </w:pPr>
      <w:hyperlink w:anchor="_Toc901200091" w:history="1">
        <w:r>
          <w:t>Article 20.82: Provisional Measures</w:t>
        </w:r>
        <w:r>
          <w:tab/>
        </w:r>
        <w:r>
          <w:t>1045</w:t>
        </w:r>
      </w:hyperlink>
    </w:p>
    <w:p>
      <w:pPr>
        <w:pStyle w:val="TOC2"/>
      </w:pPr>
      <w:hyperlink w:anchor="_Toc901200092" w:history="1">
        <w:r>
          <w:t>Article 20.83: Special Requirements Related to Border Measures</w:t>
        </w:r>
        <w:r>
          <w:tab/>
        </w:r>
        <w:r>
          <w:t>1046</w:t>
        </w:r>
      </w:hyperlink>
    </w:p>
    <w:p>
      <w:pPr>
        <w:pStyle w:val="TOC2"/>
      </w:pPr>
      <w:hyperlink w:anchor="_Toc901200093" w:history="1">
        <w:r>
          <w:t>Article 20.84: Criminal Procedures and Penalties</w:t>
        </w:r>
        <w:r>
          <w:tab/>
        </w:r>
        <w:r>
          <w:t>1048</w:t>
        </w:r>
      </w:hyperlink>
    </w:p>
    <w:p>
      <w:pPr>
        <w:pStyle w:val="TOC2"/>
      </w:pPr>
      <w:hyperlink w:anchor="_Toc901200094" w:history="1">
        <w:r>
          <w:t>Article 20.85: Protection of Encrypted Program-Carrying Satellite and Cable Signals</w:t>
        </w:r>
        <w:r>
          <w:tab/>
        </w:r>
        <w:r>
          <w:t>1049</w:t>
        </w:r>
      </w:hyperlink>
    </w:p>
    <w:p>
      <w:pPr>
        <w:pStyle w:val="TOC2"/>
      </w:pPr>
      <w:hyperlink w:anchor="_Toc901200095" w:history="1">
        <w:r>
          <w:t>Article 20.86: Government Use of Software</w:t>
        </w:r>
        <w:r>
          <w:tab/>
        </w:r>
        <w:r>
          <w:t>1050</w:t>
        </w:r>
      </w:hyperlink>
    </w:p>
    <w:p>
      <w:pPr>
        <w:pStyle w:val="TOC2"/>
      </w:pPr>
      <w:hyperlink w:anchor="_Toc901200096" w:history="1">
        <w:r>
          <w:t>Article 20.87: Internet Service Providers</w:t>
        </w:r>
        <w:r>
          <w:tab/>
        </w:r>
        <w:r>
          <w:t>1050</w:t>
        </w:r>
      </w:hyperlink>
    </w:p>
    <w:p>
      <w:pPr>
        <w:pStyle w:val="TOC2"/>
      </w:pPr>
      <w:hyperlink w:anchor="_Toc901200097" w:history="1">
        <w:r>
          <w:t xml:space="preserve">Article 20.88: Legal Remedies and Safe Harbors</w:t>
        </w:r>
        <w:r>
          <w:rPr>
            <w:vertAlign w:val="superscript"/>
          </w:rPr>
          <w:t xml:space="preserve">119</w:t>
        </w:r>
        <w:r>
          <w:tab/>
        </w:r>
        <w:r>
          <w:t>1050</w:t>
        </w:r>
      </w:hyperlink>
    </w:p>
    <w:p>
      <w:pPr>
        <w:pStyle w:val="TOC2"/>
      </w:pPr>
      <w:hyperlink w:anchor="_Toc901200098" w:history="1">
        <w:r>
          <w:t>Article 20.89: Final Provisions</w:t>
        </w:r>
        <w:r>
          <w:tab/>
        </w:r>
        <w:r>
          <w:t>1053</w:t>
        </w:r>
      </w:hyperlink>
    </w:p>
    <w:p>
      <w:pPr>
        <w:pStyle w:val="TOC2"/>
      </w:pPr>
      <w:hyperlink w:anchor="_Toc901200099" w:history="1">
        <w:r>
          <w:t>ANNEX 20-A — ANNEX TO ARTICLE 20.50</w:t>
        </w:r>
        <w:r>
          <w:tab/>
        </w:r>
        <w:r>
          <w:t>1054</w:t>
        </w:r>
      </w:hyperlink>
    </w:p>
    <w:p>
      <w:pPr>
        <w:pStyle w:val="TOC2"/>
      </w:pPr>
      <w:hyperlink w:anchor="_Toc901200100" w:history="1">
        <w:r>
          <w:t>ANNEX 20-B — ANNEX TO SECTION J</w:t>
        </w:r>
        <w:r>
          <w:tab/>
        </w:r>
        <w:r>
          <w:t>1054</w:t>
        </w:r>
      </w:hyperlink>
    </w:p>
    <w:p>
      <w:pPr>
        <w:pStyle w:val="TOC1"/>
      </w:pPr>
      <w:hyperlink w:anchor="_Toc300000677" w:history="1">
        <w:r>
          <w:t>CHAPTER 21 COMPETITION POLICY</w:t>
        </w:r>
        <w:r>
          <w:tab/>
        </w:r>
        <w:r>
          <w:t>1055</w:t>
        </w:r>
      </w:hyperlink>
    </w:p>
    <w:p>
      <w:pPr>
        <w:pStyle w:val="TOC2"/>
      </w:pPr>
      <w:hyperlink w:anchor="_Toc300000678" w:history="1">
        <w:r>
          <w:t>Article 21.1: Competition Law and Authorities</w:t>
        </w:r>
        <w:r>
          <w:tab/>
        </w:r>
        <w:r>
          <w:t>1055</w:t>
        </w:r>
      </w:hyperlink>
    </w:p>
    <w:p>
      <w:pPr>
        <w:pStyle w:val="TOC2"/>
      </w:pPr>
      <w:hyperlink w:anchor="_Toc300000679" w:history="1">
        <w:r>
          <w:t>Article 21.2: Procedural Fairness in Competition Law Enforcement</w:t>
        </w:r>
        <w:r>
          <w:tab/>
        </w:r>
        <w:r>
          <w:t>1055</w:t>
        </w:r>
      </w:hyperlink>
    </w:p>
    <w:p>
      <w:pPr>
        <w:pStyle w:val="TOC2"/>
      </w:pPr>
      <w:hyperlink w:anchor="_Toc300000680" w:history="1">
        <w:r>
          <w:t>Article 21.3: Cooperation</w:t>
        </w:r>
        <w:r>
          <w:tab/>
        </w:r>
        <w:r>
          <w:t>1057</w:t>
        </w:r>
      </w:hyperlink>
    </w:p>
    <w:p>
      <w:pPr>
        <w:pStyle w:val="TOC2"/>
      </w:pPr>
      <w:hyperlink w:anchor="_Toc300000681" w:history="1">
        <w:r>
          <w:t>Article 21.4: Consumer Protection</w:t>
        </w:r>
        <w:r>
          <w:tab/>
        </w:r>
        <w:r>
          <w:t>1058</w:t>
        </w:r>
      </w:hyperlink>
    </w:p>
    <w:p>
      <w:pPr>
        <w:pStyle w:val="TOC2"/>
      </w:pPr>
      <w:hyperlink w:anchor="_Toc300000682" w:history="1">
        <w:r>
          <w:t>Article 21.5: Transparency</w:t>
        </w:r>
        <w:r>
          <w:tab/>
        </w:r>
        <w:r>
          <w:t>1058</w:t>
        </w:r>
      </w:hyperlink>
    </w:p>
    <w:p>
      <w:pPr>
        <w:pStyle w:val="TOC2"/>
      </w:pPr>
      <w:hyperlink w:anchor="_Toc300000683" w:history="1">
        <w:r>
          <w:t>Article 21.6: Consultations</w:t>
        </w:r>
        <w:r>
          <w:tab/>
        </w:r>
        <w:r>
          <w:t>1058</w:t>
        </w:r>
      </w:hyperlink>
    </w:p>
    <w:p>
      <w:pPr>
        <w:pStyle w:val="TOC2"/>
      </w:pPr>
      <w:hyperlink w:anchor="_Toc300000684" w:history="1">
        <w:r>
          <w:t>Article 21.7: Non-Application of Dispute Settlement</w:t>
        </w:r>
        <w:r>
          <w:tab/>
        </w:r>
        <w:r>
          <w:t>1059</w:t>
        </w:r>
      </w:hyperlink>
    </w:p>
    <w:p>
      <w:pPr>
        <w:pStyle w:val="TOC1"/>
      </w:pPr>
      <w:hyperlink w:anchor="_Toc300000685" w:history="1">
        <w:r>
          <w:t>CHAPTER 22 STATE-OWNED ENTERPRISES AND DESIGNATED MONOPOLIES</w:t>
        </w:r>
        <w:r>
          <w:tab/>
        </w:r>
        <w:r>
          <w:t>1060</w:t>
        </w:r>
      </w:hyperlink>
    </w:p>
    <w:p>
      <w:pPr>
        <w:pStyle w:val="TOC2"/>
      </w:pPr>
      <w:hyperlink w:anchor="_Toc300000686" w:history="1">
        <w:r>
          <w:t>Article 22.1: Definitions</w:t>
        </w:r>
        <w:r>
          <w:tab/>
        </w:r>
        <w:r>
          <w:t>1060</w:t>
        </w:r>
      </w:hyperlink>
    </w:p>
    <w:p>
      <w:pPr>
        <w:pStyle w:val="TOC2"/>
      </w:pPr>
      <w:hyperlink w:anchor="_Toc300000687" w:history="1">
        <w:r>
          <w:t>Article 22.2: Scope</w:t>
        </w:r>
        <w:r>
          <w:tab/>
        </w:r>
        <w:r>
          <w:t>1062</w:t>
        </w:r>
      </w:hyperlink>
    </w:p>
    <w:p>
      <w:pPr>
        <w:pStyle w:val="TOC2"/>
      </w:pPr>
      <w:hyperlink w:anchor="_Toc300000688" w:history="1">
        <w:r>
          <w:t>Article 22.3: Delegated Authority</w:t>
        </w:r>
        <w:r>
          <w:tab/>
        </w:r>
        <w:r>
          <w:t>1062</w:t>
        </w:r>
      </w:hyperlink>
    </w:p>
    <w:p>
      <w:pPr>
        <w:pStyle w:val="TOC2"/>
      </w:pPr>
      <w:hyperlink w:anchor="_Toc300000689" w:history="1">
        <w:r>
          <w:t>Article 22.4: Non-Discriminatory Treatment and Commercial Considerations</w:t>
        </w:r>
        <w:r>
          <w:tab/>
        </w:r>
        <w:r>
          <w:t>1062</w:t>
        </w:r>
      </w:hyperlink>
    </w:p>
    <w:p>
      <w:pPr>
        <w:pStyle w:val="TOC2"/>
      </w:pPr>
      <w:hyperlink w:anchor="_Toc300000690" w:history="1">
        <w:r>
          <w:t>Article 22.5: Courts and Administrative Bodies</w:t>
        </w:r>
        <w:r>
          <w:tab/>
        </w:r>
        <w:r>
          <w:t>1064</w:t>
        </w:r>
      </w:hyperlink>
    </w:p>
    <w:p>
      <w:pPr>
        <w:pStyle w:val="TOC2"/>
      </w:pPr>
      <w:hyperlink w:anchor="_Toc300000691" w:history="1">
        <w:r>
          <w:t>Article 22.6: Non-Commercial Assistance</w:t>
        </w:r>
        <w:r>
          <w:tab/>
        </w:r>
        <w:r>
          <w:t>1064</w:t>
        </w:r>
      </w:hyperlink>
    </w:p>
    <w:p>
      <w:pPr>
        <w:pStyle w:val="TOC2"/>
      </w:pPr>
      <w:hyperlink w:anchor="_Toc300000692" w:history="1">
        <w:r>
          <w:t>Article 22.7: Adverse Effects</w:t>
        </w:r>
        <w:r>
          <w:tab/>
        </w:r>
        <w:r>
          <w:t>1066</w:t>
        </w:r>
      </w:hyperlink>
    </w:p>
    <w:p>
      <w:pPr>
        <w:pStyle w:val="TOC2"/>
      </w:pPr>
      <w:hyperlink w:anchor="_Toc300000693" w:history="1">
        <w:r>
          <w:t>Article 22.8: Injury</w:t>
        </w:r>
        <w:r>
          <w:tab/>
        </w:r>
        <w:r>
          <w:t>1068</w:t>
        </w:r>
      </w:hyperlink>
    </w:p>
    <w:p>
      <w:pPr>
        <w:pStyle w:val="TOC2"/>
      </w:pPr>
      <w:hyperlink w:anchor="_Toc300000694" w:history="1">
        <w:r>
          <w:t>Article 22.9: Party-Specific Annexes</w:t>
        </w:r>
        <w:r>
          <w:tab/>
        </w:r>
        <w:r>
          <w:t>1068</w:t>
        </w:r>
      </w:hyperlink>
    </w:p>
    <w:p>
      <w:pPr>
        <w:pStyle w:val="TOC2"/>
      </w:pPr>
      <w:hyperlink w:anchor="_Toc300000695" w:history="1">
        <w:r>
          <w:t>Article 22.10: Transparency</w:t>
        </w:r>
        <w:r>
          <w:tab/>
        </w:r>
        <w:r>
          <w:t>1068</w:t>
        </w:r>
      </w:hyperlink>
    </w:p>
    <w:p>
      <w:pPr>
        <w:pStyle w:val="TOC2"/>
      </w:pPr>
      <w:hyperlink w:anchor="_Toc300000696" w:history="1">
        <w:r>
          <w:t>Article 22.11: Technical Cooperation</w:t>
        </w:r>
        <w:r>
          <w:tab/>
        </w:r>
        <w:r>
          <w:t>1070</w:t>
        </w:r>
      </w:hyperlink>
    </w:p>
    <w:p>
      <w:pPr>
        <w:pStyle w:val="TOC2"/>
      </w:pPr>
      <w:hyperlink w:anchor="_Toc300000697" w:history="1">
        <w:r>
          <w:t>Article 22.12: Committee on State-Owned Enterprises and Designated Monopolies</w:t>
        </w:r>
        <w:r>
          <w:tab/>
        </w:r>
        <w:r>
          <w:t>1071</w:t>
        </w:r>
      </w:hyperlink>
    </w:p>
    <w:p>
      <w:pPr>
        <w:pStyle w:val="TOC2"/>
      </w:pPr>
      <w:hyperlink w:anchor="_Toc300000698" w:history="1">
        <w:r>
          <w:t>Article 22.13: Exceptions</w:t>
        </w:r>
        <w:r>
          <w:tab/>
        </w:r>
        <w:r>
          <w:t>1071</w:t>
        </w:r>
      </w:hyperlink>
    </w:p>
    <w:p>
      <w:pPr>
        <w:pStyle w:val="TOC2"/>
      </w:pPr>
      <w:hyperlink w:anchor="_Toc300000699" w:history="1">
        <w:r>
          <w:t>Article 22.14: Further Negotiations</w:t>
        </w:r>
        <w:r>
          <w:tab/>
        </w:r>
        <w:r>
          <w:t>1072</w:t>
        </w:r>
      </w:hyperlink>
    </w:p>
    <w:p>
      <w:pPr>
        <w:pStyle w:val="TOC2"/>
      </w:pPr>
      <w:hyperlink w:anchor="_Toc300000700" w:history="1">
        <w:r>
          <w:t>Article 22.15: Process for Developing Information</w:t>
        </w:r>
        <w:r>
          <w:tab/>
        </w:r>
        <w:r>
          <w:t>1073</w:t>
        </w:r>
      </w:hyperlink>
    </w:p>
    <w:p>
      <w:pPr>
        <w:pStyle w:val="TOC2"/>
      </w:pPr>
      <w:hyperlink w:anchor="_Toc300000701" w:history="1">
        <w:r>
          <w:t>ANNEX 22A THRESHOLD CALCULATION</w:t>
        </w:r>
        <w:r>
          <w:tab/>
        </w:r>
        <w:r>
          <w:t>1073</w:t>
        </w:r>
      </w:hyperlink>
    </w:p>
    <w:p>
      <w:pPr>
        <w:pStyle w:val="TOC2"/>
      </w:pPr>
      <w:hyperlink w:anchor="_Toc300000702" w:history="1">
        <w:r>
          <w:t>ANNEX 22B PROCESS FOR DEVELOPING INFORMATION CONCERNING STATE OWNED ENTERPRISES AND DESIGNATED MONOPOLIES</w:t>
        </w:r>
        <w:r>
          <w:tab/>
        </w:r>
        <w:r>
          <w:t>1073</w:t>
        </w:r>
      </w:hyperlink>
    </w:p>
    <w:p>
      <w:pPr>
        <w:pStyle w:val="TOC2"/>
      </w:pPr>
      <w:hyperlink w:anchor="_Toc300000703" w:history="1">
        <w:r>
          <w:t>ANNEX 22C FURTHER NEGOTIATIONS</w:t>
        </w:r>
        <w:r>
          <w:tab/>
        </w:r>
        <w:r>
          <w:t>1074</w:t>
        </w:r>
      </w:hyperlink>
    </w:p>
    <w:p>
      <w:pPr>
        <w:pStyle w:val="TOC2"/>
      </w:pPr>
      <w:hyperlink w:anchor="_Toc300000704" w:history="1">
        <w:r>
          <w:t>ANNEX 22D APPLICATION TO SUBCENTRAL STATE-OWNED ENTERPRISES AND DESIGNATED MONOPOLIES</w:t>
        </w:r>
        <w:r>
          <w:tab/>
        </w:r>
        <w:r>
          <w:t>1074</w:t>
        </w:r>
      </w:hyperlink>
    </w:p>
    <w:p>
      <w:pPr>
        <w:pStyle w:val="TOC2"/>
      </w:pPr>
      <w:hyperlink w:anchor="_Toc300000705" w:history="1">
        <w:r>
          <w:t>ANNEX 22E SPECIAL PURPOSE VEHICLES OF STATE PRODUCTIVE ENTERPRISES</w:t>
        </w:r>
        <w:r>
          <w:tab/>
        </w:r>
        <w:r>
          <w:t>1075</w:t>
        </w:r>
      </w:hyperlink>
    </w:p>
    <w:p>
      <w:pPr>
        <w:pStyle w:val="TOC2"/>
      </w:pPr>
      <w:hyperlink w:anchor="_Toc300000706" w:history="1">
        <w:r>
          <w:t>ANNEX 22F NON-COMMERCIAL ASSISTANCE TO CERTAIN STATE PRODUCTIVE ENTERPRISES</w:t>
        </w:r>
        <w:r>
          <w:tab/>
        </w:r>
        <w:r>
          <w:t>1076</w:t>
        </w:r>
      </w:hyperlink>
    </w:p>
    <w:p>
      <w:pPr>
        <w:pStyle w:val="TOC1"/>
      </w:pPr>
      <w:hyperlink w:anchor="_Toc300000707" w:history="1">
        <w:r>
          <w:t>CHAPTER 23 LABOR</w:t>
        </w:r>
        <w:r>
          <w:tab/>
        </w:r>
        <w:r>
          <w:t>1078</w:t>
        </w:r>
      </w:hyperlink>
    </w:p>
    <w:p>
      <w:pPr>
        <w:pStyle w:val="TOC2"/>
      </w:pPr>
      <w:hyperlink w:anchor="_Toc300000708" w:history="1">
        <w:r>
          <w:t>Article 23.1: Definitions</w:t>
        </w:r>
        <w:r>
          <w:tab/>
        </w:r>
        <w:r>
          <w:t>1078</w:t>
        </w:r>
      </w:hyperlink>
    </w:p>
    <w:p>
      <w:pPr>
        <w:pStyle w:val="TOC2"/>
      </w:pPr>
      <w:hyperlink w:anchor="_Toc300000709" w:history="1">
        <w:r>
          <w:t>Article 23.2: Statement of Shared Commitments</w:t>
        </w:r>
        <w:r>
          <w:tab/>
        </w:r>
        <w:r>
          <w:t>1078</w:t>
        </w:r>
      </w:hyperlink>
    </w:p>
    <w:p>
      <w:pPr>
        <w:pStyle w:val="TOC2"/>
      </w:pPr>
      <w:hyperlink w:anchor="_Toc300000710" w:history="1">
        <w:r>
          <w:t>Article 23.3: Labor Rights</w:t>
        </w:r>
        <w:r>
          <w:tab/>
        </w:r>
        <w:r>
          <w:t>1078</w:t>
        </w:r>
      </w:hyperlink>
    </w:p>
    <w:p>
      <w:pPr>
        <w:pStyle w:val="TOC2"/>
      </w:pPr>
      <w:hyperlink w:anchor="_Toc300000711" w:history="1">
        <w:r>
          <w:t>Article 23.4: Non-Derogation</w:t>
        </w:r>
        <w:r>
          <w:tab/>
        </w:r>
        <w:r>
          <w:t>1079</w:t>
        </w:r>
      </w:hyperlink>
    </w:p>
    <w:p>
      <w:pPr>
        <w:pStyle w:val="TOC2"/>
      </w:pPr>
      <w:hyperlink w:anchor="_Toc300000712" w:history="1">
        <w:r>
          <w:t>Article 23.5: Enforcement of Labor Laws</w:t>
        </w:r>
        <w:r>
          <w:tab/>
        </w:r>
        <w:r>
          <w:t>1080</w:t>
        </w:r>
      </w:hyperlink>
    </w:p>
    <w:p>
      <w:pPr>
        <w:pStyle w:val="TOC2"/>
      </w:pPr>
      <w:hyperlink w:anchor="_Toc300000713" w:history="1">
        <w:r>
          <w:t>Article 23.6: Forced or Compulsory Labor</w:t>
        </w:r>
        <w:r>
          <w:tab/>
        </w:r>
        <w:r>
          <w:t>1080</w:t>
        </w:r>
      </w:hyperlink>
    </w:p>
    <w:p>
      <w:pPr>
        <w:pStyle w:val="TOC2"/>
      </w:pPr>
      <w:hyperlink w:anchor="_Toc300000714" w:history="1">
        <w:r>
          <w:t>Article 23.7: Violence Against Workers</w:t>
        </w:r>
        <w:r>
          <w:tab/>
        </w:r>
        <w:r>
          <w:t>1080</w:t>
        </w:r>
      </w:hyperlink>
    </w:p>
    <w:p>
      <w:pPr>
        <w:pStyle w:val="TOC2"/>
      </w:pPr>
      <w:hyperlink w:anchor="_Toc300000715" w:history="1">
        <w:r>
          <w:t>Article 23.8: Migrant Workers</w:t>
        </w:r>
        <w:r>
          <w:tab/>
        </w:r>
        <w:r>
          <w:t>1081</w:t>
        </w:r>
      </w:hyperlink>
    </w:p>
    <w:p>
      <w:pPr>
        <w:pStyle w:val="TOC2"/>
      </w:pPr>
      <w:hyperlink w:anchor="_Toc300000716" w:history="1">
        <w:r>
          <w:t>Article 23.9: Discrimination in the Workplace</w:t>
        </w:r>
        <w:r>
          <w:tab/>
        </w:r>
        <w:r>
          <w:t>1081</w:t>
        </w:r>
      </w:hyperlink>
    </w:p>
    <w:p>
      <w:pPr>
        <w:pStyle w:val="TOC2"/>
      </w:pPr>
      <w:hyperlink w:anchor="_Toc300000717" w:history="1">
        <w:r>
          <w:t>Article 23.10: Public Awareness and Procedural Guarantees</w:t>
        </w:r>
        <w:r>
          <w:tab/>
        </w:r>
        <w:r>
          <w:t>1081</w:t>
        </w:r>
      </w:hyperlink>
    </w:p>
    <w:p>
      <w:pPr>
        <w:pStyle w:val="TOC2"/>
      </w:pPr>
      <w:hyperlink w:anchor="_Toc300000718" w:history="1">
        <w:r>
          <w:t>Article 23.11: Public Submissions</w:t>
        </w:r>
        <w:r>
          <w:tab/>
        </w:r>
        <w:r>
          <w:t>1082</w:t>
        </w:r>
      </w:hyperlink>
    </w:p>
    <w:p>
      <w:pPr>
        <w:pStyle w:val="TOC2"/>
      </w:pPr>
      <w:hyperlink w:anchor="_Toc300000719" w:history="1">
        <w:r>
          <w:t>Article 23.12: Cooperation</w:t>
        </w:r>
        <w:r>
          <w:tab/>
        </w:r>
        <w:r>
          <w:t>1082</w:t>
        </w:r>
      </w:hyperlink>
    </w:p>
    <w:p>
      <w:pPr>
        <w:pStyle w:val="TOC2"/>
      </w:pPr>
      <w:hyperlink w:anchor="_Toc300000720" w:history="1">
        <w:r>
          <w:t>Article 23.13: Cooperative Labor Dialogue</w:t>
        </w:r>
        <w:r>
          <w:tab/>
        </w:r>
        <w:r>
          <w:t>1084</w:t>
        </w:r>
      </w:hyperlink>
    </w:p>
    <w:p>
      <w:pPr>
        <w:pStyle w:val="TOC2"/>
      </w:pPr>
      <w:hyperlink w:anchor="_Toc300000721" w:history="1">
        <w:r>
          <w:t>Article 23.14: Labor Council</w:t>
        </w:r>
        <w:r>
          <w:tab/>
        </w:r>
        <w:r>
          <w:t>1085</w:t>
        </w:r>
      </w:hyperlink>
    </w:p>
    <w:p>
      <w:pPr>
        <w:pStyle w:val="TOC2"/>
      </w:pPr>
      <w:hyperlink w:anchor="_Toc300000722" w:history="1">
        <w:r>
          <w:t>Article 23.15: Contact Points</w:t>
        </w:r>
        <w:r>
          <w:tab/>
        </w:r>
        <w:r>
          <w:t>1085</w:t>
        </w:r>
      </w:hyperlink>
    </w:p>
    <w:p>
      <w:pPr>
        <w:pStyle w:val="TOC2"/>
      </w:pPr>
      <w:hyperlink w:anchor="_Toc300000723" w:history="1">
        <w:r>
          <w:t>Article 23.16: Public Engagement</w:t>
        </w:r>
        <w:r>
          <w:tab/>
        </w:r>
        <w:r>
          <w:t>1086</w:t>
        </w:r>
      </w:hyperlink>
    </w:p>
    <w:p>
      <w:pPr>
        <w:pStyle w:val="TOC2"/>
      </w:pPr>
      <w:hyperlink w:anchor="_Toc300000724" w:history="1">
        <w:r>
          <w:t>Article 23.17: Labor Consultations</w:t>
        </w:r>
        <w:r>
          <w:tab/>
        </w:r>
        <w:r>
          <w:t>1086</w:t>
        </w:r>
      </w:hyperlink>
    </w:p>
    <w:p>
      <w:pPr>
        <w:pStyle w:val="TOC1"/>
      </w:pPr>
      <w:hyperlink w:anchor="_Toc300000725" w:history="1">
        <w:r>
          <w:t>ANNEX 23-A: WORKER REPRESENTATION, COLLECTIVE BARGAINING AND LABOUR-REFORM DURABILITY IN MEXICO</w:t>
        </w:r>
        <w:r>
          <w:tab/>
        </w:r>
        <w:r>
          <w:t>1087</w:t>
        </w:r>
      </w:hyperlink>
    </w:p>
    <w:p>
      <w:pPr>
        <w:pStyle w:val="TOC2"/>
      </w:pPr>
      <w:hyperlink w:anchor="_Toc300000726" w:history="1">
        <w:r>
          <w:t>23-A.1 Purpose and Durable Floor</w:t>
        </w:r>
        <w:r>
          <w:tab/>
        </w:r>
        <w:r>
          <w:t>1087</w:t>
        </w:r>
      </w:hyperlink>
    </w:p>
    <w:p>
      <w:pPr>
        <w:pStyle w:val="TOC2"/>
      </w:pPr>
      <w:hyperlink w:anchor="_Toc300000727" w:history="1">
        <w:r>
          <w:t>23-A.2 Freedom of Worker Organization</w:t>
        </w:r>
        <w:r>
          <w:tab/>
        </w:r>
        <w:r>
          <w:t>1087</w:t>
        </w:r>
      </w:hyperlink>
    </w:p>
    <w:p>
      <w:pPr>
        <w:pStyle w:val="TOC2"/>
      </w:pPr>
      <w:hyperlink w:anchor="_Toc300000728" w:history="1">
        <w:r>
          <w:t>23-A.3 Independent and Impartial Labour Institutions</w:t>
        </w:r>
        <w:r>
          <w:tab/>
        </w:r>
        <w:r>
          <w:t>1087</w:t>
        </w:r>
      </w:hyperlink>
    </w:p>
    <w:p>
      <w:pPr>
        <w:pStyle w:val="TOC2"/>
      </w:pPr>
      <w:hyperlink w:anchor="_Toc300000729" w:history="1">
        <w:r>
          <w:t>23-A.4 Personal, Free and Secret Worker Choice</w:t>
        </w:r>
        <w:r>
          <w:tab/>
        </w:r>
        <w:r>
          <w:t>1087</w:t>
        </w:r>
      </w:hyperlink>
    </w:p>
    <w:p>
      <w:pPr>
        <w:pStyle w:val="TOC2"/>
      </w:pPr>
      <w:hyperlink w:anchor="_Toc300000730" w:history="1">
        <w:r>
          <w:t>23-A.5 Authentic Support for Collective Bargaining Agreements</w:t>
        </w:r>
        <w:r>
          <w:tab/>
        </w:r>
        <w:r>
          <w:t>1087</w:t>
        </w:r>
      </w:hyperlink>
    </w:p>
    <w:p>
      <w:pPr>
        <w:pStyle w:val="TOC2"/>
      </w:pPr>
      <w:hyperlink w:anchor="_Toc300000731" w:history="1">
        <w:r>
          <w:t>23-A.6 Protection Against Fictitious or Employer-Dominated Agreements</w:t>
        </w:r>
        <w:r>
          <w:tab/>
        </w:r>
        <w:r>
          <w:t>1088</w:t>
        </w:r>
      </w:hyperlink>
    </w:p>
    <w:p>
      <w:pPr>
        <w:pStyle w:val="TOC2"/>
      </w:pPr>
      <w:hyperlink w:anchor="_Toc300000732" w:history="1">
        <w:r>
          <w:t>23-A.7 Information Before Consent</w:t>
        </w:r>
        <w:r>
          <w:tab/>
        </w:r>
        <w:r>
          <w:t>1088</w:t>
        </w:r>
      </w:hyperlink>
    </w:p>
    <w:p>
      <w:pPr>
        <w:pStyle w:val="TOC2"/>
      </w:pPr>
      <w:hyperlink w:anchor="_Toc300000733" w:history="1">
        <w:r>
          <w:t>23-A.8 Representation Challenges and Procedural Integrity</w:t>
        </w:r>
        <w:r>
          <w:tab/>
        </w:r>
        <w:r>
          <w:t>1088</w:t>
        </w:r>
      </w:hyperlink>
    </w:p>
    <w:p>
      <w:pPr>
        <w:pStyle w:val="TOC2"/>
      </w:pPr>
      <w:hyperlink w:anchor="_Toc300000734" w:history="1">
        <w:r>
          <w:t>23-A.9 Verification of Democratic Legitimacy</w:t>
        </w:r>
        <w:r>
          <w:tab/>
        </w:r>
        <w:r>
          <w:t>1088</w:t>
        </w:r>
      </w:hyperlink>
    </w:p>
    <w:p>
      <w:pPr>
        <w:pStyle w:val="TOC2"/>
      </w:pPr>
      <w:hyperlink w:anchor="_Toc300000735" w:history="1">
        <w:r>
          <w:t>23-A.10 Anti-Retaliation Protection</w:t>
        </w:r>
        <w:r>
          <w:tab/>
        </w:r>
        <w:r>
          <w:t>1088</w:t>
        </w:r>
      </w:hyperlink>
    </w:p>
    <w:p>
      <w:pPr>
        <w:pStyle w:val="TOC2"/>
      </w:pPr>
      <w:hyperlink w:anchor="_Toc300000736" w:history="1">
        <w:r>
          <w:t>23-A.11 Effective Worker Remedies</w:t>
        </w:r>
        <w:r>
          <w:tab/>
        </w:r>
        <w:r>
          <w:t>1089</w:t>
        </w:r>
      </w:hyperlink>
    </w:p>
    <w:p>
      <w:pPr>
        <w:pStyle w:val="TOC2"/>
      </w:pPr>
      <w:hyperlink w:anchor="_Toc300000737" w:history="1">
        <w:r>
          <w:t>23-A.12 Transparency and Privacy</w:t>
        </w:r>
        <w:r>
          <w:tab/>
        </w:r>
        <w:r>
          <w:t>1089</w:t>
        </w:r>
      </w:hyperlink>
    </w:p>
    <w:p>
      <w:pPr>
        <w:pStyle w:val="TOC2"/>
      </w:pPr>
      <w:hyperlink w:anchor="_Toc300000738" w:history="1">
        <w:r>
          <w:t>23-A.13 Non-Regression</w:t>
        </w:r>
        <w:r>
          <w:tab/>
        </w:r>
        <w:r>
          <w:t>1089</w:t>
        </w:r>
      </w:hyperlink>
    </w:p>
    <w:p>
      <w:pPr>
        <w:pStyle w:val="TOC2"/>
      </w:pPr>
      <w:hyperlink w:anchor="_Toc300000739" w:history="1">
        <w:r>
          <w:t>23-A.14 No Institutional Fossilization</w:t>
        </w:r>
        <w:r>
          <w:tab/>
        </w:r>
        <w:r>
          <w:t>1089</w:t>
        </w:r>
      </w:hyperlink>
    </w:p>
    <w:p>
      <w:pPr>
        <w:pStyle w:val="TOC2"/>
      </w:pPr>
      <w:hyperlink w:anchor="_Toc300000740" w:history="1">
        <w:r>
          <w:t>23-A.15 Performance and Durability Review</w:t>
        </w:r>
        <w:r>
          <w:tab/>
        </w:r>
        <w:r>
          <w:t>1089</w:t>
        </w:r>
      </w:hyperlink>
    </w:p>
    <w:p>
      <w:pPr>
        <w:pStyle w:val="TOC2"/>
      </w:pPr>
      <w:hyperlink w:anchor="_Toc300000741" w:history="1">
        <w:r>
          <w:t>23-A.16 Technical Cooperation Without Supervision</w:t>
        </w:r>
        <w:r>
          <w:tab/>
        </w:r>
        <w:r>
          <w:t>1090</w:t>
        </w:r>
      </w:hyperlink>
    </w:p>
    <w:p>
      <w:pPr>
        <w:pStyle w:val="TOC2"/>
      </w:pPr>
      <w:hyperlink w:anchor="_Toc300000742" w:history="1">
        <w:r>
          <w:t>23-A.17 Country-Specific Annex and Equal Party Status</w:t>
        </w:r>
        <w:r>
          <w:tab/>
        </w:r>
        <w:r>
          <w:t>1090</w:t>
        </w:r>
      </w:hyperlink>
    </w:p>
    <w:p>
      <w:pPr>
        <w:pStyle w:val="TOC2"/>
      </w:pPr>
      <w:hyperlink w:anchor="_Toc300000743" w:history="1">
        <w:r>
          <w:t>23-A.18 Relationship to Facility-Specific Enforcement</w:t>
        </w:r>
        <w:r>
          <w:tab/>
        </w:r>
        <w:r>
          <w:t>1090</w:t>
        </w:r>
      </w:hyperlink>
    </w:p>
    <w:p>
      <w:pPr>
        <w:pStyle w:val="TOC2"/>
      </w:pPr>
      <w:hyperlink w:anchor="_Toc300000744" w:history="1">
        <w:r>
          <w:t>23-A.19 Worker-Rights Firewall</w:t>
        </w:r>
        <w:r>
          <w:tab/>
        </w:r>
        <w:r>
          <w:t>1090</w:t>
        </w:r>
      </w:hyperlink>
    </w:p>
    <w:p>
      <w:pPr>
        <w:pStyle w:val="TOC2"/>
      </w:pPr>
      <w:hyperlink w:anchor="_Toc300000745" w:history="1">
        <w:r>
          <w:t>23-A.20 Future Improvement</w:t>
        </w:r>
        <w:r>
          <w:tab/>
        </w:r>
        <w:r>
          <w:t>1090</w:t>
        </w:r>
      </w:hyperlink>
    </w:p>
    <w:p>
      <w:pPr>
        <w:pStyle w:val="TOC2"/>
      </w:pPr>
      <w:hyperlink w:anchor="_Toc300000746" w:history="1">
        <w:r>
          <w:t>23-A.21 Completion of Historical Transitional Measures</w:t>
        </w:r>
        <w:r>
          <w:tab/>
        </w:r>
        <w:r>
          <w:t>1091</w:t>
        </w:r>
      </w:hyperlink>
    </w:p>
    <w:p>
      <w:pPr>
        <w:pStyle w:val="TOC2"/>
      </w:pPr>
      <w:hyperlink w:anchor="_Toc300000747" w:history="1">
        <w:r>
          <w:t>23-A.22 Chapter 23-B Remedies Following Labor-Enforcement Disruption</w:t>
        </w:r>
        <w:r>
          <w:tab/>
        </w:r>
        <w:r>
          <w:t>1091</w:t>
        </w:r>
      </w:hyperlink>
    </w:p>
    <w:p>
      <w:pPr>
        <w:pStyle w:val="TOC2"/>
      </w:pPr>
      <w:hyperlink w:anchor="_Toc300000748" w:history="1">
        <w:r>
          <w:t>CHAPTER 23: CUSMA 2.0 MODERNIZATION PROVISIONS</w:t>
        </w:r>
        <w:r>
          <w:tab/>
        </w:r>
        <w:r>
          <w:t>1091</w:t>
        </w:r>
      </w:hyperlink>
    </w:p>
    <w:p>
      <w:pPr>
        <w:pStyle w:val="TOC2"/>
      </w:pPr>
      <w:hyperlink w:anchor="_Toc300000749" w:history="1">
        <w:r>
          <w:t>Article 23.A: Forced Labour, Interoperable Enforcement</w:t>
        </w:r>
        <w:r>
          <w:tab/>
        </w:r>
        <w:r>
          <w:t>1091</w:t>
        </w:r>
      </w:hyperlink>
    </w:p>
    <w:p>
      <w:pPr>
        <w:pStyle w:val="TOC2"/>
      </w:pPr>
      <w:hyperlink w:anchor="_Toc300000750" w:history="1">
        <w:r>
          <w:t>Article 23.B: Labor Enforcement, Procedural Consistency</w:t>
        </w:r>
        <w:r>
          <w:tab/>
        </w:r>
        <w:r>
          <w:t>1092</w:t>
        </w:r>
      </w:hyperlink>
    </w:p>
    <w:p>
      <w:pPr>
        <w:pStyle w:val="TOC2"/>
      </w:pPr>
      <w:hyperlink w:anchor="_Toc300000751" w:history="1">
        <w:r>
          <w:t>Article 23.C: Independent Factual Verification of Labor Enforcement Complaints</w:t>
        </w:r>
        <w:r>
          <w:tab/>
        </w:r>
        <w:r>
          <w:t>1092</w:t>
        </w:r>
      </w:hyperlink>
    </w:p>
    <w:p>
      <w:pPr>
        <w:pStyle w:val="TOC2"/>
      </w:pPr>
      <w:hyperlink w:anchor="_Toc300000752" w:history="1">
        <w:r>
          <w:t>Article 23.D: Triadic Labour Floor and Equal Dignity in Employment</w:t>
        </w:r>
        <w:r>
          <w:tab/>
        </w:r>
        <w:r>
          <w:t>1093</w:t>
        </w:r>
      </w:hyperlink>
    </w:p>
    <w:p>
      <w:pPr>
        <w:pStyle w:val="TOC2"/>
      </w:pPr>
      <w:hyperlink w:anchor="_Toc300000753" w:history="1">
        <w:r>
          <w:t>Article 23.E: Basic Workplace Conditions Standard</w:t>
        </w:r>
        <w:r>
          <w:tab/>
        </w:r>
        <w:r>
          <w:t>1094</w:t>
        </w:r>
      </w:hyperlink>
    </w:p>
    <w:p>
      <w:pPr>
        <w:pStyle w:val="TOC2"/>
      </w:pPr>
      <w:hyperlink w:anchor="_Toc300000754" w:history="1">
        <w:r>
          <w:t>Article 23.F: Emergency Readiness and First-Aid Capability</w:t>
        </w:r>
        <w:r>
          <w:tab/>
        </w:r>
        <w:r>
          <w:t>1094</w:t>
        </w:r>
      </w:hyperlink>
    </w:p>
    <w:p>
      <w:pPr>
        <w:pStyle w:val="TOC2"/>
      </w:pPr>
      <w:hyperlink w:anchor="_Toc300000755" w:history="1">
        <w:r>
          <w:t>Article 23.G: Occupational Environmental Quality</w:t>
        </w:r>
        <w:r>
          <w:tab/>
        </w:r>
        <w:r>
          <w:t>1095</w:t>
        </w:r>
      </w:hyperlink>
    </w:p>
    <w:p>
      <w:pPr>
        <w:pStyle w:val="TOC2"/>
      </w:pPr>
      <w:hyperlink w:anchor="_Toc300000756" w:history="1">
        <w:r>
          <w:t>Article 23.H: Personal Protective Equipment and Fit</w:t>
        </w:r>
        <w:r>
          <w:tab/>
        </w:r>
        <w:r>
          <w:t>1095</w:t>
        </w:r>
      </w:hyperlink>
    </w:p>
    <w:p>
      <w:pPr>
        <w:pStyle w:val="TOC2"/>
      </w:pPr>
      <w:hyperlink w:anchor="_Toc300000757" w:history="1">
        <w:r>
          <w:t>Article 23.I: Rest, Seating, Lactation, and Reasonable Accommodation</w:t>
        </w:r>
        <w:r>
          <w:tab/>
        </w:r>
        <w:r>
          <w:t>1095</w:t>
        </w:r>
      </w:hyperlink>
    </w:p>
    <w:p>
      <w:pPr>
        <w:pStyle w:val="TOC2"/>
      </w:pPr>
      <w:hyperlink w:anchor="_Toc300000758" w:history="1">
        <w:r>
          <w:t>Article 23.J: Health, Illness, and Family Continuity</w:t>
        </w:r>
        <w:r>
          <w:tab/>
        </w:r>
        <w:r>
          <w:t>1096</w:t>
        </w:r>
      </w:hyperlink>
    </w:p>
    <w:p>
      <w:pPr>
        <w:pStyle w:val="TOC2"/>
      </w:pPr>
      <w:hyperlink w:anchor="_Toc300000759" w:history="1">
        <w:r>
          <w:t>Article 23.K: Universal Anti-Discrimination and Equality Standard</w:t>
        </w:r>
        <w:r>
          <w:tab/>
        </w:r>
        <w:r>
          <w:t>1096</w:t>
        </w:r>
      </w:hyperlink>
    </w:p>
    <w:p>
      <w:pPr>
        <w:pStyle w:val="TOC2"/>
      </w:pPr>
      <w:hyperlink w:anchor="_Toc300000760" w:history="1">
        <w:r>
          <w:t>Article 23.L: Proportionate Employer Equality Duties</w:t>
        </w:r>
        <w:r>
          <w:tab/>
        </w:r>
        <w:r>
          <w:t>1096</w:t>
        </w:r>
      </w:hyperlink>
    </w:p>
    <w:p>
      <w:pPr>
        <w:pStyle w:val="TOC2"/>
      </w:pPr>
      <w:hyperlink w:anchor="_Toc300000761" w:history="1">
        <w:r>
          <w:t>Article 23.M: Migrant, Temporary, Agency, and Contract Worker Parity</w:t>
        </w:r>
        <w:r>
          <w:tab/>
        </w:r>
        <w:r>
          <w:t>1097</w:t>
        </w:r>
      </w:hyperlink>
    </w:p>
    <w:p>
      <w:pPr>
        <w:pStyle w:val="TOC2"/>
      </w:pPr>
      <w:hyperlink w:anchor="_Toc300000762" w:history="1">
        <w:r>
          <w:t>Article 23.N: Automated Employment Decision Safeguards</w:t>
        </w:r>
        <w:r>
          <w:tab/>
        </w:r>
        <w:r>
          <w:t>1097</w:t>
        </w:r>
      </w:hyperlink>
    </w:p>
    <w:p>
      <w:pPr>
        <w:pStyle w:val="TOC2"/>
      </w:pPr>
      <w:hyperlink w:anchor="_Toc300000763" w:history="1">
        <w:r>
          <w:t>Article 23.O: Protected Exercise Firewall</w:t>
        </w:r>
        <w:r>
          <w:tab/>
        </w:r>
        <w:r>
          <w:t>1097</w:t>
        </w:r>
      </w:hyperlink>
    </w:p>
    <w:p>
      <w:pPr>
        <w:pStyle w:val="TOC2"/>
      </w:pPr>
      <w:hyperlink w:anchor="_Toc300000764" w:history="1">
        <w:r>
          <w:t>Article 23.P: Labour Enforcement Escalation and Institutional Restraint</w:t>
        </w:r>
        <w:r>
          <w:tab/>
        </w:r>
        <w:r>
          <w:t>1097</w:t>
        </w:r>
      </w:hyperlink>
    </w:p>
    <w:p>
      <w:pPr>
        <w:pStyle w:val="TOC2"/>
      </w:pPr>
      <w:hyperlink w:anchor="_Toc300000765" w:history="1">
        <w:r>
          <w:t>Article 23.Q: Worker-Rights Non-Bargaining Firewall</w:t>
        </w:r>
        <w:r>
          <w:tab/>
        </w:r>
        <w:r>
          <w:t>1098</w:t>
        </w:r>
      </w:hyperlink>
    </w:p>
    <w:p>
      <w:pPr>
        <w:pStyle w:val="TOC2"/>
      </w:pPr>
      <w:hyperlink w:anchor="_Toc300000766" w:history="1">
        <w:r>
          <w:t>Section 23.R: Relationship to Chapter 23-B (Just Transition)</w:t>
        </w:r>
        <w:r>
          <w:tab/>
        </w:r>
        <w:r>
          <w:t>1098</w:t>
        </w:r>
      </w:hyperlink>
    </w:p>
    <w:p>
      <w:pPr>
        <w:pStyle w:val="TOC1"/>
      </w:pPr>
      <w:hyperlink w:anchor="_Toc300000767" w:history="1">
        <w:r>
          <w:t>CHAPTER 23-B NORTH AMERICAN JUST TRANSITION AND WORKER SECURITY FRAMEWORK</w:t>
        </w:r>
        <w:r>
          <w:tab/>
        </w:r>
        <w:r>
          <w:t>1098</w:t>
        </w:r>
      </w:hyperlink>
    </w:p>
    <w:p>
      <w:pPr>
        <w:pStyle w:val="TOC2"/>
      </w:pPr>
      <w:hyperlink w:anchor="_Toc300000768" w:history="1">
        <w:r>
          <w:t>Article 23-B.1: Purpose and Principles</w:t>
        </w:r>
        <w:r>
          <w:tab/>
        </w:r>
        <w:r>
          <w:t>1100</w:t>
        </w:r>
      </w:hyperlink>
    </w:p>
    <w:p>
      <w:pPr>
        <w:pStyle w:val="TOC2"/>
      </w:pPr>
      <w:hyperlink w:anchor="_Toc300000769" w:history="1">
        <w:r>
          <w:t>Article 23-B.2: Definitions</w:t>
        </w:r>
        <w:r>
          <w:tab/>
        </w:r>
        <w:r>
          <w:t>1100</w:t>
        </w:r>
      </w:hyperlink>
    </w:p>
    <w:p>
      <w:pPr>
        <w:pStyle w:val="TOC2"/>
      </w:pPr>
      <w:hyperlink w:anchor="_Toc300000770" w:history="1">
        <w:r>
          <w:t>Article 23-B.3: Mandatory Worker Income Security and Transition Support</w:t>
        </w:r>
        <w:r>
          <w:tab/>
        </w:r>
        <w:r>
          <w:t>1101</w:t>
        </w:r>
      </w:hyperlink>
    </w:p>
    <w:p>
      <w:pPr>
        <w:pStyle w:val="TOC2"/>
      </w:pPr>
      <w:hyperlink w:anchor="_Toc300000771" w:history="1">
        <w:r>
          <w:t>Article 23-B.4: Mandatory Skills Development, Reskilling, and Lifelong Learning</w:t>
        </w:r>
        <w:r>
          <w:tab/>
        </w:r>
        <w:r>
          <w:t>1104</w:t>
        </w:r>
      </w:hyperlink>
    </w:p>
    <w:p>
      <w:pPr>
        <w:pStyle w:val="TOC2"/>
      </w:pPr>
      <w:hyperlink w:anchor="_Toc300000772" w:history="1">
        <w:r>
          <w:t>Article 23-B.5: Mandatory Portable Benefits and Cross-Border Social Protection</w:t>
        </w:r>
        <w:r>
          <w:tab/>
        </w:r>
        <w:r>
          <w:t>1106</w:t>
        </w:r>
      </w:hyperlink>
    </w:p>
    <w:p>
      <w:pPr>
        <w:pStyle w:val="TOC2"/>
      </w:pPr>
      <w:hyperlink w:anchor="_Toc300000773" w:history="1">
        <w:r>
          <w:t>Article 23-B.6: Mandatory Community Resilience and Economic Diversification</w:t>
        </w:r>
        <w:r>
          <w:tab/>
        </w:r>
        <w:r>
          <w:t>1109</w:t>
        </w:r>
      </w:hyperlink>
    </w:p>
    <w:p>
      <w:pPr>
        <w:pStyle w:val="TOC2"/>
      </w:pPr>
      <w:hyperlink w:anchor="_Toc300000774" w:history="1">
        <w:r>
          <w:t>Article 23-B.7: North American Just Transition Fund (With Binding Financial Commitments)</w:t>
        </w:r>
        <w:r>
          <w:tab/>
        </w:r>
        <w:r>
          <w:t>1111</w:t>
        </w:r>
      </w:hyperlink>
    </w:p>
    <w:p>
      <w:pPr>
        <w:pStyle w:val="TOC2"/>
      </w:pPr>
      <w:hyperlink w:anchor="_Toc300000775" w:history="1">
        <w:r>
          <w:t>Article 23-B.8: Mandatory Identification of Transition Sectors (Binding Process)</w:t>
        </w:r>
        <w:r>
          <w:tab/>
        </w:r>
        <w:r>
          <w:t>1114</w:t>
        </w:r>
      </w:hyperlink>
    </w:p>
    <w:p>
      <w:pPr>
        <w:pStyle w:val="TOC2"/>
      </w:pPr>
      <w:hyperlink w:anchor="_Toc300000776" w:history="1">
        <w:r>
          <w:t>Article 23-B.9: Mandatory Monitoring and Reporting (Strengthened and Detailed)</w:t>
        </w:r>
        <w:r>
          <w:tab/>
        </w:r>
        <w:r>
          <w:t>1116</w:t>
        </w:r>
      </w:hyperlink>
    </w:p>
    <w:p>
      <w:pPr>
        <w:pStyle w:val="TOC2"/>
      </w:pPr>
      <w:hyperlink w:anchor="_Toc300000777" w:history="1">
        <w:r>
          <w:t>Article 23-B.10: Relationship to Other Chapters and Primacy Provision</w:t>
        </w:r>
        <w:r>
          <w:tab/>
        </w:r>
        <w:r>
          <w:t>1119</w:t>
        </w:r>
      </w:hyperlink>
    </w:p>
    <w:p>
      <w:pPr>
        <w:pStyle w:val="TOC2"/>
      </w:pPr>
      <w:hyperlink w:anchor="_Toc300000778" w:history="1">
        <w:r>
          <w:t>Article 23-B.11: Dispute Settlement and Enforcement</w:t>
        </w:r>
        <w:r>
          <w:tab/>
        </w:r>
        <w:r>
          <w:t>1121</w:t>
        </w:r>
      </w:hyperlink>
    </w:p>
    <w:p>
      <w:pPr>
        <w:pStyle w:val="TOC2"/>
      </w:pPr>
      <w:hyperlink w:anchor="_Toc300000779" w:history="1">
        <w:r>
          <w:t>Article 23-B.12: Entry into Force and Implementation Deadlines</w:t>
        </w:r>
        <w:r>
          <w:tab/>
        </w:r>
        <w:r>
          <w:t>1124</w:t>
        </w:r>
      </w:hyperlink>
    </w:p>
    <w:p>
      <w:pPr>
        <w:pStyle w:val="TOC2"/>
      </w:pPr>
      <w:hyperlink w:anchor="_Toc300000780" w:history="1">
        <w:r>
          <w:t>Article 23-B.13: Definitions of Terms in Chapter 23-B Context</w:t>
        </w:r>
        <w:r>
          <w:tab/>
        </w:r>
        <w:r>
          <w:t>1126</w:t>
        </w:r>
      </w:hyperlink>
    </w:p>
    <w:p>
      <w:pPr>
        <w:pStyle w:val="TOC1"/>
      </w:pPr>
      <w:hyperlink w:anchor="_Toc300000781" w:history="1">
        <w:r>
          <w:t>CHAPTER 24 ENVIRONMENT</w:t>
        </w:r>
        <w:r>
          <w:tab/>
        </w:r>
        <w:r>
          <w:t>1127</w:t>
        </w:r>
      </w:hyperlink>
    </w:p>
    <w:p>
      <w:pPr>
        <w:pStyle w:val="TOC2"/>
      </w:pPr>
      <w:hyperlink w:anchor="_Toc300000782" w:history="1">
        <w:r>
          <w:t>Article 24.1: Definitions</w:t>
        </w:r>
        <w:r>
          <w:tab/>
        </w:r>
        <w:r>
          <w:t>1127</w:t>
        </w:r>
      </w:hyperlink>
    </w:p>
    <w:p>
      <w:pPr>
        <w:pStyle w:val="TOC2"/>
      </w:pPr>
      <w:hyperlink w:anchor="_Toc300000783" w:history="1">
        <w:r>
          <w:t>Article 24.2: Scope and Objectives</w:t>
        </w:r>
        <w:r>
          <w:tab/>
        </w:r>
        <w:r>
          <w:t>1127</w:t>
        </w:r>
      </w:hyperlink>
    </w:p>
    <w:p>
      <w:pPr>
        <w:pStyle w:val="TOC2"/>
      </w:pPr>
      <w:hyperlink w:anchor="_Toc300000784" w:history="1">
        <w:r>
          <w:t>Article 24.3: Levels of Protection</w:t>
        </w:r>
        <w:r>
          <w:tab/>
        </w:r>
        <w:r>
          <w:t>1128</w:t>
        </w:r>
      </w:hyperlink>
    </w:p>
    <w:p>
      <w:pPr>
        <w:pStyle w:val="TOC2"/>
      </w:pPr>
      <w:hyperlink w:anchor="_Toc300000785" w:history="1">
        <w:r>
          <w:t>Article 24.4: Enforcement of Environmental Laws</w:t>
        </w:r>
        <w:r>
          <w:tab/>
        </w:r>
        <w:r>
          <w:t>1128</w:t>
        </w:r>
      </w:hyperlink>
    </w:p>
    <w:p>
      <w:pPr>
        <w:pStyle w:val="TOC2"/>
      </w:pPr>
      <w:hyperlink w:anchor="_Toc300000786" w:history="1">
        <w:r>
          <w:t>Article 24.5: Public Information and Participation</w:t>
        </w:r>
        <w:r>
          <w:tab/>
        </w:r>
        <w:r>
          <w:t>1128</w:t>
        </w:r>
      </w:hyperlink>
    </w:p>
    <w:p>
      <w:pPr>
        <w:pStyle w:val="TOC2"/>
      </w:pPr>
      <w:hyperlink w:anchor="_Toc300000787" w:history="1">
        <w:r>
          <w:t>Article 24.6: Procedural Matters</w:t>
        </w:r>
        <w:r>
          <w:tab/>
        </w:r>
        <w:r>
          <w:t>1129</w:t>
        </w:r>
      </w:hyperlink>
    </w:p>
    <w:p>
      <w:pPr>
        <w:pStyle w:val="TOC2"/>
      </w:pPr>
      <w:hyperlink w:anchor="_Toc300000788" w:history="1">
        <w:r>
          <w:t>Article 24.7: Environmental Impact Assessment</w:t>
        </w:r>
        <w:r>
          <w:tab/>
        </w:r>
        <w:r>
          <w:t>1129</w:t>
        </w:r>
      </w:hyperlink>
    </w:p>
    <w:p>
      <w:pPr>
        <w:pStyle w:val="TOC2"/>
      </w:pPr>
      <w:hyperlink w:anchor="_Toc300000789" w:history="1">
        <w:r>
          <w:t>Article 24.8: Multilateral Environmental Agreements</w:t>
        </w:r>
        <w:r>
          <w:tab/>
        </w:r>
        <w:r>
          <w:t>1129</w:t>
        </w:r>
      </w:hyperlink>
    </w:p>
    <w:p>
      <w:pPr>
        <w:pStyle w:val="TOC2"/>
      </w:pPr>
      <w:hyperlink w:anchor="_Toc300000790" w:history="1">
        <w:r>
          <w:t>Article 24.9: Protection of the Ozone Layer</w:t>
        </w:r>
        <w:r>
          <w:tab/>
        </w:r>
        <w:r>
          <w:t>1129</w:t>
        </w:r>
      </w:hyperlink>
    </w:p>
    <w:p>
      <w:pPr>
        <w:pStyle w:val="TOC2"/>
      </w:pPr>
      <w:hyperlink w:anchor="_Toc300000791" w:history="1">
        <w:r>
          <w:t>Article 24.10: Protection of the Marine Environment from Ship Pollution</w:t>
        </w:r>
        <w:r>
          <w:tab/>
        </w:r>
        <w:r>
          <w:t>1130</w:t>
        </w:r>
      </w:hyperlink>
    </w:p>
    <w:p>
      <w:pPr>
        <w:pStyle w:val="TOC2"/>
      </w:pPr>
      <w:hyperlink w:anchor="_Toc300000792" w:history="1">
        <w:r>
          <w:t>Article 24.11: Air Quality</w:t>
        </w:r>
        <w:r>
          <w:tab/>
        </w:r>
        <w:r>
          <w:t>1131</w:t>
        </w:r>
      </w:hyperlink>
    </w:p>
    <w:p>
      <w:pPr>
        <w:pStyle w:val="TOC2"/>
      </w:pPr>
      <w:hyperlink w:anchor="_Toc300000793" w:history="1">
        <w:r>
          <w:t>Article 24.12: Marine Litter</w:t>
        </w:r>
        <w:r>
          <w:tab/>
        </w:r>
        <w:r>
          <w:t>1132</w:t>
        </w:r>
      </w:hyperlink>
    </w:p>
    <w:p>
      <w:pPr>
        <w:pStyle w:val="TOC2"/>
      </w:pPr>
      <w:hyperlink w:anchor="_Toc300000794" w:history="1">
        <w:r>
          <w:t>Article 24.13: Corporate Social Responsibility and Responsible Business Conduct</w:t>
        </w:r>
        <w:r>
          <w:tab/>
        </w:r>
        <w:r>
          <w:t>1132</w:t>
        </w:r>
      </w:hyperlink>
    </w:p>
    <w:p>
      <w:pPr>
        <w:pStyle w:val="TOC2"/>
      </w:pPr>
      <w:hyperlink w:anchor="_Toc300000795" w:history="1">
        <w:r>
          <w:t>Article 24.14: Voluntary Mechanisms to Enhance Environmental Performance</w:t>
        </w:r>
        <w:r>
          <w:tab/>
        </w:r>
        <w:r>
          <w:t>1132</w:t>
        </w:r>
      </w:hyperlink>
    </w:p>
    <w:p>
      <w:pPr>
        <w:pStyle w:val="TOC2"/>
      </w:pPr>
      <w:hyperlink w:anchor="_Toc300000796" w:history="1">
        <w:r>
          <w:t>Article 24.15: Trade and Biodiversity</w:t>
        </w:r>
        <w:r>
          <w:tab/>
        </w:r>
        <w:r>
          <w:t>1133</w:t>
        </w:r>
      </w:hyperlink>
    </w:p>
    <w:p>
      <w:pPr>
        <w:pStyle w:val="TOC2"/>
      </w:pPr>
      <w:hyperlink w:anchor="_Toc300000797" w:history="1">
        <w:r>
          <w:t>Article 24.16: Invasive Alien Species</w:t>
        </w:r>
        <w:r>
          <w:tab/>
        </w:r>
        <w:r>
          <w:t>1134</w:t>
        </w:r>
      </w:hyperlink>
    </w:p>
    <w:p>
      <w:pPr>
        <w:pStyle w:val="TOC2"/>
      </w:pPr>
      <w:hyperlink w:anchor="_Toc300000798" w:history="1">
        <w:r>
          <w:t xml:space="preserve">Article 24.17: Marine Wild Capture Fisheries</w:t>
        </w:r>
        <w:r>
          <w:rPr>
            <w:vertAlign w:val="superscript"/>
          </w:rPr>
          <w:t xml:space="preserve">11</w:t>
        </w:r>
        <w:r>
          <w:tab/>
        </w:r>
        <w:r>
          <w:t>1134</w:t>
        </w:r>
      </w:hyperlink>
    </w:p>
    <w:p>
      <w:pPr>
        <w:pStyle w:val="TOC2"/>
      </w:pPr>
      <w:hyperlink w:anchor="_Toc300000799" w:history="1">
        <w:r>
          <w:t>Article 24.18: Sustainable Fisheries Management</w:t>
        </w:r>
        <w:r>
          <w:tab/>
        </w:r>
        <w:r>
          <w:t>1135</w:t>
        </w:r>
      </w:hyperlink>
    </w:p>
    <w:p>
      <w:pPr>
        <w:pStyle w:val="TOC2"/>
      </w:pPr>
      <w:hyperlink w:anchor="_Toc300000800" w:history="1">
        <w:r>
          <w:t>Article 24.19: Conservation of Marine Species</w:t>
        </w:r>
        <w:r>
          <w:tab/>
        </w:r>
        <w:r>
          <w:t>1135</w:t>
        </w:r>
      </w:hyperlink>
    </w:p>
    <w:p>
      <w:pPr>
        <w:pStyle w:val="TOC2"/>
      </w:pPr>
      <w:hyperlink w:anchor="_Toc300000801" w:history="1">
        <w:r>
          <w:t>Article 24.20: Fisheries Subsidies</w:t>
        </w:r>
        <w:r>
          <w:tab/>
        </w:r>
        <w:r>
          <w:t>1135</w:t>
        </w:r>
      </w:hyperlink>
    </w:p>
    <w:p>
      <w:pPr>
        <w:pStyle w:val="TOC2"/>
      </w:pPr>
      <w:hyperlink w:anchor="_Toc300000802" w:history="1">
        <w:r>
          <w:t>Article 24.21: Illegal, Unreported, and Unregulated (IUU) Fishing</w:t>
        </w:r>
        <w:r>
          <w:tab/>
        </w:r>
        <w:r>
          <w:t>1135</w:t>
        </w:r>
      </w:hyperlink>
    </w:p>
    <w:p>
      <w:pPr>
        <w:pStyle w:val="TOC2"/>
      </w:pPr>
      <w:hyperlink w:anchor="_Toc300000803" w:history="1">
        <w:r>
          <w:t>Article 24.22: Conservation and Trade</w:t>
        </w:r>
        <w:r>
          <w:tab/>
        </w:r>
        <w:r>
          <w:t>1138</w:t>
        </w:r>
      </w:hyperlink>
    </w:p>
    <w:p>
      <w:pPr>
        <w:pStyle w:val="TOC2"/>
      </w:pPr>
      <w:hyperlink w:anchor="_Toc300000804" w:history="1">
        <w:r>
          <w:t>Article 24.23: Sustainable Forest Management and Trade</w:t>
        </w:r>
        <w:r>
          <w:tab/>
        </w:r>
        <w:r>
          <w:t>1140</w:t>
        </w:r>
      </w:hyperlink>
    </w:p>
    <w:p>
      <w:pPr>
        <w:pStyle w:val="TOC2"/>
      </w:pPr>
      <w:hyperlink w:anchor="_Toc300000805" w:history="1">
        <w:r>
          <w:t>Article 24.24: Environmental Goods and Services</w:t>
        </w:r>
        <w:r>
          <w:tab/>
        </w:r>
        <w:r>
          <w:t>1141</w:t>
        </w:r>
      </w:hyperlink>
    </w:p>
    <w:p>
      <w:pPr>
        <w:pStyle w:val="TOC2"/>
      </w:pPr>
      <w:hyperlink w:anchor="_Toc300000806" w:history="1">
        <w:r>
          <w:t>Article 24.25: Environmental Cooperation</w:t>
        </w:r>
        <w:r>
          <w:tab/>
        </w:r>
        <w:r>
          <w:t>1141</w:t>
        </w:r>
      </w:hyperlink>
    </w:p>
    <w:p>
      <w:pPr>
        <w:pStyle w:val="TOC2"/>
      </w:pPr>
      <w:hyperlink w:anchor="_Toc300000807" w:history="1">
        <w:r>
          <w:t>Article 24.26: Environment Committee and Contact Points</w:t>
        </w:r>
        <w:r>
          <w:tab/>
        </w:r>
        <w:r>
          <w:t>1142</w:t>
        </w:r>
      </w:hyperlink>
    </w:p>
    <w:p>
      <w:pPr>
        <w:pStyle w:val="TOC2"/>
      </w:pPr>
      <w:hyperlink w:anchor="_Toc300000808" w:history="1">
        <w:r>
          <w:t>Article 24.27: Submissions on Enforcement Matters</w:t>
        </w:r>
        <w:r>
          <w:tab/>
        </w:r>
        <w:r>
          <w:t>1143</w:t>
        </w:r>
      </w:hyperlink>
    </w:p>
    <w:p>
      <w:pPr>
        <w:pStyle w:val="TOC2"/>
      </w:pPr>
      <w:hyperlink w:anchor="_Toc300000809" w:history="1">
        <w:r>
          <w:t>Article 24.28: Factual Records and Related Cooperation</w:t>
        </w:r>
        <w:r>
          <w:tab/>
        </w:r>
        <w:r>
          <w:t>1143</w:t>
        </w:r>
      </w:hyperlink>
    </w:p>
    <w:p>
      <w:pPr>
        <w:pStyle w:val="TOC2"/>
      </w:pPr>
      <w:hyperlink w:anchor="_Toc300000810" w:history="1">
        <w:r>
          <w:t>Article 24.29: Environment Consultations</w:t>
        </w:r>
        <w:r>
          <w:tab/>
        </w:r>
        <w:r>
          <w:t>1144</w:t>
        </w:r>
      </w:hyperlink>
    </w:p>
    <w:p>
      <w:pPr>
        <w:pStyle w:val="TOC2"/>
      </w:pPr>
      <w:hyperlink w:anchor="_Toc300000811" w:history="1">
        <w:r>
          <w:t>Article 24.30: Senior Representative Consultations</w:t>
        </w:r>
        <w:r>
          <w:tab/>
        </w:r>
        <w:r>
          <w:t>1145</w:t>
        </w:r>
      </w:hyperlink>
    </w:p>
    <w:p>
      <w:pPr>
        <w:pStyle w:val="TOC2"/>
      </w:pPr>
      <w:hyperlink w:anchor="_Toc300000812" w:history="1">
        <w:r>
          <w:t>Article 24.31: Ministerial Consultations</w:t>
        </w:r>
        <w:r>
          <w:tab/>
        </w:r>
        <w:r>
          <w:t>1145</w:t>
        </w:r>
      </w:hyperlink>
    </w:p>
    <w:p>
      <w:pPr>
        <w:pStyle w:val="TOC2"/>
      </w:pPr>
      <w:hyperlink w:anchor="_Toc300000813" w:history="1">
        <w:r>
          <w:t>Article 24.32: Dispute Resolution</w:t>
        </w:r>
        <w:r>
          <w:tab/>
        </w:r>
        <w:r>
          <w:t>1145</w:t>
        </w:r>
      </w:hyperlink>
    </w:p>
    <w:p>
      <w:pPr>
        <w:pStyle w:val="TOC2"/>
      </w:pPr>
      <w:hyperlink w:anchor="_Toc300000814" w:history="1">
        <w:r>
          <w:t>ANNEX 24-A</w:t>
        </w:r>
        <w:r>
          <w:tab/>
        </w:r>
        <w:r>
          <w:t>1146</w:t>
        </w:r>
      </w:hyperlink>
    </w:p>
    <w:p>
      <w:pPr>
        <w:pStyle w:val="TOC2"/>
      </w:pPr>
      <w:hyperlink w:anchor="_Toc300000815" w:history="1">
        <w:r>
          <w:t>ANNEX 24-B</w:t>
        </w:r>
        <w:r>
          <w:tab/>
        </w:r>
        <w:r>
          <w:t>1146</w:t>
        </w:r>
      </w:hyperlink>
    </w:p>
    <w:p>
      <w:pPr>
        <w:pStyle w:val="TOC2"/>
      </w:pPr>
      <w:hyperlink w:anchor="_Toc300000816" w:history="1">
        <w:r>
          <w:t>CHAPTER 24: CUSMA 2.0 MODERNIZATION PROVISIONS</w:t>
        </w:r>
        <w:r>
          <w:tab/>
        </w:r>
        <w:r>
          <w:t>1146</w:t>
        </w:r>
      </w:hyperlink>
    </w:p>
    <w:p>
      <w:pPr>
        <w:pStyle w:val="TOC2"/>
      </w:pPr>
      <w:hyperlink w:anchor="_Toc300000817" w:history="1">
        <w:r>
          <w:t>Article 24.A: Environmental Traceability and Circular Production</w:t>
        </w:r>
        <w:r>
          <w:tab/>
        </w:r>
        <w:r>
          <w:t>1146</w:t>
        </w:r>
      </w:hyperlink>
    </w:p>
    <w:p>
      <w:pPr>
        <w:pStyle w:val="TOC2"/>
      </w:pPr>
      <w:hyperlink w:anchor="_Toc300000818" w:history="1">
        <w:r>
          <w:t>Article 24.B: Wildfire and Transboundary Environmental Events</w:t>
        </w:r>
        <w:r>
          <w:tab/>
        </w:r>
        <w:r>
          <w:t>1146</w:t>
        </w:r>
      </w:hyperlink>
    </w:p>
    <w:p>
      <w:pPr>
        <w:pStyle w:val="TOC2"/>
      </w:pPr>
      <w:hyperlink w:anchor="_Toc300000819" w:history="1">
        <w:r>
          <w:t>Article 24.C: Independent Factual Verification of Environmental Enforcement Complaints</w:t>
        </w:r>
        <w:r>
          <w:tab/>
        </w:r>
        <w:r>
          <w:t>1146</w:t>
        </w:r>
      </w:hyperlink>
    </w:p>
    <w:p>
      <w:pPr>
        <w:pStyle w:val="TOC2"/>
      </w:pPr>
      <w:hyperlink w:anchor="_Toc300000820" w:history="1">
        <w:r>
          <w:t>Article 24.D: North American Wildfire Innovation, Prevention and Smoke-Mitigation Partnership</w:t>
        </w:r>
        <w:r>
          <w:tab/>
        </w:r>
        <w:r>
          <w:t>1148</w:t>
        </w:r>
      </w:hyperlink>
    </w:p>
    <w:p>
      <w:pPr>
        <w:pStyle w:val="TOC2"/>
      </w:pPr>
      <w:hyperlink w:anchor="_Toc300000821" w:history="1">
        <w:r>
          <w:t>Article 24.E: Storm-Damaged Forest Fuel Recovery</w:t>
        </w:r>
        <w:r>
          <w:tab/>
        </w:r>
        <w:r>
          <w:t>1148</w:t>
        </w:r>
      </w:hyperlink>
    </w:p>
    <w:p>
      <w:pPr>
        <w:pStyle w:val="TOC2"/>
      </w:pPr>
      <w:hyperlink w:anchor="_Toc300000822" w:history="1">
        <w:r>
          <w:t>Article 24.F: Environmental Resilience, Cooperation Before Restriction, and Non-Weaponization</w:t>
        </w:r>
        <w:r>
          <w:tab/>
        </w:r>
        <w:r>
          <w:t>1149</w:t>
        </w:r>
      </w:hyperlink>
    </w:p>
    <w:p>
      <w:pPr>
        <w:pStyle w:val="TOC2"/>
      </w:pPr>
      <w:hyperlink w:anchor="_Toc300000823" w:history="1">
        <w:r>
          <w:t>Article 24.G: North American Wildfire, Smoke, and Landscape Resilience</w:t>
        </w:r>
        <w:r>
          <w:tab/>
        </w:r>
        <w:r>
          <w:t>1149</w:t>
        </w:r>
      </w:hyperlink>
    </w:p>
    <w:p>
      <w:pPr>
        <w:pStyle w:val="TOC2"/>
      </w:pPr>
      <w:hyperlink w:anchor="_Toc300000824" w:history="1">
        <w:r>
          <w:t>Article 24.H: Marine Debris, Ghost Gear, and Circular Fishing Materials</w:t>
        </w:r>
        <w:r>
          <w:tab/>
        </w:r>
        <w:r>
          <w:t>1150</w:t>
        </w:r>
      </w:hyperlink>
    </w:p>
    <w:p>
      <w:pPr>
        <w:pStyle w:val="TOC2"/>
      </w:pPr>
      <w:hyperlink w:anchor="_Toc300000825" w:history="1">
        <w:r>
          <w:t>Article 24.I: Marine Mammals, Acoustic Monitoring, and Vessel Interaction</w:t>
        </w:r>
        <w:r>
          <w:tab/>
        </w:r>
        <w:r>
          <w:t>1150</w:t>
        </w:r>
      </w:hyperlink>
    </w:p>
    <w:p>
      <w:pPr>
        <w:pStyle w:val="TOC2"/>
      </w:pPr>
      <w:hyperlink w:anchor="_Toc300000826" w:history="1">
        <w:r>
          <w:t>Article 24.J: Coastal Habitat, Blue Carbon, and Nature-Based Resilience</w:t>
        </w:r>
        <w:r>
          <w:tab/>
        </w:r>
        <w:r>
          <w:t>1151</w:t>
        </w:r>
      </w:hyperlink>
    </w:p>
    <w:p>
      <w:pPr>
        <w:pStyle w:val="TOC2"/>
      </w:pPr>
      <w:hyperlink w:anchor="_Toc300000827" w:history="1">
        <w:r>
          <w:t>Article 24.K: Blue Bioeconomy and Marine Biomaterials</w:t>
        </w:r>
        <w:r>
          <w:tab/>
        </w:r>
        <w:r>
          <w:t>1151</w:t>
        </w:r>
      </w:hyperlink>
    </w:p>
    <w:p>
      <w:pPr>
        <w:pStyle w:val="TOC2"/>
      </w:pPr>
      <w:hyperlink w:anchor="_Toc300000828" w:history="1">
        <w:r>
          <w:t>Article 24.L: Water, Watershed, and Aquatic Resilience</w:t>
        </w:r>
        <w:r>
          <w:tab/>
        </w:r>
        <w:r>
          <w:t>1152</w:t>
        </w:r>
      </w:hyperlink>
    </w:p>
    <w:p>
      <w:pPr>
        <w:pStyle w:val="TOC2"/>
      </w:pPr>
      <w:hyperlink w:anchor="_Toc300000829" w:history="1">
        <w:r>
          <w:t>Article 24.M: Brine Resource Recovery and Desalination Innovation</w:t>
        </w:r>
        <w:r>
          <w:tab/>
        </w:r>
        <w:r>
          <w:t>1152</w:t>
        </w:r>
      </w:hyperlink>
    </w:p>
    <w:p>
      <w:pPr>
        <w:pStyle w:val="TOC2"/>
      </w:pPr>
      <w:hyperlink w:anchor="_Toc300000830" w:history="1">
        <w:r>
          <w:t>Article 24.N: Waste-to-Resource and Residual Valorization</w:t>
        </w:r>
        <w:r>
          <w:tab/>
        </w:r>
        <w:r>
          <w:t>1152</w:t>
        </w:r>
      </w:hyperlink>
    </w:p>
    <w:p>
      <w:pPr>
        <w:pStyle w:val="TOC2"/>
      </w:pPr>
      <w:hyperlink w:anchor="_Toc300000831" w:history="1">
        <w:r>
          <w:t>Article 24.O: Circular Materials and Industrial Symbiosis</w:t>
        </w:r>
        <w:r>
          <w:tab/>
        </w:r>
        <w:r>
          <w:t>1153</w:t>
        </w:r>
      </w:hyperlink>
    </w:p>
    <w:p>
      <w:pPr>
        <w:pStyle w:val="TOC2"/>
      </w:pPr>
      <w:hyperlink w:anchor="_Toc300000832" w:history="1">
        <w:r>
          <w:t>Article 24.P: Critical Minerals and Sustainable Mining</w:t>
        </w:r>
        <w:r>
          <w:tab/>
        </w:r>
        <w:r>
          <w:t>1153</w:t>
        </w:r>
      </w:hyperlink>
    </w:p>
    <w:p>
      <w:pPr>
        <w:pStyle w:val="TOC2"/>
      </w:pPr>
      <w:hyperlink w:anchor="_Toc300000833" w:history="1">
        <w:r>
          <w:t>Article 24.Q: Clean Energy, Grid, and Industrial Decarbonization Interoperability</w:t>
        </w:r>
        <w:r>
          <w:tab/>
        </w:r>
        <w:r>
          <w:t>1154</w:t>
        </w:r>
      </w:hyperlink>
    </w:p>
    <w:p>
      <w:pPr>
        <w:pStyle w:val="TOC2"/>
      </w:pPr>
      <w:hyperlink w:anchor="_Toc300000834" w:history="1">
        <w:r>
          <w:t>Article 24.R: Sustainable Freight, Ports, Aviation, and Trade Infrastructure</w:t>
        </w:r>
        <w:r>
          <w:tab/>
        </w:r>
        <w:r>
          <w:t>1154</w:t>
        </w:r>
      </w:hyperlink>
    </w:p>
    <w:p>
      <w:pPr>
        <w:pStyle w:val="TOC2"/>
      </w:pPr>
      <w:hyperlink w:anchor="_Toc300000835" w:history="1">
        <w:r>
          <w:t>Article 24.S: Transboundary Pollution and Environmental Emergency Response</w:t>
        </w:r>
        <w:r>
          <w:tab/>
        </w:r>
        <w:r>
          <w:t>1154</w:t>
        </w:r>
      </w:hyperlink>
    </w:p>
    <w:p>
      <w:pPr>
        <w:pStyle w:val="TOC2"/>
      </w:pPr>
      <w:hyperlink w:anchor="_Toc300000836" w:history="1">
        <w:r>
          <w:t>Article 24.T: Environmental Experimental Technology and Iterative Validation</w:t>
        </w:r>
        <w:r>
          <w:tab/>
        </w:r>
        <w:r>
          <w:t>1155</w:t>
        </w:r>
      </w:hyperlink>
    </w:p>
    <w:p>
      <w:pPr>
        <w:pStyle w:val="TOC2"/>
      </w:pPr>
      <w:hyperlink w:anchor="_Toc300000837" w:history="1">
        <w:r>
          <w:t>Article 24.U: Environmental Data, Verification, and Anti-Greenwashing</w:t>
        </w:r>
        <w:r>
          <w:tab/>
        </w:r>
        <w:r>
          <w:t>1155</w:t>
        </w:r>
      </w:hyperlink>
    </w:p>
    <w:p>
      <w:pPr>
        <w:pStyle w:val="TOC2"/>
      </w:pPr>
      <w:hyperlink w:anchor="_Toc300000838" w:history="1">
        <w:r>
          <w:t>Article 24.V: Implementation Through Existing Institutions</w:t>
        </w:r>
        <w:r>
          <w:tab/>
        </w:r>
        <w:r>
          <w:t>1156</w:t>
        </w:r>
      </w:hyperlink>
    </w:p>
    <w:p>
      <w:pPr>
        <w:pStyle w:val="TOC2"/>
      </w:pPr>
      <w:hyperlink w:anchor="_Toc300000839" w:history="1">
        <w:r>
          <w:t>Article 24.W: North American Legacy and Orphan Well Discovery, Safety, Remediation and Prevention Framework</w:t>
        </w:r>
        <w:r>
          <w:tab/>
        </w:r>
        <w:r>
          <w:t>1156</w:t>
        </w:r>
      </w:hyperlink>
    </w:p>
    <w:p>
      <w:pPr>
        <w:pStyle w:val="TOC1"/>
      </w:pPr>
      <w:hyperlink w:anchor="_Toc300000840" w:history="1">
        <w:r>
          <w:t>ANNEX 24-W: NORTH AMERICAN LEGACY AND ORPHAN WELL DISCOVERY, SAFETY, REMEDIATION AND PREVENTION FRAMEWORK</w:t>
        </w:r>
        <w:r>
          <w:tab/>
        </w:r>
        <w:r>
          <w:t>1157</w:t>
        </w:r>
      </w:hyperlink>
    </w:p>
    <w:p>
      <w:pPr>
        <w:pStyle w:val="TOC2"/>
      </w:pPr>
      <w:hyperlink w:anchor="_Toc300000841" w:history="1">
        <w:r>
          <w:t>CATEGORY 24-W-A: PURPOSE, SCOPE, STATUS, AND INTERPRETATION</w:t>
        </w:r>
        <w:r>
          <w:tab/>
        </w:r>
        <w:r>
          <w:t>1157</w:t>
        </w:r>
      </w:hyperlink>
    </w:p>
    <w:p>
      <w:pPr>
        <w:pStyle w:val="TOC2"/>
      </w:pPr>
      <w:hyperlink w:anchor="_Toc300000842" w:history="1">
        <w:r>
          <w:t>Article 24-W.1: Purpose and Operating Principles</w:t>
        </w:r>
        <w:r>
          <w:tab/>
        </w:r>
        <w:r>
          <w:t>1157</w:t>
        </w:r>
      </w:hyperlink>
    </w:p>
    <w:p>
      <w:pPr>
        <w:pStyle w:val="TOC2"/>
      </w:pPr>
      <w:hyperlink w:anchor="_Toc300000843" w:history="1">
        <w:r>
          <w:t>Article 24-W.2: Scope and Domestic Classification Mapping</w:t>
        </w:r>
        <w:r>
          <w:tab/>
        </w:r>
        <w:r>
          <w:t>1157</w:t>
        </w:r>
      </w:hyperlink>
    </w:p>
    <w:p>
      <w:pPr>
        <w:pStyle w:val="TOC2"/>
      </w:pPr>
      <w:hyperlink w:anchor="_Toc300000844" w:history="1">
        <w:r>
          <w:t>Article 24-W.3: Core Defined Terms and Status Architecture</w:t>
        </w:r>
        <w:r>
          <w:tab/>
        </w:r>
        <w:r>
          <w:t>1158</w:t>
        </w:r>
      </w:hyperlink>
    </w:p>
    <w:p>
      <w:pPr>
        <w:pStyle w:val="TOC2"/>
      </w:pPr>
      <w:hyperlink w:anchor="_Toc300000845" w:history="1">
        <w:r>
          <w:t>CATEGORY 24-W-B: GOVERNANCE, AUTHORITY, AND INSTITUTIONAL INTERFACE</w:t>
        </w:r>
        <w:r>
          <w:tab/>
        </w:r>
        <w:r>
          <w:t>1159</w:t>
        </w:r>
      </w:hyperlink>
    </w:p>
    <w:p>
      <w:pPr>
        <w:pStyle w:val="TOC2"/>
      </w:pPr>
      <w:hyperlink w:anchor="_Toc300000846" w:history="1">
        <w:r>
          <w:t>Article 24-W.4: North American Legacy Well Coordination Board</w:t>
        </w:r>
        <w:r>
          <w:tab/>
        </w:r>
        <w:r>
          <w:t>1159</w:t>
        </w:r>
      </w:hyperlink>
    </w:p>
    <w:p>
      <w:pPr>
        <w:pStyle w:val="TOC2"/>
      </w:pPr>
      <w:hyperlink w:anchor="_Toc300000847" w:history="1">
        <w:r>
          <w:t>Article 24-W.5: Authority Firewall and Decision Rules</w:t>
        </w:r>
        <w:r>
          <w:tab/>
        </w:r>
        <w:r>
          <w:t>1160</w:t>
        </w:r>
      </w:hyperlink>
    </w:p>
    <w:p>
      <w:pPr>
        <w:pStyle w:val="TOC2"/>
      </w:pPr>
      <w:hyperlink w:anchor="_Toc300000848" w:history="1">
        <w:r>
          <w:t>Article 24-W.6: Existing-Institution-First Interface</w:t>
        </w:r>
        <w:r>
          <w:tab/>
        </w:r>
        <w:r>
          <w:t>1160</w:t>
        </w:r>
      </w:hyperlink>
    </w:p>
    <w:p>
      <w:pPr>
        <w:pStyle w:val="TOC2"/>
      </w:pPr>
      <w:hyperlink w:anchor="_Toc300000849" w:history="1">
        <w:r>
          <w:t>CATEGORY 24-W-C: FEDERATED REGISTRY, PROVENANCE, AND DATA GOVERNANCE</w:t>
        </w:r>
        <w:r>
          <w:tab/>
        </w:r>
        <w:r>
          <w:t>1161</w:t>
        </w:r>
      </w:hyperlink>
    </w:p>
    <w:p>
      <w:pPr>
        <w:pStyle w:val="TOC2"/>
      </w:pPr>
      <w:hyperlink w:anchor="_Toc300000850" w:history="1">
        <w:r>
          <w:t>Article 24-W.7: North American Legacy Well Registry</w:t>
        </w:r>
        <w:r>
          <w:tab/>
        </w:r>
        <w:r>
          <w:t>1161</w:t>
        </w:r>
      </w:hyperlink>
    </w:p>
    <w:p>
      <w:pPr>
        <w:pStyle w:val="TOC2"/>
      </w:pPr>
      <w:hyperlink w:anchor="_Toc300000851" w:history="1">
        <w:r>
          <w:t>Article 24-W.8: Provenance, Location Confidence, and Verification State</w:t>
        </w:r>
        <w:r>
          <w:tab/>
        </w:r>
        <w:r>
          <w:t>1161</w:t>
        </w:r>
      </w:hyperlink>
    </w:p>
    <w:p>
      <w:pPr>
        <w:pStyle w:val="TOC2"/>
      </w:pPr>
      <w:hyperlink w:anchor="_Toc300000852" w:history="1">
        <w:r>
          <w:t>Article 24-W.9: Access, Privacy, Security, and Sensitive Locations</w:t>
        </w:r>
        <w:r>
          <w:tab/>
        </w:r>
        <w:r>
          <w:t>1161</w:t>
        </w:r>
      </w:hyperlink>
    </w:p>
    <w:p>
      <w:pPr>
        <w:pStyle w:val="TOC2"/>
      </w:pPr>
      <w:hyperlink w:anchor="_Toc300000853" w:history="1">
        <w:r>
          <w:t>CATEGORY 24-W-D: DISCOVERY, LOCATION, AND COMMUNITY REPORTING</w:t>
        </w:r>
        <w:r>
          <w:tab/>
        </w:r>
        <w:r>
          <w:t>1162</w:t>
        </w:r>
      </w:hyperlink>
    </w:p>
    <w:p>
      <w:pPr>
        <w:pStyle w:val="TOC2"/>
      </w:pPr>
      <w:hyperlink w:anchor="_Toc300000854" w:history="1">
        <w:r>
          <w:t>Article 24-W.10: Continental Discovery Strategy</w:t>
        </w:r>
        <w:r>
          <w:tab/>
        </w:r>
        <w:r>
          <w:t>1162</w:t>
        </w:r>
      </w:hyperlink>
    </w:p>
    <w:p>
      <w:pPr>
        <w:pStyle w:val="TOC2"/>
      </w:pPr>
      <w:hyperlink w:anchor="_Toc300000855" w:history="1">
        <w:r>
          <w:t>Article 24-W.11: Escalating Detection and Search Sufficiency</w:t>
        </w:r>
        <w:r>
          <w:tab/>
        </w:r>
        <w:r>
          <w:t>1162</w:t>
        </w:r>
      </w:hyperlink>
    </w:p>
    <w:p>
      <w:pPr>
        <w:pStyle w:val="TOC2"/>
      </w:pPr>
      <w:hyperlink w:anchor="_Toc300000856" w:history="1">
        <w:r>
          <w:t>Article 24-W.12: Citizen Discovery Program</w:t>
        </w:r>
        <w:r>
          <w:tab/>
        </w:r>
        <w:r>
          <w:t>1162</w:t>
        </w:r>
      </w:hyperlink>
    </w:p>
    <w:p>
      <w:pPr>
        <w:pStyle w:val="TOC2"/>
      </w:pPr>
      <w:hyperlink w:anchor="_Toc300000857" w:history="1">
        <w:r>
          <w:t>Article 24-W.13: Community, Historical, and Institutional Evidence</w:t>
        </w:r>
        <w:r>
          <w:tab/>
        </w:r>
        <w:r>
          <w:t>1162</w:t>
        </w:r>
      </w:hyperlink>
    </w:p>
    <w:p>
      <w:pPr>
        <w:pStyle w:val="TOC2"/>
      </w:pPr>
      <w:hyperlink w:anchor="_Toc300000858" w:history="1">
        <w:r>
          <w:t>Article 24-W.14: Discovery Verification Pipeline and Safe Harbor</w:t>
        </w:r>
        <w:r>
          <w:tab/>
        </w:r>
        <w:r>
          <w:t>1162</w:t>
        </w:r>
      </w:hyperlink>
    </w:p>
    <w:p>
      <w:pPr>
        <w:pStyle w:val="TOC2"/>
      </w:pPr>
      <w:hyperlink w:anchor="_Toc300000859" w:history="1">
        <w:r>
          <w:t>CATEGORY 24-W-E: RISK CLASSIFICATION, ACUTE SAFETY, AND AREA-BASED RESPONSE</w:t>
        </w:r>
        <w:r>
          <w:tab/>
        </w:r>
        <w:r>
          <w:t>1163</w:t>
        </w:r>
      </w:hyperlink>
    </w:p>
    <w:p>
      <w:pPr>
        <w:pStyle w:val="TOC2"/>
      </w:pPr>
      <w:hyperlink w:anchor="_Toc300000860" w:history="1">
        <w:r>
          <w:t>Article 24-W.15: Risk Classification and Re-Tiering</w:t>
        </w:r>
        <w:r>
          <w:tab/>
        </w:r>
        <w:r>
          <w:t>1163</w:t>
        </w:r>
      </w:hyperlink>
    </w:p>
    <w:p>
      <w:pPr>
        <w:pStyle w:val="TOC2"/>
      </w:pPr>
      <w:hyperlink w:anchor="_Toc300000861" w:history="1">
        <w:r>
          <w:t>Article 24-W.16: Acute Hazard and Emergency Lane</w:t>
        </w:r>
        <w:r>
          <w:tab/>
        </w:r>
        <w:r>
          <w:t>1163</w:t>
        </w:r>
      </w:hyperlink>
    </w:p>
    <w:p>
      <w:pPr>
        <w:pStyle w:val="TOC2"/>
      </w:pPr>
      <w:hyperlink w:anchor="_Toc300000862" w:history="1">
        <w:r>
          <w:t>Article 24-W.17: Public Warning, Occupant Notification, and Local Response</w:t>
        </w:r>
        <w:r>
          <w:tab/>
        </w:r>
        <w:r>
          <w:t>1164</w:t>
        </w:r>
      </w:hyperlink>
    </w:p>
    <w:p>
      <w:pPr>
        <w:pStyle w:val="TOC2"/>
      </w:pPr>
      <w:hyperlink w:anchor="_Toc300000863" w:history="1">
        <w:r>
          <w:t>Article 24-W.18: Geographic Clusters and Integrated Remediation Zones</w:t>
        </w:r>
        <w:r>
          <w:tab/>
        </w:r>
        <w:r>
          <w:t>1164</w:t>
        </w:r>
      </w:hyperlink>
    </w:p>
    <w:p>
      <w:pPr>
        <w:pStyle w:val="TOC2"/>
      </w:pPr>
      <w:hyperlink w:anchor="_Toc300000864" w:history="1">
        <w:r>
          <w:t>CATEGORY 24-W-F: REMEDIATION, CLOSURE VERIFICATION, AND POST-CLOSURE DUTY</w:t>
        </w:r>
        <w:r>
          <w:tab/>
        </w:r>
        <w:r>
          <w:t>1164</w:t>
        </w:r>
      </w:hyperlink>
    </w:p>
    <w:p>
      <w:pPr>
        <w:pStyle w:val="TOC2"/>
      </w:pPr>
      <w:hyperlink w:anchor="_Toc300000865" w:history="1">
        <w:r>
          <w:t>Article 24-W.19: Remediation Planning and Execution</w:t>
        </w:r>
        <w:r>
          <w:tab/>
        </w:r>
        <w:r>
          <w:t>1164</w:t>
        </w:r>
      </w:hyperlink>
    </w:p>
    <w:p>
      <w:pPr>
        <w:pStyle w:val="TOC2"/>
      </w:pPr>
      <w:hyperlink w:anchor="_Toc300000866" w:history="1">
        <w:r>
          <w:t>Article 24-W.20: Closure Verification</w:t>
        </w:r>
        <w:r>
          <w:tab/>
        </w:r>
        <w:r>
          <w:t>1165</w:t>
        </w:r>
      </w:hyperlink>
    </w:p>
    <w:p>
      <w:pPr>
        <w:pStyle w:val="TOC2"/>
      </w:pPr>
      <w:hyperlink w:anchor="_Toc300000867" w:history="1">
        <w:r>
          <w:t>Article 24-W.21: Post-Closure Monitoring and Reopening</w:t>
        </w:r>
        <w:r>
          <w:tab/>
        </w:r>
        <w:r>
          <w:t>1165</w:t>
        </w:r>
      </w:hyperlink>
    </w:p>
    <w:p>
      <w:pPr>
        <w:pStyle w:val="TOC2"/>
      </w:pPr>
      <w:hyperlink w:anchor="_Toc300000868" w:history="1">
        <w:r>
          <w:t>CATEGORY 24-W-G: POOLED FUNDING, DIFFICULT WELLS, AND FINANCIAL INTEGRITY</w:t>
        </w:r>
        <w:r>
          <w:tab/>
        </w:r>
        <w:r>
          <w:t>1166</w:t>
        </w:r>
      </w:hyperlink>
    </w:p>
    <w:p>
      <w:pPr>
        <w:pStyle w:val="TOC2"/>
      </w:pPr>
      <w:hyperlink w:anchor="_Toc300000869" w:history="1">
        <w:r>
          <w:t>Article 24-W.22: North American Legacy Well Discovery and Remediation Facility</w:t>
        </w:r>
        <w:r>
          <w:tab/>
        </w:r>
        <w:r>
          <w:t>1166</w:t>
        </w:r>
      </w:hyperlink>
    </w:p>
    <w:p>
      <w:pPr>
        <w:pStyle w:val="TOC2"/>
      </w:pPr>
      <w:hyperlink w:anchor="_Toc300000870" w:history="1">
        <w:r>
          <w:t>Article 24-W.23: Funding Windows</w:t>
        </w:r>
        <w:r>
          <w:tab/>
        </w:r>
        <w:r>
          <w:t>1167</w:t>
        </w:r>
      </w:hyperlink>
    </w:p>
    <w:p>
      <w:pPr>
        <w:pStyle w:val="TOC2"/>
      </w:pPr>
      <w:hyperlink w:anchor="_Toc300000871" w:history="1">
        <w:r>
          <w:t>Article 24-W.24: Difficult-Well Reserve and Shared Technical Capacity</w:t>
        </w:r>
        <w:r>
          <w:tab/>
        </w:r>
        <w:r>
          <w:t>1167</w:t>
        </w:r>
      </w:hyperlink>
    </w:p>
    <w:p>
      <w:pPr>
        <w:pStyle w:val="TOC2"/>
      </w:pPr>
      <w:hyperlink w:anchor="_Toc300000872" w:history="1">
        <w:r>
          <w:t>Article 24-W.25: Grant Integrity, Verification, and Anti-Substitution</w:t>
        </w:r>
        <w:r>
          <w:tab/>
        </w:r>
        <w:r>
          <w:t>1168</w:t>
        </w:r>
      </w:hyperlink>
    </w:p>
    <w:p>
      <w:pPr>
        <w:pStyle w:val="TOC2"/>
      </w:pPr>
      <w:hyperlink w:anchor="_Toc300000873" w:history="1">
        <w:r>
          <w:t>CATEGORY 24-W-H: FUTURE-ORPHAN PREVENTION AND RESPONSIBILITY CONTINUITY</w:t>
        </w:r>
        <w:r>
          <w:tab/>
        </w:r>
        <w:r>
          <w:t>1168</w:t>
        </w:r>
      </w:hyperlink>
    </w:p>
    <w:p>
      <w:pPr>
        <w:pStyle w:val="TOC2"/>
      </w:pPr>
      <w:hyperlink w:anchor="_Toc300000874" w:history="1">
        <w:r>
          <w:t>Article 24-W.26: Adequacy of End-of-Life Financial Assurance</w:t>
        </w:r>
        <w:r>
          <w:tab/>
        </w:r>
        <w:r>
          <w:t>1168</w:t>
        </w:r>
      </w:hyperlink>
    </w:p>
    <w:p>
      <w:pPr>
        <w:pStyle w:val="TOC2"/>
      </w:pPr>
      <w:hyperlink w:anchor="_Toc300000875" w:history="1">
        <w:r>
          <w:t>Article 24-W.27: Transfer, Distress, and Orphan-Prevention Controls</w:t>
        </w:r>
        <w:r>
          <w:tab/>
        </w:r>
        <w:r>
          <w:t>1169</w:t>
        </w:r>
      </w:hyperlink>
    </w:p>
    <w:p>
      <w:pPr>
        <w:pStyle w:val="TOC2"/>
      </w:pPr>
      <w:hyperlink w:anchor="_Toc300000876" w:history="1">
        <w:r>
          <w:t>Article 24-W.28: Innocent Owners and Responsible-Party Recovery</w:t>
        </w:r>
        <w:r>
          <w:tab/>
        </w:r>
        <w:r>
          <w:t>1169</w:t>
        </w:r>
      </w:hyperlink>
    </w:p>
    <w:p>
      <w:pPr>
        <w:pStyle w:val="TOC2"/>
      </w:pPr>
      <w:hyperlink w:anchor="_Toc300000877" w:history="1">
        <w:r>
          <w:t>CATEGORY 24-W-I: TECHNOLOGY, CAPACITY, LAND-USE INTERFACE, AND INDIGENOUS SAFEGUARDS</w:t>
        </w:r>
        <w:r>
          <w:tab/>
        </w:r>
        <w:r>
          <w:t>1169</w:t>
        </w:r>
      </w:hyperlink>
    </w:p>
    <w:p>
      <w:pPr>
        <w:pStyle w:val="TOC2"/>
      </w:pPr>
      <w:hyperlink w:anchor="_Toc300000878" w:history="1">
        <w:r>
          <w:t>Article 24-W.29: Research, Technology, and Methods Modernization</w:t>
        </w:r>
        <w:r>
          <w:tab/>
        </w:r>
        <w:r>
          <w:t>1169</w:t>
        </w:r>
      </w:hyperlink>
    </w:p>
    <w:p>
      <w:pPr>
        <w:pStyle w:val="TOC2"/>
      </w:pPr>
      <w:hyperlink w:anchor="_Toc300000879" w:history="1">
        <w:r>
          <w:t>Article 24-W.30: Workforce, Training, and Mutual Technical Assistance</w:t>
        </w:r>
        <w:r>
          <w:tab/>
        </w:r>
        <w:r>
          <w:t>1170</w:t>
        </w:r>
      </w:hyperlink>
    </w:p>
    <w:p>
      <w:pPr>
        <w:pStyle w:val="TOC2"/>
      </w:pPr>
      <w:hyperlink w:anchor="_Toc300000880" w:history="1">
        <w:r>
          <w:t>Article 24-W.31: Indigenous and Tribal Rights, Knowledge, and Data Governance</w:t>
        </w:r>
        <w:r>
          <w:tab/>
        </w:r>
        <w:r>
          <w:t>1170</w:t>
        </w:r>
      </w:hyperlink>
    </w:p>
    <w:p>
      <w:pPr>
        <w:pStyle w:val="TOC2"/>
      </w:pPr>
      <w:hyperlink w:anchor="_Toc300000881" w:history="1">
        <w:r>
          <w:t>Article 24-W.32: Land-Use, Development, and Subsurface-Project Interface</w:t>
        </w:r>
        <w:r>
          <w:tab/>
        </w:r>
        <w:r>
          <w:t>1170</w:t>
        </w:r>
      </w:hyperlink>
    </w:p>
    <w:p>
      <w:pPr>
        <w:pStyle w:val="TOC2"/>
      </w:pPr>
      <w:hyperlink w:anchor="_Toc300000882" w:history="1">
        <w:r>
          <w:t>CATEGORY 24-W-J: PERFORMANCE, VERIFICATION, CORRECTION, AND NO-FADE</w:t>
        </w:r>
        <w:r>
          <w:tab/>
        </w:r>
        <w:r>
          <w:t>1170</w:t>
        </w:r>
      </w:hyperlink>
    </w:p>
    <w:p>
      <w:pPr>
        <w:pStyle w:val="TOC2"/>
      </w:pPr>
      <w:hyperlink w:anchor="_Toc300000883" w:history="1">
        <w:r>
          <w:t>Article 24-W.33: Performance Metrics and Discovery-Neutral Accounting</w:t>
        </w:r>
        <w:r>
          <w:tab/>
        </w:r>
        <w:r>
          <w:t>1170</w:t>
        </w:r>
      </w:hyperlink>
    </w:p>
    <w:p>
      <w:pPr>
        <w:pStyle w:val="TOC2"/>
      </w:pPr>
      <w:hyperlink w:anchor="_Toc300000884" w:history="1">
        <w:r>
          <w:t>Article 24-W.34: Cothrom Verification and Evidence Reconciliation</w:t>
        </w:r>
        <w:r>
          <w:tab/>
        </w:r>
        <w:r>
          <w:t>1170</w:t>
        </w:r>
      </w:hyperlink>
    </w:p>
    <w:p>
      <w:pPr>
        <w:pStyle w:val="TOC2"/>
      </w:pPr>
      <w:hyperlink w:anchor="_Toc300000885" w:history="1">
        <w:r>
          <w:t>Article 24-W.35: Correction, Cure, and Restoration</w:t>
        </w:r>
        <w:r>
          <w:tab/>
        </w:r>
        <w:r>
          <w:t>1172</w:t>
        </w:r>
      </w:hyperlink>
    </w:p>
    <w:p>
      <w:pPr>
        <w:pStyle w:val="TOC2"/>
      </w:pPr>
      <w:hyperlink w:anchor="_Toc300000886" w:history="1">
        <w:r>
          <w:t>Article 24-W.36: Administrative Classification Anti-Laundering</w:t>
        </w:r>
        <w:r>
          <w:tab/>
        </w:r>
        <w:r>
          <w:t>1173</w:t>
        </w:r>
      </w:hyperlink>
    </w:p>
    <w:p>
      <w:pPr>
        <w:pStyle w:val="TOC2"/>
      </w:pPr>
      <w:hyperlink w:anchor="_Toc300000887" w:history="1">
        <w:r>
          <w:t>Article 24-W.37: No-Fade and Continuing Discovery</w:t>
        </w:r>
        <w:r>
          <w:tab/>
        </w:r>
        <w:r>
          <w:t>1173</w:t>
        </w:r>
      </w:hyperlink>
    </w:p>
    <w:p>
      <w:pPr>
        <w:pStyle w:val="TOC2"/>
      </w:pPr>
      <w:hyperlink w:anchor="_Toc300000888" w:history="1">
        <w:r>
          <w:t>CATEGORY 24-W-K: REVIEW, AMENDMENT, DISPUTES, AND TECHNICAL SCHEDULES</w:t>
        </w:r>
        <w:r>
          <w:tab/>
        </w:r>
        <w:r>
          <w:t>1174</w:t>
        </w:r>
      </w:hyperlink>
    </w:p>
    <w:p>
      <w:pPr>
        <w:pStyle w:val="TOC2"/>
      </w:pPr>
      <w:hyperlink w:anchor="_Toc300000889" w:history="1">
        <w:r>
          <w:t>Article 24-W.38: Review and Adaptive Administration</w:t>
        </w:r>
        <w:r>
          <w:tab/>
        </w:r>
        <w:r>
          <w:t>1174</w:t>
        </w:r>
      </w:hyperlink>
    </w:p>
    <w:p>
      <w:pPr>
        <w:pStyle w:val="TOC2"/>
      </w:pPr>
      <w:hyperlink w:anchor="_Toc300000890" w:history="1">
        <w:r>
          <w:t>Article 24-W.39: Technical Schedule Maintenance</w:t>
        </w:r>
        <w:r>
          <w:tab/>
        </w:r>
        <w:r>
          <w:t>1174</w:t>
        </w:r>
      </w:hyperlink>
    </w:p>
    <w:p>
      <w:pPr>
        <w:pStyle w:val="TOC2"/>
      </w:pPr>
      <w:hyperlink w:anchor="_Toc300000891" w:history="1">
        <w:r>
          <w:t>Article 24-W.40: Dispute Settlement and Savings</w:t>
        </w:r>
        <w:r>
          <w:tab/>
        </w:r>
        <w:r>
          <w:t>1175</w:t>
        </w:r>
      </w:hyperlink>
    </w:p>
    <w:p>
      <w:pPr>
        <w:pStyle w:val="TOC2"/>
      </w:pPr>
      <w:hyperlink w:anchor="_Toc300000892" w:history="1">
        <w:r>
          <w:t>SCHEDULE 24-W-A: COMMON REGISTRY RECORD</w:t>
        </w:r>
        <w:r>
          <w:tab/>
        </w:r>
        <w:r>
          <w:t>1175</w:t>
        </w:r>
      </w:hyperlink>
    </w:p>
    <w:p>
      <w:pPr>
        <w:pStyle w:val="TOC2"/>
      </w:pPr>
      <w:hyperlink w:anchor="_Toc300000893" w:history="1">
        <w:r>
          <w:t>24-W-A.1: Minimum Common Record</w:t>
        </w:r>
        <w:r>
          <w:tab/>
        </w:r>
        <w:r>
          <w:t>1175</w:t>
        </w:r>
      </w:hyperlink>
    </w:p>
    <w:p>
      <w:pPr>
        <w:pStyle w:val="TOC2"/>
      </w:pPr>
      <w:hyperlink w:anchor="_Toc300000894" w:history="1">
        <w:r>
          <w:t>SCHEDULE 24-W-B: LOCATION CONFIDENCE AND VERIFICATION STATES</w:t>
        </w:r>
        <w:r>
          <w:tab/>
        </w:r>
        <w:r>
          <w:t>1175</w:t>
        </w:r>
      </w:hyperlink>
    </w:p>
    <w:p>
      <w:pPr>
        <w:pStyle w:val="TOC2"/>
      </w:pPr>
      <w:hyperlink w:anchor="_Toc300000895" w:history="1">
        <w:r>
          <w:t>24-W-B.1: Location Confidence</w:t>
        </w:r>
        <w:r>
          <w:tab/>
        </w:r>
        <w:r>
          <w:t>1175</w:t>
        </w:r>
      </w:hyperlink>
    </w:p>
    <w:p>
      <w:pPr>
        <w:pStyle w:val="TOC2"/>
      </w:pPr>
      <w:hyperlink w:anchor="_Toc300000896" w:history="1">
        <w:r>
          <w:t>24-W-B.2: Verification States</w:t>
        </w:r>
        <w:r>
          <w:tab/>
        </w:r>
        <w:r>
          <w:t>1176</w:t>
        </w:r>
      </w:hyperlink>
    </w:p>
    <w:p>
      <w:pPr>
        <w:pStyle w:val="TOC2"/>
      </w:pPr>
      <w:hyperlink w:anchor="_Toc300000897" w:history="1">
        <w:r>
          <w:t>SCHEDULE 24-W-C: RISK METHODOLOGY</w:t>
        </w:r>
        <w:r>
          <w:tab/>
        </w:r>
        <w:r>
          <w:t>1176</w:t>
        </w:r>
      </w:hyperlink>
    </w:p>
    <w:p>
      <w:pPr>
        <w:pStyle w:val="TOC2"/>
      </w:pPr>
      <w:hyperlink w:anchor="_Toc300000898" w:history="1">
        <w:r>
          <w:t>24-W-C.1: Risk Factors and Priority Logic</w:t>
        </w:r>
        <w:r>
          <w:tab/>
        </w:r>
        <w:r>
          <w:t>1176</w:t>
        </w:r>
      </w:hyperlink>
    </w:p>
    <w:p>
      <w:pPr>
        <w:pStyle w:val="TOC2"/>
      </w:pPr>
      <w:hyperlink w:anchor="_Toc300000899" w:history="1">
        <w:r>
          <w:t>SCHEDULE 24-W-D: FUNDING WINDOWS AND EVIDENCE</w:t>
        </w:r>
        <w:r>
          <w:tab/>
        </w:r>
        <w:r>
          <w:t>1176</w:t>
        </w:r>
      </w:hyperlink>
    </w:p>
    <w:p>
      <w:pPr>
        <w:pStyle w:val="TOC2"/>
      </w:pPr>
      <w:hyperlink w:anchor="_Toc300000900" w:history="1">
        <w:r>
          <w:t>24-W-D.1: Funding Windows</w:t>
        </w:r>
        <w:r>
          <w:tab/>
        </w:r>
        <w:r>
          <w:t>1176</w:t>
        </w:r>
      </w:hyperlink>
    </w:p>
    <w:p>
      <w:pPr>
        <w:pStyle w:val="TOC2"/>
      </w:pPr>
      <w:hyperlink w:anchor="_Toc300000901" w:history="1">
        <w:r>
          <w:t>SCHEDULE 24-W-E: NON-EXHAUSTIVE TECHNICAL METHODS MENU</w:t>
        </w:r>
        <w:r>
          <w:tab/>
        </w:r>
        <w:r>
          <w:t>1177</w:t>
        </w:r>
      </w:hyperlink>
    </w:p>
    <w:p>
      <w:pPr>
        <w:pStyle w:val="TOC2"/>
      </w:pPr>
      <w:hyperlink w:anchor="_Toc300000902" w:history="1">
        <w:r>
          <w:t>24-W-E.1: Discovery and Characterization Methods</w:t>
        </w:r>
        <w:r>
          <w:tab/>
        </w:r>
        <w:r>
          <w:t>1177</w:t>
        </w:r>
      </w:hyperlink>
    </w:p>
    <w:p>
      <w:pPr>
        <w:pStyle w:val="TOC1"/>
      </w:pPr>
      <w:hyperlink w:anchor="_Toc300000903" w:history="1">
        <w:r>
          <w:t>CHAPTER 25 SMALL AND MEDIUM-SIZED ENTERPRISES</w:t>
        </w:r>
        <w:r>
          <w:tab/>
        </w:r>
        <w:r>
          <w:t>1178</w:t>
        </w:r>
      </w:hyperlink>
    </w:p>
    <w:p>
      <w:pPr>
        <w:pStyle w:val="TOC2"/>
      </w:pPr>
      <w:hyperlink w:anchor="_Toc300000904" w:history="1">
        <w:r>
          <w:t>Article 25.1: General Principles</w:t>
        </w:r>
        <w:r>
          <w:tab/>
        </w:r>
        <w:r>
          <w:t>1178</w:t>
        </w:r>
      </w:hyperlink>
    </w:p>
    <w:p>
      <w:pPr>
        <w:pStyle w:val="TOC2"/>
      </w:pPr>
      <w:hyperlink w:anchor="_Toc300000905" w:history="1">
        <w:r>
          <w:t>Article 25.2: Cooperation to Increase Trade and Investment Opportunities for SMEs</w:t>
        </w:r>
        <w:r>
          <w:tab/>
        </w:r>
        <w:r>
          <w:t>1178</w:t>
        </w:r>
      </w:hyperlink>
    </w:p>
    <w:p>
      <w:pPr>
        <w:pStyle w:val="TOC2"/>
      </w:pPr>
      <w:hyperlink w:anchor="_Toc300000906" w:history="1">
        <w:r>
          <w:t>Article 25.3: Information Sharing</w:t>
        </w:r>
        <w:r>
          <w:tab/>
        </w:r>
        <w:r>
          <w:t>1178</w:t>
        </w:r>
      </w:hyperlink>
    </w:p>
    <w:p>
      <w:pPr>
        <w:pStyle w:val="TOC2"/>
      </w:pPr>
      <w:hyperlink w:anchor="_Toc300000907" w:history="1">
        <w:r>
          <w:t>Article 25.4: Committee on SME Issues</w:t>
        </w:r>
        <w:r>
          <w:tab/>
        </w:r>
        <w:r>
          <w:t>1178</w:t>
        </w:r>
      </w:hyperlink>
    </w:p>
    <w:p>
      <w:pPr>
        <w:pStyle w:val="TOC2"/>
      </w:pPr>
      <w:hyperlink w:anchor="_Toc300000908" w:history="1">
        <w:r>
          <w:t>Article 25.5: SME Dialogue</w:t>
        </w:r>
        <w:r>
          <w:tab/>
        </w:r>
        <w:r>
          <w:t>1179</w:t>
        </w:r>
      </w:hyperlink>
    </w:p>
    <w:p>
      <w:pPr>
        <w:pStyle w:val="TOC2"/>
      </w:pPr>
      <w:hyperlink w:anchor="_Toc300000909" w:history="1">
        <w:r>
          <w:t>Article 25.6: Obligations in the Agreement that Benefit SMEs</w:t>
        </w:r>
        <w:r>
          <w:tab/>
        </w:r>
        <w:r>
          <w:t>1179</w:t>
        </w:r>
      </w:hyperlink>
    </w:p>
    <w:p>
      <w:pPr>
        <w:pStyle w:val="TOC2"/>
      </w:pPr>
      <w:hyperlink w:anchor="_Toc300000910" w:history="1">
        <w:r>
          <w:t>Article 25.7: Non-Application of Dispute Settlement</w:t>
        </w:r>
        <w:r>
          <w:tab/>
        </w:r>
        <w:r>
          <w:t>1180</w:t>
        </w:r>
      </w:hyperlink>
    </w:p>
    <w:p>
      <w:pPr>
        <w:pStyle w:val="TOC1"/>
      </w:pPr>
      <w:hyperlink w:anchor="_Toc300000911" w:history="1">
        <w:r>
          <w:t>CHAPTER 26 COMPETITIVENESS</w:t>
        </w:r>
        <w:r>
          <w:tab/>
        </w:r>
        <w:r>
          <w:t>1181</w:t>
        </w:r>
      </w:hyperlink>
    </w:p>
    <w:p>
      <w:pPr>
        <w:pStyle w:val="TOC2"/>
      </w:pPr>
      <w:hyperlink w:anchor="_Toc300000912" w:history="1">
        <w:r>
          <w:t>Article 26.1: North American Competitiveness Committee</w:t>
        </w:r>
        <w:r>
          <w:tab/>
        </w:r>
        <w:r>
          <w:t>1181</w:t>
        </w:r>
      </w:hyperlink>
    </w:p>
    <w:p>
      <w:pPr>
        <w:pStyle w:val="TOC2"/>
      </w:pPr>
      <w:hyperlink w:anchor="_Toc300000913" w:history="1">
        <w:r>
          <w:t>Article 26.2: Engagement with Interested Persons</w:t>
        </w:r>
        <w:r>
          <w:tab/>
        </w:r>
        <w:r>
          <w:t>1182</w:t>
        </w:r>
      </w:hyperlink>
    </w:p>
    <w:p>
      <w:pPr>
        <w:pStyle w:val="TOC2"/>
      </w:pPr>
      <w:hyperlink w:anchor="_Toc300000914" w:history="1">
        <w:r>
          <w:t>Article 26.3: Non-Application of Dispute Settlement</w:t>
        </w:r>
        <w:r>
          <w:tab/>
        </w:r>
        <w:r>
          <w:t>1182</w:t>
        </w:r>
      </w:hyperlink>
    </w:p>
    <w:p>
      <w:pPr>
        <w:pStyle w:val="TOC2"/>
      </w:pPr>
      <w:hyperlink w:anchor="_Toc300000915" w:history="1">
        <w:r>
          <w:t>CHAPTER 26: CUSMA 2.0 MODERNIZATION PROVISIONS</w:t>
        </w:r>
        <w:r>
          <w:tab/>
        </w:r>
        <w:r>
          <w:t>1182</w:t>
        </w:r>
      </w:hyperlink>
    </w:p>
    <w:p>
      <w:pPr>
        <w:pStyle w:val="TOC2"/>
      </w:pPr>
      <w:hyperlink w:anchor="_Toc300000916" w:history="1">
        <w:r>
          <w:t>Article 26.A: Expanded Mandate of the North American Competitiveness Committee</w:t>
        </w:r>
        <w:r>
          <w:tab/>
        </w:r>
        <w:r>
          <w:t>1182</w:t>
        </w:r>
      </w:hyperlink>
    </w:p>
    <w:p>
      <w:pPr>
        <w:pStyle w:val="TOC2"/>
      </w:pPr>
      <w:hyperlink w:anchor="_Toc300000917" w:history="1">
        <w:r>
          <w:t>Article 26.B: Economic Security and Supply Chain Resilience Subcommittee; Stakeholder Channels</w:t>
        </w:r>
        <w:r>
          <w:tab/>
        </w:r>
        <w:r>
          <w:t>1183</w:t>
        </w:r>
      </w:hyperlink>
    </w:p>
    <w:p>
      <w:pPr>
        <w:pStyle w:val="TOC2"/>
      </w:pPr>
      <w:hyperlink w:anchor="_Toc300000918" w:history="1">
        <w:r>
          <w:t>Article 26.C: Infrastructure and Trade-Corridor Coordination</w:t>
        </w:r>
        <w:r>
          <w:tab/>
        </w:r>
        <w:r>
          <w:t>1183</w:t>
        </w:r>
      </w:hyperlink>
    </w:p>
    <w:p>
      <w:pPr>
        <w:pStyle w:val="TOC1"/>
      </w:pPr>
      <w:hyperlink w:anchor="_Toc300000919" w:history="1">
        <w:r>
          <w:t>CHAPTER 27 ANTICORRUPTION</w:t>
        </w:r>
        <w:r>
          <w:tab/>
        </w:r>
        <w:r>
          <w:t>1184</w:t>
        </w:r>
      </w:hyperlink>
    </w:p>
    <w:p>
      <w:pPr>
        <w:pStyle w:val="TOC2"/>
      </w:pPr>
      <w:hyperlink w:anchor="_Toc300000920" w:history="1">
        <w:r>
          <w:t>Article 27.1: Definitions</w:t>
        </w:r>
        <w:r>
          <w:tab/>
        </w:r>
        <w:r>
          <w:t>1184</w:t>
        </w:r>
      </w:hyperlink>
    </w:p>
    <w:p>
      <w:pPr>
        <w:pStyle w:val="TOC2"/>
      </w:pPr>
      <w:hyperlink w:anchor="_Toc300000921" w:history="1">
        <w:r>
          <w:t>Article 27.2: Scope</w:t>
        </w:r>
        <w:r>
          <w:tab/>
        </w:r>
        <w:r>
          <w:t>1184</w:t>
        </w:r>
      </w:hyperlink>
    </w:p>
    <w:p>
      <w:pPr>
        <w:pStyle w:val="TOC2"/>
      </w:pPr>
      <w:hyperlink w:anchor="_Toc300000922" w:history="1">
        <w:r>
          <w:t>Article 27.3: Measures to Combat Corruption</w:t>
        </w:r>
        <w:r>
          <w:tab/>
        </w:r>
        <w:r>
          <w:t>1185</w:t>
        </w:r>
      </w:hyperlink>
    </w:p>
    <w:p>
      <w:pPr>
        <w:pStyle w:val="TOC2"/>
      </w:pPr>
      <w:hyperlink w:anchor="_Toc300000923" w:history="1">
        <w:r>
          <w:t xml:space="preserve">Article 27.4: Promoting Integrity among Public Officials</w:t>
        </w:r>
        <w:r>
          <w:rPr>
            <w:vertAlign w:val="superscript"/>
          </w:rPr>
          <w:t xml:space="preserve">7</w:t>
        </w:r>
        <w:r>
          <w:tab/>
        </w:r>
        <w:r>
          <w:t>1186</w:t>
        </w:r>
      </w:hyperlink>
    </w:p>
    <w:p>
      <w:pPr>
        <w:pStyle w:val="TOC2"/>
      </w:pPr>
      <w:hyperlink w:anchor="_Toc300000924" w:history="1">
        <w:r>
          <w:t>Article 27.5: Participation of Private Sector and Society</w:t>
        </w:r>
        <w:r>
          <w:tab/>
        </w:r>
        <w:r>
          <w:t>1187</w:t>
        </w:r>
      </w:hyperlink>
    </w:p>
    <w:p>
      <w:pPr>
        <w:pStyle w:val="TOC2"/>
      </w:pPr>
      <w:hyperlink w:anchor="_Toc300000925" w:history="1">
        <w:r>
          <w:t>Article 27.6: Application and Enforcement of Anticorruption Laws</w:t>
        </w:r>
        <w:r>
          <w:tab/>
        </w:r>
        <w:r>
          <w:t>1187</w:t>
        </w:r>
      </w:hyperlink>
    </w:p>
    <w:p>
      <w:pPr>
        <w:pStyle w:val="TOC2"/>
      </w:pPr>
      <w:hyperlink w:anchor="_Toc300000926" w:history="1">
        <w:r>
          <w:t>Article 27.7: Relation to Other Agreements</w:t>
        </w:r>
        <w:r>
          <w:tab/>
        </w:r>
        <w:r>
          <w:t>1188</w:t>
        </w:r>
      </w:hyperlink>
    </w:p>
    <w:p>
      <w:pPr>
        <w:pStyle w:val="TOC2"/>
      </w:pPr>
      <w:hyperlink w:anchor="_Toc300000927" w:history="1">
        <w:r>
          <w:t>Article 27.8: Dispute Settlement</w:t>
        </w:r>
        <w:r>
          <w:tab/>
        </w:r>
        <w:r>
          <w:t>1188</w:t>
        </w:r>
      </w:hyperlink>
    </w:p>
    <w:p>
      <w:pPr>
        <w:pStyle w:val="TOC2"/>
      </w:pPr>
      <w:hyperlink w:anchor="_Toc300000928" w:history="1">
        <w:r>
          <w:t>Article 27.9: Cooperation</w:t>
        </w:r>
        <w:r>
          <w:tab/>
        </w:r>
        <w:r>
          <w:t>1188</w:t>
        </w:r>
      </w:hyperlink>
    </w:p>
    <w:p>
      <w:pPr>
        <w:pStyle w:val="TOC2"/>
      </w:pPr>
      <w:hyperlink w:anchor="_Toc300000929" w:history="1">
        <w:r>
          <w:t>CHAPTER 27: CUSMA 2.0 INTEGRITY ENFORCEMENT PROVISIONS</w:t>
        </w:r>
        <w:r>
          <w:tab/>
        </w:r>
        <w:r>
          <w:t>1189</w:t>
        </w:r>
      </w:hyperlink>
    </w:p>
    <w:p>
      <w:pPr>
        <w:pStyle w:val="TOC2"/>
      </w:pPr>
      <w:hyperlink w:anchor="_Toc300000930" w:history="1">
        <w:r>
          <w:t>Article 27.A: Systemic Anti-Corruption Enforcement Failure</w:t>
        </w:r>
        <w:r>
          <w:tab/>
        </w:r>
        <w:r>
          <w:t>1189</w:t>
        </w:r>
      </w:hyperlink>
    </w:p>
    <w:p>
      <w:pPr>
        <w:pStyle w:val="TOC2"/>
      </w:pPr>
      <w:hyperlink w:anchor="_Toc300000931" w:history="1">
        <w:r>
          <w:t>Article 27.B: Integrity Cure Procedure</w:t>
        </w:r>
        <w:r>
          <w:tab/>
        </w:r>
        <w:r>
          <w:t>1189</w:t>
        </w:r>
      </w:hyperlink>
    </w:p>
    <w:p>
      <w:pPr>
        <w:pStyle w:val="TOC1"/>
      </w:pPr>
      <w:hyperlink w:anchor="_Toc300000932" w:history="1">
        <w:r>
          <w:t>CHAPTER 28 GOOD REGULATORY PRACTICES</w:t>
        </w:r>
        <w:r>
          <w:tab/>
        </w:r>
        <w:r>
          <w:t>1191</w:t>
        </w:r>
      </w:hyperlink>
    </w:p>
    <w:p>
      <w:pPr>
        <w:pStyle w:val="TOC2"/>
      </w:pPr>
      <w:hyperlink w:anchor="_Toc300000933" w:history="1">
        <w:r>
          <w:t>Article 28.1: Definitions</w:t>
        </w:r>
        <w:r>
          <w:tab/>
        </w:r>
        <w:r>
          <w:t>1191</w:t>
        </w:r>
      </w:hyperlink>
    </w:p>
    <w:p>
      <w:pPr>
        <w:pStyle w:val="TOC2"/>
      </w:pPr>
      <w:hyperlink w:anchor="_Toc300000934" w:history="1">
        <w:r>
          <w:t>Article 28.2: Subject Matter and General Provisions</w:t>
        </w:r>
        <w:r>
          <w:tab/>
        </w:r>
        <w:r>
          <w:t>1191</w:t>
        </w:r>
      </w:hyperlink>
    </w:p>
    <w:p>
      <w:pPr>
        <w:pStyle w:val="TOC2"/>
      </w:pPr>
      <w:hyperlink w:anchor="_Toc300000935" w:history="1">
        <w:r>
          <w:t>Article 28.3: Central Regulatory Coordinating Body</w:t>
        </w:r>
        <w:r>
          <w:tab/>
        </w:r>
        <w:r>
          <w:t>1191</w:t>
        </w:r>
      </w:hyperlink>
    </w:p>
    <w:p>
      <w:pPr>
        <w:pStyle w:val="TOC2"/>
      </w:pPr>
      <w:hyperlink w:anchor="_Toc300000936" w:history="1">
        <w:r>
          <w:t>Article 28.4: Internal Consultation, Coordination, and Review</w:t>
        </w:r>
        <w:r>
          <w:tab/>
        </w:r>
        <w:r>
          <w:t>1192</w:t>
        </w:r>
      </w:hyperlink>
    </w:p>
    <w:p>
      <w:pPr>
        <w:pStyle w:val="TOC2"/>
      </w:pPr>
      <w:hyperlink w:anchor="_Toc300000937" w:history="1">
        <w:r>
          <w:t>Article 28.5: Information Quality</w:t>
        </w:r>
        <w:r>
          <w:tab/>
        </w:r>
        <w:r>
          <w:t>1192</w:t>
        </w:r>
      </w:hyperlink>
    </w:p>
    <w:p>
      <w:pPr>
        <w:pStyle w:val="TOC2"/>
      </w:pPr>
      <w:hyperlink w:anchor="_Toc300000938" w:history="1">
        <w:r>
          <w:t>Article 28.6: Early Planning</w:t>
        </w:r>
        <w:r>
          <w:tab/>
        </w:r>
        <w:r>
          <w:t>1192</w:t>
        </w:r>
      </w:hyperlink>
    </w:p>
    <w:p>
      <w:pPr>
        <w:pStyle w:val="TOC2"/>
      </w:pPr>
      <w:hyperlink w:anchor="_Toc300000939" w:history="1">
        <w:r>
          <w:t>Article 28.7: Dedicated Website</w:t>
        </w:r>
        <w:r>
          <w:tab/>
        </w:r>
        <w:r>
          <w:t>1193</w:t>
        </w:r>
      </w:hyperlink>
    </w:p>
    <w:p>
      <w:pPr>
        <w:pStyle w:val="TOC2"/>
      </w:pPr>
      <w:hyperlink w:anchor="_Toc300000940" w:history="1">
        <w:r>
          <w:t>Article 28.8: Use of Plain Language</w:t>
        </w:r>
        <w:r>
          <w:tab/>
        </w:r>
        <w:r>
          <w:t>1193</w:t>
        </w:r>
      </w:hyperlink>
    </w:p>
    <w:p>
      <w:pPr>
        <w:pStyle w:val="TOC2"/>
      </w:pPr>
      <w:hyperlink w:anchor="_Toc300000941" w:history="1">
        <w:r>
          <w:t>Article 28.9: Transparent Development of Regulations</w:t>
        </w:r>
        <w:r>
          <w:tab/>
        </w:r>
        <w:r>
          <w:t>1193</w:t>
        </w:r>
      </w:hyperlink>
    </w:p>
    <w:p>
      <w:pPr>
        <w:pStyle w:val="TOC2"/>
      </w:pPr>
      <w:hyperlink w:anchor="_Toc300000942" w:history="1">
        <w:r>
          <w:t>Article 28.10: Expert Advisory Groups</w:t>
        </w:r>
        <w:r>
          <w:tab/>
        </w:r>
        <w:r>
          <w:t>1195</w:t>
        </w:r>
      </w:hyperlink>
    </w:p>
    <w:p>
      <w:pPr>
        <w:pStyle w:val="TOC2"/>
      </w:pPr>
      <w:hyperlink w:anchor="_Toc300000943" w:history="1">
        <w:r>
          <w:t>Article 28.11: Regulatory Impact Assessment</w:t>
        </w:r>
        <w:r>
          <w:tab/>
        </w:r>
        <w:r>
          <w:t>1195</w:t>
        </w:r>
      </w:hyperlink>
    </w:p>
    <w:p>
      <w:pPr>
        <w:pStyle w:val="TOC2"/>
      </w:pPr>
      <w:hyperlink w:anchor="_Toc300000944" w:history="1">
        <w:r>
          <w:t>Article 28.12: Final Publication</w:t>
        </w:r>
        <w:r>
          <w:tab/>
        </w:r>
        <w:r>
          <w:t>1195</w:t>
        </w:r>
      </w:hyperlink>
    </w:p>
    <w:p>
      <w:pPr>
        <w:pStyle w:val="TOC2"/>
      </w:pPr>
      <w:hyperlink w:anchor="_Toc300000945" w:history="1">
        <w:r>
          <w:t>Article 28.13: Retrospective Review</w:t>
        </w:r>
        <w:r>
          <w:tab/>
        </w:r>
        <w:r>
          <w:t>1195</w:t>
        </w:r>
      </w:hyperlink>
    </w:p>
    <w:p>
      <w:pPr>
        <w:pStyle w:val="TOC2"/>
      </w:pPr>
      <w:hyperlink w:anchor="_Toc300000946" w:history="1">
        <w:r>
          <w:t>Article 28.14: Suggestions for Improvement</w:t>
        </w:r>
        <w:r>
          <w:tab/>
        </w:r>
        <w:r>
          <w:t>1195</w:t>
        </w:r>
      </w:hyperlink>
    </w:p>
    <w:p>
      <w:pPr>
        <w:pStyle w:val="TOC2"/>
      </w:pPr>
      <w:hyperlink w:anchor="_Toc300000947" w:history="1">
        <w:r>
          <w:t>Article 28.15: Information About Regulatory Processes</w:t>
        </w:r>
        <w:r>
          <w:tab/>
        </w:r>
        <w:r>
          <w:t>1196</w:t>
        </w:r>
      </w:hyperlink>
    </w:p>
    <w:p>
      <w:pPr>
        <w:pStyle w:val="TOC2"/>
      </w:pPr>
      <w:hyperlink w:anchor="_Toc300000948" w:history="1">
        <w:r>
          <w:t>Article 28.16: Annual Report</w:t>
        </w:r>
        <w:r>
          <w:tab/>
        </w:r>
        <w:r>
          <w:t>1197</w:t>
        </w:r>
      </w:hyperlink>
    </w:p>
    <w:p>
      <w:pPr>
        <w:pStyle w:val="TOC2"/>
      </w:pPr>
      <w:hyperlink w:anchor="_Toc300000949" w:history="1">
        <w:r>
          <w:t>Article 28.17: Encouragement of Regulatory Compatibility and Cooperation</w:t>
        </w:r>
        <w:r>
          <w:tab/>
        </w:r>
        <w:r>
          <w:t>1197</w:t>
        </w:r>
      </w:hyperlink>
    </w:p>
    <w:p>
      <w:pPr>
        <w:pStyle w:val="TOC2"/>
      </w:pPr>
      <w:hyperlink w:anchor="_Toc300000950" w:history="1">
        <w:r>
          <w:t>Article 28.18: Committee on Good Regulatory Practices</w:t>
        </w:r>
        <w:r>
          <w:tab/>
        </w:r>
        <w:r>
          <w:t>1198</w:t>
        </w:r>
      </w:hyperlink>
    </w:p>
    <w:p>
      <w:pPr>
        <w:pStyle w:val="TOC2"/>
      </w:pPr>
      <w:hyperlink w:anchor="_Toc300000951" w:history="1">
        <w:r>
          <w:t>Article 28.19: Contact Points</w:t>
        </w:r>
        <w:r>
          <w:tab/>
        </w:r>
        <w:r>
          <w:t>1199</w:t>
        </w:r>
      </w:hyperlink>
    </w:p>
    <w:p>
      <w:pPr>
        <w:pStyle w:val="TOC2"/>
      </w:pPr>
      <w:hyperlink w:anchor="_Toc300000952" w:history="1">
        <w:r>
          <w:t>Article 28.20: Application of Dispute Settlement</w:t>
        </w:r>
        <w:r>
          <w:tab/>
        </w:r>
        <w:r>
          <w:t>1199</w:t>
        </w:r>
      </w:hyperlink>
    </w:p>
    <w:p>
      <w:pPr>
        <w:pStyle w:val="TOC2"/>
      </w:pPr>
      <w:hyperlink w:anchor="_Toc300000953" w:history="1">
        <w:r>
          <w:t>ANNEX 28-A ADDITIONAL PROVISIONS CONCERNING THE SCOPE OF “REGULATIONS” AND “REGULATORY AUTHORITIES”</w:t>
        </w:r>
        <w:r>
          <w:tab/>
        </w:r>
        <w:r>
          <w:t>1199</w:t>
        </w:r>
      </w:hyperlink>
    </w:p>
    <w:p>
      <w:pPr>
        <w:pStyle w:val="TOC2"/>
      </w:pPr>
      <w:hyperlink w:anchor="_Toc300000954" w:history="1">
        <w:r>
          <w:t>CHAPTER 28: CUSMA 2.0 STAKE AND FRICTION-REDUCTION PROVISIONS</w:t>
        </w:r>
        <w:r>
          <w:tab/>
        </w:r>
        <w:r>
          <w:t>1200</w:t>
        </w:r>
      </w:hyperlink>
    </w:p>
    <w:p>
      <w:pPr>
        <w:pStyle w:val="TOC2"/>
      </w:pPr>
      <w:hyperlink w:anchor="_Toc300000955" w:history="1">
        <w:r>
          <w:t>Article 28.A: Recognition, Equivalence, and Regulatory Autonomy</w:t>
        </w:r>
        <w:r>
          <w:tab/>
        </w:r>
        <w:r>
          <w:t>1200</w:t>
        </w:r>
      </w:hyperlink>
    </w:p>
    <w:p>
      <w:pPr>
        <w:pStyle w:val="TOC2"/>
      </w:pPr>
      <w:hyperlink w:anchor="_Toc300000956" w:history="1">
        <w:r>
          <w:t>Article 28.B: Advance Regulatory Transparency and Emergency Exception</w:t>
        </w:r>
        <w:r>
          <w:tab/>
        </w:r>
        <w:r>
          <w:t>1200</w:t>
        </w:r>
      </w:hyperlink>
    </w:p>
    <w:p>
      <w:pPr>
        <w:pStyle w:val="TOC2"/>
      </w:pPr>
      <w:hyperlink w:anchor="_Toc300000957" w:history="1">
        <w:r>
          <w:t>Article 28.C: Sector Technical Working Groups and North American Trade Friction Portal</w:t>
        </w:r>
        <w:r>
          <w:tab/>
        </w:r>
        <w:r>
          <w:t>1200</w:t>
        </w:r>
      </w:hyperlink>
    </w:p>
    <w:p>
      <w:pPr>
        <w:pStyle w:val="TOC1"/>
      </w:pPr>
      <w:hyperlink w:anchor="_Toc300000958" w:history="1">
        <w:r>
          <w:t xml:space="preserve">CHAPTER 29 PUBLICATION AND ADMINISTRATION</w:t>
        </w:r>
        <w:r>
          <w:t xml:space="preserve"> </w:t>
        </w:r>
        <w:r>
          <w:t xml:space="preserve">Section A: Publication and Administration</w:t>
        </w:r>
        <w:r>
          <w:tab/>
        </w:r>
        <w:r>
          <w:t>1201</w:t>
        </w:r>
      </w:hyperlink>
    </w:p>
    <w:p>
      <w:pPr>
        <w:pStyle w:val="TOC2"/>
      </w:pPr>
      <w:hyperlink w:anchor="_Toc300000959" w:history="1">
        <w:r>
          <w:t>Article 29.1: Definitions</w:t>
        </w:r>
        <w:r>
          <w:tab/>
        </w:r>
        <w:r>
          <w:t>1201</w:t>
        </w:r>
      </w:hyperlink>
    </w:p>
    <w:p>
      <w:pPr>
        <w:pStyle w:val="TOC2"/>
      </w:pPr>
      <w:hyperlink w:anchor="_Toc300000960" w:history="1">
        <w:r>
          <w:t>Article 29.2: Publication</w:t>
        </w:r>
        <w:r>
          <w:tab/>
        </w:r>
        <w:r>
          <w:t>1201</w:t>
        </w:r>
      </w:hyperlink>
    </w:p>
    <w:p>
      <w:pPr>
        <w:pStyle w:val="TOC2"/>
      </w:pPr>
      <w:hyperlink w:anchor="_Toc300000961" w:history="1">
        <w:r>
          <w:t>Article 29.3: Administrative Proceedings</w:t>
        </w:r>
        <w:r>
          <w:tab/>
        </w:r>
        <w:r>
          <w:t>1201</w:t>
        </w:r>
      </w:hyperlink>
    </w:p>
    <w:p>
      <w:pPr>
        <w:pStyle w:val="TOC2"/>
      </w:pPr>
      <w:hyperlink w:anchor="_Toc300000962" w:history="1">
        <w:r>
          <w:t>Article 29.4: Review and Appeal</w:t>
        </w:r>
        <w:r>
          <w:tab/>
        </w:r>
        <w:r>
          <w:t>1202</w:t>
        </w:r>
      </w:hyperlink>
    </w:p>
    <w:p>
      <w:pPr>
        <w:pStyle w:val="TOC2"/>
      </w:pPr>
      <w:hyperlink w:anchor="_Toc300000963" w:history="1">
        <w:r>
          <w:t>Article 29.5: Definitions</w:t>
        </w:r>
        <w:r>
          <w:tab/>
        </w:r>
        <w:r>
          <w:t>1202</w:t>
        </w:r>
      </w:hyperlink>
    </w:p>
    <w:p>
      <w:pPr>
        <w:pStyle w:val="TOC2"/>
      </w:pPr>
      <w:hyperlink w:anchor="_Toc300000964" w:history="1">
        <w:r>
          <w:t>Article 29.6: Principles</w:t>
        </w:r>
        <w:r>
          <w:tab/>
        </w:r>
        <w:r>
          <w:t>1202</w:t>
        </w:r>
      </w:hyperlink>
    </w:p>
    <w:p>
      <w:pPr>
        <w:pStyle w:val="TOC2"/>
      </w:pPr>
      <w:hyperlink w:anchor="_Toc300000965" w:history="1">
        <w:r>
          <w:t>Article 29.7: Procedural Fairness</w:t>
        </w:r>
        <w:r>
          <w:tab/>
        </w:r>
        <w:r>
          <w:t>1203</w:t>
        </w:r>
      </w:hyperlink>
    </w:p>
    <w:p>
      <w:pPr>
        <w:pStyle w:val="TOC2"/>
      </w:pPr>
      <w:hyperlink w:anchor="_Toc300000966" w:history="1">
        <w:r>
          <w:t>Article 29.8: Dissemination of Information to Health Professionals and Consumers</w:t>
        </w:r>
        <w:r>
          <w:tab/>
        </w:r>
        <w:r>
          <w:t>1203</w:t>
        </w:r>
      </w:hyperlink>
    </w:p>
    <w:p>
      <w:pPr>
        <w:pStyle w:val="TOC2"/>
      </w:pPr>
      <w:hyperlink w:anchor="_Toc300000967" w:history="1">
        <w:r>
          <w:t>Article 29.9: Consultations</w:t>
        </w:r>
        <w:r>
          <w:tab/>
        </w:r>
        <w:r>
          <w:t>1203</w:t>
        </w:r>
      </w:hyperlink>
    </w:p>
    <w:p>
      <w:pPr>
        <w:pStyle w:val="TOC2"/>
      </w:pPr>
      <w:hyperlink w:anchor="_Toc300000968" w:history="1">
        <w:r>
          <w:t>Article 29.10: Non-Application of Dispute Settlement</w:t>
        </w:r>
        <w:r>
          <w:tab/>
        </w:r>
        <w:r>
          <w:t>1204</w:t>
        </w:r>
      </w:hyperlink>
    </w:p>
    <w:p>
      <w:pPr>
        <w:pStyle w:val="TOC2"/>
      </w:pPr>
      <w:hyperlink w:anchor="_Toc300000969" w:history="1">
        <w:r>
          <w:t>ANNEX 29-A PUBLICATION OF LAWS AND REGULATIONS OF GENERAL APPLICATION</w:t>
        </w:r>
        <w:r>
          <w:tab/>
        </w:r>
        <w:r>
          <w:t>1204</w:t>
        </w:r>
      </w:hyperlink>
    </w:p>
    <w:p>
      <w:pPr>
        <w:pStyle w:val="TOC2"/>
      </w:pPr>
      <w:hyperlink w:anchor="_Toc300000970" w:history="1">
        <w:r>
          <w:t>ANNEX 29-B PARTY-SPECIFIC DEFINITIONS</w:t>
        </w:r>
        <w:r>
          <w:tab/>
        </w:r>
        <w:r>
          <w:t>1204</w:t>
        </w:r>
      </w:hyperlink>
    </w:p>
    <w:p>
      <w:pPr>
        <w:pStyle w:val="TOC2"/>
      </w:pPr>
      <w:hyperlink w:anchor="_Toc300000971" w:history="1">
        <w:r>
          <w:t>CHAPTER 29: CUSMA 2.0 TRANSPARENCY AND RELIANCE PROVISIONS</w:t>
        </w:r>
        <w:r>
          <w:tab/>
        </w:r>
        <w:r>
          <w:t>1204</w:t>
        </w:r>
      </w:hyperlink>
    </w:p>
    <w:p>
      <w:pPr>
        <w:pStyle w:val="TOC2"/>
      </w:pPr>
      <w:hyperlink w:anchor="_Toc300000972" w:history="1">
        <w:r>
          <w:t>Article 29.A: Treaty-Relevant Financial and Institutional Transparency</w:t>
        </w:r>
        <w:r>
          <w:tab/>
        </w:r>
        <w:r>
          <w:t>1204</w:t>
        </w:r>
      </w:hyperlink>
    </w:p>
    <w:p>
      <w:pPr>
        <w:pStyle w:val="TOC2"/>
      </w:pPr>
      <w:hyperlink w:anchor="_Toc300000973" w:history="1">
        <w:r>
          <w:t>Article 29.B: Dispute and Trade-Action Transparency</w:t>
        </w:r>
        <w:r>
          <w:tab/>
        </w:r>
        <w:r>
          <w:t>1205</w:t>
        </w:r>
      </w:hyperlink>
    </w:p>
    <w:p>
      <w:pPr>
        <w:pStyle w:val="TOC2"/>
      </w:pPr>
      <w:hyperlink w:anchor="_Toc300000974" w:history="1">
        <w:r>
          <w:t>Article 29.C: Reliance on Advance Customs and Administrative Rulings</w:t>
        </w:r>
        <w:r>
          <w:tab/>
        </w:r>
        <w:r>
          <w:t>1206</w:t>
        </w:r>
      </w:hyperlink>
    </w:p>
    <w:p>
      <w:pPr>
        <w:pStyle w:val="TOC1"/>
      </w:pPr>
      <w:hyperlink w:anchor="_Toc300000975" w:history="1">
        <w:r>
          <w:t>CHAPTER 30 ADMINISTRATIVE AND INSTITUTIONAL PROVISIONS</w:t>
        </w:r>
        <w:r>
          <w:tab/>
        </w:r>
        <w:r>
          <w:t>1207</w:t>
        </w:r>
      </w:hyperlink>
    </w:p>
    <w:p>
      <w:pPr>
        <w:pStyle w:val="TOC2"/>
      </w:pPr>
      <w:hyperlink w:anchor="_Toc300000976" w:history="1">
        <w:r>
          <w:t>Article 30.1: Establishment of the Free Trade Commission</w:t>
        </w:r>
        <w:r>
          <w:tab/>
        </w:r>
        <w:r>
          <w:t>1207</w:t>
        </w:r>
      </w:hyperlink>
    </w:p>
    <w:p>
      <w:pPr>
        <w:pStyle w:val="TOC2"/>
      </w:pPr>
      <w:hyperlink w:anchor="_Toc300000977" w:history="1">
        <w:r>
          <w:t>Article 30.2: Functions of the Commission</w:t>
        </w:r>
        <w:r>
          <w:tab/>
        </w:r>
        <w:r>
          <w:t>1207</w:t>
        </w:r>
      </w:hyperlink>
    </w:p>
    <w:p>
      <w:pPr>
        <w:pStyle w:val="TOC2"/>
      </w:pPr>
      <w:hyperlink w:anchor="_Toc300000978" w:history="1">
        <w:r>
          <w:t>Article 30.3: Decision-Making</w:t>
        </w:r>
        <w:r>
          <w:tab/>
        </w:r>
        <w:r>
          <w:t>1208</w:t>
        </w:r>
      </w:hyperlink>
    </w:p>
    <w:p>
      <w:pPr>
        <w:pStyle w:val="TOC2"/>
      </w:pPr>
      <w:hyperlink w:anchor="_Toc300000979" w:history="1">
        <w:r>
          <w:t>Article 30.4: Rules of Procedure of the Commission and Subsidiary Bodies</w:t>
        </w:r>
        <w:r>
          <w:tab/>
        </w:r>
        <w:r>
          <w:t>1208</w:t>
        </w:r>
      </w:hyperlink>
    </w:p>
    <w:p>
      <w:pPr>
        <w:pStyle w:val="TOC2"/>
      </w:pPr>
      <w:hyperlink w:anchor="_Toc300000980" w:history="1">
        <w:r>
          <w:t>Article 30.5: Agreement Coordinator and Contact Points</w:t>
        </w:r>
        <w:r>
          <w:tab/>
        </w:r>
        <w:r>
          <w:t>1208</w:t>
        </w:r>
      </w:hyperlink>
    </w:p>
    <w:p>
      <w:pPr>
        <w:pStyle w:val="TOC2"/>
      </w:pPr>
      <w:hyperlink w:anchor="_Toc300000981" w:history="1">
        <w:r>
          <w:t>Article 30.6: The Secretariat</w:t>
        </w:r>
        <w:r>
          <w:tab/>
        </w:r>
        <w:r>
          <w:t>1208</w:t>
        </w:r>
      </w:hyperlink>
    </w:p>
    <w:p>
      <w:pPr>
        <w:pStyle w:val="TOC2"/>
      </w:pPr>
      <w:hyperlink w:anchor="_Toc300000982" w:history="1">
        <w:r>
          <w:t>CHAPTER 30: CUSMA 2.0 MODERNIZATION PROVISIONS</w:t>
        </w:r>
        <w:r>
          <w:tab/>
        </w:r>
        <w:r>
          <w:t>1209</w:t>
        </w:r>
      </w:hyperlink>
    </w:p>
    <w:p>
      <w:pPr>
        <w:pStyle w:val="TOC2"/>
      </w:pPr>
      <w:hyperlink w:anchor="_Toc300000983" w:history="1">
        <w:r>
          <w:t>Article 30.A: Institutional Architecture, Consolidated Structure</w:t>
        </w:r>
        <w:r>
          <w:tab/>
        </w:r>
        <w:r>
          <w:t>1209</w:t>
        </w:r>
      </w:hyperlink>
    </w:p>
    <w:p>
      <w:pPr>
        <w:pStyle w:val="TOC2"/>
      </w:pPr>
      <w:hyperlink w:anchor="_Toc300000984" w:history="1">
        <w:r>
          <w:t>Article 30.B: Secretariat Functions</w:t>
        </w:r>
        <w:r>
          <w:tab/>
        </w:r>
        <w:r>
          <w:t>1210</w:t>
        </w:r>
      </w:hyperlink>
    </w:p>
    <w:p>
      <w:pPr>
        <w:pStyle w:val="TOC2"/>
      </w:pPr>
      <w:hyperlink w:anchor="_Toc300000985" w:history="1">
        <w:r>
          <w:t>Article 30.C: Institutional Deadlines and Anti-Deadlock</w:t>
        </w:r>
        <w:r>
          <w:tab/>
        </w:r>
        <w:r>
          <w:t>1211</w:t>
        </w:r>
      </w:hyperlink>
    </w:p>
    <w:p>
      <w:pPr>
        <w:pStyle w:val="TOC2"/>
      </w:pPr>
      <w:hyperlink w:anchor="_Toc300000986" w:history="1">
        <w:r>
          <w:t>Article 30.C.1: No-Unnecessary-Institution Rule</w:t>
        </w:r>
        <w:r>
          <w:tab/>
        </w:r>
        <w:r>
          <w:t>1213</w:t>
        </w:r>
      </w:hyperlink>
    </w:p>
    <w:p>
      <w:pPr>
        <w:pStyle w:val="TOC1"/>
      </w:pPr>
      <w:hyperlink w:anchor="_Toc300000987" w:history="1">
        <w:r>
          <w:t xml:space="preserve">CHAPTER 31 DISPUTE SETTLEMENT</w:t>
        </w:r>
        <w:r>
          <w:t xml:space="preserve"> </w:t>
        </w:r>
        <w:r>
          <w:t xml:space="preserve">Section A: Dispute Settlement</w:t>
        </w:r>
        <w:r>
          <w:tab/>
        </w:r>
        <w:r>
          <w:t>1215</w:t>
        </w:r>
      </w:hyperlink>
    </w:p>
    <w:p>
      <w:pPr>
        <w:pStyle w:val="TOC2"/>
      </w:pPr>
      <w:hyperlink w:anchor="_Toc300000988" w:history="1">
        <w:r>
          <w:t>Article 31.1: Cooperation</w:t>
        </w:r>
        <w:r>
          <w:tab/>
        </w:r>
        <w:r>
          <w:t>1215</w:t>
        </w:r>
      </w:hyperlink>
    </w:p>
    <w:p>
      <w:pPr>
        <w:pStyle w:val="TOC2"/>
      </w:pPr>
      <w:hyperlink w:anchor="_Toc300000989" w:history="1">
        <w:r>
          <w:t>Article 31.2: Scope</w:t>
        </w:r>
        <w:r>
          <w:tab/>
        </w:r>
        <w:r>
          <w:t>1215</w:t>
        </w:r>
      </w:hyperlink>
    </w:p>
    <w:p>
      <w:pPr>
        <w:pStyle w:val="TOC2"/>
      </w:pPr>
      <w:hyperlink w:anchor="_Toc300000990" w:history="1">
        <w:r>
          <w:t>Article 31.3: Choice of Forum</w:t>
        </w:r>
        <w:r>
          <w:tab/>
        </w:r>
        <w:r>
          <w:t>1215</w:t>
        </w:r>
      </w:hyperlink>
    </w:p>
    <w:p>
      <w:pPr>
        <w:pStyle w:val="TOC2"/>
      </w:pPr>
      <w:hyperlink w:anchor="_Toc300000991" w:history="1">
        <w:r>
          <w:t>Article 31.4: Consultations</w:t>
        </w:r>
        <w:r>
          <w:tab/>
        </w:r>
        <w:r>
          <w:t>1215</w:t>
        </w:r>
      </w:hyperlink>
    </w:p>
    <w:p>
      <w:pPr>
        <w:pStyle w:val="TOC2"/>
      </w:pPr>
      <w:hyperlink w:anchor="_Toc300000992" w:history="1">
        <w:r>
          <w:t>Article 31.5: Commission, Good Offices, Conciliation, and Mediation</w:t>
        </w:r>
        <w:r>
          <w:tab/>
        </w:r>
        <w:r>
          <w:t>1216</w:t>
        </w:r>
      </w:hyperlink>
    </w:p>
    <w:p>
      <w:pPr>
        <w:pStyle w:val="TOC2"/>
      </w:pPr>
      <w:hyperlink w:anchor="_Toc300000993" w:history="1">
        <w:r>
          <w:t>Article 31.6: Establishment of a Panel</w:t>
        </w:r>
        <w:r>
          <w:tab/>
        </w:r>
        <w:r>
          <w:t>1217</w:t>
        </w:r>
      </w:hyperlink>
    </w:p>
    <w:p>
      <w:pPr>
        <w:pStyle w:val="TOC2"/>
      </w:pPr>
      <w:hyperlink w:anchor="_Toc300000994" w:history="1">
        <w:r>
          <w:t>Article 31.7: Terms of Reference</w:t>
        </w:r>
        <w:r>
          <w:tab/>
        </w:r>
        <w:r>
          <w:t>1218</w:t>
        </w:r>
      </w:hyperlink>
    </w:p>
    <w:p>
      <w:pPr>
        <w:pStyle w:val="TOC2"/>
      </w:pPr>
      <w:hyperlink w:anchor="_Toc300000995" w:history="1">
        <w:r>
          <w:t>Article 31.8: Roster and Qualifications of Panelists</w:t>
        </w:r>
        <w:r>
          <w:tab/>
        </w:r>
        <w:r>
          <w:t>1218</w:t>
        </w:r>
      </w:hyperlink>
    </w:p>
    <w:p>
      <w:pPr>
        <w:pStyle w:val="TOC2"/>
      </w:pPr>
      <w:hyperlink w:anchor="_Toc300000996" w:history="1">
        <w:r>
          <w:t>Article 31.9: Panel Composition</w:t>
        </w:r>
        <w:r>
          <w:tab/>
        </w:r>
        <w:r>
          <w:t>1219</w:t>
        </w:r>
      </w:hyperlink>
    </w:p>
    <w:p>
      <w:pPr>
        <w:pStyle w:val="TOC2"/>
      </w:pPr>
      <w:hyperlink w:anchor="_Toc300000997" w:history="1">
        <w:r>
          <w:t>Article 31.10: Replacement of Panelists</w:t>
        </w:r>
        <w:r>
          <w:tab/>
        </w:r>
        <w:r>
          <w:t>1219</w:t>
        </w:r>
      </w:hyperlink>
    </w:p>
    <w:p>
      <w:pPr>
        <w:pStyle w:val="TOC2"/>
      </w:pPr>
      <w:hyperlink w:anchor="_Toc300000998" w:history="1">
        <w:r>
          <w:t>Article 31.11: Rules of Procedure for Panels</w:t>
        </w:r>
        <w:r>
          <w:tab/>
        </w:r>
        <w:r>
          <w:t>1219</w:t>
        </w:r>
      </w:hyperlink>
    </w:p>
    <w:p>
      <w:pPr>
        <w:pStyle w:val="TOC2"/>
      </w:pPr>
      <w:hyperlink w:anchor="_Toc300000999" w:history="1">
        <w:r>
          <w:t>Article 31.12: Electronic Document Filing</w:t>
        </w:r>
        <w:r>
          <w:tab/>
        </w:r>
        <w:r>
          <w:t>1219</w:t>
        </w:r>
      </w:hyperlink>
    </w:p>
    <w:p>
      <w:pPr>
        <w:pStyle w:val="TOC2"/>
      </w:pPr>
      <w:hyperlink w:anchor="_Toc300001000" w:history="1">
        <w:r>
          <w:t>Article 31.13: Function of Panels</w:t>
        </w:r>
        <w:r>
          <w:tab/>
        </w:r>
        <w:r>
          <w:t>1219</w:t>
        </w:r>
      </w:hyperlink>
    </w:p>
    <w:p>
      <w:pPr>
        <w:pStyle w:val="TOC2"/>
      </w:pPr>
      <w:hyperlink w:anchor="_Toc300001001" w:history="1">
        <w:r>
          <w:t>Article 31.14: Third Party Participation</w:t>
        </w:r>
        <w:r>
          <w:tab/>
        </w:r>
        <w:r>
          <w:t>1220</w:t>
        </w:r>
      </w:hyperlink>
    </w:p>
    <w:p>
      <w:pPr>
        <w:pStyle w:val="TOC2"/>
      </w:pPr>
      <w:hyperlink w:anchor="_Toc300001002" w:history="1">
        <w:r>
          <w:t>Article 31.15: Role of Experts</w:t>
        </w:r>
        <w:r>
          <w:tab/>
        </w:r>
        <w:r>
          <w:t>1220</w:t>
        </w:r>
      </w:hyperlink>
    </w:p>
    <w:p>
      <w:pPr>
        <w:pStyle w:val="TOC2"/>
      </w:pPr>
      <w:hyperlink w:anchor="_Toc300001003" w:history="1">
        <w:r>
          <w:t>Article 31.16: Suspension or Termination of Proceedings</w:t>
        </w:r>
        <w:r>
          <w:tab/>
        </w:r>
        <w:r>
          <w:t>1220</w:t>
        </w:r>
      </w:hyperlink>
    </w:p>
    <w:p>
      <w:pPr>
        <w:pStyle w:val="TOC2"/>
      </w:pPr>
      <w:hyperlink w:anchor="_Toc300001004" w:history="1">
        <w:r>
          <w:t>Article 31.17: Panel Report</w:t>
        </w:r>
        <w:r>
          <w:tab/>
        </w:r>
        <w:r>
          <w:t>1221</w:t>
        </w:r>
      </w:hyperlink>
    </w:p>
    <w:p>
      <w:pPr>
        <w:pStyle w:val="TOC2"/>
      </w:pPr>
      <w:hyperlink w:anchor="_Toc300001005" w:history="1">
        <w:r>
          <w:t>Article 31.18: Implementation of Final Report</w:t>
        </w:r>
        <w:r>
          <w:tab/>
        </w:r>
        <w:r>
          <w:t>1221</w:t>
        </w:r>
      </w:hyperlink>
    </w:p>
    <w:p>
      <w:pPr>
        <w:pStyle w:val="TOC2"/>
      </w:pPr>
      <w:hyperlink w:anchor="_Toc300001006" w:history="1">
        <w:r>
          <w:t>Article 31.19: Non-Implementation – Suspension of Benefits</w:t>
        </w:r>
        <w:r>
          <w:tab/>
        </w:r>
        <w:r>
          <w:t>1221</w:t>
        </w:r>
      </w:hyperlink>
    </w:p>
    <w:p>
      <w:pPr>
        <w:pStyle w:val="TOC2"/>
      </w:pPr>
      <w:hyperlink w:anchor="_Toc300001007" w:history="1">
        <w:r>
          <w:t>Article 31.20: Referrals of Matters from Judicial or Administrative Proceedings</w:t>
        </w:r>
        <w:r>
          <w:tab/>
        </w:r>
        <w:r>
          <w:t>1222</w:t>
        </w:r>
      </w:hyperlink>
    </w:p>
    <w:p>
      <w:pPr>
        <w:pStyle w:val="TOC2"/>
      </w:pPr>
      <w:hyperlink w:anchor="_Toc300001008" w:history="1">
        <w:r>
          <w:t>Article 31.21: Private Rights</w:t>
        </w:r>
        <w:r>
          <w:tab/>
        </w:r>
        <w:r>
          <w:t>1222</w:t>
        </w:r>
      </w:hyperlink>
    </w:p>
    <w:p>
      <w:pPr>
        <w:pStyle w:val="TOC2"/>
      </w:pPr>
      <w:hyperlink w:anchor="_Toc300001009" w:history="1">
        <w:r>
          <w:t>Article 31.22: Alternative Dispute Resolution</w:t>
        </w:r>
        <w:r>
          <w:tab/>
        </w:r>
        <w:r>
          <w:t>1222</w:t>
        </w:r>
      </w:hyperlink>
    </w:p>
    <w:p>
      <w:pPr>
        <w:pStyle w:val="TOC2"/>
      </w:pPr>
      <w:hyperlink w:anchor="_Toc300001010" w:history="1">
        <w:r>
          <w:t>CHAPTER 31: CUSMA 2.0 MODERNIZATION PROVISIONS</w:t>
        </w:r>
        <w:r>
          <w:tab/>
        </w:r>
        <w:r>
          <w:t>1223</w:t>
        </w:r>
      </w:hyperlink>
    </w:p>
    <w:p>
      <w:pPr>
        <w:pStyle w:val="TOC2"/>
      </w:pPr>
      <w:hyperlink w:anchor="_Toc300001011" w:history="1">
        <w:r>
          <w:t>Article 31.A: Expedited Tariff Panel Procedure</w:t>
        </w:r>
        <w:r>
          <w:tab/>
        </w:r>
        <w:r>
          <w:t>1223</w:t>
        </w:r>
      </w:hyperlink>
    </w:p>
    <w:p>
      <w:pPr>
        <w:pStyle w:val="TOC2"/>
      </w:pPr>
      <w:hyperlink w:anchor="_Toc300001012" w:history="1">
        <w:r>
          <w:t>Article 31.B: Consultations, Modernized Clocks</w:t>
        </w:r>
        <w:r>
          <w:tab/>
        </w:r>
        <w:r>
          <w:t>1225</w:t>
        </w:r>
      </w:hyperlink>
    </w:p>
    <w:p>
      <w:pPr>
        <w:pStyle w:val="TOC2"/>
      </w:pPr>
      <w:hyperlink w:anchor="_Toc300001013" w:history="1">
        <w:r>
          <w:t>Article 31.C: Standing Rosters, Independence, and Anti-Deadlock</w:t>
        </w:r>
        <w:r>
          <w:tab/>
        </w:r>
        <w:r>
          <w:t>1225</w:t>
        </w:r>
      </w:hyperlink>
    </w:p>
    <w:p>
      <w:pPr>
        <w:pStyle w:val="TOC2"/>
      </w:pPr>
      <w:hyperlink w:anchor="_Toc300001014" w:history="1">
        <w:r>
          <w:t>Article 31.D: Implementation, Compliance Review, and the End of Procedural Limbo</w:t>
        </w:r>
        <w:r>
          <w:tab/>
        </w:r>
        <w:r>
          <w:t>1227</w:t>
        </w:r>
      </w:hyperlink>
    </w:p>
    <w:p>
      <w:pPr>
        <w:pStyle w:val="TOC2"/>
      </w:pPr>
      <w:hyperlink w:anchor="_Toc300001015" w:history="1">
        <w:r>
          <w:t>Article 31.E: North American Facility-Specific Labour Remedy</w:t>
        </w:r>
        <w:r>
          <w:tab/>
        </w:r>
        <w:r>
          <w:t>1228</w:t>
        </w:r>
      </w:hyperlink>
    </w:p>
    <w:p>
      <w:pPr>
        <w:pStyle w:val="TOC2"/>
      </w:pPr>
      <w:hyperlink w:anchor="_Toc300001016" w:history="1">
        <w:r>
          <w:t>Article 31.F: Chapter 23-B Disputes, Expedited Procedures</w:t>
        </w:r>
        <w:r>
          <w:tab/>
        </w:r>
        <w:r>
          <w:t>1233</w:t>
        </w:r>
      </w:hyperlink>
    </w:p>
    <w:p>
      <w:pPr>
        <w:pStyle w:val="TOC1"/>
      </w:pPr>
      <w:hyperlink w:anchor="_Toc300001017" w:history="1">
        <w:r>
          <w:t xml:space="preserve">CHAPTER 32 EXCEPTIONS AND GENERAL PROVISIONS</w:t>
        </w:r>
        <w:r>
          <w:t xml:space="preserve"> </w:t>
        </w:r>
        <w:r>
          <w:t xml:space="preserve">Section A: Exceptions</w:t>
        </w:r>
        <w:r>
          <w:tab/>
        </w:r>
        <w:r>
          <w:t>1234</w:t>
        </w:r>
      </w:hyperlink>
    </w:p>
    <w:p>
      <w:pPr>
        <w:pStyle w:val="TOC2"/>
      </w:pPr>
      <w:hyperlink w:anchor="_Toc300001018" w:history="1">
        <w:r>
          <w:t>Article 32.1: General Exceptions</w:t>
        </w:r>
        <w:r>
          <w:tab/>
        </w:r>
        <w:r>
          <w:t>1234</w:t>
        </w:r>
      </w:hyperlink>
    </w:p>
    <w:p>
      <w:pPr>
        <w:pStyle w:val="TOC2"/>
      </w:pPr>
      <w:hyperlink w:anchor="_Toc300001019" w:history="1">
        <w:r>
          <w:t>Article 32.2: Essential Security</w:t>
        </w:r>
        <w:r>
          <w:tab/>
        </w:r>
        <w:r>
          <w:t>1234</w:t>
        </w:r>
      </w:hyperlink>
    </w:p>
    <w:p>
      <w:pPr>
        <w:pStyle w:val="TOC2"/>
      </w:pPr>
      <w:hyperlink w:anchor="_Toc300001020" w:history="1">
        <w:r>
          <w:t>Article 32.3: Taxation Measures</w:t>
        </w:r>
        <w:r>
          <w:tab/>
        </w:r>
        <w:r>
          <w:t>1234</w:t>
        </w:r>
      </w:hyperlink>
    </w:p>
    <w:p>
      <w:pPr>
        <w:pStyle w:val="TOC2"/>
      </w:pPr>
      <w:hyperlink w:anchor="_Toc300001021" w:history="1">
        <w:r>
          <w:t>Article 32.4: Temporary Safeguards Measures</w:t>
        </w:r>
        <w:r>
          <w:tab/>
        </w:r>
        <w:r>
          <w:t>1237</w:t>
        </w:r>
      </w:hyperlink>
    </w:p>
    <w:p>
      <w:pPr>
        <w:pStyle w:val="TOC2"/>
      </w:pPr>
      <w:hyperlink w:anchor="_Toc300001022" w:history="1">
        <w:r>
          <w:t>Article 32.5: Indigenous Peoples Rights</w:t>
        </w:r>
        <w:r>
          <w:tab/>
        </w:r>
        <w:r>
          <w:t>1238</w:t>
        </w:r>
      </w:hyperlink>
    </w:p>
    <w:p>
      <w:pPr>
        <w:pStyle w:val="TOC2"/>
      </w:pPr>
      <w:hyperlink w:anchor="_Toc300001023" w:history="1">
        <w:r>
          <w:t>Article 32.6: Cultural Industries</w:t>
        </w:r>
        <w:r>
          <w:tab/>
        </w:r>
        <w:r>
          <w:t>1239</w:t>
        </w:r>
      </w:hyperlink>
    </w:p>
    <w:p>
      <w:pPr>
        <w:pStyle w:val="TOC2"/>
      </w:pPr>
      <w:hyperlink w:anchor="_Toc300001024" w:history="1">
        <w:r>
          <w:t>Article 32.7: Disclosure of Information</w:t>
        </w:r>
        <w:r>
          <w:tab/>
        </w:r>
        <w:r>
          <w:t>1240</w:t>
        </w:r>
      </w:hyperlink>
    </w:p>
    <w:p>
      <w:pPr>
        <w:pStyle w:val="TOC2"/>
      </w:pPr>
      <w:hyperlink w:anchor="_Toc300001025" w:history="1">
        <w:r>
          <w:t xml:space="preserve">Article 32.8: Personal Information Protection</w:t>
        </w:r>
        <w:r>
          <w:rPr>
            <w:vertAlign w:val="superscript"/>
          </w:rPr>
          <w:t xml:space="preserve">8</w:t>
        </w:r>
        <w:r>
          <w:tab/>
        </w:r>
        <w:r>
          <w:t>1240</w:t>
        </w:r>
      </w:hyperlink>
    </w:p>
    <w:p>
      <w:pPr>
        <w:pStyle w:val="TOC2"/>
      </w:pPr>
      <w:hyperlink w:anchor="_Toc300001026" w:history="1">
        <w:r>
          <w:t>Article 32.9: Access to Information</w:t>
        </w:r>
        <w:r>
          <w:tab/>
        </w:r>
        <w:r>
          <w:t>1241</w:t>
        </w:r>
      </w:hyperlink>
    </w:p>
    <w:p>
      <w:pPr>
        <w:pStyle w:val="TOC2"/>
      </w:pPr>
      <w:hyperlink w:anchor="_Toc300001027" w:history="1">
        <w:r>
          <w:t>Article 32.10: Non-Market Country FTA</w:t>
        </w:r>
        <w:r>
          <w:tab/>
        </w:r>
        <w:r>
          <w:t>1241</w:t>
        </w:r>
      </w:hyperlink>
    </w:p>
    <w:p>
      <w:pPr>
        <w:pStyle w:val="TOC2"/>
      </w:pPr>
      <w:hyperlink w:anchor="_Toc300001028" w:history="1">
        <w:r>
          <w:t>Article 32.11: Specific Provision on Cross-Border Trade in Services, Investment, and State-Owned Enterprises and Designated Monopolies for Mexico</w:t>
        </w:r>
        <w:r>
          <w:tab/>
        </w:r>
        <w:r>
          <w:t>1242</w:t>
        </w:r>
      </w:hyperlink>
    </w:p>
    <w:p>
      <w:pPr>
        <w:pStyle w:val="TOC2"/>
      </w:pPr>
      <w:hyperlink w:anchor="_Toc300001029" w:history="1">
        <w:r>
          <w:t>Article 32.12: Exclusion from Dispute Settlement</w:t>
        </w:r>
        <w:r>
          <w:tab/>
        </w:r>
        <w:r>
          <w:t>1242</w:t>
        </w:r>
      </w:hyperlink>
    </w:p>
    <w:p>
      <w:pPr>
        <w:pStyle w:val="TOC2"/>
      </w:pPr>
      <w:hyperlink w:anchor="_Toc300001030" w:history="1">
        <w:r>
          <w:t>CHAPTER 32: CUSMA 2.0 MODERNIZATION PROVISIONS</w:t>
        </w:r>
        <w:r>
          <w:tab/>
        </w:r>
        <w:r>
          <w:t>1243</w:t>
        </w:r>
      </w:hyperlink>
    </w:p>
    <w:p>
      <w:pPr>
        <w:pStyle w:val="TOC2"/>
      </w:pPr>
      <w:hyperlink w:anchor="_Toc300001031" w:history="1">
        <w:r>
          <w:t>Article 32.A: Essential Security (Replacement of Article 32.2)</w:t>
        </w:r>
        <w:r>
          <w:tab/>
        </w:r>
        <w:r>
          <w:t>1243</w:t>
        </w:r>
      </w:hyperlink>
    </w:p>
    <w:p>
      <w:pPr>
        <w:pStyle w:val="TOC2"/>
      </w:pPr>
      <w:hyperlink w:anchor="_Toc300001032" w:history="1">
        <w:r>
          <w:t>Article 32.A.1: Functional Equivalence and Domestic-Law Anti-Circumvention</w:t>
        </w:r>
        <w:r>
          <w:tab/>
        </w:r>
        <w:r>
          <w:t>1245</w:t>
        </w:r>
      </w:hyperlink>
    </w:p>
    <w:p>
      <w:pPr>
        <w:pStyle w:val="TOC2"/>
      </w:pPr>
      <w:hyperlink w:anchor="_Toc300001033" w:history="1">
        <w:r>
          <w:t>Article 32.A.2: Sovereign Security Judgment and Reviewable Implementation</w:t>
        </w:r>
        <w:r>
          <w:tab/>
        </w:r>
        <w:r>
          <w:t>1246</w:t>
        </w:r>
      </w:hyperlink>
    </w:p>
    <w:p>
      <w:pPr>
        <w:pStyle w:val="TOC2"/>
      </w:pPr>
      <w:hyperlink w:anchor="_Toc300001034" w:history="1">
        <w:r>
          <w:t>Article 32.A.3: Trusted North American Supply Presumption</w:t>
        </w:r>
        <w:r>
          <w:tab/>
        </w:r>
        <w:r>
          <w:t>1246</w:t>
        </w:r>
      </w:hyperlink>
    </w:p>
    <w:p>
      <w:pPr>
        <w:pStyle w:val="TOC2"/>
      </w:pPr>
      <w:hyperlink w:anchor="_Toc300001035" w:history="1">
        <w:r>
          <w:t>Article 32.A.4: Third-Country Connection and Ownership Discipline</w:t>
        </w:r>
        <w:r>
          <w:tab/>
        </w:r>
        <w:r>
          <w:t>1247</w:t>
        </w:r>
      </w:hyperlink>
    </w:p>
    <w:p>
      <w:pPr>
        <w:pStyle w:val="TOC2"/>
      </w:pPr>
      <w:hyperlink w:anchor="_Toc300001036" w:history="1">
        <w:r>
          <w:t>Article 32.A.5: Self-Created Security Vulnerability</w:t>
        </w:r>
        <w:r>
          <w:tab/>
        </w:r>
        <w:r>
          <w:t>1247</w:t>
        </w:r>
      </w:hyperlink>
    </w:p>
    <w:p>
      <w:pPr>
        <w:pStyle w:val="TOC2"/>
      </w:pPr>
      <w:hyperlink w:anchor="_Toc300001037" w:history="1">
        <w:r>
          <w:t>Article 32.A.6: Least-Restrictive Trusted-Partner Security Measure</w:t>
        </w:r>
        <w:r>
          <w:tab/>
        </w:r>
        <w:r>
          <w:t>1247</w:t>
        </w:r>
      </w:hyperlink>
    </w:p>
    <w:p>
      <w:pPr>
        <w:pStyle w:val="TOC2"/>
      </w:pPr>
      <w:hyperlink w:anchor="_Toc300001038" w:history="1">
        <w:r>
          <w:t>Article 32.A.7: Security Investigation Integrity and Anti-Harassment</w:t>
        </w:r>
        <w:r>
          <w:tab/>
        </w:r>
        <w:r>
          <w:t>1247</w:t>
        </w:r>
      </w:hyperlink>
    </w:p>
    <w:p>
      <w:pPr>
        <w:pStyle w:val="TOC2"/>
      </w:pPr>
      <w:hyperlink w:anchor="_Toc300001039" w:history="1">
        <w:r>
          <w:t>Article 32.A.8: Classified Evidence and Non-Derogable Procedural Core</w:t>
        </w:r>
        <w:r>
          <w:tab/>
        </w:r>
        <w:r>
          <w:t>1248</w:t>
        </w:r>
      </w:hyperlink>
    </w:p>
    <w:p>
      <w:pPr>
        <w:pStyle w:val="TOC2"/>
      </w:pPr>
      <w:hyperlink w:anchor="_Toc300001040" w:history="1">
        <w:r>
          <w:t>Article 32.A.9: Security Necessity Review, Sunset, and Restoration</w:t>
        </w:r>
        <w:r>
          <w:tab/>
        </w:r>
        <w:r>
          <w:t>1248</w:t>
        </w:r>
      </w:hyperlink>
    </w:p>
    <w:p>
      <w:pPr>
        <w:pStyle w:val="TOC2"/>
      </w:pPr>
      <w:hyperlink w:anchor="_Toc300001041" w:history="1">
        <w:r>
          <w:t>Article 32.B: Economic Emergency and Balance-of-Payments Measures (Replacement of Article 32.4)</w:t>
        </w:r>
        <w:r>
          <w:tab/>
        </w:r>
        <w:r>
          <w:t>1248</w:t>
        </w:r>
      </w:hyperlink>
    </w:p>
    <w:p>
      <w:pPr>
        <w:pStyle w:val="TOC2"/>
      </w:pPr>
      <w:hyperlink w:anchor="_Toc300001042" w:history="1">
        <w:r>
          <w:t>Article 32.C: General Exceptions, Anti-Abuse Discipline</w:t>
        </w:r>
        <w:r>
          <w:tab/>
        </w:r>
        <w:r>
          <w:t>1249</w:t>
        </w:r>
      </w:hyperlink>
    </w:p>
    <w:p>
      <w:pPr>
        <w:pStyle w:val="TOC2"/>
      </w:pPr>
      <w:hyperlink w:anchor="_Toc300001043" w:history="1">
        <w:r>
          <w:t>Article 32.D: Indigenous Peoples Rights</w:t>
        </w:r>
        <w:r>
          <w:tab/>
        </w:r>
        <w:r>
          <w:t>1249</w:t>
        </w:r>
      </w:hyperlink>
    </w:p>
    <w:p>
      <w:pPr>
        <w:pStyle w:val="TOC2"/>
      </w:pPr>
      <w:hyperlink w:anchor="_Toc300001044" w:history="1">
        <w:r>
          <w:t>Article 32.E: Disclosure of Information</w:t>
        </w:r>
        <w:r>
          <w:tab/>
        </w:r>
        <w:r>
          <w:t>1250</w:t>
        </w:r>
      </w:hyperlink>
    </w:p>
    <w:p>
      <w:pPr>
        <w:pStyle w:val="TOC2"/>
      </w:pPr>
      <w:hyperlink w:anchor="_Toc300001045" w:history="1">
        <w:r>
          <w:t>Article 32.F: Risk-Based and Nationality-Neutral Administration</w:t>
        </w:r>
        <w:r>
          <w:tab/>
        </w:r>
        <w:r>
          <w:t>1250</w:t>
        </w:r>
      </w:hyperlink>
    </w:p>
    <w:p>
      <w:pPr>
        <w:pStyle w:val="TOC2"/>
      </w:pPr>
      <w:hyperlink w:anchor="_Toc300001046" w:history="1">
        <w:r>
          <w:t>Article 32.G: External Economic Relations and Treaty Sovereignty (Replacement of Article 32.10)</w:t>
        </w:r>
        <w:r>
          <w:tab/>
        </w:r>
        <w:r>
          <w:t>1250</w:t>
        </w:r>
      </w:hyperlink>
    </w:p>
    <w:p>
      <w:pPr>
        <w:pStyle w:val="TOC2"/>
      </w:pPr>
      <w:hyperlink w:anchor="_Toc300001047" w:history="1">
        <w:r>
          <w:t>Article 32.H: Exceptions Do Not Apply to Chapter 23-B</w:t>
        </w:r>
        <w:r>
          <w:tab/>
        </w:r>
        <w:r>
          <w:t>1251</w:t>
        </w:r>
      </w:hyperlink>
    </w:p>
    <w:p>
      <w:pPr>
        <w:pStyle w:val="TOC1"/>
      </w:pPr>
      <w:hyperlink w:anchor="_Toc300001048" w:history="1">
        <w:r>
          <w:t>CHAPTER 33 MACROECONOMIC POLICIES AND EXCHANGE RATE MATTERS</w:t>
        </w:r>
        <w:r>
          <w:tab/>
        </w:r>
        <w:r>
          <w:t>1252</w:t>
        </w:r>
      </w:hyperlink>
    </w:p>
    <w:p>
      <w:pPr>
        <w:pStyle w:val="TOC2"/>
      </w:pPr>
      <w:hyperlink w:anchor="_Toc300001049" w:history="1">
        <w:r>
          <w:t>Article 33.1: Definitions</w:t>
        </w:r>
        <w:r>
          <w:tab/>
        </w:r>
        <w:r>
          <w:t>1252</w:t>
        </w:r>
      </w:hyperlink>
    </w:p>
    <w:p>
      <w:pPr>
        <w:pStyle w:val="TOC2"/>
      </w:pPr>
      <w:hyperlink w:anchor="_Toc300001050" w:history="1">
        <w:r>
          <w:t>Article 33.2: General Provisions</w:t>
        </w:r>
        <w:r>
          <w:tab/>
        </w:r>
        <w:r>
          <w:t>1253</w:t>
        </w:r>
      </w:hyperlink>
    </w:p>
    <w:p>
      <w:pPr>
        <w:pStyle w:val="TOC2"/>
      </w:pPr>
      <w:hyperlink w:anchor="_Toc300001051" w:history="1">
        <w:r>
          <w:t>Article 33.3: Scope</w:t>
        </w:r>
        <w:r>
          <w:tab/>
        </w:r>
        <w:r>
          <w:t>1253</w:t>
        </w:r>
      </w:hyperlink>
    </w:p>
    <w:p>
      <w:pPr>
        <w:pStyle w:val="TOC2"/>
      </w:pPr>
      <w:hyperlink w:anchor="_Toc300001052" w:history="1">
        <w:r>
          <w:t>Article 33.4: Exchange Rate Practices</w:t>
        </w:r>
        <w:r>
          <w:tab/>
        </w:r>
        <w:r>
          <w:t>1253</w:t>
        </w:r>
      </w:hyperlink>
    </w:p>
    <w:p>
      <w:pPr>
        <w:pStyle w:val="TOC2"/>
      </w:pPr>
      <w:hyperlink w:anchor="_Toc300001053" w:history="1">
        <w:r>
          <w:t>Article 33.5: Transparency and Reporting</w:t>
        </w:r>
        <w:r>
          <w:tab/>
        </w:r>
        <w:r>
          <w:t>1254</w:t>
        </w:r>
      </w:hyperlink>
    </w:p>
    <w:p>
      <w:pPr>
        <w:pStyle w:val="TOC2"/>
      </w:pPr>
      <w:hyperlink w:anchor="_Toc300001054" w:history="1">
        <w:r>
          <w:t>Article 33.6: Macroeconomic Committee</w:t>
        </w:r>
        <w:r>
          <w:tab/>
        </w:r>
        <w:r>
          <w:t>1254</w:t>
        </w:r>
      </w:hyperlink>
    </w:p>
    <w:p>
      <w:pPr>
        <w:pStyle w:val="TOC2"/>
      </w:pPr>
      <w:hyperlink w:anchor="_Toc300001055" w:history="1">
        <w:r>
          <w:t>Article 33.7: Principal Representative Consultations</w:t>
        </w:r>
        <w:r>
          <w:tab/>
        </w:r>
        <w:r>
          <w:t>1254</w:t>
        </w:r>
      </w:hyperlink>
    </w:p>
    <w:p>
      <w:pPr>
        <w:pStyle w:val="TOC2"/>
      </w:pPr>
      <w:hyperlink w:anchor="_Toc300001056" w:history="1">
        <w:r>
          <w:t>Article 33.8: Dispute Settlement</w:t>
        </w:r>
        <w:r>
          <w:tab/>
        </w:r>
        <w:r>
          <w:t>1254</w:t>
        </w:r>
      </w:hyperlink>
    </w:p>
    <w:p>
      <w:pPr>
        <w:pStyle w:val="TOC1"/>
      </w:pPr>
      <w:hyperlink w:anchor="_Toc300001057" w:history="1">
        <w:r>
          <w:t>CHAPTER 34 FINAL PROVISIONS</w:t>
        </w:r>
        <w:r>
          <w:tab/>
        </w:r>
        <w:r>
          <w:t>1256</w:t>
        </w:r>
      </w:hyperlink>
    </w:p>
    <w:p>
      <w:pPr>
        <w:pStyle w:val="TOC2"/>
      </w:pPr>
      <w:hyperlink w:anchor="_Toc300001058" w:history="1">
        <w:r>
          <w:t>Article 34.1: Transitional Provision from NAFTA 1994</w:t>
        </w:r>
        <w:r>
          <w:tab/>
        </w:r>
        <w:r>
          <w:t>1256</w:t>
        </w:r>
      </w:hyperlink>
    </w:p>
    <w:p>
      <w:pPr>
        <w:pStyle w:val="TOC2"/>
      </w:pPr>
      <w:hyperlink w:anchor="_Toc300001059" w:history="1">
        <w:r>
          <w:t>Article 34.2: Annexes, Appendices, and Footnotes</w:t>
        </w:r>
        <w:r>
          <w:tab/>
        </w:r>
        <w:r>
          <w:t>1256</w:t>
        </w:r>
      </w:hyperlink>
    </w:p>
    <w:p>
      <w:pPr>
        <w:pStyle w:val="TOC2"/>
      </w:pPr>
      <w:hyperlink w:anchor="_Toc300001060" w:history="1">
        <w:r>
          <w:t>Article 34.3: Amendments</w:t>
        </w:r>
        <w:r>
          <w:tab/>
        </w:r>
        <w:r>
          <w:t>1256</w:t>
        </w:r>
      </w:hyperlink>
    </w:p>
    <w:p>
      <w:pPr>
        <w:pStyle w:val="TOC2"/>
      </w:pPr>
      <w:hyperlink w:anchor="_Toc300001061" w:history="1">
        <w:r>
          <w:t>Article 34.4: Amendment of the WTO Agreement</w:t>
        </w:r>
        <w:r>
          <w:tab/>
        </w:r>
        <w:r>
          <w:t>1257</w:t>
        </w:r>
      </w:hyperlink>
    </w:p>
    <w:p>
      <w:pPr>
        <w:pStyle w:val="TOC2"/>
      </w:pPr>
      <w:hyperlink w:anchor="_Toc300001062" w:history="1">
        <w:r>
          <w:t>Article 34.5: Entry into Force</w:t>
        </w:r>
        <w:r>
          <w:tab/>
        </w:r>
        <w:r>
          <w:t>1257</w:t>
        </w:r>
      </w:hyperlink>
    </w:p>
    <w:p>
      <w:pPr>
        <w:pStyle w:val="TOC2"/>
      </w:pPr>
      <w:hyperlink w:anchor="_Toc300001063" w:history="1">
        <w:r>
          <w:t>Article 34.6: Withdrawal</w:t>
        </w:r>
        <w:r>
          <w:tab/>
        </w:r>
        <w:r>
          <w:t>1257</w:t>
        </w:r>
      </w:hyperlink>
    </w:p>
    <w:p>
      <w:pPr>
        <w:pStyle w:val="TOC2"/>
      </w:pPr>
      <w:hyperlink w:anchor="_Toc300001064" w:history="1">
        <w:r>
          <w:t>Historical Reproduction: Superseded Duration and Review Text (Non-operative)</w:t>
        </w:r>
        <w:r>
          <w:tab/>
        </w:r>
        <w:r>
          <w:t>1258</w:t>
        </w:r>
      </w:hyperlink>
    </w:p>
    <w:p>
      <w:pPr>
        <w:pStyle w:val="TOC2"/>
      </w:pPr>
      <w:hyperlink w:anchor="_Toc300001065" w:history="1">
        <w:r>
          <w:t>Article 34.8: Authentic Texts</w:t>
        </w:r>
        <w:r>
          <w:tab/>
        </w:r>
        <w:r>
          <w:t>1258</w:t>
        </w:r>
      </w:hyperlink>
    </w:p>
    <w:p>
      <w:pPr>
        <w:pStyle w:val="TOC2"/>
      </w:pPr>
      <w:hyperlink w:anchor="_Toc300001066" w:history="1">
        <w:r>
          <w:t>CHAPTER 34: CUSMA 2.0 MODERNIZATION PROVISIONS</w:t>
        </w:r>
        <w:r>
          <w:tab/>
        </w:r>
        <w:r>
          <w:t>1258</w:t>
        </w:r>
      </w:hyperlink>
    </w:p>
    <w:p>
      <w:pPr>
        <w:pStyle w:val="TOC2"/>
      </w:pPr>
      <w:hyperlink w:anchor="_Toc300001067" w:history="1">
        <w:r>
          <w:t>Article 34.A: Amendments and the Structured Technical Amendment Procedure (Supplement to Article 34.3)</w:t>
        </w:r>
        <w:r>
          <w:tab/>
        </w:r>
        <w:r>
          <w:t>1258</w:t>
        </w:r>
      </w:hyperlink>
    </w:p>
    <w:p>
      <w:pPr>
        <w:pStyle w:val="TOC2"/>
      </w:pPr>
      <w:hyperlink w:anchor="_Toc300001068" w:history="1">
        <w:r>
          <w:t>Article 34.A.1A: Reserved Sovereignty Matters and Late-Stage Amendment Safeguard</w:t>
        </w:r>
        <w:r>
          <w:tab/>
        </w:r>
        <w:r>
          <w:t>1260</w:t>
        </w:r>
      </w:hyperlink>
    </w:p>
    <w:p>
      <w:pPr>
        <w:pStyle w:val="TOC2"/>
      </w:pPr>
      <w:hyperlink w:anchor="_Toc300001069" w:history="1">
        <w:r>
          <w:t>Article 34.A.1B: Restrictions on Chapter 23-B Amendments</w:t>
        </w:r>
        <w:r>
          <w:tab/>
        </w:r>
        <w:r>
          <w:t>1261</w:t>
        </w:r>
      </w:hyperlink>
    </w:p>
    <w:p>
      <w:pPr>
        <w:pStyle w:val="TOC2"/>
      </w:pPr>
      <w:hyperlink w:anchor="_Toc300001070" w:history="1">
        <w:r>
          <w:t>Article 34.B: Continuous Duration and Periodic Modernization Review (Replacement of Article 34.7)</w:t>
        </w:r>
        <w:r>
          <w:tab/>
        </w:r>
        <w:r>
          <w:t>1261</w:t>
        </w:r>
      </w:hyperlink>
    </w:p>
    <w:p>
      <w:pPr>
        <w:pStyle w:val="TOC2"/>
      </w:pPr>
      <w:hyperlink w:anchor="_Toc300001071" w:history="1">
        <w:r>
          <w:t>Article 34.B.1: Primacy of Human Rights and Worker Protection</w:t>
        </w:r>
        <w:r>
          <w:tab/>
        </w:r>
        <w:r>
          <w:t>1262</w:t>
        </w:r>
      </w:hyperlink>
    </w:p>
    <w:p>
      <w:pPr>
        <w:pStyle w:val="TOC2"/>
      </w:pPr>
      <w:hyperlink w:anchor="_Toc300001072" w:history="1">
        <w:r>
          <w:t>Article 34.C: Consolidation and Legacy Instruments</w:t>
        </w:r>
        <w:r>
          <w:tab/>
        </w:r>
        <w:r>
          <w:t>1262</w:t>
        </w:r>
      </w:hyperlink>
    </w:p>
    <w:p>
      <w:pPr>
        <w:pStyle w:val="TOC2"/>
      </w:pPr>
      <w:hyperlink w:anchor="_Toc300001073" w:history="1">
        <w:r>
          <w:t>Article 34.D: Accession and Future Relations</w:t>
        </w:r>
        <w:r>
          <w:tab/>
        </w:r>
        <w:r>
          <w:t>1263</w:t>
        </w:r>
      </w:hyperlink>
    </w:p>
    <w:p>
      <w:pPr>
        <w:pStyle w:val="TOC2"/>
      </w:pPr>
      <w:hyperlink w:anchor="_Toc300001074" w:history="1">
        <w:r>
          <w:t>Article 34.E: Entry into Force and Transitional Provisions</w:t>
        </w:r>
        <w:r>
          <w:tab/>
        </w:r>
        <w:r>
          <w:t>1263</w:t>
        </w:r>
      </w:hyperlink>
    </w:p>
    <w:p>
      <w:pPr>
        <w:pStyle w:val="TOC2"/>
      </w:pPr>
      <w:hyperlink w:anchor="_Toc300001075" w:history="1">
        <w:r>
          <w:t>ANNEX 34-G: PRESERVED AMENDING PROTOCOL, INTEGRAL INSTRUMENTS, AND IMPLEMENTATION CONTINUITY</w:t>
        </w:r>
        <w:r>
          <w:tab/>
        </w:r>
        <w:r>
          <w:t>1265</w:t>
        </w:r>
      </w:hyperlink>
    </w:p>
    <w:p>
      <w:pPr>
        <w:pStyle w:val="TOC2"/>
      </w:pPr>
      <w:hyperlink w:anchor="_TocR22_18350" w:history="1">
        <w:r>
          <w:t>PART A: 2019 PROTOCOL OF AMENDMENT (CONTROLLING ORIGINAL TEXT)</w:t>
        </w:r>
        <w:r>
          <w:tab/>
        </w:r>
        <w:r>
          <w:t>1265</w:t>
        </w:r>
      </w:hyperlink>
    </w:p>
    <w:p>
      <w:pPr>
        <w:pStyle w:val="TOC2"/>
      </w:pPr>
      <w:hyperlink w:anchor="_Toc300001077" w:history="1">
        <w:r>
          <w:t>ANNEX 31-A UNITED STATES-MEXICO FACILITY-SPECIFIC RAPID RESPONSE LABOR MECHANISM</w:t>
        </w:r>
        <w:r>
          <w:tab/>
        </w:r>
        <w:r>
          <w:t>1271</w:t>
        </w:r>
      </w:hyperlink>
    </w:p>
    <w:p>
      <w:pPr>
        <w:pStyle w:val="TOC2"/>
      </w:pPr>
      <w:hyperlink w:anchor="_Toc300001078" w:history="1">
        <w:r>
          <w:t>TRANSITIONAL STATUS UNDER NAESTMA ARTICLE 31.E</w:t>
        </w:r>
        <w:r>
          <w:tab/>
        </w:r>
        <w:r>
          <w:t>1273</w:t>
        </w:r>
      </w:hyperlink>
    </w:p>
    <w:p>
      <w:pPr>
        <w:pStyle w:val="TOC2"/>
      </w:pPr>
      <w:hyperlink w:anchor="_Toc300001079" w:history="1">
        <w:r>
          <w:t>Article 31-A.1: Scope and Purpose</w:t>
        </w:r>
        <w:r>
          <w:tab/>
        </w:r>
        <w:r>
          <w:t>1273</w:t>
        </w:r>
      </w:hyperlink>
    </w:p>
    <w:p>
      <w:pPr>
        <w:pStyle w:val="TOC2"/>
      </w:pPr>
      <w:hyperlink w:anchor="_Toc300001080" w:history="1">
        <w:r>
          <w:t>Article 31-A.2: Denial of Rights</w:t>
        </w:r>
        <w:r>
          <w:tab/>
        </w:r>
        <w:r>
          <w:t>1274</w:t>
        </w:r>
      </w:hyperlink>
    </w:p>
    <w:p>
      <w:pPr>
        <w:pStyle w:val="TOC2"/>
      </w:pPr>
      <w:hyperlink w:anchor="_Toc300001081" w:history="1">
        <w:r>
          <w:t>Article 31-A.3: Lists of Rapid Response Labor Panelists</w:t>
        </w:r>
        <w:r>
          <w:tab/>
        </w:r>
        <w:r>
          <w:t>1274</w:t>
        </w:r>
      </w:hyperlink>
    </w:p>
    <w:p>
      <w:pPr>
        <w:pStyle w:val="TOC2"/>
      </w:pPr>
      <w:hyperlink w:anchor="_Toc300001082" w:history="1">
        <w:r>
          <w:t>Article 31-A.4: Requests for Review and Remediation</w:t>
        </w:r>
        <w:r>
          <w:tab/>
        </w:r>
        <w:r>
          <w:t>1274</w:t>
        </w:r>
      </w:hyperlink>
    </w:p>
    <w:p>
      <w:pPr>
        <w:pStyle w:val="TOC2"/>
      </w:pPr>
      <w:hyperlink w:anchor="_Toc300001083" w:history="1">
        <w:r>
          <w:t>Article 31-A.5: Requests for Establishment of Rapid Response Labor Panel</w:t>
        </w:r>
        <w:r>
          <w:tab/>
        </w:r>
        <w:r>
          <w:t>1275</w:t>
        </w:r>
      </w:hyperlink>
    </w:p>
    <w:p>
      <w:pPr>
        <w:pStyle w:val="TOC2"/>
      </w:pPr>
      <w:hyperlink w:anchor="_Toc300001084" w:history="1">
        <w:r>
          <w:t>Article 31-A.6: Confirmation of Petition</w:t>
        </w:r>
        <w:r>
          <w:tab/>
        </w:r>
        <w:r>
          <w:t>1275</w:t>
        </w:r>
      </w:hyperlink>
    </w:p>
    <w:p>
      <w:pPr>
        <w:pStyle w:val="TOC2"/>
      </w:pPr>
      <w:hyperlink w:anchor="_Toc300001085" w:history="1">
        <w:r>
          <w:t>Article 31-A.7: Verification</w:t>
        </w:r>
        <w:r>
          <w:tab/>
        </w:r>
        <w:r>
          <w:t>1275</w:t>
        </w:r>
      </w:hyperlink>
    </w:p>
    <w:p>
      <w:pPr>
        <w:pStyle w:val="TOC2"/>
      </w:pPr>
      <w:hyperlink w:anchor="_Toc300001086" w:history="1">
        <w:r>
          <w:t>Article 31-A.8: Panel Process and Determination</w:t>
        </w:r>
        <w:r>
          <w:tab/>
        </w:r>
        <w:r>
          <w:t>1276</w:t>
        </w:r>
      </w:hyperlink>
    </w:p>
    <w:p>
      <w:pPr>
        <w:pStyle w:val="TOC2"/>
      </w:pPr>
      <w:hyperlink w:anchor="_Toc300001087" w:history="1">
        <w:r>
          <w:t>Article 31-A.9: Consultations and Remediation</w:t>
        </w:r>
        <w:r>
          <w:tab/>
        </w:r>
        <w:r>
          <w:t>1277</w:t>
        </w:r>
      </w:hyperlink>
    </w:p>
    <w:p>
      <w:pPr>
        <w:pStyle w:val="TOC2"/>
      </w:pPr>
      <w:hyperlink w:anchor="_Toc300001088" w:history="1">
        <w:r>
          <w:t>Article 31-A.10: Remedies</w:t>
        </w:r>
        <w:r>
          <w:tab/>
        </w:r>
        <w:r>
          <w:t>1277</w:t>
        </w:r>
      </w:hyperlink>
    </w:p>
    <w:p>
      <w:pPr>
        <w:pStyle w:val="TOC2"/>
      </w:pPr>
      <w:hyperlink w:anchor="_Toc300001089" w:history="1">
        <w:r>
          <w:t>Article 31-A.11: Good Faith Use of the Mechanism</w:t>
        </w:r>
        <w:r>
          <w:tab/>
        </w:r>
        <w:r>
          <w:t>1278</w:t>
        </w:r>
      </w:hyperlink>
    </w:p>
    <w:p>
      <w:pPr>
        <w:pStyle w:val="TOC2"/>
      </w:pPr>
      <w:hyperlink w:anchor="_Toc300001090" w:history="1">
        <w:r>
          <w:t>Article 31-A.12: Expansion of Claims</w:t>
        </w:r>
        <w:r>
          <w:tab/>
        </w:r>
        <w:r>
          <w:t>1278</w:t>
        </w:r>
      </w:hyperlink>
    </w:p>
    <w:p>
      <w:pPr>
        <w:pStyle w:val="TOC2"/>
      </w:pPr>
      <w:hyperlink w:anchor="_Toc300001091" w:history="1">
        <w:r>
          <w:t>Article 31-A.13: Review of Priority Sectors</w:t>
        </w:r>
        <w:r>
          <w:tab/>
        </w:r>
        <w:r>
          <w:t>1278</w:t>
        </w:r>
      </w:hyperlink>
    </w:p>
    <w:p>
      <w:pPr>
        <w:pStyle w:val="TOC2"/>
      </w:pPr>
      <w:hyperlink w:anchor="_Toc300001092" w:history="1">
        <w:r>
          <w:t>Article 31-A.14: Cooperation to Promote Compliance</w:t>
        </w:r>
        <w:r>
          <w:tab/>
        </w:r>
        <w:r>
          <w:t>1278</w:t>
        </w:r>
      </w:hyperlink>
    </w:p>
    <w:p>
      <w:pPr>
        <w:pStyle w:val="TOC2"/>
      </w:pPr>
      <w:hyperlink w:anchor="_Toc300001093" w:history="1">
        <w:r>
          <w:t>Article 31-A.15: Definitions</w:t>
        </w:r>
        <w:r>
          <w:tab/>
        </w:r>
        <w:r>
          <w:t>1278</w:t>
        </w:r>
      </w:hyperlink>
    </w:p>
    <w:p>
      <w:pPr>
        <w:pStyle w:val="TOC2"/>
      </w:pPr>
      <w:hyperlink w:anchor="_Toc300001094" w:history="1">
        <w:r>
          <w:t>ANNEX 31-B CANADA-MEXICO FACILITY-SPECIFIC RAPID RESPONSE LABOR MECHANISM</w:t>
        </w:r>
        <w:r>
          <w:tab/>
        </w:r>
        <w:r>
          <w:t>1279</w:t>
        </w:r>
      </w:hyperlink>
    </w:p>
    <w:p>
      <w:pPr>
        <w:pStyle w:val="TOC2"/>
      </w:pPr>
      <w:hyperlink w:anchor="_Toc300001095" w:history="1">
        <w:r>
          <w:t>TRANSITIONAL STATUS UNDER NAESTMA ARTICLE 31.E</w:t>
        </w:r>
        <w:r>
          <w:tab/>
        </w:r>
        <w:r>
          <w:t>1279</w:t>
        </w:r>
      </w:hyperlink>
    </w:p>
    <w:p>
      <w:pPr>
        <w:pStyle w:val="TOC2"/>
      </w:pPr>
      <w:hyperlink w:anchor="_Toc300001096" w:history="1">
        <w:r>
          <w:t>Article 31-B.1: Scope and Purpose</w:t>
        </w:r>
        <w:r>
          <w:tab/>
        </w:r>
        <w:r>
          <w:t>1279</w:t>
        </w:r>
      </w:hyperlink>
    </w:p>
    <w:p>
      <w:pPr>
        <w:pStyle w:val="TOC2"/>
      </w:pPr>
      <w:hyperlink w:anchor="_Toc300001097" w:history="1">
        <w:r>
          <w:t>Article 31-B.2: Denial of Rights</w:t>
        </w:r>
        <w:r>
          <w:tab/>
        </w:r>
        <w:r>
          <w:t>1279</w:t>
        </w:r>
      </w:hyperlink>
    </w:p>
    <w:p>
      <w:pPr>
        <w:pStyle w:val="TOC2"/>
      </w:pPr>
      <w:hyperlink w:anchor="_Toc300001098" w:history="1">
        <w:r>
          <w:t>Article 31-B.3: Lists of Rapid Response Labor Panelists</w:t>
        </w:r>
        <w:r>
          <w:tab/>
        </w:r>
        <w:r>
          <w:t>1279</w:t>
        </w:r>
      </w:hyperlink>
    </w:p>
    <w:p>
      <w:pPr>
        <w:pStyle w:val="TOC2"/>
      </w:pPr>
      <w:hyperlink w:anchor="_Toc300001099" w:history="1">
        <w:r>
          <w:t>Article 31-B.4: Requests for Review and Remediation</w:t>
        </w:r>
        <w:r>
          <w:tab/>
        </w:r>
        <w:r>
          <w:t>1280</w:t>
        </w:r>
      </w:hyperlink>
    </w:p>
    <w:p>
      <w:pPr>
        <w:pStyle w:val="TOC2"/>
      </w:pPr>
      <w:hyperlink w:anchor="_Toc300001100" w:history="1">
        <w:r>
          <w:t>Article 31-B.5: Requests for Establishment of Rapid Response Labor Panel</w:t>
        </w:r>
        <w:r>
          <w:tab/>
        </w:r>
        <w:r>
          <w:t>1280</w:t>
        </w:r>
      </w:hyperlink>
    </w:p>
    <w:p>
      <w:pPr>
        <w:pStyle w:val="TOC2"/>
      </w:pPr>
      <w:hyperlink w:anchor="_Toc300001101" w:history="1">
        <w:r>
          <w:t>Article 31-B.6: Confirmation of Petition</w:t>
        </w:r>
        <w:r>
          <w:tab/>
        </w:r>
        <w:r>
          <w:t>1281</w:t>
        </w:r>
      </w:hyperlink>
    </w:p>
    <w:p>
      <w:pPr>
        <w:pStyle w:val="TOC2"/>
      </w:pPr>
      <w:hyperlink w:anchor="_Toc300001102" w:history="1">
        <w:r>
          <w:t>Article 31-B.7: Verification</w:t>
        </w:r>
        <w:r>
          <w:tab/>
        </w:r>
        <w:r>
          <w:t>1281</w:t>
        </w:r>
      </w:hyperlink>
    </w:p>
    <w:p>
      <w:pPr>
        <w:pStyle w:val="TOC2"/>
      </w:pPr>
      <w:hyperlink w:anchor="_Toc300001103" w:history="1">
        <w:r>
          <w:t>Article 31-B.8: Panel Process and Determination</w:t>
        </w:r>
        <w:r>
          <w:tab/>
        </w:r>
        <w:r>
          <w:t>1282</w:t>
        </w:r>
      </w:hyperlink>
    </w:p>
    <w:p>
      <w:pPr>
        <w:pStyle w:val="TOC2"/>
      </w:pPr>
      <w:hyperlink w:anchor="_Toc300001104" w:history="1">
        <w:r>
          <w:t>Article 31-B.9: Consultations and Remediation</w:t>
        </w:r>
        <w:r>
          <w:tab/>
        </w:r>
        <w:r>
          <w:t>1283</w:t>
        </w:r>
      </w:hyperlink>
    </w:p>
    <w:p>
      <w:pPr>
        <w:pStyle w:val="TOC2"/>
      </w:pPr>
      <w:hyperlink w:anchor="_Toc300001105" w:history="1">
        <w:r>
          <w:t>Article 31-B.10: Remedies</w:t>
        </w:r>
        <w:r>
          <w:tab/>
        </w:r>
        <w:r>
          <w:t>1283</w:t>
        </w:r>
      </w:hyperlink>
    </w:p>
    <w:p>
      <w:pPr>
        <w:pStyle w:val="TOC2"/>
      </w:pPr>
      <w:hyperlink w:anchor="_Toc300001106" w:history="1">
        <w:r>
          <w:t>Article 31-B.11: Good Faith Use of the Mechanism</w:t>
        </w:r>
        <w:r>
          <w:tab/>
        </w:r>
        <w:r>
          <w:t>1284</w:t>
        </w:r>
      </w:hyperlink>
    </w:p>
    <w:p>
      <w:pPr>
        <w:pStyle w:val="TOC2"/>
      </w:pPr>
      <w:hyperlink w:anchor="_Toc300001107" w:history="1">
        <w:r>
          <w:t>Article 31-B.12: Expansion of Claims</w:t>
        </w:r>
        <w:r>
          <w:tab/>
        </w:r>
        <w:r>
          <w:t>1284</w:t>
        </w:r>
      </w:hyperlink>
    </w:p>
    <w:p>
      <w:pPr>
        <w:pStyle w:val="TOC2"/>
      </w:pPr>
      <w:hyperlink w:anchor="_Toc300001108" w:history="1">
        <w:r>
          <w:t>Article 31-B.13: Review of Priority Sectors</w:t>
        </w:r>
        <w:r>
          <w:tab/>
        </w:r>
        <w:r>
          <w:t>1284</w:t>
        </w:r>
      </w:hyperlink>
    </w:p>
    <w:p>
      <w:pPr>
        <w:pStyle w:val="TOC2"/>
      </w:pPr>
      <w:hyperlink w:anchor="_Toc300001109" w:history="1">
        <w:r>
          <w:t>Article 31-B.14: Cooperation to Promote Compliance</w:t>
        </w:r>
        <w:r>
          <w:tab/>
        </w:r>
        <w:r>
          <w:t>1284</w:t>
        </w:r>
      </w:hyperlink>
    </w:p>
    <w:p>
      <w:pPr>
        <w:pStyle w:val="TOC2"/>
      </w:pPr>
      <w:hyperlink w:anchor="_Toc300001110" w:history="1">
        <w:r>
          <w:t>Article 31-B.15: Definitions</w:t>
        </w:r>
        <w:r>
          <w:tab/>
        </w:r>
        <w:r>
          <w:t>1284</w:t>
        </w:r>
      </w:hyperlink>
    </w:p>
    <w:p>
      <w:pPr>
        <w:pStyle w:val="TOC2"/>
      </w:pPr>
      <w:hyperlink w:anchor="_Toc300001111" w:history="1">
        <w:r>
          <w:t>PART B: CANADA–UNITED STATES ENERGY REGULATORY MEASURES AND REGULATORY TRANSPARENCY</w:t>
        </w:r>
        <w:r>
          <w:tab/>
        </w:r>
        <w:r>
          <w:t>1286</w:t>
        </w:r>
      </w:hyperlink>
    </w:p>
    <w:p>
      <w:pPr>
        <w:pStyle w:val="TOC3"/>
      </w:pPr>
      <w:hyperlink w:anchor="_Toc300001112" w:history="1">
        <w:r>
          <w:t>Article 1: Definitions</w:t>
        </w:r>
        <w:r>
          <w:tab/>
        </w:r>
        <w:r>
          <w:t>1287</w:t>
        </w:r>
      </w:hyperlink>
    </w:p>
    <w:p>
      <w:pPr>
        <w:pStyle w:val="TOC3"/>
      </w:pPr>
      <w:hyperlink w:anchor="_Toc300001113" w:history="1">
        <w:r>
          <w:t>Article 2: Scope</w:t>
        </w:r>
        <w:r>
          <w:tab/>
        </w:r>
        <w:r>
          <w:t>1287</w:t>
        </w:r>
      </w:hyperlink>
    </w:p>
    <w:p>
      <w:pPr>
        <w:pStyle w:val="TOC3"/>
      </w:pPr>
      <w:hyperlink w:anchor="_Toc300001114" w:history="1">
        <w:r>
          <w:t>Article 3: Cooperation</w:t>
        </w:r>
        <w:r>
          <w:tab/>
        </w:r>
        <w:r>
          <w:t>1287</w:t>
        </w:r>
      </w:hyperlink>
    </w:p>
    <w:p>
      <w:pPr>
        <w:pStyle w:val="TOC3"/>
      </w:pPr>
      <w:hyperlink w:anchor="_Toc300001115" w:history="1">
        <w:r>
          <w:t>Article 4: Energy Regulatory Measures and Regulatory Transparency</w:t>
        </w:r>
        <w:r>
          <w:tab/>
        </w:r>
        <w:r>
          <w:t>1287</w:t>
        </w:r>
      </w:hyperlink>
    </w:p>
    <w:p>
      <w:pPr>
        <w:pStyle w:val="TOC3"/>
      </w:pPr>
      <w:hyperlink w:anchor="_Toc300001116" w:history="1">
        <w:r>
          <w:t>Article 5: Access to Electric Transmission Facilities and Pipeline Networks</w:t>
        </w:r>
        <w:r>
          <w:tab/>
        </w:r>
        <w:r>
          <w:t>1288</w:t>
        </w:r>
      </w:hyperlink>
    </w:p>
    <w:p>
      <w:pPr>
        <w:pStyle w:val="TOC3"/>
      </w:pPr>
      <w:hyperlink w:anchor="_Toc300001117" w:history="1">
        <w:r>
          <w:t>Article 6: Relation to other Chapters</w:t>
        </w:r>
        <w:r>
          <w:tab/>
        </w:r>
        <w:r>
          <w:t>1288</w:t>
        </w:r>
      </w:hyperlink>
    </w:p>
    <w:p>
      <w:pPr>
        <w:pStyle w:val="TOC2"/>
      </w:pPr>
      <w:hyperlink w:anchor="_Toc300001118" w:history="1">
        <w:r>
          <w:t>PART C: CANADA–UNITED STATES NATURAL WATER RESOURCES UNDERSTANDING</w:t>
        </w:r>
        <w:r>
          <w:tab/>
        </w:r>
        <w:r>
          <w:t>1288</w:t>
        </w:r>
      </w:hyperlink>
    </w:p>
    <w:p>
      <w:pPr>
        <w:pStyle w:val="TOC2"/>
      </w:pPr>
      <w:hyperlink w:anchor="_Toc300001119" w:history="1">
        <w:r>
          <w:t>PART D: CANADA–UNITED STATES 2004 RESEARCH AND DEVELOPMENT EXPENDITURES UNDERSTANDING</w:t>
        </w:r>
        <w:r>
          <w:tab/>
        </w:r>
        <w:r>
          <w:t>1289</w:t>
        </w:r>
      </w:hyperlink>
    </w:p>
    <w:p>
      <w:pPr>
        <w:pStyle w:val="TOC2"/>
      </w:pPr>
      <w:hyperlink w:anchor="_Toc300001120" w:history="1">
        <w:r>
          <w:t>PART E: AGREEMENT ON ENVIRONMENTAL COOPERATION (COMPANION AGREEMENT; REPRODUCED FOR OPERATIONAL COMPLETENESS)</w:t>
        </w:r>
        <w:r>
          <w:tab/>
        </w:r>
        <w:r>
          <w:t>1289</w:t>
        </w:r>
      </w:hyperlink>
    </w:p>
    <w:p>
      <w:pPr>
        <w:pStyle w:val="TOC3"/>
      </w:pPr>
      <w:hyperlink w:anchor="_Toc300001121" w:history="1">
        <w:r>
          <w:t>PART ONE: OBJECTIVES</w:t>
        </w:r>
        <w:r>
          <w:tab/>
        </w:r>
        <w:r>
          <w:t>1290</w:t>
        </w:r>
      </w:hyperlink>
    </w:p>
    <w:p>
      <w:pPr>
        <w:pStyle w:val="TOC3"/>
      </w:pPr>
      <w:hyperlink w:anchor="_Toc300001122" w:history="1">
        <w:r>
          <w:t>Article 1: Objectives</w:t>
        </w:r>
        <w:r>
          <w:tab/>
        </w:r>
        <w:r>
          <w:t>1290</w:t>
        </w:r>
      </w:hyperlink>
    </w:p>
    <w:p>
      <w:pPr>
        <w:pStyle w:val="TOC3"/>
      </w:pPr>
      <w:hyperlink w:anchor="_Toc300001123" w:history="1">
        <w:r>
          <w:t>PART TWO: COMMISSION FOR ENVIRONMENTAL COOPERATION</w:t>
        </w:r>
        <w:r>
          <w:tab/>
        </w:r>
        <w:r>
          <w:t>1290</w:t>
        </w:r>
      </w:hyperlink>
    </w:p>
    <w:p>
      <w:pPr>
        <w:pStyle w:val="TOC3"/>
      </w:pPr>
      <w:hyperlink w:anchor="_Toc300001124" w:history="1">
        <w:r>
          <w:t>Article 2: The Commission for Environmental Cooperation</w:t>
        </w:r>
        <w:r>
          <w:tab/>
        </w:r>
        <w:r>
          <w:t>1290</w:t>
        </w:r>
      </w:hyperlink>
    </w:p>
    <w:p>
      <w:pPr>
        <w:pStyle w:val="TOC3"/>
      </w:pPr>
      <w:hyperlink w:anchor="_Toc300001125" w:history="1">
        <w:r>
          <w:t>Article 3: Council Structures and Procedures</w:t>
        </w:r>
        <w:r>
          <w:tab/>
        </w:r>
        <w:r>
          <w:t>1290</w:t>
        </w:r>
      </w:hyperlink>
    </w:p>
    <w:p>
      <w:pPr>
        <w:pStyle w:val="TOC3"/>
      </w:pPr>
      <w:hyperlink w:anchor="_Toc300001126" w:history="1">
        <w:r>
          <w:t>Article 4: Council Functions</w:t>
        </w:r>
        <w:r>
          <w:tab/>
        </w:r>
        <w:r>
          <w:t>1291</w:t>
        </w:r>
      </w:hyperlink>
    </w:p>
    <w:p>
      <w:pPr>
        <w:pStyle w:val="TOC3"/>
      </w:pPr>
      <w:hyperlink w:anchor="_Toc300001127" w:history="1">
        <w:r>
          <w:t>Article 5: Secretariat Structure and Procedures</w:t>
        </w:r>
        <w:r>
          <w:tab/>
        </w:r>
        <w:r>
          <w:t>1292</w:t>
        </w:r>
      </w:hyperlink>
    </w:p>
    <w:p>
      <w:pPr>
        <w:pStyle w:val="TOC3"/>
      </w:pPr>
      <w:hyperlink w:anchor="_Toc300001128" w:history="1">
        <w:r>
          <w:t>Article 6: The Joint Public Advisory Committee</w:t>
        </w:r>
        <w:r>
          <w:tab/>
        </w:r>
        <w:r>
          <w:t>1292</w:t>
        </w:r>
      </w:hyperlink>
    </w:p>
    <w:p>
      <w:pPr>
        <w:pStyle w:val="TOC3"/>
      </w:pPr>
      <w:hyperlink w:anchor="_Toc300001129" w:history="1">
        <w:r>
          <w:t>Article 7: Official Languages</w:t>
        </w:r>
        <w:r>
          <w:tab/>
        </w:r>
        <w:r>
          <w:t>1293</w:t>
        </w:r>
      </w:hyperlink>
    </w:p>
    <w:p>
      <w:pPr>
        <w:pStyle w:val="TOC3"/>
      </w:pPr>
      <w:hyperlink w:anchor="_Toc300001130" w:history="1">
        <w:r>
          <w:t>Article 8: Annual Report of the Commission</w:t>
        </w:r>
        <w:r>
          <w:tab/>
        </w:r>
        <w:r>
          <w:t>1293</w:t>
        </w:r>
      </w:hyperlink>
    </w:p>
    <w:p>
      <w:pPr>
        <w:pStyle w:val="TOC3"/>
      </w:pPr>
      <w:hyperlink w:anchor="_Toc300001131" w:history="1">
        <w:r>
          <w:t>PART THREE: COOPERATION</w:t>
        </w:r>
        <w:r>
          <w:tab/>
        </w:r>
        <w:r>
          <w:t>1293</w:t>
        </w:r>
      </w:hyperlink>
    </w:p>
    <w:p>
      <w:pPr>
        <w:pStyle w:val="TOC3"/>
      </w:pPr>
      <w:hyperlink w:anchor="_Toc300001132" w:history="1">
        <w:r>
          <w:t>Article 9: Modalities and Forms of Cooperation</w:t>
        </w:r>
        <w:r>
          <w:tab/>
        </w:r>
        <w:r>
          <w:t>1293</w:t>
        </w:r>
      </w:hyperlink>
    </w:p>
    <w:p>
      <w:pPr>
        <w:pStyle w:val="TOC3"/>
      </w:pPr>
      <w:hyperlink w:anchor="_Toc300001133" w:history="1">
        <w:r>
          <w:t>Article 10: Work Program</w:t>
        </w:r>
        <w:r>
          <w:tab/>
        </w:r>
        <w:r>
          <w:t>1293</w:t>
        </w:r>
      </w:hyperlink>
    </w:p>
    <w:p>
      <w:pPr>
        <w:pStyle w:val="TOC3"/>
      </w:pPr>
      <w:hyperlink w:anchor="_Toc300001134" w:history="1">
        <w:r>
          <w:t>Article 11: Opportunities for Public Participation</w:t>
        </w:r>
        <w:r>
          <w:tab/>
        </w:r>
        <w:r>
          <w:t>1295</w:t>
        </w:r>
      </w:hyperlink>
    </w:p>
    <w:p>
      <w:pPr>
        <w:pStyle w:val="TOC3"/>
      </w:pPr>
      <w:hyperlink w:anchor="_Toc300001135" w:history="1">
        <w:r>
          <w:t>PART FOUR: GENERAL PROVISIONS</w:t>
        </w:r>
        <w:r>
          <w:tab/>
        </w:r>
        <w:r>
          <w:t>1296</w:t>
        </w:r>
      </w:hyperlink>
    </w:p>
    <w:p>
      <w:pPr>
        <w:pStyle w:val="TOC3"/>
      </w:pPr>
      <w:hyperlink w:anchor="_Toc300001136" w:history="1">
        <w:r>
          <w:t>Article 12: Resources</w:t>
        </w:r>
        <w:r>
          <w:tab/>
        </w:r>
        <w:r>
          <w:t>1296</w:t>
        </w:r>
      </w:hyperlink>
    </w:p>
    <w:p>
      <w:pPr>
        <w:pStyle w:val="TOC3"/>
      </w:pPr>
      <w:hyperlink w:anchor="_Toc300001137" w:history="1">
        <w:r>
          <w:t>Article 13: Equipment and Personnel</w:t>
        </w:r>
        <w:r>
          <w:tab/>
        </w:r>
        <w:r>
          <w:t>1296</w:t>
        </w:r>
      </w:hyperlink>
    </w:p>
    <w:p>
      <w:pPr>
        <w:pStyle w:val="TOC3"/>
      </w:pPr>
      <w:hyperlink w:anchor="_Toc300001138" w:history="1">
        <w:r>
          <w:t>Article 14: Provision of Information for Factual Records</w:t>
        </w:r>
        <w:r>
          <w:tab/>
        </w:r>
        <w:r>
          <w:t>1296</w:t>
        </w:r>
      </w:hyperlink>
    </w:p>
    <w:p>
      <w:pPr>
        <w:pStyle w:val="TOC3"/>
      </w:pPr>
      <w:hyperlink w:anchor="_Toc300001139" w:history="1">
        <w:r>
          <w:t>Article 15: Technical and Confidential Information and Intellectual Property</w:t>
        </w:r>
        <w:r>
          <w:tab/>
        </w:r>
        <w:r>
          <w:t>1296</w:t>
        </w:r>
      </w:hyperlink>
    </w:p>
    <w:p>
      <w:pPr>
        <w:pStyle w:val="TOC3"/>
      </w:pPr>
      <w:hyperlink w:anchor="_Toc300001140" w:history="1">
        <w:r>
          <w:t>Article 16. Protection of Information</w:t>
        </w:r>
        <w:r>
          <w:tab/>
        </w:r>
        <w:r>
          <w:t>1296</w:t>
        </w:r>
      </w:hyperlink>
    </w:p>
    <w:p>
      <w:pPr>
        <w:pStyle w:val="TOC3"/>
      </w:pPr>
      <w:hyperlink w:anchor="_Toc300001141" w:history="1">
        <w:r>
          <w:t>Article 17: Entry into Force, Withdrawal, Amendments, Accession</w:t>
        </w:r>
        <w:r>
          <w:tab/>
        </w:r>
        <w:r>
          <w:t>1297</w:t>
        </w:r>
      </w:hyperlink>
    </w:p>
    <w:p>
      <w:pPr>
        <w:pStyle w:val="TOC2"/>
      </w:pPr>
      <w:hyperlink w:anchor="_Toc300001142" w:history="1">
        <w:r>
          <w:t>PART F: UNIFORM REGULATIONS AND IMPLEMENTATION CONTINUITY</w:t>
        </w:r>
        <w:r>
          <w:tab/>
        </w:r>
        <w:r>
          <w:t>1298</w:t>
        </w:r>
      </w:hyperlink>
    </w:p>
    <w:p>
      <w:pPr>
        <w:pStyle w:val="TOC2"/>
      </w:pPr>
      <w:hyperlink w:anchor="_Toc300001143" w:history="1">
        <w:r>
          <w:t>PART G: STATUS OF SUPERSEDED, SPENT, AND HISTORICAL ORIGINAL INSTRUMENTS</w:t>
        </w:r>
        <w:r>
          <w:tab/>
        </w:r>
        <w:r>
          <w:t>1298</w:t>
        </w:r>
      </w:hyperlink>
    </w:p>
    <w:p>
      <w:pPr>
        <w:pStyle w:val="TOC2"/>
      </w:pPr>
      <w:hyperlink w:anchor="_Toc300001144" w:history="1">
        <w:r>
          <w:t>ANNEX 34-H: ADMINISTRATIVE CONTINUITY AND DEFAULT PROCEDURES</w:t>
        </w:r>
        <w:r>
          <w:tab/>
        </w:r>
        <w:r>
          <w:t>1298</w:t>
        </w:r>
      </w:hyperlink>
    </w:p>
    <w:p>
      <w:pPr>
        <w:pStyle w:val="TOC2"/>
      </w:pPr>
      <w:hyperlink w:anchor="_Toc300001145" w:history="1">
        <w:r>
          <w:t>Article 34.F: Orderly Withdrawal, Public Notice, and Reliance Transition</w:t>
        </w:r>
        <w:r>
          <w:tab/>
        </w:r>
        <w:r>
          <w:t>1301</w:t>
        </w:r>
      </w:hyperlink>
    </w:p>
    <w:p>
      <w:pPr>
        <w:pStyle w:val="TOC2"/>
      </w:pPr>
      <w:hyperlink w:anchor="_Toc300001146" w:history="1">
        <w:r>
          <w:t>Article 34.G: Withdrawal Notice Neutrality and Anti-Ultimatum Rule</w:t>
        </w:r>
        <w:r>
          <w:tab/>
        </w:r>
        <w:r>
          <w:t>1301</w:t>
        </w:r>
      </w:hyperlink>
    </w:p>
    <w:p>
      <w:pPr>
        <w:pStyle w:val="TOC2"/>
      </w:pPr>
      <w:hyperlink w:anchor="_Toc300001147" w:history="1">
        <w:r>
          <w:t>Article 34.H: Notice Cycling, Formal Status, and Market Integrity</w:t>
        </w:r>
        <w:r>
          <w:tab/>
        </w:r>
        <w:r>
          <w:t>1302</w:t>
        </w:r>
      </w:hyperlink>
    </w:p>
    <w:p>
      <w:pPr>
        <w:pStyle w:val="TOC2"/>
      </w:pPr>
      <w:hyperlink w:anchor="_Toc300001148" w:history="1">
        <w:r>
          <w:t>Article 34.I: Whole-Treaty Exit and Trilateral Amendment Integrity</w:t>
        </w:r>
        <w:r>
          <w:tab/>
        </w:r>
        <w:r>
          <w:t>1303</w:t>
        </w:r>
      </w:hyperlink>
    </w:p>
    <w:p>
      <w:pPr>
        <w:pStyle w:val="TOC2"/>
      </w:pPr>
      <w:hyperlink w:anchor="_Toc300001149" w:history="1">
        <w:r>
          <w:t>Article 34.J: Full Performance, Survival Jurisdiction, and Accrued Obligations</w:t>
        </w:r>
        <w:r>
          <w:tab/>
        </w:r>
        <w:r>
          <w:t>1303</w:t>
        </w:r>
      </w:hyperlink>
    </w:p>
    <w:p>
      <w:pPr>
        <w:pStyle w:val="TOC2"/>
      </w:pPr>
      <w:hyperlink w:anchor="_Toc300001150" w:history="1">
        <w:r>
          <w:t>Article 34.K: Withdrawal Record Hold and Reliance Administration</w:t>
        </w:r>
        <w:r>
          <w:tab/>
        </w:r>
        <w:r>
          <w:t>1304</w:t>
        </w:r>
      </w:hyperlink>
    </w:p>
    <w:p>
      <w:pPr>
        <w:pStyle w:val="TOC2"/>
      </w:pPr>
      <w:hyperlink w:anchor="_Toc300001151" w:history="1">
        <w:r>
          <w:t>Article 34.L: Settlement Finality and No Payment for Existing Performance</w:t>
        </w:r>
        <w:r>
          <w:tab/>
        </w:r>
        <w:r>
          <w:t>1304</w:t>
        </w:r>
      </w:hyperlink>
    </w:p>
    <w:p>
      <w:pPr>
        <w:pStyle w:val="TOC2"/>
      </w:pPr>
      <w:hyperlink w:anchor="_Toc300001152" w:history="1">
        <w:r>
          <w:t>Article 34.M: Reaccession after Withdrawal</w:t>
        </w:r>
        <w:r>
          <w:tab/>
        </w:r>
        <w:r>
          <w:t>1305</w:t>
        </w:r>
      </w:hyperlink>
    </w:p>
    <w:p>
      <w:pPr>
        <w:pStyle w:val="TOC2"/>
      </w:pPr>
      <w:hyperlink w:anchor="_Toc300001153" w:history="1">
        <w:r>
          <w:t>Article 34.N: Domestic Legislative Approval of Withdrawal</w:t>
        </w:r>
        <w:r>
          <w:tab/>
        </w:r>
        <w:r>
          <w:t>1305</w:t>
        </w:r>
      </w:hyperlink>
    </w:p>
    <w:p>
      <w:pPr>
        <w:pStyle w:val="TOC2"/>
      </w:pPr>
      <w:hyperlink w:anchor="_Toc300001154" w:history="1">
        <w:r>
          <w:t>Article 34.O: No Constructive Withdrawal or Functional Evasion</w:t>
        </w:r>
        <w:r>
          <w:tab/>
        </w:r>
        <w:r>
          <w:t>1306</w:t>
        </w:r>
      </w:hyperlink>
    </w:p>
    <w:p>
      <w:pPr>
        <w:pStyle w:val="TOC2"/>
      </w:pPr>
      <w:hyperlink w:anchor="_Toc300001155" w:history="1">
        <w:r>
          <w:t>Article 34.P: Severability and Constitutional Savings</w:t>
        </w:r>
        <w:r>
          <w:tab/>
        </w:r>
        <w:r>
          <w:t>1307</w:t>
        </w:r>
      </w:hyperlink>
    </w:p>
    <w:p>
      <w:pPr>
        <w:pStyle w:val="TOC2"/>
      </w:pPr>
      <w:hyperlink w:anchor="_Toc300001156" w:history="1">
        <w:r>
          <w:t>Article 34.Q: Domestic Sovereignty and Limits of Treaty Bodies</w:t>
        </w:r>
        <w:r>
          <w:tab/>
        </w:r>
        <w:r>
          <w:t>1307</w:t>
        </w:r>
      </w:hyperlink>
    </w:p>
    <w:p>
      <w:pPr>
        <w:pStyle w:val="TOC2"/>
      </w:pPr>
      <w:hyperlink w:anchor="_Toc300001157" w:history="1">
        <w:r>
          <w:t>Article 34.A.1C: Living Amendment Ledger</w:t>
        </w:r>
        <w:r>
          <w:tab/>
        </w:r>
        <w:r>
          <w:t>1308</w:t>
        </w:r>
      </w:hyperlink>
    </w:p>
    <w:p>
      <w:pPr>
        <w:pStyle w:val="TOC2"/>
      </w:pPr>
      <w:hyperlink w:anchor="_Toc300001873" w:history="1">
        <w:r>
          <w:t>ANNEX 34-I: CUSMA OPERATIONAL MANUAL AND TIERED INSTRUMENT HIERARCHY</w:t>
        </w:r>
        <w:r>
          <w:tab/>
        </w:r>
        <w:r>
          <w:t>1308</w:t>
        </w:r>
      </w:hyperlink>
    </w:p>
    <w:p>
      <w:pPr>
        <w:pStyle w:val="TOC1"/>
      </w:pPr>
      <w:hyperlink w:anchor="_Toc300001158" w:history="1">
        <w:r>
          <w:t>ANNEX 34-J: FINAL SETTLEMENT ARCHITECTURE AND ADOPTION FRAMEWORK</w:t>
        </w:r>
        <w:r>
          <w:tab/>
        </w:r>
        <w:r>
          <w:t>1310</w:t>
        </w:r>
      </w:hyperlink>
    </w:p>
    <w:p>
      <w:pPr>
        <w:pStyle w:val="TOC2"/>
      </w:pPr>
      <w:hyperlink w:anchor="_Toc300001159" w:history="1">
        <w:r>
          <w:t>FS-00.1: Package Identity, Purpose, and Scope</w:t>
        </w:r>
        <w:r>
          <w:tab/>
        </w:r>
        <w:r>
          <w:t>1310</w:t>
        </w:r>
      </w:hyperlink>
    </w:p>
    <w:p>
      <w:pPr>
        <w:pStyle w:val="TOC2"/>
      </w:pPr>
      <w:hyperlink w:anchor="_Toc300001160" w:history="1">
        <w:r>
          <w:t>FS-00.2: Authority, Hierarchy, and Conflict Discipline</w:t>
        </w:r>
        <w:r>
          <w:tab/>
        </w:r>
        <w:r>
          <w:t>1311</w:t>
        </w:r>
      </w:hyperlink>
    </w:p>
    <w:p>
      <w:pPr>
        <w:pStyle w:val="TOC2"/>
      </w:pPr>
      <w:hyperlink w:anchor="_Toc300001161" w:history="1">
        <w:r>
          <w:t>FS-00.3: Adoption, Participation, and Reciprocity</w:t>
        </w:r>
        <w:r>
          <w:tab/>
        </w:r>
        <w:r>
          <w:t>1313</w:t>
        </w:r>
      </w:hyperlink>
    </w:p>
    <w:p>
      <w:pPr>
        <w:pStyle w:val="TOC2"/>
      </w:pPr>
      <w:hyperlink w:anchor="_Toc300001162" w:history="1">
        <w:r>
          <w:t>FS-00.4: Schedule Architecture, Identifiers, and Evidentiary Status</w:t>
        </w:r>
        <w:r>
          <w:tab/>
        </w:r>
        <w:r>
          <w:t>1314</w:t>
        </w:r>
      </w:hyperlink>
    </w:p>
    <w:p>
      <w:pPr>
        <w:pStyle w:val="TOC2"/>
      </w:pPr>
      <w:hyperlink w:anchor="_Toc300001163" w:history="1">
        <w:r>
          <w:t>FS-00.5: Cross-Module Implementation, Verification, and Restoration</w:t>
        </w:r>
        <w:r>
          <w:tab/>
        </w:r>
        <w:r>
          <w:t>1315</w:t>
        </w:r>
      </w:hyperlink>
    </w:p>
    <w:p>
      <w:pPr>
        <w:pStyle w:val="TOC2"/>
      </w:pPr>
      <w:hyperlink w:anchor="_Toc300001164" w:history="1">
        <w:r>
          <w:t>FS-00.6: Review, Amendment, Completion, and Closure</w:t>
        </w:r>
        <w:r>
          <w:tab/>
        </w:r>
        <w:r>
          <w:t>1317</w:t>
        </w:r>
      </w:hyperlink>
    </w:p>
    <w:p>
      <w:pPr>
        <w:pStyle w:val="TOC2"/>
      </w:pPr>
      <w:hyperlink w:anchor="_Toc300001165" w:history="1">
        <w:r>
          <w:t>Schedule FS-00-A: Final Settlement Module Adoption and Participation Register</w:t>
        </w:r>
        <w:r>
          <w:tab/>
        </w:r>
        <w:r>
          <w:t>1318</w:t>
        </w:r>
      </w:hyperlink>
    </w:p>
    <w:p>
      <w:pPr>
        <w:pStyle w:val="TOC2"/>
      </w:pPr>
      <w:hyperlink w:anchor="_Toc300001166" w:history="1">
        <w:r>
          <w:t>Schedule FS-00-B: Cross-Module Authority and Interface Register</w:t>
        </w:r>
        <w:r>
          <w:tab/>
        </w:r>
        <w:r>
          <w:t>1319</w:t>
        </w:r>
      </w:hyperlink>
    </w:p>
    <w:p>
      <w:pPr>
        <w:pStyle w:val="TOC2"/>
      </w:pPr>
      <w:hyperlink w:anchor="_Toc300001167" w:history="1">
        <w:r>
          <w:t>Schedule FS-00-C: Final Settlement Closure Record</w:t>
        </w:r>
        <w:r>
          <w:tab/>
        </w:r>
        <w:r>
          <w:t>1320</w:t>
        </w:r>
      </w:hyperlink>
    </w:p>
    <w:p>
      <w:pPr>
        <w:pStyle w:val="TOC1"/>
      </w:pPr>
      <w:hyperlink w:anchor="_Toc300001168" w:history="1">
        <w:r>
          <w:t>CHAPTER 35 TREATY INTEGRITY AND THE PROPORTIONAL TRADE ADJUSTMENT MECHANISM</w:t>
        </w:r>
        <w:r>
          <w:tab/>
        </w:r>
        <w:r>
          <w:t>1321</w:t>
        </w:r>
      </w:hyperlink>
    </w:p>
    <w:p>
      <w:pPr>
        <w:pStyle w:val="TOC2"/>
      </w:pPr>
      <w:hyperlink w:anchor="_Toc300001169" w:history="1">
        <w:r>
          <w:t>Article 35.1: Purpose and Governing Principles</w:t>
        </w:r>
        <w:r>
          <w:tab/>
        </w:r>
        <w:r>
          <w:t>1321</w:t>
        </w:r>
      </w:hyperlink>
    </w:p>
    <w:p>
      <w:pPr>
        <w:pStyle w:val="TOC2"/>
      </w:pPr>
      <w:hyperlink w:anchor="_Toc300001170" w:history="1">
        <w:r>
          <w:t>Article 35.2: Definitions</w:t>
        </w:r>
        <w:r>
          <w:tab/>
        </w:r>
        <w:r>
          <w:t>1322</w:t>
        </w:r>
      </w:hyperlink>
    </w:p>
    <w:p>
      <w:pPr>
        <w:pStyle w:val="TOC2"/>
      </w:pPr>
      <w:hyperlink w:anchor="_Toc300001171" w:history="1">
        <w:r>
          <w:t>Article 35.3: CUSMA-Originating Goods Tariff Guarantee</w:t>
        </w:r>
        <w:r>
          <w:tab/>
        </w:r>
        <w:r>
          <w:t>1324</w:t>
        </w:r>
      </w:hyperlink>
    </w:p>
    <w:p>
      <w:pPr>
        <w:pStyle w:val="TOC2"/>
      </w:pPr>
      <w:hyperlink w:anchor="_Toc300001172" w:history="1">
        <w:r>
          <w:t>Article 35.3A: Export Measures</w:t>
        </w:r>
        <w:r>
          <w:tab/>
        </w:r>
        <w:r>
          <w:t>1324</w:t>
        </w:r>
      </w:hyperlink>
    </w:p>
    <w:p>
      <w:pPr>
        <w:pStyle w:val="TOC2"/>
      </w:pPr>
      <w:hyperlink w:anchor="_Toc300001246" w:history="1">
        <w:r>
          <w:t>Article 35.3B: Negotiation-Pause Continuity Protocol</w:t>
        </w:r>
        <w:r>
          <w:tab/>
        </w:r>
        <w:r>
          <w:t>1325</w:t>
        </w:r>
      </w:hyperlink>
    </w:p>
    <w:p>
      <w:pPr>
        <w:pStyle w:val="TOC2"/>
      </w:pPr>
      <w:hyperlink w:anchor="_Toc300001247" w:history="1">
        <w:r>
          <w:t>Article 35.3C: Interim Legal-Text Finalization Protection</w:t>
        </w:r>
        <w:r>
          <w:tab/>
        </w:r>
        <w:r>
          <w:t>1325</w:t>
        </w:r>
      </w:hyperlink>
    </w:p>
    <w:p>
      <w:pPr>
        <w:pStyle w:val="TOC2"/>
      </w:pPr>
      <w:hyperlink w:anchor="_Toc300001245" w:history="1">
        <w:r>
          <w:t>Article 35.3D: Binding Effect of Tariff Suspensions</w:t>
        </w:r>
        <w:r>
          <w:tab/>
        </w:r>
        <w:r>
          <w:t>1326</w:t>
        </w:r>
      </w:hyperlink>
    </w:p>
    <w:p>
      <w:pPr>
        <w:pStyle w:val="TOC2"/>
      </w:pPr>
      <w:hyperlink w:anchor="_Toc300001173" w:history="1">
        <w:r>
          <w:t>Article 35.4: Equivalent Measures and Anti-Evasion</w:t>
        </w:r>
        <w:r>
          <w:tab/>
        </w:r>
        <w:r>
          <w:t>1326</w:t>
        </w:r>
      </w:hyperlink>
    </w:p>
    <w:p>
      <w:pPr>
        <w:pStyle w:val="TOC2"/>
      </w:pPr>
      <w:hyperlink w:anchor="_Toc300001174" w:history="1">
        <w:r>
          <w:t>Article 35.4A: Substitute Measures, Internal, Regulatory, Customs-Administration, and Procurement Routes</w:t>
        </w:r>
        <w:r>
          <w:tab/>
        </w:r>
        <w:r>
          <w:t>1327</w:t>
        </w:r>
      </w:hyperlink>
    </w:p>
    <w:p>
      <w:pPr>
        <w:pStyle w:val="TOC2"/>
      </w:pPr>
      <w:hyperlink w:anchor="_Toc300001175" w:history="1">
        <w:r>
          <w:t>Article 35.4B: Regulatory Safe Harbor</w:t>
        </w:r>
        <w:r>
          <w:tab/>
        </w:r>
        <w:r>
          <w:t>1329</w:t>
        </w:r>
      </w:hyperlink>
    </w:p>
    <w:p>
      <w:pPr>
        <w:pStyle w:val="TOC2"/>
      </w:pPr>
      <w:hyperlink w:anchor="_Toc300001176" w:history="1">
        <w:r>
          <w:t>Article 35.5: Exclusive Remedies for Trade Matters</w:t>
        </w:r>
        <w:r>
          <w:tab/>
        </w:r>
        <w:r>
          <w:t>1330</w:t>
        </w:r>
      </w:hyperlink>
    </w:p>
    <w:p>
      <w:pPr>
        <w:pStyle w:val="TOC2"/>
      </w:pPr>
      <w:hyperlink w:anchor="_Toc300001177" w:history="1">
        <w:r>
          <w:t>Article 35.6: Standstill on New Extraordinary Measures</w:t>
        </w:r>
        <w:r>
          <w:tab/>
        </w:r>
        <w:r>
          <w:t>1331</w:t>
        </w:r>
      </w:hyperlink>
    </w:p>
    <w:p>
      <w:pPr>
        <w:pStyle w:val="TOC2"/>
      </w:pPr>
      <w:hyperlink w:anchor="_Toc300001178" w:history="1">
        <w:r>
          <w:t>Article 35.7: Prohibited Uses of Covered Border Measures</w:t>
        </w:r>
        <w:r>
          <w:tab/>
        </w:r>
        <w:r>
          <w:t>1331</w:t>
        </w:r>
      </w:hyperlink>
    </w:p>
    <w:p>
      <w:pPr>
        <w:pStyle w:val="TOC2"/>
      </w:pPr>
      <w:hyperlink w:anchor="_Toc300001179" w:history="1">
        <w:r>
          <w:t>Article 35.8: Initiation of the Mechanism and Consultation</w:t>
        </w:r>
        <w:r>
          <w:tab/>
        </w:r>
        <w:r>
          <w:t>1331</w:t>
        </w:r>
      </w:hyperlink>
    </w:p>
    <w:p>
      <w:pPr>
        <w:pStyle w:val="TOC2"/>
      </w:pPr>
      <w:hyperlink w:anchor="_Toc300001180" w:history="1">
        <w:r>
          <w:t>Article 35.9: Evidence Package</w:t>
        </w:r>
        <w:r>
          <w:tab/>
        </w:r>
        <w:r>
          <w:t>1331</w:t>
        </w:r>
      </w:hyperlink>
    </w:p>
    <w:p>
      <w:pPr>
        <w:pStyle w:val="TOC2"/>
      </w:pPr>
      <w:hyperlink w:anchor="_Toc300001181" w:history="1">
        <w:r>
          <w:t>Article 35.9A: Minimum Viable Enforcement Track for Facial Violations</w:t>
        </w:r>
        <w:r>
          <w:tab/>
        </w:r>
        <w:r>
          <w:t>1332</w:t>
        </w:r>
      </w:hyperlink>
    </w:p>
    <w:p>
      <w:pPr>
        <w:pStyle w:val="TOC2"/>
      </w:pPr>
      <w:hyperlink w:anchor="_Toc300001182" w:history="1">
        <w:r>
          <w:t>Article 35.9B: Technical Truth Escalation Chain</w:t>
        </w:r>
        <w:r>
          <w:tab/>
        </w:r>
        <w:r>
          <w:t>1333</w:t>
        </w:r>
      </w:hyperlink>
    </w:p>
    <w:p>
      <w:pPr>
        <w:pStyle w:val="TOC2"/>
      </w:pPr>
      <w:hyperlink w:anchor="_Toc300001183" w:history="1">
        <w:r>
          <w:t>Article 35.10: North American Trade Verification Mechanism</w:t>
        </w:r>
        <w:r>
          <w:tab/>
        </w:r>
        <w:r>
          <w:t>1333</w:t>
        </w:r>
      </w:hyperlink>
    </w:p>
    <w:p>
      <w:pPr>
        <w:pStyle w:val="TOC2"/>
      </w:pPr>
      <w:hyperlink w:anchor="_Toc300001184" w:history="1">
        <w:r>
          <w:t>Article 35.10A: Rights of Affected Entities</w:t>
        </w:r>
        <w:r>
          <w:tab/>
        </w:r>
        <w:r>
          <w:t>1335</w:t>
        </w:r>
      </w:hyperlink>
    </w:p>
    <w:p>
      <w:pPr>
        <w:pStyle w:val="TOC2"/>
      </w:pPr>
      <w:hyperlink w:anchor="_Toc300001185" w:history="1">
        <w:r>
          <w:t>Article 35.11: Classification of Distortions</w:t>
        </w:r>
        <w:r>
          <w:tab/>
        </w:r>
        <w:r>
          <w:t>1336</w:t>
        </w:r>
      </w:hyperlink>
    </w:p>
    <w:p>
      <w:pPr>
        <w:pStyle w:val="TOC2"/>
      </w:pPr>
      <w:hyperlink w:anchor="_Toc300001248" w:history="1">
        <w:r>
          <w:t>Article 35.11A: Screening Indicator Safe Harbor</w:t>
        </w:r>
        <w:r>
          <w:tab/>
        </w:r>
        <w:r>
          <w:t>1338</w:t>
        </w:r>
      </w:hyperlink>
    </w:p>
    <w:p>
      <w:pPr>
        <w:pStyle w:val="TOC2"/>
      </w:pPr>
      <w:hyperlink w:anchor="_Toc300001186" w:history="1">
        <w:r>
          <w:t>Article 35.12: Proportional Trade Adjustments</w:t>
        </w:r>
        <w:r>
          <w:tab/>
        </w:r>
        <w:r>
          <w:t>1338</w:t>
        </w:r>
      </w:hyperlink>
    </w:p>
    <w:p>
      <w:pPr>
        <w:pStyle w:val="TOC2"/>
      </w:pPr>
      <w:hyperlink w:anchor="_Toc300001187" w:history="1">
        <w:r>
          <w:t>Article 35.13: Narrowest-Sufficient-Remedy Rule</w:t>
        </w:r>
        <w:r>
          <w:tab/>
        </w:r>
        <w:r>
          <w:t>1338</w:t>
        </w:r>
      </w:hyperlink>
    </w:p>
    <w:p>
      <w:pPr>
        <w:pStyle w:val="TOC2"/>
      </w:pPr>
      <w:hyperlink w:anchor="_Toc300001188" w:history="1">
        <w:r>
          <w:t>Article 35.13A: Anti-Fragmentation of Integrated Products</w:t>
        </w:r>
        <w:r>
          <w:tab/>
        </w:r>
        <w:r>
          <w:t>1339</w:t>
        </w:r>
      </w:hyperlink>
    </w:p>
    <w:p>
      <w:pPr>
        <w:pStyle w:val="TOC2"/>
      </w:pPr>
      <w:hyperlink w:anchor="_Toc300001189" w:history="1">
        <w:r>
          <w:t>Article 35.14: Escrow in Lieu of Collection</w:t>
        </w:r>
        <w:r>
          <w:tab/>
        </w:r>
        <w:r>
          <w:t>1339</w:t>
        </w:r>
      </w:hyperlink>
    </w:p>
    <w:p>
      <w:pPr>
        <w:pStyle w:val="TOC2"/>
      </w:pPr>
      <w:hyperlink w:anchor="_Toc300001190" w:history="1">
        <w:r>
          <w:t>Article 35.15: Module Firewall</w:t>
        </w:r>
        <w:r>
          <w:tab/>
        </w:r>
        <w:r>
          <w:t>1340</w:t>
        </w:r>
      </w:hyperlink>
    </w:p>
    <w:p>
      <w:pPr>
        <w:pStyle w:val="TOC2"/>
      </w:pPr>
      <w:hyperlink w:anchor="_Toc300001191" w:history="1">
        <w:r>
          <w:t>Article 35.16: Step-Back Stages, Graduated Response</w:t>
        </w:r>
        <w:r>
          <w:tab/>
        </w:r>
        <w:r>
          <w:t>1341</w:t>
        </w:r>
      </w:hyperlink>
    </w:p>
    <w:p>
      <w:pPr>
        <w:pStyle w:val="TOC2"/>
      </w:pPr>
      <w:hyperlink w:anchor="_Toc300001192" w:history="1">
        <w:r>
          <w:t>Article 35.17: Remediation and Earn-Back</w:t>
        </w:r>
        <w:r>
          <w:tab/>
        </w:r>
        <w:r>
          <w:t>1342</w:t>
        </w:r>
      </w:hyperlink>
    </w:p>
    <w:p>
      <w:pPr>
        <w:pStyle w:val="TOC2"/>
      </w:pPr>
      <w:hyperlink w:anchor="_Toc300001193" w:history="1">
        <w:r>
          <w:t>Article 35.17A: Remediation Investment and Corrective Compensation</w:t>
        </w:r>
        <w:r>
          <w:tab/>
        </w:r>
        <w:r>
          <w:t>1343</w:t>
        </w:r>
      </w:hyperlink>
    </w:p>
    <w:p>
      <w:pPr>
        <w:pStyle w:val="TOC2"/>
      </w:pPr>
      <w:hyperlink w:anchor="_Toc300001194" w:history="1">
        <w:r>
          <w:t>Article 35.18: Automatic Restoration</w:t>
        </w:r>
        <w:r>
          <w:tab/>
        </w:r>
        <w:r>
          <w:t>1343</w:t>
        </w:r>
      </w:hyperlink>
    </w:p>
    <w:p>
      <w:pPr>
        <w:pStyle w:val="TOC2"/>
      </w:pPr>
      <w:hyperlink w:anchor="_Toc300001195" w:history="1">
        <w:r>
          <w:t>Article 35.19: Discipline of Allegations</w:t>
        </w:r>
        <w:r>
          <w:tab/>
        </w:r>
        <w:r>
          <w:t>1344</w:t>
        </w:r>
      </w:hyperlink>
    </w:p>
    <w:p>
      <w:pPr>
        <w:pStyle w:val="TOC2"/>
      </w:pPr>
      <w:hyperlink w:anchor="_Toc300001196" w:history="1">
        <w:r>
          <w:t>Article 35.20: Compensation Before Escalation</w:t>
        </w:r>
        <w:r>
          <w:tab/>
        </w:r>
        <w:r>
          <w:t>1345</w:t>
        </w:r>
      </w:hyperlink>
    </w:p>
    <w:p>
      <w:pPr>
        <w:pStyle w:val="TOC2"/>
      </w:pPr>
      <w:hyperlink w:anchor="_Toc300001197" w:history="1">
        <w:r>
          <w:t>Article 35.21: Genuine Emergencies, Expedited Track</w:t>
        </w:r>
        <w:r>
          <w:tab/>
        </w:r>
        <w:r>
          <w:t>1345</w:t>
        </w:r>
      </w:hyperlink>
    </w:p>
    <w:p>
      <w:pPr>
        <w:pStyle w:val="TOC2"/>
      </w:pPr>
      <w:hyperlink w:anchor="_Toc300001198" w:history="1">
        <w:r>
          <w:t>Article 35.22: Essential Security Measures, Special Lane</w:t>
        </w:r>
        <w:r>
          <w:tab/>
        </w:r>
        <w:r>
          <w:t>1347</w:t>
        </w:r>
      </w:hyperlink>
    </w:p>
    <w:p>
      <w:pPr>
        <w:pStyle w:val="TOC2"/>
      </w:pPr>
      <w:hyperlink w:anchor="_Toc300001199" w:history="1">
        <w:r>
          <w:t>Article 35.23: Strategic-Sector Circuit Breakers</w:t>
        </w:r>
        <w:r>
          <w:tab/>
        </w:r>
        <w:r>
          <w:t>1349</w:t>
        </w:r>
      </w:hyperlink>
    </w:p>
    <w:p>
      <w:pPr>
        <w:pStyle w:val="TOC2"/>
      </w:pPr>
      <w:hyperlink w:anchor="_Toc300001200" w:history="1">
        <w:r>
          <w:t>Article 35.24: North American Trade Measures Registry and Transparency</w:t>
        </w:r>
        <w:r>
          <w:tab/>
        </w:r>
        <w:r>
          <w:t>1350</w:t>
        </w:r>
      </w:hyperlink>
    </w:p>
    <w:p>
      <w:pPr>
        <w:pStyle w:val="TOC2"/>
      </w:pPr>
      <w:hyperlink w:anchor="_Toc300001201" w:history="1">
        <w:r>
          <w:t>Article 35.25: North American Trade Impact Facility</w:t>
        </w:r>
        <w:r>
          <w:tab/>
        </w:r>
        <w:r>
          <w:t>1351</w:t>
        </w:r>
      </w:hyperlink>
    </w:p>
    <w:p>
      <w:pPr>
        <w:pStyle w:val="TOC2"/>
      </w:pPr>
      <w:hyperlink w:anchor="_Toc300001202" w:history="1">
        <w:r>
          <w:t>Article 35.25A: Automatic Consequences and Provisional Enforcement</w:t>
        </w:r>
        <w:r>
          <w:tab/>
        </w:r>
        <w:r>
          <w:t>1351</w:t>
        </w:r>
      </w:hyperlink>
    </w:p>
    <w:p>
      <w:pPr>
        <w:pStyle w:val="TOC2"/>
      </w:pPr>
      <w:hyperlink w:anchor="_Toc300001203" w:history="1">
        <w:r>
          <w:t>Article 35.26: Relationship to Other Chapters</w:t>
        </w:r>
        <w:r>
          <w:tab/>
        </w:r>
        <w:r>
          <w:t>1352</w:t>
        </w:r>
      </w:hyperlink>
    </w:p>
    <w:p>
      <w:pPr>
        <w:pStyle w:val="TOC2"/>
      </w:pPr>
      <w:hyperlink w:anchor="_Toc300001204" w:history="1">
        <w:r>
          <w:t>Article 35.27: Legacy Measures Wind-Down</w:t>
        </w:r>
        <w:r>
          <w:tab/>
        </w:r>
        <w:r>
          <w:t>1353</w:t>
        </w:r>
      </w:hyperlink>
    </w:p>
    <w:p>
      <w:pPr>
        <w:pStyle w:val="TOC2"/>
      </w:pPr>
      <w:hyperlink w:anchor="_TocR22_35_27A" w:history="1">
        <w:r>
          <w:t>Article 35.27A: Simultaneous Tariff Termination and Baseline Restoration</w:t>
        </w:r>
        <w:r>
          <w:tab/>
        </w:r>
        <w:r>
          <w:t>1353</w:t>
        </w:r>
      </w:hyperlink>
    </w:p>
    <w:p>
      <w:pPr>
        <w:pStyle w:val="TOC2"/>
      </w:pPr>
      <w:hyperlink w:anchor="_Toc300001205" w:history="1">
        <w:r>
          <w:t>Article 35.28: Treaty Integrity Functions and Commission Oversight</w:t>
        </w:r>
        <w:r>
          <w:tab/>
        </w:r>
        <w:r>
          <w:t>1354</w:t>
        </w:r>
      </w:hyperlink>
    </w:p>
    <w:p>
      <w:pPr>
        <w:pStyle w:val="TOC2"/>
      </w:pPr>
      <w:hyperlink w:anchor="_Toc300001206" w:history="1">
        <w:r>
          <w:t>Article 35.29: No-Fade Guarantee</w:t>
        </w:r>
        <w:r>
          <w:tab/>
        </w:r>
        <w:r>
          <w:t>1355</w:t>
        </w:r>
      </w:hyperlink>
    </w:p>
    <w:p>
      <w:pPr>
        <w:pStyle w:val="TOC2"/>
      </w:pPr>
      <w:hyperlink w:anchor="_Toc300001249" w:history="1">
        <w:r>
          <w:t>Article 35.29A: Review Is Modernization, Not Renewal</w:t>
        </w:r>
        <w:r>
          <w:tab/>
        </w:r>
        <w:r>
          <w:t>1355</w:t>
        </w:r>
      </w:hyperlink>
    </w:p>
    <w:p>
      <w:pPr>
        <w:pStyle w:val="TOC2"/>
      </w:pPr>
      <w:hyperlink w:anchor="_Toc300001207" w:history="1">
        <w:r>
          <w:t>Article 35.30: Continuity, Anti-Circumvention, and No Hostage Principle</w:t>
        </w:r>
        <w:r>
          <w:tab/>
        </w:r>
        <w:r>
          <w:t>1356</w:t>
        </w:r>
      </w:hyperlink>
    </w:p>
    <w:p>
      <w:pPr>
        <w:pStyle w:val="TOC2"/>
      </w:pPr>
      <w:hyperlink w:anchor="_Toc300001250" w:history="1">
        <w:r>
          <w:t>Article 35.30A: Good Faith and Non-Weaponization of Covered Border Measures</w:t>
        </w:r>
        <w:r>
          <w:tab/>
        </w:r>
        <w:r>
          <w:t>1356</w:t>
        </w:r>
      </w:hyperlink>
    </w:p>
    <w:p>
      <w:pPr>
        <w:pStyle w:val="TOC2"/>
      </w:pPr>
      <w:hyperlink w:anchor="_Toc300001251" w:history="1">
        <w:r>
          <w:t>Article 35.30B: North American Trilateral Anti-Fragmentation Protocol</w:t>
        </w:r>
        <w:r>
          <w:tab/>
        </w:r>
        <w:r>
          <w:t>1356</w:t>
        </w:r>
      </w:hyperlink>
    </w:p>
    <w:p>
      <w:pPr>
        <w:pStyle w:val="TOC2"/>
      </w:pPr>
      <w:hyperlink w:anchor="_Toc300001208" w:history="1">
        <w:r>
          <w:t>Article 35.31: Narrowest-Sufficient-Remedy and Cure Ladder</w:t>
        </w:r>
        <w:r>
          <w:tab/>
        </w:r>
        <w:r>
          <w:t>1358</w:t>
        </w:r>
      </w:hyperlink>
    </w:p>
    <w:p>
      <w:pPr>
        <w:pStyle w:val="TOC2"/>
      </w:pPr>
      <w:hyperlink w:anchor="_Toc300001209" w:history="1">
        <w:r>
          <w:t>Article 35.32: Extraordinary-Measure Transparency and Escrow</w:t>
        </w:r>
        <w:r>
          <w:tab/>
        </w:r>
        <w:r>
          <w:t>1358</w:t>
        </w:r>
      </w:hyperlink>
    </w:p>
    <w:p>
      <w:pPr>
        <w:pStyle w:val="TOC2"/>
      </w:pPr>
      <w:hyperlink w:anchor="_Toc300001252" w:history="1">
        <w:r>
          <w:t>Article 35.33: Permanent Continental Zero-Tariff Presumption</w:t>
        </w:r>
        <w:r>
          <w:tab/>
        </w:r>
        <w:r>
          <w:t>1358</w:t>
        </w:r>
      </w:hyperlink>
    </w:p>
    <w:p>
      <w:pPr>
        <w:pStyle w:val="TOC2"/>
      </w:pPr>
      <w:hyperlink w:anchor="_Toc300001253" w:history="1">
        <w:r>
          <w:t>Article 35.34: Corrective Tariff Budget and Six-Month Lockout</w:t>
        </w:r>
        <w:r>
          <w:tab/>
        </w:r>
        <w:r>
          <w:t>1359</w:t>
        </w:r>
      </w:hyperlink>
    </w:p>
    <w:p>
      <w:pPr>
        <w:pStyle w:val="TOC2"/>
      </w:pPr>
      <w:hyperlink w:anchor="_Toc300001254" w:history="1">
        <w:r>
          <w:t>Article 35.35: Humanitarian Tariff Firewall</w:t>
        </w:r>
        <w:r>
          <w:tab/>
        </w:r>
        <w:r>
          <w:t>1360</w:t>
        </w:r>
      </w:hyperlink>
    </w:p>
    <w:p>
      <w:pPr>
        <w:pStyle w:val="TOC2"/>
      </w:pPr>
      <w:hyperlink w:anchor="_Toc300001213" w:history="1">
        <w:r>
          <w:t>Article 35.36: No Uncompensated Front-Loading and Synchronized Exchange</w:t>
        </w:r>
        <w:r>
          <w:tab/>
        </w:r>
        <w:r>
          <w:t>1361</w:t>
        </w:r>
      </w:hyperlink>
    </w:p>
    <w:p>
      <w:pPr>
        <w:pStyle w:val="TOC2"/>
      </w:pPr>
      <w:hyperlink w:anchor="_Toc300001214" w:history="1">
        <w:r>
          <w:t>Article 35.37: North American Demerit and Preference Step-Back System</w:t>
        </w:r>
        <w:r>
          <w:tab/>
        </w:r>
        <w:r>
          <w:t>1362</w:t>
        </w:r>
      </w:hyperlink>
    </w:p>
    <w:p>
      <w:pPr>
        <w:pStyle w:val="TOC2"/>
      </w:pPr>
      <w:hyperlink w:anchor="_Toc300001215" w:history="1">
        <w:r>
          <w:t>Article 35.38: Tariff Quarantine and Absolute Last-Resort Test</w:t>
        </w:r>
        <w:r>
          <w:tab/>
        </w:r>
        <w:r>
          <w:t>1363</w:t>
        </w:r>
      </w:hyperlink>
    </w:p>
    <w:p>
      <w:pPr>
        <w:pStyle w:val="TOC2"/>
      </w:pPr>
      <w:hyperlink w:anchor="_Toc300001216" w:history="1">
        <w:r>
          <w:t>Article 35.39: Rotating Neutral Guarantor Panel</w:t>
        </w:r>
        <w:r>
          <w:tab/>
        </w:r>
        <w:r>
          <w:t>1364</w:t>
        </w:r>
      </w:hyperlink>
    </w:p>
    <w:p>
      <w:pPr>
        <w:pStyle w:val="TOC2"/>
      </w:pPr>
      <w:hyperlink w:anchor="_Toc300001217" w:history="1">
        <w:r>
          <w:t>Article 35.40: Tariff Authorization Limits, Burden Test, Sunset, and Renewal</w:t>
        </w:r>
        <w:r>
          <w:tab/>
        </w:r>
        <w:r>
          <w:t>1365</w:t>
        </w:r>
      </w:hyperlink>
    </w:p>
    <w:p>
      <w:pPr>
        <w:pStyle w:val="TOC2"/>
      </w:pPr>
      <w:hyperlink w:anchor="_Toc300001218" w:history="1">
        <w:r>
          <w:t>Article 35.41: Three-Year Joint Study on Complete Elimination of Intra-North-American Tariffs</w:t>
        </w:r>
        <w:r>
          <w:tab/>
        </w:r>
        <w:r>
          <w:t>1365</w:t>
        </w:r>
      </w:hyperlink>
    </w:p>
    <w:p>
      <w:pPr>
        <w:pStyle w:val="TOC2"/>
      </w:pPr>
      <w:hyperlink w:anchor="_Toc300001219" w:history="1">
        <w:r>
          <w:t>Article 35.42: Guarantor Integrity Firewall and Anti-Inducement Rule</w:t>
        </w:r>
        <w:r>
          <w:tab/>
        </w:r>
        <w:r>
          <w:t>1366</w:t>
        </w:r>
      </w:hyperlink>
    </w:p>
    <w:p>
      <w:pPr>
        <w:pStyle w:val="TOC2"/>
      </w:pPr>
      <w:hyperlink w:anchor="_Toc300001220" w:history="1">
        <w:r>
          <w:t>Article 35.43: Communications Docket, Ex Parte Firewall, and Equality of Arms</w:t>
        </w:r>
        <w:r>
          <w:tab/>
        </w:r>
        <w:r>
          <w:t>1367</w:t>
        </w:r>
      </w:hyperlink>
    </w:p>
    <w:p>
      <w:pPr>
        <w:pStyle w:val="TOC2"/>
      </w:pPr>
      <w:hyperlink w:anchor="_Toc300001221" w:history="1">
        <w:r>
          <w:t>Article 35.44: Guarantor Financial Integrity, Disclosure, Gifts, and Cooling-Off</w:t>
        </w:r>
        <w:r>
          <w:tab/>
        </w:r>
        <w:r>
          <w:t>1368</w:t>
        </w:r>
      </w:hyperlink>
    </w:p>
    <w:p>
      <w:pPr>
        <w:pStyle w:val="TOC2"/>
      </w:pPr>
      <w:hyperlink w:anchor="_Toc300001222" w:history="1">
        <w:r>
          <w:t>Article 35.45: Integrity Panel, Tainted Panel Rule, Recusal Review, and Remedies</w:t>
        </w:r>
        <w:r>
          <w:tab/>
        </w:r>
        <w:r>
          <w:t>1369</w:t>
        </w:r>
      </w:hyperlink>
    </w:p>
    <w:p>
      <w:pPr>
        <w:pStyle w:val="TOC2"/>
      </w:pPr>
      <w:hyperlink w:anchor="_Toc300001224" w:history="1">
        <w:r>
          <w:t>Article 35.46: Objective Cure Certification and Compliance Finality</w:t>
        </w:r>
        <w:r>
          <w:tab/>
        </w:r>
        <w:r>
          <w:t>1370</w:t>
        </w:r>
      </w:hyperlink>
    </w:p>
    <w:p>
      <w:pPr>
        <w:pStyle w:val="TOC2"/>
      </w:pPr>
      <w:hyperlink w:anchor="_Toc300001225" w:history="1">
        <w:r>
          <w:t>Article 35.47: Strict Exhaustion and Non-Tariff Incapacity Test</w:t>
        </w:r>
        <w:r>
          <w:tab/>
        </w:r>
        <w:r>
          <w:t>1371</w:t>
        </w:r>
      </w:hyperlink>
    </w:p>
    <w:p>
      <w:pPr>
        <w:pStyle w:val="TOC2"/>
      </w:pPr>
      <w:hyperlink w:anchor="_Toc300001226" w:history="1">
        <w:r>
          <w:t>Article 35.48: Economic Harm, Causation, and Model Integrity Standard</w:t>
        </w:r>
        <w:r>
          <w:tab/>
        </w:r>
        <w:r>
          <w:t>1371</w:t>
        </w:r>
      </w:hyperlink>
    </w:p>
    <w:p>
      <w:pPr>
        <w:pStyle w:val="TOC2"/>
      </w:pPr>
      <w:hyperlink w:anchor="_Toc300001227" w:history="1">
        <w:r>
          <w:t>Article 35.49: Strategic-Nexus and Market-Definition Safeguards</w:t>
        </w:r>
        <w:r>
          <w:tab/>
        </w:r>
        <w:r>
          <w:t>1372</w:t>
        </w:r>
      </w:hyperlink>
    </w:p>
    <w:p>
      <w:pPr>
        <w:pStyle w:val="TOC2"/>
      </w:pPr>
      <w:hyperlink w:anchor="_Toc300001228" w:history="1">
        <w:r>
          <w:t>Article 35.50: Aggregate Remedy Burden and Anti-Fragmentation Safeguard</w:t>
        </w:r>
        <w:r>
          <w:tab/>
        </w:r>
        <w:r>
          <w:t>1372</w:t>
        </w:r>
      </w:hyperlink>
    </w:p>
    <w:p>
      <w:pPr>
        <w:pStyle w:val="TOC2"/>
      </w:pPr>
      <w:hyperlink w:anchor="_Toc300001229" w:history="1">
        <w:r>
          <w:t>Article 35.51: Repetitive Petition, Safe-Harbour, and Process-Abuse Rules</w:t>
        </w:r>
        <w:r>
          <w:tab/>
        </w:r>
        <w:r>
          <w:t>1372</w:t>
        </w:r>
      </w:hyperlink>
    </w:p>
    <w:p>
      <w:pPr>
        <w:pStyle w:val="TOC2"/>
      </w:pPr>
      <w:hyperlink w:anchor="_Toc300001230" w:history="1">
        <w:r>
          <w:t>Article 35.52: Exceptional Remedy Learning and Self-Extinguishing Tariff Review</w:t>
        </w:r>
        <w:r>
          <w:tab/>
        </w:r>
        <w:r>
          <w:t>1373</w:t>
        </w:r>
      </w:hyperlink>
    </w:p>
    <w:p>
      <w:pPr>
        <w:pStyle w:val="TOC2"/>
      </w:pPr>
      <w:hyperlink w:anchor="_Toc300001231" w:history="1">
        <w:r>
          <w:t>Article 35.53: Material Non-Public Trade Information and Market Integrity Firewall</w:t>
        </w:r>
        <w:r>
          <w:tab/>
        </w:r>
        <w:r>
          <w:t>1373</w:t>
        </w:r>
      </w:hyperlink>
    </w:p>
    <w:p>
      <w:pPr>
        <w:pStyle w:val="TOC2"/>
      </w:pPr>
      <w:hyperlink w:anchor="_Toc300001232" w:history="1">
        <w:r>
          <w:t>Article 35.54: Trading Blackout, Preclearance, Beneficial Ownership, and Record Preservation</w:t>
        </w:r>
        <w:r>
          <w:tab/>
        </w:r>
        <w:r>
          <w:t>1374</w:t>
        </w:r>
      </w:hyperlink>
    </w:p>
    <w:p>
      <w:pPr>
        <w:pStyle w:val="TOC2"/>
      </w:pPr>
      <w:hyperlink w:anchor="_Toc300001233" w:history="1">
        <w:r>
          <w:t>Article 35.55: Simultaneous Publication, Selective Disclosure, and Rumour Firewall</w:t>
        </w:r>
        <w:r>
          <w:tab/>
        </w:r>
        <w:r>
          <w:t>1374</w:t>
        </w:r>
      </w:hyperlink>
    </w:p>
    <w:p>
      <w:pPr>
        <w:pStyle w:val="TOC2"/>
      </w:pPr>
      <w:hyperlink w:anchor="_Toc300001234" w:history="1">
        <w:r>
          <w:t>Article 35.56: Market Surveillance Cooperation and Independent Market Integrity Review</w:t>
        </w:r>
        <w:r>
          <w:tab/>
        </w:r>
        <w:r>
          <w:t>1375</w:t>
        </w:r>
      </w:hyperlink>
    </w:p>
    <w:p>
      <w:pPr>
        <w:pStyle w:val="TOC2"/>
      </w:pPr>
      <w:hyperlink w:anchor="_Toc300001235" w:history="1">
        <w:r>
          <w:t>Article 35.57: Market Manipulation Consequences, Disgorgement Cooperation, and Anti-False-Flag Rule</w:t>
        </w:r>
        <w:r>
          <w:tab/>
        </w:r>
        <w:r>
          <w:t>1375</w:t>
        </w:r>
      </w:hyperlink>
    </w:p>
    <w:p>
      <w:pPr>
        <w:pStyle w:val="TOC2"/>
      </w:pPr>
      <w:hyperlink w:anchor="_Toc300001236" w:history="1">
        <w:r>
          <w:t>Article 35.58: Market-Impact Evidence for the Three-Year Tariff Abolition Study</w:t>
        </w:r>
        <w:r>
          <w:tab/>
        </w:r>
        <w:r>
          <w:t>1376</w:t>
        </w:r>
      </w:hyperlink>
    </w:p>
    <w:p>
      <w:pPr>
        <w:pStyle w:val="TOC2"/>
      </w:pPr>
      <w:hyperlink w:anchor="_Toc300001238" w:history="1">
        <w:r>
          <w:t>Article 35.59: Treaty-Wide Issue-Nexus and Non-Trade Coercion Firewall</w:t>
        </w:r>
        <w:r>
          <w:tab/>
        </w:r>
        <w:r>
          <w:t>1376</w:t>
        </w:r>
      </w:hyperlink>
    </w:p>
    <w:p>
      <w:pPr>
        <w:pStyle w:val="TOC2"/>
      </w:pPr>
      <w:hyperlink w:anchor="_Toc300001210" w:history="1">
        <w:r>
          <w:t>ANNEX 35-A: PROPORTIONAL TRADE ADJUSTMENT CALCULATION METHODOLOGY</w:t>
        </w:r>
        <w:r>
          <w:tab/>
        </w:r>
        <w:r>
          <w:t>1377</w:t>
        </w:r>
      </w:hyperlink>
    </w:p>
    <w:p>
      <w:pPr>
        <w:pStyle w:val="TOC2"/>
      </w:pPr>
      <w:hyperlink w:anchor="_Toc300001211" w:history="1">
        <w:r>
          <w:t>ANNEX 35-B: TRADE MODULES AND STRATEGIC SECTORS</w:t>
        </w:r>
        <w:r>
          <w:tab/>
        </w:r>
        <w:r>
          <w:t>1379</w:t>
        </w:r>
      </w:hyperlink>
    </w:p>
    <w:p>
      <w:pPr>
        <w:pStyle w:val="TOC2"/>
      </w:pPr>
      <w:hyperlink w:anchor="_Toc300001212" w:history="1">
        <w:r>
          <w:t>ANNEX 35-C: SHARED TRADE DATA REGISTRY AND VERIFICATION DATA STANDARDS</w:t>
        </w:r>
        <w:r>
          <w:tab/>
        </w:r>
        <w:r>
          <w:t>1380</w:t>
        </w:r>
      </w:hyperlink>
    </w:p>
    <w:p>
      <w:pPr>
        <w:pStyle w:val="TOC2"/>
      </w:pPr>
      <w:hyperlink w:anchor="_Toc300001242" w:history="1">
        <w:r>
          <w:t>ANNEX 35-D: LEGACY MEASURE WIND-DOWN SCHEDULE</w:t>
        </w:r>
        <w:r>
          <w:tab/>
        </w:r>
        <w:r>
          <w:t>1383</w:t>
        </w:r>
      </w:hyperlink>
    </w:p>
    <w:p>
      <w:pPr>
        <w:pStyle w:val="TOC2"/>
      </w:pPr>
      <w:hyperlink w:anchor="_Toc300001243" w:history="1">
        <w:r>
          <w:t>ANNEX 35-D.1: PRINCIPAL-LEVEL TARIFF LANDING OPTIONS</w:t>
        </w:r>
        <w:r>
          <w:tab/>
        </w:r>
        <w:r>
          <w:t>1385</w:t>
        </w:r>
      </w:hyperlink>
    </w:p>
    <w:p>
      <w:pPr>
        <w:pStyle w:val="TOC2"/>
      </w:pPr>
      <w:hyperlink w:anchor="_Toc300001244" w:history="1">
        <w:r>
          <w:t>ANNEX 35-E: MARKET-ACCESS CREDITS (OPTIONAL INSTRUMENT)</w:t>
        </w:r>
        <w:r>
          <w:tab/>
        </w:r>
        <w:r>
          <w:t>1386</w:t>
        </w:r>
      </w:hyperlink>
    </w:p>
    <w:p>
      <w:pPr>
        <w:pStyle w:val="TOC2"/>
      </w:pPr>
      <w:hyperlink w:anchor="_Toc300001241" w:history="1">
        <w:r>
          <w:t>ANNEX 35-F: COTHROM BALANCED VERIFICATION OPERATING PROTOCOL</w:t>
        </w:r>
        <w:r>
          <w:tab/>
        </w:r>
        <w:r>
          <w:t>1386</w:t>
        </w:r>
      </w:hyperlink>
    </w:p>
    <w:p>
      <w:pPr>
        <w:pStyle w:val="TOC2"/>
      </w:pPr>
      <w:hyperlink w:anchor="_Toc300001239" w:history="1">
        <w:r>
          <w:t>ANNEX 35-G: DEMERIT POINT AND PREFERENCE STEP-BACK MATRIX</w:t>
        </w:r>
        <w:r>
          <w:tab/>
        </w:r>
        <w:r>
          <w:t>1387</w:t>
        </w:r>
      </w:hyperlink>
    </w:p>
    <w:p>
      <w:pPr>
        <w:pStyle w:val="TOC2"/>
      </w:pPr>
      <w:hyperlink w:anchor="_Toc300001240" w:history="1">
        <w:r>
          <w:t>ANNEX 35-H: ROTATING NEUTRAL GUARANTOR POOL</w:t>
        </w:r>
        <w:r>
          <w:tab/>
        </w:r>
        <w:r>
          <w:t>1388</w:t>
        </w:r>
      </w:hyperlink>
    </w:p>
    <w:p>
      <w:pPr>
        <w:pStyle w:val="TOC2"/>
      </w:pPr>
      <w:hyperlink w:anchor="_Toc300001223" w:history="1">
        <w:r>
          <w:t>ANNEX 35-I: GUARANTOR INTEGRITY OPERATING RULES</w:t>
        </w:r>
        <w:r>
          <w:tab/>
        </w:r>
        <w:r>
          <w:t>1389</w:t>
        </w:r>
      </w:hyperlink>
    </w:p>
    <w:p>
      <w:pPr>
        <w:pStyle w:val="TOC2"/>
      </w:pPr>
      <w:hyperlink w:anchor="_Toc300001237" w:history="1">
        <w:r>
          <w:t>ANNEX 35-J: MARKET INTEGRITY OPERATING RULES</w:t>
        </w:r>
        <w:r>
          <w:tab/>
        </w:r>
        <w:r>
          <w:t>1390</w:t>
        </w:r>
      </w:hyperlink>
    </w:p>
    <w:p>
      <w:pPr>
        <w:pStyle w:val="TOC1"/>
      </w:pPr>
      <w:hyperlink w:anchor="_Toc300001255" w:history="1">
        <w:r>
          <w:t>ANNEX 35-K: STRATEGIC-SECTOR TARIFF NORMALIZATION AND SYNCHRONIZED STAND-DOWN PROTOCOL</w:t>
        </w:r>
        <w:r>
          <w:tab/>
        </w:r>
        <w:r>
          <w:t>1392</w:t>
        </w:r>
      </w:hyperlink>
    </w:p>
    <w:p>
      <w:pPr>
        <w:pStyle w:val="TOC2"/>
      </w:pPr>
      <w:hyperlink w:anchor="_Toc300001256" w:history="1">
        <w:r>
          <w:t>FS-01.1: Purpose, Scope, and Legal Relationship</w:t>
        </w:r>
        <w:r>
          <w:tab/>
        </w:r>
        <w:r>
          <w:t>1392</w:t>
        </w:r>
      </w:hyperlink>
    </w:p>
    <w:p>
      <w:pPr>
        <w:pStyle w:val="TOC2"/>
      </w:pPr>
      <w:hyperlink w:anchor="_Toc300001257" w:history="1">
        <w:r>
          <w:t>FS-01.2: Covered Measures and Synchronized Readiness</w:t>
        </w:r>
        <w:r>
          <w:tab/>
        </w:r>
        <w:r>
          <w:t>1394</w:t>
        </w:r>
      </w:hyperlink>
    </w:p>
    <w:p>
      <w:pPr>
        <w:pStyle w:val="TOC2"/>
      </w:pPr>
      <w:hyperlink w:anchor="_Toc300001258" w:history="1">
        <w:r>
          <w:t>FS-01.3: Normalization Sequence and Treatment</w:t>
        </w:r>
        <w:r>
          <w:tab/>
        </w:r>
        <w:r>
          <w:t>1394</w:t>
        </w:r>
      </w:hyperlink>
    </w:p>
    <w:p>
      <w:pPr>
        <w:pStyle w:val="TOC2"/>
      </w:pPr>
      <w:hyperlink w:anchor="_Toc300001259" w:history="1">
        <w:r>
          <w:t>FS-01.4: Verification, Fraud Containment, and Continuity</w:t>
        </w:r>
        <w:r>
          <w:tab/>
        </w:r>
        <w:r>
          <w:t>1396</w:t>
        </w:r>
      </w:hyperlink>
    </w:p>
    <w:p>
      <w:pPr>
        <w:pStyle w:val="TOC2"/>
      </w:pPr>
      <w:hyperlink w:anchor="_Toc300001260" w:history="1">
        <w:r>
          <w:t>FS-01.5: Exceptional Measures, Anti-Revival, and Restoration</w:t>
        </w:r>
        <w:r>
          <w:tab/>
        </w:r>
        <w:r>
          <w:t>1398</w:t>
        </w:r>
      </w:hyperlink>
    </w:p>
    <w:p>
      <w:pPr>
        <w:pStyle w:val="TOC2"/>
      </w:pPr>
      <w:hyperlink w:anchor="_Toc300001261" w:history="1">
        <w:r>
          <w:t>FS-01.6: Certification, Closure, and Administration</w:t>
        </w:r>
        <w:r>
          <w:tab/>
        </w:r>
        <w:r>
          <w:t>1399</w:t>
        </w:r>
      </w:hyperlink>
    </w:p>
    <w:p>
      <w:pPr>
        <w:pStyle w:val="TOC2"/>
      </w:pPr>
      <w:hyperlink w:anchor="_Toc300001262" w:history="1">
        <w:r>
          <w:t>SCHEDULE FS-01-A: Covered Measures, Landing Options, Verification Milestones, and Post-Normalization Treatment, DEVELOPMENT TEMPLATE: NON-OPERATIVE UNTIL ADOPTED</w:t>
        </w:r>
        <w:r>
          <w:tab/>
        </w:r>
        <w:r>
          <w:t>1401</w:t>
        </w:r>
      </w:hyperlink>
    </w:p>
    <w:p>
      <w:pPr>
        <w:pStyle w:val="TOC2"/>
      </w:pPr>
      <w:hyperlink w:anchor="_Toc300001263" w:history="1">
        <w:r>
          <w:t>FS-01-A.1: Required Adopted-Schedule Data</w:t>
        </w:r>
        <w:r>
          <w:tab/>
        </w:r>
        <w:r>
          <w:t>1402</w:t>
        </w:r>
      </w:hyperlink>
    </w:p>
    <w:p>
      <w:pPr>
        <w:pStyle w:val="TOC2"/>
      </w:pPr>
      <w:hyperlink w:anchor="_Toc300001264" w:history="1">
        <w:r>
          <w:t>FS-01-A.2: DEVELOPMENT RED LIGHTS, NON-OPERATIVE DRAFTING CONTROLS</w:t>
        </w:r>
        <w:r>
          <w:tab/>
        </w:r>
        <w:r>
          <w:t>1403</w:t>
        </w:r>
      </w:hyperlink>
    </w:p>
    <w:p>
      <w:pPr>
        <w:pStyle w:val="TOC1"/>
      </w:pPr>
      <w:hyperlink w:anchor="_Toc300001265" w:history="1">
        <w:r>
          <w:t>CHAPTER 36 NORTH AMERICAN ECONOMIC SECURITY AND SUPPLY CHAIN RESILIENCE</w:t>
        </w:r>
        <w:r>
          <w:tab/>
        </w:r>
        <w:r>
          <w:t>1405</w:t>
        </w:r>
      </w:hyperlink>
    </w:p>
    <w:p>
      <w:pPr>
        <w:pStyle w:val="TOC2"/>
      </w:pPr>
      <w:hyperlink w:anchor="_Toc300001266" w:history="1">
        <w:r>
          <w:t>Article 36.1: Purpose and Concept</w:t>
        </w:r>
        <w:r>
          <w:tab/>
        </w:r>
        <w:r>
          <w:t>1405</w:t>
        </w:r>
      </w:hyperlink>
    </w:p>
    <w:p>
      <w:pPr>
        <w:pStyle w:val="TOC2"/>
      </w:pPr>
      <w:hyperlink w:anchor="_Toc300001267" w:history="1">
        <w:r>
          <w:t>Article 36.2: Definitions</w:t>
        </w:r>
        <w:r>
          <w:tab/>
        </w:r>
        <w:r>
          <w:t>1405</w:t>
        </w:r>
      </w:hyperlink>
    </w:p>
    <w:p>
      <w:pPr>
        <w:pStyle w:val="TOC2"/>
      </w:pPr>
      <w:hyperlink w:anchor="_Toc300001268" w:history="1">
        <w:r>
          <w:t>Article 36.3: Economic Security and Supply Chain Resilience Subcommittee</w:t>
        </w:r>
        <w:r>
          <w:tab/>
        </w:r>
        <w:r>
          <w:t>1406</w:t>
        </w:r>
      </w:hyperlink>
    </w:p>
    <w:p>
      <w:pPr>
        <w:pStyle w:val="TOC2"/>
      </w:pPr>
      <w:hyperlink w:anchor="_Toc300001269" w:history="1">
        <w:r>
          <w:t>Article 36.4: Designated Strategic Sectors</w:t>
        </w:r>
        <w:r>
          <w:tab/>
        </w:r>
        <w:r>
          <w:t>1406</w:t>
        </w:r>
      </w:hyperlink>
    </w:p>
    <w:p>
      <w:pPr>
        <w:pStyle w:val="TOC2"/>
      </w:pPr>
      <w:hyperlink w:anchor="_Toc300001270" w:history="1">
        <w:r>
          <w:t>Article 36.5: Common External Defense Against Circumvention</w:t>
        </w:r>
        <w:r>
          <w:tab/>
        </w:r>
        <w:r>
          <w:t>1407</w:t>
        </w:r>
      </w:hyperlink>
    </w:p>
    <w:p>
      <w:pPr>
        <w:pStyle w:val="TOC2"/>
      </w:pPr>
      <w:hyperlink w:anchor="_Toc300001271" w:history="1">
        <w:r>
          <w:t>Article 36.6: Trusted North American Origin</w:t>
        </w:r>
        <w:r>
          <w:tab/>
        </w:r>
        <w:r>
          <w:t>1407</w:t>
        </w:r>
      </w:hyperlink>
    </w:p>
    <w:p>
      <w:pPr>
        <w:pStyle w:val="TOC2"/>
      </w:pPr>
      <w:hyperlink w:anchor="_Toc300001272" w:history="1">
        <w:r>
          <w:t>Article 36.7: Non-Market Practices</w:t>
        </w:r>
        <w:r>
          <w:tab/>
        </w:r>
        <w:r>
          <w:t>1408</w:t>
        </w:r>
      </w:hyperlink>
    </w:p>
    <w:p>
      <w:pPr>
        <w:pStyle w:val="TOC2"/>
      </w:pPr>
      <w:hyperlink w:anchor="_Toc300001273" w:history="1">
        <w:r>
          <w:t>Article 36.8: Investment Screening Consultation</w:t>
        </w:r>
        <w:r>
          <w:tab/>
        </w:r>
        <w:r>
          <w:t>1408</w:t>
        </w:r>
      </w:hyperlink>
    </w:p>
    <w:p>
      <w:pPr>
        <w:pStyle w:val="TOC2"/>
      </w:pPr>
      <w:hyperlink w:anchor="_Toc300001274" w:history="1">
        <w:r>
          <w:t>Article 36.9: Sovereignty Safeguard</w:t>
        </w:r>
        <w:r>
          <w:tab/>
        </w:r>
        <w:r>
          <w:t>1409</w:t>
        </w:r>
      </w:hyperlink>
    </w:p>
    <w:p>
      <w:pPr>
        <w:pStyle w:val="TOC2"/>
      </w:pPr>
      <w:hyperlink w:anchor="_Toc300001275" w:history="1">
        <w:r>
          <w:t>Article 36.10: Data, Metrics, and Early Warning</w:t>
        </w:r>
        <w:r>
          <w:tab/>
        </w:r>
        <w:r>
          <w:t>1409</w:t>
        </w:r>
      </w:hyperlink>
    </w:p>
    <w:p>
      <w:pPr>
        <w:pStyle w:val="TOC2"/>
      </w:pPr>
      <w:hyperlink w:anchor="_Toc300001276" w:history="1">
        <w:r>
          <w:t>Article 36.11: North American Anti-Circumvention Rapid Response</w:t>
        </w:r>
        <w:r>
          <w:tab/>
        </w:r>
        <w:r>
          <w:t>1409</w:t>
        </w:r>
      </w:hyperlink>
    </w:p>
    <w:p>
      <w:pPr>
        <w:pStyle w:val="TOC2"/>
      </w:pPr>
      <w:hyperlink w:anchor="_Toc300001277" w:history="1">
        <w:r>
          <w:t>Article 36.12: Enhanced North American Content Incentives</w:t>
        </w:r>
        <w:r>
          <w:tab/>
        </w:r>
        <w:r>
          <w:t>1410</w:t>
        </w:r>
      </w:hyperlink>
    </w:p>
    <w:p>
      <w:pPr>
        <w:pStyle w:val="TOC2"/>
      </w:pPr>
      <w:hyperlink w:anchor="_Toc300001278" w:history="1">
        <w:r>
          <w:t>Article 36.13: Automotive, Battery, and Advanced-Component Investment Facilitation</w:t>
        </w:r>
        <w:r>
          <w:tab/>
        </w:r>
        <w:r>
          <w:t>1410</w:t>
        </w:r>
      </w:hyperlink>
    </w:p>
    <w:p>
      <w:pPr>
        <w:pStyle w:val="TOC2"/>
      </w:pPr>
      <w:hyperlink w:anchor="_Toc300001279" w:history="1">
        <w:r>
          <w:t>Article 36.13A: Voluntary United States Manufacturing Accelerator</w:t>
        </w:r>
        <w:r>
          <w:tab/>
        </w:r>
        <w:r>
          <w:t>1410</w:t>
        </w:r>
      </w:hyperlink>
    </w:p>
    <w:p>
      <w:pPr>
        <w:pStyle w:val="TOC2"/>
      </w:pPr>
      <w:hyperlink w:anchor="_Toc300001280" w:history="1">
        <w:r>
          <w:t>Article 36.14: North American Steel and Aluminum Security Framework</w:t>
        </w:r>
        <w:r>
          <w:tab/>
        </w:r>
        <w:r>
          <w:t>1411</w:t>
        </w:r>
      </w:hyperlink>
    </w:p>
    <w:p>
      <w:pPr>
        <w:pStyle w:val="TOC2"/>
      </w:pPr>
      <w:hyperlink w:anchor="_Toc300001281" w:history="1">
        <w:r>
          <w:t>Article 36.14A: North American Metals Investment Compact</w:t>
        </w:r>
        <w:r>
          <w:tab/>
        </w:r>
        <w:r>
          <w:t>1411</w:t>
        </w:r>
      </w:hyperlink>
    </w:p>
    <w:p>
      <w:pPr>
        <w:pStyle w:val="TOC2"/>
      </w:pPr>
      <w:hyperlink w:anchor="_Toc300001282" w:history="1">
        <w:r>
          <w:t>Article 36.15: Strategic Dependency Reduction and Reshoring</w:t>
        </w:r>
        <w:r>
          <w:tab/>
        </w:r>
        <w:r>
          <w:t>1413</w:t>
        </w:r>
      </w:hyperlink>
    </w:p>
    <w:p>
      <w:pPr>
        <w:pStyle w:val="TOC2"/>
      </w:pPr>
      <w:hyperlink w:anchor="_Toc300001283" w:history="1">
        <w:r>
          <w:t>Article 36.16: Forced-Labor Perimeter and Trusted Supply-Chain Safe Harbor</w:t>
        </w:r>
        <w:r>
          <w:tab/>
        </w:r>
        <w:r>
          <w:t>1413</w:t>
        </w:r>
      </w:hyperlink>
    </w:p>
    <w:p>
      <w:pPr>
        <w:pStyle w:val="TOC2"/>
      </w:pPr>
      <w:hyperlink w:anchor="_Toc300001284" w:history="1">
        <w:r>
          <w:t>Article 36.17: Origin Fraud and Repeat-Offender Discipline</w:t>
        </w:r>
        <w:r>
          <w:tab/>
        </w:r>
        <w:r>
          <w:t>1413</w:t>
        </w:r>
      </w:hyperlink>
    </w:p>
    <w:p>
      <w:pPr>
        <w:pStyle w:val="TOC2"/>
      </w:pPr>
      <w:hyperlink w:anchor="_Toc300001285" w:history="1">
        <w:r>
          <w:t>Article 36.18: Agricultural Market-Access Assurance</w:t>
        </w:r>
        <w:r>
          <w:tab/>
        </w:r>
        <w:r>
          <w:t>1414</w:t>
        </w:r>
      </w:hyperlink>
    </w:p>
    <w:p>
      <w:pPr>
        <w:pStyle w:val="TOC2"/>
      </w:pPr>
      <w:hyperlink w:anchor="_Toc300001286" w:history="1">
        <w:r>
          <w:t>Article 36.19: North American Energy Security and Continuity</w:t>
        </w:r>
        <w:r>
          <w:tab/>
        </w:r>
        <w:r>
          <w:t>1414</w:t>
        </w:r>
      </w:hyperlink>
    </w:p>
    <w:p>
      <w:pPr>
        <w:pStyle w:val="TOC2"/>
      </w:pPr>
      <w:hyperlink w:anchor="_Toc300001287" w:history="1">
        <w:r>
          <w:t>Article 36.20: Semiconductor and Advanced-Manufacturing Compact</w:t>
        </w:r>
        <w:r>
          <w:tab/>
        </w:r>
        <w:r>
          <w:t>1414</w:t>
        </w:r>
      </w:hyperlink>
    </w:p>
    <w:p>
      <w:pPr>
        <w:pStyle w:val="TOC2"/>
      </w:pPr>
      <w:hyperlink w:anchor="_Toc300001288" w:history="1">
        <w:r>
          <w:t>Article 36.21: Small-Business Export Fast Lane</w:t>
        </w:r>
        <w:r>
          <w:tab/>
        </w:r>
        <w:r>
          <w:t>1414</w:t>
        </w:r>
      </w:hyperlink>
    </w:p>
    <w:p>
      <w:pPr>
        <w:pStyle w:val="TOC2"/>
      </w:pPr>
      <w:hyperlink w:anchor="_Toc300001289" w:history="1">
        <w:r>
          <w:t>Article 36.22: Regulatory Barrier Rapid Review</w:t>
        </w:r>
        <w:r>
          <w:tab/>
        </w:r>
        <w:r>
          <w:t>1415</w:t>
        </w:r>
      </w:hyperlink>
    </w:p>
    <w:p>
      <w:pPr>
        <w:pStyle w:val="TOC2"/>
      </w:pPr>
      <w:hyperlink w:anchor="_Toc300001290" w:history="1">
        <w:r>
          <w:t>Article 36.23: Digital Trade and Advanced-Technology Non-Discrimination</w:t>
        </w:r>
        <w:r>
          <w:tab/>
        </w:r>
        <w:r>
          <w:t>1415</w:t>
        </w:r>
      </w:hyperlink>
    </w:p>
    <w:p>
      <w:pPr>
        <w:pStyle w:val="TOC2"/>
      </w:pPr>
      <w:hyperlink w:anchor="_Toc300001291" w:history="1">
        <w:r>
          <w:t>Article 36.24: North American Trade Rebalancing and Investment Mechanism</w:t>
        </w:r>
        <w:r>
          <w:tab/>
        </w:r>
        <w:r>
          <w:t>1416</w:t>
        </w:r>
      </w:hyperlink>
    </w:p>
    <w:p>
      <w:pPr>
        <w:pStyle w:val="TOC2"/>
      </w:pPr>
      <w:hyperlink w:anchor="_Toc300001292" w:history="1">
        <w:r>
          <w:t>Article 36.25: Voluntary Subnational Market Access Framework</w:t>
        </w:r>
        <w:r>
          <w:tab/>
        </w:r>
        <w:r>
          <w:t>1417</w:t>
        </w:r>
      </w:hyperlink>
    </w:p>
    <w:p>
      <w:pPr>
        <w:pStyle w:val="TOC2"/>
      </w:pPr>
      <w:hyperlink w:anchor="_Toc300001293" w:history="1">
        <w:r>
          <w:t>Article 36.26: Provincial-Demand Agricultural Allocation Option</w:t>
        </w:r>
        <w:r>
          <w:tab/>
        </w:r>
        <w:r>
          <w:t>1417</w:t>
        </w:r>
      </w:hyperlink>
    </w:p>
    <w:p>
      <w:pPr>
        <w:pStyle w:val="TOC2"/>
      </w:pPr>
      <w:hyperlink w:anchor="_Toc300001294" w:history="1">
        <w:r>
          <w:t>Article 36.27: Strategic Procurement and Trusted-Supplier Reciprocity</w:t>
        </w:r>
        <w:r>
          <w:tab/>
        </w:r>
        <w:r>
          <w:t>1418</w:t>
        </w:r>
      </w:hyperlink>
    </w:p>
    <w:p>
      <w:pPr>
        <w:pStyle w:val="TOC2"/>
      </w:pPr>
      <w:hyperlink w:anchor="_Toc300001295" w:history="1">
        <w:r>
          <w:t>Article 36.28: Stronger-Deal Extension Review</w:t>
        </w:r>
        <w:r>
          <w:tab/>
        </w:r>
        <w:r>
          <w:t>1418</w:t>
        </w:r>
      </w:hyperlink>
    </w:p>
    <w:p>
      <w:pPr>
        <w:pStyle w:val="TOC2"/>
      </w:pPr>
      <w:hyperlink w:anchor="_Toc300001296" w:history="1">
        <w:r>
          <w:t>Article 36.29: Supply-Chain Resilience and Worker Transition</w:t>
        </w:r>
        <w:r>
          <w:tab/>
        </w:r>
        <w:r>
          <w:t>1419</w:t>
        </w:r>
      </w:hyperlink>
    </w:p>
    <w:p>
      <w:pPr>
        <w:pStyle w:val="TOC1"/>
      </w:pPr>
      <w:hyperlink w:anchor="_Toc300001297" w:history="1">
        <w:r>
          <w:t>ANNEX 36-A: STRATEGIC NORTH AMERICAN CONTENT ASSURANCE AND RESILIENCE PROTOCOL</w:t>
        </w:r>
        <w:r>
          <w:tab/>
        </w:r>
        <w:r>
          <w:t>1420</w:t>
        </w:r>
      </w:hyperlink>
    </w:p>
    <w:p>
      <w:pPr>
        <w:pStyle w:val="TOC2"/>
      </w:pPr>
      <w:hyperlink w:anchor="_Toc300001298" w:history="1">
        <w:r>
          <w:t>FS-02.1: Purpose, Existing-Law Relationship, and Sovereignty Firewall</w:t>
        </w:r>
        <w:r>
          <w:tab/>
        </w:r>
        <w:r>
          <w:t>1420</w:t>
        </w:r>
      </w:hyperlink>
    </w:p>
    <w:p>
      <w:pPr>
        <w:pStyle w:val="TOC2"/>
      </w:pPr>
      <w:hyperlink w:anchor="_Toc300001299" w:history="1">
        <w:r>
          <w:t>FS-02.2: Eligible Strategic Sectors and Verified Resilience Deficiency</w:t>
        </w:r>
        <w:r>
          <w:tab/>
        </w:r>
        <w:r>
          <w:t>1422</w:t>
        </w:r>
      </w:hyperlink>
    </w:p>
    <w:p>
      <w:pPr>
        <w:pStyle w:val="TOC2"/>
      </w:pPr>
      <w:hyperlink w:anchor="_Toc300001300" w:history="1">
        <w:r>
          <w:t>FS-02.3: Three-Bucket Content and Assurance Architecture</w:t>
        </w:r>
        <w:r>
          <w:tab/>
        </w:r>
        <w:r>
          <w:t>1422</w:t>
        </w:r>
      </w:hyperlink>
    </w:p>
    <w:p>
      <w:pPr>
        <w:pStyle w:val="TOC2"/>
      </w:pPr>
      <w:hyperlink w:anchor="_Toc300001301" w:history="1">
        <w:r>
          <w:t>FS-02.4: Strategic Content Assurance Schedule and Earned Benefits</w:t>
        </w:r>
        <w:r>
          <w:tab/>
        </w:r>
        <w:r>
          <w:t>1424</w:t>
        </w:r>
      </w:hyperlink>
    </w:p>
    <w:p>
      <w:pPr>
        <w:pStyle w:val="TOC2"/>
      </w:pPr>
      <w:hyperlink w:anchor="_Toc300001302" w:history="1">
        <w:r>
          <w:t>FS-02.5: Verification, TNAO, Trusted External Sources, and Anti-Circumvention</w:t>
        </w:r>
        <w:r>
          <w:tab/>
        </w:r>
        <w:r>
          <w:t>1426</w:t>
        </w:r>
      </w:hyperlink>
    </w:p>
    <w:p>
      <w:pPr>
        <w:pStyle w:val="TOC2"/>
      </w:pPr>
      <w:hyperlink w:anchor="_Toc300001303" w:history="1">
        <w:r>
          <w:t>FS-02.6: Anti-Abuse, Review, Exit, and Restoration</w:t>
        </w:r>
        <w:r>
          <w:tab/>
        </w:r>
        <w:r>
          <w:t>1428</w:t>
        </w:r>
      </w:hyperlink>
    </w:p>
    <w:p>
      <w:pPr>
        <w:pStyle w:val="TOC2"/>
      </w:pPr>
      <w:hyperlink w:anchor="_Toc300001304" w:history="1">
        <w:r>
          <w:t>SCHEDULE FS-02-A: STRATEGIC CONTENT ASSURANCE AND RESILIENCE COMMITMENTS, DEVELOPMENT TEMPLATE: NON-OPERATIVE UNTIL ADOPTED</w:t>
        </w:r>
        <w:r>
          <w:tab/>
        </w:r>
        <w:r>
          <w:t>1429</w:t>
        </w:r>
      </w:hyperlink>
    </w:p>
    <w:p>
      <w:pPr>
        <w:pStyle w:val="TOC2"/>
      </w:pPr>
      <w:hyperlink w:anchor="_Toc300001305" w:history="1">
        <w:r>
          <w:t>Required Adopted-Schedule Data</w:t>
        </w:r>
        <w:r>
          <w:tab/>
        </w:r>
        <w:r>
          <w:t>1430</w:t>
        </w:r>
      </w:hyperlink>
    </w:p>
    <w:p>
      <w:pPr>
        <w:pStyle w:val="TOC2"/>
      </w:pPr>
      <w:hyperlink w:anchor="_Toc300001306" w:history="1">
        <w:r>
          <w:t>DEVELOPMENT RED LIGHTS: NON-OPERATIVE DRAFTING CONTROLS</w:t>
        </w:r>
        <w:r>
          <w:tab/>
        </w:r>
        <w:r>
          <w:t>1431</w:t>
        </w:r>
      </w:hyperlink>
    </w:p>
    <w:p>
      <w:pPr>
        <w:pStyle w:val="TOC2"/>
      </w:pPr>
      <w:hyperlink w:anchor="_Toc300001307" w:history="1">
        <w:r>
          <w:t>Module Interface Reference: Extract of the FS-00 Final Settlement Integration Map</w:t>
        </w:r>
        <w:r>
          <w:tab/>
        </w:r>
        <w:r>
          <w:t>1432</w:t>
        </w:r>
      </w:hyperlink>
    </w:p>
    <w:p>
      <w:pPr>
        <w:pStyle w:val="TOC1"/>
      </w:pPr>
      <w:hyperlink w:anchor="_Toc300001308" w:history="1">
        <w:r>
          <w:t>CHAPTER 37 CRITICAL MINERALS AND STRATEGIC MATERIALS</w:t>
        </w:r>
        <w:r>
          <w:tab/>
        </w:r>
        <w:r>
          <w:t>1433</w:t>
        </w:r>
      </w:hyperlink>
    </w:p>
    <w:p>
      <w:pPr>
        <w:pStyle w:val="TOC2"/>
      </w:pPr>
      <w:hyperlink w:anchor="_Toc300001309" w:history="1">
        <w:r>
          <w:t>Article 37.1: Purpose</w:t>
        </w:r>
        <w:r>
          <w:tab/>
        </w:r>
        <w:r>
          <w:t>1433</w:t>
        </w:r>
      </w:hyperlink>
    </w:p>
    <w:p>
      <w:pPr>
        <w:pStyle w:val="TOC2"/>
      </w:pPr>
      <w:hyperlink w:anchor="_Toc300001310" w:history="1">
        <w:r>
          <w:t>Article 37.2: Definitions and Scope</w:t>
        </w:r>
        <w:r>
          <w:tab/>
        </w:r>
        <w:r>
          <w:t>1433</w:t>
        </w:r>
      </w:hyperlink>
    </w:p>
    <w:p>
      <w:pPr>
        <w:pStyle w:val="TOC2"/>
      </w:pPr>
      <w:hyperlink w:anchor="_Toc300001311" w:history="1">
        <w:r>
          <w:t>Article 37.3: Facilitation of Trade</w:t>
        </w:r>
        <w:r>
          <w:tab/>
        </w:r>
        <w:r>
          <w:t>1433</w:t>
        </w:r>
      </w:hyperlink>
    </w:p>
    <w:p>
      <w:pPr>
        <w:pStyle w:val="TOC2"/>
      </w:pPr>
      <w:hyperlink w:anchor="_Toc300001312" w:history="1">
        <w:r>
          <w:t>Article 37.4: Traceability</w:t>
        </w:r>
        <w:r>
          <w:tab/>
        </w:r>
        <w:r>
          <w:t>1434</w:t>
        </w:r>
      </w:hyperlink>
    </w:p>
    <w:p>
      <w:pPr>
        <w:pStyle w:val="TOC2"/>
      </w:pPr>
      <w:hyperlink w:anchor="_Toc300001313" w:history="1">
        <w:r>
          <w:t>Article 37.5: Resilient Processing Capacity</w:t>
        </w:r>
        <w:r>
          <w:tab/>
        </w:r>
        <w:r>
          <w:t>1434</w:t>
        </w:r>
      </w:hyperlink>
    </w:p>
    <w:p>
      <w:pPr>
        <w:pStyle w:val="TOC2"/>
      </w:pPr>
      <w:hyperlink w:anchor="_Toc300001314" w:history="1">
        <w:r>
          <w:t>Article 37.6: Recycling and Circular Supply</w:t>
        </w:r>
        <w:r>
          <w:tab/>
        </w:r>
        <w:r>
          <w:t>1435</w:t>
        </w:r>
      </w:hyperlink>
    </w:p>
    <w:p>
      <w:pPr>
        <w:pStyle w:val="TOC2"/>
      </w:pPr>
      <w:hyperlink w:anchor="_Toc300001315" w:history="1">
        <w:r>
          <w:t>Article 37.6A: Trusted Non-Party Strategic Materials and Advanced-Metals Access</w:t>
        </w:r>
        <w:r>
          <w:tab/>
        </w:r>
        <w:r>
          <w:t>1435</w:t>
        </w:r>
      </w:hyperlink>
    </w:p>
    <w:p>
      <w:pPr>
        <w:pStyle w:val="TOC2"/>
      </w:pPr>
      <w:hyperlink w:anchor="_Toc300001316" w:history="1">
        <w:r>
          <w:t>Article 37.6B: Strategic Resource Non-Exclusivity and Voluntary Offtake</w:t>
        </w:r>
        <w:r>
          <w:tab/>
        </w:r>
        <w:r>
          <w:t>1436</w:t>
        </w:r>
      </w:hyperlink>
    </w:p>
    <w:p>
      <w:pPr>
        <w:pStyle w:val="TOC2"/>
      </w:pPr>
      <w:hyperlink w:anchor="_Toc300001317" w:history="1">
        <w:r>
          <w:t>Article 37.6C: Strategic Materials Preferred Commercial Access Portfolio</w:t>
        </w:r>
        <w:r>
          <w:tab/>
        </w:r>
        <w:r>
          <w:t>1437</w:t>
        </w:r>
      </w:hyperlink>
    </w:p>
    <w:p>
      <w:pPr>
        <w:pStyle w:val="TOC2"/>
      </w:pPr>
      <w:hyperlink w:anchor="_Toc300001318" w:history="1">
        <w:r>
          <w:t>Article 37.6D: Abundance-Sensitive and Strategic-Sensitivity Calibration</w:t>
        </w:r>
        <w:r>
          <w:tab/>
        </w:r>
        <w:r>
          <w:t>1438</w:t>
        </w:r>
      </w:hyperlink>
    </w:p>
    <w:p>
      <w:pPr>
        <w:pStyle w:val="TOC2"/>
      </w:pPr>
      <w:hyperlink w:anchor="_Toc300001319" w:history="1">
        <w:r>
          <w:t>Article 37.7: Strategic Stockpile Information</w:t>
        </w:r>
        <w:r>
          <w:tab/>
        </w:r>
        <w:r>
          <w:t>1438</w:t>
        </w:r>
      </w:hyperlink>
    </w:p>
    <w:p>
      <w:pPr>
        <w:pStyle w:val="TOC2"/>
      </w:pPr>
      <w:hyperlink w:anchor="_Toc300001322" w:history="1">
        <w:r>
          <w:t>Article 37.8: North American Aluminum Security and Capacity Expansion</w:t>
        </w:r>
        <w:r>
          <w:tab/>
        </w:r>
        <w:r>
          <w:t>1438</w:t>
        </w:r>
      </w:hyperlink>
    </w:p>
    <w:p>
      <w:pPr>
        <w:pStyle w:val="TOC2"/>
      </w:pPr>
      <w:hyperlink w:anchor="_Toc300001323" w:history="1">
        <w:r>
          <w:t>Article 37.9: Semiconductor Materials Security and High-Purity Processing</w:t>
        </w:r>
        <w:r>
          <w:tab/>
        </w:r>
        <w:r>
          <w:t>1438</w:t>
        </w:r>
      </w:hyperlink>
    </w:p>
    <w:p>
      <w:pPr>
        <w:pStyle w:val="TOC2"/>
      </w:pPr>
      <w:hyperlink w:anchor="_Toc300001324" w:history="1">
        <w:r>
          <w:t>Article 37.10: North American Strategic Materials Compact and Reciprocal Supply Assurance</w:t>
        </w:r>
        <w:r>
          <w:tab/>
        </w:r>
        <w:r>
          <w:t>1439</w:t>
        </w:r>
      </w:hyperlink>
    </w:p>
    <w:p>
      <w:pPr>
        <w:pStyle w:val="TOC2"/>
      </w:pPr>
      <w:hyperlink w:anchor="_Toc300001325" w:history="1">
        <w:r>
          <w:t>Article 37.11: Strategic Availability Rates, Capacity-Ramp Commitments, and Continuity Guarantees</w:t>
        </w:r>
        <w:r>
          <w:tab/>
        </w:r>
        <w:r>
          <w:t>1439</w:t>
        </w:r>
      </w:hyperlink>
    </w:p>
    <w:p>
      <w:pPr>
        <w:pStyle w:val="TOC2"/>
      </w:pPr>
      <w:hyperlink w:anchor="_Toc300001326" w:history="1">
        <w:r>
          <w:t>Article 37.12: Strategic Availability Calibration and Technical Review</w:t>
        </w:r>
        <w:r>
          <w:tab/>
        </w:r>
        <w:r>
          <w:t>1440</w:t>
        </w:r>
      </w:hyperlink>
    </w:p>
    <w:p>
      <w:pPr>
        <w:pStyle w:val="TOC2"/>
      </w:pPr>
      <w:hyperlink w:anchor="_Toc300001327" w:history="1">
        <w:r>
          <w:t>Article 37.13: Strategic Value-Added Levels and Processing-First Development</w:t>
        </w:r>
        <w:r>
          <w:tab/>
        </w:r>
        <w:r>
          <w:t>1441</w:t>
        </w:r>
      </w:hyperlink>
    </w:p>
    <w:p>
      <w:pPr>
        <w:pStyle w:val="TOC2"/>
      </w:pPr>
      <w:hyperlink w:anchor="_Toc300001328" w:history="1">
        <w:r>
          <w:t>Article 37.14: Strategic Project Pipeline, Qualification, Offtake, and Reserve Eligibility</w:t>
        </w:r>
        <w:r>
          <w:tab/>
        </w:r>
        <w:r>
          <w:t>1442</w:t>
        </w:r>
      </w:hyperlink>
    </w:p>
    <w:p>
      <w:pPr>
        <w:pStyle w:val="TOC2"/>
      </w:pPr>
      <w:hyperlink w:anchor="_Toc300001329" w:history="1">
        <w:r>
          <w:t>Article 37.15: Emergency Allocation, Domestic-Needs Floor, and No Preferential Starvation</w:t>
        </w:r>
        <w:r>
          <w:tab/>
        </w:r>
        <w:r>
          <w:t>1442</w:t>
        </w:r>
      </w:hyperlink>
    </w:p>
    <w:p>
      <w:pPr>
        <w:pStyle w:val="TOC2"/>
      </w:pPr>
      <w:hyperlink w:anchor="_Toc300001330" w:history="1">
        <w:r>
          <w:t>Article 37.16: Anti-Hoarding, Anti-Diversion, Origin Integrity, and Strategic Supply Verification</w:t>
        </w:r>
        <w:r>
          <w:tab/>
        </w:r>
        <w:r>
          <w:t>1443</w:t>
        </w:r>
      </w:hyperlink>
    </w:p>
    <w:p>
      <w:pPr>
        <w:pStyle w:val="TOC2"/>
      </w:pPr>
      <w:hyperlink w:anchor="_Toc300001331" w:history="1">
        <w:r>
          <w:t>Article 37.17: Trilateral Industrialization, Community Participation, and Circular Supply</w:t>
        </w:r>
        <w:r>
          <w:tab/>
        </w:r>
        <w:r>
          <w:t>1443</w:t>
        </w:r>
      </w:hyperlink>
    </w:p>
    <w:p>
      <w:pPr>
        <w:pStyle w:val="TOC2"/>
      </w:pPr>
      <w:hyperlink w:anchor="_Toc300001332" w:history="1">
        <w:r>
          <w:t>Article 37.18: Strategic Resources Stability Bargain and Cross-Sector De-escalation</w:t>
        </w:r>
        <w:r>
          <w:tab/>
        </w:r>
        <w:r>
          <w:t>1444</w:t>
        </w:r>
      </w:hyperlink>
    </w:p>
    <w:p>
      <w:pPr>
        <w:pStyle w:val="TOC2"/>
      </w:pPr>
      <w:hyperlink w:anchor="_Toc300001334" w:history="1">
        <w:r>
          <w:t>Article 37.19: North American Strategic Minerals Bargain Framework</w:t>
        </w:r>
        <w:r>
          <w:tab/>
        </w:r>
        <w:r>
          <w:t>1444</w:t>
        </w:r>
      </w:hyperlink>
    </w:p>
    <w:p>
      <w:pPr>
        <w:pStyle w:val="TOC2"/>
      </w:pPr>
      <w:hyperlink w:anchor="_Toc300001335" w:history="1">
        <w:r>
          <w:t>Article 37.20: Strategic Supply Access and Offtake</w:t>
        </w:r>
        <w:r>
          <w:tab/>
        </w:r>
        <w:r>
          <w:t>1445</w:t>
        </w:r>
      </w:hyperlink>
    </w:p>
    <w:p>
      <w:pPr>
        <w:pStyle w:val="TOC2"/>
      </w:pPr>
      <w:hyperlink w:anchor="_Toc300001336" w:history="1">
        <w:r>
          <w:t>Article 37.21: Midstream Gap Register and Raw-to-Refined Additionality</w:t>
        </w:r>
        <w:r>
          <w:tab/>
        </w:r>
        <w:r>
          <w:t>1445</w:t>
        </w:r>
      </w:hyperlink>
    </w:p>
    <w:p>
      <w:pPr>
        <w:pStyle w:val="TOC2"/>
      </w:pPr>
      <w:hyperlink w:anchor="_Toc300001337" w:history="1">
        <w:r>
          <w:t>Article 37.22: Canada - Midstream Industrialization Track</w:t>
        </w:r>
        <w:r>
          <w:tab/>
        </w:r>
        <w:r>
          <w:t>1446</w:t>
        </w:r>
      </w:hyperlink>
    </w:p>
    <w:p>
      <w:pPr>
        <w:pStyle w:val="TOC2"/>
      </w:pPr>
      <w:hyperlink w:anchor="_Toc300001338" w:history="1">
        <w:r>
          <w:t>Article 37.23: United States - Strategic Dependency Reduction Track</w:t>
        </w:r>
        <w:r>
          <w:tab/>
        </w:r>
        <w:r>
          <w:t>1446</w:t>
        </w:r>
      </w:hyperlink>
    </w:p>
    <w:p>
      <w:pPr>
        <w:pStyle w:val="TOC2"/>
      </w:pPr>
      <w:hyperlink w:anchor="_Toc300001339" w:history="1">
        <w:r>
          <w:t>Article 37.24: Mexico - Industrial Inputs Security and Specialty Minerals Track</w:t>
        </w:r>
        <w:r>
          <w:tab/>
        </w:r>
        <w:r>
          <w:t>1446</w:t>
        </w:r>
      </w:hyperlink>
    </w:p>
    <w:p>
      <w:pPr>
        <w:pStyle w:val="TOC2"/>
      </w:pPr>
      <w:hyperlink w:anchor="_Toc300001340" w:history="1">
        <w:r>
          <w:t>Article 37.25: Mexican Fluorspar, Antimony, and Bismuth Cooperation</w:t>
        </w:r>
        <w:r>
          <w:tab/>
        </w:r>
        <w:r>
          <w:t>1447</w:t>
        </w:r>
      </w:hyperlink>
    </w:p>
    <w:p>
      <w:pPr>
        <w:pStyle w:val="TOC2"/>
      </w:pPr>
      <w:hyperlink w:anchor="_Toc300001341" w:history="1">
        <w:r>
          <w:t>Article 37.26: By-Product Recovery and Circular Strategic Materials Initiative</w:t>
        </w:r>
        <w:r>
          <w:tab/>
        </w:r>
        <w:r>
          <w:t>1447</w:t>
        </w:r>
      </w:hyperlink>
    </w:p>
    <w:p>
      <w:pPr>
        <w:pStyle w:val="TOC2"/>
      </w:pPr>
      <w:hyperlink w:anchor="_Toc300001342" w:history="1">
        <w:r>
          <w:t>Article 37.27: In-Continent Conversion Incentive and Processing Retention Principle</w:t>
        </w:r>
        <w:r>
          <w:tab/>
        </w:r>
        <w:r>
          <w:t>1448</w:t>
        </w:r>
      </w:hyperlink>
    </w:p>
    <w:p>
      <w:pPr>
        <w:pStyle w:val="TOC2"/>
      </w:pPr>
      <w:hyperlink w:anchor="_Toc300001343" w:history="1">
        <w:r>
          <w:t>Article 37.28: Strategic Supply Surge Doctrine</w:t>
        </w:r>
        <w:r>
          <w:tab/>
        </w:r>
        <w:r>
          <w:t>1448</w:t>
        </w:r>
      </w:hyperlink>
    </w:p>
    <w:p>
      <w:pPr>
        <w:pStyle w:val="TOC2"/>
      </w:pPr>
      <w:hyperlink w:anchor="_Toc300001344" w:history="1">
        <w:r>
          <w:t>Article 37.29: Authorized Supply Surge Firewall</w:t>
        </w:r>
        <w:r>
          <w:tab/>
        </w:r>
        <w:r>
          <w:t>1448</w:t>
        </w:r>
      </w:hyperlink>
    </w:p>
    <w:p>
      <w:pPr>
        <w:pStyle w:val="TOC2"/>
      </w:pPr>
      <w:hyperlink w:anchor="_Toc300001345" w:history="1">
        <w:r>
          <w:t>Article 37.30: North American Strategic Chain Qualification</w:t>
        </w:r>
        <w:r>
          <w:tab/>
        </w:r>
        <w:r>
          <w:t>1449</w:t>
        </w:r>
      </w:hyperlink>
    </w:p>
    <w:p>
      <w:pPr>
        <w:pStyle w:val="TOC2"/>
      </w:pPr>
      <w:hyperlink w:anchor="_Toc300001346" w:history="1">
        <w:r>
          <w:t>Article 37.31: North American Strategic Industrial Scale-Up Pathway</w:t>
        </w:r>
        <w:r>
          <w:tab/>
        </w:r>
        <w:r>
          <w:t>1449</w:t>
        </w:r>
      </w:hyperlink>
    </w:p>
    <w:p>
      <w:pPr>
        <w:pStyle w:val="TOC2"/>
      </w:pPr>
      <w:hyperlink w:anchor="_Toc300001347" w:history="1">
        <w:r>
          <w:t>Article 37.32: Critical Minerals Pilot Plant and Demonstration Network</w:t>
        </w:r>
        <w:r>
          <w:tab/>
        </w:r>
        <w:r>
          <w:t>1449</w:t>
        </w:r>
      </w:hyperlink>
    </w:p>
    <w:p>
      <w:pPr>
        <w:pStyle w:val="TOC2"/>
      </w:pPr>
      <w:hyperlink w:anchor="_Toc300001348" w:history="1">
        <w:r>
          <w:t>Article 37.33: Strategic Project Risk-Sharing and Insurance Facilitation</w:t>
        </w:r>
        <w:r>
          <w:tab/>
        </w:r>
        <w:r>
          <w:t>1450</w:t>
        </w:r>
      </w:hyperlink>
    </w:p>
    <w:p>
      <w:pPr>
        <w:pStyle w:val="TOC2"/>
      </w:pPr>
      <w:hyperlink w:anchor="_Toc300001349" w:history="1">
        <w:r>
          <w:t>Article 37.34: Urban Mining, Magnet Recovery, and Secondary Resource Inventory</w:t>
        </w:r>
        <w:r>
          <w:tab/>
        </w:r>
        <w:r>
          <w:t>1450</w:t>
        </w:r>
      </w:hyperlink>
    </w:p>
    <w:p>
      <w:pPr>
        <w:pStyle w:val="TOC2"/>
      </w:pPr>
      <w:hyperlink w:anchor="_Toc300001350" w:history="1">
        <w:r>
          <w:t>Article 37.35: Mineral Substitution, Efficiency, and By-Product Innovation</w:t>
        </w:r>
        <w:r>
          <w:tab/>
        </w:r>
        <w:r>
          <w:t>1450</w:t>
        </w:r>
      </w:hyperlink>
    </w:p>
    <w:p>
      <w:pPr>
        <w:pStyle w:val="TOC2"/>
      </w:pPr>
      <w:hyperlink w:anchor="_Toc300001351" w:history="1">
        <w:r>
          <w:t>Article 37.36: Mine and Processing Community Transition Planning</w:t>
        </w:r>
        <w:r>
          <w:tab/>
        </w:r>
        <w:r>
          <w:t>1450</w:t>
        </w:r>
      </w:hyperlink>
    </w:p>
    <w:p>
      <w:pPr>
        <w:pStyle w:val="TOC2"/>
      </w:pPr>
      <w:hyperlink w:anchor="_Toc300001321" w:history="1">
        <w:r>
          <w:t>ANNEX 37-A: CRITICAL MINERALS AND STRATEGIC MATERIALS LIST</w:t>
        </w:r>
        <w:r>
          <w:tab/>
        </w:r>
        <w:r>
          <w:t>1450</w:t>
        </w:r>
      </w:hyperlink>
    </w:p>
    <w:p>
      <w:pPr>
        <w:pStyle w:val="TOC2"/>
      </w:pPr>
      <w:hyperlink w:anchor="_Toc300001320" w:history="1">
        <w:r>
          <w:t>ANNEX 37-B: INITIAL TRUSTED STRATEGIC MATERIALS COOPERATION</w:t>
        </w:r>
        <w:r>
          <w:tab/>
        </w:r>
        <w:r>
          <w:t>1451</w:t>
        </w:r>
      </w:hyperlink>
    </w:p>
    <w:p>
      <w:pPr>
        <w:pStyle w:val="TOC2"/>
      </w:pPr>
      <w:hyperlink w:anchor="_Toc300001333" w:history="1">
        <w:r>
          <w:t>ANNEX 37-C: NORTH AMERICAN STRATEGIC MATERIALS MATRIX</w:t>
        </w:r>
        <w:r>
          <w:tab/>
        </w:r>
        <w:r>
          <w:t>1452</w:t>
        </w:r>
      </w:hyperlink>
    </w:p>
    <w:p>
      <w:pPr>
        <w:pStyle w:val="TOC1"/>
      </w:pPr>
      <w:hyperlink w:anchor="_Toc300001352" w:history="1">
        <w:r>
          <w:t>CHAPTER 38 EMERGENCY TRADE CONTINUITY</w:t>
        </w:r>
        <w:r>
          <w:tab/>
        </w:r>
        <w:r>
          <w:t>1455</w:t>
        </w:r>
      </w:hyperlink>
    </w:p>
    <w:p>
      <w:pPr>
        <w:pStyle w:val="TOC2"/>
      </w:pPr>
      <w:hyperlink w:anchor="_Toc300001353" w:history="1">
        <w:r>
          <w:t>Article 38.1: Purpose</w:t>
        </w:r>
        <w:r>
          <w:tab/>
        </w:r>
        <w:r>
          <w:t>1455</w:t>
        </w:r>
      </w:hyperlink>
    </w:p>
    <w:p>
      <w:pPr>
        <w:pStyle w:val="TOC2"/>
      </w:pPr>
      <w:hyperlink w:anchor="_Toc300001354" w:history="1">
        <w:r>
          <w:t>Article 38.2: Definitions and Trigger</w:t>
        </w:r>
        <w:r>
          <w:tab/>
        </w:r>
        <w:r>
          <w:t>1455</w:t>
        </w:r>
      </w:hyperlink>
    </w:p>
    <w:p>
      <w:pPr>
        <w:pStyle w:val="TOC2"/>
      </w:pPr>
      <w:hyperlink w:anchor="_Toc300001355" w:history="1">
        <w:r>
          <w:t>Article 38.3: Critical Trade Corridors and Essential Flows</w:t>
        </w:r>
        <w:r>
          <w:tab/>
        </w:r>
        <w:r>
          <w:t>1456</w:t>
        </w:r>
      </w:hyperlink>
    </w:p>
    <w:p>
      <w:pPr>
        <w:pStyle w:val="TOC2"/>
      </w:pPr>
      <w:hyperlink w:anchor="_Toc300001356" w:history="1">
        <w:r>
          <w:t>Article 38.4: Continuity Obligations During an Emergency</w:t>
        </w:r>
        <w:r>
          <w:tab/>
        </w:r>
        <w:r>
          <w:t>1456</w:t>
        </w:r>
      </w:hyperlink>
    </w:p>
    <w:p>
      <w:pPr>
        <w:pStyle w:val="TOC2"/>
      </w:pPr>
      <w:hyperlink w:anchor="_Toc300001357" w:history="1">
        <w:r>
          <w:t>Article 38.5: Emergency Coordination Body</w:t>
        </w:r>
        <w:r>
          <w:tab/>
        </w:r>
        <w:r>
          <w:t>1456</w:t>
        </w:r>
      </w:hyperlink>
    </w:p>
    <w:p>
      <w:pPr>
        <w:pStyle w:val="TOC2"/>
      </w:pPr>
      <w:hyperlink w:anchor="_Toc300001358" w:history="1">
        <w:r>
          <w:t>Article 38.6: Health-Security Supply Chains</w:t>
        </w:r>
        <w:r>
          <w:tab/>
        </w:r>
        <w:r>
          <w:t>1457</w:t>
        </w:r>
      </w:hyperlink>
    </w:p>
    <w:p>
      <w:pPr>
        <w:pStyle w:val="TOC2"/>
      </w:pPr>
      <w:hyperlink w:anchor="_Toc300001359" w:history="1">
        <w:r>
          <w:t>Article 38.7: Food Security Continuity</w:t>
        </w:r>
        <w:r>
          <w:tab/>
        </w:r>
        <w:r>
          <w:t>1457</w:t>
        </w:r>
      </w:hyperlink>
    </w:p>
    <w:p>
      <w:pPr>
        <w:pStyle w:val="TOC2"/>
      </w:pPr>
      <w:hyperlink w:anchor="_Toc300001360" w:history="1">
        <w:r>
          <w:t>Article 38.8: Cyber Incidents Affecting Trade Infrastructure</w:t>
        </w:r>
        <w:r>
          <w:tab/>
        </w:r>
        <w:r>
          <w:t>1457</w:t>
        </w:r>
      </w:hyperlink>
    </w:p>
    <w:p>
      <w:pPr>
        <w:pStyle w:val="TOC2"/>
      </w:pPr>
      <w:hyperlink w:anchor="_Toc300001361" w:history="1">
        <w:r>
          <w:t>Article 38.9: Humanitarian Life-Saving Goods Continuity Protocol</w:t>
        </w:r>
        <w:r>
          <w:tab/>
        </w:r>
        <w:r>
          <w:t>1457</w:t>
        </w:r>
      </w:hyperlink>
    </w:p>
    <w:p>
      <w:pPr>
        <w:pStyle w:val="TOC2"/>
      </w:pPr>
      <w:hyperlink w:anchor="_Toc300001362" w:history="1">
        <w:r>
          <w:t>ANNEX 38-B: Illustrative Humanitarian Life-Saving Categories</w:t>
        </w:r>
        <w:r>
          <w:tab/>
        </w:r>
        <w:r>
          <w:t>1457</w:t>
        </w:r>
      </w:hyperlink>
    </w:p>
    <w:p>
      <w:pPr>
        <w:pStyle w:val="TOC1"/>
      </w:pPr>
      <w:hyperlink w:anchor="_Toc300001363" w:history="1">
        <w:r>
          <w:t>CHAPTER 39 ADVANCED TECHNOLOGY AND ARTIFICIAL INTELLIGENCE</w:t>
        </w:r>
        <w:r>
          <w:tab/>
        </w:r>
        <w:r>
          <w:t>1459</w:t>
        </w:r>
      </w:hyperlink>
    </w:p>
    <w:p>
      <w:pPr>
        <w:pStyle w:val="TOC2"/>
      </w:pPr>
      <w:hyperlink w:anchor="_TocR22_20746" w:history="1">
        <w:r>
          <w:t>PART A: ADVANCED TECHNOLOGY AND OPTIONAL REGULATORY COOPERATION</w:t>
        </w:r>
        <w:r>
          <w:tab/>
        </w:r>
        <w:r>
          <w:t>1459</w:t>
        </w:r>
      </w:hyperlink>
    </w:p>
    <w:p>
      <w:pPr>
        <w:pStyle w:val="TOC2"/>
      </w:pPr>
      <w:hyperlink w:anchor="_Toc300001364" w:history="1">
        <w:r>
          <w:t>Article 39.1: Purpose and Approach</w:t>
        </w:r>
        <w:r>
          <w:tab/>
        </w:r>
        <w:r>
          <w:t>1459</w:t>
        </w:r>
      </w:hyperlink>
    </w:p>
    <w:p>
      <w:pPr>
        <w:pStyle w:val="TOC2"/>
      </w:pPr>
      <w:hyperlink w:anchor="_Toc300001365" w:history="1">
        <w:r>
          <w:t>Article 39.2: AI-Enabled Trade</w:t>
        </w:r>
        <w:r>
          <w:tab/>
        </w:r>
        <w:r>
          <w:t>1459</w:t>
        </w:r>
      </w:hyperlink>
    </w:p>
    <w:p>
      <w:pPr>
        <w:pStyle w:val="TOC2"/>
      </w:pPr>
      <w:hyperlink w:anchor="_Toc300001366" w:history="1">
        <w:r>
          <w:t>Article 39.3: Regulatory Cooperation on Artificial Intelligence</w:t>
        </w:r>
        <w:r>
          <w:tab/>
        </w:r>
        <w:r>
          <w:t>1460</w:t>
        </w:r>
      </w:hyperlink>
    </w:p>
    <w:p>
      <w:pPr>
        <w:pStyle w:val="TOC2"/>
      </w:pPr>
      <w:hyperlink w:anchor="_Toc300001367" w:history="1">
        <w:r>
          <w:t>Article 39.4: Semiconductors and Advanced Electronics</w:t>
        </w:r>
        <w:r>
          <w:tab/>
        </w:r>
        <w:r>
          <w:t>1460</w:t>
        </w:r>
      </w:hyperlink>
    </w:p>
    <w:p>
      <w:pPr>
        <w:pStyle w:val="TOC2"/>
      </w:pPr>
      <w:hyperlink w:anchor="_Toc300001368" w:history="1">
        <w:r>
          <w:t>Article 39.5: Advanced Technology Annex and Technology-Update Mechanism</w:t>
        </w:r>
        <w:r>
          <w:tab/>
        </w:r>
        <w:r>
          <w:t>1460</w:t>
        </w:r>
      </w:hyperlink>
    </w:p>
    <w:p>
      <w:pPr>
        <w:pStyle w:val="TOC2"/>
      </w:pPr>
      <w:hyperlink w:anchor="_Toc300001369" w:history="1">
        <w:r>
          <w:t>Article 39.6: Quantum and Emerging Technologies</w:t>
        </w:r>
        <w:r>
          <w:tab/>
        </w:r>
        <w:r>
          <w:t>1461</w:t>
        </w:r>
      </w:hyperlink>
    </w:p>
    <w:p>
      <w:pPr>
        <w:pStyle w:val="TOC2"/>
      </w:pPr>
      <w:hyperlink w:anchor="_Toc300001370" w:history="1">
        <w:r>
          <w:t>Article 39.7: Strategic Compute Infrastructure Cooperation</w:t>
        </w:r>
        <w:r>
          <w:tab/>
        </w:r>
        <w:r>
          <w:t>1461</w:t>
        </w:r>
      </w:hyperlink>
    </w:p>
    <w:p>
      <w:pPr>
        <w:pStyle w:val="TOC2"/>
      </w:pPr>
      <w:hyperlink w:anchor="_Toc300001371" w:history="1">
        <w:r>
          <w:t>Article 39.8: North American Advanced Compute Demonstration Corridor</w:t>
        </w:r>
        <w:r>
          <w:tab/>
        </w:r>
        <w:r>
          <w:t>1461</w:t>
        </w:r>
      </w:hyperlink>
    </w:p>
    <w:p>
      <w:pPr>
        <w:pStyle w:val="TOC2"/>
      </w:pPr>
      <w:hyperlink w:anchor="_Toc300001372" w:history="1">
        <w:r>
          <w:t>Article 39.9: North American Experimental Technology Pathway</w:t>
        </w:r>
        <w:r>
          <w:tab/>
        </w:r>
        <w:r>
          <w:t>1462</w:t>
        </w:r>
      </w:hyperlink>
    </w:p>
    <w:p>
      <w:pPr>
        <w:pStyle w:val="TOC2"/>
      </w:pPr>
      <w:hyperlink w:anchor="_Toc300001373" w:history="1">
        <w:r>
          <w:t>Article 39.10: Iterative Experimental Development Principle</w:t>
        </w:r>
        <w:r>
          <w:tab/>
        </w:r>
        <w:r>
          <w:t>1462</w:t>
        </w:r>
      </w:hyperlink>
    </w:p>
    <w:p>
      <w:pPr>
        <w:pStyle w:val="TOC2"/>
      </w:pPr>
      <w:hyperlink w:anchor="_Toc300001374" w:history="1">
        <w:r>
          <w:t>Article 39.11: Revalidation Gate After Repeated Unsuccessful Iterations</w:t>
        </w:r>
        <w:r>
          <w:tab/>
        </w:r>
        <w:r>
          <w:t>1462</w:t>
        </w:r>
      </w:hyperlink>
    </w:p>
    <w:p>
      <w:pPr>
        <w:pStyle w:val="TOC2"/>
      </w:pPr>
      <w:hyperlink w:anchor="_Toc300001375" w:history="1">
        <w:r>
          <w:t>Article 39.12: Productive Experimental Closure and Derivative Development</w:t>
        </w:r>
        <w:r>
          <w:tab/>
        </w:r>
        <w:r>
          <w:t>1462</w:t>
        </w:r>
      </w:hyperlink>
    </w:p>
    <w:p>
      <w:pPr>
        <w:pStyle w:val="TOC2"/>
      </w:pPr>
      <w:hyperlink w:anchor="_Toc300001376" w:history="1">
        <w:r>
          <w:t>Article 39.13: North American Semiconductor Security and Competitiveness Pact</w:t>
        </w:r>
        <w:r>
          <w:tab/>
        </w:r>
        <w:r>
          <w:t>1463</w:t>
        </w:r>
      </w:hyperlink>
    </w:p>
    <w:p>
      <w:pPr>
        <w:pStyle w:val="TOC2"/>
      </w:pPr>
      <w:hyperlink w:anchor="_Toc300001377" w:history="1">
        <w:r>
          <w:t>Article 39.14: Semiconductor-Specific Origin, Chiplet, and Packaging Cooperation</w:t>
        </w:r>
        <w:r>
          <w:tab/>
        </w:r>
        <w:r>
          <w:t>1463</w:t>
        </w:r>
      </w:hyperlink>
    </w:p>
    <w:p>
      <w:pPr>
        <w:pStyle w:val="TOC2"/>
      </w:pPr>
      <w:hyperlink w:anchor="_Toc300001378" w:history="1">
        <w:r>
          <w:t>Article 39.15: Capacity-Gap Safe Harbor and Trusted Foundry Access</w:t>
        </w:r>
        <w:r>
          <w:tab/>
        </w:r>
        <w:r>
          <w:t>1464</w:t>
        </w:r>
      </w:hyperlink>
    </w:p>
    <w:p>
      <w:pPr>
        <w:pStyle w:val="TOC2"/>
      </w:pPr>
      <w:hyperlink w:anchor="_Toc300001379" w:history="1">
        <w:r>
          <w:t>Article 39.16: Semiconductor Workforce, Research, and SME Access</w:t>
        </w:r>
        <w:r>
          <w:tab/>
        </w:r>
        <w:r>
          <w:t>1464</w:t>
        </w:r>
      </w:hyperlink>
    </w:p>
    <w:p>
      <w:pPr>
        <w:pStyle w:val="TOC2"/>
      </w:pPr>
      <w:hyperlink w:anchor="_Toc300001380" w:history="1">
        <w:r>
          <w:t>Article 39.17: Semiconductor Capacity Reservation and Shortage Response</w:t>
        </w:r>
        <w:r>
          <w:tab/>
        </w:r>
        <w:r>
          <w:t>1465</w:t>
        </w:r>
      </w:hyperlink>
    </w:p>
    <w:p>
      <w:pPr>
        <w:pStyle w:val="TOC2"/>
      </w:pPr>
      <w:hyperlink w:anchor="_Toc300001381" w:history="1">
        <w:r>
          <w:t>Article 39.18: Semiconductor Investment Additionality and Non-Poaching</w:t>
        </w:r>
        <w:r>
          <w:tab/>
        </w:r>
        <w:r>
          <w:t>1465</w:t>
        </w:r>
      </w:hyperlink>
    </w:p>
    <w:p>
      <w:pPr>
        <w:pStyle w:val="TOC2"/>
      </w:pPr>
      <w:hyperlink w:anchor="_Toc300001382" w:history="1">
        <w:r>
          <w:t>PART B: ARTIFICIAL INTELLIGENCE GOVERNANCE, RIGHTS, SAFETY AND INNOVATION FRAMEWORK</w:t>
        </w:r>
        <w:r>
          <w:tab/>
        </w:r>
        <w:r>
          <w:t>1466</w:t>
        </w:r>
      </w:hyperlink>
    </w:p>
    <w:p>
      <w:pPr>
        <w:pStyle w:val="TOC2"/>
      </w:pPr>
      <w:hyperlink w:anchor="_Toc300001383" w:history="1">
        <w:r>
          <w:t>Article 39.19: Purpose, Scope and Balanced AI Governance</w:t>
        </w:r>
        <w:r>
          <w:tab/>
        </w:r>
        <w:r>
          <w:t>1466</w:t>
        </w:r>
      </w:hyperlink>
    </w:p>
    <w:p>
      <w:pPr>
        <w:pStyle w:val="TOC2"/>
      </w:pPr>
      <w:hyperlink w:anchor="_Toc300001384" w:history="1">
        <w:r>
          <w:t>Article 39.20: Definitions and Functional Classification</w:t>
        </w:r>
        <w:r>
          <w:tab/>
        </w:r>
        <w:r>
          <w:t>1468</w:t>
        </w:r>
      </w:hyperlink>
    </w:p>
    <w:p>
      <w:pPr>
        <w:pStyle w:val="TOC2"/>
      </w:pPr>
      <w:hyperlink w:anchor="_Toc300001385" w:history="1">
        <w:r>
          <w:t>Article 39.21: Risk Classification and Reclassification</w:t>
        </w:r>
        <w:r>
          <w:tab/>
        </w:r>
        <w:r>
          <w:t>1469</w:t>
        </w:r>
      </w:hyperlink>
    </w:p>
    <w:p>
      <w:pPr>
        <w:pStyle w:val="TOC2"/>
      </w:pPr>
      <w:hyperlink w:anchor="_Toc300001386" w:history="1">
        <w:r>
          <w:t>Article 39.22: Governing Firewalls and No AI Exceptionalism</w:t>
        </w:r>
        <w:r>
          <w:tab/>
        </w:r>
        <w:r>
          <w:t>1471</w:t>
        </w:r>
      </w:hyperlink>
    </w:p>
    <w:p>
      <w:pPr>
        <w:pStyle w:val="TOC2"/>
      </w:pPr>
      <w:hyperlink w:anchor="_Toc300001387" w:history="1">
        <w:r>
          <w:t>Article 39.23: Human Authority and Accountable Decision-Making</w:t>
        </w:r>
        <w:r>
          <w:tab/>
        </w:r>
        <w:r>
          <w:t>1473</w:t>
        </w:r>
      </w:hyperlink>
    </w:p>
    <w:p>
      <w:pPr>
        <w:pStyle w:val="TOC2"/>
      </w:pPr>
      <w:hyperlink w:anchor="_Toc300001388" w:history="1">
        <w:r>
          <w:t>Article 39.24: Notice, Explanation and Disclosure to Affected Persons</w:t>
        </w:r>
        <w:r>
          <w:tab/>
        </w:r>
        <w:r>
          <w:t>1474</w:t>
        </w:r>
      </w:hyperlink>
    </w:p>
    <w:p>
      <w:pPr>
        <w:pStyle w:val="TOC2"/>
      </w:pPr>
      <w:hyperlink w:anchor="_Toc300001389" w:history="1">
        <w:r>
          <w:t>Article 39.25: Contestability, Appeal and Correction</w:t>
        </w:r>
        <w:r>
          <w:tab/>
        </w:r>
        <w:r>
          <w:t>1475</w:t>
        </w:r>
      </w:hyperlink>
    </w:p>
    <w:p>
      <w:pPr>
        <w:pStyle w:val="TOC2"/>
      </w:pPr>
      <w:hyperlink w:anchor="_Toc300001390" w:history="1">
        <w:r>
          <w:t>Article 39.26: Consequential Automated Decision Safeguards</w:t>
        </w:r>
        <w:r>
          <w:tab/>
        </w:r>
        <w:r>
          <w:t>1477</w:t>
        </w:r>
      </w:hyperlink>
    </w:p>
    <w:p>
      <w:pPr>
        <w:pStyle w:val="TOC2"/>
      </w:pPr>
      <w:hyperlink w:anchor="_Toc300001391" w:history="1">
        <w:r>
          <w:t>Article 39.27: Impact Assessment and Deployment Documentation</w:t>
        </w:r>
        <w:r>
          <w:tab/>
        </w:r>
        <w:r>
          <w:t>1478</w:t>
        </w:r>
      </w:hyperlink>
    </w:p>
    <w:p>
      <w:pPr>
        <w:pStyle w:val="TOC2"/>
      </w:pPr>
      <w:hyperlink w:anchor="_Toc300001392" w:history="1">
        <w:r>
          <w:t>Article 39.28: Audit, Assurance and Independent Review</w:t>
        </w:r>
        <w:r>
          <w:tab/>
        </w:r>
        <w:r>
          <w:t>1480</w:t>
        </w:r>
      </w:hyperlink>
    </w:p>
    <w:p>
      <w:pPr>
        <w:pStyle w:val="TOC2"/>
      </w:pPr>
      <w:hyperlink w:anchor="_Toc300001393" w:history="1">
        <w:r>
          <w:t>Article 39.29: Performance, Bias and Validation</w:t>
        </w:r>
        <w:r>
          <w:tab/>
        </w:r>
        <w:r>
          <w:t>1481</w:t>
        </w:r>
      </w:hyperlink>
    </w:p>
    <w:p>
      <w:pPr>
        <w:pStyle w:val="TOC2"/>
      </w:pPr>
      <w:hyperlink w:anchor="_Toc300001394" w:history="1">
        <w:r>
          <w:t>Article 39.30: Safety Engineering and Risk Controls</w:t>
        </w:r>
        <w:r>
          <w:tab/>
        </w:r>
        <w:r>
          <w:t>1483</w:t>
        </w:r>
      </w:hyperlink>
    </w:p>
    <w:p>
      <w:pPr>
        <w:pStyle w:val="TOC2"/>
      </w:pPr>
      <w:hyperlink w:anchor="_Toc300001395" w:history="1">
        <w:r>
          <w:t>Article 39.31: Lifecycle Governance and Change Control</w:t>
        </w:r>
        <w:r>
          <w:tab/>
        </w:r>
        <w:r>
          <w:t>1485</w:t>
        </w:r>
      </w:hyperlink>
    </w:p>
    <w:p>
      <w:pPr>
        <w:pStyle w:val="TOC2"/>
      </w:pPr>
      <w:hyperlink w:anchor="_Toc300001396" w:history="1">
        <w:r>
          <w:t>Article 39.32: Red Teaming, Robustness and Adversarial Testing</w:t>
        </w:r>
        <w:r>
          <w:tab/>
        </w:r>
        <w:r>
          <w:t>1486</w:t>
        </w:r>
      </w:hyperlink>
    </w:p>
    <w:p>
      <w:pPr>
        <w:pStyle w:val="TOC2"/>
      </w:pPr>
      <w:hyperlink w:anchor="_Toc300001397" w:history="1">
        <w:r>
          <w:t>Article 39.33: Fail-Safe Design, Graceful Degradation and Rollback</w:t>
        </w:r>
        <w:r>
          <w:tab/>
        </w:r>
        <w:r>
          <w:t>1487</w:t>
        </w:r>
      </w:hyperlink>
    </w:p>
    <w:p>
      <w:pPr>
        <w:pStyle w:val="TOC2"/>
      </w:pPr>
      <w:hyperlink w:anchor="_Toc300001398" w:history="1">
        <w:r>
          <w:t>Article 39.34: Serious AI Incident Classification and Notification</w:t>
        </w:r>
        <w:r>
          <w:tab/>
        </w:r>
        <w:r>
          <w:t>1489</w:t>
        </w:r>
      </w:hyperlink>
    </w:p>
    <w:p>
      <w:pPr>
        <w:pStyle w:val="TOC2"/>
      </w:pPr>
      <w:hyperlink w:anchor="_Toc300001399" w:history="1">
        <w:r>
          <w:t>Article 39.35: Incident Investigation, Learning and Corrective Action</w:t>
        </w:r>
        <w:r>
          <w:tab/>
        </w:r>
        <w:r>
          <w:t>1491</w:t>
        </w:r>
      </w:hyperlink>
    </w:p>
    <w:p>
      <w:pPr>
        <w:pStyle w:val="TOC2"/>
      </w:pPr>
      <w:hyperlink w:anchor="_Toc300001400" w:history="1">
        <w:r>
          <w:t>Article 39.36: Model Identity and Deployment Versioning</w:t>
        </w:r>
        <w:r>
          <w:tab/>
        </w:r>
        <w:r>
          <w:t>1492</w:t>
        </w:r>
      </w:hyperlink>
    </w:p>
    <w:p>
      <w:pPr>
        <w:pStyle w:val="TOC2"/>
      </w:pPr>
      <w:hyperlink w:anchor="_Toc300001401" w:history="1">
        <w:r>
          <w:t>Article 39.37: Material Changes and Revalidation</w:t>
        </w:r>
        <w:r>
          <w:tab/>
        </w:r>
        <w:r>
          <w:t>1493</w:t>
        </w:r>
      </w:hyperlink>
    </w:p>
    <w:p>
      <w:pPr>
        <w:pStyle w:val="TOC2"/>
      </w:pPr>
      <w:hyperlink w:anchor="_Toc300001402" w:history="1">
        <w:r>
          <w:t>Article 39.38: Traceability, Logging and Decision Reconstruction</w:t>
        </w:r>
        <w:r>
          <w:tab/>
        </w:r>
        <w:r>
          <w:t>1495</w:t>
        </w:r>
      </w:hyperlink>
    </w:p>
    <w:p>
      <w:pPr>
        <w:pStyle w:val="TOC2"/>
      </w:pPr>
      <w:hyperlink w:anchor="_Toc300001403" w:history="1">
        <w:r>
          <w:t>Article 39.39: AI Output Verification and Hallucination Literacy</w:t>
        </w:r>
        <w:r>
          <w:tab/>
        </w:r>
        <w:r>
          <w:t>1497</w:t>
        </w:r>
      </w:hyperlink>
    </w:p>
    <w:p>
      <w:pPr>
        <w:pStyle w:val="TOC2"/>
      </w:pPr>
      <w:hyperlink w:anchor="_Toc300001404" w:history="1">
        <w:r>
          <w:t>Article 39.40: Source-Boundary and Context Integrity</w:t>
        </w:r>
        <w:r>
          <w:tab/>
        </w:r>
        <w:r>
          <w:t>1498</w:t>
        </w:r>
      </w:hyperlink>
    </w:p>
    <w:p>
      <w:pPr>
        <w:pStyle w:val="TOC2"/>
      </w:pPr>
      <w:hyperlink w:anchor="_Toc300001405" w:history="1">
        <w:r>
          <w:t>Article 39.41: Privacy, Data Minimization and Purpose Limitation</w:t>
        </w:r>
        <w:r>
          <w:tab/>
        </w:r>
        <w:r>
          <w:t>1499</w:t>
        </w:r>
      </w:hyperlink>
    </w:p>
    <w:p>
      <w:pPr>
        <w:pStyle w:val="TOC2"/>
      </w:pPr>
      <w:hyperlink w:anchor="_Toc300001406" w:history="1">
        <w:r>
          <w:t>Article 39.42: Training Data Rights and Governance</w:t>
        </w:r>
        <w:r>
          <w:tab/>
        </w:r>
        <w:r>
          <w:t>1501</w:t>
        </w:r>
      </w:hyperlink>
    </w:p>
    <w:p>
      <w:pPr>
        <w:pStyle w:val="TOC2"/>
      </w:pPr>
      <w:hyperlink w:anchor="_Toc300001407" w:history="1">
        <w:r>
          <w:t>Article 39.43: Model Memorization, Leakage and Confidentiality</w:t>
        </w:r>
        <w:r>
          <w:tab/>
        </w:r>
        <w:r>
          <w:t>1503</w:t>
        </w:r>
      </w:hyperlink>
    </w:p>
    <w:p>
      <w:pPr>
        <w:pStyle w:val="TOC2"/>
      </w:pPr>
      <w:hyperlink w:anchor="_Toc300001408" w:history="1">
        <w:r>
          <w:t>Article 39.44: Biometrics and Persistent Identity</w:t>
        </w:r>
        <w:r>
          <w:tab/>
        </w:r>
        <w:r>
          <w:t>1504</w:t>
        </w:r>
      </w:hyperlink>
    </w:p>
    <w:p>
      <w:pPr>
        <w:pStyle w:val="TOC2"/>
      </w:pPr>
      <w:hyperlink w:anchor="_Toc300001409" w:history="1">
        <w:r>
          <w:t>Article 39.45: Synthetic Media, Authenticity and Provenance</w:t>
        </w:r>
        <w:r>
          <w:tab/>
        </w:r>
        <w:r>
          <w:t>1506</w:t>
        </w:r>
      </w:hyperlink>
    </w:p>
    <w:p>
      <w:pPr>
        <w:pStyle w:val="TOC2"/>
      </w:pPr>
      <w:hyperlink w:anchor="_Toc300001410" w:history="1">
        <w:r>
          <w:t>Article 39.46: Impersonation, Voice Cloning and Deepfake Harm</w:t>
        </w:r>
        <w:r>
          <w:tab/>
        </w:r>
        <w:r>
          <w:t>1507</w:t>
        </w:r>
      </w:hyperlink>
    </w:p>
    <w:p>
      <w:pPr>
        <w:pStyle w:val="TOC2"/>
      </w:pPr>
      <w:hyperlink w:anchor="_Toc300001411" w:history="1">
        <w:r>
          <w:t>Article 39.47: Worker Notice, Consultation and Deployment</w:t>
        </w:r>
        <w:r>
          <w:tab/>
        </w:r>
        <w:r>
          <w:t>1509</w:t>
        </w:r>
      </w:hyperlink>
    </w:p>
    <w:p>
      <w:pPr>
        <w:pStyle w:val="TOC2"/>
      </w:pPr>
      <w:hyperlink w:anchor="_Toc300001412" w:history="1">
        <w:r>
          <w:t>Article 39.48: Automated Hiring, Discipline and Termination</w:t>
        </w:r>
        <w:r>
          <w:tab/>
        </w:r>
        <w:r>
          <w:t>1510</w:t>
        </w:r>
      </w:hyperlink>
    </w:p>
    <w:p>
      <w:pPr>
        <w:pStyle w:val="TOC2"/>
      </w:pPr>
      <w:hyperlink w:anchor="_Toc300001413" w:history="1">
        <w:r>
          <w:t>Article 39.49: Worker Monitoring, Scoring and Dignity</w:t>
        </w:r>
        <w:r>
          <w:tab/>
        </w:r>
        <w:r>
          <w:t>1512</w:t>
        </w:r>
      </w:hyperlink>
    </w:p>
    <w:p>
      <w:pPr>
        <w:pStyle w:val="TOC2"/>
      </w:pPr>
      <w:hyperlink w:anchor="_Toc300001414" w:history="1">
        <w:r>
          <w:t>Article 39.50: Platform, Gig and Worker Data Governance</w:t>
        </w:r>
        <w:r>
          <w:tab/>
        </w:r>
        <w:r>
          <w:t>1514</w:t>
        </w:r>
      </w:hyperlink>
    </w:p>
    <w:p>
      <w:pPr>
        <w:pStyle w:val="TOC2"/>
      </w:pPr>
      <w:hyperlink w:anchor="_Toc300001415" w:history="1">
        <w:r>
          <w:t>Article 39.51: Healthcare AI Clinical Authority</w:t>
        </w:r>
        <w:r>
          <w:tab/>
        </w:r>
        <w:r>
          <w:t>1515</w:t>
        </w:r>
      </w:hyperlink>
    </w:p>
    <w:p>
      <w:pPr>
        <w:pStyle w:val="TOC2"/>
      </w:pPr>
      <w:hyperlink w:anchor="_Toc300001416" w:history="1">
        <w:r>
          <w:t>Article 39.52: Healthcare AI Validation and Performance</w:t>
        </w:r>
        <w:r>
          <w:tab/>
        </w:r>
        <w:r>
          <w:t>1517</w:t>
        </w:r>
      </w:hyperlink>
    </w:p>
    <w:p>
      <w:pPr>
        <w:pStyle w:val="TOC2"/>
      </w:pPr>
      <w:hyperlink w:anchor="_Toc300001417" w:history="1">
        <w:r>
          <w:t>Article 39.53: Healthcare AI Consent, Privacy and Patient Data</w:t>
        </w:r>
        <w:r>
          <w:tab/>
        </w:r>
        <w:r>
          <w:t>1519</w:t>
        </w:r>
      </w:hyperlink>
    </w:p>
    <w:p>
      <w:pPr>
        <w:pStyle w:val="TOC2"/>
      </w:pPr>
      <w:hyperlink w:anchor="_Toc300001418" w:history="1">
        <w:r>
          <w:t>Article 39.54: Healthcare Deployment, Change Control and Human Factors</w:t>
        </w:r>
        <w:r>
          <w:tab/>
        </w:r>
        <w:r>
          <w:t>1520</w:t>
        </w:r>
      </w:hyperlink>
    </w:p>
    <w:p>
      <w:pPr>
        <w:pStyle w:val="TOC2"/>
      </w:pPr>
      <w:hyperlink w:anchor="_Toc300001419" w:history="1">
        <w:r>
          <w:t>Article 39.55: Healthcare Post-Market Safety, Equity and Access</w:t>
        </w:r>
        <w:r>
          <w:tab/>
        </w:r>
        <w:r>
          <w:t>1521</w:t>
        </w:r>
      </w:hyperlink>
    </w:p>
    <w:p>
      <w:pPr>
        <w:pStyle w:val="TOC2"/>
      </w:pPr>
      <w:hyperlink w:anchor="_Toc300001420" w:history="1">
        <w:r>
          <w:t>Article 39.56: Teacher, Student and Institutional Human Authority</w:t>
        </w:r>
        <w:r>
          <w:tab/>
        </w:r>
        <w:r>
          <w:t>1523</w:t>
        </w:r>
      </w:hyperlink>
    </w:p>
    <w:p>
      <w:pPr>
        <w:pStyle w:val="TOC2"/>
      </w:pPr>
      <w:hyperlink w:anchor="_Toc300001421" w:history="1">
        <w:r>
          <w:t>Article 39.57: Student Privacy, Age-Appropriate Design and Safety</w:t>
        </w:r>
        <w:r>
          <w:tab/>
        </w:r>
        <w:r>
          <w:t>1525</w:t>
        </w:r>
      </w:hyperlink>
    </w:p>
    <w:p>
      <w:pPr>
        <w:pStyle w:val="TOC2"/>
      </w:pPr>
      <w:hyperlink w:anchor="_Toc300001422" w:history="1">
        <w:r>
          <w:t>Article 39.58: Educational Assessment, Integrity and Fairness</w:t>
        </w:r>
        <w:r>
          <w:tab/>
        </w:r>
        <w:r>
          <w:t>1527</w:t>
        </w:r>
      </w:hyperlink>
    </w:p>
    <w:p>
      <w:pPr>
        <w:pStyle w:val="TOC2"/>
      </w:pPr>
      <w:hyperlink w:anchor="_Toc300001423" w:history="1">
        <w:r>
          <w:t>Article 39.59: AI Literacy, Verification and Public Capability</w:t>
        </w:r>
        <w:r>
          <w:tab/>
        </w:r>
        <w:r>
          <w:t>1528</w:t>
        </w:r>
      </w:hyperlink>
    </w:p>
    <w:p>
      <w:pPr>
        <w:pStyle w:val="TOC2"/>
      </w:pPr>
      <w:hyperlink w:anchor="_Toc300001424" w:history="1">
        <w:r>
          <w:t>Article 39.60: AI Cybersecurity, Poisoning and Adversarial Resilience</w:t>
        </w:r>
        <w:r>
          <w:tab/>
        </w:r>
        <w:r>
          <w:t>1529</w:t>
        </w:r>
      </w:hyperlink>
    </w:p>
    <w:p>
      <w:pPr>
        <w:pStyle w:val="TOC2"/>
      </w:pPr>
      <w:hyperlink w:anchor="_Toc300001425" w:history="1">
        <w:r>
          <w:t>Article 39.61: Critical Infrastructure AI Resilience</w:t>
        </w:r>
        <w:r>
          <w:tab/>
        </w:r>
        <w:r>
          <w:t>1531</w:t>
        </w:r>
      </w:hyperlink>
    </w:p>
    <w:p>
      <w:pPr>
        <w:pStyle w:val="TOC2"/>
      </w:pPr>
      <w:hyperlink w:anchor="_Toc300001426" w:history="1">
        <w:r>
          <w:t>Article 39.62: AI Supply Chain, Vendor and Open-Source Security</w:t>
        </w:r>
        <w:r>
          <w:tab/>
        </w:r>
        <w:r>
          <w:t>1532</w:t>
        </w:r>
      </w:hyperlink>
    </w:p>
    <w:p>
      <w:pPr>
        <w:pStyle w:val="TOC2"/>
      </w:pPr>
      <w:hyperlink w:anchor="_Toc300001427" w:history="1">
        <w:r>
          <w:t>Article 39.63: Compute Infrastructure, Data Sovereignty, Industrial Capacity and Talent</w:t>
        </w:r>
        <w:r>
          <w:tab/>
        </w:r>
        <w:r>
          <w:t>1533</w:t>
        </w:r>
      </w:hyperlink>
    </w:p>
    <w:p>
      <w:pPr>
        <w:pStyle w:val="TOC2"/>
      </w:pPr>
      <w:hyperlink w:anchor="_Toc300001428" w:history="1">
        <w:r>
          <w:t>Article 39.64: Consumer Protection, Accessibility and Market Fairness</w:t>
        </w:r>
        <w:r>
          <w:tab/>
        </w:r>
        <w:r>
          <w:t>1534</w:t>
        </w:r>
      </w:hyperlink>
    </w:p>
    <w:p>
      <w:pPr>
        <w:pStyle w:val="TOC2"/>
      </w:pPr>
      <w:hyperlink w:anchor="_Toc300001429" w:history="1">
        <w:r>
          <w:t>Article 39.65: Indigenous Data and AI Governance</w:t>
        </w:r>
        <w:r>
          <w:tab/>
        </w:r>
        <w:r>
          <w:t>1536</w:t>
        </w:r>
      </w:hyperlink>
    </w:p>
    <w:p>
      <w:pPr>
        <w:pStyle w:val="TOC2"/>
      </w:pPr>
      <w:hyperlink w:anchor="_Toc300001430" w:history="1">
        <w:r>
          <w:t>Article 39.66: Research, Open Science, Sandboxes and Environmental Applications</w:t>
        </w:r>
        <w:r>
          <w:tab/>
        </w:r>
        <w:r>
          <w:t>1537</w:t>
        </w:r>
      </w:hyperlink>
    </w:p>
    <w:p>
      <w:pPr>
        <w:pStyle w:val="TOC2"/>
      </w:pPr>
      <w:hyperlink w:anchor="_Toc300001431" w:history="1">
        <w:r>
          <w:t>Article 39.67: Military and National-Security AI Safeguards</w:t>
        </w:r>
        <w:r>
          <w:tab/>
        </w:r>
        <w:r>
          <w:t>1539</w:t>
        </w:r>
      </w:hyperlink>
    </w:p>
    <w:p>
      <w:pPr>
        <w:pStyle w:val="TOC2"/>
      </w:pPr>
      <w:hyperlink w:anchor="_Toc300001432" w:history="1">
        <w:r>
          <w:t>Article 39.68: Cognitive Liberty and Freedom of AI-Assisted Thought</w:t>
        </w:r>
        <w:r>
          <w:tab/>
        </w:r>
        <w:r>
          <w:t>1539</w:t>
        </w:r>
      </w:hyperlink>
    </w:p>
    <w:p>
      <w:pPr>
        <w:pStyle w:val="TOC2"/>
      </w:pPr>
      <w:hyperlink w:anchor="_Toc300001433" w:history="1">
        <w:r>
          <w:t>Article 39.69: Mental-Health Nondiscrimination and Diagnostic Integrity</w:t>
        </w:r>
        <w:r>
          <w:tab/>
        </w:r>
        <w:r>
          <w:t>1541</w:t>
        </w:r>
      </w:hyperlink>
    </w:p>
    <w:p>
      <w:pPr>
        <w:pStyle w:val="TOC2"/>
      </w:pPr>
      <w:hyperlink w:anchor="_Toc300001434" w:history="1">
        <w:r>
          <w:t>Article 39.70: AI Conversation Privacy and Mental-Health Procedural Safeguards</w:t>
        </w:r>
        <w:r>
          <w:tab/>
        </w:r>
        <w:r>
          <w:t>1542</w:t>
        </w:r>
      </w:hyperlink>
    </w:p>
    <w:p>
      <w:pPr>
        <w:pStyle w:val="TOC2"/>
      </w:pPr>
      <w:hyperlink w:anchor="_Toc300001435" w:history="1">
        <w:r>
          <w:t>Article 39.71: Provider and Clinical Mental-Health Safeguards</w:t>
        </w:r>
        <w:r>
          <w:tab/>
        </w:r>
        <w:r>
          <w:t>1544</w:t>
        </w:r>
      </w:hyperlink>
    </w:p>
    <w:p>
      <w:pPr>
        <w:pStyle w:val="TOC2"/>
      </w:pPr>
      <w:hyperlink w:anchor="_Toc300001436" w:history="1">
        <w:r>
          <w:t>Article 39.72: Agentic, Embodied and Emerging AI</w:t>
        </w:r>
        <w:r>
          <w:tab/>
        </w:r>
        <w:r>
          <w:t>1545</w:t>
        </w:r>
      </w:hyperlink>
    </w:p>
    <w:p>
      <w:pPr>
        <w:pStyle w:val="TOC2"/>
      </w:pPr>
      <w:hyperlink w:anchor="_Toc300001437" w:history="1">
        <w:r>
          <w:t>Article 39.73: Interoperability, International Standards and Regulatory Cooperation</w:t>
        </w:r>
        <w:r>
          <w:tab/>
        </w:r>
        <w:r>
          <w:t>1546</w:t>
        </w:r>
      </w:hyperlink>
    </w:p>
    <w:p>
      <w:pPr>
        <w:pStyle w:val="TOC2"/>
      </w:pPr>
      <w:hyperlink w:anchor="_Toc300001438" w:history="1">
        <w:r>
          <w:t>Article 39.74: Institutions, Remedies, Optionality and Closing Rules</w:t>
        </w:r>
        <w:r>
          <w:tab/>
        </w:r>
        <w:r>
          <w:t>1547</w:t>
        </w:r>
      </w:hyperlink>
    </w:p>
    <w:p>
      <w:pPr>
        <w:pStyle w:val="TOC2"/>
      </w:pPr>
      <w:hyperlink w:anchor="_Toc300001439" w:history="1">
        <w:r>
          <w:t>Article 39.75: Relationship to Existing Chapter 39 Architecture</w:t>
        </w:r>
        <w:r>
          <w:tab/>
        </w:r>
        <w:r>
          <w:t>1549</w:t>
        </w:r>
      </w:hyperlink>
    </w:p>
    <w:p>
      <w:pPr>
        <w:pStyle w:val="TOC2"/>
      </w:pPr>
      <w:hyperlink w:anchor="_Toc300001440" w:history="1">
        <w:r>
          <w:t>PART C: AI-ENABLED TRADE, CUSTOMS AND BORDER INTEROPERABILITY</w:t>
        </w:r>
        <w:r>
          <w:tab/>
        </w:r>
        <w:r>
          <w:t>1550</w:t>
        </w:r>
      </w:hyperlink>
    </w:p>
    <w:p>
      <w:pPr>
        <w:pStyle w:val="TOC2"/>
      </w:pPr>
      <w:hyperlink w:anchor="_Toc300001441" w:history="1">
        <w:r>
          <w:t>Article 39.76: Trade-AI Scope and Covered Systems</w:t>
        </w:r>
        <w:r>
          <w:tab/>
        </w:r>
        <w:r>
          <w:t>1550</w:t>
        </w:r>
      </w:hyperlink>
    </w:p>
    <w:p>
      <w:pPr>
        <w:pStyle w:val="TOC2"/>
      </w:pPr>
      <w:hyperlink w:anchor="_Toc300001442" w:history="1">
        <w:r>
          <w:t>Article 39.77: Customs AI Legal Authority and Attribution</w:t>
        </w:r>
        <w:r>
          <w:tab/>
        </w:r>
        <w:r>
          <w:t>1551</w:t>
        </w:r>
      </w:hyperlink>
    </w:p>
    <w:p>
      <w:pPr>
        <w:pStyle w:val="TOC2"/>
      </w:pPr>
      <w:hyperlink w:anchor="_Toc300001443" w:history="1">
        <w:r>
          <w:t>Article 39.78: Border-AI Mission Limits and Non-Retaliation</w:t>
        </w:r>
        <w:r>
          <w:tab/>
        </w:r>
        <w:r>
          <w:t>1553</w:t>
        </w:r>
      </w:hyperlink>
    </w:p>
    <w:p>
      <w:pPr>
        <w:pStyle w:val="TOC2"/>
      </w:pPr>
      <w:hyperlink w:anchor="_Toc300001444" w:history="1">
        <w:r>
          <w:t>Article 39.79: Human Authority in AI-Assisted Border Decisions</w:t>
        </w:r>
        <w:r>
          <w:tab/>
        </w:r>
        <w:r>
          <w:t>1555</w:t>
        </w:r>
      </w:hyperlink>
    </w:p>
    <w:p>
      <w:pPr>
        <w:pStyle w:val="TOC2"/>
      </w:pPr>
      <w:hyperlink w:anchor="_Toc300001445" w:history="1">
        <w:r>
          <w:t>Article 39.80: AI-Assisted Tariff Classification</w:t>
        </w:r>
        <w:r>
          <w:tab/>
        </w:r>
        <w:r>
          <w:t>1556</w:t>
        </w:r>
      </w:hyperlink>
    </w:p>
    <w:p>
      <w:pPr>
        <w:pStyle w:val="TOC2"/>
      </w:pPr>
      <w:hyperlink w:anchor="_Toc300001446" w:history="1">
        <w:r>
          <w:t>Article 39.81: AI-Assisted Customs Valuation</w:t>
        </w:r>
        <w:r>
          <w:tab/>
        </w:r>
        <w:r>
          <w:t>1557</w:t>
        </w:r>
      </w:hyperlink>
    </w:p>
    <w:p>
      <w:pPr>
        <w:pStyle w:val="TOC2"/>
      </w:pPr>
      <w:hyperlink w:anchor="_Toc300001447" w:history="1">
        <w:r>
          <w:t>Article 39.82: AI-Assisted Origin and Preference Determinations</w:t>
        </w:r>
        <w:r>
          <w:tab/>
        </w:r>
        <w:r>
          <w:t>1559</w:t>
        </w:r>
      </w:hyperlink>
    </w:p>
    <w:p>
      <w:pPr>
        <w:pStyle w:val="TOC2"/>
      </w:pPr>
      <w:hyperlink w:anchor="_Toc300001448" w:history="1">
        <w:r>
          <w:t>Article 39.83: AI-Assisted RVC and Origin Calculations</w:t>
        </w:r>
        <w:r>
          <w:tab/>
        </w:r>
        <w:r>
          <w:t>1561</w:t>
        </w:r>
      </w:hyperlink>
    </w:p>
    <w:p>
      <w:pPr>
        <w:pStyle w:val="TOC2"/>
      </w:pPr>
      <w:hyperlink w:anchor="_Toc300001449" w:history="1">
        <w:r>
          <w:t>Article 39.84: AI-Influenced Duties, Fees and Penalties</w:t>
        </w:r>
        <w:r>
          <w:tab/>
        </w:r>
        <w:r>
          <w:t>1563</w:t>
        </w:r>
      </w:hyperlink>
    </w:p>
    <w:p>
      <w:pPr>
        <w:pStyle w:val="TOC2"/>
      </w:pPr>
      <w:hyperlink w:anchor="_Toc300001450" w:history="1">
        <w:r>
          <w:t>Article 39.85: AI Customs Holds and Enhanced Verification</w:t>
        </w:r>
        <w:r>
          <w:tab/>
        </w:r>
        <w:r>
          <w:t>1564</w:t>
        </w:r>
      </w:hyperlink>
    </w:p>
    <w:p>
      <w:pPr>
        <w:pStyle w:val="TOC2"/>
      </w:pPr>
      <w:hyperlink w:anchor="_Toc300001451" w:history="1">
        <w:r>
          <w:t>Article 39.86: No Silent Algorithmic Tariff or Treatment Creep</w:t>
        </w:r>
        <w:r>
          <w:tab/>
        </w:r>
        <w:r>
          <w:t>1566</w:t>
        </w:r>
      </w:hyperlink>
    </w:p>
    <w:p>
      <w:pPr>
        <w:pStyle w:val="TOC2"/>
      </w:pPr>
      <w:hyperlink w:anchor="_Toc300001452" w:history="1">
        <w:r>
          <w:t>Article 39.87: Customs AI Risk-Scoring Inputs</w:t>
        </w:r>
        <w:r>
          <w:tab/>
        </w:r>
        <w:r>
          <w:t>1568</w:t>
        </w:r>
      </w:hyperlink>
    </w:p>
    <w:p>
      <w:pPr>
        <w:pStyle w:val="TOC2"/>
      </w:pPr>
      <w:hyperlink w:anchor="_Toc300001453" w:history="1">
        <w:r>
          <w:t>Article 39.88: Risk Scoring, Origin Neutrality and Anti-Proxy Rules</w:t>
        </w:r>
        <w:r>
          <w:tab/>
        </w:r>
        <w:r>
          <w:t>1570</w:t>
        </w:r>
      </w:hyperlink>
    </w:p>
    <w:p>
      <w:pPr>
        <w:pStyle w:val="TOC2"/>
      </w:pPr>
      <w:hyperlink w:anchor="_Toc300001454" w:history="1">
        <w:r>
          <w:t>Article 39.89: Risk-Score Explainability and Trader Contestability</w:t>
        </w:r>
        <w:r>
          <w:tab/>
        </w:r>
        <w:r>
          <w:t>1571</w:t>
        </w:r>
      </w:hyperlink>
    </w:p>
    <w:p>
      <w:pPr>
        <w:pStyle w:val="TOC2"/>
      </w:pPr>
      <w:hyperlink w:anchor="_Toc300001455" w:history="1">
        <w:r>
          <w:t>Article 39.90: Risk-Model Validation and False-Positive Control</w:t>
        </w:r>
        <w:r>
          <w:tab/>
        </w:r>
        <w:r>
          <w:t>1572</w:t>
        </w:r>
      </w:hyperlink>
    </w:p>
    <w:p>
      <w:pPr>
        <w:pStyle w:val="TOC2"/>
      </w:pPr>
      <w:hyperlink w:anchor="_Toc300001456" w:history="1">
        <w:r>
          <w:t>Article 39.91: Inspection Selectivity and Anti-Harassment Safeguards</w:t>
        </w:r>
        <w:r>
          <w:tab/>
        </w:r>
        <w:r>
          <w:t>1574</w:t>
        </w:r>
      </w:hyperlink>
    </w:p>
    <w:p>
      <w:pPr>
        <w:pStyle w:val="TOC2"/>
      </w:pPr>
      <w:hyperlink w:anchor="_Toc300001457" w:history="1">
        <w:r>
          <w:t>Article 39.92: AI-Enabled Pre-Arrival Processing</w:t>
        </w:r>
        <w:r>
          <w:tab/>
        </w:r>
        <w:r>
          <w:t>1576</w:t>
        </w:r>
      </w:hyperlink>
    </w:p>
    <w:p>
      <w:pPr>
        <w:pStyle w:val="TOC2"/>
      </w:pPr>
      <w:hyperlink w:anchor="_Toc300001458" w:history="1">
        <w:r>
          <w:t>Article 39.93: Automated Clearance and Release</w:t>
        </w:r>
        <w:r>
          <w:tab/>
        </w:r>
        <w:r>
          <w:t>1577</w:t>
        </w:r>
      </w:hyperlink>
    </w:p>
    <w:p>
      <w:pPr>
        <w:pStyle w:val="TOC2"/>
      </w:pPr>
      <w:hyperlink w:anchor="_Toc300001459" w:history="1">
        <w:r>
          <w:t>Article 39.94: Border-System Degraded-Mode Processing</w:t>
        </w:r>
        <w:r>
          <w:tab/>
        </w:r>
        <w:r>
          <w:t>1579</w:t>
        </w:r>
      </w:hyperlink>
    </w:p>
    <w:p>
      <w:pPr>
        <w:pStyle w:val="TOC2"/>
      </w:pPr>
      <w:hyperlink w:anchor="_Toc300001460" w:history="1">
        <w:r>
          <w:t>Article 39.95: Trade-Critical AI Incident Notification</w:t>
        </w:r>
        <w:r>
          <w:tab/>
        </w:r>
        <w:r>
          <w:t>1581</w:t>
        </w:r>
      </w:hyperlink>
    </w:p>
    <w:p>
      <w:pPr>
        <w:pStyle w:val="TOC2"/>
      </w:pPr>
      <w:hyperlink w:anchor="_Toc300001461" w:history="1">
        <w:r>
          <w:t>Article 39.96: Trade-Critical AI Recovery and Reconciliation</w:t>
        </w:r>
        <w:r>
          <w:tab/>
        </w:r>
        <w:r>
          <w:t>1583</w:t>
        </w:r>
      </w:hyperlink>
    </w:p>
    <w:p>
      <w:pPr>
        <w:pStyle w:val="TOC2"/>
      </w:pPr>
      <w:hyperlink w:anchor="_Toc300001462" w:history="1">
        <w:r>
          <w:t>Article 39.97: AI Non-Intrusive Inspection Deployment</w:t>
        </w:r>
        <w:r>
          <w:tab/>
        </w:r>
        <w:r>
          <w:t>1584</w:t>
        </w:r>
      </w:hyperlink>
    </w:p>
    <w:p>
      <w:pPr>
        <w:pStyle w:val="TOC2"/>
      </w:pPr>
      <w:hyperlink w:anchor="_Toc300001463" w:history="1">
        <w:r>
          <w:t>Article 39.98: NII Model Validation and Performance</w:t>
        </w:r>
        <w:r>
          <w:tab/>
        </w:r>
        <w:r>
          <w:t>1586</w:t>
        </w:r>
      </w:hyperlink>
    </w:p>
    <w:p>
      <w:pPr>
        <w:pStyle w:val="TOC2"/>
      </w:pPr>
      <w:hyperlink w:anchor="_Toc300001464" w:history="1">
        <w:r>
          <w:t>Article 39.99: NII Sensor, Image and Evidence Governance</w:t>
        </w:r>
        <w:r>
          <w:tab/>
        </w:r>
        <w:r>
          <w:t>1588</w:t>
        </w:r>
      </w:hyperlink>
    </w:p>
    <w:p>
      <w:pPr>
        <w:pStyle w:val="TOC2"/>
      </w:pPr>
      <w:hyperlink w:anchor="_Toc300001465" w:history="1">
        <w:r>
          <w:t>Article 39.100: Cross-Border NII and Forensic Reliance</w:t>
        </w:r>
        <w:r>
          <w:tab/>
        </w:r>
        <w:r>
          <w:t>1589</w:t>
        </w:r>
      </w:hyperlink>
    </w:p>
    <w:p>
      <w:pPr>
        <w:pStyle w:val="TOC2"/>
      </w:pPr>
      <w:hyperlink w:anchor="_Toc300001466" w:history="1">
        <w:r>
          <w:t>Article 39.101: AI-Assisted Trusted Trader Administration</w:t>
        </w:r>
        <w:r>
          <w:tab/>
        </w:r>
        <w:r>
          <w:t>1591</w:t>
        </w:r>
      </w:hyperlink>
    </w:p>
    <w:p>
      <w:pPr>
        <w:pStyle w:val="TOC2"/>
      </w:pPr>
      <w:hyperlink w:anchor="_Toc300001467" w:history="1">
        <w:r>
          <w:t>Article 39.102: Trusted Trader AI Suspension and Revocation Safeguards</w:t>
        </w:r>
        <w:r>
          <w:tab/>
        </w:r>
        <w:r>
          <w:t>1592</w:t>
        </w:r>
      </w:hyperlink>
    </w:p>
    <w:p>
      <w:pPr>
        <w:pStyle w:val="TOC2"/>
      </w:pPr>
      <w:hyperlink w:anchor="_Toc300001468" w:history="1">
        <w:r>
          <w:t>Article 39.103: Cross-Border AEO Data and Recognition</w:t>
        </w:r>
        <w:r>
          <w:tab/>
        </w:r>
        <w:r>
          <w:t>1594</w:t>
        </w:r>
      </w:hyperlink>
    </w:p>
    <w:p>
      <w:pPr>
        <w:pStyle w:val="TOC2"/>
      </w:pPr>
      <w:hyperlink w:anchor="_Toc300001469" w:history="1">
        <w:r>
          <w:t>Article 39.104: AI-Ready Single Window Data Architecture</w:t>
        </w:r>
        <w:r>
          <w:tab/>
        </w:r>
        <w:r>
          <w:t>1596</w:t>
        </w:r>
      </w:hyperlink>
    </w:p>
    <w:p>
      <w:pPr>
        <w:pStyle w:val="TOC2"/>
      </w:pPr>
      <w:hyperlink w:anchor="_Toc300001470" w:history="1">
        <w:r>
          <w:t>Article 39.105: Border-AI Common Schemas and Data Dictionaries</w:t>
        </w:r>
        <w:r>
          <w:tab/>
        </w:r>
        <w:r>
          <w:t>1598</w:t>
        </w:r>
      </w:hyperlink>
    </w:p>
    <w:p>
      <w:pPr>
        <w:pStyle w:val="TOC2"/>
      </w:pPr>
      <w:hyperlink w:anchor="_Toc300001471" w:history="1">
        <w:r>
          <w:t>Article 39.106: Border-AI Provenance and Source Integrity</w:t>
        </w:r>
        <w:r>
          <w:tab/>
        </w:r>
        <w:r>
          <w:t>1599</w:t>
        </w:r>
      </w:hyperlink>
    </w:p>
    <w:p>
      <w:pPr>
        <w:pStyle w:val="TOC2"/>
      </w:pPr>
      <w:hyperlink w:anchor="_Toc300001472" w:history="1">
        <w:r>
          <w:t>Article 39.107: Border-AI Model, Ruleset and Version Traceability</w:t>
        </w:r>
        <w:r>
          <w:tab/>
        </w:r>
        <w:r>
          <w:t>1601</w:t>
        </w:r>
      </w:hyperlink>
    </w:p>
    <w:p>
      <w:pPr>
        <w:pStyle w:val="TOC2"/>
      </w:pPr>
      <w:hyperlink w:anchor="_Toc300001473" w:history="1">
        <w:r>
          <w:t>Article 39.108: Real-Time Border Risk-Signal Exchange</w:t>
        </w:r>
        <w:r>
          <w:tab/>
        </w:r>
        <w:r>
          <w:t>1603</w:t>
        </w:r>
      </w:hyperlink>
    </w:p>
    <w:p>
      <w:pPr>
        <w:pStyle w:val="TOC2"/>
      </w:pPr>
      <w:hyperlink w:anchor="_Toc300001474" w:history="1">
        <w:r>
          <w:t>Article 39.109: Trade-AI Interfaces, Portability and Anti-Lock-In</w:t>
        </w:r>
        <w:r>
          <w:tab/>
        </w:r>
        <w:r>
          <w:t>1605</w:t>
        </w:r>
      </w:hyperlink>
    </w:p>
    <w:p>
      <w:pPr>
        <w:pStyle w:val="TOC2"/>
      </w:pPr>
      <w:hyperlink w:anchor="_Toc300001475" w:history="1">
        <w:r>
          <w:t>Article 39.110: Border-AI Data Minimization and Purpose Limitation</w:t>
        </w:r>
        <w:r>
          <w:tab/>
        </w:r>
        <w:r>
          <w:t>1607</w:t>
        </w:r>
      </w:hyperlink>
    </w:p>
    <w:p>
      <w:pPr>
        <w:pStyle w:val="TOC2"/>
      </w:pPr>
      <w:hyperlink w:anchor="_Toc300001476" w:history="1">
        <w:r>
          <w:t>Article 39.111: Trade-AI Cloud, Compute and Data Portability</w:t>
        </w:r>
        <w:r>
          <w:tab/>
        </w:r>
        <w:r>
          <w:t>1608</w:t>
        </w:r>
      </w:hyperlink>
    </w:p>
    <w:p>
      <w:pPr>
        <w:pStyle w:val="TOC2"/>
      </w:pPr>
      <w:hyperlink w:anchor="_Toc300001477" w:history="1">
        <w:r>
          <w:t>Article 39.112: AI Trade Secrets and Model-Weight Protection</w:t>
        </w:r>
        <w:r>
          <w:tab/>
        </w:r>
        <w:r>
          <w:t>1610</w:t>
        </w:r>
      </w:hyperlink>
    </w:p>
    <w:p>
      <w:pPr>
        <w:pStyle w:val="TOC2"/>
      </w:pPr>
      <w:hyperlink w:anchor="_Toc300001478" w:history="1">
        <w:r>
          <w:t>Article 39.113: Controlled Regulatory Access to Protected AI Information</w:t>
        </w:r>
        <w:r>
          <w:tab/>
        </w:r>
        <w:r>
          <w:t>1612</w:t>
        </w:r>
      </w:hyperlink>
    </w:p>
    <w:p>
      <w:pPr>
        <w:pStyle w:val="TOC2"/>
      </w:pPr>
      <w:hyperlink w:anchor="_Toc300001479" w:history="1">
        <w:r>
          <w:t>Article 39.114: AI Fraud and Transshipment Detection</w:t>
        </w:r>
        <w:r>
          <w:tab/>
        </w:r>
        <w:r>
          <w:t>1614</w:t>
        </w:r>
      </w:hyperlink>
    </w:p>
    <w:p>
      <w:pPr>
        <w:pStyle w:val="TOC2"/>
      </w:pPr>
      <w:hyperlink w:anchor="_Toc300001480" w:history="1">
        <w:r>
          <w:t>Article 39.115: AI Document, Invoice and Identity Fraud Detection</w:t>
        </w:r>
        <w:r>
          <w:tab/>
        </w:r>
        <w:r>
          <w:t>1614</w:t>
        </w:r>
      </w:hyperlink>
    </w:p>
    <w:p>
      <w:pPr>
        <w:pStyle w:val="TOC2"/>
      </w:pPr>
      <w:hyperlink w:anchor="_Toc300001481" w:history="1">
        <w:r>
          <w:t>Article 39.116: Trade-AI Cybersecurity and Adversarial Resilience</w:t>
        </w:r>
        <w:r>
          <w:tab/>
        </w:r>
        <w:r>
          <w:t>1616</w:t>
        </w:r>
      </w:hyperlink>
    </w:p>
    <w:p>
      <w:pPr>
        <w:pStyle w:val="TOC2"/>
      </w:pPr>
      <w:hyperlink w:anchor="_Toc300001482" w:history="1">
        <w:r>
          <w:t>Article 39.117: Compromised Trade-AI System Recovery</w:t>
        </w:r>
        <w:r>
          <w:tab/>
        </w:r>
        <w:r>
          <w:t>1618</w:t>
        </w:r>
      </w:hyperlink>
    </w:p>
    <w:p>
      <w:pPr>
        <w:pStyle w:val="TOC2"/>
      </w:pPr>
      <w:hyperlink w:anchor="_Toc300001483" w:history="1">
        <w:r>
          <w:t>Article 39.118: AI Logistics and Port Resilience</w:t>
        </w:r>
        <w:r>
          <w:tab/>
        </w:r>
        <w:r>
          <w:t>1619</w:t>
        </w:r>
      </w:hyperlink>
    </w:p>
    <w:p>
      <w:pPr>
        <w:pStyle w:val="TOC2"/>
      </w:pPr>
      <w:hyperlink w:anchor="_Toc300001484" w:history="1">
        <w:r>
          <w:t>Article 39.119: Autonomous Cross-Border Road Freight</w:t>
        </w:r>
        <w:r>
          <w:tab/>
        </w:r>
        <w:r>
          <w:t>1621</w:t>
        </w:r>
      </w:hyperlink>
    </w:p>
    <w:p>
      <w:pPr>
        <w:pStyle w:val="TOC2"/>
      </w:pPr>
      <w:hyperlink w:anchor="_Toc300001485" w:history="1">
        <w:r>
          <w:t>Article 39.120: Autonomous Cross-Border Rail Freight</w:t>
        </w:r>
        <w:r>
          <w:tab/>
        </w:r>
        <w:r>
          <w:t>1622</w:t>
        </w:r>
      </w:hyperlink>
    </w:p>
    <w:p>
      <w:pPr>
        <w:pStyle w:val="TOC2"/>
      </w:pPr>
      <w:hyperlink w:anchor="_Toc300001486" w:history="1">
        <w:r>
          <w:t>Article 39.121: Autonomous Maritime and Port Cargo Systems</w:t>
        </w:r>
        <w:r>
          <w:tab/>
        </w:r>
        <w:r>
          <w:t>1622</w:t>
        </w:r>
      </w:hyperlink>
    </w:p>
    <w:p>
      <w:pPr>
        <w:pStyle w:val="TOC2"/>
      </w:pPr>
      <w:hyperlink w:anchor="_Toc300001487" w:history="1">
        <w:r>
          <w:t>Article 39.122: Autonomous Aviation and Cargo-Drone Trade</w:t>
        </w:r>
        <w:r>
          <w:tab/>
        </w:r>
        <w:r>
          <w:t>1624</w:t>
        </w:r>
      </w:hyperlink>
    </w:p>
    <w:p>
      <w:pPr>
        <w:pStyle w:val="TOC2"/>
      </w:pPr>
      <w:hyperlink w:anchor="_Toc300001488" w:history="1">
        <w:r>
          <w:t>Article 39.123: AI Trade-Measure Proportionality and Non-Discrimination</w:t>
        </w:r>
        <w:r>
          <w:tab/>
        </w:r>
        <w:r>
          <w:t>1625</w:t>
        </w:r>
      </w:hyperlink>
    </w:p>
    <w:p>
      <w:pPr>
        <w:pStyle w:val="TOC2"/>
      </w:pPr>
      <w:hyperlink w:anchor="_Toc300001489" w:history="1">
        <w:r>
          <w:t>Article 39.124: Expedited AI Regulatory Trade-Friction Consultation</w:t>
        </w:r>
        <w:r>
          <w:tab/>
        </w:r>
        <w:r>
          <w:t>1627</w:t>
        </w:r>
      </w:hyperlink>
    </w:p>
    <w:p>
      <w:pPr>
        <w:pStyle w:val="TOC2"/>
      </w:pPr>
      <w:hyperlink w:anchor="_Toc300001490" w:history="1">
        <w:r>
          <w:t>Article 39.125: AI Equivalence and Regulatory Reliance</w:t>
        </w:r>
        <w:r>
          <w:tab/>
        </w:r>
        <w:r>
          <w:t>1628</w:t>
        </w:r>
      </w:hyperlink>
    </w:p>
    <w:p>
      <w:pPr>
        <w:pStyle w:val="TOC2"/>
      </w:pPr>
      <w:hyperlink w:anchor="_Toc300001491" w:history="1">
        <w:r>
          <w:t>Article 39.126: AI Testing, Sandboxes and Conformity Evidence</w:t>
        </w:r>
        <w:r>
          <w:tab/>
        </w:r>
        <w:r>
          <w:t>1629</w:t>
        </w:r>
      </w:hyperlink>
    </w:p>
    <w:p>
      <w:pPr>
        <w:pStyle w:val="TOC2"/>
      </w:pPr>
      <w:hyperlink w:anchor="_Toc300001492" w:history="1">
        <w:r>
          <w:t>Article 39.127: AI-Trade Workforce Competence</w:t>
        </w:r>
        <w:r>
          <w:tab/>
        </w:r>
        <w:r>
          <w:t>1630</w:t>
        </w:r>
      </w:hyperlink>
    </w:p>
    <w:p>
      <w:pPr>
        <w:pStyle w:val="TOC2"/>
      </w:pPr>
      <w:hyperlink w:anchor="_Toc300001493" w:history="1">
        <w:r>
          <w:t>Article 39.128: Trader, SME and Broker AI Literacy</w:t>
        </w:r>
        <w:r>
          <w:tab/>
        </w:r>
        <w:r>
          <w:t>1632</w:t>
        </w:r>
      </w:hyperlink>
    </w:p>
    <w:p>
      <w:pPr>
        <w:pStyle w:val="TOC2"/>
      </w:pPr>
      <w:hyperlink w:anchor="_Toc300001494" w:history="1">
        <w:r>
          <w:t>Article 39.129: AI Investment, Procurement and Infrastructure Neutrality</w:t>
        </w:r>
        <w:r>
          <w:tab/>
        </w:r>
        <w:r>
          <w:t>1633</w:t>
        </w:r>
      </w:hyperlink>
    </w:p>
    <w:p>
      <w:pPr>
        <w:pStyle w:val="TOC2"/>
      </w:pPr>
      <w:hyperlink w:anchor="_Toc300001495" w:history="1">
        <w:r>
          <w:t>Article 39.130: AI-Trade Biennial Review and Update Mechanism</w:t>
        </w:r>
        <w:r>
          <w:tab/>
        </w:r>
        <w:r>
          <w:t>1634</w:t>
        </w:r>
      </w:hyperlink>
    </w:p>
    <w:p>
      <w:pPr>
        <w:pStyle w:val="TOC2"/>
      </w:pPr>
      <w:hyperlink w:anchor="_Toc300001496" w:history="1">
        <w:r>
          <w:t>Article 39.131: AI-Trade Administration, Optionality and Remedies</w:t>
        </w:r>
        <w:r>
          <w:tab/>
        </w:r>
        <w:r>
          <w:t>1636</w:t>
        </w:r>
      </w:hyperlink>
    </w:p>
    <w:p>
      <w:pPr>
        <w:pStyle w:val="TOC2"/>
      </w:pPr>
      <w:hyperlink w:anchor="_Toc300001497" w:history="1">
        <w:r>
          <w:t>Article 39.132: Relationship to Specialized Trade Chapters</w:t>
        </w:r>
        <w:r>
          <w:tab/>
        </w:r>
        <w:r>
          <w:t>1636</w:t>
        </w:r>
      </w:hyperlink>
    </w:p>
    <w:p>
      <w:pPr>
        <w:pStyle w:val="TOC2"/>
      </w:pPr>
      <w:hyperlink w:anchor="_TocR22_22323" w:history="1">
        <w:r>
          <w:t>ADVANCED TECHNOLOGY ANNEX: INITIAL SCHEDULE UNDER ARTICLE 39.5</w:t>
        </w:r>
        <w:r>
          <w:tab/>
        </w:r>
        <w:r>
          <w:t>1637</w:t>
        </w:r>
      </w:hyperlink>
    </w:p>
    <w:p>
      <w:pPr>
        <w:pStyle w:val="TOC1"/>
      </w:pPr>
      <w:hyperlink w:anchor="_Toc300001498" w:history="1">
        <w:r>
          <w:t>CHAPTER 40 ENERGY SECURITY AND GRID RESILIENCE</w:t>
        </w:r>
        <w:r>
          <w:tab/>
        </w:r>
        <w:r>
          <w:t>1638</w:t>
        </w:r>
      </w:hyperlink>
    </w:p>
    <w:p>
      <w:pPr>
        <w:pStyle w:val="TOC2"/>
      </w:pPr>
      <w:hyperlink w:anchor="_Toc300001499" w:history="1">
        <w:r>
          <w:t>Article 40.1: Purpose</w:t>
        </w:r>
        <w:r>
          <w:tab/>
        </w:r>
        <w:r>
          <w:t>1638</w:t>
        </w:r>
      </w:hyperlink>
    </w:p>
    <w:p>
      <w:pPr>
        <w:pStyle w:val="TOC2"/>
      </w:pPr>
      <w:hyperlink w:anchor="_Toc300001500" w:history="1">
        <w:r>
          <w:t>Article 40.2: Energy Trade</w:t>
        </w:r>
        <w:r>
          <w:tab/>
        </w:r>
        <w:r>
          <w:t>1638</w:t>
        </w:r>
      </w:hyperlink>
    </w:p>
    <w:p>
      <w:pPr>
        <w:pStyle w:val="TOC2"/>
      </w:pPr>
      <w:hyperlink w:anchor="_Toc300001501" w:history="1">
        <w:r>
          <w:t>Article 40.3: Grid Resilience</w:t>
        </w:r>
        <w:r>
          <w:tab/>
        </w:r>
        <w:r>
          <w:t>1639</w:t>
        </w:r>
      </w:hyperlink>
    </w:p>
    <w:p>
      <w:pPr>
        <w:pStyle w:val="TOC2"/>
      </w:pPr>
      <w:hyperlink w:anchor="_Toc300001502" w:history="1">
        <w:r>
          <w:t>Article 40.4: Critical Energy Equipment</w:t>
        </w:r>
        <w:r>
          <w:tab/>
        </w:r>
        <w:r>
          <w:t>1639</w:t>
        </w:r>
      </w:hyperlink>
    </w:p>
    <w:p>
      <w:pPr>
        <w:pStyle w:val="TOC2"/>
      </w:pPr>
      <w:hyperlink w:anchor="_Toc300001503" w:history="1">
        <w:r>
          <w:t>Article 40.5: New Energy Technologies</w:t>
        </w:r>
        <w:r>
          <w:tab/>
        </w:r>
        <w:r>
          <w:t>1639</w:t>
        </w:r>
      </w:hyperlink>
    </w:p>
    <w:p>
      <w:pPr>
        <w:pStyle w:val="TOC2"/>
      </w:pPr>
      <w:hyperlink w:anchor="_Toc300001504" w:history="1">
        <w:r>
          <w:t>Article 40.6: Non-Discrimination in Energy Markets</w:t>
        </w:r>
        <w:r>
          <w:tab/>
        </w:r>
        <w:r>
          <w:t>1639</w:t>
        </w:r>
      </w:hyperlink>
    </w:p>
    <w:p>
      <w:pPr>
        <w:pStyle w:val="TOC2"/>
      </w:pPr>
      <w:hyperlink w:anchor="_Toc300001505" w:history="1">
        <w:r>
          <w:t>Article 40.7: North American Energy, Compute and Storage Initiative</w:t>
        </w:r>
        <w:r>
          <w:tab/>
        </w:r>
        <w:r>
          <w:t>1640</w:t>
        </w:r>
      </w:hyperlink>
    </w:p>
    <w:p>
      <w:pPr>
        <w:pStyle w:val="TOC2"/>
      </w:pPr>
      <w:hyperlink w:anchor="_Toc300001506" w:history="1">
        <w:r>
          <w:t>Article 40.8: Principles for Energy-Intensive Digital Infrastructure</w:t>
        </w:r>
        <w:r>
          <w:tab/>
        </w:r>
        <w:r>
          <w:t>1640</w:t>
        </w:r>
      </w:hyperlink>
    </w:p>
    <w:p>
      <w:pPr>
        <w:pStyle w:val="TOC2"/>
      </w:pPr>
      <w:hyperlink w:anchor="_Toc300001507" w:history="1">
        <w:r>
          <w:t>Article 40.9: Build-the-Power-with-the-Load Principle</w:t>
        </w:r>
        <w:r>
          <w:tab/>
        </w:r>
        <w:r>
          <w:t>1641</w:t>
        </w:r>
      </w:hyperlink>
    </w:p>
    <w:p>
      <w:pPr>
        <w:pStyle w:val="TOC2"/>
      </w:pPr>
      <w:hyperlink w:anchor="_Toc300001508" w:history="1">
        <w:r>
          <w:t>Article 40.10: Strategic Compute and Energy Zones</w:t>
        </w:r>
        <w:r>
          <w:tab/>
        </w:r>
        <w:r>
          <w:t>1641</w:t>
        </w:r>
      </w:hyperlink>
    </w:p>
    <w:p>
      <w:pPr>
        <w:pStyle w:val="TOC2"/>
      </w:pPr>
      <w:hyperlink w:anchor="_Toc300001509" w:history="1">
        <w:r>
          <w:t>Article 40.11: Cross-Border Clean Power and Compute Corridors</w:t>
        </w:r>
        <w:r>
          <w:tab/>
        </w:r>
        <w:r>
          <w:t>1641</w:t>
        </w:r>
      </w:hyperlink>
    </w:p>
    <w:p>
      <w:pPr>
        <w:pStyle w:val="TOC2"/>
      </w:pPr>
      <w:hyperlink w:anchor="_Toc300001510" w:history="1">
        <w:r>
          <w:t>Article 40.12: Domestic Reliability and Anti-Crowding-Out Safeguard</w:t>
        </w:r>
        <w:r>
          <w:tab/>
        </w:r>
        <w:r>
          <w:t>1642</w:t>
        </w:r>
      </w:hyperlink>
    </w:p>
    <w:p>
      <w:pPr>
        <w:pStyle w:val="TOC2"/>
      </w:pPr>
      <w:hyperlink w:anchor="_Toc300001511" w:history="1">
        <w:r>
          <w:t>Article 40.13: Reciprocal Electricity Market Access</w:t>
        </w:r>
        <w:r>
          <w:tab/>
        </w:r>
        <w:r>
          <w:t>1642</w:t>
        </w:r>
      </w:hyperlink>
    </w:p>
    <w:p>
      <w:pPr>
        <w:pStyle w:val="TOC2"/>
      </w:pPr>
      <w:hyperlink w:anchor="_Toc300001512" w:history="1">
        <w:r>
          <w:t>Article 40.14: Transmission, Interconnection and Permitting Cooperation</w:t>
        </w:r>
        <w:r>
          <w:tab/>
        </w:r>
        <w:r>
          <w:t>1643</w:t>
        </w:r>
      </w:hyperlink>
    </w:p>
    <w:p>
      <w:pPr>
        <w:pStyle w:val="TOC2"/>
      </w:pPr>
      <w:hyperlink w:anchor="_Toc300001513" w:history="1">
        <w:r>
          <w:t>Article 40.15: Flexible Digital Load and Grid Services</w:t>
        </w:r>
        <w:r>
          <w:tab/>
        </w:r>
        <w:r>
          <w:t>1643</w:t>
        </w:r>
      </w:hyperlink>
    </w:p>
    <w:p>
      <w:pPr>
        <w:pStyle w:val="TOC2"/>
      </w:pPr>
      <w:hyperlink w:anchor="_Toc300001514" w:history="1">
        <w:r>
          <w:t>Article 40.16: Energy Storage and Long-Duration Flexibility</w:t>
        </w:r>
        <w:r>
          <w:tab/>
        </w:r>
        <w:r>
          <w:t>1644</w:t>
        </w:r>
      </w:hyperlink>
    </w:p>
    <w:p>
      <w:pPr>
        <w:pStyle w:val="TOC2"/>
      </w:pPr>
      <w:hyperlink w:anchor="_Toc300001515" w:history="1">
        <w:r>
          <w:t>Article 40.17: Advanced Storage and Thermal-Energy Demonstration Pathway</w:t>
        </w:r>
        <w:r>
          <w:tab/>
        </w:r>
        <w:r>
          <w:t>1644</w:t>
        </w:r>
      </w:hyperlink>
    </w:p>
    <w:p>
      <w:pPr>
        <w:pStyle w:val="TOC2"/>
      </w:pPr>
      <w:hyperlink w:anchor="_Toc300001516" w:history="1">
        <w:r>
          <w:t>Article 40.18: Curtailment-to-Storage and Surplus-Energy Utilization</w:t>
        </w:r>
        <w:r>
          <w:tab/>
        </w:r>
        <w:r>
          <w:t>1644</w:t>
        </w:r>
      </w:hyperlink>
    </w:p>
    <w:p>
      <w:pPr>
        <w:pStyle w:val="TOC2"/>
      </w:pPr>
      <w:hyperlink w:anchor="_Toc300001517" w:history="1">
        <w:r>
          <w:t>Article 40.19: Foreign Strategic Technology Integration</w:t>
        </w:r>
        <w:r>
          <w:tab/>
        </w:r>
        <w:r>
          <w:t>1644</w:t>
        </w:r>
      </w:hyperlink>
    </w:p>
    <w:p>
      <w:pPr>
        <w:pStyle w:val="TOC2"/>
      </w:pPr>
      <w:hyperlink w:anchor="_Toc300001518" w:history="1">
        <w:r>
          <w:t>Article 40.20: Critical Infrastructure Cybersecurity and Trusted Systems</w:t>
        </w:r>
        <w:r>
          <w:tab/>
        </w:r>
        <w:r>
          <w:t>1644</w:t>
        </w:r>
      </w:hyperlink>
    </w:p>
    <w:p>
      <w:pPr>
        <w:pStyle w:val="TOC2"/>
      </w:pPr>
      <w:hyperlink w:anchor="_Toc300001519" w:history="1">
        <w:r>
          <w:t>Article 40.21: Canadian, United States and Mexican Compute Access and Sovereignty</w:t>
        </w:r>
        <w:r>
          <w:tab/>
        </w:r>
        <w:r>
          <w:t>1644</w:t>
        </w:r>
      </w:hyperlink>
    </w:p>
    <w:p>
      <w:pPr>
        <w:pStyle w:val="TOC2"/>
      </w:pPr>
      <w:hyperlink w:anchor="_Toc300001520" w:history="1">
        <w:r>
          <w:t>Article 40.22: Fibre, Telecommunications and Data-Movement Resilience</w:t>
        </w:r>
        <w:r>
          <w:tab/>
        </w:r>
        <w:r>
          <w:t>1645</w:t>
        </w:r>
      </w:hyperlink>
    </w:p>
    <w:p>
      <w:pPr>
        <w:pStyle w:val="TOC2"/>
      </w:pPr>
      <w:hyperlink w:anchor="_Toc300001521" w:history="1">
        <w:r>
          <w:t>Article 40.23: Host-Community, Workforce and Indigenous Participation</w:t>
        </w:r>
        <w:r>
          <w:tab/>
        </w:r>
        <w:r>
          <w:t>1645</w:t>
        </w:r>
      </w:hyperlink>
    </w:p>
    <w:p>
      <w:pPr>
        <w:pStyle w:val="TOC2"/>
      </w:pPr>
      <w:hyperlink w:anchor="_Toc300001522" w:history="1">
        <w:r>
          <w:t>Article 40.24: Implementation, Metrics and Review</w:t>
        </w:r>
        <w:r>
          <w:tab/>
        </w:r>
        <w:r>
          <w:t>1646</w:t>
        </w:r>
      </w:hyperlink>
    </w:p>
    <w:p>
      <w:pPr>
        <w:pStyle w:val="TOC1"/>
      </w:pPr>
      <w:hyperlink w:anchor="_Toc300001523" w:history="1">
        <w:r>
          <w:t>ANNEX 40-A NORTH AMERICAN ENERGY, COMPUTE AND STORAGE IMPLEMENTATION FRAMEWORK</w:t>
        </w:r>
        <w:r>
          <w:tab/>
        </w:r>
        <w:r>
          <w:t>1647</w:t>
        </w:r>
      </w:hyperlink>
    </w:p>
    <w:p>
      <w:pPr>
        <w:pStyle w:val="TOC2"/>
      </w:pPr>
      <w:hyperlink w:anchor="_Toc300001542" w:history="1">
        <w:r>
          <w:t>Article 40.25: North American Energy Capacity and Corridor Optionality</w:t>
        </w:r>
        <w:r>
          <w:tab/>
        </w:r>
        <w:r>
          <w:t>1649</w:t>
        </w:r>
      </w:hyperlink>
    </w:p>
    <w:p>
      <w:pPr>
        <w:pStyle w:val="TOC2"/>
      </w:pPr>
      <w:hyperlink w:anchor="_Toc300001543" w:history="1">
        <w:r>
          <w:t>Article 40.26: No Named-Project Obligation</w:t>
        </w:r>
        <w:r>
          <w:tab/>
        </w:r>
        <w:r>
          <w:t>1650</w:t>
        </w:r>
      </w:hyperlink>
    </w:p>
    <w:p>
      <w:pPr>
        <w:pStyle w:val="TOC2"/>
      </w:pPr>
      <w:hyperlink w:anchor="_Toc300001544" w:history="1">
        <w:r>
          <w:t>Article 40.27: Functional Equivalence and Portfolio Satisfaction</w:t>
        </w:r>
        <w:r>
          <w:tab/>
        </w:r>
        <w:r>
          <w:t>1650</w:t>
        </w:r>
      </w:hyperlink>
    </w:p>
    <w:p>
      <w:pPr>
        <w:pStyle w:val="TOC2"/>
      </w:pPr>
      <w:hyperlink w:anchor="_Toc300001545" w:history="1">
        <w:r>
          <w:t>Article 40.28: Existing Corridor Capacity Enhancement</w:t>
        </w:r>
        <w:r>
          <w:tab/>
        </w:r>
        <w:r>
          <w:t>1650</w:t>
        </w:r>
      </w:hyperlink>
    </w:p>
    <w:p>
      <w:pPr>
        <w:pStyle w:val="TOC2"/>
      </w:pPr>
      <w:hyperlink w:anchor="_Toc300001546" w:history="1">
        <w:r>
          <w:t>Article 40.29: Predictable Cross-Border Energy Project Review</w:t>
        </w:r>
        <w:r>
          <w:tab/>
        </w:r>
        <w:r>
          <w:t>1651</w:t>
        </w:r>
      </w:hyperlink>
    </w:p>
    <w:p>
      <w:pPr>
        <w:pStyle w:val="TOC2"/>
      </w:pPr>
      <w:hyperlink w:anchor="_Toc300001547" w:history="1">
        <w:r>
          <w:t>Article 40.30: Energy Security and Resilience Portfolio</w:t>
        </w:r>
        <w:r>
          <w:tab/>
        </w:r>
        <w:r>
          <w:t>1651</w:t>
        </w:r>
      </w:hyperlink>
    </w:p>
    <w:p>
      <w:pPr>
        <w:pStyle w:val="TOC2"/>
      </w:pPr>
      <w:hyperlink w:anchor="_Toc300001548" w:history="1">
        <w:r>
          <w:t>Article 40.31: Energy Workforce and Skills Cooperation</w:t>
        </w:r>
        <w:r>
          <w:tab/>
        </w:r>
        <w:r>
          <w:t>1651</w:t>
        </w:r>
      </w:hyperlink>
    </w:p>
    <w:p>
      <w:pPr>
        <w:pStyle w:val="TOC2"/>
      </w:pPr>
      <w:hyperlink w:anchor="_Toc300001549" w:history="1">
        <w:r>
          <w:t>Article 40.32: Commercial Project Window and Candidate Register</w:t>
        </w:r>
        <w:r>
          <w:tab/>
        </w:r>
        <w:r>
          <w:t>1651</w:t>
        </w:r>
      </w:hyperlink>
    </w:p>
    <w:p>
      <w:pPr>
        <w:pStyle w:val="TOC2"/>
      </w:pPr>
      <w:hyperlink w:anchor="_Toc300001550" w:history="1">
        <w:r>
          <w:t>Article 40.33: Energy Sovereignty and No Compulsory Project, Extraction, or Export</w:t>
        </w:r>
        <w:r>
          <w:tab/>
        </w:r>
        <w:r>
          <w:t>1651</w:t>
        </w:r>
      </w:hyperlink>
    </w:p>
    <w:p>
      <w:pPr>
        <w:pStyle w:val="TOC2"/>
      </w:pPr>
      <w:hyperlink w:anchor="_Toc300001551" w:history="1">
        <w:r>
          <w:t>Article 40.34: Functional Energy Outcome and Alternative Fulfilment Right</w:t>
        </w:r>
        <w:r>
          <w:tab/>
        </w:r>
        <w:r>
          <w:t>1651</w:t>
        </w:r>
      </w:hyperlink>
    </w:p>
    <w:p>
      <w:pPr>
        <w:pStyle w:val="TOC2"/>
      </w:pPr>
      <w:hyperlink w:anchor="_Toc300001552" w:history="1">
        <w:r>
          <w:t>Article 40.35: No Throughput, Purchase, or Utilization Guarantee</w:t>
        </w:r>
        <w:r>
          <w:tab/>
        </w:r>
        <w:r>
          <w:t>1652</w:t>
        </w:r>
      </w:hyperlink>
    </w:p>
    <w:p>
      <w:pPr>
        <w:pStyle w:val="TOC2"/>
      </w:pPr>
      <w:hyperlink w:anchor="_Toc300001553" w:history="1">
        <w:r>
          <w:t>Article 40.36: Domestic Reliability, Affordability, and Incremental-Cost Protection</w:t>
        </w:r>
        <w:r>
          <w:tab/>
        </w:r>
        <w:r>
          <w:t>1652</w:t>
        </w:r>
      </w:hyperlink>
    </w:p>
    <w:p>
      <w:pPr>
        <w:pStyle w:val="TOC2"/>
      </w:pPr>
      <w:hyperlink w:anchor="_Toc300001554" w:history="1">
        <w:r>
          <w:t>Article 40.37: Effective Energy Access and Anti-Circumvention</w:t>
        </w:r>
        <w:r>
          <w:tab/>
        </w:r>
        <w:r>
          <w:t>1653</w:t>
        </w:r>
      </w:hyperlink>
    </w:p>
    <w:p>
      <w:pPr>
        <w:pStyle w:val="TOC2"/>
      </w:pPr>
      <w:hyperlink w:anchor="_Toc300001555" w:history="1">
        <w:r>
          <w:t>Article 40.38: Environmental, Indigenous, Water, and Land-Use Safeguard</w:t>
        </w:r>
        <w:r>
          <w:tab/>
        </w:r>
        <w:r>
          <w:t>1653</w:t>
        </w:r>
      </w:hyperlink>
    </w:p>
    <w:p>
      <w:pPr>
        <w:pStyle w:val="TOC2"/>
      </w:pPr>
      <w:hyperlink w:anchor="_Toc300001556" w:history="1">
        <w:r>
          <w:t>Article 40.39: Energy Dispute Containment and No Cross-Sector Hostage Taking</w:t>
        </w:r>
        <w:r>
          <w:tab/>
        </w:r>
        <w:r>
          <w:t>1654</w:t>
        </w:r>
      </w:hyperlink>
    </w:p>
    <w:p>
      <w:pPr>
        <w:pStyle w:val="TOC2"/>
      </w:pPr>
      <w:hyperlink w:anchor="_Toc300001557" w:history="1">
        <w:r>
          <w:t>Article 40.40: Energy Emergency Operations and Reliability Protection</w:t>
        </w:r>
        <w:r>
          <w:tab/>
        </w:r>
        <w:r>
          <w:t>1654</w:t>
        </w:r>
      </w:hyperlink>
    </w:p>
    <w:p>
      <w:pPr>
        <w:pStyle w:val="TOC2"/>
      </w:pPr>
      <w:hyperlink w:anchor="_Toc300001558" w:history="1">
        <w:r>
          <w:t>Article 40.41: Change of Control and Critical-Infrastructure Security</w:t>
        </w:r>
        <w:r>
          <w:tab/>
        </w:r>
        <w:r>
          <w:t>1655</w:t>
        </w:r>
      </w:hyperlink>
    </w:p>
    <w:p>
      <w:pPr>
        <w:pStyle w:val="TOC2"/>
      </w:pPr>
      <w:hyperlink w:anchor="_Toc300001559" w:history="1">
        <w:r>
          <w:t>Article 40.42: Energy Capacity Credit and No Double Counting</w:t>
        </w:r>
        <w:r>
          <w:tab/>
        </w:r>
        <w:r>
          <w:t>1655</w:t>
        </w:r>
      </w:hyperlink>
    </w:p>
    <w:p>
      <w:pPr>
        <w:pStyle w:val="TOC2"/>
      </w:pPr>
      <w:hyperlink w:anchor="_Toc300001560" w:history="1">
        <w:r>
          <w:t>Article 40.43: North American Integrated Energy-Compute-Water Simulation Initiative</w:t>
        </w:r>
        <w:r>
          <w:tab/>
        </w:r>
        <w:r>
          <w:t>1655</w:t>
        </w:r>
      </w:hyperlink>
    </w:p>
    <w:p>
      <w:pPr>
        <w:pStyle w:val="TOC2"/>
      </w:pPr>
      <w:hyperlink w:anchor="_Toc300001561" w:history="1">
        <w:r>
          <w:t>Article 40.44: Reference Architectures and Technology Neutrality</w:t>
        </w:r>
        <w:r>
          <w:tab/>
        </w:r>
        <w:r>
          <w:t>1656</w:t>
        </w:r>
      </w:hyperlink>
    </w:p>
    <w:p>
      <w:pPr>
        <w:pStyle w:val="TOC2"/>
      </w:pPr>
      <w:hyperlink w:anchor="_Toc300001562" w:history="1">
        <w:r>
          <w:t>Article 40.45: Integrated Infrastructure Simulation Scope and Shared Learning</w:t>
        </w:r>
        <w:r>
          <w:tab/>
        </w:r>
        <w:r>
          <w:t>1656</w:t>
        </w:r>
      </w:hyperlink>
    </w:p>
    <w:p>
      <w:pPr>
        <w:pStyle w:val="TOC2"/>
      </w:pPr>
      <w:hyperlink w:anchor="_Toc300001563" w:history="1">
        <w:r>
          <w:t>Article 40.46: Optional Advancement Gates for Integrated Infrastructure</w:t>
        </w:r>
        <w:r>
          <w:tab/>
        </w:r>
        <w:r>
          <w:t>1657</w:t>
        </w:r>
      </w:hyperlink>
    </w:p>
    <w:p>
      <w:pPr>
        <w:pStyle w:val="TOC2"/>
      </w:pPr>
      <w:hyperlink w:anchor="_Toc300001564" w:history="1">
        <w:r>
          <w:t>Article 40.47: Implementation Without New Permanent Bureaucracy</w:t>
        </w:r>
        <w:r>
          <w:tab/>
        </w:r>
        <w:r>
          <w:t>1657</w:t>
        </w:r>
      </w:hyperlink>
    </w:p>
    <w:p>
      <w:pPr>
        <w:pStyle w:val="TOC2"/>
      </w:pPr>
      <w:hyperlink w:anchor="_Toc300001565" w:history="1">
        <w:r>
          <w:t>ANNEX 40-B: Energy Optionality and Equivalency Matrix</w:t>
        </w:r>
        <w:r>
          <w:tab/>
        </w:r>
        <w:r>
          <w:t>1657</w:t>
        </w:r>
      </w:hyperlink>
    </w:p>
    <w:p>
      <w:pPr>
        <w:pStyle w:val="TOC1"/>
      </w:pPr>
      <w:hyperlink w:anchor="_Toc300001566" w:history="1">
        <w:r>
          <w:t>CHAPTER 41 DOMESTIC SOVEREIGNTY AND REGULATORY AUTONOMY</w:t>
        </w:r>
        <w:r>
          <w:tab/>
        </w:r>
        <w:r>
          <w:t>1659</w:t>
        </w:r>
      </w:hyperlink>
    </w:p>
    <w:p>
      <w:pPr>
        <w:pStyle w:val="TOC2"/>
      </w:pPr>
      <w:hyperlink w:anchor="_Toc300001567" w:history="1">
        <w:r>
          <w:t>Article 41.1: Governing Principle</w:t>
        </w:r>
        <w:r>
          <w:tab/>
        </w:r>
        <w:r>
          <w:t>1659</w:t>
        </w:r>
      </w:hyperlink>
    </w:p>
    <w:p>
      <w:pPr>
        <w:pStyle w:val="TOC2"/>
      </w:pPr>
      <w:hyperlink w:anchor="_Toc300001568" w:history="1">
        <w:r>
          <w:t>Article 41.2: Climate, Energy, and Environmental Policy Space</w:t>
        </w:r>
        <w:r>
          <w:tab/>
        </w:r>
        <w:r>
          <w:t>1659</w:t>
        </w:r>
      </w:hyperlink>
    </w:p>
    <w:p>
      <w:pPr>
        <w:pStyle w:val="TOC2"/>
      </w:pPr>
      <w:hyperlink w:anchor="_Toc300001569" w:history="1">
        <w:r>
          <w:t>Article 41.3: Public Health, Therapeutic Products, and Scientific Regulation</w:t>
        </w:r>
        <w:r>
          <w:tab/>
        </w:r>
        <w:r>
          <w:t>1659</w:t>
        </w:r>
      </w:hyperlink>
    </w:p>
    <w:p>
      <w:pPr>
        <w:pStyle w:val="TOC2"/>
      </w:pPr>
      <w:hyperlink w:anchor="_Toc300001570" w:history="1">
        <w:r>
          <w:t>Article 41.4: Artificial Intelligence, Privacy, Cybersecurity, and Government Data</w:t>
        </w:r>
        <w:r>
          <w:tab/>
        </w:r>
        <w:r>
          <w:t>1659</w:t>
        </w:r>
      </w:hyperlink>
    </w:p>
    <w:p>
      <w:pPr>
        <w:pStyle w:val="TOC2"/>
      </w:pPr>
      <w:hyperlink w:anchor="_Toc300001571" w:history="1">
        <w:r>
          <w:t>Article 41.5: Natural Resources, Water, Forestry, and the Arctic</w:t>
        </w:r>
        <w:r>
          <w:tab/>
        </w:r>
        <w:r>
          <w:t>1660</w:t>
        </w:r>
      </w:hyperlink>
    </w:p>
    <w:p>
      <w:pPr>
        <w:pStyle w:val="TOC2"/>
      </w:pPr>
      <w:hyperlink w:anchor="_Toc300001572" w:history="1">
        <w:r>
          <w:t>Article 41.6: Indigenous Peoples</w:t>
        </w:r>
        <w:r>
          <w:tab/>
        </w:r>
        <w:r>
          <w:t>1660</w:t>
        </w:r>
      </w:hyperlink>
    </w:p>
    <w:p>
      <w:pPr>
        <w:pStyle w:val="TOC2"/>
      </w:pPr>
      <w:hyperlink w:anchor="_Toc300001573" w:history="1">
        <w:r>
          <w:t>Article 41.7: Immigration, Labor-Market Programs, and Culture</w:t>
        </w:r>
        <w:r>
          <w:tab/>
        </w:r>
        <w:r>
          <w:t>1660</w:t>
        </w:r>
      </w:hyperlink>
    </w:p>
    <w:p>
      <w:pPr>
        <w:pStyle w:val="TOC2"/>
      </w:pPr>
      <w:hyperlink w:anchor="_Toc300001574" w:history="1">
        <w:r>
          <w:t>Article 41.7A: Cultural and Linguistic Sovereignty Firewall</w:t>
        </w:r>
        <w:r>
          <w:tab/>
        </w:r>
        <w:r>
          <w:t>1661</w:t>
        </w:r>
      </w:hyperlink>
    </w:p>
    <w:p>
      <w:pPr>
        <w:pStyle w:val="TOC2"/>
      </w:pPr>
      <w:hyperlink w:anchor="_Toc300001575" w:history="1">
        <w:r>
          <w:t>Article 41.8: Infrastructure and Domestic Approval</w:t>
        </w:r>
        <w:r>
          <w:tab/>
        </w:r>
        <w:r>
          <w:t>1662</w:t>
        </w:r>
      </w:hyperlink>
    </w:p>
    <w:p>
      <w:pPr>
        <w:pStyle w:val="TOC2"/>
      </w:pPr>
      <w:hyperlink w:anchor="_Toc300001576" w:history="1">
        <w:r>
          <w:t>Article 41.9: Safe-Harbor Coordination</w:t>
        </w:r>
        <w:r>
          <w:tab/>
        </w:r>
        <w:r>
          <w:t>1663</w:t>
        </w:r>
      </w:hyperlink>
    </w:p>
    <w:p>
      <w:pPr>
        <w:pStyle w:val="TOC1"/>
      </w:pPr>
      <w:hyperlink w:anchor="_Toc300001577" w:history="1">
        <w:r>
          <w:t>CHAPTER 42 SOFTWOOD LUMBER STABILITY AND FORESTRY TRADE</w:t>
        </w:r>
        <w:r>
          <w:tab/>
        </w:r>
        <w:r>
          <w:t>1664</w:t>
        </w:r>
      </w:hyperlink>
    </w:p>
    <w:p>
      <w:pPr>
        <w:pStyle w:val="TOC2"/>
      </w:pPr>
      <w:hyperlink w:anchor="_Toc300001578" w:history="1">
        <w:r>
          <w:t>Article 42.1: Purpose</w:t>
        </w:r>
        <w:r>
          <w:tab/>
        </w:r>
        <w:r>
          <w:t>1664</w:t>
        </w:r>
      </w:hyperlink>
    </w:p>
    <w:p>
      <w:pPr>
        <w:pStyle w:val="TOC2"/>
      </w:pPr>
      <w:hyperlink w:anchor="_Toc300001579" w:history="1">
        <w:r>
          <w:t>Article 42.2: Stumpage and Benchmark Transparency</w:t>
        </w:r>
        <w:r>
          <w:tab/>
        </w:r>
        <w:r>
          <w:t>1664</w:t>
        </w:r>
      </w:hyperlink>
    </w:p>
    <w:p>
      <w:pPr>
        <w:pStyle w:val="TOC2"/>
      </w:pPr>
      <w:hyperlink w:anchor="_Toc300001580" w:history="1">
        <w:r>
          <w:t>Article 42.3: Stumpage Neutrality Test</w:t>
        </w:r>
        <w:r>
          <w:tab/>
        </w:r>
        <w:r>
          <w:t>1664</w:t>
        </w:r>
      </w:hyperlink>
    </w:p>
    <w:p>
      <w:pPr>
        <w:pStyle w:val="TOC2"/>
      </w:pPr>
      <w:hyperlink w:anchor="_Toc300001581" w:history="1">
        <w:r>
          <w:t>Article 42.4: Expedited Softwood Review</w:t>
        </w:r>
        <w:r>
          <w:tab/>
        </w:r>
        <w:r>
          <w:t>1664</w:t>
        </w:r>
      </w:hyperlink>
    </w:p>
    <w:p>
      <w:pPr>
        <w:pStyle w:val="TOC2"/>
      </w:pPr>
      <w:hyperlink w:anchor="_Toc300001582" w:history="1">
        <w:r>
          <w:t>Article 42.5: Sustainable Forestry Facilitation</w:t>
        </w:r>
        <w:r>
          <w:tab/>
        </w:r>
        <w:r>
          <w:t>1665</w:t>
        </w:r>
      </w:hyperlink>
    </w:p>
    <w:p>
      <w:pPr>
        <w:pStyle w:val="TOC2"/>
      </w:pPr>
      <w:hyperlink w:anchor="_Toc300001583" w:history="1">
        <w:r>
          <w:t>Article 42.6: Forestry Adjustment and Modernization Facility</w:t>
        </w:r>
        <w:r>
          <w:tab/>
        </w:r>
        <w:r>
          <w:t>1665</w:t>
        </w:r>
      </w:hyperlink>
    </w:p>
    <w:p>
      <w:pPr>
        <w:pStyle w:val="TOC2"/>
      </w:pPr>
      <w:hyperlink w:anchor="_Toc300001584" w:history="1">
        <w:r>
          <w:t>Article 42.7: No-Fade Continuity and Rolling-Horizon Review</w:t>
        </w:r>
        <w:r>
          <w:tab/>
        </w:r>
        <w:r>
          <w:t>1665</w:t>
        </w:r>
      </w:hyperlink>
    </w:p>
    <w:p>
      <w:pPr>
        <w:pStyle w:val="TOC2"/>
      </w:pPr>
      <w:hyperlink w:anchor="_Toc300001585" w:history="1">
        <w:r>
          <w:t>Article 42.8: Objective-Criteria and Non-Arbitrariness Rule</w:t>
        </w:r>
        <w:r>
          <w:tab/>
        </w:r>
        <w:r>
          <w:t>1665</w:t>
        </w:r>
      </w:hyperlink>
    </w:p>
    <w:p>
      <w:pPr>
        <w:pStyle w:val="TOC2"/>
      </w:pPr>
      <w:hyperlink w:anchor="_Toc300001586" w:history="1">
        <w:r>
          <w:t>Article 42.9: Market-Based Forestry Practice Safe Harbor</w:t>
        </w:r>
        <w:r>
          <w:tab/>
        </w:r>
        <w:r>
          <w:t>1666</w:t>
        </w:r>
      </w:hyperlink>
    </w:p>
    <w:p>
      <w:pPr>
        <w:pStyle w:val="TOC2"/>
      </w:pPr>
      <w:hyperlink w:anchor="_Toc300001587" w:history="1">
        <w:r>
          <w:t>Article 42.10: North American Housing Supply and Affordability Cooperation</w:t>
        </w:r>
        <w:r>
          <w:tab/>
        </w:r>
        <w:r>
          <w:t>1666</w:t>
        </w:r>
      </w:hyperlink>
    </w:p>
    <w:p>
      <w:pPr>
        <w:pStyle w:val="TOC2"/>
      </w:pPr>
      <w:hyperlink w:anchor="_Toc300001588" w:history="1">
        <w:r>
          <w:t>Article 42.11: Housing and Disaster Reconstruction Emergency Valve</w:t>
        </w:r>
        <w:r>
          <w:tab/>
        </w:r>
        <w:r>
          <w:t>1666</w:t>
        </w:r>
      </w:hyperlink>
    </w:p>
    <w:p>
      <w:pPr>
        <w:pStyle w:val="TOC2"/>
      </w:pPr>
      <w:hyperlink w:anchor="_Toc300001589" w:history="1">
        <w:r>
          <w:t>Article 42.12: Advanced Wood Products and Value-Added Manufacturing Corridor</w:t>
        </w:r>
        <w:r>
          <w:tab/>
        </w:r>
        <w:r>
          <w:t>1666</w:t>
        </w:r>
      </w:hyperlink>
    </w:p>
    <w:p>
      <w:pPr>
        <w:pStyle w:val="TOC2"/>
      </w:pPr>
      <w:hyperlink w:anchor="_Toc300001590" w:history="1">
        <w:r>
          <w:t>Article 42.13: Forest Products Mutual Recognition Framework</w:t>
        </w:r>
        <w:r>
          <w:tab/>
        </w:r>
        <w:r>
          <w:t>1666</w:t>
        </w:r>
      </w:hyperlink>
    </w:p>
    <w:p>
      <w:pPr>
        <w:pStyle w:val="TOC2"/>
      </w:pPr>
      <w:hyperlink w:anchor="_Toc300001591" w:history="1">
        <w:r>
          <w:t>Article 42.14: Prospective Treatment, Advance Notice, and Reliance Protection</w:t>
        </w:r>
        <w:r>
          <w:tab/>
        </w:r>
        <w:r>
          <w:t>1667</w:t>
        </w:r>
      </w:hyperlink>
    </w:p>
    <w:p>
      <w:pPr>
        <w:pStyle w:val="TOC2"/>
      </w:pPr>
      <w:hyperlink w:anchor="_Toc300001592" w:history="1">
        <w:r>
          <w:t>Article 42.15: Trusted Forest Products Trade Lane</w:t>
        </w:r>
        <w:r>
          <w:tab/>
        </w:r>
        <w:r>
          <w:t>1667</w:t>
        </w:r>
      </w:hyperlink>
    </w:p>
    <w:p>
      <w:pPr>
        <w:pStyle w:val="TOC2"/>
      </w:pPr>
      <w:hyperlink w:anchor="_Toc300001593" w:history="1">
        <w:r>
          <w:t>Article 42.16: Forestry Resilience and Forest-Health Partnership</w:t>
        </w:r>
        <w:r>
          <w:tab/>
        </w:r>
        <w:r>
          <w:t>1667</w:t>
        </w:r>
      </w:hyperlink>
    </w:p>
    <w:p>
      <w:pPr>
        <w:pStyle w:val="TOC2"/>
      </w:pPr>
      <w:hyperlink w:anchor="_Toc300001594" w:history="1">
        <w:r>
          <w:t>Article 42.17: Indigenous and Community Forestry Participation</w:t>
        </w:r>
        <w:r>
          <w:tab/>
        </w:r>
        <w:r>
          <w:t>1668</w:t>
        </w:r>
      </w:hyperlink>
    </w:p>
    <w:p>
      <w:pPr>
        <w:pStyle w:val="TOC2"/>
      </w:pPr>
      <w:hyperlink w:anchor="_Toc300001595" w:history="1">
        <w:r>
          <w:t>Article 42.18: Federal and Public-Sector Construction Cooperation</w:t>
        </w:r>
        <w:r>
          <w:tab/>
        </w:r>
        <w:r>
          <w:t>1668</w:t>
        </w:r>
      </w:hyperlink>
    </w:p>
    <w:p>
      <w:pPr>
        <w:pStyle w:val="TOC2"/>
      </w:pPr>
      <w:hyperlink w:anchor="_Toc300001596" w:history="1">
        <w:r>
          <w:t>Article 42.19: Softwood Lumber Technical Consultation and Cothrom Interface</w:t>
        </w:r>
        <w:r>
          <w:tab/>
        </w:r>
        <w:r>
          <w:t>1668</w:t>
        </w:r>
      </w:hyperlink>
    </w:p>
    <w:p>
      <w:pPr>
        <w:pStyle w:val="TOC2"/>
      </w:pPr>
      <w:hyperlink w:anchor="_Toc300001599" w:history="1">
        <w:r>
          <w:t>Article 42.19A: Strategic Minerals-for-Forestry Normalization Framework</w:t>
        </w:r>
        <w:r>
          <w:tab/>
        </w:r>
        <w:r>
          <w:t>1669</w:t>
        </w:r>
      </w:hyperlink>
    </w:p>
    <w:p>
      <w:pPr>
        <w:pStyle w:val="TOC2"/>
      </w:pPr>
      <w:hyperlink w:anchor="_Toc300001597" w:history="1">
        <w:r>
          <w:t>Article 42.20: Performance Measurement and Rolling-Horizon Work Program</w:t>
        </w:r>
        <w:r>
          <w:tab/>
        </w:r>
        <w:r>
          <w:t>1669</w:t>
        </w:r>
      </w:hyperlink>
    </w:p>
    <w:p>
      <w:pPr>
        <w:pStyle w:val="TOC2"/>
      </w:pPr>
      <w:hyperlink w:anchor="_Toc300001600" w:history="1">
        <w:r>
          <w:t>Article 42.20A: Staged Forestry Normalization</w:t>
        </w:r>
        <w:r>
          <w:tab/>
        </w:r>
        <w:r>
          <w:t>1669</w:t>
        </w:r>
      </w:hyperlink>
    </w:p>
    <w:p>
      <w:pPr>
        <w:pStyle w:val="TOC2"/>
      </w:pPr>
      <w:hyperlink w:anchor="_Toc300001598" w:history="1">
        <w:r>
          <w:t>Article 42.20B: Limited Bridge to Chapter 35</w:t>
        </w:r>
        <w:r>
          <w:tab/>
        </w:r>
        <w:r>
          <w:t>1670</w:t>
        </w:r>
      </w:hyperlink>
    </w:p>
    <w:p>
      <w:pPr>
        <w:pStyle w:val="TOC2"/>
      </w:pPr>
      <w:hyperlink w:anchor="_Toc300001601" w:history="1">
        <w:r>
          <w:t>Article 42.21: Institutional Performance Rather Than Compulsory Tonnage</w:t>
        </w:r>
        <w:r>
          <w:tab/>
        </w:r>
        <w:r>
          <w:t>1670</w:t>
        </w:r>
      </w:hyperlink>
    </w:p>
    <w:p>
      <w:pPr>
        <w:pStyle w:val="TOC2"/>
      </w:pPr>
      <w:hyperlink w:anchor="_Toc300001602" w:history="1">
        <w:r>
          <w:t>Article 42.22: Proportional Linkage and No Essential-Supply Cutoff</w:t>
        </w:r>
        <w:r>
          <w:tab/>
        </w:r>
        <w:r>
          <w:t>1671</w:t>
        </w:r>
      </w:hyperlink>
    </w:p>
    <w:p>
      <w:pPr>
        <w:pStyle w:val="TOC2"/>
      </w:pPr>
      <w:hyperlink w:anchor="_Toc300001603" w:history="1">
        <w:r>
          <w:t>Article 42.23: Joint Forestry and Strategic Materials Review</w:t>
        </w:r>
        <w:r>
          <w:tab/>
        </w:r>
        <w:r>
          <w:t>1671</w:t>
        </w:r>
      </w:hyperlink>
    </w:p>
    <w:p>
      <w:pPr>
        <w:pStyle w:val="TOC2"/>
      </w:pPr>
      <w:hyperlink w:anchor="_Toc300001604" w:history="1">
        <w:r>
          <w:t>Article 42.23A: Strategic Materials-for-Forestry Normalization Ladder</w:t>
        </w:r>
        <w:r>
          <w:tab/>
        </w:r>
        <w:r>
          <w:t>1671</w:t>
        </w:r>
      </w:hyperlink>
    </w:p>
    <w:p>
      <w:pPr>
        <w:pStyle w:val="TOC2"/>
      </w:pPr>
      <w:hyperlink w:anchor="_Toc300001605" w:history="1">
        <w:r>
          <w:t>Article 42.23B: No Double Payment, No Commodity Contagion, and Value Preservation</w:t>
        </w:r>
        <w:r>
          <w:tab/>
        </w:r>
        <w:r>
          <w:t>1672</w:t>
        </w:r>
      </w:hyperlink>
    </w:p>
    <w:p>
      <w:pPr>
        <w:pStyle w:val="TOC2"/>
      </w:pPr>
      <w:hyperlink w:anchor="_Toc300001606" w:history="1">
        <w:r>
          <w:t>Article 42.24: Trilateral Forestry and Wood-Products Integration Lane</w:t>
        </w:r>
        <w:r>
          <w:tab/>
        </w:r>
        <w:r>
          <w:t>1673</w:t>
        </w:r>
      </w:hyperlink>
    </w:p>
    <w:p>
      <w:pPr>
        <w:pStyle w:val="TOC2"/>
      </w:pPr>
      <w:hyperlink w:anchor="_Toc300001607" w:history="1">
        <w:r>
          <w:t>Article 42.25: Mexican Lumber Supply Security and Canadian Market Diversification</w:t>
        </w:r>
        <w:r>
          <w:tab/>
        </w:r>
        <w:r>
          <w:t>1673</w:t>
        </w:r>
      </w:hyperlink>
    </w:p>
    <w:p>
      <w:pPr>
        <w:pStyle w:val="TOC2"/>
      </w:pPr>
      <w:hyperlink w:anchor="_Toc300001608" w:history="1">
        <w:r>
          <w:t>Article 42.26: Mexican Value-Added Wood Manufacturing and North American Transformation</w:t>
        </w:r>
        <w:r>
          <w:tab/>
        </w:r>
        <w:r>
          <w:t>1673</w:t>
        </w:r>
      </w:hyperlink>
    </w:p>
    <w:p>
      <w:pPr>
        <w:pStyle w:val="TOC2"/>
      </w:pPr>
      <w:hyperlink w:anchor="_Toc300001609" w:history="1">
        <w:r>
          <w:t>Article 42.27: Forest-to-Factory Corridors and Housing Inputs</w:t>
        </w:r>
        <w:r>
          <w:tab/>
        </w:r>
        <w:r>
          <w:t>1673</w:t>
        </w:r>
      </w:hyperlink>
    </w:p>
    <w:p>
      <w:pPr>
        <w:pStyle w:val="TOC2"/>
      </w:pPr>
      <w:hyperlink w:anchor="_Toc300001610" w:history="1">
        <w:r>
          <w:t>Article 42.28: Salvage-to-Value and Forest Recovery Cooperation</w:t>
        </w:r>
        <w:r>
          <w:tab/>
        </w:r>
        <w:r>
          <w:t>1673</w:t>
        </w:r>
      </w:hyperlink>
    </w:p>
    <w:p>
      <w:pPr>
        <w:pStyle w:val="TOC2"/>
      </w:pPr>
      <w:hyperlink w:anchor="_Toc300001611" w:history="1">
        <w:r>
          <w:t>Article 42.29: Mexico Non-Participation Firewall for Bilateral Lumber Remedies</w:t>
        </w:r>
        <w:r>
          <w:tab/>
        </w:r>
        <w:r>
          <w:t>1673</w:t>
        </w:r>
      </w:hyperlink>
    </w:p>
    <w:p>
      <w:pPr>
        <w:pStyle w:val="TOC1"/>
      </w:pPr>
      <w:hyperlink w:anchor="_Toc300001612" w:history="1">
        <w:r>
          <w:t>CHAPTER 43 AGRICULTURAL MARKET ACCESS, COMPETITIVE NEUTRALITY, AND INNOVATION</w:t>
        </w:r>
        <w:r>
          <w:tab/>
        </w:r>
        <w:r>
          <w:t>1674</w:t>
        </w:r>
      </w:hyperlink>
    </w:p>
    <w:p>
      <w:pPr>
        <w:pStyle w:val="TOC2"/>
      </w:pPr>
      <w:hyperlink w:anchor="_Toc300001613" w:history="1">
        <w:r>
          <w:t>Article 43.1: Balanced Agricultural Market Access</w:t>
        </w:r>
        <w:r>
          <w:tab/>
        </w:r>
        <w:r>
          <w:t>1674</w:t>
        </w:r>
      </w:hyperlink>
    </w:p>
    <w:p>
      <w:pPr>
        <w:pStyle w:val="TOC2"/>
      </w:pPr>
      <w:hyperlink w:anchor="_Toc300001614" w:history="1">
        <w:r>
          <w:t>Article 43.1A: Supply Management Sovereignty and Negotiated Market Access</w:t>
        </w:r>
        <w:r>
          <w:tab/>
        </w:r>
        <w:r>
          <w:t>1674</w:t>
        </w:r>
      </w:hyperlink>
    </w:p>
    <w:p>
      <w:pPr>
        <w:pStyle w:val="TOC2"/>
      </w:pPr>
      <w:hyperlink w:anchor="_Toc300001615" w:history="1">
        <w:r>
          <w:t>Article 43.1B: Poultry and Egg TRQ Administration and Commercial Usability</w:t>
        </w:r>
        <w:r>
          <w:tab/>
        </w:r>
        <w:r>
          <w:t>1675</w:t>
        </w:r>
      </w:hyperlink>
    </w:p>
    <w:p>
      <w:pPr>
        <w:pStyle w:val="TOC2"/>
      </w:pPr>
      <w:hyperlink w:anchor="_Toc300001616" w:history="1">
        <w:r>
          <w:t>Article 43.1C: Permanent Access, Temporary Flexibility, and No-Ratchet Rules</w:t>
        </w:r>
        <w:r>
          <w:tab/>
        </w:r>
        <w:r>
          <w:t>1676</w:t>
        </w:r>
      </w:hyperlink>
    </w:p>
    <w:p>
      <w:pPr>
        <w:pStyle w:val="TOC2"/>
      </w:pPr>
      <w:hyperlink w:anchor="_Toc300001617" w:history="1">
        <w:r>
          <w:t>Article 43.1D: North American Poultry and Egg Supply Observatory</w:t>
        </w:r>
        <w:r>
          <w:tab/>
        </w:r>
        <w:r>
          <w:t>1677</w:t>
        </w:r>
      </w:hyperlink>
    </w:p>
    <w:p>
      <w:pPr>
        <w:pStyle w:val="TOC2"/>
      </w:pPr>
      <w:hyperlink w:anchor="_Toc300001618" w:history="1">
        <w:r>
          <w:t>Article 43.1E: Consumer Affordability, Producer Stability, and Supply Continuity</w:t>
        </w:r>
        <w:r>
          <w:tab/>
        </w:r>
        <w:r>
          <w:t>1679</w:t>
        </w:r>
      </w:hyperlink>
    </w:p>
    <w:p>
      <w:pPr>
        <w:pStyle w:val="TOC2"/>
      </w:pPr>
      <w:hyperlink w:anchor="_Toc300001619" w:history="1">
        <w:r>
          <w:t>Article 43.1F: Verified Poultry and Egg Shortage Determination</w:t>
        </w:r>
        <w:r>
          <w:tab/>
        </w:r>
        <w:r>
          <w:t>1680</w:t>
        </w:r>
      </w:hyperlink>
    </w:p>
    <w:p>
      <w:pPr>
        <w:pStyle w:val="TOC2"/>
      </w:pPr>
      <w:hyperlink w:anchor="_Toc300001620" w:history="1">
        <w:r>
          <w:t>Article 43.1G: North American Poultry and Egg Emergency Supply Surge</w:t>
        </w:r>
        <w:r>
          <w:tab/>
        </w:r>
        <w:r>
          <w:t>1680</w:t>
        </w:r>
      </w:hyperlink>
    </w:p>
    <w:p>
      <w:pPr>
        <w:pStyle w:val="TOC2"/>
      </w:pPr>
      <w:hyperlink w:anchor="_Toc300001621" w:history="1">
        <w:r>
          <w:t>Article 43.1H: Canada-United States Egg Supply Security Partnership</w:t>
        </w:r>
        <w:r>
          <w:tab/>
        </w:r>
        <w:r>
          <w:t>1681</w:t>
        </w:r>
      </w:hyperlink>
    </w:p>
    <w:p>
      <w:pPr>
        <w:pStyle w:val="TOC2"/>
      </w:pPr>
      <w:hyperlink w:anchor="_Toc300001622" w:history="1">
        <w:r>
          <w:t>Article 43.1I: Emergency Egg Reserve, Replenishment, and Surplus Absorption</w:t>
        </w:r>
        <w:r>
          <w:tab/>
        </w:r>
        <w:r>
          <w:t>1682</w:t>
        </w:r>
      </w:hyperlink>
    </w:p>
    <w:p>
      <w:pPr>
        <w:pStyle w:val="TOC2"/>
      </w:pPr>
      <w:hyperlink w:anchor="_Toc300001623" w:history="1">
        <w:r>
          <w:t>Article 43.1J: Avian Influenza, Disease Regionalization, and Trade Continuity</w:t>
        </w:r>
        <w:r>
          <w:tab/>
        </w:r>
        <w:r>
          <w:t>1683</w:t>
        </w:r>
      </w:hyperlink>
    </w:p>
    <w:p>
      <w:pPr>
        <w:pStyle w:val="TOC2"/>
      </w:pPr>
      <w:hyperlink w:anchor="_Toc300001624" w:history="1">
        <w:r>
          <w:t>Article 43.1K: Hatching Stock, Genetic Capacity, and Post-Outbreak Repopulation</w:t>
        </w:r>
        <w:r>
          <w:tab/>
        </w:r>
        <w:r>
          <w:t>1684</w:t>
        </w:r>
      </w:hyperlink>
    </w:p>
    <w:p>
      <w:pPr>
        <w:pStyle w:val="TOC2"/>
      </w:pPr>
      <w:hyperlink w:anchor="_Toc300001625" w:history="1">
        <w:r>
          <w:t>Article 43.1L: Poultry and Egg Trade Facilitation and Emergency Logistics</w:t>
        </w:r>
        <w:r>
          <w:tab/>
        </w:r>
        <w:r>
          <w:t>1685</w:t>
        </w:r>
      </w:hyperlink>
    </w:p>
    <w:p>
      <w:pPr>
        <w:pStyle w:val="TOC2"/>
      </w:pPr>
      <w:hyperlink w:anchor="_Toc300001626" w:history="1">
        <w:r>
          <w:t>Article 43.1M: Poultry and Egg Transparency, Consultation, and Cothrom Review</w:t>
        </w:r>
        <w:r>
          <w:tab/>
        </w:r>
        <w:r>
          <w:t>1686</w:t>
        </w:r>
      </w:hyperlink>
    </w:p>
    <w:p>
      <w:pPr>
        <w:pStyle w:val="TOC2"/>
      </w:pPr>
      <w:hyperlink w:anchor="_Toc300001627" w:history="1">
        <w:r>
          <w:t>Article 43.1N: Poultry and Egg Technical Committee and Long-Term Stability</w:t>
        </w:r>
        <w:r>
          <w:tab/>
        </w:r>
        <w:r>
          <w:t>1687</w:t>
        </w:r>
      </w:hyperlink>
    </w:p>
    <w:p>
      <w:pPr>
        <w:pStyle w:val="TOC2"/>
      </w:pPr>
      <w:hyperlink w:anchor="_Toc300001628" w:history="1">
        <w:r>
          <w:t>Article 43.1O: Specialty and Exotic Avian Products - Scope, Classification, and Definitions</w:t>
        </w:r>
        <w:r>
          <w:tab/>
        </w:r>
        <w:r>
          <w:t>1687</w:t>
        </w:r>
      </w:hyperlink>
    </w:p>
    <w:p>
      <w:pPr>
        <w:pStyle w:val="TOC2"/>
      </w:pPr>
      <w:hyperlink w:anchor="_Toc300001629" w:history="1">
        <w:r>
          <w:t>Article 43.1P: Specialty Avian Tariff, Quota, Origin, and Processing Facilitation</w:t>
        </w:r>
        <w:r>
          <w:tab/>
        </w:r>
        <w:r>
          <w:t>1689</w:t>
        </w:r>
      </w:hyperlink>
    </w:p>
    <w:p>
      <w:pPr>
        <w:pStyle w:val="TOC2"/>
      </w:pPr>
      <w:hyperlink w:anchor="_Toc300001630" w:history="1">
        <w:r>
          <w:t>Article 43.1Q: Specialty Avian SPS, Veterinary Certification, and Disease Control</w:t>
        </w:r>
        <w:r>
          <w:tab/>
        </w:r>
        <w:r>
          <w:t>1690</w:t>
        </w:r>
      </w:hyperlink>
    </w:p>
    <w:p>
      <w:pPr>
        <w:pStyle w:val="TOC2"/>
      </w:pPr>
      <w:hyperlink w:anchor="_Toc300001631" w:history="1">
        <w:r>
          <w:t>Article 43.1R: Specialty Avian Market Development, Digital Commerce, and Full-Value Supply Chains</w:t>
        </w:r>
        <w:r>
          <w:tab/>
        </w:r>
        <w:r>
          <w:t>1691</w:t>
        </w:r>
      </w:hyperlink>
    </w:p>
    <w:p>
      <w:pPr>
        <w:pStyle w:val="TOC2"/>
      </w:pPr>
      <w:hyperlink w:anchor="_Toc300001633" w:history="1">
        <w:r>
          <w:t>Article 43.1S: Reciprocal Agricultural Market Access and Regulatory Facilitation</w:t>
        </w:r>
        <w:r>
          <w:tab/>
        </w:r>
        <w:r>
          <w:t>1692</w:t>
        </w:r>
      </w:hyperlink>
    </w:p>
    <w:p>
      <w:pPr>
        <w:pStyle w:val="TOC2"/>
      </w:pPr>
      <w:hyperlink w:anchor="_Toc300001634" w:history="1">
        <w:r>
          <w:t>Article 43.1T: Science-Based SPS Sovereignty and Least-Trade-Restrictive Administration</w:t>
        </w:r>
        <w:r>
          <w:tab/>
        </w:r>
        <w:r>
          <w:t>1693</w:t>
        </w:r>
      </w:hyperlink>
    </w:p>
    <w:p>
      <w:pPr>
        <w:pStyle w:val="TOC2"/>
      </w:pPr>
      <w:hyperlink w:anchor="_Toc300001635" w:history="1">
        <w:r>
          <w:t>Article 43.1U: Equivalence, Systems Recognition, and Comparable Outcomes</w:t>
        </w:r>
        <w:r>
          <w:tab/>
        </w:r>
        <w:r>
          <w:t>1693</w:t>
        </w:r>
      </w:hyperlink>
    </w:p>
    <w:p>
      <w:pPr>
        <w:pStyle w:val="TOC2"/>
      </w:pPr>
      <w:hyperlink w:anchor="_Toc300001636" w:history="1">
        <w:r>
          <w:t>Article 43.1V: Regionalization, Compartmentalization, and Trade Continuity</w:t>
        </w:r>
        <w:r>
          <w:tab/>
        </w:r>
        <w:r>
          <w:t>1693</w:t>
        </w:r>
      </w:hyperlink>
    </w:p>
    <w:p>
      <w:pPr>
        <w:pStyle w:val="TOC2"/>
      </w:pPr>
      <w:hyperlink w:anchor="_Toc300001637" w:history="1">
        <w:r>
          <w:t>Article 43.1W: Agricultural Inspection, Certification, and Trusted Operator Facilitation</w:t>
        </w:r>
        <w:r>
          <w:tab/>
        </w:r>
        <w:r>
          <w:t>1694</w:t>
        </w:r>
      </w:hyperlink>
    </w:p>
    <w:p>
      <w:pPr>
        <w:pStyle w:val="TOC2"/>
      </w:pPr>
      <w:hyperlink w:anchor="_Toc300001638" w:history="1">
        <w:r>
          <w:t>Article 43.1X: Electronic Agricultural Certification and Single-Window Administration</w:t>
        </w:r>
        <w:r>
          <w:tab/>
        </w:r>
        <w:r>
          <w:t>1695</w:t>
        </w:r>
      </w:hyperlink>
    </w:p>
    <w:p>
      <w:pPr>
        <w:pStyle w:val="TOC2"/>
      </w:pPr>
      <w:hyperlink w:anchor="_Toc300001639" w:history="1">
        <w:r>
          <w:t>Article 43.1Y: Perishable Agricultural Goods and Border-Time Discipline</w:t>
        </w:r>
        <w:r>
          <w:tab/>
        </w:r>
        <w:r>
          <w:t>1695</w:t>
        </w:r>
      </w:hyperlink>
    </w:p>
    <w:p>
      <w:pPr>
        <w:pStyle w:val="TOC2"/>
      </w:pPr>
      <w:hyperlink w:anchor="_Toc300001640" w:history="1">
        <w:r>
          <w:t>Article 43.1Z: Laboratory Testing, Sampling, and Duplicate-Control Reduction</w:t>
        </w:r>
        <w:r>
          <w:tab/>
        </w:r>
        <w:r>
          <w:t>1696</w:t>
        </w:r>
      </w:hyperlink>
    </w:p>
    <w:p>
      <w:pPr>
        <w:pStyle w:val="TOC2"/>
      </w:pPr>
      <w:hyperlink w:anchor="_Toc300001641" w:history="1">
        <w:r>
          <w:t>Article 43.1AA: New Product, Facility, Treatment, and Market-Access Applications</w:t>
        </w:r>
        <w:r>
          <w:tab/>
        </w:r>
        <w:r>
          <w:t>1697</w:t>
        </w:r>
      </w:hyperlink>
    </w:p>
    <w:p>
      <w:pPr>
        <w:pStyle w:val="TOC2"/>
      </w:pPr>
      <w:hyperlink w:anchor="_Toc300001642" w:history="1">
        <w:r>
          <w:t>Article 43.1AB: Emergency Agricultural SPS Measures and Rapid Review</w:t>
        </w:r>
        <w:r>
          <w:tab/>
        </w:r>
        <w:r>
          <w:t>1698</w:t>
        </w:r>
      </w:hyperlink>
    </w:p>
    <w:p>
      <w:pPr>
        <w:pStyle w:val="TOC2"/>
      </w:pPr>
      <w:hyperlink w:anchor="_Toc300001643" w:history="1">
        <w:r>
          <w:t>Article 43.1AC: Agricultural Administrative Barrier Review and Corrective Action</w:t>
        </w:r>
        <w:r>
          <w:tab/>
        </w:r>
        <w:r>
          <w:t>1698</w:t>
        </w:r>
      </w:hyperlink>
    </w:p>
    <w:p>
      <w:pPr>
        <w:pStyle w:val="TOC2"/>
      </w:pPr>
      <w:hyperlink w:anchor="_Toc300001644" w:history="1">
        <w:r>
          <w:t>Article 43.1AD: Reciprocity Circuit Breaker, Review, and Non-Retaliation</w:t>
        </w:r>
        <w:r>
          <w:tab/>
        </w:r>
        <w:r>
          <w:t>1699</w:t>
        </w:r>
      </w:hyperlink>
    </w:p>
    <w:p>
      <w:pPr>
        <w:pStyle w:val="TOC2"/>
      </w:pPr>
      <w:hyperlink w:anchor="_Toc300001645" w:history="1">
        <w:r>
          <w:t>Article 43.2: Dairy Manufacturing Inputs</w:t>
        </w:r>
        <w:r>
          <w:tab/>
        </w:r>
        <w:r>
          <w:t>1700</w:t>
        </w:r>
      </w:hyperlink>
    </w:p>
    <w:p>
      <w:pPr>
        <w:pStyle w:val="TOC2"/>
      </w:pPr>
      <w:hyperlink w:anchor="_Toc300001646" w:history="1">
        <w:r>
          <w:t>Article 43.2A: North American Dairy Settlement and Supply-Management Stability</w:t>
        </w:r>
        <w:r>
          <w:tab/>
        </w:r>
        <w:r>
          <w:t>1700</w:t>
        </w:r>
      </w:hyperlink>
    </w:p>
    <w:p>
      <w:pPr>
        <w:pStyle w:val="TOC2"/>
      </w:pPr>
      <w:hyperlink w:anchor="_Toc300001647" w:history="1">
        <w:r>
          <w:t>Article 43.2B: Effective Dairy Access Guarantee</w:t>
        </w:r>
        <w:r>
          <w:tab/>
        </w:r>
        <w:r>
          <w:t>1700</w:t>
        </w:r>
      </w:hyperlink>
    </w:p>
    <w:p>
      <w:pPr>
        <w:pStyle w:val="TOC2"/>
      </w:pPr>
      <w:hyperlink w:anchor="_Toc300001648" w:history="1">
        <w:r>
          <w:t>Article 43.2C: Utilization, Adaptive TRQs, and Access Restoration</w:t>
        </w:r>
        <w:r>
          <w:tab/>
        </w:r>
        <w:r>
          <w:t>1700</w:t>
        </w:r>
      </w:hyperlink>
    </w:p>
    <w:p>
      <w:pPr>
        <w:pStyle w:val="TOC2"/>
      </w:pPr>
      <w:hyperlink w:anchor="_Toc300001649" w:history="1">
        <w:r>
          <w:t>Article 43.2D: Mexico Integration, Capacity Development, and Balanced Trilateral Opportunity</w:t>
        </w:r>
        <w:r>
          <w:tab/>
        </w:r>
        <w:r>
          <w:t>1701</w:t>
        </w:r>
      </w:hyperlink>
    </w:p>
    <w:p>
      <w:pPr>
        <w:pStyle w:val="TOC2"/>
      </w:pPr>
      <w:hyperlink w:anchor="_Toc300001650" w:history="1">
        <w:r>
          <w:t>Article 43.2E: Dairy Proteins, Concentrates, and Competitive-Neutrality Safe Harbor</w:t>
        </w:r>
        <w:r>
          <w:tab/>
        </w:r>
        <w:r>
          <w:t>1702</w:t>
        </w:r>
      </w:hyperlink>
    </w:p>
    <w:p>
      <w:pPr>
        <w:pStyle w:val="TOC2"/>
      </w:pPr>
      <w:hyperlink w:anchor="_Toc300001651" w:history="1">
        <w:r>
          <w:t>Article 43.2F: Regulatory Equivalence, Inspection, and Dairy Border Facilitation</w:t>
        </w:r>
        <w:r>
          <w:tab/>
        </w:r>
        <w:r>
          <w:t>1702</w:t>
        </w:r>
      </w:hyperlink>
    </w:p>
    <w:p>
      <w:pPr>
        <w:pStyle w:val="TOC2"/>
      </w:pPr>
      <w:hyperlink w:anchor="_Toc300001652" w:history="1">
        <w:r>
          <w:t>Article 43.2G: Specialty Dairy, Small Producers, and Novel Products</w:t>
        </w:r>
        <w:r>
          <w:tab/>
        </w:r>
        <w:r>
          <w:t>1703</w:t>
        </w:r>
      </w:hyperlink>
    </w:p>
    <w:p>
      <w:pPr>
        <w:pStyle w:val="TOC2"/>
      </w:pPr>
      <w:hyperlink w:anchor="_Toc300001653" w:history="1">
        <w:r>
          <w:t>Article 43.2H: North American Specialty Dairy Experimental Pathway</w:t>
        </w:r>
        <w:r>
          <w:tab/>
        </w:r>
        <w:r>
          <w:t>1704</w:t>
        </w:r>
      </w:hyperlink>
    </w:p>
    <w:p>
      <w:pPr>
        <w:pStyle w:val="TOC2"/>
      </w:pPr>
      <w:hyperlink w:anchor="_Toc300001654" w:history="1">
        <w:r>
          <w:t>Article 43.2I: Producer, Consumer, and Supply-Chain Stability</w:t>
        </w:r>
        <w:r>
          <w:tab/>
        </w:r>
        <w:r>
          <w:t>1705</w:t>
        </w:r>
      </w:hyperlink>
    </w:p>
    <w:p>
      <w:pPr>
        <w:pStyle w:val="TOC2"/>
      </w:pPr>
      <w:hyperlink w:anchor="_Toc300001655" w:history="1">
        <w:r>
          <w:t>Article 43.2J: Accelerated Dairy Cothrom Review and Cure</w:t>
        </w:r>
        <w:r>
          <w:tab/>
        </w:r>
        <w:r>
          <w:t>1705</w:t>
        </w:r>
      </w:hyperlink>
    </w:p>
    <w:p>
      <w:pPr>
        <w:pStyle w:val="TOC2"/>
      </w:pPr>
      <w:hyperlink w:anchor="_Toc300001656" w:history="1">
        <w:r>
          <w:t>Article 43.2K: Dairy Peace Clause, No-Surprises Rule, and No-Fade Guarantee</w:t>
        </w:r>
        <w:r>
          <w:tab/>
        </w:r>
        <w:r>
          <w:t>1706</w:t>
        </w:r>
      </w:hyperlink>
    </w:p>
    <w:p>
      <w:pPr>
        <w:pStyle w:val="TOC2"/>
      </w:pPr>
      <w:hyperlink w:anchor="_Toc300001657" w:history="1">
        <w:r>
          <w:t>Article 43.2L: Dairy Data, Research, and Implementation</w:t>
        </w:r>
        <w:r>
          <w:tab/>
        </w:r>
        <w:r>
          <w:t>1706</w:t>
        </w:r>
      </w:hyperlink>
    </w:p>
    <w:p>
      <w:pPr>
        <w:pStyle w:val="TOC2"/>
      </w:pPr>
      <w:hyperlink w:anchor="_Toc300001658" w:history="1">
        <w:r>
          <w:t>Article 43.2L.1: Dairy Access Portability and Active-Use Reallocation</w:t>
        </w:r>
        <w:r>
          <w:tab/>
        </w:r>
        <w:r>
          <w:t>1706</w:t>
        </w:r>
      </w:hyperlink>
    </w:p>
    <w:p>
      <w:pPr>
        <w:pStyle w:val="TOC2"/>
      </w:pPr>
      <w:hyperlink w:anchor="_Toc300001659" w:history="1">
        <w:r>
          <w:t>Article 43.2L.2: Functional Dairy Access Pools</w:t>
        </w:r>
        <w:r>
          <w:tab/>
        </w:r>
        <w:r>
          <w:t>1707</w:t>
        </w:r>
      </w:hyperlink>
    </w:p>
    <w:p>
      <w:pPr>
        <w:pStyle w:val="TOC2"/>
      </w:pPr>
      <w:hyperlink w:anchor="_Toc300001660" w:history="1">
        <w:r>
          <w:t>Article 43.2L.3: Dairy Exporter Pre-Clearance and New-Entrant Gateway</w:t>
        </w:r>
        <w:r>
          <w:tab/>
        </w:r>
        <w:r>
          <w:t>1707</w:t>
        </w:r>
      </w:hyperlink>
    </w:p>
    <w:p>
      <w:pPr>
        <w:pStyle w:val="TOC2"/>
      </w:pPr>
      <w:hyperlink w:anchor="_Toc300001661" w:history="1">
        <w:r>
          <w:t>Article 43.2L.4: Provincial United States Dairy Access Floor</w:t>
        </w:r>
        <w:r>
          <w:tab/>
        </w:r>
        <w:r>
          <w:t>1707</w:t>
        </w:r>
      </w:hyperlink>
    </w:p>
    <w:p>
      <w:pPr>
        <w:pStyle w:val="TOC2"/>
      </w:pPr>
      <w:hyperlink w:anchor="_Toc300001662" w:history="1">
        <w:r>
          <w:t>Article 43.2L.5: Commercial Utilization, Use-or-Return, and Reallocation</w:t>
        </w:r>
        <w:r>
          <w:tab/>
        </w:r>
        <w:r>
          <w:t>1708</w:t>
        </w:r>
      </w:hyperlink>
    </w:p>
    <w:p>
      <w:pPr>
        <w:pStyle w:val="TOC2"/>
      </w:pPr>
      <w:hyperlink w:anchor="_Toc300001663" w:history="1">
        <w:r>
          <w:t>Article 43.2L.6: Provincial Distribution, Regional Flexibility, and Anti-Concentration</w:t>
        </w:r>
        <w:r>
          <w:tab/>
        </w:r>
        <w:r>
          <w:t>1709</w:t>
        </w:r>
      </w:hyperlink>
    </w:p>
    <w:p>
      <w:pPr>
        <w:pStyle w:val="TOC2"/>
      </w:pPr>
      <w:hyperlink w:anchor="_Toc300001664" w:history="1">
        <w:r>
          <w:t>Article 43.2L.7: Product Mix, Milk-Equivalent Accounting, and Reference Volume</w:t>
        </w:r>
        <w:r>
          <w:tab/>
        </w:r>
        <w:r>
          <w:t>1710</w:t>
        </w:r>
      </w:hyperlink>
    </w:p>
    <w:p>
      <w:pPr>
        <w:pStyle w:val="TOC2"/>
      </w:pPr>
      <w:hyperlink w:anchor="_Toc300001665" w:history="1">
        <w:r>
          <w:t>Article 43.2L.8: Supply-Management Stability and No-Ratchet Safeguard</w:t>
        </w:r>
        <w:r>
          <w:tab/>
        </w:r>
        <w:r>
          <w:t>1711</w:t>
        </w:r>
      </w:hyperlink>
    </w:p>
    <w:p>
      <w:pPr>
        <w:pStyle w:val="TOC2"/>
      </w:pPr>
      <w:hyperlink w:anchor="_Toc300001666" w:history="1">
        <w:r>
          <w:t>Article 43.2L.9: Synchronized Exchange, Trilateral Balance, and Review</w:t>
        </w:r>
        <w:r>
          <w:tab/>
        </w:r>
        <w:r>
          <w:t>1711</w:t>
        </w:r>
      </w:hyperlink>
    </w:p>
    <w:p>
      <w:pPr>
        <w:pStyle w:val="TOC2"/>
      </w:pPr>
      <w:hyperlink w:anchor="_Toc300001667" w:history="1">
        <w:r>
          <w:t>Article 43.2L.10: Provincial Priority Cheese Access Bonus</w:t>
        </w:r>
        <w:r>
          <w:tab/>
        </w:r>
        <w:r>
          <w:t>1712</w:t>
        </w:r>
      </w:hyperlink>
    </w:p>
    <w:p>
      <w:pPr>
        <w:pStyle w:val="TOC2"/>
      </w:pPr>
      <w:hyperlink w:anchor="_Toc300001668" w:history="1">
        <w:r>
          <w:t>Article 43.2L.11: OPTIONAL CANADA-UNITED STATES ENHANCED DAIRY ACCESS AND SOFTWOOD LUMBER NORMALIZATION EXCHANGE</w:t>
        </w:r>
        <w:r>
          <w:tab/>
        </w:r>
        <w:r>
          <w:t>1713</w:t>
        </w:r>
      </w:hyperlink>
    </w:p>
    <w:p>
      <w:pPr>
        <w:pStyle w:val="TOC2"/>
      </w:pPr>
      <w:hyperlink w:anchor="_Toc300001669" w:history="1">
        <w:r>
          <w:t>Article 43.2M: North American Beverage Alcohol Stability, Regulatory Sovereignty, and Three-Win Framework</w:t>
        </w:r>
        <w:r>
          <w:tab/>
        </w:r>
        <w:r>
          <w:t>1715</w:t>
        </w:r>
      </w:hyperlink>
    </w:p>
    <w:p>
      <w:pPr>
        <w:pStyle w:val="TOC2"/>
      </w:pPr>
      <w:hyperlink w:anchor="_Toc300001670" w:history="1">
        <w:r>
          <w:t>Article 43.2N: Effective and Non-discriminatory Beverage Market Access</w:t>
        </w:r>
        <w:r>
          <w:tab/>
        </w:r>
        <w:r>
          <w:t>1716</w:t>
        </w:r>
      </w:hyperlink>
    </w:p>
    <w:p>
      <w:pPr>
        <w:pStyle w:val="TOC2"/>
      </w:pPr>
      <w:hyperlink w:anchor="_Toc300001671" w:history="1">
        <w:r>
          <w:t>Article 43.2O: Tariff-Linked Restoration, Transition, and Inventory Reconciliation</w:t>
        </w:r>
        <w:r>
          <w:tab/>
        </w:r>
        <w:r>
          <w:t>1717</w:t>
        </w:r>
      </w:hyperlink>
    </w:p>
    <w:p>
      <w:pPr>
        <w:pStyle w:val="TOC2"/>
      </w:pPr>
      <w:hyperlink w:anchor="_Toc300001672" w:history="1">
        <w:r>
          <w:t>Article 43.2P: Small, Independent, Indigenous, and Specialty Beverage Producers</w:t>
        </w:r>
        <w:r>
          <w:tab/>
        </w:r>
        <w:r>
          <w:t>1717</w:t>
        </w:r>
      </w:hyperlink>
    </w:p>
    <w:p>
      <w:pPr>
        <w:pStyle w:val="TOC2"/>
      </w:pPr>
      <w:hyperlink w:anchor="_Toc300001673" w:history="1">
        <w:r>
          <w:t>Article 43.2Q: Distinctive Products, Authenticity, Specialty Beverages, and Origin Integrity</w:t>
        </w:r>
        <w:r>
          <w:tab/>
        </w:r>
        <w:r>
          <w:t>1718</w:t>
        </w:r>
      </w:hyperlink>
    </w:p>
    <w:p>
      <w:pPr>
        <w:pStyle w:val="TOC2"/>
      </w:pPr>
      <w:hyperlink w:anchor="_Toc300001674" w:history="1">
        <w:r>
          <w:t>Article 43.2R: Regulatory Interoperability, Testing, Labeling, and Product Approval</w:t>
        </w:r>
        <w:r>
          <w:tab/>
        </w:r>
        <w:r>
          <w:t>1719</w:t>
        </w:r>
      </w:hyperlink>
    </w:p>
    <w:p>
      <w:pPr>
        <w:pStyle w:val="TOC2"/>
      </w:pPr>
      <w:hyperlink w:anchor="_Toc300001675" w:history="1">
        <w:r>
          <w:t>Article 43.2S: Digital Single Window, Customs, Logistics, and Trusted Beverage Operators</w:t>
        </w:r>
        <w:r>
          <w:tab/>
        </w:r>
        <w:r>
          <w:t>1719</w:t>
        </w:r>
      </w:hyperlink>
    </w:p>
    <w:p>
      <w:pPr>
        <w:pStyle w:val="TOC2"/>
      </w:pPr>
      <w:hyperlink w:anchor="_Toc300001676" w:history="1">
        <w:r>
          <w:t>Article 43.2T: Direct Commerce, Experimental Pathways, and Subnational Participation</w:t>
        </w:r>
        <w:r>
          <w:tab/>
        </w:r>
        <w:r>
          <w:t>1719</w:t>
        </w:r>
      </w:hyperlink>
    </w:p>
    <w:p>
      <w:pPr>
        <w:pStyle w:val="TOC2"/>
      </w:pPr>
      <w:hyperlink w:anchor="_Toc300001677" w:history="1">
        <w:r>
          <w:t>Article 43.2U: Beverage Safety, Illicit Trade, Recall, and Resilience Cooperation</w:t>
        </w:r>
        <w:r>
          <w:tab/>
        </w:r>
        <w:r>
          <w:t>1720</w:t>
        </w:r>
      </w:hyperlink>
    </w:p>
    <w:p>
      <w:pPr>
        <w:pStyle w:val="TOC2"/>
      </w:pPr>
      <w:hyperlink w:anchor="_Toc300001678" w:history="1">
        <w:r>
          <w:t>Article 43.2V: Transparency, Advance Rulings, Regulatory Change, and No-Surprises Rule</w:t>
        </w:r>
        <w:r>
          <w:tab/>
        </w:r>
        <w:r>
          <w:t>1721</w:t>
        </w:r>
      </w:hyperlink>
    </w:p>
    <w:p>
      <w:pPr>
        <w:pStyle w:val="TOC2"/>
      </w:pPr>
      <w:hyperlink w:anchor="_Toc300001679" w:history="1">
        <w:r>
          <w:t>Article 43.2W: Safeguards, Cothrom Review, De-escalation, and Alcohol Peace Clause</w:t>
        </w:r>
        <w:r>
          <w:tab/>
        </w:r>
        <w:r>
          <w:t>1721</w:t>
        </w:r>
      </w:hyperlink>
    </w:p>
    <w:p>
      <w:pPr>
        <w:pStyle w:val="TOC2"/>
      </w:pPr>
      <w:hyperlink w:anchor="_Toc300001680" w:history="1">
        <w:r>
          <w:t>Article 43.2W.1: Beverage Listing Transparency and Special-Order Access</w:t>
        </w:r>
        <w:r>
          <w:tab/>
        </w:r>
        <w:r>
          <w:t>1722</w:t>
        </w:r>
      </w:hyperlink>
    </w:p>
    <w:p>
      <w:pPr>
        <w:pStyle w:val="TOC2"/>
      </w:pPr>
      <w:hyperlink w:anchor="_Toc300001681" w:history="1">
        <w:r>
          <w:t>Article 43.2W.2: North American Small Beverage Producer Gateway</w:t>
        </w:r>
        <w:r>
          <w:tab/>
        </w:r>
        <w:r>
          <w:t>1723</w:t>
        </w:r>
      </w:hyperlink>
    </w:p>
    <w:p>
      <w:pPr>
        <w:pStyle w:val="TOC2"/>
      </w:pPr>
      <w:hyperlink w:anchor="_Toc300001682" w:history="1">
        <w:r>
          <w:t>Article 43.2W.3: North American Beverage Inputs and Packaging Cooperation</w:t>
        </w:r>
        <w:r>
          <w:tab/>
        </w:r>
        <w:r>
          <w:t>1723</w:t>
        </w:r>
      </w:hyperlink>
    </w:p>
    <w:p>
      <w:pPr>
        <w:pStyle w:val="TOC2"/>
      </w:pPr>
      <w:hyperlink w:anchor="_Toc300001683" w:history="1">
        <w:r>
          <w:t>Article 43.2W.4: Subnational Implementation Flexibility and Nationality-Neutral Compliance</w:t>
        </w:r>
        <w:r>
          <w:tab/>
        </w:r>
        <w:r>
          <w:t>1723</w:t>
        </w:r>
      </w:hyperlink>
    </w:p>
    <w:p>
      <w:pPr>
        <w:pStyle w:val="TOC2"/>
      </w:pPr>
      <w:hyperlink w:anchor="_Toc300001684" w:history="1">
        <w:r>
          <w:t>Article 43.2W.5: Restoration of Products Affected by Nationality-Specific Delisting</w:t>
        </w:r>
        <w:r>
          <w:tab/>
        </w:r>
        <w:r>
          <w:t>1725</w:t>
        </w:r>
      </w:hyperlink>
    </w:p>
    <w:p>
      <w:pPr>
        <w:pStyle w:val="TOC2"/>
      </w:pPr>
      <w:hyperlink w:anchor="_Toc300001685" w:history="1">
        <w:r>
          <w:t>Article 43.2W.6: Listing, Category Management, and Commercial Performance Neutrality</w:t>
        </w:r>
        <w:r>
          <w:tab/>
        </w:r>
        <w:r>
          <w:t>1726</w:t>
        </w:r>
      </w:hyperlink>
    </w:p>
    <w:p>
      <w:pPr>
        <w:pStyle w:val="TOC2"/>
      </w:pPr>
      <w:hyperlink w:anchor="_Toc300001686" w:history="1">
        <w:r>
          <w:t>Article 43.2W.7: Pricing, Markups, Fees, and Minimum-Price Neutrality</w:t>
        </w:r>
        <w:r>
          <w:tab/>
        </w:r>
        <w:r>
          <w:t>1726</w:t>
        </w:r>
      </w:hyperlink>
    </w:p>
    <w:p>
      <w:pPr>
        <w:pStyle w:val="TOC2"/>
      </w:pPr>
      <w:hyperlink w:anchor="_Toc300001687" w:history="1">
        <w:r>
          <w:t>Article 43.2W.8: Channel, Distribution, Logistics, and Event Access Neutrality</w:t>
        </w:r>
        <w:r>
          <w:tab/>
        </w:r>
        <w:r>
          <w:t>1727</w:t>
        </w:r>
      </w:hyperlink>
    </w:p>
    <w:p>
      <w:pPr>
        <w:pStyle w:val="TOC2"/>
      </w:pPr>
      <w:hyperlink w:anchor="_Toc300001688" w:history="1">
        <w:r>
          <w:t>Article 43.2W.9: Regulatory Recognition, Testing, Labeling, and Product Approval</w:t>
        </w:r>
        <w:r>
          <w:tab/>
        </w:r>
        <w:r>
          <w:t>1728</w:t>
        </w:r>
      </w:hyperlink>
    </w:p>
    <w:p>
      <w:pPr>
        <w:pStyle w:val="TOC2"/>
      </w:pPr>
      <w:hyperlink w:anchor="_Toc300001689" w:history="1">
        <w:r>
          <w:t>Article 43.2W.10: Cross-Sector Non-Retaliation, Cothrom Cure, and Targeted Remedies</w:t>
        </w:r>
        <w:r>
          <w:tab/>
        </w:r>
        <w:r>
          <w:t>1730</w:t>
        </w:r>
      </w:hyperlink>
    </w:p>
    <w:p>
      <w:pPr>
        <w:pStyle w:val="TOC2"/>
      </w:pPr>
      <w:hyperlink w:anchor="_Toc300001690" w:history="1">
        <w:r>
          <w:t>Article 43.2W.11: Permanent Liquor-Board Commercial Neutrality and Ordinary-State Disciplines</w:t>
        </w:r>
        <w:r>
          <w:tab/>
        </w:r>
        <w:r>
          <w:t>1731</w:t>
        </w:r>
      </w:hyperlink>
    </w:p>
    <w:p>
      <w:pPr>
        <w:pStyle w:val="TOC2"/>
      </w:pPr>
      <w:hyperlink w:anchor="_Toc300001692" w:history="1">
        <w:r>
          <w:t>Article 43.3: Agricultural Competitive Neutrality Review</w:t>
        </w:r>
        <w:r>
          <w:tab/>
        </w:r>
        <w:r>
          <w:t>1732</w:t>
        </w:r>
      </w:hyperlink>
    </w:p>
    <w:p>
      <w:pPr>
        <w:pStyle w:val="TOC2"/>
      </w:pPr>
      <w:hyperlink w:anchor="_Toc300001693" w:history="1">
        <w:r>
          <w:t>Article 43.4: Agricultural Support Non-Escalation</w:t>
        </w:r>
        <w:r>
          <w:tab/>
        </w:r>
        <w:r>
          <w:t>1732</w:t>
        </w:r>
      </w:hyperlink>
    </w:p>
    <w:p>
      <w:pPr>
        <w:pStyle w:val="TOC2"/>
      </w:pPr>
      <w:hyperlink w:anchor="_Toc300001694" w:history="1">
        <w:r>
          <w:t>Article 43.5: North American Agricultural Innovation and Productivity Initiative</w:t>
        </w:r>
        <w:r>
          <w:tab/>
        </w:r>
        <w:r>
          <w:t>1732</w:t>
        </w:r>
      </w:hyperlink>
    </w:p>
    <w:p>
      <w:pPr>
        <w:pStyle w:val="TOC2"/>
      </w:pPr>
      <w:hyperlink w:anchor="_Toc300001695" w:history="1">
        <w:r>
          <w:t>Article 43.6: Public Procurement</w:t>
        </w:r>
        <w:r>
          <w:tab/>
        </w:r>
        <w:r>
          <w:t>1732</w:t>
        </w:r>
      </w:hyperlink>
    </w:p>
    <w:p>
      <w:pPr>
        <w:pStyle w:val="TOC2"/>
      </w:pPr>
      <w:hyperlink w:anchor="_Toc300001696" w:history="1">
        <w:r>
          <w:t>Article 43.7: Data and Administration</w:t>
        </w:r>
        <w:r>
          <w:tab/>
        </w:r>
        <w:r>
          <w:t>1732</w:t>
        </w:r>
      </w:hyperlink>
    </w:p>
    <w:p>
      <w:pPr>
        <w:pStyle w:val="TOC2"/>
      </w:pPr>
      <w:hyperlink w:anchor="_Toc300001697" w:history="1">
        <w:r>
          <w:t>Article 43.8: North American Potash Expansion and Fertilizer Security</w:t>
        </w:r>
        <w:r>
          <w:tab/>
        </w:r>
        <w:r>
          <w:t>1732</w:t>
        </w:r>
      </w:hyperlink>
    </w:p>
    <w:p>
      <w:pPr>
        <w:pStyle w:val="TOC2"/>
      </w:pPr>
      <w:hyperlink w:anchor="_Toc300001698" w:history="1">
        <w:r>
          <w:t>Article 43.9: North American Fertilizer Innovation Initiative</w:t>
        </w:r>
        <w:r>
          <w:tab/>
        </w:r>
        <w:r>
          <w:t>1733</w:t>
        </w:r>
      </w:hyperlink>
    </w:p>
    <w:p>
      <w:pPr>
        <w:pStyle w:val="TOC2"/>
      </w:pPr>
      <w:hyperlink w:anchor="_Toc300001699" w:history="1">
        <w:r>
          <w:t>Article 43.10: North American Agricultural Production Security and Resilience Framework</w:t>
        </w:r>
        <w:r>
          <w:tab/>
        </w:r>
        <w:r>
          <w:t>1733</w:t>
        </w:r>
      </w:hyperlink>
    </w:p>
    <w:p>
      <w:pPr>
        <w:pStyle w:val="TOC2"/>
      </w:pPr>
      <w:hyperlink w:anchor="_Toc300001700" w:history="1">
        <w:r>
          <w:t>Article 43.11: Seed, Planting Material, Germplasm, and Public Breeding Security</w:t>
        </w:r>
        <w:r>
          <w:tab/>
        </w:r>
        <w:r>
          <w:t>1734</w:t>
        </w:r>
      </w:hyperlink>
    </w:p>
    <w:p>
      <w:pPr>
        <w:pStyle w:val="TOC2"/>
      </w:pPr>
      <w:hyperlink w:anchor="_Toc300001701" w:history="1">
        <w:r>
          <w:t>Article 43.12: Biotechnology Regulatory Interoperability and Sovereign Review</w:t>
        </w:r>
        <w:r>
          <w:tab/>
        </w:r>
        <w:r>
          <w:t>1735</w:t>
        </w:r>
      </w:hyperlink>
    </w:p>
    <w:p>
      <w:pPr>
        <w:pStyle w:val="TOC2"/>
      </w:pPr>
      <w:hyperlink w:anchor="_Toc300001702" w:history="1">
        <w:r>
          <w:t>Article 43.13: Innocent Genetic Presence, Farmer Choice, and Agricultural Coexistence</w:t>
        </w:r>
        <w:r>
          <w:tab/>
        </w:r>
        <w:r>
          <w:t>1735</w:t>
        </w:r>
      </w:hyperlink>
    </w:p>
    <w:p>
      <w:pPr>
        <w:pStyle w:val="TOC2"/>
      </w:pPr>
      <w:hyperlink w:anchor="_Toc300001703" w:history="1">
        <w:r>
          <w:t>Article 43.14: North American Plant Health Watch List and Biological Production Security</w:t>
        </w:r>
        <w:r>
          <w:tab/>
        </w:r>
        <w:r>
          <w:t>1736</w:t>
        </w:r>
      </w:hyperlink>
    </w:p>
    <w:p>
      <w:pPr>
        <w:pStyle w:val="TOC2"/>
      </w:pPr>
      <w:hyperlink w:anchor="_Toc300001704" w:history="1">
        <w:r>
          <w:t>Article 43.15: Pest-Movement Controls, Emergency Containment Corridors, and Forest-Agriculture Interface</w:t>
        </w:r>
        <w:r>
          <w:tab/>
        </w:r>
        <w:r>
          <w:t>1737</w:t>
        </w:r>
      </w:hyperlink>
    </w:p>
    <w:p>
      <w:pPr>
        <w:pStyle w:val="TOC2"/>
      </w:pPr>
      <w:hyperlink w:anchor="_Toc300001705" w:history="1">
        <w:r>
          <w:t>Article 43.16: Crop Protection Modernization and Safer Substitution</w:t>
        </w:r>
        <w:r>
          <w:tab/>
        </w:r>
        <w:r>
          <w:t>1737</w:t>
        </w:r>
      </w:hyperlink>
    </w:p>
    <w:p>
      <w:pPr>
        <w:pStyle w:val="TOC2"/>
      </w:pPr>
      <w:hyperlink w:anchor="_Toc300001706" w:history="1">
        <w:r>
          <w:t>Article 43.17: Initial Priority Agricultural Active-Substance Review Schedule</w:t>
        </w:r>
        <w:r>
          <w:tab/>
        </w:r>
        <w:r>
          <w:t>1738</w:t>
        </w:r>
      </w:hyperlink>
    </w:p>
    <w:p>
      <w:pPr>
        <w:pStyle w:val="TOC2"/>
      </w:pPr>
      <w:hyperlink w:anchor="_Toc300001707" w:history="1">
        <w:r>
          <w:t>Article 43.18: Agricultural Off-Target Effects, Drift, and Neighbor Protection</w:t>
        </w:r>
        <w:r>
          <w:tab/>
        </w:r>
        <w:r>
          <w:t>1738</w:t>
        </w:r>
      </w:hyperlink>
    </w:p>
    <w:p>
      <w:pPr>
        <w:pStyle w:val="TOC2"/>
      </w:pPr>
      <w:hyperlink w:anchor="_Toc300001708" w:history="1">
        <w:r>
          <w:t>Article 43.19: Resistance Management and Integrated Pest Management</w:t>
        </w:r>
        <w:r>
          <w:tab/>
        </w:r>
        <w:r>
          <w:t>1738</w:t>
        </w:r>
      </w:hyperlink>
    </w:p>
    <w:p>
      <w:pPr>
        <w:pStyle w:val="TOC2"/>
      </w:pPr>
      <w:hyperlink w:anchor="_Toc300001709" w:history="1">
        <w:r>
          <w:t>Article 43.20: Soil, Water, Drought, and Climate-Resilient Crop Production</w:t>
        </w:r>
        <w:r>
          <w:tab/>
        </w:r>
        <w:r>
          <w:t>1739</w:t>
        </w:r>
      </w:hyperlink>
    </w:p>
    <w:p>
      <w:pPr>
        <w:pStyle w:val="TOC2"/>
      </w:pPr>
      <w:hyperlink w:anchor="_Toc300001710" w:history="1">
        <w:r>
          <w:t>Article 43.21: Agricultural Machinery, Parts, Diagnostics, and Seasonal Continuity</w:t>
        </w:r>
        <w:r>
          <w:tab/>
        </w:r>
        <w:r>
          <w:t>1739</w:t>
        </w:r>
      </w:hyperlink>
    </w:p>
    <w:p>
      <w:pPr>
        <w:pStyle w:val="TOC2"/>
      </w:pPr>
      <w:hyperlink w:anchor="_Toc300001711" w:history="1">
        <w:r>
          <w:t>Article 43.22: Agricultural Nutrient and Manure Circularity Framework</w:t>
        </w:r>
        <w:r>
          <w:tab/>
        </w:r>
        <w:r>
          <w:t>1740</w:t>
        </w:r>
      </w:hyperlink>
    </w:p>
    <w:p>
      <w:pPr>
        <w:pStyle w:val="TOC2"/>
      </w:pPr>
      <w:hyperlink w:anchor="_Toc300001712" w:history="1">
        <w:r>
          <w:t>Article 43.23: Recovered Agricultural Nutrients, Resource Cascade, and Nutrient Exchange Corridors</w:t>
        </w:r>
        <w:r>
          <w:tab/>
        </w:r>
        <w:r>
          <w:t>1741</w:t>
        </w:r>
      </w:hyperlink>
    </w:p>
    <w:p>
      <w:pPr>
        <w:pStyle w:val="TOC2"/>
      </w:pPr>
      <w:hyperlink w:anchor="_Toc300001713" w:history="1">
        <w:r>
          <w:t>Article 43.24: Agricultural Watershed Protection and Shared Nutrient Outcomes</w:t>
        </w:r>
        <w:r>
          <w:tab/>
        </w:r>
        <w:r>
          <w:t>1742</w:t>
        </w:r>
      </w:hyperlink>
    </w:p>
    <w:p>
      <w:pPr>
        <w:pStyle w:val="TOC2"/>
      </w:pPr>
      <w:hyperlink w:anchor="_Toc300001714" w:history="1">
        <w:r>
          <w:t>Article 43.25: Agricultural Labor, Automation, and Operational Continuity</w:t>
        </w:r>
        <w:r>
          <w:tab/>
        </w:r>
        <w:r>
          <w:t>1742</w:t>
        </w:r>
      </w:hyperlink>
    </w:p>
    <w:p>
      <w:pPr>
        <w:pStyle w:val="TOC2"/>
      </w:pPr>
      <w:hyperlink w:anchor="_Toc300001715" w:history="1">
        <w:r>
          <w:t>Article 43.26: Mexico Co-Design and Regional Production Diversity</w:t>
        </w:r>
        <w:r>
          <w:tab/>
        </w:r>
        <w:r>
          <w:t>1743</w:t>
        </w:r>
      </w:hyperlink>
    </w:p>
    <w:p>
      <w:pPr>
        <w:pStyle w:val="TOC2"/>
      </w:pPr>
      <w:hyperlink w:anchor="_Toc300001716" w:history="1">
        <w:r>
          <w:t>Article 43.27: Food Security Without Dependency and Producer Resilience</w:t>
        </w:r>
        <w:r>
          <w:tab/>
        </w:r>
        <w:r>
          <w:t>1743</w:t>
        </w:r>
      </w:hyperlink>
    </w:p>
    <w:p>
      <w:pPr>
        <w:pStyle w:val="TOC2"/>
      </w:pPr>
      <w:hyperlink w:anchor="_TocR24_14652" w:history="1">
        <w:r>
          <w:t>Article 43.28: Operative Status of Integrated Welfare Provisions</w:t>
        </w:r>
        <w:r>
          <w:tab/>
        </w:r>
        <w:r>
          <w:t>1744</w:t>
        </w:r>
      </w:hyperlink>
    </w:p>
    <w:p>
      <w:pPr>
        <w:pStyle w:val="TOC2"/>
      </w:pPr>
      <w:hyperlink w:anchor="_Toc300002422" w:history="1">
        <w:r>
          <w:t>Article 43.W: Humane Agricultural Production and Handling Floor</w:t>
        </w:r>
        <w:r>
          <w:tab/>
        </w:r>
        <w:r>
          <w:t>1744</w:t>
        </w:r>
      </w:hyperlink>
    </w:p>
    <w:p>
      <w:pPr>
        <w:pStyle w:val="TOC2"/>
      </w:pPr>
      <w:hyperlink w:anchor="_TocR24_AnnexA" w:history="1">
        <w:r>
          <w:t>ANNEX 43-A: DAIRY IMPLEMENTATION AND SPECIALTY-PRODUCT PRINCIPLES</w:t>
        </w:r>
        <w:r>
          <w:tab/>
        </w:r>
        <w:r>
          <w:t>1745</w:t>
        </w:r>
      </w:hyperlink>
    </w:p>
    <w:p>
      <w:pPr>
        <w:pStyle w:val="TOC2"/>
      </w:pPr>
      <w:hyperlink w:anchor="_TocR24_AnnexB" w:history="1">
        <w:r>
          <w:t>ANNEX 43-B: BEVERAGE ALCOHOL IMPLEMENTATION, FEDERALISM, AND TECHNICAL PRINCIPLES</w:t>
        </w:r>
        <w:r>
          <w:tab/>
        </w:r>
        <w:r>
          <w:t>1748</w:t>
        </w:r>
      </w:hyperlink>
    </w:p>
    <w:p>
      <w:pPr>
        <w:pStyle w:val="TOC2"/>
      </w:pPr>
      <w:hyperlink w:anchor="_Toc300001691" w:history="1">
        <w:r>
          <w:t>ANNEX 43-B-1: NATIONALITY-NEUTRAL ALCOHOL RESTORATION AND SUBNATIONAL IMPLEMENTATION SCHEDULE</w:t>
        </w:r>
        <w:r>
          <w:tab/>
        </w:r>
        <w:r>
          <w:t>1750</w:t>
        </w:r>
      </w:hyperlink>
    </w:p>
    <w:p>
      <w:pPr>
        <w:pStyle w:val="TOC2"/>
      </w:pPr>
      <w:hyperlink w:anchor="_Toc300001632" w:history="1">
        <w:r>
          <w:t>ANNEX 43-C: POULTRY, EGG, EMERGENCY SUPPLY, AND SPECIALTY AVIAN IMPLEMENTATION SCHEDULE</w:t>
        </w:r>
        <w:r>
          <w:tab/>
        </w:r>
        <w:r>
          <w:t>1751</w:t>
        </w:r>
      </w:hyperlink>
    </w:p>
    <w:p>
      <w:pPr>
        <w:pStyle w:val="TOC2"/>
      </w:pPr>
      <w:hyperlink w:anchor="_TocR24_AnnexD" w:history="1">
        <w:r>
          <w:t>ANNEX 43-D: RECIPROCAL AGRICULTURAL MARKET ACCESS AND REGULATORY FACILITATION IMPLEMENTATION SCHEDULE</w:t>
        </w:r>
        <w:r>
          <w:tab/>
        </w:r>
        <w:r>
          <w:t>1752</w:t>
        </w:r>
      </w:hyperlink>
    </w:p>
    <w:p>
      <w:pPr>
        <w:pStyle w:val="TOC2"/>
      </w:pPr>
      <w:hyperlink w:anchor="_Toc300001718" w:history="1">
        <w:r>
          <w:t>ANNEX 43-F: BEVERAGE ALCOHOL MARKET-ACCESS LANDING AND IMPLEMENTATION RAMP</w:t>
        </w:r>
        <w:r>
          <w:tab/>
        </w:r>
        <w:r>
          <w:t>1754</w:t>
        </w:r>
      </w:hyperlink>
    </w:p>
    <w:p>
      <w:pPr>
        <w:pStyle w:val="TOC2"/>
      </w:pPr>
      <w:hyperlink w:anchor="_Toc300001717" w:history="1">
        <w:r>
          <w:t>ANNEX 43-G: AGRICULTURAL PRODUCTION SECURITY IMPLEMENTATION SCHEDULE</w:t>
        </w:r>
        <w:r>
          <w:tab/>
        </w:r>
        <w:r>
          <w:t>1755</w:t>
        </w:r>
      </w:hyperlink>
    </w:p>
    <w:p>
      <w:pPr>
        <w:pStyle w:val="TOC2"/>
      </w:pPr>
      <w:hyperlink w:anchor="_Toc300002425" w:history="1">
        <w:r>
          <w:t>ANNEX 43-H: Practical Welfare Transition Classes</w:t>
        </w:r>
        <w:r>
          <w:tab/>
        </w:r>
        <w:r>
          <w:t>1756</w:t>
        </w:r>
      </w:hyperlink>
    </w:p>
    <w:p>
      <w:pPr>
        <w:pStyle w:val="TOC1"/>
      </w:pPr>
      <w:hyperlink w:anchor="_Toc300001719" w:history="1">
        <w:r>
          <w:t>ANNEX 43-I: AGRICULTURAL FINAL SETTLEMENT SELECTION AND TRANSITION PROTOCOL</w:t>
        </w:r>
        <w:r>
          <w:tab/>
        </w:r>
        <w:r>
          <w:t>1758</w:t>
        </w:r>
      </w:hyperlink>
    </w:p>
    <w:p>
      <w:pPr>
        <w:pStyle w:val="TOC2"/>
      </w:pPr>
      <w:hyperlink w:anchor="_Toc300001720" w:history="1">
        <w:r>
          <w:t>FS-04.1: Purpose, Existing-Law Relationship, and Agricultural Settlement Election</w:t>
        </w:r>
        <w:r>
          <w:tab/>
        </w:r>
        <w:r>
          <w:t>1758</w:t>
        </w:r>
      </w:hyperlink>
    </w:p>
    <w:p>
      <w:pPr>
        <w:pStyle w:val="TOC2"/>
      </w:pPr>
      <w:hyperlink w:anchor="_Toc300001721" w:history="1">
        <w:r>
          <w:t>FS-04.2: Existing Zero Treatment, Baseline Integrity, and No-Regression</w:t>
        </w:r>
        <w:r>
          <w:tab/>
        </w:r>
        <w:r>
          <w:t>1758</w:t>
        </w:r>
      </w:hyperlink>
    </w:p>
    <w:p>
      <w:pPr>
        <w:pStyle w:val="TOC2"/>
      </w:pPr>
      <w:hyperlink w:anchor="_Toc300001722" w:history="1">
        <w:r>
          <w:t>FS-04.3: Agricultural Final Settlement Selection</w:t>
        </w:r>
        <w:r>
          <w:tab/>
        </w:r>
        <w:r>
          <w:t>1760</w:t>
        </w:r>
      </w:hyperlink>
    </w:p>
    <w:p>
      <w:pPr>
        <w:pStyle w:val="TOC2"/>
      </w:pPr>
      <w:hyperlink w:anchor="_Toc300001723" w:history="1">
        <w:r>
          <w:t>FS-04.4: Transition Bridge and NAAFTC Socket</w:t>
        </w:r>
        <w:r>
          <w:tab/>
        </w:r>
        <w:r>
          <w:t>1761</w:t>
        </w:r>
      </w:hyperlink>
    </w:p>
    <w:p>
      <w:pPr>
        <w:pStyle w:val="TOC2"/>
      </w:pPr>
      <w:hyperlink w:anchor="_Toc300001724" w:history="1">
        <w:r>
          <w:t>FS-04.5: Existing Administration, SPS, Emergency, and Commercial-Usability Interface</w:t>
        </w:r>
        <w:r>
          <w:tab/>
        </w:r>
        <w:r>
          <w:t>1763</w:t>
        </w:r>
      </w:hyperlink>
    </w:p>
    <w:p>
      <w:pPr>
        <w:pStyle w:val="TOC2"/>
      </w:pPr>
      <w:hyperlink w:anchor="_Toc300001725" w:history="1">
        <w:r>
          <w:t>FS-04.6: Completion, No-Fade, Restoration, and Closure</w:t>
        </w:r>
        <w:r>
          <w:tab/>
        </w:r>
        <w:r>
          <w:t>1764</w:t>
        </w:r>
      </w:hyperlink>
    </w:p>
    <w:p>
      <w:pPr>
        <w:pStyle w:val="TOC2"/>
      </w:pPr>
      <w:hyperlink w:anchor="_Toc300001726" w:history="1">
        <w:r>
          <w:t>Schedule FS-04-A: Agricultural Final Settlement Schedule</w:t>
        </w:r>
        <w:r>
          <w:tab/>
        </w:r>
        <w:r>
          <w:t>1765</w:t>
        </w:r>
      </w:hyperlink>
    </w:p>
    <w:p>
      <w:pPr>
        <w:pStyle w:val="TOC2"/>
      </w:pPr>
      <w:hyperlink w:anchor="_Toc300001727" w:history="1">
        <w:r>
          <w:t>Schedule FS-04-B: Agricultural Transition and Completion Schedule</w:t>
        </w:r>
        <w:r>
          <w:tab/>
        </w:r>
        <w:r>
          <w:t>1766</w:t>
        </w:r>
      </w:hyperlink>
    </w:p>
    <w:p>
      <w:pPr>
        <w:pStyle w:val="TOC2"/>
      </w:pPr>
      <w:hyperlink w:anchor="_Toc300001728" w:history="1">
        <w:r>
          <w:t>Schedule FS-04-C: NAAFTC Incorporation / Compatibility Schedule</w:t>
        </w:r>
        <w:r>
          <w:tab/>
        </w:r>
        <w:r>
          <w:t>1766</w:t>
        </w:r>
      </w:hyperlink>
    </w:p>
    <w:p>
      <w:pPr>
        <w:pStyle w:val="TOC1"/>
      </w:pPr>
      <w:hyperlink w:anchor="_Toc300001729" w:history="1">
        <w:r>
          <w:t>CHAPTER 44 TRADE FACILITATION, TRUSTED MOBILITY, AND CO-INVESTMENT</w:t>
        </w:r>
        <w:r>
          <w:tab/>
        </w:r>
        <w:r>
          <w:t>1768</w:t>
        </w:r>
      </w:hyperlink>
    </w:p>
    <w:p>
      <w:pPr>
        <w:pStyle w:val="TOC2"/>
      </w:pPr>
      <w:hyperlink w:anchor="_Toc300001730" w:history="1">
        <w:r>
          <w:t>Article 44.1: North American Trade Facilitation Index</w:t>
        </w:r>
        <w:r>
          <w:tab/>
        </w:r>
        <w:r>
          <w:t>1768</w:t>
        </w:r>
      </w:hyperlink>
    </w:p>
    <w:p>
      <w:pPr>
        <w:pStyle w:val="TOC2"/>
      </w:pPr>
      <w:hyperlink w:anchor="_Toc300001731" w:history="1">
        <w:r>
          <w:t>Article 44.2: Trusted Trader Mutual Recognition</w:t>
        </w:r>
        <w:r>
          <w:tab/>
        </w:r>
        <w:r>
          <w:t>1768</w:t>
        </w:r>
      </w:hyperlink>
    </w:p>
    <w:p>
      <w:pPr>
        <w:pStyle w:val="TOC2"/>
      </w:pPr>
      <w:hyperlink w:anchor="_Toc300001732" w:history="1">
        <w:r>
          <w:t>Article 44.3: Customs Data Interoperability</w:t>
        </w:r>
        <w:r>
          <w:tab/>
        </w:r>
        <w:r>
          <w:t>1768</w:t>
        </w:r>
      </w:hyperlink>
    </w:p>
    <w:p>
      <w:pPr>
        <w:pStyle w:val="TOC2"/>
      </w:pPr>
      <w:hyperlink w:anchor="_Toc300001733" w:history="1">
        <w:r>
          <w:t>Article 44.4: Skilled Professional and Business Mobility Service Standards</w:t>
        </w:r>
        <w:r>
          <w:tab/>
        </w:r>
        <w:r>
          <w:t>1768</w:t>
        </w:r>
      </w:hyperlink>
    </w:p>
    <w:p>
      <w:pPr>
        <w:pStyle w:val="TOC2"/>
      </w:pPr>
      <w:hyperlink w:anchor="_Toc300001734" w:history="1">
        <w:r>
          <w:t>Article 44.5: Trusted Traveler and Commercial Driver Expansion</w:t>
        </w:r>
        <w:r>
          <w:tab/>
        </w:r>
        <w:r>
          <w:t>1768</w:t>
        </w:r>
      </w:hyperlink>
    </w:p>
    <w:p>
      <w:pPr>
        <w:pStyle w:val="TOC2"/>
      </w:pPr>
      <w:hyperlink w:anchor="_Toc300001735" w:history="1">
        <w:r>
          <w:t>Article 44.6: North American Trade Infrastructure Facility</w:t>
        </w:r>
        <w:r>
          <w:tab/>
        </w:r>
        <w:r>
          <w:t>1769</w:t>
        </w:r>
      </w:hyperlink>
    </w:p>
    <w:p>
      <w:pPr>
        <w:pStyle w:val="TOC2"/>
      </w:pPr>
      <w:hyperlink w:anchor="_Toc300001736" w:history="1">
        <w:r>
          <w:t>Article 44.7: Beneficial Ownership and Anti-Circumvention Cooperation</w:t>
        </w:r>
        <w:r>
          <w:tab/>
        </w:r>
        <w:r>
          <w:t>1769</w:t>
        </w:r>
      </w:hyperlink>
    </w:p>
    <w:p>
      <w:pPr>
        <w:pStyle w:val="TOC2"/>
      </w:pPr>
      <w:hyperlink w:anchor="_Toc300001737" w:history="1">
        <w:r>
          <w:t>Article 44.8: Foreign Trade-Lobbying Transparency</w:t>
        </w:r>
        <w:r>
          <w:tab/>
        </w:r>
        <w:r>
          <w:t>1769</w:t>
        </w:r>
      </w:hyperlink>
    </w:p>
    <w:p>
      <w:pPr>
        <w:pStyle w:val="TOC1"/>
      </w:pPr>
      <w:hyperlink w:anchor="_Toc300001738" w:history="1">
        <w:r>
          <w:t>CHAPTER 45 INSTITUTIONAL DIVERSITY AND MEXICAN ACCOMMODATION</w:t>
        </w:r>
        <w:r>
          <w:tab/>
        </w:r>
        <w:r>
          <w:t>1770</w:t>
        </w:r>
      </w:hyperlink>
    </w:p>
    <w:p>
      <w:pPr>
        <w:pStyle w:val="TOC2"/>
      </w:pPr>
      <w:hyperlink w:anchor="_Toc300001739" w:history="1">
        <w:r>
          <w:t>Article 45.1: Institutional Diversity Principle</w:t>
        </w:r>
        <w:r>
          <w:tab/>
        </w:r>
        <w:r>
          <w:t>1770</w:t>
        </w:r>
      </w:hyperlink>
    </w:p>
    <w:p>
      <w:pPr>
        <w:pStyle w:val="TOC2"/>
      </w:pPr>
      <w:hyperlink w:anchor="_Toc300001740" w:history="1">
        <w:r>
          <w:t>Article 45.2: Constitutional and State-Enterprise Accommodation</w:t>
        </w:r>
        <w:r>
          <w:tab/>
        </w:r>
        <w:r>
          <w:t>1770</w:t>
        </w:r>
      </w:hyperlink>
    </w:p>
    <w:p>
      <w:pPr>
        <w:pStyle w:val="TOC2"/>
      </w:pPr>
      <w:hyperlink w:anchor="_Toc300001741" w:history="1">
        <w:r>
          <w:t>Article 45.3: Ejidos, Communal Tenure, and Social Land Policy</w:t>
        </w:r>
        <w:r>
          <w:tab/>
        </w:r>
        <w:r>
          <w:t>1770</w:t>
        </w:r>
      </w:hyperlink>
    </w:p>
    <w:p>
      <w:pPr>
        <w:pStyle w:val="TOC2"/>
      </w:pPr>
      <w:hyperlink w:anchor="_Toc300001742" w:history="1">
        <w:r>
          <w:t>Article 45.4: Rural Development and Smallholder Support</w:t>
        </w:r>
        <w:r>
          <w:tab/>
        </w:r>
        <w:r>
          <w:t>1771</w:t>
        </w:r>
      </w:hyperlink>
    </w:p>
    <w:p>
      <w:pPr>
        <w:pStyle w:val="TOC2"/>
      </w:pPr>
      <w:hyperlink w:anchor="_Toc300001743" w:history="1">
        <w:r>
          <w:t>Article 45.5: United States-Mexico Water Treaty Firewall</w:t>
        </w:r>
        <w:r>
          <w:tab/>
        </w:r>
        <w:r>
          <w:t>1771</w:t>
        </w:r>
      </w:hyperlink>
    </w:p>
    <w:p>
      <w:pPr>
        <w:pStyle w:val="TOC2"/>
      </w:pPr>
      <w:hyperlink w:anchor="_Toc300001744" w:history="1">
        <w:r>
          <w:t>Article 45.6: Mining, Restoration, and Community Benefit</w:t>
        </w:r>
        <w:r>
          <w:tab/>
        </w:r>
        <w:r>
          <w:t>1771</w:t>
        </w:r>
      </w:hyperlink>
    </w:p>
    <w:p>
      <w:pPr>
        <w:pStyle w:val="TOC2"/>
      </w:pPr>
      <w:hyperlink w:anchor="_Toc300001745" w:history="1">
        <w:r>
          <w:t>Article 45.7: Research Security and Strategic Technology Cooperation</w:t>
        </w:r>
        <w:r>
          <w:tab/>
        </w:r>
        <w:r>
          <w:t>1771</w:t>
        </w:r>
      </w:hyperlink>
    </w:p>
    <w:p>
      <w:pPr>
        <w:pStyle w:val="TOC2"/>
      </w:pPr>
      <w:hyperlink w:anchor="_Toc300001746" w:history="1">
        <w:r>
          <w:t>Article 45.8: Remittance and Fintech Facilitation</w:t>
        </w:r>
        <w:r>
          <w:tab/>
        </w:r>
        <w:r>
          <w:t>1771</w:t>
        </w:r>
      </w:hyperlink>
    </w:p>
    <w:p>
      <w:pPr>
        <w:pStyle w:val="TOC2"/>
      </w:pPr>
      <w:hyperlink w:anchor="_Toc300001747" w:history="1">
        <w:r>
          <w:t>Article 45.9: Traditional Knowledge and Geographic Indications</w:t>
        </w:r>
        <w:r>
          <w:tab/>
        </w:r>
        <w:r>
          <w:t>1771</w:t>
        </w:r>
      </w:hyperlink>
    </w:p>
    <w:p>
      <w:pPr>
        <w:pStyle w:val="TOC2"/>
      </w:pPr>
      <w:hyperlink w:anchor="_Toc300001748" w:history="1">
        <w:r>
          <w:t>Article 45.10: Border-Region Micro and SME Facilitation</w:t>
        </w:r>
        <w:r>
          <w:tab/>
        </w:r>
        <w:r>
          <w:t>1772</w:t>
        </w:r>
      </w:hyperlink>
    </w:p>
    <w:p>
      <w:pPr>
        <w:pStyle w:val="TOC1"/>
      </w:pPr>
      <w:hyperlink w:anchor="_Toc300001749" w:history="1">
        <w:r>
          <w:t>CHAPTER 46 COTHROM BALANCED VERIFICATION AND EVIDENTIARY ARCHITECTURE</w:t>
        </w:r>
        <w:r>
          <w:tab/>
        </w:r>
        <w:r>
          <w:t>1773</w:t>
        </w:r>
      </w:hyperlink>
    </w:p>
    <w:p>
      <w:pPr>
        <w:pStyle w:val="TOC2"/>
      </w:pPr>
      <w:hyperlink w:anchor="_Toc300001750" w:history="1">
        <w:r>
          <w:t>Article 46.1: Cothrom Principle</w:t>
        </w:r>
        <w:r>
          <w:tab/>
        </w:r>
        <w:r>
          <w:t>1773</w:t>
        </w:r>
      </w:hyperlink>
    </w:p>
    <w:p>
      <w:pPr>
        <w:pStyle w:val="TOC2"/>
      </w:pPr>
      <w:hyperlink w:anchor="_Toc300001751" w:history="1">
        <w:r>
          <w:t>Article 46.2: Data Symmetry and the Golden Record</w:t>
        </w:r>
        <w:r>
          <w:tab/>
        </w:r>
        <w:r>
          <w:t>1773</w:t>
        </w:r>
      </w:hyperlink>
    </w:p>
    <w:p>
      <w:pPr>
        <w:pStyle w:val="TOC2"/>
      </w:pPr>
      <w:hyperlink w:anchor="_Toc300001752" w:history="1">
        <w:r>
          <w:t>Article 46.3: Anomaly Severity and Noise Filtering</w:t>
        </w:r>
        <w:r>
          <w:tab/>
        </w:r>
        <w:r>
          <w:t>1774</w:t>
        </w:r>
      </w:hyperlink>
    </w:p>
    <w:p>
      <w:pPr>
        <w:pStyle w:val="TOC2"/>
      </w:pPr>
      <w:hyperlink w:anchor="_Toc300001753" w:history="1">
        <w:r>
          <w:t>Article 46.4: Claim and Objection Precision</w:t>
        </w:r>
        <w:r>
          <w:tab/>
        </w:r>
        <w:r>
          <w:t>1774</w:t>
        </w:r>
      </w:hyperlink>
    </w:p>
    <w:p>
      <w:pPr>
        <w:pStyle w:val="TOC2"/>
      </w:pPr>
      <w:hyperlink w:anchor="_Toc300001754" w:history="1">
        <w:r>
          <w:t>Article 46.5: Confirmation Levels and Partial Findings</w:t>
        </w:r>
        <w:r>
          <w:tab/>
        </w:r>
        <w:r>
          <w:t>1774</w:t>
        </w:r>
      </w:hyperlink>
    </w:p>
    <w:p>
      <w:pPr>
        <w:pStyle w:val="TOC2"/>
      </w:pPr>
      <w:hyperlink w:anchor="_Toc300001755" w:history="1">
        <w:r>
          <w:t>Article 46.6: Standing Neutral Expert Pool</w:t>
        </w:r>
        <w:r>
          <w:tab/>
        </w:r>
        <w:r>
          <w:t>1774</w:t>
        </w:r>
      </w:hyperlink>
    </w:p>
    <w:p>
      <w:pPr>
        <w:pStyle w:val="TOC2"/>
      </w:pPr>
      <w:hyperlink w:anchor="_Toc300001756" w:history="1">
        <w:r>
          <w:t>Article 46.7: Human-in-the-Loop Requirement</w:t>
        </w:r>
        <w:r>
          <w:tab/>
        </w:r>
        <w:r>
          <w:t>1775</w:t>
        </w:r>
      </w:hyperlink>
    </w:p>
    <w:p>
      <w:pPr>
        <w:pStyle w:val="TOC2"/>
      </w:pPr>
      <w:hyperlink w:anchor="_Toc300001757" w:history="1">
        <w:r>
          <w:t>Article 46.8: Verification Continuity and Technical Failure</w:t>
        </w:r>
        <w:r>
          <w:tab/>
        </w:r>
        <w:r>
          <w:t>1775</w:t>
        </w:r>
      </w:hyperlink>
    </w:p>
    <w:p>
      <w:pPr>
        <w:pStyle w:val="TOC2"/>
      </w:pPr>
      <w:hyperlink w:anchor="_Toc300001758" w:history="1">
        <w:r>
          <w:t>Article 46.9: Cooling-Off and Attribution Discipline</w:t>
        </w:r>
        <w:r>
          <w:tab/>
        </w:r>
        <w:r>
          <w:t>1776</w:t>
        </w:r>
      </w:hyperlink>
    </w:p>
    <w:p>
      <w:pPr>
        <w:pStyle w:val="TOC2"/>
      </w:pPr>
      <w:hyperlink w:anchor="_Toc300001759" w:history="1">
        <w:r>
          <w:t>Article 46.10: Verification Metrics</w:t>
        </w:r>
        <w:r>
          <w:tab/>
        </w:r>
        <w:r>
          <w:t>1776</w:t>
        </w:r>
      </w:hyperlink>
    </w:p>
    <w:p>
      <w:pPr>
        <w:pStyle w:val="TOC2"/>
      </w:pPr>
      <w:hyperlink w:anchor="_Toc300001760" w:history="1">
        <w:r>
          <w:t>Article 46.11: Technical Corrections</w:t>
        </w:r>
        <w:r>
          <w:tab/>
        </w:r>
        <w:r>
          <w:t>1776</w:t>
        </w:r>
      </w:hyperlink>
    </w:p>
    <w:p>
      <w:pPr>
        <w:pStyle w:val="TOC2"/>
      </w:pPr>
      <w:hyperlink w:anchor="_Toc300001761" w:history="1">
        <w:r>
          <w:t>Article 46.12: Vacancy-Proof Institutional Continuity</w:t>
        </w:r>
        <w:r>
          <w:tab/>
        </w:r>
        <w:r>
          <w:t>1776</w:t>
        </w:r>
      </w:hyperlink>
    </w:p>
    <w:p>
      <w:pPr>
        <w:pStyle w:val="TOC2"/>
      </w:pPr>
      <w:hyperlink w:anchor="_Toc300001762" w:history="1">
        <w:r>
          <w:t>Article 46.13: Quorum, Boycott, and Consensus Anti-Hostage Rules</w:t>
        </w:r>
        <w:r>
          <w:tab/>
        </w:r>
        <w:r>
          <w:t>1777</w:t>
        </w:r>
      </w:hyperlink>
    </w:p>
    <w:p>
      <w:pPr>
        <w:pStyle w:val="TOC2"/>
      </w:pPr>
      <w:hyperlink w:anchor="_Toc300001763" w:history="1">
        <w:r>
          <w:t>Article 46.14: Data Continuity, Protected Access, and Adverse Inference</w:t>
        </w:r>
        <w:r>
          <w:tab/>
        </w:r>
        <w:r>
          <w:t>1777</w:t>
        </w:r>
      </w:hyperlink>
    </w:p>
    <w:p>
      <w:pPr>
        <w:pStyle w:val="TOC2"/>
      </w:pPr>
      <w:hyperlink w:anchor="_Toc300001764" w:history="1">
        <w:r>
          <w:t>Article 46.15: Evidentiary Proportionality and Anti-Landfill Rule</w:t>
        </w:r>
        <w:r>
          <w:tab/>
        </w:r>
        <w:r>
          <w:t>1777</w:t>
        </w:r>
      </w:hyperlink>
    </w:p>
    <w:p>
      <w:pPr>
        <w:pStyle w:val="TOC2"/>
      </w:pPr>
      <w:hyperlink w:anchor="_Toc300001765" w:history="1">
        <w:r>
          <w:t>Article 46.16: Successor Measure and Anti-Whack-a-Mole Jurisdiction</w:t>
        </w:r>
        <w:r>
          <w:tab/>
        </w:r>
        <w:r>
          <w:t>1777</w:t>
        </w:r>
      </w:hyperlink>
    </w:p>
    <w:p>
      <w:pPr>
        <w:pStyle w:val="TOC2"/>
      </w:pPr>
      <w:hyperlink w:anchor="_Toc300001766" w:history="1">
        <w:r>
          <w:t>Article 46.17: Administrative Pattern and Cumulative Burden Review</w:t>
        </w:r>
        <w:r>
          <w:tab/>
        </w:r>
        <w:r>
          <w:t>1777</w:t>
        </w:r>
      </w:hyperlink>
    </w:p>
    <w:p>
      <w:pPr>
        <w:pStyle w:val="TOC2"/>
      </w:pPr>
      <w:hyperlink w:anchor="_Toc300001767" w:history="1">
        <w:r>
          <w:t>Article 46.18: Procedural Denial-of-Service and Case Consolidation</w:t>
        </w:r>
        <w:r>
          <w:tab/>
        </w:r>
        <w:r>
          <w:t>1778</w:t>
        </w:r>
      </w:hyperlink>
    </w:p>
    <w:p>
      <w:pPr>
        <w:pStyle w:val="TOC2"/>
      </w:pPr>
      <w:hyperlink w:anchor="_Toc300001768" w:history="1">
        <w:r>
          <w:t>Article 46.19: Automatic Post-Ruling Compliance Supervision</w:t>
        </w:r>
        <w:r>
          <w:tab/>
        </w:r>
        <w:r>
          <w:t>1778</w:t>
        </w:r>
      </w:hyperlink>
    </w:p>
    <w:p>
      <w:pPr>
        <w:pStyle w:val="TOC1"/>
      </w:pPr>
      <w:hyperlink w:anchor="_Toc300001769" w:history="1">
        <w:r>
          <w:t>CHAPTER 47 TREATY RESILIENCE, SAFE MODE, AND RECONSTITUTION</w:t>
        </w:r>
        <w:r>
          <w:tab/>
        </w:r>
        <w:r>
          <w:t>1779</w:t>
        </w:r>
      </w:hyperlink>
    </w:p>
    <w:p>
      <w:pPr>
        <w:pStyle w:val="TOC2"/>
      </w:pPr>
      <w:hyperlink w:anchor="_Toc300001770" w:history="1">
        <w:r>
          <w:t>Article 47.0A: Effective Treaty Performance and Anti-Malicious-Compliance Principle</w:t>
        </w:r>
        <w:r>
          <w:tab/>
        </w:r>
        <w:r>
          <w:t>1779</w:t>
        </w:r>
      </w:hyperlink>
    </w:p>
    <w:p>
      <w:pPr>
        <w:pStyle w:val="TOC2"/>
      </w:pPr>
      <w:hyperlink w:anchor="_Toc300001771" w:history="1">
        <w:r>
          <w:t>Article 47.0B: Cumulative Friction, Whole-of-Government, and Rolling-Window Review</w:t>
        </w:r>
        <w:r>
          <w:tab/>
        </w:r>
        <w:r>
          <w:t>1779</w:t>
        </w:r>
      </w:hyperlink>
    </w:p>
    <w:p>
      <w:pPr>
        <w:pStyle w:val="TOC2"/>
      </w:pPr>
      <w:hyperlink w:anchor="_Toc300001772" w:history="1">
        <w:r>
          <w:t>Article 47.0C: Functional Successor Pattern and Effective Restoration</w:t>
        </w:r>
        <w:r>
          <w:tab/>
        </w:r>
        <w:r>
          <w:t>1780</w:t>
        </w:r>
      </w:hyperlink>
    </w:p>
    <w:p>
      <w:pPr>
        <w:pStyle w:val="TOC2"/>
      </w:pPr>
      <w:hyperlink w:anchor="_Toc300001773" w:history="1">
        <w:r>
          <w:t>Article 47.0D: Institutional Anti-Paralysis and Usable Proceedings</w:t>
        </w:r>
        <w:r>
          <w:tab/>
        </w:r>
        <w:r>
          <w:t>1780</w:t>
        </w:r>
      </w:hyperlink>
    </w:p>
    <w:p>
      <w:pPr>
        <w:pStyle w:val="TOC2"/>
      </w:pPr>
      <w:hyperlink w:anchor="_Toc300001774" w:history="1">
        <w:r>
          <w:t>Article 47.0E: Implementation Simplicity and Procedure Selection</w:t>
        </w:r>
        <w:r>
          <w:tab/>
        </w:r>
        <w:r>
          <w:t>1780</w:t>
        </w:r>
      </w:hyperlink>
    </w:p>
    <w:p>
      <w:pPr>
        <w:pStyle w:val="TOC2"/>
      </w:pPr>
      <w:hyperlink w:anchor="_Toc300001775" w:history="1">
        <w:r>
          <w:t>Article 47.1: Differential Routing</w:t>
        </w:r>
        <w:r>
          <w:tab/>
        </w:r>
        <w:r>
          <w:t>1781</w:t>
        </w:r>
      </w:hyperlink>
    </w:p>
    <w:p>
      <w:pPr>
        <w:pStyle w:val="TOC2"/>
      </w:pPr>
      <w:hyperlink w:anchor="_Toc300001776" w:history="1">
        <w:r>
          <w:t>Article 47.2: Lateral Transfer</w:t>
        </w:r>
        <w:r>
          <w:tab/>
        </w:r>
        <w:r>
          <w:t>1781</w:t>
        </w:r>
      </w:hyperlink>
    </w:p>
    <w:p>
      <w:pPr>
        <w:pStyle w:val="TOC2"/>
      </w:pPr>
      <w:hyperlink w:anchor="_Toc300001777" w:history="1">
        <w:r>
          <w:t>Article 47.3: Treaty Reliance Archive</w:t>
        </w:r>
        <w:r>
          <w:tab/>
        </w:r>
        <w:r>
          <w:t>1781</w:t>
        </w:r>
      </w:hyperlink>
    </w:p>
    <w:p>
      <w:pPr>
        <w:pStyle w:val="TOC2"/>
      </w:pPr>
      <w:hyperlink w:anchor="_Toc300001778" w:history="1">
        <w:r>
          <w:t>Article 47.4: Economic Safe Mode</w:t>
        </w:r>
        <w:r>
          <w:tab/>
        </w:r>
        <w:r>
          <w:t>1782</w:t>
        </w:r>
      </w:hyperlink>
    </w:p>
    <w:p>
      <w:pPr>
        <w:pStyle w:val="TOC2"/>
      </w:pPr>
      <w:hyperlink w:anchor="_Toc300001779" w:history="1">
        <w:r>
          <w:t>Article 47.5: Good-Faith Pause</w:t>
        </w:r>
        <w:r>
          <w:tab/>
        </w:r>
        <w:r>
          <w:t>1782</w:t>
        </w:r>
      </w:hyperlink>
    </w:p>
    <w:p>
      <w:pPr>
        <w:pStyle w:val="TOC2"/>
      </w:pPr>
      <w:hyperlink w:anchor="_Toc300001780" w:history="1">
        <w:r>
          <w:t>Article 47.6: Scenario Repository and Pre-Negotiated Playbooks</w:t>
        </w:r>
        <w:r>
          <w:tab/>
        </w:r>
        <w:r>
          <w:t>1782</w:t>
        </w:r>
      </w:hyperlink>
    </w:p>
    <w:p>
      <w:pPr>
        <w:pStyle w:val="TOC2"/>
      </w:pPr>
      <w:hyperlink w:anchor="_Toc300001781" w:history="1">
        <w:r>
          <w:t>Article 47.7: Pilot Mechanism</w:t>
        </w:r>
        <w:r>
          <w:tab/>
        </w:r>
        <w:r>
          <w:t>1783</w:t>
        </w:r>
      </w:hyperlink>
    </w:p>
    <w:p>
      <w:pPr>
        <w:pStyle w:val="TOC2"/>
      </w:pPr>
      <w:hyperlink w:anchor="_Toc300001782" w:history="1">
        <w:r>
          <w:t>Article 47.8: Dormancy and Reactivation</w:t>
        </w:r>
        <w:r>
          <w:tab/>
        </w:r>
        <w:r>
          <w:t>1783</w:t>
        </w:r>
      </w:hyperlink>
    </w:p>
    <w:p>
      <w:pPr>
        <w:pStyle w:val="TOC2"/>
      </w:pPr>
      <w:hyperlink w:anchor="_Toc300001783" w:history="1">
        <w:r>
          <w:t>Article 47.9: Personnel and Knowledge Continuity</w:t>
        </w:r>
        <w:r>
          <w:tab/>
        </w:r>
        <w:r>
          <w:t>1783</w:t>
        </w:r>
      </w:hyperlink>
    </w:p>
    <w:p>
      <w:pPr>
        <w:pStyle w:val="TOC2"/>
      </w:pPr>
      <w:hyperlink w:anchor="_Toc300001784" w:history="1">
        <w:r>
          <w:t>Article 47.10: Administrative Burden Audit</w:t>
        </w:r>
        <w:r>
          <w:tab/>
        </w:r>
        <w:r>
          <w:t>1783</w:t>
        </w:r>
      </w:hyperlink>
    </w:p>
    <w:p>
      <w:pPr>
        <w:pStyle w:val="TOC2"/>
      </w:pPr>
      <w:hyperlink w:anchor="_Toc300001785" w:history="1">
        <w:r>
          <w:t>Article 47.11: Routine, Standard, and Emergency Administrative Decisions</w:t>
        </w:r>
        <w:r>
          <w:tab/>
        </w:r>
        <w:r>
          <w:t>1784</w:t>
        </w:r>
      </w:hyperlink>
    </w:p>
    <w:p>
      <w:pPr>
        <w:pStyle w:val="TOC2"/>
      </w:pPr>
      <w:hyperlink w:anchor="_Toc300001786" w:history="1">
        <w:r>
          <w:t>Article 47.12: Treaty Resilience Exercises</w:t>
        </w:r>
        <w:r>
          <w:tab/>
        </w:r>
        <w:r>
          <w:t>1784</w:t>
        </w:r>
      </w:hyperlink>
    </w:p>
    <w:p>
      <w:pPr>
        <w:pStyle w:val="TOC2"/>
      </w:pPr>
      <w:hyperlink w:anchor="_Toc300001787" w:history="1">
        <w:r>
          <w:t>Article 47.13: Post-Crisis Reconstitution</w:t>
        </w:r>
        <w:r>
          <w:tab/>
        </w:r>
        <w:r>
          <w:t>1784</w:t>
        </w:r>
      </w:hyperlink>
    </w:p>
    <w:p>
      <w:pPr>
        <w:pStyle w:val="TOC1"/>
      </w:pPr>
      <w:hyperlink w:anchor="_Toc300001788" w:history="1">
        <w:r>
          <w:t>PACKAGE K: NORTH AMERICAN MARKET-ACCESS AND ECONOMIC-SECURITY INCENTIVES</w:t>
        </w:r>
        <w:r>
          <w:tab/>
        </w:r>
        <w:r>
          <w:t>1785</w:t>
        </w:r>
      </w:hyperlink>
    </w:p>
    <w:p>
      <w:pPr>
        <w:pStyle w:val="TOC2"/>
      </w:pPr>
      <w:hyperlink w:anchor="_Toc300001789" w:history="1">
        <w:r>
          <w:t>Article 47.14: Protected Core Functions and Minimum Institutional Continuity Fund</w:t>
        </w:r>
        <w:r>
          <w:tab/>
        </w:r>
        <w:r>
          <w:t>1787</w:t>
        </w:r>
      </w:hyperlink>
    </w:p>
    <w:p>
      <w:pPr>
        <w:pStyle w:val="TOC2"/>
      </w:pPr>
      <w:hyperlink w:anchor="_Toc300001790" w:history="1">
        <w:r>
          <w:t>Article 47.15: Secretariat Integrity, Distributed Custody, and Operational Auditability</w:t>
        </w:r>
        <w:r>
          <w:tab/>
        </w:r>
        <w:r>
          <w:t>1787</w:t>
        </w:r>
      </w:hyperlink>
    </w:p>
    <w:p>
      <w:pPr>
        <w:pStyle w:val="TOC2"/>
      </w:pPr>
      <w:hyperlink w:anchor="_Toc300001791" w:history="1">
        <w:r>
          <w:t>Article 47.16: Institutional Safe Mode and No-Benefit-from-Outage Rule</w:t>
        </w:r>
        <w:r>
          <w:tab/>
        </w:r>
        <w:r>
          <w:t>1788</w:t>
        </w:r>
      </w:hyperlink>
    </w:p>
    <w:p>
      <w:pPr>
        <w:pStyle w:val="TOC2"/>
      </w:pPr>
      <w:hyperlink w:anchor="_Toc300001792" w:history="1">
        <w:r>
          <w:t>Article 47.17: Administrative Reliance, Government Error, and Data Portability</w:t>
        </w:r>
        <w:r>
          <w:tab/>
        </w:r>
        <w:r>
          <w:t>1788</w:t>
        </w:r>
      </w:hyperlink>
    </w:p>
    <w:p>
      <w:pPr>
        <w:pStyle w:val="TOC2"/>
      </w:pPr>
      <w:hyperlink w:anchor="_Toc300001793" w:history="1">
        <w:r>
          <w:t>Article 47.18: Automated Administration Symmetry and Algorithmic Accountability</w:t>
        </w:r>
        <w:r>
          <w:tab/>
        </w:r>
        <w:r>
          <w:t>1788</w:t>
        </w:r>
      </w:hyperlink>
    </w:p>
    <w:p>
      <w:pPr>
        <w:pStyle w:val="TOC1"/>
      </w:pPr>
      <w:hyperlink w:anchor="_Toc300001794" w:history="1">
        <w:r>
          <w:t>CHAPTER 48 REVIEW STABILITY, IMPLEMENTATION, AND COMPETITIVENESS</w:t>
        </w:r>
        <w:r>
          <w:tab/>
        </w:r>
        <w:r>
          <w:t>1790</w:t>
        </w:r>
      </w:hyperlink>
    </w:p>
    <w:p>
      <w:pPr>
        <w:pStyle w:val="TOC2"/>
      </w:pPr>
      <w:hyperlink w:anchor="_Toc300001795" w:history="1">
        <w:r>
          <w:t>Article 48.1: Structured Joint Review Protocol</w:t>
        </w:r>
        <w:r>
          <w:tab/>
        </w:r>
        <w:r>
          <w:t>1790</w:t>
        </w:r>
      </w:hyperlink>
    </w:p>
    <w:p>
      <w:pPr>
        <w:pStyle w:val="TOC2"/>
      </w:pPr>
      <w:hyperlink w:anchor="_Toc300001796" w:history="1">
        <w:r>
          <w:t>Article 48.2: Multi-Year Joint Work Plans</w:t>
        </w:r>
        <w:r>
          <w:tab/>
        </w:r>
        <w:r>
          <w:t>1790</w:t>
        </w:r>
      </w:hyperlink>
    </w:p>
    <w:p>
      <w:pPr>
        <w:pStyle w:val="TOC2"/>
      </w:pPr>
      <w:hyperlink w:anchor="_Toc300001797" w:history="1">
        <w:r>
          <w:t>Article 48.3: Review Predictability and Investment Reliance</w:t>
        </w:r>
        <w:r>
          <w:tab/>
        </w:r>
        <w:r>
          <w:t>1790</w:t>
        </w:r>
      </w:hyperlink>
    </w:p>
    <w:p>
      <w:pPr>
        <w:pStyle w:val="TOC2"/>
      </w:pPr>
      <w:hyperlink w:anchor="_Toc300001798" w:history="1">
        <w:r>
          <w:t>Article 48.4: North American Competitiveness Advisory Forum</w:t>
        </w:r>
        <w:r>
          <w:tab/>
        </w:r>
        <w:r>
          <w:t>1790</w:t>
        </w:r>
      </w:hyperlink>
    </w:p>
    <w:p>
      <w:pPr>
        <w:pStyle w:val="TOC2"/>
      </w:pPr>
      <w:hyperlink w:anchor="_Toc300001799" w:history="1">
        <w:r>
          <w:t>Article 48.5: Review-Process Disputes</w:t>
        </w:r>
        <w:r>
          <w:tab/>
        </w:r>
        <w:r>
          <w:t>1790</w:t>
        </w:r>
      </w:hyperlink>
    </w:p>
    <w:p>
      <w:pPr>
        <w:pStyle w:val="TOC2"/>
      </w:pPr>
      <w:hyperlink w:anchor="_Toc300001800" w:history="1">
        <w:r>
          <w:t>Article 48.6: Trilateral Continuity, Mexico Parity, and Investment Reliance</w:t>
        </w:r>
        <w:r>
          <w:tab/>
        </w:r>
        <w:r>
          <w:t>1790</w:t>
        </w:r>
      </w:hyperlink>
    </w:p>
    <w:p>
      <w:pPr>
        <w:pStyle w:val="TOC1"/>
      </w:pPr>
      <w:hyperlink w:anchor="_Toc300001801" w:history="1">
        <w:r>
          <w:t>CHAPTER 49 SECTORAL MARKET ACCESS AND IMPLEMENTATION SAFEGUARDS</w:t>
        </w:r>
        <w:r>
          <w:tab/>
        </w:r>
        <w:r>
          <w:t>1791</w:t>
        </w:r>
      </w:hyperlink>
    </w:p>
    <w:p>
      <w:pPr>
        <w:pStyle w:val="TOC2"/>
      </w:pPr>
      <w:hyperlink w:anchor="_Toc300001802" w:history="1">
        <w:r>
          <w:t>Article 49.1: Originating Distilled Spirits, Zero Customs Duty</w:t>
        </w:r>
        <w:r>
          <w:tab/>
        </w:r>
        <w:r>
          <w:t>1791</w:t>
        </w:r>
      </w:hyperlink>
    </w:p>
    <w:p>
      <w:pPr>
        <w:pStyle w:val="TOC2"/>
      </w:pPr>
      <w:hyperlink w:anchor="_Toc300001803" w:history="1">
        <w:r>
          <w:t>Article 49.2: Alcohol Distribution Best-Practice Safe Harbor</w:t>
        </w:r>
        <w:r>
          <w:tab/>
        </w:r>
        <w:r>
          <w:t>1791</w:t>
        </w:r>
      </w:hyperlink>
    </w:p>
    <w:p>
      <w:pPr>
        <w:pStyle w:val="TOC2"/>
      </w:pPr>
      <w:hyperlink w:anchor="_Toc300001804" w:history="1">
        <w:r>
          <w:t>Article 49.3: Dairy TRQ Transparency and Transition</w:t>
        </w:r>
        <w:r>
          <w:tab/>
        </w:r>
        <w:r>
          <w:t>1791</w:t>
        </w:r>
      </w:hyperlink>
    </w:p>
    <w:p>
      <w:pPr>
        <w:pStyle w:val="TOC2"/>
      </w:pPr>
      <w:hyperlink w:anchor="_Toc300001805" w:history="1">
        <w:r>
          <w:t>Article 49.4: Automotive Rule Change Discipline</w:t>
        </w:r>
        <w:r>
          <w:tab/>
        </w:r>
        <w:r>
          <w:t>1792</w:t>
        </w:r>
      </w:hyperlink>
    </w:p>
    <w:p>
      <w:pPr>
        <w:pStyle w:val="TOC2"/>
      </w:pPr>
      <w:hyperlink w:anchor="_Toc300001806" w:history="1">
        <w:r>
          <w:t>Article 49.5: Originating Steel and Aluminum Security Presumption</w:t>
        </w:r>
        <w:r>
          <w:tab/>
        </w:r>
        <w:r>
          <w:t>1792</w:t>
        </w:r>
      </w:hyperlink>
    </w:p>
    <w:p>
      <w:pPr>
        <w:pStyle w:val="TOC2"/>
      </w:pPr>
      <w:hyperlink w:anchor="_Toc300001807" w:history="1">
        <w:r>
          <w:t>Article 49.6: Public Procurement and Sovereign Cloud</w:t>
        </w:r>
        <w:r>
          <w:tab/>
        </w:r>
        <w:r>
          <w:t>1792</w:t>
        </w:r>
      </w:hyperlink>
    </w:p>
    <w:p>
      <w:pPr>
        <w:pStyle w:val="TOC2"/>
      </w:pPr>
      <w:hyperlink w:anchor="_Toc300001808" w:history="1">
        <w:r>
          <w:t>Article 49.7: North American Strategic Procurement Reciprocity Framework</w:t>
        </w:r>
        <w:r>
          <w:tab/>
        </w:r>
        <w:r>
          <w:t>1793</w:t>
        </w:r>
      </w:hyperlink>
    </w:p>
    <w:p>
      <w:pPr>
        <w:pStyle w:val="TOC2"/>
      </w:pPr>
      <w:hyperlink w:anchor="_Toc300001809" w:history="1">
        <w:r>
          <w:t>Article 49.7A: Reciprocal Procurement Compact and Practical-Opportunity Principle</w:t>
        </w:r>
        <w:r>
          <w:tab/>
        </w:r>
        <w:r>
          <w:t>1793</w:t>
        </w:r>
      </w:hyperlink>
    </w:p>
    <w:p>
      <w:pPr>
        <w:pStyle w:val="TOC2"/>
      </w:pPr>
      <w:hyperlink w:anchor="_Toc300001810" w:history="1">
        <w:r>
          <w:t>Article 49.7B: Effective Accessible Procurement Value and Value-Equivalence Test</w:t>
        </w:r>
        <w:r>
          <w:tab/>
        </w:r>
        <w:r>
          <w:t>1794</w:t>
        </w:r>
      </w:hyperlink>
    </w:p>
    <w:p>
      <w:pPr>
        <w:pStyle w:val="TOC2"/>
      </w:pPr>
      <w:hyperlink w:anchor="_Toc300001811" w:history="1">
        <w:r>
          <w:t>Article 49.7C: Reciprocity Bands, Rebalancing, and Earn-Back</w:t>
        </w:r>
        <w:r>
          <w:tab/>
        </w:r>
        <w:r>
          <w:t>1794</w:t>
        </w:r>
      </w:hyperlink>
    </w:p>
    <w:p>
      <w:pPr>
        <w:pStyle w:val="TOC2"/>
      </w:pPr>
      <w:hyperlink w:anchor="_Toc300001812" w:history="1">
        <w:r>
          <w:t>Article 49.7D: North American SME Procurement Passport and Opportunity Discovery</w:t>
        </w:r>
        <w:r>
          <w:tab/>
        </w:r>
        <w:r>
          <w:t>1795</w:t>
        </w:r>
      </w:hyperlink>
    </w:p>
    <w:p>
      <w:pPr>
        <w:pStyle w:val="TOC2"/>
      </w:pPr>
      <w:hyperlink w:anchor="_Toc300001813" w:history="1">
        <w:r>
          <w:t>Article 49.7E: Constitutional Federalism and Voluntary Subnational Participation</w:t>
        </w:r>
        <w:r>
          <w:tab/>
        </w:r>
        <w:r>
          <w:t>1795</w:t>
        </w:r>
      </w:hyperlink>
    </w:p>
    <w:p>
      <w:pPr>
        <w:pStyle w:val="TOC2"/>
      </w:pPr>
      <w:hyperlink w:anchor="_Toc300001814" w:history="1">
        <w:r>
          <w:t>Article 49.7F: Strategic Capacity, Resilience, and Optional Aggregated Demand</w:t>
        </w:r>
        <w:r>
          <w:tab/>
        </w:r>
        <w:r>
          <w:t>1796</w:t>
        </w:r>
      </w:hyperlink>
    </w:p>
    <w:p>
      <w:pPr>
        <w:pStyle w:val="TOC2"/>
      </w:pPr>
      <w:hyperlink w:anchor="_Toc300001815" w:history="1">
        <w:r>
          <w:t>Article 49.7G: Anti-Gaming, Procurement Stability, and Practical Neutrality</w:t>
        </w:r>
        <w:r>
          <w:tab/>
        </w:r>
        <w:r>
          <w:t>1796</w:t>
        </w:r>
      </w:hyperlink>
    </w:p>
    <w:p>
      <w:pPr>
        <w:pStyle w:val="TOC2"/>
      </w:pPr>
      <w:hyperlink w:anchor="_Toc300001816" w:history="1">
        <w:r>
          <w:t>Article 49.7H: Emergency, Security, Review, and Remedies</w:t>
        </w:r>
        <w:r>
          <w:tab/>
        </w:r>
        <w:r>
          <w:t>1797</w:t>
        </w:r>
      </w:hyperlink>
    </w:p>
    <w:p>
      <w:pPr>
        <w:pStyle w:val="TOC2"/>
      </w:pPr>
      <w:hyperlink w:anchor="_Toc300001817" w:history="1">
        <w:r>
          <w:t>Article 49.7I: Subnational Reciprocity, Preference Notification, and No Uncompensated Opening</w:t>
        </w:r>
        <w:r>
          <w:tab/>
        </w:r>
        <w:r>
          <w:t>1797</w:t>
        </w:r>
      </w:hyperlink>
    </w:p>
    <w:p>
      <w:pPr>
        <w:pStyle w:val="TOC2"/>
      </w:pPr>
      <w:hyperlink w:anchor="_Toc300001818" w:history="1">
        <w:r>
          <w:t>Article 49.8: Mexican Extraordinary-Tariff Normalization Track</w:t>
        </w:r>
        <w:r>
          <w:tab/>
        </w:r>
        <w:r>
          <w:t>1798</w:t>
        </w:r>
      </w:hyperlink>
    </w:p>
    <w:p>
      <w:pPr>
        <w:pStyle w:val="TOC2"/>
      </w:pPr>
      <w:hyperlink w:anchor="_Toc300001819" w:history="1">
        <w:r>
          <w:t>Article 49.9: Trilateral Steel and Aluminum Normalization and Anti-Diversion Bargain</w:t>
        </w:r>
        <w:r>
          <w:tab/>
        </w:r>
        <w:r>
          <w:t>1799</w:t>
        </w:r>
      </w:hyperlink>
    </w:p>
    <w:p>
      <w:pPr>
        <w:pStyle w:val="TOC2"/>
      </w:pPr>
      <w:hyperlink w:anchor="_Toc300001820" w:history="1">
        <w:r>
          <w:t>ANNEX 49-A: NORTH AMERICAN PROCUREMENT VALUE-EQUIVALENCE AND LANDING SCHEDULE</w:t>
        </w:r>
        <w:r>
          <w:tab/>
        </w:r>
        <w:r>
          <w:t>1799</w:t>
        </w:r>
      </w:hyperlink>
    </w:p>
    <w:p>
      <w:pPr>
        <w:pStyle w:val="TOC1"/>
      </w:pPr>
      <w:hyperlink w:anchor="_Toc300001821" w:history="1">
        <w:r>
          <w:t>CHAPTER 50 SME, CUSTOMS, DIGITAL, AND SUPPLY-CHAIN MODERNIZATION</w:t>
        </w:r>
        <w:r>
          <w:tab/>
        </w:r>
        <w:r>
          <w:t>1803</w:t>
        </w:r>
      </w:hyperlink>
    </w:p>
    <w:p>
      <w:pPr>
        <w:pStyle w:val="TOC2"/>
      </w:pPr>
      <w:hyperlink w:anchor="_Toc300001822" w:history="1">
        <w:r>
          <w:t>Article 50.1: Trusted SME Exporter</w:t>
        </w:r>
        <w:r>
          <w:tab/>
        </w:r>
        <w:r>
          <w:t>1803</w:t>
        </w:r>
      </w:hyperlink>
    </w:p>
    <w:p>
      <w:pPr>
        <w:pStyle w:val="TOC2"/>
      </w:pPr>
      <w:hyperlink w:anchor="_Toc300001823" w:history="1">
        <w:r>
          <w:t>Article 50.2: Plain-Language and Port Consistency Rule</w:t>
        </w:r>
        <w:r>
          <w:tab/>
        </w:r>
        <w:r>
          <w:t>1803</w:t>
        </w:r>
      </w:hyperlink>
    </w:p>
    <w:p>
      <w:pPr>
        <w:pStyle w:val="TOC2"/>
      </w:pPr>
      <w:hyperlink w:anchor="_Toc300001824" w:history="1">
        <w:r>
          <w:t>Article 50.3: Harmonized Core Customs Data</w:t>
        </w:r>
        <w:r>
          <w:tab/>
        </w:r>
        <w:r>
          <w:t>1803</w:t>
        </w:r>
      </w:hyperlink>
    </w:p>
    <w:p>
      <w:pPr>
        <w:pStyle w:val="TOC2"/>
      </w:pPr>
      <w:hyperlink w:anchor="_Toc300001825" w:history="1">
        <w:r>
          <w:t>Article 50.4: Non-Market Practice Definition and Review</w:t>
        </w:r>
        <w:r>
          <w:tab/>
        </w:r>
        <w:r>
          <w:t>1803</w:t>
        </w:r>
      </w:hyperlink>
    </w:p>
    <w:p>
      <w:pPr>
        <w:pStyle w:val="TOC2"/>
      </w:pPr>
      <w:hyperlink w:anchor="_Toc300001826" w:history="1">
        <w:r>
          <w:t>Article 50.5: Supply-Chain Risk Map and Early Warning</w:t>
        </w:r>
        <w:r>
          <w:tab/>
        </w:r>
        <w:r>
          <w:t>1804</w:t>
        </w:r>
      </w:hyperlink>
    </w:p>
    <w:p>
      <w:pPr>
        <w:pStyle w:val="TOC2"/>
      </w:pPr>
      <w:hyperlink w:anchor="_Toc300001827" w:history="1">
        <w:r>
          <w:t>Article 50.6: Digital Economy Regulatory Principles</w:t>
        </w:r>
        <w:r>
          <w:tab/>
        </w:r>
        <w:r>
          <w:t>1804</w:t>
        </w:r>
      </w:hyperlink>
    </w:p>
    <w:p>
      <w:pPr>
        <w:pStyle w:val="TOC2"/>
      </w:pPr>
      <w:hyperlink w:anchor="_Toc300001828" w:history="1">
        <w:r>
          <w:t>Article 50.7: Cryptographic Authenticity and Fraud Coordination</w:t>
        </w:r>
        <w:r>
          <w:tab/>
        </w:r>
        <w:r>
          <w:t>1804</w:t>
        </w:r>
      </w:hyperlink>
    </w:p>
    <w:p>
      <w:pPr>
        <w:pStyle w:val="TOC2"/>
      </w:pPr>
      <w:hyperlink w:anchor="_Toc300001829" w:history="1">
        <w:r>
          <w:t>Article 50.8: Mexican Digital Manufacturing and SME Export Lane</w:t>
        </w:r>
        <w:r>
          <w:tab/>
        </w:r>
        <w:r>
          <w:t>1804</w:t>
        </w:r>
      </w:hyperlink>
    </w:p>
    <w:p>
      <w:pPr>
        <w:pStyle w:val="TOC2"/>
      </w:pPr>
      <w:hyperlink w:anchor="_Toc300001830" w:history="1">
        <w:r>
          <w:t>Article 50.9: Administrative Friction and Border Performance Safeguard</w:t>
        </w:r>
        <w:r>
          <w:tab/>
        </w:r>
        <w:r>
          <w:t>1804</w:t>
        </w:r>
      </w:hyperlink>
    </w:p>
    <w:p>
      <w:pPr>
        <w:pStyle w:val="TOC2"/>
      </w:pPr>
      <w:hyperlink w:anchor="_Toc300001831" w:history="1">
        <w:r>
          <w:t>Article 50.10: Least-Burdensome Verification and Repeat-Audit Safeguard</w:t>
        </w:r>
        <w:r>
          <w:tab/>
        </w:r>
        <w:r>
          <w:t>1804</w:t>
        </w:r>
      </w:hyperlink>
    </w:p>
    <w:p>
      <w:pPr>
        <w:pStyle w:val="TOC2"/>
      </w:pPr>
      <w:hyperlink w:anchor="_Toc300001832" w:history="1">
        <w:r>
          <w:t>Article 50.11: Decision-or-Explain Deadlines and Application Completeness Lock</w:t>
        </w:r>
        <w:r>
          <w:tab/>
        </w:r>
        <w:r>
          <w:t>1805</w:t>
        </w:r>
      </w:hyperlink>
    </w:p>
    <w:p>
      <w:pPr>
        <w:pStyle w:val="TOC2"/>
      </w:pPr>
      <w:hyperlink w:anchor="_Toc300001833" w:history="1">
        <w:r>
          <w:t>Article 50.12: Trusted Status Due Process</w:t>
        </w:r>
        <w:r>
          <w:tab/>
        </w:r>
        <w:r>
          <w:t>1805</w:t>
        </w:r>
      </w:hyperlink>
    </w:p>
    <w:p>
      <w:pPr>
        <w:pStyle w:val="TOC2"/>
      </w:pPr>
      <w:hyperlink w:anchor="_Toc300001834" w:history="1">
        <w:r>
          <w:t>Article 50.13: Technical Standard and Conformity-Assessment Capacity Protection</w:t>
        </w:r>
        <w:r>
          <w:tab/>
        </w:r>
        <w:r>
          <w:t>1805</w:t>
        </w:r>
      </w:hyperlink>
    </w:p>
    <w:p>
      <w:pPr>
        <w:pStyle w:val="TOC2"/>
      </w:pPr>
      <w:hyperlink w:anchor="_Toc300001835" w:history="1">
        <w:r>
          <w:t>Article 50.14: Service, Business-Day, and Technical-Failure Fairness</w:t>
        </w:r>
        <w:r>
          <w:tab/>
        </w:r>
        <w:r>
          <w:t>1806</w:t>
        </w:r>
      </w:hyperlink>
    </w:p>
    <w:p>
      <w:pPr>
        <w:pStyle w:val="TOC2"/>
      </w:pPr>
      <w:hyperlink w:anchor="_Toc300001837" w:history="1">
        <w:r>
          <w:t>Article 50.15: Concurrent Processing, Clock Integrity, and Completeness Finality</w:t>
        </w:r>
        <w:r>
          <w:tab/>
        </w:r>
        <w:r>
          <w:t>1806</w:t>
        </w:r>
      </w:hyperlink>
    </w:p>
    <w:p>
      <w:pPr>
        <w:pStyle w:val="TOC2"/>
      </w:pPr>
      <w:hyperlink w:anchor="_Toc300001838" w:history="1">
        <w:r>
          <w:t>Article 50.16: Administrative Intensity, Proxy Discrimination, and Performance Comparators</w:t>
        </w:r>
        <w:r>
          <w:tab/>
        </w:r>
        <w:r>
          <w:t>1806</w:t>
        </w:r>
      </w:hyperlink>
    </w:p>
    <w:p>
      <w:pPr>
        <w:pStyle w:val="TOC2"/>
      </w:pPr>
      <w:hyperlink w:anchor="_Toc300001839" w:history="1">
        <w:r>
          <w:t>Article 50.17: Operational Availability, Capacity, and Optional-Pathway Non-Coercion</w:t>
        </w:r>
        <w:r>
          <w:tab/>
        </w:r>
        <w:r>
          <w:t>1807</w:t>
        </w:r>
      </w:hyperlink>
    </w:p>
    <w:p>
      <w:pPr>
        <w:pStyle w:val="TOC2"/>
      </w:pPr>
      <w:hyperlink w:anchor="_Toc300001840" w:history="1">
        <w:r>
          <w:t>Article 50.18: Functional Administrative Instruments and Reliance</w:t>
        </w:r>
        <w:r>
          <w:tab/>
        </w:r>
        <w:r>
          <w:t>1807</w:t>
        </w:r>
      </w:hyperlink>
    </w:p>
    <w:p>
      <w:pPr>
        <w:pStyle w:val="TOC2"/>
      </w:pPr>
      <w:hyperlink w:anchor="_Toc300001841" w:history="1">
        <w:r>
          <w:t>Article 50.19: Seasonal, Corridor, Tail-Risk, and Commercial-Criticality Review</w:t>
        </w:r>
        <w:r>
          <w:tab/>
        </w:r>
        <w:r>
          <w:t>1808</w:t>
        </w:r>
      </w:hyperlink>
    </w:p>
    <w:p>
      <w:pPr>
        <w:pStyle w:val="TOC1"/>
      </w:pPr>
      <w:hyperlink w:anchor="_Toc300001836" w:history="1">
        <w:r>
          <w:t>CHAPTER 51 SYMMETRICAL LABOR, ENVIRONMENTAL, AND SCIENTIFIC COOPERATION</w:t>
        </w:r>
        <w:r>
          <w:tab/>
        </w:r>
        <w:r>
          <w:t>1809</w:t>
        </w:r>
      </w:hyperlink>
    </w:p>
    <w:p>
      <w:pPr>
        <w:pStyle w:val="TOC2"/>
      </w:pPr>
      <w:hyperlink w:anchor="_Toc300001842" w:history="1">
        <w:r>
          <w:t>Article 51.1: Symmetrical Labor Enforcement</w:t>
        </w:r>
        <w:r>
          <w:tab/>
        </w:r>
        <w:r>
          <w:t>1809</w:t>
        </w:r>
      </w:hyperlink>
    </w:p>
    <w:p>
      <w:pPr>
        <w:pStyle w:val="TOC2"/>
      </w:pPr>
      <w:hyperlink w:anchor="_Toc300001843" w:history="1">
        <w:r>
          <w:t>Article 51.2: Environmental Rapid Technical Review</w:t>
        </w:r>
        <w:r>
          <w:tab/>
        </w:r>
        <w:r>
          <w:t>1809</w:t>
        </w:r>
      </w:hyperlink>
    </w:p>
    <w:p>
      <w:pPr>
        <w:pStyle w:val="TOC2"/>
      </w:pPr>
      <w:hyperlink w:anchor="_Toc300001844" w:history="1">
        <w:r>
          <w:t>Article 51.3: Biodiversity, Habitat, and Circular Economy Cooperation</w:t>
        </w:r>
        <w:r>
          <w:tab/>
        </w:r>
        <w:r>
          <w:t>1810</w:t>
        </w:r>
      </w:hyperlink>
    </w:p>
    <w:p>
      <w:pPr>
        <w:pStyle w:val="TOC2"/>
      </w:pPr>
      <w:hyperlink w:anchor="_Toc300001845" w:history="1">
        <w:r>
          <w:t>Article 51.4: Independent Scientific Advisory Review</w:t>
        </w:r>
        <w:r>
          <w:tab/>
        </w:r>
        <w:r>
          <w:t>1810</w:t>
        </w:r>
      </w:hyperlink>
    </w:p>
    <w:p>
      <w:pPr>
        <w:pStyle w:val="TOC2"/>
      </w:pPr>
      <w:hyperlink w:anchor="_Toc300001846" w:history="1">
        <w:r>
          <w:t>Article 51.5: Rapid SPS Scientific Exchange and Equivalence</w:t>
        </w:r>
        <w:r>
          <w:tab/>
        </w:r>
        <w:r>
          <w:t>1810</w:t>
        </w:r>
      </w:hyperlink>
    </w:p>
    <w:p>
      <w:pPr>
        <w:pStyle w:val="TOC1"/>
      </w:pPr>
      <w:hyperlink w:anchor="_Toc300001847" w:history="1">
        <w:r>
          <w:t>CHAPTER 52 SIDE INSTRUMENTS, TRILATERAL INTEGRITY, AND IMPLEMENTATION</w:t>
        </w:r>
        <w:r>
          <w:tab/>
        </w:r>
        <w:r>
          <w:t>1811</w:t>
        </w:r>
      </w:hyperlink>
    </w:p>
    <w:p>
      <w:pPr>
        <w:pStyle w:val="TOC2"/>
      </w:pPr>
      <w:hyperlink w:anchor="_Toc300001848" w:history="1">
        <w:r>
          <w:t>Article 52.1: Bilateral Side Instruments</w:t>
        </w:r>
        <w:r>
          <w:tab/>
        </w:r>
        <w:r>
          <w:t>1811</w:t>
        </w:r>
      </w:hyperlink>
    </w:p>
    <w:p>
      <w:pPr>
        <w:pStyle w:val="TOC2"/>
      </w:pPr>
      <w:hyperlink w:anchor="_Toc300001849" w:history="1">
        <w:r>
          <w:t>Article 52.2: Implementation Fallback</w:t>
        </w:r>
        <w:r>
          <w:tab/>
        </w:r>
        <w:r>
          <w:t>1811</w:t>
        </w:r>
      </w:hyperlink>
    </w:p>
    <w:p>
      <w:pPr>
        <w:pStyle w:val="TOC2"/>
      </w:pPr>
      <w:hyperlink w:anchor="_Toc300001850" w:history="1">
        <w:r>
          <w:t>Article 52.3: Transition Design Rule</w:t>
        </w:r>
        <w:r>
          <w:tab/>
        </w:r>
        <w:r>
          <w:t>1811</w:t>
        </w:r>
      </w:hyperlink>
    </w:p>
    <w:p>
      <w:pPr>
        <w:pStyle w:val="TOC1"/>
      </w:pPr>
      <w:hyperlink w:anchor="_Toc300001851" w:history="1">
        <w:r>
          <w:t>CHAPTER 53 PREDICTABILITY, PATTERN REVIEW, AND ADAPTIVE IMPLEMENTATION</w:t>
        </w:r>
        <w:r>
          <w:tab/>
        </w:r>
        <w:r>
          <w:t>1812</w:t>
        </w:r>
      </w:hyperlink>
    </w:p>
    <w:p>
      <w:pPr>
        <w:pStyle w:val="TOC2"/>
      </w:pPr>
      <w:hyperlink w:anchor="_Toc300001852" w:history="1">
        <w:r>
          <w:t>Article 53.1: Material Trade Measure Notice Rule</w:t>
        </w:r>
        <w:r>
          <w:tab/>
        </w:r>
        <w:r>
          <w:t>1812</w:t>
        </w:r>
      </w:hyperlink>
    </w:p>
    <w:p>
      <w:pPr>
        <w:pStyle w:val="TOC2"/>
      </w:pPr>
      <w:hyperlink w:anchor="_Toc300001853" w:history="1">
        <w:r>
          <w:t>Article 53.2: Administrative Obstruction and Regulatory Surprise Review</w:t>
        </w:r>
        <w:r>
          <w:tab/>
        </w:r>
        <w:r>
          <w:t>1812</w:t>
        </w:r>
      </w:hyperlink>
    </w:p>
    <w:p>
      <w:pPr>
        <w:pStyle w:val="TOC2"/>
      </w:pPr>
      <w:hyperlink w:anchor="_Toc300001854" w:history="1">
        <w:r>
          <w:t>Article 53.3: Pattern-of-Conduct Ledger</w:t>
        </w:r>
        <w:r>
          <w:tab/>
        </w:r>
        <w:r>
          <w:t>1813</w:t>
        </w:r>
      </w:hyperlink>
    </w:p>
    <w:p>
      <w:pPr>
        <w:pStyle w:val="TOC2"/>
      </w:pPr>
      <w:hyperlink w:anchor="_Toc300001855" w:history="1">
        <w:r>
          <w:t>Article 53.4: Compliance Stabilization and Predictability Restoration Pathway</w:t>
        </w:r>
        <w:r>
          <w:tab/>
        </w:r>
        <w:r>
          <w:t>1813</w:t>
        </w:r>
      </w:hyperlink>
    </w:p>
    <w:p>
      <w:pPr>
        <w:pStyle w:val="TOC2"/>
      </w:pPr>
      <w:hyperlink w:anchor="_Toc300001856" w:history="1">
        <w:r>
          <w:t>Article 53.5: Institutional Predictability Calendar</w:t>
        </w:r>
        <w:r>
          <w:tab/>
        </w:r>
        <w:r>
          <w:t>1813</w:t>
        </w:r>
      </w:hyperlink>
    </w:p>
    <w:p>
      <w:pPr>
        <w:pStyle w:val="TOC2"/>
      </w:pPr>
      <w:hyperlink w:anchor="_Toc300001857" w:history="1">
        <w:r>
          <w:t>Article 53.6: Learning Engine and Recursive Improvement</w:t>
        </w:r>
        <w:r>
          <w:tab/>
        </w:r>
        <w:r>
          <w:t>1814</w:t>
        </w:r>
      </w:hyperlink>
    </w:p>
    <w:p>
      <w:pPr>
        <w:pStyle w:val="TOC2"/>
      </w:pPr>
      <w:hyperlink w:anchor="_Toc300001858" w:history="1">
        <w:r>
          <w:t>Article 53.7: Outcome-Based Effectiveness Audit</w:t>
        </w:r>
        <w:r>
          <w:tab/>
        </w:r>
        <w:r>
          <w:t>1814</w:t>
        </w:r>
      </w:hyperlink>
    </w:p>
    <w:p>
      <w:pPr>
        <w:pStyle w:val="TOC2"/>
      </w:pPr>
      <w:hyperlink w:anchor="_Toc300001859" w:history="1">
        <w:r>
          <w:t>Article 53.8: Treaty Restraint Dashboard</w:t>
        </w:r>
        <w:r>
          <w:tab/>
        </w:r>
        <w:r>
          <w:t>1814</w:t>
        </w:r>
      </w:hyperlink>
    </w:p>
    <w:p>
      <w:pPr>
        <w:pStyle w:val="TOC1"/>
      </w:pPr>
      <w:hyperlink w:anchor="_Toc300001860" w:history="1">
        <w:r>
          <w:t>CHAPTER 54 PRIVATE-SECTOR CONTINUITY, INTEGRITY, AND COMMERCIAL EARLY WARNING</w:t>
        </w:r>
        <w:r>
          <w:tab/>
        </w:r>
        <w:r>
          <w:t>1816</w:t>
        </w:r>
      </w:hyperlink>
    </w:p>
    <w:p>
      <w:pPr>
        <w:pStyle w:val="TOC2"/>
      </w:pPr>
      <w:hyperlink w:anchor="_Toc300001861" w:history="1">
        <w:r>
          <w:t>Article 54.1: Private-Sector Compliance Principles</w:t>
        </w:r>
        <w:r>
          <w:tab/>
        </w:r>
        <w:r>
          <w:t>1816</w:t>
        </w:r>
      </w:hyperlink>
    </w:p>
    <w:p>
      <w:pPr>
        <w:pStyle w:val="TOC2"/>
      </w:pPr>
      <w:hyperlink w:anchor="_Toc300001862" w:history="1">
        <w:r>
          <w:t>Article 54.2: Commercial Friction Early Warning Channel</w:t>
        </w:r>
        <w:r>
          <w:tab/>
        </w:r>
        <w:r>
          <w:t>1816</w:t>
        </w:r>
      </w:hyperlink>
    </w:p>
    <w:p>
      <w:pPr>
        <w:pStyle w:val="TOC2"/>
      </w:pPr>
      <w:hyperlink w:anchor="_Toc300001863" w:history="1">
        <w:r>
          <w:t>Article 54.3: Business Continuity Safe Harbor</w:t>
        </w:r>
        <w:r>
          <w:tab/>
        </w:r>
        <w:r>
          <w:t>1816</w:t>
        </w:r>
      </w:hyperlink>
    </w:p>
    <w:p>
      <w:pPr>
        <w:pStyle w:val="TOC2"/>
      </w:pPr>
      <w:hyperlink w:anchor="_Toc300001864" w:history="1">
        <w:r>
          <w:t>Article 54.4: Continuity-Certified Supplier Program</w:t>
        </w:r>
        <w:r>
          <w:tab/>
        </w:r>
        <w:r>
          <w:t>1817</w:t>
        </w:r>
      </w:hyperlink>
    </w:p>
    <w:p>
      <w:pPr>
        <w:pStyle w:val="TOC2"/>
      </w:pPr>
      <w:hyperlink w:anchor="_Toc300001865" w:history="1">
        <w:r>
          <w:t>Article 54.5: Standing Expert Rotation and Independence</w:t>
        </w:r>
        <w:r>
          <w:tab/>
        </w:r>
        <w:r>
          <w:t>1817</w:t>
        </w:r>
      </w:hyperlink>
    </w:p>
    <w:p>
      <w:pPr>
        <w:pStyle w:val="TOC2"/>
      </w:pPr>
      <w:hyperlink w:anchor="_Toc300001866" w:history="1">
        <w:r>
          <w:t>Article 54.6: Treaty Integrity Function and Protected Reporting</w:t>
        </w:r>
        <w:r>
          <w:tab/>
        </w:r>
        <w:r>
          <w:t>1817</w:t>
        </w:r>
      </w:hyperlink>
    </w:p>
    <w:p>
      <w:pPr>
        <w:pStyle w:val="TOC1"/>
      </w:pPr>
      <w:hyperlink w:anchor="_Toc300001867" w:history="1">
        <w:r>
          <w:t>CHAPTER 55 STRATEGIC MATERIALS AND LOGISTICS CONTINUITY</w:t>
        </w:r>
        <w:r>
          <w:tab/>
        </w:r>
        <w:r>
          <w:t>1818</w:t>
        </w:r>
      </w:hyperlink>
    </w:p>
    <w:p>
      <w:pPr>
        <w:pStyle w:val="TOC2"/>
      </w:pPr>
      <w:hyperlink w:anchor="_Toc300001868" w:history="1">
        <w:r>
          <w:t>Article 55.1: Processed Strategic Materials Reserve Framework</w:t>
        </w:r>
        <w:r>
          <w:tab/>
        </w:r>
        <w:r>
          <w:t>1818</w:t>
        </w:r>
      </w:hyperlink>
    </w:p>
    <w:p>
      <w:pPr>
        <w:pStyle w:val="TOC2"/>
      </w:pPr>
      <w:hyperlink w:anchor="_Toc300001869" w:history="1">
        <w:r>
          <w:t>Article 55.2: Emergency Logistics Surge Arrangements</w:t>
        </w:r>
        <w:r>
          <w:tab/>
        </w:r>
        <w:r>
          <w:t>1818</w:t>
        </w:r>
      </w:hyperlink>
    </w:p>
    <w:p>
      <w:pPr>
        <w:pStyle w:val="TOC2"/>
      </w:pPr>
      <w:hyperlink w:anchor="_Toc300001870" w:history="1">
        <w:r>
          <w:t>Article 55.3: North American Trade Facilitation Corridors</w:t>
        </w:r>
        <w:r>
          <w:tab/>
        </w:r>
        <w:r>
          <w:t>1818</w:t>
        </w:r>
      </w:hyperlink>
    </w:p>
    <w:p>
      <w:pPr>
        <w:pStyle w:val="TOC2"/>
      </w:pPr>
      <w:hyperlink w:anchor="_Toc300001871" w:history="1">
        <w:r>
          <w:t>Article 55.4: Strategic Supply Pre-Investment and Capacity Mapping</w:t>
        </w:r>
        <w:r>
          <w:tab/>
        </w:r>
        <w:r>
          <w:t>1819</w:t>
        </w:r>
      </w:hyperlink>
    </w:p>
    <w:p>
      <w:pPr>
        <w:pStyle w:val="TOC2"/>
      </w:pPr>
      <w:hyperlink w:anchor="_Toc300001872" w:history="1">
        <w:r>
          <w:t>Article 55.5: Essential-Imports Continuity Principle</w:t>
        </w:r>
        <w:r>
          <w:tab/>
        </w:r>
        <w:r>
          <w:t>1819</w:t>
        </w:r>
      </w:hyperlink>
    </w:p>
    <w:p>
      <w:pPr>
        <w:pStyle w:val="TOC1"/>
      </w:pPr>
      <w:hyperlink w:anchor="_Toc300001874" w:history="1">
        <w:r>
          <w:t>CHAPTER 56 ADAPTIVE THRESHOLDS, INSTITUTIONAL MEMORY, AND CONTROLLED EXPERIMENTATION</w:t>
        </w:r>
        <w:r>
          <w:tab/>
        </w:r>
        <w:r>
          <w:t>1821</w:t>
        </w:r>
      </w:hyperlink>
    </w:p>
    <w:p>
      <w:pPr>
        <w:pStyle w:val="TOC2"/>
      </w:pPr>
      <w:hyperlink w:anchor="_Toc300001875" w:history="1">
        <w:r>
          <w:t>Article 56.1: Stability-Band Thresholds</w:t>
        </w:r>
        <w:r>
          <w:tab/>
        </w:r>
        <w:r>
          <w:t>1821</w:t>
        </w:r>
      </w:hyperlink>
    </w:p>
    <w:p>
      <w:pPr>
        <w:pStyle w:val="TOC2"/>
      </w:pPr>
      <w:hyperlink w:anchor="_Toc300001876" w:history="1">
        <w:r>
          <w:t>Article 56.2: Compliance History Decay and Clean-Record Restoration</w:t>
        </w:r>
        <w:r>
          <w:tab/>
        </w:r>
        <w:r>
          <w:t>1821</w:t>
        </w:r>
      </w:hyperlink>
    </w:p>
    <w:p>
      <w:pPr>
        <w:pStyle w:val="TOC2"/>
      </w:pPr>
      <w:hyperlink w:anchor="_Toc300001877" w:history="1">
        <w:r>
          <w:t>Article 56.3: Multi-Party Authorization Controls</w:t>
        </w:r>
        <w:r>
          <w:tab/>
        </w:r>
        <w:r>
          <w:t>1821</w:t>
        </w:r>
      </w:hyperlink>
    </w:p>
    <w:p>
      <w:pPr>
        <w:pStyle w:val="TOC2"/>
      </w:pPr>
      <w:hyperlink w:anchor="_Toc300001878" w:history="1">
        <w:r>
          <w:t>Article 56.4: Dormant Authority Expiry</w:t>
        </w:r>
        <w:r>
          <w:tab/>
        </w:r>
        <w:r>
          <w:t>1822</w:t>
        </w:r>
      </w:hyperlink>
    </w:p>
    <w:p>
      <w:pPr>
        <w:pStyle w:val="TOC2"/>
      </w:pPr>
      <w:hyperlink w:anchor="_Toc300001879" w:history="1">
        <w:r>
          <w:t>Article 56.5: Interpretive Uncertainty Register</w:t>
        </w:r>
        <w:r>
          <w:tab/>
        </w:r>
        <w:r>
          <w:t>1822</w:t>
        </w:r>
      </w:hyperlink>
    </w:p>
    <w:p>
      <w:pPr>
        <w:pStyle w:val="TOC2"/>
      </w:pPr>
      <w:hyperlink w:anchor="_Toc300001880" w:history="1">
        <w:r>
          <w:t>Article 56.6: Equivalent Implementation Pilot Framework</w:t>
        </w:r>
        <w:r>
          <w:tab/>
        </w:r>
        <w:r>
          <w:t>1822</w:t>
        </w:r>
      </w:hyperlink>
    </w:p>
    <w:p>
      <w:pPr>
        <w:pStyle w:val="TOC2"/>
      </w:pPr>
      <w:hyperlink w:anchor="_Toc300001881" w:history="1">
        <w:r>
          <w:t>Article 56.7: Tiered Trust and Privilege Unlocking</w:t>
        </w:r>
        <w:r>
          <w:tab/>
        </w:r>
        <w:r>
          <w:t>1823</w:t>
        </w:r>
      </w:hyperlink>
    </w:p>
    <w:p>
      <w:pPr>
        <w:pStyle w:val="TOC2"/>
      </w:pPr>
      <w:hyperlink w:anchor="_Toc300001882" w:history="1">
        <w:r>
          <w:t>Article 56.8: Equivalent Contribution Accounting</w:t>
        </w:r>
        <w:r>
          <w:tab/>
        </w:r>
        <w:r>
          <w:t>1823</w:t>
        </w:r>
      </w:hyperlink>
    </w:p>
    <w:p>
      <w:pPr>
        <w:pStyle w:val="TOC1"/>
      </w:pPr>
      <w:hyperlink w:anchor="_Toc300001883" w:history="1">
        <w:r>
          <w:t>CHAPTER 57 FAILURE CONTAINMENT, SERVICE CONTINUITY, AND DISTRIBUTED COORDINATION</w:t>
        </w:r>
        <w:r>
          <w:tab/>
        </w:r>
        <w:r>
          <w:t>1824</w:t>
        </w:r>
      </w:hyperlink>
    </w:p>
    <w:p>
      <w:pPr>
        <w:pStyle w:val="TOC2"/>
      </w:pPr>
      <w:hyperlink w:anchor="_Toc300001884" w:history="1">
        <w:r>
          <w:t>Article 57.1: Cross-Module Contagion Test</w:t>
        </w:r>
        <w:r>
          <w:tab/>
        </w:r>
        <w:r>
          <w:t>1824</w:t>
        </w:r>
      </w:hyperlink>
    </w:p>
    <w:p>
      <w:pPr>
        <w:pStyle w:val="TOC2"/>
      </w:pPr>
      <w:hyperlink w:anchor="_Toc300001885" w:history="1">
        <w:r>
          <w:t>Article 57.2: Institutional Continuity Transfer Rule</w:t>
        </w:r>
        <w:r>
          <w:tab/>
        </w:r>
        <w:r>
          <w:t>1824</w:t>
        </w:r>
      </w:hyperlink>
    </w:p>
    <w:p>
      <w:pPr>
        <w:pStyle w:val="TOC2"/>
      </w:pPr>
      <w:hyperlink w:anchor="_Toc300001886" w:history="1">
        <w:r>
          <w:t>Article 57.3: Degraded Operations and Controlled Restoration</w:t>
        </w:r>
        <w:r>
          <w:tab/>
        </w:r>
        <w:r>
          <w:t>1824</w:t>
        </w:r>
      </w:hyperlink>
    </w:p>
    <w:p>
      <w:pPr>
        <w:pStyle w:val="TOC2"/>
      </w:pPr>
      <w:hyperlink w:anchor="_Toc300001887" w:history="1">
        <w:r>
          <w:t>Article 57.4: Institutional Stall Detection</w:t>
        </w:r>
        <w:r>
          <w:tab/>
        </w:r>
        <w:r>
          <w:t>1824</w:t>
        </w:r>
      </w:hyperlink>
    </w:p>
    <w:p>
      <w:pPr>
        <w:pStyle w:val="TOC2"/>
      </w:pPr>
      <w:hyperlink w:anchor="_Toc300001888" w:history="1">
        <w:r>
          <w:t>Article 57.5: Direction-Specific Ratchets</w:t>
        </w:r>
        <w:r>
          <w:tab/>
        </w:r>
        <w:r>
          <w:t>1825</w:t>
        </w:r>
      </w:hyperlink>
    </w:p>
    <w:p>
      <w:pPr>
        <w:pStyle w:val="TOC2"/>
      </w:pPr>
      <w:hyperlink w:anchor="_Toc300001889" w:history="1">
        <w:r>
          <w:t>Article 57.6: Correlated Micro-Signal Review</w:t>
        </w:r>
        <w:r>
          <w:tab/>
        </w:r>
        <w:r>
          <w:t>1825</w:t>
        </w:r>
      </w:hyperlink>
    </w:p>
    <w:p>
      <w:pPr>
        <w:pStyle w:val="TOC2"/>
      </w:pPr>
      <w:hyperlink w:anchor="_Toc300001890" w:history="1">
        <w:r>
          <w:t>Article 57.7: Shared Operational State Framework</w:t>
        </w:r>
        <w:r>
          <w:tab/>
        </w:r>
        <w:r>
          <w:t>1825</w:t>
        </w:r>
      </w:hyperlink>
    </w:p>
    <w:p>
      <w:pPr>
        <w:pStyle w:val="TOC2"/>
      </w:pPr>
      <w:hyperlink w:anchor="_Toc300001891" w:history="1">
        <w:r>
          <w:t>Article 57.8: Pre-Scripted Redirection Paths</w:t>
        </w:r>
        <w:r>
          <w:tab/>
        </w:r>
        <w:r>
          <w:t>1826</w:t>
        </w:r>
      </w:hyperlink>
    </w:p>
    <w:p>
      <w:pPr>
        <w:pStyle w:val="TOC1"/>
      </w:pPr>
      <w:hyperlink w:anchor="_Toc300001892" w:history="1">
        <w:r>
          <w:t>CHAPTER 58 PROCEDURAL PARTICIPATION, REMEDY SAFEGUARDS, AND TECHNICAL INTEROPERABILITY</w:t>
        </w:r>
        <w:r>
          <w:tab/>
        </w:r>
        <w:r>
          <w:t>1827</w:t>
        </w:r>
      </w:hyperlink>
    </w:p>
    <w:p>
      <w:pPr>
        <w:pStyle w:val="TOC2"/>
      </w:pPr>
      <w:hyperlink w:anchor="_Toc300001893" w:history="1">
        <w:r>
          <w:t>Article 58.1: Structured Amicus Participation</w:t>
        </w:r>
        <w:r>
          <w:tab/>
        </w:r>
        <w:r>
          <w:t>1827</w:t>
        </w:r>
      </w:hyperlink>
    </w:p>
    <w:p>
      <w:pPr>
        <w:pStyle w:val="TOC2"/>
      </w:pPr>
      <w:hyperlink w:anchor="_Toc901200101" w:history="1">
        <w:r>
          <w:t>Article 58.2: Stage 8 Collateral-Harm Interface</w:t>
        </w:r>
        <w:r>
          <w:tab/>
        </w:r>
        <w:r>
          <w:t>1827</w:t>
        </w:r>
      </w:hyperlink>
    </w:p>
    <w:p>
      <w:pPr>
        <w:pStyle w:val="TOC2"/>
      </w:pPr>
      <w:hyperlink w:anchor="_Toc300001895" w:history="1">
        <w:r>
          <w:t>Article 58.3: Post-Ruling Compliance Audit</w:t>
        </w:r>
        <w:r>
          <w:tab/>
        </w:r>
        <w:r>
          <w:t>1828</w:t>
        </w:r>
      </w:hyperlink>
    </w:p>
    <w:p>
      <w:pPr>
        <w:pStyle w:val="TOC2"/>
      </w:pPr>
      <w:hyperlink w:anchor="_Toc300001896" w:history="1">
        <w:r>
          <w:t>Article 58.4: Interim Preservation Orders</w:t>
        </w:r>
        <w:r>
          <w:tab/>
        </w:r>
        <w:r>
          <w:t>1828</w:t>
        </w:r>
      </w:hyperlink>
    </w:p>
    <w:p>
      <w:pPr>
        <w:pStyle w:val="TOC2"/>
      </w:pPr>
      <w:hyperlink w:anchor="_Toc300001897" w:history="1">
        <w:r>
          <w:t>Article 58.5: Steel and Aluminum Provenance Interoperability</w:t>
        </w:r>
        <w:r>
          <w:tab/>
        </w:r>
        <w:r>
          <w:t>1829</w:t>
        </w:r>
      </w:hyperlink>
    </w:p>
    <w:p>
      <w:pPr>
        <w:pStyle w:val="TOC2"/>
      </w:pPr>
      <w:hyperlink w:anchor="_Toc300001898" w:history="1">
        <w:r>
          <w:t>Article 58.6: Strategic Reserve Mutual Assistance</w:t>
        </w:r>
        <w:r>
          <w:tab/>
        </w:r>
        <w:r>
          <w:t>1829</w:t>
        </w:r>
      </w:hyperlink>
    </w:p>
    <w:p>
      <w:pPr>
        <w:pStyle w:val="TOC2"/>
      </w:pPr>
      <w:hyperlink w:anchor="_Toc300001899" w:history="1">
        <w:r>
          <w:t>Article 58.7: AI Assurance Mutual Recognition</w:t>
        </w:r>
        <w:r>
          <w:tab/>
        </w:r>
        <w:r>
          <w:t>1829</w:t>
        </w:r>
      </w:hyperlink>
    </w:p>
    <w:p>
      <w:pPr>
        <w:pStyle w:val="TOC2"/>
      </w:pPr>
      <w:hyperlink w:anchor="_Toc300001900" w:history="1">
        <w:r>
          <w:t>Article 58.8: Interoperable Trade Identity and Signature</w:t>
        </w:r>
        <w:r>
          <w:tab/>
        </w:r>
        <w:r>
          <w:t>1829</w:t>
        </w:r>
      </w:hyperlink>
    </w:p>
    <w:p>
      <w:pPr>
        <w:pStyle w:val="TOC2"/>
      </w:pPr>
      <w:hyperlink w:anchor="_Toc300001901" w:history="1">
        <w:r>
          <w:t>Article 58.9: Transboundary Environmental Emergency Protocol</w:t>
        </w:r>
        <w:r>
          <w:tab/>
        </w:r>
        <w:r>
          <w:t>1830</w:t>
        </w:r>
      </w:hyperlink>
    </w:p>
    <w:p>
      <w:pPr>
        <w:pStyle w:val="TOC2"/>
      </w:pPr>
      <w:hyperlink w:anchor="_Toc300001902" w:history="1">
        <w:r>
          <w:t>Article 58.10: Embedded-Carbon Measurement Interoperability</w:t>
        </w:r>
        <w:r>
          <w:tab/>
        </w:r>
        <w:r>
          <w:t>1830</w:t>
        </w:r>
      </w:hyperlink>
    </w:p>
    <w:p>
      <w:pPr>
        <w:pStyle w:val="TOC2"/>
      </w:pPr>
      <w:hyperlink w:anchor="_Toc300001903" w:history="1">
        <w:r>
          <w:t>Article 58.11: Emergency Energy Equipment Facilitation</w:t>
        </w:r>
        <w:r>
          <w:tab/>
        </w:r>
        <w:r>
          <w:t>1830</w:t>
        </w:r>
      </w:hyperlink>
    </w:p>
    <w:p>
      <w:pPr>
        <w:pStyle w:val="TOC2"/>
      </w:pPr>
      <w:hyperlink w:anchor="_Toc300001904" w:history="1">
        <w:r>
          <w:t>Article 58.12: Public Treaty Improvement Portal</w:t>
        </w:r>
        <w:r>
          <w:tab/>
        </w:r>
        <w:r>
          <w:t>1830</w:t>
        </w:r>
      </w:hyperlink>
    </w:p>
    <w:p>
      <w:pPr>
        <w:pStyle w:val="TOC2"/>
      </w:pPr>
      <w:hyperlink w:anchor="_Toc300001905" w:history="1">
        <w:r>
          <w:t>Article 58.12A: Trusted-Technology Border Modernization</w:t>
        </w:r>
        <w:r>
          <w:tab/>
        </w:r>
        <w:r>
          <w:t>1831</w:t>
        </w:r>
      </w:hyperlink>
    </w:p>
    <w:p>
      <w:pPr>
        <w:pStyle w:val="TOC2"/>
      </w:pPr>
      <w:hyperlink w:anchor="_Toc300001906" w:history="1">
        <w:r>
          <w:t>Article 58.13: Secretariat Funding Continuity</w:t>
        </w:r>
        <w:r>
          <w:tab/>
        </w:r>
        <w:r>
          <w:t>1831</w:t>
        </w:r>
      </w:hyperlink>
    </w:p>
    <w:p>
      <w:pPr>
        <w:pStyle w:val="TOC1"/>
      </w:pPr>
      <w:hyperlink w:anchor="_Toc300001907" w:history="1">
        <w:r>
          <w:t>CHAPTER 59 NORTH AMERICAN AUTOMOTIVE INTEGRATION, RESILIENCE, AND ENHANCED ORIGIN</w:t>
        </w:r>
        <w:r>
          <w:tab/>
        </w:r>
        <w:r>
          <w:t>1832</w:t>
        </w:r>
      </w:hyperlink>
    </w:p>
    <w:p>
      <w:pPr>
        <w:pStyle w:val="TOC2"/>
      </w:pPr>
      <w:hyperlink w:anchor="_Toc300001908" w:history="1">
        <w:r>
          <w:t>Article 59.1: Objectives and Governing Principles</w:t>
        </w:r>
        <w:r>
          <w:tab/>
        </w:r>
        <w:r>
          <w:t>1832</w:t>
        </w:r>
      </w:hyperlink>
    </w:p>
    <w:p>
      <w:pPr>
        <w:pStyle w:val="TOC2"/>
      </w:pPr>
      <w:hyperlink w:anchor="_Toc300001909" w:history="1">
        <w:r>
          <w:t>Article 59.2: Standard, High Integration, and Strategic Integration North American Automotive Origin</w:t>
        </w:r>
        <w:r>
          <w:tab/>
        </w:r>
        <w:r>
          <w:t>1833</w:t>
        </w:r>
      </w:hyperlink>
    </w:p>
    <w:p>
      <w:pPr>
        <w:pStyle w:val="TOC2"/>
      </w:pPr>
      <w:hyperlink w:anchor="_Toc300001910" w:history="1">
        <w:r>
          <w:t>Article 59.3: Strategic Component Points System</w:t>
        </w:r>
        <w:r>
          <w:tab/>
        </w:r>
        <w:r>
          <w:t>1834</w:t>
        </w:r>
      </w:hyperlink>
    </w:p>
    <w:p>
      <w:pPr>
        <w:pStyle w:val="TOC2"/>
      </w:pPr>
      <w:hyperlink w:anchor="_Toc300001911" w:history="1">
        <w:r>
          <w:t>Article 59.4: Automotive Supplier Declaration, Advance Ruling, and Good-Faith Cure</w:t>
        </w:r>
        <w:r>
          <w:tab/>
        </w:r>
        <w:r>
          <w:t>1835</w:t>
        </w:r>
      </w:hyperlink>
    </w:p>
    <w:p>
      <w:pPr>
        <w:pStyle w:val="TOC2"/>
      </w:pPr>
      <w:hyperlink w:anchor="_Toc300001912" w:history="1">
        <w:r>
          <w:t>Article 59.5: Non-North-American-Value Tariff Pilot and Valuation Architecture</w:t>
        </w:r>
        <w:r>
          <w:tab/>
        </w:r>
        <w:r>
          <w:t>1836</w:t>
        </w:r>
      </w:hyperlink>
    </w:p>
    <w:p>
      <w:pPr>
        <w:pStyle w:val="TOC2"/>
      </w:pPr>
      <w:hyperlink w:anchor="_Toc300001913" w:history="1">
        <w:r>
          <w:t>Article 59.6: Capacity-Gap Transitional Import and Build-the-Gap Pathway</w:t>
        </w:r>
        <w:r>
          <w:tab/>
        </w:r>
        <w:r>
          <w:t>1837</w:t>
        </w:r>
      </w:hyperlink>
    </w:p>
    <w:p>
      <w:pPr>
        <w:pStyle w:val="TOC2"/>
      </w:pPr>
      <w:hyperlink w:anchor="_Toc300001914" w:history="1">
        <w:r>
          <w:t>Article 59.7: North American Automotive Capacity, Investment, and Nearshoring Platform</w:t>
        </w:r>
        <w:r>
          <w:tab/>
        </w:r>
        <w:r>
          <w:t>1838</w:t>
        </w:r>
      </w:hyperlink>
    </w:p>
    <w:p>
      <w:pPr>
        <w:pStyle w:val="TOC2"/>
      </w:pPr>
      <w:hyperlink w:anchor="_Toc300001915" w:history="1">
        <w:r>
          <w:t>Article 59.8: Supplier Second-Source and Resilience Ladder</w:t>
        </w:r>
        <w:r>
          <w:tab/>
        </w:r>
        <w:r>
          <w:t>1838</w:t>
        </w:r>
      </w:hyperlink>
    </w:p>
    <w:p>
      <w:pPr>
        <w:pStyle w:val="TOC2"/>
      </w:pPr>
      <w:hyperlink w:anchor="_Toc300001916" w:history="1">
        <w:r>
          <w:t>Article 59.9: Trusted Automotive Trade Corridor and Virtual In-Bond System</w:t>
        </w:r>
        <w:r>
          <w:tab/>
        </w:r>
        <w:r>
          <w:t>1838</w:t>
        </w:r>
      </w:hyperlink>
    </w:p>
    <w:p>
      <w:pPr>
        <w:pStyle w:val="TOC2"/>
      </w:pPr>
      <w:hyperlink w:anchor="_Toc300001917" w:history="1">
        <w:r>
          <w:t>Article 59.10: Battery, Strategic Material, and Circular Automotive Lifecycle</w:t>
        </w:r>
        <w:r>
          <w:tab/>
        </w:r>
        <w:r>
          <w:t>1838</w:t>
        </w:r>
      </w:hyperlink>
    </w:p>
    <w:p>
      <w:pPr>
        <w:pStyle w:val="TOC2"/>
      </w:pPr>
      <w:hyperlink w:anchor="_Toc300001918" w:history="1">
        <w:r>
          <w:t>Article 59.11: Semiconductor and Strategic Electronics Resilience</w:t>
        </w:r>
        <w:r>
          <w:tab/>
        </w:r>
        <w:r>
          <w:t>1838</w:t>
        </w:r>
      </w:hyperlink>
    </w:p>
    <w:p>
      <w:pPr>
        <w:pStyle w:val="TOC2"/>
      </w:pPr>
      <w:hyperlink w:anchor="_Toc300001919" w:history="1">
        <w:r>
          <w:t>Article 59.12: Automotive Mutual Recognition, Open Interfaces, and Repair Interoperability</w:t>
        </w:r>
        <w:r>
          <w:tab/>
        </w:r>
        <w:r>
          <w:t>1839</w:t>
        </w:r>
      </w:hyperlink>
    </w:p>
    <w:p>
      <w:pPr>
        <w:pStyle w:val="TOC2"/>
      </w:pPr>
      <w:hyperlink w:anchor="_Toc300001920" w:history="1">
        <w:r>
          <w:t>Article 59.13: Vehicle Lifecycle Passport and Secondary-Market Integrity</w:t>
        </w:r>
        <w:r>
          <w:tab/>
        </w:r>
        <w:r>
          <w:t>1839</w:t>
        </w:r>
      </w:hyperlink>
    </w:p>
    <w:p>
      <w:pPr>
        <w:pStyle w:val="TOC2"/>
      </w:pPr>
      <w:hyperlink w:anchor="_Toc300001921" w:history="1">
        <w:r>
          <w:t>Article 59.14: Automotive Skills, Credentials, Mobility, and Workforce Transition</w:t>
        </w:r>
        <w:r>
          <w:tab/>
        </w:r>
        <w:r>
          <w:t>1840</w:t>
        </w:r>
      </w:hyperlink>
    </w:p>
    <w:p>
      <w:pPr>
        <w:pStyle w:val="TOC2"/>
      </w:pPr>
      <w:hyperlink w:anchor="_Toc300001922" w:history="1">
        <w:r>
          <w:t>Article 59.15: Precompetitive Research Commons, Innovation Labs, and Grand Challenges</w:t>
        </w:r>
        <w:r>
          <w:tab/>
        </w:r>
        <w:r>
          <w:t>1840</w:t>
        </w:r>
      </w:hyperlink>
    </w:p>
    <w:p>
      <w:pPr>
        <w:pStyle w:val="TOC2"/>
      </w:pPr>
      <w:hyperlink w:anchor="_Toc300001923" w:history="1">
        <w:r>
          <w:t>Article 59.16: Automotive Cybersecurity, AI Assurance, and Connected-Vehicle Cooperation</w:t>
        </w:r>
        <w:r>
          <w:tab/>
        </w:r>
        <w:r>
          <w:t>1841</w:t>
        </w:r>
      </w:hyperlink>
    </w:p>
    <w:p>
      <w:pPr>
        <w:pStyle w:val="TOC2"/>
      </w:pPr>
      <w:hyperlink w:anchor="_Toc300001924" w:history="1">
        <w:r>
          <w:t>Article 59.17: Infrastructure, Grid, Water, Logistics, and All-Hazards Resilience</w:t>
        </w:r>
        <w:r>
          <w:tab/>
        </w:r>
        <w:r>
          <w:t>1841</w:t>
        </w:r>
      </w:hyperlink>
    </w:p>
    <w:p>
      <w:pPr>
        <w:pStyle w:val="TOC2"/>
      </w:pPr>
      <w:hyperlink w:anchor="_Toc300001925" w:history="1">
        <w:r>
          <w:t>Article 59.18: Sustainable Materials and Environmental Performance</w:t>
        </w:r>
        <w:r>
          <w:tab/>
        </w:r>
        <w:r>
          <w:t>1842</w:t>
        </w:r>
      </w:hyperlink>
    </w:p>
    <w:p>
      <w:pPr>
        <w:pStyle w:val="TOC2"/>
      </w:pPr>
      <w:hyperlink w:anchor="_Toc300001926" w:history="1">
        <w:r>
          <w:t>Article 59.19: Cothrom Automotive Stabilizer and Crisis Management</w:t>
        </w:r>
        <w:r>
          <w:tab/>
        </w:r>
        <w:r>
          <w:t>1842</w:t>
        </w:r>
      </w:hyperlink>
    </w:p>
    <w:p>
      <w:pPr>
        <w:pStyle w:val="TOC2"/>
      </w:pPr>
      <w:hyperlink w:anchor="_Toc300001927" w:history="1">
        <w:r>
          <w:t>Article 59.20: Automotive Performance Dashboard, Machine-Readable Rules, and Rolling Horizons</w:t>
        </w:r>
        <w:r>
          <w:tab/>
        </w:r>
        <w:r>
          <w:t>1843</w:t>
        </w:r>
      </w:hyperlink>
    </w:p>
    <w:p>
      <w:pPr>
        <w:pStyle w:val="TOC2"/>
      </w:pPr>
      <w:hyperlink w:anchor="_Toc300001928" w:history="1">
        <w:r>
          <w:t>Article 59.21: Relationship to Other Chapters and Non-Derogation</w:t>
        </w:r>
        <w:r>
          <w:tab/>
        </w:r>
        <w:r>
          <w:t>1844</w:t>
        </w:r>
      </w:hyperlink>
    </w:p>
    <w:p>
      <w:pPr>
        <w:pStyle w:val="TOC2"/>
      </w:pPr>
      <w:hyperlink w:anchor="_Toc300001929" w:history="1">
        <w:r>
          <w:t>Article 59.22: Mexican Automotive Tariff Normalization and Continental Additionality</w:t>
        </w:r>
        <w:r>
          <w:tab/>
        </w:r>
        <w:r>
          <w:t>1844</w:t>
        </w:r>
      </w:hyperlink>
    </w:p>
    <w:p>
      <w:pPr>
        <w:pStyle w:val="TOC2"/>
      </w:pPr>
      <w:hyperlink w:anchor="_Toc300001930" w:history="1">
        <w:r>
          <w:t>Article 59.22A: Automotive Full-Scope and Anti-Cherry-Picking Guarantee</w:t>
        </w:r>
        <w:r>
          <w:tab/>
        </w:r>
        <w:r>
          <w:t>1844</w:t>
        </w:r>
      </w:hyperlink>
    </w:p>
    <w:p>
      <w:pPr>
        <w:pStyle w:val="TOC2"/>
      </w:pPr>
      <w:hyperlink w:anchor="_Toc300001931" w:history="1">
        <w:r>
          <w:t>Article 59.23: Automotive Platform and Model-Family Content Banking</w:t>
        </w:r>
        <w:r>
          <w:tab/>
        </w:r>
        <w:r>
          <w:t>1845</w:t>
        </w:r>
      </w:hyperlink>
    </w:p>
    <w:p>
      <w:pPr>
        <w:pStyle w:val="TOC2"/>
      </w:pPr>
      <w:hyperlink w:anchor="_Toc300001932" w:history="1">
        <w:r>
          <w:t>Article 59.24: Automotive Qualification Commons and Shared Failure Analysis</w:t>
        </w:r>
        <w:r>
          <w:tab/>
        </w:r>
        <w:r>
          <w:t>1846</w:t>
        </w:r>
      </w:hyperlink>
    </w:p>
    <w:p>
      <w:pPr>
        <w:pStyle w:val="TOC2"/>
      </w:pPr>
      <w:hyperlink w:anchor="_Toc300001933" w:history="1">
        <w:r>
          <w:t>Article 59.25: Investment-Linked Transitional Tariff Credit</w:t>
        </w:r>
        <w:r>
          <w:tab/>
        </w:r>
        <w:r>
          <w:t>1846</w:t>
        </w:r>
      </w:hyperlink>
    </w:p>
    <w:p>
      <w:pPr>
        <w:pStyle w:val="TOC2"/>
      </w:pPr>
      <w:hyperlink w:anchor="_Toc300001934" w:history="1">
        <w:r>
          <w:t>ANNEX 59-A: AUTOMOTIVE HIGH INTEGRATION AND STRATEGIC INTEGRATION IMPLEMENTATION FRAMEWORK</w:t>
        </w:r>
        <w:r>
          <w:tab/>
        </w:r>
        <w:r>
          <w:t>1847</w:t>
        </w:r>
      </w:hyperlink>
    </w:p>
    <w:p>
      <w:pPr>
        <w:pStyle w:val="TOC2"/>
      </w:pPr>
      <w:hyperlink w:anchor="_Toc300001935" w:history="1">
        <w:r>
          <w:t>Article 59.5A: North American Automotive Settlement Rate and Earned Integration Credits</w:t>
        </w:r>
        <w:r>
          <w:tab/>
        </w:r>
        <w:r>
          <w:t>1849</w:t>
        </w:r>
      </w:hyperlink>
    </w:p>
    <w:p>
      <w:pPr>
        <w:pStyle w:val="TOC2"/>
      </w:pPr>
      <w:hyperlink w:anchor="_Toc300001936" w:history="1">
        <w:r>
          <w:t>ANNEX 59-B: AUTOMOTIVE SETTLEMENT AND INCENTIVE BACKLOG FRAMEWORK</w:t>
        </w:r>
        <w:r>
          <w:tab/>
        </w:r>
        <w:r>
          <w:t>1852</w:t>
        </w:r>
      </w:hyperlink>
    </w:p>
    <w:p>
      <w:pPr>
        <w:pStyle w:val="TOC1"/>
      </w:pPr>
      <w:hyperlink w:anchor="_Toc300001937" w:history="1">
        <w:r>
          <w:t>PACKAGE X: AUTOMOTIVE SETTLEMENT AND EARNED-INTEGRATION ARCHITECTURE (v4.3), DEVELOPMENT PROVENANCE AFTER ANNEX 59-C INTEGRATION</w:t>
        </w:r>
        <w:r>
          <w:tab/>
        </w:r>
        <w:r>
          <w:t>1856</w:t>
        </w:r>
      </w:hyperlink>
    </w:p>
    <w:p>
      <w:pPr>
        <w:pStyle w:val="TOC2"/>
      </w:pPr>
      <w:hyperlink w:anchor="_Toc300001938" w:history="1">
        <w:r>
          <w:t>PACKAGE W: AUTOMOTIVE INTEGRATION, ENHANCED ORIGIN, AND RESILIENCE</w:t>
        </w:r>
        <w:r>
          <w:tab/>
        </w:r>
        <w:r>
          <w:t>1856</w:t>
        </w:r>
      </w:hyperlink>
    </w:p>
    <w:p>
      <w:pPr>
        <w:pStyle w:val="TOC2"/>
      </w:pPr>
      <w:hyperlink w:anchor="_Toc300001939" w:history="1">
        <w:r>
          <w:t>Article 59.26: Automotive Administrative Implementation Standard</w:t>
        </w:r>
        <w:r>
          <w:tab/>
        </w:r>
        <w:r>
          <w:t>1856</w:t>
        </w:r>
      </w:hyperlink>
    </w:p>
    <w:p>
      <w:pPr>
        <w:pStyle w:val="TOC1"/>
      </w:pPr>
      <w:hyperlink w:anchor="_Toc300001940" w:history="1">
        <w:r>
          <w:t>ANNEX 59-C: AUTOMOTIVE REGIONAL INTEGRATION AND FINAL SETTLEMENT PROTOCOL</w:t>
        </w:r>
        <w:r>
          <w:tab/>
        </w:r>
        <w:r>
          <w:t>1858</w:t>
        </w:r>
      </w:hyperlink>
    </w:p>
    <w:p>
      <w:pPr>
        <w:pStyle w:val="TOC2"/>
      </w:pPr>
      <w:hyperlink w:anchor="_Toc300001941" w:history="1">
        <w:r>
          <w:t>FS-03.1: Purpose, Existing-Law Relationship, and Settlement Selection Rule</w:t>
        </w:r>
        <w:r>
          <w:tab/>
        </w:r>
        <w:r>
          <w:t>1858</w:t>
        </w:r>
      </w:hyperlink>
    </w:p>
    <w:p>
      <w:pPr>
        <w:pStyle w:val="TOC2"/>
      </w:pPr>
      <w:hyperlink w:anchor="_Toc300001942" w:history="1">
        <w:r>
          <w:t>FS-03.2: Ordinary Origin, Regional Integration, and Domestic Additionality</w:t>
        </w:r>
        <w:r>
          <w:tab/>
        </w:r>
        <w:r>
          <w:t>1858</w:t>
        </w:r>
      </w:hyperlink>
    </w:p>
    <w:p>
      <w:pPr>
        <w:pStyle w:val="TOC2"/>
      </w:pPr>
      <w:hyperlink w:anchor="_Toc300001943" w:history="1">
        <w:r>
          <w:t>FS-03.3: Automotive Final Settlement Schedule</w:t>
        </w:r>
        <w:r>
          <w:tab/>
        </w:r>
        <w:r>
          <w:t>1860</w:t>
        </w:r>
      </w:hyperlink>
    </w:p>
    <w:p>
      <w:pPr>
        <w:pStyle w:val="TOC2"/>
      </w:pPr>
      <w:hyperlink w:anchor="_Toc300001944" w:history="1">
        <w:r>
          <w:t>FS-03.4: Reciprocal Automotive Stand-Down and FS-01 Interface</w:t>
        </w:r>
        <w:r>
          <w:tab/>
        </w:r>
        <w:r>
          <w:t>1862</w:t>
        </w:r>
      </w:hyperlink>
    </w:p>
    <w:p>
      <w:pPr>
        <w:pStyle w:val="TOC2"/>
      </w:pPr>
      <w:hyperlink w:anchor="_Toc300001945" w:history="1">
        <w:r>
          <w:t>FS-03.5: Administration, Classification Continuity, and Change Control</w:t>
        </w:r>
        <w:r>
          <w:tab/>
        </w:r>
        <w:r>
          <w:t>1863</w:t>
        </w:r>
      </w:hyperlink>
    </w:p>
    <w:p>
      <w:pPr>
        <w:pStyle w:val="TOC2"/>
      </w:pPr>
      <w:hyperlink w:anchor="_Toc300001946" w:history="1">
        <w:r>
          <w:t>FS-03.6: Cothrom Stabilization, Review, Restoration, and Closure</w:t>
        </w:r>
        <w:r>
          <w:tab/>
        </w:r>
        <w:r>
          <w:t>1864</w:t>
        </w:r>
      </w:hyperlink>
    </w:p>
    <w:p>
      <w:pPr>
        <w:pStyle w:val="TOC2"/>
      </w:pPr>
      <w:hyperlink w:anchor="_Toc300001947" w:history="1">
        <w:r>
          <w:t>SCHEDULE FS-03-A: CORE AUTOMOTIVE FINAL SETTLEMENT TERMS, DEVELOPMENT TEMPLATE: NON-OPERATIVE UNTIL ADOPTED</w:t>
        </w:r>
        <w:r>
          <w:tab/>
        </w:r>
        <w:r>
          <w:t>1865</w:t>
        </w:r>
      </w:hyperlink>
    </w:p>
    <w:p>
      <w:pPr>
        <w:pStyle w:val="TOC2"/>
      </w:pPr>
      <w:hyperlink w:anchor="_Toc300001948" w:history="1">
        <w:r>
          <w:t>SCHEDULE FS-03-B: SELECTED AUTOMOTIVE EARNED BENEFITS, DEVELOPMENT TEMPLATE: NON-OPERATIVE UNTIL ADOPTED</w:t>
        </w:r>
        <w:r>
          <w:tab/>
        </w:r>
        <w:r>
          <w:t>1866</w:t>
        </w:r>
      </w:hyperlink>
    </w:p>
    <w:p>
      <w:pPr>
        <w:pStyle w:val="TOC2"/>
      </w:pPr>
      <w:hyperlink w:anchor="_Toc300001949" w:history="1">
        <w:r>
          <w:t>REQUIRED ADOPTED-SCHEDULE DATA</w:t>
        </w:r>
        <w:r>
          <w:tab/>
        </w:r>
        <w:r>
          <w:t>1867</w:t>
        </w:r>
      </w:hyperlink>
    </w:p>
    <w:p>
      <w:pPr>
        <w:pStyle w:val="TOC2"/>
      </w:pPr>
      <w:hyperlink w:anchor="_Toc300001950" w:history="1">
        <w:r>
          <w:t>DEVELOPMENT RED LIGHTS: NON-OPERATIVE DRAFTING CONTROLS</w:t>
        </w:r>
        <w:r>
          <w:tab/>
        </w:r>
        <w:r>
          <w:t>1868</w:t>
        </w:r>
      </w:hyperlink>
    </w:p>
    <w:p>
      <w:pPr>
        <w:pStyle w:val="TOC2"/>
      </w:pPr>
      <w:hyperlink w:anchor="_Toc300001951" w:history="1">
        <w:r>
          <w:t>MODULE INTERFACE REFERENCE: EXTRACT OF THE FS-00 FINAL SETTLEMENT INTEGRATION MAP</w:t>
        </w:r>
        <w:r>
          <w:tab/>
        </w:r>
        <w:r>
          <w:t>1868</w:t>
        </w:r>
      </w:hyperlink>
    </w:p>
    <w:p>
      <w:pPr>
        <w:pStyle w:val="TOC1"/>
      </w:pPr>
      <w:hyperlink w:anchor="_Toc300001952" w:history="1">
        <w:r>
          <w:t>CHAPTER 60 CROSS-BORDER ENFORCEMENT SOVEREIGNTY, DATA PURPOSE LIMITATION, AND PROTECTED COOPERATION</w:t>
        </w:r>
        <w:r>
          <w:tab/>
        </w:r>
        <w:r>
          <w:t>1870</w:t>
        </w:r>
      </w:hyperlink>
    </w:p>
    <w:p>
      <w:pPr>
        <w:pStyle w:val="TOC2"/>
      </w:pPr>
      <w:hyperlink w:anchor="_Toc300001953" w:history="1">
        <w:r>
          <w:t>Article 60.1: Territorial Sovereignty and Non-Delegation of Enforcement Authority</w:t>
        </w:r>
        <w:r>
          <w:tab/>
        </w:r>
        <w:r>
          <w:t>1870</w:t>
        </w:r>
      </w:hyperlink>
    </w:p>
    <w:p>
      <w:pPr>
        <w:pStyle w:val="TOC2"/>
      </w:pPr>
      <w:hyperlink w:anchor="_Toc300001954" w:history="1">
        <w:r>
          <w:t>Article 60.2: Treaty Data Shall Not Create General Immigration-Enforcement Authority</w:t>
        </w:r>
        <w:r>
          <w:tab/>
        </w:r>
        <w:r>
          <w:t>1870</w:t>
        </w:r>
      </w:hyperlink>
    </w:p>
    <w:p>
      <w:pPr>
        <w:pStyle w:val="TOC2"/>
      </w:pPr>
      <w:hyperlink w:anchor="_Toc300001955" w:history="1">
        <w:r>
          <w:t>Article 60.3: Purpose Limitation, Necessity, and Data Minimization</w:t>
        </w:r>
        <w:r>
          <w:tab/>
        </w:r>
        <w:r>
          <w:t>1870</w:t>
        </w:r>
      </w:hyperlink>
    </w:p>
    <w:p>
      <w:pPr>
        <w:pStyle w:val="TOC2"/>
      </w:pPr>
      <w:hyperlink w:anchor="_Toc300001956" w:history="1">
        <w:r>
          <w:t>Article 60.4: Sensitive Institutions and Humanitarian Information Firewall</w:t>
        </w:r>
        <w:r>
          <w:tab/>
        </w:r>
        <w:r>
          <w:t>1871</w:t>
        </w:r>
      </w:hyperlink>
    </w:p>
    <w:p>
      <w:pPr>
        <w:pStyle w:val="TOC2"/>
      </w:pPr>
      <w:hyperlink w:anchor="_Toc300001957" w:history="1">
        <w:r>
          <w:t>Article 60.5: Foreign Enforcement Officer Stand-Down Protocol</w:t>
        </w:r>
        <w:r>
          <w:tab/>
        </w:r>
        <w:r>
          <w:t>1871</w:t>
        </w:r>
      </w:hyperlink>
    </w:p>
    <w:p>
      <w:pPr>
        <w:pStyle w:val="TOC2"/>
      </w:pPr>
      <w:hyperlink w:anchor="_Toc300001958" w:history="1">
        <w:r>
          <w:t>Article 60.6: Non-Discrimination in Treaty-Enabled Enforcement Cooperation</w:t>
        </w:r>
        <w:r>
          <w:tab/>
        </w:r>
        <w:r>
          <w:t>1871</w:t>
        </w:r>
      </w:hyperlink>
    </w:p>
    <w:p>
      <w:pPr>
        <w:pStyle w:val="TOC2"/>
      </w:pPr>
      <w:hyperlink w:anchor="_Toc300001959" w:history="1">
        <w:r>
          <w:t>Article 60.7: No Automatic Execution of Foreign Civil Immigration Measures</w:t>
        </w:r>
        <w:r>
          <w:tab/>
        </w:r>
        <w:r>
          <w:t>1871</w:t>
        </w:r>
      </w:hyperlink>
    </w:p>
    <w:p>
      <w:pPr>
        <w:pStyle w:val="TOC2"/>
      </w:pPr>
      <w:hyperlink w:anchor="_Toc300001960" w:history="1">
        <w:r>
          <w:t>Article 60.8: Oversight, Complaint, and Remedy</w:t>
        </w:r>
        <w:r>
          <w:tab/>
        </w:r>
        <w:r>
          <w:t>1872</w:t>
        </w:r>
      </w:hyperlink>
    </w:p>
    <w:p>
      <w:pPr>
        <w:pStyle w:val="TOC1"/>
      </w:pPr>
      <w:hyperlink w:anchor="_Toc300001961" w:history="1">
        <w:r>
          <w:t>CHAPTER 61 NORTH AMERICAN DEFENSE-INDUSTRIAL MATERIALS, CAPACITY, AND PROCUREMENT RESILIENCE</w:t>
        </w:r>
        <w:r>
          <w:tab/>
        </w:r>
        <w:r>
          <w:t>1873</w:t>
        </w:r>
      </w:hyperlink>
    </w:p>
    <w:p>
      <w:pPr>
        <w:pStyle w:val="TOC2"/>
      </w:pPr>
      <w:hyperlink w:anchor="_Toc300001962" w:history="1">
        <w:r>
          <w:t>Article 61.1: Objectives</w:t>
        </w:r>
        <w:r>
          <w:tab/>
        </w:r>
        <w:r>
          <w:t>1873</w:t>
        </w:r>
      </w:hyperlink>
    </w:p>
    <w:p>
      <w:pPr>
        <w:pStyle w:val="TOC2"/>
      </w:pPr>
      <w:hyperlink w:anchor="_Toc300001963" w:history="1">
        <w:r>
          <w:t>Article 61.2: Defense-Industrial Materials Security Lane</w:t>
        </w:r>
        <w:r>
          <w:tab/>
        </w:r>
        <w:r>
          <w:t>1873</w:t>
        </w:r>
      </w:hyperlink>
    </w:p>
    <w:p>
      <w:pPr>
        <w:pStyle w:val="TOC2"/>
      </w:pPr>
      <w:hyperlink w:anchor="_Toc300001964" w:history="1">
        <w:r>
          <w:t>Article 61.3: Long-Term Offtake and Demand-Signal Framework</w:t>
        </w:r>
        <w:r>
          <w:tab/>
        </w:r>
        <w:r>
          <w:t>1873</w:t>
        </w:r>
      </w:hyperlink>
    </w:p>
    <w:p>
      <w:pPr>
        <w:pStyle w:val="TOC2"/>
      </w:pPr>
      <w:hyperlink w:anchor="_Toc300001965" w:history="1">
        <w:r>
          <w:t>Article 61.4: Reciprocal Supplier Qualification and Procurement Access</w:t>
        </w:r>
        <w:r>
          <w:tab/>
        </w:r>
        <w:r>
          <w:t>1874</w:t>
        </w:r>
      </w:hyperlink>
    </w:p>
    <w:p>
      <w:pPr>
        <w:pStyle w:val="TOC2"/>
      </w:pPr>
      <w:hyperlink w:anchor="_Toc300001966" w:history="1">
        <w:r>
          <w:t>Article 61.5: North American Defense-Industrial Materials Reserve</w:t>
        </w:r>
        <w:r>
          <w:tab/>
        </w:r>
        <w:r>
          <w:t>1874</w:t>
        </w:r>
      </w:hyperlink>
    </w:p>
    <w:p>
      <w:pPr>
        <w:pStyle w:val="TOC2"/>
      </w:pPr>
      <w:hyperlink w:anchor="_Toc300001967" w:history="1">
        <w:r>
          <w:t>Article 61.6: Surge Capacity and Industrial Mobilization</w:t>
        </w:r>
        <w:r>
          <w:tab/>
        </w:r>
        <w:r>
          <w:t>1874</w:t>
        </w:r>
      </w:hyperlink>
    </w:p>
    <w:p>
      <w:pPr>
        <w:pStyle w:val="TOC2"/>
      </w:pPr>
      <w:hyperlink w:anchor="_Toc300001968" w:history="1">
        <w:r>
          <w:t>Article 61.7: Civilian Priority Firewall</w:t>
        </w:r>
        <w:r>
          <w:tab/>
        </w:r>
        <w:r>
          <w:t>1875</w:t>
        </w:r>
      </w:hyperlink>
    </w:p>
    <w:p>
      <w:pPr>
        <w:pStyle w:val="TOC2"/>
      </w:pPr>
      <w:hyperlink w:anchor="_Toc300001969" w:history="1">
        <w:r>
          <w:t>Article 61.8: Recycling, Recovery, and Circular Strategic Materials</w:t>
        </w:r>
        <w:r>
          <w:tab/>
        </w:r>
        <w:r>
          <w:t>1875</w:t>
        </w:r>
      </w:hyperlink>
    </w:p>
    <w:p>
      <w:pPr>
        <w:pStyle w:val="TOC2"/>
      </w:pPr>
      <w:hyperlink w:anchor="_Toc300001970" w:history="1">
        <w:r>
          <w:t>Article 61.9: Workforce and Facility Resilience</w:t>
        </w:r>
        <w:r>
          <w:tab/>
        </w:r>
        <w:r>
          <w:t>1875</w:t>
        </w:r>
      </w:hyperlink>
    </w:p>
    <w:p>
      <w:pPr>
        <w:pStyle w:val="TOC2"/>
      </w:pPr>
      <w:hyperlink w:anchor="_Toc300001971" w:history="1">
        <w:r>
          <w:t>Article 61.10: Cothrom Review and No Cross-Sector Punishment</w:t>
        </w:r>
        <w:r>
          <w:tab/>
        </w:r>
        <w:r>
          <w:t>1876</w:t>
        </w:r>
      </w:hyperlink>
    </w:p>
    <w:p>
      <w:pPr>
        <w:pStyle w:val="TOC2"/>
      </w:pPr>
      <w:hyperlink w:anchor="_Toc300001972" w:history="1">
        <w:r>
          <w:t>IMPLEMENTATION INSTRUMENT I-1: ENTRY-INTO-FORCE / DAY-30 / DAY-90 / YEAR-ONE ROADMAP (IMPLEMENTATION GUIDE; ANNEX 34-F CONTROLS)</w:t>
        </w:r>
        <w:r>
          <w:tab/>
        </w:r>
        <w:r>
          <w:t>1876</w:t>
        </w:r>
      </w:hyperlink>
    </w:p>
    <w:p>
      <w:pPr>
        <w:pStyle w:val="TOC1"/>
      </w:pPr>
      <w:hyperlink w:anchor="_Toc300001973" w:history="1">
        <w:r>
          <w:t>CHAPTER 62 NORTH AMERICAN DISASTER RESILIENCE, MUTUAL ASSISTANCE, AND ECONOMIC CONTINUITY</w:t>
        </w:r>
        <w:r>
          <w:tab/>
        </w:r>
        <w:r>
          <w:t>1878</w:t>
        </w:r>
      </w:hyperlink>
    </w:p>
    <w:p>
      <w:pPr>
        <w:pStyle w:val="TOC2"/>
      </w:pPr>
      <w:hyperlink w:anchor="_Toc300001974" w:history="1">
        <w:r>
          <w:t>Article 62.1: Purpose and Scope</w:t>
        </w:r>
        <w:r>
          <w:tab/>
        </w:r>
        <w:r>
          <w:t>1878</w:t>
        </w:r>
      </w:hyperlink>
    </w:p>
    <w:p>
      <w:pPr>
        <w:pStyle w:val="TOC2"/>
      </w:pPr>
      <w:hyperlink w:anchor="_Toc300001975" w:history="1">
        <w:r>
          <w:t>Article 62.2: North American Emergency Mutual Assistance Compact</w:t>
        </w:r>
        <w:r>
          <w:tab/>
        </w:r>
        <w:r>
          <w:t>1878</w:t>
        </w:r>
      </w:hyperlink>
    </w:p>
    <w:p>
      <w:pPr>
        <w:pStyle w:val="TOC2"/>
      </w:pPr>
      <w:hyperlink w:anchor="_Toc300001976" w:history="1">
        <w:r>
          <w:t>Article 62.3: Responder Credentials and Good-Faith Assistance</w:t>
        </w:r>
        <w:r>
          <w:tab/>
        </w:r>
        <w:r>
          <w:t>1878</w:t>
        </w:r>
      </w:hyperlink>
    </w:p>
    <w:p>
      <w:pPr>
        <w:pStyle w:val="TOC2"/>
      </w:pPr>
      <w:hyperlink w:anchor="_Toc300001977" w:history="1">
        <w:r>
          <w:t>Article 62.4: Disaster Lanes and Emergency Border Processing</w:t>
        </w:r>
        <w:r>
          <w:tab/>
        </w:r>
        <w:r>
          <w:t>1879</w:t>
        </w:r>
      </w:hyperlink>
    </w:p>
    <w:p>
      <w:pPr>
        <w:pStyle w:val="TOC2"/>
      </w:pPr>
      <w:hyperlink w:anchor="_Toc300001978" w:history="1">
        <w:r>
          <w:t>Article 62.5: Emergency Call-Off Contracts and Supplier Surge Network</w:t>
        </w:r>
        <w:r>
          <w:tab/>
        </w:r>
        <w:r>
          <w:t>1879</w:t>
        </w:r>
      </w:hyperlink>
    </w:p>
    <w:p>
      <w:pPr>
        <w:pStyle w:val="TOC2"/>
      </w:pPr>
      <w:hyperlink w:anchor="_Toc300001979" w:history="1">
        <w:r>
          <w:t>Article 62.6: Power Restoration and Critical Infrastructure Equipment Coordination</w:t>
        </w:r>
        <w:r>
          <w:tab/>
        </w:r>
        <w:r>
          <w:t>1879</w:t>
        </w:r>
      </w:hyperlink>
    </w:p>
    <w:p>
      <w:pPr>
        <w:pStyle w:val="TOC2"/>
      </w:pPr>
      <w:hyperlink w:anchor="_Toc300001980" w:history="1">
        <w:r>
          <w:t>Article 62.7: Wildfire and All-Hazards Equipment Reserve</w:t>
        </w:r>
        <w:r>
          <w:tab/>
        </w:r>
        <w:r>
          <w:t>1880</w:t>
        </w:r>
      </w:hyperlink>
    </w:p>
    <w:p>
      <w:pPr>
        <w:pStyle w:val="TOC2"/>
      </w:pPr>
      <w:hyperlink w:anchor="_Toc300001981" w:history="1">
        <w:r>
          <w:t>Article 62.8: Strategic Construction Materials and Modular Recovery Supply</w:t>
        </w:r>
        <w:r>
          <w:tab/>
        </w:r>
        <w:r>
          <w:t>1880</w:t>
        </w:r>
      </w:hyperlink>
    </w:p>
    <w:p>
      <w:pPr>
        <w:pStyle w:val="TOC2"/>
      </w:pPr>
      <w:hyperlink w:anchor="_Toc300001982" w:history="1">
        <w:r>
          <w:t>Article 62.9: Common Operating Picture and Early Warning Interoperability</w:t>
        </w:r>
        <w:r>
          <w:tab/>
        </w:r>
        <w:r>
          <w:t>1880</w:t>
        </w:r>
      </w:hyperlink>
    </w:p>
    <w:p>
      <w:pPr>
        <w:pStyle w:val="TOC2"/>
      </w:pPr>
      <w:hyperlink w:anchor="_Toc300001983" w:history="1">
        <w:r>
          <w:t>Article 62.10: Satellite, Mapping, and Damage-Assessment Cooperation</w:t>
        </w:r>
        <w:r>
          <w:tab/>
        </w:r>
        <w:r>
          <w:t>1881</w:t>
        </w:r>
      </w:hyperlink>
    </w:p>
    <w:p>
      <w:pPr>
        <w:pStyle w:val="TOC2"/>
      </w:pPr>
      <w:hyperlink w:anchor="_Toc300001984" w:history="1">
        <w:r>
          <w:t>Article 62.11: Joint Exercises and Tabletop Testing</w:t>
        </w:r>
        <w:r>
          <w:tab/>
        </w:r>
        <w:r>
          <w:t>1881</w:t>
        </w:r>
      </w:hyperlink>
    </w:p>
    <w:p>
      <w:pPr>
        <w:pStyle w:val="TOC2"/>
      </w:pPr>
      <w:hyperlink w:anchor="_Toc300001985" w:history="1">
        <w:r>
          <w:t>Article 62.12: Indigenous, Tribal, Remote, and Border Community Resilience</w:t>
        </w:r>
        <w:r>
          <w:tab/>
        </w:r>
        <w:r>
          <w:t>1881</w:t>
        </w:r>
      </w:hyperlink>
    </w:p>
    <w:p>
      <w:pPr>
        <w:pStyle w:val="TOC2"/>
      </w:pPr>
      <w:hyperlink w:anchor="_Toc300001986" w:history="1">
        <w:r>
          <w:t>Article 62.13: Agricultural, Food, and Animal-Health Emergency Logistics</w:t>
        </w:r>
        <w:r>
          <w:tab/>
        </w:r>
        <w:r>
          <w:t>1881</w:t>
        </w:r>
      </w:hyperlink>
    </w:p>
    <w:p>
      <w:pPr>
        <w:pStyle w:val="TOC2"/>
      </w:pPr>
      <w:hyperlink w:anchor="_Toc300001987" w:history="1">
        <w:r>
          <w:t>Article 62.14: Resilience Finance and Catastrophe-Risk Tools</w:t>
        </w:r>
        <w:r>
          <w:tab/>
        </w:r>
        <w:r>
          <w:t>1882</w:t>
        </w:r>
      </w:hyperlink>
    </w:p>
    <w:p>
      <w:pPr>
        <w:pStyle w:val="TOC2"/>
      </w:pPr>
      <w:hyperlink w:anchor="_Toc300001988" w:history="1">
        <w:r>
          <w:t>Article 62.15: Disaster Innovation and Rapid Qualification Pathway</w:t>
        </w:r>
        <w:r>
          <w:tab/>
        </w:r>
        <w:r>
          <w:t>1882</w:t>
        </w:r>
      </w:hyperlink>
    </w:p>
    <w:p>
      <w:pPr>
        <w:pStyle w:val="TOC2"/>
      </w:pPr>
      <w:hyperlink w:anchor="_Toc300001989" w:history="1">
        <w:r>
          <w:t>Article 62.16: Recovery, Reconstruction, and Local Economic Continuity</w:t>
        </w:r>
        <w:r>
          <w:tab/>
        </w:r>
        <w:r>
          <w:t>1882</w:t>
        </w:r>
      </w:hyperlink>
    </w:p>
    <w:p>
      <w:pPr>
        <w:pStyle w:val="TOC2"/>
      </w:pPr>
      <w:hyperlink w:anchor="_Toc300001990" w:history="1">
        <w:r>
          <w:t>Article 62.17: After-Action Review and No-Fault Learning</w:t>
        </w:r>
        <w:r>
          <w:tab/>
        </w:r>
        <w:r>
          <w:t>1882</w:t>
        </w:r>
      </w:hyperlink>
    </w:p>
    <w:p>
      <w:pPr>
        <w:pStyle w:val="TOC2"/>
      </w:pPr>
      <w:hyperlink w:anchor="_Toc300001991" w:history="1">
        <w:r>
          <w:t>Article 62.18: Relationship to Other Chapters and Cothrom Review</w:t>
        </w:r>
        <w:r>
          <w:tab/>
        </w:r>
        <w:r>
          <w:t>1883</w:t>
        </w:r>
      </w:hyperlink>
    </w:p>
    <w:p>
      <w:pPr>
        <w:pStyle w:val="TOC2"/>
      </w:pPr>
      <w:hyperlink w:anchor="_Toc300001992" w:history="1">
        <w:r>
          <w:t>ANNEX 62-A: INITIAL CONTINENTAL RESILIENCE MODULES</w:t>
        </w:r>
        <w:r>
          <w:tab/>
        </w:r>
        <w:r>
          <w:t>1883</w:t>
        </w:r>
      </w:hyperlink>
    </w:p>
    <w:p>
      <w:pPr>
        <w:pStyle w:val="TOC2"/>
      </w:pPr>
      <w:hyperlink w:anchor="_Toc300001993" w:history="1">
        <w:r>
          <w:t>PACKAGE AD: CONTINENTAL RESILIENCE ENRICHMENT AND IMPLEMENTATION PACKAGE (v5.3)</w:t>
        </w:r>
        <w:r>
          <w:tab/>
        </w:r>
        <w:r>
          <w:t>1883</w:t>
        </w:r>
      </w:hyperlink>
    </w:p>
    <w:p>
      <w:pPr>
        <w:pStyle w:val="TOC2"/>
      </w:pPr>
      <w:hyperlink w:anchor="_Toc300001994" w:history="1">
        <w:r>
          <w:t>PACKAGE AC: FINAL IMPLEMENTATION AND INTEGRATION PACKAGE (v5.1)</w:t>
        </w:r>
        <w:r>
          <w:tab/>
        </w:r>
        <w:r>
          <w:t>1884</w:t>
        </w:r>
      </w:hyperlink>
    </w:p>
    <w:p>
      <w:pPr>
        <w:pStyle w:val="TOC2"/>
      </w:pPr>
      <w:hyperlink w:anchor="_Toc300001995" w:history="1">
        <w:r>
          <w:t>PACKAGE AB: MEXICO PARITY, TRILATERAL PROCUREMENT, FORESTRY INTEGRATION, AND INDUSTRIAL RESILIENCE PACKAGE (v5.0)</w:t>
        </w:r>
        <w:r>
          <w:tab/>
        </w:r>
        <w:r>
          <w:t>1884</w:t>
        </w:r>
      </w:hyperlink>
    </w:p>
    <w:p>
      <w:pPr>
        <w:pStyle w:val="TOC2"/>
      </w:pPr>
      <w:hyperlink w:anchor="_Toc300001996" w:history="1">
        <w:r>
          <w:t>PACKAGE AA: TRIADIC LABOUR FLOOR, EQUAL DIGNITY, AND CROSS-BORDER SOVEREIGNTY HARDENING (v4.9)</w:t>
        </w:r>
        <w:r>
          <w:tab/>
        </w:r>
        <w:r>
          <w:t>1885</w:t>
        </w:r>
      </w:hyperlink>
    </w:p>
    <w:p>
      <w:pPr>
        <w:pStyle w:val="TOC1"/>
      </w:pPr>
      <w:hyperlink w:anchor="_Toc300001997" w:history="1">
        <w:r>
          <w:t>CHAPTER 63: NORTH AMERICAN MEDICINES SECURITY AND PHARMACEUTICAL RESILIENCE</w:t>
        </w:r>
        <w:r>
          <w:tab/>
        </w:r>
        <w:r>
          <w:t>1886</w:t>
        </w:r>
      </w:hyperlink>
    </w:p>
    <w:p>
      <w:pPr>
        <w:pStyle w:val="TOC2"/>
      </w:pPr>
      <w:hyperlink w:anchor="_Toc300001998" w:history="1">
        <w:r>
          <w:t>Article 63.1: Purpose and Governing Principles</w:t>
        </w:r>
        <w:r>
          <w:tab/>
        </w:r>
        <w:r>
          <w:t>1886</w:t>
        </w:r>
      </w:hyperlink>
    </w:p>
    <w:p>
      <w:pPr>
        <w:pStyle w:val="TOC2"/>
      </w:pPr>
      <w:hyperlink w:anchor="_Toc300001999" w:history="1">
        <w:r>
          <w:t>Article 63.2: Essential Medicines and Strategic Pharmaceutical Classification</w:t>
        </w:r>
        <w:r>
          <w:tab/>
        </w:r>
        <w:r>
          <w:t>1886</w:t>
        </w:r>
      </w:hyperlink>
    </w:p>
    <w:p>
      <w:pPr>
        <w:pStyle w:val="TOC2"/>
      </w:pPr>
      <w:hyperlink w:anchor="_Toc300002000" w:history="1">
        <w:r>
          <w:t>Article 63.3: Medicines Peace Clause and No-Tariff-Hostage Rule</w:t>
        </w:r>
        <w:r>
          <w:tab/>
        </w:r>
        <w:r>
          <w:t>1887</w:t>
        </w:r>
      </w:hyperlink>
    </w:p>
    <w:p>
      <w:pPr>
        <w:pStyle w:val="TOC2"/>
      </w:pPr>
      <w:hyperlink w:anchor="_Toc300002001" w:history="1">
        <w:r>
          <w:t>Article 63.4: Pharmaceutical Rules of Origin and Transformation</w:t>
        </w:r>
        <w:r>
          <w:tab/>
        </w:r>
        <w:r>
          <w:t>1887</w:t>
        </w:r>
      </w:hyperlink>
    </w:p>
    <w:p>
      <w:pPr>
        <w:pStyle w:val="TOC2"/>
      </w:pPr>
      <w:hyperlink w:anchor="_Toc300002002" w:history="1">
        <w:r>
          <w:t>Article 63.5: Critical API and Key Starting Material Security</w:t>
        </w:r>
        <w:r>
          <w:tab/>
        </w:r>
        <w:r>
          <w:t>1888</w:t>
        </w:r>
      </w:hyperlink>
    </w:p>
    <w:p>
      <w:pPr>
        <w:pStyle w:val="TOC2"/>
      </w:pPr>
      <w:hyperlink w:anchor="_Toc300002003" w:history="1">
        <w:r>
          <w:t>Article 63.6: Essential Generics Security</w:t>
        </w:r>
        <w:r>
          <w:tab/>
        </w:r>
        <w:r>
          <w:t>1888</w:t>
        </w:r>
      </w:hyperlink>
    </w:p>
    <w:p>
      <w:pPr>
        <w:pStyle w:val="TOC2"/>
      </w:pPr>
      <w:hyperlink w:anchor="_Toc300002004" w:history="1">
        <w:r>
          <w:t>Article 63.7: Sterile Injectables and Fill-Finish Resilience</w:t>
        </w:r>
        <w:r>
          <w:tab/>
        </w:r>
        <w:r>
          <w:t>1888</w:t>
        </w:r>
      </w:hyperlink>
    </w:p>
    <w:p>
      <w:pPr>
        <w:pStyle w:val="TOC2"/>
      </w:pPr>
      <w:hyperlink w:anchor="_Toc300002005" w:history="1">
        <w:r>
          <w:t>Article 63.8: Strategic Pharmaceutical Manufacturing Inputs</w:t>
        </w:r>
        <w:r>
          <w:tab/>
        </w:r>
        <w:r>
          <w:t>1889</w:t>
        </w:r>
      </w:hyperlink>
    </w:p>
    <w:p>
      <w:pPr>
        <w:pStyle w:val="TOC2"/>
      </w:pPr>
      <w:hyperlink w:anchor="_Toc300002006" w:history="1">
        <w:r>
          <w:t>Article 63.9: Antibiotic and Antiviral Security Initiative</w:t>
        </w:r>
        <w:r>
          <w:tab/>
        </w:r>
        <w:r>
          <w:t>1889</w:t>
        </w:r>
      </w:hyperlink>
    </w:p>
    <w:p>
      <w:pPr>
        <w:pStyle w:val="TOC2"/>
      </w:pPr>
      <w:hyperlink w:anchor="_Toc300002007" w:history="1">
        <w:r>
          <w:t>Article 63.10: Vaccines, Biologics and Platform Manufacturing</w:t>
        </w:r>
        <w:r>
          <w:tab/>
        </w:r>
        <w:r>
          <w:t>1889</w:t>
        </w:r>
      </w:hyperlink>
    </w:p>
    <w:p>
      <w:pPr>
        <w:pStyle w:val="TOC2"/>
      </w:pPr>
      <w:hyperlink w:anchor="_Toc300002008" w:history="1">
        <w:r>
          <w:t>Article 63.11: Pharmaceutical Cold Chain and Emergency Logistics</w:t>
        </w:r>
        <w:r>
          <w:tab/>
        </w:r>
        <w:r>
          <w:t>1889</w:t>
        </w:r>
      </w:hyperlink>
    </w:p>
    <w:p>
      <w:pPr>
        <w:pStyle w:val="TOC2"/>
      </w:pPr>
      <w:hyperlink w:anchor="_Toc300002009" w:history="1">
        <w:r>
          <w:t>Article 63.12: Resilience Equivalence Principle</w:t>
        </w:r>
        <w:r>
          <w:tab/>
        </w:r>
        <w:r>
          <w:t>1889</w:t>
        </w:r>
      </w:hyperlink>
    </w:p>
    <w:p>
      <w:pPr>
        <w:pStyle w:val="TOC2"/>
      </w:pPr>
      <w:hyperlink w:anchor="_Toc300002010" w:history="1">
        <w:r>
          <w:t>Article 63.13: No Single Point of Continental Failure</w:t>
        </w:r>
        <w:r>
          <w:tab/>
        </w:r>
        <w:r>
          <w:t>1890</w:t>
        </w:r>
      </w:hyperlink>
    </w:p>
    <w:p>
      <w:pPr>
        <w:pStyle w:val="TOC2"/>
      </w:pPr>
      <w:hyperlink w:anchor="_Toc300002011" w:history="1">
        <w:r>
          <w:t>Article 63.14: Strategic Medicine Reserves and Rotation</w:t>
        </w:r>
        <w:r>
          <w:tab/>
        </w:r>
        <w:r>
          <w:t>1890</w:t>
        </w:r>
      </w:hyperlink>
    </w:p>
    <w:p>
      <w:pPr>
        <w:pStyle w:val="TOC2"/>
      </w:pPr>
      <w:hyperlink w:anchor="_Toc300002012" w:history="1">
        <w:r>
          <w:t>Article 63.15: Medical Isotopes and Radiopharmaceuticals</w:t>
        </w:r>
        <w:r>
          <w:tab/>
        </w:r>
        <w:r>
          <w:t>1890</w:t>
        </w:r>
      </w:hyperlink>
    </w:p>
    <w:p>
      <w:pPr>
        <w:pStyle w:val="TOC2"/>
      </w:pPr>
      <w:hyperlink w:anchor="_Toc300002013" w:history="1">
        <w:r>
          <w:t>Article 63.16: Regulatory Cooperation and Pharmaceutical Fast Lane</w:t>
        </w:r>
        <w:r>
          <w:tab/>
        </w:r>
        <w:r>
          <w:t>1890</w:t>
        </w:r>
      </w:hyperlink>
    </w:p>
    <w:p>
      <w:pPr>
        <w:pStyle w:val="TOC2"/>
      </w:pPr>
      <w:hyperlink w:anchor="_Toc300002014" w:history="1">
        <w:r>
          <w:t>Article 63.17: Pharmaceutical Facility PreCheck and Commissioning Cooperation</w:t>
        </w:r>
        <w:r>
          <w:tab/>
        </w:r>
        <w:r>
          <w:t>1891</w:t>
        </w:r>
      </w:hyperlink>
    </w:p>
    <w:p>
      <w:pPr>
        <w:pStyle w:val="TOC2"/>
      </w:pPr>
      <w:hyperlink w:anchor="_Toc300002015" w:history="1">
        <w:r>
          <w:t>Article 63.18: Pharmaceutical Workforce and Professional Mobility</w:t>
        </w:r>
        <w:r>
          <w:tab/>
        </w:r>
        <w:r>
          <w:t>1891</w:t>
        </w:r>
      </w:hyperlink>
    </w:p>
    <w:p>
      <w:pPr>
        <w:pStyle w:val="TOC2"/>
      </w:pPr>
      <w:hyperlink w:anchor="_Toc300002016" w:history="1">
        <w:r>
          <w:t>Article 63.19: Research, Advanced and Distributed Manufacturing</w:t>
        </w:r>
        <w:r>
          <w:tab/>
        </w:r>
        <w:r>
          <w:t>1891</w:t>
        </w:r>
      </w:hyperlink>
    </w:p>
    <w:p>
      <w:pPr>
        <w:pStyle w:val="TOC2"/>
      </w:pPr>
      <w:hyperlink w:anchor="_Toc300002017" w:history="1">
        <w:r>
          <w:t>Article 63.20: Intellectual Property and Emergency Licensing</w:t>
        </w:r>
        <w:r>
          <w:tab/>
        </w:r>
        <w:r>
          <w:t>1891</w:t>
        </w:r>
      </w:hyperlink>
    </w:p>
    <w:p>
      <w:pPr>
        <w:pStyle w:val="TOC2"/>
      </w:pPr>
      <w:hyperlink w:anchor="_Toc300002018" w:history="1">
        <w:r>
          <w:t>Article 63.21: United States Pharmaceutical Reshoring and Advanced Medicines Track</w:t>
        </w:r>
        <w:r>
          <w:tab/>
        </w:r>
        <w:r>
          <w:t>1892</w:t>
        </w:r>
      </w:hyperlink>
    </w:p>
    <w:p>
      <w:pPr>
        <w:pStyle w:val="TOC2"/>
      </w:pPr>
      <w:hyperlink w:anchor="_Toc300002019" w:history="1">
        <w:r>
          <w:t>Article 63.22: Canadian Pharmaceutical Security and Medical-Isotope Track</w:t>
        </w:r>
        <w:r>
          <w:tab/>
        </w:r>
        <w:r>
          <w:t>1892</w:t>
        </w:r>
      </w:hyperlink>
    </w:p>
    <w:p>
      <w:pPr>
        <w:pStyle w:val="TOC2"/>
      </w:pPr>
      <w:hyperlink w:anchor="_Toc300002020" w:history="1">
        <w:r>
          <w:t>Article 63.23: Mexican Pharmaceutical Manufacturing and Industrial-Upgrading Track</w:t>
        </w:r>
        <w:r>
          <w:tab/>
        </w:r>
        <w:r>
          <w:t>1892</w:t>
        </w:r>
      </w:hyperlink>
    </w:p>
    <w:p>
      <w:pPr>
        <w:pStyle w:val="TOC2"/>
      </w:pPr>
      <w:hyperlink w:anchor="_Toc300002021" w:history="1">
        <w:r>
          <w:t>Article 63.24: Pharmaceutical Education and Regulatory Science Network</w:t>
        </w:r>
        <w:r>
          <w:tab/>
        </w:r>
        <w:r>
          <w:t>1892</w:t>
        </w:r>
      </w:hyperlink>
    </w:p>
    <w:p>
      <w:pPr>
        <w:pStyle w:val="TOC2"/>
      </w:pPr>
      <w:hyperlink w:anchor="_Toc300002022" w:history="1">
        <w:r>
          <w:t>Article 63.25: Controlled Medicines, Diversion Prevention and Illicit Fentanyl Firewall</w:t>
        </w:r>
        <w:r>
          <w:tab/>
        </w:r>
        <w:r>
          <w:t>1892</w:t>
        </w:r>
      </w:hyperlink>
    </w:p>
    <w:p>
      <w:pPr>
        <w:pStyle w:val="TOC2"/>
      </w:pPr>
      <w:hyperlink w:anchor="_Toc300002023" w:history="1">
        <w:r>
          <w:t>Article 63.26: Fentanyl Enforcement Transparency and Chapter 66 Interface</w:t>
        </w:r>
        <w:r>
          <w:tab/>
        </w:r>
        <w:r>
          <w:t>1892</w:t>
        </w:r>
      </w:hyperlink>
    </w:p>
    <w:p>
      <w:pPr>
        <w:pStyle w:val="TOC2"/>
      </w:pPr>
      <w:hyperlink w:anchor="_Toc300002024" w:history="1">
        <w:r>
          <w:t>Article 63.27: Pharmaceutical Investment Pipeline and Resilience Dashboard</w:t>
        </w:r>
        <w:r>
          <w:tab/>
        </w:r>
        <w:r>
          <w:t>1893</w:t>
        </w:r>
      </w:hyperlink>
    </w:p>
    <w:p>
      <w:pPr>
        <w:pStyle w:val="TOC2"/>
      </w:pPr>
      <w:hyperlink w:anchor="_Toc300002025" w:history="1">
        <w:r>
          <w:t>Article 63.28: Emergency Exercises and Continuous Improvement</w:t>
        </w:r>
        <w:r>
          <w:tab/>
        </w:r>
        <w:r>
          <w:t>1893</w:t>
        </w:r>
      </w:hyperlink>
    </w:p>
    <w:p>
      <w:pPr>
        <w:pStyle w:val="TOC2"/>
      </w:pPr>
      <w:hyperlink w:anchor="_Toc300002026" w:history="1">
        <w:r>
          <w:t>Article 63.29: No New Supranational Pharmaceutical Government</w:t>
        </w:r>
        <w:r>
          <w:tab/>
        </w:r>
        <w:r>
          <w:t>1893</w:t>
        </w:r>
      </w:hyperlink>
    </w:p>
    <w:p>
      <w:pPr>
        <w:pStyle w:val="TOC2"/>
      </w:pPr>
      <w:hyperlink w:anchor="_Toc300002027" w:history="1">
        <w:r>
          <w:t>Article 63.30: No Uncompensated Front-Loading</w:t>
        </w:r>
        <w:r>
          <w:tab/>
        </w:r>
        <w:r>
          <w:t>1893</w:t>
        </w:r>
      </w:hyperlink>
    </w:p>
    <w:p>
      <w:pPr>
        <w:pStyle w:val="TOC2"/>
      </w:pPr>
      <w:hyperlink w:anchor="_Toc300002028" w:history="1">
        <w:r>
          <w:t>Article 63.31: Review and Evolution</w:t>
        </w:r>
        <w:r>
          <w:tab/>
        </w:r>
        <w:r>
          <w:t>1894</w:t>
        </w:r>
      </w:hyperlink>
    </w:p>
    <w:p>
      <w:pPr>
        <w:pStyle w:val="TOC1"/>
      </w:pPr>
      <w:hyperlink w:anchor="_Toc300002029" w:history="1">
        <w:r>
          <w:t>CHAPTER 64: NORTH AMERICAN COMMERCIAL WINS LEDGER AND EXPORT OPPORTUNITY SCOREBOARD</w:t>
        </w:r>
        <w:r>
          <w:tab/>
        </w:r>
        <w:r>
          <w:t>1895</w:t>
        </w:r>
      </w:hyperlink>
    </w:p>
    <w:p>
      <w:pPr>
        <w:pStyle w:val="TOC2"/>
      </w:pPr>
      <w:hyperlink w:anchor="_Toc300002030" w:history="1">
        <w:r>
          <w:t>Article 64.1: Purpose</w:t>
        </w:r>
        <w:r>
          <w:tab/>
        </w:r>
        <w:r>
          <w:t>1895</w:t>
        </w:r>
      </w:hyperlink>
    </w:p>
    <w:p>
      <w:pPr>
        <w:pStyle w:val="TOC2"/>
      </w:pPr>
      <w:hyperlink w:anchor="_Toc300002031" w:history="1">
        <w:r>
          <w:t>Article 64.2: No Bilateral Deficit Target or Automatic Deficit Trigger</w:t>
        </w:r>
        <w:r>
          <w:tab/>
        </w:r>
        <w:r>
          <w:t>1895</w:t>
        </w:r>
      </w:hyperlink>
    </w:p>
    <w:p>
      <w:pPr>
        <w:pStyle w:val="TOC2"/>
      </w:pPr>
      <w:hyperlink w:anchor="_Toc300002032" w:history="1">
        <w:r>
          <w:t>Article 64.3: North American Commercial Wins Ledger</w:t>
        </w:r>
        <w:r>
          <w:tab/>
        </w:r>
        <w:r>
          <w:t>1895</w:t>
        </w:r>
      </w:hyperlink>
    </w:p>
    <w:p>
      <w:pPr>
        <w:pStyle w:val="TOC2"/>
      </w:pPr>
      <w:hyperlink w:anchor="_Toc300002033" w:history="1">
        <w:r>
          <w:t>Article 64.4: Realized, Contracted and Enabled Accounts</w:t>
        </w:r>
        <w:r>
          <w:tab/>
        </w:r>
        <w:r>
          <w:t>1896</w:t>
        </w:r>
      </w:hyperlink>
    </w:p>
    <w:p>
      <w:pPr>
        <w:pStyle w:val="TOC2"/>
      </w:pPr>
      <w:hyperlink w:anchor="_Toc300002034" w:history="1">
        <w:r>
          <w:t>Article 64.5: Verified Commercial Additionality Standard</w:t>
        </w:r>
        <w:r>
          <w:tab/>
        </w:r>
        <w:r>
          <w:t>1896</w:t>
        </w:r>
      </w:hyperlink>
    </w:p>
    <w:p>
      <w:pPr>
        <w:pStyle w:val="TOC2"/>
      </w:pPr>
      <w:hyperlink w:anchor="_Toc300002035" w:history="1">
        <w:r>
          <w:t>Article 64.6: Baselines and Counterfactual Discipline</w:t>
        </w:r>
        <w:r>
          <w:tab/>
        </w:r>
        <w:r>
          <w:t>1896</w:t>
        </w:r>
      </w:hyperlink>
    </w:p>
    <w:p>
      <w:pPr>
        <w:pStyle w:val="TOC2"/>
      </w:pPr>
      <w:hyperlink w:anchor="_Toc300002036" w:history="1">
        <w:r>
          <w:t>Article 64.7: Services, Intellectual Property and Supply-Chain Exports</w:t>
        </w:r>
        <w:r>
          <w:tab/>
        </w:r>
        <w:r>
          <w:t>1896</w:t>
        </w:r>
      </w:hyperlink>
    </w:p>
    <w:p>
      <w:pPr>
        <w:pStyle w:val="TOC2"/>
      </w:pPr>
      <w:hyperlink w:anchor="_Toc300002037" w:history="1">
        <w:r>
          <w:t>Article 64.8: Effective Export Access Test</w:t>
        </w:r>
        <w:r>
          <w:tab/>
        </w:r>
        <w:r>
          <w:t>1897</w:t>
        </w:r>
      </w:hyperlink>
    </w:p>
    <w:p>
      <w:pPr>
        <w:pStyle w:val="TOC2"/>
      </w:pPr>
      <w:hyperlink w:anchor="_Toc300002038" w:history="1">
        <w:r>
          <w:t>Article 64.9: Sector and Geographic Classification</w:t>
        </w:r>
        <w:r>
          <w:tab/>
        </w:r>
        <w:r>
          <w:t>1897</w:t>
        </w:r>
      </w:hyperlink>
    </w:p>
    <w:p>
      <w:pPr>
        <w:pStyle w:val="TOC2"/>
      </w:pPr>
      <w:hyperlink w:anchor="_Toc300002039" w:history="1">
        <w:r>
          <w:t>Article 64.10: Forecast Accountability</w:t>
        </w:r>
        <w:r>
          <w:tab/>
        </w:r>
        <w:r>
          <w:t>1897</w:t>
        </w:r>
      </w:hyperlink>
    </w:p>
    <w:p>
      <w:pPr>
        <w:pStyle w:val="TOC2"/>
      </w:pPr>
      <w:hyperlink w:anchor="_Toc300002040" w:history="1">
        <w:r>
          <w:t>Article 64.11: No Double Counting, Revisions and Statistical Integrity</w:t>
        </w:r>
        <w:r>
          <w:tab/>
        </w:r>
        <w:r>
          <w:t>1897</w:t>
        </w:r>
      </w:hyperlink>
    </w:p>
    <w:p>
      <w:pPr>
        <w:pStyle w:val="TOC2"/>
      </w:pPr>
      <w:hyperlink w:anchor="_Toc300002041" w:history="1">
        <w:r>
          <w:t>Article 64.12: Voluntary Commercial-Win Registration</w:t>
        </w:r>
        <w:r>
          <w:tab/>
        </w:r>
        <w:r>
          <w:t>1897</w:t>
        </w:r>
      </w:hyperlink>
    </w:p>
    <w:p>
      <w:pPr>
        <w:pStyle w:val="TOC2"/>
      </w:pPr>
      <w:hyperlink w:anchor="_Toc300002042" w:history="1">
        <w:r>
          <w:t>Article 64.13: Commercial Friction Register</w:t>
        </w:r>
        <w:r>
          <w:tab/>
        </w:r>
        <w:r>
          <w:t>1898</w:t>
        </w:r>
      </w:hyperlink>
    </w:p>
    <w:p>
      <w:pPr>
        <w:pStyle w:val="TOC2"/>
      </w:pPr>
      <w:hyperlink w:anchor="_Toc300002043" w:history="1">
        <w:r>
          <w:t>Article 64.14: Trade-Balance Context</w:t>
        </w:r>
        <w:r>
          <w:tab/>
        </w:r>
        <w:r>
          <w:t>1898</w:t>
        </w:r>
      </w:hyperlink>
    </w:p>
    <w:p>
      <w:pPr>
        <w:pStyle w:val="TOC2"/>
      </w:pPr>
      <w:hyperlink w:anchor="_Toc300002044" w:history="1">
        <w:r>
          <w:t>Article 64.15: Public Commercial Wins Dashboard</w:t>
        </w:r>
        <w:r>
          <w:tab/>
        </w:r>
        <w:r>
          <w:t>1898</w:t>
        </w:r>
      </w:hyperlink>
    </w:p>
    <w:p>
      <w:pPr>
        <w:pStyle w:val="TOC2"/>
      </w:pPr>
      <w:hyperlink w:anchor="_Toc300002045" w:history="1">
        <w:r>
          <w:t>Article 64.16: Optional Public Presentation and Achievement Features</w:t>
        </w:r>
        <w:r>
          <w:tab/>
        </w:r>
        <w:r>
          <w:t>1898</w:t>
        </w:r>
      </w:hyperlink>
    </w:p>
    <w:p>
      <w:pPr>
        <w:pStyle w:val="TOC2"/>
      </w:pPr>
      <w:hyperlink w:anchor="_Toc300002046" w:history="1">
        <w:r>
          <w:t>Article 64.17: Optional Export Wins Application</w:t>
        </w:r>
        <w:r>
          <w:tab/>
        </w:r>
        <w:r>
          <w:t>1899</w:t>
        </w:r>
      </w:hyperlink>
    </w:p>
    <w:p>
      <w:pPr>
        <w:pStyle w:val="TOC2"/>
      </w:pPr>
      <w:hyperlink w:anchor="_Toc300002047" w:history="1">
        <w:r>
          <w:t>Article 64.18: Optional Public Forecasting Interface</w:t>
        </w:r>
        <w:r>
          <w:tab/>
        </w:r>
        <w:r>
          <w:t>1899</w:t>
        </w:r>
      </w:hyperlink>
    </w:p>
    <w:p>
      <w:pPr>
        <w:pStyle w:val="TOC2"/>
      </w:pPr>
      <w:hyperlink w:anchor="_Toc300002048" w:history="1">
        <w:r>
          <w:t>Article 64.19: Optional Non-Monetary Interface Customization</w:t>
        </w:r>
        <w:r>
          <w:tab/>
        </w:r>
        <w:r>
          <w:t>1899</w:t>
        </w:r>
      </w:hyperlink>
    </w:p>
    <w:p>
      <w:pPr>
        <w:pStyle w:val="TOC2"/>
      </w:pPr>
      <w:hyperlink w:anchor="_Toc300002049" w:history="1">
        <w:r>
          <w:t>Article 64.20: Optional Forecasting Interface Integrity and Safety</w:t>
        </w:r>
        <w:r>
          <w:tab/>
        </w:r>
        <w:r>
          <w:t>1899</w:t>
        </w:r>
      </w:hyperlink>
    </w:p>
    <w:p>
      <w:pPr>
        <w:pStyle w:val="TOC2"/>
      </w:pPr>
      <w:hyperlink w:anchor="_Toc300002050" w:history="1">
        <w:r>
          <w:t>Article 64.21: Optional Public Forecast Consensus and Learning</w:t>
        </w:r>
        <w:r>
          <w:tab/>
        </w:r>
        <w:r>
          <w:t>1899</w:t>
        </w:r>
      </w:hyperlink>
    </w:p>
    <w:p>
      <w:pPr>
        <w:pStyle w:val="TOC2"/>
      </w:pPr>
      <w:hyperlink w:anchor="_Toc300002051" w:history="1">
        <w:r>
          <w:t>Article 64.22: Data Verification and Existing Institutions</w:t>
        </w:r>
        <w:r>
          <w:tab/>
        </w:r>
        <w:r>
          <w:t>1899</w:t>
        </w:r>
      </w:hyperlink>
    </w:p>
    <w:p>
      <w:pPr>
        <w:pStyle w:val="TOC2"/>
      </w:pPr>
      <w:hyperlink w:anchor="_Toc300002052" w:history="1">
        <w:r>
          <w:t>Article 64.23: Symmetry and National Presentation Freedom</w:t>
        </w:r>
        <w:r>
          <w:tab/>
        </w:r>
        <w:r>
          <w:t>1900</w:t>
        </w:r>
      </w:hyperlink>
    </w:p>
    <w:p>
      <w:pPr>
        <w:pStyle w:val="TOC2"/>
      </w:pPr>
      <w:hyperlink w:anchor="_Toc300002053" w:history="1">
        <w:r>
          <w:t>Article 64.24: Governing Principle</w:t>
        </w:r>
        <w:r>
          <w:tab/>
        </w:r>
        <w:r>
          <w:t>1900</w:t>
        </w:r>
      </w:hyperlink>
    </w:p>
    <w:p>
      <w:pPr>
        <w:pStyle w:val="TOC1"/>
      </w:pPr>
      <w:hyperlink w:anchor="_Toc300002054" w:history="1">
        <w:r>
          <w:t>CHAPTER 65: NORTH AMERICAN RECIPROCAL PROCUREMENT COMPACT</w:t>
        </w:r>
        <w:r>
          <w:tab/>
        </w:r>
        <w:r>
          <w:t>1901</w:t>
        </w:r>
      </w:hyperlink>
    </w:p>
    <w:p>
      <w:pPr>
        <w:pStyle w:val="TOC2"/>
      </w:pPr>
      <w:hyperlink w:anchor="_Toc300002055" w:history="1">
        <w:r>
          <w:t>Article 65.1: Purpose</w:t>
        </w:r>
        <w:r>
          <w:tab/>
        </w:r>
        <w:r>
          <w:t>1901</w:t>
        </w:r>
      </w:hyperlink>
    </w:p>
    <w:p>
      <w:pPr>
        <w:pStyle w:val="TOC2"/>
      </w:pPr>
      <w:hyperlink w:anchor="_Toc300002056" w:history="1">
        <w:r>
          <w:t>Article 65.2: 370-Entry Candidate Opportunity Portfolio</w:t>
        </w:r>
        <w:r>
          <w:tab/>
        </w:r>
        <w:r>
          <w:t>1901</w:t>
        </w:r>
      </w:hyperlink>
    </w:p>
    <w:p>
      <w:pPr>
        <w:pStyle w:val="TOC2"/>
      </w:pPr>
      <w:hyperlink w:anchor="_Toc300002057" w:history="1">
        <w:r>
          <w:t>Article 65.3: Priority and Maturity Classes</w:t>
        </w:r>
        <w:r>
          <w:tab/>
        </w:r>
        <w:r>
          <w:t>1901</w:t>
        </w:r>
      </w:hyperlink>
    </w:p>
    <w:p>
      <w:pPr>
        <w:pStyle w:val="TOC2"/>
      </w:pPr>
      <w:hyperlink w:anchor="_Toc300002058" w:history="1">
        <w:r>
          <w:t>Article 65.4: Project-Specific Reciprocity and Affirmative Designation</w:t>
        </w:r>
        <w:r>
          <w:tab/>
        </w:r>
        <w:r>
          <w:t>1902</w:t>
        </w:r>
      </w:hyperlink>
    </w:p>
    <w:p>
      <w:pPr>
        <w:pStyle w:val="TOC2"/>
      </w:pPr>
      <w:hyperlink w:anchor="_Toc300002059" w:history="1">
        <w:r>
          <w:t>Article 65.5: No Blanket Buy American Waiver</w:t>
        </w:r>
        <w:r>
          <w:tab/>
        </w:r>
        <w:r>
          <w:t>1902</w:t>
        </w:r>
      </w:hyperlink>
    </w:p>
    <w:p>
      <w:pPr>
        <w:pStyle w:val="TOC2"/>
      </w:pPr>
      <w:hyperlink w:anchor="_Toc300002060" w:history="1">
        <w:r>
          <w:t>Article 65.6: Opportunity, Not Award</w:t>
        </w:r>
        <w:r>
          <w:tab/>
        </w:r>
        <w:r>
          <w:t>1902</w:t>
        </w:r>
      </w:hyperlink>
    </w:p>
    <w:p>
      <w:pPr>
        <w:pStyle w:val="TOC2"/>
      </w:pPr>
      <w:hyperlink w:anchor="_Toc300002061" w:history="1">
        <w:r>
          <w:t>Article 65.7: Procurement Opportunity Certificate</w:t>
        </w:r>
        <w:r>
          <w:tab/>
        </w:r>
        <w:r>
          <w:t>1902</w:t>
        </w:r>
      </w:hyperlink>
    </w:p>
    <w:p>
      <w:pPr>
        <w:pStyle w:val="TOC2"/>
      </w:pPr>
      <w:hyperlink w:anchor="_Toc300002062" w:history="1">
        <w:r>
          <w:t>Article 65.8: Verification Ladder</w:t>
        </w:r>
        <w:r>
          <w:tab/>
        </w:r>
        <w:r>
          <w:t>1903</w:t>
        </w:r>
      </w:hyperlink>
    </w:p>
    <w:p>
      <w:pPr>
        <w:pStyle w:val="TOC2"/>
      </w:pPr>
      <w:hyperlink w:anchor="_Toc300002063" w:history="1">
        <w:r>
          <w:t>Article 65.9: Procurement Value Integrity</w:t>
        </w:r>
        <w:r>
          <w:tab/>
        </w:r>
        <w:r>
          <w:t>1903</w:t>
        </w:r>
      </w:hyperlink>
    </w:p>
    <w:p>
      <w:pPr>
        <w:pStyle w:val="TOC2"/>
      </w:pPr>
      <w:hyperlink w:anchor="_Toc300002064" w:history="1">
        <w:r>
          <w:t>Article 65.10: Effective Procurement Access Test</w:t>
        </w:r>
        <w:r>
          <w:tab/>
        </w:r>
        <w:r>
          <w:t>1903</w:t>
        </w:r>
      </w:hyperlink>
    </w:p>
    <w:p>
      <w:pPr>
        <w:pStyle w:val="TOC2"/>
      </w:pPr>
      <w:hyperlink w:anchor="_Toc300002065" w:history="1">
        <w:r>
          <w:t>Article 65.11: Reciprocal Portfolio Equivalence</w:t>
        </w:r>
        <w:r>
          <w:tab/>
        </w:r>
        <w:r>
          <w:t>1903</w:t>
        </w:r>
      </w:hyperlink>
    </w:p>
    <w:p>
      <w:pPr>
        <w:pStyle w:val="TOC2"/>
      </w:pPr>
      <w:hyperlink w:anchor="_Toc300002066" w:history="1">
        <w:r>
          <w:t>Article 65.12: North American Content and Prequalification Lane</w:t>
        </w:r>
        <w:r>
          <w:tab/>
        </w:r>
        <w:r>
          <w:t>1904</w:t>
        </w:r>
      </w:hyperlink>
    </w:p>
    <w:p>
      <w:pPr>
        <w:pStyle w:val="TOC2"/>
      </w:pPr>
      <w:hyperlink w:anchor="_Toc300002067" w:history="1">
        <w:r>
          <w:t>Article 65.13: Subnational Reciprocity Track</w:t>
        </w:r>
        <w:r>
          <w:tab/>
        </w:r>
        <w:r>
          <w:t>1904</w:t>
        </w:r>
      </w:hyperlink>
    </w:p>
    <w:p>
      <w:pPr>
        <w:pStyle w:val="TOC2"/>
      </w:pPr>
      <w:hyperlink w:anchor="_Toc300002068" w:history="1">
        <w:r>
          <w:t>Article 65.14: Community, Indigenous and SME Participation</w:t>
        </w:r>
        <w:r>
          <w:tab/>
        </w:r>
        <w:r>
          <w:t>1904</w:t>
        </w:r>
      </w:hyperlink>
    </w:p>
    <w:p>
      <w:pPr>
        <w:pStyle w:val="TOC2"/>
      </w:pPr>
      <w:hyperlink w:anchor="_Toc300002069" w:history="1">
        <w:r>
          <w:t>Article 65.15: Public, Private and Mixed Projects</w:t>
        </w:r>
        <w:r>
          <w:tab/>
        </w:r>
        <w:r>
          <w:t>1904</w:t>
        </w:r>
      </w:hyperlink>
    </w:p>
    <w:p>
      <w:pPr>
        <w:pStyle w:val="TOC2"/>
      </w:pPr>
      <w:hyperlink w:anchor="_Toc300002070" w:history="1">
        <w:r>
          <w:t>Article 65.16: Security and Sensitive Procurement Firewall</w:t>
        </w:r>
        <w:r>
          <w:tab/>
        </w:r>
        <w:r>
          <w:t>1904</w:t>
        </w:r>
      </w:hyperlink>
    </w:p>
    <w:p>
      <w:pPr>
        <w:pStyle w:val="TOC2"/>
      </w:pPr>
      <w:hyperlink w:anchor="_Toc300002071" w:history="1">
        <w:r>
          <w:t>Article 65.17: Permitting, Rights and Regulatory Firewall</w:t>
        </w:r>
        <w:r>
          <w:tab/>
        </w:r>
        <w:r>
          <w:t>1905</w:t>
        </w:r>
      </w:hyperlink>
    </w:p>
    <w:p>
      <w:pPr>
        <w:pStyle w:val="TOC2"/>
      </w:pPr>
      <w:hyperlink w:anchor="_Toc300002072" w:history="1">
        <w:r>
          <w:t>Article 65.18: Three-Receipt Rule</w:t>
        </w:r>
        <w:r>
          <w:tab/>
        </w:r>
        <w:r>
          <w:t>1905</w:t>
        </w:r>
      </w:hyperlink>
    </w:p>
    <w:p>
      <w:pPr>
        <w:pStyle w:val="TOC2"/>
      </w:pPr>
      <w:hyperlink w:anchor="_Toc300002073" w:history="1">
        <w:r>
          <w:t>Article 65.19: Opportunity-to-Delivery Accounting</w:t>
        </w:r>
        <w:r>
          <w:tab/>
        </w:r>
        <w:r>
          <w:t>1905</w:t>
        </w:r>
      </w:hyperlink>
    </w:p>
    <w:p>
      <w:pPr>
        <w:pStyle w:val="TOC2"/>
      </w:pPr>
      <w:hyperlink w:anchor="_Toc300002074" w:history="1">
        <w:r>
          <w:t>Article 65.20: Procurement Availability Ratio</w:t>
        </w:r>
        <w:r>
          <w:tab/>
        </w:r>
        <w:r>
          <w:t>1905</w:t>
        </w:r>
      </w:hyperlink>
    </w:p>
    <w:p>
      <w:pPr>
        <w:pStyle w:val="TOC2"/>
      </w:pPr>
      <w:hyperlink w:anchor="_Toc300002075" w:history="1">
        <w:r>
          <w:t>Article 65.21: Initial, Rolling and Development Schedules</w:t>
        </w:r>
        <w:r>
          <w:tab/>
        </w:r>
        <w:r>
          <w:t>1905</w:t>
        </w:r>
      </w:hyperlink>
    </w:p>
    <w:p>
      <w:pPr>
        <w:pStyle w:val="TOC2"/>
      </w:pPr>
      <w:hyperlink w:anchor="_Toc300002076" w:history="1">
        <w:r>
          <w:t>Article 65.22: Expansion and Substitution Registry</w:t>
        </w:r>
        <w:r>
          <w:tab/>
        </w:r>
        <w:r>
          <w:t>1906</w:t>
        </w:r>
      </w:hyperlink>
    </w:p>
    <w:p>
      <w:pPr>
        <w:pStyle w:val="TOC2"/>
      </w:pPr>
      <w:hyperlink w:anchor="_Toc300002077" w:history="1">
        <w:r>
          <w:t>Article 65.23: Substitution Without Concealment</w:t>
        </w:r>
        <w:r>
          <w:tab/>
        </w:r>
        <w:r>
          <w:t>1906</w:t>
        </w:r>
      </w:hyperlink>
    </w:p>
    <w:p>
      <w:pPr>
        <w:pStyle w:val="TOC2"/>
      </w:pPr>
      <w:hyperlink w:anchor="_Toc300002078" w:history="1">
        <w:r>
          <w:t>Article 65.24: Procurement Opportunity Registry</w:t>
        </w:r>
        <w:r>
          <w:tab/>
        </w:r>
        <w:r>
          <w:t>1906</w:t>
        </w:r>
      </w:hyperlink>
    </w:p>
    <w:p>
      <w:pPr>
        <w:pStyle w:val="TOC2"/>
      </w:pPr>
      <w:hyperlink w:anchor="_Toc300002079" w:history="1">
        <w:r>
          <w:t>Article 65.25: Commercial Wins Integration</w:t>
        </w:r>
        <w:r>
          <w:tab/>
        </w:r>
        <w:r>
          <w:t>1906</w:t>
        </w:r>
      </w:hyperlink>
    </w:p>
    <w:p>
      <w:pPr>
        <w:pStyle w:val="TOC2"/>
      </w:pPr>
      <w:hyperlink w:anchor="_Toc300002080" w:history="1">
        <w:r>
          <w:t>Article 65.26: No Uncompensated Front-Loading</w:t>
        </w:r>
        <w:r>
          <w:tab/>
        </w:r>
        <w:r>
          <w:t>1906</w:t>
        </w:r>
      </w:hyperlink>
    </w:p>
    <w:p>
      <w:pPr>
        <w:pStyle w:val="TOC2"/>
      </w:pPr>
      <w:hyperlink w:anchor="_Toc300002081" w:history="1">
        <w:r>
          <w:t>Article 65.27: No Cross-Sector Procurement Punishment</w:t>
        </w:r>
        <w:r>
          <w:tab/>
        </w:r>
        <w:r>
          <w:t>1906</w:t>
        </w:r>
      </w:hyperlink>
    </w:p>
    <w:p>
      <w:pPr>
        <w:pStyle w:val="TOC2"/>
      </w:pPr>
      <w:hyperlink w:anchor="_Toc300002082" w:history="1">
        <w:r>
          <w:t>Article 65.28: Review, Promotion and Evolution</w:t>
        </w:r>
        <w:r>
          <w:tab/>
        </w:r>
        <w:r>
          <w:t>1907</w:t>
        </w:r>
      </w:hyperlink>
    </w:p>
    <w:p>
      <w:pPr>
        <w:pStyle w:val="TOC2"/>
      </w:pPr>
      <w:hyperlink w:anchor="_Toc300002083" w:history="1">
        <w:r>
          <w:t>ANNEX 65-A: 370-ENTRY CANDIDATE OPPORTUNITY REGISTER (NON-BINDING UNTIL DESIGNATED)</w:t>
        </w:r>
        <w:r>
          <w:tab/>
        </w:r>
        <w:r>
          <w:t>1907</w:t>
        </w:r>
      </w:hyperlink>
    </w:p>
    <w:p>
      <w:pPr>
        <w:pStyle w:val="TOC2"/>
      </w:pPr>
      <w:hyperlink w:anchor="_Toc300002084" w:history="1">
        <w:r>
          <w:t>ANNEX 65-B: GOVERNING ARCHITECTURE SUMMARY</w:t>
        </w:r>
        <w:r>
          <w:tab/>
        </w:r>
        <w:r>
          <w:t>1931</w:t>
        </w:r>
      </w:hyperlink>
    </w:p>
    <w:p>
      <w:pPr>
        <w:pStyle w:val="TOC2"/>
      </w:pPr>
      <w:hyperlink w:anchor="_Toc300002085" w:history="1">
        <w:r>
          <w:t>ANNEX 65-C: PROCUREMENT OPPORTUNITY CERTIFICATE MINIMUM FIELDS</w:t>
        </w:r>
        <w:r>
          <w:tab/>
        </w:r>
        <w:r>
          <w:t>1931</w:t>
        </w:r>
      </w:hyperlink>
    </w:p>
    <w:p>
      <w:pPr>
        <w:pStyle w:val="TOC1"/>
      </w:pPr>
      <w:hyperlink w:anchor="_Toc300002086" w:history="1">
        <w:r>
          <w:t>CHAPTER 66: NORTH AMERICAN SHIELD, FENTANYL, PRECURSOR AND BORDER SECURITY COMPACT</w:t>
        </w:r>
        <w:r>
          <w:tab/>
        </w:r>
        <w:r>
          <w:t>1932</w:t>
        </w:r>
      </w:hyperlink>
    </w:p>
    <w:p>
      <w:pPr>
        <w:pStyle w:val="TOC2"/>
      </w:pPr>
      <w:hyperlink w:anchor="_Toc300002087" w:history="1">
        <w:r>
          <w:t>Article 66.1: Purpose and Security Bargain</w:t>
        </w:r>
        <w:r>
          <w:tab/>
        </w:r>
        <w:r>
          <w:t>1932</w:t>
        </w:r>
      </w:hyperlink>
    </w:p>
    <w:p>
      <w:pPr>
        <w:pStyle w:val="TOC2"/>
      </w:pPr>
      <w:hyperlink w:anchor="_Toc300002088" w:history="1">
        <w:r>
          <w:t>Article 66.2: Governing Principle, Cooperate Continentally, Enforce Nationally</w:t>
        </w:r>
        <w:r>
          <w:tab/>
        </w:r>
        <w:r>
          <w:t>1932</w:t>
        </w:r>
      </w:hyperlink>
    </w:p>
    <w:p>
      <w:pPr>
        <w:pStyle w:val="TOC2"/>
      </w:pPr>
      <w:hyperlink w:anchor="_Toc300002089" w:history="1">
        <w:r>
          <w:t>Article 66.3: No Foreign Enforcement Power</w:t>
        </w:r>
        <w:r>
          <w:tab/>
        </w:r>
        <w:r>
          <w:t>1932</w:t>
        </w:r>
      </w:hyperlink>
    </w:p>
    <w:p>
      <w:pPr>
        <w:pStyle w:val="TOC2"/>
      </w:pPr>
      <w:hyperlink w:anchor="_Toc300002090" w:history="1">
        <w:r>
          <w:t>Article 66.4: Shield Reciprocity Doctrine</w:t>
        </w:r>
        <w:r>
          <w:tab/>
        </w:r>
        <w:r>
          <w:t>1932</w:t>
        </w:r>
      </w:hyperlink>
    </w:p>
    <w:p>
      <w:pPr>
        <w:pStyle w:val="TOC2"/>
      </w:pPr>
      <w:hyperlink w:anchor="_Toc300002091" w:history="1">
        <w:r>
          <w:t>Article 66.5: Covered Illicit Flows</w:t>
        </w:r>
        <w:r>
          <w:tab/>
        </w:r>
        <w:r>
          <w:t>1933</w:t>
        </w:r>
      </w:hyperlink>
    </w:p>
    <w:p>
      <w:pPr>
        <w:pStyle w:val="TOC2"/>
      </w:pPr>
      <w:hyperlink w:anchor="_Toc300002092" w:history="1">
        <w:r>
          <w:t>Article 66.6: Secure-and-Accelerate Principle</w:t>
        </w:r>
        <w:r>
          <w:tab/>
        </w:r>
        <w:r>
          <w:t>1933</w:t>
        </w:r>
      </w:hyperlink>
    </w:p>
    <w:p>
      <w:pPr>
        <w:pStyle w:val="TOC2"/>
      </w:pPr>
      <w:hyperlink w:anchor="_Toc300002093" w:history="1">
        <w:r>
          <w:t>Article 66.7: Detection and Non-Intrusive Inspection Capability</w:t>
        </w:r>
        <w:r>
          <w:tab/>
        </w:r>
        <w:r>
          <w:t>1933</w:t>
        </w:r>
      </w:hyperlink>
    </w:p>
    <w:p>
      <w:pPr>
        <w:pStyle w:val="TOC2"/>
      </w:pPr>
      <w:hyperlink w:anchor="_Toc300002094" w:history="1">
        <w:r>
          <w:t>Article 66.8: Operational Availability and Maintenance</w:t>
        </w:r>
        <w:r>
          <w:tab/>
        </w:r>
        <w:r>
          <w:t>1934</w:t>
        </w:r>
      </w:hyperlink>
    </w:p>
    <w:p>
      <w:pPr>
        <w:pStyle w:val="TOC2"/>
      </w:pPr>
      <w:hyperlink w:anchor="_Toc300002095" w:history="1">
        <w:r>
          <w:t>Article 66.9: Cargo Targeting and Risk Intelligence</w:t>
        </w:r>
        <w:r>
          <w:tab/>
        </w:r>
        <w:r>
          <w:t>1934</w:t>
        </w:r>
      </w:hyperlink>
    </w:p>
    <w:p>
      <w:pPr>
        <w:pStyle w:val="TOC2"/>
      </w:pPr>
      <w:hyperlink w:anchor="_Toc300002096" w:history="1">
        <w:r>
          <w:t>Article 66.10: Algorithmic Targeting Integrity</w:t>
        </w:r>
        <w:r>
          <w:tab/>
        </w:r>
        <w:r>
          <w:t>1934</w:t>
        </w:r>
      </w:hyperlink>
    </w:p>
    <w:p>
      <w:pPr>
        <w:pStyle w:val="TOC2"/>
      </w:pPr>
      <w:hyperlink w:anchor="_Toc300002097" w:history="1">
        <w:r>
          <w:t>Article 66.11: Precursor Risk and Rapid Response</w:t>
        </w:r>
        <w:r>
          <w:tab/>
        </w:r>
        <w:r>
          <w:t>1934</w:t>
        </w:r>
      </w:hyperlink>
    </w:p>
    <w:p>
      <w:pPr>
        <w:pStyle w:val="TOC2"/>
      </w:pPr>
      <w:hyperlink w:anchor="_Toc300002098" w:history="1">
        <w:r>
          <w:t>Article 66.12: Suspicious Orders, End Users and Manufacturing Equipment</w:t>
        </w:r>
        <w:r>
          <w:tab/>
        </w:r>
        <w:r>
          <w:t>1935</w:t>
        </w:r>
      </w:hyperlink>
    </w:p>
    <w:p>
      <w:pPr>
        <w:pStyle w:val="TOC2"/>
      </w:pPr>
      <w:hyperlink w:anchor="_Toc300002099" w:history="1">
        <w:r>
          <w:t>Article 66.13: Drug Profiling and Forensic Network</w:t>
        </w:r>
        <w:r>
          <w:tab/>
        </w:r>
        <w:r>
          <w:t>1935</w:t>
        </w:r>
      </w:hyperlink>
    </w:p>
    <w:p>
      <w:pPr>
        <w:pStyle w:val="TOC2"/>
      </w:pPr>
      <w:hyperlink w:anchor="_Toc300002100" w:history="1">
        <w:r>
          <w:t>Article 66.14: Ports of Entry and Coordinated Inspection</w:t>
        </w:r>
        <w:r>
          <w:tab/>
        </w:r>
        <w:r>
          <w:t>1935</w:t>
        </w:r>
      </w:hyperlink>
    </w:p>
    <w:p>
      <w:pPr>
        <w:pStyle w:val="TOC2"/>
      </w:pPr>
      <w:hyperlink w:anchor="_Toc300002101" w:history="1">
        <w:r>
          <w:t>Article 66.15: Rail, Maritime and Aviation Security</w:t>
        </w:r>
        <w:r>
          <w:tab/>
        </w:r>
        <w:r>
          <w:t>1936</w:t>
        </w:r>
      </w:hyperlink>
    </w:p>
    <w:p>
      <w:pPr>
        <w:pStyle w:val="TOC2"/>
      </w:pPr>
      <w:hyperlink w:anchor="_Toc300002102" w:history="1">
        <w:r>
          <w:t>Article 66.16: Postal, Courier and Small-Parcel Security</w:t>
        </w:r>
        <w:r>
          <w:tab/>
        </w:r>
        <w:r>
          <w:t>1936</w:t>
        </w:r>
      </w:hyperlink>
    </w:p>
    <w:p>
      <w:pPr>
        <w:pStyle w:val="TOC2"/>
      </w:pPr>
      <w:hyperlink w:anchor="_Toc300002103" w:history="1">
        <w:r>
          <w:t>Article 66.17: Organized-Crime Cooperation</w:t>
        </w:r>
        <w:r>
          <w:tab/>
        </w:r>
        <w:r>
          <w:t>1936</w:t>
        </w:r>
      </w:hyperlink>
    </w:p>
    <w:p>
      <w:pPr>
        <w:pStyle w:val="TOC2"/>
      </w:pPr>
      <w:hyperlink w:anchor="_Toc300002104" w:history="1">
        <w:r>
          <w:t>Article 66.18: Illegal Firearms Trafficking</w:t>
        </w:r>
        <w:r>
          <w:tab/>
        </w:r>
        <w:r>
          <w:t>1937</w:t>
        </w:r>
      </w:hyperlink>
    </w:p>
    <w:p>
      <w:pPr>
        <w:pStyle w:val="TOC2"/>
      </w:pPr>
      <w:hyperlink w:anchor="_Toc300002105" w:history="1">
        <w:r>
          <w:t>Article 66.19: Illicit Finance and Asset Disruption</w:t>
        </w:r>
        <w:r>
          <w:tab/>
        </w:r>
        <w:r>
          <w:t>1937</w:t>
        </w:r>
      </w:hyperlink>
    </w:p>
    <w:p>
      <w:pPr>
        <w:pStyle w:val="TOC2"/>
      </w:pPr>
      <w:hyperlink w:anchor="_Toc300002106" w:history="1">
        <w:r>
          <w:t>Article 66.20: No Enforcement Bounty</w:t>
        </w:r>
        <w:r>
          <w:tab/>
        </w:r>
        <w:r>
          <w:t>1937</w:t>
        </w:r>
      </w:hyperlink>
    </w:p>
    <w:p>
      <w:pPr>
        <w:pStyle w:val="TOC2"/>
      </w:pPr>
      <w:hyperlink w:anchor="_Toc300002107" w:history="1">
        <w:r>
          <w:t>Article 66.21: Cyber and Darknet Trafficking</w:t>
        </w:r>
        <w:r>
          <w:tab/>
        </w:r>
        <w:r>
          <w:t>1938</w:t>
        </w:r>
      </w:hyperlink>
    </w:p>
    <w:p>
      <w:pPr>
        <w:pStyle w:val="TOC2"/>
      </w:pPr>
      <w:hyperlink w:anchor="_Toc300002108" w:history="1">
        <w:r>
          <w:t>Article 66.22: No Encryption Backdoor Mandate</w:t>
        </w:r>
        <w:r>
          <w:tab/>
        </w:r>
        <w:r>
          <w:t>1938</w:t>
        </w:r>
      </w:hyperlink>
    </w:p>
    <w:p>
      <w:pPr>
        <w:pStyle w:val="TOC2"/>
      </w:pPr>
      <w:hyperlink w:anchor="_Toc300002109" w:history="1">
        <w:r>
          <w:t>Article 66.23: Targeted Surveillance Authorization Test</w:t>
        </w:r>
        <w:r>
          <w:tab/>
        </w:r>
        <w:r>
          <w:t>1938</w:t>
        </w:r>
      </w:hyperlink>
    </w:p>
    <w:p>
      <w:pPr>
        <w:pStyle w:val="TOC2"/>
      </w:pPr>
      <w:hyperlink w:anchor="_Toc300002110" w:history="1">
        <w:r>
          <w:t>Article 66.24: No Generalized Biometric or Licence-Plate Interoperability</w:t>
        </w:r>
        <w:r>
          <w:tab/>
        </w:r>
        <w:r>
          <w:t>1938</w:t>
        </w:r>
      </w:hyperlink>
    </w:p>
    <w:p>
      <w:pPr>
        <w:pStyle w:val="TOC2"/>
      </w:pPr>
      <w:hyperlink w:anchor="_Toc300002111" w:history="1">
        <w:r>
          <w:t>Article 66.25: Information-Sharing Purpose Limitation</w:t>
        </w:r>
        <w:r>
          <w:tab/>
        </w:r>
        <w:r>
          <w:t>1938</w:t>
        </w:r>
      </w:hyperlink>
    </w:p>
    <w:p>
      <w:pPr>
        <w:pStyle w:val="TOC2"/>
      </w:pPr>
      <w:hyperlink w:anchor="_Toc300002112" w:history="1">
        <w:r>
          <w:t>Article 66.26: Data Minimization and Case-Specific Default</w:t>
        </w:r>
        <w:r>
          <w:tab/>
        </w:r>
        <w:r>
          <w:t>1939</w:t>
        </w:r>
      </w:hyperlink>
    </w:p>
    <w:p>
      <w:pPr>
        <w:pStyle w:val="TOC2"/>
      </w:pPr>
      <w:hyperlink w:anchor="_Toc300002113" w:history="1">
        <w:r>
          <w:t>Article 66.27: Originator Control, Audit and Correction</w:t>
        </w:r>
        <w:r>
          <w:tab/>
        </w:r>
        <w:r>
          <w:t>1939</w:t>
        </w:r>
      </w:hyperlink>
    </w:p>
    <w:p>
      <w:pPr>
        <w:pStyle w:val="TOC2"/>
      </w:pPr>
      <w:hyperlink w:anchor="_Toc300002114" w:history="1">
        <w:r>
          <w:t>Article 66.28: Redress and Sensitive Categories</w:t>
        </w:r>
        <w:r>
          <w:tab/>
        </w:r>
        <w:r>
          <w:t>1939</w:t>
        </w:r>
      </w:hyperlink>
    </w:p>
    <w:p>
      <w:pPr>
        <w:pStyle w:val="TOC2"/>
      </w:pPr>
      <w:hyperlink w:anchor="_Toc300002115" w:history="1">
        <w:r>
          <w:t>Article 66.29: No Automated Adverse Action Solely From Foreign Data</w:t>
        </w:r>
        <w:r>
          <w:tab/>
        </w:r>
        <w:r>
          <w:t>1939</w:t>
        </w:r>
      </w:hyperlink>
    </w:p>
    <w:p>
      <w:pPr>
        <w:pStyle w:val="TOC2"/>
      </w:pPr>
      <w:hyperlink w:anchor="_Toc300002116" w:history="1">
        <w:r>
          <w:t>Article 66.30: Immigration-Purpose Firewall</w:t>
        </w:r>
        <w:r>
          <w:tab/>
        </w:r>
        <w:r>
          <w:t>1939</w:t>
        </w:r>
      </w:hyperlink>
    </w:p>
    <w:p>
      <w:pPr>
        <w:pStyle w:val="TOC2"/>
      </w:pPr>
      <w:hyperlink w:anchor="_Toc300002117" w:history="1">
        <w:r>
          <w:t>Article 66.31: Indigenous and Border-Community Protection</w:t>
        </w:r>
        <w:r>
          <w:tab/>
        </w:r>
        <w:r>
          <w:t>1939</w:t>
        </w:r>
      </w:hyperlink>
    </w:p>
    <w:p>
      <w:pPr>
        <w:pStyle w:val="TOC2"/>
      </w:pPr>
      <w:hyperlink w:anchor="_Toc300002118" w:history="1">
        <w:r>
          <w:t>Article 66.32: Personnel, Training and Integrity</w:t>
        </w:r>
        <w:r>
          <w:tab/>
        </w:r>
        <w:r>
          <w:t>1939</w:t>
        </w:r>
      </w:hyperlink>
    </w:p>
    <w:p>
      <w:pPr>
        <w:pStyle w:val="TOC2"/>
      </w:pPr>
      <w:hyperlink w:anchor="_Toc300002119" w:history="1">
        <w:r>
          <w:t>Article 66.33: Public Health and Officer Safety</w:t>
        </w:r>
        <w:r>
          <w:tab/>
        </w:r>
        <w:r>
          <w:t>1940</w:t>
        </w:r>
      </w:hyperlink>
    </w:p>
    <w:p>
      <w:pPr>
        <w:pStyle w:val="TOC2"/>
      </w:pPr>
      <w:hyperlink w:anchor="_Toc300002120" w:history="1">
        <w:r>
          <w:t>Article 66.34: North American Shield Coordination</w:t>
        </w:r>
        <w:r>
          <w:tab/>
        </w:r>
        <w:r>
          <w:t>1940</w:t>
        </w:r>
      </w:hyperlink>
    </w:p>
    <w:p>
      <w:pPr>
        <w:pStyle w:val="TOC2"/>
      </w:pPr>
      <w:hyperlink w:anchor="_Toc300002121" w:history="1">
        <w:r>
          <w:t>Article 66.35: Shield Performance Dashboard</w:t>
        </w:r>
        <w:r>
          <w:tab/>
        </w:r>
        <w:r>
          <w:t>1940</w:t>
        </w:r>
      </w:hyperlink>
    </w:p>
    <w:p>
      <w:pPr>
        <w:pStyle w:val="TOC2"/>
      </w:pPr>
      <w:hyperlink w:anchor="_Toc300002122" w:history="1">
        <w:r>
          <w:t>Article 66.36: Metric Integrity</w:t>
        </w:r>
        <w:r>
          <w:tab/>
        </w:r>
        <w:r>
          <w:t>1941</w:t>
        </w:r>
      </w:hyperlink>
    </w:p>
    <w:p>
      <w:pPr>
        <w:pStyle w:val="TOC2"/>
      </w:pPr>
      <w:hyperlink w:anchor="_Toc300002123" w:history="1">
        <w:r>
          <w:t>Article 66.37: Security Performance Assurance</w:t>
        </w:r>
        <w:r>
          <w:tab/>
        </w:r>
        <w:r>
          <w:t>1941</w:t>
        </w:r>
      </w:hyperlink>
    </w:p>
    <w:p>
      <w:pPr>
        <w:pStyle w:val="TOC2"/>
      </w:pPr>
      <w:hyperlink w:anchor="_Toc300002124" w:history="1">
        <w:r>
          <w:t>Article 66.38: Security Performance Safe Harbor</w:t>
        </w:r>
        <w:r>
          <w:tab/>
        </w:r>
        <w:r>
          <w:t>1941</w:t>
        </w:r>
      </w:hyperlink>
    </w:p>
    <w:p>
      <w:pPr>
        <w:pStyle w:val="TOC2"/>
      </w:pPr>
      <w:hyperlink w:anchor="_Toc300002125" w:history="1">
        <w:r>
          <w:t>Article 66.39: Covered-Rationale Exhaustion</w:t>
        </w:r>
        <w:r>
          <w:tab/>
        </w:r>
        <w:r>
          <w:t>1942</w:t>
        </w:r>
      </w:hyperlink>
    </w:p>
    <w:p>
      <w:pPr>
        <w:pStyle w:val="TOC2"/>
      </w:pPr>
      <w:hyperlink w:anchor="_Toc300002126" w:history="1">
        <w:r>
          <w:t>Article 66.40: Verification, Consultation and Cure</w:t>
        </w:r>
        <w:r>
          <w:tab/>
        </w:r>
        <w:r>
          <w:t>1942</w:t>
        </w:r>
      </w:hyperlink>
    </w:p>
    <w:p>
      <w:pPr>
        <w:pStyle w:val="TOC2"/>
      </w:pPr>
      <w:hyperlink w:anchor="_Toc300002127" w:history="1">
        <w:r>
          <w:t>Article 66.41: Proportional Shield-Specific Step-Back and Restoration</w:t>
        </w:r>
        <w:r>
          <w:tab/>
        </w:r>
        <w:r>
          <w:t>1942</w:t>
        </w:r>
      </w:hyperlink>
    </w:p>
    <w:p>
      <w:pPr>
        <w:pStyle w:val="TOC2"/>
      </w:pPr>
      <w:hyperlink w:anchor="_Toc300002128" w:history="1">
        <w:r>
          <w:t>Article 66.42: Review, Pilots and No Automatic Permanence</w:t>
        </w:r>
        <w:r>
          <w:tab/>
        </w:r>
        <w:r>
          <w:t>1943</w:t>
        </w:r>
      </w:hyperlink>
    </w:p>
    <w:p>
      <w:pPr>
        <w:pStyle w:val="TOC2"/>
      </w:pPr>
      <w:hyperlink w:anchor="_Toc300002129" w:history="1">
        <w:r>
          <w:t>ANNEX 66-A: BINDING-OBLIGATION REFERENCE REGISTER (REFERENCE ONLY; OPERATIVE CHAPTER 66 TEXT CONTROLS)</w:t>
        </w:r>
        <w:r>
          <w:tab/>
        </w:r>
        <w:r>
          <w:t>1943</w:t>
        </w:r>
      </w:hyperlink>
    </w:p>
    <w:p>
      <w:pPr>
        <w:pStyle w:val="TOC2"/>
      </w:pPr>
      <w:hyperlink w:anchor="_Toc300002130" w:history="1">
        <w:r>
          <w:t>ANNEX 66-B: OPERATIONAL MECHANISMS REFERENCE REGISTER</w:t>
        </w:r>
        <w:r>
          <w:tab/>
        </w:r>
        <w:r>
          <w:t>1945</w:t>
        </w:r>
      </w:hyperlink>
    </w:p>
    <w:p>
      <w:pPr>
        <w:pStyle w:val="TOC2"/>
      </w:pPr>
      <w:hyperlink w:anchor="_Toc300002131" w:history="1">
        <w:r>
          <w:t>ANNEX 66-C: CONTROLLED NATIONAL IMPLEMENTATION SCHEDULE REGISTER</w:t>
        </w:r>
        <w:r>
          <w:tab/>
        </w:r>
        <w:r>
          <w:t>1948</w:t>
        </w:r>
      </w:hyperlink>
    </w:p>
    <w:p>
      <w:pPr>
        <w:pStyle w:val="TOC2"/>
      </w:pPr>
      <w:hyperlink w:anchor="_Toc300002132" w:history="1">
        <w:r>
          <w:t>ANNEX 66-D: OPTIONAL CONTROLLED PILOT REGISTER</w:t>
        </w:r>
        <w:r>
          <w:tab/>
        </w:r>
        <w:r>
          <w:t>1951</w:t>
        </w:r>
      </w:hyperlink>
    </w:p>
    <w:p>
      <w:pPr>
        <w:pStyle w:val="TOC2"/>
      </w:pPr>
      <w:hyperlink w:anchor="_Toc300002133" w:history="1">
        <w:r>
          <w:t>ANNEX 66-E: NON-BINDING PUBLIC COMMUNICATIONS / VISIBLE-WIN OVERLAY</w:t>
        </w:r>
        <w:r>
          <w:tab/>
        </w:r>
        <w:r>
          <w:t>1951</w:t>
        </w:r>
      </w:hyperlink>
    </w:p>
    <w:p>
      <w:pPr>
        <w:pStyle w:val="TOC2"/>
      </w:pPr>
      <w:hyperlink w:anchor="_Toc300002134" w:history="1">
        <w:r>
          <w:t>ANNEX 66-F: TREATY-WIDE FACT, AUTHORITY AND CLAIM VERIFICATION RULE</w:t>
        </w:r>
        <w:r>
          <w:tab/>
        </w:r>
        <w:r>
          <w:t>1952</w:t>
        </w:r>
      </w:hyperlink>
    </w:p>
    <w:p>
      <w:pPr>
        <w:pStyle w:val="TOC1"/>
      </w:pPr>
      <w:hyperlink w:anchor="_Toc300002135" w:history="1">
        <w:r>
          <w:t>CHAPTER 67: NORTH AMERICAN ARCTIC SECURITY, SOVEREIGNTY AND CONTINENTAL DEFENCE COMPACT</w:t>
        </w:r>
        <w:r>
          <w:tab/>
        </w:r>
        <w:r>
          <w:t>1954</w:t>
        </w:r>
      </w:hyperlink>
    </w:p>
    <w:p>
      <w:pPr>
        <w:pStyle w:val="TOC2"/>
      </w:pPr>
      <w:hyperlink w:anchor="_Toc300002136" w:history="1">
        <w:r>
          <w:t>ARTICLE 67.1: Purpose and Bargain</w:t>
        </w:r>
        <w:r>
          <w:tab/>
        </w:r>
        <w:r>
          <w:t>1954</w:t>
        </w:r>
      </w:hyperlink>
    </w:p>
    <w:p>
      <w:pPr>
        <w:pStyle w:val="TOC2"/>
      </w:pPr>
      <w:hyperlink w:anchor="_Toc300002137" w:history="1">
        <w:r>
          <w:t>ARTICLE 67.2: Governing Principle, Sovereign Infrastructure, Continental Benefit</w:t>
        </w:r>
        <w:r>
          <w:tab/>
        </w:r>
        <w:r>
          <w:t>1954</w:t>
        </w:r>
      </w:hyperlink>
    </w:p>
    <w:p>
      <w:pPr>
        <w:pStyle w:val="TOC2"/>
      </w:pPr>
      <w:hyperlink w:anchor="_Toc300002138" w:history="1">
        <w:r>
          <w:t>ARTICLE 67.3: Canadian Arctic Sovereignty and Legal-Position Savings</w:t>
        </w:r>
        <w:r>
          <w:tab/>
        </w:r>
        <w:r>
          <w:t>1954</w:t>
        </w:r>
      </w:hyperlink>
    </w:p>
    <w:p>
      <w:pPr>
        <w:pStyle w:val="TOC2"/>
      </w:pPr>
      <w:hyperlink w:anchor="_Toc300002139" w:history="1">
        <w:r>
          <w:t>ARTICLE 67.4: Canadian Soil, Canadian Authority</w:t>
        </w:r>
        <w:r>
          <w:tab/>
        </w:r>
        <w:r>
          <w:t>1955</w:t>
        </w:r>
      </w:hyperlink>
    </w:p>
    <w:p>
      <w:pPr>
        <w:pStyle w:val="TOC2"/>
      </w:pPr>
      <w:hyperlink w:anchor="_Toc300002140" w:history="1">
        <w:r>
          <w:t>ARTICLE 67.5: National Command and Capability Without Compulsion</w:t>
        </w:r>
        <w:r>
          <w:tab/>
        </w:r>
        <w:r>
          <w:t>1955</w:t>
        </w:r>
      </w:hyperlink>
    </w:p>
    <w:p>
      <w:pPr>
        <w:pStyle w:val="TOC2"/>
      </w:pPr>
      <w:hyperlink w:anchor="_Toc300002141" w:history="1">
        <w:r>
          <w:t>ARTICLE 67.6: Trilateral Where Functional, Binational Where Operational</w:t>
        </w:r>
        <w:r>
          <w:tab/>
        </w:r>
        <w:r>
          <w:t>1955</w:t>
        </w:r>
      </w:hyperlink>
    </w:p>
    <w:p>
      <w:pPr>
        <w:pStyle w:val="TOC2"/>
      </w:pPr>
      <w:hyperlink w:anchor="_Toc300002142" w:history="1">
        <w:r>
          <w:t>ARTICLE 67.7: Maintain While Modernizing</w:t>
        </w:r>
        <w:r>
          <w:tab/>
        </w:r>
        <w:r>
          <w:t>1955</w:t>
        </w:r>
      </w:hyperlink>
    </w:p>
    <w:p>
      <w:pPr>
        <w:pStyle w:val="TOC2"/>
      </w:pPr>
      <w:hyperlink w:anchor="_Toc300002143" w:history="1">
        <w:r>
          <w:t>ARTICLE 67.8: Public Commitment, Classified Implementation</w:t>
        </w:r>
        <w:r>
          <w:tab/>
        </w:r>
        <w:r>
          <w:t>1955</w:t>
        </w:r>
      </w:hyperlink>
    </w:p>
    <w:p>
      <w:pPr>
        <w:pStyle w:val="TOC2"/>
      </w:pPr>
      <w:hyperlink w:anchor="_Toc300002144" w:history="1">
        <w:r>
          <w:t>ARTICLE 67.9: Interoperability Without Surrender of National Control</w:t>
        </w:r>
        <w:r>
          <w:tab/>
        </w:r>
        <w:r>
          <w:t>1955</w:t>
        </w:r>
      </w:hyperlink>
    </w:p>
    <w:p>
      <w:pPr>
        <w:pStyle w:val="TOC2"/>
      </w:pPr>
      <w:hyperlink w:anchor="_Toc300002145" w:history="1">
        <w:r>
          <w:t>ARTICLE 67.10: Dual-Use Northern Dividend</w:t>
        </w:r>
        <w:r>
          <w:tab/>
        </w:r>
        <w:r>
          <w:t>1955</w:t>
        </w:r>
      </w:hyperlink>
    </w:p>
    <w:p>
      <w:pPr>
        <w:pStyle w:val="TOC2"/>
      </w:pPr>
      <w:hyperlink w:anchor="_Toc300002146" w:history="1">
        <w:r>
          <w:t>ARTICLE 67.11: No Northern Capacity Crowding-Out</w:t>
        </w:r>
        <w:r>
          <w:tab/>
        </w:r>
        <w:r>
          <w:t>1955</w:t>
        </w:r>
      </w:hyperlink>
    </w:p>
    <w:p>
      <w:pPr>
        <w:pStyle w:val="TOC2"/>
      </w:pPr>
      <w:hyperlink w:anchor="_Toc300002147" w:history="1">
        <w:r>
          <w:t>ARTICLE 67.12: Rights First, Partnership By Design</w:t>
        </w:r>
        <w:r>
          <w:tab/>
        </w:r>
        <w:r>
          <w:t>1955</w:t>
        </w:r>
      </w:hyperlink>
    </w:p>
    <w:p>
      <w:pPr>
        <w:pStyle w:val="TOC2"/>
      </w:pPr>
      <w:hyperlink w:anchor="_Toc300002148" w:history="1">
        <w:r>
          <w:t>ARTICLE 67.13: Traditional Knowledge and Cultural Protection</w:t>
        </w:r>
        <w:r>
          <w:tab/>
        </w:r>
        <w:r>
          <w:t>1956</w:t>
        </w:r>
      </w:hyperlink>
    </w:p>
    <w:p>
      <w:pPr>
        <w:pStyle w:val="TOC2"/>
      </w:pPr>
      <w:hyperlink w:anchor="_Toc300002149" w:history="1">
        <w:r>
          <w:t>ARTICLE 67.14: Existing Investment Recognition and Additionality</w:t>
        </w:r>
        <w:r>
          <w:tab/>
        </w:r>
        <w:r>
          <w:t>1956</w:t>
        </w:r>
      </w:hyperlink>
    </w:p>
    <w:p>
      <w:pPr>
        <w:pStyle w:val="TOC2"/>
      </w:pPr>
      <w:hyperlink w:anchor="_Toc300002150" w:history="1">
        <w:r>
          <w:t>ARTICLE 67.15: One Dollar, One Investment</w:t>
        </w:r>
        <w:r>
          <w:tab/>
        </w:r>
        <w:r>
          <w:t>1956</w:t>
        </w:r>
      </w:hyperlink>
    </w:p>
    <w:p>
      <w:pPr>
        <w:pStyle w:val="TOC2"/>
      </w:pPr>
      <w:hyperlink w:anchor="_Toc300002151" w:history="1">
        <w:r>
          <w:t>ARTICLE 67.16: Arctic Investment Ledger</w:t>
        </w:r>
        <w:r>
          <w:tab/>
        </w:r>
        <w:r>
          <w:t>1956</w:t>
        </w:r>
      </w:hyperlink>
    </w:p>
    <w:p>
      <w:pPr>
        <w:pStyle w:val="TOC2"/>
      </w:pPr>
      <w:hyperlink w:anchor="_Toc300002152" w:history="1">
        <w:r>
          <w:t>ARTICLE 67.17: Baseline and Additionality</w:t>
        </w:r>
        <w:r>
          <w:tab/>
        </w:r>
        <w:r>
          <w:t>1957</w:t>
        </w:r>
      </w:hyperlink>
    </w:p>
    <w:p>
      <w:pPr>
        <w:pStyle w:val="TOC2"/>
      </w:pPr>
      <w:hyperlink w:anchor="_Toc300002153" w:history="1">
        <w:r>
          <w:t>ARTICLE 67.18: Independent Baseline and Headline Verification</w:t>
        </w:r>
        <w:r>
          <w:tab/>
        </w:r>
        <w:r>
          <w:t>1957</w:t>
        </w:r>
      </w:hyperlink>
    </w:p>
    <w:p>
      <w:pPr>
        <w:pStyle w:val="TOC2"/>
      </w:pPr>
      <w:hyperlink w:anchor="_Toc300002154" w:history="1">
        <w:r>
          <w:t>ARTICLE 67.19: Northern Warning and Domain Awareness</w:t>
        </w:r>
        <w:r>
          <w:tab/>
        </w:r>
        <w:r>
          <w:t>1957</w:t>
        </w:r>
      </w:hyperlink>
    </w:p>
    <w:p>
      <w:pPr>
        <w:pStyle w:val="TOC2"/>
      </w:pPr>
      <w:hyperlink w:anchor="_Toc300002155" w:history="1">
        <w:r>
          <w:t>ARTICLE 67.20: Northern Airfields, Basing and Operational Support</w:t>
        </w:r>
        <w:r>
          <w:tab/>
        </w:r>
        <w:r>
          <w:t>1958</w:t>
        </w:r>
      </w:hyperlink>
    </w:p>
    <w:p>
      <w:pPr>
        <w:pStyle w:val="TOC2"/>
      </w:pPr>
      <w:hyperlink w:anchor="_Toc300002156" w:history="1">
        <w:r>
          <w:t>ARTICLE 67.21: Ports, Sealift, Ice-Capable and Maritime Support</w:t>
        </w:r>
        <w:r>
          <w:tab/>
        </w:r>
        <w:r>
          <w:t>1958</w:t>
        </w:r>
      </w:hyperlink>
    </w:p>
    <w:p>
      <w:pPr>
        <w:pStyle w:val="TOC2"/>
      </w:pPr>
      <w:hyperlink w:anchor="_Toc300002157" w:history="1">
        <w:r>
          <w:t>ARTICLE 67.22: Undersea Domain and Cable Protection</w:t>
        </w:r>
        <w:r>
          <w:tab/>
        </w:r>
        <w:r>
          <w:t>1958</w:t>
        </w:r>
      </w:hyperlink>
    </w:p>
    <w:p>
      <w:pPr>
        <w:pStyle w:val="TOC2"/>
      </w:pPr>
      <w:hyperlink w:anchor="_Toc300002158" w:history="1">
        <w:r>
          <w:t>ARTICLE 67.23: Airborne Early Warning and Air-Defence Evolution</w:t>
        </w:r>
        <w:r>
          <w:tab/>
        </w:r>
        <w:r>
          <w:t>1959</w:t>
        </w:r>
      </w:hyperlink>
    </w:p>
    <w:p>
      <w:pPr>
        <w:pStyle w:val="TOC2"/>
      </w:pPr>
      <w:hyperlink w:anchor="_Toc300002159" w:history="1">
        <w:r>
          <w:t>ARTICLE 67.24: Polar Communications, Space and C4ISR Resilience</w:t>
        </w:r>
        <w:r>
          <w:tab/>
        </w:r>
        <w:r>
          <w:t>1959</w:t>
        </w:r>
      </w:hyperlink>
    </w:p>
    <w:p>
      <w:pPr>
        <w:pStyle w:val="TOC2"/>
      </w:pPr>
      <w:hyperlink w:anchor="_Toc300002160" w:history="1">
        <w:r>
          <w:t>ARTICLE 67.25: Northern Strategic Mobility and Logistics</w:t>
        </w:r>
        <w:r>
          <w:tab/>
        </w:r>
        <w:r>
          <w:t>1959</w:t>
        </w:r>
      </w:hyperlink>
    </w:p>
    <w:p>
      <w:pPr>
        <w:pStyle w:val="TOC2"/>
      </w:pPr>
      <w:hyperlink w:anchor="_Toc300002161" w:history="1">
        <w:r>
          <w:t>ARTICLE 67.26: Northern Energy and Fuel Resilience</w:t>
        </w:r>
        <w:r>
          <w:tab/>
        </w:r>
        <w:r>
          <w:t>1959</w:t>
        </w:r>
      </w:hyperlink>
    </w:p>
    <w:p>
      <w:pPr>
        <w:pStyle w:val="TOC2"/>
      </w:pPr>
      <w:hyperlink w:anchor="_Toc300002162" w:history="1">
        <w:r>
          <w:t>ARTICLE 67.27: Search and Rescue, Health and Human Security</w:t>
        </w:r>
        <w:r>
          <w:tab/>
        </w:r>
        <w:r>
          <w:t>1960</w:t>
        </w:r>
      </w:hyperlink>
    </w:p>
    <w:p>
      <w:pPr>
        <w:pStyle w:val="TOC2"/>
      </w:pPr>
      <w:hyperlink w:anchor="_Toc300002163" w:history="1">
        <w:r>
          <w:t>ARTICLE 67.28: Climate, Science, Environment and Ocean Governance</w:t>
        </w:r>
        <w:r>
          <w:tab/>
        </w:r>
        <w:r>
          <w:t>1960</w:t>
        </w:r>
      </w:hyperlink>
    </w:p>
    <w:p>
      <w:pPr>
        <w:pStyle w:val="TOC2"/>
      </w:pPr>
      <w:hyperlink w:anchor="_Toc300002164" w:history="1">
        <w:r>
          <w:t>ARTICLE 67.29: North American Arctic Industrial Base</w:t>
        </w:r>
        <w:r>
          <w:tab/>
        </w:r>
        <w:r>
          <w:t>1960</w:t>
        </w:r>
      </w:hyperlink>
    </w:p>
    <w:p>
      <w:pPr>
        <w:pStyle w:val="TOC2"/>
      </w:pPr>
      <w:hyperlink w:anchor="_Toc300002165" w:history="1">
        <w:r>
          <w:t>ARTICLE 67.30: Procurement Is Opportunity, Not Award</w:t>
        </w:r>
        <w:r>
          <w:tab/>
        </w:r>
        <w:r>
          <w:t>1961</w:t>
        </w:r>
      </w:hyperlink>
    </w:p>
    <w:p>
      <w:pPr>
        <w:pStyle w:val="TOC2"/>
      </w:pPr>
      <w:hyperlink w:anchor="_Toc300002166" w:history="1">
        <w:r>
          <w:t>ARTICLE 67.31: Workforce and Northern Capacity</w:t>
        </w:r>
        <w:r>
          <w:tab/>
        </w:r>
        <w:r>
          <w:t>1961</w:t>
        </w:r>
      </w:hyperlink>
    </w:p>
    <w:p>
      <w:pPr>
        <w:pStyle w:val="TOC2"/>
      </w:pPr>
      <w:hyperlink w:anchor="_Toc300002167" w:history="1">
        <w:r>
          <w:t>ARTICLE 67.32: Northern Vigilance Scorecard</w:t>
        </w:r>
        <w:r>
          <w:tab/>
        </w:r>
        <w:r>
          <w:t>1961</w:t>
        </w:r>
      </w:hyperlink>
    </w:p>
    <w:p>
      <w:pPr>
        <w:pStyle w:val="TOC2"/>
      </w:pPr>
      <w:hyperlink w:anchor="_Toc300002168" w:history="1">
        <w:r>
          <w:t>ARTICLE 67.33: State of the Vigilant North</w:t>
        </w:r>
        <w:r>
          <w:tab/>
        </w:r>
        <w:r>
          <w:t>1961</w:t>
        </w:r>
      </w:hyperlink>
    </w:p>
    <w:p>
      <w:pPr>
        <w:pStyle w:val="TOC2"/>
      </w:pPr>
      <w:hyperlink w:anchor="_Toc300002169" w:history="1">
        <w:r>
          <w:t>ARTICLE 67.34: No Zombie Projects</w:t>
        </w:r>
        <w:r>
          <w:tab/>
        </w:r>
        <w:r>
          <w:t>1962</w:t>
        </w:r>
      </w:hyperlink>
    </w:p>
    <w:p>
      <w:pPr>
        <w:pStyle w:val="TOC2"/>
      </w:pPr>
      <w:hyperlink w:anchor="_Toc300002170" w:history="1">
        <w:r>
          <w:t>ARTICLE 67.35: Project Verification Ladder</w:t>
        </w:r>
        <w:r>
          <w:tab/>
        </w:r>
        <w:r>
          <w:t>1962</w:t>
        </w:r>
      </w:hyperlink>
    </w:p>
    <w:p>
      <w:pPr>
        <w:pStyle w:val="TOC2"/>
      </w:pPr>
      <w:hyperlink w:anchor="_Toc300002171" w:history="1">
        <w:r>
          <w:t>ARTICLE 67.36: Project Scheduling and No Automatic Approval</w:t>
        </w:r>
        <w:r>
          <w:tab/>
        </w:r>
        <w:r>
          <w:t>1962</w:t>
        </w:r>
      </w:hyperlink>
    </w:p>
    <w:p>
      <w:pPr>
        <w:pStyle w:val="TOC2"/>
      </w:pPr>
      <w:hyperlink w:anchor="_Toc300002172" w:history="1">
        <w:r>
          <w:t>ARTICLE 67.37: Northern Vigilance Milestone Certification</w:t>
        </w:r>
        <w:r>
          <w:tab/>
        </w:r>
        <w:r>
          <w:t>1962</w:t>
        </w:r>
      </w:hyperlink>
    </w:p>
    <w:p>
      <w:pPr>
        <w:pStyle w:val="TOC2"/>
      </w:pPr>
      <w:hyperlink w:anchor="_Toc300002173" w:history="1">
        <w:r>
          <w:t>ARTICLE 67.38: Controlled-Capability Ladder</w:t>
        </w:r>
        <w:r>
          <w:tab/>
        </w:r>
        <w:r>
          <w:t>1962</w:t>
        </w:r>
      </w:hyperlink>
    </w:p>
    <w:p>
      <w:pPr>
        <w:pStyle w:val="TOC2"/>
      </w:pPr>
      <w:hyperlink w:anchor="_Toc300002174" w:history="1">
        <w:r>
          <w:t>ARTICLE 67.39: Data Governance and Sensitive Information</w:t>
        </w:r>
        <w:r>
          <w:tab/>
        </w:r>
        <w:r>
          <w:t>1963</w:t>
        </w:r>
      </w:hyperlink>
    </w:p>
    <w:p>
      <w:pPr>
        <w:pStyle w:val="TOC2"/>
      </w:pPr>
      <w:hyperlink w:anchor="_Toc300002175" w:history="1">
        <w:r>
          <w:t>ARTICLE 67.40: Foreign Personnel, Liability and Status</w:t>
        </w:r>
        <w:r>
          <w:tab/>
        </w:r>
        <w:r>
          <w:t>1963</w:t>
        </w:r>
      </w:hyperlink>
    </w:p>
    <w:p>
      <w:pPr>
        <w:pStyle w:val="TOC2"/>
      </w:pPr>
      <w:hyperlink w:anchor="_Toc300002176" w:history="1">
        <w:r>
          <w:t>ARTICLE 67.41: Environmental and Procurement Integrity</w:t>
        </w:r>
        <w:r>
          <w:tab/>
        </w:r>
        <w:r>
          <w:t>1963</w:t>
        </w:r>
      </w:hyperlink>
    </w:p>
    <w:p>
      <w:pPr>
        <w:pStyle w:val="TOC2"/>
      </w:pPr>
      <w:hyperlink w:anchor="_Toc300002177" w:history="1">
        <w:r>
          <w:t>ARTICLE 67.42: Security Performance and Good-Faith Implementation</w:t>
        </w:r>
        <w:r>
          <w:tab/>
        </w:r>
        <w:r>
          <w:t>1963</w:t>
        </w:r>
      </w:hyperlink>
    </w:p>
    <w:p>
      <w:pPr>
        <w:pStyle w:val="TOC2"/>
      </w:pPr>
      <w:hyperlink w:anchor="_Toc300002178" w:history="1">
        <w:r>
          <w:t>ARTICLE 67.43: Verification, Consultation and Cure</w:t>
        </w:r>
        <w:r>
          <w:tab/>
        </w:r>
        <w:r>
          <w:t>1963</w:t>
        </w:r>
      </w:hyperlink>
    </w:p>
    <w:p>
      <w:pPr>
        <w:pStyle w:val="TOC2"/>
      </w:pPr>
      <w:hyperlink w:anchor="_Toc300002179" w:history="1">
        <w:r>
          <w:t>ARTICLE 67.44: Proportional Northern-Vigilance Step-Back</w:t>
        </w:r>
        <w:r>
          <w:tab/>
        </w:r>
        <w:r>
          <w:t>1963</w:t>
        </w:r>
      </w:hyperlink>
    </w:p>
    <w:p>
      <w:pPr>
        <w:pStyle w:val="TOC2"/>
      </w:pPr>
      <w:hyperlink w:anchor="_Toc300002180" w:history="1">
        <w:r>
          <w:t>ARTICLE 67.45: Automatic Restoration After Cure</w:t>
        </w:r>
        <w:r>
          <w:tab/>
        </w:r>
        <w:r>
          <w:t>1964</w:t>
        </w:r>
      </w:hyperlink>
    </w:p>
    <w:p>
      <w:pPr>
        <w:pStyle w:val="TOC2"/>
      </w:pPr>
      <w:hyperlink w:anchor="_Toc300002181" w:history="1">
        <w:r>
          <w:t>ARTICLE 67.46: Trade-Measure Exclusion and Covered-Rationale Exhaustion</w:t>
        </w:r>
        <w:r>
          <w:tab/>
        </w:r>
        <w:r>
          <w:t>1964</w:t>
        </w:r>
      </w:hyperlink>
    </w:p>
    <w:p>
      <w:pPr>
        <w:pStyle w:val="TOC2"/>
      </w:pPr>
      <w:hyperlink w:anchor="_Toc300002182" w:history="1">
        <w:r>
          <w:t>ARTICLE 67.47: Review, Renewal and Orderly Wind-Down</w:t>
        </w:r>
        <w:r>
          <w:tab/>
        </w:r>
        <w:r>
          <w:t>1964</w:t>
        </w:r>
      </w:hyperlink>
    </w:p>
    <w:p>
      <w:pPr>
        <w:pStyle w:val="TOC2"/>
      </w:pPr>
      <w:hyperlink w:anchor="_Toc300002183" w:history="1">
        <w:r>
          <w:t>ANNEX 67-A: CORNERSTONE OBLIGATIONS REFERENCE REGISTER (OPERATIVE CHAPTER 67 TEXT CONTROLS)</w:t>
        </w:r>
        <w:r>
          <w:tab/>
        </w:r>
        <w:r>
          <w:t>1965</w:t>
        </w:r>
      </w:hyperlink>
    </w:p>
    <w:p>
      <w:pPr>
        <w:pStyle w:val="TOC2"/>
      </w:pPr>
      <w:hyperlink w:anchor="_Toc300002184" w:history="1">
        <w:r>
          <w:t>ANNEX 67-B: OPERATIONAL AND CAPABILITY MECHANISM REGISTER (LAYER TWO TECHNICAL IMPLEMENTATION REGISTER)</w:t>
        </w:r>
        <w:r>
          <w:tab/>
        </w:r>
        <w:r>
          <w:t>1966</w:t>
        </w:r>
      </w:hyperlink>
    </w:p>
    <w:p>
      <w:pPr>
        <w:pStyle w:val="TOC2"/>
      </w:pPr>
      <w:hyperlink w:anchor="_Toc300002185" w:history="1">
        <w:r>
          <w:t>ANNEX 67-C: PROJECT AND INVESTMENT CANDIDATE REGISTER (121)</w:t>
        </w:r>
        <w:r>
          <w:tab/>
        </w:r>
        <w:r>
          <w:t>1971</w:t>
        </w:r>
      </w:hyperlink>
    </w:p>
    <w:p>
      <w:pPr>
        <w:pStyle w:val="TOC2"/>
      </w:pPr>
      <w:hyperlink w:anchor="_Toc300002186" w:history="1">
        <w:r>
          <w:t>ANNEX 67-D: CONTROLLED-CAPABILITY REGISTER (7)</w:t>
        </w:r>
        <w:r>
          <w:tab/>
        </w:r>
        <w:r>
          <w:t>1976</w:t>
        </w:r>
      </w:hyperlink>
    </w:p>
    <w:p>
      <w:pPr>
        <w:pStyle w:val="TOC2"/>
      </w:pPr>
      <w:hyperlink w:anchor="_Toc300002187" w:history="1">
        <w:r>
          <w:t>ANNEX 67-E: VISIBLE NORTHERN VIGILANCE TROPHY OVERLAY (30)</w:t>
        </w:r>
        <w:r>
          <w:tab/>
        </w:r>
        <w:r>
          <w:t>1977</w:t>
        </w:r>
      </w:hyperlink>
    </w:p>
    <w:p>
      <w:pPr>
        <w:pStyle w:val="TOC2"/>
      </w:pPr>
      <w:hyperlink w:anchor="_Toc300002188" w:history="1">
        <w:r>
          <w:t>ANNEX 67-F: PROJECT STATUS, CLAIM AND ACCOUNTING VERIFICATION RULE</w:t>
        </w:r>
        <w:r>
          <w:tab/>
        </w:r>
        <w:r>
          <w:t>1979</w:t>
        </w:r>
      </w:hyperlink>
    </w:p>
    <w:p>
      <w:pPr>
        <w:pStyle w:val="TOC1"/>
      </w:pPr>
      <w:hyperlink w:anchor="_Toc300002189" w:history="1">
        <w:r>
          <w:t>CHAPTER 68: GREAT WHALE COMPACT: NORTH AMERICAN CETACEAN RECOVERY, SAFETY AND STEWARDSHIP</w:t>
        </w:r>
        <w:r>
          <w:tab/>
        </w:r>
        <w:r>
          <w:t>1980</w:t>
        </w:r>
      </w:hyperlink>
    </w:p>
    <w:p>
      <w:pPr>
        <w:pStyle w:val="TOC2"/>
      </w:pPr>
      <w:hyperlink w:anchor="_Toc300002190" w:history="1">
        <w:r>
          <w:t>68.1. Purpose and Great Whale Bargain.</w:t>
        </w:r>
        <w:r>
          <w:tab/>
        </w:r>
        <w:r>
          <w:t>1980</w:t>
        </w:r>
      </w:hyperlink>
    </w:p>
    <w:p>
      <w:pPr>
        <w:pStyle w:val="TOC2"/>
      </w:pPr>
      <w:hyperlink w:anchor="_Toc300002191" w:history="1">
        <w:r>
          <w:t>68.2. National Sovereignty and Domestic Authority.</w:t>
        </w:r>
        <w:r>
          <w:tab/>
        </w:r>
        <w:r>
          <w:t>1980</w:t>
        </w:r>
      </w:hyperlink>
    </w:p>
    <w:p>
      <w:pPr>
        <w:pStyle w:val="TOC2"/>
      </w:pPr>
      <w:hyperlink w:anchor="_Toc300002192" w:history="1">
        <w:r>
          <w:t>68.3. Existing Institutions Before New Institutions.</w:t>
        </w:r>
        <w:r>
          <w:tab/>
        </w:r>
        <w:r>
          <w:t>1980</w:t>
        </w:r>
      </w:hyperlink>
    </w:p>
    <w:p>
      <w:pPr>
        <w:pStyle w:val="TOC2"/>
      </w:pPr>
      <w:hyperlink w:anchor="_Toc300002193" w:history="1">
        <w:r>
          <w:t>68.4. Science-First Decisionmaking.</w:t>
        </w:r>
        <w:r>
          <w:tab/>
        </w:r>
        <w:r>
          <w:t>1980</w:t>
        </w:r>
      </w:hyperlink>
    </w:p>
    <w:p>
      <w:pPr>
        <w:pStyle w:val="TOC2"/>
      </w:pPr>
      <w:hyperlink w:anchor="_Toc300002194" w:history="1">
        <w:r>
          <w:t>68.5. Least-Burdensome Effective Protection.</w:t>
        </w:r>
        <w:r>
          <w:tab/>
        </w:r>
        <w:r>
          <w:t>1980</w:t>
        </w:r>
      </w:hyperlink>
    </w:p>
    <w:p>
      <w:pPr>
        <w:pStyle w:val="TOC2"/>
      </w:pPr>
      <w:hyperlink w:anchor="_Toc300002195" w:history="1">
        <w:r>
          <w:t>68.6. Adaptive Management.</w:t>
        </w:r>
        <w:r>
          <w:tab/>
        </w:r>
        <w:r>
          <w:t>1981</w:t>
        </w:r>
      </w:hyperlink>
    </w:p>
    <w:p>
      <w:pPr>
        <w:pStyle w:val="TOC2"/>
      </w:pPr>
      <w:hyperlink w:anchor="_Toc300002196" w:history="1">
        <w:r>
          <w:t>68.7. Activation and Deactivation.</w:t>
        </w:r>
        <w:r>
          <w:tab/>
        </w:r>
        <w:r>
          <w:t>1981</w:t>
        </w:r>
      </w:hyperlink>
    </w:p>
    <w:p>
      <w:pPr>
        <w:pStyle w:val="TOC2"/>
      </w:pPr>
      <w:hyperlink w:anchor="_Toc300002197" w:history="1">
        <w:r>
          <w:t>68.8. Human Authority Over Automated Consequences.</w:t>
        </w:r>
        <w:r>
          <w:tab/>
        </w:r>
        <w:r>
          <w:t>1981</w:t>
        </w:r>
      </w:hyperlink>
    </w:p>
    <w:p>
      <w:pPr>
        <w:pStyle w:val="TOC2"/>
      </w:pPr>
      <w:hyperlink w:anchor="_Toc300002198" w:history="1">
        <w:r>
          <w:t>68.9. Species-Appropriate Protection.</w:t>
        </w:r>
        <w:r>
          <w:tab/>
        </w:r>
        <w:r>
          <w:t>1981</w:t>
        </w:r>
      </w:hyperlink>
    </w:p>
    <w:p>
      <w:pPr>
        <w:pStyle w:val="TOC2"/>
      </w:pPr>
      <w:hyperlink w:anchor="_Toc300002199" w:history="1">
        <w:r>
          <w:t>68.10. Avoidable Governance Failure.</w:t>
        </w:r>
        <w:r>
          <w:tab/>
        </w:r>
        <w:r>
          <w:t>1981</w:t>
        </w:r>
      </w:hyperlink>
    </w:p>
    <w:p>
      <w:pPr>
        <w:pStyle w:val="TOC2"/>
      </w:pPr>
      <w:hyperlink w:anchor="_Toc300002200" w:history="1">
        <w:r>
          <w:t>68.11. Indigenous Rights Savings.</w:t>
        </w:r>
        <w:r>
          <w:tab/>
        </w:r>
        <w:r>
          <w:t>1981</w:t>
        </w:r>
      </w:hyperlink>
    </w:p>
    <w:p>
      <w:pPr>
        <w:pStyle w:val="TOC2"/>
      </w:pPr>
      <w:hyperlink w:anchor="_Toc300002201" w:history="1">
        <w:r>
          <w:t>68.12. Indigenous Knowledge and Data Governance.</w:t>
        </w:r>
        <w:r>
          <w:tab/>
        </w:r>
        <w:r>
          <w:t>1981</w:t>
        </w:r>
      </w:hyperlink>
    </w:p>
    <w:p>
      <w:pPr>
        <w:pStyle w:val="TOC2"/>
      </w:pPr>
      <w:hyperlink w:anchor="_Toc300002202" w:history="1">
        <w:r>
          <w:t>68.13. Vessel-Strike Reduction.</w:t>
        </w:r>
        <w:r>
          <w:tab/>
        </w:r>
        <w:r>
          <w:t>1981</w:t>
        </w:r>
      </w:hyperlink>
    </w:p>
    <w:p>
      <w:pPr>
        <w:pStyle w:val="TOC2"/>
      </w:pPr>
      <w:hyperlink w:anchor="_Toc300002203" w:history="1">
        <w:r>
          <w:t>68.14. Entanglement Reduction.</w:t>
        </w:r>
        <w:r>
          <w:tab/>
        </w:r>
        <w:r>
          <w:t>1982</w:t>
        </w:r>
      </w:hyperlink>
    </w:p>
    <w:p>
      <w:pPr>
        <w:pStyle w:val="TOC2"/>
      </w:pPr>
      <w:hyperlink w:anchor="_Toc300002204" w:history="1">
        <w:r>
          <w:t>68.15. Whale-Safe Fishing Transition.</w:t>
        </w:r>
        <w:r>
          <w:tab/>
        </w:r>
        <w:r>
          <w:t>1982</w:t>
        </w:r>
      </w:hyperlink>
    </w:p>
    <w:p>
      <w:pPr>
        <w:pStyle w:val="TOC2"/>
      </w:pPr>
      <w:hyperlink w:anchor="_Toc300002205" w:history="1">
        <w:r>
          <w:t>68.16. Ghost-Gear Prevention and Recovery.</w:t>
        </w:r>
        <w:r>
          <w:tab/>
        </w:r>
        <w:r>
          <w:t>1982</w:t>
        </w:r>
      </w:hyperlink>
    </w:p>
    <w:p>
      <w:pPr>
        <w:pStyle w:val="TOC2"/>
      </w:pPr>
      <w:hyperlink w:anchor="_Toc300002206" w:history="1">
        <w:r>
          <w:t>68.17. Continental Detection Cooperation.</w:t>
        </w:r>
        <w:r>
          <w:tab/>
        </w:r>
        <w:r>
          <w:t>1982</w:t>
        </w:r>
      </w:hyperlink>
    </w:p>
    <w:p>
      <w:pPr>
        <w:pStyle w:val="TOC2"/>
      </w:pPr>
      <w:hyperlink w:anchor="_Toc300002207" w:history="1">
        <w:r>
          <w:t>68.18. Detection Reliability.</w:t>
        </w:r>
        <w:r>
          <w:tab/>
        </w:r>
        <w:r>
          <w:t>1982</w:t>
        </w:r>
      </w:hyperlink>
    </w:p>
    <w:p>
      <w:pPr>
        <w:pStyle w:val="TOC2"/>
      </w:pPr>
      <w:hyperlink w:anchor="_Toc300002208" w:history="1">
        <w:r>
          <w:t>68.19. Stranding and Disentanglement Readiness.</w:t>
        </w:r>
        <w:r>
          <w:tab/>
        </w:r>
        <w:r>
          <w:t>1982</w:t>
        </w:r>
      </w:hyperlink>
    </w:p>
    <w:p>
      <w:pPr>
        <w:pStyle w:val="TOC2"/>
      </w:pPr>
      <w:hyperlink w:anchor="_Toc300002209" w:history="1">
        <w:r>
          <w:t>68.20. Veterinary and Mortality Investigation.</w:t>
        </w:r>
        <w:r>
          <w:tab/>
        </w:r>
        <w:r>
          <w:t>1982</w:t>
        </w:r>
      </w:hyperlink>
    </w:p>
    <w:p>
      <w:pPr>
        <w:pStyle w:val="TOC2"/>
      </w:pPr>
      <w:hyperlink w:anchor="_Toc300002210" w:history="1">
        <w:r>
          <w:t>68.21. Critical Habitat and Recovery Cooperation.</w:t>
        </w:r>
        <w:r>
          <w:tab/>
        </w:r>
        <w:r>
          <w:t>1982</w:t>
        </w:r>
      </w:hyperlink>
    </w:p>
    <w:p>
      <w:pPr>
        <w:pStyle w:val="TOC2"/>
      </w:pPr>
      <w:hyperlink w:anchor="_Toc300002211" w:history="1">
        <w:r>
          <w:t>68.22. Underwater Noise Risk Reduction.</w:t>
        </w:r>
        <w:r>
          <w:tab/>
        </w:r>
        <w:r>
          <w:t>1982</w:t>
        </w:r>
      </w:hyperlink>
    </w:p>
    <w:p>
      <w:pPr>
        <w:pStyle w:val="TOC2"/>
      </w:pPr>
      <w:hyperlink w:anchor="_Toc300002212" w:history="1">
        <w:r>
          <w:t>68.23. Government Fleet Leadership.</w:t>
        </w:r>
        <w:r>
          <w:tab/>
        </w:r>
        <w:r>
          <w:t>1983</w:t>
        </w:r>
      </w:hyperlink>
    </w:p>
    <w:p>
      <w:pPr>
        <w:pStyle w:val="TOC2"/>
      </w:pPr>
      <w:hyperlink w:anchor="_Toc300002213" w:history="1">
        <w:r>
          <w:t>68.24. Contaminant and Ecosystem Health Cooperation.</w:t>
        </w:r>
        <w:r>
          <w:tab/>
        </w:r>
        <w:r>
          <w:t>1983</w:t>
        </w:r>
      </w:hyperlink>
    </w:p>
    <w:p>
      <w:pPr>
        <w:pStyle w:val="TOC2"/>
      </w:pPr>
      <w:hyperlink w:anchor="_Toc300002214" w:history="1">
        <w:r>
          <w:t>68.25. Prey and Forage-Ecosystem Consideration.</w:t>
        </w:r>
        <w:r>
          <w:tab/>
        </w:r>
        <w:r>
          <w:t>1983</w:t>
        </w:r>
      </w:hyperlink>
    </w:p>
    <w:p>
      <w:pPr>
        <w:pStyle w:val="TOC2"/>
      </w:pPr>
      <w:hyperlink w:anchor="_Toc300002215" w:history="1">
        <w:r>
          <w:t>68.26. Climate-Responsive Management.</w:t>
        </w:r>
        <w:r>
          <w:tab/>
        </w:r>
        <w:r>
          <w:t>1983</w:t>
        </w:r>
      </w:hyperlink>
    </w:p>
    <w:p>
      <w:pPr>
        <w:pStyle w:val="TOC2"/>
      </w:pPr>
      <w:hyperlink w:anchor="_Toc300002216" w:history="1">
        <w:r>
          <w:t>68.27. Whale-Sensitive Ports and Coastal Development.</w:t>
        </w:r>
        <w:r>
          <w:tab/>
        </w:r>
        <w:r>
          <w:t>1983</w:t>
        </w:r>
      </w:hyperlink>
    </w:p>
    <w:p>
      <w:pPr>
        <w:pStyle w:val="TOC2"/>
      </w:pPr>
      <w:hyperlink w:anchor="_Toc300002217" w:history="1">
        <w:r>
          <w:t>68.28. Offshore Activity Assessment.</w:t>
        </w:r>
        <w:r>
          <w:tab/>
        </w:r>
        <w:r>
          <w:t>1983</w:t>
        </w:r>
      </w:hyperlink>
    </w:p>
    <w:p>
      <w:pPr>
        <w:pStyle w:val="TOC2"/>
      </w:pPr>
      <w:hyperlink w:anchor="_Toc300002218" w:history="1">
        <w:r>
          <w:t>68.29. Captive-Cetacean Minimum Welfare.</w:t>
        </w:r>
        <w:r>
          <w:tab/>
        </w:r>
        <w:r>
          <w:t>1983</w:t>
        </w:r>
      </w:hyperlink>
    </w:p>
    <w:p>
      <w:pPr>
        <w:pStyle w:val="TOC2"/>
      </w:pPr>
      <w:hyperlink w:anchor="_Toc300002219" w:history="1">
        <w:r>
          <w:t>68.30. No Avoidable Welfare Regression.</w:t>
        </w:r>
        <w:r>
          <w:tab/>
        </w:r>
        <w:r>
          <w:t>1983</w:t>
        </w:r>
      </w:hyperlink>
    </w:p>
    <w:p>
      <w:pPr>
        <w:pStyle w:val="TOC2"/>
      </w:pPr>
      <w:hyperlink w:anchor="_Toc300002220" w:history="1">
        <w:r>
          <w:t>68.31. Legacy Animal Individual Care.</w:t>
        </w:r>
        <w:r>
          <w:tab/>
        </w:r>
        <w:r>
          <w:t>1984</w:t>
        </w:r>
      </w:hyperlink>
    </w:p>
    <w:p>
      <w:pPr>
        <w:pStyle w:val="TOC2"/>
      </w:pPr>
      <w:hyperlink w:anchor="_Toc300002221" w:history="1">
        <w:r>
          <w:t>68.32. Qualified Sanctuary Pathway.</w:t>
        </w:r>
        <w:r>
          <w:tab/>
        </w:r>
        <w:r>
          <w:t>1984</w:t>
        </w:r>
      </w:hyperlink>
    </w:p>
    <w:p>
      <w:pPr>
        <w:pStyle w:val="TOC2"/>
      </w:pPr>
      <w:hyperlink w:anchor="_Toc300002222" w:history="1">
        <w:r>
          <w:t>68.33. Rescue-versus-Display Firewall.</w:t>
        </w:r>
        <w:r>
          <w:tab/>
        </w:r>
        <w:r>
          <w:t>1984</w:t>
        </w:r>
      </w:hyperlink>
    </w:p>
    <w:p>
      <w:pPr>
        <w:pStyle w:val="TOC2"/>
      </w:pPr>
      <w:hyperlink w:anchor="_Toc300002223" w:history="1">
        <w:r>
          <w:t>68.34. Research Ethics.</w:t>
        </w:r>
        <w:r>
          <w:tab/>
        </w:r>
        <w:r>
          <w:t>1984</w:t>
        </w:r>
      </w:hyperlink>
    </w:p>
    <w:p>
      <w:pPr>
        <w:pStyle w:val="TOC2"/>
      </w:pPr>
      <w:hyperlink w:anchor="_Toc300002224" w:history="1">
        <w:r>
          <w:t>68.35. Open Where Safe, Protected Where Necessary.</w:t>
        </w:r>
        <w:r>
          <w:tab/>
        </w:r>
        <w:r>
          <w:t>1984</w:t>
        </w:r>
      </w:hyperlink>
    </w:p>
    <w:p>
      <w:pPr>
        <w:pStyle w:val="TOC2"/>
      </w:pPr>
      <w:hyperlink w:anchor="_Toc300002225" w:history="1">
        <w:r>
          <w:t>68.36. Cross-Border Research Cooperation.</w:t>
        </w:r>
        <w:r>
          <w:tab/>
        </w:r>
        <w:r>
          <w:t>1984</w:t>
        </w:r>
      </w:hyperlink>
    </w:p>
    <w:p>
      <w:pPr>
        <w:pStyle w:val="TOC2"/>
      </w:pPr>
      <w:hyperlink w:anchor="_Toc300002226" w:history="1">
        <w:r>
          <w:t>68.37. Measurement Integrity.</w:t>
        </w:r>
        <w:r>
          <w:tab/>
        </w:r>
        <w:r>
          <w:t>1984</w:t>
        </w:r>
      </w:hyperlink>
    </w:p>
    <w:p>
      <w:pPr>
        <w:pStyle w:val="TOC2"/>
      </w:pPr>
      <w:hyperlink w:anchor="_Toc300002227" w:history="1">
        <w:r>
          <w:t>68.38. Recovery-Plan Implementation Review.</w:t>
        </w:r>
        <w:r>
          <w:tab/>
        </w:r>
        <w:r>
          <w:t>1984</w:t>
        </w:r>
      </w:hyperlink>
    </w:p>
    <w:p>
      <w:pPr>
        <w:pStyle w:val="TOC2"/>
      </w:pPr>
      <w:hyperlink w:anchor="_Toc300002228" w:history="1">
        <w:r>
          <w:t>68.39. Fisher and Coastal-Community Transition.</w:t>
        </w:r>
        <w:r>
          <w:tab/>
        </w:r>
        <w:r>
          <w:t>1984</w:t>
        </w:r>
      </w:hyperlink>
    </w:p>
    <w:p>
      <w:pPr>
        <w:pStyle w:val="TOC2"/>
      </w:pPr>
      <w:hyperlink w:anchor="_Toc300002229" w:history="1">
        <w:r>
          <w:t>68.40. No Compensation for Ordinary Compliance.</w:t>
        </w:r>
        <w:r>
          <w:tab/>
        </w:r>
        <w:r>
          <w:t>1985</w:t>
        </w:r>
      </w:hyperlink>
    </w:p>
    <w:p>
      <w:pPr>
        <w:pStyle w:val="TOC2"/>
      </w:pPr>
      <w:hyperlink w:anchor="_Toc300002230" w:history="1">
        <w:r>
          <w:t>68.41. Extraordinary Transition Assistance.</w:t>
        </w:r>
        <w:r>
          <w:tab/>
        </w:r>
        <w:r>
          <w:t>1985</w:t>
        </w:r>
      </w:hyperlink>
    </w:p>
    <w:p>
      <w:pPr>
        <w:pStyle w:val="TOC2"/>
      </w:pPr>
      <w:hyperlink w:anchor="_Toc300002231" w:history="1">
        <w:r>
          <w:t>68.42. Whale-Safe Procurement and Certification.</w:t>
        </w:r>
        <w:r>
          <w:tab/>
        </w:r>
        <w:r>
          <w:t>1985</w:t>
        </w:r>
      </w:hyperlink>
    </w:p>
    <w:p>
      <w:pPr>
        <w:pStyle w:val="TOC2"/>
      </w:pPr>
      <w:hyperlink w:anchor="_Toc300002232" w:history="1">
        <w:r>
          <w:t>68.43. No Arbitrary Whale-Based Trade Restriction.</w:t>
        </w:r>
        <w:r>
          <w:tab/>
        </w:r>
        <w:r>
          <w:t>1985</w:t>
        </w:r>
      </w:hyperlink>
    </w:p>
    <w:p>
      <w:pPr>
        <w:pStyle w:val="TOC2"/>
      </w:pPr>
      <w:hyperlink w:anchor="_Toc300002233" w:history="1">
        <w:r>
          <w:t>68.44. Domestic Enforcement and Due Process.</w:t>
        </w:r>
        <w:r>
          <w:tab/>
        </w:r>
        <w:r>
          <w:t>1985</w:t>
        </w:r>
      </w:hyperlink>
    </w:p>
    <w:p>
      <w:pPr>
        <w:pStyle w:val="TOC2"/>
      </w:pPr>
      <w:hyperlink w:anchor="_Toc300002234" w:history="1">
        <w:r>
          <w:t>68.45. Whale Disputes Stay in Whale Machinery.</w:t>
        </w:r>
        <w:r>
          <w:tab/>
        </w:r>
        <w:r>
          <w:t>1985</w:t>
        </w:r>
      </w:hyperlink>
    </w:p>
    <w:p>
      <w:pPr>
        <w:pStyle w:val="TOC2"/>
      </w:pPr>
      <w:hyperlink w:anchor="_Toc300002235" w:history="1">
        <w:r>
          <w:t>68.46. No Unrelated Tariff Retaliation.</w:t>
        </w:r>
        <w:r>
          <w:tab/>
        </w:r>
        <w:r>
          <w:t>1985</w:t>
        </w:r>
      </w:hyperlink>
    </w:p>
    <w:p>
      <w:pPr>
        <w:pStyle w:val="TOC2"/>
      </w:pPr>
      <w:hyperlink w:anchor="_Toc300002236" w:history="1">
        <w:r>
          <w:t>68.47. Verification, Consultation and Cure.</w:t>
        </w:r>
        <w:r>
          <w:tab/>
        </w:r>
        <w:r>
          <w:t>1986</w:t>
        </w:r>
      </w:hyperlink>
    </w:p>
    <w:p>
      <w:pPr>
        <w:pStyle w:val="TOC2"/>
      </w:pPr>
      <w:hyperlink w:anchor="_Toc300002237" w:history="1">
        <w:r>
          <w:t>68.48. Periodic Review and Adaptive Revision.</w:t>
        </w:r>
        <w:r>
          <w:tab/>
        </w:r>
        <w:r>
          <w:t>1986</w:t>
        </w:r>
      </w:hyperlink>
    </w:p>
    <w:p>
      <w:pPr>
        <w:pStyle w:val="TOC2"/>
      </w:pPr>
      <w:hyperlink w:anchor="_Toc300002238" w:history="1">
        <w:r>
          <w:t>68.49. Cetacean Emergency Recovery Escalation.</w:t>
        </w:r>
        <w:r>
          <w:tab/>
        </w:r>
        <w:r>
          <w:t>1986</w:t>
        </w:r>
      </w:hyperlink>
    </w:p>
    <w:p>
      <w:pPr>
        <w:pStyle w:val="TOC2"/>
      </w:pPr>
      <w:hyperlink w:anchor="_Toc300002239" w:history="1">
        <w:r>
          <w:t>ANNEX 68-A: OPERATIONAL CETACEAN PROTECTION REGISTER (LAYER TWO TECHNICAL IMPLEMENTATION REGISTER)</w:t>
        </w:r>
        <w:r>
          <w:tab/>
        </w:r>
        <w:r>
          <w:t>1987</w:t>
        </w:r>
      </w:hyperlink>
    </w:p>
    <w:p>
      <w:pPr>
        <w:pStyle w:val="TOC2"/>
      </w:pPr>
      <w:hyperlink w:anchor="_Toc300002240" w:history="1">
        <w:r>
          <w:t>ANNEX 68-B: INITIAL SPECIES, GEOGRAPHIC AND PROGRAM SCHEDULE (90 ACTIVE CANDIDATES)</w:t>
        </w:r>
        <w:r>
          <w:tab/>
        </w:r>
        <w:r>
          <w:t>1995</w:t>
        </w:r>
      </w:hyperlink>
    </w:p>
    <w:p>
      <w:pPr>
        <w:pStyle w:val="TOC2"/>
      </w:pPr>
      <w:hyperlink w:anchor="_Toc300002241" w:history="1">
        <w:r>
          <w:t>ANNEX 68-C: OPTIONAL DEVELOPMENT AND CONTROLLED-MECHANISM RESERVE (28 ITEMS)</w:t>
        </w:r>
        <w:r>
          <w:tab/>
        </w:r>
        <w:r>
          <w:t>2002</w:t>
        </w:r>
      </w:hyperlink>
    </w:p>
    <w:p>
      <w:pPr>
        <w:pStyle w:val="TOC2"/>
      </w:pPr>
      <w:hyperlink w:anchor="_Toc300002242" w:history="1">
        <w:r>
          <w:t>ANNEX 68-D: VISIBLE GREAT WHALE COMPACT WINS (32-ITEM OVERLAY)</w:t>
        </w:r>
        <w:r>
          <w:tab/>
        </w:r>
        <w:r>
          <w:t>2003</w:t>
        </w:r>
      </w:hyperlink>
    </w:p>
    <w:p>
      <w:pPr>
        <w:pStyle w:val="TOC2"/>
      </w:pPr>
      <w:hyperlink w:anchor="_Toc300002243" w:history="1">
        <w:r>
          <w:t>ANNEX 68-E: SCIENTIFIC, PROJECT, CLAIM AND RESEARCH VERIFICATION</w:t>
        </w:r>
        <w:r>
          <w:tab/>
        </w:r>
        <w:r>
          <w:t>2005</w:t>
        </w:r>
      </w:hyperlink>
    </w:p>
    <w:p>
      <w:pPr>
        <w:pStyle w:val="TOC1"/>
      </w:pPr>
      <w:hyperlink w:anchor="_Toc300002244" w:history="1">
        <w:r>
          <w:t>AMENDMENT LEDGER: NORTH AMERICAN ECONOMIC SECURITY AND TRADE MODERNIZATION AGREEMENT v8.9</w:t>
        </w:r>
        <w:r>
          <w:tab/>
        </w:r>
        <w:r>
          <w:t>2007</w:t>
        </w:r>
      </w:hyperlink>
    </w:p>
    <w:p>
      <w:pPr>
        <w:pStyle w:val="TOC2"/>
      </w:pPr>
      <w:hyperlink w:anchor="_Toc300002245" w:history="1">
        <w:r>
          <w:t>PACKAGE V: DURABILITY, PROCEDURAL EQUALITY, AND FRICTION REDUCTION (v4.2)</w:t>
        </w:r>
        <w:r>
          <w:tab/>
        </w:r>
        <w:r>
          <w:t>2007</w:t>
        </w:r>
      </w:hyperlink>
    </w:p>
    <w:p>
      <w:pPr>
        <w:pStyle w:val="TOC2"/>
      </w:pPr>
      <w:hyperlink w:anchor="_Toc300002246" w:history="1">
        <w:r>
          <w:t>PACKAGE A: TREATY INTEGRITY AND TARIFF ARCHITECTURE (Chapters 1, 2, 32, 34, 35)</w:t>
        </w:r>
        <w:r>
          <w:tab/>
        </w:r>
        <w:r>
          <w:t>2008</w:t>
        </w:r>
      </w:hyperlink>
    </w:p>
    <w:p>
      <w:pPr>
        <w:pStyle w:val="TOC2"/>
      </w:pPr>
      <w:hyperlink w:anchor="_Toc300002247" w:history="1">
        <w:r>
          <w:t>PACKAGE B: THE PROPORTIONAL TRADE ADJUSTMENT MECHANISM (Chapter 35)</w:t>
        </w:r>
        <w:r>
          <w:tab/>
        </w:r>
        <w:r>
          <w:t>2010</w:t>
        </w:r>
      </w:hyperlink>
    </w:p>
    <w:p>
      <w:pPr>
        <w:pStyle w:val="TOC2"/>
      </w:pPr>
      <w:hyperlink w:anchor="_Toc300002248" w:history="1">
        <w:r>
          <w:t>PACKAGE C: MODERNIZED DISPUTE SETTLEMENT (Chapter 31)</w:t>
        </w:r>
        <w:r>
          <w:tab/>
        </w:r>
        <w:r>
          <w:t>2012</w:t>
        </w:r>
      </w:hyperlink>
    </w:p>
    <w:p>
      <w:pPr>
        <w:pStyle w:val="TOC2"/>
      </w:pPr>
      <w:hyperlink w:anchor="_Toc300002249" w:history="1">
        <w:r>
          <w:t>PACKAGE D: RULES OF ORIGIN AND CUSTOMS MODERNIZATION (Chapters 4, 5, 7)</w:t>
        </w:r>
        <w:r>
          <w:tab/>
        </w:r>
        <w:r>
          <w:t>2012</w:t>
        </w:r>
      </w:hyperlink>
    </w:p>
    <w:p>
      <w:pPr>
        <w:pStyle w:val="TOC2"/>
      </w:pPr>
      <w:hyperlink w:anchor="_Toc300002250" w:history="1">
        <w:r>
          <w:t>PACKAGE E: ECONOMIC SECURITY, MINERALS, CONTINUITY, TECHNOLOGY, ENERGY (Chapters 36–40)</w:t>
        </w:r>
        <w:r>
          <w:tab/>
        </w:r>
        <w:r>
          <w:t>2012</w:t>
        </w:r>
      </w:hyperlink>
    </w:p>
    <w:p>
      <w:pPr>
        <w:pStyle w:val="TOC2"/>
      </w:pPr>
      <w:hyperlink w:anchor="_Toc300002251" w:history="1">
        <w:r>
          <w:t>PACKAGE AR: ENERGY SOVEREIGNTY, OPTIONALITY, AND INTEGRATED INFRASTRUCTURE SIMULATION (v6.4)</w:t>
        </w:r>
        <w:r>
          <w:tab/>
        </w:r>
        <w:r>
          <w:t>2014</w:t>
        </w:r>
      </w:hyperlink>
    </w:p>
    <w:p>
      <w:pPr>
        <w:pStyle w:val="TOC2"/>
      </w:pPr>
      <w:hyperlink w:anchor="_Toc300002252" w:history="1">
        <w:r>
          <w:t>PACKAGE F: TRADE REMEDIES, LABOUR, ENVIRONMENT, DIGITAL, INSTITUTIONS, FINAL PROVISIONS</w:t>
        </w:r>
        <w:r>
          <w:tab/>
        </w:r>
        <w:r>
          <w:t>2014</w:t>
        </w:r>
      </w:hyperlink>
    </w:p>
    <w:p>
      <w:pPr>
        <w:pStyle w:val="TOC2"/>
      </w:pPr>
      <w:hyperlink w:anchor="_Toc300002253" w:history="1">
        <w:r>
          <w:t>PACKAGE W-L: SOFTWOOD LUMBER, HOUSING SUPPLY, AND FORESTRY STABILITY (v4.2-L)</w:t>
        </w:r>
        <w:r>
          <w:tab/>
        </w:r>
        <w:r>
          <w:t>2015</w:t>
        </w:r>
      </w:hyperlink>
    </w:p>
    <w:p>
      <w:pPr>
        <w:pStyle w:val="TOC2"/>
      </w:pPr>
      <w:hyperlink w:anchor="_Toc300002254" w:history="1">
        <w:r>
          <w:t>PACKAGE W-M: PRELIMINARY STRATEGIC MINERALS, SEMICONDUCTOR, AND FORESTRY BARGAIN INTEGRATION (v4.9)</w:t>
        </w:r>
        <w:r>
          <w:tab/>
        </w:r>
        <w:r>
          <w:t>2015</w:t>
        </w:r>
      </w:hyperlink>
    </w:p>
    <w:p>
      <w:pPr>
        <w:pStyle w:val="TOC2"/>
      </w:pPr>
      <w:hyperlink w:anchor="_Toc300002255" w:history="1">
        <w:r>
          <w:t>PACKAGE AB: MEXICO PARITY, TRILATERAL PROCUREMENT, FORESTRY INTEGRATION, AND INDUSTRIAL RESILIENCE (v5.0)</w:t>
        </w:r>
        <w:r>
          <w:tab/>
        </w:r>
        <w:r>
          <w:t>2016</w:t>
        </w:r>
      </w:hyperlink>
    </w:p>
    <w:p>
      <w:pPr>
        <w:pStyle w:val="TOC2"/>
      </w:pPr>
      <w:hyperlink w:anchor="_Toc300002256" w:history="1">
        <w:r>
          <w:t>PACKAGE AE: SYNCHRONIZED EXCHANGE, STRATEGIC MATERIALS PREFERRED ACCESS, AND FORESTRY COMMENSURABILITY (v5.4)</w:t>
        </w:r>
        <w:r>
          <w:tab/>
        </w:r>
        <w:r>
          <w:t>2016</w:t>
        </w:r>
      </w:hyperlink>
    </w:p>
    <w:p>
      <w:pPr>
        <w:pStyle w:val="TOC2"/>
      </w:pPr>
      <w:hyperlink w:anchor="_Toc300002257" w:history="1">
        <w:r>
          <w:t>PACKAGE AI: ESSENTIAL-SECURITY ANTI-CIRCUMVENTION AND TRUSTED-SUPPLY FIREWALL (v5.8)</w:t>
        </w:r>
        <w:r>
          <w:tab/>
        </w:r>
        <w:r>
          <w:t>2016</w:t>
        </w:r>
      </w:hyperlink>
    </w:p>
    <w:p>
      <w:pPr>
        <w:pStyle w:val="TOC2"/>
      </w:pPr>
      <w:hyperlink w:anchor="_Toc300002258" w:history="1">
        <w:r>
          <w:t>PACKAGE AJ: CONTINUOUS TREATY, SOVEREIGN EXIT, AND ANTI-HOSTAGE WITHDRAWAL ARCHITECTURE (v5.8)</w:t>
        </w:r>
        <w:r>
          <w:tab/>
        </w:r>
        <w:r>
          <w:t>2017</w:t>
        </w:r>
      </w:hyperlink>
    </w:p>
    <w:p>
      <w:pPr>
        <w:pStyle w:val="TOC2"/>
      </w:pPr>
      <w:hyperlink w:anchor="_Toc300002259" w:history="1">
        <w:r>
          <w:t>PACKAGE AK: BUREAUCRATIC CONTINUITY, ADMINISTRATIVE FRICTION, AND INSTITUTIONAL SAFE-MODE HARDENING (v5.8)</w:t>
        </w:r>
        <w:r>
          <w:tab/>
        </w:r>
        <w:r>
          <w:t>2017</w:t>
        </w:r>
      </w:hyperlink>
    </w:p>
    <w:p>
      <w:pPr>
        <w:pStyle w:val="TOC2"/>
      </w:pPr>
      <w:hyperlink w:anchor="_Toc300002260" w:history="1">
        <w:r>
          <w:t>PACKAGE AL: EFFECTIVE PERFORMANCE AND ANTI-MALICIOUS-COMPLIANCE FIREWALL (v5.9)</w:t>
        </w:r>
        <w:r>
          <w:tab/>
        </w:r>
        <w:r>
          <w:t>2017</w:t>
        </w:r>
      </w:hyperlink>
    </w:p>
    <w:p>
      <w:pPr>
        <w:pStyle w:val="TOC2"/>
      </w:pPr>
      <w:hyperlink w:anchor="_Toc300002261" w:history="1">
        <w:r>
          <w:t>PACKAGE AM: FISCAL SOVEREIGNTY AND ANTI-COERCION FIREWALL (v5.9)</w:t>
        </w:r>
        <w:r>
          <w:tab/>
        </w:r>
        <w:r>
          <w:t>2018</w:t>
        </w:r>
      </w:hyperlink>
    </w:p>
    <w:p>
      <w:pPr>
        <w:pStyle w:val="TOC2"/>
      </w:pPr>
      <w:hyperlink w:anchor="_Toc300002262" w:history="1">
        <w:r>
          <w:t>PACKAGE AN: RECIPROCAL PROCUREMENT COMPACT AND VALUE-EQUIVALENCE INTEGRATION (v6.0)</w:t>
        </w:r>
        <w:r>
          <w:tab/>
        </w:r>
        <w:r>
          <w:t>2019</w:t>
        </w:r>
      </w:hyperlink>
    </w:p>
    <w:p>
      <w:pPr>
        <w:pStyle w:val="TOC2"/>
      </w:pPr>
      <w:hyperlink w:anchor="_Toc300002263" w:history="1">
        <w:r>
          <w:t>PACKAGE AH: ANTI-MANUFACTURED ESCALATION AND MARKET-INTEGRITY HARDENING (v5.7)</w:t>
        </w:r>
        <w:r>
          <w:tab/>
        </w:r>
        <w:r>
          <w:t>2019</w:t>
        </w:r>
      </w:hyperlink>
    </w:p>
    <w:p>
      <w:pPr>
        <w:pStyle w:val="TOC2"/>
      </w:pPr>
      <w:hyperlink w:anchor="_Toc300002264" w:history="1">
        <w:r>
          <w:t>PACKAGE AG: GUARANTOR INTEGRITY FIREWALL AND ANTI-CAPTURE HARDENING (v5.6)</w:t>
        </w:r>
        <w:r>
          <w:tab/>
        </w:r>
        <w:r>
          <w:t>2020</w:t>
        </w:r>
      </w:hyperlink>
    </w:p>
    <w:p>
      <w:pPr>
        <w:pStyle w:val="TOC2"/>
      </w:pPr>
      <w:hyperlink w:anchor="_Toc300002265" w:history="1">
        <w:r>
          <w:t>PACKAGE AF: DEMERIT ENFORCEMENT, ROTATING GUARANTOR TARIFF QUARANTINE, AND THREE-YEAR ABOLITION STUDY (v5.5)</w:t>
        </w:r>
        <w:r>
          <w:tab/>
        </w:r>
        <w:r>
          <w:t>2021</w:t>
        </w:r>
      </w:hyperlink>
    </w:p>
    <w:p>
      <w:pPr>
        <w:pStyle w:val="TOC2"/>
      </w:pPr>
      <w:hyperlink w:anchor="_Toc300002266" w:history="1">
        <w:r>
          <w:t>UNRESOLVED ITEMS AND DELIBERATE OMISSIONS</w:t>
        </w:r>
        <w:r>
          <w:tab/>
        </w:r>
        <w:r>
          <w:t>2021</w:t>
        </w:r>
      </w:hyperlink>
    </w:p>
    <w:p>
      <w:pPr>
        <w:pStyle w:val="TOC2"/>
      </w:pPr>
      <w:hyperlink w:anchor="_Toc300002267" w:history="1">
        <w:r>
          <w:t>PACKAGE Z: TARIFF FIREWALL, HUMANITARIAN PROTECTION, ENERGY OPTIONALITY, AND EXPERIMENTAL DEVELOPMENT (v4.5)</w:t>
        </w:r>
        <w:r>
          <w:tab/>
        </w:r>
        <w:r>
          <w:t>2022</w:t>
        </w:r>
      </w:hyperlink>
    </w:p>
    <w:p>
      <w:pPr>
        <w:pStyle w:val="TOC2"/>
      </w:pPr>
      <w:hyperlink w:anchor="_Toc300002268" w:history="1">
        <w:r>
          <w:t>PACKAGE Y: INTEGRATED OPERATIONAL HARDENING AND INTERIM TARIFF-DURABILITY AMENDMENTS (v4.4)</w:t>
        </w:r>
        <w:r>
          <w:tab/>
        </w:r>
        <w:r>
          <w:t>2022</w:t>
        </w:r>
      </w:hyperlink>
    </w:p>
    <w:p>
      <w:pPr>
        <w:pStyle w:val="TOC2"/>
      </w:pPr>
      <w:hyperlink w:anchor="_Toc300002269" w:history="1">
        <w:r>
          <w:t>PACKAGE Y-S: SOVEREIGNTY, AUTOMOTIVE SCOPE, CULTURE, AND STRATEGIC-RESOURCE HARDENING (v5.3)</w:t>
        </w:r>
        <w:r>
          <w:tab/>
        </w:r>
        <w:r>
          <w:t>2023</w:t>
        </w:r>
      </w:hyperlink>
    </w:p>
    <w:p>
      <w:pPr>
        <w:pStyle w:val="TOC2"/>
      </w:pPr>
      <w:hyperlink w:anchor="_Toc300002270" w:history="1">
        <w:r>
          <w:t>PACKAGE AO: PROVINCIAL DAIRY ACCESS, EFFECTIVE UTILIZATION, AND SUPPLY-MANAGEMENT STABILITY (v6.1).</w:t>
        </w:r>
        <w:r>
          <w:tab/>
        </w:r>
        <w:r>
          <w:t>2023</w:t>
        </w:r>
      </w:hyperlink>
    </w:p>
    <w:p>
      <w:pPr>
        <w:pStyle w:val="TOC2"/>
      </w:pPr>
      <w:hyperlink w:anchor="_Toc300002271" w:history="1">
        <w:r>
          <w:t>PACKAGE AP: DAIRY ACCESS REINFORCEMENT AND PRIORITY CHEESE SWEETENER (v6.2).</w:t>
        </w:r>
        <w:r>
          <w:tab/>
        </w:r>
        <w:r>
          <w:t>2024</w:t>
        </w:r>
      </w:hyperlink>
    </w:p>
    <w:p>
      <w:pPr>
        <w:pStyle w:val="TOC2"/>
      </w:pPr>
      <w:hyperlink w:anchor="_Toc300002272" w:history="1">
        <w:r>
          <w:t>PACKAGE AQ: OPTIONAL ENHANCED DAIRY ACCESS AND SOFTWOOD LUMBER NORMALIZATION EXCHANGE (v6.3).</w:t>
        </w:r>
        <w:r>
          <w:tab/>
        </w:r>
        <w:r>
          <w:t>2025</w:t>
        </w:r>
      </w:hyperlink>
    </w:p>
    <w:p>
      <w:pPr>
        <w:pStyle w:val="TOC2"/>
      </w:pPr>
      <w:hyperlink w:anchor="_Toc300002273" w:history="1">
        <w:r>
          <w:t>PACKAGE AS: AGRICULTURAL PRODUCTION SECURITY, PLANT BIOSECURITY, CROP-PROTECTION MODERNIZATION, AND NUTRIENT CIRCULARITY (v6.5).</w:t>
        </w:r>
        <w:r>
          <w:tab/>
        </w:r>
        <w:r>
          <w:t>2026</w:t>
        </w:r>
      </w:hyperlink>
    </w:p>
    <w:p>
      <w:pPr>
        <w:pStyle w:val="TOC2"/>
      </w:pPr>
      <w:hyperlink w:anchor="_Toc300002274" w:history="1">
        <w:r>
          <w:t>PACKAGE AT: VOLUNTARY GREEN CARROT, CLEAN-MOBILITY, CIRCULARITY, AND INDUSTRIAL TRANSITION FRAMEWORK (v6.6).</w:t>
        </w:r>
        <w:r>
          <w:tab/>
        </w:r>
        <w:r>
          <w:t>2027</w:t>
        </w:r>
      </w:hyperlink>
    </w:p>
    <w:p>
      <w:pPr>
        <w:pStyle w:val="TOC2"/>
      </w:pPr>
      <w:hyperlink w:anchor="_Toc300002275" w:history="1">
        <w:r>
          <w:t>PACKAGE AU: NORTH AMERICAN EDUCATION, SKILLS, RESEARCH, AND MOBILITY FRAMEWORK (v6.6).</w:t>
        </w:r>
        <w:r>
          <w:tab/>
        </w:r>
        <w:r>
          <w:t>2028</w:t>
        </w:r>
      </w:hyperlink>
    </w:p>
    <w:p>
      <w:pPr>
        <w:pStyle w:val="TOC2"/>
      </w:pPr>
      <w:hyperlink w:anchor="_Toc300002276" w:history="1">
        <w:r>
          <w:t>PACKAGE AV: FREEDOM OF CONSCIENCE, STATE NEUTRALITY, AND EQUAL CITIZENSHIP FRAMEWORK (v6.6).</w:t>
        </w:r>
        <w:r>
          <w:tab/>
        </w:r>
        <w:r>
          <w:t>2029</w:t>
        </w:r>
      </w:hyperlink>
    </w:p>
    <w:p>
      <w:pPr>
        <w:pStyle w:val="TOC2"/>
      </w:pPr>
      <w:hyperlink w:anchor="_Toc300002277" w:history="1">
        <w:r>
          <w:t>PACKAGE AW: COERCIVE IDENTITY-CHANGE PRACTICES PREVENTION AND FREEDOM-OF-BELIEF FIREWALL (v6.6).</w:t>
        </w:r>
        <w:r>
          <w:tab/>
        </w:r>
        <w:r>
          <w:t>2030</w:t>
        </w:r>
      </w:hyperlink>
    </w:p>
    <w:p>
      <w:pPr>
        <w:pStyle w:val="TOC2"/>
      </w:pPr>
      <w:hyperlink w:anchor="_Toc300002278" w:history="1">
        <w:r>
          <w:t>PACKAGE AX: CHILD SEXUAL ABUSE PREVENTION, SAFEGUARDING, AND CROSS-BORDER PROTECTION FRAMEWORK (v6.6).</w:t>
        </w:r>
        <w:r>
          <w:tab/>
        </w:r>
        <w:r>
          <w:t>2031</w:t>
        </w:r>
      </w:hyperlink>
    </w:p>
    <w:p>
      <w:pPr>
        <w:pStyle w:val="TOC2"/>
      </w:pPr>
      <w:hyperlink w:anchor="_Toc300002279" w:history="1">
        <w:r>
          <w:t>PACKAGE AY: LONG-TERM CARE, ELDER PROTECTION, DIGNITY, AND RESIDENT SAFETY FRAMEWORK (v6.6).</w:t>
        </w:r>
        <w:r>
          <w:tab/>
        </w:r>
        <w:r>
          <w:t>2032</w:t>
        </w:r>
      </w:hyperlink>
    </w:p>
    <w:p>
      <w:pPr>
        <w:pStyle w:val="TOC2"/>
      </w:pPr>
      <w:hyperlink w:anchor="_Toc300002280" w:history="1">
        <w:r>
          <w:t>PACKAGE AZ: CROSS-CUTTING HUMAN DIGNITY, VOLUNTARINESS, DUE PROCESS, AND IMPLEMENTATION FIREWALL (v6.6).</w:t>
        </w:r>
        <w:r>
          <w:tab/>
        </w:r>
        <w:r>
          <w:t>2037</w:t>
        </w:r>
      </w:hyperlink>
    </w:p>
    <w:p>
      <w:pPr>
        <w:pStyle w:val="TOC1"/>
      </w:pPr>
      <w:hyperlink w:anchor="_Toc300002281" w:history="1">
        <w:r>
          <w:t>PACKAGE BA: NORTH AMERICAN STRATEGIC MINERALS, PROCESSING, CIRCULARITY AND SUPPLY RESILIENCE FRAMEWORK</w:t>
        </w:r>
        <w:r>
          <w:tab/>
        </w:r>
        <w:r>
          <w:t>2039</w:t>
        </w:r>
      </w:hyperlink>
    </w:p>
    <w:p>
      <w:pPr>
        <w:pStyle w:val="TOC2"/>
      </w:pPr>
      <w:hyperlink w:anchor="_Toc300002282" w:history="1">
        <w:r>
          <w:t>BA-1 Resource Sovereignty and No Compulsory Extraction</w:t>
        </w:r>
        <w:r>
          <w:tab/>
        </w:r>
        <w:r>
          <w:t>2039</w:t>
        </w:r>
      </w:hyperlink>
    </w:p>
    <w:p>
      <w:pPr>
        <w:pStyle w:val="TOC2"/>
      </w:pPr>
      <w:hyperlink w:anchor="_Toc300002283" w:history="1">
        <w:r>
          <w:t>BA-2 Mine-to-Manufacture Value Capture</w:t>
        </w:r>
        <w:r>
          <w:tab/>
        </w:r>
        <w:r>
          <w:t>2039</w:t>
        </w:r>
      </w:hyperlink>
    </w:p>
    <w:p>
      <w:pPr>
        <w:pStyle w:val="TOC2"/>
      </w:pPr>
      <w:hyperlink w:anchor="_Toc300002284" w:history="1">
        <w:r>
          <w:t>BA-3 Distributed Redundancy</w:t>
        </w:r>
        <w:r>
          <w:tab/>
        </w:r>
        <w:r>
          <w:t>2039</w:t>
        </w:r>
      </w:hyperlink>
    </w:p>
    <w:p>
      <w:pPr>
        <w:pStyle w:val="TOC2"/>
      </w:pPr>
      <w:hyperlink w:anchor="_Toc300002285" w:history="1">
        <w:r>
          <w:t>BA-4 Trusted External Feedstock Safe Harbour</w:t>
        </w:r>
        <w:r>
          <w:tab/>
        </w:r>
        <w:r>
          <w:t>2039</w:t>
        </w:r>
      </w:hyperlink>
    </w:p>
    <w:p>
      <w:pPr>
        <w:pStyle w:val="TOC2"/>
      </w:pPr>
      <w:hyperlink w:anchor="_Toc300002286" w:history="1">
        <w:r>
          <w:t>BA-5 No Uncompensated Front-Loading</w:t>
        </w:r>
        <w:r>
          <w:tab/>
        </w:r>
        <w:r>
          <w:t>2039</w:t>
        </w:r>
      </w:hyperlink>
    </w:p>
    <w:p>
      <w:pPr>
        <w:pStyle w:val="TOC2"/>
      </w:pPr>
      <w:hyperlink w:anchor="_Toc300002287" w:history="1">
        <w:r>
          <w:t>BA-6 Market Integrity and Anti-Cartel Firewall</w:t>
        </w:r>
        <w:r>
          <w:tab/>
        </w:r>
        <w:r>
          <w:t>2039</w:t>
        </w:r>
      </w:hyperlink>
    </w:p>
    <w:p>
      <w:pPr>
        <w:pStyle w:val="TOC2"/>
      </w:pPr>
      <w:hyperlink w:anchor="_Toc300002288" w:history="1">
        <w:r>
          <w:t>BA-7 High-Standard Permitting and Indigenous/Community Participation</w:t>
        </w:r>
        <w:r>
          <w:tab/>
        </w:r>
        <w:r>
          <w:t>2039</w:t>
        </w:r>
      </w:hyperlink>
    </w:p>
    <w:p>
      <w:pPr>
        <w:pStyle w:val="TOC2"/>
      </w:pPr>
      <w:hyperlink w:anchor="_Toc300002289" w:history="1">
        <w:r>
          <w:t>BA-8 Technology and Intellectual Property</w:t>
        </w:r>
        <w:r>
          <w:tab/>
        </w:r>
        <w:r>
          <w:t>2039</w:t>
        </w:r>
      </w:hyperlink>
    </w:p>
    <w:p>
      <w:pPr>
        <w:pStyle w:val="TOC2"/>
      </w:pPr>
      <w:hyperlink w:anchor="_Toc300002290" w:history="1">
        <w:r>
          <w:t>BA-9 Provenance Transparency</w:t>
        </w:r>
        <w:r>
          <w:tab/>
        </w:r>
        <w:r>
          <w:t>2039</w:t>
        </w:r>
      </w:hyperlink>
    </w:p>
    <w:p>
      <w:pPr>
        <w:pStyle w:val="TOC2"/>
      </w:pPr>
      <w:hyperlink w:anchor="_Toc300002291" w:history="1">
        <w:r>
          <w:t>BA-10 Existing-Institution Implementation</w:t>
        </w:r>
        <w:r>
          <w:tab/>
        </w:r>
        <w:r>
          <w:t>2039</w:t>
        </w:r>
      </w:hyperlink>
    </w:p>
    <w:p>
      <w:pPr>
        <w:pStyle w:val="TOC2"/>
      </w:pPr>
      <w:hyperlink w:anchor="_Toc300002292" w:history="1">
        <w:r>
          <w:t>BA-11 Strategic Stockpiles and Surge Capacity</w:t>
        </w:r>
        <w:r>
          <w:tab/>
        </w:r>
        <w:r>
          <w:t>2039</w:t>
        </w:r>
      </w:hyperlink>
    </w:p>
    <w:p>
      <w:pPr>
        <w:pStyle w:val="TOC2"/>
      </w:pPr>
      <w:hyperlink w:anchor="_Toc300002293" w:history="1">
        <w:r>
          <w:t>BA-12 Cross-Sector Earned Benefits</w:t>
        </w:r>
        <w:r>
          <w:tab/>
        </w:r>
        <w:r>
          <w:t>2039</w:t>
        </w:r>
      </w:hyperlink>
    </w:p>
    <w:p>
      <w:pPr>
        <w:pStyle w:val="TOC2"/>
      </w:pPr>
      <w:hyperlink w:anchor="_Toc300002294" w:history="1">
        <w:r>
          <w:t>BA-13 Humanitarian and Sovereign Powers Firewall</w:t>
        </w:r>
        <w:r>
          <w:tab/>
        </w:r>
        <w:r>
          <w:t>2040</w:t>
        </w:r>
      </w:hyperlink>
    </w:p>
    <w:p>
      <w:pPr>
        <w:pStyle w:val="TOC2"/>
      </w:pPr>
      <w:hyperlink w:anchor="_Toc300002295" w:history="1">
        <w:r>
          <w:t>BA-14 Discoverability</w:t>
        </w:r>
        <w:r>
          <w:tab/>
        </w:r>
        <w:r>
          <w:t>2040</w:t>
        </w:r>
      </w:hyperlink>
    </w:p>
    <w:p>
      <w:pPr>
        <w:pStyle w:val="TOC1"/>
      </w:pPr>
      <w:hyperlink w:anchor="_Toc300002296" w:history="1">
        <w:r>
          <w:t>PACKAGE BB: STRATEGIC MINERALS DEAL CATALOGUE (120 MECHANISMS)</w:t>
        </w:r>
        <w:r>
          <w:tab/>
        </w:r>
        <w:r>
          <w:t>2041</w:t>
        </w:r>
      </w:hyperlink>
    </w:p>
    <w:p>
      <w:pPr>
        <w:pStyle w:val="TOC1"/>
      </w:pPr>
      <w:hyperlink w:anchor="_Toc300002297" w:history="1">
        <w:r>
          <w:t>PACKAGE BC: PROCESSING AND REFINING INDUSTRIALIZATION CATALOGUE (101 MECHANISMS)</w:t>
        </w:r>
        <w:r>
          <w:tab/>
        </w:r>
        <w:r>
          <w:t>2050</w:t>
        </w:r>
      </w:hyperlink>
    </w:p>
    <w:p>
      <w:pPr>
        <w:pStyle w:val="TOC1"/>
      </w:pPr>
      <w:hyperlink w:anchor="_Toc300002298" w:history="1">
        <w:r>
          <w:t>PACKAGE BD: TAILINGS, MINE-WASTE RECOVERY, REMEDIATION AND BENEFICIAL-USE CATALOGUE (120 MECHANISMS)</w:t>
        </w:r>
        <w:r>
          <w:tab/>
        </w:r>
        <w:r>
          <w:t>2057</w:t>
        </w:r>
      </w:hyperlink>
    </w:p>
    <w:p>
      <w:pPr>
        <w:pStyle w:val="TOC1"/>
      </w:pPr>
      <w:hyperlink w:anchor="_Toc300002299" w:history="1">
        <w:r>
          <w:t>PACKAGE BE: CROSS-SECTOR MINERAL EARNED-BENEFIT CATALOGUE (140 MECHANISMS)</w:t>
        </w:r>
        <w:r>
          <w:tab/>
        </w:r>
        <w:r>
          <w:t>2067</w:t>
        </w:r>
      </w:hyperlink>
    </w:p>
    <w:p>
      <w:pPr>
        <w:pStyle w:val="TOC1"/>
      </w:pPr>
      <w:hyperlink w:anchor="_Toc300002300" w:history="1">
        <w:r>
          <w:t>PACKAGE BF: MINERALS-FOR-FORESTRY NORMALIZATION TRACK</w:t>
        </w:r>
        <w:r>
          <w:tab/>
        </w:r>
        <w:r>
          <w:t>2080</w:t>
        </w:r>
      </w:hyperlink>
    </w:p>
    <w:p>
      <w:pPr>
        <w:pStyle w:val="TOC1"/>
      </w:pPr>
      <w:hyperlink w:anchor="_Toc300002301" w:history="1">
        <w:r>
          <w:t>PACKAGE BG: NORTH AMERICAN AUTOMOTIVE INTEGRATION AND STABILITY FRAMEWORK</w:t>
        </w:r>
        <w:r>
          <w:tab/>
        </w:r>
        <w:r>
          <w:t>2081</w:t>
        </w:r>
      </w:hyperlink>
    </w:p>
    <w:p>
      <w:pPr>
        <w:pStyle w:val="TOC2"/>
      </w:pPr>
      <w:hyperlink w:anchor="_Toc300002302" w:history="1">
        <w:r>
          <w:t>BG-1. Purpose and Coverage</w:t>
        </w:r>
        <w:r>
          <w:tab/>
        </w:r>
        <w:r>
          <w:t>2081</w:t>
        </w:r>
      </w:hyperlink>
    </w:p>
    <w:p>
      <w:pPr>
        <w:pStyle w:val="TOC2"/>
      </w:pPr>
      <w:hyperlink w:anchor="_Toc300002303" w:history="1">
        <w:r>
          <w:t>BG-2. Standard Origin Tier: 75% RVC</w:t>
        </w:r>
        <w:r>
          <w:tab/>
        </w:r>
        <w:r>
          <w:t>2081</w:t>
        </w:r>
      </w:hyperlink>
    </w:p>
    <w:p>
      <w:pPr>
        <w:pStyle w:val="TOC2"/>
      </w:pPr>
      <w:hyperlink w:anchor="_Toc300002304" w:history="1">
        <w:r>
          <w:t>BG-3. High Integration Tier: 80% RVC</w:t>
        </w:r>
        <w:r>
          <w:tab/>
        </w:r>
        <w:r>
          <w:t>2081</w:t>
        </w:r>
      </w:hyperlink>
    </w:p>
    <w:p>
      <w:pPr>
        <w:pStyle w:val="TOC2"/>
      </w:pPr>
      <w:hyperlink w:anchor="_Toc300002305" w:history="1">
        <w:r>
          <w:t>BG-4. Strategic Tier: 85% RVC</w:t>
        </w:r>
        <w:r>
          <w:tab/>
        </w:r>
        <w:r>
          <w:t>2081</w:t>
        </w:r>
      </w:hyperlink>
    </w:p>
    <w:p>
      <w:pPr>
        <w:pStyle w:val="TOC2"/>
      </w:pPr>
      <w:hyperlink w:anchor="_Toc300002306" w:history="1">
        <w:r>
          <w:t>BG-5. No Tariff on Originating Content</w:t>
        </w:r>
        <w:r>
          <w:tab/>
        </w:r>
        <w:r>
          <w:t>2081</w:t>
        </w:r>
      </w:hyperlink>
    </w:p>
    <w:p>
      <w:pPr>
        <w:pStyle w:val="TOC2"/>
      </w:pPr>
      <w:hyperlink w:anchor="_Toc300002307" w:history="1">
        <w:r>
          <w:t>BG-6. No Vehicle-Class Carve-Out</w:t>
        </w:r>
        <w:r>
          <w:tab/>
        </w:r>
        <w:r>
          <w:t>2082</w:t>
        </w:r>
      </w:hyperlink>
    </w:p>
    <w:p>
      <w:pPr>
        <w:pStyle w:val="TOC2"/>
      </w:pPr>
      <w:hyperlink w:anchor="_Toc300002308" w:history="1">
        <w:r>
          <w:t>BG-7. Anti-Reclassification Rule</w:t>
        </w:r>
        <w:r>
          <w:tab/>
        </w:r>
        <w:r>
          <w:t>2082</w:t>
        </w:r>
      </w:hyperlink>
    </w:p>
    <w:p>
      <w:pPr>
        <w:pStyle w:val="TOC2"/>
      </w:pPr>
      <w:hyperlink w:anchor="_Toc300002309" w:history="1">
        <w:r>
          <w:t>BG-8. No Uncompensated Front-Loading</w:t>
        </w:r>
        <w:r>
          <w:tab/>
        </w:r>
        <w:r>
          <w:t>2082</w:t>
        </w:r>
      </w:hyperlink>
    </w:p>
    <w:p>
      <w:pPr>
        <w:pStyle w:val="TOC2"/>
      </w:pPr>
      <w:hyperlink w:anchor="_Toc300002310" w:history="1">
        <w:r>
          <w:t>BG-9. Capacity-Gap Safe Harbour</w:t>
        </w:r>
        <w:r>
          <w:tab/>
        </w:r>
        <w:r>
          <w:t>2082</w:t>
        </w:r>
      </w:hyperlink>
    </w:p>
    <w:p>
      <w:pPr>
        <w:pStyle w:val="TOC2"/>
      </w:pPr>
      <w:hyperlink w:anchor="_Toc300002311" w:history="1">
        <w:r>
          <w:t>BG-10. Trusted External Input Safe Harbour</w:t>
        </w:r>
        <w:r>
          <w:tab/>
        </w:r>
        <w:r>
          <w:t>2082</w:t>
        </w:r>
      </w:hyperlink>
    </w:p>
    <w:p>
      <w:pPr>
        <w:pStyle w:val="TOC2"/>
      </w:pPr>
      <w:hyperlink w:anchor="_Toc300002312" w:history="1">
        <w:r>
          <w:t>BG-11. Digital Origin and Provenance</w:t>
        </w:r>
        <w:r>
          <w:tab/>
        </w:r>
        <w:r>
          <w:t>2082</w:t>
        </w:r>
      </w:hyperlink>
    </w:p>
    <w:p>
      <w:pPr>
        <w:pStyle w:val="TOC2"/>
      </w:pPr>
      <w:hyperlink w:anchor="_Toc300002313" w:history="1">
        <w:r>
          <w:t>BG-12. Transition and Cure Architecture</w:t>
        </w:r>
        <w:r>
          <w:tab/>
        </w:r>
        <w:r>
          <w:t>2083</w:t>
        </w:r>
      </w:hyperlink>
    </w:p>
    <w:p>
      <w:pPr>
        <w:pStyle w:val="TOC2"/>
      </w:pPr>
      <w:hyperlink w:anchor="_Toc300002314" w:history="1">
        <w:r>
          <w:t>BG-13. Automotive Stability Guarantee</w:t>
        </w:r>
        <w:r>
          <w:tab/>
        </w:r>
        <w:r>
          <w:t>2083</w:t>
        </w:r>
      </w:hyperlink>
    </w:p>
    <w:p>
      <w:pPr>
        <w:pStyle w:val="TOC2"/>
      </w:pPr>
      <w:hyperlink w:anchor="_Toc300002315" w:history="1">
        <w:r>
          <w:t>BG-14. Existing-Institution Implementation</w:t>
        </w:r>
        <w:r>
          <w:tab/>
        </w:r>
        <w:r>
          <w:t>2083</w:t>
        </w:r>
      </w:hyperlink>
    </w:p>
    <w:p>
      <w:pPr>
        <w:pStyle w:val="TOC1"/>
      </w:pPr>
      <w:hyperlink w:anchor="_Toc300002316" w:history="1">
        <w:r>
          <w:t>PACKAGE BH: AUTOMOTIVE NEGOTIATION AND IMPLEMENTATION CATALOGUE</w:t>
        </w:r>
        <w:r>
          <w:tab/>
        </w:r>
        <w:r>
          <w:t>2084</w:t>
        </w:r>
      </w:hyperlink>
    </w:p>
    <w:p>
      <w:pPr>
        <w:pStyle w:val="TOC1"/>
      </w:pPr>
      <w:hyperlink w:anchor="_Toc300002317" w:history="1">
        <w:r>
          <w:t>PACKAGE BI: MEDIUM- AND HEAVY-DUTY VEHICLE INTEGRATION TRACK</w:t>
        </w:r>
        <w:r>
          <w:tab/>
        </w:r>
        <w:r>
          <w:t>2094</w:t>
        </w:r>
      </w:hyperlink>
    </w:p>
    <w:p>
      <w:pPr>
        <w:pStyle w:val="TOC2"/>
      </w:pPr>
      <w:hyperlink w:anchor="_Toc300002318" w:history="1">
        <w:r>
          <w:t>BI-1. Express Heavy-Truck Coverage</w:t>
        </w:r>
        <w:r>
          <w:tab/>
        </w:r>
        <w:r>
          <w:t>2094</w:t>
        </w:r>
      </w:hyperlink>
    </w:p>
    <w:p>
      <w:pPr>
        <w:pStyle w:val="TOC2"/>
      </w:pPr>
      <w:hyperlink w:anchor="_Toc300002319" w:history="1">
        <w:r>
          <w:t>BI-2. Heavy-Truck Origin Application</w:t>
        </w:r>
        <w:r>
          <w:tab/>
        </w:r>
        <w:r>
          <w:t>2094</w:t>
        </w:r>
      </w:hyperlink>
    </w:p>
    <w:p>
      <w:pPr>
        <w:pStyle w:val="TOC2"/>
      </w:pPr>
      <w:hyperlink w:anchor="_Toc300002320" w:history="1">
        <w:r>
          <w:t>BI-3. Vocational Vehicle Recognition</w:t>
        </w:r>
        <w:r>
          <w:tab/>
        </w:r>
        <w:r>
          <w:t>2094</w:t>
        </w:r>
      </w:hyperlink>
    </w:p>
    <w:p>
      <w:pPr>
        <w:pStyle w:val="TOC2"/>
      </w:pPr>
      <w:hyperlink w:anchor="_Toc300002321" w:history="1">
        <w:r>
          <w:t>BI-4. Corridor Interoperability</w:t>
        </w:r>
        <w:r>
          <w:tab/>
        </w:r>
        <w:r>
          <w:t>2094</w:t>
        </w:r>
      </w:hyperlink>
    </w:p>
    <w:p>
      <w:pPr>
        <w:pStyle w:val="TOC2"/>
      </w:pPr>
      <w:hyperlink w:anchor="_Toc300002322" w:history="1">
        <w:r>
          <w:t>BI-5. Remanufacturing and Circularity</w:t>
        </w:r>
        <w:r>
          <w:tab/>
        </w:r>
        <w:r>
          <w:t>2094</w:t>
        </w:r>
      </w:hyperlink>
    </w:p>
    <w:p>
      <w:pPr>
        <w:pStyle w:val="TOC2"/>
      </w:pPr>
      <w:hyperlink w:anchor="_Toc300002323" w:history="1">
        <w:r>
          <w:t>BI-6. Connected-Truck Cybersecurity</w:t>
        </w:r>
        <w:r>
          <w:tab/>
        </w:r>
        <w:r>
          <w:t>2094</w:t>
        </w:r>
      </w:hyperlink>
    </w:p>
    <w:p>
      <w:pPr>
        <w:pStyle w:val="TOC2"/>
      </w:pPr>
      <w:hyperlink w:anchor="_Toc300002324" w:history="1">
        <w:r>
          <w:t>BI-7. Cold-Climate Validation</w:t>
        </w:r>
        <w:r>
          <w:tab/>
        </w:r>
        <w:r>
          <w:t>2094</w:t>
        </w:r>
      </w:hyperlink>
    </w:p>
    <w:p>
      <w:pPr>
        <w:pStyle w:val="TOC2"/>
      </w:pPr>
      <w:hyperlink w:anchor="_Toc300002325" w:history="1">
        <w:r>
          <w:t>BI-8. Emergency Freight Continuity</w:t>
        </w:r>
        <w:r>
          <w:tab/>
        </w:r>
        <w:r>
          <w:t>2094</w:t>
        </w:r>
      </w:hyperlink>
    </w:p>
    <w:p>
      <w:pPr>
        <w:pStyle w:val="TOC1"/>
      </w:pPr>
      <w:hyperlink w:anchor="_Toc300002326" w:history="1">
        <w:r>
          <w:t>PACKAGE BJ: HEAVY-TRUCK NEGOTIATION CATALOGUE</w:t>
        </w:r>
        <w:r>
          <w:tab/>
        </w:r>
        <w:r>
          <w:t>2095</w:t>
        </w:r>
      </w:hyperlink>
    </w:p>
    <w:p>
      <w:pPr>
        <w:pStyle w:val="TOC1"/>
      </w:pPr>
      <w:hyperlink w:anchor="_Toc300002327" w:history="1">
        <w:r>
          <w:t>PACKAGE BK: NORTH AMERICAN COMMERCIAL VEHICLE SAFETY EQUIVALENCE FRAMEWORK</w:t>
        </w:r>
        <w:r>
          <w:tab/>
        </w:r>
        <w:r>
          <w:t>2100</w:t>
        </w:r>
      </w:hyperlink>
    </w:p>
    <w:p>
      <w:pPr>
        <w:pStyle w:val="TOC2"/>
      </w:pPr>
      <w:hyperlink w:anchor="_Toc300002328" w:history="1">
        <w:r>
          <w:t>BK-1. Safety-Equivalent Market Access</w:t>
        </w:r>
        <w:r>
          <w:tab/>
        </w:r>
        <w:r>
          <w:t>2100</w:t>
        </w:r>
      </w:hyperlink>
    </w:p>
    <w:p>
      <w:pPr>
        <w:pStyle w:val="TOC2"/>
      </w:pPr>
      <w:hyperlink w:anchor="_Toc300002329" w:history="1">
        <w:r>
          <w:t>BK-2. Risk-Based Enforcement</w:t>
        </w:r>
        <w:r>
          <w:tab/>
        </w:r>
        <w:r>
          <w:t>2100</w:t>
        </w:r>
      </w:hyperlink>
    </w:p>
    <w:p>
      <w:pPr>
        <w:pStyle w:val="TOC2"/>
      </w:pPr>
      <w:hyperlink w:anchor="_Toc300002330" w:history="1">
        <w:r>
          <w:t>BK-3. Carrier Scheduling Responsibility</w:t>
        </w:r>
        <w:r>
          <w:tab/>
        </w:r>
        <w:r>
          <w:t>2100</w:t>
        </w:r>
      </w:hyperlink>
    </w:p>
    <w:p>
      <w:pPr>
        <w:pStyle w:val="TOC2"/>
      </w:pPr>
      <w:hyperlink w:anchor="_Toc300002331" w:history="1">
        <w:r>
          <w:t>BK-4. On-Duty Waiting Rule</w:t>
        </w:r>
        <w:r>
          <w:tab/>
        </w:r>
        <w:r>
          <w:t>2100</w:t>
        </w:r>
      </w:hyperlink>
    </w:p>
    <w:p>
      <w:pPr>
        <w:pStyle w:val="TOC2"/>
      </w:pPr>
      <w:hyperlink w:anchor="_Toc300002332" w:history="1">
        <w:r>
          <w:t>BK-5. Anti-Coercion Dispatch Rule</w:t>
        </w:r>
        <w:r>
          <w:tab/>
        </w:r>
        <w:r>
          <w:t>2100</w:t>
        </w:r>
      </w:hyperlink>
    </w:p>
    <w:p>
      <w:pPr>
        <w:pStyle w:val="TOC2"/>
      </w:pPr>
      <w:hyperlink w:anchor="_Toc300002333" w:history="1">
        <w:r>
          <w:t>BK-6. Safety Stop Right</w:t>
        </w:r>
        <w:r>
          <w:tab/>
        </w:r>
        <w:r>
          <w:t>2100</w:t>
        </w:r>
      </w:hyperlink>
    </w:p>
    <w:p>
      <w:pPr>
        <w:pStyle w:val="TOC2"/>
      </w:pPr>
      <w:hyperlink w:anchor="_Toc300002334" w:history="1">
        <w:r>
          <w:t>BK-7. Unsafe Incentive Prohibition</w:t>
        </w:r>
        <w:r>
          <w:tab/>
        </w:r>
        <w:r>
          <w:t>2101</w:t>
        </w:r>
      </w:hyperlink>
    </w:p>
    <w:p>
      <w:pPr>
        <w:pStyle w:val="TOC2"/>
      </w:pPr>
      <w:hyperlink w:anchor="_Toc300002335" w:history="1">
        <w:r>
          <w:t>BK-8. Critical Defect No-Dispatch Rule</w:t>
        </w:r>
        <w:r>
          <w:tab/>
        </w:r>
        <w:r>
          <w:t>2101</w:t>
        </w:r>
      </w:hyperlink>
    </w:p>
    <w:p>
      <w:pPr>
        <w:pStyle w:val="TOC2"/>
      </w:pPr>
      <w:hyperlink w:anchor="_Toc300002336" w:history="1">
        <w:r>
          <w:t>BK-9. Carrier Knowledge Liability</w:t>
        </w:r>
        <w:r>
          <w:tab/>
        </w:r>
        <w:r>
          <w:t>2101</w:t>
        </w:r>
      </w:hyperlink>
    </w:p>
    <w:p>
      <w:pPr>
        <w:pStyle w:val="TOC2"/>
      </w:pPr>
      <w:hyperlink w:anchor="_Toc300002337" w:history="1">
        <w:r>
          <w:t>BK-10. Privacy and Minimum-Data Firewall</w:t>
        </w:r>
        <w:r>
          <w:tab/>
        </w:r>
        <w:r>
          <w:t>2101</w:t>
        </w:r>
      </w:hyperlink>
    </w:p>
    <w:p>
      <w:pPr>
        <w:pStyle w:val="TOC2"/>
      </w:pPr>
      <w:hyperlink w:anchor="_Toc300002338" w:history="1">
        <w:r>
          <w:t>BK-11. Technical Update Method</w:t>
        </w:r>
        <w:r>
          <w:tab/>
        </w:r>
        <w:r>
          <w:t>2101</w:t>
        </w:r>
      </w:hyperlink>
    </w:p>
    <w:p>
      <w:pPr>
        <w:pStyle w:val="TOC2"/>
      </w:pPr>
      <w:hyperlink w:anchor="_Toc300002339" w:history="1">
        <w:r>
          <w:t>BK-12. Federalism and Competent Authorities</w:t>
        </w:r>
        <w:r>
          <w:tab/>
        </w:r>
        <w:r>
          <w:t>2101</w:t>
        </w:r>
      </w:hyperlink>
    </w:p>
    <w:p>
      <w:pPr>
        <w:pStyle w:val="TOC1"/>
      </w:pPr>
      <w:hyperlink w:anchor="_Toc300002340" w:history="1">
        <w:r>
          <w:t>PACKAGE BL: COMMERCIAL VEHICLE SAFETY IMPLEMENTATION CATALOGUE</w:t>
        </w:r>
        <w:r>
          <w:tab/>
        </w:r>
        <w:r>
          <w:t>2102</w:t>
        </w:r>
      </w:hyperlink>
    </w:p>
    <w:p>
      <w:pPr>
        <w:pStyle w:val="TOC1"/>
      </w:pPr>
      <w:hyperlink w:anchor="_Toc300002341" w:history="1">
        <w:r>
          <w:t>PACKAGE BM: TRUSTED CONTINENTAL FREIGHT SYSTEM AND SUPPLEMENTARY SAFETY MECHANISMS</w:t>
        </w:r>
        <w:r>
          <w:tab/>
        </w:r>
        <w:r>
          <w:t>2112</w:t>
        </w:r>
      </w:hyperlink>
    </w:p>
    <w:p>
      <w:pPr>
        <w:pStyle w:val="TOC2"/>
      </w:pPr>
      <w:hyperlink w:anchor="_Toc300002342" w:history="1">
        <w:r>
          <w:t>BM-1. Joint Border Inspection Facilities</w:t>
        </w:r>
        <w:r>
          <w:tab/>
        </w:r>
        <w:r>
          <w:t>2112</w:t>
        </w:r>
      </w:hyperlink>
    </w:p>
    <w:p>
      <w:pPr>
        <w:pStyle w:val="TOC2"/>
      </w:pPr>
      <w:hyperlink w:anchor="_Toc300002343" w:history="1">
        <w:r>
          <w:t>BM-2. Unified Out-of-Service Translation</w:t>
        </w:r>
        <w:r>
          <w:tab/>
        </w:r>
        <w:r>
          <w:t>2112</w:t>
        </w:r>
      </w:hyperlink>
    </w:p>
    <w:p>
      <w:pPr>
        <w:pStyle w:val="TOC2"/>
      </w:pPr>
      <w:hyperlink w:anchor="_Toc300002344" w:history="1">
        <w:r>
          <w:t>BM-3. Trusted-Carrier Preclearance</w:t>
        </w:r>
        <w:r>
          <w:tab/>
        </w:r>
        <w:r>
          <w:t>2112</w:t>
        </w:r>
      </w:hyperlink>
    </w:p>
    <w:p>
      <w:pPr>
        <w:pStyle w:val="TOC2"/>
      </w:pPr>
      <w:hyperlink w:anchor="_Toc300002345" w:history="1">
        <w:r>
          <w:t>BM-4. Weigh-in-Motion Expansion</w:t>
        </w:r>
        <w:r>
          <w:tab/>
        </w:r>
        <w:r>
          <w:t>2112</w:t>
        </w:r>
      </w:hyperlink>
    </w:p>
    <w:p>
      <w:pPr>
        <w:pStyle w:val="TOC2"/>
      </w:pPr>
      <w:hyperlink w:anchor="_Toc300002346" w:history="1">
        <w:r>
          <w:t>BM-5. Continental Truck Parking Information</w:t>
        </w:r>
        <w:r>
          <w:tab/>
        </w:r>
        <w:r>
          <w:t>2112</w:t>
        </w:r>
      </w:hyperlink>
    </w:p>
    <w:p>
      <w:pPr>
        <w:pStyle w:val="TOC2"/>
      </w:pPr>
      <w:hyperlink w:anchor="_Toc300002347" w:history="1">
        <w:r>
          <w:t>BM-6. Rest-Area Electrification</w:t>
        </w:r>
        <w:r>
          <w:tab/>
        </w:r>
        <w:r>
          <w:t>2112</w:t>
        </w:r>
      </w:hyperlink>
    </w:p>
    <w:p>
      <w:pPr>
        <w:pStyle w:val="TOC2"/>
      </w:pPr>
      <w:hyperlink w:anchor="_Toc300002348" w:history="1">
        <w:r>
          <w:t>BM-7. Smart Safety Corridors</w:t>
        </w:r>
        <w:r>
          <w:tab/>
        </w:r>
        <w:r>
          <w:t>2112</w:t>
        </w:r>
      </w:hyperlink>
    </w:p>
    <w:p>
      <w:pPr>
        <w:pStyle w:val="TOC2"/>
      </w:pPr>
      <w:hyperlink w:anchor="_Toc300002349" w:history="1">
        <w:r>
          <w:t>BM-8. Hazardous-Materials Response Interoperability</w:t>
        </w:r>
        <w:r>
          <w:tab/>
        </w:r>
        <w:r>
          <w:t>2112</w:t>
        </w:r>
      </w:hyperlink>
    </w:p>
    <w:p>
      <w:pPr>
        <w:pStyle w:val="TOC2"/>
      </w:pPr>
      <w:hyperlink w:anchor="_Toc300002350" w:history="1">
        <w:r>
          <w:t>BM-9. Cross-Border Recall Alerting</w:t>
        </w:r>
        <w:r>
          <w:tab/>
        </w:r>
        <w:r>
          <w:t>2112</w:t>
        </w:r>
      </w:hyperlink>
    </w:p>
    <w:p>
      <w:pPr>
        <w:pStyle w:val="TOC2"/>
      </w:pPr>
      <w:hyperlink w:anchor="_Toc300002351" w:history="1">
        <w:r>
          <w:t>BM-10. Emergency Towing and Clearance Planning</w:t>
        </w:r>
        <w:r>
          <w:tab/>
        </w:r>
        <w:r>
          <w:t>2112</w:t>
        </w:r>
      </w:hyperlink>
    </w:p>
    <w:p>
      <w:pPr>
        <w:pStyle w:val="TOC2"/>
      </w:pPr>
      <w:hyperlink w:anchor="_Toc300002352" w:history="1">
        <w:r>
          <w:t>BM-11. Crash Data Harmonization</w:t>
        </w:r>
        <w:r>
          <w:tab/>
        </w:r>
        <w:r>
          <w:t>2112</w:t>
        </w:r>
      </w:hyperlink>
    </w:p>
    <w:p>
      <w:pPr>
        <w:pStyle w:val="TOC2"/>
      </w:pPr>
      <w:hyperlink w:anchor="_Toc300002353" w:history="1">
        <w:r>
          <w:t>BM-12. Cross-Border Serious-Crash Notification</w:t>
        </w:r>
        <w:r>
          <w:tab/>
        </w:r>
        <w:r>
          <w:t>2112</w:t>
        </w:r>
      </w:hyperlink>
    </w:p>
    <w:p>
      <w:pPr>
        <w:pStyle w:val="TOC2"/>
      </w:pPr>
      <w:hyperlink w:anchor="_Toc300002354" w:history="1">
        <w:r>
          <w:t>BM-13. Carrier Safety Rating Interoperability</w:t>
        </w:r>
        <w:r>
          <w:tab/>
        </w:r>
        <w:r>
          <w:t>2112</w:t>
        </w:r>
      </w:hyperlink>
    </w:p>
    <w:p>
      <w:pPr>
        <w:pStyle w:val="TOC2"/>
      </w:pPr>
      <w:hyperlink w:anchor="_Toc300002355" w:history="1">
        <w:r>
          <w:t>BM-14. Digital Commercial Vehicle Credential</w:t>
        </w:r>
        <w:r>
          <w:tab/>
        </w:r>
        <w:r>
          <w:t>2113</w:t>
        </w:r>
      </w:hyperlink>
    </w:p>
    <w:p>
      <w:pPr>
        <w:pStyle w:val="TOC2"/>
      </w:pPr>
      <w:hyperlink w:anchor="_Toc300002356" w:history="1">
        <w:r>
          <w:t>BM-15. First-Responder Cargo Access</w:t>
        </w:r>
        <w:r>
          <w:tab/>
        </w:r>
        <w:r>
          <w:t>2113</w:t>
        </w:r>
      </w:hyperlink>
    </w:p>
    <w:p>
      <w:pPr>
        <w:pStyle w:val="TOC2"/>
      </w:pPr>
      <w:hyperlink w:anchor="_Toc300002357" w:history="1">
        <w:r>
          <w:t>BM-16. Truck Safety Research Data</w:t>
        </w:r>
        <w:r>
          <w:tab/>
        </w:r>
        <w:r>
          <w:t>2113</w:t>
        </w:r>
      </w:hyperlink>
    </w:p>
    <w:p>
      <w:pPr>
        <w:pStyle w:val="TOC2"/>
      </w:pPr>
      <w:hyperlink w:anchor="_Toc300002358" w:history="1">
        <w:r>
          <w:t>BM-17. Safety Outcome Reporting</w:t>
        </w:r>
        <w:r>
          <w:tab/>
        </w:r>
        <w:r>
          <w:t>2113</w:t>
        </w:r>
      </w:hyperlink>
    </w:p>
    <w:p>
      <w:pPr>
        <w:pStyle w:val="TOC2"/>
      </w:pPr>
      <w:hyperlink w:anchor="_Toc300002359" w:history="1">
        <w:r>
          <w:t>BM-18. Phase-In for Legacy Fleets</w:t>
        </w:r>
        <w:r>
          <w:tab/>
        </w:r>
        <w:r>
          <w:t>2113</w:t>
        </w:r>
      </w:hyperlink>
    </w:p>
    <w:p>
      <w:pPr>
        <w:pStyle w:val="TOC2"/>
      </w:pPr>
      <w:hyperlink w:anchor="_Toc300002360" w:history="1">
        <w:r>
          <w:t>BM-19. Human-Trafficking and Exploitation Awareness</w:t>
        </w:r>
        <w:r>
          <w:tab/>
        </w:r>
        <w:r>
          <w:t>2113</w:t>
        </w:r>
      </w:hyperlink>
    </w:p>
    <w:p>
      <w:pPr>
        <w:pStyle w:val="TOC2"/>
      </w:pPr>
      <w:hyperlink w:anchor="_Toc300002361" w:history="1">
        <w:r>
          <w:t>BM-20. No Committee Bloat</w:t>
        </w:r>
        <w:r>
          <w:tab/>
        </w:r>
        <w:r>
          <w:t>2113</w:t>
        </w:r>
      </w:hyperlink>
    </w:p>
    <w:p>
      <w:pPr>
        <w:pStyle w:val="TOC2"/>
      </w:pPr>
      <w:hyperlink w:anchor="_Toc300002362" w:history="1">
        <w:r>
          <w:t>BM-21. Trusted Freight Decision Logic</w:t>
        </w:r>
        <w:r>
          <w:tab/>
        </w:r>
        <w:r>
          <w:t>2113</w:t>
        </w:r>
      </w:hyperlink>
    </w:p>
    <w:p>
      <w:pPr>
        <w:pStyle w:val="TOC2"/>
      </w:pPr>
      <w:hyperlink w:anchor="_Toc300002363" w:history="1">
        <w:r>
          <w:t>BM-22. Safety as a Reciprocal Bargain</w:t>
        </w:r>
        <w:r>
          <w:tab/>
        </w:r>
        <w:r>
          <w:t>2114</w:t>
        </w:r>
      </w:hyperlink>
    </w:p>
    <w:p>
      <w:pPr>
        <w:pStyle w:val="TOC1"/>
      </w:pPr>
      <w:hyperlink w:anchor="_Toc300002364" w:history="1">
        <w:r>
          <w:t>PACKAGE BM-A: OPTIONAL U.S. SUV EXHAUST MANUFACTURING CARROT</w:t>
        </w:r>
        <w:r>
          <w:tab/>
        </w:r>
        <w:r>
          <w:t>2115</w:t>
        </w:r>
      </w:hyperlink>
    </w:p>
    <w:p>
      <w:pPr>
        <w:pStyle w:val="TOC2"/>
      </w:pPr>
      <w:hyperlink w:anchor="_Toc300002365" w:history="1">
        <w:r>
          <w:t>BM-A.1. Purpose</w:t>
        </w:r>
        <w:r>
          <w:tab/>
        </w:r>
        <w:r>
          <w:t>2115</w:t>
        </w:r>
      </w:hyperlink>
    </w:p>
    <w:p>
      <w:pPr>
        <w:pStyle w:val="TOC2"/>
      </w:pPr>
      <w:hyperlink w:anchor="_Toc300002366" w:history="1">
        <w:r>
          <w:t>BM-A.2. Covered Vehicle Class</w:t>
        </w:r>
        <w:r>
          <w:tab/>
        </w:r>
        <w:r>
          <w:t>2115</w:t>
        </w:r>
      </w:hyperlink>
    </w:p>
    <w:p>
      <w:pPr>
        <w:pStyle w:val="TOC2"/>
      </w:pPr>
      <w:hyperlink w:anchor="_Toc300002367" w:history="1">
        <w:r>
          <w:t>BM-A.3. Covered Component</w:t>
        </w:r>
        <w:r>
          <w:tab/>
        </w:r>
        <w:r>
          <w:t>2115</w:t>
        </w:r>
      </w:hyperlink>
    </w:p>
    <w:p>
      <w:pPr>
        <w:pStyle w:val="TOC2"/>
      </w:pPr>
      <w:hyperlink w:anchor="_Toc300002368" w:history="1">
        <w:r>
          <w:t>BM-A.4. Seventy-Percent U.S. Manufacturing Commitment</w:t>
        </w:r>
        <w:r>
          <w:tab/>
        </w:r>
        <w:r>
          <w:t>2115</w:t>
        </w:r>
      </w:hyperlink>
    </w:p>
    <w:p>
      <w:pPr>
        <w:pStyle w:val="TOC2"/>
      </w:pPr>
      <w:hyperlink w:anchor="_Toc300002369" w:history="1">
        <w:r>
          <w:t>BM-A.5. Meaning of U.S.-Manufactured</w:t>
        </w:r>
        <w:r>
          <w:tab/>
        </w:r>
        <w:r>
          <w:t>2116</w:t>
        </w:r>
      </w:hyperlink>
    </w:p>
    <w:p>
      <w:pPr>
        <w:pStyle w:val="TOC2"/>
      </w:pPr>
      <w:hyperlink w:anchor="_Toc300002370" w:history="1">
        <w:r>
          <w:t>BM-A.6. North American Origin Preserved</w:t>
        </w:r>
        <w:r>
          <w:tab/>
        </w:r>
        <w:r>
          <w:t>2116</w:t>
        </w:r>
      </w:hyperlink>
    </w:p>
    <w:p>
      <w:pPr>
        <w:pStyle w:val="TOC2"/>
      </w:pPr>
      <w:hyperlink w:anchor="_Toc300002371" w:history="1">
        <w:r>
          <w:t>BM-A.7. Paired United States Consideration</w:t>
        </w:r>
        <w:r>
          <w:tab/>
        </w:r>
        <w:r>
          <w:t>2116</w:t>
        </w:r>
      </w:hyperlink>
    </w:p>
    <w:p>
      <w:pPr>
        <w:pStyle w:val="TOC2"/>
      </w:pPr>
      <w:hyperlink w:anchor="_Toc300002372" w:history="1">
        <w:r>
          <w:t>BM-A.8. No Uncompensated Front-Loading and Automatic Step-Back</w:t>
        </w:r>
        <w:r>
          <w:tab/>
        </w:r>
        <w:r>
          <w:t>2116</w:t>
        </w:r>
      </w:hyperlink>
    </w:p>
    <w:p>
      <w:pPr>
        <w:pStyle w:val="TOC2"/>
      </w:pPr>
      <w:hyperlink w:anchor="_Toc300002373" w:history="1">
        <w:r>
          <w:t>BM-A.9. Transition and Existing Contracts</w:t>
        </w:r>
        <w:r>
          <w:tab/>
        </w:r>
        <w:r>
          <w:t>2116</w:t>
        </w:r>
      </w:hyperlink>
    </w:p>
    <w:p>
      <w:pPr>
        <w:pStyle w:val="TOC2"/>
      </w:pPr>
      <w:hyperlink w:anchor="_Toc300002374" w:history="1">
        <w:r>
          <w:t>BM-A.10. Capacity, Quality and Safety Exception</w:t>
        </w:r>
        <w:r>
          <w:tab/>
        </w:r>
        <w:r>
          <w:t>2117</w:t>
        </w:r>
      </w:hyperlink>
    </w:p>
    <w:p>
      <w:pPr>
        <w:pStyle w:val="TOC2"/>
      </w:pPr>
      <w:hyperlink w:anchor="_Toc300002375" w:history="1">
        <w:r>
          <w:t>BM-A.11. Three-Component Absolute Ceiling</w:t>
        </w:r>
        <w:r>
          <w:tab/>
        </w:r>
        <w:r>
          <w:t>2117</w:t>
        </w:r>
      </w:hyperlink>
    </w:p>
    <w:p>
      <w:pPr>
        <w:pStyle w:val="TOC2"/>
      </w:pPr>
      <w:hyperlink w:anchor="_Toc300002376" w:history="1">
        <w:r>
          <w:t>BM-A.12. Strategic-Component Firewall</w:t>
        </w:r>
        <w:r>
          <w:tab/>
        </w:r>
        <w:r>
          <w:t>2117</w:t>
        </w:r>
      </w:hyperlink>
    </w:p>
    <w:p>
      <w:pPr>
        <w:pStyle w:val="TOC2"/>
      </w:pPr>
      <w:hyperlink w:anchor="_Toc300002377" w:history="1">
        <w:r>
          <w:t>BM-A.13. No Precedent and Anti-Salami-Slicing Rule</w:t>
        </w:r>
        <w:r>
          <w:tab/>
        </w:r>
        <w:r>
          <w:t>2117</w:t>
        </w:r>
      </w:hyperlink>
    </w:p>
    <w:p>
      <w:pPr>
        <w:pStyle w:val="TOC2"/>
      </w:pPr>
      <w:hyperlink w:anchor="_Toc300002378" w:history="1">
        <w:r>
          <w:t>BM-A.14. Review and Technological Sunset</w:t>
        </w:r>
        <w:r>
          <w:tab/>
        </w:r>
        <w:r>
          <w:t>2117</w:t>
        </w:r>
      </w:hyperlink>
    </w:p>
    <w:p>
      <w:pPr>
        <w:pStyle w:val="TOC2"/>
      </w:pPr>
      <w:hyperlink w:anchor="_Toc300002379" w:history="1">
        <w:r>
          <w:t>BM-A.15. Consumer-Cost and Competition Safeguard</w:t>
        </w:r>
        <w:r>
          <w:tab/>
        </w:r>
        <w:r>
          <w:t>2118</w:t>
        </w:r>
      </w:hyperlink>
    </w:p>
    <w:p>
      <w:pPr>
        <w:pStyle w:val="TOC2"/>
      </w:pPr>
      <w:hyperlink w:anchor="_Toc300002380" w:history="1">
        <w:r>
          <w:t>BM-A.16. Governing Bargain</w:t>
        </w:r>
        <w:r>
          <w:tab/>
        </w:r>
        <w:r>
          <w:t>2118</w:t>
        </w:r>
      </w:hyperlink>
    </w:p>
    <w:p>
      <w:pPr>
        <w:pStyle w:val="TOC1"/>
      </w:pPr>
      <w:hyperlink w:anchor="_Toc300002381" w:history="1">
        <w:r>
          <w:t>PACKAGE BN: NORTH AMERICAN MOBILITY, MIGRATION, HUMAN DIGNITY AND LAWFUL ADMINISTRATION FRAMEWORK</w:t>
        </w:r>
        <w:r>
          <w:tab/>
        </w:r>
        <w:r>
          <w:t>2119</w:t>
        </w:r>
      </w:hyperlink>
    </w:p>
    <w:p>
      <w:pPr>
        <w:pStyle w:val="TOC1"/>
      </w:pPr>
      <w:hyperlink w:anchor="_Toc300002382" w:history="1">
        <w:r>
          <w:t>PACKAGE BO: LAWFUL LABOUR, PROFESSIONAL, STUDENT AND FAMILY MOBILITY</w:t>
        </w:r>
        <w:r>
          <w:tab/>
        </w:r>
        <w:r>
          <w:t>2121</w:t>
        </w:r>
      </w:hyperlink>
    </w:p>
    <w:p>
      <w:pPr>
        <w:pStyle w:val="TOC1"/>
      </w:pPr>
      <w:hyperlink w:anchor="_Toc300002383" w:history="1">
        <w:r>
          <w:t>PACKAGE BP: MIGRANT WORKER PROTECTION AND EMPLOYER ACCOUNTABILITY</w:t>
        </w:r>
        <w:r>
          <w:tab/>
        </w:r>
        <w:r>
          <w:t>2122</w:t>
        </w:r>
      </w:hyperlink>
    </w:p>
    <w:p>
      <w:pPr>
        <w:pStyle w:val="TOC1"/>
      </w:pPr>
      <w:hyperlink w:anchor="_Toc300002384" w:history="1">
        <w:r>
          <w:t>PACKAGE BQ: REFUGEE, ASYLUM, TRAFFICKING AND HUMANITARIAN PROTECTION</w:t>
        </w:r>
        <w:r>
          <w:tab/>
        </w:r>
        <w:r>
          <w:t>2124</w:t>
        </w:r>
      </w:hyperlink>
    </w:p>
    <w:p>
      <w:pPr>
        <w:pStyle w:val="TOC1"/>
      </w:pPr>
      <w:hyperlink w:anchor="_Toc300002385" w:history="1">
        <w:r>
          <w:t>PACKAGE BR: CIVIL IMMIGRATION ENFORCEMENT, DUE PROCESS AND POWER-SEPARATION SAFEGUARDS</w:t>
        </w:r>
        <w:r>
          <w:tab/>
        </w:r>
        <w:r>
          <w:t>2126</w:t>
        </w:r>
      </w:hyperlink>
    </w:p>
    <w:p>
      <w:pPr>
        <w:pStyle w:val="TOC1"/>
      </w:pPr>
      <w:hyperlink w:anchor="_Toc300002386" w:history="1">
        <w:r>
          <w:t>PACKAGE BS: HUMANE CUSTODY, DETENTION ALTERNATIVES AND SENSITIVE-LOCATION PROTECTION</w:t>
        </w:r>
        <w:r>
          <w:tab/>
        </w:r>
        <w:r>
          <w:t>2128</w:t>
        </w:r>
      </w:hyperlink>
    </w:p>
    <w:p>
      <w:pPr>
        <w:pStyle w:val="TOC1"/>
      </w:pPr>
      <w:hyperlink w:anchor="_Toc300002387" w:history="1">
        <w:r>
          <w:t>PACKAGE BT: MIGRATION DATA, PRIVACY, BIOMETRICS AND AUTOMATED-DECISION SAFEGUARDS</w:t>
        </w:r>
        <w:r>
          <w:tab/>
        </w:r>
        <w:r>
          <w:t>2130</w:t>
        </w:r>
      </w:hyperlink>
    </w:p>
    <w:p>
      <w:pPr>
        <w:pStyle w:val="TOC1"/>
      </w:pPr>
      <w:hyperlink w:anchor="_Toc300002388" w:history="1">
        <w:r>
          <w:t>PACKAGE BU: RETURN, REINTEGRATION, DISASTER MOBILITY AND REGIONAL DEVELOPMENT</w:t>
        </w:r>
        <w:r>
          <w:tab/>
        </w:r>
        <w:r>
          <w:t>2131</w:t>
        </w:r>
      </w:hyperlink>
    </w:p>
    <w:p>
      <w:pPr>
        <w:pStyle w:val="TOC1"/>
      </w:pPr>
      <w:hyperlink w:anchor="_Toc300002389" w:history="1">
        <w:r>
          <w:t>PACKAGE BV: TRUSTED NORTH AMERICAN MOBILITY AND ADMINISTRATIVE INTEROPERABILITY</w:t>
        </w:r>
        <w:r>
          <w:tab/>
        </w:r>
        <w:r>
          <w:t>2132</w:t>
        </w:r>
      </w:hyperlink>
    </w:p>
    <w:p>
      <w:pPr>
        <w:pStyle w:val="TOC1"/>
      </w:pPr>
      <w:hyperlink w:anchor="_Toc300002390" w:history="1">
        <w:r>
          <w:t>PACKAGE BW: NORTH AMERICAN HUMAN DIGNITY, RULE-OF-LAW AND EARNED COOPERATION FRAMEWORK</w:t>
        </w:r>
        <w:r>
          <w:tab/>
        </w:r>
        <w:r>
          <w:t>2133</w:t>
        </w:r>
      </w:hyperlink>
    </w:p>
    <w:p>
      <w:pPr>
        <w:pStyle w:val="TOC1"/>
      </w:pPr>
      <w:hyperlink w:anchor="_Toc300002391" w:history="1">
        <w:r>
          <w:t>PACKAGE BX: HUMAN-RIGHTS-CONDITIONED TRADE AND IMPLEMENTATION CATALOGUE</w:t>
        </w:r>
        <w:r>
          <w:tab/>
        </w:r>
        <w:r>
          <w:t>2135</w:t>
        </w:r>
      </w:hyperlink>
    </w:p>
    <w:p>
      <w:pPr>
        <w:pStyle w:val="TOC1"/>
      </w:pPr>
      <w:hyperlink w:anchor="_Toc300002392" w:history="1">
        <w:r>
          <w:t>PACKAGE BY: AUTOMOTIVE WORKFORCE ADVANCEMENT AND LVC MODERNIZATION</w:t>
        </w:r>
        <w:r>
          <w:tab/>
        </w:r>
        <w:r>
          <w:t>2139</w:t>
        </w:r>
      </w:hyperlink>
    </w:p>
    <w:p>
      <w:pPr>
        <w:pStyle w:val="TOC1"/>
      </w:pPr>
      <w:hyperlink w:anchor="_Toc300002393" w:history="1">
        <w:r>
          <w:t>PACKAGE BZ: TRILATERAL FACILITY-SPECIFIC LABOUR RECIPROCITY INTEGRATION</w:t>
        </w:r>
        <w:r>
          <w:tab/>
        </w:r>
        <w:r>
          <w:t>2140</w:t>
        </w:r>
      </w:hyperlink>
    </w:p>
    <w:p>
      <w:pPr>
        <w:pStyle w:val="TOC1"/>
      </w:pPr>
      <w:hyperlink w:anchor="_Toc300002394" w:history="1">
        <w:r>
          <w:t>PACKAGE CA: ANNEX 23-A LABOUR-REFORM DURABILITY INTEGRATION</w:t>
        </w:r>
        <w:r>
          <w:tab/>
        </w:r>
        <w:r>
          <w:t>2143</w:t>
        </w:r>
      </w:hyperlink>
    </w:p>
    <w:p>
      <w:pPr>
        <w:pStyle w:val="TOC2"/>
      </w:pPr>
      <w:hyperlink w:anchor="_Toc300002395" w:history="1">
        <w:r>
          <w:t>CA-1 Preserve Achievements, Delete the Time Capsule.</w:t>
        </w:r>
        <w:r>
          <w:tab/>
        </w:r>
        <w:r>
          <w:t>2143</w:t>
        </w:r>
      </w:hyperlink>
    </w:p>
    <w:p>
      <w:pPr>
        <w:pStyle w:val="TOC2"/>
      </w:pPr>
      <w:hyperlink w:anchor="_Toc300002396" w:history="1">
        <w:r>
          <w:t>CA-2 Durable Democratic Consent.</w:t>
        </w:r>
        <w:r>
          <w:tab/>
        </w:r>
        <w:r>
          <w:t>2143</w:t>
        </w:r>
      </w:hyperlink>
    </w:p>
    <w:p>
      <w:pPr>
        <w:pStyle w:val="TOC2"/>
      </w:pPr>
      <w:hyperlink w:anchor="_Toc300002397" w:history="1">
        <w:r>
          <w:t>CA-3 Independent Institutions, Flexible Machinery.</w:t>
        </w:r>
        <w:r>
          <w:tab/>
        </w:r>
        <w:r>
          <w:t>2143</w:t>
        </w:r>
      </w:hyperlink>
    </w:p>
    <w:p>
      <w:pPr>
        <w:pStyle w:val="TOC2"/>
      </w:pPr>
      <w:hyperlink w:anchor="_Toc300002398" w:history="1">
        <w:r>
          <w:t>CA-4 Protection-Contract Firewall.</w:t>
        </w:r>
        <w:r>
          <w:tab/>
        </w:r>
        <w:r>
          <w:t>2143</w:t>
        </w:r>
      </w:hyperlink>
    </w:p>
    <w:p>
      <w:pPr>
        <w:pStyle w:val="TOC2"/>
      </w:pPr>
      <w:hyperlink w:anchor="_Toc300002399" w:history="1">
        <w:r>
          <w:t>CA-5 Anti-Retaliation and Restoration.</w:t>
        </w:r>
        <w:r>
          <w:tab/>
        </w:r>
        <w:r>
          <w:t>2143</w:t>
        </w:r>
      </w:hyperlink>
    </w:p>
    <w:p>
      <w:pPr>
        <w:pStyle w:val="TOC2"/>
      </w:pPr>
      <w:hyperlink w:anchor="_Toc300002400" w:history="1">
        <w:r>
          <w:t>CA-6 Non-Regression with Modernization Freedom.</w:t>
        </w:r>
        <w:r>
          <w:tab/>
        </w:r>
        <w:r>
          <w:t>2143</w:t>
        </w:r>
      </w:hyperlink>
    </w:p>
    <w:p>
      <w:pPr>
        <w:pStyle w:val="TOC2"/>
      </w:pPr>
      <w:hyperlink w:anchor="_Toc300002401" w:history="1">
        <w:r>
          <w:t>CA-7 Equal-Party Safeguard.</w:t>
        </w:r>
        <w:r>
          <w:tab/>
        </w:r>
        <w:r>
          <w:t>2143</w:t>
        </w:r>
      </w:hyperlink>
    </w:p>
    <w:p>
      <w:pPr>
        <w:pStyle w:val="TOC2"/>
      </w:pPr>
      <w:hyperlink w:anchor="_Toc300002402" w:history="1">
        <w:r>
          <w:t>CA-8 Article 31.E Interface.</w:t>
        </w:r>
        <w:r>
          <w:tab/>
        </w:r>
        <w:r>
          <w:t>2143</w:t>
        </w:r>
      </w:hyperlink>
    </w:p>
    <w:p>
      <w:pPr>
        <w:pStyle w:val="TOC2"/>
      </w:pPr>
      <w:hyperlink w:anchor="_Toc300002403" w:history="1">
        <w:r>
          <w:t>CA-9 Worker-Rights Firewall.</w:t>
        </w:r>
        <w:r>
          <w:tab/>
        </w:r>
        <w:r>
          <w:t>2144</w:t>
        </w:r>
      </w:hyperlink>
    </w:p>
    <w:p>
      <w:pPr>
        <w:pStyle w:val="TOC2"/>
      </w:pPr>
      <w:hyperlink w:anchor="_Toc300002404" w:history="1">
        <w:r>
          <w:t>CA-10 Completed Transition Recognition.</w:t>
        </w:r>
        <w:r>
          <w:tab/>
        </w:r>
        <w:r>
          <w:t>2144</w:t>
        </w:r>
      </w:hyperlink>
    </w:p>
    <w:p>
      <w:pPr>
        <w:pStyle w:val="TOC1"/>
      </w:pPr>
      <w:hyperlink w:anchor="_Toc300002405" w:history="1">
        <w:r>
          <w:t>PACKAGE CB: LABOUR PARITY CONFORMING INTEGRATION</w:t>
        </w:r>
        <w:r>
          <w:tab/>
        </w:r>
        <w:r>
          <w:t>2145</w:t>
        </w:r>
      </w:hyperlink>
    </w:p>
    <w:p>
      <w:pPr>
        <w:pStyle w:val="TOC2"/>
      </w:pPr>
      <w:hyperlink w:anchor="_Toc300002406" w:history="1">
        <w:r>
          <w:t>CB-1 Article 31.E Immediate Supremacy.</w:t>
        </w:r>
        <w:r>
          <w:tab/>
        </w:r>
        <w:r>
          <w:t>2145</w:t>
        </w:r>
      </w:hyperlink>
    </w:p>
    <w:p>
      <w:pPr>
        <w:pStyle w:val="TOC2"/>
      </w:pPr>
      <w:hyperlink w:anchor="_Toc300002407" w:history="1">
        <w:r>
          <w:t>CB-2 Chapter 23 Cross-Reference Repair.</w:t>
        </w:r>
        <w:r>
          <w:tab/>
        </w:r>
        <w:r>
          <w:t>2145</w:t>
        </w:r>
      </w:hyperlink>
    </w:p>
    <w:p>
      <w:pPr>
        <w:pStyle w:val="TOC2"/>
      </w:pPr>
      <w:hyperlink w:anchor="_Toc300002408" w:history="1">
        <w:r>
          <w:t>CB-3 Equal Definitions and Intake.</w:t>
        </w:r>
        <w:r>
          <w:tab/>
        </w:r>
        <w:r>
          <w:t>2145</w:t>
        </w:r>
      </w:hyperlink>
    </w:p>
    <w:p>
      <w:pPr>
        <w:pStyle w:val="TOC2"/>
      </w:pPr>
      <w:hyperlink w:anchor="_Toc300002409" w:history="1">
        <w:r>
          <w:t>CB-4 Domestic-Order Gate Neutralization.</w:t>
        </w:r>
        <w:r>
          <w:tab/>
        </w:r>
        <w:r>
          <w:t>2145</w:t>
        </w:r>
      </w:hyperlink>
    </w:p>
    <w:p>
      <w:pPr>
        <w:pStyle w:val="TOC2"/>
      </w:pPr>
      <w:hyperlink w:anchor="_Toc300002410" w:history="1">
        <w:r>
          <w:t>CB-5 Priority-Sector Firewall.</w:t>
        </w:r>
        <w:r>
          <w:tab/>
        </w:r>
        <w:r>
          <w:t>2145</w:t>
        </w:r>
      </w:hyperlink>
    </w:p>
    <w:p>
      <w:pPr>
        <w:pStyle w:val="TOC2"/>
      </w:pPr>
      <w:hyperlink w:anchor="_Toc300002411" w:history="1">
        <w:r>
          <w:t>CB-6 Panel Neutrality.</w:t>
        </w:r>
        <w:r>
          <w:tab/>
        </w:r>
        <w:r>
          <w:t>2145</w:t>
        </w:r>
      </w:hyperlink>
    </w:p>
    <w:p>
      <w:pPr>
        <w:pStyle w:val="TOC2"/>
      </w:pPr>
      <w:hyperlink w:anchor="_Toc300002412" w:history="1">
        <w:r>
          <w:t>CB-7 Canada Definition Repair.</w:t>
        </w:r>
        <w:r>
          <w:tab/>
        </w:r>
        <w:r>
          <w:t>2145</w:t>
        </w:r>
      </w:hyperlink>
    </w:p>
    <w:p>
      <w:pPr>
        <w:pStyle w:val="TOC2"/>
      </w:pPr>
      <w:hyperlink w:anchor="_Toc300002413" w:history="1">
        <w:r>
          <w:t>CB-8 Annex 23-A Cross-Reference Repair.</w:t>
        </w:r>
        <w:r>
          <w:tab/>
        </w:r>
        <w:r>
          <w:t>2145</w:t>
        </w:r>
      </w:hyperlink>
    </w:p>
    <w:p>
      <w:pPr>
        <w:pStyle w:val="TOC2"/>
      </w:pPr>
      <w:hyperlink w:anchor="_Toc300002414" w:history="1">
        <w:r>
          <w:t>CB-9 Neutral Existing-Measures Safe Harbour.</w:t>
        </w:r>
        <w:r>
          <w:tab/>
        </w:r>
        <w:r>
          <w:t>2146</w:t>
        </w:r>
      </w:hyperlink>
    </w:p>
    <w:p>
      <w:pPr>
        <w:pStyle w:val="TOC2"/>
      </w:pPr>
      <w:hyperlink w:anchor="_Toc300002415" w:history="1">
        <w:r>
          <w:t>CB-10 Continental Worker-Rights Firewall.</w:t>
        </w:r>
        <w:r>
          <w:tab/>
        </w:r>
        <w:r>
          <w:t>2146</w:t>
        </w:r>
      </w:hyperlink>
    </w:p>
    <w:p>
      <w:pPr>
        <w:pStyle w:val="TOC2"/>
      </w:pPr>
      <w:hyperlink w:anchor="_Toc300002416" w:history="1">
        <w:r>
          <w:t>CB-11 Article 51 Interface.</w:t>
        </w:r>
        <w:r>
          <w:tab/>
        </w:r>
        <w:r>
          <w:t>2146</w:t>
        </w:r>
      </w:hyperlink>
    </w:p>
    <w:p>
      <w:pPr>
        <w:pStyle w:val="TOC2"/>
      </w:pPr>
      <w:hyperlink w:anchor="_Toc300002417" w:history="1">
        <w:r>
          <w:t>CB-12 Trade-Nexus Clarification.</w:t>
        </w:r>
        <w:r>
          <w:tab/>
        </w:r>
        <w:r>
          <w:t>2146</w:t>
        </w:r>
      </w:hyperlink>
    </w:p>
    <w:p>
      <w:pPr>
        <w:pStyle w:val="TOC2"/>
      </w:pPr>
      <w:hyperlink w:anchor="_Toc300002418" w:history="1">
        <w:r>
          <w:t>CB-13 Annex 23-A Converse Equality.</w:t>
        </w:r>
        <w:r>
          <w:tab/>
        </w:r>
        <w:r>
          <w:t>2146</w:t>
        </w:r>
      </w:hyperlink>
    </w:p>
    <w:p>
      <w:pPr>
        <w:pStyle w:val="TOC2"/>
      </w:pPr>
      <w:hyperlink w:anchor="_Toc300002419" w:history="1">
        <w:r>
          <w:t>CB-14 Predecessor Annex Status.</w:t>
        </w:r>
        <w:r>
          <w:tab/>
        </w:r>
        <w:r>
          <w:t>2146</w:t>
        </w:r>
      </w:hyperlink>
    </w:p>
    <w:p>
      <w:pPr>
        <w:pStyle w:val="TOC2"/>
      </w:pPr>
      <w:hyperlink w:anchor="_Toc300002420" w:history="1">
        <w:r>
          <w:t>CB-15 No New Labour Bureaucracy.</w:t>
        </w:r>
        <w:r>
          <w:tab/>
        </w:r>
        <w:r>
          <w:t>2146</w:t>
        </w:r>
      </w:hyperlink>
    </w:p>
    <w:p>
      <w:pPr>
        <w:pStyle w:val="TOC1"/>
      </w:pPr>
      <w:hyperlink w:anchor="_Toc300002421" w:history="1">
        <w:r>
          <w:t>PACKAGE CC: NORTH AMERICAN ANIMAL WELFARE, HUMANE AGRICULTURE, RESCUE, AND PRACTICAL TRANSITION INTEGRATION (v7.4)</w:t>
        </w:r>
        <w:r>
          <w:tab/>
        </w:r>
        <w:r>
          <w:t>2147</w:t>
        </w:r>
      </w:hyperlink>
    </w:p>
    <w:p>
      <w:pPr>
        <w:pStyle w:val="TOC2"/>
      </w:pPr>
      <w:hyperlink w:anchor="_Toc300002423" w:history="1">
        <w:r>
          <w:t>Article 62.A: Animal Rescue, Protective Continuity, and Government-Directed Destruction</w:t>
        </w:r>
        <w:r>
          <w:tab/>
        </w:r>
        <w:r>
          <w:t>2148</w:t>
        </w:r>
      </w:hyperlink>
    </w:p>
    <w:p>
      <w:pPr>
        <w:pStyle w:val="TOC2"/>
      </w:pPr>
      <w:hyperlink w:anchor="_Toc300002424" w:history="1">
        <w:r>
          <w:t>Article 24.X: Least-Harm Wildlife Intervention and Humane Cross-Border Management</w:t>
        </w:r>
        <w:r>
          <w:tab/>
        </w:r>
        <w:r>
          <w:t>2149</w:t>
        </w:r>
      </w:hyperlink>
    </w:p>
    <w:p>
      <w:pPr>
        <w:pStyle w:val="TOC2"/>
      </w:pPr>
      <w:hyperlink w:anchor="_Toc300002426" w:history="1">
        <w:r>
          <w:t>PACKAGE CC-T: TRACEABILITY AND POLITICAL FIREWALL</w:t>
        </w:r>
        <w:r>
          <w:tab/>
        </w:r>
        <w:r>
          <w:t>2149</w:t>
        </w:r>
      </w:hyperlink>
    </w:p>
    <w:p>
      <w:pPr>
        <w:pStyle w:val="TOC1"/>
      </w:pPr>
      <w:hyperlink w:anchor="_Toc300002427" w:history="1">
        <w:r>
          <w:t>PACKAGE CD: OPTIONAL KEYSTONE NEXT NORTH AMERICAN ENERGY SECURITY MODULE</w:t>
        </w:r>
        <w:r>
          <w:tab/>
        </w:r>
        <w:r>
          <w:t>2151</w:t>
        </w:r>
      </w:hyperlink>
    </w:p>
    <w:p>
      <w:pPr>
        <w:pStyle w:val="TOC1"/>
      </w:pPr>
      <w:hyperlink w:anchor="_Toc300002428" w:history="1">
        <w:r>
          <w:t>PACKAGE CE: FENTANYL AND HIGH-RISK CONTRABAND INTERDICTION / TRUSTED FREIGHT GATEWAY</w:t>
        </w:r>
        <w:r>
          <w:tab/>
        </w:r>
        <w:r>
          <w:t>2156</w:t>
        </w:r>
      </w:hyperlink>
    </w:p>
    <w:p>
      <w:pPr>
        <w:pStyle w:val="TOC1"/>
      </w:pPr>
      <w:hyperlink w:anchor="_Toc300002429" w:history="1">
        <w:r>
          <w:t>PACKAGE CG: DETROIT–WINDSOR INTERNATIONAL CROSSING BENEFIT AND REINVESTMENT FRAMEWORK</w:t>
        </w:r>
        <w:r>
          <w:tab/>
        </w:r>
        <w:r>
          <w:t>2158</w:t>
        </w:r>
      </w:hyperlink>
    </w:p>
    <w:p>
      <w:pPr>
        <w:pStyle w:val="TOC1"/>
      </w:pPr>
      <w:hyperlink w:anchor="_Toc300002430" w:history="1">
        <w:r>
          <w:t>PACKAGE CH: NORTH AMERICAN CUSTODIAL DIGNITY AND SAFE CORRECTIONS FRAMEWORK</w:t>
        </w:r>
        <w:r>
          <w:tab/>
        </w:r>
        <w:r>
          <w:t>2165</w:t>
        </w:r>
      </w:hyperlink>
    </w:p>
    <w:p>
      <w:pPr>
        <w:pStyle w:val="TOC2"/>
      </w:pPr>
      <w:hyperlink w:anchor="_Toc300002431" w:history="1">
        <w:r>
          <w:t>CH-1. Purpose and Character</w:t>
        </w:r>
        <w:r>
          <w:tab/>
        </w:r>
        <w:r>
          <w:t>2165</w:t>
        </w:r>
      </w:hyperlink>
    </w:p>
    <w:p>
      <w:pPr>
        <w:pStyle w:val="TOC2"/>
      </w:pPr>
      <w:hyperlink w:anchor="_Toc300002432" w:history="1">
        <w:r>
          <w:t>CH-2. Scope</w:t>
        </w:r>
        <w:r>
          <w:tab/>
        </w:r>
        <w:r>
          <w:t>2165</w:t>
        </w:r>
      </w:hyperlink>
    </w:p>
    <w:p>
      <w:pPr>
        <w:pStyle w:val="TOC2"/>
      </w:pPr>
      <w:hyperlink w:anchor="_Toc300002433" w:history="1">
        <w:r>
          <w:t>CH-3. Inherent Human Dignity</w:t>
        </w:r>
        <w:r>
          <w:tab/>
        </w:r>
        <w:r>
          <w:t>2165</w:t>
        </w:r>
      </w:hyperlink>
    </w:p>
    <w:p>
      <w:pPr>
        <w:pStyle w:val="TOC2"/>
      </w:pPr>
      <w:hyperlink w:anchor="_Toc300002434" w:history="1">
        <w:r>
          <w:t>CH-4. Equal Application and Non-Discrimination</w:t>
        </w:r>
        <w:r>
          <w:tab/>
        </w:r>
        <w:r>
          <w:t>2166</w:t>
        </w:r>
      </w:hyperlink>
    </w:p>
    <w:p>
      <w:pPr>
        <w:pStyle w:val="TOC2"/>
      </w:pPr>
      <w:hyperlink w:anchor="_Toc300002435" w:history="1">
        <w:r>
          <w:t>CH-5. Food of Adequate Nutritional Value</w:t>
        </w:r>
        <w:r>
          <w:tab/>
        </w:r>
        <w:r>
          <w:t>2166</w:t>
        </w:r>
      </w:hyperlink>
    </w:p>
    <w:p>
      <w:pPr>
        <w:pStyle w:val="TOC2"/>
      </w:pPr>
      <w:hyperlink w:anchor="_Toc300002436" w:history="1">
        <w:r>
          <w:t>CH-6. Absolute Prohibition on Punitive Food and Water Deprivation</w:t>
        </w:r>
        <w:r>
          <w:tab/>
        </w:r>
        <w:r>
          <w:t>2166</w:t>
        </w:r>
      </w:hyperlink>
    </w:p>
    <w:p>
      <w:pPr>
        <w:pStyle w:val="TOC2"/>
      </w:pPr>
      <w:hyperlink w:anchor="_Toc300002437" w:history="1">
        <w:r>
          <w:t>CH-7. Potable Water</w:t>
        </w:r>
        <w:r>
          <w:tab/>
        </w:r>
        <w:r>
          <w:t>2166</w:t>
        </w:r>
      </w:hyperlink>
    </w:p>
    <w:p>
      <w:pPr>
        <w:pStyle w:val="TOC2"/>
      </w:pPr>
      <w:hyperlink w:anchor="_Toc300002438" w:history="1">
        <w:r>
          <w:t>CH-8. Therapeutic, Religious, and Conscience-Based Diets</w:t>
        </w:r>
        <w:r>
          <w:tab/>
        </w:r>
        <w:r>
          <w:t>2167</w:t>
        </w:r>
      </w:hyperlink>
    </w:p>
    <w:p>
      <w:pPr>
        <w:pStyle w:val="TOC2"/>
      </w:pPr>
      <w:hyperlink w:anchor="_Toc300002439" w:history="1">
        <w:r>
          <w:t>CH-9. Sanitation and Habitability</w:t>
        </w:r>
        <w:r>
          <w:tab/>
        </w:r>
        <w:r>
          <w:t>2167</w:t>
        </w:r>
      </w:hyperlink>
    </w:p>
    <w:p>
      <w:pPr>
        <w:pStyle w:val="TOC2"/>
      </w:pPr>
      <w:hyperlink w:anchor="_Toc300002440" w:history="1">
        <w:r>
          <w:t>CH-10. Sleeping Conditions, Bedding, and Clothing</w:t>
        </w:r>
        <w:r>
          <w:tab/>
        </w:r>
        <w:r>
          <w:t>2167</w:t>
        </w:r>
      </w:hyperlink>
    </w:p>
    <w:p>
      <w:pPr>
        <w:pStyle w:val="TOC2"/>
      </w:pPr>
      <w:hyperlink w:anchor="_Toc300002441" w:history="1">
        <w:r>
          <w:t>CH-11. Hygiene and Menstrual Health</w:t>
        </w:r>
        <w:r>
          <w:tab/>
        </w:r>
        <w:r>
          <w:t>2167</w:t>
        </w:r>
      </w:hyperlink>
    </w:p>
    <w:p>
      <w:pPr>
        <w:pStyle w:val="TOC2"/>
      </w:pPr>
      <w:hyperlink w:anchor="_Toc300002442" w:history="1">
        <w:r>
          <w:t>CH-12. Healthcare Equivalence Principle</w:t>
        </w:r>
        <w:r>
          <w:tab/>
        </w:r>
        <w:r>
          <w:t>2167</w:t>
        </w:r>
      </w:hyperlink>
    </w:p>
    <w:p>
      <w:pPr>
        <w:pStyle w:val="TOC2"/>
      </w:pPr>
      <w:hyperlink w:anchor="_Toc300002443" w:history="1">
        <w:r>
          <w:t>CH-13. Emergency Medical Response</w:t>
        </w:r>
        <w:r>
          <w:tab/>
        </w:r>
        <w:r>
          <w:t>2167</w:t>
        </w:r>
      </w:hyperlink>
    </w:p>
    <w:p>
      <w:pPr>
        <w:pStyle w:val="TOC2"/>
      </w:pPr>
      <w:hyperlink w:anchor="_Toc300002444" w:history="1">
        <w:r>
          <w:t>CH-14. Medication Continuity</w:t>
        </w:r>
        <w:r>
          <w:tab/>
        </w:r>
        <w:r>
          <w:t>2167</w:t>
        </w:r>
      </w:hyperlink>
    </w:p>
    <w:p>
      <w:pPr>
        <w:pStyle w:val="TOC2"/>
      </w:pPr>
      <w:hyperlink w:anchor="_Toc300002445" w:history="1">
        <w:r>
          <w:t>CH-15. Mental Health, Suicide Prevention, and Crisis Care</w:t>
        </w:r>
        <w:r>
          <w:tab/>
        </w:r>
        <w:r>
          <w:t>2167</w:t>
        </w:r>
      </w:hyperlink>
    </w:p>
    <w:p>
      <w:pPr>
        <w:pStyle w:val="TOC2"/>
      </w:pPr>
      <w:hyperlink w:anchor="_Toc300002446" w:history="1">
        <w:r>
          <w:t>CH-16. Disability Accommodation</w:t>
        </w:r>
        <w:r>
          <w:tab/>
        </w:r>
        <w:r>
          <w:t>2168</w:t>
        </w:r>
      </w:hyperlink>
    </w:p>
    <w:p>
      <w:pPr>
        <w:pStyle w:val="TOC2"/>
      </w:pPr>
      <w:hyperlink w:anchor="_Toc300002447" w:history="1">
        <w:r>
          <w:t>CH-17. Protection from Violence, Sexual Abuse, Trafficking, and Extortion</w:t>
        </w:r>
        <w:r>
          <w:tab/>
        </w:r>
        <w:r>
          <w:t>2168</w:t>
        </w:r>
      </w:hyperlink>
    </w:p>
    <w:p>
      <w:pPr>
        <w:pStyle w:val="TOC2"/>
      </w:pPr>
      <w:hyperlink w:anchor="_Toc300002448" w:history="1">
        <w:r>
          <w:t>CH-18. Use of Force</w:t>
        </w:r>
        <w:r>
          <w:tab/>
        </w:r>
        <w:r>
          <w:t>2168</w:t>
        </w:r>
      </w:hyperlink>
    </w:p>
    <w:p>
      <w:pPr>
        <w:pStyle w:val="TOC2"/>
      </w:pPr>
      <w:hyperlink w:anchor="_Toc300002449" w:history="1">
        <w:r>
          <w:t>CH-19. Restraints</w:t>
        </w:r>
        <w:r>
          <w:tab/>
        </w:r>
        <w:r>
          <w:t>2168</w:t>
        </w:r>
      </w:hyperlink>
    </w:p>
    <w:p>
      <w:pPr>
        <w:pStyle w:val="TOC2"/>
      </w:pPr>
      <w:hyperlink w:anchor="_Toc300002450" w:history="1">
        <w:r>
          <w:t>CH-20. Definition of Solitary Confinement</w:t>
        </w:r>
        <w:r>
          <w:tab/>
        </w:r>
        <w:r>
          <w:t>2169</w:t>
        </w:r>
      </w:hyperlink>
    </w:p>
    <w:p>
      <w:pPr>
        <w:pStyle w:val="TOC2"/>
      </w:pPr>
      <w:hyperlink w:anchor="_Toc300002451" w:history="1">
        <w:r>
          <w:t>CH-21. Restrictive Housing as Exceptional Measure</w:t>
        </w:r>
        <w:r>
          <w:tab/>
        </w:r>
        <w:r>
          <w:t>2169</w:t>
        </w:r>
      </w:hyperlink>
    </w:p>
    <w:p>
      <w:pPr>
        <w:pStyle w:val="TOC2"/>
      </w:pPr>
      <w:hyperlink w:anchor="_Toc300002452" w:history="1">
        <w:r>
          <w:t>CH-22. Prolonged and Indefinite Solitary Confinement</w:t>
        </w:r>
        <w:r>
          <w:tab/>
        </w:r>
        <w:r>
          <w:t>2169</w:t>
        </w:r>
      </w:hyperlink>
    </w:p>
    <w:p>
      <w:pPr>
        <w:pStyle w:val="TOC2"/>
      </w:pPr>
      <w:hyperlink w:anchor="_Toc300002453" w:history="1">
        <w:r>
          <w:t>CH-23. Restrictive-Housing Living Conditions</w:t>
        </w:r>
        <w:r>
          <w:tab/>
        </w:r>
        <w:r>
          <w:t>2169</w:t>
        </w:r>
      </w:hyperlink>
    </w:p>
    <w:p>
      <w:pPr>
        <w:pStyle w:val="TOC2"/>
      </w:pPr>
      <w:hyperlink w:anchor="_Toc300002454" w:history="1">
        <w:r>
          <w:t>CH-24. Family Contact</w:t>
        </w:r>
        <w:r>
          <w:tab/>
        </w:r>
        <w:r>
          <w:t>2170</w:t>
        </w:r>
      </w:hyperlink>
    </w:p>
    <w:p>
      <w:pPr>
        <w:pStyle w:val="TOC2"/>
      </w:pPr>
      <w:hyperlink w:anchor="_Toc300002455" w:history="1">
        <w:r>
          <w:t>CH-25. Children and Family Relationships</w:t>
        </w:r>
        <w:r>
          <w:tab/>
        </w:r>
        <w:r>
          <w:t>2170</w:t>
        </w:r>
      </w:hyperlink>
    </w:p>
    <w:p>
      <w:pPr>
        <w:pStyle w:val="TOC2"/>
      </w:pPr>
      <w:hyperlink w:anchor="_Toc300002456" w:history="1">
        <w:r>
          <w:t>CH-26. Legal Counsel and Privileged Communication</w:t>
        </w:r>
        <w:r>
          <w:tab/>
        </w:r>
        <w:r>
          <w:t>2170</w:t>
        </w:r>
      </w:hyperlink>
    </w:p>
    <w:p>
      <w:pPr>
        <w:pStyle w:val="TOC2"/>
      </w:pPr>
      <w:hyperlink w:anchor="_Toc300002457" w:history="1">
        <w:r>
          <w:t>CH-27. Legal Information</w:t>
        </w:r>
        <w:r>
          <w:tab/>
        </w:r>
        <w:r>
          <w:t>2170</w:t>
        </w:r>
      </w:hyperlink>
    </w:p>
    <w:p>
      <w:pPr>
        <w:pStyle w:val="TOC2"/>
      </w:pPr>
      <w:hyperlink w:anchor="_Toc300002458" w:history="1">
        <w:r>
          <w:t>CH-28. Disciplinary Fairness</w:t>
        </w:r>
        <w:r>
          <w:tab/>
        </w:r>
        <w:r>
          <w:t>2170</w:t>
        </w:r>
      </w:hyperlink>
    </w:p>
    <w:p>
      <w:pPr>
        <w:pStyle w:val="TOC2"/>
      </w:pPr>
      <w:hyperlink w:anchor="_Toc300002459" w:history="1">
        <w:r>
          <w:t>CH-29. Complaint, Whistleblower, and Anti-Retaliation Protection</w:t>
        </w:r>
        <w:r>
          <w:tab/>
        </w:r>
        <w:r>
          <w:t>2171</w:t>
        </w:r>
      </w:hyperlink>
    </w:p>
    <w:p>
      <w:pPr>
        <w:pStyle w:val="TOC2"/>
      </w:pPr>
      <w:hyperlink w:anchor="_Toc300002460" w:history="1">
        <w:r>
          <w:t>CH-30. Independent Inspection and Oversight</w:t>
        </w:r>
        <w:r>
          <w:tab/>
        </w:r>
        <w:r>
          <w:t>2171</w:t>
        </w:r>
      </w:hyperlink>
    </w:p>
    <w:p>
      <w:pPr>
        <w:pStyle w:val="TOC2"/>
      </w:pPr>
      <w:hyperlink w:anchor="_Toc300002461" w:history="1">
        <w:r>
          <w:t>CH-31. Deaths, Serious Injuries, and Grave Incidents</w:t>
        </w:r>
        <w:r>
          <w:tab/>
        </w:r>
        <w:r>
          <w:t>2171</w:t>
        </w:r>
      </w:hyperlink>
    </w:p>
    <w:p>
      <w:pPr>
        <w:pStyle w:val="TOC2"/>
      </w:pPr>
      <w:hyperlink w:anchor="_Toc300002462" w:history="1">
        <w:r>
          <w:t>CH-32. Fire, Disaster, and Emergency Preparedness</w:t>
        </w:r>
        <w:r>
          <w:tab/>
        </w:r>
        <w:r>
          <w:t>2171</w:t>
        </w:r>
      </w:hyperlink>
    </w:p>
    <w:p>
      <w:pPr>
        <w:pStyle w:val="TOC2"/>
      </w:pPr>
      <w:hyperlink w:anchor="_Toc300002463" w:history="1">
        <w:r>
          <w:t>CH-33. Religion, Culture, and Language</w:t>
        </w:r>
        <w:r>
          <w:tab/>
        </w:r>
        <w:r>
          <w:t>2172</w:t>
        </w:r>
      </w:hyperlink>
    </w:p>
    <w:p>
      <w:pPr>
        <w:pStyle w:val="TOC2"/>
      </w:pPr>
      <w:hyperlink w:anchor="_Toc300002464" w:history="1">
        <w:r>
          <w:t>CH-34. Private Contractors and Outsourced Custody</w:t>
        </w:r>
        <w:r>
          <w:tab/>
        </w:r>
        <w:r>
          <w:t>2172</w:t>
        </w:r>
      </w:hyperlink>
    </w:p>
    <w:p>
      <w:pPr>
        <w:pStyle w:val="TOC2"/>
      </w:pPr>
      <w:hyperlink w:anchor="_Toc300002465" w:history="1">
        <w:r>
          <w:t>CH-35. Transfer and Relabelling Firewall</w:t>
        </w:r>
        <w:r>
          <w:tab/>
        </w:r>
        <w:r>
          <w:t>2172</w:t>
        </w:r>
      </w:hyperlink>
    </w:p>
    <w:p>
      <w:pPr>
        <w:pStyle w:val="TOC2"/>
      </w:pPr>
      <w:hyperlink w:anchor="_Toc300002466" w:history="1">
        <w:r>
          <w:t>CH-36. Pretrial and Unconvicted Persons</w:t>
        </w:r>
        <w:r>
          <w:tab/>
        </w:r>
        <w:r>
          <w:t>2172</w:t>
        </w:r>
      </w:hyperlink>
    </w:p>
    <w:p>
      <w:pPr>
        <w:pStyle w:val="TOC2"/>
      </w:pPr>
      <w:hyperlink w:anchor="_Toc300002467" w:history="1">
        <w:r>
          <w:t>CH-37. Correctional Staff Safety and Dignity</w:t>
        </w:r>
        <w:r>
          <w:tab/>
        </w:r>
        <w:r>
          <w:t>2173</w:t>
        </w:r>
      </w:hyperlink>
    </w:p>
    <w:p>
      <w:pPr>
        <w:pStyle w:val="TOC2"/>
      </w:pPr>
      <w:hyperlink w:anchor="_Toc300002468" w:history="1">
        <w:r>
          <w:t>CH-38. Emergency Safety Authority</w:t>
        </w:r>
        <w:r>
          <w:tab/>
        </w:r>
        <w:r>
          <w:t>2173</w:t>
        </w:r>
      </w:hyperlink>
    </w:p>
    <w:p>
      <w:pPr>
        <w:pStyle w:val="TOC2"/>
      </w:pPr>
      <w:hyperlink w:anchor="_Toc300002469" w:history="1">
        <w:r>
          <w:t>CH-39. Emergency Sunset and Restoration</w:t>
        </w:r>
        <w:r>
          <w:tab/>
        </w:r>
        <w:r>
          <w:t>2173</w:t>
        </w:r>
      </w:hyperlink>
    </w:p>
    <w:p>
      <w:pPr>
        <w:pStyle w:val="TOC2"/>
      </w:pPr>
      <w:hyperlink w:anchor="_Toc300002470" w:history="1">
        <w:r>
          <w:t>CH-40. Federalism and Constitutional Implementation</w:t>
        </w:r>
        <w:r>
          <w:tab/>
        </w:r>
        <w:r>
          <w:t>2173</w:t>
        </w:r>
      </w:hyperlink>
    </w:p>
    <w:p>
      <w:pPr>
        <w:pStyle w:val="TOC2"/>
      </w:pPr>
      <w:hyperlink w:anchor="_Toc300002471" w:history="1">
        <w:r>
          <w:t>CH-41. Higher Domestic Protection Preserved</w:t>
        </w:r>
        <w:r>
          <w:tab/>
        </w:r>
        <w:r>
          <w:t>2174</w:t>
        </w:r>
      </w:hyperlink>
    </w:p>
    <w:p>
      <w:pPr>
        <w:pStyle w:val="TOC2"/>
      </w:pPr>
      <w:hyperlink w:anchor="_Toc300002472" w:history="1">
        <w:r>
          <w:t>CH-42. No Private Right Created Solely by NAESTMA</w:t>
        </w:r>
        <w:r>
          <w:tab/>
        </w:r>
        <w:r>
          <w:t>2174</w:t>
        </w:r>
      </w:hyperlink>
    </w:p>
    <w:p>
      <w:pPr>
        <w:pStyle w:val="TOC2"/>
      </w:pPr>
      <w:hyperlink w:anchor="_Toc300002473" w:history="1">
        <w:r>
          <w:t>CH-43. Human Rights Cannot Be Trade Collateral</w:t>
        </w:r>
        <w:r>
          <w:tab/>
        </w:r>
        <w:r>
          <w:t>2174</w:t>
        </w:r>
      </w:hyperlink>
    </w:p>
    <w:p>
      <w:pPr>
        <w:pStyle w:val="TOC2"/>
      </w:pPr>
      <w:hyperlink w:anchor="_Toc300002474" w:history="1">
        <w:r>
          <w:t>CH-44. Systemic-Failure Threshold for Intergovernmental Enforcement</w:t>
        </w:r>
        <w:r>
          <w:tab/>
        </w:r>
        <w:r>
          <w:t>2174</w:t>
        </w:r>
      </w:hyperlink>
    </w:p>
    <w:p>
      <w:pPr>
        <w:pStyle w:val="TOC2"/>
      </w:pPr>
      <w:hyperlink w:anchor="_Toc300002475" w:history="1">
        <w:r>
          <w:t>CH-45. Cure Before Economic Consequence</w:t>
        </w:r>
        <w:r>
          <w:tab/>
        </w:r>
        <w:r>
          <w:t>2174</w:t>
        </w:r>
      </w:hyperlink>
    </w:p>
    <w:p>
      <w:pPr>
        <w:pStyle w:val="TOC2"/>
      </w:pPr>
      <w:hyperlink w:anchor="_Toc300002476" w:history="1">
        <w:r>
          <w:t>CH-46. Grave-Abuse Accelerator</w:t>
        </w:r>
        <w:r>
          <w:tab/>
        </w:r>
        <w:r>
          <w:t>2175</w:t>
        </w:r>
      </w:hyperlink>
    </w:p>
    <w:p>
      <w:pPr>
        <w:pStyle w:val="TOC2"/>
      </w:pPr>
      <w:hyperlink w:anchor="_Toc300002477" w:history="1">
        <w:r>
          <w:t>CH-47. Data, Reporting, and Privacy</w:t>
        </w:r>
        <w:r>
          <w:tab/>
        </w:r>
        <w:r>
          <w:t>2175</w:t>
        </w:r>
      </w:hyperlink>
    </w:p>
    <w:p>
      <w:pPr>
        <w:pStyle w:val="TOC2"/>
      </w:pPr>
      <w:hyperlink w:anchor="_Toc300002478" w:history="1">
        <w:r>
          <w:t>CH-48. No New Supranational Prison Authority</w:t>
        </w:r>
        <w:r>
          <w:tab/>
        </w:r>
        <w:r>
          <w:t>2175</w:t>
        </w:r>
      </w:hyperlink>
    </w:p>
    <w:p>
      <w:pPr>
        <w:pStyle w:val="TOC1"/>
      </w:pPr>
      <w:hyperlink w:anchor="_Toc300002479" w:history="1">
        <w:r>
          <w:t>PACKAGE CI: FLEXIBLE SAFE-CORRECTIONS IMPLEMENTATION STANDARDS</w:t>
        </w:r>
        <w:r>
          <w:tab/>
        </w:r>
        <w:r>
          <w:t>2176</w:t>
        </w:r>
      </w:hyperlink>
    </w:p>
    <w:p>
      <w:pPr>
        <w:pStyle w:val="TOC2"/>
      </w:pPr>
      <w:hyperlink w:anchor="_Toc300002480" w:history="1">
        <w:r>
          <w:t>CI-1. Governing Principle</w:t>
        </w:r>
        <w:r>
          <w:tab/>
        </w:r>
        <w:r>
          <w:t>2176</w:t>
        </w:r>
      </w:hyperlink>
    </w:p>
    <w:p>
      <w:pPr>
        <w:pStyle w:val="TOC2"/>
      </w:pPr>
      <w:hyperlink w:anchor="_Toc300002481" w:history="1">
        <w:r>
          <w:t>CI-2. Nutritional Governance</w:t>
        </w:r>
        <w:r>
          <w:tab/>
        </w:r>
        <w:r>
          <w:t>2176</w:t>
        </w:r>
      </w:hyperlink>
    </w:p>
    <w:p>
      <w:pPr>
        <w:pStyle w:val="TOC2"/>
      </w:pPr>
      <w:hyperlink w:anchor="_Toc300002482" w:history="1">
        <w:r>
          <w:t>CI-3. Specialist Healthcare and Telemedicine</w:t>
        </w:r>
        <w:r>
          <w:tab/>
        </w:r>
        <w:r>
          <w:t>2176</w:t>
        </w:r>
      </w:hyperlink>
    </w:p>
    <w:p>
      <w:pPr>
        <w:pStyle w:val="TOC2"/>
      </w:pPr>
      <w:hyperlink w:anchor="_Toc300002483" w:history="1">
        <w:r>
          <w:t>CI-4. Addiction Treatment and Overdose Prevention</w:t>
        </w:r>
        <w:r>
          <w:tab/>
        </w:r>
        <w:r>
          <w:t>2176</w:t>
        </w:r>
      </w:hyperlink>
    </w:p>
    <w:p>
      <w:pPr>
        <w:pStyle w:val="TOC2"/>
      </w:pPr>
      <w:hyperlink w:anchor="_Toc300002484" w:history="1">
        <w:r>
          <w:t>CI-5. Hospice, Palliative, Geriatric, and Complex Care</w:t>
        </w:r>
        <w:r>
          <w:tab/>
        </w:r>
        <w:r>
          <w:t>2176</w:t>
        </w:r>
      </w:hyperlink>
    </w:p>
    <w:p>
      <w:pPr>
        <w:pStyle w:val="TOC2"/>
      </w:pPr>
      <w:hyperlink w:anchor="_Toc300002485" w:history="1">
        <w:r>
          <w:t>CI-6. Exercise and Outdoor Access</w:t>
        </w:r>
        <w:r>
          <w:tab/>
        </w:r>
        <w:r>
          <w:t>2176</w:t>
        </w:r>
      </w:hyperlink>
    </w:p>
    <w:p>
      <w:pPr>
        <w:pStyle w:val="TOC2"/>
      </w:pPr>
      <w:hyperlink w:anchor="_Toc300002486" w:history="1">
        <w:r>
          <w:t>CI-7. Foundational Education</w:t>
        </w:r>
        <w:r>
          <w:tab/>
        </w:r>
        <w:r>
          <w:t>2176</w:t>
        </w:r>
      </w:hyperlink>
    </w:p>
    <w:p>
      <w:pPr>
        <w:pStyle w:val="TOC2"/>
      </w:pPr>
      <w:hyperlink w:anchor="_Toc300002487" w:history="1">
        <w:r>
          <w:t>CI-8. Vocational and Employability Training</w:t>
        </w:r>
        <w:r>
          <w:tab/>
        </w:r>
        <w:r>
          <w:t>2176</w:t>
        </w:r>
      </w:hyperlink>
    </w:p>
    <w:p>
      <w:pPr>
        <w:pStyle w:val="TOC2"/>
      </w:pPr>
      <w:hyperlink w:anchor="_Toc300002488" w:history="1">
        <w:r>
          <w:t>CI-9. Libraries and Learning Materials</w:t>
        </w:r>
        <w:r>
          <w:tab/>
        </w:r>
        <w:r>
          <w:t>2176</w:t>
        </w:r>
      </w:hyperlink>
    </w:p>
    <w:p>
      <w:pPr>
        <w:pStyle w:val="TOC2"/>
      </w:pPr>
      <w:hyperlink w:anchor="_Toc300002489" w:history="1">
        <w:r>
          <w:t>CI-10. Secure Digital Access</w:t>
        </w:r>
        <w:r>
          <w:tab/>
        </w:r>
        <w:r>
          <w:t>2176</w:t>
        </w:r>
      </w:hyperlink>
    </w:p>
    <w:p>
      <w:pPr>
        <w:pStyle w:val="TOC2"/>
      </w:pPr>
      <w:hyperlink w:anchor="_Toc300002490" w:history="1">
        <w:r>
          <w:t>CI-11. Affordable Communication</w:t>
        </w:r>
        <w:r>
          <w:tab/>
        </w:r>
        <w:r>
          <w:t>2176</w:t>
        </w:r>
      </w:hyperlink>
    </w:p>
    <w:p>
      <w:pPr>
        <w:pStyle w:val="TOC2"/>
      </w:pPr>
      <w:hyperlink w:anchor="_Toc300002491" w:history="1">
        <w:r>
          <w:t>CI-12. Parenting and Family Reintegration</w:t>
        </w:r>
        <w:r>
          <w:tab/>
        </w:r>
        <w:r>
          <w:t>2177</w:t>
        </w:r>
      </w:hyperlink>
    </w:p>
    <w:p>
      <w:pPr>
        <w:pStyle w:val="TOC2"/>
      </w:pPr>
      <w:hyperlink w:anchor="_Toc300002492" w:history="1">
        <w:r>
          <w:t>CI-13. De-Escalation and Trauma-Informed Practice</w:t>
        </w:r>
        <w:r>
          <w:tab/>
        </w:r>
        <w:r>
          <w:t>2177</w:t>
        </w:r>
      </w:hyperlink>
    </w:p>
    <w:p>
      <w:pPr>
        <w:pStyle w:val="TOC2"/>
      </w:pPr>
      <w:hyperlink w:anchor="_Toc300002493" w:history="1">
        <w:r>
          <w:t>CI-14. Staff Professionalization</w:t>
        </w:r>
        <w:r>
          <w:tab/>
        </w:r>
        <w:r>
          <w:t>2177</w:t>
        </w:r>
      </w:hyperlink>
    </w:p>
    <w:p>
      <w:pPr>
        <w:pStyle w:val="TOC2"/>
      </w:pPr>
      <w:hyperlink w:anchor="_Toc300002494" w:history="1">
        <w:r>
          <w:t>CI-15. Violence and Organized-Crime Prevention</w:t>
        </w:r>
        <w:r>
          <w:tab/>
        </w:r>
        <w:r>
          <w:t>2177</w:t>
        </w:r>
      </w:hyperlink>
    </w:p>
    <w:p>
      <w:pPr>
        <w:pStyle w:val="TOC2"/>
      </w:pPr>
      <w:hyperlink w:anchor="_Toc300002495" w:history="1">
        <w:r>
          <w:t>CI-16. Accessible Programming</w:t>
        </w:r>
        <w:r>
          <w:tab/>
        </w:r>
        <w:r>
          <w:t>2177</w:t>
        </w:r>
      </w:hyperlink>
    </w:p>
    <w:p>
      <w:pPr>
        <w:pStyle w:val="TOC2"/>
      </w:pPr>
      <w:hyperlink w:anchor="_Toc300002496" w:history="1">
        <w:r>
          <w:t>CI-17. Reentry Continuity</w:t>
        </w:r>
        <w:r>
          <w:tab/>
        </w:r>
        <w:r>
          <w:t>2177</w:t>
        </w:r>
      </w:hyperlink>
    </w:p>
    <w:p>
      <w:pPr>
        <w:pStyle w:val="TOC2"/>
      </w:pPr>
      <w:hyperlink w:anchor="_Toc300002497" w:history="1">
        <w:r>
          <w:t>CI-18. Public Transparency</w:t>
        </w:r>
        <w:r>
          <w:tab/>
        </w:r>
        <w:r>
          <w:t>2177</w:t>
        </w:r>
      </w:hyperlink>
    </w:p>
    <w:p>
      <w:pPr>
        <w:pStyle w:val="TOC2"/>
      </w:pPr>
      <w:hyperlink w:anchor="_Toc300002498" w:history="1">
        <w:r>
          <w:t>CI-19. Prisoner Feedback Without Transfer of Command</w:t>
        </w:r>
        <w:r>
          <w:tab/>
        </w:r>
        <w:r>
          <w:t>2178</w:t>
        </w:r>
      </w:hyperlink>
    </w:p>
    <w:p>
      <w:pPr>
        <w:pStyle w:val="TOC1"/>
      </w:pPr>
      <w:hyperlink w:anchor="_Toc300002499" w:history="1">
        <w:r>
          <w:t>ANNEX CH-A: OPTIONAL ADVANCED CORRECTIONAL REFORM PROTOCOL</w:t>
        </w:r>
        <w:r>
          <w:tab/>
        </w:r>
        <w:r>
          <w:t>2179</w:t>
        </w:r>
      </w:hyperlink>
    </w:p>
    <w:p>
      <w:pPr>
        <w:pStyle w:val="TOC1"/>
      </w:pPr>
      <w:hyperlink w:anchor="_Toc300002500" w:history="1">
        <w:r>
          <w:t>ANNEX CH-B: NATIONAL IMPLEMENTATION AND EXPERIMENTATION SAFE HARBOR</w:t>
        </w:r>
        <w:r>
          <w:tab/>
        </w:r>
        <w:r>
          <w:t>2182</w:t>
        </w:r>
      </w:hyperlink>
    </w:p>
    <w:p>
      <w:pPr>
        <w:pStyle w:val="TOC1"/>
      </w:pPr>
      <w:hyperlink w:anchor="_Toc300002501" w:history="1">
        <w:r>
          <w:t>PACKAGE CJ: IMPLEMENTATION, REVIEW, AND CURE</w:t>
        </w:r>
        <w:r>
          <w:tab/>
        </w:r>
        <w:r>
          <w:t>2183</w:t>
        </w:r>
      </w:hyperlink>
    </w:p>
    <w:p>
      <w:pPr>
        <w:pStyle w:val="TOC2"/>
      </w:pPr>
      <w:hyperlink w:anchor="_Toc300002502" w:history="1">
        <w:r>
          <w:t>CJ-1. Initial Implementation Review</w:t>
        </w:r>
        <w:r>
          <w:tab/>
        </w:r>
        <w:r>
          <w:t>2183</w:t>
        </w:r>
      </w:hyperlink>
    </w:p>
    <w:p>
      <w:pPr>
        <w:pStyle w:val="TOC2"/>
      </w:pPr>
      <w:hyperlink w:anchor="_Toc300002503" w:history="1">
        <w:r>
          <w:t>CJ-2. Equivalence Rather Than Uniformity</w:t>
        </w:r>
        <w:r>
          <w:tab/>
        </w:r>
        <w:r>
          <w:t>2183</w:t>
        </w:r>
      </w:hyperlink>
    </w:p>
    <w:p>
      <w:pPr>
        <w:pStyle w:val="TOC2"/>
      </w:pPr>
      <w:hyperlink w:anchor="_Toc300002504" w:history="1">
        <w:r>
          <w:t>CJ-3. Priority-Cure Categories</w:t>
        </w:r>
        <w:r>
          <w:tab/>
        </w:r>
        <w:r>
          <w:t>2183</w:t>
        </w:r>
      </w:hyperlink>
    </w:p>
    <w:p>
      <w:pPr>
        <w:pStyle w:val="TOC2"/>
      </w:pPr>
      <w:hyperlink w:anchor="_Toc300002505" w:history="1">
        <w:r>
          <w:t>CJ-4. Cooperative Assistance</w:t>
        </w:r>
        <w:r>
          <w:tab/>
        </w:r>
        <w:r>
          <w:t>2183</w:t>
        </w:r>
      </w:hyperlink>
    </w:p>
    <w:p>
      <w:pPr>
        <w:pStyle w:val="TOC2"/>
      </w:pPr>
      <w:hyperlink w:anchor="_Toc300002506" w:history="1">
        <w:r>
          <w:t>CJ-5. No Prisoner-Based Retaliation</w:t>
        </w:r>
        <w:r>
          <w:tab/>
        </w:r>
        <w:r>
          <w:t>2183</w:t>
        </w:r>
      </w:hyperlink>
    </w:p>
    <w:p>
      <w:pPr>
        <w:pStyle w:val="TOC2"/>
      </w:pPr>
      <w:hyperlink w:anchor="_Toc300002507" w:history="1">
        <w:r>
          <w:t>CJ-6. Review of Optional Modules</w:t>
        </w:r>
        <w:r>
          <w:tab/>
        </w:r>
        <w:r>
          <w:t>2183</w:t>
        </w:r>
      </w:hyperlink>
    </w:p>
    <w:p>
      <w:pPr>
        <w:pStyle w:val="TOC2"/>
      </w:pPr>
      <w:hyperlink w:anchor="_Toc300002508" w:history="1">
        <w:r>
          <w:t>CJ-7. Relationship to Other Rights</w:t>
        </w:r>
        <w:r>
          <w:tab/>
        </w:r>
        <w:r>
          <w:t>2184</w:t>
        </w:r>
      </w:hyperlink>
    </w:p>
    <w:p>
      <w:pPr>
        <w:pStyle w:val="TOC1"/>
      </w:pPr>
      <w:hyperlink w:anchor="_Toc300002509" w:history="1">
        <w:r>
          <w:t>PACKAGE CK: CUSTODIAL RIGHTS ADVERSARIAL-REVIEW HARDENING AND CONFORMING PROVISIONS</w:t>
        </w:r>
        <w:r>
          <w:tab/>
        </w:r>
        <w:r>
          <w:t>2185</w:t>
        </w:r>
      </w:hyperlink>
    </w:p>
    <w:p>
      <w:pPr>
        <w:pStyle w:val="TOC2"/>
      </w:pPr>
      <w:hyperlink w:anchor="_Toc300002510" w:history="1">
        <w:r>
          <w:t>CK-2. JUVENILES</w:t>
        </w:r>
        <w:r>
          <w:tab/>
        </w:r>
        <w:r>
          <w:t>2185</w:t>
        </w:r>
      </w:hyperlink>
    </w:p>
    <w:p>
      <w:pPr>
        <w:pStyle w:val="TOC2"/>
      </w:pPr>
      <w:hyperlink w:anchor="_Toc300002511" w:history="1">
        <w:r>
          <w:t>CK-3. PRIVATE CONTRACTORS</w:t>
        </w:r>
        <w:r>
          <w:tab/>
        </w:r>
        <w:r>
          <w:t>2185</w:t>
        </w:r>
      </w:hyperlink>
    </w:p>
    <w:p>
      <w:pPr>
        <w:pStyle w:val="TOC2"/>
      </w:pPr>
      <w:hyperlink w:anchor="_Toc300002512" w:history="1">
        <w:r>
          <w:t>CK-4. SOLITARY / RESTRICTIVE HOUSING</w:t>
        </w:r>
        <w:r>
          <w:tab/>
        </w:r>
        <w:r>
          <w:t>2185</w:t>
        </w:r>
      </w:hyperlink>
    </w:p>
    <w:p>
      <w:pPr>
        <w:pStyle w:val="TOC2"/>
      </w:pPr>
      <w:hyperlink w:anchor="_Toc300002513" w:history="1">
        <w:r>
          <w:t>CK-5. EMERGENCY AUTHORITY</w:t>
        </w:r>
        <w:r>
          <w:tab/>
        </w:r>
        <w:r>
          <w:t>2185</w:t>
        </w:r>
      </w:hyperlink>
    </w:p>
    <w:p>
      <w:pPr>
        <w:pStyle w:val="TOC2"/>
      </w:pPr>
      <w:hyperlink w:anchor="_Toc300002514" w:history="1">
        <w:r>
          <w:t>CK-6. HEALTHCARE</w:t>
        </w:r>
        <w:r>
          <w:tab/>
        </w:r>
        <w:r>
          <w:t>2185</w:t>
        </w:r>
      </w:hyperlink>
    </w:p>
    <w:p>
      <w:pPr>
        <w:pStyle w:val="TOC2"/>
      </w:pPr>
      <w:hyperlink w:anchor="_Toc300002515" w:history="1">
        <w:r>
          <w:t>CK-7. FAMILY CONTACT</w:t>
        </w:r>
        <w:r>
          <w:tab/>
        </w:r>
        <w:r>
          <w:t>2185</w:t>
        </w:r>
      </w:hyperlink>
    </w:p>
    <w:p>
      <w:pPr>
        <w:pStyle w:val="TOC2"/>
      </w:pPr>
      <w:hyperlink w:anchor="_Toc300002516" w:history="1">
        <w:r>
          <w:t>CK-8. DATA AND TRANSPARENCY</w:t>
        </w:r>
        <w:r>
          <w:tab/>
        </w:r>
        <w:r>
          <w:t>2185</w:t>
        </w:r>
      </w:hyperlink>
    </w:p>
    <w:p>
      <w:pPr>
        <w:pStyle w:val="TOC2"/>
      </w:pPr>
      <w:hyperlink w:anchor="_Toc300002517" w:history="1">
        <w:r>
          <w:t>CK-9. FEDERALISM</w:t>
        </w:r>
        <w:r>
          <w:tab/>
        </w:r>
        <w:r>
          <w:t>2185</w:t>
        </w:r>
      </w:hyperlink>
    </w:p>
    <w:p>
      <w:pPr>
        <w:pStyle w:val="TOC2"/>
      </w:pPr>
      <w:hyperlink w:anchor="_Toc300002518" w:history="1">
        <w:r>
          <w:t>CK-10. ENFORCEMENT</w:t>
        </w:r>
        <w:r>
          <w:tab/>
        </w:r>
        <w:r>
          <w:t>2186</w:t>
        </w:r>
      </w:hyperlink>
    </w:p>
    <w:p>
      <w:pPr>
        <w:pStyle w:val="TOC2"/>
      </w:pPr>
      <w:hyperlink w:anchor="_Toc300002519" w:history="1">
        <w:r>
          <w:t>CK-11. REMEDIES</w:t>
        </w:r>
        <w:r>
          <w:tab/>
        </w:r>
        <w:r>
          <w:t>2187</w:t>
        </w:r>
      </w:hyperlink>
    </w:p>
    <w:p>
      <w:pPr>
        <w:pStyle w:val="TOC2"/>
      </w:pPr>
      <w:hyperlink w:anchor="_Toc300002520" w:history="1">
        <w:r>
          <w:t>CK-12. STAFF SAFETY</w:t>
        </w:r>
        <w:r>
          <w:tab/>
        </w:r>
        <w:r>
          <w:t>2187</w:t>
        </w:r>
      </w:hyperlink>
    </w:p>
    <w:p>
      <w:pPr>
        <w:pStyle w:val="TOC2"/>
      </w:pPr>
      <w:hyperlink w:anchor="_Toc300002521" w:history="1">
        <w:r>
          <w:t>CK-13. CROSS-BORDER TRANSFER: CONSENT / LAW REMAINS DOMESTIC</w:t>
        </w:r>
        <w:r>
          <w:tab/>
        </w:r>
        <w:r>
          <w:t>2187</w:t>
        </w:r>
      </w:hyperlink>
    </w:p>
    <w:p>
      <w:pPr>
        <w:pStyle w:val="TOC2"/>
      </w:pPr>
      <w:hyperlink w:anchor="_Toc300002522" w:history="1">
        <w:r>
          <w:t>CK-14. DEATHS IN CUSTODY: FAMILY NOTIFICATION</w:t>
        </w:r>
        <w:r>
          <w:tab/>
        </w:r>
        <w:r>
          <w:t>2187</w:t>
        </w:r>
      </w:hyperlink>
    </w:p>
    <w:p>
      <w:pPr>
        <w:pStyle w:val="TOC2"/>
      </w:pPr>
      <w:hyperlink w:anchor="_Toc300002523" w:history="1">
        <w:r>
          <w:t>CK-15. RELIGION</w:t>
        </w:r>
        <w:r>
          <w:tab/>
        </w:r>
        <w:r>
          <w:t>2187</w:t>
        </w:r>
      </w:hyperlink>
    </w:p>
    <w:p>
      <w:pPr>
        <w:pStyle w:val="TOC2"/>
      </w:pPr>
      <w:hyperlink w:anchor="_Toc300002524" w:history="1">
        <w:r>
          <w:t>CK-16. ACCESSIBILITY</w:t>
        </w:r>
        <w:r>
          <w:tab/>
        </w:r>
        <w:r>
          <w:t>2187</w:t>
        </w:r>
      </w:hyperlink>
    </w:p>
    <w:p>
      <w:pPr>
        <w:pStyle w:val="TOC2"/>
      </w:pPr>
      <w:hyperlink w:anchor="_Toc300002525" w:history="1">
        <w:r>
          <w:t>CK-17. SECURITY INTELLIGENCE</w:t>
        </w:r>
        <w:r>
          <w:tab/>
        </w:r>
        <w:r>
          <w:t>2187</w:t>
        </w:r>
      </w:hyperlink>
    </w:p>
    <w:p>
      <w:pPr>
        <w:pStyle w:val="TOC2"/>
      </w:pPr>
      <w:hyperlink w:anchor="_Toc300002526" w:history="1">
        <w:r>
          <w:t>CK-18. NO UNCOMPENSATED FRONT-LOADING: EXPLICIT EXCLUSION</w:t>
        </w:r>
        <w:r>
          <w:tab/>
        </w:r>
        <w:r>
          <w:t>2188</w:t>
        </w:r>
      </w:hyperlink>
    </w:p>
    <w:p>
      <w:pPr>
        <w:pStyle w:val="TOC2"/>
      </w:pPr>
      <w:hyperlink w:anchor="_Toc300002527" w:history="1">
        <w:r>
          <w:t>CK-19. Optional Annex Safeguards</w:t>
        </w:r>
        <w:r>
          <w:tab/>
        </w:r>
        <w:r>
          <w:t>2188</w:t>
        </w:r>
      </w:hyperlink>
    </w:p>
    <w:p>
      <w:pPr>
        <w:pStyle w:val="TOC2"/>
      </w:pPr>
      <w:hyperlink w:anchor="_Toc300002528" w:history="1">
        <w:r>
          <w:t>CK-20. Existing-Architecture Integration</w:t>
        </w:r>
        <w:r>
          <w:tab/>
        </w:r>
        <w:r>
          <w:t>2188</w:t>
        </w:r>
      </w:hyperlink>
    </w:p>
    <w:p>
      <w:pPr>
        <w:pStyle w:val="TOC2"/>
      </w:pPr>
      <w:hyperlink w:anchor="_Toc300002529" w:history="1">
        <w:r>
          <w:t>CK-21. Trilateral Parity and Non-Stigmatization</w:t>
        </w:r>
        <w:r>
          <w:tab/>
        </w:r>
        <w:r>
          <w:t>2188</w:t>
        </w:r>
      </w:hyperlink>
    </w:p>
    <w:p>
      <w:pPr>
        <w:pStyle w:val="TOC2"/>
      </w:pPr>
      <w:hyperlink w:anchor="_Toc300002530" w:history="1">
        <w:r>
          <w:t>CK-22. Integrated Governing Principle</w:t>
        </w:r>
        <w:r>
          <w:tab/>
        </w:r>
        <w:r>
          <w:t>2188</w:t>
        </w:r>
      </w:hyperlink>
    </w:p>
    <w:p>
      <w:pPr>
        <w:pStyle w:val="TOC1"/>
      </w:pPr>
      <w:hyperlink w:anchor="_Toc300002531" w:history="1">
        <w:r>
          <w:t>PACKAGE CL: NORTH AMERICAN HUMAN DIGNITY, EQUALITY AND RIGHTS FRAMEWORK</w:t>
        </w:r>
        <w:r>
          <w:tab/>
        </w:r>
        <w:r>
          <w:t>2190</w:t>
        </w:r>
      </w:hyperlink>
    </w:p>
    <w:p>
      <w:pPr>
        <w:pStyle w:val="TOC2"/>
      </w:pPr>
      <w:hyperlink w:anchor="_Toc300002532" w:history="1">
        <w:r>
          <w:t>PHASE-1 HUMAN-RIGHTS INTEGRATION: 384 HARDENED PROVISION SLOTS</w:t>
        </w:r>
        <w:r>
          <w:tab/>
        </w:r>
        <w:r>
          <w:t>2190</w:t>
        </w:r>
      </w:hyperlink>
    </w:p>
    <w:p>
      <w:pPr>
        <w:pStyle w:val="TOC2"/>
      </w:pPr>
      <w:hyperlink w:anchor="_Toc300002533" w:history="1">
        <w:r>
          <w:t>CL-1. Purpose, Character and Relationship to Existing Architecture</w:t>
        </w:r>
        <w:r>
          <w:tab/>
        </w:r>
        <w:r>
          <w:t>2190</w:t>
        </w:r>
      </w:hyperlink>
    </w:p>
    <w:p>
      <w:pPr>
        <w:pStyle w:val="TOC2"/>
      </w:pPr>
      <w:hyperlink w:anchor="_Toc300002534" w:history="1">
        <w:r>
          <w:t>CL-2. Stronger Rights, Federalism and No Implied Private Cause</w:t>
        </w:r>
        <w:r>
          <w:tab/>
        </w:r>
        <w:r>
          <w:t>2190</w:t>
        </w:r>
      </w:hyperlink>
    </w:p>
    <w:p>
      <w:pPr>
        <w:pStyle w:val="TOC2"/>
      </w:pPr>
      <w:hyperlink w:anchor="_Toc300002535" w:history="1">
        <w:r>
          <w:t>CL-3. Objective Exceptions, Evidence and Review</w:t>
        </w:r>
        <w:r>
          <w:tab/>
        </w:r>
        <w:r>
          <w:t>2191</w:t>
        </w:r>
      </w:hyperlink>
    </w:p>
    <w:p>
      <w:pPr>
        <w:pStyle w:val="TOC2"/>
      </w:pPr>
      <w:hyperlink w:anchor="_Toc300002536" w:history="1">
        <w:r>
          <w:t>CL-4. Remedy, Optionality, Data and Anti-Gaming</w:t>
        </w:r>
        <w:r>
          <w:tab/>
        </w:r>
        <w:r>
          <w:t>2191</w:t>
        </w:r>
      </w:hyperlink>
    </w:p>
    <w:p>
      <w:pPr>
        <w:pStyle w:val="TOC2"/>
      </w:pPr>
      <w:hyperlink w:anchor="_Toc300002537" w:history="1">
        <w:r>
          <w:t>CL-5. Accessibility, Participation, Continuity and Non-Exhaustion</w:t>
        </w:r>
        <w:r>
          <w:tab/>
        </w:r>
        <w:r>
          <w:t>2191</w:t>
        </w:r>
      </w:hyperlink>
    </w:p>
    <w:p>
      <w:pPr>
        <w:pStyle w:val="TOC2"/>
      </w:pPr>
      <w:hyperlink w:anchor="_Toc300002538" w:history="1">
        <w:r>
          <w:t>CL-6. UNIVERSAL HUMAN DIGNITY, EQUALITY, DUE PROCESS AND REMEDY</w:t>
        </w:r>
        <w:r>
          <w:tab/>
        </w:r>
        <w:r>
          <w:t>2192</w:t>
        </w:r>
      </w:hyperlink>
    </w:p>
    <w:p>
      <w:pPr>
        <w:pStyle w:val="TOC2"/>
      </w:pPr>
      <w:hyperlink w:anchor="_Toc300002539" w:history="1">
        <w:r>
          <w:t>CL-7. LABOUR AND WORKPLACE HUMAN RIGHTS</w:t>
        </w:r>
        <w:r>
          <w:tab/>
        </w:r>
        <w:r>
          <w:t>2195</w:t>
        </w:r>
      </w:hyperlink>
    </w:p>
    <w:p>
      <w:pPr>
        <w:pStyle w:val="TOC2"/>
      </w:pPr>
      <w:hyperlink w:anchor="_Toc300002540" w:history="1">
        <w:r>
          <w:t>CL-8. MIGRATION, ASYLUM AND BORDER-ADMINISTRATION RIGHTS</w:t>
        </w:r>
        <w:r>
          <w:tab/>
        </w:r>
        <w:r>
          <w:t>2201</w:t>
        </w:r>
      </w:hyperlink>
    </w:p>
    <w:p>
      <w:pPr>
        <w:pStyle w:val="TOC2"/>
      </w:pPr>
      <w:hyperlink w:anchor="_Toc300002541" w:history="1">
        <w:r>
          <w:t>CL-9. CUSTODY, DETENTION AND CORRECTIONS RIGHTS</w:t>
        </w:r>
        <w:r>
          <w:tab/>
        </w:r>
        <w:r>
          <w:t>2209</w:t>
        </w:r>
      </w:hyperlink>
    </w:p>
    <w:p>
      <w:pPr>
        <w:pStyle w:val="TOC2"/>
      </w:pPr>
      <w:hyperlink w:anchor="_Toc300002542" w:history="1">
        <w:r>
          <w:t>CL-10. INDIGENOUS RIGHTS AND ECONOMIC PARTICIPATION</w:t>
        </w:r>
        <w:r>
          <w:tab/>
        </w:r>
        <w:r>
          <w:t>2212</w:t>
        </w:r>
      </w:hyperlink>
    </w:p>
    <w:p>
      <w:pPr>
        <w:pStyle w:val="TOC2"/>
      </w:pPr>
      <w:hyperlink w:anchor="_Toc300002543" w:history="1">
        <w:r>
          <w:t>CL-11. DIGITAL, PRIVACY, DATA AND AUTOMATED-DECISION RIGHTS</w:t>
        </w:r>
        <w:r>
          <w:tab/>
        </w:r>
        <w:r>
          <w:t>2217</w:t>
        </w:r>
      </w:hyperlink>
    </w:p>
    <w:p>
      <w:pPr>
        <w:pStyle w:val="TOC2"/>
      </w:pPr>
      <w:hyperlink w:anchor="_Toc300002544" w:history="1">
        <w:r>
          <w:t>CL-12. BUSINESS, CORPORATE AND SUPPLY-CHAIN HUMAN RIGHTS</w:t>
        </w:r>
        <w:r>
          <w:tab/>
        </w:r>
        <w:r>
          <w:t>2221</w:t>
        </w:r>
      </w:hyperlink>
    </w:p>
    <w:p>
      <w:pPr>
        <w:pStyle w:val="TOC2"/>
      </w:pPr>
      <w:hyperlink w:anchor="_Toc300002545" w:history="1">
        <w:r>
          <w:t>CL-13. ENVIRONMENTAL AND COMMUNITY RIGHTS</w:t>
        </w:r>
        <w:r>
          <w:tab/>
        </w:r>
        <w:r>
          <w:t>2222</w:t>
        </w:r>
      </w:hyperlink>
    </w:p>
    <w:p>
      <w:pPr>
        <w:pStyle w:val="TOC2"/>
      </w:pPr>
      <w:hyperlink w:anchor="_Toc300002546" w:history="1">
        <w:r>
          <w:t>CL-14. PUBLIC HEALTH, MEDICINES AND SOCIAL RESILIENCE</w:t>
        </w:r>
        <w:r>
          <w:tab/>
        </w:r>
        <w:r>
          <w:t>2224</w:t>
        </w:r>
      </w:hyperlink>
    </w:p>
    <w:p>
      <w:pPr>
        <w:pStyle w:val="TOC2"/>
      </w:pPr>
      <w:hyperlink w:anchor="_Toc300002547" w:history="1">
        <w:r>
          <w:t>CL-15. DISABILITY RIGHTS AND ACCESSIBILITY</w:t>
        </w:r>
        <w:r>
          <w:tab/>
        </w:r>
        <w:r>
          <w:t>2227</w:t>
        </w:r>
      </w:hyperlink>
    </w:p>
    <w:p>
      <w:pPr>
        <w:pStyle w:val="TOC2"/>
      </w:pPr>
      <w:hyperlink w:anchor="_Toc300002548" w:history="1">
        <w:r>
          <w:t>CL-16. HOUSING-STATUS, POVERTY AND HOMELESSNESS SAFEGUARDS</w:t>
        </w:r>
        <w:r>
          <w:tab/>
        </w:r>
        <w:r>
          <w:t>2229</w:t>
        </w:r>
      </w:hyperlink>
    </w:p>
    <w:p>
      <w:pPr>
        <w:pStyle w:val="TOC2"/>
      </w:pPr>
      <w:hyperlink w:anchor="_Toc300002549" w:history="1">
        <w:r>
          <w:t>CL-17. HUMAN-RIGHTS GOVERNANCE, INTERPRETATION AND REVIEW</w:t>
        </w:r>
        <w:r>
          <w:tab/>
        </w:r>
        <w:r>
          <w:t>2231</w:t>
        </w:r>
      </w:hyperlink>
    </w:p>
    <w:p>
      <w:pPr>
        <w:pStyle w:val="TOC2"/>
      </w:pPr>
      <w:hyperlink w:anchor="_Toc300002550" w:history="1">
        <w:r>
          <w:t>CL-18. LABOUR AND WORKPLACE HUMAN RIGHTS</w:t>
        </w:r>
        <w:r>
          <w:tab/>
        </w:r>
        <w:r>
          <w:t>2233</w:t>
        </w:r>
      </w:hyperlink>
    </w:p>
    <w:p>
      <w:pPr>
        <w:pStyle w:val="TOC2"/>
      </w:pPr>
      <w:hyperlink w:anchor="_Toc300002551" w:history="1">
        <w:r>
          <w:t>CL-19. MIGRATION, ASYLUM AND BORDER-ADMINISTRATION RIGHTS</w:t>
        </w:r>
        <w:r>
          <w:tab/>
        </w:r>
        <w:r>
          <w:t>2235</w:t>
        </w:r>
      </w:hyperlink>
    </w:p>
    <w:p>
      <w:pPr>
        <w:pStyle w:val="TOC2"/>
      </w:pPr>
      <w:hyperlink w:anchor="_Toc300002552" w:history="1">
        <w:r>
          <w:t>CL-20. CUSTODY, DETENTION AND CORRECTIONS RIGHTS</w:t>
        </w:r>
        <w:r>
          <w:tab/>
        </w:r>
        <w:r>
          <w:t>2237</w:t>
        </w:r>
      </w:hyperlink>
    </w:p>
    <w:p>
      <w:pPr>
        <w:pStyle w:val="TOC2"/>
      </w:pPr>
      <w:hyperlink w:anchor="_Toc300002553" w:history="1">
        <w:r>
          <w:t>CL-21. INDIGENOUS RIGHTS AND ECONOMIC PARTICIPATION</w:t>
        </w:r>
        <w:r>
          <w:tab/>
        </w:r>
        <w:r>
          <w:t>2238</w:t>
        </w:r>
      </w:hyperlink>
    </w:p>
    <w:p>
      <w:pPr>
        <w:pStyle w:val="TOC2"/>
      </w:pPr>
      <w:hyperlink w:anchor="_Toc300002554" w:history="1">
        <w:r>
          <w:t>CL-22. DIGITAL, PRIVACY, DATA AND AUTOMATED-DECISION RIGHTS</w:t>
        </w:r>
        <w:r>
          <w:tab/>
        </w:r>
        <w:r>
          <w:t>2244</w:t>
        </w:r>
      </w:hyperlink>
    </w:p>
    <w:p>
      <w:pPr>
        <w:pStyle w:val="TOC2"/>
      </w:pPr>
      <w:hyperlink w:anchor="_Toc300002555" w:history="1">
        <w:r>
          <w:t>CL-23. BUSINESS, CORPORATE AND SUPPLY-CHAIN HUMAN RIGHTS</w:t>
        </w:r>
        <w:r>
          <w:tab/>
        </w:r>
        <w:r>
          <w:t>2245</w:t>
        </w:r>
      </w:hyperlink>
    </w:p>
    <w:p>
      <w:pPr>
        <w:pStyle w:val="TOC2"/>
      </w:pPr>
      <w:hyperlink w:anchor="_Toc300002556" w:history="1">
        <w:r>
          <w:t>CL-24. ENVIRONMENTAL AND COMMUNITY RIGHTS</w:t>
        </w:r>
        <w:r>
          <w:tab/>
        </w:r>
        <w:r>
          <w:t>2248</w:t>
        </w:r>
      </w:hyperlink>
    </w:p>
    <w:p>
      <w:pPr>
        <w:pStyle w:val="TOC2"/>
      </w:pPr>
      <w:hyperlink w:anchor="_Toc300002557" w:history="1">
        <w:r>
          <w:t>CL-25. PUBLIC HEALTH, MEDICINES AND SOCIAL RESILIENCE</w:t>
        </w:r>
        <w:r>
          <w:tab/>
        </w:r>
        <w:r>
          <w:t>2250</w:t>
        </w:r>
      </w:hyperlink>
    </w:p>
    <w:p>
      <w:pPr>
        <w:pStyle w:val="TOC2"/>
      </w:pPr>
      <w:hyperlink w:anchor="_Toc300002558" w:history="1">
        <w:r>
          <w:t>CL-26. GENDER EQUALITY AND INCLUSIVE TRADE</w:t>
        </w:r>
        <w:r>
          <w:tab/>
        </w:r>
        <w:r>
          <w:t>2253</w:t>
        </w:r>
      </w:hyperlink>
    </w:p>
    <w:p>
      <w:pPr>
        <w:pStyle w:val="TOC2"/>
      </w:pPr>
      <w:hyperlink w:anchor="_Toc300002559" w:history="1">
        <w:r>
          <w:t>CL-27. DISABILITY RIGHTS AND ACCESSIBILITY</w:t>
        </w:r>
        <w:r>
          <w:tab/>
        </w:r>
        <w:r>
          <w:t>2256</w:t>
        </w:r>
      </w:hyperlink>
    </w:p>
    <w:p>
      <w:pPr>
        <w:pStyle w:val="TOC2"/>
      </w:pPr>
      <w:hyperlink w:anchor="_Toc300002560" w:history="1">
        <w:r>
          <w:t>CL-28. HUMAN-RIGHTS GOVERNANCE, INTERPRETATION AND REVIEW</w:t>
        </w:r>
        <w:r>
          <w:tab/>
        </w:r>
        <w:r>
          <w:t>2256</w:t>
        </w:r>
      </w:hyperlink>
    </w:p>
    <w:p>
      <w:pPr>
        <w:pStyle w:val="TOC2"/>
      </w:pPr>
      <w:hyperlink w:anchor="_Toc300002561" w:history="1">
        <w:r>
          <w:t>CL-29. BUSINESS, CORPORATE AND SUPPLY-CHAIN HUMAN RIGHTS</w:t>
        </w:r>
        <w:r>
          <w:tab/>
        </w:r>
        <w:r>
          <w:t>2259</w:t>
        </w:r>
      </w:hyperlink>
    </w:p>
    <w:p>
      <w:pPr>
        <w:pStyle w:val="TOC2"/>
      </w:pPr>
      <w:hyperlink w:anchor="_Toc300002562" w:history="1">
        <w:r>
          <w:t>CL-30. OPTIONAL HIGH-SENSITIVITY HUMAN-RIGHTS MODULES</w:t>
        </w:r>
        <w:r>
          <w:tab/>
        </w:r>
        <w:r>
          <w:t>2259</w:t>
        </w:r>
      </w:hyperlink>
    </w:p>
    <w:p>
      <w:pPr>
        <w:pStyle w:val="TOC2"/>
      </w:pPr>
      <w:hyperlink w:anchor="_Toc300002563" w:history="1">
        <w:r>
          <w:t>CL-19A. PHASE-2 HUMAN-RIGHTS BACKBONE: 350 ADDITIONAL HARDENED PROVISIONS</w:t>
        </w:r>
        <w:r>
          <w:tab/>
        </w:r>
        <w:r>
          <w:t>2260</w:t>
        </w:r>
      </w:hyperlink>
    </w:p>
    <w:p>
      <w:pPr>
        <w:pStyle w:val="TOC2"/>
      </w:pPr>
      <w:hyperlink w:anchor="_Toc300002564" w:history="1">
        <w:r>
          <w:t>CL-31. Implementation Through Existing Institutions</w:t>
        </w:r>
        <w:r>
          <w:tab/>
        </w:r>
        <w:r>
          <w:t>2341</w:t>
        </w:r>
      </w:hyperlink>
    </w:p>
    <w:p>
      <w:pPr>
        <w:pStyle w:val="TOC2"/>
      </w:pPr>
      <w:hyperlink w:anchor="_Toc300002565" w:history="1">
        <w:r>
          <w:t>CL-32. Review and Future Human-Rights Integration</w:t>
        </w:r>
        <w:r>
          <w:tab/>
        </w:r>
        <w:r>
          <w:t>2341</w:t>
        </w:r>
      </w:hyperlink>
    </w:p>
    <w:p>
      <w:pPr>
        <w:pStyle w:val="TOC2"/>
      </w:pPr>
      <w:hyperlink w:anchor="_Toc300002566" w:history="1">
        <w:r>
          <w:t>CL-33. Governing Principle</w:t>
        </w:r>
        <w:r>
          <w:tab/>
        </w:r>
        <w:r>
          <w:t>2341</w:t>
        </w:r>
      </w:hyperlink>
    </w:p>
    <w:p>
      <w:pPr>
        <w:pStyle w:val="TOC1"/>
      </w:pPr>
      <w:hyperlink w:anchor="_Toc300001528" w:history="1">
        <w:r>
          <w:t>EXPLANATORY NOTE</w:t>
        </w:r>
        <w:r>
          <w:tab/>
        </w:r>
        <w:r>
          <w:t>2387</w:t>
        </w:r>
      </w:hyperlink>
    </w:p>
    <w:p>
      <w:pPr>
        <w:pStyle w:val="TOC1"/>
      </w:pPr>
      <w:hyperlink w:anchor="_Toc300001529" w:history="1">
        <w:r>
          <w:t>ANNEX II-EXPLANATORY NOTE-2</w:t>
        </w:r>
        <w:r>
          <w:tab/>
        </w:r>
        <w:r>
          <w:t>2388</w:t>
        </w:r>
      </w:hyperlink>
    </w:p>
    <w:p>
      <w:pPr>
        <w:pStyle w:val="TOC1"/>
      </w:pPr>
      <w:hyperlink w:anchor="_Toc300001534" w:history="1">
        <w:r>
          <w:t>ANNEX III – EXPLANATORY NOTE – 3</w:t>
        </w:r>
        <w:r>
          <w:tab/>
        </w:r>
        <w:r>
          <w:t>2419</w:t>
        </w:r>
      </w:hyperlink>
    </w:p>
    <w:p>
      <w:pPr>
        <w:pStyle w:val="Heading1"/>
      </w:pPr>
      <w:bookmarkStart w:id="900001" w:name="_Toc300000000"/>
      <w:r>
        <w:t>COUNTRY WINS AND NAVIGATION GUIDE</w:t>
      </w:r>
      <w:bookmarkEnd w:id="900001"/>
    </w:p>
    <w:p>
      <w:pPr>
        <w:pStyle w:val="Normal"/>
      </w:pPr>
      <w:r>
        <w:t>This guide surfaces existing negotiated benefits without creating or altering a concession. Use the exact Ctrl+F navigation phrase in the right column to reach the relevant treaty text; the live Table of Contents provides chapter-level navigation after fields are updated in Microsoft Word.</w:t>
      </w:r>
    </w:p>
    <w:p>
      <w:pPr>
        <w:pStyle w:val="Heading2"/>
      </w:pPr>
      <w:bookmarkStart w:id="900002" w:name="_Toc300000001"/>
      <w:r>
        <w:t>CANADA: NEGOTIATOR VISIBILITY INDEX</w:t>
      </w:r>
      <w:bookmarkEnd w:id="900002"/>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tblHeader w:val="true"/>
        </w:trPr>
        <w:tc>
          <w:tcPr>
            <w:tcW w:type="dxa" w:w="3528"/>
            <w:tcBorders>
              <w:bottom w:val="single" w:sz="6" w:space="0" w:color="546E7A"/>
            </w:tcBorders>
            <w:shd w:fill="E4E9EC" w:val="clear" w:color="auto"/>
            <w:tcMar>
              <w:top w:w="70" w:type="dxa"/>
              <w:start w:w="110" w:type="dxa"/>
              <w:bottom w:w="70" w:type="dxa"/>
              <w:end w:w="110" w:type="dxa"/>
            </w:tcMar>
            <w:vAlign w:val="center"/>
          </w:tcPr>
          <w:p>
            <w:pPr>
              <w:pStyle w:val="TableText"/>
            </w:pPr>
            <w:r>
              <w:rPr>
                <w:b/>
                <w:color w:val="37474F"/>
              </w:rPr>
              <w:t>Visible national win</w:t>
            </w:r>
          </w:p>
        </w:tc>
        <w:tc>
          <w:tcPr>
            <w:tcW w:type="dxa" w:w="6120"/>
            <w:tcBorders>
              <w:bottom w:val="single" w:sz="6" w:space="0" w:color="546E7A"/>
            </w:tcBorders>
            <w:shd w:fill="E4E9EC" w:val="clear" w:color="auto"/>
            <w:tcMar>
              <w:top w:w="70" w:type="dxa"/>
              <w:start w:w="110" w:type="dxa"/>
              <w:bottom w:w="70" w:type="dxa"/>
              <w:end w:w="110" w:type="dxa"/>
            </w:tcMar>
            <w:vAlign w:val="center"/>
          </w:tcPr>
          <w:p>
            <w:pPr>
              <w:pStyle w:val="TableText"/>
            </w:pPr>
            <w:r>
              <w:rPr>
                <w:b/>
                <w:color w:val="37474F"/>
              </w:rPr>
              <w:t>Ctrl+F navigation phrase</w:t>
            </w:r>
          </w:p>
        </w:tc>
      </w:tr>
      <w:tr>
        <w:tc>
          <w:tcPr>
            <w:tcW w:type="dxa" w:w="3528"/>
            <w:tcMar>
              <w:top w:w="70" w:type="dxa"/>
              <w:start w:w="110" w:type="dxa"/>
              <w:bottom w:w="70" w:type="dxa"/>
              <w:end w:w="110" w:type="dxa"/>
            </w:tcMar>
          </w:tcPr>
          <w:p>
            <w:pPr>
              <w:pStyle w:val="TableText"/>
            </w:pPr>
            <w:r>
              <w:rPr/>
              <w:t>Dairy and supply management</w:t>
            </w:r>
          </w:p>
        </w:tc>
        <w:tc>
          <w:tcPr>
            <w:tcW w:type="dxa" w:w="6120"/>
            <w:tcMar>
              <w:top w:w="70" w:type="dxa"/>
              <w:start w:w="110" w:type="dxa"/>
              <w:bottom w:w="70" w:type="dxa"/>
              <w:end w:w="110" w:type="dxa"/>
            </w:tcMar>
          </w:tcPr>
          <w:p>
            <w:pPr>
              <w:pStyle w:val="TableText"/>
            </w:pPr>
            <w:r>
              <w:rPr/>
              <w:t>North American Dairy Stability and Market Access Framework</w:t>
            </w:r>
          </w:p>
        </w:tc>
      </w:tr>
      <w:tr>
        <w:tc>
          <w:tcPr>
            <w:tcW w:type="dxa" w:w="3528"/>
            <w:shd w:fill="F5F7F8" w:val="clear" w:color="auto"/>
            <w:tcMar>
              <w:top w:w="70" w:type="dxa"/>
              <w:start w:w="110" w:type="dxa"/>
              <w:bottom w:w="70" w:type="dxa"/>
              <w:end w:w="110" w:type="dxa"/>
            </w:tcMar>
          </w:tcPr>
          <w:p>
            <w:pPr>
              <w:pStyle w:val="TableText"/>
            </w:pPr>
            <w:r>
              <w:rPr/>
              <w:t>Softwood lumber</w:t>
            </w:r>
          </w:p>
        </w:tc>
        <w:tc>
          <w:tcPr>
            <w:tcW w:type="dxa" w:w="6120"/>
            <w:shd w:fill="F5F7F8" w:val="clear" w:color="auto"/>
            <w:tcMar>
              <w:top w:w="70" w:type="dxa"/>
              <w:start w:w="110" w:type="dxa"/>
              <w:bottom w:w="70" w:type="dxa"/>
              <w:end w:w="110" w:type="dxa"/>
            </w:tcMar>
          </w:tcPr>
          <w:p>
            <w:pPr>
              <w:pStyle w:val="TableText"/>
            </w:pPr>
            <w:r>
              <w:rPr/>
              <w:t>softwood lumber</w:t>
            </w:r>
          </w:p>
        </w:tc>
      </w:tr>
      <w:tr>
        <w:tc>
          <w:tcPr>
            <w:tcW w:type="dxa" w:w="3528"/>
            <w:tcMar>
              <w:top w:w="70" w:type="dxa"/>
              <w:start w:w="110" w:type="dxa"/>
              <w:bottom w:w="70" w:type="dxa"/>
              <w:end w:w="110" w:type="dxa"/>
            </w:tcMar>
          </w:tcPr>
          <w:p>
            <w:pPr>
              <w:pStyle w:val="TableText"/>
            </w:pPr>
            <w:r>
              <w:rPr/>
              <w:t>Critical-minerals partnership</w:t>
            </w:r>
          </w:p>
        </w:tc>
        <w:tc>
          <w:tcPr>
            <w:tcW w:type="dxa" w:w="6120"/>
            <w:tcMar>
              <w:top w:w="70" w:type="dxa"/>
              <w:start w:w="110" w:type="dxa"/>
              <w:bottom w:w="70" w:type="dxa"/>
              <w:end w:w="110" w:type="dxa"/>
            </w:tcMar>
          </w:tcPr>
          <w:p>
            <w:pPr>
              <w:pStyle w:val="TableText"/>
            </w:pPr>
            <w:r>
              <w:rPr/>
              <w:t>Strategic Minerals Access Framework</w:t>
            </w:r>
          </w:p>
        </w:tc>
      </w:tr>
      <w:tr>
        <w:tc>
          <w:tcPr>
            <w:tcW w:type="dxa" w:w="3528"/>
            <w:shd w:fill="F5F7F8" w:val="clear" w:color="auto"/>
            <w:tcMar>
              <w:top w:w="70" w:type="dxa"/>
              <w:start w:w="110" w:type="dxa"/>
              <w:bottom w:w="70" w:type="dxa"/>
              <w:end w:w="110" w:type="dxa"/>
            </w:tcMar>
          </w:tcPr>
          <w:p>
            <w:pPr>
              <w:pStyle w:val="TableText"/>
            </w:pPr>
            <w:r>
              <w:rPr/>
              <w:t>Cultural-policy space</w:t>
            </w:r>
          </w:p>
        </w:tc>
        <w:tc>
          <w:tcPr>
            <w:tcW w:type="dxa" w:w="6120"/>
            <w:shd w:fill="F5F7F8" w:val="clear" w:color="auto"/>
            <w:tcMar>
              <w:top w:w="70" w:type="dxa"/>
              <w:start w:w="110" w:type="dxa"/>
              <w:bottom w:w="70" w:type="dxa"/>
              <w:end w:w="110" w:type="dxa"/>
            </w:tcMar>
          </w:tcPr>
          <w:p>
            <w:pPr>
              <w:pStyle w:val="TableText"/>
            </w:pPr>
            <w:r>
              <w:rPr/>
              <w:t>cultural industries</w:t>
            </w:r>
          </w:p>
        </w:tc>
      </w:tr>
      <w:tr>
        <w:tc>
          <w:tcPr>
            <w:tcW w:type="dxa" w:w="3528"/>
            <w:tcMar>
              <w:top w:w="70" w:type="dxa"/>
              <w:start w:w="110" w:type="dxa"/>
              <w:bottom w:w="70" w:type="dxa"/>
              <w:end w:w="110" w:type="dxa"/>
            </w:tcMar>
          </w:tcPr>
          <w:p>
            <w:pPr>
              <w:pStyle w:val="TableText"/>
            </w:pPr>
            <w:r>
              <w:rPr/>
              <w:t>Public health-policy space</w:t>
            </w:r>
          </w:p>
        </w:tc>
        <w:tc>
          <w:tcPr>
            <w:tcW w:type="dxa" w:w="6120"/>
            <w:tcMar>
              <w:top w:w="70" w:type="dxa"/>
              <w:start w:w="110" w:type="dxa"/>
              <w:bottom w:w="70" w:type="dxa"/>
              <w:end w:w="110" w:type="dxa"/>
            </w:tcMar>
          </w:tcPr>
          <w:p>
            <w:pPr>
              <w:pStyle w:val="TableText"/>
            </w:pPr>
            <w:r>
              <w:rPr/>
              <w:t>public health</w:t>
            </w:r>
          </w:p>
        </w:tc>
      </w:tr>
      <w:tr>
        <w:tc>
          <w:tcPr>
            <w:tcW w:type="dxa" w:w="3528"/>
            <w:shd w:fill="F5F7F8" w:val="clear" w:color="auto"/>
            <w:tcMar>
              <w:top w:w="70" w:type="dxa"/>
              <w:start w:w="110" w:type="dxa"/>
              <w:bottom w:w="70" w:type="dxa"/>
              <w:end w:w="110" w:type="dxa"/>
            </w:tcMar>
          </w:tcPr>
          <w:p>
            <w:pPr>
              <w:pStyle w:val="TableText"/>
            </w:pPr>
            <w:r>
              <w:rPr/>
              <w:t>Indigenous economic participation</w:t>
            </w:r>
          </w:p>
        </w:tc>
        <w:tc>
          <w:tcPr>
            <w:tcW w:type="dxa" w:w="6120"/>
            <w:shd w:fill="F5F7F8" w:val="clear" w:color="auto"/>
            <w:tcMar>
              <w:top w:w="70" w:type="dxa"/>
              <w:start w:w="110" w:type="dxa"/>
              <w:bottom w:w="70" w:type="dxa"/>
              <w:end w:w="110" w:type="dxa"/>
            </w:tcMar>
          </w:tcPr>
          <w:p>
            <w:pPr>
              <w:pStyle w:val="TableText"/>
            </w:pPr>
            <w:r>
              <w:rPr/>
              <w:t>Indigenous peoples</w:t>
            </w:r>
          </w:p>
        </w:tc>
      </w:tr>
      <w:tr>
        <w:tc>
          <w:tcPr>
            <w:tcW w:type="dxa" w:w="3528"/>
            <w:tcMar>
              <w:top w:w="70" w:type="dxa"/>
              <w:start w:w="110" w:type="dxa"/>
              <w:bottom w:w="70" w:type="dxa"/>
              <w:end w:w="110" w:type="dxa"/>
            </w:tcMar>
          </w:tcPr>
          <w:p>
            <w:pPr>
              <w:pStyle w:val="TableText"/>
            </w:pPr>
            <w:r>
              <w:rPr/>
              <w:t>Energy reliability</w:t>
            </w:r>
          </w:p>
        </w:tc>
        <w:tc>
          <w:tcPr>
            <w:tcW w:type="dxa" w:w="6120"/>
            <w:tcMar>
              <w:top w:w="70" w:type="dxa"/>
              <w:start w:w="110" w:type="dxa"/>
              <w:bottom w:w="70" w:type="dxa"/>
              <w:end w:w="110" w:type="dxa"/>
            </w:tcMar>
          </w:tcPr>
          <w:p>
            <w:pPr>
              <w:pStyle w:val="TableText"/>
            </w:pPr>
            <w:r>
              <w:rPr/>
              <w:t>energy security</w:t>
            </w:r>
          </w:p>
        </w:tc>
      </w:tr>
      <w:tr>
        <w:tc>
          <w:tcPr>
            <w:tcW w:type="dxa" w:w="3528"/>
            <w:shd w:fill="F5F7F8" w:val="clear" w:color="auto"/>
            <w:tcMar>
              <w:top w:w="70" w:type="dxa"/>
              <w:start w:w="110" w:type="dxa"/>
              <w:bottom w:w="70" w:type="dxa"/>
              <w:end w:w="110" w:type="dxa"/>
            </w:tcMar>
          </w:tcPr>
          <w:p>
            <w:pPr>
              <w:pStyle w:val="TableText"/>
            </w:pPr>
            <w:r>
              <w:rPr/>
              <w:t>Automotive production</w:t>
            </w:r>
          </w:p>
        </w:tc>
        <w:tc>
          <w:tcPr>
            <w:tcW w:type="dxa" w:w="6120"/>
            <w:shd w:fill="F5F7F8" w:val="clear" w:color="auto"/>
            <w:tcMar>
              <w:top w:w="70" w:type="dxa"/>
              <w:start w:w="110" w:type="dxa"/>
              <w:bottom w:w="70" w:type="dxa"/>
              <w:end w:w="110" w:type="dxa"/>
            </w:tcMar>
          </w:tcPr>
          <w:p>
            <w:pPr>
              <w:pStyle w:val="TableText"/>
            </w:pPr>
            <w:r>
              <w:rPr/>
              <w:t>Three-Tier RVC</w:t>
            </w:r>
          </w:p>
        </w:tc>
      </w:tr>
      <w:tr>
        <w:tc>
          <w:tcPr>
            <w:tcW w:type="dxa" w:w="3528"/>
            <w:tcMar>
              <w:top w:w="70" w:type="dxa"/>
              <w:start w:w="110" w:type="dxa"/>
              <w:bottom w:w="70" w:type="dxa"/>
              <w:end w:w="110" w:type="dxa"/>
            </w:tcMar>
          </w:tcPr>
          <w:p>
            <w:pPr>
              <w:pStyle w:val="TableText"/>
            </w:pPr>
            <w:r>
              <w:rPr/>
              <w:t>Forestry normalization</w:t>
            </w:r>
          </w:p>
        </w:tc>
        <w:tc>
          <w:tcPr>
            <w:tcW w:type="dxa" w:w="6120"/>
            <w:tcMar>
              <w:top w:w="70" w:type="dxa"/>
              <w:start w:w="110" w:type="dxa"/>
              <w:bottom w:w="70" w:type="dxa"/>
              <w:end w:w="110" w:type="dxa"/>
            </w:tcMar>
          </w:tcPr>
          <w:p>
            <w:pPr>
              <w:pStyle w:val="TableText"/>
            </w:pPr>
            <w:r>
              <w:rPr/>
              <w:t>forestry</w:t>
            </w:r>
          </w:p>
        </w:tc>
      </w:tr>
      <w:tr>
        <w:tc>
          <w:tcPr>
            <w:tcW w:type="dxa" w:w="3528"/>
            <w:shd w:fill="F5F7F8" w:val="clear" w:color="auto"/>
            <w:tcMar>
              <w:top w:w="70" w:type="dxa"/>
              <w:start w:w="110" w:type="dxa"/>
              <w:bottom w:w="70" w:type="dxa"/>
              <w:end w:w="110" w:type="dxa"/>
            </w:tcMar>
          </w:tcPr>
          <w:p>
            <w:pPr>
              <w:pStyle w:val="TableText"/>
            </w:pPr>
            <w:r>
              <w:rPr/>
              <w:t>Water sovereignty</w:t>
            </w:r>
          </w:p>
        </w:tc>
        <w:tc>
          <w:tcPr>
            <w:tcW w:type="dxa" w:w="6120"/>
            <w:shd w:fill="F5F7F8" w:val="clear" w:color="auto"/>
            <w:tcMar>
              <w:top w:w="70" w:type="dxa"/>
              <w:start w:w="110" w:type="dxa"/>
              <w:bottom w:w="70" w:type="dxa"/>
              <w:end w:w="110" w:type="dxa"/>
            </w:tcMar>
          </w:tcPr>
          <w:p>
            <w:pPr>
              <w:pStyle w:val="TableText"/>
            </w:pPr>
            <w:r>
              <w:rPr/>
              <w:t>water sovereignty</w:t>
            </w:r>
          </w:p>
        </w:tc>
      </w:tr>
      <w:tr>
        <w:tc>
          <w:tcPr>
            <w:tcW w:type="dxa" w:w="3528"/>
            <w:tcMar>
              <w:top w:w="70" w:type="dxa"/>
              <w:start w:w="110" w:type="dxa"/>
              <w:bottom w:w="70" w:type="dxa"/>
              <w:end w:w="110" w:type="dxa"/>
            </w:tcMar>
          </w:tcPr>
          <w:p>
            <w:pPr>
              <w:pStyle w:val="TableText"/>
            </w:pPr>
            <w:r>
              <w:rPr/>
              <w:t>French-language safeguards</w:t>
            </w:r>
          </w:p>
        </w:tc>
        <w:tc>
          <w:tcPr>
            <w:tcW w:type="dxa" w:w="6120"/>
            <w:tcMar>
              <w:top w:w="70" w:type="dxa"/>
              <w:start w:w="110" w:type="dxa"/>
              <w:bottom w:w="70" w:type="dxa"/>
              <w:end w:w="110" w:type="dxa"/>
            </w:tcMar>
          </w:tcPr>
          <w:p>
            <w:pPr>
              <w:pStyle w:val="TableText"/>
            </w:pPr>
            <w:r>
              <w:rPr/>
              <w:t>French language</w:t>
            </w:r>
          </w:p>
        </w:tc>
      </w:tr>
      <w:tr>
        <w:tc>
          <w:tcPr>
            <w:tcW w:type="dxa" w:w="3528"/>
            <w:shd w:fill="F5F7F8" w:val="clear" w:color="auto"/>
            <w:tcMar>
              <w:top w:w="70" w:type="dxa"/>
              <w:start w:w="110" w:type="dxa"/>
              <w:bottom w:w="70" w:type="dxa"/>
              <w:end w:w="110" w:type="dxa"/>
            </w:tcMar>
          </w:tcPr>
          <w:p>
            <w:pPr>
              <w:pStyle w:val="TableText"/>
            </w:pPr>
            <w:r>
              <w:rPr/>
              <w:t>Procurement access</w:t>
            </w:r>
          </w:p>
        </w:tc>
        <w:tc>
          <w:tcPr>
            <w:tcW w:type="dxa" w:w="6120"/>
            <w:shd w:fill="F5F7F8" w:val="clear" w:color="auto"/>
            <w:tcMar>
              <w:top w:w="70" w:type="dxa"/>
              <w:start w:w="110" w:type="dxa"/>
              <w:bottom w:w="70" w:type="dxa"/>
              <w:end w:w="110" w:type="dxa"/>
            </w:tcMar>
          </w:tcPr>
          <w:p>
            <w:pPr>
              <w:pStyle w:val="TableText"/>
            </w:pPr>
            <w:r>
              <w:rPr/>
              <w:t>procurement value equivalence</w:t>
            </w:r>
          </w:p>
        </w:tc>
      </w:tr>
      <w:tr>
        <w:tc>
          <w:tcPr>
            <w:tcW w:type="dxa" w:w="3528"/>
            <w:tcMar>
              <w:top w:w="70" w:type="dxa"/>
              <w:start w:w="110" w:type="dxa"/>
              <w:bottom w:w="70" w:type="dxa"/>
              <w:end w:w="110" w:type="dxa"/>
            </w:tcMar>
          </w:tcPr>
          <w:p>
            <w:pPr>
              <w:pStyle w:val="TableText"/>
            </w:pPr>
            <w:r>
              <w:rPr/>
              <w:t>Aerospace and advanced manufacturing</w:t>
            </w:r>
          </w:p>
        </w:tc>
        <w:tc>
          <w:tcPr>
            <w:tcW w:type="dxa" w:w="6120"/>
            <w:tcMar>
              <w:top w:w="70" w:type="dxa"/>
              <w:start w:w="110" w:type="dxa"/>
              <w:bottom w:w="70" w:type="dxa"/>
              <w:end w:w="110" w:type="dxa"/>
            </w:tcMar>
          </w:tcPr>
          <w:p>
            <w:pPr>
              <w:pStyle w:val="TableText"/>
            </w:pPr>
            <w:r>
              <w:rPr/>
              <w:t>aerospace</w:t>
            </w:r>
          </w:p>
        </w:tc>
      </w:tr>
      <w:tr>
        <w:tc>
          <w:tcPr>
            <w:tcW w:type="dxa" w:w="3528"/>
            <w:shd w:fill="F5F7F8" w:val="clear" w:color="auto"/>
            <w:tcMar>
              <w:top w:w="70" w:type="dxa"/>
              <w:start w:w="110" w:type="dxa"/>
              <w:bottom w:w="70" w:type="dxa"/>
              <w:end w:w="110" w:type="dxa"/>
            </w:tcMar>
          </w:tcPr>
          <w:p>
            <w:pPr>
              <w:pStyle w:val="TableText"/>
            </w:pPr>
            <w:r>
              <w:rPr/>
              <w:t>Fisheries and coastal communities</w:t>
            </w:r>
          </w:p>
        </w:tc>
        <w:tc>
          <w:tcPr>
            <w:tcW w:type="dxa" w:w="6120"/>
            <w:shd w:fill="F5F7F8" w:val="clear" w:color="auto"/>
            <w:tcMar>
              <w:top w:w="70" w:type="dxa"/>
              <w:start w:w="110" w:type="dxa"/>
              <w:bottom w:w="70" w:type="dxa"/>
              <w:end w:w="110" w:type="dxa"/>
            </w:tcMar>
          </w:tcPr>
          <w:p>
            <w:pPr>
              <w:pStyle w:val="TableText"/>
            </w:pPr>
            <w:r>
              <w:rPr/>
              <w:t>fisheries</w:t>
            </w:r>
          </w:p>
        </w:tc>
      </w:tr>
      <w:tr>
        <w:tc>
          <w:tcPr>
            <w:tcW w:type="dxa" w:w="3528"/>
            <w:tcMar>
              <w:top w:w="70" w:type="dxa"/>
              <w:start w:w="110" w:type="dxa"/>
              <w:bottom w:w="70" w:type="dxa"/>
              <w:end w:w="110" w:type="dxa"/>
            </w:tcMar>
          </w:tcPr>
          <w:p>
            <w:pPr>
              <w:pStyle w:val="TableText"/>
            </w:pPr>
            <w:r>
              <w:rPr/>
              <w:t>No uncompensated front-loading</w:t>
            </w:r>
          </w:p>
        </w:tc>
        <w:tc>
          <w:tcPr>
            <w:tcW w:type="dxa" w:w="6120"/>
            <w:tcMar>
              <w:top w:w="70" w:type="dxa"/>
              <w:start w:w="110" w:type="dxa"/>
              <w:bottom w:w="70" w:type="dxa"/>
              <w:end w:w="110" w:type="dxa"/>
            </w:tcMar>
          </w:tcPr>
          <w:p>
            <w:pPr>
              <w:pStyle w:val="TableText"/>
            </w:pPr>
            <w:r>
              <w:rPr/>
              <w:t>No Uncompensated Front-Loading</w:t>
            </w:r>
          </w:p>
        </w:tc>
      </w:tr>
    </w:tbl>
    <w:p>
      <w:pPr>
        <w:pStyle w:val="Heading2"/>
      </w:pPr>
      <w:bookmarkStart w:id="900003" w:name="_Toc300000002"/>
      <w:r>
        <w:t>UNITED STATES: NEGOTIATOR VISIBILITY INDEX</w:t>
      </w:r>
      <w:bookmarkEnd w:id="900003"/>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tblHeader w:val="true"/>
        </w:trPr>
        <w:tc>
          <w:tcPr>
            <w:tcW w:type="dxa" w:w="3528"/>
            <w:tcBorders>
              <w:bottom w:val="single" w:sz="6" w:space="0" w:color="546E7A"/>
            </w:tcBorders>
            <w:shd w:fill="E4E9EC" w:val="clear" w:color="auto"/>
            <w:tcMar>
              <w:top w:w="70" w:type="dxa"/>
              <w:start w:w="110" w:type="dxa"/>
              <w:bottom w:w="70" w:type="dxa"/>
              <w:end w:w="110" w:type="dxa"/>
            </w:tcMar>
            <w:vAlign w:val="center"/>
          </w:tcPr>
          <w:p>
            <w:pPr>
              <w:pStyle w:val="TableText"/>
            </w:pPr>
            <w:r>
              <w:rPr>
                <w:b/>
                <w:color w:val="37474F"/>
              </w:rPr>
              <w:t>Visible national win</w:t>
            </w:r>
          </w:p>
        </w:tc>
        <w:tc>
          <w:tcPr>
            <w:tcW w:type="dxa" w:w="6120"/>
            <w:tcBorders>
              <w:bottom w:val="single" w:sz="6" w:space="0" w:color="546E7A"/>
            </w:tcBorders>
            <w:shd w:fill="E4E9EC" w:val="clear" w:color="auto"/>
            <w:tcMar>
              <w:top w:w="70" w:type="dxa"/>
              <w:start w:w="110" w:type="dxa"/>
              <w:bottom w:w="70" w:type="dxa"/>
              <w:end w:w="110" w:type="dxa"/>
            </w:tcMar>
            <w:vAlign w:val="center"/>
          </w:tcPr>
          <w:p>
            <w:pPr>
              <w:pStyle w:val="TableText"/>
            </w:pPr>
            <w:r>
              <w:rPr>
                <w:b/>
                <w:color w:val="37474F"/>
              </w:rPr>
              <w:t>Ctrl+F navigation phrase</w:t>
            </w:r>
          </w:p>
        </w:tc>
      </w:tr>
      <w:tr>
        <w:tc>
          <w:tcPr>
            <w:tcW w:type="dxa" w:w="3528"/>
            <w:tcMar>
              <w:top w:w="70" w:type="dxa"/>
              <w:start w:w="110" w:type="dxa"/>
              <w:bottom w:w="70" w:type="dxa"/>
              <w:end w:w="110" w:type="dxa"/>
            </w:tcMar>
          </w:tcPr>
          <w:p>
            <w:pPr>
              <w:pStyle w:val="TableText"/>
            </w:pPr>
            <w:r>
              <w:rPr/>
              <w:t>Durable tariff preferences</w:t>
            </w:r>
          </w:p>
        </w:tc>
        <w:tc>
          <w:tcPr>
            <w:tcW w:type="dxa" w:w="6120"/>
            <w:tcMar>
              <w:top w:w="70" w:type="dxa"/>
              <w:start w:w="110" w:type="dxa"/>
              <w:bottom w:w="70" w:type="dxa"/>
              <w:end w:w="110" w:type="dxa"/>
            </w:tcMar>
          </w:tcPr>
          <w:p>
            <w:pPr>
              <w:pStyle w:val="TableText"/>
            </w:pPr>
            <w:r>
              <w:rPr/>
              <w:t>Tariff Finality</w:t>
            </w:r>
          </w:p>
        </w:tc>
      </w:tr>
      <w:tr>
        <w:tc>
          <w:tcPr>
            <w:tcW w:type="dxa" w:w="3528"/>
            <w:shd w:fill="F5F7F8" w:val="clear" w:color="auto"/>
            <w:tcMar>
              <w:top w:w="70" w:type="dxa"/>
              <w:start w:w="110" w:type="dxa"/>
              <w:bottom w:w="70" w:type="dxa"/>
              <w:end w:w="110" w:type="dxa"/>
            </w:tcMar>
          </w:tcPr>
          <w:p>
            <w:pPr>
              <w:pStyle w:val="TableText"/>
            </w:pPr>
            <w:r>
              <w:rPr/>
              <w:t>Automotive market access</w:t>
            </w:r>
          </w:p>
        </w:tc>
        <w:tc>
          <w:tcPr>
            <w:tcW w:type="dxa" w:w="6120"/>
            <w:shd w:fill="F5F7F8" w:val="clear" w:color="auto"/>
            <w:tcMar>
              <w:top w:w="70" w:type="dxa"/>
              <w:start w:w="110" w:type="dxa"/>
              <w:bottom w:w="70" w:type="dxa"/>
              <w:end w:w="110" w:type="dxa"/>
            </w:tcMar>
          </w:tcPr>
          <w:p>
            <w:pPr>
              <w:pStyle w:val="TableText"/>
            </w:pPr>
            <w:r>
              <w:rPr/>
              <w:t>13.8 percent</w:t>
            </w:r>
          </w:p>
        </w:tc>
      </w:tr>
      <w:tr>
        <w:tc>
          <w:tcPr>
            <w:tcW w:type="dxa" w:w="3528"/>
            <w:tcMar>
              <w:top w:w="70" w:type="dxa"/>
              <w:start w:w="110" w:type="dxa"/>
              <w:bottom w:w="70" w:type="dxa"/>
              <w:end w:w="110" w:type="dxa"/>
            </w:tcMar>
          </w:tcPr>
          <w:p>
            <w:pPr>
              <w:pStyle w:val="TableText"/>
            </w:pPr>
            <w:r>
              <w:rPr/>
              <w:t>Dairy market access</w:t>
            </w:r>
          </w:p>
        </w:tc>
        <w:tc>
          <w:tcPr>
            <w:tcW w:type="dxa" w:w="6120"/>
            <w:tcMar>
              <w:top w:w="70" w:type="dxa"/>
              <w:start w:w="110" w:type="dxa"/>
              <w:bottom w:w="70" w:type="dxa"/>
              <w:end w:w="110" w:type="dxa"/>
            </w:tcMar>
          </w:tcPr>
          <w:p>
            <w:pPr>
              <w:pStyle w:val="TableText"/>
            </w:pPr>
            <w:r>
              <w:rPr/>
              <w:t>Cheeses of All Types</w:t>
            </w:r>
          </w:p>
        </w:tc>
      </w:tr>
      <w:tr>
        <w:tc>
          <w:tcPr>
            <w:tcW w:type="dxa" w:w="3528"/>
            <w:shd w:fill="F5F7F8" w:val="clear" w:color="auto"/>
            <w:tcMar>
              <w:top w:w="70" w:type="dxa"/>
              <w:start w:w="110" w:type="dxa"/>
              <w:bottom w:w="70" w:type="dxa"/>
              <w:end w:w="110" w:type="dxa"/>
            </w:tcMar>
          </w:tcPr>
          <w:p>
            <w:pPr>
              <w:pStyle w:val="TableText"/>
            </w:pPr>
            <w:r>
              <w:rPr/>
              <w:t>Semiconductor resilience</w:t>
            </w:r>
          </w:p>
        </w:tc>
        <w:tc>
          <w:tcPr>
            <w:tcW w:type="dxa" w:w="6120"/>
            <w:shd w:fill="F5F7F8" w:val="clear" w:color="auto"/>
            <w:tcMar>
              <w:top w:w="70" w:type="dxa"/>
              <w:start w:w="110" w:type="dxa"/>
              <w:bottom w:w="70" w:type="dxa"/>
              <w:end w:w="110" w:type="dxa"/>
            </w:tcMar>
          </w:tcPr>
          <w:p>
            <w:pPr>
              <w:pStyle w:val="TableText"/>
            </w:pPr>
            <w:r>
              <w:rPr/>
              <w:t>semiconductors</w:t>
            </w:r>
          </w:p>
        </w:tc>
      </w:tr>
      <w:tr>
        <w:tc>
          <w:tcPr>
            <w:tcW w:type="dxa" w:w="3528"/>
            <w:tcMar>
              <w:top w:w="70" w:type="dxa"/>
              <w:start w:w="110" w:type="dxa"/>
              <w:bottom w:w="70" w:type="dxa"/>
              <w:end w:w="110" w:type="dxa"/>
            </w:tcMar>
          </w:tcPr>
          <w:p>
            <w:pPr>
              <w:pStyle w:val="TableText"/>
            </w:pPr>
            <w:r>
              <w:rPr/>
              <w:t>Medicines supply resilience</w:t>
            </w:r>
          </w:p>
        </w:tc>
        <w:tc>
          <w:tcPr>
            <w:tcW w:type="dxa" w:w="6120"/>
            <w:tcMar>
              <w:top w:w="70" w:type="dxa"/>
              <w:start w:w="110" w:type="dxa"/>
              <w:bottom w:w="70" w:type="dxa"/>
              <w:end w:w="110" w:type="dxa"/>
            </w:tcMar>
          </w:tcPr>
          <w:p>
            <w:pPr>
              <w:pStyle w:val="TableText"/>
            </w:pPr>
            <w:r>
              <w:rPr/>
              <w:t>medicines</w:t>
            </w:r>
          </w:p>
        </w:tc>
      </w:tr>
      <w:tr>
        <w:tc>
          <w:tcPr>
            <w:tcW w:type="dxa" w:w="3528"/>
            <w:shd w:fill="F5F7F8" w:val="clear" w:color="auto"/>
            <w:tcMar>
              <w:top w:w="70" w:type="dxa"/>
              <w:start w:w="110" w:type="dxa"/>
              <w:bottom w:w="70" w:type="dxa"/>
              <w:end w:w="110" w:type="dxa"/>
            </w:tcMar>
          </w:tcPr>
          <w:p>
            <w:pPr>
              <w:pStyle w:val="TableText"/>
            </w:pPr>
            <w:r>
              <w:rPr/>
              <w:t>Critical-minerals access</w:t>
            </w:r>
          </w:p>
        </w:tc>
        <w:tc>
          <w:tcPr>
            <w:tcW w:type="dxa" w:w="6120"/>
            <w:shd w:fill="F5F7F8" w:val="clear" w:color="auto"/>
            <w:tcMar>
              <w:top w:w="70" w:type="dxa"/>
              <w:start w:w="110" w:type="dxa"/>
              <w:bottom w:w="70" w:type="dxa"/>
              <w:end w:w="110" w:type="dxa"/>
            </w:tcMar>
          </w:tcPr>
          <w:p>
            <w:pPr>
              <w:pStyle w:val="TableText"/>
            </w:pPr>
            <w:r>
              <w:rPr/>
              <w:t>critical minerals</w:t>
            </w:r>
          </w:p>
        </w:tc>
      </w:tr>
      <w:tr>
        <w:tc>
          <w:tcPr>
            <w:tcW w:type="dxa" w:w="3528"/>
            <w:tcMar>
              <w:top w:w="70" w:type="dxa"/>
              <w:start w:w="110" w:type="dxa"/>
              <w:bottom w:w="70" w:type="dxa"/>
              <w:end w:w="110" w:type="dxa"/>
            </w:tcMar>
          </w:tcPr>
          <w:p>
            <w:pPr>
              <w:pStyle w:val="TableText"/>
            </w:pPr>
            <w:r>
              <w:rPr/>
              <w:t>Forced-labour enforcement</w:t>
            </w:r>
          </w:p>
        </w:tc>
        <w:tc>
          <w:tcPr>
            <w:tcW w:type="dxa" w:w="6120"/>
            <w:tcMar>
              <w:top w:w="70" w:type="dxa"/>
              <w:start w:w="110" w:type="dxa"/>
              <w:bottom w:w="70" w:type="dxa"/>
              <w:end w:w="110" w:type="dxa"/>
            </w:tcMar>
          </w:tcPr>
          <w:p>
            <w:pPr>
              <w:pStyle w:val="TableText"/>
            </w:pPr>
            <w:r>
              <w:rPr/>
              <w:t>forced or compulsory labour</w:t>
            </w:r>
          </w:p>
        </w:tc>
      </w:tr>
      <w:tr>
        <w:tc>
          <w:tcPr>
            <w:tcW w:type="dxa" w:w="3528"/>
            <w:shd w:fill="F5F7F8" w:val="clear" w:color="auto"/>
            <w:tcMar>
              <w:top w:w="70" w:type="dxa"/>
              <w:start w:w="110" w:type="dxa"/>
              <w:bottom w:w="70" w:type="dxa"/>
              <w:end w:w="110" w:type="dxa"/>
            </w:tcMar>
          </w:tcPr>
          <w:p>
            <w:pPr>
              <w:pStyle w:val="TableText"/>
            </w:pPr>
            <w:r>
              <w:rPr/>
              <w:t>Digital trade</w:t>
            </w:r>
          </w:p>
        </w:tc>
        <w:tc>
          <w:tcPr>
            <w:tcW w:type="dxa" w:w="6120"/>
            <w:shd w:fill="F5F7F8" w:val="clear" w:color="auto"/>
            <w:tcMar>
              <w:top w:w="70" w:type="dxa"/>
              <w:start w:w="110" w:type="dxa"/>
              <w:bottom w:w="70" w:type="dxa"/>
              <w:end w:w="110" w:type="dxa"/>
            </w:tcMar>
          </w:tcPr>
          <w:p>
            <w:pPr>
              <w:pStyle w:val="TableText"/>
            </w:pPr>
            <w:r>
              <w:rPr/>
              <w:t>digital trade</w:t>
            </w:r>
          </w:p>
        </w:tc>
      </w:tr>
      <w:tr>
        <w:tc>
          <w:tcPr>
            <w:tcW w:type="dxa" w:w="3528"/>
            <w:tcMar>
              <w:top w:w="70" w:type="dxa"/>
              <w:start w:w="110" w:type="dxa"/>
              <w:bottom w:w="70" w:type="dxa"/>
              <w:end w:w="110" w:type="dxa"/>
            </w:tcMar>
          </w:tcPr>
          <w:p>
            <w:pPr>
              <w:pStyle w:val="TableText"/>
            </w:pPr>
            <w:r>
              <w:rPr/>
              <w:t>Intellectual property</w:t>
            </w:r>
          </w:p>
        </w:tc>
        <w:tc>
          <w:tcPr>
            <w:tcW w:type="dxa" w:w="6120"/>
            <w:tcMar>
              <w:top w:w="70" w:type="dxa"/>
              <w:start w:w="110" w:type="dxa"/>
              <w:bottom w:w="70" w:type="dxa"/>
              <w:end w:w="110" w:type="dxa"/>
            </w:tcMar>
          </w:tcPr>
          <w:p>
            <w:pPr>
              <w:pStyle w:val="TableText"/>
            </w:pPr>
            <w:r>
              <w:rPr/>
              <w:t>intellectual property</w:t>
            </w:r>
          </w:p>
        </w:tc>
      </w:tr>
      <w:tr>
        <w:tc>
          <w:tcPr>
            <w:tcW w:type="dxa" w:w="3528"/>
            <w:shd w:fill="F5F7F8" w:val="clear" w:color="auto"/>
            <w:tcMar>
              <w:top w:w="70" w:type="dxa"/>
              <w:start w:w="110" w:type="dxa"/>
              <w:bottom w:w="70" w:type="dxa"/>
              <w:end w:w="110" w:type="dxa"/>
            </w:tcMar>
          </w:tcPr>
          <w:p>
            <w:pPr>
              <w:pStyle w:val="TableText"/>
            </w:pPr>
            <w:r>
              <w:rPr/>
              <w:t>Energy trade</w:t>
            </w:r>
          </w:p>
        </w:tc>
        <w:tc>
          <w:tcPr>
            <w:tcW w:type="dxa" w:w="6120"/>
            <w:shd w:fill="F5F7F8" w:val="clear" w:color="auto"/>
            <w:tcMar>
              <w:top w:w="70" w:type="dxa"/>
              <w:start w:w="110" w:type="dxa"/>
              <w:bottom w:w="70" w:type="dxa"/>
              <w:end w:w="110" w:type="dxa"/>
            </w:tcMar>
          </w:tcPr>
          <w:p>
            <w:pPr>
              <w:pStyle w:val="TableText"/>
            </w:pPr>
            <w:r>
              <w:rPr/>
              <w:t>energy security</w:t>
            </w:r>
          </w:p>
        </w:tc>
      </w:tr>
      <w:tr>
        <w:tc>
          <w:tcPr>
            <w:tcW w:type="dxa" w:w="3528"/>
            <w:tcMar>
              <w:top w:w="70" w:type="dxa"/>
              <w:start w:w="110" w:type="dxa"/>
              <w:bottom w:w="70" w:type="dxa"/>
              <w:end w:w="110" w:type="dxa"/>
            </w:tcMar>
          </w:tcPr>
          <w:p>
            <w:pPr>
              <w:pStyle w:val="TableText"/>
            </w:pPr>
            <w:r>
              <w:rPr/>
              <w:t>Agricultural access</w:t>
            </w:r>
          </w:p>
        </w:tc>
        <w:tc>
          <w:tcPr>
            <w:tcW w:type="dxa" w:w="6120"/>
            <w:tcMar>
              <w:top w:w="70" w:type="dxa"/>
              <w:start w:w="110" w:type="dxa"/>
              <w:bottom w:w="70" w:type="dxa"/>
              <w:end w:w="110" w:type="dxa"/>
            </w:tcMar>
          </w:tcPr>
          <w:p>
            <w:pPr>
              <w:pStyle w:val="TableText"/>
            </w:pPr>
            <w:r>
              <w:rPr/>
              <w:t>agricultural goods</w:t>
            </w:r>
          </w:p>
        </w:tc>
      </w:tr>
      <w:tr>
        <w:tc>
          <w:tcPr>
            <w:tcW w:type="dxa" w:w="3528"/>
            <w:shd w:fill="F5F7F8" w:val="clear" w:color="auto"/>
            <w:tcMar>
              <w:top w:w="70" w:type="dxa"/>
              <w:start w:w="110" w:type="dxa"/>
              <w:bottom w:w="70" w:type="dxa"/>
              <w:end w:w="110" w:type="dxa"/>
            </w:tcMar>
          </w:tcPr>
          <w:p>
            <w:pPr>
              <w:pStyle w:val="TableText"/>
            </w:pPr>
            <w:r>
              <w:rPr/>
              <w:t>Customs modernization</w:t>
            </w:r>
          </w:p>
        </w:tc>
        <w:tc>
          <w:tcPr>
            <w:tcW w:type="dxa" w:w="6120"/>
            <w:shd w:fill="F5F7F8" w:val="clear" w:color="auto"/>
            <w:tcMar>
              <w:top w:w="70" w:type="dxa"/>
              <w:start w:w="110" w:type="dxa"/>
              <w:bottom w:w="70" w:type="dxa"/>
              <w:end w:w="110" w:type="dxa"/>
            </w:tcMar>
          </w:tcPr>
          <w:p>
            <w:pPr>
              <w:pStyle w:val="TableText"/>
            </w:pPr>
            <w:r>
              <w:rPr/>
              <w:t>low-value shipment</w:t>
            </w:r>
          </w:p>
        </w:tc>
      </w:tr>
      <w:tr>
        <w:tc>
          <w:tcPr>
            <w:tcW w:type="dxa" w:w="3528"/>
            <w:tcMar>
              <w:top w:w="70" w:type="dxa"/>
              <w:start w:w="110" w:type="dxa"/>
              <w:bottom w:w="70" w:type="dxa"/>
              <w:end w:w="110" w:type="dxa"/>
            </w:tcMar>
          </w:tcPr>
          <w:p>
            <w:pPr>
              <w:pStyle w:val="TableText"/>
            </w:pPr>
            <w:r>
              <w:rPr/>
              <w:t>Regulatory cooperation</w:t>
            </w:r>
          </w:p>
        </w:tc>
        <w:tc>
          <w:tcPr>
            <w:tcW w:type="dxa" w:w="6120"/>
            <w:tcMar>
              <w:top w:w="70" w:type="dxa"/>
              <w:start w:w="110" w:type="dxa"/>
              <w:bottom w:w="70" w:type="dxa"/>
              <w:end w:w="110" w:type="dxa"/>
            </w:tcMar>
          </w:tcPr>
          <w:p>
            <w:pPr>
              <w:pStyle w:val="TableText"/>
            </w:pPr>
            <w:r>
              <w:rPr/>
              <w:t>Good Regulatory Practices</w:t>
            </w:r>
          </w:p>
        </w:tc>
      </w:tr>
      <w:tr>
        <w:tc>
          <w:tcPr>
            <w:tcW w:type="dxa" w:w="3528"/>
            <w:shd w:fill="F5F7F8" w:val="clear" w:color="auto"/>
            <w:tcMar>
              <w:top w:w="70" w:type="dxa"/>
              <w:start w:w="110" w:type="dxa"/>
              <w:bottom w:w="70" w:type="dxa"/>
              <w:end w:w="110" w:type="dxa"/>
            </w:tcMar>
          </w:tcPr>
          <w:p>
            <w:pPr>
              <w:pStyle w:val="TableText"/>
            </w:pPr>
            <w:r>
              <w:rPr/>
              <w:t>Rapid-response labour enforcement</w:t>
            </w:r>
          </w:p>
        </w:tc>
        <w:tc>
          <w:tcPr>
            <w:tcW w:type="dxa" w:w="6120"/>
            <w:shd w:fill="F5F7F8" w:val="clear" w:color="auto"/>
            <w:tcMar>
              <w:top w:w="70" w:type="dxa"/>
              <w:start w:w="110" w:type="dxa"/>
              <w:bottom w:w="70" w:type="dxa"/>
              <w:end w:w="110" w:type="dxa"/>
            </w:tcMar>
          </w:tcPr>
          <w:p>
            <w:pPr>
              <w:pStyle w:val="TableText"/>
            </w:pPr>
            <w:r>
              <w:rPr/>
              <w:t>Rapid Response Labor</w:t>
            </w:r>
          </w:p>
        </w:tc>
      </w:tr>
      <w:tr>
        <w:tc>
          <w:tcPr>
            <w:tcW w:type="dxa" w:w="3528"/>
            <w:tcMar>
              <w:top w:w="70" w:type="dxa"/>
              <w:start w:w="110" w:type="dxa"/>
              <w:bottom w:w="70" w:type="dxa"/>
              <w:end w:w="110" w:type="dxa"/>
            </w:tcMar>
          </w:tcPr>
          <w:p>
            <w:pPr>
              <w:pStyle w:val="TableText"/>
            </w:pPr>
            <w:r>
              <w:rPr/>
              <w:t>Proportional verification</w:t>
            </w:r>
          </w:p>
        </w:tc>
        <w:tc>
          <w:tcPr>
            <w:tcW w:type="dxa" w:w="6120"/>
            <w:tcMar>
              <w:top w:w="70" w:type="dxa"/>
              <w:start w:w="110" w:type="dxa"/>
              <w:bottom w:w="70" w:type="dxa"/>
              <w:end w:w="110" w:type="dxa"/>
            </w:tcMar>
          </w:tcPr>
          <w:p>
            <w:pPr>
              <w:pStyle w:val="TableText"/>
            </w:pPr>
            <w:r>
              <w:rPr/>
              <w:t>Cothrom</w:t>
            </w:r>
          </w:p>
        </w:tc>
      </w:tr>
    </w:tbl>
    <w:p>
      <w:pPr>
        <w:pStyle w:val="Heading2"/>
      </w:pPr>
      <w:bookmarkStart w:id="900004" w:name="_Toc300000003"/>
      <w:r>
        <w:t>MEXICO: NEGOTIATOR VISIBILITY INDEX</w:t>
      </w:r>
      <w:bookmarkEnd w:id="900004"/>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tblHeader w:val="true"/>
        </w:trPr>
        <w:tc>
          <w:tcPr>
            <w:tcW w:type="dxa" w:w="3528"/>
            <w:tcBorders>
              <w:bottom w:val="single" w:sz="6" w:space="0" w:color="546E7A"/>
            </w:tcBorders>
            <w:shd w:fill="E4E9EC" w:val="clear" w:color="auto"/>
            <w:tcMar>
              <w:top w:w="70" w:type="dxa"/>
              <w:start w:w="110" w:type="dxa"/>
              <w:bottom w:w="70" w:type="dxa"/>
              <w:end w:w="110" w:type="dxa"/>
            </w:tcMar>
            <w:vAlign w:val="center"/>
          </w:tcPr>
          <w:p>
            <w:pPr>
              <w:pStyle w:val="TableText"/>
            </w:pPr>
            <w:r>
              <w:rPr>
                <w:b/>
                <w:color w:val="37474F"/>
              </w:rPr>
              <w:t>Visible national win</w:t>
            </w:r>
          </w:p>
        </w:tc>
        <w:tc>
          <w:tcPr>
            <w:tcW w:type="dxa" w:w="6120"/>
            <w:tcBorders>
              <w:bottom w:val="single" w:sz="6" w:space="0" w:color="546E7A"/>
            </w:tcBorders>
            <w:shd w:fill="E4E9EC" w:val="clear" w:color="auto"/>
            <w:tcMar>
              <w:top w:w="70" w:type="dxa"/>
              <w:start w:w="110" w:type="dxa"/>
              <w:bottom w:w="70" w:type="dxa"/>
              <w:end w:w="110" w:type="dxa"/>
            </w:tcMar>
            <w:vAlign w:val="center"/>
          </w:tcPr>
          <w:p>
            <w:pPr>
              <w:pStyle w:val="TableText"/>
            </w:pPr>
            <w:r>
              <w:rPr>
                <w:b/>
                <w:color w:val="37474F"/>
              </w:rPr>
              <w:t>Ctrl+F navigation phrase</w:t>
            </w:r>
          </w:p>
        </w:tc>
      </w:tr>
      <w:tr>
        <w:tc>
          <w:tcPr>
            <w:tcW w:type="dxa" w:w="3528"/>
            <w:tcMar>
              <w:top w:w="70" w:type="dxa"/>
              <w:start w:w="110" w:type="dxa"/>
              <w:bottom w:w="70" w:type="dxa"/>
              <w:end w:w="110" w:type="dxa"/>
            </w:tcMar>
          </w:tcPr>
          <w:p>
            <w:pPr>
              <w:pStyle w:val="TableText"/>
            </w:pPr>
            <w:r>
              <w:rPr/>
              <w:t>Automotive manufacturing</w:t>
            </w:r>
          </w:p>
        </w:tc>
        <w:tc>
          <w:tcPr>
            <w:tcW w:type="dxa" w:w="6120"/>
            <w:tcMar>
              <w:top w:w="70" w:type="dxa"/>
              <w:start w:w="110" w:type="dxa"/>
              <w:bottom w:w="70" w:type="dxa"/>
              <w:end w:w="110" w:type="dxa"/>
            </w:tcMar>
          </w:tcPr>
          <w:p>
            <w:pPr>
              <w:pStyle w:val="TableText"/>
            </w:pPr>
            <w:r>
              <w:rPr/>
              <w:t>Mexico’s existing manufacturing capacity</w:t>
            </w:r>
          </w:p>
        </w:tc>
      </w:tr>
      <w:tr>
        <w:tc>
          <w:tcPr>
            <w:tcW w:type="dxa" w:w="3528"/>
            <w:shd w:fill="F5F7F8" w:val="clear" w:color="auto"/>
            <w:tcMar>
              <w:top w:w="70" w:type="dxa"/>
              <w:start w:w="110" w:type="dxa"/>
              <w:bottom w:w="70" w:type="dxa"/>
              <w:end w:w="110" w:type="dxa"/>
            </w:tcMar>
          </w:tcPr>
          <w:p>
            <w:pPr>
              <w:pStyle w:val="TableText"/>
            </w:pPr>
            <w:r>
              <w:rPr/>
              <w:t>Labour-rights enforcement</w:t>
            </w:r>
          </w:p>
        </w:tc>
        <w:tc>
          <w:tcPr>
            <w:tcW w:type="dxa" w:w="6120"/>
            <w:shd w:fill="F5F7F8" w:val="clear" w:color="auto"/>
            <w:tcMar>
              <w:top w:w="70" w:type="dxa"/>
              <w:start w:w="110" w:type="dxa"/>
              <w:bottom w:w="70" w:type="dxa"/>
              <w:end w:w="110" w:type="dxa"/>
            </w:tcMar>
          </w:tcPr>
          <w:p>
            <w:pPr>
              <w:pStyle w:val="TableText"/>
            </w:pPr>
            <w:r>
              <w:rPr/>
              <w:t>Rapid Response Labor</w:t>
            </w:r>
          </w:p>
        </w:tc>
      </w:tr>
      <w:tr>
        <w:tc>
          <w:tcPr>
            <w:tcW w:type="dxa" w:w="3528"/>
            <w:tcMar>
              <w:top w:w="70" w:type="dxa"/>
              <w:start w:w="110" w:type="dxa"/>
              <w:bottom w:w="70" w:type="dxa"/>
              <w:end w:w="110" w:type="dxa"/>
            </w:tcMar>
          </w:tcPr>
          <w:p>
            <w:pPr>
              <w:pStyle w:val="TableText"/>
            </w:pPr>
            <w:r>
              <w:rPr/>
              <w:t>Development-finance policy space</w:t>
            </w:r>
          </w:p>
        </w:tc>
        <w:tc>
          <w:tcPr>
            <w:tcW w:type="dxa" w:w="6120"/>
            <w:tcMar>
              <w:top w:w="70" w:type="dxa"/>
              <w:start w:w="110" w:type="dxa"/>
              <w:bottom w:w="70" w:type="dxa"/>
              <w:end w:w="110" w:type="dxa"/>
            </w:tcMar>
          </w:tcPr>
          <w:p>
            <w:pPr>
              <w:pStyle w:val="TableText"/>
            </w:pPr>
            <w:r>
              <w:rPr/>
              <w:t>development bank</w:t>
            </w:r>
          </w:p>
        </w:tc>
      </w:tr>
      <w:tr>
        <w:tc>
          <w:tcPr>
            <w:tcW w:type="dxa" w:w="3528"/>
            <w:shd w:fill="F5F7F8" w:val="clear" w:color="auto"/>
            <w:tcMar>
              <w:top w:w="70" w:type="dxa"/>
              <w:start w:w="110" w:type="dxa"/>
              <w:bottom w:w="70" w:type="dxa"/>
              <w:end w:w="110" w:type="dxa"/>
            </w:tcMar>
          </w:tcPr>
          <w:p>
            <w:pPr>
              <w:pStyle w:val="TableText"/>
            </w:pPr>
            <w:r>
              <w:rPr/>
              <w:t>Textile and apparel integration</w:t>
            </w:r>
          </w:p>
        </w:tc>
        <w:tc>
          <w:tcPr>
            <w:tcW w:type="dxa" w:w="6120"/>
            <w:shd w:fill="F5F7F8" w:val="clear" w:color="auto"/>
            <w:tcMar>
              <w:top w:w="70" w:type="dxa"/>
              <w:start w:w="110" w:type="dxa"/>
              <w:bottom w:w="70" w:type="dxa"/>
              <w:end w:w="110" w:type="dxa"/>
            </w:tcMar>
          </w:tcPr>
          <w:p>
            <w:pPr>
              <w:pStyle w:val="TableText"/>
            </w:pPr>
            <w:r>
              <w:rPr/>
              <w:t>textile and apparel</w:t>
            </w:r>
          </w:p>
        </w:tc>
      </w:tr>
      <w:tr>
        <w:tc>
          <w:tcPr>
            <w:tcW w:type="dxa" w:w="3528"/>
            <w:tcMar>
              <w:top w:w="70" w:type="dxa"/>
              <w:start w:w="110" w:type="dxa"/>
              <w:bottom w:w="70" w:type="dxa"/>
              <w:end w:w="110" w:type="dxa"/>
            </w:tcMar>
          </w:tcPr>
          <w:p>
            <w:pPr>
              <w:pStyle w:val="TableText"/>
            </w:pPr>
            <w:r>
              <w:rPr/>
              <w:t>Agricultural market access</w:t>
            </w:r>
          </w:p>
        </w:tc>
        <w:tc>
          <w:tcPr>
            <w:tcW w:type="dxa" w:w="6120"/>
            <w:tcMar>
              <w:top w:w="70" w:type="dxa"/>
              <w:start w:w="110" w:type="dxa"/>
              <w:bottom w:w="70" w:type="dxa"/>
              <w:end w:w="110" w:type="dxa"/>
            </w:tcMar>
          </w:tcPr>
          <w:p>
            <w:pPr>
              <w:pStyle w:val="TableText"/>
            </w:pPr>
            <w:r>
              <w:rPr/>
              <w:t>agricultural goods</w:t>
            </w:r>
          </w:p>
        </w:tc>
      </w:tr>
      <w:tr>
        <w:tc>
          <w:tcPr>
            <w:tcW w:type="dxa" w:w="3528"/>
            <w:shd w:fill="F5F7F8" w:val="clear" w:color="auto"/>
            <w:tcMar>
              <w:top w:w="70" w:type="dxa"/>
              <w:start w:w="110" w:type="dxa"/>
              <w:bottom w:w="70" w:type="dxa"/>
              <w:end w:w="110" w:type="dxa"/>
            </w:tcMar>
          </w:tcPr>
          <w:p>
            <w:pPr>
              <w:pStyle w:val="TableText"/>
            </w:pPr>
            <w:r>
              <w:rPr/>
              <w:t>Indigenous participation</w:t>
            </w:r>
          </w:p>
        </w:tc>
        <w:tc>
          <w:tcPr>
            <w:tcW w:type="dxa" w:w="6120"/>
            <w:shd w:fill="F5F7F8" w:val="clear" w:color="auto"/>
            <w:tcMar>
              <w:top w:w="70" w:type="dxa"/>
              <w:start w:w="110" w:type="dxa"/>
              <w:bottom w:w="70" w:type="dxa"/>
              <w:end w:w="110" w:type="dxa"/>
            </w:tcMar>
          </w:tcPr>
          <w:p>
            <w:pPr>
              <w:pStyle w:val="TableText"/>
            </w:pPr>
            <w:r>
              <w:rPr/>
              <w:t>Indigenous peoples</w:t>
            </w:r>
          </w:p>
        </w:tc>
      </w:tr>
      <w:tr>
        <w:tc>
          <w:tcPr>
            <w:tcW w:type="dxa" w:w="3528"/>
            <w:tcMar>
              <w:top w:w="70" w:type="dxa"/>
              <w:start w:w="110" w:type="dxa"/>
              <w:bottom w:w="70" w:type="dxa"/>
              <w:end w:w="110" w:type="dxa"/>
            </w:tcMar>
          </w:tcPr>
          <w:p>
            <w:pPr>
              <w:pStyle w:val="TableText"/>
            </w:pPr>
            <w:r>
              <w:rPr/>
              <w:t>SME participation</w:t>
            </w:r>
          </w:p>
        </w:tc>
        <w:tc>
          <w:tcPr>
            <w:tcW w:type="dxa" w:w="6120"/>
            <w:tcMar>
              <w:top w:w="70" w:type="dxa"/>
              <w:start w:w="110" w:type="dxa"/>
              <w:bottom w:w="70" w:type="dxa"/>
              <w:end w:w="110" w:type="dxa"/>
            </w:tcMar>
          </w:tcPr>
          <w:p>
            <w:pPr>
              <w:pStyle w:val="TableText"/>
            </w:pPr>
            <w:r>
              <w:rPr/>
              <w:t>small and medium-sized enterprises</w:t>
            </w:r>
          </w:p>
        </w:tc>
      </w:tr>
      <w:tr>
        <w:tc>
          <w:tcPr>
            <w:tcW w:type="dxa" w:w="3528"/>
            <w:shd w:fill="F5F7F8" w:val="clear" w:color="auto"/>
            <w:tcMar>
              <w:top w:w="70" w:type="dxa"/>
              <w:start w:w="110" w:type="dxa"/>
              <w:bottom w:w="70" w:type="dxa"/>
              <w:end w:w="110" w:type="dxa"/>
            </w:tcMar>
          </w:tcPr>
          <w:p>
            <w:pPr>
              <w:pStyle w:val="TableText"/>
            </w:pPr>
            <w:r>
              <w:rPr/>
              <w:t>Energy sovereignty</w:t>
            </w:r>
          </w:p>
        </w:tc>
        <w:tc>
          <w:tcPr>
            <w:tcW w:type="dxa" w:w="6120"/>
            <w:shd w:fill="F5F7F8" w:val="clear" w:color="auto"/>
            <w:tcMar>
              <w:top w:w="70" w:type="dxa"/>
              <w:start w:w="110" w:type="dxa"/>
              <w:bottom w:w="70" w:type="dxa"/>
              <w:end w:w="110" w:type="dxa"/>
            </w:tcMar>
          </w:tcPr>
          <w:p>
            <w:pPr>
              <w:pStyle w:val="TableText"/>
            </w:pPr>
            <w:r>
              <w:rPr/>
              <w:t>energy sovereignty</w:t>
            </w:r>
          </w:p>
        </w:tc>
      </w:tr>
      <w:tr>
        <w:tc>
          <w:tcPr>
            <w:tcW w:type="dxa" w:w="3528"/>
            <w:tcMar>
              <w:top w:w="70" w:type="dxa"/>
              <w:start w:w="110" w:type="dxa"/>
              <w:bottom w:w="70" w:type="dxa"/>
              <w:end w:w="110" w:type="dxa"/>
            </w:tcMar>
          </w:tcPr>
          <w:p>
            <w:pPr>
              <w:pStyle w:val="TableText"/>
            </w:pPr>
            <w:r>
              <w:rPr/>
              <w:t>Infrastructure investment</w:t>
            </w:r>
          </w:p>
        </w:tc>
        <w:tc>
          <w:tcPr>
            <w:tcW w:type="dxa" w:w="6120"/>
            <w:tcMar>
              <w:top w:w="70" w:type="dxa"/>
              <w:start w:w="110" w:type="dxa"/>
              <w:bottom w:w="70" w:type="dxa"/>
              <w:end w:w="110" w:type="dxa"/>
            </w:tcMar>
          </w:tcPr>
          <w:p>
            <w:pPr>
              <w:pStyle w:val="TableText"/>
            </w:pPr>
            <w:r>
              <w:rPr/>
              <w:t>infrastructure</w:t>
            </w:r>
          </w:p>
        </w:tc>
      </w:tr>
      <w:tr>
        <w:tc>
          <w:tcPr>
            <w:tcW w:type="dxa" w:w="3528"/>
            <w:shd w:fill="F5F7F8" w:val="clear" w:color="auto"/>
            <w:tcMar>
              <w:top w:w="70" w:type="dxa"/>
              <w:start w:w="110" w:type="dxa"/>
              <w:bottom w:w="70" w:type="dxa"/>
              <w:end w:w="110" w:type="dxa"/>
            </w:tcMar>
          </w:tcPr>
          <w:p>
            <w:pPr>
              <w:pStyle w:val="TableText"/>
            </w:pPr>
            <w:r>
              <w:rPr/>
              <w:t>Nearshoring and supply chains</w:t>
            </w:r>
          </w:p>
        </w:tc>
        <w:tc>
          <w:tcPr>
            <w:tcW w:type="dxa" w:w="6120"/>
            <w:shd w:fill="F5F7F8" w:val="clear" w:color="auto"/>
            <w:tcMar>
              <w:top w:w="70" w:type="dxa"/>
              <w:start w:w="110" w:type="dxa"/>
              <w:bottom w:w="70" w:type="dxa"/>
              <w:end w:w="110" w:type="dxa"/>
            </w:tcMar>
          </w:tcPr>
          <w:p>
            <w:pPr>
              <w:pStyle w:val="TableText"/>
            </w:pPr>
            <w:r>
              <w:rPr/>
              <w:t>nearshoring</w:t>
            </w:r>
          </w:p>
        </w:tc>
      </w:tr>
      <w:tr>
        <w:tc>
          <w:tcPr>
            <w:tcW w:type="dxa" w:w="3528"/>
            <w:tcMar>
              <w:top w:w="70" w:type="dxa"/>
              <w:start w:w="110" w:type="dxa"/>
              <w:bottom w:w="70" w:type="dxa"/>
              <w:end w:w="110" w:type="dxa"/>
            </w:tcMar>
          </w:tcPr>
          <w:p>
            <w:pPr>
              <w:pStyle w:val="TableText"/>
            </w:pPr>
            <w:r>
              <w:rPr/>
              <w:t>Capacity building</w:t>
            </w:r>
          </w:p>
        </w:tc>
        <w:tc>
          <w:tcPr>
            <w:tcW w:type="dxa" w:w="6120"/>
            <w:tcMar>
              <w:top w:w="70" w:type="dxa"/>
              <w:start w:w="110" w:type="dxa"/>
              <w:bottom w:w="70" w:type="dxa"/>
              <w:end w:w="110" w:type="dxa"/>
            </w:tcMar>
          </w:tcPr>
          <w:p>
            <w:pPr>
              <w:pStyle w:val="TableText"/>
            </w:pPr>
            <w:r>
              <w:rPr/>
              <w:t>capacity-building</w:t>
            </w:r>
          </w:p>
        </w:tc>
      </w:tr>
      <w:tr>
        <w:tc>
          <w:tcPr>
            <w:tcW w:type="dxa" w:w="3528"/>
            <w:shd w:fill="F5F7F8" w:val="clear" w:color="auto"/>
            <w:tcMar>
              <w:top w:w="70" w:type="dxa"/>
              <w:start w:w="110" w:type="dxa"/>
              <w:bottom w:w="70" w:type="dxa"/>
              <w:end w:w="110" w:type="dxa"/>
            </w:tcMar>
          </w:tcPr>
          <w:p>
            <w:pPr>
              <w:pStyle w:val="TableText"/>
            </w:pPr>
            <w:r>
              <w:rPr/>
              <w:t>Worker remediation</w:t>
            </w:r>
          </w:p>
        </w:tc>
        <w:tc>
          <w:tcPr>
            <w:tcW w:type="dxa" w:w="6120"/>
            <w:shd w:fill="F5F7F8" w:val="clear" w:color="auto"/>
            <w:tcMar>
              <w:top w:w="70" w:type="dxa"/>
              <w:start w:w="110" w:type="dxa"/>
              <w:bottom w:w="70" w:type="dxa"/>
              <w:end w:w="110" w:type="dxa"/>
            </w:tcMar>
          </w:tcPr>
          <w:p>
            <w:pPr>
              <w:pStyle w:val="TableText"/>
            </w:pPr>
            <w:r>
              <w:rPr/>
              <w:t>Affected Workers</w:t>
            </w:r>
          </w:p>
        </w:tc>
      </w:tr>
      <w:tr>
        <w:tc>
          <w:tcPr>
            <w:tcW w:type="dxa" w:w="3528"/>
            <w:tcMar>
              <w:top w:w="70" w:type="dxa"/>
              <w:start w:w="110" w:type="dxa"/>
              <w:bottom w:w="70" w:type="dxa"/>
              <w:end w:w="110" w:type="dxa"/>
            </w:tcMar>
          </w:tcPr>
          <w:p>
            <w:pPr>
              <w:pStyle w:val="TableText"/>
            </w:pPr>
            <w:r>
              <w:rPr/>
              <w:t>Electronic payments</w:t>
            </w:r>
          </w:p>
        </w:tc>
        <w:tc>
          <w:tcPr>
            <w:tcW w:type="dxa" w:w="6120"/>
            <w:tcMar>
              <w:top w:w="70" w:type="dxa"/>
              <w:start w:w="110" w:type="dxa"/>
              <w:bottom w:w="70" w:type="dxa"/>
              <w:end w:w="110" w:type="dxa"/>
            </w:tcMar>
          </w:tcPr>
          <w:p>
            <w:pPr>
              <w:pStyle w:val="TableText"/>
            </w:pPr>
            <w:r>
              <w:rPr/>
              <w:t>electronic payments</w:t>
            </w:r>
          </w:p>
        </w:tc>
      </w:tr>
      <w:tr>
        <w:tc>
          <w:tcPr>
            <w:tcW w:type="dxa" w:w="3528"/>
            <w:shd w:fill="F5F7F8" w:val="clear" w:color="auto"/>
            <w:tcMar>
              <w:top w:w="70" w:type="dxa"/>
              <w:start w:w="110" w:type="dxa"/>
              <w:bottom w:w="70" w:type="dxa"/>
              <w:end w:w="110" w:type="dxa"/>
            </w:tcMar>
          </w:tcPr>
          <w:p>
            <w:pPr>
              <w:pStyle w:val="TableText"/>
            </w:pPr>
            <w:r>
              <w:rPr/>
              <w:t>Regional-development safeguards</w:t>
            </w:r>
          </w:p>
        </w:tc>
        <w:tc>
          <w:tcPr>
            <w:tcW w:type="dxa" w:w="6120"/>
            <w:shd w:fill="F5F7F8" w:val="clear" w:color="auto"/>
            <w:tcMar>
              <w:top w:w="70" w:type="dxa"/>
              <w:start w:w="110" w:type="dxa"/>
              <w:bottom w:w="70" w:type="dxa"/>
              <w:end w:w="110" w:type="dxa"/>
            </w:tcMar>
          </w:tcPr>
          <w:p>
            <w:pPr>
              <w:pStyle w:val="TableText"/>
            </w:pPr>
            <w:r>
              <w:rPr/>
              <w:t>regional development</w:t>
            </w:r>
          </w:p>
        </w:tc>
      </w:tr>
      <w:tr>
        <w:tc>
          <w:tcPr>
            <w:tcW w:type="dxa" w:w="3528"/>
            <w:tcMar>
              <w:top w:w="70" w:type="dxa"/>
              <w:start w:w="110" w:type="dxa"/>
              <w:bottom w:w="70" w:type="dxa"/>
              <w:end w:w="110" w:type="dxa"/>
            </w:tcMar>
          </w:tcPr>
          <w:p>
            <w:pPr>
              <w:pStyle w:val="TableText"/>
            </w:pPr>
            <w:r>
              <w:rPr/>
              <w:t>Balanced country visibility</w:t>
            </w:r>
          </w:p>
        </w:tc>
        <w:tc>
          <w:tcPr>
            <w:tcW w:type="dxa" w:w="6120"/>
            <w:tcMar>
              <w:top w:w="70" w:type="dxa"/>
              <w:start w:w="110" w:type="dxa"/>
              <w:bottom w:w="70" w:type="dxa"/>
              <w:end w:w="110" w:type="dxa"/>
            </w:tcMar>
          </w:tcPr>
          <w:p>
            <w:pPr>
              <w:pStyle w:val="TableText"/>
            </w:pPr>
            <w:r>
              <w:rPr/>
              <w:t>Mexico-specific</w:t>
            </w:r>
          </w:p>
        </w:tc>
      </w:tr>
    </w:tbl>
    <w:p>
      <w:pPr>
        <w:pStyle w:val="Heading1"/>
      </w:pPr>
      <w:bookmarkStart w:id="900005" w:name="_Toc300000004"/>
      <w:r>
        <w:t>PROPOSED PROTOCOL OF MODERNIZATION TO THE AGREEMENT BETWEEN CANADA, THE UNITED STATES OF AMERICA, AND THE UNITED MEXICAN STATES</w:t>
      </w:r>
      <w:bookmarkEnd w:id="900005"/>
    </w:p>
    <w:p>
      <w:pPr>
        <w:pStyle w:val="Normal"/>
      </w:pPr>
      <w:r>
        <w:t>The Governments of Canada, the United States of America, and the United Mexican States (the “Parties”),</w:t>
      </w:r>
    </w:p>
    <w:p>
      <w:pPr>
        <w:pStyle w:val="Normal"/>
      </w:pPr>
      <w:r>
        <w:t>Having regard to the Agreement between Canada, the United States of America, and the United Mexican States, done at Buenos Aires on November 30, 2018, as amended by the Protocol of Amendment done at Mexico City on December 10, 2019 (the “Agreement” or “CUSMA”),</w:t>
      </w:r>
    </w:p>
    <w:p>
      <w:pPr>
        <w:pStyle w:val="Normal"/>
      </w:pPr>
      <w:r>
        <w:t>Contemplating the joint review under Article 34.7 of the Agreement and proposing to modernize, strengthen, and extend the Agreement as a single, trilateral, integrated framework for North American commerce,</w:t>
      </w:r>
    </w:p>
    <w:p>
      <w:pPr>
        <w:pStyle w:val="Normal"/>
      </w:pPr>
      <w:r>
        <w:t>Recalling their shared conviction that integrated North American production, energy, and supply chains constitute a strategic asset of all three Parties; that excessive concentration in any single supply source can create vulnerability; and that resilient North American capacity may be strengthened by diversified, reliable, and responsibly governed trade and technology relationships with non-Parties,</w:t>
      </w:r>
    </w:p>
    <w:p>
      <w:pPr>
        <w:pStyle w:val="Normal"/>
      </w:pPr>
      <w:r>
        <w:t>Intending that the tariff preferences and market access guarantees of the Agreement operate according to the substance and economic effect of governmental measures, and not be defeated by the domestic statutory label, form, or designation under which a measure is adopted or maintained,</w:t>
      </w:r>
    </w:p>
    <w:p>
      <w:pPr>
        <w:pStyle w:val="Normal"/>
      </w:pPr>
      <w:r>
        <w:t>Seeking to ensure that extraordinary and emergency trade measures between the Parties are targeted, quantified, time-limited, reversible, and automatically self-correcting upon verified compliance, and that broad punitive tariffs between the Parties constitute remedies of last resort,</w:t>
      </w:r>
    </w:p>
    <w:p>
      <w:pPr>
        <w:pStyle w:val="Normal"/>
      </w:pPr>
      <w:r>
        <w:t>Rejecting binary snapback mechanisms and affirming that enforcement of the Agreement shall proceed through verification, classification, proportional correction, remediation, and automatic restoration,</w:t>
      </w:r>
    </w:p>
    <w:p>
      <w:pPr>
        <w:pStyle w:val="Normal"/>
      </w:pPr>
      <w:r>
        <w:t>Affirming that the rights, preferences, guarantees, and protections established by this Agreement are durable and do not fade, lapse, or expire by the mere passage of time,</w:t>
      </w:r>
    </w:p>
    <w:p>
      <w:pPr>
        <w:pStyle w:val="Normal"/>
      </w:pPr>
      <w:r>
        <w:t>Affirming that each Party retains its essential security and genuine emergency authority, and that the exercise of that authority with respect to the trade of another Party is subject to the procedural disciplines of this Agreement,</w:t>
      </w:r>
    </w:p>
    <w:p>
      <w:pPr>
        <w:pStyle w:val="Normal"/>
      </w:pPr>
      <w:r>
        <w:t>Seeking fairness and balance among the Parties such that each Party secures meaningful benefits and accepts meaningful disciplines, and that no provision of this Agreement operates as a concealed unilateral concession,</w:t>
      </w:r>
    </w:p>
    <w:p>
      <w:pPr>
        <w:pStyle w:val="Normal"/>
      </w:pPr>
      <w:r>
        <w:t>THE FOLLOWING TEXT IS PROPOSED FOR AGREEMENT:</w:t>
      </w:r>
    </w:p>
    <w:p>
      <w:pPr>
        <w:pStyle w:val="Normal"/>
      </w:pPr>
      <w:r>
        <w:t>1. Upon adoption and entry into force of this Protocol, the Agreement shall be modernized as set out in the consolidated text attached to this Protocol, which incorporates: (a) the CUSMA 2.0 Modernization Provisions appended to Chapters 1, 2, 4, 5, 7, 10, 19, 23, 24, 26, 30, 31, 32, and 34; (b) Chapter 35 (Treaty Integrity and the Proportional Trade Adjustment Mechanism); (c) Chapter 36 (North American Economic Security and Supply Chain Resilience); (d) Chapter 37 (Critical Minerals and Strategic Materials); (e) Chapter 38 (Emergency Trade Continuity); (f) Chapter 39 (Advanced Technology and Artificial Intelligence); (g) Chapter 40 (Energy Security and Grid Resilience); and (h) Chapters 41 through 68 and their related annexes and implementation instruments, which establish regulatory autonomy, sectoral stability, trade facilitation, institutional diversity, balanced verification, treaty resilience, review stability, sectoral implementation safeguards, SME and supply-chain modernization, symmetrical labor and environmental cooperation, trilateral implementation integrity, adaptive implementation, private-sector continuity, strategic logistics, pharmaceutical resilience, commercial-wins measurement, reciprocal procurement, North American Shield border security, Northern Vigilance Arctic security, and the Great Whale Compact; in each case as integrated and hardened in this consolidated text.</w:t>
      </w:r>
    </w:p>
    <w:p>
      <w:pPr>
        <w:pStyle w:val="Normal"/>
      </w:pPr>
      <w:r>
        <w:t>2. Upon entry into force of this Protocol, the side letters between the Parties concerning Section 232 of the Trade Expansion Act of 1962 of the United States, and any equivalent bilateral understandings governing extraordinary tariff measures between the Parties, are superseded and terminated, and their subject matter is governed exclusively by Chapters 32 and 35 of the Agreement as modernized.</w:t>
      </w:r>
    </w:p>
    <w:p>
      <w:pPr>
        <w:pStyle w:val="Normal"/>
      </w:pPr>
      <w:r>
        <w:t>3. Each extraordinary tariff, surcharge, import fee, or equivalent border measure applied by a Party on the originating goods of another Party and in force on the date of signature of this Protocol shall terminate in accordance with the Legacy Measure Wind-Down Schedule set out in Annex 35-D, and no such measure shall be reimposed except in conformity with the Agreement as modernized.</w:t>
      </w:r>
    </w:p>
    <w:p>
      <w:pPr>
        <w:pStyle w:val="Normal"/>
      </w:pPr>
      <w:r>
        <w:t>4. Upon entry into force of this Protocol, all retaliatory or countermeasure tariffs applied between the Parties in connection with matters arising under the Agreement shall terminate, without prejudice to the rights of the Parties under the Agreement as modernized.</w:t>
      </w:r>
    </w:p>
    <w:p>
      <w:pPr>
        <w:pStyle w:val="Normal"/>
      </w:pPr>
      <w:r>
        <w:t>5. Upon adoption and entry into force of this Protocol, the Parties shall confirm that the Agreement continues in force for an indefinite duration in accordance with Article 34.7 (Indefinite Duration and Modernization Review) as replaced by this Protocol. Periodic reviews shall concern modernization and implementation and shall not constitute renewal events or conditions for continuation in force.</w:t>
      </w:r>
    </w:p>
    <w:p>
      <w:pPr>
        <w:pStyle w:val="Normal"/>
      </w:pPr>
      <w:r>
        <w:t>6. Each Party shall notify the other Parties, in writing, upon completion of its applicable internal procedures for the entry into force of this Protocol. This Protocol enters into force on the first day of the third month following the date of the last notification.</w:t>
      </w:r>
    </w:p>
    <w:p>
      <w:pPr>
        <w:pStyle w:val="Normal"/>
      </w:pPr>
      <w:r>
        <w:t>7. Upon signature and entry into force, the English, French, and Spanish texts of this Protocol shall be equally authentic.</w:t>
      </w:r>
    </w:p>
    <w:p>
      <w:pPr>
        <w:pStyle w:val="Normal"/>
      </w:pPr>
      <w:r>
        <w:t>EXECUTION TEXT: FOR SIGNATURE UPON ADOPTION</w:t>
      </w:r>
    </w:p>
    <w:p>
      <w:pPr>
        <w:pStyle w:val="Normal"/>
      </w:pPr>
      <w:r>
        <w:t>Upon adoption, the final Protocol may be executed in triplicate by duly authorized representatives of the Parties.</w:t>
      </w:r>
    </w:p>
    <w:p>
      <w:pPr>
        <w:pStyle w:val="Heading1"/>
      </w:pPr>
      <w:bookmarkStart w:id="900006" w:name="_Toc300000005"/>
      <w:r>
        <w:t>PREAMBLE TO THE AGREEMENT AS MODERNIZED</w:t>
      </w:r>
      <w:bookmarkEnd w:id="900006"/>
    </w:p>
    <w:p>
      <w:pPr>
        <w:pStyle w:val="Normal"/>
      </w:pPr>
      <w:r>
        <w:t>The Governments of Canada, the United States of America, and the United Mexican States, resolving to:</w:t>
      </w:r>
    </w:p>
    <w:p>
      <w:pPr>
        <w:pStyle w:val="Normal"/>
      </w:pPr>
      <w:r>
        <w:t>STRENGTHEN ANEW the special bonds of friendship and cooperation among their peoples and promote innovative, resilient, and inclusive economic growth across North America;</w:t>
      </w:r>
    </w:p>
    <w:p>
      <w:pPr>
        <w:pStyle w:val="Normal"/>
      </w:pPr>
      <w:r>
        <w:t>PRESERVE AND EXPAND their commitment to facilitate regional trade and investment, recognizing that an integrated continental market comprising more than 500 million persons is among the largest and most productive economic areas in the world;</w:t>
      </w:r>
    </w:p>
    <w:p>
      <w:pPr>
        <w:pStyle w:val="Normal"/>
      </w:pPr>
      <w:r>
        <w:t>ENSURE that preferential tariff treatment under this Agreement constitutes a durable legal guarantee, effective against extraordinary, emergency, security-designated, or otherwise exceptional border measures, however denominated under domestic law, except as expressly provided in this Agreement;</w:t>
      </w:r>
    </w:p>
    <w:p>
      <w:pPr>
        <w:pStyle w:val="Normal"/>
      </w:pPr>
      <w:r>
        <w:t>REPLACE punitive tariff diplomacy between the Parties with corrective trade engineering, so that trade remedies restore the conditions of fair competition rather than inflict economic injury unrelated to a verified distortion;</w:t>
      </w:r>
    </w:p>
    <w:p>
      <w:pPr>
        <w:pStyle w:val="Normal"/>
      </w:pPr>
      <w:r>
        <w:t>ESTABLISH verification as a reciprocal architecture in which all Parties comply, all Parties may challenge, all Parties may remediate, and all Parties recover;</w:t>
      </w:r>
    </w:p>
    <w:p>
      <w:pPr>
        <w:pStyle w:val="Normal"/>
      </w:pPr>
      <w:r>
        <w:t>MODERNIZE the Agreement for the economy of the twenty-first century, including digital trade, artificial intelligence, electronic payments, cybersecurity, critical minerals, semiconductors, electric vehicles and batteries, energy security, circular production, and resilient supply chains;</w:t>
      </w:r>
    </w:p>
    <w:p>
      <w:pPr>
        <w:pStyle w:val="Normal"/>
      </w:pPr>
      <w:r>
        <w:t>RECOGNIZE that trade between the Parties in critical minerals, energy, food, medicines, and strategic manufactured goods strengthens the economic and national security of each Party;</w:t>
      </w:r>
    </w:p>
    <w:p>
      <w:pPr>
        <w:pStyle w:val="Normal"/>
      </w:pPr>
      <w:r>
        <w:t>AFFIRMING that North American resilience is strengthened by openness to beneficial trade, scientific exchange, investment, ideas, and technologies from throughout the world, subject to proportionate safeguards addressing demonstrated risks and without presuming that foreign origin is itself a security or reliability defect;</w:t>
      </w:r>
    </w:p>
    <w:p>
      <w:pPr>
        <w:pStyle w:val="Normal"/>
      </w:pPr>
      <w:r>
        <w:t>PROTECT the rights of workers, enforce the prohibition of goods made with forced or compulsory labour, preserve high levels of environmental protection, and support the economic participation of small and medium-sized enterprises and Indigenous peoples;</w:t>
      </w:r>
    </w:p>
    <w:p>
      <w:pPr>
        <w:pStyle w:val="Normal"/>
      </w:pPr>
      <w:r>
        <w:t>PRESERVE each Party’s sovereign authority over its natural resources, national security review, investment screening, industrial policy, export controls, taxation, public health, environmental regulation, cultural policy, and domestic regulatory administration, except as expressly constrained by this Agreement;</w:t>
      </w:r>
    </w:p>
    <w:p>
      <w:pPr>
        <w:pStyle w:val="Normal"/>
      </w:pPr>
      <w:r>
        <w:t>HAVE AGREED as follows:</w:t>
      </w:r>
    </w:p>
    <w:p>
      <w:pPr>
        <w:pStyle w:val="Heading1"/>
      </w:pPr>
      <w:bookmarkStart w:id="900007" w:name="_Toc300000006"/>
      <w:r>
        <w:t>DRAFTING AND CONSOLIDATION CONVENTIONS APPLIED TO THIS TEXT</w:t>
      </w:r>
      <w:bookmarkEnd w:id="900007"/>
    </w:p>
    <w:p>
      <w:pPr>
        <w:pStyle w:val="Normal"/>
      </w:pPr>
      <w:r>
        <w:t>1. Textual continuity. Provisions of the 2018 Agreement, as amended by the 2019 Protocol of Amendment, that remain substantively unchanged are reproduced in this consolidated text with their established wording, defined terms, modal verbs, and cross-references preserved, in accordance with the CUSMA Treaty Precision Matrix. No authentic legacy CUSMA provision shall be rewritten solely to modernize style, increase sentence count, or conform to a drafting convention applicable to new or modernized text. Where a legacy provision is concise but legally precise, its brevity shall not by itself constitute a substantive-strength defect; any modernization shall occur only through an express amendment, replacement provision, or cross-reference adopted in accordance with this Agreement.</w:t>
      </w:r>
    </w:p>
    <w:p>
      <w:pPr>
        <w:pStyle w:val="Normal"/>
      </w:pPr>
      <w:r>
        <w:t>1A. Preservation of the 2019 Amending Protocol and integral instruments. The Protocol of Amendment done at Mexico City on December 10, 2019, and the original integral instruments preserved in Annex 34-G remain legally operative except to the extent this modernized Agreement expressly supersedes or replaces them. If any legacy provision reproduced in this consolidated draft reflects the pre-amendment 2018 wording rather than the 2019-amended wording, Annex 34-G, Part A controls and the pre-amendment wording has no operative effect. This rule includes deletions, renumbering instructions, footnote amendments, and Annexes 31-A and 31-B.</w:t>
      </w:r>
    </w:p>
    <w:p>
      <w:pPr>
        <w:pStyle w:val="Normal"/>
      </w:pPr>
      <w:r>
        <w:t xml:space="preserve">2. </w:t>
      </w:r>
      <w:r>
        <w:rPr>
          <w:b/>
        </w:rPr>
        <w:t>Identification of amendments.</w:t>
      </w:r>
      <w:r>
        <w:t xml:space="preserve"> Each amended Chapter concludes with a section entitled “CUSMA 2.0 Modernization Provisions” containing the new and replacement Articles for that Chapter. Each replacement Article expressly identifies the provision it replaces; each new Article is numbered within its Chapter’s sequence with the suffix “A”, “B”, and so on, pending final renumbering upon adoption. No substantive change is presented as a stylistic clarification. The CUSMA 2.1 Hardening Package is integrated directly into those provisions and is recorded in the Amendment Ledger.</w:t>
      </w:r>
    </w:p>
    <w:p>
      <w:pPr>
        <w:pStyle w:val="Normal"/>
      </w:pPr>
      <w:r>
        <w:t xml:space="preserve">3. </w:t>
      </w:r>
      <w:r>
        <w:rPr>
          <w:b/>
        </w:rPr>
        <w:t>New Chapters.</w:t>
      </w:r>
      <w:r>
        <w:t xml:space="preserve"> New Chapters 35 through 40 are consolidated in full after Chapter 34 and before the Annexes on non-conforming measures. Upon adoption, the Parties may repaginate the Agreement so that Chapter 34 (Final Provisions) appears last, without renumbering any Article.</w:t>
      </w:r>
    </w:p>
    <w:p>
      <w:pPr>
        <w:pStyle w:val="Normal"/>
      </w:pPr>
      <w:r>
        <w:t xml:space="preserve">4. </w:t>
      </w:r>
      <w:r>
        <w:rPr>
          <w:b/>
        </w:rPr>
        <w:t>Modal verb control.</w:t>
      </w:r>
      <w:r>
        <w:t xml:space="preserve"> In all new and amended text: “shall” denotes a binding obligation; “shall not” or “no Party shall” denotes a binding prohibition; “may” denotes a right, entitlement, discretion, or authorization; “shall endeavor” denotes an aspirational or cooperative commitment deliberately chosen; present-tense verbs denote legal status, definitions, or automatic operation; and “must” denotes an objective condition of qualification. Automatic consequences are drafted in deterministic present-tense language and are genuinely automatic.</w:t>
      </w:r>
    </w:p>
    <w:p>
      <w:pPr>
        <w:pStyle w:val="Normal"/>
      </w:pPr>
      <w:r>
        <w:t xml:space="preserve">5. </w:t>
      </w:r>
      <w:r>
        <w:rPr>
          <w:b/>
        </w:rPr>
        <w:t>Durability.</w:t>
      </w:r>
      <w:r>
        <w:t xml:space="preserve"> In accordance with the No-Fade Guarantee in Article 35.29, no right, preference, guarantee, or protection of this Agreement lapses by the passage of time. Time-limited operation attaches only to restrictive extraordinary measures, and to them only as an anti-weaponization discipline.</w:t>
      </w:r>
    </w:p>
    <w:p>
      <w:pPr>
        <w:pStyle w:val="Normal"/>
      </w:pPr>
      <w:r>
        <w:t xml:space="preserve">6. </w:t>
      </w:r>
      <w:r>
        <w:rPr>
          <w:b/>
        </w:rPr>
        <w:t>Neutrality and reciprocity.</w:t>
      </w:r>
      <w:r>
        <w:t xml:space="preserve"> This text treats Canada, the United States, and the United Mexican States as sovereign equals, uses no negotiating rhetoric in operative provisions, and frames genuinely reciprocal mechanisms as shared trilateral architecture.</w:t>
      </w:r>
    </w:p>
    <w:p>
      <w:pPr>
        <w:pStyle w:val="Normal"/>
      </w:pPr>
      <w:r>
        <w:t xml:space="preserve">7. </w:t>
      </w:r>
      <w:r>
        <w:rPr>
          <w:b/>
        </w:rPr>
        <w:t>Amendment Ledger.</w:t>
      </w:r>
      <w:r>
        <w:t xml:space="preserve"> Every substantive concession and structural change is recorded in the Amendment Ledger annexed to this consolidated draft, identifying the original rule, the revised rule, the legal-function classification, the negotiating objective, and the effect on each Party.</w:t>
      </w:r>
    </w:p>
    <w:p>
      <w:pPr>
        <w:pStyle w:val="Normal"/>
      </w:pPr>
      <w:r>
        <w:t>8. Substantive strength, legal temperature, and structural exceptions. New and modernized operative prose shall state the legal rule with sufficient specificity to identify, as applicable, the actor, trigger, required or prohibited conduct, scope, governing standard or identified mechanism, timing, legal effect, and route for cure, review, or restoration; sentence count alone does not establish substantive sufficiency. A four-sentence drafting floor is a normal drafting aid for new or modernized operative prose where it improves clarity, but it does not apply mechanically to authentic legacy CUSMA text, definitions, tariff lines, mathematical formulas, tables, schedules, product lists, citation-only entries, non-operative indexes, or other legal-data structures whose precision would be reduced by prose expansion. A provision that delegates future technical detail shall identify or cross-reference the competent authority, the minimum treaty-level rule, the adoption or update process, and the legal effect or fallback applicable if the delegated detail is not completed when required. Cooperative, pilot, or optional material shall be identified at the legal temperature actually intended and shall not acquire mandatory effect merely from placement in this consolidated text.</w:t>
      </w:r>
    </w:p>
    <w:p>
      <w:pPr>
        <w:pStyle w:val="TrumpVisibilityHeadline"/>
      </w:pPr>
      <w:r>
        <w:t>LEADER-LEVEL VISIBILITY SUMMARY: RAPID NEGOTIATING INDEX</w:t>
      </w:r>
    </w:p>
    <w:p>
      <w:pPr>
        <w:pStyle w:val="Normal"/>
      </w:pPr>
      <w:r>
        <w:t>This non-operative summary brings major, politically legible outcomes forward for rapid leader and negotiator review. It does not enlarge, modify, or independently activate any obligation. Operative rights, safeguards, conditions, reciprocal consideration, and implementation rules remain governed by the provisions identified below. All headings or banners marked “VISIBLE WIN”, “VISIBLE U.S. WIN”, “VISIBLE CANADIAN WIN”, “VISIBLE MEXICAN WIN”, “VISIBLE TRILATERAL WIN”, or comparable visibility language are non-operative presentation labels only; they neither establish nor verify any right, obligation, funding commitment, project status, or performance claim, and the applicable operative text and verification requirements control.</w:t>
      </w:r>
    </w:p>
    <w:p>
      <w:pPr>
        <w:pStyle w:val="TrumpVisibilityHeadline"/>
      </w:pPr>
      <w:r>
        <w:t>★ UNITED STATES: LEADER-LEVEL WIN SUMMARY</w:t>
      </w:r>
    </w:p>
    <w:p>
      <w:pPr>
        <w:pStyle w:val="ListBullet"/>
      </w:pPr>
      <w:r>
        <w:t>U.S. manufacturing: more vehicles, components, batteries, semiconductors, power electronics, advanced materials, and other strategic manufacturing built in the United States through the voluntary U.S. Manufacturing Accelerator, with reciprocal Canadian and Mexican tracks and no compulsory Party-specific origin mandate.</w:t>
      </w:r>
    </w:p>
    <w:p>
      <w:pPr>
        <w:pStyle w:val="ListBullet"/>
      </w:pPr>
      <w:r>
        <w:t>Automotive: 75% Standard, 80% High Integration, and 85% Strategic Integration architecture; stronger North American vehicle and component production; public investment/capacity reporting; and the optional 70% U.S.-manufactured SUV muffler commitment paired with a durable automotive tariff settlement.</w:t>
      </w:r>
    </w:p>
    <w:p>
      <w:pPr>
        <w:pStyle w:val="ListBullet"/>
      </w:pPr>
      <w:r>
        <w:t>Aircraft certification: North American Aviation Certification Fast Lane with concurrent FAA-TCCA-AFAC review where practicable, maximum lawful reliance on counterpart technical findings, published response clocks, no politically motivated certification delay, and an explicit firewall preserving each regulator's sovereign safety authority.</w:t>
      </w:r>
    </w:p>
    <w:p>
      <w:pPr>
        <w:pStyle w:val="ListBullet"/>
      </w:pPr>
      <w:r>
        <w:t>Dairy: Guaranteed New U.S. Dairy Access: measurable provincial access floors, utilization and reallocation disciplines, a 0.2% Priority Cheese Access Bonus, transparent TRQ administration, and an optional pathway up to 1.50% total scheduled provincial access in return for expressly paired concessions.</w:t>
      </w:r>
    </w:p>
    <w:p>
      <w:pPr>
        <w:pStyle w:val="ListBullet"/>
      </w:pPr>
      <w:r>
        <w:t>Alcohol: American products return with normalization: tariff-linked restoration of ordinary listing eligibility, inventory replenishment, distribution, and retail access for U.S. beer, wine, and spirits, while preserving legitimate provincial, territorial, state, and Mexican subnational regulation.</w:t>
      </w:r>
    </w:p>
    <w:p>
      <w:pPr>
        <w:pStyle w:val="ListBullet"/>
      </w:pPr>
      <w:r>
        <w:t>Steel and aluminum: North American Metals Investment Compact; anti-transshipment and provenance protection; strategic and defense-grade capacity; modernization and recycling; public investment/capacity reporting; and durable normalization of originating North American metals trade.</w:t>
      </w:r>
    </w:p>
    <w:p>
      <w:pPr>
        <w:pStyle w:val="ListBullet"/>
      </w:pPr>
      <w:r>
        <w:t>Critical minerals: Strategic Materials Compact, duty-free originating trade, offtake and long-term access, stockpile and surge cooperation, Midstream Gap Register, trusted external feedstock, by-product recovery, Canada/U.S./Mexico industrial tracks, and minerals-for-forestry bargaining that exchanges resource cooperation for processing, investment, procurement, resilience, and market-access value.</w:t>
      </w:r>
    </w:p>
    <w:p>
      <w:pPr>
        <w:pStyle w:val="ListBullet"/>
      </w:pPr>
      <w:r>
        <w:t>Forestry: minerals-for-forestry normalization pathways capable of supporting durable softwood-lumber settlement.</w:t>
      </w:r>
    </w:p>
    <w:p>
      <w:pPr>
        <w:pStyle w:val="ListBullet"/>
      </w:pPr>
      <w:r>
        <w:t>Wildfire: prevention, detection, fuel management, firefighting interoperability, technology, recovery, and transboundary smoke mitigation.</w:t>
      </w:r>
    </w:p>
    <w:p>
      <w:pPr>
        <w:pStyle w:val="ListBullet"/>
      </w:pPr>
      <w:r>
        <w:t>Procurement: reciprocal strategic-supplier access while preserving lawful domestic, SME, Indigenous, security, and resilience programs.</w:t>
      </w:r>
    </w:p>
    <w:p>
      <w:pPr>
        <w:pStyle w:val="ListBullet"/>
      </w:pPr>
      <w:r>
        <w:t>Trade rebalancing: verifiable opportunities for additional U.S. exports, investment, reshoring, joint ventures, procurement, agriculture, and productive capacity without compulsory purchase quotas.</w:t>
      </w:r>
    </w:p>
    <w:p>
      <w:pPr>
        <w:pStyle w:val="ListBullet"/>
      </w:pPr>
      <w:r>
        <w:t>Keystone Next: an optional tangible energy-security successor with an approximately 830,000-barrel-per-day planning objective where commercially supported, real infrastructure, workforce, technology, safety, and public launch.</w:t>
      </w:r>
    </w:p>
    <w:p>
      <w:pPr>
        <w:pStyle w:val="ListBullet"/>
      </w:pPr>
      <w:r>
        <w:t>Fentanyl and border security: fentanyl-priority interdiction, expanded canine teams, modern inspection technology, Gordie Howe flagship deployment, measurable performance, and a trusted-freight dividend.</w:t>
      </w:r>
    </w:p>
    <w:p>
      <w:pPr>
        <w:pStyle w:val="ListBullet"/>
      </w:pPr>
      <w:r>
        <w:t>Medicines and pharmaceutical manufacturing: stronger North American API, sterile-injectable, biologics, vaccine and essential-medicine manufacturing; resilient U.S. supply; emergency reserves; reduced strategic dependence on non-North-American suppliers; and protection against essential medicines becoming tariff hostages.</w:t>
      </w:r>
    </w:p>
    <w:p>
      <w:pPr>
        <w:pStyle w:val="ListBullet"/>
      </w:pPr>
      <w:r>
        <w:t>Gordie Howe / Detroit–Windsor: an optional corridor-reinvestment framework can direct mutually agreed revenues or equivalent appropriations to Michigan- and Ontario-side customs, trusted-freight, ITS, approach, logistics, community-mitigation and economic-development improvements without transferring Canadian toll ownership, bridge governance, or revenue entitlement.</w:t>
      </w:r>
    </w:p>
    <w:p>
      <w:pPr>
        <w:pStyle w:val="TrumpVisibilityHeadline"/>
      </w:pPr>
      <w:r>
        <w:t>★ CANADA: LEADER-LEVEL WIN SUMMARY</w:t>
      </w:r>
    </w:p>
    <w:p>
      <w:pPr>
        <w:pStyle w:val="ListBullet"/>
      </w:pPr>
      <w:r>
        <w:t>Tariff security: legacy extraordinary tariffs and retaliation wind down; future extraordinary measures face nexus, evidence, proportionality, review, anti-evasion and restoration disciplines rather than open-ended unilateral escalation.</w:t>
      </w:r>
    </w:p>
    <w:p>
      <w:pPr>
        <w:pStyle w:val="ListBullet"/>
      </w:pPr>
      <w:r>
        <w:t>Treaty durability: CUSMA/NAESTMA continues for indefinite duration under modernization review rather than recurring renewal cliffs, protecting investment reliance and reducing periodic existential uncertainty.</w:t>
      </w:r>
    </w:p>
    <w:p>
      <w:pPr>
        <w:pStyle w:val="ListBullet"/>
      </w:pPr>
      <w:r>
        <w:t>Dairy: Canadian supply management remains intact while negotiated U.S. access becomes more usable and transparent; incremental access is expressly paired with reciprocal Canadian value and protected against uncompensated front-loading.</w:t>
      </w:r>
    </w:p>
    <w:p>
      <w:pPr>
        <w:pStyle w:val="ListBullet"/>
      </w:pPr>
      <w:r>
        <w:t>Forestry: critical-mineral and strategic-material cooperation can earn staged, durable softwood-lumber normalization without compulsory extraction, below-market supply, or surrender of Canadian resource ownership.</w:t>
      </w:r>
    </w:p>
    <w:p>
      <w:pPr>
        <w:pStyle w:val="ListBullet"/>
      </w:pPr>
      <w:r>
        <w:t>Critical minerals and industrialization: Canada retains resource sovereignty and the ability to prioritize domestic value-added processing while gaining midstream investment, offtake, reserve eligibility, procurement and market-stability opportunities.</w:t>
      </w:r>
    </w:p>
    <w:p>
      <w:pPr>
        <w:pStyle w:val="ListBullet"/>
      </w:pPr>
      <w:r>
        <w:t>Arctic and NORAD: Northern Vigilance converts Canadian defence and northern investment into continental-security value while preserving Canadian sovereignty, jurisdiction, command, basing authority, infrastructure control and Northwest Passage legal positions.</w:t>
      </w:r>
    </w:p>
    <w:p>
      <w:pPr>
        <w:pStyle w:val="ListBullet"/>
      </w:pPr>
      <w:r>
        <w:t>Border reciprocity: Canada receives stronger cooperation against illegal firearms, illicit finance, stolen-vehicle exports and organized-crime flows while retaining exclusive national command, privacy protection and a firewall against fentanyl becoming an automatic tariff shortcut.</w:t>
      </w:r>
    </w:p>
    <w:p>
      <w:pPr>
        <w:pStyle w:val="ListBullet"/>
      </w:pPr>
      <w:r>
        <w:t>Procurement: Canadian suppliers receive project-specific reciprocal access across a protected 370-opportunity portfolio without Canada accepting an economy-wide surrender to Buy American preferences or guaranteed foreign awards.</w:t>
      </w:r>
    </w:p>
    <w:p>
      <w:pPr>
        <w:pStyle w:val="ListBullet"/>
      </w:pPr>
      <w:r>
        <w:t>Automotive: ordinary North American origin remains trilateral; U.S.-specific manufacturing incentives are bounded, reciprocal and optional, with the three-component ceiling and strategic-component firewall protecting the Canadian automotive industrial base.</w:t>
      </w:r>
    </w:p>
    <w:p>
      <w:pPr>
        <w:pStyle w:val="ListBullet"/>
      </w:pPr>
      <w:r>
        <w:t>Steel and aluminum: originating Canadian metals gain a durable-normalization pathway paired with anti-transshipment, traceability, new capacity, recycling and strategic-product investment rather than permanent extraordinary tariff treatment.</w:t>
      </w:r>
    </w:p>
    <w:p>
      <w:pPr>
        <w:pStyle w:val="ListBullet"/>
      </w:pPr>
      <w:r>
        <w:t>Medicines: the Canadian pharmaceutical track prioritizes medical isotopes, radiopharmaceuticals, biologics, vaccines, APIs, sterile capacity, clinical research and cold-chain resilience while essential medicines receive no-tariff-hostage protection.</w:t>
      </w:r>
    </w:p>
    <w:p>
      <w:pPr>
        <w:pStyle w:val="ListBullet"/>
      </w:pPr>
      <w:r>
        <w:t>Energy and infrastructure: Canadian reliability, affordability, resource policy, environmental law, Indigenous and treaty rights, electricity allocation and project-approval authority remain protected while cross-border energy and infrastructure opportunities expand.</w:t>
      </w:r>
    </w:p>
    <w:p>
      <w:pPr>
        <w:pStyle w:val="ListBullet"/>
      </w:pPr>
      <w:r>
        <w:t>Commercial wins: Canada may operate its own verified national commercial-wins presentation using the same Chapter 64 integrity rules, allowing Canadian exports, contracts, procurement awards, investment and regional gains to be foregrounded publicly.</w:t>
      </w:r>
    </w:p>
    <w:p>
      <w:pPr>
        <w:pStyle w:val="ListBullet"/>
      </w:pPr>
      <w:r>
        <w:t>Labour, environment and enforcement: systemic enforcement standards are symmetrical, allegations require evidence and cure, and unrelated sectors cannot ordinarily be punished for localized or good-faith implementation problems.</w:t>
      </w:r>
    </w:p>
    <w:p>
      <w:pPr>
        <w:pStyle w:val="ListBullet"/>
      </w:pPr>
      <w:r>
        <w:t>Gordie Howe / Detroit–Windsor: Canada preserves bridge and toll-revenue ownership and rejects retroactive U.S. financing claims while gaining a lawful mechanism to convert mutually agreed corridor funding into faster freight, better approaches, community mitigation and reciprocal infrastructure value.</w:t>
      </w:r>
    </w:p>
    <w:p>
      <w:pPr>
        <w:pStyle w:val="TrumpVisibilityHeadline"/>
      </w:pPr>
      <w:r>
        <w:t>★ MEXICO: LEADER-LEVEL WIN SUMMARY</w:t>
      </w:r>
    </w:p>
    <w:p>
      <w:pPr>
        <w:pStyle w:val="ListBullet"/>
      </w:pPr>
      <w:r>
        <w:t>Tariff normalization: qualifying Mexican originating autos, parts, steel, aluminum and designated industrial goods receive an expedited route back toward ordinary preferential treatment where verified origin and security facts support normalization.</w:t>
      </w:r>
    </w:p>
    <w:p>
      <w:pPr>
        <w:pStyle w:val="ListBullet"/>
      </w:pPr>
      <w:r>
        <w:t>Equal-party protection: Mexico receives the same Chapter 35 anti-evasion, evidence, proportionality, cure, restoration and no-uncompensated-front-loading protections as Canada and the United States, with no presumption that Mexican trade is the default enforcement target.</w:t>
      </w:r>
    </w:p>
    <w:p>
      <w:pPr>
        <w:pStyle w:val="ListBullet"/>
      </w:pPr>
      <w:r>
        <w:t>Automotive parity: Mexican originating value remains fully North American; the agreement resists Party-specific relocation mandates and protects the integrated Mexican automotive base from strategic-component salami slicing.</w:t>
      </w:r>
    </w:p>
    <w:p>
      <w:pPr>
        <w:pStyle w:val="ListBullet"/>
      </w:pPr>
      <w:r>
        <w:t>Agriculture: Mexico is expressly treated as a full producer, consumer, exporter, importer, research partner and manufacturing base, with Mexico-specific treatment for crops, irrigation, drought, machinery, labour-intensive production, logistics and value-added processing.</w:t>
      </w:r>
    </w:p>
    <w:p>
      <w:pPr>
        <w:pStyle w:val="ListBullet"/>
      </w:pPr>
      <w:r>
        <w:t>Dairy: Mexico receives full procedural equality in the Dairy Stability and Market Access Framework and a pathway for Mexico-specific access, development or reciprocal opportunities rather than being treated as a residual market.</w:t>
      </w:r>
    </w:p>
    <w:p>
      <w:pPr>
        <w:pStyle w:val="ListBullet"/>
      </w:pPr>
      <w:r>
        <w:t>Pharmaceutical upgrading: the Mexican track supports movement from finished-dose generics toward APIs/KSMs, sterile injectables, fill-finish, biologics, vaccines, advanced manufacturing, regulatory science and higher-value R&amp;D, with equal eligibility for resilience procurement.</w:t>
      </w:r>
    </w:p>
    <w:p>
      <w:pPr>
        <w:pStyle w:val="ListBullet"/>
      </w:pPr>
      <w:r>
        <w:t>Critical minerals and industrial inputs: Mexico is recognized as a full strategic supplier, processor, manufacturer, recycler and investment destination, with dedicated industrial-input and specialty-mineral pathways and value-added processing opportunities.</w:t>
      </w:r>
    </w:p>
    <w:p>
      <w:pPr>
        <w:pStyle w:val="ListBullet"/>
      </w:pPr>
      <w:r>
        <w:t>Digital manufacturing and SMEs: Mexico receives a dedicated electronics, semiconductor, software, customs-interoperability and SME export lane designed to raise value capture rather than confine Mexico to lower-value assembly.</w:t>
      </w:r>
    </w:p>
    <w:p>
      <w:pPr>
        <w:pStyle w:val="ListBullet"/>
      </w:pPr>
      <w:r>
        <w:t>Forestry: Mexico receives its own forestry and wood-products integration lane while being expressly firewalled from the historic Canada-United States softwood-lumber trade-remedy dispute unless Mexico separately agrees otherwise.</w:t>
      </w:r>
    </w:p>
    <w:p>
      <w:pPr>
        <w:pStyle w:val="ListBullet"/>
      </w:pPr>
      <w:r>
        <w:t>Procurement: Mexican suppliers participate across the reciprocal 370-opportunity portfolio, including border, rail, ports, grid, water, industrial, digital and strategic-infrastructure opportunities, without guaranteed awards or blanket domestic-preference surrender.</w:t>
      </w:r>
    </w:p>
    <w:p>
      <w:pPr>
        <w:pStyle w:val="ListBullet"/>
      </w:pPr>
      <w:r>
        <w:t>Border and security reciprocity: Mexico gains stronger continental action against illegal firearms, illicit finance, stolen vehicles, precursor networks and organized crime while retaining exclusive command and operational authority over Mexican officers and territory.</w:t>
      </w:r>
    </w:p>
    <w:p>
      <w:pPr>
        <w:pStyle w:val="ListBullet"/>
      </w:pPr>
      <w:r>
        <w:t>Labour symmetry and dignity: facility-specific and systemic labour enforcement is framed as genuinely trilateral; Mexico-specific reform history creates no presumption of Mexican wrongdoing or weaker obligations in Canada or the United States.</w:t>
      </w:r>
    </w:p>
    <w:p>
      <w:pPr>
        <w:pStyle w:val="ListBullet"/>
      </w:pPr>
      <w:r>
        <w:t>Defence-industrial participation: Mexico can participate through strategic materials, electronics, cold-weather equipment, pharmaceutical supply, logistics, manufacturing, research and resilience without being artificially inserted into Canadian-U.S. Arctic operational command.</w:t>
      </w:r>
    </w:p>
    <w:p>
      <w:pPr>
        <w:pStyle w:val="ListBullet"/>
      </w:pPr>
      <w:r>
        <w:t>Treaty continuity and external sovereignty: bilateral disputes cannot create de facto renewal uncertainty for unrelated Mexican trade, and Mexico retains sovereign authority over non-Party trade, investment and foreign-economic relationships without another Party holding a veto.</w:t>
      </w:r>
    </w:p>
    <w:p>
      <w:pPr>
        <w:pStyle w:val="ListBullet"/>
      </w:pPr>
      <w:r>
        <w:t>Commercial wins: Mexico may maintain its own Chapter 64 national presentation highlighting verified exports, contracts, procurement, industrial upgrading, SMEs, regional investment and supply-chain gains using the same evidentiary standards as the U.S. and Canadian ledgers.</w:t>
      </w:r>
    </w:p>
    <w:p>
      <w:pPr>
        <w:pStyle w:val="Normal"/>
      </w:pPr>
      <w:r>
        <w:t>Visibility principle. Detailed treaty engineering should remain underneath these headlines. The summary is intended to make the negotiated exchange legible in seconds without weakening the legal precision, safety authority, sovereignty protections, trilateral balance, or no-uncompensated-front-loading rules that govern performance.</w:t>
      </w:r>
    </w:p>
    <w:p>
      <w:pPr>
        <w:pStyle w:val="Normal"/>
      </w:pPr>
      <w:r>
        <w:t>Discoverability note. The agreement now includes a non-operative Subject-Matter Visibility and Search Index immediately before Chapter 1. It intentionally repeats common synonyms, alternate spellings, and distributed package names so major protections cannot disappear merely because a reader searches the wrong label.</w:t>
      </w:r>
    </w:p>
    <w:p>
      <w:pPr>
        <w:pStyle w:val="Normal"/>
      </w:pPr>
      <w:r>
        <w:t>★ Trilateral conservation win: Great Whale Compact, safer shipping, safer fisheries, stronger whale recovery, and serious lifelong care for captive cetaceans</w:t>
      </w:r>
    </w:p>
    <w:p>
      <w:pPr>
        <w:pStyle w:val="Normal"/>
      </w:pPr>
      <w:r>
        <w:t>Chapter 68 establishes a science-first North American cetacean framework built around adaptive vessel and fishery management, whale-safe gear transition, a continental detection network, rescue and veterinary capacity, species-specific recovery, Indigenous stewardship, captive-cetacean welfare, qualified sanctuary pathways, and transparent recovery measurement. Experimental or legally uncertain measures remain optional until validated and authorized.</w:t>
      </w:r>
    </w:p>
    <w:p>
      <w:pPr>
        <w:pStyle w:val="TrumpVisibilityHeadline"/>
      </w:pPr>
      <w:r>
        <w:t>Subject-Matter Visibility and Search Index: Non-Operative</w:t>
      </w:r>
    </w:p>
    <w:p>
      <w:pPr>
        <w:pStyle w:val="Normal"/>
      </w:pPr>
      <w:r>
        <w:t>Purpose. This index is a navigation and discoverability aid only. It does not amend, enlarge, narrow, activate, suspend, or independently enforce any treaty obligation. It deliberately repeats ordinary-language and alternate search terms so that human readers, document-search systems, and AI retrieval tools can locate distributed architecture.</w:t>
      </w:r>
    </w:p>
    <w:p>
      <w:pPr>
        <w:pStyle w:val="Heading2"/>
      </w:pPr>
      <w:bookmarkStart w:id="900008" w:name="_Toc300000007"/>
      <w:r>
        <w:t>Search aliases: high-value cross-cutting terms</w:t>
      </w:r>
      <w:bookmarkEnd w:id="900008"/>
    </w:p>
    <w:p>
      <w:pPr>
        <w:pStyle w:val="ListBullet"/>
        <w:numPr>
          <w:ilvl w:val="0"/>
          <w:numId w:val="1"/>
        </w:numPr>
      </w:pPr>
      <w:r>
        <w:t>Labor / Labour / Worker Rights / Workers' Rights / Collective Bargaining / Freedom Of Association / Forced Labor / Forced Labour / Child Labor / Child Labour / Wages / Hours / Occupational Safety / Migrant Workers. Primary location: Chapter 23 Labor, Annex 23-A, facility-specific labor enforcement, and later modernization and sectoral worker-rights provisions.</w:t>
      </w:r>
    </w:p>
    <w:p>
      <w:pPr>
        <w:pStyle w:val="ListBullet"/>
        <w:numPr>
          <w:ilvl w:val="0"/>
          <w:numId w:val="1"/>
        </w:numPr>
      </w:pPr>
      <w:r>
        <w:t>Immigration / Migration / Migrant / Asylum / Refugee / Non-refoulement / Deportation / Removal / Detention / Family Unity / Humanitarian Protection / Sensitive Locations / Civil Immigration Custody. Primary locations: Chapter 16 mobility plus Packages BN, BQ, BS, BW, and BX.</w:t>
      </w:r>
    </w:p>
    <w:p>
      <w:pPr>
        <w:pStyle w:val="ListBullet"/>
        <w:numPr>
          <w:ilvl w:val="0"/>
          <w:numId w:val="1"/>
        </w:numPr>
      </w:pPr>
      <w:r>
        <w:t>Human Rights / Human Dignity / Rule Of Law / Due Process / Legal Access / Detention / Custody / Torture / Medical Care / Non-discrimination / Family Unity. Primary locations: Packages BN through BX and the specialized custodial Packages CH through CK.</w:t>
      </w:r>
    </w:p>
    <w:p>
      <w:pPr>
        <w:pStyle w:val="ListBullet"/>
        <w:numPr>
          <w:ilvl w:val="0"/>
          <w:numId w:val="1"/>
        </w:numPr>
      </w:pPr>
      <w:r>
        <w:t>Prisoner / Prison / Incarceration / Correctional / Corrections / Jail / Pretrial Detention / Solitary Confinement / Restrictive Housing / Prison Labour / Prison Labor / Custodial Dignity. Primary locations: Packages CH, CI, CJ, CK and Annexes Ch-a and Ch-b; civil immigration detention remains principally in Package BS.</w:t>
      </w:r>
    </w:p>
    <w:p>
      <w:pPr>
        <w:pStyle w:val="ListBullet"/>
        <w:numPr>
          <w:ilvl w:val="0"/>
          <w:numId w:val="1"/>
        </w:numPr>
      </w:pPr>
      <w:r>
        <w:t>Indigenous / Indigenous Peoples / First Nations / Inuit / Métis / Tribal / Native / Treaty Rights / Consultation / Self-government. Search across the general exceptions and rights provisions, procurement and handicraft rules, resource and infrastructure chapters, and relevant optional justice/corrections modules.</w:t>
      </w:r>
    </w:p>
    <w:p>
      <w:pPr>
        <w:pStyle w:val="ListBullet"/>
        <w:numPr>
          <w:ilvl w:val="0"/>
          <w:numId w:val="1"/>
        </w:numPr>
      </w:pPr>
      <w:r>
        <w:t>Digital Trade / Data / Privacy / Cybersecurity / Source Code / Algorithm / Artificial Intelligence / AI / Automated Decision-making / Online Safety. Primary locations: Chapter 19 Digital Trade and its CUSMA 2.0 modernization provisions, with related sectoral and custodial automation rules.</w:t>
      </w:r>
    </w:p>
    <w:p>
      <w:pPr>
        <w:pStyle w:val="ListBullet"/>
        <w:numPr>
          <w:ilvl w:val="0"/>
          <w:numId w:val="1"/>
        </w:numPr>
      </w:pPr>
      <w:r>
        <w:t>Critical Minerals / Strategic Materials / Rare Earths / Graphite / Lithium / Nickel / Cobalt / Processing / Refining / Stockpile / Offtake / Recycling. Primary location: Chapter 37 and related strategic-supply and sectoral packages.</w:t>
      </w:r>
    </w:p>
    <w:p>
      <w:pPr>
        <w:pStyle w:val="ListBullet"/>
        <w:numPr>
          <w:ilvl w:val="0"/>
          <w:numId w:val="1"/>
        </w:numPr>
      </w:pPr>
      <w:r>
        <w:t>Energy / Energy Security / Electricity / Grid / Pipeline / Storage / Clean Power / Cybersecurity / Critical Infrastructure. Primary location: Chapter 40 and related strategic-infrastructure and emergency-continuity provisions.</w:t>
      </w:r>
    </w:p>
    <w:p>
      <w:pPr>
        <w:pStyle w:val="ListBullet"/>
        <w:numPr>
          <w:ilvl w:val="0"/>
          <w:numId w:val="1"/>
        </w:numPr>
      </w:pPr>
      <w:r>
        <w:t>Environment / Climate / Biodiversity / Wildfire / Forestry / Fisheries / Marine Mammals / Whales / Pollution / Conservation / Circular Production. Primary locations: Chapter 24 Environment, forestry and wildfire modernization provisions, and Chapter 68 Great Whale Compact.</w:t>
      </w:r>
    </w:p>
    <w:p>
      <w:pPr>
        <w:pStyle w:val="ListBullet"/>
        <w:numPr>
          <w:ilvl w:val="0"/>
          <w:numId w:val="1"/>
        </w:numPr>
      </w:pPr>
      <w:r>
        <w:t>Border Security / Fentanyl / Precursors / Scanners / Customs Targeting / North American Shield / Sensitive-location Protection. Search the customs and border chapters plus the later border-security packages.</w:t>
      </w:r>
    </w:p>
    <w:p>
      <w:pPr>
        <w:pStyle w:val="ListBullet"/>
        <w:numPr>
          <w:ilvl w:val="0"/>
          <w:numId w:val="1"/>
        </w:numPr>
      </w:pPr>
      <w:r>
        <w:t>Trade Remedies / Tariffs / Retaliation / Snapback / Step-back / Earn-back / Cothrom / No-fade / No Uncompensated Front-loading / Proportional Trade Adjustment. Primary locations: Chapters 10, 31, 35 and associated treaty-integrity architecture.</w:t>
      </w:r>
    </w:p>
    <w:p>
      <w:pPr>
        <w:pStyle w:val="Heading2"/>
      </w:pPr>
      <w:bookmarkStart w:id="900009" w:name="_Toc300000008"/>
      <w:r>
        <w:t>I. Foundational, Institutional, Transparency and Dispute Settlement</w:t>
      </w:r>
      <w:bookmarkEnd w:id="900009"/>
    </w:p>
    <w:p>
      <w:pPr>
        <w:pStyle w:val="Normal"/>
      </w:pPr>
      <w:r>
        <w:t>Search: Initial Provisions; General Definitions; Free Trade Commission; Secretariat; Publication; Transparency; Administrative Proceedings; General Exceptions; Essential Security; Indigenous Peoples; Final Provisions; Amendment; Withdrawal; Periodic Review; Consultations; Panel; Compliance; Suspension Of Benefits; Anti-deadlock.</w:t>
      </w:r>
    </w:p>
    <w:p>
      <w:pPr>
        <w:pStyle w:val="Heading2"/>
      </w:pPr>
      <w:bookmarkStart w:id="900010" w:name="_Toc300000009"/>
      <w:r>
        <w:t>II. Trade In Goods, Origin, Customs and Remedies</w:t>
      </w:r>
      <w:bookmarkEnd w:id="900010"/>
    </w:p>
    <w:p>
      <w:pPr>
        <w:pStyle w:val="Normal"/>
      </w:pPr>
      <w:r>
        <w:t>Search: National Treatment; Market Access; Customs Duties; Tariff-rate Quota; TRQ; Drawback; Temporary Admission; Import Restriction; Rules Of Origin; RVC; Automotive 75% 80% 85%; Melted And Poured; Smelted And Cast; De Minimis; Accumulation; Certification Of Origin; Verification; Advance Ruling; Single Window; AEO; Trusted Trader; Textiles; Tpl; Safeguard; Antidumping; Countervailing; Binational Panel; Duty Evasion.</w:t>
      </w:r>
    </w:p>
    <w:p>
      <w:pPr>
        <w:pStyle w:val="Heading2"/>
      </w:pPr>
      <w:bookmarkStart w:id="900011" w:name="_Toc300000010"/>
      <w:r>
        <w:t>III. Agriculture, Food and Sector-specific Goods</w:t>
      </w:r>
      <w:bookmarkEnd w:id="900011"/>
    </w:p>
    <w:p>
      <w:pPr>
        <w:pStyle w:val="Normal"/>
      </w:pPr>
      <w:r>
        <w:t>Search: Agriculture; Dairy; Milk Class; Supply Management; TRQ; Sugar; Poultry; Eggs; Biotechnology; SPS; Sanitary; Phytosanitary; TBT; Technical Barriers; Chemicals; Cosmetics; Medical Devices; Pharmaceuticals; Aviation Certification; Alcohol; Wine; Spirits; Beer.</w:t>
      </w:r>
    </w:p>
    <w:p>
      <w:pPr>
        <w:pStyle w:val="Heading2"/>
      </w:pPr>
      <w:bookmarkStart w:id="900012" w:name="_Toc300000011"/>
      <w:r>
        <w:t>IV. Services, Investment, Mobility, Finance, Digital and Telecom</w:t>
      </w:r>
      <w:bookmarkEnd w:id="900012"/>
    </w:p>
    <w:p>
      <w:pPr>
        <w:pStyle w:val="Normal"/>
      </w:pPr>
      <w:r>
        <w:t>Search: Cross-border Services; Professional Services; Temporary Entry; Business Visitor; Intra-company Transferee; Professional; Financial Services; Investment; Expropriation; Performance Requirements; Digital Trade; Data Flows; Data Localization; Source Code; AI; Cybersecurity; Telecommunications; Interconnection; Roaming.</w:t>
      </w:r>
    </w:p>
    <w:p>
      <w:pPr>
        <w:pStyle w:val="Heading2"/>
      </w:pPr>
      <w:bookmarkStart w:id="900013" w:name="_Toc300000012"/>
      <w:r>
        <w:t>V. Intellectual Property, State Enterprises, Competition and Procurement</w:t>
      </w:r>
      <w:bookmarkEnd w:id="900013"/>
    </w:p>
    <w:p>
      <w:pPr>
        <w:pStyle w:val="Normal"/>
      </w:pPr>
      <w:r>
        <w:t>Search: Trademark; Geographical Indication; Patent; Copyright; Biologics; Test Data; Trade Secret; ISP Safe Harbor; SOE; State-owned Enterprise; Monopoly; Competition; Consumer Protection; Government Procurement; Tender; Domestic Review.</w:t>
      </w:r>
    </w:p>
    <w:p>
      <w:pPr>
        <w:pStyle w:val="Heading2"/>
      </w:pPr>
      <w:bookmarkStart w:id="900014" w:name="_Toc300000013"/>
      <w:r>
        <w:t>VI. Labor / Labour and Worker Protection</w:t>
      </w:r>
      <w:bookmarkEnd w:id="900014"/>
    </w:p>
    <w:p>
      <w:pPr>
        <w:pStyle w:val="Normal"/>
      </w:pPr>
      <w:r>
        <w:t>Search: Chapter 23 Labor; Labour Rights; Freedom Of Association; Collective Bargaining; Forced Or Compulsory Labor; Child Labor; Discrimination; Minimum Wage; Hours Of Work; Occupational Safety And Health; Non-derogation; Violence Against Workers; Migrant Worker; Annex 23-A; Rapid Response Labor Mechanism; Public Submissions; Independent Factual Verification.</w:t>
      </w:r>
    </w:p>
    <w:p>
      <w:pPr>
        <w:pStyle w:val="Heading2"/>
      </w:pPr>
      <w:bookmarkStart w:id="900015" w:name="_Toc300000014"/>
      <w:r>
        <w:t>VII. Environment, Forestry, Wildfire and Conservation</w:t>
      </w:r>
      <w:bookmarkEnd w:id="900015"/>
    </w:p>
    <w:p>
      <w:pPr>
        <w:pStyle w:val="Normal"/>
      </w:pPr>
      <w:r>
        <w:t>Search: Chapter 24 Environment; Environmental Law; Ozone; Marine Pollution; Air Quality; Marine Litter; Biodiversity; Invasive Species; Fisheries; IUU Fishing; Sharks; Sea Turtles; Seabirds; Marine Mammals; Fisheries Subsidies; CITES; Forest Management; Environmental Goods; Wildfire; Smoke; Storm-damaged Forest Fuel; Traceability; Circular Production; Chapter 68 Great Whale Compact.</w:t>
      </w:r>
    </w:p>
    <w:p>
      <w:pPr>
        <w:pStyle w:val="Heading2"/>
      </w:pPr>
      <w:bookmarkStart w:id="900016" w:name="_Toc300000015"/>
      <w:r>
        <w:t>VIII. Strategic, Security, Minerals, Energy and Emergency Continuity</w:t>
      </w:r>
      <w:bookmarkEnd w:id="900016"/>
    </w:p>
    <w:p>
      <w:pPr>
        <w:pStyle w:val="Normal"/>
      </w:pPr>
      <w:r>
        <w:t>Search: Chapter 35 Treaty Integrity; Proportional Trade Adjustment; PTA; Verification Panel; Escrow; Step-back; Earn-back; No-fade; Chapter 36 Economic Security; TNAO; Forced-labor Perimeter; Steel; Aluminum; Semiconductors; Chapter 37 Critical Minerals; Stockpiles; Chapter 38 Emergency Trade Continuity; Health Security; Food Security; Cyber Incident; Chapter 40 Energy Security; Grid Resilience; Electricity; Storage; Critical Infrastructure Cybersecurity.</w:t>
      </w:r>
    </w:p>
    <w:p>
      <w:pPr>
        <w:pStyle w:val="Heading2"/>
      </w:pPr>
      <w:bookmarkStart w:id="900017" w:name="_Toc300000016"/>
      <w:r>
        <w:t>IX. Inclusive Trade, SMEs, Competitiveness, Anticorruption and Regulation</w:t>
      </w:r>
      <w:bookmarkEnd w:id="900017"/>
    </w:p>
    <w:p>
      <w:pPr>
        <w:pStyle w:val="Normal"/>
      </w:pPr>
      <w:r>
        <w:t>Search: SME; Small And Medium-sized Enterprise; Export Fast Lane; Compliance Gateway; Competitiveness; Supply Chain Resilience; Infrastructure; Anticorruption; Public Official; Good Regulatory Practice; Regulatory Impact Assessment; Macroeconomic Policy; Exchange Rate.</w:t>
      </w:r>
    </w:p>
    <w:p>
      <w:pPr>
        <w:pStyle w:val="Heading2"/>
      </w:pPr>
      <w:bookmarkStart w:id="900018" w:name="_Toc300000017"/>
      <w:r>
        <w:t>X. Mobility, Immigration, Asylum and Humanitarian Protection</w:t>
      </w:r>
      <w:bookmarkEnd w:id="900018"/>
    </w:p>
    <w:p>
      <w:pPr>
        <w:pStyle w:val="Normal"/>
      </w:pPr>
      <w:r>
        <w:t>Search: Chapter 16 Temporary Entry; Trusted North American Visitor; Package BN Mobility Migration Human Dignity; Human Being Not A Trade Concession; Package BQ Refugee Asylum Trafficking Humanitarian Protection; Non-refoulement; Package BS Humane Custody Detention Alternatives Sensitive-location Protection; Family Unity; Package BW Human Dignity Rule Of Law; Package BX Human-rights-conditioned Trade.</w:t>
      </w:r>
    </w:p>
    <w:p>
      <w:pPr>
        <w:pStyle w:val="Heading2"/>
      </w:pPr>
      <w:bookmarkStart w:id="900019" w:name="_Toc300000018"/>
      <w:r>
        <w:t>XI. Custodial, Prisoner and Correctional Rights</w:t>
      </w:r>
      <w:bookmarkEnd w:id="900019"/>
    </w:p>
    <w:p>
      <w:pPr>
        <w:pStyle w:val="Normal"/>
      </w:pPr>
      <w:r>
        <w:t>Search: Package CH Custodial Dignity Safe Corrections; Package CI Flexible Safe-corrections; Package CJ Implementation Review Cure; Package CK Red-team Hardening; Annex Ch-a Advanced Correctional Reform; Annex Ch-b Experimentation; Food; Water; Healthcare; Medication; Mental Health; Disability; Use Of Force; Restraints; Searches; Solitary Confinement; Restrictive Housing; Legal Access; Grievance; Inspection; Prison Labour; Prison Labor; Pregnancy; Consular Access; Contractors; Pretrial.</w:t>
      </w:r>
    </w:p>
    <w:p>
      <w:pPr>
        <w:pStyle w:val="Heading2"/>
      </w:pPr>
      <w:bookmarkStart w:id="900020" w:name="_Toc300000019"/>
      <w:r>
        <w:t>XII. Side Letters, Annexes and Non-conforming Measures</w:t>
      </w:r>
      <w:bookmarkEnd w:id="900020"/>
    </w:p>
    <w:p>
      <w:pPr>
        <w:pStyle w:val="Normal"/>
      </w:pPr>
      <w:r>
        <w:t>Search: Side Letter; Section 232; Auto Safety; Cheese; Distilled Spirits; Wine; Natural Water; Energy; Research And Development; Ramsar; Annex I; Annex II; Annex III; Annex IV; Non-conforming Measure; Services Reservation; Investment Reservation; Financial Services Reservation; SOE Reservation.</w:t>
      </w:r>
    </w:p>
    <w:p>
      <w:pPr>
        <w:pStyle w:val="Normal"/>
      </w:pPr>
      <w:r>
        <w:t>Visibility rule. When a major subject is governed by multiple Chapters, Packages, Annexes, or modernization provisions, an index or signpost may repeat the subject name and common synonyms without creating a new legal obligation. Searchability is an interpretive aid, not an independent source of rights or duties.</w:t>
      </w:r>
    </w:p>
    <w:p>
      <w:pPr>
        <w:pStyle w:val="Heading1"/>
      </w:pPr>
      <w:bookmarkStart w:id="900021" w:name="_Toc300000020"/>
      <w:r>
        <w:t>CHAPTER 1 INITIAL PROVISIONS AND GENERAL DEFINITIONS</w:t>
      </w:r>
      <w:r>
        <w:br/>
      </w:r>
      <w:r>
        <w:t>Section A: Initial Provisions</w:t>
      </w:r>
      <w:bookmarkEnd w:id="900021"/>
    </w:p>
    <w:p>
      <w:pPr>
        <w:pStyle w:val="Heading2"/>
      </w:pPr>
      <w:bookmarkStart w:id="900022" w:name="_Toc300000021"/>
      <w:r>
        <w:t xml:space="preserve">Article 1.1: Establishment of a Free Trade Area</w:t>
      </w:r>
      <w:bookmarkEnd w:id="900022"/>
    </w:p>
    <w:p>
      <w:pPr>
        <w:pStyle w:val="Normal"/>
      </w:pPr>
      <w:r>
        <w:t xml:space="preserve">The Parties, consistent with Article XXIV of the GATT 1994 and Article V of the GATS, hereby establish a free trade area.</w:t>
      </w:r>
    </w:p>
    <w:p>
      <w:pPr>
        <w:pStyle w:val="Heading2"/>
      </w:pPr>
      <w:bookmarkStart w:id="900023" w:name="_Toc300000022"/>
      <w:r>
        <w:t xml:space="preserve">Article 1.2: Relation to Other Agreements</w:t>
      </w:r>
      <w:bookmarkEnd w:id="900023"/>
    </w:p>
    <w:p>
      <w:pPr>
        <w:pStyle w:val="Normal"/>
      </w:pPr>
      <w:r>
        <w:t xml:space="preserve">Each Party affirms its existing rights and obligations with respect to each other under the WTO Agreement and other agreements to which it and another Party are party.</w:t>
      </w:r>
    </w:p>
    <w:p>
      <w:pPr>
        <w:pStyle w:val="Heading2"/>
      </w:pPr>
      <w:bookmarkStart w:id="1200005" w:name="_Toc901200005"/>
      <w:r>
        <w:t>Article 1.3: Relation to Environmental and Conservation Agreements</w:t>
      </w:r>
      <w:bookmarkEnd w:id="1200005"/>
    </w:p>
    <w:p>
      <w:pPr>
        <w:pStyle w:val="Normal"/>
      </w:pPr>
      <w:r/>
      <w:r>
        <w:t>1. In the event of any inconsistency between a Party’s obligations under this Agreement and its respective obligations under the following multilateral environmental agreements (“covered agreements”)</w:t>
      </w:r>
      <w:r>
        <w:rPr>
          <w:vertAlign w:val="superscript"/>
        </w:rPr>
        <w:t>1</w:t>
      </w:r>
      <w:r>
        <w:t>: (a) the Convention on International Trade in Endangered Species of Wild Fauna and Flora, done at Washington, March 3, 1973, as amended; (b) the Montreal Protocol on Substances that Deplete the Ozone Layer, done at Montreal, September 16, 1987, as adjusted and amended; (c) the Protocol of 1978 Relating to the International Convention for the Prevention of Pollution from Ships, 1973, done at London, February 17, 1978, as amended; (d) the Convention on Wetlands of International Importance Especially as Waterfowl Habitat, done at Ramsar, February 2, 1971, as amended; (e) the Convention on the Conservation of Antarctic Marine Living Resources, done at Canberra, May 20, 1980; (f) the International Convention for the Regulation of Whaling, done at Washington, December 2, 1946; and (g) the Convention for the Establishment of an Inter-American Tropical Tuna Commission, done at Washington, May 31, 1949, a Party’s obligations under this Agreement shall not preclude the Party from taking a particular measure to comply with its obligations under the covered agreement, provided that the primary purpose of the measure is not to impose a disguised restriction on trade.</w:t>
      </w:r>
    </w:p>
    <w:p>
      <w:pPr>
        <w:pStyle w:val="Normal"/>
      </w:pPr>
      <w:r>
        <w:t>2. Pursuant to Article 34.3 (Amendments), the Parties may agree in writing to modify paragraph 1 to include any amendment to an agreement referred to therein, and any other environmental or conservation agreement.</w:t>
      </w:r>
    </w:p>
    <w:p>
      <w:pPr>
        <w:pStyle w:val="Normal"/>
      </w:pPr>
      <w:r>
        <w:t>Footnote 1. For the purposes of paragraph 1, “covered agreements” encompass the listed multilateral environmental agreements and applicable existing or future protocols, amendments, annexes, and adjustments under an agreement to which the Party is party. A Party’s “obligations” reflect applicable existing and future reservations, exemptions, and exceptions.</w:t>
      </w:r>
    </w:p>
    <w:p>
      <w:pPr>
        <w:pStyle w:val="Heading2"/>
      </w:pPr>
      <w:bookmarkStart w:id="1200006" w:name="_Toc901200006"/>
      <w:r>
        <w:t>Article 1.4: Persons Exercising Delegated Governmental Authority</w:t>
      </w:r>
      <w:bookmarkEnd w:id="1200006"/>
    </w:p>
    <w:p>
      <w:pPr>
        <w:pStyle w:val="Normal"/>
      </w:pPr>
      <w:r>
        <w:t>Each Party shall ensure that a person that has been delegated regulatory, administrative, or other governmental authority by a Party acts in accordance with the Party’s obligations as set out under this Agreement in the exercise of that authority.</w:t>
      </w:r>
    </w:p>
    <w:p>
      <w:pPr/>
      <w:r>
        <w:t>Section B: General Definitions</w:t>
      </w:r>
    </w:p>
    <w:p>
      <w:pPr>
        <w:pStyle w:val="Heading2"/>
      </w:pPr>
      <w:bookmarkStart w:id="1200007" w:name="_Toc901200007"/>
      <w:r>
        <w:t>Article 1.5: General Definitions</w:t>
      </w:r>
      <w:bookmarkEnd w:id="1200007"/>
    </w:p>
    <w:p>
      <w:pPr>
        <w:pStyle w:val="Normal"/>
      </w:pPr>
      <w:r>
        <w:rPr>
          <w:b w:val="0"/>
        </w:rPr>
        <w:t>For the purposes of this Agreement, unless otherwise provided:</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Term</w:t>
            </w:r>
          </w:p>
        </w:tc>
        <w:tc>
          <w:tcPr>
            <w:tcW w:type="dxa" w:w="4680"/>
            <w:tcBorders>
              <w:bottom w:val="single" w:sz="6" w:space="0" w:color="546E7A"/>
            </w:tcBorders>
            <w:shd w:fill="E4E9EC" w:val="clear" w:color="auto"/>
          </w:tcPr>
          <w:p>
            <w:pPr>
              <w:pStyle w:val="TableText"/>
            </w:pPr>
            <w:r>
              <w:rPr>
                <w:b/>
                <w:color w:val="37474F"/>
              </w:rPr>
              <w:t>Definition</w:t>
            </w:r>
          </w:p>
        </w:tc>
      </w:tr>
      <w:tr>
        <w:trPr>
          <w:cantSplit/>
        </w:trPr>
        <w:tc>
          <w:tcPr>
            <w:tcW w:type="dxa" w:w="4680"/>
            <w:tcMar>
              <w:top w:w="70" w:type="dxa"/>
              <w:start w:w="110" w:type="dxa"/>
              <w:bottom w:w="70" w:type="dxa"/>
              <w:end w:w="110" w:type="dxa"/>
            </w:tcMar>
          </w:tcPr>
          <w:p>
            <w:pPr>
              <w:pStyle w:val="TableText"/>
            </w:pPr>
            <w:r>
              <w:rPr/>
              <w:t>AD Agreement</w:t>
            </w:r>
          </w:p>
        </w:tc>
        <w:tc>
          <w:tcPr>
            <w:tcW w:type="dxa" w:w="4680"/>
            <w:tcMar>
              <w:top w:w="70" w:type="dxa"/>
              <w:start w:w="110" w:type="dxa"/>
              <w:bottom w:w="70" w:type="dxa"/>
              <w:end w:w="110" w:type="dxa"/>
            </w:tcMar>
          </w:tcPr>
          <w:p>
            <w:pPr>
              <w:pStyle w:val="TableText"/>
            </w:pPr>
            <w:r>
              <w:rPr/>
              <w:t>the Agreement on Implementation of Article VI of the General Agreement on Tariffs and Trade 1994, set out in Annex 1A to the WTO Agreement</w:t>
            </w:r>
          </w:p>
        </w:tc>
      </w:tr>
      <w:tr>
        <w:trPr>
          <w:cantSplit/>
        </w:trPr>
        <w:tc>
          <w:tcPr>
            <w:tcW w:type="dxa" w:w="4680"/>
            <w:shd w:fill="F5F7F8" w:val="clear" w:color="auto"/>
            <w:tcMar>
              <w:top w:w="70" w:type="dxa"/>
              <w:start w:w="110" w:type="dxa"/>
              <w:bottom w:w="70" w:type="dxa"/>
              <w:end w:w="110" w:type="dxa"/>
            </w:tcMar>
          </w:tcPr>
          <w:p>
            <w:pPr>
              <w:pStyle w:val="TableText"/>
            </w:pPr>
            <w:r>
              <w:rPr/>
              <w:t>central level of government</w:t>
            </w:r>
          </w:p>
        </w:tc>
        <w:tc>
          <w:tcPr>
            <w:tcW w:type="dxa" w:w="4680"/>
            <w:shd w:fill="F5F7F8" w:val="clear" w:color="auto"/>
            <w:tcMar>
              <w:top w:w="70" w:type="dxa"/>
              <w:start w:w="110" w:type="dxa"/>
              <w:bottom w:w="70" w:type="dxa"/>
              <w:end w:w="110" w:type="dxa"/>
            </w:tcMar>
          </w:tcPr>
          <w:p>
            <w:pPr>
              <w:pStyle w:val="TableText"/>
            </w:pPr>
            <w:r>
              <w:rPr/>
              <w:t>(a) for Canada, the Government of Canada; (b) for Mexico, the federal level of government; and (c) for the United States, the federal level of government</w:t>
            </w:r>
          </w:p>
        </w:tc>
      </w:tr>
      <w:tr>
        <w:trPr>
          <w:cantSplit/>
        </w:trPr>
        <w:tc>
          <w:tcPr>
            <w:tcW w:type="dxa" w:w="4680"/>
            <w:tcMar>
              <w:top w:w="70" w:type="dxa"/>
              <w:start w:w="110" w:type="dxa"/>
              <w:bottom w:w="70" w:type="dxa"/>
              <w:end w:w="110" w:type="dxa"/>
            </w:tcMar>
          </w:tcPr>
          <w:p>
            <w:pPr>
              <w:pStyle w:val="TableText"/>
            </w:pPr>
            <w:r>
              <w:rPr/>
              <w:t>Commission</w:t>
            </w:r>
          </w:p>
        </w:tc>
        <w:tc>
          <w:tcPr>
            <w:tcW w:type="dxa" w:w="4680"/>
            <w:tcMar>
              <w:top w:w="70" w:type="dxa"/>
              <w:start w:w="110" w:type="dxa"/>
              <w:bottom w:w="70" w:type="dxa"/>
              <w:end w:w="110" w:type="dxa"/>
            </w:tcMar>
          </w:tcPr>
          <w:p>
            <w:pPr>
              <w:pStyle w:val="TableText"/>
            </w:pPr>
            <w:r>
              <w:rPr/>
              <w:t>the Free Trade Commission established under Article 30.1 (Establishment of the Free Trade Commission)</w:t>
            </w:r>
          </w:p>
        </w:tc>
      </w:tr>
      <w:tr>
        <w:trPr>
          <w:cantSplit/>
        </w:trPr>
        <w:tc>
          <w:tcPr>
            <w:tcW w:type="dxa" w:w="4680"/>
            <w:shd w:fill="F5F7F8" w:val="clear" w:color="auto"/>
            <w:tcMar>
              <w:top w:w="70" w:type="dxa"/>
              <w:start w:w="110" w:type="dxa"/>
              <w:bottom w:w="70" w:type="dxa"/>
              <w:end w:w="110" w:type="dxa"/>
            </w:tcMar>
          </w:tcPr>
          <w:p>
            <w:pPr>
              <w:pStyle w:val="TableText"/>
            </w:pPr>
            <w:r>
              <w:rPr/>
              <w:t>covered investment</w:t>
            </w:r>
          </w:p>
        </w:tc>
        <w:tc>
          <w:tcPr>
            <w:tcW w:type="dxa" w:w="4680"/>
            <w:shd w:fill="F5F7F8" w:val="clear" w:color="auto"/>
            <w:tcMar>
              <w:top w:w="70" w:type="dxa"/>
              <w:start w:w="110" w:type="dxa"/>
              <w:bottom w:w="70" w:type="dxa"/>
              <w:end w:w="110" w:type="dxa"/>
            </w:tcMar>
          </w:tcPr>
          <w:p>
            <w:pPr>
              <w:pStyle w:val="TableText"/>
            </w:pPr>
            <w:r>
              <w:rPr/>
              <w:t>with respect to a Party, an investment in its territory of an investor of another Party in existence as of the date of entry into force of this Agreement or established, acquired, or expanded thereafter</w:t>
            </w:r>
          </w:p>
        </w:tc>
      </w:tr>
      <w:tr>
        <w:trPr>
          <w:cantSplit/>
        </w:trPr>
        <w:tc>
          <w:tcPr>
            <w:tcW w:type="dxa" w:w="4680"/>
            <w:tcMar>
              <w:top w:w="70" w:type="dxa"/>
              <w:start w:w="110" w:type="dxa"/>
              <w:bottom w:w="70" w:type="dxa"/>
              <w:end w:w="110" w:type="dxa"/>
            </w:tcMar>
          </w:tcPr>
          <w:p>
            <w:pPr>
              <w:pStyle w:val="TableText"/>
            </w:pPr>
            <w:r>
              <w:rPr/>
              <w:t>customs administration</w:t>
            </w:r>
          </w:p>
        </w:tc>
        <w:tc>
          <w:tcPr>
            <w:tcW w:type="dxa" w:w="4680"/>
            <w:tcMar>
              <w:top w:w="70" w:type="dxa"/>
              <w:start w:w="110" w:type="dxa"/>
              <w:bottom w:w="70" w:type="dxa"/>
              <w:end w:w="110" w:type="dxa"/>
            </w:tcMar>
          </w:tcPr>
          <w:p>
            <w:pPr>
              <w:pStyle w:val="TableText"/>
            </w:pPr>
            <w:r>
              <w:rPr/>
              <w:t>the competent authority that is responsible under the law of a Party for the administration of customs laws and regulations or any successor of such customs administration</w:t>
            </w:r>
          </w:p>
        </w:tc>
      </w:tr>
      <w:tr>
        <w:trPr>
          <w:cantSplit/>
        </w:trPr>
        <w:tc>
          <w:tcPr>
            <w:tcW w:type="dxa" w:w="4680"/>
            <w:shd w:fill="F5F7F8" w:val="clear" w:color="auto"/>
            <w:tcMar>
              <w:top w:w="70" w:type="dxa"/>
              <w:start w:w="110" w:type="dxa"/>
              <w:bottom w:w="70" w:type="dxa"/>
              <w:end w:w="110" w:type="dxa"/>
            </w:tcMar>
          </w:tcPr>
          <w:p>
            <w:pPr>
              <w:pStyle w:val="TableText"/>
            </w:pPr>
            <w:r>
              <w:rPr/>
              <w:t>customs duty</w:t>
            </w:r>
          </w:p>
        </w:tc>
        <w:tc>
          <w:tcPr>
            <w:tcW w:type="dxa" w:w="4680"/>
            <w:shd w:fill="F5F7F8" w:val="clear" w:color="auto"/>
            <w:tcMar>
              <w:top w:w="70" w:type="dxa"/>
              <w:start w:w="110" w:type="dxa"/>
              <w:bottom w:w="70" w:type="dxa"/>
              <w:end w:w="110" w:type="dxa"/>
            </w:tcMar>
          </w:tcPr>
          <w:p>
            <w:pPr>
              <w:pStyle w:val="TableText"/>
            </w:pPr>
            <w:r>
              <w:rPr/>
              <w:t>includes a duty or charge of any kind imposed on or in connection with the importation of a good, and any surtax or surcharge imposed in connection with such importation, but does not include any: (a) charge equivalent to an internal tax imposed consistently with Article III:2 of the GATT 1994; (b) fee or other charge in connection with the importation commensurate with the cost of services rendered; (c) antidumping or countervailing duty; and (d) premium offered or collected on an imported good arising out of any tendering system in respect of the administration of quantitative import restrictions, tariff rate quotas, or tariff preference levels</w:t>
            </w:r>
          </w:p>
        </w:tc>
      </w:tr>
      <w:tr>
        <w:trPr>
          <w:cantSplit/>
        </w:trPr>
        <w:tc>
          <w:tcPr>
            <w:tcW w:type="dxa" w:w="4680"/>
            <w:tcMar>
              <w:top w:w="70" w:type="dxa"/>
              <w:start w:w="110" w:type="dxa"/>
              <w:bottom w:w="70" w:type="dxa"/>
              <w:end w:w="110" w:type="dxa"/>
            </w:tcMar>
          </w:tcPr>
          <w:p>
            <w:pPr>
              <w:pStyle w:val="TableText"/>
            </w:pPr>
            <w:r>
              <w:rPr/>
              <w:t>customs offense</w:t>
            </w:r>
          </w:p>
        </w:tc>
        <w:tc>
          <w:tcPr>
            <w:tcW w:type="dxa" w:w="4680"/>
            <w:tcMar>
              <w:top w:w="70" w:type="dxa"/>
              <w:start w:w="110" w:type="dxa"/>
              <w:bottom w:w="70" w:type="dxa"/>
              <w:end w:w="110" w:type="dxa"/>
            </w:tcMar>
          </w:tcPr>
          <w:p>
            <w:pPr>
              <w:pStyle w:val="TableText"/>
            </w:pPr>
            <w:r>
              <w:rPr/>
              <w:t>any act committed for the purpose of, or having the effect of, avoiding a Party’s laws or regulations pertaining to the provisions of this Agreement governing importations or exportations of goods between, or transit of goods through, the territories of the Parties, specifically those that violate a customs law or regulation for restrictions or prohibitions on imports or exports, duty evasion, transshipment, falsification of documents relating to the importation or exportation of goods, fraud, or smuggling of goods</w:t>
            </w:r>
          </w:p>
        </w:tc>
      </w:tr>
      <w:tr>
        <w:trPr>
          <w:cantSplit/>
        </w:trPr>
        <w:tc>
          <w:tcPr>
            <w:tcW w:type="dxa" w:w="4680"/>
            <w:shd w:fill="F5F7F8" w:val="clear" w:color="auto"/>
            <w:tcMar>
              <w:top w:w="70" w:type="dxa"/>
              <w:start w:w="110" w:type="dxa"/>
              <w:bottom w:w="70" w:type="dxa"/>
              <w:end w:w="110" w:type="dxa"/>
            </w:tcMar>
          </w:tcPr>
          <w:p>
            <w:pPr>
              <w:pStyle w:val="TableText"/>
            </w:pPr>
            <w:r>
              <w:rPr/>
              <w:t>Customs Valuation Agreement</w:t>
            </w:r>
          </w:p>
        </w:tc>
        <w:tc>
          <w:tcPr>
            <w:tcW w:type="dxa" w:w="4680"/>
            <w:shd w:fill="F5F7F8" w:val="clear" w:color="auto"/>
            <w:tcMar>
              <w:top w:w="70" w:type="dxa"/>
              <w:start w:w="110" w:type="dxa"/>
              <w:bottom w:w="70" w:type="dxa"/>
              <w:end w:w="110" w:type="dxa"/>
            </w:tcMar>
          </w:tcPr>
          <w:p>
            <w:pPr>
              <w:pStyle w:val="TableText"/>
            </w:pPr>
            <w:r>
              <w:rPr/>
              <w:t>the Agreement on Implementation of Article VII of the General Agreement on Tariffs and Trade, set out in Annex 1A to the WTO Agreement</w:t>
            </w:r>
          </w:p>
        </w:tc>
      </w:tr>
      <w:tr>
        <w:trPr>
          <w:cantSplit/>
        </w:trPr>
        <w:tc>
          <w:tcPr>
            <w:tcW w:type="dxa" w:w="4680"/>
            <w:tcMar>
              <w:top w:w="70" w:type="dxa"/>
              <w:start w:w="110" w:type="dxa"/>
              <w:bottom w:w="70" w:type="dxa"/>
              <w:end w:w="110" w:type="dxa"/>
            </w:tcMar>
          </w:tcPr>
          <w:p>
            <w:pPr>
              <w:pStyle w:val="TableText"/>
            </w:pPr>
            <w:r>
              <w:rPr/>
              <w:t>days</w:t>
            </w:r>
          </w:p>
        </w:tc>
        <w:tc>
          <w:tcPr>
            <w:tcW w:type="dxa" w:w="4680"/>
            <w:tcMar>
              <w:top w:w="70" w:type="dxa"/>
              <w:start w:w="110" w:type="dxa"/>
              <w:bottom w:w="70" w:type="dxa"/>
              <w:end w:w="110" w:type="dxa"/>
            </w:tcMar>
          </w:tcPr>
          <w:p>
            <w:pPr>
              <w:pStyle w:val="TableText"/>
            </w:pPr>
            <w:r>
              <w:rPr/>
              <w:t>calendar days, including weekends and holidays</w:t>
            </w:r>
          </w:p>
        </w:tc>
      </w:tr>
      <w:tr>
        <w:trPr>
          <w:cantSplit/>
        </w:trPr>
        <w:tc>
          <w:tcPr>
            <w:tcW w:type="dxa" w:w="4680"/>
            <w:shd w:fill="F5F7F8" w:val="clear" w:color="auto"/>
            <w:tcMar>
              <w:top w:w="70" w:type="dxa"/>
              <w:start w:w="110" w:type="dxa"/>
              <w:bottom w:w="70" w:type="dxa"/>
              <w:end w:w="110" w:type="dxa"/>
            </w:tcMar>
          </w:tcPr>
          <w:p>
            <w:pPr>
              <w:pStyle w:val="TableText"/>
            </w:pPr>
            <w:r>
              <w:rPr/>
              <w:t>Dispute Settlement Understanding (DSU)</w:t>
            </w:r>
          </w:p>
        </w:tc>
        <w:tc>
          <w:tcPr>
            <w:tcW w:type="dxa" w:w="4680"/>
            <w:shd w:fill="F5F7F8" w:val="clear" w:color="auto"/>
            <w:tcMar>
              <w:top w:w="70" w:type="dxa"/>
              <w:start w:w="110" w:type="dxa"/>
              <w:bottom w:w="70" w:type="dxa"/>
              <w:end w:w="110" w:type="dxa"/>
            </w:tcMar>
          </w:tcPr>
          <w:p>
            <w:pPr>
              <w:pStyle w:val="TableText"/>
            </w:pPr>
            <w:r>
              <w:rPr/>
              <w:t>the Understanding on Rules and Procedures Governing the Settlement of Disputes, set out in Annex 2 to the WTO Agreement</w:t>
            </w:r>
          </w:p>
        </w:tc>
      </w:tr>
      <w:tr>
        <w:trPr>
          <w:cantSplit/>
        </w:trPr>
        <w:tc>
          <w:tcPr>
            <w:tcW w:type="dxa" w:w="4680"/>
            <w:tcMar>
              <w:top w:w="70" w:type="dxa"/>
              <w:start w:w="110" w:type="dxa"/>
              <w:bottom w:w="70" w:type="dxa"/>
              <w:end w:w="110" w:type="dxa"/>
            </w:tcMar>
          </w:tcPr>
          <w:p>
            <w:pPr>
              <w:pStyle w:val="TableText"/>
            </w:pPr>
            <w:r>
              <w:rPr/>
              <w:t>duty deferral program</w:t>
            </w:r>
          </w:p>
        </w:tc>
        <w:tc>
          <w:tcPr>
            <w:tcW w:type="dxa" w:w="4680"/>
            <w:tcMar>
              <w:top w:w="70" w:type="dxa"/>
              <w:start w:w="110" w:type="dxa"/>
              <w:bottom w:w="70" w:type="dxa"/>
              <w:end w:w="110" w:type="dxa"/>
            </w:tcMar>
          </w:tcPr>
          <w:p>
            <w:pPr>
              <w:pStyle w:val="TableText"/>
            </w:pPr>
            <w:r>
              <w:rPr/>
              <w:t>includes measures such as those governing foreign trade zones, temporary importations under bond, bonded warehouses, “maquiladoras”, and inward processing programs</w:t>
            </w:r>
          </w:p>
        </w:tc>
      </w:tr>
      <w:tr>
        <w:trPr>
          <w:cantSplit/>
        </w:trPr>
        <w:tc>
          <w:tcPr>
            <w:tcW w:type="dxa" w:w="4680"/>
            <w:shd w:fill="F5F7F8" w:val="clear" w:color="auto"/>
            <w:tcMar>
              <w:top w:w="70" w:type="dxa"/>
              <w:start w:w="110" w:type="dxa"/>
              <w:bottom w:w="70" w:type="dxa"/>
              <w:end w:w="110" w:type="dxa"/>
            </w:tcMar>
          </w:tcPr>
          <w:p>
            <w:pPr>
              <w:pStyle w:val="TableText"/>
            </w:pPr>
            <w:r>
              <w:rPr/>
              <w:t>enterprise</w:t>
            </w:r>
          </w:p>
        </w:tc>
        <w:tc>
          <w:tcPr>
            <w:tcW w:type="dxa" w:w="4680"/>
            <w:shd w:fill="F5F7F8" w:val="clear" w:color="auto"/>
            <w:tcMar>
              <w:top w:w="70" w:type="dxa"/>
              <w:start w:w="110" w:type="dxa"/>
              <w:bottom w:w="70" w:type="dxa"/>
              <w:end w:w="110" w:type="dxa"/>
            </w:tcMar>
          </w:tcPr>
          <w:p>
            <w:pPr>
              <w:pStyle w:val="TableText"/>
            </w:pPr>
            <w:r>
              <w:rPr/>
              <w:t>an entity constituted or organized under applicable law, whether or not for profit, and whether privately-owned or governmentally-owned or controlled, including a corporation, trust, partnership, sole proprietorship, joint venture, association or similar organization</w:t>
            </w:r>
          </w:p>
        </w:tc>
      </w:tr>
      <w:tr>
        <w:trPr>
          <w:cantSplit/>
        </w:trPr>
        <w:tc>
          <w:tcPr>
            <w:tcW w:type="dxa" w:w="4680"/>
            <w:tcMar>
              <w:top w:w="70" w:type="dxa"/>
              <w:start w:w="110" w:type="dxa"/>
              <w:bottom w:w="70" w:type="dxa"/>
              <w:end w:w="110" w:type="dxa"/>
            </w:tcMar>
          </w:tcPr>
          <w:p>
            <w:pPr>
              <w:pStyle w:val="TableText"/>
            </w:pPr>
            <w:r>
              <w:rPr/>
              <w:t>enterprise of a Party</w:t>
            </w:r>
          </w:p>
        </w:tc>
        <w:tc>
          <w:tcPr>
            <w:tcW w:type="dxa" w:w="4680"/>
            <w:tcMar>
              <w:top w:w="70" w:type="dxa"/>
              <w:start w:w="110" w:type="dxa"/>
              <w:bottom w:w="70" w:type="dxa"/>
              <w:end w:w="110" w:type="dxa"/>
            </w:tcMar>
          </w:tcPr>
          <w:p>
            <w:pPr>
              <w:pStyle w:val="TableText"/>
            </w:pPr>
            <w:r>
              <w:rPr/>
              <w:t>an enterprise constituted or organized under the law of a Party</w:t>
            </w:r>
          </w:p>
        </w:tc>
      </w:tr>
      <w:tr>
        <w:trPr>
          <w:cantSplit/>
        </w:trPr>
        <w:tc>
          <w:tcPr>
            <w:tcW w:type="dxa" w:w="4680"/>
            <w:shd w:fill="F5F7F8" w:val="clear" w:color="auto"/>
            <w:tcMar>
              <w:top w:w="70" w:type="dxa"/>
              <w:start w:w="110" w:type="dxa"/>
              <w:bottom w:w="70" w:type="dxa"/>
              <w:end w:w="110" w:type="dxa"/>
            </w:tcMar>
          </w:tcPr>
          <w:p>
            <w:pPr>
              <w:pStyle w:val="TableText"/>
            </w:pPr>
            <w:r>
              <w:rPr/>
              <w:t>existing</w:t>
            </w:r>
          </w:p>
        </w:tc>
        <w:tc>
          <w:tcPr>
            <w:tcW w:type="dxa" w:w="4680"/>
            <w:shd w:fill="F5F7F8" w:val="clear" w:color="auto"/>
            <w:tcMar>
              <w:top w:w="70" w:type="dxa"/>
              <w:start w:w="110" w:type="dxa"/>
              <w:bottom w:w="70" w:type="dxa"/>
              <w:end w:w="110" w:type="dxa"/>
            </w:tcMar>
          </w:tcPr>
          <w:p>
            <w:pPr>
              <w:pStyle w:val="TableText"/>
            </w:pPr>
            <w:r>
              <w:rPr/>
              <w:t>in effect on the date of entry into force of this Agreement</w:t>
            </w:r>
          </w:p>
        </w:tc>
      </w:tr>
      <w:tr>
        <w:trPr>
          <w:cantSplit/>
        </w:trPr>
        <w:tc>
          <w:tcPr>
            <w:tcW w:type="dxa" w:w="4680"/>
            <w:tcMar>
              <w:top w:w="70" w:type="dxa"/>
              <w:start w:w="110" w:type="dxa"/>
              <w:bottom w:w="70" w:type="dxa"/>
              <w:end w:w="110" w:type="dxa"/>
            </w:tcMar>
          </w:tcPr>
          <w:p>
            <w:pPr>
              <w:pStyle w:val="TableText"/>
            </w:pPr>
            <w:r>
              <w:rPr/>
              <w:t>GATS</w:t>
            </w:r>
          </w:p>
        </w:tc>
        <w:tc>
          <w:tcPr>
            <w:tcW w:type="dxa" w:w="4680"/>
            <w:tcMar>
              <w:top w:w="70" w:type="dxa"/>
              <w:start w:w="110" w:type="dxa"/>
              <w:bottom w:w="70" w:type="dxa"/>
              <w:end w:w="110" w:type="dxa"/>
            </w:tcMar>
          </w:tcPr>
          <w:p>
            <w:pPr>
              <w:pStyle w:val="TableText"/>
            </w:pPr>
            <w:r>
              <w:rPr/>
              <w:t>the General Agreement on Trade in Services, set out in Annex 1B to the WTO Agreement</w:t>
            </w:r>
          </w:p>
        </w:tc>
      </w:tr>
      <w:tr>
        <w:trPr>
          <w:cantSplit/>
        </w:trPr>
        <w:tc>
          <w:tcPr>
            <w:tcW w:type="dxa" w:w="4680"/>
            <w:shd w:fill="F5F7F8" w:val="clear" w:color="auto"/>
            <w:tcMar>
              <w:top w:w="70" w:type="dxa"/>
              <w:start w:w="110" w:type="dxa"/>
              <w:bottom w:w="70" w:type="dxa"/>
              <w:end w:w="110" w:type="dxa"/>
            </w:tcMar>
          </w:tcPr>
          <w:p>
            <w:pPr>
              <w:pStyle w:val="TableText"/>
            </w:pPr>
            <w:r>
              <w:rPr/>
              <w:t>GATT 1994</w:t>
            </w:r>
          </w:p>
        </w:tc>
        <w:tc>
          <w:tcPr>
            <w:tcW w:type="dxa" w:w="4680"/>
            <w:shd w:fill="F5F7F8" w:val="clear" w:color="auto"/>
            <w:tcMar>
              <w:top w:w="70" w:type="dxa"/>
              <w:start w:w="110" w:type="dxa"/>
              <w:bottom w:w="70" w:type="dxa"/>
              <w:end w:w="110" w:type="dxa"/>
            </w:tcMar>
          </w:tcPr>
          <w:p>
            <w:pPr>
              <w:pStyle w:val="TableText"/>
            </w:pPr>
            <w:r>
              <w:rPr/>
              <w:t>the General Agreement on Tariffs and Trade 1994, set out in Annex 1A to the WTO Agreement</w:t>
            </w:r>
          </w:p>
        </w:tc>
      </w:tr>
      <w:tr>
        <w:trPr>
          <w:cantSplit/>
        </w:trPr>
        <w:tc>
          <w:tcPr>
            <w:tcW w:type="dxa" w:w="4680"/>
            <w:tcMar>
              <w:top w:w="70" w:type="dxa"/>
              <w:start w:w="110" w:type="dxa"/>
              <w:bottom w:w="70" w:type="dxa"/>
              <w:end w:w="110" w:type="dxa"/>
            </w:tcMar>
          </w:tcPr>
          <w:p>
            <w:pPr>
              <w:pStyle w:val="TableText"/>
            </w:pPr>
            <w:r>
              <w:rPr/>
              <w:t>goods</w:t>
            </w:r>
          </w:p>
        </w:tc>
        <w:tc>
          <w:tcPr>
            <w:tcW w:type="dxa" w:w="4680"/>
            <w:tcMar>
              <w:top w:w="70" w:type="dxa"/>
              <w:start w:w="110" w:type="dxa"/>
              <w:bottom w:w="70" w:type="dxa"/>
              <w:end w:w="110" w:type="dxa"/>
            </w:tcMar>
          </w:tcPr>
          <w:p>
            <w:pPr>
              <w:pStyle w:val="TableText"/>
            </w:pPr>
            <w:r>
              <w:rPr/>
              <w:t>a merchandise, product, article, or material</w:t>
            </w:r>
          </w:p>
        </w:tc>
      </w:tr>
      <w:tr>
        <w:trPr>
          <w:cantSplit/>
        </w:trPr>
        <w:tc>
          <w:tcPr>
            <w:tcW w:type="dxa" w:w="4680"/>
            <w:shd w:fill="F5F7F8" w:val="clear" w:color="auto"/>
            <w:tcMar>
              <w:top w:w="70" w:type="dxa"/>
              <w:start w:w="110" w:type="dxa"/>
              <w:bottom w:w="70" w:type="dxa"/>
              <w:end w:w="110" w:type="dxa"/>
            </w:tcMar>
          </w:tcPr>
          <w:p>
            <w:pPr>
              <w:pStyle w:val="TableText"/>
            </w:pPr>
            <w:r>
              <w:rPr/>
              <w:t>goods of a Party</w:t>
            </w:r>
          </w:p>
        </w:tc>
        <w:tc>
          <w:tcPr>
            <w:tcW w:type="dxa" w:w="4680"/>
            <w:shd w:fill="F5F7F8" w:val="clear" w:color="auto"/>
            <w:tcMar>
              <w:top w:w="70" w:type="dxa"/>
              <w:start w:w="110" w:type="dxa"/>
              <w:bottom w:w="70" w:type="dxa"/>
              <w:end w:w="110" w:type="dxa"/>
            </w:tcMar>
          </w:tcPr>
          <w:p>
            <w:pPr>
              <w:pStyle w:val="TableText"/>
            </w:pPr>
            <w:r>
              <w:rPr/>
              <w:t>domestic products as these are understood in the GATT 1994 or such goods as the Parties may agree, and includes originating goods of a Party</w:t>
            </w:r>
          </w:p>
        </w:tc>
      </w:tr>
      <w:tr>
        <w:trPr>
          <w:cantSplit/>
        </w:trPr>
        <w:tc>
          <w:tcPr>
            <w:tcW w:type="dxa" w:w="4680"/>
            <w:tcMar>
              <w:top w:w="70" w:type="dxa"/>
              <w:start w:w="110" w:type="dxa"/>
              <w:bottom w:w="70" w:type="dxa"/>
              <w:end w:w="110" w:type="dxa"/>
            </w:tcMar>
          </w:tcPr>
          <w:p>
            <w:pPr>
              <w:pStyle w:val="TableText"/>
            </w:pPr>
            <w:r>
              <w:rPr/>
              <w:t>government procurement</w:t>
            </w:r>
          </w:p>
        </w:tc>
        <w:tc>
          <w:tcPr>
            <w:tcW w:type="dxa" w:w="4680"/>
            <w:tcMar>
              <w:top w:w="70" w:type="dxa"/>
              <w:start w:w="110" w:type="dxa"/>
              <w:bottom w:w="70" w:type="dxa"/>
              <w:end w:w="110" w:type="dxa"/>
            </w:tcMar>
          </w:tcPr>
          <w:p>
            <w:pPr>
              <w:pStyle w:val="TableText"/>
            </w:pPr>
            <w:r>
              <w:rPr/>
              <w:t>the process by which a government obtains the use of or acquires goods or services, or any combination thereof, for governmental purposes and not with a view to commercial sale or resale or use in the production or supply of goods or services for commercial sale or resale</w:t>
            </w:r>
          </w:p>
        </w:tc>
      </w:tr>
      <w:tr>
        <w:trPr>
          <w:cantSplit/>
        </w:trPr>
        <w:tc>
          <w:tcPr>
            <w:tcW w:type="dxa" w:w="4680"/>
            <w:shd w:fill="F5F7F8" w:val="clear" w:color="auto"/>
            <w:tcMar>
              <w:top w:w="70" w:type="dxa"/>
              <w:start w:w="110" w:type="dxa"/>
              <w:bottom w:w="70" w:type="dxa"/>
              <w:end w:w="110" w:type="dxa"/>
            </w:tcMar>
          </w:tcPr>
          <w:p>
            <w:pPr>
              <w:pStyle w:val="TableText"/>
            </w:pPr>
            <w:r>
              <w:rPr/>
              <w:t>Harmonized System (HS)</w:t>
            </w:r>
          </w:p>
        </w:tc>
        <w:tc>
          <w:tcPr>
            <w:tcW w:type="dxa" w:w="4680"/>
            <w:shd w:fill="F5F7F8" w:val="clear" w:color="auto"/>
            <w:tcMar>
              <w:top w:w="70" w:type="dxa"/>
              <w:start w:w="110" w:type="dxa"/>
              <w:bottom w:w="70" w:type="dxa"/>
              <w:end w:w="110" w:type="dxa"/>
            </w:tcMar>
          </w:tcPr>
          <w:p>
            <w:pPr>
              <w:pStyle w:val="TableText"/>
            </w:pPr>
            <w:r>
              <w:rPr/>
              <w:t>the Harmonized Commodity Description and Coding Systems, including its General Rules of Interpretation, Section Notes, Chapter Notes, and Subheading Notes as adopted and implemented by the Parties in their respective laws</w:t>
            </w:r>
          </w:p>
        </w:tc>
      </w:tr>
      <w:tr>
        <w:trPr>
          <w:cantSplit/>
        </w:trPr>
        <w:tc>
          <w:tcPr>
            <w:tcW w:type="dxa" w:w="4680"/>
            <w:tcMar>
              <w:top w:w="70" w:type="dxa"/>
              <w:start w:w="110" w:type="dxa"/>
              <w:bottom w:w="70" w:type="dxa"/>
              <w:end w:w="110" w:type="dxa"/>
            </w:tcMar>
          </w:tcPr>
          <w:p>
            <w:pPr>
              <w:pStyle w:val="TableText"/>
            </w:pPr>
            <w:r>
              <w:rPr/>
              <w:t>heading</w:t>
            </w:r>
          </w:p>
        </w:tc>
        <w:tc>
          <w:tcPr>
            <w:tcW w:type="dxa" w:w="4680"/>
            <w:tcMar>
              <w:top w:w="70" w:type="dxa"/>
              <w:start w:w="110" w:type="dxa"/>
              <w:bottom w:w="70" w:type="dxa"/>
              <w:end w:w="110" w:type="dxa"/>
            </w:tcMar>
          </w:tcPr>
          <w:p>
            <w:pPr>
              <w:pStyle w:val="TableText"/>
            </w:pPr>
            <w:r>
              <w:rPr/>
              <w:t>the first four digits in the tariff classification number under the Harmonized System</w:t>
            </w:r>
          </w:p>
        </w:tc>
      </w:tr>
      <w:tr>
        <w:trPr>
          <w:cantSplit/>
        </w:trPr>
        <w:tc>
          <w:tcPr>
            <w:tcW w:type="dxa" w:w="4680"/>
            <w:shd w:fill="F5F7F8" w:val="clear" w:color="auto"/>
            <w:tcMar>
              <w:top w:w="70" w:type="dxa"/>
              <w:start w:w="110" w:type="dxa"/>
              <w:bottom w:w="70" w:type="dxa"/>
              <w:end w:w="110" w:type="dxa"/>
            </w:tcMar>
          </w:tcPr>
          <w:p>
            <w:pPr>
              <w:pStyle w:val="TableText"/>
            </w:pPr>
            <w:r>
              <w:rPr/>
              <w:t>IMF Articles of Agreement</w:t>
            </w:r>
          </w:p>
        </w:tc>
        <w:tc>
          <w:tcPr>
            <w:tcW w:type="dxa" w:w="4680"/>
            <w:shd w:fill="F5F7F8" w:val="clear" w:color="auto"/>
            <w:tcMar>
              <w:top w:w="70" w:type="dxa"/>
              <w:start w:w="110" w:type="dxa"/>
              <w:bottom w:w="70" w:type="dxa"/>
              <w:end w:w="110" w:type="dxa"/>
            </w:tcMar>
          </w:tcPr>
          <w:p>
            <w:pPr>
              <w:pStyle w:val="TableText"/>
            </w:pPr>
            <w:r>
              <w:rPr/>
              <w:t>the Articles of Agreement of the International Monetary Fund, done at Bretton Woods, United States on July 22, 1944</w:t>
            </w:r>
          </w:p>
        </w:tc>
      </w:tr>
      <w:tr>
        <w:trPr>
          <w:cantSplit/>
        </w:trPr>
        <w:tc>
          <w:tcPr>
            <w:tcW w:type="dxa" w:w="4680"/>
            <w:tcMar>
              <w:top w:w="70" w:type="dxa"/>
              <w:start w:w="110" w:type="dxa"/>
              <w:bottom w:w="70" w:type="dxa"/>
              <w:end w:w="110" w:type="dxa"/>
            </w:tcMar>
          </w:tcPr>
          <w:p>
            <w:pPr>
              <w:pStyle w:val="TableText"/>
            </w:pPr>
            <w:r>
              <w:rPr/>
              <w:t>individual</w:t>
            </w:r>
          </w:p>
        </w:tc>
        <w:tc>
          <w:tcPr>
            <w:tcW w:type="dxa" w:w="4680"/>
            <w:tcMar>
              <w:top w:w="70" w:type="dxa"/>
              <w:start w:w="110" w:type="dxa"/>
              <w:bottom w:w="70" w:type="dxa"/>
              <w:end w:w="110" w:type="dxa"/>
            </w:tcMar>
          </w:tcPr>
          <w:p>
            <w:pPr>
              <w:pStyle w:val="TableText"/>
            </w:pPr>
            <w:r>
              <w:rPr/>
              <w:t>a natural person</w:t>
            </w:r>
          </w:p>
        </w:tc>
      </w:tr>
      <w:tr>
        <w:trPr>
          <w:cantSplit/>
        </w:trPr>
        <w:tc>
          <w:tcPr>
            <w:tcW w:type="dxa" w:w="4680"/>
            <w:shd w:fill="F5F7F8" w:val="clear" w:color="auto"/>
            <w:tcMar>
              <w:top w:w="70" w:type="dxa"/>
              <w:start w:w="110" w:type="dxa"/>
              <w:bottom w:w="70" w:type="dxa"/>
              <w:end w:w="110" w:type="dxa"/>
            </w:tcMar>
          </w:tcPr>
          <w:p>
            <w:pPr>
              <w:pStyle w:val="TableText"/>
            </w:pPr>
            <w:r>
              <w:rPr/>
              <w:t>measure</w:t>
            </w:r>
          </w:p>
        </w:tc>
        <w:tc>
          <w:tcPr>
            <w:tcW w:type="dxa" w:w="4680"/>
            <w:shd w:fill="F5F7F8" w:val="clear" w:color="auto"/>
            <w:tcMar>
              <w:top w:w="70" w:type="dxa"/>
              <w:start w:w="110" w:type="dxa"/>
              <w:bottom w:w="70" w:type="dxa"/>
              <w:end w:w="110" w:type="dxa"/>
            </w:tcMar>
          </w:tcPr>
          <w:p>
            <w:pPr>
              <w:pStyle w:val="TableText"/>
            </w:pPr>
            <w:r>
              <w:rPr/>
              <w:t>includes any law, regulation, procedure, requirement, or practice</w:t>
            </w:r>
          </w:p>
        </w:tc>
      </w:tr>
      <w:tr>
        <w:trPr>
          <w:cantSplit/>
        </w:trPr>
        <w:tc>
          <w:tcPr>
            <w:tcW w:type="dxa" w:w="4680"/>
            <w:tcMar>
              <w:top w:w="70" w:type="dxa"/>
              <w:start w:w="110" w:type="dxa"/>
              <w:bottom w:w="70" w:type="dxa"/>
              <w:end w:w="110" w:type="dxa"/>
            </w:tcMar>
          </w:tcPr>
          <w:p>
            <w:pPr>
              <w:pStyle w:val="TableText"/>
            </w:pPr>
            <w:r>
              <w:rPr/>
              <w:t>NAFTA 1994</w:t>
            </w:r>
          </w:p>
        </w:tc>
        <w:tc>
          <w:tcPr>
            <w:tcW w:type="dxa" w:w="4680"/>
            <w:tcMar>
              <w:top w:w="70" w:type="dxa"/>
              <w:start w:w="110" w:type="dxa"/>
              <w:bottom w:w="70" w:type="dxa"/>
              <w:end w:w="110" w:type="dxa"/>
            </w:tcMar>
          </w:tcPr>
          <w:p>
            <w:pPr>
              <w:pStyle w:val="TableText"/>
            </w:pPr>
            <w:r>
              <w:rPr/>
              <w:t>the North American Free Trade Agreement that entered into force on January 1, 1994</w:t>
            </w:r>
          </w:p>
        </w:tc>
      </w:tr>
      <w:tr>
        <w:trPr>
          <w:cantSplit/>
        </w:trPr>
        <w:tc>
          <w:tcPr>
            <w:tcW w:type="dxa" w:w="4680"/>
            <w:shd w:fill="F5F7F8" w:val="clear" w:color="auto"/>
            <w:tcMar>
              <w:top w:w="70" w:type="dxa"/>
              <w:start w:w="110" w:type="dxa"/>
              <w:bottom w:w="70" w:type="dxa"/>
              <w:end w:w="110" w:type="dxa"/>
            </w:tcMar>
          </w:tcPr>
          <w:p>
            <w:pPr>
              <w:pStyle w:val="TableText"/>
            </w:pPr>
            <w:r>
              <w:rPr/>
              <w:t>national</w:t>
            </w:r>
          </w:p>
        </w:tc>
        <w:tc>
          <w:tcPr>
            <w:tcW w:type="dxa" w:w="4680"/>
            <w:shd w:fill="F5F7F8" w:val="clear" w:color="auto"/>
            <w:tcMar>
              <w:top w:w="70" w:type="dxa"/>
              <w:start w:w="110" w:type="dxa"/>
              <w:bottom w:w="70" w:type="dxa"/>
              <w:end w:w="110" w:type="dxa"/>
            </w:tcMar>
          </w:tcPr>
          <w:p>
            <w:pPr>
              <w:pStyle w:val="TableText"/>
            </w:pPr>
            <w:r>
              <w:rPr/>
              <w:t>a “natural person who has the nationality of a Party” as set out below for each Party or a permanent resident of a Party: (a) for Canada, a citizen of Canada; (b) for Mexico, a person who has the nationality of Mexico in accordance with its applicable laws; and (c) for the United States, a “national of the United States” as defined in the Immigration and Nationality Act</w:t>
            </w:r>
          </w:p>
        </w:tc>
      </w:tr>
      <w:tr>
        <w:trPr>
          <w:cantSplit/>
        </w:trPr>
        <w:tc>
          <w:tcPr>
            <w:tcW w:type="dxa" w:w="4680"/>
            <w:tcMar>
              <w:top w:w="70" w:type="dxa"/>
              <w:start w:w="110" w:type="dxa"/>
              <w:bottom w:w="70" w:type="dxa"/>
              <w:end w:w="110" w:type="dxa"/>
            </w:tcMar>
          </w:tcPr>
          <w:p>
            <w:pPr>
              <w:pStyle w:val="TableText"/>
            </w:pPr>
            <w:r>
              <w:rPr/>
              <w:t>originating</w:t>
            </w:r>
          </w:p>
        </w:tc>
        <w:tc>
          <w:tcPr>
            <w:tcW w:type="dxa" w:w="4680"/>
            <w:tcMar>
              <w:top w:w="70" w:type="dxa"/>
              <w:start w:w="110" w:type="dxa"/>
              <w:bottom w:w="70" w:type="dxa"/>
              <w:end w:w="110" w:type="dxa"/>
            </w:tcMar>
          </w:tcPr>
          <w:p>
            <w:pPr>
              <w:pStyle w:val="TableText"/>
            </w:pPr>
            <w:r>
              <w:rPr/>
              <w:t>qualifying as originating under the rules of origin set out in Chapter 4 (Rules of Origin) or Chapter 6 (Textile and Apparel Goods)</w:t>
            </w:r>
          </w:p>
        </w:tc>
      </w:tr>
      <w:tr>
        <w:trPr>
          <w:cantSplit/>
        </w:trPr>
        <w:tc>
          <w:tcPr>
            <w:tcW w:type="dxa" w:w="4680"/>
            <w:shd w:fill="F5F7F8" w:val="clear" w:color="auto"/>
            <w:tcMar>
              <w:top w:w="70" w:type="dxa"/>
              <w:start w:w="110" w:type="dxa"/>
              <w:bottom w:w="70" w:type="dxa"/>
              <w:end w:w="110" w:type="dxa"/>
            </w:tcMar>
          </w:tcPr>
          <w:p>
            <w:pPr>
              <w:pStyle w:val="TableText"/>
            </w:pPr>
            <w:r>
              <w:rPr/>
              <w:t>person</w:t>
            </w:r>
          </w:p>
        </w:tc>
        <w:tc>
          <w:tcPr>
            <w:tcW w:type="dxa" w:w="4680"/>
            <w:shd w:fill="F5F7F8" w:val="clear" w:color="auto"/>
            <w:tcMar>
              <w:top w:w="70" w:type="dxa"/>
              <w:start w:w="110" w:type="dxa"/>
              <w:bottom w:w="70" w:type="dxa"/>
              <w:end w:w="110" w:type="dxa"/>
            </w:tcMar>
          </w:tcPr>
          <w:p>
            <w:pPr>
              <w:pStyle w:val="TableText"/>
            </w:pPr>
            <w:r>
              <w:rPr/>
              <w:t>a natural person or an enterprise</w:t>
            </w:r>
          </w:p>
        </w:tc>
      </w:tr>
      <w:tr>
        <w:trPr>
          <w:cantSplit/>
        </w:trPr>
        <w:tc>
          <w:tcPr>
            <w:tcW w:type="dxa" w:w="4680"/>
            <w:tcMar>
              <w:top w:w="70" w:type="dxa"/>
              <w:start w:w="110" w:type="dxa"/>
              <w:bottom w:w="70" w:type="dxa"/>
              <w:end w:w="110" w:type="dxa"/>
            </w:tcMar>
          </w:tcPr>
          <w:p>
            <w:pPr>
              <w:pStyle w:val="TableText"/>
            </w:pPr>
            <w:r>
              <w:rPr/>
              <w:t>person of a Party</w:t>
            </w:r>
          </w:p>
        </w:tc>
        <w:tc>
          <w:tcPr>
            <w:tcW w:type="dxa" w:w="4680"/>
            <w:tcMar>
              <w:top w:w="70" w:type="dxa"/>
              <w:start w:w="110" w:type="dxa"/>
              <w:bottom w:w="70" w:type="dxa"/>
              <w:end w:w="110" w:type="dxa"/>
            </w:tcMar>
          </w:tcPr>
          <w:p>
            <w:pPr>
              <w:pStyle w:val="TableText"/>
            </w:pPr>
            <w:r>
              <w:rPr/>
              <w:t>a national of a Party or an enterprise of a Party</w:t>
            </w:r>
          </w:p>
        </w:tc>
      </w:tr>
      <w:tr>
        <w:trPr>
          <w:cantSplit/>
        </w:trPr>
        <w:tc>
          <w:tcPr>
            <w:tcW w:type="dxa" w:w="4680"/>
            <w:shd w:fill="F5F7F8" w:val="clear" w:color="auto"/>
            <w:tcMar>
              <w:top w:w="70" w:type="dxa"/>
              <w:start w:w="110" w:type="dxa"/>
              <w:bottom w:w="70" w:type="dxa"/>
              <w:end w:w="110" w:type="dxa"/>
            </w:tcMar>
          </w:tcPr>
          <w:p>
            <w:pPr>
              <w:pStyle w:val="TableText"/>
            </w:pPr>
            <w:r>
              <w:rPr/>
              <w:t>preferential tariff treatment</w:t>
            </w:r>
          </w:p>
        </w:tc>
        <w:tc>
          <w:tcPr>
            <w:tcW w:type="dxa" w:w="4680"/>
            <w:shd w:fill="F5F7F8" w:val="clear" w:color="auto"/>
            <w:tcMar>
              <w:top w:w="70" w:type="dxa"/>
              <w:start w:w="110" w:type="dxa"/>
              <w:bottom w:w="70" w:type="dxa"/>
              <w:end w:w="110" w:type="dxa"/>
            </w:tcMar>
          </w:tcPr>
          <w:p>
            <w:pPr>
              <w:pStyle w:val="TableText"/>
            </w:pPr>
            <w:r>
              <w:rPr/>
              <w:t>the duty rate applicable to an originating good</w:t>
            </w:r>
          </w:p>
        </w:tc>
      </w:tr>
      <w:tr>
        <w:trPr>
          <w:cantSplit/>
        </w:trPr>
        <w:tc>
          <w:tcPr>
            <w:tcW w:type="dxa" w:w="4680"/>
            <w:tcMar>
              <w:top w:w="70" w:type="dxa"/>
              <w:start w:w="110" w:type="dxa"/>
              <w:bottom w:w="70" w:type="dxa"/>
              <w:end w:w="110" w:type="dxa"/>
            </w:tcMar>
          </w:tcPr>
          <w:p>
            <w:pPr>
              <w:pStyle w:val="TableText"/>
            </w:pPr>
            <w:r>
              <w:rPr/>
              <w:t>publish</w:t>
            </w:r>
          </w:p>
        </w:tc>
        <w:tc>
          <w:tcPr>
            <w:tcW w:type="dxa" w:w="4680"/>
            <w:tcMar>
              <w:top w:w="70" w:type="dxa"/>
              <w:start w:w="110" w:type="dxa"/>
              <w:bottom w:w="70" w:type="dxa"/>
              <w:end w:w="110" w:type="dxa"/>
            </w:tcMar>
          </w:tcPr>
          <w:p>
            <w:pPr>
              <w:pStyle w:val="TableText"/>
            </w:pPr>
            <w:r>
              <w:rPr/>
              <w:t>to disseminate information through paper or electronic means that is distributed widely and is readily accessible to the general public</w:t>
            </w:r>
          </w:p>
        </w:tc>
      </w:tr>
      <w:tr>
        <w:trPr>
          <w:cantSplit/>
        </w:trPr>
        <w:tc>
          <w:tcPr>
            <w:tcW w:type="dxa" w:w="4680"/>
            <w:shd w:fill="F5F7F8" w:val="clear" w:color="auto"/>
            <w:tcMar>
              <w:top w:w="70" w:type="dxa"/>
              <w:start w:w="110" w:type="dxa"/>
              <w:bottom w:w="70" w:type="dxa"/>
              <w:end w:w="110" w:type="dxa"/>
            </w:tcMar>
          </w:tcPr>
          <w:p>
            <w:pPr>
              <w:pStyle w:val="TableText"/>
            </w:pPr>
            <w:r>
              <w:rPr/>
              <w:t>recovered material</w:t>
            </w:r>
          </w:p>
        </w:tc>
        <w:tc>
          <w:tcPr>
            <w:tcW w:type="dxa" w:w="4680"/>
            <w:shd w:fill="F5F7F8" w:val="clear" w:color="auto"/>
            <w:tcMar>
              <w:top w:w="70" w:type="dxa"/>
              <w:start w:w="110" w:type="dxa"/>
              <w:bottom w:w="70" w:type="dxa"/>
              <w:end w:w="110" w:type="dxa"/>
            </w:tcMar>
          </w:tcPr>
          <w:p>
            <w:pPr>
              <w:pStyle w:val="TableText"/>
            </w:pPr>
            <w:r>
              <w:rPr/>
              <w:t>a material in the form of one or more individual parts that results from: (a) the disassembly of a used good into individual parts; and (b) the cleaning, inspecting, testing or other processing of those parts as necessary for improvement to sound working condition</w:t>
            </w:r>
          </w:p>
        </w:tc>
      </w:tr>
      <w:tr>
        <w:trPr>
          <w:cantSplit/>
        </w:trPr>
        <w:tc>
          <w:tcPr>
            <w:tcW w:type="dxa" w:w="4680"/>
            <w:tcMar>
              <w:top w:w="70" w:type="dxa"/>
              <w:start w:w="110" w:type="dxa"/>
              <w:bottom w:w="70" w:type="dxa"/>
              <w:end w:w="110" w:type="dxa"/>
            </w:tcMar>
          </w:tcPr>
          <w:p>
            <w:pPr>
              <w:pStyle w:val="TableText"/>
            </w:pPr>
            <w:r>
              <w:rPr/>
              <w:t>remanufactured good</w:t>
            </w:r>
          </w:p>
        </w:tc>
        <w:tc>
          <w:tcPr>
            <w:tcW w:type="dxa" w:w="4680"/>
            <w:tcMar>
              <w:top w:w="70" w:type="dxa"/>
              <w:start w:w="110" w:type="dxa"/>
              <w:bottom w:w="70" w:type="dxa"/>
              <w:end w:w="110" w:type="dxa"/>
            </w:tcMar>
          </w:tcPr>
          <w:p>
            <w:pPr>
              <w:pStyle w:val="TableText"/>
            </w:pPr>
            <w:r>
              <w:rPr/>
              <w:t>a good classified in HS Chapters 84 through 90 or under heading 94.02 except goods classified under HS headings 84.18, 85.09, 85.10, and 85.16, 87.03 or subheadings 8414.51, 8450.11, 8450.12, 8508.11, and 8517.11, that is entirely or partially composed of recovered materials and: (a) has a similar life expectancy and performs the same as or similar to such a good when new; and (b) has a factory warranty similar to that applicable to such a good when new</w:t>
            </w:r>
          </w:p>
        </w:tc>
      </w:tr>
      <w:tr>
        <w:trPr>
          <w:cantSplit/>
        </w:trPr>
        <w:tc>
          <w:tcPr>
            <w:tcW w:type="dxa" w:w="4680"/>
            <w:shd w:fill="F5F7F8" w:val="clear" w:color="auto"/>
            <w:tcMar>
              <w:top w:w="70" w:type="dxa"/>
              <w:start w:w="110" w:type="dxa"/>
              <w:bottom w:w="70" w:type="dxa"/>
              <w:end w:w="110" w:type="dxa"/>
            </w:tcMar>
          </w:tcPr>
          <w:p>
            <w:pPr>
              <w:pStyle w:val="TableText"/>
            </w:pPr>
            <w:r>
              <w:rPr/>
              <w:t>regional level of government</w:t>
            </w:r>
          </w:p>
        </w:tc>
        <w:tc>
          <w:tcPr>
            <w:tcW w:type="dxa" w:w="4680"/>
            <w:shd w:fill="F5F7F8" w:val="clear" w:color="auto"/>
            <w:tcMar>
              <w:top w:w="70" w:type="dxa"/>
              <w:start w:w="110" w:type="dxa"/>
              <w:bottom w:w="70" w:type="dxa"/>
              <w:end w:w="110" w:type="dxa"/>
            </w:tcMar>
          </w:tcPr>
          <w:p>
            <w:pPr>
              <w:pStyle w:val="TableText"/>
            </w:pPr>
            <w:r>
              <w:rPr/>
              <w:t>(a) for Canada, a province or territory of Canada; (b) for Mexico, a state of the United Mexican States; and (b) for the United States, a state of the United States, the District of Columbia, or Puerto Rico</w:t>
            </w:r>
          </w:p>
        </w:tc>
      </w:tr>
      <w:tr>
        <w:trPr>
          <w:cantSplit/>
        </w:trPr>
        <w:tc>
          <w:tcPr>
            <w:tcW w:type="dxa" w:w="4680"/>
            <w:tcMar>
              <w:top w:w="70" w:type="dxa"/>
              <w:start w:w="110" w:type="dxa"/>
              <w:bottom w:w="70" w:type="dxa"/>
              <w:end w:w="110" w:type="dxa"/>
            </w:tcMar>
          </w:tcPr>
          <w:p>
            <w:pPr>
              <w:pStyle w:val="TableText"/>
            </w:pPr>
            <w:r>
              <w:rPr/>
              <w:t>Safeguards Agreement</w:t>
            </w:r>
          </w:p>
        </w:tc>
        <w:tc>
          <w:tcPr>
            <w:tcW w:type="dxa" w:w="4680"/>
            <w:tcMar>
              <w:top w:w="70" w:type="dxa"/>
              <w:start w:w="110" w:type="dxa"/>
              <w:bottom w:w="70" w:type="dxa"/>
              <w:end w:w="110" w:type="dxa"/>
            </w:tcMar>
          </w:tcPr>
          <w:p>
            <w:pPr>
              <w:pStyle w:val="TableText"/>
            </w:pPr>
            <w:r>
              <w:rPr/>
              <w:t>the Agreement on Safeguards, set out in Annex 1A to the WTO Agreement</w:t>
            </w:r>
          </w:p>
        </w:tc>
      </w:tr>
      <w:tr>
        <w:trPr>
          <w:cantSplit/>
        </w:trPr>
        <w:tc>
          <w:tcPr>
            <w:tcW w:type="dxa" w:w="4680"/>
            <w:shd w:fill="F5F7F8" w:val="clear" w:color="auto"/>
            <w:tcMar>
              <w:top w:w="70" w:type="dxa"/>
              <w:start w:w="110" w:type="dxa"/>
              <w:bottom w:w="70" w:type="dxa"/>
              <w:end w:w="110" w:type="dxa"/>
            </w:tcMar>
          </w:tcPr>
          <w:p>
            <w:pPr>
              <w:pStyle w:val="TableText"/>
            </w:pPr>
            <w:r>
              <w:rPr/>
              <w:t>sanitary or phytosanitary measure</w:t>
            </w:r>
          </w:p>
        </w:tc>
        <w:tc>
          <w:tcPr>
            <w:tcW w:type="dxa" w:w="4680"/>
            <w:shd w:fill="F5F7F8" w:val="clear" w:color="auto"/>
            <w:tcMar>
              <w:top w:w="70" w:type="dxa"/>
              <w:start w:w="110" w:type="dxa"/>
              <w:bottom w:w="70" w:type="dxa"/>
              <w:end w:w="110" w:type="dxa"/>
            </w:tcMar>
          </w:tcPr>
          <w:p>
            <w:pPr>
              <w:pStyle w:val="TableText"/>
            </w:pPr>
            <w:r>
              <w:rPr/>
              <w:t>a measure referred to in paragraph 1 of Annex A to the SPS Agreement</w:t>
            </w:r>
          </w:p>
        </w:tc>
      </w:tr>
      <w:tr>
        <w:trPr>
          <w:cantSplit/>
        </w:trPr>
        <w:tc>
          <w:tcPr>
            <w:tcW w:type="dxa" w:w="4680"/>
            <w:tcMar>
              <w:top w:w="70" w:type="dxa"/>
              <w:start w:w="110" w:type="dxa"/>
              <w:bottom w:w="70" w:type="dxa"/>
              <w:end w:w="110" w:type="dxa"/>
            </w:tcMar>
          </w:tcPr>
          <w:p>
            <w:pPr>
              <w:pStyle w:val="TableText"/>
            </w:pPr>
            <w:r>
              <w:rPr/>
              <w:t>SCM Agreement</w:t>
            </w:r>
          </w:p>
        </w:tc>
        <w:tc>
          <w:tcPr>
            <w:tcW w:type="dxa" w:w="4680"/>
            <w:tcMar>
              <w:top w:w="70" w:type="dxa"/>
              <w:start w:w="110" w:type="dxa"/>
              <w:bottom w:w="70" w:type="dxa"/>
              <w:end w:w="110" w:type="dxa"/>
            </w:tcMar>
          </w:tcPr>
          <w:p>
            <w:pPr>
              <w:pStyle w:val="TableText"/>
            </w:pPr>
            <w:r>
              <w:rPr/>
              <w:t>the Agreement on Subsidies and Countervailing Measures set out in Annex 1A to the WTO Agreement</w:t>
            </w:r>
          </w:p>
        </w:tc>
      </w:tr>
      <w:tr>
        <w:trPr>
          <w:cantSplit/>
        </w:trPr>
        <w:tc>
          <w:tcPr>
            <w:tcW w:type="dxa" w:w="4680"/>
            <w:shd w:fill="F5F7F8" w:val="clear" w:color="auto"/>
            <w:tcMar>
              <w:top w:w="70" w:type="dxa"/>
              <w:start w:w="110" w:type="dxa"/>
              <w:bottom w:w="70" w:type="dxa"/>
              <w:end w:w="110" w:type="dxa"/>
            </w:tcMar>
          </w:tcPr>
          <w:p>
            <w:pPr>
              <w:pStyle w:val="TableText"/>
            </w:pPr>
            <w:r>
              <w:rPr/>
              <w:t>Secretariat</w:t>
            </w:r>
          </w:p>
        </w:tc>
        <w:tc>
          <w:tcPr>
            <w:tcW w:type="dxa" w:w="4680"/>
            <w:shd w:fill="F5F7F8" w:val="clear" w:color="auto"/>
            <w:tcMar>
              <w:top w:w="70" w:type="dxa"/>
              <w:start w:w="110" w:type="dxa"/>
              <w:bottom w:w="70" w:type="dxa"/>
              <w:end w:w="110" w:type="dxa"/>
            </w:tcMar>
          </w:tcPr>
          <w:p>
            <w:pPr>
              <w:pStyle w:val="TableText"/>
            </w:pPr>
            <w:r>
              <w:rPr/>
              <w:t>the Secretariat established under Article 30.6 (The Secretariat)</w:t>
            </w:r>
          </w:p>
        </w:tc>
      </w:tr>
      <w:tr>
        <w:trPr>
          <w:cantSplit/>
        </w:trPr>
        <w:tc>
          <w:tcPr>
            <w:tcW w:type="dxa" w:w="4680"/>
            <w:tcMar>
              <w:top w:w="70" w:type="dxa"/>
              <w:start w:w="110" w:type="dxa"/>
              <w:bottom w:w="70" w:type="dxa"/>
              <w:end w:w="110" w:type="dxa"/>
            </w:tcMar>
          </w:tcPr>
          <w:p>
            <w:pPr>
              <w:pStyle w:val="TableText"/>
            </w:pPr>
            <w:r>
              <w:rPr/>
              <w:t>SME</w:t>
            </w:r>
          </w:p>
        </w:tc>
        <w:tc>
          <w:tcPr>
            <w:tcW w:type="dxa" w:w="4680"/>
            <w:tcMar>
              <w:top w:w="70" w:type="dxa"/>
              <w:start w:w="110" w:type="dxa"/>
              <w:bottom w:w="70" w:type="dxa"/>
              <w:end w:w="110" w:type="dxa"/>
            </w:tcMar>
          </w:tcPr>
          <w:p>
            <w:pPr>
              <w:pStyle w:val="TableText"/>
            </w:pPr>
            <w:r>
              <w:rPr/>
              <w:t>a small and medium-sized enterprise, including a micro-sized enterprise</w:t>
            </w:r>
          </w:p>
        </w:tc>
      </w:tr>
      <w:tr>
        <w:trPr>
          <w:cantSplit/>
        </w:trPr>
        <w:tc>
          <w:tcPr>
            <w:tcW w:type="dxa" w:w="4680"/>
            <w:shd w:fill="F5F7F8" w:val="clear" w:color="auto"/>
            <w:tcMar>
              <w:top w:w="70" w:type="dxa"/>
              <w:start w:w="110" w:type="dxa"/>
              <w:bottom w:w="70" w:type="dxa"/>
              <w:end w:w="110" w:type="dxa"/>
            </w:tcMar>
          </w:tcPr>
          <w:p>
            <w:pPr>
              <w:pStyle w:val="TableText"/>
            </w:pPr>
            <w:r>
              <w:rPr/>
              <w:t>SPS Agreement</w:t>
            </w:r>
          </w:p>
        </w:tc>
        <w:tc>
          <w:tcPr>
            <w:tcW w:type="dxa" w:w="4680"/>
            <w:shd w:fill="F5F7F8" w:val="clear" w:color="auto"/>
            <w:tcMar>
              <w:top w:w="70" w:type="dxa"/>
              <w:start w:w="110" w:type="dxa"/>
              <w:bottom w:w="70" w:type="dxa"/>
              <w:end w:w="110" w:type="dxa"/>
            </w:tcMar>
          </w:tcPr>
          <w:p>
            <w:pPr>
              <w:pStyle w:val="TableText"/>
            </w:pPr>
            <w:r>
              <w:rPr/>
              <w:t>the Agreement on the Application of Sanitary and Phytosanitary Measures, set out in Annex 1A to the WTO Agreement</w:t>
            </w:r>
          </w:p>
        </w:tc>
      </w:tr>
      <w:tr>
        <w:trPr>
          <w:cantSplit/>
        </w:trPr>
        <w:tc>
          <w:tcPr>
            <w:tcW w:type="dxa" w:w="4680"/>
            <w:tcMar>
              <w:top w:w="70" w:type="dxa"/>
              <w:start w:w="110" w:type="dxa"/>
              <w:bottom w:w="70" w:type="dxa"/>
              <w:end w:w="110" w:type="dxa"/>
            </w:tcMar>
          </w:tcPr>
          <w:p>
            <w:pPr>
              <w:pStyle w:val="TableText"/>
            </w:pPr>
            <w:r>
              <w:rPr/>
              <w:t>state enterprise</w:t>
            </w:r>
          </w:p>
        </w:tc>
        <w:tc>
          <w:tcPr>
            <w:tcW w:type="dxa" w:w="4680"/>
            <w:tcMar>
              <w:top w:w="70" w:type="dxa"/>
              <w:start w:w="110" w:type="dxa"/>
              <w:bottom w:w="70" w:type="dxa"/>
              <w:end w:w="110" w:type="dxa"/>
            </w:tcMar>
          </w:tcPr>
          <w:p>
            <w:pPr>
              <w:pStyle w:val="TableText"/>
            </w:pPr>
            <w:r>
              <w:rPr/>
              <w:t>an enterprise that is owned, or controlled through ownership interests, by a Party</w:t>
            </w:r>
          </w:p>
        </w:tc>
      </w:tr>
      <w:tr>
        <w:trPr>
          <w:cantSplit/>
        </w:trPr>
        <w:tc>
          <w:tcPr>
            <w:tcW w:type="dxa" w:w="4680"/>
            <w:shd w:fill="F5F7F8" w:val="clear" w:color="auto"/>
            <w:tcMar>
              <w:top w:w="70" w:type="dxa"/>
              <w:start w:w="110" w:type="dxa"/>
              <w:bottom w:w="70" w:type="dxa"/>
              <w:end w:w="110" w:type="dxa"/>
            </w:tcMar>
          </w:tcPr>
          <w:p>
            <w:pPr>
              <w:pStyle w:val="TableText"/>
            </w:pPr>
            <w:r>
              <w:rPr/>
              <w:t>subheading</w:t>
            </w:r>
          </w:p>
        </w:tc>
        <w:tc>
          <w:tcPr>
            <w:tcW w:type="dxa" w:w="4680"/>
            <w:shd w:fill="F5F7F8" w:val="clear" w:color="auto"/>
            <w:tcMar>
              <w:top w:w="70" w:type="dxa"/>
              <w:start w:w="110" w:type="dxa"/>
              <w:bottom w:w="70" w:type="dxa"/>
              <w:end w:w="110" w:type="dxa"/>
            </w:tcMar>
          </w:tcPr>
          <w:p>
            <w:pPr>
              <w:pStyle w:val="TableText"/>
            </w:pPr>
            <w:r>
              <w:rPr/>
              <w:t>the first six digits in the tariff classification number under the Harmonized System; territory has for each Party the meaning set out in Section C (Country-Specific Definitions)</w:t>
            </w:r>
          </w:p>
        </w:tc>
      </w:tr>
      <w:tr>
        <w:trPr>
          <w:cantSplit/>
        </w:trPr>
        <w:tc>
          <w:tcPr>
            <w:tcW w:type="dxa" w:w="4680"/>
            <w:tcMar>
              <w:top w:w="70" w:type="dxa"/>
              <w:start w:w="110" w:type="dxa"/>
              <w:bottom w:w="70" w:type="dxa"/>
              <w:end w:w="110" w:type="dxa"/>
            </w:tcMar>
          </w:tcPr>
          <w:p>
            <w:pPr>
              <w:pStyle w:val="TableText"/>
            </w:pPr>
            <w:r>
              <w:rPr/>
              <w:t>textile or apparel good</w:t>
            </w:r>
          </w:p>
        </w:tc>
        <w:tc>
          <w:tcPr>
            <w:tcW w:type="dxa" w:w="4680"/>
            <w:tcMar>
              <w:top w:w="70" w:type="dxa"/>
              <w:start w:w="110" w:type="dxa"/>
              <w:bottom w:w="70" w:type="dxa"/>
              <w:end w:w="110" w:type="dxa"/>
            </w:tcMar>
          </w:tcPr>
          <w:p>
            <w:pPr>
              <w:pStyle w:val="TableText"/>
            </w:pPr>
            <w:r>
              <w:rPr/>
              <w:t>a textile or apparel good classified in HS subheading 4202.12, 4202.22, 4202.32, or 4202.92 (luggage, handbags and similar articles with an outer surface of textile materials), heading 50.04 through 50.07, 51.04 through 51.13, 52.04 through 52.12, 53.03 through 53.11, Chapter 54 through 63, heading 66.01 (umbrellas) or heading 70.19 (yarns and fabrics of glass fiber), subheading 9404.90 (articles of bedding and similar furnishing), or heading 96.19 (babies diapers and other sanitary textile articles)</w:t>
            </w:r>
          </w:p>
        </w:tc>
      </w:tr>
      <w:tr>
        <w:trPr>
          <w:cantSplit/>
        </w:trPr>
        <w:tc>
          <w:tcPr>
            <w:tcW w:type="dxa" w:w="4680"/>
            <w:shd w:fill="F5F7F8" w:val="clear" w:color="auto"/>
            <w:tcMar>
              <w:top w:w="70" w:type="dxa"/>
              <w:start w:w="110" w:type="dxa"/>
              <w:bottom w:w="70" w:type="dxa"/>
              <w:end w:w="110" w:type="dxa"/>
            </w:tcMar>
          </w:tcPr>
          <w:p>
            <w:pPr>
              <w:pStyle w:val="TableText"/>
            </w:pPr>
            <w:r>
              <w:rPr/>
              <w:t>TRIPS Agreement</w:t>
            </w:r>
          </w:p>
        </w:tc>
        <w:tc>
          <w:tcPr>
            <w:tcW w:type="dxa" w:w="4680"/>
            <w:shd w:fill="F5F7F8" w:val="clear" w:color="auto"/>
            <w:tcMar>
              <w:top w:w="70" w:type="dxa"/>
              <w:start w:w="110" w:type="dxa"/>
              <w:bottom w:w="70" w:type="dxa"/>
              <w:end w:w="110" w:type="dxa"/>
            </w:tcMar>
          </w:tcPr>
          <w:p>
            <w:pPr>
              <w:pStyle w:val="TableText"/>
            </w:pPr>
            <w:r>
              <w:rPr/>
              <w:t>the Agreement on Trade-Related Aspects of Intellectual Property Rights, set out in Annex 1C to the WTO Agreement;1 Uniform Regulations means the regulations described in Article 5.16 (Uniform Regulations)</w:t>
            </w:r>
          </w:p>
        </w:tc>
      </w:tr>
      <w:tr>
        <w:trPr>
          <w:cantSplit/>
        </w:trPr>
        <w:tc>
          <w:tcPr>
            <w:tcW w:type="dxa" w:w="4680"/>
            <w:tcMar>
              <w:top w:w="70" w:type="dxa"/>
              <w:start w:w="110" w:type="dxa"/>
              <w:bottom w:w="70" w:type="dxa"/>
              <w:end w:w="110" w:type="dxa"/>
            </w:tcMar>
          </w:tcPr>
          <w:p>
            <w:pPr>
              <w:pStyle w:val="TableText"/>
            </w:pPr>
            <w:r>
              <w:rPr/>
              <w:t>WTO</w:t>
            </w:r>
          </w:p>
        </w:tc>
        <w:tc>
          <w:tcPr>
            <w:tcW w:type="dxa" w:w="4680"/>
            <w:tcMar>
              <w:top w:w="70" w:type="dxa"/>
              <w:start w:w="110" w:type="dxa"/>
              <w:bottom w:w="70" w:type="dxa"/>
              <w:end w:w="110" w:type="dxa"/>
            </w:tcMar>
          </w:tcPr>
          <w:p>
            <w:pPr>
              <w:pStyle w:val="TableText"/>
            </w:pPr>
            <w:r>
              <w:rPr/>
              <w:t>the World Trade Organization</w:t>
            </w:r>
          </w:p>
        </w:tc>
      </w:tr>
      <w:tr>
        <w:trPr>
          <w:cantSplit/>
        </w:trPr>
        <w:tc>
          <w:tcPr>
            <w:tcW w:type="dxa" w:w="4680"/>
            <w:shd w:fill="F5F7F8" w:val="clear" w:color="auto"/>
            <w:tcMar>
              <w:top w:w="70" w:type="dxa"/>
              <w:start w:w="110" w:type="dxa"/>
              <w:bottom w:w="70" w:type="dxa"/>
              <w:end w:w="110" w:type="dxa"/>
            </w:tcMar>
          </w:tcPr>
          <w:p>
            <w:pPr>
              <w:pStyle w:val="TableText"/>
            </w:pPr>
            <w:r>
              <w:rPr/>
              <w:t>WTO Agreement</w:t>
            </w:r>
          </w:p>
        </w:tc>
        <w:tc>
          <w:tcPr>
            <w:tcW w:type="dxa" w:w="4680"/>
            <w:shd w:fill="F5F7F8" w:val="clear" w:color="auto"/>
            <w:tcMar>
              <w:top w:w="70" w:type="dxa"/>
              <w:start w:w="110" w:type="dxa"/>
              <w:bottom w:w="70" w:type="dxa"/>
              <w:end w:w="110" w:type="dxa"/>
            </w:tcMar>
          </w:tcPr>
          <w:p>
            <w:pPr>
              <w:pStyle w:val="TableText"/>
            </w:pPr>
            <w:r>
              <w:rPr/>
              <w:t>the Marrakesh Agreement Establishing the World Trade Organization, done at Marrakesh on April 15, 1994. 1 For greater certainty, TRIPS Agreement includes any waiver in force between the Parties of any provision of the TRIPS Agreement granted by WTO Members in accordance with the WTO Agreement.</w:t>
            </w:r>
          </w:p>
        </w:tc>
      </w:tr>
    </w:tbl>
    <w:p>
      <w:pPr>
        <w:pStyle w:val="Normal"/>
      </w:pPr>
      <w:r>
        <w:rPr>
          <w:b/>
        </w:rPr>
        <w:t>Section C: Country-Specific Definitions</w:t>
      </w:r>
    </w:p>
    <w:p>
      <w:pPr>
        <w:pStyle w:val="Normal"/>
      </w:pPr>
      <w:r>
        <w:rPr>
          <w:b w:val="0"/>
        </w:rPr>
        <w:t>For the purposes of this Agreement, unless otherwise provided, territory means: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Party</w:t>
            </w:r>
          </w:p>
        </w:tc>
        <w:tc>
          <w:tcPr>
            <w:tcW w:type="dxa" w:w="4680"/>
            <w:tcBorders>
              <w:bottom w:val="single" w:sz="6" w:space="0" w:color="546E7A"/>
            </w:tcBorders>
            <w:shd w:fill="E4E9EC" w:val="clear" w:color="auto"/>
          </w:tcPr>
          <w:p>
            <w:pPr>
              <w:pStyle w:val="TableText"/>
            </w:pPr>
            <w:r>
              <w:rPr>
                <w:b/>
                <w:color w:val="37474F"/>
              </w:rPr>
              <w:t>Territory</w:t>
            </w:r>
          </w:p>
        </w:tc>
      </w:tr>
      <w:tr>
        <w:trPr>
          <w:cantSplit/>
        </w:trPr>
        <w:tc>
          <w:tcPr>
            <w:tcW w:type="dxa" w:w="4680"/>
            <w:tcMar>
              <w:top w:w="70" w:type="dxa"/>
              <w:start w:w="110" w:type="dxa"/>
              <w:bottom w:w="70" w:type="dxa"/>
              <w:end w:w="110" w:type="dxa"/>
            </w:tcMar>
          </w:tcPr>
          <w:p>
            <w:pPr>
              <w:pStyle w:val="TableText"/>
            </w:pPr>
            <w:r>
              <w:rPr/>
              <w:t>Canada</w:t>
            </w:r>
          </w:p>
        </w:tc>
        <w:tc>
          <w:tcPr>
            <w:tcW w:type="dxa" w:w="4680"/>
            <w:tcMar>
              <w:top w:w="70" w:type="dxa"/>
              <w:start w:w="110" w:type="dxa"/>
              <w:bottom w:w="70" w:type="dxa"/>
              <w:end w:w="110" w:type="dxa"/>
            </w:tcMar>
          </w:tcPr>
          <w:p>
            <w:pPr>
              <w:pStyle w:val="TableText"/>
            </w:pPr>
            <w:r>
              <w:rPr/>
              <w:t>(i) the land territory, air space, internal waters, and territorial sea of Canada, (ii) the exclusive economic zone of Canada, and (iii) the continental shelf of Canada, as determined by its domestic law and consistent with international law.</w:t>
            </w:r>
          </w:p>
        </w:tc>
      </w:tr>
      <w:tr>
        <w:trPr>
          <w:cantSplit/>
        </w:trPr>
        <w:tc>
          <w:tcPr>
            <w:tcW w:type="dxa" w:w="4680"/>
            <w:shd w:fill="F5F7F8" w:val="clear" w:color="auto"/>
            <w:tcMar>
              <w:top w:w="70" w:type="dxa"/>
              <w:start w:w="110" w:type="dxa"/>
              <w:bottom w:w="70" w:type="dxa"/>
              <w:end w:w="110" w:type="dxa"/>
            </w:tcMar>
          </w:tcPr>
          <w:p>
            <w:pPr>
              <w:pStyle w:val="TableText"/>
            </w:pPr>
            <w:r>
              <w:rPr/>
              <w:t>Mexico</w:t>
            </w:r>
          </w:p>
        </w:tc>
        <w:tc>
          <w:tcPr>
            <w:tcW w:type="dxa" w:w="4680"/>
            <w:shd w:fill="F5F7F8" w:val="clear" w:color="auto"/>
            <w:tcMar>
              <w:top w:w="70" w:type="dxa"/>
              <w:start w:w="110" w:type="dxa"/>
              <w:bottom w:w="70" w:type="dxa"/>
              <w:end w:w="110" w:type="dxa"/>
            </w:tcMar>
          </w:tcPr>
          <w:p>
            <w:pPr>
              <w:pStyle w:val="TableText"/>
            </w:pPr>
            <w:r>
              <w:rPr/>
              <w:t>(i) the land territory, including the states of the Federation and Mexico City, (ii) the air space, and (iii) the internal waters, territorial sea, and any areas beyond the territorial seas of Mexico within which Mexico may exercise sovereign rights and jurisdiction, as determined by its domestic law, consistent with the United Nations Convention on the Law of the Sea, done at Montego Bay on December 10, 1982</w:t>
            </w:r>
          </w:p>
        </w:tc>
      </w:tr>
      <w:tr>
        <w:trPr>
          <w:cantSplit/>
        </w:trPr>
        <w:tc>
          <w:tcPr>
            <w:tcW w:type="dxa" w:w="4680"/>
            <w:tcMar>
              <w:top w:w="70" w:type="dxa"/>
              <w:start w:w="110" w:type="dxa"/>
              <w:bottom w:w="70" w:type="dxa"/>
              <w:end w:w="110" w:type="dxa"/>
            </w:tcMar>
          </w:tcPr>
          <w:p>
            <w:pPr>
              <w:pStyle w:val="TableText"/>
            </w:pPr>
            <w:r>
              <w:rPr/>
              <w:t>United States</w:t>
            </w:r>
          </w:p>
        </w:tc>
        <w:tc>
          <w:tcPr>
            <w:tcW w:type="dxa" w:w="4680"/>
            <w:tcMar>
              <w:top w:w="70" w:type="dxa"/>
              <w:start w:w="110" w:type="dxa"/>
              <w:bottom w:w="70" w:type="dxa"/>
              <w:end w:w="110" w:type="dxa"/>
            </w:tcMar>
          </w:tcPr>
          <w:p>
            <w:pPr>
              <w:pStyle w:val="TableText"/>
            </w:pPr>
            <w:r>
              <w:rPr/>
              <w:t>(i) the customs territory of the United States, which includes the 50 states, the District of Columbia, and Puerto Rico, (ii) the foreign trade zones located in the United States and Puerto Rico, and (iii) the territorial sea and air space of the United States and any area beyond the territorial sea within which, in accordance with customary international law as reflected in the United Nations Convention on the Law of the Sea, the United States may exercise sovereign rights or jurisdiction.</w:t>
            </w:r>
          </w:p>
        </w:tc>
      </w:tr>
    </w:tbl>
    <w:p>
      <w:pPr>
        <w:pStyle w:val="ModHeading"/>
      </w:pPr>
      <w:bookmarkStart w:id="900026" w:name="_Toc300000025"/>
      <w:r>
        <w:t>CHAPTER 1: CUSMA 2.0 MODERNIZATION PROVISIONS</w:t>
      </w:r>
      <w:bookmarkEnd w:id="900026"/>
    </w:p>
    <w:p>
      <w:pPr>
        <w:pStyle w:val="Normal"/>
      </w:pPr>
      <w:r>
        <w:rPr>
          <w:i/>
        </w:rPr>
        <w:t>The provisions of this Part amend Chapter 1 (Initial Provisions and General Definitions). Upon entry into force of the Protocol of Modernization, this Part is incorporated into Chapter 1 as set out below.</w:t>
      </w:r>
    </w:p>
    <w:p>
      <w:pPr>
        <w:pStyle w:val="Heading2"/>
      </w:pPr>
      <w:bookmarkStart w:id="900027" w:name="_Toc300000026"/>
      <w:r>
        <w:rPr>
          <w:b/>
        </w:rPr>
        <w:t>Article 1.A: Additional General Definitions</w:t>
      </w:r>
      <w:bookmarkEnd w:id="900027"/>
    </w:p>
    <w:p>
      <w:pPr>
        <w:pStyle w:val="Normal"/>
      </w:pPr>
      <w:r>
        <w:rPr>
          <w:b w:val="0"/>
        </w:rPr>
        <w:t>1. Article 1.5 (General Definitions) is amended by adding the following definitions in alphabetical order:</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Term</w:t>
            </w:r>
          </w:p>
        </w:tc>
        <w:tc>
          <w:tcPr>
            <w:tcW w:type="dxa" w:w="4680"/>
            <w:tcBorders>
              <w:bottom w:val="single" w:sz="6" w:space="0" w:color="546E7A"/>
            </w:tcBorders>
            <w:shd w:fill="E4E9EC" w:val="clear" w:color="auto"/>
          </w:tcPr>
          <w:p>
            <w:pPr>
              <w:pStyle w:val="TableText"/>
            </w:pPr>
            <w:r>
              <w:rPr>
                <w:b/>
                <w:color w:val="37474F"/>
              </w:rPr>
              <w:t>Definition</w:t>
            </w:r>
          </w:p>
        </w:tc>
      </w:tr>
      <w:tr>
        <w:trPr>
          <w:cantSplit/>
        </w:trPr>
        <w:tc>
          <w:tcPr>
            <w:tcW w:type="dxa" w:w="4680"/>
            <w:tcMar>
              <w:top w:w="70" w:type="dxa"/>
              <w:start w:w="110" w:type="dxa"/>
              <w:bottom w:w="70" w:type="dxa"/>
              <w:end w:w="110" w:type="dxa"/>
            </w:tcMar>
          </w:tcPr>
          <w:p>
            <w:pPr>
              <w:pStyle w:val="TableText"/>
            </w:pPr>
            <w:r>
              <w:rPr/>
              <w:t>covered border measure</w:t>
            </w:r>
          </w:p>
        </w:tc>
        <w:tc>
          <w:tcPr>
            <w:tcW w:type="dxa" w:w="4680"/>
            <w:tcMar>
              <w:top w:w="70" w:type="dxa"/>
              <w:start w:w="110" w:type="dxa"/>
              <w:bottom w:w="70" w:type="dxa"/>
              <w:end w:w="110" w:type="dxa"/>
            </w:tcMar>
          </w:tcPr>
          <w:p>
            <w:pPr>
              <w:pStyle w:val="TableText"/>
            </w:pPr>
            <w:r>
              <w:rPr/>
              <w:t>has the meaning assigned in Article 35.2 (Definitions);</w:t>
            </w:r>
          </w:p>
        </w:tc>
      </w:tr>
      <w:tr>
        <w:trPr>
          <w:cantSplit/>
        </w:trPr>
        <w:tc>
          <w:tcPr>
            <w:tcW w:type="dxa" w:w="4680"/>
            <w:shd w:fill="F5F7F8" w:val="clear" w:color="auto"/>
            <w:tcMar>
              <w:top w:w="70" w:type="dxa"/>
              <w:start w:w="110" w:type="dxa"/>
              <w:bottom w:w="70" w:type="dxa"/>
              <w:end w:w="110" w:type="dxa"/>
            </w:tcMar>
          </w:tcPr>
          <w:p>
            <w:pPr>
              <w:pStyle w:val="TableText"/>
            </w:pPr>
            <w:r>
              <w:rPr/>
              <w:t>low-value shipment</w:t>
            </w:r>
          </w:p>
        </w:tc>
        <w:tc>
          <w:tcPr>
            <w:tcW w:type="dxa" w:w="4680"/>
            <w:shd w:fill="F5F7F8" w:val="clear" w:color="auto"/>
            <w:tcMar>
              <w:top w:w="70" w:type="dxa"/>
              <w:start w:w="110" w:type="dxa"/>
              <w:bottom w:w="70" w:type="dxa"/>
              <w:end w:w="110" w:type="dxa"/>
            </w:tcMar>
          </w:tcPr>
          <w:p>
            <w:pPr>
              <w:pStyle w:val="TableText"/>
            </w:pPr>
            <w:r>
              <w:rPr/>
              <w:t>has the meaning assigned in Article 35.2 (Definitions);</w:t>
            </w:r>
          </w:p>
        </w:tc>
      </w:tr>
      <w:tr>
        <w:trPr>
          <w:cantSplit/>
        </w:trPr>
        <w:tc>
          <w:tcPr>
            <w:tcW w:type="dxa" w:w="4680"/>
            <w:tcMar>
              <w:top w:w="70" w:type="dxa"/>
              <w:start w:w="110" w:type="dxa"/>
              <w:bottom w:w="70" w:type="dxa"/>
              <w:end w:w="110" w:type="dxa"/>
            </w:tcMar>
          </w:tcPr>
          <w:p>
            <w:pPr>
              <w:pStyle w:val="TableText"/>
            </w:pPr>
            <w:r>
              <w:rPr/>
              <w:t>market-access credit</w:t>
            </w:r>
          </w:p>
        </w:tc>
        <w:tc>
          <w:tcPr>
            <w:tcW w:type="dxa" w:w="4680"/>
            <w:tcMar>
              <w:top w:w="70" w:type="dxa"/>
              <w:start w:w="110" w:type="dxa"/>
              <w:bottom w:w="70" w:type="dxa"/>
              <w:end w:w="110" w:type="dxa"/>
            </w:tcMar>
          </w:tcPr>
          <w:p>
            <w:pPr>
              <w:pStyle w:val="TableText"/>
            </w:pPr>
            <w:r>
              <w:rPr/>
              <w:t>a credit that may be created under Article 35.20 and Annex 35-E;</w:t>
            </w:r>
          </w:p>
        </w:tc>
      </w:tr>
      <w:tr>
        <w:trPr>
          <w:cantSplit/>
        </w:trPr>
        <w:tc>
          <w:tcPr>
            <w:tcW w:type="dxa" w:w="4680"/>
            <w:shd w:fill="F5F7F8" w:val="clear" w:color="auto"/>
            <w:tcMar>
              <w:top w:w="70" w:type="dxa"/>
              <w:start w:w="110" w:type="dxa"/>
              <w:bottom w:w="70" w:type="dxa"/>
              <w:end w:w="110" w:type="dxa"/>
            </w:tcMar>
          </w:tcPr>
          <w:p>
            <w:r>
              <w:t>module (when used as shorthand for trade module)</w:t>
            </w:r>
          </w:p>
        </w:tc>
        <w:tc>
          <w:tcPr>
            <w:tcW w:type="dxa" w:w="4680"/>
            <w:shd w:fill="F5F7F8" w:val="clear" w:color="auto"/>
            <w:tcMar>
              <w:top w:w="70" w:type="dxa"/>
              <w:start w:w="110" w:type="dxa"/>
              <w:bottom w:w="70" w:type="dxa"/>
              <w:end w:w="110" w:type="dxa"/>
            </w:tcMar>
          </w:tcPr>
          <w:p>
            <w:r>
              <w:t>has the same meaning as “trade module” in Article 35.2 (Definitions) only where the context concerns the Chapter 35 trade-module architecture, and does not create a separate category or alter the ordinary meaning of module in a product, component, technical, or other context;</w:t>
            </w:r>
          </w:p>
        </w:tc>
      </w:tr>
      <w:tr>
        <w:trPr>
          <w:cantSplit/>
        </w:trPr>
        <w:tc>
          <w:tcPr>
            <w:tcW w:type="dxa" w:w="4680"/>
            <w:tcMar>
              <w:top w:w="70" w:type="dxa"/>
              <w:start w:w="110" w:type="dxa"/>
              <w:bottom w:w="70" w:type="dxa"/>
              <w:end w:w="110" w:type="dxa"/>
            </w:tcMar>
          </w:tcPr>
          <w:p>
            <w:pPr>
              <w:pStyle w:val="TableText"/>
            </w:pPr>
            <w:r>
              <w:rPr/>
              <w:t>North American Trade Measures Registry or Registry</w:t>
            </w:r>
          </w:p>
        </w:tc>
        <w:tc>
          <w:tcPr>
            <w:tcW w:type="dxa" w:w="4680"/>
            <w:tcMar>
              <w:top w:w="70" w:type="dxa"/>
              <w:start w:w="110" w:type="dxa"/>
              <w:bottom w:w="70" w:type="dxa"/>
              <w:end w:w="110" w:type="dxa"/>
            </w:tcMar>
          </w:tcPr>
          <w:p>
            <w:pPr>
              <w:pStyle w:val="TableText"/>
            </w:pPr>
            <w:r>
              <w:rPr/>
              <w:t>the registry established under Article 35.24;</w:t>
            </w:r>
          </w:p>
        </w:tc>
      </w:tr>
      <w:tr>
        <w:trPr>
          <w:cantSplit/>
        </w:trPr>
        <w:tc>
          <w:tcPr>
            <w:tcW w:type="dxa" w:w="4680"/>
            <w:shd w:fill="F5F7F8" w:val="clear" w:color="auto"/>
            <w:tcMar>
              <w:top w:w="70" w:type="dxa"/>
              <w:start w:w="110" w:type="dxa"/>
              <w:bottom w:w="70" w:type="dxa"/>
              <w:end w:w="110" w:type="dxa"/>
            </w:tcMar>
          </w:tcPr>
          <w:p>
            <w:pPr>
              <w:pStyle w:val="TableText"/>
            </w:pPr>
            <w:r>
              <w:rPr/>
              <w:t>Proportional Trade Adjustment or PTA</w:t>
            </w:r>
          </w:p>
        </w:tc>
        <w:tc>
          <w:tcPr>
            <w:tcW w:type="dxa" w:w="4680"/>
            <w:shd w:fill="F5F7F8" w:val="clear" w:color="auto"/>
            <w:tcMar>
              <w:top w:w="70" w:type="dxa"/>
              <w:start w:w="110" w:type="dxa"/>
              <w:bottom w:w="70" w:type="dxa"/>
              <w:end w:w="110" w:type="dxa"/>
            </w:tcMar>
          </w:tcPr>
          <w:p>
            <w:pPr>
              <w:pStyle w:val="TableText"/>
            </w:pPr>
            <w:r>
              <w:rPr/>
              <w:t>has the meaning assigned in Article 35.2 (Definitions);</w:t>
            </w:r>
          </w:p>
        </w:tc>
      </w:tr>
      <w:tr>
        <w:trPr>
          <w:cantSplit/>
        </w:trPr>
        <w:tc>
          <w:tcPr>
            <w:tcW w:type="dxa" w:w="4680"/>
            <w:tcMar>
              <w:top w:w="70" w:type="dxa"/>
              <w:start w:w="110" w:type="dxa"/>
              <w:bottom w:w="70" w:type="dxa"/>
              <w:end w:w="110" w:type="dxa"/>
            </w:tcMar>
          </w:tcPr>
          <w:p>
            <w:pPr>
              <w:pStyle w:val="TableText"/>
            </w:pPr>
            <w:r>
              <w:rPr/>
              <w:t>Protocol of Modernization</w:t>
            </w:r>
          </w:p>
        </w:tc>
        <w:tc>
          <w:tcPr>
            <w:tcW w:type="dxa" w:w="4680"/>
            <w:tcMar>
              <w:top w:w="70" w:type="dxa"/>
              <w:start w:w="110" w:type="dxa"/>
              <w:bottom w:w="70" w:type="dxa"/>
              <w:end w:w="110" w:type="dxa"/>
            </w:tcMar>
          </w:tcPr>
          <w:p>
            <w:pPr>
              <w:pStyle w:val="TableText"/>
            </w:pPr>
            <w:r>
              <w:rPr/>
              <w:t>the Protocol of Modernization to this Agreement, together with its attached consolidated modernization text;</w:t>
            </w:r>
          </w:p>
        </w:tc>
      </w:tr>
      <w:tr>
        <w:trPr>
          <w:cantSplit/>
        </w:trPr>
        <w:tc>
          <w:tcPr>
            <w:tcW w:type="dxa" w:w="4680"/>
            <w:shd w:fill="F5F7F8" w:val="clear" w:color="auto"/>
            <w:tcMar>
              <w:top w:w="70" w:type="dxa"/>
              <w:start w:w="110" w:type="dxa"/>
              <w:bottom w:w="70" w:type="dxa"/>
              <w:end w:w="110" w:type="dxa"/>
            </w:tcMar>
          </w:tcPr>
          <w:p>
            <w:pPr>
              <w:pStyle w:val="TableText"/>
            </w:pPr>
            <w:r>
              <w:rPr/>
              <w:t>Shared Trade Data Registry</w:t>
            </w:r>
          </w:p>
        </w:tc>
        <w:tc>
          <w:tcPr>
            <w:tcW w:type="dxa" w:w="4680"/>
            <w:shd w:fill="F5F7F8" w:val="clear" w:color="auto"/>
            <w:tcMar>
              <w:top w:w="70" w:type="dxa"/>
              <w:start w:w="110" w:type="dxa"/>
              <w:bottom w:w="70" w:type="dxa"/>
              <w:end w:w="110" w:type="dxa"/>
            </w:tcMar>
          </w:tcPr>
          <w:p>
            <w:pPr>
              <w:pStyle w:val="TableText"/>
            </w:pPr>
            <w:r>
              <w:rPr/>
              <w:t>the registry operated under Annex 35-C;</w:t>
            </w:r>
          </w:p>
        </w:tc>
      </w:tr>
      <w:tr>
        <w:trPr>
          <w:cantSplit/>
        </w:trPr>
        <w:tc>
          <w:tcPr>
            <w:tcW w:type="dxa" w:w="4680"/>
            <w:tcMar>
              <w:top w:w="70" w:type="dxa"/>
              <w:start w:w="110" w:type="dxa"/>
              <w:bottom w:w="70" w:type="dxa"/>
              <w:end w:w="110" w:type="dxa"/>
            </w:tcMar>
          </w:tcPr>
          <w:p>
            <w:pPr>
              <w:pStyle w:val="TableText"/>
            </w:pPr>
            <w:r>
              <w:rPr/>
              <w:t>Strategic Sector</w:t>
            </w:r>
          </w:p>
        </w:tc>
        <w:tc>
          <w:tcPr>
            <w:tcW w:type="dxa" w:w="4680"/>
            <w:tcMar>
              <w:top w:w="70" w:type="dxa"/>
              <w:start w:w="110" w:type="dxa"/>
              <w:bottom w:w="70" w:type="dxa"/>
              <w:end w:w="110" w:type="dxa"/>
            </w:tcMar>
          </w:tcPr>
          <w:p>
            <w:pPr>
              <w:pStyle w:val="TableText"/>
            </w:pPr>
            <w:r>
              <w:rPr/>
              <w:t>a sector designated under Article 35.23 and Annex 35-B, Part 2;</w:t>
            </w:r>
          </w:p>
        </w:tc>
      </w:tr>
      <w:tr>
        <w:trPr>
          <w:cantSplit/>
        </w:trPr>
        <w:tc>
          <w:tcPr>
            <w:tcW w:type="dxa" w:w="4680"/>
            <w:shd w:fill="F5F7F8" w:val="clear" w:color="auto"/>
            <w:tcMar>
              <w:top w:w="70" w:type="dxa"/>
              <w:start w:w="110" w:type="dxa"/>
              <w:bottom w:w="70" w:type="dxa"/>
              <w:end w:w="110" w:type="dxa"/>
            </w:tcMar>
          </w:tcPr>
          <w:p>
            <w:pPr>
              <w:pStyle w:val="TableText"/>
            </w:pPr>
            <w:r>
              <w:rPr/>
              <w:t>trade module</w:t>
            </w:r>
          </w:p>
        </w:tc>
        <w:tc>
          <w:tcPr>
            <w:tcW w:type="dxa" w:w="4680"/>
            <w:shd w:fill="F5F7F8" w:val="clear" w:color="auto"/>
            <w:tcMar>
              <w:top w:w="70" w:type="dxa"/>
              <w:start w:w="110" w:type="dxa"/>
              <w:bottom w:w="70" w:type="dxa"/>
              <w:end w:w="110" w:type="dxa"/>
            </w:tcMar>
          </w:tcPr>
          <w:p>
            <w:r>
              <w:t>has the meaning assigned in Article 35.2 (Definitions); the shorthand “module” has that meaning only where the context concerns the Chapter 35 trade-module architecture and does not displace the ordinary meaning of module for a product, component, technical assembly, program, or other expressly different context;</w:t>
            </w:r>
          </w:p>
        </w:tc>
      </w:tr>
      <w:tr>
        <w:trPr>
          <w:cantSplit/>
        </w:trPr>
        <w:tc>
          <w:tcPr>
            <w:tcW w:type="dxa" w:w="4680"/>
            <w:tcMar>
              <w:top w:w="70" w:type="dxa"/>
              <w:start w:w="110" w:type="dxa"/>
              <w:bottom w:w="70" w:type="dxa"/>
              <w:end w:w="110" w:type="dxa"/>
            </w:tcMar>
          </w:tcPr>
          <w:p>
            <w:pPr>
              <w:pStyle w:val="TableText"/>
            </w:pPr>
            <w:r>
              <w:rPr/>
              <w:t>Treaty Integrity Secretariat</w:t>
            </w:r>
          </w:p>
        </w:tc>
        <w:tc>
          <w:tcPr>
            <w:tcW w:type="dxa" w:w="4680"/>
            <w:tcMar>
              <w:top w:w="70" w:type="dxa"/>
              <w:start w:w="110" w:type="dxa"/>
              <w:bottom w:w="70" w:type="dxa"/>
              <w:end w:w="110" w:type="dxa"/>
            </w:tcMar>
          </w:tcPr>
          <w:p>
            <w:pPr>
              <w:pStyle w:val="TableText"/>
            </w:pPr>
            <w:r>
              <w:rPr/>
              <w:t>where that administrative label is used, the Treaty Integrity function performed within the Secretariat established by Article 30.6 and governed by Article 35.28; the term does not denote a separate legal person, separately staffed secretariat, or autonomous agency;</w:t>
            </w:r>
          </w:p>
        </w:tc>
      </w:tr>
      <w:tr>
        <w:trPr>
          <w:cantSplit/>
        </w:trPr>
        <w:tc>
          <w:tcPr>
            <w:tcW w:type="dxa" w:w="4680"/>
            <w:shd w:fill="F5F7F8" w:val="clear" w:color="auto"/>
            <w:tcMar>
              <w:top w:w="70" w:type="dxa"/>
              <w:start w:w="110" w:type="dxa"/>
              <w:bottom w:w="70" w:type="dxa"/>
              <w:end w:w="110" w:type="dxa"/>
            </w:tcMar>
          </w:tcPr>
          <w:p>
            <w:pPr>
              <w:pStyle w:val="TableText"/>
            </w:pPr>
            <w:r>
              <w:rPr/>
              <w:t>Trusted North American Origin or TNAO</w:t>
            </w:r>
          </w:p>
        </w:tc>
        <w:tc>
          <w:tcPr>
            <w:tcW w:type="dxa" w:w="4680"/>
            <w:shd w:fill="F5F7F8" w:val="clear" w:color="auto"/>
            <w:tcMar>
              <w:top w:w="70" w:type="dxa"/>
              <w:start w:w="110" w:type="dxa"/>
              <w:bottom w:w="70" w:type="dxa"/>
              <w:end w:w="110" w:type="dxa"/>
            </w:tcMar>
          </w:tcPr>
          <w:p>
            <w:pPr>
              <w:pStyle w:val="TableText"/>
            </w:pPr>
            <w:r>
              <w:rPr/>
              <w:t>the status conferred under Article 36.6;</w:t>
            </w:r>
          </w:p>
        </w:tc>
      </w:tr>
      <w:tr>
        <w:trPr>
          <w:cantSplit/>
        </w:trPr>
        <w:tc>
          <w:tcPr>
            <w:tcW w:type="dxa" w:w="4680"/>
            <w:tcMar>
              <w:top w:w="70" w:type="dxa"/>
              <w:start w:w="110" w:type="dxa"/>
              <w:bottom w:w="70" w:type="dxa"/>
              <w:end w:w="110" w:type="dxa"/>
            </w:tcMar>
          </w:tcPr>
          <w:p>
            <w:pPr>
              <w:pStyle w:val="TableText"/>
            </w:pPr>
            <w:r>
              <w:rPr/>
              <w:t>Verification Panel or Verification Team</w:t>
            </w:r>
          </w:p>
        </w:tc>
        <w:tc>
          <w:tcPr>
            <w:tcW w:type="dxa" w:w="4680"/>
            <w:tcMar>
              <w:top w:w="70" w:type="dxa"/>
              <w:start w:w="110" w:type="dxa"/>
              <w:bottom w:w="70" w:type="dxa"/>
              <w:end w:w="110" w:type="dxa"/>
            </w:tcMar>
          </w:tcPr>
          <w:p>
            <w:pPr>
              <w:pStyle w:val="TableText"/>
            </w:pPr>
            <w:r>
              <w:rPr/>
              <w:t>where either term is used in relation to Article 35.10, the ad hoc three-member Verification Team constituted for the particular matter under that Article; neither term denotes a separately staffed permanent panel;</w:t>
            </w:r>
          </w:p>
        </w:tc>
      </w:tr>
      <w:tr>
        <w:trPr>
          <w:cantSplit/>
        </w:trPr>
        <w:tc>
          <w:tcPr>
            <w:tcW w:type="dxa" w:w="4680"/>
            <w:shd w:fill="F5F7F8" w:val="clear" w:color="auto"/>
            <w:tcMar>
              <w:top w:w="70" w:type="dxa"/>
              <w:start w:w="110" w:type="dxa"/>
              <w:bottom w:w="70" w:type="dxa"/>
              <w:end w:w="110" w:type="dxa"/>
            </w:tcMar>
          </w:tcPr>
          <w:p>
            <w:pPr>
              <w:pStyle w:val="TableText"/>
            </w:pPr>
            <w:r>
              <w:rPr/>
              <w:t>verified economic distortion</w:t>
            </w:r>
          </w:p>
        </w:tc>
        <w:tc>
          <w:tcPr>
            <w:tcW w:type="dxa" w:w="4680"/>
            <w:shd w:fill="F5F7F8" w:val="clear" w:color="auto"/>
            <w:tcMar>
              <w:top w:w="70" w:type="dxa"/>
              <w:start w:w="110" w:type="dxa"/>
              <w:bottom w:w="70" w:type="dxa"/>
              <w:end w:w="110" w:type="dxa"/>
            </w:tcMar>
          </w:tcPr>
          <w:p>
            <w:pPr>
              <w:pStyle w:val="TableText"/>
            </w:pPr>
            <w:r>
              <w:rPr/>
              <w:t>has the meaning assigned in Article 35.2 (Definitions).</w:t>
            </w:r>
          </w:p>
        </w:tc>
      </w:tr>
      <w:tr>
        <w:trPr>
          <w:cantSplit/>
        </w:trPr>
        <w:tc>
          <w:tcPr>
            <w:tcW w:type="dxa" w:w="4680"/>
            <w:tcMar>
              <w:top w:w="70" w:type="dxa"/>
              <w:start w:w="110" w:type="dxa"/>
              <w:bottom w:w="70" w:type="dxa"/>
              <w:end w:w="110" w:type="dxa"/>
            </w:tcMar>
          </w:tcPr>
          <w:p>
            <w:pPr>
              <w:pStyle w:val="TableText"/>
            </w:pPr>
            <w:r>
              <w:rPr/>
              <w:t>special or sectoral origin procedure</w:t>
            </w:r>
          </w:p>
        </w:tc>
        <w:tc>
          <w:tcPr>
            <w:tcW w:type="dxa" w:w="4680"/>
            <w:tcMar>
              <w:top w:w="70" w:type="dxa"/>
              <w:start w:w="110" w:type="dxa"/>
              <w:bottom w:w="70" w:type="dxa"/>
              <w:end w:w="110" w:type="dxa"/>
            </w:tcMar>
          </w:tcPr>
          <w:p>
            <w:r>
              <w:t>an origin procedure expressly established and operative under Chapter 4, Chapter 5, Annex 4-B, Annex 4-C, Annex 4-D, an automotive appendix or schedule incorporated into this Agreement, or another procedure expressly designated by the Commission by consensus in a published Origin Procedures Schedule. A listed annex, schedule, appendix, or procedure has no operative effect merely because it is named here; it must have been adopted and published under the authority applicable to that instrument. No unilateral domestic procedure, administrative guidance, waiver, or preferential arrangement with a non-Party constitutes a special or sectoral origin procedure for Chapters 32 or 35 unless so designated.</w:t>
            </w:r>
          </w:p>
        </w:tc>
      </w:tr>
      <w:tr>
        <w:trPr>
          <w:cantSplit/>
        </w:trPr>
        <w:tc>
          <w:tcPr>
            <w:tcW w:type="dxa" w:w="4680"/>
            <w:shd w:fill="F5F7F8" w:val="clear" w:color="auto"/>
            <w:tcMar>
              <w:top w:w="70" w:type="dxa"/>
              <w:start w:w="110" w:type="dxa"/>
              <w:bottom w:w="70" w:type="dxa"/>
              <w:end w:w="110" w:type="dxa"/>
            </w:tcMar>
          </w:tcPr>
          <w:p>
            <w:pPr>
              <w:pStyle w:val="TableText"/>
            </w:pPr>
            <w:r>
              <w:rPr/>
              <w:t>originating good</w:t>
            </w:r>
          </w:p>
        </w:tc>
        <w:tc>
          <w:tcPr>
            <w:tcW w:type="dxa" w:w="4680"/>
            <w:shd w:fill="F5F7F8" w:val="clear" w:color="auto"/>
            <w:tcMar>
              <w:top w:w="70" w:type="dxa"/>
              <w:start w:w="110" w:type="dxa"/>
              <w:bottom w:w="70" w:type="dxa"/>
              <w:end w:w="110" w:type="dxa"/>
            </w:tcMar>
          </w:tcPr>
          <w:p>
            <w:pPr>
              <w:pStyle w:val="TableText"/>
            </w:pPr>
            <w:r>
              <w:rPr/>
              <w:t>for the purposes of Chapters 32 and 35, includes a good qualifying under any special or sectoral origin procedure of this Agreement</w:t>
            </w:r>
          </w:p>
        </w:tc>
      </w:tr>
    </w:tbl>
    <w:p>
      <w:pPr>
        <w:pStyle w:val="Normal"/>
      </w:pPr>
      <w:r>
        <w:rPr>
          <w:b w:val="0"/>
        </w:rPr>
        <w:t>2. A term defined in Chapter 35 has the same meaning throughout this Agreement unless a Chapter expressly provides otherwise.</w:t>
      </w:r>
    </w:p>
    <w:p>
      <w:pPr/>
      <w:r>
        <w:t>3. Institutional terminology reconciliation. References to a “Verification Panel,” “North American Trade Verification Panel,” or “Verification Team” mean the ad hoc Verification Team constituted for the matter under Article 35.10, unless a provision expressly establishes a different body. The Treaty Integrity Secretariat is an administrative function and is not an adjudicative body unless an operative provision expressly assigns it a ministerial determination. “Trade module” has the meaning assigned to that term in Chapter 35 and a duplicative formulation shall not create a second category. No institutional label in this Agreement shall be construed to create a standing body by implication.</w:t>
      </w:r>
    </w:p>
    <w:p>
      <w:pPr/>
      <w:r>
        <w:t>4. Origin terminology reconciliation. “Originating” and “originating good” include a good that qualifies as originating under Chapter 4 or Chapter 6 and, where this Agreement expressly establishes an operative special or sectoral origin procedure, a good that qualifies under that procedure. A special or sectoral origin procedure is operative only if the relevant annex, schedule, appendix, or implementing instrument has been adopted and published under the authority stated in this Agreement; a reference to an unadopted instrument does not activate it. In the absence of an operative special or sectoral procedure, the otherwise applicable Chapter 4 or Chapter 6 rule governs. Chapter 35 shall not be construed to narrow the originating status of a textile or apparel good that qualifies under Chapter 6.</w:t>
      </w:r>
    </w:p>
    <w:p>
      <w:pPr/>
      <w:r>
        <w:t>5. Baseline-numbering conformance. The Chapter 1 baseline reproduced in this consolidation incorporates the 2019 Protocol insertion of Article 1.3, displays Persons Exercising Delegated Governmental Authority as Article 1.4, and displays General Definitions as Article 1.5. Modernization references to those Articles use those conformed numbers. This paragraph records the consolidation rule only and creates no independent substantive right or obligation.</w:t>
      </w:r>
    </w:p>
    <w:p>
      <w:pPr>
        <w:pStyle w:val="Heading2"/>
      </w:pPr>
      <w:bookmarkStart w:id="900028" w:name="_Toc300000027"/>
      <w:r>
        <w:t>Article 1.B: Relation of the Agreement to Extraordinary Domestic Measures</w:t>
      </w:r>
      <w:bookmarkEnd w:id="900028"/>
    </w:p>
    <w:p>
      <w:pPr>
        <w:pStyle w:val="Normal"/>
      </w:pPr>
      <w:r>
        <w:t>1. The following is inserted as a new provision of Chapter 1:</w:t>
      </w:r>
    </w:p>
    <w:p>
      <w:pPr>
        <w:pStyle w:val="Normal"/>
      </w:pPr>
      <w:r>
        <w:t>“</w:t>
      </w:r>
      <w:r>
        <w:t>1. The obligations of this Agreement apply according to the substance and economic effect of a measure, without regard to the domestic legal authority, designation, form, or terminology under which a Party adopts or maintains that measure. For greater certainty, this rule applies to tariffs, duties, surcharges, import and export fees and charges, tariff-rate quotas, quantitative restrictions, border adjustments, suspensions of preferential, simplified, or duty-free customs treatment, extraordinary import or export charges, discriminatory internal fiscal, regulatory, or administrative measures of equivalent effect, and substantially equivalent measures, however denominated under domestic law.</w:t>
        <w:br/>
        <w:t>2. A Party shall not avoid an obligation or prohibition of this Agreement by renaming, restructuring, routing through another domestic authority, combining with another measure, or otherwise altering the form of a measure where its operative conditions and material economic effect remain substantially equivalent to conduct governed by that obligation or prohibition.</w:t>
        <w:br/>
        <w:t>3. A determination of substantial equivalence under this Article shall be based on objective evidence concerning the measure’s design, operation, incidence, conditions of application, affected trade, and material commercial effect, and shall identify the specific obligation or prohibition of this Agreement alleged to be engaged. The Party maintaining the measure may rebut the allegation by demonstrating material functional differences relevant to that obligation or prohibition.</w:t>
        <w:br/>
        <w:t>4. This Article is a treaty-wide rule of interpretation and anti-circumvention. It does not independently prohibit a measure, authorize a remedy, or shift the substantive burden established by another Chapter; any finding of breach and any responsive measure must satisfy the applicable operative provision and the procedures governing verification, dispute settlement, cure, and remedy under this Agreement.”</w:t>
      </w:r>
    </w:p>
    <w:p>
      <w:pPr>
        <w:pStyle w:val="Heading2"/>
      </w:pPr>
      <w:bookmarkStart w:id="900029" w:name="_Toc300000028"/>
      <w:r>
        <w:t>Article 1.C: Distinction Between Political Commitments and Legal Obligations</w:t>
      </w:r>
      <w:bookmarkEnd w:id="900029"/>
    </w:p>
    <w:p>
      <w:pPr>
        <w:pStyle w:val="Normal"/>
      </w:pPr>
      <w:r>
        <w:t>1. Political declarations, joint statements, negotiating summaries, memoranda of understanding, letters of intent, and other instruments expressly identified as non-binding do not constitute obligations under this Agreement unless incorporated into binding legal text or a binding side instrument in accordance with the applicable constitutional and treaty procedures of each Party.</w:t>
      </w:r>
    </w:p>
    <w:p>
      <w:pPr>
        <w:pStyle w:val="Normal"/>
      </w:pPr>
      <w:r>
        <w:t>2. No Party may rely solely on an unincorporated political commitment as the legal basis for alleging breach of this Agreement or for imposing a covered border measure.</w:t>
      </w:r>
    </w:p>
    <w:p>
      <w:pPr>
        <w:pStyle w:val="Normal"/>
      </w:pPr>
      <w:r>
        <w:t>3. Failure to implement a non-binding political commitment does not constitute breach of this Agreement and is not independently subject to dispute settlement.</w:t>
      </w:r>
    </w:p>
    <w:p>
      <w:pPr>
        <w:pStyle w:val="Normal"/>
      </w:pPr>
      <w:r>
        <w:t>4. Nothing in this Article prevents the Parties from giving provisional or interim legal effect to specified commitments through a written instrument that expressly states its binding status, duration, scope, and termination procedure. Any such provisional or interim legal effect remains subject to the applicable constitutional and treaty procedures of each Party and does not authorize an executive or administrative authority to exercise legal power it does not possess under domestic law.</w:t>
      </w:r>
    </w:p>
    <w:p>
      <w:pPr>
        <w:pStyle w:val="Heading1"/>
      </w:pPr>
      <w:bookmarkStart w:id="900030" w:name="_Toc300000029"/>
      <w:r>
        <w:t>CHAPTER 2 NATIONAL TREATMENT AND MARKET ACCESS FOR GOODS</w:t>
      </w:r>
      <w:bookmarkEnd w:id="900030"/>
    </w:p>
    <w:p>
      <w:pPr>
        <w:pStyle w:val="Heading2"/>
      </w:pPr>
      <w:bookmarkStart w:id="900031" w:name="_Toc300000030"/>
      <w:r>
        <w:rPr>
          <w:b/>
        </w:rPr>
        <w:t>Article 2.1: Definitions</w:t>
      </w:r>
      <w:bookmarkEnd w:id="900031"/>
    </w:p>
    <w:p>
      <w:pPr>
        <w:pStyle w:val="Normal"/>
      </w:pPr>
      <w:r>
        <w:rPr>
          <w:b w:val="0"/>
        </w:rPr>
        <w:t>For the purposes of this Chapter:</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Term</w:t>
            </w:r>
          </w:p>
        </w:tc>
        <w:tc>
          <w:tcPr>
            <w:tcW w:type="dxa" w:w="4680"/>
            <w:tcBorders>
              <w:bottom w:val="single" w:sz="6" w:space="0" w:color="546E7A"/>
            </w:tcBorders>
            <w:shd w:fill="E4E9EC" w:val="clear" w:color="auto"/>
          </w:tcPr>
          <w:p>
            <w:pPr>
              <w:pStyle w:val="TableText"/>
            </w:pPr>
            <w:r>
              <w:rPr>
                <w:b/>
                <w:color w:val="37474F"/>
              </w:rPr>
              <w:t>Definition</w:t>
            </w:r>
          </w:p>
        </w:tc>
      </w:tr>
      <w:tr>
        <w:trPr>
          <w:cantSplit/>
        </w:trPr>
        <w:tc>
          <w:tcPr>
            <w:tcW w:type="dxa" w:w="4680"/>
            <w:tcMar>
              <w:top w:w="70" w:type="dxa"/>
              <w:start w:w="110" w:type="dxa"/>
              <w:bottom w:w="70" w:type="dxa"/>
              <w:end w:w="110" w:type="dxa"/>
            </w:tcMar>
          </w:tcPr>
          <w:p>
            <w:pPr>
              <w:pStyle w:val="TableText"/>
            </w:pPr>
            <w:r>
              <w:rPr/>
              <w:t>advertising films and recordings</w:t>
            </w:r>
          </w:p>
        </w:tc>
        <w:tc>
          <w:tcPr>
            <w:tcW w:type="dxa" w:w="4680"/>
            <w:tcMar>
              <w:top w:w="70" w:type="dxa"/>
              <w:start w:w="110" w:type="dxa"/>
              <w:bottom w:w="70" w:type="dxa"/>
              <w:end w:w="110" w:type="dxa"/>
            </w:tcMar>
          </w:tcPr>
          <w:p>
            <w:pPr>
              <w:pStyle w:val="TableText"/>
            </w:pPr>
            <w:r>
              <w:rPr/>
              <w:t>recorded visual media or audio materials that exhibit for prospective customers the nature or operation of goods or services offered for sale or lease by a person established or resident in the territory of a Party, provided that the films and recordings are not for broadcast to the general public</w:t>
            </w:r>
          </w:p>
        </w:tc>
      </w:tr>
      <w:tr>
        <w:trPr>
          <w:cantSplit/>
        </w:trPr>
        <w:tc>
          <w:tcPr>
            <w:tcW w:type="dxa" w:w="4680"/>
            <w:shd w:fill="F5F7F8" w:val="clear" w:color="auto"/>
            <w:tcMar>
              <w:top w:w="70" w:type="dxa"/>
              <w:start w:w="110" w:type="dxa"/>
              <w:bottom w:w="70" w:type="dxa"/>
              <w:end w:w="110" w:type="dxa"/>
            </w:tcMar>
          </w:tcPr>
          <w:p>
            <w:pPr>
              <w:pStyle w:val="TableText"/>
            </w:pPr>
            <w:r>
              <w:rPr/>
              <w:t>commercial samples of negligible value</w:t>
            </w:r>
          </w:p>
        </w:tc>
        <w:tc>
          <w:tcPr>
            <w:tcW w:type="dxa" w:w="4680"/>
            <w:shd w:fill="F5F7F8" w:val="clear" w:color="auto"/>
            <w:tcMar>
              <w:top w:w="70" w:type="dxa"/>
              <w:start w:w="110" w:type="dxa"/>
              <w:bottom w:w="70" w:type="dxa"/>
              <w:end w:w="110" w:type="dxa"/>
            </w:tcMar>
          </w:tcPr>
          <w:p>
            <w:pPr>
              <w:pStyle w:val="TableText"/>
            </w:pPr>
            <w:r>
              <w:rPr/>
              <w:t>commercial samples having a value, individually or in the aggregate as shipped, of not more than one U.S. dollar, or the equivalent amount in the currency of another Party, or so marked, torn, perforated, or otherwise treated that they are unsuitable for sale or use except as commercial samples</w:t>
            </w:r>
          </w:p>
        </w:tc>
      </w:tr>
      <w:tr>
        <w:trPr>
          <w:cantSplit/>
        </w:trPr>
        <w:tc>
          <w:tcPr>
            <w:tcW w:type="dxa" w:w="4680"/>
            <w:tcMar>
              <w:top w:w="70" w:type="dxa"/>
              <w:start w:w="110" w:type="dxa"/>
              <w:bottom w:w="70" w:type="dxa"/>
              <w:end w:w="110" w:type="dxa"/>
            </w:tcMar>
          </w:tcPr>
          <w:p>
            <w:pPr>
              <w:pStyle w:val="TableText"/>
            </w:pPr>
            <w:r>
              <w:rPr/>
              <w:t>consular transactions</w:t>
            </w:r>
          </w:p>
        </w:tc>
        <w:tc>
          <w:tcPr>
            <w:tcW w:type="dxa" w:w="4680"/>
            <w:tcMar>
              <w:top w:w="70" w:type="dxa"/>
              <w:start w:w="110" w:type="dxa"/>
              <w:bottom w:w="70" w:type="dxa"/>
              <w:end w:w="110" w:type="dxa"/>
            </w:tcMar>
          </w:tcPr>
          <w:p>
            <w:pPr>
              <w:pStyle w:val="TableText"/>
            </w:pPr>
            <w:r>
              <w:rPr/>
              <w:t>requirements that goods of a Party intended for export to the territory of another Party must first be submitted to the supervision of the consul of the importing Party in the territory of the exporting Party, or in the territory of a non-Party, for the purpose of obtaining a consular invoice or a consular visa for a commercial invoice, certificate of origin, manifest, shipper’s export declaration, or any other customs documentation in connection with the importation of the good</w:t>
            </w:r>
          </w:p>
        </w:tc>
      </w:tr>
      <w:tr>
        <w:trPr>
          <w:cantSplit/>
        </w:trPr>
        <w:tc>
          <w:tcPr>
            <w:tcW w:type="dxa" w:w="4680"/>
            <w:shd w:fill="F5F7F8" w:val="clear" w:color="auto"/>
            <w:tcMar>
              <w:top w:w="70" w:type="dxa"/>
              <w:start w:w="110" w:type="dxa"/>
              <w:bottom w:w="70" w:type="dxa"/>
              <w:end w:w="110" w:type="dxa"/>
            </w:tcMar>
          </w:tcPr>
          <w:p>
            <w:pPr>
              <w:pStyle w:val="TableText"/>
            </w:pPr>
            <w:r>
              <w:rPr/>
              <w:t>consumed</w:t>
            </w:r>
          </w:p>
        </w:tc>
        <w:tc>
          <w:tcPr>
            <w:tcW w:type="dxa" w:w="4680"/>
            <w:shd w:fill="F5F7F8" w:val="clear" w:color="auto"/>
            <w:tcMar>
              <w:top w:w="70" w:type="dxa"/>
              <w:start w:w="110" w:type="dxa"/>
              <w:bottom w:w="70" w:type="dxa"/>
              <w:end w:w="110" w:type="dxa"/>
            </w:tcMar>
          </w:tcPr>
          <w:p>
            <w:pPr>
              <w:pStyle w:val="TableText"/>
            </w:pPr>
            <w:r>
              <w:rPr/>
              <w:t>(a) actually consumed; or (b) further processed or manufactured so as to result in a substantial change in the value, form, or use of the good or in the production of another good</w:t>
            </w:r>
          </w:p>
        </w:tc>
      </w:tr>
      <w:tr>
        <w:trPr>
          <w:cantSplit/>
        </w:trPr>
        <w:tc>
          <w:tcPr>
            <w:tcW w:type="dxa" w:w="4680"/>
            <w:tcMar>
              <w:top w:w="70" w:type="dxa"/>
              <w:start w:w="110" w:type="dxa"/>
              <w:bottom w:w="70" w:type="dxa"/>
              <w:end w:w="110" w:type="dxa"/>
            </w:tcMar>
          </w:tcPr>
          <w:p>
            <w:pPr>
              <w:pStyle w:val="TableText"/>
            </w:pPr>
            <w:r>
              <w:rPr/>
              <w:t>customs duty</w:t>
            </w:r>
          </w:p>
        </w:tc>
        <w:tc>
          <w:tcPr>
            <w:tcW w:type="dxa" w:w="4680"/>
            <w:tcMar>
              <w:top w:w="70" w:type="dxa"/>
              <w:start w:w="110" w:type="dxa"/>
              <w:bottom w:w="70" w:type="dxa"/>
              <w:end w:w="110" w:type="dxa"/>
            </w:tcMar>
          </w:tcPr>
          <w:p>
            <w:pPr>
              <w:pStyle w:val="TableText"/>
            </w:pPr>
            <w:r>
              <w:rPr/>
              <w:t>includes a duty or charge of any kind imposed on or in connection with the importation of a good, and any surtax or surcharge imposed in connection with such importation, but does not include any: (a) charge equivalent to an internal tax imposed consistently with Article III:2 of the GATT 1994; (b) fee or other charge in connection with the importation commensurate with the cost of the services rendered; (c) anti-dumping or countervailing duty; and (d) premium offered or collected on an imported good arising out of any tendering system in respect of the administration of quantitative import restrictions, tariff rate quotas, or tariff preference levels</w:t>
            </w:r>
          </w:p>
        </w:tc>
      </w:tr>
      <w:tr>
        <w:trPr>
          <w:cantSplit/>
        </w:trPr>
        <w:tc>
          <w:tcPr>
            <w:tcW w:type="dxa" w:w="4680"/>
            <w:shd w:fill="F5F7F8" w:val="clear" w:color="auto"/>
            <w:tcMar>
              <w:top w:w="70" w:type="dxa"/>
              <w:start w:w="110" w:type="dxa"/>
              <w:bottom w:w="70" w:type="dxa"/>
              <w:end w:w="110" w:type="dxa"/>
            </w:tcMar>
          </w:tcPr>
          <w:p>
            <w:pPr>
              <w:pStyle w:val="TableText"/>
            </w:pPr>
            <w:r>
              <w:rPr/>
              <w:t>distributor</w:t>
            </w:r>
          </w:p>
        </w:tc>
        <w:tc>
          <w:tcPr>
            <w:tcW w:type="dxa" w:w="4680"/>
            <w:shd w:fill="F5F7F8" w:val="clear" w:color="auto"/>
            <w:tcMar>
              <w:top w:w="70" w:type="dxa"/>
              <w:start w:w="110" w:type="dxa"/>
              <w:bottom w:w="70" w:type="dxa"/>
              <w:end w:w="110" w:type="dxa"/>
            </w:tcMar>
          </w:tcPr>
          <w:p>
            <w:pPr>
              <w:pStyle w:val="TableText"/>
            </w:pPr>
            <w:r>
              <w:rPr/>
              <w:t>a person of a Party who is responsible for the commercial distribution, agency, concession, or representation in the territory of the Party of goods of another Party</w:t>
            </w:r>
          </w:p>
        </w:tc>
      </w:tr>
      <w:tr>
        <w:trPr>
          <w:cantSplit/>
        </w:trPr>
        <w:tc>
          <w:tcPr>
            <w:tcW w:type="dxa" w:w="4680"/>
            <w:tcMar>
              <w:top w:w="70" w:type="dxa"/>
              <w:start w:w="110" w:type="dxa"/>
              <w:bottom w:w="70" w:type="dxa"/>
              <w:end w:w="110" w:type="dxa"/>
            </w:tcMar>
          </w:tcPr>
          <w:p>
            <w:pPr>
              <w:pStyle w:val="TableText"/>
            </w:pPr>
            <w:r>
              <w:rPr/>
              <w:t>duty deferral program</w:t>
            </w:r>
          </w:p>
        </w:tc>
        <w:tc>
          <w:tcPr>
            <w:tcW w:type="dxa" w:w="4680"/>
            <w:tcMar>
              <w:top w:w="70" w:type="dxa"/>
              <w:start w:w="110" w:type="dxa"/>
              <w:bottom w:w="70" w:type="dxa"/>
              <w:end w:w="110" w:type="dxa"/>
            </w:tcMar>
          </w:tcPr>
          <w:p>
            <w:pPr>
              <w:pStyle w:val="TableText"/>
            </w:pPr>
            <w:r>
              <w:rPr/>
              <w:t>includes measures such as those governing foreign trade zones, temporary importations under bond, bonded warehouses, “maquiladoras”, and inward processing programs</w:t>
            </w:r>
          </w:p>
        </w:tc>
      </w:tr>
      <w:tr>
        <w:trPr>
          <w:cantSplit/>
        </w:trPr>
        <w:tc>
          <w:tcPr>
            <w:tcW w:type="dxa" w:w="4680"/>
            <w:shd w:fill="F5F7F8" w:val="clear" w:color="auto"/>
            <w:tcMar>
              <w:top w:w="70" w:type="dxa"/>
              <w:start w:w="110" w:type="dxa"/>
              <w:bottom w:w="70" w:type="dxa"/>
              <w:end w:w="110" w:type="dxa"/>
            </w:tcMar>
          </w:tcPr>
          <w:p>
            <w:pPr>
              <w:pStyle w:val="TableText"/>
            </w:pPr>
            <w:r>
              <w:rPr/>
              <w:t>duty-free</w:t>
            </w:r>
          </w:p>
        </w:tc>
        <w:tc>
          <w:tcPr>
            <w:tcW w:type="dxa" w:w="4680"/>
            <w:shd w:fill="F5F7F8" w:val="clear" w:color="auto"/>
            <w:tcMar>
              <w:top w:w="70" w:type="dxa"/>
              <w:start w:w="110" w:type="dxa"/>
              <w:bottom w:w="70" w:type="dxa"/>
              <w:end w:w="110" w:type="dxa"/>
            </w:tcMar>
          </w:tcPr>
          <w:p>
            <w:pPr>
              <w:pStyle w:val="TableText"/>
            </w:pPr>
            <w:r>
              <w:rPr/>
              <w:t>free of customs duty</w:t>
            </w:r>
          </w:p>
        </w:tc>
      </w:tr>
      <w:tr>
        <w:trPr>
          <w:cantSplit/>
        </w:trPr>
        <w:tc>
          <w:tcPr>
            <w:tcW w:type="dxa" w:w="4680"/>
            <w:tcMar>
              <w:top w:w="70" w:type="dxa"/>
              <w:start w:w="110" w:type="dxa"/>
              <w:bottom w:w="70" w:type="dxa"/>
              <w:end w:w="110" w:type="dxa"/>
            </w:tcMar>
          </w:tcPr>
          <w:p>
            <w:pPr>
              <w:pStyle w:val="TableText"/>
            </w:pPr>
            <w:r>
              <w:rPr/>
              <w:t>goods admitted for sports purposes</w:t>
            </w:r>
          </w:p>
        </w:tc>
        <w:tc>
          <w:tcPr>
            <w:tcW w:type="dxa" w:w="4680"/>
            <w:tcMar>
              <w:top w:w="70" w:type="dxa"/>
              <w:start w:w="110" w:type="dxa"/>
              <w:bottom w:w="70" w:type="dxa"/>
              <w:end w:w="110" w:type="dxa"/>
            </w:tcMar>
          </w:tcPr>
          <w:p>
            <w:pPr>
              <w:pStyle w:val="TableText"/>
            </w:pPr>
            <w:r>
              <w:rPr/>
              <w:t>sports requisites admitted into the territory of the importing Party for use in sports contests, demonstrations, or training in the territory of the Party</w:t>
            </w:r>
          </w:p>
        </w:tc>
      </w:tr>
      <w:tr>
        <w:trPr>
          <w:cantSplit/>
        </w:trPr>
        <w:tc>
          <w:tcPr>
            <w:tcW w:type="dxa" w:w="4680"/>
            <w:shd w:fill="F5F7F8" w:val="clear" w:color="auto"/>
            <w:tcMar>
              <w:top w:w="70" w:type="dxa"/>
              <w:start w:w="110" w:type="dxa"/>
              <w:bottom w:w="70" w:type="dxa"/>
              <w:end w:w="110" w:type="dxa"/>
            </w:tcMar>
          </w:tcPr>
          <w:p>
            <w:pPr>
              <w:pStyle w:val="TableText"/>
            </w:pPr>
            <w:r>
              <w:rPr/>
              <w:t>import licensing</w:t>
            </w:r>
          </w:p>
        </w:tc>
        <w:tc>
          <w:tcPr>
            <w:tcW w:type="dxa" w:w="4680"/>
            <w:shd w:fill="F5F7F8" w:val="clear" w:color="auto"/>
            <w:tcMar>
              <w:top w:w="70" w:type="dxa"/>
              <w:start w:w="110" w:type="dxa"/>
              <w:bottom w:w="70" w:type="dxa"/>
              <w:end w:w="110" w:type="dxa"/>
            </w:tcMar>
          </w:tcPr>
          <w:p>
            <w:pPr>
              <w:pStyle w:val="TableText"/>
            </w:pPr>
            <w:r>
              <w:rPr/>
              <w:t>an administrative procedure requiring the submission of an application or other documentation (other than that generally required for customs clearance purposes) to the relevant administrative body as a prior condition for importation into the territory of the importing Party</w:t>
            </w:r>
          </w:p>
        </w:tc>
      </w:tr>
      <w:tr>
        <w:trPr>
          <w:cantSplit/>
        </w:trPr>
        <w:tc>
          <w:tcPr>
            <w:tcW w:type="dxa" w:w="4680"/>
            <w:tcMar>
              <w:top w:w="70" w:type="dxa"/>
              <w:start w:w="110" w:type="dxa"/>
              <w:bottom w:w="70" w:type="dxa"/>
              <w:end w:w="110" w:type="dxa"/>
            </w:tcMar>
          </w:tcPr>
          <w:p>
            <w:pPr>
              <w:pStyle w:val="TableText"/>
            </w:pPr>
            <w:r>
              <w:rPr/>
              <w:t>Import Licensing Agreement</w:t>
            </w:r>
          </w:p>
        </w:tc>
        <w:tc>
          <w:tcPr>
            <w:tcW w:type="dxa" w:w="4680"/>
            <w:tcMar>
              <w:top w:w="70" w:type="dxa"/>
              <w:start w:w="110" w:type="dxa"/>
              <w:bottom w:w="70" w:type="dxa"/>
              <w:end w:w="110" w:type="dxa"/>
            </w:tcMar>
          </w:tcPr>
          <w:p>
            <w:pPr>
              <w:pStyle w:val="TableText"/>
            </w:pPr>
            <w:r>
              <w:rPr/>
              <w:t>the Agreement on Import Licensing Procedures, set out in Annex 1A to the WTO Agreement</w:t>
            </w:r>
          </w:p>
        </w:tc>
      </w:tr>
      <w:tr>
        <w:trPr>
          <w:cantSplit/>
        </w:trPr>
        <w:tc>
          <w:tcPr>
            <w:tcW w:type="dxa" w:w="4680"/>
            <w:shd w:fill="F5F7F8" w:val="clear" w:color="auto"/>
            <w:tcMar>
              <w:top w:w="70" w:type="dxa"/>
              <w:start w:w="110" w:type="dxa"/>
              <w:bottom w:w="70" w:type="dxa"/>
              <w:end w:w="110" w:type="dxa"/>
            </w:tcMar>
          </w:tcPr>
          <w:p>
            <w:pPr>
              <w:pStyle w:val="TableText"/>
            </w:pPr>
            <w:r>
              <w:rPr/>
              <w:t>performance requirement</w:t>
            </w:r>
          </w:p>
        </w:tc>
        <w:tc>
          <w:tcPr>
            <w:tcW w:type="dxa" w:w="4680"/>
            <w:shd w:fill="F5F7F8" w:val="clear" w:color="auto"/>
            <w:tcMar>
              <w:top w:w="70" w:type="dxa"/>
              <w:start w:w="110" w:type="dxa"/>
              <w:bottom w:w="70" w:type="dxa"/>
              <w:end w:w="110" w:type="dxa"/>
            </w:tcMar>
          </w:tcPr>
          <w:p>
            <w:pPr>
              <w:pStyle w:val="TableText"/>
            </w:pPr>
            <w:r>
              <w:rPr/>
              <w:t>a requirement that: (a) a given level or percentage of goods or services be exported; (b) a domestic good or service of the Party granting a waiver of a custom duty or an import license be substituted for an imported good or service; (c) a person benefitting from a waiver of a custom duty or a grant of an import license, purchase a good or service in the territory of the Party granting the waiver or the import license or accord a preference to a domestically produced good or service; (d) a person benefitting from a waiver of a custom duty or a grant of an import license produce a good or provide a service, in the territory of the Party granting the waiver or import license, with a given level or percentage of domestic content; or (e) relates in any way the volume or value of imports to the volume or value of exports or to the amount of foreign exchange inflows; but does not include a requirement that an imported good be: (f) subsequently exported; (g) used as a material in the production of another good that is subsequently exported; (h) substituted by an identical or similar good used as a material in the production of another good that is subsequently exported; or (i) substituted by an identical or similar good that is subsequently exported</w:t>
            </w:r>
          </w:p>
        </w:tc>
      </w:tr>
      <w:tr>
        <w:trPr>
          <w:cantSplit/>
        </w:trPr>
        <w:tc>
          <w:tcPr>
            <w:tcW w:type="dxa" w:w="4680"/>
            <w:tcMar>
              <w:top w:w="70" w:type="dxa"/>
              <w:start w:w="110" w:type="dxa"/>
              <w:bottom w:w="70" w:type="dxa"/>
              <w:end w:w="110" w:type="dxa"/>
            </w:tcMar>
          </w:tcPr>
          <w:p>
            <w:pPr>
              <w:pStyle w:val="TableText"/>
            </w:pPr>
            <w:r>
              <w:rPr/>
              <w:t>printed advertising materials</w:t>
            </w:r>
          </w:p>
        </w:tc>
        <w:tc>
          <w:tcPr>
            <w:tcW w:type="dxa" w:w="4680"/>
            <w:tcMar>
              <w:top w:w="70" w:type="dxa"/>
              <w:start w:w="110" w:type="dxa"/>
              <w:bottom w:w="70" w:type="dxa"/>
              <w:end w:w="110" w:type="dxa"/>
            </w:tcMar>
          </w:tcPr>
          <w:p>
            <w:pPr>
              <w:pStyle w:val="TableText"/>
            </w:pPr>
            <w:r>
              <w:rPr/>
              <w:t>those goods classified in Chapter 49 of the Harmonized System, including brochures, pamphlets, leaflets, trade catalogues, yearbooks published by trade associations, tourist promotional materials, and posters, that are used to promote, publicize, or advertise a good or service, are essentially intended to advertise a good or service, and are supplied free of charge</w:t>
            </w:r>
          </w:p>
        </w:tc>
      </w:tr>
      <w:tr>
        <w:trPr>
          <w:cantSplit/>
        </w:trPr>
        <w:tc>
          <w:tcPr>
            <w:tcW w:type="dxa" w:w="4680"/>
            <w:shd w:fill="F5F7F8" w:val="clear" w:color="auto"/>
            <w:tcMar>
              <w:top w:w="70" w:type="dxa"/>
              <w:start w:w="110" w:type="dxa"/>
              <w:bottom w:w="70" w:type="dxa"/>
              <w:end w:w="110" w:type="dxa"/>
            </w:tcMar>
          </w:tcPr>
          <w:p>
            <w:pPr>
              <w:pStyle w:val="TableText"/>
            </w:pPr>
            <w:r>
              <w:rPr/>
              <w:t>satisfactory evidence</w:t>
            </w:r>
          </w:p>
        </w:tc>
        <w:tc>
          <w:tcPr>
            <w:tcW w:type="dxa" w:w="4680"/>
            <w:shd w:fill="F5F7F8" w:val="clear" w:color="auto"/>
            <w:tcMar>
              <w:top w:w="70" w:type="dxa"/>
              <w:start w:w="110" w:type="dxa"/>
              <w:bottom w:w="70" w:type="dxa"/>
              <w:end w:w="110" w:type="dxa"/>
            </w:tcMar>
          </w:tcPr>
          <w:p>
            <w:pPr>
              <w:pStyle w:val="TableText"/>
            </w:pPr>
            <w:r>
              <w:rPr/>
              <w:t>(a) a receipt, or a copy of a receipt, evidencing payment of a customs duty on a particular entry; (b) a copy of the entry document with evidence that it was received by a customs administration; (c) a copy of a final customs duty determination by a customs administration respecting the relevant entry; or (d) any other evidence of payment of a customs duty acceptable under the Uniform Regulations</w:t>
            </w:r>
          </w:p>
        </w:tc>
      </w:tr>
      <w:tr>
        <w:trPr>
          <w:cantSplit/>
        </w:trPr>
        <w:tc>
          <w:tcPr>
            <w:tcW w:type="dxa" w:w="4680"/>
            <w:tcMar>
              <w:top w:w="70" w:type="dxa"/>
              <w:start w:w="110" w:type="dxa"/>
              <w:bottom w:w="70" w:type="dxa"/>
              <w:end w:w="110" w:type="dxa"/>
            </w:tcMar>
          </w:tcPr>
          <w:p>
            <w:pPr>
              <w:pStyle w:val="TableText"/>
            </w:pPr>
            <w:r>
              <w:rPr/>
              <w:t>used vehicle</w:t>
            </w:r>
          </w:p>
        </w:tc>
        <w:tc>
          <w:tcPr>
            <w:tcW w:type="dxa" w:w="4680"/>
            <w:tcMar>
              <w:top w:w="70" w:type="dxa"/>
              <w:start w:w="110" w:type="dxa"/>
              <w:bottom w:w="70" w:type="dxa"/>
              <w:end w:w="110" w:type="dxa"/>
            </w:tcMar>
          </w:tcPr>
          <w:p>
            <w:pPr>
              <w:pStyle w:val="TableText"/>
            </w:pPr>
            <w:r>
              <w:rPr/>
              <w:t>an automobile, a truck, a bus, or a special purpose motor vehicle, not including a motorcycle, that: (a) has been sold, leased, or loaned; (b) has been driven for more than: (i) 1,000 kilometers if the vehicle has a gross weight of less than five metric tons, or (ii) 5,000 kilometers if the vehicle has a gross weight of five metric tons or more; or (c) was manufactured prior to the current year and at least 90 days have elapsed since the date of manufacture.</w:t>
            </w:r>
          </w:p>
        </w:tc>
      </w:tr>
    </w:tbl>
    <w:p>
      <w:pPr>
        <w:pStyle w:val="Heading2"/>
      </w:pPr>
      <w:bookmarkStart w:id="900032" w:name="_Toc300000031"/>
      <w:r>
        <w:t>Article 2.2: Scope</w:t>
      </w:r>
      <w:bookmarkEnd w:id="900032"/>
    </w:p>
    <w:p>
      <w:pPr>
        <w:pStyle w:val="Normal"/>
      </w:pPr>
      <w:r>
        <w:t>Except as otherwise provided in this Agreement, this Chapter applies to trade in goods of a Party.</w:t>
      </w:r>
    </w:p>
    <w:p>
      <w:pPr>
        <w:pStyle w:val="Heading2"/>
      </w:pPr>
      <w:bookmarkStart w:id="900033" w:name="_Toc300000032"/>
      <w:r>
        <w:t xml:space="preserve">Article 2.3: National Treatment</w:t>
      </w:r>
      <w:bookmarkEnd w:id="900033"/>
    </w:p>
    <w:p>
      <w:pPr>
        <w:pStyle w:val="Normal"/>
      </w:pPr>
      <w:r>
        <w:t xml:space="preserve">1. Each Party shall accord national treatment to the goods of another Party in accordance with Article III of the GATT 1994, including its interpretative notes, and to this end, Article III of the GATT 1994 and its interpretative notes are incorporated into and made part of this Agreement, mutatis mutandis. 2. The treatment to be accorded by a Party under paragraph 1 means, with respect to a regional level of government, treatment no less favorable than the most favorable treatment that regional level of government accords to any like, directly competitive, or substitutable goods, as the case may be, of the Party of which it forms a part. 3. Paragraphs 1 and 2 do not apply to the measures set out in Annex 2-A (Exceptions to Article 2.3 (National Treatment) and Article 2.11 (Import and Export Restrictions)).</w:t>
      </w:r>
    </w:p>
    <w:p>
      <w:pPr>
        <w:pStyle w:val="Heading2"/>
      </w:pPr>
      <w:bookmarkStart w:id="900034" w:name="_Toc300000033"/>
      <w:r>
        <w:t xml:space="preserve">Article 2.4: Treatment of Customs Duties</w:t>
      </w:r>
      <w:bookmarkEnd w:id="900034"/>
    </w:p>
    <w:p>
      <w:pPr>
        <w:pStyle w:val="Normal"/>
      </w:pPr>
      <w:r>
        <w:t xml:space="preserve">1. Unless otherwise provided in this Agreement, no Party shall increase any existing customs duty, or adopt any new customs duty, on an originating good. 2. Unless otherwise provided in this Agreement, each Party shall apply a customs duty on an originating good in accordance with its Schedule to Annex 2-B (Tariff Commitments). 3. On the request of a Party, the Parties shall consult to consider accelerating or broadening the scope of the elimination of customs duties set out in their Schedules to Annex 2-B (Tariff Commitments). An agreement between two or more Parties to accelerate or broaden the scope of the elimination of a customs duty on an originating good shall supersede any customs duty rate determined pursuant to those Parties’ Schedules to Annex 2-B (Tariff Commitments) for that good once approved by each Party in accordance with its applicable legal procedures. 4. A Party may at any time unilaterally accelerate the elimination of customs duties set out in its Schedule to Annex 2-B (Tariff Commitments) on originating goods. 5.</w:t>
      </w:r>
    </w:p>
    <w:p>
      <w:pPr>
        <w:pStyle w:val="Normal"/>
      </w:pPr>
      <w:r>
        <w:t>Annex 2-C (Provisions Between Mexico and the United States on Automotive Goods) contains additional provisions between Mexico and the United States relating to customs duties on automotive goods that are not originating under Chapter 4 (Rules of Origin).</w:t>
      </w:r>
    </w:p>
    <w:p>
      <w:pPr>
        <w:pStyle w:val="Heading2"/>
      </w:pPr>
      <w:bookmarkStart w:id="900035" w:name="_Toc300000034"/>
      <w:r>
        <w:t xml:space="preserve">Article 2.5: Drawback and Duty Deferral Programs</w:t>
      </w:r>
      <w:bookmarkEnd w:id="900035"/>
    </w:p>
    <w:p>
      <w:pPr>
        <w:pStyle w:val="Normal"/>
      </w:pPr>
      <w:r>
        <w:t xml:space="preserve">1. Except as otherwise provided in this Article, no Party shall refund the amount of customs duties paid, or waive or reduce the amount of customs duties owed, on a good imported into its territory, on condition that the good is: (a) subsequently exported to the territory of another Party; (b) used as a material in the production of another good that is subsequently exported to the territory of another Party; or (c) substituted by an identical or similar good used as a material in the production of another good that is subsequently exported to the territory of another Party, in an amount that exceeds the lesser of the total amount of customs duties paid or owed on the good on importation into its territory and the total amount of customs duties paid to another Party on the good that has been subsequently exported to the territory of that other Party. 2. No Party shall, on condition of export, refund, waive, or reduce: (a) an antidumping or countervailing duty;</w:t>
      </w:r>
    </w:p>
    <w:p>
      <w:pPr>
        <w:pStyle w:val="Normal"/>
      </w:pPr>
      <w:r>
        <w:t>(b) a premium offered or collected on an imported good arising out of any tendering system in respect of the administration of quantitative import restrictions, or tariff rate quotas or tariff preference levels; or (c) customs duties paid or owed on a good imported into its territory and substituted by an identical or similar good that is subsequently exported to the territory of another Party. 3.</w:t>
      </w:r>
    </w:p>
    <w:p>
      <w:pPr>
        <w:pStyle w:val="Normal"/>
      </w:pPr>
      <w:r>
        <w:t>If a good is imported into the territory of a Party pursuant to a duty deferral program and is subsequently exported to the territory of another Party, or is used as a material in the production of another good that is subsequently exported to the territory of another Party, or is substituted by an identical or similar good used as a material in the production of another good that is subsequently exported to the territory of another Party, the Party from whose territory the good is exported: (a) shall assess the customs duty as if the exported good had been withdrawn for domestic consumption; and (b) may waive or reduce such customs duty to the extent permitted under paragraph 1. 4. In determining the amount of a customs duty that may be refunded, waived, or reduced pursuant to paragraph 1 on a good imported into its territory, each Party shall require presentation of satisfactory evidence of the amount of customs duties paid to another Party on the good that has been subsequently exported to the territory of that other Party. 5.</w:t>
      </w:r>
    </w:p>
    <w:p>
      <w:pPr>
        <w:pStyle w:val="Normal"/>
      </w:pPr>
      <w:r>
        <w:t>If satisfactory evidence of the customs duty paid to the Party to which a good is subsequently exported under a duty deferral program described in paragraph 3 is not presented within 60 days after the date of exportation, the Party from whose territory the good was exported: (a) shall collect the customs duty as if the exported good had been withdrawn for domestic consumption; and (b) may refund such customs duty, to the extent permitted under paragraph 1, on the timely presentation of such evidence under its laws and regulations. 6. This Article does not apply to: (a) a good entered under bond for transportation and exportation to the territory of another Party; (b) a good exported to the territory of another Party in the same condition as when imported into the territory of the Party from which the good was exported.1 If that good has been commingled with fungible goods and exported in the same condition, its origin for purposes of this subparagraph may be determined on the basis of inventory management methods such as first-in, first-out or last-in, first- out.</w:t>
      </w:r>
    </w:p>
    <w:p>
      <w:pPr>
        <w:pStyle w:val="Normal"/>
      </w:pPr>
      <w:r>
        <w:t>For greater certainty, nothing in this subparagraph shall be construed to permit a Party to waive, refund, or reduce a customs duty contrary to paragraph 2(c); (c) a good imported into the territory of a Party that is deemed to be exported from its territory, is used as a material in the production of another good that is deemed to be exported to the territory of another Party, or is substituted by an identical or similar good used as a material in the production of another good that is deemed to be exported to the territory of another Party, by reason of: * 1 Processes such as testing, cleaning, repacking, inspecting, sorting, or marking a good, or preserving a good in its same condition, shall not be considered to change the good’s condition.</w:t>
      </w:r>
    </w:p>
    <w:p>
      <w:pPr>
        <w:pStyle w:val="Normal"/>
      </w:pPr>
      <w:r>
        <w:t>(i) delivery to a duty-free shop, (ii) delivery for ship’s stores or supplies for ships or aircraft, or (iii) delivery for use in joint undertakings of two or more of the Parties and that will subsequently become the property of the Party into whose territory the good was deemed to be exported; (d) a refund of customs duties by a Party on a particular good imported into its territory and subsequently exported to the territory of another Party, if that refund is granted by reason of the failure of that good to conform to sample or specification, or by reason of the shipment of that good without the consent of the consignee; (e) an originating good that is imported into the territory of a Party and is subsequently exported to the</w:t>
      </w:r>
    </w:p>
    <w:p>
      <w:pPr>
        <w:pStyle w:val="Normal"/>
      </w:pPr>
      <w:r>
        <w:t>territory of another Party, or used as a material in the production of another good that is subsequently exported to the territory of another Party, or is substituted by an identical or similar good used as a material in the production of another good that is subsequently exported to the territory of another Party; (f) for exports from the territory of the United States to the territory of Canada or Mexico, goods provided for in U.S. tariff items 1701.13.20 or 1701.14.20 that are imported into the territory of the United States under any re-export program or any like program and used as a material in the production of, or substituted by an identical or similar good used as a material in the production of: (i) a good provided for in Canadian tariff item 1701.99.00 or Mexican tariff items 1701.99.01, 1701.99.02, and 1701.99.99 (refined sugar), or (ii) sugar containing products that are prepared foodstuffs or beverages classified in headings 17.04 and 18.06 or in Chapters 19, 20, 21, or 22; or (g) for trade between Canada and the United States:</w:t>
      </w:r>
    </w:p>
    <w:p>
      <w:pPr>
        <w:pStyle w:val="Normal"/>
      </w:pPr>
      <w:r>
        <w:t>(i) imported citrus products, (ii) an imported good used as a material in the production of, or substituted by an identical or similar good used as a material in the production of, a good provided for in U.S.</w:t>
      </w:r>
    </w:p>
    <w:p>
      <w:pPr>
        <w:pStyle w:val="Normal"/>
      </w:pPr>
      <w:r>
        <w:t>tariff items 5811.00.20 (quilted cotton piece goods), 5811.00.30 (quilted man-made piece goods) or 6307.90.99 (furniture moving pads), or Canadian tariff items 5811.00.10 (quilted cotton piece goods), 5811.00.20 (quilted man-made piece goods) or 6307.90.30 (furniture moving pads), that are subject to the most-favored-nation rate of duty when exported to the territory of the other Party, and (iii) an imported good used as a material in the production of apparel that is subject to the most-favored-nation rate of duty when exported to the territory of the other Party. 7. For the purposes of this Article: identical or similar goods means “identical goods” and “similar goods,” respectively, as defined in the Customs Valuation Agreement, or as otherwise provided for under the law of the importing Party; material means “material” as defined in Article 4.1 (Definitions); used means “used” as defined in Article 4.1 (Definitions). 8. If a good referred to by a tariff item number in this Article is described in parentheses following the tariff item number, the description is provided for purposes of reference only.</w:t>
      </w:r>
    </w:p>
    <w:p>
      <w:pPr>
        <w:pStyle w:val="Heading2"/>
      </w:pPr>
      <w:bookmarkStart w:id="900036" w:name="_Toc300000035"/>
      <w:r>
        <w:t xml:space="preserve">Article 2.6: Waiver of Customs Duties</w:t>
      </w:r>
      <w:bookmarkEnd w:id="900036"/>
    </w:p>
    <w:p>
      <w:pPr>
        <w:pStyle w:val="Normal"/>
      </w:pPr>
      <w:r>
        <w:t xml:space="preserve">No Party shall adopt or maintain any waiver of a customs duty if the waiver is conditioned, explicitly or implicitly, on the fulfillment of a performance requirement.</w:t>
      </w:r>
    </w:p>
    <w:p>
      <w:pPr>
        <w:pStyle w:val="Heading2"/>
      </w:pPr>
      <w:bookmarkStart w:id="900037" w:name="_Toc300000036"/>
      <w:r>
        <w:t xml:space="preserve">Article 2.7: Temporary Admission of Goods</w:t>
      </w:r>
      <w:bookmarkEnd w:id="900037"/>
    </w:p>
    <w:p>
      <w:pPr>
        <w:pStyle w:val="Normal"/>
      </w:pPr>
      <w:r>
        <w:t xml:space="preserve">1. Each Party shall grant duty-free temporary admission for: (a) professional equipment, including equipment for the press or television, software, and broadcasting and cinematographic equipment, that is necessary for carrying out the business activity, trade, or profession of a person who qualifies for temporary entry in accordance with the law of the importing Party; (b) a good intended for display or demonstration, including its component parts, ancillary apparatus and accessories; (c) commercial samples and advertising films and recordings; and (d) a good admitted for sports purposes, admitted from the territory of another Party, regardless of their origin and regardless of whether like, directly competitive, or substitutable goods are available in the territory of the Party. 2.</w:t>
      </w:r>
    </w:p>
    <w:p>
      <w:pPr>
        <w:pStyle w:val="Normal"/>
      </w:pPr>
      <w:r>
        <w:t>No Party shall condition the duty-free temporary admission of a good referred to in paragraph 1, other than to require that the good: (a) be imported by a national of another Party who seeks temporary entry; (b) be used solely by or under the personal supervision of a national of another Party in the exercise of the business activity, trade, profession, or sport of that person; (c) not be sold, leased, or, for goods referred to in paragraph 1(c), not be put to any use other than exhibition or demonstration, while in its territory; (d) be accompanied by a security in an amount no greater than 110 percent of the charges that would otherwise be owed on entry or importation, and releasable on exportation of the good except that a bond for customs duties shall not be required for an originating good; (e) be capable of identification when exported;</w:t>
      </w:r>
    </w:p>
    <w:p>
      <w:pPr>
        <w:pStyle w:val="Normal"/>
      </w:pPr>
      <w:r>
        <w:t>(f) be exported on the departure of the person referenced in subparagraph (a), or within any other period reasonably related to the purpose of the temporary admission as the Party may establish, unless extended; (g) be admitted in no greater quantity than is reasonable for its intended use; and (h) be otherwise admissible into the Party’s territory under its law. 3. Subject to its law, each Party shall extend the time limit for temporary admission beyond the period initially fixed at the request of the person concerned. 4.</w:t>
      </w:r>
    </w:p>
    <w:p>
      <w:pPr>
        <w:pStyle w:val="Normal"/>
      </w:pPr>
      <w:r>
        <w:t>Each Party shall adopt or maintain procedures providing for the expeditious release of a good admitted under this Article. To the extent possible, those procedures must provide that when such a good accompanies a national of another Party who is seeking temporary entry, the good shall be released simultaneously with the entry of that national. 5. Each Party shall permit a good temporarily admitted under this Article to be exported through a customs port other than the port through which it was admitted. 6. Each Party shall provide, in accordance with its law, that the person responsible for a good admitted under this Article shall not be liable for failure to export the good upon presentation of proof satisfactory to the Party into whose territory the good was admitted that the good has been destroyed within the original time period fixed for temporary admission or any lawful extension. 7. If any condition that a Party imposes under paragraph 2 has not been fulfilled, the Party may apply the customs duty and any other charge that would normally be owed on entry or importation of the good in addition to any other charges or penalties provided for under its law. 8.</w:t>
      </w:r>
    </w:p>
    <w:p>
      <w:pPr>
        <w:pStyle w:val="Normal"/>
      </w:pPr>
      <w:r>
        <w:t>Subject to Chapters 14 (Investment) and Chapter 15 (Cross Border Trade in Services): (a) each Party shall allow a vehicle, or shipping container or other substantial holder, that enters its territory from the territory of another Party to exit its territory on any route that is reasonably related to the economic and prompt departure of that vehicle, or shipping container or other substantial holder; (b) no Party shall require any security or impose any penalty or charge solely by reason of any difference between the port of entry and the port of departure of a vehicle, or shipping container or other substantial holder;</w:t>
      </w:r>
    </w:p>
    <w:p>
      <w:pPr>
        <w:pStyle w:val="Normal"/>
      </w:pPr>
      <w:r>
        <w:t>(c) no Party shall condition the release of any obligation, including any security, that it imposes in respect of the entry of a vehicle, or shipping container or other substantial holder, into its territory on the exit of that vehicle, or shipping container or other substantial holder, through any particular port of departure; and (d) no Party shall require that the vehicle or carrier bringing a shipping container or other substantial holder from the territory of another Party into its territory be the same vehicle or carrier that takes that shipping container or other substantial holder to the territory of another Party. 9. For the purposes of paragraph 8, vehicle means a truck, a truck tractor, a tractor, a trailer unit or trailer, a locomotive, or a railway car or other railroad equipment, if used in international traffic. 10.</w:t>
      </w:r>
    </w:p>
    <w:p>
      <w:pPr>
        <w:pStyle w:val="Normal"/>
      </w:pPr>
      <w:r>
        <w:t>Each Party shall adopt or maintain procedures allowing for the arrival and release from customs custody, such as through a procedure that provides for temporary admission as set forth in this Article, of a shipping container or other substantial holder being used or to be used in the shipment of goods in international traffic, whether arriving full or empty and of any size, volume, or dimension, with relief from custom duties and allowing it to remain within its territory for at least 90 consecutive days. 11. Each Party shall, in accordance with its laws, regulations, and procedures, extend the timeframe for temporary admission of a shipping container or other substantial holder beyond the period initially fixed at the request of the person concerned. 12. A Party may require that a shipping container or other substantial holder be registered with the customs authority the first time it arrives in its territory, as a condition for the treatment described in paragraphs 10 and 11. 13.</w:t>
      </w:r>
    </w:p>
    <w:p>
      <w:pPr>
        <w:pStyle w:val="Normal"/>
      </w:pPr>
      <w:r>
        <w:t>Each Party shall include in the treatment of any shipping container or other substantial holder that has an internal volume of one cubic meter or more, the accessories or equipment accompanying it as defined by the importing Party. 14.</w:t>
      </w:r>
    </w:p>
    <w:p>
      <w:pPr>
        <w:pStyle w:val="Normal"/>
      </w:pPr>
      <w:r>
        <w:t>For the purposes of paragraph 8 and paragraphs 10 through 13, a “shipping container or other substantial holder” includes any container or holder, whether collapsible or not, that is constructed of a sturdy material capable of repeated use, and is used in the shipment of goods in international traffic.</w:t>
      </w:r>
    </w:p>
    <w:p>
      <w:pPr>
        <w:pStyle w:val="Heading2"/>
      </w:pPr>
      <w:bookmarkStart w:id="900038" w:name="_Toc300000037"/>
      <w:r>
        <w:t xml:space="preserve">Article 2.8: Goods Re-Entered after Repair or Alteration</w:t>
      </w:r>
      <w:bookmarkEnd w:id="900038"/>
    </w:p>
    <w:p>
      <w:pPr>
        <w:pStyle w:val="Normal"/>
      </w:pPr>
      <w:r>
        <w:t xml:space="preserve">1. No Party shall apply a customs duty to a good, regardless of its origin, that re-enters its territory after that good has been temporarily exported from its territory to the territory of another Party for repair or alteration, regardless of whether that repair or alteration could have been performed in the territory of the Party from which the good was exported for repair or alteration or has increased the value of the good. 2. Paragraph 1 does not apply to a good imported under a duty deferral program that is exported for repair or alteration and is not re-imported under a duty deferral program. 3. Notwithstanding Article 2.5 (Drawback and Duty Deferral Programs), no Party shall apply a customs duty to a good, regardless of its origin, admitted temporarily from the territory of another Party for repair or alteration. 4. For the purposes of this Article, repair or alteration does not include an operation or process that: (a) destroys a good’s essential characteristics or creates a new or commercially different good; or (b) transforms an unfinished good into a finished good.</w:t>
      </w:r>
    </w:p>
    <w:p>
      <w:pPr>
        <w:pStyle w:val="Heading2"/>
      </w:pPr>
      <w:bookmarkStart w:id="900039" w:name="_Toc300000038"/>
      <w:r>
        <w:t xml:space="preserve">Article 2.9: Duty-Free Entry of Commercial Samples of Negligible Value and Printed Advertising Materials</w:t>
      </w:r>
      <w:bookmarkEnd w:id="900039"/>
    </w:p>
    <w:p>
      <w:pPr>
        <w:pStyle w:val="Normal"/>
      </w:pPr>
      <w:r>
        <w:t xml:space="preserve">No Party shall apply a customs duty to commercial samples of negligible value or to printed advertising materials imported from the territory of another Party, regardless of their origin, but a Party may require that: (a) the samples be imported solely for the solicitation of orders for goods, or services provided from the territory, of another Party or a non-Party; or (b) the advertising materials be imported in packets that each contain no more than one copy of each such material and that neither the materials nor the packets form part of a larger consignment.</w:t>
      </w:r>
    </w:p>
    <w:p>
      <w:pPr>
        <w:pStyle w:val="Heading2"/>
      </w:pPr>
      <w:bookmarkStart w:id="900040" w:name="_Toc300000039"/>
      <w:r>
        <w:rPr>
          <w:b w:val="0"/>
        </w:rPr>
        <w:t xml:space="preserve">Article 2.10: Most-Favored-Nation Rates of Duty on Certain Goods</w:t>
        <w:br/>
        <w:br/>
      </w:r>
      <w:bookmarkEnd w:id="900040"/>
    </w:p>
    <w:p>
      <w:pPr>
        <w:pStyle w:val="Normal"/>
      </w:pPr>
      <w:r>
        <w:rPr>
          <w:b w:val="0"/>
        </w:rPr>
        <w:t xml:space="preserve">1. Each Party shall accord most-favored-nation duty-free treatment to a good provided for under the tariff provisions set out in Tables 2.10.1, 2.10.2, and 2.10.3.2. Notwithstanding Chapter 4 (Rules of Origin), each Party shall consider a good set out in Table 2.10.1, if imported into its territory from the territory of another Party, to be an originating good.</w:t>
        <w:br/>
        <w:br/>
      </w:r>
    </w:p>
    <w:p>
      <w:pPr>
        <w:pStyle w:val="Normal"/>
      </w:pPr>
      <w:r>
        <w:rPr>
          <w:b/>
        </w:rPr>
        <w:t>Table 2.10.1</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2340"/>
        <w:gridCol w:w="2340"/>
        <w:gridCol w:w="2340"/>
        <w:gridCol w:w="2340"/>
      </w:tblGrid>
      <w:tr>
        <w:trPr>
          <w:tblHeader w:val="true"/>
          <w:cantSplit/>
          <w:tblHeader w:val="true"/>
        </w:trPr>
        <w:tc>
          <w:tcPr>
            <w:tcW w:type="dxa" w:w="2340"/>
            <w:tcBorders>
              <w:bottom w:val="single" w:sz="6" w:space="0" w:color="546E7A"/>
            </w:tcBorders>
            <w:shd w:fill="E4E9EC" w:val="clear" w:color="auto"/>
          </w:tcPr>
          <w:p>
            <w:pPr>
              <w:pStyle w:val="TableText"/>
            </w:pPr>
            <w:r>
              <w:rPr>
                <w:b/>
                <w:color w:val="37474F"/>
              </w:rPr>
              <w:t>Category</w:t>
            </w:r>
          </w:p>
        </w:tc>
        <w:tc>
          <w:tcPr>
            <w:tcW w:type="dxa" w:w="2340"/>
            <w:tcBorders>
              <w:bottom w:val="single" w:sz="6" w:space="0" w:color="546E7A"/>
            </w:tcBorders>
            <w:shd w:fill="E4E9EC" w:val="clear" w:color="auto"/>
          </w:tcPr>
          <w:p>
            <w:pPr>
              <w:pStyle w:val="TableText"/>
            </w:pPr>
            <w:r>
              <w:rPr>
                <w:b/>
                <w:color w:val="37474F"/>
              </w:rPr>
              <w:t>Party</w:t>
            </w:r>
          </w:p>
        </w:tc>
        <w:tc>
          <w:tcPr>
            <w:tcW w:type="dxa" w:w="2340"/>
            <w:tcBorders>
              <w:bottom w:val="single" w:sz="6" w:space="0" w:color="546E7A"/>
            </w:tcBorders>
            <w:shd w:fill="E4E9EC" w:val="clear" w:color="auto"/>
          </w:tcPr>
          <w:p>
            <w:pPr>
              <w:pStyle w:val="TableText"/>
            </w:pPr>
            <w:r>
              <w:rPr>
                <w:b/>
                <w:color w:val="37474F"/>
              </w:rPr>
              <w:t>Tariff Provision(s)</w:t>
            </w:r>
          </w:p>
        </w:tc>
        <w:tc>
          <w:tcPr>
            <w:tcW w:type="dxa" w:w="2340"/>
            <w:tcBorders>
              <w:bottom w:val="single" w:sz="6" w:space="0" w:color="546E7A"/>
            </w:tcBorders>
            <w:shd w:fill="E4E9EC" w:val="clear" w:color="auto"/>
          </w:tcPr>
          <w:p>
            <w:pPr>
              <w:pStyle w:val="TableText"/>
            </w:pPr>
            <w:r>
              <w:rPr>
                <w:b/>
                <w:color w:val="37474F"/>
              </w:rPr>
              <w:t>Description / Limitation</w:t>
            </w:r>
          </w:p>
        </w:tc>
      </w:tr>
      <w:tr>
        <w:trPr>
          <w:cantSplit/>
        </w:trPr>
        <w:tc>
          <w:tcPr>
            <w:tcW w:type="dxa" w:w="2340"/>
            <w:tcMar>
              <w:top w:w="70" w:type="dxa"/>
              <w:start w:w="110" w:type="dxa"/>
              <w:bottom w:w="70" w:type="dxa"/>
              <w:end w:w="110" w:type="dxa"/>
            </w:tcMar>
          </w:tcPr>
          <w:p>
            <w:pPr>
              <w:pStyle w:val="TableText"/>
            </w:pPr>
            <w:r>
              <w:rPr/>
              <w:t>A. Automatic Data Processing Machines (ADP)</w:t>
            </w:r>
          </w:p>
        </w:tc>
        <w:tc>
          <w:tcPr>
            <w:tcW w:type="dxa" w:w="2340"/>
            <w:tcMar>
              <w:top w:w="70" w:type="dxa"/>
              <w:start w:w="110" w:type="dxa"/>
              <w:bottom w:w="70" w:type="dxa"/>
              <w:end w:w="110" w:type="dxa"/>
            </w:tcMar>
          </w:tcPr>
          <w:p>
            <w:pPr>
              <w:pStyle w:val="TableText"/>
            </w:pPr>
            <w:r>
              <w:rPr/>
              <w:t>All Parties</w:t>
            </w:r>
          </w:p>
        </w:tc>
        <w:tc>
          <w:tcPr>
            <w:tcW w:type="dxa" w:w="2340"/>
            <w:tcMar>
              <w:top w:w="70" w:type="dxa"/>
              <w:start w:w="110" w:type="dxa"/>
              <w:bottom w:w="70" w:type="dxa"/>
              <w:end w:w="110" w:type="dxa"/>
            </w:tcMar>
          </w:tcPr>
          <w:p>
            <w:pPr>
              <w:pStyle w:val="TableText"/>
            </w:pPr>
            <w:r>
              <w:rPr/>
              <w:t>8471.30; 8471.41; 8471.49</w:t>
            </w:r>
          </w:p>
        </w:tc>
        <w:tc>
          <w:tcPr>
            <w:tcW w:type="dxa" w:w="2340"/>
            <w:tcMar>
              <w:top w:w="70" w:type="dxa"/>
              <w:start w:w="110" w:type="dxa"/>
              <w:bottom w:w="70" w:type="dxa"/>
              <w:end w:w="110" w:type="dxa"/>
            </w:tcMar>
          </w:tcPr>
          <w:p>
            <w:pPr>
              <w:pStyle w:val="TableText"/>
            </w:pPr>
            <w:r>
              <w:rPr/>
            </w:r>
          </w:p>
        </w:tc>
      </w:tr>
      <w:tr>
        <w:trPr>
          <w:cantSplit/>
        </w:trPr>
        <w:tc>
          <w:tcPr>
            <w:tcW w:type="dxa" w:w="2340"/>
            <w:shd w:fill="F5F7F8" w:val="clear" w:color="auto"/>
            <w:tcMar>
              <w:top w:w="70" w:type="dxa"/>
              <w:start w:w="110" w:type="dxa"/>
              <w:bottom w:w="70" w:type="dxa"/>
              <w:end w:w="110" w:type="dxa"/>
            </w:tcMar>
          </w:tcPr>
          <w:p>
            <w:pPr>
              <w:pStyle w:val="TableText"/>
            </w:pPr>
            <w:r>
              <w:rPr/>
              <w:t>B. Digital Processing Units</w:t>
            </w:r>
          </w:p>
        </w:tc>
        <w:tc>
          <w:tcPr>
            <w:tcW w:type="dxa" w:w="2340"/>
            <w:shd w:fill="F5F7F8" w:val="clear" w:color="auto"/>
            <w:tcMar>
              <w:top w:w="70" w:type="dxa"/>
              <w:start w:w="110" w:type="dxa"/>
              <w:bottom w:w="70" w:type="dxa"/>
              <w:end w:w="110" w:type="dxa"/>
            </w:tcMar>
          </w:tcPr>
          <w:p>
            <w:pPr>
              <w:pStyle w:val="TableText"/>
            </w:pPr>
            <w:r>
              <w:rPr/>
              <w:t>All Parties</w:t>
            </w:r>
          </w:p>
        </w:tc>
        <w:tc>
          <w:tcPr>
            <w:tcW w:type="dxa" w:w="2340"/>
            <w:shd w:fill="F5F7F8" w:val="clear" w:color="auto"/>
            <w:tcMar>
              <w:top w:w="70" w:type="dxa"/>
              <w:start w:w="110" w:type="dxa"/>
              <w:bottom w:w="70" w:type="dxa"/>
              <w:end w:w="110" w:type="dxa"/>
            </w:tcMar>
          </w:tcPr>
          <w:p>
            <w:pPr>
              <w:pStyle w:val="TableText"/>
            </w:pPr>
            <w:r>
              <w:rPr/>
              <w:t>8471.50</w:t>
            </w:r>
          </w:p>
        </w:tc>
        <w:tc>
          <w:tcPr>
            <w:tcW w:type="dxa" w:w="2340"/>
            <w:shd w:fill="F5F7F8" w:val="clear" w:color="auto"/>
            <w:tcMar>
              <w:top w:w="70" w:type="dxa"/>
              <w:start w:w="110" w:type="dxa"/>
              <w:bottom w:w="70" w:type="dxa"/>
              <w:end w:w="110" w:type="dxa"/>
            </w:tcMar>
          </w:tcPr>
          <w:p>
            <w:pPr>
              <w:pStyle w:val="TableText"/>
            </w:pPr>
            <w:r>
              <w:rPr/>
            </w:r>
          </w:p>
        </w:tc>
      </w:tr>
      <w:tr>
        <w:trPr>
          <w:cantSplit/>
        </w:trPr>
        <w:tc>
          <w:tcPr>
            <w:tcW w:type="dxa" w:w="2340"/>
            <w:tcMar>
              <w:top w:w="70" w:type="dxa"/>
              <w:start w:w="110" w:type="dxa"/>
              <w:bottom w:w="70" w:type="dxa"/>
              <w:end w:w="110" w:type="dxa"/>
            </w:tcMar>
          </w:tcPr>
          <w:p>
            <w:pPr>
              <w:pStyle w:val="TableText"/>
            </w:pPr>
            <w:r>
              <w:rPr/>
              <w:t>C. Input or Output Units: Combined Input/Output Units</w:t>
            </w:r>
          </w:p>
        </w:tc>
        <w:tc>
          <w:tcPr>
            <w:tcW w:type="dxa" w:w="2340"/>
            <w:tcMar>
              <w:top w:w="70" w:type="dxa"/>
              <w:start w:w="110" w:type="dxa"/>
              <w:bottom w:w="70" w:type="dxa"/>
              <w:end w:w="110" w:type="dxa"/>
            </w:tcMar>
          </w:tcPr>
          <w:p>
            <w:pPr>
              <w:pStyle w:val="TableText"/>
            </w:pPr>
            <w:r>
              <w:rPr/>
              <w:t>Canada</w:t>
            </w:r>
          </w:p>
        </w:tc>
        <w:tc>
          <w:tcPr>
            <w:tcW w:type="dxa" w:w="2340"/>
            <w:tcMar>
              <w:top w:w="70" w:type="dxa"/>
              <w:start w:w="110" w:type="dxa"/>
              <w:bottom w:w="70" w:type="dxa"/>
              <w:end w:w="110" w:type="dxa"/>
            </w:tcMar>
          </w:tcPr>
          <w:p>
            <w:pPr>
              <w:pStyle w:val="TableText"/>
            </w:pPr>
            <w:r>
              <w:rPr/>
              <w:t>8471.60.00</w:t>
            </w:r>
          </w:p>
        </w:tc>
        <w:tc>
          <w:tcPr>
            <w:tcW w:type="dxa" w:w="2340"/>
            <w:tcMar>
              <w:top w:w="70" w:type="dxa"/>
              <w:start w:w="110" w:type="dxa"/>
              <w:bottom w:w="70" w:type="dxa"/>
              <w:end w:w="110" w:type="dxa"/>
            </w:tcMar>
          </w:tcPr>
          <w:p>
            <w:pPr>
              <w:pStyle w:val="TableText"/>
            </w:pPr>
            <w:r>
              <w:rPr/>
            </w:r>
          </w:p>
        </w:tc>
      </w:tr>
      <w:tr>
        <w:trPr>
          <w:cantSplit/>
        </w:trPr>
        <w:tc>
          <w:tcPr>
            <w:tcW w:type="dxa" w:w="2340"/>
            <w:shd w:fill="F5F7F8" w:val="clear" w:color="auto"/>
            <w:tcMar>
              <w:top w:w="70" w:type="dxa"/>
              <w:start w:w="110" w:type="dxa"/>
              <w:bottom w:w="70" w:type="dxa"/>
              <w:end w:w="110" w:type="dxa"/>
            </w:tcMar>
          </w:tcPr>
          <w:p>
            <w:pPr>
              <w:pStyle w:val="TableText"/>
            </w:pPr>
            <w:r>
              <w:rPr/>
              <w:t>C. Input or Output Units: Combined Input/Output Units</w:t>
            </w:r>
          </w:p>
        </w:tc>
        <w:tc>
          <w:tcPr>
            <w:tcW w:type="dxa" w:w="2340"/>
            <w:shd w:fill="F5F7F8" w:val="clear" w:color="auto"/>
            <w:tcMar>
              <w:top w:w="70" w:type="dxa"/>
              <w:start w:w="110" w:type="dxa"/>
              <w:bottom w:w="70" w:type="dxa"/>
              <w:end w:w="110" w:type="dxa"/>
            </w:tcMar>
          </w:tcPr>
          <w:p>
            <w:pPr>
              <w:pStyle w:val="TableText"/>
            </w:pPr>
            <w:r>
              <w:rPr/>
              <w:t>Mexico</w:t>
            </w:r>
          </w:p>
        </w:tc>
        <w:tc>
          <w:tcPr>
            <w:tcW w:type="dxa" w:w="2340"/>
            <w:shd w:fill="F5F7F8" w:val="clear" w:color="auto"/>
            <w:tcMar>
              <w:top w:w="70" w:type="dxa"/>
              <w:start w:w="110" w:type="dxa"/>
              <w:bottom w:w="70" w:type="dxa"/>
              <w:end w:w="110" w:type="dxa"/>
            </w:tcMar>
          </w:tcPr>
          <w:p>
            <w:pPr>
              <w:pStyle w:val="TableText"/>
            </w:pPr>
            <w:r>
              <w:rPr/>
              <w:t>8471.60.02</w:t>
            </w:r>
          </w:p>
        </w:tc>
        <w:tc>
          <w:tcPr>
            <w:tcW w:type="dxa" w:w="2340"/>
            <w:shd w:fill="F5F7F8" w:val="clear" w:color="auto"/>
            <w:tcMar>
              <w:top w:w="70" w:type="dxa"/>
              <w:start w:w="110" w:type="dxa"/>
              <w:bottom w:w="70" w:type="dxa"/>
              <w:end w:w="110" w:type="dxa"/>
            </w:tcMar>
          </w:tcPr>
          <w:p>
            <w:pPr>
              <w:pStyle w:val="TableText"/>
            </w:pPr>
            <w:r>
              <w:rPr/>
            </w:r>
          </w:p>
        </w:tc>
      </w:tr>
      <w:tr>
        <w:trPr>
          <w:cantSplit/>
        </w:trPr>
        <w:tc>
          <w:tcPr>
            <w:tcW w:type="dxa" w:w="2340"/>
            <w:tcMar>
              <w:top w:w="70" w:type="dxa"/>
              <w:start w:w="110" w:type="dxa"/>
              <w:bottom w:w="70" w:type="dxa"/>
              <w:end w:w="110" w:type="dxa"/>
            </w:tcMar>
          </w:tcPr>
          <w:p>
            <w:pPr>
              <w:pStyle w:val="TableText"/>
            </w:pPr>
            <w:r>
              <w:rPr/>
              <w:t>C. Input or Output Units: Combined Input/Output Units</w:t>
            </w:r>
          </w:p>
        </w:tc>
        <w:tc>
          <w:tcPr>
            <w:tcW w:type="dxa" w:w="2340"/>
            <w:tcMar>
              <w:top w:w="70" w:type="dxa"/>
              <w:start w:w="110" w:type="dxa"/>
              <w:bottom w:w="70" w:type="dxa"/>
              <w:end w:w="110" w:type="dxa"/>
            </w:tcMar>
          </w:tcPr>
          <w:p>
            <w:pPr>
              <w:pStyle w:val="TableText"/>
            </w:pPr>
            <w:r>
              <w:rPr/>
              <w:t>United States</w:t>
            </w:r>
          </w:p>
        </w:tc>
        <w:tc>
          <w:tcPr>
            <w:tcW w:type="dxa" w:w="2340"/>
            <w:tcMar>
              <w:top w:w="70" w:type="dxa"/>
              <w:start w:w="110" w:type="dxa"/>
              <w:bottom w:w="70" w:type="dxa"/>
              <w:end w:w="110" w:type="dxa"/>
            </w:tcMar>
          </w:tcPr>
          <w:p>
            <w:pPr>
              <w:pStyle w:val="TableText"/>
            </w:pPr>
            <w:r>
              <w:rPr/>
              <w:t>8471.60.10</w:t>
            </w:r>
          </w:p>
        </w:tc>
        <w:tc>
          <w:tcPr>
            <w:tcW w:type="dxa" w:w="2340"/>
            <w:tcMar>
              <w:top w:w="70" w:type="dxa"/>
              <w:start w:w="110" w:type="dxa"/>
              <w:bottom w:w="70" w:type="dxa"/>
              <w:end w:w="110" w:type="dxa"/>
            </w:tcMar>
          </w:tcPr>
          <w:p>
            <w:pPr>
              <w:pStyle w:val="TableText"/>
            </w:pPr>
            <w:r>
              <w:rPr/>
            </w:r>
          </w:p>
        </w:tc>
      </w:tr>
      <w:tr>
        <w:trPr>
          <w:cantSplit/>
        </w:trPr>
        <w:tc>
          <w:tcPr>
            <w:tcW w:type="dxa" w:w="2340"/>
            <w:shd w:fill="F5F7F8" w:val="clear" w:color="auto"/>
            <w:tcMar>
              <w:top w:w="70" w:type="dxa"/>
              <w:start w:w="110" w:type="dxa"/>
              <w:bottom w:w="70" w:type="dxa"/>
              <w:end w:w="110" w:type="dxa"/>
            </w:tcMar>
          </w:tcPr>
          <w:p>
            <w:pPr>
              <w:pStyle w:val="TableText"/>
            </w:pPr>
            <w:r>
              <w:rPr/>
              <w:t>C. Input or Output Units: Display Units</w:t>
            </w:r>
          </w:p>
        </w:tc>
        <w:tc>
          <w:tcPr>
            <w:tcW w:type="dxa" w:w="2340"/>
            <w:shd w:fill="F5F7F8" w:val="clear" w:color="auto"/>
            <w:tcMar>
              <w:top w:w="70" w:type="dxa"/>
              <w:start w:w="110" w:type="dxa"/>
              <w:bottom w:w="70" w:type="dxa"/>
              <w:end w:w="110" w:type="dxa"/>
            </w:tcMar>
          </w:tcPr>
          <w:p>
            <w:pPr>
              <w:pStyle w:val="TableText"/>
            </w:pPr>
            <w:r>
              <w:rPr/>
              <w:t>Canada</w:t>
            </w:r>
          </w:p>
        </w:tc>
        <w:tc>
          <w:tcPr>
            <w:tcW w:type="dxa" w:w="2340"/>
            <w:shd w:fill="F5F7F8" w:val="clear" w:color="auto"/>
            <w:tcMar>
              <w:top w:w="70" w:type="dxa"/>
              <w:start w:w="110" w:type="dxa"/>
              <w:bottom w:w="70" w:type="dxa"/>
              <w:end w:w="110" w:type="dxa"/>
            </w:tcMar>
          </w:tcPr>
          <w:p>
            <w:pPr>
              <w:pStyle w:val="TableText"/>
            </w:pPr>
            <w:r>
              <w:rPr/>
              <w:t>8528.42.00; 8528.52.00; 8528.62.00</w:t>
            </w:r>
          </w:p>
        </w:tc>
        <w:tc>
          <w:tcPr>
            <w:tcW w:type="dxa" w:w="2340"/>
            <w:shd w:fill="F5F7F8" w:val="clear" w:color="auto"/>
            <w:tcMar>
              <w:top w:w="70" w:type="dxa"/>
              <w:start w:w="110" w:type="dxa"/>
              <w:bottom w:w="70" w:type="dxa"/>
              <w:end w:w="110" w:type="dxa"/>
            </w:tcMar>
          </w:tcPr>
          <w:p>
            <w:pPr>
              <w:pStyle w:val="TableText"/>
            </w:pPr>
            <w:r>
              <w:rPr/>
            </w:r>
          </w:p>
        </w:tc>
      </w:tr>
      <w:tr>
        <w:trPr>
          <w:cantSplit/>
        </w:trPr>
        <w:tc>
          <w:tcPr>
            <w:tcW w:type="dxa" w:w="2340"/>
            <w:tcMar>
              <w:top w:w="70" w:type="dxa"/>
              <w:start w:w="110" w:type="dxa"/>
              <w:bottom w:w="70" w:type="dxa"/>
              <w:end w:w="110" w:type="dxa"/>
            </w:tcMar>
          </w:tcPr>
          <w:p>
            <w:pPr>
              <w:pStyle w:val="TableText"/>
            </w:pPr>
            <w:r>
              <w:rPr/>
              <w:t>C. Input or Output Units: Display Units</w:t>
            </w:r>
          </w:p>
        </w:tc>
        <w:tc>
          <w:tcPr>
            <w:tcW w:type="dxa" w:w="2340"/>
            <w:tcMar>
              <w:top w:w="70" w:type="dxa"/>
              <w:start w:w="110" w:type="dxa"/>
              <w:bottom w:w="70" w:type="dxa"/>
              <w:end w:w="110" w:type="dxa"/>
            </w:tcMar>
          </w:tcPr>
          <w:p>
            <w:pPr>
              <w:pStyle w:val="TableText"/>
            </w:pPr>
            <w:r>
              <w:rPr/>
              <w:t>Mexico</w:t>
            </w:r>
          </w:p>
        </w:tc>
        <w:tc>
          <w:tcPr>
            <w:tcW w:type="dxa" w:w="2340"/>
            <w:tcMar>
              <w:top w:w="70" w:type="dxa"/>
              <w:start w:w="110" w:type="dxa"/>
              <w:bottom w:w="70" w:type="dxa"/>
              <w:end w:w="110" w:type="dxa"/>
            </w:tcMar>
          </w:tcPr>
          <w:p>
            <w:pPr>
              <w:pStyle w:val="TableText"/>
            </w:pPr>
            <w:r>
              <w:rPr/>
              <w:t>8528.41.99; 8528.51.01; 8528.51.99; 8528.61.01</w:t>
            </w:r>
          </w:p>
        </w:tc>
        <w:tc>
          <w:tcPr>
            <w:tcW w:type="dxa" w:w="2340"/>
            <w:tcMar>
              <w:top w:w="70" w:type="dxa"/>
              <w:start w:w="110" w:type="dxa"/>
              <w:bottom w:w="70" w:type="dxa"/>
              <w:end w:w="110" w:type="dxa"/>
            </w:tcMar>
          </w:tcPr>
          <w:p>
            <w:pPr>
              <w:pStyle w:val="TableText"/>
            </w:pPr>
            <w:r>
              <w:rPr/>
            </w:r>
          </w:p>
        </w:tc>
      </w:tr>
      <w:tr>
        <w:trPr>
          <w:cantSplit/>
        </w:trPr>
        <w:tc>
          <w:tcPr>
            <w:tcW w:type="dxa" w:w="2340"/>
            <w:shd w:fill="F5F7F8" w:val="clear" w:color="auto"/>
            <w:tcMar>
              <w:top w:w="70" w:type="dxa"/>
              <w:start w:w="110" w:type="dxa"/>
              <w:bottom w:w="70" w:type="dxa"/>
              <w:end w:w="110" w:type="dxa"/>
            </w:tcMar>
          </w:tcPr>
          <w:p>
            <w:pPr>
              <w:pStyle w:val="TableText"/>
            </w:pPr>
            <w:r>
              <w:rPr/>
              <w:t>C. Input or Output Units: Display Units</w:t>
            </w:r>
          </w:p>
        </w:tc>
        <w:tc>
          <w:tcPr>
            <w:tcW w:type="dxa" w:w="2340"/>
            <w:shd w:fill="F5F7F8" w:val="clear" w:color="auto"/>
            <w:tcMar>
              <w:top w:w="70" w:type="dxa"/>
              <w:start w:w="110" w:type="dxa"/>
              <w:bottom w:w="70" w:type="dxa"/>
              <w:end w:w="110" w:type="dxa"/>
            </w:tcMar>
          </w:tcPr>
          <w:p>
            <w:pPr>
              <w:pStyle w:val="TableText"/>
            </w:pPr>
            <w:r>
              <w:rPr/>
              <w:t>United States</w:t>
            </w:r>
          </w:p>
        </w:tc>
        <w:tc>
          <w:tcPr>
            <w:tcW w:type="dxa" w:w="2340"/>
            <w:shd w:fill="F5F7F8" w:val="clear" w:color="auto"/>
            <w:tcMar>
              <w:top w:w="70" w:type="dxa"/>
              <w:start w:w="110" w:type="dxa"/>
              <w:bottom w:w="70" w:type="dxa"/>
              <w:end w:w="110" w:type="dxa"/>
            </w:tcMar>
          </w:tcPr>
          <w:p>
            <w:pPr>
              <w:pStyle w:val="TableText"/>
            </w:pPr>
            <w:r>
              <w:rPr/>
              <w:t>8528.42.00; 8528.52.00; 8528.62.00</w:t>
            </w:r>
          </w:p>
        </w:tc>
        <w:tc>
          <w:tcPr>
            <w:tcW w:type="dxa" w:w="2340"/>
            <w:shd w:fill="F5F7F8" w:val="clear" w:color="auto"/>
            <w:tcMar>
              <w:top w:w="70" w:type="dxa"/>
              <w:start w:w="110" w:type="dxa"/>
              <w:bottom w:w="70" w:type="dxa"/>
              <w:end w:w="110" w:type="dxa"/>
            </w:tcMar>
          </w:tcPr>
          <w:p>
            <w:pPr>
              <w:pStyle w:val="TableText"/>
            </w:pPr>
            <w:r>
              <w:rPr/>
            </w:r>
          </w:p>
        </w:tc>
      </w:tr>
      <w:tr>
        <w:trPr>
          <w:cantSplit/>
        </w:trPr>
        <w:tc>
          <w:tcPr>
            <w:tcW w:type="dxa" w:w="2340"/>
            <w:tcMar>
              <w:top w:w="70" w:type="dxa"/>
              <w:start w:w="110" w:type="dxa"/>
              <w:bottom w:w="70" w:type="dxa"/>
              <w:end w:w="110" w:type="dxa"/>
            </w:tcMar>
          </w:tcPr>
          <w:p>
            <w:pPr>
              <w:pStyle w:val="TableText"/>
            </w:pPr>
            <w:r>
              <w:rPr/>
              <w:t>C. Input or Output Units: Other Input or Output Units</w:t>
            </w:r>
          </w:p>
        </w:tc>
        <w:tc>
          <w:tcPr>
            <w:tcW w:type="dxa" w:w="2340"/>
            <w:tcMar>
              <w:top w:w="70" w:type="dxa"/>
              <w:start w:w="110" w:type="dxa"/>
              <w:bottom w:w="70" w:type="dxa"/>
              <w:end w:w="110" w:type="dxa"/>
            </w:tcMar>
          </w:tcPr>
          <w:p>
            <w:pPr>
              <w:pStyle w:val="TableText"/>
            </w:pPr>
            <w:r>
              <w:rPr/>
              <w:t>Canada</w:t>
            </w:r>
          </w:p>
        </w:tc>
        <w:tc>
          <w:tcPr>
            <w:tcW w:type="dxa" w:w="2340"/>
            <w:tcMar>
              <w:top w:w="70" w:type="dxa"/>
              <w:start w:w="110" w:type="dxa"/>
              <w:bottom w:w="70" w:type="dxa"/>
              <w:end w:w="110" w:type="dxa"/>
            </w:tcMar>
          </w:tcPr>
          <w:p>
            <w:pPr>
              <w:pStyle w:val="TableText"/>
            </w:pPr>
            <w:r>
              <w:rPr/>
              <w:t>8471.60.00</w:t>
            </w:r>
          </w:p>
        </w:tc>
        <w:tc>
          <w:tcPr>
            <w:tcW w:type="dxa" w:w="2340"/>
            <w:tcMar>
              <w:top w:w="70" w:type="dxa"/>
              <w:start w:w="110" w:type="dxa"/>
              <w:bottom w:w="70" w:type="dxa"/>
              <w:end w:w="110" w:type="dxa"/>
            </w:tcMar>
          </w:tcPr>
          <w:p>
            <w:pPr>
              <w:pStyle w:val="TableText"/>
            </w:pPr>
            <w:r>
              <w:rPr/>
            </w:r>
          </w:p>
        </w:tc>
      </w:tr>
      <w:tr>
        <w:trPr>
          <w:cantSplit/>
        </w:trPr>
        <w:tc>
          <w:tcPr>
            <w:tcW w:type="dxa" w:w="2340"/>
            <w:shd w:fill="F5F7F8" w:val="clear" w:color="auto"/>
            <w:tcMar>
              <w:top w:w="70" w:type="dxa"/>
              <w:start w:w="110" w:type="dxa"/>
              <w:bottom w:w="70" w:type="dxa"/>
              <w:end w:w="110" w:type="dxa"/>
            </w:tcMar>
          </w:tcPr>
          <w:p>
            <w:pPr>
              <w:pStyle w:val="TableText"/>
            </w:pPr>
            <w:r>
              <w:rPr/>
              <w:t>C. Input or Output Units: Other Input or Output Units</w:t>
            </w:r>
          </w:p>
        </w:tc>
        <w:tc>
          <w:tcPr>
            <w:tcW w:type="dxa" w:w="2340"/>
            <w:shd w:fill="F5F7F8" w:val="clear" w:color="auto"/>
            <w:tcMar>
              <w:top w:w="70" w:type="dxa"/>
              <w:start w:w="110" w:type="dxa"/>
              <w:bottom w:w="70" w:type="dxa"/>
              <w:end w:w="110" w:type="dxa"/>
            </w:tcMar>
          </w:tcPr>
          <w:p>
            <w:pPr>
              <w:pStyle w:val="TableText"/>
            </w:pPr>
            <w:r>
              <w:rPr/>
              <w:t>Mexico</w:t>
            </w:r>
          </w:p>
        </w:tc>
        <w:tc>
          <w:tcPr>
            <w:tcW w:type="dxa" w:w="2340"/>
            <w:shd w:fill="F5F7F8" w:val="clear" w:color="auto"/>
            <w:tcMar>
              <w:top w:w="70" w:type="dxa"/>
              <w:start w:w="110" w:type="dxa"/>
              <w:bottom w:w="70" w:type="dxa"/>
              <w:end w:w="110" w:type="dxa"/>
            </w:tcMar>
          </w:tcPr>
          <w:p>
            <w:pPr>
              <w:pStyle w:val="TableText"/>
            </w:pPr>
            <w:r>
              <w:rPr/>
              <w:t>8471.60.03; 8471.60.99</w:t>
            </w:r>
          </w:p>
        </w:tc>
        <w:tc>
          <w:tcPr>
            <w:tcW w:type="dxa" w:w="2340"/>
            <w:shd w:fill="F5F7F8" w:val="clear" w:color="auto"/>
            <w:tcMar>
              <w:top w:w="70" w:type="dxa"/>
              <w:start w:w="110" w:type="dxa"/>
              <w:bottom w:w="70" w:type="dxa"/>
              <w:end w:w="110" w:type="dxa"/>
            </w:tcMar>
          </w:tcPr>
          <w:p>
            <w:pPr>
              <w:pStyle w:val="TableText"/>
            </w:pPr>
            <w:r>
              <w:rPr/>
            </w:r>
          </w:p>
        </w:tc>
      </w:tr>
      <w:tr>
        <w:trPr>
          <w:cantSplit/>
        </w:trPr>
        <w:tc>
          <w:tcPr>
            <w:tcW w:type="dxa" w:w="2340"/>
            <w:tcMar>
              <w:top w:w="70" w:type="dxa"/>
              <w:start w:w="110" w:type="dxa"/>
              <w:bottom w:w="70" w:type="dxa"/>
              <w:end w:w="110" w:type="dxa"/>
            </w:tcMar>
          </w:tcPr>
          <w:p>
            <w:pPr>
              <w:pStyle w:val="TableText"/>
            </w:pPr>
            <w:r>
              <w:rPr/>
              <w:t>C. Input or Output Units: Other Input or Output Units</w:t>
            </w:r>
          </w:p>
        </w:tc>
        <w:tc>
          <w:tcPr>
            <w:tcW w:type="dxa" w:w="2340"/>
            <w:tcMar>
              <w:top w:w="70" w:type="dxa"/>
              <w:start w:w="110" w:type="dxa"/>
              <w:bottom w:w="70" w:type="dxa"/>
              <w:end w:w="110" w:type="dxa"/>
            </w:tcMar>
          </w:tcPr>
          <w:p>
            <w:pPr>
              <w:pStyle w:val="TableText"/>
            </w:pPr>
            <w:r>
              <w:rPr/>
              <w:t>United States</w:t>
            </w:r>
          </w:p>
        </w:tc>
        <w:tc>
          <w:tcPr>
            <w:tcW w:type="dxa" w:w="2340"/>
            <w:tcMar>
              <w:top w:w="70" w:type="dxa"/>
              <w:start w:w="110" w:type="dxa"/>
              <w:bottom w:w="70" w:type="dxa"/>
              <w:end w:w="110" w:type="dxa"/>
            </w:tcMar>
          </w:tcPr>
          <w:p>
            <w:pPr>
              <w:pStyle w:val="TableText"/>
            </w:pPr>
            <w:r>
              <w:rPr/>
              <w:t>8471.60.20; 8471.60.70; 8471.60.80; 8471.60.90</w:t>
            </w:r>
          </w:p>
        </w:tc>
        <w:tc>
          <w:tcPr>
            <w:tcW w:type="dxa" w:w="2340"/>
            <w:tcMar>
              <w:top w:w="70" w:type="dxa"/>
              <w:start w:w="110" w:type="dxa"/>
              <w:bottom w:w="70" w:type="dxa"/>
              <w:end w:w="110" w:type="dxa"/>
            </w:tcMar>
          </w:tcPr>
          <w:p>
            <w:pPr>
              <w:pStyle w:val="TableText"/>
            </w:pPr>
            <w:r>
              <w:rPr/>
            </w:r>
          </w:p>
        </w:tc>
      </w:tr>
      <w:tr>
        <w:trPr>
          <w:cantSplit/>
        </w:trPr>
        <w:tc>
          <w:tcPr>
            <w:tcW w:type="dxa" w:w="2340"/>
            <w:shd w:fill="F5F7F8" w:val="clear" w:color="auto"/>
            <w:tcMar>
              <w:top w:w="70" w:type="dxa"/>
              <w:start w:w="110" w:type="dxa"/>
              <w:bottom w:w="70" w:type="dxa"/>
              <w:end w:w="110" w:type="dxa"/>
            </w:tcMar>
          </w:tcPr>
          <w:p>
            <w:pPr>
              <w:pStyle w:val="TableText"/>
            </w:pPr>
            <w:r>
              <w:rPr/>
              <w:t>D. Storage Units</w:t>
            </w:r>
          </w:p>
        </w:tc>
        <w:tc>
          <w:tcPr>
            <w:tcW w:type="dxa" w:w="2340"/>
            <w:shd w:fill="F5F7F8" w:val="clear" w:color="auto"/>
            <w:tcMar>
              <w:top w:w="70" w:type="dxa"/>
              <w:start w:w="110" w:type="dxa"/>
              <w:bottom w:w="70" w:type="dxa"/>
              <w:end w:w="110" w:type="dxa"/>
            </w:tcMar>
          </w:tcPr>
          <w:p>
            <w:pPr>
              <w:pStyle w:val="TableText"/>
            </w:pPr>
            <w:r>
              <w:rPr/>
              <w:t>All Parties</w:t>
            </w:r>
          </w:p>
        </w:tc>
        <w:tc>
          <w:tcPr>
            <w:tcW w:type="dxa" w:w="2340"/>
            <w:shd w:fill="F5F7F8" w:val="clear" w:color="auto"/>
            <w:tcMar>
              <w:top w:w="70" w:type="dxa"/>
              <w:start w:w="110" w:type="dxa"/>
              <w:bottom w:w="70" w:type="dxa"/>
              <w:end w:w="110" w:type="dxa"/>
            </w:tcMar>
          </w:tcPr>
          <w:p>
            <w:pPr>
              <w:pStyle w:val="TableText"/>
            </w:pPr>
            <w:r>
              <w:rPr/>
              <w:t>8471.70</w:t>
            </w:r>
          </w:p>
        </w:tc>
        <w:tc>
          <w:tcPr>
            <w:tcW w:type="dxa" w:w="2340"/>
            <w:shd w:fill="F5F7F8" w:val="clear" w:color="auto"/>
            <w:tcMar>
              <w:top w:w="70" w:type="dxa"/>
              <w:start w:w="110" w:type="dxa"/>
              <w:bottom w:w="70" w:type="dxa"/>
              <w:end w:w="110" w:type="dxa"/>
            </w:tcMar>
          </w:tcPr>
          <w:p>
            <w:pPr>
              <w:pStyle w:val="TableText"/>
            </w:pPr>
            <w:r>
              <w:rPr/>
            </w:r>
          </w:p>
        </w:tc>
      </w:tr>
      <w:tr>
        <w:trPr>
          <w:cantSplit/>
        </w:trPr>
        <w:tc>
          <w:tcPr>
            <w:tcW w:type="dxa" w:w="2340"/>
            <w:tcMar>
              <w:top w:w="70" w:type="dxa"/>
              <w:start w:w="110" w:type="dxa"/>
              <w:bottom w:w="70" w:type="dxa"/>
              <w:end w:w="110" w:type="dxa"/>
            </w:tcMar>
          </w:tcPr>
          <w:p>
            <w:pPr>
              <w:pStyle w:val="TableText"/>
            </w:pPr>
            <w:r>
              <w:rPr/>
              <w:t>E. Other Units of Automatic Data Processing Machines</w:t>
            </w:r>
          </w:p>
        </w:tc>
        <w:tc>
          <w:tcPr>
            <w:tcW w:type="dxa" w:w="2340"/>
            <w:tcMar>
              <w:top w:w="70" w:type="dxa"/>
              <w:start w:w="110" w:type="dxa"/>
              <w:bottom w:w="70" w:type="dxa"/>
              <w:end w:w="110" w:type="dxa"/>
            </w:tcMar>
          </w:tcPr>
          <w:p>
            <w:pPr>
              <w:pStyle w:val="TableText"/>
            </w:pPr>
            <w:r>
              <w:rPr/>
              <w:t>All Parties</w:t>
            </w:r>
          </w:p>
        </w:tc>
        <w:tc>
          <w:tcPr>
            <w:tcW w:type="dxa" w:w="2340"/>
            <w:tcMar>
              <w:top w:w="70" w:type="dxa"/>
              <w:start w:w="110" w:type="dxa"/>
              <w:bottom w:w="70" w:type="dxa"/>
              <w:end w:w="110" w:type="dxa"/>
            </w:tcMar>
          </w:tcPr>
          <w:p>
            <w:pPr>
              <w:pStyle w:val="TableText"/>
            </w:pPr>
            <w:r>
              <w:rPr/>
              <w:t>8471.80</w:t>
            </w:r>
          </w:p>
        </w:tc>
        <w:tc>
          <w:tcPr>
            <w:tcW w:type="dxa" w:w="2340"/>
            <w:tcMar>
              <w:top w:w="70" w:type="dxa"/>
              <w:start w:w="110" w:type="dxa"/>
              <w:bottom w:w="70" w:type="dxa"/>
              <w:end w:w="110" w:type="dxa"/>
            </w:tcMar>
          </w:tcPr>
          <w:p>
            <w:pPr>
              <w:pStyle w:val="TableText"/>
            </w:pPr>
            <w:r>
              <w:rPr/>
            </w:r>
          </w:p>
        </w:tc>
      </w:tr>
      <w:tr>
        <w:trPr>
          <w:cantSplit/>
        </w:trPr>
        <w:tc>
          <w:tcPr>
            <w:tcW w:type="dxa" w:w="2340"/>
            <w:shd w:fill="F5F7F8" w:val="clear" w:color="auto"/>
            <w:tcMar>
              <w:top w:w="70" w:type="dxa"/>
              <w:start w:w="110" w:type="dxa"/>
              <w:bottom w:w="70" w:type="dxa"/>
              <w:end w:w="110" w:type="dxa"/>
            </w:tcMar>
          </w:tcPr>
          <w:p>
            <w:pPr>
              <w:pStyle w:val="TableText"/>
            </w:pPr>
            <w:r>
              <w:rPr/>
              <w:t>F. Parts of Computers</w:t>
            </w:r>
          </w:p>
        </w:tc>
        <w:tc>
          <w:tcPr>
            <w:tcW w:type="dxa" w:w="2340"/>
            <w:shd w:fill="F5F7F8" w:val="clear" w:color="auto"/>
            <w:tcMar>
              <w:top w:w="70" w:type="dxa"/>
              <w:start w:w="110" w:type="dxa"/>
              <w:bottom w:w="70" w:type="dxa"/>
              <w:end w:w="110" w:type="dxa"/>
            </w:tcMar>
          </w:tcPr>
          <w:p>
            <w:pPr>
              <w:pStyle w:val="TableText"/>
            </w:pPr>
            <w:r>
              <w:rPr/>
              <w:t>All Parties</w:t>
            </w:r>
          </w:p>
        </w:tc>
        <w:tc>
          <w:tcPr>
            <w:tcW w:type="dxa" w:w="2340"/>
            <w:shd w:fill="F5F7F8" w:val="clear" w:color="auto"/>
            <w:tcMar>
              <w:top w:w="70" w:type="dxa"/>
              <w:start w:w="110" w:type="dxa"/>
              <w:bottom w:w="70" w:type="dxa"/>
              <w:end w:w="110" w:type="dxa"/>
            </w:tcMar>
          </w:tcPr>
          <w:p>
            <w:pPr>
              <w:pStyle w:val="TableText"/>
            </w:pPr>
            <w:r>
              <w:rPr/>
              <w:t>8443.99</w:t>
            </w:r>
          </w:p>
        </w:tc>
        <w:tc>
          <w:tcPr>
            <w:tcW w:type="dxa" w:w="2340"/>
            <w:shd w:fill="F5F7F8" w:val="clear" w:color="auto"/>
            <w:tcMar>
              <w:top w:w="70" w:type="dxa"/>
              <w:start w:w="110" w:type="dxa"/>
              <w:bottom w:w="70" w:type="dxa"/>
              <w:end w:w="110" w:type="dxa"/>
            </w:tcMar>
          </w:tcPr>
          <w:p>
            <w:pPr>
              <w:pStyle w:val="TableText"/>
            </w:pPr>
            <w:r>
              <w:rPr/>
              <w:t>parts of machines of subheading 8443.31 and 8443.32, excluding facsimile machines and teleprinters</w:t>
            </w:r>
          </w:p>
        </w:tc>
      </w:tr>
      <w:tr>
        <w:trPr>
          <w:cantSplit/>
        </w:trPr>
        <w:tc>
          <w:tcPr>
            <w:tcW w:type="dxa" w:w="2340"/>
            <w:tcMar>
              <w:top w:w="70" w:type="dxa"/>
              <w:start w:w="110" w:type="dxa"/>
              <w:bottom w:w="70" w:type="dxa"/>
              <w:end w:w="110" w:type="dxa"/>
            </w:tcMar>
          </w:tcPr>
          <w:p>
            <w:pPr>
              <w:pStyle w:val="TableText"/>
            </w:pPr>
            <w:r>
              <w:rPr/>
              <w:t>F. Parts of Computers</w:t>
            </w:r>
          </w:p>
        </w:tc>
        <w:tc>
          <w:tcPr>
            <w:tcW w:type="dxa" w:w="2340"/>
            <w:tcMar>
              <w:top w:w="70" w:type="dxa"/>
              <w:start w:w="110" w:type="dxa"/>
              <w:bottom w:w="70" w:type="dxa"/>
              <w:end w:w="110" w:type="dxa"/>
            </w:tcMar>
          </w:tcPr>
          <w:p>
            <w:pPr>
              <w:pStyle w:val="TableText"/>
            </w:pPr>
            <w:r>
              <w:rPr/>
              <w:t>All Parties</w:t>
            </w:r>
          </w:p>
        </w:tc>
        <w:tc>
          <w:tcPr>
            <w:tcW w:type="dxa" w:w="2340"/>
            <w:tcMar>
              <w:top w:w="70" w:type="dxa"/>
              <w:start w:w="110" w:type="dxa"/>
              <w:bottom w:w="70" w:type="dxa"/>
              <w:end w:w="110" w:type="dxa"/>
            </w:tcMar>
          </w:tcPr>
          <w:p>
            <w:pPr>
              <w:pStyle w:val="TableText"/>
            </w:pPr>
            <w:r>
              <w:rPr/>
              <w:t>8473.30</w:t>
            </w:r>
          </w:p>
        </w:tc>
        <w:tc>
          <w:tcPr>
            <w:tcW w:type="dxa" w:w="2340"/>
            <w:tcMar>
              <w:top w:w="70" w:type="dxa"/>
              <w:start w:w="110" w:type="dxa"/>
              <w:bottom w:w="70" w:type="dxa"/>
              <w:end w:w="110" w:type="dxa"/>
            </w:tcMar>
          </w:tcPr>
          <w:p>
            <w:pPr>
              <w:pStyle w:val="TableText"/>
            </w:pPr>
            <w:r>
              <w:rPr/>
              <w:t>parts of ADP machines and units thereof</w:t>
            </w:r>
          </w:p>
        </w:tc>
      </w:tr>
      <w:tr>
        <w:trPr>
          <w:cantSplit/>
        </w:trPr>
        <w:tc>
          <w:tcPr>
            <w:tcW w:type="dxa" w:w="2340"/>
            <w:shd w:fill="F5F7F8" w:val="clear" w:color="auto"/>
            <w:tcMar>
              <w:top w:w="70" w:type="dxa"/>
              <w:start w:w="110" w:type="dxa"/>
              <w:bottom w:w="70" w:type="dxa"/>
              <w:end w:w="110" w:type="dxa"/>
            </w:tcMar>
          </w:tcPr>
          <w:p>
            <w:pPr>
              <w:pStyle w:val="TableText"/>
            </w:pPr>
            <w:r>
              <w:rPr/>
              <w:t>F. Parts of Computers</w:t>
            </w:r>
          </w:p>
        </w:tc>
        <w:tc>
          <w:tcPr>
            <w:tcW w:type="dxa" w:w="2340"/>
            <w:shd w:fill="F5F7F8" w:val="clear" w:color="auto"/>
            <w:tcMar>
              <w:top w:w="70" w:type="dxa"/>
              <w:start w:w="110" w:type="dxa"/>
              <w:bottom w:w="70" w:type="dxa"/>
              <w:end w:w="110" w:type="dxa"/>
            </w:tcMar>
          </w:tcPr>
          <w:p>
            <w:pPr>
              <w:pStyle w:val="TableText"/>
            </w:pPr>
            <w:r>
              <w:rPr/>
              <w:t>All Parties</w:t>
            </w:r>
          </w:p>
        </w:tc>
        <w:tc>
          <w:tcPr>
            <w:tcW w:type="dxa" w:w="2340"/>
            <w:shd w:fill="F5F7F8" w:val="clear" w:color="auto"/>
            <w:tcMar>
              <w:top w:w="70" w:type="dxa"/>
              <w:start w:w="110" w:type="dxa"/>
              <w:bottom w:w="70" w:type="dxa"/>
              <w:end w:w="110" w:type="dxa"/>
            </w:tcMar>
          </w:tcPr>
          <w:p>
            <w:pPr>
              <w:pStyle w:val="TableText"/>
            </w:pPr>
            <w:r>
              <w:rPr/>
              <w:t>8517.70</w:t>
            </w:r>
          </w:p>
        </w:tc>
        <w:tc>
          <w:tcPr>
            <w:tcW w:type="dxa" w:w="2340"/>
            <w:shd w:fill="F5F7F8" w:val="clear" w:color="auto"/>
            <w:tcMar>
              <w:top w:w="70" w:type="dxa"/>
              <w:start w:w="110" w:type="dxa"/>
              <w:bottom w:w="70" w:type="dxa"/>
              <w:end w:w="110" w:type="dxa"/>
            </w:tcMar>
          </w:tcPr>
          <w:p>
            <w:pPr>
              <w:pStyle w:val="TableText"/>
            </w:pPr>
            <w:r>
              <w:rPr/>
              <w:t>parts of LAN equipment of subheading 8517.62</w:t>
            </w:r>
          </w:p>
        </w:tc>
      </w:tr>
      <w:tr>
        <w:trPr>
          <w:cantSplit/>
        </w:trPr>
        <w:tc>
          <w:tcPr>
            <w:tcW w:type="dxa" w:w="2340"/>
            <w:tcMar>
              <w:top w:w="70" w:type="dxa"/>
              <w:start w:w="110" w:type="dxa"/>
              <w:bottom w:w="70" w:type="dxa"/>
              <w:end w:w="110" w:type="dxa"/>
            </w:tcMar>
          </w:tcPr>
          <w:p>
            <w:pPr>
              <w:pStyle w:val="TableText"/>
            </w:pPr>
            <w:r>
              <w:rPr/>
              <w:t>F. Parts of Computers</w:t>
            </w:r>
          </w:p>
        </w:tc>
        <w:tc>
          <w:tcPr>
            <w:tcW w:type="dxa" w:w="2340"/>
            <w:tcMar>
              <w:top w:w="70" w:type="dxa"/>
              <w:start w:w="110" w:type="dxa"/>
              <w:bottom w:w="70" w:type="dxa"/>
              <w:end w:w="110" w:type="dxa"/>
            </w:tcMar>
          </w:tcPr>
          <w:p>
            <w:pPr>
              <w:pStyle w:val="TableText"/>
            </w:pPr>
            <w:r>
              <w:rPr/>
              <w:t>Canada</w:t>
            </w:r>
          </w:p>
        </w:tc>
        <w:tc>
          <w:tcPr>
            <w:tcW w:type="dxa" w:w="2340"/>
            <w:tcMar>
              <w:top w:w="70" w:type="dxa"/>
              <w:start w:w="110" w:type="dxa"/>
              <w:bottom w:w="70" w:type="dxa"/>
              <w:end w:w="110" w:type="dxa"/>
            </w:tcMar>
          </w:tcPr>
          <w:p>
            <w:pPr>
              <w:pStyle w:val="TableText"/>
            </w:pPr>
            <w:r>
              <w:rPr/>
              <w:t>8529.90.19; 8529.90.50; 8529.90.90</w:t>
            </w:r>
          </w:p>
        </w:tc>
        <w:tc>
          <w:tcPr>
            <w:tcW w:type="dxa" w:w="2340"/>
            <w:tcMar>
              <w:top w:w="70" w:type="dxa"/>
              <w:start w:w="110" w:type="dxa"/>
              <w:bottom w:w="70" w:type="dxa"/>
              <w:end w:w="110" w:type="dxa"/>
            </w:tcMar>
          </w:tcPr>
          <w:p>
            <w:pPr>
              <w:pStyle w:val="TableText"/>
            </w:pPr>
            <w:r>
              <w:rPr/>
              <w:t>parts of monitors and projectors of subheading 8528.42, 8528.52, and 8528.62</w:t>
            </w:r>
          </w:p>
        </w:tc>
      </w:tr>
      <w:tr>
        <w:trPr>
          <w:cantSplit/>
        </w:trPr>
        <w:tc>
          <w:tcPr>
            <w:tcW w:type="dxa" w:w="2340"/>
            <w:shd w:fill="F5F7F8" w:val="clear" w:color="auto"/>
            <w:tcMar>
              <w:top w:w="70" w:type="dxa"/>
              <w:start w:w="110" w:type="dxa"/>
              <w:bottom w:w="70" w:type="dxa"/>
              <w:end w:w="110" w:type="dxa"/>
            </w:tcMar>
          </w:tcPr>
          <w:p>
            <w:pPr>
              <w:pStyle w:val="TableText"/>
            </w:pPr>
            <w:r>
              <w:rPr/>
              <w:t>F. Parts of Computers</w:t>
            </w:r>
          </w:p>
        </w:tc>
        <w:tc>
          <w:tcPr>
            <w:tcW w:type="dxa" w:w="2340"/>
            <w:shd w:fill="F5F7F8" w:val="clear" w:color="auto"/>
            <w:tcMar>
              <w:top w:w="70" w:type="dxa"/>
              <w:start w:w="110" w:type="dxa"/>
              <w:bottom w:w="70" w:type="dxa"/>
              <w:end w:w="110" w:type="dxa"/>
            </w:tcMar>
          </w:tcPr>
          <w:p>
            <w:pPr>
              <w:pStyle w:val="TableText"/>
            </w:pPr>
            <w:r>
              <w:rPr/>
              <w:t>Mexico</w:t>
            </w:r>
          </w:p>
        </w:tc>
        <w:tc>
          <w:tcPr>
            <w:tcW w:type="dxa" w:w="2340"/>
            <w:shd w:fill="F5F7F8" w:val="clear" w:color="auto"/>
            <w:tcMar>
              <w:top w:w="70" w:type="dxa"/>
              <w:start w:w="110" w:type="dxa"/>
              <w:bottom w:w="70" w:type="dxa"/>
              <w:end w:w="110" w:type="dxa"/>
            </w:tcMar>
          </w:tcPr>
          <w:p>
            <w:pPr>
              <w:pStyle w:val="TableText"/>
            </w:pPr>
            <w:r>
              <w:rPr/>
              <w:t>8529.90.01; 8529.90.06</w:t>
            </w:r>
          </w:p>
        </w:tc>
        <w:tc>
          <w:tcPr>
            <w:tcW w:type="dxa" w:w="2340"/>
            <w:shd w:fill="F5F7F8" w:val="clear" w:color="auto"/>
            <w:tcMar>
              <w:top w:w="70" w:type="dxa"/>
              <w:start w:w="110" w:type="dxa"/>
              <w:bottom w:w="70" w:type="dxa"/>
              <w:end w:w="110" w:type="dxa"/>
            </w:tcMar>
          </w:tcPr>
          <w:p>
            <w:pPr>
              <w:pStyle w:val="TableText"/>
            </w:pPr>
            <w:r>
              <w:rPr/>
              <w:t>parts of monitors or projectors of subheadings 8528.41, 8528.51, and 8528.61</w:t>
            </w:r>
          </w:p>
        </w:tc>
      </w:tr>
      <w:tr>
        <w:trPr>
          <w:cantSplit/>
        </w:trPr>
        <w:tc>
          <w:tcPr>
            <w:tcW w:type="dxa" w:w="2340"/>
            <w:tcMar>
              <w:top w:w="70" w:type="dxa"/>
              <w:start w:w="110" w:type="dxa"/>
              <w:bottom w:w="70" w:type="dxa"/>
              <w:end w:w="110" w:type="dxa"/>
            </w:tcMar>
          </w:tcPr>
          <w:p>
            <w:pPr>
              <w:pStyle w:val="TableText"/>
            </w:pPr>
            <w:r>
              <w:rPr/>
              <w:t>F. Parts of Computers</w:t>
            </w:r>
          </w:p>
        </w:tc>
        <w:tc>
          <w:tcPr>
            <w:tcW w:type="dxa" w:w="2340"/>
            <w:tcMar>
              <w:top w:w="70" w:type="dxa"/>
              <w:start w:w="110" w:type="dxa"/>
              <w:bottom w:w="70" w:type="dxa"/>
              <w:end w:w="110" w:type="dxa"/>
            </w:tcMar>
          </w:tcPr>
          <w:p>
            <w:pPr>
              <w:pStyle w:val="TableText"/>
            </w:pPr>
            <w:r>
              <w:rPr/>
              <w:t>United States</w:t>
            </w:r>
          </w:p>
        </w:tc>
        <w:tc>
          <w:tcPr>
            <w:tcW w:type="dxa" w:w="2340"/>
            <w:tcMar>
              <w:top w:w="70" w:type="dxa"/>
              <w:start w:w="110" w:type="dxa"/>
              <w:bottom w:w="70" w:type="dxa"/>
              <w:end w:w="110" w:type="dxa"/>
            </w:tcMar>
          </w:tcPr>
          <w:p>
            <w:pPr>
              <w:pStyle w:val="TableText"/>
            </w:pPr>
            <w:r>
              <w:rPr/>
              <w:t>8529.90.22; 8529.90.75; 8529.90.99</w:t>
            </w:r>
          </w:p>
        </w:tc>
        <w:tc>
          <w:tcPr>
            <w:tcW w:type="dxa" w:w="2340"/>
            <w:tcMar>
              <w:top w:w="70" w:type="dxa"/>
              <w:start w:w="110" w:type="dxa"/>
              <w:bottom w:w="70" w:type="dxa"/>
              <w:end w:w="110" w:type="dxa"/>
            </w:tcMar>
          </w:tcPr>
          <w:p>
            <w:pPr>
              <w:pStyle w:val="TableText"/>
            </w:pPr>
            <w:r>
              <w:rPr/>
              <w:t>parts of monitors and projectors of subheading 8528.42, 8528.52, and 8528.62</w:t>
            </w:r>
          </w:p>
        </w:tc>
      </w:tr>
      <w:tr>
        <w:trPr>
          <w:cantSplit/>
        </w:trPr>
        <w:tc>
          <w:tcPr>
            <w:tcW w:type="dxa" w:w="2340"/>
            <w:shd w:fill="F5F7F8" w:val="clear" w:color="auto"/>
            <w:tcMar>
              <w:top w:w="70" w:type="dxa"/>
              <w:start w:w="110" w:type="dxa"/>
              <w:bottom w:w="70" w:type="dxa"/>
              <w:end w:w="110" w:type="dxa"/>
            </w:tcMar>
          </w:tcPr>
          <w:p>
            <w:pPr>
              <w:pStyle w:val="TableText"/>
            </w:pPr>
            <w:r>
              <w:rPr/>
              <w:t>G. Computer Power Supplies</w:t>
            </w:r>
          </w:p>
        </w:tc>
        <w:tc>
          <w:tcPr>
            <w:tcW w:type="dxa" w:w="2340"/>
            <w:shd w:fill="F5F7F8" w:val="clear" w:color="auto"/>
            <w:tcMar>
              <w:top w:w="70" w:type="dxa"/>
              <w:start w:w="110" w:type="dxa"/>
              <w:bottom w:w="70" w:type="dxa"/>
              <w:end w:w="110" w:type="dxa"/>
            </w:tcMar>
          </w:tcPr>
          <w:p>
            <w:pPr>
              <w:pStyle w:val="TableText"/>
            </w:pPr>
            <w:r>
              <w:rPr/>
              <w:t>Canada</w:t>
            </w:r>
          </w:p>
        </w:tc>
        <w:tc>
          <w:tcPr>
            <w:tcW w:type="dxa" w:w="2340"/>
            <w:shd w:fill="F5F7F8" w:val="clear" w:color="auto"/>
            <w:tcMar>
              <w:top w:w="70" w:type="dxa"/>
              <w:start w:w="110" w:type="dxa"/>
              <w:bottom w:w="70" w:type="dxa"/>
              <w:end w:w="110" w:type="dxa"/>
            </w:tcMar>
          </w:tcPr>
          <w:p>
            <w:pPr>
              <w:pStyle w:val="TableText"/>
            </w:pPr>
            <w:r>
              <w:rPr/>
              <w:t>8504.40.30; 8504.40.90; 8504.90.10; 8504.90.20; 8504.90.90</w:t>
            </w:r>
          </w:p>
        </w:tc>
        <w:tc>
          <w:tcPr>
            <w:tcW w:type="dxa" w:w="2340"/>
            <w:shd w:fill="F5F7F8" w:val="clear" w:color="auto"/>
            <w:tcMar>
              <w:top w:w="70" w:type="dxa"/>
              <w:start w:w="110" w:type="dxa"/>
              <w:bottom w:w="70" w:type="dxa"/>
              <w:end w:w="110" w:type="dxa"/>
            </w:tcMar>
          </w:tcPr>
          <w:p>
            <w:pPr>
              <w:pStyle w:val="TableText"/>
            </w:pPr>
            <w:r>
              <w:rPr/>
            </w:r>
          </w:p>
        </w:tc>
      </w:tr>
      <w:tr>
        <w:trPr>
          <w:cantSplit/>
        </w:trPr>
        <w:tc>
          <w:tcPr>
            <w:tcW w:type="dxa" w:w="2340"/>
            <w:tcMar>
              <w:top w:w="70" w:type="dxa"/>
              <w:start w:w="110" w:type="dxa"/>
              <w:bottom w:w="70" w:type="dxa"/>
              <w:end w:w="110" w:type="dxa"/>
            </w:tcMar>
          </w:tcPr>
          <w:p>
            <w:pPr>
              <w:pStyle w:val="TableText"/>
            </w:pPr>
            <w:r>
              <w:rPr/>
              <w:t>G. Computer Power Supplies</w:t>
            </w:r>
          </w:p>
        </w:tc>
        <w:tc>
          <w:tcPr>
            <w:tcW w:type="dxa" w:w="2340"/>
            <w:tcMar>
              <w:top w:w="70" w:type="dxa"/>
              <w:start w:w="110" w:type="dxa"/>
              <w:bottom w:w="70" w:type="dxa"/>
              <w:end w:w="110" w:type="dxa"/>
            </w:tcMar>
          </w:tcPr>
          <w:p>
            <w:pPr>
              <w:pStyle w:val="TableText"/>
            </w:pPr>
            <w:r>
              <w:rPr/>
              <w:t>Mexico</w:t>
            </w:r>
          </w:p>
        </w:tc>
        <w:tc>
          <w:tcPr>
            <w:tcW w:type="dxa" w:w="2340"/>
            <w:tcMar>
              <w:top w:w="70" w:type="dxa"/>
              <w:start w:w="110" w:type="dxa"/>
              <w:bottom w:w="70" w:type="dxa"/>
              <w:end w:w="110" w:type="dxa"/>
            </w:tcMar>
          </w:tcPr>
          <w:p>
            <w:pPr>
              <w:pStyle w:val="TableText"/>
            </w:pPr>
            <w:r>
              <w:rPr/>
              <w:t>8504.40.12; 8504.40.14; 8504.90.02; 8504.90.07; 8504.90.08</w:t>
            </w:r>
          </w:p>
        </w:tc>
        <w:tc>
          <w:tcPr>
            <w:tcW w:type="dxa" w:w="2340"/>
            <w:tcMar>
              <w:top w:w="70" w:type="dxa"/>
              <w:start w:w="110" w:type="dxa"/>
              <w:bottom w:w="70" w:type="dxa"/>
              <w:end w:w="110" w:type="dxa"/>
            </w:tcMar>
          </w:tcPr>
          <w:p>
            <w:pPr>
              <w:pStyle w:val="TableText"/>
            </w:pPr>
            <w:r>
              <w:rPr/>
              <w:t>parts of goods classified in tariff item 8504.40.12</w:t>
            </w:r>
          </w:p>
        </w:tc>
      </w:tr>
      <w:tr>
        <w:trPr>
          <w:cantSplit/>
        </w:trPr>
        <w:tc>
          <w:tcPr>
            <w:tcW w:type="dxa" w:w="2340"/>
            <w:shd w:fill="F5F7F8" w:val="clear" w:color="auto"/>
            <w:tcMar>
              <w:top w:w="70" w:type="dxa"/>
              <w:start w:w="110" w:type="dxa"/>
              <w:bottom w:w="70" w:type="dxa"/>
              <w:end w:w="110" w:type="dxa"/>
            </w:tcMar>
          </w:tcPr>
          <w:p>
            <w:pPr>
              <w:pStyle w:val="TableText"/>
            </w:pPr>
            <w:r>
              <w:rPr/>
              <w:t>G. Computer Power Supplies</w:t>
            </w:r>
          </w:p>
        </w:tc>
        <w:tc>
          <w:tcPr>
            <w:tcW w:type="dxa" w:w="2340"/>
            <w:shd w:fill="F5F7F8" w:val="clear" w:color="auto"/>
            <w:tcMar>
              <w:top w:w="70" w:type="dxa"/>
              <w:start w:w="110" w:type="dxa"/>
              <w:bottom w:w="70" w:type="dxa"/>
              <w:end w:w="110" w:type="dxa"/>
            </w:tcMar>
          </w:tcPr>
          <w:p>
            <w:pPr>
              <w:pStyle w:val="TableText"/>
            </w:pPr>
            <w:r>
              <w:rPr/>
              <w:t>United States</w:t>
            </w:r>
          </w:p>
        </w:tc>
        <w:tc>
          <w:tcPr>
            <w:tcW w:type="dxa" w:w="2340"/>
            <w:shd w:fill="F5F7F8" w:val="clear" w:color="auto"/>
            <w:tcMar>
              <w:top w:w="70" w:type="dxa"/>
              <w:start w:w="110" w:type="dxa"/>
              <w:bottom w:w="70" w:type="dxa"/>
              <w:end w:w="110" w:type="dxa"/>
            </w:tcMar>
          </w:tcPr>
          <w:p>
            <w:pPr>
              <w:pStyle w:val="TableText"/>
            </w:pPr>
            <w:r>
              <w:rPr/>
              <w:t>8504.40.60; 8504.40.70; 8504.90.20; 8504.90.41</w:t>
            </w:r>
          </w:p>
        </w:tc>
        <w:tc>
          <w:tcPr>
            <w:tcW w:type="dxa" w:w="2340"/>
            <w:shd w:fill="F5F7F8" w:val="clear" w:color="auto"/>
            <w:tcMar>
              <w:top w:w="70" w:type="dxa"/>
              <w:start w:w="110" w:type="dxa"/>
              <w:bottom w:w="70" w:type="dxa"/>
              <w:end w:w="110" w:type="dxa"/>
            </w:tcMar>
          </w:tcPr>
          <w:p>
            <w:pPr>
              <w:pStyle w:val="TableText"/>
            </w:pPr>
            <w:r>
              <w:rPr/>
            </w:r>
          </w:p>
        </w:tc>
      </w:tr>
    </w:tbl>
    <w:p>
      <w:pPr>
        <w:pStyle w:val="Normal"/>
      </w:pPr>
      <w:r>
        <w:rPr>
          <w:b/>
        </w:rPr>
        <w:t>Table 2.10.2</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3120"/>
        <w:gridCol w:w="3120"/>
        <w:gridCol w:w="3120"/>
      </w:tblGrid>
      <w:tr>
        <w:trPr>
          <w:tblHeader w:val="true"/>
          <w:cantSplit/>
          <w:tblHeader w:val="true"/>
        </w:trPr>
        <w:tc>
          <w:tcPr>
            <w:tcW w:type="dxa" w:w="3120"/>
            <w:tcBorders>
              <w:bottom w:val="single" w:sz="6" w:space="0" w:color="546E7A"/>
            </w:tcBorders>
            <w:shd w:fill="E4E9EC" w:val="clear" w:color="auto"/>
          </w:tcPr>
          <w:p>
            <w:pPr>
              <w:pStyle w:val="TableText"/>
            </w:pPr>
            <w:r>
              <w:rPr>
                <w:b/>
                <w:color w:val="37474F"/>
              </w:rPr>
              <w:t>Category</w:t>
            </w:r>
          </w:p>
        </w:tc>
        <w:tc>
          <w:tcPr>
            <w:tcW w:type="dxa" w:w="3120"/>
            <w:tcBorders>
              <w:bottom w:val="single" w:sz="6" w:space="0" w:color="546E7A"/>
            </w:tcBorders>
            <w:shd w:fill="E4E9EC" w:val="clear" w:color="auto"/>
          </w:tcPr>
          <w:p>
            <w:pPr>
              <w:pStyle w:val="TableText"/>
            </w:pPr>
            <w:r>
              <w:rPr>
                <w:b/>
                <w:color w:val="37474F"/>
              </w:rPr>
              <w:t>Party</w:t>
            </w:r>
          </w:p>
        </w:tc>
        <w:tc>
          <w:tcPr>
            <w:tcW w:type="dxa" w:w="3120"/>
            <w:tcBorders>
              <w:bottom w:val="single" w:sz="6" w:space="0" w:color="546E7A"/>
            </w:tcBorders>
            <w:shd w:fill="E4E9EC" w:val="clear" w:color="auto"/>
          </w:tcPr>
          <w:p>
            <w:pPr>
              <w:pStyle w:val="TableText"/>
            </w:pPr>
            <w:r>
              <w:rPr>
                <w:b/>
                <w:color w:val="37474F"/>
              </w:rPr>
              <w:t>Tariff Provision(s)</w:t>
            </w:r>
          </w:p>
        </w:tc>
      </w:tr>
      <w:tr>
        <w:trPr>
          <w:cantSplit/>
        </w:trPr>
        <w:tc>
          <w:tcPr>
            <w:tcW w:type="dxa" w:w="3120"/>
            <w:tcMar>
              <w:top w:w="70" w:type="dxa"/>
              <w:start w:w="110" w:type="dxa"/>
              <w:bottom w:w="70" w:type="dxa"/>
              <w:end w:w="110" w:type="dxa"/>
            </w:tcMar>
          </w:tcPr>
          <w:p>
            <w:pPr>
              <w:pStyle w:val="TableText"/>
            </w:pPr>
            <w:r>
              <w:rPr/>
              <w:t>A. Metal Oxide Varistors</w:t>
            </w:r>
          </w:p>
        </w:tc>
        <w:tc>
          <w:tcPr>
            <w:tcW w:type="dxa" w:w="3120"/>
            <w:tcMar>
              <w:top w:w="70" w:type="dxa"/>
              <w:start w:w="110" w:type="dxa"/>
              <w:bottom w:w="70" w:type="dxa"/>
              <w:end w:w="110" w:type="dxa"/>
            </w:tcMar>
          </w:tcPr>
          <w:p>
            <w:pPr>
              <w:pStyle w:val="TableText"/>
            </w:pPr>
            <w:r>
              <w:rPr/>
              <w:t>Canada</w:t>
            </w:r>
          </w:p>
        </w:tc>
        <w:tc>
          <w:tcPr>
            <w:tcW w:type="dxa" w:w="3120"/>
            <w:tcMar>
              <w:top w:w="70" w:type="dxa"/>
              <w:start w:w="110" w:type="dxa"/>
              <w:bottom w:w="70" w:type="dxa"/>
              <w:end w:w="110" w:type="dxa"/>
            </w:tcMar>
          </w:tcPr>
          <w:p>
            <w:pPr>
              <w:pStyle w:val="TableText"/>
            </w:pPr>
            <w:r>
              <w:rPr/>
              <w:t>8533.40.00</w:t>
            </w:r>
          </w:p>
        </w:tc>
      </w:tr>
      <w:tr>
        <w:trPr>
          <w:cantSplit/>
        </w:trPr>
        <w:tc>
          <w:tcPr>
            <w:tcW w:type="dxa" w:w="3120"/>
            <w:shd w:fill="F5F7F8" w:val="clear" w:color="auto"/>
            <w:tcMar>
              <w:top w:w="70" w:type="dxa"/>
              <w:start w:w="110" w:type="dxa"/>
              <w:bottom w:w="70" w:type="dxa"/>
              <w:end w:w="110" w:type="dxa"/>
            </w:tcMar>
          </w:tcPr>
          <w:p>
            <w:pPr>
              <w:pStyle w:val="TableText"/>
            </w:pPr>
            <w:r>
              <w:rPr/>
              <w:t>A. Metal Oxide Varistors</w:t>
            </w:r>
          </w:p>
        </w:tc>
        <w:tc>
          <w:tcPr>
            <w:tcW w:type="dxa" w:w="3120"/>
            <w:shd w:fill="F5F7F8" w:val="clear" w:color="auto"/>
            <w:tcMar>
              <w:top w:w="70" w:type="dxa"/>
              <w:start w:w="110" w:type="dxa"/>
              <w:bottom w:w="70" w:type="dxa"/>
              <w:end w:w="110" w:type="dxa"/>
            </w:tcMar>
          </w:tcPr>
          <w:p>
            <w:pPr>
              <w:pStyle w:val="TableText"/>
            </w:pPr>
            <w:r>
              <w:rPr/>
              <w:t>Mexico</w:t>
            </w:r>
          </w:p>
        </w:tc>
        <w:tc>
          <w:tcPr>
            <w:tcW w:type="dxa" w:w="3120"/>
            <w:shd w:fill="F5F7F8" w:val="clear" w:color="auto"/>
            <w:tcMar>
              <w:top w:w="70" w:type="dxa"/>
              <w:start w:w="110" w:type="dxa"/>
              <w:bottom w:w="70" w:type="dxa"/>
              <w:end w:w="110" w:type="dxa"/>
            </w:tcMar>
          </w:tcPr>
          <w:p>
            <w:pPr>
              <w:pStyle w:val="TableText"/>
            </w:pPr>
            <w:r>
              <w:rPr/>
              <w:t>8533.40.05</w:t>
            </w:r>
          </w:p>
        </w:tc>
      </w:tr>
      <w:tr>
        <w:trPr>
          <w:cantSplit/>
        </w:trPr>
        <w:tc>
          <w:tcPr>
            <w:tcW w:type="dxa" w:w="3120"/>
            <w:tcMar>
              <w:top w:w="70" w:type="dxa"/>
              <w:start w:w="110" w:type="dxa"/>
              <w:bottom w:w="70" w:type="dxa"/>
              <w:end w:w="110" w:type="dxa"/>
            </w:tcMar>
          </w:tcPr>
          <w:p>
            <w:pPr>
              <w:pStyle w:val="TableText"/>
            </w:pPr>
            <w:r>
              <w:rPr/>
              <w:t>A. Metal Oxide Varistors</w:t>
            </w:r>
          </w:p>
        </w:tc>
        <w:tc>
          <w:tcPr>
            <w:tcW w:type="dxa" w:w="3120"/>
            <w:tcMar>
              <w:top w:w="70" w:type="dxa"/>
              <w:start w:w="110" w:type="dxa"/>
              <w:bottom w:w="70" w:type="dxa"/>
              <w:end w:w="110" w:type="dxa"/>
            </w:tcMar>
          </w:tcPr>
          <w:p>
            <w:pPr>
              <w:pStyle w:val="TableText"/>
            </w:pPr>
            <w:r>
              <w:rPr/>
              <w:t>United States</w:t>
            </w:r>
          </w:p>
        </w:tc>
        <w:tc>
          <w:tcPr>
            <w:tcW w:type="dxa" w:w="3120"/>
            <w:tcMar>
              <w:top w:w="70" w:type="dxa"/>
              <w:start w:w="110" w:type="dxa"/>
              <w:bottom w:w="70" w:type="dxa"/>
              <w:end w:w="110" w:type="dxa"/>
            </w:tcMar>
          </w:tcPr>
          <w:p>
            <w:pPr>
              <w:pStyle w:val="TableText"/>
            </w:pPr>
            <w:r>
              <w:rPr/>
              <w:t>8533.40.40</w:t>
            </w:r>
          </w:p>
        </w:tc>
      </w:tr>
      <w:tr>
        <w:trPr>
          <w:cantSplit/>
        </w:trPr>
        <w:tc>
          <w:tcPr>
            <w:tcW w:type="dxa" w:w="3120"/>
            <w:shd w:fill="F5F7F8" w:val="clear" w:color="auto"/>
            <w:tcMar>
              <w:top w:w="70" w:type="dxa"/>
              <w:start w:w="110" w:type="dxa"/>
              <w:bottom w:w="70" w:type="dxa"/>
              <w:end w:w="110" w:type="dxa"/>
            </w:tcMar>
          </w:tcPr>
          <w:p>
            <w:pPr>
              <w:pStyle w:val="TableText"/>
            </w:pPr>
            <w:r>
              <w:rPr/>
              <w:t>B. Diodes, Transistors and Similar Semiconductor Devices; Photosensitive Semiconductor Devices; Light Emitting Diodes; Mounted Piezo-electric Crystals</w:t>
            </w:r>
          </w:p>
        </w:tc>
        <w:tc>
          <w:tcPr>
            <w:tcW w:type="dxa" w:w="3120"/>
            <w:shd w:fill="F5F7F8" w:val="clear" w:color="auto"/>
            <w:tcMar>
              <w:top w:w="70" w:type="dxa"/>
              <w:start w:w="110" w:type="dxa"/>
              <w:bottom w:w="70" w:type="dxa"/>
              <w:end w:w="110" w:type="dxa"/>
            </w:tcMar>
          </w:tcPr>
          <w:p>
            <w:pPr>
              <w:pStyle w:val="TableText"/>
            </w:pPr>
            <w:r>
              <w:rPr/>
              <w:t>All Parties</w:t>
            </w:r>
          </w:p>
        </w:tc>
        <w:tc>
          <w:tcPr>
            <w:tcW w:type="dxa" w:w="3120"/>
            <w:shd w:fill="F5F7F8" w:val="clear" w:color="auto"/>
            <w:tcMar>
              <w:top w:w="70" w:type="dxa"/>
              <w:start w:w="110" w:type="dxa"/>
              <w:bottom w:w="70" w:type="dxa"/>
              <w:end w:w="110" w:type="dxa"/>
            </w:tcMar>
          </w:tcPr>
          <w:p>
            <w:pPr>
              <w:pStyle w:val="TableText"/>
            </w:pPr>
            <w:r>
              <w:rPr/>
              <w:t>8541.10; 8541.21; 8541.29; 8541.30; 8541.50; 8541.60; 8541.90</w:t>
            </w:r>
          </w:p>
        </w:tc>
      </w:tr>
      <w:tr>
        <w:trPr>
          <w:cantSplit/>
        </w:trPr>
        <w:tc>
          <w:tcPr>
            <w:tcW w:type="dxa" w:w="3120"/>
            <w:tcMar>
              <w:top w:w="70" w:type="dxa"/>
              <w:start w:w="110" w:type="dxa"/>
              <w:bottom w:w="70" w:type="dxa"/>
              <w:end w:w="110" w:type="dxa"/>
            </w:tcMar>
          </w:tcPr>
          <w:p>
            <w:pPr>
              <w:pStyle w:val="TableText"/>
            </w:pPr>
            <w:r>
              <w:rPr/>
              <w:t>B. Diodes, Transistors and Similar Semiconductor Devices; Photosensitive Semiconductor Devices; Light Emitting Diodes; Mounted Piezo-electric Crystals</w:t>
            </w:r>
          </w:p>
        </w:tc>
        <w:tc>
          <w:tcPr>
            <w:tcW w:type="dxa" w:w="3120"/>
            <w:tcMar>
              <w:top w:w="70" w:type="dxa"/>
              <w:start w:w="110" w:type="dxa"/>
              <w:bottom w:w="70" w:type="dxa"/>
              <w:end w:w="110" w:type="dxa"/>
            </w:tcMar>
          </w:tcPr>
          <w:p>
            <w:pPr>
              <w:pStyle w:val="TableText"/>
            </w:pPr>
            <w:r>
              <w:rPr/>
              <w:t>Canada</w:t>
            </w:r>
          </w:p>
        </w:tc>
        <w:tc>
          <w:tcPr>
            <w:tcW w:type="dxa" w:w="3120"/>
            <w:tcMar>
              <w:top w:w="70" w:type="dxa"/>
              <w:start w:w="110" w:type="dxa"/>
              <w:bottom w:w="70" w:type="dxa"/>
              <w:end w:w="110" w:type="dxa"/>
            </w:tcMar>
          </w:tcPr>
          <w:p>
            <w:pPr>
              <w:pStyle w:val="TableText"/>
            </w:pPr>
            <w:r>
              <w:rPr/>
              <w:t>8541.40</w:t>
            </w:r>
          </w:p>
        </w:tc>
      </w:tr>
      <w:tr>
        <w:trPr>
          <w:cantSplit/>
        </w:trPr>
        <w:tc>
          <w:tcPr>
            <w:tcW w:type="dxa" w:w="3120"/>
            <w:shd w:fill="F5F7F8" w:val="clear" w:color="auto"/>
            <w:tcMar>
              <w:top w:w="70" w:type="dxa"/>
              <w:start w:w="110" w:type="dxa"/>
              <w:bottom w:w="70" w:type="dxa"/>
              <w:end w:w="110" w:type="dxa"/>
            </w:tcMar>
          </w:tcPr>
          <w:p>
            <w:pPr>
              <w:pStyle w:val="TableText"/>
            </w:pPr>
            <w:r>
              <w:rPr/>
              <w:t>B. Diodes, Transistors and Similar Semiconductor Devices; Photosensitive Semiconductor Devices; Light Emitting Diodes; Mounted Piezo-electric Crystals</w:t>
            </w:r>
          </w:p>
        </w:tc>
        <w:tc>
          <w:tcPr>
            <w:tcW w:type="dxa" w:w="3120"/>
            <w:shd w:fill="F5F7F8" w:val="clear" w:color="auto"/>
            <w:tcMar>
              <w:top w:w="70" w:type="dxa"/>
              <w:start w:w="110" w:type="dxa"/>
              <w:bottom w:w="70" w:type="dxa"/>
              <w:end w:w="110" w:type="dxa"/>
            </w:tcMar>
          </w:tcPr>
          <w:p>
            <w:pPr>
              <w:pStyle w:val="TableText"/>
            </w:pPr>
            <w:r>
              <w:rPr/>
              <w:t>Mexico</w:t>
            </w:r>
          </w:p>
        </w:tc>
        <w:tc>
          <w:tcPr>
            <w:tcW w:type="dxa" w:w="3120"/>
            <w:shd w:fill="F5F7F8" w:val="clear" w:color="auto"/>
            <w:tcMar>
              <w:top w:w="70" w:type="dxa"/>
              <w:start w:w="110" w:type="dxa"/>
              <w:bottom w:w="70" w:type="dxa"/>
              <w:end w:w="110" w:type="dxa"/>
            </w:tcMar>
          </w:tcPr>
          <w:p>
            <w:pPr>
              <w:pStyle w:val="TableText"/>
            </w:pPr>
            <w:r>
              <w:rPr/>
              <w:t>8541.40.01; 8541.40.02; 8541.40.03</w:t>
            </w:r>
          </w:p>
        </w:tc>
      </w:tr>
      <w:tr>
        <w:trPr>
          <w:cantSplit/>
        </w:trPr>
        <w:tc>
          <w:tcPr>
            <w:tcW w:type="dxa" w:w="3120"/>
            <w:tcMar>
              <w:top w:w="70" w:type="dxa"/>
              <w:start w:w="110" w:type="dxa"/>
              <w:bottom w:w="70" w:type="dxa"/>
              <w:end w:w="110" w:type="dxa"/>
            </w:tcMar>
          </w:tcPr>
          <w:p>
            <w:pPr>
              <w:pStyle w:val="TableText"/>
            </w:pPr>
            <w:r>
              <w:rPr/>
              <w:t>B. Diodes, Transistors and Similar Semiconductor Devices; Photosensitive Semiconductor Devices; Light Emitting Diodes; Mounted Piezo-electric Crystals</w:t>
            </w:r>
          </w:p>
        </w:tc>
        <w:tc>
          <w:tcPr>
            <w:tcW w:type="dxa" w:w="3120"/>
            <w:tcMar>
              <w:top w:w="70" w:type="dxa"/>
              <w:start w:w="110" w:type="dxa"/>
              <w:bottom w:w="70" w:type="dxa"/>
              <w:end w:w="110" w:type="dxa"/>
            </w:tcMar>
          </w:tcPr>
          <w:p>
            <w:pPr>
              <w:pStyle w:val="TableText"/>
            </w:pPr>
            <w:r>
              <w:rPr/>
              <w:t>United States</w:t>
            </w:r>
          </w:p>
        </w:tc>
        <w:tc>
          <w:tcPr>
            <w:tcW w:type="dxa" w:w="3120"/>
            <w:tcMar>
              <w:top w:w="70" w:type="dxa"/>
              <w:start w:w="110" w:type="dxa"/>
              <w:bottom w:w="70" w:type="dxa"/>
              <w:end w:w="110" w:type="dxa"/>
            </w:tcMar>
          </w:tcPr>
          <w:p>
            <w:pPr>
              <w:pStyle w:val="TableText"/>
            </w:pPr>
            <w:r>
              <w:rPr/>
              <w:t>8541.40.20; 8541.40.60; 8541.40.70; 8541.40.80; 8541.40.95</w:t>
            </w:r>
          </w:p>
        </w:tc>
      </w:tr>
      <w:tr>
        <w:trPr>
          <w:cantSplit/>
        </w:trPr>
        <w:tc>
          <w:tcPr>
            <w:tcW w:type="dxa" w:w="3120"/>
            <w:shd w:fill="F5F7F8" w:val="clear" w:color="auto"/>
            <w:tcMar>
              <w:top w:w="70" w:type="dxa"/>
              <w:start w:w="110" w:type="dxa"/>
              <w:bottom w:w="70" w:type="dxa"/>
              <w:end w:w="110" w:type="dxa"/>
            </w:tcMar>
          </w:tcPr>
          <w:p>
            <w:pPr>
              <w:pStyle w:val="TableText"/>
            </w:pPr>
            <w:r>
              <w:rPr/>
              <w:t>C. Electronic Integrated Circuits and Microassemblies</w:t>
            </w:r>
          </w:p>
        </w:tc>
        <w:tc>
          <w:tcPr>
            <w:tcW w:type="dxa" w:w="3120"/>
            <w:shd w:fill="F5F7F8" w:val="clear" w:color="auto"/>
            <w:tcMar>
              <w:top w:w="70" w:type="dxa"/>
              <w:start w:w="110" w:type="dxa"/>
              <w:bottom w:w="70" w:type="dxa"/>
              <w:end w:w="110" w:type="dxa"/>
            </w:tcMar>
          </w:tcPr>
          <w:p>
            <w:pPr>
              <w:pStyle w:val="TableText"/>
            </w:pPr>
            <w:r>
              <w:rPr/>
              <w:t>Canada</w:t>
            </w:r>
          </w:p>
        </w:tc>
        <w:tc>
          <w:tcPr>
            <w:tcW w:type="dxa" w:w="3120"/>
            <w:shd w:fill="F5F7F8" w:val="clear" w:color="auto"/>
            <w:tcMar>
              <w:top w:w="70" w:type="dxa"/>
              <w:start w:w="110" w:type="dxa"/>
              <w:bottom w:w="70" w:type="dxa"/>
              <w:end w:w="110" w:type="dxa"/>
            </w:tcMar>
          </w:tcPr>
          <w:p>
            <w:pPr>
              <w:pStyle w:val="TableText"/>
            </w:pPr>
            <w:r>
              <w:rPr/>
              <w:t>8548.90.00</w:t>
            </w:r>
          </w:p>
        </w:tc>
      </w:tr>
      <w:tr>
        <w:trPr>
          <w:cantSplit/>
        </w:trPr>
        <w:tc>
          <w:tcPr>
            <w:tcW w:type="dxa" w:w="3120"/>
            <w:tcMar>
              <w:top w:w="70" w:type="dxa"/>
              <w:start w:w="110" w:type="dxa"/>
              <w:bottom w:w="70" w:type="dxa"/>
              <w:end w:w="110" w:type="dxa"/>
            </w:tcMar>
          </w:tcPr>
          <w:p>
            <w:pPr>
              <w:pStyle w:val="TableText"/>
            </w:pPr>
            <w:r>
              <w:rPr/>
              <w:t>C. Electronic Integrated Circuits and Microassemblies</w:t>
            </w:r>
          </w:p>
        </w:tc>
        <w:tc>
          <w:tcPr>
            <w:tcW w:type="dxa" w:w="3120"/>
            <w:tcMar>
              <w:top w:w="70" w:type="dxa"/>
              <w:start w:w="110" w:type="dxa"/>
              <w:bottom w:w="70" w:type="dxa"/>
              <w:end w:w="110" w:type="dxa"/>
            </w:tcMar>
          </w:tcPr>
          <w:p>
            <w:pPr>
              <w:pStyle w:val="TableText"/>
            </w:pPr>
            <w:r>
              <w:rPr/>
              <w:t>Mexico</w:t>
            </w:r>
          </w:p>
        </w:tc>
        <w:tc>
          <w:tcPr>
            <w:tcW w:type="dxa" w:w="3120"/>
            <w:tcMar>
              <w:top w:w="70" w:type="dxa"/>
              <w:start w:w="110" w:type="dxa"/>
              <w:bottom w:w="70" w:type="dxa"/>
              <w:end w:w="110" w:type="dxa"/>
            </w:tcMar>
          </w:tcPr>
          <w:p>
            <w:pPr>
              <w:pStyle w:val="TableText"/>
            </w:pPr>
            <w:r>
              <w:rPr/>
              <w:t>8548.90.04</w:t>
            </w:r>
          </w:p>
        </w:tc>
      </w:tr>
      <w:tr>
        <w:trPr>
          <w:cantSplit/>
        </w:trPr>
        <w:tc>
          <w:tcPr>
            <w:tcW w:type="dxa" w:w="3120"/>
            <w:shd w:fill="F5F7F8" w:val="clear" w:color="auto"/>
            <w:tcMar>
              <w:top w:w="70" w:type="dxa"/>
              <w:start w:w="110" w:type="dxa"/>
              <w:bottom w:w="70" w:type="dxa"/>
              <w:end w:w="110" w:type="dxa"/>
            </w:tcMar>
          </w:tcPr>
          <w:p>
            <w:pPr>
              <w:pStyle w:val="TableText"/>
            </w:pPr>
            <w:r>
              <w:rPr/>
              <w:t>C. Electronic Integrated Circuits and Microassemblies</w:t>
            </w:r>
          </w:p>
        </w:tc>
        <w:tc>
          <w:tcPr>
            <w:tcW w:type="dxa" w:w="3120"/>
            <w:shd w:fill="F5F7F8" w:val="clear" w:color="auto"/>
            <w:tcMar>
              <w:top w:w="70" w:type="dxa"/>
              <w:start w:w="110" w:type="dxa"/>
              <w:bottom w:w="70" w:type="dxa"/>
              <w:end w:w="110" w:type="dxa"/>
            </w:tcMar>
          </w:tcPr>
          <w:p>
            <w:pPr>
              <w:pStyle w:val="TableText"/>
            </w:pPr>
            <w:r>
              <w:rPr/>
              <w:t>United States</w:t>
            </w:r>
          </w:p>
        </w:tc>
        <w:tc>
          <w:tcPr>
            <w:tcW w:type="dxa" w:w="3120"/>
            <w:shd w:fill="F5F7F8" w:val="clear" w:color="auto"/>
            <w:tcMar>
              <w:top w:w="70" w:type="dxa"/>
              <w:start w:w="110" w:type="dxa"/>
              <w:bottom w:w="70" w:type="dxa"/>
              <w:end w:w="110" w:type="dxa"/>
            </w:tcMar>
          </w:tcPr>
          <w:p>
            <w:pPr>
              <w:pStyle w:val="TableText"/>
            </w:pPr>
            <w:r>
              <w:rPr/>
              <w:t>8548.90.01</w:t>
            </w:r>
          </w:p>
        </w:tc>
      </w:tr>
    </w:tbl>
    <w:p>
      <w:pPr>
        <w:pStyle w:val="Normal"/>
      </w:pPr>
      <w:r>
        <w:rPr>
          <w:b/>
        </w:rPr>
        <w:t>Table 2.10.3</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3120"/>
        <w:gridCol w:w="3120"/>
        <w:gridCol w:w="3120"/>
      </w:tblGrid>
      <w:tr>
        <w:trPr>
          <w:tblHeader w:val="true"/>
          <w:cantSplit/>
          <w:tblHeader w:val="true"/>
        </w:trPr>
        <w:tc>
          <w:tcPr>
            <w:tcW w:type="dxa" w:w="3120"/>
            <w:tcBorders>
              <w:bottom w:val="single" w:sz="6" w:space="0" w:color="546E7A"/>
            </w:tcBorders>
            <w:shd w:fill="E4E9EC" w:val="clear" w:color="auto"/>
          </w:tcPr>
          <w:p>
            <w:pPr>
              <w:pStyle w:val="TableText"/>
            </w:pPr>
            <w:r>
              <w:rPr>
                <w:b/>
                <w:color w:val="37474F"/>
              </w:rPr>
              <w:t>Category</w:t>
            </w:r>
          </w:p>
        </w:tc>
        <w:tc>
          <w:tcPr>
            <w:tcW w:type="dxa" w:w="3120"/>
            <w:tcBorders>
              <w:bottom w:val="single" w:sz="6" w:space="0" w:color="546E7A"/>
            </w:tcBorders>
            <w:shd w:fill="E4E9EC" w:val="clear" w:color="auto"/>
          </w:tcPr>
          <w:p>
            <w:pPr>
              <w:pStyle w:val="TableText"/>
            </w:pPr>
            <w:r>
              <w:rPr>
                <w:b/>
                <w:color w:val="37474F"/>
              </w:rPr>
              <w:t>Party</w:t>
            </w:r>
          </w:p>
        </w:tc>
        <w:tc>
          <w:tcPr>
            <w:tcW w:type="dxa" w:w="3120"/>
            <w:tcBorders>
              <w:bottom w:val="single" w:sz="6" w:space="0" w:color="546E7A"/>
            </w:tcBorders>
            <w:shd w:fill="E4E9EC" w:val="clear" w:color="auto"/>
          </w:tcPr>
          <w:p>
            <w:pPr>
              <w:pStyle w:val="TableText"/>
            </w:pPr>
            <w:r>
              <w:rPr>
                <w:b/>
                <w:color w:val="37474F"/>
              </w:rPr>
              <w:t>Tariff Provision</w:t>
            </w:r>
          </w:p>
        </w:tc>
      </w:tr>
      <w:tr>
        <w:trPr>
          <w:cantSplit/>
        </w:trPr>
        <w:tc>
          <w:tcPr>
            <w:tcW w:type="dxa" w:w="3120"/>
            <w:tcMar>
              <w:top w:w="70" w:type="dxa"/>
              <w:start w:w="110" w:type="dxa"/>
              <w:bottom w:w="70" w:type="dxa"/>
              <w:end w:w="110" w:type="dxa"/>
            </w:tcMar>
          </w:tcPr>
          <w:p>
            <w:pPr>
              <w:pStyle w:val="TableText"/>
            </w:pPr>
            <w:r>
              <w:rPr/>
              <w:t>Local Area Network (LAN) Apparatus</w:t>
            </w:r>
          </w:p>
        </w:tc>
        <w:tc>
          <w:tcPr>
            <w:tcW w:type="dxa" w:w="3120"/>
            <w:tcMar>
              <w:top w:w="70" w:type="dxa"/>
              <w:start w:w="110" w:type="dxa"/>
              <w:bottom w:w="70" w:type="dxa"/>
              <w:end w:w="110" w:type="dxa"/>
            </w:tcMar>
          </w:tcPr>
          <w:p>
            <w:pPr>
              <w:pStyle w:val="TableText"/>
            </w:pPr>
            <w:r>
              <w:rPr/>
              <w:t>Canada</w:t>
            </w:r>
          </w:p>
        </w:tc>
        <w:tc>
          <w:tcPr>
            <w:tcW w:type="dxa" w:w="3120"/>
            <w:tcMar>
              <w:top w:w="70" w:type="dxa"/>
              <w:start w:w="110" w:type="dxa"/>
              <w:bottom w:w="70" w:type="dxa"/>
              <w:end w:w="110" w:type="dxa"/>
            </w:tcMar>
          </w:tcPr>
          <w:p>
            <w:pPr>
              <w:pStyle w:val="TableText"/>
            </w:pPr>
            <w:r>
              <w:rPr/>
              <w:t>8517.62.00</w:t>
            </w:r>
          </w:p>
        </w:tc>
      </w:tr>
      <w:tr>
        <w:trPr>
          <w:cantSplit/>
        </w:trPr>
        <w:tc>
          <w:tcPr>
            <w:tcW w:type="dxa" w:w="3120"/>
            <w:shd w:fill="F5F7F8" w:val="clear" w:color="auto"/>
            <w:tcMar>
              <w:top w:w="70" w:type="dxa"/>
              <w:start w:w="110" w:type="dxa"/>
              <w:bottom w:w="70" w:type="dxa"/>
              <w:end w:w="110" w:type="dxa"/>
            </w:tcMar>
          </w:tcPr>
          <w:p>
            <w:pPr>
              <w:pStyle w:val="TableText"/>
            </w:pPr>
            <w:r>
              <w:rPr/>
              <w:t>Local Area Network (LAN) Apparatus</w:t>
            </w:r>
          </w:p>
        </w:tc>
        <w:tc>
          <w:tcPr>
            <w:tcW w:type="dxa" w:w="3120"/>
            <w:shd w:fill="F5F7F8" w:val="clear" w:color="auto"/>
            <w:tcMar>
              <w:top w:w="70" w:type="dxa"/>
              <w:start w:w="110" w:type="dxa"/>
              <w:bottom w:w="70" w:type="dxa"/>
              <w:end w:w="110" w:type="dxa"/>
            </w:tcMar>
          </w:tcPr>
          <w:p>
            <w:pPr>
              <w:pStyle w:val="TableText"/>
            </w:pPr>
            <w:r>
              <w:rPr/>
              <w:t>Mexico</w:t>
            </w:r>
          </w:p>
        </w:tc>
        <w:tc>
          <w:tcPr>
            <w:tcW w:type="dxa" w:w="3120"/>
            <w:shd w:fill="F5F7F8" w:val="clear" w:color="auto"/>
            <w:tcMar>
              <w:top w:w="70" w:type="dxa"/>
              <w:start w:w="110" w:type="dxa"/>
              <w:bottom w:w="70" w:type="dxa"/>
              <w:end w:w="110" w:type="dxa"/>
            </w:tcMar>
          </w:tcPr>
          <w:p>
            <w:pPr>
              <w:pStyle w:val="TableText"/>
            </w:pPr>
            <w:r>
              <w:rPr/>
              <w:t>8517.62.01</w:t>
            </w:r>
          </w:p>
        </w:tc>
      </w:tr>
      <w:tr>
        <w:trPr>
          <w:cantSplit/>
        </w:trPr>
        <w:tc>
          <w:tcPr>
            <w:tcW w:type="dxa" w:w="3120"/>
            <w:tcMar>
              <w:top w:w="70" w:type="dxa"/>
              <w:start w:w="110" w:type="dxa"/>
              <w:bottom w:w="70" w:type="dxa"/>
              <w:end w:w="110" w:type="dxa"/>
            </w:tcMar>
          </w:tcPr>
          <w:p>
            <w:pPr>
              <w:pStyle w:val="TableText"/>
            </w:pPr>
            <w:r>
              <w:rPr/>
              <w:t>Local Area Network (LAN) Apparatus</w:t>
            </w:r>
          </w:p>
        </w:tc>
        <w:tc>
          <w:tcPr>
            <w:tcW w:type="dxa" w:w="3120"/>
            <w:tcMar>
              <w:top w:w="70" w:type="dxa"/>
              <w:start w:w="110" w:type="dxa"/>
              <w:bottom w:w="70" w:type="dxa"/>
              <w:end w:w="110" w:type="dxa"/>
            </w:tcMar>
          </w:tcPr>
          <w:p>
            <w:pPr>
              <w:pStyle w:val="TableText"/>
            </w:pPr>
            <w:r>
              <w:rPr/>
              <w:t>United States</w:t>
            </w:r>
          </w:p>
        </w:tc>
        <w:tc>
          <w:tcPr>
            <w:tcW w:type="dxa" w:w="3120"/>
            <w:tcMar>
              <w:top w:w="70" w:type="dxa"/>
              <w:start w:w="110" w:type="dxa"/>
              <w:bottom w:w="70" w:type="dxa"/>
              <w:end w:w="110" w:type="dxa"/>
            </w:tcMar>
          </w:tcPr>
          <w:p>
            <w:pPr>
              <w:pStyle w:val="TableText"/>
            </w:pPr>
            <w:r>
              <w:rPr/>
              <w:t>8517.62.00</w:t>
            </w:r>
          </w:p>
        </w:tc>
      </w:tr>
    </w:tbl>
    <w:p>
      <w:pPr>
        <w:pStyle w:val="Heading2"/>
      </w:pPr>
      <w:bookmarkStart w:id="900041" w:name="_Toc300000040"/>
      <w:r>
        <w:t xml:space="preserve">Article 2.11: Import and Export Restrictions</w:t>
      </w:r>
      <w:bookmarkEnd w:id="900041"/>
    </w:p>
    <w:p>
      <w:pPr>
        <w:pStyle w:val="Normal"/>
      </w:pPr>
      <w:r>
        <w:t xml:space="preserve">1. Except as otherwise provided in this Agreement, no Party shall adopt or maintain any prohibition or restriction on the importation of any good of another Party or on the exportation or sale for export of any good destined for the territory of another Party, except in accordance with Article XI of the GATT 1994, including its interpretative notes, and to this end Article XI of the GATT 1994 and its interpretative notes are incorporated into and made a part of this Agreement, mutatis mutandis. 2. The Parties understand that GATT 1994 rights and obligations incorporated by paragraph 1 prohibit, in any circumstances in which any other form of restriction is prohibited, a Party from adopting or maintaining: (a) an export or import price requirement, except as permitted in enforcement of antidumping and countervailing duty orders or price undertakings; (b) import licensing conditioned on the fulfilment of a performance requirement; or (c) a voluntary export restraint inconsistent with Article VI of the GATT 1994, as implemented under Article 18 of the SCM Agreement and Article 8.1 of the AD Agreement. 3.</w:t>
      </w:r>
    </w:p>
    <w:p>
      <w:pPr>
        <w:pStyle w:val="Normal"/>
      </w:pPr>
      <w:r>
        <w:t>If a Party adopts or maintains a prohibition or restriction on the importation from or exportation to a non-Party of a good, nothing in this Agreement shall be construed to prevent that Party from: (a) limiting or prohibiting the importation of the good of that non-Party from the territory of another Party; or (b) requiring, as a condition for exporting the good of the Party to the territory of another Party, that the good not be re-exported to the non-Party, directly or indirectly, without being consumed in the territory of the other Party. 4. If a Party adopts or maintains a prohibition or restriction on the importation of a good from a non-Party, the Parties, on the request of a Party, shall consult with a view to avoiding undue interference with or distortion of pricing, marketing, or distribution arrangements in another Party. 5.</w:t>
      </w:r>
    </w:p>
    <w:p>
      <w:pPr>
        <w:pStyle w:val="Normal"/>
      </w:pPr>
      <w:r>
        <w:t>No Party shall as a condition for engaging in importation generally, or for the importation of a particular good, require a person of another Party to establish or maintain a contractual or other relationship with a distributor in its territory. 6. For greater certainty, paragraph 5 does not prevent a Party from requiring that a person referred to in that paragraph designate a point of contact for the purpose of facilitating communications between its regulatory authorities and that person. 7.</w:t>
      </w:r>
    </w:p>
    <w:p>
      <w:pPr>
        <w:pStyle w:val="Normal"/>
      </w:pPr>
      <w:r>
        <w:t>Paragraphs 1 through 6 do not apply to the measures set out in Annex 2-A (Exceptions to Article 2.3 (National Treatment) and Article 2.11 (Import and Export Restrictions)). 8. For greater certainty, paragraph 1 applies to the importation of any good implementing or incorporating cryptography, if the good is not designed or modified specifically for government use and is sold or otherwise made available to the public. 9. For greater certainty, no Party shall adopt or maintain a prohibition or restriction on the importation of originating used vehicles from the territory of another Party. This Article does not prevent a Party from applying motor vehicle safety or emissions measures, or vehicle registration requirements, of general application to originating used vehicles in a manner consistent with this Agreement.</w:t>
      </w:r>
    </w:p>
    <w:p>
      <w:pPr>
        <w:pStyle w:val="Heading2"/>
      </w:pPr>
      <w:bookmarkStart w:id="900042" w:name="_Toc300000041"/>
      <w:r>
        <w:t xml:space="preserve">Article 2.12: Remanufactured Goods</w:t>
      </w:r>
      <w:bookmarkEnd w:id="900042"/>
    </w:p>
    <w:p>
      <w:pPr>
        <w:pStyle w:val="Normal"/>
      </w:pPr>
      <w:r>
        <w:t xml:space="preserve">1. For greater certainty, Article 2.11.1 (Import and Export Restrictions) applies to prohibitions and restrictions on a remanufactured good. 2. Subject to its obligations under this Agreement and the WTO Agreement, a Party may require that a remanufactured good: (a) be identified as such, including through labelling, for distribution or sale in its territory, and (b) meet all applicable technical requirements that apply to an equivalent good in new condition. 3. If a Party adopts or maintains a prohibition or a restriction on a used good, it shall not apply the measure to a remanufactured good.</w:t>
      </w:r>
    </w:p>
    <w:p>
      <w:pPr>
        <w:pStyle w:val="Heading2"/>
      </w:pPr>
      <w:bookmarkStart w:id="900043" w:name="_Toc300000042"/>
      <w:r>
        <w:t xml:space="preserve">Article 2.13: Transparency in Import Licensing Procedures</w:t>
      </w:r>
      <w:bookmarkEnd w:id="900043"/>
    </w:p>
    <w:p>
      <w:pPr>
        <w:pStyle w:val="Normal"/>
      </w:pPr>
      <w:r>
        <w:t xml:space="preserve">1. Subject to paragraph 2, each Party shall notify the other Parties of its existing import licensing procedures, if any, as soon as practicable, after this Agreement enters into force. The notification shall: (a) include the information specified in Article 5.2 of the Import Licensing Agreement and in the annual questionnaire on import licensing procedures described in Article 7.3 of the Import Licensing Agreement; and (b) be without prejudice as to whether the import licensing procedures are consistent with this Agreement. 2. A Party shall be deemed to be in compliance with the obligations in paragraph 1 with respect to an import licensing procedure if:</w:t>
      </w:r>
    </w:p>
    <w:p>
      <w:pPr>
        <w:pStyle w:val="Normal"/>
      </w:pPr>
      <w:r>
        <w:t>(a) it has notified that procedure to the Committee on Import Licensing established under Article 4 of the Import Licensing Agreement together with the information specified in Article 5.2 of that agreement; and (b) it has provided the information requested in the questionnaire on import licensing procedures under Article 7.3 of the Import Licensing Agreement in its most recent submission to the Committee on Import Licensing before the entry into force of this Agreement. 3. A Party shall publish on an official government website any new or modified import licensing procedure, including any information that it is required to be published under Article 1.4(a) of the Import Licensing Agreement.</w:t>
      </w:r>
    </w:p>
    <w:p>
      <w:pPr>
        <w:pStyle w:val="Normal"/>
      </w:pPr>
      <w:r>
        <w:t>To the extent possible, the Party shall do so at least 20 days before the new procedure or modification takes effect. 4. Each Party shall respond within 60 days to a reasonable inquiry from another Party concerning its licensing rules and its procedures for the submission of an application for an import license, including the eligibility of persons, firms, and institutions to make an application, any administrative body to be approached, and the list of products subject to the licensing requirement. 5. If a Party denies an import license application with respect to a good of another Party, it shall, on request of the applicant and within a reasonable period after receiving the request, provide the applicant with a written explanation of the reason for the denial. 6. No Party shall apply an import licensing procedure to a good of another Party unless the Party has complied with the requirements of paragraphs 1 or 2, and 3, with respect to that procedure.</w:t>
      </w:r>
    </w:p>
    <w:p>
      <w:pPr>
        <w:pStyle w:val="Heading2"/>
      </w:pPr>
      <w:bookmarkStart w:id="900044" w:name="_Toc300000043"/>
      <w:r>
        <w:t xml:space="preserve">Article 2.14: Transparency in Export Licensing Procedures</w:t>
      </w:r>
      <w:bookmarkEnd w:id="900044"/>
    </w:p>
    <w:p>
      <w:pPr>
        <w:pStyle w:val="Normal"/>
      </w:pPr>
      <w:r>
        <w:t xml:space="preserve">1. Within 30 days after the date of entry into force of this Agreement, each Party shall notify the other Parties in writing of the publications in which its export licensing procedures, if any, are set out, including addresses of relevant government websites on which the procedures are published. Thereafter, each Party shall publish any new export licensing procedure, or any modification of an export licensing procedure, it adopts as soon as practicable but no later than 30 days after the new procedure or modification takes effect. 2. Each Party shall ensure that it includes in the publications it has notified under paragraph 1: (a) the texts of its export licensing procedures, including any modifications it makes to those procedures; (b) the goods subject to each licensing procedure; (c) for each licensing procedure, a description of:</w:t>
      </w:r>
    </w:p>
    <w:p>
      <w:pPr>
        <w:pStyle w:val="Normal"/>
      </w:pPr>
      <w:r>
        <w:t>(i) the process for applying for a license, and (ii) any criteria an applicant must meet to be eligible to apply for a license, such as possessing an activity license, establishing or maintaining an investment, or operating through a particular form of establishment in a Party’s territory; (d) a contact point from which interested persons can obtain further information on the conditions for obtaining an export license; (e) any administrative body to which an application or other relevant documentation is to be submitted; (f) a description of or a citation to a publication reproducing</w:t>
      </w:r>
    </w:p>
    <w:p>
      <w:pPr>
        <w:pStyle w:val="Normal"/>
      </w:pPr>
      <w:r>
        <w:t>in full any measure that the export licensing procedure implements; (g) the period during which each export licensing procedure will be in effect, unless the procedure will remain in effect until withdrawn or revised in a new publication; (h) if the Party intends to use a licensing procedure to administer an export quota, the overall quantity and, if practicable, the value of the quota, and the opening and closing dates of the quota; and (i) any exemptions from or exceptions to the requirement to obtain an export license that are available to the public, how to request or use these exemptions or exceptions, and the criteria for the exemptions or exceptions. 3. Each Party shall provide another Party, upon the other Party’s request and to the extent practicable, the following information regarding a particular export licensing procedure that it adopts or maintains, except when doing so would reveal business proprietary or other confidential information of a particular person:</w:t>
      </w:r>
    </w:p>
    <w:p>
      <w:pPr>
        <w:pStyle w:val="Normal"/>
      </w:pPr>
      <w:r>
        <w:t>(a) the aggregate number of licenses the Party has granted over a recent period specified in the other Party’s request; and (b) measures, if any, that the Party has adopted in conjunction with the licensing procedure to restrict domestic production or consumption or to stabilize production, supply, or prices for the relevant good. 4.</w:t>
      </w:r>
    </w:p>
    <w:p>
      <w:pPr>
        <w:pStyle w:val="Normal"/>
      </w:pPr>
      <w:r>
        <w:t>This Article does not require a Party to grant an export license, or prevent a Party from implementing its obligations or commitments under United Nations Security Council Resolutions, as well as multilateral non-proliferation regimes, including: the Wassenaar Arrangement on Export Controls for Conventional Arms and Dual-Use Goods and Technologies; Nuclear Suppliers Group; the Australia Group; Convention on the Prohibition of the Development, Production, Stockpiling and Use of Chemical Weapons and on Their Destruction, done at Geneva, September 3, 1992, and signed at Paris, January 13, 1993; Convention on the Prohibition of the Development, Production and Stockpiling of Bacteriological (Biological) and Toxin Weapons and on Their Destruction, done at Washington, London, and Moscow, April 10, 1972; Treaty on the Non-Proliferation of Nuclear Weapons done at Washington, London, and Moscow, July 1, 1968; and the Missile Technology Control Regime. 5.</w:t>
      </w:r>
    </w:p>
    <w:p>
      <w:pPr>
        <w:pStyle w:val="Normal"/>
      </w:pPr>
      <w:r>
        <w:t>For the purposes of this Article, export licensing procedure means a requirement that a Party adopts or maintains under which an exporter must, as a condition for exporting a good from the Party’s territory, submit an application or other documentation to an administrative body or bodies, but does not include customs documentation required in the normal course of trade or any requirement that must be fulfilled prior to introduction of the good into commerce within the Party’s territory.</w:t>
      </w:r>
    </w:p>
    <w:p>
      <w:pPr>
        <w:pStyle w:val="Heading2"/>
      </w:pPr>
      <w:bookmarkStart w:id="900045" w:name="_Toc300000044"/>
      <w:r>
        <w:t xml:space="preserve">Article 2.15: Export Duties, Taxes, or Other Charges</w:t>
      </w:r>
      <w:bookmarkEnd w:id="900045"/>
    </w:p>
    <w:p>
      <w:pPr>
        <w:pStyle w:val="Normal"/>
      </w:pPr>
      <w:r>
        <w:t xml:space="preserve">No Party shall adopt or maintain any duty, tax, or other charge on the export of any good to the territory of another Party, unless the duty, tax, or charge is also applied to the good if destined for domestic consumption.</w:t>
      </w:r>
    </w:p>
    <w:p>
      <w:pPr>
        <w:pStyle w:val="Heading2"/>
      </w:pPr>
      <w:bookmarkStart w:id="900046" w:name="_Toc300000045"/>
      <w:r>
        <w:t xml:space="preserve">Article 2.16: Administrative Fees and Formalities</w:t>
      </w:r>
      <w:bookmarkEnd w:id="900046"/>
    </w:p>
    <w:p>
      <w:pPr>
        <w:pStyle w:val="Normal"/>
      </w:pPr>
      <w:r>
        <w:t xml:space="preserve">1. Each Party shall ensure, in accordance with Article VIII:1 of the GATT 1994 and its interpretative notes, that all fees and charges of whatever character (other than customs duties, charges equivalent to an internal tax or other internal charges applied in a manner consistent with Article III:2 of the GATT 1994, and antidumping or countervailing duties) imposed on or in connection with importation or exportation are limited in amount to the approximate cost of services rendered and do not represent an indirect protection to a domestic good or a taxation of an import or export for fiscal purposes. 2. No Party shall require a consular transaction, including a related fee or charge, in connection with the importation of a good of another Party.2 3. No Party shall adopt or maintain a customs user fee on an originating good.3</w:t>
      </w:r>
    </w:p>
    <w:p>
      <w:pPr>
        <w:pStyle w:val="Heading2"/>
      </w:pPr>
      <w:bookmarkStart w:id="900047" w:name="_Toc300000046"/>
      <w:r>
        <w:t xml:space="preserve">Article 2.17: Committee on Trade in Goods</w:t>
      </w:r>
      <w:bookmarkEnd w:id="900047"/>
    </w:p>
    <w:p>
      <w:pPr>
        <w:pStyle w:val="Normal"/>
      </w:pPr>
      <w:r>
        <w:t xml:space="preserve">1. The Parties hereby establish a Committee on Trade in Goods (Goods Committee), comprising representatives of each Party. 2. The Goods Committee shall meet on the request of a Party or the Commission to consider any matter arising under this Chapter. 3. The Goods Committee shall meet at a venue and time as the Parties decide or by electronic means. In-person meetings will be held alternately in the territory of each Party. 4. The Goods Committee’s functions shall include: (a) monitoring the implementation and administration of this Chapter; (b) promoting trade in goods between the Parties; (c) providing a forum for the Parties to consult and endeavor to resolve issues relating to this Chapter, including, as appropriate, in coordination or jointly with * 2 For Mexico, this paragraph does not apply to the procedures for the duty-free entry of personal and household effects of natural persons relocating to Mexico. 3 The merchandise processing fee (MPF) is the only customs user fee of the United States to which this paragraph applies. The derecho de trámite aduanero is the only customs user fee of Mexico to which this paragraph applies.</w:t>
      </w:r>
    </w:p>
    <w:p>
      <w:pPr>
        <w:pStyle w:val="Normal"/>
      </w:pPr>
      <w:r>
        <w:t>other Committees, working groups, or other subsidiary bodies established under this Agreement; (d) promptly seeking to address tariff and non-tariff barriers to trade in goods between the Parties and, if appropriate, referring the matter to the Commission for its consideration; (e) coordinating the exchange of information on trade in goods between the Parties; (f) discussing and endeavoring to resolve any difference that may arise between the Parties on matters related to the Harmonized System, including ensuring that each Party’s obligations under this Agreement are not altered by its implementation of future amendments to the Harmonized System into its national nomenclature; (g) referring to another committee established under this Agreement those issues that may be relevant to that committee, as appropriate; and (h) undertaking additional work that the Commission may assign, or another committee may refer, to it.</w:t>
      </w:r>
    </w:p>
    <w:p>
      <w:pPr>
        <w:pStyle w:val="Heading2"/>
      </w:pPr>
      <w:bookmarkStart w:id="900048" w:name="_Toc300000047"/>
      <w:r>
        <w:t xml:space="preserve">ANNEX 2-A EXCEPTIONS TO ARTICLE 2.3 (NATIONAL TREATMENT) AND ARTICLE 2.11 (IMPORT AND EXPORT RESTRICTIONS)</w:t>
      </w:r>
      <w:bookmarkEnd w:id="900048"/>
    </w:p>
    <w:p>
      <w:pPr>
        <w:pStyle w:val="Heading2"/>
      </w:pPr>
      <w:bookmarkStart w:id="900049" w:name="_Toc300000048"/>
      <w:r>
        <w:t xml:space="preserve">Article 2.A.1: Application of Article 2.3 (National Treatment) and Article 2.11 (Import and Export Restrictions)</w:t>
      </w:r>
      <w:bookmarkEnd w:id="900049"/>
    </w:p>
    <w:p>
      <w:pPr>
        <w:pStyle w:val="Normal"/>
      </w:pPr>
      <w:r>
        <w:t xml:space="preserve">1. Article 2.3 (National Treatment) and Article 2.11 (Import and Export Restrictions) do not apply to the continuation, renewal, or amendment made to any law, statute, decree, or administrative regulation giving rise to a measure set out in the articles of this Annex to the extent that the continuation, renewal, or amendment does not decrease the conformity of the measure listed with Article 2.3 (National Treatment) and Article 2.11 (Import and Export Restrictions). 2. Article 2.3 (National Treatment) and Article 2.11 (Import and Export Restrictions) shall not apply to the import and export of rough diamonds (HS codes 7102.10, 7102.21, and 7102.31), pursuant to the Kimberley Process Certification Scheme and any subsequent amendments to that scheme.</w:t>
      </w:r>
    </w:p>
    <w:p>
      <w:pPr>
        <w:pStyle w:val="Heading2"/>
      </w:pPr>
      <w:bookmarkStart w:id="900050" w:name="_Toc300000049"/>
      <w:r>
        <w:t xml:space="preserve">Article 2.A.2: Measures of Canada</w:t>
      </w:r>
      <w:bookmarkEnd w:id="900050"/>
    </w:p>
    <w:p>
      <w:pPr>
        <w:pStyle w:val="Normal"/>
      </w:pPr>
      <w:r>
        <w:t xml:space="preserve">1.</w:t>
      </w:r>
    </w:p>
    <w:p>
      <w:pPr>
        <w:pStyle w:val="Normal"/>
      </w:pPr>
      <w:r>
        <w:t>Article 2.3 (National Treatment) and Article 2.11 (Import and Export Restrictions) do not apply to: (a) the export of logs of all species; (b) the export of unprocessed fish pursuant to the following provincial laws and their related regulations: (i) New Brunswick Seafood Processing Act, SNB 2006, c S-5.3, and Fisheries and Aquaculture Development Act, SNB 2009, c F-15.001; (ii) Newfoundland and Labrador Fish Inspection Act, RSNL 1990, c F-12; (iii) Nova Scotia Fisheries and Coastal Resources Act, Chapter 25 of the Acts of 1996; (iv) Prince Edward Island Fisheries Act, R.S.P.E.I. 1988, Cap. F-13.01, and Fish Inspection Act, R.S.P.E.I. 1988, Cap. F-1; and (v) Quebec Marine Products Processing Act, CQLR c T-11.01.</w:t>
      </w:r>
    </w:p>
    <w:p>
      <w:pPr>
        <w:pStyle w:val="Normal"/>
      </w:pPr>
      <w:r>
        <w:t>2-A-1 For greater certainty, notwithstanding Article 2.A.1:1 of this Annex, Article 2.3 (National Treatment) and 2.11 (Import and Export Restrictions) shall not apply to any requirements for the export of unprocessed fish authorized under the above laws and their related regulations that are not being applied upon the entry into force of this Agreement, or that are in force upon the entry into force of this Agreement but suspended after that date, and subsequently applied; (c) the importation of goods of the prohibited provisions of tariff items 9897.00.00, 9898.00.00, and 9899.00.00 referred to in the Schedule of the Customs Tariff, except as otherwise provided; (d) the use of ships in the coasting trade of Canada; and (e) Canadian excise duties on the absolute</w:t>
      </w:r>
    </w:p>
    <w:p>
      <w:pPr>
        <w:pStyle w:val="Normal"/>
      </w:pPr>
      <w:r>
        <w:t xml:space="preserve">volume of ethyl alcohol, as listed under tariff item 2207.10.90 in Canada’s Schedule of Concessions annexed to GATT 1994 (Schedule V), used in manufacturing under the provisions of the Excise Act, 2001, Statutes of Canada 2002, c. 22, as amended. 2. Article 2.3 (National Treatment) and Article 2.11 (Import and Export Restrictions) do not apply to quantitative import restrictions on originating goods from the United States classified in tariff headings 89.01, 89.04, and 89.05, and tariff items 8902.00.10 and 8903.99.90 (of an overall length exceeding 9.2 m only) for as long as the measures adopted under the Merchant Marine Act of 1920 and Passenger Vessel Services Act and 46 U.S.C. §§ 12102, 12113, and 12116, apply with quantitative effect to comparable originating goods from Canada sold or offered for sale into the U.S. market.</w:t>
      </w:r>
    </w:p>
    <w:p>
      <w:pPr>
        <w:pStyle w:val="Heading2"/>
      </w:pPr>
      <w:bookmarkStart w:id="900051" w:name="_Toc300000050"/>
      <w:r>
        <w:t xml:space="preserve">Article 2.A.3: Measures of Mexico</w:t>
      </w:r>
      <w:bookmarkEnd w:id="900051"/>
    </w:p>
    <w:p>
      <w:pPr>
        <w:pStyle w:val="Normal"/>
      </w:pPr>
      <w:r>
        <w:t xml:space="preserve">1.</w:t>
      </w:r>
    </w:p>
    <w:p>
      <w:pPr>
        <w:pStyle w:val="Normal"/>
      </w:pPr>
      <w:r>
        <w:t>Paragraphs 1 through 4 of Article 2.11 (Import and Export Restrictions) do not apply to:</w:t>
      </w:r>
    </w:p>
    <w:p>
      <w:pPr>
        <w:pStyle w:val="Normal"/>
      </w:pPr>
      <w:r>
        <w:t>(a) export measures pursuant to Article 48 of the Hydrocarbons Law (Ley de Hidrocarburos) published in Mexico’s Official Gazette (Diario Oficial de la Federación) on August 11, 2014, for the tariff items under the “Agreement that amends and establishes the classification and codification of Hydrocarbons and Petroleum Products subject to import and export permits by the Ministry of Energy” (Acuerdo que modifica al diverso por el que se establece la clasificación y codificación de Hidrocarburos y Petrólíferos cuya importación y exportación está sujeta a Permiso Previo por parte de la Secretaría de Energía) published in the Mexico’s Official Gazette (Diario Oficial de la Federación) on December 4, 2017, subject to Mexico’s rights and obligations under the WTO Agreement, including with regard to transparency and non-discriminatory treatment;</w:t>
      </w:r>
    </w:p>
    <w:p>
      <w:pPr>
        <w:pStyle w:val="Normal"/>
      </w:pPr>
      <w:r>
        <w:t>and 2-A-2 (b) prohibitions or restrictions on the importation into Mexico of used tyres, used apparel, non-originating used vehicles, and used chassis equipped with vehicle motors set forth in paragraphs 1(I) and 5 of Annex 2.2.1 of the Resolution through which the Ministry of the Economy establishes Rules and General Criteria on International Trade (Acuerdo por el que la Secretaría de Economía emite reglas y criterios de carácter general en materia de Comercio Exterior) published in Mexico’s Official Gazette (Diario Oficial de la Federación) on</w:t>
      </w:r>
    </w:p>
    <w:p>
      <w:pPr>
        <w:pStyle w:val="Normal"/>
      </w:pPr>
      <w:r>
        <w:t xml:space="preserve">December 31, 2012.</w:t>
      </w:r>
    </w:p>
    <w:p>
      <w:pPr>
        <w:pStyle w:val="Heading2"/>
      </w:pPr>
      <w:bookmarkStart w:id="900052" w:name="_Toc300000051"/>
      <w:r>
        <w:t xml:space="preserve">Article 2.A.4: Measures of the United States</w:t>
      </w:r>
      <w:bookmarkEnd w:id="900052"/>
    </w:p>
    <w:p>
      <w:pPr>
        <w:pStyle w:val="Normal"/>
      </w:pPr>
      <w:r>
        <w:t xml:space="preserve">Article 2.3 (National Treatment) and Article 2.11 (Import and Export Restrictions) do not apply to: (a) controls on the export of logs of all species; and (b) (i) measures under existing provisions of the Merchant Marine Act of 1920 and Passenger Vessel Services Act and 46 U.S.C. §§ 12102, 12113, and 12116, to the extent that such measures were mandatory legislation at the time of the accession of the United States to the General Agreement on Tariffs and Trade 1947 (GATT 1947) and have not been amended so as to decrease their conformity with Part II of the GATT 1947; (ii) the continuation or prompt renewal of a non-conforming provision of any statute referred to in clause (i); and (iii) the amendment to a non-conforming provision of any statute referred to in clause (i) to the extent that the amendment does not decrease the conformity of the provision with Articles 2.3 (National Treatment) and 2.11 (Import and Export Restrictions). 2-A-3</w:t>
      </w:r>
    </w:p>
    <w:p>
      <w:pPr>
        <w:pStyle w:val="Heading2"/>
      </w:pPr>
      <w:bookmarkStart w:id="900053" w:name="_Toc300000052"/>
      <w:r>
        <w:t xml:space="preserve">ANNEX 2-B TARIFF COMMITMENTS</w:t>
      </w:r>
      <w:bookmarkEnd w:id="900053"/>
    </w:p>
    <w:p>
      <w:pPr>
        <w:pStyle w:val="Normal"/>
      </w:pPr>
      <w:r>
        <w:t xml:space="preserve">1. The rate of customs duty for an originating good under this Agreement is indicated in each Party’s Schedule to this Annex. 2. Except as otherwise provided in a Party’s Schedule to this Annex, and in accordance with Article 2.4 (Treatment of Customs Duties), the rate of customs duty on originating goods is designated with “0,” and these goods shall be duty-free on the date of entry into force of this Agreement. 3. For originating goods provided for in the items marked with an asterisk (*) in a Party’s Schedule to this Annex, the tariff treatment set forth in Appendix 1 to that Party’s Schedule applies. 2-B-1</w:t>
      </w:r>
    </w:p>
    <w:p>
      <w:pPr>
        <w:pStyle w:val="Heading2"/>
      </w:pPr>
      <w:bookmarkStart w:id="900054" w:name="_Toc300000053"/>
      <w:r>
        <w:t xml:space="preserve">TARIFF SCHEDULE OF CANADA GENERAL NOTES</w:t>
      </w:r>
      <w:bookmarkEnd w:id="900054"/>
    </w:p>
    <w:p>
      <w:pPr>
        <w:pStyle w:val="Normal"/>
      </w:pPr>
      <w:r>
        <w:t xml:space="preserve">1. The provisions of this Schedule are generally expressed in terms of Canada’s Customs Tariff, and the interpretation of the provisions of this Schedule, including the product coverage of subheadings of this Schedule, shall be governed by the General Notes, Section Notes and Chapter Notes of Canada’s Customs Tariff.</w:t>
      </w:r>
    </w:p>
    <w:p>
      <w:pPr>
        <w:pStyle w:val="Normal"/>
      </w:pPr>
      <w:r>
        <w:t>To the extent that provisions of this Schedule are identical to the corresponding provisions of Canada’s Customs Tariff, the provisions of this Schedule shall have the same meaning as the corresponding provisions of Canada’s Customs Tariff. 2.</w:t>
      </w:r>
    </w:p>
    <w:p>
      <w:pPr>
        <w:pStyle w:val="Normal"/>
      </w:pPr>
      <w:r>
        <w:t>This Schedule reflects Canada’s applied tariff nomenclature as at July 1, 2017, which is implemented in accordance with the Harmonized System (2017 edition), and includes all tariff items of Chapter 1 through 97 of the HS that provide for a Most-Favoured-Nation (MFN) rate of customs duty. 3. For the purpose of this Agreement, Canada’s Schedule is authentic in the English and French languages. 4. The base rates of customs duty for determining the interim staged rate of customs duty for a tariff item shall be those set out in Appendix 1 to this Schedule, which reflect Canada’s MFN rates of duty in effect on July 1, 2017. 5. In Appendix 1 to this Schedule, the following staging categories apply to the elimination or reduction of customs duties by Canada pursuant to</w:t>
      </w:r>
    </w:p>
    <w:p>
      <w:pPr>
        <w:pStyle w:val="Normal"/>
      </w:pPr>
      <w:r>
        <w:t>Article 2.4: (a) customs duties on originating goods provided for in the items in staging category “0” shall be duty-free on the date of entry into force of this Agreement. For greater certainty, this rate of customs duty shall also apply to the within access quantity of any TRQ provided for these goods under Canada’s Schedule to the WTO; (b) customs duties on originating goods provided for in the items in staging category B6 shall be eliminated in six equal, annual stages, beginning on the date this Agreement enters into force, and these goods shall be duty-free effective January 1 of year six; (c) customs duties on originating goods provided for in the items in staging category B11 shall be eliminated in eleven equal, annual stages, beginning on the date this Agreement enters into force, and these goods shall be duty-free effective January 1 of year eleven;</w:t>
      </w:r>
    </w:p>
    <w:p>
      <w:pPr>
        <w:pStyle w:val="Normal"/>
      </w:pPr>
      <w:r>
        <w:t>2-B-2 (d) customs duties on originating goods provided for in the items in staging category X are exempt from tariff commitments under Article 2.4;4 and (e) customs duties on originating goods provided for in the items in a staging category denoted by “TRQ” shall be governed by the terms of the TRQ applicable to that tariff item, as outlined in Appendix 2 to this Schedule. 6.</w:t>
      </w:r>
    </w:p>
    <w:p>
      <w:pPr>
        <w:pStyle w:val="Normal"/>
      </w:pPr>
      <w:r>
        <w:t>For the purposes of Appendix 1 to this Schedule: (a) the tariff reduction for year one shall take effect on the date this Agreement enters into force as provided for in Article 34.5 (Final Provisions – Entry into Force), with each subsequent annual stage of tariff reduction taking effect on January 1 of each subsequent year; (b) year one means the period of time beginning on the date this Agreement enters into force as provided for in Article 34.5 (Final Provisions – Entry into Force), and ending on December 31 of the same calendar year as the date of entry into force; (c) year two means the 12-month period beginning on January 1 of the calendar year immediately following the calendar year of the date this Agreement enters into force as provided for in Article 34.5 (Final Provisions – Entry into Force); and (d) each subsequent year means each subsequent 12-month period beginning on January 1 of each subsequent calendar year. 7.</w:t>
      </w:r>
    </w:p>
    <w:p>
      <w:pPr>
        <w:pStyle w:val="Normal"/>
      </w:pPr>
      <w:r>
        <w:t>Interim staged rates for tariff items in Appendix 1 to this Schedule shall be rounded down at least to the nearest tenth of a percentage point or, if the rate of customs duty is expressed in monetary units, to the nearest tenth of one Canadian cent. 8.</w:t>
      </w:r>
    </w:p>
    <w:p>
      <w:pPr>
        <w:pStyle w:val="Normal"/>
      </w:pPr>
      <w:r>
        <w:t>If Canada applies different preferential tariff treatment to other Parties for the same originating good in accordance with Canada’s Schedule to this Annex at the time a claim for preferential tariff treatment is made, Canada shall apply the rate of customs duty for the originating good of the Party where the last production process, other than a minimal operation, occurred. 9. For the purposes of paragraph 9, a minimal operation is: * For greater certainty, Canada retains its rights and obligations under the WTO Agreement with respect to agricultural goods in staging category X. 2-B-3 (a) an operation to ensure the preservation of a good in good condition for the purposes of transport and storage; (b) packaging, re-packaging, breaking up of consignments or putting up a good for retail sale, including placing a good in bottles, cans, flasks, bags, cases or boxes; (c) mere dilution with water or another substance that does not materially alter the characteristics of the good; (d) collection of goods intended to form sets, assortments, kits or composite goods; and (e) any combination of operations referred to in subparagraphs (a) through (d). 10.</w:t>
      </w:r>
    </w:p>
    <w:p>
      <w:pPr>
        <w:pStyle w:val="Normal"/>
      </w:pPr>
      <w:r>
        <w:t xml:space="preserve">Notwithstanding paragraph 8, if the good is produced in the first Party from originating materials produced in the second Party, Canada shall apply the rate of customs duty for the good of the first Party, provided that the good satisfies the applicable changes in tariff classification requirement set out in Table B-1 in the territory of the first Party or in Canada. Table B-1: HS6 Change in Tariff Classification Requirement 1701.12 A change from any other chapter 1701.13 A change from any other chapter 1701.91 A change from any other chapter 1701.99 A change from any other chapter 1702.90 A change from any other chapter 1806.10 A change from any other heading excluding from heading 17.01 2106.90 A change from any other heading excluding from Chapter 17 2-B-4</w:t>
      </w:r>
    </w:p>
    <w:p>
      <w:pPr>
        <w:pStyle w:val="Heading2"/>
      </w:pPr>
      <w:bookmarkStart w:id="900055" w:name="_Toc300000054"/>
      <w:r>
        <w:t xml:space="preserve">TARIFF SCHEDULE OF MEXICO GENERAL NOTES</w:t>
      </w:r>
      <w:bookmarkEnd w:id="900055"/>
    </w:p>
    <w:p>
      <w:pPr>
        <w:pStyle w:val="Normal"/>
      </w:pPr>
      <w:r>
        <w:t xml:space="preserve">1.</w:t>
      </w:r>
    </w:p>
    <w:p>
      <w:pPr>
        <w:pStyle w:val="Normal"/>
      </w:pPr>
      <w:r>
        <w:t>The provisions of this Schedule are generally expressed in terms of Mexico’s Tariff Schedule of the General Import and Export Duties Law (Tarifa de la Ley de los Impuestos Generales de Importación y de Exportación (LIGIE)) and the interpretation of the provisions of this Schedule, including the product coverage of subheadings of this Schedule, shall be governed by the General Notes, Section Notes and Chapter Notes of the LIGIE. To the extent that provisions of this Schedule are identical to the corresponding provisions of the LIGIE, the provisions of this Schedule shall have the same meaning as the corresponding provisions of the LIGIE. 2.</w:t>
      </w:r>
    </w:p>
    <w:p>
      <w:pPr>
        <w:pStyle w:val="Normal"/>
      </w:pPr>
      <w:r>
        <w:t>This Schedule reflects Mexico’s applied tariff nomenclature as of September 1st, 2018, which is implemented in accordance with the Harmonized System (2012 edition), and includes all tariff items of Chapter 1 through 97 of the HS that provide for a Most-Favored-Nation (MFN) rate of customs duty. 3. In Appendix 1 to this Schedule, pursuant to Article 2.4, customs duties on originating goods provided for in the items denoted by “excluded” shall be subject to the applicable MFN tariff rates at the time of importation. 4. For an originating good provided for in a tariff item in Appendix 1 to this Schedule, Mexico shall apply a rate of customs duty no higher than zero, if: (a) the good is wholly obtained, either in the territory of the United States or in the territory of the United States and of Mexico;</w:t>
      </w:r>
    </w:p>
    <w:p>
      <w:pPr>
        <w:pStyle w:val="Normal"/>
      </w:pPr>
      <w:r>
        <w:t xml:space="preserve">(b) the good is produced entirely and exclusively from originating materials produced in the territory of the United States or in the territory of the United States and of Mexico; or (c) the good is produced entirely in the territory of the United States or of Mexico, provided that operations performed in, or materials obtained from the territory of Canada are considered as if they were performed in or obtained from a non-Party. 2-B-5</w:t>
      </w:r>
    </w:p>
    <w:p>
      <w:pPr>
        <w:pStyle w:val="Heading2"/>
      </w:pPr>
      <w:bookmarkStart w:id="900056" w:name="_Toc300000055"/>
      <w:r>
        <w:t xml:space="preserve">TARIFF SCHEDULE OF THE UNITED STATES GENERAL NOTES</w:t>
      </w:r>
      <w:bookmarkEnd w:id="900056"/>
    </w:p>
    <w:p>
      <w:pPr>
        <w:pStyle w:val="Normal"/>
      </w:pPr>
      <w:r>
        <w:t xml:space="preserve">1.</w:t>
      </w:r>
    </w:p>
    <w:p>
      <w:pPr>
        <w:pStyle w:val="Normal"/>
      </w:pPr>
      <w:r>
        <w:t>The provisions of this Schedule are generally expressed in terms of the Harmonized Tariff Schedule of the United States (HTSUS), and the interpretation of the provisions of this Schedule, including the product coverage of subheadings of this Schedule, shall be governed by the General Notes, Section Notes, and Chapter Notes of the HTSUS. To the extent that provisions of this Schedule are identical to the corresponding provisions of the HTSUS, the provisions of this Schedule shall have the same meaning as the corresponding provisions of the HTSUS. 2. The base rates of duty set out in Appendix 1 to this Schedule reflect the United States’ Most-Favored-Nation (MFN) rates of duty in effect on July 1, 2017. 3. In Appendix 1 to this Schedule, the following staging categories apply to the elimination or reduction of customs duties by the United States pursuant to</w:t>
      </w:r>
    </w:p>
    <w:p>
      <w:pPr>
        <w:pStyle w:val="Normal"/>
      </w:pPr>
      <w:r>
        <w:t>Article 2.4: (a) customs duties on originating goods provided for in the items in staging category B6 shall be eliminated in six annual stages, and such goods shall be duty-free effective January 1 of year six; (b) customs duties on originating goods provided for in the items in staging category B11 shall be eliminated in eleven annual stages, and such goods shall be duty-free effective January 1 of year eleven; and (c) customs duties on originating goods provided for in the items in staging category TRQ shall be governed by the terms of the TRQ for that specific tariff line, as outlined in Appendix 2 to this Schedule. 4. Interim staged rates for tariff items in Appendix 1 to this Schedule shall be rounded down to the nearest tenth of a percentage point or, if the rate of duty is expressed in monetary units, to the nearest tenth of one U.S. cent. 5.</w:t>
      </w:r>
    </w:p>
    <w:p>
      <w:pPr>
        <w:pStyle w:val="Normal"/>
      </w:pPr>
      <w:r>
        <w:t>For the purposes of Appendix 1 to this Schedule, year one means the year this Agreement enters into force as provided in Article 34.5 (Final Provisions – Entry into Force). 6. For the purposes of Appendix 1 to this Schedule, beginning in year two, each annual stage of tariff reduction shall take effect on January 1 of the relevant year. 7.</w:t>
      </w:r>
    </w:p>
    <w:p>
      <w:pPr>
        <w:pStyle w:val="Normal"/>
      </w:pPr>
      <w:r>
        <w:t xml:space="preserve">For an originating good provided for in a tariff item in Appendix 1 to this Schedule, if the United States applies different preferential treatment to one Party than to the other Party for that good: 2-B-6 (a) the United States shall apply a rate of customs duty no higher than the applicable rate under the staging category set forth for that tariff item in Appendix 1 to this Schedule if the good qualifies to be marked as a good of Canada pursuant to U.S. law, without regard to whether the good is marked;5 (b) the United States shall apply a rate of customs duty no higher than zero if the good qualifies to be marked as a good of Mexico pursuant to U.S. law, without regard to whether the good is marked. * 5 For the purposes of determining whether originating goods are eligible to enter duty-free as provided for in paragraph 15 of Section B of Appendix 2, paragraph 15(h) shall apply in lieu of this paragraph. 2-B-7</w:t>
      </w:r>
    </w:p>
    <w:p>
      <w:pPr>
        <w:pStyle w:val="Heading2"/>
      </w:pPr>
      <w:bookmarkStart w:id="900057" w:name="_Toc300000056"/>
      <w:r>
        <w:t xml:space="preserve">Appendix 2:</w:t>
      </w:r>
      <w:r>
        <w:t xml:space="preserve"> </w:t>
      </w:r>
      <w:r>
        <w:t xml:space="preserve">Tariff Schedule of Canada - (Tariff Rate Quotas)</w:t>
      </w:r>
      <w:bookmarkEnd w:id="900057"/>
    </w:p>
    <w:p>
      <w:pPr>
        <w:pStyle w:val="Normal"/>
      </w:pPr>
      <w:r>
        <w:t xml:space="preserve">Section A: General Provisions 1. Section B of this Appendix sets out the tariff rate quotas (TRQs) that Canada shall apply to certain originating goods of the United States under this Agreement. In particular, an originating good of the United States included under this Appendix shall be subject to the rates of duty set out in this Appendix instead of the rates of duty specified in Chapter 1 through Chapter 97 of the Schedule to Canada’s Customs Tariff.</w:t>
      </w:r>
    </w:p>
    <w:p>
      <w:pPr>
        <w:pStyle w:val="Normal"/>
      </w:pPr>
      <w:r>
        <w:t>Notwithstanding any other provision of Canada’s Customs Tariff, originating goods under this Agreement in the quantities described in Section B of this Appendix shall be permitted entry into the territory of Canada as provided in this Appendix. Furthermore, unless specified otherwise in this Schedule, any quantity of originating goods imported from a Party under a TRQ provided for in Section B of this Appendix shall not be counted towards, or reduce the in-quota quantity, of any TRQ provided for such goods under Canada’s WTO tariff schedule or any other trade agreement. 2. Each good or group of goods covered by each TRQ set out in Section B is informally identified in the title to the paragraph setting out the TRQ. These titles are included solely to assist readers in understanding this Appendix and shall not alter or supersede the coverage established through identification of covered codes of Canada’s Customs Tariff. 3. Canada shall administer all TRQs provided for in this Agreement and set out in Section B of this Appendix according to the following provisions:</w:t>
      </w:r>
    </w:p>
    <w:p>
      <w:pPr>
        <w:pStyle w:val="Normal"/>
      </w:pPr>
      <w:r>
        <w:t>(a) Canada shall administer its TRQs through an import licensing system. (b) For the purposes of this Appendix, quota year means the 12-month period over which a TRQ applies and is allocated. “Quota year 1” has the meaning assigned to “year 1” in paragraph 6 of the Tariff Schedule of Canada - General Notes. (c) Canada shall allocate its TRQs each quota year to eligible applicants.</w:t>
      </w:r>
    </w:p>
    <w:p>
      <w:pPr>
        <w:pStyle w:val="Normal"/>
      </w:pPr>
      <w:r>
        <w:t>An eligible applicant means an applicant active in the Canadian food or agriculture sector. In assessing eligibility, Canada shall not discriminate against applicants who have not previously imported the product subject to a TRQ. 4. For the purposes of this Appendix, the term “metric tons” shall be abbreviated as “MT”. Section B: TRQs 5. TRQ-CA1: Milk (a) The aggregate quantity of originating goods described in subparagraph (c)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8,333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16,667</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25,000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33,333</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41,667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50,000</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50,500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51,005</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51,515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52,030</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52,551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53,076</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53,607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54,143</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54,684</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55,231</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55,783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18</w:t>
            </w:r>
          </w:p>
        </w:tc>
        <w:tc>
          <w:tcPr>
            <w:tcW w:type="dxa" w:w="3600"/>
            <w:shd w:fill="F5F7F8" w:val="clear" w:color="auto"/>
            <w:tcMar>
              <w:top w:w="70" w:type="dxa"/>
              <w:start w:w="110" w:type="dxa"/>
              <w:bottom w:w="70" w:type="dxa"/>
              <w:end w:w="110" w:type="dxa"/>
            </w:tcMar>
            <w:vAlign w:val="center"/>
          </w:tcPr>
          <w:p>
            <w:pPr>
              <w:pStyle w:val="TableText"/>
            </w:pPr>
            <w:r>
              <w:rPr/>
              <w:t>56,341</w:t>
            </w:r>
          </w:p>
        </w:tc>
      </w:tr>
      <w:tr>
        <w:trPr>
          <w:cantSplit/>
        </w:trPr>
        <w:tc>
          <w:tcPr>
            <w:tcW w:type="dxa" w:w="1872"/>
            <w:tcMar>
              <w:top w:w="70" w:type="dxa"/>
              <w:start w:w="110" w:type="dxa"/>
              <w:bottom w:w="70" w:type="dxa"/>
              <w:end w:w="110" w:type="dxa"/>
            </w:tcMar>
            <w:vAlign w:val="center"/>
          </w:tcPr>
          <w:p>
            <w:pPr>
              <w:pStyle w:val="TableText"/>
            </w:pPr>
            <w:r>
              <w:rPr/>
              <w:t>19</w:t>
            </w:r>
          </w:p>
        </w:tc>
        <w:tc>
          <w:tcPr>
            <w:tcW w:type="dxa" w:w="3600"/>
            <w:tcMar>
              <w:top w:w="70" w:type="dxa"/>
              <w:start w:w="110" w:type="dxa"/>
              <w:bottom w:w="70" w:type="dxa"/>
              <w:end w:w="110" w:type="dxa"/>
            </w:tcMar>
            <w:vAlign w:val="center"/>
          </w:tcPr>
          <w:p>
            <w:pPr>
              <w:pStyle w:val="TableText"/>
            </w:pPr>
            <w:r>
              <w:rPr/>
              <w:t>56,905</w:t>
            </w:r>
          </w:p>
        </w:tc>
      </w:tr>
    </w:tbl>
    <w:p>
      <w:pPr>
        <w:pStyle w:val="Normal"/>
      </w:pPr>
      <w:r>
        <w:t>Starting in quota year 19, the quantity shall remain at 56,905 MT per year. (b) Canada shall apply the following provisions in the administration of this TRQ: (i) Up to 85 percent of the TRQ quantities set out in subparagraph (a) shall be for the importation of milk in bulk (not for retail sale) to be processed into dairy products used as ingredients for further food processing (secondary manufacturing).</w:t>
      </w:r>
    </w:p>
    <w:p>
      <w:pPr>
        <w:pStyle w:val="Normal"/>
      </w:pPr>
      <w:r>
        <w:t>(ii) Any remainder of the TRQ quantities set out in subparagraph (a) shall be for the importation of any milk. (c) This paragraph applies to goods classified in the following tariff items: 0401.10.10 and 0401.20.10. (d) This TRQ shall be allocated on a dairy year basis, meaning from August 1 to July 31. 6.</w:t>
      </w:r>
    </w:p>
    <w:p>
      <w:pPr>
        <w:pStyle w:val="Normal"/>
      </w:pPr>
      <w:r>
        <w:t>TRQ-CA2: Cream (a) The aggregate quantity of originating goods described in subparagraph (c)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1,750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3,500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5,250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7,000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8,750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10,500</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10,605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10,711</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10,818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10,926</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11,036</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11,146</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11,257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11,370</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11,484</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11,599</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11,715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18</w:t>
            </w:r>
          </w:p>
        </w:tc>
        <w:tc>
          <w:tcPr>
            <w:tcW w:type="dxa" w:w="3600"/>
            <w:shd w:fill="F5F7F8" w:val="clear" w:color="auto"/>
            <w:tcMar>
              <w:top w:w="70" w:type="dxa"/>
              <w:start w:w="110" w:type="dxa"/>
              <w:bottom w:w="70" w:type="dxa"/>
              <w:end w:w="110" w:type="dxa"/>
            </w:tcMar>
            <w:vAlign w:val="center"/>
          </w:tcPr>
          <w:p>
            <w:pPr>
              <w:pStyle w:val="TableText"/>
            </w:pPr>
            <w:r>
              <w:rPr/>
              <w:t>11,832</w:t>
            </w:r>
          </w:p>
        </w:tc>
      </w:tr>
      <w:tr>
        <w:trPr>
          <w:cantSplit/>
        </w:trPr>
        <w:tc>
          <w:tcPr>
            <w:tcW w:type="dxa" w:w="1872"/>
            <w:tcMar>
              <w:top w:w="70" w:type="dxa"/>
              <w:start w:w="110" w:type="dxa"/>
              <w:bottom w:w="70" w:type="dxa"/>
              <w:end w:w="110" w:type="dxa"/>
            </w:tcMar>
            <w:vAlign w:val="center"/>
          </w:tcPr>
          <w:p>
            <w:pPr>
              <w:pStyle w:val="TableText"/>
            </w:pPr>
            <w:r>
              <w:rPr/>
              <w:t>19</w:t>
            </w:r>
          </w:p>
        </w:tc>
        <w:tc>
          <w:tcPr>
            <w:tcW w:type="dxa" w:w="3600"/>
            <w:tcMar>
              <w:top w:w="70" w:type="dxa"/>
              <w:start w:w="110" w:type="dxa"/>
              <w:bottom w:w="70" w:type="dxa"/>
              <w:end w:w="110" w:type="dxa"/>
            </w:tcMar>
            <w:vAlign w:val="center"/>
          </w:tcPr>
          <w:p>
            <w:pPr>
              <w:pStyle w:val="TableText"/>
            </w:pPr>
            <w:r>
              <w:rPr/>
              <w:t>11,950</w:t>
            </w:r>
          </w:p>
        </w:tc>
      </w:tr>
    </w:tbl>
    <w:p>
      <w:pPr>
        <w:pStyle w:val="Normal"/>
      </w:pPr>
      <w:r>
        <w:t>Starting in quota year 19, the quantity shall remain at 11,950 MT per year. (b) Canada shall apply the following provisions in the administration of this TRQ: (i) Up to 85 percent of the TRQ quantities set out in subparagraph (a) shall be for the importation of cream in bulk (not for retail sale) to be processed into dairy products used as ingredients for further food processing (secondary manufacturing). (ii) Any remainder of the TRQ quantities set out in subparagraph (a) shall be for the importation of any cream. (c) This paragraph applies to goods classified in the following tariff items: 0401.40.10, and 0401.50.10. (d) This TRQ shall be allocated on a dairy year basis, meaning from August 1 to July 31. 7.</w:t>
      </w:r>
    </w:p>
    <w:p>
      <w:pPr>
        <w:pStyle w:val="Normal"/>
      </w:pPr>
      <w:r>
        <w:t>TRQ-CA3: Skim Milk Powder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1,250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2,500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3,750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5,000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6,250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7,500</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7,575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7,651</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7,727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7,805</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7,883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7,961</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8,041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8,121</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8,203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8,285</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8,368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18</w:t>
            </w:r>
          </w:p>
        </w:tc>
        <w:tc>
          <w:tcPr>
            <w:tcW w:type="dxa" w:w="3600"/>
            <w:shd w:fill="F5F7F8" w:val="clear" w:color="auto"/>
            <w:tcMar>
              <w:top w:w="70" w:type="dxa"/>
              <w:start w:w="110" w:type="dxa"/>
              <w:bottom w:w="70" w:type="dxa"/>
              <w:end w:w="110" w:type="dxa"/>
            </w:tcMar>
            <w:vAlign w:val="center"/>
          </w:tcPr>
          <w:p>
            <w:pPr>
              <w:pStyle w:val="TableText"/>
            </w:pPr>
            <w:r>
              <w:rPr/>
              <w:t>8,451</w:t>
            </w:r>
          </w:p>
        </w:tc>
      </w:tr>
      <w:tr>
        <w:trPr>
          <w:cantSplit/>
        </w:trPr>
        <w:tc>
          <w:tcPr>
            <w:tcW w:type="dxa" w:w="1872"/>
            <w:tcMar>
              <w:top w:w="70" w:type="dxa"/>
              <w:start w:w="110" w:type="dxa"/>
              <w:bottom w:w="70" w:type="dxa"/>
              <w:end w:w="110" w:type="dxa"/>
            </w:tcMar>
            <w:vAlign w:val="center"/>
          </w:tcPr>
          <w:p>
            <w:pPr>
              <w:pStyle w:val="TableText"/>
            </w:pPr>
            <w:r>
              <w:rPr/>
              <w:t>19</w:t>
            </w:r>
          </w:p>
        </w:tc>
        <w:tc>
          <w:tcPr>
            <w:tcW w:type="dxa" w:w="3600"/>
            <w:tcMar>
              <w:top w:w="70" w:type="dxa"/>
              <w:start w:w="110" w:type="dxa"/>
              <w:bottom w:w="70" w:type="dxa"/>
              <w:end w:w="110" w:type="dxa"/>
            </w:tcMar>
            <w:vAlign w:val="center"/>
          </w:tcPr>
          <w:p>
            <w:pPr>
              <w:pStyle w:val="TableText"/>
            </w:pPr>
            <w:r>
              <w:rPr/>
              <w:t>8,536</w:t>
            </w:r>
          </w:p>
        </w:tc>
      </w:tr>
    </w:tbl>
    <w:p>
      <w:pPr>
        <w:pStyle w:val="Normal"/>
      </w:pPr>
      <w:r>
        <w:t>Starting in quota year 19, the quantity shall remain at 8,536 MT per year. (b) This paragraph applies to goods classified in the following tariff item: 0402.10.10. (c) This TRQ shall be allocated on a dairy year basis, meaning from August 1 to July 31. 8. TRQ-CA4: Butter and Cream Powder (a) The aggregate quantity of originating goods described in subparagraph (c)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1,500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2,250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3,000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3,750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4,500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4,545</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4,590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4,636</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4,683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4,730</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4,777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4,825</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4,873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4,922</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4,971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5,021</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5,071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18</w:t>
            </w:r>
          </w:p>
        </w:tc>
        <w:tc>
          <w:tcPr>
            <w:tcW w:type="dxa" w:w="3600"/>
            <w:shd w:fill="F5F7F8" w:val="clear" w:color="auto"/>
            <w:tcMar>
              <w:top w:w="70" w:type="dxa"/>
              <w:start w:w="110" w:type="dxa"/>
              <w:bottom w:w="70" w:type="dxa"/>
              <w:end w:w="110" w:type="dxa"/>
            </w:tcMar>
            <w:vAlign w:val="center"/>
          </w:tcPr>
          <w:p>
            <w:pPr>
              <w:pStyle w:val="TableText"/>
            </w:pPr>
            <w:r>
              <w:rPr/>
              <w:t>5,121</w:t>
            </w:r>
          </w:p>
        </w:tc>
      </w:tr>
    </w:tbl>
    <w:p>
      <w:pPr>
        <w:pStyle w:val="Normal"/>
      </w:pPr>
      <w:r>
        <w:t>Starting in quota year 19, the quantity shall remain at 5,121 MT per year.</w:t>
      </w:r>
    </w:p>
    <w:p>
      <w:pPr>
        <w:pStyle w:val="Normal"/>
      </w:pPr>
      <w:r>
        <w:t>(b) Canada shall apply the following provision in the administration of this TRQ: (i) Up to 85 percent in year 1 of the TRQ quantities set out in subparagraph (a) shall be for the importation of goods in bulk (not for retail sale) used as ingredients for further food processing (secondary manufacturing), reducing to 50 percent of the TRQ quantities over five years.</w:t>
      </w:r>
    </w:p>
    <w:p>
      <w:pPr>
        <w:pStyle w:val="Normal"/>
      </w:pPr>
      <w:r>
        <w:t>(ii) Any remainder of the TRQ quantities set out in subparagraph (a) shall be for the importation of any butter or cream powder. (c) This paragraph applies to goods classified in the following tariff items: 0405.10.10, 0405.20.10, 0405.90.10, 0402.21.21, and 0402.29.21. (d) This TRQ shall be allocated on a dairy year basis, meaning from August 1 to July 31. 9. TRQ-CA5: Industrial Cheeses (a) The aggregate quantity of originating goods described in subparagraph (c)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1,042</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2,083</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3,125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4,167</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5,208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6,250</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6,313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6,376</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6,439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6,504</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6,569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6,635</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6,701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6,768</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6,836</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6,904</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6,973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18</w:t>
            </w:r>
          </w:p>
        </w:tc>
        <w:tc>
          <w:tcPr>
            <w:tcW w:type="dxa" w:w="3600"/>
            <w:shd w:fill="F5F7F8" w:val="clear" w:color="auto"/>
            <w:tcMar>
              <w:top w:w="70" w:type="dxa"/>
              <w:start w:w="110" w:type="dxa"/>
              <w:bottom w:w="70" w:type="dxa"/>
              <w:end w:w="110" w:type="dxa"/>
            </w:tcMar>
            <w:vAlign w:val="center"/>
          </w:tcPr>
          <w:p>
            <w:pPr>
              <w:pStyle w:val="TableText"/>
            </w:pPr>
            <w:r>
              <w:rPr/>
              <w:t>7,043</w:t>
            </w:r>
          </w:p>
        </w:tc>
      </w:tr>
      <w:tr>
        <w:trPr>
          <w:cantSplit/>
        </w:trPr>
        <w:tc>
          <w:tcPr>
            <w:tcW w:type="dxa" w:w="1872"/>
            <w:tcMar>
              <w:top w:w="70" w:type="dxa"/>
              <w:start w:w="110" w:type="dxa"/>
              <w:bottom w:w="70" w:type="dxa"/>
              <w:end w:w="110" w:type="dxa"/>
            </w:tcMar>
            <w:vAlign w:val="center"/>
          </w:tcPr>
          <w:p>
            <w:pPr>
              <w:pStyle w:val="TableText"/>
            </w:pPr>
            <w:r>
              <w:rPr/>
              <w:t>19</w:t>
            </w:r>
          </w:p>
        </w:tc>
        <w:tc>
          <w:tcPr>
            <w:tcW w:type="dxa" w:w="3600"/>
            <w:tcMar>
              <w:top w:w="70" w:type="dxa"/>
              <w:start w:w="110" w:type="dxa"/>
              <w:bottom w:w="70" w:type="dxa"/>
              <w:end w:w="110" w:type="dxa"/>
            </w:tcMar>
            <w:vAlign w:val="center"/>
          </w:tcPr>
          <w:p>
            <w:pPr>
              <w:pStyle w:val="TableText"/>
            </w:pPr>
            <w:r>
              <w:rPr/>
              <w:t>7,113</w:t>
            </w:r>
          </w:p>
        </w:tc>
      </w:tr>
    </w:tbl>
    <w:p>
      <w:pPr>
        <w:pStyle w:val="Normal"/>
      </w:pPr>
      <w:r>
        <w:t>Starting in quota year 19, the quantity shall remain at 7,113 MT per year. (b) Only goods in bulk (not for retail sale) used as ingredients for further food processing (secondary manufacturing) shall be imported under this TRQ. (c) This paragraph applies to goods classified in the following tariff items: 0406.10.10, 0406.20.11, 0406.20.91, 0406.30.10, 0406.40.10, 0406.90.11, 0406.90.21, 0406.90.31, 0406.90.41, 0406.90.51, 0406.90.61, 0406.90.71, 0406.90.81, 0406.90.91, 0406.90.93, 0406.90.95, and 0406.90.98. (d) This TRQ shall be allocated on a calendar year basis. 10.</w:t>
      </w:r>
    </w:p>
    <w:p>
      <w:pPr>
        <w:pStyle w:val="Normal"/>
      </w:pPr>
      <w:r>
        <w:t>TRQ-CA6: Cheeses of All Types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1,042</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2,083</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3,125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4,167</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5,208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6,250</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6,313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6,376</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6,439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6,504</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6,569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6,635</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6,701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6,768</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6,836</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6,904</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6,973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18</w:t>
            </w:r>
          </w:p>
        </w:tc>
        <w:tc>
          <w:tcPr>
            <w:tcW w:type="dxa" w:w="3600"/>
            <w:shd w:fill="F5F7F8" w:val="clear" w:color="auto"/>
            <w:tcMar>
              <w:top w:w="70" w:type="dxa"/>
              <w:start w:w="110" w:type="dxa"/>
              <w:bottom w:w="70" w:type="dxa"/>
              <w:end w:w="110" w:type="dxa"/>
            </w:tcMar>
            <w:vAlign w:val="center"/>
          </w:tcPr>
          <w:p>
            <w:pPr>
              <w:pStyle w:val="TableText"/>
            </w:pPr>
            <w:r>
              <w:rPr/>
              <w:t>7,043</w:t>
            </w:r>
          </w:p>
        </w:tc>
      </w:tr>
      <w:tr>
        <w:trPr>
          <w:cantSplit/>
        </w:trPr>
        <w:tc>
          <w:tcPr>
            <w:tcW w:type="dxa" w:w="1872"/>
            <w:tcMar>
              <w:top w:w="70" w:type="dxa"/>
              <w:start w:w="110" w:type="dxa"/>
              <w:bottom w:w="70" w:type="dxa"/>
              <w:end w:w="110" w:type="dxa"/>
            </w:tcMar>
            <w:vAlign w:val="center"/>
          </w:tcPr>
          <w:p>
            <w:pPr>
              <w:pStyle w:val="TableText"/>
            </w:pPr>
            <w:r>
              <w:rPr/>
              <w:t>19</w:t>
            </w:r>
          </w:p>
        </w:tc>
        <w:tc>
          <w:tcPr>
            <w:tcW w:type="dxa" w:w="3600"/>
            <w:tcMar>
              <w:top w:w="70" w:type="dxa"/>
              <w:start w:w="110" w:type="dxa"/>
              <w:bottom w:w="70" w:type="dxa"/>
              <w:end w:w="110" w:type="dxa"/>
            </w:tcMar>
            <w:vAlign w:val="center"/>
          </w:tcPr>
          <w:p>
            <w:pPr>
              <w:pStyle w:val="TableText"/>
            </w:pPr>
            <w:r>
              <w:rPr/>
              <w:t>7,113</w:t>
            </w:r>
          </w:p>
        </w:tc>
      </w:tr>
    </w:tbl>
    <w:p>
      <w:pPr>
        <w:pStyle w:val="Normal"/>
      </w:pPr>
      <w:r>
        <w:t>Starting in quota year 19, the quantity shall remain at 7,113 MT per year. (b) This paragraph applies to goods classified in the following tariff items: 0406.10.10, 0406.20.11, 0406.20.91, 0406.30.10, 0406.40.10, 0406.90.11, 0406.90.21, 0406.90.31, 0406.90.41, 0406.90.51, 0406.90.61, 0406.90.71, 0406.90.81, 0406.90.91, 0406.90.93, 0406.90.95, and 0406.90.98. (c) This TRQ shall be allocated on a calendar year basis. 11. TRQ-CA7: Milk Powders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Quota Year</w:t>
            </w:r>
          </w:p>
        </w:tc>
        <w:tc>
          <w:tcPr>
            <w:tcW w:type="dxa" w:w="4680"/>
            <w:tcBorders>
              <w:bottom w:val="single" w:sz="6" w:space="0" w:color="546E7A"/>
            </w:tcBorders>
            <w:shd w:fill="E4E9EC" w:val="clear" w:color="auto"/>
          </w:tcPr>
          <w:p>
            <w:pPr>
              <w:pStyle w:val="TableText"/>
            </w:pPr>
            <w:r>
              <w:rPr>
                <w:b/>
                <w:color w:val="37474F"/>
              </w:rPr>
              <w:t>Aggregate Quantity (MT)</w:t>
            </w:r>
          </w:p>
        </w:tc>
      </w:tr>
      <w:tr>
        <w:tc>
          <w:tcPr>
            <w:tcW w:type="dxa" w:w="4680"/>
            <w:tcMar>
              <w:top w:w="70" w:type="dxa"/>
              <w:start w:w="110" w:type="dxa"/>
              <w:bottom w:w="70" w:type="dxa"/>
              <w:end w:w="110" w:type="dxa"/>
            </w:tcMar>
          </w:tcPr>
          <w:p>
            <w:pPr>
              <w:pStyle w:val="TableText"/>
            </w:pPr>
            <w:r>
              <w:rPr/>
              <w:t>1</w:t>
            </w:r>
          </w:p>
        </w:tc>
        <w:tc>
          <w:tcPr>
            <w:tcW w:type="dxa" w:w="4680"/>
            <w:tcMar>
              <w:top w:w="70" w:type="dxa"/>
              <w:start w:w="110" w:type="dxa"/>
              <w:bottom w:w="70" w:type="dxa"/>
              <w:end w:w="110" w:type="dxa"/>
            </w:tcMar>
          </w:tcPr>
          <w:p>
            <w:pPr>
              <w:pStyle w:val="TableText"/>
            </w:pPr>
            <w:r>
              <w:rPr/>
              <w:t>115</w:t>
            </w:r>
          </w:p>
        </w:tc>
      </w:tr>
      <w:tr>
        <w:tc>
          <w:tcPr>
            <w:tcW w:type="dxa" w:w="4680"/>
            <w:shd w:fill="F5F7F8" w:val="clear" w:color="auto"/>
            <w:tcMar>
              <w:top w:w="70" w:type="dxa"/>
              <w:start w:w="110" w:type="dxa"/>
              <w:bottom w:w="70" w:type="dxa"/>
              <w:end w:w="110" w:type="dxa"/>
            </w:tcMar>
          </w:tcPr>
          <w:p>
            <w:pPr>
              <w:pStyle w:val="TableText"/>
            </w:pPr>
            <w:r>
              <w:rPr/>
              <w:t>2</w:t>
            </w:r>
          </w:p>
        </w:tc>
        <w:tc>
          <w:tcPr>
            <w:tcW w:type="dxa" w:w="4680"/>
            <w:shd w:fill="F5F7F8" w:val="clear" w:color="auto"/>
            <w:tcMar>
              <w:top w:w="70" w:type="dxa"/>
              <w:start w:w="110" w:type="dxa"/>
              <w:bottom w:w="70" w:type="dxa"/>
              <w:end w:w="110" w:type="dxa"/>
            </w:tcMar>
          </w:tcPr>
          <w:p>
            <w:pPr>
              <w:pStyle w:val="TableText"/>
            </w:pPr>
            <w:r>
              <w:rPr/>
              <w:t>230</w:t>
            </w:r>
          </w:p>
        </w:tc>
      </w:tr>
      <w:tr>
        <w:tc>
          <w:tcPr>
            <w:tcW w:type="dxa" w:w="4680"/>
            <w:tcMar>
              <w:top w:w="70" w:type="dxa"/>
              <w:start w:w="110" w:type="dxa"/>
              <w:bottom w:w="70" w:type="dxa"/>
              <w:end w:w="110" w:type="dxa"/>
            </w:tcMar>
          </w:tcPr>
          <w:p>
            <w:pPr>
              <w:pStyle w:val="TableText"/>
            </w:pPr>
            <w:r>
              <w:rPr/>
              <w:t>3</w:t>
            </w:r>
          </w:p>
        </w:tc>
        <w:tc>
          <w:tcPr>
            <w:tcW w:type="dxa" w:w="4680"/>
            <w:tcMar>
              <w:top w:w="70" w:type="dxa"/>
              <w:start w:w="110" w:type="dxa"/>
              <w:bottom w:w="70" w:type="dxa"/>
              <w:end w:w="110" w:type="dxa"/>
            </w:tcMar>
          </w:tcPr>
          <w:p>
            <w:pPr>
              <w:pStyle w:val="TableText"/>
            </w:pPr>
            <w:r>
              <w:rPr/>
              <w:t>345</w:t>
            </w:r>
          </w:p>
        </w:tc>
      </w:tr>
      <w:tr>
        <w:tc>
          <w:tcPr>
            <w:tcW w:type="dxa" w:w="4680"/>
            <w:shd w:fill="F5F7F8" w:val="clear" w:color="auto"/>
            <w:tcMar>
              <w:top w:w="70" w:type="dxa"/>
              <w:start w:w="110" w:type="dxa"/>
              <w:bottom w:w="70" w:type="dxa"/>
              <w:end w:w="110" w:type="dxa"/>
            </w:tcMar>
          </w:tcPr>
          <w:p>
            <w:pPr>
              <w:pStyle w:val="TableText"/>
            </w:pPr>
            <w:r>
              <w:rPr/>
              <w:t>4</w:t>
            </w:r>
          </w:p>
        </w:tc>
        <w:tc>
          <w:tcPr>
            <w:tcW w:type="dxa" w:w="4680"/>
            <w:shd w:fill="F5F7F8" w:val="clear" w:color="auto"/>
            <w:tcMar>
              <w:top w:w="70" w:type="dxa"/>
              <w:start w:w="110" w:type="dxa"/>
              <w:bottom w:w="70" w:type="dxa"/>
              <w:end w:w="110" w:type="dxa"/>
            </w:tcMar>
          </w:tcPr>
          <w:p>
            <w:pPr>
              <w:pStyle w:val="TableText"/>
            </w:pPr>
            <w:r>
              <w:rPr/>
              <w:t>460</w:t>
            </w:r>
          </w:p>
        </w:tc>
      </w:tr>
      <w:tr>
        <w:tc>
          <w:tcPr>
            <w:tcW w:type="dxa" w:w="4680"/>
            <w:tcMar>
              <w:top w:w="70" w:type="dxa"/>
              <w:start w:w="110" w:type="dxa"/>
              <w:bottom w:w="70" w:type="dxa"/>
              <w:end w:w="110" w:type="dxa"/>
            </w:tcMar>
          </w:tcPr>
          <w:p>
            <w:pPr>
              <w:pStyle w:val="TableText"/>
            </w:pPr>
            <w:r>
              <w:rPr/>
              <w:t>5</w:t>
            </w:r>
          </w:p>
        </w:tc>
        <w:tc>
          <w:tcPr>
            <w:tcW w:type="dxa" w:w="4680"/>
            <w:tcMar>
              <w:top w:w="70" w:type="dxa"/>
              <w:start w:w="110" w:type="dxa"/>
              <w:bottom w:w="70" w:type="dxa"/>
              <w:end w:w="110" w:type="dxa"/>
            </w:tcMar>
          </w:tcPr>
          <w:p>
            <w:pPr>
              <w:pStyle w:val="TableText"/>
            </w:pPr>
            <w:r>
              <w:rPr/>
              <w:t>575</w:t>
            </w:r>
          </w:p>
        </w:tc>
      </w:tr>
      <w:tr>
        <w:tc>
          <w:tcPr>
            <w:tcW w:type="dxa" w:w="4680"/>
            <w:shd w:fill="F5F7F8" w:val="clear" w:color="auto"/>
            <w:tcMar>
              <w:top w:w="70" w:type="dxa"/>
              <w:start w:w="110" w:type="dxa"/>
              <w:bottom w:w="70" w:type="dxa"/>
              <w:end w:w="110" w:type="dxa"/>
            </w:tcMar>
          </w:tcPr>
          <w:p>
            <w:pPr>
              <w:pStyle w:val="TableText"/>
            </w:pPr>
            <w:r>
              <w:rPr/>
              <w:t>6</w:t>
            </w:r>
          </w:p>
        </w:tc>
        <w:tc>
          <w:tcPr>
            <w:tcW w:type="dxa" w:w="4680"/>
            <w:shd w:fill="F5F7F8" w:val="clear" w:color="auto"/>
            <w:tcMar>
              <w:top w:w="70" w:type="dxa"/>
              <w:start w:w="110" w:type="dxa"/>
              <w:bottom w:w="70" w:type="dxa"/>
              <w:end w:w="110" w:type="dxa"/>
            </w:tcMar>
          </w:tcPr>
          <w:p>
            <w:pPr>
              <w:pStyle w:val="TableText"/>
            </w:pPr>
            <w:r>
              <w:rPr/>
              <w:t>690</w:t>
            </w:r>
          </w:p>
        </w:tc>
      </w:tr>
      <w:tr>
        <w:tc>
          <w:tcPr>
            <w:tcW w:type="dxa" w:w="4680"/>
            <w:tcMar>
              <w:top w:w="70" w:type="dxa"/>
              <w:start w:w="110" w:type="dxa"/>
              <w:bottom w:w="70" w:type="dxa"/>
              <w:end w:w="110" w:type="dxa"/>
            </w:tcMar>
          </w:tcPr>
          <w:p>
            <w:pPr>
              <w:pStyle w:val="TableText"/>
            </w:pPr>
            <w:r>
              <w:rPr/>
              <w:t>7</w:t>
            </w:r>
          </w:p>
        </w:tc>
        <w:tc>
          <w:tcPr>
            <w:tcW w:type="dxa" w:w="4680"/>
            <w:tcMar>
              <w:top w:w="70" w:type="dxa"/>
              <w:start w:w="110" w:type="dxa"/>
              <w:bottom w:w="70" w:type="dxa"/>
              <w:end w:w="110" w:type="dxa"/>
            </w:tcMar>
          </w:tcPr>
          <w:p>
            <w:pPr>
              <w:pStyle w:val="TableText"/>
            </w:pPr>
            <w:r>
              <w:rPr/>
              <w:t>697</w:t>
            </w:r>
          </w:p>
        </w:tc>
      </w:tr>
      <w:tr>
        <w:tc>
          <w:tcPr>
            <w:tcW w:type="dxa" w:w="4680"/>
            <w:shd w:fill="F5F7F8" w:val="clear" w:color="auto"/>
            <w:tcMar>
              <w:top w:w="70" w:type="dxa"/>
              <w:start w:w="110" w:type="dxa"/>
              <w:bottom w:w="70" w:type="dxa"/>
              <w:end w:w="110" w:type="dxa"/>
            </w:tcMar>
          </w:tcPr>
          <w:p>
            <w:pPr>
              <w:pStyle w:val="TableText"/>
            </w:pPr>
            <w:r>
              <w:rPr/>
              <w:t>8</w:t>
            </w:r>
          </w:p>
        </w:tc>
        <w:tc>
          <w:tcPr>
            <w:tcW w:type="dxa" w:w="4680"/>
            <w:shd w:fill="F5F7F8" w:val="clear" w:color="auto"/>
            <w:tcMar>
              <w:top w:w="70" w:type="dxa"/>
              <w:start w:w="110" w:type="dxa"/>
              <w:bottom w:w="70" w:type="dxa"/>
              <w:end w:w="110" w:type="dxa"/>
            </w:tcMar>
          </w:tcPr>
          <w:p>
            <w:pPr>
              <w:pStyle w:val="TableText"/>
            </w:pPr>
            <w:r>
              <w:rPr/>
              <w:t>704</w:t>
            </w:r>
          </w:p>
        </w:tc>
      </w:tr>
      <w:tr>
        <w:tc>
          <w:tcPr>
            <w:tcW w:type="dxa" w:w="4680"/>
            <w:tcMar>
              <w:top w:w="70" w:type="dxa"/>
              <w:start w:w="110" w:type="dxa"/>
              <w:bottom w:w="70" w:type="dxa"/>
              <w:end w:w="110" w:type="dxa"/>
            </w:tcMar>
          </w:tcPr>
          <w:p>
            <w:pPr>
              <w:pStyle w:val="TableText"/>
            </w:pPr>
            <w:r>
              <w:rPr/>
              <w:t>9</w:t>
            </w:r>
          </w:p>
        </w:tc>
        <w:tc>
          <w:tcPr>
            <w:tcW w:type="dxa" w:w="4680"/>
            <w:tcMar>
              <w:top w:w="70" w:type="dxa"/>
              <w:start w:w="110" w:type="dxa"/>
              <w:bottom w:w="70" w:type="dxa"/>
              <w:end w:w="110" w:type="dxa"/>
            </w:tcMar>
          </w:tcPr>
          <w:p>
            <w:pPr>
              <w:pStyle w:val="TableText"/>
            </w:pPr>
            <w:r>
              <w:rPr/>
              <w:t>711</w:t>
            </w:r>
          </w:p>
        </w:tc>
      </w:tr>
      <w:tr>
        <w:tc>
          <w:tcPr>
            <w:tcW w:type="dxa" w:w="4680"/>
            <w:shd w:fill="F5F7F8" w:val="clear" w:color="auto"/>
            <w:tcMar>
              <w:top w:w="70" w:type="dxa"/>
              <w:start w:w="110" w:type="dxa"/>
              <w:bottom w:w="70" w:type="dxa"/>
              <w:end w:w="110" w:type="dxa"/>
            </w:tcMar>
          </w:tcPr>
          <w:p>
            <w:pPr>
              <w:pStyle w:val="TableText"/>
            </w:pPr>
            <w:r>
              <w:rPr/>
              <w:t>10</w:t>
            </w:r>
          </w:p>
        </w:tc>
        <w:tc>
          <w:tcPr>
            <w:tcW w:type="dxa" w:w="4680"/>
            <w:shd w:fill="F5F7F8" w:val="clear" w:color="auto"/>
            <w:tcMar>
              <w:top w:w="70" w:type="dxa"/>
              <w:start w:w="110" w:type="dxa"/>
              <w:bottom w:w="70" w:type="dxa"/>
              <w:end w:w="110" w:type="dxa"/>
            </w:tcMar>
          </w:tcPr>
          <w:p>
            <w:pPr>
              <w:pStyle w:val="TableText"/>
            </w:pPr>
            <w:r>
              <w:rPr/>
              <w:t>718</w:t>
            </w:r>
          </w:p>
        </w:tc>
      </w:tr>
      <w:tr>
        <w:tc>
          <w:tcPr>
            <w:tcW w:type="dxa" w:w="4680"/>
            <w:tcMar>
              <w:top w:w="70" w:type="dxa"/>
              <w:start w:w="110" w:type="dxa"/>
              <w:bottom w:w="70" w:type="dxa"/>
              <w:end w:w="110" w:type="dxa"/>
            </w:tcMar>
          </w:tcPr>
          <w:p>
            <w:pPr>
              <w:pStyle w:val="TableText"/>
            </w:pPr>
            <w:r>
              <w:rPr/>
              <w:t>11</w:t>
            </w:r>
          </w:p>
        </w:tc>
        <w:tc>
          <w:tcPr>
            <w:tcW w:type="dxa" w:w="4680"/>
            <w:tcMar>
              <w:top w:w="70" w:type="dxa"/>
              <w:start w:w="110" w:type="dxa"/>
              <w:bottom w:w="70" w:type="dxa"/>
              <w:end w:w="110" w:type="dxa"/>
            </w:tcMar>
          </w:tcPr>
          <w:p>
            <w:pPr>
              <w:pStyle w:val="TableText"/>
            </w:pPr>
            <w:r>
              <w:rPr/>
              <w:t>725</w:t>
            </w:r>
          </w:p>
        </w:tc>
      </w:tr>
      <w:tr>
        <w:tc>
          <w:tcPr>
            <w:tcW w:type="dxa" w:w="4680"/>
            <w:shd w:fill="F5F7F8" w:val="clear" w:color="auto"/>
            <w:tcMar>
              <w:top w:w="70" w:type="dxa"/>
              <w:start w:w="110" w:type="dxa"/>
              <w:bottom w:w="70" w:type="dxa"/>
              <w:end w:w="110" w:type="dxa"/>
            </w:tcMar>
          </w:tcPr>
          <w:p>
            <w:pPr>
              <w:pStyle w:val="TableText"/>
            </w:pPr>
            <w:r>
              <w:rPr/>
              <w:t>12</w:t>
            </w:r>
          </w:p>
        </w:tc>
        <w:tc>
          <w:tcPr>
            <w:tcW w:type="dxa" w:w="4680"/>
            <w:shd w:fill="F5F7F8" w:val="clear" w:color="auto"/>
            <w:tcMar>
              <w:top w:w="70" w:type="dxa"/>
              <w:start w:w="110" w:type="dxa"/>
              <w:bottom w:w="70" w:type="dxa"/>
              <w:end w:w="110" w:type="dxa"/>
            </w:tcMar>
          </w:tcPr>
          <w:p>
            <w:pPr>
              <w:pStyle w:val="TableText"/>
            </w:pPr>
            <w:r>
              <w:rPr/>
              <w:t>732</w:t>
            </w:r>
          </w:p>
        </w:tc>
      </w:tr>
      <w:tr>
        <w:tc>
          <w:tcPr>
            <w:tcW w:type="dxa" w:w="4680"/>
            <w:tcMar>
              <w:top w:w="70" w:type="dxa"/>
              <w:start w:w="110" w:type="dxa"/>
              <w:bottom w:w="70" w:type="dxa"/>
              <w:end w:w="110" w:type="dxa"/>
            </w:tcMar>
          </w:tcPr>
          <w:p>
            <w:pPr>
              <w:pStyle w:val="TableText"/>
            </w:pPr>
            <w:r>
              <w:rPr/>
              <w:t>13</w:t>
            </w:r>
          </w:p>
        </w:tc>
        <w:tc>
          <w:tcPr>
            <w:tcW w:type="dxa" w:w="4680"/>
            <w:tcMar>
              <w:top w:w="70" w:type="dxa"/>
              <w:start w:w="110" w:type="dxa"/>
              <w:bottom w:w="70" w:type="dxa"/>
              <w:end w:w="110" w:type="dxa"/>
            </w:tcMar>
          </w:tcPr>
          <w:p>
            <w:pPr>
              <w:pStyle w:val="TableText"/>
            </w:pPr>
            <w:r>
              <w:rPr/>
              <w:t>740</w:t>
            </w:r>
          </w:p>
        </w:tc>
      </w:tr>
      <w:tr>
        <w:tc>
          <w:tcPr>
            <w:tcW w:type="dxa" w:w="4680"/>
            <w:shd w:fill="F5F7F8" w:val="clear" w:color="auto"/>
            <w:tcMar>
              <w:top w:w="70" w:type="dxa"/>
              <w:start w:w="110" w:type="dxa"/>
              <w:bottom w:w="70" w:type="dxa"/>
              <w:end w:w="110" w:type="dxa"/>
            </w:tcMar>
          </w:tcPr>
          <w:p>
            <w:pPr>
              <w:pStyle w:val="TableText"/>
            </w:pPr>
            <w:r>
              <w:rPr/>
              <w:t>14</w:t>
            </w:r>
          </w:p>
        </w:tc>
        <w:tc>
          <w:tcPr>
            <w:tcW w:type="dxa" w:w="4680"/>
            <w:shd w:fill="F5F7F8" w:val="clear" w:color="auto"/>
            <w:tcMar>
              <w:top w:w="70" w:type="dxa"/>
              <w:start w:w="110" w:type="dxa"/>
              <w:bottom w:w="70" w:type="dxa"/>
              <w:end w:w="110" w:type="dxa"/>
            </w:tcMar>
          </w:tcPr>
          <w:p>
            <w:pPr>
              <w:pStyle w:val="TableText"/>
            </w:pPr>
            <w:r>
              <w:rPr/>
              <w:t>747</w:t>
            </w:r>
          </w:p>
        </w:tc>
      </w:tr>
      <w:tr>
        <w:tc>
          <w:tcPr>
            <w:tcW w:type="dxa" w:w="4680"/>
            <w:tcMar>
              <w:top w:w="70" w:type="dxa"/>
              <w:start w:w="110" w:type="dxa"/>
              <w:bottom w:w="70" w:type="dxa"/>
              <w:end w:w="110" w:type="dxa"/>
            </w:tcMar>
          </w:tcPr>
          <w:p>
            <w:pPr>
              <w:pStyle w:val="TableText"/>
            </w:pPr>
            <w:r>
              <w:rPr/>
              <w:t>15</w:t>
            </w:r>
          </w:p>
        </w:tc>
        <w:tc>
          <w:tcPr>
            <w:tcW w:type="dxa" w:w="4680"/>
            <w:tcMar>
              <w:top w:w="70" w:type="dxa"/>
              <w:start w:w="110" w:type="dxa"/>
              <w:bottom w:w="70" w:type="dxa"/>
              <w:end w:w="110" w:type="dxa"/>
            </w:tcMar>
          </w:tcPr>
          <w:p>
            <w:pPr>
              <w:pStyle w:val="TableText"/>
            </w:pPr>
            <w:r>
              <w:rPr/>
              <w:t>755</w:t>
            </w:r>
          </w:p>
        </w:tc>
      </w:tr>
      <w:tr>
        <w:tc>
          <w:tcPr>
            <w:tcW w:type="dxa" w:w="4680"/>
            <w:shd w:fill="F5F7F8" w:val="clear" w:color="auto"/>
            <w:tcMar>
              <w:top w:w="70" w:type="dxa"/>
              <w:start w:w="110" w:type="dxa"/>
              <w:bottom w:w="70" w:type="dxa"/>
              <w:end w:w="110" w:type="dxa"/>
            </w:tcMar>
          </w:tcPr>
          <w:p>
            <w:pPr>
              <w:pStyle w:val="TableText"/>
            </w:pPr>
            <w:r>
              <w:rPr/>
              <w:t>16</w:t>
            </w:r>
          </w:p>
        </w:tc>
        <w:tc>
          <w:tcPr>
            <w:tcW w:type="dxa" w:w="4680"/>
            <w:shd w:fill="F5F7F8" w:val="clear" w:color="auto"/>
            <w:tcMar>
              <w:top w:w="70" w:type="dxa"/>
              <w:start w:w="110" w:type="dxa"/>
              <w:bottom w:w="70" w:type="dxa"/>
              <w:end w:w="110" w:type="dxa"/>
            </w:tcMar>
          </w:tcPr>
          <w:p>
            <w:pPr>
              <w:pStyle w:val="TableText"/>
            </w:pPr>
            <w:r>
              <w:rPr/>
              <w:t>762</w:t>
            </w:r>
          </w:p>
        </w:tc>
      </w:tr>
      <w:tr>
        <w:tc>
          <w:tcPr>
            <w:tcW w:type="dxa" w:w="4680"/>
            <w:tcMar>
              <w:top w:w="70" w:type="dxa"/>
              <w:start w:w="110" w:type="dxa"/>
              <w:bottom w:w="70" w:type="dxa"/>
              <w:end w:w="110" w:type="dxa"/>
            </w:tcMar>
          </w:tcPr>
          <w:p>
            <w:pPr>
              <w:pStyle w:val="TableText"/>
            </w:pPr>
            <w:r>
              <w:rPr/>
              <w:t>17</w:t>
            </w:r>
          </w:p>
        </w:tc>
        <w:tc>
          <w:tcPr>
            <w:tcW w:type="dxa" w:w="4680"/>
            <w:tcMar>
              <w:top w:w="70" w:type="dxa"/>
              <w:start w:w="110" w:type="dxa"/>
              <w:bottom w:w="70" w:type="dxa"/>
              <w:end w:w="110" w:type="dxa"/>
            </w:tcMar>
          </w:tcPr>
          <w:p>
            <w:pPr>
              <w:pStyle w:val="TableText"/>
            </w:pPr>
            <w:r>
              <w:rPr/>
              <w:t>770</w:t>
            </w:r>
          </w:p>
        </w:tc>
      </w:tr>
      <w:tr>
        <w:tc>
          <w:tcPr>
            <w:tcW w:type="dxa" w:w="4680"/>
            <w:shd w:fill="F5F7F8" w:val="clear" w:color="auto"/>
            <w:tcMar>
              <w:top w:w="70" w:type="dxa"/>
              <w:start w:w="110" w:type="dxa"/>
              <w:bottom w:w="70" w:type="dxa"/>
              <w:end w:w="110" w:type="dxa"/>
            </w:tcMar>
          </w:tcPr>
          <w:p>
            <w:pPr>
              <w:pStyle w:val="TableText"/>
            </w:pPr>
            <w:r>
              <w:rPr/>
              <w:t>18</w:t>
            </w:r>
          </w:p>
        </w:tc>
        <w:tc>
          <w:tcPr>
            <w:tcW w:type="dxa" w:w="4680"/>
            <w:shd w:fill="F5F7F8" w:val="clear" w:color="auto"/>
            <w:tcMar>
              <w:top w:w="70" w:type="dxa"/>
              <w:start w:w="110" w:type="dxa"/>
              <w:bottom w:w="70" w:type="dxa"/>
              <w:end w:w="110" w:type="dxa"/>
            </w:tcMar>
          </w:tcPr>
          <w:p>
            <w:pPr>
              <w:pStyle w:val="TableText"/>
            </w:pPr>
            <w:r>
              <w:rPr/>
              <w:t>778</w:t>
            </w:r>
          </w:p>
        </w:tc>
      </w:tr>
      <w:tr>
        <w:tc>
          <w:tcPr>
            <w:tcW w:type="dxa" w:w="4680"/>
            <w:tcMar>
              <w:top w:w="70" w:type="dxa"/>
              <w:start w:w="110" w:type="dxa"/>
              <w:bottom w:w="70" w:type="dxa"/>
              <w:end w:w="110" w:type="dxa"/>
            </w:tcMar>
          </w:tcPr>
          <w:p>
            <w:pPr>
              <w:pStyle w:val="TableText"/>
            </w:pPr>
            <w:r>
              <w:rPr/>
              <w:t>19</w:t>
            </w:r>
          </w:p>
        </w:tc>
        <w:tc>
          <w:tcPr>
            <w:tcW w:type="dxa" w:w="4680"/>
            <w:tcMar>
              <w:top w:w="70" w:type="dxa"/>
              <w:start w:w="110" w:type="dxa"/>
              <w:bottom w:w="70" w:type="dxa"/>
              <w:end w:w="110" w:type="dxa"/>
            </w:tcMar>
          </w:tcPr>
          <w:p>
            <w:pPr>
              <w:pStyle w:val="TableText"/>
            </w:pPr>
            <w:r>
              <w:rPr/>
              <w:t>785</w:t>
            </w:r>
          </w:p>
        </w:tc>
      </w:tr>
    </w:tbl>
    <w:p>
      <w:pPr>
        <w:pStyle w:val="Normal"/>
      </w:pPr>
      <w:r>
        <w:t>Starting in quota year 19, the quantity shall remain at 785 MT per year.</w:t>
      </w:r>
    </w:p>
    <w:p>
      <w:pPr>
        <w:pStyle w:val="Normal"/>
      </w:pPr>
      <w:r>
        <w:t>(b) This paragraph applies to goods classified in the following tariff items: 0402.21.11 and 0402.29.11. (c) This TRQ shall be allocated on a dairy year basis, meaning from August 1 to July 31. 12.</w:t>
      </w:r>
    </w:p>
    <w:p>
      <w:pPr>
        <w:pStyle w:val="Normal"/>
      </w:pPr>
      <w:r>
        <w:t>TRQ-CA8: Concentrated or condensed milk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1,150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1,380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1,394</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1,408</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1,422</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1,436</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1,450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1,465</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1,480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1,494</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1,509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1,524</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1,540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1,555</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1,571</w:t>
            </w:r>
          </w:p>
        </w:tc>
      </w:tr>
    </w:tbl>
    <w:p>
      <w:pPr>
        <w:pStyle w:val="Normal"/>
      </w:pPr>
      <w:r>
        <w:t>Starting in quota year 19, the quantity shall remain at 1,571 MT per year. (b) This paragraph applies to goods classified in the following tariff items: 0402.91.10 and 0402.99.10. (c) This TRQ shall be allocated on a calendar year basis. 13. TRQ-CA9: Yogurt and Buttermilk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1,378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2,068</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2,757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3,446</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4,135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4,176</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4,218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4,260</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4,303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4,346</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4,389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4,433</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4,478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4,522</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4,568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4,613</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4,659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18</w:t>
            </w:r>
          </w:p>
        </w:tc>
        <w:tc>
          <w:tcPr>
            <w:tcW w:type="dxa" w:w="3600"/>
            <w:shd w:fill="F5F7F8" w:val="clear" w:color="auto"/>
            <w:tcMar>
              <w:top w:w="70" w:type="dxa"/>
              <w:start w:w="110" w:type="dxa"/>
              <w:bottom w:w="70" w:type="dxa"/>
              <w:end w:w="110" w:type="dxa"/>
            </w:tcMar>
            <w:vAlign w:val="center"/>
          </w:tcPr>
          <w:p>
            <w:pPr>
              <w:pStyle w:val="TableText"/>
            </w:pPr>
            <w:r>
              <w:rPr/>
              <w:t>4,706</w:t>
            </w:r>
          </w:p>
        </w:tc>
      </w:tr>
    </w:tbl>
    <w:p>
      <w:pPr>
        <w:pStyle w:val="Normal"/>
      </w:pPr>
      <w:r>
        <w:t>Starting in quota year 19, the quantity shall remain at 4,706 MT per year. (b) This paragraph applies to goods classified in the following tariff items: 0403.10.10 and 0403.90.91 (c) This TRQ shall be allocated on a calendar year basis. 14.</w:t>
      </w:r>
    </w:p>
    <w:p>
      <w:pPr>
        <w:pStyle w:val="Normal"/>
      </w:pPr>
      <w:r>
        <w:t>TRQ-CA10: Powdered Buttermilk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Quota Year</w:t>
            </w:r>
          </w:p>
        </w:tc>
        <w:tc>
          <w:tcPr>
            <w:tcW w:type="dxa" w:w="4680"/>
            <w:tcBorders>
              <w:bottom w:val="single" w:sz="6" w:space="0" w:color="546E7A"/>
            </w:tcBorders>
            <w:shd w:fill="E4E9EC" w:val="clear" w:color="auto"/>
          </w:tcPr>
          <w:p>
            <w:pPr>
              <w:pStyle w:val="TableText"/>
            </w:pPr>
            <w:r>
              <w:rPr>
                <w:b/>
                <w:color w:val="37474F"/>
              </w:rPr>
              <w:t>Aggregate Quantity (MT)</w:t>
            </w:r>
          </w:p>
        </w:tc>
      </w:tr>
      <w:tr>
        <w:tc>
          <w:tcPr>
            <w:tcW w:type="dxa" w:w="4680"/>
            <w:tcMar>
              <w:top w:w="70" w:type="dxa"/>
              <w:start w:w="110" w:type="dxa"/>
              <w:bottom w:w="70" w:type="dxa"/>
              <w:end w:w="110" w:type="dxa"/>
            </w:tcMar>
          </w:tcPr>
          <w:p>
            <w:pPr>
              <w:pStyle w:val="TableText"/>
            </w:pPr>
            <w:r>
              <w:rPr/>
              <w:t>1</w:t>
            </w:r>
          </w:p>
        </w:tc>
        <w:tc>
          <w:tcPr>
            <w:tcW w:type="dxa" w:w="4680"/>
            <w:tcMar>
              <w:top w:w="70" w:type="dxa"/>
              <w:start w:w="110" w:type="dxa"/>
              <w:bottom w:w="70" w:type="dxa"/>
              <w:end w:w="110" w:type="dxa"/>
            </w:tcMar>
          </w:tcPr>
          <w:p>
            <w:pPr>
              <w:pStyle w:val="TableText"/>
            </w:pPr>
            <w:r>
              <w:rPr/>
              <w:t>87</w:t>
            </w:r>
          </w:p>
        </w:tc>
      </w:tr>
      <w:tr>
        <w:tc>
          <w:tcPr>
            <w:tcW w:type="dxa" w:w="4680"/>
            <w:shd w:fill="F5F7F8" w:val="clear" w:color="auto"/>
            <w:tcMar>
              <w:top w:w="70" w:type="dxa"/>
              <w:start w:w="110" w:type="dxa"/>
              <w:bottom w:w="70" w:type="dxa"/>
              <w:end w:w="110" w:type="dxa"/>
            </w:tcMar>
          </w:tcPr>
          <w:p>
            <w:pPr>
              <w:pStyle w:val="TableText"/>
            </w:pPr>
            <w:r>
              <w:rPr/>
              <w:t>2</w:t>
            </w:r>
          </w:p>
        </w:tc>
        <w:tc>
          <w:tcPr>
            <w:tcW w:type="dxa" w:w="4680"/>
            <w:shd w:fill="F5F7F8" w:val="clear" w:color="auto"/>
            <w:tcMar>
              <w:top w:w="70" w:type="dxa"/>
              <w:start w:w="110" w:type="dxa"/>
              <w:bottom w:w="70" w:type="dxa"/>
              <w:end w:w="110" w:type="dxa"/>
            </w:tcMar>
          </w:tcPr>
          <w:p>
            <w:pPr>
              <w:pStyle w:val="TableText"/>
            </w:pPr>
            <w:r>
              <w:rPr/>
              <w:t>173</w:t>
            </w:r>
          </w:p>
        </w:tc>
      </w:tr>
      <w:tr>
        <w:tc>
          <w:tcPr>
            <w:tcW w:type="dxa" w:w="4680"/>
            <w:tcMar>
              <w:top w:w="70" w:type="dxa"/>
              <w:start w:w="110" w:type="dxa"/>
              <w:bottom w:w="70" w:type="dxa"/>
              <w:end w:w="110" w:type="dxa"/>
            </w:tcMar>
          </w:tcPr>
          <w:p>
            <w:pPr>
              <w:pStyle w:val="TableText"/>
            </w:pPr>
            <w:r>
              <w:rPr/>
              <w:t>3</w:t>
            </w:r>
          </w:p>
        </w:tc>
        <w:tc>
          <w:tcPr>
            <w:tcW w:type="dxa" w:w="4680"/>
            <w:tcMar>
              <w:top w:w="70" w:type="dxa"/>
              <w:start w:w="110" w:type="dxa"/>
              <w:bottom w:w="70" w:type="dxa"/>
              <w:end w:w="110" w:type="dxa"/>
            </w:tcMar>
          </w:tcPr>
          <w:p>
            <w:pPr>
              <w:pStyle w:val="TableText"/>
            </w:pPr>
            <w:r>
              <w:rPr/>
              <w:t>260</w:t>
            </w:r>
          </w:p>
        </w:tc>
      </w:tr>
      <w:tr>
        <w:tc>
          <w:tcPr>
            <w:tcW w:type="dxa" w:w="4680"/>
            <w:shd w:fill="F5F7F8" w:val="clear" w:color="auto"/>
            <w:tcMar>
              <w:top w:w="70" w:type="dxa"/>
              <w:start w:w="110" w:type="dxa"/>
              <w:bottom w:w="70" w:type="dxa"/>
              <w:end w:w="110" w:type="dxa"/>
            </w:tcMar>
          </w:tcPr>
          <w:p>
            <w:pPr>
              <w:pStyle w:val="TableText"/>
            </w:pPr>
            <w:r>
              <w:rPr/>
              <w:t>4</w:t>
            </w:r>
          </w:p>
        </w:tc>
        <w:tc>
          <w:tcPr>
            <w:tcW w:type="dxa" w:w="4680"/>
            <w:shd w:fill="F5F7F8" w:val="clear" w:color="auto"/>
            <w:tcMar>
              <w:top w:w="70" w:type="dxa"/>
              <w:start w:w="110" w:type="dxa"/>
              <w:bottom w:w="70" w:type="dxa"/>
              <w:end w:w="110" w:type="dxa"/>
            </w:tcMar>
          </w:tcPr>
          <w:p>
            <w:pPr>
              <w:pStyle w:val="TableText"/>
            </w:pPr>
            <w:r>
              <w:rPr/>
              <w:t>347</w:t>
            </w:r>
          </w:p>
        </w:tc>
      </w:tr>
      <w:tr>
        <w:tc>
          <w:tcPr>
            <w:tcW w:type="dxa" w:w="4680"/>
            <w:tcMar>
              <w:top w:w="70" w:type="dxa"/>
              <w:start w:w="110" w:type="dxa"/>
              <w:bottom w:w="70" w:type="dxa"/>
              <w:end w:w="110" w:type="dxa"/>
            </w:tcMar>
          </w:tcPr>
          <w:p>
            <w:pPr>
              <w:pStyle w:val="TableText"/>
            </w:pPr>
            <w:r>
              <w:rPr/>
              <w:t>5</w:t>
            </w:r>
          </w:p>
        </w:tc>
        <w:tc>
          <w:tcPr>
            <w:tcW w:type="dxa" w:w="4680"/>
            <w:tcMar>
              <w:top w:w="70" w:type="dxa"/>
              <w:start w:w="110" w:type="dxa"/>
              <w:bottom w:w="70" w:type="dxa"/>
              <w:end w:w="110" w:type="dxa"/>
            </w:tcMar>
          </w:tcPr>
          <w:p>
            <w:pPr>
              <w:pStyle w:val="TableText"/>
            </w:pPr>
            <w:r>
              <w:rPr/>
              <w:t>433</w:t>
            </w:r>
          </w:p>
        </w:tc>
      </w:tr>
      <w:tr>
        <w:tc>
          <w:tcPr>
            <w:tcW w:type="dxa" w:w="4680"/>
            <w:shd w:fill="F5F7F8" w:val="clear" w:color="auto"/>
            <w:tcMar>
              <w:top w:w="70" w:type="dxa"/>
              <w:start w:w="110" w:type="dxa"/>
              <w:bottom w:w="70" w:type="dxa"/>
              <w:end w:w="110" w:type="dxa"/>
            </w:tcMar>
          </w:tcPr>
          <w:p>
            <w:pPr>
              <w:pStyle w:val="TableText"/>
            </w:pPr>
            <w:r>
              <w:rPr/>
              <w:t>6</w:t>
            </w:r>
          </w:p>
        </w:tc>
        <w:tc>
          <w:tcPr>
            <w:tcW w:type="dxa" w:w="4680"/>
            <w:shd w:fill="F5F7F8" w:val="clear" w:color="auto"/>
            <w:tcMar>
              <w:top w:w="70" w:type="dxa"/>
              <w:start w:w="110" w:type="dxa"/>
              <w:bottom w:w="70" w:type="dxa"/>
              <w:end w:w="110" w:type="dxa"/>
            </w:tcMar>
          </w:tcPr>
          <w:p>
            <w:pPr>
              <w:pStyle w:val="TableText"/>
            </w:pPr>
            <w:r>
              <w:rPr/>
              <w:t>520</w:t>
            </w:r>
          </w:p>
        </w:tc>
      </w:tr>
      <w:tr>
        <w:tc>
          <w:tcPr>
            <w:tcW w:type="dxa" w:w="4680"/>
            <w:tcMar>
              <w:top w:w="70" w:type="dxa"/>
              <w:start w:w="110" w:type="dxa"/>
              <w:bottom w:w="70" w:type="dxa"/>
              <w:end w:w="110" w:type="dxa"/>
            </w:tcMar>
          </w:tcPr>
          <w:p>
            <w:pPr>
              <w:pStyle w:val="TableText"/>
            </w:pPr>
            <w:r>
              <w:rPr/>
              <w:t>7</w:t>
            </w:r>
          </w:p>
        </w:tc>
        <w:tc>
          <w:tcPr>
            <w:tcW w:type="dxa" w:w="4680"/>
            <w:tcMar>
              <w:top w:w="70" w:type="dxa"/>
              <w:start w:w="110" w:type="dxa"/>
              <w:bottom w:w="70" w:type="dxa"/>
              <w:end w:w="110" w:type="dxa"/>
            </w:tcMar>
          </w:tcPr>
          <w:p>
            <w:pPr>
              <w:pStyle w:val="TableText"/>
            </w:pPr>
            <w:r>
              <w:rPr/>
              <w:t>525</w:t>
            </w:r>
          </w:p>
        </w:tc>
      </w:tr>
      <w:tr>
        <w:tc>
          <w:tcPr>
            <w:tcW w:type="dxa" w:w="4680"/>
            <w:shd w:fill="F5F7F8" w:val="clear" w:color="auto"/>
            <w:tcMar>
              <w:top w:w="70" w:type="dxa"/>
              <w:start w:w="110" w:type="dxa"/>
              <w:bottom w:w="70" w:type="dxa"/>
              <w:end w:w="110" w:type="dxa"/>
            </w:tcMar>
          </w:tcPr>
          <w:p>
            <w:pPr>
              <w:pStyle w:val="TableText"/>
            </w:pPr>
            <w:r>
              <w:rPr/>
              <w:t>8</w:t>
            </w:r>
          </w:p>
        </w:tc>
        <w:tc>
          <w:tcPr>
            <w:tcW w:type="dxa" w:w="4680"/>
            <w:shd w:fill="F5F7F8" w:val="clear" w:color="auto"/>
            <w:tcMar>
              <w:top w:w="70" w:type="dxa"/>
              <w:start w:w="110" w:type="dxa"/>
              <w:bottom w:w="70" w:type="dxa"/>
              <w:end w:w="110" w:type="dxa"/>
            </w:tcMar>
          </w:tcPr>
          <w:p>
            <w:pPr>
              <w:pStyle w:val="TableText"/>
            </w:pPr>
            <w:r>
              <w:rPr/>
              <w:t>530</w:t>
            </w:r>
          </w:p>
        </w:tc>
      </w:tr>
      <w:tr>
        <w:tc>
          <w:tcPr>
            <w:tcW w:type="dxa" w:w="4680"/>
            <w:tcMar>
              <w:top w:w="70" w:type="dxa"/>
              <w:start w:w="110" w:type="dxa"/>
              <w:bottom w:w="70" w:type="dxa"/>
              <w:end w:w="110" w:type="dxa"/>
            </w:tcMar>
          </w:tcPr>
          <w:p>
            <w:pPr>
              <w:pStyle w:val="TableText"/>
            </w:pPr>
            <w:r>
              <w:rPr/>
              <w:t>9</w:t>
            </w:r>
          </w:p>
        </w:tc>
        <w:tc>
          <w:tcPr>
            <w:tcW w:type="dxa" w:w="4680"/>
            <w:tcMar>
              <w:top w:w="70" w:type="dxa"/>
              <w:start w:w="110" w:type="dxa"/>
              <w:bottom w:w="70" w:type="dxa"/>
              <w:end w:w="110" w:type="dxa"/>
            </w:tcMar>
          </w:tcPr>
          <w:p>
            <w:pPr>
              <w:pStyle w:val="TableText"/>
            </w:pPr>
            <w:r>
              <w:rPr/>
              <w:t>536</w:t>
            </w:r>
          </w:p>
        </w:tc>
      </w:tr>
      <w:tr>
        <w:tc>
          <w:tcPr>
            <w:tcW w:type="dxa" w:w="4680"/>
            <w:shd w:fill="F5F7F8" w:val="clear" w:color="auto"/>
            <w:tcMar>
              <w:top w:w="70" w:type="dxa"/>
              <w:start w:w="110" w:type="dxa"/>
              <w:bottom w:w="70" w:type="dxa"/>
              <w:end w:w="110" w:type="dxa"/>
            </w:tcMar>
          </w:tcPr>
          <w:p>
            <w:pPr>
              <w:pStyle w:val="TableText"/>
            </w:pPr>
            <w:r>
              <w:rPr/>
              <w:t>10</w:t>
            </w:r>
          </w:p>
        </w:tc>
        <w:tc>
          <w:tcPr>
            <w:tcW w:type="dxa" w:w="4680"/>
            <w:shd w:fill="F5F7F8" w:val="clear" w:color="auto"/>
            <w:tcMar>
              <w:top w:w="70" w:type="dxa"/>
              <w:start w:w="110" w:type="dxa"/>
              <w:bottom w:w="70" w:type="dxa"/>
              <w:end w:w="110" w:type="dxa"/>
            </w:tcMar>
          </w:tcPr>
          <w:p>
            <w:pPr>
              <w:pStyle w:val="TableText"/>
            </w:pPr>
            <w:r>
              <w:rPr/>
              <w:t>541</w:t>
            </w:r>
          </w:p>
        </w:tc>
      </w:tr>
      <w:tr>
        <w:tc>
          <w:tcPr>
            <w:tcW w:type="dxa" w:w="4680"/>
            <w:tcMar>
              <w:top w:w="70" w:type="dxa"/>
              <w:start w:w="110" w:type="dxa"/>
              <w:bottom w:w="70" w:type="dxa"/>
              <w:end w:w="110" w:type="dxa"/>
            </w:tcMar>
          </w:tcPr>
          <w:p>
            <w:pPr>
              <w:pStyle w:val="TableText"/>
            </w:pPr>
            <w:r>
              <w:rPr/>
              <w:t>11</w:t>
            </w:r>
          </w:p>
        </w:tc>
        <w:tc>
          <w:tcPr>
            <w:tcW w:type="dxa" w:w="4680"/>
            <w:tcMar>
              <w:top w:w="70" w:type="dxa"/>
              <w:start w:w="110" w:type="dxa"/>
              <w:bottom w:w="70" w:type="dxa"/>
              <w:end w:w="110" w:type="dxa"/>
            </w:tcMar>
          </w:tcPr>
          <w:p>
            <w:pPr>
              <w:pStyle w:val="TableText"/>
            </w:pPr>
            <w:r>
              <w:rPr/>
              <w:t>547</w:t>
            </w:r>
          </w:p>
        </w:tc>
      </w:tr>
      <w:tr>
        <w:tc>
          <w:tcPr>
            <w:tcW w:type="dxa" w:w="4680"/>
            <w:shd w:fill="F5F7F8" w:val="clear" w:color="auto"/>
            <w:tcMar>
              <w:top w:w="70" w:type="dxa"/>
              <w:start w:w="110" w:type="dxa"/>
              <w:bottom w:w="70" w:type="dxa"/>
              <w:end w:w="110" w:type="dxa"/>
            </w:tcMar>
          </w:tcPr>
          <w:p>
            <w:pPr>
              <w:pStyle w:val="TableText"/>
            </w:pPr>
            <w:r>
              <w:rPr/>
              <w:t>12</w:t>
            </w:r>
          </w:p>
        </w:tc>
        <w:tc>
          <w:tcPr>
            <w:tcW w:type="dxa" w:w="4680"/>
            <w:shd w:fill="F5F7F8" w:val="clear" w:color="auto"/>
            <w:tcMar>
              <w:top w:w="70" w:type="dxa"/>
              <w:start w:w="110" w:type="dxa"/>
              <w:bottom w:w="70" w:type="dxa"/>
              <w:end w:w="110" w:type="dxa"/>
            </w:tcMar>
          </w:tcPr>
          <w:p>
            <w:pPr>
              <w:pStyle w:val="TableText"/>
            </w:pPr>
            <w:r>
              <w:rPr/>
              <w:t>552</w:t>
            </w:r>
          </w:p>
        </w:tc>
      </w:tr>
      <w:tr>
        <w:tc>
          <w:tcPr>
            <w:tcW w:type="dxa" w:w="4680"/>
            <w:tcMar>
              <w:top w:w="70" w:type="dxa"/>
              <w:start w:w="110" w:type="dxa"/>
              <w:bottom w:w="70" w:type="dxa"/>
              <w:end w:w="110" w:type="dxa"/>
            </w:tcMar>
          </w:tcPr>
          <w:p>
            <w:pPr>
              <w:pStyle w:val="TableText"/>
            </w:pPr>
            <w:r>
              <w:rPr/>
              <w:t>13</w:t>
            </w:r>
          </w:p>
        </w:tc>
        <w:tc>
          <w:tcPr>
            <w:tcW w:type="dxa" w:w="4680"/>
            <w:tcMar>
              <w:top w:w="70" w:type="dxa"/>
              <w:start w:w="110" w:type="dxa"/>
              <w:bottom w:w="70" w:type="dxa"/>
              <w:end w:w="110" w:type="dxa"/>
            </w:tcMar>
          </w:tcPr>
          <w:p>
            <w:pPr>
              <w:pStyle w:val="TableText"/>
            </w:pPr>
            <w:r>
              <w:rPr/>
              <w:t>558</w:t>
            </w:r>
          </w:p>
        </w:tc>
      </w:tr>
      <w:tr>
        <w:tc>
          <w:tcPr>
            <w:tcW w:type="dxa" w:w="4680"/>
            <w:shd w:fill="F5F7F8" w:val="clear" w:color="auto"/>
            <w:tcMar>
              <w:top w:w="70" w:type="dxa"/>
              <w:start w:w="110" w:type="dxa"/>
              <w:bottom w:w="70" w:type="dxa"/>
              <w:end w:w="110" w:type="dxa"/>
            </w:tcMar>
          </w:tcPr>
          <w:p>
            <w:pPr>
              <w:pStyle w:val="TableText"/>
            </w:pPr>
            <w:r>
              <w:rPr/>
              <w:t>14</w:t>
            </w:r>
          </w:p>
        </w:tc>
        <w:tc>
          <w:tcPr>
            <w:tcW w:type="dxa" w:w="4680"/>
            <w:shd w:fill="F5F7F8" w:val="clear" w:color="auto"/>
            <w:tcMar>
              <w:top w:w="70" w:type="dxa"/>
              <w:start w:w="110" w:type="dxa"/>
              <w:bottom w:w="70" w:type="dxa"/>
              <w:end w:w="110" w:type="dxa"/>
            </w:tcMar>
          </w:tcPr>
          <w:p>
            <w:pPr>
              <w:pStyle w:val="TableText"/>
            </w:pPr>
            <w:r>
              <w:rPr/>
              <w:t>563</w:t>
            </w:r>
          </w:p>
        </w:tc>
      </w:tr>
      <w:tr>
        <w:tc>
          <w:tcPr>
            <w:tcW w:type="dxa" w:w="4680"/>
            <w:tcMar>
              <w:top w:w="70" w:type="dxa"/>
              <w:start w:w="110" w:type="dxa"/>
              <w:bottom w:w="70" w:type="dxa"/>
              <w:end w:w="110" w:type="dxa"/>
            </w:tcMar>
          </w:tcPr>
          <w:p>
            <w:pPr>
              <w:pStyle w:val="TableText"/>
            </w:pPr>
            <w:r>
              <w:rPr/>
              <w:t>15</w:t>
            </w:r>
          </w:p>
        </w:tc>
        <w:tc>
          <w:tcPr>
            <w:tcW w:type="dxa" w:w="4680"/>
            <w:tcMar>
              <w:top w:w="70" w:type="dxa"/>
              <w:start w:w="110" w:type="dxa"/>
              <w:bottom w:w="70" w:type="dxa"/>
              <w:end w:w="110" w:type="dxa"/>
            </w:tcMar>
          </w:tcPr>
          <w:p>
            <w:pPr>
              <w:pStyle w:val="TableText"/>
            </w:pPr>
            <w:r>
              <w:rPr/>
              <w:t>569</w:t>
            </w:r>
          </w:p>
        </w:tc>
      </w:tr>
      <w:tr>
        <w:tc>
          <w:tcPr>
            <w:tcW w:type="dxa" w:w="4680"/>
            <w:shd w:fill="F5F7F8" w:val="clear" w:color="auto"/>
            <w:tcMar>
              <w:top w:w="70" w:type="dxa"/>
              <w:start w:w="110" w:type="dxa"/>
              <w:bottom w:w="70" w:type="dxa"/>
              <w:end w:w="110" w:type="dxa"/>
            </w:tcMar>
          </w:tcPr>
          <w:p>
            <w:pPr>
              <w:pStyle w:val="TableText"/>
            </w:pPr>
            <w:r>
              <w:rPr/>
              <w:t>16</w:t>
            </w:r>
          </w:p>
        </w:tc>
        <w:tc>
          <w:tcPr>
            <w:tcW w:type="dxa" w:w="4680"/>
            <w:shd w:fill="F5F7F8" w:val="clear" w:color="auto"/>
            <w:tcMar>
              <w:top w:w="70" w:type="dxa"/>
              <w:start w:w="110" w:type="dxa"/>
              <w:bottom w:w="70" w:type="dxa"/>
              <w:end w:w="110" w:type="dxa"/>
            </w:tcMar>
          </w:tcPr>
          <w:p>
            <w:pPr>
              <w:pStyle w:val="TableText"/>
            </w:pPr>
            <w:r>
              <w:rPr/>
              <w:t>574</w:t>
            </w:r>
          </w:p>
        </w:tc>
      </w:tr>
      <w:tr>
        <w:tc>
          <w:tcPr>
            <w:tcW w:type="dxa" w:w="4680"/>
            <w:tcMar>
              <w:top w:w="70" w:type="dxa"/>
              <w:start w:w="110" w:type="dxa"/>
              <w:bottom w:w="70" w:type="dxa"/>
              <w:end w:w="110" w:type="dxa"/>
            </w:tcMar>
          </w:tcPr>
          <w:p>
            <w:pPr>
              <w:pStyle w:val="TableText"/>
            </w:pPr>
            <w:r>
              <w:rPr/>
              <w:t>17</w:t>
            </w:r>
          </w:p>
        </w:tc>
        <w:tc>
          <w:tcPr>
            <w:tcW w:type="dxa" w:w="4680"/>
            <w:tcMar>
              <w:top w:w="70" w:type="dxa"/>
              <w:start w:w="110" w:type="dxa"/>
              <w:bottom w:w="70" w:type="dxa"/>
              <w:end w:w="110" w:type="dxa"/>
            </w:tcMar>
          </w:tcPr>
          <w:p>
            <w:pPr>
              <w:pStyle w:val="TableText"/>
            </w:pPr>
            <w:r>
              <w:rPr/>
              <w:t>580</w:t>
            </w:r>
          </w:p>
        </w:tc>
      </w:tr>
      <w:tr>
        <w:tc>
          <w:tcPr>
            <w:tcW w:type="dxa" w:w="4680"/>
            <w:shd w:fill="F5F7F8" w:val="clear" w:color="auto"/>
            <w:tcMar>
              <w:top w:w="70" w:type="dxa"/>
              <w:start w:w="110" w:type="dxa"/>
              <w:bottom w:w="70" w:type="dxa"/>
              <w:end w:w="110" w:type="dxa"/>
            </w:tcMar>
          </w:tcPr>
          <w:p>
            <w:pPr>
              <w:pStyle w:val="TableText"/>
            </w:pPr>
            <w:r>
              <w:rPr/>
              <w:t>18</w:t>
            </w:r>
          </w:p>
        </w:tc>
        <w:tc>
          <w:tcPr>
            <w:tcW w:type="dxa" w:w="4680"/>
            <w:shd w:fill="F5F7F8" w:val="clear" w:color="auto"/>
            <w:tcMar>
              <w:top w:w="70" w:type="dxa"/>
              <w:start w:w="110" w:type="dxa"/>
              <w:bottom w:w="70" w:type="dxa"/>
              <w:end w:w="110" w:type="dxa"/>
            </w:tcMar>
          </w:tcPr>
          <w:p>
            <w:pPr>
              <w:pStyle w:val="TableText"/>
            </w:pPr>
            <w:r>
              <w:rPr/>
              <w:t>586</w:t>
            </w:r>
          </w:p>
        </w:tc>
      </w:tr>
      <w:tr>
        <w:tc>
          <w:tcPr>
            <w:tcW w:type="dxa" w:w="4680"/>
            <w:tcMar>
              <w:top w:w="70" w:type="dxa"/>
              <w:start w:w="110" w:type="dxa"/>
              <w:bottom w:w="70" w:type="dxa"/>
              <w:end w:w="110" w:type="dxa"/>
            </w:tcMar>
          </w:tcPr>
          <w:p>
            <w:pPr>
              <w:pStyle w:val="TableText"/>
            </w:pPr>
            <w:r>
              <w:rPr/>
              <w:t>19</w:t>
            </w:r>
          </w:p>
        </w:tc>
        <w:tc>
          <w:tcPr>
            <w:tcW w:type="dxa" w:w="4680"/>
            <w:tcMar>
              <w:top w:w="70" w:type="dxa"/>
              <w:start w:w="110" w:type="dxa"/>
              <w:bottom w:w="70" w:type="dxa"/>
              <w:end w:w="110" w:type="dxa"/>
            </w:tcMar>
          </w:tcPr>
          <w:p>
            <w:pPr>
              <w:pStyle w:val="TableText"/>
            </w:pPr>
            <w:r>
              <w:rPr/>
              <w:t>592</w:t>
            </w:r>
          </w:p>
        </w:tc>
      </w:tr>
    </w:tbl>
    <w:p>
      <w:pPr>
        <w:pStyle w:val="Normal"/>
      </w:pPr>
      <w:r>
        <w:t>Starting in quota year 19, the quantity shall remain at 592 MT per year. (b) This paragraph applies to goods classified in the following tariff items: 0403.90.11. (c) This TRQ shall be allocated on a calendar year basis. 15. TRQ-CA11: Whey Powder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1,378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2,068</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2,757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3,446</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4,135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4,176</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4,218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4,260</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4,303</w:t>
            </w:r>
          </w:p>
        </w:tc>
      </w:tr>
    </w:tbl>
    <w:p>
      <w:pPr>
        <w:pStyle w:val="Normal"/>
      </w:pPr>
      <w:r>
        <w:t>After quota year 10 this TRQ shall be eliminated. (b) This paragraph applies to goods classified in the following tariff items: 0404.10.21. (c) This TRQ shall be allocated on a dairy year basis, meaning from August 1 to July 31. 16. TRQ-CA12:</w:t>
      </w:r>
    </w:p>
    <w:p>
      <w:pPr>
        <w:pStyle w:val="Normal"/>
      </w:pPr>
      <w:r>
        <w:t>Products Consisting of Natural Milk Constituents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1,380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1,840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2,300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2,760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2,788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2,815</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2,844</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2,872</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2,901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2,930</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2,959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2,989</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3,019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3,049</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3,079</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3,110</w:t>
            </w:r>
          </w:p>
        </w:tc>
      </w:tr>
      <w:tr>
        <w:trPr>
          <w:cantSplit/>
        </w:trPr>
        <w:tc>
          <w:tcPr>
            <w:tcW w:type="dxa" w:w="1872"/>
            <w:tcMar>
              <w:top w:w="70" w:type="dxa"/>
              <w:start w:w="110" w:type="dxa"/>
              <w:bottom w:w="70" w:type="dxa"/>
              <w:end w:w="110" w:type="dxa"/>
            </w:tcMar>
            <w:vAlign w:val="center"/>
          </w:tcPr>
          <w:p>
            <w:pPr>
              <w:pStyle w:val="TableText"/>
            </w:pPr>
            <w:r>
              <w:rPr/>
              <w:t>17</w:t>
            </w:r>
          </w:p>
        </w:tc>
        <w:tc>
          <w:tcPr>
            <w:tcW w:type="dxa" w:w="3600"/>
            <w:tcMar>
              <w:top w:w="70" w:type="dxa"/>
              <w:start w:w="110" w:type="dxa"/>
              <w:bottom w:w="70" w:type="dxa"/>
              <w:end w:w="110" w:type="dxa"/>
            </w:tcMar>
            <w:vAlign w:val="center"/>
          </w:tcPr>
          <w:p>
            <w:pPr>
              <w:pStyle w:val="TableText"/>
            </w:pPr>
            <w:r>
              <w:rPr/>
              <w:t>3,141</w:t>
            </w:r>
          </w:p>
        </w:tc>
      </w:tr>
    </w:tbl>
    <w:p>
      <w:pPr>
        <w:pStyle w:val="Normal"/>
      </w:pPr>
      <w:r>
        <w:t>Starting in quota year 19, the quantity shall remain at 3,141 MT per year.</w:t>
      </w:r>
    </w:p>
    <w:p>
      <w:pPr>
        <w:pStyle w:val="Normal"/>
      </w:pPr>
      <w:r>
        <w:rPr>
          <w:b w:val="0"/>
        </w:rPr>
        <w:t>(b) This paragraph applies to goods classified in the following tariff items: 0404.90.10. (c) This TRQ shall be allocated on a calendar year basis. 17. TRQ-CA13: Ice Cream and Ice Cream Mixes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Quota Year</w:t>
            </w:r>
          </w:p>
        </w:tc>
        <w:tc>
          <w:tcPr>
            <w:tcW w:type="dxa" w:w="4680"/>
            <w:tcBorders>
              <w:bottom w:val="single" w:sz="6" w:space="0" w:color="546E7A"/>
            </w:tcBorders>
            <w:shd w:fill="E4E9EC" w:val="clear" w:color="auto"/>
          </w:tcPr>
          <w:p>
            <w:pPr>
              <w:pStyle w:val="TableText"/>
            </w:pPr>
            <w:r>
              <w:rPr>
                <w:b/>
                <w:color w:val="37474F"/>
              </w:rPr>
              <w:t>Aggregate Quantity (MT)</w:t>
            </w:r>
          </w:p>
        </w:tc>
      </w:tr>
      <w:tr>
        <w:tc>
          <w:tcPr>
            <w:tcW w:type="dxa" w:w="4680"/>
            <w:tcMar>
              <w:top w:w="70" w:type="dxa"/>
              <w:start w:w="110" w:type="dxa"/>
              <w:bottom w:w="70" w:type="dxa"/>
              <w:end w:w="110" w:type="dxa"/>
            </w:tcMar>
          </w:tcPr>
          <w:p>
            <w:pPr>
              <w:pStyle w:val="TableText"/>
            </w:pPr>
            <w:r>
              <w:rPr/>
              <w:t>1</w:t>
            </w:r>
          </w:p>
        </w:tc>
        <w:tc>
          <w:tcPr>
            <w:tcW w:type="dxa" w:w="4680"/>
            <w:tcMar>
              <w:top w:w="70" w:type="dxa"/>
              <w:start w:w="110" w:type="dxa"/>
              <w:bottom w:w="70" w:type="dxa"/>
              <w:end w:w="110" w:type="dxa"/>
            </w:tcMar>
          </w:tcPr>
          <w:p>
            <w:pPr>
              <w:pStyle w:val="TableText"/>
            </w:pPr>
            <w:r>
              <w:rPr/>
              <w:t>115</w:t>
            </w:r>
          </w:p>
        </w:tc>
      </w:tr>
      <w:tr>
        <w:tc>
          <w:tcPr>
            <w:tcW w:type="dxa" w:w="4680"/>
            <w:shd w:fill="F5F7F8" w:val="clear" w:color="auto"/>
            <w:tcMar>
              <w:top w:w="70" w:type="dxa"/>
              <w:start w:w="110" w:type="dxa"/>
              <w:bottom w:w="70" w:type="dxa"/>
              <w:end w:w="110" w:type="dxa"/>
            </w:tcMar>
          </w:tcPr>
          <w:p>
            <w:pPr>
              <w:pStyle w:val="TableText"/>
            </w:pPr>
            <w:r>
              <w:rPr/>
              <w:t>2</w:t>
            </w:r>
          </w:p>
        </w:tc>
        <w:tc>
          <w:tcPr>
            <w:tcW w:type="dxa" w:w="4680"/>
            <w:shd w:fill="F5F7F8" w:val="clear" w:color="auto"/>
            <w:tcMar>
              <w:top w:w="70" w:type="dxa"/>
              <w:start w:w="110" w:type="dxa"/>
              <w:bottom w:w="70" w:type="dxa"/>
              <w:end w:w="110" w:type="dxa"/>
            </w:tcMar>
          </w:tcPr>
          <w:p>
            <w:pPr>
              <w:pStyle w:val="TableText"/>
            </w:pPr>
            <w:r>
              <w:rPr/>
              <w:t>230</w:t>
            </w:r>
          </w:p>
        </w:tc>
      </w:tr>
      <w:tr>
        <w:tc>
          <w:tcPr>
            <w:tcW w:type="dxa" w:w="4680"/>
            <w:tcMar>
              <w:top w:w="70" w:type="dxa"/>
              <w:start w:w="110" w:type="dxa"/>
              <w:bottom w:w="70" w:type="dxa"/>
              <w:end w:w="110" w:type="dxa"/>
            </w:tcMar>
          </w:tcPr>
          <w:p>
            <w:pPr>
              <w:pStyle w:val="TableText"/>
            </w:pPr>
            <w:r>
              <w:rPr/>
              <w:t>3</w:t>
            </w:r>
          </w:p>
        </w:tc>
        <w:tc>
          <w:tcPr>
            <w:tcW w:type="dxa" w:w="4680"/>
            <w:tcMar>
              <w:top w:w="70" w:type="dxa"/>
              <w:start w:w="110" w:type="dxa"/>
              <w:bottom w:w="70" w:type="dxa"/>
              <w:end w:w="110" w:type="dxa"/>
            </w:tcMar>
          </w:tcPr>
          <w:p>
            <w:pPr>
              <w:pStyle w:val="TableText"/>
            </w:pPr>
            <w:r>
              <w:rPr/>
              <w:t>345</w:t>
            </w:r>
          </w:p>
        </w:tc>
      </w:tr>
      <w:tr>
        <w:tc>
          <w:tcPr>
            <w:tcW w:type="dxa" w:w="4680"/>
            <w:shd w:fill="F5F7F8" w:val="clear" w:color="auto"/>
            <w:tcMar>
              <w:top w:w="70" w:type="dxa"/>
              <w:start w:w="110" w:type="dxa"/>
              <w:bottom w:w="70" w:type="dxa"/>
              <w:end w:w="110" w:type="dxa"/>
            </w:tcMar>
          </w:tcPr>
          <w:p>
            <w:pPr>
              <w:pStyle w:val="TableText"/>
            </w:pPr>
            <w:r>
              <w:rPr/>
              <w:t>4</w:t>
            </w:r>
          </w:p>
        </w:tc>
        <w:tc>
          <w:tcPr>
            <w:tcW w:type="dxa" w:w="4680"/>
            <w:shd w:fill="F5F7F8" w:val="clear" w:color="auto"/>
            <w:tcMar>
              <w:top w:w="70" w:type="dxa"/>
              <w:start w:w="110" w:type="dxa"/>
              <w:bottom w:w="70" w:type="dxa"/>
              <w:end w:w="110" w:type="dxa"/>
            </w:tcMar>
          </w:tcPr>
          <w:p>
            <w:pPr>
              <w:pStyle w:val="TableText"/>
            </w:pPr>
            <w:r>
              <w:rPr/>
              <w:t>460</w:t>
            </w:r>
          </w:p>
        </w:tc>
      </w:tr>
      <w:tr>
        <w:tc>
          <w:tcPr>
            <w:tcW w:type="dxa" w:w="4680"/>
            <w:tcMar>
              <w:top w:w="70" w:type="dxa"/>
              <w:start w:w="110" w:type="dxa"/>
              <w:bottom w:w="70" w:type="dxa"/>
              <w:end w:w="110" w:type="dxa"/>
            </w:tcMar>
          </w:tcPr>
          <w:p>
            <w:pPr>
              <w:pStyle w:val="TableText"/>
            </w:pPr>
            <w:r>
              <w:rPr/>
              <w:t>5</w:t>
            </w:r>
          </w:p>
        </w:tc>
        <w:tc>
          <w:tcPr>
            <w:tcW w:type="dxa" w:w="4680"/>
            <w:tcMar>
              <w:top w:w="70" w:type="dxa"/>
              <w:start w:w="110" w:type="dxa"/>
              <w:bottom w:w="70" w:type="dxa"/>
              <w:end w:w="110" w:type="dxa"/>
            </w:tcMar>
          </w:tcPr>
          <w:p>
            <w:pPr>
              <w:pStyle w:val="TableText"/>
            </w:pPr>
            <w:r>
              <w:rPr/>
              <w:t>575</w:t>
            </w:r>
          </w:p>
        </w:tc>
      </w:tr>
      <w:tr>
        <w:tc>
          <w:tcPr>
            <w:tcW w:type="dxa" w:w="4680"/>
            <w:shd w:fill="F5F7F8" w:val="clear" w:color="auto"/>
            <w:tcMar>
              <w:top w:w="70" w:type="dxa"/>
              <w:start w:w="110" w:type="dxa"/>
              <w:bottom w:w="70" w:type="dxa"/>
              <w:end w:w="110" w:type="dxa"/>
            </w:tcMar>
          </w:tcPr>
          <w:p>
            <w:pPr>
              <w:pStyle w:val="TableText"/>
            </w:pPr>
            <w:r>
              <w:rPr/>
              <w:t>6</w:t>
            </w:r>
          </w:p>
        </w:tc>
        <w:tc>
          <w:tcPr>
            <w:tcW w:type="dxa" w:w="4680"/>
            <w:shd w:fill="F5F7F8" w:val="clear" w:color="auto"/>
            <w:tcMar>
              <w:top w:w="70" w:type="dxa"/>
              <w:start w:w="110" w:type="dxa"/>
              <w:bottom w:w="70" w:type="dxa"/>
              <w:end w:w="110" w:type="dxa"/>
            </w:tcMar>
          </w:tcPr>
          <w:p>
            <w:pPr>
              <w:pStyle w:val="TableText"/>
            </w:pPr>
            <w:r>
              <w:rPr/>
              <w:t>690</w:t>
            </w:r>
          </w:p>
        </w:tc>
      </w:tr>
      <w:tr>
        <w:tc>
          <w:tcPr>
            <w:tcW w:type="dxa" w:w="4680"/>
            <w:tcMar>
              <w:top w:w="70" w:type="dxa"/>
              <w:start w:w="110" w:type="dxa"/>
              <w:bottom w:w="70" w:type="dxa"/>
              <w:end w:w="110" w:type="dxa"/>
            </w:tcMar>
          </w:tcPr>
          <w:p>
            <w:pPr>
              <w:pStyle w:val="TableText"/>
            </w:pPr>
            <w:r>
              <w:rPr/>
              <w:t>7</w:t>
            </w:r>
          </w:p>
        </w:tc>
        <w:tc>
          <w:tcPr>
            <w:tcW w:type="dxa" w:w="4680"/>
            <w:tcMar>
              <w:top w:w="70" w:type="dxa"/>
              <w:start w:w="110" w:type="dxa"/>
              <w:bottom w:w="70" w:type="dxa"/>
              <w:end w:w="110" w:type="dxa"/>
            </w:tcMar>
          </w:tcPr>
          <w:p>
            <w:pPr>
              <w:pStyle w:val="TableText"/>
            </w:pPr>
            <w:r>
              <w:rPr/>
              <w:t>697</w:t>
            </w:r>
          </w:p>
        </w:tc>
      </w:tr>
      <w:tr>
        <w:tc>
          <w:tcPr>
            <w:tcW w:type="dxa" w:w="4680"/>
            <w:shd w:fill="F5F7F8" w:val="clear" w:color="auto"/>
            <w:tcMar>
              <w:top w:w="70" w:type="dxa"/>
              <w:start w:w="110" w:type="dxa"/>
              <w:bottom w:w="70" w:type="dxa"/>
              <w:end w:w="110" w:type="dxa"/>
            </w:tcMar>
          </w:tcPr>
          <w:p>
            <w:pPr>
              <w:pStyle w:val="TableText"/>
            </w:pPr>
            <w:r>
              <w:rPr/>
              <w:t>8</w:t>
            </w:r>
          </w:p>
        </w:tc>
        <w:tc>
          <w:tcPr>
            <w:tcW w:type="dxa" w:w="4680"/>
            <w:shd w:fill="F5F7F8" w:val="clear" w:color="auto"/>
            <w:tcMar>
              <w:top w:w="70" w:type="dxa"/>
              <w:start w:w="110" w:type="dxa"/>
              <w:bottom w:w="70" w:type="dxa"/>
              <w:end w:w="110" w:type="dxa"/>
            </w:tcMar>
          </w:tcPr>
          <w:p>
            <w:pPr>
              <w:pStyle w:val="TableText"/>
            </w:pPr>
            <w:r>
              <w:rPr/>
              <w:t>704</w:t>
            </w:r>
          </w:p>
        </w:tc>
      </w:tr>
      <w:tr>
        <w:tc>
          <w:tcPr>
            <w:tcW w:type="dxa" w:w="4680"/>
            <w:tcMar>
              <w:top w:w="70" w:type="dxa"/>
              <w:start w:w="110" w:type="dxa"/>
              <w:bottom w:w="70" w:type="dxa"/>
              <w:end w:w="110" w:type="dxa"/>
            </w:tcMar>
          </w:tcPr>
          <w:p>
            <w:pPr>
              <w:pStyle w:val="TableText"/>
            </w:pPr>
            <w:r>
              <w:rPr/>
              <w:t>9</w:t>
            </w:r>
          </w:p>
        </w:tc>
        <w:tc>
          <w:tcPr>
            <w:tcW w:type="dxa" w:w="4680"/>
            <w:tcMar>
              <w:top w:w="70" w:type="dxa"/>
              <w:start w:w="110" w:type="dxa"/>
              <w:bottom w:w="70" w:type="dxa"/>
              <w:end w:w="110" w:type="dxa"/>
            </w:tcMar>
          </w:tcPr>
          <w:p>
            <w:pPr>
              <w:pStyle w:val="TableText"/>
            </w:pPr>
            <w:r>
              <w:rPr/>
              <w:t>711</w:t>
            </w:r>
          </w:p>
        </w:tc>
      </w:tr>
      <w:tr>
        <w:tc>
          <w:tcPr>
            <w:tcW w:type="dxa" w:w="4680"/>
            <w:shd w:fill="F5F7F8" w:val="clear" w:color="auto"/>
            <w:tcMar>
              <w:top w:w="70" w:type="dxa"/>
              <w:start w:w="110" w:type="dxa"/>
              <w:bottom w:w="70" w:type="dxa"/>
              <w:end w:w="110" w:type="dxa"/>
            </w:tcMar>
          </w:tcPr>
          <w:p>
            <w:pPr>
              <w:pStyle w:val="TableText"/>
            </w:pPr>
            <w:r>
              <w:rPr/>
              <w:t>10</w:t>
            </w:r>
          </w:p>
        </w:tc>
        <w:tc>
          <w:tcPr>
            <w:tcW w:type="dxa" w:w="4680"/>
            <w:shd w:fill="F5F7F8" w:val="clear" w:color="auto"/>
            <w:tcMar>
              <w:top w:w="70" w:type="dxa"/>
              <w:start w:w="110" w:type="dxa"/>
              <w:bottom w:w="70" w:type="dxa"/>
              <w:end w:w="110" w:type="dxa"/>
            </w:tcMar>
          </w:tcPr>
          <w:p>
            <w:pPr>
              <w:pStyle w:val="TableText"/>
            </w:pPr>
            <w:r>
              <w:rPr/>
              <w:t>718</w:t>
            </w:r>
          </w:p>
        </w:tc>
      </w:tr>
      <w:tr>
        <w:tc>
          <w:tcPr>
            <w:tcW w:type="dxa" w:w="4680"/>
            <w:tcMar>
              <w:top w:w="70" w:type="dxa"/>
              <w:start w:w="110" w:type="dxa"/>
              <w:bottom w:w="70" w:type="dxa"/>
              <w:end w:w="110" w:type="dxa"/>
            </w:tcMar>
          </w:tcPr>
          <w:p>
            <w:pPr>
              <w:pStyle w:val="TableText"/>
            </w:pPr>
            <w:r>
              <w:rPr/>
              <w:t>11</w:t>
            </w:r>
          </w:p>
        </w:tc>
        <w:tc>
          <w:tcPr>
            <w:tcW w:type="dxa" w:w="4680"/>
            <w:tcMar>
              <w:top w:w="70" w:type="dxa"/>
              <w:start w:w="110" w:type="dxa"/>
              <w:bottom w:w="70" w:type="dxa"/>
              <w:end w:w="110" w:type="dxa"/>
            </w:tcMar>
          </w:tcPr>
          <w:p>
            <w:pPr>
              <w:pStyle w:val="TableText"/>
            </w:pPr>
            <w:r>
              <w:rPr/>
              <w:t>725</w:t>
            </w:r>
          </w:p>
        </w:tc>
      </w:tr>
      <w:tr>
        <w:tc>
          <w:tcPr>
            <w:tcW w:type="dxa" w:w="4680"/>
            <w:shd w:fill="F5F7F8" w:val="clear" w:color="auto"/>
            <w:tcMar>
              <w:top w:w="70" w:type="dxa"/>
              <w:start w:w="110" w:type="dxa"/>
              <w:bottom w:w="70" w:type="dxa"/>
              <w:end w:w="110" w:type="dxa"/>
            </w:tcMar>
          </w:tcPr>
          <w:p>
            <w:pPr>
              <w:pStyle w:val="TableText"/>
            </w:pPr>
            <w:r>
              <w:rPr/>
              <w:t>12</w:t>
            </w:r>
          </w:p>
        </w:tc>
        <w:tc>
          <w:tcPr>
            <w:tcW w:type="dxa" w:w="4680"/>
            <w:shd w:fill="F5F7F8" w:val="clear" w:color="auto"/>
            <w:tcMar>
              <w:top w:w="70" w:type="dxa"/>
              <w:start w:w="110" w:type="dxa"/>
              <w:bottom w:w="70" w:type="dxa"/>
              <w:end w:w="110" w:type="dxa"/>
            </w:tcMar>
          </w:tcPr>
          <w:p>
            <w:pPr>
              <w:pStyle w:val="TableText"/>
            </w:pPr>
            <w:r>
              <w:rPr/>
              <w:t>732</w:t>
            </w:r>
          </w:p>
        </w:tc>
      </w:tr>
      <w:tr>
        <w:tc>
          <w:tcPr>
            <w:tcW w:type="dxa" w:w="4680"/>
            <w:tcMar>
              <w:top w:w="70" w:type="dxa"/>
              <w:start w:w="110" w:type="dxa"/>
              <w:bottom w:w="70" w:type="dxa"/>
              <w:end w:w="110" w:type="dxa"/>
            </w:tcMar>
          </w:tcPr>
          <w:p>
            <w:pPr>
              <w:pStyle w:val="TableText"/>
            </w:pPr>
            <w:r>
              <w:rPr/>
              <w:t>13</w:t>
            </w:r>
          </w:p>
        </w:tc>
        <w:tc>
          <w:tcPr>
            <w:tcW w:type="dxa" w:w="4680"/>
            <w:tcMar>
              <w:top w:w="70" w:type="dxa"/>
              <w:start w:w="110" w:type="dxa"/>
              <w:bottom w:w="70" w:type="dxa"/>
              <w:end w:w="110" w:type="dxa"/>
            </w:tcMar>
          </w:tcPr>
          <w:p>
            <w:pPr>
              <w:pStyle w:val="TableText"/>
            </w:pPr>
            <w:r>
              <w:rPr/>
              <w:t>740</w:t>
            </w:r>
          </w:p>
        </w:tc>
      </w:tr>
      <w:tr>
        <w:tc>
          <w:tcPr>
            <w:tcW w:type="dxa" w:w="4680"/>
            <w:shd w:fill="F5F7F8" w:val="clear" w:color="auto"/>
            <w:tcMar>
              <w:top w:w="70" w:type="dxa"/>
              <w:start w:w="110" w:type="dxa"/>
              <w:bottom w:w="70" w:type="dxa"/>
              <w:end w:w="110" w:type="dxa"/>
            </w:tcMar>
          </w:tcPr>
          <w:p>
            <w:pPr>
              <w:pStyle w:val="TableText"/>
            </w:pPr>
            <w:r>
              <w:rPr/>
              <w:t>14</w:t>
            </w:r>
          </w:p>
        </w:tc>
        <w:tc>
          <w:tcPr>
            <w:tcW w:type="dxa" w:w="4680"/>
            <w:shd w:fill="F5F7F8" w:val="clear" w:color="auto"/>
            <w:tcMar>
              <w:top w:w="70" w:type="dxa"/>
              <w:start w:w="110" w:type="dxa"/>
              <w:bottom w:w="70" w:type="dxa"/>
              <w:end w:w="110" w:type="dxa"/>
            </w:tcMar>
          </w:tcPr>
          <w:p>
            <w:pPr>
              <w:pStyle w:val="TableText"/>
            </w:pPr>
            <w:r>
              <w:rPr/>
              <w:t>747</w:t>
            </w:r>
          </w:p>
        </w:tc>
      </w:tr>
      <w:tr>
        <w:tc>
          <w:tcPr>
            <w:tcW w:type="dxa" w:w="4680"/>
            <w:tcMar>
              <w:top w:w="70" w:type="dxa"/>
              <w:start w:w="110" w:type="dxa"/>
              <w:bottom w:w="70" w:type="dxa"/>
              <w:end w:w="110" w:type="dxa"/>
            </w:tcMar>
          </w:tcPr>
          <w:p>
            <w:pPr>
              <w:pStyle w:val="TableText"/>
            </w:pPr>
            <w:r>
              <w:rPr/>
              <w:t>15</w:t>
            </w:r>
          </w:p>
        </w:tc>
        <w:tc>
          <w:tcPr>
            <w:tcW w:type="dxa" w:w="4680"/>
            <w:tcMar>
              <w:top w:w="70" w:type="dxa"/>
              <w:start w:w="110" w:type="dxa"/>
              <w:bottom w:w="70" w:type="dxa"/>
              <w:end w:w="110" w:type="dxa"/>
            </w:tcMar>
          </w:tcPr>
          <w:p>
            <w:pPr>
              <w:pStyle w:val="TableText"/>
            </w:pPr>
            <w:r>
              <w:rPr/>
              <w:t>755</w:t>
            </w:r>
          </w:p>
        </w:tc>
      </w:tr>
      <w:tr>
        <w:tc>
          <w:tcPr>
            <w:tcW w:type="dxa" w:w="4680"/>
            <w:shd w:fill="F5F7F8" w:val="clear" w:color="auto"/>
            <w:tcMar>
              <w:top w:w="70" w:type="dxa"/>
              <w:start w:w="110" w:type="dxa"/>
              <w:bottom w:w="70" w:type="dxa"/>
              <w:end w:w="110" w:type="dxa"/>
            </w:tcMar>
          </w:tcPr>
          <w:p>
            <w:pPr>
              <w:pStyle w:val="TableText"/>
            </w:pPr>
            <w:r>
              <w:rPr/>
              <w:t>16</w:t>
            </w:r>
          </w:p>
        </w:tc>
        <w:tc>
          <w:tcPr>
            <w:tcW w:type="dxa" w:w="4680"/>
            <w:shd w:fill="F5F7F8" w:val="clear" w:color="auto"/>
            <w:tcMar>
              <w:top w:w="70" w:type="dxa"/>
              <w:start w:w="110" w:type="dxa"/>
              <w:bottom w:w="70" w:type="dxa"/>
              <w:end w:w="110" w:type="dxa"/>
            </w:tcMar>
          </w:tcPr>
          <w:p>
            <w:pPr>
              <w:pStyle w:val="TableText"/>
            </w:pPr>
            <w:r>
              <w:rPr/>
              <w:t>762</w:t>
            </w:r>
          </w:p>
        </w:tc>
      </w:tr>
      <w:tr>
        <w:tc>
          <w:tcPr>
            <w:tcW w:type="dxa" w:w="4680"/>
            <w:tcMar>
              <w:top w:w="70" w:type="dxa"/>
              <w:start w:w="110" w:type="dxa"/>
              <w:bottom w:w="70" w:type="dxa"/>
              <w:end w:w="110" w:type="dxa"/>
            </w:tcMar>
          </w:tcPr>
          <w:p>
            <w:pPr>
              <w:pStyle w:val="TableText"/>
            </w:pPr>
            <w:r>
              <w:rPr/>
              <w:t>17</w:t>
            </w:r>
          </w:p>
        </w:tc>
        <w:tc>
          <w:tcPr>
            <w:tcW w:type="dxa" w:w="4680"/>
            <w:tcMar>
              <w:top w:w="70" w:type="dxa"/>
              <w:start w:w="110" w:type="dxa"/>
              <w:bottom w:w="70" w:type="dxa"/>
              <w:end w:w="110" w:type="dxa"/>
            </w:tcMar>
          </w:tcPr>
          <w:p>
            <w:pPr>
              <w:pStyle w:val="TableText"/>
            </w:pPr>
            <w:r>
              <w:rPr/>
              <w:t>770</w:t>
            </w:r>
          </w:p>
        </w:tc>
      </w:tr>
      <w:tr>
        <w:tc>
          <w:tcPr>
            <w:tcW w:type="dxa" w:w="4680"/>
            <w:shd w:fill="F5F7F8" w:val="clear" w:color="auto"/>
            <w:tcMar>
              <w:top w:w="70" w:type="dxa"/>
              <w:start w:w="110" w:type="dxa"/>
              <w:bottom w:w="70" w:type="dxa"/>
              <w:end w:w="110" w:type="dxa"/>
            </w:tcMar>
          </w:tcPr>
          <w:p>
            <w:pPr>
              <w:pStyle w:val="TableText"/>
            </w:pPr>
            <w:r>
              <w:rPr/>
              <w:t>18</w:t>
            </w:r>
          </w:p>
        </w:tc>
        <w:tc>
          <w:tcPr>
            <w:tcW w:type="dxa" w:w="4680"/>
            <w:shd w:fill="F5F7F8" w:val="clear" w:color="auto"/>
            <w:tcMar>
              <w:top w:w="70" w:type="dxa"/>
              <w:start w:w="110" w:type="dxa"/>
              <w:bottom w:w="70" w:type="dxa"/>
              <w:end w:w="110" w:type="dxa"/>
            </w:tcMar>
          </w:tcPr>
          <w:p>
            <w:pPr>
              <w:pStyle w:val="TableText"/>
            </w:pPr>
            <w:r>
              <w:rPr/>
              <w:t>778</w:t>
            </w:r>
          </w:p>
        </w:tc>
      </w:tr>
      <w:tr>
        <w:tc>
          <w:tcPr>
            <w:tcW w:type="dxa" w:w="4680"/>
            <w:tcMar>
              <w:top w:w="70" w:type="dxa"/>
              <w:start w:w="110" w:type="dxa"/>
              <w:bottom w:w="70" w:type="dxa"/>
              <w:end w:w="110" w:type="dxa"/>
            </w:tcMar>
          </w:tcPr>
          <w:p>
            <w:pPr>
              <w:pStyle w:val="TableText"/>
            </w:pPr>
            <w:r>
              <w:rPr/>
              <w:t>19</w:t>
            </w:r>
          </w:p>
        </w:tc>
        <w:tc>
          <w:tcPr>
            <w:tcW w:type="dxa" w:w="4680"/>
            <w:tcMar>
              <w:top w:w="70" w:type="dxa"/>
              <w:start w:w="110" w:type="dxa"/>
              <w:bottom w:w="70" w:type="dxa"/>
              <w:end w:w="110" w:type="dxa"/>
            </w:tcMar>
          </w:tcPr>
          <w:p>
            <w:pPr>
              <w:pStyle w:val="TableText"/>
            </w:pPr>
            <w:r>
              <w:rPr/>
              <w:t>785</w:t>
            </w:r>
          </w:p>
        </w:tc>
      </w:tr>
    </w:tbl>
    <w:p>
      <w:pPr>
        <w:pStyle w:val="Normal"/>
      </w:pPr>
      <w:r>
        <w:rPr>
          <w:b w:val="0"/>
        </w:rPr>
        <w:t>Starting in quota year 19, the quantity shall remain at 785 MT per year. (b) This paragraph applies to goods classified in the following tariff items: 1806.20.21, 1806.90.11, 1901.90.31, 1901.90.51, 2105.00.91, and 2202.99.32. (c) This TRQ shall be allocated on a calendar year basis. 18. TRQ-CA14: Other Dairy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Quota Year</w:t>
            </w:r>
          </w:p>
        </w:tc>
        <w:tc>
          <w:tcPr>
            <w:tcW w:type="dxa" w:w="4680"/>
            <w:tcBorders>
              <w:bottom w:val="single" w:sz="6" w:space="0" w:color="546E7A"/>
            </w:tcBorders>
            <w:shd w:fill="E4E9EC" w:val="clear" w:color="auto"/>
          </w:tcPr>
          <w:p>
            <w:pPr>
              <w:pStyle w:val="TableText"/>
            </w:pPr>
            <w:r>
              <w:rPr>
                <w:b/>
                <w:color w:val="37474F"/>
              </w:rPr>
              <w:t>Aggregate Quantity (MT)</w:t>
            </w:r>
          </w:p>
        </w:tc>
      </w:tr>
      <w:tr>
        <w:tc>
          <w:tcPr>
            <w:tcW w:type="dxa" w:w="4680"/>
            <w:tcMar>
              <w:top w:w="70" w:type="dxa"/>
              <w:start w:w="110" w:type="dxa"/>
              <w:bottom w:w="70" w:type="dxa"/>
              <w:end w:w="110" w:type="dxa"/>
            </w:tcMar>
          </w:tcPr>
          <w:p>
            <w:pPr>
              <w:pStyle w:val="TableText"/>
            </w:pPr>
            <w:r>
              <w:rPr/>
              <w:t>1</w:t>
            </w:r>
          </w:p>
        </w:tc>
        <w:tc>
          <w:tcPr>
            <w:tcW w:type="dxa" w:w="4680"/>
            <w:tcMar>
              <w:top w:w="70" w:type="dxa"/>
              <w:start w:w="110" w:type="dxa"/>
              <w:bottom w:w="70" w:type="dxa"/>
              <w:end w:w="110" w:type="dxa"/>
            </w:tcMar>
          </w:tcPr>
          <w:p>
            <w:pPr>
              <w:pStyle w:val="TableText"/>
            </w:pPr>
            <w:r>
              <w:rPr/>
              <w:t>115</w:t>
            </w:r>
          </w:p>
        </w:tc>
      </w:tr>
      <w:tr>
        <w:tc>
          <w:tcPr>
            <w:tcW w:type="dxa" w:w="4680"/>
            <w:shd w:fill="F5F7F8" w:val="clear" w:color="auto"/>
            <w:tcMar>
              <w:top w:w="70" w:type="dxa"/>
              <w:start w:w="110" w:type="dxa"/>
              <w:bottom w:w="70" w:type="dxa"/>
              <w:end w:w="110" w:type="dxa"/>
            </w:tcMar>
          </w:tcPr>
          <w:p>
            <w:pPr>
              <w:pStyle w:val="TableText"/>
            </w:pPr>
            <w:r>
              <w:rPr/>
              <w:t>2</w:t>
            </w:r>
          </w:p>
        </w:tc>
        <w:tc>
          <w:tcPr>
            <w:tcW w:type="dxa" w:w="4680"/>
            <w:shd w:fill="F5F7F8" w:val="clear" w:color="auto"/>
            <w:tcMar>
              <w:top w:w="70" w:type="dxa"/>
              <w:start w:w="110" w:type="dxa"/>
              <w:bottom w:w="70" w:type="dxa"/>
              <w:end w:w="110" w:type="dxa"/>
            </w:tcMar>
          </w:tcPr>
          <w:p>
            <w:pPr>
              <w:pStyle w:val="TableText"/>
            </w:pPr>
            <w:r>
              <w:rPr/>
              <w:t>230</w:t>
            </w:r>
          </w:p>
        </w:tc>
      </w:tr>
      <w:tr>
        <w:tc>
          <w:tcPr>
            <w:tcW w:type="dxa" w:w="4680"/>
            <w:tcMar>
              <w:top w:w="70" w:type="dxa"/>
              <w:start w:w="110" w:type="dxa"/>
              <w:bottom w:w="70" w:type="dxa"/>
              <w:end w:w="110" w:type="dxa"/>
            </w:tcMar>
          </w:tcPr>
          <w:p>
            <w:pPr>
              <w:pStyle w:val="TableText"/>
            </w:pPr>
            <w:r>
              <w:rPr/>
              <w:t>3</w:t>
            </w:r>
          </w:p>
        </w:tc>
        <w:tc>
          <w:tcPr>
            <w:tcW w:type="dxa" w:w="4680"/>
            <w:tcMar>
              <w:top w:w="70" w:type="dxa"/>
              <w:start w:w="110" w:type="dxa"/>
              <w:bottom w:w="70" w:type="dxa"/>
              <w:end w:w="110" w:type="dxa"/>
            </w:tcMar>
          </w:tcPr>
          <w:p>
            <w:pPr>
              <w:pStyle w:val="TableText"/>
            </w:pPr>
            <w:r>
              <w:rPr/>
              <w:t>345</w:t>
            </w:r>
          </w:p>
        </w:tc>
      </w:tr>
      <w:tr>
        <w:tc>
          <w:tcPr>
            <w:tcW w:type="dxa" w:w="4680"/>
            <w:shd w:fill="F5F7F8" w:val="clear" w:color="auto"/>
            <w:tcMar>
              <w:top w:w="70" w:type="dxa"/>
              <w:start w:w="110" w:type="dxa"/>
              <w:bottom w:w="70" w:type="dxa"/>
              <w:end w:w="110" w:type="dxa"/>
            </w:tcMar>
          </w:tcPr>
          <w:p>
            <w:pPr>
              <w:pStyle w:val="TableText"/>
            </w:pPr>
            <w:r>
              <w:rPr/>
              <w:t>4</w:t>
            </w:r>
          </w:p>
        </w:tc>
        <w:tc>
          <w:tcPr>
            <w:tcW w:type="dxa" w:w="4680"/>
            <w:shd w:fill="F5F7F8" w:val="clear" w:color="auto"/>
            <w:tcMar>
              <w:top w:w="70" w:type="dxa"/>
              <w:start w:w="110" w:type="dxa"/>
              <w:bottom w:w="70" w:type="dxa"/>
              <w:end w:w="110" w:type="dxa"/>
            </w:tcMar>
          </w:tcPr>
          <w:p>
            <w:pPr>
              <w:pStyle w:val="TableText"/>
            </w:pPr>
            <w:r>
              <w:rPr/>
              <w:t>460</w:t>
            </w:r>
          </w:p>
        </w:tc>
      </w:tr>
      <w:tr>
        <w:tc>
          <w:tcPr>
            <w:tcW w:type="dxa" w:w="4680"/>
            <w:tcMar>
              <w:top w:w="70" w:type="dxa"/>
              <w:start w:w="110" w:type="dxa"/>
              <w:bottom w:w="70" w:type="dxa"/>
              <w:end w:w="110" w:type="dxa"/>
            </w:tcMar>
          </w:tcPr>
          <w:p>
            <w:pPr>
              <w:pStyle w:val="TableText"/>
            </w:pPr>
            <w:r>
              <w:rPr/>
              <w:t>5</w:t>
            </w:r>
          </w:p>
        </w:tc>
        <w:tc>
          <w:tcPr>
            <w:tcW w:type="dxa" w:w="4680"/>
            <w:tcMar>
              <w:top w:w="70" w:type="dxa"/>
              <w:start w:w="110" w:type="dxa"/>
              <w:bottom w:w="70" w:type="dxa"/>
              <w:end w:w="110" w:type="dxa"/>
            </w:tcMar>
          </w:tcPr>
          <w:p>
            <w:pPr>
              <w:pStyle w:val="TableText"/>
            </w:pPr>
            <w:r>
              <w:rPr/>
              <w:t>575</w:t>
            </w:r>
          </w:p>
        </w:tc>
      </w:tr>
      <w:tr>
        <w:tc>
          <w:tcPr>
            <w:tcW w:type="dxa" w:w="4680"/>
            <w:shd w:fill="F5F7F8" w:val="clear" w:color="auto"/>
            <w:tcMar>
              <w:top w:w="70" w:type="dxa"/>
              <w:start w:w="110" w:type="dxa"/>
              <w:bottom w:w="70" w:type="dxa"/>
              <w:end w:w="110" w:type="dxa"/>
            </w:tcMar>
          </w:tcPr>
          <w:p>
            <w:pPr>
              <w:pStyle w:val="TableText"/>
            </w:pPr>
            <w:r>
              <w:rPr/>
              <w:t>6</w:t>
            </w:r>
          </w:p>
        </w:tc>
        <w:tc>
          <w:tcPr>
            <w:tcW w:type="dxa" w:w="4680"/>
            <w:shd w:fill="F5F7F8" w:val="clear" w:color="auto"/>
            <w:tcMar>
              <w:top w:w="70" w:type="dxa"/>
              <w:start w:w="110" w:type="dxa"/>
              <w:bottom w:w="70" w:type="dxa"/>
              <w:end w:w="110" w:type="dxa"/>
            </w:tcMar>
          </w:tcPr>
          <w:p>
            <w:pPr>
              <w:pStyle w:val="TableText"/>
            </w:pPr>
            <w:r>
              <w:rPr/>
              <w:t>690</w:t>
            </w:r>
          </w:p>
        </w:tc>
      </w:tr>
      <w:tr>
        <w:tc>
          <w:tcPr>
            <w:tcW w:type="dxa" w:w="4680"/>
            <w:tcMar>
              <w:top w:w="70" w:type="dxa"/>
              <w:start w:w="110" w:type="dxa"/>
              <w:bottom w:w="70" w:type="dxa"/>
              <w:end w:w="110" w:type="dxa"/>
            </w:tcMar>
          </w:tcPr>
          <w:p>
            <w:pPr>
              <w:pStyle w:val="TableText"/>
            </w:pPr>
            <w:r>
              <w:rPr/>
              <w:t>7</w:t>
            </w:r>
          </w:p>
        </w:tc>
        <w:tc>
          <w:tcPr>
            <w:tcW w:type="dxa" w:w="4680"/>
            <w:tcMar>
              <w:top w:w="70" w:type="dxa"/>
              <w:start w:w="110" w:type="dxa"/>
              <w:bottom w:w="70" w:type="dxa"/>
              <w:end w:w="110" w:type="dxa"/>
            </w:tcMar>
          </w:tcPr>
          <w:p>
            <w:pPr>
              <w:pStyle w:val="TableText"/>
            </w:pPr>
            <w:r>
              <w:rPr/>
              <w:t>697</w:t>
            </w:r>
          </w:p>
        </w:tc>
      </w:tr>
      <w:tr>
        <w:tc>
          <w:tcPr>
            <w:tcW w:type="dxa" w:w="4680"/>
            <w:shd w:fill="F5F7F8" w:val="clear" w:color="auto"/>
            <w:tcMar>
              <w:top w:w="70" w:type="dxa"/>
              <w:start w:w="110" w:type="dxa"/>
              <w:bottom w:w="70" w:type="dxa"/>
              <w:end w:w="110" w:type="dxa"/>
            </w:tcMar>
          </w:tcPr>
          <w:p>
            <w:pPr>
              <w:pStyle w:val="TableText"/>
            </w:pPr>
            <w:r>
              <w:rPr/>
              <w:t>8</w:t>
            </w:r>
          </w:p>
        </w:tc>
        <w:tc>
          <w:tcPr>
            <w:tcW w:type="dxa" w:w="4680"/>
            <w:shd w:fill="F5F7F8" w:val="clear" w:color="auto"/>
            <w:tcMar>
              <w:top w:w="70" w:type="dxa"/>
              <w:start w:w="110" w:type="dxa"/>
              <w:bottom w:w="70" w:type="dxa"/>
              <w:end w:w="110" w:type="dxa"/>
            </w:tcMar>
          </w:tcPr>
          <w:p>
            <w:pPr>
              <w:pStyle w:val="TableText"/>
            </w:pPr>
            <w:r>
              <w:rPr/>
              <w:t>704</w:t>
            </w:r>
          </w:p>
        </w:tc>
      </w:tr>
      <w:tr>
        <w:tc>
          <w:tcPr>
            <w:tcW w:type="dxa" w:w="4680"/>
            <w:tcMar>
              <w:top w:w="70" w:type="dxa"/>
              <w:start w:w="110" w:type="dxa"/>
              <w:bottom w:w="70" w:type="dxa"/>
              <w:end w:w="110" w:type="dxa"/>
            </w:tcMar>
          </w:tcPr>
          <w:p>
            <w:pPr>
              <w:pStyle w:val="TableText"/>
            </w:pPr>
            <w:r>
              <w:rPr/>
              <w:t>9</w:t>
            </w:r>
          </w:p>
        </w:tc>
        <w:tc>
          <w:tcPr>
            <w:tcW w:type="dxa" w:w="4680"/>
            <w:tcMar>
              <w:top w:w="70" w:type="dxa"/>
              <w:start w:w="110" w:type="dxa"/>
              <w:bottom w:w="70" w:type="dxa"/>
              <w:end w:w="110" w:type="dxa"/>
            </w:tcMar>
          </w:tcPr>
          <w:p>
            <w:pPr>
              <w:pStyle w:val="TableText"/>
            </w:pPr>
            <w:r>
              <w:rPr/>
              <w:t>711</w:t>
            </w:r>
          </w:p>
        </w:tc>
      </w:tr>
      <w:tr>
        <w:tc>
          <w:tcPr>
            <w:tcW w:type="dxa" w:w="4680"/>
            <w:shd w:fill="F5F7F8" w:val="clear" w:color="auto"/>
            <w:tcMar>
              <w:top w:w="70" w:type="dxa"/>
              <w:start w:w="110" w:type="dxa"/>
              <w:bottom w:w="70" w:type="dxa"/>
              <w:end w:w="110" w:type="dxa"/>
            </w:tcMar>
          </w:tcPr>
          <w:p>
            <w:pPr>
              <w:pStyle w:val="TableText"/>
            </w:pPr>
            <w:r>
              <w:rPr/>
              <w:t>10</w:t>
            </w:r>
          </w:p>
        </w:tc>
        <w:tc>
          <w:tcPr>
            <w:tcW w:type="dxa" w:w="4680"/>
            <w:shd w:fill="F5F7F8" w:val="clear" w:color="auto"/>
            <w:tcMar>
              <w:top w:w="70" w:type="dxa"/>
              <w:start w:w="110" w:type="dxa"/>
              <w:bottom w:w="70" w:type="dxa"/>
              <w:end w:w="110" w:type="dxa"/>
            </w:tcMar>
          </w:tcPr>
          <w:p>
            <w:pPr>
              <w:pStyle w:val="TableText"/>
            </w:pPr>
            <w:r>
              <w:rPr/>
              <w:t>718</w:t>
            </w:r>
          </w:p>
        </w:tc>
      </w:tr>
      <w:tr>
        <w:tc>
          <w:tcPr>
            <w:tcW w:type="dxa" w:w="4680"/>
            <w:tcMar>
              <w:top w:w="70" w:type="dxa"/>
              <w:start w:w="110" w:type="dxa"/>
              <w:bottom w:w="70" w:type="dxa"/>
              <w:end w:w="110" w:type="dxa"/>
            </w:tcMar>
          </w:tcPr>
          <w:p>
            <w:pPr>
              <w:pStyle w:val="TableText"/>
            </w:pPr>
            <w:r>
              <w:rPr/>
              <w:t>11</w:t>
            </w:r>
          </w:p>
        </w:tc>
        <w:tc>
          <w:tcPr>
            <w:tcW w:type="dxa" w:w="4680"/>
            <w:tcMar>
              <w:top w:w="70" w:type="dxa"/>
              <w:start w:w="110" w:type="dxa"/>
              <w:bottom w:w="70" w:type="dxa"/>
              <w:end w:w="110" w:type="dxa"/>
            </w:tcMar>
          </w:tcPr>
          <w:p>
            <w:pPr>
              <w:pStyle w:val="TableText"/>
            </w:pPr>
            <w:r>
              <w:rPr/>
              <w:t>725</w:t>
            </w:r>
          </w:p>
        </w:tc>
      </w:tr>
      <w:tr>
        <w:tc>
          <w:tcPr>
            <w:tcW w:type="dxa" w:w="4680"/>
            <w:shd w:fill="F5F7F8" w:val="clear" w:color="auto"/>
            <w:tcMar>
              <w:top w:w="70" w:type="dxa"/>
              <w:start w:w="110" w:type="dxa"/>
              <w:bottom w:w="70" w:type="dxa"/>
              <w:end w:w="110" w:type="dxa"/>
            </w:tcMar>
          </w:tcPr>
          <w:p>
            <w:pPr>
              <w:pStyle w:val="TableText"/>
            </w:pPr>
            <w:r>
              <w:rPr/>
              <w:t>12</w:t>
            </w:r>
          </w:p>
        </w:tc>
        <w:tc>
          <w:tcPr>
            <w:tcW w:type="dxa" w:w="4680"/>
            <w:shd w:fill="F5F7F8" w:val="clear" w:color="auto"/>
            <w:tcMar>
              <w:top w:w="70" w:type="dxa"/>
              <w:start w:w="110" w:type="dxa"/>
              <w:bottom w:w="70" w:type="dxa"/>
              <w:end w:w="110" w:type="dxa"/>
            </w:tcMar>
          </w:tcPr>
          <w:p>
            <w:pPr>
              <w:pStyle w:val="TableText"/>
            </w:pPr>
            <w:r>
              <w:rPr/>
              <w:t>732</w:t>
            </w:r>
          </w:p>
        </w:tc>
      </w:tr>
      <w:tr>
        <w:tc>
          <w:tcPr>
            <w:tcW w:type="dxa" w:w="4680"/>
            <w:tcMar>
              <w:top w:w="70" w:type="dxa"/>
              <w:start w:w="110" w:type="dxa"/>
              <w:bottom w:w="70" w:type="dxa"/>
              <w:end w:w="110" w:type="dxa"/>
            </w:tcMar>
          </w:tcPr>
          <w:p>
            <w:pPr>
              <w:pStyle w:val="TableText"/>
            </w:pPr>
            <w:r>
              <w:rPr/>
              <w:t>13</w:t>
            </w:r>
          </w:p>
        </w:tc>
        <w:tc>
          <w:tcPr>
            <w:tcW w:type="dxa" w:w="4680"/>
            <w:tcMar>
              <w:top w:w="70" w:type="dxa"/>
              <w:start w:w="110" w:type="dxa"/>
              <w:bottom w:w="70" w:type="dxa"/>
              <w:end w:w="110" w:type="dxa"/>
            </w:tcMar>
          </w:tcPr>
          <w:p>
            <w:pPr>
              <w:pStyle w:val="TableText"/>
            </w:pPr>
            <w:r>
              <w:rPr/>
              <w:t>740</w:t>
            </w:r>
          </w:p>
        </w:tc>
      </w:tr>
      <w:tr>
        <w:tc>
          <w:tcPr>
            <w:tcW w:type="dxa" w:w="4680"/>
            <w:shd w:fill="F5F7F8" w:val="clear" w:color="auto"/>
            <w:tcMar>
              <w:top w:w="70" w:type="dxa"/>
              <w:start w:w="110" w:type="dxa"/>
              <w:bottom w:w="70" w:type="dxa"/>
              <w:end w:w="110" w:type="dxa"/>
            </w:tcMar>
          </w:tcPr>
          <w:p>
            <w:pPr>
              <w:pStyle w:val="TableText"/>
            </w:pPr>
            <w:r>
              <w:rPr/>
              <w:t>14</w:t>
            </w:r>
          </w:p>
        </w:tc>
        <w:tc>
          <w:tcPr>
            <w:tcW w:type="dxa" w:w="4680"/>
            <w:shd w:fill="F5F7F8" w:val="clear" w:color="auto"/>
            <w:tcMar>
              <w:top w:w="70" w:type="dxa"/>
              <w:start w:w="110" w:type="dxa"/>
              <w:bottom w:w="70" w:type="dxa"/>
              <w:end w:w="110" w:type="dxa"/>
            </w:tcMar>
          </w:tcPr>
          <w:p>
            <w:pPr>
              <w:pStyle w:val="TableText"/>
            </w:pPr>
            <w:r>
              <w:rPr/>
              <w:t>747</w:t>
            </w:r>
          </w:p>
        </w:tc>
      </w:tr>
      <w:tr>
        <w:tc>
          <w:tcPr>
            <w:tcW w:type="dxa" w:w="4680"/>
            <w:tcMar>
              <w:top w:w="70" w:type="dxa"/>
              <w:start w:w="110" w:type="dxa"/>
              <w:bottom w:w="70" w:type="dxa"/>
              <w:end w:w="110" w:type="dxa"/>
            </w:tcMar>
          </w:tcPr>
          <w:p>
            <w:pPr>
              <w:pStyle w:val="TableText"/>
            </w:pPr>
            <w:r>
              <w:rPr/>
              <w:t>15</w:t>
            </w:r>
          </w:p>
        </w:tc>
        <w:tc>
          <w:tcPr>
            <w:tcW w:type="dxa" w:w="4680"/>
            <w:tcMar>
              <w:top w:w="70" w:type="dxa"/>
              <w:start w:w="110" w:type="dxa"/>
              <w:bottom w:w="70" w:type="dxa"/>
              <w:end w:w="110" w:type="dxa"/>
            </w:tcMar>
          </w:tcPr>
          <w:p>
            <w:pPr>
              <w:pStyle w:val="TableText"/>
            </w:pPr>
            <w:r>
              <w:rPr/>
              <w:t>755</w:t>
            </w:r>
          </w:p>
        </w:tc>
      </w:tr>
      <w:tr>
        <w:tc>
          <w:tcPr>
            <w:tcW w:type="dxa" w:w="4680"/>
            <w:shd w:fill="F5F7F8" w:val="clear" w:color="auto"/>
            <w:tcMar>
              <w:top w:w="70" w:type="dxa"/>
              <w:start w:w="110" w:type="dxa"/>
              <w:bottom w:w="70" w:type="dxa"/>
              <w:end w:w="110" w:type="dxa"/>
            </w:tcMar>
          </w:tcPr>
          <w:p>
            <w:pPr>
              <w:pStyle w:val="TableText"/>
            </w:pPr>
            <w:r>
              <w:rPr/>
              <w:t>16</w:t>
            </w:r>
          </w:p>
        </w:tc>
        <w:tc>
          <w:tcPr>
            <w:tcW w:type="dxa" w:w="4680"/>
            <w:shd w:fill="F5F7F8" w:val="clear" w:color="auto"/>
            <w:tcMar>
              <w:top w:w="70" w:type="dxa"/>
              <w:start w:w="110" w:type="dxa"/>
              <w:bottom w:w="70" w:type="dxa"/>
              <w:end w:w="110" w:type="dxa"/>
            </w:tcMar>
          </w:tcPr>
          <w:p>
            <w:pPr>
              <w:pStyle w:val="TableText"/>
            </w:pPr>
            <w:r>
              <w:rPr/>
              <w:t>762</w:t>
            </w:r>
          </w:p>
        </w:tc>
      </w:tr>
      <w:tr>
        <w:tc>
          <w:tcPr>
            <w:tcW w:type="dxa" w:w="4680"/>
            <w:tcMar>
              <w:top w:w="70" w:type="dxa"/>
              <w:start w:w="110" w:type="dxa"/>
              <w:bottom w:w="70" w:type="dxa"/>
              <w:end w:w="110" w:type="dxa"/>
            </w:tcMar>
          </w:tcPr>
          <w:p>
            <w:pPr>
              <w:pStyle w:val="TableText"/>
            </w:pPr>
            <w:r>
              <w:rPr/>
              <w:t>17</w:t>
            </w:r>
          </w:p>
        </w:tc>
        <w:tc>
          <w:tcPr>
            <w:tcW w:type="dxa" w:w="4680"/>
            <w:tcMar>
              <w:top w:w="70" w:type="dxa"/>
              <w:start w:w="110" w:type="dxa"/>
              <w:bottom w:w="70" w:type="dxa"/>
              <w:end w:w="110" w:type="dxa"/>
            </w:tcMar>
          </w:tcPr>
          <w:p>
            <w:pPr>
              <w:pStyle w:val="TableText"/>
            </w:pPr>
            <w:r>
              <w:rPr/>
              <w:t>770</w:t>
            </w:r>
          </w:p>
        </w:tc>
      </w:tr>
      <w:tr>
        <w:tc>
          <w:tcPr>
            <w:tcW w:type="dxa" w:w="4680"/>
            <w:shd w:fill="F5F7F8" w:val="clear" w:color="auto"/>
            <w:tcMar>
              <w:top w:w="70" w:type="dxa"/>
              <w:start w:w="110" w:type="dxa"/>
              <w:bottom w:w="70" w:type="dxa"/>
              <w:end w:w="110" w:type="dxa"/>
            </w:tcMar>
          </w:tcPr>
          <w:p>
            <w:pPr>
              <w:pStyle w:val="TableText"/>
            </w:pPr>
            <w:r>
              <w:rPr/>
              <w:t>18</w:t>
            </w:r>
          </w:p>
        </w:tc>
        <w:tc>
          <w:tcPr>
            <w:tcW w:type="dxa" w:w="4680"/>
            <w:shd w:fill="F5F7F8" w:val="clear" w:color="auto"/>
            <w:tcMar>
              <w:top w:w="70" w:type="dxa"/>
              <w:start w:w="110" w:type="dxa"/>
              <w:bottom w:w="70" w:type="dxa"/>
              <w:end w:w="110" w:type="dxa"/>
            </w:tcMar>
          </w:tcPr>
          <w:p>
            <w:pPr>
              <w:pStyle w:val="TableText"/>
            </w:pPr>
            <w:r>
              <w:rPr/>
              <w:t>778</w:t>
            </w:r>
          </w:p>
        </w:tc>
      </w:tr>
      <w:tr>
        <w:tc>
          <w:tcPr>
            <w:tcW w:type="dxa" w:w="4680"/>
            <w:tcMar>
              <w:top w:w="70" w:type="dxa"/>
              <w:start w:w="110" w:type="dxa"/>
              <w:bottom w:w="70" w:type="dxa"/>
              <w:end w:w="110" w:type="dxa"/>
            </w:tcMar>
          </w:tcPr>
          <w:p>
            <w:pPr>
              <w:pStyle w:val="TableText"/>
            </w:pPr>
            <w:r>
              <w:rPr/>
              <w:t>19</w:t>
            </w:r>
          </w:p>
        </w:tc>
        <w:tc>
          <w:tcPr>
            <w:tcW w:type="dxa" w:w="4680"/>
            <w:tcMar>
              <w:top w:w="70" w:type="dxa"/>
              <w:start w:w="110" w:type="dxa"/>
              <w:bottom w:w="70" w:type="dxa"/>
              <w:end w:w="110" w:type="dxa"/>
            </w:tcMar>
          </w:tcPr>
          <w:p>
            <w:pPr>
              <w:pStyle w:val="TableText"/>
            </w:pPr>
            <w:r>
              <w:rPr/>
              <w:t>785</w:t>
            </w:r>
          </w:p>
        </w:tc>
      </w:tr>
    </w:tbl>
    <w:p>
      <w:pPr>
        <w:pStyle w:val="Normal"/>
      </w:pPr>
      <w:r>
        <w:rPr>
          <w:b w:val="0"/>
        </w:rPr>
        <w:t>Starting in quota year 19, the quantity shall remain at 785 MT per year. (b) This paragraph applies to goods classified in the following tariff items:</w:t>
      </w:r>
    </w:p>
    <w:p>
      <w:pPr>
        <w:pStyle w:val="Normal"/>
      </w:pPr>
      <w:r>
        <w:t>1517.90.21, 1901.20.11, 1901.20.21, 1901.90.33, 1901.90.53, 2106.90.31, 2106.90.33, 2106.90.93, and 2309.90.31. (c) This TRQ shall be allocated on a calendar year basis. 19.</w:t>
      </w:r>
    </w:p>
    <w:p>
      <w:pPr>
        <w:pStyle w:val="Normal"/>
      </w:pPr>
      <w:r>
        <w:t>TRQ-CA15: Chicken (a) The aggregate quantity of originating goods described in subparagraph (b)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 eviscerated product basis)</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47,000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49,000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51,000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53,000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55,000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57,000</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57,570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58,146</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58,727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59,314</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59,908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60,507</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61,112</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61,723</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62,340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62,963</w:t>
            </w:r>
          </w:p>
        </w:tc>
      </w:tr>
    </w:tbl>
    <w:p>
      <w:pPr>
        <w:pStyle w:val="Normal"/>
      </w:pPr>
      <w:r>
        <w:t>Starting in quota year 16, the quantity shall remain at 62,963 MT per year. (b) This paragraph applies to goods classified in the following tariff items: 0105.94.91, 0207.11.91, 0207.12.91, 0207.13.91, 0207.14.21, 0207.14.91, 0209.90.10, 0210.99.11, 1601.00.21, 1602.20.21, 1602.32.12, and 1602.32.93. (c) This TRQ shall be allocated on a calendar year basis. 20. TRQ-CA16: Eggs and Egg Products (a) The aggregate quantity of originating goods described in subparagraph (c) that shall be permitted to enter duty-free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(dozen eggs equivalent)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1,666,667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3,333,333</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5,000,000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6,666,667</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8,333,333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10,000,000</w:t>
            </w:r>
          </w:p>
        </w:tc>
      </w:tr>
      <w:tr>
        <w:trPr>
          <w:cantSplit/>
        </w:trPr>
        <w:tc>
          <w:tcPr>
            <w:tcW w:type="dxa" w:w="1872"/>
            <w:tcMar>
              <w:top w:w="70" w:type="dxa"/>
              <w:start w:w="110" w:type="dxa"/>
              <w:bottom w:w="70" w:type="dxa"/>
              <w:end w:w="110" w:type="dxa"/>
            </w:tcMar>
            <w:vAlign w:val="center"/>
          </w:tcPr>
          <w:p>
            <w:pPr>
              <w:pStyle w:val="TableText"/>
            </w:pPr>
            <w:r>
              <w:rPr/>
              <w:t>7</w:t>
            </w:r>
          </w:p>
        </w:tc>
        <w:tc>
          <w:tcPr>
            <w:tcW w:type="dxa" w:w="3600"/>
            <w:tcMar>
              <w:top w:w="70" w:type="dxa"/>
              <w:start w:w="110" w:type="dxa"/>
              <w:bottom w:w="70" w:type="dxa"/>
              <w:end w:w="110" w:type="dxa"/>
            </w:tcMar>
            <w:vAlign w:val="center"/>
          </w:tcPr>
          <w:p>
            <w:pPr>
              <w:pStyle w:val="TableText"/>
            </w:pPr>
            <w:r>
              <w:rPr/>
              <w:t>10,100,000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8</w:t>
            </w:r>
          </w:p>
        </w:tc>
        <w:tc>
          <w:tcPr>
            <w:tcW w:type="dxa" w:w="3600"/>
            <w:shd w:fill="F5F7F8" w:val="clear" w:color="auto"/>
            <w:tcMar>
              <w:top w:w="70" w:type="dxa"/>
              <w:start w:w="110" w:type="dxa"/>
              <w:bottom w:w="70" w:type="dxa"/>
              <w:end w:w="110" w:type="dxa"/>
            </w:tcMar>
            <w:vAlign w:val="center"/>
          </w:tcPr>
          <w:p>
            <w:pPr>
              <w:pStyle w:val="TableText"/>
            </w:pPr>
            <w:r>
              <w:rPr/>
              <w:t>10,201,000</w:t>
            </w:r>
          </w:p>
        </w:tc>
      </w:tr>
      <w:tr>
        <w:trPr>
          <w:cantSplit/>
        </w:trPr>
        <w:tc>
          <w:tcPr>
            <w:tcW w:type="dxa" w:w="1872"/>
            <w:tcMar>
              <w:top w:w="70" w:type="dxa"/>
              <w:start w:w="110" w:type="dxa"/>
              <w:bottom w:w="70" w:type="dxa"/>
              <w:end w:w="110" w:type="dxa"/>
            </w:tcMar>
            <w:vAlign w:val="center"/>
          </w:tcPr>
          <w:p>
            <w:pPr>
              <w:pStyle w:val="TableText"/>
            </w:pPr>
            <w:r>
              <w:rPr/>
              <w:t>9</w:t>
            </w:r>
          </w:p>
        </w:tc>
        <w:tc>
          <w:tcPr>
            <w:tcW w:type="dxa" w:w="3600"/>
            <w:tcMar>
              <w:top w:w="70" w:type="dxa"/>
              <w:start w:w="110" w:type="dxa"/>
              <w:bottom w:w="70" w:type="dxa"/>
              <w:end w:w="110" w:type="dxa"/>
            </w:tcMar>
            <w:vAlign w:val="center"/>
          </w:tcPr>
          <w:p>
            <w:pPr>
              <w:pStyle w:val="TableText"/>
            </w:pPr>
            <w:r>
              <w:rPr/>
              <w:t>10,303,010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10</w:t>
            </w:r>
          </w:p>
        </w:tc>
        <w:tc>
          <w:tcPr>
            <w:tcW w:type="dxa" w:w="3600"/>
            <w:shd w:fill="F5F7F8" w:val="clear" w:color="auto"/>
            <w:tcMar>
              <w:top w:w="70" w:type="dxa"/>
              <w:start w:w="110" w:type="dxa"/>
              <w:bottom w:w="70" w:type="dxa"/>
              <w:end w:w="110" w:type="dxa"/>
            </w:tcMar>
            <w:vAlign w:val="center"/>
          </w:tcPr>
          <w:p>
            <w:pPr>
              <w:pStyle w:val="TableText"/>
            </w:pPr>
            <w:r>
              <w:rPr/>
              <w:t>10,406,040</w:t>
            </w:r>
          </w:p>
        </w:tc>
      </w:tr>
      <w:tr>
        <w:trPr>
          <w:cantSplit/>
        </w:trPr>
        <w:tc>
          <w:tcPr>
            <w:tcW w:type="dxa" w:w="1872"/>
            <w:tcMar>
              <w:top w:w="70" w:type="dxa"/>
              <w:start w:w="110" w:type="dxa"/>
              <w:bottom w:w="70" w:type="dxa"/>
              <w:end w:w="110" w:type="dxa"/>
            </w:tcMar>
            <w:vAlign w:val="center"/>
          </w:tcPr>
          <w:p>
            <w:pPr>
              <w:pStyle w:val="TableText"/>
            </w:pPr>
            <w:r>
              <w:rPr/>
              <w:t>11</w:t>
            </w:r>
          </w:p>
        </w:tc>
        <w:tc>
          <w:tcPr>
            <w:tcW w:type="dxa" w:w="3600"/>
            <w:tcMar>
              <w:top w:w="70" w:type="dxa"/>
              <w:start w:w="110" w:type="dxa"/>
              <w:bottom w:w="70" w:type="dxa"/>
              <w:end w:w="110" w:type="dxa"/>
            </w:tcMar>
            <w:vAlign w:val="center"/>
          </w:tcPr>
          <w:p>
            <w:pPr>
              <w:pStyle w:val="TableText"/>
            </w:pPr>
            <w:r>
              <w:rPr/>
              <w:t>10,510,101</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12</w:t>
            </w:r>
          </w:p>
        </w:tc>
        <w:tc>
          <w:tcPr>
            <w:tcW w:type="dxa" w:w="3600"/>
            <w:shd w:fill="F5F7F8" w:val="clear" w:color="auto"/>
            <w:tcMar>
              <w:top w:w="70" w:type="dxa"/>
              <w:start w:w="110" w:type="dxa"/>
              <w:bottom w:w="70" w:type="dxa"/>
              <w:end w:w="110" w:type="dxa"/>
            </w:tcMar>
            <w:vAlign w:val="center"/>
          </w:tcPr>
          <w:p>
            <w:pPr>
              <w:pStyle w:val="TableText"/>
            </w:pPr>
            <w:r>
              <w:rPr/>
              <w:t>10,615,202</w:t>
            </w:r>
          </w:p>
        </w:tc>
      </w:tr>
      <w:tr>
        <w:trPr>
          <w:cantSplit/>
        </w:trPr>
        <w:tc>
          <w:tcPr>
            <w:tcW w:type="dxa" w:w="1872"/>
            <w:tcMar>
              <w:top w:w="70" w:type="dxa"/>
              <w:start w:w="110" w:type="dxa"/>
              <w:bottom w:w="70" w:type="dxa"/>
              <w:end w:w="110" w:type="dxa"/>
            </w:tcMar>
            <w:vAlign w:val="center"/>
          </w:tcPr>
          <w:p>
            <w:pPr>
              <w:pStyle w:val="TableText"/>
            </w:pPr>
            <w:r>
              <w:rPr/>
              <w:t>13</w:t>
            </w:r>
          </w:p>
        </w:tc>
        <w:tc>
          <w:tcPr>
            <w:tcW w:type="dxa" w:w="3600"/>
            <w:tcMar>
              <w:top w:w="70" w:type="dxa"/>
              <w:start w:w="110" w:type="dxa"/>
              <w:bottom w:w="70" w:type="dxa"/>
              <w:end w:w="110" w:type="dxa"/>
            </w:tcMar>
            <w:vAlign w:val="center"/>
          </w:tcPr>
          <w:p>
            <w:pPr>
              <w:pStyle w:val="TableText"/>
            </w:pPr>
            <w:r>
              <w:rPr/>
              <w:t>10,721,354</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14</w:t>
            </w:r>
          </w:p>
        </w:tc>
        <w:tc>
          <w:tcPr>
            <w:tcW w:type="dxa" w:w="3600"/>
            <w:shd w:fill="F5F7F8" w:val="clear" w:color="auto"/>
            <w:tcMar>
              <w:top w:w="70" w:type="dxa"/>
              <w:start w:w="110" w:type="dxa"/>
              <w:bottom w:w="70" w:type="dxa"/>
              <w:end w:w="110" w:type="dxa"/>
            </w:tcMar>
            <w:vAlign w:val="center"/>
          </w:tcPr>
          <w:p>
            <w:pPr>
              <w:pStyle w:val="TableText"/>
            </w:pPr>
            <w:r>
              <w:rPr/>
              <w:t>10,828,567</w:t>
            </w:r>
          </w:p>
        </w:tc>
      </w:tr>
      <w:tr>
        <w:trPr>
          <w:cantSplit/>
        </w:trPr>
        <w:tc>
          <w:tcPr>
            <w:tcW w:type="dxa" w:w="1872"/>
            <w:tcMar>
              <w:top w:w="70" w:type="dxa"/>
              <w:start w:w="110" w:type="dxa"/>
              <w:bottom w:w="70" w:type="dxa"/>
              <w:end w:w="110" w:type="dxa"/>
            </w:tcMar>
            <w:vAlign w:val="center"/>
          </w:tcPr>
          <w:p>
            <w:pPr>
              <w:pStyle w:val="TableText"/>
            </w:pPr>
            <w:r>
              <w:rPr/>
              <w:t>15</w:t>
            </w:r>
          </w:p>
        </w:tc>
        <w:tc>
          <w:tcPr>
            <w:tcW w:type="dxa" w:w="3600"/>
            <w:tcMar>
              <w:top w:w="70" w:type="dxa"/>
              <w:start w:w="110" w:type="dxa"/>
              <w:bottom w:w="70" w:type="dxa"/>
              <w:end w:w="110" w:type="dxa"/>
            </w:tcMar>
            <w:vAlign w:val="center"/>
          </w:tcPr>
          <w:p>
            <w:pPr>
              <w:pStyle w:val="TableText"/>
            </w:pPr>
            <w:r>
              <w:rPr/>
              <w:t>10,936,853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16</w:t>
            </w:r>
          </w:p>
        </w:tc>
        <w:tc>
          <w:tcPr>
            <w:tcW w:type="dxa" w:w="3600"/>
            <w:shd w:fill="F5F7F8" w:val="clear" w:color="auto"/>
            <w:tcMar>
              <w:top w:w="70" w:type="dxa"/>
              <w:start w:w="110" w:type="dxa"/>
              <w:bottom w:w="70" w:type="dxa"/>
              <w:end w:w="110" w:type="dxa"/>
            </w:tcMar>
            <w:vAlign w:val="center"/>
          </w:tcPr>
          <w:p>
            <w:pPr>
              <w:pStyle w:val="TableText"/>
            </w:pPr>
            <w:r>
              <w:rPr/>
              <w:t>11,046,221</w:t>
            </w:r>
          </w:p>
        </w:tc>
      </w:tr>
    </w:tbl>
    <w:p>
      <w:pPr>
        <w:pStyle w:val="Normal"/>
      </w:pPr>
      <w:r>
        <w:t>Starting in quota year 16, the quantity shall remain at 11,046,221 dozen eggs equivalent per year.</w:t>
      </w:r>
    </w:p>
    <w:p>
      <w:pPr>
        <w:pStyle w:val="Normal"/>
      </w:pPr>
      <w:r>
        <w:t>(b) Canada shall apply the following provision in the administration of this TRQ: (i) The TRQ quantities set out in subparagraph (a) shall be used in priority for the importation of eggs for breaking purposes for further food processing (secondary manufacturing). (ii) Thirty percent of import licenses for shell egg imports will be made available to new importers. (c) This paragraph applies to goods classified in the following tariff items: 0407.11.91, 0407.21.10, 0407.90.11, 0408.11.10, 0408.19.10, 0408.91.10, 0408.99.10, 2106.90.51, 3502.11.10, and 3502.19.10. (d) This TRQ shall be allocated on a calendar year basis. Section C: Turkey, Turkey Products, Broiler Hatching Eggs, and Chicks 21. For the purposes of this Section: (a) turkey and turkey products means goods classified in the following tariff items: 0105.99.11, 0207.24.11, 0207.24.91, 0207.25.11, 0207.25.91, 0207.26.10, 0207.27.11, 0207.27.91, 0209.90.30, 0210.99.14, 1601.00.31, 1602.20.31, 1602.31.12, and 1602.31.93; and (b) broiler hatching eggs and chicks means goods classified in the following tariff items: 0105.11.21 and 0407.11.11. 22.</w:t>
      </w:r>
    </w:p>
    <w:p>
      <w:pPr>
        <w:pStyle w:val="Normal"/>
      </w:pPr>
      <w:r>
        <w:t>If Canada adopts or maintains TRQs under Canada’s WTO tariff schedule on any of the goods set out in Section C, Canada shall permit the importation of such goods as follows: (a) The level of global import quota on turkey and turkey products, as defined in Section C, for any given year shall be no less than 3.5 percent of the previous year’s domestic turkey production in Canada.</w:t>
      </w:r>
    </w:p>
    <w:p>
      <w:pPr>
        <w:pStyle w:val="Normal"/>
      </w:pPr>
      <w:r>
        <w:t>Except, for a period of 10 years after the entry into force of this Agreement, Canada shall calculate the difference, in any given year, between: (i) 3.5 percent of the previous year’s domestic turkey production in Canada, and (ii) 3.5 percent of that year’s Canadian domestic turkey production quota. If (i) exceeds (ii) by 1,000 metric tons or more, then Canada may restrict the level of global import quota on turkey and turkey products for that quota year to no more than 3.5 percent of that year’s Canadian domestic turkey production quota plus 1,000 metric tons. (b) The combined level of global import quotas on broiler hatching eggs and chick products, as defined in Section C, for any given year shall be no less than 21.1 percent of the estimated Canadian domestic production of broiler hatching eggs for that year. This estimate shall be adjusted and finalized on the first of August of each year.</w:t>
      </w:r>
    </w:p>
    <w:p>
      <w:pPr>
        <w:pStyle w:val="Normal"/>
      </w:pPr>
      <w:r>
        <w:t>This combined annual access level shall be subdivided into separate and distinct access levels for broiler hatching eggs and for chicks for broiler production such that the annual access level for broiler hatching eggs shall be equivalent to 17.4 percent of Canadian domestic broiler hatching egg production and the annual access level for egg-equivalent chicks shall be 3.7 percent of Canadian domestic broiler hatching egg production.</w:t>
      </w:r>
    </w:p>
    <w:p>
      <w:pPr>
        <w:pStyle w:val="Normal"/>
      </w:pPr>
      <w:r>
        <w:t xml:space="preserve">Canada shall permit any person who has received an allocation of annual access for broiler hatching eggs to convert any proportion of said allocation into an allocation for chick imports at a conversion rate such that 1.27 broiler hatching eggs are equal to 1 chick. Chick import allocations may not be converted into egg import allocations, unless agreed by both Parties in advance in writing.</w:t>
      </w:r>
    </w:p>
    <w:p>
      <w:pPr>
        <w:pStyle w:val="Heading2"/>
      </w:pPr>
      <w:bookmarkStart w:id="900058" w:name="_Toc300000057"/>
      <w:r>
        <w:t xml:space="preserve">Appendix 2: Tariff Schedule of the United States - (Tariff Rate Quotas)</w:t>
      </w:r>
      <w:bookmarkEnd w:id="900058"/>
    </w:p>
    <w:p>
      <w:pPr>
        <w:pStyle w:val="Normal"/>
      </w:pPr>
      <w:r>
        <w:t xml:space="preserve">Section A: General Provisions 1. This Appendix sets out modifications to the Harmonized Tariff Schedule of the United States (HTSUS) that reflect the tariff rate quotas (TRQs) that the United States shall apply to certain originating goods from Canada under this Agreement. In particular, originating goods of Canada included under this Appendix shall be subject to the rates of duty set out in this Appendix instead of the rates of duty specified in Chapter 1 through Chapter 97 of the HTSUS. Notwithstanding any other provision of the HTSUS, originating goods of Canada in the quantities described in this Appendix shall be permitted entry into the territory of the United States as provided in this Appendix.</w:t>
      </w:r>
    </w:p>
    <w:p>
      <w:pPr>
        <w:pStyle w:val="Normal"/>
      </w:pPr>
      <w:r>
        <w:t>Furthermore, except as provided below, any quantity of originating goods imported from Canada under a TRQ provided for in this Appendix shall not be counted toward the in-quota quantity of any TRQ provided for such goods under the United States’ WTO Tariff Schedule, the United States’ WTO Schedule of Concessions or any other trade agreement. 2. Except as provided below, the United States shall administer all TRQs provided for in this Agreement and set out in this Appendix on a first-come, first-served basis. 3. For the purposes of this Appendix, quota year means calendar year. 4. Each good or group of goods covered by each TRQ set out below is informally described in the title to the paragraph setting out the TRQ. These titles are included solely to assist readers in understanding this Appendix and shall not alter or supersede the coverage for each TRQ established by reference to the relevant Table 1 provisions. 5. For the purposes of this Appendix, the term “metric tons” shall be abbreviated as “MT”. Section B: Country-Specific TRQs 6. TRQ – US 1:</w:t>
      </w:r>
    </w:p>
    <w:p>
      <w:pPr>
        <w:pStyle w:val="Normal"/>
      </w:pPr>
      <w:r>
        <w:t>Fluid Cream, Sour Cream, Ice Cream, and Milk Beverages (a) This paragraph sets out a TRQ for the originating goods of Canada described in subparagraph (d). The TRQ set out in this paragraph is designated in Appendix 1 of the Schedule of the United States to Annex 2-B (Tariff Commitments) with the designation “US 1”.</w:t>
      </w:r>
    </w:p>
    <w:p>
      <w:pPr>
        <w:pStyle w:val="Normal"/>
      </w:pPr>
      <w:r>
        <w:t>(b) The aggregate quantity of originating goods of Canada described in subparagraph (d)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(‘000 Liters)</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1,750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3,500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5,250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7,000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8,750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10,500</w:t>
            </w:r>
          </w:p>
        </w:tc>
      </w:tr>
    </w:tbl>
    <w:p>
      <w:pPr>
        <w:pStyle w:val="Normal"/>
      </w:pPr>
      <w:r>
        <w:t>Starting in quota year seven, the quantity shall increase at a compounded annual growth rate of one percent for the subsequent 13 years. (c) Goods entered in aggregate quantities in excess of the quantities listed in subparagraph (b) shall continue to receive most-favored-nation tariff treatment. (d) This paragraph applies to the following Table 1 provisions: AG04014025, AG04015025, AG04039016, AG 21050020, and AG22029928. 7. TRQ – US 2: Skim Milk Powder (a) This paragraph sets out a TRQ for the originating goods of Canada described in subparagraph (d). The TRQ set out in this paragraph is designated in Appendix 1 of the Schedule of the United States to Annex 2-B (Tariff Commitments) with the designation “US 2”.</w:t>
      </w:r>
    </w:p>
    <w:p>
      <w:pPr>
        <w:pStyle w:val="Normal"/>
      </w:pPr>
      <w:r>
        <w:t>(b) The aggregate quantity of originating goods of Canada described in subparagraph (d)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1,250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2,500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3,750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5,000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6,250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7,500</w:t>
            </w:r>
          </w:p>
        </w:tc>
      </w:tr>
    </w:tbl>
    <w:p>
      <w:pPr>
        <w:pStyle w:val="Normal"/>
      </w:pPr>
      <w:r>
        <w:t>Starting in quota year seven, the quantity shall increase at a compounded annual growth rate of one percent for the subsequent 13 years.</w:t>
      </w:r>
    </w:p>
    <w:p>
      <w:pPr>
        <w:pStyle w:val="Normal"/>
      </w:pPr>
      <w:r>
        <w:t>(c) Goods entered in aggregate quantities in excess of the quantities listed in subparagraph (b) shall continue to receive most favored nation tariff treatment. (d) This paragraph applies to the following Table 1 provisions: AG04021050 and AG04022125. 8. TRQ – US 3: Butter, Cream, and Cream Powder (a) This paragraph sets out a TRQ for the originating goods of Canada described in subparagraph (d). The TRQ set out in this paragraph is designated in Appendix 1 of the Schedule of the United States to Annex 2-B (Tariff Commitments) with the designation “US 3”. (b) The aggregate quantity of originating goods of Canada described in subparagraph (d)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1,500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2,250</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3,000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3,750</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4,500</w:t>
            </w:r>
          </w:p>
        </w:tc>
      </w:tr>
    </w:tbl>
    <w:p>
      <w:pPr>
        <w:pStyle w:val="Normal"/>
      </w:pPr>
      <w:r>
        <w:t>Starting in quota year seven, the quantity shall increase at a compounded annual growth rate of one percent for the subsequent 13 years.</w:t>
      </w:r>
    </w:p>
    <w:p>
      <w:pPr>
        <w:pStyle w:val="Normal"/>
      </w:pPr>
      <w:r>
        <w:t>(c) Goods entered in aggregate quantities in excess of the quantities listed in subparagraph (b) shall continue to receive most favored nation tariff treatment. (d) This paragraph applies to the following Table 1 provisions: AG04015075, AG04022190, AG04039065, AG04039078, AG04051020, AG04052030, AG04052070, AG04059020, AG21069026, and AG21069036 9. TRQ – US 4: Cheese (a) This paragraph sets out a TRQ for the originating goods of Canada described in subparagraph (d).</w:t>
      </w:r>
    </w:p>
    <w:p>
      <w:pPr>
        <w:pStyle w:val="Normal"/>
      </w:pPr>
      <w:r>
        <w:t>The TRQ set out in this paragraph is designated in the Appendix 1 of the Schedule of the United States to Annex 2-B (Tariff Commitments) with the designation “US 4”. (b) The aggregate quantity of originating goods of Canada described in subparagraph (d)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2,083</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4,167</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6,250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8,333</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10,416</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6</w:t>
            </w:r>
          </w:p>
        </w:tc>
        <w:tc>
          <w:tcPr>
            <w:tcW w:type="dxa" w:w="3600"/>
            <w:shd w:fill="F5F7F8" w:val="clear" w:color="auto"/>
            <w:tcMar>
              <w:top w:w="70" w:type="dxa"/>
              <w:start w:w="110" w:type="dxa"/>
              <w:bottom w:w="70" w:type="dxa"/>
              <w:end w:w="110" w:type="dxa"/>
            </w:tcMar>
            <w:vAlign w:val="center"/>
          </w:tcPr>
          <w:p>
            <w:pPr>
              <w:pStyle w:val="TableText"/>
            </w:pPr>
            <w:r>
              <w:rPr/>
              <w:t>12,500</w:t>
            </w:r>
          </w:p>
        </w:tc>
      </w:tr>
    </w:tbl>
    <w:p>
      <w:pPr>
        <w:pStyle w:val="Normal"/>
      </w:pPr>
      <w:r>
        <w:t>Starting in quota year seven, the quantity shall increase at a compounded annual growth rate of one percent for the subsequent 13 years. (c) Goods entered in aggregate quantities in excess of the quantities listed in subparagraph (b) shall continue to receive most favored nation tariff treatment. (d) This paragraph applies to the following Table 1 provisions: AG04061008, AG04061018, AG04061028, AG04061038, AG04061048, AG04061058, AG04061068, AG04061078, AG04061088, AG04062028, AG04062033, AG04062039, AG04062048, AG04062053, AG04062063, AG04062067, AG04062071, AG04062075, AG04062079, AG04062083, AG04062087, AG04062091, AG04063018, AG04063028, AG04063038, AG04063048, AG04063053, AG04063063, AG04063067, AG04063071, AG04063075, AG04063079, AG04063083, AG04063087, AG04063091, AG04064070, AG04069012, AG04069018, AG04069032, AG04069037, AG04069042, AG04069048, AG04069054, AG04069068, AG04069074, AG04069078, AG04069084, AG04069088, AG04069092, AG04069094, AG04069097, and AG19019036. 10.</w:t>
      </w:r>
    </w:p>
    <w:p>
      <w:pPr>
        <w:pStyle w:val="Normal"/>
      </w:pPr>
      <w:r>
        <w:rPr>
          <w:b w:val="0"/>
        </w:rPr>
        <w:t>TRQ – US 5: Whole Milk Powder (a) This paragraph sets out a country-specific TRQ for the originating goods of Canada described in subparagraph (d). The TRQ set out in this paragraph is designated in Appendix 1 of the Schedule of the United States to Annex 2-B (Tariff Commitments) with the designation “US 5”. (b) The aggregate quantity of originating goods of Canada described in subparagraph (d)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Quota Year</w:t>
            </w:r>
          </w:p>
        </w:tc>
        <w:tc>
          <w:tcPr>
            <w:tcW w:type="dxa" w:w="4680"/>
            <w:tcBorders>
              <w:bottom w:val="single" w:sz="6" w:space="0" w:color="546E7A"/>
            </w:tcBorders>
            <w:shd w:fill="E4E9EC" w:val="clear" w:color="auto"/>
          </w:tcPr>
          <w:p>
            <w:pPr>
              <w:pStyle w:val="TableText"/>
            </w:pPr>
            <w:r>
              <w:rPr>
                <w:b/>
                <w:color w:val="37474F"/>
              </w:rPr>
              <w:t>Aggregate Quantity (MT)</w:t>
            </w:r>
          </w:p>
        </w:tc>
      </w:tr>
      <w:tr>
        <w:tc>
          <w:tcPr>
            <w:tcW w:type="dxa" w:w="4680"/>
            <w:tcMar>
              <w:top w:w="70" w:type="dxa"/>
              <w:start w:w="110" w:type="dxa"/>
              <w:bottom w:w="70" w:type="dxa"/>
              <w:end w:w="110" w:type="dxa"/>
            </w:tcMar>
          </w:tcPr>
          <w:p>
            <w:pPr>
              <w:pStyle w:val="TableText"/>
            </w:pPr>
            <w:r>
              <w:rPr/>
              <w:t>1</w:t>
            </w:r>
          </w:p>
        </w:tc>
        <w:tc>
          <w:tcPr>
            <w:tcW w:type="dxa" w:w="4680"/>
            <w:tcMar>
              <w:top w:w="70" w:type="dxa"/>
              <w:start w:w="110" w:type="dxa"/>
              <w:bottom w:w="70" w:type="dxa"/>
              <w:end w:w="110" w:type="dxa"/>
            </w:tcMar>
          </w:tcPr>
          <w:p>
            <w:pPr>
              <w:pStyle w:val="TableText"/>
            </w:pPr>
            <w:r>
              <w:rPr/>
              <w:t>115</w:t>
            </w:r>
          </w:p>
        </w:tc>
      </w:tr>
      <w:tr>
        <w:tc>
          <w:tcPr>
            <w:tcW w:type="dxa" w:w="4680"/>
            <w:shd w:fill="F5F7F8" w:val="clear" w:color="auto"/>
            <w:tcMar>
              <w:top w:w="70" w:type="dxa"/>
              <w:start w:w="110" w:type="dxa"/>
              <w:bottom w:w="70" w:type="dxa"/>
              <w:end w:w="110" w:type="dxa"/>
            </w:tcMar>
          </w:tcPr>
          <w:p>
            <w:pPr>
              <w:pStyle w:val="TableText"/>
            </w:pPr>
            <w:r>
              <w:rPr/>
              <w:t>2</w:t>
            </w:r>
          </w:p>
        </w:tc>
        <w:tc>
          <w:tcPr>
            <w:tcW w:type="dxa" w:w="4680"/>
            <w:shd w:fill="F5F7F8" w:val="clear" w:color="auto"/>
            <w:tcMar>
              <w:top w:w="70" w:type="dxa"/>
              <w:start w:w="110" w:type="dxa"/>
              <w:bottom w:w="70" w:type="dxa"/>
              <w:end w:w="110" w:type="dxa"/>
            </w:tcMar>
          </w:tcPr>
          <w:p>
            <w:pPr>
              <w:pStyle w:val="TableText"/>
            </w:pPr>
            <w:r>
              <w:rPr/>
              <w:t>230</w:t>
            </w:r>
          </w:p>
        </w:tc>
      </w:tr>
      <w:tr>
        <w:tc>
          <w:tcPr>
            <w:tcW w:type="dxa" w:w="4680"/>
            <w:tcMar>
              <w:top w:w="70" w:type="dxa"/>
              <w:start w:w="110" w:type="dxa"/>
              <w:bottom w:w="70" w:type="dxa"/>
              <w:end w:w="110" w:type="dxa"/>
            </w:tcMar>
          </w:tcPr>
          <w:p>
            <w:pPr>
              <w:pStyle w:val="TableText"/>
            </w:pPr>
            <w:r>
              <w:rPr/>
              <w:t>3</w:t>
            </w:r>
          </w:p>
        </w:tc>
        <w:tc>
          <w:tcPr>
            <w:tcW w:type="dxa" w:w="4680"/>
            <w:tcMar>
              <w:top w:w="70" w:type="dxa"/>
              <w:start w:w="110" w:type="dxa"/>
              <w:bottom w:w="70" w:type="dxa"/>
              <w:end w:w="110" w:type="dxa"/>
            </w:tcMar>
          </w:tcPr>
          <w:p>
            <w:pPr>
              <w:pStyle w:val="TableText"/>
            </w:pPr>
            <w:r>
              <w:rPr/>
              <w:t>345</w:t>
            </w:r>
          </w:p>
        </w:tc>
      </w:tr>
      <w:tr>
        <w:tc>
          <w:tcPr>
            <w:tcW w:type="dxa" w:w="4680"/>
            <w:shd w:fill="F5F7F8" w:val="clear" w:color="auto"/>
            <w:tcMar>
              <w:top w:w="70" w:type="dxa"/>
              <w:start w:w="110" w:type="dxa"/>
              <w:bottom w:w="70" w:type="dxa"/>
              <w:end w:w="110" w:type="dxa"/>
            </w:tcMar>
          </w:tcPr>
          <w:p>
            <w:pPr>
              <w:pStyle w:val="TableText"/>
            </w:pPr>
            <w:r>
              <w:rPr/>
              <w:t>4</w:t>
            </w:r>
          </w:p>
        </w:tc>
        <w:tc>
          <w:tcPr>
            <w:tcW w:type="dxa" w:w="4680"/>
            <w:shd w:fill="F5F7F8" w:val="clear" w:color="auto"/>
            <w:tcMar>
              <w:top w:w="70" w:type="dxa"/>
              <w:start w:w="110" w:type="dxa"/>
              <w:bottom w:w="70" w:type="dxa"/>
              <w:end w:w="110" w:type="dxa"/>
            </w:tcMar>
          </w:tcPr>
          <w:p>
            <w:pPr>
              <w:pStyle w:val="TableText"/>
            </w:pPr>
            <w:r>
              <w:rPr/>
              <w:t>460</w:t>
            </w:r>
          </w:p>
        </w:tc>
      </w:tr>
      <w:tr>
        <w:tc>
          <w:tcPr>
            <w:tcW w:type="dxa" w:w="4680"/>
            <w:tcMar>
              <w:top w:w="70" w:type="dxa"/>
              <w:start w:w="110" w:type="dxa"/>
              <w:bottom w:w="70" w:type="dxa"/>
              <w:end w:w="110" w:type="dxa"/>
            </w:tcMar>
          </w:tcPr>
          <w:p>
            <w:pPr>
              <w:pStyle w:val="TableText"/>
            </w:pPr>
            <w:r>
              <w:rPr/>
              <w:t>5</w:t>
            </w:r>
          </w:p>
        </w:tc>
        <w:tc>
          <w:tcPr>
            <w:tcW w:type="dxa" w:w="4680"/>
            <w:tcMar>
              <w:top w:w="70" w:type="dxa"/>
              <w:start w:w="110" w:type="dxa"/>
              <w:bottom w:w="70" w:type="dxa"/>
              <w:end w:w="110" w:type="dxa"/>
            </w:tcMar>
          </w:tcPr>
          <w:p>
            <w:pPr>
              <w:pStyle w:val="TableText"/>
            </w:pPr>
            <w:r>
              <w:rPr/>
              <w:t>575</w:t>
            </w:r>
          </w:p>
        </w:tc>
      </w:tr>
      <w:tr>
        <w:tc>
          <w:tcPr>
            <w:tcW w:type="dxa" w:w="4680"/>
            <w:shd w:fill="F5F7F8" w:val="clear" w:color="auto"/>
            <w:tcMar>
              <w:top w:w="70" w:type="dxa"/>
              <w:start w:w="110" w:type="dxa"/>
              <w:bottom w:w="70" w:type="dxa"/>
              <w:end w:w="110" w:type="dxa"/>
            </w:tcMar>
          </w:tcPr>
          <w:p>
            <w:pPr>
              <w:pStyle w:val="TableText"/>
            </w:pPr>
            <w:r>
              <w:rPr/>
              <w:t>6</w:t>
            </w:r>
          </w:p>
        </w:tc>
        <w:tc>
          <w:tcPr>
            <w:tcW w:type="dxa" w:w="4680"/>
            <w:shd w:fill="F5F7F8" w:val="clear" w:color="auto"/>
            <w:tcMar>
              <w:top w:w="70" w:type="dxa"/>
              <w:start w:w="110" w:type="dxa"/>
              <w:bottom w:w="70" w:type="dxa"/>
              <w:end w:w="110" w:type="dxa"/>
            </w:tcMar>
          </w:tcPr>
          <w:p>
            <w:pPr>
              <w:pStyle w:val="TableText"/>
            </w:pPr>
            <w:r>
              <w:rPr/>
              <w:t>690</w:t>
            </w:r>
          </w:p>
        </w:tc>
      </w:tr>
    </w:tbl>
    <w:p>
      <w:pPr>
        <w:pStyle w:val="Normal"/>
      </w:pPr>
      <w:r>
        <w:rPr>
          <w:b w:val="0"/>
        </w:rPr>
        <w:t>Starting in quota year seven, the quantity shall increase at a compounded annual growth rate of one percent for the subsequent 13 years. (c) Goods entered in aggregate quantities in excess of the quantities listed in subparagraph (b) shall continue to receive most favored nation tariff treatment. (d) This paragraph applies to the following Table 1 provisions: AG04022150, AG04022950, AG23099028, and AG23099048. 11. TRQ – US 6:</w:t>
      </w:r>
    </w:p>
    <w:p>
      <w:pPr>
        <w:pStyle w:val="Normal"/>
      </w:pPr>
      <w:r>
        <w:t>Dried Yogurt, Sour Cream, Whey, and Products of Milk Constituents (a) This paragraph sets out a country-specific TRQ for the originating goods of Canada described in subparagraph (e). The TRQ set out in this paragraph is designated in Appendix 1 of the Schedule of the United States to Annex 2-B (Tariff Commitments) with the designation “US 6”.</w:t>
      </w:r>
    </w:p>
    <w:p>
      <w:pPr>
        <w:pStyle w:val="Normal"/>
      </w:pPr>
      <w:r>
        <w:t>(b) The aggregate quantity of originating goods of Canada described in subparagraph (e)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1,838</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3,677</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5,515</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4</w:t>
            </w:r>
          </w:p>
        </w:tc>
        <w:tc>
          <w:tcPr>
            <w:tcW w:type="dxa" w:w="3600"/>
            <w:shd w:fill="F5F7F8" w:val="clear" w:color="auto"/>
            <w:tcMar>
              <w:top w:w="70" w:type="dxa"/>
              <w:start w:w="110" w:type="dxa"/>
              <w:bottom w:w="70" w:type="dxa"/>
              <w:end w:w="110" w:type="dxa"/>
            </w:tcMar>
            <w:vAlign w:val="center"/>
          </w:tcPr>
          <w:p>
            <w:pPr>
              <w:pStyle w:val="TableText"/>
            </w:pPr>
            <w:r>
              <w:rPr/>
              <w:t>7,353</w:t>
            </w:r>
          </w:p>
        </w:tc>
      </w:tr>
      <w:tr>
        <w:trPr>
          <w:cantSplit/>
        </w:trPr>
        <w:tc>
          <w:tcPr>
            <w:tcW w:type="dxa" w:w="1872"/>
            <w:tcMar>
              <w:top w:w="70" w:type="dxa"/>
              <w:start w:w="110" w:type="dxa"/>
              <w:bottom w:w="70" w:type="dxa"/>
              <w:end w:w="110" w:type="dxa"/>
            </w:tcMar>
            <w:vAlign w:val="center"/>
          </w:tcPr>
          <w:p>
            <w:pPr>
              <w:pStyle w:val="TableText"/>
            </w:pPr>
            <w:r>
              <w:rPr/>
              <w:t>5</w:t>
            </w:r>
          </w:p>
        </w:tc>
        <w:tc>
          <w:tcPr>
            <w:tcW w:type="dxa" w:w="3600"/>
            <w:tcMar>
              <w:top w:w="70" w:type="dxa"/>
              <w:start w:w="110" w:type="dxa"/>
              <w:bottom w:w="70" w:type="dxa"/>
              <w:end w:w="110" w:type="dxa"/>
            </w:tcMar>
            <w:vAlign w:val="center"/>
          </w:tcPr>
          <w:p>
            <w:pPr>
              <w:pStyle w:val="TableText"/>
            </w:pPr>
            <w:r>
              <w:rPr/>
              <w:t>11,030</w:t>
            </w:r>
          </w:p>
        </w:tc>
      </w:tr>
    </w:tbl>
    <w:p>
      <w:pPr>
        <w:pStyle w:val="Normal"/>
      </w:pPr>
      <w:r>
        <w:t>Starting in quota year seven, the quantity shall increase at a compounded annual growth rate of one percent for the subsequent 13 years. (c) With respect to goods described in subparagraph (e) entered in quantities in excess of the quantities listed in subparagraph (b), for those goods provided for in: (i) Table 1 provisions AG04041015 and AG04041090, duties shall be removed in accordance with the provisions of staging category B11 in the General Notes to the Schedule of the United States to Annex 2-B (Tariff Commitments), and (ii) any other Table 1 provision described in subparagraph (e) shall continue to receive most favored nation tariff treatment. (d) Starting on January 1 of quota year 11, originating goods of Canada provided for in Table 1 provisions AG04041015 and AG04041090 shall not count towards the quantities specified in subparagraph (b).</w:t>
      </w:r>
    </w:p>
    <w:p>
      <w:pPr>
        <w:pStyle w:val="Normal"/>
      </w:pPr>
      <w:r>
        <w:t>(e) This paragraph applies to the following Table 1 provisions: AG04031050, AG04039045, AG04039055, AG04039095, AG04041015, AG04041090, and AG04049050. 12. TRQ – US 7: Concentrated Milk (a) This paragraph sets out a country-specific TRQ for the originating goods of Canada described in subparagraph (d).</w:t>
      </w:r>
    </w:p>
    <w:p>
      <w:pPr>
        <w:pStyle w:val="Normal"/>
      </w:pPr>
      <w:r>
        <w:t>The TRQ set out in this paragraph is designated in Appendix 1 of the Schedule of the United States to Annex 2-B (Tariff Commitments) with the designation “US 7”. (b) The aggregate quantity of originating goods of Canada described in subparagraph (d)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1,150</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1,380</w:t>
            </w:r>
          </w:p>
        </w:tc>
      </w:tr>
    </w:tbl>
    <w:p>
      <w:pPr>
        <w:pStyle w:val="Normal"/>
      </w:pPr>
      <w:r>
        <w:t>Starting in quota year seven, the quantity shall increase at a compounded annual growth rate of one percent for the subsequent 13 years. (c) Goods entered in aggregate quantities in excess of the quantities listed in subparagraph (b) shall continue to receive MFN tariff treatment. (d) This paragraph applies to the following Table 1 provisions: AG04029170, AG04029190, AG04029945, AG04029955, and AG04029990. 13. TRQ – US 8: Other Dairy (a) This paragraph sets out a country-specific TRQ for the originating goods of Canada described in subparagraph (e).</w:t>
      </w:r>
    </w:p>
    <w:p>
      <w:pPr>
        <w:pStyle w:val="Normal"/>
      </w:pPr>
      <w:r>
        <w:t>The TRQ set out in this paragraph is designated in Appendix 1 of the Schedule of the United States to Annex 2-B (Tariff Commitments) with the designation “US 8”. (b) The aggregate quantity of originating goods of Canada described in subparagraph (e) that shall be permitted to enter free of duty in each quota year under this TRQ is: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1872"/>
            <w:tcBorders>
              <w:bottom w:val="single" w:sz="6" w:space="0" w:color="546E7A"/>
            </w:tcBorders>
            <w:shd w:fill="E4E9EC" w:val="clear" w:color="auto"/>
            <w:vAlign w:val="center"/>
          </w:tcPr>
          <w:p>
            <w:pPr>
              <w:pStyle w:val="TableText"/>
            </w:pPr>
            <w:r>
              <w:rPr>
                <w:b/>
                <w:color w:val="37474F"/>
              </w:rPr>
              <w:t>Quota Year</w:t>
            </w:r>
          </w:p>
        </w:tc>
        <w:tc>
          <w:tcPr>
            <w:tcW w:type="dxa" w:w="3600"/>
            <w:tcBorders>
              <w:bottom w:val="single" w:sz="6" w:space="0" w:color="546E7A"/>
            </w:tcBorders>
            <w:shd w:fill="E4E9EC" w:val="clear" w:color="auto"/>
            <w:vAlign w:val="center"/>
          </w:tcPr>
          <w:p>
            <w:pPr>
              <w:pStyle w:val="TableText"/>
            </w:pPr>
            <w:r>
              <w:rPr>
                <w:b/>
                <w:color w:val="37474F"/>
              </w:rPr>
              <w:t>Aggregate Quantity (MT)</w:t>
            </w:r>
          </w:p>
        </w:tc>
      </w:tr>
      <w:tr>
        <w:trPr>
          <w:cantSplit/>
        </w:trPr>
        <w:tc>
          <w:tcPr>
            <w:tcW w:type="dxa" w:w="1872"/>
            <w:tcMar>
              <w:top w:w="70" w:type="dxa"/>
              <w:start w:w="110" w:type="dxa"/>
              <w:bottom w:w="70" w:type="dxa"/>
              <w:end w:w="110" w:type="dxa"/>
            </w:tcMar>
            <w:vAlign w:val="center"/>
          </w:tcPr>
          <w:p>
            <w:pPr>
              <w:pStyle w:val="TableText"/>
            </w:pPr>
            <w:r>
              <w:rPr/>
              <w:t>1</w:t>
            </w:r>
          </w:p>
        </w:tc>
        <w:tc>
          <w:tcPr>
            <w:tcW w:type="dxa" w:w="3600"/>
            <w:tcMar>
              <w:top w:w="70" w:type="dxa"/>
              <w:start w:w="110" w:type="dxa"/>
              <w:bottom w:w="70" w:type="dxa"/>
              <w:end w:w="110" w:type="dxa"/>
            </w:tcMar>
            <w:vAlign w:val="center"/>
          </w:tcPr>
          <w:p>
            <w:pPr>
              <w:pStyle w:val="TableText"/>
            </w:pPr>
            <w:r>
              <w:rPr/>
              <w:t>1,267</w:t>
            </w:r>
          </w:p>
        </w:tc>
      </w:tr>
      <w:tr>
        <w:trPr>
          <w:cantSplit/>
        </w:trPr>
        <w:tc>
          <w:tcPr>
            <w:tcW w:type="dxa" w:w="1872"/>
            <w:shd w:fill="F5F7F8" w:val="clear" w:color="auto"/>
            <w:tcMar>
              <w:top w:w="70" w:type="dxa"/>
              <w:start w:w="110" w:type="dxa"/>
              <w:bottom w:w="70" w:type="dxa"/>
              <w:end w:w="110" w:type="dxa"/>
            </w:tcMar>
            <w:vAlign w:val="center"/>
          </w:tcPr>
          <w:p>
            <w:pPr>
              <w:pStyle w:val="TableText"/>
            </w:pPr>
            <w:r>
              <w:rPr/>
              <w:t>2</w:t>
            </w:r>
          </w:p>
        </w:tc>
        <w:tc>
          <w:tcPr>
            <w:tcW w:type="dxa" w:w="3600"/>
            <w:shd w:fill="F5F7F8" w:val="clear" w:color="auto"/>
            <w:tcMar>
              <w:top w:w="70" w:type="dxa"/>
              <w:start w:w="110" w:type="dxa"/>
              <w:bottom w:w="70" w:type="dxa"/>
              <w:end w:w="110" w:type="dxa"/>
            </w:tcMar>
            <w:vAlign w:val="center"/>
          </w:tcPr>
          <w:p>
            <w:pPr>
              <w:pStyle w:val="TableText"/>
            </w:pPr>
            <w:r>
              <w:rPr/>
              <w:t>1,583</w:t>
            </w:r>
          </w:p>
        </w:tc>
      </w:tr>
      <w:tr>
        <w:trPr>
          <w:cantSplit/>
        </w:trPr>
        <w:tc>
          <w:tcPr>
            <w:tcW w:type="dxa" w:w="1872"/>
            <w:tcMar>
              <w:top w:w="70" w:type="dxa"/>
              <w:start w:w="110" w:type="dxa"/>
              <w:bottom w:w="70" w:type="dxa"/>
              <w:end w:w="110" w:type="dxa"/>
            </w:tcMar>
            <w:vAlign w:val="center"/>
          </w:tcPr>
          <w:p>
            <w:pPr>
              <w:pStyle w:val="TableText"/>
            </w:pPr>
            <w:r>
              <w:rPr/>
              <w:t>3</w:t>
            </w:r>
          </w:p>
        </w:tc>
        <w:tc>
          <w:tcPr>
            <w:tcW w:type="dxa" w:w="3600"/>
            <w:tcMar>
              <w:top w:w="70" w:type="dxa"/>
              <w:start w:w="110" w:type="dxa"/>
              <w:bottom w:w="70" w:type="dxa"/>
              <w:end w:w="110" w:type="dxa"/>
            </w:tcMar>
            <w:vAlign w:val="center"/>
          </w:tcPr>
          <w:p>
            <w:pPr>
              <w:pStyle w:val="TableText"/>
            </w:pPr>
            <w:r>
              <w:rPr/>
              <w:t>1,900</w:t>
            </w:r>
          </w:p>
        </w:tc>
      </w:tr>
    </w:tbl>
    <w:p>
      <w:pPr>
        <w:pStyle w:val="Normal"/>
      </w:pPr>
      <w:r>
        <w:t>Starting in quota year seven, the quantity shall increase at a compounded annual growth rate of one percent for the subsequent 13 years.</w:t>
      </w:r>
    </w:p>
    <w:p>
      <w:pPr>
        <w:pStyle w:val="Normal"/>
      </w:pPr>
      <w:r>
        <w:t>(c) With respect to goods described in subparagraph (e) entered in quantities in excess of the quantities listed in subparagraph (b), for those goods provided for in: (i) Table 1 provision AG15179060, duties shall be removed in accordance with the provisions of staging category B6 in the General Notes to the Schedule of the United States to Annex 2-B (Tariff Commitments), and (ii) any other Table 1 provision described in subparagraph (e) shall continue to receive most favored nation tariff treatment. (d) Starting on January 1 of quota year 6, originating goods of Canada provided for in Table 1 provision AG15179060 shall not count towards the quantities specified in subparagraph (b). (e) This paragraph applies to the following Table 1 provisions: AG15179060, AG17049058, AG18062026, AG18062028, AG18062036, AG18062038, AG18062082, AG18062083, AG18062087, AG18062089, AG18063206, AG18063208, AG18063216, AG18063218, AG18063270, AG18063280, AG18069008, AG18069010, AG18069018, AG18069020, AG18069028, AG18069030, AG19011016, AG19011026, AG19011036, AG19011044, AG19011056, AG19011066, AG19012015, AG19012050, AG19019062, AG19019065, AG21050040, AG21069009, AG21069066, and AG21069087. 14. TRQ – US 9: Sugar (a) This paragraph sets out a country-specific TRQ for the originating goods of Canada described in subparagraph (e).</w:t>
      </w:r>
    </w:p>
    <w:p>
      <w:pPr>
        <w:pStyle w:val="Normal"/>
      </w:pPr>
      <w:r>
        <w:t>The TRQ set out in this paragraph is designated in Appendix 1 of the Schedule of the United States to Annex 2-B (Tariff Commitments) with the designation “US 9”. (b) The aggregate quantity of originating goods of Canada described in subparagraph (e) that shall be permitted to enter free of duty in each quota year under this TRQ is 9,600 MT. However, no quantity shall be permitted to enter free of duty unless wholly obtained from sugar beets produced in Canada.</w:t>
      </w:r>
    </w:p>
    <w:p>
      <w:pPr>
        <w:pStyle w:val="Normal"/>
      </w:pPr>
      <w:r>
        <w:t>(c) In any year in which the United States Secretary of Agriculture (the Secretary) makes a determination to permit the importation into the United States at in-quota tariff rates of additional quantities of refined sugar, other than specialty sugar, above the quantities made available at those rates pursuant to its commitments under the WTO Agreement and other trade agreements, including this Agreement, that is to say, additional in-quota rate imports of refined sugar, the quantity set out for that year in subparagraph (b) shall increase by an amount equal to 20 percent of the quantity of additional in-quota rate imports of refined sugar that the Secretary determines to permit to enter into the United States in that year. Any increase pursuant to this subparagraph of a quantity set out in subparagraph (b) shall not take effect until the date on which the additional in-quota rate imports of refined sugar are permitted entry into the United States.</w:t>
      </w:r>
    </w:p>
    <w:p>
      <w:pPr>
        <w:pStyle w:val="Normal"/>
      </w:pPr>
      <w:r>
        <w:t>Refined sugar imported pursuant to this subparagraph may be made from non-originating raw sugar. Nothing in this paragraph shall alter Canada’s rights under the WTO Agreement with respect to any increase by the United States of the quantities of refined sugar permitted to be imported above the quantities made available at in-quota tariff rates pursuant to its commitments under the WTO Agreement and other trade agreements, including this Agreement. (d) Goods entered in quantities in excess of the quantities provided under subparagraph (b) and, goods not wholly obtained from sugar beets produced in Canada, shall continue to receive most favored nation tariff treatment. (e) This paragraph applies to the following Table 1 provisions: AG17011250, AG17011350, AG17011450, AG17019130, AG17019950, and AG17029020. 15. TRQ – US 10: Sugar Containing Products (a) This paragraph sets out a country-specific TRQ for the originating goods of Canada described in subparagraph (g). The TRQ set out in this paragraph is designated in Appendix 1 of the Schedule of the United States to Annex 2-B (Tariff Commitments) with the designation “US 7”.</w:t>
      </w:r>
    </w:p>
    <w:p>
      <w:pPr>
        <w:pStyle w:val="Normal"/>
      </w:pPr>
      <w:r>
        <w:t>(b) The aggregate quantity of originating goods of Canada described in subparagraph (g) that shall be permitted to enter free of duty in each quota year under this TRQ is 9,600 MT.</w:t>
      </w:r>
    </w:p>
    <w:p>
      <w:pPr>
        <w:pStyle w:val="Normal"/>
      </w:pPr>
      <w:r>
        <w:t>(c) In any year for which Canada has provided the United States with a written notification in accordance with the terms of subparagraph (d) of Canada’s intent to require export certificates for the exportation of goods for import under this TRQ, the above quantity shall only be eligible for duty-free treatment if the U.S. importer makes a declaration to U.S. Customs and Border Protection (Customs), in the form and manner determined by Customs, that a valid export certificate issued by the Government of Canada is in effect for the goods. (d) Canada shall provide the United States with the notification referred to in subparagraph (c) at least 150 days prior to the start of each year in which Canada requires an export certificate for the exportation of goods for import under this TRQ. Canada shall provide the notification in writing to the U.S. Contact Point designated pursuant to Article 30.5 (Agreement Coordinator and Contact Points).</w:t>
      </w:r>
    </w:p>
    <w:p>
      <w:pPr>
        <w:pStyle w:val="Normal"/>
      </w:pPr>
      <w:r>
        <w:t>(e) Goods entered within the quantity listed in subparagraph (b) that are provided for in Table 1 provisions AG17019148, AG17019158, AG17022028, AG17023028, AG17024028, AG17026028, AG17029058, AG17029068, AG18061015, AG18061028, and AG18061038 may be made from sugar refined in Canada. For the purposes of this subparagraph, refined means a change to a good of HS subheading 1701.91 or 1701.99 from any other subheading.</w:t>
      </w:r>
    </w:p>
    <w:p>
      <w:pPr>
        <w:pStyle w:val="Normal"/>
      </w:pPr>
      <w:r>
        <w:t>(f) Goods entered in quantities in excess of the quantity listed in subparagraph (b) shall continue to receive MFN tariff treatment. (g) This paragraph applies to the following Table 1 provisions: AG17019148, AG17019158, AG17022028, AG17023028, AG17024028, AG17026028, AG17029058, AG17029068, AG17049068, AG17049078, AG18061015, AG18061028, AG18061038, AG18061055, AG18061075, AG18062073, AG18062077, AG18062094, AG18062098, AG18069039, AG18069049, AG18069059, AG19011076, AG19012025, AG19012035, AG19012060, AG19012070, AG19019068, AG19019071, AG21011238, AG21011248, AG21011258, AG21012038, AG21012048, AG21012058, AG21039078, AG21069046, AG21069072, AG21069076, AG21069080, AG21069091, AG21069094, and AG21069097. (h) Originating goods which last underwent production in Canada shall be considered eligible for this TRQ regardless of whether they qualify to be marked as a good of Canada pursuant to U.S. law.</w:t>
      </w:r>
    </w:p>
    <w:p>
      <w:pPr>
        <w:pStyle w:val="Normal"/>
      </w:pPr>
      <w:r>
        <w:t>Table 1 Heading Article Description</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AG04014025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04014025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AG04015025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04015025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AG04015075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04015075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AG04021050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04021050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AG04022125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04022125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AG04022150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04022150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AG04022190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04022190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AG04022950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04022950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AG04029170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04029170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AG04029190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04029190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AG04029945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04029945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AG04029955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04029955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AG04029990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04029990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AG04031050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04031050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AG04039016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04039016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AG04039045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04039045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AG04039055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04039055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AG04039065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04039065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AG04039078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04039078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AG04039095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04039095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AG04041015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04041015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AG04041090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04041090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AG04049050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04049050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AG04051020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04051020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AG04052030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04052030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AG04052070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04052070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AG04059020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04059020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AG04061008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04061008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AG04061018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04061018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AG04061028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04061028</w:t>
            </w:r>
          </w:p>
        </w:tc>
      </w:tr>
    </w:tbl>
    <w:p>
      <w:pPr>
        <w:pStyle w:val="Normal"/>
      </w:pPr>
      <w:r>
        <w:t>Provided for in tariff item 04061038</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AG04061048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04061048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AG04061058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04061058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AG04061068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04061068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AG04061078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04061078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AG04061088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04061088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AG04062028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04062028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AG04062033</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04062033</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AG04062039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04062039</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AG04062048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04062048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AG04062053</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04062053</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AG04062063</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04062063</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AG04062067</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04062067</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AG04062071</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04062071</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AG04062075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04062075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AG04062079</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04062079</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AG04062083</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04062083</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AG04062087</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04062087</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AG04062091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04062091</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AG04063018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04063018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AG04063028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04063028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AG04063038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04063038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AG04063048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04063048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AG04063053</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04063053</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AG04063063</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04063063</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AG04063067</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04063067</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AG04063071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04063071</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AG04063075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04063075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AG04063079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04063079</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AG04063083</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04063083</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AG04063087</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04063087</w:t>
            </w:r>
          </w:p>
        </w:tc>
      </w:tr>
    </w:tbl>
    <w:p>
      <w:pPr>
        <w:pStyle w:val="Normal"/>
      </w:pPr>
      <w:r>
        <w:t>Provided for in tariff item 04063091</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AG04064070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04064070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04069012</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AG04069018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04069018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AG04069032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04069032</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AG04069037</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04069037</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AG04069042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04069042</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AG04069048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04069048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AG04069054</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04069054</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AG04069068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04069068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AG04069074</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04069074</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AG04069078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04069078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AG04069084</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04069084</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AG04069088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04069088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04069092</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AG04069094</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04069094</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AG04069097</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04069097</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AG15179060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15179060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AG17011250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17011250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AG17011350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17011350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AG17011450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17011450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AG17019130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17019130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AG17019148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17019148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AG17019158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17019158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AG17019950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17019950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AG17022028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17022028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AG17023028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17023028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AG17024028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17024028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AG17026028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17026028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AG17029020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17029020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AG17029058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17029058</w:t>
            </w:r>
          </w:p>
        </w:tc>
      </w:tr>
    </w:tbl>
    <w:p>
      <w:pPr>
        <w:pStyle w:val="Normal"/>
      </w:pPr>
      <w:r>
        <w:t>Provided for in tariff item 17029068</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AG17049058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17049058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AG17049068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17049068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AG17049078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17049078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AG18061015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18061015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AG18061028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18061028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AG18061038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18061038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AG18061055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18061055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AG18061075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18061075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AG18062026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18062026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AG18062028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18062028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AG18062036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18062036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AG18062038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18062038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AG18062073</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18062073</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AG18062077</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18062077</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AG18062082</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18062082</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AG18062083</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18062083</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AG18062087</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18062087</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AG18062089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18062089</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AG18062094</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18062094</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AG18062098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18062098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AG18063206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18063206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AG18063208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18063208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AG18063216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18063216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AG18063218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18063218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AG18063270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18063270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AG18063280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18063280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AG18069008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18069008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18069010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AG18069018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18069018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18069020</w:t>
            </w:r>
          </w:p>
        </w:tc>
      </w:tr>
    </w:tbl>
    <w:p>
      <w:pPr>
        <w:pStyle w:val="Normal"/>
      </w:pPr>
      <w:r>
        <w:t>Provided for in tariff item 18069028</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AG18069030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18069030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AG18069039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18069039</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AG18069049</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18069049</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AG18069059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18069059</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AG19011016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19011016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AG19011026</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19011026</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AG19011036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19011036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AG19011044</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19011044</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AG19011056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19011056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AG19011066</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19011066</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AG19011076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19011076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AG19012015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19012015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AG19012025</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19012025</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AG19012035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19012035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AG19012050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19012050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AG19012060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19012060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AG19012070</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19012070</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AG19019036</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19019036</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AG19019062</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19019062</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AG19019065</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19019065</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AG19019068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19019068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AG19019071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19019071</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AG21011238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21011238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AG21011248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21011248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AG21011258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21011258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AG21012038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21012038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AG21012048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21012048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AG21012058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21012058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AG21039078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21039078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AG21050020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21050020</w:t>
            </w:r>
          </w:p>
        </w:tc>
      </w:tr>
    </w:tbl>
    <w:p>
      <w:pPr>
        <w:pStyle w:val="Normal"/>
      </w:pPr>
      <w:r>
        <w:t>Provided for in tariff item 21050040</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AG21069009</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21069009</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AG21069026</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21069026</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AG21069036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21069036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AG21069046</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21069046</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AG21069066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21069066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AG21069072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21069072</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AG21069076</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21069076</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AG21069080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21069080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AG21069087</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21069087</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AG21069091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21069091</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AG21069094</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21069094</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AG21069097</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21069097</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AG22029928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22029928</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AG23099028</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Provided for in tariff item 23099028</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AG23099048</w:t>
            </w:r>
          </w:p>
        </w:tc>
        <w:tc>
          <w:tcPr>
            <w:tcW w:w="4679" w:type="dxa"/>
            <w:tcMar>
              <w:top w:w="70" w:type="dxa"/>
              <w:start w:w="110" w:type="dxa"/>
              <w:bottom w:w="70" w:type="dxa"/>
              <w:end w:w="110" w:type="dxa"/>
            </w:tcMar>
            <w:vAlign w:val="center"/>
          </w:tcPr>
          <w:p>
            <w:pPr>
              <w:pStyle w:val="TableText"/>
              <w:jc w:val="left"/>
            </w:pPr>
            <w:r>
              <w:rPr>
                <w:lang w:val="en-US" w:eastAsia="en-US" w:bidi="ar-SA"/>
              </w:rPr>
              <w:t>Provided for in tariff item 23099048</w:t>
            </w:r>
          </w:p>
        </w:tc>
      </w:tr>
    </w:tbl>
    <w:p>
      <w:pPr>
        <w:pStyle w:val="Heading2"/>
      </w:pPr>
      <w:bookmarkStart w:id="900059" w:name="_Toc300000058"/>
      <w:r>
        <w:t xml:space="preserve">ANNEX 2-C PROVISIONS BETWEEN MEXICO AND THE UNITED STATES ON AUTOMOTIVE GOODS</w:t>
      </w:r>
      <w:bookmarkEnd w:id="900059"/>
    </w:p>
    <w:p>
      <w:pPr>
        <w:pStyle w:val="Normal"/>
      </w:pPr>
      <w:r>
        <w:t xml:space="preserve">1. This Annex does not apply to originating goods that qualify for duty free preferential tariff treatment under Chapter 4 (Rules of Origin) that are imported to the United States from Mexico and are: (a) passenger vehicles classified in subheadings 8703.21 through 8703.90; (b) light trucks classified in subheading 8704.21 or 8704.31, or (c) auto parts listed in the Appendix to this Annex. 2. The customs duty applied by the United States on passenger vehicles imported from Mexico classified in subheadings 8703.21 through 8703.90 that do not qualify as originating under Chapter 4 (Rules of Origin), shall not exceed the lesser of 2.5 percent or the United States’ most-favored-nation (MFN) applied rate in effect at the time of the importation of the good. 3. The customs duty applied by the United States on light trucks imported from Mexico classified in subheadings 8704.21 or 8704.31 that do not qualify as originating under Chapter 4 (Rules of Origin), shall not exceed the lesser of 25 percent or the United States’ MFN applied rate in effect at the time of the importation of the good. 4.</w:t>
      </w:r>
    </w:p>
    <w:p>
      <w:pPr>
        <w:pStyle w:val="Normal"/>
      </w:pPr>
      <w:r>
        <w:t>The customs duty applied by the United States on auto parts imported from Mexico listed in the Appendix to this Annex that do not qualify as originating under Chapter 4 (Rules of Origin), shall not exceed the lesser of the United States’ MFN applied rate in effect on August 1, 2018 or the MFN applied rate in effect at the time of the importation of the good. 5. If the United States implements any measure that increases its MFN applied rate in effect on August 1, 2018 on passenger vehicles classified in subheadings 8703.21 through 8703.90, or on auto parts listed in the Appendix to this Annex, and in order to protect Mexico’s ability to export passenger vehicles and auto parts throughout the territories of the Parties at volumes that take into account Mexico’s existing manufacturing capacity, the following shall apply:</w:t>
      </w:r>
    </w:p>
    <w:p>
      <w:pPr>
        <w:pStyle w:val="Normal"/>
      </w:pPr>
      <w:r>
        <w:t>(a) The customs duty applied by the United States on a passenger vehicle classified in subheadings 8703.21 through 8703.90 imported from Mexico that does not qualify as originating under Chapter 4 (Rules of Origin) shall not exceed 2.5 percent, provided that the vehicle meets a regional value content requirement of at least 62.5 percent under the net cost method as set out under Article 4.5 (Regional Value Content).</w:t>
      </w:r>
    </w:p>
    <w:p>
      <w:pPr>
        <w:pStyle w:val="Normal"/>
      </w:pPr>
      <w:r>
        <w:t>In addition, averaging provisions under Article 10.4 of the Appendix to Annex 4-B (Regional Value Content for Other Vehicles) and other 2-C-1 provisions under Article 10.6 of the Appendix to Annex 4-B (Regional Value Content for Other Vehicles) apply. The United States may limit this treatment to 1,600,000 vehicles in any calendar year. (b) The customs duty applied by the United States on an auto part listed in the Appendix to this Annex imported from Mexico that do not qualify as originating under Chapter 4 (Rules of Origin) shall not exceed the United States’ MFN applied rate in effect on August 1, 2018, provided that the part meets a regional value content requirement of at least 50 percent under the net cost method, or 60 percent under the transaction value method, as set out under Article 4.5 (Regional Value Content) or any non-originating materials used in the production of the auto part are classified in a different heading than the auto part.</w:t>
      </w:r>
    </w:p>
    <w:p>
      <w:pPr>
        <w:pStyle w:val="Normal"/>
      </w:pPr>
      <w:r>
        <w:t>In addition, averaging provisions under Article 10.5 of the Appendix to Annex 4-B (Regional Value Content for Other Vehicles). The United States may limit this treatment to auto parts valued at 108 billion U.S. dollars in any calendar year. (c) Mexico shall monitor and allocate or otherwise administer quantities of passenger vehicles and auto parts eligible for this treatment under subparagraphs (a) and (b).</w:t>
      </w:r>
    </w:p>
    <w:p>
      <w:pPr>
        <w:pStyle w:val="Normal"/>
      </w:pPr>
      <w:r>
        <w:t xml:space="preserve">(d) The customs duty applied by the United States on passenger vehicles classified in subheadings 8703.21 through 8703.90 or auto parts listed in the Appendix to this Annex that do not qualify as originating under Chapter 4 (Rules of Origin) imported from Mexico in excess of the quantities set out in subparagraphs (a) and (b) shall be the United States’ MFN applied rate in effect at the time of importation of the good. (e) For greater certainty, goods described under subparagraphs (a) and (b) shall be subject to Chapter 5 (Origin Procedures). 2-C-2</w:t>
      </w:r>
    </w:p>
    <w:p>
      <w:pPr>
        <w:pStyle w:val="Heading2"/>
      </w:pPr>
      <w:bookmarkStart w:id="900060" w:name="_Toc300000059"/>
      <w:r>
        <w:t xml:space="preserve">APPENDIX AUTO PARTS</w:t>
      </w:r>
      <w:bookmarkEnd w:id="900060"/>
    </w:p>
    <w:p>
      <w:pPr>
        <w:pStyle w:val="Normal"/>
      </w:pPr>
      <w:r>
        <w:t xml:space="preserve">Note: For purposes of reference only, descriptions are provided next to the corresponding tariff provisions. Hydraulic Brake Fluid Anti-Freeze Stoppers, lids, caps and other closures Fittings for furniture, coachwork or the like General Use Plastic Articles Pipe, Not Reinforced/Comb. W/ Materials W/ Fittings Pipes, Vulc Rub, Reinforced/Combo With Metal,W/ Fitting Reinforced or otherwise combined only with textile materials: Without fittings Pipe of Vul Rub, Reinforced W/ Text Only Mat,W/Fittings Pipe, Reinforced/Comb W/Other Textile Mat,W/Fittings Endless Trans. Belts V-Belt/V-Ribbed/Circ 60-180Cm Endless Trans. Belts V-Belt, Circ 60-180Cm, Nesoi Endless Trans Belts V-Belt/V-Ribbed/Circ 180-240Cm Endless Trans.</w:t>
      </w:r>
    </w:p>
    <w:p>
      <w:pPr>
        <w:pStyle w:val="Normal"/>
      </w:pPr>
      <w:r>
        <w:t>Belts V-Belt, Circ 180-240Cm, Nesoi Transmission Belt/Belting, of Vulcanize Rub, Nesoi New Pneumatic Tires of Rubber, for Motor Cars New Pneumatic Tires of Rubber, for Buses or Trucks Retreaded Tires of Rubber, for Use on Motor Cars Retreaded Tires of Rubber, for Use on Trucks Retreaded Tires of Rubber, Nesoi Inner Tubes of Rubber for Mot Cars, Buses &amp; Trucks Articles Nesoi, Of Vulcanized Rubber Other Than Hard Rubber, Of Cell Rubber Gasket, Washers &amp; Other Seals, of Vulcanized Rub Articles of Soft Vulcanized Rubber Nesoi Other Containing asbestos Not containing asbestos: brake linings and pads Not containing asbestos: other Non-electrical articles of graphite or other carbon toughened Safety Glass of Size a Shape for Vehicles Etc Laminated Safety Glass for Vehicles, Aircraft Etc. Rear-View Mirrors for Vehicles Signalling glassware and optical elements of glass (other than those of heading 7015), not optically worked.</w:t>
      </w:r>
    </w:p>
    <w:p>
      <w:pPr>
        <w:pStyle w:val="Normal"/>
      </w:pPr>
      <w:r>
        <w:t>2-C-1-1 APPENDIX AUTO PARTS Continued Articulated link chain and parts thereof: roller chain Threaded articles: other screws and bolts, whether or not with their nuts or washers Lugnuts Leaf Springs and Leaves Therefor, of Iron or Steel Helical Springs of Iron or Steel Locks of a Kind Used On Motor Vehicles, Base Metal Hinges, and Parts Thereof, of Base Metal Other Base Metal Mountings, Fittings Etc for Motor Vehicles Automatic door closers Other Sign plates, name-plates, address-plates and similar plates, numbers, letters and other symbols, of base metal, excluding those of heading 9405.</w:t>
      </w:r>
    </w:p>
    <w:p>
      <w:pPr>
        <w:pStyle w:val="Normal"/>
      </w:pPr>
      <w:r>
        <w:t>Spark-Ignition Piston Engine for Vehicle Ex Railway Not Over 50 Cc Spark-Ignition Reciprocating Piston Engine Etc Nov 250Cc Spark-Ignition Reciprocating Piston Engine Etc &gt;250 Nov1000Cc Spark-Ignition Reciprocating Piston Engine Etc &gt; 1000 Cc Compression-Ignition Internal Combustion Piston Engine Etc Spark-Ignition Internal Combustion Piston Engine Parts Nesoi Spark-Ignition Reciprocating Internal Combustion Piston Engine Parts Fuel, Lub/Cooling Med Pumps for Internal Comb Piston Engine Hydraulic Fluid power Pumps Parts of hydraulic fluid power pumps Compressors Used In Refrigerating Equipment Fans, Nesoi (turbochargers and superchargers) Air/Gas Pumps, Compressors and Fans Etc, Nesoi Automotive Air Conditioners Parts, Nesoi, of Air Conditioning Machines Filtering or purifying machinery and apparatus for liquids: oil or petrol-filters for internal combustion engines Filtering or purifying</w:t>
      </w:r>
    </w:p>
    <w:p>
      <w:pPr>
        <w:pStyle w:val="Normal"/>
      </w:pPr>
      <w:r>
        <w:t>machinery and apparatus for gases: intake air filters for internal combustion engines Catalytic converters Parts: other Jacks; hoists of a kind used for raising vehicles: built-in jacking systems of a type used in garages 2-C-1-2 APPENDIX AUTO PARTS Continued Jacks; hoists of a kind used for raising vehicles: other jacks and hoists, hydraulic Jacks, Nesoi; Hoists for Raising Vehicles, Nesoi Lifting or Handling Machinery for Road Vehicles Parts for Pulley Tackle, Hoist Ex Skip, Winches, Etc Electronic brake systems incl. ABS and ESC systems Valves for Oleohydraulic or Pneumatic Transmissions Check Valves Taps Cocks Etc for Pipe Vat Inc Thermo Control Nesoi Ball Bearings Tapered Roll Bearings, Including Cone &amp; Roller Assemblies Spherical Roller Bearings Needle Roller Bearings Cylindrical Roller Bearing Nesoi Other Ball or Roll Bearings, Inc Comb Ball/Roll Bearings Balls, Needles and Rollers for Bearings Parts: other Transmission Shafts (Inc Cam-&amp; Crank-Shaft), Etc. Housed Bearings, Incorp Ball or Roller Bearings Bearing Housings; Plain Shaft Bearings Gears; Ball or Roller Screws; Gear Boxes, Etc Flywheels and Pulleys, Including Pulley Blocks Clutches and Shaft Couplings (Incl.</w:t>
      </w:r>
    </w:p>
    <w:p>
      <w:pPr>
        <w:pStyle w:val="Normal"/>
      </w:pPr>
      <w:r>
        <w:t>Universal Joints) Toothed Wheels, Chain Sprockets &amp; Other Trans Elem; Parts Gaskets and similar joints of metal sheeting combined with other material or of two or more layers of metal Mechanical seals Other Other Electric Motors of an Output Not Exceeding 37.5 W Universal Ac/Dc Motors of an Output &gt; 37.5 W Dc Motors &amp; Generators W Output N Over 750 W Dc Motors &amp; Generators W Output &gt; 750W; N Over 75 Kw Dc Motors &amp; Generators W Output &gt; 75Kw; N Over 375Kw Other AC motors, single-phase Other AC motors, multi-phase: of an output exceeding 750 W but not exceeding 75 kW Other AC motors, multi-phase: of an output exceeding 75 kW 2-C-1-3 APPENDIX AUTO PARTS Continued Parts suitable for use solely or principally with the machines of heading 8501 or 8502.</w:t>
      </w:r>
    </w:p>
    <w:p>
      <w:pPr>
        <w:pStyle w:val="Normal"/>
      </w:pPr>
      <w:r>
        <w:t>Electromagnetic couplings, clutches and brakes Other Electromagnets and permanent magnets, including parts Lead-Acid Batteries of a Kind Used for Stg Engines Lead-Acid Storage Batteries Nesoi Nickel-Cadmium Storage Batteries Nickel-Iron Storage Batteries Nickel-metal Hydride Batteries Lithium Ion Batteries Storage Batteries Nesoi Parts Elect Storage Batteries Including Separators Thereof Internal Combustion Engine Spark Plugs Internal Combustion Engine Magnetos, Magneto-Dynam Distributors; Ignition Coils Internal Combustion Engine Starter Motors Internal Combustion Engine Generators, Nesoi Elect Ignition/Start Equipment for Spark/Comp Engine; Generator Nesoi Parts Elect Ignition/Start Equip; Generators &amp; Cut-Outs Elect</w:t>
      </w:r>
    </w:p>
    <w:p>
      <w:pPr>
        <w:pStyle w:val="Normal"/>
      </w:pPr>
      <w:r>
        <w:t>Lighting/Visual Signaling Equipment Ex for Bicycles Electrical Sound Signaling Equipment for Motor Vehicles Windshield Wiper Defroster &amp; Demister for Cycle/Motor Vehicle Parts Elect Lighting/Signaling Equipment Windshield Wiper Defroster Etc Other electro-thermic appliances: other Telephone sets, including telephones for cellular networks or for other wireless networks: telephones for cellular networks or for other wireless networks Other apparatus for transmission or reception of voice, images or other data, including apparatus for communication in a wired or wireless network (such as a local or wide area network: base stations Other apparatus for transmission or reception of voice, images or other data, including apparatus for communication in a wired or wireless network (such as a local or wide area network: machines for the reception, conversion and transmission or regeneration of voice, images or other data, including switching and routing apparatus Audio-frequency electric amplifiers Sound Recording/Reproducing App Magnetic/Optical/Semiconductor Nesoi Other Transmission apparatus incorporating reception apparatus 2-C-1-4 APPENDIX AUTO PARTS Continued TV Cameras, Digital Cameras, Video Camera Recorders Radio navigational aid apparatus incl. GPS equip.</w:t>
      </w:r>
    </w:p>
    <w:p>
      <w:pPr>
        <w:pStyle w:val="Normal"/>
      </w:pPr>
      <w:r>
        <w:t>Radio remote control apparatus Radiobroadcast Receivers for Motor Vehicles W Rcos Radiobroadcast Receivers for Motor Vehicles Nesoi Monitors, Not Incorporating TV Reception Apparatus Antennas and Antenna Reflectors and Parts Thereof Parts for Radio Trans. Radar Radio Navigational Aid Electric Sound or Visual Signaling Apparatus Nesoi Fuses Relays for a Voltage Not Exceeding 60 V Elect Switches for Voltage Not Over 1000 V, Nesoi Elect Apparatus for Protect to Elect Circuit Nov 1000 V Nesoi Controls Etc W Elect Appr for Elect Cont Nov 1000 V Sealed Beam Electric Lamp Units Other electrical conductors, for a voltage not exceeding 1,000 V: other Tungsten Halogen Electric Filament Lamps Electrical Machines &amp; Apparatus Having Ind Functions Insulated Wiring Sets for Vehicles Ships Aircraft Other electric conductors:</w:t>
      </w:r>
    </w:p>
    <w:p>
      <w:pPr>
        <w:pStyle w:val="Normal"/>
      </w:pPr>
      <w:r>
        <w:t>Fitted with connectors Electrical Carbon or Graphite Brushes Chassis W Engine for Trac, Motor Vehicle for Pass/Good &amp; Special Purpose Bodies for Motor Cars/Vehicles for Transporting Persons Bodies for Road Tractors and Motor Vehicles (Pub Tran, Etc) Bumpers and Parts, for Motor Vehicles Safety Seat Belts for Motor Vehicles Parts &amp; Accessories of Bodies of Motor Vehicles, Nesoi Brakes and Servo-Breaks; Parts Thereof Gear Boxes for Motor Vehicles Drive Axles with Differential for Motor Vehicles Road Wheels &amp; Parts &amp; Accessories for Motor Vehicles Suspension Shock Absorbers for Motor Vehicles Radiators for Motor Vehicles Mufflers and Exhaust Pipes for Motor Vehicles</w:t>
      </w:r>
    </w:p>
    <w:p>
      <w:pPr>
        <w:pStyle w:val="Normal"/>
      </w:pPr>
      <w:r>
        <w:t>Clutches and Parts Thereof for Motor Vehicles Steering Wheels, Columns &amp; Boxes for Motor Vehicles Safety Airbags with Inflator System; Parts Thereof Parts and Accessories of Motor Vehicles, Nesoi 2-C-1-5 APPENDIX AUTO PARTS Continued Parts Trailers, Semi-Trailer &amp; Other Vehicle Not Mechanically Propelled Direction finding compasses Thermometers not combined with other instruments Instruments for Measuring Flow or Level of Liquids Instruments for Measuring Pressure of Liquids Gases Gas or smoke analysis apparatus: Electrical Microtomes; parts and accessories Revolution Counters, Production Counters, Etc Speedometers and Tachometers;</w:t>
      </w:r>
    </w:p>
    <w:p>
      <w:pPr>
        <w:pStyle w:val="Normal"/>
      </w:pPr>
      <w:r>
        <w:t xml:space="preserve">Stroboscopes Parts for Revolution Counters, Odometer, Etc Measuring or Checking Instruments Appliances Measuring &amp; Checking Instrument, Appliances &amp; Mach Nesoi Auto Regulating Ins &amp; Appr Ex Thermostat, Mnstat, Etc Parts &amp; Accessories of Automatic Regulating Instruments Other Instrument Panel Clocks &amp; Clock Similar, for Vehicle Seats of a Kind Used for Motor Vehicles Parts of Seats (Ex Medical, Barber, Dental Etc) Other lighters Parts 2-C-1-6</w:t>
      </w:r>
    </w:p>
    <w:p>
      <w:pPr>
        <w:pStyle w:val="Heading2"/>
      </w:pPr>
      <w:bookmarkStart w:id="900061" w:name="_Toc300000060"/>
      <w:r>
        <w:t xml:space="preserve">TARIFF SCHEDULE OF CANADA</w:t>
      </w:r>
      <w:bookmarkEnd w:id="900061"/>
    </w:p>
    <w:p>
      <w:pPr>
        <w:pStyle w:val="Normal"/>
      </w:pPr>
      <w:r>
        <w:t xml:space="preserve">Tariff Line Description Mexico Duty Rate United States Duty Rate 0101.21.00 Pure-bred breeding animals 0101.29.00 Other 0101.30.00 Asses 0101.90.00 Other 0102.21.00 Pure-bred breeding animals 0102.29.00 Other 0102.31.00 Pure-bred breeding animals 0102.39.00 Other 0102.90.00 Other 0103.10.00 Pure-bred breeding animals 0103.91.00 Weighing less than 50 kg 0103.92.00 Weighing 50 kg or</w:t>
      </w:r>
    </w:p>
    <w:p>
      <w:pPr>
        <w:pStyle w:val="Normal"/>
      </w:pPr>
      <w:r>
        <w:t>more</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0104.10.00</w:t>
            </w:r>
          </w:p>
        </w:tc>
        <w:tc>
          <w:tcPr>
            <w:tcW w:w="4679" w:type="dxa"/>
            <w:tcMar>
              <w:top w:w="70" w:type="dxa"/>
              <w:start w:w="110" w:type="dxa"/>
              <w:bottom w:w="70" w:type="dxa"/>
              <w:end w:w="110" w:type="dxa"/>
            </w:tcMar>
            <w:vAlign w:val="center"/>
          </w:tcPr>
          <w:p>
            <w:pPr>
              <w:pStyle w:val="TableText"/>
              <w:jc w:val="left"/>
            </w:pPr>
            <w:r>
              <w:rPr>
                <w:lang w:val="en-US" w:eastAsia="en-US" w:bidi="ar-SA"/>
              </w:rPr>
              <w:t>Sheep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Goats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0105.11.10</w:t>
            </w:r>
          </w:p>
        </w:tc>
        <w:tc>
          <w:tcPr>
            <w:tcW w:w="4679" w:type="dxa"/>
            <w:tcMar>
              <w:top w:w="70" w:type="dxa"/>
              <w:start w:w="110" w:type="dxa"/>
              <w:bottom w:w="70" w:type="dxa"/>
              <w:end w:w="110" w:type="dxa"/>
            </w:tcMar>
            <w:vAlign w:val="center"/>
          </w:tcPr>
          <w:p>
            <w:pPr>
              <w:pStyle w:val="TableText"/>
              <w:jc w:val="left"/>
            </w:pPr>
            <w:r>
              <w:rPr>
                <w:lang w:val="en-US" w:eastAsia="en-US" w:bidi="ar-SA"/>
              </w:rPr>
              <w:t>For breeding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0105.11.21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Broilers for domestic production: Within access commitment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0105.11.22</w:t>
            </w:r>
          </w:p>
        </w:tc>
        <w:tc>
          <w:tcPr>
            <w:tcW w:w="4679" w:type="dxa"/>
            <w:tcMar>
              <w:top w:w="70" w:type="dxa"/>
              <w:start w:w="110" w:type="dxa"/>
              <w:bottom w:w="70" w:type="dxa"/>
              <w:end w:w="110" w:type="dxa"/>
            </w:tcMar>
            <w:vAlign w:val="center"/>
          </w:tcPr>
          <w:p>
            <w:pPr>
              <w:pStyle w:val="TableText"/>
              <w:jc w:val="left"/>
            </w:pPr>
            <w:r>
              <w:rPr>
                <w:lang w:val="en-US" w:eastAsia="en-US" w:bidi="ar-SA"/>
              </w:rPr>
              <w:t>Broilers for domestic production: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0105.11.90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0105.12.10</w:t>
            </w:r>
          </w:p>
        </w:tc>
        <w:tc>
          <w:tcPr>
            <w:tcW w:w="4679" w:type="dxa"/>
            <w:tcMar>
              <w:top w:w="70" w:type="dxa"/>
              <w:start w:w="110" w:type="dxa"/>
              <w:bottom w:w="70" w:type="dxa"/>
              <w:end w:w="110" w:type="dxa"/>
            </w:tcMar>
            <w:vAlign w:val="center"/>
          </w:tcPr>
          <w:p>
            <w:pPr>
              <w:pStyle w:val="TableText"/>
              <w:jc w:val="left"/>
            </w:pPr>
            <w:r>
              <w:rPr>
                <w:lang w:val="en-US" w:eastAsia="en-US" w:bidi="ar-SA"/>
              </w:rPr>
              <w:t>For breeding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0105.13.10</w:t>
            </w:r>
          </w:p>
        </w:tc>
        <w:tc>
          <w:tcPr>
            <w:tcW w:w="4679" w:type="dxa"/>
            <w:tcMar>
              <w:top w:w="70" w:type="dxa"/>
              <w:start w:w="110" w:type="dxa"/>
              <w:bottom w:w="70" w:type="dxa"/>
              <w:end w:w="110" w:type="dxa"/>
            </w:tcMar>
            <w:vAlign w:val="center"/>
          </w:tcPr>
          <w:p>
            <w:pPr>
              <w:pStyle w:val="TableText"/>
              <w:jc w:val="left"/>
            </w:pPr>
            <w:r>
              <w:rPr>
                <w:lang w:val="en-US" w:eastAsia="en-US" w:bidi="ar-SA"/>
              </w:rPr>
              <w:t>For breeding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0105.13.90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0105.14.10</w:t>
            </w:r>
          </w:p>
        </w:tc>
        <w:tc>
          <w:tcPr>
            <w:tcW w:w="4679" w:type="dxa"/>
            <w:tcMar>
              <w:top w:w="70" w:type="dxa"/>
              <w:start w:w="110" w:type="dxa"/>
              <w:bottom w:w="70" w:type="dxa"/>
              <w:end w:w="110" w:type="dxa"/>
            </w:tcMar>
            <w:vAlign w:val="center"/>
          </w:tcPr>
          <w:p>
            <w:pPr>
              <w:pStyle w:val="TableText"/>
              <w:jc w:val="left"/>
            </w:pPr>
            <w:r>
              <w:rPr>
                <w:lang w:val="en-US" w:eastAsia="en-US" w:bidi="ar-SA"/>
              </w:rPr>
              <w:t>For breeding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0105.14.90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0105.15.10</w:t>
            </w:r>
          </w:p>
        </w:tc>
        <w:tc>
          <w:tcPr>
            <w:tcW w:w="4679" w:type="dxa"/>
            <w:tcMar>
              <w:top w:w="70" w:type="dxa"/>
              <w:start w:w="110" w:type="dxa"/>
              <w:bottom w:w="70" w:type="dxa"/>
              <w:end w:w="110" w:type="dxa"/>
            </w:tcMar>
            <w:vAlign w:val="center"/>
          </w:tcPr>
          <w:p>
            <w:pPr>
              <w:pStyle w:val="TableText"/>
              <w:jc w:val="left"/>
            </w:pPr>
            <w:r>
              <w:rPr>
                <w:lang w:val="en-US" w:eastAsia="en-US" w:bidi="ar-SA"/>
              </w:rPr>
              <w:t>For breeding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0105.15.90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0105.94.10</w:t>
            </w:r>
          </w:p>
        </w:tc>
        <w:tc>
          <w:tcPr>
            <w:tcW w:w="4679" w:type="dxa"/>
            <w:tcMar>
              <w:top w:w="70" w:type="dxa"/>
              <w:start w:w="110" w:type="dxa"/>
              <w:bottom w:w="70" w:type="dxa"/>
              <w:end w:w="110" w:type="dxa"/>
            </w:tcMar>
            <w:vAlign w:val="center"/>
          </w:tcPr>
          <w:p>
            <w:pPr>
              <w:pStyle w:val="TableText"/>
              <w:jc w:val="left"/>
            </w:pPr>
            <w:r>
              <w:rPr>
                <w:lang w:val="en-US" w:eastAsia="en-US" w:bidi="ar-SA"/>
              </w:rPr>
              <w:t>For breeding purposes; Spent fowl; Started pullets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0105.94.91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0105.94.92</w:t>
            </w:r>
          </w:p>
        </w:tc>
        <w:tc>
          <w:tcPr>
            <w:tcW w:w="4679" w:type="dxa"/>
            <w:tcMar>
              <w:top w:w="70" w:type="dxa"/>
              <w:start w:w="110" w:type="dxa"/>
              <w:bottom w:w="70" w:type="dxa"/>
              <w:end w:w="110" w:type="dxa"/>
            </w:tcMar>
            <w:vAlign w:val="center"/>
          </w:tcPr>
          <w:p>
            <w:pPr>
              <w:pStyle w:val="TableText"/>
              <w:jc w:val="left"/>
            </w:pPr>
            <w:r>
              <w:rPr>
                <w:lang w:val="en-US" w:eastAsia="en-US" w:bidi="ar-SA"/>
              </w:rPr>
              <w:t>Other: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0105.99.11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Turkeys: Within access commitment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0105.99.12</w:t>
            </w:r>
          </w:p>
        </w:tc>
        <w:tc>
          <w:tcPr>
            <w:tcW w:w="4679" w:type="dxa"/>
            <w:tcMar>
              <w:top w:w="70" w:type="dxa"/>
              <w:start w:w="110" w:type="dxa"/>
              <w:bottom w:w="70" w:type="dxa"/>
              <w:end w:w="110" w:type="dxa"/>
            </w:tcMar>
            <w:vAlign w:val="center"/>
          </w:tcPr>
          <w:p>
            <w:pPr>
              <w:pStyle w:val="TableText"/>
              <w:jc w:val="left"/>
            </w:pPr>
            <w:r>
              <w:rPr>
                <w:lang w:val="en-US" w:eastAsia="en-US" w:bidi="ar-SA"/>
              </w:rPr>
              <w:t>Turkeys: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0105.99.90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0106.11.00</w:t>
            </w:r>
          </w:p>
        </w:tc>
        <w:tc>
          <w:tcPr>
            <w:tcW w:w="4679" w:type="dxa"/>
            <w:tcMar>
              <w:top w:w="70" w:type="dxa"/>
              <w:start w:w="110" w:type="dxa"/>
              <w:bottom w:w="70" w:type="dxa"/>
              <w:end w:w="110" w:type="dxa"/>
            </w:tcMar>
            <w:vAlign w:val="center"/>
          </w:tcPr>
          <w:p>
            <w:pPr>
              <w:pStyle w:val="TableText"/>
              <w:jc w:val="left"/>
            </w:pPr>
            <w:r>
              <w:rPr>
                <w:lang w:val="en-US" w:eastAsia="en-US" w:bidi="ar-SA"/>
              </w:rPr>
              <w:t>Primates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0106.12.00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Whales, dolphins and porpoises (mammals of the order Cetecea); manatees and dugongs (mammals of the order Sirenia); seals, sea lions and walruses (mammals of the suborder Pinnipedia)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0106.13.00</w:t>
            </w:r>
          </w:p>
        </w:tc>
        <w:tc>
          <w:tcPr>
            <w:tcW w:w="4679" w:type="dxa"/>
            <w:tcMar>
              <w:top w:w="70" w:type="dxa"/>
              <w:start w:w="110" w:type="dxa"/>
              <w:bottom w:w="70" w:type="dxa"/>
              <w:end w:w="110" w:type="dxa"/>
            </w:tcMar>
            <w:vAlign w:val="center"/>
          </w:tcPr>
          <w:p>
            <w:pPr>
              <w:pStyle w:val="TableText"/>
              <w:jc w:val="left"/>
            </w:pPr>
            <w:r>
              <w:rPr>
                <w:lang w:val="en-US" w:eastAsia="en-US" w:bidi="ar-SA"/>
              </w:rPr>
              <w:t>Camels and other camelids (Camelidae)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0106.14.00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Rabbits and hares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0106.19.00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Reptiles (including snakes and turtles)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0106.31.00</w:t>
            </w:r>
          </w:p>
        </w:tc>
        <w:tc>
          <w:tcPr>
            <w:tcW w:w="4679" w:type="dxa"/>
            <w:tcMar>
              <w:top w:w="70" w:type="dxa"/>
              <w:start w:w="110" w:type="dxa"/>
              <w:bottom w:w="70" w:type="dxa"/>
              <w:end w:w="110" w:type="dxa"/>
            </w:tcMar>
            <w:vAlign w:val="center"/>
          </w:tcPr>
          <w:p>
            <w:pPr>
              <w:pStyle w:val="TableText"/>
              <w:jc w:val="left"/>
            </w:pPr>
            <w:r>
              <w:rPr>
                <w:lang w:val="en-US" w:eastAsia="en-US" w:bidi="ar-SA"/>
              </w:rPr>
              <w:t>Birds of prey</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0106.32.00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Psittaciformes (including parrots, parakeets, macaws and cockatoos)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0106.33.00</w:t>
            </w:r>
          </w:p>
        </w:tc>
        <w:tc>
          <w:tcPr>
            <w:tcW w:w="4679" w:type="dxa"/>
            <w:tcMar>
              <w:top w:w="70" w:type="dxa"/>
              <w:start w:w="110" w:type="dxa"/>
              <w:bottom w:w="70" w:type="dxa"/>
              <w:end w:w="110" w:type="dxa"/>
            </w:tcMar>
            <w:vAlign w:val="center"/>
          </w:tcPr>
          <w:p>
            <w:pPr>
              <w:pStyle w:val="TableText"/>
              <w:jc w:val="left"/>
            </w:pPr>
            <w:r>
              <w:rPr>
                <w:lang w:val="en-US" w:eastAsia="en-US" w:bidi="ar-SA"/>
              </w:rPr>
              <w:t>Ostriches; emus (Dromaius novaehollandiae)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0106.39.00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0106.41.00</w:t>
            </w:r>
          </w:p>
        </w:tc>
        <w:tc>
          <w:tcPr>
            <w:tcW w:w="4679" w:type="dxa"/>
            <w:tcMar>
              <w:top w:w="70" w:type="dxa"/>
              <w:start w:w="110" w:type="dxa"/>
              <w:bottom w:w="70" w:type="dxa"/>
              <w:end w:w="110" w:type="dxa"/>
            </w:tcMar>
            <w:vAlign w:val="center"/>
          </w:tcPr>
          <w:p>
            <w:pPr>
              <w:pStyle w:val="TableText"/>
              <w:jc w:val="left"/>
            </w:pPr>
            <w:r>
              <w:rPr>
                <w:lang w:val="en-US" w:eastAsia="en-US" w:bidi="ar-SA"/>
              </w:rPr>
              <w:t>Bees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0106.49.00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0106.90.00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0201.10.10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0201.10.20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0201.20.10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0201.20.20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0201.30.10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0201.30.20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0202.10.10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0202.10.20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0202.20.10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0202.20.20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0202.30.10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0202.30.20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0203.11.00</w:t>
            </w:r>
          </w:p>
        </w:tc>
        <w:tc>
          <w:tcPr>
            <w:tcW w:w="4679" w:type="dxa"/>
            <w:tcMar>
              <w:top w:w="70" w:type="dxa"/>
              <w:start w:w="110" w:type="dxa"/>
              <w:bottom w:w="70" w:type="dxa"/>
              <w:end w:w="110" w:type="dxa"/>
            </w:tcMar>
            <w:vAlign w:val="center"/>
          </w:tcPr>
          <w:p>
            <w:pPr>
              <w:pStyle w:val="TableText"/>
              <w:jc w:val="left"/>
            </w:pPr>
            <w:r>
              <w:rPr>
                <w:lang w:val="en-US" w:eastAsia="en-US" w:bidi="ar-SA"/>
              </w:rPr>
              <w:t>Carcasses and half-carcasses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0203.12.00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Hams, shoulders and cuts thereof, with bone in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0203.19.00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0203.21.00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Carcasses and half-carcasses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0203.22.00</w:t>
            </w:r>
          </w:p>
        </w:tc>
        <w:tc>
          <w:tcPr>
            <w:tcW w:w="4679" w:type="dxa"/>
            <w:tcMar>
              <w:top w:w="70" w:type="dxa"/>
              <w:start w:w="110" w:type="dxa"/>
              <w:bottom w:w="70" w:type="dxa"/>
              <w:end w:w="110" w:type="dxa"/>
            </w:tcMar>
            <w:vAlign w:val="center"/>
          </w:tcPr>
          <w:p>
            <w:pPr>
              <w:pStyle w:val="TableText"/>
              <w:jc w:val="left"/>
            </w:pPr>
            <w:r>
              <w:rPr>
                <w:lang w:val="en-US" w:eastAsia="en-US" w:bidi="ar-SA"/>
              </w:rPr>
              <w:t>Hams, shoulders and cuts thereof, with bone in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0203.29.00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0204.10.00</w:t>
            </w:r>
          </w:p>
        </w:tc>
        <w:tc>
          <w:tcPr>
            <w:tcW w:w="4679" w:type="dxa"/>
            <w:tcMar>
              <w:top w:w="70" w:type="dxa"/>
              <w:start w:w="110" w:type="dxa"/>
              <w:bottom w:w="70" w:type="dxa"/>
              <w:end w:w="110" w:type="dxa"/>
            </w:tcMar>
            <w:vAlign w:val="center"/>
          </w:tcPr>
          <w:p>
            <w:pPr>
              <w:pStyle w:val="TableText"/>
              <w:jc w:val="left"/>
            </w:pPr>
            <w:r>
              <w:rPr>
                <w:lang w:val="en-US" w:eastAsia="en-US" w:bidi="ar-SA"/>
              </w:rPr>
              <w:t>Carcasses and half-carcasses of lamb,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0204.21.00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Carcasses and half-carcasses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0204.22.10</w:t>
            </w:r>
          </w:p>
        </w:tc>
        <w:tc>
          <w:tcPr>
            <w:tcW w:w="4679" w:type="dxa"/>
            <w:tcMar>
              <w:top w:w="70" w:type="dxa"/>
              <w:start w:w="110" w:type="dxa"/>
              <w:bottom w:w="70" w:type="dxa"/>
              <w:end w:w="110" w:type="dxa"/>
            </w:tcMar>
            <w:vAlign w:val="center"/>
          </w:tcPr>
          <w:p>
            <w:pPr>
              <w:pStyle w:val="TableText"/>
              <w:jc w:val="left"/>
            </w:pPr>
            <w:r>
              <w:rPr>
                <w:lang w:val="en-US" w:eastAsia="en-US" w:bidi="ar-SA"/>
              </w:rPr>
              <w:t>Of lamb</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0204.22.20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mutton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0204.23.00</w:t>
            </w:r>
          </w:p>
        </w:tc>
        <w:tc>
          <w:tcPr>
            <w:tcW w:w="4679" w:type="dxa"/>
            <w:tcMar>
              <w:top w:w="70" w:type="dxa"/>
              <w:start w:w="110" w:type="dxa"/>
              <w:bottom w:w="70" w:type="dxa"/>
              <w:end w:w="110" w:type="dxa"/>
            </w:tcMar>
            <w:vAlign w:val="center"/>
          </w:tcPr>
          <w:p>
            <w:pPr>
              <w:pStyle w:val="TableText"/>
              <w:jc w:val="left"/>
            </w:pPr>
            <w:r>
              <w:rPr>
                <w:lang w:val="en-US" w:eastAsia="en-US" w:bidi="ar-SA"/>
              </w:rPr>
              <w:t>Boneless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Carcasses and half-carcasses of lamb, frozen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0204.41.00</w:t>
            </w:r>
          </w:p>
        </w:tc>
        <w:tc>
          <w:tcPr>
            <w:tcW w:w="4679" w:type="dxa"/>
            <w:tcMar>
              <w:top w:w="70" w:type="dxa"/>
              <w:start w:w="110" w:type="dxa"/>
              <w:bottom w:w="70" w:type="dxa"/>
              <w:end w:w="110" w:type="dxa"/>
            </w:tcMar>
            <w:vAlign w:val="center"/>
          </w:tcPr>
          <w:p>
            <w:pPr>
              <w:pStyle w:val="TableText"/>
              <w:jc w:val="left"/>
            </w:pPr>
            <w:r>
              <w:rPr>
                <w:lang w:val="en-US" w:eastAsia="en-US" w:bidi="ar-SA"/>
              </w:rPr>
              <w:t>Carcasses and half-carcasses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0204.42.10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lamb</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0204.42.20</w:t>
            </w:r>
          </w:p>
        </w:tc>
        <w:tc>
          <w:tcPr>
            <w:tcW w:w="4679" w:type="dxa"/>
            <w:tcMar>
              <w:top w:w="70" w:type="dxa"/>
              <w:start w:w="110" w:type="dxa"/>
              <w:bottom w:w="70" w:type="dxa"/>
              <w:end w:w="110" w:type="dxa"/>
            </w:tcMar>
            <w:vAlign w:val="center"/>
          </w:tcPr>
          <w:p>
            <w:pPr>
              <w:pStyle w:val="TableText"/>
              <w:jc w:val="left"/>
            </w:pPr>
            <w:r>
              <w:rPr>
                <w:lang w:val="en-US" w:eastAsia="en-US" w:bidi="ar-SA"/>
              </w:rPr>
              <w:t>Of mutton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0204.43.10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lamb</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0204.43.20</w:t>
            </w:r>
          </w:p>
        </w:tc>
        <w:tc>
          <w:tcPr>
            <w:tcW w:w="4679" w:type="dxa"/>
            <w:tcMar>
              <w:top w:w="70" w:type="dxa"/>
              <w:start w:w="110" w:type="dxa"/>
              <w:bottom w:w="70" w:type="dxa"/>
              <w:end w:w="110" w:type="dxa"/>
            </w:tcMar>
            <w:vAlign w:val="center"/>
          </w:tcPr>
          <w:p>
            <w:pPr>
              <w:pStyle w:val="TableText"/>
              <w:jc w:val="left"/>
            </w:pPr>
            <w:r>
              <w:rPr>
                <w:lang w:val="en-US" w:eastAsia="en-US" w:bidi="ar-SA"/>
              </w:rPr>
              <w:t>Of mutton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0204.50.00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Meat of goats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0205.00.00</w:t>
            </w:r>
          </w:p>
        </w:tc>
        <w:tc>
          <w:tcPr>
            <w:tcW w:w="4679" w:type="dxa"/>
            <w:tcMar>
              <w:top w:w="70" w:type="dxa"/>
              <w:start w:w="110" w:type="dxa"/>
              <w:bottom w:w="70" w:type="dxa"/>
              <w:end w:w="110" w:type="dxa"/>
            </w:tcMar>
            <w:vAlign w:val="center"/>
          </w:tcPr>
          <w:p>
            <w:pPr>
              <w:pStyle w:val="TableText"/>
              <w:jc w:val="left"/>
            </w:pPr>
            <w:r>
              <w:rPr>
                <w:lang w:val="en-US" w:eastAsia="en-US" w:bidi="ar-SA"/>
              </w:rPr>
              <w:t>Meat of horses, asses, mules or hinnies, fresh, chilled or frozen.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0206.10.00</w:t>
            </w:r>
          </w:p>
        </w:tc>
        <w:tc>
          <w:tcPr>
            <w:tcW w:w="4679" w:type="dxa"/>
            <w:tcMar>
              <w:top w:w="70" w:type="dxa"/>
              <w:start w:w="110" w:type="dxa"/>
              <w:bottom w:w="70" w:type="dxa"/>
              <w:end w:w="110" w:type="dxa"/>
            </w:tcMar>
            <w:vAlign w:val="center"/>
          </w:tcPr>
          <w:p>
            <w:pPr>
              <w:pStyle w:val="TableText"/>
              <w:jc w:val="left"/>
            </w:pPr>
            <w:r>
              <w:rPr>
                <w:lang w:val="en-US" w:eastAsia="en-US" w:bidi="ar-SA"/>
              </w:rPr>
              <w:t>Of bovine animals,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0206.21.00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Tongues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0206.22.00</w:t>
            </w:r>
          </w:p>
        </w:tc>
        <w:tc>
          <w:tcPr>
            <w:tcW w:w="4679" w:type="dxa"/>
            <w:tcMar>
              <w:top w:w="70" w:type="dxa"/>
              <w:start w:w="110" w:type="dxa"/>
              <w:bottom w:w="70" w:type="dxa"/>
              <w:end w:w="110" w:type="dxa"/>
            </w:tcMar>
            <w:vAlign w:val="center"/>
          </w:tcPr>
          <w:p>
            <w:pPr>
              <w:pStyle w:val="TableText"/>
              <w:jc w:val="left"/>
            </w:pPr>
            <w:r>
              <w:rPr>
                <w:lang w:val="en-US" w:eastAsia="en-US" w:bidi="ar-SA"/>
              </w:rPr>
              <w:t>Livers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0206.29.00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0206.30.00</w:t>
            </w:r>
          </w:p>
        </w:tc>
        <w:tc>
          <w:tcPr>
            <w:tcW w:w="4679" w:type="dxa"/>
            <w:tcMar>
              <w:top w:w="70" w:type="dxa"/>
              <w:start w:w="110" w:type="dxa"/>
              <w:bottom w:w="70" w:type="dxa"/>
              <w:end w:w="110" w:type="dxa"/>
            </w:tcMar>
            <w:vAlign w:val="center"/>
          </w:tcPr>
          <w:p>
            <w:pPr>
              <w:pStyle w:val="TableText"/>
              <w:jc w:val="left"/>
            </w:pPr>
            <w:r>
              <w:rPr>
                <w:lang w:val="en-US" w:eastAsia="en-US" w:bidi="ar-SA"/>
              </w:rPr>
              <w:t>Of swine,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0206.41.00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0206.49.00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0206.80.00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fresh or chilled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0206.90.00</w:t>
            </w:r>
          </w:p>
        </w:tc>
        <w:tc>
          <w:tcPr>
            <w:tcW w:w="4679" w:type="dxa"/>
            <w:tcMar>
              <w:top w:w="70" w:type="dxa"/>
              <w:start w:w="110" w:type="dxa"/>
              <w:bottom w:w="70" w:type="dxa"/>
              <w:end w:w="110" w:type="dxa"/>
            </w:tcMar>
            <w:vAlign w:val="center"/>
          </w:tcPr>
          <w:p>
            <w:pPr>
              <w:pStyle w:val="TableText"/>
              <w:jc w:val="left"/>
            </w:pPr>
            <w:r>
              <w:rPr>
                <w:lang w:val="en-US" w:eastAsia="en-US" w:bidi="ar-SA"/>
              </w:rPr>
              <w:t>Other, frozen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Spent fowl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0207.11.91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0207.11.92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0207.12.10</w:t>
            </w:r>
          </w:p>
        </w:tc>
        <w:tc>
          <w:tcPr>
            <w:tcW w:w="4679" w:type="dxa"/>
            <w:tcMar>
              <w:top w:w="70" w:type="dxa"/>
              <w:start w:w="110" w:type="dxa"/>
              <w:bottom w:w="70" w:type="dxa"/>
              <w:end w:w="110" w:type="dxa"/>
            </w:tcMar>
            <w:vAlign w:val="center"/>
          </w:tcPr>
          <w:p>
            <w:pPr>
              <w:pStyle w:val="TableText"/>
              <w:jc w:val="left"/>
            </w:pPr>
            <w:r>
              <w:rPr>
                <w:lang w:val="en-US" w:eastAsia="en-US" w:bidi="ar-SA"/>
              </w:rPr>
              <w:t>Spent fowl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0207.12.91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0207.12.92</w:t>
            </w:r>
          </w:p>
        </w:tc>
        <w:tc>
          <w:tcPr>
            <w:tcW w:w="4679" w:type="dxa"/>
            <w:tcMar>
              <w:top w:w="70" w:type="dxa"/>
              <w:start w:w="110" w:type="dxa"/>
              <w:bottom w:w="70" w:type="dxa"/>
              <w:end w:w="110" w:type="dxa"/>
            </w:tcMar>
            <w:vAlign w:val="center"/>
          </w:tcPr>
          <w:p>
            <w:pPr>
              <w:pStyle w:val="TableText"/>
              <w:jc w:val="left"/>
            </w:pPr>
            <w:r>
              <w:rPr>
                <w:lang w:val="en-US" w:eastAsia="en-US" w:bidi="ar-SA"/>
              </w:rPr>
              <w:t>Other: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0207.13.10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Spent fowl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0207.13.91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0207.13.92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 bone in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0207.13.93</w:t>
            </w:r>
          </w:p>
        </w:tc>
        <w:tc>
          <w:tcPr>
            <w:tcW w:w="4679" w:type="dxa"/>
            <w:tcMar>
              <w:top w:w="70" w:type="dxa"/>
              <w:start w:w="110" w:type="dxa"/>
              <w:bottom w:w="70" w:type="dxa"/>
              <w:end w:w="110" w:type="dxa"/>
            </w:tcMar>
            <w:vAlign w:val="center"/>
          </w:tcPr>
          <w:p>
            <w:pPr>
              <w:pStyle w:val="TableText"/>
              <w:jc w:val="left"/>
            </w:pPr>
            <w:r>
              <w:rPr>
                <w:lang w:val="en-US" w:eastAsia="en-US" w:bidi="ar-SA"/>
              </w:rPr>
              <w:t>Other: Over access commitment, boneless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0207.14.10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Spent fowl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0207.14.21</w:t>
            </w:r>
          </w:p>
        </w:tc>
        <w:tc>
          <w:tcPr>
            <w:tcW w:w="4679" w:type="dxa"/>
            <w:tcMar>
              <w:top w:w="70" w:type="dxa"/>
              <w:start w:w="110" w:type="dxa"/>
              <w:bottom w:w="70" w:type="dxa"/>
              <w:end w:w="110" w:type="dxa"/>
            </w:tcMar>
            <w:vAlign w:val="center"/>
          </w:tcPr>
          <w:p>
            <w:pPr>
              <w:pStyle w:val="TableText"/>
              <w:jc w:val="left"/>
            </w:pPr>
            <w:r>
              <w:rPr>
                <w:lang w:val="en-US" w:eastAsia="en-US" w:bidi="ar-SA"/>
              </w:rPr>
              <w:t>Livers: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0207.14.22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Livers: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0207.14.91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0207.14.92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 bone in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0207.14.93</w:t>
            </w:r>
          </w:p>
        </w:tc>
        <w:tc>
          <w:tcPr>
            <w:tcW w:w="4679" w:type="dxa"/>
            <w:tcMar>
              <w:top w:w="70" w:type="dxa"/>
              <w:start w:w="110" w:type="dxa"/>
              <w:bottom w:w="70" w:type="dxa"/>
              <w:end w:w="110" w:type="dxa"/>
            </w:tcMar>
            <w:vAlign w:val="center"/>
          </w:tcPr>
          <w:p>
            <w:pPr>
              <w:pStyle w:val="TableText"/>
              <w:jc w:val="left"/>
            </w:pPr>
            <w:r>
              <w:rPr>
                <w:lang w:val="en-US" w:eastAsia="en-US" w:bidi="ar-SA"/>
              </w:rPr>
              <w:t>Other: Over access commitment, boneless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0207.24.11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Canner pack: Within access commitment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0207.24.12</w:t>
            </w:r>
          </w:p>
        </w:tc>
        <w:tc>
          <w:tcPr>
            <w:tcW w:w="4679" w:type="dxa"/>
            <w:tcMar>
              <w:top w:w="70" w:type="dxa"/>
              <w:start w:w="110" w:type="dxa"/>
              <w:bottom w:w="70" w:type="dxa"/>
              <w:end w:w="110" w:type="dxa"/>
            </w:tcMar>
            <w:vAlign w:val="center"/>
          </w:tcPr>
          <w:p>
            <w:pPr>
              <w:pStyle w:val="TableText"/>
              <w:jc w:val="left"/>
            </w:pPr>
            <w:r>
              <w:rPr>
                <w:lang w:val="en-US" w:eastAsia="en-US" w:bidi="ar-SA"/>
              </w:rPr>
              <w:t>Canner pack: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0207.24.91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Within access commitment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0207.24.92</w:t>
            </w:r>
          </w:p>
        </w:tc>
        <w:tc>
          <w:tcPr>
            <w:tcW w:w="4679" w:type="dxa"/>
            <w:tcMar>
              <w:top w:w="70" w:type="dxa"/>
              <w:start w:w="110" w:type="dxa"/>
              <w:bottom w:w="70" w:type="dxa"/>
              <w:end w:w="110" w:type="dxa"/>
            </w:tcMar>
            <w:vAlign w:val="center"/>
          </w:tcPr>
          <w:p>
            <w:pPr>
              <w:pStyle w:val="TableText"/>
              <w:jc w:val="left"/>
            </w:pPr>
            <w:r>
              <w:rPr>
                <w:lang w:val="en-US" w:eastAsia="en-US" w:bidi="ar-SA"/>
              </w:rPr>
              <w:t>Other: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0207.25.11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Canner pack: Within access commitment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0207.25.12</w:t>
            </w:r>
          </w:p>
        </w:tc>
        <w:tc>
          <w:tcPr>
            <w:tcW w:w="4679" w:type="dxa"/>
            <w:tcMar>
              <w:top w:w="70" w:type="dxa"/>
              <w:start w:w="110" w:type="dxa"/>
              <w:bottom w:w="70" w:type="dxa"/>
              <w:end w:w="110" w:type="dxa"/>
            </w:tcMar>
            <w:vAlign w:val="center"/>
          </w:tcPr>
          <w:p>
            <w:pPr>
              <w:pStyle w:val="TableText"/>
              <w:jc w:val="left"/>
            </w:pPr>
            <w:r>
              <w:rPr>
                <w:lang w:val="en-US" w:eastAsia="en-US" w:bidi="ar-SA"/>
              </w:rPr>
              <w:t>Canner pack:</w:t>
            </w:r>
          </w:p>
        </w:tc>
      </w:tr>
    </w:tbl>
    <w:p>
      <w:pPr>
        <w:pStyle w:val="Normal"/>
      </w:pPr>
      <w:r>
        <w:t>Over access commitment * *</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0207.25.91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0207.25.92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0207.26.10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0207.26.20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bone in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0207.26.30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boneless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0207.27.11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Livers: Within access commitment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0207.27.12</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Livers: Over access commitment * *</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0207.27.91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0207.27.92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 bone in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0207.27.93</w:t>
            </w:r>
          </w:p>
        </w:tc>
        <w:tc>
          <w:tcPr>
            <w:tcW w:w="4679" w:type="dxa"/>
            <w:tcMar>
              <w:top w:w="70" w:type="dxa"/>
              <w:start w:w="110" w:type="dxa"/>
              <w:bottom w:w="70" w:type="dxa"/>
              <w:end w:w="110" w:type="dxa"/>
            </w:tcMar>
            <w:vAlign w:val="center"/>
          </w:tcPr>
          <w:p>
            <w:pPr>
              <w:pStyle w:val="TableText"/>
              <w:jc w:val="left"/>
            </w:pPr>
            <w:r>
              <w:rPr>
                <w:lang w:val="en-US" w:eastAsia="en-US" w:bidi="ar-SA"/>
              </w:rPr>
              <w:t>Other: Over access commitment, boneless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cut in pieces, fresh or chilled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0207.42.00</w:t>
            </w:r>
          </w:p>
        </w:tc>
        <w:tc>
          <w:tcPr>
            <w:tcW w:w="4679" w:type="dxa"/>
            <w:tcMar>
              <w:top w:w="70" w:type="dxa"/>
              <w:start w:w="110" w:type="dxa"/>
              <w:bottom w:w="70" w:type="dxa"/>
              <w:end w:w="110" w:type="dxa"/>
            </w:tcMar>
            <w:vAlign w:val="center"/>
          </w:tcPr>
          <w:p>
            <w:pPr>
              <w:pStyle w:val="TableText"/>
              <w:jc w:val="left"/>
            </w:pPr>
            <w:r>
              <w:rPr>
                <w:lang w:val="en-US" w:eastAsia="en-US" w:bidi="ar-SA"/>
              </w:rPr>
              <w:t>Not cut in pieces, frozen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0207.43.00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Fatty livers, fresh or chilled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0207.44.00</w:t>
            </w:r>
          </w:p>
        </w:tc>
        <w:tc>
          <w:tcPr>
            <w:tcW w:w="4679" w:type="dxa"/>
            <w:tcMar>
              <w:top w:w="70" w:type="dxa"/>
              <w:start w:w="110" w:type="dxa"/>
              <w:bottom w:w="70" w:type="dxa"/>
              <w:end w:w="110" w:type="dxa"/>
            </w:tcMar>
            <w:vAlign w:val="center"/>
          </w:tcPr>
          <w:p>
            <w:pPr>
              <w:pStyle w:val="TableText"/>
              <w:jc w:val="left"/>
            </w:pPr>
            <w:r>
              <w:rPr>
                <w:lang w:val="en-US" w:eastAsia="en-US" w:bidi="ar-SA"/>
              </w:rPr>
              <w:t>Other, fresh or chilled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0207.45.10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Livers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0207.45.90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cut in pieces, fresh or chilled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0207.52.00</w:t>
            </w:r>
          </w:p>
        </w:tc>
        <w:tc>
          <w:tcPr>
            <w:tcW w:w="4679" w:type="dxa"/>
            <w:tcMar>
              <w:top w:w="70" w:type="dxa"/>
              <w:start w:w="110" w:type="dxa"/>
              <w:bottom w:w="70" w:type="dxa"/>
              <w:end w:w="110" w:type="dxa"/>
            </w:tcMar>
            <w:vAlign w:val="center"/>
          </w:tcPr>
          <w:p>
            <w:pPr>
              <w:pStyle w:val="TableText"/>
              <w:jc w:val="left"/>
            </w:pPr>
            <w:r>
              <w:rPr>
                <w:lang w:val="en-US" w:eastAsia="en-US" w:bidi="ar-SA"/>
              </w:rPr>
              <w:t>Not cut in pieces, frozen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0207.53.00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Fatty livers, fresh or chilled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0207.54.00</w:t>
            </w:r>
          </w:p>
        </w:tc>
        <w:tc>
          <w:tcPr>
            <w:tcW w:w="4679" w:type="dxa"/>
            <w:tcMar>
              <w:top w:w="70" w:type="dxa"/>
              <w:start w:w="110" w:type="dxa"/>
              <w:bottom w:w="70" w:type="dxa"/>
              <w:end w:w="110" w:type="dxa"/>
            </w:tcMar>
            <w:vAlign w:val="center"/>
          </w:tcPr>
          <w:p>
            <w:pPr>
              <w:pStyle w:val="TableText"/>
              <w:jc w:val="left"/>
            </w:pPr>
            <w:r>
              <w:rPr>
                <w:lang w:val="en-US" w:eastAsia="en-US" w:bidi="ar-SA"/>
              </w:rPr>
              <w:t>Other, fresh or chilled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0207.55.10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Livers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0207.55.90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0207.60.11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Fresh or chilled: Not cut in pieces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0207.60.19</w:t>
            </w:r>
          </w:p>
        </w:tc>
        <w:tc>
          <w:tcPr>
            <w:tcW w:w="4679" w:type="dxa"/>
            <w:tcMar>
              <w:top w:w="70" w:type="dxa"/>
              <w:start w:w="110" w:type="dxa"/>
              <w:bottom w:w="70" w:type="dxa"/>
              <w:end w:w="110" w:type="dxa"/>
            </w:tcMar>
            <w:vAlign w:val="center"/>
          </w:tcPr>
          <w:p>
            <w:pPr>
              <w:pStyle w:val="TableText"/>
              <w:jc w:val="left"/>
            </w:pPr>
            <w:r>
              <w:rPr>
                <w:lang w:val="en-US" w:eastAsia="en-US" w:bidi="ar-SA"/>
              </w:rPr>
              <w:t>Fresh or chilled: Other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0207.60.20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cut in pieces, frozen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0207.60.91</w:t>
            </w:r>
          </w:p>
        </w:tc>
        <w:tc>
          <w:tcPr>
            <w:tcW w:w="4679" w:type="dxa"/>
            <w:tcMar>
              <w:top w:w="70" w:type="dxa"/>
              <w:start w:w="110" w:type="dxa"/>
              <w:bottom w:w="70" w:type="dxa"/>
              <w:end w:w="110" w:type="dxa"/>
            </w:tcMar>
            <w:vAlign w:val="center"/>
          </w:tcPr>
          <w:p>
            <w:pPr>
              <w:pStyle w:val="TableText"/>
              <w:jc w:val="left"/>
            </w:pPr>
            <w:r>
              <w:rPr>
                <w:lang w:val="en-US" w:eastAsia="en-US" w:bidi="ar-SA"/>
              </w:rPr>
              <w:t>Other frozen: Livers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0207.60.99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frozen:</w:t>
            </w:r>
          </w:p>
        </w:tc>
      </w:tr>
    </w:tbl>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0208.10.00</w:t>
            </w:r>
          </w:p>
        </w:tc>
        <w:tc>
          <w:tcPr>
            <w:tcW w:w="4679" w:type="dxa"/>
            <w:tcMar>
              <w:top w:w="70" w:type="dxa"/>
              <w:start w:w="110" w:type="dxa"/>
              <w:bottom w:w="70" w:type="dxa"/>
              <w:end w:w="110" w:type="dxa"/>
            </w:tcMar>
            <w:vAlign w:val="center"/>
          </w:tcPr>
          <w:p>
            <w:pPr>
              <w:pStyle w:val="TableText"/>
              <w:jc w:val="left"/>
            </w:pPr>
            <w:r>
              <w:rPr>
                <w:lang w:val="en-US" w:eastAsia="en-US" w:bidi="ar-SA"/>
              </w:rPr>
              <w:t>Of rabbits or hares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0208.30.00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primates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0208.40.10</w:t>
            </w:r>
          </w:p>
        </w:tc>
        <w:tc>
          <w:tcPr>
            <w:tcW w:w="4679" w:type="dxa"/>
            <w:tcMar>
              <w:top w:w="70" w:type="dxa"/>
              <w:start w:w="110" w:type="dxa"/>
              <w:bottom w:w="70" w:type="dxa"/>
              <w:end w:w="110" w:type="dxa"/>
            </w:tcMar>
            <w:vAlign w:val="center"/>
          </w:tcPr>
          <w:p>
            <w:pPr>
              <w:pStyle w:val="TableText"/>
              <w:jc w:val="left"/>
            </w:pPr>
            <w:r>
              <w:rPr>
                <w:lang w:val="en-US" w:eastAsia="en-US" w:bidi="ar-SA"/>
              </w:rPr>
              <w:t>Of whales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0208.40.90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0208.50.00</w:t>
            </w:r>
          </w:p>
        </w:tc>
        <w:tc>
          <w:tcPr>
            <w:tcW w:w="4679" w:type="dxa"/>
            <w:tcMar>
              <w:top w:w="70" w:type="dxa"/>
              <w:start w:w="110" w:type="dxa"/>
              <w:bottom w:w="70" w:type="dxa"/>
              <w:end w:w="110" w:type="dxa"/>
            </w:tcMar>
            <w:vAlign w:val="center"/>
          </w:tcPr>
          <w:p>
            <w:pPr>
              <w:pStyle w:val="TableText"/>
              <w:jc w:val="left"/>
            </w:pPr>
            <w:r>
              <w:rPr>
                <w:lang w:val="en-US" w:eastAsia="en-US" w:bidi="ar-SA"/>
              </w:rPr>
              <w:t>Of reptiles (including snakes and turtles)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0208.60.00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camels and other camelids (Camelidae)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0208.90.00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pigs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0209.90.10</w:t>
            </w:r>
          </w:p>
        </w:tc>
        <w:tc>
          <w:tcPr>
            <w:tcW w:w="4679" w:type="dxa"/>
            <w:tcMar>
              <w:top w:w="70" w:type="dxa"/>
              <w:start w:w="110" w:type="dxa"/>
              <w:bottom w:w="70" w:type="dxa"/>
              <w:end w:w="110" w:type="dxa"/>
            </w:tcMar>
            <w:vAlign w:val="center"/>
          </w:tcPr>
          <w:p>
            <w:pPr>
              <w:pStyle w:val="TableText"/>
              <w:jc w:val="left"/>
            </w:pPr>
            <w:r>
              <w:rPr>
                <w:lang w:val="en-US" w:eastAsia="en-US" w:bidi="ar-SA"/>
              </w:rPr>
              <w:t>Fat of fowls of the species Gallus domesticus,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0209.90.20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Fat of fowls of the species Gallus domesticus,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0209.90.30</w:t>
            </w:r>
          </w:p>
        </w:tc>
        <w:tc>
          <w:tcPr>
            <w:tcW w:w="4679" w:type="dxa"/>
            <w:tcMar>
              <w:top w:w="70" w:type="dxa"/>
              <w:start w:w="110" w:type="dxa"/>
              <w:bottom w:w="70" w:type="dxa"/>
              <w:end w:w="110" w:type="dxa"/>
            </w:tcMar>
            <w:vAlign w:val="center"/>
          </w:tcPr>
          <w:p>
            <w:pPr>
              <w:pStyle w:val="TableText"/>
              <w:jc w:val="left"/>
            </w:pPr>
            <w:r>
              <w:rPr>
                <w:lang w:val="en-US" w:eastAsia="en-US" w:bidi="ar-SA"/>
              </w:rPr>
              <w:t>Fat of turkeys, within access commitment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0209.90.40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Fat of turkeys,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0209.90.90</w:t>
            </w:r>
          </w:p>
        </w:tc>
        <w:tc>
          <w:tcPr>
            <w:tcW w:w="4679" w:type="dxa"/>
            <w:tcMar>
              <w:top w:w="70" w:type="dxa"/>
              <w:start w:w="110" w:type="dxa"/>
              <w:bottom w:w="70" w:type="dxa"/>
              <w:end w:w="110" w:type="dxa"/>
            </w:tcMar>
            <w:vAlign w:val="center"/>
          </w:tcPr>
          <w:p>
            <w:pPr>
              <w:pStyle w:val="TableText"/>
              <w:jc w:val="left"/>
            </w:pPr>
            <w:r>
              <w:rPr>
                <w:lang w:val="en-US" w:eastAsia="en-US" w:bidi="ar-SA"/>
              </w:rPr>
              <w:t>Other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0210.11.00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Hams, shoulders and cuts thereof, with bone in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0210.12.00</w:t>
            </w:r>
          </w:p>
        </w:tc>
        <w:tc>
          <w:tcPr>
            <w:tcW w:w="4679" w:type="dxa"/>
            <w:tcMar>
              <w:top w:w="70" w:type="dxa"/>
              <w:start w:w="110" w:type="dxa"/>
              <w:bottom w:w="70" w:type="dxa"/>
              <w:end w:w="110" w:type="dxa"/>
            </w:tcMar>
            <w:vAlign w:val="center"/>
          </w:tcPr>
          <w:p>
            <w:pPr>
              <w:pStyle w:val="TableText"/>
              <w:jc w:val="left"/>
            </w:pPr>
            <w:r>
              <w:rPr>
                <w:lang w:val="en-US" w:eastAsia="en-US" w:bidi="ar-SA"/>
              </w:rPr>
              <w:t>Bellies (streaky) and cuts thereof</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0210.19.00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0210.20.00</w:t>
            </w:r>
          </w:p>
        </w:tc>
        <w:tc>
          <w:tcPr>
            <w:tcW w:w="4679" w:type="dxa"/>
            <w:tcMar>
              <w:top w:w="70" w:type="dxa"/>
              <w:start w:w="110" w:type="dxa"/>
              <w:bottom w:w="70" w:type="dxa"/>
              <w:end w:w="110" w:type="dxa"/>
            </w:tcMar>
            <w:vAlign w:val="center"/>
          </w:tcPr>
          <w:p>
            <w:pPr>
              <w:pStyle w:val="TableText"/>
              <w:jc w:val="left"/>
            </w:pPr>
            <w:r>
              <w:rPr>
                <w:lang w:val="en-US" w:eastAsia="en-US" w:bidi="ar-SA"/>
              </w:rPr>
              <w:t>Meat of bovine animals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0210.91.00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primates</w:t>
            </w:r>
          </w:p>
        </w:tc>
      </w:tr>
    </w:tbl>
    <w:p>
      <w:pPr>
        <w:pStyle w:val="Normal"/>
      </w:pPr>
      <w:r>
        <w:t>0210.92.00 Of whales, dolphins and porpoises (mammals of the order Cetacea); of manatees and dugongs (mammals of the order Sirenia); of seals, sea lions and walruses (mammals of the suborder Pinnipedia) 0210.93.00 Of reptiles (including snakes and turtles) 0210.99.11 Meat of poultry: Of fowls of the species Gallus domesticus, within access commitment * * 0210.99.12 Meat of poultry: Of fowls of the species Gallus domesticus, over access commitment, bone in * * 0210.99.13 Meat of poultry: Of fowls of the species Gallus domesticus, over access commitment, boneless * * 0210.99.14 Meat of poultry: Of turkeys, within access commitment * 0210.99.15 Meat of poultry: Of turkeys, over access commitment, bone in * * 0210.99.16 Meat of poultry: Of turkeys, over access commitment, boneless * * 0210.99.19 Meat of poultry: Other * 0210.99.90 Other 0301.11.00 Freshwater 0301.19.00 Other 0301.91.00 Trout (Salmo trutta, Oncorhynchus mykiss, Oncorhynchus clarki, Oncorhynchus aguabonita, Oncorhynchus gilae, Oncorhynchus apache and Oncorhynchus chrysogaster) 0301.92.00 Eels (Anguilla spp.) 0301.93.00 Carp (Cyprinus spp., Carassius spp., Ctenopharyngodon idellus, Hypophthalmichthys spp., Cirrhinus spp., Mylopharyngodon piceus, Catla catla, Labeo spp., Osteochilus hasselti, Leptobarbus hoeveni, Megalobrama spp.)</w:t>
      </w:r>
    </w:p>
    <w:p>
      <w:pPr>
        <w:pStyle w:val="Normal"/>
      </w:pPr>
      <w:r>
        <w:t>0301.94.00 Atlantic and Pacific bluefin tunas (Thunnus thynnus, Thunnus orientalis) 0301.95.00 Southern bluefin tunas (Thunnus maccoyii) 0301.99.00 Other 0302.11.00 Trout (Salmo trutta, Oncorhynchus mykiss, Oncorhynchus clarki, Oncorhynchus aguabonita, Oncorhynchus gilae, Oncorhynchus apache and Oncorhynchus chrysogaster) 0302.13.00 Pacific salmon (Oncorhynchus nerka, Oncorhynchus gorbuscha, Oncorhynchus keta, Oncorhynchus tschawytscha, Oncorhynchus kisutch, Oncorhynchus masou and Oncorhynchus rhodurus) 0302.14.00 Atlantic salmon (Salmo salar) and Danube salmon (Hucho hucho) 0302.19.00 Other 0302.21.00 Halibut (Reinhardtius hippoglossoides, Hippoglossus hippoglossus, Hippoglossus stenolepis) 0302.22.00 Plaice (Pleuronectes platessa) 0302.23.00 Sole (Solea spp.) 0302.24.00 Turbots (Psetta maxima) 0302.29.00 Other 0302.31.00 Albacore or longfinned tunas (Thunnus alalunga) 0302.32.00 Yellowfin tunas (Thunnus albacares) 0302.33.00 Skipjack or stripe-bellied bonito 0302.34.00 Bigeye tunas (Thunnus obesus) 0302.35.00 Atlantic and Pacific bluefin tunas (Thunnus thynnus, Thunnus orientalis) 0302.36.00 Southern bluefin tunas (Thunnus maccoyii) 0302.39.00 Other 0302.41.00 Herrings (Clupea harengus, Clupea pallasii) 0302.42.00 Anchovies (Engraulis spp.) 0302.43.00 Sardines (Sardina pilchardus, Sardinops spp.), sardinella (Sardinella spp.),</w:t>
      </w:r>
    </w:p>
    <w:p>
      <w:pPr>
        <w:pStyle w:val="Normal"/>
      </w:pPr>
      <w:r>
        <w:t>brisling or sprats (Sprattus sprattus) 0302.44.00 Mackerel (Scomber scombrus, Scomber australasicus, Scomber japonicus) 0302.45.00 Jack and horse mackerel (Trachurus spp.) 0302.46.00 Cobia (Rachycentron canadum) 0302.47.00 Swordfish (Xiphias gladius) 0302.49.00 Other 0302.51.00 Cod (Gadus morhua, Gadus ogac, Gadus macrocephalus) 0302.52.00 Haddock (Melanogrammus aeglefinus) 0302.53.00 Coalfish (Pollachius virens) 0302.54.00 Hake (Merluccius spp., Urophycis spp.) 0302.55.00 Alaska Pollack (Theragra chalcogramma) 0302.56.00 Blue whitings (Micromesistius poutassou, Micromesistius australis) 0302.59.00 Other 0302.71.00 Tilapias (Oreochromis spp.) 0302.72.00 Catfish (Pangasius spp., Silurus spp., Clarias spp., Ictalurus spp.) 0302.73.00 Carp (Cyprinus spp., Carassius spp., Ctenopharyngodon idellus, Hypophthalmichthys spp., Cirrhinus spp., Mylopharyngodon piceus, Catla catla, Labeo spp., Osteochilus hasselti, Leptobarbus hoeveni, Megalobrama spp.) 0302.74.00 Eels (Anguilla spp.) 0302.79.00 Other 0302.81.00 Dogfish and other sharks 0302.82.00 Rays and skates (Rajidae) 0302.83.00 Toothfish (Dissostichus spp.) 0302.84.00 Seabass (Dicentrarchus spp.)</w:t>
      </w:r>
    </w:p>
    <w:p>
      <w:pPr>
        <w:pStyle w:val="Normal"/>
      </w:pPr>
      <w:r>
        <w:t>0302.85.00 Seabream (Sparidae) 0302.89.00 Other 0302.91.00 Livers, roes and milt 0302.92.00 Shark fins 0302.99.00 Other 0303.11.00 Sockeye salmon (red salmon) (Oncorhynchus nerka) 0303.12.00 Other Pacific salmon (Oncorhynchus gorbuscha, Oncorhynchus keta, Oncorhynchus tschawytscha, Oncorhynchus kisutch, Oncorhynchus masou and Oncorhynchus rhodurus) 0303.13.00 Atlantic salmon (Salmo salar) and Danube salmon (Hucho hucho) 0303.14.00 Trout (Salmo trutta, Oncorhynchus mykiss, Oncorhynchus clarki, Oncorhynchus aguabonita, Oncorhynchus gilae, Oncorhynchus apache and Oncorhynchus chrysogaster) 0303.19.00 Other 0303.23.00 Tilapias (Oreochromis spp.) 0303.24.00 Catfish (Pangasius spp., Silurus spp., Clarias spp., Ictalurus spp.) 0303.25.00 Carp (Cyprinus spp., Carassius spp., Ctenopharyngodon idellus, Hypophthalmichthys spp., Cirrhinus spp., Mylopharyngodon piceus, Catla catla, Labeo spp., Osteochilus hasselti, Leptobarbus hoeveni, Megalobrama spp.) 0303.26.00 Eels (Anguilla spp.) 0303.29.00 Other 0303.31.00 Halibut (Reinhardtius hippoglossoides, Hippoglossus hippoglossus, Hippoglossus stenolepis) 0303.32.00 Plaice (Pleuronectes platessa) 0303.33.00 Sole (Solea spp.)</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0303.34.00</w:t>
            </w:r>
          </w:p>
        </w:tc>
        <w:tc>
          <w:tcPr>
            <w:tcW w:w="4679" w:type="dxa"/>
            <w:tcMar>
              <w:top w:w="70" w:type="dxa"/>
              <w:start w:w="110" w:type="dxa"/>
              <w:bottom w:w="70" w:type="dxa"/>
              <w:end w:w="110" w:type="dxa"/>
            </w:tcMar>
            <w:vAlign w:val="center"/>
          </w:tcPr>
          <w:p>
            <w:pPr>
              <w:pStyle w:val="TableText"/>
              <w:jc w:val="left"/>
            </w:pPr>
            <w:r>
              <w:rPr>
                <w:lang w:val="en-US" w:eastAsia="en-US" w:bidi="ar-SA"/>
              </w:rPr>
              <w:t>) Turbots (Psetta maxima)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0303.41.00</w:t>
            </w:r>
          </w:p>
        </w:tc>
        <w:tc>
          <w:tcPr>
            <w:tcW w:w="4679" w:type="dxa"/>
            <w:tcMar>
              <w:top w:w="70" w:type="dxa"/>
              <w:start w:w="110" w:type="dxa"/>
              <w:bottom w:w="70" w:type="dxa"/>
              <w:end w:w="110" w:type="dxa"/>
            </w:tcMar>
            <w:vAlign w:val="center"/>
          </w:tcPr>
          <w:p>
            <w:pPr>
              <w:pStyle w:val="TableText"/>
              <w:jc w:val="left"/>
            </w:pPr>
            <w:r>
              <w:rPr>
                <w:lang w:val="en-US" w:eastAsia="en-US" w:bidi="ar-SA"/>
              </w:rPr>
              <w:t>Albacore or longfinned tunas (Thunnus alalunga)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Yellowfin tunas (Thunnus albacares)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0303.43.00</w:t>
            </w:r>
          </w:p>
        </w:tc>
        <w:tc>
          <w:tcPr>
            <w:tcW w:w="4679" w:type="dxa"/>
            <w:tcMar>
              <w:top w:w="70" w:type="dxa"/>
              <w:start w:w="110" w:type="dxa"/>
              <w:bottom w:w="70" w:type="dxa"/>
              <w:end w:w="110" w:type="dxa"/>
            </w:tcMar>
            <w:vAlign w:val="center"/>
          </w:tcPr>
          <w:p>
            <w:pPr>
              <w:pStyle w:val="TableText"/>
              <w:jc w:val="left"/>
            </w:pPr>
            <w:r>
              <w:rPr>
                <w:lang w:val="en-US" w:eastAsia="en-US" w:bidi="ar-SA"/>
              </w:rPr>
              <w:t>Skipjack or stripe-bellied bonito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0303.44.00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Bigeye tunas (Thunnus obesus)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0303.45.00</w:t>
            </w:r>
          </w:p>
        </w:tc>
        <w:tc>
          <w:tcPr>
            <w:tcW w:w="4679" w:type="dxa"/>
            <w:tcMar>
              <w:top w:w="70" w:type="dxa"/>
              <w:start w:w="110" w:type="dxa"/>
              <w:bottom w:w="70" w:type="dxa"/>
              <w:end w:w="110" w:type="dxa"/>
            </w:tcMar>
            <w:vAlign w:val="center"/>
          </w:tcPr>
          <w:p>
            <w:pPr>
              <w:pStyle w:val="TableText"/>
              <w:jc w:val="left"/>
            </w:pPr>
            <w:r>
              <w:rPr>
                <w:lang w:val="en-US" w:eastAsia="en-US" w:bidi="ar-SA"/>
              </w:rPr>
              <w:t>Atlantic and Pacific bluefin tunas (Thunnus thynnus, Thunnus orientalis)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0303.46.00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Southern bluefin tunas (Thunnus maccoyii)</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Herrings (Clupea harengus, Clupea pallasii)</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0303.53.00</w:t>
            </w:r>
          </w:p>
        </w:tc>
        <w:tc>
          <w:tcPr>
            <w:tcW w:w="4679" w:type="dxa"/>
            <w:tcMar>
              <w:top w:w="70" w:type="dxa"/>
              <w:start w:w="110" w:type="dxa"/>
              <w:bottom w:w="70" w:type="dxa"/>
              <w:end w:w="110" w:type="dxa"/>
            </w:tcMar>
            <w:vAlign w:val="center"/>
          </w:tcPr>
          <w:p>
            <w:pPr>
              <w:pStyle w:val="TableText"/>
              <w:jc w:val="left"/>
            </w:pPr>
            <w:r>
              <w:rPr>
                <w:lang w:val="en-US" w:eastAsia="en-US" w:bidi="ar-SA"/>
              </w:rPr>
              <w:t>Sardines (Sardina pilchardus, Sardinops spp.), sardinella (Sardinella spp.), brisling or sprats (Sprattus sprattus)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0303.54.00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Mackerel (Scomber scombrus, Scomber australasicus, Scomber japonicus)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0303.55.00</w:t>
            </w:r>
          </w:p>
        </w:tc>
        <w:tc>
          <w:tcPr>
            <w:tcW w:w="4679" w:type="dxa"/>
            <w:tcMar>
              <w:top w:w="70" w:type="dxa"/>
              <w:start w:w="110" w:type="dxa"/>
              <w:bottom w:w="70" w:type="dxa"/>
              <w:end w:w="110" w:type="dxa"/>
            </w:tcMar>
            <w:vAlign w:val="center"/>
          </w:tcPr>
          <w:p>
            <w:pPr>
              <w:pStyle w:val="TableText"/>
              <w:jc w:val="left"/>
            </w:pPr>
            <w:r>
              <w:rPr>
                <w:lang w:val="en-US" w:eastAsia="en-US" w:bidi="ar-SA"/>
              </w:rPr>
              <w:t>Jack and horse mackerel (Trachurus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0303.56.00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Cobia (Rachycentron canadum)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0303.57.00</w:t>
            </w:r>
          </w:p>
        </w:tc>
        <w:tc>
          <w:tcPr>
            <w:tcW w:w="4679" w:type="dxa"/>
            <w:tcMar>
              <w:top w:w="70" w:type="dxa"/>
              <w:start w:w="110" w:type="dxa"/>
              <w:bottom w:w="70" w:type="dxa"/>
              <w:end w:w="110" w:type="dxa"/>
            </w:tcMar>
            <w:vAlign w:val="center"/>
          </w:tcPr>
          <w:p>
            <w:pPr>
              <w:pStyle w:val="TableText"/>
              <w:jc w:val="left"/>
            </w:pPr>
            <w:r>
              <w:rPr>
                <w:lang w:val="en-US" w:eastAsia="en-US" w:bidi="ar-SA"/>
              </w:rPr>
              <w:t>Swordfish (Xiphias gladius)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0303.63.00</w:t>
            </w:r>
          </w:p>
        </w:tc>
        <w:tc>
          <w:tcPr>
            <w:tcW w:w="4679" w:type="dxa"/>
            <w:tcMar>
              <w:top w:w="70" w:type="dxa"/>
              <w:start w:w="110" w:type="dxa"/>
              <w:bottom w:w="70" w:type="dxa"/>
              <w:end w:w="110" w:type="dxa"/>
            </w:tcMar>
            <w:vAlign w:val="center"/>
          </w:tcPr>
          <w:p>
            <w:pPr>
              <w:pStyle w:val="TableText"/>
              <w:jc w:val="left"/>
            </w:pPr>
            <w:r>
              <w:rPr>
                <w:lang w:val="en-US" w:eastAsia="en-US" w:bidi="ar-SA"/>
              </w:rPr>
              <w:t>Cod (Gadus morhua, Gadus ogac, Gadus macrocephalus)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0303.64.00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Haddock (Melanogrammus aeglefinus)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0303.65.00</w:t>
            </w:r>
          </w:p>
        </w:tc>
        <w:tc>
          <w:tcPr>
            <w:tcW w:w="4679" w:type="dxa"/>
            <w:tcMar>
              <w:top w:w="70" w:type="dxa"/>
              <w:start w:w="110" w:type="dxa"/>
              <w:bottom w:w="70" w:type="dxa"/>
              <w:end w:w="110" w:type="dxa"/>
            </w:tcMar>
            <w:vAlign w:val="center"/>
          </w:tcPr>
          <w:p>
            <w:pPr>
              <w:pStyle w:val="TableText"/>
              <w:jc w:val="left"/>
            </w:pPr>
            <w:r>
              <w:rPr>
                <w:lang w:val="en-US" w:eastAsia="en-US" w:bidi="ar-SA"/>
              </w:rPr>
              <w:t>Coalfish (Pollachius virens)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0303.66.00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Hake (Merluccius spp., Urophycis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0303.67.00</w:t>
            </w:r>
          </w:p>
        </w:tc>
        <w:tc>
          <w:tcPr>
            <w:tcW w:w="4679" w:type="dxa"/>
            <w:tcMar>
              <w:top w:w="70" w:type="dxa"/>
              <w:start w:w="110" w:type="dxa"/>
              <w:bottom w:w="70" w:type="dxa"/>
              <w:end w:w="110" w:type="dxa"/>
            </w:tcMar>
            <w:vAlign w:val="center"/>
          </w:tcPr>
          <w:p>
            <w:pPr>
              <w:pStyle w:val="TableText"/>
              <w:jc w:val="left"/>
            </w:pPr>
            <w:r>
              <w:rPr>
                <w:lang w:val="en-US" w:eastAsia="en-US" w:bidi="ar-SA"/>
              </w:rPr>
              <w:t>Alaska Pollack (Theragra chalcogramma)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0303.68.00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Blue whitings (Micromesistius poutassou, Micromesistius australis)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0303.69.00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0303.81.00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Dogfish and other sharks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0303.82.00</w:t>
            </w:r>
          </w:p>
        </w:tc>
        <w:tc>
          <w:tcPr>
            <w:tcW w:w="4679" w:type="dxa"/>
            <w:tcMar>
              <w:top w:w="70" w:type="dxa"/>
              <w:start w:w="110" w:type="dxa"/>
              <w:bottom w:w="70" w:type="dxa"/>
              <w:end w:w="110" w:type="dxa"/>
            </w:tcMar>
            <w:vAlign w:val="center"/>
          </w:tcPr>
          <w:p>
            <w:pPr>
              <w:pStyle w:val="TableText"/>
              <w:jc w:val="left"/>
            </w:pPr>
            <w:r>
              <w:rPr>
                <w:lang w:val="en-US" w:eastAsia="en-US" w:bidi="ar-SA"/>
              </w:rPr>
              <w:t>Rays and skates (Rajidae)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0303.83.00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Toothfish (Dissostichus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0303.84.00</w:t>
            </w:r>
          </w:p>
        </w:tc>
        <w:tc>
          <w:tcPr>
            <w:tcW w:w="4679" w:type="dxa"/>
            <w:tcMar>
              <w:top w:w="70" w:type="dxa"/>
              <w:start w:w="110" w:type="dxa"/>
              <w:bottom w:w="70" w:type="dxa"/>
              <w:end w:w="110" w:type="dxa"/>
            </w:tcMar>
            <w:vAlign w:val="center"/>
          </w:tcPr>
          <w:p>
            <w:pPr>
              <w:pStyle w:val="TableText"/>
              <w:jc w:val="left"/>
            </w:pPr>
            <w:r>
              <w:rPr>
                <w:lang w:val="en-US" w:eastAsia="en-US" w:bidi="ar-SA"/>
              </w:rPr>
              <w:t>Seabass (Dicentrarchus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0303.89.00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0303.91.00</w:t>
            </w:r>
          </w:p>
        </w:tc>
        <w:tc>
          <w:tcPr>
            <w:tcW w:w="4679" w:type="dxa"/>
            <w:tcMar>
              <w:top w:w="70" w:type="dxa"/>
              <w:start w:w="110" w:type="dxa"/>
              <w:bottom w:w="70" w:type="dxa"/>
              <w:end w:w="110" w:type="dxa"/>
            </w:tcMar>
            <w:vAlign w:val="center"/>
          </w:tcPr>
          <w:p>
            <w:pPr>
              <w:pStyle w:val="TableText"/>
              <w:jc w:val="left"/>
            </w:pPr>
            <w:r>
              <w:rPr>
                <w:lang w:val="en-US" w:eastAsia="en-US" w:bidi="ar-SA"/>
              </w:rPr>
              <w:t>Livers, roes and milt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0303.92.00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Shark fins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0303.99.00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0304.31.00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Tilapias (Oreochromis spp.</w:t>
            </w:r>
          </w:p>
        </w:tc>
      </w:tr>
    </w:tbl>
    <w:p>
      <w:pPr>
        <w:pStyle w:val="Normal"/>
      </w:pPr>
      <w:r>
        <w:t>0304.32.00 Catfish (Pangasius spp., Silurus spp., Clarias spp., Ictalurus spp.) 0304.33.00 Nile Perch (Lates niloticus) 0304.39.00 Other 0304.41.00 Pacific salmon (Oncorhynchus nerka, Oncorhynchus gorbuscha, Oncorhynchus keta, Oncorhynchus tschawytscha, Oncorhynchus kisutch, Oncorhynchus masou and Oncorhynchus rhodurus), Atlantic salmon (Salmo salar) and Danube salmon (Hucho hucho) 0304.42.00 Trout (Salmo trutta, Oncorhynchus mykiss, Oncorhynchus clarki, Oncorhynchus aguabonita, Oncorhynchus gilae, Oncorhynchus apache and Oncorhynchus chrysogaster) 0304.43.00 Flat fish (Pleuronectidae, Bothidae, Cynoglossidae, Soleidae, Scophthalmidae and Citharidae) 0304.44.00 Fish of the families Bregmacerotidae, Euclichthyidae, Gadidae, Macrouridae, Melanonidae, Merlucciidae, Moridae and Muraenolepididae 0304.45.00 Swordfish (Xiphias gladius) 0304.46.00 Toothfish (Dissostichus spp.) 0304.47.00 Dogfish and other sharks 0304.48.00 Rays and skates (Rajidae) 0304.49.00 Other 0304.51.00 Tilapias (Oreochromis spp.), 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w:t>
      </w:r>
    </w:p>
    <w:p>
      <w:pPr>
        <w:pStyle w:val="Normal"/>
      </w:pPr>
      <w:r>
        <w:t>0304.52.00 Salmonidae 0304.53.00 Fish of the families Bregmacerotidae, Euclichthyidae, Gadidae, Macrouridae, Melanonidae, Merlucciidae, Moridae and Muraenolepididae 0304.54.00 Swordfish (Xiphias gladius) 0304.55.00 Toothfish (Dissostichus spp.) 0304.56.00 Dogfish and other sharks 0304.57.00 Rays and skates (Rajidae) 0304.59.00 Other 0304.61.00 Tilapias (Oreochromis spp.) 0304.62.00 Catfish (Pangasius spp., Silurus spp., Clarias spp., Ictalurus spp.) 0304.63.00 Nile Perch (Lates niloticus) 0304.69.00 Other 0304.71.00 Cod (Gadus morhua, Gadus ogac, Gadus macrocephalus) 0304.72.00 Haddock (Melanogrammus aeglefinus) 0304.73.00 Coalfish (Pollachius virens) 0304.74.00 Hake (Merluccius spp., Urophycis spp.) 0304.75.00 Alaska Pollack (Theragra chalcogramma) 0304.79.00 Other 0304.81.00 Pacific salmon (Oncorhynchus nerka, Oncorhynchus gorbuscha, Oncorhynchus keta, Oncorhynchus tschawytscha, Oncorhynchus kisutch, Oncorhynchus masou and Oncorhynchus rhodurus), Atlantic salmon (Salmo salar) and Danube salmon (Hucho hucho) 0304.82.00 Trout (Salmo trutta, Oncorhynchus mykiss, Oncorhynchus clarki, Oncorhynchus aguabonita, Oncorhynchus gilae, Oncorhynchus apache and Oncorhynchus chrysogaster) 0304.83.00 Flat fish (Pleuronectidae, Bothidae, Cynoglossidae, Soleidae, Scophthalmidae and Citharidae) 0304.84.00 Swordfish (Xiphias gladius) 0304.85.00 Toothfish (Dissostichus spp.)</w:t>
      </w:r>
    </w:p>
    <w:p>
      <w:pPr>
        <w:pStyle w:val="Normal"/>
      </w:pPr>
      <w:r>
        <w:t>0304.86.00 Herrings (Clupea harengus, Clupea pallasii) 0304.87.00 Tunas (of the genus Thunnus), skipjack or stripe-bellied bonito (Euthynnus (Katsuwonus) pelamis) 0304.88.00 Dogfish, other sharks, rays and skates (Rajidae) 0304.89.00 Other 0304.91.00 Swordfish (Xiphias gladius) 0304.92.00 Toothfish (Dissostichus spp.) 0304.93.00 Tilapias (Oreochromis spp.), catfish (Pangasius spp., Silurus spp., Clarias spp., Ictalurus spp .), carp (Cyprinus spp., Carassius spp., Ctenopharyngodon idellus, Hypophthalmichthys spp., Cirrhinus spp., Mylopharyngodon piceus, Catla catla, Labeo spp., Osteochilus hasselti, Leptobarbus hoeveni, Megalobrama spp .), eels (Anguilla spp.), Nile perch (Lates niloticus) and snakeheads (Channa spp.) 0304.94.00 Alaska Pollack (Theragra chalcogramma) 0304.95.00 Fish of the families Bregmacerotidae, Euclichthyidae, Gadidae, Macrouridae, Melanonidae, Merlucciidae, Moridae and Muraenolepididae, other than Alaska Pollack (Theragra chalcogramma) 0304.96.00 Dogfish and other sharks 0304.97.00 Rays and skates (Rajidae) 0304.99.00 Other 0305.10.00 Flours, meals and pellets of fish, fit for human consumption 0305.20.00 Livers, roes and milt of fish, dried, smoked, salted or in brine 0305.31.00 Tilapias (Oreochromis spp.), catfish (Pangasius spp., Silurus spp., Clarias spp., Ictalurus spp.),</w:t>
      </w:r>
    </w:p>
    <w:p>
      <w:pPr>
        <w:pStyle w:val="Normal"/>
      </w:pPr>
      <w:r>
        <w:t>carp (Cyprinus spp., Carassius spp., Ctenopharyngodon idellus, Hypophthalmichthys spp., Cirrhinus spp., Mylopharyngodon piceus, Catla catla, Labeo spp., Osteochilus hasselti, Leptobarbus hoeveni, Megalobrama spp.), eels (Anguilla spp.), Nile perch (Lates niloticus) and snakeheads (Channa spp.) 0305.32.00 Fish of the families Bregmacerotidae, Euclichthyidae, Gadidae, Macrouridae, Melanonidae, Merlucciidae, Moridae and Muraenolepididae 0305.39.00 Other 0305.41.00 Pacific salmon (Oncorhynchus nerka, Oncorhynchus gorbuscha, Oncorhynchus keta, Oncorhynchus tschawytscha, Oncorhynchus kisutch, Oncorhynchus masou and Oncorhynchus rhodurus), Atlantic salmon (Salmo salar) and Danube salmon (Hucho hucho) 0305.42.00 Herrings (Clupea harengus, Clupea pallasii) 0305.43.00 Trout (Salmo trutta, Oncorhynchus mykiss, Oncorhynchus clarki, Oncorhynchus aguabonita, Oncorhynchus gilae, Oncorhynchus apache and Oncorhynchus chrysogaster) 0305.44.00 Tilapias (Oreochromis spp.), 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 0305.49.00 Other 0305.51.00 Cod (Gadus morhua, Gadus ogac, Gadus macrocephalus) 0305.52.00 Tilapias (Oreochromis spp.),</w:t>
      </w:r>
    </w:p>
    <w:p>
      <w:pPr>
        <w:pStyle w:val="Normal"/>
      </w:pPr>
      <w:r>
        <w:t>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 0305.53.00 Fish of the families Bregmacerotidae, Euclichthyidae, Gadidae, Macrouridae, Melanonidae, Merlucciidae, Moridae and Muraenolepididae, other than cod (Gadus morhua, Gadus ogac, Gadus macrocephalus) 0305.54.00 Herrings (Clupea harengus, Clupea pallasii), anchovies (Engraulis spp.), sardines (Sardina pilchardus, Sardinops spp.), sardinella (Sardinella spp.), brisling or sprats (Sprattus sprattus), mackerel (Scomber scombrus, Scomber australasicus, Scomber japonicus), Indian mackerels (Rastrelliger spp.), seerfishes (Scomberomorus spp.), jack and horse mackerel (Trachurus spp.), jacks, crevalles (Caranx spp.), cobia (Rachycentron canadum), silver pomfrets (Pampus spp.), Pacific saury (Cololabis saira), scads (Decapterus spp.), capelin (Mallotus villosus), swordfish (Xiphias gladius), Kawakawa (Euthynnus affinis), bonitos (Sarda spp.), marlins, sailfishes, spearfish (Istiophoridae) 0305.59.00 Other 0305.61.00 Herrings (Clupea harengus, Clupea pallasii) 0305.62.00 Cod (Gadus morhua, Gadus ogac, Gadus macrocephalus) 0305.63.00 Anchovies (Engraulis spp.)</w:t>
      </w:r>
    </w:p>
    <w:p>
      <w:pPr>
        <w:pStyle w:val="Normal"/>
      </w:pPr>
      <w:r>
        <w:t>0305.64.00 Tilapias (Oreochromis spp.), 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 0305.69.00 Other 0305.71.00 Shark fins 0305.72.00 Fish heads, tails and maws 0305.79.00 Other 0306.11.00 Rock lobster and other sea crawfish (Palinurus spp., Panulirus spp., Jasus spp.) 0306.12.10 Smoked 0306.12.90 Other 0306.14.10 King or snow for processing 0306.14.90 Other 0306.15.00 Norway lobsters (Nephrops norvegicus) 0306.16.00 Cold-water shrimps and prawns (Pandalus spp., Crangon crangon) 0306.17.00 Other shrimps and prawns 0306.19.00 Other, including flours, meals and pellets of crustaceans, fit for human consumption 0306.31.00 Rock lobster and other sea crawfish (Palinurus spp., Panulirus spp., Jasus spp.) 0306.32.00 Lobsters (Homarus spp.) 0306.33.00 Crabs 0306.34.00 Norway lobsters (Nephrops norvegicus) 0306.35.00 Cold-water shrimps and prawns (Pandalus spp., Crangon crangon) 0306.36.00 Other shrimps and prawns 0306.39.00 Other, including flours, meals and pellets of crustaceans, fit for human consumption 0306.91.00 Rock lobster and other sea crawfish (Palinurus spp., Panulirus spp., Jasus spp.</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0306.92.10</w:t>
            </w:r>
          </w:p>
        </w:tc>
        <w:tc>
          <w:tcPr>
            <w:tcW w:w="4679" w:type="dxa"/>
            <w:tcMar>
              <w:top w:w="70" w:type="dxa"/>
              <w:start w:w="110" w:type="dxa"/>
              <w:bottom w:w="70" w:type="dxa"/>
              <w:end w:w="110" w:type="dxa"/>
            </w:tcMar>
            <w:vAlign w:val="center"/>
          </w:tcPr>
          <w:p>
            <w:pPr>
              <w:pStyle w:val="TableText"/>
              <w:jc w:val="left"/>
            </w:pPr>
            <w:r>
              <w:rPr>
                <w:lang w:val="en-US" w:eastAsia="en-US" w:bidi="ar-SA"/>
              </w:rPr>
              <w:t>) 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0306.92.90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0306.93.00</w:t>
            </w:r>
          </w:p>
        </w:tc>
        <w:tc>
          <w:tcPr>
            <w:tcW w:w="4679" w:type="dxa"/>
            <w:tcMar>
              <w:top w:w="70" w:type="dxa"/>
              <w:start w:w="110" w:type="dxa"/>
              <w:bottom w:w="70" w:type="dxa"/>
              <w:end w:w="110" w:type="dxa"/>
            </w:tcMar>
            <w:vAlign w:val="center"/>
          </w:tcPr>
          <w:p>
            <w:pPr>
              <w:pStyle w:val="TableText"/>
              <w:jc w:val="left"/>
            </w:pPr>
            <w:r>
              <w:rPr>
                <w:lang w:val="en-US" w:eastAsia="en-US" w:bidi="ar-SA"/>
              </w:rPr>
              <w:t>Crabs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0306.94.00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Norway lobsters (Nephrops norvegicus)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0306.95.00</w:t>
            </w:r>
          </w:p>
        </w:tc>
        <w:tc>
          <w:tcPr>
            <w:tcW w:w="4679" w:type="dxa"/>
            <w:tcMar>
              <w:top w:w="70" w:type="dxa"/>
              <w:start w:w="110" w:type="dxa"/>
              <w:bottom w:w="70" w:type="dxa"/>
              <w:end w:w="110" w:type="dxa"/>
            </w:tcMar>
            <w:vAlign w:val="center"/>
          </w:tcPr>
          <w:p>
            <w:pPr>
              <w:pStyle w:val="TableText"/>
              <w:jc w:val="left"/>
            </w:pPr>
            <w:r>
              <w:rPr>
                <w:lang w:val="en-US" w:eastAsia="en-US" w:bidi="ar-SA"/>
              </w:rPr>
              <w:t>Shrimps and prawns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0306.99.00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including flours, meals and pellets of crustaceans, fit for human consumption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0307.11.10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0307.11.20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0307.12.10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0307.19.10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0307.19.90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0307.21.00</w:t>
            </w:r>
          </w:p>
        </w:tc>
        <w:tc>
          <w:tcPr>
            <w:tcW w:w="4679" w:type="dxa"/>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Frozen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0307.32.10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0307.32.90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0307.39.10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0307.39.90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0307.42.00</w:t>
            </w:r>
          </w:p>
        </w:tc>
        <w:tc>
          <w:tcPr>
            <w:tcW w:w="4679" w:type="dxa"/>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0307.43.00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Frozen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0307.52.00</w:t>
            </w:r>
          </w:p>
        </w:tc>
        <w:tc>
          <w:tcPr>
            <w:tcW w:w="4679" w:type="dxa"/>
            <w:tcMar>
              <w:top w:w="70" w:type="dxa"/>
              <w:start w:w="110" w:type="dxa"/>
              <w:bottom w:w="70" w:type="dxa"/>
              <w:end w:w="110" w:type="dxa"/>
            </w:tcMar>
            <w:vAlign w:val="center"/>
          </w:tcPr>
          <w:p>
            <w:pPr>
              <w:pStyle w:val="TableText"/>
              <w:jc w:val="left"/>
            </w:pPr>
            <w:r>
              <w:rPr>
                <w:lang w:val="en-US" w:eastAsia="en-US" w:bidi="ar-SA"/>
              </w:rPr>
              <w:t>Frozen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0307.60.10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0307.60.90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0307.71.00</w:t>
            </w:r>
          </w:p>
        </w:tc>
        <w:tc>
          <w:tcPr>
            <w:tcW w:w="4679" w:type="dxa"/>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0307.72.10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0307.72.90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0307.79.10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0307.79.90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0307.81.00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 fresh or chilled abalone (Haliotis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0307.82.00</w:t>
            </w:r>
          </w:p>
        </w:tc>
        <w:tc>
          <w:tcPr>
            <w:tcW w:w="4679" w:type="dxa"/>
            <w:tcMar>
              <w:top w:w="70" w:type="dxa"/>
              <w:start w:w="110" w:type="dxa"/>
              <w:bottom w:w="70" w:type="dxa"/>
              <w:end w:w="110" w:type="dxa"/>
            </w:tcMar>
            <w:vAlign w:val="center"/>
          </w:tcPr>
          <w:p>
            <w:pPr>
              <w:pStyle w:val="TableText"/>
              <w:jc w:val="left"/>
            </w:pPr>
            <w:r>
              <w:rPr>
                <w:lang w:val="en-US" w:eastAsia="en-US" w:bidi="ar-SA"/>
              </w:rPr>
              <w:t>Live, fresh or chilled stromboid conchs (Strombus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0307.83.10</w:t>
            </w:r>
          </w:p>
        </w:tc>
        <w:tc>
          <w:tcPr>
            <w:tcW w:w="4679" w:type="dxa"/>
            <w:tcMar>
              <w:top w:w="70" w:type="dxa"/>
              <w:start w:w="110" w:type="dxa"/>
              <w:bottom w:w="70" w:type="dxa"/>
              <w:end w:w="110" w:type="dxa"/>
            </w:tcMar>
            <w:vAlign w:val="center"/>
          </w:tcPr>
          <w:p>
            <w:pPr>
              <w:pStyle w:val="TableText"/>
              <w:jc w:val="left"/>
            </w:pPr>
            <w:r>
              <w:rPr>
                <w:lang w:val="en-US" w:eastAsia="en-US" w:bidi="ar-SA"/>
              </w:rPr>
              <w:t>) 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0307.83.90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0307.84.10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0307.84.90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0307.87.10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0307.87.90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0307.88.10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0307.88.90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0307.91.00</w:t>
            </w:r>
          </w:p>
        </w:tc>
        <w:tc>
          <w:tcPr>
            <w:tcW w:w="4679" w:type="dxa"/>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0307.92.10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0307.92.90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0307.99.10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0307.99.90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0308.11.00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0308.12.10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0308.12.90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0308.19.10</w:t>
            </w:r>
          </w:p>
        </w:tc>
        <w:tc>
          <w:tcPr>
            <w:tcW w:w="4679" w:type="dxa"/>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0308.19.90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0308.21.00</w:t>
            </w:r>
          </w:p>
        </w:tc>
        <w:tc>
          <w:tcPr>
            <w:tcW w:w="4679" w:type="dxa"/>
            <w:tcMar>
              <w:top w:w="70" w:type="dxa"/>
              <w:start w:w="110" w:type="dxa"/>
              <w:bottom w:w="70" w:type="dxa"/>
              <w:end w:w="110" w:type="dxa"/>
            </w:tcMar>
            <w:vAlign w:val="center"/>
          </w:tcPr>
          <w:p>
            <w:pPr>
              <w:pStyle w:val="TableText"/>
              <w:jc w:val="left"/>
            </w:pPr>
            <w:r>
              <w:rPr>
                <w:lang w:val="en-US" w:eastAsia="en-US" w:bidi="ar-SA"/>
              </w:rPr>
              <w:t>Live, fresh or chilled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0308.22.10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0308.22.90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0308.29.10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0308.29.90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0308.30.10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0308.30.90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0308.90.10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0308.90.90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0401.10.10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0401.10.20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0401.20.10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0401.20.20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0401.40.10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0401.40.20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0401.50.10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0401.50.20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0402.10.10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0402.10.20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0402.21.11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Milk: 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0402.21.12</w:t>
            </w:r>
          </w:p>
        </w:tc>
        <w:tc>
          <w:tcPr>
            <w:tcW w:w="4679" w:type="dxa"/>
            <w:tcMar>
              <w:top w:w="70" w:type="dxa"/>
              <w:start w:w="110" w:type="dxa"/>
              <w:bottom w:w="70" w:type="dxa"/>
              <w:end w:w="110" w:type="dxa"/>
            </w:tcMar>
            <w:vAlign w:val="center"/>
          </w:tcPr>
          <w:p>
            <w:pPr>
              <w:pStyle w:val="TableText"/>
              <w:jc w:val="left"/>
            </w:pPr>
            <w:r>
              <w:rPr>
                <w:lang w:val="en-US" w:eastAsia="en-US" w:bidi="ar-SA"/>
              </w:rPr>
              <w:t>Milk: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0402.21.21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Cream: 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0402.21.22</w:t>
            </w:r>
          </w:p>
        </w:tc>
        <w:tc>
          <w:tcPr>
            <w:tcW w:w="4679" w:type="dxa"/>
            <w:tcMar>
              <w:top w:w="70" w:type="dxa"/>
              <w:start w:w="110" w:type="dxa"/>
              <w:bottom w:w="70" w:type="dxa"/>
              <w:end w:w="110" w:type="dxa"/>
            </w:tcMar>
            <w:vAlign w:val="center"/>
          </w:tcPr>
          <w:p>
            <w:pPr>
              <w:pStyle w:val="TableText"/>
              <w:jc w:val="left"/>
            </w:pPr>
            <w:r>
              <w:rPr>
                <w:lang w:val="en-US" w:eastAsia="en-US" w:bidi="ar-SA"/>
              </w:rPr>
              <w:t>Cream: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0402.29.11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Milk: 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0402.29.12</w:t>
            </w:r>
          </w:p>
        </w:tc>
        <w:tc>
          <w:tcPr>
            <w:tcW w:w="4679" w:type="dxa"/>
            <w:tcMar>
              <w:top w:w="70" w:type="dxa"/>
              <w:start w:w="110" w:type="dxa"/>
              <w:bottom w:w="70" w:type="dxa"/>
              <w:end w:w="110" w:type="dxa"/>
            </w:tcMar>
            <w:vAlign w:val="center"/>
          </w:tcPr>
          <w:p>
            <w:pPr>
              <w:pStyle w:val="TableText"/>
              <w:jc w:val="left"/>
            </w:pPr>
            <w:r>
              <w:rPr>
                <w:lang w:val="en-US" w:eastAsia="en-US" w:bidi="ar-SA"/>
              </w:rPr>
              <w:t>Milk: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0402.29.21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Cream: 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0402.29.22</w:t>
            </w:r>
          </w:p>
        </w:tc>
        <w:tc>
          <w:tcPr>
            <w:tcW w:w="4679" w:type="dxa"/>
            <w:tcMar>
              <w:top w:w="70" w:type="dxa"/>
              <w:start w:w="110" w:type="dxa"/>
              <w:bottom w:w="70" w:type="dxa"/>
              <w:end w:w="110" w:type="dxa"/>
            </w:tcMar>
            <w:vAlign w:val="center"/>
          </w:tcPr>
          <w:p>
            <w:pPr>
              <w:pStyle w:val="TableText"/>
              <w:jc w:val="left"/>
            </w:pPr>
            <w:r>
              <w:rPr>
                <w:lang w:val="en-US" w:eastAsia="en-US" w:bidi="ar-SA"/>
              </w:rPr>
              <w:t>Cream: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0402.91.10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0402.91.20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0402.99.10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0402.99.20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0403.10.10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0403.10.20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w:t>
            </w:r>
          </w:p>
        </w:tc>
      </w:tr>
    </w:tbl>
    <w:p>
      <w:pPr>
        <w:pStyle w:val="Normal"/>
      </w:pPr>
      <w:r>
        <w:t>commitment * *</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0403.90.11</w:t>
            </w:r>
          </w:p>
        </w:tc>
        <w:tc>
          <w:tcPr>
            <w:tcW w:w="4679" w:type="dxa"/>
            <w:tcMar>
              <w:top w:w="70" w:type="dxa"/>
              <w:start w:w="110" w:type="dxa"/>
              <w:bottom w:w="70" w:type="dxa"/>
              <w:end w:w="110" w:type="dxa"/>
            </w:tcMar>
            <w:vAlign w:val="center"/>
          </w:tcPr>
          <w:p>
            <w:pPr>
              <w:pStyle w:val="TableText"/>
              <w:jc w:val="left"/>
            </w:pPr>
            <w:r>
              <w:rPr>
                <w:lang w:val="en-US" w:eastAsia="en-US" w:bidi="ar-SA"/>
              </w:rPr>
              <w:t>Powdered buttermilk: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0403.90.12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Powdered buttermilk: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0403.90.91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0403.90.92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0404.10.10</w:t>
            </w:r>
          </w:p>
        </w:tc>
        <w:tc>
          <w:tcPr>
            <w:tcW w:w="4679" w:type="dxa"/>
            <w:tcMar>
              <w:top w:w="70" w:type="dxa"/>
              <w:start w:w="110" w:type="dxa"/>
              <w:bottom w:w="70" w:type="dxa"/>
              <w:end w:w="110" w:type="dxa"/>
            </w:tcMar>
            <w:vAlign w:val="center"/>
          </w:tcPr>
          <w:p>
            <w:pPr>
              <w:pStyle w:val="TableText"/>
              <w:jc w:val="left"/>
            </w:pPr>
            <w:r>
              <w:rPr>
                <w:lang w:val="en-US" w:eastAsia="en-US" w:bidi="ar-SA"/>
              </w:rPr>
              <w:t>Whey protein concentrate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0404.10.21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Powdered whey: Within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0404.10.22</w:t>
            </w:r>
          </w:p>
        </w:tc>
        <w:tc>
          <w:tcPr>
            <w:tcW w:w="4679" w:type="dxa"/>
            <w:tcMar>
              <w:top w:w="70" w:type="dxa"/>
              <w:start w:w="110" w:type="dxa"/>
              <w:bottom w:w="70" w:type="dxa"/>
              <w:end w:w="110" w:type="dxa"/>
            </w:tcMar>
            <w:vAlign w:val="center"/>
          </w:tcPr>
          <w:p>
            <w:pPr>
              <w:pStyle w:val="TableText"/>
              <w:jc w:val="left"/>
            </w:pPr>
            <w:r>
              <w:rPr>
                <w:lang w:val="en-US" w:eastAsia="en-US" w:bidi="ar-SA"/>
              </w:rPr>
              <w:t>Powdered whey: Over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0404.10.90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0404.90.10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0404.90.20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0405.10.10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0405.10.20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0405.20.10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0405.20.20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0405.90.10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0405.90.20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0406.10.10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0406.10.20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0406.20.11</w:t>
            </w:r>
          </w:p>
        </w:tc>
        <w:tc>
          <w:tcPr>
            <w:tcW w:w="4679" w:type="dxa"/>
            <w:tcMar>
              <w:top w:w="70" w:type="dxa"/>
              <w:start w:w="110" w:type="dxa"/>
              <w:bottom w:w="70" w:type="dxa"/>
              <w:end w:w="110" w:type="dxa"/>
            </w:tcMar>
            <w:vAlign w:val="center"/>
          </w:tcPr>
          <w:p>
            <w:pPr>
              <w:pStyle w:val="TableText"/>
              <w:jc w:val="left"/>
            </w:pPr>
            <w:r>
              <w:rPr>
                <w:lang w:val="en-US" w:eastAsia="en-US" w:bidi="ar-SA"/>
              </w:rPr>
              <w:t>Cheddar and Cheddar types: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0406.20.12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Cheddar and Cheddar types: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0406.20.91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0406.20.92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0406.30.10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0406.30.20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0406.40.10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 *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0406.40.20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 *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0406.90.11</w:t>
            </w:r>
          </w:p>
        </w:tc>
        <w:tc>
          <w:tcPr>
            <w:tcW w:w="4679" w:type="dxa"/>
            <w:tcMar>
              <w:top w:w="70" w:type="dxa"/>
              <w:start w:w="110" w:type="dxa"/>
              <w:bottom w:w="70" w:type="dxa"/>
              <w:end w:w="110" w:type="dxa"/>
            </w:tcMar>
            <w:vAlign w:val="center"/>
          </w:tcPr>
          <w:p>
            <w:pPr>
              <w:pStyle w:val="TableText"/>
              <w:jc w:val="left"/>
            </w:pPr>
            <w:r>
              <w:rPr>
                <w:lang w:val="en-US" w:eastAsia="en-US" w:bidi="ar-SA"/>
              </w:rPr>
              <w:t>Cheddar and Cheddar types:</w:t>
            </w:r>
          </w:p>
        </w:tc>
      </w:tr>
    </w:tbl>
    <w:p>
      <w:pPr>
        <w:pStyle w:val="Normal"/>
      </w:pPr>
      <w:r>
        <w:t>Within access commitment * * 0406.90.12 Cheddar and Cheddar types: Over access commitment * * 0406.90.21 Camembert and Camembert types: Within access commitment * * 0406.90.22 Camembert and Camembert types: Over access commitment * * 0406.90.31 Brie and Brie types: Within access commitment * *</w:t>
      </w:r>
    </w:p>
    <w:p>
      <w:pPr>
        <w:pStyle w:val="Normal"/>
      </w:pPr>
      <w:r>
        <w:t>0406.90.32 Brie and Brie types: Over access commitment * * 0406.90.41 Gouda and Gouda types: Within access commitment * * 0406.90.42 Gouda and Gouda types: Over access commitment * * 0406.90.51 Provolone and Provolone types: Within access commitment * * 0406.90.52 Provolone and Provolone types: Over access commitment * * 0406.90.61 Mozzarella and Mozzarella types: Within access commitment * * 0406.90.62 Mozzarella and Mozzarella types: Over access commitment * * 0406.90.71 Swiss/Emmental and Swiss/Emmental types: Within access commitment * * 0406.90.72 Swiss/Emmental and Swiss/Emmental types: Over access commitment * * 0406.90.81 Gruyère and Gruyère types: Within access commitment * * 0406.90.82 Gruyère and Gruyère types: Over access commitment * * 0406.90.91 Other: Havarti and Havarti types, within access commitment * * 0406.90.92 Other: Havarti and Havarti types, over access commitment * * 0406.90.93 Other: Parmesan and Parmesan types, within access commitment * * 0406.90.94 Other: Parmesan and Parmesan types, over access commitment * * 0406.90.95 Other: Romano and Romano types, within access commitment * * 0406.90.96 Other: Romano and Romano types, over access commitment * * 0406.90.98 Other:</w:t>
      </w:r>
    </w:p>
    <w:p>
      <w:pPr>
        <w:pStyle w:val="Normal"/>
      </w:pPr>
      <w:r>
        <w:t>Other, within access commitment * * 0406.90.99 Other: Other, over access commitment * * 0407.11.11 Hatching, for broilers: Within access commitment * 0407.11.12 Hatching, for broilers: Over access commitment * * 0407.11.91 Other: Within access commitment * * 0407.11.92 Other: Over</w:t>
      </w:r>
    </w:p>
    <w:p>
      <w:pPr>
        <w:pStyle w:val="Normal"/>
      </w:pPr>
      <w:r>
        <w:t>access commitment * * 0407.19.00 Other * 0407.21.10 Within access commitment * * 0407.21.20 Over access commitment * * 0407.29.00 Other * 0407.90.11 Of the fowls of the species Gallus domesticus: Within access commitment * * 0407.90.12 Of the fowls of the species Gallus domesticus: Over access commitment * * 0407.90.90 Other * 0408.11.10 Within access commitment * * 0408.11.20 Over access commitment * * 0408.19.10 Within access commitment * * 0408.19.20 Over access commitment * * 0408.91.10 Within access commitment * * 0408.91.20 Over access commitment * * 0408.99.10 Within access commitment * * 0408.99.20 Over access commitment * * 0409.00.00 Natural honey. 0410.00.00 Edible products of animal origin, not elsewhere specified or included. 0501.00.00 Human hair, unworked, whether or not washed or scoured; waste of human hair. 0502.10.00 Pigs’, hogs’ or boars’ bristles and hair and waste thereof 0502.90.00 Other 0504.00.00 Guts, bladders and stomachs of animals (other than fish), whole and pieces thereof, fresh, chilled, frozen, salted, in brine, dried or smoked.</w:t>
      </w:r>
    </w:p>
    <w:p>
      <w:pPr>
        <w:pStyle w:val="Normal"/>
      </w:pPr>
      <w:r>
        <w:t>0505.10.00 Feathers of a kind used for stuffing; down 0505.90.00 Other 0506.10.00 Ossein and bones treated with acid 0506.90.00 Other 0507.10.00 Ivory; ivory powder and waste 0507.90.00 Other 0508.00.00 Coral and similar materials, unworked or simply prepared but not otherwise worked; shells of molluscs, crustaceans or echinoderms and cuttle-bone, unworked or simply prepared but not cut to shape, powder and waste thereof. 0510.00.00 Ambergris, castoreum, civet and musk; cantharides; bile, whether or not dried; glands and other animal products used in the preparation of pharmaceutical products, fresh, chilled, frozen or otherwise provisionally preserved. 0511.10.00 Bovine semen 0511.91.00 Products of fish or crustaceans, molluscs or other aquatic invertebrates; dead animals of Chapter 3 0511.99.10 Horsehair and horsehair waste, whether or not put up as a layer with or without supporting material 0511.99.90 Other 0601.10.11 Bulbs: Of the genus narcissus, other than for use by florists or nurserymen for forcing purposes or for growing on prior to disposal 0601.10.19 Bulbs: Other 0601.10.21 Tubers, tuberous roots, corms, crowns and rhizomes: Crowns of rhubarb or asparagus; Tuberous roots of cannas, dahlias and paeonias;</w:t>
      </w:r>
    </w:p>
    <w:p>
      <w:pPr>
        <w:pStyle w:val="Normal"/>
      </w:pPr>
      <w:r>
        <w:t>Tubers, other tuberous roots, corms, other crowns and rhizomes, for use by florists or nurserymen for forcing purposes or for growing on prior to disposal 0601.10.29 Tubers, tuberous roots, corms, crowns and rhizomes: Other 0601.20.10 Chicory plants and roots;</w:t>
      </w:r>
    </w:p>
    <w:p>
      <w:pPr>
        <w:pStyle w:val="Normal"/>
      </w:pPr>
      <w:r>
        <w:t>For use by florists or nurserymen for forcing purposes or for growing on prior to disposal; Tuberous roots of cannas, dahlias and paeonias 0601.20.90 Other 0602.10.00 Unrooted cuttings and slips 0602.20.00 Trees, shrubs and bushes, grafted or not, of kinds which bear edible fruit or nuts 0602.30.00 Rhododendrons and azaleas, grafted or not 0602.40.10 Multiflora rosebushes 0602.40.90 Other 0602.90.10 Mushroom spawn; Palms, ferns (other than tuberous rooted ferns), rubber plants (ficus), lilacs, araucarias, laurels, cacti, trees, teasels, sweet potato plants, cabbage seedlings, cauliflower seedlings, onion seedlings and strawberry plants; For producing cuttings, buds, scions, seeds or similar goods or for having grafting, layering or other operations performed on them; For producing vegetables; For propagation purposes or for use by florists or nurserymen for forcing purposes or for growing on prior to disposal 0602.90.90 Other 0603.11.00 Roses 0603.12.00 Carnations 0603.13.10 Cymbidium 0603.13.90 Other 0603.14.00 Chrysanthemums 0603.15.00 Lilies (Lilium spp.)</w:t>
      </w:r>
    </w:p>
    <w:p>
      <w:pPr>
        <w:pStyle w:val="Normal"/>
      </w:pPr>
      <w:r>
        <w:t>0603.19.00 Other 0603.90.10 Gypsophila, dyed, bleached or impregnated 0603.90.20 Other gypsophila 0603.90.90 Other 0604.20.10 Christmas trees; Foliage of Asparagus setaceus; Grasses and palm leaves; Mosses and lichens 0604.20.90 Other 0604.90.10 Grasses and palm leaves; Mosses and lichens 0604.90.90 Other 0701.10.00 Seed 0701.90.00 Other 0702.00.10 For processing 0702.00.21 Other than for processing: Cherry tomatoes imported during such period, which may be divided into two separate periods, specified by order of the Minister of Public Safety and Emergency Preparedness or the President of the Canada Border Services Agency, not exceeding a total of 32 weeks in any 12 month period ending 31st March 0702.00.29 Other than for processing: Other cherry tomatoes 0702.00.91 Other: Imported during such period, which may be divided into two separate periods, specified by order of the Minister of Public Safety and Emergency Preparedness or the President of the Canada Border Services Agency, not exceeding a total of 32 weeks in any 12 month period ending 31st March 0702.00.99 Other: Other 0703.10.10 Onion sets 0703.10.20 Onions, Spanish-type, for processing 0703.10.31 Onions or shallots, green:</w:t>
      </w:r>
    </w:p>
    <w:p>
      <w:pPr>
        <w:pStyle w:val="Normal"/>
      </w:pPr>
      <w:r>
        <w:t>Imported during such period, which may be divided into two separate periods, specified by order of the Minister of Public Safety and Emergency Preparedness or the President of the Canada Border Services Agency, not exceeding a total of 22 weeks in any 12 month period ending 31st March</w:t>
      </w:r>
    </w:p>
    <w:p>
      <w:pPr>
        <w:pStyle w:val="Normal"/>
      </w:pPr>
      <w:r>
        <w:t>0703.10.39 Onions or shallots, green: Other 0703.10.41 Dry shallots: Imported during such period, which may be divided into two separate periods, specified by order of the Minister of Public Safety and Emergency Preparedness or the President of the Canada Border Services Agency, not exceeding a total of 46 weeks in any 12 month period ending 31st March 0703.10.49 Dry shallots: Other 0703.10.91 Other: Imported during such period, which may be divided into two separate periods, specified by order of the Minister of Public Safety and Emergency Preparedness or the President of the Canada Border Services Agency, not exceeding a total of 46 weeks in any 12 month period ending 31st March 0703.10.99 Other: Other 0703.20.00 Garlic 0703.90.00 Leeks and other alliaceous vegetables 0704.10.11 Imported during such period, which may be divided into two separate periods, specified by order of the Minister of Public Safety and Emergency Preparedness or the President of the Canada Border Services Agency, not exceeding a total of 20 weeks in any 12 month period ending 31st March:</w:t>
      </w:r>
    </w:p>
    <w:p>
      <w:pPr>
        <w:pStyle w:val="Normal"/>
      </w:pPr>
      <w:r>
        <w:t>In packages of a weight not exceeding 2.27 kg each 0704.10.12 Imported during such period, which may be divided into two separate periods, specified by order of the Minister of Public Safety and Emergency Preparedness or the President of the Canada Border Services Agency, not exceeding a total of 20 weeks in any 12 month period ending 31st March: In bulk or in packages of a weight exceeding 2.27 kg each 0704.10.90</w:t>
      </w:r>
    </w:p>
    <w:p>
      <w:pPr>
        <w:pStyle w:val="Normal"/>
      </w:pPr>
      <w:r>
        <w:t>Other 0704.20.11 Imported during such period specified by order of the Minister of Public Safety and Emergency Preparedness or the President of the Canada Border Services Agency, not exceeding 20 weeks in any 12 month period ending 31st March: In packages of a weight not exceeding 2.27 kg each 0704.20.12 Imported during such period specified by order of the Minister of Public Safety and Emergency Preparedness or the President of the Canada Border Services Agency, not exceeding 20 weeks in any 12 month period ending 31st March: In bulk or in packages of a weight exceeding 2.27 kg each 0704.20.90 Other 0704.90.10 Broccoli for processing 0704.90.21 Other broccoli: Imported during such period specified by order of the Minister of Public Safety and Emergency Preparedness or the President of the Canada Border Services Agency, not exceeding 16 weeks in any 12 month period ending 31st March 0704.90.29 Other broccoli: Other 0704.90.31 Cabbage (Brassica oleracea, capitata):</w:t>
      </w:r>
    </w:p>
    <w:p>
      <w:pPr>
        <w:pStyle w:val="Normal"/>
      </w:pPr>
      <w:r>
        <w:t>Imported during such period, which may be divided into two separate periods, specified by order of the Minister of Public Safety and Emergency Preparedness or the President of the Canada Border Services Agency, not exceeding a total of 34 weeks in any 12 month period ending 31st March 0704.90.39 Cabbage (Brassica oleracea, capitata): Other 0704.90.41 Cabbage, Chinese or Chinese lettuce (Brassica rapa, chenensis, and Brassica rapa, pekinensis): Imported during such period specified by order of the Minister of</w:t>
      </w:r>
    </w:p>
    <w:p>
      <w:pPr>
        <w:pStyle w:val="Normal"/>
      </w:pPr>
      <w:r>
        <w:t>Public Safety and Emergency Preparedness or the President of the Canada Border Services Agency, not exceeding 30 weeks in any 12 month period ending 31st March 0704.90.49 Cabbage, Chinese or Chinese lettuce (Brassica rapa, chenensis, and Brassica rapa, pekinensis): Other 0704.90.90 Other 0705.11.11 Imported during such period, which may be divided into two separate periods, specified by order of the Minister of Public Safety and Emergency Preparedness or the President of the Canada Border Services Agency, not exceeding a total of 16 weeks in any 12 month period ending 31st March: In packages of a weight not exceeding 2.27 kg each 0705.11.12 Imported during such period, which may be divided into two separate periods, specified by order of the Minister of Public Safety and Emergency Preparedness or the President of the Canada Border Services Agency, not exceeding a total of 16 weeks in any 12 month period ending 31st March:</w:t>
      </w:r>
    </w:p>
    <w:p>
      <w:pPr>
        <w:pStyle w:val="Normal"/>
      </w:pPr>
      <w:r>
        <w:t>In bulk or in packages of a weight exceeding 2.27 kg each 0705.11.90 Other 0705.19.11 Imported during such period, which may be divided into two separate periods, specified by order of the Minister of Public Safety and Emergency Preparedness or the President of the Canada Border Services Agency, not exceeding a total of 16 weeks in any 12 month period ending 31st March: In packages of a weight not exceeding 2.27 kg each 0705.19.12 Imported during such period, which may be divided into two separate periods, specified by order of the Minister of Public</w:t>
      </w:r>
    </w:p>
    <w:p>
      <w:pPr>
        <w:pStyle w:val="Normal"/>
      </w:pPr>
      <w:r>
        <w:t>Safety and Emergency Preparedness or the President of the Canada Border Services Agency, not exceeding a total of 16 weeks in any 12 month period ending 31st March: In bulk or in packages of a weight exceeding 2.27 kg each 0705.19.90 Other 0705.21.00 Witloof chicory (Cichorium intybus var. foliosum) 0705.29.00 Other 0706.10.11 Baby carrots (of a length not exceeding 11 cm), imported during such period, which may be divided into two separate periods, specified by order of the Minister of Public Safety and Emergency Preparedness or the President of the Canada Border Services Agency, not exceeding a total of 40 weeks in any 12 month period ending 31st March: In packages of a weight not exceeding 2.27 kg each 0706.10.12 Baby carrots (of a length not exceeding 11 cm), imported during such period, which may be divided into two separate periods, specified by order of the Minister of Public Safety and Emergency Preparedness or the President of the Canada Border Services Agency, not exceeding a total of 40 weeks in any 12 month period ending 31st March:</w:t>
      </w:r>
    </w:p>
    <w:p>
      <w:pPr>
        <w:pStyle w:val="Normal"/>
      </w:pPr>
      <w:r>
        <w:t>In bulk or in packages of a weight exceeding 2.27 kg each 0706.10.20 Other baby carrots of a length not exceeding 11 cm 0706.10.31 Carrots, other than baby carrots (of a length not exceeding 11 cm), imported during such period, which may be divided into two separate periods, specified by order of the Minister of Public Safety and Emergency Preparedness or the President of the Canada Border Services Agency, not exceeding a total of 40</w:t>
      </w:r>
    </w:p>
    <w:p>
      <w:pPr>
        <w:pStyle w:val="Normal"/>
      </w:pPr>
      <w:r>
        <w:t>weeks in any 12 month period ending 31st March: In packages of a weight not exceeding 2.27 kg each 0706.10.32 Carrots, other than baby carrots (of a length not exceeding 11 cm), imported during such period, which may be divided into two separate periods, specified by order of the Minister of Public Safety and Emergency Preparedness or the President of the Canada Border Services Agency, not exceeding a total of 40 weeks in any 12 month period ending 31st March: In bulk or in packages of a weight exceeding 2.27 kg each 0706.10.40 Other carrots 0706.10.50 Turnips 0706.90.10 Beets, for processing 0706.90.21 Other beets imported during such period, which may be divided into two separate periods, specified by order of the Minister of Public Safety and Emergency Preparedness or the President of the Canada Border Services Agency, not exceeding a total of 34 weeks in any 12 month period ending 31st March:</w:t>
      </w:r>
    </w:p>
    <w:p>
      <w:pPr>
        <w:pStyle w:val="Normal"/>
      </w:pPr>
      <w:r>
        <w:t>In packages of a weight not exceeding 2.27 kg each 0706.90.22 Other beets imported during such period, which may be divided into two separate periods, specified by order of the Minister of Public Safety and Emergency Preparedness or the President of the Canada Border Services Agency, not exceeding a total of 34 weeks in any 12 month period ending 31st March: In bulk or in packages of a weight exceeding 2.27 kg each 0706.90.30 Other beets 0706.90.40 Salsify and celeriac 0706.90.51 Radishes: Imported during such period specified by order of the Minister of Public Safety and Emergency</w:t>
      </w:r>
    </w:p>
    <w:p>
      <w:pPr>
        <w:pStyle w:val="Normal"/>
      </w:pPr>
      <w:r>
        <w:t>Preparedness or the President of the Canada Border Services Agency, not exceeding 26 weeks in any 12 month period ending 31st March 0706.90.59 Radishes: Other 0706.90.90 Other 0707.00.10 For processing 0707.00.91 Other: Imported during such period, which may be divided into two separate periods, specified by order of the Minister of Public Safety and Emergency Preparedness or the President of the Canada Border Services Agency, not exceeding a total of 30 weeks in any 12 month period ending 31st March 0707.00.99 Other: Other 0708.10.10 For processing 0708.10.91 Other: Imported during such period specified by order of the Minister of Public Safety and Emergency Preparedness or the President of the Canada Border Services Agency, not exceeding 12 weeks in any 12 month period ending 31st March 0708.10.99 Other:</w:t>
      </w:r>
    </w:p>
    <w:p>
      <w:pPr>
        <w:pStyle w:val="Normal"/>
      </w:pPr>
      <w:r>
        <w:t>Other 0708.20.10 Snap beans for processing 0708.20.21 Other snap beans, imported during such period, which may be divided into two separate periods, specified by order of the Minister of Public Safety and Emergency Preparedness or the President of the Canada Border Services Agency, not exceeding a total of 14 weeks in any 12 month period ending 31st March: In packages of a weight not exceeding 2.27 kg each 0708.20.22 Other snap beans, imported during such period, which may be divided into two separate periods, specified by order of the Minister of Public Safety and Emergency Preparedness or the President of the Canada Border Services Agency, not exceeding a total of 14</w:t>
      </w:r>
    </w:p>
    <w:p>
      <w:pPr>
        <w:pStyle w:val="Normal"/>
      </w:pPr>
      <w:r>
        <w:t>weeks in any 12 month period ending 31st March: In bulk or in packages of a weight exceeding 2.27 kg each 0708.20.30 Other snap beans 0708.20.90 Other 0708.90.00 Other leguminous vegetables 0709.20.10 For processing 0709.20.91 Other: Imported during such period specified by order of the Minister of Public Safety and Emergency Preparedness or the President of the Canada Border Services Agency, not exceeding 8 weeks in any 12 month period ending 31st March 0709.20.99 Other: Other 0709.30.00 Aubergines (egg-plants) 0709.40.11 Imported during such period specified by order of the Minister of Public Safety and Emergency Preparedness or the President of the Canada Border Services Agency, not exceeding 18 weeks in any 12 month period ending 31st March: In packages of a weight not exceeding 2.27 kg each 0709.40.12 Imported during such period specified by order of the Minister of Public Safety and Emergency Preparedness or the President of the Canada Border Services Agency, not exceeding 18 weeks in any 12 month period ending 31st March:</w:t>
      </w:r>
    </w:p>
    <w:p>
      <w:pPr>
        <w:pStyle w:val="Normal"/>
      </w:pPr>
      <w:r>
        <w:t>In bulk or in packages of a weight exceeding 2.27 kg each 0709.40.90 Other 0709.51.10 For processing 0709.51.90 Other 0709.59.10 Mushrooms, for processing 0709.59.20 Truffles 0709.59.90 Other 0709.60.10 Imported during such period specified by order of the Minister of Public Safety and Emergency Preparedness or the President of the Canada Border Services Agency, not exceeding 12 weeks in any 12 month period ending 31st March 0709.60.90 Other</w:t>
      </w:r>
    </w:p>
    <w:p>
      <w:pPr>
        <w:pStyle w:val="Normal"/>
      </w:pPr>
      <w:r>
        <w:t>0709.70.00 Spinach, New Zealand spinach and orache spinach (garden spinach) 0709.91.00 Globe artichokes 0709.92.00 Olives 0709.93.00 Pumpkins, squash and gourds (Cucurbita spp.) 0709.99.11 Parsley: Imported during such period specified by order of the Minister of Public Safety and Emergency Preparedness or the President of the Canada Border Services Agency, not exceeding 16 weeks in any 12 month period ending 31st March 0709.99.19 Parsley: Other 0709.99.21 Rhubarb: Imported during such period specified by order of the Minister of Public Safety and Emergency Preparedness or the President of the Canada Border Services Agency, not exceeding 12 weeks in any 12 month period ending 31st March 0709.99.29 Rhubarb: Other 0709.99.31 Sweet corn-on-the-cob, imported during such period specified by order of the Minister of Public Safety and Emergency Preparedness or the President of the Canada Border Services Agency, not exceeding 12 weeks in any 12 month period ending 31st March:</w:t>
      </w:r>
    </w:p>
    <w:p>
      <w:pPr>
        <w:pStyle w:val="Normal"/>
      </w:pPr>
      <w:r>
        <w:t>In packages of a weight not exceeding 2.27 kg each 0709.99.32 Sweet corn-on-the-cob, imported during such period specified by order of the Minister of Public Safety and Emergency Preparedness or the President of the Canada Border Services Agency, not exceeding 12 weeks in any 12 month period ending 31st March: In bulk or in packages of a weight exceeding 2.27 kg each 0709.99.40 Other sweet corn-on-the-cob 0709.99.90 Other 0710.10.00 Potatoes 0710.21.00 Peas (Pisum sativum) 0710.22.00 Beans (Vigna spp.,</w:t>
      </w:r>
    </w:p>
    <w:p>
      <w:pPr>
        <w:pStyle w:val="Normal"/>
      </w:pPr>
      <w:r>
        <w:t>Phaseolus spp.)</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0710.29.00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0710.30.00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Spinach, New Zealand spinach and orache spinach (garden spinach)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0710.40.00</w:t>
            </w:r>
          </w:p>
        </w:tc>
        <w:tc>
          <w:tcPr>
            <w:tcW w:w="4679" w:type="dxa"/>
            <w:tcMar>
              <w:top w:w="70" w:type="dxa"/>
              <w:start w:w="110" w:type="dxa"/>
              <w:bottom w:w="70" w:type="dxa"/>
              <w:end w:w="110" w:type="dxa"/>
            </w:tcMar>
            <w:vAlign w:val="center"/>
          </w:tcPr>
          <w:p>
            <w:pPr>
              <w:pStyle w:val="TableText"/>
              <w:jc w:val="left"/>
            </w:pPr>
            <w:r>
              <w:rPr>
                <w:lang w:val="en-US" w:eastAsia="en-US" w:bidi="ar-SA"/>
              </w:rPr>
              <w:t>Sweet corn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0710.80.00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vegetables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0710.90.00</w:t>
            </w:r>
          </w:p>
        </w:tc>
        <w:tc>
          <w:tcPr>
            <w:tcW w:w="4679" w:type="dxa"/>
            <w:tcMar>
              <w:top w:w="70" w:type="dxa"/>
              <w:start w:w="110" w:type="dxa"/>
              <w:bottom w:w="70" w:type="dxa"/>
              <w:end w:w="110" w:type="dxa"/>
            </w:tcMar>
            <w:vAlign w:val="center"/>
          </w:tcPr>
          <w:p>
            <w:pPr>
              <w:pStyle w:val="TableText"/>
              <w:jc w:val="left"/>
            </w:pPr>
            <w:r>
              <w:rPr>
                <w:lang w:val="en-US" w:eastAsia="en-US" w:bidi="ar-SA"/>
              </w:rPr>
              <w:t>Mixtures of vegetables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Olives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0711.40.10</w:t>
            </w:r>
          </w:p>
        </w:tc>
        <w:tc>
          <w:tcPr>
            <w:tcW w:w="4679" w:type="dxa"/>
            <w:tcMar>
              <w:top w:w="70" w:type="dxa"/>
              <w:start w:w="110" w:type="dxa"/>
              <w:bottom w:w="70" w:type="dxa"/>
              <w:end w:w="110" w:type="dxa"/>
            </w:tcMar>
            <w:vAlign w:val="center"/>
          </w:tcPr>
          <w:p>
            <w:pPr>
              <w:pStyle w:val="TableText"/>
              <w:jc w:val="left"/>
            </w:pPr>
            <w:r>
              <w:rPr>
                <w:lang w:val="en-US" w:eastAsia="en-US" w:bidi="ar-SA"/>
              </w:rPr>
              <w:t>Gherkins, of a maximum diameter of 19 mm, for use in the manufacture of finished gherkins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0711.40.90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0711.51.00</w:t>
            </w:r>
          </w:p>
        </w:tc>
        <w:tc>
          <w:tcPr>
            <w:tcW w:w="4679" w:type="dxa"/>
            <w:tcMar>
              <w:top w:w="70" w:type="dxa"/>
              <w:start w:w="110" w:type="dxa"/>
              <w:bottom w:w="70" w:type="dxa"/>
              <w:end w:w="110" w:type="dxa"/>
            </w:tcMar>
            <w:vAlign w:val="center"/>
          </w:tcPr>
          <w:p>
            <w:pPr>
              <w:pStyle w:val="TableText"/>
              <w:jc w:val="left"/>
            </w:pPr>
            <w:r>
              <w:rPr>
                <w:lang w:val="en-US" w:eastAsia="en-US" w:bidi="ar-SA"/>
              </w:rPr>
              <w:t>Mushrooms of the genus Agaricus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0711.59.00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0711.90.00</w:t>
            </w:r>
          </w:p>
        </w:tc>
        <w:tc>
          <w:tcPr>
            <w:tcW w:w="4679" w:type="dxa"/>
            <w:tcMar>
              <w:top w:w="70" w:type="dxa"/>
              <w:start w:w="110" w:type="dxa"/>
              <w:bottom w:w="70" w:type="dxa"/>
              <w:end w:w="110" w:type="dxa"/>
            </w:tcMar>
            <w:vAlign w:val="center"/>
          </w:tcPr>
          <w:p>
            <w:pPr>
              <w:pStyle w:val="TableText"/>
              <w:jc w:val="left"/>
            </w:pPr>
            <w:r>
              <w:rPr>
                <w:lang w:val="en-US" w:eastAsia="en-US" w:bidi="ar-SA"/>
              </w:rPr>
              <w:t>Other vegetables; mixtures of vegetables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Onions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0712.31.00</w:t>
            </w:r>
          </w:p>
        </w:tc>
        <w:tc>
          <w:tcPr>
            <w:tcW w:w="4679" w:type="dxa"/>
            <w:tcMar>
              <w:top w:w="70" w:type="dxa"/>
              <w:start w:w="110" w:type="dxa"/>
              <w:bottom w:w="70" w:type="dxa"/>
              <w:end w:w="110" w:type="dxa"/>
            </w:tcMar>
            <w:vAlign w:val="center"/>
          </w:tcPr>
          <w:p>
            <w:pPr>
              <w:pStyle w:val="TableText"/>
              <w:jc w:val="left"/>
            </w:pPr>
            <w:r>
              <w:rPr>
                <w:lang w:val="en-US" w:eastAsia="en-US" w:bidi="ar-SA"/>
              </w:rPr>
              <w:t>Mushrooms of the genus Agaricus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0712.32.10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food products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0712.32.90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0712.33.00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Jelly fungi (Tremella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0712.39.11</w:t>
            </w:r>
          </w:p>
        </w:tc>
        <w:tc>
          <w:tcPr>
            <w:tcW w:w="4679" w:type="dxa"/>
            <w:tcMar>
              <w:top w:w="70" w:type="dxa"/>
              <w:start w:w="110" w:type="dxa"/>
              <w:bottom w:w="70" w:type="dxa"/>
              <w:end w:w="110" w:type="dxa"/>
            </w:tcMar>
            <w:vAlign w:val="center"/>
          </w:tcPr>
          <w:p>
            <w:pPr>
              <w:pStyle w:val="TableText"/>
              <w:jc w:val="left"/>
            </w:pPr>
            <w:r>
              <w:rPr>
                <w:lang w:val="en-US" w:eastAsia="en-US" w:bidi="ar-SA"/>
              </w:rPr>
              <w:t>Mushrooms: Porcini (Boletus Edulis) or Shiitake (Lentinus Edodes) for use in the manufacture of food products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0712.39.19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Mushrooms:</w:t>
            </w:r>
          </w:p>
        </w:tc>
      </w:tr>
    </w:tbl>
    <w:p>
      <w:pPr>
        <w:pStyle w:val="Normal"/>
      </w:pPr>
      <w:r>
        <w:t>Other 0712.39.20 Truffles 0712.90.00 Other vegetables; mixtures of vegetables 0713.10.10 Seed, in packages of a weight not exceeding 500 g each 0713.10.90 Other 0713.20.00 Chickpeas (garbanzos) 0713.31.10 Of the species Vigna radiata (L.) Wilczek, in bulk or in packages of a weight exceeding 500 g each 0713.31.90 Other 0713.32.00 Small red (Adzuki) beans (Phaseolus or Vigna angularis) 0713.33.00 Kidney beans, including white pea beans (Phaseolus vulgaris) 0713.34.00 Bambara beans (Vigna subterranea or Voandzeia subterranea) 0713.35.00 Cow peas (Vigna unguiculata) 0713.39.00 Other 0713.40.00 Lentils 0713.50.00 Broad beans (Vicia faba var. major) and horse beans (Vicia faba var. equina, Vicia faba var.</w:t>
      </w:r>
    </w:p>
    <w:p>
      <w:pPr>
        <w:pStyle w:val="Normal"/>
      </w:pPr>
      <w:r>
        <w:t>minor)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0713.60.00</w:t>
            </w:r>
          </w:p>
        </w:tc>
        <w:tc>
          <w:tcPr>
            <w:tcW w:w="4679" w:type="dxa"/>
            <w:tcMar>
              <w:top w:w="70" w:type="dxa"/>
              <w:start w:w="110" w:type="dxa"/>
              <w:bottom w:w="70" w:type="dxa"/>
              <w:end w:w="110" w:type="dxa"/>
            </w:tcMar>
            <w:vAlign w:val="center"/>
          </w:tcPr>
          <w:p>
            <w:pPr>
              <w:pStyle w:val="TableText"/>
              <w:jc w:val="left"/>
            </w:pPr>
            <w:r>
              <w:rPr>
                <w:lang w:val="en-US" w:eastAsia="en-US" w:bidi="ar-SA"/>
              </w:rPr>
              <w:t>Pigeon peas (Cajanus cajan)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0713.90.10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Seed in bulk or in packages of a weight exceeding 500 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0713.90.90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Manioc (cassava)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0714.20.00</w:t>
            </w:r>
          </w:p>
        </w:tc>
        <w:tc>
          <w:tcPr>
            <w:tcW w:w="4679" w:type="dxa"/>
            <w:tcMar>
              <w:top w:w="70" w:type="dxa"/>
              <w:start w:w="110" w:type="dxa"/>
              <w:bottom w:w="70" w:type="dxa"/>
              <w:end w:w="110" w:type="dxa"/>
            </w:tcMar>
            <w:vAlign w:val="center"/>
          </w:tcPr>
          <w:p>
            <w:pPr>
              <w:pStyle w:val="TableText"/>
              <w:jc w:val="left"/>
            </w:pPr>
            <w:r>
              <w:rPr>
                <w:lang w:val="en-US" w:eastAsia="en-US" w:bidi="ar-SA"/>
              </w:rPr>
              <w:t>Sweet potatoes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Yams (Dioscorea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0714.40.00</w:t>
            </w:r>
          </w:p>
        </w:tc>
        <w:tc>
          <w:tcPr>
            <w:tcW w:w="4679" w:type="dxa"/>
            <w:tcMar>
              <w:top w:w="70" w:type="dxa"/>
              <w:start w:w="110" w:type="dxa"/>
              <w:bottom w:w="70" w:type="dxa"/>
              <w:end w:w="110" w:type="dxa"/>
            </w:tcMar>
            <w:vAlign w:val="center"/>
          </w:tcPr>
          <w:p>
            <w:pPr>
              <w:pStyle w:val="TableText"/>
              <w:jc w:val="left"/>
            </w:pPr>
            <w:r>
              <w:rPr>
                <w:lang w:val="en-US" w:eastAsia="en-US" w:bidi="ar-SA"/>
              </w:rPr>
              <w:t>Taro (Colocasia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0714.50.00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Yautia (Xanthosoma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0714.90.00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Desiccated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0801.12.00</w:t>
            </w:r>
          </w:p>
        </w:tc>
        <w:tc>
          <w:tcPr>
            <w:tcW w:w="4679" w:type="dxa"/>
            <w:tcMar>
              <w:top w:w="70" w:type="dxa"/>
              <w:start w:w="110" w:type="dxa"/>
              <w:bottom w:w="70" w:type="dxa"/>
              <w:end w:w="110" w:type="dxa"/>
            </w:tcMar>
            <w:vAlign w:val="center"/>
          </w:tcPr>
          <w:p>
            <w:pPr>
              <w:pStyle w:val="TableText"/>
              <w:jc w:val="left"/>
            </w:pPr>
            <w:r>
              <w:rPr>
                <w:lang w:val="en-US" w:eastAsia="en-US" w:bidi="ar-SA"/>
              </w:rPr>
              <w:t>In the inner shell (endocarp)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0801.19.00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0801.21.00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0801.22.00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0801.31.00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0801.32.00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0802.11.00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0802.12.00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0802.21.00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0802.22.00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0802.31.00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0802.32.00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0802.41.00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0802.42.00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0802.51.00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0802.52.00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0802.61.00</w:t>
            </w:r>
          </w:p>
        </w:tc>
        <w:tc>
          <w:tcPr>
            <w:tcW w:w="4679" w:type="dxa"/>
            <w:tcMar>
              <w:top w:w="70" w:type="dxa"/>
              <w:start w:w="110" w:type="dxa"/>
              <w:bottom w:w="70" w:type="dxa"/>
              <w:end w:w="110" w:type="dxa"/>
            </w:tcMar>
            <w:vAlign w:val="center"/>
          </w:tcPr>
          <w:p>
            <w:pPr>
              <w:pStyle w:val="TableText"/>
              <w:jc w:val="left"/>
            </w:pPr>
            <w:r>
              <w:rPr>
                <w:lang w:val="en-US" w:eastAsia="en-US" w:bidi="ar-SA"/>
              </w:rPr>
              <w:t>In shell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0802.62.00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0802.70.00</w:t>
            </w:r>
          </w:p>
        </w:tc>
        <w:tc>
          <w:tcPr>
            <w:tcW w:w="4679" w:type="dxa"/>
            <w:tcMar>
              <w:top w:w="70" w:type="dxa"/>
              <w:start w:w="110" w:type="dxa"/>
              <w:bottom w:w="70" w:type="dxa"/>
              <w:end w:w="110" w:type="dxa"/>
            </w:tcMar>
            <w:vAlign w:val="center"/>
          </w:tcPr>
          <w:p>
            <w:pPr>
              <w:pStyle w:val="TableText"/>
              <w:jc w:val="left"/>
            </w:pPr>
            <w:r>
              <w:rPr>
                <w:lang w:val="en-US" w:eastAsia="en-US" w:bidi="ar-SA"/>
              </w:rPr>
              <w:t>Kola nuts (Cola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0802.80.00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Areca nuts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0802.90.00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Plantains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0803.90.00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0804.20.00</w:t>
            </w:r>
          </w:p>
        </w:tc>
        <w:tc>
          <w:tcPr>
            <w:tcW w:w="4679" w:type="dxa"/>
            <w:tcMar>
              <w:top w:w="70" w:type="dxa"/>
              <w:start w:w="110" w:type="dxa"/>
              <w:bottom w:w="70" w:type="dxa"/>
              <w:end w:w="110" w:type="dxa"/>
            </w:tcMar>
            <w:vAlign w:val="center"/>
          </w:tcPr>
          <w:p>
            <w:pPr>
              <w:pStyle w:val="TableText"/>
              <w:jc w:val="left"/>
            </w:pPr>
            <w:r>
              <w:rPr>
                <w:lang w:val="en-US" w:eastAsia="en-US" w:bidi="ar-SA"/>
              </w:rPr>
              <w:t>Figs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Pineapples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0804.40.00</w:t>
            </w:r>
          </w:p>
        </w:tc>
        <w:tc>
          <w:tcPr>
            <w:tcW w:w="4679" w:type="dxa"/>
            <w:tcMar>
              <w:top w:w="70" w:type="dxa"/>
              <w:start w:w="110" w:type="dxa"/>
              <w:bottom w:w="70" w:type="dxa"/>
              <w:end w:w="110" w:type="dxa"/>
            </w:tcMar>
            <w:vAlign w:val="center"/>
          </w:tcPr>
          <w:p>
            <w:pPr>
              <w:pStyle w:val="TableText"/>
              <w:jc w:val="left"/>
            </w:pPr>
            <w:r>
              <w:rPr>
                <w:lang w:val="en-US" w:eastAsia="en-US" w:bidi="ar-SA"/>
              </w:rPr>
              <w:t>Avocados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0804.50.00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Guavas, mangoes and mangosteens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0805.10.00</w:t>
            </w:r>
          </w:p>
        </w:tc>
        <w:tc>
          <w:tcPr>
            <w:tcW w:w="4679" w:type="dxa"/>
            <w:tcMar>
              <w:top w:w="70" w:type="dxa"/>
              <w:start w:w="110" w:type="dxa"/>
              <w:bottom w:w="70" w:type="dxa"/>
              <w:end w:w="110" w:type="dxa"/>
            </w:tcMar>
            <w:vAlign w:val="center"/>
          </w:tcPr>
          <w:p>
            <w:pPr>
              <w:pStyle w:val="TableText"/>
              <w:jc w:val="left"/>
            </w:pPr>
            <w:r>
              <w:rPr>
                <w:lang w:val="en-US" w:eastAsia="en-US" w:bidi="ar-SA"/>
              </w:rPr>
              <w:t>Oranges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Mandarins (including tangerines and satsumas)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0805.22.00</w:t>
            </w:r>
          </w:p>
        </w:tc>
        <w:tc>
          <w:tcPr>
            <w:tcW w:w="4679" w:type="dxa"/>
            <w:tcMar>
              <w:top w:w="70" w:type="dxa"/>
              <w:start w:w="110" w:type="dxa"/>
              <w:bottom w:w="70" w:type="dxa"/>
              <w:end w:w="110" w:type="dxa"/>
            </w:tcMar>
            <w:vAlign w:val="center"/>
          </w:tcPr>
          <w:p>
            <w:pPr>
              <w:pStyle w:val="TableText"/>
              <w:jc w:val="left"/>
            </w:pPr>
            <w:r>
              <w:rPr>
                <w:lang w:val="en-US" w:eastAsia="en-US" w:bidi="ar-SA"/>
              </w:rPr>
              <w:t>Clementines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0805.29.00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0805.40.00</w:t>
            </w:r>
          </w:p>
        </w:tc>
        <w:tc>
          <w:tcPr>
            <w:tcW w:w="4679" w:type="dxa"/>
            <w:tcMar>
              <w:top w:w="70" w:type="dxa"/>
              <w:start w:w="110" w:type="dxa"/>
              <w:bottom w:w="70" w:type="dxa"/>
              <w:end w:w="110" w:type="dxa"/>
            </w:tcMar>
            <w:vAlign w:val="center"/>
          </w:tcPr>
          <w:p>
            <w:pPr>
              <w:pStyle w:val="TableText"/>
              <w:jc w:val="left"/>
            </w:pPr>
            <w:r>
              <w:rPr>
                <w:lang w:val="en-US" w:eastAsia="en-US" w:bidi="ar-SA"/>
              </w:rPr>
              <w:t>Grapefruit, including pomelos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0805.50.00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Lemons (Citrus limon, Citrus limonum) and limes (Citrus aurantifolia, Citrus latifolia)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0805.90.00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0806.10.11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Grapes of the species Vitis labrusca, in their natural state: Imported during such period specified by order of the Minister of Public Safety and Emergency Preparedness or the President of the Canada Border Services Agency, not exceeding 15 weeks in any 12 month period ending</w:t>
            </w:r>
          </w:p>
        </w:tc>
      </w:tr>
    </w:tbl>
    <w:p>
      <w:pPr>
        <w:pStyle w:val="Normal"/>
      </w:pPr>
      <w:r>
        <w:t>31st March 0806.10.19 Grapes of the species Vitis labrusca, in their natural state: Other 0806.10.91 Other: In their natural state 0806.10.99 Other: Other 0806.20.00 Dried 0807.11.00 Watermelons 0807.19.00 Other 0807.20.00 Papaws (papayas) 0808.10.10 In their natural state 0808.10.90 Other 0808.30.10 For processing 0808.30.91 Other: Imported during such period specified by order of the Minister of Public Safety and Emergency Preparedness or the President of the Canada Border Services Agency, not exceeding 24 weeks in any 12 month period ending 31st March 0808.30.99 Other: Other 0808.40.00 Quinces 0809.10.10 For processing 0809.10.91 Other: Imported during such period specified by order of the Minister of Public Safety and Emergency Preparedness or the President of the Canada Border Services Agency, not exceeding 10 weeks in any 12 month period ending 31st March 0809.10.99 Other: Other 0809.21.11 In their natural state: Imported during such period specified by order of the Minister of Public Safety and Emergency Preparedness or the President of the Canada Border Services Agency, not exceeding 10 weeks in any 12 month period ending 31st March 0809.21.19 In their natural state:</w:t>
      </w:r>
    </w:p>
    <w:p>
      <w:pPr>
        <w:pStyle w:val="Normal"/>
      </w:pPr>
      <w:r>
        <w:t>Other 0809.21.90 Other 0809.29.10 Sweet, for processing 0809.29.21 Other, in their natural state: Imported during such period specified by order of the Minister of Public Safety and Emergency Preparedness or the President of the Canada Border Services Agency, not exceeding 8 weeks in any 12 month period</w:t>
      </w:r>
    </w:p>
    <w:p>
      <w:pPr>
        <w:pStyle w:val="Normal"/>
      </w:pPr>
      <w:r>
        <w:t>ending 31st March 0809.29.29 Other, in their natural state: Other 0809.29.90 Other 0809.30.10 Peaches, not including nectarines, for processing 0809.30.21 Other peaches, in their natural state, not including nectarines: Imported during such period specified by order of the Minister of Public Safety and Emergency Preparedness or the President of the Canada Border Services Agency, not exceeding 14 weeks in any 12 month period ending 31st March 0809.30.29 Other peaches, in their natural state, not including nectarines: Other 0809.30.30 Nectarines, in their natural state 0809.30.90 Other 0809.40.10 Prune plums, for processing 0809.40.21 Other prune plums, in their natural state: Imported during such period specified by order of the Minister of Public Safety and Emergency Preparedness or the President of the Canada Border Services Agency, not exceeding 12 weeks in any 12 month period ending 31st March 0809.40.29 Other prune plums, in their natural state: Other 0809.40.31 Plums, other than prune plums, and sloes, in their natural state:</w:t>
      </w:r>
    </w:p>
    <w:p>
      <w:pPr>
        <w:pStyle w:val="Normal"/>
      </w:pPr>
      <w:r>
        <w:t>Imported during such period specified by order of the Minister of Public Safety and Emergency Preparedness or the President of the Canada Border Services Agency, not exceeding 12 weeks in any 12 month period ending 31st March 0809.40.39 Plums, other than prune plums, and sloes, in their natural state: Other 0809.40.90 Other 0810.10.10 For processing 0810.10.91 Other: Imported during such period specified by order of the Minister of Public Safety</w:t>
      </w:r>
    </w:p>
    <w:p>
      <w:pPr>
        <w:pStyle w:val="Normal"/>
      </w:pPr>
      <w:r>
        <w:t>and Emergency Preparedness or the President of the Canada Border Services Agency, not exceeding 8 weeks in any 12 month period ending 31st March 0810.10.99 Other: Other 0810.20.11 Raspberries and loganberries, in their natural state: Imported during such period specified by order of the Minister of Public Safety and Emergency Preparedness or the President of the Canada Border Services Agency, not exceeding 6 weeks in any 12 month period ending 31st March 0810.20.19 Raspberries and loganberries, in their natural state: Other 0810.20.90 Other 0810.30.00 Black, white or red currants and gooseberries 0810.40.10 In their natural state 0810.40.90 Other 0810.50.00 Kiwifruit 0810.60.00 Durians 0810.70.00 Persimmons 0810.90.00 Other 0811.10.10 For processing 0811.10.90 Other 0811.20.00 Raspberries, blackberries, mulberries, loganberries, black, white or red currants and gooseberries 0811.90.10 Cherries 0811.90.20 Peaches 0811.90.90 Other 0812.10.00 Cherries 0812.90.00 Other 0813.10.00 Apricots 0813.20.00 Prunes 0813.30.00 Apples 0813.40.00 Other fruit 0813.50.00 Mixtures of nuts or dried fruits of this Chapter 0814.00.00 Peel of citrus fruit or melons (including watermelons), fresh, frozen, dried or provisionally preserved in brine, in sulphur water or in other preservative solutions.</w:t>
      </w:r>
    </w:p>
    <w:p>
      <w:pPr>
        <w:pStyle w:val="Normal"/>
      </w:pPr>
      <w:r>
        <w:t>0901.11.00 Not decaffeinated 0901.12.00 Decaffeinated 0901.21.00 Not decaffeinated 0901.22.00 Decaffeinated 0901.90.00 Other 0902.10.10 In bags for individual servings 0902.10.90 Other 0902.20.00 Other green tea (not fermented) 0902.30.10 In bags for individual servings 0902.30.90 Other 0902.40.00 Other black tea (fermented) and other partly fermented tea 0903.00.00 Maté. 0904.11.00 Neither crushed nor ground 0904.12.10 For processing 0904.12.90 Other 0904.21.00 Dried, neither crushed nor ground 0904.22.00 Crushed or ground 0905.10.00 Neither crushed nor ground 0905.20.00 Crushed or ground 0906.11.00 Cinnamon (Cinnamomum zeylanicum Blume) 0906.19.00 Other 0906.20.00 Crushed or ground 0907.10.00 Neither crushed nor ground 0907.20.00 Crushed or ground 0908.11.00 Neither crushed nor ground 0908.12.00 Crushed or ground 0908.21.00 Neither crushed nor ground 0908.22.00 Crushed or ground 0908.31.00 Neither crushed nor ground 0908.32.00 Crushed or ground 0909.21.00 Neither crushed nor ground 0909.22.00 Crushed or ground 0909.31.00 Neither crushed nor ground 0909.32.00 Crushed or ground 0909.61.00 Neither crushed nor ground 0909.62.00 Crushed or ground 0910.11.00 Neither crushed nor ground 0910.12.00 Crushed or ground 0910.20.00 Saffron 0910.30.00 Turmeric (curcuma) 0910.91.00 Mixtures referred to in Note 1 (b) to this Chapter 0910.99.00 Other 1001.11.10 Within access commitment 1001.11.20 Over access commitment 1001.19.10 Within access commitment 1001.19.20 Over access commitment</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1001.91.10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1001.91.20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1001.99.10</w:t>
            </w:r>
          </w:p>
        </w:tc>
        <w:tc>
          <w:tcPr>
            <w:tcW w:w="4679" w:type="dxa"/>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1001.99.20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1002.10.00</w:t>
            </w:r>
          </w:p>
        </w:tc>
        <w:tc>
          <w:tcPr>
            <w:tcW w:w="4679" w:type="dxa"/>
            <w:tcMar>
              <w:top w:w="70" w:type="dxa"/>
              <w:start w:w="110" w:type="dxa"/>
              <w:bottom w:w="70" w:type="dxa"/>
              <w:end w:w="110" w:type="dxa"/>
            </w:tcMar>
            <w:vAlign w:val="center"/>
          </w:tcPr>
          <w:p>
            <w:pPr>
              <w:pStyle w:val="TableText"/>
              <w:jc w:val="left"/>
            </w:pPr>
            <w:r>
              <w:rPr>
                <w:lang w:val="en-US" w:eastAsia="en-US" w:bidi="ar-SA"/>
              </w:rPr>
              <w:t>Seed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1003.10.11</w:t>
            </w:r>
          </w:p>
        </w:tc>
        <w:tc>
          <w:tcPr>
            <w:tcW w:w="4679" w:type="dxa"/>
            <w:tcMar>
              <w:top w:w="70" w:type="dxa"/>
              <w:start w:w="110" w:type="dxa"/>
              <w:bottom w:w="70" w:type="dxa"/>
              <w:end w:w="110" w:type="dxa"/>
            </w:tcMar>
            <w:vAlign w:val="center"/>
          </w:tcPr>
          <w:p>
            <w:pPr>
              <w:pStyle w:val="TableText"/>
              <w:jc w:val="left"/>
            </w:pPr>
            <w:r>
              <w:rPr>
                <w:lang w:val="en-US" w:eastAsia="en-US" w:bidi="ar-SA"/>
              </w:rPr>
              <w:t>For malting purposes: 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1003.10.12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malting purposes: 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1003.10.91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1003.10.92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1003.90.11</w:t>
            </w:r>
          </w:p>
        </w:tc>
        <w:tc>
          <w:tcPr>
            <w:tcW w:w="4679" w:type="dxa"/>
            <w:tcMar>
              <w:top w:w="70" w:type="dxa"/>
              <w:start w:w="110" w:type="dxa"/>
              <w:bottom w:w="70" w:type="dxa"/>
              <w:end w:w="110" w:type="dxa"/>
            </w:tcMar>
            <w:vAlign w:val="center"/>
          </w:tcPr>
          <w:p>
            <w:pPr>
              <w:pStyle w:val="TableText"/>
              <w:jc w:val="left"/>
            </w:pPr>
            <w:r>
              <w:rPr>
                <w:lang w:val="en-US" w:eastAsia="en-US" w:bidi="ar-SA"/>
              </w:rPr>
              <w:t>For malting purposes: 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1003.90.12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malting purposes: 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1003.90.91</w:t>
            </w:r>
          </w:p>
        </w:tc>
        <w:tc>
          <w:tcPr>
            <w:tcW w:w="4679" w:type="dxa"/>
            <w:tcMar>
              <w:top w:w="70" w:type="dxa"/>
              <w:start w:w="110" w:type="dxa"/>
              <w:bottom w:w="70" w:type="dxa"/>
              <w:end w:w="110" w:type="dxa"/>
            </w:tcMar>
            <w:vAlign w:val="center"/>
          </w:tcPr>
          <w:p>
            <w:pPr>
              <w:pStyle w:val="TableText"/>
              <w:jc w:val="left"/>
            </w:pPr>
            <w:r>
              <w:rPr>
                <w:lang w:val="en-US" w:eastAsia="en-US" w:bidi="ar-SA"/>
              </w:rPr>
              <w:t>Other: Within access commitment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1003.90.92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Over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1004.10.00</w:t>
            </w:r>
          </w:p>
        </w:tc>
        <w:tc>
          <w:tcPr>
            <w:tcW w:w="4679" w:type="dxa"/>
            <w:tcMar>
              <w:top w:w="70" w:type="dxa"/>
              <w:start w:w="110" w:type="dxa"/>
              <w:bottom w:w="70" w:type="dxa"/>
              <w:end w:w="110" w:type="dxa"/>
            </w:tcMar>
            <w:vAlign w:val="center"/>
          </w:tcPr>
          <w:p>
            <w:pPr>
              <w:pStyle w:val="TableText"/>
              <w:jc w:val="left"/>
            </w:pPr>
            <w:r>
              <w:rPr>
                <w:lang w:val="en-US" w:eastAsia="en-US" w:bidi="ar-SA"/>
              </w:rPr>
              <w:t>Seed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1005.10.00</w:t>
            </w:r>
          </w:p>
        </w:tc>
        <w:tc>
          <w:tcPr>
            <w:tcW w:w="4679" w:type="dxa"/>
            <w:tcMar>
              <w:top w:w="70" w:type="dxa"/>
              <w:start w:w="110" w:type="dxa"/>
              <w:bottom w:w="70" w:type="dxa"/>
              <w:end w:w="110" w:type="dxa"/>
            </w:tcMar>
            <w:vAlign w:val="center"/>
          </w:tcPr>
          <w:p>
            <w:pPr>
              <w:pStyle w:val="TableText"/>
              <w:jc w:val="left"/>
            </w:pPr>
            <w:r>
              <w:rPr>
                <w:lang w:val="en-US" w:eastAsia="en-US" w:bidi="ar-SA"/>
              </w:rPr>
              <w:t>Seed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1006.10.00</w:t>
            </w:r>
          </w:p>
        </w:tc>
        <w:tc>
          <w:tcPr>
            <w:tcW w:w="4679" w:type="dxa"/>
            <w:tcMar>
              <w:top w:w="70" w:type="dxa"/>
              <w:start w:w="110" w:type="dxa"/>
              <w:bottom w:w="70" w:type="dxa"/>
              <w:end w:w="110" w:type="dxa"/>
            </w:tcMar>
            <w:vAlign w:val="center"/>
          </w:tcPr>
          <w:p>
            <w:pPr>
              <w:pStyle w:val="TableText"/>
              <w:jc w:val="left"/>
            </w:pPr>
            <w:r>
              <w:rPr>
                <w:lang w:val="en-US" w:eastAsia="en-US" w:bidi="ar-SA"/>
              </w:rPr>
              <w:t>Rice in the husk (paddy or rough)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Husked (brown) rice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1006.30.00</w:t>
            </w:r>
          </w:p>
        </w:tc>
        <w:tc>
          <w:tcPr>
            <w:tcW w:w="4679" w:type="dxa"/>
            <w:tcMar>
              <w:top w:w="70" w:type="dxa"/>
              <w:start w:w="110" w:type="dxa"/>
              <w:bottom w:w="70" w:type="dxa"/>
              <w:end w:w="110" w:type="dxa"/>
            </w:tcMar>
            <w:vAlign w:val="center"/>
          </w:tcPr>
          <w:p>
            <w:pPr>
              <w:pStyle w:val="TableText"/>
              <w:jc w:val="left"/>
            </w:pPr>
            <w:r>
              <w:rPr>
                <w:lang w:val="en-US" w:eastAsia="en-US" w:bidi="ar-SA"/>
              </w:rPr>
              <w:t>Semi-milled or wholly milled rice, whether or not polished or glazed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1006.40.00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Broken rice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1007.10.00</w:t>
            </w:r>
          </w:p>
        </w:tc>
        <w:tc>
          <w:tcPr>
            <w:tcW w:w="4679" w:type="dxa"/>
            <w:tcMar>
              <w:top w:w="70" w:type="dxa"/>
              <w:start w:w="110" w:type="dxa"/>
              <w:bottom w:w="70" w:type="dxa"/>
              <w:end w:w="110" w:type="dxa"/>
            </w:tcMar>
            <w:vAlign w:val="center"/>
          </w:tcPr>
          <w:p>
            <w:pPr>
              <w:pStyle w:val="TableText"/>
              <w:jc w:val="left"/>
            </w:pPr>
            <w:r>
              <w:rPr>
                <w:lang w:val="en-US" w:eastAsia="en-US" w:bidi="ar-SA"/>
              </w:rPr>
              <w:t>Seed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1007.90.00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1008.10.00</w:t>
            </w:r>
          </w:p>
        </w:tc>
        <w:tc>
          <w:tcPr>
            <w:tcW w:w="4679" w:type="dxa"/>
            <w:tcMar>
              <w:top w:w="70" w:type="dxa"/>
              <w:start w:w="110" w:type="dxa"/>
              <w:bottom w:w="70" w:type="dxa"/>
              <w:end w:w="110" w:type="dxa"/>
            </w:tcMar>
            <w:vAlign w:val="center"/>
          </w:tcPr>
          <w:p>
            <w:pPr>
              <w:pStyle w:val="TableText"/>
              <w:jc w:val="left"/>
            </w:pPr>
            <w:r>
              <w:rPr>
                <w:lang w:val="en-US" w:eastAsia="en-US" w:bidi="ar-SA"/>
              </w:rPr>
              <w:t>Buckwheat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1008.21.00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1008.29.00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1008.30.00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Canary seeds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1008.40.00</w:t>
            </w:r>
          </w:p>
        </w:tc>
        <w:tc>
          <w:tcPr>
            <w:tcW w:w="4679" w:type="dxa"/>
            <w:tcMar>
              <w:top w:w="70" w:type="dxa"/>
              <w:start w:w="110" w:type="dxa"/>
              <w:bottom w:w="70" w:type="dxa"/>
              <w:end w:w="110" w:type="dxa"/>
            </w:tcMar>
            <w:vAlign w:val="center"/>
          </w:tcPr>
          <w:p>
            <w:pPr>
              <w:pStyle w:val="TableText"/>
              <w:jc w:val="left"/>
            </w:pPr>
            <w:r>
              <w:rPr>
                <w:lang w:val="en-US" w:eastAsia="en-US" w:bidi="ar-SA"/>
              </w:rPr>
              <w:t>Fonio (Digitaria spp.</w:t>
            </w:r>
          </w:p>
        </w:tc>
      </w:tr>
    </w:tbl>
    <w:p>
      <w:pPr>
        <w:pStyle w:val="Normal"/>
      </w:pPr>
      <w:r>
        <w:t>1008.50.00 Quinoa (Chenopodium quinoa) 1008.60.00 Triticale 1008.90.00 Other cereals 1101.00.10 Within access commitment 1101.00.20 Over access commitment 1102.20.00 Maize (corn) flour 1102.90.11 Barley flour: Within access commitment 1102.90.12 Barley flour: Over access commitment 1102.90.20 Rice flour 1102.90.30 Rye flour 1102.90.90 Other 1103.11.10 Within access commitment 1103.11.20 Over access commitment 1103.13.00 Of maize (corn) 1103.19.11 Of barley: Within access commitment 1103.19.12 Of barley: Over access commitment 1103.19.90 Other 1103.20.11 Of wheat: Within access commitment 1103.20.12 Of wheat: Over access commitment 1103.20.21 Of barley: Within access commitment 1103.20.22 Of barley: Over access commitment 1103.20.90 Other 1104.12.00 Of oats 1104.19.11 Of wheat: Within access commitment 1104.19.12 Of wheat: Over access commitment 1104.19.21 Of barley: Within access commitment 1104.19.22 Of barley: Over access commitment 1104.19.90 Other 1104.22.00 Of oats 1104.23.00 Of maize (corn) 1104.29.11 Of wheat: Within access commitment 1104.29.12 Of wheat: Over access commitment 1104.29.21 Of barley: Within access commitment 1104.29.22 Of barley: Over access commitment 1104.29.90 Other 1104.30.11 Of wheat: Within access commitment 1104.30.12 Of wheat: Over access commitment 1104.30.90 Other 1105.10.00 Flour, meal and powder 1105.20.00 Flakes, granules and pellets 1106.10.10 Guar meal 1106.10.90 Other 1106.20.00 Of sago or of roots or tubers of heading 07.14</w:t>
      </w:r>
    </w:p>
    <w:p>
      <w:pPr>
        <w:pStyle w:val="Normal"/>
      </w:pPr>
      <w:r>
        <w:t>1106.30.00 Of the products of Chapter 8 1107.10.11 Whole: Within access commitment 1107.10.12 Whole: Over access commitment 1107.10.91 Other: Within access commitment 1107.10.92 Other: Over access commitment 1107.20.11 Whole: Within access commitment 1107.20.12 Whole: Over access commitment 1107.20.91 Other: Within access commitment 1107.20.92 Other: Over access commitment 1108.11.10 Within access commitment 1108.11.20 Over access commitment 1108.12.00 Maize (corn) starch 1108.13.00 Potato starch 1108.14.00 Manioc (cassava) starch 1108.19.11 Barley starch: Within access commitment 1108.19.12 Barley starch: Over access commitment 1108.19.90 Other 1108.20.00 Inulin 1109.00.10 Within access commitment 1109.00.20 Over access commitment 1201.10.00 Seed 1201.90.00 Other 1202.30.00 Seed 1202.41.00 In shell 1202.42.00 Shelled, whether or not broken 1203.00.00 Copra. 1204.00.00 Linseed, whether or not broken. 1205.10.00 Low erucic acid rape or colza seeds 1205.90.00 Other 1206.00.00 Sunflower seeds, whether or not broken. 1207.10.00 Palm nuts and kernels 1207.21.00 Seed 1207.29.00 Other 1207.30.00 Castor oil seeds 1207.40.00 Sesamum seeds 1207.50.00 Mustard seeds 1207.60.00 Safflower (Carthamus tinctorius) seeds 1207.70.00 Melon seeds 1207.91.00 Poppy seeds 1207.99.00 Other 1208.10.00 Of soya beans 1208.90.00 Other 1209.10.00 Sugar beet seeds 1209.21.00 Lucerne (alfalfa) seeds 1209.22.00 Clover (Trifolium spp.)</w:t>
      </w:r>
    </w:p>
    <w:p>
      <w:pPr>
        <w:pStyle w:val="Normal"/>
      </w:pPr>
      <w:r>
        <w:t>seeds 1209.23.00 Fescue seeds 1209.24.00 Kentucky blue grass (Poa pratensis L.) seeds 1209.25.00 Rye grass (Lolium multiflorum Lam., Lolium perenne L.) seeds 1209.29.00 Other 1209.30.10 In packages of a weight of less than 25 g each 1209.30.20 In bulk or in packages of a weight of 25 g each or more 1209.91.10 In bulk or in packages of a weight exceeding 500 g each; In packages of a weight of 25 g each or more but not exceeding 500 g each when valued at $5.50 or more per 500 g 1209.91.90 Other 1209.99.10 Tree seed, other than nut trees of Chapter 8; Seeds, in bulk or in packages of a weight exceeding 500 g each;</w:t>
      </w:r>
    </w:p>
    <w:p>
      <w:pPr>
        <w:pStyle w:val="Normal"/>
      </w:pPr>
      <w:r>
        <w:t>Fruit and spores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1209.99.20</w:t>
            </w:r>
          </w:p>
        </w:tc>
        <w:tc>
          <w:tcPr>
            <w:tcW w:w="4679" w:type="dxa"/>
            <w:tcMar>
              <w:top w:w="70" w:type="dxa"/>
              <w:start w:w="110" w:type="dxa"/>
              <w:bottom w:w="70" w:type="dxa"/>
              <w:end w:w="110" w:type="dxa"/>
            </w:tcMar>
            <w:vAlign w:val="center"/>
          </w:tcPr>
          <w:p>
            <w:pPr>
              <w:pStyle w:val="TableText"/>
              <w:jc w:val="left"/>
            </w:pPr>
            <w:r>
              <w:rPr>
                <w:lang w:val="en-US" w:eastAsia="en-US" w:bidi="ar-SA"/>
              </w:rPr>
              <w:t>Seeds, in packages of a weight not exceeding 500 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1210.10.00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Hop cones, neither ground nor powdered nor in the form of pellets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1210.20.00</w:t>
            </w:r>
          </w:p>
        </w:tc>
        <w:tc>
          <w:tcPr>
            <w:tcW w:w="4679" w:type="dxa"/>
            <w:tcMar>
              <w:top w:w="70" w:type="dxa"/>
              <w:start w:w="110" w:type="dxa"/>
              <w:bottom w:w="70" w:type="dxa"/>
              <w:end w:w="110" w:type="dxa"/>
            </w:tcMar>
            <w:vAlign w:val="center"/>
          </w:tcPr>
          <w:p>
            <w:pPr>
              <w:pStyle w:val="TableText"/>
              <w:jc w:val="left"/>
            </w:pPr>
            <w:r>
              <w:rPr>
                <w:lang w:val="en-US" w:eastAsia="en-US" w:bidi="ar-SA"/>
              </w:rPr>
              <w:t>Hop cones, ground, powdered or in the form of pellets; lupulin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1211.20.10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Herbal “tea” in bags for individual servings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1211.20.90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1211.30.00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Coca leaf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1211.40.00</w:t>
            </w:r>
          </w:p>
        </w:tc>
        <w:tc>
          <w:tcPr>
            <w:tcW w:w="4679" w:type="dxa"/>
            <w:tcMar>
              <w:top w:w="70" w:type="dxa"/>
              <w:start w:w="110" w:type="dxa"/>
              <w:bottom w:w="70" w:type="dxa"/>
              <w:end w:w="110" w:type="dxa"/>
            </w:tcMar>
            <w:vAlign w:val="center"/>
          </w:tcPr>
          <w:p>
            <w:pPr>
              <w:pStyle w:val="TableText"/>
              <w:jc w:val="left"/>
            </w:pPr>
            <w:r>
              <w:rPr>
                <w:lang w:val="en-US" w:eastAsia="en-US" w:bidi="ar-SA"/>
              </w:rPr>
              <w:t>Poppy straw</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1211.50.00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Ephedra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1211.90.10</w:t>
            </w:r>
          </w:p>
        </w:tc>
        <w:tc>
          <w:tcPr>
            <w:tcW w:w="4679" w:type="dxa"/>
            <w:tcMar>
              <w:top w:w="70" w:type="dxa"/>
              <w:start w:w="110" w:type="dxa"/>
              <w:bottom w:w="70" w:type="dxa"/>
              <w:end w:w="110" w:type="dxa"/>
            </w:tcMar>
            <w:vAlign w:val="center"/>
          </w:tcPr>
          <w:p>
            <w:pPr>
              <w:pStyle w:val="TableText"/>
              <w:jc w:val="left"/>
            </w:pPr>
            <w:r>
              <w:rPr>
                <w:lang w:val="en-US" w:eastAsia="en-US" w:bidi="ar-SA"/>
              </w:rPr>
              <w:t>Herbal “tea” in bags for individual servings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1211.90.90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1212.21.00</w:t>
            </w:r>
          </w:p>
        </w:tc>
        <w:tc>
          <w:tcPr>
            <w:tcW w:w="4679" w:type="dxa"/>
            <w:tcMar>
              <w:top w:w="70" w:type="dxa"/>
              <w:start w:w="110" w:type="dxa"/>
              <w:bottom w:w="70" w:type="dxa"/>
              <w:end w:w="110" w:type="dxa"/>
            </w:tcMar>
            <w:vAlign w:val="center"/>
          </w:tcPr>
          <w:p>
            <w:pPr>
              <w:pStyle w:val="TableText"/>
              <w:jc w:val="left"/>
            </w:pPr>
            <w:r>
              <w:rPr>
                <w:lang w:val="en-US" w:eastAsia="en-US" w:bidi="ar-SA"/>
              </w:rPr>
              <w:t>Fit for human consumption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1212.29.00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1212.91.00</w:t>
            </w:r>
          </w:p>
        </w:tc>
        <w:tc>
          <w:tcPr>
            <w:tcW w:w="4679" w:type="dxa"/>
            <w:tcMar>
              <w:top w:w="70" w:type="dxa"/>
              <w:start w:w="110" w:type="dxa"/>
              <w:bottom w:w="70" w:type="dxa"/>
              <w:end w:w="110" w:type="dxa"/>
            </w:tcMar>
            <w:vAlign w:val="center"/>
          </w:tcPr>
          <w:p>
            <w:pPr>
              <w:pStyle w:val="TableText"/>
              <w:jc w:val="left"/>
            </w:pPr>
            <w:r>
              <w:rPr>
                <w:lang w:val="en-US" w:eastAsia="en-US" w:bidi="ar-SA"/>
              </w:rPr>
              <w:t>Sugar beet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1212.92.00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Locust beans (carob)</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1212.93.00</w:t>
            </w:r>
          </w:p>
        </w:tc>
        <w:tc>
          <w:tcPr>
            <w:tcW w:w="4679" w:type="dxa"/>
            <w:tcMar>
              <w:top w:w="70" w:type="dxa"/>
              <w:start w:w="110" w:type="dxa"/>
              <w:bottom w:w="70" w:type="dxa"/>
              <w:end w:w="110" w:type="dxa"/>
            </w:tcMar>
            <w:vAlign w:val="center"/>
          </w:tcPr>
          <w:p>
            <w:pPr>
              <w:pStyle w:val="TableText"/>
              <w:jc w:val="left"/>
            </w:pPr>
            <w:r>
              <w:rPr>
                <w:lang w:val="en-US" w:eastAsia="en-US" w:bidi="ar-SA"/>
              </w:rPr>
              <w:t>Sugar cane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1212.94.00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Chicory roots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1212.99.00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Cereal straw and husks, unprepared, whether or not chopped, ground, pressed or in the form of pellets.</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1214.10.00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Lucerne (alfalfa) meal and pellets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1214.90.00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1301.20.00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Gum Arabic</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1301.90.00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1302.11.00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Opium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1302.12.00</w:t>
            </w:r>
          </w:p>
        </w:tc>
        <w:tc>
          <w:tcPr>
            <w:tcW w:w="4679" w:type="dxa"/>
            <w:tcMar>
              <w:top w:w="70" w:type="dxa"/>
              <w:start w:w="110" w:type="dxa"/>
              <w:bottom w:w="70" w:type="dxa"/>
              <w:end w:w="110" w:type="dxa"/>
            </w:tcMar>
            <w:vAlign w:val="center"/>
          </w:tcPr>
          <w:p>
            <w:pPr>
              <w:pStyle w:val="TableText"/>
              <w:jc w:val="left"/>
            </w:pPr>
            <w:r>
              <w:rPr>
                <w:lang w:val="en-US" w:eastAsia="en-US" w:bidi="ar-SA"/>
              </w:rPr>
              <w:t>Of liquorice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1302.13.00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hops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1302.14.00</w:t>
            </w:r>
          </w:p>
        </w:tc>
        <w:tc>
          <w:tcPr>
            <w:tcW w:w="4679" w:type="dxa"/>
            <w:tcMar>
              <w:top w:w="70" w:type="dxa"/>
              <w:start w:w="110" w:type="dxa"/>
              <w:bottom w:w="70" w:type="dxa"/>
              <w:end w:w="110" w:type="dxa"/>
            </w:tcMar>
            <w:vAlign w:val="center"/>
          </w:tcPr>
          <w:p>
            <w:pPr>
              <w:pStyle w:val="TableText"/>
              <w:jc w:val="left"/>
            </w:pPr>
            <w:r>
              <w:rPr>
                <w:lang w:val="en-US" w:eastAsia="en-US" w:bidi="ar-SA"/>
              </w:rPr>
              <w:t>Of ephedra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1302.19.00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1302.20.00</w:t>
            </w:r>
          </w:p>
        </w:tc>
        <w:tc>
          <w:tcPr>
            <w:tcW w:w="4679" w:type="dxa"/>
            <w:tcMar>
              <w:top w:w="70" w:type="dxa"/>
              <w:start w:w="110" w:type="dxa"/>
              <w:bottom w:w="70" w:type="dxa"/>
              <w:end w:w="110" w:type="dxa"/>
            </w:tcMar>
            <w:vAlign w:val="center"/>
          </w:tcPr>
          <w:p>
            <w:pPr>
              <w:pStyle w:val="TableText"/>
              <w:jc w:val="left"/>
            </w:pPr>
            <w:r>
              <w:rPr>
                <w:lang w:val="en-US" w:eastAsia="en-US" w:bidi="ar-SA"/>
              </w:rPr>
              <w:t>Pectic substances, pectinates and pectates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1302.31.00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Agar-agar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1302.32.00</w:t>
            </w:r>
          </w:p>
        </w:tc>
        <w:tc>
          <w:tcPr>
            <w:tcW w:w="4679" w:type="dxa"/>
            <w:tcMar>
              <w:top w:w="70" w:type="dxa"/>
              <w:start w:w="110" w:type="dxa"/>
              <w:bottom w:w="70" w:type="dxa"/>
              <w:end w:w="110" w:type="dxa"/>
            </w:tcMar>
            <w:vAlign w:val="center"/>
          </w:tcPr>
          <w:p>
            <w:pPr>
              <w:pStyle w:val="TableText"/>
              <w:jc w:val="left"/>
            </w:pPr>
            <w:r>
              <w:rPr>
                <w:lang w:val="en-US" w:eastAsia="en-US" w:bidi="ar-SA"/>
              </w:rPr>
              <w:t>Mucilages and thickeners, whether or not modified, derived from locust beans, locust bean seeds or guar seeds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1302.39.00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1401.10.00</w:t>
            </w:r>
          </w:p>
        </w:tc>
        <w:tc>
          <w:tcPr>
            <w:tcW w:w="4679" w:type="dxa"/>
            <w:tcMar>
              <w:top w:w="70" w:type="dxa"/>
              <w:start w:w="110" w:type="dxa"/>
              <w:bottom w:w="70" w:type="dxa"/>
              <w:end w:w="110" w:type="dxa"/>
            </w:tcMar>
            <w:vAlign w:val="center"/>
          </w:tcPr>
          <w:p>
            <w:pPr>
              <w:pStyle w:val="TableText"/>
              <w:jc w:val="left"/>
            </w:pPr>
            <w:r>
              <w:rPr>
                <w:lang w:val="en-US" w:eastAsia="en-US" w:bidi="ar-SA"/>
              </w:rPr>
              <w:t>Bamboos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1401.20.00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Rattans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1401.90.00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1404.20.00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Cotton linters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1404.90.00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Lard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1501.20.00</w:t>
            </w:r>
          </w:p>
        </w:tc>
        <w:tc>
          <w:tcPr>
            <w:tcW w:w="4679" w:type="dxa"/>
            <w:tcMar>
              <w:top w:w="70" w:type="dxa"/>
              <w:start w:w="110" w:type="dxa"/>
              <w:bottom w:w="70" w:type="dxa"/>
              <w:end w:w="110" w:type="dxa"/>
            </w:tcMar>
            <w:vAlign w:val="center"/>
          </w:tcPr>
          <w:p>
            <w:pPr>
              <w:pStyle w:val="TableText"/>
              <w:jc w:val="left"/>
            </w:pPr>
            <w:r>
              <w:rPr>
                <w:lang w:val="en-US" w:eastAsia="en-US" w:bidi="ar-SA"/>
              </w:rPr>
              <w:t>Other pig fat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1501.90.00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1502.10.00</w:t>
            </w:r>
          </w:p>
        </w:tc>
        <w:tc>
          <w:tcPr>
            <w:tcW w:w="4679" w:type="dxa"/>
            <w:tcMar>
              <w:top w:w="70" w:type="dxa"/>
              <w:start w:w="110" w:type="dxa"/>
              <w:bottom w:w="70" w:type="dxa"/>
              <w:end w:w="110" w:type="dxa"/>
            </w:tcMar>
            <w:vAlign w:val="center"/>
          </w:tcPr>
          <w:p>
            <w:pPr>
              <w:pStyle w:val="TableText"/>
              <w:jc w:val="left"/>
            </w:pPr>
            <w:r>
              <w:rPr>
                <w:lang w:val="en-US" w:eastAsia="en-US" w:bidi="ar-SA"/>
              </w:rPr>
              <w:t>Tallow</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1503.00.00</w:t>
            </w:r>
          </w:p>
        </w:tc>
        <w:tc>
          <w:tcPr>
            <w:tcW w:w="4679" w:type="dxa"/>
            <w:tcMar>
              <w:top w:w="70" w:type="dxa"/>
              <w:start w:w="110" w:type="dxa"/>
              <w:bottom w:w="70" w:type="dxa"/>
              <w:end w:w="110" w:type="dxa"/>
            </w:tcMar>
            <w:vAlign w:val="center"/>
          </w:tcPr>
          <w:p>
            <w:pPr>
              <w:pStyle w:val="TableText"/>
              <w:jc w:val="left"/>
            </w:pPr>
            <w:r>
              <w:rPr>
                <w:lang w:val="en-US" w:eastAsia="en-US" w:bidi="ar-SA"/>
              </w:rPr>
              <w:t>Lard stearin, lard oil, oleostearin, oleo-oil and tallow oil, not emulsified or mixed or otherwise prepared.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1504.10.10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medicaments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1504.10.91</w:t>
            </w:r>
          </w:p>
        </w:tc>
        <w:tc>
          <w:tcPr>
            <w:tcW w:w="4679" w:type="dxa"/>
            <w:tcMar>
              <w:top w:w="70" w:type="dxa"/>
              <w:start w:w="110" w:type="dxa"/>
              <w:bottom w:w="70" w:type="dxa"/>
              <w:end w:w="110" w:type="dxa"/>
            </w:tcMar>
            <w:vAlign w:val="center"/>
          </w:tcPr>
          <w:p>
            <w:pPr>
              <w:pStyle w:val="TableText"/>
              <w:jc w:val="left"/>
            </w:pPr>
            <w:r>
              <w:rPr>
                <w:lang w:val="en-US" w:eastAsia="en-US" w:bidi="ar-SA"/>
              </w:rPr>
              <w:t>Other: For use in Canadian manufactures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1504.10.99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1504.20.00</w:t>
            </w:r>
          </w:p>
        </w:tc>
        <w:tc>
          <w:tcPr>
            <w:tcW w:w="4679" w:type="dxa"/>
            <w:tcMar>
              <w:top w:w="70" w:type="dxa"/>
              <w:start w:w="110" w:type="dxa"/>
              <w:bottom w:w="70" w:type="dxa"/>
              <w:end w:w="110" w:type="dxa"/>
            </w:tcMar>
            <w:vAlign w:val="center"/>
          </w:tcPr>
          <w:p>
            <w:pPr>
              <w:pStyle w:val="TableText"/>
              <w:jc w:val="left"/>
            </w:pPr>
            <w:r>
              <w:rPr>
                <w:lang w:val="en-US" w:eastAsia="en-US" w:bidi="ar-SA"/>
              </w:rPr>
              <w:t>Fats and oils and their fractions, of fish, other than liver oils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1504.30.00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Fats and oils and their fractions, of marine mammals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1505.00.00</w:t>
            </w:r>
          </w:p>
        </w:tc>
        <w:tc>
          <w:tcPr>
            <w:tcW w:w="4679" w:type="dxa"/>
            <w:tcMar>
              <w:top w:w="70" w:type="dxa"/>
              <w:start w:w="110" w:type="dxa"/>
              <w:bottom w:w="70" w:type="dxa"/>
              <w:end w:w="110" w:type="dxa"/>
            </w:tcMar>
            <w:vAlign w:val="center"/>
          </w:tcPr>
          <w:p>
            <w:pPr>
              <w:pStyle w:val="TableText"/>
              <w:jc w:val="left"/>
            </w:pPr>
            <w:r>
              <w:rPr>
                <w:lang w:val="en-US" w:eastAsia="en-US" w:bidi="ar-SA"/>
              </w:rPr>
              <w:t>Wool grease and fatty substances derived therefrom (including lanolin).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1506.00.00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animal fats and oils and their fractions, whether or not refined, but not chemically modified.</w:t>
            </w:r>
          </w:p>
        </w:tc>
      </w:tr>
    </w:tbl>
    <w:p>
      <w:pPr>
        <w:pStyle w:val="Normal"/>
      </w:pPr>
      <w:r>
        <w:t>1507.10.00 Crude oil, whether or not degummed 1507.90.00 Other 1508.10.00 Crude oil 1508.90.00 Other 1509.10.00 Virgin 1509.90.00 Other 1510.00.00 Other oils and their fractions, obtained solely from olives, whether or not refined, but not chemically modified, including blends of these oils or fractions with oils or fractions of heading 15.09. 1511.10.00 Crude oil 1511.90.00 Other 1512.11.00 Crude oil 1512.19.11 Sunflower-seed oil and fractions thereof: For processing 1512.19.19 Sunflower-seed oil and fractions thereof: Other 1512.19.21 Safflower oil and fractions thereof: For processing 1512.19.29 Safflower oil and fractions thereof:</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1512.21.00</w:t>
            </w:r>
          </w:p>
        </w:tc>
        <w:tc>
          <w:tcPr>
            <w:tcW w:w="4679" w:type="dxa"/>
            <w:tcMar>
              <w:top w:w="70" w:type="dxa"/>
              <w:start w:w="110" w:type="dxa"/>
              <w:bottom w:w="70" w:type="dxa"/>
              <w:end w:w="110" w:type="dxa"/>
            </w:tcMar>
            <w:vAlign w:val="center"/>
          </w:tcPr>
          <w:p>
            <w:pPr>
              <w:pStyle w:val="TableText"/>
              <w:jc w:val="left"/>
            </w:pPr>
            <w:r>
              <w:rPr>
                <w:lang w:val="en-US" w:eastAsia="en-US" w:bidi="ar-SA"/>
              </w:rPr>
              <w:t>Crude oil, whether or not gossypol has been removed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1512.29.00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1513.11.00</w:t>
            </w:r>
          </w:p>
        </w:tc>
        <w:tc>
          <w:tcPr>
            <w:tcW w:w="4679" w:type="dxa"/>
            <w:tcMar>
              <w:top w:w="70" w:type="dxa"/>
              <w:start w:w="110" w:type="dxa"/>
              <w:bottom w:w="70" w:type="dxa"/>
              <w:end w:w="110" w:type="dxa"/>
            </w:tcMar>
            <w:vAlign w:val="center"/>
          </w:tcPr>
          <w:p>
            <w:pPr>
              <w:pStyle w:val="TableText"/>
              <w:jc w:val="left"/>
            </w:pPr>
            <w:r>
              <w:rPr>
                <w:lang w:val="en-US" w:eastAsia="en-US" w:bidi="ar-SA"/>
              </w:rPr>
              <w:t>Crude oil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1513.19.10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processing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1513.19.90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1513.21.00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Crude oil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1513.29.10</w:t>
            </w:r>
          </w:p>
        </w:tc>
        <w:tc>
          <w:tcPr>
            <w:tcW w:w="4679" w:type="dxa"/>
            <w:tcMar>
              <w:top w:w="70" w:type="dxa"/>
              <w:start w:w="110" w:type="dxa"/>
              <w:bottom w:w="70" w:type="dxa"/>
              <w:end w:w="110" w:type="dxa"/>
            </w:tcMar>
            <w:vAlign w:val="center"/>
          </w:tcPr>
          <w:p>
            <w:pPr>
              <w:pStyle w:val="TableText"/>
              <w:jc w:val="left"/>
            </w:pPr>
            <w:r>
              <w:rPr>
                <w:lang w:val="en-US" w:eastAsia="en-US" w:bidi="ar-SA"/>
              </w:rPr>
              <w:t>Palm kernel oil and its fractions for use in the manufacture of margarine and shortening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1513.29.90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1514.11.00</w:t>
            </w:r>
          </w:p>
        </w:tc>
        <w:tc>
          <w:tcPr>
            <w:tcW w:w="4679" w:type="dxa"/>
            <w:tcMar>
              <w:top w:w="70" w:type="dxa"/>
              <w:start w:w="110" w:type="dxa"/>
              <w:bottom w:w="70" w:type="dxa"/>
              <w:end w:w="110" w:type="dxa"/>
            </w:tcMar>
            <w:vAlign w:val="center"/>
          </w:tcPr>
          <w:p>
            <w:pPr>
              <w:pStyle w:val="TableText"/>
              <w:jc w:val="left"/>
            </w:pPr>
            <w:r>
              <w:rPr>
                <w:lang w:val="en-US" w:eastAsia="en-US" w:bidi="ar-SA"/>
              </w:rPr>
              <w:t>Crude oil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1514.19.00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1514.91.00</w:t>
            </w:r>
          </w:p>
        </w:tc>
        <w:tc>
          <w:tcPr>
            <w:tcW w:w="4679" w:type="dxa"/>
            <w:tcMar>
              <w:top w:w="70" w:type="dxa"/>
              <w:start w:w="110" w:type="dxa"/>
              <w:bottom w:w="70" w:type="dxa"/>
              <w:end w:w="110" w:type="dxa"/>
            </w:tcMar>
            <w:vAlign w:val="center"/>
          </w:tcPr>
          <w:p>
            <w:pPr>
              <w:pStyle w:val="TableText"/>
              <w:jc w:val="left"/>
            </w:pPr>
            <w:r>
              <w:rPr>
                <w:lang w:val="en-US" w:eastAsia="en-US" w:bidi="ar-SA"/>
              </w:rPr>
              <w:t>Crude oil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1514.99.00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1515.11.00</w:t>
            </w:r>
          </w:p>
        </w:tc>
        <w:tc>
          <w:tcPr>
            <w:tcW w:w="4679" w:type="dxa"/>
            <w:tcMar>
              <w:top w:w="70" w:type="dxa"/>
              <w:start w:w="110" w:type="dxa"/>
              <w:bottom w:w="70" w:type="dxa"/>
              <w:end w:w="110" w:type="dxa"/>
            </w:tcMar>
            <w:vAlign w:val="center"/>
          </w:tcPr>
          <w:p>
            <w:pPr>
              <w:pStyle w:val="TableText"/>
              <w:jc w:val="left"/>
            </w:pPr>
            <w:r>
              <w:rPr>
                <w:lang w:val="en-US" w:eastAsia="en-US" w:bidi="ar-SA"/>
              </w:rPr>
              <w:t>Crude oil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1515.19.10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processing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1515.19.90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Crude oil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1515.29.00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Castor oil and its fractions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1515.50.10</w:t>
            </w:r>
          </w:p>
        </w:tc>
        <w:tc>
          <w:tcPr>
            <w:tcW w:w="4679" w:type="dxa"/>
            <w:tcMar>
              <w:top w:w="70" w:type="dxa"/>
              <w:start w:w="110" w:type="dxa"/>
              <w:bottom w:w="70" w:type="dxa"/>
              <w:end w:w="110" w:type="dxa"/>
            </w:tcMar>
            <w:vAlign w:val="center"/>
          </w:tcPr>
          <w:p>
            <w:pPr>
              <w:pStyle w:val="TableText"/>
              <w:jc w:val="left"/>
            </w:pPr>
            <w:r>
              <w:rPr>
                <w:lang w:val="en-US" w:eastAsia="en-US" w:bidi="ar-SA"/>
              </w:rPr>
              <w:t>Crude oil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1515.50.90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Animal fats and oils and their fractions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1516.20.00</w:t>
            </w:r>
          </w:p>
        </w:tc>
        <w:tc>
          <w:tcPr>
            <w:tcW w:w="4679" w:type="dxa"/>
            <w:tcMar>
              <w:top w:w="70" w:type="dxa"/>
              <w:start w:w="110" w:type="dxa"/>
              <w:bottom w:w="70" w:type="dxa"/>
              <w:end w:w="110" w:type="dxa"/>
            </w:tcMar>
            <w:vAlign w:val="center"/>
          </w:tcPr>
          <w:p>
            <w:pPr>
              <w:pStyle w:val="TableText"/>
              <w:jc w:val="left"/>
            </w:pPr>
            <w:r>
              <w:rPr>
                <w:lang w:val="en-US" w:eastAsia="en-US" w:bidi="ar-SA"/>
              </w:rPr>
              <w:t>Vegetable fats and oils and their fractions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1517.10.10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Within access commitment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1517.10.20</w:t>
            </w:r>
          </w:p>
        </w:tc>
        <w:tc>
          <w:tcPr>
            <w:tcW w:w="4679" w:type="dxa"/>
            <w:tcMar>
              <w:top w:w="70" w:type="dxa"/>
              <w:start w:w="110" w:type="dxa"/>
              <w:bottom w:w="70" w:type="dxa"/>
              <w:end w:w="110" w:type="dxa"/>
            </w:tcMar>
            <w:vAlign w:val="center"/>
          </w:tcPr>
          <w:p>
            <w:pPr>
              <w:pStyle w:val="TableText"/>
              <w:jc w:val="left"/>
            </w:pPr>
            <w:r>
              <w:rPr>
                <w:lang w:val="en-US" w:eastAsia="en-US" w:bidi="ar-SA"/>
              </w:rPr>
              <w:t>Over access commitment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1517.90.10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Imitation lard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1517.90.21</w:t>
            </w:r>
          </w:p>
        </w:tc>
        <w:tc>
          <w:tcPr>
            <w:tcW w:w="4679" w:type="dxa"/>
            <w:tcMar>
              <w:top w:w="70" w:type="dxa"/>
              <w:start w:w="110" w:type="dxa"/>
              <w:bottom w:w="70" w:type="dxa"/>
              <w:end w:w="110" w:type="dxa"/>
            </w:tcMar>
            <w:vAlign w:val="center"/>
          </w:tcPr>
          <w:p>
            <w:pPr>
              <w:pStyle w:val="TableText"/>
              <w:jc w:val="left"/>
            </w:pPr>
            <w:r>
              <w:rPr>
                <w:lang w:val="en-US" w:eastAsia="en-US" w:bidi="ar-SA"/>
              </w:rPr>
              <w:t>Substitutes for butter: Within access commitment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1517.90.22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Substitutes for</w:t>
            </w:r>
          </w:p>
        </w:tc>
      </w:tr>
    </w:tbl>
    <w:p>
      <w:pPr>
        <w:pStyle w:val="Normal"/>
      </w:pPr>
      <w:r>
        <w:t>butter: Over access commitment * 1517.90.30 Palm oil and palm kernel oil, and their fractions, and blends thereof, for use in the manufacture of margarine and shortening 1517.90.91 Other: Shortening 1517.90.99 Other: Other 1518.00.00 Animal or vegetable fats and oils and their fractions, boiled, oxidized, dehydrated, sulphurized, blown, polymerized by heat in vacuum or in inert gas or otherwise chemically modified, excluding those of heading 15.16; inedible mixtures or preparations of animal or vegetable fats or oils or of fractions of different fats or oils of this Chapter, not elsewhere specified or included. 1520.00.00 Glycerol, crude; glycerol waters and glycerol lyes. 1521.10.00 Vegetable waxes 1521.90.00 Other 1522.00.00 Degras; residues resulting from the treatment of fatty substances or animal or vegetable waxes.</w:t>
      </w:r>
    </w:p>
    <w:p>
      <w:pPr>
        <w:pStyle w:val="Normal"/>
      </w:pPr>
      <w:r>
        <w:t>1601.00.11 In cans or glass jars: Of poultry of heading 01.05 * 1601.00.19 In cans or glass jars: Other 1601.00.21 Of fowls of the species Gallus domesticus, other than in cans or glass jars: Other than spent fowl, within access commitment * * 1601.00.22 Of fowls of the species Gallus domesticus, other than in cans or glass jars: Other than spent fowl, over access commitment * * 1601.00.23 Of fowls of the species Gallus domesticus, other than in cans or glass jars: Spent fowl 1601.00.31 Of turkeys, other than in cans or glass jars: Within access commitment * 1601.00.32 Of turkeys, other than in cans or glass jars: Over access commitment * * 1601.00.90 Other 1602.10.10 Of fowls of the species Gallus domesticus and turkeys, of heading 01.05 * 1602.10.90 Other 1602.20.10 Pâtés de foie with truffles 1602.20.21 Paste, of fowls of the species Gallus domesticus, not in cans or glass jars: Within access commitment * * 1602.20.22 Paste, of fowls of the species Gallus domesticus, not in cans or glass jars:</w:t>
      </w:r>
    </w:p>
    <w:p>
      <w:pPr>
        <w:pStyle w:val="Normal"/>
      </w:pPr>
      <w:r>
        <w:t>Over access commitment * * 1602.20.31 Paste, of turkeys, not in cans or glass jars: Within access commitment * 1602.20.32 Paste, of turkeys, not in cans or glass jars: Over access commitment * * 1602.20.90 Other 1602.31.11 Prepared meals: Specially defined mixtures * 1602.31.12 Prepared meals: Other, within access commitment * 1602.31.13 Prepared meals: Other, over access commitment, bone in * * 1602.31.14 Prepared meals: Other, over access commitment, boneless * * 1602.31.91</w:t>
      </w:r>
    </w:p>
    <w:p>
      <w:pPr>
        <w:pStyle w:val="Normal"/>
      </w:pPr>
      <w:r>
        <w:t>Other: In cans or glass jars * 1602.31.92 Other: Specially defined mixtures, other than in cans or glass jars * 1602.31.93 Other: Other, within access commitment * 1602.31.94 Other: Other, over access commitment, bone in * * 1602.31.95 Other: Other, over access commitment, boneless * * 1602.32.11 Prepared meals: Of spent fowl; Specially defined mixtures * 1602.32.12 Prepared meals: Other, within access commitment * * 1602.32.13 Prepared meals: Other, over access commitment, bone in * * 1602.32.14 Prepared meals: Other, over access commitment, boneless * * 1602.32.91 Other: In cans or glass jars * 1602.32.92 Other: Specially defined mixtures, other than in cans or glass jars; Spent fowl other than in cans or glass jars * 1602.32.93 Other: Other, within access commitment * * 1602.32.94 Other: Other, over access commitment, bone in * * 1602.32.95 Other: Other, over access commitment, boneless * * 1602.39.10 Prepared meals * 1602.39.91 Other: Of ducks, geese or guinea fowls, in cans or glass jars * 1602.39.99 Other:</w:t>
      </w:r>
    </w:p>
    <w:p>
      <w:pPr>
        <w:pStyle w:val="Normal"/>
      </w:pPr>
      <w:r>
        <w:t>Other *</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1602.41.10</w:t>
            </w:r>
          </w:p>
        </w:tc>
        <w:tc>
          <w:tcPr>
            <w:tcW w:w="4679" w:type="dxa"/>
            <w:tcMar>
              <w:top w:w="70" w:type="dxa"/>
              <w:start w:w="110" w:type="dxa"/>
              <w:bottom w:w="70" w:type="dxa"/>
              <w:end w:w="110" w:type="dxa"/>
            </w:tcMar>
            <w:vAlign w:val="center"/>
          </w:tcPr>
          <w:p>
            <w:pPr>
              <w:pStyle w:val="TableText"/>
              <w:jc w:val="left"/>
            </w:pPr>
            <w:r>
              <w:rPr>
                <w:lang w:val="en-US" w:eastAsia="en-US" w:bidi="ar-SA"/>
              </w:rPr>
              <w:t>In cans or glass jars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1602.41.90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1602.42.10</w:t>
            </w:r>
          </w:p>
        </w:tc>
        <w:tc>
          <w:tcPr>
            <w:tcW w:w="4679" w:type="dxa"/>
            <w:tcMar>
              <w:top w:w="70" w:type="dxa"/>
              <w:start w:w="110" w:type="dxa"/>
              <w:bottom w:w="70" w:type="dxa"/>
              <w:end w:w="110" w:type="dxa"/>
            </w:tcMar>
            <w:vAlign w:val="center"/>
          </w:tcPr>
          <w:p>
            <w:pPr>
              <w:pStyle w:val="TableText"/>
              <w:jc w:val="left"/>
            </w:pPr>
            <w:r>
              <w:rPr>
                <w:lang w:val="en-US" w:eastAsia="en-US" w:bidi="ar-SA"/>
              </w:rPr>
              <w:t>In cans or glass jars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1602.42.90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1602.49.10</w:t>
            </w:r>
          </w:p>
        </w:tc>
        <w:tc>
          <w:tcPr>
            <w:tcW w:w="4679" w:type="dxa"/>
            <w:tcMar>
              <w:top w:w="70" w:type="dxa"/>
              <w:start w:w="110" w:type="dxa"/>
              <w:bottom w:w="70" w:type="dxa"/>
              <w:end w:w="110" w:type="dxa"/>
            </w:tcMar>
            <w:vAlign w:val="center"/>
          </w:tcPr>
          <w:p>
            <w:pPr>
              <w:pStyle w:val="TableText"/>
              <w:jc w:val="left"/>
            </w:pPr>
            <w:r>
              <w:rPr>
                <w:lang w:val="en-US" w:eastAsia="en-US" w:bidi="ar-SA"/>
              </w:rPr>
              <w:t>In cans or glass jars; Prepared meals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1602.49.90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1602.50.10</w:t>
            </w:r>
          </w:p>
        </w:tc>
        <w:tc>
          <w:tcPr>
            <w:tcW w:w="4679" w:type="dxa"/>
            <w:tcMar>
              <w:top w:w="70" w:type="dxa"/>
              <w:start w:w="110" w:type="dxa"/>
              <w:bottom w:w="70" w:type="dxa"/>
              <w:end w:w="110" w:type="dxa"/>
            </w:tcMar>
            <w:vAlign w:val="center"/>
          </w:tcPr>
          <w:p>
            <w:pPr>
              <w:pStyle w:val="TableText"/>
              <w:jc w:val="left"/>
            </w:pPr>
            <w:r>
              <w:rPr>
                <w:lang w:val="en-US" w:eastAsia="en-US" w:bidi="ar-SA"/>
              </w:rPr>
              <w:t>Prepared meals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1602.50.91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In cans or glass jars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1602.50.99</w:t>
            </w:r>
          </w:p>
        </w:tc>
        <w:tc>
          <w:tcPr>
            <w:tcW w:w="4679" w:type="dxa"/>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1602.90.10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Prepared meals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1602.90.91</w:t>
            </w:r>
          </w:p>
        </w:tc>
        <w:tc>
          <w:tcPr>
            <w:tcW w:w="4679" w:type="dxa"/>
            <w:tcMar>
              <w:top w:w="70" w:type="dxa"/>
              <w:start w:w="110" w:type="dxa"/>
              <w:bottom w:w="70" w:type="dxa"/>
              <w:end w:w="110" w:type="dxa"/>
            </w:tcMar>
            <w:vAlign w:val="center"/>
          </w:tcPr>
          <w:p>
            <w:pPr>
              <w:pStyle w:val="TableText"/>
              <w:jc w:val="left"/>
            </w:pPr>
            <w:r>
              <w:rPr>
                <w:lang w:val="en-US" w:eastAsia="en-US" w:bidi="ar-SA"/>
              </w:rPr>
              <w:t>Other: In cans or glass jars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1602.90.99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1603.00.10</w:t>
            </w:r>
          </w:p>
        </w:tc>
        <w:tc>
          <w:tcPr>
            <w:tcW w:w="4679" w:type="dxa"/>
            <w:tcMar>
              <w:top w:w="70" w:type="dxa"/>
              <w:start w:w="110" w:type="dxa"/>
              <w:bottom w:w="70" w:type="dxa"/>
              <w:end w:w="110" w:type="dxa"/>
            </w:tcMar>
            <w:vAlign w:val="center"/>
          </w:tcPr>
          <w:p>
            <w:pPr>
              <w:pStyle w:val="TableText"/>
              <w:jc w:val="left"/>
            </w:pPr>
            <w:r>
              <w:rPr>
                <w:lang w:val="en-US" w:eastAsia="en-US" w:bidi="ar-SA"/>
              </w:rPr>
              <w:t>Of meat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1603.00.20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fish or crustaceans, molluscs or other aquatic invertebrates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1604.11.00</w:t>
            </w:r>
          </w:p>
        </w:tc>
        <w:tc>
          <w:tcPr>
            <w:tcW w:w="4679" w:type="dxa"/>
            <w:tcMar>
              <w:top w:w="70" w:type="dxa"/>
              <w:start w:w="110" w:type="dxa"/>
              <w:bottom w:w="70" w:type="dxa"/>
              <w:end w:w="110" w:type="dxa"/>
            </w:tcMar>
            <w:vAlign w:val="center"/>
          </w:tcPr>
          <w:p>
            <w:pPr>
              <w:pStyle w:val="TableText"/>
              <w:jc w:val="left"/>
            </w:pPr>
            <w:r>
              <w:rPr>
                <w:lang w:val="en-US" w:eastAsia="en-US" w:bidi="ar-SA"/>
              </w:rPr>
              <w:t>Salmon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1604.12.10</w:t>
            </w:r>
          </w:p>
        </w:tc>
        <w:tc>
          <w:tcPr>
            <w:tcW w:w="4679" w:type="dxa"/>
            <w:tcMar>
              <w:top w:w="70" w:type="dxa"/>
              <w:start w:w="110" w:type="dxa"/>
              <w:bottom w:w="70" w:type="dxa"/>
              <w:end w:w="110" w:type="dxa"/>
            </w:tcMar>
            <w:vAlign w:val="center"/>
          </w:tcPr>
          <w:p>
            <w:pPr>
              <w:pStyle w:val="TableText"/>
              <w:jc w:val="left"/>
            </w:pPr>
            <w:r>
              <w:rPr>
                <w:lang w:val="en-US" w:eastAsia="en-US" w:bidi="ar-SA"/>
              </w:rPr>
              <w:t>Pickled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1604.13.10</w:t>
            </w:r>
          </w:p>
        </w:tc>
        <w:tc>
          <w:tcPr>
            <w:tcW w:w="4679" w:type="dxa"/>
            <w:tcMar>
              <w:top w:w="70" w:type="dxa"/>
              <w:start w:w="110" w:type="dxa"/>
              <w:bottom w:w="70" w:type="dxa"/>
              <w:end w:w="110" w:type="dxa"/>
            </w:tcMar>
            <w:vAlign w:val="center"/>
          </w:tcPr>
          <w:p>
            <w:pPr>
              <w:pStyle w:val="TableText"/>
              <w:jc w:val="left"/>
            </w:pPr>
            <w:r>
              <w:rPr>
                <w:lang w:val="en-US" w:eastAsia="en-US" w:bidi="ar-SA"/>
              </w:rPr>
              <w:t>In cans or glass jars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1604.13.90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1604.14.10</w:t>
            </w:r>
          </w:p>
        </w:tc>
        <w:tc>
          <w:tcPr>
            <w:tcW w:w="4679" w:type="dxa"/>
            <w:tcMar>
              <w:top w:w="70" w:type="dxa"/>
              <w:start w:w="110" w:type="dxa"/>
              <w:bottom w:w="70" w:type="dxa"/>
              <w:end w:w="110" w:type="dxa"/>
            </w:tcMar>
            <w:vAlign w:val="center"/>
          </w:tcPr>
          <w:p>
            <w:pPr>
              <w:pStyle w:val="TableText"/>
              <w:jc w:val="left"/>
            </w:pPr>
            <w:r>
              <w:rPr>
                <w:lang w:val="en-US" w:eastAsia="en-US" w:bidi="ar-SA"/>
              </w:rPr>
              <w:t>Atlantic bonito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1604.14.90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1604.15.00</w:t>
            </w:r>
          </w:p>
        </w:tc>
        <w:tc>
          <w:tcPr>
            <w:tcW w:w="4679" w:type="dxa"/>
            <w:tcMar>
              <w:top w:w="70" w:type="dxa"/>
              <w:start w:w="110" w:type="dxa"/>
              <w:bottom w:w="70" w:type="dxa"/>
              <w:end w:w="110" w:type="dxa"/>
            </w:tcMar>
            <w:vAlign w:val="center"/>
          </w:tcPr>
          <w:p>
            <w:pPr>
              <w:pStyle w:val="TableText"/>
              <w:jc w:val="left"/>
            </w:pPr>
            <w:r>
              <w:rPr>
                <w:lang w:val="en-US" w:eastAsia="en-US" w:bidi="ar-SA"/>
              </w:rPr>
              <w:t>Mackerel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1604.16.10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cans or glass jars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1604.16.90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1604.17.00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Eels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1604.18.00</w:t>
            </w:r>
          </w:p>
        </w:tc>
        <w:tc>
          <w:tcPr>
            <w:tcW w:w="4679" w:type="dxa"/>
            <w:tcMar>
              <w:top w:w="70" w:type="dxa"/>
              <w:start w:w="110" w:type="dxa"/>
              <w:bottom w:w="70" w:type="dxa"/>
              <w:end w:w="110" w:type="dxa"/>
            </w:tcMar>
            <w:vAlign w:val="center"/>
          </w:tcPr>
          <w:p>
            <w:pPr>
              <w:pStyle w:val="TableText"/>
              <w:jc w:val="left"/>
            </w:pPr>
            <w:r>
              <w:rPr>
                <w:lang w:val="en-US" w:eastAsia="en-US" w:bidi="ar-SA"/>
              </w:rPr>
              <w:t>Shark fins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1604.19.10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Whitebait, in cans or glass jars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1604.19.90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Prepared meals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1604.20.20</w:t>
            </w:r>
          </w:p>
        </w:tc>
        <w:tc>
          <w:tcPr>
            <w:tcW w:w="4679" w:type="dxa"/>
            <w:tcMar>
              <w:top w:w="70" w:type="dxa"/>
              <w:start w:w="110" w:type="dxa"/>
              <w:bottom w:w="70" w:type="dxa"/>
              <w:end w:w="110" w:type="dxa"/>
            </w:tcMar>
            <w:vAlign w:val="center"/>
          </w:tcPr>
          <w:p>
            <w:pPr>
              <w:pStyle w:val="TableText"/>
              <w:jc w:val="left"/>
            </w:pPr>
            <w:r>
              <w:rPr>
                <w:lang w:val="en-US" w:eastAsia="en-US" w:bidi="ar-SA"/>
              </w:rPr>
              <w:t>Gefilte fish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1604.31.00</w:t>
            </w:r>
          </w:p>
        </w:tc>
        <w:tc>
          <w:tcPr>
            <w:tcW w:w="4679" w:type="dxa"/>
            <w:tcMar>
              <w:top w:w="70" w:type="dxa"/>
              <w:start w:w="110" w:type="dxa"/>
              <w:bottom w:w="70" w:type="dxa"/>
              <w:end w:w="110" w:type="dxa"/>
            </w:tcMar>
            <w:vAlign w:val="center"/>
          </w:tcPr>
          <w:p>
            <w:pPr>
              <w:pStyle w:val="TableText"/>
              <w:jc w:val="left"/>
            </w:pPr>
            <w:r>
              <w:rPr>
                <w:lang w:val="en-US" w:eastAsia="en-US" w:bidi="ar-SA"/>
              </w:rPr>
              <w:t>Caviar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1604.32.00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Caviar substitutes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1605.10.00</w:t>
            </w:r>
          </w:p>
        </w:tc>
        <w:tc>
          <w:tcPr>
            <w:tcW w:w="4679" w:type="dxa"/>
            <w:tcMar>
              <w:top w:w="70" w:type="dxa"/>
              <w:start w:w="110" w:type="dxa"/>
              <w:bottom w:w="70" w:type="dxa"/>
              <w:end w:w="110" w:type="dxa"/>
            </w:tcMar>
            <w:vAlign w:val="center"/>
          </w:tcPr>
          <w:p>
            <w:pPr>
              <w:pStyle w:val="TableText"/>
              <w:jc w:val="left"/>
            </w:pPr>
            <w:r>
              <w:rPr>
                <w:lang w:val="en-US" w:eastAsia="en-US" w:bidi="ar-SA"/>
              </w:rPr>
              <w:t>Crab</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in airtight container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Shelled, cooked by steaming or boiling in water, whether or not frozen but not further prepared or preserved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1605.40.10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Crayfish, in cans or glass jars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1605.40.90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Oysters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1605.52.00</w:t>
            </w:r>
          </w:p>
        </w:tc>
        <w:tc>
          <w:tcPr>
            <w:tcW w:w="4679" w:type="dxa"/>
            <w:tcMar>
              <w:top w:w="70" w:type="dxa"/>
              <w:start w:w="110" w:type="dxa"/>
              <w:bottom w:w="70" w:type="dxa"/>
              <w:end w:w="110" w:type="dxa"/>
            </w:tcMar>
            <w:vAlign w:val="center"/>
          </w:tcPr>
          <w:p>
            <w:pPr>
              <w:pStyle w:val="TableText"/>
              <w:jc w:val="left"/>
            </w:pPr>
            <w:r>
              <w:rPr>
                <w:lang w:val="en-US" w:eastAsia="en-US" w:bidi="ar-SA"/>
              </w:rPr>
              <w:t>Scallops, including queen scallops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1605.53.00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Mussels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1605.54.00</w:t>
            </w:r>
          </w:p>
        </w:tc>
        <w:tc>
          <w:tcPr>
            <w:tcW w:w="4679" w:type="dxa"/>
            <w:tcMar>
              <w:top w:w="70" w:type="dxa"/>
              <w:start w:w="110" w:type="dxa"/>
              <w:bottom w:w="70" w:type="dxa"/>
              <w:end w:w="110" w:type="dxa"/>
            </w:tcMar>
            <w:vAlign w:val="center"/>
          </w:tcPr>
          <w:p>
            <w:pPr>
              <w:pStyle w:val="TableText"/>
              <w:jc w:val="left"/>
            </w:pPr>
            <w:r>
              <w:rPr>
                <w:lang w:val="en-US" w:eastAsia="en-US" w:bidi="ar-SA"/>
              </w:rPr>
              <w:t>Cuttle fish and squid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1605.55.00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Octopus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1605.56.00</w:t>
            </w:r>
          </w:p>
        </w:tc>
        <w:tc>
          <w:tcPr>
            <w:tcW w:w="4679" w:type="dxa"/>
            <w:tcMar>
              <w:top w:w="70" w:type="dxa"/>
              <w:start w:w="110" w:type="dxa"/>
              <w:bottom w:w="70" w:type="dxa"/>
              <w:end w:w="110" w:type="dxa"/>
            </w:tcMar>
            <w:vAlign w:val="center"/>
          </w:tcPr>
          <w:p>
            <w:pPr>
              <w:pStyle w:val="TableText"/>
              <w:jc w:val="left"/>
            </w:pPr>
            <w:r>
              <w:rPr>
                <w:lang w:val="en-US" w:eastAsia="en-US" w:bidi="ar-SA"/>
              </w:rPr>
              <w:t>Clams, cockles and arkshells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1605.57.00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Abalone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1605.58.00</w:t>
            </w:r>
          </w:p>
        </w:tc>
        <w:tc>
          <w:tcPr>
            <w:tcW w:w="4679" w:type="dxa"/>
            <w:tcMar>
              <w:top w:w="70" w:type="dxa"/>
              <w:start w:w="110" w:type="dxa"/>
              <w:bottom w:w="70" w:type="dxa"/>
              <w:end w:w="110" w:type="dxa"/>
            </w:tcMar>
            <w:vAlign w:val="center"/>
          </w:tcPr>
          <w:p>
            <w:pPr>
              <w:pStyle w:val="TableText"/>
              <w:jc w:val="left"/>
            </w:pPr>
            <w:r>
              <w:rPr>
                <w:lang w:val="en-US" w:eastAsia="en-US" w:bidi="ar-SA"/>
              </w:rPr>
              <w:t>Snails, other than sea snails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1605.59.10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Toheroas, in can or glass jars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1605.59.90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Sea cucumbers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1605.62.00</w:t>
            </w:r>
          </w:p>
        </w:tc>
        <w:tc>
          <w:tcPr>
            <w:tcW w:w="4679" w:type="dxa"/>
            <w:tcMar>
              <w:top w:w="70" w:type="dxa"/>
              <w:start w:w="110" w:type="dxa"/>
              <w:bottom w:w="70" w:type="dxa"/>
              <w:end w:w="110" w:type="dxa"/>
            </w:tcMar>
            <w:vAlign w:val="center"/>
          </w:tcPr>
          <w:p>
            <w:pPr>
              <w:pStyle w:val="TableText"/>
              <w:jc w:val="left"/>
            </w:pPr>
            <w:r>
              <w:rPr>
                <w:lang w:val="en-US" w:eastAsia="en-US" w:bidi="ar-SA"/>
              </w:rPr>
              <w:t>Sea urchins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1605.63.00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Jellyfish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1605.69.00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1701.12.10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by sugar refineries in the production of refined sugar used in the manufacture of wine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1701.12.90</w:t>
            </w:r>
          </w:p>
        </w:tc>
        <w:tc>
          <w:tcPr>
            <w:tcW w:w="4679" w:type="dxa"/>
            <w:tcMar>
              <w:top w:w="70" w:type="dxa"/>
              <w:start w:w="110" w:type="dxa"/>
              <w:bottom w:w="70" w:type="dxa"/>
              <w:end w:w="110" w:type="dxa"/>
            </w:tcMar>
            <w:vAlign w:val="center"/>
          </w:tcPr>
          <w:p>
            <w:pPr>
              <w:pStyle w:val="TableText"/>
              <w:jc w:val="left"/>
            </w:pPr>
            <w:r>
              <w:rPr>
                <w:lang w:val="en-US" w:eastAsia="en-US" w:bidi="ar-SA"/>
              </w:rPr>
              <w:t>Other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1701.13.10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by sugar refineries in the production of refined sugar used in the manufacture of wine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1701.13.90</w:t>
            </w:r>
          </w:p>
        </w:tc>
        <w:tc>
          <w:tcPr>
            <w:tcW w:w="4679" w:type="dxa"/>
            <w:tcMar>
              <w:top w:w="70" w:type="dxa"/>
              <w:start w:w="110" w:type="dxa"/>
              <w:bottom w:w="70" w:type="dxa"/>
              <w:end w:w="110" w:type="dxa"/>
            </w:tcMar>
            <w:vAlign w:val="center"/>
          </w:tcPr>
          <w:p>
            <w:pPr>
              <w:pStyle w:val="TableText"/>
              <w:jc w:val="left"/>
            </w:pPr>
            <w:r>
              <w:rPr>
                <w:lang w:val="en-US" w:eastAsia="en-US" w:bidi="ar-SA"/>
              </w:rPr>
              <w:t>Other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1701.14.00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cane sugar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1701.91.90</w:t>
            </w:r>
          </w:p>
        </w:tc>
        <w:tc>
          <w:tcPr>
            <w:tcW w:w="4679" w:type="dxa"/>
            <w:tcMar>
              <w:top w:w="70" w:type="dxa"/>
              <w:start w:w="110" w:type="dxa"/>
              <w:bottom w:w="70" w:type="dxa"/>
              <w:end w:w="110" w:type="dxa"/>
            </w:tcMar>
            <w:vAlign w:val="center"/>
          </w:tcPr>
          <w:p>
            <w:pPr>
              <w:pStyle w:val="TableText"/>
              <w:jc w:val="left"/>
            </w:pPr>
            <w:r>
              <w:rPr>
                <w:lang w:val="en-US" w:eastAsia="en-US" w:bidi="ar-SA"/>
              </w:rPr>
              <w:t>Other *</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1701.99.90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1702.11.00</w:t>
            </w:r>
          </w:p>
        </w:tc>
        <w:tc>
          <w:tcPr>
            <w:tcW w:w="4679" w:type="dxa"/>
            <w:tcMar>
              <w:top w:w="70" w:type="dxa"/>
              <w:start w:w="110" w:type="dxa"/>
              <w:bottom w:w="70" w:type="dxa"/>
              <w:end w:w="110" w:type="dxa"/>
            </w:tcMar>
            <w:vAlign w:val="center"/>
          </w:tcPr>
          <w:p>
            <w:pPr>
              <w:pStyle w:val="TableText"/>
              <w:jc w:val="left"/>
            </w:pPr>
            <w:r>
              <w:rPr>
                <w:lang w:val="en-US" w:eastAsia="en-US" w:bidi="ar-SA"/>
              </w:rPr>
              <w:t>Containing by weight 99% or more lactose, expressed as anhydrous lactose, calculated on the dry matter</w:t>
            </w:r>
          </w:p>
        </w:tc>
      </w:tr>
    </w:tbl>
    <w:p>
      <w:pPr>
        <w:pStyle w:val="Normal"/>
      </w:pPr>
      <w:r>
        <w:t>1702.19.00 Other 1702.20.00 Maple sugar and maple syrup 1702.30.10 Crystalline dextrose, having a dextrose equivalent of 90% or more but not more than 10% by weight of moisture 1702.30.90 Other 1702.40.00 Glucose and glucose syrup, containing in the dry state at least 20% but less than 50% by weight of fructose, excluding invert sugar 1702.50.00 Chemically pure fructose 1702.60.00 Other fructose and fructose syrup, containing in the dry state more than 50% by weight of fructose, excluding invert sugar 1702.90.11 Invert sugar and other sugar syrups containing, after inversion, reducing sugars weighing 75% or more of the total solid weight and in receptacles where the gross weight exceeds 27 kg: Containing reducing sugars after inversion not exceeding 65% by weight of the total syrup * 1702.90.12 Invert sugar and other sugar syrups containing, after inversion, reducing sugars weighing 75% or more of the total solid weight and in receptacles where the gross weight exceeds 27 kg:</w:t>
      </w:r>
    </w:p>
    <w:p>
      <w:pPr>
        <w:pStyle w:val="Normal"/>
      </w:pPr>
      <w:r>
        <w:t>Containing reducing sugars after inversion exceeding 65% but not exceeding 70% by weight of the total syrup * 1702.90.13 Invert sugar and other sugar syrups containing, after inversion, reducing sugars weighing 75% or more of the total solid weight and in receptacles where the gross weight exceeds 27 kg: Containing reducing sugars after inversion exceeding 70% but not exceeding 71% by weight of the total syrup * 1702.90.14 Invert sugar and other sugar syrups containing, after inversion, reducing sugars</w:t>
      </w:r>
    </w:p>
    <w:p>
      <w:pPr>
        <w:pStyle w:val="Normal"/>
      </w:pPr>
      <w:r>
        <w:t>weighing 75% or more of the total solid weight and in receptacles where the gross weight exceeds 27 kg: Containing reducing sugars after inversion exceeding 71% but not exceeding 72% by weight of the total syrup * 1702.90.15 Invert sugar and other sugar syrups containing, after inversion, reducing sugars weighing 75% or more of the total solid weight and in receptacles where the gross weight exceeds 27 kg: Containing reducing sugars after inversion exceeding 72% but not exceeding 73% by weight of the total syrup * 1702.90.16 Invert sugar and other sugar syrups containing, after inversion, reducing sugars weighing 75% or more of the total solid weight and in receptacles where the gross weight exceeds 27 kg: Containing reducing sugars after inversion exceeding 73% but not exceeding 74% by weight of the total syrup * 1702.90.17 Invert sugar and other sugar syrups containing, after inversion, reducing sugars weighing 75% or more of the total solid weight and in receptacles where the gross weight exceeds 27 kg:</w:t>
      </w:r>
    </w:p>
    <w:p>
      <w:pPr>
        <w:pStyle w:val="Normal"/>
      </w:pPr>
      <w:r>
        <w:t>Containing reducing sugars after inversion exceeding 74% but not exceeding 75% by weight of the total syrup * 1702.90.18 Invert sugar and other sugar syrups containing, after inversion, reducing sugars weighing 75% or more of the total solid weight and in receptacles where the gross weight exceeds 27 kg: Containing reducing sugars after inversion exceeding 75% by weight of the total syrup * 1702.90.29 Artificial honey, whether or not mixed with natural honey: 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1702.90.40</w:t>
            </w:r>
          </w:p>
        </w:tc>
        <w:tc>
          <w:tcPr>
            <w:tcW w:w="4679" w:type="dxa"/>
            <w:tcMar>
              <w:top w:w="70" w:type="dxa"/>
              <w:start w:w="110" w:type="dxa"/>
              <w:bottom w:w="70" w:type="dxa"/>
              <w:end w:w="110" w:type="dxa"/>
            </w:tcMar>
            <w:vAlign w:val="center"/>
          </w:tcPr>
          <w:p>
            <w:pPr>
              <w:pStyle w:val="TableText"/>
              <w:jc w:val="left"/>
            </w:pPr>
            <w:r>
              <w:rPr>
                <w:lang w:val="en-US" w:eastAsia="en-US" w:bidi="ar-SA"/>
              </w:rPr>
              <w:t>Chemically pure maltose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1702.90.50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Colouring caramels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1702.90.69</w:t>
            </w:r>
          </w:p>
        </w:tc>
        <w:tc>
          <w:tcPr>
            <w:tcW w:w="4679" w:type="dxa"/>
            <w:tcMar>
              <w:top w:w="70" w:type="dxa"/>
              <w:start w:w="110" w:type="dxa"/>
              <w:bottom w:w="70" w:type="dxa"/>
              <w:end w:w="110" w:type="dxa"/>
            </w:tcMar>
            <w:vAlign w:val="center"/>
          </w:tcPr>
          <w:p>
            <w:pPr>
              <w:pStyle w:val="TableText"/>
              <w:jc w:val="left"/>
            </w:pPr>
            <w:r>
              <w:rPr>
                <w:lang w:val="en-US" w:eastAsia="en-US" w:bidi="ar-SA"/>
              </w:rPr>
              <w:t>Other sucrose sugars: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1702.90.89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invert sugars and other sugar syrups: Other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1702.90.90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1703.10.10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 with admixture other than colouring or anti-caking agents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1703.10.90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1703.90.10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 with admixture other than colouring or anti-caking agents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1703.90.90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Chewing gum, whether or not sugar-coated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1704.90.10</w:t>
            </w:r>
          </w:p>
        </w:tc>
        <w:tc>
          <w:tcPr>
            <w:tcW w:w="4679" w:type="dxa"/>
            <w:tcMar>
              <w:top w:w="70" w:type="dxa"/>
              <w:start w:w="110" w:type="dxa"/>
              <w:bottom w:w="70" w:type="dxa"/>
              <w:end w:w="110" w:type="dxa"/>
            </w:tcMar>
            <w:vAlign w:val="center"/>
          </w:tcPr>
          <w:p>
            <w:pPr>
              <w:pStyle w:val="TableText"/>
              <w:jc w:val="left"/>
            </w:pPr>
            <w:r>
              <w:rPr>
                <w:lang w:val="en-US" w:eastAsia="en-US" w:bidi="ar-SA"/>
              </w:rPr>
              <w:t>Chestnut cream or paste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1704.90.20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Liquorice candy; Toffee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1704.90.90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1801.00.00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Cocoa beans, whole or broken, raw or roasted.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1802.00.00</w:t>
            </w:r>
          </w:p>
        </w:tc>
        <w:tc>
          <w:tcPr>
            <w:tcW w:w="4679" w:type="dxa"/>
            <w:tcMar>
              <w:top w:w="70" w:type="dxa"/>
              <w:start w:w="110" w:type="dxa"/>
              <w:bottom w:w="70" w:type="dxa"/>
              <w:end w:w="110" w:type="dxa"/>
            </w:tcMar>
            <w:vAlign w:val="center"/>
          </w:tcPr>
          <w:p>
            <w:pPr>
              <w:pStyle w:val="TableText"/>
              <w:jc w:val="left"/>
            </w:pPr>
            <w:r>
              <w:rPr>
                <w:lang w:val="en-US" w:eastAsia="en-US" w:bidi="ar-SA"/>
              </w:rPr>
              <w:t>Cocoa shells, husks, skins and other cocoa waste.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1803.10.00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defatted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1803.20.00</w:t>
            </w:r>
          </w:p>
        </w:tc>
        <w:tc>
          <w:tcPr>
            <w:tcW w:w="4679" w:type="dxa"/>
            <w:tcMar>
              <w:top w:w="70" w:type="dxa"/>
              <w:start w:w="110" w:type="dxa"/>
              <w:bottom w:w="70" w:type="dxa"/>
              <w:end w:w="110" w:type="dxa"/>
            </w:tcMar>
            <w:vAlign w:val="center"/>
          </w:tcPr>
          <w:p>
            <w:pPr>
              <w:pStyle w:val="TableText"/>
              <w:jc w:val="left"/>
            </w:pPr>
            <w:r>
              <w:rPr>
                <w:lang w:val="en-US" w:eastAsia="en-US" w:bidi="ar-SA"/>
              </w:rPr>
              <w:t>Wholly or partly defatted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1804.00.00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Cocoa butter, fat and oil.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1805.00.00</w:t>
            </w:r>
          </w:p>
        </w:tc>
        <w:tc>
          <w:tcPr>
            <w:tcW w:w="4679" w:type="dxa"/>
            <w:tcMar>
              <w:top w:w="70" w:type="dxa"/>
              <w:start w:w="110" w:type="dxa"/>
              <w:bottom w:w="70" w:type="dxa"/>
              <w:end w:w="110" w:type="dxa"/>
            </w:tcMar>
            <w:vAlign w:val="center"/>
          </w:tcPr>
          <w:p>
            <w:pPr>
              <w:pStyle w:val="TableText"/>
              <w:jc w:val="left"/>
            </w:pPr>
            <w:r>
              <w:rPr>
                <w:lang w:val="en-US" w:eastAsia="en-US" w:bidi="ar-SA"/>
              </w:rPr>
              <w:t>Cocoa powder, not containing added sugar or other sweetening matter.</w:t>
            </w:r>
          </w:p>
        </w:tc>
      </w:tr>
    </w:tbl>
    <w:p>
      <w:pPr>
        <w:pStyle w:val="Normal"/>
      </w:pPr>
      <w:r>
        <w:t>1806.10.10 Containing 90% or more by weight of sugar * 1806.10.90 Other 1806.20.10 Cocoa paste containing added sugar or other sweetening matter, whether or not enriched with additional cocoa butter, but containing no other ingredients 1806.20.21 Chocolate ice cream mix or ice milk mix: Within access commitment * 1806.20.22 Chocolate ice cream mix or ice milk mix: Over access commitment * * 1806.20.90 Other 1806.31.00 Filled 1806.32.00 Not filled 1806.90.11 Chocolate ice cream mix or ice milk mix: Within access commitment * 1806.90.12 Chocolate ice cream mix or ice milk mix: Over access commitment * * 1806.90.90 Other 1901.10.10 Food preparations of flour, meal, starch or malt extract 1901.10.20 Food preparations of goods of headings 04.01 to 04.04 containing more than 10% on a dry weight basis of milk solids 1901.10.90 Other 1901.20.11 In packages of a weight not exceeding 11.34 kg each: Containing more than 25% by weight of butterfat, not put up for retail sale, within access commitment * 1901.20.12 In packages of a weight not exceeding 11.34 kg each:</w:t>
      </w:r>
    </w:p>
    <w:p>
      <w:pPr>
        <w:pStyle w:val="Normal"/>
      </w:pPr>
      <w:r>
        <w:t>Containing more than 25% by weight of butterfat, not put up for retail sale, over access commitment * * 1901.20.13 In packages of a weight not exceeding 11.34 kg each: Other, containing 25% or more by weight of wheat, within access commitment 1901.20.14 In packages of a weight not exceeding 11.34 kg each: Other, in packages of a weight not exceeding 454 g each, containing 25% or more by weight of wheat, over access</w:t>
      </w:r>
    </w:p>
    <w:p>
      <w:pPr>
        <w:pStyle w:val="Normal"/>
      </w:pPr>
      <w:r>
        <w:t>commitment; Frozen, for bread, buns, rolls and pizza crusts, in packages of a weight not exceeding 900 g each, containing 25% or more by weight of wheat, over access commitment 1901.20.15 In packages of a weight not exceeding 11.34 kg each: Other, containing 25% or more by weight of wheat, over access commitment 1901.20.19 In packages of a weight not exceeding 11.34 kg each: Other 1901.20.21 In bulk or in packages of a weight exceeding 11.34 kg each: Containing more than 25% by weight of butterfat, not put up for retail sale, within access commitment * 1901.20.22 In bulk or in packages of a weight exceeding 11.34 kg each: Containing more than 25% by weight of butterfat, not put up for retail sale, over access commitment * * 1901.20.23 In bulk or in packages of a weight exceeding 11.34 kg each: Other, containing 25% or more by weight of wheat, within access commitment 1901.20.24 In bulk or in packages of a weight exceeding 11.34 kg each:</w:t>
      </w:r>
    </w:p>
    <w:p>
      <w:pPr>
        <w:pStyle w:val="Normal"/>
      </w:pPr>
      <w:r>
        <w:t>Other, containing 25% or more by weight of wheat, over access commitment 1901.20.29 In bulk or in packages of a weight exceeding 11.34 kg each: Other 1901.90.11 Malt extract: Within access commitment 1901.90.12 Malt extract: Over access commitment 1901.90.20 Food preparations of flour, meal, starch or malt extract 1901.90.31 Food preparations of goods of headings 04.01 to 04.04, containing more than 10% but less than 50 % on a dry weight basis of milk solids: Ice cream mixes or ice milk mixes, within access commitment * * 1901.90.32 Food</w:t>
      </w:r>
    </w:p>
    <w:p>
      <w:pPr>
        <w:pStyle w:val="Normal"/>
      </w:pPr>
      <w:r>
        <w:t>preparations of goods of headings 04.01 to 04.04, containing more than 10% but less than 50 % on a dry weight basis of milk solids: Ice cream mixes or ice milk mixes, over access commitment * * 1901.90.33 Food preparations of goods of headings 04.01 to 04.04, containing more than 10% but less than 50 % on a dry weight basis of milk solids: Other, not put up for retail sale, within access commitment * * 1901.90.34 Food preparations of goods of headings 04.01 to 04.04, containing more than 10% but less than 50 % on a dry weight basis of milk solids: Other, not put up for retail sale, over access commitment * * 1901.90.39 Food preparations of goods of headings 04.01 to 04.04, containing more than 10% but less than 50 % on a dry weight basis of milk solids:</w:t>
      </w:r>
    </w:p>
    <w:p>
      <w:pPr>
        <w:pStyle w:val="Normal"/>
      </w:pPr>
      <w:r>
        <w:t>Other 1901.90.40 Food preparations of goods of headings 04.01 to 04.04, containing 10% or less on a dry weight basis of milk solids 1901.90.51 Food preparations of goods of headings 04.01 to 04.04, containing 50 % or more on a dry weight basis of milk solids: Ice cream mixes or ice milk mixes, within access commitment * * 1901.90.52 Food preparations of goods of headings 04.01 to 04.04, containing 50 % or more on a dry weight basis of milk solids: Ice cream mixes or ice milk mixes, over access commitment * * 1901.90.53 Food preparations of goods of headings 04.01 to 04.04, containing 50 % or more on a dry weight basis of milk solids: Other, not put up for retail sale, within access commitment * * 1901.90.54 Food preparations</w:t>
      </w:r>
    </w:p>
    <w:p>
      <w:pPr>
        <w:pStyle w:val="Normal"/>
      </w:pPr>
      <w:r>
        <w:t>of goods of headings 04.01 to 04.04, containing 50 % or more on a dry weight basis of milk solids: Other, not put up for retail sale, over access commitment * * 1901.90.59 Food preparations of goods of headings 04.01 to 04.04, containing 50 % or more on a dry weight basis of milk solids: Other 1902.11.10 Containing 25% or more by weight of wheat, within access commitment 1902.11.21 Containing 25% or more by weight of wheat, over access commitment: In packages of a weight not exceeding 2.3 kg each 1902.11.29 Containing 25% or more by weight of wheat, over access commitment: Other 1902.11.90 Other 1902.19.11 Low protein or protein-free pasta, certified by Health Canada as special low protein or protein-free dietary products: Containing 25% or more by weight of wheat, within access commitment 1902.19.12 Low protein or protein-free pasta, certified by Health Canada as special low protein or protein-free dietary products:</w:t>
      </w:r>
    </w:p>
    <w:p>
      <w:pPr>
        <w:pStyle w:val="Normal"/>
      </w:pPr>
      <w:r>
        <w:t>Containing 25% or more by weight of wheat, over access commitment 1902.19.19 Low protein or protein-free pasta, certified by Health Canada as special low protein or protein-free dietary products: Other 1902.19.21 Other, containing flour and water only: Containing 25% or more by weight of wheat, within access commitment 1902.19.22 Other, containing flour and water only: Containing 25% or more by weight of wheat, in packages of a weight not exceeding 2.3 kg each, over access commitment 1902.19.23 Other, containing flour and water only: Other, containing 25% or</w:t>
      </w:r>
    </w:p>
    <w:p>
      <w:pPr>
        <w:pStyle w:val="Normal"/>
      </w:pPr>
      <w:r>
        <w:t>more by weight of wheat, over access commitment 1902.19.29 Other, containing flour and water only: Other 1902.19.91 Other: Containing 25% or more by weight of wheat, within access commitment 1902.19.92 Other: Containing 25% or more by weight of wheat, in packages of a weight not exceeding 2.3 kg each, over access commitment 1902.19.93 Other: Other, containing 25% or more by weight of wheat, over access commitment 1902.19.99 Other: Other 1902.20.00 Stuffed pasta, whether or not cooked or otherwise prepared 1902.30.11 Low protein or protein-free pasta, without meat, certified by Health Canada as special low protein or protein-free dietary products: Containing 25% or more by weight of wheat, within access commitment 1902.30.12 Low protein or protein-free pasta, without meat, certified by Health Canada as special low protein or protein-free dietary products: Containing 25% or more by weight of wheat, over access commitment 1902.30.19 Low protein or protein-free pasta, without meat, certified by Health Canada as special low protein or protein-free dietary products:</w:t>
      </w:r>
    </w:p>
    <w:p>
      <w:pPr>
        <w:pStyle w:val="Normal"/>
      </w:pPr>
      <w:r>
        <w:t>Other 1902.30.20 Other, containing 25% or more by weight of wheat, without meat, within access commitment 1902.30.31 Other, containing 25% or more by weight of wheat, without meat, over access commitment: In packages of a weight not exceeding 2.3 kg each 1902.30.39 Other, containing 25% or more by weight of wheat, without meat, over access commitment: Other 1902.30.40 Other, without meat 1902.30.50 With meat 1902.40.10</w:t>
      </w:r>
    </w:p>
    <w:p>
      <w:pPr>
        <w:pStyle w:val="Normal"/>
      </w:pPr>
      <w:r>
        <w:t>In packages of a weight not exceeding 11.34 kg each 1902.40.20 In bulk or in packages of a weight exceeding 11.34 kg each 1903.00.00 Tapioca and substitutes therefor prepared from starch, in the form of flakes, grains, pearls, siftings or in similar forms. 1904.10.10 Containing 25% or more by weight of wheat, within access commitment 1904.10.21 Containing 25% or more by weight of wheat, over access commitment: In packages of a weight not exceeding 454 g each 1904.10.29 Containing 25% or more by weight of wheat, over access commitment: Other 1904.10.30 Of barley, within access commitment 1904.10.41 Of barley, over access commitment: Breakfast cereals, in packages of a weight not exceeding 454 g each 1904.10.49 Of barley, over access commitment: Other 1904.10.90 Other 1904.20.10 Containing 25% or more by weight of wheat, in packages of a weight not exceeding 11.34 kg each, within access commitment 1904.20.21 Containing 25% or more by weight of wheat, in packages of a weight not exceeding 11.34 kg each, over access commitment:</w:t>
      </w:r>
    </w:p>
    <w:p>
      <w:pPr>
        <w:pStyle w:val="Normal"/>
      </w:pPr>
      <w:r>
        <w:t>In packages of a weight not exceeding 454 g each 1904.20.29 Containing 25% or more by weight of wheat, in packages of a weight not exceeding 11.34 kg each, over access commitment: Other 1904.20.30 Of barley, in packages of a weight not exceeding 11.34 kg each, within access commitment 1904.20.41 Of barley, in packages of a weight not exceeding 11.34 kg each, over access commitment: Breakfast cereals, in packages of a weight not exceeding 454 g each</w:t>
      </w:r>
    </w:p>
    <w:p>
      <w:pPr>
        <w:pStyle w:val="Normal"/>
      </w:pPr>
      <w:r>
        <w:t>1904.20.49 Of barley, in packages of a weight not exceeding 11.34 kg each, over access commitment: Other 1904.20.50 Other, in packages of a weight not exceeding 11.34 kg each 1904.20.61 In bulk or in packages of a weight exceeding 11.34 kg each: Containing 25% or more by weight of wheat, within access commitment 1904.20.62 In bulk or in packages of a weight exceeding 11.34 kg each: Containing 25% or more by weight of wheat, over access commitment 1904.20.63 In bulk or in packages of a weight exceeding 11.34 kg each: Of barley, within access commitment 1904.20.64 In bulk or in packages of a weight exceeding 11.34 kg each: Of barley, over access commitment 1904.20.69 In bulk or in packages of a weight exceeding 11.34 kg each: Other 1904.30.10 Containing 25% or more by weight of wheat, in packages of a weight not exceeding 11.34 kg each, within access commitment 1904.30.21 Containing 25% or more by weight of wheat, in packages of a weight not exceeding 11.34 kg each, over access commitment:</w:t>
      </w:r>
    </w:p>
    <w:p>
      <w:pPr>
        <w:pStyle w:val="Normal"/>
      </w:pPr>
      <w:r>
        <w:t>In packages of a weight not exceeding 454 g each 1904.30.29 Containing 25% or more by weight of wheat, in packages of a weight not exceeding 11.34 kg each, over access commitment: Other 1904.30.50 Other, in packages of a weight not exceeding 11.34 kg each 1904.30.61 In bulk or in packages of a weight exceeding 11.34 kg each: Containing 25% or more by weight of wheat, within access commitment 1904.30.62 In bulk or in packages of a weight exceeding 11.34 kg each: Containing 25% or more by</w:t>
      </w:r>
    </w:p>
    <w:p>
      <w:pPr>
        <w:pStyle w:val="Normal"/>
      </w:pPr>
      <w:r>
        <w:t>weight of wheat, over access commitment 1904.30.69 In bulk or in packages of a weight exceeding 11.34 kg each: Other 1904.90.10 Containing 25% or more by weight of wheat, in packages of a weight not exceeding 11.34 kg each, within access commitment 1904.90.21 Containing 25% or more by weight of wheat, in packages of a weight not exceeding 11.34 kg each, over access commitment: In packages of a weight not exceeding 454 g each 1904.90.29 Containing 25% or more by weight of wheat, in packages of a weight not exceeding 11.34 kg each, over access commitment: Other 1904.90.30 Of barley, in packages of a weight not exceeding 11.34 kg each, within access commitment 1904.90.40 Of barley, in packages of a weight not exceeding 11.34 kg each, over access commitment 1904.90.50 Other, in packages of a weight not exceeding 11.34 kg each 1904.90.61 In bulk or in packages of a weight exceeding 11.34 kg each: Containing 25% or more by weight of wheat, within access commitment 1904.90.62 In bulk or in packages of a weight exceeding 11.34 kg each:</w:t>
      </w:r>
    </w:p>
    <w:p>
      <w:pPr>
        <w:pStyle w:val="Normal"/>
      </w:pPr>
      <w:r>
        <w:t>Containing 25% or more by weight of wheat, over access commitment 1904.90.63 In bulk or in packages of a weight exceeding 11.34 kg each: Of barley, within access commitment 1904.90.64 In bulk or in packages of a weight exceeding 11.34 kg each: Of barley, over access commitment 1904.90.69 In bulk or in packages of a weight exceeding 11.34 kg each: Other 1905.10.10 Leavened with yeast, containing 25% or more by weight of wheat, within access commitment</w:t>
      </w:r>
    </w:p>
    <w:p>
      <w:pPr>
        <w:pStyle w:val="Normal"/>
      </w:pPr>
      <w:r>
        <w:t>1905.10.21 Leavened with yeast, containing 25% or more by weight of wheat, over access commitment: In packages of a weight not exceeding 454 g each 1905.10.29 Leavened with yeast, containing 25% or more by weight of wheat, over access commitment: Other 1905.10.30 Other, leavened with yeast 1905.10.40 Not leavened with yeast, in packages of a weight not exceeding 11.34 kg each, containing 25% or more by weight of wheat, within access commitment 1905.10.51 Not leavened with yeast, in packages of a weight not exceeding 11.34 kg each, containing 25% or more by weight of wheat, over access commitment: In packages of a weight not exceeding 454 g each 1905.10.59 Not leavened with yeast, in packages of a weight not exceeding 11.34 kg each, containing 25% or more by weight of wheat, over access commitment: Other 1905.10.60 Other, not leavened with yeast, in packages of a weight not exceeding 11.34 kg each 1905.10.71 Other, not leavened with yeast, in bulk or in packages of a weight exceeding 11.34 kg each:</w:t>
      </w:r>
    </w:p>
    <w:p>
      <w:pPr>
        <w:pStyle w:val="Normal"/>
      </w:pPr>
      <w:r>
        <w:t>Containing 25% or more by weight of wheat, within access commitment 1905.10.72 Other, not leavened with yeast, in bulk or in packages of a weight exceeding 11.34 kg each: Containing 25% or more by weight of wheat, over access commitment 1905.10.79 Other, not leavened with yeast, in bulk or in packages of a weight exceeding 11.34 kg each: Other 1905.20.00 Gingerbread and the like 1905.31.10 Certified by Health Canada as special low protein or protein-free products 1905.31.21 Other</w:t>
      </w:r>
    </w:p>
    <w:p>
      <w:pPr>
        <w:pStyle w:val="Normal"/>
      </w:pPr>
      <w:r>
        <w:t>biscuits valued at 44¢/kg or more, said value to be based on the net weight and to include the value of the usual retail package: Containing 25% or more by weight of wheat, within access commitment 1905.31.22 Other biscuits valued at not less than 44¢/kg, said value to be based on the net weight and to include the value of the usual retail package: Containing 25% or more by weight of wheat, in packages of a weight not exceeding 1.36 kg each, over access commitment 1905.31.23 Other biscuits valued at not less than 44¢/kg, said value to be based on the net weight and to include the value of the usual retail package: Containing 25% or more by weight of wheat, over access commitment 1905.31.29 Other biscuits valued at not less than 44¢/kg, said value to be based on the net weight and to include the value of the usual retail package: Other 1905.31.91 Other: Containing 25% or more by weight of wheat, within access commitment 1905.31.92 Other:</w:t>
      </w:r>
    </w:p>
    <w:p>
      <w:pPr>
        <w:pStyle w:val="Normal"/>
      </w:pPr>
      <w:r>
        <w:t>Sweet biscuits containing 25% or more by weight of wheat, in packages of a weight not exceeding 1.36 kg each, over access commitment 1905.31.93 Other: Other, containing 25% or more by weight of wheat, over access commitment 1905.31.99 Other: Other 1905.32.10 Certified by Health Canada as special low protein or protein-free products 1905.32.91 Other: Containing 25% or more by weight of wheat, within access commitment 1905.32.92 Other: Wafers and frozen waffles containing 25% or more by weight of wheat, in packages of a weight not exceeding 454</w:t>
      </w:r>
    </w:p>
    <w:p>
      <w:pPr>
        <w:pStyle w:val="Normal"/>
      </w:pPr>
      <w:r>
        <w:t>g each, over access commitment 1905.32.93 Other: Other, containing 25% or more by weight of wheat, over access commitment 1905.32.99 Other: Other 1905.40.10 Special dietary, as defined under regulations of Health Canada 1905.40.20 Other, leavened with yeast, containing 25% or more by weight of wheat, within access commitment 1905.40.31 Other, leavened with yeast, containing 25% or more by weight of wheat, over access commitment: In packages of a weight not exceeding 454 g each 1905.40.39 Other, leavened with yeast, containing 25% or more by weight of wheat, over access commitment: Other 1905.40.40 Other, leavened with yeast 1905.40.50 Other, not leavened with yeast, containing 25% or more by weight of wheat, within access commitment 1905.40.61 Other, not leavened with yeast, containing 25% or more by weight of wheat, over access commitment: In packages of a weight not exceeding 454 g each 1905.40.69 Other, not leavened with yeast, containing 25% or more by weight of wheat, over access commitment: Other 1905.40.90 Other 1905.90.10 Special dietary biscuits as defined under regulations of Health Canada;</w:t>
      </w:r>
    </w:p>
    <w:p>
      <w:pPr>
        <w:pStyle w:val="Normal"/>
      </w:pPr>
      <w:r>
        <w:t>Low protein or protein-free biscuits certified by Health Canada as special low protein or protein-free products 1905.90.20 Bread, leavened with yeast; Unleavened bread for sacramental purposes and communion wafers 1905.90.31 Other bread: Containing 25% or more by weight of wheat, in packages of a weight not exceeding 11.34 kg each, within access commitment 1905.90.32 Other</w:t>
      </w:r>
    </w:p>
    <w:p>
      <w:pPr>
        <w:pStyle w:val="Normal"/>
      </w:pPr>
      <w:r>
        <w:t>bread: Fresh bread, buns and rolls, in packages of a weight not exceeding 1.36 kg each, or other bread in packages of a weight not exceeding 454 g each, containing 25% or more by weight of wheat, over access commitment 1905.90.33 Other bread: Other, containing 25% or more by weight of wheat, in packages of a weight not exceeding 11.34 kg each, over access commitment 1905.90.34 Other bread: Containing 25% or more by weight of wheat, in bulk or in packages of a weight exceeding 11.34 kg each, within access commitment 1905.90.35 Other bread: Containing 25% or more by weight of wheat, in bulk or in packages of a weight exceeding 11.34 kg each, over access commitment 1905.90.39 Other bread: Other 1905.90.41 Other biscuits: Containing 25% or more by weight of wheat, valued at 44¢/kg or more, said value to be based on the net weight and to include the value of the usual retail package, within access commitment 1905.90.42 Other biscuits: Other, containing 25% or more by weight of wheat, within access commitment 1905.90.43 Other biscuits:</w:t>
      </w:r>
    </w:p>
    <w:p>
      <w:pPr>
        <w:pStyle w:val="Normal"/>
      </w:pPr>
      <w:r>
        <w:t>Containing 25% or more by weight of wheat, in packages of a weight not exceeding 1.36 kg each, over access commitment 1905.90.44 Other biscuits: Other, containing 25% or more by weight of wheat, valued at 44¢/kg or more, said value to be based on the net weight and to include the value of the usual retail package, over access commitment 1905.90.45 Other biscuits: Other, containing 25% or more by weight of wheat, over access commitment 1905.90.49</w:t>
      </w:r>
    </w:p>
    <w:p>
      <w:pPr>
        <w:pStyle w:val="Normal"/>
      </w:pPr>
      <w:r>
        <w:t>Other biscuits Other 1905.90.51 Pizza and quiche; pastries, pies, puddings and cakes, including sweet products leavened with yeast; bakery products made without flour: Pizza and quiche 1905.90.59 Pizza and quiche; pastries, pies, puddings and cakes, including sweet products leavened with yeast; bakery products made without flour: Other 1905.90.61 Pretzels: Containing 25% or more by weight of wheat, within access commitment 1905.90.62 Pretzels: Containing 25% or more by weight of wheat, in packages of a weight not exceeding 1.36 kg each, over access commitment 1905.90.63 Pretzels: Containing 25% or more by weight of wheat, in packages of a weight exceeding 1.36 kg each, over access commitment 1905.90.69 Pretzels: Other 1905.90.71 Empty cachets of a kind suitable for pharmaceutical use, sealing wafers, rice paper and cheese sticks: In packages of a weight not exceeding 11.34 kg each 1905.90.72 Empty cachets of a kind suitable for pharmaceutical use, sealing wafers, rice paper and cheese sticks:</w:t>
      </w:r>
    </w:p>
    <w:p>
      <w:pPr>
        <w:pStyle w:val="Normal"/>
      </w:pPr>
      <w:r>
        <w:t>In bulk or in packages of a weight exceeding 11.34 kg each</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1905.90.90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Cucumbers and gherkins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2001.90.10</w:t>
            </w:r>
          </w:p>
        </w:tc>
        <w:tc>
          <w:tcPr>
            <w:tcW w:w="4679" w:type="dxa"/>
            <w:tcMar>
              <w:top w:w="70" w:type="dxa"/>
              <w:start w:w="110" w:type="dxa"/>
              <w:bottom w:w="70" w:type="dxa"/>
              <w:end w:w="110" w:type="dxa"/>
            </w:tcMar>
            <w:vAlign w:val="center"/>
          </w:tcPr>
          <w:p>
            <w:pPr>
              <w:pStyle w:val="TableText"/>
              <w:jc w:val="left"/>
            </w:pPr>
            <w:r>
              <w:rPr>
                <w:lang w:val="en-US" w:eastAsia="en-US" w:bidi="ar-SA"/>
              </w:rPr>
              <w:t>Onions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2001.90.90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2002.10.00</w:t>
            </w:r>
          </w:p>
        </w:tc>
        <w:tc>
          <w:tcPr>
            <w:tcW w:w="4679" w:type="dxa"/>
            <w:tcMar>
              <w:top w:w="70" w:type="dxa"/>
              <w:start w:w="110" w:type="dxa"/>
              <w:bottom w:w="70" w:type="dxa"/>
              <w:end w:w="110" w:type="dxa"/>
            </w:tcMar>
            <w:vAlign w:val="center"/>
          </w:tcPr>
          <w:p>
            <w:pPr>
              <w:pStyle w:val="TableText"/>
              <w:jc w:val="left"/>
            </w:pPr>
            <w:r>
              <w:rPr>
                <w:lang w:val="en-US" w:eastAsia="en-US" w:bidi="ar-SA"/>
              </w:rPr>
              <w:t>Tomatoes, whole or in pieces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2003.10.00</w:t>
            </w:r>
          </w:p>
        </w:tc>
        <w:tc>
          <w:tcPr>
            <w:tcW w:w="4679" w:type="dxa"/>
            <w:tcMar>
              <w:top w:w="70" w:type="dxa"/>
              <w:start w:w="110" w:type="dxa"/>
              <w:bottom w:w="70" w:type="dxa"/>
              <w:end w:w="110" w:type="dxa"/>
            </w:tcMar>
            <w:vAlign w:val="center"/>
          </w:tcPr>
          <w:p>
            <w:pPr>
              <w:pStyle w:val="TableText"/>
              <w:jc w:val="left"/>
            </w:pPr>
            <w:r>
              <w:rPr>
                <w:lang w:val="en-US" w:eastAsia="en-US" w:bidi="ar-SA"/>
              </w:rPr>
              <w:t>Mushrooms of the genus Agaricus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2003.90.10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Truffles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2003.90.90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Potatoes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2004.90.11</w:t>
            </w:r>
          </w:p>
        </w:tc>
        <w:tc>
          <w:tcPr>
            <w:tcW w:w="4679" w:type="dxa"/>
            <w:tcMar>
              <w:top w:w="70" w:type="dxa"/>
              <w:start w:w="110" w:type="dxa"/>
              <w:bottom w:w="70" w:type="dxa"/>
              <w:end w:w="110" w:type="dxa"/>
            </w:tcMar>
            <w:vAlign w:val="center"/>
          </w:tcPr>
          <w:p>
            <w:pPr>
              <w:pStyle w:val="TableText"/>
              <w:jc w:val="left"/>
            </w:pPr>
            <w:r>
              <w:rPr>
                <w:lang w:val="en-US" w:eastAsia="en-US" w:bidi="ar-SA"/>
              </w:rPr>
              <w:t>Baby carrots (of a length not exceeding 11 cm) and Brussels sprouts: Baby carrots (of a length not exceeding 11 cm)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2004.90.12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Baby carrots (of a length not exceeding 11 cm) and</w:t>
            </w:r>
          </w:p>
        </w:tc>
      </w:tr>
    </w:tbl>
    <w:p>
      <w:pPr>
        <w:pStyle w:val="Normal"/>
      </w:pPr>
      <w:r>
        <w:t>Brussels sprouts: Brussels sprouts 2004.90.20 Asparagus 2004.90.30 Broccoli and cauliflowers 2004.90.91 Other: Artichokes (globe or Chinese), bamboo shoots, cactus leaves (nopales), cardoons, chickpeas (garbanzos), cilantro (Chinese or Mexican parsley or Yen Sai), jicama, leaf chervils, malanga, okra, peas (Angola, catjang, no-eye, pigeon), spinach, tamarillos (tree tomatoes), tarragons, tomatillos, topedos and verdolagas 2004.90.99 Other: Other 2005.10.00 Homogenized vegetables 2005.20.00 Potatoes 2005.40.00 Peas (Pisum sativum) 2005.51.10 Red bean paste for use in the manufacture of food products 2005.51.90 Other 2005.59.00 Other 2005.60.00 Asparagus 2005.70.10 Olives sulphured or in brine but not in glass jars; Ripe olives in brine 2005.70.90 Other 2005.80.00 Sweet corn (Zea mays var. saccharata) 2005.91.00 Bamboo shoots 2005.99.11 Carrots: Baby carrots (of a length not exceeding 11 cm), in cans or glass jars 2005.99.19 Carrots: Other 2005.99.20 Artichokes (globe or Chinese), cactus leaves (nopales), cardoons, chickpeas (garbanzos), cilantro (Chinese or Mexican parsley or Yen Sai), jicama, leaf chervils, malanga, okra, peas (Angola, catjang, no-eye, pigeon), spinach, tamarillos (tree tomatoes), tarragons, tomatillos, topedos, verdolagas and water chestnuts 2005.99.90 Other 2006.00.10 Fruit; Fruit-peel 2006.00.20 Nuts 2006.00.90 Other 2007.10.00 Homogenized preparations 2007.91.00 Citrus fruit 2007.99.10 Strawberry jam 2007.99.20 Banana purée 2007.99.90 Other 2008.11.10</w:t>
      </w:r>
    </w:p>
    <w:p>
      <w:pPr>
        <w:pStyle w:val="Normal"/>
      </w:pPr>
      <w:r>
        <w:t>Peanut butter 2008.11.20 Peanuts, blanched 2008.11.90 Other 2008.19.10 Almonds and pistachio nuts 2008.19.90 Other 2008.20.00 Pineapples 2008.30.00 Citrus fruit 2008.40.10 Pulp 2008.40.20 Chips 2008.40.90 Other 2008.50.10 Pulp 2008.50.90 Other 2008.60.10 Pulp 2008.60.90 Other 2008.70.10 Pulp 2008.70.90 Other 2008.80.00 Strawberries 2008.91.00 Palm hearts 2008.93.00 Cranberries (Vaccinium macrocarpon, Vaccinium oxycoccos, Vaccinium vitis-idaea) 2008.97.10 Consisting of two or more of akalas, akees, anchovy pears, apple- pears, avocados, bananas, bread fruit, carambolas, chayotes, cherimoyas (Jamaica apples), citrus fruit, dasheens (taros), dates, durians, feijoas, figs, fu quas (balsam pears), genipes, ginger, guavas, imbus, jujubes, kiwi fruit, lady apples, litchis (lychees), loquats, magueys, mammees (mammeas), mangoes, mangosteens, manioc (cassava or yucca root), papaws (papayas), passion fruit, pawpaws, persimmons, pineapples, plantains, plumcots, prickly pears, pomegranates, quinces, rangpurs, sapatas, star-apples, sweet potatoes, tamarinds, tangelos, uglifruit, watermelons or yams 2008.97.90 Other 2008.99.10 Apple chips 2008.99.20 Apples, other than pulp 2008.99.30 Akalas, akees, anchovy pears, apple-pears, avocados, bananas, banana chips (thin banana slices fried or otherwise prepared whether or not salted, sweetened or otherwise flavoured), bread fruit, carambolas, chayotes, cherimoyas (Jamaica apples), dasheens (taros), dates, durians, feijoas, figs, fu quas (balsam</w:t>
      </w:r>
    </w:p>
    <w:p>
      <w:pPr>
        <w:pStyle w:val="Normal"/>
      </w:pPr>
      <w:r>
        <w:t>pears), genipes, ginger, guavas, imbus, jujubes, kiwi fruit, lady apples, litchis (lychees), loquats, magueys, mammees (mammeas), mangoes, mangosteens, manioc (cassava or yucca root), papaws (papayas), passion fruit, pawpaws, persimmons, plantains, plumcots, prickly pears, pomegranates, quinces, raisins, rangpurs, sapatas, star-apples, sweet potatoes, tamarinds, tangelos, Thompson seedless grapes, uglifruit, watermelons and yams 2008.99.40 Melons of the genus cucumis melo, cubes, in syrup 2008.99.90 Other 2009.11.10 Unsweetened concentrate, of a Brix value not less than 58, for use in the manufacture of citrus fruit juices or beverages 2009.11.90 Other 2009.12.00 Not frozen, of a Brix value not exceeding 20 2009.19.10 Dehydrated;</w:t>
      </w:r>
    </w:p>
    <w:p>
      <w:pPr>
        <w:pStyle w:val="Normal"/>
      </w:pPr>
      <w:r>
        <w:t>Unsweetened concentrate, of a Brix value not less than 58, for use in the manufacture of citrus fruit juices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2009.19.90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Brix value not exceeding 20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Brix value not exceeding 20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Brix value not exceeding 20</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Tomato juice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2009.61.10</w:t>
            </w:r>
          </w:p>
        </w:tc>
        <w:tc>
          <w:tcPr>
            <w:tcW w:w="4679" w:type="dxa"/>
            <w:tcMar>
              <w:top w:w="70" w:type="dxa"/>
              <w:start w:w="110" w:type="dxa"/>
              <w:bottom w:w="70" w:type="dxa"/>
              <w:end w:w="110" w:type="dxa"/>
            </w:tcMar>
            <w:vAlign w:val="center"/>
          </w:tcPr>
          <w:p>
            <w:pPr>
              <w:pStyle w:val="TableText"/>
              <w:jc w:val="left"/>
            </w:pPr>
            <w:r>
              <w:rPr>
                <w:lang w:val="en-US" w:eastAsia="en-US" w:bidi="ar-SA"/>
              </w:rPr>
              <w:t>Grape juice for wine-making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2009.61.90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2009.69.10</w:t>
            </w:r>
          </w:p>
        </w:tc>
        <w:tc>
          <w:tcPr>
            <w:tcW w:w="4679" w:type="dxa"/>
            <w:tcMar>
              <w:top w:w="70" w:type="dxa"/>
              <w:start w:w="110" w:type="dxa"/>
              <w:bottom w:w="70" w:type="dxa"/>
              <w:end w:w="110" w:type="dxa"/>
            </w:tcMar>
            <w:vAlign w:val="center"/>
          </w:tcPr>
          <w:p>
            <w:pPr>
              <w:pStyle w:val="TableText"/>
              <w:jc w:val="left"/>
            </w:pPr>
            <w:r>
              <w:rPr>
                <w:lang w:val="en-US" w:eastAsia="en-US" w:bidi="ar-SA"/>
              </w:rPr>
              <w:t>Grape concentrate, of a Brix value not less than 68, for use in the manufacture of fruit juices or beverages; Grape juice for wine-making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2009.69.90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2009.71.10</w:t>
            </w:r>
          </w:p>
        </w:tc>
        <w:tc>
          <w:tcPr>
            <w:tcW w:w="4679" w:type="dxa"/>
            <w:tcMar>
              <w:top w:w="70" w:type="dxa"/>
              <w:start w:w="110" w:type="dxa"/>
              <w:bottom w:w="70" w:type="dxa"/>
              <w:end w:w="110" w:type="dxa"/>
            </w:tcMar>
            <w:vAlign w:val="center"/>
          </w:tcPr>
          <w:p>
            <w:pPr>
              <w:pStyle w:val="TableText"/>
              <w:jc w:val="left"/>
            </w:pPr>
            <w:r>
              <w:rPr>
                <w:lang w:val="en-US" w:eastAsia="en-US" w:bidi="ar-SA"/>
              </w:rPr>
              <w:t>Reconstituted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2009.71.90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2009.79.11</w:t>
            </w:r>
          </w:p>
        </w:tc>
        <w:tc>
          <w:tcPr>
            <w:tcW w:w="4679" w:type="dxa"/>
            <w:tcMar>
              <w:top w:w="70" w:type="dxa"/>
              <w:start w:w="110" w:type="dxa"/>
              <w:bottom w:w="70" w:type="dxa"/>
              <w:end w:w="110" w:type="dxa"/>
            </w:tcMar>
            <w:vAlign w:val="center"/>
          </w:tcPr>
          <w:p>
            <w:pPr>
              <w:pStyle w:val="TableText"/>
              <w:jc w:val="left"/>
            </w:pPr>
            <w:r>
              <w:rPr>
                <w:lang w:val="en-US" w:eastAsia="en-US" w:bidi="ar-SA"/>
              </w:rPr>
              <w:t>Concentrated: For use in the manufacture of fruit juices, juice beverages or fruit snack products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2009.79.19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Concentrated: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2009.79.90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2009.81.00</w:t>
            </w:r>
          </w:p>
        </w:tc>
        <w:tc>
          <w:tcPr>
            <w:tcW w:w="4679" w:type="dxa"/>
            <w:tcMar>
              <w:top w:w="70" w:type="dxa"/>
              <w:start w:w="110" w:type="dxa"/>
              <w:bottom w:w="70" w:type="dxa"/>
              <w:end w:w="110" w:type="dxa"/>
            </w:tcMar>
            <w:vAlign w:val="center"/>
          </w:tcPr>
          <w:p>
            <w:pPr>
              <w:pStyle w:val="TableText"/>
              <w:jc w:val="left"/>
            </w:pPr>
            <w:r>
              <w:rPr>
                <w:lang w:val="en-US" w:eastAsia="en-US" w:bidi="ar-SA"/>
              </w:rPr>
              <w:t>Cranberry (Vaccinium macrocarpon, Vaccinium oxycoccos, Vaccinium vitis-idaea) juice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2009.89.10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fruit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2009.89.20</w:t>
            </w:r>
          </w:p>
        </w:tc>
        <w:tc>
          <w:tcPr>
            <w:tcW w:w="4679" w:type="dxa"/>
            <w:tcMar>
              <w:top w:w="70" w:type="dxa"/>
              <w:start w:w="110" w:type="dxa"/>
              <w:bottom w:w="70" w:type="dxa"/>
              <w:end w:w="110" w:type="dxa"/>
            </w:tcMar>
            <w:vAlign w:val="center"/>
          </w:tcPr>
          <w:p>
            <w:pPr>
              <w:pStyle w:val="TableText"/>
              <w:jc w:val="left"/>
            </w:pPr>
            <w:r>
              <w:rPr>
                <w:lang w:val="en-US" w:eastAsia="en-US" w:bidi="ar-SA"/>
              </w:rPr>
              <w:t>Of a vegetable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citrus fruit juices, dehydrated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2009.90.20</w:t>
            </w:r>
          </w:p>
        </w:tc>
        <w:tc>
          <w:tcPr>
            <w:tcW w:w="4679" w:type="dxa"/>
            <w:tcMar>
              <w:top w:w="70" w:type="dxa"/>
              <w:start w:w="110" w:type="dxa"/>
              <w:bottom w:w="70" w:type="dxa"/>
              <w:end w:w="110" w:type="dxa"/>
            </w:tcMar>
            <w:vAlign w:val="center"/>
          </w:tcPr>
          <w:p>
            <w:pPr>
              <w:pStyle w:val="TableText"/>
              <w:jc w:val="left"/>
            </w:pPr>
            <w:r>
              <w:rPr>
                <w:lang w:val="en-US" w:eastAsia="en-US" w:bidi="ar-SA"/>
              </w:rPr>
              <w:t>Of orange and grapefruit juices, other than dehydrated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2009.90.30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fruit juices, whether or not dehydrated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2009.90.40</w:t>
            </w:r>
          </w:p>
        </w:tc>
        <w:tc>
          <w:tcPr>
            <w:tcW w:w="4679" w:type="dxa"/>
            <w:tcMar>
              <w:top w:w="70" w:type="dxa"/>
              <w:start w:w="110" w:type="dxa"/>
              <w:bottom w:w="70" w:type="dxa"/>
              <w:end w:w="110" w:type="dxa"/>
            </w:tcMar>
            <w:vAlign w:val="center"/>
          </w:tcPr>
          <w:p>
            <w:pPr>
              <w:pStyle w:val="TableText"/>
              <w:jc w:val="left"/>
            </w:pPr>
            <w:r>
              <w:rPr>
                <w:lang w:val="en-US" w:eastAsia="en-US" w:bidi="ar-SA"/>
              </w:rPr>
              <w:t>Of vegetable juices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2101.11.10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Instant coffee, not flavoured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2101.11.90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2101.12.00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Preparations with a basis of extracts, essences or concentrates or with a basis of coffee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2101.20.00</w:t>
            </w:r>
          </w:p>
        </w:tc>
        <w:tc>
          <w:tcPr>
            <w:tcW w:w="4679" w:type="dxa"/>
            <w:tcMar>
              <w:top w:w="70" w:type="dxa"/>
              <w:start w:w="110" w:type="dxa"/>
              <w:bottom w:w="70" w:type="dxa"/>
              <w:end w:w="110" w:type="dxa"/>
            </w:tcMar>
            <w:vAlign w:val="center"/>
          </w:tcPr>
          <w:p>
            <w:pPr>
              <w:pStyle w:val="TableText"/>
              <w:jc w:val="left"/>
            </w:pPr>
            <w:r>
              <w:rPr>
                <w:lang w:val="en-US" w:eastAsia="en-US" w:bidi="ar-SA"/>
              </w:rPr>
              <w:t>Extracts, essences and concentrates, of tea or maté, and preparations with a basis of these extracts, essences or concentrates or with a basis of tea or maté</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2101.30.00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Roasted chicory and other roasted coffee substitutes, and extracts, essences and concentrates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2102.10.00</w:t>
            </w:r>
          </w:p>
        </w:tc>
        <w:tc>
          <w:tcPr>
            <w:tcW w:w="4679" w:type="dxa"/>
            <w:tcMar>
              <w:top w:w="70" w:type="dxa"/>
              <w:start w:w="110" w:type="dxa"/>
              <w:bottom w:w="70" w:type="dxa"/>
              <w:end w:w="110" w:type="dxa"/>
            </w:tcMar>
            <w:vAlign w:val="center"/>
          </w:tcPr>
          <w:p>
            <w:pPr>
              <w:pStyle w:val="TableText"/>
              <w:jc w:val="left"/>
            </w:pPr>
            <w:r>
              <w:rPr>
                <w:lang w:val="en-US" w:eastAsia="en-US" w:bidi="ar-SA"/>
              </w:rPr>
              <w:t>Active yeasts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Inactive yeasts; other single-cell micro-organisms, dead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2102.30.00</w:t>
            </w:r>
          </w:p>
        </w:tc>
        <w:tc>
          <w:tcPr>
            <w:tcW w:w="4679" w:type="dxa"/>
            <w:tcMar>
              <w:top w:w="70" w:type="dxa"/>
              <w:start w:w="110" w:type="dxa"/>
              <w:bottom w:w="70" w:type="dxa"/>
              <w:end w:w="110" w:type="dxa"/>
            </w:tcMar>
            <w:vAlign w:val="center"/>
          </w:tcPr>
          <w:p>
            <w:pPr>
              <w:pStyle w:val="TableText"/>
              <w:jc w:val="left"/>
            </w:pPr>
            <w:r>
              <w:rPr>
                <w:lang w:val="en-US" w:eastAsia="en-US" w:bidi="ar-SA"/>
              </w:rPr>
              <w:t>Prepared baking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Soya sauce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2103.20.10</w:t>
            </w:r>
          </w:p>
        </w:tc>
        <w:tc>
          <w:tcPr>
            <w:tcW w:w="4679" w:type="dxa"/>
            <w:tcMar>
              <w:top w:w="70" w:type="dxa"/>
              <w:start w:w="110" w:type="dxa"/>
              <w:bottom w:w="70" w:type="dxa"/>
              <w:end w:w="110" w:type="dxa"/>
            </w:tcMar>
            <w:vAlign w:val="center"/>
          </w:tcPr>
          <w:p>
            <w:pPr>
              <w:pStyle w:val="TableText"/>
              <w:jc w:val="left"/>
            </w:pPr>
            <w:r>
              <w:rPr>
                <w:lang w:val="en-US" w:eastAsia="en-US" w:bidi="ar-SA"/>
              </w:rPr>
              <w:t>Tomato ketchup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2103.20.90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2103.30.10</w:t>
            </w:r>
          </w:p>
        </w:tc>
        <w:tc>
          <w:tcPr>
            <w:tcW w:w="4679" w:type="dxa"/>
            <w:tcMar>
              <w:top w:w="70" w:type="dxa"/>
              <w:start w:w="110" w:type="dxa"/>
              <w:bottom w:w="70" w:type="dxa"/>
              <w:end w:w="110" w:type="dxa"/>
            </w:tcMar>
            <w:vAlign w:val="center"/>
          </w:tcPr>
          <w:p>
            <w:pPr>
              <w:pStyle w:val="TableText"/>
              <w:jc w:val="left"/>
            </w:pPr>
            <w:r>
              <w:rPr>
                <w:lang w:val="en-US" w:eastAsia="en-US" w:bidi="ar-SA"/>
              </w:rPr>
              <w:t>Mustard flour and meal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2103.30.20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Prepared mustard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2103.90.10</w:t>
            </w:r>
          </w:p>
        </w:tc>
        <w:tc>
          <w:tcPr>
            <w:tcW w:w="4679" w:type="dxa"/>
            <w:tcMar>
              <w:top w:w="70" w:type="dxa"/>
              <w:start w:w="110" w:type="dxa"/>
              <w:bottom w:w="70" w:type="dxa"/>
              <w:end w:w="110" w:type="dxa"/>
            </w:tcMar>
            <w:vAlign w:val="center"/>
          </w:tcPr>
          <w:p>
            <w:pPr>
              <w:pStyle w:val="TableText"/>
              <w:jc w:val="left"/>
            </w:pPr>
            <w:r>
              <w:rPr>
                <w:lang w:val="en-US" w:eastAsia="en-US" w:bidi="ar-SA"/>
              </w:rPr>
              <w:t>Mayonnaise and salad dressing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2103.90.20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Mixed condiments and mixed seasonings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2103.90.90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Soups and broths and preparations therefor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2104.20.00</w:t>
            </w:r>
          </w:p>
        </w:tc>
        <w:tc>
          <w:tcPr>
            <w:tcW w:w="4679" w:type="dxa"/>
            <w:tcMar>
              <w:top w:w="70" w:type="dxa"/>
              <w:start w:w="110" w:type="dxa"/>
              <w:bottom w:w="70" w:type="dxa"/>
              <w:end w:w="110" w:type="dxa"/>
            </w:tcMar>
            <w:vAlign w:val="center"/>
          </w:tcPr>
          <w:p>
            <w:pPr>
              <w:pStyle w:val="TableText"/>
              <w:jc w:val="left"/>
            </w:pPr>
            <w:r>
              <w:rPr>
                <w:lang w:val="en-US" w:eastAsia="en-US" w:bidi="ar-SA"/>
              </w:rPr>
              <w:t>Homogenized composite food preparations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2105.00.10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Flavoured ice and ice sherbets *</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2105.00.91</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bl>
    <w:p>
      <w:pPr>
        <w:pStyle w:val="Normal"/>
      </w:pPr>
      <w:r>
        <w:t>Within access commitment * * 2105.00.92 Other: Over access commitment * * 2106.10.00 Protein concentrates and textured protein substances 2106.90.10 Chewing gum, containing 2 mg or</w:t>
      </w:r>
    </w:p>
    <w:p>
      <w:pPr>
        <w:pStyle w:val="Normal"/>
      </w:pPr>
      <w:r>
        <w:t>more of nicotine; Cream of coconut syrup for use in the manufacture of beverages; Elderberry flower concentrate and Limeflower concentrate for use in the manufacture of beverages; Nutmeat substitutes; Sour dough flavouring ingredients; Tea substitutes; Vegetable preparations for use as flavouring 2106.90.21 Syrups derived from cane or beet sugar, containing added colouring matter; Food concentrates and fruit syrups for use in beverages or other food preparations: Syrups derived from cane or beet sugar, containing, in the dry state, 90% or more by weight of sugar and no added flavouring matter * 2106.90.29 Syrups derived from cane or beet sugar, containing added colouring matter and food concentrates and fruit syrups for use in beverages or other preparations: Other 2106.90.31 Milk, cream or butter substitutes and preparations suitable for use as butter substitutes: Milk, cream or butter substitutes, containing 50% or more by weight of dairy content, within access commitment * * 2106.90.32 Milk, cream or butter substitutes and preparations suitable for use as butter substitutes:</w:t>
      </w:r>
    </w:p>
    <w:p>
      <w:pPr>
        <w:pStyle w:val="Normal"/>
      </w:pPr>
      <w:r>
        <w:t>Milk, cream or butter substitutes, containing 50% or more by weight of dairy content, over access commitment * * 2106.90.33 Milk, cream or butter substitutes and preparations suitable for use as butter substitutes: Preparations, containing more than 15% by weight of milk fat but less than 50% by weight of dairy content, suitable for use as butter substitutes, within access commitment * 2106.90.34</w:t>
      </w:r>
    </w:p>
    <w:p>
      <w:pPr>
        <w:pStyle w:val="Normal"/>
      </w:pPr>
      <w:r>
        <w:t>Milk, cream or butter substitutes and preparations suitable for use as butter substitutes: Preparations, containing more than 15% by weight of milk fat but less than 50% by weight of dairy content, suitable for use as butter substitutes, over access commitment * * 2106.90.35 Milk, cream or butter substitutes and preparations suitable for use as butter substitutes: Milk or cream substitutes, containing, in the dry state, over 10% by weight of milk solids but less than 50% by weight of dairy content, and butter substitutes, containing, in the dry state, over 10% by weight of milk solids but 15% or less by weight of milk fat 2106.90.39 Milk, cream or butter substitutes and preparations suitable for use as butter substitutes: Other 2106.90.41 Cheese fondue; Popping corn, prepared and packaged for use with microwave ovens; Protein hydrolysates: Cheese fondue; Popping corn, prepared and packaged for use with microwave ovens 2106.90.42 Cheese fondue; Popping corn, prepared and packaged for use with microwave ovens; Protein hydrolysates: Protein hydrolysates 2106.90.51 Egg preparations: Within access commitment * * 2106.90.52 Egg preparations:</w:t>
      </w:r>
    </w:p>
    <w:p>
      <w:pPr>
        <w:pStyle w:val="Normal"/>
      </w:pPr>
      <w:r>
        <w:t>Over access commitment * * 2106.90.91 Other: Concentrated juice of any single fruit or vegetable, fortified with vitamins or minerals 2106.90.92 Other: Concentrated mixtures of fruit or vegetable juices, fortified with vitamins or minerals 2106.90.93 Other: Containing 50% or more by weight of dairy content, within access commitment *</w:t>
      </w:r>
    </w:p>
    <w:p>
      <w:pPr>
        <w:pStyle w:val="Normal"/>
      </w:pPr>
      <w:r>
        <w:t>2106.90.94 Other: Containing 50% or more by weight of dairy content, over access commitment * * 2106.90.95 Other: Other preparations, containing, in the dry state, over 10% by weight of milk solids but less than 50% by weight of dairy content 2106.90.96 Other: Compound alcoholic preparations, not based on one or more odoriferous substances, with an alcoholic strength exceeding 0.5% by volume, for use in the manufacture of beverages 2106.90.97 Other: Fruit flavoured powders for use in the manufacture of pharmaceuticals, food products or beverages 2106.90.98 Other: Jelly powders, ice cream powders and powders for similar preparations 2106.90.99 Other: Other 2201.10.00 Mineral waters and aerated waters 2201.90.00 Other 2202.10.00 Waters, including mineral waters and aerated waters, containing added sugar or other sweetening matter or flavoured 2202.91.00 Non-alcoholic beer 2202.99.10 Non-alcoholic wine 2202.99.21 Juices, not concentrated, fortified with vitamins or minerals: Of any single fruit or vegetable 2202.99.22 Juices, not concentrated, fortified with vitamins or minerals: Of mixtures of fruits or vegetables 2202.99.31 Beverages containing milk: Chocolate milk 2202.99.32 Beverages containing milk:</w:t>
      </w:r>
    </w:p>
    <w:p>
      <w:pPr>
        <w:pStyle w:val="Normal"/>
      </w:pPr>
      <w:r>
        <w:t>Other, containing 50% or more by weight of dairy content, not put up for retail sale, within access commitment * 2202.99.33 Beverages containing milk: Other, containing 50% or more by weight of dairy content, not put up for retail sale, over access commitment * * 2202.99.39</w:t>
      </w:r>
    </w:p>
    <w:p>
      <w:pPr>
        <w:pStyle w:val="Normal"/>
      </w:pPr>
      <w:r>
        <w:t>Beverages containing milk: Other 2202.99.90 Other 2203.00.00 Beer made from malt. 2204.10.10 Of an alcoholic strength by volume not exceeding 22.9% vol 2204.10.90 Other 2204.21.10 Wine, of an alcoholic strength by volume not exceeding 13.7% vol 2204.21.21 Wine, of an alcoholic strength by volume exceeding 13.7% vol but not exceeding 21.9%: Of an alcoholic strength by volume not exceeding 14.9% vol 2204.21.22 Wine, of an alcoholic strength by volume exceeding 13.7% vol but not exceeding 21.9%: Of an alcoholic strength by volume exceeding 14.9% vol but not exceeding 15.9% vol 2204.21.23 Wine, of an alcoholic strength by volume exceeding 13.7% vol but not exceeding 21.9%: Of an alcoholic strength by volume exceeding 15.9% vol but not exceeding 16.9% vol 2204.21.24 Wine, of an alcoholic strength by volume exceeding 13.7% vol but not exceeding 21.9%: Of an alcoholic strength by volume exceeding 16.9% vol but not exceeding 17.9% vol 2204.21.25 Wine, of an alcoholic strength by volume exceeding 13.7% vol but not exceeding 21.9%:</w:t>
      </w:r>
    </w:p>
    <w:p>
      <w:pPr>
        <w:pStyle w:val="Normal"/>
      </w:pPr>
      <w:r>
        <w:t>Of an alcoholic strength by volume exceeding 17.9% vol but not exceeding 18.9% vol 2204.21.26 Wine, of an alcoholic strength by volume exceeding 13.7% vol but not exceeding 21.9%: Of an alcoholic strength by volume exceeding 18.9% vol but not exceeding 19.9% vol 2204.21.27 Wine, of an alcoholic strength by volume exceeding 13.7% vol but not exceeding 21.9%: Of an alcoholic strength by volume exceeding 19.9% vol but not exceeding 20.9% vol 2204.21.28 Wine,</w:t>
      </w:r>
    </w:p>
    <w:p>
      <w:pPr>
        <w:pStyle w:val="Normal"/>
      </w:pPr>
      <w:r>
        <w:t>of an alcoholic strength by volume exceeding 13.7% vol but not exceeding 21.9%: Of an alcoholic strength by volume exceeding 20.9% vol but not exceeding 21.9% vol 2204.21.31 Wine, of an alcoholic strength by volume exceeding 21.9% vol: Of an alcoholic strength by volume exceeding 21.9% vol but not exceeding 22.9% vol 2204.21.32 Wine, of an alcoholic strength by volume exceeding 21.9% vol: Of an alcoholic strength by volume exceeding 22.9% vol 2204.21.41 Grape must with fermentation prevented or arrested by the addition of alcohol: Of an alcoholic strength by volume not exceeding 22.9% vol 2204.21.49 Grape must with fermentation prevented or arrested by the addition of alcohol: Other 2204.22.10 Wine, of an alcoholic strength by volume not exceeding 13.7% vol 2204.22.21 Wine, of an alcoholic strength by volume exceeding 13.7% vol but not exceeding 21.9% vol: Of an alcoholic strength by volume not exceeding 14.9% vol 2204.22.22 Wine, of an alcoholic strength by volume exceeding 13.7% vol but not exceeding 21.9% vol:</w:t>
      </w:r>
    </w:p>
    <w:p>
      <w:pPr>
        <w:pStyle w:val="Normal"/>
      </w:pPr>
      <w:r>
        <w:t>Of an alcoholic strength by volume exceeding 14.9% vol but not exceeding 15.9% vol 2204.22.23 Wine, of an alcoholic strength by volume exceeding 13.7% vol but not exceeding 21.9% vol: Of an alcoholic strength by volume exceeding 15.9% vol but not exceeding 16.9% vol 2204.22.24 Wine, of an alcoholic strength by volume exceeding 13.7% vol but not exceeding 21.9% vol: Of an alcoholic strength by volume exceeding 16.9% vol but not exceeding 17.9% vol 2204.22.25 Wine, of</w:t>
      </w:r>
    </w:p>
    <w:p>
      <w:pPr>
        <w:pStyle w:val="Normal"/>
      </w:pPr>
      <w:r>
        <w:t>an alcoholic strength by volume exceeding 13.7% vol but not exceeding 21.9% vol: Of an alcoholic strength by volume exceeding 17.9% vol but not exceeding 18.9% vol 2204.22.26 Wine, of an alcoholic strength by volume exceeding 13.7% vol but not exceeding 21.9% vol: Of an alcoholic strength by volume exceeding 18.9% vol but not exceeding 19.9% vol 2204.22.27 Wine, of an alcoholic strength by volume exceeding 13.7% vol but not exceeding 21.9% vol: Of an alcoholic strength by volume exceeding 19.9% vol but not exceeding 20.9% vol 2204.22.28 Wine, of an alcoholic strength by volume exceeding 13.7% vol but not exceeding 21.9% vol: Of an alcoholic strength by volume exceeding 20.9% vol but not exceeding 21.9% vol 2204.22.31 Wine, of an alcoholic strength by volume exceeding 21.9% vol: Of an alcoholic strength by volume exceeding 21.9% vol but not exceeding 22.9% vol 2204.22.32 Wine, of an alcoholic strength by volume exceeding 21.9% vol: Of an alcoholic strength by volume exceeding 22.9% vol 2204.22.41 Grape must with fermentation prevented or arrested by the addition of alcohol:</w:t>
      </w:r>
    </w:p>
    <w:p>
      <w:pPr>
        <w:pStyle w:val="Normal"/>
      </w:pPr>
      <w:r>
        <w:t>Of an alcoholic strength by volume not exceeding 22.9% vol 2204.22.49 Grape must with fermentation prevented or arrested by the addition of alcohol: Other 2204.29.10 Wine, of an alcoholic strength by volume not exceeding 13.7% vol 2204.29.21 Wine, of an alcoholic strength by volume exceeding 13.7% vol but not exceeding 21.9% vol: Of an alcoholic strength by volume not exceeding 14.9% vol 2204.29.22 Wine,</w:t>
      </w:r>
    </w:p>
    <w:p>
      <w:pPr>
        <w:pStyle w:val="Normal"/>
      </w:pPr>
      <w:r>
        <w:t>of an alcoholic strength by volume exceeding 13.7% vol but not exceeding 21.9% vol: Of an alcoholic strength by volume exceeding 14.9% vol but not exceeding 15.9% vol 2204.29.23 Wine, of an alcoholic strength by volume exceeding 13.7% vol but not exceeding 21.9% vol: Of an alcoholic strength by volume exceeding 15.9% vol but not exceeding 16.9% vol 2204.29.24 Wine, of an alcoholic strength by volume exceeding 13.7% vol but not exceeding 21.9% vol: Of an alcoholic strength by volume exceeding 16.9% vol but not exceeding 17.9% vol 2204.29.25 Wine, of an alcoholic strength by volume exceeding 13.7% vol but not exceeding 21.9% vol: Of an alcoholic strength by volume exceeding 17.9% vol but not exceeding 18.9% vol 2204.29.26 Wine, of an alcoholic strength by volume exceeding 13.7% vol but not exceeding 21.9% vol: Of an alcoholic strength by volume exceeding 18.9% vol but not exceeding 19.9% vol 2204.29.27 Wine, of an alcoholic strength by volume exceeding 13.7% vol but not exceeding 21.9% vol:</w:t>
      </w:r>
    </w:p>
    <w:p>
      <w:pPr>
        <w:pStyle w:val="Normal"/>
      </w:pPr>
      <w:r>
        <w:t>Of an alcoholic strength by volume exceeding 19.9% vol but not exceeding 20.9% vol 2204.29.28 Wine, of an alcoholic strength by volume exceeding 13.7% vol but not exceeding 21.9% vol: Of an alcoholic strength by volume exceeding 20.9% vol but not exceeding 21.9% vol 2204.29.31 Wine, of an alcoholic strength by volume exceeding 21.9% vol: Of an alcoholic strength by volume exceeding 21.9% vol but not exceeding 22.9% vol 2204.29.32 Wine, of an alcoholic strength by volume exceeding 21.9% vol:</w:t>
      </w:r>
    </w:p>
    <w:p>
      <w:pPr>
        <w:pStyle w:val="Normal"/>
      </w:pPr>
      <w:r>
        <w:t>Of an alcoholic strength by volume exceeding 22.9% vol 2204.29.41 Grape must with fermentation prevented or arrested by the addition of alcohol: Of an alcoholic strength by volume not exceeding 22.9% vol 2204.29.49 Grape must with fermentation prevented or arrested by the addition of alcohol: Other 2204.30.10 Of an alcoholic strength by volume not exceeding 22.9% vol 2204.30.90 Other 2205.10.10 Of an alcoholic strength by volume not exceeding 18.3% vol 2205.10.20 Of an alcoholic strength by volume exceeding 18.3% vol but not exceeding 22.9% vol 2205.10.30 Of an alcoholic strength by volume exceeding 22.9% vol 2205.90.10 Of an alcoholic strength by volume not exceeding 18.3% vol 2205.90.20 Of an alcoholic strength by volume exceeding 18.3% vol but not exceeding 22.9% vol 2205.90.30 Of an alcoholic strength by volume exceeding 22.9% vol 2206.00.11 Cider: Sparkling, of an alcoholic strength by volume not exceeding 22.9% vol 2206.00.12 Cider: Other sparkling 2206.00.18 Cider: Other cider, of an alcoholic strength by volume not exceeding 22.9% vol 2206.00.19 Cider: Other 2206.00.21 Prune wine:</w:t>
      </w:r>
    </w:p>
    <w:p>
      <w:pPr>
        <w:pStyle w:val="Normal"/>
      </w:pPr>
      <w:r>
        <w:t>Of an alcoholic strength by volume not exceeding 22.9% vol 2206.00.22 Prune wine: Of an alcoholic strength by volume exceeding 22.9% vol 2206.00.31 Perry, sparkling: Of an alcoholic strength by volume not exceeding 22.9% vol 2206.00.39 Perry, sparkling: Other 2206.00.41 Other wine, sparkling: Of an alcoholic strength by volume not exceeding 22.9% vol 2206.00.49 Other wine, sparkling: Other</w:t>
      </w:r>
    </w:p>
    <w:p>
      <w:pPr>
        <w:pStyle w:val="Normal"/>
      </w:pPr>
      <w:r>
        <w:t>2206.00.50 Sake and other wine, not sparkling, of an alcoholic strength by volume not exceeding 13.7% vol 2206.00.61 Sake and other wine, not sparkling, of an alcoholic strength by volume exceeding 13.7% vol but not exceeding 21.9% vol: Of an alcoholic strength by volume not exceeding 14.9% vol 2206.00.62 Sake and other wine, not sparkling, of an alcoholic strength by volume exceeding 13.7% vol but not exceeding 21.9% vol: Of an alcoholic strength by volume exceeding 14.9% vol but not exceeding 15.9% vol 2206.00.63 Sake and other wine, not sparkling, of an alcoholic strength by volume exceeding 13.7% vol but not exceeding 21.9% vol: Of an alcoholic strength by volume exceeding 15.9% vol but not exceeding 16.9% vol 2206.00.64 Sake and other wine, not sparkling, of an alcoholic strength by volume exceeding 13.7% vol but not exceeding 21.9% vol: Of an alcoholic strength by volume exceeding 16.9% vol but not exceeding 17.9% vol 2206.00.65 Sake and other wine, not sparkling, of an alcoholic strength by volume exceeding 13.7% vol but not exceeding 21.9% vol:</w:t>
      </w:r>
    </w:p>
    <w:p>
      <w:pPr>
        <w:pStyle w:val="Normal"/>
      </w:pPr>
      <w:r>
        <w:t>Of an alcoholic strength by volume exceeding 17.9% vol but not exceeding 18.9% vol 2206.00.66 Sake and other wine, not sparkling, of an alcoholic strength by volume exceeding 13.7% vol but not exceeding 21.9% vol: Of an alcoholic strength by volume exceeding 18.9% vol but not exceeding 19.9% vol 2206.00.67 Sake and other wine, not sparkling, of an alcoholic strength by volume exceeding 13.7% vol but not exceeding 21.9% vol: Of</w:t>
      </w:r>
    </w:p>
    <w:p>
      <w:pPr>
        <w:pStyle w:val="Normal"/>
      </w:pPr>
      <w:r>
        <w:t>an alcoholic strength by volume exceeding 19.9% vol but not exceeding 20.9% vol 2206.00.68 Sake and other wine, not sparkling, of an alcoholic strength by volume exceeding 13.7% vol but not exceeding 21.9% vol: Of an alcoholic strength by volume exceeding 20.9% vol but not exceeding 21.9% vol 2206.00.71 Sake and other wine, not sparkling, of an alcoholic strength by volume exceeding 21.9% vol: Of an alcoholic strength by volume not exceeding 22.9% vol 2206.00.72 Sake and other wine, not sparkling, of an alcoholic strength by volume exceeding 21.9% vol: Of an alcoholic strength by volume exceeding 22.9% vol 2206.00.80 Ginger beer and herbal beer 2206.00.91 Other: Mead 2206.00.92 Other: Other, of an alcoholic strength by volume not exceeding 22.9% vol 2206.00.93 Other: Other, of an alcoholic strength by volume exceeding 22.9% vol 2207.10.10 For use as a spirituous or alcoholic beverage or for use in the manufacture of spirituous or alcoholic beverages 2207.10.90 Other 2207.20.11 Ethyl alcohol: Specially denatured alcohol, within the meaning of the Excise Act, 2001 2207.20.12 Ethyl alcohol:</w:t>
      </w:r>
    </w:p>
    <w:p>
      <w:pPr>
        <w:pStyle w:val="Normal"/>
      </w:pPr>
      <w:r>
        <w:t>Denatured alcohol, within the meaning of the Excise Act, 2001</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2207.20.19</w:t>
            </w:r>
          </w:p>
        </w:tc>
        <w:tc>
          <w:tcPr>
            <w:tcW w:w="4679" w:type="dxa"/>
            <w:tcMar>
              <w:top w:w="70" w:type="dxa"/>
              <w:start w:w="110" w:type="dxa"/>
              <w:bottom w:w="70" w:type="dxa"/>
              <w:end w:w="110" w:type="dxa"/>
            </w:tcMar>
            <w:vAlign w:val="center"/>
          </w:tcPr>
          <w:p>
            <w:pPr>
              <w:pStyle w:val="TableText"/>
              <w:jc w:val="left"/>
            </w:pPr>
            <w:r>
              <w:rPr>
                <w:lang w:val="en-US" w:eastAsia="en-US" w:bidi="ar-SA"/>
              </w:rPr>
              <w:t>Ethyl alcohol: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2207.20.90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2208.20.00</w:t>
            </w:r>
          </w:p>
        </w:tc>
        <w:tc>
          <w:tcPr>
            <w:tcW w:w="4679" w:type="dxa"/>
            <w:tcMar>
              <w:top w:w="70" w:type="dxa"/>
              <w:start w:w="110" w:type="dxa"/>
              <w:bottom w:w="70" w:type="dxa"/>
              <w:end w:w="110" w:type="dxa"/>
            </w:tcMar>
            <w:vAlign w:val="center"/>
          </w:tcPr>
          <w:p>
            <w:pPr>
              <w:pStyle w:val="TableText"/>
              <w:jc w:val="left"/>
            </w:pPr>
            <w:r>
              <w:rPr>
                <w:lang w:val="en-US" w:eastAsia="en-US" w:bidi="ar-SA"/>
              </w:rPr>
              <w:t>Spirits obtained by distilling grape wine or grape marc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2208.30.00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Whiskies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2208.40.10</w:t>
            </w:r>
          </w:p>
        </w:tc>
        <w:tc>
          <w:tcPr>
            <w:tcW w:w="4679" w:type="dxa"/>
            <w:tcMar>
              <w:top w:w="70" w:type="dxa"/>
              <w:start w:w="110" w:type="dxa"/>
              <w:bottom w:w="70" w:type="dxa"/>
              <w:end w:w="110" w:type="dxa"/>
            </w:tcMar>
            <w:vAlign w:val="center"/>
          </w:tcPr>
          <w:p>
            <w:pPr>
              <w:pStyle w:val="TableText"/>
              <w:jc w:val="left"/>
            </w:pPr>
            <w:r>
              <w:rPr>
                <w:lang w:val="en-US" w:eastAsia="en-US" w:bidi="ar-SA"/>
              </w:rPr>
              <w:t>Rum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2208.40.90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2208.50.00</w:t>
            </w:r>
          </w:p>
        </w:tc>
        <w:tc>
          <w:tcPr>
            <w:tcW w:w="4679" w:type="dxa"/>
            <w:tcMar>
              <w:top w:w="70" w:type="dxa"/>
              <w:start w:w="110" w:type="dxa"/>
              <w:bottom w:w="70" w:type="dxa"/>
              <w:end w:w="110" w:type="dxa"/>
            </w:tcMar>
            <w:vAlign w:val="center"/>
          </w:tcPr>
          <w:p>
            <w:pPr>
              <w:pStyle w:val="TableText"/>
              <w:jc w:val="left"/>
            </w:pPr>
            <w:r>
              <w:rPr>
                <w:lang w:val="en-US" w:eastAsia="en-US" w:bidi="ar-SA"/>
              </w:rPr>
              <w:t>Gin and Geneva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2208.60.00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Vodka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2208.70.00</w:t>
            </w:r>
          </w:p>
        </w:tc>
        <w:tc>
          <w:tcPr>
            <w:tcW w:w="4679" w:type="dxa"/>
            <w:tcMar>
              <w:top w:w="70" w:type="dxa"/>
              <w:start w:w="110" w:type="dxa"/>
              <w:bottom w:w="70" w:type="dxa"/>
              <w:end w:w="110" w:type="dxa"/>
            </w:tcMar>
            <w:vAlign w:val="center"/>
          </w:tcPr>
          <w:p>
            <w:pPr>
              <w:pStyle w:val="TableText"/>
              <w:jc w:val="left"/>
            </w:pPr>
            <w:r>
              <w:rPr>
                <w:lang w:val="en-US" w:eastAsia="en-US" w:bidi="ar-SA"/>
              </w:rPr>
              <w:t>Liqueurs and cordials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2208.90.10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Tequila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2208.90.21</w:t>
            </w:r>
          </w:p>
        </w:tc>
        <w:tc>
          <w:tcPr>
            <w:tcW w:w="4679" w:type="dxa"/>
            <w:tcMar>
              <w:top w:w="70" w:type="dxa"/>
              <w:start w:w="110" w:type="dxa"/>
              <w:bottom w:w="70" w:type="dxa"/>
              <w:end w:w="110" w:type="dxa"/>
            </w:tcMar>
            <w:vAlign w:val="center"/>
          </w:tcPr>
          <w:p>
            <w:pPr>
              <w:pStyle w:val="TableText"/>
              <w:jc w:val="left"/>
            </w:pPr>
            <w:r>
              <w:rPr>
                <w:lang w:val="en-US" w:eastAsia="en-US" w:bidi="ar-SA"/>
              </w:rPr>
              <w:t>Undenatured ethyl alcohol: For use as a spirituous or</w:t>
            </w:r>
          </w:p>
        </w:tc>
      </w:tr>
    </w:tbl>
    <w:p>
      <w:pPr>
        <w:pStyle w:val="Normal"/>
      </w:pPr>
      <w:r>
        <w:t>alcoholic beverage or for use in the manufacture of spirituous or alcoholic beverages 2208.90.29 Undenatured ethyl alcohol: Other 2208.90.30 Angostura bitters 2208.90.41 Spirituous fruit juices of an alcoholic strength by volume not exceeding 14.3% vol: Packaged, of an alcoholic strength by volume not exceeding 7% vol 2208.90.49 Spirituous fruit juices of an alcoholic strength by volume not exceeding 14.3% vol: Other 2208.90.92 Other: Fruit brandies 2208.90.98 Other: Other, packaged, of an alcoholic strength by volume not exceeding 7% 2208.90.99 Other: Other 2209.00.00 Vinegar and substitutes for vinegar obtained from acetic acid. 2301.10.10 Of whales 2301.10.90 Other 2301.20.11 Fish meal: For use in the manufacture of complete feeds for fish 2301.20.18 Fish meal: Other, not including herring meal or salmon meal, for use in the manufacture of animal feed 2301.20.19 Fish meal: Other 2301.20.90 Other 2302.10.00 Of maize (corn) 2302.30.10 Within access commitment 2302.30.20 Over access commitment 2302.40.11 Of barley: Within access commitment 2302.40.12 Of barley:</w:t>
      </w:r>
    </w:p>
    <w:p>
      <w:pPr>
        <w:pStyle w:val="Normal"/>
      </w:pPr>
      <w:r>
        <w:t>Over access commitment 2302.40.90 Other 2302.50.00 Of leguminous plants 2303.10.00 Residues of starch manufacture and similar residues 2303.20.10 Dried beet-pulp 2303.20.90 Other 2303.30.00 Brewing or distilling dregs and waste 2304.00.00 Oil-cake and other solid residues, whether or not ground or in the form of pellets, resulting from the extraction of soya-bean oil.</w:t>
      </w:r>
    </w:p>
    <w:p>
      <w:pPr>
        <w:pStyle w:val="Normal"/>
      </w:pPr>
      <w:r>
        <w:t>2305.00.00 Oil-cake and other solid residues, whether or not ground or in the form of pellets, resulting from the extraction of ground-nut oil. 2306.10.00 Of cotton seeds 2306.20.00 Of linseed 2306.30.00 Of sunflower seeds 2306.41.00 Of low erucic acid rape or colza seeds 2306.49.00 Other 2306.50.00 Of coconut or copra 2306.60.00 Of palm nuts or kernels 2306.90.00 Other 2307.00.00 Wine lees; argol. 2308.00.00 Vegetable materials and vegetable waste, vegetable residues and by-products, whether or not in the form of pellets, of a kind used in animal feeding, not elsewhere specified or included. 2309.10.00 Dog or cat food, put up for retail sale 2309.90.10 Feeds containing cereals, excluding baked biscuits, to be employed in feeding fur-bearing animals or in the manufacture of feeds for such animals; Granulated tylosin concentrate and hygromycin B concentrate for use in the manufacture of animal feed supplements; Preparations to be employed in feeding trout or salmon and cereal preparations to be employed in feeding fur-bearing animals 2309.90.20 Other preparations containing eggs 2309.90.31 Complete feeds and feed supplements, including concentrates:</w:t>
      </w:r>
    </w:p>
    <w:p>
      <w:pPr>
        <w:pStyle w:val="Normal"/>
      </w:pPr>
      <w:r>
        <w:t>Containing 50% or more by weight in the dry state of non-fat milk solids, within access commitment * * 2309.90.32 Complete feeds and feed supplements, including concentrates: Containing 50% or more by weight in the dry state of non-fat milk solids, over access commitment * * 2309.90.33 Complete feeds and feed supplements,</w:t>
      </w:r>
    </w:p>
    <w:p>
      <w:pPr>
        <w:pStyle w:val="Normal"/>
      </w:pPr>
      <w:r>
        <w:t>including concentrates: Containing more than 10% but less than 50% by weight in the dry state of non-fat milk solids 2309.90.34 Complete feeds and feed supplements, including concentrates: Containing 10% or less by weight in the dry state of non-fat milk solids 2309.90.35 Complete feeds and feed supplements, including concentrates: Containing 50% or more by weight in the dry state of milk solids containing butterfat * 2309.90.36 Complete feeds and feed supplements, including concentrates: Containing more than 10% but less than 50% by weight in the dry state of milk solids containing butterfat 2309.90.37 Complete feeds and feed supplements, including concentrates: Fish solubles 2309.90.39 Complete feeds and feed supplements, including concentrates: Other 2309.90.91 Other: Feed grade chlortetracycline, obtained by fermentation and the subsequent drying of the contents of the fermentation vessel, whether or not standardized by the addition of other substances, for use in the manufacture of premixes; Flavourings; Mineral blocks; Pellet binders; Preservatives; Single ingredient feeds; Yeast cultures 2309.90.99 Other: Other 2401.10.10 For use as wrappers in the manufacture of cigars 2401.10.91 Other: Turkish type 2401.10.99 Other:</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2401.20.10</w:t>
            </w:r>
          </w:p>
        </w:tc>
        <w:tc>
          <w:tcPr>
            <w:tcW w:w="4679" w:type="dxa"/>
            <w:tcMar>
              <w:top w:w="70" w:type="dxa"/>
              <w:start w:w="110" w:type="dxa"/>
              <w:bottom w:w="70" w:type="dxa"/>
              <w:end w:w="110" w:type="dxa"/>
            </w:tcMar>
            <w:vAlign w:val="center"/>
          </w:tcPr>
          <w:p>
            <w:pPr>
              <w:pStyle w:val="TableText"/>
              <w:jc w:val="left"/>
            </w:pPr>
            <w:r>
              <w:rPr>
                <w:lang w:val="en-US" w:eastAsia="en-US" w:bidi="ar-SA"/>
              </w:rPr>
              <w:t>Wrapper tobacco for use in the manufacture of cigars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2401.20.90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2401.30.00</w:t>
            </w:r>
          </w:p>
        </w:tc>
        <w:tc>
          <w:tcPr>
            <w:tcW w:w="4679" w:type="dxa"/>
            <w:tcMar>
              <w:top w:w="70" w:type="dxa"/>
              <w:start w:w="110" w:type="dxa"/>
              <w:bottom w:w="70" w:type="dxa"/>
              <w:end w:w="110" w:type="dxa"/>
            </w:tcMar>
            <w:vAlign w:val="center"/>
          </w:tcPr>
          <w:p>
            <w:pPr>
              <w:pStyle w:val="TableText"/>
              <w:jc w:val="left"/>
            </w:pPr>
            <w:r>
              <w:rPr>
                <w:lang w:val="en-US" w:eastAsia="en-US" w:bidi="ar-SA"/>
              </w:rPr>
              <w:t>Tobacco refuse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2402.10.00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Cigars, cheroots and cigarillos, containing tobacco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2402.20.00</w:t>
            </w:r>
          </w:p>
        </w:tc>
        <w:tc>
          <w:tcPr>
            <w:tcW w:w="4679" w:type="dxa"/>
            <w:tcMar>
              <w:top w:w="70" w:type="dxa"/>
              <w:start w:w="110" w:type="dxa"/>
              <w:bottom w:w="70" w:type="dxa"/>
              <w:end w:w="110" w:type="dxa"/>
            </w:tcMar>
            <w:vAlign w:val="center"/>
          </w:tcPr>
          <w:p>
            <w:pPr>
              <w:pStyle w:val="TableText"/>
              <w:jc w:val="left"/>
            </w:pPr>
            <w:r>
              <w:rPr>
                <w:lang w:val="en-US" w:eastAsia="en-US" w:bidi="ar-SA"/>
              </w:rPr>
              <w:t>Cigarettes containing tobacco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2402.90.00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2403.11.00</w:t>
            </w:r>
          </w:p>
        </w:tc>
        <w:tc>
          <w:tcPr>
            <w:tcW w:w="4679" w:type="dxa"/>
            <w:tcMar>
              <w:top w:w="70" w:type="dxa"/>
              <w:start w:w="110" w:type="dxa"/>
              <w:bottom w:w="70" w:type="dxa"/>
              <w:end w:w="110" w:type="dxa"/>
            </w:tcMar>
            <w:vAlign w:val="center"/>
          </w:tcPr>
          <w:p>
            <w:pPr>
              <w:pStyle w:val="TableText"/>
              <w:jc w:val="left"/>
            </w:pPr>
            <w:r>
              <w:rPr>
                <w:lang w:val="en-US" w:eastAsia="en-US" w:bidi="ar-SA"/>
              </w:rPr>
              <w:t>Water</w:t>
            </w:r>
          </w:p>
        </w:tc>
      </w:tr>
    </w:tbl>
    <w:p>
      <w:pPr>
        <w:pStyle w:val="Normal"/>
      </w:pPr>
      <w:r>
        <w:t>pipe tobacco specified in Subheading Note 1 to this Chapter 2403.19.00 Other 2403.91.10 Suitable for use as wrapper tobacco 2403.91.20 Processed leaf tobacco suitable for use as cigar binders 2403.91.90 Other 2403.99.10 Snuff 2403.99.20 Manufactured tobacco substitutes not containing tobacco 2403.99.90 Other 2501.00.10 Table salt made by an admixture of other ingredients when containing 90% or more of pure sodium chloride 2501.00.90 Other 2502.00.00 Unroasted iron pyrites. 2503.00.00 Sulphur of all kinds, other than sublimed sulphur, precipitated sulphur and colloidal sulphur. 2504.10.00 In powder or in flakes 2504.90.00 Other 2505.10.00 Silica sand and quartz sands 2505.90.00 Other 2506.10.00 Quartz 2506.20.00 Quartzite 2507.00.00 Kaolin and other kaolinic clays, whether or not calcined. 2508.10.00 Bentonite 2508.30.00 Fire-clay 2508.40.00 Other clays 2508.50.00 Andalusite, kyanite and sillimanite 2508.60.00 Mullite 2508.70.00 Chamotte or dinas earths 2509.00.00 Chalk. 2510.10.00 Unground 2510.20.00 Ground 2511.10.00 Natural barium sulphate (barytes) 2511.20.00 Natural barium carbonate (witherite) 2512.00.00 Siliceous fossil meals (for example, kieselguhr, tripolite and diatomite) and similar siliceous earths, whether or not calcined, of an apparent specific gravity of 1 or less.</w:t>
      </w:r>
    </w:p>
    <w:p>
      <w:pPr>
        <w:pStyle w:val="Normal"/>
      </w:pPr>
      <w:r>
        <w:t>2513.10.00 Pumice stone 2513.20.00 Emery, natural corundum, natural garnet and other natural abrasives 2514.00.00 Slate, whether or not roughly trimmed or merely cut, by sawing or otherwise, into blocks or slabs of a rectangular (including square) shape.</w:t>
      </w:r>
    </w:p>
    <w:p>
      <w:pPr>
        <w:pStyle w:val="Normal"/>
      </w:pPr>
      <w:r>
        <w:t>2515.11.00 Crude or roughly trimmed 2515.12.00 Merely cut, by sawing or otherwise, into blocks or slabs of a rectangular (including square) shape 2515.20.00 Ecaussine and other calcareous monumental or building stone; alabaster 2516.11.00 Crude or roughly trimmed 2516.12.00 Merely cut, by sawing or otherwise, into blocks or slabs of a rectangular (including square) shape 2516.20.00 Sandstone 2516.90.00 Other monumental or building stone 2517.10.00 Pebbles, gravel, broken or crushed stone, of a kind commonly used for concrete aggregates, for road metalling or for railway or other ballast, shingle and flint, whether or not heat-treated 2517.20.00 Macadam of slag, dross or similar industrial waste, whether or not incorporating the materials cited in subheading 2517.10 2517.30.00 Tarred macadam 2517.41.00 Of marble 2517.49.00 Other 2518.10.00 Dolomite, not calcined or sintered 2518.20.00 Calcined or sintered dolomite 2518.30.00 Dolomite ramming mix 2519.10.00 Natural magnesium carbonate (magnesite) 2519.90.00 Other 2520.10.00 Gypsum; anhydrite 2520.20.00 Plasters 2521.00.00 Limestone flux; limestone and other calcareous stone, of a kind used for the manufacture of lime or cement.</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2522.10.00</w:t>
            </w:r>
          </w:p>
        </w:tc>
        <w:tc>
          <w:tcPr>
            <w:tcW w:w="4679" w:type="dxa"/>
            <w:tcMar>
              <w:top w:w="70" w:type="dxa"/>
              <w:start w:w="110" w:type="dxa"/>
              <w:bottom w:w="70" w:type="dxa"/>
              <w:end w:w="110" w:type="dxa"/>
            </w:tcMar>
            <w:vAlign w:val="center"/>
          </w:tcPr>
          <w:p>
            <w:pPr>
              <w:pStyle w:val="TableText"/>
              <w:jc w:val="left"/>
            </w:pPr>
            <w:r>
              <w:rPr>
                <w:lang w:val="en-US" w:eastAsia="en-US" w:bidi="ar-SA"/>
              </w:rPr>
              <w:t>Quicklime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Slaked lime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2522.30.00</w:t>
            </w:r>
          </w:p>
        </w:tc>
        <w:tc>
          <w:tcPr>
            <w:tcW w:w="4679" w:type="dxa"/>
            <w:tcMar>
              <w:top w:w="70" w:type="dxa"/>
              <w:start w:w="110" w:type="dxa"/>
              <w:bottom w:w="70" w:type="dxa"/>
              <w:end w:w="110" w:type="dxa"/>
            </w:tcMar>
            <w:vAlign w:val="center"/>
          </w:tcPr>
          <w:p>
            <w:pPr>
              <w:pStyle w:val="TableText"/>
              <w:jc w:val="left"/>
            </w:pPr>
            <w:r>
              <w:rPr>
                <w:lang w:val="en-US" w:eastAsia="en-US" w:bidi="ar-SA"/>
              </w:rPr>
              <w:t>Hydraulic lime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Cement clinkers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2523.21.00</w:t>
            </w:r>
          </w:p>
        </w:tc>
        <w:tc>
          <w:tcPr>
            <w:tcW w:w="4679" w:type="dxa"/>
            <w:tcMar>
              <w:top w:w="70" w:type="dxa"/>
              <w:start w:w="110" w:type="dxa"/>
              <w:bottom w:w="70" w:type="dxa"/>
              <w:end w:w="110" w:type="dxa"/>
            </w:tcMar>
            <w:vAlign w:val="center"/>
          </w:tcPr>
          <w:p>
            <w:pPr>
              <w:pStyle w:val="TableText"/>
              <w:jc w:val="left"/>
            </w:pPr>
            <w:r>
              <w:rPr>
                <w:lang w:val="en-US" w:eastAsia="en-US" w:bidi="ar-SA"/>
              </w:rPr>
              <w:t>White cement, whether or not artificially coloured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2523.29.00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2523.30.00</w:t>
            </w:r>
          </w:p>
        </w:tc>
        <w:tc>
          <w:tcPr>
            <w:tcW w:w="4679" w:type="dxa"/>
            <w:tcMar>
              <w:top w:w="70" w:type="dxa"/>
              <w:start w:w="110" w:type="dxa"/>
              <w:bottom w:w="70" w:type="dxa"/>
              <w:end w:w="110" w:type="dxa"/>
            </w:tcMar>
            <w:vAlign w:val="center"/>
          </w:tcPr>
          <w:p>
            <w:pPr>
              <w:pStyle w:val="TableText"/>
              <w:jc w:val="left"/>
            </w:pPr>
            <w:r>
              <w:rPr>
                <w:lang w:val="en-US" w:eastAsia="en-US" w:bidi="ar-SA"/>
              </w:rPr>
              <w:t>Aluminous cement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hydraulic cements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2524.10.00</w:t>
            </w:r>
          </w:p>
        </w:tc>
        <w:tc>
          <w:tcPr>
            <w:tcW w:w="4679" w:type="dxa"/>
            <w:tcMar>
              <w:top w:w="70" w:type="dxa"/>
              <w:start w:w="110" w:type="dxa"/>
              <w:bottom w:w="70" w:type="dxa"/>
              <w:end w:w="110" w:type="dxa"/>
            </w:tcMar>
            <w:vAlign w:val="center"/>
          </w:tcPr>
          <w:p>
            <w:pPr>
              <w:pStyle w:val="TableText"/>
              <w:jc w:val="left"/>
            </w:pPr>
            <w:r>
              <w:rPr>
                <w:lang w:val="en-US" w:eastAsia="en-US" w:bidi="ar-SA"/>
              </w:rPr>
              <w:t>Crocidolite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2525.10.00</w:t>
            </w:r>
          </w:p>
        </w:tc>
        <w:tc>
          <w:tcPr>
            <w:tcW w:w="4679" w:type="dxa"/>
            <w:tcMar>
              <w:top w:w="70" w:type="dxa"/>
              <w:start w:w="110" w:type="dxa"/>
              <w:bottom w:w="70" w:type="dxa"/>
              <w:end w:w="110" w:type="dxa"/>
            </w:tcMar>
            <w:vAlign w:val="center"/>
          </w:tcPr>
          <w:p>
            <w:pPr>
              <w:pStyle w:val="TableText"/>
              <w:jc w:val="left"/>
            </w:pPr>
            <w:r>
              <w:rPr>
                <w:lang w:val="en-US" w:eastAsia="en-US" w:bidi="ar-SA"/>
              </w:rPr>
              <w:t>Crude mica and mica rifted into sheets or splittings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2525.20.00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Mica powder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2525.30.00</w:t>
            </w:r>
          </w:p>
        </w:tc>
        <w:tc>
          <w:tcPr>
            <w:tcW w:w="4679" w:type="dxa"/>
            <w:tcMar>
              <w:top w:w="70" w:type="dxa"/>
              <w:start w:w="110" w:type="dxa"/>
              <w:bottom w:w="70" w:type="dxa"/>
              <w:end w:w="110" w:type="dxa"/>
            </w:tcMar>
            <w:vAlign w:val="center"/>
          </w:tcPr>
          <w:p>
            <w:pPr>
              <w:pStyle w:val="TableText"/>
              <w:jc w:val="left"/>
            </w:pPr>
            <w:r>
              <w:rPr>
                <w:lang w:val="en-US" w:eastAsia="en-US" w:bidi="ar-SA"/>
              </w:rPr>
              <w:t>Mica waste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crushed, not powdered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2526.20.00</w:t>
            </w:r>
          </w:p>
        </w:tc>
        <w:tc>
          <w:tcPr>
            <w:tcW w:w="4679" w:type="dxa"/>
            <w:tcMar>
              <w:top w:w="70" w:type="dxa"/>
              <w:start w:w="110" w:type="dxa"/>
              <w:bottom w:w="70" w:type="dxa"/>
              <w:end w:w="110" w:type="dxa"/>
            </w:tcMar>
            <w:vAlign w:val="center"/>
          </w:tcPr>
          <w:p>
            <w:pPr>
              <w:pStyle w:val="TableText"/>
              <w:jc w:val="left"/>
            </w:pPr>
            <w:r>
              <w:rPr>
                <w:lang w:val="en-US" w:eastAsia="en-US" w:bidi="ar-SA"/>
              </w:rPr>
              <w:t>Crushed or powdered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2528.00.00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Natural borates and concentrates thereof (whether or not calcined), but not including borates separated from natural brine; natural boric acid containing not more than 85% of H3BO3 calculated on the dry weight.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2529.10.00</w:t>
            </w:r>
          </w:p>
        </w:tc>
        <w:tc>
          <w:tcPr>
            <w:tcW w:w="4679" w:type="dxa"/>
            <w:tcMar>
              <w:top w:w="70" w:type="dxa"/>
              <w:start w:w="110" w:type="dxa"/>
              <w:bottom w:w="70" w:type="dxa"/>
              <w:end w:w="110" w:type="dxa"/>
            </w:tcMar>
            <w:vAlign w:val="center"/>
          </w:tcPr>
          <w:p>
            <w:pPr>
              <w:pStyle w:val="TableText"/>
              <w:jc w:val="left"/>
            </w:pPr>
            <w:r>
              <w:rPr>
                <w:lang w:val="en-US" w:eastAsia="en-US" w:bidi="ar-SA"/>
              </w:rPr>
              <w:t>Feldspar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2529.21.00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by weight 97% or less of calcium fluoride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2529.22.00</w:t>
            </w:r>
          </w:p>
        </w:tc>
        <w:tc>
          <w:tcPr>
            <w:tcW w:w="4679" w:type="dxa"/>
            <w:tcMar>
              <w:top w:w="70" w:type="dxa"/>
              <w:start w:w="110" w:type="dxa"/>
              <w:bottom w:w="70" w:type="dxa"/>
              <w:end w:w="110" w:type="dxa"/>
            </w:tcMar>
            <w:vAlign w:val="center"/>
          </w:tcPr>
          <w:p>
            <w:pPr>
              <w:pStyle w:val="TableText"/>
              <w:jc w:val="left"/>
            </w:pPr>
            <w:r>
              <w:rPr>
                <w:lang w:val="en-US" w:eastAsia="en-US" w:bidi="ar-SA"/>
              </w:rPr>
              <w:t>Containing by weight more than 97% of calcium fluoride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2529.30.00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Leucite; nepheline and nepheline syenite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2530.10.00</w:t>
            </w:r>
          </w:p>
        </w:tc>
        <w:tc>
          <w:tcPr>
            <w:tcW w:w="4679" w:type="dxa"/>
            <w:tcMar>
              <w:top w:w="70" w:type="dxa"/>
              <w:start w:w="110" w:type="dxa"/>
              <w:bottom w:w="70" w:type="dxa"/>
              <w:end w:w="110" w:type="dxa"/>
            </w:tcMar>
            <w:vAlign w:val="center"/>
          </w:tcPr>
          <w:p>
            <w:pPr>
              <w:pStyle w:val="TableText"/>
              <w:jc w:val="left"/>
            </w:pPr>
            <w:r>
              <w:rPr>
                <w:lang w:val="en-US" w:eastAsia="en-US" w:bidi="ar-SA"/>
              </w:rPr>
              <w:t>Vermiculite, perlite and chlorites, unexpanded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2530.20.00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Kieserite, epsomite (natural magnesium sulphates)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2530.90.00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2601.11.00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Non-agglomerated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2601.12.00</w:t>
            </w:r>
          </w:p>
        </w:tc>
        <w:tc>
          <w:tcPr>
            <w:tcW w:w="4679" w:type="dxa"/>
            <w:tcMar>
              <w:top w:w="70" w:type="dxa"/>
              <w:start w:w="110" w:type="dxa"/>
              <w:bottom w:w="70" w:type="dxa"/>
              <w:end w:w="110" w:type="dxa"/>
            </w:tcMar>
            <w:vAlign w:val="center"/>
          </w:tcPr>
          <w:p>
            <w:pPr>
              <w:pStyle w:val="TableText"/>
              <w:jc w:val="left"/>
            </w:pPr>
            <w:r>
              <w:rPr>
                <w:lang w:val="en-US" w:eastAsia="en-US" w:bidi="ar-SA"/>
              </w:rPr>
              <w:t>Agglomerated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Roasted iron pyrites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2602.00.00</w:t>
            </w:r>
          </w:p>
        </w:tc>
        <w:tc>
          <w:tcPr>
            <w:tcW w:w="4679" w:type="dxa"/>
            <w:tcMar>
              <w:top w:w="70" w:type="dxa"/>
              <w:start w:w="110" w:type="dxa"/>
              <w:bottom w:w="70" w:type="dxa"/>
              <w:end w:w="110" w:type="dxa"/>
            </w:tcMar>
            <w:vAlign w:val="center"/>
          </w:tcPr>
          <w:p>
            <w:pPr>
              <w:pStyle w:val="TableText"/>
              <w:jc w:val="left"/>
            </w:pPr>
            <w:r>
              <w:rPr>
                <w:lang w:val="en-US" w:eastAsia="en-US" w:bidi="ar-SA"/>
              </w:rPr>
              <w:t>Manganese ores and concentrates, including ferruginous manganese ores and concentrates with a manganese content of 20% or more, calculated on the dry weight.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2603.00.00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Copper ores and concentrates.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2604.00.00</w:t>
            </w:r>
          </w:p>
        </w:tc>
        <w:tc>
          <w:tcPr>
            <w:tcW w:w="4679" w:type="dxa"/>
            <w:tcMar>
              <w:top w:w="70" w:type="dxa"/>
              <w:start w:w="110" w:type="dxa"/>
              <w:bottom w:w="70" w:type="dxa"/>
              <w:end w:w="110" w:type="dxa"/>
            </w:tcMar>
            <w:vAlign w:val="center"/>
          </w:tcPr>
          <w:p>
            <w:pPr>
              <w:pStyle w:val="TableText"/>
              <w:jc w:val="left"/>
            </w:pPr>
            <w:r>
              <w:rPr>
                <w:lang w:val="en-US" w:eastAsia="en-US" w:bidi="ar-SA"/>
              </w:rPr>
              <w:t>Nickel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2605.00.00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Cobalt ores and concentrates.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2606.00.00</w:t>
            </w:r>
          </w:p>
        </w:tc>
        <w:tc>
          <w:tcPr>
            <w:tcW w:w="4679" w:type="dxa"/>
            <w:tcMar>
              <w:top w:w="70" w:type="dxa"/>
              <w:start w:w="110" w:type="dxa"/>
              <w:bottom w:w="70" w:type="dxa"/>
              <w:end w:w="110" w:type="dxa"/>
            </w:tcMar>
            <w:vAlign w:val="center"/>
          </w:tcPr>
          <w:p>
            <w:pPr>
              <w:pStyle w:val="TableText"/>
              <w:jc w:val="left"/>
            </w:pPr>
            <w:r>
              <w:rPr>
                <w:lang w:val="en-US" w:eastAsia="en-US" w:bidi="ar-SA"/>
              </w:rPr>
              <w:t>Aluminum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2607.00.00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Lead ores and concentrates.</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2608.00.00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Zinc ores and concentrates.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2609.00.00</w:t>
            </w:r>
          </w:p>
        </w:tc>
        <w:tc>
          <w:tcPr>
            <w:tcW w:w="4679" w:type="dxa"/>
            <w:tcMar>
              <w:top w:w="70" w:type="dxa"/>
              <w:start w:w="110" w:type="dxa"/>
              <w:bottom w:w="70" w:type="dxa"/>
              <w:end w:w="110" w:type="dxa"/>
            </w:tcMar>
            <w:vAlign w:val="center"/>
          </w:tcPr>
          <w:p>
            <w:pPr>
              <w:pStyle w:val="TableText"/>
              <w:jc w:val="left"/>
            </w:pPr>
            <w:r>
              <w:rPr>
                <w:lang w:val="en-US" w:eastAsia="en-US" w:bidi="ar-SA"/>
              </w:rPr>
              <w:t>Tin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2610.00.00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Chromium ores and concentrates.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2611.00.00</w:t>
            </w:r>
          </w:p>
        </w:tc>
        <w:tc>
          <w:tcPr>
            <w:tcW w:w="4679" w:type="dxa"/>
            <w:tcMar>
              <w:top w:w="70" w:type="dxa"/>
              <w:start w:w="110" w:type="dxa"/>
              <w:bottom w:w="70" w:type="dxa"/>
              <w:end w:w="110" w:type="dxa"/>
            </w:tcMar>
            <w:vAlign w:val="center"/>
          </w:tcPr>
          <w:p>
            <w:pPr>
              <w:pStyle w:val="TableText"/>
              <w:jc w:val="left"/>
            </w:pPr>
            <w:r>
              <w:rPr>
                <w:lang w:val="en-US" w:eastAsia="en-US" w:bidi="ar-SA"/>
              </w:rPr>
              <w:t>Tungsten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Uranium ores and concentrates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2612.20.00</w:t>
            </w:r>
          </w:p>
        </w:tc>
        <w:tc>
          <w:tcPr>
            <w:tcW w:w="4679" w:type="dxa"/>
            <w:tcMar>
              <w:top w:w="70" w:type="dxa"/>
              <w:start w:w="110" w:type="dxa"/>
              <w:bottom w:w="70" w:type="dxa"/>
              <w:end w:w="110" w:type="dxa"/>
            </w:tcMar>
            <w:vAlign w:val="center"/>
          </w:tcPr>
          <w:p>
            <w:pPr>
              <w:pStyle w:val="TableText"/>
              <w:jc w:val="left"/>
            </w:pPr>
            <w:r>
              <w:rPr>
                <w:lang w:val="en-US" w:eastAsia="en-US" w:bidi="ar-SA"/>
              </w:rPr>
              <w:t>Thorium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Roasted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2613.90.00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2614.00.00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Titanium ores and concentrates.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2615.10.00</w:t>
            </w:r>
          </w:p>
        </w:tc>
        <w:tc>
          <w:tcPr>
            <w:tcW w:w="4679" w:type="dxa"/>
            <w:tcMar>
              <w:top w:w="70" w:type="dxa"/>
              <w:start w:w="110" w:type="dxa"/>
              <w:bottom w:w="70" w:type="dxa"/>
              <w:end w:w="110" w:type="dxa"/>
            </w:tcMar>
            <w:vAlign w:val="center"/>
          </w:tcPr>
          <w:p>
            <w:pPr>
              <w:pStyle w:val="TableText"/>
              <w:jc w:val="left"/>
            </w:pPr>
            <w:r>
              <w:rPr>
                <w:lang w:val="en-US" w:eastAsia="en-US" w:bidi="ar-SA"/>
              </w:rPr>
              <w:t>Zirconium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2616.10.00</w:t>
            </w:r>
          </w:p>
        </w:tc>
        <w:tc>
          <w:tcPr>
            <w:tcW w:w="4679" w:type="dxa"/>
            <w:tcMar>
              <w:top w:w="70" w:type="dxa"/>
              <w:start w:w="110" w:type="dxa"/>
              <w:bottom w:w="70" w:type="dxa"/>
              <w:end w:w="110" w:type="dxa"/>
            </w:tcMar>
            <w:vAlign w:val="center"/>
          </w:tcPr>
          <w:p>
            <w:pPr>
              <w:pStyle w:val="TableText"/>
              <w:jc w:val="left"/>
            </w:pPr>
            <w:r>
              <w:rPr>
                <w:lang w:val="en-US" w:eastAsia="en-US" w:bidi="ar-SA"/>
              </w:rPr>
              <w:t>Silver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2617.10.00</w:t>
            </w:r>
          </w:p>
        </w:tc>
        <w:tc>
          <w:tcPr>
            <w:tcW w:w="4679" w:type="dxa"/>
            <w:tcMar>
              <w:top w:w="70" w:type="dxa"/>
              <w:start w:w="110" w:type="dxa"/>
              <w:bottom w:w="70" w:type="dxa"/>
              <w:end w:w="110" w:type="dxa"/>
            </w:tcMar>
            <w:vAlign w:val="center"/>
          </w:tcPr>
          <w:p>
            <w:pPr>
              <w:pStyle w:val="TableText"/>
              <w:jc w:val="left"/>
            </w:pPr>
            <w:r>
              <w:rPr>
                <w:lang w:val="en-US" w:eastAsia="en-US" w:bidi="ar-SA"/>
              </w:rPr>
              <w:t>Antimony ores and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2617.90.00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2618.00.00</w:t>
            </w:r>
          </w:p>
        </w:tc>
        <w:tc>
          <w:tcPr>
            <w:tcW w:w="4679" w:type="dxa"/>
            <w:tcMar>
              <w:top w:w="70" w:type="dxa"/>
              <w:start w:w="110" w:type="dxa"/>
              <w:bottom w:w="70" w:type="dxa"/>
              <w:end w:w="110" w:type="dxa"/>
            </w:tcMar>
            <w:vAlign w:val="center"/>
          </w:tcPr>
          <w:p>
            <w:pPr>
              <w:pStyle w:val="TableText"/>
              <w:jc w:val="left"/>
            </w:pPr>
            <w:r>
              <w:rPr>
                <w:lang w:val="en-US" w:eastAsia="en-US" w:bidi="ar-SA"/>
              </w:rPr>
              <w:t>Granulated slag (slag sand) from the manufacture of iron or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2619.00.00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Slag, dross (other than granulated slag), scalings and other waste from the manufacture of iron or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2620.11.00</w:t>
            </w:r>
          </w:p>
        </w:tc>
        <w:tc>
          <w:tcPr>
            <w:tcW w:w="4679" w:type="dxa"/>
            <w:tcMar>
              <w:top w:w="70" w:type="dxa"/>
              <w:start w:w="110" w:type="dxa"/>
              <w:bottom w:w="70" w:type="dxa"/>
              <w:end w:w="110" w:type="dxa"/>
            </w:tcMar>
            <w:vAlign w:val="center"/>
          </w:tcPr>
          <w:p>
            <w:pPr>
              <w:pStyle w:val="TableText"/>
              <w:jc w:val="left"/>
            </w:pPr>
            <w:r>
              <w:rPr>
                <w:lang w:val="en-US" w:eastAsia="en-US" w:bidi="ar-SA"/>
              </w:rPr>
              <w:t>Hard zinc spelter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2620.19.00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2620.21.00</w:t>
            </w:r>
          </w:p>
        </w:tc>
        <w:tc>
          <w:tcPr>
            <w:tcW w:w="4679" w:type="dxa"/>
            <w:tcMar>
              <w:top w:w="70" w:type="dxa"/>
              <w:start w:w="110" w:type="dxa"/>
              <w:bottom w:w="70" w:type="dxa"/>
              <w:end w:w="110" w:type="dxa"/>
            </w:tcMar>
            <w:vAlign w:val="center"/>
          </w:tcPr>
          <w:p>
            <w:pPr>
              <w:pStyle w:val="TableText"/>
              <w:jc w:val="left"/>
            </w:pPr>
            <w:r>
              <w:rPr>
                <w:lang w:val="en-US" w:eastAsia="en-US" w:bidi="ar-SA"/>
              </w:rPr>
              <w:t>Leaded gasoline sludges and leaded anti-knock compound sludges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2620.29.00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2620.30.00</w:t>
            </w:r>
          </w:p>
        </w:tc>
        <w:tc>
          <w:tcPr>
            <w:tcW w:w="4679" w:type="dxa"/>
            <w:tcMar>
              <w:top w:w="70" w:type="dxa"/>
              <w:start w:w="110" w:type="dxa"/>
              <w:bottom w:w="70" w:type="dxa"/>
              <w:end w:w="110" w:type="dxa"/>
            </w:tcMar>
            <w:vAlign w:val="center"/>
          </w:tcPr>
          <w:p>
            <w:pPr>
              <w:pStyle w:val="TableText"/>
              <w:jc w:val="left"/>
            </w:pPr>
            <w:r>
              <w:rPr>
                <w:lang w:val="en-US" w:eastAsia="en-US" w:bidi="ar-SA"/>
              </w:rPr>
              <w:t>Containing mainly copper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2620.40.00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mainly aluminum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2620.60.00</w:t>
            </w:r>
          </w:p>
        </w:tc>
        <w:tc>
          <w:tcPr>
            <w:tcW w:w="4679" w:type="dxa"/>
            <w:tcMar>
              <w:top w:w="70" w:type="dxa"/>
              <w:start w:w="110" w:type="dxa"/>
              <w:bottom w:w="70" w:type="dxa"/>
              <w:end w:w="110" w:type="dxa"/>
            </w:tcMar>
            <w:vAlign w:val="center"/>
          </w:tcPr>
          <w:p>
            <w:pPr>
              <w:pStyle w:val="TableText"/>
              <w:jc w:val="left"/>
            </w:pPr>
            <w:r>
              <w:rPr>
                <w:lang w:val="en-US" w:eastAsia="en-US" w:bidi="ar-SA"/>
              </w:rPr>
              <w:t>Containing arsenic, mercury, thallium or their mixtures, of a kind used for the extraction of arsenic or those metals or for the manufacture of their chemical compounds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2620.91.00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antimony, beryllium, cadmium, chromium or their mixtures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2620.99.00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2621.10.00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Ash and residues from the incineration of municipal waste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2621.90.00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2701.11.00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Anthracite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2701.12.00</w:t>
            </w:r>
          </w:p>
        </w:tc>
        <w:tc>
          <w:tcPr>
            <w:tcW w:w="4679" w:type="dxa"/>
            <w:tcMar>
              <w:top w:w="70" w:type="dxa"/>
              <w:start w:w="110" w:type="dxa"/>
              <w:bottom w:w="70" w:type="dxa"/>
              <w:end w:w="110" w:type="dxa"/>
            </w:tcMar>
            <w:vAlign w:val="center"/>
          </w:tcPr>
          <w:p>
            <w:pPr>
              <w:pStyle w:val="TableText"/>
              <w:jc w:val="left"/>
            </w:pPr>
            <w:r>
              <w:rPr>
                <w:lang w:val="en-US" w:eastAsia="en-US" w:bidi="ar-SA"/>
              </w:rPr>
              <w:t>Bituminous coal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2701.19.00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coal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2701.20.00</w:t>
            </w:r>
          </w:p>
        </w:tc>
        <w:tc>
          <w:tcPr>
            <w:tcW w:w="4679" w:type="dxa"/>
            <w:tcMar>
              <w:top w:w="70" w:type="dxa"/>
              <w:start w:w="110" w:type="dxa"/>
              <w:bottom w:w="70" w:type="dxa"/>
              <w:end w:w="110" w:type="dxa"/>
            </w:tcMar>
            <w:vAlign w:val="center"/>
          </w:tcPr>
          <w:p>
            <w:pPr>
              <w:pStyle w:val="TableText"/>
              <w:jc w:val="left"/>
            </w:pPr>
            <w:r>
              <w:rPr>
                <w:lang w:val="en-US" w:eastAsia="en-US" w:bidi="ar-SA"/>
              </w:rPr>
              <w:t>Briquettes, ovoids and similar solid fuels manufactured from coal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2702.10.00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Lignite, whether or not pulverized, but not agglomerated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2702.20.00</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Agglomerated lignite 2703.00.00 Peat (including peat litter), whether or not agglomerated. 2704.00.00 Coke and semi-coke of coal, of lignite or of peat, whether or not agglomerated; retort carbon. 2705.00.00 Coal gas, water gas, producer gas and similar gases, other than petroleum gases and other gaseous hydrocarbons. 2706.00.00 Tar distilled from coal, from lignite or from peat, and other mineral tars, whether or not dehydrated or partially distilled, including reconstituted tars. 2707.10.00 Benzol (benzene) 2707.20.00 Toluol (toluene) 2707.30.00 Xylol (xylenes) 2707.40.00 Naphthalene 2707.50.00 Other aromatic hydrocarbon mixtures of which 65% or more by volume (including losses) distils at 250°C by the ISO 3405 method (equivalent to the ASTM D 86 method) 2707.91.00 Creosote oils 2707.99.00 Other 2708.10.00 Pitch 2708.20.00 Pitch coke 2709.00.00 Petroleum oils and oils obtained from bituminous minerals, crude. 2710.12.10 Alkylenes, mixed, with a very low degree of polymerization 2710.12.20 Lubricating oils put up in packings for retail sale 2710.12.90 Other 2710.19.10 White mineral oil (USP, BP or NF grades); Naphthenic oils for use in the manufacture of printing ink; Oils for use in the manufacture of goods of heading 38.08 or of tariff item No.</w:t>
      </w:r>
    </w:p>
    <w:p>
      <w:pPr>
        <w:pStyle w:val="Normal"/>
      </w:pPr>
      <w:r>
        <w:t>9919.00.00 2710.19.20 Alkylenes, mixed, with a very low degree of polymerization; Lubricating oils or basestocks, containing by weight more than 50% of synthetic hydrocarbons; Other white oils; Petroleum greases and lubricating greases 2710.19.30 Hydrocracker bottoms for use in the manufacture of motor oils, transmission fluids or hydraulic fluids 2710.19.91 Other: Lubricating oils put up in packings for retail sale 2710.19.99 Other: Other 2710.20.10 Lubricating oils put up in packings for retail sale 2710.20.90 Other 2710.91.00 Containing polychlorinated biphenyls (PCBs), polychlorinated terphenyls (PCTs) or polybrominated biphenyls (PBBs) 2710.99.00 Other 2711.11.00 Natural gas 2711.12.10 In containers ready for use 2711.12.90 Other 2711.13.00 Butanes 2711.14.00 Ethylene, propylene, butylene and butadiene 2711.19.10 In containers ready for use 2711.19.90 Other 2711.21.00 Natural gas 2711.29.00 Other 2712.10.00 Petroleum jelly 2712.20.00 Paraffin wax containing by weight less than 0.75% of oil 2712.90.00 Other 2713.11.00 Not calcined 2713.12.00 Calcined 2713.20.00 Petroleum bitumen 2713.90.00 Other residues of petroleum oils or of oils obtained from bituminous minerals 2714.10.00 Bituminous or oil shale and tar sands 2714.90.00 Other 2715.00.00 Bituminous mixtures based on natural asphalt, on natural bitumen, on petroleum bitumen, on mineral tar or on mineral tar pitch (for example, bituminous mastics, cut-backs). 2716.00.00 Electrical energy.</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2801.10.00</w:t>
            </w:r>
          </w:p>
        </w:tc>
        <w:tc>
          <w:tcPr>
            <w:tcW w:w="4679" w:type="dxa"/>
            <w:tcMar>
              <w:top w:w="70" w:type="dxa"/>
              <w:start w:w="110" w:type="dxa"/>
              <w:bottom w:w="70" w:type="dxa"/>
              <w:end w:w="110" w:type="dxa"/>
            </w:tcMar>
            <w:vAlign w:val="center"/>
          </w:tcPr>
          <w:p>
            <w:pPr>
              <w:pStyle w:val="TableText"/>
              <w:jc w:val="left"/>
            </w:pPr>
            <w:r>
              <w:rPr>
                <w:lang w:val="en-US" w:eastAsia="en-US" w:bidi="ar-SA"/>
              </w:rPr>
              <w:t>Chlorine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Iodine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2801.30.00</w:t>
            </w:r>
          </w:p>
        </w:tc>
        <w:tc>
          <w:tcPr>
            <w:tcW w:w="4679" w:type="dxa"/>
            <w:tcMar>
              <w:top w:w="70" w:type="dxa"/>
              <w:start w:w="110" w:type="dxa"/>
              <w:bottom w:w="70" w:type="dxa"/>
              <w:end w:w="110" w:type="dxa"/>
            </w:tcMar>
            <w:vAlign w:val="center"/>
          </w:tcPr>
          <w:p>
            <w:pPr>
              <w:pStyle w:val="TableText"/>
              <w:jc w:val="left"/>
            </w:pPr>
            <w:r>
              <w:rPr>
                <w:lang w:val="en-US" w:eastAsia="en-US" w:bidi="ar-SA"/>
              </w:rPr>
              <w:t>Fluorine; bromine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2802.00.00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Sulphur, sublimed or precipitated; colloidal sulphur.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2803.00.00</w:t>
            </w:r>
          </w:p>
        </w:tc>
        <w:tc>
          <w:tcPr>
            <w:tcW w:w="4679" w:type="dxa"/>
            <w:tcMar>
              <w:top w:w="70" w:type="dxa"/>
              <w:start w:w="110" w:type="dxa"/>
              <w:bottom w:w="70" w:type="dxa"/>
              <w:end w:w="110" w:type="dxa"/>
            </w:tcMar>
            <w:vAlign w:val="center"/>
          </w:tcPr>
          <w:p>
            <w:pPr>
              <w:pStyle w:val="TableText"/>
              <w:jc w:val="left"/>
            </w:pPr>
            <w:r>
              <w:rPr>
                <w:lang w:val="en-US" w:eastAsia="en-US" w:bidi="ar-SA"/>
              </w:rPr>
              <w:t>Carbon (carbon blacks and other forms of carbon not elsewhere specified or included).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Hydrogen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2804.21.00</w:t>
            </w:r>
          </w:p>
        </w:tc>
        <w:tc>
          <w:tcPr>
            <w:tcW w:w="4679" w:type="dxa"/>
            <w:tcMar>
              <w:top w:w="70" w:type="dxa"/>
              <w:start w:w="110" w:type="dxa"/>
              <w:bottom w:w="70" w:type="dxa"/>
              <w:end w:w="110" w:type="dxa"/>
            </w:tcMar>
            <w:vAlign w:val="center"/>
          </w:tcPr>
          <w:p>
            <w:pPr>
              <w:pStyle w:val="TableText"/>
              <w:jc w:val="left"/>
            </w:pPr>
            <w:r>
              <w:rPr>
                <w:lang w:val="en-US" w:eastAsia="en-US" w:bidi="ar-SA"/>
              </w:rPr>
              <w:t>Argon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2804.29.00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2804.30.00</w:t>
            </w:r>
          </w:p>
        </w:tc>
        <w:tc>
          <w:tcPr>
            <w:tcW w:w="4679" w:type="dxa"/>
            <w:tcMar>
              <w:top w:w="70" w:type="dxa"/>
              <w:start w:w="110" w:type="dxa"/>
              <w:bottom w:w="70" w:type="dxa"/>
              <w:end w:w="110" w:type="dxa"/>
            </w:tcMar>
            <w:vAlign w:val="center"/>
          </w:tcPr>
          <w:p>
            <w:pPr>
              <w:pStyle w:val="TableText"/>
              <w:jc w:val="left"/>
            </w:pPr>
            <w:r>
              <w:rPr>
                <w:lang w:val="en-US" w:eastAsia="en-US" w:bidi="ar-SA"/>
              </w:rPr>
              <w:t>Nitrogen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2804.40.00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Oxygen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2804.50.00</w:t>
            </w:r>
          </w:p>
        </w:tc>
        <w:tc>
          <w:tcPr>
            <w:tcW w:w="4679" w:type="dxa"/>
            <w:tcMar>
              <w:top w:w="70" w:type="dxa"/>
              <w:start w:w="110" w:type="dxa"/>
              <w:bottom w:w="70" w:type="dxa"/>
              <w:end w:w="110" w:type="dxa"/>
            </w:tcMar>
            <w:vAlign w:val="center"/>
          </w:tcPr>
          <w:p>
            <w:pPr>
              <w:pStyle w:val="TableText"/>
              <w:jc w:val="left"/>
            </w:pPr>
            <w:r>
              <w:rPr>
                <w:lang w:val="en-US" w:eastAsia="en-US" w:bidi="ar-SA"/>
              </w:rPr>
              <w:t>Boron; tellurium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2804.61.00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by weight not less than 99.99% of silicon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2804.69.00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2804.70.00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Phosphorus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2804.80.00</w:t>
            </w:r>
          </w:p>
        </w:tc>
        <w:tc>
          <w:tcPr>
            <w:tcW w:w="4679" w:type="dxa"/>
            <w:tcMar>
              <w:top w:w="70" w:type="dxa"/>
              <w:start w:w="110" w:type="dxa"/>
              <w:bottom w:w="70" w:type="dxa"/>
              <w:end w:w="110" w:type="dxa"/>
            </w:tcMar>
            <w:vAlign w:val="center"/>
          </w:tcPr>
          <w:p>
            <w:pPr>
              <w:pStyle w:val="TableText"/>
              <w:jc w:val="left"/>
            </w:pPr>
            <w:r>
              <w:rPr>
                <w:lang w:val="en-US" w:eastAsia="en-US" w:bidi="ar-SA"/>
              </w:rPr>
              <w:t>Arsenic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Selenium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2805.11.00</w:t>
            </w:r>
          </w:p>
        </w:tc>
        <w:tc>
          <w:tcPr>
            <w:tcW w:w="4679" w:type="dxa"/>
            <w:tcMar>
              <w:top w:w="70" w:type="dxa"/>
              <w:start w:w="110" w:type="dxa"/>
              <w:bottom w:w="70" w:type="dxa"/>
              <w:end w:w="110" w:type="dxa"/>
            </w:tcMar>
            <w:vAlign w:val="center"/>
          </w:tcPr>
          <w:p>
            <w:pPr>
              <w:pStyle w:val="TableText"/>
              <w:jc w:val="left"/>
            </w:pPr>
            <w:r>
              <w:rPr>
                <w:lang w:val="en-US" w:eastAsia="en-US" w:bidi="ar-SA"/>
              </w:rPr>
              <w:t>Sodium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Calcium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2805.19.00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Rare-earth metals, scandium and yttrium, whether or not intermixed or interalloyed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2805.40.00</w:t>
            </w:r>
          </w:p>
        </w:tc>
        <w:tc>
          <w:tcPr>
            <w:tcW w:w="4679" w:type="dxa"/>
            <w:tcMar>
              <w:top w:w="70" w:type="dxa"/>
              <w:start w:w="110" w:type="dxa"/>
              <w:bottom w:w="70" w:type="dxa"/>
              <w:end w:w="110" w:type="dxa"/>
            </w:tcMar>
            <w:vAlign w:val="center"/>
          </w:tcPr>
          <w:p>
            <w:pPr>
              <w:pStyle w:val="TableText"/>
              <w:jc w:val="left"/>
            </w:pPr>
            <w:r>
              <w:rPr>
                <w:lang w:val="en-US" w:eastAsia="en-US" w:bidi="ar-SA"/>
              </w:rPr>
              <w:t>Mercury</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Hydrogen chloride (hydrochloric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2806.20.00</w:t>
            </w:r>
          </w:p>
        </w:tc>
        <w:tc>
          <w:tcPr>
            <w:tcW w:w="4679" w:type="dxa"/>
            <w:tcMar>
              <w:top w:w="70" w:type="dxa"/>
              <w:start w:w="110" w:type="dxa"/>
              <w:bottom w:w="70" w:type="dxa"/>
              <w:end w:w="110" w:type="dxa"/>
            </w:tcMar>
            <w:vAlign w:val="center"/>
          </w:tcPr>
          <w:p>
            <w:pPr>
              <w:pStyle w:val="TableText"/>
              <w:jc w:val="left"/>
            </w:pPr>
            <w:r>
              <w:rPr>
                <w:lang w:val="en-US" w:eastAsia="en-US" w:bidi="ar-SA"/>
              </w:rPr>
              <w:t>Chlorosulphuric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2807.00.00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Sulphuric acid; oleum.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2808.00.00</w:t>
            </w:r>
          </w:p>
        </w:tc>
        <w:tc>
          <w:tcPr>
            <w:tcW w:w="4679" w:type="dxa"/>
            <w:tcMar>
              <w:top w:w="70" w:type="dxa"/>
              <w:start w:w="110" w:type="dxa"/>
              <w:bottom w:w="70" w:type="dxa"/>
              <w:end w:w="110" w:type="dxa"/>
            </w:tcMar>
            <w:vAlign w:val="center"/>
          </w:tcPr>
          <w:p>
            <w:pPr>
              <w:pStyle w:val="TableText"/>
              <w:jc w:val="left"/>
            </w:pPr>
            <w:r>
              <w:rPr>
                <w:lang w:val="en-US" w:eastAsia="en-US" w:bidi="ar-SA"/>
              </w:rPr>
              <w:t>Nitric acid; sulphonitric acids.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2809.10.00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Diphosphorus pentaoxide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2809.20.00</w:t>
            </w:r>
          </w:p>
        </w:tc>
        <w:tc>
          <w:tcPr>
            <w:tcW w:w="4679" w:type="dxa"/>
            <w:tcMar>
              <w:top w:w="70" w:type="dxa"/>
              <w:start w:w="110" w:type="dxa"/>
              <w:bottom w:w="70" w:type="dxa"/>
              <w:end w:w="110" w:type="dxa"/>
            </w:tcMar>
            <w:vAlign w:val="center"/>
          </w:tcPr>
          <w:p>
            <w:pPr>
              <w:pStyle w:val="TableText"/>
              <w:jc w:val="left"/>
            </w:pPr>
            <w:r>
              <w:rPr>
                <w:lang w:val="en-US" w:eastAsia="en-US" w:bidi="ar-SA"/>
              </w:rPr>
              <w:t>Phosphoric acid and polyphosphoric acids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2810.00.00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Oxides of boron; boric acids.</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Hydrogen fluoride (hydrofluoric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2811.12.00</w:t>
            </w:r>
          </w:p>
        </w:tc>
        <w:tc>
          <w:tcPr>
            <w:tcW w:w="4679" w:type="dxa"/>
            <w:tcMar>
              <w:top w:w="70" w:type="dxa"/>
              <w:start w:w="110" w:type="dxa"/>
              <w:bottom w:w="70" w:type="dxa"/>
              <w:end w:w="110" w:type="dxa"/>
            </w:tcMar>
            <w:vAlign w:val="center"/>
          </w:tcPr>
          <w:p>
            <w:pPr>
              <w:pStyle w:val="TableText"/>
              <w:jc w:val="left"/>
            </w:pPr>
            <w:r>
              <w:rPr>
                <w:lang w:val="en-US" w:eastAsia="en-US" w:bidi="ar-SA"/>
              </w:rPr>
              <w:t>Hydrogen cyanide (hydrocyanic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2811.19.00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2811.21.00</w:t>
            </w:r>
          </w:p>
        </w:tc>
        <w:tc>
          <w:tcPr>
            <w:tcW w:w="4679" w:type="dxa"/>
            <w:tcMar>
              <w:top w:w="70" w:type="dxa"/>
              <w:start w:w="110" w:type="dxa"/>
              <w:bottom w:w="70" w:type="dxa"/>
              <w:end w:w="110" w:type="dxa"/>
            </w:tcMar>
            <w:vAlign w:val="center"/>
          </w:tcPr>
          <w:p>
            <w:pPr>
              <w:pStyle w:val="TableText"/>
              <w:jc w:val="left"/>
            </w:pPr>
            <w:r>
              <w:rPr>
                <w:lang w:val="en-US" w:eastAsia="en-US" w:bidi="ar-SA"/>
              </w:rPr>
              <w:t>Carbon dioxide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2811.22.00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Silicon dioxide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2811.29.00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2812.11.00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Carbonyl dichloride (phosgene)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2812.12.00</w:t>
            </w:r>
          </w:p>
        </w:tc>
        <w:tc>
          <w:tcPr>
            <w:tcW w:w="4679" w:type="dxa"/>
            <w:tcMar>
              <w:top w:w="70" w:type="dxa"/>
              <w:start w:w="110" w:type="dxa"/>
              <w:bottom w:w="70" w:type="dxa"/>
              <w:end w:w="110" w:type="dxa"/>
            </w:tcMar>
            <w:vAlign w:val="center"/>
          </w:tcPr>
          <w:p>
            <w:pPr>
              <w:pStyle w:val="TableText"/>
              <w:jc w:val="left"/>
            </w:pPr>
            <w:r>
              <w:rPr>
                <w:lang w:val="en-US" w:eastAsia="en-US" w:bidi="ar-SA"/>
              </w:rPr>
              <w:t>Phosphorus oxychloride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2812.13.00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Phosphorus trichloride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2812.14.00</w:t>
            </w:r>
          </w:p>
        </w:tc>
        <w:tc>
          <w:tcPr>
            <w:tcW w:w="4679" w:type="dxa"/>
            <w:tcMar>
              <w:top w:w="70" w:type="dxa"/>
              <w:start w:w="110" w:type="dxa"/>
              <w:bottom w:w="70" w:type="dxa"/>
              <w:end w:w="110" w:type="dxa"/>
            </w:tcMar>
            <w:vAlign w:val="center"/>
          </w:tcPr>
          <w:p>
            <w:pPr>
              <w:pStyle w:val="TableText"/>
              <w:jc w:val="left"/>
            </w:pPr>
            <w:r>
              <w:rPr>
                <w:lang w:val="en-US" w:eastAsia="en-US" w:bidi="ar-SA"/>
              </w:rPr>
              <w:t>Phosphorus pentachloride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2812.15.00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Sulphur monochloride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2812.16.00</w:t>
            </w:r>
          </w:p>
        </w:tc>
        <w:tc>
          <w:tcPr>
            <w:tcW w:w="4679" w:type="dxa"/>
            <w:tcMar>
              <w:top w:w="70" w:type="dxa"/>
              <w:start w:w="110" w:type="dxa"/>
              <w:bottom w:w="70" w:type="dxa"/>
              <w:end w:w="110" w:type="dxa"/>
            </w:tcMar>
            <w:vAlign w:val="center"/>
          </w:tcPr>
          <w:p>
            <w:pPr>
              <w:pStyle w:val="TableText"/>
              <w:jc w:val="left"/>
            </w:pPr>
            <w:r>
              <w:rPr>
                <w:lang w:val="en-US" w:eastAsia="en-US" w:bidi="ar-SA"/>
              </w:rPr>
              <w:t>Sulphur dichloride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2812.17.00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Thionyl 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2812.19.00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2813.10.00</w:t>
            </w:r>
          </w:p>
        </w:tc>
        <w:tc>
          <w:tcPr>
            <w:tcW w:w="4679" w:type="dxa"/>
            <w:tcMar>
              <w:top w:w="70" w:type="dxa"/>
              <w:start w:w="110" w:type="dxa"/>
              <w:bottom w:w="70" w:type="dxa"/>
              <w:end w:w="110" w:type="dxa"/>
            </w:tcMar>
            <w:vAlign w:val="center"/>
          </w:tcPr>
          <w:p>
            <w:pPr>
              <w:pStyle w:val="TableText"/>
              <w:jc w:val="left"/>
            </w:pPr>
            <w:r>
              <w:rPr>
                <w:lang w:val="en-US" w:eastAsia="en-US" w:bidi="ar-SA"/>
              </w:rPr>
              <w:t>Carbon disulphide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2814.10.00</w:t>
            </w:r>
          </w:p>
        </w:tc>
        <w:tc>
          <w:tcPr>
            <w:tcW w:w="4679" w:type="dxa"/>
            <w:tcMar>
              <w:top w:w="70" w:type="dxa"/>
              <w:start w:w="110" w:type="dxa"/>
              <w:bottom w:w="70" w:type="dxa"/>
              <w:end w:w="110" w:type="dxa"/>
            </w:tcMar>
            <w:vAlign w:val="center"/>
          </w:tcPr>
          <w:p>
            <w:pPr>
              <w:pStyle w:val="TableText"/>
              <w:jc w:val="left"/>
            </w:pPr>
            <w:r>
              <w:rPr>
                <w:lang w:val="en-US" w:eastAsia="en-US" w:bidi="ar-SA"/>
              </w:rPr>
              <w:t>Anhydrous ammonia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Ammonia in aqueous solution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2815.11.00</w:t>
            </w:r>
          </w:p>
        </w:tc>
        <w:tc>
          <w:tcPr>
            <w:tcW w:w="4679" w:type="dxa"/>
            <w:tcMar>
              <w:top w:w="70" w:type="dxa"/>
              <w:start w:w="110" w:type="dxa"/>
              <w:bottom w:w="70" w:type="dxa"/>
              <w:end w:w="110" w:type="dxa"/>
            </w:tcMar>
            <w:vAlign w:val="center"/>
          </w:tcPr>
          <w:p>
            <w:pPr>
              <w:pStyle w:val="TableText"/>
              <w:jc w:val="left"/>
            </w:pPr>
            <w:r>
              <w:rPr>
                <w:lang w:val="en-US" w:eastAsia="en-US" w:bidi="ar-SA"/>
              </w:rPr>
              <w:t>Solid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aqueous solution (soda lye or liquid soda)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2815.20.00</w:t>
            </w:r>
          </w:p>
        </w:tc>
        <w:tc>
          <w:tcPr>
            <w:tcW w:w="4679" w:type="dxa"/>
            <w:tcMar>
              <w:top w:w="70" w:type="dxa"/>
              <w:start w:w="110" w:type="dxa"/>
              <w:bottom w:w="70" w:type="dxa"/>
              <w:end w:w="110" w:type="dxa"/>
            </w:tcMar>
            <w:vAlign w:val="center"/>
          </w:tcPr>
          <w:p>
            <w:pPr>
              <w:pStyle w:val="TableText"/>
              <w:jc w:val="left"/>
            </w:pPr>
            <w:r>
              <w:rPr>
                <w:lang w:val="en-US" w:eastAsia="en-US" w:bidi="ar-SA"/>
              </w:rPr>
              <w:t>Potassium hydroxide (caustic potash)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Peroxides of sodium or potassium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2816.10.00</w:t>
            </w:r>
          </w:p>
        </w:tc>
        <w:tc>
          <w:tcPr>
            <w:tcW w:w="4679" w:type="dxa"/>
            <w:tcMar>
              <w:top w:w="70" w:type="dxa"/>
              <w:start w:w="110" w:type="dxa"/>
              <w:bottom w:w="70" w:type="dxa"/>
              <w:end w:w="110" w:type="dxa"/>
            </w:tcMar>
            <w:vAlign w:val="center"/>
          </w:tcPr>
          <w:p>
            <w:pPr>
              <w:pStyle w:val="TableText"/>
              <w:jc w:val="left"/>
            </w:pPr>
            <w:r>
              <w:rPr>
                <w:lang w:val="en-US" w:eastAsia="en-US" w:bidi="ar-SA"/>
              </w:rPr>
              <w:t>Hydroxide and peroxide of magnesium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2816.40.00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Oxides, hydroxides and peroxides, of strontium or barium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2817.00.00</w:t>
            </w:r>
          </w:p>
        </w:tc>
        <w:tc>
          <w:tcPr>
            <w:tcW w:w="4679" w:type="dxa"/>
            <w:tcMar>
              <w:top w:w="70" w:type="dxa"/>
              <w:start w:w="110" w:type="dxa"/>
              <w:bottom w:w="70" w:type="dxa"/>
              <w:end w:w="110" w:type="dxa"/>
            </w:tcMar>
            <w:vAlign w:val="center"/>
          </w:tcPr>
          <w:p>
            <w:pPr>
              <w:pStyle w:val="TableText"/>
              <w:jc w:val="left"/>
            </w:pPr>
            <w:r>
              <w:rPr>
                <w:lang w:val="en-US" w:eastAsia="en-US" w:bidi="ar-SA"/>
              </w:rPr>
              <w:t>Zinc oxide; zinc peroxide.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2818.10.00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Artificial corundum, whether or not chemically defined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2818.20.00</w:t>
            </w:r>
          </w:p>
        </w:tc>
        <w:tc>
          <w:tcPr>
            <w:tcW w:w="4679" w:type="dxa"/>
            <w:tcMar>
              <w:top w:w="70" w:type="dxa"/>
              <w:start w:w="110" w:type="dxa"/>
              <w:bottom w:w="70" w:type="dxa"/>
              <w:end w:w="110" w:type="dxa"/>
            </w:tcMar>
            <w:vAlign w:val="center"/>
          </w:tcPr>
          <w:p>
            <w:pPr>
              <w:pStyle w:val="TableText"/>
              <w:jc w:val="left"/>
            </w:pPr>
            <w:r>
              <w:rPr>
                <w:lang w:val="en-US" w:eastAsia="en-US" w:bidi="ar-SA"/>
              </w:rPr>
              <w:t>Aluminum oxide, other than artificial corundum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2818.30.00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Aluminum hydroxide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2819.10.00</w:t>
            </w:r>
          </w:p>
        </w:tc>
        <w:tc>
          <w:tcPr>
            <w:tcW w:w="4679" w:type="dxa"/>
            <w:tcMar>
              <w:top w:w="70" w:type="dxa"/>
              <w:start w:w="110" w:type="dxa"/>
              <w:bottom w:w="70" w:type="dxa"/>
              <w:end w:w="110" w:type="dxa"/>
            </w:tcMar>
            <w:vAlign w:val="center"/>
          </w:tcPr>
          <w:p>
            <w:pPr>
              <w:pStyle w:val="TableText"/>
              <w:jc w:val="left"/>
            </w:pPr>
            <w:r>
              <w:rPr>
                <w:lang w:val="en-US" w:eastAsia="en-US" w:bidi="ar-SA"/>
              </w:rPr>
              <w:t>Chromium trioxide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2819.90.00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2820.10.00</w:t>
            </w:r>
          </w:p>
        </w:tc>
        <w:tc>
          <w:tcPr>
            <w:tcW w:w="4679" w:type="dxa"/>
            <w:tcMar>
              <w:top w:w="70" w:type="dxa"/>
              <w:start w:w="110" w:type="dxa"/>
              <w:bottom w:w="70" w:type="dxa"/>
              <w:end w:w="110" w:type="dxa"/>
            </w:tcMar>
            <w:vAlign w:val="center"/>
          </w:tcPr>
          <w:p>
            <w:pPr>
              <w:pStyle w:val="TableText"/>
              <w:jc w:val="left"/>
            </w:pPr>
            <w:r>
              <w:rPr>
                <w:lang w:val="en-US" w:eastAsia="en-US" w:bidi="ar-SA"/>
              </w:rPr>
              <w:t>Manganese dioxide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2820.90.00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2821.10.00</w:t>
            </w:r>
          </w:p>
        </w:tc>
        <w:tc>
          <w:tcPr>
            <w:tcW w:w="4679" w:type="dxa"/>
            <w:tcMar>
              <w:top w:w="70" w:type="dxa"/>
              <w:start w:w="110" w:type="dxa"/>
              <w:bottom w:w="70" w:type="dxa"/>
              <w:end w:w="110" w:type="dxa"/>
            </w:tcMar>
            <w:vAlign w:val="center"/>
          </w:tcPr>
          <w:p>
            <w:pPr>
              <w:pStyle w:val="TableText"/>
              <w:jc w:val="left"/>
            </w:pPr>
            <w:r>
              <w:rPr>
                <w:lang w:val="en-US" w:eastAsia="en-US" w:bidi="ar-SA"/>
              </w:rPr>
              <w:t>Iron oxides and hydroxides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Earth colours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2822.00.00</w:t>
            </w:r>
          </w:p>
        </w:tc>
        <w:tc>
          <w:tcPr>
            <w:tcW w:w="4679" w:type="dxa"/>
            <w:tcMar>
              <w:top w:w="70" w:type="dxa"/>
              <w:start w:w="110" w:type="dxa"/>
              <w:bottom w:w="70" w:type="dxa"/>
              <w:end w:w="110" w:type="dxa"/>
            </w:tcMar>
            <w:vAlign w:val="center"/>
          </w:tcPr>
          <w:p>
            <w:pPr>
              <w:pStyle w:val="TableText"/>
              <w:jc w:val="left"/>
            </w:pPr>
            <w:r>
              <w:rPr>
                <w:lang w:val="en-US" w:eastAsia="en-US" w:bidi="ar-SA"/>
              </w:rPr>
              <w:t>Cobalt oxides and hydroxides; commercial cobalt oxides.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Titanium oxides.</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Lead monoxide (litharge, massicot)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Hydrazine and hydroxylamine and their inorganic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2825.20.00</w:t>
            </w:r>
          </w:p>
        </w:tc>
        <w:tc>
          <w:tcPr>
            <w:tcW w:w="4679" w:type="dxa"/>
            <w:tcMar>
              <w:top w:w="70" w:type="dxa"/>
              <w:start w:w="110" w:type="dxa"/>
              <w:bottom w:w="70" w:type="dxa"/>
              <w:end w:w="110" w:type="dxa"/>
            </w:tcMar>
            <w:vAlign w:val="center"/>
          </w:tcPr>
          <w:p>
            <w:pPr>
              <w:pStyle w:val="TableText"/>
              <w:jc w:val="left"/>
            </w:pPr>
            <w:r>
              <w:rPr>
                <w:lang w:val="en-US" w:eastAsia="en-US" w:bidi="ar-SA"/>
              </w:rPr>
              <w:t>Lithium oxide and hydroxide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Vanadium oxides and hydroxides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2825.40.00</w:t>
            </w:r>
          </w:p>
        </w:tc>
        <w:tc>
          <w:tcPr>
            <w:tcW w:w="4679" w:type="dxa"/>
            <w:tcMar>
              <w:top w:w="70" w:type="dxa"/>
              <w:start w:w="110" w:type="dxa"/>
              <w:bottom w:w="70" w:type="dxa"/>
              <w:end w:w="110" w:type="dxa"/>
            </w:tcMar>
            <w:vAlign w:val="center"/>
          </w:tcPr>
          <w:p>
            <w:pPr>
              <w:pStyle w:val="TableText"/>
              <w:jc w:val="left"/>
            </w:pPr>
            <w:r>
              <w:rPr>
                <w:lang w:val="en-US" w:eastAsia="en-US" w:bidi="ar-SA"/>
              </w:rPr>
              <w:t>Nickel oxides and hydroxides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2825.50.00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Copper oxides and hydroxides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2825.60.00</w:t>
            </w:r>
          </w:p>
        </w:tc>
        <w:tc>
          <w:tcPr>
            <w:tcW w:w="4679" w:type="dxa"/>
            <w:tcMar>
              <w:top w:w="70" w:type="dxa"/>
              <w:start w:w="110" w:type="dxa"/>
              <w:bottom w:w="70" w:type="dxa"/>
              <w:end w:w="110" w:type="dxa"/>
            </w:tcMar>
            <w:vAlign w:val="center"/>
          </w:tcPr>
          <w:p>
            <w:pPr>
              <w:pStyle w:val="TableText"/>
              <w:jc w:val="left"/>
            </w:pPr>
            <w:r>
              <w:rPr>
                <w:lang w:val="en-US" w:eastAsia="en-US" w:bidi="ar-SA"/>
              </w:rPr>
              <w:t>Germanium oxides and zirconium dioxide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2825.70.00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Molybdenum oxides and hydroxides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2825.80.00</w:t>
            </w:r>
          </w:p>
        </w:tc>
        <w:tc>
          <w:tcPr>
            <w:tcW w:w="4679" w:type="dxa"/>
            <w:tcMar>
              <w:top w:w="70" w:type="dxa"/>
              <w:start w:w="110" w:type="dxa"/>
              <w:bottom w:w="70" w:type="dxa"/>
              <w:end w:w="110" w:type="dxa"/>
            </w:tcMar>
            <w:vAlign w:val="center"/>
          </w:tcPr>
          <w:p>
            <w:pPr>
              <w:pStyle w:val="TableText"/>
              <w:jc w:val="left"/>
            </w:pPr>
            <w:r>
              <w:rPr>
                <w:lang w:val="en-US" w:eastAsia="en-US" w:bidi="ar-SA"/>
              </w:rPr>
              <w:t>Antimony oxides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2826.12.00</w:t>
            </w:r>
          </w:p>
        </w:tc>
        <w:tc>
          <w:tcPr>
            <w:tcW w:w="4679" w:type="dxa"/>
            <w:tcMar>
              <w:top w:w="70" w:type="dxa"/>
              <w:start w:w="110" w:type="dxa"/>
              <w:bottom w:w="70" w:type="dxa"/>
              <w:end w:w="110" w:type="dxa"/>
            </w:tcMar>
            <w:vAlign w:val="center"/>
          </w:tcPr>
          <w:p>
            <w:pPr>
              <w:pStyle w:val="TableText"/>
              <w:jc w:val="left"/>
            </w:pPr>
            <w:r>
              <w:rPr>
                <w:lang w:val="en-US" w:eastAsia="en-US" w:bidi="ar-SA"/>
              </w:rPr>
              <w:t>Of aluminum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2826.19.00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2826.30.00</w:t>
            </w:r>
          </w:p>
        </w:tc>
        <w:tc>
          <w:tcPr>
            <w:tcW w:w="4679" w:type="dxa"/>
            <w:tcMar>
              <w:top w:w="70" w:type="dxa"/>
              <w:start w:w="110" w:type="dxa"/>
              <w:bottom w:w="70" w:type="dxa"/>
              <w:end w:w="110" w:type="dxa"/>
            </w:tcMar>
            <w:vAlign w:val="center"/>
          </w:tcPr>
          <w:p>
            <w:pPr>
              <w:pStyle w:val="TableText"/>
              <w:jc w:val="left"/>
            </w:pPr>
            <w:r>
              <w:rPr>
                <w:lang w:val="en-US" w:eastAsia="en-US" w:bidi="ar-SA"/>
              </w:rPr>
              <w:t>Sodium hexafluoroaluminate (synthetic cryolite)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2827.10.00</w:t>
            </w:r>
          </w:p>
        </w:tc>
        <w:tc>
          <w:tcPr>
            <w:tcW w:w="4679" w:type="dxa"/>
            <w:tcMar>
              <w:top w:w="70" w:type="dxa"/>
              <w:start w:w="110" w:type="dxa"/>
              <w:bottom w:w="70" w:type="dxa"/>
              <w:end w:w="110" w:type="dxa"/>
            </w:tcMar>
            <w:vAlign w:val="center"/>
          </w:tcPr>
          <w:p>
            <w:pPr>
              <w:pStyle w:val="TableText"/>
              <w:jc w:val="left"/>
            </w:pPr>
            <w:r>
              <w:rPr>
                <w:lang w:val="en-US" w:eastAsia="en-US" w:bidi="ar-SA"/>
              </w:rPr>
              <w:t>Ammonium chloride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Calcium 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2827.31.00</w:t>
            </w:r>
          </w:p>
        </w:tc>
        <w:tc>
          <w:tcPr>
            <w:tcW w:w="4679" w:type="dxa"/>
            <w:tcMar>
              <w:top w:w="70" w:type="dxa"/>
              <w:start w:w="110" w:type="dxa"/>
              <w:bottom w:w="70" w:type="dxa"/>
              <w:end w:w="110" w:type="dxa"/>
            </w:tcMar>
            <w:vAlign w:val="center"/>
          </w:tcPr>
          <w:p>
            <w:pPr>
              <w:pStyle w:val="TableText"/>
              <w:jc w:val="left"/>
            </w:pPr>
            <w:r>
              <w:rPr>
                <w:lang w:val="en-US" w:eastAsia="en-US" w:bidi="ar-SA"/>
              </w:rPr>
              <w:t>Of magnesium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2827.32.00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aluminum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2827.35.00</w:t>
            </w:r>
          </w:p>
        </w:tc>
        <w:tc>
          <w:tcPr>
            <w:tcW w:w="4679" w:type="dxa"/>
            <w:tcMar>
              <w:top w:w="70" w:type="dxa"/>
              <w:start w:w="110" w:type="dxa"/>
              <w:bottom w:w="70" w:type="dxa"/>
              <w:end w:w="110" w:type="dxa"/>
            </w:tcMar>
            <w:vAlign w:val="center"/>
          </w:tcPr>
          <w:p>
            <w:pPr>
              <w:pStyle w:val="TableText"/>
              <w:jc w:val="left"/>
            </w:pPr>
            <w:r>
              <w:rPr>
                <w:lang w:val="en-US" w:eastAsia="en-US" w:bidi="ar-SA"/>
              </w:rPr>
              <w:t>Of nickel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2827.39.00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2827.41.00</w:t>
            </w:r>
          </w:p>
        </w:tc>
        <w:tc>
          <w:tcPr>
            <w:tcW w:w="4679" w:type="dxa"/>
            <w:tcMar>
              <w:top w:w="70" w:type="dxa"/>
              <w:start w:w="110" w:type="dxa"/>
              <w:bottom w:w="70" w:type="dxa"/>
              <w:end w:w="110" w:type="dxa"/>
            </w:tcMar>
            <w:vAlign w:val="center"/>
          </w:tcPr>
          <w:p>
            <w:pPr>
              <w:pStyle w:val="TableText"/>
              <w:jc w:val="left"/>
            </w:pPr>
            <w:r>
              <w:rPr>
                <w:lang w:val="en-US" w:eastAsia="en-US" w:bidi="ar-SA"/>
              </w:rPr>
              <w:t>Of copper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2827.49.00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2827.51.00</w:t>
            </w:r>
          </w:p>
        </w:tc>
        <w:tc>
          <w:tcPr>
            <w:tcW w:w="4679" w:type="dxa"/>
            <w:tcMar>
              <w:top w:w="70" w:type="dxa"/>
              <w:start w:w="110" w:type="dxa"/>
              <w:bottom w:w="70" w:type="dxa"/>
              <w:end w:w="110" w:type="dxa"/>
            </w:tcMar>
            <w:vAlign w:val="center"/>
          </w:tcPr>
          <w:p>
            <w:pPr>
              <w:pStyle w:val="TableText"/>
              <w:jc w:val="left"/>
            </w:pPr>
            <w:r>
              <w:rPr>
                <w:lang w:val="en-US" w:eastAsia="en-US" w:bidi="ar-SA"/>
              </w:rPr>
              <w:t>Bromides of sodium or of potassium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2827.59.00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2827.60.00</w:t>
            </w:r>
          </w:p>
        </w:tc>
        <w:tc>
          <w:tcPr>
            <w:tcW w:w="4679" w:type="dxa"/>
            <w:tcMar>
              <w:top w:w="70" w:type="dxa"/>
              <w:start w:w="110" w:type="dxa"/>
              <w:bottom w:w="70" w:type="dxa"/>
              <w:end w:w="110" w:type="dxa"/>
            </w:tcMar>
            <w:vAlign w:val="center"/>
          </w:tcPr>
          <w:p>
            <w:pPr>
              <w:pStyle w:val="TableText"/>
              <w:jc w:val="left"/>
            </w:pPr>
            <w:r>
              <w:rPr>
                <w:lang w:val="en-US" w:eastAsia="en-US" w:bidi="ar-SA"/>
              </w:rPr>
              <w:t>Iodides and iodide oxides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2828.10.00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Commercial calcium hypochlorite and other calcium hypochlorites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2828.90.00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sodium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2829.19.00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2829.90.00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2830.10.00</w:t>
            </w:r>
          </w:p>
        </w:tc>
        <w:tc>
          <w:tcPr>
            <w:tcW w:w="4679" w:type="dxa"/>
            <w:tcMar>
              <w:top w:w="70" w:type="dxa"/>
              <w:start w:w="110" w:type="dxa"/>
              <w:bottom w:w="70" w:type="dxa"/>
              <w:end w:w="110" w:type="dxa"/>
            </w:tcMar>
            <w:vAlign w:val="center"/>
          </w:tcPr>
          <w:p>
            <w:pPr>
              <w:pStyle w:val="TableText"/>
              <w:jc w:val="left"/>
            </w:pPr>
            <w:r>
              <w:rPr>
                <w:lang w:val="en-US" w:eastAsia="en-US" w:bidi="ar-SA"/>
              </w:rPr>
              <w:t>Sodium sulphides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2830.90.00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2831.10.00</w:t>
            </w:r>
          </w:p>
        </w:tc>
        <w:tc>
          <w:tcPr>
            <w:tcW w:w="4679" w:type="dxa"/>
            <w:tcMar>
              <w:top w:w="70" w:type="dxa"/>
              <w:start w:w="110" w:type="dxa"/>
              <w:bottom w:w="70" w:type="dxa"/>
              <w:end w:w="110" w:type="dxa"/>
            </w:tcMar>
            <w:vAlign w:val="center"/>
          </w:tcPr>
          <w:p>
            <w:pPr>
              <w:pStyle w:val="TableText"/>
              <w:jc w:val="left"/>
            </w:pPr>
            <w:r>
              <w:rPr>
                <w:lang w:val="en-US" w:eastAsia="en-US" w:bidi="ar-SA"/>
              </w:rPr>
              <w:t>Of sodium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2832.10.00</w:t>
            </w:r>
          </w:p>
        </w:tc>
        <w:tc>
          <w:tcPr>
            <w:tcW w:w="4679" w:type="dxa"/>
            <w:tcMar>
              <w:top w:w="70" w:type="dxa"/>
              <w:start w:w="110" w:type="dxa"/>
              <w:bottom w:w="70" w:type="dxa"/>
              <w:end w:w="110" w:type="dxa"/>
            </w:tcMar>
            <w:vAlign w:val="center"/>
          </w:tcPr>
          <w:p>
            <w:pPr>
              <w:pStyle w:val="TableText"/>
              <w:jc w:val="left"/>
            </w:pPr>
            <w:r>
              <w:rPr>
                <w:lang w:val="en-US" w:eastAsia="en-US" w:bidi="ar-SA"/>
              </w:rPr>
              <w:t>Sodium sulphites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sulphites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2832.30.00</w:t>
            </w:r>
          </w:p>
        </w:tc>
        <w:tc>
          <w:tcPr>
            <w:tcW w:w="4679" w:type="dxa"/>
            <w:tcMar>
              <w:top w:w="70" w:type="dxa"/>
              <w:start w:w="110" w:type="dxa"/>
              <w:bottom w:w="70" w:type="dxa"/>
              <w:end w:w="110" w:type="dxa"/>
            </w:tcMar>
            <w:vAlign w:val="center"/>
          </w:tcPr>
          <w:p>
            <w:pPr>
              <w:pStyle w:val="TableText"/>
              <w:jc w:val="left"/>
            </w:pPr>
            <w:r>
              <w:rPr>
                <w:lang w:val="en-US" w:eastAsia="en-US" w:bidi="ar-SA"/>
              </w:rPr>
              <w:t>Thiosulphates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2833.11.00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Disodium sulphate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2833.19.00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2833.21.00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magnesium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2833.22.00</w:t>
            </w:r>
          </w:p>
        </w:tc>
        <w:tc>
          <w:tcPr>
            <w:tcW w:w="4679" w:type="dxa"/>
            <w:tcMar>
              <w:top w:w="70" w:type="dxa"/>
              <w:start w:w="110" w:type="dxa"/>
              <w:bottom w:w="70" w:type="dxa"/>
              <w:end w:w="110" w:type="dxa"/>
            </w:tcMar>
            <w:vAlign w:val="center"/>
          </w:tcPr>
          <w:p>
            <w:pPr>
              <w:pStyle w:val="TableText"/>
              <w:jc w:val="left"/>
            </w:pPr>
            <w:r>
              <w:rPr>
                <w:lang w:val="en-US" w:eastAsia="en-US" w:bidi="ar-SA"/>
              </w:rPr>
              <w:t>Of aluminum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2833.24.00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nickel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2833.25.00</w:t>
            </w:r>
          </w:p>
        </w:tc>
        <w:tc>
          <w:tcPr>
            <w:tcW w:w="4679" w:type="dxa"/>
            <w:tcMar>
              <w:top w:w="70" w:type="dxa"/>
              <w:start w:w="110" w:type="dxa"/>
              <w:bottom w:w="70" w:type="dxa"/>
              <w:end w:w="110" w:type="dxa"/>
            </w:tcMar>
            <w:vAlign w:val="center"/>
          </w:tcPr>
          <w:p>
            <w:pPr>
              <w:pStyle w:val="TableText"/>
              <w:jc w:val="left"/>
            </w:pPr>
            <w:r>
              <w:rPr>
                <w:lang w:val="en-US" w:eastAsia="en-US" w:bidi="ar-SA"/>
              </w:rPr>
              <w:t>Of copper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2833.27.00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barium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2833.29.00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2833.30.00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Alums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2833.40.00</w:t>
            </w:r>
          </w:p>
        </w:tc>
        <w:tc>
          <w:tcPr>
            <w:tcW w:w="4679" w:type="dxa"/>
            <w:tcMar>
              <w:top w:w="70" w:type="dxa"/>
              <w:start w:w="110" w:type="dxa"/>
              <w:bottom w:w="70" w:type="dxa"/>
              <w:end w:w="110" w:type="dxa"/>
            </w:tcMar>
            <w:vAlign w:val="center"/>
          </w:tcPr>
          <w:p>
            <w:pPr>
              <w:pStyle w:val="TableText"/>
              <w:jc w:val="left"/>
            </w:pPr>
            <w:r>
              <w:rPr>
                <w:lang w:val="en-US" w:eastAsia="en-US" w:bidi="ar-SA"/>
              </w:rPr>
              <w:t>Peroxosulphates (persulphates)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Nitrites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2834.21.00</w:t>
            </w:r>
          </w:p>
        </w:tc>
        <w:tc>
          <w:tcPr>
            <w:tcW w:w="4679" w:type="dxa"/>
            <w:tcMar>
              <w:top w:w="70" w:type="dxa"/>
              <w:start w:w="110" w:type="dxa"/>
              <w:bottom w:w="70" w:type="dxa"/>
              <w:end w:w="110" w:type="dxa"/>
            </w:tcMar>
            <w:vAlign w:val="center"/>
          </w:tcPr>
          <w:p>
            <w:pPr>
              <w:pStyle w:val="TableText"/>
              <w:jc w:val="left"/>
            </w:pPr>
            <w:r>
              <w:rPr>
                <w:lang w:val="en-US" w:eastAsia="en-US" w:bidi="ar-SA"/>
              </w:rPr>
              <w:t>Of potassium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2834.29.00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2835.10.00</w:t>
            </w:r>
          </w:p>
        </w:tc>
        <w:tc>
          <w:tcPr>
            <w:tcW w:w="4679" w:type="dxa"/>
            <w:tcMar>
              <w:top w:w="70" w:type="dxa"/>
              <w:start w:w="110" w:type="dxa"/>
              <w:bottom w:w="70" w:type="dxa"/>
              <w:end w:w="110" w:type="dxa"/>
            </w:tcMar>
            <w:vAlign w:val="center"/>
          </w:tcPr>
          <w:p>
            <w:pPr>
              <w:pStyle w:val="TableText"/>
              <w:jc w:val="left"/>
            </w:pPr>
            <w:r>
              <w:rPr>
                <w:lang w:val="en-US" w:eastAsia="en-US" w:bidi="ar-SA"/>
              </w:rPr>
              <w:t>Phosphinates (hypophosphites) and phosphonates (phosphites)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2835.22.00</w:t>
            </w:r>
          </w:p>
        </w:tc>
        <w:tc>
          <w:tcPr>
            <w:tcW w:w="4679" w:type="dxa"/>
            <w:tcMar>
              <w:top w:w="70" w:type="dxa"/>
              <w:start w:w="110" w:type="dxa"/>
              <w:bottom w:w="70" w:type="dxa"/>
              <w:end w:w="110" w:type="dxa"/>
            </w:tcMar>
            <w:vAlign w:val="center"/>
          </w:tcPr>
          <w:p>
            <w:pPr>
              <w:pStyle w:val="TableText"/>
              <w:jc w:val="left"/>
            </w:pPr>
            <w:r>
              <w:rPr>
                <w:lang w:val="en-US" w:eastAsia="en-US" w:bidi="ar-SA"/>
              </w:rPr>
              <w:t>Of mono- or disodium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2835.24.00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potassium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2835.25.00</w:t>
            </w:r>
          </w:p>
        </w:tc>
        <w:tc>
          <w:tcPr>
            <w:tcW w:w="4679" w:type="dxa"/>
            <w:tcMar>
              <w:top w:w="70" w:type="dxa"/>
              <w:start w:w="110" w:type="dxa"/>
              <w:bottom w:w="70" w:type="dxa"/>
              <w:end w:w="110" w:type="dxa"/>
            </w:tcMar>
            <w:vAlign w:val="center"/>
          </w:tcPr>
          <w:p>
            <w:pPr>
              <w:pStyle w:val="TableText"/>
              <w:jc w:val="left"/>
            </w:pPr>
            <w:r>
              <w:rPr>
                <w:lang w:val="en-US" w:eastAsia="en-US" w:bidi="ar-SA"/>
              </w:rPr>
              <w:t>Calcium hydrogenorthophosphate (“dicalcium phosphate”)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2835.26.00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phosphates of calcium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2835.29.00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2835.31.00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Sodium triphosphate (sodium tripolyphosphate)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2835.39.00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Disodium carbonate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2836.30.00</w:t>
            </w:r>
          </w:p>
        </w:tc>
        <w:tc>
          <w:tcPr>
            <w:tcW w:w="4679" w:type="dxa"/>
            <w:tcMar>
              <w:top w:w="70" w:type="dxa"/>
              <w:start w:w="110" w:type="dxa"/>
              <w:bottom w:w="70" w:type="dxa"/>
              <w:end w:w="110" w:type="dxa"/>
            </w:tcMar>
            <w:vAlign w:val="center"/>
          </w:tcPr>
          <w:p>
            <w:pPr>
              <w:pStyle w:val="TableText"/>
              <w:jc w:val="left"/>
            </w:pPr>
            <w:r>
              <w:rPr>
                <w:lang w:val="en-US" w:eastAsia="en-US" w:bidi="ar-SA"/>
              </w:rPr>
              <w:t>Sodium hydrogencarbonate (sodium bicarbonate)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2836.40.00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Potassium carbonates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2836.50.00</w:t>
            </w:r>
          </w:p>
        </w:tc>
        <w:tc>
          <w:tcPr>
            <w:tcW w:w="4679" w:type="dxa"/>
            <w:tcMar>
              <w:top w:w="70" w:type="dxa"/>
              <w:start w:w="110" w:type="dxa"/>
              <w:bottom w:w="70" w:type="dxa"/>
              <w:end w:w="110" w:type="dxa"/>
            </w:tcMar>
            <w:vAlign w:val="center"/>
          </w:tcPr>
          <w:p>
            <w:pPr>
              <w:pStyle w:val="TableText"/>
              <w:jc w:val="left"/>
            </w:pPr>
            <w:r>
              <w:rPr>
                <w:lang w:val="en-US" w:eastAsia="en-US" w:bidi="ar-SA"/>
              </w:rPr>
              <w:t>Calcium carbonate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2836.60.00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Barium carbonate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2836.91.00</w:t>
            </w:r>
          </w:p>
        </w:tc>
        <w:tc>
          <w:tcPr>
            <w:tcW w:w="4679" w:type="dxa"/>
            <w:tcMar>
              <w:top w:w="70" w:type="dxa"/>
              <w:start w:w="110" w:type="dxa"/>
              <w:bottom w:w="70" w:type="dxa"/>
              <w:end w:w="110" w:type="dxa"/>
            </w:tcMar>
            <w:vAlign w:val="center"/>
          </w:tcPr>
          <w:p>
            <w:pPr>
              <w:pStyle w:val="TableText"/>
              <w:jc w:val="left"/>
            </w:pPr>
            <w:r>
              <w:rPr>
                <w:lang w:val="en-US" w:eastAsia="en-US" w:bidi="ar-SA"/>
              </w:rPr>
              <w:t>Lithium carbonates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2836.92.00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Strontium carbonate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2836.99.00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2837.11.00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sodium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2837.19.00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Complex cyanides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2839.11.00</w:t>
            </w:r>
          </w:p>
        </w:tc>
        <w:tc>
          <w:tcPr>
            <w:tcW w:w="4679" w:type="dxa"/>
            <w:tcMar>
              <w:top w:w="70" w:type="dxa"/>
              <w:start w:w="110" w:type="dxa"/>
              <w:bottom w:w="70" w:type="dxa"/>
              <w:end w:w="110" w:type="dxa"/>
            </w:tcMar>
            <w:vAlign w:val="center"/>
          </w:tcPr>
          <w:p>
            <w:pPr>
              <w:pStyle w:val="TableText"/>
              <w:jc w:val="left"/>
            </w:pPr>
            <w:r>
              <w:rPr>
                <w:lang w:val="en-US" w:eastAsia="en-US" w:bidi="ar-SA"/>
              </w:rPr>
              <w:t>Sodium metasilicates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2839.19.00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2839.90.00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2840.11.00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Anhydrous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2840.19.00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2840.20.00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borates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2840.30.00</w:t>
            </w:r>
          </w:p>
        </w:tc>
        <w:tc>
          <w:tcPr>
            <w:tcW w:w="4679" w:type="dxa"/>
            <w:tcMar>
              <w:top w:w="70" w:type="dxa"/>
              <w:start w:w="110" w:type="dxa"/>
              <w:bottom w:w="70" w:type="dxa"/>
              <w:end w:w="110" w:type="dxa"/>
            </w:tcMar>
            <w:vAlign w:val="center"/>
          </w:tcPr>
          <w:p>
            <w:pPr>
              <w:pStyle w:val="TableText"/>
              <w:jc w:val="left"/>
            </w:pPr>
            <w:r>
              <w:rPr>
                <w:lang w:val="en-US" w:eastAsia="en-US" w:bidi="ar-SA"/>
              </w:rPr>
              <w:t>Peroxoborates (perborates)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2841.30.00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Sodium dichromate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2841.50.00</w:t>
            </w:r>
          </w:p>
        </w:tc>
        <w:tc>
          <w:tcPr>
            <w:tcW w:w="4679" w:type="dxa"/>
            <w:tcMar>
              <w:top w:w="70" w:type="dxa"/>
              <w:start w:w="110" w:type="dxa"/>
              <w:bottom w:w="70" w:type="dxa"/>
              <w:end w:w="110" w:type="dxa"/>
            </w:tcMar>
            <w:vAlign w:val="center"/>
          </w:tcPr>
          <w:p>
            <w:pPr>
              <w:pStyle w:val="TableText"/>
              <w:jc w:val="left"/>
            </w:pPr>
            <w:r>
              <w:rPr>
                <w:lang w:val="en-US" w:eastAsia="en-US" w:bidi="ar-SA"/>
              </w:rPr>
              <w:t>Other chromates and dichromates; peroxochromates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2841.61.00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Potassium permanganate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2841.69.00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2841.70.00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Molybdates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2841.80.00</w:t>
            </w:r>
          </w:p>
        </w:tc>
        <w:tc>
          <w:tcPr>
            <w:tcW w:w="4679" w:type="dxa"/>
            <w:tcMar>
              <w:top w:w="70" w:type="dxa"/>
              <w:start w:w="110" w:type="dxa"/>
              <w:bottom w:w="70" w:type="dxa"/>
              <w:end w:w="110" w:type="dxa"/>
            </w:tcMar>
            <w:vAlign w:val="center"/>
          </w:tcPr>
          <w:p>
            <w:pPr>
              <w:pStyle w:val="TableText"/>
              <w:jc w:val="left"/>
            </w:pPr>
            <w:r>
              <w:rPr>
                <w:lang w:val="en-US" w:eastAsia="en-US" w:bidi="ar-SA"/>
              </w:rPr>
              <w:t>Tungstates (wolframates)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2842.10.00</w:t>
            </w:r>
          </w:p>
        </w:tc>
        <w:tc>
          <w:tcPr>
            <w:tcW w:w="4679" w:type="dxa"/>
            <w:tcMar>
              <w:top w:w="70" w:type="dxa"/>
              <w:start w:w="110" w:type="dxa"/>
              <w:bottom w:w="70" w:type="dxa"/>
              <w:end w:w="110" w:type="dxa"/>
            </w:tcMar>
            <w:vAlign w:val="center"/>
          </w:tcPr>
          <w:p>
            <w:pPr>
              <w:pStyle w:val="TableText"/>
              <w:jc w:val="left"/>
            </w:pPr>
            <w:r>
              <w:rPr>
                <w:lang w:val="en-US" w:eastAsia="en-US" w:bidi="ar-SA"/>
              </w:rPr>
              <w:t>Double or complex silicates, including aluminosilicates whether or not chemically defined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2843.10.00</w:t>
            </w:r>
          </w:p>
        </w:tc>
        <w:tc>
          <w:tcPr>
            <w:tcW w:w="4679" w:type="dxa"/>
            <w:tcMar>
              <w:top w:w="70" w:type="dxa"/>
              <w:start w:w="110" w:type="dxa"/>
              <w:bottom w:w="70" w:type="dxa"/>
              <w:end w:w="110" w:type="dxa"/>
            </w:tcMar>
            <w:vAlign w:val="center"/>
          </w:tcPr>
          <w:p>
            <w:pPr>
              <w:pStyle w:val="TableText"/>
              <w:jc w:val="left"/>
            </w:pPr>
            <w:r>
              <w:rPr>
                <w:lang w:val="en-US" w:eastAsia="en-US" w:bidi="ar-SA"/>
              </w:rPr>
              <w:t>Colloidal precious metals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2843.21.00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Silver nitrate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2843.29.00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2843.30.00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Gold compounds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2843.90.00</w:t>
            </w:r>
          </w:p>
        </w:tc>
        <w:tc>
          <w:tcPr>
            <w:tcW w:w="4679" w:type="dxa"/>
            <w:tcMar>
              <w:top w:w="70" w:type="dxa"/>
              <w:start w:w="110" w:type="dxa"/>
              <w:bottom w:w="70" w:type="dxa"/>
              <w:end w:w="110" w:type="dxa"/>
            </w:tcMar>
            <w:vAlign w:val="center"/>
          </w:tcPr>
          <w:p>
            <w:pPr>
              <w:pStyle w:val="TableText"/>
              <w:jc w:val="left"/>
            </w:pPr>
            <w:r>
              <w:rPr>
                <w:lang w:val="en-US" w:eastAsia="en-US" w:bidi="ar-SA"/>
              </w:rPr>
              <w:t>Other compounds; amalgams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2844.10.00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Natural uranium and its compounds; alloys, dispersions (including cermets), ceramic products and mixtures containing natural uranium or natural uranium compounds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2844.20.00</w:t>
            </w:r>
          </w:p>
        </w:tc>
        <w:tc>
          <w:tcPr>
            <w:tcW w:w="4679" w:type="dxa"/>
            <w:tcMar>
              <w:top w:w="70" w:type="dxa"/>
              <w:start w:w="110" w:type="dxa"/>
              <w:bottom w:w="70" w:type="dxa"/>
              <w:end w:w="110" w:type="dxa"/>
            </w:tcMar>
            <w:vAlign w:val="center"/>
          </w:tcPr>
          <w:p>
            <w:pPr>
              <w:pStyle w:val="TableText"/>
              <w:jc w:val="left"/>
            </w:pPr>
            <w:r>
              <w:rPr>
                <w:lang w:val="en-US" w:eastAsia="en-US" w:bidi="ar-SA"/>
              </w:rPr>
              <w:t>Uranium enriched in U235 and its compounds; plutonium and its compounds; alloys, dispersions</w:t>
            </w:r>
          </w:p>
        </w:tc>
      </w:tr>
    </w:tbl>
    <w:p>
      <w:pPr>
        <w:pStyle w:val="Normal"/>
      </w:pPr>
      <w:r>
        <w:t>(including cermets), ceramic products and mixtures containing uranium enriched in U235, plutonium or compounds of these products 2844.30.00 Uranium depleted in U235 and its compounds; thorium and its compounds; alloys, dispersions (including cermets), ceramic products and mixtures containing uranium depleted in U235, thorium or compounds of these products 2844.40.00 Radioactive elements and isotopes and compounds other than those of subheading 2844.10, 2844.20 or 2844.30; alloys, dispersions (including cermets), ceramic products and mixtures containing these elements, isotopes or compounds; radioactive residues 2844.50.00 Spent (irradiated) fuel elements (cartridges) of nuclear reactors 2845.10.00 Heavy water (deuterium oxide) 2845.90.00 Other 2846.10.00 Cerium compounds 2846.90.00 Other 2847.00.00 Hydrogen peroxide, whether or not solidified with urea. 2849.10.00 Of calcium 2849.20.00 Of silicon 2849.90.00 Other 2850.00.00 Hydrides, nitrides, azides, silicides and borides, whether or not chemically defined, other than compounds which are also carbides of heading 28.49.</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2852.10.00</w:t>
            </w:r>
          </w:p>
        </w:tc>
        <w:tc>
          <w:tcPr>
            <w:tcW w:w="4679" w:type="dxa"/>
            <w:tcMar>
              <w:top w:w="70" w:type="dxa"/>
              <w:start w:w="110" w:type="dxa"/>
              <w:bottom w:w="70" w:type="dxa"/>
              <w:end w:w="110" w:type="dxa"/>
            </w:tcMar>
            <w:vAlign w:val="center"/>
          </w:tcPr>
          <w:p>
            <w:pPr>
              <w:pStyle w:val="TableText"/>
              <w:jc w:val="left"/>
            </w:pPr>
            <w:r>
              <w:rPr>
                <w:lang w:val="en-US" w:eastAsia="en-US" w:bidi="ar-SA"/>
              </w:rPr>
              <w:t>Chemically defined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2852.90.10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Mercury albuminate; Nucleoproteids of mercury</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2852.90.90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2853.10.00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Cyanogen chloride (chlorcyan)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2853.90.00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Saturated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2901.21.00</w:t>
            </w:r>
          </w:p>
        </w:tc>
        <w:tc>
          <w:tcPr>
            <w:tcW w:w="4679" w:type="dxa"/>
            <w:tcMar>
              <w:top w:w="70" w:type="dxa"/>
              <w:start w:w="110" w:type="dxa"/>
              <w:bottom w:w="70" w:type="dxa"/>
              <w:end w:w="110" w:type="dxa"/>
            </w:tcMar>
            <w:vAlign w:val="center"/>
          </w:tcPr>
          <w:p>
            <w:pPr>
              <w:pStyle w:val="TableText"/>
              <w:jc w:val="left"/>
            </w:pPr>
            <w:r>
              <w:rPr>
                <w:lang w:val="en-US" w:eastAsia="en-US" w:bidi="ar-SA"/>
              </w:rPr>
              <w:t>Ethylene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2901.22.00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Propene (propylene)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2901.23.00</w:t>
            </w:r>
          </w:p>
        </w:tc>
        <w:tc>
          <w:tcPr>
            <w:tcW w:w="4679" w:type="dxa"/>
            <w:tcMar>
              <w:top w:w="70" w:type="dxa"/>
              <w:start w:w="110" w:type="dxa"/>
              <w:bottom w:w="70" w:type="dxa"/>
              <w:end w:w="110" w:type="dxa"/>
            </w:tcMar>
            <w:vAlign w:val="center"/>
          </w:tcPr>
          <w:p>
            <w:pPr>
              <w:pStyle w:val="TableText"/>
              <w:jc w:val="left"/>
            </w:pPr>
            <w:r>
              <w:rPr>
                <w:lang w:val="en-US" w:eastAsia="en-US" w:bidi="ar-SA"/>
              </w:rPr>
              <w:t>Butene (butylene) and isomers thereof</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2901.24.00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Buta-1,3-diene and isoprene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2901.29.00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2902.11.00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Cyclohexane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2902.19.00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Benzene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2902.30.00</w:t>
            </w:r>
          </w:p>
        </w:tc>
        <w:tc>
          <w:tcPr>
            <w:tcW w:w="4679" w:type="dxa"/>
            <w:tcMar>
              <w:top w:w="70" w:type="dxa"/>
              <w:start w:w="110" w:type="dxa"/>
              <w:bottom w:w="70" w:type="dxa"/>
              <w:end w:w="110" w:type="dxa"/>
            </w:tcMar>
            <w:vAlign w:val="center"/>
          </w:tcPr>
          <w:p>
            <w:pPr>
              <w:pStyle w:val="TableText"/>
              <w:jc w:val="left"/>
            </w:pPr>
            <w:r>
              <w:rPr>
                <w:lang w:val="en-US" w:eastAsia="en-US" w:bidi="ar-SA"/>
              </w:rPr>
              <w:t>Toluene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2902.41.00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o-Xylene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2902.42.00</w:t>
            </w:r>
          </w:p>
        </w:tc>
        <w:tc>
          <w:tcPr>
            <w:tcW w:w="4679" w:type="dxa"/>
            <w:tcMar>
              <w:top w:w="70" w:type="dxa"/>
              <w:start w:w="110" w:type="dxa"/>
              <w:bottom w:w="70" w:type="dxa"/>
              <w:end w:w="110" w:type="dxa"/>
            </w:tcMar>
            <w:vAlign w:val="center"/>
          </w:tcPr>
          <w:p>
            <w:pPr>
              <w:pStyle w:val="TableText"/>
              <w:jc w:val="left"/>
            </w:pPr>
            <w:r>
              <w:rPr>
                <w:lang w:val="en-US" w:eastAsia="en-US" w:bidi="ar-SA"/>
              </w:rPr>
              <w:t>m-Xylene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2902.43.00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p-Xylene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2902.44.00</w:t>
            </w:r>
          </w:p>
        </w:tc>
        <w:tc>
          <w:tcPr>
            <w:tcW w:w="4679" w:type="dxa"/>
            <w:tcMar>
              <w:top w:w="70" w:type="dxa"/>
              <w:start w:w="110" w:type="dxa"/>
              <w:bottom w:w="70" w:type="dxa"/>
              <w:end w:w="110" w:type="dxa"/>
            </w:tcMar>
            <w:vAlign w:val="center"/>
          </w:tcPr>
          <w:p>
            <w:pPr>
              <w:pStyle w:val="TableText"/>
              <w:jc w:val="left"/>
            </w:pPr>
            <w:r>
              <w:rPr>
                <w:lang w:val="en-US" w:eastAsia="en-US" w:bidi="ar-SA"/>
              </w:rPr>
              <w:t>Mixed xylene isomers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2902.50.00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Styrene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2902.60.00</w:t>
            </w:r>
          </w:p>
        </w:tc>
        <w:tc>
          <w:tcPr>
            <w:tcW w:w="4679" w:type="dxa"/>
            <w:tcMar>
              <w:top w:w="70" w:type="dxa"/>
              <w:start w:w="110" w:type="dxa"/>
              <w:bottom w:w="70" w:type="dxa"/>
              <w:end w:w="110" w:type="dxa"/>
            </w:tcMar>
            <w:vAlign w:val="center"/>
          </w:tcPr>
          <w:p>
            <w:pPr>
              <w:pStyle w:val="TableText"/>
              <w:jc w:val="left"/>
            </w:pPr>
            <w:r>
              <w:rPr>
                <w:lang w:val="en-US" w:eastAsia="en-US" w:bidi="ar-SA"/>
              </w:rPr>
              <w:t>Ethylbenzene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2902.70.00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Cumene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2902.90.00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Chloromethane (methyl chloride) and chloroethane (ethyl 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2903.12.00</w:t>
            </w:r>
          </w:p>
        </w:tc>
        <w:tc>
          <w:tcPr>
            <w:tcW w:w="4679" w:type="dxa"/>
            <w:tcMar>
              <w:top w:w="70" w:type="dxa"/>
              <w:start w:w="110" w:type="dxa"/>
              <w:bottom w:w="70" w:type="dxa"/>
              <w:end w:w="110" w:type="dxa"/>
            </w:tcMar>
            <w:vAlign w:val="center"/>
          </w:tcPr>
          <w:p>
            <w:pPr>
              <w:pStyle w:val="TableText"/>
              <w:jc w:val="left"/>
            </w:pPr>
            <w:r>
              <w:rPr>
                <w:lang w:val="en-US" w:eastAsia="en-US" w:bidi="ar-SA"/>
              </w:rPr>
              <w:t>Dichloromethane (methylene chloride)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Chloroform (trichloromethane)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2903.14.00</w:t>
            </w:r>
          </w:p>
        </w:tc>
        <w:tc>
          <w:tcPr>
            <w:tcW w:w="4679" w:type="dxa"/>
            <w:tcMar>
              <w:top w:w="70" w:type="dxa"/>
              <w:start w:w="110" w:type="dxa"/>
              <w:bottom w:w="70" w:type="dxa"/>
              <w:end w:w="110" w:type="dxa"/>
            </w:tcMar>
            <w:vAlign w:val="center"/>
          </w:tcPr>
          <w:p>
            <w:pPr>
              <w:pStyle w:val="TableText"/>
              <w:jc w:val="left"/>
            </w:pPr>
            <w:r>
              <w:rPr>
                <w:lang w:val="en-US" w:eastAsia="en-US" w:bidi="ar-SA"/>
              </w:rPr>
              <w:t>Carbon tetrachloride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2903.15.00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Ethylene dichloride (ISO) (1,2-dichloroethane)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Vinyl chloride (chloroethylene)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2903.22.00</w:t>
            </w:r>
          </w:p>
        </w:tc>
        <w:tc>
          <w:tcPr>
            <w:tcW w:w="4679" w:type="dxa"/>
            <w:tcMar>
              <w:top w:w="70" w:type="dxa"/>
              <w:start w:w="110" w:type="dxa"/>
              <w:bottom w:w="70" w:type="dxa"/>
              <w:end w:w="110" w:type="dxa"/>
            </w:tcMar>
            <w:vAlign w:val="center"/>
          </w:tcPr>
          <w:p>
            <w:pPr>
              <w:pStyle w:val="TableText"/>
              <w:jc w:val="left"/>
            </w:pPr>
            <w:r>
              <w:rPr>
                <w:lang w:val="en-US" w:eastAsia="en-US" w:bidi="ar-SA"/>
              </w:rPr>
              <w:t>Trichloroethylene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Tetrachloroethylene (perchloroethylene)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Ethylene dibromide (ISO) (1,2-dibromoethane)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2903.71.00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Chlorodifluoromethane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2903.72.00</w:t>
            </w:r>
          </w:p>
        </w:tc>
        <w:tc>
          <w:tcPr>
            <w:tcW w:w="4679" w:type="dxa"/>
            <w:tcMar>
              <w:top w:w="70" w:type="dxa"/>
              <w:start w:w="110" w:type="dxa"/>
              <w:bottom w:w="70" w:type="dxa"/>
              <w:end w:w="110" w:type="dxa"/>
            </w:tcMar>
            <w:vAlign w:val="center"/>
          </w:tcPr>
          <w:p>
            <w:pPr>
              <w:pStyle w:val="TableText"/>
              <w:jc w:val="left"/>
            </w:pPr>
            <w:r>
              <w:rPr>
                <w:lang w:val="en-US" w:eastAsia="en-US" w:bidi="ar-SA"/>
              </w:rPr>
              <w:t>Dichlorotrifluoroethanes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2903.73.00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Dichlorofluoroethanes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2903.74.00</w:t>
            </w:r>
          </w:p>
        </w:tc>
        <w:tc>
          <w:tcPr>
            <w:tcW w:w="4679" w:type="dxa"/>
            <w:tcMar>
              <w:top w:w="70" w:type="dxa"/>
              <w:start w:w="110" w:type="dxa"/>
              <w:bottom w:w="70" w:type="dxa"/>
              <w:end w:w="110" w:type="dxa"/>
            </w:tcMar>
            <w:vAlign w:val="center"/>
          </w:tcPr>
          <w:p>
            <w:pPr>
              <w:pStyle w:val="TableText"/>
              <w:jc w:val="left"/>
            </w:pPr>
            <w:r>
              <w:rPr>
                <w:lang w:val="en-US" w:eastAsia="en-US" w:bidi="ar-SA"/>
              </w:rPr>
              <w:t>Chlorodifluoroethanes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2903.75.00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Dichloropentafluoropropanes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2903.76.00</w:t>
            </w:r>
          </w:p>
        </w:tc>
        <w:tc>
          <w:tcPr>
            <w:tcW w:w="4679" w:type="dxa"/>
            <w:tcMar>
              <w:top w:w="70" w:type="dxa"/>
              <w:start w:w="110" w:type="dxa"/>
              <w:bottom w:w="70" w:type="dxa"/>
              <w:end w:w="110" w:type="dxa"/>
            </w:tcMar>
            <w:vAlign w:val="center"/>
          </w:tcPr>
          <w:p>
            <w:pPr>
              <w:pStyle w:val="TableText"/>
              <w:jc w:val="left"/>
            </w:pPr>
            <w:r>
              <w:rPr>
                <w:lang w:val="en-US" w:eastAsia="en-US" w:bidi="ar-SA"/>
              </w:rPr>
              <w:t>Bromochlorodifluoromethane, bromotrifluoromethane and dibromotetrafluoroethanes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2903.77.00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perhalogenated only with fluorine and chlorine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2903.78.00</w:t>
            </w:r>
          </w:p>
        </w:tc>
        <w:tc>
          <w:tcPr>
            <w:tcW w:w="4679" w:type="dxa"/>
            <w:tcMar>
              <w:top w:w="70" w:type="dxa"/>
              <w:start w:w="110" w:type="dxa"/>
              <w:bottom w:w="70" w:type="dxa"/>
              <w:end w:w="110" w:type="dxa"/>
            </w:tcMar>
            <w:vAlign w:val="center"/>
          </w:tcPr>
          <w:p>
            <w:pPr>
              <w:pStyle w:val="TableText"/>
              <w:jc w:val="left"/>
            </w:pPr>
            <w:r>
              <w:rPr>
                <w:lang w:val="en-US" w:eastAsia="en-US" w:bidi="ar-SA"/>
              </w:rPr>
              <w:t>Other perhalogenated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2903.79.00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2903.81.00</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1,2,3,4,5,6-Hexachlorocyclohexane (HCH (ISO)), including lindane (ISO, INN)</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2903.82.00</w:t>
            </w:r>
          </w:p>
        </w:tc>
        <w:tc>
          <w:tcPr>
            <w:tcW w:w="4679" w:type="dxa"/>
            <w:tcMar>
              <w:top w:w="70" w:type="dxa"/>
              <w:start w:w="110" w:type="dxa"/>
              <w:bottom w:w="70" w:type="dxa"/>
              <w:end w:w="110" w:type="dxa"/>
            </w:tcMar>
            <w:vAlign w:val="center"/>
          </w:tcPr>
          <w:p>
            <w:pPr>
              <w:pStyle w:val="TableText"/>
              <w:jc w:val="left"/>
            </w:pPr>
            <w:r>
              <w:rPr>
                <w:lang w:val="en-US" w:eastAsia="en-US" w:bidi="ar-SA"/>
              </w:rPr>
              <w:t>Aldrin (ISO), chlordane (ISO) and heptachlor (ISO)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2903.83.00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Mirex (ISO)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2903.89.00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Chlorobenzene, o -dichlorobenzene and p -dichlorobenzene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2903.92.00</w:t>
            </w:r>
          </w:p>
        </w:tc>
        <w:tc>
          <w:tcPr>
            <w:tcW w:w="4679" w:type="dxa"/>
            <w:tcMar>
              <w:top w:w="70" w:type="dxa"/>
              <w:start w:w="110" w:type="dxa"/>
              <w:bottom w:w="70" w:type="dxa"/>
              <w:end w:w="110" w:type="dxa"/>
            </w:tcMar>
            <w:vAlign w:val="center"/>
          </w:tcPr>
          <w:p>
            <w:pPr>
              <w:pStyle w:val="TableText"/>
              <w:jc w:val="left"/>
            </w:pPr>
            <w:r>
              <w:rPr>
                <w:lang w:val="en-US" w:eastAsia="en-US" w:bidi="ar-SA"/>
              </w:rPr>
              <w:t>Hexachlorobenzene (ISO) and DDT (ISO) (clofenotane (INN), 1,1,1-trichloro-2,2-bis(p -chlorophenyl)ethane)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2903.93.00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Pentachlorobenzene (ISO)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2903.94.00</w:t>
            </w:r>
          </w:p>
        </w:tc>
        <w:tc>
          <w:tcPr>
            <w:tcW w:w="4679" w:type="dxa"/>
            <w:tcMar>
              <w:top w:w="70" w:type="dxa"/>
              <w:start w:w="110" w:type="dxa"/>
              <w:bottom w:w="70" w:type="dxa"/>
              <w:end w:w="110" w:type="dxa"/>
            </w:tcMar>
            <w:vAlign w:val="center"/>
          </w:tcPr>
          <w:p>
            <w:pPr>
              <w:pStyle w:val="TableText"/>
              <w:jc w:val="left"/>
            </w:pPr>
            <w:r>
              <w:rPr>
                <w:lang w:val="en-US" w:eastAsia="en-US" w:bidi="ar-SA"/>
              </w:rPr>
              <w:t>Hexabromobiphenyls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2903.99.00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2904.10.00</w:t>
            </w:r>
          </w:p>
        </w:tc>
        <w:tc>
          <w:tcPr>
            <w:tcW w:w="4679" w:type="dxa"/>
            <w:tcMar>
              <w:top w:w="70" w:type="dxa"/>
              <w:start w:w="110" w:type="dxa"/>
              <w:bottom w:w="70" w:type="dxa"/>
              <w:end w:w="110" w:type="dxa"/>
            </w:tcMar>
            <w:vAlign w:val="center"/>
          </w:tcPr>
          <w:p>
            <w:pPr>
              <w:pStyle w:val="TableText"/>
              <w:jc w:val="left"/>
            </w:pPr>
            <w:r>
              <w:rPr>
                <w:lang w:val="en-US" w:eastAsia="en-US" w:bidi="ar-SA"/>
              </w:rPr>
              <w:t>Derivatives containing only sulpho groups, their salts and ethyl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Derivatives containing only nitro or only nitroso groups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2904.31.00</w:t>
            </w:r>
          </w:p>
        </w:tc>
        <w:tc>
          <w:tcPr>
            <w:tcW w:w="4679" w:type="dxa"/>
            <w:tcMar>
              <w:top w:w="70" w:type="dxa"/>
              <w:start w:w="110" w:type="dxa"/>
              <w:bottom w:w="70" w:type="dxa"/>
              <w:end w:w="110" w:type="dxa"/>
            </w:tcMar>
            <w:vAlign w:val="center"/>
          </w:tcPr>
          <w:p>
            <w:pPr>
              <w:pStyle w:val="TableText"/>
              <w:jc w:val="left"/>
            </w:pPr>
            <w:r>
              <w:rPr>
                <w:lang w:val="en-US" w:eastAsia="en-US" w:bidi="ar-SA"/>
              </w:rPr>
              <w:t>Perfluorooctane sulphonic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2904.32.00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Ammonium perfluorooctane sulphonate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2904.33.00</w:t>
            </w:r>
          </w:p>
        </w:tc>
        <w:tc>
          <w:tcPr>
            <w:tcW w:w="4679" w:type="dxa"/>
            <w:tcMar>
              <w:top w:w="70" w:type="dxa"/>
              <w:start w:w="110" w:type="dxa"/>
              <w:bottom w:w="70" w:type="dxa"/>
              <w:end w:w="110" w:type="dxa"/>
            </w:tcMar>
            <w:vAlign w:val="center"/>
          </w:tcPr>
          <w:p>
            <w:pPr>
              <w:pStyle w:val="TableText"/>
              <w:jc w:val="left"/>
            </w:pPr>
            <w:r>
              <w:rPr>
                <w:lang w:val="en-US" w:eastAsia="en-US" w:bidi="ar-SA"/>
              </w:rPr>
              <w:t>Lithium perfluorooctane sulphonate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2904.34.00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Potassium perfluorooctane sulphonate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2904.35.00</w:t>
            </w:r>
          </w:p>
        </w:tc>
        <w:tc>
          <w:tcPr>
            <w:tcW w:w="4679" w:type="dxa"/>
            <w:tcMar>
              <w:top w:w="70" w:type="dxa"/>
              <w:start w:w="110" w:type="dxa"/>
              <w:bottom w:w="70" w:type="dxa"/>
              <w:end w:w="110" w:type="dxa"/>
            </w:tcMar>
            <w:vAlign w:val="center"/>
          </w:tcPr>
          <w:p>
            <w:pPr>
              <w:pStyle w:val="TableText"/>
              <w:jc w:val="left"/>
            </w:pPr>
            <w:r>
              <w:rPr>
                <w:lang w:val="en-US" w:eastAsia="en-US" w:bidi="ar-SA"/>
              </w:rPr>
              <w:t>Other salts of perfluorooctane sulphonic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2904.36.00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Perfluorooctane sulphonyl fluoride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2904.91.00</w:t>
            </w:r>
          </w:p>
        </w:tc>
        <w:tc>
          <w:tcPr>
            <w:tcW w:w="4679" w:type="dxa"/>
            <w:tcMar>
              <w:top w:w="70" w:type="dxa"/>
              <w:start w:w="110" w:type="dxa"/>
              <w:bottom w:w="70" w:type="dxa"/>
              <w:end w:w="110" w:type="dxa"/>
            </w:tcMar>
            <w:vAlign w:val="center"/>
          </w:tcPr>
          <w:p>
            <w:pPr>
              <w:pStyle w:val="TableText"/>
              <w:jc w:val="left"/>
            </w:pPr>
            <w:r>
              <w:rPr>
                <w:lang w:val="en-US" w:eastAsia="en-US" w:bidi="ar-SA"/>
              </w:rPr>
              <w:t>Trichloronitromethane (chloropicrin)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2904.99.00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2905.11.00</w:t>
            </w:r>
          </w:p>
        </w:tc>
        <w:tc>
          <w:tcPr>
            <w:tcW w:w="4679" w:type="dxa"/>
            <w:tcMar>
              <w:top w:w="70" w:type="dxa"/>
              <w:start w:w="110" w:type="dxa"/>
              <w:bottom w:w="70" w:type="dxa"/>
              <w:end w:w="110" w:type="dxa"/>
            </w:tcMar>
            <w:vAlign w:val="center"/>
          </w:tcPr>
          <w:p>
            <w:pPr>
              <w:pStyle w:val="TableText"/>
              <w:jc w:val="left"/>
            </w:pPr>
            <w:r>
              <w:rPr>
                <w:lang w:val="en-US" w:eastAsia="en-US" w:bidi="ar-SA"/>
              </w:rPr>
              <w:t>Methanol (methyl alcohol)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Propan-1-ol (propyl alcohol) and propan-2-ol (isopropyl alcohol)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2905.13.00</w:t>
            </w:r>
          </w:p>
        </w:tc>
        <w:tc>
          <w:tcPr>
            <w:tcW w:w="4679" w:type="dxa"/>
            <w:tcMar>
              <w:top w:w="70" w:type="dxa"/>
              <w:start w:w="110" w:type="dxa"/>
              <w:bottom w:w="70" w:type="dxa"/>
              <w:end w:w="110" w:type="dxa"/>
            </w:tcMar>
            <w:vAlign w:val="center"/>
          </w:tcPr>
          <w:p>
            <w:pPr>
              <w:pStyle w:val="TableText"/>
              <w:jc w:val="left"/>
            </w:pPr>
            <w:r>
              <w:rPr>
                <w:lang w:val="en-US" w:eastAsia="en-US" w:bidi="ar-SA"/>
              </w:rPr>
              <w:t>Butan-1-ol (n -butyl alcohol)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butanols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2905.16.00</w:t>
            </w:r>
          </w:p>
        </w:tc>
        <w:tc>
          <w:tcPr>
            <w:tcW w:w="4679" w:type="dxa"/>
            <w:tcMar>
              <w:top w:w="70" w:type="dxa"/>
              <w:start w:w="110" w:type="dxa"/>
              <w:bottom w:w="70" w:type="dxa"/>
              <w:end w:w="110" w:type="dxa"/>
            </w:tcMar>
            <w:vAlign w:val="center"/>
          </w:tcPr>
          <w:p>
            <w:pPr>
              <w:pStyle w:val="TableText"/>
              <w:jc w:val="left"/>
            </w:pPr>
            <w:r>
              <w:rPr>
                <w:lang w:val="en-US" w:eastAsia="en-US" w:bidi="ar-SA"/>
              </w:rPr>
              <w:t>Octanol (octyl alcohol) and isomers thereof</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2905.17.00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Dodecan-1-ol (lauryl alcohol), hexadecan-1-ol (cetyl alcohol) and octadecan-1-ol (stearyl alcohol)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Acyclic terpene alcohols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Ethylene glycol (ethanediol)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2905.32.00</w:t>
            </w:r>
          </w:p>
        </w:tc>
        <w:tc>
          <w:tcPr>
            <w:tcW w:w="4679" w:type="dxa"/>
            <w:tcMar>
              <w:top w:w="70" w:type="dxa"/>
              <w:start w:w="110" w:type="dxa"/>
              <w:bottom w:w="70" w:type="dxa"/>
              <w:end w:w="110" w:type="dxa"/>
            </w:tcMar>
            <w:vAlign w:val="center"/>
          </w:tcPr>
          <w:p>
            <w:pPr>
              <w:pStyle w:val="TableText"/>
              <w:jc w:val="left"/>
            </w:pPr>
            <w:r>
              <w:rPr>
                <w:lang w:val="en-US" w:eastAsia="en-US" w:bidi="ar-SA"/>
              </w:rPr>
              <w:t>Propylene glycol (propane-1,2-diol)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2905.41.00</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2-Ethyl-2-(hydroxymethyl) propane-1,3-diol (trimethylolpropane)</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2905.42.00</w:t>
            </w:r>
          </w:p>
        </w:tc>
        <w:tc>
          <w:tcPr>
            <w:tcW w:w="4679" w:type="dxa"/>
            <w:tcMar>
              <w:top w:w="70" w:type="dxa"/>
              <w:start w:w="110" w:type="dxa"/>
              <w:bottom w:w="70" w:type="dxa"/>
              <w:end w:w="110" w:type="dxa"/>
            </w:tcMar>
            <w:vAlign w:val="center"/>
          </w:tcPr>
          <w:p>
            <w:pPr>
              <w:pStyle w:val="TableText"/>
              <w:jc w:val="left"/>
            </w:pPr>
            <w:r>
              <w:rPr>
                <w:lang w:val="en-US" w:eastAsia="en-US" w:bidi="ar-SA"/>
              </w:rPr>
              <w:t>Pentaerythritol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2905.43.00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Mannitol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2905.44.00</w:t>
            </w:r>
          </w:p>
        </w:tc>
        <w:tc>
          <w:tcPr>
            <w:tcW w:w="4679" w:type="dxa"/>
            <w:tcMar>
              <w:top w:w="70" w:type="dxa"/>
              <w:start w:w="110" w:type="dxa"/>
              <w:bottom w:w="70" w:type="dxa"/>
              <w:end w:w="110" w:type="dxa"/>
            </w:tcMar>
            <w:vAlign w:val="center"/>
          </w:tcPr>
          <w:p>
            <w:pPr>
              <w:pStyle w:val="TableText"/>
              <w:jc w:val="left"/>
            </w:pPr>
            <w:r>
              <w:rPr>
                <w:lang w:val="en-US" w:eastAsia="en-US" w:bidi="ar-SA"/>
              </w:rPr>
              <w:t>D-glucitol (sorbitol)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2905.45.00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Glycerol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2905.51.00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Ethchlorvynol (INN)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2905.59.00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2906.11.00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Menthol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2906.12.00</w:t>
            </w:r>
          </w:p>
        </w:tc>
        <w:tc>
          <w:tcPr>
            <w:tcW w:w="4679" w:type="dxa"/>
            <w:tcMar>
              <w:top w:w="70" w:type="dxa"/>
              <w:start w:w="110" w:type="dxa"/>
              <w:bottom w:w="70" w:type="dxa"/>
              <w:end w:w="110" w:type="dxa"/>
            </w:tcMar>
            <w:vAlign w:val="center"/>
          </w:tcPr>
          <w:p>
            <w:pPr>
              <w:pStyle w:val="TableText"/>
              <w:jc w:val="left"/>
            </w:pPr>
            <w:r>
              <w:rPr>
                <w:lang w:val="en-US" w:eastAsia="en-US" w:bidi="ar-SA"/>
              </w:rPr>
              <w:t>Cyclohexanol, methylcyclohexanols and dimethylcyclohexanols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2906.13.00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Sterols and inositols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2906.19.00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2906.21.00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Benzyl alcohol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2906.29.00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2907.11.00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Phenol (hydroxybenzene)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2907.12.00</w:t>
            </w:r>
          </w:p>
        </w:tc>
        <w:tc>
          <w:tcPr>
            <w:tcW w:w="4679" w:type="dxa"/>
            <w:tcMar>
              <w:top w:w="70" w:type="dxa"/>
              <w:start w:w="110" w:type="dxa"/>
              <w:bottom w:w="70" w:type="dxa"/>
              <w:end w:w="110" w:type="dxa"/>
            </w:tcMar>
            <w:vAlign w:val="center"/>
          </w:tcPr>
          <w:p>
            <w:pPr>
              <w:pStyle w:val="TableText"/>
              <w:jc w:val="left"/>
            </w:pPr>
            <w:r>
              <w:rPr>
                <w:lang w:val="en-US" w:eastAsia="en-US" w:bidi="ar-SA"/>
              </w:rPr>
              <w:t>Cresols and their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2907.13.00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Octylphenol, nonylphenol and their isomers; salts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2907.15.00</w:t>
            </w:r>
          </w:p>
        </w:tc>
        <w:tc>
          <w:tcPr>
            <w:tcW w:w="4679" w:type="dxa"/>
            <w:tcMar>
              <w:top w:w="70" w:type="dxa"/>
              <w:start w:w="110" w:type="dxa"/>
              <w:bottom w:w="70" w:type="dxa"/>
              <w:end w:w="110" w:type="dxa"/>
            </w:tcMar>
            <w:vAlign w:val="center"/>
          </w:tcPr>
          <w:p>
            <w:pPr>
              <w:pStyle w:val="TableText"/>
              <w:jc w:val="left"/>
            </w:pPr>
            <w:r>
              <w:rPr>
                <w:lang w:val="en-US" w:eastAsia="en-US" w:bidi="ar-SA"/>
              </w:rPr>
              <w:t>Naphthols and their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2907.19.00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2907.21.00</w:t>
            </w:r>
          </w:p>
        </w:tc>
        <w:tc>
          <w:tcPr>
            <w:tcW w:w="4679" w:type="dxa"/>
            <w:tcMar>
              <w:top w:w="70" w:type="dxa"/>
              <w:start w:w="110" w:type="dxa"/>
              <w:bottom w:w="70" w:type="dxa"/>
              <w:end w:w="110" w:type="dxa"/>
            </w:tcMar>
            <w:vAlign w:val="center"/>
          </w:tcPr>
          <w:p>
            <w:pPr>
              <w:pStyle w:val="TableText"/>
              <w:jc w:val="left"/>
            </w:pPr>
            <w:r>
              <w:rPr>
                <w:lang w:val="en-US" w:eastAsia="en-US" w:bidi="ar-SA"/>
              </w:rPr>
              <w:t>Resorcinol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2907.22.00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Hydroquinone (quinol)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2907.23.00</w:t>
            </w:r>
          </w:p>
        </w:tc>
        <w:tc>
          <w:tcPr>
            <w:tcW w:w="4679" w:type="dxa"/>
            <w:tcMar>
              <w:top w:w="70" w:type="dxa"/>
              <w:start w:w="110" w:type="dxa"/>
              <w:bottom w:w="70" w:type="dxa"/>
              <w:end w:w="110" w:type="dxa"/>
            </w:tcMar>
            <w:vAlign w:val="center"/>
          </w:tcPr>
          <w:p>
            <w:pPr>
              <w:pStyle w:val="TableText"/>
              <w:jc w:val="left"/>
            </w:pPr>
            <w:r>
              <w:rPr>
                <w:lang w:val="en-US" w:eastAsia="en-US" w:bidi="ar-SA"/>
              </w:rPr>
              <w:t>4,4’-Isopropylidenediphenol (bisphenol A, diphenylolpropane)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2907.29.00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2908.11.00</w:t>
            </w:r>
          </w:p>
        </w:tc>
        <w:tc>
          <w:tcPr>
            <w:tcW w:w="4679" w:type="dxa"/>
            <w:tcMar>
              <w:top w:w="70" w:type="dxa"/>
              <w:start w:w="110" w:type="dxa"/>
              <w:bottom w:w="70" w:type="dxa"/>
              <w:end w:w="110" w:type="dxa"/>
            </w:tcMar>
            <w:vAlign w:val="center"/>
          </w:tcPr>
          <w:p>
            <w:pPr>
              <w:pStyle w:val="TableText"/>
              <w:jc w:val="left"/>
            </w:pPr>
            <w:r>
              <w:rPr>
                <w:lang w:val="en-US" w:eastAsia="en-US" w:bidi="ar-SA"/>
              </w:rPr>
              <w:t>Pentachlorophenol (ISO)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2908.19.00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2908.91.00</w:t>
            </w:r>
          </w:p>
        </w:tc>
        <w:tc>
          <w:tcPr>
            <w:tcW w:w="4679" w:type="dxa"/>
            <w:tcMar>
              <w:top w:w="70" w:type="dxa"/>
              <w:start w:w="110" w:type="dxa"/>
              <w:bottom w:w="70" w:type="dxa"/>
              <w:end w:w="110" w:type="dxa"/>
            </w:tcMar>
            <w:vAlign w:val="center"/>
          </w:tcPr>
          <w:p>
            <w:pPr>
              <w:pStyle w:val="TableText"/>
              <w:jc w:val="left"/>
            </w:pPr>
            <w:r>
              <w:rPr>
                <w:lang w:val="en-US" w:eastAsia="en-US" w:bidi="ar-SA"/>
              </w:rPr>
              <w:t>Dinoseb (ISO)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2908.92.00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4,6-Dinitro-o-cresol (DNOC (ISO))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2908.99.00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Diethyl ether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2909.19.00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2909.20.00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Cyclanic, cyclenic or cycloterpenic ethers and their halogenated, sulphonated, nitrated or nitrosated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2909.30.00</w:t>
            </w:r>
          </w:p>
        </w:tc>
        <w:tc>
          <w:tcPr>
            <w:tcW w:w="4679" w:type="dxa"/>
            <w:tcMar>
              <w:top w:w="70" w:type="dxa"/>
              <w:start w:w="110" w:type="dxa"/>
              <w:bottom w:w="70" w:type="dxa"/>
              <w:end w:w="110" w:type="dxa"/>
            </w:tcMar>
            <w:vAlign w:val="center"/>
          </w:tcPr>
          <w:p>
            <w:pPr>
              <w:pStyle w:val="TableText"/>
              <w:jc w:val="left"/>
            </w:pPr>
            <w:r>
              <w:rPr>
                <w:lang w:val="en-US" w:eastAsia="en-US" w:bidi="ar-SA"/>
              </w:rPr>
              <w:t>Aromatic ethers and their halogenated, sulphonated, nitrated or nitrosated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2909.41.00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2,2’-Oxydiethanol (diethylene glycol, digol)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2909.43.00</w:t>
            </w:r>
          </w:p>
        </w:tc>
        <w:tc>
          <w:tcPr>
            <w:tcW w:w="4679" w:type="dxa"/>
            <w:tcMar>
              <w:top w:w="70" w:type="dxa"/>
              <w:start w:w="110" w:type="dxa"/>
              <w:bottom w:w="70" w:type="dxa"/>
              <w:end w:w="110" w:type="dxa"/>
            </w:tcMar>
            <w:vAlign w:val="center"/>
          </w:tcPr>
          <w:p>
            <w:pPr>
              <w:pStyle w:val="TableText"/>
              <w:jc w:val="left"/>
            </w:pPr>
            <w:r>
              <w:rPr>
                <w:lang w:val="en-US" w:eastAsia="en-US" w:bidi="ar-SA"/>
              </w:rPr>
              <w:t>Monobutyl ethers of ethylene glycol or of diethylene glycol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2909.44.00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monoalkylethers of ethylene glycol or of diethylene glycol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2909.49.00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2909.50.00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Ether-phenols,</w:t>
            </w:r>
          </w:p>
        </w:tc>
      </w:tr>
    </w:tbl>
    <w:p>
      <w:pPr>
        <w:pStyle w:val="Normal"/>
      </w:pPr>
      <w:r>
        <w:t>ether-alcohol-phenols and their halogenated, sulphonated, nitrated or nitrosated derivatives 2909.60.00 Alcohol peroxides, ether peroxides, ketone peroxides and their halogenated, sulphonated, nitrated or nitrosated derivatives 2910.10.00 Oxirane (ethylene oxide) 2910.20.00 Methyloxirane (propylene oxide) 2910.30.00 1-Chloro-2,3-epoxypropane (epichlorohydrin) 2910.40.00 Dieldrin (ISO, INN) 2910.50.00 Endrin (ISO) 2910.90.00 Other 2911.00.00 Acetals and hemiacetals, whether or not with other oxygen function, and their halogenated, sulphonated, nitrated or nitrosated derivatives. 2912.11.00 Methanal (formaldehyde) 2912.12.00 Ethanal (acetaldehyde) 2912.19.00 Other 2912.21.00 Benzaldehyde 2912.29.00 Other 2912.41.00 Vanillin (4-hydroxy-3-methoxybenzaldehyde) 2912.42.00 Ethylvanillin (3-ethoxy-4-hydroxybenzaldehyde) 2912.49.00 Other 2912.50.00 Cyclic polymers of aldehydes 2912.60.00 Paraformaldehyde 2913.00.00 Halogenated, sulphonated, nitrated or nitrosated derivatives of products of heading 29.12.</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2914.11.00</w:t>
            </w:r>
          </w:p>
        </w:tc>
        <w:tc>
          <w:tcPr>
            <w:tcW w:w="4679" w:type="dxa"/>
            <w:tcMar>
              <w:top w:w="70" w:type="dxa"/>
              <w:start w:w="110" w:type="dxa"/>
              <w:bottom w:w="70" w:type="dxa"/>
              <w:end w:w="110" w:type="dxa"/>
            </w:tcMar>
            <w:vAlign w:val="center"/>
          </w:tcPr>
          <w:p>
            <w:pPr>
              <w:pStyle w:val="TableText"/>
              <w:jc w:val="left"/>
            </w:pPr>
            <w:r>
              <w:rPr>
                <w:lang w:val="en-US" w:eastAsia="en-US" w:bidi="ar-SA"/>
              </w:rPr>
              <w:t>Acetone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Butanone (methyl ethyl ketone)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2914.13.00</w:t>
            </w:r>
          </w:p>
        </w:tc>
        <w:tc>
          <w:tcPr>
            <w:tcW w:w="4679" w:type="dxa"/>
            <w:tcMar>
              <w:top w:w="70" w:type="dxa"/>
              <w:start w:w="110" w:type="dxa"/>
              <w:bottom w:w="70" w:type="dxa"/>
              <w:end w:w="110" w:type="dxa"/>
            </w:tcMar>
            <w:vAlign w:val="center"/>
          </w:tcPr>
          <w:p>
            <w:pPr>
              <w:pStyle w:val="TableText"/>
              <w:jc w:val="left"/>
            </w:pPr>
            <w:r>
              <w:rPr>
                <w:lang w:val="en-US" w:eastAsia="en-US" w:bidi="ar-SA"/>
              </w:rPr>
              <w:t>4-Methylpentan-2-one (methyl isobutyl ketone)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2914.22.00</w:t>
            </w:r>
          </w:p>
        </w:tc>
        <w:tc>
          <w:tcPr>
            <w:tcW w:w="4679" w:type="dxa"/>
            <w:tcMar>
              <w:top w:w="70" w:type="dxa"/>
              <w:start w:w="110" w:type="dxa"/>
              <w:bottom w:w="70" w:type="dxa"/>
              <w:end w:w="110" w:type="dxa"/>
            </w:tcMar>
            <w:vAlign w:val="center"/>
          </w:tcPr>
          <w:p>
            <w:pPr>
              <w:pStyle w:val="TableText"/>
              <w:jc w:val="left"/>
            </w:pPr>
            <w:r>
              <w:rPr>
                <w:lang w:val="en-US" w:eastAsia="en-US" w:bidi="ar-SA"/>
              </w:rPr>
              <w:t>Cyclohexanone and methylcyclohexanones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Ionones and methylionones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Phenylacetone (phenylpropan-2-one)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Ketone-alcohols and ketone-aldehydes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2914.50.00</w:t>
            </w:r>
          </w:p>
        </w:tc>
        <w:tc>
          <w:tcPr>
            <w:tcW w:w="4679" w:type="dxa"/>
            <w:tcMar>
              <w:top w:w="70" w:type="dxa"/>
              <w:start w:w="110" w:type="dxa"/>
              <w:bottom w:w="70" w:type="dxa"/>
              <w:end w:w="110" w:type="dxa"/>
            </w:tcMar>
            <w:vAlign w:val="center"/>
          </w:tcPr>
          <w:p>
            <w:pPr>
              <w:pStyle w:val="TableText"/>
              <w:jc w:val="left"/>
            </w:pPr>
            <w:r>
              <w:rPr>
                <w:lang w:val="en-US" w:eastAsia="en-US" w:bidi="ar-SA"/>
              </w:rPr>
              <w:t>Ketone-phenols and ketones with other oxygen function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Anthraquinone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2914.62.00</w:t>
            </w:r>
          </w:p>
        </w:tc>
        <w:tc>
          <w:tcPr>
            <w:tcW w:w="4679" w:type="dxa"/>
            <w:tcMar>
              <w:top w:w="70" w:type="dxa"/>
              <w:start w:w="110" w:type="dxa"/>
              <w:bottom w:w="70" w:type="dxa"/>
              <w:end w:w="110" w:type="dxa"/>
            </w:tcMar>
            <w:vAlign w:val="center"/>
          </w:tcPr>
          <w:p>
            <w:pPr>
              <w:pStyle w:val="TableText"/>
              <w:jc w:val="left"/>
            </w:pPr>
            <w:r>
              <w:rPr>
                <w:lang w:val="en-US" w:eastAsia="en-US" w:bidi="ar-SA"/>
              </w:rPr>
              <w:t>Coenzyme Q10 (ubidecarenone (INN))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2914.69.00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2914.71.00</w:t>
            </w:r>
          </w:p>
        </w:tc>
        <w:tc>
          <w:tcPr>
            <w:tcW w:w="4679" w:type="dxa"/>
            <w:tcMar>
              <w:top w:w="70" w:type="dxa"/>
              <w:start w:w="110" w:type="dxa"/>
              <w:bottom w:w="70" w:type="dxa"/>
              <w:end w:w="110" w:type="dxa"/>
            </w:tcMar>
            <w:vAlign w:val="center"/>
          </w:tcPr>
          <w:p>
            <w:pPr>
              <w:pStyle w:val="TableText"/>
              <w:jc w:val="left"/>
            </w:pPr>
            <w:r>
              <w:rPr>
                <w:lang w:val="en-US" w:eastAsia="en-US" w:bidi="ar-SA"/>
              </w:rPr>
              <w:t>Chlordecone (ISO)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2914.79.00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2915.11.00</w:t>
            </w:r>
          </w:p>
        </w:tc>
        <w:tc>
          <w:tcPr>
            <w:tcW w:w="4679" w:type="dxa"/>
            <w:tcMar>
              <w:top w:w="70" w:type="dxa"/>
              <w:start w:w="110" w:type="dxa"/>
              <w:bottom w:w="70" w:type="dxa"/>
              <w:end w:w="110" w:type="dxa"/>
            </w:tcMar>
            <w:vAlign w:val="center"/>
          </w:tcPr>
          <w:p>
            <w:pPr>
              <w:pStyle w:val="TableText"/>
              <w:jc w:val="left"/>
            </w:pPr>
            <w:r>
              <w:rPr>
                <w:lang w:val="en-US" w:eastAsia="en-US" w:bidi="ar-SA"/>
              </w:rPr>
              <w:t>Formic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Salts of formic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2915.13.00</w:t>
            </w:r>
          </w:p>
        </w:tc>
        <w:tc>
          <w:tcPr>
            <w:tcW w:w="4679" w:type="dxa"/>
            <w:tcMar>
              <w:top w:w="70" w:type="dxa"/>
              <w:start w:w="110" w:type="dxa"/>
              <w:bottom w:w="70" w:type="dxa"/>
              <w:end w:w="110" w:type="dxa"/>
            </w:tcMar>
            <w:vAlign w:val="center"/>
          </w:tcPr>
          <w:p>
            <w:pPr>
              <w:pStyle w:val="TableText"/>
              <w:jc w:val="left"/>
            </w:pPr>
            <w:r>
              <w:rPr>
                <w:lang w:val="en-US" w:eastAsia="en-US" w:bidi="ar-SA"/>
              </w:rPr>
              <w:t>Esters of formic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Acetic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2915.24.00</w:t>
            </w:r>
          </w:p>
        </w:tc>
        <w:tc>
          <w:tcPr>
            <w:tcW w:w="4679" w:type="dxa"/>
            <w:tcMar>
              <w:top w:w="70" w:type="dxa"/>
              <w:start w:w="110" w:type="dxa"/>
              <w:bottom w:w="70" w:type="dxa"/>
              <w:end w:w="110" w:type="dxa"/>
            </w:tcMar>
            <w:vAlign w:val="center"/>
          </w:tcPr>
          <w:p>
            <w:pPr>
              <w:pStyle w:val="TableText"/>
              <w:jc w:val="left"/>
            </w:pPr>
            <w:r>
              <w:rPr>
                <w:lang w:val="en-US" w:eastAsia="en-US" w:bidi="ar-SA"/>
              </w:rPr>
              <w:t>Acetic anhydride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2915.31.00</w:t>
            </w:r>
          </w:p>
        </w:tc>
        <w:tc>
          <w:tcPr>
            <w:tcW w:w="4679" w:type="dxa"/>
            <w:tcMar>
              <w:top w:w="70" w:type="dxa"/>
              <w:start w:w="110" w:type="dxa"/>
              <w:bottom w:w="70" w:type="dxa"/>
              <w:end w:w="110" w:type="dxa"/>
            </w:tcMar>
            <w:vAlign w:val="center"/>
          </w:tcPr>
          <w:p>
            <w:pPr>
              <w:pStyle w:val="TableText"/>
              <w:jc w:val="left"/>
            </w:pPr>
            <w:r>
              <w:rPr>
                <w:lang w:val="en-US" w:eastAsia="en-US" w:bidi="ar-SA"/>
              </w:rPr>
              <w:t>Ethyl acetate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Vinyl acetate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2915.33.00</w:t>
            </w:r>
          </w:p>
        </w:tc>
        <w:tc>
          <w:tcPr>
            <w:tcW w:w="4679" w:type="dxa"/>
            <w:tcMar>
              <w:top w:w="70" w:type="dxa"/>
              <w:start w:w="110" w:type="dxa"/>
              <w:bottom w:w="70" w:type="dxa"/>
              <w:end w:w="110" w:type="dxa"/>
            </w:tcMar>
            <w:vAlign w:val="center"/>
          </w:tcPr>
          <w:p>
            <w:pPr>
              <w:pStyle w:val="TableText"/>
              <w:jc w:val="left"/>
            </w:pPr>
            <w:r>
              <w:rPr>
                <w:lang w:val="en-US" w:eastAsia="en-US" w:bidi="ar-SA"/>
              </w:rPr>
              <w:t>n -Butyl acetate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2915.36.00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Dinoseb (ISO) acetate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Mono-, di- or trichloroacetic acids, their salts and 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2915.50.00</w:t>
            </w:r>
          </w:p>
        </w:tc>
        <w:tc>
          <w:tcPr>
            <w:tcW w:w="4679" w:type="dxa"/>
            <w:tcMar>
              <w:top w:w="70" w:type="dxa"/>
              <w:start w:w="110" w:type="dxa"/>
              <w:bottom w:w="70" w:type="dxa"/>
              <w:end w:w="110" w:type="dxa"/>
            </w:tcMar>
            <w:vAlign w:val="center"/>
          </w:tcPr>
          <w:p>
            <w:pPr>
              <w:pStyle w:val="TableText"/>
              <w:jc w:val="left"/>
            </w:pPr>
            <w:r>
              <w:rPr>
                <w:lang w:val="en-US" w:eastAsia="en-US" w:bidi="ar-SA"/>
              </w:rPr>
              <w:t>Propionic acid, its salts and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Butanoic acids, pentanoic acids, their salts and 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2915.70.00</w:t>
            </w:r>
          </w:p>
        </w:tc>
        <w:tc>
          <w:tcPr>
            <w:tcW w:w="4679" w:type="dxa"/>
            <w:tcMar>
              <w:top w:w="70" w:type="dxa"/>
              <w:start w:w="110" w:type="dxa"/>
              <w:bottom w:w="70" w:type="dxa"/>
              <w:end w:w="110" w:type="dxa"/>
            </w:tcMar>
            <w:vAlign w:val="center"/>
          </w:tcPr>
          <w:p>
            <w:pPr>
              <w:pStyle w:val="TableText"/>
              <w:jc w:val="left"/>
            </w:pPr>
            <w:r>
              <w:rPr>
                <w:lang w:val="en-US" w:eastAsia="en-US" w:bidi="ar-SA"/>
              </w:rPr>
              <w:t>Palmitic acid, stearic acid, their salts and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2916.11.00</w:t>
            </w:r>
          </w:p>
        </w:tc>
        <w:tc>
          <w:tcPr>
            <w:tcW w:w="4679" w:type="dxa"/>
            <w:tcMar>
              <w:top w:w="70" w:type="dxa"/>
              <w:start w:w="110" w:type="dxa"/>
              <w:bottom w:w="70" w:type="dxa"/>
              <w:end w:w="110" w:type="dxa"/>
            </w:tcMar>
            <w:vAlign w:val="center"/>
          </w:tcPr>
          <w:p>
            <w:pPr>
              <w:pStyle w:val="TableText"/>
              <w:jc w:val="left"/>
            </w:pPr>
            <w:r>
              <w:rPr>
                <w:lang w:val="en-US" w:eastAsia="en-US" w:bidi="ar-SA"/>
              </w:rPr>
              <w:t>Acrylic acid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2916.12.00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Esters of acrylic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2916.13.00</w:t>
            </w:r>
          </w:p>
        </w:tc>
        <w:tc>
          <w:tcPr>
            <w:tcW w:w="4679" w:type="dxa"/>
            <w:tcMar>
              <w:top w:w="70" w:type="dxa"/>
              <w:start w:w="110" w:type="dxa"/>
              <w:bottom w:w="70" w:type="dxa"/>
              <w:end w:w="110" w:type="dxa"/>
            </w:tcMar>
            <w:vAlign w:val="center"/>
          </w:tcPr>
          <w:p>
            <w:pPr>
              <w:pStyle w:val="TableText"/>
              <w:jc w:val="left"/>
            </w:pPr>
            <w:r>
              <w:rPr>
                <w:lang w:val="en-US" w:eastAsia="en-US" w:bidi="ar-SA"/>
              </w:rPr>
              <w:t>Methacrylic acid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2916.14.00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Esters of methacrylic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2916.15.00</w:t>
            </w:r>
          </w:p>
        </w:tc>
        <w:tc>
          <w:tcPr>
            <w:tcW w:w="4679" w:type="dxa"/>
            <w:tcMar>
              <w:top w:w="70" w:type="dxa"/>
              <w:start w:w="110" w:type="dxa"/>
              <w:bottom w:w="70" w:type="dxa"/>
              <w:end w:w="110" w:type="dxa"/>
            </w:tcMar>
            <w:vAlign w:val="center"/>
          </w:tcPr>
          <w:p>
            <w:pPr>
              <w:pStyle w:val="TableText"/>
              <w:jc w:val="left"/>
            </w:pPr>
            <w:r>
              <w:rPr>
                <w:lang w:val="en-US" w:eastAsia="en-US" w:bidi="ar-SA"/>
              </w:rPr>
              <w:t>Oleic, linoleic or linolenic acids, their salts and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2916.16.00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Binapacryl (ISO)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2916.19.00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Cyclanic, cyclenic or cycloterpenic monocarboxylic acids, their anhydrides, halides, peroxides, peroxyacids and their</w:t>
            </w:r>
          </w:p>
        </w:tc>
      </w:tr>
    </w:tbl>
    <w:p>
      <w:pPr>
        <w:pStyle w:val="Normal"/>
      </w:pPr>
      <w:r>
        <w:t>derivatives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2916.31.00</w:t>
            </w:r>
          </w:p>
        </w:tc>
        <w:tc>
          <w:tcPr>
            <w:tcW w:w="4679" w:type="dxa"/>
            <w:tcMar>
              <w:top w:w="70" w:type="dxa"/>
              <w:start w:w="110" w:type="dxa"/>
              <w:bottom w:w="70" w:type="dxa"/>
              <w:end w:w="110" w:type="dxa"/>
            </w:tcMar>
            <w:vAlign w:val="center"/>
          </w:tcPr>
          <w:p>
            <w:pPr>
              <w:pStyle w:val="TableText"/>
              <w:jc w:val="left"/>
            </w:pPr>
            <w:r>
              <w:rPr>
                <w:lang w:val="en-US" w:eastAsia="en-US" w:bidi="ar-SA"/>
              </w:rPr>
              <w:t>Benzoic acid, its salts and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2916.32.00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Benzoyl peroxide and benzoyl 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2916.34.00</w:t>
            </w:r>
          </w:p>
        </w:tc>
        <w:tc>
          <w:tcPr>
            <w:tcW w:w="4679" w:type="dxa"/>
            <w:tcMar>
              <w:top w:w="70" w:type="dxa"/>
              <w:start w:w="110" w:type="dxa"/>
              <w:bottom w:w="70" w:type="dxa"/>
              <w:end w:w="110" w:type="dxa"/>
            </w:tcMar>
            <w:vAlign w:val="center"/>
          </w:tcPr>
          <w:p>
            <w:pPr>
              <w:pStyle w:val="TableText"/>
              <w:jc w:val="left"/>
            </w:pPr>
            <w:r>
              <w:rPr>
                <w:lang w:val="en-US" w:eastAsia="en-US" w:bidi="ar-SA"/>
              </w:rPr>
              <w:t>Phenylacetic acid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2916.39.00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2917.11.00</w:t>
            </w:r>
          </w:p>
        </w:tc>
        <w:tc>
          <w:tcPr>
            <w:tcW w:w="4679" w:type="dxa"/>
            <w:tcMar>
              <w:top w:w="70" w:type="dxa"/>
              <w:start w:w="110" w:type="dxa"/>
              <w:bottom w:w="70" w:type="dxa"/>
              <w:end w:w="110" w:type="dxa"/>
            </w:tcMar>
            <w:vAlign w:val="center"/>
          </w:tcPr>
          <w:p>
            <w:pPr>
              <w:pStyle w:val="TableText"/>
              <w:jc w:val="left"/>
            </w:pPr>
            <w:r>
              <w:rPr>
                <w:lang w:val="en-US" w:eastAsia="en-US" w:bidi="ar-SA"/>
              </w:rPr>
              <w:t>Oxalic acid, its salts and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2917.12.00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Adipic acid, its salts and 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2917.13.00</w:t>
            </w:r>
          </w:p>
        </w:tc>
        <w:tc>
          <w:tcPr>
            <w:tcW w:w="4679" w:type="dxa"/>
            <w:tcMar>
              <w:top w:w="70" w:type="dxa"/>
              <w:start w:w="110" w:type="dxa"/>
              <w:bottom w:w="70" w:type="dxa"/>
              <w:end w:w="110" w:type="dxa"/>
            </w:tcMar>
            <w:vAlign w:val="center"/>
          </w:tcPr>
          <w:p>
            <w:pPr>
              <w:pStyle w:val="TableText"/>
              <w:jc w:val="left"/>
            </w:pPr>
            <w:r>
              <w:rPr>
                <w:lang w:val="en-US" w:eastAsia="en-US" w:bidi="ar-SA"/>
              </w:rPr>
              <w:t>Azelaic acid, sebacic acid, their salts and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2917.14.00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Maleic anhydride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2917.19.10</w:t>
            </w:r>
          </w:p>
        </w:tc>
        <w:tc>
          <w:tcPr>
            <w:tcW w:w="4679" w:type="dxa"/>
            <w:tcMar>
              <w:top w:w="70" w:type="dxa"/>
              <w:start w:w="110" w:type="dxa"/>
              <w:bottom w:w="70" w:type="dxa"/>
              <w:end w:w="110" w:type="dxa"/>
            </w:tcMar>
            <w:vAlign w:val="center"/>
          </w:tcPr>
          <w:p>
            <w:pPr>
              <w:pStyle w:val="TableText"/>
              <w:jc w:val="left"/>
            </w:pPr>
            <w:r>
              <w:rPr>
                <w:lang w:val="en-US" w:eastAsia="en-US" w:bidi="ar-SA"/>
              </w:rPr>
              <w:t>Dibutyl fumarate; Dibutyl maleate; Ferrous fumarate; Lead fumarate, tetrabasic; Maleic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2917.19.91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For use in the manufacture of glues or adhesives, optical fibres or optical fibre bundles or cables, typewriter or similar ribbons, polymers in primary forms or profile shapes or sheets of plastics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2917.19.99</w:t>
            </w:r>
          </w:p>
        </w:tc>
        <w:tc>
          <w:tcPr>
            <w:tcW w:w="4679" w:type="dxa"/>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Cyclanic, cyclenic or cycloterpenic polycarboxylic acids, their anhydrides, halides, peroxides, peroxyacids and their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2917.32.00</w:t>
            </w:r>
          </w:p>
        </w:tc>
        <w:tc>
          <w:tcPr>
            <w:tcW w:w="4679" w:type="dxa"/>
            <w:tcMar>
              <w:top w:w="70" w:type="dxa"/>
              <w:start w:w="110" w:type="dxa"/>
              <w:bottom w:w="70" w:type="dxa"/>
              <w:end w:w="110" w:type="dxa"/>
            </w:tcMar>
            <w:vAlign w:val="center"/>
          </w:tcPr>
          <w:p>
            <w:pPr>
              <w:pStyle w:val="TableText"/>
              <w:jc w:val="left"/>
            </w:pPr>
            <w:r>
              <w:rPr>
                <w:lang w:val="en-US" w:eastAsia="en-US" w:bidi="ar-SA"/>
              </w:rPr>
              <w:t>Dioctyl orthophthalates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2917.33.00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Dinonyl or didecyl orthophthalates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2917.34.00</w:t>
            </w:r>
          </w:p>
        </w:tc>
        <w:tc>
          <w:tcPr>
            <w:tcW w:w="4679" w:type="dxa"/>
            <w:tcMar>
              <w:top w:w="70" w:type="dxa"/>
              <w:start w:w="110" w:type="dxa"/>
              <w:bottom w:w="70" w:type="dxa"/>
              <w:end w:w="110" w:type="dxa"/>
            </w:tcMar>
            <w:vAlign w:val="center"/>
          </w:tcPr>
          <w:p>
            <w:pPr>
              <w:pStyle w:val="TableText"/>
              <w:jc w:val="left"/>
            </w:pPr>
            <w:r>
              <w:rPr>
                <w:lang w:val="en-US" w:eastAsia="en-US" w:bidi="ar-SA"/>
              </w:rPr>
              <w:t>Other esters of orthophthalic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2917.35.00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Phthalic anhydride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2917.36.00</w:t>
            </w:r>
          </w:p>
        </w:tc>
        <w:tc>
          <w:tcPr>
            <w:tcW w:w="4679" w:type="dxa"/>
            <w:tcMar>
              <w:top w:w="70" w:type="dxa"/>
              <w:start w:w="110" w:type="dxa"/>
              <w:bottom w:w="70" w:type="dxa"/>
              <w:end w:w="110" w:type="dxa"/>
            </w:tcMar>
            <w:vAlign w:val="center"/>
          </w:tcPr>
          <w:p>
            <w:pPr>
              <w:pStyle w:val="TableText"/>
              <w:jc w:val="left"/>
            </w:pPr>
            <w:r>
              <w:rPr>
                <w:lang w:val="en-US" w:eastAsia="en-US" w:bidi="ar-SA"/>
              </w:rPr>
              <w:t>Terephthalic acid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2917.37.00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Dimethyl terephthalate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2917.39.00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Lactic acid, its salts and 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2918.12.00</w:t>
            </w:r>
          </w:p>
        </w:tc>
        <w:tc>
          <w:tcPr>
            <w:tcW w:w="4679" w:type="dxa"/>
            <w:tcMar>
              <w:top w:w="70" w:type="dxa"/>
              <w:start w:w="110" w:type="dxa"/>
              <w:bottom w:w="70" w:type="dxa"/>
              <w:end w:w="110" w:type="dxa"/>
            </w:tcMar>
            <w:vAlign w:val="center"/>
          </w:tcPr>
          <w:p>
            <w:pPr>
              <w:pStyle w:val="TableText"/>
              <w:jc w:val="left"/>
            </w:pPr>
            <w:r>
              <w:rPr>
                <w:lang w:val="en-US" w:eastAsia="en-US" w:bidi="ar-SA"/>
              </w:rPr>
              <w:t>Tartaric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Salts and esters of tartaric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2918.14.00</w:t>
            </w:r>
          </w:p>
        </w:tc>
        <w:tc>
          <w:tcPr>
            <w:tcW w:w="4679" w:type="dxa"/>
            <w:tcMar>
              <w:top w:w="70" w:type="dxa"/>
              <w:start w:w="110" w:type="dxa"/>
              <w:bottom w:w="70" w:type="dxa"/>
              <w:end w:w="110" w:type="dxa"/>
            </w:tcMar>
            <w:vAlign w:val="center"/>
          </w:tcPr>
          <w:p>
            <w:pPr>
              <w:pStyle w:val="TableText"/>
              <w:jc w:val="left"/>
            </w:pPr>
            <w:r>
              <w:rPr>
                <w:lang w:val="en-US" w:eastAsia="en-US" w:bidi="ar-SA"/>
              </w:rPr>
              <w:t>Citric acid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2918.15.00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Salts and esters of citric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2918.16.00</w:t>
            </w:r>
          </w:p>
        </w:tc>
        <w:tc>
          <w:tcPr>
            <w:tcW w:w="4679" w:type="dxa"/>
            <w:tcMar>
              <w:top w:w="70" w:type="dxa"/>
              <w:start w:w="110" w:type="dxa"/>
              <w:bottom w:w="70" w:type="dxa"/>
              <w:end w:w="110" w:type="dxa"/>
            </w:tcMar>
            <w:vAlign w:val="center"/>
          </w:tcPr>
          <w:p>
            <w:pPr>
              <w:pStyle w:val="TableText"/>
              <w:jc w:val="left"/>
            </w:pPr>
            <w:r>
              <w:rPr>
                <w:lang w:val="en-US" w:eastAsia="en-US" w:bidi="ar-SA"/>
              </w:rPr>
              <w:t>Gluconic acid, its salts and 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2918.17.00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2,2-Diphenyl-2-hydroxyacetic acid (benzilic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2918.18.00</w:t>
            </w:r>
          </w:p>
        </w:tc>
        <w:tc>
          <w:tcPr>
            <w:tcW w:w="4679" w:type="dxa"/>
            <w:tcMar>
              <w:top w:w="70" w:type="dxa"/>
              <w:start w:w="110" w:type="dxa"/>
              <w:bottom w:w="70" w:type="dxa"/>
              <w:end w:w="110" w:type="dxa"/>
            </w:tcMar>
            <w:vAlign w:val="center"/>
          </w:tcPr>
          <w:p>
            <w:pPr>
              <w:pStyle w:val="TableText"/>
              <w:jc w:val="left"/>
            </w:pPr>
            <w:r>
              <w:rPr>
                <w:lang w:val="en-US" w:eastAsia="en-US" w:bidi="ar-SA"/>
              </w:rPr>
              <w:t>Chlorobenzilate (ISO)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2918.21.00</w:t>
            </w:r>
          </w:p>
        </w:tc>
        <w:tc>
          <w:tcPr>
            <w:tcW w:w="4679" w:type="dxa"/>
            <w:tcMar>
              <w:top w:w="70" w:type="dxa"/>
              <w:start w:w="110" w:type="dxa"/>
              <w:bottom w:w="70" w:type="dxa"/>
              <w:end w:w="110" w:type="dxa"/>
            </w:tcMar>
            <w:vAlign w:val="center"/>
          </w:tcPr>
          <w:p>
            <w:pPr>
              <w:pStyle w:val="TableText"/>
              <w:jc w:val="left"/>
            </w:pPr>
            <w:r>
              <w:rPr>
                <w:lang w:val="en-US" w:eastAsia="en-US" w:bidi="ar-SA"/>
              </w:rPr>
              <w:t>Salicylic acid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 -Acetylsalicylic acid,</w:t>
            </w:r>
          </w:p>
        </w:tc>
      </w:tr>
    </w:tbl>
    <w:p>
      <w:pPr>
        <w:pStyle w:val="Normal"/>
      </w:pPr>
      <w:r>
        <w:t>its salts and esters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2918.23.00</w:t>
            </w:r>
          </w:p>
        </w:tc>
        <w:tc>
          <w:tcPr>
            <w:tcW w:w="4679" w:type="dxa"/>
            <w:tcMar>
              <w:top w:w="70" w:type="dxa"/>
              <w:start w:w="110" w:type="dxa"/>
              <w:bottom w:w="70" w:type="dxa"/>
              <w:end w:w="110" w:type="dxa"/>
            </w:tcMar>
            <w:vAlign w:val="center"/>
          </w:tcPr>
          <w:p>
            <w:pPr>
              <w:pStyle w:val="TableText"/>
              <w:jc w:val="left"/>
            </w:pPr>
            <w:r>
              <w:rPr>
                <w:lang w:val="en-US" w:eastAsia="en-US" w:bidi="ar-SA"/>
              </w:rPr>
              <w:t>Other esters of salicylic acid and their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2918.30.00</w:t>
            </w:r>
          </w:p>
        </w:tc>
        <w:tc>
          <w:tcPr>
            <w:tcW w:w="4679" w:type="dxa"/>
            <w:tcMar>
              <w:top w:w="70" w:type="dxa"/>
              <w:start w:w="110" w:type="dxa"/>
              <w:bottom w:w="70" w:type="dxa"/>
              <w:end w:w="110" w:type="dxa"/>
            </w:tcMar>
            <w:vAlign w:val="center"/>
          </w:tcPr>
          <w:p>
            <w:pPr>
              <w:pStyle w:val="TableText"/>
              <w:jc w:val="left"/>
            </w:pPr>
            <w:r>
              <w:rPr>
                <w:lang w:val="en-US" w:eastAsia="en-US" w:bidi="ar-SA"/>
              </w:rPr>
              <w:t>Carboxylic acids with aldehyde or ketone function but without other oxygen function, their anhydrides, halides, peroxides, peroxyacids and their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2918.91.00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2,4,5-T (ISO) (2,4,5-trichlorophenoxyacetic acid), its salts and 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2918.99.00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2919.10.00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Tris(2,3-dibromopropyl) phosphate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2919.90.00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2920.11.00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Parathion (ISO) and parathion-methyl (ISO) (methyl-parathion)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2920.19.00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2920.21.00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Dimethyl phosphite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2920.22.00</w:t>
            </w:r>
          </w:p>
        </w:tc>
        <w:tc>
          <w:tcPr>
            <w:tcW w:w="4679" w:type="dxa"/>
            <w:tcMar>
              <w:top w:w="70" w:type="dxa"/>
              <w:start w:w="110" w:type="dxa"/>
              <w:bottom w:w="70" w:type="dxa"/>
              <w:end w:w="110" w:type="dxa"/>
            </w:tcMar>
            <w:vAlign w:val="center"/>
          </w:tcPr>
          <w:p>
            <w:pPr>
              <w:pStyle w:val="TableText"/>
              <w:jc w:val="left"/>
            </w:pPr>
            <w:r>
              <w:rPr>
                <w:lang w:val="en-US" w:eastAsia="en-US" w:bidi="ar-SA"/>
              </w:rPr>
              <w:t>Diethyl phosphite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2920.23.00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Trimethyl phosphite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2920.24.00</w:t>
            </w:r>
          </w:p>
        </w:tc>
        <w:tc>
          <w:tcPr>
            <w:tcW w:w="4679" w:type="dxa"/>
            <w:tcMar>
              <w:top w:w="70" w:type="dxa"/>
              <w:start w:w="110" w:type="dxa"/>
              <w:bottom w:w="70" w:type="dxa"/>
              <w:end w:w="110" w:type="dxa"/>
            </w:tcMar>
            <w:vAlign w:val="center"/>
          </w:tcPr>
          <w:p>
            <w:pPr>
              <w:pStyle w:val="TableText"/>
              <w:jc w:val="left"/>
            </w:pPr>
            <w:r>
              <w:rPr>
                <w:lang w:val="en-US" w:eastAsia="en-US" w:bidi="ar-SA"/>
              </w:rPr>
              <w:t>Triethyl phosphite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2920.29.00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2920.30.00</w:t>
            </w:r>
          </w:p>
        </w:tc>
        <w:tc>
          <w:tcPr>
            <w:tcW w:w="4679" w:type="dxa"/>
            <w:tcMar>
              <w:top w:w="70" w:type="dxa"/>
              <w:start w:w="110" w:type="dxa"/>
              <w:bottom w:w="70" w:type="dxa"/>
              <w:end w:w="110" w:type="dxa"/>
            </w:tcMar>
            <w:vAlign w:val="center"/>
          </w:tcPr>
          <w:p>
            <w:pPr>
              <w:pStyle w:val="TableText"/>
              <w:jc w:val="left"/>
            </w:pPr>
            <w:r>
              <w:rPr>
                <w:lang w:val="en-US" w:eastAsia="en-US" w:bidi="ar-SA"/>
              </w:rPr>
              <w:t>Endosulfan (ISO)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2920.90.00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2921.11.00</w:t>
            </w:r>
          </w:p>
        </w:tc>
        <w:tc>
          <w:tcPr>
            <w:tcW w:w="4679" w:type="dxa"/>
            <w:tcMar>
              <w:top w:w="70" w:type="dxa"/>
              <w:start w:w="110" w:type="dxa"/>
              <w:bottom w:w="70" w:type="dxa"/>
              <w:end w:w="110" w:type="dxa"/>
            </w:tcMar>
            <w:vAlign w:val="center"/>
          </w:tcPr>
          <w:p>
            <w:pPr>
              <w:pStyle w:val="TableText"/>
              <w:jc w:val="left"/>
            </w:pPr>
            <w:r>
              <w:rPr>
                <w:lang w:val="en-US" w:eastAsia="en-US" w:bidi="ar-SA"/>
              </w:rPr>
              <w:t>Methylamine, di- or trimethylamine and their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2-(N,N-Dimethylamino)ethylchloride hydrochloride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2921.13.00</w:t>
            </w:r>
          </w:p>
        </w:tc>
        <w:tc>
          <w:tcPr>
            <w:tcW w:w="4679" w:type="dxa"/>
            <w:tcMar>
              <w:top w:w="70" w:type="dxa"/>
              <w:start w:w="110" w:type="dxa"/>
              <w:bottom w:w="70" w:type="dxa"/>
              <w:end w:w="110" w:type="dxa"/>
            </w:tcMar>
            <w:vAlign w:val="center"/>
          </w:tcPr>
          <w:p>
            <w:pPr>
              <w:pStyle w:val="TableText"/>
              <w:jc w:val="left"/>
            </w:pPr>
            <w:r>
              <w:rPr>
                <w:lang w:val="en-US" w:eastAsia="en-US" w:bidi="ar-SA"/>
              </w:rPr>
              <w:t>2-(N,N-Diethylamino)ethylchloride hydrochloride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2-(N,N-Diisopropylamino)ethylchloride hydrochloride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Ethylenediamine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2921.22.00</w:t>
            </w:r>
          </w:p>
        </w:tc>
        <w:tc>
          <w:tcPr>
            <w:tcW w:w="4679" w:type="dxa"/>
            <w:tcMar>
              <w:top w:w="70" w:type="dxa"/>
              <w:start w:w="110" w:type="dxa"/>
              <w:bottom w:w="70" w:type="dxa"/>
              <w:end w:w="110" w:type="dxa"/>
            </w:tcMar>
            <w:vAlign w:val="center"/>
          </w:tcPr>
          <w:p>
            <w:pPr>
              <w:pStyle w:val="TableText"/>
              <w:jc w:val="left"/>
            </w:pPr>
            <w:r>
              <w:rPr>
                <w:lang w:val="en-US" w:eastAsia="en-US" w:bidi="ar-SA"/>
              </w:rPr>
              <w:t>Hexamethylenediamine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2921.30.00</w:t>
            </w:r>
          </w:p>
        </w:tc>
        <w:tc>
          <w:tcPr>
            <w:tcW w:w="4679" w:type="dxa"/>
            <w:tcMar>
              <w:top w:w="70" w:type="dxa"/>
              <w:start w:w="110" w:type="dxa"/>
              <w:bottom w:w="70" w:type="dxa"/>
              <w:end w:w="110" w:type="dxa"/>
            </w:tcMar>
            <w:vAlign w:val="center"/>
          </w:tcPr>
          <w:p>
            <w:pPr>
              <w:pStyle w:val="TableText"/>
              <w:jc w:val="left"/>
            </w:pPr>
            <w:r>
              <w:rPr>
                <w:lang w:val="en-US" w:eastAsia="en-US" w:bidi="ar-SA"/>
              </w:rPr>
              <w:t>Cyclanic, cyclenic or cycloterpenic mono- or polyamines, and their derivatives; salts thereof</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Aniline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2921.42.00</w:t>
            </w:r>
          </w:p>
        </w:tc>
        <w:tc>
          <w:tcPr>
            <w:tcW w:w="4679" w:type="dxa"/>
            <w:tcMar>
              <w:top w:w="70" w:type="dxa"/>
              <w:start w:w="110" w:type="dxa"/>
              <w:bottom w:w="70" w:type="dxa"/>
              <w:end w:w="110" w:type="dxa"/>
            </w:tcMar>
            <w:vAlign w:val="center"/>
          </w:tcPr>
          <w:p>
            <w:pPr>
              <w:pStyle w:val="TableText"/>
              <w:jc w:val="left"/>
            </w:pPr>
            <w:r>
              <w:rPr>
                <w:lang w:val="en-US" w:eastAsia="en-US" w:bidi="ar-SA"/>
              </w:rPr>
              <w:t>Aniline derivatives and their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2921.43.00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Toluidines and their derivatives; salts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2921.44.00</w:t>
            </w:r>
          </w:p>
        </w:tc>
        <w:tc>
          <w:tcPr>
            <w:tcW w:w="4679" w:type="dxa"/>
            <w:tcMar>
              <w:top w:w="70" w:type="dxa"/>
              <w:start w:w="110" w:type="dxa"/>
              <w:bottom w:w="70" w:type="dxa"/>
              <w:end w:w="110" w:type="dxa"/>
            </w:tcMar>
            <w:vAlign w:val="center"/>
          </w:tcPr>
          <w:p>
            <w:pPr>
              <w:pStyle w:val="TableText"/>
              <w:jc w:val="left"/>
            </w:pPr>
            <w:r>
              <w:rPr>
                <w:lang w:val="en-US" w:eastAsia="en-US" w:bidi="ar-SA"/>
              </w:rPr>
              <w:t>Diphenylamine and its derivatives; salts thereof</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2921.45.00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1-Naphthylamine (alpha-naphthylamine), 2-naphthylamine (beta naphthylamine) and their derivatives; salts thereof</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2921.46.00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Amfetamine (INN), benzfetamine (INN), dexamfetamine (INN), etilamfetamine (INN), fencamfamin (INN), lefetamine (INN), levamfetamine (INN), mefenorex (INN) and phentermine (INN); salts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2921.51.00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 m-, p -Phenylenediamine, diaminotoluenes, and their derivatives; salts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2921.59.00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Monoethanolamine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2922.12.00</w:t>
            </w:r>
          </w:p>
        </w:tc>
        <w:tc>
          <w:tcPr>
            <w:tcW w:w="4679" w:type="dxa"/>
            <w:tcMar>
              <w:top w:w="70" w:type="dxa"/>
              <w:start w:w="110" w:type="dxa"/>
              <w:bottom w:w="70" w:type="dxa"/>
              <w:end w:w="110" w:type="dxa"/>
            </w:tcMar>
            <w:vAlign w:val="center"/>
          </w:tcPr>
          <w:p>
            <w:pPr>
              <w:pStyle w:val="TableText"/>
              <w:jc w:val="left"/>
            </w:pPr>
            <w:r>
              <w:rPr>
                <w:lang w:val="en-US" w:eastAsia="en-US" w:bidi="ar-SA"/>
              </w:rPr>
              <w:t>Diethanolamine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Dextropropoxyphene (INN)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2922.15.00</w:t>
            </w:r>
          </w:p>
        </w:tc>
        <w:tc>
          <w:tcPr>
            <w:tcW w:w="4679" w:type="dxa"/>
            <w:tcMar>
              <w:top w:w="70" w:type="dxa"/>
              <w:start w:w="110" w:type="dxa"/>
              <w:bottom w:w="70" w:type="dxa"/>
              <w:end w:w="110" w:type="dxa"/>
            </w:tcMar>
            <w:vAlign w:val="center"/>
          </w:tcPr>
          <w:p>
            <w:pPr>
              <w:pStyle w:val="TableText"/>
              <w:jc w:val="left"/>
            </w:pPr>
            <w:r>
              <w:rPr>
                <w:lang w:val="en-US" w:eastAsia="en-US" w:bidi="ar-SA"/>
              </w:rPr>
              <w:t>Triethanolamine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2922.16.00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Diethanolammonium perfluorooctane sulphonate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2922.17.00</w:t>
            </w:r>
          </w:p>
        </w:tc>
        <w:tc>
          <w:tcPr>
            <w:tcW w:w="4679" w:type="dxa"/>
            <w:tcMar>
              <w:top w:w="70" w:type="dxa"/>
              <w:start w:w="110" w:type="dxa"/>
              <w:bottom w:w="70" w:type="dxa"/>
              <w:end w:w="110" w:type="dxa"/>
            </w:tcMar>
            <w:vAlign w:val="center"/>
          </w:tcPr>
          <w:p>
            <w:pPr>
              <w:pStyle w:val="TableText"/>
              <w:jc w:val="left"/>
            </w:pPr>
            <w:r>
              <w:rPr>
                <w:lang w:val="en-US" w:eastAsia="en-US" w:bidi="ar-SA"/>
              </w:rPr>
              <w:t>Methyldiethanolamine and ethyldiethanolamine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2922.18.00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2-(N,N-Diisopropylamino)ethanol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Aminohydroxynaphthalenesulphonic acids and their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Amfepramone (INN), methadone (INN) and normethadone (INN); salts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Lysine and its esters; salts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2922.42.00</w:t>
            </w:r>
          </w:p>
        </w:tc>
        <w:tc>
          <w:tcPr>
            <w:tcW w:w="4679" w:type="dxa"/>
            <w:tcMar>
              <w:top w:w="70" w:type="dxa"/>
              <w:start w:w="110" w:type="dxa"/>
              <w:bottom w:w="70" w:type="dxa"/>
              <w:end w:w="110" w:type="dxa"/>
            </w:tcMar>
            <w:vAlign w:val="center"/>
          </w:tcPr>
          <w:p>
            <w:pPr>
              <w:pStyle w:val="TableText"/>
              <w:jc w:val="left"/>
            </w:pPr>
            <w:r>
              <w:rPr>
                <w:lang w:val="en-US" w:eastAsia="en-US" w:bidi="ar-SA"/>
              </w:rPr>
              <w:t>Glutamic acid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2922.43.00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Anthranilic acid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2922.44.00</w:t>
            </w:r>
          </w:p>
        </w:tc>
        <w:tc>
          <w:tcPr>
            <w:tcW w:w="4679" w:type="dxa"/>
            <w:tcMar>
              <w:top w:w="70" w:type="dxa"/>
              <w:start w:w="110" w:type="dxa"/>
              <w:bottom w:w="70" w:type="dxa"/>
              <w:end w:w="110" w:type="dxa"/>
            </w:tcMar>
            <w:vAlign w:val="center"/>
          </w:tcPr>
          <w:p>
            <w:pPr>
              <w:pStyle w:val="TableText"/>
              <w:jc w:val="left"/>
            </w:pPr>
            <w:r>
              <w:rPr>
                <w:lang w:val="en-US" w:eastAsia="en-US" w:bidi="ar-SA"/>
              </w:rPr>
              <w:t>Tilidine (INN)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2922.49.00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2922.50.00</w:t>
            </w:r>
          </w:p>
        </w:tc>
        <w:tc>
          <w:tcPr>
            <w:tcW w:w="4679" w:type="dxa"/>
            <w:tcMar>
              <w:top w:w="70" w:type="dxa"/>
              <w:start w:w="110" w:type="dxa"/>
              <w:bottom w:w="70" w:type="dxa"/>
              <w:end w:w="110" w:type="dxa"/>
            </w:tcMar>
            <w:vAlign w:val="center"/>
          </w:tcPr>
          <w:p>
            <w:pPr>
              <w:pStyle w:val="TableText"/>
              <w:jc w:val="left"/>
            </w:pPr>
            <w:r>
              <w:rPr>
                <w:lang w:val="en-US" w:eastAsia="en-US" w:bidi="ar-SA"/>
              </w:rPr>
              <w:t>Amino-alcohol-phenols, amino-acid-phenols and other amino- compounds with oxygen function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Choline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2923.20.00</w:t>
            </w:r>
          </w:p>
        </w:tc>
        <w:tc>
          <w:tcPr>
            <w:tcW w:w="4679" w:type="dxa"/>
            <w:tcMar>
              <w:top w:w="70" w:type="dxa"/>
              <w:start w:w="110" w:type="dxa"/>
              <w:bottom w:w="70" w:type="dxa"/>
              <w:end w:w="110" w:type="dxa"/>
            </w:tcMar>
            <w:vAlign w:val="center"/>
          </w:tcPr>
          <w:p>
            <w:pPr>
              <w:pStyle w:val="TableText"/>
              <w:jc w:val="left"/>
            </w:pPr>
            <w:r>
              <w:rPr>
                <w:lang w:val="en-US" w:eastAsia="en-US" w:bidi="ar-SA"/>
              </w:rPr>
              <w:t>Lecithins and other phosphoaminolipids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2923.30.00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Tetraethylammonium perfluorooctane sulphonate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2923.40.00</w:t>
            </w:r>
          </w:p>
        </w:tc>
        <w:tc>
          <w:tcPr>
            <w:tcW w:w="4679" w:type="dxa"/>
            <w:tcMar>
              <w:top w:w="70" w:type="dxa"/>
              <w:start w:w="110" w:type="dxa"/>
              <w:bottom w:w="70" w:type="dxa"/>
              <w:end w:w="110" w:type="dxa"/>
            </w:tcMar>
            <w:vAlign w:val="center"/>
          </w:tcPr>
          <w:p>
            <w:pPr>
              <w:pStyle w:val="TableText"/>
              <w:jc w:val="left"/>
            </w:pPr>
            <w:r>
              <w:rPr>
                <w:lang w:val="en-US" w:eastAsia="en-US" w:bidi="ar-SA"/>
              </w:rPr>
              <w:t>Didecyldimethylammonium perfluorooctane sulphonate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2924.11.00</w:t>
            </w:r>
          </w:p>
        </w:tc>
        <w:tc>
          <w:tcPr>
            <w:tcW w:w="4679" w:type="dxa"/>
            <w:tcMar>
              <w:top w:w="70" w:type="dxa"/>
              <w:start w:w="110" w:type="dxa"/>
              <w:bottom w:w="70" w:type="dxa"/>
              <w:end w:w="110" w:type="dxa"/>
            </w:tcMar>
            <w:vAlign w:val="center"/>
          </w:tcPr>
          <w:p>
            <w:pPr>
              <w:pStyle w:val="TableText"/>
              <w:jc w:val="left"/>
            </w:pPr>
            <w:r>
              <w:rPr>
                <w:lang w:val="en-US" w:eastAsia="en-US" w:bidi="ar-SA"/>
              </w:rPr>
              <w:t>Meprobamate (INN)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2924.12.00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Fluoroacetamide (ISO), monocrotophos (ISO) and phosphamidon (ISO)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2924.19.00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2924.21.00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Ureines and</w:t>
            </w:r>
          </w:p>
        </w:tc>
      </w:tr>
    </w:tbl>
    <w:p>
      <w:pPr>
        <w:pStyle w:val="Normal"/>
      </w:pPr>
      <w:r>
        <w:t>their derivatives; salts thereof</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2924.23.00</w:t>
            </w:r>
          </w:p>
        </w:tc>
        <w:tc>
          <w:tcPr>
            <w:tcW w:w="4679" w:type="dxa"/>
            <w:tcMar>
              <w:top w:w="70" w:type="dxa"/>
              <w:start w:w="110" w:type="dxa"/>
              <w:bottom w:w="70" w:type="dxa"/>
              <w:end w:w="110" w:type="dxa"/>
            </w:tcMar>
            <w:vAlign w:val="center"/>
          </w:tcPr>
          <w:p>
            <w:pPr>
              <w:pStyle w:val="TableText"/>
              <w:jc w:val="left"/>
            </w:pPr>
            <w:r>
              <w:rPr>
                <w:lang w:val="en-US" w:eastAsia="en-US" w:bidi="ar-SA"/>
              </w:rPr>
              <w:t>2-Acetamidobenzoic acid (N-acetylanthranilic acid)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2924.24.00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Ethinamate (INN)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2924.25.00</w:t>
            </w:r>
          </w:p>
        </w:tc>
        <w:tc>
          <w:tcPr>
            <w:tcW w:w="4679" w:type="dxa"/>
            <w:tcMar>
              <w:top w:w="70" w:type="dxa"/>
              <w:start w:w="110" w:type="dxa"/>
              <w:bottom w:w="70" w:type="dxa"/>
              <w:end w:w="110" w:type="dxa"/>
            </w:tcMar>
            <w:vAlign w:val="center"/>
          </w:tcPr>
          <w:p>
            <w:pPr>
              <w:pStyle w:val="TableText"/>
              <w:jc w:val="left"/>
            </w:pPr>
            <w:r>
              <w:rPr>
                <w:lang w:val="en-US" w:eastAsia="en-US" w:bidi="ar-SA"/>
              </w:rPr>
              <w:t>Alachlor (ISO)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2924.29.00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2925.11.00</w:t>
            </w:r>
          </w:p>
        </w:tc>
        <w:tc>
          <w:tcPr>
            <w:tcW w:w="4679" w:type="dxa"/>
            <w:tcMar>
              <w:top w:w="70" w:type="dxa"/>
              <w:start w:w="110" w:type="dxa"/>
              <w:bottom w:w="70" w:type="dxa"/>
              <w:end w:w="110" w:type="dxa"/>
            </w:tcMar>
            <w:vAlign w:val="center"/>
          </w:tcPr>
          <w:p>
            <w:pPr>
              <w:pStyle w:val="TableText"/>
              <w:jc w:val="left"/>
            </w:pPr>
            <w:r>
              <w:rPr>
                <w:lang w:val="en-US" w:eastAsia="en-US" w:bidi="ar-SA"/>
              </w:rPr>
              <w:t>Saccharin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Glutethimide (INN)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2925.19.00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Chlordimeform (ISO)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2925.29.00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Acrylonitrile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2926.20.00</w:t>
            </w:r>
          </w:p>
        </w:tc>
        <w:tc>
          <w:tcPr>
            <w:tcW w:w="4679" w:type="dxa"/>
            <w:tcMar>
              <w:top w:w="70" w:type="dxa"/>
              <w:start w:w="110" w:type="dxa"/>
              <w:bottom w:w="70" w:type="dxa"/>
              <w:end w:w="110" w:type="dxa"/>
            </w:tcMar>
            <w:vAlign w:val="center"/>
          </w:tcPr>
          <w:p>
            <w:pPr>
              <w:pStyle w:val="TableText"/>
              <w:jc w:val="left"/>
            </w:pPr>
            <w:r>
              <w:rPr>
                <w:lang w:val="en-US" w:eastAsia="en-US" w:bidi="ar-SA"/>
              </w:rPr>
              <w:t>1-Cyanoguanidine (dicyandiamide)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2926.30.00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Fenproporex (INN) and its salts; methadone (INN) intermediate (4-cyano-2-dimethylamino-4,4-diphenylbutane)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2926.40.00</w:t>
            </w:r>
          </w:p>
        </w:tc>
        <w:tc>
          <w:tcPr>
            <w:tcW w:w="4679" w:type="dxa"/>
            <w:tcMar>
              <w:top w:w="70" w:type="dxa"/>
              <w:start w:w="110" w:type="dxa"/>
              <w:bottom w:w="70" w:type="dxa"/>
              <w:end w:w="110" w:type="dxa"/>
            </w:tcMar>
            <w:vAlign w:val="center"/>
          </w:tcPr>
          <w:p>
            <w:pPr>
              <w:pStyle w:val="TableText"/>
              <w:jc w:val="left"/>
            </w:pPr>
            <w:r>
              <w:rPr>
                <w:lang w:val="en-US" w:eastAsia="en-US" w:bidi="ar-SA"/>
              </w:rPr>
              <w:t>alpha-Phenylacetoacetonitrile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2927.00.00</w:t>
            </w:r>
          </w:p>
        </w:tc>
        <w:tc>
          <w:tcPr>
            <w:tcW w:w="4679" w:type="dxa"/>
            <w:tcMar>
              <w:top w:w="70" w:type="dxa"/>
              <w:start w:w="110" w:type="dxa"/>
              <w:bottom w:w="70" w:type="dxa"/>
              <w:end w:w="110" w:type="dxa"/>
            </w:tcMar>
            <w:vAlign w:val="center"/>
          </w:tcPr>
          <w:p>
            <w:pPr>
              <w:pStyle w:val="TableText"/>
              <w:jc w:val="left"/>
            </w:pPr>
            <w:r>
              <w:rPr>
                <w:lang w:val="en-US" w:eastAsia="en-US" w:bidi="ar-SA"/>
              </w:rPr>
              <w:t>Diazo-, azo- or azoxy-compounds.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2928.00.00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Organic derivatives of hydrazine or of hydroxylamine.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2929.10.00</w:t>
            </w:r>
          </w:p>
        </w:tc>
        <w:tc>
          <w:tcPr>
            <w:tcW w:w="4679" w:type="dxa"/>
            <w:tcMar>
              <w:top w:w="70" w:type="dxa"/>
              <w:start w:w="110" w:type="dxa"/>
              <w:bottom w:w="70" w:type="dxa"/>
              <w:end w:w="110" w:type="dxa"/>
            </w:tcMar>
            <w:vAlign w:val="center"/>
          </w:tcPr>
          <w:p>
            <w:pPr>
              <w:pStyle w:val="TableText"/>
              <w:jc w:val="left"/>
            </w:pPr>
            <w:r>
              <w:rPr>
                <w:lang w:val="en-US" w:eastAsia="en-US" w:bidi="ar-SA"/>
              </w:rPr>
              <w:t>Isocyanates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2929.90.00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2930.20.00</w:t>
            </w:r>
          </w:p>
        </w:tc>
        <w:tc>
          <w:tcPr>
            <w:tcW w:w="4679" w:type="dxa"/>
            <w:tcMar>
              <w:top w:w="70" w:type="dxa"/>
              <w:start w:w="110" w:type="dxa"/>
              <w:bottom w:w="70" w:type="dxa"/>
              <w:end w:w="110" w:type="dxa"/>
            </w:tcMar>
            <w:vAlign w:val="center"/>
          </w:tcPr>
          <w:p>
            <w:pPr>
              <w:pStyle w:val="TableText"/>
              <w:jc w:val="left"/>
            </w:pPr>
            <w:r>
              <w:rPr>
                <w:lang w:val="en-US" w:eastAsia="en-US" w:bidi="ar-SA"/>
              </w:rPr>
              <w:t>Thiocarbamates and dithiocarbamates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2930.30.00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Thiuram mono-, di- or tetrasulphides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2930.40.00</w:t>
            </w:r>
          </w:p>
        </w:tc>
        <w:tc>
          <w:tcPr>
            <w:tcW w:w="4679" w:type="dxa"/>
            <w:tcMar>
              <w:top w:w="70" w:type="dxa"/>
              <w:start w:w="110" w:type="dxa"/>
              <w:bottom w:w="70" w:type="dxa"/>
              <w:end w:w="110" w:type="dxa"/>
            </w:tcMar>
            <w:vAlign w:val="center"/>
          </w:tcPr>
          <w:p>
            <w:pPr>
              <w:pStyle w:val="TableText"/>
              <w:jc w:val="left"/>
            </w:pPr>
            <w:r>
              <w:rPr>
                <w:lang w:val="en-US" w:eastAsia="en-US" w:bidi="ar-SA"/>
              </w:rPr>
              <w:t>Methionine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2930.60.00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2-(N,N-Diethylamino)ethanethiol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2930.70.00</w:t>
            </w:r>
          </w:p>
        </w:tc>
        <w:tc>
          <w:tcPr>
            <w:tcW w:w="4679" w:type="dxa"/>
            <w:tcMar>
              <w:top w:w="70" w:type="dxa"/>
              <w:start w:w="110" w:type="dxa"/>
              <w:bottom w:w="70" w:type="dxa"/>
              <w:end w:w="110" w:type="dxa"/>
            </w:tcMar>
            <w:vAlign w:val="center"/>
          </w:tcPr>
          <w:p>
            <w:pPr>
              <w:pStyle w:val="TableText"/>
              <w:jc w:val="left"/>
            </w:pPr>
            <w:r>
              <w:rPr>
                <w:lang w:val="en-US" w:eastAsia="en-US" w:bidi="ar-SA"/>
              </w:rPr>
              <w:t>Bis(2-hydroxyethyl)sulfide (thiodiglycol (INN))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2930.80.00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Aldicarb (ISO), captafol (ISO) and methamidophos (ISO)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2930.90.00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Tetramethyl lead and tetraethyl lead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2931.20.00</w:t>
            </w:r>
          </w:p>
        </w:tc>
        <w:tc>
          <w:tcPr>
            <w:tcW w:w="4679" w:type="dxa"/>
            <w:tcMar>
              <w:top w:w="70" w:type="dxa"/>
              <w:start w:w="110" w:type="dxa"/>
              <w:bottom w:w="70" w:type="dxa"/>
              <w:end w:w="110" w:type="dxa"/>
            </w:tcMar>
            <w:vAlign w:val="center"/>
          </w:tcPr>
          <w:p>
            <w:pPr>
              <w:pStyle w:val="TableText"/>
              <w:jc w:val="left"/>
            </w:pPr>
            <w:r>
              <w:rPr>
                <w:lang w:val="en-US" w:eastAsia="en-US" w:bidi="ar-SA"/>
              </w:rPr>
              <w:t>Tibutyltin compounds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2931.31.00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Dimethyl methylphosphonate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2931.32.00</w:t>
            </w:r>
          </w:p>
        </w:tc>
        <w:tc>
          <w:tcPr>
            <w:tcW w:w="4679" w:type="dxa"/>
            <w:tcMar>
              <w:top w:w="70" w:type="dxa"/>
              <w:start w:w="110" w:type="dxa"/>
              <w:bottom w:w="70" w:type="dxa"/>
              <w:end w:w="110" w:type="dxa"/>
            </w:tcMar>
            <w:vAlign w:val="center"/>
          </w:tcPr>
          <w:p>
            <w:pPr>
              <w:pStyle w:val="TableText"/>
              <w:jc w:val="left"/>
            </w:pPr>
            <w:r>
              <w:rPr>
                <w:lang w:val="en-US" w:eastAsia="en-US" w:bidi="ar-SA"/>
              </w:rPr>
              <w:t>Dimethyl propylphosphonate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2931.33.00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Diethyl ethylphosphonate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2931.34.00</w:t>
            </w:r>
          </w:p>
        </w:tc>
        <w:tc>
          <w:tcPr>
            <w:tcW w:w="4679" w:type="dxa"/>
            <w:tcMar>
              <w:top w:w="70" w:type="dxa"/>
              <w:start w:w="110" w:type="dxa"/>
              <w:bottom w:w="70" w:type="dxa"/>
              <w:end w:w="110" w:type="dxa"/>
            </w:tcMar>
            <w:vAlign w:val="center"/>
          </w:tcPr>
          <w:p>
            <w:pPr>
              <w:pStyle w:val="TableText"/>
              <w:jc w:val="left"/>
            </w:pPr>
            <w:r>
              <w:rPr>
                <w:lang w:val="en-US" w:eastAsia="en-US" w:bidi="ar-SA"/>
              </w:rPr>
              <w:t>Sodium 3-(trihydroxysilyl)propyl methylphosphonate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2931.35.00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2,4,6-Tripropyl-1,3,5,2,4,6-trioxatriphosphinane 2,4,6-trioxide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2931.36.00</w:t>
            </w:r>
          </w:p>
        </w:tc>
        <w:tc>
          <w:tcPr>
            <w:tcW w:w="4679" w:type="dxa"/>
            <w:tcMar>
              <w:top w:w="70" w:type="dxa"/>
              <w:start w:w="110" w:type="dxa"/>
              <w:bottom w:w="70" w:type="dxa"/>
              <w:end w:w="110" w:type="dxa"/>
            </w:tcMar>
            <w:vAlign w:val="center"/>
          </w:tcPr>
          <w:p>
            <w:pPr>
              <w:pStyle w:val="TableText"/>
              <w:jc w:val="left"/>
            </w:pPr>
            <w:r>
              <w:rPr>
                <w:lang w:val="en-US" w:eastAsia="en-US" w:bidi="ar-SA"/>
              </w:rPr>
              <w:t>(5-Ethyl-2-methyl-2-oxido-1,3,2-dioxaphosphinan-5-yl)methyl methyl methylphosphonate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2931.37.00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Bis[(5-ethyl-2-methyl-2-oxido-1,3,2-dioxaphosphinan-5</w:t>
            </w:r>
          </w:p>
        </w:tc>
      </w:tr>
    </w:tbl>
    <w:p>
      <w:pPr>
        <w:pStyle w:val="Normal"/>
      </w:pPr>
      <w:r>
        <w:t>yl)methyl] methylphosphonate</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2931.38.00</w:t>
            </w:r>
          </w:p>
        </w:tc>
        <w:tc>
          <w:tcPr>
            <w:tcW w:w="4679" w:type="dxa"/>
            <w:tcMar>
              <w:top w:w="70" w:type="dxa"/>
              <w:start w:w="110" w:type="dxa"/>
              <w:bottom w:w="70" w:type="dxa"/>
              <w:end w:w="110" w:type="dxa"/>
            </w:tcMar>
            <w:vAlign w:val="center"/>
          </w:tcPr>
          <w:p>
            <w:pPr>
              <w:pStyle w:val="TableText"/>
              <w:jc w:val="left"/>
            </w:pPr>
            <w:r>
              <w:rPr>
                <w:lang w:val="en-US" w:eastAsia="en-US" w:bidi="ar-SA"/>
              </w:rPr>
              <w:t>Salt of methylphosphonic acid and (aminoiminomethyl)urea (1:1)</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2931.39.00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2931.90.00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2932.11.00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Tetrahydrofuran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2932.12.00</w:t>
            </w:r>
          </w:p>
        </w:tc>
        <w:tc>
          <w:tcPr>
            <w:tcW w:w="4679" w:type="dxa"/>
            <w:tcMar>
              <w:top w:w="70" w:type="dxa"/>
              <w:start w:w="110" w:type="dxa"/>
              <w:bottom w:w="70" w:type="dxa"/>
              <w:end w:w="110" w:type="dxa"/>
            </w:tcMar>
            <w:vAlign w:val="center"/>
          </w:tcPr>
          <w:p>
            <w:pPr>
              <w:pStyle w:val="TableText"/>
              <w:jc w:val="left"/>
            </w:pPr>
            <w:r>
              <w:rPr>
                <w:lang w:val="en-US" w:eastAsia="en-US" w:bidi="ar-SA"/>
              </w:rPr>
              <w:t>2-Furaldehyde (furfuraldehyde)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2932.13.00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Furfuryl alcohol and tetrahydrofurfuryl alcohol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2932.14.00</w:t>
            </w:r>
          </w:p>
        </w:tc>
        <w:tc>
          <w:tcPr>
            <w:tcW w:w="4679" w:type="dxa"/>
            <w:tcMar>
              <w:top w:w="70" w:type="dxa"/>
              <w:start w:w="110" w:type="dxa"/>
              <w:bottom w:w="70" w:type="dxa"/>
              <w:end w:w="110" w:type="dxa"/>
            </w:tcMar>
            <w:vAlign w:val="center"/>
          </w:tcPr>
          <w:p>
            <w:pPr>
              <w:pStyle w:val="TableText"/>
              <w:jc w:val="left"/>
            </w:pPr>
            <w:r>
              <w:rPr>
                <w:lang w:val="en-US" w:eastAsia="en-US" w:bidi="ar-SA"/>
              </w:rPr>
              <w:t>Sucralose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2932.19.00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2932.20.00</w:t>
            </w:r>
          </w:p>
        </w:tc>
        <w:tc>
          <w:tcPr>
            <w:tcW w:w="4679" w:type="dxa"/>
            <w:tcMar>
              <w:top w:w="70" w:type="dxa"/>
              <w:start w:w="110" w:type="dxa"/>
              <w:bottom w:w="70" w:type="dxa"/>
              <w:end w:w="110" w:type="dxa"/>
            </w:tcMar>
            <w:vAlign w:val="center"/>
          </w:tcPr>
          <w:p>
            <w:pPr>
              <w:pStyle w:val="TableText"/>
              <w:jc w:val="left"/>
            </w:pPr>
            <w:r>
              <w:rPr>
                <w:lang w:val="en-US" w:eastAsia="en-US" w:bidi="ar-SA"/>
              </w:rPr>
              <w:t>Lactones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2932.91.00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Isosafrole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2932.92.00</w:t>
            </w:r>
          </w:p>
        </w:tc>
        <w:tc>
          <w:tcPr>
            <w:tcW w:w="4679" w:type="dxa"/>
            <w:tcMar>
              <w:top w:w="70" w:type="dxa"/>
              <w:start w:w="110" w:type="dxa"/>
              <w:bottom w:w="70" w:type="dxa"/>
              <w:end w:w="110" w:type="dxa"/>
            </w:tcMar>
            <w:vAlign w:val="center"/>
          </w:tcPr>
          <w:p>
            <w:pPr>
              <w:pStyle w:val="TableText"/>
              <w:jc w:val="left"/>
            </w:pPr>
            <w:r>
              <w:rPr>
                <w:lang w:val="en-US" w:eastAsia="en-US" w:bidi="ar-SA"/>
              </w:rPr>
              <w:t>1-(1,3-Benzodioxol-5-yl)propan-2-one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2932.93.00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Piperonal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2932.94.00</w:t>
            </w:r>
          </w:p>
        </w:tc>
        <w:tc>
          <w:tcPr>
            <w:tcW w:w="4679" w:type="dxa"/>
            <w:tcMar>
              <w:top w:w="70" w:type="dxa"/>
              <w:start w:w="110" w:type="dxa"/>
              <w:bottom w:w="70" w:type="dxa"/>
              <w:end w:w="110" w:type="dxa"/>
            </w:tcMar>
            <w:vAlign w:val="center"/>
          </w:tcPr>
          <w:p>
            <w:pPr>
              <w:pStyle w:val="TableText"/>
              <w:jc w:val="left"/>
            </w:pPr>
            <w:r>
              <w:rPr>
                <w:lang w:val="en-US" w:eastAsia="en-US" w:bidi="ar-SA"/>
              </w:rPr>
              <w:t>Safrole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2932.95.00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Tetrahydrocannabinols (all isomers)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2932.99.00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2933.11.00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Phenazone (antipyrin) and its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2933.19.00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2933.21.00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Hydantoin and its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2933.29.00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2933.31.00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Pyridine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2933.32.00</w:t>
            </w:r>
          </w:p>
        </w:tc>
        <w:tc>
          <w:tcPr>
            <w:tcW w:w="4679" w:type="dxa"/>
            <w:tcMar>
              <w:top w:w="70" w:type="dxa"/>
              <w:start w:w="110" w:type="dxa"/>
              <w:bottom w:w="70" w:type="dxa"/>
              <w:end w:w="110" w:type="dxa"/>
            </w:tcMar>
            <w:vAlign w:val="center"/>
          </w:tcPr>
          <w:p>
            <w:pPr>
              <w:pStyle w:val="TableText"/>
              <w:jc w:val="left"/>
            </w:pPr>
            <w:r>
              <w:rPr>
                <w:lang w:val="en-US" w:eastAsia="en-US" w:bidi="ar-SA"/>
              </w:rPr>
              <w:t>Piperidine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2933.33.00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Alfentanil (INN), anileridine (INN), bezitramide (INN), bromazepam (INN), difenoxin (INN), diphenoxylate (INN), dipipanone (INN), fentanyl (INN), ketobemidone (INN), methylphenidate (INN), pentazocine (INN), pethidine (INN), pethidine (INN) intermediate A, phencyclidine (INN) (PCP), phenoperidine (INN), pipradrol (INN), piritramide (INN), propiram (INN) and trimeperidine (INN); salts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2933.39.00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2933.41.00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Levorphanol (INN)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2933.49.00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2933.52.00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Malonylurea (barbituric acid) and its salts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2933.53.00</w:t>
            </w:r>
          </w:p>
        </w:tc>
        <w:tc>
          <w:tcPr>
            <w:tcW w:w="4679" w:type="dxa"/>
            <w:tcMar>
              <w:top w:w="70" w:type="dxa"/>
              <w:start w:w="110" w:type="dxa"/>
              <w:bottom w:w="70" w:type="dxa"/>
              <w:end w:w="110" w:type="dxa"/>
            </w:tcMar>
            <w:vAlign w:val="center"/>
          </w:tcPr>
          <w:p>
            <w:pPr>
              <w:pStyle w:val="TableText"/>
              <w:jc w:val="left"/>
            </w:pPr>
            <w:r>
              <w:rPr>
                <w:lang w:val="en-US" w:eastAsia="en-US" w:bidi="ar-SA"/>
              </w:rPr>
              <w:t>Allobarbital (INN), amobarbital (INN), barbital (INN), butalbital (INN), butobarbital, cyclobarbital (INN), methylphenobarbital (INN), pentobarbital (INN), phenobarbital (INN), secbutabarbital (INN), secobarbital (INN) and vinylbital (INN); salts thereof</w:t>
            </w:r>
          </w:p>
        </w:tc>
      </w:tr>
    </w:tbl>
    <w:p>
      <w:pPr>
        <w:pStyle w:val="Normal"/>
      </w:pPr>
      <w:r>
        <w:t>2933.54.00 Other derivatives of malonylurea (barbituric acid); salts thereof 2933.55.00 Loprazolam (INN), mecloqualone (INN), methaqualone (INN) and zipeprol (INN); salts thereof 2933.59.00 Other 2933.61.00 Melamine 2933.69.00 Other 2933.71.00 6-Hexanelactam (epsilon-caprolactam) 2933.72.00 Clobazam (INN) and methyprylon (INN) 2933.79.00 Other lactams 2933.91.00 Alprazolam (INN), camazepam (INN), chlordiazepoxide (INN), clonazepam (INN), clorazepate, delorazepam (INN), diazepam (INN), estazolam (INN), ethyl loflazepate (INN), fludiazepam (INN), flunitrazepam (INN), flurazepam (INN), halazepam (INN), lorazepam (INN), lormetazepam (INN), mazindol (INN), medazepam (INN), midazolam (INN), nimetazepam (INN), nitrazepam (INN), nordazepam (INN), oxazepam (INN), pinazepam (INN), prazepam (INN), pyrovalerone (INN), temazepam (INN), tetrazepam (INN) and triazolam (INN); salts thereof 2933.92.00 Azinphos-methyl (ISO) 2933.99.00 Other 2934.10.00 Compounds containing an unfused thiazole ring (whether or not hydrogenated) in the structure 2934.20.00 Compounds containing in the structure a benzothiazole ring- system (whether or not hydrogenated), not further fused 2934.30.00 Compounds containing in the structure a phenothiazine ring- system (whether or not hydrogenated), not further fused 2934.91.00 Aminorex (INN), brotizolam (INN), clotiazepam (INN), cloxazolam (INN), dextromoramide (INN), haloxazolam (INN), ketazolam (INN), mesocarb (INN), oxazolam (INN), pemoline (INN), phendimetrazine</w:t>
      </w:r>
    </w:p>
    <w:p>
      <w:pPr>
        <w:pStyle w:val="Normal"/>
      </w:pPr>
      <w:r>
        <w:t>(INN), phenmetrazine (INN) and sufentanil (INN); salts thereof</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2934.99.00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N-Methylperfluorooctane sulphonamide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2935.20.00</w:t>
            </w:r>
          </w:p>
        </w:tc>
        <w:tc>
          <w:tcPr>
            <w:tcW w:w="4679" w:type="dxa"/>
            <w:tcMar>
              <w:top w:w="70" w:type="dxa"/>
              <w:start w:w="110" w:type="dxa"/>
              <w:bottom w:w="70" w:type="dxa"/>
              <w:end w:w="110" w:type="dxa"/>
            </w:tcMar>
            <w:vAlign w:val="center"/>
          </w:tcPr>
          <w:p>
            <w:pPr>
              <w:pStyle w:val="TableText"/>
              <w:jc w:val="left"/>
            </w:pPr>
            <w:r>
              <w:rPr>
                <w:lang w:val="en-US" w:eastAsia="en-US" w:bidi="ar-SA"/>
              </w:rPr>
              <w:t>N-Ethylperfluorooctane sulphonamide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N-Ethyl-N-(2-hydroxyethyl) perfluorooctane sulphonamide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2935.40.00</w:t>
            </w:r>
          </w:p>
        </w:tc>
        <w:tc>
          <w:tcPr>
            <w:tcW w:w="4679" w:type="dxa"/>
            <w:tcMar>
              <w:top w:w="70" w:type="dxa"/>
              <w:start w:w="110" w:type="dxa"/>
              <w:bottom w:w="70" w:type="dxa"/>
              <w:end w:w="110" w:type="dxa"/>
            </w:tcMar>
            <w:vAlign w:val="center"/>
          </w:tcPr>
          <w:p>
            <w:pPr>
              <w:pStyle w:val="TableText"/>
              <w:jc w:val="left"/>
            </w:pPr>
            <w:r>
              <w:rPr>
                <w:lang w:val="en-US" w:eastAsia="en-US" w:bidi="ar-SA"/>
              </w:rPr>
              <w:t>N-(2-Hydroxyethyl)-N-methylperfluorooctane sulphonamide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2935.50.00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perfluorooctane sulphonamides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2936.21.00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Vitamins A and their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2936.22.00</w:t>
            </w:r>
          </w:p>
        </w:tc>
        <w:tc>
          <w:tcPr>
            <w:tcW w:w="4679" w:type="dxa"/>
            <w:tcMar>
              <w:top w:w="70" w:type="dxa"/>
              <w:start w:w="110" w:type="dxa"/>
              <w:bottom w:w="70" w:type="dxa"/>
              <w:end w:w="110" w:type="dxa"/>
            </w:tcMar>
            <w:vAlign w:val="center"/>
          </w:tcPr>
          <w:p>
            <w:pPr>
              <w:pStyle w:val="TableText"/>
              <w:jc w:val="left"/>
            </w:pPr>
            <w:r>
              <w:rPr>
                <w:lang w:val="en-US" w:eastAsia="en-US" w:bidi="ar-SA"/>
              </w:rPr>
              <w:t>Vitamin B1 and its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2936.23.00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Vitamin B2 and its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2936.24.00</w:t>
            </w:r>
          </w:p>
        </w:tc>
        <w:tc>
          <w:tcPr>
            <w:tcW w:w="4679" w:type="dxa"/>
            <w:tcMar>
              <w:top w:w="70" w:type="dxa"/>
              <w:start w:w="110" w:type="dxa"/>
              <w:bottom w:w="70" w:type="dxa"/>
              <w:end w:w="110" w:type="dxa"/>
            </w:tcMar>
            <w:vAlign w:val="center"/>
          </w:tcPr>
          <w:p>
            <w:pPr>
              <w:pStyle w:val="TableText"/>
              <w:jc w:val="left"/>
            </w:pPr>
            <w:r>
              <w:rPr>
                <w:lang w:val="en-US" w:eastAsia="en-US" w:bidi="ar-SA"/>
              </w:rPr>
              <w:t>D- or DL-Pantothenic acid (Vitamin B3 or Vitamin B5) and its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2936.25.00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Vitamin B6 and its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2936.26.00</w:t>
            </w:r>
          </w:p>
        </w:tc>
        <w:tc>
          <w:tcPr>
            <w:tcW w:w="4679" w:type="dxa"/>
            <w:tcMar>
              <w:top w:w="70" w:type="dxa"/>
              <w:start w:w="110" w:type="dxa"/>
              <w:bottom w:w="70" w:type="dxa"/>
              <w:end w:w="110" w:type="dxa"/>
            </w:tcMar>
            <w:vAlign w:val="center"/>
          </w:tcPr>
          <w:p>
            <w:pPr>
              <w:pStyle w:val="TableText"/>
              <w:jc w:val="left"/>
            </w:pPr>
            <w:r>
              <w:rPr>
                <w:lang w:val="en-US" w:eastAsia="en-US" w:bidi="ar-SA"/>
              </w:rPr>
              <w:t>Vitamin B12 and its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2936.27.00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Vitamin C and its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2936.28.00</w:t>
            </w:r>
          </w:p>
        </w:tc>
        <w:tc>
          <w:tcPr>
            <w:tcW w:w="4679" w:type="dxa"/>
            <w:tcMar>
              <w:top w:w="70" w:type="dxa"/>
              <w:start w:w="110" w:type="dxa"/>
              <w:bottom w:w="70" w:type="dxa"/>
              <w:end w:w="110" w:type="dxa"/>
            </w:tcMar>
            <w:vAlign w:val="center"/>
          </w:tcPr>
          <w:p>
            <w:pPr>
              <w:pStyle w:val="TableText"/>
              <w:jc w:val="left"/>
            </w:pPr>
            <w:r>
              <w:rPr>
                <w:lang w:val="en-US" w:eastAsia="en-US" w:bidi="ar-SA"/>
              </w:rPr>
              <w:t>Vitamin E and its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2936.29.00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vitamins and their derivatives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2936.90.00</w:t>
            </w:r>
          </w:p>
        </w:tc>
        <w:tc>
          <w:tcPr>
            <w:tcW w:w="4679" w:type="dxa"/>
            <w:tcMar>
              <w:top w:w="70" w:type="dxa"/>
              <w:start w:w="110" w:type="dxa"/>
              <w:bottom w:w="70" w:type="dxa"/>
              <w:end w:w="110" w:type="dxa"/>
            </w:tcMar>
            <w:vAlign w:val="center"/>
          </w:tcPr>
          <w:p>
            <w:pPr>
              <w:pStyle w:val="TableText"/>
              <w:jc w:val="left"/>
            </w:pPr>
            <w:r>
              <w:rPr>
                <w:lang w:val="en-US" w:eastAsia="en-US" w:bidi="ar-SA"/>
              </w:rPr>
              <w:t>Other, including natural concentrates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2937.11.00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Somatotropin, its derivatives and structural analogues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2937.12.00</w:t>
            </w:r>
          </w:p>
        </w:tc>
        <w:tc>
          <w:tcPr>
            <w:tcW w:w="4679" w:type="dxa"/>
            <w:tcMar>
              <w:top w:w="70" w:type="dxa"/>
              <w:start w:w="110" w:type="dxa"/>
              <w:bottom w:w="70" w:type="dxa"/>
              <w:end w:w="110" w:type="dxa"/>
            </w:tcMar>
            <w:vAlign w:val="center"/>
          </w:tcPr>
          <w:p>
            <w:pPr>
              <w:pStyle w:val="TableText"/>
              <w:jc w:val="left"/>
            </w:pPr>
            <w:r>
              <w:rPr>
                <w:lang w:val="en-US" w:eastAsia="en-US" w:bidi="ar-SA"/>
              </w:rPr>
              <w:t>Insulin and its salts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2937.19.00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2937.21.00</w:t>
            </w:r>
          </w:p>
        </w:tc>
        <w:tc>
          <w:tcPr>
            <w:tcW w:w="4679" w:type="dxa"/>
            <w:tcMar>
              <w:top w:w="70" w:type="dxa"/>
              <w:start w:w="110" w:type="dxa"/>
              <w:bottom w:w="70" w:type="dxa"/>
              <w:end w:w="110" w:type="dxa"/>
            </w:tcMar>
            <w:vAlign w:val="center"/>
          </w:tcPr>
          <w:p>
            <w:pPr>
              <w:pStyle w:val="TableText"/>
              <w:jc w:val="left"/>
            </w:pPr>
            <w:r>
              <w:rPr>
                <w:lang w:val="en-US" w:eastAsia="en-US" w:bidi="ar-SA"/>
              </w:rPr>
              <w:t>Cortisone, hydrocortisone, prednisone (dehydrocortisone) and prednisolone (dehydrohydrocortisone)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2937.22.00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Halogenated derivatives of corticosteroidal hormones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2937.23.00</w:t>
            </w:r>
          </w:p>
        </w:tc>
        <w:tc>
          <w:tcPr>
            <w:tcW w:w="4679" w:type="dxa"/>
            <w:tcMar>
              <w:top w:w="70" w:type="dxa"/>
              <w:start w:w="110" w:type="dxa"/>
              <w:bottom w:w="70" w:type="dxa"/>
              <w:end w:w="110" w:type="dxa"/>
            </w:tcMar>
            <w:vAlign w:val="center"/>
          </w:tcPr>
          <w:p>
            <w:pPr>
              <w:pStyle w:val="TableText"/>
              <w:jc w:val="left"/>
            </w:pPr>
            <w:r>
              <w:rPr>
                <w:lang w:val="en-US" w:eastAsia="en-US" w:bidi="ar-SA"/>
              </w:rPr>
              <w:t>Oestrogens and progestogens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2937.29.00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2937.50.00</w:t>
            </w:r>
          </w:p>
        </w:tc>
        <w:tc>
          <w:tcPr>
            <w:tcW w:w="4679" w:type="dxa"/>
            <w:tcMar>
              <w:top w:w="70" w:type="dxa"/>
              <w:start w:w="110" w:type="dxa"/>
              <w:bottom w:w="70" w:type="dxa"/>
              <w:end w:w="110" w:type="dxa"/>
            </w:tcMar>
            <w:vAlign w:val="center"/>
          </w:tcPr>
          <w:p>
            <w:pPr>
              <w:pStyle w:val="TableText"/>
              <w:jc w:val="left"/>
            </w:pPr>
            <w:r>
              <w:rPr>
                <w:lang w:val="en-US" w:eastAsia="en-US" w:bidi="ar-SA"/>
              </w:rPr>
              <w:t>Prostaglandins, thromboxanes and leukotrienes, their derivatives and structural analogues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2937.90.00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2938.10.00</w:t>
            </w:r>
          </w:p>
        </w:tc>
        <w:tc>
          <w:tcPr>
            <w:tcW w:w="4679" w:type="dxa"/>
            <w:tcMar>
              <w:top w:w="70" w:type="dxa"/>
              <w:start w:w="110" w:type="dxa"/>
              <w:bottom w:w="70" w:type="dxa"/>
              <w:end w:w="110" w:type="dxa"/>
            </w:tcMar>
            <w:vAlign w:val="center"/>
          </w:tcPr>
          <w:p>
            <w:pPr>
              <w:pStyle w:val="TableText"/>
              <w:jc w:val="left"/>
            </w:pPr>
            <w:r>
              <w:rPr>
                <w:lang w:val="en-US" w:eastAsia="en-US" w:bidi="ar-SA"/>
              </w:rPr>
              <w:t>Rutoside (rutin) and its derivatives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2938.90.00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2939.11.00</w:t>
            </w:r>
          </w:p>
        </w:tc>
        <w:tc>
          <w:tcPr>
            <w:tcW w:w="4679" w:type="dxa"/>
            <w:tcMar>
              <w:top w:w="70" w:type="dxa"/>
              <w:start w:w="110" w:type="dxa"/>
              <w:bottom w:w="70" w:type="dxa"/>
              <w:end w:w="110" w:type="dxa"/>
            </w:tcMar>
            <w:vAlign w:val="center"/>
          </w:tcPr>
          <w:p>
            <w:pPr>
              <w:pStyle w:val="TableText"/>
              <w:jc w:val="left"/>
            </w:pPr>
            <w:r>
              <w:rPr>
                <w:lang w:val="en-US" w:eastAsia="en-US" w:bidi="ar-SA"/>
              </w:rPr>
              <w:t>Concentrates of poppy straw; buprenorphine (INN), codeine, dihydrocodeine (INN), ethylmorphine, etorphine</w:t>
            </w:r>
          </w:p>
        </w:tc>
      </w:tr>
    </w:tbl>
    <w:p>
      <w:pPr>
        <w:pStyle w:val="Normal"/>
      </w:pPr>
      <w:r>
        <w:t>(INN), heroin, hydrocodone (INN), hydromorphone (INN), morphine, nicomorphine (INN), oxycodone (INN), oxymorphone (INN), pholcodine (INN), thebacon (INN) and thebaine; salts thereof 2939.19.00 Other 2939.20.00 Alkaloids of cinchona and their derivatives; salts thereof 2939.30.00 Caffeine and its salts 2939.41.00 Ephedrine and its salts 2939.42.00 Pseudoephedrine (INN) and its salts 2939.43.00 Cathine (INN) and its salts 2939.44.00 Norephendrine and its salts 2939.49.00 Other 2939.51.00 Fenetylline (INN) and its salts 2939.59.00 Other 2939.61.00 Ergometrine (INN) and its salts 2939.62.00 Ergotamine (INN) and its salts 2939.63.00 Lysergic acid and its salts 2939.69.00 Other 2939.71.00 Cocaine, ecgonine, levometamfetamine, metamfetamine (INN), metamfetamine racemate; salts, esters and other derivatives thereof 2939.79.00 Other 2939.80.00 Other 2940.00.00 Sugars, chemically pure, other than sucrose, lactose, maltose, glucose and fructose; sugar ethers, sugar acetals and sugar esters, and their salts, other than products of heading 29.37, 29.38 or 29.39. 2941.10.00 Penicillins and their derivatives with a penicillanic acid structure; salts thereof 2941.20.00 Streptomycins and their derivatives; salts thereof 2941.30.00 Tetracyclines and their derivatives; salts thereof 2941.40.00 Chloramphenicol and its derivatives; salts thereof 2941.50.00 Erythromycin and its derivatives; salts thereof 2941.90.00 Other 2942.00.00 Other organic compounds.</w:t>
      </w:r>
    </w:p>
    <w:p>
      <w:pPr>
        <w:pStyle w:val="Normal"/>
      </w:pPr>
      <w:r>
        <w:t>3001.20.00 Extracts of glands or other organs or of their secretions 3001.90.00 Other 3002.11.00 Malaria diagnostic test kits 3002.12.00 Antisera and other blood fractions 3002.13.00 Immunological products, unmixed, not put up in measured doses or in forms or packings for retail sale 3002.14.00 Immunological products, mixed, not put up in measured doses or in forms or packings for retail sale 3002.15.00 Immunological products, put up in measured doses or in forms or packings for retail sale 3002.19.00 Other 3002.20.00 Vaccines for human medicine 3002.30.00 Vaccines for veterinary medicine 3002.90.00 Other 3003.10.00 Containing penicillins or derivatives thereof, with a penicillanic acid structure, or streptomycins or their derivatives 3003.20.00 Other, containing antibiotics 3003.31.00 Containing insulin 3003.39.00 Other 3003.41.00 Containing ephedrine or its salts 3003.42.00 Containing pseudoephedrine (INN) or its salts 3003.43.00 Containing norephedrine or its salts 3003.49.00 Other 3003.60.00 Other, containing antimalarial active principles described in Subheading Note 2 to this Chapter 3003.90.00 Other 3004.10.00 Containing penicillins or derivatives thereof, with a penicillanic acid structure, or streptomycins or their derivatives 3004.20.00 Other, containing antibiotics 3004.31.00 Containing insulin 3004.32.00 Containing corticosteroid hormones, their derivatives or structural analogues 3004.39.00 Other 3004.41.00 Containing ephedrine or its salts 3004.42.00</w:t>
      </w:r>
    </w:p>
    <w:p>
      <w:pPr>
        <w:pStyle w:val="Normal"/>
      </w:pPr>
      <w:r>
        <w:t>Containing pseudoephedrine (INN) or its salts 3004.43.00 Containing norephedrine or its salts 3004.49.00 Other 3004.50.00 Other, containing vitamins or other products of heading 29.36 3004.60.00 Other, containing antimalarial active principles described in Subheading Note 2 to this Chapter 3004.90.00 Other 3005.10.00 Adhesive dressings and other articles having an adhesive layer 3005.90.00 Other 3006.10.00 Sterile surgical catgut, similar sterile suture materials (including sterile absorbable surgical or dental yarns) and sterile tissue adhesives for surgical wound closure; sterile laminaria and sterile laminaria tents; sterile absorbable surgical or dental haemostatics; sterile surgical or dental adhesion barriers, whether or not absorbable 3006.20.00 Blood-grouping reagents 3006.30.00 Opacifying preparations for X-ray examinations; diagnostic reagents designed to be administered to the patient 3006.40.00 Dental cements and other dental fillings; bone reconstruction cements 3006.50.00 First-aid boxes and kits 3006.60.00 Chemical contraceptive preparations based on hormones, on other products of heading 29.37 or on spermicides 3006.70.10 Chemical or biological preparations, including kits containing ancillary articles or materials, for medical diagnosis; To be employed in the insemination of animal semen 3006.70.90 Other 3006.91.00 Appliances identifiable for ostomy use 3006.92.00 Waste pharmaceuticals 3101.00.00 Animal or vegetable fertilizers, whether or not mixed together</w:t>
      </w:r>
    </w:p>
    <w:p>
      <w:pPr>
        <w:pStyle w:val="Normal"/>
      </w:pPr>
      <w:r>
        <w:t>or chemically treated; fertilizers produced by the mixing or chemical treatment of animal or vegetable products. 3102.10.00 Urea, whether or not in aqueous solution 3102.21.00 Ammonium sulphate 3102.29.00 Other 3102.30.00 Ammonium nitrate, whether or not in aqueous solution 3102.40.00 Mixtures of ammonium nitrate with calcium carbonate or other inorganic non-fertilizing substances 3102.50.00 Sodium nitrate 3102.60.00 Double salts and mixtures of calcium nitrate and ammonium nitrate 3102.80.00 Mixtures of urea and ammonium nitrate in aqueous or ammoniacal solution 3102.90.00 Other, including mixtures not specified in the foregoing subheadings 3103.11.00 Containing by weight 35% or more of diphosphorus pentaoxide (P2O5) 3103.19.00 Other 3103.90.00 Other 3104.20.00 Potassium chloride 3104.30.00 Potassium sulphate 3104.90.00 Other 3105.10.00 Goods of this Chapter in tablets or similar forms or in packages of a gross weight not exceeding 10 kg 3105.20.00 Mineral or chemical fertilizers containing the three fertilizing elements nitrogen, phosphorus and potassium 3105.30.00 Diammonium hydrogenorthophosphate (diammonium phosphate) 3105.40.00 Ammonium dihydrogenorthophosphate (monoammonium phosphate) and mixtures thereof with diammonium hydrogenorthophosphate (diammonium phosphate) 3105.51.00 Containing nitrates and phosphates 3105.59.00 Other 3105.60.00 Mineral or chemical fertilizers containing the two fertilizing elements phosphorus and potassium 3105.90.00 Other 3201.10.00</w:t>
      </w:r>
    </w:p>
    <w:p>
      <w:pPr>
        <w:pStyle w:val="Normal"/>
      </w:pPr>
      <w:r>
        <w:t>Quebracho extract 3201.20.00 Wattle extract 3201.90.00 Other 3202.10.00 Synthetic organic tanning substances 3202.90.00 Other 3203.00.00 Colouring matter of vegetable or animal origin (including dyeing extracts but excluding animal black), whether or not chemically defined; preparations as specified in Note 3 to this Chapter based on colouring matter of vegetable or animal origin. 3204.11.00 Disperse dyes and preparations based thereon 3204.12.00 Acid dyes, whether or not premetallized, and preparations based thereon; mordant dyes and preparations based thereon 3204.13.00 Basic dyes and preparations based thereon 3204.14.00 Direct dyes and preparations based thereon 3204.15.00 Vat dyes (including those usable in that state as pigments) and preparations based thereon 3204.16.00 Reactive dyes and preparations based thereon 3204.17.00 Pigments and preparations based thereon 3204.19.00 Other, including mixtures of colouring matter of two or more of the subheadings 3204.11 to 3204.19 3204.20.00 Synthetic organic products of a kind used as fluorescent brightening agents 3204.90.00 Other 3205.00.00 Colour lakes; preparations as specified in Note 3 to this Chapter based on colour lakes.</w:t>
      </w:r>
    </w:p>
    <w:p>
      <w:pPr>
        <w:pStyle w:val="Normal"/>
      </w:pPr>
      <w:r>
        <w:t>3206.11.10 For use in Canadian manufactures 3206.11.90 Other 3206.19.00 Other 3206.20.00 Pigments and preparations based on chromium compounds 3206.41.00 Ultramarine and preparations based thereon 3206.42.00 Lithopone and other pigments and preparations based on zinc sulphide 3206.49.00 Other 3206.50.00 Inorganic products of a kind used as luminophores 3207.10.00 Prepared pigments, prepared opacifiers, prepared colours and similar preparations 3207.20.00 Vitrifiable enamels and glazes, engobes (slips) and similar preparations 3207.30.00 Liquid lustres and similar preparations 3207.40.00 Glass frit and other glass, in the form of powder, granules or flakes 3208.10.00 Based on polyesters 3208.20.00 Based on acrylic or vinyl polymers 3208.90.10 Corrosion resistant coatings specifically formulated for use in the manufacture of mirrors; To be employed in the manufacture of semiconductor devices 3208.90.90 Other 3209.10.00 Based on acrylic or vinyl polymers 3209.90.00 Other 3210.00.00 Other paints and varnishes (including enamels, lacquers and distempers); prepared water pigments of a kind used for finishing leather. 3211.00.00 Prepared driers.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3212.10.00</w:t>
            </w:r>
          </w:p>
        </w:tc>
        <w:tc>
          <w:tcPr>
            <w:tcW w:w="4679" w:type="dxa"/>
            <w:tcMar>
              <w:top w:w="70" w:type="dxa"/>
              <w:start w:w="110" w:type="dxa"/>
              <w:bottom w:w="70" w:type="dxa"/>
              <w:end w:w="110" w:type="dxa"/>
            </w:tcMar>
            <w:vAlign w:val="center"/>
          </w:tcPr>
          <w:p>
            <w:pPr>
              <w:pStyle w:val="TableText"/>
              <w:jc w:val="left"/>
            </w:pPr>
            <w:r>
              <w:rPr>
                <w:lang w:val="en-US" w:eastAsia="en-US" w:bidi="ar-SA"/>
              </w:rPr>
              <w:t>Stamping foils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3212.90.00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3213.10.00</w:t>
            </w:r>
          </w:p>
        </w:tc>
        <w:tc>
          <w:tcPr>
            <w:tcW w:w="4679" w:type="dxa"/>
            <w:tcMar>
              <w:top w:w="70" w:type="dxa"/>
              <w:start w:w="110" w:type="dxa"/>
              <w:bottom w:w="70" w:type="dxa"/>
              <w:end w:w="110" w:type="dxa"/>
            </w:tcMar>
            <w:vAlign w:val="center"/>
          </w:tcPr>
          <w:p>
            <w:pPr>
              <w:pStyle w:val="TableText"/>
              <w:jc w:val="left"/>
            </w:pPr>
            <w:r>
              <w:rPr>
                <w:lang w:val="en-US" w:eastAsia="en-US" w:bidi="ar-SA"/>
              </w:rPr>
              <w:t>Colours in sets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3213.90.10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Water colours, in liquid or powder form, in jars, bottles or tins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3213.90.90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3214.10.10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phenol-formaldehyde resin, for use in the manufacture of filament lamps; Polyester or epoxide-based mastic, electrically insulating or conductive, for use in the manufacture or refurbishing of electrical generators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3214.10.90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3214.90.00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3215.11.00</w:t>
            </w:r>
          </w:p>
        </w:tc>
        <w:tc>
          <w:tcPr>
            <w:tcW w:w="4679" w:type="dxa"/>
            <w:tcMar>
              <w:top w:w="70" w:type="dxa"/>
              <w:start w:w="110" w:type="dxa"/>
              <w:bottom w:w="70" w:type="dxa"/>
              <w:end w:w="110" w:type="dxa"/>
            </w:tcMar>
            <w:vAlign w:val="center"/>
          </w:tcPr>
          <w:p>
            <w:pPr>
              <w:pStyle w:val="TableText"/>
              <w:jc w:val="left"/>
            </w:pPr>
            <w:r>
              <w:rPr>
                <w:lang w:val="en-US" w:eastAsia="en-US" w:bidi="ar-SA"/>
              </w:rPr>
              <w:t>Black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3215.19.00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3215.90.00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3301.12.00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orange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3301.13.00</w:t>
            </w:r>
          </w:p>
        </w:tc>
        <w:tc>
          <w:tcPr>
            <w:tcW w:w="4679" w:type="dxa"/>
            <w:tcMar>
              <w:top w:w="70" w:type="dxa"/>
              <w:start w:w="110" w:type="dxa"/>
              <w:bottom w:w="70" w:type="dxa"/>
              <w:end w:w="110" w:type="dxa"/>
            </w:tcMar>
            <w:vAlign w:val="center"/>
          </w:tcPr>
          <w:p>
            <w:pPr>
              <w:pStyle w:val="TableText"/>
              <w:jc w:val="left"/>
            </w:pPr>
            <w:r>
              <w:rPr>
                <w:lang w:val="en-US" w:eastAsia="en-US" w:bidi="ar-SA"/>
              </w:rPr>
              <w:t>Of lemon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3301.19.00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3301.24.00</w:t>
            </w:r>
          </w:p>
        </w:tc>
        <w:tc>
          <w:tcPr>
            <w:tcW w:w="4679" w:type="dxa"/>
            <w:tcMar>
              <w:top w:w="70" w:type="dxa"/>
              <w:start w:w="110" w:type="dxa"/>
              <w:bottom w:w="70" w:type="dxa"/>
              <w:end w:w="110" w:type="dxa"/>
            </w:tcMar>
            <w:vAlign w:val="center"/>
          </w:tcPr>
          <w:p>
            <w:pPr>
              <w:pStyle w:val="TableText"/>
              <w:jc w:val="left"/>
            </w:pPr>
            <w:r>
              <w:rPr>
                <w:lang w:val="en-US" w:eastAsia="en-US" w:bidi="ar-SA"/>
              </w:rPr>
              <w:t>Of peppermint (Mentha piperita)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3301.25.00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mints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3301.29.00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3301.30.10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Oleoresin paprika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3301.30.90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3302.10.11</w:t>
            </w:r>
          </w:p>
        </w:tc>
        <w:tc>
          <w:tcPr>
            <w:tcW w:w="4679" w:type="dxa"/>
            <w:tcMar>
              <w:top w:w="70" w:type="dxa"/>
              <w:start w:w="110" w:type="dxa"/>
              <w:bottom w:w="70" w:type="dxa"/>
              <w:end w:w="110" w:type="dxa"/>
            </w:tcMar>
            <w:vAlign w:val="center"/>
          </w:tcPr>
          <w:p>
            <w:pPr>
              <w:pStyle w:val="TableText"/>
              <w:jc w:val="left"/>
            </w:pPr>
            <w:r>
              <w:rPr>
                <w:lang w:val="en-US" w:eastAsia="en-US" w:bidi="ar-SA"/>
              </w:rPr>
              <w:t>Compound alcoholic preparations of a kind used for the manufacture of beverages: With an alcoholic strength by volume exceeding 0.5% vol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3302.10.12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Compound alcoholic preparations of a kind used for the manufacture of beverages: With an alcoholic strength by volume not exceeding 0.5% vol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3302.10.90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3303.00.00</w:t>
            </w:r>
          </w:p>
        </w:tc>
        <w:tc>
          <w:tcPr>
            <w:tcW w:w="4679" w:type="dxa"/>
            <w:tcMar>
              <w:top w:w="70" w:type="dxa"/>
              <w:start w:w="110" w:type="dxa"/>
              <w:bottom w:w="70" w:type="dxa"/>
              <w:end w:w="110" w:type="dxa"/>
            </w:tcMar>
            <w:vAlign w:val="center"/>
          </w:tcPr>
          <w:p>
            <w:pPr>
              <w:pStyle w:val="TableText"/>
              <w:jc w:val="left"/>
            </w:pPr>
            <w:r>
              <w:rPr>
                <w:lang w:val="en-US" w:eastAsia="en-US" w:bidi="ar-SA"/>
              </w:rPr>
              <w:t>Perfumes and toilet waters.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3304.10.00</w:t>
            </w:r>
          </w:p>
        </w:tc>
        <w:tc>
          <w:tcPr>
            <w:tcW w:w="4679" w:type="dxa"/>
            <w:tcMar>
              <w:top w:w="70" w:type="dxa"/>
              <w:start w:w="110" w:type="dxa"/>
              <w:bottom w:w="70" w:type="dxa"/>
              <w:end w:w="110" w:type="dxa"/>
            </w:tcMar>
            <w:vAlign w:val="center"/>
          </w:tcPr>
          <w:p>
            <w:pPr>
              <w:pStyle w:val="TableText"/>
              <w:jc w:val="left"/>
            </w:pPr>
            <w:r>
              <w:rPr>
                <w:lang w:val="en-US" w:eastAsia="en-US" w:bidi="ar-SA"/>
              </w:rPr>
              <w:t>Lip make-up preparations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Eye make-up preparations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3304.30.00</w:t>
            </w:r>
          </w:p>
        </w:tc>
        <w:tc>
          <w:tcPr>
            <w:tcW w:w="4679" w:type="dxa"/>
            <w:tcMar>
              <w:top w:w="70" w:type="dxa"/>
              <w:start w:w="110" w:type="dxa"/>
              <w:bottom w:w="70" w:type="dxa"/>
              <w:end w:w="110" w:type="dxa"/>
            </w:tcMar>
            <w:vAlign w:val="center"/>
          </w:tcPr>
          <w:p>
            <w:pPr>
              <w:pStyle w:val="TableText"/>
              <w:jc w:val="left"/>
            </w:pPr>
            <w:r>
              <w:rPr>
                <w:lang w:val="en-US" w:eastAsia="en-US" w:bidi="ar-SA"/>
              </w:rPr>
              <w:t>Manicure or pedicure preparations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3304.91.00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Powders, whether or not compressed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3304.99.10</w:t>
            </w:r>
          </w:p>
        </w:tc>
        <w:tc>
          <w:tcPr>
            <w:tcW w:w="4679" w:type="dxa"/>
            <w:tcMar>
              <w:top w:w="70" w:type="dxa"/>
              <w:start w:w="110" w:type="dxa"/>
              <w:bottom w:w="70" w:type="dxa"/>
              <w:end w:w="110" w:type="dxa"/>
            </w:tcMar>
            <w:vAlign w:val="center"/>
          </w:tcPr>
          <w:p>
            <w:pPr>
              <w:pStyle w:val="TableText"/>
              <w:jc w:val="left"/>
            </w:pPr>
            <w:r>
              <w:rPr>
                <w:lang w:val="en-US" w:eastAsia="en-US" w:bidi="ar-SA"/>
              </w:rPr>
              <w:t>Preparations for the application and maintenance of ostomy appliances or of briefs, underpants, panties, napkins (diapers), napkin (diaper) liners and similar sanitary articles for incontinence, designed to be worn by persons, excluding those of a kind for babies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3304.99.90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3305.10.00</w:t>
            </w:r>
          </w:p>
        </w:tc>
        <w:tc>
          <w:tcPr>
            <w:tcW w:w="4679" w:type="dxa"/>
            <w:tcMar>
              <w:top w:w="70" w:type="dxa"/>
              <w:start w:w="110" w:type="dxa"/>
              <w:bottom w:w="70" w:type="dxa"/>
              <w:end w:w="110" w:type="dxa"/>
            </w:tcMar>
            <w:vAlign w:val="center"/>
          </w:tcPr>
          <w:p>
            <w:pPr>
              <w:pStyle w:val="TableText"/>
              <w:jc w:val="left"/>
            </w:pPr>
            <w:r>
              <w:rPr>
                <w:lang w:val="en-US" w:eastAsia="en-US" w:bidi="ar-SA"/>
              </w:rPr>
              <w:t>Shampoos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3305.20.00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Preparations for permanent waving or straightening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3305.30.00</w:t>
            </w:r>
          </w:p>
        </w:tc>
        <w:tc>
          <w:tcPr>
            <w:tcW w:w="4679" w:type="dxa"/>
            <w:tcMar>
              <w:top w:w="70" w:type="dxa"/>
              <w:start w:w="110" w:type="dxa"/>
              <w:bottom w:w="70" w:type="dxa"/>
              <w:end w:w="110" w:type="dxa"/>
            </w:tcMar>
            <w:vAlign w:val="center"/>
          </w:tcPr>
          <w:p>
            <w:pPr>
              <w:pStyle w:val="TableText"/>
              <w:jc w:val="left"/>
            </w:pPr>
            <w:r>
              <w:rPr>
                <w:lang w:val="en-US" w:eastAsia="en-US" w:bidi="ar-SA"/>
              </w:rPr>
              <w:t>Hair lacquers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3306.10.00</w:t>
            </w:r>
          </w:p>
        </w:tc>
        <w:tc>
          <w:tcPr>
            <w:tcW w:w="4679" w:type="dxa"/>
            <w:tcMar>
              <w:top w:w="70" w:type="dxa"/>
              <w:start w:w="110" w:type="dxa"/>
              <w:bottom w:w="70" w:type="dxa"/>
              <w:end w:w="110" w:type="dxa"/>
            </w:tcMar>
            <w:vAlign w:val="center"/>
          </w:tcPr>
          <w:p>
            <w:pPr>
              <w:pStyle w:val="TableText"/>
              <w:jc w:val="left"/>
            </w:pPr>
            <w:r>
              <w:rPr>
                <w:lang w:val="en-US" w:eastAsia="en-US" w:bidi="ar-SA"/>
              </w:rPr>
              <w:t>Dentifrices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Yarn used to clean between the teeth (dental floss)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3306.90.00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Pre-shave, shaving or after-shave preparations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3307.20.00</w:t>
            </w:r>
          </w:p>
        </w:tc>
        <w:tc>
          <w:tcPr>
            <w:tcW w:w="4679" w:type="dxa"/>
            <w:tcMar>
              <w:top w:w="70" w:type="dxa"/>
              <w:start w:w="110" w:type="dxa"/>
              <w:bottom w:w="70" w:type="dxa"/>
              <w:end w:w="110" w:type="dxa"/>
            </w:tcMar>
            <w:vAlign w:val="center"/>
          </w:tcPr>
          <w:p>
            <w:pPr>
              <w:pStyle w:val="TableText"/>
              <w:jc w:val="left"/>
            </w:pPr>
            <w:r>
              <w:rPr>
                <w:lang w:val="en-US" w:eastAsia="en-US" w:bidi="ar-SA"/>
              </w:rPr>
              <w:t>Personal deodorants and antiperspirants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3307.30.00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Perfumed bath salts and other bath preparations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3307.41.00</w:t>
            </w:r>
          </w:p>
        </w:tc>
        <w:tc>
          <w:tcPr>
            <w:tcW w:w="4679" w:type="dxa"/>
            <w:tcMar>
              <w:top w:w="70" w:type="dxa"/>
              <w:start w:w="110" w:type="dxa"/>
              <w:bottom w:w="70" w:type="dxa"/>
              <w:end w:w="110" w:type="dxa"/>
            </w:tcMar>
            <w:vAlign w:val="center"/>
          </w:tcPr>
          <w:p>
            <w:pPr>
              <w:pStyle w:val="TableText"/>
              <w:jc w:val="left"/>
            </w:pPr>
            <w:r>
              <w:rPr>
                <w:lang w:val="en-US" w:eastAsia="en-US" w:bidi="ar-SA"/>
              </w:rPr>
              <w:t>“</w:t>
            </w:r>
            <w:r>
              <w:rPr>
                <w:lang w:val="en-US" w:eastAsia="en-US" w:bidi="ar-SA"/>
              </w:rPr>
              <w:t>Agarbatti” and other odoriferous preparations which operate by burning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3307.49.00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3307.90.00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3401.11.10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Castile soap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3401.11.90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3401.19.00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3401.20.10</w:t>
            </w:r>
          </w:p>
        </w:tc>
        <w:tc>
          <w:tcPr>
            <w:tcW w:w="4679" w:type="dxa"/>
            <w:tcMar>
              <w:top w:w="70" w:type="dxa"/>
              <w:start w:w="110" w:type="dxa"/>
              <w:bottom w:w="70" w:type="dxa"/>
              <w:end w:w="110" w:type="dxa"/>
            </w:tcMar>
            <w:vAlign w:val="center"/>
          </w:tcPr>
          <w:p>
            <w:pPr>
              <w:pStyle w:val="TableText"/>
              <w:jc w:val="left"/>
            </w:pPr>
            <w:r>
              <w:rPr>
                <w:lang w:val="en-US" w:eastAsia="en-US" w:bidi="ar-SA"/>
              </w:rPr>
              <w:t>Laundry soap for washing clothes and other linens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3401.20.20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Soap pellets containing sodium soaps of fatty acids and glycerol, for use in the manufacture of bar soaps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3401.20.30</w:t>
            </w:r>
          </w:p>
        </w:tc>
        <w:tc>
          <w:tcPr>
            <w:tcW w:w="4679" w:type="dxa"/>
            <w:tcMar>
              <w:top w:w="70" w:type="dxa"/>
              <w:start w:w="110" w:type="dxa"/>
              <w:bottom w:w="70" w:type="dxa"/>
              <w:end w:w="110" w:type="dxa"/>
            </w:tcMar>
            <w:vAlign w:val="center"/>
          </w:tcPr>
          <w:p>
            <w:pPr>
              <w:pStyle w:val="TableText"/>
              <w:jc w:val="left"/>
            </w:pPr>
            <w:r>
              <w:rPr>
                <w:lang w:val="en-US" w:eastAsia="en-US" w:bidi="ar-SA"/>
              </w:rPr>
              <w:t>Dry soap for use as a lubricant in wire drawing in the manufacture of pneumatic tires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3401.20.90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3401.30.00</w:t>
            </w:r>
          </w:p>
        </w:tc>
        <w:tc>
          <w:tcPr>
            <w:tcW w:w="4679" w:type="dxa"/>
            <w:tcMar>
              <w:top w:w="70" w:type="dxa"/>
              <w:start w:w="110" w:type="dxa"/>
              <w:bottom w:w="70" w:type="dxa"/>
              <w:end w:w="110" w:type="dxa"/>
            </w:tcMar>
            <w:vAlign w:val="center"/>
          </w:tcPr>
          <w:p>
            <w:pPr>
              <w:pStyle w:val="TableText"/>
              <w:jc w:val="left"/>
            </w:pPr>
            <w:r>
              <w:rPr>
                <w:lang w:val="en-US" w:eastAsia="en-US" w:bidi="ar-SA"/>
              </w:rPr>
              <w:t>Organic surface-active products and preparations for washing the skin, in the form of liquid or cream and put up for retail sale, whether or not containing soap</w:t>
            </w:r>
          </w:p>
        </w:tc>
      </w:tr>
    </w:tbl>
    <w:p>
      <w:pPr>
        <w:pStyle w:val="Normal"/>
      </w:pPr>
      <w:r>
        <w:t>3402.11.10 Sodium alkylbenzene sulphonates for use in the manufacture of slow dissolving inside toilet tank solids of heading 34.02 or 38.08 3402.11.90 Other 3402.12.00 Cationic 3402.13.10 Polyether polyols, with a hydroxyl number of 265 or more, for use in the manufacture of polyurethane moulding compositions 3402.13.90 Other 3402.19.00 Other 3402.20.10 Automatic dishwasher detergents 3402.20.90 Other 3402.90.10 Chemical antioxidants, hardeners, inhibitors, restrainers, sensitizers and stabilizers for use in the manufacture of photographic emulsions; To be employed in removing salts or water from crude petroleum oils; To be employed as drilling mud or additives therefor in drilling for minerals, natural gas, oil or water 3402.90.91 Other: For use in Canadian manufactures 3402.90.99 Other: Other 3403.11.10 Lubricating oil preparations based in part on petroleum 3403.11.90 Other 3403.19.11 Lubricating oil preparations based in part on petroleum: For use in Canadian manufactures; Other oil-based lubricating preparations for wet drawing of tire wire 3403.19.19 Lubricating oil preparations based in part on petroleum: Other 3403.19.91 Other: For use in Canadian manufactures 3403.19.99 Other:</w:t>
      </w:r>
    </w:p>
    <w:p>
      <w:pPr>
        <w:pStyle w:val="Normal"/>
      </w:pPr>
      <w:r>
        <w:t>Other 3403.91.10 For use in stuffing or dressing leather or furskins 3403.91.90 Other 3403.99.10 For use in Canadian manufactures 3403.99.90 Other 3404.20.10 Artificial waxes, for use in the manufacture of acrylonitrile butadiene-styrene (ABS) copolymers of subheading 3903.30 3404.20.90</w:t>
      </w:r>
    </w:p>
    <w:p>
      <w:pPr>
        <w:pStyle w:val="Normal"/>
      </w:pPr>
      <w:r>
        <w:t>Other 3404.90.10 Chemically modified polyethylene glycol wax for use in the manufacture of tackifier dispersions; Diamides, produced by the reaction of ethylenediamine with fatty acids of heading 38.23, for use in the manufacture of moulded articles of wood pulp composition; Of polyethylene having a number-average molecular weight not exceeding 4,000; Rheological additives composed of fatty esters and fatty amides, derived from hydrogenated castor oil;</w:t>
      </w:r>
    </w:p>
    <w:p>
      <w:pPr>
        <w:pStyle w:val="Normal"/>
      </w:pPr>
      <w:r>
        <w:t>Wax composed of fatty acid alkyl ketene dimer for use in the manufacture of sizing agents or sizing preparations 3404.90.20 Of chemically modified lignite 3404.90.90 Other 3405.10.10 Liquid shoe shine preparations for use in the manufacture of shoe care products 3405.10.90 Other 3405.20.00 Polishes, creams and similar preparations for the maintenance of wooden furniture, floors or other woodwork 3405.30.00 Polishes and similar preparations for coachwork, other than metal polishes 3405.40.00 Scouring pastes and powders and other scouring preparations 3405.90.00 Other 3406.00.10 For birthdays, Christmas and other festive occasions 3406.00.90 Other 3407.00.10 Modelling pastes 3407.00.20 Dental impression compounds excluding those based on silicone polymers 3407.00.90 Other 3501.10.00 Casein * 3501.90.00 Other * 3502.11.10 Within access commitment * * 3502.11.20 Over access commitment * * 3502.19.10 Within access commitment * * 3502.19.20 Over access commitment * * 3502.20.00 Milk albumin, including concentrates of two or more</w:t>
      </w:r>
    </w:p>
    <w:p>
      <w:pPr>
        <w:pStyle w:val="Normal"/>
      </w:pPr>
      <w:r>
        <w:t>whey proteins 3502.90.00 Other 3503.00.00 Gelatin (including gelatin in rectangular (including square) sheets, whether or not surface-worked or coloured) and gelatin derivatives; isinglass; other glues of animal origin, excluding casein glues of heading 35.01. 3504.00.11 Milk protein substances: Within access commitment 3504.00.12 Milk protein substances: Over access commitment 3504.00.90 Other 3505.10.11 Etherified or esterified starches: Cationic potato starch for use in the manufacture of paper or paperboard 3505.10.19 Etherified or esterified starches: Other 3505.10.20 Pregelatinized starch; Soluble starch (amylogen) 3505.10.90 Other 3505.20.10 Blend of potato starch and synthetic polymer for use in the manufacture of pre-pasted wallpaper 3505.20.90 Other 3506.10.00 Products suitable for use as glues or adhesives, put up for retail sale as glues or adhesives, not exceeding a net weight of 1 kg 3506.91.10 To be employed in the manufacture of semiconductor devices; Hot melt adhesives, based on polyamides, for use in the manufacture of interlinings or findings for clothing 3506.91.90 Other 3506.99.00 Other 3507.10.00 Rennet and concentrates thereof 3507.90.00 Other 3601.00.00 Propellent powders. 3602.00.00 Prepared explosives, other than propellent powders. 3603.00.00 Safety fuses; detonating fuses; percussion or detonating caps; igniters; electric detonators. 3604.10.00 Fireworks 3604.90.00 Other 3605.00.00 Matches, other than pyrotechnic articles of heading 36.04.</w:t>
      </w:r>
    </w:p>
    <w:p>
      <w:pPr>
        <w:pStyle w:val="Normal"/>
      </w:pPr>
      <w:r>
        <w:t>3606.10.00 Liquid or liquefied-gas fuels in containers of a kind used for filling or refilling cigarette or similar lighters and of a capacity not exceeding 300 cm³ 3606.90.00 Other 3701.10.00 For X-ray 3701.20.00 Instant print film 3701.30.10 Plates, with a resolution capability of not less than 500 line pairs per millimetre, for use in the manufacture of photomasks used in the production of integrated circuits 3701.30.20 Other plates 3701.30.31 Film: For use in the production of replications of exposed and developed cinematographic film 3701.30.39 Film: Other 3701.91.10 Plates 3701.91.20 Film 3701.99.10 Photopolymer resist film;</w:t>
      </w:r>
    </w:p>
    <w:p>
      <w:pPr>
        <w:pStyle w:val="Normal"/>
      </w:pPr>
      <w:r>
        <w:t>Plates, with a resolution capability of not less than 500 line pairs per millimetre, for use in the manufacture of photomasks used in the production of integrated circuits 3701.99.20 Other plates 3701.99.30 Other film 3702.10.00 For X-ray 3702.31.00 For colour photography (polychrome) 3702.32.00 Other, with silver halide emulsion 3702.39.00 Other 3702.41.00 Of a width exceeding 610 mm and of a length exceeding 200 m, for colour photography (polychrome) 3702.42.10 Duplicating, scanner or continuous tone graphic arts film, of a width of 762 mm or more, for use in the manufacture of photographic film 3702.42.90 Other 3702.43.20 Instant print film 3702.43.90 Other 3702.44.20 Instant print film 3702.44.90 Other 3702.52.00 Of a width not exceeding 16 mm 3702.53.00 Of a width exceeding 16 mm but not exceeding 35 mm and of a length not exceeding 30 m, for</w:t>
      </w:r>
    </w:p>
    <w:p>
      <w:pPr>
        <w:pStyle w:val="Normal"/>
      </w:pPr>
      <w:r>
        <w:t>slides 3702.54.10 For use in the production of replications of exposed and developed cinematographic film 3702.54.90 Other 3702.55.00 Of a width exceeding 16 mm but not exceeding 35 mm and of a length exceeding 30 m 3702.56.00 Of a width exceeding 35 mm 3702.96.00 Of a width not exceeding 35 mm and of a length not exceeding 30 m 3702.97.00 Of a width not exceeding 35 mm and of a length exceeding 30 m 3702.98.00 Of a width exceeding 35 mm 3703.10.00 In rolls of a width exceeding 610 mm 3703.20.00 Other, for colour photography (polychrome) 3703.90.10 Paper, in rolls, used with photographic transmission machines, to be employed in the production of newspapers, magazines or periodicals 3703.90.90 Other 3704.00.10 Film to be employed in the production of printing plates, rolls or cylinders for the reproduction of non-advertising material in newspapers, or for printing books or music, or for printing periodical publications entitled to second-class mailing privileges, the pages of which are regularly bound, wire-stitched or otherwise fastened together, excluding catalogues 3704.00.90 Other 3705.00.11 For offset reproduction:</w:t>
      </w:r>
    </w:p>
    <w:p>
      <w:pPr>
        <w:pStyle w:val="Normal"/>
      </w:pPr>
      <w:r>
        <w:t>Film to be employed in the production of printing plates, rolls or cylinders for the reproduction of non- advertising material in newspapers, or for printing books or music, or for printing periodical publications entitled to second- class mailing privileges, the pages of which are regularly bound, wire-stitched or otherwise fastened together, excluding</w:t>
      </w:r>
    </w:p>
    <w:p>
      <w:pPr>
        <w:pStyle w:val="Normal"/>
      </w:pPr>
      <w:r>
        <w:t>catalogues 3705.00.19 For offset reproduction: Other 3705.00.91 Other: Contact halftone film screens for the production of printing plates; Film to be employed in the production of printing plates, rolls or cylinders for the reproduction of non-advertising material in newspapers, or for printing books or music, or for printing periodical publications entitled to second-class mailing privileges, the pages of which are regularly bound, wire-stitched or otherwise fastened together, excluding catalogues; Films for deposit as archives and not for exhibition for commercial purpose; News features and recordings of current events; Photomasks to be employed in the manufacture of semiconductor devices;</w:t>
      </w:r>
    </w:p>
    <w:p>
      <w:pPr>
        <w:pStyle w:val="Normal"/>
      </w:pPr>
      <w:r>
        <w:t>Slides and slide films when they (a) are of an educational, scientific or cultural character within the meaning of the Agreement for Facilitating the International Circulation of Visual and Auditory Materials of an Educational, Scientific and Cultural Character adopted at Beirut, Lebanon, in 1948, and (b) have been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3705.00.99 Other: Other 3706.10.10 Television commercials excluding those imported for reference purposes only 3706.10.90 Other 3706.90.10 Television commercials excluding those</w:t>
      </w:r>
    </w:p>
    <w:p>
      <w:pPr>
        <w:pStyle w:val="Normal"/>
      </w:pPr>
      <w:r>
        <w:t>imported for reference purposes only 3706.90.90 Other 3707.10.00 Sensitizing emulsions 3707.90.10 Chemical preparations to be employed in the manufacture of semiconductor devices; To be employed in the processing of X-ray film 3707.90.90 Other 3801.10.00 Artificial graphite 3801.20.00 Colloidal or semi-colloidal graphite 3801.30.00 Carbonaceous pastes for electrodes and similar pastes for furnace linings 3801.90.00 Other 3802.10.00 Activated carbon 3802.90.00 Other 3803.00.00 Tall oil, whether or not refined. 3804.00.00 Residual lyes from the manufacture of wood pulp, whether or not concentrated, desugared or chemically treated, including lignin sulphonates, but excluding tall oil of heading 38.03. 3805.10.00 Gum, wood or sulphate turpentine oils 3805.90.00 Other 3806.10.00 Rosin and resin acids 3806.20.00 Salts of rosin, of resin acids or of derivatives of rosin or resin acids, other than salts of rosin adducts 3806.30.00 Ester gums 3806.90.00 Other 3807.00.00 Wood tar; wood tar oils; wood creosote; wood naphtha; vegetable pitch; brewers’ pitch and similar preparations based on rosin, resin acids or on vegetable pitch.</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3808.52.00</w:t>
            </w:r>
          </w:p>
        </w:tc>
        <w:tc>
          <w:tcPr>
            <w:tcW w:w="4679" w:type="dxa"/>
            <w:tcMar>
              <w:top w:w="70" w:type="dxa"/>
              <w:start w:w="110" w:type="dxa"/>
              <w:bottom w:w="70" w:type="dxa"/>
              <w:end w:w="110" w:type="dxa"/>
            </w:tcMar>
            <w:vAlign w:val="center"/>
          </w:tcPr>
          <w:p>
            <w:pPr>
              <w:pStyle w:val="TableText"/>
              <w:jc w:val="left"/>
            </w:pPr>
            <w:r>
              <w:rPr>
                <w:lang w:val="en-US" w:eastAsia="en-US" w:bidi="ar-SA"/>
              </w:rPr>
              <w:t>DDT (ISO) (clofenotane (INN)), in packings of a net weight content not exceeding 300 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3808.59.10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packages of a gross weight not exceeding 1.36 kg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3808.59.20</w:t>
            </w:r>
          </w:p>
        </w:tc>
        <w:tc>
          <w:tcPr>
            <w:tcW w:w="4679" w:type="dxa"/>
            <w:tcMar>
              <w:top w:w="70" w:type="dxa"/>
              <w:start w:w="110" w:type="dxa"/>
              <w:bottom w:w="70" w:type="dxa"/>
              <w:end w:w="110" w:type="dxa"/>
            </w:tcMar>
            <w:vAlign w:val="center"/>
          </w:tcPr>
          <w:p>
            <w:pPr>
              <w:pStyle w:val="TableText"/>
              <w:jc w:val="left"/>
            </w:pPr>
            <w:r>
              <w:rPr>
                <w:lang w:val="en-US" w:eastAsia="en-US" w:bidi="ar-SA"/>
              </w:rPr>
              <w:t>In bulk or in packages of a gross weight exceeding 1.36 kg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packings of a net weight content not exceeding 300 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3808.62.10</w:t>
            </w:r>
          </w:p>
        </w:tc>
        <w:tc>
          <w:tcPr>
            <w:tcW w:w="4679" w:type="dxa"/>
            <w:tcMar>
              <w:top w:w="70" w:type="dxa"/>
              <w:start w:w="110" w:type="dxa"/>
              <w:bottom w:w="70" w:type="dxa"/>
              <w:end w:w="110" w:type="dxa"/>
            </w:tcMar>
            <w:vAlign w:val="center"/>
          </w:tcPr>
          <w:p>
            <w:pPr>
              <w:pStyle w:val="TableText"/>
              <w:jc w:val="left"/>
            </w:pPr>
            <w:r>
              <w:rPr>
                <w:lang w:val="en-US" w:eastAsia="en-US" w:bidi="ar-SA"/>
              </w:rPr>
              <w:t>In packages of a gross weight not exceeding 1.36 kg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3808.62.20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bulk or in packages of a gross weight exceeding 1.36 kg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3808.69.00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3808.91.10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packages of a gross weight not exceeding 1.36 kg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3808.91.20</w:t>
            </w:r>
          </w:p>
        </w:tc>
        <w:tc>
          <w:tcPr>
            <w:tcW w:w="4679" w:type="dxa"/>
            <w:tcMar>
              <w:top w:w="70" w:type="dxa"/>
              <w:start w:w="110" w:type="dxa"/>
              <w:bottom w:w="70" w:type="dxa"/>
              <w:end w:w="110" w:type="dxa"/>
            </w:tcMar>
            <w:vAlign w:val="center"/>
          </w:tcPr>
          <w:p>
            <w:pPr>
              <w:pStyle w:val="TableText"/>
              <w:jc w:val="left"/>
            </w:pPr>
            <w:r>
              <w:rPr>
                <w:lang w:val="en-US" w:eastAsia="en-US" w:bidi="ar-SA"/>
              </w:rPr>
              <w:t>In bulk or in packages of a gross weight exceeding 1.36 kg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3808.92.10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packages of a gross weight not exceeding 1.36 kg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3808.92.20</w:t>
            </w:r>
          </w:p>
        </w:tc>
        <w:tc>
          <w:tcPr>
            <w:tcW w:w="4679" w:type="dxa"/>
            <w:tcMar>
              <w:top w:w="70" w:type="dxa"/>
              <w:start w:w="110" w:type="dxa"/>
              <w:bottom w:w="70" w:type="dxa"/>
              <w:end w:w="110" w:type="dxa"/>
            </w:tcMar>
            <w:vAlign w:val="center"/>
          </w:tcPr>
          <w:p>
            <w:pPr>
              <w:pStyle w:val="TableText"/>
              <w:jc w:val="left"/>
            </w:pPr>
            <w:r>
              <w:rPr>
                <w:lang w:val="en-US" w:eastAsia="en-US" w:bidi="ar-SA"/>
              </w:rPr>
              <w:t>In bulk or in packages of a gross weight exceeding 1.36 kg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3808.93.10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packages of a gross weight not exceeding 1.36 kg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3808.93.20</w:t>
            </w:r>
          </w:p>
        </w:tc>
        <w:tc>
          <w:tcPr>
            <w:tcW w:w="4679" w:type="dxa"/>
            <w:tcMar>
              <w:top w:w="70" w:type="dxa"/>
              <w:start w:w="110" w:type="dxa"/>
              <w:bottom w:w="70" w:type="dxa"/>
              <w:end w:w="110" w:type="dxa"/>
            </w:tcMar>
            <w:vAlign w:val="center"/>
          </w:tcPr>
          <w:p>
            <w:pPr>
              <w:pStyle w:val="TableText"/>
              <w:jc w:val="left"/>
            </w:pPr>
            <w:r>
              <w:rPr>
                <w:lang w:val="en-US" w:eastAsia="en-US" w:bidi="ar-SA"/>
              </w:rPr>
              <w:t>In bulk or in packages of a gross weight exceeding 1.36 kg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3808.94.10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packages of a gross weight not exceeding 1.36 kg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3808.94.20</w:t>
            </w:r>
          </w:p>
        </w:tc>
        <w:tc>
          <w:tcPr>
            <w:tcW w:w="4679" w:type="dxa"/>
            <w:tcMar>
              <w:top w:w="70" w:type="dxa"/>
              <w:start w:w="110" w:type="dxa"/>
              <w:bottom w:w="70" w:type="dxa"/>
              <w:end w:w="110" w:type="dxa"/>
            </w:tcMar>
            <w:vAlign w:val="center"/>
          </w:tcPr>
          <w:p>
            <w:pPr>
              <w:pStyle w:val="TableText"/>
              <w:jc w:val="left"/>
            </w:pPr>
            <w:r>
              <w:rPr>
                <w:lang w:val="en-US" w:eastAsia="en-US" w:bidi="ar-SA"/>
              </w:rPr>
              <w:t>In bulk or in packages of a gross weight exceeding 1.36 kg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3808.99.10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packages of a gross weight not exceeding 1.36 kg each</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3808.99.20</w:t>
            </w:r>
          </w:p>
        </w:tc>
        <w:tc>
          <w:tcPr>
            <w:tcW w:w="4679" w:type="dxa"/>
            <w:tcMar>
              <w:top w:w="70" w:type="dxa"/>
              <w:start w:w="110" w:type="dxa"/>
              <w:bottom w:w="70" w:type="dxa"/>
              <w:end w:w="110" w:type="dxa"/>
            </w:tcMar>
            <w:vAlign w:val="center"/>
          </w:tcPr>
          <w:p>
            <w:pPr>
              <w:pStyle w:val="TableText"/>
              <w:jc w:val="left"/>
            </w:pPr>
            <w:r>
              <w:rPr>
                <w:lang w:val="en-US" w:eastAsia="en-US" w:bidi="ar-SA"/>
              </w:rPr>
              <w:t>In bulk or in packages of a gross weight exceeding 1.36 kg each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With a basis of amylaceous substances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3809.91.00</w:t>
            </w:r>
          </w:p>
        </w:tc>
        <w:tc>
          <w:tcPr>
            <w:tcW w:w="4679" w:type="dxa"/>
            <w:tcMar>
              <w:top w:w="70" w:type="dxa"/>
              <w:start w:w="110" w:type="dxa"/>
              <w:bottom w:w="70" w:type="dxa"/>
              <w:end w:w="110" w:type="dxa"/>
            </w:tcMar>
            <w:vAlign w:val="center"/>
          </w:tcPr>
          <w:p>
            <w:pPr>
              <w:pStyle w:val="TableText"/>
              <w:jc w:val="left"/>
            </w:pPr>
            <w:r>
              <w:rPr>
                <w:lang w:val="en-US" w:eastAsia="en-US" w:bidi="ar-SA"/>
              </w:rPr>
              <w:t>Of a kind used in the textile or like industries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3809.92.00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kind used in the paper or like industries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3809.93.00</w:t>
            </w:r>
          </w:p>
        </w:tc>
        <w:tc>
          <w:tcPr>
            <w:tcW w:w="4679" w:type="dxa"/>
            <w:tcMar>
              <w:top w:w="70" w:type="dxa"/>
              <w:start w:w="110" w:type="dxa"/>
              <w:bottom w:w="70" w:type="dxa"/>
              <w:end w:w="110" w:type="dxa"/>
            </w:tcMar>
            <w:vAlign w:val="center"/>
          </w:tcPr>
          <w:p>
            <w:pPr>
              <w:pStyle w:val="TableText"/>
              <w:jc w:val="left"/>
            </w:pPr>
            <w:r>
              <w:rPr>
                <w:lang w:val="en-US" w:eastAsia="en-US" w:bidi="ar-SA"/>
              </w:rPr>
              <w:t>Of a kind used in the leather or like industries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3810.10.00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Pickling preparations for metal surfaces;</w:t>
            </w:r>
          </w:p>
        </w:tc>
      </w:tr>
    </w:tbl>
    <w:p>
      <w:pPr>
        <w:pStyle w:val="Normal"/>
      </w:pPr>
      <w:r>
        <w:t>soldering, brazing or welding</w:t>
      </w:r>
    </w:p>
    <w:p>
      <w:pPr>
        <w:pStyle w:val="Normal"/>
      </w:pPr>
      <w:r>
        <w:t>powders and pastes consisting of metal and other materials 3810.90.00 Other 3811.11.00 Based on lead compounds 3811.19.00 Other 3811.21.00 Containing petroleum oils or oils obtained from bituminous minerals 3811.29.00 Other 3811.90.00 Other 3812.10.00 Prepared rubber accelerators 3812.20.00 Compound plasticizers for rubber or plastics 3812.31.00 Mixtures of oligomers of 2,2,4-trimethyl-1,2-dihydroquinoline (TMQ) 3812.39.00 Other 3813.00.00 Preparations and charges for fire-extinguishers; charged fire- extinguishing grenades. 3814.00.00 Organic composite solvents and thinners, not elsewhere specified or included; prepared paint or varnish removers. 3815.11.00 With nickel or nickel compounds as the active substance 3815.12.00 With precious metal or precious metal compounds as the active substance 3815.19.00 Other 3815.90.00 Other 3816.00.00 Refractory cements, mortars, concretes and similar compositions, other than products of heading 38.01. 3817.00.00 Mixed alkylbenzenes and mixed alkylnaphthalenes, other than those of heading 27.07 or 29.02 3818.00.00 Chemical elements doped for use in electronics, in the form of discs, wafers or similar forms; chemical compounds doped for use in electronics. 3819.00.00 Hydraulic brake fluids and other prepared liquids for hydraulic transmission, not containing or containing less than 70% by weight of petroleum oils or oils obtained from bituminous minerals. 3820.00.00 Anti-freezing preparations and prepared de-icing fluids.</w:t>
      </w:r>
    </w:p>
    <w:p>
      <w:pPr>
        <w:pStyle w:val="Normal"/>
      </w:pPr>
      <w:r>
        <w:t>3821.00.00 Prepared culture media for the development or maintenance of micro-organisms (including viruses and the like) or of plant, human or animal cells. 3822.00.00 Diagnostic or laboratory reagents on a backing, prepared diagnostic or laboratory reagents whether or not on a backing, other than those of heading 30.02 or 30.06; certified reference materials. 3823.11.00 Stearic acid 3823.12.00 Oleic acid 3823.13.00 Tall oil fatty acids 3823.19.00 Other 3823.70.00 Industrial fatty alcohols 3824.10.00 Prepared binders for foundry moulds or cores 3824.30.00 Non-agglomerated metal carbides mixed together or with metallic binders 3824.40.00 Prepared additives for cements, mortars or concretes 3824.50.00 Non-refractory mortars and concretes 3824.60.00 Sorbitol other than that of subheading 2905.44 3824.71.00 Containing chlorofluorocarbons (CFCs), whether or not containing hydrochlorofluorocarbons (HCFCs), perfluorocarbons (PFCs) or hydrofluorocarbons (HFCs) 3824.72.00 Containing bromochlorodifluoromethane, bromotrifluoromethane or dibromotetrafluoroethanes 3824.73.00 Containing hydrobromofluorocarbons (HBFCs) 3824.74.00 Containing hydrochlorofluorocarbons (HCFCs), whether or not containing perfluorocarbons (PFCs) or hydrofluorocarbons (HFCs), but not containing chlorofluorocarbons (CFCs) 3824.75.00 Containing carbon tetrachloride 3824.76.00 Containing, 1,1,1-trichloroethane (methyl chloroform) 3824.77.00 Containing bromomethane (methyl bromide) or bromochloromethane 3824.78.00</w:t>
      </w:r>
    </w:p>
    <w:p>
      <w:pPr>
        <w:pStyle w:val="Normal"/>
      </w:pPr>
      <w:r>
        <w:t>Containing perfluorocarbons (PFCs) or hydrofluorocarbons (HFCs), but not containing chlorofluorocarbons (CFCs) or hydrochlorofluorocarbons (HCFCs) 3824.79.00 Other 3824.81.00 Containing oxirane (ethylene oxide) 3824.82.00 Containing polychlorinated biphenyls (PCBs), polychlorinated terphenyls (PCTs) or polybrominated biphenyls (PBBs) 3824.83.00 Containing tris(2,3-dibromopropyl) phosphate 3824.84.00 Containing aldrin (ISO), camphechlor (ISO) (toxaphene), chlordane (ISO), chlordecone (ISO), DDT (ISO) (clofenotane (INN), 1,1,1-trichloro-2,2-bis(p-chlorophenyl)ethane), dieldrin (ISO, INN), endosulfan (ISO), endrin (ISO), heptachlor (ISO) or mirex (ISO) 3824.85.00 Containing 1,2,3,4,5,6-hexachlorocyclohexane (HCH (ISO)), including lindane (ISO, INN) 3824.86.00 Containing pentachlorobenzene (ISO) or hexachlorobenzene (ISO) 3824.87.00 Containing perfluorooctane sulphonic acid, its salts, perfluorooctane sulphonamides, or perfluorooctane sulphonyl fluoride 3824.88.00 Containing tetra-, penta-, hexa-, hepta- or octabromodiphenyl ethers 3824.91.00 Mixtures and preparations consisting mainly of (5-ethyl-2-methyl 2-oxido-1,3,2-dioxaphosphinan-5-yl)methyl methyl methylphosphonate and bis[(5-ethyl-2-methyl-2-oxido-1,3,2 dioxaphosphinan-5-yl)methyl] methylphosphonate 3824.99.00 Other 3825.10.00 Municipal waste 3825.20.00 Sewage sludge 3825.30.10 Soiled dressings (wadding, gauze, bandages and similar articles) contaminated as a result of medical, surgical, dental or veterinary</w:t>
      </w:r>
    </w:p>
    <w:p>
      <w:pPr>
        <w:pStyle w:val="Normal"/>
      </w:pPr>
      <w:r>
        <w:t>procedures; Syringes, needles, catheters, cannulae and the like 3825.30.20 Surgical gloves of vulcanized rubber other than hard rubber 3825.30.90 Other 3825.41.00 Halogenated 3825.49.00 Other 3825.50.00 Wastes of metal pickling liquors, hydraulic fluids, brake fluids and anti-freeze fluids 3825.61.00 Mainly containing organic constituents 3825.69.00 Other 3825.90.00 Other 3826.00.00 Biodiesel and mixtures thereof, not containing or containing less than 70% by weight of petroleum oils or oils obtained from bituminous minerals. 3901.10.10 Having a molecular weight of 3 million or more but not exceeding 6 million, for use in the manufacture of rods, sticks or profile shapes of subheading 3916.10 or sheet of subheading 3920.10 3901.10.20 Having a molecular weight of more than 4 million, for use in the manufacture of medical orthopaedic implants or parts for snowmobiles, all terrain vehicles, industrial sweepers, agricultural equipment, railway rolling stock and equipment, water treatment equipment and conveyor systems 3901.10.90 Other 3901.20.10 Having a minimum intrinsic viscosity of 10, excluding compositions 3901.20.90 Other 3901.30.00 Ethylene-vinyl acetate copolymers 3901.40.00 Ethylene-alpha-olefin copolymers, having a specific gravity of less than 0.94 3901.90.00 Other 3902.10.00 Polypropylene 3902.20.00 Polyisobutylene 3902.30.00 Propylene copolymers 3902.90.10 Compositions 3902.90.90 Other 3903.11.00 Expansible 3903.19.00 Other 3903.20.00 Styrene-acrylonitrile (SAN)</w:t>
      </w:r>
    </w:p>
    <w:p>
      <w:pPr>
        <w:pStyle w:val="Normal"/>
      </w:pPr>
      <w:r>
        <w:t>copolymers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3903.30.00</w:t>
            </w:r>
          </w:p>
        </w:tc>
        <w:tc>
          <w:tcPr>
            <w:tcW w:w="4679" w:type="dxa"/>
            <w:tcMar>
              <w:top w:w="70" w:type="dxa"/>
              <w:start w:w="110" w:type="dxa"/>
              <w:bottom w:w="70" w:type="dxa"/>
              <w:end w:w="110" w:type="dxa"/>
            </w:tcMar>
            <w:vAlign w:val="center"/>
          </w:tcPr>
          <w:p>
            <w:pPr>
              <w:pStyle w:val="TableText"/>
              <w:jc w:val="left"/>
            </w:pPr>
            <w:r>
              <w:rPr>
                <w:lang w:val="en-US" w:eastAsia="en-US" w:bidi="ar-SA"/>
              </w:rPr>
              <w:t>Acrylonitrile-butadiene-styrene (ABS) copolymers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3904.10.00</w:t>
            </w:r>
          </w:p>
        </w:tc>
        <w:tc>
          <w:tcPr>
            <w:tcW w:w="4679" w:type="dxa"/>
            <w:tcMar>
              <w:top w:w="70" w:type="dxa"/>
              <w:start w:w="110" w:type="dxa"/>
              <w:bottom w:w="70" w:type="dxa"/>
              <w:end w:w="110" w:type="dxa"/>
            </w:tcMar>
            <w:vAlign w:val="center"/>
          </w:tcPr>
          <w:p>
            <w:pPr>
              <w:pStyle w:val="TableText"/>
              <w:jc w:val="left"/>
            </w:pPr>
            <w:r>
              <w:rPr>
                <w:lang w:val="en-US" w:eastAsia="en-US" w:bidi="ar-SA"/>
              </w:rPr>
              <w:t>Poly(vinyl chloride), not mixed with any other substances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3904.21.00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Non-plasticized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3904.22.00</w:t>
            </w:r>
          </w:p>
        </w:tc>
        <w:tc>
          <w:tcPr>
            <w:tcW w:w="4679" w:type="dxa"/>
            <w:tcMar>
              <w:top w:w="70" w:type="dxa"/>
              <w:start w:w="110" w:type="dxa"/>
              <w:bottom w:w="70" w:type="dxa"/>
              <w:end w:w="110" w:type="dxa"/>
            </w:tcMar>
            <w:vAlign w:val="center"/>
          </w:tcPr>
          <w:p>
            <w:pPr>
              <w:pStyle w:val="TableText"/>
              <w:jc w:val="left"/>
            </w:pPr>
            <w:r>
              <w:rPr>
                <w:lang w:val="en-US" w:eastAsia="en-US" w:bidi="ar-SA"/>
              </w:rPr>
              <w:t>Plasticized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Vinyl chloride-vinyl acetate copolymers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3904.40.00</w:t>
            </w:r>
          </w:p>
        </w:tc>
        <w:tc>
          <w:tcPr>
            <w:tcW w:w="4679" w:type="dxa"/>
            <w:tcMar>
              <w:top w:w="70" w:type="dxa"/>
              <w:start w:w="110" w:type="dxa"/>
              <w:bottom w:w="70" w:type="dxa"/>
              <w:end w:w="110" w:type="dxa"/>
            </w:tcMar>
            <w:vAlign w:val="center"/>
          </w:tcPr>
          <w:p>
            <w:pPr>
              <w:pStyle w:val="TableText"/>
              <w:jc w:val="left"/>
            </w:pPr>
            <w:r>
              <w:rPr>
                <w:lang w:val="en-US" w:eastAsia="en-US" w:bidi="ar-SA"/>
              </w:rPr>
              <w:t>Other vinyl chloride copolymers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3904.50.00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Vinylidene chloride polymers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3904.61.00</w:t>
            </w:r>
          </w:p>
        </w:tc>
        <w:tc>
          <w:tcPr>
            <w:tcW w:w="4679" w:type="dxa"/>
            <w:tcMar>
              <w:top w:w="70" w:type="dxa"/>
              <w:start w:w="110" w:type="dxa"/>
              <w:bottom w:w="70" w:type="dxa"/>
              <w:end w:w="110" w:type="dxa"/>
            </w:tcMar>
            <w:vAlign w:val="center"/>
          </w:tcPr>
          <w:p>
            <w:pPr>
              <w:pStyle w:val="TableText"/>
              <w:jc w:val="left"/>
            </w:pPr>
            <w:r>
              <w:rPr>
                <w:lang w:val="en-US" w:eastAsia="en-US" w:bidi="ar-SA"/>
              </w:rPr>
              <w:t>Polytetrafluoroethylene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3904.69.00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aqueous dispersion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3905.19.00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aqueous dispersion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3905.29.00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Poly(vinyl alcohol), whether or not containing unhydrolysed acetate groups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3905.91.00</w:t>
            </w:r>
          </w:p>
        </w:tc>
        <w:tc>
          <w:tcPr>
            <w:tcW w:w="4679" w:type="dxa"/>
            <w:tcMar>
              <w:top w:w="70" w:type="dxa"/>
              <w:start w:w="110" w:type="dxa"/>
              <w:bottom w:w="70" w:type="dxa"/>
              <w:end w:w="110" w:type="dxa"/>
            </w:tcMar>
            <w:vAlign w:val="center"/>
          </w:tcPr>
          <w:p>
            <w:pPr>
              <w:pStyle w:val="TableText"/>
              <w:jc w:val="left"/>
            </w:pPr>
            <w:r>
              <w:rPr>
                <w:lang w:val="en-US" w:eastAsia="en-US" w:bidi="ar-SA"/>
              </w:rPr>
              <w:t>Copolymers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3905.99.00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3906.10.00</w:t>
            </w:r>
          </w:p>
        </w:tc>
        <w:tc>
          <w:tcPr>
            <w:tcW w:w="4679" w:type="dxa"/>
            <w:tcMar>
              <w:top w:w="70" w:type="dxa"/>
              <w:start w:w="110" w:type="dxa"/>
              <w:bottom w:w="70" w:type="dxa"/>
              <w:end w:w="110" w:type="dxa"/>
            </w:tcMar>
            <w:vAlign w:val="center"/>
          </w:tcPr>
          <w:p>
            <w:pPr>
              <w:pStyle w:val="TableText"/>
              <w:jc w:val="left"/>
            </w:pPr>
            <w:r>
              <w:rPr>
                <w:lang w:val="en-US" w:eastAsia="en-US" w:bidi="ar-SA"/>
              </w:rPr>
              <w:t>Poly(methyl methacrylate)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3907.10.00</w:t>
            </w:r>
          </w:p>
        </w:tc>
        <w:tc>
          <w:tcPr>
            <w:tcW w:w="4679" w:type="dxa"/>
            <w:tcMar>
              <w:top w:w="70" w:type="dxa"/>
              <w:start w:w="110" w:type="dxa"/>
              <w:bottom w:w="70" w:type="dxa"/>
              <w:end w:w="110" w:type="dxa"/>
            </w:tcMar>
            <w:vAlign w:val="center"/>
          </w:tcPr>
          <w:p>
            <w:pPr>
              <w:pStyle w:val="TableText"/>
              <w:jc w:val="left"/>
            </w:pPr>
            <w:r>
              <w:rPr>
                <w:lang w:val="en-US" w:eastAsia="en-US" w:bidi="ar-SA"/>
              </w:rPr>
              <w:t>Polyacetals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polyethers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3907.30.00</w:t>
            </w:r>
          </w:p>
        </w:tc>
        <w:tc>
          <w:tcPr>
            <w:tcW w:w="4679" w:type="dxa"/>
            <w:tcMar>
              <w:top w:w="70" w:type="dxa"/>
              <w:start w:w="110" w:type="dxa"/>
              <w:bottom w:w="70" w:type="dxa"/>
              <w:end w:w="110" w:type="dxa"/>
            </w:tcMar>
            <w:vAlign w:val="center"/>
          </w:tcPr>
          <w:p>
            <w:pPr>
              <w:pStyle w:val="TableText"/>
              <w:jc w:val="left"/>
            </w:pPr>
            <w:r>
              <w:rPr>
                <w:lang w:val="en-US" w:eastAsia="en-US" w:bidi="ar-SA"/>
              </w:rPr>
              <w:t>Epoxide resins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3907.40.00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Polycarbonates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3907.50.00</w:t>
            </w:r>
          </w:p>
        </w:tc>
        <w:tc>
          <w:tcPr>
            <w:tcW w:w="4679" w:type="dxa"/>
            <w:tcMar>
              <w:top w:w="70" w:type="dxa"/>
              <w:start w:w="110" w:type="dxa"/>
              <w:bottom w:w="70" w:type="dxa"/>
              <w:end w:w="110" w:type="dxa"/>
            </w:tcMar>
            <w:vAlign w:val="center"/>
          </w:tcPr>
          <w:p>
            <w:pPr>
              <w:pStyle w:val="TableText"/>
              <w:jc w:val="left"/>
            </w:pPr>
            <w:r>
              <w:rPr>
                <w:lang w:val="en-US" w:eastAsia="en-US" w:bidi="ar-SA"/>
              </w:rPr>
              <w:t>Alkyd resins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3907.61.00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Having a viscosity number of 78 ml/g or higher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3907.69.00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3907.70.00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Poly(lactic acid)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3907.91.00</w:t>
            </w:r>
          </w:p>
        </w:tc>
        <w:tc>
          <w:tcPr>
            <w:tcW w:w="4679" w:type="dxa"/>
            <w:tcMar>
              <w:top w:w="70" w:type="dxa"/>
              <w:start w:w="110" w:type="dxa"/>
              <w:bottom w:w="70" w:type="dxa"/>
              <w:end w:w="110" w:type="dxa"/>
            </w:tcMar>
            <w:vAlign w:val="center"/>
          </w:tcPr>
          <w:p>
            <w:pPr>
              <w:pStyle w:val="TableText"/>
              <w:jc w:val="left"/>
            </w:pPr>
            <w:r>
              <w:rPr>
                <w:lang w:val="en-US" w:eastAsia="en-US" w:bidi="ar-SA"/>
              </w:rPr>
              <w:t>Unsaturated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3907.99.00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3908.10.00</w:t>
            </w:r>
          </w:p>
        </w:tc>
        <w:tc>
          <w:tcPr>
            <w:tcW w:w="4679" w:type="dxa"/>
            <w:tcMar>
              <w:top w:w="70" w:type="dxa"/>
              <w:start w:w="110" w:type="dxa"/>
              <w:bottom w:w="70" w:type="dxa"/>
              <w:end w:w="110" w:type="dxa"/>
            </w:tcMar>
            <w:vAlign w:val="center"/>
          </w:tcPr>
          <w:p>
            <w:pPr>
              <w:pStyle w:val="TableText"/>
              <w:jc w:val="left"/>
            </w:pPr>
            <w:r>
              <w:rPr>
                <w:lang w:val="en-US" w:eastAsia="en-US" w:bidi="ar-SA"/>
              </w:rPr>
              <w:t>Polyamide-6, -11, -12, -6,6, -6,9, -6,10 or -6,12</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3908.90.00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3909.10.00</w:t>
            </w:r>
          </w:p>
        </w:tc>
        <w:tc>
          <w:tcPr>
            <w:tcW w:w="4679" w:type="dxa"/>
            <w:tcMar>
              <w:top w:w="70" w:type="dxa"/>
              <w:start w:w="110" w:type="dxa"/>
              <w:bottom w:w="70" w:type="dxa"/>
              <w:end w:w="110" w:type="dxa"/>
            </w:tcMar>
            <w:vAlign w:val="center"/>
          </w:tcPr>
          <w:p>
            <w:pPr>
              <w:pStyle w:val="TableText"/>
              <w:jc w:val="left"/>
            </w:pPr>
            <w:r>
              <w:rPr>
                <w:lang w:val="en-US" w:eastAsia="en-US" w:bidi="ar-SA"/>
              </w:rPr>
              <w:t>Urea resins; thiourea resins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3909.20.10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Binders for pigments or inks, for use in the coating, colouring or printing of textiles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3909.20.90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3909.31.00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Poly(methylene phenyl isocyanate) (crude MDI, polymeric MDI)</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3909.39.00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3909.40.00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Phenolic resins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3909.50.00</w:t>
            </w:r>
          </w:p>
        </w:tc>
        <w:tc>
          <w:tcPr>
            <w:tcW w:w="4679" w:type="dxa"/>
            <w:tcMar>
              <w:top w:w="70" w:type="dxa"/>
              <w:start w:w="110" w:type="dxa"/>
              <w:bottom w:w="70" w:type="dxa"/>
              <w:end w:w="110" w:type="dxa"/>
            </w:tcMar>
            <w:vAlign w:val="center"/>
          </w:tcPr>
          <w:p>
            <w:pPr>
              <w:pStyle w:val="TableText"/>
              <w:jc w:val="left"/>
            </w:pPr>
            <w:r>
              <w:rPr>
                <w:lang w:val="en-US" w:eastAsia="en-US" w:bidi="ar-SA"/>
              </w:rPr>
              <w:t>Polyurethanes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3910.00.00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Silicones in primary forms.</w:t>
            </w:r>
          </w:p>
        </w:tc>
      </w:tr>
    </w:tbl>
    <w:p>
      <w:pPr>
        <w:pStyle w:val="Normal"/>
      </w:pPr>
      <w:r>
        <w:t>3911.10.00 Petroleum resins, coumarone, indene or coumarone-indene resins and polyterpenes 3911.90.00 Other 3912.11.00 Non-plasticized 3912.12.00 Plasticized 3912.20.00 Cellulose nitrates (including collodions) 3912.31.00 Carboxymethylcellulose and its salts 3912.39.00 Other 3912.90.00 Other 3913.10.00 Alginic acid, its salts and esters 3913.90.00 Other 3914.00.00 Ion-exchangers based on polymers of headings 39.01 to 39.13, in primary forms. 3915.10.00 Of polymers of ethylene 3915.20.00 Of polymers of styrene 3915.30.00 Of polymers of vinyl chloride 3915.90.00 Of other plastics 3916.10.00 Of polymers of ethylene 3916.20.00 Of polymers of vinyl chloride 3916.90.00 Of other plastics 3917.10.00 Artificial guts (sausage casings) of hardened protein or of cellulosic materials 3917.21.00 Of polymers of ethylene 3917.22.00 Of polymers of propylene 3917.23.00 Of polymers of vinyl chloride 3917.29.00 Of other plastics 3917.31.00 Flexible tubes, pipes and hoses, having a minimum burst pressure of 27.6 MPa 3917.32.10 Of polymers of heading 39.02, excluding of polymers of propylene or tubing of polymers of butylene; Of polymers of heading 39.04, excluding of polymers of vinyl chloride, of polymers of tetrafluoroethylene or of polyvinylidene chloride; Of polymers of heading 39.05;</w:t>
      </w:r>
    </w:p>
    <w:p>
      <w:pPr>
        <w:pStyle w:val="Normal"/>
      </w:pPr>
      <w:r>
        <w:t>Of polymers of heading 39.06, excluding of polymers of methyl methacrylate; Of polymers of heading 39.07; Of polymers of heading 39.09, excluding of polyurethanes; Of polymers of heading 39.11, 39.12 or 39.13;</w:t>
      </w:r>
    </w:p>
    <w:p>
      <w:pPr>
        <w:pStyle w:val="Normal"/>
      </w:pPr>
      <w:r>
        <w:t>Of polyvinylidene chloride to be employed in the packaging of goods for sale; To be employed in the manufacture of sera, antisera, toxoids, viruses, toxins or antitoxins, virus or bacterial vaccines, bacteriophage or bacterial lysates, allergenics, liver extracts, pituitary extracts, epinephrine or its solutions, insulin (with or without zinc, globin or protamine) and blood plasma or serum of human origin, or fractions thereof, or extenders or substitutes therefor; To be employed in the processing, storing or insemination of animal semen 3917.32.90 Other 3917.33.00 Other, not reinforced or otherwise combined with other materials, with fittings 3917.39.10 Of polymers of heading 39.02, excluding of polymers of propylene or tubing of polymers of butylene; Of polymers of heading 39.04, excluding of polymers of vinyl chloride, of polymers of tetrafluoroethylene or of polyvinylidene chloride; Of polymers of heading 39.05; Of polymers of heading 39.06, excluding of polymers of methyl methacrylate; Of polymers of heading 39.07; Of polymers of heading 39.09, excluding of polyurethanes; Of polymers of heading 39.11, 39.12 or 39.13; Of polyvinylidene chloride to be employed in the packaging of goods for sale;</w:t>
      </w:r>
    </w:p>
    <w:p>
      <w:pPr>
        <w:pStyle w:val="Normal"/>
      </w:pPr>
      <w:r>
        <w:t>To be employed in the processing, storing or insemmination of animal semen 3917.39.90 Other 3917.40.00 Fittings 3918.10.10 Wall or ceiling coverings combined with knitted or woven fabrics, nonwovens or felt 3918.10.90 Other 3918.90.10 Wall or ceiling coverings combined with</w:t>
      </w:r>
    </w:p>
    <w:p>
      <w:pPr>
        <w:pStyle w:val="Normal"/>
      </w:pPr>
      <w:r>
        <w:t>knitted or woven fabrics, nonwovens or felt 3918.90.90 Other 3919.10.10 Combined with knitted or woven fabrics, nonwovens or felt, such combinations which can, without fracturing, be bent manually around a cylinder of a diameter of 7 mm, at a temperature between 15°C and 30°C 3919.10.20 Of polymers of methyl methacrylate; Poly(ethylene terephthalate) film of a width of less than 15 cm; Cellulose acetate and cellulose acetate butyrate sheets, film or strip, of a thickness exceeding 0.08 mm or of a width of less than 15 cm and a thickness not exceeding 0.08 mm 3919.10.91 Other: Of polymers of heading 39.02, excluding of polymers of propylene; Of polymers of heading 39.04, excluding of polymers of vinyl chloride, of polymers of tetrafluoroethylene or of polyvinylidene chloride; Of polymers of heading 39.05 or 39.06; Of polymers of heading 39.07, excluding of epoxide resins, of unsaturated polyesters, or polycarbonate plates, sheets, film or strip, of a thickness of 0.08 cm or more but not exceeding 1.3 cm;</w:t>
      </w:r>
    </w:p>
    <w:p>
      <w:pPr>
        <w:pStyle w:val="Normal"/>
      </w:pPr>
      <w:r>
        <w:t>Of polymers of heading 39.09, excluding of urea-formaldehyde resins, of melamine-formaldehyde resins, of phenol- formaldehyde resins or of polyurethanes; Of polymers of heading 39.11 or 39.13; Of polymers of heading 39.12, excluding of regenerated cellulose or of vulcanized fibre; Of polyvinylidene chloride to be employed in the packaging of goods for sale; Polyester or polystyrene film, of a thickness not exceeding 0.25 mm, for use in the manufacture of loud-speakers or</w:t>
      </w:r>
    </w:p>
    <w:p>
      <w:pPr>
        <w:pStyle w:val="Normal"/>
      </w:pPr>
      <w:r>
        <w:t>audio- frequency electric amplifiers, record-players or magnetic tape transcribing machines, magnetic tape sound recording apparatus, tape transport mechanisms, electrical equipment of heading 85.21, 85.25, 85.26, 85.27 or 85.28, and parts of the foregoing, including transformers and inductors; Strips of polyurethane for use in the manufacture of clothing 3919.10.99 Other: Other 3919.90.00 Other 3920.10.00 Of polymers of ethylene 3920.20.00 Of polymers of propylene 3920.30.00 Of polymers of styrene 3920.43.00 Containing by weight not less than 6% of plasticizers 3920.49.00 Other 3920.51.00 Of poly(methyl methacrylate) 3920.59.00 Other 3920.61.00 Of polycarbonates 3920.62.00 Of poly(ethylene terephthalate) 3920.63.00 Of unsaturated polyesters 3920.69.00 Of other polyesters 3920.71.00 Of regenerated cellulose 3920.73.00 Of cellulose acetate 3920.79.00 Of other cellulose derivatives 3920.91.00 Of poly(vinyl butyral) 3920.92.00 Of polyamides 3920.93.00 Of amino-resins 3920.94.00 Of phenolic resins 3920.99.00 Of other plastics 3921.11.00 Of polymers of styrene 3921.12.00 Of polymers of vinyl chloride 3921.13.00 Of polyurethanes 3921.14.00 Of regenerated cellulose 3921.19.00 Of other plastics 3921.90.00 Other 3922.10.00 Baths, shower-baths, sinks and wash-basins 3922.20.00 Lavatory seats and covers 3922.90.00 Other 3923.10.10 For vaccines, toxoids (anatoxins), bacterins, toxins, serums containing immune bodies including antitoxins, glandular extracts or antibiotics, to be employed</w:t>
      </w:r>
    </w:p>
    <w:p>
      <w:pPr>
        <w:pStyle w:val="Normal"/>
      </w:pPr>
      <w:r>
        <w:t>in the manufacture of such products; To be employed in the manufacture of goods of heading 38.08 or of goods of Chapter 28 or 29 in packages of a gross weight exceeding 1.36 kg each, for use as products having the same functions as the goods of heading 38.08 3923.10.90 Other 3923.21.10 For vaccines, toxoids (anatoxins), bacterins, toxins, serums containing immune bodies including antitoxins, glandular extracts or antibiotics, to be employed in the manufacture of such products 3923.21.90 Other 3923.29.10 For vaccines, toxoids (anatoxins), bacterins, toxins, serums containing immune bodies including antitoxins, glandular extracts or antibiotics, to be employed in the manufacture of such products; To be employed in the processing, storing or insemination of animal semen 3923.29.90 Other 3923.30.10 To be employed in the processing, storing or insemination of animal semen 3923.30.90 Other 3923.40.00 Spools, cops, bobbins and similar supports 3923.50.10 Caps to be employed by perfume manufacturers in the bottling of perfume; Flexible plastic spouts of a diameter of 57 mm for use in the manufacture of lids for gallon paint cans;</w:t>
      </w:r>
    </w:p>
    <w:p>
      <w:pPr>
        <w:pStyle w:val="Normal"/>
      </w:pPr>
      <w:r>
        <w:t>For vaccines, toxoids (anatoxins), bacterins, toxins, serums containing immune bodies including antitoxins, glandular extracts or antibiotics, to be employed in the manufacture of such products 3923.50.90 Other 3923.90.10 Containers, bearing the shapes and images of cartoon characters, to be employed in the production or distribution of shampoo, bubble bath</w:t>
      </w:r>
    </w:p>
    <w:p>
      <w:pPr>
        <w:pStyle w:val="Normal"/>
      </w:pPr>
      <w:r>
        <w:t>and other novelty cosmetic and bath products; For vaccines, toxoids (anatoxins), bacterins, toxins, serums containing immune bodies including antitoxins, glandular extracts or antibiotics, to be employed in the manufacture of such products; Holding trays of polymers of vinyl chloride for use as inserts in boxes to prevent peaches from touching each other; Vegetable-based capsules for use in Canadian manufactures 3923.90.90 Other 3924.10.00 Tableware and kitchenware 3924.90.00 Other 3925.10.00 Reservoirs, tanks, vats and similar containers, of a capacity exceeding 300 litres 3925.20.00 Doors, windows and their frames and thresholds for doors 3925.30.00 Shutters, blinds (including Venetian blinds) and similar articles and parts thereof 3925.90.00 Other 3926.10.00 Office or school supplies 3926.20.10 Disposable gloves to be employed in clean rooms allowing a maximum of 10 airborne particles measuring greater than 0.0005 mm per 28.317 dm³ of air, 30 airborne particles measuring greater than 0.0003 mm per 28.317 dm³ of air, 75 airborne particles measuring greater than 0.0002 mm per 28.317 dm³ of air or 350 airborne particles measuring greater than 0.0001 mm per 28.317 dm³ of air;</w:t>
      </w:r>
    </w:p>
    <w:p>
      <w:pPr>
        <w:pStyle w:val="Normal"/>
      </w:pPr>
      <w:r>
        <w:t>Protective suits and their accessories (including gloves), to be employed in a noxious atmosphere; To be employed in the processing, storing or insemination of animal semen 3926.20.91 Other: Disposable gloves 3926.20.92 Other: Mittens; Non-disposable gloves 3926.20.93 Other: Belts; Articles of apparel</w:t>
      </w:r>
    </w:p>
    <w:p>
      <w:pPr>
        <w:pStyle w:val="Normal"/>
      </w:pPr>
      <w:r>
        <w:t>and other clothing accessories, containing not more than 25% by weight of woven fabrics of man-made fibres, coated on both sides with polymers of vinyl chloride 3926.20.94 Other: Other articles of apparel and clothing accessories, of plastics combined with knitted or woven fabrics, bolducs, nonwovens or felt, containing woven fabrics of more than 50% by weight of silk 3926.20.95 Other: Other articles of apparel and clothing accessories, of plastics combined with knitted or woven fabrics, bolducs, nonwovens or felt 3926.20.99 Other: Other 3926.30.00 Fittings for furniture, coachwork or the like 3926.40.10 Statuettes 3926.40.90 Other ornamental articles 3926.90.10 Articles for climbing or mountaineering; Beak guards and blinders for pheasants; Cassette shells and parts thereof, excluding exterior jackets or sleeves, for use in the manufacture of video cassettes; Container cap covers or container toppers, bearing the shapes and images of cartoon characters, to be employed in the production or distribution of shampoo, bubble bath and other novelty cosmetic and bath products; Conveyor belting, in modular form, of a length not exceeding 5 m; Conveyor belts;</w:t>
      </w:r>
    </w:p>
    <w:p>
      <w:pPr>
        <w:pStyle w:val="Normal"/>
      </w:pPr>
      <w:r>
        <w:t>Corner protectors for use in the manufacture of portable musical instruments or microphone amplifiers, loudspeakers and sound mixers, other than those designed and marketed for home entertainment systems; Die models, to be employed as blueprint substitutes in the manufacture, assembly, erection, installation, operation or</w:t>
      </w:r>
    </w:p>
    <w:p>
      <w:pPr>
        <w:pStyle w:val="Normal"/>
      </w:pPr>
      <w:r>
        <w:t>maintenance of machines, test sets, engines, apparatus, appliances, plant equipment and parts thereof; Dunnage bags to be employed in securing items for transport; Fish egg incubators and parts thereof; For use in the manufacture of fire fighting vehicles; Housings, for use in the manufacture of television descramblers; Imitation gemstones or pearls for use in the manufacture of jewellery; Knobs, for use in the manufacture of gas barbecues or domestic 3926.90.20 Door mats 3926.90.30 Signs, letters and numerals 3926.90.50 Identification tags for animals 3926.90.91 Other: Belts and belting for machinery other than conveyor belts; Bolts, nuts, screws and washers; Gaskets 3926.90.92 Other: Parts for use in the manufacture of yachts, racing boats, canoes and other vessels for pleasure or sport 3926.90.93 Other: Trays designed to hold discs, for use in the manufacture of CD or DVD cases or boxed set collections 3926.90.99 Other:</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4001.10.00</w:t>
            </w:r>
          </w:p>
        </w:tc>
        <w:tc>
          <w:tcPr>
            <w:tcW w:w="4679" w:type="dxa"/>
            <w:tcMar>
              <w:top w:w="70" w:type="dxa"/>
              <w:start w:w="110" w:type="dxa"/>
              <w:bottom w:w="70" w:type="dxa"/>
              <w:end w:w="110" w:type="dxa"/>
            </w:tcMar>
            <w:vAlign w:val="center"/>
          </w:tcPr>
          <w:p>
            <w:pPr>
              <w:pStyle w:val="TableText"/>
              <w:jc w:val="left"/>
            </w:pPr>
            <w:r>
              <w:rPr>
                <w:lang w:val="en-US" w:eastAsia="en-US" w:bidi="ar-SA"/>
              </w:rPr>
              <w:t>Natural rubber latex, whether or not pre-vulcanized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4001.21.00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Smoked sheets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4001.22.00</w:t>
            </w:r>
          </w:p>
        </w:tc>
        <w:tc>
          <w:tcPr>
            <w:tcW w:w="4679" w:type="dxa"/>
            <w:tcMar>
              <w:top w:w="70" w:type="dxa"/>
              <w:start w:w="110" w:type="dxa"/>
              <w:bottom w:w="70" w:type="dxa"/>
              <w:end w:w="110" w:type="dxa"/>
            </w:tcMar>
            <w:vAlign w:val="center"/>
          </w:tcPr>
          <w:p>
            <w:pPr>
              <w:pStyle w:val="TableText"/>
              <w:jc w:val="left"/>
            </w:pPr>
            <w:r>
              <w:rPr>
                <w:lang w:val="en-US" w:eastAsia="en-US" w:bidi="ar-SA"/>
              </w:rPr>
              <w:t>Technically specified natural rubber (TSNR)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4001.29.00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4001.30.00</w:t>
            </w:r>
          </w:p>
        </w:tc>
        <w:tc>
          <w:tcPr>
            <w:tcW w:w="4679" w:type="dxa"/>
            <w:tcMar>
              <w:top w:w="70" w:type="dxa"/>
              <w:start w:w="110" w:type="dxa"/>
              <w:bottom w:w="70" w:type="dxa"/>
              <w:end w:w="110" w:type="dxa"/>
            </w:tcMar>
            <w:vAlign w:val="center"/>
          </w:tcPr>
          <w:p>
            <w:pPr>
              <w:pStyle w:val="TableText"/>
              <w:jc w:val="left"/>
            </w:pPr>
            <w:r>
              <w:rPr>
                <w:lang w:val="en-US" w:eastAsia="en-US" w:bidi="ar-SA"/>
              </w:rPr>
              <w:t>Balata, gutta-percha, guayule, chicle and similar natural gums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4002.11.00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Latex</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4002.19.00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Butadiene rubber (BR)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4002.31.00</w:t>
            </w:r>
          </w:p>
        </w:tc>
        <w:tc>
          <w:tcPr>
            <w:tcW w:w="4679" w:type="dxa"/>
            <w:tcMar>
              <w:top w:w="70" w:type="dxa"/>
              <w:start w:w="110" w:type="dxa"/>
              <w:bottom w:w="70" w:type="dxa"/>
              <w:end w:w="110" w:type="dxa"/>
            </w:tcMar>
            <w:vAlign w:val="center"/>
          </w:tcPr>
          <w:p>
            <w:pPr>
              <w:pStyle w:val="TableText"/>
              <w:jc w:val="left"/>
            </w:pPr>
            <w:r>
              <w:rPr>
                <w:lang w:val="en-US" w:eastAsia="en-US" w:bidi="ar-SA"/>
              </w:rPr>
              <w:t>Isobutene-isoprene (butyl) rubber (IIR)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4002.39.00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4002.41.00</w:t>
            </w:r>
          </w:p>
        </w:tc>
        <w:tc>
          <w:tcPr>
            <w:tcW w:w="4679" w:type="dxa"/>
            <w:tcMar>
              <w:top w:w="70" w:type="dxa"/>
              <w:start w:w="110" w:type="dxa"/>
              <w:bottom w:w="70" w:type="dxa"/>
              <w:end w:w="110" w:type="dxa"/>
            </w:tcMar>
            <w:vAlign w:val="center"/>
          </w:tcPr>
          <w:p>
            <w:pPr>
              <w:pStyle w:val="TableText"/>
              <w:jc w:val="left"/>
            </w:pPr>
            <w:r>
              <w:rPr>
                <w:lang w:val="en-US" w:eastAsia="en-US" w:bidi="ar-SA"/>
              </w:rPr>
              <w:t>Latex</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4002.49.00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4002.51.00</w:t>
            </w:r>
          </w:p>
        </w:tc>
        <w:tc>
          <w:tcPr>
            <w:tcW w:w="4679" w:type="dxa"/>
            <w:tcMar>
              <w:top w:w="70" w:type="dxa"/>
              <w:start w:w="110" w:type="dxa"/>
              <w:bottom w:w="70" w:type="dxa"/>
              <w:end w:w="110" w:type="dxa"/>
            </w:tcMar>
            <w:vAlign w:val="center"/>
          </w:tcPr>
          <w:p>
            <w:pPr>
              <w:pStyle w:val="TableText"/>
              <w:jc w:val="left"/>
            </w:pPr>
            <w:r>
              <w:rPr>
                <w:lang w:val="en-US" w:eastAsia="en-US" w:bidi="ar-SA"/>
              </w:rPr>
              <w:t>Latex</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4002.59.00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4002.60.00</w:t>
            </w:r>
          </w:p>
        </w:tc>
        <w:tc>
          <w:tcPr>
            <w:tcW w:w="4679" w:type="dxa"/>
            <w:tcMar>
              <w:top w:w="70" w:type="dxa"/>
              <w:start w:w="110" w:type="dxa"/>
              <w:bottom w:w="70" w:type="dxa"/>
              <w:end w:w="110" w:type="dxa"/>
            </w:tcMar>
            <w:vAlign w:val="center"/>
          </w:tcPr>
          <w:p>
            <w:pPr>
              <w:pStyle w:val="TableText"/>
              <w:jc w:val="left"/>
            </w:pPr>
            <w:r>
              <w:rPr>
                <w:lang w:val="en-US" w:eastAsia="en-US" w:bidi="ar-SA"/>
              </w:rPr>
              <w:t>Isoprene rubber (IR)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4002.70.00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Ethylene-propylene-non-conjugated diene rubber (EPDM)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4002.80.00</w:t>
            </w:r>
          </w:p>
        </w:tc>
        <w:tc>
          <w:tcPr>
            <w:tcW w:w="4679" w:type="dxa"/>
            <w:tcMar>
              <w:top w:w="70" w:type="dxa"/>
              <w:start w:w="110" w:type="dxa"/>
              <w:bottom w:w="70" w:type="dxa"/>
              <w:end w:w="110" w:type="dxa"/>
            </w:tcMar>
            <w:vAlign w:val="center"/>
          </w:tcPr>
          <w:p>
            <w:pPr>
              <w:pStyle w:val="TableText"/>
              <w:jc w:val="left"/>
            </w:pPr>
            <w:r>
              <w:rPr>
                <w:lang w:val="en-US" w:eastAsia="en-US" w:bidi="ar-SA"/>
              </w:rPr>
              <w:t>Mixtures of</w:t>
            </w:r>
          </w:p>
        </w:tc>
      </w:tr>
    </w:tbl>
    <w:p>
      <w:pPr>
        <w:pStyle w:val="Normal"/>
      </w:pPr>
      <w:r>
        <w:t>any product of heading 40.01 with any product of this heading 4002.91.00 Latex 4002.99.00 Other 4003.00.00 Reclaimed rubber in primary forms or in plates, sheets or strip. 4004.00.00 Waste, parings and scrap of rubber (other than hard rubber) and powders and granules obtained therefrom. 4005.10.00 Compounded with carbon black or silica 4005.20.00 Solutions; dispersions other than those of subheading 4005.10 4005.91.00 Plates, sheets and strip 4005.99.00 Other 4006.10.00 “Camel-back” strips for retreading rubber tires 4006.90.00 Other 4007.00.10 Thread, not covered 4007.00.20 Cord, not covered 4007.00.90 Other 4008.11.00 Plates, sheets and strip 4008.19.00 Other 4008.21.00 Plates, sheets and strip 4008.29.00 Other 4009.11.00 Without fittings 4009.12.00 With fittings 4009.21.00 Without fittings 4009.22.00 With fittings 4009.31.00 Without fittings 4009.32.00 With fittings 4009.41.00 Without fittings 4009.42.00 With fittings 4010.11.00 Reinforced only with metal 4010.12.00 Reinforced only with textile materials 4010.19.00 Other 4010.31.00 Endless transmission belts of trapezoidal cross-section (V-belts), V-ribbed, of an outside circumference exceeding 60 cm but not exceeding 180 cm 4010.32.00 Endless transmission belts of trapezoidal cross-section (V-belts), other than V-ribbed, of an outside circumference exceeding 60 cm but not exceeding 180 cm 4010.33.00 Endless transmission belts of trapezoidal cross-section (V-belts), V-ribbed, of an outside circumference exceeding 180 cm</w:t>
      </w:r>
    </w:p>
    <w:p>
      <w:pPr>
        <w:pStyle w:val="Normal"/>
      </w:pPr>
      <w:r>
        <w:t>but not exceeding 240 cm 4010.34.00 Endless transmission belts of trapezoidal cross-section (V-belts), other than V-ribbed, of an outside circumference exceeding 180 cm but not exceeding 240 cm 4010.35.00 Endless synchronous belts, of an outside circumference exceeding 60 cm but not exceeding 150 cm 4010.36.00 Endless synchronous belts, of an outside circumference exceeding 150 cm but not exceeding 198 cm 4010.39.10 Endless transmission belts of trapezoidal cross-section (V-belts), whether or not V-ribbed, of an outside circumference exceeding 240 cm 4010.39.90 Other 4011.10.00 Of a kind used on motor cars (including station wagons and racing cars) 4011.20.00 Of a kind used on buses or lorries 4011.30.00 Of a kind used on aircraft 4011.40.00 Of a kind used on motorcycles 4011.50.00 Of a kind used on bicycles 4011.70.10 For use with appliances of subheading 8424.82, levellers of subheading 8429.20 used for farm purposes only, combination excavating and transporting scrapers of subheading 8429.30 or 8430.69, traction ditching machines of subheading 8429.59 or</w:t>
      </w:r>
    </w:p>
    <w:p>
      <w:pPr>
        <w:pStyle w:val="Normal"/>
      </w:pPr>
      <w:r>
        <w:t>8430.69 used for farm purposes only, agricultural machinery for soil preparation or cultivation of heading 84.32, harvesting or threshing machinery (including straw or fodder balers) and agricultural mowers of heading 84.33, tractors of heading 87.01 powered by internal combustion engines and used for farm purposes only, and spraying vehicles of subheading 8705.90 for agricultural use for spreading dry or liquid</w:t>
      </w:r>
    </w:p>
    <w:p>
      <w:pPr>
        <w:pStyle w:val="Normal"/>
      </w:pPr>
      <w:r>
        <w:t>fertilizer or sludge; Of a size of 3600 X 51 or 4000 X 57 4011.70.90 Other 4011.80.10 For use with combination excavating and transporting scrapers of subheading 8429.30 or 8430.69; Of a size of 3600 X 51 or 4000 X 57 4011.80.90 Other 4011.90.10 For use with appliances of subheading 8424.82, combination excavating and transporting scrapers of subheading 8429.30 or 8430.69, horticultural machinery for soil preparation and lawn or sports-ground rollers of heading 84.32, horticultural mowers (other than mowers for lawns, parks or sports-grounds) of heading 84.33;</w:t>
      </w:r>
    </w:p>
    <w:p>
      <w:pPr>
        <w:pStyle w:val="Normal"/>
      </w:pPr>
      <w:r>
        <w:t>Of a size of 3,600 X 51 or 4,000 X 57 4011.90.90 Other 4012.11.00 Of a kind used on motor cars (including station wagons and racing cars) 4012.12.00 Of a kind used on buses or lorries 4012.13.00 Of a kind used on aircraft 4012.19.00 Other 4012.20.10 Of a size of 3600 x 51 or 4000 x 57 4012.20.20 Of a kind used on vehicles, including tractors, for the on-highway transport of passengers or goods, or on vehicles of heading 87.05 4012.20.90 Other 4012.90.10 Rimtape (tire flaps) for use in the manufacture of bicycles or bicycle wheels 4012.90.90 Other 4013.10.00 Of a kind used on motor cars (including station wagons and racing cars), buses or lorries 4013.20.00 Of a kind used on bicycles 4013.90.10 Of a kind used on aircraft; For use with appliances of subheading 8424.82, levellers of subheading 8429.20 used for farm purposes only, combination excavating and transporting scrapers of subheading 8429.30 or 8430.69, traction</w:t>
      </w:r>
    </w:p>
    <w:p>
      <w:pPr>
        <w:pStyle w:val="Normal"/>
      </w:pPr>
      <w:r>
        <w:t>ditching machines of subheading 8429.59 or 8430.69 used for farm purposes only, agricultural or horticultural machinery for soil preparation or cultivation and lawn or sports- ground rollers of heading 84.32, harvesting or threshing machinery (including straw or fodder balers) and agricultural or horticultural mowers (other than mowers for lawns, parks or sports-grounds) of heading 84.33, tractors of heading 87.01 powered by internal combustion engines and used for farm purposes only, and spraying vehicles of subheading 8705.90 for agricultural use for spreading dry or liquid fertilizer or sludge 4013.90.90 Other 4014.10.00 Sheath contraceptives 4014.90.10 Containers and parts thereof, for vaccines, toxoids (anatoxins), bacterins, toxins, serums containing immune bodies including antitoxins, glandular extracts or antibiotics, to be employed in the manufacture of such products 4014.90.90 Other 4015.11.00 Surgical 4015.19.10 Protective gloves to be employed with protective suits in a noxious atmosphere 4015.19.90 Other 4015.90.10 Protective suits and parts thereof, to be employed in a noxious atmosphere 4015.90.20 Diving suits 4015.90.90 Other 4016.10.00 Of cellular rubber 4016.91.00 Floor coverings and mats 4016.92.00 Erasers 4016.93.11 Of a kind used in the automotive goods of Chapter 87:</w:t>
      </w:r>
    </w:p>
    <w:p>
      <w:pPr>
        <w:pStyle w:val="Normal"/>
      </w:pPr>
      <w:r>
        <w:t>For use in the manufacture of aftermarket gas tanks and radiators for motor vehicles 4016.93.19 Of a kind used in the automotive goods of Chapter 87: Other 4016.93.91 Other: For use in the</w:t>
      </w:r>
    </w:p>
    <w:p>
      <w:pPr>
        <w:pStyle w:val="Normal"/>
      </w:pPr>
      <w:r>
        <w:t>goods of heading 84.81 or hydraulic pump- motors of subheading 8413.60; For use in the manufacture or repair of engines or parts thereof for commercial fishing vessels; For use in the manufacture of goods of Section XVI, of Chapter 73 or 90, or of heading 87.05 (excluding the motor vehicle chassis portion and parts thereof), such goods being used in the recovery or production of crude oil from shales, oil-sands or tar- sands 4016.93.99 Other: Other 4016.94.00 Boat or dock fenders, whether or not inflatable 4016.95.10 Air mattresses 4016.95.90 Other 4016.99.10 Articles for use in the manufacture of microwave, passive infrared, or combination microwave and passive infrared relays; Backing pads for use with grinders; Bladders or sleeves, for use with tire or tube manufacturing machines; Boots and nipples, for use in the manufacture of ignition wiring sets; Containers and parts thereof (including expelling bulbs), for vaccines, toxoids (anatoxins), bacterins, toxins, serums containing immune bodies including antitoxins, glandular extracts or antibiotics, to be employed in the manufacture of such products;</w:t>
      </w:r>
    </w:p>
    <w:p>
      <w:pPr>
        <w:pStyle w:val="Normal"/>
      </w:pPr>
      <w:r>
        <w:t>Grommets, sleeves and protectors, for use in the manufacture of hose assemblies for brake or steering systems for motorcycles or all-terrain vehicles; Parts for use in the manufacture of aftermarket gas tanks and radiators for motor vehicles; Rail pads; To be employed in the manufacture of sera, antisera, toxoids, viruses, toxins or antitoxins, virus or bacterial vaccines,</w:t>
      </w:r>
    </w:p>
    <w:p>
      <w:pPr>
        <w:pStyle w:val="Normal"/>
      </w:pPr>
      <w:r>
        <w:t>bacteriophage or bacterial lysates, allergenics, liver extracts, pituitary extracts, epinephrine or its solutions, insulin (with or without zinc, globin or protamine) and blood plasma or serum of human origin, or fractions thereof, or extenders or substitutes therefor 4016.99.30 Vibration control articles of a kind used in the vehicles of headings 87.01 through 87.05 4016.99.90 Other 4017.00.10 Rods and tubes; Sheets and strip, of a thickness not exceeding 1.6 mm; Waste and scrap 4017.00.90 Other 4101.20.00 Whole hides and skins, unsplit, of a weight per skin not exceeding 8 kg when simply dried, 10 kg when dry-salted, or 16 kg when fresh, wet-salted or otherwise preserved 4101.50.00 Whole hides and skins, of a weight not exceeding 16 kg 4101.90.00 Other, including butts, bends and bellies 4102.10.00 With wool on 4102.21.00 Pickled 4102.29.00 Other 4103.20.00 Of reptiles 4103.30.00 Of swine 4103.90.00 Other 4104.11.00 Full grains, unsplit; grain splits 4104.19.00 Other 4104.41.00 Full grains, unsplit; grain splits 4104.49.00 Other 4105.10.11 Pre-tanned: For use as processing materials by tanners 4105.10.12 Pre-tanned:</w:t>
      </w:r>
    </w:p>
    <w:p>
      <w:pPr>
        <w:pStyle w:val="Normal"/>
      </w:pPr>
      <w:r>
        <w:t>Vegetable pre-tanned hair sheep skins, and otherwise pre-tanned skins, for use in the manufacture of clothing or gloves 4105.10.19 Pre-tanned: Other 4105.10.21 Wet blue leather: For use as processing materials by tanners 4105.10.29 Wet blue leather: Other 4105.10.91 Other: For use as linings in the manufacture of footwear; For use as processing materials by</w:t>
      </w:r>
    </w:p>
    <w:p>
      <w:pPr>
        <w:pStyle w:val="Normal"/>
      </w:pPr>
      <w:r>
        <w:t>tanners; Hair sheep skins, for use in the manufacture of footwear or ladies’ handbags 4105.10.99 Other: Other 4105.30.00 In the dry state (crust) 4106.21.10 Pre-tanned 4106.21.21 Wet blue leather: For use as processing materials by tanners 4106.21.29 Wet blue leather: Other 4106.21.91 Other: For use as processing materials by tanners; For use in the manufacture of belts, footwear or ladies’ handbags 4106.21.92 Other: For use in the manufacture of clothing or gloves 4106.21.99 Other: Other 4106.22.00 In the dry state (crust) 4106.31.10 Wet blue leather 4106.31.91 Other: For use as linings in the manufacture of footwear; For use in the manufacture of clothing; For use in the manufacture of uppers for footwear 4106.31.92 Other: For use in the manufacture of gloves 4106.31.99 Other: Other 4106.32.00 In the dry state (crust) 4106.40.00 Of reptiles 4106.91.00 In the wet state (including wet-blue) 4106.92.00 In the dry state (crust) 4107.11.00 Full grains, unsplit 4107.12.00 Grain splits 4107.19.00 Other 4107.91.00 Full grains, unsplit 4107.92.00 Grain splits 4107.99.00 Other 4112.00.00 Leather further prepared after tanning or crusting, including parchment-dressed leather, of sheep or lamb, without wool on, whether or not split, other than leather of heading 41.14.</w:t>
      </w:r>
    </w:p>
    <w:p>
      <w:pPr>
        <w:pStyle w:val="Normal"/>
      </w:pPr>
      <w:r>
        <w:t>4113.10.00 Of goats or kids 4113.20.00 Of swine 4113.30.00 Of reptiles 4113.90.00 Other 4114.10.00 Chamois (including combination chamois) leather 4114.20.00 Patent leather and patent laminated leather; metallized leather 4115.10.00 Composition leather with a basis of leather or leather fibre, in slabs, sheets or strip, whether or not in rolls 4115.20.00 Parings and other waste of leather or of composition leather, not suitable for the manufacture of leather articles; leather dust, powder and flour 4201.00.10 English type saddles 4201.00.90 Other 4202.11.00 With outer surface of leather or of composition leather 4202.12.10 With outer surface of textile materials, containing less than 85% by weight of silk or silk waste 4202.12.90 Other 4202.19.00 Other 4202.21.00 With outer surface of leather or of composition leather 4202.22.10 With outer surface of textile materials (other than of abaca), containing less than 85% by weight of silk or silk waste 4202.22.90 Other 4202.29.00 Other 4202.31.00 With outer surface of leather or of composition leather 4202.32.10 With outer surface of textile materials, containing less than 85% by weight of silk or silk waste 4202.32.90 Other 4202.39.00 Other 4202.91.10 Fitted cases for church bells;</w:t>
      </w:r>
    </w:p>
    <w:p>
      <w:pPr>
        <w:pStyle w:val="Normal"/>
      </w:pPr>
      <w:r>
        <w:t>Golfbags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4202.91.20</w:t>
            </w:r>
          </w:p>
        </w:tc>
        <w:tc>
          <w:tcPr>
            <w:tcW w:w="4679" w:type="dxa"/>
            <w:tcMar>
              <w:top w:w="70" w:type="dxa"/>
              <w:start w:w="110" w:type="dxa"/>
              <w:bottom w:w="70" w:type="dxa"/>
              <w:end w:w="110" w:type="dxa"/>
            </w:tcMar>
            <w:vAlign w:val="center"/>
          </w:tcPr>
          <w:p>
            <w:pPr>
              <w:pStyle w:val="TableText"/>
              <w:jc w:val="left"/>
            </w:pPr>
            <w:r>
              <w:rPr>
                <w:lang w:val="en-US" w:eastAsia="en-US" w:bidi="ar-SA"/>
              </w:rPr>
              <w:t>Tool bags, haversacks, knapsacks, packsacks and rucksacks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4202.91.90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4202.92.10</w:t>
            </w:r>
          </w:p>
        </w:tc>
        <w:tc>
          <w:tcPr>
            <w:tcW w:w="4679" w:type="dxa"/>
            <w:tcMar>
              <w:top w:w="70" w:type="dxa"/>
              <w:start w:w="110" w:type="dxa"/>
              <w:bottom w:w="70" w:type="dxa"/>
              <w:end w:w="110" w:type="dxa"/>
            </w:tcMar>
            <w:vAlign w:val="center"/>
          </w:tcPr>
          <w:p>
            <w:pPr>
              <w:pStyle w:val="TableText"/>
              <w:jc w:val="left"/>
            </w:pPr>
            <w:r>
              <w:rPr>
                <w:lang w:val="en-US" w:eastAsia="en-US" w:bidi="ar-SA"/>
              </w:rPr>
              <w:t>Fitted cases for church bells; Golf bags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4202.92.20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Tool bags, haversacks, knapsacks, packsacks and rucksacks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4202.92.90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4202.99.10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Fitted</w:t>
            </w:r>
          </w:p>
        </w:tc>
      </w:tr>
    </w:tbl>
    <w:p>
      <w:pPr>
        <w:pStyle w:val="Normal"/>
      </w:pPr>
      <w:r>
        <w:t>cases for church bells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4202.99.90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Articles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4203.21.10</w:t>
            </w:r>
          </w:p>
        </w:tc>
        <w:tc>
          <w:tcPr>
            <w:tcW w:w="4679" w:type="dxa"/>
            <w:tcMar>
              <w:top w:w="70" w:type="dxa"/>
              <w:start w:w="110" w:type="dxa"/>
              <w:bottom w:w="70" w:type="dxa"/>
              <w:end w:w="110" w:type="dxa"/>
            </w:tcMar>
            <w:vAlign w:val="center"/>
          </w:tcPr>
          <w:p>
            <w:pPr>
              <w:pStyle w:val="TableText"/>
              <w:jc w:val="left"/>
            </w:pPr>
            <w:r>
              <w:rPr>
                <w:lang w:val="en-US" w:eastAsia="en-US" w:bidi="ar-SA"/>
              </w:rPr>
              <w:t>Gloves for cricket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4203.21.90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4203.29.10</w:t>
            </w:r>
          </w:p>
        </w:tc>
        <w:tc>
          <w:tcPr>
            <w:tcW w:w="4679" w:type="dxa"/>
            <w:tcMar>
              <w:top w:w="70" w:type="dxa"/>
              <w:start w:w="110" w:type="dxa"/>
              <w:bottom w:w="70" w:type="dxa"/>
              <w:end w:w="110" w:type="dxa"/>
            </w:tcMar>
            <w:vAlign w:val="center"/>
          </w:tcPr>
          <w:p>
            <w:pPr>
              <w:pStyle w:val="TableText"/>
              <w:jc w:val="left"/>
            </w:pPr>
            <w:r>
              <w:rPr>
                <w:lang w:val="en-US" w:eastAsia="en-US" w:bidi="ar-SA"/>
              </w:rPr>
              <w:t>Gloves of kid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4203.29.90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4203.30.00</w:t>
            </w:r>
          </w:p>
        </w:tc>
        <w:tc>
          <w:tcPr>
            <w:tcW w:w="4679" w:type="dxa"/>
            <w:tcMar>
              <w:top w:w="70" w:type="dxa"/>
              <w:start w:w="110" w:type="dxa"/>
              <w:bottom w:w="70" w:type="dxa"/>
              <w:end w:w="110" w:type="dxa"/>
            </w:tcMar>
            <w:vAlign w:val="center"/>
          </w:tcPr>
          <w:p>
            <w:pPr>
              <w:pStyle w:val="TableText"/>
              <w:jc w:val="left"/>
            </w:pPr>
            <w:r>
              <w:rPr>
                <w:lang w:val="en-US" w:eastAsia="en-US" w:bidi="ar-SA"/>
              </w:rPr>
              <w:t>Belts and bandoliers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4203.40.00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clothing accessories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4205.00.00</w:t>
            </w:r>
          </w:p>
        </w:tc>
        <w:tc>
          <w:tcPr>
            <w:tcW w:w="4679" w:type="dxa"/>
            <w:tcMar>
              <w:top w:w="70" w:type="dxa"/>
              <w:start w:w="110" w:type="dxa"/>
              <w:bottom w:w="70" w:type="dxa"/>
              <w:end w:w="110" w:type="dxa"/>
            </w:tcMar>
            <w:vAlign w:val="center"/>
          </w:tcPr>
          <w:p>
            <w:pPr>
              <w:pStyle w:val="TableText"/>
              <w:jc w:val="left"/>
            </w:pPr>
            <w:r>
              <w:rPr>
                <w:lang w:val="en-US" w:eastAsia="en-US" w:bidi="ar-SA"/>
              </w:rPr>
              <w:t>Other articles of leather or of composition leather.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4206.00.10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Catgut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4206.00.90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mink, whole, with or without head, tail or paws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4301.30.00</w:t>
            </w:r>
          </w:p>
        </w:tc>
        <w:tc>
          <w:tcPr>
            <w:tcW w:w="4679" w:type="dxa"/>
            <w:tcMar>
              <w:top w:w="70" w:type="dxa"/>
              <w:start w:w="110" w:type="dxa"/>
              <w:bottom w:w="70" w:type="dxa"/>
              <w:end w:w="110" w:type="dxa"/>
            </w:tcMar>
            <w:vAlign w:val="center"/>
          </w:tcPr>
          <w:p>
            <w:pPr>
              <w:pStyle w:val="TableText"/>
              <w:jc w:val="left"/>
            </w:pPr>
            <w:r>
              <w:rPr>
                <w:lang w:val="en-US" w:eastAsia="en-US" w:bidi="ar-SA"/>
              </w:rPr>
              <w:t>Of lamb, the following: Astrakhan, Broadtail, Caracul, Persian and similar lamb, Indian, Chinese, Mongolian or Tibetan lamb, whole, with or without head, tail or paws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4301.60.00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fox, whole, with or without head, tail or paws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4301.80.00</w:t>
            </w:r>
          </w:p>
        </w:tc>
        <w:tc>
          <w:tcPr>
            <w:tcW w:w="4679" w:type="dxa"/>
            <w:tcMar>
              <w:top w:w="70" w:type="dxa"/>
              <w:start w:w="110" w:type="dxa"/>
              <w:bottom w:w="70" w:type="dxa"/>
              <w:end w:w="110" w:type="dxa"/>
            </w:tcMar>
            <w:vAlign w:val="center"/>
          </w:tcPr>
          <w:p>
            <w:pPr>
              <w:pStyle w:val="TableText"/>
              <w:jc w:val="left"/>
            </w:pPr>
            <w:r>
              <w:rPr>
                <w:lang w:val="en-US" w:eastAsia="en-US" w:bidi="ar-SA"/>
              </w:rPr>
              <w:t>Other furskins, whole, with or without head, tail or paws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Heads, tails, paws and other pieces or cuttings, suitable for furriers’ use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4302.11.00</w:t>
            </w:r>
          </w:p>
        </w:tc>
        <w:tc>
          <w:tcPr>
            <w:tcW w:w="4679" w:type="dxa"/>
            <w:tcMar>
              <w:top w:w="70" w:type="dxa"/>
              <w:start w:w="110" w:type="dxa"/>
              <w:bottom w:w="70" w:type="dxa"/>
              <w:end w:w="110" w:type="dxa"/>
            </w:tcMar>
            <w:vAlign w:val="center"/>
          </w:tcPr>
          <w:p>
            <w:pPr>
              <w:pStyle w:val="TableText"/>
              <w:jc w:val="left"/>
            </w:pPr>
            <w:r>
              <w:rPr>
                <w:lang w:val="en-US" w:eastAsia="en-US" w:bidi="ar-SA"/>
              </w:rPr>
              <w:t>Of mink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4302.19.00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4302.20.00</w:t>
            </w:r>
          </w:p>
        </w:tc>
        <w:tc>
          <w:tcPr>
            <w:tcW w:w="4679" w:type="dxa"/>
            <w:tcMar>
              <w:top w:w="70" w:type="dxa"/>
              <w:start w:w="110" w:type="dxa"/>
              <w:bottom w:w="70" w:type="dxa"/>
              <w:end w:w="110" w:type="dxa"/>
            </w:tcMar>
            <w:vAlign w:val="center"/>
          </w:tcPr>
          <w:p>
            <w:pPr>
              <w:pStyle w:val="TableText"/>
              <w:jc w:val="left"/>
            </w:pPr>
            <w:r>
              <w:rPr>
                <w:lang w:val="en-US" w:eastAsia="en-US" w:bidi="ar-SA"/>
              </w:rPr>
              <w:t>Heads, tails, paws and other pieces or cuttings, not assembled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4302.30.10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China goat mats or plates; Rabbit or hare fur plates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4302.30.90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4303.10.10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Gloves, mittens and mitts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4303.10.20</w:t>
            </w:r>
          </w:p>
        </w:tc>
        <w:tc>
          <w:tcPr>
            <w:tcW w:w="4679" w:type="dxa"/>
            <w:tcMar>
              <w:top w:w="70" w:type="dxa"/>
              <w:start w:w="110" w:type="dxa"/>
              <w:bottom w:w="70" w:type="dxa"/>
              <w:end w:w="110" w:type="dxa"/>
            </w:tcMar>
            <w:vAlign w:val="center"/>
          </w:tcPr>
          <w:p>
            <w:pPr>
              <w:pStyle w:val="TableText"/>
              <w:jc w:val="left"/>
            </w:pPr>
            <w:r>
              <w:rPr>
                <w:lang w:val="en-US" w:eastAsia="en-US" w:bidi="ar-SA"/>
              </w:rPr>
              <w:t>Leather garments lined with furskin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4303.10.90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4303.90.00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4304.00.00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Artificial fur and articles thereof.</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4401.12.00</w:t>
            </w:r>
          </w:p>
        </w:tc>
        <w:tc>
          <w:tcPr>
            <w:tcW w:w="4679" w:type="dxa"/>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4401.21.00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4401.22.00</w:t>
            </w:r>
          </w:p>
        </w:tc>
        <w:tc>
          <w:tcPr>
            <w:tcW w:w="4679" w:type="dxa"/>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4401.31.00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Wood pellets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4401.39.00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4401.40.00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Sawdust and wood waste and scrap, not agglomerated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4402.10.10</w:t>
            </w:r>
          </w:p>
        </w:tc>
        <w:tc>
          <w:tcPr>
            <w:tcW w:w="4679" w:type="dxa"/>
            <w:tcMar>
              <w:top w:w="70" w:type="dxa"/>
              <w:start w:w="110" w:type="dxa"/>
              <w:bottom w:w="70" w:type="dxa"/>
              <w:end w:w="110" w:type="dxa"/>
            </w:tcMar>
            <w:vAlign w:val="center"/>
          </w:tcPr>
          <w:p>
            <w:pPr>
              <w:pStyle w:val="TableText"/>
              <w:jc w:val="left"/>
            </w:pPr>
            <w:r>
              <w:rPr>
                <w:lang w:val="en-US" w:eastAsia="en-US" w:bidi="ar-SA"/>
              </w:rPr>
              <w:t>Wood charcoal (not including shell or nut charcoal), containing 10% or less by weight of binder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4402.10.90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4402.90.10</w:t>
            </w:r>
          </w:p>
        </w:tc>
        <w:tc>
          <w:tcPr>
            <w:tcW w:w="4679" w:type="dxa"/>
            <w:tcMar>
              <w:top w:w="70" w:type="dxa"/>
              <w:start w:w="110" w:type="dxa"/>
              <w:bottom w:w="70" w:type="dxa"/>
              <w:end w:w="110" w:type="dxa"/>
            </w:tcMar>
            <w:vAlign w:val="center"/>
          </w:tcPr>
          <w:p>
            <w:pPr>
              <w:pStyle w:val="TableText"/>
              <w:jc w:val="left"/>
            </w:pPr>
            <w:r>
              <w:rPr>
                <w:lang w:val="en-US" w:eastAsia="en-US" w:bidi="ar-SA"/>
              </w:rPr>
              <w:t>Charcoal of coconut shell for use in the manufacture of activated carbon;</w:t>
            </w:r>
          </w:p>
        </w:tc>
      </w:tr>
    </w:tbl>
    <w:p>
      <w:pPr>
        <w:pStyle w:val="Normal"/>
      </w:pPr>
      <w:r>
        <w:t>Wood charcoal (not including shell or nut charcoal), containing 10% or less by weight of binder 4402.90.90 Other 4403.11.00 Coniferous 4403.12.00 Non-coniferous 4403.21.00 Of pine (Pinus spp.), of which any cross-sectional dimension is 15 cm or more 4403.22.00 Of pine (Pinus spp.), other 4403.23.00 Of fir (Abies spp.) and spruce (Picea spp.), of which any cross- sectional dimension is 15 cm or more 4403.24.00 Of fir (Abies spp.) and spruce (Picea spp.), other 4403.25.00 Other, of which any cross-sectional dimension is 15 cm or more 4403.26.00 Other 4403.41.00 Dark Red Meranti, Light Red Meranti and Meranti Bakau 4403.49.00 Other 4403.91.00 Of oak (Quercus spp.) 4403.93.00 Of beech (Fagus spp.), of which any cross-sectional dimension is 15 cm or more 4403.94.00 Of beech (Fagus spp.), other 4403.95.00 Of birch (Betula spp.), of which any cross-sectional dimension is 15 cm or more 4403.96.00 Of birch (Betula spp.), other 4403.97.00 Of poplar and aspen (Populus spp.) 4403.98.00 Of eucalyptus (Eucalyptus spp.</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4403.99.00</w:t>
            </w:r>
          </w:p>
        </w:tc>
        <w:tc>
          <w:tcPr>
            <w:tcW w:w="4679" w:type="dxa"/>
            <w:tcMar>
              <w:top w:w="70" w:type="dxa"/>
              <w:start w:w="110" w:type="dxa"/>
              <w:bottom w:w="70" w:type="dxa"/>
              <w:end w:w="110" w:type="dxa"/>
            </w:tcMar>
            <w:vAlign w:val="center"/>
          </w:tcPr>
          <w:p>
            <w:pPr>
              <w:pStyle w:val="TableText"/>
              <w:jc w:val="left"/>
            </w:pPr>
            <w:r>
              <w:rPr>
                <w:lang w:val="en-US" w:eastAsia="en-US" w:bidi="ar-SA"/>
              </w:rPr>
              <w:t>)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4404.20.00</w:t>
            </w:r>
          </w:p>
        </w:tc>
        <w:tc>
          <w:tcPr>
            <w:tcW w:w="4679" w:type="dxa"/>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4405.00.00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Wood wool; wood flour.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4406.11.00</w:t>
            </w:r>
          </w:p>
        </w:tc>
        <w:tc>
          <w:tcPr>
            <w:tcW w:w="4679" w:type="dxa"/>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4406.12.00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4406.91.00</w:t>
            </w:r>
          </w:p>
        </w:tc>
        <w:tc>
          <w:tcPr>
            <w:tcW w:w="4679" w:type="dxa"/>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4406.92.00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4407.11.00</w:t>
            </w:r>
          </w:p>
        </w:tc>
        <w:tc>
          <w:tcPr>
            <w:tcW w:w="4679" w:type="dxa"/>
            <w:tcMar>
              <w:top w:w="70" w:type="dxa"/>
              <w:start w:w="110" w:type="dxa"/>
              <w:bottom w:w="70" w:type="dxa"/>
              <w:end w:w="110" w:type="dxa"/>
            </w:tcMar>
            <w:vAlign w:val="center"/>
          </w:tcPr>
          <w:p>
            <w:pPr>
              <w:pStyle w:val="TableText"/>
              <w:jc w:val="left"/>
            </w:pPr>
            <w:r>
              <w:rPr>
                <w:lang w:val="en-US" w:eastAsia="en-US" w:bidi="ar-SA"/>
              </w:rPr>
              <w:t>Of pine (Pinus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fir (Abies spp.) and spruce (Picea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Mahogany (Swietenia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4407.22.00</w:t>
            </w:r>
          </w:p>
        </w:tc>
        <w:tc>
          <w:tcPr>
            <w:tcW w:w="4679" w:type="dxa"/>
            <w:tcMar>
              <w:top w:w="70" w:type="dxa"/>
              <w:start w:w="110" w:type="dxa"/>
              <w:bottom w:w="70" w:type="dxa"/>
              <w:end w:w="110" w:type="dxa"/>
            </w:tcMar>
            <w:vAlign w:val="center"/>
          </w:tcPr>
          <w:p>
            <w:pPr>
              <w:pStyle w:val="TableText"/>
              <w:jc w:val="left"/>
            </w:pPr>
            <w:r>
              <w:rPr>
                <w:lang w:val="en-US" w:eastAsia="en-US" w:bidi="ar-SA"/>
              </w:rPr>
              <w:t>Virola, Imbuia and Balsa</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4407.25.00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Dark Red Meranti, Light Red Meranti and Meranti Bakau</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4407.26.00</w:t>
            </w:r>
          </w:p>
        </w:tc>
        <w:tc>
          <w:tcPr>
            <w:tcW w:w="4679" w:type="dxa"/>
            <w:tcMar>
              <w:top w:w="70" w:type="dxa"/>
              <w:start w:w="110" w:type="dxa"/>
              <w:bottom w:w="70" w:type="dxa"/>
              <w:end w:w="110" w:type="dxa"/>
            </w:tcMar>
            <w:vAlign w:val="center"/>
          </w:tcPr>
          <w:p>
            <w:pPr>
              <w:pStyle w:val="TableText"/>
              <w:jc w:val="left"/>
            </w:pPr>
            <w:r>
              <w:rPr>
                <w:lang w:val="en-US" w:eastAsia="en-US" w:bidi="ar-SA"/>
              </w:rPr>
              <w:t>White Lauan, White Meranti, White Seraya, Yellow Meranti and Alan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4407.27.00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Sapelli</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4407.28.00</w:t>
            </w:r>
          </w:p>
        </w:tc>
        <w:tc>
          <w:tcPr>
            <w:tcW w:w="4679" w:type="dxa"/>
            <w:tcMar>
              <w:top w:w="70" w:type="dxa"/>
              <w:start w:w="110" w:type="dxa"/>
              <w:bottom w:w="70" w:type="dxa"/>
              <w:end w:w="110" w:type="dxa"/>
            </w:tcMar>
            <w:vAlign w:val="center"/>
          </w:tcPr>
          <w:p>
            <w:pPr>
              <w:pStyle w:val="TableText"/>
              <w:jc w:val="left"/>
            </w:pPr>
            <w:r>
              <w:rPr>
                <w:lang w:val="en-US" w:eastAsia="en-US" w:bidi="ar-SA"/>
              </w:rPr>
              <w:t>Iroko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4407.91.00</w:t>
            </w:r>
          </w:p>
        </w:tc>
        <w:tc>
          <w:tcPr>
            <w:tcW w:w="4679" w:type="dxa"/>
            <w:tcMar>
              <w:top w:w="70" w:type="dxa"/>
              <w:start w:w="110" w:type="dxa"/>
              <w:bottom w:w="70" w:type="dxa"/>
              <w:end w:w="110" w:type="dxa"/>
            </w:tcMar>
            <w:vAlign w:val="center"/>
          </w:tcPr>
          <w:p>
            <w:pPr>
              <w:pStyle w:val="TableText"/>
              <w:jc w:val="left"/>
            </w:pPr>
            <w:r>
              <w:rPr>
                <w:lang w:val="en-US" w:eastAsia="en-US" w:bidi="ar-SA"/>
              </w:rPr>
              <w:t>Of oak (Quercus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beech (Fagus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4407.93.00</w:t>
            </w:r>
          </w:p>
        </w:tc>
        <w:tc>
          <w:tcPr>
            <w:tcW w:w="4679" w:type="dxa"/>
            <w:tcMar>
              <w:top w:w="70" w:type="dxa"/>
              <w:start w:w="110" w:type="dxa"/>
              <w:bottom w:w="70" w:type="dxa"/>
              <w:end w:w="110" w:type="dxa"/>
            </w:tcMar>
            <w:vAlign w:val="center"/>
          </w:tcPr>
          <w:p>
            <w:pPr>
              <w:pStyle w:val="TableText"/>
              <w:jc w:val="left"/>
            </w:pPr>
            <w:r>
              <w:rPr>
                <w:lang w:val="en-US" w:eastAsia="en-US" w:bidi="ar-SA"/>
              </w:rPr>
              <w:t>Of maple (Acer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4407.94.00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cherry (Prunus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4407.95.00</w:t>
            </w:r>
          </w:p>
        </w:tc>
        <w:tc>
          <w:tcPr>
            <w:tcW w:w="4679" w:type="dxa"/>
            <w:tcMar>
              <w:top w:w="70" w:type="dxa"/>
              <w:start w:w="110" w:type="dxa"/>
              <w:bottom w:w="70" w:type="dxa"/>
              <w:end w:w="110" w:type="dxa"/>
            </w:tcMar>
            <w:vAlign w:val="center"/>
          </w:tcPr>
          <w:p>
            <w:pPr>
              <w:pStyle w:val="TableText"/>
              <w:jc w:val="left"/>
            </w:pPr>
            <w:r>
              <w:rPr>
                <w:lang w:val="en-US" w:eastAsia="en-US" w:bidi="ar-SA"/>
              </w:rPr>
              <w:t>Of ash (Fraxinus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4407.96.00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birch (Betula spp.)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4407.97.00</w:t>
            </w:r>
          </w:p>
        </w:tc>
        <w:tc>
          <w:tcPr>
            <w:tcW w:w="4679" w:type="dxa"/>
            <w:tcMar>
              <w:top w:w="70" w:type="dxa"/>
              <w:start w:w="110" w:type="dxa"/>
              <w:bottom w:w="70" w:type="dxa"/>
              <w:end w:w="110" w:type="dxa"/>
            </w:tcMar>
            <w:vAlign w:val="center"/>
          </w:tcPr>
          <w:p>
            <w:pPr>
              <w:pStyle w:val="TableText"/>
              <w:jc w:val="left"/>
            </w:pPr>
            <w:r>
              <w:rPr>
                <w:lang w:val="en-US" w:eastAsia="en-US" w:bidi="ar-SA"/>
              </w:rPr>
              <w:t>Of poplar and aspen (Populus spp.)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4407.99.00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4408.10.10</w:t>
            </w:r>
          </w:p>
        </w:tc>
        <w:tc>
          <w:tcPr>
            <w:tcW w:w="4679" w:type="dxa"/>
            <w:tcMar>
              <w:top w:w="70" w:type="dxa"/>
              <w:start w:w="110" w:type="dxa"/>
              <w:bottom w:w="70" w:type="dxa"/>
              <w:end w:w="110" w:type="dxa"/>
            </w:tcMar>
            <w:vAlign w:val="center"/>
          </w:tcPr>
          <w:p>
            <w:pPr>
              <w:pStyle w:val="TableText"/>
              <w:jc w:val="left"/>
            </w:pPr>
            <w:r>
              <w:rPr>
                <w:lang w:val="en-US" w:eastAsia="en-US" w:bidi="ar-SA"/>
              </w:rPr>
              <w:t>Sheets for veneering obtained by slicing laminated wood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4408.10.90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4408.31.00</w:t>
            </w:r>
          </w:p>
        </w:tc>
        <w:tc>
          <w:tcPr>
            <w:tcW w:w="4679" w:type="dxa"/>
            <w:tcMar>
              <w:top w:w="70" w:type="dxa"/>
              <w:start w:w="110" w:type="dxa"/>
              <w:bottom w:w="70" w:type="dxa"/>
              <w:end w:w="110" w:type="dxa"/>
            </w:tcMar>
            <w:vAlign w:val="center"/>
          </w:tcPr>
          <w:p>
            <w:pPr>
              <w:pStyle w:val="TableText"/>
              <w:jc w:val="left"/>
            </w:pPr>
            <w:r>
              <w:rPr>
                <w:lang w:val="en-US" w:eastAsia="en-US" w:bidi="ar-SA"/>
              </w:rPr>
              <w:t>Dark Red Meranti, Light Red Meranti and Meranti Bakau</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4408.39.00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4408.90.10</w:t>
            </w:r>
          </w:p>
        </w:tc>
        <w:tc>
          <w:tcPr>
            <w:tcW w:w="4679" w:type="dxa"/>
            <w:tcMar>
              <w:top w:w="70" w:type="dxa"/>
              <w:start w:w="110" w:type="dxa"/>
              <w:bottom w:w="70" w:type="dxa"/>
              <w:end w:w="110" w:type="dxa"/>
            </w:tcMar>
            <w:vAlign w:val="center"/>
          </w:tcPr>
          <w:p>
            <w:pPr>
              <w:pStyle w:val="TableText"/>
              <w:jc w:val="left"/>
            </w:pPr>
            <w:r>
              <w:rPr>
                <w:lang w:val="en-US" w:eastAsia="en-US" w:bidi="ar-SA"/>
              </w:rPr>
              <w:t>Sheets for veneering obtained by slicing laminated wood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4408.90.90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4409.10.00</w:t>
            </w:r>
          </w:p>
        </w:tc>
        <w:tc>
          <w:tcPr>
            <w:tcW w:w="4679" w:type="dxa"/>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4409.21.00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bamboo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4409.22.00</w:t>
            </w:r>
          </w:p>
        </w:tc>
        <w:tc>
          <w:tcPr>
            <w:tcW w:w="4679" w:type="dxa"/>
            <w:tcMar>
              <w:top w:w="70" w:type="dxa"/>
              <w:start w:w="110" w:type="dxa"/>
              <w:bottom w:w="70" w:type="dxa"/>
              <w:end w:w="110" w:type="dxa"/>
            </w:tcMar>
            <w:vAlign w:val="center"/>
          </w:tcPr>
          <w:p>
            <w:pPr>
              <w:pStyle w:val="TableText"/>
              <w:jc w:val="left"/>
            </w:pPr>
            <w:r>
              <w:rPr>
                <w:lang w:val="en-US" w:eastAsia="en-US" w:bidi="ar-SA"/>
              </w:rPr>
              <w:t>Of tropical wood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4409.29.10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Flooring of oak (Quercus spp.</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4409.29.90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4410.11.00</w:t>
            </w:r>
          </w:p>
        </w:tc>
        <w:tc>
          <w:tcPr>
            <w:tcW w:w="4679" w:type="dxa"/>
            <w:tcMar>
              <w:top w:w="70" w:type="dxa"/>
              <w:start w:w="110" w:type="dxa"/>
              <w:bottom w:w="70" w:type="dxa"/>
              <w:end w:w="110" w:type="dxa"/>
            </w:tcMar>
            <w:vAlign w:val="center"/>
          </w:tcPr>
          <w:p>
            <w:pPr>
              <w:pStyle w:val="TableText"/>
              <w:jc w:val="left"/>
            </w:pPr>
            <w:r>
              <w:rPr>
                <w:lang w:val="en-US" w:eastAsia="en-US" w:bidi="ar-SA"/>
              </w:rPr>
              <w:t>Particle board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4410.12.00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Oriented strand board (OSB)</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4410.19.00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4410.90.00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4411.12.00</w:t>
            </w:r>
          </w:p>
        </w:tc>
        <w:tc>
          <w:tcPr>
            <w:tcW w:w="4679" w:type="dxa"/>
            <w:tcMar>
              <w:top w:w="70" w:type="dxa"/>
              <w:start w:w="110" w:type="dxa"/>
              <w:bottom w:w="70" w:type="dxa"/>
              <w:end w:w="110" w:type="dxa"/>
            </w:tcMar>
            <w:vAlign w:val="center"/>
          </w:tcPr>
          <w:p>
            <w:pPr>
              <w:pStyle w:val="TableText"/>
              <w:jc w:val="left"/>
            </w:pPr>
            <w:r>
              <w:rPr>
                <w:lang w:val="en-US" w:eastAsia="en-US" w:bidi="ar-SA"/>
              </w:rPr>
              <w:t>Of a thickness not exceeding 5 mm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4411.13.00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thickness exceeding 5 mm but not exceeding 9 mm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4411.14.00</w:t>
            </w:r>
          </w:p>
        </w:tc>
        <w:tc>
          <w:tcPr>
            <w:tcW w:w="4679" w:type="dxa"/>
            <w:tcMar>
              <w:top w:w="70" w:type="dxa"/>
              <w:start w:w="110" w:type="dxa"/>
              <w:bottom w:w="70" w:type="dxa"/>
              <w:end w:w="110" w:type="dxa"/>
            </w:tcMar>
            <w:vAlign w:val="center"/>
          </w:tcPr>
          <w:p>
            <w:pPr>
              <w:pStyle w:val="TableText"/>
              <w:jc w:val="left"/>
            </w:pPr>
            <w:r>
              <w:rPr>
                <w:lang w:val="en-US" w:eastAsia="en-US" w:bidi="ar-SA"/>
              </w:rPr>
              <w:t>Of a thickness exceeding 9 mm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4411.92.10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mechanically worked or surface covered;</w:t>
            </w:r>
          </w:p>
        </w:tc>
      </w:tr>
    </w:tbl>
    <w:p>
      <w:pPr>
        <w:pStyle w:val="Normal"/>
      </w:pPr>
      <w:r>
        <w:t>Resin impregnated, containing 17% or more by weight of phenol- formaldehyde resin, for use in the manufacture of overlaid plywood or overlaid particle board 4411.92.90 Other 4411.93.00 Of a density exceeding 0.5 g/cm³ but not exceeding 0.8 g/cm³ 4411.94.00 Of a density not exceeding 0.5 g/cm³ 4412.10.10 With at least one outer ply of non-coniferous wood 4412.10.90 Other 4412.31.00 With at least one outer ply of tropical wood 4412.33.00 Other, with at least one outer ply of non-coniferous wood of the species alder (Alnus spp.), ash (Fraxinus spp.), beech (Fagus spp.), birch (Betula spp.), cherry (Prunus spp.), chestnut (Castanea spp.), elm (Ulmus spp.), eucalyptus (Eucalyptus spp.), hickory (Carya spp.), horse chestnut (Aesculus spp.), lime (Tilia spp.), maple (Acer spp.), oak (Quercus spp.), plane tree (Platanus spp.), poplar and aspen (Populus spp.), robinia (Robinia spp.), tulipwood (Liriodendron spp.) or walnut (Juglans spp.)</w:t>
      </w:r>
    </w:p>
    <w:p>
      <w:pPr>
        <w:pStyle w:val="Normal"/>
      </w:pPr>
      <w:r>
        <w:t>4412.34.00 Other, with at least one outer ply of non-coniferous wood not specified under subheading 4412.33 4412.39.00 Other, with both outer plies of coniferous wood 4412.94.10 With outer ply of coniferous wood, containing at least one layer of particle board; Plywood core boards or wood block core boards, mahogany- veneered, for use in the manufacture of door jambs 4412.94.90 Other 4412.99.10 Containing at least one layer of particle board; Plywood core boards or wood block core boards, mahogany- veneered, for use in the manufacture of door jambs 4412.99.90 Other 4413.00.00 Densified wood, in blocks, plates, strips or profile shapes. 4414.00.00 Wooden frames for paintings, photographs, mirrors or similar objects. 4415.10.10 Reusable containers, specially designed to be employed in the transportation of motor vehicle components which are free of customs duties, presented with the goods therein 4415.10.80 Other cases, boxes and crates 4415.10.90 Other 4415.20.00 Pallets, box pallets and other load boards; pallet collars 4416.00.00 Casks, barrels, vats, tubs and other coopers’ products and parts thereof, of wood, including staves.</w:t>
      </w:r>
    </w:p>
    <w:p>
      <w:pPr>
        <w:pStyle w:val="Normal"/>
      </w:pPr>
      <w:r>
        <w:t>4417.00.10 Handles for axes, spades, hand shovels, hand hoes, hand rakes and hand forks, not further manufactured than turned; Handles for brushes, brooms or mops; Handles for scythes (snaths) 4417.00.90 Other 4418.10.10 Window frames 4418.10.90 Other 4418.20.00 Doors and their frames and thresholds 4418.40.00 Shuttering for concrete constructional work 4418.50.00 Shingles and shakes 4418.60.00 Posts and beams 4418.73.00 Of bamboo or with at least the top layer (wear layer) of bamboo 4418.74.00 Other, for mosaic floors 4418.75.00 Other, multilayer 4418.79.00 Other 4418.91.00 Of bamboo 4418.99.00 Other 4419.11.00 Bread boards, chopping boards and similar boards 4419.12.00 Chopsticks 4419.19.00 Other 4419.90.00 Other 4420.10.00 Statuettes and other ornaments, of wood 4420.90.00 Other 4421.10.00 Clothes hangers 4421.91.10 Cross arms, drilled; Die models, to be employed as blueprint substitutes in the manufacture, assembly, erection, installation, operation or maintenance of machines, test sets, engines, apparatus, appliances, plant equipment and parts thereof; Hay stack forms; Mouldings (other than the goods of heading 44.09), continuously shaped, and not further processed than treated with fire retardant materials, fillers, sealers, waxes, oils, stains, varnishes, paints or enamels; Saddle trees;</w:t>
      </w:r>
    </w:p>
    <w:p>
      <w:pPr>
        <w:pStyle w:val="Normal"/>
      </w:pPr>
      <w:r>
        <w:t>Spokes and last blocks not further manufactured than turned; Trellises and fencing panels 4421.91.20 Blinds; Labels; Signs, letters and numerals; Window shade or blind rollers</w:t>
      </w:r>
    </w:p>
    <w:p>
      <w:pPr>
        <w:pStyle w:val="Normal"/>
      </w:pPr>
      <w:r>
        <w:t>4421.91.30 Coffins and caskets 4421.91.90 Other 4421.99.10 Cross arms, drilled; Die models, to be employed as blueprint substitutes in the manufacture, assembly, erection, installation, operation or maintenance of machines, test sets, engines, apparatus, appliances, plant equipment and parts thereof; Felloes of hickory or oak; Hay stack forms; Mouldings (other than the goods of heading 44.09), continuously shaped, and not further processed than treated with fire retardant materials, fillers, sealers, waxes, oils, stains, varnishes, paints or enamels; Saddle trees and stirrups; Spokes and last blocks not further manufactured than turned; Trellises and fencing panels 4421.99.20 Blinds; Labels; Signs, letters and numerals; Window shade or blind rollers 4421.99.30 Coffins and caskets; Joiners’ benches and trestles 4421.99.90 Other 4501.10.00 Natural cork, raw or simply prepared 4501.90.00 Other 4502.00.00 Natural cork, debacked or roughly squared, or in rectangular (including square) blocks, plates, sheets or strip, (including sharp- edged blanks for corks or stoppers).</w:t>
      </w:r>
    </w:p>
    <w:p>
      <w:pPr>
        <w:pStyle w:val="Normal"/>
      </w:pPr>
      <w:r>
        <w:t>4503.10.00 Corks and stoppers 4503.90.00 Other 4504.10.00 Blocks, plates, sheets and strip; tiles of any shape; solid cylinders, including discs 4504.90.00 Other 4601.21.00 Of bamboo 4601.22.00 Of rattan 4601.29.10 Mats and matting of sisal, palm or cane straw 4601.29.90 Other 4601.92.10 Plaits and similar products of plaiting materials, whether or not assembled into strips 4601.92.90 Other 4601.93.10 Plaits and similar products of plaiting materials, whether or not assembled into strips 4601.93.90 Other 4601.94.10 Plaits and similar products of plaiting materials, whether or not assembled into strips 4601.94.90 Other 4601.99.10 Plaits and similar products of plaiting materials, whether or not assembled into strips 4601.99.90 Other 4602.11.10 Handbags; Trunks, travelling-bags and cases, shopping-bags and hatboxes 4602.11.92 Other: Baskets 4602.11.93 Other: Panniers specially designed for transporting and releasing pigeons 4602.11.99 Other: Other 4602.12.10 Handbags other than of palm straw or cane straw; Trunks, travelling-bags and cases, shopping-bags and hatboxes 4602.12.91 Other: Handbags of palm straw 4602.12.92 Other: Baskets of interwoven vegetable fibres 4602.12.93 Other: Panniers specially designed for transporting and releasing pigeons 4602.12.99 Other:</w:t>
      </w:r>
    </w:p>
    <w:p>
      <w:pPr>
        <w:pStyle w:val="Normal"/>
      </w:pPr>
      <w:r>
        <w:t>Other 4602.19.10 Handbags other than of sisal, palm straw or cane straw; Trunks, travelling-bags and cases, shopping-bags and hatboxes 4602.19.91 Other: Handbags of sisal, palm straw or cane straw 4602.19.92 Other:</w:t>
      </w:r>
    </w:p>
    <w:p>
      <w:pPr>
        <w:pStyle w:val="Normal"/>
      </w:pPr>
      <w:r>
        <w:t>Baskets of interwoven vegetable fibres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4602.19.93</w:t>
            </w:r>
          </w:p>
        </w:tc>
        <w:tc>
          <w:tcPr>
            <w:tcW w:w="4679" w:type="dxa"/>
            <w:tcMar>
              <w:top w:w="70" w:type="dxa"/>
              <w:start w:w="110" w:type="dxa"/>
              <w:bottom w:w="70" w:type="dxa"/>
              <w:end w:w="110" w:type="dxa"/>
            </w:tcMar>
            <w:vAlign w:val="center"/>
          </w:tcPr>
          <w:p>
            <w:pPr>
              <w:pStyle w:val="TableText"/>
              <w:jc w:val="left"/>
            </w:pPr>
            <w:r>
              <w:rPr>
                <w:lang w:val="en-US" w:eastAsia="en-US" w:bidi="ar-SA"/>
              </w:rPr>
              <w:t>Other: Panniers specially designed for transporting and releasing pigeons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4602.19.99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4602.90.10</w:t>
            </w:r>
          </w:p>
        </w:tc>
        <w:tc>
          <w:tcPr>
            <w:tcW w:w="4679" w:type="dxa"/>
            <w:tcMar>
              <w:top w:w="70" w:type="dxa"/>
              <w:start w:w="110" w:type="dxa"/>
              <w:bottom w:w="70" w:type="dxa"/>
              <w:end w:w="110" w:type="dxa"/>
            </w:tcMar>
            <w:vAlign w:val="center"/>
          </w:tcPr>
          <w:p>
            <w:pPr>
              <w:pStyle w:val="TableText"/>
              <w:jc w:val="left"/>
            </w:pPr>
            <w:r>
              <w:rPr>
                <w:lang w:val="en-US" w:eastAsia="en-US" w:bidi="ar-SA"/>
              </w:rPr>
              <w:t>Baskets, trunks, travelling-bags and cases, shopping-bags, handbags and hatboxes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4602.90.90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4701.00.00</w:t>
            </w:r>
          </w:p>
        </w:tc>
        <w:tc>
          <w:tcPr>
            <w:tcW w:w="4679" w:type="dxa"/>
            <w:tcMar>
              <w:top w:w="70" w:type="dxa"/>
              <w:start w:w="110" w:type="dxa"/>
              <w:bottom w:w="70" w:type="dxa"/>
              <w:end w:w="110" w:type="dxa"/>
            </w:tcMar>
            <w:vAlign w:val="center"/>
          </w:tcPr>
          <w:p>
            <w:pPr>
              <w:pStyle w:val="TableText"/>
              <w:jc w:val="left"/>
            </w:pPr>
            <w:r>
              <w:rPr>
                <w:lang w:val="en-US" w:eastAsia="en-US" w:bidi="ar-SA"/>
              </w:rPr>
              <w:t>Mechanical wood pulp.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4702.00.00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Chemical wood pulp, dissolving grades.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4703.11.00</w:t>
            </w:r>
          </w:p>
        </w:tc>
        <w:tc>
          <w:tcPr>
            <w:tcW w:w="4679" w:type="dxa"/>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4703.19.00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4703.21.00</w:t>
            </w:r>
          </w:p>
        </w:tc>
        <w:tc>
          <w:tcPr>
            <w:tcW w:w="4679" w:type="dxa"/>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4703.29.00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4704.11.00</w:t>
            </w:r>
          </w:p>
        </w:tc>
        <w:tc>
          <w:tcPr>
            <w:tcW w:w="4679" w:type="dxa"/>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4704.19.00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4704.21.00</w:t>
            </w:r>
          </w:p>
        </w:tc>
        <w:tc>
          <w:tcPr>
            <w:tcW w:w="4679" w:type="dxa"/>
            <w:tcMar>
              <w:top w:w="70" w:type="dxa"/>
              <w:start w:w="110" w:type="dxa"/>
              <w:bottom w:w="70" w:type="dxa"/>
              <w:end w:w="110" w:type="dxa"/>
            </w:tcMar>
            <w:vAlign w:val="center"/>
          </w:tcPr>
          <w:p>
            <w:pPr>
              <w:pStyle w:val="TableText"/>
              <w:jc w:val="left"/>
            </w:pPr>
            <w:r>
              <w:rPr>
                <w:lang w:val="en-US" w:eastAsia="en-US" w:bidi="ar-SA"/>
              </w:rPr>
              <w:t>Coniferous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4704.29.00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Non-coniferous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4705.00.00</w:t>
            </w:r>
          </w:p>
        </w:tc>
        <w:tc>
          <w:tcPr>
            <w:tcW w:w="4679" w:type="dxa"/>
            <w:tcMar>
              <w:top w:w="70" w:type="dxa"/>
              <w:start w:w="110" w:type="dxa"/>
              <w:bottom w:w="70" w:type="dxa"/>
              <w:end w:w="110" w:type="dxa"/>
            </w:tcMar>
            <w:vAlign w:val="center"/>
          </w:tcPr>
          <w:p>
            <w:pPr>
              <w:pStyle w:val="TableText"/>
              <w:jc w:val="left"/>
            </w:pPr>
            <w:r>
              <w:rPr>
                <w:lang w:val="en-US" w:eastAsia="en-US" w:bidi="ar-SA"/>
              </w:rPr>
              <w:t>Wood pulp obtained by a combination of mechanical and chemical pulping processes.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Cotton linters pulp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4706.20.00</w:t>
            </w:r>
          </w:p>
        </w:tc>
        <w:tc>
          <w:tcPr>
            <w:tcW w:w="4679" w:type="dxa"/>
            <w:tcMar>
              <w:top w:w="70" w:type="dxa"/>
              <w:start w:w="110" w:type="dxa"/>
              <w:bottom w:w="70" w:type="dxa"/>
              <w:end w:w="110" w:type="dxa"/>
            </w:tcMar>
            <w:vAlign w:val="center"/>
          </w:tcPr>
          <w:p>
            <w:pPr>
              <w:pStyle w:val="TableText"/>
              <w:jc w:val="left"/>
            </w:pPr>
            <w:r>
              <w:rPr>
                <w:lang w:val="en-US" w:eastAsia="en-US" w:bidi="ar-SA"/>
              </w:rPr>
              <w:t>Pulps of fibres derived from recovered (waste and scrap) paper or paperboard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4706.30.00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of bamboo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4706.91.00</w:t>
            </w:r>
          </w:p>
        </w:tc>
        <w:tc>
          <w:tcPr>
            <w:tcW w:w="4679" w:type="dxa"/>
            <w:tcMar>
              <w:top w:w="70" w:type="dxa"/>
              <w:start w:w="110" w:type="dxa"/>
              <w:bottom w:w="70" w:type="dxa"/>
              <w:end w:w="110" w:type="dxa"/>
            </w:tcMar>
            <w:vAlign w:val="center"/>
          </w:tcPr>
          <w:p>
            <w:pPr>
              <w:pStyle w:val="TableText"/>
              <w:jc w:val="left"/>
            </w:pPr>
            <w:r>
              <w:rPr>
                <w:lang w:val="en-US" w:eastAsia="en-US" w:bidi="ar-SA"/>
              </w:rPr>
              <w:t>Mechanical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4706.92.00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Chemical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4706.93.00</w:t>
            </w:r>
          </w:p>
        </w:tc>
        <w:tc>
          <w:tcPr>
            <w:tcW w:w="4679" w:type="dxa"/>
            <w:tcMar>
              <w:top w:w="70" w:type="dxa"/>
              <w:start w:w="110" w:type="dxa"/>
              <w:bottom w:w="70" w:type="dxa"/>
              <w:end w:w="110" w:type="dxa"/>
            </w:tcMar>
            <w:vAlign w:val="center"/>
          </w:tcPr>
          <w:p>
            <w:pPr>
              <w:pStyle w:val="TableText"/>
              <w:jc w:val="left"/>
            </w:pPr>
            <w:r>
              <w:rPr>
                <w:lang w:val="en-US" w:eastAsia="en-US" w:bidi="ar-SA"/>
              </w:rPr>
              <w:t>Obtained by a combination of mechanical and chemical processes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Unbleached kraft paper or paperboard or corrugated paper or paperboard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4707.20.00</w:t>
            </w:r>
          </w:p>
        </w:tc>
        <w:tc>
          <w:tcPr>
            <w:tcW w:w="4679" w:type="dxa"/>
            <w:tcMar>
              <w:top w:w="70" w:type="dxa"/>
              <w:start w:w="110" w:type="dxa"/>
              <w:bottom w:w="70" w:type="dxa"/>
              <w:end w:w="110" w:type="dxa"/>
            </w:tcMar>
            <w:vAlign w:val="center"/>
          </w:tcPr>
          <w:p>
            <w:pPr>
              <w:pStyle w:val="TableText"/>
              <w:jc w:val="left"/>
            </w:pPr>
            <w:r>
              <w:rPr>
                <w:lang w:val="en-US" w:eastAsia="en-US" w:bidi="ar-SA"/>
              </w:rPr>
              <w:t>Other paper or paperboard made mainly of bleached chemical pulp, not coloured in the mass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4707.30.00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Paper or paperboard made mainly of mechanical pulp (for example, newspapers, journals and similar printed matter)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4707.90.00</w:t>
            </w:r>
          </w:p>
        </w:tc>
        <w:tc>
          <w:tcPr>
            <w:tcW w:w="4679" w:type="dxa"/>
            <w:tcMar>
              <w:top w:w="70" w:type="dxa"/>
              <w:start w:w="110" w:type="dxa"/>
              <w:bottom w:w="70" w:type="dxa"/>
              <w:end w:w="110" w:type="dxa"/>
            </w:tcMar>
            <w:vAlign w:val="center"/>
          </w:tcPr>
          <w:p>
            <w:pPr>
              <w:pStyle w:val="TableText"/>
              <w:jc w:val="left"/>
            </w:pPr>
            <w:r>
              <w:rPr>
                <w:lang w:val="en-US" w:eastAsia="en-US" w:bidi="ar-SA"/>
              </w:rPr>
              <w:t>Other, including unsorted waste and scrap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4801.00.00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Newsprint, in rolls or sheets.</w:t>
            </w:r>
          </w:p>
        </w:tc>
      </w:tr>
    </w:tbl>
    <w:p>
      <w:pPr>
        <w:pStyle w:val="Normal"/>
      </w:pPr>
      <w:r>
        <w:t>4802.10.00 Hand-made paper and paperboard 4802.20.00 Paper and paperboard of a kind used as a base for photo sensitive, heat-sensitive or electro-sensitive paper or paperboard 4802.40.00 Wallpaper base 4802.54.00 Weighing less than 40 g/m² 4802.55.00 Weighing 40 g/m² or more but not more than 150 g/m², in rolls 4802.56.00 Weighing 40 g/m² or more but not more than 150 g/m², in sheets with one side not exceeding 435 mm and the other side not exceeding 297 mm in the unfolded state 4802.57.00 Other, weighing 40 g/m² or more but not more than 150 g/m² 4802.58.00 Weighing more than 150 g/m² 4802.61.00 In rolls 4802.62.00 In sheets with one side not exceeding 435 mm and the other side not exceeding 297 mm in the unfolded state 4802.69.00 Other 4803.00.00 Toilet or facial tissue stock, towel or napkin stock and similar paper of a kind used for household or sanitary purposes, cellulose wadding and webs of cellulose fibres, whether or not creped, crinkled, embossed, perforated, surface-coloured, surface- decorated or printed, in rolls or sheets.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4804.11.00</w:t>
            </w:r>
          </w:p>
        </w:tc>
        <w:tc>
          <w:tcPr>
            <w:tcW w:w="4679" w:type="dxa"/>
            <w:tcMar>
              <w:top w:w="70" w:type="dxa"/>
              <w:start w:w="110" w:type="dxa"/>
              <w:bottom w:w="70" w:type="dxa"/>
              <w:end w:w="110" w:type="dxa"/>
            </w:tcMar>
            <w:vAlign w:val="center"/>
          </w:tcPr>
          <w:p>
            <w:pPr>
              <w:pStyle w:val="TableText"/>
              <w:jc w:val="left"/>
            </w:pPr>
            <w:r>
              <w:rPr>
                <w:lang w:val="en-US" w:eastAsia="en-US" w:bidi="ar-SA"/>
              </w:rPr>
              <w:t>Unbleached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4804.19.00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4804.21.00</w:t>
            </w:r>
          </w:p>
        </w:tc>
        <w:tc>
          <w:tcPr>
            <w:tcW w:w="4679" w:type="dxa"/>
            <w:tcMar>
              <w:top w:w="70" w:type="dxa"/>
              <w:start w:w="110" w:type="dxa"/>
              <w:bottom w:w="70" w:type="dxa"/>
              <w:end w:w="110" w:type="dxa"/>
            </w:tcMar>
            <w:vAlign w:val="center"/>
          </w:tcPr>
          <w:p>
            <w:pPr>
              <w:pStyle w:val="TableText"/>
              <w:jc w:val="left"/>
            </w:pPr>
            <w:r>
              <w:rPr>
                <w:lang w:val="en-US" w:eastAsia="en-US" w:bidi="ar-SA"/>
              </w:rPr>
              <w:t>Unbleached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4804.29.00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4804.31.00</w:t>
            </w:r>
          </w:p>
        </w:tc>
        <w:tc>
          <w:tcPr>
            <w:tcW w:w="4679" w:type="dxa"/>
            <w:tcMar>
              <w:top w:w="70" w:type="dxa"/>
              <w:start w:w="110" w:type="dxa"/>
              <w:bottom w:w="70" w:type="dxa"/>
              <w:end w:w="110" w:type="dxa"/>
            </w:tcMar>
            <w:vAlign w:val="center"/>
          </w:tcPr>
          <w:p>
            <w:pPr>
              <w:pStyle w:val="TableText"/>
              <w:jc w:val="left"/>
            </w:pPr>
            <w:r>
              <w:rPr>
                <w:lang w:val="en-US" w:eastAsia="en-US" w:bidi="ar-SA"/>
              </w:rPr>
              <w:t>Unbleached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4804.39.00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4804.41.00</w:t>
            </w:r>
          </w:p>
        </w:tc>
        <w:tc>
          <w:tcPr>
            <w:tcW w:w="4679" w:type="dxa"/>
            <w:tcMar>
              <w:top w:w="70" w:type="dxa"/>
              <w:start w:w="110" w:type="dxa"/>
              <w:bottom w:w="70" w:type="dxa"/>
              <w:end w:w="110" w:type="dxa"/>
            </w:tcMar>
            <w:vAlign w:val="center"/>
          </w:tcPr>
          <w:p>
            <w:pPr>
              <w:pStyle w:val="TableText"/>
              <w:jc w:val="left"/>
            </w:pPr>
            <w:r>
              <w:rPr>
                <w:lang w:val="en-US" w:eastAsia="en-US" w:bidi="ar-SA"/>
              </w:rPr>
              <w:t>Unbleached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4804.42.00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Bleached uniformly throughout the mass and of which more than 95% by weight of the total fibre content consists of wood fibres obtained by a chemical process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4804.49.00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4804.51.00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Unbleached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4804.52.00</w:t>
            </w:r>
          </w:p>
        </w:tc>
        <w:tc>
          <w:tcPr>
            <w:tcW w:w="4679" w:type="dxa"/>
            <w:tcMar>
              <w:top w:w="70" w:type="dxa"/>
              <w:start w:w="110" w:type="dxa"/>
              <w:bottom w:w="70" w:type="dxa"/>
              <w:end w:w="110" w:type="dxa"/>
            </w:tcMar>
            <w:vAlign w:val="center"/>
          </w:tcPr>
          <w:p>
            <w:pPr>
              <w:pStyle w:val="TableText"/>
              <w:jc w:val="left"/>
            </w:pPr>
            <w:r>
              <w:rPr>
                <w:lang w:val="en-US" w:eastAsia="en-US" w:bidi="ar-SA"/>
              </w:rPr>
              <w:t>Bleached uniformly throughout the mass and of which more than 95% by weight of the total fibre content consists of wood fibres obtained by a chemical process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4804.59.00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4805.11.00</w:t>
            </w:r>
          </w:p>
        </w:tc>
        <w:tc>
          <w:tcPr>
            <w:tcW w:w="4679" w:type="dxa"/>
            <w:tcMar>
              <w:top w:w="70" w:type="dxa"/>
              <w:start w:w="110" w:type="dxa"/>
              <w:bottom w:w="70" w:type="dxa"/>
              <w:end w:w="110" w:type="dxa"/>
            </w:tcMar>
            <w:vAlign w:val="center"/>
          </w:tcPr>
          <w:p>
            <w:pPr>
              <w:pStyle w:val="TableText"/>
              <w:jc w:val="left"/>
            </w:pPr>
            <w:r>
              <w:rPr>
                <w:lang w:val="en-US" w:eastAsia="en-US" w:bidi="ar-SA"/>
              </w:rPr>
              <w:t>Semi-chemical fluting paper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Straw fluting paper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4805.19.00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4805.24.00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Weighing 150 g/m² or less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4805.25.00</w:t>
            </w:r>
          </w:p>
        </w:tc>
        <w:tc>
          <w:tcPr>
            <w:tcW w:w="4679" w:type="dxa"/>
            <w:tcMar>
              <w:top w:w="70" w:type="dxa"/>
              <w:start w:w="110" w:type="dxa"/>
              <w:bottom w:w="70" w:type="dxa"/>
              <w:end w:w="110" w:type="dxa"/>
            </w:tcMar>
            <w:vAlign w:val="center"/>
          </w:tcPr>
          <w:p>
            <w:pPr>
              <w:pStyle w:val="TableText"/>
              <w:jc w:val="left"/>
            </w:pPr>
            <w:r>
              <w:rPr>
                <w:lang w:val="en-US" w:eastAsia="en-US" w:bidi="ar-SA"/>
              </w:rPr>
              <w:t>Weighing more than 150 g/m²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Sulphite wrapping paper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4805.40.00</w:t>
            </w:r>
          </w:p>
        </w:tc>
        <w:tc>
          <w:tcPr>
            <w:tcW w:w="4679" w:type="dxa"/>
            <w:tcMar>
              <w:top w:w="70" w:type="dxa"/>
              <w:start w:w="110" w:type="dxa"/>
              <w:bottom w:w="70" w:type="dxa"/>
              <w:end w:w="110" w:type="dxa"/>
            </w:tcMar>
            <w:vAlign w:val="center"/>
          </w:tcPr>
          <w:p>
            <w:pPr>
              <w:pStyle w:val="TableText"/>
              <w:jc w:val="left"/>
            </w:pPr>
            <w:r>
              <w:rPr>
                <w:lang w:val="en-US" w:eastAsia="en-US" w:bidi="ar-SA"/>
              </w:rPr>
              <w:t>Filter paper and paperboard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4805.50.00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Felt paper and paperboard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4805.91.00</w:t>
            </w:r>
          </w:p>
        </w:tc>
        <w:tc>
          <w:tcPr>
            <w:tcW w:w="4679" w:type="dxa"/>
            <w:tcMar>
              <w:top w:w="70" w:type="dxa"/>
              <w:start w:w="110" w:type="dxa"/>
              <w:bottom w:w="70" w:type="dxa"/>
              <w:end w:w="110" w:type="dxa"/>
            </w:tcMar>
            <w:vAlign w:val="center"/>
          </w:tcPr>
          <w:p>
            <w:pPr>
              <w:pStyle w:val="TableText"/>
              <w:jc w:val="left"/>
            </w:pPr>
            <w:r>
              <w:rPr>
                <w:lang w:val="en-US" w:eastAsia="en-US" w:bidi="ar-SA"/>
              </w:rPr>
              <w:t>Weighing 150 g/m² or less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4805.92.00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Weighing more than 150 g/m² but less than 225 g/m²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4805.93.00</w:t>
            </w:r>
          </w:p>
        </w:tc>
        <w:tc>
          <w:tcPr>
            <w:tcW w:w="4679" w:type="dxa"/>
            <w:tcMar>
              <w:top w:w="70" w:type="dxa"/>
              <w:start w:w="110" w:type="dxa"/>
              <w:bottom w:w="70" w:type="dxa"/>
              <w:end w:w="110" w:type="dxa"/>
            </w:tcMar>
            <w:vAlign w:val="center"/>
          </w:tcPr>
          <w:p>
            <w:pPr>
              <w:pStyle w:val="TableText"/>
              <w:jc w:val="left"/>
            </w:pPr>
            <w:r>
              <w:rPr>
                <w:lang w:val="en-US" w:eastAsia="en-US" w:bidi="ar-SA"/>
              </w:rPr>
              <w:t>Weighing 225 g/m² or more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Vegetable parchment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4806.20.00</w:t>
            </w:r>
          </w:p>
        </w:tc>
        <w:tc>
          <w:tcPr>
            <w:tcW w:w="4679" w:type="dxa"/>
            <w:tcMar>
              <w:top w:w="70" w:type="dxa"/>
              <w:start w:w="110" w:type="dxa"/>
              <w:bottom w:w="70" w:type="dxa"/>
              <w:end w:w="110" w:type="dxa"/>
            </w:tcMar>
            <w:vAlign w:val="center"/>
          </w:tcPr>
          <w:p>
            <w:pPr>
              <w:pStyle w:val="TableText"/>
              <w:jc w:val="left"/>
            </w:pPr>
            <w:r>
              <w:rPr>
                <w:lang w:val="en-US" w:eastAsia="en-US" w:bidi="ar-SA"/>
              </w:rPr>
              <w:t>Greaseproof papers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4806.30.00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Tracing papers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4806.40.00</w:t>
            </w:r>
          </w:p>
        </w:tc>
        <w:tc>
          <w:tcPr>
            <w:tcW w:w="4679" w:type="dxa"/>
            <w:tcMar>
              <w:top w:w="70" w:type="dxa"/>
              <w:start w:w="110" w:type="dxa"/>
              <w:bottom w:w="70" w:type="dxa"/>
              <w:end w:w="110" w:type="dxa"/>
            </w:tcMar>
            <w:vAlign w:val="center"/>
          </w:tcPr>
          <w:p>
            <w:pPr>
              <w:pStyle w:val="TableText"/>
              <w:jc w:val="left"/>
            </w:pPr>
            <w:r>
              <w:rPr>
                <w:lang w:val="en-US" w:eastAsia="en-US" w:bidi="ar-SA"/>
              </w:rPr>
              <w:t>Glassine and other glazed transparent or translucent papers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4807.00.00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Composite paper and paperboard (made by sticking flat layers of paper or paperboard together with an adhesive), not surface- coated or impregnated, whether or not internally reinforced, in rolls or sheets.</w:t>
            </w:r>
          </w:p>
        </w:tc>
      </w:tr>
    </w:tbl>
    <w:p>
      <w:pPr>
        <w:pStyle w:val="Normal"/>
      </w:pPr>
      <w:r>
        <w:t>4808.10.00 Corrugated paper and paperboard, whether or not perforated 4808.40.00 Kraft paper, creped or crinkled, whether or not embossed or perforated 4808.90.00 Other 4809.20.00 Self-copy paper 4809.90.00 Other 4810.13.00 In rolls 4810.14.00 In sheets with one side not exceeding 435 mm and the other side not exceeding 297 mm in the unfolded state 4810.19.00 Other 4810.22.00 Light-weight coated paper 4810.29.00 Other 4810.31.00 Bleached uniformly throughout the mass and of which more than 95% by weight of the total fibre content consists of wood fibres obtained by a chemical process, and weighing 150 g/m² or less 4810.32.00 Bleached uniformly throughout the mass and of which more than 95% by weight of the total fibre content consists of wood fibres obtained by a chemical process, and weighing more than 150 g/m² 4810.39.00 Other 4810.92.00 Multi-ply 4810.99.00 Other 4811.10.00 Tarred, bituminized or asphalted paper and paperboard 4811.41.00 Self-adhesive 4811.49.00 Other 4811.51.00 Bleached, weighing more than 150 g/m² 4811.59.00 Other 4811.60.00 Paper and paperboard, coated, impregnated or covered with wax, paraffin wax, stearin, oil or glycerol 4811.90.00 Other paper, paperboard, cellulose wadding and webs of cellulose fibres 4812.00.00 Filter blocks, slabs and plates, of paper pulp.</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4813.10.00</w:t>
            </w:r>
          </w:p>
        </w:tc>
        <w:tc>
          <w:tcPr>
            <w:tcW w:w="4679" w:type="dxa"/>
            <w:tcMar>
              <w:top w:w="70" w:type="dxa"/>
              <w:start w:w="110" w:type="dxa"/>
              <w:bottom w:w="70" w:type="dxa"/>
              <w:end w:w="110" w:type="dxa"/>
            </w:tcMar>
            <w:vAlign w:val="center"/>
          </w:tcPr>
          <w:p>
            <w:pPr>
              <w:pStyle w:val="TableText"/>
              <w:jc w:val="left"/>
            </w:pPr>
            <w:r>
              <w:rPr>
                <w:lang w:val="en-US" w:eastAsia="en-US" w:bidi="ar-SA"/>
              </w:rPr>
              <w:t>In the form of booklets or tubes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4813.20.00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rolls of a width not exceeding 5 cm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4813.90.00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Wallpaper and similar wall coverings, consisting of paper coated or covered, on the face side, with a grained, embossed, coloured, design-printed or otherwise decorated layer of plastics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Self-copy paper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4816.90.00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Envelopes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4817.20.00</w:t>
            </w:r>
          </w:p>
        </w:tc>
        <w:tc>
          <w:tcPr>
            <w:tcW w:w="4679" w:type="dxa"/>
            <w:tcMar>
              <w:top w:w="70" w:type="dxa"/>
              <w:start w:w="110" w:type="dxa"/>
              <w:bottom w:w="70" w:type="dxa"/>
              <w:end w:w="110" w:type="dxa"/>
            </w:tcMar>
            <w:vAlign w:val="center"/>
          </w:tcPr>
          <w:p>
            <w:pPr>
              <w:pStyle w:val="TableText"/>
              <w:jc w:val="left"/>
            </w:pPr>
            <w:r>
              <w:rPr>
                <w:lang w:val="en-US" w:eastAsia="en-US" w:bidi="ar-SA"/>
              </w:rPr>
              <w:t>Letter cards, plain postcards and correspondence cards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4817.30.00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Boxes, pouches, wallets and writing compendiums, of paper or paperboard, containing an assortment of paper stationery</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4818.10.00</w:t>
            </w:r>
          </w:p>
        </w:tc>
        <w:tc>
          <w:tcPr>
            <w:tcW w:w="4679" w:type="dxa"/>
            <w:tcMar>
              <w:top w:w="70" w:type="dxa"/>
              <w:start w:w="110" w:type="dxa"/>
              <w:bottom w:w="70" w:type="dxa"/>
              <w:end w:w="110" w:type="dxa"/>
            </w:tcMar>
            <w:vAlign w:val="center"/>
          </w:tcPr>
          <w:p>
            <w:pPr>
              <w:pStyle w:val="TableText"/>
              <w:jc w:val="left"/>
            </w:pPr>
            <w:r>
              <w:rPr>
                <w:lang w:val="en-US" w:eastAsia="en-US" w:bidi="ar-SA"/>
              </w:rPr>
              <w:t>Toilet paper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4818.20.00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Handkerchiefs, cleansing or facial tissues and towels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4818.30.00</w:t>
            </w:r>
          </w:p>
        </w:tc>
        <w:tc>
          <w:tcPr>
            <w:tcW w:w="4679" w:type="dxa"/>
            <w:tcMar>
              <w:top w:w="70" w:type="dxa"/>
              <w:start w:w="110" w:type="dxa"/>
              <w:bottom w:w="70" w:type="dxa"/>
              <w:end w:w="110" w:type="dxa"/>
            </w:tcMar>
            <w:vAlign w:val="center"/>
          </w:tcPr>
          <w:p>
            <w:pPr>
              <w:pStyle w:val="TableText"/>
              <w:jc w:val="left"/>
            </w:pPr>
            <w:r>
              <w:rPr>
                <w:lang w:val="en-US" w:eastAsia="en-US" w:bidi="ar-SA"/>
              </w:rPr>
              <w:t>Tablecloths and serviettes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4818.50.00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Articles of apparel and clothing accessories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4818.90.00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Cartons, boxes and cases, of corrugated paper or paperboard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4819.20.00</w:t>
            </w:r>
          </w:p>
        </w:tc>
        <w:tc>
          <w:tcPr>
            <w:tcW w:w="4679" w:type="dxa"/>
            <w:tcMar>
              <w:top w:w="70" w:type="dxa"/>
              <w:start w:w="110" w:type="dxa"/>
              <w:bottom w:w="70" w:type="dxa"/>
              <w:end w:w="110" w:type="dxa"/>
            </w:tcMar>
            <w:vAlign w:val="center"/>
          </w:tcPr>
          <w:p>
            <w:pPr>
              <w:pStyle w:val="TableText"/>
              <w:jc w:val="left"/>
            </w:pPr>
            <w:r>
              <w:rPr>
                <w:lang w:val="en-US" w:eastAsia="en-US" w:bidi="ar-SA"/>
              </w:rPr>
              <w:t>Folding cartons, boxes and cases, of non-corrugated paper or paperboard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4819.30.00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Sacks and bags, having a base of a width of 40 cm or more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4819.40.00</w:t>
            </w:r>
          </w:p>
        </w:tc>
        <w:tc>
          <w:tcPr>
            <w:tcW w:w="4679" w:type="dxa"/>
            <w:tcMar>
              <w:top w:w="70" w:type="dxa"/>
              <w:start w:w="110" w:type="dxa"/>
              <w:bottom w:w="70" w:type="dxa"/>
              <w:end w:w="110" w:type="dxa"/>
            </w:tcMar>
            <w:vAlign w:val="center"/>
          </w:tcPr>
          <w:p>
            <w:pPr>
              <w:pStyle w:val="TableText"/>
              <w:jc w:val="left"/>
            </w:pPr>
            <w:r>
              <w:rPr>
                <w:lang w:val="en-US" w:eastAsia="en-US" w:bidi="ar-SA"/>
              </w:rPr>
              <w:t>Other sacks and bags, including cones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4819.50.00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packing containers, including record sleeves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4819.60.00</w:t>
            </w:r>
          </w:p>
        </w:tc>
        <w:tc>
          <w:tcPr>
            <w:tcW w:w="4679" w:type="dxa"/>
            <w:tcMar>
              <w:top w:w="70" w:type="dxa"/>
              <w:start w:w="110" w:type="dxa"/>
              <w:bottom w:w="70" w:type="dxa"/>
              <w:end w:w="110" w:type="dxa"/>
            </w:tcMar>
            <w:vAlign w:val="center"/>
          </w:tcPr>
          <w:p>
            <w:pPr>
              <w:pStyle w:val="TableText"/>
              <w:jc w:val="left"/>
            </w:pPr>
            <w:r>
              <w:rPr>
                <w:lang w:val="en-US" w:eastAsia="en-US" w:bidi="ar-SA"/>
              </w:rPr>
              <w:t>Box files, letter trays, storage boxes and similar articles, of a kind used in offices, shops or the like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4820.10.00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Registers, account books, note books, order books, receipt books, letter pads, memorandum pads, diaries and similar articles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4820.20.00</w:t>
            </w:r>
          </w:p>
        </w:tc>
        <w:tc>
          <w:tcPr>
            <w:tcW w:w="4679" w:type="dxa"/>
            <w:tcMar>
              <w:top w:w="70" w:type="dxa"/>
              <w:start w:w="110" w:type="dxa"/>
              <w:bottom w:w="70" w:type="dxa"/>
              <w:end w:w="110" w:type="dxa"/>
            </w:tcMar>
            <w:vAlign w:val="center"/>
          </w:tcPr>
          <w:p>
            <w:pPr>
              <w:pStyle w:val="TableText"/>
              <w:jc w:val="left"/>
            </w:pPr>
            <w:r>
              <w:rPr>
                <w:lang w:val="en-US" w:eastAsia="en-US" w:bidi="ar-SA"/>
              </w:rPr>
              <w:t>Exercise books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4820.30.00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Binders (other than book covers), folders and file covers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4820.40.00</w:t>
            </w:r>
          </w:p>
        </w:tc>
        <w:tc>
          <w:tcPr>
            <w:tcW w:w="4679" w:type="dxa"/>
            <w:tcMar>
              <w:top w:w="70" w:type="dxa"/>
              <w:start w:w="110" w:type="dxa"/>
              <w:bottom w:w="70" w:type="dxa"/>
              <w:end w:w="110" w:type="dxa"/>
            </w:tcMar>
            <w:vAlign w:val="center"/>
          </w:tcPr>
          <w:p>
            <w:pPr>
              <w:pStyle w:val="TableText"/>
              <w:jc w:val="left"/>
            </w:pPr>
            <w:r>
              <w:rPr>
                <w:lang w:val="en-US" w:eastAsia="en-US" w:bidi="ar-SA"/>
              </w:rPr>
              <w:t>Manifold business</w:t>
            </w:r>
          </w:p>
        </w:tc>
      </w:tr>
    </w:tbl>
    <w:p>
      <w:pPr>
        <w:pStyle w:val="Normal"/>
      </w:pPr>
      <w:r>
        <w:t>forms and interleaved carbon sets 4820.50.00 Albums for samples or for collections 4820.90.00 Other 4821.10.00 Printed 4821.90.00 Other 4822.10.00 Of a kind used for winding textile yarn 4822.90.00 Other 4823.20.00 Filter paper and paperboard 4823.40.00 Rolls, sheets and dials, printed for self-recording apparatus 4823.61.00 Of bamboo 4823.69.00 Other 4823.70.00 Moulded or pressed articles of paper pulp 4823.90.00 Other 4901.10.00 In single sheets, whether or not folded 4901.91.00 Dictionaries, encyclopaedias and serial instalments thereof 4901.99.00 Other 4902.10.00 Appearing at least four times a week 4902.90.00 Other 4903.00.00 Children’s picture, drawing or colouring books. 4904.00.00 Music, printed or in manuscript, whether or not bound or illustrated. 4905.10.00 Globes 4905.91.00 In book form 4905.99.00 Other 4906.00.00 Plans and drawings for architectural, engineering, industrial, commercial, topographical or similar purposes, being originals drawn by hand; hand-written texts; photographic reproductions on sensitized paper and carbon copies of the foregoing. 4907.00.00 Unused postage, revenue or similar stamps of current or new issue in the country in which they have, or will have, a recognized face value; stamp-impressed paper; banknotes; cheque forms; stock, share or bond certificates and similar documents of title.</w:t>
      </w:r>
    </w:p>
    <w:p>
      <w:pPr>
        <w:pStyle w:val="Normal"/>
      </w:pPr>
      <w:r>
        <w:t>4908.10.00 Transfers (decalcomanias), vitrifiable 4908.90.00 Other 4909.00.00 Printed or illustrated postcards; printed cards bearing personal greetings, messages or announcements, whether or not illustrated, with or without envelopes or trimmings. 4910.00.00 Calendars of any kind, printed, including calendar blocks. 4911.10.00 Trade advertising material, commercial catalogues and the like 4911.91.00 Pictures, designs and photographs 4911.99.00 Other 5001.00.00 Silk-worm cocoons suitable for reeling. 5002.00.00 Raw silk (not thrown). 5003.00.00 Silk waste (including cocoons unsuitable for reeling, yarn waste and garnetted stock). 5004.00.00 Silk yarn (other than yarn spun from silk waste), not put up for retail sale. 5005.00.00 Yarn spun from silk waste, not put up for retail sale. 5006.00.00 Silk yarn and yarn spun from silk waste, put up for retail sale; silk-worm gut.</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5007.10.00</w:t>
            </w:r>
          </w:p>
        </w:tc>
        <w:tc>
          <w:tcPr>
            <w:tcW w:w="4679" w:type="dxa"/>
            <w:tcMar>
              <w:top w:w="70" w:type="dxa"/>
              <w:start w:w="110" w:type="dxa"/>
              <w:bottom w:w="70" w:type="dxa"/>
              <w:end w:w="110" w:type="dxa"/>
            </w:tcMar>
            <w:vAlign w:val="center"/>
          </w:tcPr>
          <w:p>
            <w:pPr>
              <w:pStyle w:val="TableText"/>
              <w:jc w:val="left"/>
            </w:pPr>
            <w:r>
              <w:rPr>
                <w:lang w:val="en-US" w:eastAsia="en-US" w:bidi="ar-SA"/>
              </w:rPr>
              <w:t>Fabrics of noil silk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5007.20.00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fabrics, containing 85% or more by weight of silk or of silk waste other than noil silk</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5007.90.00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5101.11.00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Shorn wool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5101.19.00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5101.21.00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Shorn wool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5101.29.00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5101.30.00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Carbonized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5102.11.00</w:t>
            </w:r>
          </w:p>
        </w:tc>
        <w:tc>
          <w:tcPr>
            <w:tcW w:w="4679" w:type="dxa"/>
            <w:tcMar>
              <w:top w:w="70" w:type="dxa"/>
              <w:start w:w="110" w:type="dxa"/>
              <w:bottom w:w="70" w:type="dxa"/>
              <w:end w:w="110" w:type="dxa"/>
            </w:tcMar>
            <w:vAlign w:val="center"/>
          </w:tcPr>
          <w:p>
            <w:pPr>
              <w:pStyle w:val="TableText"/>
              <w:jc w:val="left"/>
            </w:pPr>
            <w:r>
              <w:rPr>
                <w:lang w:val="en-US" w:eastAsia="en-US" w:bidi="ar-SA"/>
              </w:rPr>
              <w:t>Of Kashmir (cashmere) goats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5102.19.00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5102.20.00</w:t>
            </w:r>
          </w:p>
        </w:tc>
        <w:tc>
          <w:tcPr>
            <w:tcW w:w="4679" w:type="dxa"/>
            <w:tcMar>
              <w:top w:w="70" w:type="dxa"/>
              <w:start w:w="110" w:type="dxa"/>
              <w:bottom w:w="70" w:type="dxa"/>
              <w:end w:w="110" w:type="dxa"/>
            </w:tcMar>
            <w:vAlign w:val="center"/>
          </w:tcPr>
          <w:p>
            <w:pPr>
              <w:pStyle w:val="TableText"/>
              <w:jc w:val="left"/>
            </w:pPr>
            <w:r>
              <w:rPr>
                <w:lang w:val="en-US" w:eastAsia="en-US" w:bidi="ar-SA"/>
              </w:rPr>
              <w:t>Coarse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5103.10.00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Noils of wool or of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5103.20.00</w:t>
            </w:r>
          </w:p>
        </w:tc>
        <w:tc>
          <w:tcPr>
            <w:tcW w:w="4679" w:type="dxa"/>
            <w:tcMar>
              <w:top w:w="70" w:type="dxa"/>
              <w:start w:w="110" w:type="dxa"/>
              <w:bottom w:w="70" w:type="dxa"/>
              <w:end w:w="110" w:type="dxa"/>
            </w:tcMar>
            <w:vAlign w:val="center"/>
          </w:tcPr>
          <w:p>
            <w:pPr>
              <w:pStyle w:val="TableText"/>
              <w:jc w:val="left"/>
            </w:pPr>
            <w:r>
              <w:rPr>
                <w:lang w:val="en-US" w:eastAsia="en-US" w:bidi="ar-SA"/>
              </w:rPr>
              <w:t>Other waste of wool or of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5103.30.00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of coarse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5104.00.00</w:t>
            </w:r>
          </w:p>
        </w:tc>
        <w:tc>
          <w:tcPr>
            <w:tcW w:w="4679" w:type="dxa"/>
            <w:tcMar>
              <w:top w:w="70" w:type="dxa"/>
              <w:start w:w="110" w:type="dxa"/>
              <w:bottom w:w="70" w:type="dxa"/>
              <w:end w:w="110" w:type="dxa"/>
            </w:tcMar>
            <w:vAlign w:val="center"/>
          </w:tcPr>
          <w:p>
            <w:pPr>
              <w:pStyle w:val="TableText"/>
              <w:jc w:val="left"/>
            </w:pPr>
            <w:r>
              <w:rPr>
                <w:lang w:val="en-US" w:eastAsia="en-US" w:bidi="ar-SA"/>
              </w:rPr>
              <w:t>Garnetted stock of wool or of fine or coarse animal hair.</w:t>
            </w:r>
          </w:p>
        </w:tc>
      </w:tr>
    </w:tbl>
    <w:p>
      <w:pPr>
        <w:pStyle w:val="Normal"/>
      </w:pPr>
      <w:r>
        <w:t>5105.10.00 Carded wool 5105.21.00 Combed wool in fragments 5105.29.00 Other 5105.31.00 Of Kashmir (cashmere) goats 5105.39.00 Other 5105.40.00 Coarse animal hair, carded or combed 5106.10.10 For use in the manufacture of berets and other soft felt headgear 5106.10.90 Other 5106.20.00 Containing less than 85% by weight of wool 5107.10.10 Unbleached or bleached, for use in the manufacture of woven fabrics 5107.10.90 Other 5107.20.10 Solely of combed wool and polyesters, not exceeding 65% by weight of wool, for use in the manufacture of woven fabrics; Unbleached or bleached, for use in the manufacture of woven fabrics 5107.20.90 Other 5108.10.00 Carded 5108.20.00 Combed 5109.10.00 Containing 85% or more by weight of wool or of fine animal hair 5109.90.00 Other 5110.00.00 Yarn of coarse animal hair or of horsehair (including gimped horsehair yarn), whether or not put up for retail sale.</w:t>
      </w:r>
    </w:p>
    <w:p>
      <w:pPr>
        <w:pStyle w:val="Normal"/>
      </w:pPr>
      <w:r>
        <w:t>5111.11.10 For use in the manufacture of headbands (hat sweats), linings (including tips and sides), peaks and stiffening bands, for hats or caps 5111.11.40 For use in the manufacture of apparel 5111.11.50 Other, in the grey or unfinished condition, of a weight not exceeding 135 g/m² 5111.11.90 Other 5111.19.00 Other 5111.20.00 Other, mixed mainly or solely with man-made filaments 5111.30.00 Other, mixed mainly or solely with man-made staple fibres 5111.90.00 Other 5112.11.00 Of a weight not exceeding 200 g/m² 5112.19.00 Other 5112.20.00 Other, mixed mainly or solely with man-made filaments 5112.30.00 Other, mixed mainly or solely with man-made staple fibres 5112.90.00 Other 5113.00.00 Woven fabrics of coarse animal hair or of horsehair. 5201.00.00 Cotton, not carded or combed. 5202.10.00 Yarn waste (including thread waste) 5202.91.00 Garnetted stock 5202.99.00 Other 5203.00.00 Cotton, carded or combed.</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5204.11.10</w:t>
            </w:r>
          </w:p>
        </w:tc>
        <w:tc>
          <w:tcPr>
            <w:tcW w:w="4679" w:type="dxa"/>
            <w:tcMar>
              <w:top w:w="70" w:type="dxa"/>
              <w:start w:w="110" w:type="dxa"/>
              <w:bottom w:w="70" w:type="dxa"/>
              <w:end w:w="110" w:type="dxa"/>
            </w:tcMar>
            <w:vAlign w:val="center"/>
          </w:tcPr>
          <w:p>
            <w:pPr>
              <w:pStyle w:val="TableText"/>
              <w:jc w:val="left"/>
            </w:pPr>
            <w:r>
              <w:rPr>
                <w:lang w:val="en-US" w:eastAsia="en-US" w:bidi="ar-SA"/>
              </w:rPr>
              <w:t>Solely of cotton, for use in the manufacture of cotton sewing thread or Schiffli embroidery thread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5204.11.90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5204.19.00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Put up for retail sale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5205.11.10</w:t>
            </w:r>
          </w:p>
        </w:tc>
        <w:tc>
          <w:tcPr>
            <w:tcW w:w="4679" w:type="dxa"/>
            <w:tcMar>
              <w:top w:w="70" w:type="dxa"/>
              <w:start w:w="110" w:type="dxa"/>
              <w:bottom w:w="70" w:type="dxa"/>
              <w:end w:w="110" w:type="dxa"/>
            </w:tcMar>
            <w:vAlign w:val="center"/>
          </w:tcPr>
          <w:p>
            <w:pPr>
              <w:pStyle w:val="TableText"/>
              <w:jc w:val="left"/>
            </w:pPr>
            <w:r>
              <w:rPr>
                <w:lang w:val="en-US" w:eastAsia="en-US" w:bidi="ar-SA"/>
              </w:rPr>
              <w:t>Solely of cotton, for use in the manufacture of crochet, knitting, darning or embroidery cottons to be put up for retail sale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5205.11.20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cotton, for use in the manufacture of cotton sewing thread or Schiffli embroidery thread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5205.11.90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5205.12.10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cotton, for use in the manufacture of crochet, knitting, darning or embroidery cottons to be put up for retail sale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5205.12.90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5205.13.10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cotton, for use in the manufacture of crochet, knitting, darning or embroidery cottons to be put up for retail sale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5205.13.90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5205.14.10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cotton, for use in the manufacture of crochet, knitting, darning or embroidery cottons to be put up for retail sale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5205.14.20</w:t>
            </w:r>
          </w:p>
        </w:tc>
        <w:tc>
          <w:tcPr>
            <w:tcW w:w="4679" w:type="dxa"/>
            <w:tcMar>
              <w:top w:w="70" w:type="dxa"/>
              <w:start w:w="110" w:type="dxa"/>
              <w:bottom w:w="70" w:type="dxa"/>
              <w:end w:w="110" w:type="dxa"/>
            </w:tcMar>
            <w:vAlign w:val="center"/>
          </w:tcPr>
          <w:p>
            <w:pPr>
              <w:pStyle w:val="TableText"/>
              <w:jc w:val="left"/>
            </w:pPr>
            <w:r>
              <w:rPr>
                <w:lang w:val="en-US" w:eastAsia="en-US" w:bidi="ar-SA"/>
              </w:rPr>
              <w:t>Solely of white or off-white cotton or solely of white or off-white cotton and white polyester staple fibres, ring-spun (but not including mock twist or heather yarns), unbleached or bleached, measuring 190 decitex or less (52.63 metric number or more), for use in the manufacture of knitted fabrics or knitted garments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5205.14.30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cotton, containing 12% or less but not less than 1% of dyed cotton fibres, ring-spun, measuring 190 decitex or less, for use in the manufacture of knitted apparel or knitted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5205.14.90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5205.15.00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Measuring less than 125 decitex (exceeding 80</w:t>
            </w:r>
          </w:p>
        </w:tc>
      </w:tr>
    </w:tbl>
    <w:p>
      <w:pPr>
        <w:pStyle w:val="Normal"/>
      </w:pPr>
      <w:r>
        <w:t>metric number) 5205.21.10 Solely of cotton, for use in the manufacture of crochet, knitting, darning or embroidery cottons to be put up for retail sale 5205.21.90 Other 5205.22.10 Solely of cotton, for use in the manufacture of crochet, knitting, darning or embroidery cottons to be put up for retail sale 5205.22.20 Solely of cotton, for use in the manufacture of cotton sewing thread or Schiffli embroidery thread;</w:t>
      </w:r>
    </w:p>
    <w:p>
      <w:pPr>
        <w:pStyle w:val="Normal"/>
      </w:pPr>
      <w:r>
        <w:t>Solely of cotton, having an average staple fibre length greater than 3 cm, for use in the manufacture of towels 5205.22.90 Other 5205.23.10 Solely of cotton, for use in the manufacture of crochet, knitting, darning or embroidery cottons to be put up for retail sale 5205.23.90 Other 5205.24.10 Solely of cotton, for use in the manufacture of crochet, knitting, darning or embroidery cottons to be put up for retail sale 5205.24.20 Solely of white or off-white cotton or solely of white or off-white cotton and white polyester staple fibres, ring-spun (but not including mock twist or heather yarns), unbleached or bleached, measuring 190 decitex or less (52.63 metric number or more), for use in the manufacture of knitted fabrics or knitted garments 5205.24.30 Solely of cotton, not put up for retail sale, ring-spun, unbleached, measuring less than 166 decitex, for use in the manufacture of woven fabrics 5205.24.40 Solely of cotton, containing 12% or less but not less than 1% of dyed cotton fibres, ring-spun, measuring 190 decitex or less, for use in the manufacture of</w:t>
      </w:r>
    </w:p>
    <w:p>
      <w:pPr>
        <w:pStyle w:val="Normal"/>
      </w:pPr>
      <w:r>
        <w:t>knitted apparel or knitted fabrics 5205.24.90 Other 5205.26.00 Measuring less than 125 decitex but not less than 106.38 decitex (exceeding 80 metric number but not exceeding 94 metric number) 5205.27.00 Measuring less than 106.38 decitex but not less than 83.33 decitex (exceeding 94 metric number but not exceeding 120 metric number) 5205.28.00 Measuring less than 83.33 decitex (exceeding 120 metric number) 5205.31.10 Solely of cotton, for use in the manufacture of crochet, knitting, darning or embroidery cottons to be put up for retail sale, or for use in the manufacture of cotton sewing thread or Schiffli embroidery thread 5205.31.90 Other 5205.32.10 Solely of cotton, for use in the manufacture of crochet, knitting, darning or embroidery cottons to be put up for retail sale, or for use in the manufacture of cotton sewing thread or Schiffli embroidery thread 5205.32.90 Other 5205.33.00 Measuring per single yarn less than 232.56 decitex but not less than 192.31 decitex (exceeding 43 metric number but not exceeding 52 metric number per single yarn)</w:t>
      </w:r>
    </w:p>
    <w:p>
      <w:pPr>
        <w:pStyle w:val="Normal"/>
      </w:pPr>
      <w:r>
        <w:t>5205.34.00 Measuring per single yarn less than 192.31 decitex but not less than 125 decitex (exceeding 52 metric number but not exceeding 80 metric number per single yarn) 5205.35.00 Measuring per single yarn less than 125 decitex (exceeding 80 metric number per single yarn) 5205.41.10 Solely of cotton, for use in the manufacture of crochet, knitting, darning or embroidery cottons to be put up for retail sale, or for use in the</w:t>
      </w:r>
    </w:p>
    <w:p>
      <w:pPr>
        <w:pStyle w:val="Normal"/>
      </w:pPr>
      <w:r>
        <w:t>manufacture of cotton sewing thread or Schiffli embroidery thread 5205.41.90 Other 5205.42.10 Solely of cotton, for use in the manufacture of crochet, knitting, darning or embroidery cottons to be put up for retail sale, or for use in the manufacture of cotton sewing thread or Schiffli embroidery thread 5205.42.90 Other 5205.43.00 Measuring per single yarn less than 232.56 decitex but not less than 192.31 decitex (exceeding 43 metric number but not exceeding 52 metric number per single yarn) 5205.44.00 Measuring per single yarn less than 192.31 decitex but not less than 125 decitex (exceeding 52 metric number but not exceeding 80 metric number per single yarn) 5205.46.00 Measuring per single yarn less than 125 decitex but not less than 106.38 decitex (exceeding 80 metric number but not exceeding 94 metric number per single yarn) 5205.47.00 Measuring per single yarn less than 106.38 decitex but not less than 83.33 decitex (exceeding 94 metric number but not exceeding 120 metric number per single yarn) 5205.48.00 Measuring per single yarn less than 83.33 decitex (exceeding 120 metric number per single yarn)</w:t>
      </w:r>
    </w:p>
    <w:p>
      <w:pPr>
        <w:pStyle w:val="Normal"/>
      </w:pPr>
      <w:r>
        <w:t>5206.11.00 Measuring 714.29 decitex or more (not exceeding 14 metric number) 5206.12.00 Measuring less than 714.29 decitex but not less than 232.56 decitex (exceeding 14 metric number but not exceeding 43 metric number) 5206.13.00 Measuring less than 232.56 decitex but not less than 192.31 decitex (exceeding 43 metric number but not exceeding 52 metric number) 5206.14.00</w:t>
      </w:r>
    </w:p>
    <w:p>
      <w:pPr>
        <w:pStyle w:val="Normal"/>
      </w:pPr>
      <w:r>
        <w:t>Measuring less than 192.31 decitex but not less than 125 decitex (exceeding 52 metric number but not exceeding 80 metric number) 5206.15.00 Measuring less than 125 decitex (exceeding 80 metric number) 5206.21.00 Measuring 714.29 decitex or more (not exceeding 14 metric number) 5206.22.00 Measuring less than 714.29 decitex but not less than 232.56 decitex (exceeding 14 metric number but not exceeding 43 metric number) 5206.23.00 Measuring less than 232.56 decitex but not less than 192.31 decitex (exceeding 43 metric number but not exceeding 52 metric number) 5206.24.00 Measuring less than 192.31 decitex but not less than 125 decitex (exceeding 52 metric number but not exceeding 80 metric number) 5206.25.00 Measuring less than 125 decitex (exceeding 80 metric number) 5206.31.00 Measuring per single yarn 714.29 decitex or more (not exceeding 14 metric number per single yarn) 5206.32.00 Measuring per single yarn less than 714.29 decitex but not less than 232.56 decitex (exceeding 14 metric number but not exceeding 43 metric number per single yarn)</w:t>
      </w:r>
    </w:p>
    <w:p>
      <w:pPr>
        <w:pStyle w:val="Normal"/>
      </w:pPr>
      <w:r>
        <w:t>5206.33.00 Measuring per single yarn less than 232.56 decitex but not less than 192.31 decitex (exceeding 43 metric number but not exceeding 52 metric number per single yarn) 5206.34.00 Measuring per single yarn less than 192.31 decitex but not less than 125 decitex (exceeding 52 metric number but not exceeding 80 metric number per single yarn) 5206.35.00 Measuring per single yarn less than 125 decitex (exceeding 80 metric number per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5206.41.00</w:t>
            </w:r>
          </w:p>
        </w:tc>
        <w:tc>
          <w:tcPr>
            <w:tcW w:w="4679" w:type="dxa"/>
            <w:tcMar>
              <w:top w:w="70" w:type="dxa"/>
              <w:start w:w="110" w:type="dxa"/>
              <w:bottom w:w="70" w:type="dxa"/>
              <w:end w:w="110" w:type="dxa"/>
            </w:tcMar>
            <w:vAlign w:val="center"/>
          </w:tcPr>
          <w:p>
            <w:pPr>
              <w:pStyle w:val="TableText"/>
              <w:jc w:val="left"/>
            </w:pPr>
            <w:r>
              <w:rPr>
                <w:lang w:val="en-US" w:eastAsia="en-US" w:bidi="ar-SA"/>
              </w:rPr>
              <w:t>single yarn) Measuring per single yarn 714.29 decitex or more (not exceeding 14 metric number per single yarn)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5206.42.00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Measuring per single yarn less than 714.29 decitex but not less than 232.56 decitex (exceeding 14 metric number but not exceeding 43 metric number per single yarn)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5206.43.00</w:t>
            </w:r>
          </w:p>
        </w:tc>
        <w:tc>
          <w:tcPr>
            <w:tcW w:w="4679" w:type="dxa"/>
            <w:tcMar>
              <w:top w:w="70" w:type="dxa"/>
              <w:start w:w="110" w:type="dxa"/>
              <w:bottom w:w="70" w:type="dxa"/>
              <w:end w:w="110" w:type="dxa"/>
            </w:tcMar>
            <w:vAlign w:val="center"/>
          </w:tcPr>
          <w:p>
            <w:pPr>
              <w:pStyle w:val="TableText"/>
              <w:jc w:val="left"/>
            </w:pPr>
            <w:r>
              <w:rPr>
                <w:lang w:val="en-US" w:eastAsia="en-US" w:bidi="ar-SA"/>
              </w:rPr>
              <w:t>Measuring per single yarn less than 232.56 decitex but not less than 192.31 decitex (exceeding 43 metric number but not exceeding 52 metric number per single yarn)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5206.44.00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Measuring per single yarn less than 192.31 decitex but not less than 125 decitex (exceeding 52 metric number but not exceeding 80 metric number per single yarn)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5206.45.00</w:t>
            </w:r>
          </w:p>
        </w:tc>
        <w:tc>
          <w:tcPr>
            <w:tcW w:w="4679" w:type="dxa"/>
            <w:tcMar>
              <w:top w:w="70" w:type="dxa"/>
              <w:start w:w="110" w:type="dxa"/>
              <w:bottom w:w="70" w:type="dxa"/>
              <w:end w:w="110" w:type="dxa"/>
            </w:tcMar>
            <w:vAlign w:val="center"/>
          </w:tcPr>
          <w:p>
            <w:pPr>
              <w:pStyle w:val="TableText"/>
              <w:jc w:val="left"/>
            </w:pPr>
            <w:r>
              <w:rPr>
                <w:lang w:val="en-US" w:eastAsia="en-US" w:bidi="ar-SA"/>
              </w:rPr>
              <w:t>Measuring per single yarn less than 125 decitex (exceeding 80 metric number per single yarn)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85% or more by weight 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5207.90.00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 weighing not more than 100 g/m²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5208.12.00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 weighing more than 100 g/m²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5208.19.00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 weighing not more than 100 g/m²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5208.22.00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 weighing more than 100 g/m²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5208.29.00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 weighing not more than 100 g/m²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5208.32.00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 weighing more than 100 g/m²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5208.33.00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5208.39.00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 weighing not more than 100 g/m²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5208.42.00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 weighing more than</w:t>
            </w:r>
          </w:p>
        </w:tc>
      </w:tr>
    </w:tbl>
    <w:p>
      <w:pPr>
        <w:pStyle w:val="Normal"/>
      </w:pPr>
      <w:r>
        <w:t>100 g/m²</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5208.43.00</w:t>
            </w:r>
          </w:p>
        </w:tc>
        <w:tc>
          <w:tcPr>
            <w:tcW w:w="4679" w:type="dxa"/>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5208.51.00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 weighing not more than 100 g/m²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5208.52.00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 weighing more than 100 g/m²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5208.59.00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5209.12.00</w:t>
            </w:r>
          </w:p>
        </w:tc>
        <w:tc>
          <w:tcPr>
            <w:tcW w:w="4679" w:type="dxa"/>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5209.21.00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5209.29.00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5209.32.00</w:t>
            </w:r>
          </w:p>
        </w:tc>
        <w:tc>
          <w:tcPr>
            <w:tcW w:w="4679" w:type="dxa"/>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5209.41.00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Denim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5209.43.00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 of 3-thread or 4-thread twill, including cross twill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5209.51.00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5209.52.00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5209.59.00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5210.11.00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5210.19.00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5210.21.00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5210.29.00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5210.31.00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5210.32.00</w:t>
            </w:r>
          </w:p>
        </w:tc>
        <w:tc>
          <w:tcPr>
            <w:tcW w:w="4679" w:type="dxa"/>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5210.39.00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5210.41.00</w:t>
            </w:r>
          </w:p>
        </w:tc>
        <w:tc>
          <w:tcPr>
            <w:tcW w:w="4679" w:type="dxa"/>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5210.49.11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3-thread or 4-thread twill, including cross twill: 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5210.49.19</w:t>
            </w:r>
          </w:p>
        </w:tc>
        <w:tc>
          <w:tcPr>
            <w:tcW w:w="4679" w:type="dxa"/>
            <w:tcMar>
              <w:top w:w="70" w:type="dxa"/>
              <w:start w:w="110" w:type="dxa"/>
              <w:bottom w:w="70" w:type="dxa"/>
              <w:end w:w="110" w:type="dxa"/>
            </w:tcMar>
            <w:vAlign w:val="center"/>
          </w:tcPr>
          <w:p>
            <w:pPr>
              <w:pStyle w:val="TableText"/>
              <w:jc w:val="left"/>
            </w:pPr>
            <w:r>
              <w:rPr>
                <w:lang w:val="en-US" w:eastAsia="en-US" w:bidi="ar-SA"/>
              </w:rPr>
              <w:t>3-thread or 4-thread twill, including cross twill:</w:t>
            </w:r>
          </w:p>
        </w:tc>
      </w:tr>
    </w:tbl>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5210.49.90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5210.51.00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5210.59.00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5211.12.10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5211.19.00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5211.20.11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3-thread or 4-thread twill, including cross twill: 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5211.20.19</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3-thread or 4-thread twill, including cross twill:</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5211.32.10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5211.32.90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5211.39.00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5211.41.10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5211.41.90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Denim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5211.43.10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5211.43.90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5211.49.00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Plain weave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5211.52.10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5211.52.90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5211.59.00</w:t>
            </w:r>
          </w:p>
        </w:tc>
        <w:tc>
          <w:tcPr>
            <w:tcW w:w="4679" w:type="dxa"/>
            <w:tcMar>
              <w:top w:w="70" w:type="dxa"/>
              <w:start w:w="110" w:type="dxa"/>
              <w:bottom w:w="70" w:type="dxa"/>
              <w:end w:w="110" w:type="dxa"/>
            </w:tcMar>
            <w:vAlign w:val="center"/>
          </w:tcPr>
          <w:p>
            <w:pPr>
              <w:pStyle w:val="TableText"/>
              <w:jc w:val="left"/>
            </w:pPr>
            <w:r>
              <w:rPr>
                <w:lang w:val="en-US" w:eastAsia="en-US" w:bidi="ar-SA"/>
              </w:rPr>
              <w:t>Other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5212.11.20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5212.11.30</w:t>
            </w:r>
          </w:p>
        </w:tc>
        <w:tc>
          <w:tcPr>
            <w:tcW w:w="4679" w:type="dxa"/>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5212.12.20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5212.12.30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5212.12.90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5212.13.30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5212.13.40</w:t>
            </w:r>
          </w:p>
        </w:tc>
        <w:tc>
          <w:tcPr>
            <w:tcW w:w="4679" w:type="dxa"/>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5212.14.30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5212.14.40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5212.14.90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5212.15.20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5212.15.30</w:t>
            </w:r>
          </w:p>
        </w:tc>
        <w:tc>
          <w:tcPr>
            <w:tcW w:w="4679" w:type="dxa"/>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5212.15.90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5212.21.20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5212.21.30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5212.22.20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5212.22.30</w:t>
            </w:r>
          </w:p>
        </w:tc>
        <w:tc>
          <w:tcPr>
            <w:tcW w:w="4679" w:type="dxa"/>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5212.22.90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5212.23.20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5212.23.30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5212.23.90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5212.24.20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5212.24.30</w:t>
            </w:r>
          </w:p>
        </w:tc>
        <w:tc>
          <w:tcPr>
            <w:tcW w:w="4679" w:type="dxa"/>
            <w:tcMar>
              <w:top w:w="70" w:type="dxa"/>
              <w:start w:w="110" w:type="dxa"/>
              <w:bottom w:w="70" w:type="dxa"/>
              <w:end w:w="110" w:type="dxa"/>
            </w:tcMar>
            <w:vAlign w:val="center"/>
          </w:tcPr>
          <w:p>
            <w:pPr>
              <w:pStyle w:val="TableText"/>
              <w:jc w:val="left"/>
            </w:pPr>
            <w:r>
              <w:rPr>
                <w:lang w:val="en-US" w:eastAsia="en-US" w:bidi="ar-SA"/>
              </w:rPr>
              <w:t>Other, mixed mainly or</w:t>
            </w:r>
          </w:p>
        </w:tc>
      </w:tr>
    </w:tbl>
    <w:p>
      <w:pPr>
        <w:pStyle w:val="Normal"/>
      </w:pPr>
      <w:r>
        <w:t>solely with silk</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5212.24.90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5212.25.20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5212.25.30</w:t>
            </w:r>
          </w:p>
        </w:tc>
        <w:tc>
          <w:tcPr>
            <w:tcW w:w="4679" w:type="dxa"/>
            <w:tcMar>
              <w:top w:w="70" w:type="dxa"/>
              <w:start w:w="110" w:type="dxa"/>
              <w:bottom w:w="70" w:type="dxa"/>
              <w:end w:w="110" w:type="dxa"/>
            </w:tcMar>
            <w:vAlign w:val="center"/>
          </w:tcPr>
          <w:p>
            <w:pPr>
              <w:pStyle w:val="TableText"/>
              <w:jc w:val="left"/>
            </w:pPr>
            <w:r>
              <w:rPr>
                <w:lang w:val="en-US" w:eastAsia="en-US" w:bidi="ar-SA"/>
              </w:rPr>
              <w:t>Other, mixed mainly or solely with silk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5212.25.90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5301.10.00</w:t>
            </w:r>
          </w:p>
        </w:tc>
        <w:tc>
          <w:tcPr>
            <w:tcW w:w="4679" w:type="dxa"/>
            <w:tcMar>
              <w:top w:w="70" w:type="dxa"/>
              <w:start w:w="110" w:type="dxa"/>
              <w:bottom w:w="70" w:type="dxa"/>
              <w:end w:w="110" w:type="dxa"/>
            </w:tcMar>
            <w:vAlign w:val="center"/>
          </w:tcPr>
          <w:p>
            <w:pPr>
              <w:pStyle w:val="TableText"/>
              <w:jc w:val="left"/>
            </w:pPr>
            <w:r>
              <w:rPr>
                <w:lang w:val="en-US" w:eastAsia="en-US" w:bidi="ar-SA"/>
              </w:rPr>
              <w:t>Flax, raw or retted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5301.21.00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Broken or scutched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5301.29.00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5301.30.00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Flax tow and waste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5302.10.00</w:t>
            </w:r>
          </w:p>
        </w:tc>
        <w:tc>
          <w:tcPr>
            <w:tcW w:w="4679" w:type="dxa"/>
            <w:tcMar>
              <w:top w:w="70" w:type="dxa"/>
              <w:start w:w="110" w:type="dxa"/>
              <w:bottom w:w="70" w:type="dxa"/>
              <w:end w:w="110" w:type="dxa"/>
            </w:tcMar>
            <w:vAlign w:val="center"/>
          </w:tcPr>
          <w:p>
            <w:pPr>
              <w:pStyle w:val="TableText"/>
              <w:jc w:val="left"/>
            </w:pPr>
            <w:r>
              <w:rPr>
                <w:lang w:val="en-US" w:eastAsia="en-US" w:bidi="ar-SA"/>
              </w:rPr>
              <w:t>True hemp, raw or retted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5303.10.00</w:t>
            </w:r>
          </w:p>
        </w:tc>
        <w:tc>
          <w:tcPr>
            <w:tcW w:w="4679" w:type="dxa"/>
            <w:tcMar>
              <w:top w:w="70" w:type="dxa"/>
              <w:start w:w="110" w:type="dxa"/>
              <w:bottom w:w="70" w:type="dxa"/>
              <w:end w:w="110" w:type="dxa"/>
            </w:tcMar>
            <w:vAlign w:val="center"/>
          </w:tcPr>
          <w:p>
            <w:pPr>
              <w:pStyle w:val="TableText"/>
              <w:jc w:val="left"/>
            </w:pPr>
            <w:r>
              <w:rPr>
                <w:lang w:val="en-US" w:eastAsia="en-US" w:bidi="ar-SA"/>
              </w:rPr>
              <w:t>Jute and other textile bast fibres, raw or retted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5305.00.00</w:t>
            </w:r>
          </w:p>
        </w:tc>
        <w:tc>
          <w:tcPr>
            <w:tcW w:w="4679" w:type="dxa"/>
            <w:tcMar>
              <w:top w:w="70" w:type="dxa"/>
              <w:start w:w="110" w:type="dxa"/>
              <w:bottom w:w="70" w:type="dxa"/>
              <w:end w:w="110" w:type="dxa"/>
            </w:tcMar>
            <w:vAlign w:val="center"/>
          </w:tcPr>
          <w:p>
            <w:pPr>
              <w:pStyle w:val="TableText"/>
              <w:jc w:val="left"/>
            </w:pPr>
            <w:r>
              <w:rPr>
                <w:lang w:val="en-US" w:eastAsia="en-US" w:bidi="ar-SA"/>
              </w:rPr>
              <w:t>Coconut, abaca (Manila hemp or Musa textilis Nee), ramie and other vegetable textile fibres, not elsewhere specified or included, raw or processed but not spun; tow, noils and waste of these fibres (including yarn waste and garnetted stock).</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Single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5306.20.00</w:t>
            </w:r>
          </w:p>
        </w:tc>
        <w:tc>
          <w:tcPr>
            <w:tcW w:w="4679" w:type="dxa"/>
            <w:tcMar>
              <w:top w:w="70" w:type="dxa"/>
              <w:start w:w="110" w:type="dxa"/>
              <w:bottom w:w="70" w:type="dxa"/>
              <w:end w:w="110" w:type="dxa"/>
            </w:tcMar>
            <w:vAlign w:val="center"/>
          </w:tcPr>
          <w:p>
            <w:pPr>
              <w:pStyle w:val="TableText"/>
              <w:jc w:val="left"/>
            </w:pPr>
            <w:r>
              <w:rPr>
                <w:lang w:val="en-US" w:eastAsia="en-US" w:bidi="ar-SA"/>
              </w:rPr>
              <w:t>Multiple (folded) or cabled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Single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5307.20.00</w:t>
            </w:r>
          </w:p>
        </w:tc>
        <w:tc>
          <w:tcPr>
            <w:tcW w:w="4679" w:type="dxa"/>
            <w:tcMar>
              <w:top w:w="70" w:type="dxa"/>
              <w:start w:w="110" w:type="dxa"/>
              <w:bottom w:w="70" w:type="dxa"/>
              <w:end w:w="110" w:type="dxa"/>
            </w:tcMar>
            <w:vAlign w:val="center"/>
          </w:tcPr>
          <w:p>
            <w:pPr>
              <w:pStyle w:val="TableText"/>
              <w:jc w:val="left"/>
            </w:pPr>
            <w:r>
              <w:rPr>
                <w:lang w:val="en-US" w:eastAsia="en-US" w:bidi="ar-SA"/>
              </w:rPr>
              <w:t>Multiple (folded) or cabled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5308.10.00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Coir yarn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5308.20.00</w:t>
            </w:r>
          </w:p>
        </w:tc>
        <w:tc>
          <w:tcPr>
            <w:tcW w:w="4679" w:type="dxa"/>
            <w:tcMar>
              <w:top w:w="70" w:type="dxa"/>
              <w:start w:w="110" w:type="dxa"/>
              <w:bottom w:w="70" w:type="dxa"/>
              <w:end w:w="110" w:type="dxa"/>
            </w:tcMar>
            <w:vAlign w:val="center"/>
          </w:tcPr>
          <w:p>
            <w:pPr>
              <w:pStyle w:val="TableText"/>
              <w:jc w:val="left"/>
            </w:pPr>
            <w:r>
              <w:rPr>
                <w:lang w:val="en-US" w:eastAsia="en-US" w:bidi="ar-SA"/>
              </w:rPr>
              <w:t>True hemp yarn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5308.90.10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Paper yarn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5308.90.90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Unbleached or bleached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5309.19.00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5309.21.00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Unbleached or bleached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5309.29.00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5310.10.00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Unbleached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5310.90.00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5311.00.00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Woven fabrics of other vegetable textile fibres; woven fabrics of paper yarn.</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filaments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5401.20.00</w:t>
            </w:r>
          </w:p>
        </w:tc>
        <w:tc>
          <w:tcPr>
            <w:tcW w:w="4679" w:type="dxa"/>
            <w:tcMar>
              <w:top w:w="70" w:type="dxa"/>
              <w:start w:w="110" w:type="dxa"/>
              <w:bottom w:w="70" w:type="dxa"/>
              <w:end w:w="110" w:type="dxa"/>
            </w:tcMar>
            <w:vAlign w:val="center"/>
          </w:tcPr>
          <w:p>
            <w:pPr>
              <w:pStyle w:val="TableText"/>
              <w:jc w:val="left"/>
            </w:pPr>
            <w:r>
              <w:rPr>
                <w:lang w:val="en-US" w:eastAsia="en-US" w:bidi="ar-SA"/>
              </w:rPr>
              <w:t>Of artificial filaments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5402.11.10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poly (p-phenyleneterephthalamide), for use in the manufacture of armour or protective clothing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5402.11.90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5402.19.10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nylon, measuring 200 decitex or more but not exceeding 500 decitex, containing 34 or more filaments but not exceeding 68 filaments, with a twist not exceeding 50 turns per metre, for use in the manufacture of woven or knitted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5402.19.90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5402.20.10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polyesters, fully drawn, measuring not more than 180 decitex</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5402.20.20</w:t>
            </w:r>
          </w:p>
        </w:tc>
        <w:tc>
          <w:tcPr>
            <w:tcW w:w="4679" w:type="dxa"/>
            <w:tcMar>
              <w:top w:w="70" w:type="dxa"/>
              <w:start w:w="110" w:type="dxa"/>
              <w:bottom w:w="70" w:type="dxa"/>
              <w:end w:w="110" w:type="dxa"/>
            </w:tcMar>
            <w:vAlign w:val="center"/>
          </w:tcPr>
          <w:p>
            <w:pPr>
              <w:pStyle w:val="TableText"/>
              <w:jc w:val="left"/>
            </w:pPr>
            <w:r>
              <w:rPr>
                <w:lang w:val="en-US" w:eastAsia="en-US" w:bidi="ar-SA"/>
              </w:rPr>
              <w:t>Solely of polyester, singles, flat, fully drawn, measuring not more than 1700 decitex, with producer twist not exceeding 5 turns per metre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5402.20.90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5402.31.10</w:t>
            </w:r>
          </w:p>
        </w:tc>
        <w:tc>
          <w:tcPr>
            <w:tcW w:w="4679" w:type="dxa"/>
            <w:tcMar>
              <w:top w:w="70" w:type="dxa"/>
              <w:start w:w="110" w:type="dxa"/>
              <w:bottom w:w="70" w:type="dxa"/>
              <w:end w:w="110" w:type="dxa"/>
            </w:tcMar>
            <w:vAlign w:val="center"/>
          </w:tcPr>
          <w:p>
            <w:pPr>
              <w:pStyle w:val="TableText"/>
              <w:jc w:val="left"/>
            </w:pPr>
            <w:r>
              <w:rPr>
                <w:lang w:val="en-US" w:eastAsia="en-US" w:bidi="ar-SA"/>
              </w:rPr>
              <w:t>Solely of nylon, measuring not more than 250 decitex per single yarn, for use in the manufacture of swimwear and other circular knitted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5402.31.20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nylon, measuring 50 decitex or more but not exceeding 250 decitex, containing 13 or more nylon filaments but not exceeding 68 nylon filaments and 1 spandex (elasthane) filament, for use in the manufacture of woven or knitted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5402.31.30</w:t>
            </w:r>
          </w:p>
        </w:tc>
        <w:tc>
          <w:tcPr>
            <w:tcW w:w="4679" w:type="dxa"/>
            <w:tcMar>
              <w:top w:w="70" w:type="dxa"/>
              <w:start w:w="110" w:type="dxa"/>
              <w:bottom w:w="70" w:type="dxa"/>
              <w:end w:w="110" w:type="dxa"/>
            </w:tcMar>
            <w:vAlign w:val="center"/>
          </w:tcPr>
          <w:p>
            <w:pPr>
              <w:pStyle w:val="TableText"/>
              <w:jc w:val="left"/>
            </w:pPr>
            <w:r>
              <w:rPr>
                <w:lang w:val="en-US" w:eastAsia="en-US" w:bidi="ar-SA"/>
              </w:rPr>
              <w:t>Solely of nylon, measuring 175 decitex or more but not exceeding 500 decitex, containing 68 or more filaments but not exceeding 234 filaments for use in the manufacture of woven or knitted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5402.31.90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5402.32.10</w:t>
            </w:r>
          </w:p>
        </w:tc>
        <w:tc>
          <w:tcPr>
            <w:tcW w:w="4679" w:type="dxa"/>
            <w:tcMar>
              <w:top w:w="70" w:type="dxa"/>
              <w:start w:w="110" w:type="dxa"/>
              <w:bottom w:w="70" w:type="dxa"/>
              <w:end w:w="110" w:type="dxa"/>
            </w:tcMar>
            <w:vAlign w:val="center"/>
          </w:tcPr>
          <w:p>
            <w:pPr>
              <w:pStyle w:val="TableText"/>
              <w:jc w:val="left"/>
            </w:pPr>
            <w:r>
              <w:rPr>
                <w:lang w:val="en-US" w:eastAsia="en-US" w:bidi="ar-SA"/>
              </w:rPr>
              <w:t>Solely of poly (p-phenyleneterephthalamide), for use in the manufacture of armour or protective clothing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5402.32.90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5402.33.10</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Containing 80% or more by weight of polyesters, of uneven thickness with slub, loops or similar irregularities, measuring 1,000 decitex or less, for use in the manufacture of curtains of a weight not exceeding 100 g/m²; Solely of polyesters, measuring 72 decitex or more but not exceeding 111 decitex, for use in the manufacture of woven labels; Solely of polyesters, measuring 111 decitex or more but not exceeding 222 decitex, bright finish, for use in the manufacture of woven labels;</w:t>
      </w:r>
    </w:p>
    <w:p>
      <w:pPr>
        <w:pStyle w:val="Normal"/>
      </w:pPr>
      <w:r>
        <w:t>Solely of polyester, measuring not more than 250 decitex per single yarn, for use in the manufacture of swimwear and other circular knitted fabrics 5402.33.20 Solely of bleached or unbleached polyester, measuring 70 decitex or more but not exceeding 570 decitex, containing 30 or more filaments but not exceeding 140 filaments, untwisted or with a twist not exceeding 5 turns per metre, for use in the manufacture of woven or knitted fabrics or sewing threads 5402.33.90 Other 5402.34.10 Multifilament single yarn, solely of polypropylene, textured, fully drawn, with an “S” twist exceeding 50 turns per metre, measuring 1,680 decitex or more but not exceeding 3,215 decitex, for use in the manufacture of area rugs 5402.34.20 Multifilament single yarn, solely of polypropylene, textured, measuring 715 decitex or more but not exceeding 2 290 decitex, for use in the manufacture of woven fabrics 5402.34.90 Other 5402.39.00 Other 5402.44.00 Elastomeric 5402.45.00 Other, of nylon or other polyamides 5402.46.00</w:t>
      </w:r>
    </w:p>
    <w:p>
      <w:pPr>
        <w:pStyle w:val="Normal"/>
      </w:pPr>
      <w:r>
        <w:t>Other, of polyesters, partially oriented 5402.47.00 Other, of polyesters 5402.48.00 Other, of polypropylene 5402.49.00 Other 5402.51.10 Measuring less than 195 decitex 5402.51.90 Other 5402.52.10 Solely of polyesters, measuring not less than 75 decitex but not more than 80 decitex and having 24 filaments per yarn 5402.52.91 Other: Solely of polyesters, fully drawn, measuring not more than 180 decitex; Solely of polyesters, measuring 72 decitex or more but not exceeding 111 decitex, for use in the manufacture of woven labels; Containing 80% or more by weight of polyesters, of uneven thickness with slubs, loops or similar irregularities, measuring 1,000 decitex or less, for use in the manufacture of curtains of a weight not exceeding 100 g/m² 5402.52.99 Other: Other 5402.53.00 Of polypropylene 5402.59.00 Other 5402.61.00 Of nylon or other polyamides 5402.62.10 Solely of polyesters, fully drawn, measuring not more than 180 decitex;</w:t>
      </w:r>
    </w:p>
    <w:p>
      <w:pPr>
        <w:pStyle w:val="Normal"/>
      </w:pPr>
      <w:r>
        <w:t>Containing 80% or more by weight of polyesters, of uneven thickness with slubs, loops or similar irregularities, measuring 1,000 decitex or less, for use in the manufacture of curtains of a weight not exceeding 100 g/m² 5402.62.90 Other 5402.63.00 Of polypropylene 5402.69.00 Other 5403.10.00 High tenacity yarn of viscose rayon 5403.31.00 Of viscose rayon, untwisted or with a twist not exceeding 120 turns per metre 5403.32.00 Of viscose rayon, with a twist exceeding 120 turns per metre 5403.33.00 Of cellulose acetate 5403.39.00 Other 5403.41.00 Of</w:t>
      </w:r>
    </w:p>
    <w:p>
      <w:pPr>
        <w:pStyle w:val="Normal"/>
      </w:pPr>
      <w:r>
        <w:t>viscose rayon 5403.42.00 Of cellulose acetate 5403.49.00 Other 5404.11.00 Elastomeric 5404.12.00 Other, of polypropylene 5404.19.00 Other 5404.90.00 Other 5405.00.00 Artificial monofilament of 67 decitex or more and of which no cross-sectional dimension exceeds 1 mm; strip and the like (for example, artificial straw) of artificial textile materials of an apparent width not exceeding 5 mm. 5406.00.10 Synthetic filament yarn 5406.00.90 Other 5407.10.10 Belting, of a thickness not exceeding 2.8 mm and a width exceeding 350 mm, of nylon, polyester or aramid, for use in the manufacture of conveyor belts; For use in the manufacture of goods of Section XVI, of Chapter 40, 73 or 90, or of heading 59.10 or 87.05 (excluding the motor vehicle chassis portion and parts thereof), such goods being used in the exploration, discovery, development or operation of potash or rock salt deposits; For use in the manufacture of insignia for sails for ships or boats; For use in the manufacture of sails for ships or boats;</w:t>
      </w:r>
    </w:p>
    <w:p>
      <w:pPr>
        <w:pStyle w:val="Normal"/>
      </w:pPr>
      <w:r>
        <w:t>Transmission belting, excluding belting of trapezoidal cross- section (V or multi V), whether or not embossed, for use in the manufacture of transmission belts 5407.10.20 Other, for use in the manufacture of conveyor or transmission belts or belting, containing rubber 5407.10.90 Other 5407.20.00 Woven fabrics obtained from strip or the like 5407.30.10 For use in the manufacture of apparel 5407.30.90 Other 5407.41.10 Solely of single non-textured nylon filament yarns measuring 78</w:t>
      </w:r>
    </w:p>
    <w:p>
      <w:pPr>
        <w:pStyle w:val="Normal"/>
      </w:pPr>
      <w:r>
        <w:t>decitex, to be coated on one side in Canada with non-cellular polyurethane, for use in the manufacture of family or recreational tents of a floor area of 3 m² or more but not exceeding 21 m², or tent flies 5407.41.90 Other 5407.42.10 Solely of single non-textured nylon filament yarns measuring 78 decitex, to be coated on one side in Canada with non-cellular polyurethane, for use in the manufacture of family or recreational tents of a floor area of 3 m² or more but not exceeding 21 m², or tent flies 5407.42.20 Solely of single non-textured nylon filament yarns, coated on one side with non-cellular polyurethane, with the total weight of the coated fabric not exceeding 72 g/m², for use in the manufacture of family or recreational tents of a floor area of 3 m² or more but not exceeding 21 m², or tent flies 5407.42.90 Other 5407.43.00 Of yarns of different colours 5407.44.00 Printed 5407.51.00 Unbleached or bleached</w:t>
      </w:r>
    </w:p>
    <w:p>
      <w:pPr>
        <w:pStyle w:val="Normal"/>
      </w:pPr>
      <w:r>
        <w:t>5407.52.11 Containing less than 10% by weight of metallized yarns, less than 65% by weight of wool or less than 15% by weight of flax, for use in the manufacture of clerical or ecclesiastical garments or vestments and furnishing articles for decorating religious buildings:</w:t>
      </w:r>
    </w:p>
    <w:p>
      <w:pPr>
        <w:pStyle w:val="Normal"/>
      </w:pPr>
      <w:r>
        <w:t>For use in the manufacture of apparel 5407.52.19 Containing less than 10% by weight of metallized yarns, less than 65% by weight of wool or less than 15% by weight of flax, for use in the manufacture of clerical or ecclesiastical garments or vestments and furnishing articles for decorating religious</w:t>
      </w:r>
    </w:p>
    <w:p>
      <w:pPr>
        <w:pStyle w:val="Normal"/>
      </w:pPr>
      <w:r>
        <w:t>buildings: Other 5407.52.20 Satin weave fabrics, white or off-white, solely of textured polyester filament yarns, of a weight exceeding 170 g/m², for use in the manufacture of brides’ white or off-white wedding dresses 5407.52.30 With or without backing, solely of yarns of textured polyester filaments, of a weight not exceeding 225 g/m², for use as facing or braids in the manufacture of tuxedos 5407.52.90 Other 5407.53.00 Of yarns of different colours 5407.54.00 Printed 5407.61.11 Solely of polyester single yarns measuring not less than 75 decitex but not more than 80 decitex, having 24 filaments per yarn and a twist of 900 or more turns per metre: For use in the manufacture of conveyor or transmission belts or belting, containing rubber 5407.61.19 Solely of polyester single yarns measuring not less than 75 decitex but not more than 80 decitex, having 24 filaments per yarn and a twist of 900 or more turns per metre:</w:t>
      </w:r>
    </w:p>
    <w:p>
      <w:pPr>
        <w:pStyle w:val="Normal"/>
      </w:pPr>
      <w:r>
        <w:t>Other 5407.61.20 Solely of single non-textured polyester filaments, dyed, having a 3/2 right hand twill weave with a steep twill of approximately 63 degrees, with a twist exceeding 1,250 turns per metre in the warp and the weft, having “S” twist yarns in the warp and two “S” twist yarns followed by two “Z” twist yarns alternating in the weft, of a weight not exceeding 250 g/m², for use in the manufacture of apparel 5407.61.93 Other: For use in the manufacture of conveyor or transmission belts or belting, containing rubber 5407.61.94 Other: Woven fabrics, white</w:t>
      </w:r>
    </w:p>
    <w:p>
      <w:pPr>
        <w:pStyle w:val="Normal"/>
      </w:pPr>
      <w:r>
        <w:t>or off-white, solely of non-textured polyester monofilament yarns and non-textured polyester multifilament yarns, having two filaments per yarn, of a weight not exceeding 45 g/m², for use in the manufacture of brides’ white or off-white wedding dresses 5407.61.95 Other: Of faille, georgette or crêpe de Chine, solely of single, non- textured polyester yarns, with a twist exceeding 1,250 turns per metre in the warp or the weft, measuring 50 decitex or more but not exceeding 180 decitex, of a weight of 90 g/m² or more but not exceeding 120 g/m², for use in the manufacture of apparel 5407.61.96 Other: Solely of polyester filaments with a twist of 1,050 turns or more per metre in the warp or the weft, unbleached or bleached, of a weight not exceeding 300 g/m², to produce dyed fabrics for the manufacture of apparel 5407.61.97 Other:</w:t>
      </w:r>
    </w:p>
    <w:p>
      <w:pPr>
        <w:pStyle w:val="Normal"/>
      </w:pPr>
      <w:r>
        <w:t>Woven fabrics, plain weave, solely of non-textured polyester filaments mixed with elastomeric filaments, having the elastomeric yarn only in the weft, of a weight of less than 90 g/m², for use as lining in the manufacture of suits, vests (waistcoats), jackets (sportcoats and blazers) and trousers 5407.61.99 Other: Other 5407.69.10 Solely of polyester filaments with a twist of 1,050 turns or more per metre in the warp or the weft, unbleached or bleached, of a weight not exceeding 300 g/m², to produce dyed fabrics for the manufacture of apparel 5407.69.20 Woven fabrics, white or off-white, solely of non-textured polyester monofilament warp yarns and</w:t>
      </w:r>
    </w:p>
    <w:p>
      <w:pPr>
        <w:pStyle w:val="Normal"/>
      </w:pPr>
      <w:r>
        <w:t>alternating stripes in the weft of non-textured polyester multifilament yarns, having two filaments per yarn, and textured polyester multifilament yarns, of a weight not exceeding 62 g/m², for use in the manufacture of brides’ white or off-white wedding dresses 5407.69.30 Solely of polyesters or of polyesters mixed solely with polypropylene, for use as ticking in the manufacture of mattresses or mattress supports 5407.69.40 Woven fabric, plain, dyed, of untwisted textured polyester filament yarns in the weft and untwisted non-textured polyester filament yarns in the warp, of a weight not exceeding 55 g/m², for use as knee lining in the manufacture of trousers 5407.69.50 Woven fabric, satin weave, dyed, of yarns of non-textured polyester filaments in the warp and of textured polyester filaments and elastomeric yarn in the weft, of a weight not exceeding 132 g/m², for use in the manufacture of dresses, skirts, vests, blouses, tops and scarves 5407.69.90 Other 5407.71.00 Unbleached or bleached 5407.72.00 Dyed 5407.73.10 Of polyesters mixed solely with polypropylene, for use as ticking in the manufacture of mattresses or mattress supports 5407.73.90 Other 5407.74.00 Printed</w:t>
      </w:r>
    </w:p>
    <w:p>
      <w:pPr>
        <w:pStyle w:val="Normal"/>
      </w:pPr>
      <w:r>
        <w:t>5407.81.00 Unbleached or bleached 5407.82.10 For use in the manufacture of headbands (hat sweats), linings (including tips and sides), peaks and stiffening bands for hats or caps 5407.82.91 Other:</w:t>
      </w:r>
    </w:p>
    <w:p>
      <w:pPr>
        <w:pStyle w:val="Normal"/>
      </w:pPr>
      <w:r>
        <w:t>Fabrics (other than fabrics containing polyester or nylon filaments mixed mainly with cotton), for use in the</w:t>
      </w:r>
    </w:p>
    <w:p>
      <w:pPr>
        <w:pStyle w:val="Normal"/>
      </w:pPr>
      <w:r>
        <w:t>manufacture of apparel 5407.82.99 Other:</w:t>
      </w:r>
    </w:p>
    <w:p>
      <w:pPr>
        <w:pStyle w:val="Normal"/>
      </w:pPr>
      <w:r>
        <w:t>Other 5407.83.00 Of yarns of different colours 5407.84.00 Printed 5407.91.10 Containing 35% or more by weight of cellulose acetate or cellulose triacetate filaments mixed with polyester filaments or with viscose rayon filaments, containing not more than 5% by weight of any other fibre, with an average yarn twist of 500 or more turns per metre in the warp or the weft, of a weight of 100 g/m² or more but not exceeding 310 g/m², for use in the manufacture of apparel 5407.91.20 Plain woven fabrics, unbleached or bleached, containing 65% or more by weight of polyester fibres mixed solely with cotton, of a weight not exceeding 100 g/m² and a width of 183 cm or more, to be dyed or printed, for use in the manufacture of the following bedding products:</w:t>
      </w:r>
    </w:p>
    <w:p>
      <w:pPr>
        <w:pStyle w:val="Normal"/>
      </w:pPr>
      <w:r>
        <w:t>comforters, duvets, pillow shams and bed skirts 5407.91.90 Other 5407.92.00 Dyed 5407.93.00 Of yarns of different colours 5407.94.10 Of polyesters mixed solely with cotton, of a weight not exceeding 170 g/m², for use as ticking in the manufacture of mattresses or mattress supports 5407.94.90 Other 5408.10.00 Woven fabrics obtained from high tenacity yarn of viscose rayon 5408.21.00 Unbleached or bleached 5408.22.11 For use in the manufacture of headbands (hat sweats), linings (including tips and sides), peaks and stiffening bands for hats or caps:</w:t>
      </w:r>
    </w:p>
    <w:p>
      <w:pPr>
        <w:pStyle w:val="Normal"/>
      </w:pPr>
      <w:r>
        <w:t>Of cuprammonium rayon 5408.22.19 For use in the manufacture of headbands (hat sweats), linings (including tips and sides), peaks and stiffening bands</w:t>
      </w:r>
    </w:p>
    <w:p>
      <w:pPr>
        <w:pStyle w:val="Normal"/>
      </w:pPr>
      <w:r>
        <w:t>for hats or caps: 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5408.22.23</w:t>
            </w:r>
          </w:p>
        </w:tc>
        <w:tc>
          <w:tcPr>
            <w:tcW w:w="4679" w:type="dxa"/>
            <w:tcMar>
              <w:top w:w="70" w:type="dxa"/>
              <w:start w:w="110" w:type="dxa"/>
              <w:bottom w:w="70" w:type="dxa"/>
              <w:end w:w="110" w:type="dxa"/>
            </w:tcMar>
            <w:vAlign w:val="center"/>
          </w:tcPr>
          <w:p>
            <w:pPr>
              <w:pStyle w:val="TableText"/>
              <w:jc w:val="left"/>
            </w:pPr>
            <w:r>
              <w:rPr>
                <w:lang w:val="en-US" w:eastAsia="en-US" w:bidi="ar-SA"/>
              </w:rPr>
              <w:t>Of cuprammonium rayon: 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5408.22.29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cuprammonium rayon: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5408.22.91</w:t>
            </w:r>
          </w:p>
        </w:tc>
        <w:tc>
          <w:tcPr>
            <w:tcW w:w="4679" w:type="dxa"/>
            <w:tcMar>
              <w:top w:w="70" w:type="dxa"/>
              <w:start w:w="110" w:type="dxa"/>
              <w:bottom w:w="70" w:type="dxa"/>
              <w:end w:w="110" w:type="dxa"/>
            </w:tcMar>
            <w:vAlign w:val="center"/>
          </w:tcPr>
          <w:p>
            <w:pPr>
              <w:pStyle w:val="TableText"/>
              <w:jc w:val="left"/>
            </w:pPr>
            <w:r>
              <w:rPr>
                <w:lang w:val="en-US" w:eastAsia="en-US" w:bidi="ar-SA"/>
              </w:rPr>
              <w:t>Other: 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5408.22.99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5408.23.11</w:t>
            </w:r>
          </w:p>
        </w:tc>
        <w:tc>
          <w:tcPr>
            <w:tcW w:w="4679" w:type="dxa"/>
            <w:tcMar>
              <w:top w:w="70" w:type="dxa"/>
              <w:start w:w="110" w:type="dxa"/>
              <w:bottom w:w="70" w:type="dxa"/>
              <w:end w:w="110" w:type="dxa"/>
            </w:tcMar>
            <w:vAlign w:val="center"/>
          </w:tcPr>
          <w:p>
            <w:pPr>
              <w:pStyle w:val="TableText"/>
              <w:jc w:val="left"/>
            </w:pPr>
            <w:r>
              <w:rPr>
                <w:lang w:val="en-US" w:eastAsia="en-US" w:bidi="ar-SA"/>
              </w:rPr>
              <w:t>Of cuprammonium rayon: 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5408.23.19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cuprammonium rayon: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5408.23.91</w:t>
            </w:r>
          </w:p>
        </w:tc>
        <w:tc>
          <w:tcPr>
            <w:tcW w:w="4679" w:type="dxa"/>
            <w:tcMar>
              <w:top w:w="70" w:type="dxa"/>
              <w:start w:w="110" w:type="dxa"/>
              <w:bottom w:w="70" w:type="dxa"/>
              <w:end w:w="110" w:type="dxa"/>
            </w:tcMar>
            <w:vAlign w:val="center"/>
          </w:tcPr>
          <w:p>
            <w:pPr>
              <w:pStyle w:val="TableText"/>
              <w:jc w:val="left"/>
            </w:pPr>
            <w:r>
              <w:rPr>
                <w:lang w:val="en-US" w:eastAsia="en-US" w:bidi="ar-SA"/>
              </w:rPr>
              <w:t>Other: 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5408.23.99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5408.24.12</w:t>
            </w:r>
          </w:p>
        </w:tc>
        <w:tc>
          <w:tcPr>
            <w:tcW w:w="4679" w:type="dxa"/>
            <w:tcMar>
              <w:top w:w="70" w:type="dxa"/>
              <w:start w:w="110" w:type="dxa"/>
              <w:bottom w:w="70" w:type="dxa"/>
              <w:end w:w="110" w:type="dxa"/>
            </w:tcMar>
            <w:vAlign w:val="center"/>
          </w:tcPr>
          <w:p>
            <w:pPr>
              <w:pStyle w:val="TableText"/>
              <w:jc w:val="left"/>
            </w:pPr>
            <w:r>
              <w:rPr>
                <w:lang w:val="en-US" w:eastAsia="en-US" w:bidi="ar-SA"/>
              </w:rPr>
              <w:t>Of cuprammonium rayon: 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5408.24.19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cuprammonium rayon: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5408.24.92</w:t>
            </w:r>
          </w:p>
        </w:tc>
        <w:tc>
          <w:tcPr>
            <w:tcW w:w="4679" w:type="dxa"/>
            <w:tcMar>
              <w:top w:w="70" w:type="dxa"/>
              <w:start w:w="110" w:type="dxa"/>
              <w:bottom w:w="70" w:type="dxa"/>
              <w:end w:w="110" w:type="dxa"/>
            </w:tcMar>
            <w:vAlign w:val="center"/>
          </w:tcPr>
          <w:p>
            <w:pPr>
              <w:pStyle w:val="TableText"/>
              <w:jc w:val="left"/>
            </w:pPr>
            <w:r>
              <w:rPr>
                <w:lang w:val="en-US" w:eastAsia="en-US" w:bidi="ar-SA"/>
              </w:rPr>
              <w:t>Other: 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5408.24.99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5408.31.00</w:t>
            </w:r>
          </w:p>
        </w:tc>
        <w:tc>
          <w:tcPr>
            <w:tcW w:w="4679" w:type="dxa"/>
            <w:tcMar>
              <w:top w:w="70" w:type="dxa"/>
              <w:start w:w="110" w:type="dxa"/>
              <w:bottom w:w="70" w:type="dxa"/>
              <w:end w:w="110" w:type="dxa"/>
            </w:tcMar>
            <w:vAlign w:val="center"/>
          </w:tcPr>
          <w:p>
            <w:pPr>
              <w:pStyle w:val="TableText"/>
              <w:jc w:val="left"/>
            </w:pPr>
            <w:r>
              <w:rPr>
                <w:lang w:val="en-US" w:eastAsia="en-US" w:bidi="ar-SA"/>
              </w:rPr>
              <w:t>Unbleached or bleached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5408.33.00</w:t>
            </w:r>
          </w:p>
        </w:tc>
        <w:tc>
          <w:tcPr>
            <w:tcW w:w="4679" w:type="dxa"/>
            <w:tcMar>
              <w:top w:w="70" w:type="dxa"/>
              <w:start w:w="110" w:type="dxa"/>
              <w:bottom w:w="70" w:type="dxa"/>
              <w:end w:w="110" w:type="dxa"/>
            </w:tcMar>
            <w:vAlign w:val="center"/>
          </w:tcPr>
          <w:p>
            <w:pPr>
              <w:pStyle w:val="TableText"/>
              <w:jc w:val="left"/>
            </w:pPr>
            <w:r>
              <w:rPr>
                <w:lang w:val="en-US" w:eastAsia="en-US" w:bidi="ar-SA"/>
              </w:rPr>
              <w:t>Of yarns of different colours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5408.34.00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Printed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5501.10.00</w:t>
            </w:r>
          </w:p>
        </w:tc>
        <w:tc>
          <w:tcPr>
            <w:tcW w:w="4679" w:type="dxa"/>
            <w:tcMar>
              <w:top w:w="70" w:type="dxa"/>
              <w:start w:w="110" w:type="dxa"/>
              <w:bottom w:w="70" w:type="dxa"/>
              <w:end w:w="110" w:type="dxa"/>
            </w:tcMar>
            <w:vAlign w:val="center"/>
          </w:tcPr>
          <w:p>
            <w:pPr>
              <w:pStyle w:val="TableText"/>
              <w:jc w:val="left"/>
            </w:pPr>
            <w:r>
              <w:rPr>
                <w:lang w:val="en-US" w:eastAsia="en-US" w:bidi="ar-SA"/>
              </w:rPr>
              <w:t>Of nylon or other polyamides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polyesters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5501.30.00</w:t>
            </w:r>
          </w:p>
        </w:tc>
        <w:tc>
          <w:tcPr>
            <w:tcW w:w="4679" w:type="dxa"/>
            <w:tcMar>
              <w:top w:w="70" w:type="dxa"/>
              <w:start w:w="110" w:type="dxa"/>
              <w:bottom w:w="70" w:type="dxa"/>
              <w:end w:w="110" w:type="dxa"/>
            </w:tcMar>
            <w:vAlign w:val="center"/>
          </w:tcPr>
          <w:p>
            <w:pPr>
              <w:pStyle w:val="TableText"/>
              <w:jc w:val="left"/>
            </w:pPr>
            <w:r>
              <w:rPr>
                <w:lang w:val="en-US" w:eastAsia="en-US" w:bidi="ar-SA"/>
              </w:rPr>
              <w:t>Acrylic or modacrylic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5501.40.00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polypropylene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5501.90.00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cellulose acetate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5502.90.00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5503.11.00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aramids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5503.19.00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5503.20.00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polyesters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5503.30.00</w:t>
            </w:r>
          </w:p>
        </w:tc>
        <w:tc>
          <w:tcPr>
            <w:tcW w:w="4679" w:type="dxa"/>
            <w:tcMar>
              <w:top w:w="70" w:type="dxa"/>
              <w:start w:w="110" w:type="dxa"/>
              <w:bottom w:w="70" w:type="dxa"/>
              <w:end w:w="110" w:type="dxa"/>
            </w:tcMar>
            <w:vAlign w:val="center"/>
          </w:tcPr>
          <w:p>
            <w:pPr>
              <w:pStyle w:val="TableText"/>
              <w:jc w:val="left"/>
            </w:pPr>
            <w:r>
              <w:rPr>
                <w:lang w:val="en-US" w:eastAsia="en-US" w:bidi="ar-SA"/>
              </w:rPr>
              <w:t>Acrylic or modacrylic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5503.40.00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polypropylene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5503.90.00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viscose rayon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5505.20.00</w:t>
            </w:r>
          </w:p>
        </w:tc>
        <w:tc>
          <w:tcPr>
            <w:tcW w:w="4679" w:type="dxa"/>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nylon or other polyamides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5506.20.00</w:t>
            </w:r>
          </w:p>
        </w:tc>
        <w:tc>
          <w:tcPr>
            <w:tcW w:w="4679" w:type="dxa"/>
            <w:tcMar>
              <w:top w:w="70" w:type="dxa"/>
              <w:start w:w="110" w:type="dxa"/>
              <w:bottom w:w="70" w:type="dxa"/>
              <w:end w:w="110" w:type="dxa"/>
            </w:tcMar>
            <w:vAlign w:val="center"/>
          </w:tcPr>
          <w:p>
            <w:pPr>
              <w:pStyle w:val="TableText"/>
              <w:jc w:val="left"/>
            </w:pPr>
            <w:r>
              <w:rPr>
                <w:lang w:val="en-US" w:eastAsia="en-US" w:bidi="ar-SA"/>
              </w:rPr>
              <w:t>Of polyesters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5506.30.00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Acrylic or modacrylic</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5506.40.00</w:t>
            </w:r>
          </w:p>
        </w:tc>
        <w:tc>
          <w:tcPr>
            <w:tcW w:w="4679" w:type="dxa"/>
            <w:tcMar>
              <w:top w:w="70" w:type="dxa"/>
              <w:start w:w="110" w:type="dxa"/>
              <w:bottom w:w="70" w:type="dxa"/>
              <w:end w:w="110" w:type="dxa"/>
            </w:tcMar>
            <w:vAlign w:val="center"/>
          </w:tcPr>
          <w:p>
            <w:pPr>
              <w:pStyle w:val="TableText"/>
              <w:jc w:val="left"/>
            </w:pPr>
            <w:r>
              <w:rPr>
                <w:lang w:val="en-US" w:eastAsia="en-US" w:bidi="ar-SA"/>
              </w:rPr>
              <w:t>Of polypropylene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5507.00.00</w:t>
            </w:r>
          </w:p>
        </w:tc>
        <w:tc>
          <w:tcPr>
            <w:tcW w:w="4679" w:type="dxa"/>
            <w:tcMar>
              <w:top w:w="70" w:type="dxa"/>
              <w:start w:w="110" w:type="dxa"/>
              <w:bottom w:w="70" w:type="dxa"/>
              <w:end w:w="110" w:type="dxa"/>
            </w:tcMar>
            <w:vAlign w:val="center"/>
          </w:tcPr>
          <w:p>
            <w:pPr>
              <w:pStyle w:val="TableText"/>
              <w:jc w:val="left"/>
            </w:pPr>
            <w:r>
              <w:rPr>
                <w:lang w:val="en-US" w:eastAsia="en-US" w:bidi="ar-SA"/>
              </w:rPr>
              <w:t>Artificial staple fibres, carded, combed or otherwise processed for spinning.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5508.10.10</w:t>
            </w:r>
          </w:p>
        </w:tc>
        <w:tc>
          <w:tcPr>
            <w:tcW w:w="4679" w:type="dxa"/>
            <w:tcMar>
              <w:top w:w="70" w:type="dxa"/>
              <w:start w:w="110" w:type="dxa"/>
              <w:bottom w:w="70" w:type="dxa"/>
              <w:end w:w="110" w:type="dxa"/>
            </w:tcMar>
            <w:vAlign w:val="center"/>
          </w:tcPr>
          <w:p>
            <w:pPr>
              <w:pStyle w:val="TableText"/>
              <w:jc w:val="left"/>
            </w:pPr>
            <w:r>
              <w:rPr>
                <w:lang w:val="en-US" w:eastAsia="en-US" w:bidi="ar-SA"/>
              </w:rPr>
              <w:t>Of polyester or aramid staple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5508.10.90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5508.20.00</w:t>
            </w:r>
          </w:p>
        </w:tc>
        <w:tc>
          <w:tcPr>
            <w:tcW w:w="4679" w:type="dxa"/>
            <w:tcMar>
              <w:top w:w="70" w:type="dxa"/>
              <w:start w:w="110" w:type="dxa"/>
              <w:bottom w:w="70" w:type="dxa"/>
              <w:end w:w="110" w:type="dxa"/>
            </w:tcMar>
            <w:vAlign w:val="center"/>
          </w:tcPr>
          <w:p>
            <w:pPr>
              <w:pStyle w:val="TableText"/>
              <w:jc w:val="left"/>
            </w:pPr>
            <w:r>
              <w:rPr>
                <w:lang w:val="en-US" w:eastAsia="en-US" w:bidi="ar-SA"/>
              </w:rPr>
              <w:t>Of artificial staple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Single yarn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5509.12.10</w:t>
            </w:r>
          </w:p>
        </w:tc>
        <w:tc>
          <w:tcPr>
            <w:tcW w:w="4679" w:type="dxa"/>
            <w:tcMar>
              <w:top w:w="70" w:type="dxa"/>
              <w:start w:w="110" w:type="dxa"/>
              <w:bottom w:w="70" w:type="dxa"/>
              <w:end w:w="110" w:type="dxa"/>
            </w:tcMar>
            <w:vAlign w:val="center"/>
          </w:tcPr>
          <w:p>
            <w:pPr>
              <w:pStyle w:val="TableText"/>
              <w:jc w:val="left"/>
            </w:pPr>
            <w:r>
              <w:rPr>
                <w:lang w:val="en-US" w:eastAsia="en-US" w:bidi="ar-SA"/>
              </w:rPr>
              <w:t>Stretch-broken (tow-to-top) spun yarns of aramids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5509.21.10</w:t>
            </w:r>
          </w:p>
        </w:tc>
        <w:tc>
          <w:tcPr>
            <w:tcW w:w="4679" w:type="dxa"/>
            <w:tcMar>
              <w:top w:w="70" w:type="dxa"/>
              <w:start w:w="110" w:type="dxa"/>
              <w:bottom w:w="70" w:type="dxa"/>
              <w:end w:w="110" w:type="dxa"/>
            </w:tcMar>
            <w:vAlign w:val="center"/>
          </w:tcPr>
          <w:p>
            <w:pPr>
              <w:pStyle w:val="TableText"/>
              <w:jc w:val="left"/>
            </w:pPr>
            <w:r>
              <w:rPr>
                <w:lang w:val="en-US" w:eastAsia="en-US" w:bidi="ar-SA"/>
              </w:rPr>
              <w:t>Of uneven thickness with slubs, loops or similar irregularities, measuring 1,000 decitex or less (10 metric number or more), for use in the manufacture of curtains of a weight not exceeding 100 g/m²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5509.21.90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5509.22.20</w:t>
            </w:r>
          </w:p>
        </w:tc>
        <w:tc>
          <w:tcPr>
            <w:tcW w:w="4679" w:type="dxa"/>
            <w:tcMar>
              <w:top w:w="70" w:type="dxa"/>
              <w:start w:w="110" w:type="dxa"/>
              <w:bottom w:w="70" w:type="dxa"/>
              <w:end w:w="110" w:type="dxa"/>
            </w:tcMar>
            <w:vAlign w:val="center"/>
          </w:tcPr>
          <w:p>
            <w:pPr>
              <w:pStyle w:val="TableText"/>
              <w:jc w:val="left"/>
            </w:pPr>
            <w:r>
              <w:rPr>
                <w:lang w:val="en-US" w:eastAsia="en-US" w:bidi="ar-SA"/>
              </w:rPr>
              <w:t>Stretch-broken (tow-to-top) spun yarns of polyester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5509.22.30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solely of polyesters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5509.22.90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Single yarn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5509.32.10</w:t>
            </w:r>
          </w:p>
        </w:tc>
        <w:tc>
          <w:tcPr>
            <w:tcW w:w="4679" w:type="dxa"/>
            <w:tcMar>
              <w:top w:w="70" w:type="dxa"/>
              <w:start w:w="110" w:type="dxa"/>
              <w:bottom w:w="70" w:type="dxa"/>
              <w:end w:w="110" w:type="dxa"/>
            </w:tcMar>
            <w:vAlign w:val="center"/>
          </w:tcPr>
          <w:p>
            <w:pPr>
              <w:pStyle w:val="TableText"/>
              <w:jc w:val="left"/>
            </w:pPr>
            <w:r>
              <w:rPr>
                <w:lang w:val="en-US" w:eastAsia="en-US" w:bidi="ar-SA"/>
              </w:rPr>
              <w:t>Solely of acrylic staple fibres, unbleached, in hanks, measuring 450 decitex or less per single yarn (22.2 metric number or more per single yarn), for use in the manufacture of bulk, dyed, acrylic yarns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5509.32.90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5509.41.10</w:t>
            </w:r>
          </w:p>
        </w:tc>
        <w:tc>
          <w:tcPr>
            <w:tcW w:w="4679" w:type="dxa"/>
            <w:tcMar>
              <w:top w:w="70" w:type="dxa"/>
              <w:start w:w="110" w:type="dxa"/>
              <w:bottom w:w="70" w:type="dxa"/>
              <w:end w:w="110" w:type="dxa"/>
            </w:tcMar>
            <w:vAlign w:val="center"/>
          </w:tcPr>
          <w:p>
            <w:pPr>
              <w:pStyle w:val="TableText"/>
              <w:jc w:val="left"/>
            </w:pPr>
            <w:r>
              <w:rPr>
                <w:lang w:val="en-US" w:eastAsia="en-US" w:bidi="ar-SA"/>
              </w:rPr>
              <w:t>Containing 80% or more by weight of polyester staple fibres, of uneven thickness with slubs, loops or similar irregularities, measuring 1,000 decitex or less (10 metric number or more), for use in the manufacture of curtains of a weight not exceeding 100 g/m²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5509.41.90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5509.42.00</w:t>
            </w:r>
          </w:p>
        </w:tc>
        <w:tc>
          <w:tcPr>
            <w:tcW w:w="4679" w:type="dxa"/>
            <w:tcMar>
              <w:top w:w="70" w:type="dxa"/>
              <w:start w:w="110" w:type="dxa"/>
              <w:bottom w:w="70" w:type="dxa"/>
              <w:end w:w="110" w:type="dxa"/>
            </w:tcMar>
            <w:vAlign w:val="center"/>
          </w:tcPr>
          <w:p>
            <w:pPr>
              <w:pStyle w:val="TableText"/>
              <w:jc w:val="left"/>
            </w:pPr>
            <w:r>
              <w:rPr>
                <w:lang w:val="en-US" w:eastAsia="en-US" w:bidi="ar-SA"/>
              </w:rPr>
              <w:t>Multiple (folded) or cabled yarn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Mixed mainly or solely with artificial staple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5509.52.10</w:t>
            </w:r>
          </w:p>
        </w:tc>
        <w:tc>
          <w:tcPr>
            <w:tcW w:w="4679" w:type="dxa"/>
            <w:tcMar>
              <w:top w:w="70" w:type="dxa"/>
              <w:start w:w="110" w:type="dxa"/>
              <w:bottom w:w="70" w:type="dxa"/>
              <w:end w:w="110" w:type="dxa"/>
            </w:tcMar>
            <w:vAlign w:val="center"/>
          </w:tcPr>
          <w:p>
            <w:pPr>
              <w:pStyle w:val="TableText"/>
              <w:jc w:val="left"/>
            </w:pPr>
            <w:r>
              <w:rPr>
                <w:lang w:val="en-US" w:eastAsia="en-US" w:bidi="ar-SA"/>
              </w:rPr>
              <w:t>Solely of combed wool and polyester staple fibres, containing 40% or more by weight of wool, for use in the manufacture of woven combed fabrics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5509.52.90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5509.53.10</w:t>
            </w:r>
          </w:p>
        </w:tc>
        <w:tc>
          <w:tcPr>
            <w:tcW w:w="4679" w:type="dxa"/>
            <w:tcMar>
              <w:top w:w="70" w:type="dxa"/>
              <w:start w:w="110" w:type="dxa"/>
              <w:bottom w:w="70" w:type="dxa"/>
              <w:end w:w="110" w:type="dxa"/>
            </w:tcMar>
            <w:vAlign w:val="center"/>
          </w:tcPr>
          <w:p>
            <w:pPr>
              <w:pStyle w:val="TableText"/>
              <w:jc w:val="left"/>
            </w:pPr>
            <w:r>
              <w:rPr>
                <w:lang w:val="en-US" w:eastAsia="en-US" w:bidi="ar-SA"/>
              </w:rPr>
              <w:t>Solely of white or off-white cotton and white polyester staple fibres, containing not more than 80% by weight of</w:t>
            </w:r>
          </w:p>
        </w:tc>
      </w:tr>
    </w:tbl>
    <w:p>
      <w:pPr>
        <w:pStyle w:val="Normal"/>
      </w:pPr>
      <w:r>
        <w:t>white polyester staple fibres, single, ring-spun (but not including mock twist or heather yarns), unbleached or bleached, measuring 190 decitex or less (52.63 metric number or more), for use in the manufacture of knitted fabrics or knitted garments 5509.53.20 Solely of white or off-white cotton and white polyester staple fibres, containing 50% by weight of white polyester staple fibres, single, combed, ring-spun (but not including mock twist or heather yarns), unbleached or bleached, measuring 492 decitex (12s cotton count), 328 decitex (18s cotton count) or 246 decitex (24s cotton count), for use in the manufacture apparel 5509.53.30 Solely of white or off-white cotton and white polyester staple fibres, containing 52% by weight of white polyester staple fibres, single, combed, ring-spun (but not including mock twist or heather yarns), unbleached or bleached, measuring 492 decitex (12s cotton count), 328 decitex (18s cotton count) or 246 decitex (24s cotton count), for use in the manufacture of apparel</w:t>
      </w:r>
    </w:p>
    <w:p>
      <w:pPr>
        <w:pStyle w:val="Normal"/>
      </w:pPr>
      <w:r>
        <w:t>5509.53.40 Solely of white or off-white cotton and white polyester staple fibres, containing 55% by weight of white polyester staple fibres, single, combed, ring-spun (but not including mock twist or heather yarns), unbleached or bleached, measuring 492 decitex (12s cotton count), 328 decitex (18s cotton count) or 246 decitex (24s cotton count), for use in the manufacture of apparel 5509.53.90 Other 5509.59.00 Other 5509.61.00 Mixed mainly or solely with wool or fine animal</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5509.62.00</w:t>
            </w:r>
          </w:p>
        </w:tc>
        <w:tc>
          <w:tcPr>
            <w:tcW w:w="4679" w:type="dxa"/>
            <w:tcMar>
              <w:top w:w="70" w:type="dxa"/>
              <w:start w:w="110" w:type="dxa"/>
              <w:bottom w:w="70" w:type="dxa"/>
              <w:end w:w="110" w:type="dxa"/>
            </w:tcMar>
            <w:vAlign w:val="center"/>
          </w:tcPr>
          <w:p>
            <w:pPr>
              <w:pStyle w:val="TableText"/>
              <w:jc w:val="left"/>
            </w:pPr>
            <w:r>
              <w:rPr>
                <w:lang w:val="en-US" w:eastAsia="en-US" w:bidi="ar-SA"/>
              </w:rPr>
              <w:t>hair Mixed mainly or solely with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5509.69.00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5509.91.00</w:t>
            </w:r>
          </w:p>
        </w:tc>
        <w:tc>
          <w:tcPr>
            <w:tcW w:w="4679" w:type="dxa"/>
            <w:tcMar>
              <w:top w:w="70" w:type="dxa"/>
              <w:start w:w="110" w:type="dxa"/>
              <w:bottom w:w="70" w:type="dxa"/>
              <w:end w:w="110" w:type="dxa"/>
            </w:tcMar>
            <w:vAlign w:val="center"/>
          </w:tcPr>
          <w:p>
            <w:pPr>
              <w:pStyle w:val="TableText"/>
              <w:jc w:val="left"/>
            </w:pPr>
            <w:r>
              <w:rPr>
                <w:lang w:val="en-US" w:eastAsia="en-US" w:bidi="ar-SA"/>
              </w:rPr>
              <w:t>Mixed mainly or solely with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5509.92.00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Mixed mainly or solely with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5509.99.00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5510.11.10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artificial staple fibres other than acetate fibres, or mixed solely with 15% or less by weight of any natural fibre, measuring less than 210 decitex, for use in the manufacture of circular knitted apparel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5510.11.90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5510.12.10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viscose rayon, measuring per single yarn less than 175 decitex, for use in the manufacture of mattress ticking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5510.12.90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5510.20.10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viscose rayon fibres and 25% or more by weight of goat hair, for use in the manufacture of interlining fabrics for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5510.20.90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5510.30.10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Single yarn containing 50% or more by weight of artificial staple fibres other than acetate fibres, mixed solely with cotton fibres, measuring less than 210 decitex, for use in the manufacture of circular knitted apparel fabrics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5510.30.90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5510.90.00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yarn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5511.10.00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staple fibres, containing 85% or more by weight of such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staple fibres, containing less than 85% by weight of such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5511.30.00</w:t>
            </w:r>
          </w:p>
        </w:tc>
        <w:tc>
          <w:tcPr>
            <w:tcW w:w="4679" w:type="dxa"/>
            <w:tcMar>
              <w:top w:w="70" w:type="dxa"/>
              <w:start w:w="110" w:type="dxa"/>
              <w:bottom w:w="70" w:type="dxa"/>
              <w:end w:w="110" w:type="dxa"/>
            </w:tcMar>
            <w:vAlign w:val="center"/>
          </w:tcPr>
          <w:p>
            <w:pPr>
              <w:pStyle w:val="TableText"/>
              <w:jc w:val="left"/>
            </w:pPr>
            <w:r>
              <w:rPr>
                <w:lang w:val="en-US" w:eastAsia="en-US" w:bidi="ar-SA"/>
              </w:rPr>
              <w:t>Of artificial staple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5512.11.10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Solely of polyester staple fibres, for use in the manufacture of family or recreational tents of a floor area of 3 m² or more but not exceeding 21 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5512.11.30</w:t>
            </w:r>
          </w:p>
        </w:tc>
        <w:tc>
          <w:tcPr>
            <w:tcW w:w="4679" w:type="dxa"/>
            <w:tcMar>
              <w:top w:w="70" w:type="dxa"/>
              <w:start w:w="110" w:type="dxa"/>
              <w:bottom w:w="70" w:type="dxa"/>
              <w:end w:w="110" w:type="dxa"/>
            </w:tcMar>
            <w:vAlign w:val="center"/>
          </w:tcPr>
          <w:p>
            <w:pPr>
              <w:pStyle w:val="TableText"/>
              <w:jc w:val="left"/>
            </w:pPr>
            <w:r>
              <w:rPr>
                <w:lang w:val="en-US" w:eastAsia="en-US" w:bidi="ar-SA"/>
              </w:rPr>
              <w:t>Woven fabrics of polyester staple fibres mixed solely with cotton, unbleached or</w:t>
            </w:r>
          </w:p>
        </w:tc>
      </w:tr>
    </w:tbl>
    <w:p>
      <w:pPr>
        <w:pStyle w:val="Normal"/>
      </w:pPr>
      <w:r>
        <w:t>bleached, ring-spun, having a metric twist factor ([turns per metre] x [square root of tex] x 0.01) of 45 or more in the warp or the weft, for use by textile converters only to produce dyed and finished fabrics for the apparel and footwear industries 5512.11.91 Other: For use in the manufacture of apparel 5512.11.99 Other: Other 5512.19.10 Solely of polyester staple fibres, for use in the manufacture of family or recreational tents of a floor area of 3 m² or more but not exceeding 21 m² 5512.19.91 Other: Fabrics (other than solely of polyester staple fibres), for use in the manufacture of apparel 5512.19.99 Other: Other 5512.21.10 For use in the manufacture of apparel 5512.21.90 Other 5512.29.10 Plain woven fabrics, solely of acrylic staple fibres made from 2 ply yarns, having a decitex per single yarn of 295 or more but not exceeding 315 decitex, of a weight of 280 g/m² or more but not exceeding 320 g/m², for use in the manufacture of retractable awnings or sun umbrellas 5512.29.91 Other:</w:t>
      </w:r>
    </w:p>
    <w:p>
      <w:pPr>
        <w:pStyle w:val="Normal"/>
      </w:pPr>
      <w:r>
        <w:t>For use in the manufacture of apparel 5512.29.99 Other: Other 5512.91.10 Fabrics (other than woven fabrics of aramid fibres), for use in the manufacture of apparel 5512.91.90 Other 5512.99.10 Containing 83% or more by weight of vinal staple fibres and 13% or more by weight of polynosic staple fibres, for use in the manufacture of protective outerwear worn in high temperature applications in aluminum plants 5512.99.91 Other: Fabrics (other than woven fabrics of aramid staple fibres), for</w:t>
      </w:r>
    </w:p>
    <w:p>
      <w:pPr>
        <w:pStyle w:val="Normal"/>
      </w:pPr>
      <w:r>
        <w:t>use in the manufacture of apparel 5512.99.99 Other: Other 5513.11.20 Woven fabrics of polyester staple fibres mixed solely with cotton, unbleached or bleached, ring-spun, having a metric twist factor ([turns per metre] x [square root of tex] x 0.01) of 45 or more in the warp or the weft, for use by textile converters only to produce dyed and finished fabrics for the apparel and footwear industries 5513.11.30 Plain woven fabrics, unbleached or bleached, containing 65% or more by weight of polyester fibres mixed solely with cotton, of a weight not exceeding 100 g/m² and a width of 183 cm or more, to be dyed or printed, for use in the manufacture of the following bedding products: comforters, duvets, pillow shams and bed skirts 5513.11.91 Other: For use in the manufacture of apparel 5513.11.99 Other:</w:t>
      </w:r>
    </w:p>
    <w:p>
      <w:pPr>
        <w:pStyle w:val="Normal"/>
      </w:pPr>
      <w:r>
        <w:t>Other 5513.12.10 Woven fabrics of polyester staple fibres mixed solely with cotton, unbleached or bleached, ring-spun, having a metric twist factor ([turns per metre] x [square root of tex] x 0.01) of 45 or more in the warp or the weft, for use by textile converters only to produce dyed and finished fabrics for the apparel and footwear industries 5513.12.91 Other: For use in the manufacture of apparel 5513.12.99 Other: Other 5513.13.10 Woven fabrics of polyester staple fibres mixed solely with cotton, unbleached or bleached, ring-spun, having a metric twist factor ([turns per metre] x [square root of tex] x 0.01) of 45 or more in the warp or the weft, for use by textile converters</w:t>
      </w:r>
    </w:p>
    <w:p>
      <w:pPr>
        <w:pStyle w:val="Normal"/>
      </w:pPr>
      <w:r>
        <w:t>only to produce dyed and finished fabrics for the apparel and footwear industries 5513.13.91 Other: For use in the manufacture of apparel 5513.13.99 Other: Other 5513.19.00 Other woven fabrics 5513.21.00 Of polyester staple fibres, plain weave 5513.23.11 3-thread or 4-thread twill, including cross twill, of polyester staple fibres:</w:t>
      </w:r>
    </w:p>
    <w:p>
      <w:pPr>
        <w:pStyle w:val="Normal"/>
      </w:pPr>
      <w:r>
        <w:t>Containing 60% or more by weight of polyester staple fibres, 30% or more by weight of cotton fibres and 5% or more by weight of elastomeric monofilaments, 4-thread twill, measuring 170 decitex or more but not exceeding 180 decitex in the warp, per single yarn, and measuring 315 decitex or more but not exceeding 333 decitex in the weft, per single yarn, having a yarn count in the warp of 423 or more but not exceeding 447 per 10 cm, and a yarn count in the weft of 246 or more but not exceeding 262 per 10 cm, of a weight not exceeding 170 g/m², with a value of $7.50 or more per square metre, for use in the manufacture of uniform or hiking pants and shorts or bicycle touring shorts 5513.23.19 3-thread or 4-thread twill, including cross twill, of polyester staple fibres: Other 5513.23.91 Other: For use in the manufacture of apparel 5513.23.99 Other:</w:t>
      </w:r>
    </w:p>
    <w:p>
      <w:pPr>
        <w:pStyle w:val="Normal"/>
      </w:pPr>
      <w:r>
        <w:t>Other 5513.29.00 Other woven fabrics 5513.31.20 For use in the manufacture of apparel 5513.31.90 Other 5513.39.11 3-thread or 4-thread twill, including cross twill, of polyester staple fibres; other woven fabrics of polyester staple fibres: For use in the manufacture of apparel 5513.39.19 3-thread or</w:t>
      </w:r>
    </w:p>
    <w:p>
      <w:pPr>
        <w:pStyle w:val="Normal"/>
      </w:pPr>
      <w:r>
        <w:t>4-thread twill, including cross twill, of polyester staple fibres; other woven fabrics of polyester staple fibres: Other 5513.39.91 Other: For use in the manufacture of apparel 5513.39.99 Other:</w:t>
      </w:r>
    </w:p>
    <w:p>
      <w:pPr>
        <w:pStyle w:val="Normal"/>
      </w:pPr>
      <w:r>
        <w:t>Other 5513.41.10 Of polyester staple fibres mixed solely with cotton, of a seersucker or similar crinkle stripe appearance, of a weight not exceeding 100 g/m², for use in the manufacture of apparel 5513.41.20 Of polyester staple fibres, mixed solely with cotton, of a weight not excceeding 100 g/m², for use in the manufacture of apparel 5513.41.30 Of polyester staple fibres, mixed solely with cotton, of a weight not exceeding 100g/m², for use in the manufacture of sleeping bags 5513.41.90 Other 5513.49.00 Other woven fabrics 5514.11.00 Of polyester staple fibres, plain weave 5514.12.00 3-thread or 4-thread twill, including cross twill, of polyester staple fibres 5514.19.00 Other woven fabrics 5514.21.00 Of polyester staple fibres, plain weave 5514.22.00 3-thread or 4-thread twill, including cross twill, of polyester staple fibres 5514.23.10 For use in the manufacture of apparel 5514.23.90 Other 5514.29.00 Other woven fabrics 5514.30.00 Of yarns of different colours 5514.41.00 Of polyester staple fibres, plain weave 5514.42.00 3-thread or 4-thread twill, including cross twill, of polyester staple fibres 5514.43.10 For use in the manufacture of apparel 5514.43.90 Other 5514.49.10 For use in the manufacture of apparel 5514.49.90 Other 5515.11.10 Solely of polyester fibres and viscose</w:t>
      </w:r>
    </w:p>
    <w:p>
      <w:pPr>
        <w:pStyle w:val="Normal"/>
      </w:pPr>
      <w:r>
        <w:t>rayon staple fibres, or solely of polyester fibres, viscose rayon fibres and flax, with a twist of 1,050 turns or more per metre in the warp or the weft, unbleached or bleached, of a weight not exceeding 300 g/m², to produced dyed fabrics for the manufacture of apparel 5515.11.20 Containing 60% or more by weight of polyester staple fibres, 30% or more by weight of rayon staple fibres, mixed with 10% or less by weight of elastomeric monofilament, constructed in both the warp and the weft of 2-ply yarns that are also plied with an elastomeric monofilament, with a twist of 450 turns or more per metre, of a weight of 200 g/m² or more, for use in the manufacture of apparel 5515.11.30 Of a weight exceeding 300 g/m² for use in the manufacture of apparel 5515.11.90 Other 5515.12.00 Mixed mainly or solely with man-made filaments 5515.13.00 Mixed mainly or solely with wool or fine animal hair 5515.19.10 For use in the manufacture of apparel 5515.19.90 Other</w:t>
      </w:r>
    </w:p>
    <w:p>
      <w:pPr>
        <w:pStyle w:val="Normal"/>
      </w:pPr>
      <w:r>
        <w:t>5515.21.10 Fabrics (other than fabrics containing polyester filaments, polyester staple fibres and acrylic staple fibres), for use in the manufacture of apparel 5515.21.90 Other 5515.22.00 Mixed mainly or solely with wool or fine animal hair 5515.29.10 For use in the manufacture of apparel 5515.29.90 Other 5515.91.10 For use in the manufacture of apparel 5515.91.90 Other 5515.99.11 Mixed mainly or solely with wool or fine animal hair:</w:t>
      </w:r>
    </w:p>
    <w:p>
      <w:pPr>
        <w:pStyle w:val="Normal"/>
      </w:pPr>
      <w:r>
        <w:t>For use in the manufacture of apparel 5515.99.19 Mixed mainly or solely with wool or fine animal</w:t>
      </w:r>
    </w:p>
    <w:p>
      <w:pPr>
        <w:pStyle w:val="Normal"/>
      </w:pPr>
      <w:r>
        <w:t>hair: Other 5515.99.91 Other: Fabrics (other than fabrics containing aramid staple fibres), for use in the manufacture of apparel 5515.99.99 Other: Other 5516.11.00 Unbleached or bleached 5516.12.10 Fabrics (other than fabrics solely of Lyocell staple fibres), for use in the manufacture of apparel 5516.12.91 Other: Solely of rayon, of a width exceeding 280 cm, having a sum of yarns per 10 cm in the warp and the weft of 1,085 or more, for use in the manufacture of bed linen, duvet covers, pillow shams, cushions and cushion covers 5516.12.99 Other: Other 5516.13.10 For use in the manufacture of apparel 5516.13.90 Other 5516.14.20 Fabrics (other than fabrics solely of Lyocell staple fibres), for use in the manufacture of apparel 5516.14.90 Other 5516.21.10 Solely of polyester fibres and viscose rayon staple fibres, or solely of polyester fibres, viscose rayon fibres and flax, with a twist or 1,050 turns or more per metre in the warp or the weft, of a weight not exceeding 300 g/m², to produce dyed fabrics for the manufacture of apparel 5516.21.91 Other:</w:t>
      </w:r>
    </w:p>
    <w:p>
      <w:pPr>
        <w:pStyle w:val="Normal"/>
      </w:pPr>
      <w:r>
        <w:t>Fabrics (other than fabrics containing polyester filaments, polyester staple fibres and rayon staple fibres), for use in the manufacture of apparel 5516.21.99 Other: Other 5516.22.00 Dyed 5516.23.10 Of rayon mixed solely with polypropylene, for use as ticking in the manufacture of mattresses or mattress supports 5516.23.91 Other: For use in the manufacture of apparel 5516.23.99 Other: Other 5516.24.10 Containing 85% or more of</w:t>
      </w:r>
    </w:p>
    <w:p>
      <w:pPr>
        <w:pStyle w:val="Normal"/>
      </w:pPr>
      <w:r>
        <w:t>viscose rayon or cuprammonium rayon, valued at $5.00/m² or more, for use in the manufacture of apparel 5516.24.90 Other 5516.31.00 Unbleached or bleached 5516.32.00 Dyed 5516.33.00 Of yarns of different colours 5516.34.00 Printed 5516.41.00 Unbleached or bleached 5516.42.00 Dyed 5516.43.00 Of yarns of different colours 5516.44.00 Printed 5516.91.10 Solely of polyester fibres and viscose rayon staple fibres, or solely of polyester fibres, viscose rayon fibres and flax, with a twist of 1,050 turns or more per metre in the warp or the weft, of a weight not exceeding 300 g/m², to produce dyed fabrics for the manufacture of apparel 5516.91.91 Other: Fabrics (other than fabrics containing Lyocell, viscose staple fibres or aramid fibres), for use in the manufacture of apparel 5516.91.92 Other: Plain weave fabric, of unbleached yarns, composed predominately of viscose rayon staple fibres, mixed mainly with horsehair, cotton and polyester staple fibres, of a weight not exceeding 225 g/m², for use in the manufacture of apparel 5516.91.99 Other:</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5516.92.00</w:t>
            </w:r>
          </w:p>
        </w:tc>
        <w:tc>
          <w:tcPr>
            <w:tcW w:w="4679" w:type="dxa"/>
            <w:tcMar>
              <w:top w:w="70" w:type="dxa"/>
              <w:start w:w="110" w:type="dxa"/>
              <w:bottom w:w="70" w:type="dxa"/>
              <w:end w:w="110" w:type="dxa"/>
            </w:tcMar>
            <w:vAlign w:val="center"/>
          </w:tcPr>
          <w:p>
            <w:pPr>
              <w:pStyle w:val="TableText"/>
              <w:jc w:val="left"/>
            </w:pPr>
            <w:r>
              <w:rPr>
                <w:lang w:val="en-US" w:eastAsia="en-US" w:bidi="ar-SA"/>
              </w:rPr>
              <w:t>Dyed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5516.93.00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yarns of different colours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5516.94.10</w:t>
            </w:r>
          </w:p>
        </w:tc>
        <w:tc>
          <w:tcPr>
            <w:tcW w:w="4679" w:type="dxa"/>
            <w:tcMar>
              <w:top w:w="70" w:type="dxa"/>
              <w:start w:w="110" w:type="dxa"/>
              <w:bottom w:w="70" w:type="dxa"/>
              <w:end w:w="110" w:type="dxa"/>
            </w:tcMar>
            <w:vAlign w:val="center"/>
          </w:tcPr>
          <w:p>
            <w:pPr>
              <w:pStyle w:val="TableText"/>
              <w:jc w:val="left"/>
            </w:pPr>
            <w:r>
              <w:rPr>
                <w:lang w:val="en-US" w:eastAsia="en-US" w:bidi="ar-SA"/>
              </w:rPr>
              <w:t>Fabrics (other than fabrics containing Lyocell, viscose staple fibres or aramid fibres), for use in the manufacture of apparel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5516.94.90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5601.21.10</w:t>
            </w:r>
          </w:p>
        </w:tc>
        <w:tc>
          <w:tcPr>
            <w:tcW w:w="4679" w:type="dxa"/>
            <w:tcMar>
              <w:top w:w="70" w:type="dxa"/>
              <w:start w:w="110" w:type="dxa"/>
              <w:bottom w:w="70" w:type="dxa"/>
              <w:end w:w="110" w:type="dxa"/>
            </w:tcMar>
            <w:vAlign w:val="center"/>
          </w:tcPr>
          <w:p>
            <w:pPr>
              <w:pStyle w:val="TableText"/>
              <w:jc w:val="left"/>
            </w:pPr>
            <w:r>
              <w:rPr>
                <w:lang w:val="en-US" w:eastAsia="en-US" w:bidi="ar-SA"/>
              </w:rPr>
              <w:t>Strips of wadding, for use in the manufacture of tampons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5601.21.21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wadding: 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5601.21.29</w:t>
            </w:r>
          </w:p>
        </w:tc>
        <w:tc>
          <w:tcPr>
            <w:tcW w:w="4679" w:type="dxa"/>
            <w:tcMar>
              <w:top w:w="70" w:type="dxa"/>
              <w:start w:w="110" w:type="dxa"/>
              <w:bottom w:w="70" w:type="dxa"/>
              <w:end w:w="110" w:type="dxa"/>
            </w:tcMar>
            <w:vAlign w:val="center"/>
          </w:tcPr>
          <w:p>
            <w:pPr>
              <w:pStyle w:val="TableText"/>
              <w:jc w:val="left"/>
            </w:pPr>
            <w:r>
              <w:rPr>
                <w:lang w:val="en-US" w:eastAsia="en-US" w:bidi="ar-SA"/>
              </w:rPr>
              <w:t>Other wadding: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5601.21.30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Articles of wadding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5601.22.40</w:t>
            </w:r>
          </w:p>
        </w:tc>
        <w:tc>
          <w:tcPr>
            <w:tcW w:w="4679" w:type="dxa"/>
            <w:tcMar>
              <w:top w:w="70" w:type="dxa"/>
              <w:start w:w="110" w:type="dxa"/>
              <w:bottom w:w="70" w:type="dxa"/>
              <w:end w:w="110" w:type="dxa"/>
            </w:tcMar>
            <w:vAlign w:val="center"/>
          </w:tcPr>
          <w:p>
            <w:pPr>
              <w:pStyle w:val="TableText"/>
              <w:jc w:val="left"/>
            </w:pPr>
            <w:r>
              <w:rPr>
                <w:lang w:val="en-US" w:eastAsia="en-US" w:bidi="ar-SA"/>
              </w:rPr>
              <w:t>Wadding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5601.22.50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r>
          </w:p>
        </w:tc>
      </w:tr>
    </w:tbl>
    <w:p>
      <w:pPr>
        <w:pStyle w:val="Normal"/>
      </w:pPr>
      <w:r>
        <w:t>Articles of wadding 5601.29.00 Other 5601.30.00 Textile flock and dust and mill neps 5602.10.10 Needleloom felt, certified by the exporter to be products that have been impregnated with polyurethane which has been coagulated, whether or not further coated or covered, for use in the manufacture of clothing accessories, parts of garments or trimmings for garments, including labels, badges and similar articles of a kind normally sewn to the outer part of wearing apparel 5602.10.20 Needleloom felt, not impregnated, coated, covered or laminated, containing 10% or more of wool or fine animal hair, for use in the manufacture of apparel 5602.10.90 Other 5602.21.10 Pressure pads for use in the manufacture of tape cassettes or tape cartridges 5602.21.91 Other: For use in the manufacture of apparel 5602.21.99 Other:</w:t>
      </w:r>
    </w:p>
    <w:p>
      <w:pPr>
        <w:pStyle w:val="Normal"/>
      </w:pPr>
      <w:r>
        <w:t>Other 5602.29.00 Of other textile materials 5602.90.10 For use in the manufacture of apparel 5602.90.90 Other 5603.11.00 Weighing not more than 25 g/m² 5603.12.00 Weighing more than 25 g/m² but not more than 70 g/m² 5603.13.00 Weighing more than 70 g/m² but not more than 150 g/m² 5603.14.00 Weighing more than 150 g/m² 5603.91.00 Weighing not more than 25 g/m² 5603.92.00 Weighing more than 25 g/m² but not more than 70 g/m² 5603.93.00 Weighing more than 70 g/m² but not more than 150 g/m² 5603.94.00 Weighing more than 150 g/m² 5604.10.00 Rubber thread and cord, textile covered 5604.90.10 High tenacity yarn of polyesters, of nylon or other polyamides or of viscose rayon,</w:t>
      </w:r>
    </w:p>
    <w:p>
      <w:pPr>
        <w:pStyle w:val="Normal"/>
      </w:pPr>
      <w:r>
        <w:t>impregnated or coated, excluding yarn solely of viscose, single, with a twist not exceeding 150 turns per metre 5604.90.20 Solely of viscose rayon, single, with a twist not exceeding 150 turns per metre 5604.90.90 Other 5605.00.00 Metallized yarn, whether or not gimped, being textile yarn, or strip or the like of heading 54.04 or 54.05, combined with metal in the form of thread, strip or powder or covered with metal. 5606.00.00 Gimped yarn, and strip and the like of heading 54.04 or 54.05, gimped (other than those of heading 56.05 and gimped horsehair yarn); chenille yarn (including flock chenille yarn); loop wale- yarn. 5607.21.00 Binder or baler twine 5607.29.10 Of a circumference not exceeding 38 mm, to be employed in commercial fishing or in the commercial harvesting of marine plants; Twine, to be employed in baling farm produce 5607.29.20 Other, of a circumference not exceeding 25.4 mm 5607.29.90 Other 5607.41.00 Binder or baler twine 5607.49.10 Rope, for climbing or mountaineering, manufactured to the standards of the Union Internationale des Associations d’Alpinisme;</w:t>
      </w:r>
    </w:p>
    <w:p>
      <w:pPr>
        <w:pStyle w:val="Normal"/>
      </w:pPr>
      <w:r>
        <w:t>Seine rope, of a circumference of 60 mm or more, consisting of multiple ropes of polypropylene and twisted steel wires surrounding a core of multiple ropes of polypropylene, to be employed in commercial fishing or in the commercial harvesting of marine plants; Of a circumference not exceeding 38 mm, to be employed in commercial fishing or in the commercial harvesting of marine plants; Twine, to be</w:t>
      </w:r>
    </w:p>
    <w:p>
      <w:pPr>
        <w:pStyle w:val="Normal"/>
      </w:pPr>
      <w:r>
        <w:t>employed in baling farm produce 5607.49.20 Other, of a circumference not exceeding 25.4 mm 5607.49.90 Other 5607.50.10 Braided cord, solely of polyester, electrically conductive, of a circumference exceeding 29 mm but not exceeding 40 mm, for use in the manufacture or refurbishing of electrical generators; Of a circumference not exceeding 38 mm, to be employed in commercial fishing or in the commercial harvesting of marine plants; Rope, for climbing or mountaineering, manufactured to the standards of the Union Internationale des Associations d’Alpinisme 5607.50.20 Other, of a circumference not exceeding 25.4 mm 5607.50.90 Other 5607.90.10 Jute twine for use in the manufacture of backing for area carpets; Of a circumference not exceeding 38 mm, to be employed in commercial fishing or in the commercial harvesting of marine plants; Rope, for climbing or mountaineering, manufactured to the standards of the Union Internationale des Associations d’Alpinisme 5607.90.20 Other, of a circumference not exceeding 25.4 mm;</w:t>
      </w:r>
    </w:p>
    <w:p>
      <w:pPr>
        <w:pStyle w:val="Normal"/>
      </w:pPr>
      <w:r>
        <w:t>Other, of jute or other textile bast fibres of heading 53.03 5607.90.90 Other 5608.11.10 To be employed in commercial fishing 5608.11.90 Other 5608.19.10 Netting, to be employed in commercial fishing or in the commercial harvesting of marine plants; Made up nets, solely of polyethylene monofilament, to be employed in the protection of fruit crops from birds 5608.19.20 Knotted netting, open square mesh, of tubular braided twine of polyethylene filaments, for use in the</w:t>
      </w:r>
    </w:p>
    <w:p>
      <w:pPr>
        <w:pStyle w:val="Normal"/>
      </w:pPr>
      <w:r>
        <w:t>manufacture of tennis nets 5608.19.90 Other 5608.90.10 Fishing nets and netting, to be employed in commercial fishing or in the commercial harvesting of marine plants 5608.90.90 Other 5609.00.00 Articles of yarn, strip or the like of heading 54.04 or 54.05, twine, cordage, rope or cables, not elsewhere specified or included.</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5701.10.10</w:t>
            </w:r>
          </w:p>
        </w:tc>
        <w:tc>
          <w:tcPr>
            <w:tcW w:w="4679" w:type="dxa"/>
            <w:tcMar>
              <w:top w:w="70" w:type="dxa"/>
              <w:start w:w="110" w:type="dxa"/>
              <w:bottom w:w="70" w:type="dxa"/>
              <w:end w:w="110" w:type="dxa"/>
            </w:tcMar>
            <w:vAlign w:val="center"/>
          </w:tcPr>
          <w:p>
            <w:pPr>
              <w:pStyle w:val="TableText"/>
              <w:jc w:val="left"/>
            </w:pPr>
            <w:r>
              <w:rPr>
                <w:lang w:val="en-US" w:eastAsia="en-US" w:bidi="ar-SA"/>
              </w:rPr>
              <w:t>Machine knotted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5701.10.90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5701.90.10</w:t>
            </w:r>
          </w:p>
        </w:tc>
        <w:tc>
          <w:tcPr>
            <w:tcW w:w="4679" w:type="dxa"/>
            <w:tcMar>
              <w:top w:w="70" w:type="dxa"/>
              <w:start w:w="110" w:type="dxa"/>
              <w:bottom w:w="70" w:type="dxa"/>
              <w:end w:w="110" w:type="dxa"/>
            </w:tcMar>
            <w:vAlign w:val="center"/>
          </w:tcPr>
          <w:p>
            <w:pPr>
              <w:pStyle w:val="TableText"/>
              <w:jc w:val="left"/>
            </w:pPr>
            <w:r>
              <w:rPr>
                <w:lang w:val="en-US" w:eastAsia="en-US" w:bidi="ar-SA"/>
              </w:rPr>
              <w:t>Machine knotted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5701.90.90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5702.10.00</w:t>
            </w:r>
          </w:p>
        </w:tc>
        <w:tc>
          <w:tcPr>
            <w:tcW w:w="4679" w:type="dxa"/>
            <w:tcMar>
              <w:top w:w="70" w:type="dxa"/>
              <w:start w:w="110" w:type="dxa"/>
              <w:bottom w:w="70" w:type="dxa"/>
              <w:end w:w="110" w:type="dxa"/>
            </w:tcMar>
            <w:vAlign w:val="center"/>
          </w:tcPr>
          <w:p>
            <w:pPr>
              <w:pStyle w:val="TableText"/>
              <w:jc w:val="left"/>
            </w:pPr>
            <w:r>
              <w:rPr>
                <w:lang w:val="en-US" w:eastAsia="en-US" w:bidi="ar-SA"/>
              </w:rPr>
              <w:t>“</w:t>
            </w:r>
            <w:r>
              <w:rPr>
                <w:lang w:val="en-US" w:eastAsia="en-US" w:bidi="ar-SA"/>
              </w:rPr>
              <w:t>Kelem”, “Schumacks”, “Karamanie” and similar hand-woven rugs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Floor coverings of coconut fibres (coir)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5702.31.00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5702.32.00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5702.39.00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5702.41.00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5702.42.00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5702.49.00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5702.50.10</w:t>
            </w:r>
          </w:p>
        </w:tc>
        <w:tc>
          <w:tcPr>
            <w:tcW w:w="4679" w:type="dxa"/>
            <w:tcMar>
              <w:top w:w="70" w:type="dxa"/>
              <w:start w:w="110" w:type="dxa"/>
              <w:bottom w:w="70" w:type="dxa"/>
              <w:end w:w="110" w:type="dxa"/>
            </w:tcMar>
            <w:vAlign w:val="center"/>
          </w:tcPr>
          <w:p>
            <w:pPr>
              <w:pStyle w:val="TableText"/>
              <w:jc w:val="left"/>
            </w:pPr>
            <w:r>
              <w:rPr>
                <w:lang w:val="en-US" w:eastAsia="en-US" w:bidi="ar-SA"/>
              </w:rPr>
              <w:t>Of straw, hemp, flax tow or jute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5702.50.90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5702.91.00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5702.92.00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5702.99.10</w:t>
            </w:r>
          </w:p>
        </w:tc>
        <w:tc>
          <w:tcPr>
            <w:tcW w:w="4679" w:type="dxa"/>
            <w:tcMar>
              <w:top w:w="70" w:type="dxa"/>
              <w:start w:w="110" w:type="dxa"/>
              <w:bottom w:w="70" w:type="dxa"/>
              <w:end w:w="110" w:type="dxa"/>
            </w:tcMar>
            <w:vAlign w:val="center"/>
          </w:tcPr>
          <w:p>
            <w:pPr>
              <w:pStyle w:val="TableText"/>
              <w:jc w:val="left"/>
            </w:pPr>
            <w:r>
              <w:rPr>
                <w:lang w:val="en-US" w:eastAsia="en-US" w:bidi="ar-SA"/>
              </w:rPr>
              <w:t>Of straw, hemp, flax tow or jute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5702.99.90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5703.10.10</w:t>
            </w:r>
          </w:p>
        </w:tc>
        <w:tc>
          <w:tcPr>
            <w:tcW w:w="4679" w:type="dxa"/>
            <w:tcMar>
              <w:top w:w="70" w:type="dxa"/>
              <w:start w:w="110" w:type="dxa"/>
              <w:bottom w:w="70" w:type="dxa"/>
              <w:end w:w="110" w:type="dxa"/>
            </w:tcMar>
            <w:vAlign w:val="center"/>
          </w:tcPr>
          <w:p>
            <w:pPr>
              <w:pStyle w:val="TableText"/>
              <w:jc w:val="left"/>
            </w:pPr>
            <w:r>
              <w:rPr>
                <w:lang w:val="en-US" w:eastAsia="en-US" w:bidi="ar-SA"/>
              </w:rPr>
              <w:t>Machine tufted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5703.10.90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5703.20.10</w:t>
            </w:r>
          </w:p>
        </w:tc>
        <w:tc>
          <w:tcPr>
            <w:tcW w:w="4679" w:type="dxa"/>
            <w:tcMar>
              <w:top w:w="70" w:type="dxa"/>
              <w:start w:w="110" w:type="dxa"/>
              <w:bottom w:w="70" w:type="dxa"/>
              <w:end w:w="110" w:type="dxa"/>
            </w:tcMar>
            <w:vAlign w:val="center"/>
          </w:tcPr>
          <w:p>
            <w:pPr>
              <w:pStyle w:val="TableText"/>
              <w:jc w:val="left"/>
            </w:pPr>
            <w:r>
              <w:rPr>
                <w:lang w:val="en-US" w:eastAsia="en-US" w:bidi="ar-SA"/>
              </w:rPr>
              <w:t>Machine tufted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5703.20.90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5703.30.10</w:t>
            </w:r>
          </w:p>
        </w:tc>
        <w:tc>
          <w:tcPr>
            <w:tcW w:w="4679" w:type="dxa"/>
            <w:tcMar>
              <w:top w:w="70" w:type="dxa"/>
              <w:start w:w="110" w:type="dxa"/>
              <w:bottom w:w="70" w:type="dxa"/>
              <w:end w:w="110" w:type="dxa"/>
            </w:tcMar>
            <w:vAlign w:val="center"/>
          </w:tcPr>
          <w:p>
            <w:pPr>
              <w:pStyle w:val="TableText"/>
              <w:jc w:val="left"/>
            </w:pPr>
            <w:r>
              <w:rPr>
                <w:lang w:val="en-US" w:eastAsia="en-US" w:bidi="ar-SA"/>
              </w:rPr>
              <w:t>Machine tufted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5703.30.90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5703.90.10</w:t>
            </w:r>
          </w:p>
        </w:tc>
        <w:tc>
          <w:tcPr>
            <w:tcW w:w="4679" w:type="dxa"/>
            <w:tcMar>
              <w:top w:w="70" w:type="dxa"/>
              <w:start w:w="110" w:type="dxa"/>
              <w:bottom w:w="70" w:type="dxa"/>
              <w:end w:w="110" w:type="dxa"/>
            </w:tcMar>
            <w:vAlign w:val="center"/>
          </w:tcPr>
          <w:p>
            <w:pPr>
              <w:pStyle w:val="TableText"/>
              <w:jc w:val="left"/>
            </w:pPr>
            <w:r>
              <w:rPr>
                <w:lang w:val="en-US" w:eastAsia="en-US" w:bidi="ar-SA"/>
              </w:rPr>
              <w:t>Machine tufted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5703.90.90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5704.10.00</w:t>
            </w:r>
          </w:p>
        </w:tc>
        <w:tc>
          <w:tcPr>
            <w:tcW w:w="4679" w:type="dxa"/>
            <w:tcMar>
              <w:top w:w="70" w:type="dxa"/>
              <w:start w:w="110" w:type="dxa"/>
              <w:bottom w:w="70" w:type="dxa"/>
              <w:end w:w="110" w:type="dxa"/>
            </w:tcMar>
            <w:vAlign w:val="center"/>
          </w:tcPr>
          <w:p>
            <w:pPr>
              <w:pStyle w:val="TableText"/>
              <w:jc w:val="left"/>
            </w:pPr>
            <w:r>
              <w:rPr>
                <w:lang w:val="en-US" w:eastAsia="en-US" w:bidi="ar-SA"/>
              </w:rPr>
              <w:t>Tiles, having a maximum surface area of 0.3 m²</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Tiles, having a maximum surface area exceeding 0.3 m² but not exceeding 1 m²</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5704.90.00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5705.00.00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carpets and other textile floor coverings, whether or not made up.</w:t>
            </w:r>
          </w:p>
        </w:tc>
      </w:tr>
    </w:tbl>
    <w:p>
      <w:pPr>
        <w:pStyle w:val="Normal"/>
      </w:pPr>
      <w:r>
        <w:t>5801.10.00 Of wool or fine animal hair 5801.21.00 Uncut weft pile fabrics 5801.22.00 Cut corduroy 5801.23.00 Other weft pile fabrics 5801.26.00 Chenille fabrics 5801.27.00 Warp pile fabrics 5801.31.00 Uncut weft pile fabrics 5801.32.00 Cut corduroy 5801.33.00 Other weft pile fabrics 5801.36.00 Chenille fabrics 5801.37.00 Warp pile fabrics 5801.90.00 Of other textile materials 5802.11.00 Unbleached 5802.19.00 Other 5802.20.00 Terry towelling and similar woven terry fabrics, of other textile materials 5802.30.00 Tufted textile fabrics 5803.00.00 Gauze, other than narrow fabrics of heading 58.06.</w:t>
      </w:r>
    </w:p>
    <w:p>
      <w:pPr>
        <w:pStyle w:val="Normal"/>
      </w:pPr>
      <w:r>
        <w:t>5804.10.00 Tulles and other net fabrics 5804.21.00 Of man-made fibres 5804.29.00 Of other textile materials 5804.30.00 Hand-made lace 5805.00.10 Hand-woven tapestries 5805.00.90 Other 5806.10.00 Woven pile fabrics (including terry towelling and similar terry fabrics) and chenille fabrics 5806.20.00 Other woven fabrics, containing by weight 5% or more of elastomeric yarn or rubber thread 5806.31.00 Of cotton 5806.32.00 Of man-made fibres 5806.39.00 Of other textile materials 5806.40.00 Fabrics consisting of warp without weft assembled by means of an adhesive (bolducs) 5807.10.00 Woven 5807.90.00 Other 5808.10.00 Braids in the piece 5808.90.00 Other 5809.00.00 Woven fabrics of metal thread and woven fabrics of metallized yarn of heading 56.05, of a kind used in apparel, as furnishing fabrics or for similar purposes, not elsewhere specified or included.</w:t>
      </w:r>
    </w:p>
    <w:p>
      <w:pPr>
        <w:pStyle w:val="Normal"/>
      </w:pPr>
      <w:r>
        <w:t>5810.10.00 Embroidery without visible ground 5810.91.00 Of cotton 5810.92.00 Of man-made fibres 5810.99.00 Of other textile materials 5811.00.10 Cotton piece goods 5811.00.21 Man-made piece goods: Polypropylene fibres for use in the manufacture of sorbent material for containment or clean-up of liquid spills 5811.00.29 Man-made piece goods: Other 5811.00.90 Other 5901.10.10 Holland cloth, solely of cotton fibres 5901.10.90 Other 5901.90.10 Prepared painting canvas 5901.90.90 Other 5902.10.00 Of nylon or other polyamides 5902.20.00 Of polyesters 5902.90.00 Other 5903.10.11 Textile fabrics not containing man-made fibres: Of a length of 9 m or more, for use in the manufacture of umbrellas having a rib length not exceeding 69 cm; Woven fabrics of cotton, impregnated and coated, with the weight of the unimpregnated/uncoated fabrics not exceeding 120 g/m² and the total weight of the impregnated/coated fabrics exceeding 430 g/m² but not exceeding 470 g/m², for use in the manufacture of apparel 5903.10.19 Textile fabrics not containing man-made fibres: Other 5903.10.21 Textile fabrics containing man-made fibres:</w:t>
      </w:r>
    </w:p>
    <w:p>
      <w:pPr>
        <w:pStyle w:val="Normal"/>
      </w:pPr>
      <w:r>
        <w:t>For use in the manufacture of headbands (hat sweats), linings (including tips and sides), peaks and stiffening bands for hats or caps; Of a length of 9 m or more, for use in the manufacture of umbrellas having a rib length not exceeding 69 cm; Coated open weave fabrics, solely of yarns of polyesters, or open weave fabrics, solely of yarns of polyesters which have been</w:t>
      </w:r>
    </w:p>
    <w:p>
      <w:pPr>
        <w:pStyle w:val="Normal"/>
      </w:pPr>
      <w:r>
        <w:t>extrusion or dip coated, for use in the manufacture of garden furniture, umbrellas for garden furniture or cushions for garden furniture; Woven fabrics of cotton mixed solely with polyesters, or solely of polyester staple fibres or of polyester staple fibres mixed solely with cotton, for use in the manufacture of family or recreational tents of a floor area of 3 m² or more but not exceeding 21 m² 5903.10.29 Textile fabrics containing man-made fibres: Other 5903.20.11 Textile fabrics not containing man-made fibres: With a leather- like coating solely of polyurethane on one side, the weight of the coating being 20% or more of the total weight of the coated fabric, for use in the manufacture of footwear or handbags;</w:t>
      </w:r>
    </w:p>
    <w:p>
      <w:pPr>
        <w:pStyle w:val="Normal"/>
      </w:pPr>
      <w:r>
        <w:t>Woven fabrics, certified by the exporter to be products that have been impregnated with polyurethane which has been coagulated, of a total weight, including the impregnation, exceeding 240 g/m², for use in the manufacture of clothing accessories, parts of garments or trimmings for garments, including labels, badges and similar articles of a kind normally sewn to the outer part of wearing apparel 5903.20.19 Textile fabrics not containing man-made fibres: Other 5903.20.21 Textile fabrics containing man-made fibres: Heat seal tape; With a leather-like coating solely of polyurethane on one side, the weight of the coating being 20% or more of the total weight of the coated fabric, for use in the manufacture of footwear or handbags; Woven fabrics, certified by the</w:t>
      </w:r>
    </w:p>
    <w:p>
      <w:pPr>
        <w:pStyle w:val="Normal"/>
      </w:pPr>
      <w:r>
        <w:t>exporter to be products that have been impregnated with polyurethane which has been coagulated, of a total weight, including the impregnation, exceeding 240 g/m², for use in the manufacture of clothing accessories, parts of garments or trimmings for garments, including labels, badges and similar articles of a kind normally sewn to the outer part of wearing apparel; Woven fabrics of cotton mixed solely with polyesters, or solely of polyester staple fibres or of polyester staple fibres mixed solely with cotton, for use in the manufacture of family or recreational tents of a floor area of 3 m² or more but not exceeding 21 m²; Woven tape, containing 50% by weight of cotton and 50% by weight of rayon fibres, coated with an adhesive, for use in the manufacture of footwear; Woven fabrics, solely of polyester filament yarns, the weight of the coated or covered fabric not exceeding 150 g/m², for use in the manufacture of aircraft 5903.20.22 Textile fabrics containing man-made fibres:</w:t>
      </w:r>
    </w:p>
    <w:p>
      <w:pPr>
        <w:pStyle w:val="Normal"/>
      </w:pPr>
      <w:r>
        <w:t>Woven fabrics, solely of single, non-textured nylon filament yarns, coated on one side with non-cellular polyurethane, with the total weight of the coated fabric not exceeding 72 g/m², for use in the manufacture of family or recreational tents of a floor area of 3 m² or more but not exceeding 21 m², or tent flies 5903.20.23 Textile fabrics containing man-made fibres: Imitation leather, containing 60% or more by weight of man-made fibres, valued at $13/m² or more; Poromeric materials, with a water vapour</w:t>
      </w:r>
    </w:p>
    <w:p>
      <w:pPr>
        <w:pStyle w:val="Normal"/>
      </w:pPr>
      <w:r>
        <w:t>permeability of 0.5 mg/cm²/hr or more but not exceeding 11 mg/cm²/hr, excluding materials with a backing composed solely of woven or knitted fabrics, for use in the manufacture of footwear 5903.20.24 Textile fabrics containing man-made fibres: Weft-knit fabric of polyester, nylon or poly(m-phenylene isophthalamide), coated on one side with a non-cellular polyurethane, certified by the exporter to have been transfer-coated, for use in the manufacture of apparel 5903.20.25 Textile fabrics containing man-made fibres: Four-layer fabric consisting of a first layer of woven polyester or nylon fabric with or without elastomeric yarns, a second layer of cellular polytetrafluoroethylene, a third layer of non-cellular polyurethane and a fourth layer of woven or knit fabric of polyester or nylon, for use in the manufacture of water-resistant or waterproof, breathable recreational outerwear, including alpine hiking and climbing, skiing or mountaineering apparel 5903.20.29 Textile fabrics containing man-made fibres: Other 5903.90.10 Textile fabrics not containing man-made fibres 5903.90.21 Textile fabrics containing man-made fibres: Heat seal tape;</w:t>
      </w:r>
    </w:p>
    <w:p>
      <w:pPr>
        <w:pStyle w:val="Normal"/>
      </w:pPr>
      <w:r>
        <w:t>Woven fabrics of cotton mixed solely with polyesters, or solely of polyester staple fibres, or of polyester staple fibres mixed solely with cotton, for use in the manufacture of family or recreational tents of a floor area of 3 m² or more but not exceeding 21 m² 5903.90.22 Textile fabrics containing man-made fibres: Warp knit fabrics, of</w:t>
      </w:r>
    </w:p>
    <w:p>
      <w:pPr>
        <w:pStyle w:val="Normal"/>
      </w:pPr>
      <w:r>
        <w:t>polyester filaments and polyester staple fibres, partially coated with hot-melt adhesive, of a weight not exceeding 55 g/m², for use in the manufacture of apparel 5903.90.23 Textile fabrics containing man-made fibres: Other, of textured polyester filament yarns, partially coated with hot-melt adhesive, with a 4% minimum stretch in the warp and a 12% minimum stretch in the weft as measured by specification ASTM D3107 75, of a weight not exceeding 95 g/m², for use in the manufacture of apparel 5903.90.24 Textile fabrics containing man-made fibres: Other, of textured and non-textured polyester filament yarns, partially coated with hot-melt adhesive, with a 4% minimum stretch in the warp and a 12% minimum stretch in the weft as measured by specification ASTM D3107-75, of a weight exceeding 70 g/m² but not exceeding 95 g/m², for use in the manufacture of apparel 5903.90.25 Textile fabrics containing man-made fibres: Stitch-bonded, warp knit fabrics, solely of polyesters, coated on one side with cellular acrylic polymer, for use as ticking in the manufacture of mattresses or mattress supports 5903.90.26 Textile fabrics containing man-made fibres:</w:t>
      </w:r>
    </w:p>
    <w:p>
      <w:pPr>
        <w:pStyle w:val="Normal"/>
      </w:pPr>
      <w:r>
        <w:t>Woven fabric of polyester filaments coated on one side with two layers of acrylic polymers and on the other side with a layer of polyvinyl acetate polymer, for use in the manufacture of internal roller shade systems 5903.90.27 Textile fabrics containing man-made fibres: The following for use in the manufacture of water-resistant or</w:t>
      </w:r>
    </w:p>
    <w:p>
      <w:pPr>
        <w:pStyle w:val="Normal"/>
      </w:pPr>
      <w:r>
        <w:t>waterproof, breathable recreational outerwear, including alpine hiking and climbing, skiing or mountaineering apparel: Three-layer fabric consisting of a middle layer of cellular polytetrafluoroethylene, having a woven polyester or nylon fabric with or without elastomeric yarns on one side and a woven or knit fabric of polyester or nylon on the other side; Four-layer fabric consisting of a first layer of woven polyester or nylon fabric with or without elastomeric yarns, a second layer of cellular polytetrafluoroethylene, a third layer of non-cellular polyurethane and a fourth layer of woven or knit fabric of polyester or nylon 5903.90.29 Textile fabrics containing man-made fibres: Other 5904.10.00 Linoleum 5904.90.10 Floor coverings, with a base consisting of needleloom felt or nonwovens 5904.90.90 Other 5905.00.10 Backed with wallpaper base (hanging stock), whether or not coated or pre-pasted; Of jute backed with paper 5905.00.90 Other 5906.10.10 For use in the manufacture of thermionic, cold cathode or photo- cathode valves and tubes 5906.10.90 Other 5906.91.10 Cellular chloroprene rubber sheets with a knitted nylon fabric laminated to one or both sides 5906.91.91 Other:</w:t>
      </w:r>
    </w:p>
    <w:p>
      <w:pPr>
        <w:pStyle w:val="Normal"/>
      </w:pPr>
      <w:r>
        <w:t>For use in the manufacture of apparel 5906.91.99 Other: Other 5906.99.11 Textile fabrics not containing man-made fibres: For use in the manufacture of apparel 5906.99.19 Textile fabrics not containing man-made fibres: Other 5906.99.21 Textile fabrics containing man-made fibres: Woven fabrics of yarns of</w:t>
      </w:r>
    </w:p>
    <w:p>
      <w:pPr>
        <w:pStyle w:val="Normal"/>
      </w:pPr>
      <w:r>
        <w:t>synthetic filaments coated with a mixture of styrene butadiene rubber and resorcinol-formaldehyde resin for use in the manufacture of conveyor belts or conveyor belting; Woven fabrics, solely of nylon or solely of polyester, coated or covered with rubber, for use in the manufacture of inflatable boats or inflatable life preservers 5906.99.22 Textile fabrics containing man-made fibres: Other, for use in the manufacture of conveyor or transmission belts or belting; Tire cord fabric for use in the manufacture of pneumatic tires 5906.99.23 Textile fabrics containing man-made fibres: Woven fabrics, coated or impregnated with styrene-butadiene rubber or butadiene rubber, of high tenacity yarns solely of nylon filaments or of high tenacity yarns of polyester filaments and nylon filaments, of a weight not exceeding 1,000 g/m², for use as a stabilizing/reinforcing fabric in the manufacture of unvulcanized, calendered rubber of a kind used in the manufacture of snowmobile track and industrial track 5906.99.24 Textile fabrics containing man-made fibres: Impregnated, coated, covered or laminated with rubber, other than neoprene rubber, for use in the manufacture of apparel 5906.99.29 Textile fabrics containing man-made fibres:</w:t>
      </w:r>
    </w:p>
    <w:p>
      <w:pPr>
        <w:pStyle w:val="Normal"/>
      </w:pPr>
      <w:r>
        <w:t>Other 5907.00.11 Textile fabrics otherwise impregnated, coated or covered: Holland cloth, solely of cotton fibres 5907.00.12 Textile fabrics otherwise impregnated, coated or covered: Woven fabrics, solely of non-melting, heat stabilized polyacrylonitrile fibres</w:t>
      </w:r>
    </w:p>
    <w:p>
      <w:pPr>
        <w:pStyle w:val="Normal"/>
      </w:pPr>
      <w:r>
        <w:t>produced by the oxidization of polyacrylonitrile 5907.00.13 Textile fabrics otherwise impregnated, coated or covered: Oilcloth 5907.00.16 Textile fabrics otherwise impregnated, coated or covered: Other, solely of cotton, containing 2 ply yarns, impregnated with materials that are predominantly not of plastic or rubber to achieve a hydrostatic pressure of more than 36 cm of water, based on ISO 811-1981 using a rate of increase of water pressure of 60 cm of water/min, and a spray rating of ISO 4 or higher, based on ISO 4920-1981, all values taken in a standard temperate atmosphere based on ISO 139-1973 using distilled or fully deionized water at 20 ± 2 °C, the impregnated fabric weighing 250 g/m² or more but not exceeding 400 g/m² and valued at $4.50/m² or more, for use in the manufacture of jackets, coats or hats 5907.00.17 Textile fabrics otherwise impregnated, coated or covered: Other, for use in the manufacture of apparel 5907.00.18 Textile fabrics otherwise impregnated, coated or covered: Other, not containing man-made fibres 5907.00.19 Textile fabrics otherwise impregnated, coated or covered:</w:t>
      </w:r>
    </w:p>
    <w:p>
      <w:pPr>
        <w:pStyle w:val="Normal"/>
      </w:pPr>
      <w:r>
        <w:t>Other, containing man-made fibres 5907.00.21 Painted canvas being theatrical scenery, studio back-cloths or the like: Of a kind used as photographic, cinematographic or television studio equipment 5907.00.29 Painted canvas being theatrical scenery, studio back-cloths or the like: Other 5908.00.10 Textile wicks, whether or not plaited, processed or with core, for use in the</w:t>
      </w:r>
    </w:p>
    <w:p>
      <w:pPr>
        <w:pStyle w:val="Normal"/>
      </w:pPr>
      <w:r>
        <w:t>manufacture of wax candles or tapers or to be employed in oil-burning sanctuary lamps 5908.00.90 Other 5909.00.10 Fire hose 5909.00.90 Other 5910.00.00 Transmission or conveyor belts or belting, of textile material, whether or not impregnated, coated, covered or laminated with plastics, or reinforced with metal or other material. 5911.10.10 Blankets, lapping or blanketing to be employed in offset printing machinery 5911.10.20 Belting, of a thickness not exceeding 2.8 mm and a width exceeding 350 mm, of nylon, polyester or aramid, for use in the manufacture of conveyor belts; Belts and developer sleeves for use in the manufacture of contact printers; Other blankets, lapping or blanketing; Transmission belting, excluding belting of trapezoidal cross- section (V or multi V), whether or not embossed, for use in the manufacture of transmission belts 5911.10.90 Other 5911.20.10 For sifting flour in flour mills;</w:t>
      </w:r>
    </w:p>
    <w:p>
      <w:pPr>
        <w:pStyle w:val="Normal"/>
      </w:pPr>
      <w:r>
        <w:t>For use in the manufacture of screens for printing 5911.20.90 Other 5911.31.00 Weighing less than 650 g/m² 5911.32.00 Weighing 650 g/m² or more 5911.40.10 Filtering fabric, solely of non-textured polyester filaments, with a loom width exceeding 3 metres, for use in the manufacture of cesium formate 5911.40.90 Other 5911.90.00 Other 6001.10.10 Weft pile fabrics, having a W-knit pile surface of nylon or polyester filaments, for use in the manufacture of apparel 6001.10.90 Other 6001.21.00 Of cotton 6001.22.00 Of man-made fibres 6001.29.10 For use in the manufacture of apparel</w:t>
      </w:r>
    </w:p>
    <w:p>
      <w:pPr>
        <w:pStyle w:val="Normal"/>
      </w:pPr>
      <w:r>
        <w:t>6001.29.90 Other 6001.91.00 Of cotton 6001.92.10 Weft pile fabrics, having a W-knit pile surface of nylon or polyester filaments, for use in the manufacture of apparel 6001.92.20 Three-layer fabric consisting of a middle layer of cellular polytetrafluoroethylene, having a woven nylon fabric with or without elastomeric yarns on one side and a knit pile fabric of polyester on the other side, for use in the manufacture of water- resistant or waterproof, breathable recreational outerwear, including alpine hiking and climbing, skiing or moutaineering apparel 6001.92.30 Four-layer fabric consisting of a first layer of woven nylon fabric with or without elastomeric yarns, a second layer of cellular polytetrafluoroethylene, a third layer of non-cellular polyurethane and a fourth layer of knit pile fabric of polyester, for use in the manufacture of water-resistant or waterproof, breathable recreational outerwear, including alpine hiking and climbing, skiing or moutaineering apparel 6001.92.40 Warp pile fabric, cut, solely of polyester, including the ground fabric, brushed, for use in the manufacture of coffin interiors 6001.92.90 Other 6001.99.10 For use in the manufacture of apparel 6001.99.90 Other</w:t>
      </w:r>
    </w:p>
    <w:p>
      <w:pPr>
        <w:pStyle w:val="Normal"/>
      </w:pPr>
      <w:r>
        <w:t>6002.40.30 For use in the manufacture of apparel 6002.40.40 Other, knitted netting or lace, of vegetable textile fibres, not containing any other textile fibres 6002.40.90 Other 6002.90.11 Knitted netting or lace, of vegetable textile fibres, not containing any other textile fibres:</w:t>
      </w:r>
    </w:p>
    <w:p>
      <w:pPr>
        <w:pStyle w:val="Normal"/>
      </w:pPr>
      <w:r>
        <w:t>For</w:t>
      </w:r>
    </w:p>
    <w:p>
      <w:pPr>
        <w:pStyle w:val="Normal"/>
      </w:pPr>
      <w:r>
        <w:t>use in the manufacture of apparel 6002.90.19 Knitted netting or lace, of vegetable textile fibres, not containing any other textile fibres: Other 6002.90.90 Other 6003.10.10 Knitted tubing, napped, of a width not exceeding 11 cm when laid flat and unstretched, for use in the manufacture of injection moulded boots 6003.10.91 Other: For use in the manufacture of apparel 6003.10.99 Other: Other 6003.20.20 Knitted tubing, napped, of a width not exceeding 11 cm when laid flat and unstretched, for use in the manufacture of injection moulded boots 6003.20.30 For use in the manufacture of apparel 6003.20.40 Other lace, solely of vegetable textile fibres 6003.20.90 Other 6003.30.10 Knitted tubing, napped, of a width not exceeding 11 cm when laid flat and unstretched, for use in the manufacture of injection moulded boots 6003.30.91 Other: For use in the manufacture of apparel 6003.30.99 Other: Other 6003.40.10 Knitted tubing, napped, of a width not exceeding 11 cm when laid flat and unstretched, for use in the manufacture of injection moulded boots 6003.40.91 Other: For use in the manufacture of apparel 6003.40.99 Other:</w:t>
      </w:r>
    </w:p>
    <w:p>
      <w:pPr>
        <w:pStyle w:val="Normal"/>
      </w:pPr>
      <w:r>
        <w:t>Other 6003.90.20 Knitted tubing, napped, of a width not exceeding 11 cm when laid flat and unstretched, for use in the manufacture of injection moulded boots 6003.90.30 For use in the manufacture of apparel 6003.90.40 Other lace, solely of vegetable textile fibres 6003.90.90 Other 6004.10.11 Lace of vegetable textile fibres, not containing any other textile</w:t>
      </w:r>
    </w:p>
    <w:p>
      <w:pPr>
        <w:pStyle w:val="Normal"/>
      </w:pPr>
      <w:r>
        <w:t>fibres: For use in the manufacture of apparel 6004.10.19 Lace of vegetable textile fibres, not containing any other textile fibres:</w:t>
      </w:r>
    </w:p>
    <w:p>
      <w:pPr>
        <w:pStyle w:val="Normal"/>
      </w:pPr>
      <w:r>
        <w:t>Other 6004.10.20 Warp knit fabrics, lace-like, consisting of nylon filament yarns or polyester filament yarns or mixtures thereof, with elastomeric yarns but not containing any other textile fibre, produced on a knitting machine using 9 bars or more, for use in the manufacture of brassieres, camisoles, teddies, chemises, bustiers and panties or briefs 6004.10.90 Other 6004.90.20 For use in the manufacture of apparel 6004.90.30 Other lace of vegetable textile fibres, not containing any other textile fibres 6004.90.90 Other 6005.21.20 For use in the manufacture of apparel 6005.21.30 Other lace, solely of cotton or solely of cotton and other vegetable textile fibres 6005.21.90 Other 6005.22.20 For use in the manufacture of apparel 6005.22.30 Other lace, solely of cotton or solely of cotton and other vegetable textile fibres 6005.22.90 Other 6005.23.20 For use in the manufacture of apparel 6005.23.30 Other lace, solely of cotton or solely of cotton and other vegetable textile fibres 6005.23.90 Other 6005.24.20 For use in the manufacture of apparel 6005.24.30 Other lace, solely of cotton or solely of cotton and other vegetable textile fibres 6005.24.90 Other</w:t>
      </w:r>
    </w:p>
    <w:p>
      <w:pPr>
        <w:pStyle w:val="Normal"/>
      </w:pPr>
      <w:r>
        <w:t>6005.35.00 Fabrics specified in Subheading Note 1 to this Chapter 6005.36.10 Containing 25% or more by weight of metallized yarn, for use in the manufacture of clerical or ecclesiastical garments</w:t>
      </w:r>
    </w:p>
    <w:p>
      <w:pPr>
        <w:pStyle w:val="Normal"/>
      </w:pPr>
      <w:r>
        <w:t>or vestments and furnishing articles for decorating religious buildings; Knitted netting, to be employed in commercial fishing or in the commercial harvesting of marine plants; To be employed in greenhouse shading systems 6005.36.20 Solely of polyester filaments and polyester monofilaments, open mesh, treated with fire retardant material, for use in the manufacture of mesh windows and ventilation for tents 6005.36.90 Other 6005.37.10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 To be employed in greenhouse shading systems 6005.37.20 Solely of polyester filaments and polyester monofilaments, open mesh, treated with fire retardant material, for use in the manufacture of mesh windows and ventilation for tents 6005.37.90 Other 6005.38.10 Containing 25% or more by weight of metallized yarn, for use in the manufacture of clerical or ecclesiastical garments or vestments and furnishing articles for decorating religious buildings;</w:t>
      </w:r>
    </w:p>
    <w:p>
      <w:pPr>
        <w:pStyle w:val="Normal"/>
      </w:pPr>
      <w:r>
        <w:t>Knitted netting, to be employed in commercial fishing or in the commercial harvesting of marine plants; To be employed in greenhouse shading systems 6005.38.20 Solely of polyester filaments and polyester monofilaments, open mesh, treated with fire retardant material, for use in the manufacture of mesh windows</w:t>
      </w:r>
    </w:p>
    <w:p>
      <w:pPr>
        <w:pStyle w:val="Normal"/>
      </w:pPr>
      <w:r>
        <w:t>and ventilation for tents 6005.38.90 Other 6005.39.10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 To be employed in greenhouse shading systems 6005.39.20 Solely of polyesters, printed, for use as ticking in the manufacture of mattresses or mattress supports; Stitch-bonded, warp knit fabrics, printed, of a blend of viscose rayon and polyester staple fibres, stitch-bonded with nylon filament yarns, of a weight of 100 g/m² or more but not exceeding 150 g/m², for use in the manufacture of mattresses, mattress supports or upholstered furniture 6005.39.30 Solely of polyester filaments and polyester monofilaments, open mesh, treated with fire retardant material, for use in the manufacture of mesh windows and ventilation for tents 6005.39.90 Other 6005.41.10 Containing 25% or more by weight of metallized yarn, for use in the manufacture of clerical or ecclesiastical garments or vestments and furnishing articles for decorating religious buildings;</w:t>
      </w:r>
    </w:p>
    <w:p>
      <w:pPr>
        <w:pStyle w:val="Normal"/>
      </w:pPr>
      <w:r>
        <w:t>Knitted netting, to be employed in commercial fishing or in the commercial harvesting of marine plants; To be employed in greenhouse shading systems 6005.41.90 Other 6005.42.10 Containing 25% or more by weight of metallized yarn, for use in the manufacture of clerical or ecclesiastical</w:t>
      </w:r>
    </w:p>
    <w:p>
      <w:pPr>
        <w:pStyle w:val="Normal"/>
      </w:pPr>
      <w:r>
        <w:t>garments or vestments and furnishing articles for decorating religious buildings; Knitted netting, to be employed in commercial fishing or in the commercial harvesting of marine plants; To be employed in greenhouse shading systems 6005.42.90 Other 6005.43.10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 To be employed in greenhouse shading systems 6005.43.91 Other: For use in the manufacture of apparel 6005.43.99 Other: Other 6005.44.10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w:t>
      </w:r>
    </w:p>
    <w:p>
      <w:pPr>
        <w:pStyle w:val="Normal"/>
      </w:pPr>
      <w:r>
        <w:t>To be employed in greenhouse shading systems 6005.44.20 Stitch-bonded, warp knit fabrics, printed, of a blend of viscose rayon and polyester staple fibres, stitch-bonded with nylon filament yarns, of a weight of 100 g/m² or more but not exceeding 150 g/m², for use in the manufacture of mattresses, mattress supports or upholstered furniture 6005.44.90 Other 6005.90.21 Of wool or fine animal hair: For use in the manufacture of apparel 6005.90.29 Of wool or fine animal hair: Other 6005.90.91 Other: For use in</w:t>
      </w:r>
    </w:p>
    <w:p>
      <w:pPr>
        <w:pStyle w:val="Normal"/>
      </w:pPr>
      <w:r>
        <w:t>the manufacture of apparel 6005.90.92 Other: To be employed in greenhouse shading systems 6005.90.99 Other:</w:t>
      </w:r>
    </w:p>
    <w:p>
      <w:pPr>
        <w:pStyle w:val="Normal"/>
      </w:pPr>
      <w:r>
        <w:t>Other 6006.10.00 Of wool or fine animal hair 6006.21.10 Circular knit, solely of cotton yarns measuring less than 100 decitex per single yarn (100 metric number or more per single yarn) 6006.21.90 Other 6006.22.10 Circular knit, solely of cotton yarns measuring less than 100 decitex per single yarn (100 metric number or more per single yarn) 6006.22.20 Solely of 2-ply cotton yarns, measuring 180 decitex or more per single yarn but not exceeding 200 decitex, of a weight of 150 g/m² or more but not exceeding 200 g/m², certified by the exporter to have been double-mercerized (yarns that have been mercerized, knit into a fabric and subjected to a second mercerization process), for use in the manufacture of golf jerseys 6006.22.90 Other</w:t>
      </w:r>
    </w:p>
    <w:p>
      <w:pPr>
        <w:pStyle w:val="Normal"/>
      </w:pPr>
      <w:r>
        <w:t>6006.23.10 Solely of 2-ply cotton yarns of different colours, measuring per single yarn 180 decitex or less, of a weight of 100 g/m2 or more but not exceeding 200 g/m2, certified by the exporter to have been knit on a Jacquard circular weft-knitting machine and to have been double mercerized (yarns that have been mercerized, knit into a fabric and subjected to a second mercerization process), for use in the manufacture of golf jerseys 6006.23.21 Circular knit, solely of cotton yarns measuring less than 100 decitex per single yarn (100 metric number or more per single yarn):</w:t>
      </w:r>
    </w:p>
    <w:p>
      <w:pPr>
        <w:pStyle w:val="Normal"/>
      </w:pPr>
      <w:r>
        <w:t>For use in the manufacture of apparel 6006.23.29 Circular knit,</w:t>
      </w:r>
    </w:p>
    <w:p>
      <w:pPr>
        <w:pStyle w:val="Normal"/>
      </w:pPr>
      <w:r>
        <w:t>solely of cotton yarns measuring less than 100 decitex per single yarn (100 metric number or more per single yarn): Other 6006.23.90 Other 6006.24.10 Circular knit, solely of cotton yarns measuring less than 100 decitex per single yarn (100 metric number or more per single yarn) 6006.24.90 Other 6006.31.10 For use in the manufacture of headbands (hat 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6006.31.90 Other 6006.32.10 For use in the manufacture of headbands (hat sweats), linings (including tips and sides), peaks and stiffening bands for hats or caps;</w:t>
      </w:r>
    </w:p>
    <w:p>
      <w:pPr>
        <w:pStyle w:val="Normal"/>
      </w:pPr>
      <w:r>
        <w:t>Napped and sheared, for use in the manufacture of coated or covered fabrics with a leather-like coating of polyurethane on one or both sides, the coating of which represents by weight 20% or more of the coated fabric 6006.32.90 Other 6006.33.10 For use in the manufacture of headbands (hat 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6006.33.90 Other 6006.34.10 For use in the manufacture of headbands (hat</w:t>
      </w:r>
    </w:p>
    <w:p>
      <w:pPr>
        <w:pStyle w:val="Normal"/>
      </w:pPr>
      <w:r>
        <w:t>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6006.34.90 Other 6006.41.10 For use in the manufacture of headbands (hat 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6006.41.90 Other 6006.42.10 For use in the manufacture of headbands (hat sweats), linings (including tips and sides), peaks and stiffening bands for hats or caps;</w:t>
      </w:r>
    </w:p>
    <w:p>
      <w:pPr>
        <w:pStyle w:val="Normal"/>
      </w:pPr>
      <w:r>
        <w:t>Napped and sheared, for use in the manufacture of coated or covered fabrics with a leather-like coating of polyurethane on one or both sides, the coating of which represents by weight 20% or more of the coated fabric 6006.42.90 Other 6006.43.10 For use in the manufacture of headbands (hat 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6006.43.90 Other 6006.44.10 For use in the</w:t>
      </w:r>
    </w:p>
    <w:p>
      <w:pPr>
        <w:pStyle w:val="Normal"/>
      </w:pPr>
      <w:r>
        <w:t>manufacture of headbands (hat sweats), linings (including tips and sides), peaks and stiffening bands for hats or caps;</w:t>
      </w:r>
    </w:p>
    <w:p>
      <w:pPr>
        <w:pStyle w:val="Normal"/>
      </w:pPr>
      <w:r>
        <w:t>Napped and sheared, for use in the manufacture of coated or covered fabrics with a leather-like coating of polyurethane on one or both sides, the coating of which represents by weight 20% or more of the coated fabric</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6006.44.90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6006.90.10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apparel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6006.90.90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6101.30.00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6102.10.00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6102.30.00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6103.10.10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6103.10.90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6103.22.00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6103.23.00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6103.29.00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6103.31.00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6103.32.00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6103.33.00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6103.39.10</w:t>
            </w:r>
          </w:p>
        </w:tc>
        <w:tc>
          <w:tcPr>
            <w:tcW w:w="4679" w:type="dxa"/>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6103.39.90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6103.41.00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6103.42.00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6103.43.00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6103.49.00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6104.13.00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6104.22.00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6104.29.00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6104.32.00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6104.33.00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6104.39.10</w:t>
            </w:r>
          </w:p>
        </w:tc>
        <w:tc>
          <w:tcPr>
            <w:tcW w:w="4679" w:type="dxa"/>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6104.39.90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6104.41.00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6104.43.00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6104.44.00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6104.49.00</w:t>
            </w:r>
          </w:p>
        </w:tc>
        <w:tc>
          <w:tcPr>
            <w:tcW w:w="4679" w:type="dxa"/>
            <w:tcMar>
              <w:top w:w="70" w:type="dxa"/>
              <w:start w:w="110" w:type="dxa"/>
              <w:bottom w:w="70" w:type="dxa"/>
              <w:end w:w="110" w:type="dxa"/>
            </w:tcMar>
            <w:vAlign w:val="center"/>
          </w:tcPr>
          <w:p>
            <w:pPr>
              <w:pStyle w:val="TableText"/>
              <w:jc w:val="left"/>
            </w:pPr>
            <w:r>
              <w:rPr>
                <w:lang w:val="en-US" w:eastAsia="en-US" w:bidi="ar-SA"/>
              </w:rPr>
              <w:t>Of other</w:t>
            </w:r>
          </w:p>
        </w:tc>
      </w:tr>
    </w:tbl>
    <w:p>
      <w:pPr>
        <w:pStyle w:val="Normal"/>
      </w:pPr>
      <w:r>
        <w:t>textile materials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6104.51.00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6104.53.00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6104.59.10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6104.59.90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6104.62.00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6104.63.00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6104.69.00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6105.20.00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6106.10.00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6106.90.00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6107.11.00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6107.12.00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6107.19.00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6107.21.00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6107.22.00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6107.29.00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6107.91.00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6107.99.00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6108.11.00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6108.19.00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6108.21.00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6108.22.00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6108.29.00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6108.31.00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6108.32.00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6108.39.00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6108.91.00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6108.92.00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6108.99.00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6109.10.00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6109.90.00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6110.11.10</w:t>
            </w:r>
          </w:p>
        </w:tc>
        <w:tc>
          <w:tcPr>
            <w:tcW w:w="4679" w:type="dxa"/>
            <w:tcMar>
              <w:top w:w="70" w:type="dxa"/>
              <w:start w:w="110" w:type="dxa"/>
              <w:bottom w:w="70" w:type="dxa"/>
              <w:end w:w="110" w:type="dxa"/>
            </w:tcMar>
            <w:vAlign w:val="center"/>
          </w:tcPr>
          <w:p>
            <w:pPr>
              <w:pStyle w:val="TableText"/>
              <w:jc w:val="left"/>
            </w:pPr>
            <w:r>
              <w:rPr>
                <w:lang w:val="en-US" w:eastAsia="en-US" w:bidi="ar-SA"/>
              </w:rPr>
              <w:t>Women’s or girls’, valued at not less than $20/kg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6110.11.90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6110.12.10</w:t>
            </w:r>
          </w:p>
        </w:tc>
        <w:tc>
          <w:tcPr>
            <w:tcW w:w="4679" w:type="dxa"/>
            <w:tcMar>
              <w:top w:w="70" w:type="dxa"/>
              <w:start w:w="110" w:type="dxa"/>
              <w:bottom w:w="70" w:type="dxa"/>
              <w:end w:w="110" w:type="dxa"/>
            </w:tcMar>
            <w:vAlign w:val="center"/>
          </w:tcPr>
          <w:p>
            <w:pPr>
              <w:pStyle w:val="TableText"/>
              <w:jc w:val="left"/>
            </w:pPr>
            <w:r>
              <w:rPr>
                <w:lang w:val="en-US" w:eastAsia="en-US" w:bidi="ar-SA"/>
              </w:rPr>
              <w:t>Women’s or girls’, valued at not less than $20/kg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6110.12.90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6110.19.10</w:t>
            </w:r>
          </w:p>
        </w:tc>
        <w:tc>
          <w:tcPr>
            <w:tcW w:w="4679" w:type="dxa"/>
            <w:tcMar>
              <w:top w:w="70" w:type="dxa"/>
              <w:start w:w="110" w:type="dxa"/>
              <w:bottom w:w="70" w:type="dxa"/>
              <w:end w:w="110" w:type="dxa"/>
            </w:tcMar>
            <w:vAlign w:val="center"/>
          </w:tcPr>
          <w:p>
            <w:pPr>
              <w:pStyle w:val="TableText"/>
              <w:jc w:val="left"/>
            </w:pPr>
            <w:r>
              <w:rPr>
                <w:lang w:val="en-US" w:eastAsia="en-US" w:bidi="ar-SA"/>
              </w:rPr>
              <w:t>Women’s or girls’, valued at not less than $20/kg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6110.19.90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6110.20.00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6110.30.00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6110.90.00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6111.30.00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w:t>
            </w:r>
          </w:p>
        </w:tc>
      </w:tr>
    </w:tbl>
    <w:p>
      <w:pPr>
        <w:pStyle w:val="Normal"/>
      </w:pPr>
      <w:r>
        <w:t>materials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6112.11.00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6112.12.00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6112.19.00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Ski suits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6112.31.00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6112.39.00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6112.41.00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6112.49.00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6113.00.10</w:t>
            </w:r>
          </w:p>
        </w:tc>
        <w:tc>
          <w:tcPr>
            <w:tcW w:w="4679" w:type="dxa"/>
            <w:tcMar>
              <w:top w:w="70" w:type="dxa"/>
              <w:start w:w="110" w:type="dxa"/>
              <w:bottom w:w="70" w:type="dxa"/>
              <w:end w:w="110" w:type="dxa"/>
            </w:tcMar>
            <w:vAlign w:val="center"/>
          </w:tcPr>
          <w:p>
            <w:pPr>
              <w:pStyle w:val="TableText"/>
              <w:jc w:val="left"/>
            </w:pPr>
            <w:r>
              <w:rPr>
                <w:lang w:val="en-US" w:eastAsia="en-US" w:bidi="ar-SA"/>
              </w:rPr>
              <w:t>Protective suits, to be employed in a noxious atmosphere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6113.00.20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Diving suits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6113.00.90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6114.30.00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6115.10.10</w:t>
            </w:r>
          </w:p>
        </w:tc>
        <w:tc>
          <w:tcPr>
            <w:tcW w:w="4679" w:type="dxa"/>
            <w:tcMar>
              <w:top w:w="70" w:type="dxa"/>
              <w:start w:w="110" w:type="dxa"/>
              <w:bottom w:w="70" w:type="dxa"/>
              <w:end w:w="110" w:type="dxa"/>
            </w:tcMar>
            <w:vAlign w:val="center"/>
          </w:tcPr>
          <w:p>
            <w:pPr>
              <w:pStyle w:val="TableText"/>
              <w:jc w:val="left"/>
            </w:pPr>
            <w:r>
              <w:rPr>
                <w:lang w:val="en-US" w:eastAsia="en-US" w:bidi="ar-SA"/>
              </w:rPr>
              <w:t>Panty hose and tights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6115.10.91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6115.10.99</w:t>
            </w:r>
          </w:p>
        </w:tc>
        <w:tc>
          <w:tcPr>
            <w:tcW w:w="4679" w:type="dxa"/>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 measuring per single yarn less than 67 decitex</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6115.22.00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 measuring per single yarn 67 decitex or more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6115.29.00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6115.30.00</w:t>
            </w:r>
          </w:p>
        </w:tc>
        <w:tc>
          <w:tcPr>
            <w:tcW w:w="4679" w:type="dxa"/>
            <w:tcMar>
              <w:top w:w="70" w:type="dxa"/>
              <w:start w:w="110" w:type="dxa"/>
              <w:bottom w:w="70" w:type="dxa"/>
              <w:end w:w="110" w:type="dxa"/>
            </w:tcMar>
            <w:vAlign w:val="center"/>
          </w:tcPr>
          <w:p>
            <w:pPr>
              <w:pStyle w:val="TableText"/>
              <w:jc w:val="left"/>
            </w:pPr>
            <w:r>
              <w:rPr>
                <w:lang w:val="en-US" w:eastAsia="en-US" w:bidi="ar-SA"/>
              </w:rPr>
              <w:t>Other women’s full-length or knee-length hosiery, measuring per single yarn less than 67 decitex</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6115.94.00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6115.95.00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6115.96.00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6115.99.00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Impregnated, coated or covered with plastics or rubber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6116.91.00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6116.92.00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6116.93.00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6116.99.00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6117.10.10</w:t>
            </w:r>
          </w:p>
        </w:tc>
        <w:tc>
          <w:tcPr>
            <w:tcW w:w="4679" w:type="dxa"/>
            <w:tcMar>
              <w:top w:w="70" w:type="dxa"/>
              <w:start w:w="110" w:type="dxa"/>
              <w:bottom w:w="70" w:type="dxa"/>
              <w:end w:w="110" w:type="dxa"/>
            </w:tcMar>
            <w:vAlign w:val="center"/>
          </w:tcPr>
          <w:p>
            <w:pPr>
              <w:pStyle w:val="TableText"/>
              <w:jc w:val="left"/>
            </w:pPr>
            <w:r>
              <w:rPr>
                <w:lang w:val="en-US" w:eastAsia="en-US" w:bidi="ar-SA"/>
              </w:rPr>
              <w:t>Prayer shawls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6117.10.90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6117.80.10</w:t>
            </w:r>
          </w:p>
        </w:tc>
        <w:tc>
          <w:tcPr>
            <w:tcW w:w="4679" w:type="dxa"/>
            <w:tcMar>
              <w:top w:w="70" w:type="dxa"/>
              <w:start w:w="110" w:type="dxa"/>
              <w:bottom w:w="70" w:type="dxa"/>
              <w:end w:w="110" w:type="dxa"/>
            </w:tcMar>
            <w:vAlign w:val="center"/>
          </w:tcPr>
          <w:p>
            <w:pPr>
              <w:pStyle w:val="TableText"/>
              <w:jc w:val="left"/>
            </w:pPr>
            <w:r>
              <w:rPr>
                <w:lang w:val="en-US" w:eastAsia="en-US" w:bidi="ar-SA"/>
              </w:rPr>
              <w:t>Badges and the like;</w:t>
            </w:r>
          </w:p>
        </w:tc>
      </w:tr>
    </w:tbl>
    <w:p>
      <w:pPr>
        <w:pStyle w:val="Normal"/>
      </w:pPr>
      <w:r>
        <w:t>Belts 6117.80.90 Other 6117.90.10 Inserts for use in the manufacture of cycling shorts; Of protective suits, to be employed in a noxious atmosphere; Of prayer shawls; Sleeve cuffs and collars, solely of fabric of tariff item No.</w:t>
      </w:r>
    </w:p>
    <w:p>
      <w:pPr>
        <w:pStyle w:val="Normal"/>
      </w:pPr>
      <w:r>
        <w:t>6006.23.10, for use in the manufacture of golf jerseys 6117.90.20 Of diving suits 6117.90.90 Other 6201.11.00 Of wool or fine animal hair 6201.12.00 Of cotton 6201.13.00 Of man-made fibres 6201.19.00 Of other textile materials 6201.91.00 Of wool or fine animal hair 6201.92.10 Men’s ski-jackets, solely of cotton 6201.92.90 Other 6201.93.00 Of man-made fibres 6201.99.00 Of other textile materials 6202.11.00 Of wool or fine animal hair 6202.12.00 Of cotton 6202.13.00 Of man-made fibres 6202.19.00 Of other textile materials 6202.91.00 Of wool or fine animal hair 6202.92.00 Of cotton 6202.93.00 Of man-made fibres 6202.99.00 Of other textile materials 6203.11.00 Of wool or fine animal hair 6203.12.00 Of synthetic fibres 6203.19.10 Of cotton or of artificial fibres 6203.19.90 Other 6203.22.00 Of cotton 6203.23.00 Of synthetic fibres 6203.29.10 Of wool or fine animal hair 6203.29.90 Other 6203.31.00 Of wool or fine animal hair 6203.32.00 Of cotton 6203.33.00 Of synthetic fibres 6203.39.10 Of artificial fibres 6203.39.90 Other 6203.41.00 Of wool or fine animal hair 6203.42.00 Of cotton 6203.43.00 Of synthetic fibres 6203.49.00 Of other textile materials 6204.11.00 Of wool or fine animal hair</w:t>
      </w:r>
    </w:p>
    <w:p>
      <w:pPr>
        <w:pStyle w:val="Normal"/>
      </w:pPr>
      <w:r>
        <w:t>6204.12.00 Of cotton 6204.13.00 Of synthetic fibres 6204.19.10 Of artificial fibres 6204.19.90 Other 6204.21.00 Of wool or fine animal hair 6204.22.00 Of cotton 6204.23.00 Of synthetic fibres 6204.29.00 Of other textile materials 6204.31.00 Of wool or fine animal hair 6204.32.00 Of cotton</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6204.33.00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6204.39.10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6204.39.90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6204.42.00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6204.43.00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6204.44.00</w:t>
            </w:r>
          </w:p>
        </w:tc>
        <w:tc>
          <w:tcPr>
            <w:tcW w:w="4679" w:type="dxa"/>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6204.51.00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6204.53.00</w:t>
            </w:r>
          </w:p>
        </w:tc>
        <w:tc>
          <w:tcPr>
            <w:tcW w:w="4679" w:type="dxa"/>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6204.59.10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6204.59.90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6204.62.00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6204.63.00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6204.69.00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6205.20.00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6205.30.00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6205.90.10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6205.90.90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silk or silk waste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6206.20.00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6206.30.00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6206.40.00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6207.11.00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6207.19.00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6207.21.00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6207.22.00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6207.29.00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6207.91.00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6207.99.10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6207.99.90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6208.11.00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6208.19.00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6208.21.00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6208.22.00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6208.29.00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6208.91.00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6208.92.00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6208.99.00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6209.20.00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6209.30.00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synthetic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6209.90.10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6209.90.90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6210.10.10</w:t>
            </w:r>
          </w:p>
        </w:tc>
        <w:tc>
          <w:tcPr>
            <w:tcW w:w="4679" w:type="dxa"/>
            <w:tcMar>
              <w:top w:w="70" w:type="dxa"/>
              <w:start w:w="110" w:type="dxa"/>
              <w:bottom w:w="70" w:type="dxa"/>
              <w:end w:w="110" w:type="dxa"/>
            </w:tcMar>
            <w:vAlign w:val="center"/>
          </w:tcPr>
          <w:p>
            <w:pPr>
              <w:pStyle w:val="TableText"/>
              <w:jc w:val="left"/>
            </w:pPr>
            <w:r>
              <w:rPr>
                <w:lang w:val="en-US" w:eastAsia="en-US" w:bidi="ar-SA"/>
              </w:rPr>
              <w:t>Protective suits, to be employed in a noxious atmosphere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6210.10.90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6210.20.00</w:t>
            </w:r>
          </w:p>
        </w:tc>
        <w:tc>
          <w:tcPr>
            <w:tcW w:w="4679" w:type="dxa"/>
            <w:tcMar>
              <w:top w:w="70" w:type="dxa"/>
              <w:start w:w="110" w:type="dxa"/>
              <w:bottom w:w="70" w:type="dxa"/>
              <w:end w:w="110" w:type="dxa"/>
            </w:tcMar>
            <w:vAlign w:val="center"/>
          </w:tcPr>
          <w:p>
            <w:pPr>
              <w:pStyle w:val="TableText"/>
              <w:jc w:val="left"/>
            </w:pPr>
            <w:r>
              <w:rPr>
                <w:lang w:val="en-US" w:eastAsia="en-US" w:bidi="ar-SA"/>
              </w:rPr>
              <w:t>Other garments, of the type described in subheadings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6201.11</w:t>
            </w:r>
          </w:p>
        </w:tc>
        <w:tc>
          <w:tcPr>
            <w:tcW w:w="4679" w:type="dxa"/>
            <w:tcMar>
              <w:top w:w="70" w:type="dxa"/>
              <w:start w:w="110" w:type="dxa"/>
              <w:bottom w:w="70" w:type="dxa"/>
              <w:end w:w="110" w:type="dxa"/>
            </w:tcMar>
            <w:vAlign w:val="center"/>
          </w:tcPr>
          <w:p>
            <w:pPr>
              <w:pStyle w:val="TableText"/>
              <w:jc w:val="left"/>
            </w:pPr>
            <w:r>
              <w:rPr>
                <w:lang w:val="en-US" w:eastAsia="en-US" w:bidi="ar-SA"/>
              </w:rPr>
              <w:t>to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6201.19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6210.30.00</w:t>
            </w:r>
          </w:p>
        </w:tc>
        <w:tc>
          <w:tcPr>
            <w:tcW w:w="4679" w:type="dxa"/>
            <w:tcMar>
              <w:top w:w="70" w:type="dxa"/>
              <w:start w:w="110" w:type="dxa"/>
              <w:bottom w:w="70" w:type="dxa"/>
              <w:end w:w="110" w:type="dxa"/>
            </w:tcMar>
            <w:vAlign w:val="center"/>
          </w:tcPr>
          <w:p>
            <w:pPr>
              <w:pStyle w:val="TableText"/>
              <w:jc w:val="left"/>
            </w:pPr>
            <w:r>
              <w:rPr>
                <w:lang w:val="en-US" w:eastAsia="en-US" w:bidi="ar-SA"/>
              </w:rPr>
              <w:t>Other garments, of the type described in subheadings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6202.11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6202.19</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6210.40.10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Protective suits, to be employed in a noxious atmosphere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6210.40.90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6210.50.10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Protective suits, to be employed in a noxious atmosphere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6210.50.90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Men’s or boys’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6211.12.10</w:t>
            </w:r>
          </w:p>
        </w:tc>
        <w:tc>
          <w:tcPr>
            <w:tcW w:w="4679" w:type="dxa"/>
            <w:tcMar>
              <w:top w:w="70" w:type="dxa"/>
              <w:start w:w="110" w:type="dxa"/>
              <w:bottom w:w="70" w:type="dxa"/>
              <w:end w:w="110" w:type="dxa"/>
            </w:tcMar>
            <w:vAlign w:val="center"/>
          </w:tcPr>
          <w:p>
            <w:pPr>
              <w:pStyle w:val="TableText"/>
              <w:jc w:val="left"/>
            </w:pPr>
            <w:r>
              <w:rPr>
                <w:lang w:val="en-US" w:eastAsia="en-US" w:bidi="ar-SA"/>
              </w:rPr>
              <w:t>Specially designed for incorporating breast prostheses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6211.20.00</w:t>
            </w:r>
          </w:p>
        </w:tc>
        <w:tc>
          <w:tcPr>
            <w:tcW w:w="4679" w:type="dxa"/>
            <w:tcMar>
              <w:top w:w="70" w:type="dxa"/>
              <w:start w:w="110" w:type="dxa"/>
              <w:bottom w:w="70" w:type="dxa"/>
              <w:end w:w="110" w:type="dxa"/>
            </w:tcMar>
            <w:vAlign w:val="center"/>
          </w:tcPr>
          <w:p>
            <w:pPr>
              <w:pStyle w:val="TableText"/>
              <w:jc w:val="left"/>
            </w:pPr>
            <w:r>
              <w:rPr>
                <w:lang w:val="en-US" w:eastAsia="en-US" w:bidi="ar-SA"/>
              </w:rPr>
              <w:t>Ski suits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6211.33.10</w:t>
            </w:r>
          </w:p>
        </w:tc>
        <w:tc>
          <w:tcPr>
            <w:tcW w:w="4679" w:type="dxa"/>
            <w:tcMar>
              <w:top w:w="70" w:type="dxa"/>
              <w:start w:w="110" w:type="dxa"/>
              <w:bottom w:w="70" w:type="dxa"/>
              <w:end w:w="110" w:type="dxa"/>
            </w:tcMar>
            <w:vAlign w:val="center"/>
          </w:tcPr>
          <w:p>
            <w:pPr>
              <w:pStyle w:val="TableText"/>
              <w:jc w:val="left"/>
            </w:pPr>
            <w:r>
              <w:rPr>
                <w:lang w:val="en-US" w:eastAsia="en-US" w:bidi="ar-SA"/>
              </w:rPr>
              <w:t>Clerical or ecclesiastical garments or vestments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6211.33.90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6211.39.10</w:t>
            </w:r>
          </w:p>
        </w:tc>
        <w:tc>
          <w:tcPr>
            <w:tcW w:w="4679" w:type="dxa"/>
            <w:tcMar>
              <w:top w:w="70" w:type="dxa"/>
              <w:start w:w="110" w:type="dxa"/>
              <w:bottom w:w="70" w:type="dxa"/>
              <w:end w:w="110" w:type="dxa"/>
            </w:tcMar>
            <w:vAlign w:val="center"/>
          </w:tcPr>
          <w:p>
            <w:pPr>
              <w:pStyle w:val="TableText"/>
              <w:jc w:val="left"/>
            </w:pPr>
            <w:r>
              <w:rPr>
                <w:lang w:val="en-US" w:eastAsia="en-US" w:bidi="ar-SA"/>
              </w:rPr>
              <w:t>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6211.39.90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6211.42.00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6211.43.10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Saris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6211.43.20</w:t>
            </w:r>
          </w:p>
        </w:tc>
        <w:tc>
          <w:tcPr>
            <w:tcW w:w="4679" w:type="dxa"/>
            <w:tcMar>
              <w:top w:w="70" w:type="dxa"/>
              <w:start w:w="110" w:type="dxa"/>
              <w:bottom w:w="70" w:type="dxa"/>
              <w:end w:w="110" w:type="dxa"/>
            </w:tcMar>
            <w:vAlign w:val="center"/>
          </w:tcPr>
          <w:p>
            <w:pPr>
              <w:pStyle w:val="TableText"/>
              <w:jc w:val="left"/>
            </w:pPr>
            <w:r>
              <w:rPr>
                <w:lang w:val="en-US" w:eastAsia="en-US" w:bidi="ar-SA"/>
              </w:rPr>
              <w:t>Clerical or ecclesiastical garments or vestments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6211.43.90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6211.49.10</w:t>
            </w:r>
          </w:p>
        </w:tc>
        <w:tc>
          <w:tcPr>
            <w:tcW w:w="4679" w:type="dxa"/>
            <w:tcMar>
              <w:top w:w="70" w:type="dxa"/>
              <w:start w:w="110" w:type="dxa"/>
              <w:bottom w:w="70" w:type="dxa"/>
              <w:end w:w="110" w:type="dxa"/>
            </w:tcMar>
            <w:vAlign w:val="center"/>
          </w:tcPr>
          <w:p>
            <w:pPr>
              <w:pStyle w:val="TableText"/>
              <w:jc w:val="left"/>
            </w:pPr>
            <w:r>
              <w:rPr>
                <w:lang w:val="en-US" w:eastAsia="en-US" w:bidi="ar-SA"/>
              </w:rPr>
              <w:t>Saris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6211.49.20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Clerical or ecclesiastical garments or vestments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6211.49.91</w:t>
            </w:r>
          </w:p>
        </w:tc>
        <w:tc>
          <w:tcPr>
            <w:tcW w:w="4679" w:type="dxa"/>
            <w:tcMar>
              <w:top w:w="70" w:type="dxa"/>
              <w:start w:w="110" w:type="dxa"/>
              <w:bottom w:w="70" w:type="dxa"/>
              <w:end w:w="110" w:type="dxa"/>
            </w:tcMar>
            <w:vAlign w:val="center"/>
          </w:tcPr>
          <w:p>
            <w:pPr>
              <w:pStyle w:val="TableText"/>
              <w:jc w:val="left"/>
            </w:pPr>
            <w:r>
              <w:rPr>
                <w:lang w:val="en-US" w:eastAsia="en-US" w:bidi="ar-SA"/>
              </w:rPr>
              <w:t>Other: Of wool or fine animal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6211.49.99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6212.10.00</w:t>
            </w:r>
          </w:p>
        </w:tc>
        <w:tc>
          <w:tcPr>
            <w:tcW w:w="4679" w:type="dxa"/>
            <w:tcMar>
              <w:top w:w="70" w:type="dxa"/>
              <w:start w:w="110" w:type="dxa"/>
              <w:bottom w:w="70" w:type="dxa"/>
              <w:end w:w="110" w:type="dxa"/>
            </w:tcMar>
            <w:vAlign w:val="center"/>
          </w:tcPr>
          <w:p>
            <w:pPr>
              <w:pStyle w:val="TableText"/>
              <w:jc w:val="left"/>
            </w:pPr>
            <w:r>
              <w:rPr>
                <w:lang w:val="en-US" w:eastAsia="en-US" w:bidi="ar-SA"/>
              </w:rPr>
              <w:t>Brassières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Girdles and panty-girdles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6212.30.00</w:t>
            </w:r>
          </w:p>
        </w:tc>
        <w:tc>
          <w:tcPr>
            <w:tcW w:w="4679" w:type="dxa"/>
            <w:tcMar>
              <w:top w:w="70" w:type="dxa"/>
              <w:start w:w="110" w:type="dxa"/>
              <w:bottom w:w="70" w:type="dxa"/>
              <w:end w:w="110" w:type="dxa"/>
            </w:tcMar>
            <w:vAlign w:val="center"/>
          </w:tcPr>
          <w:p>
            <w:pPr>
              <w:pStyle w:val="TableText"/>
              <w:jc w:val="left"/>
            </w:pPr>
            <w:r>
              <w:rPr>
                <w:lang w:val="en-US" w:eastAsia="en-US" w:bidi="ar-SA"/>
              </w:rPr>
              <w:t>Corselettes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6213.20.00</w:t>
            </w:r>
          </w:p>
        </w:tc>
        <w:tc>
          <w:tcPr>
            <w:tcW w:w="4679" w:type="dxa"/>
            <w:tcMar>
              <w:top w:w="70" w:type="dxa"/>
              <w:start w:w="110" w:type="dxa"/>
              <w:bottom w:w="70" w:type="dxa"/>
              <w:end w:w="110" w:type="dxa"/>
            </w:tcMar>
            <w:vAlign w:val="center"/>
          </w:tcPr>
          <w:p>
            <w:pPr>
              <w:pStyle w:val="TableText"/>
              <w:jc w:val="left"/>
            </w:pPr>
            <w:r>
              <w:rPr>
                <w:lang w:val="en-US" w:eastAsia="en-US" w:bidi="ar-SA"/>
              </w:rPr>
              <w:t>Of cotton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6213.90.10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silk or silk waste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6213.90.90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6214.10.10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Prayer shawls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6214.10.90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6214.20.10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Prayer shawls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6214.20.90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6214.30.10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Prayer shawls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6214.30.90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6214.40.00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artificial fibres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6214.90.00</w:t>
            </w:r>
          </w:p>
        </w:tc>
        <w:tc>
          <w:tcPr>
            <w:tcW w:w="4679" w:type="dxa"/>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silk or silk waste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6215.20.00</w:t>
            </w:r>
          </w:p>
        </w:tc>
        <w:tc>
          <w:tcPr>
            <w:tcW w:w="4679" w:type="dxa"/>
            <w:tcMar>
              <w:top w:w="70" w:type="dxa"/>
              <w:start w:w="110" w:type="dxa"/>
              <w:bottom w:w="70" w:type="dxa"/>
              <w:end w:w="110" w:type="dxa"/>
            </w:tcMar>
            <w:vAlign w:val="center"/>
          </w:tcPr>
          <w:p>
            <w:pPr>
              <w:pStyle w:val="TableText"/>
              <w:jc w:val="left"/>
            </w:pPr>
            <w:r>
              <w:rPr>
                <w:lang w:val="en-US" w:eastAsia="en-US" w:bidi="ar-SA"/>
              </w:rPr>
              <w:t>Of man-made fibres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6215.90.00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textile materials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6216.00.00</w:t>
            </w:r>
          </w:p>
        </w:tc>
        <w:tc>
          <w:tcPr>
            <w:tcW w:w="4679" w:type="dxa"/>
            <w:tcMar>
              <w:top w:w="70" w:type="dxa"/>
              <w:start w:w="110" w:type="dxa"/>
              <w:bottom w:w="70" w:type="dxa"/>
              <w:end w:w="110" w:type="dxa"/>
            </w:tcMar>
            <w:vAlign w:val="center"/>
          </w:tcPr>
          <w:p>
            <w:pPr>
              <w:pStyle w:val="TableText"/>
              <w:jc w:val="left"/>
            </w:pPr>
            <w:r>
              <w:rPr>
                <w:lang w:val="en-US" w:eastAsia="en-US" w:bidi="ar-SA"/>
              </w:rPr>
              <w:t>Gloves, mittens and mitts.</w:t>
            </w:r>
          </w:p>
        </w:tc>
      </w:tr>
    </w:tbl>
    <w:p>
      <w:pPr>
        <w:pStyle w:val="Normal"/>
      </w:pPr>
      <w:r>
        <w:t>6217.10.10 For clerical or ecclesiastical garments or vestments 6217.10.90 Other 6217.90.10 Of protective suits to be employed in a noxious atmosphere; Of prayer shawls 6217.90.90 Other 6301.10.00 Electric blankets 6301.20.00 Blankets (other than electric blankets) and travelling rugs, of wool or of fine animal hair 6301.30.00 Blankets (other than electric blankets) and travelling rugs, of cotton 6301.40.00 Blankets (other than electric blankets) and travelling rugs, of synthetic fibres 6301.90.00 Other blankets and travelling rugs 6302.10.00 Bed linen, knitted or crocheted 6302.21.00 Of cotton 6302.22.00 Of man-made fibres 6302.29.00 Of other textile materials 6302.31.00 Of cotton 6302.32.00 Of man-made fibres 6302.39.00 Of other textile materials 6302.40.00 Table linen, knitted or crocheted 6302.51.00 Of cotton 6302.53.10 For decorating religious buildings 6302.53.90 Other 6302.59.10 Of flax 6302.59.90 Other 6302.60.00 Toilet linen and kitchen linen, of terry towelling or similar terry fabrics, of cotton 6302.91.00 Of cotton 6302.93.00 Of man-made fibres 6302.99.10 Of flax 6302.99.90 Other 6303.12.00 Of synthetic fibres 6303.19.00 Of other textile materials 6303.91.00 Of cotton 6303.92.10 Made up from fabrics of tariff item No.</w:t>
      </w:r>
    </w:p>
    <w:p>
      <w:pPr>
        <w:pStyle w:val="Normal"/>
      </w:pPr>
      <w:r>
        <w:t>5407.61.19 6303.92.90 Other 6303.99.00 Of other textile materials 6304.11.00 Knitted or crocheted 6304.19.00 Other 6304.20.00 Bed nets specified in Subheading Note 1 to this Chapter 6304.91.10 Seat covers for motor vehicles 6304.91.90 Other 6304.92.10 Seat covers for motor vehicles 6304.92.90 Other 6304.93.10 Seat covers for motor vehicles 6304.93.90 Other 6304.99.10 Seat covers for motor vehicles 6304.99.90 Other 6305.10.00 Of jute or of other textile bast fibres of heading 53.03 6305.20.00 Of cotton 6305.32.00 Flexible intermediate bulk containers 6305.33.00 Other, of polyethylene or polypropylene strip or the like 6305.39.00 Other 6305.90.00 Of other textile materials 6306.12.00 Of synthetic fibres 6306.19.00 Of other textile materials 6306.22.00 Of synthetic fibres 6306.29.00 Of other textile materials 6306.30.00 Sails 6306.40.00 Pneumatic mattresses 6306.90.10 Of cotton 6306.90.90 Other</w:t>
      </w:r>
    </w:p>
    <w:p>
      <w:pPr>
        <w:pStyle w:val="Normal"/>
      </w:pPr>
      <w:r>
        <w:t>6307.10.10 Industrial shop towels, hemmed, of a width of 43 cm or more but not exceeding 56 cm and a length of 43 cm or more but not exceeding 61 cm, of unbleached woven fabrics solely of cotton or of cotton and man-made fibres, measuring per single yarn 420 decitex to 1,000 decitex and having not less than 78 yarns but not more than 133 yarns per 10 cm in the warp and not less than 78 yarns but not more than 137 yarns per 10 cm in the weft, of a weight of 135 g/m² or more but not exceeding 203 g/m² 6307.10.90 Other 6307.20.00 Life-jackets and life-belts 6307.90.10 Burial shrouds;</w:t>
      </w:r>
    </w:p>
    <w:p>
      <w:pPr>
        <w:pStyle w:val="Normal"/>
      </w:pPr>
      <w:r>
        <w:t>Climbing harnesses, for climbing or mountaineering, manufactured to the standards of the Union Internationale des Associations d’Alpinisme; Marine evacuation chutes, for use in the manufacture of marine evacuation systems; Respirators, NIOSH approved or equivalent, consisting of several layers of nonwovens of man-made fibres, whether or not treated with activated carbon, with or without an exhalation valve, to be employed in a noxious atmosphere; Sample books of textile wall coverings of subheading 5905.00; Tubular webbing, for climbing or mountaineering; Wire-edged ribbon for use in the manufacture of articles put up for retail sale as festive articles of heading 95.05 6307.90.20 Furnishing articles for decorating religious buildings 6307.90.30 Belts for occupational use 6307.90.40 Furniture moving pads 6307.90.50 Shells for use in the manufacture of articles of subheading 9404.90 6307.90.91 Other: Solely of jute 6307.90.92 Other: Of silk 6307.90.93 Of cotton or other vegetable textile fibres, except solely of jute 6307.90.99 Other: Of other textile materials 6308.00.00 Sets consisting of woven fabric and yarn, whether or not with accessories, for making up into rugs, tapestries, embroidered table cloths or serviettes, or similar textile articles, put up in packings for retail sale.</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6309.00.10</w:t>
            </w:r>
          </w:p>
        </w:tc>
        <w:tc>
          <w:tcPr>
            <w:tcW w:w="4679" w:type="dxa"/>
            <w:tcMar>
              <w:top w:w="70" w:type="dxa"/>
              <w:start w:w="110" w:type="dxa"/>
              <w:bottom w:w="70" w:type="dxa"/>
              <w:end w:w="110" w:type="dxa"/>
            </w:tcMar>
            <w:vAlign w:val="center"/>
          </w:tcPr>
          <w:p>
            <w:pPr>
              <w:pStyle w:val="TableText"/>
              <w:jc w:val="left"/>
            </w:pPr>
            <w:r>
              <w:rPr>
                <w:lang w:val="en-US" w:eastAsia="en-US" w:bidi="ar-SA"/>
              </w:rPr>
              <w:t>Used textile articles for use in the manufacture of wiping rags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6309.00.90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6310.10.00</w:t>
            </w:r>
          </w:p>
        </w:tc>
        <w:tc>
          <w:tcPr>
            <w:tcW w:w="4679" w:type="dxa"/>
            <w:tcMar>
              <w:top w:w="70" w:type="dxa"/>
              <w:start w:w="110" w:type="dxa"/>
              <w:bottom w:w="70" w:type="dxa"/>
              <w:end w:w="110" w:type="dxa"/>
            </w:tcMar>
            <w:vAlign w:val="center"/>
          </w:tcPr>
          <w:p>
            <w:pPr>
              <w:pStyle w:val="TableText"/>
              <w:jc w:val="left"/>
            </w:pPr>
            <w:r>
              <w:rPr>
                <w:lang w:val="en-US" w:eastAsia="en-US" w:bidi="ar-SA"/>
              </w:rPr>
              <w:t>Sorted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6310.90.00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6401.10.11</w:t>
            </w:r>
          </w:p>
        </w:tc>
        <w:tc>
          <w:tcPr>
            <w:tcW w:w="4679" w:type="dxa"/>
            <w:tcMar>
              <w:top w:w="70" w:type="dxa"/>
              <w:start w:w="110" w:type="dxa"/>
              <w:bottom w:w="70" w:type="dxa"/>
              <w:end w:w="110" w:type="dxa"/>
            </w:tcMar>
            <w:vAlign w:val="center"/>
          </w:tcPr>
          <w:p>
            <w:pPr>
              <w:pStyle w:val="TableText"/>
              <w:jc w:val="left"/>
            </w:pPr>
            <w:r>
              <w:rPr>
                <w:lang w:val="en-US" w:eastAsia="en-US" w:bidi="ar-SA"/>
              </w:rPr>
              <w:t>Of rubber: Riding boots solely of rubber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6401.10.19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rubber: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6401.10.20</w:t>
            </w:r>
          </w:p>
        </w:tc>
        <w:tc>
          <w:tcPr>
            <w:tcW w:w="4679" w:type="dxa"/>
            <w:tcMar>
              <w:top w:w="70" w:type="dxa"/>
              <w:start w:w="110" w:type="dxa"/>
              <w:bottom w:w="70" w:type="dxa"/>
              <w:end w:w="110" w:type="dxa"/>
            </w:tcMar>
            <w:vAlign w:val="center"/>
          </w:tcPr>
          <w:p>
            <w:pPr>
              <w:pStyle w:val="TableText"/>
              <w:jc w:val="left"/>
            </w:pPr>
            <w:r>
              <w:rPr>
                <w:lang w:val="en-US" w:eastAsia="en-US" w:bidi="ar-SA"/>
              </w:rPr>
              <w:t>Of plastics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6401.92.11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Riding boots: Of rubber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6401.92.12</w:t>
            </w:r>
          </w:p>
        </w:tc>
        <w:tc>
          <w:tcPr>
            <w:tcW w:w="4679" w:type="dxa"/>
            <w:tcMar>
              <w:top w:w="70" w:type="dxa"/>
              <w:start w:w="110" w:type="dxa"/>
              <w:bottom w:w="70" w:type="dxa"/>
              <w:end w:w="110" w:type="dxa"/>
            </w:tcMar>
            <w:vAlign w:val="center"/>
          </w:tcPr>
          <w:p>
            <w:pPr>
              <w:pStyle w:val="TableText"/>
              <w:jc w:val="left"/>
            </w:pPr>
            <w:r>
              <w:rPr>
                <w:lang w:val="en-US" w:eastAsia="en-US" w:bidi="ar-SA"/>
              </w:rPr>
              <w:t>Riding boots: Of plastics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6401.92.20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Downhill ski-boots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6401.92.30</w:t>
            </w:r>
          </w:p>
        </w:tc>
        <w:tc>
          <w:tcPr>
            <w:tcW w:w="4679" w:type="dxa"/>
            <w:tcMar>
              <w:top w:w="70" w:type="dxa"/>
              <w:start w:w="110" w:type="dxa"/>
              <w:bottom w:w="70" w:type="dxa"/>
              <w:end w:w="110" w:type="dxa"/>
            </w:tcMar>
            <w:vAlign w:val="center"/>
          </w:tcPr>
          <w:p>
            <w:pPr>
              <w:pStyle w:val="TableText"/>
              <w:jc w:val="left"/>
            </w:pPr>
            <w:r>
              <w:rPr>
                <w:lang w:val="en-US" w:eastAsia="en-US" w:bidi="ar-SA"/>
              </w:rPr>
              <w:t>Sandals solely of rubber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6401.92.91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Of rubber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6401.92.92</w:t>
            </w:r>
          </w:p>
        </w:tc>
        <w:tc>
          <w:tcPr>
            <w:tcW w:w="4679" w:type="dxa"/>
            <w:tcMar>
              <w:top w:w="70" w:type="dxa"/>
              <w:start w:w="110" w:type="dxa"/>
              <w:bottom w:w="70" w:type="dxa"/>
              <w:end w:w="110" w:type="dxa"/>
            </w:tcMar>
            <w:vAlign w:val="center"/>
          </w:tcPr>
          <w:p>
            <w:pPr>
              <w:pStyle w:val="TableText"/>
              <w:jc w:val="left"/>
            </w:pPr>
            <w:r>
              <w:rPr>
                <w:lang w:val="en-US" w:eastAsia="en-US" w:bidi="ar-SA"/>
              </w:rPr>
              <w:t>Other: Of plastics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6401.99.11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rubber: Riding boots solely of rubber; Sandals solely of rubber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6401.99.12</w:t>
            </w:r>
          </w:p>
        </w:tc>
        <w:tc>
          <w:tcPr>
            <w:tcW w:w="4679" w:type="dxa"/>
            <w:tcMar>
              <w:top w:w="70" w:type="dxa"/>
              <w:start w:w="110" w:type="dxa"/>
              <w:bottom w:w="70" w:type="dxa"/>
              <w:end w:w="110" w:type="dxa"/>
            </w:tcMar>
            <w:vAlign w:val="center"/>
          </w:tcPr>
          <w:p>
            <w:pPr>
              <w:pStyle w:val="TableText"/>
              <w:jc w:val="left"/>
            </w:pPr>
            <w:r>
              <w:rPr>
                <w:lang w:val="en-US" w:eastAsia="en-US" w:bidi="ar-SA"/>
              </w:rPr>
              <w:t>Of rubber: Unfinished footwear consisting of an outer sole and an incomplete upper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6401.99.19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rubber: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6401.99.20</w:t>
            </w:r>
          </w:p>
        </w:tc>
        <w:tc>
          <w:tcPr>
            <w:tcW w:w="4679" w:type="dxa"/>
            <w:tcMar>
              <w:top w:w="70" w:type="dxa"/>
              <w:start w:w="110" w:type="dxa"/>
              <w:bottom w:w="70" w:type="dxa"/>
              <w:end w:w="110" w:type="dxa"/>
            </w:tcMar>
            <w:vAlign w:val="center"/>
          </w:tcPr>
          <w:p>
            <w:pPr>
              <w:pStyle w:val="TableText"/>
              <w:jc w:val="left"/>
            </w:pPr>
            <w:r>
              <w:rPr>
                <w:lang w:val="en-US" w:eastAsia="en-US" w:bidi="ar-SA"/>
              </w:rPr>
              <w:t>Of plastics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6402.12.10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Downhill ski-boots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6402.12.20</w:t>
            </w:r>
          </w:p>
        </w:tc>
        <w:tc>
          <w:tcPr>
            <w:tcW w:w="4679" w:type="dxa"/>
            <w:tcMar>
              <w:top w:w="70" w:type="dxa"/>
              <w:start w:w="110" w:type="dxa"/>
              <w:bottom w:w="70" w:type="dxa"/>
              <w:end w:w="110" w:type="dxa"/>
            </w:tcMar>
            <w:vAlign w:val="center"/>
          </w:tcPr>
          <w:p>
            <w:pPr>
              <w:pStyle w:val="TableText"/>
              <w:jc w:val="left"/>
            </w:pPr>
            <w:r>
              <w:rPr>
                <w:lang w:val="en-US" w:eastAsia="en-US" w:bidi="ar-SA"/>
              </w:rPr>
              <w:t>Cross-country ski footwear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6402.12.30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Snowboard boots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6402.19.10</w:t>
            </w:r>
          </w:p>
        </w:tc>
        <w:tc>
          <w:tcPr>
            <w:tcW w:w="4679" w:type="dxa"/>
            <w:tcMar>
              <w:top w:w="70" w:type="dxa"/>
              <w:start w:w="110" w:type="dxa"/>
              <w:bottom w:w="70" w:type="dxa"/>
              <w:end w:w="110" w:type="dxa"/>
            </w:tcMar>
            <w:vAlign w:val="center"/>
          </w:tcPr>
          <w:p>
            <w:pPr>
              <w:pStyle w:val="TableText"/>
              <w:jc w:val="left"/>
            </w:pPr>
            <w:r>
              <w:rPr>
                <w:lang w:val="en-US" w:eastAsia="en-US" w:bidi="ar-SA"/>
              </w:rPr>
              <w:t>Soccer, other football, baseball or bowling footwear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6402.19.90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6402.20.11</w:t>
            </w:r>
          </w:p>
        </w:tc>
        <w:tc>
          <w:tcPr>
            <w:tcW w:w="4679" w:type="dxa"/>
            <w:tcMar>
              <w:top w:w="70" w:type="dxa"/>
              <w:start w:w="110" w:type="dxa"/>
              <w:bottom w:w="70" w:type="dxa"/>
              <w:end w:w="110" w:type="dxa"/>
            </w:tcMar>
            <w:vAlign w:val="center"/>
          </w:tcPr>
          <w:p>
            <w:pPr>
              <w:pStyle w:val="TableText"/>
              <w:jc w:val="left"/>
            </w:pPr>
            <w:r>
              <w:rPr>
                <w:lang w:val="en-US" w:eastAsia="en-US" w:bidi="ar-SA"/>
              </w:rPr>
              <w:t>Of rubber: Sandals solely of rubber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6402.20.19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rubber:</w:t>
            </w:r>
          </w:p>
        </w:tc>
      </w:tr>
    </w:tbl>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6402.20.20</w:t>
            </w:r>
          </w:p>
        </w:tc>
        <w:tc>
          <w:tcPr>
            <w:tcW w:w="4679" w:type="dxa"/>
            <w:tcMar>
              <w:top w:w="70" w:type="dxa"/>
              <w:start w:w="110" w:type="dxa"/>
              <w:bottom w:w="70" w:type="dxa"/>
              <w:end w:w="110" w:type="dxa"/>
            </w:tcMar>
            <w:vAlign w:val="center"/>
          </w:tcPr>
          <w:p>
            <w:pPr>
              <w:pStyle w:val="TableText"/>
              <w:jc w:val="left"/>
            </w:pPr>
            <w:r>
              <w:rPr>
                <w:lang w:val="en-US" w:eastAsia="en-US" w:bidi="ar-SA"/>
              </w:rPr>
              <w:t>Of plastics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6402.91.10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Incorporating a protective metal toe-cap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6402.91.90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6402.99.10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Incorporating a protective metal toe-cap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6402.99.90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6403.12.10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Downhill ski-boots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6403.12.20</w:t>
            </w:r>
          </w:p>
        </w:tc>
        <w:tc>
          <w:tcPr>
            <w:tcW w:w="4679" w:type="dxa"/>
            <w:tcMar>
              <w:top w:w="70" w:type="dxa"/>
              <w:start w:w="110" w:type="dxa"/>
              <w:bottom w:w="70" w:type="dxa"/>
              <w:end w:w="110" w:type="dxa"/>
            </w:tcMar>
            <w:vAlign w:val="center"/>
          </w:tcPr>
          <w:p>
            <w:pPr>
              <w:pStyle w:val="TableText"/>
              <w:jc w:val="left"/>
            </w:pPr>
            <w:r>
              <w:rPr>
                <w:lang w:val="en-US" w:eastAsia="en-US" w:bidi="ar-SA"/>
              </w:rPr>
              <w:t>Cross-country ski footwear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6403.12.30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Snowboard boots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6403.19.10</w:t>
            </w:r>
          </w:p>
        </w:tc>
        <w:tc>
          <w:tcPr>
            <w:tcW w:w="4679" w:type="dxa"/>
            <w:tcMar>
              <w:top w:w="70" w:type="dxa"/>
              <w:start w:w="110" w:type="dxa"/>
              <w:bottom w:w="70" w:type="dxa"/>
              <w:end w:w="110" w:type="dxa"/>
            </w:tcMar>
            <w:vAlign w:val="center"/>
          </w:tcPr>
          <w:p>
            <w:pPr>
              <w:pStyle w:val="TableText"/>
              <w:jc w:val="left"/>
            </w:pPr>
            <w:r>
              <w:rPr>
                <w:lang w:val="en-US" w:eastAsia="en-US" w:bidi="ar-SA"/>
              </w:rPr>
              <w:t>For an individual with a defective or abnormal foot or ankle, when purchased on the written order of a registered medical practitioner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6403.19.20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footwear for riding, golfing, hiking, climbing, curling, bowling, skating or training including track and running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6403.19.90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6403.20.00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Footwear with outer soles of leather,</w:t>
            </w:r>
          </w:p>
        </w:tc>
      </w:tr>
    </w:tbl>
    <w:p>
      <w:pPr>
        <w:pStyle w:val="Normal"/>
      </w:pPr>
      <w:r>
        <w:t>and uppers which consist of leather straps across the instep and around the big toe 6403.40.00 Other footwear, incorporating a protective metal toe-cap 6403.51.00 Covering the ankle 6403.59.10 For an individual with a defective or abnormal foot or ankle, when purchased on the written order of a registered medical practitioner;</w:t>
      </w:r>
    </w:p>
    <w:p>
      <w:pPr>
        <w:pStyle w:val="Normal"/>
      </w:pPr>
      <w:r>
        <w:t>Pointe shoes or block toe shoes, for professional dancers employed by full-time dance companies which meet Canada Council standards of professionalism or for ballet students in full- time attendance at a ballet school which meets Canada Council curriculum standards 6403.59.20 Other women’s footwear, valued at $30 or more per pair 6403.59.90 Other 6403.91.00 Covering the ankle 6403.99.10 For an individual with a defective or abnormal foot or ankle, when purchased on the written order of a registered medical practitioner 6403.99.30 Other women’s footwear, valued at $30 or more per pair 6403.99.90 Other 6404.11.11 Footwear with outer soles solely of rubber and uppers of canvas, being a heavy, plain weave or basket weave fabric, tightly woven with a minimum per cent cover of 99%, solely of vegetable textile fibres, of a weight of 200 g/m² or more, excluding coatings or laminations:</w:t>
      </w:r>
    </w:p>
    <w:p>
      <w:pPr>
        <w:pStyle w:val="Normal"/>
      </w:pPr>
      <w:r>
        <w:t>Hiking footwear 6404.11.19 Footwear with outer soles solely of rubber and uppers of canvas, being a heavy, plain weave or basket weave fabric, tightly woven with a minimum per cent cover of 99%, solely of vegetable textile fibres, of a weight of 200 g/m² or more, excluding</w:t>
      </w:r>
    </w:p>
    <w:p>
      <w:pPr>
        <w:pStyle w:val="Normal"/>
      </w:pPr>
      <w:r>
        <w:t>coatings or laminations: Other 6404.11.91 Other: Hiking footwear 6404.11.99 Other:</w:t>
      </w:r>
    </w:p>
    <w:p>
      <w:pPr>
        <w:pStyle w:val="Normal"/>
      </w:pPr>
      <w:r>
        <w:t>Other 6404.19.10 For an individual with a defective or abnormal foot or ankle, when purchased on the written order of a registered medical practitioner 6404.19.20 For clerical or ecclesiastical use 6404.19.30 Other, with outer soles solely of rubber and uppers of canvas, being a heavy, plain weave or basket weave fabric, tightly woven with a minimum per cent cover of 99%, solely of vegetable textile fibres, of a weight of 200 g/m² or more, excluding coatings or laminations 6404.19.90 Other 6404.20.10 Pointe shoes or block toe shoes, for professional dancers employed by full-time dance companies which meet Canada Council standards of professionalism or for ballet students in full- time attendance at a ballet school which meets Canada Council curriculum standards 6404.20.90 Other 6405.10.10 Pointe shoes or block toe shoes, for professional dancers employed by full-time dance companies which meet Canada Council standards of professionalism or for ballet students in full- time attendance at a ballet school which meets Canada Council curriculum standards 6405.10.90 Other</w:t>
      </w:r>
    </w:p>
    <w:p>
      <w:pPr>
        <w:pStyle w:val="Normal"/>
      </w:pPr>
      <w:r>
        <w:t>6405.20.10 Pointe shoes or block toe shoes, for professional dancers employed by full-time dance companies which meet Canada Council standards of professionalism or for ballet students in full- time attendance at a ballet school which meets Canada Council curriculum standards 6405.20.20 Other footwear with outer soles and uppers of</w:t>
      </w:r>
    </w:p>
    <w:p>
      <w:pPr>
        <w:pStyle w:val="Normal"/>
      </w:pPr>
      <w:r>
        <w:t>wool felt 6405.20.90 Other 6405.90.00 Other 6406.10.11 Of textile materials: Uppers, the external surface of which is 50% or more of textile materials 6406.10.19 Of textile materials: Other 6406.10.91 Other: Of leather or imitation leather, or combinations thereof, unlined or lined with textile or other materials, for use in the manufacture of women’s cement lasted footwear 6406.10.99 Other: Other 6406.20.00 Outer soles and heels, of rubber or plastics 6406.90.10 Of wood 6406.90.20 Crampons for climbing or mountaineering; Steel toe-caps 6406.90.30 Gaiters or leggings of textile material 6406.90.90 Other 6501.00.00 Hat-forms, hat bodies and hoods of felt, neither blocked to shape nor with made brims; plateaux and manchons (including slit manchons), of felt. 6502.00.00 Hat-shapes, plaited or made by assembling strips of any material, neither blocked to shape, nor with made brims, nor lined, nor trimmed.</w:t>
      </w:r>
    </w:p>
    <w:p>
      <w:pPr>
        <w:pStyle w:val="Normal"/>
      </w:pPr>
      <w:r>
        <w:t>6504.00.10 Plaited, in a single piece, or of fur-felt or wool-felt, for use in the manufacture of hats 6504.00.90 Other 6505.00.10 Hair-nets 6505.00.20 Knitted, crocheted or woven, for use in the manufacture of hats 6505.00.31 Felt hats and other felt headgear, made from the hat bodies, hoods or plateaux of heading 65.01, whether or not lined or trimmed: Of fur-felt or wool-felt, for use in the manufacture of hats 6505.00.39 Felt hats and other felt headgear, made from the hat bodies, hoods or plateaux of heading 65.01: Other 6505.00.40 Other hats, hoods, caps, bonnets or berets 6505.00.90 Other 6506.10.10 Football helmets; For firemen; For mountaineering and climbing; Industrial safety helmets; Lead-impregnated or lead-lined, for X-ray operators; Other protective headgear, athletic 6506.10.90 Other 6506.91.00 Of rubber or of plastics 6506.99.10 Of paper, leather or feathers 6506.99.20 Of furskin 6506.99.90 Other 6507.00.00 Head-bands, linings, covers, hat foundations, hat frames, peaks and chinstraps, for headgear.</w:t>
      </w:r>
    </w:p>
    <w:p>
      <w:pPr>
        <w:pStyle w:val="Normal"/>
      </w:pPr>
      <w:r>
        <w:t>6601.10.00 Garden or similar umbrellas 6601.91.00 Having a telescopic shaft 6601.99.00 Other 6602.00.10 Canes for use of a public hospital 6602.00.90 Other 6603.20.00 Umbrella frames, including frames mounted on shafts (sticks) 6603.90.00 Other 6701.00.10 Articles of feathers or down 6701.00.90 Other 6702.10.00 Of plastics 6702.90.10 Parts, of polyester or silk yarns or fabrics, whether or not with wire stems, for use in the manufacture of artificial flowers, trees or other plants 6702.90.90 Other 6703.00.00 Human hair, dressed, thinned, bleached or otherwise worked; wool or other animal hair or other textile materials, prepared for use in making wigs or the like. 6704.11.00 Complete wigs 6704.19.00 Other 6704.20.00 Of human hair 6704.90.00 Of other materials 6801.00.00 Setts, curbstones and flagstones, of natural stone (except slate).</w:t>
      </w:r>
    </w:p>
    <w:p>
      <w:pPr>
        <w:pStyle w:val="Normal"/>
      </w:pPr>
      <w:r>
        <w:t>6802.10.10 Artificially coloured roofing granules 6802.10.90 Other 6802.21.00 Marble, travertine and alabaster 6802.23.00 Granite 6802.29.00 Other stone 6802.91.00 Marble, travertine and alabaster 6802.92.00 Other calcareous stone 6802.93.00 Granite 6802.99.00 Other stone 6803.00.10 Roofing slate; Slate for use in the manufacture of billiard tables 6803.00.90 Other 6804.10.00 Millstones and grindstones for milling, grinding or pulping 6804.21.00 Of agglomerated synthetic or natural diamond 6804.22.00 Of other agglomerated abrasives or of ceramics 6804.23.00 Of natural stone 6804.30.00 Hand sharpening or polishing stones 6805.10.00 On a base of woven textile fabric only 6805.20.00 On a base of paper or paperboard only 6805.30.00 On a base of other materials 6806.10.00 Slag wool, rock wool and similar mineral wools, (including intermixtures thereof), in bulk, sheets or rolls 6806.20.00 Exfoliated vermiculite, expanded clays, foamed slag and similar expanded mineral materials (including intermixtures thereof) 6806.90.00 Other 6807.10.00 In rolls 6807.90.00 Other 6808.00.00 Panels, boards, tiles, blocks and similar articles of vegetable fibre, of straw or of shavings, chips, particles, sawdust or other waste, of wood, agglomerated with cement, plaster or other mineral binders.</w:t>
      </w:r>
    </w:p>
    <w:p>
      <w:pPr>
        <w:pStyle w:val="Normal"/>
      </w:pPr>
      <w:r>
        <w:t>6809.11.00 Faced or reinforced with paper or paperboard only 6809.19.00 Other 6809.90.10 Models and casts, of a kind used in the manufacture of dental prostheses 6809.90.90 Other 6810.11.00 Building blocks and bricks 6810.19.00 Other 6810.91.00 Prefabricated structural components for building or civil engineering 6810.99.00 Other 6811.40.00 Containing asbestos 6811.81.00 Corrugated sheets 6811.82.00 Other sheets, panels, tiles and similar articles 6811.89.00 Other articles 6812.80.00 Of crocidolite 6812.91.00 Clothing, clothing accessories, footwear and headgear 6812.92.00 Paper, millboard and felt 6812.93.00 Compressed asbestos fibre jointing, in sheets or rolls 6812.99.00 Other 6813.20.11 Brake linings and pads: For motor vehicles of heading 87.02, 87.03, 87.04 or 87.05 6813.20.19 Brake linings and pads: Other 6813.20.90 Other 6813.81.10 For motor vehicles of heading 87.02, 87.03, 87.04 or 87.05 6813.81.90 Other 6813.89.00 Other 6814.10.00 Plates, sheets and strips of agglomerated or reconstituted mica, whether or not on a support 6814.90.00 Other 6815.10.00 Non-electrical articles of graphite or other carbon 6815.20.00 Articles of peat 6815.91.00 Containing magnesite, dolomite or chromite 6815.99.10 Foundry facings; Models and casts, of a kind used in the manufacture of dental prostheses;</w:t>
      </w:r>
    </w:p>
    <w:p>
      <w:pPr>
        <w:pStyle w:val="Normal"/>
      </w:pPr>
      <w:r>
        <w:t>Olivine panels for use in the manufacture of wood waste incinerators; Refractory bricks, blocks, tiles and similar refractory constructional products to be employed in the production of</w:t>
      </w:r>
    </w:p>
    <w:p>
      <w:pPr>
        <w:pStyle w:val="Normal"/>
      </w:pPr>
      <w:r>
        <w:t>metallurgical coke, iron and steel 6815.99.20 Signs 6815.99.90 Other 6901.00.00 Bricks, blocks, tiles and other ceramic goods of siliceous fossil meals (for example, kieselguhr, tripolite or diatomite) or of similar siliceous earths. 6902.10.00 Containing by weight, singly or together, more than 50% of the elements Mg, Ca or Cr, expressed as MgO, CaO or Cr2O3 6902.20.00 Containing by weight more than 50% of alumina (Al2O3), of silica (SiO2) or of a mixture or compound of these products 6902.90.00 Other 6903.10.00 Containing by weight more than 50% of graphite or other carbon or of a mixture of these products 6903.20.00 Containing by weight more than 50% of alumina (Al2O3) or of a mixture or compound of alumina and of silica (SiO2) 6903.90.00 Other 6904.10.00 Building bricks 6904.90.10 Flooring blocks 6904.90.20 Support or filler tiles and the like 6905.10.00 Roofing tiles 6905.90.00 Other 6906.00.00 Ceramic pipes, conduits, guttering and pipe fittings.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6907.21.10</w:t>
            </w:r>
          </w:p>
        </w:tc>
        <w:tc>
          <w:tcPr>
            <w:tcW w:w="4679" w:type="dxa"/>
            <w:tcMar>
              <w:top w:w="70" w:type="dxa"/>
              <w:start w:w="110" w:type="dxa"/>
              <w:bottom w:w="70" w:type="dxa"/>
              <w:end w:w="110" w:type="dxa"/>
            </w:tcMar>
            <w:vAlign w:val="center"/>
          </w:tcPr>
          <w:p>
            <w:pPr>
              <w:pStyle w:val="TableText"/>
              <w:jc w:val="left"/>
            </w:pPr>
            <w:r>
              <w:rPr>
                <w:lang w:val="en-US" w:eastAsia="en-US" w:bidi="ar-SA"/>
              </w:rPr>
              <w:t>Unglazed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6907.21.21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Glazed: Tiles with a surface area of 103 cm² or more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6907.21.29</w:t>
            </w:r>
          </w:p>
        </w:tc>
        <w:tc>
          <w:tcPr>
            <w:tcW w:w="4679" w:type="dxa"/>
            <w:tcMar>
              <w:top w:w="70" w:type="dxa"/>
              <w:start w:w="110" w:type="dxa"/>
              <w:bottom w:w="70" w:type="dxa"/>
              <w:end w:w="110" w:type="dxa"/>
            </w:tcMar>
            <w:vAlign w:val="center"/>
          </w:tcPr>
          <w:p>
            <w:pPr>
              <w:pStyle w:val="TableText"/>
              <w:jc w:val="left"/>
            </w:pPr>
            <w:r>
              <w:rPr>
                <w:lang w:val="en-US" w:eastAsia="en-US" w:bidi="ar-SA"/>
              </w:rPr>
              <w:t>Glazed: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6907.22.10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Unglazed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6907.22.21</w:t>
            </w:r>
          </w:p>
        </w:tc>
        <w:tc>
          <w:tcPr>
            <w:tcW w:w="4679" w:type="dxa"/>
            <w:tcMar>
              <w:top w:w="70" w:type="dxa"/>
              <w:start w:w="110" w:type="dxa"/>
              <w:bottom w:w="70" w:type="dxa"/>
              <w:end w:w="110" w:type="dxa"/>
            </w:tcMar>
            <w:vAlign w:val="center"/>
          </w:tcPr>
          <w:p>
            <w:pPr>
              <w:pStyle w:val="TableText"/>
              <w:jc w:val="left"/>
            </w:pPr>
            <w:r>
              <w:rPr>
                <w:lang w:val="en-US" w:eastAsia="en-US" w:bidi="ar-SA"/>
              </w:rPr>
              <w:t>Glazed: Tiles with a surface area of 103 cm² or more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6907.22.29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Glazed: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6907.23.10</w:t>
            </w:r>
          </w:p>
        </w:tc>
        <w:tc>
          <w:tcPr>
            <w:tcW w:w="4679" w:type="dxa"/>
            <w:tcMar>
              <w:top w:w="70" w:type="dxa"/>
              <w:start w:w="110" w:type="dxa"/>
              <w:bottom w:w="70" w:type="dxa"/>
              <w:end w:w="110" w:type="dxa"/>
            </w:tcMar>
            <w:vAlign w:val="center"/>
          </w:tcPr>
          <w:p>
            <w:pPr>
              <w:pStyle w:val="TableText"/>
              <w:jc w:val="left"/>
            </w:pPr>
            <w:r>
              <w:rPr>
                <w:lang w:val="en-US" w:eastAsia="en-US" w:bidi="ar-SA"/>
              </w:rPr>
              <w:t>Unglazed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6907.23.21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Glazed: Tiles with a surface area of 103 cm² or more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6907.23.29</w:t>
            </w:r>
          </w:p>
        </w:tc>
        <w:tc>
          <w:tcPr>
            <w:tcW w:w="4679" w:type="dxa"/>
            <w:tcMar>
              <w:top w:w="70" w:type="dxa"/>
              <w:start w:w="110" w:type="dxa"/>
              <w:bottom w:w="70" w:type="dxa"/>
              <w:end w:w="110" w:type="dxa"/>
            </w:tcMar>
            <w:vAlign w:val="center"/>
          </w:tcPr>
          <w:p>
            <w:pPr>
              <w:pStyle w:val="TableText"/>
              <w:jc w:val="left"/>
            </w:pPr>
            <w:r>
              <w:rPr>
                <w:lang w:val="en-US" w:eastAsia="en-US" w:bidi="ar-SA"/>
              </w:rPr>
              <w:t>Glazed: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6907.30.10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Unglazed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6907.30.21</w:t>
            </w:r>
          </w:p>
        </w:tc>
        <w:tc>
          <w:tcPr>
            <w:tcW w:w="4679" w:type="dxa"/>
            <w:tcMar>
              <w:top w:w="70" w:type="dxa"/>
              <w:start w:w="110" w:type="dxa"/>
              <w:bottom w:w="70" w:type="dxa"/>
              <w:end w:w="110" w:type="dxa"/>
            </w:tcMar>
            <w:vAlign w:val="center"/>
          </w:tcPr>
          <w:p>
            <w:pPr>
              <w:pStyle w:val="TableText"/>
              <w:jc w:val="left"/>
            </w:pPr>
            <w:r>
              <w:rPr>
                <w:lang w:val="en-US" w:eastAsia="en-US" w:bidi="ar-SA"/>
              </w:rPr>
              <w:t>Glazed: Tiles with a surface area of 103 cm² or more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6907.30.29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Glazed: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6907.40.10</w:t>
            </w:r>
          </w:p>
        </w:tc>
        <w:tc>
          <w:tcPr>
            <w:tcW w:w="4679" w:type="dxa"/>
            <w:tcMar>
              <w:top w:w="70" w:type="dxa"/>
              <w:start w:w="110" w:type="dxa"/>
              <w:bottom w:w="70" w:type="dxa"/>
              <w:end w:w="110" w:type="dxa"/>
            </w:tcMar>
            <w:vAlign w:val="center"/>
          </w:tcPr>
          <w:p>
            <w:pPr>
              <w:pStyle w:val="TableText"/>
              <w:jc w:val="left"/>
            </w:pPr>
            <w:r>
              <w:rPr>
                <w:lang w:val="en-US" w:eastAsia="en-US" w:bidi="ar-SA"/>
              </w:rPr>
              <w:t>Unglazed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6907.40.21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Glazed: Tiles with a surface area of 103 cm² or more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6907.40.29</w:t>
            </w:r>
          </w:p>
        </w:tc>
        <w:tc>
          <w:tcPr>
            <w:tcW w:w="4679" w:type="dxa"/>
            <w:tcMar>
              <w:top w:w="70" w:type="dxa"/>
              <w:start w:w="110" w:type="dxa"/>
              <w:bottom w:w="70" w:type="dxa"/>
              <w:end w:w="110" w:type="dxa"/>
            </w:tcMar>
            <w:vAlign w:val="center"/>
          </w:tcPr>
          <w:p>
            <w:pPr>
              <w:pStyle w:val="TableText"/>
              <w:jc w:val="left"/>
            </w:pPr>
            <w:r>
              <w:rPr>
                <w:lang w:val="en-US" w:eastAsia="en-US" w:bidi="ar-SA"/>
              </w:rPr>
              <w:t>Glazed: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porcelain or china</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6909.12.10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machinery for making pulp of fibrous cellulosic material or for making or finishing paper or paperboard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6909.12.90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6909.19.10</w:t>
            </w:r>
          </w:p>
        </w:tc>
        <w:tc>
          <w:tcPr>
            <w:tcW w:w="4679" w:type="dxa"/>
            <w:tcMar>
              <w:top w:w="70" w:type="dxa"/>
              <w:start w:w="110" w:type="dxa"/>
              <w:bottom w:w="70" w:type="dxa"/>
              <w:end w:w="110" w:type="dxa"/>
            </w:tcMar>
            <w:vAlign w:val="center"/>
          </w:tcPr>
          <w:p>
            <w:pPr>
              <w:pStyle w:val="TableText"/>
              <w:jc w:val="left"/>
            </w:pPr>
            <w:r>
              <w:rPr>
                <w:lang w:val="en-US" w:eastAsia="en-US" w:bidi="ar-SA"/>
              </w:rPr>
              <w:t>Ceramic rings for use in the manufacture of formaldehyde;</w:t>
            </w:r>
          </w:p>
        </w:tc>
      </w:tr>
    </w:tbl>
    <w:p>
      <w:pPr>
        <w:pStyle w:val="Normal"/>
      </w:pPr>
      <w:r>
        <w:t>For use in machinery for making pulp of fibrous cellulosic material or for making or finishing paper or paperboard 6909.19.90 Other 6909.90.00 Other 6910.10.10 Water closet pans (toilet bowls) and flushing cisterns (toilet tanks) or combinations thereof 6910.10.90 Other 6910.90.00 Other 6911.10.10 Undecorated tableware, of a thickness of 3 mm or more, for use in the manufacture of decorated heavy duty tableware for hotel, restaurant or institutional use 6911.10.20 Other undecorated tableware for use in the manufacture of decorated tableware by kiln-fired decoration 6911.10.90 Other 6911.90.00 Other 6912.00.10 Undecorated coffee mugs of earthenware or stoneware, for use in the manufacture of</w:t>
      </w:r>
    </w:p>
    <w:p>
      <w:pPr>
        <w:pStyle w:val="Normal"/>
      </w:pPr>
      <w:r>
        <w:t>decorated coffee mugs by kiln-fired decoration; Undecorated tableware of semi-porcelain or white granite, of a thickness of 3 mm or more, for use in the manufacture of decorated heavy duty tableware for hotel, restaurant or institutional use 6912.00.20 Other, undecorated tableware of semi-porcelain or white granite for use in the manufacture of decorated tableware by kiln-fired decoration 6912.00.90 Other 6913.10.00 Of porcelain or china 6913.90.10 Produced in Canada more than 25 years prior to the date of accounting 6913.90.90 Other 6914.10.10 Porcelain hand forms to be employed in the manufacture of rubber gloves 6914.10.90 Other 6914.90.00 Other 7001.00.00 Cullet and other waste and scrap of glass; glass in the mass.</w:t>
      </w:r>
    </w:p>
    <w:p>
      <w:pPr>
        <w:pStyle w:val="Normal"/>
      </w:pPr>
      <w:r>
        <w:t>7002.10.00 Balls 7002.20.00 Rods 7002.31.00 Of fused quartz or other fused silica 7002.32.00 Of other glass having a linear coefficient of expansion not exceeding 5x10 per Kelvin within a temperature range of 0°C to 300°C 7002.39.00 Other 7003.12.00 Coloured throughout the mass (body tinted), opacified, flashed or having an absorbent, reflecting or non-reflecting layer 7003.19.00 Other 7003.20.00 Wired sheets 7003.30.00 Profiles 7004.20.00 Glass, coloured throughout the mass (body tinted), opacified, flashed or having an absorbent, reflecting or non-reflecting layer 7004.90.00 Other glass 7005.10.00 Non-wired glass, having an absorbent, reflecting or non- reflecting layer 7005.21.00 Coloured throughout the mass (body tinted), opacified, flashed or merely</w:t>
      </w:r>
    </w:p>
    <w:p>
      <w:pPr>
        <w:pStyle w:val="Normal"/>
      </w:pPr>
      <w:r>
        <w:t>surface ground 7005.29.00 Other 7005.30.00 Wired glass 7006.00.00 Glass of heading 70.03, 70.04 or 70.05, bent, edge-worked, engraved, drilled, enamelled or otherwise worked, but not framed or fitted with other materials. 7007.11.00 Of size and shape suitable for incorporation in vehicles, aircraft, spacecraft or vessels 7007.19.00 Other 7007.21.00 Of size and shape suitable for incorporation in vehicles, aircraft, spacecraft or vessels 7007.29.00 Other 7008.00.00 Multiple-walled insulating units of glass. 7009.10.00 Rear-view mirrors for vehicles 7009.91.00 Unframed 7009.92.00 Framed 7010.10.00 Ampoules 7010.20.00 Stoppers, lids and other closures 7010.90.00 Other 7011.10.00 For electric lighting 7011.20.10 Cones (funnels) 7011.20.90 Other 7011.90.00 Other 7013.10.00 Of glass-ceramics 7013.22.00 Of lead crystal 7013.28.00 Other 7013.33.00 Of lead crystal 7013.37.00 Other 7013.41.00 Of lead crystal 7013.42.00 Of glass having a linear coefficient of expansion not exceeding 5x10 per Kelvin within a temperature range of 0°C to 300°C 7013.49.00 Other 7013.91.00 Of lead crystal 7013.99.00 Other 7014.00.00 Signalling glassware and optical elements of glass (other than those of heading 70.15), not optically worked.</w:t>
      </w:r>
    </w:p>
    <w:p>
      <w:pPr>
        <w:pStyle w:val="Normal"/>
      </w:pPr>
      <w:r>
        <w:t>7015.10.00 Glasses for corrective spectacles 7015.90.00 Other 7016.10.00 Glass cubes and other glass smallwares, whether or not on a backing, for mosaics or similar decorative purposes 7016.90.00 Other 7017.10.00 Of fused quartz or other fused silica 7017.20.00 Of other glass having a linear coefficient of expansion not exceeding 5x10 per Kelvin within a temperature range of 0°C to 300°C 7017.90.00 Other 7018.10.00 Glass beads, imitation pearls, imitation precious or semi-precious stones and similar glass smallwares 7018.20.00 Glass microspheres not exceeding 1 mm in diameter 7018.90.00 Other 7019.11.00 Chopped strands, of a length of not more than 50 mm 7019.12.00 Rovings 7019.19.00 Other 7019.31.00 Mats 7019.32.00 Thin sheets (voiles) 7019.39.00 Other 7019.40.10 Impregnated with a compounded and not completely cured epoxide resin, commonly known as “prepreg”, meeting the IPC 4101 specification, for use in the manufacture of printed circuit boards; Glass tape, woven, electrically conductive, for use in the manufacture or refurbishing of electrical generators; Solely of glass fibres or filaments, resin impregnated, in rolls, whether or not backed with paper separators, for use in the manufacture of grinding wheels;</w:t>
      </w:r>
    </w:p>
    <w:p>
      <w:pPr>
        <w:pStyle w:val="Normal"/>
      </w:pPr>
      <w:r>
        <w:t>Solely of high silica glass fibres, the fibres, exclusive of coating, containing 90% or more by weight of combined silicon, evaluated as silicon dioxide (SiO2) 7019.40.20 For use in the manufacture of tires 7019.40.91 Other: For use in the manufacture of apparel</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7019.40.99</w:t>
            </w:r>
          </w:p>
        </w:tc>
        <w:tc>
          <w:tcPr>
            <w:tcW w:w="4679" w:type="dxa"/>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7019.51.00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width not exceeding 30 cm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7019.52.00</w:t>
            </w:r>
          </w:p>
        </w:tc>
        <w:tc>
          <w:tcPr>
            <w:tcW w:w="4679" w:type="dxa"/>
            <w:tcMar>
              <w:top w:w="70" w:type="dxa"/>
              <w:start w:w="110" w:type="dxa"/>
              <w:bottom w:w="70" w:type="dxa"/>
              <w:end w:w="110" w:type="dxa"/>
            </w:tcMar>
            <w:vAlign w:val="center"/>
          </w:tcPr>
          <w:p>
            <w:pPr>
              <w:pStyle w:val="TableText"/>
              <w:jc w:val="left"/>
            </w:pPr>
            <w:r>
              <w:rPr>
                <w:lang w:val="en-US" w:eastAsia="en-US" w:bidi="ar-SA"/>
              </w:rPr>
              <w:t>Of a width exceeding 30 cm, plain weave, weighing less than 250 g/m², of filaments measuring per single yarn not more than 136 tex</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7019.59.00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7019.90.00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7020.00.10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cut or decorated glassware; Glassware having a linear coefficient of expansion not exceeding 5x10 per Kelvin within a temperature range of 0°C to 300°C; Glass inners for vacuum flasks or for other vacuum vessels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7020.00.90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7101.10.10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Graded pearls temporarily strung for the convenience of transport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7101.10.90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7101.21.00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Unworked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7101.22.10</w:t>
            </w:r>
          </w:p>
        </w:tc>
        <w:tc>
          <w:tcPr>
            <w:tcW w:w="4679" w:type="dxa"/>
            <w:tcMar>
              <w:top w:w="70" w:type="dxa"/>
              <w:start w:w="110" w:type="dxa"/>
              <w:bottom w:w="70" w:type="dxa"/>
              <w:end w:w="110" w:type="dxa"/>
            </w:tcMar>
            <w:vAlign w:val="center"/>
          </w:tcPr>
          <w:p>
            <w:pPr>
              <w:pStyle w:val="TableText"/>
              <w:jc w:val="left"/>
            </w:pPr>
            <w:r>
              <w:rPr>
                <w:lang w:val="en-US" w:eastAsia="en-US" w:bidi="ar-SA"/>
              </w:rPr>
              <w:t>Graded pearls temporarily strung for the convenience of transport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7101.22.90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7102.10.00</w:t>
            </w:r>
          </w:p>
        </w:tc>
        <w:tc>
          <w:tcPr>
            <w:tcW w:w="4679" w:type="dxa"/>
            <w:tcMar>
              <w:top w:w="70" w:type="dxa"/>
              <w:start w:w="110" w:type="dxa"/>
              <w:bottom w:w="70" w:type="dxa"/>
              <w:end w:w="110" w:type="dxa"/>
            </w:tcMar>
            <w:vAlign w:val="center"/>
          </w:tcPr>
          <w:p>
            <w:pPr>
              <w:pStyle w:val="TableText"/>
              <w:jc w:val="left"/>
            </w:pPr>
            <w:r>
              <w:rPr>
                <w:lang w:val="en-US" w:eastAsia="en-US" w:bidi="ar-SA"/>
              </w:rPr>
              <w:t>Unsorted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7102.21.00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Unworked or simply sawn, cleaved or bruted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7102.29.00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7102.31.00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Unworked or simply sawn, cleaved or bruted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7102.39.00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Unworked or simply sawn or roughly shaped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7103.91.00</w:t>
            </w:r>
          </w:p>
        </w:tc>
        <w:tc>
          <w:tcPr>
            <w:tcW w:w="4679" w:type="dxa"/>
            <w:tcMar>
              <w:top w:w="70" w:type="dxa"/>
              <w:start w:w="110" w:type="dxa"/>
              <w:bottom w:w="70" w:type="dxa"/>
              <w:end w:w="110" w:type="dxa"/>
            </w:tcMar>
            <w:vAlign w:val="center"/>
          </w:tcPr>
          <w:p>
            <w:pPr>
              <w:pStyle w:val="TableText"/>
              <w:jc w:val="left"/>
            </w:pPr>
            <w:r>
              <w:rPr>
                <w:lang w:val="en-US" w:eastAsia="en-US" w:bidi="ar-SA"/>
              </w:rPr>
              <w:t>Rubies, sapphires and emeralds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7103.99.00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7104.10.00</w:t>
            </w:r>
          </w:p>
        </w:tc>
        <w:tc>
          <w:tcPr>
            <w:tcW w:w="4679" w:type="dxa"/>
            <w:tcMar>
              <w:top w:w="70" w:type="dxa"/>
              <w:start w:w="110" w:type="dxa"/>
              <w:bottom w:w="70" w:type="dxa"/>
              <w:end w:w="110" w:type="dxa"/>
            </w:tcMar>
            <w:vAlign w:val="center"/>
          </w:tcPr>
          <w:p>
            <w:pPr>
              <w:pStyle w:val="TableText"/>
              <w:jc w:val="left"/>
            </w:pPr>
            <w:r>
              <w:rPr>
                <w:lang w:val="en-US" w:eastAsia="en-US" w:bidi="ar-SA"/>
              </w:rPr>
              <w:t>Piezo-electric quartz</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unworked or simply sawn or roughly shaped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7104.90.00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diamonds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7106.91.00</w:t>
            </w:r>
          </w:p>
        </w:tc>
        <w:tc>
          <w:tcPr>
            <w:tcW w:w="4679" w:type="dxa"/>
            <w:tcMar>
              <w:top w:w="70" w:type="dxa"/>
              <w:start w:w="110" w:type="dxa"/>
              <w:bottom w:w="70" w:type="dxa"/>
              <w:end w:w="110" w:type="dxa"/>
            </w:tcMar>
            <w:vAlign w:val="center"/>
          </w:tcPr>
          <w:p>
            <w:pPr>
              <w:pStyle w:val="TableText"/>
              <w:jc w:val="left"/>
            </w:pPr>
            <w:r>
              <w:rPr>
                <w:lang w:val="en-US" w:eastAsia="en-US" w:bidi="ar-SA"/>
              </w:rPr>
              <w:t>Unwrought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7106.92.00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Semi-manufactured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7107.00.00</w:t>
            </w:r>
          </w:p>
        </w:tc>
        <w:tc>
          <w:tcPr>
            <w:tcW w:w="4679" w:type="dxa"/>
            <w:tcMar>
              <w:top w:w="70" w:type="dxa"/>
              <w:start w:w="110" w:type="dxa"/>
              <w:bottom w:w="70" w:type="dxa"/>
              <w:end w:w="110" w:type="dxa"/>
            </w:tcMar>
            <w:vAlign w:val="center"/>
          </w:tcPr>
          <w:p>
            <w:pPr>
              <w:pStyle w:val="TableText"/>
              <w:jc w:val="left"/>
            </w:pPr>
            <w:r>
              <w:rPr>
                <w:lang w:val="en-US" w:eastAsia="en-US" w:bidi="ar-SA"/>
              </w:rPr>
              <w:t>Base metals clad with silver, not further worked than semi- manufactured.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7108.11.00</w:t>
            </w:r>
          </w:p>
        </w:tc>
        <w:tc>
          <w:tcPr>
            <w:tcW w:w="4679" w:type="dxa"/>
            <w:tcMar>
              <w:top w:w="70" w:type="dxa"/>
              <w:start w:w="110" w:type="dxa"/>
              <w:bottom w:w="70" w:type="dxa"/>
              <w:end w:w="110" w:type="dxa"/>
            </w:tcMar>
            <w:vAlign w:val="center"/>
          </w:tcPr>
          <w:p>
            <w:pPr>
              <w:pStyle w:val="TableText"/>
              <w:jc w:val="left"/>
            </w:pPr>
            <w:r>
              <w:rPr>
                <w:lang w:val="en-US" w:eastAsia="en-US" w:bidi="ar-SA"/>
              </w:rPr>
              <w:t>Powder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7108.12.00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unwrought forms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7108.13.00</w:t>
            </w:r>
          </w:p>
        </w:tc>
        <w:tc>
          <w:tcPr>
            <w:tcW w:w="4679" w:type="dxa"/>
            <w:tcMar>
              <w:top w:w="70" w:type="dxa"/>
              <w:start w:w="110" w:type="dxa"/>
              <w:bottom w:w="70" w:type="dxa"/>
              <w:end w:w="110" w:type="dxa"/>
            </w:tcMar>
            <w:vAlign w:val="center"/>
          </w:tcPr>
          <w:p>
            <w:pPr>
              <w:pStyle w:val="TableText"/>
              <w:jc w:val="left"/>
            </w:pPr>
            <w:r>
              <w:rPr>
                <w:lang w:val="en-US" w:eastAsia="en-US" w:bidi="ar-SA"/>
              </w:rPr>
              <w:t>Other semi-manufactured forms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7108.20.00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Monetary</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7109.00.00</w:t>
            </w:r>
          </w:p>
        </w:tc>
        <w:tc>
          <w:tcPr>
            <w:tcW w:w="4679" w:type="dxa"/>
            <w:tcMar>
              <w:top w:w="70" w:type="dxa"/>
              <w:start w:w="110" w:type="dxa"/>
              <w:bottom w:w="70" w:type="dxa"/>
              <w:end w:w="110" w:type="dxa"/>
            </w:tcMar>
            <w:vAlign w:val="center"/>
          </w:tcPr>
          <w:p>
            <w:pPr>
              <w:pStyle w:val="TableText"/>
              <w:jc w:val="left"/>
            </w:pPr>
            <w:r>
              <w:rPr>
                <w:lang w:val="en-US" w:eastAsia="en-US" w:bidi="ar-SA"/>
              </w:rPr>
              <w:t>Base metals or silver, clad with gold, not further worked than semi-manufactured.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7110.11.00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or in powder form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7110.19.00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7110.21.00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or in powder form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7110.29.00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7110.31.00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or in powder form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7110.39.00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7110.41.00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or in powder form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7110.49.00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7111.00.00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Base metals, silver or gold, clad with platinum, not further worked than semi-manufactured.</w:t>
            </w:r>
          </w:p>
        </w:tc>
      </w:tr>
    </w:tbl>
    <w:p>
      <w:pPr>
        <w:pStyle w:val="Normal"/>
      </w:pPr>
      <w:r>
        <w:t>7112.30.00 Ash containing precious metal or precious metal compounds 7112.91.00 Of gold, including metal clad with gold but excluding sweepings containing other precious metals 7112.92.00 Of platinum, including metal clad with platinum but excluding sweepings containing other precious metals 7112.99.00 Other 7113.11.10 Findings, not plated or clad 7113.11.90 Other 7113.19.10 Findings, not plated or clad 7113.19.90 Other 7113.20.10 Findings 7113.20.90 Other 7114.11.00 Of silver, whether or not plated or clad with other precious metal 7114.19.00 Of other precious metal, whether or not plated or clad with precious metal 7114.20.00 Of base metal clad with precious metal 7115.10.00 Catalysts in the form of wire cloth or grill, of platinum 7115.90.00 Other 7116.10.00 Of natural or cultured pearls 7116.20.10 Produced in Canada more than 25 years prior to the date of accounting 7116.20.90 Other 7117.11.00 Cuff-links and studs 7117.19.10 Brass chain, set with</w:t>
      </w:r>
    </w:p>
    <w:p>
      <w:pPr>
        <w:pStyle w:val="Normal"/>
      </w:pPr>
      <w:r>
        <w:t>rhinestones, for use in the manufacture of jewellery; Paua shells in metal settings; Ornaments for use in the manufacture of footwear or footwear fittings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7117.19.90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7117.90.00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7118.10.00</w:t>
            </w:r>
          </w:p>
        </w:tc>
        <w:tc>
          <w:tcPr>
            <w:tcW w:w="4679" w:type="dxa"/>
            <w:tcMar>
              <w:top w:w="70" w:type="dxa"/>
              <w:start w:w="110" w:type="dxa"/>
              <w:bottom w:w="70" w:type="dxa"/>
              <w:end w:w="110" w:type="dxa"/>
            </w:tcMar>
            <w:vAlign w:val="center"/>
          </w:tcPr>
          <w:p>
            <w:pPr>
              <w:pStyle w:val="TableText"/>
              <w:jc w:val="left"/>
            </w:pPr>
            <w:r>
              <w:rPr>
                <w:lang w:val="en-US" w:eastAsia="en-US" w:bidi="ar-SA"/>
              </w:rPr>
              <w:t>Coin (other than gold coin), not being legal tender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7118.90.00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7201.10.00</w:t>
            </w:r>
          </w:p>
        </w:tc>
        <w:tc>
          <w:tcPr>
            <w:tcW w:w="4679" w:type="dxa"/>
            <w:tcMar>
              <w:top w:w="70" w:type="dxa"/>
              <w:start w:w="110" w:type="dxa"/>
              <w:bottom w:w="70" w:type="dxa"/>
              <w:end w:w="110" w:type="dxa"/>
            </w:tcMar>
            <w:vAlign w:val="center"/>
          </w:tcPr>
          <w:p>
            <w:pPr>
              <w:pStyle w:val="TableText"/>
              <w:jc w:val="left"/>
            </w:pPr>
            <w:r>
              <w:rPr>
                <w:lang w:val="en-US" w:eastAsia="en-US" w:bidi="ar-SA"/>
              </w:rPr>
              <w:t>Non-alloy pig iron containing by weight 0.5% or less of phosphorus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Non-alloy pig iron containing by weight more than 0.5% of phosphorus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7201.50.00</w:t>
            </w:r>
          </w:p>
        </w:tc>
        <w:tc>
          <w:tcPr>
            <w:tcW w:w="4679" w:type="dxa"/>
            <w:tcMar>
              <w:top w:w="70" w:type="dxa"/>
              <w:start w:w="110" w:type="dxa"/>
              <w:bottom w:w="70" w:type="dxa"/>
              <w:end w:w="110" w:type="dxa"/>
            </w:tcMar>
            <w:vAlign w:val="center"/>
          </w:tcPr>
          <w:p>
            <w:pPr>
              <w:pStyle w:val="TableText"/>
              <w:jc w:val="left"/>
            </w:pPr>
            <w:r>
              <w:rPr>
                <w:lang w:val="en-US" w:eastAsia="en-US" w:bidi="ar-SA"/>
              </w:rPr>
              <w:t>Alloy pig iron; spiegeleisen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by weight more than 2% of carbon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7202.19.00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by weight more than 55% of silicon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7202.29.00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Ferro-silico-manganese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7202.41.00</w:t>
            </w:r>
          </w:p>
        </w:tc>
        <w:tc>
          <w:tcPr>
            <w:tcW w:w="4679" w:type="dxa"/>
            <w:tcMar>
              <w:top w:w="70" w:type="dxa"/>
              <w:start w:w="110" w:type="dxa"/>
              <w:bottom w:w="70" w:type="dxa"/>
              <w:end w:w="110" w:type="dxa"/>
            </w:tcMar>
            <w:vAlign w:val="center"/>
          </w:tcPr>
          <w:p>
            <w:pPr>
              <w:pStyle w:val="TableText"/>
              <w:jc w:val="left"/>
            </w:pPr>
            <w:r>
              <w:rPr>
                <w:lang w:val="en-US" w:eastAsia="en-US" w:bidi="ar-SA"/>
              </w:rPr>
              <w:t>Containing by weight more than 4% of carbon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7202.50.00</w:t>
            </w:r>
          </w:p>
        </w:tc>
        <w:tc>
          <w:tcPr>
            <w:tcW w:w="4679" w:type="dxa"/>
            <w:tcMar>
              <w:top w:w="70" w:type="dxa"/>
              <w:start w:w="110" w:type="dxa"/>
              <w:bottom w:w="70" w:type="dxa"/>
              <w:end w:w="110" w:type="dxa"/>
            </w:tcMar>
            <w:vAlign w:val="center"/>
          </w:tcPr>
          <w:p>
            <w:pPr>
              <w:pStyle w:val="TableText"/>
              <w:jc w:val="left"/>
            </w:pPr>
            <w:r>
              <w:rPr>
                <w:lang w:val="en-US" w:eastAsia="en-US" w:bidi="ar-SA"/>
              </w:rPr>
              <w:t>Ferro-silico-chromium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Ferro-nickel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7202.70.00</w:t>
            </w:r>
          </w:p>
        </w:tc>
        <w:tc>
          <w:tcPr>
            <w:tcW w:w="4679" w:type="dxa"/>
            <w:tcMar>
              <w:top w:w="70" w:type="dxa"/>
              <w:start w:w="110" w:type="dxa"/>
              <w:bottom w:w="70" w:type="dxa"/>
              <w:end w:w="110" w:type="dxa"/>
            </w:tcMar>
            <w:vAlign w:val="center"/>
          </w:tcPr>
          <w:p>
            <w:pPr>
              <w:pStyle w:val="TableText"/>
              <w:jc w:val="left"/>
            </w:pPr>
            <w:r>
              <w:rPr>
                <w:lang w:val="en-US" w:eastAsia="en-US" w:bidi="ar-SA"/>
              </w:rPr>
              <w:t>Ferro-molybdenum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Ferro-tungsten and ferro-silico-tungsten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7202.91.00</w:t>
            </w:r>
          </w:p>
        </w:tc>
        <w:tc>
          <w:tcPr>
            <w:tcW w:w="4679" w:type="dxa"/>
            <w:tcMar>
              <w:top w:w="70" w:type="dxa"/>
              <w:start w:w="110" w:type="dxa"/>
              <w:bottom w:w="70" w:type="dxa"/>
              <w:end w:w="110" w:type="dxa"/>
            </w:tcMar>
            <w:vAlign w:val="center"/>
          </w:tcPr>
          <w:p>
            <w:pPr>
              <w:pStyle w:val="TableText"/>
              <w:jc w:val="left"/>
            </w:pPr>
            <w:r>
              <w:rPr>
                <w:lang w:val="en-US" w:eastAsia="en-US" w:bidi="ar-SA"/>
              </w:rPr>
              <w:t>Ferro-titanium and ferro-silico-titanium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Ferro-vanadium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7202.93.00</w:t>
            </w:r>
          </w:p>
        </w:tc>
        <w:tc>
          <w:tcPr>
            <w:tcW w:w="4679" w:type="dxa"/>
            <w:tcMar>
              <w:top w:w="70" w:type="dxa"/>
              <w:start w:w="110" w:type="dxa"/>
              <w:bottom w:w="70" w:type="dxa"/>
              <w:end w:w="110" w:type="dxa"/>
            </w:tcMar>
            <w:vAlign w:val="center"/>
          </w:tcPr>
          <w:p>
            <w:pPr>
              <w:pStyle w:val="TableText"/>
              <w:jc w:val="left"/>
            </w:pPr>
            <w:r>
              <w:rPr>
                <w:lang w:val="en-US" w:eastAsia="en-US" w:bidi="ar-SA"/>
              </w:rPr>
              <w:t>Ferro-niobium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7202.99.00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7203.10.00</w:t>
            </w:r>
          </w:p>
        </w:tc>
        <w:tc>
          <w:tcPr>
            <w:tcW w:w="4679" w:type="dxa"/>
            <w:tcMar>
              <w:top w:w="70" w:type="dxa"/>
              <w:start w:w="110" w:type="dxa"/>
              <w:bottom w:w="70" w:type="dxa"/>
              <w:end w:w="110" w:type="dxa"/>
            </w:tcMar>
            <w:vAlign w:val="center"/>
          </w:tcPr>
          <w:p>
            <w:pPr>
              <w:pStyle w:val="TableText"/>
              <w:jc w:val="left"/>
            </w:pPr>
            <w:r>
              <w:rPr>
                <w:lang w:val="en-US" w:eastAsia="en-US" w:bidi="ar-SA"/>
              </w:rPr>
              <w:t>Ferrous products obtained by direct reduction of iron ore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7204.10.00</w:t>
            </w:r>
          </w:p>
        </w:tc>
        <w:tc>
          <w:tcPr>
            <w:tcW w:w="4679" w:type="dxa"/>
            <w:tcMar>
              <w:top w:w="70" w:type="dxa"/>
              <w:start w:w="110" w:type="dxa"/>
              <w:bottom w:w="70" w:type="dxa"/>
              <w:end w:w="110" w:type="dxa"/>
            </w:tcMar>
            <w:vAlign w:val="center"/>
          </w:tcPr>
          <w:p>
            <w:pPr>
              <w:pStyle w:val="TableText"/>
              <w:jc w:val="left"/>
            </w:pPr>
            <w:r>
              <w:rPr>
                <w:lang w:val="en-US" w:eastAsia="en-US" w:bidi="ar-SA"/>
              </w:rPr>
              <w:t>Waste and scrap of cast iron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7204.21.00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stainless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7204.29.00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 of tinned iron or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7204.41.00</w:t>
            </w:r>
          </w:p>
        </w:tc>
        <w:tc>
          <w:tcPr>
            <w:tcW w:w="4679" w:type="dxa"/>
            <w:tcMar>
              <w:top w:w="70" w:type="dxa"/>
              <w:start w:w="110" w:type="dxa"/>
              <w:bottom w:w="70" w:type="dxa"/>
              <w:end w:w="110" w:type="dxa"/>
            </w:tcMar>
            <w:vAlign w:val="center"/>
          </w:tcPr>
          <w:p>
            <w:pPr>
              <w:pStyle w:val="TableText"/>
              <w:jc w:val="left"/>
            </w:pPr>
            <w:r>
              <w:rPr>
                <w:lang w:val="en-US" w:eastAsia="en-US" w:bidi="ar-SA"/>
              </w:rPr>
              <w:t>Turnings, shavings, chips, milling waste, sawdust, filings, trimmings and stampings, whether or not in bundles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7204.49.00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7204.50.00</w:t>
            </w:r>
          </w:p>
        </w:tc>
        <w:tc>
          <w:tcPr>
            <w:tcW w:w="4679" w:type="dxa"/>
            <w:tcMar>
              <w:top w:w="70" w:type="dxa"/>
              <w:start w:w="110" w:type="dxa"/>
              <w:bottom w:w="70" w:type="dxa"/>
              <w:end w:w="110" w:type="dxa"/>
            </w:tcMar>
            <w:vAlign w:val="center"/>
          </w:tcPr>
          <w:p>
            <w:pPr>
              <w:pStyle w:val="TableText"/>
              <w:jc w:val="left"/>
            </w:pPr>
            <w:r>
              <w:rPr>
                <w:lang w:val="en-US" w:eastAsia="en-US" w:bidi="ar-SA"/>
              </w:rPr>
              <w:t>Remelting scrap ingots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Granules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7205.21.00</w:t>
            </w:r>
          </w:p>
        </w:tc>
        <w:tc>
          <w:tcPr>
            <w:tcW w:w="4679" w:type="dxa"/>
            <w:tcMar>
              <w:top w:w="70" w:type="dxa"/>
              <w:start w:w="110" w:type="dxa"/>
              <w:bottom w:w="70" w:type="dxa"/>
              <w:end w:w="110" w:type="dxa"/>
            </w:tcMar>
            <w:vAlign w:val="center"/>
          </w:tcPr>
          <w:p>
            <w:pPr>
              <w:pStyle w:val="TableText"/>
              <w:jc w:val="left"/>
            </w:pPr>
            <w:r>
              <w:rPr>
                <w:lang w:val="en-US" w:eastAsia="en-US" w:bidi="ar-SA"/>
              </w:rPr>
              <w:t>Of alloy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7205.29.00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7206.10.00</w:t>
            </w:r>
          </w:p>
        </w:tc>
        <w:tc>
          <w:tcPr>
            <w:tcW w:w="4679" w:type="dxa"/>
            <w:tcMar>
              <w:top w:w="70" w:type="dxa"/>
              <w:start w:w="110" w:type="dxa"/>
              <w:bottom w:w="70" w:type="dxa"/>
              <w:end w:w="110" w:type="dxa"/>
            </w:tcMar>
            <w:vAlign w:val="center"/>
          </w:tcPr>
          <w:p>
            <w:pPr>
              <w:pStyle w:val="TableText"/>
              <w:jc w:val="left"/>
            </w:pPr>
            <w:r>
              <w:rPr>
                <w:lang w:val="en-US" w:eastAsia="en-US" w:bidi="ar-SA"/>
              </w:rPr>
              <w:t>Ingots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7206.90.00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7207.11.00</w:t>
            </w:r>
          </w:p>
        </w:tc>
        <w:tc>
          <w:tcPr>
            <w:tcW w:w="4679" w:type="dxa"/>
            <w:tcMar>
              <w:top w:w="70" w:type="dxa"/>
              <w:start w:w="110" w:type="dxa"/>
              <w:bottom w:w="70" w:type="dxa"/>
              <w:end w:w="110" w:type="dxa"/>
            </w:tcMar>
            <w:vAlign w:val="center"/>
          </w:tcPr>
          <w:p>
            <w:pPr>
              <w:pStyle w:val="TableText"/>
              <w:jc w:val="left"/>
            </w:pPr>
            <w:r>
              <w:rPr>
                <w:lang w:val="en-US" w:eastAsia="en-US" w:bidi="ar-SA"/>
              </w:rPr>
              <w:t>Of rectangular</w:t>
            </w:r>
          </w:p>
        </w:tc>
      </w:tr>
    </w:tbl>
    <w:p>
      <w:pPr>
        <w:pStyle w:val="Normal"/>
      </w:pPr>
      <w:r>
        <w:t>(including square) cross-section, the width measuring less than twice the thickness 7207.12.00 Other, of rectangular (other than square) cross-section 7207.19.00 Other 7207.20.00 Containing by weight 0.25% or more of carbon 7208.10.00 In coils, not further worked than hot-rolled, with patterns in relief 7208.25.00 Of a thickness of 4.75 mm or more 7208.26.00 Of a thickness of 3 mm or more but less than 4.75 mm 7208.27.00 Of a thickness of less than 3 mm 7208.36.00 Of a thickness exceeding 10 mm 7208.37.00 Of a thickness of 4.75 mm or more but not exceeding 10 mm 7208.38.00 Of a thickness of 3 mm or more but less than 4.75 mm 7208.39.00 Of a thickness of less than 3 mm 7208.40.00 Not in coils, not further worked than hot-rolled, with patterns in relief 7208.51.00 Of a thickness exceeding 10 mm 7208.52.00 Of a thickness of 4.75 mm or more but not exceeding 10 mm 7208.53.00 Of a thickness of 3 mm or more but less than 4.75 mm 7208.54.00 Of a thickness of less than 3 mm 7208.90.00 Other</w:t>
      </w:r>
    </w:p>
    <w:p>
      <w:pPr>
        <w:pStyle w:val="Normal"/>
      </w:pPr>
      <w:r>
        <w:t>7209.15.00 Of a thickness of 3 mm or more 7209.16.00 Of a thickness exceeding 1 mm but less than 3 mm 7209.17.00 Of a thickness of 0.5 mm or more but not exceeding 1 mm 7209.18.00 Of a thickness of less than 0.5 mm 7209.25.00 Of a thickness of 3 mm or more 7209.26.00 Of a thickness exceeding 1 mm but less than 3 mm 7209.27.00 Of a thickness of 0.5 mm or more but not exceeding 1 mm 7209.28.00 Of a thickness of less than 0.5 mm 7209.90.00 Other 7210.11.00 Of a thickness of 0.5 mm or more 7210.12.00</w:t>
      </w:r>
    </w:p>
    <w:p>
      <w:pPr>
        <w:pStyle w:val="Normal"/>
      </w:pPr>
      <w:r>
        <w:t>Of a thickness of less than 0.5 mm 7210.20.00 Plated or coated with lead, including terne-plate 7210.30.00 Electrolytically plated or coated with zinc 7210.41.00 Corrugated 7210.49.00 Other 7210.50.00 Plated or coated with chromium oxides or with chromium and chromium oxides 7210.61.00 Plated or coated with aluminum-zinc alloys 7210.69.00 Other 7210.70.00 Painted, varnished or coated with plastics 7210.90.00 Other 7211.13.00 Rolled on four faces or in a closed box pass, of a width exceeding 150 mm and a thickness of not less than 4 mm, not in coils and without patterns in relief 7211.14.00 Other, of a thickness of 4.75 mm or more 7211.19.00 Other 7211.23.00 Containing by weight less than 0.25% of carbon 7211.29.00 Other 7211.90.00 Other 7212.10.00 Plated or coated with tin 7212.20.00 Electrolytically plated or coated with zinc 7212.30.00 Otherwise plated or coated with zinc 7212.40.00 Painted, varnished or coated with plastics 7212.50.00 Otherwise plated or coated 7212.60.00 Clad 7213.10.00 Containing indentations, ribs, grooves or other deformations produced during the rolling process 7213.20.00 Other, of free-cutting steel 7213.91.00 Of circular cross-section measuring less than 14 mm in diameter</w:t>
      </w:r>
    </w:p>
    <w:p>
      <w:pPr>
        <w:pStyle w:val="Normal"/>
      </w:pPr>
      <w:r>
        <w:t>7213.99.00 Other 7214.10.00 Forged 7214.20.00 Containing indentations, ribs, grooves or other deformations produced during the rolling process or twisted after rolling 7214.30.00 Other, of free-cutting steel 7214.91.00 Of rectangular (other than square) cross-section 7214.99.00</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7215.10.00</w:t>
            </w:r>
          </w:p>
        </w:tc>
        <w:tc>
          <w:tcPr>
            <w:tcW w:w="4679" w:type="dxa"/>
            <w:tcMar>
              <w:top w:w="70" w:type="dxa"/>
              <w:start w:w="110" w:type="dxa"/>
              <w:bottom w:w="70" w:type="dxa"/>
              <w:end w:w="110" w:type="dxa"/>
            </w:tcMar>
            <w:vAlign w:val="center"/>
          </w:tcPr>
          <w:p>
            <w:pPr>
              <w:pStyle w:val="TableText"/>
              <w:jc w:val="left"/>
            </w:pPr>
            <w:r>
              <w:rPr>
                <w:lang w:val="en-US" w:eastAsia="en-US" w:bidi="ar-SA"/>
              </w:rPr>
              <w:t>Other Of free-cutting steel, not further worked than cold-formed or cold- finished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7215.50.00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not further worked than cold-formed or cold-finished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7216.10.00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 I or H sections, not further worked than hot-rolled, hot-drawn or extruded, of a height of less than 80 mm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7216.21.00</w:t>
            </w:r>
          </w:p>
        </w:tc>
        <w:tc>
          <w:tcPr>
            <w:tcW w:w="4679" w:type="dxa"/>
            <w:tcMar>
              <w:top w:w="70" w:type="dxa"/>
              <w:start w:w="110" w:type="dxa"/>
              <w:bottom w:w="70" w:type="dxa"/>
              <w:end w:w="110" w:type="dxa"/>
            </w:tcMar>
            <w:vAlign w:val="center"/>
          </w:tcPr>
          <w:p>
            <w:pPr>
              <w:pStyle w:val="TableText"/>
              <w:jc w:val="left"/>
            </w:pPr>
            <w:r>
              <w:rPr>
                <w:lang w:val="en-US" w:eastAsia="en-US" w:bidi="ar-SA"/>
              </w:rPr>
              <w:t>L sections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7216.22.00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 sections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7216.31.00</w:t>
            </w:r>
          </w:p>
        </w:tc>
        <w:tc>
          <w:tcPr>
            <w:tcW w:w="4679" w:type="dxa"/>
            <w:tcMar>
              <w:top w:w="70" w:type="dxa"/>
              <w:start w:w="110" w:type="dxa"/>
              <w:bottom w:w="70" w:type="dxa"/>
              <w:end w:w="110" w:type="dxa"/>
            </w:tcMar>
            <w:vAlign w:val="center"/>
          </w:tcPr>
          <w:p>
            <w:pPr>
              <w:pStyle w:val="TableText"/>
              <w:jc w:val="left"/>
            </w:pPr>
            <w:r>
              <w:rPr>
                <w:lang w:val="en-US" w:eastAsia="en-US" w:bidi="ar-SA"/>
              </w:rPr>
              <w:t>U sections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7216.32.00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 sections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7216.33.00</w:t>
            </w:r>
          </w:p>
        </w:tc>
        <w:tc>
          <w:tcPr>
            <w:tcW w:w="4679" w:type="dxa"/>
            <w:tcMar>
              <w:top w:w="70" w:type="dxa"/>
              <w:start w:w="110" w:type="dxa"/>
              <w:bottom w:w="70" w:type="dxa"/>
              <w:end w:w="110" w:type="dxa"/>
            </w:tcMar>
            <w:vAlign w:val="center"/>
          </w:tcPr>
          <w:p>
            <w:pPr>
              <w:pStyle w:val="TableText"/>
              <w:jc w:val="left"/>
            </w:pPr>
            <w:r>
              <w:rPr>
                <w:lang w:val="en-US" w:eastAsia="en-US" w:bidi="ar-SA"/>
              </w:rPr>
              <w:t>H sections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7216.40.00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 or T sections, not further worked than hot-rolled, hot-drawn or extruded, of a height of 80 mm or more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7216.50.00</w:t>
            </w:r>
          </w:p>
        </w:tc>
        <w:tc>
          <w:tcPr>
            <w:tcW w:w="4679" w:type="dxa"/>
            <w:tcMar>
              <w:top w:w="70" w:type="dxa"/>
              <w:start w:w="110" w:type="dxa"/>
              <w:bottom w:w="70" w:type="dxa"/>
              <w:end w:w="110" w:type="dxa"/>
            </w:tcMar>
            <w:vAlign w:val="center"/>
          </w:tcPr>
          <w:p>
            <w:pPr>
              <w:pStyle w:val="TableText"/>
              <w:jc w:val="left"/>
            </w:pPr>
            <w:r>
              <w:rPr>
                <w:lang w:val="en-US" w:eastAsia="en-US" w:bidi="ar-SA"/>
              </w:rPr>
              <w:t>Other angles, shapes and sections, not further worked than hot- rolled, hot-drawn or extruded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7216.61.00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Obtained from flat-rolled products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7216.69.00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7216.91.00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Cold-formed or cold-finished from flat-rolled products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7216.99.00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plated or coated, whether or not polished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7217.20.00</w:t>
            </w:r>
          </w:p>
        </w:tc>
        <w:tc>
          <w:tcPr>
            <w:tcW w:w="4679" w:type="dxa"/>
            <w:tcMar>
              <w:top w:w="70" w:type="dxa"/>
              <w:start w:w="110" w:type="dxa"/>
              <w:bottom w:w="70" w:type="dxa"/>
              <w:end w:w="110" w:type="dxa"/>
            </w:tcMar>
            <w:vAlign w:val="center"/>
          </w:tcPr>
          <w:p>
            <w:pPr>
              <w:pStyle w:val="TableText"/>
              <w:jc w:val="left"/>
            </w:pPr>
            <w:r>
              <w:rPr>
                <w:lang w:val="en-US" w:eastAsia="en-US" w:bidi="ar-SA"/>
              </w:rPr>
              <w:t>Plated or coated with zinc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7217.30.00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Plated or coated with other base metals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7217.90.00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7218.10.00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Ingots and other primary forms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7218.91.00</w:t>
            </w:r>
          </w:p>
        </w:tc>
        <w:tc>
          <w:tcPr>
            <w:tcW w:w="4679" w:type="dxa"/>
            <w:tcMar>
              <w:top w:w="70" w:type="dxa"/>
              <w:start w:w="110" w:type="dxa"/>
              <w:bottom w:w="70" w:type="dxa"/>
              <w:end w:w="110" w:type="dxa"/>
            </w:tcMar>
            <w:vAlign w:val="center"/>
          </w:tcPr>
          <w:p>
            <w:pPr>
              <w:pStyle w:val="TableText"/>
              <w:jc w:val="left"/>
            </w:pPr>
            <w:r>
              <w:rPr>
                <w:lang w:val="en-US" w:eastAsia="en-US" w:bidi="ar-SA"/>
              </w:rPr>
              <w:t>Of rectangular (other than square) cross-section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7218.99.00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7219.11.00</w:t>
            </w:r>
          </w:p>
        </w:tc>
        <w:tc>
          <w:tcPr>
            <w:tcW w:w="4679" w:type="dxa"/>
            <w:tcMar>
              <w:top w:w="70" w:type="dxa"/>
              <w:start w:w="110" w:type="dxa"/>
              <w:bottom w:w="70" w:type="dxa"/>
              <w:end w:w="110" w:type="dxa"/>
            </w:tcMar>
            <w:vAlign w:val="center"/>
          </w:tcPr>
          <w:p>
            <w:pPr>
              <w:pStyle w:val="TableText"/>
              <w:jc w:val="left"/>
            </w:pPr>
            <w:r>
              <w:rPr>
                <w:lang w:val="en-US" w:eastAsia="en-US" w:bidi="ar-SA"/>
              </w:rPr>
              <w:t>Of a thickness exceeding 10 mm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7219.12.00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thickness of 4.75 mm or more but not exceeding 10 mm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7219.13.00</w:t>
            </w:r>
          </w:p>
        </w:tc>
        <w:tc>
          <w:tcPr>
            <w:tcW w:w="4679" w:type="dxa"/>
            <w:tcMar>
              <w:top w:w="70" w:type="dxa"/>
              <w:start w:w="110" w:type="dxa"/>
              <w:bottom w:w="70" w:type="dxa"/>
              <w:end w:w="110" w:type="dxa"/>
            </w:tcMar>
            <w:vAlign w:val="center"/>
          </w:tcPr>
          <w:p>
            <w:pPr>
              <w:pStyle w:val="TableText"/>
              <w:jc w:val="left"/>
            </w:pPr>
            <w:r>
              <w:rPr>
                <w:lang w:val="en-US" w:eastAsia="en-US" w:bidi="ar-SA"/>
              </w:rPr>
              <w:t>Of a thickness of 3 mm or more but less than 4.75 mm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7219.14.00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thickness of less than 3 mm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7219.21.00</w:t>
            </w:r>
          </w:p>
        </w:tc>
        <w:tc>
          <w:tcPr>
            <w:tcW w:w="4679" w:type="dxa"/>
            <w:tcMar>
              <w:top w:w="70" w:type="dxa"/>
              <w:start w:w="110" w:type="dxa"/>
              <w:bottom w:w="70" w:type="dxa"/>
              <w:end w:w="110" w:type="dxa"/>
            </w:tcMar>
            <w:vAlign w:val="center"/>
          </w:tcPr>
          <w:p>
            <w:pPr>
              <w:pStyle w:val="TableText"/>
              <w:jc w:val="left"/>
            </w:pPr>
            <w:r>
              <w:rPr>
                <w:lang w:val="en-US" w:eastAsia="en-US" w:bidi="ar-SA"/>
              </w:rPr>
              <w:t>Of a thickness exceeding 10 mm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7219.22.00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thickness of 4.75 mm or more but not exceeding 10 mm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7219.23.00</w:t>
            </w:r>
          </w:p>
        </w:tc>
        <w:tc>
          <w:tcPr>
            <w:tcW w:w="4679" w:type="dxa"/>
            <w:tcMar>
              <w:top w:w="70" w:type="dxa"/>
              <w:start w:w="110" w:type="dxa"/>
              <w:bottom w:w="70" w:type="dxa"/>
              <w:end w:w="110" w:type="dxa"/>
            </w:tcMar>
            <w:vAlign w:val="center"/>
          </w:tcPr>
          <w:p>
            <w:pPr>
              <w:pStyle w:val="TableText"/>
              <w:jc w:val="left"/>
            </w:pPr>
            <w:r>
              <w:rPr>
                <w:lang w:val="en-US" w:eastAsia="en-US" w:bidi="ar-SA"/>
              </w:rPr>
              <w:t>Of a thickness of 3 mm or more but less than 4.75 mm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7219.24.00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a thickness of less than 3 mm</w:t>
            </w:r>
          </w:p>
        </w:tc>
      </w:tr>
    </w:tbl>
    <w:p>
      <w:pPr>
        <w:pStyle w:val="Normal"/>
      </w:pPr>
      <w:r>
        <w:t>7219.31.00 Of a thickness of 4.75 mm or more 7219.32.00 Of a thickness of 3 mm or more but less than 4.75 mm 7219.33.00 Of a thickness exceeding 1 mm but less than 3 mm 7219.34.00 Of a thickness of 0.5 mm or more but not exceeding 1 mm 7219.35.00 Of a thickness of less than 0.5 mm 7219.90.00 Other 7220.11.00 Of a thickness of 4.75 mm or more 7220.12.00 Of a thickness of less than 4.75 mm 7220.20.00 Not further worked than cold-rolled (cold-reduced) 7220.90.00 Other 7221.00.00 Bars and rods, hot-rolled, in irregularly wound coils, of stainless steel. 7222.11.00 Of circular cross-section 7222.19.00 Other 7222.20.00 Bars and rods, not further worked than cold-formed or cold- finished 7222.30.00 Other bars and rods 7222.40.00 Angles, shapes and sections 7223.00.00 Wire of stainless steel.</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7224.10.00</w:t>
            </w:r>
          </w:p>
        </w:tc>
        <w:tc>
          <w:tcPr>
            <w:tcW w:w="4679" w:type="dxa"/>
            <w:tcMar>
              <w:top w:w="70" w:type="dxa"/>
              <w:start w:w="110" w:type="dxa"/>
              <w:bottom w:w="70" w:type="dxa"/>
              <w:end w:w="110" w:type="dxa"/>
            </w:tcMar>
            <w:vAlign w:val="center"/>
          </w:tcPr>
          <w:p>
            <w:pPr>
              <w:pStyle w:val="TableText"/>
              <w:jc w:val="left"/>
            </w:pPr>
            <w:r>
              <w:rPr>
                <w:lang w:val="en-US" w:eastAsia="en-US" w:bidi="ar-SA"/>
              </w:rPr>
              <w:t>Ingots and other primary forms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7225.11.00</w:t>
            </w:r>
          </w:p>
        </w:tc>
        <w:tc>
          <w:tcPr>
            <w:tcW w:w="4679" w:type="dxa"/>
            <w:tcMar>
              <w:top w:w="70" w:type="dxa"/>
              <w:start w:w="110" w:type="dxa"/>
              <w:bottom w:w="70" w:type="dxa"/>
              <w:end w:w="110" w:type="dxa"/>
            </w:tcMar>
            <w:vAlign w:val="center"/>
          </w:tcPr>
          <w:p>
            <w:pPr>
              <w:pStyle w:val="TableText"/>
              <w:jc w:val="left"/>
            </w:pPr>
            <w:r>
              <w:rPr>
                <w:lang w:val="en-US" w:eastAsia="en-US" w:bidi="ar-SA"/>
              </w:rPr>
              <w:t>Grain-oriented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7225.19.00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7225.30.00</w:t>
            </w:r>
          </w:p>
        </w:tc>
        <w:tc>
          <w:tcPr>
            <w:tcW w:w="4679" w:type="dxa"/>
            <w:tcMar>
              <w:top w:w="70" w:type="dxa"/>
              <w:start w:w="110" w:type="dxa"/>
              <w:bottom w:w="70" w:type="dxa"/>
              <w:end w:w="110" w:type="dxa"/>
            </w:tcMar>
            <w:vAlign w:val="center"/>
          </w:tcPr>
          <w:p>
            <w:pPr>
              <w:pStyle w:val="TableText"/>
              <w:jc w:val="left"/>
            </w:pPr>
            <w:r>
              <w:rPr>
                <w:lang w:val="en-US" w:eastAsia="en-US" w:bidi="ar-SA"/>
              </w:rPr>
              <w:t>Other, not further worked than hot-rolled, in coils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7225.40.00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not further worked than hot-rolled, not in coils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7225.50.00</w:t>
            </w:r>
          </w:p>
        </w:tc>
        <w:tc>
          <w:tcPr>
            <w:tcW w:w="4679" w:type="dxa"/>
            <w:tcMar>
              <w:top w:w="70" w:type="dxa"/>
              <w:start w:w="110" w:type="dxa"/>
              <w:bottom w:w="70" w:type="dxa"/>
              <w:end w:w="110" w:type="dxa"/>
            </w:tcMar>
            <w:vAlign w:val="center"/>
          </w:tcPr>
          <w:p>
            <w:pPr>
              <w:pStyle w:val="TableText"/>
              <w:jc w:val="left"/>
            </w:pPr>
            <w:r>
              <w:rPr>
                <w:lang w:val="en-US" w:eastAsia="en-US" w:bidi="ar-SA"/>
              </w:rPr>
              <w:t>Other, not further worked than cold-rolled (cold-reduced)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7225.91.00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Electrolytically plated or coated with zinc</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7225.92.00</w:t>
            </w:r>
          </w:p>
        </w:tc>
        <w:tc>
          <w:tcPr>
            <w:tcW w:w="4679" w:type="dxa"/>
            <w:tcMar>
              <w:top w:w="70" w:type="dxa"/>
              <w:start w:w="110" w:type="dxa"/>
              <w:bottom w:w="70" w:type="dxa"/>
              <w:end w:w="110" w:type="dxa"/>
            </w:tcMar>
            <w:vAlign w:val="center"/>
          </w:tcPr>
          <w:p>
            <w:pPr>
              <w:pStyle w:val="TableText"/>
              <w:jc w:val="left"/>
            </w:pPr>
            <w:r>
              <w:rPr>
                <w:lang w:val="en-US" w:eastAsia="en-US" w:bidi="ar-SA"/>
              </w:rPr>
              <w:t>Otherwise plated or coated with zinc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7225.99.00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7226.11.00</w:t>
            </w:r>
          </w:p>
        </w:tc>
        <w:tc>
          <w:tcPr>
            <w:tcW w:w="4679" w:type="dxa"/>
            <w:tcMar>
              <w:top w:w="70" w:type="dxa"/>
              <w:start w:w="110" w:type="dxa"/>
              <w:bottom w:w="70" w:type="dxa"/>
              <w:end w:w="110" w:type="dxa"/>
            </w:tcMar>
            <w:vAlign w:val="center"/>
          </w:tcPr>
          <w:p>
            <w:pPr>
              <w:pStyle w:val="TableText"/>
              <w:jc w:val="left"/>
            </w:pPr>
            <w:r>
              <w:rPr>
                <w:lang w:val="en-US" w:eastAsia="en-US" w:bidi="ar-SA"/>
              </w:rPr>
              <w:t>Grain-oriented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7226.19.00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7226.20.00</w:t>
            </w:r>
          </w:p>
        </w:tc>
        <w:tc>
          <w:tcPr>
            <w:tcW w:w="4679" w:type="dxa"/>
            <w:tcMar>
              <w:top w:w="70" w:type="dxa"/>
              <w:start w:w="110" w:type="dxa"/>
              <w:bottom w:w="70" w:type="dxa"/>
              <w:end w:w="110" w:type="dxa"/>
            </w:tcMar>
            <w:vAlign w:val="center"/>
          </w:tcPr>
          <w:p>
            <w:pPr>
              <w:pStyle w:val="TableText"/>
              <w:jc w:val="left"/>
            </w:pPr>
            <w:r>
              <w:rPr>
                <w:lang w:val="en-US" w:eastAsia="en-US" w:bidi="ar-SA"/>
              </w:rPr>
              <w:t>Of high speed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7226.91.00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further worked than hot-rolled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7226.92.00</w:t>
            </w:r>
          </w:p>
        </w:tc>
        <w:tc>
          <w:tcPr>
            <w:tcW w:w="4679" w:type="dxa"/>
            <w:tcMar>
              <w:top w:w="70" w:type="dxa"/>
              <w:start w:w="110" w:type="dxa"/>
              <w:bottom w:w="70" w:type="dxa"/>
              <w:end w:w="110" w:type="dxa"/>
            </w:tcMar>
            <w:vAlign w:val="center"/>
          </w:tcPr>
          <w:p>
            <w:pPr>
              <w:pStyle w:val="TableText"/>
              <w:jc w:val="left"/>
            </w:pPr>
            <w:r>
              <w:rPr>
                <w:lang w:val="en-US" w:eastAsia="en-US" w:bidi="ar-SA"/>
              </w:rPr>
              <w:t>Not further worked than cold-rolled (cold-reduced)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7226.99.00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7227.10.00</w:t>
            </w:r>
          </w:p>
        </w:tc>
        <w:tc>
          <w:tcPr>
            <w:tcW w:w="4679" w:type="dxa"/>
            <w:tcMar>
              <w:top w:w="70" w:type="dxa"/>
              <w:start w:w="110" w:type="dxa"/>
              <w:bottom w:w="70" w:type="dxa"/>
              <w:end w:w="110" w:type="dxa"/>
            </w:tcMar>
            <w:vAlign w:val="center"/>
          </w:tcPr>
          <w:p>
            <w:pPr>
              <w:pStyle w:val="TableText"/>
              <w:jc w:val="left"/>
            </w:pPr>
            <w:r>
              <w:rPr>
                <w:lang w:val="en-US" w:eastAsia="en-US" w:bidi="ar-SA"/>
              </w:rPr>
              <w:t>Of high speed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silico-manganese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7227.90.00</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7228.10.00</w:t>
            </w:r>
          </w:p>
        </w:tc>
        <w:tc>
          <w:tcPr>
            <w:tcW w:w="4679" w:type="dxa"/>
            <w:tcMar>
              <w:top w:w="70" w:type="dxa"/>
              <w:start w:w="110" w:type="dxa"/>
              <w:bottom w:w="70" w:type="dxa"/>
              <w:end w:w="110" w:type="dxa"/>
            </w:tcMar>
            <w:vAlign w:val="center"/>
          </w:tcPr>
          <w:p>
            <w:pPr>
              <w:pStyle w:val="TableText"/>
              <w:jc w:val="left"/>
            </w:pPr>
            <w:r>
              <w:rPr>
                <w:lang w:val="en-US" w:eastAsia="en-US" w:bidi="ar-SA"/>
              </w:rPr>
              <w:t>Bars and rods, of high speed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7228.20.00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Bars and rods, of silico-manganese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7228.30.00</w:t>
            </w:r>
          </w:p>
        </w:tc>
        <w:tc>
          <w:tcPr>
            <w:tcW w:w="4679" w:type="dxa"/>
            <w:tcMar>
              <w:top w:w="70" w:type="dxa"/>
              <w:start w:w="110" w:type="dxa"/>
              <w:bottom w:w="70" w:type="dxa"/>
              <w:end w:w="110" w:type="dxa"/>
            </w:tcMar>
            <w:vAlign w:val="center"/>
          </w:tcPr>
          <w:p>
            <w:pPr>
              <w:pStyle w:val="TableText"/>
              <w:jc w:val="left"/>
            </w:pPr>
            <w:r>
              <w:rPr>
                <w:lang w:val="en-US" w:eastAsia="en-US" w:bidi="ar-SA"/>
              </w:rPr>
              <w:t>Other bars and rods, not further worked than hot-rolled, hot- drawn or extruded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7228.40.00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bars and rods, not further worked than forged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7228.50.00</w:t>
            </w:r>
          </w:p>
        </w:tc>
        <w:tc>
          <w:tcPr>
            <w:tcW w:w="4679" w:type="dxa"/>
            <w:tcMar>
              <w:top w:w="70" w:type="dxa"/>
              <w:start w:w="110" w:type="dxa"/>
              <w:bottom w:w="70" w:type="dxa"/>
              <w:end w:w="110" w:type="dxa"/>
            </w:tcMar>
            <w:vAlign w:val="center"/>
          </w:tcPr>
          <w:p>
            <w:pPr>
              <w:pStyle w:val="TableText"/>
              <w:jc w:val="left"/>
            </w:pPr>
            <w:r>
              <w:rPr>
                <w:lang w:val="en-US" w:eastAsia="en-US" w:bidi="ar-SA"/>
              </w:rPr>
              <w:t>Other bars and rods, not further worked than cold-formed or cold- finished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7228.60.00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bars and rods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7228.70.00</w:t>
            </w:r>
          </w:p>
        </w:tc>
        <w:tc>
          <w:tcPr>
            <w:tcW w:w="4679" w:type="dxa"/>
            <w:tcMar>
              <w:top w:w="70" w:type="dxa"/>
              <w:start w:w="110" w:type="dxa"/>
              <w:bottom w:w="70" w:type="dxa"/>
              <w:end w:w="110" w:type="dxa"/>
            </w:tcMar>
            <w:vAlign w:val="center"/>
          </w:tcPr>
          <w:p>
            <w:pPr>
              <w:pStyle w:val="TableText"/>
              <w:jc w:val="left"/>
            </w:pPr>
            <w:r>
              <w:rPr>
                <w:lang w:val="en-US" w:eastAsia="en-US" w:bidi="ar-SA"/>
              </w:rPr>
              <w:t>Angles, shapes and sections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7228.80.00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Hollow drill bars and rods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7229.20.00</w:t>
            </w:r>
          </w:p>
        </w:tc>
        <w:tc>
          <w:tcPr>
            <w:tcW w:w="4679" w:type="dxa"/>
            <w:tcMar>
              <w:top w:w="70" w:type="dxa"/>
              <w:start w:w="110" w:type="dxa"/>
              <w:bottom w:w="70" w:type="dxa"/>
              <w:end w:w="110" w:type="dxa"/>
            </w:tcMar>
            <w:vAlign w:val="center"/>
          </w:tcPr>
          <w:p>
            <w:pPr>
              <w:pStyle w:val="TableText"/>
              <w:jc w:val="left"/>
            </w:pPr>
            <w:r>
              <w:rPr>
                <w:lang w:val="en-US" w:eastAsia="en-US" w:bidi="ar-SA"/>
              </w:rPr>
              <w:t>Of silico-manganese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7229.90.00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7301.10.00</w:t>
            </w:r>
          </w:p>
        </w:tc>
        <w:tc>
          <w:tcPr>
            <w:tcW w:w="4679" w:type="dxa"/>
            <w:tcMar>
              <w:top w:w="70" w:type="dxa"/>
              <w:start w:w="110" w:type="dxa"/>
              <w:bottom w:w="70" w:type="dxa"/>
              <w:end w:w="110" w:type="dxa"/>
            </w:tcMar>
            <w:vAlign w:val="center"/>
          </w:tcPr>
          <w:p>
            <w:pPr>
              <w:pStyle w:val="TableText"/>
              <w:jc w:val="left"/>
            </w:pPr>
            <w:r>
              <w:rPr>
                <w:lang w:val="en-US" w:eastAsia="en-US" w:bidi="ar-SA"/>
              </w:rPr>
              <w:t>Sheet piling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Angles, shapes and sections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7302.10.00</w:t>
            </w:r>
          </w:p>
        </w:tc>
        <w:tc>
          <w:tcPr>
            <w:tcW w:w="4679" w:type="dxa"/>
            <w:tcMar>
              <w:top w:w="70" w:type="dxa"/>
              <w:start w:w="110" w:type="dxa"/>
              <w:bottom w:w="70" w:type="dxa"/>
              <w:end w:w="110" w:type="dxa"/>
            </w:tcMar>
            <w:vAlign w:val="center"/>
          </w:tcPr>
          <w:p>
            <w:pPr>
              <w:pStyle w:val="TableText"/>
              <w:jc w:val="left"/>
            </w:pPr>
            <w:r>
              <w:rPr>
                <w:lang w:val="en-US" w:eastAsia="en-US" w:bidi="ar-SA"/>
              </w:rPr>
              <w:t>Rails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7302.30.10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with grooved or girder guard rail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7302.30.90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7302.40.00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Fish-plates and sole plates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7302.90.00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Tubes, pipes and hollow profiles, of cast iron.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7304.11.00</w:t>
            </w:r>
          </w:p>
        </w:tc>
        <w:tc>
          <w:tcPr>
            <w:tcW w:w="4679" w:type="dxa"/>
            <w:tcMar>
              <w:top w:w="70" w:type="dxa"/>
              <w:start w:w="110" w:type="dxa"/>
              <w:bottom w:w="70" w:type="dxa"/>
              <w:end w:w="110" w:type="dxa"/>
            </w:tcMar>
            <w:vAlign w:val="center"/>
          </w:tcPr>
          <w:p>
            <w:pPr>
              <w:pStyle w:val="TableText"/>
              <w:jc w:val="left"/>
            </w:pPr>
            <w:r>
              <w:rPr>
                <w:lang w:val="en-US" w:eastAsia="en-US" w:bidi="ar-SA"/>
              </w:rPr>
              <w:t>Of stainless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7304.19.00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7304.22.00</w:t>
            </w:r>
          </w:p>
        </w:tc>
        <w:tc>
          <w:tcPr>
            <w:tcW w:w="4679" w:type="dxa"/>
            <w:tcMar>
              <w:top w:w="70" w:type="dxa"/>
              <w:start w:w="110" w:type="dxa"/>
              <w:bottom w:w="70" w:type="dxa"/>
              <w:end w:w="110" w:type="dxa"/>
            </w:tcMar>
            <w:vAlign w:val="center"/>
          </w:tcPr>
          <w:p>
            <w:pPr>
              <w:pStyle w:val="TableText"/>
              <w:jc w:val="left"/>
            </w:pPr>
            <w:r>
              <w:rPr>
                <w:lang w:val="en-US" w:eastAsia="en-US" w:bidi="ar-SA"/>
              </w:rPr>
              <w:t>Drill pipe of stainless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7304.23.00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drill pipe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7304.24.00</w:t>
            </w:r>
          </w:p>
        </w:tc>
        <w:tc>
          <w:tcPr>
            <w:tcW w:w="4679" w:type="dxa"/>
            <w:tcMar>
              <w:top w:w="70" w:type="dxa"/>
              <w:start w:w="110" w:type="dxa"/>
              <w:bottom w:w="70" w:type="dxa"/>
              <w:end w:w="110" w:type="dxa"/>
            </w:tcMar>
            <w:vAlign w:val="center"/>
          </w:tcPr>
          <w:p>
            <w:pPr>
              <w:pStyle w:val="TableText"/>
              <w:jc w:val="left"/>
            </w:pPr>
            <w:r>
              <w:rPr>
                <w:lang w:val="en-US" w:eastAsia="en-US" w:bidi="ar-SA"/>
              </w:rPr>
              <w:t>Other, of stainless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7304.29.00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7304.31.00</w:t>
            </w:r>
          </w:p>
        </w:tc>
        <w:tc>
          <w:tcPr>
            <w:tcW w:w="4679" w:type="dxa"/>
            <w:tcMar>
              <w:top w:w="70" w:type="dxa"/>
              <w:start w:w="110" w:type="dxa"/>
              <w:bottom w:w="70" w:type="dxa"/>
              <w:end w:w="110" w:type="dxa"/>
            </w:tcMar>
            <w:vAlign w:val="center"/>
          </w:tcPr>
          <w:p>
            <w:pPr>
              <w:pStyle w:val="TableText"/>
              <w:jc w:val="left"/>
            </w:pPr>
            <w:r>
              <w:rPr>
                <w:lang w:val="en-US" w:eastAsia="en-US" w:bidi="ar-SA"/>
              </w:rPr>
              <w:t>Cold-drawn or cold-rolled (cold-reduced)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7304.39.00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7304.41.11</w:t>
            </w:r>
          </w:p>
        </w:tc>
        <w:tc>
          <w:tcPr>
            <w:tcW w:w="4679" w:type="dxa"/>
            <w:tcMar>
              <w:top w:w="70" w:type="dxa"/>
              <w:start w:w="110" w:type="dxa"/>
              <w:bottom w:w="70" w:type="dxa"/>
              <w:end w:w="110" w:type="dxa"/>
            </w:tcMar>
            <w:vAlign w:val="center"/>
          </w:tcPr>
          <w:p>
            <w:pPr>
              <w:pStyle w:val="TableText"/>
              <w:jc w:val="left"/>
            </w:pPr>
            <w:r>
              <w:rPr>
                <w:lang w:val="en-US" w:eastAsia="en-US" w:bidi="ar-SA"/>
              </w:rPr>
              <w:t>Of an external diameter of less than 19 mm:</w:t>
            </w:r>
          </w:p>
        </w:tc>
      </w:tr>
    </w:tbl>
    <w:p>
      <w:pPr>
        <w:pStyle w:val="Normal"/>
      </w:pPr>
      <w:r>
        <w:t>For use in the manufacture of goods of Section XVI or of Chapter 73, such goods being used in the distillation or recovery of products from natural gas 7304.41.19 Of an external diameter of less than 19 mm: Other 7304.41.91 Other: For use in the manufacture of goods of Section XVI or of Chapter 73, such goods being used in the distillation or recovery of products from natural gas 7304.41.99 Other: Other 7304.49.00 Other 7304.51.00</w:t>
      </w:r>
    </w:p>
    <w:p>
      <w:pPr>
        <w:pStyle w:val="Normal"/>
      </w:pPr>
      <w:r>
        <w:t>Cold-drawn or cold-rolled (cold-reduced)</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7304.59.00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7305.11.00</w:t>
            </w:r>
          </w:p>
        </w:tc>
        <w:tc>
          <w:tcPr>
            <w:tcW w:w="4679" w:type="dxa"/>
            <w:tcMar>
              <w:top w:w="70" w:type="dxa"/>
              <w:start w:w="110" w:type="dxa"/>
              <w:bottom w:w="70" w:type="dxa"/>
              <w:end w:w="110" w:type="dxa"/>
            </w:tcMar>
            <w:vAlign w:val="center"/>
          </w:tcPr>
          <w:p>
            <w:pPr>
              <w:pStyle w:val="TableText"/>
              <w:jc w:val="left"/>
            </w:pPr>
            <w:r>
              <w:rPr>
                <w:lang w:val="en-US" w:eastAsia="en-US" w:bidi="ar-SA"/>
              </w:rPr>
              <w:t>Longitudinally submerged arc welded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7305.12.00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longitudinally welded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7305.19.00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7305.20.00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Casing of a kind used in drilling for oil or gas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7305.31.00</w:t>
            </w:r>
          </w:p>
        </w:tc>
        <w:tc>
          <w:tcPr>
            <w:tcW w:w="4679" w:type="dxa"/>
            <w:tcMar>
              <w:top w:w="70" w:type="dxa"/>
              <w:start w:w="110" w:type="dxa"/>
              <w:bottom w:w="70" w:type="dxa"/>
              <w:end w:w="110" w:type="dxa"/>
            </w:tcMar>
            <w:vAlign w:val="center"/>
          </w:tcPr>
          <w:p>
            <w:pPr>
              <w:pStyle w:val="TableText"/>
              <w:jc w:val="left"/>
            </w:pPr>
            <w:r>
              <w:rPr>
                <w:lang w:val="en-US" w:eastAsia="en-US" w:bidi="ar-SA"/>
              </w:rPr>
              <w:t>Longitudinally welded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7305.39.00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7306.11.00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Welded, of stainless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7306.19.00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7306.21.00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Welded, of stainless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7306.29.00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7306.30.00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welded, of circular cross-section, of iron or non-alloy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7306.40.00</w:t>
            </w:r>
          </w:p>
        </w:tc>
        <w:tc>
          <w:tcPr>
            <w:tcW w:w="4679" w:type="dxa"/>
            <w:tcMar>
              <w:top w:w="70" w:type="dxa"/>
              <w:start w:w="110" w:type="dxa"/>
              <w:bottom w:w="70" w:type="dxa"/>
              <w:end w:w="110" w:type="dxa"/>
            </w:tcMar>
            <w:vAlign w:val="center"/>
          </w:tcPr>
          <w:p>
            <w:pPr>
              <w:pStyle w:val="TableText"/>
              <w:jc w:val="left"/>
            </w:pPr>
            <w:r>
              <w:rPr>
                <w:lang w:val="en-US" w:eastAsia="en-US" w:bidi="ar-SA"/>
              </w:rPr>
              <w:t>Other, welded, of circular cross-section, of stainless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7306.50.00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welded, of circular cross-section, of other alloy steel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7306.61.00</w:t>
            </w:r>
          </w:p>
        </w:tc>
        <w:tc>
          <w:tcPr>
            <w:tcW w:w="4679" w:type="dxa"/>
            <w:tcMar>
              <w:top w:w="70" w:type="dxa"/>
              <w:start w:w="110" w:type="dxa"/>
              <w:bottom w:w="70" w:type="dxa"/>
              <w:end w:w="110" w:type="dxa"/>
            </w:tcMar>
            <w:vAlign w:val="center"/>
          </w:tcPr>
          <w:p>
            <w:pPr>
              <w:pStyle w:val="TableText"/>
              <w:jc w:val="left"/>
            </w:pPr>
            <w:r>
              <w:rPr>
                <w:lang w:val="en-US" w:eastAsia="en-US" w:bidi="ar-SA"/>
              </w:rPr>
              <w:t>Of square or rectangular cross-section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7306.69.00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other non-circular cross-section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7306.90.00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7307.11.00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non-malleable cast iron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7307.19.00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7307.21.00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Flanges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7307.22.00</w:t>
            </w:r>
          </w:p>
        </w:tc>
        <w:tc>
          <w:tcPr>
            <w:tcW w:w="4679" w:type="dxa"/>
            <w:tcMar>
              <w:top w:w="70" w:type="dxa"/>
              <w:start w:w="110" w:type="dxa"/>
              <w:bottom w:w="70" w:type="dxa"/>
              <w:end w:w="110" w:type="dxa"/>
            </w:tcMar>
            <w:vAlign w:val="center"/>
          </w:tcPr>
          <w:p>
            <w:pPr>
              <w:pStyle w:val="TableText"/>
              <w:jc w:val="left"/>
            </w:pPr>
            <w:r>
              <w:rPr>
                <w:lang w:val="en-US" w:eastAsia="en-US" w:bidi="ar-SA"/>
              </w:rPr>
              <w:t>Threaded elbows, bends and sleeves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7307.23.00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Butt welding fittings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7307.29.10</w:t>
            </w:r>
          </w:p>
        </w:tc>
        <w:tc>
          <w:tcPr>
            <w:tcW w:w="4679" w:type="dxa"/>
            <w:tcMar>
              <w:top w:w="70" w:type="dxa"/>
              <w:start w:w="110" w:type="dxa"/>
              <w:bottom w:w="70" w:type="dxa"/>
              <w:end w:w="110" w:type="dxa"/>
            </w:tcMar>
            <w:vAlign w:val="center"/>
          </w:tcPr>
          <w:p>
            <w:pPr>
              <w:pStyle w:val="TableText"/>
              <w:jc w:val="left"/>
            </w:pPr>
            <w:r>
              <w:rPr>
                <w:lang w:val="en-US" w:eastAsia="en-US" w:bidi="ar-SA"/>
              </w:rPr>
              <w:t>To be employed in pneumatically breaking down the working face of a mine in mining, quarrying or developing mineral deposits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7307.29.20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installation between the wellhead assembly or surface oil pumping unit and the field marketing valve at oil or natural gas wells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7307.29.91</w:t>
            </w:r>
          </w:p>
        </w:tc>
        <w:tc>
          <w:tcPr>
            <w:tcW w:w="4679" w:type="dxa"/>
            <w:tcMar>
              <w:top w:w="70" w:type="dxa"/>
              <w:start w:w="110" w:type="dxa"/>
              <w:bottom w:w="70" w:type="dxa"/>
              <w:end w:w="110" w:type="dxa"/>
            </w:tcMar>
            <w:vAlign w:val="center"/>
          </w:tcPr>
          <w:p>
            <w:pPr>
              <w:pStyle w:val="TableText"/>
              <w:jc w:val="left"/>
            </w:pPr>
            <w:r>
              <w:rPr>
                <w:lang w:val="en-US" w:eastAsia="en-US" w:bidi="ar-SA"/>
              </w:rPr>
              <w:t>Other: Not further worked than forged or bent to shape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7307.29.99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7307.91.00</w:t>
            </w:r>
          </w:p>
        </w:tc>
        <w:tc>
          <w:tcPr>
            <w:tcW w:w="4679" w:type="dxa"/>
            <w:tcMar>
              <w:top w:w="70" w:type="dxa"/>
              <w:start w:w="110" w:type="dxa"/>
              <w:bottom w:w="70" w:type="dxa"/>
              <w:end w:w="110" w:type="dxa"/>
            </w:tcMar>
            <w:vAlign w:val="center"/>
          </w:tcPr>
          <w:p>
            <w:pPr>
              <w:pStyle w:val="TableText"/>
              <w:jc w:val="left"/>
            </w:pPr>
            <w:r>
              <w:rPr>
                <w:lang w:val="en-US" w:eastAsia="en-US" w:bidi="ar-SA"/>
              </w:rPr>
              <w:t>Flanges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7307.92.00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Threaded elbows, bends and sleeves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7307.93.00</w:t>
            </w:r>
          </w:p>
        </w:tc>
        <w:tc>
          <w:tcPr>
            <w:tcW w:w="4679" w:type="dxa"/>
            <w:tcMar>
              <w:top w:w="70" w:type="dxa"/>
              <w:start w:w="110" w:type="dxa"/>
              <w:bottom w:w="70" w:type="dxa"/>
              <w:end w:w="110" w:type="dxa"/>
            </w:tcMar>
            <w:vAlign w:val="center"/>
          </w:tcPr>
          <w:p>
            <w:pPr>
              <w:pStyle w:val="TableText"/>
              <w:jc w:val="left"/>
            </w:pPr>
            <w:r>
              <w:rPr>
                <w:lang w:val="en-US" w:eastAsia="en-US" w:bidi="ar-SA"/>
              </w:rPr>
              <w:t>Butt welding fittings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7307.99.00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7308.10.00</w:t>
            </w:r>
          </w:p>
        </w:tc>
        <w:tc>
          <w:tcPr>
            <w:tcW w:w="4679" w:type="dxa"/>
            <w:tcMar>
              <w:top w:w="70" w:type="dxa"/>
              <w:start w:w="110" w:type="dxa"/>
              <w:bottom w:w="70" w:type="dxa"/>
              <w:end w:w="110" w:type="dxa"/>
            </w:tcMar>
            <w:vAlign w:val="center"/>
          </w:tcPr>
          <w:p>
            <w:pPr>
              <w:pStyle w:val="TableText"/>
              <w:jc w:val="left"/>
            </w:pPr>
            <w:r>
              <w:rPr>
                <w:lang w:val="en-US" w:eastAsia="en-US" w:bidi="ar-SA"/>
              </w:rPr>
              <w:t>Bridges and bridge-sections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7308.20.00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Towers and lattice masts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7308.30.00</w:t>
            </w:r>
          </w:p>
        </w:tc>
        <w:tc>
          <w:tcPr>
            <w:tcW w:w="4679" w:type="dxa"/>
            <w:tcMar>
              <w:top w:w="70" w:type="dxa"/>
              <w:start w:w="110" w:type="dxa"/>
              <w:bottom w:w="70" w:type="dxa"/>
              <w:end w:w="110" w:type="dxa"/>
            </w:tcMar>
            <w:vAlign w:val="center"/>
          </w:tcPr>
          <w:p>
            <w:pPr>
              <w:pStyle w:val="TableText"/>
              <w:jc w:val="left"/>
            </w:pPr>
            <w:r>
              <w:rPr>
                <w:lang w:val="en-US" w:eastAsia="en-US" w:bidi="ar-SA"/>
              </w:rPr>
              <w:t>Doors, windows and</w:t>
            </w:r>
          </w:p>
        </w:tc>
      </w:tr>
    </w:tbl>
    <w:p>
      <w:pPr>
        <w:pStyle w:val="Normal"/>
      </w:pPr>
      <w:r>
        <w:t>their frames and thresholds for doors 7308.40.00 Equipment for scaffolding, shuttering, propping or pit-propping 7308.90.00 Other 7309.00.00 Reservoirs, tanks, vats and similar containers for any material (other than compressed or liquefied gas), of iron or steel, of a capacity exceeding 300 litres, whether or not lined or heat- insulated, but not fitted with mechanical or thermal equipment. 7310.10.00 Of a capacity of 50 litres or more 7310.21.00 Cans which are to be closed by soldering or crimping 7310.29.00 Other 7311.00.00 Containers for compressed or liquefied gas, of iron or steel. 7312.10.00 Stranded wire, ropes and cables 7312.90.00 Other 7313.00.00 Barbed wire of iron or steel; twisted hoop or single flat wire, barbed or not, and loosely twisted double wire, of a kind used for fencing, of iron or steel.</w:t>
      </w:r>
    </w:p>
    <w:p>
      <w:pPr>
        <w:pStyle w:val="Normal"/>
      </w:pPr>
      <w:r>
        <w:t>7314.12.00 Endless bands for machinery, of stainless steel 7314.14.00 Other woven cloth, of stainless steel 7314.19.00 Other 7314.20.00 Grill, netting and fencing, welded at the intersection, of wire with a maximum cross-sectional dimension of 3 mm or more and having a mesh size of 100 cm² or more 7314.31.00 Plated or coated with zinc 7314.39.00 Other 7314.41.00 Plated or coated with zinc 7314.42.00 Coated with plastics 7314.49.00 Other 7314.50.00 Expanded metal 7315.11.00 Roller chain 7315.12.00 Other chain 7315.19.00 Parts 7315.20.00 Skid chain 7315.81.00 Stud-link 7315.82.00 Other, welded link 7315.89.00 Other 7315.90.00 Other parts 7316.00.10 Of a weight of 18 kg or more 7316.00.20 Of a weight of less than 18 kg 7317.00.00 Nails, tacks, drawing pins, corrugated nails, staples (other than those of heading 83.05) and similar articles, of iron or steel, whether or not with heads of other material, but excluding such articles with heads of copper.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7318.11.00</w:t>
            </w:r>
          </w:p>
        </w:tc>
        <w:tc>
          <w:tcPr>
            <w:tcW w:w="4679" w:type="dxa"/>
            <w:tcMar>
              <w:top w:w="70" w:type="dxa"/>
              <w:start w:w="110" w:type="dxa"/>
              <w:bottom w:w="70" w:type="dxa"/>
              <w:end w:w="110" w:type="dxa"/>
            </w:tcMar>
            <w:vAlign w:val="center"/>
          </w:tcPr>
          <w:p>
            <w:pPr>
              <w:pStyle w:val="TableText"/>
              <w:jc w:val="left"/>
            </w:pPr>
            <w:r>
              <w:rPr>
                <w:lang w:val="en-US" w:eastAsia="en-US" w:bidi="ar-SA"/>
              </w:rPr>
              <w:t>Coach screws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7318.12.00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wood screws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7318.13.00</w:t>
            </w:r>
          </w:p>
        </w:tc>
        <w:tc>
          <w:tcPr>
            <w:tcW w:w="4679" w:type="dxa"/>
            <w:tcMar>
              <w:top w:w="70" w:type="dxa"/>
              <w:start w:w="110" w:type="dxa"/>
              <w:bottom w:w="70" w:type="dxa"/>
              <w:end w:w="110" w:type="dxa"/>
            </w:tcMar>
            <w:vAlign w:val="center"/>
          </w:tcPr>
          <w:p>
            <w:pPr>
              <w:pStyle w:val="TableText"/>
              <w:jc w:val="left"/>
            </w:pPr>
            <w:r>
              <w:rPr>
                <w:lang w:val="en-US" w:eastAsia="en-US" w:bidi="ar-SA"/>
              </w:rPr>
              <w:t>Screw hooks and screw rings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7318.14.00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Self-tapping screws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7318.15.00</w:t>
            </w:r>
          </w:p>
        </w:tc>
        <w:tc>
          <w:tcPr>
            <w:tcW w:w="4679" w:type="dxa"/>
            <w:tcMar>
              <w:top w:w="70" w:type="dxa"/>
              <w:start w:w="110" w:type="dxa"/>
              <w:bottom w:w="70" w:type="dxa"/>
              <w:end w:w="110" w:type="dxa"/>
            </w:tcMar>
            <w:vAlign w:val="center"/>
          </w:tcPr>
          <w:p>
            <w:pPr>
              <w:pStyle w:val="TableText"/>
              <w:jc w:val="left"/>
            </w:pPr>
            <w:r>
              <w:rPr>
                <w:lang w:val="en-US" w:eastAsia="en-US" w:bidi="ar-SA"/>
              </w:rPr>
              <w:t>Other screws and bolts, whether or not with their nuts or washers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7318.16.00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Nuts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7318.19.00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7318.21.00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Spring washers and other lock washers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7318.22.00</w:t>
            </w:r>
          </w:p>
        </w:tc>
        <w:tc>
          <w:tcPr>
            <w:tcW w:w="4679" w:type="dxa"/>
            <w:tcMar>
              <w:top w:w="70" w:type="dxa"/>
              <w:start w:w="110" w:type="dxa"/>
              <w:bottom w:w="70" w:type="dxa"/>
              <w:end w:w="110" w:type="dxa"/>
            </w:tcMar>
            <w:vAlign w:val="center"/>
          </w:tcPr>
          <w:p>
            <w:pPr>
              <w:pStyle w:val="TableText"/>
              <w:jc w:val="left"/>
            </w:pPr>
            <w:r>
              <w:rPr>
                <w:lang w:val="en-US" w:eastAsia="en-US" w:bidi="ar-SA"/>
              </w:rPr>
              <w:t>Other washers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7318.23.00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Rivets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7318.24.00</w:t>
            </w:r>
          </w:p>
        </w:tc>
        <w:tc>
          <w:tcPr>
            <w:tcW w:w="4679" w:type="dxa"/>
            <w:tcMar>
              <w:top w:w="70" w:type="dxa"/>
              <w:start w:w="110" w:type="dxa"/>
              <w:bottom w:w="70" w:type="dxa"/>
              <w:end w:w="110" w:type="dxa"/>
            </w:tcMar>
            <w:vAlign w:val="center"/>
          </w:tcPr>
          <w:p>
            <w:pPr>
              <w:pStyle w:val="TableText"/>
              <w:jc w:val="left"/>
            </w:pPr>
            <w:r>
              <w:rPr>
                <w:lang w:val="en-US" w:eastAsia="en-US" w:bidi="ar-SA"/>
              </w:rPr>
              <w:t>Cotters and cotter-pins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7318.29.00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7319.40.10</w:t>
            </w:r>
          </w:p>
        </w:tc>
        <w:tc>
          <w:tcPr>
            <w:tcW w:w="4679" w:type="dxa"/>
            <w:tcMar>
              <w:top w:w="70" w:type="dxa"/>
              <w:start w:w="110" w:type="dxa"/>
              <w:bottom w:w="70" w:type="dxa"/>
              <w:end w:w="110" w:type="dxa"/>
            </w:tcMar>
            <w:vAlign w:val="center"/>
          </w:tcPr>
          <w:p>
            <w:pPr>
              <w:pStyle w:val="TableText"/>
              <w:jc w:val="left"/>
            </w:pPr>
            <w:r>
              <w:rPr>
                <w:lang w:val="en-US" w:eastAsia="en-US" w:bidi="ar-SA"/>
              </w:rPr>
              <w:t>Specially designed for marking systems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7319.40.90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7319.90.10</w:t>
            </w:r>
          </w:p>
        </w:tc>
        <w:tc>
          <w:tcPr>
            <w:tcW w:w="4679" w:type="dxa"/>
            <w:tcMar>
              <w:top w:w="70" w:type="dxa"/>
              <w:start w:w="110" w:type="dxa"/>
              <w:bottom w:w="70" w:type="dxa"/>
              <w:end w:w="110" w:type="dxa"/>
            </w:tcMar>
            <w:vAlign w:val="center"/>
          </w:tcPr>
          <w:p>
            <w:pPr>
              <w:pStyle w:val="TableText"/>
              <w:jc w:val="left"/>
            </w:pPr>
            <w:r>
              <w:rPr>
                <w:lang w:val="en-US" w:eastAsia="en-US" w:bidi="ar-SA"/>
              </w:rPr>
              <w:t>Sewing, darning or embroidery needles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7319.90.90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7320.10.00</w:t>
            </w:r>
          </w:p>
        </w:tc>
        <w:tc>
          <w:tcPr>
            <w:tcW w:w="4679" w:type="dxa"/>
            <w:tcMar>
              <w:top w:w="70" w:type="dxa"/>
              <w:start w:w="110" w:type="dxa"/>
              <w:bottom w:w="70" w:type="dxa"/>
              <w:end w:w="110" w:type="dxa"/>
            </w:tcMar>
            <w:vAlign w:val="center"/>
          </w:tcPr>
          <w:p>
            <w:pPr>
              <w:pStyle w:val="TableText"/>
              <w:jc w:val="left"/>
            </w:pPr>
            <w:r>
              <w:rPr>
                <w:lang w:val="en-US" w:eastAsia="en-US" w:bidi="ar-SA"/>
              </w:rPr>
              <w:t>Leaf-springs and leaves therefor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7320.20.00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Helical springs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7320.90.00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7321.11.10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Non-portable stoves or ranges (including those specially designed for use on boats)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7321.11.90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7321.12.00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liquid fuel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7321.19.10</w:t>
            </w:r>
          </w:p>
        </w:tc>
        <w:tc>
          <w:tcPr>
            <w:tcW w:w="4679" w:type="dxa"/>
            <w:tcMar>
              <w:top w:w="70" w:type="dxa"/>
              <w:start w:w="110" w:type="dxa"/>
              <w:bottom w:w="70" w:type="dxa"/>
              <w:end w:w="110" w:type="dxa"/>
            </w:tcMar>
            <w:vAlign w:val="center"/>
          </w:tcPr>
          <w:p>
            <w:pPr>
              <w:pStyle w:val="TableText"/>
              <w:jc w:val="left"/>
            </w:pPr>
            <w:r>
              <w:rPr>
                <w:lang w:val="en-US" w:eastAsia="en-US" w:bidi="ar-SA"/>
              </w:rPr>
              <w:t>Non-portable stoves or ranges (including those specially designed for use on boats)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7321.19.90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7321.81.00</w:t>
            </w:r>
          </w:p>
        </w:tc>
        <w:tc>
          <w:tcPr>
            <w:tcW w:w="4679" w:type="dxa"/>
            <w:tcMar>
              <w:top w:w="70" w:type="dxa"/>
              <w:start w:w="110" w:type="dxa"/>
              <w:bottom w:w="70" w:type="dxa"/>
              <w:end w:w="110" w:type="dxa"/>
            </w:tcMar>
            <w:vAlign w:val="center"/>
          </w:tcPr>
          <w:p>
            <w:pPr>
              <w:pStyle w:val="TableText"/>
              <w:jc w:val="left"/>
            </w:pPr>
            <w:r>
              <w:rPr>
                <w:lang w:val="en-US" w:eastAsia="en-US" w:bidi="ar-SA"/>
              </w:rPr>
              <w:t>For gas fuel or for both gas and other fuels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7321.82.00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liquid fuel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7321.89.00</w:t>
            </w:r>
          </w:p>
        </w:tc>
        <w:tc>
          <w:tcPr>
            <w:tcW w:w="4679" w:type="dxa"/>
            <w:tcMar>
              <w:top w:w="70" w:type="dxa"/>
              <w:start w:w="110" w:type="dxa"/>
              <w:bottom w:w="70" w:type="dxa"/>
              <w:end w:w="110" w:type="dxa"/>
            </w:tcMar>
            <w:vAlign w:val="center"/>
          </w:tcPr>
          <w:p>
            <w:pPr>
              <w:pStyle w:val="TableText"/>
              <w:jc w:val="left"/>
            </w:pPr>
            <w:r>
              <w:rPr>
                <w:lang w:val="en-US" w:eastAsia="en-US" w:bidi="ar-SA"/>
              </w:rPr>
              <w:t>Other, including appliances for solid fuel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7321.90.10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Cast iron grilles, of a weight not exceeding 3 kg, not further worked than as cast, cut and ground, for use in the manufacture of finished grilles for non-industrial non-portable stoves or ranges, for gas fuel or for both gas or other fuels;</w:t>
            </w:r>
          </w:p>
        </w:tc>
      </w:tr>
    </w:tbl>
    <w:p>
      <w:pPr>
        <w:pStyle w:val="Normal"/>
      </w:pPr>
      <w:r>
        <w:t>For appliances, excluding cooking appliances and plate warmers; For cooking appliances and plate warmers for gas fuel or for both gas and other fuels, excluding non-portable stoves or ranges (including those specially designed for use on boats) 7321.90.21 For</w:t>
      </w:r>
    </w:p>
    <w:p>
      <w:pPr>
        <w:pStyle w:val="Normal"/>
      </w:pPr>
      <w:r>
        <w:t>non-portable stoves or ranges (including those specially designed for use on boats), for gas fuel or for both gas or other fuels: Cooking chambers 7321.90.22 For non-portable stoves or ranges (including those specially designed for use on boats), for gas fuel or for both gas or other fuels: Top surface panels 7321.90.23 For non-portable stoves or ranges (including those specially designed for use on boats), for gas fuel or for both gas or other fuels: Door assemblies, incorporating at least two of the following: inner panel, outer panel, window, insulation 7321.90.24 For non-portable stoves or ranges (including those specially designed for use on boats), for gas fuel or both gas or other fuels: Oven pilot burners, top burners of other than cast iron, oven burners and lighter cones, for use in the manufacture of ranges 7321.90.29 For non-portable stoves or ranges (including those specially designed for use on boats), for gas fuel or both gas or other fuels: Other 7321.90.90 Other 7322.11.00 Of cast iron 7322.19.00 Other 7322.90.10 For heating buildings 7322.90.20 Process air heaters;</w:t>
      </w:r>
    </w:p>
    <w:p>
      <w:pPr>
        <w:pStyle w:val="Normal"/>
      </w:pPr>
      <w:r>
        <w:t>Switch heaters and sensing heads (hot air and oil fired), horizontal air curtains, for railway tracks 7322.90.90 Other 7323.10.00 Iron or steel wool; pot scourers and scouring or polishing pads, gloves and the like 7323.91.00 Of cast iron, not enamelled 7323.92.00 Of cast iron, enamelled 7323.93.00 Of stainless steel 7323.94.00 Of iron (other than cast iron) or steel, enamelled 7323.99.00 Other</w:t>
      </w:r>
    </w:p>
    <w:p>
      <w:pPr>
        <w:pStyle w:val="Normal"/>
      </w:pPr>
      <w:r>
        <w:t>7324.10.00 Sinks and wash basins, of stainless steel 7324.21.00 Of cast iron, whether or not enamelled 7324.29.10 Stampings and assemblies thereof, for use in the manufacture of bath tubs 7324.29.90 Other 7324.90.00 Other, including parts 7325.10.00 Of non-malleable cast iron 7325.91.00 Grinding balls and similar articles for mills 7325.99.10 The following, to be employed in the exploration, discovery, development, maintenance, testing, depletion or production of oil or natural gas wells or potash or rock salt deposits: Flanged casing heads; Screwed casing heads for surface casings of an external diameter exceeding 273 mm, or rated for service in working pressures exceeding 14 MPa W.O.G. (water, oil, gas) 7325.99.91 Other: In the rough 7325.99.99 Other: Other 7326.11.00 Grinding balls and similar articles for mills 7326.19.10 Flanged wellhead tubing heads and flanged casing head spools, in the rough, for use in the manufacture of wellhead tubing heads or casing head spools, rated for service in working pressures exceeding 14 MPa W.O.G.</w:t>
      </w:r>
    </w:p>
    <w:p>
      <w:pPr>
        <w:pStyle w:val="Normal"/>
      </w:pPr>
      <w:r>
        <w:t>(water, oil, gas), to be employed in the exploration, discovery, development, maintenance, testing, depletion or production of oil or natural gas wells; Wick sustainers for use in the manufacture of candles 7326.19.90 Other 7326.20.00 Articles of iron or steel wire 7326.90.10 Couplings for sucker rods, pony rods or polished rods for oilfield related pumps; Fishing tools and parts thereof to be employed in the exploration, discovery, development, maintenance, testing, depletion or production of oil or natural gas wells or for drilling machinery employed in the exploration, discovery, development or operation of potash or rock salt deposits; For climbing or mountaineering; For keeping nets open and swivels, to be employed in commercial fishing or in the commercial harvesting of marine plants; For use in the manufacture of detectors for propane or other toxic fumes; For use in the manufacture of fire fighting vehicles; For use in the manufacture of goods of Section XVI or of Chapter 73, such goods being used in the recovery or production of crude oil from shales, oil-sands or tar-sands;</w:t>
      </w:r>
    </w:p>
    <w:p>
      <w:pPr>
        <w:pStyle w:val="Normal"/>
      </w:pPr>
      <w:r>
        <w:t>For use in the manufacture or repair of engines or parts thereof for commercial fishing vessels; Forged steel clevis hooks and eye hooks for use in the manufacture of debris chutes; Identification bands for migratory birds; Pitless well heads and parts thereof; Reusable containers, specially designed to be employed in the transportation of motor vehicle components which are free of customs</w:t>
      </w:r>
    </w:p>
    <w:p>
      <w:pPr>
        <w:pStyle w:val="Normal"/>
      </w:pPr>
      <w:r>
        <w:t>duties, presented with the goods therein; 7326.90.90 Other 7401.00.00 Copper mattes; cement copper (precipitated copper). 7402.00.00 Unrefined copper; copper anodes for electrolytic refining. 7403.11.00 Cathodes and sections of cathodes 7403.12.00 Wire-bars 7403.13.00 Billets 7403.19.00 Other 7403.21.00 Copper-zinc base alloys (brass) 7403.22.00 Copper-tin base alloys (bronze) 7403.29.00 Other copper alloys (other than master alloys of heading 74.05) 7404.00.10 Spent anodes, not alloyed; With a copper content of less than 94% by weight, not alloyed 7404.00.20 Copper-zinc base alloys (brass) with a copper content of less than 94% by weight 7404.00.91 Other: With a copper content of less than 94% by weight 7404.00.99 Other: Other 7405.00.00 Master alloys of copper. 7406.10.00 Powders of non-lamellar structure 7406.20.00 Powders of lamellar structure; flakes 7407.10.11 Hollow profiles: Unworked 7407.10.12 Hollow profiles: Worked 7407.10.21 Other: Bars and rods, of which the maximum cross-sectional dimension exceeds 12.7 mm; Solid profiles 7407.10.29 Other: Other 7407.21.10 Bars and rods, for use in the manufacture of welding electrodes, welding caps, electrode adaptors, electrode shanks, electrode holders, seam weld wheels or welding guns 7407.21.21 Hollow profiles: Unworked 7407.21.22 Hollow profiles:</w:t>
      </w:r>
    </w:p>
    <w:p>
      <w:pPr>
        <w:pStyle w:val="Normal"/>
      </w:pPr>
      <w:r>
        <w:t>Worked 7407.21.90 Other 7407.29.21 Of copper-nickel base alloys (cupro-nickel) or copper-nickel-zinc base alloys (nickel silver): Bars and rods, of copper-nickel base alloys</w:t>
      </w:r>
    </w:p>
    <w:p>
      <w:pPr>
        <w:pStyle w:val="Normal"/>
      </w:pPr>
      <w:r>
        <w:t>(cupro-nickel) of which the maximum cross-sectional dimension exceeds 12.7 mm; Solid profiles; Unworked hollow profiles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7407.29.29</w:t>
            </w:r>
          </w:p>
        </w:tc>
        <w:tc>
          <w:tcPr>
            <w:tcW w:w="4679" w:type="dxa"/>
            <w:tcMar>
              <w:top w:w="70" w:type="dxa"/>
              <w:start w:w="110" w:type="dxa"/>
              <w:bottom w:w="70" w:type="dxa"/>
              <w:end w:w="110" w:type="dxa"/>
            </w:tcMar>
            <w:vAlign w:val="center"/>
          </w:tcPr>
          <w:p>
            <w:pPr>
              <w:pStyle w:val="TableText"/>
              <w:jc w:val="left"/>
            </w:pPr>
            <w:r>
              <w:rPr>
                <w:lang w:val="en-US" w:eastAsia="en-US" w:bidi="ar-SA"/>
              </w:rPr>
              <w:t>Of copper-nickel base alloys (cupro-nickel) or copper-nickel-zinc base alloys (nickel silver):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7407.29.90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7408.11.11</w:t>
            </w:r>
          </w:p>
        </w:tc>
        <w:tc>
          <w:tcPr>
            <w:tcW w:w="4679" w:type="dxa"/>
            <w:tcMar>
              <w:top w:w="70" w:type="dxa"/>
              <w:start w:w="110" w:type="dxa"/>
              <w:bottom w:w="70" w:type="dxa"/>
              <w:end w:w="110" w:type="dxa"/>
            </w:tcMar>
            <w:vAlign w:val="center"/>
          </w:tcPr>
          <w:p>
            <w:pPr>
              <w:pStyle w:val="TableText"/>
              <w:jc w:val="left"/>
            </w:pPr>
            <w:r>
              <w:rPr>
                <w:lang w:val="en-US" w:eastAsia="en-US" w:bidi="ar-SA"/>
              </w:rPr>
              <w:t>Not exceeding 9.5 mm: Not coated or covered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7408.11.12</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Not exceeding 9.5 mm: Coated or covered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7408.11.20</w:t>
            </w:r>
          </w:p>
        </w:tc>
        <w:tc>
          <w:tcPr>
            <w:tcW w:w="4679" w:type="dxa"/>
            <w:tcMar>
              <w:top w:w="70" w:type="dxa"/>
              <w:start w:w="110" w:type="dxa"/>
              <w:bottom w:w="70" w:type="dxa"/>
              <w:end w:w="110" w:type="dxa"/>
            </w:tcMar>
            <w:vAlign w:val="center"/>
          </w:tcPr>
          <w:p>
            <w:pPr>
              <w:pStyle w:val="TableText"/>
              <w:jc w:val="left"/>
            </w:pPr>
            <w:r>
              <w:rPr>
                <w:lang w:val="en-US" w:eastAsia="en-US" w:bidi="ar-SA"/>
              </w:rPr>
              <w:t>Exceeding 9.5 mm but not exceeding 12.7 mm</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7408.11.31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Exceeding 12.7 mm: Not coated or covered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7408.11.32</w:t>
            </w:r>
          </w:p>
        </w:tc>
        <w:tc>
          <w:tcPr>
            <w:tcW w:w="4679" w:type="dxa"/>
            <w:tcMar>
              <w:top w:w="70" w:type="dxa"/>
              <w:start w:w="110" w:type="dxa"/>
              <w:bottom w:w="70" w:type="dxa"/>
              <w:end w:w="110" w:type="dxa"/>
            </w:tcMar>
            <w:vAlign w:val="center"/>
          </w:tcPr>
          <w:p>
            <w:pPr>
              <w:pStyle w:val="TableText"/>
              <w:jc w:val="left"/>
            </w:pPr>
            <w:r>
              <w:rPr>
                <w:lang w:val="en-US" w:eastAsia="en-US" w:bidi="ar-SA"/>
              </w:rPr>
              <w:t>Exceeding 12.7 mm: Coated or covered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7408.19.00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7408.21.00</w:t>
            </w:r>
          </w:p>
        </w:tc>
        <w:tc>
          <w:tcPr>
            <w:tcW w:w="4679" w:type="dxa"/>
            <w:tcMar>
              <w:top w:w="70" w:type="dxa"/>
              <w:start w:w="110" w:type="dxa"/>
              <w:bottom w:w="70" w:type="dxa"/>
              <w:end w:w="110" w:type="dxa"/>
            </w:tcMar>
            <w:vAlign w:val="center"/>
          </w:tcPr>
          <w:p>
            <w:pPr>
              <w:pStyle w:val="TableText"/>
              <w:jc w:val="left"/>
            </w:pPr>
            <w:r>
              <w:rPr>
                <w:lang w:val="en-US" w:eastAsia="en-US" w:bidi="ar-SA"/>
              </w:rPr>
              <w:t>Of copper-zinc base alloys (brass)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7408.22.00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copper-nickel base alloys (cupro-nickel) or copper-nickel-zinc base alloys (nickel silver)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7408.29.00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coils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7409.19.00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7409.21.00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coils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7409.29.00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7409.31.00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 coils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7409.39.00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7409.40.00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copper-nickel base alloys (cupro-nickel) or copper-nickel-zinc base alloys (nickel silver)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7409.90.00</w:t>
            </w:r>
          </w:p>
        </w:tc>
        <w:tc>
          <w:tcPr>
            <w:tcW w:w="4679" w:type="dxa"/>
            <w:tcMar>
              <w:top w:w="70" w:type="dxa"/>
              <w:start w:w="110" w:type="dxa"/>
              <w:bottom w:w="70" w:type="dxa"/>
              <w:end w:w="110" w:type="dxa"/>
            </w:tcMar>
            <w:vAlign w:val="center"/>
          </w:tcPr>
          <w:p>
            <w:pPr>
              <w:pStyle w:val="TableText"/>
              <w:jc w:val="left"/>
            </w:pPr>
            <w:r>
              <w:rPr>
                <w:lang w:val="en-US" w:eastAsia="en-US" w:bidi="ar-SA"/>
              </w:rPr>
              <w:t>Of other copper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7410.11.00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refined copper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7410.12.00</w:t>
            </w:r>
          </w:p>
        </w:tc>
        <w:tc>
          <w:tcPr>
            <w:tcW w:w="4679" w:type="dxa"/>
            <w:tcMar>
              <w:top w:w="70" w:type="dxa"/>
              <w:start w:w="110" w:type="dxa"/>
              <w:bottom w:w="70" w:type="dxa"/>
              <w:end w:w="110" w:type="dxa"/>
            </w:tcMar>
            <w:vAlign w:val="center"/>
          </w:tcPr>
          <w:p>
            <w:pPr>
              <w:pStyle w:val="TableText"/>
              <w:jc w:val="left"/>
            </w:pPr>
            <w:r>
              <w:rPr>
                <w:lang w:val="en-US" w:eastAsia="en-US" w:bidi="ar-SA"/>
              </w:rPr>
              <w:t>Of copper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7410.21.00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refined copper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7410.22.00</w:t>
            </w:r>
          </w:p>
        </w:tc>
        <w:tc>
          <w:tcPr>
            <w:tcW w:w="4679" w:type="dxa"/>
            <w:tcMar>
              <w:top w:w="70" w:type="dxa"/>
              <w:start w:w="110" w:type="dxa"/>
              <w:bottom w:w="70" w:type="dxa"/>
              <w:end w:w="110" w:type="dxa"/>
            </w:tcMar>
            <w:vAlign w:val="center"/>
          </w:tcPr>
          <w:p>
            <w:pPr>
              <w:pStyle w:val="TableText"/>
              <w:jc w:val="left"/>
            </w:pPr>
            <w:r>
              <w:rPr>
                <w:lang w:val="en-US" w:eastAsia="en-US" w:bidi="ar-SA"/>
              </w:rPr>
              <w:t>Of copper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refined copper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7411.21.00</w:t>
            </w:r>
          </w:p>
        </w:tc>
        <w:tc>
          <w:tcPr>
            <w:tcW w:w="4679" w:type="dxa"/>
            <w:tcMar>
              <w:top w:w="70" w:type="dxa"/>
              <w:start w:w="110" w:type="dxa"/>
              <w:bottom w:w="70" w:type="dxa"/>
              <w:end w:w="110" w:type="dxa"/>
            </w:tcMar>
            <w:vAlign w:val="center"/>
          </w:tcPr>
          <w:p>
            <w:pPr>
              <w:pStyle w:val="TableText"/>
              <w:jc w:val="left"/>
            </w:pPr>
            <w:r>
              <w:rPr>
                <w:lang w:val="en-US" w:eastAsia="en-US" w:bidi="ar-SA"/>
              </w:rPr>
              <w:t>Of copper-zinc base alloys (brass)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7411.22.00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copper-nickel base alloys (cupro-nickel) or copper-nickel-zinc base alloys (nickel silver)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7411.29.00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refined copper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7412.20.00</w:t>
            </w:r>
          </w:p>
        </w:tc>
        <w:tc>
          <w:tcPr>
            <w:tcW w:w="4679" w:type="dxa"/>
            <w:tcMar>
              <w:top w:w="70" w:type="dxa"/>
              <w:start w:w="110" w:type="dxa"/>
              <w:bottom w:w="70" w:type="dxa"/>
              <w:end w:w="110" w:type="dxa"/>
            </w:tcMar>
            <w:vAlign w:val="center"/>
          </w:tcPr>
          <w:p>
            <w:pPr>
              <w:pStyle w:val="TableText"/>
              <w:jc w:val="left"/>
            </w:pPr>
            <w:r>
              <w:rPr>
                <w:lang w:val="en-US" w:eastAsia="en-US" w:bidi="ar-SA"/>
              </w:rPr>
              <w:t>Of copper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Stranded wire, cables, plaited bands and the like, of copper, not electrically insulated.</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Nails and tacks, drawing pins, staples and similar articles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7415.21.00</w:t>
            </w:r>
          </w:p>
        </w:tc>
        <w:tc>
          <w:tcPr>
            <w:tcW w:w="4679" w:type="dxa"/>
            <w:tcMar>
              <w:top w:w="70" w:type="dxa"/>
              <w:start w:w="110" w:type="dxa"/>
              <w:bottom w:w="70" w:type="dxa"/>
              <w:end w:w="110" w:type="dxa"/>
            </w:tcMar>
            <w:vAlign w:val="center"/>
          </w:tcPr>
          <w:p>
            <w:pPr>
              <w:pStyle w:val="TableText"/>
              <w:jc w:val="left"/>
            </w:pPr>
            <w:r>
              <w:rPr>
                <w:lang w:val="en-US" w:eastAsia="en-US" w:bidi="ar-SA"/>
              </w:rPr>
              <w:t>Washers (including spring washers)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7415.29.00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7415.33.00</w:t>
            </w:r>
          </w:p>
        </w:tc>
        <w:tc>
          <w:tcPr>
            <w:tcW w:w="4679" w:type="dxa"/>
            <w:tcMar>
              <w:top w:w="70" w:type="dxa"/>
              <w:start w:w="110" w:type="dxa"/>
              <w:bottom w:w="70" w:type="dxa"/>
              <w:end w:w="110" w:type="dxa"/>
            </w:tcMar>
            <w:vAlign w:val="center"/>
          </w:tcPr>
          <w:p>
            <w:pPr>
              <w:pStyle w:val="TableText"/>
              <w:jc w:val="left"/>
            </w:pPr>
            <w:r>
              <w:rPr>
                <w:lang w:val="en-US" w:eastAsia="en-US" w:bidi="ar-SA"/>
              </w:rPr>
              <w:t>Screws; bolts and nuts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7415.39.00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7418.10.00</w:t>
            </w:r>
          </w:p>
        </w:tc>
        <w:tc>
          <w:tcPr>
            <w:tcW w:w="4679" w:type="dxa"/>
            <w:tcMar>
              <w:top w:w="70" w:type="dxa"/>
              <w:start w:w="110" w:type="dxa"/>
              <w:bottom w:w="70" w:type="dxa"/>
              <w:end w:w="110" w:type="dxa"/>
            </w:tcMar>
            <w:vAlign w:val="center"/>
          </w:tcPr>
          <w:p>
            <w:pPr>
              <w:pStyle w:val="TableText"/>
              <w:jc w:val="left"/>
            </w:pPr>
            <w:r>
              <w:rPr>
                <w:lang w:val="en-US" w:eastAsia="en-US" w:bidi="ar-SA"/>
              </w:rPr>
              <w:t>Table, kitchen or other household articles and parts thereof; pot scourers and scouring or polishing pads, gloves and the like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7418.20.00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Sanitary ware and parts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7419.10.00</w:t>
            </w:r>
          </w:p>
        </w:tc>
        <w:tc>
          <w:tcPr>
            <w:tcW w:w="4679" w:type="dxa"/>
            <w:tcMar>
              <w:top w:w="70" w:type="dxa"/>
              <w:start w:w="110" w:type="dxa"/>
              <w:bottom w:w="70" w:type="dxa"/>
              <w:end w:w="110" w:type="dxa"/>
            </w:tcMar>
            <w:vAlign w:val="center"/>
          </w:tcPr>
          <w:p>
            <w:pPr>
              <w:pStyle w:val="TableText"/>
              <w:jc w:val="left"/>
            </w:pPr>
            <w:r>
              <w:rPr>
                <w:lang w:val="en-US" w:eastAsia="en-US" w:bidi="ar-SA"/>
              </w:rPr>
              <w:t>Chain and parts thereof</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7419.91.10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Anodes for electroplating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7419.91.91</w:t>
            </w:r>
          </w:p>
        </w:tc>
        <w:tc>
          <w:tcPr>
            <w:tcW w:w="4679" w:type="dxa"/>
            <w:tcMar>
              <w:top w:w="70" w:type="dxa"/>
              <w:start w:w="110" w:type="dxa"/>
              <w:bottom w:w="70" w:type="dxa"/>
              <w:end w:w="110" w:type="dxa"/>
            </w:tcMar>
            <w:vAlign w:val="center"/>
          </w:tcPr>
          <w:p>
            <w:pPr>
              <w:pStyle w:val="TableText"/>
              <w:jc w:val="left"/>
            </w:pPr>
            <w:r>
              <w:rPr>
                <w:lang w:val="en-US" w:eastAsia="en-US" w:bidi="ar-SA"/>
              </w:rPr>
              <w:t>Other: For use in Canadian manufactures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7419.91.99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7419.99.10</w:t>
            </w:r>
          </w:p>
        </w:tc>
        <w:tc>
          <w:tcPr>
            <w:tcW w:w="4679" w:type="dxa"/>
            <w:tcMar>
              <w:top w:w="70" w:type="dxa"/>
              <w:start w:w="110" w:type="dxa"/>
              <w:bottom w:w="70" w:type="dxa"/>
              <w:end w:w="110" w:type="dxa"/>
            </w:tcMar>
            <w:vAlign w:val="center"/>
          </w:tcPr>
          <w:p>
            <w:pPr>
              <w:pStyle w:val="TableText"/>
              <w:jc w:val="left"/>
            </w:pPr>
            <w:r>
              <w:rPr>
                <w:lang w:val="en-US" w:eastAsia="en-US" w:bidi="ar-SA"/>
              </w:rPr>
              <w:t>Anodes for electroplating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7419.99.20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Caskets or coffins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7419.99.90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Nickel mattes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7501.20.00</w:t>
            </w:r>
          </w:p>
        </w:tc>
        <w:tc>
          <w:tcPr>
            <w:tcW w:w="4679" w:type="dxa"/>
            <w:tcMar>
              <w:top w:w="70" w:type="dxa"/>
              <w:start w:w="110" w:type="dxa"/>
              <w:bottom w:w="70" w:type="dxa"/>
              <w:end w:w="110" w:type="dxa"/>
            </w:tcMar>
            <w:vAlign w:val="center"/>
          </w:tcPr>
          <w:p>
            <w:pPr>
              <w:pStyle w:val="TableText"/>
              <w:jc w:val="left"/>
            </w:pPr>
            <w:r>
              <w:rPr>
                <w:lang w:val="en-US" w:eastAsia="en-US" w:bidi="ar-SA"/>
              </w:rPr>
              <w:t>Nickel oxide sinters and other intermediate products of nickel metallurgy</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Nickel, not 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7502.20.00</w:t>
            </w:r>
          </w:p>
        </w:tc>
        <w:tc>
          <w:tcPr>
            <w:tcW w:w="4679" w:type="dxa"/>
            <w:tcMar>
              <w:top w:w="70" w:type="dxa"/>
              <w:start w:w="110" w:type="dxa"/>
              <w:bottom w:w="70" w:type="dxa"/>
              <w:end w:w="110" w:type="dxa"/>
            </w:tcMar>
            <w:vAlign w:val="center"/>
          </w:tcPr>
          <w:p>
            <w:pPr>
              <w:pStyle w:val="TableText"/>
              <w:jc w:val="left"/>
            </w:pPr>
            <w:r>
              <w:rPr>
                <w:lang w:val="en-US" w:eastAsia="en-US" w:bidi="ar-SA"/>
              </w:rPr>
              <w:t>Nickel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Nickel 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7504.00.00</w:t>
            </w:r>
          </w:p>
        </w:tc>
        <w:tc>
          <w:tcPr>
            <w:tcW w:w="4679" w:type="dxa"/>
            <w:tcMar>
              <w:top w:w="70" w:type="dxa"/>
              <w:start w:w="110" w:type="dxa"/>
              <w:bottom w:w="70" w:type="dxa"/>
              <w:end w:w="110" w:type="dxa"/>
            </w:tcMar>
            <w:vAlign w:val="center"/>
          </w:tcPr>
          <w:p>
            <w:pPr>
              <w:pStyle w:val="TableText"/>
              <w:jc w:val="left"/>
            </w:pPr>
            <w:r>
              <w:rPr>
                <w:lang w:val="en-US" w:eastAsia="en-US" w:bidi="ar-SA"/>
              </w:rPr>
              <w:t>Nickel powders and flakes.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7505.11.00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nickel, not 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7505.12.00</w:t>
            </w:r>
          </w:p>
        </w:tc>
        <w:tc>
          <w:tcPr>
            <w:tcW w:w="4679" w:type="dxa"/>
            <w:tcMar>
              <w:top w:w="70" w:type="dxa"/>
              <w:start w:w="110" w:type="dxa"/>
              <w:bottom w:w="70" w:type="dxa"/>
              <w:end w:w="110" w:type="dxa"/>
            </w:tcMar>
            <w:vAlign w:val="center"/>
          </w:tcPr>
          <w:p>
            <w:pPr>
              <w:pStyle w:val="TableText"/>
              <w:jc w:val="left"/>
            </w:pPr>
            <w:r>
              <w:rPr>
                <w:lang w:val="en-US" w:eastAsia="en-US" w:bidi="ar-SA"/>
              </w:rPr>
              <w:t>Of nickel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nickel, not 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7505.22.00</w:t>
            </w:r>
          </w:p>
        </w:tc>
        <w:tc>
          <w:tcPr>
            <w:tcW w:w="4679" w:type="dxa"/>
            <w:tcMar>
              <w:top w:w="70" w:type="dxa"/>
              <w:start w:w="110" w:type="dxa"/>
              <w:bottom w:w="70" w:type="dxa"/>
              <w:end w:w="110" w:type="dxa"/>
            </w:tcMar>
            <w:vAlign w:val="center"/>
          </w:tcPr>
          <w:p>
            <w:pPr>
              <w:pStyle w:val="TableText"/>
              <w:jc w:val="left"/>
            </w:pPr>
            <w:r>
              <w:rPr>
                <w:lang w:val="en-US" w:eastAsia="en-US" w:bidi="ar-SA"/>
              </w:rPr>
              <w:t>Of nickel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7506.10.10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Worked foil of a thickness not exceeding 0.15 mm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7506.10.90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7506.20.10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The following foil of a thickness not exceeding 0.15 mm: Unworked, containing by weight less than 60% of nickel;</w:t>
            </w:r>
          </w:p>
        </w:tc>
      </w:tr>
    </w:tbl>
    <w:p>
      <w:pPr>
        <w:pStyle w:val="Normal"/>
      </w:pPr>
      <w:r>
        <w:t>Worked</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7506.20.90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7507.11.00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nickel, not 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7507.12.00</w:t>
            </w:r>
          </w:p>
        </w:tc>
        <w:tc>
          <w:tcPr>
            <w:tcW w:w="4679" w:type="dxa"/>
            <w:tcMar>
              <w:top w:w="70" w:type="dxa"/>
              <w:start w:w="110" w:type="dxa"/>
              <w:bottom w:w="70" w:type="dxa"/>
              <w:end w:w="110" w:type="dxa"/>
            </w:tcMar>
            <w:vAlign w:val="center"/>
          </w:tcPr>
          <w:p>
            <w:pPr>
              <w:pStyle w:val="TableText"/>
              <w:jc w:val="left"/>
            </w:pPr>
            <w:r>
              <w:rPr>
                <w:lang w:val="en-US" w:eastAsia="en-US" w:bidi="ar-SA"/>
              </w:rPr>
              <w:t>Of nickel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Tube or pipe fittings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7508.10.00</w:t>
            </w:r>
          </w:p>
        </w:tc>
        <w:tc>
          <w:tcPr>
            <w:tcW w:w="4679" w:type="dxa"/>
            <w:tcMar>
              <w:top w:w="70" w:type="dxa"/>
              <w:start w:w="110" w:type="dxa"/>
              <w:bottom w:w="70" w:type="dxa"/>
              <w:end w:w="110" w:type="dxa"/>
            </w:tcMar>
            <w:vAlign w:val="center"/>
          </w:tcPr>
          <w:p>
            <w:pPr>
              <w:pStyle w:val="TableText"/>
              <w:jc w:val="left"/>
            </w:pPr>
            <w:r>
              <w:rPr>
                <w:lang w:val="en-US" w:eastAsia="en-US" w:bidi="ar-SA"/>
              </w:rPr>
              <w:t>Cloth, grill and netting, of nickel wire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7508.90.10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Anodes for electroplating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7508.90.90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7601.10.00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Aluminum, not 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7601.20.00</w:t>
            </w:r>
          </w:p>
        </w:tc>
        <w:tc>
          <w:tcPr>
            <w:tcW w:w="4679" w:type="dxa"/>
            <w:tcMar>
              <w:top w:w="70" w:type="dxa"/>
              <w:start w:w="110" w:type="dxa"/>
              <w:bottom w:w="70" w:type="dxa"/>
              <w:end w:w="110" w:type="dxa"/>
            </w:tcMar>
            <w:vAlign w:val="center"/>
          </w:tcPr>
          <w:p>
            <w:pPr>
              <w:pStyle w:val="TableText"/>
              <w:jc w:val="left"/>
            </w:pPr>
            <w:r>
              <w:rPr>
                <w:lang w:val="en-US" w:eastAsia="en-US" w:bidi="ar-SA"/>
              </w:rPr>
              <w:t>Aluminum alloys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7602.00.00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Aluminum waste and scrap.</w:t>
            </w:r>
          </w:p>
        </w:tc>
      </w:tr>
    </w:tbl>
    <w:p>
      <w:pPr>
        <w:pStyle w:val="Normal"/>
      </w:pPr>
      <w:r>
        <w:t>7603.10.00 Powders of non-lamellar structure 7603.20.00 Powders of lamellar structure; flakes 7604.10.00 Of aluminum, not alloyed 7604.21.00 Hollow profiles 7604.29.00 Other 7605.11.00 Of which the maximum cross-sectional dimension exceeds 7 mm 7605.19.00 Other 7605.21.00 Of which the maximum cross-sectional dimension exceeds 7 mm 7605.29.00 Other 7606.11.00 Of aluminum, not alloyed 7606.12.00 Of aluminum alloys 7606.91.00 Of aluminum, not alloyed 7606.92.00 Of aluminum alloys 7607.11.00 Rolled but not further worked 7607.19.00 Other 7607.20.10 For use in the manufacture of 960 ml beverage containers; Of a thickness of less than 0.127 mm, embossed, not printed 7607.20.90 Other 7608.10.00 Of aluminum, not alloyed 7608.20.00 Of aluminum alloys 7609.00.00 Aluminum tube or pipe fittings (for example, couplings, elbows, sleeves). 7610.10.00 Doors, windows and their frames and thresholds for doors 7610.90.10 For use in Canadian manufactures 7610.90.90 Other 7611.00.00 Aluminum reservoirs, tanks, vats and similar containers, for any material (other than compressed or liquefied gas), of a capacity exceeding 300 litres, whether or not lined or heat-insulated, but not fitted with mechanical or thermal equipment.</w:t>
      </w:r>
    </w:p>
    <w:p>
      <w:pPr>
        <w:pStyle w:val="Normal"/>
      </w:pPr>
      <w:r>
        <w:t>7612.10.00 Collapsible tubular containers 7612.90.10 Aerosol containers, excluding three-piece cans without inserts having a base diameter of 50 mm or more but not exceeding 80 mm 7612.90.91 Other: Embossed aluminum cans for use in the packaging of beverages 7612.90.99 Other: Other 7613.00.00 Aluminum containers for compressed or liquefied gas. 7614.10.00 With steel core 7614.90.00 Other 7615.10.00 Table, kitchen or other household articles and parts thereof; pot scourers and scouring or polishing pads, gloves and the like 7615.20.00 Sanitary ware and parts thereof 7616.10.00 Nails, tacks, staples (other than those of heading 83.05), screws, bolts, nuts, screw hooks, rivets, cotters, cotter-pins, washers and similar articles 7616.91.00 Cloth, grill, netting and fencing, of aluminum wire 7616.99.10 Cups for use in the manufacture of candles; Ferrules for use in the manufacture of pencils; Fish egg incubators and parts thereof; For climbing or mountaineering; Identification bands for migratory birds; Pigeon countermark leg bands;</w:t>
      </w:r>
    </w:p>
    <w:p>
      <w:pPr>
        <w:pStyle w:val="Normal"/>
      </w:pPr>
      <w:r>
        <w:t>To be employed in the manufacture of sera, antisera, toxoids, viruses, toxins or antitoxins, virus or bacterial vaccines, bacteriophage or bacterial lysates, allergenics, liver extracts, pituitary extracts, epinephrine or its solutions, insulin (with or without zinc, globin or protamine), and blood plasma or serum of human origin, or fractions thereof, or extenders or substitutes therefor 7616.99.90 Other 7801.10.00 Refined lead 7801.91.00 Containing</w:t>
      </w:r>
    </w:p>
    <w:p>
      <w:pPr>
        <w:pStyle w:val="Normal"/>
      </w:pPr>
      <w:r>
        <w:t>by weight antimony as the principal other element 7801.99.00 Other 7802.00.00 Lead waste and scrap. 7804.11.00 Sheets, strip and foil of a thickness (excluding any backing) not exceeding 0.2 mm 7804.19.00 Other 7804.20.00 Powders and flakes 7806.00.00 Other articles of lead. 7901.11.00 Containing by weight 99.99% or more of zinc 7901.12.00 Containing by weight less than 99.99% of zinc 7901.20.00 Zinc alloys 7902.00.00 Zinc waste and scrap. 7903.10.00 Zinc dust 7903.90.00 Other 7904.00.00 Zinc bars, rods, profiles and wire. 7905.00.00 Zinc plates, sheets, strip and foil. 7907.00.30 For use in Canadian manufactures 7907.00.91 Other: Anodes for electroplating 7907.00.92 Other: Discs or slugs, containing by weight 90% or more of zinc; Gutters, roof capping, skylight frames and other fabricated building components; Zinc tubes, pipes and tube or pipe fittings (for example couplings, elbows, sleeves) 7907.00.99 Other: Other 8001.10.00 Tin, not alloyed 8001.20.00 Tin alloys 8002.00.00 Tin waste and scrap. 8003.00.00 Tin bars, rods, profiles and wire.</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8007.00.10</w:t>
            </w:r>
          </w:p>
        </w:tc>
        <w:tc>
          <w:tcPr>
            <w:tcW w:w="4679" w:type="dxa"/>
            <w:tcMar>
              <w:top w:w="70" w:type="dxa"/>
              <w:start w:w="110" w:type="dxa"/>
              <w:bottom w:w="70" w:type="dxa"/>
              <w:end w:w="110" w:type="dxa"/>
            </w:tcMar>
            <w:vAlign w:val="center"/>
          </w:tcPr>
          <w:p>
            <w:pPr>
              <w:pStyle w:val="TableText"/>
              <w:jc w:val="left"/>
            </w:pPr>
            <w:r>
              <w:rPr>
                <w:lang w:val="en-US" w:eastAsia="en-US" w:bidi="ar-SA"/>
              </w:rPr>
              <w:t>Foil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8007.00.20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Tin plates, sheets and strip, of a thickness exceeding 0.2 mm; Tin tubes, pipes and tube or pipe fittings (for example, couplings, elbows, sleeves)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8007.00.30</w:t>
            </w:r>
          </w:p>
        </w:tc>
        <w:tc>
          <w:tcPr>
            <w:tcW w:w="4679" w:type="dxa"/>
            <w:tcMar>
              <w:top w:w="70" w:type="dxa"/>
              <w:start w:w="110" w:type="dxa"/>
              <w:bottom w:w="70" w:type="dxa"/>
              <w:end w:w="110" w:type="dxa"/>
            </w:tcMar>
            <w:vAlign w:val="center"/>
          </w:tcPr>
          <w:p>
            <w:pPr>
              <w:pStyle w:val="TableText"/>
              <w:jc w:val="left"/>
            </w:pPr>
            <w:r>
              <w:rPr>
                <w:lang w:val="en-US" w:eastAsia="en-US" w:bidi="ar-SA"/>
              </w:rPr>
              <w:t>Powders and flakes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8007.00.90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8101.10.00</w:t>
            </w:r>
          </w:p>
        </w:tc>
        <w:tc>
          <w:tcPr>
            <w:tcW w:w="4679" w:type="dxa"/>
            <w:tcMar>
              <w:top w:w="70" w:type="dxa"/>
              <w:start w:w="110" w:type="dxa"/>
              <w:bottom w:w="70" w:type="dxa"/>
              <w:end w:w="110" w:type="dxa"/>
            </w:tcMar>
            <w:vAlign w:val="center"/>
          </w:tcPr>
          <w:p>
            <w:pPr>
              <w:pStyle w:val="TableText"/>
              <w:jc w:val="left"/>
            </w:pPr>
            <w:r>
              <w:rPr>
                <w:lang w:val="en-US" w:eastAsia="en-US" w:bidi="ar-SA"/>
              </w:rPr>
              <w:t>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8101.94.00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tungsten, including bars and rods obtained simply by sintering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8101.96.00</w:t>
            </w:r>
          </w:p>
        </w:tc>
        <w:tc>
          <w:tcPr>
            <w:tcW w:w="4679" w:type="dxa"/>
            <w:tcMar>
              <w:top w:w="70" w:type="dxa"/>
              <w:start w:w="110" w:type="dxa"/>
              <w:bottom w:w="70" w:type="dxa"/>
              <w:end w:w="110" w:type="dxa"/>
            </w:tcMar>
            <w:vAlign w:val="center"/>
          </w:tcPr>
          <w:p>
            <w:pPr>
              <w:pStyle w:val="TableText"/>
              <w:jc w:val="left"/>
            </w:pPr>
            <w:r>
              <w:rPr>
                <w:lang w:val="en-US" w:eastAsia="en-US" w:bidi="ar-SA"/>
              </w:rPr>
              <w:t>Wire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8101.97.00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8101.99.00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8102.94.00</w:t>
            </w:r>
          </w:p>
        </w:tc>
        <w:tc>
          <w:tcPr>
            <w:tcW w:w="4679" w:type="dxa"/>
            <w:tcMar>
              <w:top w:w="70" w:type="dxa"/>
              <w:start w:w="110" w:type="dxa"/>
              <w:bottom w:w="70" w:type="dxa"/>
              <w:end w:w="110" w:type="dxa"/>
            </w:tcMar>
            <w:vAlign w:val="center"/>
          </w:tcPr>
          <w:p>
            <w:pPr>
              <w:pStyle w:val="TableText"/>
              <w:jc w:val="left"/>
            </w:pPr>
            <w:r>
              <w:rPr>
                <w:lang w:val="en-US" w:eastAsia="en-US" w:bidi="ar-SA"/>
              </w:rPr>
              <w:t>Unwrought molybdenum, including bars and rods obtained simply by sintering</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8102.95.10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Bars and rods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8102.95.20</w:t>
            </w:r>
          </w:p>
        </w:tc>
        <w:tc>
          <w:tcPr>
            <w:tcW w:w="4679" w:type="dxa"/>
            <w:tcMar>
              <w:top w:w="70" w:type="dxa"/>
              <w:start w:w="110" w:type="dxa"/>
              <w:bottom w:w="70" w:type="dxa"/>
              <w:end w:w="110" w:type="dxa"/>
            </w:tcMar>
            <w:vAlign w:val="center"/>
          </w:tcPr>
          <w:p>
            <w:pPr>
              <w:pStyle w:val="TableText"/>
              <w:jc w:val="left"/>
            </w:pPr>
            <w:r>
              <w:rPr>
                <w:lang w:val="en-US" w:eastAsia="en-US" w:bidi="ar-SA"/>
              </w:rPr>
              <w:t>Profiles, plates, sheets, strip and foil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8102.96.00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8102.97.00</w:t>
            </w:r>
          </w:p>
        </w:tc>
        <w:tc>
          <w:tcPr>
            <w:tcW w:w="4679" w:type="dxa"/>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8102.99.00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8103.20.00</w:t>
            </w:r>
          </w:p>
        </w:tc>
        <w:tc>
          <w:tcPr>
            <w:tcW w:w="4679" w:type="dxa"/>
            <w:tcMar>
              <w:top w:w="70" w:type="dxa"/>
              <w:start w:w="110" w:type="dxa"/>
              <w:bottom w:w="70" w:type="dxa"/>
              <w:end w:w="110" w:type="dxa"/>
            </w:tcMar>
            <w:vAlign w:val="center"/>
          </w:tcPr>
          <w:p>
            <w:pPr>
              <w:pStyle w:val="TableText"/>
              <w:jc w:val="left"/>
            </w:pPr>
            <w:r>
              <w:rPr>
                <w:lang w:val="en-US" w:eastAsia="en-US" w:bidi="ar-SA"/>
              </w:rPr>
              <w:t>Unwrought tantalum, including bars and rods obtained simply by sintering;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8103.30.00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8103.90.00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8104.11.00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Containing at least 99.8% by weight of magnesium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8104.19.00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8104.30.00</w:t>
            </w:r>
          </w:p>
        </w:tc>
        <w:tc>
          <w:tcPr>
            <w:tcW w:w="4679" w:type="dxa"/>
            <w:tcMar>
              <w:top w:w="70" w:type="dxa"/>
              <w:start w:w="110" w:type="dxa"/>
              <w:bottom w:w="70" w:type="dxa"/>
              <w:end w:w="110" w:type="dxa"/>
            </w:tcMar>
            <w:vAlign w:val="center"/>
          </w:tcPr>
          <w:p>
            <w:pPr>
              <w:pStyle w:val="TableText"/>
              <w:jc w:val="left"/>
            </w:pPr>
            <w:r>
              <w:rPr>
                <w:lang w:val="en-US" w:eastAsia="en-US" w:bidi="ar-SA"/>
              </w:rPr>
              <w:t>Raspings, turnings and granules, graded according to size;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8105.20.00</w:t>
            </w:r>
          </w:p>
        </w:tc>
        <w:tc>
          <w:tcPr>
            <w:tcW w:w="4679" w:type="dxa"/>
            <w:tcMar>
              <w:top w:w="70" w:type="dxa"/>
              <w:start w:w="110" w:type="dxa"/>
              <w:bottom w:w="70" w:type="dxa"/>
              <w:end w:w="110" w:type="dxa"/>
            </w:tcMar>
            <w:vAlign w:val="center"/>
          </w:tcPr>
          <w:p>
            <w:pPr>
              <w:pStyle w:val="TableText"/>
              <w:jc w:val="left"/>
            </w:pPr>
            <w:r>
              <w:rPr>
                <w:lang w:val="en-US" w:eastAsia="en-US" w:bidi="ar-SA"/>
              </w:rPr>
              <w:t>Cobalt mattes and other intermediate products of cobalt metallurgy; unwrought cobalt;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8105.30.00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8105.90.00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8106.00.00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Bismuth and articles thereof, including waste and scrap.</w:t>
            </w:r>
          </w:p>
        </w:tc>
      </w:tr>
      <w:tr>
        <w:trPr>
          <w:cantSplit w:val="true"/>
        </w:trPr>
        <w:tc>
          <w:tcPr>
            <w:tcW w:w="4680" w:type="dxa"/>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cadmium; powders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8107.30.00</w:t>
            </w:r>
          </w:p>
        </w:tc>
        <w:tc>
          <w:tcPr>
            <w:tcW w:w="4679" w:type="dxa"/>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8107.90.00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8108.20.00</w:t>
            </w:r>
          </w:p>
        </w:tc>
        <w:tc>
          <w:tcPr>
            <w:tcW w:w="4679" w:type="dxa"/>
            <w:tcMar>
              <w:top w:w="70" w:type="dxa"/>
              <w:start w:w="110" w:type="dxa"/>
              <w:bottom w:w="70" w:type="dxa"/>
              <w:end w:w="110" w:type="dxa"/>
            </w:tcMar>
            <w:vAlign w:val="center"/>
          </w:tcPr>
          <w:p>
            <w:pPr>
              <w:pStyle w:val="TableText"/>
              <w:jc w:val="left"/>
            </w:pPr>
            <w:r>
              <w:rPr>
                <w:lang w:val="en-US" w:eastAsia="en-US" w:bidi="ar-SA"/>
              </w:rPr>
              <w:t>Unwrought titanium;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8108.30.00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8108.90.00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8109.20.00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zirconium; powders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8109.30.00</w:t>
            </w:r>
          </w:p>
        </w:tc>
        <w:tc>
          <w:tcPr>
            <w:tcW w:w="4679" w:type="dxa"/>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8109.90.00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8110.10.00</w:t>
            </w:r>
          </w:p>
        </w:tc>
        <w:tc>
          <w:tcPr>
            <w:tcW w:w="4679" w:type="dxa"/>
            <w:tcMar>
              <w:top w:w="70" w:type="dxa"/>
              <w:start w:w="110" w:type="dxa"/>
              <w:bottom w:w="70" w:type="dxa"/>
              <w:end w:w="110" w:type="dxa"/>
            </w:tcMar>
            <w:vAlign w:val="center"/>
          </w:tcPr>
          <w:p>
            <w:pPr>
              <w:pStyle w:val="TableText"/>
              <w:jc w:val="left"/>
            </w:pPr>
            <w:r>
              <w:rPr>
                <w:lang w:val="en-US" w:eastAsia="en-US" w:bidi="ar-SA"/>
              </w:rPr>
              <w:t>Unwrought antimony;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8110.20.00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8110.90.00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8111.00.11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manganese; waste and scrap: Unwrought manganese, not 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8111.00.12</w:t>
            </w:r>
          </w:p>
        </w:tc>
        <w:tc>
          <w:tcPr>
            <w:tcW w:w="4679" w:type="dxa"/>
            <w:tcMar>
              <w:top w:w="70" w:type="dxa"/>
              <w:start w:w="110" w:type="dxa"/>
              <w:bottom w:w="70" w:type="dxa"/>
              <w:end w:w="110" w:type="dxa"/>
            </w:tcMar>
            <w:vAlign w:val="center"/>
          </w:tcPr>
          <w:p>
            <w:pPr>
              <w:pStyle w:val="TableText"/>
              <w:jc w:val="left"/>
            </w:pPr>
            <w:r>
              <w:rPr>
                <w:lang w:val="en-US" w:eastAsia="en-US" w:bidi="ar-SA"/>
              </w:rPr>
              <w:t>Unwrought manganese; waste and scrap: Unwrought manganese, alloyed; Waste and scrap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8111.00.21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Powders: Not alloyed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8111.00.22</w:t>
            </w:r>
          </w:p>
        </w:tc>
        <w:tc>
          <w:tcPr>
            <w:tcW w:w="4679" w:type="dxa"/>
            <w:tcMar>
              <w:top w:w="70" w:type="dxa"/>
              <w:start w:w="110" w:type="dxa"/>
              <w:bottom w:w="70" w:type="dxa"/>
              <w:end w:w="110" w:type="dxa"/>
            </w:tcMar>
            <w:vAlign w:val="center"/>
          </w:tcPr>
          <w:p>
            <w:pPr>
              <w:pStyle w:val="TableText"/>
              <w:jc w:val="left"/>
            </w:pPr>
            <w:r>
              <w:rPr>
                <w:lang w:val="en-US" w:eastAsia="en-US" w:bidi="ar-SA"/>
              </w:rPr>
              <w:t>Powders: Alloyed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8111.00.40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Articles of manganese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8112.12.00</w:t>
            </w:r>
          </w:p>
        </w:tc>
        <w:tc>
          <w:tcPr>
            <w:tcW w:w="4679" w:type="dxa"/>
            <w:tcMar>
              <w:top w:w="70" w:type="dxa"/>
              <w:start w:w="110" w:type="dxa"/>
              <w:bottom w:w="70" w:type="dxa"/>
              <w:end w:w="110" w:type="dxa"/>
            </w:tcMar>
            <w:vAlign w:val="center"/>
          </w:tcPr>
          <w:p>
            <w:pPr>
              <w:pStyle w:val="TableText"/>
              <w:jc w:val="left"/>
            </w:pPr>
            <w:r>
              <w:rPr>
                <w:lang w:val="en-US" w:eastAsia="en-US" w:bidi="ar-SA"/>
              </w:rPr>
              <w:t>Unwrought;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8112.13.00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8112.19.00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8112.21.00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powders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8112.22.00</w:t>
            </w:r>
          </w:p>
        </w:tc>
        <w:tc>
          <w:tcPr>
            <w:tcW w:w="4679" w:type="dxa"/>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8112.29.00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8112.51.00</w:t>
            </w:r>
          </w:p>
        </w:tc>
        <w:tc>
          <w:tcPr>
            <w:tcW w:w="4679" w:type="dxa"/>
            <w:tcMar>
              <w:top w:w="70" w:type="dxa"/>
              <w:start w:w="110" w:type="dxa"/>
              <w:bottom w:w="70" w:type="dxa"/>
              <w:end w:w="110" w:type="dxa"/>
            </w:tcMar>
            <w:vAlign w:val="center"/>
          </w:tcPr>
          <w:p>
            <w:pPr>
              <w:pStyle w:val="TableText"/>
              <w:jc w:val="left"/>
            </w:pPr>
            <w:r>
              <w:rPr>
                <w:lang w:val="en-US" w:eastAsia="en-US" w:bidi="ar-SA"/>
              </w:rPr>
              <w:t>Unwrought; powders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8112.52.00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Waste and scrap</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8112.59.00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8112.92.00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Unwrought; waste and scrap; powders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8112.99.00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8113.00.00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Cermets and articles thereof, including waste and scrap.</w:t>
            </w:r>
          </w:p>
        </w:tc>
      </w:tr>
    </w:tbl>
    <w:p>
      <w:pPr>
        <w:pStyle w:val="Normal"/>
      </w:pPr>
      <w:r>
        <w:t>8201.10.10 Heads for use in the manufacture or production of spades and shovels 8201.10.90 Other 8201.30.10 Heads for use in the manufacture or production of mattocks, picks, hoes or rakes; Mattocks and picks for climbing or mountaineering 8201.30.90 Other 8201.40.10 For climbing or mountaineering; Heads for use in the manufacture or production of axes, bill hooks and similar hewing tools 8201.40.90 Other 8201.50.00 Secateurs and similar one-handed pruners and shears (including poultry shears) 8201.60.10 Pruning shears 8201.60.90 Other 8201.90.10 Post-hole diggers; Pruning hooks 8201.90.21 Forks: Forged, for use in the manufacture of pronged forks 8201.90.29 Forks: Other 8201.90.91 Other: Heads for use in the manufacture or production of other hand tools of a kind used in agriculture, horticulture or forestry 8201.90.99 Other:</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8202.10.00</w:t>
            </w:r>
          </w:p>
        </w:tc>
        <w:tc>
          <w:tcPr>
            <w:tcW w:w="4679" w:type="dxa"/>
            <w:tcMar>
              <w:top w:w="70" w:type="dxa"/>
              <w:start w:w="110" w:type="dxa"/>
              <w:bottom w:w="70" w:type="dxa"/>
              <w:end w:w="110" w:type="dxa"/>
            </w:tcMar>
            <w:vAlign w:val="center"/>
          </w:tcPr>
          <w:p>
            <w:pPr>
              <w:pStyle w:val="TableText"/>
              <w:jc w:val="left"/>
            </w:pPr>
            <w:r>
              <w:rPr>
                <w:lang w:val="en-US" w:eastAsia="en-US" w:bidi="ar-SA"/>
              </w:rPr>
              <w:t>Hand saws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Band saw blades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8202.31.00</w:t>
            </w:r>
          </w:p>
        </w:tc>
        <w:tc>
          <w:tcPr>
            <w:tcW w:w="4679" w:type="dxa"/>
            <w:tcMar>
              <w:top w:w="70" w:type="dxa"/>
              <w:start w:w="110" w:type="dxa"/>
              <w:bottom w:w="70" w:type="dxa"/>
              <w:end w:w="110" w:type="dxa"/>
            </w:tcMar>
            <w:vAlign w:val="center"/>
          </w:tcPr>
          <w:p>
            <w:pPr>
              <w:pStyle w:val="TableText"/>
              <w:jc w:val="left"/>
            </w:pPr>
            <w:r>
              <w:rPr>
                <w:lang w:val="en-US" w:eastAsia="en-US" w:bidi="ar-SA"/>
              </w:rPr>
              <w:t>With working part of steel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8202.39.00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including 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8202.40.00</w:t>
            </w:r>
          </w:p>
        </w:tc>
        <w:tc>
          <w:tcPr>
            <w:tcW w:w="4679" w:type="dxa"/>
            <w:tcMar>
              <w:top w:w="70" w:type="dxa"/>
              <w:start w:w="110" w:type="dxa"/>
              <w:bottom w:w="70" w:type="dxa"/>
              <w:end w:w="110" w:type="dxa"/>
            </w:tcMar>
            <w:vAlign w:val="center"/>
          </w:tcPr>
          <w:p>
            <w:pPr>
              <w:pStyle w:val="TableText"/>
              <w:jc w:val="left"/>
            </w:pPr>
            <w:r>
              <w:rPr>
                <w:lang w:val="en-US" w:eastAsia="en-US" w:bidi="ar-SA"/>
              </w:rPr>
              <w:t>Chain saw blades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8202.91.00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Straight saw blades, for working metal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8202.99.00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Files, rasps and similar tools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8203.20.00</w:t>
            </w:r>
          </w:p>
        </w:tc>
        <w:tc>
          <w:tcPr>
            <w:tcW w:w="4679" w:type="dxa"/>
            <w:tcMar>
              <w:top w:w="70" w:type="dxa"/>
              <w:start w:w="110" w:type="dxa"/>
              <w:bottom w:w="70" w:type="dxa"/>
              <w:end w:w="110" w:type="dxa"/>
            </w:tcMar>
            <w:vAlign w:val="center"/>
          </w:tcPr>
          <w:p>
            <w:pPr>
              <w:pStyle w:val="TableText"/>
              <w:jc w:val="left"/>
            </w:pPr>
            <w:r>
              <w:rPr>
                <w:lang w:val="en-US" w:eastAsia="en-US" w:bidi="ar-SA"/>
              </w:rPr>
              <w:t>Pliers (including cutting pliers), pincers, tweezers and similar tools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8203.30.10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Shears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8203.30.90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8203.40.00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Pipe-cutters, bolt croppers, perforating punches and similar tools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8204.11.00</w:t>
            </w:r>
          </w:p>
        </w:tc>
        <w:tc>
          <w:tcPr>
            <w:tcW w:w="4679" w:type="dxa"/>
            <w:tcMar>
              <w:top w:w="70" w:type="dxa"/>
              <w:start w:w="110" w:type="dxa"/>
              <w:bottom w:w="70" w:type="dxa"/>
              <w:end w:w="110" w:type="dxa"/>
            </w:tcMar>
            <w:vAlign w:val="center"/>
          </w:tcPr>
          <w:p>
            <w:pPr>
              <w:pStyle w:val="TableText"/>
              <w:jc w:val="left"/>
            </w:pPr>
            <w:r>
              <w:rPr>
                <w:lang w:val="en-US" w:eastAsia="en-US" w:bidi="ar-SA"/>
              </w:rPr>
              <w:t>Non-adjustable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8204.12.00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Adjustable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8204.20.00</w:t>
            </w:r>
          </w:p>
        </w:tc>
        <w:tc>
          <w:tcPr>
            <w:tcW w:w="4679" w:type="dxa"/>
            <w:tcMar>
              <w:top w:w="70" w:type="dxa"/>
              <w:start w:w="110" w:type="dxa"/>
              <w:bottom w:w="70" w:type="dxa"/>
              <w:end w:w="110" w:type="dxa"/>
            </w:tcMar>
            <w:vAlign w:val="center"/>
          </w:tcPr>
          <w:p>
            <w:pPr>
              <w:pStyle w:val="TableText"/>
              <w:jc w:val="left"/>
            </w:pPr>
            <w:r>
              <w:rPr>
                <w:lang w:val="en-US" w:eastAsia="en-US" w:bidi="ar-SA"/>
              </w:rPr>
              <w:t>Interchangeable spanner sockets, with or without handles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8205.10.10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Die stocks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8205.10.90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8205.20.10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climbing or mountaineering;</w:t>
            </w:r>
          </w:p>
        </w:tc>
      </w:tr>
    </w:tbl>
    <w:p>
      <w:pPr>
        <w:pStyle w:val="Normal"/>
      </w:pPr>
      <w:r>
        <w:t>Heads for use in the manufacture or production of hammers and sledge hammers 8205.20.90 Other 8205.30.00 Planes, chisels, gouges and similar cutting tools for working wood 8205.40.00 Screwdrivers 8205.51.10 Portable butane hair curlers 8205.51.90 Other 8205.59.10 For climbing or mountaineering; Heads for use in the manufacture or production of other hand tools; Livestock branding irons 8205.59.20 Stapling or tacking guns, and hammer tackers not operated by an independent hammer 8205.59.90 Other 8205.60.00 Blow lamps 8205.70.10 Clamps for use with the following surgical, dental, veterinary or diagnostic articles: Instruments; Sterilizers; Cobalt therapy units; Anaesthesia, surgical suction or oxygen administering apparatus 8205.70.20 Precision clamps and vices, for toolmakers, machinists or metal workers 8205.70.90 Other 8205.90.10 Anvils; portable forges; hand or pedal-operated grinding wheels with frameworks 8205.90.90 Other 8206.00.00 Tools of two or more of the headings 82.02 to 82.05, put up in sets for retail sale.</w:t>
      </w:r>
    </w:p>
    <w:p>
      <w:pPr>
        <w:pStyle w:val="Normal"/>
      </w:pPr>
      <w:r>
        <w:t>8207.13.00 With working part of cermets 8207.19.00 Other, including parts 8207.20.00 Dies for drawing or extruding metal 8207.30.00 Tools for pressing, stamping or punching 8207.40.00 Tools for tapping or threading 8207.50.00 Tools for drilling, other than for rock drilling 8207.60.00 Tools for boring or broaching 8207.70.00 Tools for milling 8207.80.00 Tools for turning 8207.90.10 Ball points, bushing bits, chisels, clay spades, front spades, drivers (for pipes, pins and spikes) and star drills, for portable power tools; Cutting tools, carbide tipped, for wood working; Nozzles for vacuum cleaners 8207.90.90 Other 8208.10.00 For metal working 8208.20.00 For wood working 8208.30.00 For kitchen appliances or for machines used by the food industry 8208.40.00 For agricultural, horticultural or forestry machines 8208.90.00 Other 8209.00.00 Plates, sticks, tips and the like for tools, unmounted, of cermets.</w:t>
      </w:r>
    </w:p>
    <w:p>
      <w:pPr>
        <w:pStyle w:val="Normal"/>
      </w:pPr>
      <w:r>
        <w:t>8210.00.10 Grape crushers for domestic purposes 8210.00.90 Other 8211.10.10 Table cutlery 8211.10.90 Other 8211.91.10 Carving knives 8211.91.90 Other 8211.92.00 Other knives having fixed blades 8211.93.00 Knives having other than fixed blades 8211.94.10 Blanks, of stainless steel, to specification AISI 430 or AISI 300 series, of a thickness of 1.78 mm or more, not further manufactured than stamped to shape, for use in the manufacture of flatware; Forged, including blanks of stainless steel, not further manufactured than wet ground, for use in the manufacture of table knives 8211.94.90 Other 8211.95.11 Of table knives having fixed blades: Of carving knives 8211.95.12 Of table knives having fixed blades: Hollow stainless steel handles, further manufactured than welded, of table knives other than carving knives 8211.95.13 Of table knives having fixed blades: Hollow stainless steel knife handles, not further manufactured than welded, for use in the manufacture of table knives 8211.95.19 Of table knives having fixed blades:</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8211.95.20</w:t>
            </w:r>
          </w:p>
        </w:tc>
        <w:tc>
          <w:tcPr>
            <w:tcW w:w="4679" w:type="dxa"/>
            <w:tcMar>
              <w:top w:w="70" w:type="dxa"/>
              <w:start w:w="110" w:type="dxa"/>
              <w:bottom w:w="70" w:type="dxa"/>
              <w:end w:w="110" w:type="dxa"/>
            </w:tcMar>
            <w:vAlign w:val="center"/>
          </w:tcPr>
          <w:p>
            <w:pPr>
              <w:pStyle w:val="TableText"/>
              <w:jc w:val="left"/>
            </w:pPr>
            <w:r>
              <w:rPr>
                <w:lang w:val="en-US" w:eastAsia="en-US" w:bidi="ar-SA"/>
              </w:rPr>
              <w:t>Of other knives having fixed blades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8211.95.30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knives having other than fixed blades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8212.10.00</w:t>
            </w:r>
          </w:p>
        </w:tc>
        <w:tc>
          <w:tcPr>
            <w:tcW w:w="4679" w:type="dxa"/>
            <w:tcMar>
              <w:top w:w="70" w:type="dxa"/>
              <w:start w:w="110" w:type="dxa"/>
              <w:bottom w:w="70" w:type="dxa"/>
              <w:end w:w="110" w:type="dxa"/>
            </w:tcMar>
            <w:vAlign w:val="center"/>
          </w:tcPr>
          <w:p>
            <w:pPr>
              <w:pStyle w:val="TableText"/>
              <w:jc w:val="left"/>
            </w:pPr>
            <w:r>
              <w:rPr>
                <w:lang w:val="en-US" w:eastAsia="en-US" w:bidi="ar-SA"/>
              </w:rPr>
              <w:t>Razors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8212.20.00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Safety razor blades, including razor blade blanks in strips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8212.90.00</w:t>
            </w:r>
          </w:p>
        </w:tc>
        <w:tc>
          <w:tcPr>
            <w:tcW w:w="4679" w:type="dxa"/>
            <w:tcMar>
              <w:top w:w="70" w:type="dxa"/>
              <w:start w:w="110" w:type="dxa"/>
              <w:bottom w:w="70" w:type="dxa"/>
              <w:end w:w="110" w:type="dxa"/>
            </w:tcMar>
            <w:vAlign w:val="center"/>
          </w:tcPr>
          <w:p>
            <w:pPr>
              <w:pStyle w:val="TableText"/>
              <w:jc w:val="left"/>
            </w:pPr>
            <w:r>
              <w:rPr>
                <w:lang w:val="en-US" w:eastAsia="en-US" w:bidi="ar-SA"/>
              </w:rPr>
              <w:t>Other 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8213.00.10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Scissors and shears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8213.00.20</w:t>
            </w:r>
          </w:p>
        </w:tc>
        <w:tc>
          <w:tcPr>
            <w:tcW w:w="4679" w:type="dxa"/>
            <w:tcMar>
              <w:top w:w="70" w:type="dxa"/>
              <w:start w:w="110" w:type="dxa"/>
              <w:bottom w:w="70" w:type="dxa"/>
              <w:end w:w="110" w:type="dxa"/>
            </w:tcMar>
            <w:vAlign w:val="center"/>
          </w:tcPr>
          <w:p>
            <w:pPr>
              <w:pStyle w:val="TableText"/>
              <w:jc w:val="left"/>
            </w:pPr>
            <w:r>
              <w:rPr>
                <w:lang w:val="en-US" w:eastAsia="en-US" w:bidi="ar-SA"/>
              </w:rPr>
              <w:t>Blanks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8213.00.30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Blades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8214.10.00</w:t>
            </w:r>
          </w:p>
        </w:tc>
        <w:tc>
          <w:tcPr>
            <w:tcW w:w="4679" w:type="dxa"/>
            <w:tcMar>
              <w:top w:w="70" w:type="dxa"/>
              <w:start w:w="110" w:type="dxa"/>
              <w:bottom w:w="70" w:type="dxa"/>
              <w:end w:w="110" w:type="dxa"/>
            </w:tcMar>
            <w:vAlign w:val="center"/>
          </w:tcPr>
          <w:p>
            <w:pPr>
              <w:pStyle w:val="TableText"/>
              <w:jc w:val="left"/>
            </w:pPr>
            <w:r>
              <w:rPr>
                <w:lang w:val="en-US" w:eastAsia="en-US" w:bidi="ar-SA"/>
              </w:rPr>
              <w:t>Paper knives, letter openers, erasing knives, pencil sharpeners and blades therefor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8214.20.00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Manicure or pedicure sets and instruments (including nail files)</w:t>
            </w:r>
          </w:p>
        </w:tc>
      </w:tr>
    </w:tbl>
    <w:p>
      <w:pPr>
        <w:pStyle w:val="Normal"/>
      </w:pPr>
      <w:r>
        <w:t>8214.90.10 Clippers for animals, for use on the farm 8214.90.90 Other 8215.10.10 Containing spoons, knives and forks, of a kind used at the table 8215.10.90 Other 8215.20.10 Containing spoons, knives and forks, of a kind used at the table 8215.20.90 Other 8215.91.10 Spoons or forks, of a kind used at the table 8215.91.90 Other 8215.99.10 Spoons or forks, of a kind used at the table 8215.99.20 Spoon blanks and table forks in the rough 8215.99.90 Other 8301.10.00 Padlocks 8301.20.00 Locks of a kind used for motor vehicles 8301.30.00 Locks of a kind used for furniture 8301.40.10 For use in the manufacture of portfolios, luggage or tackle boxes 8301.40.20 Key-operated security locks for use in the manufacture of casement or awning windows 8301.40.90 Other 8301.50.00 Clasps and frames with clasps, incorporating locks 8301.60.00 Parts 8301.70.10 To be employed as original equipment in the manufacture of passenger automobiles, trucks or buses 8301.70.90 Other 8302.10.00 Hinges 8302.20.00 Castors 8302.30.10 Brackets or clamps for use in the manufacture of aftermarket gas tanks and radiators for motor vehicles;</w:t>
      </w:r>
    </w:p>
    <w:p>
      <w:pPr>
        <w:pStyle w:val="Normal"/>
      </w:pPr>
      <w:r>
        <w:t>Brackets or clamps of steel for use in the manufacture of hose assemblies for brake and steering systems for motorcycles or all- terrain vehicles; For use in the manufacture of fire fighting vehicles 8302.30.90 Other 8302.41.10 Bar or rod type door exit devices, for commercial, institutional or industrial applications; For use in the manufacture or repair of rotary gear window</w:t>
      </w:r>
    </w:p>
    <w:p>
      <w:pPr>
        <w:pStyle w:val="Normal"/>
      </w:pPr>
      <w:r>
        <w:t>operators; Rotary gear window operators; Snub-guides, lever-lock operators, torsion bars and centre hooks for lever-lock or rotary gear window operators, sash locks (excluding peg locks) and keepers for key-operated security locks or sash locks (excluding peg-locks), for use in the manufacture of casement or awning windows 8302.41.90 Other 8302.42.00 Other, suitable for furniture 8302.49.00 Other 8302.50.00 Hat-racks, hat-pegs, brackets and similar fixtures 8302.60.10 Hydraulic; Other, for use in the manufacture of railway or tramway passenger coaches 8302.60.90 Other 8303.00.00 Armoured or reinforced safes, strong-boxes and doors and safe deposit lockers for strong-rooms, cash or deed boxes and the like, of base metal. 8304.00.00 Filing cabinets, card-index cabinets, paper trays, paper rests, pen trays, office-stamp stands and similar office or desk equipment, of base metal, other than office furniture of heading 94.03.</w:t>
      </w:r>
    </w:p>
    <w:p>
      <w:pPr>
        <w:pStyle w:val="Normal"/>
      </w:pPr>
      <w:r>
        <w:t>8305.10.10 For use in the manufacture of multiple ring binders 8305.10.90 Other 8305.20.00 Staples in strips 8305.90.00 Other, including parts 8306.10.10 Church bells 8306.10.90 Other 8306.21.00 Plated with precious metal 8306.29.00 Other 8306.30.00 Photograph, picture or similar frames; mirrors 8307.10.00 Of iron or steel 8307.90.00 Of other base metal 8308.10.00 Hooks, eyes and eyelets 8308.20.00 Tubular or bifurcated rivets 8308.90.00 Other, including parts 8309.10.00 Crown corks 8309.90.00 Other 8310.00.00 Sign-plates, name-plates, address-plates and similar plates, numbers, letters and other symbols, of base metal, excluding those of heading 94.05. 8311.10.00 Coated electrodes of base metal, for electric arc-welding 8311.20.00 Cored wire of base metal, for electric arc-welding 8311.30.00 Coated rods and cored wire, of base metal, for soldering, brazing or welding by flame 8311.90.00 Other 8401.10.00 Nuclear reactors 8401.20.00 Machinery and apparatus for isotopic separation, and parts thereof 8401.30.00 Fuel elements (cartridges), non-irradiated 8401.40.00 Parts of nuclear reactors 8402.11.00 Watertube boilers with a steam production exceeding 45 tonnes per hour 8402.12.00 Watertube boilers with a steam production not exceeding 45 tonnes per hour 8402.19.00 Other vapour generating boilers, including hybrid boilers 8402.20.00 Super-heated water boilers 8402.90.00 Parts 8403.10.00 Boilers 8403.90.00 Parts 8404.10.00 Auxiliary plant for use with boilers of heading 84.02</w:t>
      </w:r>
    </w:p>
    <w:p>
      <w:pPr>
        <w:pStyle w:val="Normal"/>
      </w:pPr>
      <w:r>
        <w:t>or 84.03 8404.20.00 Condensers for steam or other vapour power units 8404.90.00 Parts 8405.10.00 Producer gas or water gas generators, with or without their purifiers; acetylene gas generators and similar water process gas generators, with or without their purifiers 8405.90.00 Parts 8406.10.00 Turbines for marine propulsion 8406.81.00 Of an output exceeding 40 MW 8406.82.00 Of an output of not exceeding 40 MW 8406.90.10 Blade diaphragms, spindle discs and shafts, wholly or in chief part of metal, for the repair or remanufacture of steam turbines or parts thereof; Electro-mechanical speed regulators and parts thereof, for steam turbines 8406.90.21 Other parts of the goods of tariff item No. 8406.10.00: Rotors, not further advanced than cleaned or machined for removal of fins, gates, sprues or risers, or to permit location in finishing machinery 8406.90.22 Other parts of the goods of tariff item No. 8406.10.00: Rotors, finished for final assembly 8406.90.23 Other parts of the goods of tariff item No. 8406.10.00: Blades, rotating or stationary 8406.90.29 Other parts of the goods of tariff item No. 8406.10.00: Other 8406.90.31 Other parts of the goods of tariff item No.</w:t>
      </w:r>
    </w:p>
    <w:p>
      <w:pPr>
        <w:pStyle w:val="Normal"/>
      </w:pPr>
      <w:r>
        <w:t>8406.81.00 or 8406.82.00: Rotors, not further advanced than cleaned or machined for removal of fins, gates, sprues or risers, or to permit location in finishing machinery, wholly or in chief part of metal, for the repair or remanufacture of steam turbines or parts thereof 8406.90.32 Other parts of the goods of tariff item No. 8406.81.00 or 8406.82.00: Other rotors, not further advanced than cleaned or machined for removal of fins, gates, sprues or risers, or to permit location in finishing machinery 8406.90.33 Other parts of the goods of tariff item No. 8406.81.00 or 8406.82.00: Rotors, finished for final assembly, wholly or in chief part of metal, for the repair or remanufacture of steam turbines or parts thereof 8406.90.34 Other parts of the goods of tariff item No. 8406.81.00 or 8406.82.00: Other rotors, finished for final assembly 8406.90.35 Other parts of the goods of tariff item No. 8406.81.00 or 8406.82.00: Other rotors, wholly or in chief part of metal, for the repair or remanufacture of steam turbines or parts thereof 8406.90.36 Other parts of the goods of tariff item No.</w:t>
      </w:r>
    </w:p>
    <w:p>
      <w:pPr>
        <w:pStyle w:val="Normal"/>
      </w:pPr>
      <w:r>
        <w:t>8406.81.00 or 8406.82.00: Blades, rotating or stationary, wholly or chief part of metal, for the repair or remanufacture of steam turbines or parts thereof 8406.90.37 Other parts of the goods of tariff item No. 8406.81.00 or 8406.82.00: Other blades, rotating or stationary 8406.90.39 Other parts of the goods of tariff item No.</w:t>
      </w:r>
    </w:p>
    <w:p>
      <w:pPr>
        <w:pStyle w:val="Normal"/>
      </w:pPr>
      <w:r>
        <w:t>8406.81.00 or 8406.82.00: Other 8407.10.00 Aircraft engines 8407.21.00 Outboard motors 8407.29.10 Inboard-outboard engines 8407.29.20 Inboard engines 8407.31.00 Of a cylinder capacity not exceeding 50 cc 8407.32.00 Of a cylinder capacity exceeding 50 cc but not exceeding 250 cc 8407.33.00 Of a cylinder capacity exceeding 250 cc but not exceeding 1,000 cc 8407.34.10 Of a cylinder capacity not exceeding 2,000 cc 8407.34.21 Of a cylinder capacity exceeding 2,000 cc: For use in the repair of road tractors for semi-trailers, motor vehicles for the transport of ten or more persons (including the driver), ambulances, hearses, motor vehicles for the transport of goods, fire fighting vehicles, or chassis for the foregoing vehicles, or for use in the manufacture of repair parts therefor 8407.34.29 Of a cylinder capacity exceeding 2,000 cc:</w:t>
      </w:r>
    </w:p>
    <w:p>
      <w:pPr>
        <w:pStyle w:val="Normal"/>
      </w:pPr>
      <w:r>
        <w:t>Other 8407.90.00 Other engines 8408.10.00 Marine propulsion engines 8408.20.00 Engines of a kind used for the propulsion of vehicles of Chapter 8408.90.00 Other engines 8409.10.00 For aircraft engines 8409.91.00 Suitable for use solely or principally with spark-ignition internal combustion piston engines 8409.99.00 Other 8410.11.10 Hydraulic turbines 8410.11.20 Water wheels 8410.12.10 Hydraulic turbines 8410.12.20 Water wheels 8410.13.10 Hydraulic turbines 8410.13.20 Water wheels 8410.90.10 Electro-mechanical speed regulators, and parts thereof, for hydraulic turbines; Stay rings, turbine shafts, runner parts, bottom rings, wicket gates and head</w:t>
      </w:r>
    </w:p>
    <w:p>
      <w:pPr>
        <w:pStyle w:val="Normal"/>
      </w:pPr>
      <w:r>
        <w:t>covers, for use in the manufacture of hydraulic turbines of a power exceeding 100 MW 8410.90.20 Other parts of hydraulic turbines 8410.90.30 Parts of water wheels 8411.11.00 Of a thrust not exceeding 25 kN 8411.12.00 Of a thrust exceeding 25 kN 8411.21.00 Of a power not exceeding 1,100 kW 8411.22.00 Of a power exceeding 1,100 kW 8411.81.00 Of a power not exceeding 5,000 kW 8411.82.10 Of a power exceeding 44,742 kW, to be employed in the exploration, discovery, development, maintenance, testing, depletion or production of water, oil or natural gas wells, in mining or quarrying, or in the distillation or recovery of products from natural gas; Of a power of 12,682 kW or more but not exceeding 14,547 kW, for use in the manufacture of compressor sets 8411.82.20 For use in the manufacture of generator sets;</w:t>
      </w:r>
    </w:p>
    <w:p>
      <w:pPr>
        <w:pStyle w:val="Normal"/>
      </w:pPr>
      <w:r>
        <w:t>Of a power of less than 12,682 kW or exceeding 14,547 kW but not exceeding 20,000 kW, for use in the manufacture of compressor sets 8411.82.90 Other 8411.91.00 Of turbo-jets or turbo-propellers 8411.99.00 Other 8412.10.00 Reaction engines other than turbo-jets 8412.21.00 Linear acting (cylinders) 8412.29.00 Other 8412.31.00 Linear acting (cylinders) 8412.39.00 Other 8412.80.00 Other 8412.90.00 Parts 8413.11.10 For dispensing gasoline, diesel fuel, liquid natural gas or liquid propane 8413.11.90 Other 8413.19.10 For dispensing fuel oil; Skid-mounted pumps for dispensing fuel for helicopters 8413.19.90 Other 8413.20.00 Hand pumps, other than those of subheading 8413.11 or 8413.19</w:t>
      </w:r>
    </w:p>
    <w:p>
      <w:pPr>
        <w:pStyle w:val="Normal"/>
      </w:pPr>
      <w:r>
        <w:t>8413.30.00 Fuel, lubricating or cooling medium pumps for internal combustion piston engines 8413.40.00 Concrete pumps 8413.50.00 Other reciprocating positive displacement pumps 8413.60.00 Other rotary positive displacement pumps 8413.70.10 Battery operated, for recreational vehicles and boats; Canned rotor; De-foaming type; Drinking fountain; For food, pharmaceutical or similar applications; For swimming pools; Heat transfer, oil type; Magnetic drive chemical; Milk; Molten metal; Multi-stage single suction, with head over 5,516 kPa; Of a power not exceeding 250 kW, for pulp manufacturing; Portable, engine type, capable of producing a minimum pressure boost of 1,034 kPa, maintaining a flow rate exceeding 700 l/m at that pressure; Solar powered; Submersible slurry, agitator type; Transformer oil circulation pumps; Vertical slurry, of cantilever shaft design, having a pump discharge flange size of a diameter of 50.8 cm or more, for track- laying machines to be employed in mining, recovering and producing crude oil from shales, oil-sands or tar-sands; With speed variators, for the wine and juice making industries 8413.70.91 Other: Submersible pumps 8413.70.99 Other:</w:t>
      </w:r>
    </w:p>
    <w:p>
      <w:pPr>
        <w:pStyle w:val="Normal"/>
      </w:pPr>
      <w:r>
        <w:t>Other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8413.81.00</w:t>
            </w:r>
          </w:p>
        </w:tc>
        <w:tc>
          <w:tcPr>
            <w:tcW w:w="4679" w:type="dxa"/>
            <w:tcMar>
              <w:top w:w="70" w:type="dxa"/>
              <w:start w:w="110" w:type="dxa"/>
              <w:bottom w:w="70" w:type="dxa"/>
              <w:end w:w="110" w:type="dxa"/>
            </w:tcMar>
            <w:vAlign w:val="center"/>
          </w:tcPr>
          <w:p>
            <w:pPr>
              <w:pStyle w:val="TableText"/>
              <w:jc w:val="left"/>
            </w:pPr>
            <w:r>
              <w:rPr>
                <w:lang w:val="en-US" w:eastAsia="en-US" w:bidi="ar-SA"/>
              </w:rPr>
              <w:t>Pumps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8413.82.00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Liquid elevators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8413.91.00</w:t>
            </w:r>
          </w:p>
        </w:tc>
        <w:tc>
          <w:tcPr>
            <w:tcW w:w="4679" w:type="dxa"/>
            <w:tcMar>
              <w:top w:w="70" w:type="dxa"/>
              <w:start w:w="110" w:type="dxa"/>
              <w:bottom w:w="70" w:type="dxa"/>
              <w:end w:w="110" w:type="dxa"/>
            </w:tcMar>
            <w:vAlign w:val="center"/>
          </w:tcPr>
          <w:p>
            <w:pPr>
              <w:pStyle w:val="TableText"/>
              <w:jc w:val="left"/>
            </w:pPr>
            <w:r>
              <w:rPr>
                <w:lang w:val="en-US" w:eastAsia="en-US" w:bidi="ar-SA"/>
              </w:rPr>
              <w:t>Of pumps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8413.92.00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liquid elevators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8414.10.00</w:t>
            </w:r>
          </w:p>
        </w:tc>
        <w:tc>
          <w:tcPr>
            <w:tcW w:w="4679" w:type="dxa"/>
            <w:tcMar>
              <w:top w:w="70" w:type="dxa"/>
              <w:start w:w="110" w:type="dxa"/>
              <w:bottom w:w="70" w:type="dxa"/>
              <w:end w:w="110" w:type="dxa"/>
            </w:tcMar>
            <w:vAlign w:val="center"/>
          </w:tcPr>
          <w:p>
            <w:pPr>
              <w:pStyle w:val="TableText"/>
              <w:jc w:val="left"/>
            </w:pPr>
            <w:r>
              <w:rPr>
                <w:lang w:val="en-US" w:eastAsia="en-US" w:bidi="ar-SA"/>
              </w:rPr>
              <w:t>Vacuum pumps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8414.20.00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Hand- or foot-operated air pumps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8414.30.00</w:t>
            </w:r>
          </w:p>
        </w:tc>
        <w:tc>
          <w:tcPr>
            <w:tcW w:w="4679" w:type="dxa"/>
            <w:tcMar>
              <w:top w:w="70" w:type="dxa"/>
              <w:start w:w="110" w:type="dxa"/>
              <w:bottom w:w="70" w:type="dxa"/>
              <w:end w:w="110" w:type="dxa"/>
            </w:tcMar>
            <w:vAlign w:val="center"/>
          </w:tcPr>
          <w:p>
            <w:pPr>
              <w:pStyle w:val="TableText"/>
              <w:jc w:val="left"/>
            </w:pPr>
            <w:r>
              <w:rPr>
                <w:lang w:val="en-US" w:eastAsia="en-US" w:bidi="ar-SA"/>
              </w:rPr>
              <w:t>Compressors of a kind used in refrigerating equipment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8414.40.00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Air compressors mounted on a wheeled chassis for towing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8414.51.10</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bl>
    <w:p>
      <w:pPr>
        <w:pStyle w:val="Normal"/>
      </w:pPr>
      <w:r>
        <w:t>Personal fans, mains powered; Table fans, single or variable speed, oscillating 8414.51.90 Other 8414.59.00 Other 8414.60.00 Hoods having a maximum horizontal side not exceeding 120 cm 8414.80.10 Turbochargers and superchargers for use in motor vehicles of Chapter 87 8414.80.90 Other 8414.90.10 Stators and rotors for compressors for use in refrigerating equipment 8414.90.90 Other 8415.10.00 Of a kind designed to be fixed to a window, wall, ceiling or floor, self-contained or “split-system” 8415.20.00 Of a kind used for persons, in motor vehicles 8415.81.10 The following, excluding mini-split heat pumps and air conditioner units: Single packaged or split-system, of a heat transfer capacity not exceeding 15.8 kW (53,900 BTU per hour); Water source, vertical, horizontal and console types, of a heat transfer capacity not exceeding 34.8 kW (118,700 BTU per hour) 8415.81.90 Other 8415.82.10 Domestic heat pumps and air conditioners, ductless split-systems; Portable type, of a weight not exceeding 25 kg and of a heat transfer capacity not exceeding 1.8 kW (6,000 BTU per hour); Truck heater/air conditioners 8415.82.91 Other: Central station air handlers;</w:t>
      </w:r>
    </w:p>
    <w:p>
      <w:pPr>
        <w:pStyle w:val="Normal"/>
      </w:pPr>
      <w:r>
        <w:t>Combination terminal units, water source or air to air, of a heat transfer capacity not exceeding 5.8 kW (19,800 BTU per hour); Fan coil units; For off-highway vehicles; For humidity and dust sensitive areas, of a heat transfer capacity not exceeding 71.1 kW (242,700 BTU per hour); Single packaged, combination, of a heat transfer</w:t>
      </w:r>
    </w:p>
    <w:p>
      <w:pPr>
        <w:pStyle w:val="Normal"/>
      </w:pPr>
      <w:r>
        <w:t>capacity not exceeding 15.8 kW (53,900 BTU per hour); Split-system, of a heat transfer capacity not exceeding 47.4 kW (161,800 per hour); Water source, of a heat transfer capacity not exceeding 34.8 kW (118,700 BTU per hour) 8415.82.99 Other: Other 8415.83.00 Not incorporating a refrigerating unit 8415.90.11 Of the goods of tariff item No. 8415.10.00, 8415.20.00, 8415.81.90, 8415.82.10, 8415.82.99 or 8415.83.00: Chassis, chassis bases or outer cabinets 8415.90.19 Of the goods of tariff item No. 8415.10.00, 8415.20.00, 8415.81.90, 8415.82.10, 8415.82.99 or 8415.83.00: Other 8415.90.21 Of the goods of tariff item No. 8415.20.00, 8415.81.10, 8415.82.91 or 8415.83.00: Chassis, chassis bases or outer cabinets for use in the manufacture of the goods of these tariff items 8415.90.22 Of the goods of tariff item No. 8415.20.00, 8415.81.10, 8415.82.91 or 8415.83.00: Other chassis, chassis bases or outer cabinets 8415.90.23 Of the goods of tariff item No. 8415.20.00, 8415.81.10, 8415.82.91 or 8415.83.00: Other parts for use in the manufacture of the goods of these tariff items 8415.90.29 Of the goods of tariff item No.</w:t>
      </w:r>
    </w:p>
    <w:p>
      <w:pPr>
        <w:pStyle w:val="Normal"/>
      </w:pPr>
      <w:r>
        <w:t>8415.20.00, 8415.81.10, 8415.82.91 or 8415.83.00: Other 8416.10.00 Furnace burners for liquid fuel 8416.20.00 Other furnace burners, including combination burners 8416.30.00 Mechanical stokers, including their mechanical grates, mechanical ash dischargers and similar appliances 8416.90.00 Parts 8417.10.00 Furnaces and ovens for the roasting, melting or other heat- treatment of ores, pyrites or of metals 8417.20.00 Bakery ovens, including biscuit ovens 8417.80.00 Other 8417.90.00 Parts 8418.10.10 Absorption-type, combination gas and electric powered, designed for permanent installation in recreational vehicles and for use in the manufacture of such vehicles 8418.10.90 Other 8418.21.00 Compression-type 8418.29.00 Other 8418.30.10 Household type 8418.30.90 Other 8418.40.10 Blood bank type; Household type; With minimum temperature capability to -85°C at 30°C ambient 8418.40.90 Other 8418.50.10 Refrigerating or refrigerating-freezing type 8418.50.21 Freezing type: Display counter; Ice merchandisers; Reach-in frozen food and ice cream merchandisers, sliding, swing glass or solid door, with capacities not exceeding 2.3 m³ 8418.50.29 Freezing type: Other 8418.61.00 Heat pumps other than air conditioning machines of heading 84.15 8418.69.20 Commercial refrigerating installations (store type) 8418.69.90 Other 8418.91.10 For use in the manufacture of the goods of this heading; For the goods of tariff item No.</w:t>
      </w:r>
    </w:p>
    <w:p>
      <w:pPr>
        <w:pStyle w:val="Normal"/>
      </w:pPr>
      <w:r>
        <w:t>8418.10.10, 8418.10.90, 8418.21.00, 8418.29.00, 8418.30.10, 8418.30.90, 8418.40.10, 8418.40.90, 8418.50.10, 8418.50.29, 8418.61.00, 8418.69.20 or 8418.69.90 8418.91.20 For the goods of tariff item No. 8418.50.21 8418.99.10 Door assemblies incorporating at least two of the following: inner panel, outer panel, insulation, hinges or handles 8418.99.90 Other 8419.11.00 Instantaneous gas water heaters 8419.19.00 Other 8419.20.00 Medical, surgical or laboratory sterilizers 8419.31.00 For agricultural products 8419.32.00 For wood, paper pulp, paper or paperboard 8419.39.00 Other 8419.40.00 Distilling or rectifying plant 8419.50.00 Heat exchange units 8419.60.00 Machinery for liquefying air or other gases 8419.81.00 For making hot drinks or for cooking or heating food 8419.89.00 Other 8419.90.00 Parts 8420.10.00 Calendering or other rolling machines 8420.91.00 Cylinders 8420.99.00 Other 8421.11.00 Cream separators 8421.12.00 Clothes-dryers 8421.19.00 Other 8421.21.00 For filtering or purifying water 8421.22.00 For filtering or purifying beverages other than water 8421.23.00 Oil or petrol-filters for internal combustion engines 8421.29.00 Other 8421.31.10 Air filters for use with the goods of tariff item No.</w:t>
      </w:r>
    </w:p>
    <w:p>
      <w:pPr>
        <w:pStyle w:val="Normal"/>
      </w:pPr>
      <w:r>
        <w:t>9908.00.00; Air cleaners for use in the manufacture of asphalt pavers 8421.31.90 Other 8421.39.10 Air filter masks; Air filter systems for breathing apparatus; Air separators to be employed in the processing, smelting or refining of minerals, ores or metals; Air strippers; Class smoke evacuation cart systems; Dry cleaning solvent vapour absorbers; Filter breather systems for hydraulic reservoirs; Filters for breathing apparatus; Filtration booths, pharmaceutical preparation type; High efficiency particulate (hepa) air filters of an efficiency exceeding 99.5% (0.3 micron particulate size); High pressure air filters for air compressors; Industrial refrigerant strainers; Laundry lint filters; Sterilization cartridges; Suction line filter driers; Ultraviolet airborne disinfection systems; Y-strainers, basket strainers, duplex strainers, and automatic (self cleaning) strainers, made from plastic or having a body manufactured by a metal casting process 8421.39.20 Catalytic converters for the motor vehicles of Chapter 87 8421.39.90 Other 8421.91.10 Drying chambers for clothes-dryers and other parts of clothes- dryers incorporating drying chambers 8421.91.20 Furniture designed to receive clothes-dryers 8421.91.90 Other 8421.99.00 Other 8422.11.10 Counter-top, electric; Portable, of a width not exceeding 46 cm 8422.11.90 Other 8422.19.00 Other 8422.20.00 Machinery for cleaning or drying bottles or other containers 8422.30.00 Machinery for filling, closing, sealing, or labelling</w:t>
      </w:r>
    </w:p>
    <w:p>
      <w:pPr>
        <w:pStyle w:val="Normal"/>
      </w:pPr>
      <w:r>
        <w:t>bottles, cans, boxes, bags or other containers; machinery for capsuling bottles, jars, tubes and similar containers; machinery for aerating beverages 8422.40.00 Other packing or wrapping machinery (including heat-shrink wrapping machinery) 8422.90.10 Water containment chambers and other parts incorporating water containment chambers, for dish washing machines of the household type 8422.90.20 Door assemblies for dish washing machines of the household type 8422.90.90 Other 8423.10.00 Personal weighing machines, including baby scales; household scales 8423.20.00 Scales for continuous weighing of goods on conveyors 8423.30.00 Constant weight scales and scales for discharging a predetermined weight of material into a bag or container, including hopper scales 8423.81.00 Having a maximum weighing capacity not exceeding 30 kg 8423.82.00 Having a maximum weighing capacity exceeding 30 kg but not exceeding 5,000 kg 8423.89.00 Other 8423.90.00 Weighing machine weights of all kinds;</w:t>
      </w:r>
    </w:p>
    <w:p>
      <w:pPr>
        <w:pStyle w:val="Normal"/>
      </w:pPr>
      <w:r>
        <w:t>parts of weighing machinery</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8424.10.00</w:t>
            </w:r>
          </w:p>
        </w:tc>
        <w:tc>
          <w:tcPr>
            <w:tcW w:w="4679" w:type="dxa"/>
            <w:tcMar>
              <w:top w:w="70" w:type="dxa"/>
              <w:start w:w="110" w:type="dxa"/>
              <w:bottom w:w="70" w:type="dxa"/>
              <w:end w:w="110" w:type="dxa"/>
            </w:tcMar>
            <w:vAlign w:val="center"/>
          </w:tcPr>
          <w:p>
            <w:pPr>
              <w:pStyle w:val="TableText"/>
              <w:jc w:val="left"/>
            </w:pPr>
            <w:r>
              <w:rPr>
                <w:lang w:val="en-US" w:eastAsia="en-US" w:bidi="ar-SA"/>
              </w:rPr>
              <w:t>Fire extinguishers, whether or not charged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8424.20.00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Spray guns and similar appliances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8424.30.00</w:t>
            </w:r>
          </w:p>
        </w:tc>
        <w:tc>
          <w:tcPr>
            <w:tcW w:w="4679" w:type="dxa"/>
            <w:tcMar>
              <w:top w:w="70" w:type="dxa"/>
              <w:start w:w="110" w:type="dxa"/>
              <w:bottom w:w="70" w:type="dxa"/>
              <w:end w:w="110" w:type="dxa"/>
            </w:tcMar>
            <w:vAlign w:val="center"/>
          </w:tcPr>
          <w:p>
            <w:pPr>
              <w:pStyle w:val="TableText"/>
              <w:jc w:val="left"/>
            </w:pPr>
            <w:r>
              <w:rPr>
                <w:lang w:val="en-US" w:eastAsia="en-US" w:bidi="ar-SA"/>
              </w:rPr>
              <w:t>Steam or sand blasting machines and similar jet projecting machines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8424.41.00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Portable sprayers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8424.49.00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8424.82.00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Agricultural or horticultural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8424.89.00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8425.11.00</w:t>
            </w:r>
          </w:p>
        </w:tc>
        <w:tc>
          <w:tcPr>
            <w:tcW w:w="4679" w:type="dxa"/>
            <w:tcMar>
              <w:top w:w="70" w:type="dxa"/>
              <w:start w:w="110" w:type="dxa"/>
              <w:bottom w:w="70" w:type="dxa"/>
              <w:end w:w="110" w:type="dxa"/>
            </w:tcMar>
            <w:vAlign w:val="center"/>
          </w:tcPr>
          <w:p>
            <w:pPr>
              <w:pStyle w:val="TableText"/>
              <w:jc w:val="left"/>
            </w:pPr>
            <w:r>
              <w:rPr>
                <w:lang w:val="en-US" w:eastAsia="en-US" w:bidi="ar-SA"/>
              </w:rPr>
              <w:t>Powered by electric motor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8425.19.00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8425.31.00</w:t>
            </w:r>
          </w:p>
        </w:tc>
        <w:tc>
          <w:tcPr>
            <w:tcW w:w="4679" w:type="dxa"/>
            <w:tcMar>
              <w:top w:w="70" w:type="dxa"/>
              <w:start w:w="110" w:type="dxa"/>
              <w:bottom w:w="70" w:type="dxa"/>
              <w:end w:w="110" w:type="dxa"/>
            </w:tcMar>
            <w:vAlign w:val="center"/>
          </w:tcPr>
          <w:p>
            <w:pPr>
              <w:pStyle w:val="TableText"/>
              <w:jc w:val="left"/>
            </w:pPr>
            <w:r>
              <w:rPr>
                <w:lang w:val="en-US" w:eastAsia="en-US" w:bidi="ar-SA"/>
              </w:rPr>
              <w:t>Powered by electric motor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8425.39.00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8425.41.00</w:t>
            </w:r>
          </w:p>
        </w:tc>
        <w:tc>
          <w:tcPr>
            <w:tcW w:w="4679" w:type="dxa"/>
            <w:tcMar>
              <w:top w:w="70" w:type="dxa"/>
              <w:start w:w="110" w:type="dxa"/>
              <w:bottom w:w="70" w:type="dxa"/>
              <w:end w:w="110" w:type="dxa"/>
            </w:tcMar>
            <w:vAlign w:val="center"/>
          </w:tcPr>
          <w:p>
            <w:pPr>
              <w:pStyle w:val="TableText"/>
              <w:jc w:val="left"/>
            </w:pPr>
            <w:r>
              <w:rPr>
                <w:lang w:val="en-US" w:eastAsia="en-US" w:bidi="ar-SA"/>
              </w:rPr>
              <w:t>Built-in jacking systems of a type used in garages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8425.42.00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bl>
    <w:p>
      <w:pPr>
        <w:pStyle w:val="Normal"/>
      </w:pPr>
      <w:r>
        <w:t>jacks and hoists, hydraulic</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8425.49.00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8426.11.00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Overhead travelling cranes on fixed support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8426.12.00</w:t>
            </w:r>
          </w:p>
        </w:tc>
        <w:tc>
          <w:tcPr>
            <w:tcW w:w="4679" w:type="dxa"/>
            <w:tcMar>
              <w:top w:w="70" w:type="dxa"/>
              <w:start w:w="110" w:type="dxa"/>
              <w:bottom w:w="70" w:type="dxa"/>
              <w:end w:w="110" w:type="dxa"/>
            </w:tcMar>
            <w:vAlign w:val="center"/>
          </w:tcPr>
          <w:p>
            <w:pPr>
              <w:pStyle w:val="TableText"/>
              <w:jc w:val="left"/>
            </w:pPr>
            <w:r>
              <w:rPr>
                <w:lang w:val="en-US" w:eastAsia="en-US" w:bidi="ar-SA"/>
              </w:rPr>
              <w:t>Mobile lifting frames on tires and straddle carriers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8426.19.00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8426.20.00</w:t>
            </w:r>
          </w:p>
        </w:tc>
        <w:tc>
          <w:tcPr>
            <w:tcW w:w="4679" w:type="dxa"/>
            <w:tcMar>
              <w:top w:w="70" w:type="dxa"/>
              <w:start w:w="110" w:type="dxa"/>
              <w:bottom w:w="70" w:type="dxa"/>
              <w:end w:w="110" w:type="dxa"/>
            </w:tcMar>
            <w:vAlign w:val="center"/>
          </w:tcPr>
          <w:p>
            <w:pPr>
              <w:pStyle w:val="TableText"/>
              <w:jc w:val="left"/>
            </w:pPr>
            <w:r>
              <w:rPr>
                <w:lang w:val="en-US" w:eastAsia="en-US" w:bidi="ar-SA"/>
              </w:rPr>
              <w:t>Tower cranes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8426.30.00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Portal or pedestal jib cranes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8426.41.00</w:t>
            </w:r>
          </w:p>
        </w:tc>
        <w:tc>
          <w:tcPr>
            <w:tcW w:w="4679" w:type="dxa"/>
            <w:tcMar>
              <w:top w:w="70" w:type="dxa"/>
              <w:start w:w="110" w:type="dxa"/>
              <w:bottom w:w="70" w:type="dxa"/>
              <w:end w:w="110" w:type="dxa"/>
            </w:tcMar>
            <w:vAlign w:val="center"/>
          </w:tcPr>
          <w:p>
            <w:pPr>
              <w:pStyle w:val="TableText"/>
              <w:jc w:val="left"/>
            </w:pPr>
            <w:r>
              <w:rPr>
                <w:lang w:val="en-US" w:eastAsia="en-US" w:bidi="ar-SA"/>
              </w:rPr>
              <w:t>On tires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8426.49.00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8426.91.00</w:t>
            </w:r>
          </w:p>
        </w:tc>
        <w:tc>
          <w:tcPr>
            <w:tcW w:w="4679" w:type="dxa"/>
            <w:tcMar>
              <w:top w:w="70" w:type="dxa"/>
              <w:start w:w="110" w:type="dxa"/>
              <w:bottom w:w="70" w:type="dxa"/>
              <w:end w:w="110" w:type="dxa"/>
            </w:tcMar>
            <w:vAlign w:val="center"/>
          </w:tcPr>
          <w:p>
            <w:pPr>
              <w:pStyle w:val="TableText"/>
              <w:jc w:val="left"/>
            </w:pPr>
            <w:r>
              <w:rPr>
                <w:lang w:val="en-US" w:eastAsia="en-US" w:bidi="ar-SA"/>
              </w:rPr>
              <w:t>Designed for mounting on road vehicles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8426.99.00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8427.10.10</w:t>
            </w:r>
          </w:p>
        </w:tc>
        <w:tc>
          <w:tcPr>
            <w:tcW w:w="4679" w:type="dxa"/>
            <w:tcMar>
              <w:top w:w="70" w:type="dxa"/>
              <w:start w:w="110" w:type="dxa"/>
              <w:bottom w:w="70" w:type="dxa"/>
              <w:end w:w="110" w:type="dxa"/>
            </w:tcMar>
            <w:vAlign w:val="center"/>
          </w:tcPr>
          <w:p>
            <w:pPr>
              <w:pStyle w:val="TableText"/>
              <w:jc w:val="left"/>
            </w:pPr>
            <w:r>
              <w:rPr>
                <w:lang w:val="en-US" w:eastAsia="en-US" w:bidi="ar-SA"/>
              </w:rPr>
              <w:t>Rider-type, counterbalanced fork-lift trucks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8427.10.90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8427.20.11</w:t>
            </w:r>
          </w:p>
        </w:tc>
        <w:tc>
          <w:tcPr>
            <w:tcW w:w="4679" w:type="dxa"/>
            <w:tcMar>
              <w:top w:w="70" w:type="dxa"/>
              <w:start w:w="110" w:type="dxa"/>
              <w:bottom w:w="70" w:type="dxa"/>
              <w:end w:w="110" w:type="dxa"/>
            </w:tcMar>
            <w:vAlign w:val="center"/>
          </w:tcPr>
          <w:p>
            <w:pPr>
              <w:pStyle w:val="TableText"/>
              <w:jc w:val="left"/>
            </w:pPr>
            <w:r>
              <w:rPr>
                <w:lang w:val="en-US" w:eastAsia="en-US" w:bidi="ar-SA"/>
              </w:rPr>
              <w:t>Rider-type, counterbalanced fork-lift trucks: Rough terrain type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8427.20.19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Rider-type, counterbalanced fork-lift trucks: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8427.20.90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8427.90.00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trucks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8428.10.00</w:t>
            </w:r>
          </w:p>
        </w:tc>
        <w:tc>
          <w:tcPr>
            <w:tcW w:w="4679" w:type="dxa"/>
            <w:tcMar>
              <w:top w:w="70" w:type="dxa"/>
              <w:start w:w="110" w:type="dxa"/>
              <w:bottom w:w="70" w:type="dxa"/>
              <w:end w:w="110" w:type="dxa"/>
            </w:tcMar>
            <w:vAlign w:val="center"/>
          </w:tcPr>
          <w:p>
            <w:pPr>
              <w:pStyle w:val="TableText"/>
              <w:jc w:val="left"/>
            </w:pPr>
            <w:r>
              <w:rPr>
                <w:lang w:val="en-US" w:eastAsia="en-US" w:bidi="ar-SA"/>
              </w:rPr>
              <w:t>Lifts and skip hoists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8428.20.00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Pneumatic elevators and conveyors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8428.31.00</w:t>
            </w:r>
          </w:p>
        </w:tc>
        <w:tc>
          <w:tcPr>
            <w:tcW w:w="4679" w:type="dxa"/>
            <w:tcMar>
              <w:top w:w="70" w:type="dxa"/>
              <w:start w:w="110" w:type="dxa"/>
              <w:bottom w:w="70" w:type="dxa"/>
              <w:end w:w="110" w:type="dxa"/>
            </w:tcMar>
            <w:vAlign w:val="center"/>
          </w:tcPr>
          <w:p>
            <w:pPr>
              <w:pStyle w:val="TableText"/>
              <w:jc w:val="left"/>
            </w:pPr>
            <w:r>
              <w:rPr>
                <w:lang w:val="en-US" w:eastAsia="en-US" w:bidi="ar-SA"/>
              </w:rPr>
              <w:t>Specially designed for underground use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8428.32.00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bucket type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8428.33.00</w:t>
            </w:r>
          </w:p>
        </w:tc>
        <w:tc>
          <w:tcPr>
            <w:tcW w:w="4679" w:type="dxa"/>
            <w:tcMar>
              <w:top w:w="70" w:type="dxa"/>
              <w:start w:w="110" w:type="dxa"/>
              <w:bottom w:w="70" w:type="dxa"/>
              <w:end w:w="110" w:type="dxa"/>
            </w:tcMar>
            <w:vAlign w:val="center"/>
          </w:tcPr>
          <w:p>
            <w:pPr>
              <w:pStyle w:val="TableText"/>
              <w:jc w:val="left"/>
            </w:pPr>
            <w:r>
              <w:rPr>
                <w:lang w:val="en-US" w:eastAsia="en-US" w:bidi="ar-SA"/>
              </w:rPr>
              <w:t>Other, belt type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8428.39.00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8428.40.00</w:t>
            </w:r>
          </w:p>
        </w:tc>
        <w:tc>
          <w:tcPr>
            <w:tcW w:w="4679" w:type="dxa"/>
            <w:tcMar>
              <w:top w:w="70" w:type="dxa"/>
              <w:start w:w="110" w:type="dxa"/>
              <w:bottom w:w="70" w:type="dxa"/>
              <w:end w:w="110" w:type="dxa"/>
            </w:tcMar>
            <w:vAlign w:val="center"/>
          </w:tcPr>
          <w:p>
            <w:pPr>
              <w:pStyle w:val="TableText"/>
              <w:jc w:val="left"/>
            </w:pPr>
            <w:r>
              <w:rPr>
                <w:lang w:val="en-US" w:eastAsia="en-US" w:bidi="ar-SA"/>
              </w:rPr>
              <w:t>Escalators and moving walkways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8428.60.00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Teleferics, chair-lifts, ski-draglines; traction mechanisms for funiculars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8428.90.00</w:t>
            </w:r>
          </w:p>
        </w:tc>
        <w:tc>
          <w:tcPr>
            <w:tcW w:w="4679" w:type="dxa"/>
            <w:tcMar>
              <w:top w:w="70" w:type="dxa"/>
              <w:start w:w="110" w:type="dxa"/>
              <w:bottom w:w="70" w:type="dxa"/>
              <w:end w:w="110" w:type="dxa"/>
            </w:tcMar>
            <w:vAlign w:val="center"/>
          </w:tcPr>
          <w:p>
            <w:pPr>
              <w:pStyle w:val="TableText"/>
              <w:jc w:val="left"/>
            </w:pPr>
            <w:r>
              <w:rPr>
                <w:lang w:val="en-US" w:eastAsia="en-US" w:bidi="ar-SA"/>
              </w:rPr>
              <w:t>Other machinery</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8429.11.00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Track laying</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8429.19.00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8429.20.00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Graders and levellers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8429.30.00</w:t>
            </w:r>
          </w:p>
        </w:tc>
        <w:tc>
          <w:tcPr>
            <w:tcW w:w="4679" w:type="dxa"/>
            <w:tcMar>
              <w:top w:w="70" w:type="dxa"/>
              <w:start w:w="110" w:type="dxa"/>
              <w:bottom w:w="70" w:type="dxa"/>
              <w:end w:w="110" w:type="dxa"/>
            </w:tcMar>
            <w:vAlign w:val="center"/>
          </w:tcPr>
          <w:p>
            <w:pPr>
              <w:pStyle w:val="TableText"/>
              <w:jc w:val="left"/>
            </w:pPr>
            <w:r>
              <w:rPr>
                <w:lang w:val="en-US" w:eastAsia="en-US" w:bidi="ar-SA"/>
              </w:rPr>
              <w:t>Scrapers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8429.40.00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Tamping machines and road rollers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8429.51.00</w:t>
            </w:r>
          </w:p>
        </w:tc>
        <w:tc>
          <w:tcPr>
            <w:tcW w:w="4679" w:type="dxa"/>
            <w:tcMar>
              <w:top w:w="70" w:type="dxa"/>
              <w:start w:w="110" w:type="dxa"/>
              <w:bottom w:w="70" w:type="dxa"/>
              <w:end w:w="110" w:type="dxa"/>
            </w:tcMar>
            <w:vAlign w:val="center"/>
          </w:tcPr>
          <w:p>
            <w:pPr>
              <w:pStyle w:val="TableText"/>
              <w:jc w:val="left"/>
            </w:pPr>
            <w:r>
              <w:rPr>
                <w:lang w:val="en-US" w:eastAsia="en-US" w:bidi="ar-SA"/>
              </w:rPr>
              <w:t>Front-end shovel loaders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8429.52.00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Machinery with a 360° revolving superstructure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8429.59.00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8430.10.00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Pile-drivers and pile-extractors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8430.20.00</w:t>
            </w:r>
          </w:p>
        </w:tc>
        <w:tc>
          <w:tcPr>
            <w:tcW w:w="4679" w:type="dxa"/>
            <w:tcMar>
              <w:top w:w="70" w:type="dxa"/>
              <w:start w:w="110" w:type="dxa"/>
              <w:bottom w:w="70" w:type="dxa"/>
              <w:end w:w="110" w:type="dxa"/>
            </w:tcMar>
            <w:vAlign w:val="center"/>
          </w:tcPr>
          <w:p>
            <w:pPr>
              <w:pStyle w:val="TableText"/>
              <w:jc w:val="left"/>
            </w:pPr>
            <w:r>
              <w:rPr>
                <w:lang w:val="en-US" w:eastAsia="en-US" w:bidi="ar-SA"/>
              </w:rPr>
              <w:t>Snow-ploughs and snow-blowers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8430.31.00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Self-propelled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8430.39.00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8430.41.00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Self-propelled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8430.49.00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8430.50.00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machinery, self-propelled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8430.61.00</w:t>
            </w:r>
          </w:p>
        </w:tc>
        <w:tc>
          <w:tcPr>
            <w:tcW w:w="4679" w:type="dxa"/>
            <w:tcMar>
              <w:top w:w="70" w:type="dxa"/>
              <w:start w:w="110" w:type="dxa"/>
              <w:bottom w:w="70" w:type="dxa"/>
              <w:end w:w="110" w:type="dxa"/>
            </w:tcMar>
            <w:vAlign w:val="center"/>
          </w:tcPr>
          <w:p>
            <w:pPr>
              <w:pStyle w:val="TableText"/>
              <w:jc w:val="left"/>
            </w:pPr>
            <w:r>
              <w:rPr>
                <w:lang w:val="en-US" w:eastAsia="en-US" w:bidi="ar-SA"/>
              </w:rPr>
              <w:t>Tamping or compacting machinery</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8430.69.00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8431.10.00</w:t>
            </w:r>
          </w:p>
        </w:tc>
        <w:tc>
          <w:tcPr>
            <w:tcW w:w="4679" w:type="dxa"/>
            <w:tcMar>
              <w:top w:w="70" w:type="dxa"/>
              <w:start w:w="110" w:type="dxa"/>
              <w:bottom w:w="70" w:type="dxa"/>
              <w:end w:w="110" w:type="dxa"/>
            </w:tcMar>
            <w:vAlign w:val="center"/>
          </w:tcPr>
          <w:p>
            <w:pPr>
              <w:pStyle w:val="TableText"/>
              <w:jc w:val="left"/>
            </w:pPr>
            <w:r>
              <w:rPr>
                <w:lang w:val="en-US" w:eastAsia="en-US" w:bidi="ar-SA"/>
              </w:rPr>
              <w:t>Of</w:t>
            </w:r>
          </w:p>
        </w:tc>
      </w:tr>
    </w:tbl>
    <w:p>
      <w:pPr>
        <w:pStyle w:val="Normal"/>
      </w:pPr>
      <w:r>
        <w:t>machinery of heading 84.25 8431.20.00 Of machinery of heading 84.27 8431.31.00 Of lifts, skip hoists or escalators 8431.39.00 Other 8431.41.00 Buckets, shovels, grabs and grips 8431.42.00 Bulldozer or angledozer blades 8431.43.00 Parts of boring or sinking machinery of subheading 8430.41 or 8430.49 8431.49.00 Other 8432.10.00 Ploughs 8432.21.00 Disc harrows 8432.29.00 Other 8432.31.00 No-till direct seeders, planters and transplanters 8432.39.00 Other 8432.41.00 Manure spreaders 8432.42.00 Fertilizer distributors 8432.80.00 Other machinery 8432.90.00 Parts 8433.11.00 Powered, with the cutting device rotating in a horizontal plane 8433.19.00 Other 8433.20.00 Other mowers, including cutter bars for tractor mounting 8433.30.00 Other haymaking machinery 8433.40.00 Straw or fodder balers, including pick-up balers 8433.51.00 Combine harvester-threshers 8433.52.00 Other threshing machinery 8433.53.00 Root or tuber harvesting machines 8433.59.00 Other 8433.60.00 Machines for cleaning, sorting or grading eggs, fruit or other agricultural produce 8433.90.00 Parts 8434.10.00 Milking machines 8434.20.00 Dairy machinery 8434.90.00 Parts 8435.10.00 Machinery 8435.90.00 Parts 8436.10.00 Machinery for preparing animal feeding stuffs 8436.21.00 Poultry incubators and brooders 8436.29.00 Other 8436.80.00 Other machinery 8436.91.00 Of poultry-keeping machinery or poultry incubators and brooders 8436.99.00 Other 8437.10.00 Machines for cleaning, sorting or grading seed, grain or dried</w:t>
      </w:r>
    </w:p>
    <w:p>
      <w:pPr>
        <w:pStyle w:val="Normal"/>
      </w:pPr>
      <w:r>
        <w:t>leguminous vegetables 8437.80.00 Other machinery 8437.90.00 Parts 8438.10.00 Bakery machinery and machinery for the manufacture of macaroni, spaghetti or similar products 8438.20.00 Machinery for the manufacture of confectionery, cocoa or chocolate 8438.30.00 Machinery for sugar manufacture 8438.40.00 Brewery machinery 8438.50.00 Machinery for the preparation of meat or poultry 8438.60.00 Machinery for the preparation of fruits, nuts or vegetables 8438.80.00 Other machinery 8438.90.00 Parts 8439.10.00 Machinery for making pulp of fibrous cellulosic material 8439.20.00 Machinery for making paper or paperboard 8439.30.00 Machinery for finishing paper or paperboard 8439.91.00 Of machinery for making pulp of fibrous cellulosic material 8439.99.00 Other 8440.10.00 Machinery 8440.90.00 Parts 8441.10.00 Cutting machines 8441.20.00 Machines for making bags, sacks or envelopes 8441.30.00 Machines for making cartons, boxes, cases, tubes, drums or similar containers, other than by moulding 8441.40.00 Machines for moulding articles in paper pulp, paper or paperboard 8441.80.00 Other machinery 8441.90.00 Parts 8442.30.00 Machinery, apparatus and equipment 8442.40.00 Parts of the foregoing machinery, apparatus or equipment 8442.50.00 Plates, cylinders and other printing components; plates, cylinders and lithographic stones, prepared for printing purposes (for example, planed, grained or polished) 8443.11.00 Offset printing machinery, reel-fed 8443.12.00 Offset printing machinery,</w:t>
      </w:r>
    </w:p>
    <w:p>
      <w:pPr>
        <w:pStyle w:val="Normal"/>
      </w:pPr>
      <w:r>
        <w:t>sheet-fed, office type (using sheets with one side not exceeding 22 cm and the other side not exceeding 36 cm in the unfolded state) 8443.13.00 Other offset printing machinery 8443.14.00 Letterpress printing machinery, reel fed, excluding flexographic printing 8443.15.00 Letterpress printing machinery, other than reel fed, excluding flexographic printing 8443.16.00 Flexographic printing machinery 8443.17.00 Gravure printing machinery 8443.19.00 Other 8443.31.00 Machines which perform two or more of the functions of printing, copying or facsimile transmission, capable of connecting to an automatic data processing machine or to a network 8443.32.00 Other, capable of connecting to an automatic data processing machine or to a network 8443.39.00 Other 8443.91.00 Parts and accessories of printing machinery used for printing by means of plates, cylinders and other printing components of heading 84.42 8443.99.00 Other 8444.00.00 Machines for extruding, drawing, texturing or cutting man-made textile materials.</w:t>
      </w:r>
    </w:p>
    <w:p>
      <w:pPr>
        <w:pStyle w:val="Normal"/>
      </w:pPr>
      <w:r>
        <w:t>8445.11.00 Carding machines 8445.12.00 Combing machines 8445.13.00 Drawing or roving machines 8445.19.00 Other 8445.20.00 Textile spinning machines 8445.30.00 Textile doubling or twisting machines 8445.40.00 Textile winding (including weft-winding) or reeling machines 8445.90.00 Other 8446.10.00 For weaving fabrics of a width not exceeding 30 cm 8446.21.00 Power looms 8446.29.00 Other 8446.30.00 For weaving fabrics of a width exceeding 30 cm, shuttleless type 8447.11.00 With cylinder diameter not exceeding 165 mm 8447.12.00 With cylinder diameter exceeding 165 mm 8447.20.00 Flat knitting machines; stitch-bonding machines 8447.90.00 Other 8448.11.00 Dobbies and Jacquards; card reducing, copying, punching or assembling machines for use therewith 8448.19.00 Other 8448.20.00 Parts and accessories of machines of heading 84.44 or of their auxiliary machinery 8448.31.00 Card clothing 8448.32.00 Of machines for preparing textile fibres, other than card clothing 8448.33.00 Spindles, spindle flyers, spinning rings and ring travellers 8448.39.00 Other 8448.42.00 Reeds for looms, healds and heald-frames 8448.49.00 Other 8448.51.00 Sinker, needles and other articles used in forming stitches 8448.59.00 Other 8449.00.00 Machinery for the manufacture or finishing of felt or nonwovens in the piece or in shapes, including machinery for making felt hats; blocks for making hats.</w:t>
      </w:r>
    </w:p>
    <w:p>
      <w:pPr>
        <w:pStyle w:val="Normal"/>
      </w:pPr>
      <w:r>
        <w:t>8450.11.10 Household type, not including machines which both wash and dry 8450.11.90 Other 8450.12.00 Other machines, with built-in centrifugal dryer 8450.19.00 Other 8450.20.00 Machines, each of a dry linen capacity exceeding 10 kg 8450.90.10 Tubs or tub assemblies 8450.90.20 Furniture designed to receive household or laundry type washing machines, including machines which both wash and dry 8450.90.90 Other 8451.10.00 Dry-cleaning machines 8451.21.00 Each of a dry linen capacity not exceeding 10 kg 8451.29.00 Other 8451.30.10 Accessory steam irons for commercial laundries; Vacuum and heated pressing tables 8451.30.90 Other 8451.40.10 Carpet shampooers; Carpet, drapery and upholstery cleaning machines;</w:t>
      </w:r>
    </w:p>
    <w:p>
      <w:pPr>
        <w:pStyle w:val="Normal"/>
      </w:pPr>
      <w:r>
        <w:t>Fish net washing machines 8451.40.90 Other 8451.50.00 Machines for reeling, unreeling, folding, cutting or pinking textile fabrics 8451.80.00 Other machinery 8451.90.10 Drying chambers for the drying machines of subheading 8451.21 or 8451.29 and other parts of drying machines incorporating drying chambers 8451.90.20 Furniture designed to receive the drying machines of subheading 8451.21 or 8451.29 8451.90.90 Other 8452.10.00 Sewing machines of the household type 8452.21.00 Automatic units 8452.29.00 Other 8452.30.00 Sewing machine needles 8452.90.10 Furniture, bases and covers for sewing machines, and parts thereof, for domestic sewing machines 8452.90.20 Other parts of domestic sewing machines 8452.90.90 Other 8453.10.00 Machinery for preparing, tanning or working hides,</w:t>
      </w:r>
    </w:p>
    <w:p>
      <w:pPr>
        <w:pStyle w:val="Normal"/>
      </w:pPr>
      <w:r>
        <w:t>skins or leather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8453.20.00</w:t>
            </w:r>
          </w:p>
        </w:tc>
        <w:tc>
          <w:tcPr>
            <w:tcW w:w="4679" w:type="dxa"/>
            <w:tcMar>
              <w:top w:w="70" w:type="dxa"/>
              <w:start w:w="110" w:type="dxa"/>
              <w:bottom w:w="70" w:type="dxa"/>
              <w:end w:w="110" w:type="dxa"/>
            </w:tcMar>
            <w:vAlign w:val="center"/>
          </w:tcPr>
          <w:p>
            <w:pPr>
              <w:pStyle w:val="TableText"/>
              <w:jc w:val="left"/>
            </w:pPr>
            <w:r>
              <w:rPr>
                <w:lang w:val="en-US" w:eastAsia="en-US" w:bidi="ar-SA"/>
              </w:rPr>
              <w:t>Machinery for making or repairing footwear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8453.80.00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machinery</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8453.90.00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Converters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8454.20.00</w:t>
            </w:r>
          </w:p>
        </w:tc>
        <w:tc>
          <w:tcPr>
            <w:tcW w:w="4679" w:type="dxa"/>
            <w:tcMar>
              <w:top w:w="70" w:type="dxa"/>
              <w:start w:w="110" w:type="dxa"/>
              <w:bottom w:w="70" w:type="dxa"/>
              <w:end w:w="110" w:type="dxa"/>
            </w:tcMar>
            <w:vAlign w:val="center"/>
          </w:tcPr>
          <w:p>
            <w:pPr>
              <w:pStyle w:val="TableText"/>
              <w:jc w:val="left"/>
            </w:pPr>
            <w:r>
              <w:rPr>
                <w:lang w:val="en-US" w:eastAsia="en-US" w:bidi="ar-SA"/>
              </w:rPr>
              <w:t>Ingot moulds and ladles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Casting machines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8454.90.00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Tube mills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8455.21.00</w:t>
            </w:r>
          </w:p>
        </w:tc>
        <w:tc>
          <w:tcPr>
            <w:tcW w:w="4679" w:type="dxa"/>
            <w:tcMar>
              <w:top w:w="70" w:type="dxa"/>
              <w:start w:w="110" w:type="dxa"/>
              <w:bottom w:w="70" w:type="dxa"/>
              <w:end w:w="110" w:type="dxa"/>
            </w:tcMar>
            <w:vAlign w:val="center"/>
          </w:tcPr>
          <w:p>
            <w:pPr>
              <w:pStyle w:val="TableText"/>
              <w:jc w:val="left"/>
            </w:pPr>
            <w:r>
              <w:rPr>
                <w:lang w:val="en-US" w:eastAsia="en-US" w:bidi="ar-SA"/>
              </w:rPr>
              <w:t>Hot or combination hot and cold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8455.22.00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Cold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8455.30.00</w:t>
            </w:r>
          </w:p>
        </w:tc>
        <w:tc>
          <w:tcPr>
            <w:tcW w:w="4679" w:type="dxa"/>
            <w:tcMar>
              <w:top w:w="70" w:type="dxa"/>
              <w:start w:w="110" w:type="dxa"/>
              <w:bottom w:w="70" w:type="dxa"/>
              <w:end w:w="110" w:type="dxa"/>
            </w:tcMar>
            <w:vAlign w:val="center"/>
          </w:tcPr>
          <w:p>
            <w:pPr>
              <w:pStyle w:val="TableText"/>
              <w:jc w:val="left"/>
            </w:pPr>
            <w:r>
              <w:rPr>
                <w:lang w:val="en-US" w:eastAsia="en-US" w:bidi="ar-SA"/>
              </w:rPr>
              <w:t>Rolls for rolling mills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8455.90.10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Castings or weldments, individually weighing less than 90 tonnes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8455.90.90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8456.11.00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Operated by laser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8456.12.00</w:t>
            </w:r>
          </w:p>
        </w:tc>
        <w:tc>
          <w:tcPr>
            <w:tcW w:w="4679" w:type="dxa"/>
            <w:tcMar>
              <w:top w:w="70" w:type="dxa"/>
              <w:start w:w="110" w:type="dxa"/>
              <w:bottom w:w="70" w:type="dxa"/>
              <w:end w:w="110" w:type="dxa"/>
            </w:tcMar>
            <w:vAlign w:val="center"/>
          </w:tcPr>
          <w:p>
            <w:pPr>
              <w:pStyle w:val="TableText"/>
              <w:jc w:val="left"/>
            </w:pPr>
            <w:r>
              <w:rPr>
                <w:lang w:val="en-US" w:eastAsia="en-US" w:bidi="ar-SA"/>
              </w:rPr>
              <w:t>Operated by other light or photon beam processes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Operated by ultrasonic processes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8456.30.00</w:t>
            </w:r>
          </w:p>
        </w:tc>
        <w:tc>
          <w:tcPr>
            <w:tcW w:w="4679" w:type="dxa"/>
            <w:tcMar>
              <w:top w:w="70" w:type="dxa"/>
              <w:start w:w="110" w:type="dxa"/>
              <w:bottom w:w="70" w:type="dxa"/>
              <w:end w:w="110" w:type="dxa"/>
            </w:tcMar>
            <w:vAlign w:val="center"/>
          </w:tcPr>
          <w:p>
            <w:pPr>
              <w:pStyle w:val="TableText"/>
              <w:jc w:val="left"/>
            </w:pPr>
            <w:r>
              <w:rPr>
                <w:lang w:val="en-US" w:eastAsia="en-US" w:bidi="ar-SA"/>
              </w:rPr>
              <w:t>Operated by electro-discharge processes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8456.40.00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Operated by plasma arc processes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8456.50.00</w:t>
            </w:r>
          </w:p>
        </w:tc>
        <w:tc>
          <w:tcPr>
            <w:tcW w:w="4679" w:type="dxa"/>
            <w:tcMar>
              <w:top w:w="70" w:type="dxa"/>
              <w:start w:w="110" w:type="dxa"/>
              <w:bottom w:w="70" w:type="dxa"/>
              <w:end w:w="110" w:type="dxa"/>
            </w:tcMar>
            <w:vAlign w:val="center"/>
          </w:tcPr>
          <w:p>
            <w:pPr>
              <w:pStyle w:val="TableText"/>
              <w:jc w:val="left"/>
            </w:pPr>
            <w:r>
              <w:rPr>
                <w:lang w:val="en-US" w:eastAsia="en-US" w:bidi="ar-SA"/>
              </w:rPr>
              <w:t>Water-jet cutting machines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8457.10.00</w:t>
            </w:r>
          </w:p>
        </w:tc>
        <w:tc>
          <w:tcPr>
            <w:tcW w:w="4679" w:type="dxa"/>
            <w:tcMar>
              <w:top w:w="70" w:type="dxa"/>
              <w:start w:w="110" w:type="dxa"/>
              <w:bottom w:w="70" w:type="dxa"/>
              <w:end w:w="110" w:type="dxa"/>
            </w:tcMar>
            <w:vAlign w:val="center"/>
          </w:tcPr>
          <w:p>
            <w:pPr>
              <w:pStyle w:val="TableText"/>
              <w:jc w:val="left"/>
            </w:pPr>
            <w:r>
              <w:rPr>
                <w:lang w:val="en-US" w:eastAsia="en-US" w:bidi="ar-SA"/>
              </w:rPr>
              <w:t>Machining centres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Unit construction machines (single station)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8457.30.00</w:t>
            </w:r>
          </w:p>
        </w:tc>
        <w:tc>
          <w:tcPr>
            <w:tcW w:w="4679" w:type="dxa"/>
            <w:tcMar>
              <w:top w:w="70" w:type="dxa"/>
              <w:start w:w="110" w:type="dxa"/>
              <w:bottom w:w="70" w:type="dxa"/>
              <w:end w:w="110" w:type="dxa"/>
            </w:tcMar>
            <w:vAlign w:val="center"/>
          </w:tcPr>
          <w:p>
            <w:pPr>
              <w:pStyle w:val="TableText"/>
              <w:jc w:val="left"/>
            </w:pPr>
            <w:r>
              <w:rPr>
                <w:lang w:val="en-US" w:eastAsia="en-US" w:bidi="ar-SA"/>
              </w:rPr>
              <w:t>Multi-station transfer machines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8458.11.00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8458.19.00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8458.91.00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8458.99.00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Way-type unit head machines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8459.21.00</w:t>
            </w:r>
          </w:p>
        </w:tc>
        <w:tc>
          <w:tcPr>
            <w:tcW w:w="4679" w:type="dxa"/>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8459.29.00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8459.31.00</w:t>
            </w:r>
          </w:p>
        </w:tc>
        <w:tc>
          <w:tcPr>
            <w:tcW w:w="4679" w:type="dxa"/>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8459.39.00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8459.41.00</w:t>
            </w:r>
          </w:p>
        </w:tc>
        <w:tc>
          <w:tcPr>
            <w:tcW w:w="4679" w:type="dxa"/>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8459.49.00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8459.51.00</w:t>
            </w:r>
          </w:p>
        </w:tc>
        <w:tc>
          <w:tcPr>
            <w:tcW w:w="4679" w:type="dxa"/>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8459.59.00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8459.61.00</w:t>
            </w:r>
          </w:p>
        </w:tc>
        <w:tc>
          <w:tcPr>
            <w:tcW w:w="4679" w:type="dxa"/>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8459.69.00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8459.70.10</w:t>
            </w:r>
          </w:p>
        </w:tc>
        <w:tc>
          <w:tcPr>
            <w:tcW w:w="4679" w:type="dxa"/>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8459.70.90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8460.12.00</w:t>
            </w:r>
          </w:p>
        </w:tc>
        <w:tc>
          <w:tcPr>
            <w:tcW w:w="4679" w:type="dxa"/>
            <w:tcMar>
              <w:top w:w="70" w:type="dxa"/>
              <w:start w:w="110" w:type="dxa"/>
              <w:bottom w:w="70" w:type="dxa"/>
              <w:end w:w="110" w:type="dxa"/>
            </w:tcMar>
            <w:vAlign w:val="center"/>
          </w:tcPr>
          <w:p>
            <w:pPr>
              <w:pStyle w:val="TableText"/>
              <w:jc w:val="left"/>
            </w:pPr>
            <w:r>
              <w:rPr>
                <w:lang w:val="en-US" w:eastAsia="en-US" w:bidi="ar-SA"/>
              </w:rPr>
              <w:t>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8460.19.00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8460.22.00</w:t>
            </w:r>
          </w:p>
        </w:tc>
        <w:tc>
          <w:tcPr>
            <w:tcW w:w="4679" w:type="dxa"/>
            <w:tcMar>
              <w:top w:w="70" w:type="dxa"/>
              <w:start w:w="110" w:type="dxa"/>
              <w:bottom w:w="70" w:type="dxa"/>
              <w:end w:w="110" w:type="dxa"/>
            </w:tcMar>
            <w:vAlign w:val="center"/>
          </w:tcPr>
          <w:p>
            <w:pPr>
              <w:pStyle w:val="TableText"/>
              <w:jc w:val="left"/>
            </w:pPr>
            <w:r>
              <w:rPr>
                <w:lang w:val="en-US" w:eastAsia="en-US" w:bidi="ar-SA"/>
              </w:rPr>
              <w:t>Centreless grinding machines, numerically controlled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8460.23.00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cylindrical grinding machines, numerically controlled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8460.24.00</w:t>
            </w:r>
          </w:p>
        </w:tc>
        <w:tc>
          <w:tcPr>
            <w:tcW w:w="4679" w:type="dxa"/>
            <w:tcMar>
              <w:top w:w="70" w:type="dxa"/>
              <w:start w:w="110" w:type="dxa"/>
              <w:bottom w:w="70" w:type="dxa"/>
              <w:end w:w="110" w:type="dxa"/>
            </w:tcMar>
            <w:vAlign w:val="center"/>
          </w:tcPr>
          <w:p>
            <w:pPr>
              <w:pStyle w:val="TableText"/>
              <w:jc w:val="left"/>
            </w:pPr>
            <w:r>
              <w:rPr>
                <w:lang w:val="en-US" w:eastAsia="en-US" w:bidi="ar-SA"/>
              </w:rPr>
              <w:t>Other, numerically</w:t>
            </w:r>
          </w:p>
        </w:tc>
      </w:tr>
    </w:tbl>
    <w:p>
      <w:pPr>
        <w:pStyle w:val="Normal"/>
      </w:pPr>
      <w:r>
        <w:t>controlled 8460.29.00 Other 8460.31.00 Numerically controlled 8460.39.00 Other 8460.40.10 Numerically controlled 8460.40.90 Other 8460.90.00 Other 8461.20.10 Numerically controlled 8461.20.90 Other 8461.30.10 Numerically controlled 8461.30.90 Other 8461.40.00 Gear cutting, gear grinding or gear finishing machines 8461.50.11 Numerically controlled: Horizontal band sawing machines, of a round or square capacity not exceeding 101.6 cm, excluding block and plate band sawing machines and computer numerically controlled band sawing machines with programmable magazines 8461.50.19 Numerically controlled: Other 8461.50.91 Other: Horizontal band sawing machines, of a round or square capacity not exceeding 101.6 cm, excluding block and plate band sawing machines 8461.50.99 Other: Other 8461.90.10 Numerically controlled 8461.90.90 Other 8462.10.00 Forging or die-stamping machines (including presses) and hammers 8462.21.00 Numerically controlled 8462.29.00 Other 8462.31.00 Numerically controlled 8462.39.00 Other 8462.41.00 Numerically controlled 8462.49.00 Other 8462.91.10 Numerically controlled 8462.91.91 Other: Bulldozer presses; Extrusion presses; Fine blanking presses with mechanical ram drive; Horizontal high pressure extrusion presses; Metal stamping presses, with a capacity of 100 tonnes or more but not exceeding 2,500 tonnes and a width of 56 cm or more but not exceeding 620 cm; Trim presses 8462.91.99 Other: Other 8462.99.11 Numerically controlled: Bangle rounding and sizing</w:t>
      </w:r>
    </w:p>
    <w:p>
      <w:pPr>
        <w:pStyle w:val="Normal"/>
      </w:pPr>
      <w:r>
        <w:t>machines (jewellery industry); Can flatteners with magnetic separators; Combined stamping and bending machines for metal hose clamps; Dressing machines for facing diamond and carbide segments in stone cutting saws; Edgers and scale brakers; Fine blanking presses with mechanical ram drive; High speed production presses capable of operating at more than 600 strokes per minute; Horizontal Venetian blind manufacturing machinery; Horn presses; Multilayer vacuum press systems for printed circuit board production; Powder metal presses; Punch press and plastic cone tie maker systems; Terminal lead wire attaching, crimping or clinching presses or machines; Welding presses 8462.99.19 Numerically controlled: Other 8462.99.90 Other 8463.10.00 Draw-benches for bars, tubes, profiles, wire or the like 8463.20.00 Thread rolling machines 8463.30.00 Machines for working wire 8463.90.00 Other 8464.10.00 Sawing machines 8464.20.00 Grinding or polishing machines 8464.90.00 Other 8465.10.00 Machines which can carry out different types of machining operations without tool change between such operations 8465.20.00 Machining centres 8465.91.00 Sawing machines 8465.92.00 Planing, milling or moulding (by cutting) machines 8465.93.00 Grinding, sanding or polishing machines 8465.94.00 Bending or assembling machines 8465.95.00 Drilling or morticing machines 8465.96.00 Splitting, slicing or paring machines 8465.99.00 Other 8466.10.00 Tool holders and self-opening dieheads 8466.20.00 Work holders</w:t>
      </w:r>
    </w:p>
    <w:p>
      <w:pPr>
        <w:pStyle w:val="Normal"/>
      </w:pPr>
      <w:r>
        <w:t>8466.30.00 Dividing heads and other special attachments for machines 8466.91.00 For machines of heading 84.64 8466.92.00 For machines of heading 84.65 8466.93.10 Bed, base, table, head, tail, saddle, cradle, cross slide, column, arm, saw arm, wheelhead, tailstock, headstock, ram, frame, work arbour support, and C-frame castings, weldments or fabrications 8466.93.90 Other 8466.94.10 Bed, base, table, column, cradle, frame, bolster, crown, slide, rod, tailstock and headstock castings, weldments or fabrications 8466.94.90 Other 8467.11.00 Rotary type (including combined rotary percussion) 8467.19.00 Other 8467.21.00 Drills of all kinds 8467.22.00 Saws 8467.29.00 Other 8467.81.00 Chain saws 8467.89.00 Other 8467.91.00 Of chain saws 8467.92.00 Of pneumatic tools 8467.99.00 Other 8468.10.00 Hand-held blow pipes 8468.20.00 Other gas-operated machinery and apparatus 8468.80.00 Other machinery and apparatus 8468.90.00 Parts 8470.10.00 Electronic calculators capable of operation without an external source of electric power and pocket-size data recording, reproducing and displaying machines with calculating functions 8470.21.00 Incorporating a printing device 8470.29.00 Other 8470.30.00 Other calculating machines 8470.50.00 Cash registers 8470.90.00 Other 8471.30.00 Portable automatic data processing machines, weighing not more than 10 kg, consisting of at least a central processing unit, a keyboard and a display 8471.41.00 Comprising in the same housing at least a central processing</w:t>
      </w:r>
    </w:p>
    <w:p>
      <w:pPr>
        <w:pStyle w:val="Normal"/>
      </w:pPr>
      <w:r>
        <w:t>unit and an input and output unit, whether or not combined 8471.49.00 Other, presented in the form of systems 8471.50.00 Processing units, other than those of subheading 8471.41 or 8471.49, whether or not containing in the same housing one or two of the following types of unit: storage units, input units, output units 8471.60.00 Input or output units, whether or not containing storage units in the same housing 8471.70.00 Storage units 8471.80.10 Control or adapter units 8471.80.91 Other: Units suitable for physical incorporation into automatic data processing machines or units thereof 8471.80.99 Other:</w:t>
      </w:r>
    </w:p>
    <w:p>
      <w:pPr>
        <w:pStyle w:val="Normal"/>
      </w:pPr>
      <w:r>
        <w:t>Other 8471.90.00 Other 8472.10.00 Duplicating machines 8472.30.00 Machines for sorting or folding mail or for inserting mail in envelopes or bands, machines for opening, closing or sealing mail and machines for affixing or cancelling postage stamps 8472.90.00 Other 8473.21.00 Of the electronic calculating machines of subheading 8470.10, 8470.21 or 8470.29 8473.29.00 Other 8473.30.20 Printed circuit assemblies 8473.30.30 Parts and accessories of printed circuit assemblies, including face plates and lock latches 8473.30.90 Other 8473.40.00 Parts and accessories of the machines of heading 84.72 8473.50.10 Printed circuit assemblies 8473.50.20 Parts and accessories of printed circuit assemblies, including face plates and lock latches 8473.50.90 Other 8474.10.00 Sorting, screening, separating or washing machines 8474.20.00 Crushing or grinding machines 8474.31.00 Concrete or mortar</w:t>
      </w:r>
    </w:p>
    <w:p>
      <w:pPr>
        <w:pStyle w:val="Normal"/>
      </w:pPr>
      <w:r>
        <w:t>mixers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8474.32.00</w:t>
            </w:r>
          </w:p>
        </w:tc>
        <w:tc>
          <w:tcPr>
            <w:tcW w:w="4679" w:type="dxa"/>
            <w:tcMar>
              <w:top w:w="70" w:type="dxa"/>
              <w:start w:w="110" w:type="dxa"/>
              <w:bottom w:w="70" w:type="dxa"/>
              <w:end w:w="110" w:type="dxa"/>
            </w:tcMar>
            <w:vAlign w:val="center"/>
          </w:tcPr>
          <w:p>
            <w:pPr>
              <w:pStyle w:val="TableText"/>
              <w:jc w:val="left"/>
            </w:pPr>
            <w:r>
              <w:rPr>
                <w:lang w:val="en-US" w:eastAsia="en-US" w:bidi="ar-SA"/>
              </w:rPr>
              <w:t>Machines for mixing mineral substances with bitumen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8474.39.00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8474.80.00</w:t>
            </w:r>
          </w:p>
        </w:tc>
        <w:tc>
          <w:tcPr>
            <w:tcW w:w="4679" w:type="dxa"/>
            <w:tcMar>
              <w:top w:w="70" w:type="dxa"/>
              <w:start w:w="110" w:type="dxa"/>
              <w:bottom w:w="70" w:type="dxa"/>
              <w:end w:w="110" w:type="dxa"/>
            </w:tcMar>
            <w:vAlign w:val="center"/>
          </w:tcPr>
          <w:p>
            <w:pPr>
              <w:pStyle w:val="TableText"/>
              <w:jc w:val="left"/>
            </w:pPr>
            <w:r>
              <w:rPr>
                <w:lang w:val="en-US" w:eastAsia="en-US" w:bidi="ar-SA"/>
              </w:rPr>
              <w:t>Other machinery</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8475.10.00</w:t>
            </w:r>
          </w:p>
        </w:tc>
        <w:tc>
          <w:tcPr>
            <w:tcW w:w="4679" w:type="dxa"/>
            <w:tcMar>
              <w:top w:w="70" w:type="dxa"/>
              <w:start w:w="110" w:type="dxa"/>
              <w:bottom w:w="70" w:type="dxa"/>
              <w:end w:w="110" w:type="dxa"/>
            </w:tcMar>
            <w:vAlign w:val="center"/>
          </w:tcPr>
          <w:p>
            <w:pPr>
              <w:pStyle w:val="TableText"/>
              <w:jc w:val="left"/>
            </w:pPr>
            <w:r>
              <w:rPr>
                <w:lang w:val="en-US" w:eastAsia="en-US" w:bidi="ar-SA"/>
              </w:rPr>
              <w:t>Machines for assembling electric or electronic lamps, tubes or valves or flash-bulbs, in glass envelopes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8475.21.00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Machines for making optical fibres and preforms thereof</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8475.29.00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8476.21.10</w:t>
            </w:r>
          </w:p>
        </w:tc>
        <w:tc>
          <w:tcPr>
            <w:tcW w:w="4679" w:type="dxa"/>
            <w:tcMar>
              <w:top w:w="70" w:type="dxa"/>
              <w:start w:w="110" w:type="dxa"/>
              <w:bottom w:w="70" w:type="dxa"/>
              <w:end w:w="110" w:type="dxa"/>
            </w:tcMar>
            <w:vAlign w:val="center"/>
          </w:tcPr>
          <w:p>
            <w:pPr>
              <w:pStyle w:val="TableText"/>
              <w:jc w:val="left"/>
            </w:pPr>
            <w:r>
              <w:rPr>
                <w:lang w:val="en-US" w:eastAsia="en-US" w:bidi="ar-SA"/>
              </w:rPr>
              <w:t>For vending in-cup hot beverages, with no more than three selections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8476.21.90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8476.29.00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8476.81.10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vending French fried potatoes or chicken nuggets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8476.81.90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8476.89.10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dispensing tampons or sanitary napkins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8476.89.90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8476.90.00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8477.10.00</w:t>
            </w:r>
          </w:p>
        </w:tc>
        <w:tc>
          <w:tcPr>
            <w:tcW w:w="4679" w:type="dxa"/>
            <w:tcMar>
              <w:top w:w="70" w:type="dxa"/>
              <w:start w:w="110" w:type="dxa"/>
              <w:bottom w:w="70" w:type="dxa"/>
              <w:end w:w="110" w:type="dxa"/>
            </w:tcMar>
            <w:vAlign w:val="center"/>
          </w:tcPr>
          <w:p>
            <w:pPr>
              <w:pStyle w:val="TableText"/>
              <w:jc w:val="left"/>
            </w:pPr>
            <w:r>
              <w:rPr>
                <w:lang w:val="en-US" w:eastAsia="en-US" w:bidi="ar-SA"/>
              </w:rPr>
              <w:t>Injection-moulding machines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8477.20.00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Extruders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8477.30.00</w:t>
            </w:r>
          </w:p>
        </w:tc>
        <w:tc>
          <w:tcPr>
            <w:tcW w:w="4679" w:type="dxa"/>
            <w:tcMar>
              <w:top w:w="70" w:type="dxa"/>
              <w:start w:w="110" w:type="dxa"/>
              <w:bottom w:w="70" w:type="dxa"/>
              <w:end w:w="110" w:type="dxa"/>
            </w:tcMar>
            <w:vAlign w:val="center"/>
          </w:tcPr>
          <w:p>
            <w:pPr>
              <w:pStyle w:val="TableText"/>
              <w:jc w:val="left"/>
            </w:pPr>
            <w:r>
              <w:rPr>
                <w:lang w:val="en-US" w:eastAsia="en-US" w:bidi="ar-SA"/>
              </w:rPr>
              <w:t>Blow moulding machines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8477.40.00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Vacuum moulding machines and other thermoforming machines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8477.51.00</w:t>
            </w:r>
          </w:p>
        </w:tc>
        <w:tc>
          <w:tcPr>
            <w:tcW w:w="4679" w:type="dxa"/>
            <w:tcMar>
              <w:top w:w="70" w:type="dxa"/>
              <w:start w:w="110" w:type="dxa"/>
              <w:bottom w:w="70" w:type="dxa"/>
              <w:end w:w="110" w:type="dxa"/>
            </w:tcMar>
            <w:vAlign w:val="center"/>
          </w:tcPr>
          <w:p>
            <w:pPr>
              <w:pStyle w:val="TableText"/>
              <w:jc w:val="left"/>
            </w:pPr>
            <w:r>
              <w:rPr>
                <w:lang w:val="en-US" w:eastAsia="en-US" w:bidi="ar-SA"/>
              </w:rPr>
              <w:t>For moulding or retreading pneumatic tires or for moulding or otherwise forming inner tubes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8477.59.00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8477.80.10</w:t>
            </w:r>
          </w:p>
        </w:tc>
        <w:tc>
          <w:tcPr>
            <w:tcW w:w="4679" w:type="dxa"/>
            <w:tcMar>
              <w:top w:w="70" w:type="dxa"/>
              <w:start w:w="110" w:type="dxa"/>
              <w:bottom w:w="70" w:type="dxa"/>
              <w:end w:w="110" w:type="dxa"/>
            </w:tcMar>
            <w:vAlign w:val="center"/>
          </w:tcPr>
          <w:p>
            <w:pPr>
              <w:pStyle w:val="TableText"/>
              <w:jc w:val="left"/>
            </w:pPr>
            <w:r>
              <w:rPr>
                <w:lang w:val="en-US" w:eastAsia="en-US" w:bidi="ar-SA"/>
              </w:rPr>
              <w:t>For tire or tube manufacturing machines; Thermokinetic mixers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8477.80.91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For blending plastics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8477.80.99</w:t>
            </w:r>
          </w:p>
        </w:tc>
        <w:tc>
          <w:tcPr>
            <w:tcW w:w="4679" w:type="dxa"/>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8477.90.10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Base, bed, platen, clamp cylinder, ram and injection castings, weldments and fabrications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8477.90.20</w:t>
            </w:r>
          </w:p>
        </w:tc>
        <w:tc>
          <w:tcPr>
            <w:tcW w:w="4679" w:type="dxa"/>
            <w:tcMar>
              <w:top w:w="70" w:type="dxa"/>
              <w:start w:w="110" w:type="dxa"/>
              <w:bottom w:w="70" w:type="dxa"/>
              <w:end w:w="110" w:type="dxa"/>
            </w:tcMar>
            <w:vAlign w:val="center"/>
          </w:tcPr>
          <w:p>
            <w:pPr>
              <w:pStyle w:val="TableText"/>
              <w:jc w:val="left"/>
            </w:pPr>
            <w:r>
              <w:rPr>
                <w:lang w:val="en-US" w:eastAsia="en-US" w:bidi="ar-SA"/>
              </w:rPr>
              <w:t>Barrel screws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8477.90.30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Hydraulic assemblies consisting of at least two of the following: manifold, valves, pump or oil cooler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8477.90.90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8478.10.00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Machinery</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8478.90.00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8479.10.00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Machinery for public works, building or the like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8479.20.00</w:t>
            </w:r>
          </w:p>
        </w:tc>
        <w:tc>
          <w:tcPr>
            <w:tcW w:w="4679" w:type="dxa"/>
            <w:tcMar>
              <w:top w:w="70" w:type="dxa"/>
              <w:start w:w="110" w:type="dxa"/>
              <w:bottom w:w="70" w:type="dxa"/>
              <w:end w:w="110" w:type="dxa"/>
            </w:tcMar>
            <w:vAlign w:val="center"/>
          </w:tcPr>
          <w:p>
            <w:pPr>
              <w:pStyle w:val="TableText"/>
              <w:jc w:val="left"/>
            </w:pPr>
            <w:r>
              <w:rPr>
                <w:lang w:val="en-US" w:eastAsia="en-US" w:bidi="ar-SA"/>
              </w:rPr>
              <w:t>Machinery for the extraction or preparation of animal or fixed vegetable fats or</w:t>
            </w:r>
          </w:p>
        </w:tc>
      </w:tr>
    </w:tbl>
    <w:p>
      <w:pPr>
        <w:pStyle w:val="Normal"/>
      </w:pPr>
      <w:r>
        <w:t>oils 8479.30.00 Presses for the manufacture of particle board or fibre building board of wood or other ligneous materials and other machinery for treating wood or cork 8479.40.00 Rope or cable-making machines 8479.50.00 Industrial robots, not elsewhere specified or included 8479.60.00 Evaporative air coolers 8479.71.00 Of a kind used in airports 8479.79.00 Other 8479.81.00 For treating metal, including electric wire coil-winders 8479.82.00 Mixing, kneading, crushing, grinding, screening, sifting, homogenizing, emulsifying or stirring machines 8479.89.10 Aircraft ground use continuous flow jet engine start units; Artificial fog or smoke generators; Automatic loaders for small arms ammunition; Automotive relay assembly lines; Box dumpers for use with fresh fruit or fresh vegetables; Cathode assembly systems; Coating plant with thermal waste gas purification plant; Coin control devices, of iron or steel, for apparatus, other than telephones, which vends merchandise, services or tickets; Condenser tube cleaning systems; Double-sided printed circuit board coating systems; Dry solder mask processing lines for printed circuit board production;</w:t>
      </w:r>
    </w:p>
    <w:p>
      <w:pPr>
        <w:pStyle w:val="Normal"/>
      </w:pPr>
      <w:r>
        <w:t>Fishing tools or well fracturing machines and appliances to be employed in the exploration, discovery, development, maintenance, testing, depletion or production of oil or natural gas wells or for use in drilling machinery to be employed in the exploration, discovery, development or operation of potash or rock salt deposits; Horizontal solder</w:t>
      </w:r>
    </w:p>
    <w:p>
      <w:pPr>
        <w:pStyle w:val="Normal"/>
      </w:pPr>
      <w:r>
        <w:t>levelling systems for printed circuit board production; Initial fluid filling machines for automobiles; Laboratory jet dyeing machines; Liquid solder mask coater processing lines for printed circuit board production; Low volume needle or taper nozzle fluid dispensers; 8479.89.20 Carpet sweepers; Electric motor driven household air humidifiers or air dehumidifiers, excluding appliances of heading 84.15 or 84.24; Munition cartridge loaders, excluding shot shell cartridge loaders and automatic loaders for small arms ammunition 8479.89.30 Machinery to be employed in the manufacture of fertilizers from fish or fish waste; Mechanical devices for the control of the composition of sterilizing or cleaning solutions used in the food or beverage industries or in hospitals 8479.89.41 Trash compactors: Industrial solid waste compactors; Waste or refuse compactors, electrically powered, utilized on aircraft, trains, ships or buses, capable of crushing bottles and other in-transit waste 8479.89.49 Trash compactors: Other 8479.89.90 Other 8479.90.11 Of the goods of tariff item No. 8479.89.41 or 8479.89.49: Frame assemblies incorporating at least two of the following: baseplate, side frames, power screws or front plates 8479.90.12 Of the goods of tariff item No. 8479.89.41 or 8479.89.49: Ram assemblies incorporating a ram wrapper or ram cover 8479.90.13 Of the goods of tariff item No.</w:t>
      </w:r>
    </w:p>
    <w:p>
      <w:pPr>
        <w:pStyle w:val="Normal"/>
      </w:pPr>
      <w:r>
        <w:t>8479.89.41 or 8479.89.49: Container assemblies incorporating at least two of the following: container bottom, container wrapper, slide track or container front 8479.90.14 Of the goods of tariff item No. 8479.89.41 or 8479.89.49: Cabinets or cases 8479.90.19 Of the goods of tariff item No. 8479.89.41 or 8479.89.49: Other 8479.90.90 Other 8480.10.00 Moulding boxes for metal foundry 8480.20.00 Mould bases 8480.30.00 Moulding patterns 8480.41.00 Injection or compression types 8480.49.00 Other 8480.50.00 Moulds for glass 8480.60.00 Moulds for mineral materials 8480.71.00 Injection or compression types 8480.79.00 Other 8481.10.00 Pressure-reducing valves 8481.20.00 Valves for oleohydraulic or pneumatic transmissions 8481.30.00 Check (nonreturn) valves 8481.40.00 Safety or relief valves 8481.80.00 Other appliances 8481.90.00 Parts 8482.10.00 Ball bearings 8482.20.00 Tapered roller bearings, including cone and tapered roller assemblies 8482.30.00 Spherical roller bearings 8482.40.00 Needle roller bearings 8482.50.00 Other cylindrical roller bearings 8482.80.00 Other, including combined ball/roller bearings 8482.91.00 Balls, needles and rollers 8482.99.11 Inner or outer races or rings: For the goods of tariff item No.</w:t>
      </w:r>
    </w:p>
    <w:p>
      <w:pPr>
        <w:pStyle w:val="Normal"/>
      </w:pPr>
      <w:r>
        <w:t>8482.10.00 or 8482.20.00 8482.99.19 Inner or outer races or rings:</w:t>
      </w:r>
    </w:p>
    <w:p>
      <w:pPr>
        <w:pStyle w:val="Normal"/>
      </w:pPr>
      <w:r>
        <w:t>Other 8482.99.90 Other 8483.10.00 Transmission shafts (including cam shafts and crank shafts) and cranks 8483.20.00 Bearing housings, incorporating ball or roller bearings 8483.30.00 Bearing housings, not incorporating ball or roller bearings; plain shaft bearings 8483.40.00 Gears and gearing, other than toothed wheels, chain sprockets and other transmission elements presented separately; ball or roller screws; gear boxes and other speed changers, including torque converters 8483.50.00 Flywheels and pulleys, including pulley blocks 8483.60.00 Clutches and shaft couplings (including universal joints) 8483.90.00 Toothed wheels, chain sprockets and other transmission elements presented separately; parts 8484.10.00 Gaskets and similar joints of metal sheeting combined with other material or of two or more layers of metal 8484.20.00 Mechanical seals 8484.90.00 Other 8486.10.00 Machines and apparatus for the manufacture of boules or wafers 8486.20.00 Machines and apparatus for the manufacture of semiconductor devices or of electronic integrated circuits 8486.30.00 Machines and apparatus for the manufacture of flat panel displays 8486.40.00 Machines and apparatus specified in Note 9 (C) to this Chapter 8486.90.00 Parts and accessories 8487.10.00 Ships’ or boats’ propellers and blades therefor 8487.90.00 Other 8501.10.00 Motors of an output not exceeding 37.5 W 8501.20.00 Universal AC/DC motors of an output</w:t>
      </w:r>
    </w:p>
    <w:p>
      <w:pPr>
        <w:pStyle w:val="Normal"/>
      </w:pPr>
      <w:r>
        <w:t>exceeding 37.5 W 8501.31.00 Of an output not exceeding 750 W 8501.32.10 Actuators; Brushless geared shaft motors for use in electrical hand tools; Gear motors for use in the manufacture of machinery or equipment; Motors for use in the manufacture of lifts (elevators);</w:t>
      </w:r>
    </w:p>
    <w:p>
      <w:pPr>
        <w:pStyle w:val="Normal"/>
      </w:pPr>
      <w:r>
        <w:t>Motors of a voltage of 20 V or more but not exceeding 75 V, for use in the manufacture of fork-lift trucks 8501.32.20 Motors for use as the primary source of mechanical power for electric powered vehicles of subheading 8703.80 or 8703.90 8501.32.90 Other 8501.33.00 Of an output exceeding 75 kW but not exceeding 375 kW 8501.34.00 Of an output exceeding 375 kW 8501.40.00 Other AC motors, single-phase 8501.51.00 Of an output not exceeding 750 W 8501.52.00 Of an output exceeding 750 W but not exceeding 75 kW 8501.53.00 Of an output exceeding 75 kW 8501.61.00 Of an output not exceeding 75 kVA 8501.62.00 Of an output exceeding 75 kVA but not exceeding 375 kVA 8501.63.00 Of an output exceeding 375 kVA but not exceeding 750 kVA 8501.64.00 Of an output exceeding 750 kVA 8502.11.00 Of an output not exceeding 75 kVA 8502.12.00 Of an output exceeding 75 kVA but not exceeding 375 kVA 8502.13.00 Of an output exceeding 375 kVA 8502.20.00 Generating sets with spark-ignition internal combustion piston engines 8502.31.00 Wind-powered 8502.39.10 The following, excluding 400 Hz frequency changers:</w:t>
      </w:r>
    </w:p>
    <w:p>
      <w:pPr>
        <w:pStyle w:val="Normal"/>
      </w:pPr>
      <w:r>
        <w:t>Gas turbine-driven, excluding aero-derivative generator sets with a range of 40 to 50 MW; Hydraulic turbine-driven; Steam</w:t>
      </w:r>
    </w:p>
    <w:p>
      <w:pPr>
        <w:pStyle w:val="Normal"/>
      </w:pPr>
      <w:r>
        <w:t>turbine-driven, excluding generator sets of an output exceeding 60 MW;</w:t>
      </w:r>
    </w:p>
    <w:p>
      <w:pPr>
        <w:pStyle w:val="Normal"/>
      </w:pPr>
      <w:r>
        <w:t>Thermo-electric DC 8502.39.90 Other 8502.40.00 Electric rotary converters 8503.00.10 Stators and rotors of the machines of heading 85.01 8503.00.90 Other 8504.10.00 Ballasts for discharge lamps or tubes 8504.21.00 Having a power handling capacity not exceeding 650 kVA 8504.22.00 Having a power handling capacity exceeding 650 kVA but not exceeding 10,000 kVA 8504.23.00 Having a power handling capacity exceeding 10,000 kVA 8504.31.00 Having a power handling capacity not exceeding 1 kVA 8504.32.00 Having a power handling capacity exceeding 1 kVA but not exceeding 16 kVA 8504.33.00 Having a power handling capacity exceeding 16 kVA but not exceeding 500 kVA 8504.34.00 Having a power handling capacity exceeding 500 kVA 8504.40.10 Commercial battery chargers, excluding those for charging batteries used in miners’ safety lamps and those for use in the manufacture of railway or tramway passenger vehicles 8504.40.20 Power supplies for use with surgical, dental, veterinary or diagnostic instruments 8504.40.30 Power supplies for the automatic data processing machines of heading 84.71 8504.40.40 Speed drive controllers for electric motors 8504.40.90 Other 8504.50.00 Other inductors 8504.90.10 Printed circuit assemblies for the goods of subheadings</w:t>
      </w:r>
    </w:p>
    <w:p>
      <w:pPr>
        <w:pStyle w:val="Normal"/>
      </w:pPr>
      <w:r>
        <w:t>8504.40 and 8504.90 8504.90.20 Other parts of power supplies for automatic data processing machines of heading 84.71 8504.90.90 Other 8505.11.00 Of metal 8505.19.00 Other</w:t>
      </w:r>
    </w:p>
    <w:p>
      <w:pPr>
        <w:pStyle w:val="Normal"/>
      </w:pPr>
      <w:r>
        <w:t>8505.20.00 Electro-magnetic couplings, clutches and brakes 8505.90.00 Other, including parts 8506.10.10 Alkaline cells having welded connectors or designed to receive welded connectors, for use in electronic lock systems or in components thereof; Primary batteries, 9 V, for use in the manufacture of smoke detectors 8506.10.90 Other 8506.30.00 Mercuric oxide 8506.40.00 Silver oxide 8506.50.10 Cells having welded connectors or designed to receive welded connectors, for use in electronic lock systems or in components thereof 8506.50.90 Other 8506.60.00 Air-zinc 8506.80.10 For use in the manufacture of smoke detectors 8506.80.90 Other 8506.90.00 Parts 8507.10.00 Lead-acid, of a kind used for starting piston engines 8507.20.10 For use as the primary source of electrical power for electrically- powered vehicles of subheading 8703.80 or 8703.90; For use in the initial installation of smoke, fire or gas detection and alarm systems manufactured in Canada, including power supply panels and modules for those systems 8507.20.90 Other 8507.30.10 Cells having welded connectors or designed to receive welded connectors, for use in electronic lock systems or in components thereof;</w:t>
      </w:r>
    </w:p>
    <w:p>
      <w:pPr>
        <w:pStyle w:val="Normal"/>
      </w:pPr>
      <w:r>
        <w:t>For use in miners’ safety lamps 8507.30.20 For use as the primary source of electrical power for electrically- powered vehicles of subheading 8703.80 or 8703.90 8507.30.90 Other 8507.40.10 For use as the primary source of electrical power for electrically- powered vehicles of subheading 8703.80 or 8703.90</w:t>
      </w:r>
    </w:p>
    <w:p>
      <w:pPr>
        <w:pStyle w:val="Normal"/>
      </w:pPr>
      <w:r>
        <w:t>8507.40.90 Other 8507.50.10 For use as the primary source of electrical power for electrically- powered vehicles of subheading 8703.80 or 8703.90 8507.50.90 Other 8507.60.10 For use as the primary source of electrical power for electrically- powered vehicles of subheading 8703.80 or 8703.90 8507.60.20 For use as the primary source of electrical power for electrically- powered motorcycles of subheading 8711.60 or 8711.90 8507.60.90 Other 8507.80.10 Alkaline or lithium cells having welded connectors or designed to receive welded connectors, for use in electronic lock systems or in components thereof; Low discharge types, for use in the manufacture, maintenance or repair of buoys or beacons for the Government of Canada 8507.80.20 For use as the primary source of electrical power for electrically- powered vehicles of subheading 8703.80 or 8703.90 8507.80.90 Other 8507.90.00 Parts 8508.11.00 Of a power not exceeding 1,500 W and having a dust bag or other receptacle capacity not exceeding 20 litres 8508.19.00 Other 8508.60.00 Other vacuum cleaners 8508.70.10 Of vacuum cleaners of subheading 8508.19 8508.70.90 Other 8509.40.10 Grape crushers for domestic purposes 8509.40.90 Other 8509.80.10 Ultrasonic vaporizers 8509.80.90 Other 8509.90.20 For use in the manufacture of the goods of this heading; Of the goods of tariff item No.</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8509.40.90</w:t>
            </w:r>
          </w:p>
        </w:tc>
        <w:tc>
          <w:tcPr>
            <w:tcW w:w="4679" w:type="dxa"/>
            <w:tcMar>
              <w:top w:w="70" w:type="dxa"/>
              <w:start w:w="110" w:type="dxa"/>
              <w:bottom w:w="70" w:type="dxa"/>
              <w:end w:w="110" w:type="dxa"/>
            </w:tcMar>
            <w:vAlign w:val="center"/>
          </w:tcPr>
          <w:p>
            <w:pPr>
              <w:pStyle w:val="TableText"/>
              <w:jc w:val="left"/>
            </w:pPr>
            <w:r>
              <w:rPr>
                <w:lang w:val="en-US" w:eastAsia="en-US" w:bidi="ar-SA"/>
              </w:rPr>
              <w:t>or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8509.80.90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8509.90.90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8510.10.00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Shavers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8510.20.10</w:t>
            </w:r>
          </w:p>
        </w:tc>
        <w:tc>
          <w:tcPr>
            <w:tcW w:w="4679" w:type="dxa"/>
            <w:tcMar>
              <w:top w:w="70" w:type="dxa"/>
              <w:start w:w="110" w:type="dxa"/>
              <w:bottom w:w="70" w:type="dxa"/>
              <w:end w:w="110" w:type="dxa"/>
            </w:tcMar>
            <w:vAlign w:val="center"/>
          </w:tcPr>
          <w:p>
            <w:pPr>
              <w:pStyle w:val="TableText"/>
              <w:jc w:val="left"/>
            </w:pPr>
            <w:r>
              <w:rPr>
                <w:lang w:val="en-US" w:eastAsia="en-US" w:bidi="ar-SA"/>
              </w:rPr>
              <w:t>For cutting pet hair; Alternating current-powered, for cutting human hair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8510.20.90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8510.30.00</w:t>
            </w:r>
          </w:p>
        </w:tc>
        <w:tc>
          <w:tcPr>
            <w:tcW w:w="4679" w:type="dxa"/>
            <w:tcMar>
              <w:top w:w="70" w:type="dxa"/>
              <w:start w:w="110" w:type="dxa"/>
              <w:bottom w:w="70" w:type="dxa"/>
              <w:end w:w="110" w:type="dxa"/>
            </w:tcMar>
            <w:vAlign w:val="center"/>
          </w:tcPr>
          <w:p>
            <w:pPr>
              <w:pStyle w:val="TableText"/>
              <w:jc w:val="left"/>
            </w:pPr>
            <w:r>
              <w:rPr>
                <w:lang w:val="en-US" w:eastAsia="en-US" w:bidi="ar-SA"/>
              </w:rPr>
              <w:t>Hair-removing appliances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8510.90.00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8511.10.00</w:t>
            </w:r>
          </w:p>
        </w:tc>
        <w:tc>
          <w:tcPr>
            <w:tcW w:w="4679" w:type="dxa"/>
            <w:tcMar>
              <w:top w:w="70" w:type="dxa"/>
              <w:start w:w="110" w:type="dxa"/>
              <w:bottom w:w="70" w:type="dxa"/>
              <w:end w:w="110" w:type="dxa"/>
            </w:tcMar>
            <w:vAlign w:val="center"/>
          </w:tcPr>
          <w:p>
            <w:pPr>
              <w:pStyle w:val="TableText"/>
              <w:jc w:val="left"/>
            </w:pPr>
            <w:r>
              <w:rPr>
                <w:lang w:val="en-US" w:eastAsia="en-US" w:bidi="ar-SA"/>
              </w:rPr>
              <w:t>Sparking plugs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Ignition magnetos; magneto-dynamos; magnetic flywheels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8511.30.00</w:t>
            </w:r>
          </w:p>
        </w:tc>
        <w:tc>
          <w:tcPr>
            <w:tcW w:w="4679" w:type="dxa"/>
            <w:tcMar>
              <w:top w:w="70" w:type="dxa"/>
              <w:start w:w="110" w:type="dxa"/>
              <w:bottom w:w="70" w:type="dxa"/>
              <w:end w:w="110" w:type="dxa"/>
            </w:tcMar>
            <w:vAlign w:val="center"/>
          </w:tcPr>
          <w:p>
            <w:pPr>
              <w:pStyle w:val="TableText"/>
              <w:jc w:val="left"/>
            </w:pPr>
            <w:r>
              <w:rPr>
                <w:lang w:val="en-US" w:eastAsia="en-US" w:bidi="ar-SA"/>
              </w:rPr>
              <w:t>Distributors; ignition coils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8511.40.00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Starter motors and dual purpose starter-generators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8511.50.00</w:t>
            </w:r>
          </w:p>
        </w:tc>
        <w:tc>
          <w:tcPr>
            <w:tcW w:w="4679" w:type="dxa"/>
            <w:tcMar>
              <w:top w:w="70" w:type="dxa"/>
              <w:start w:w="110" w:type="dxa"/>
              <w:bottom w:w="70" w:type="dxa"/>
              <w:end w:w="110" w:type="dxa"/>
            </w:tcMar>
            <w:vAlign w:val="center"/>
          </w:tcPr>
          <w:p>
            <w:pPr>
              <w:pStyle w:val="TableText"/>
              <w:jc w:val="left"/>
            </w:pPr>
            <w:r>
              <w:rPr>
                <w:lang w:val="en-US" w:eastAsia="en-US" w:bidi="ar-SA"/>
              </w:rPr>
              <w:t>Other generators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8511.80.00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equipment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8511.90.00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Lighting or visual signalling equipment of a kind used on bicycles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8512.20.00</w:t>
            </w:r>
          </w:p>
        </w:tc>
        <w:tc>
          <w:tcPr>
            <w:tcW w:w="4679" w:type="dxa"/>
            <w:tcMar>
              <w:top w:w="70" w:type="dxa"/>
              <w:start w:w="110" w:type="dxa"/>
              <w:bottom w:w="70" w:type="dxa"/>
              <w:end w:w="110" w:type="dxa"/>
            </w:tcMar>
            <w:vAlign w:val="center"/>
          </w:tcPr>
          <w:p>
            <w:pPr>
              <w:pStyle w:val="TableText"/>
              <w:jc w:val="left"/>
            </w:pPr>
            <w:r>
              <w:rPr>
                <w:lang w:val="en-US" w:eastAsia="en-US" w:bidi="ar-SA"/>
              </w:rPr>
              <w:t>Other lighting or visual signalling equipment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8512.30.10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Bells or buzzers for use in the repair of logging trucks, or in the manufacture of such parts; For use in the manufacture of detectors for propane or other toxic fumes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8512.30.90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8512.40.00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Windscreen wipers, defrosters and demisters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8512.90.00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8513.10.10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Flashlights; Miners’ safety lamps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8513.10.90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8513.90.10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flashlights and miners’ safety lamps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8513.90.90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8514.10.00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Resistance heated furnaces and ovens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8514.20.00</w:t>
            </w:r>
          </w:p>
        </w:tc>
        <w:tc>
          <w:tcPr>
            <w:tcW w:w="4679" w:type="dxa"/>
            <w:tcMar>
              <w:top w:w="70" w:type="dxa"/>
              <w:start w:w="110" w:type="dxa"/>
              <w:bottom w:w="70" w:type="dxa"/>
              <w:end w:w="110" w:type="dxa"/>
            </w:tcMar>
            <w:vAlign w:val="center"/>
          </w:tcPr>
          <w:p>
            <w:pPr>
              <w:pStyle w:val="TableText"/>
              <w:jc w:val="left"/>
            </w:pPr>
            <w:r>
              <w:rPr>
                <w:lang w:val="en-US" w:eastAsia="en-US" w:bidi="ar-SA"/>
              </w:rPr>
              <w:t>Furnaces and ovens functioning by induction or dielectric loss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furnaces and ovens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8514.40.00</w:t>
            </w:r>
          </w:p>
        </w:tc>
        <w:tc>
          <w:tcPr>
            <w:tcW w:w="4679" w:type="dxa"/>
            <w:tcMar>
              <w:top w:w="70" w:type="dxa"/>
              <w:start w:w="110" w:type="dxa"/>
              <w:bottom w:w="70" w:type="dxa"/>
              <w:end w:w="110" w:type="dxa"/>
            </w:tcMar>
            <w:vAlign w:val="center"/>
          </w:tcPr>
          <w:p>
            <w:pPr>
              <w:pStyle w:val="TableText"/>
              <w:jc w:val="left"/>
            </w:pPr>
            <w:r>
              <w:rPr>
                <w:lang w:val="en-US" w:eastAsia="en-US" w:bidi="ar-SA"/>
              </w:rPr>
              <w:t>Other equipment for the heat treatment of materials by induction or dielectric loss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8515.11.00</w:t>
            </w:r>
          </w:p>
        </w:tc>
        <w:tc>
          <w:tcPr>
            <w:tcW w:w="4679" w:type="dxa"/>
            <w:tcMar>
              <w:top w:w="70" w:type="dxa"/>
              <w:start w:w="110" w:type="dxa"/>
              <w:bottom w:w="70" w:type="dxa"/>
              <w:end w:w="110" w:type="dxa"/>
            </w:tcMar>
            <w:vAlign w:val="center"/>
          </w:tcPr>
          <w:p>
            <w:pPr>
              <w:pStyle w:val="TableText"/>
              <w:jc w:val="left"/>
            </w:pPr>
            <w:r>
              <w:rPr>
                <w:lang w:val="en-US" w:eastAsia="en-US" w:bidi="ar-SA"/>
              </w:rPr>
              <w:t>Soldering irons and guns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8515.19.00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8515.21.00</w:t>
            </w:r>
          </w:p>
        </w:tc>
        <w:tc>
          <w:tcPr>
            <w:tcW w:w="4679" w:type="dxa"/>
            <w:tcMar>
              <w:top w:w="70" w:type="dxa"/>
              <w:start w:w="110" w:type="dxa"/>
              <w:bottom w:w="70" w:type="dxa"/>
              <w:end w:w="110" w:type="dxa"/>
            </w:tcMar>
            <w:vAlign w:val="center"/>
          </w:tcPr>
          <w:p>
            <w:pPr>
              <w:pStyle w:val="TableText"/>
              <w:jc w:val="left"/>
            </w:pPr>
            <w:r>
              <w:rPr>
                <w:lang w:val="en-US" w:eastAsia="en-US" w:bidi="ar-SA"/>
              </w:rPr>
              <w:t>Fully or partly automatic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8515.29.00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8515.31.00</w:t>
            </w:r>
          </w:p>
        </w:tc>
        <w:tc>
          <w:tcPr>
            <w:tcW w:w="4679" w:type="dxa"/>
            <w:tcMar>
              <w:top w:w="70" w:type="dxa"/>
              <w:start w:w="110" w:type="dxa"/>
              <w:bottom w:w="70" w:type="dxa"/>
              <w:end w:w="110" w:type="dxa"/>
            </w:tcMar>
            <w:vAlign w:val="center"/>
          </w:tcPr>
          <w:p>
            <w:pPr>
              <w:pStyle w:val="TableText"/>
              <w:jc w:val="left"/>
            </w:pPr>
            <w:r>
              <w:rPr>
                <w:lang w:val="en-US" w:eastAsia="en-US" w:bidi="ar-SA"/>
              </w:rPr>
              <w:t>Fully or partly automatic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8515.39.00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8515.80.00</w:t>
            </w:r>
          </w:p>
        </w:tc>
        <w:tc>
          <w:tcPr>
            <w:tcW w:w="4679" w:type="dxa"/>
            <w:tcMar>
              <w:top w:w="70" w:type="dxa"/>
              <w:start w:w="110" w:type="dxa"/>
              <w:bottom w:w="70" w:type="dxa"/>
              <w:end w:w="110" w:type="dxa"/>
            </w:tcMar>
            <w:vAlign w:val="center"/>
          </w:tcPr>
          <w:p>
            <w:pPr>
              <w:pStyle w:val="TableText"/>
              <w:jc w:val="left"/>
            </w:pPr>
            <w:r>
              <w:rPr>
                <w:lang w:val="en-US" w:eastAsia="en-US" w:bidi="ar-SA"/>
              </w:rPr>
              <w:t>Other machines and apparatus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r>
          </w:p>
        </w:tc>
      </w:tr>
    </w:tbl>
    <w:p>
      <w:pPr>
        <w:pStyle w:val="Normal"/>
      </w:pPr>
      <w:r>
        <w:t>Parts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8516.10.10</w:t>
            </w:r>
          </w:p>
        </w:tc>
        <w:tc>
          <w:tcPr>
            <w:tcW w:w="4679" w:type="dxa"/>
            <w:tcMar>
              <w:top w:w="70" w:type="dxa"/>
              <w:start w:w="110" w:type="dxa"/>
              <w:bottom w:w="70" w:type="dxa"/>
              <w:end w:w="110" w:type="dxa"/>
            </w:tcMar>
            <w:vAlign w:val="center"/>
          </w:tcPr>
          <w:p>
            <w:pPr>
              <w:pStyle w:val="TableText"/>
              <w:jc w:val="left"/>
            </w:pPr>
            <w:r>
              <w:rPr>
                <w:lang w:val="en-US" w:eastAsia="en-US" w:bidi="ar-SA"/>
              </w:rPr>
              <w:t>Immersion heaters for photographic solutions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8516.10.20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Immersion heaters for use in motor vehicles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Storage heating radiators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8516.29.00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8516.31.00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Hair dryers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8516.32.10</w:t>
            </w:r>
          </w:p>
        </w:tc>
        <w:tc>
          <w:tcPr>
            <w:tcW w:w="4679" w:type="dxa"/>
            <w:tcMar>
              <w:top w:w="70" w:type="dxa"/>
              <w:start w:w="110" w:type="dxa"/>
              <w:bottom w:w="70" w:type="dxa"/>
              <w:end w:w="110" w:type="dxa"/>
            </w:tcMar>
            <w:vAlign w:val="center"/>
          </w:tcPr>
          <w:p>
            <w:pPr>
              <w:pStyle w:val="TableText"/>
              <w:jc w:val="left"/>
            </w:pPr>
            <w:r>
              <w:rPr>
                <w:lang w:val="en-US" w:eastAsia="en-US" w:bidi="ar-SA"/>
              </w:rPr>
              <w:t>Curling irons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8516.32.90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8516.33.10</w:t>
            </w:r>
          </w:p>
        </w:tc>
        <w:tc>
          <w:tcPr>
            <w:tcW w:w="4679" w:type="dxa"/>
            <w:tcMar>
              <w:top w:w="70" w:type="dxa"/>
              <w:start w:w="110" w:type="dxa"/>
              <w:bottom w:w="70" w:type="dxa"/>
              <w:end w:w="110" w:type="dxa"/>
            </w:tcMar>
            <w:vAlign w:val="center"/>
          </w:tcPr>
          <w:p>
            <w:pPr>
              <w:pStyle w:val="TableText"/>
              <w:jc w:val="left"/>
            </w:pPr>
            <w:r>
              <w:rPr>
                <w:lang w:val="en-US" w:eastAsia="en-US" w:bidi="ar-SA"/>
              </w:rPr>
              <w:t>Wall mounted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8516.33.90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8516.40.00</w:t>
            </w:r>
          </w:p>
        </w:tc>
        <w:tc>
          <w:tcPr>
            <w:tcW w:w="4679" w:type="dxa"/>
            <w:tcMar>
              <w:top w:w="70" w:type="dxa"/>
              <w:start w:w="110" w:type="dxa"/>
              <w:bottom w:w="70" w:type="dxa"/>
              <w:end w:w="110" w:type="dxa"/>
            </w:tcMar>
            <w:vAlign w:val="center"/>
          </w:tcPr>
          <w:p>
            <w:pPr>
              <w:pStyle w:val="TableText"/>
              <w:jc w:val="left"/>
            </w:pPr>
            <w:r>
              <w:rPr>
                <w:lang w:val="en-US" w:eastAsia="en-US" w:bidi="ar-SA"/>
              </w:rPr>
              <w:t>Electric smoothing irons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Microwave ovens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8516.60.10</w:t>
            </w:r>
          </w:p>
        </w:tc>
        <w:tc>
          <w:tcPr>
            <w:tcW w:w="4679" w:type="dxa"/>
            <w:tcMar>
              <w:top w:w="70" w:type="dxa"/>
              <w:start w:w="110" w:type="dxa"/>
              <w:bottom w:w="70" w:type="dxa"/>
              <w:end w:w="110" w:type="dxa"/>
            </w:tcMar>
            <w:vAlign w:val="center"/>
          </w:tcPr>
          <w:p>
            <w:pPr>
              <w:pStyle w:val="TableText"/>
              <w:jc w:val="left"/>
            </w:pPr>
            <w:r>
              <w:rPr>
                <w:lang w:val="en-US" w:eastAsia="en-US" w:bidi="ar-SA"/>
              </w:rPr>
              <w:t>Bread makers; Indoor smokeless barbecues; Rice cookers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8516.60.20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Ovens, cooking stoves and ranges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8516.60.90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8516.71.10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Coffee makers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8516.71.20</w:t>
            </w:r>
          </w:p>
        </w:tc>
        <w:tc>
          <w:tcPr>
            <w:tcW w:w="4679" w:type="dxa"/>
            <w:tcMar>
              <w:top w:w="70" w:type="dxa"/>
              <w:start w:w="110" w:type="dxa"/>
              <w:bottom w:w="70" w:type="dxa"/>
              <w:end w:w="110" w:type="dxa"/>
            </w:tcMar>
            <w:vAlign w:val="center"/>
          </w:tcPr>
          <w:p>
            <w:pPr>
              <w:pStyle w:val="TableText"/>
              <w:jc w:val="left"/>
            </w:pPr>
            <w:r>
              <w:rPr>
                <w:lang w:val="en-US" w:eastAsia="en-US" w:bidi="ar-SA"/>
              </w:rPr>
              <w:t>Tea makers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8516.72.10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Automatic</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8516.72.90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8516.79.10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Fabric steamers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8516.79.90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Electric heating resistors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8516.90.10</w:t>
            </w:r>
          </w:p>
        </w:tc>
        <w:tc>
          <w:tcPr>
            <w:tcW w:w="4679" w:type="dxa"/>
            <w:tcMar>
              <w:top w:w="70" w:type="dxa"/>
              <w:start w:w="110" w:type="dxa"/>
              <w:bottom w:w="70" w:type="dxa"/>
              <w:end w:w="110" w:type="dxa"/>
            </w:tcMar>
            <w:vAlign w:val="center"/>
          </w:tcPr>
          <w:p>
            <w:pPr>
              <w:pStyle w:val="TableText"/>
              <w:jc w:val="left"/>
            </w:pPr>
            <w:r>
              <w:rPr>
                <w:lang w:val="en-US" w:eastAsia="en-US" w:bidi="ar-SA"/>
              </w:rPr>
              <w:t>Housings for hand-drying apparatus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Housings and steel bases for electric smoothing irons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8516.90.30</w:t>
            </w:r>
          </w:p>
        </w:tc>
        <w:tc>
          <w:tcPr>
            <w:tcW w:w="4679" w:type="dxa"/>
            <w:tcMar>
              <w:top w:w="70" w:type="dxa"/>
              <w:start w:w="110" w:type="dxa"/>
              <w:bottom w:w="70" w:type="dxa"/>
              <w:end w:w="110" w:type="dxa"/>
            </w:tcMar>
            <w:vAlign w:val="center"/>
          </w:tcPr>
          <w:p>
            <w:pPr>
              <w:pStyle w:val="TableText"/>
              <w:jc w:val="left"/>
            </w:pPr>
            <w:r>
              <w:rPr>
                <w:lang w:val="en-US" w:eastAsia="en-US" w:bidi="ar-SA"/>
              </w:rPr>
              <w:t>Assemblies for microwave ovens, incorporating at least two of the following: cooking chamber, space structural supporting chassis, door or outer case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8516.90.40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Printed circuit assemblies for microwave ovens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8516.90.50</w:t>
            </w:r>
          </w:p>
        </w:tc>
        <w:tc>
          <w:tcPr>
            <w:tcW w:w="4679" w:type="dxa"/>
            <w:tcMar>
              <w:top w:w="70" w:type="dxa"/>
              <w:start w:w="110" w:type="dxa"/>
              <w:bottom w:w="70" w:type="dxa"/>
              <w:end w:w="110" w:type="dxa"/>
            </w:tcMar>
            <w:vAlign w:val="center"/>
          </w:tcPr>
          <w:p>
            <w:pPr>
              <w:pStyle w:val="TableText"/>
              <w:jc w:val="left"/>
            </w:pPr>
            <w:r>
              <w:rPr>
                <w:lang w:val="en-US" w:eastAsia="en-US" w:bidi="ar-SA"/>
              </w:rPr>
              <w:t>Cooking chambers, whether or not assembled, for ovens or cookers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8516.90.60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Top surface panels, whether or not with heating elements or controls, for ovens or cookers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8516.90.70</w:t>
            </w:r>
          </w:p>
        </w:tc>
        <w:tc>
          <w:tcPr>
            <w:tcW w:w="4679" w:type="dxa"/>
            <w:tcMar>
              <w:top w:w="70" w:type="dxa"/>
              <w:start w:w="110" w:type="dxa"/>
              <w:bottom w:w="70" w:type="dxa"/>
              <w:end w:w="110" w:type="dxa"/>
            </w:tcMar>
            <w:vAlign w:val="center"/>
          </w:tcPr>
          <w:p>
            <w:pPr>
              <w:pStyle w:val="TableText"/>
              <w:jc w:val="left"/>
            </w:pPr>
            <w:r>
              <w:rPr>
                <w:lang w:val="en-US" w:eastAsia="en-US" w:bidi="ar-SA"/>
              </w:rPr>
              <w:t>Door assemblies, for ovens or cookers, incorporating at least two of the following: inner panel, outer panel, window or insulation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8516.90.81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Housings for toasters: For automatic toasters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8516.90.82</w:t>
            </w:r>
          </w:p>
        </w:tc>
        <w:tc>
          <w:tcPr>
            <w:tcW w:w="4679" w:type="dxa"/>
            <w:tcMar>
              <w:top w:w="70" w:type="dxa"/>
              <w:start w:w="110" w:type="dxa"/>
              <w:bottom w:w="70" w:type="dxa"/>
              <w:end w:w="110" w:type="dxa"/>
            </w:tcMar>
            <w:vAlign w:val="center"/>
          </w:tcPr>
          <w:p>
            <w:pPr>
              <w:pStyle w:val="TableText"/>
              <w:jc w:val="left"/>
            </w:pPr>
            <w:r>
              <w:rPr>
                <w:lang w:val="en-US" w:eastAsia="en-US" w:bidi="ar-SA"/>
              </w:rPr>
              <w:t>Housings for toasters: For other toasters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8516.90.90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8517.11.00</w:t>
            </w:r>
          </w:p>
        </w:tc>
        <w:tc>
          <w:tcPr>
            <w:tcW w:w="4679" w:type="dxa"/>
            <w:tcMar>
              <w:top w:w="70" w:type="dxa"/>
              <w:start w:w="110" w:type="dxa"/>
              <w:bottom w:w="70" w:type="dxa"/>
              <w:end w:w="110" w:type="dxa"/>
            </w:tcMar>
            <w:vAlign w:val="center"/>
          </w:tcPr>
          <w:p>
            <w:pPr>
              <w:pStyle w:val="TableText"/>
              <w:jc w:val="left"/>
            </w:pPr>
            <w:r>
              <w:rPr>
                <w:lang w:val="en-US" w:eastAsia="en-US" w:bidi="ar-SA"/>
              </w:rPr>
              <w:t>Line telephone sets with cordless handsets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8517.12.00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r>
          </w:p>
        </w:tc>
      </w:tr>
    </w:tbl>
    <w:p>
      <w:pPr>
        <w:pStyle w:val="Normal"/>
      </w:pPr>
      <w:r>
        <w:t>Telephones for cellular networks or for other wireless networks 8517.18.00 Other 8517.61.00 Base stations 8517.62.00 Machines for the reception, conversion and transmission or regeneration of voice, images or other data, including switching and routing apparatus 8517.69.10 Facsimile apparatus; Other telephonic or telegraphic apparatus 8517.69.20 Receivers for calling, alerting or paging 8517.69.90 Other 8517.70.00 Parts 8518.10.00 Microphones and stands therefor 8518.21.00 Single loudspeakers, mounted in their enclosures 8518.22.00 Multiple loudspeakers, mounted in the same enclosure 8518.29.10 Compression horn drivers or compression horn tweeters for use in the manufacture of speaker systems 8518.29.20 Loudspeakers, without housings, having a frequency range of 300 Hz to 3.4 KHz and with a diameter not exceeding 50 mm, for telecommunications use 8518.29.90 Other 8518.30.10 Telephone handsets 8518.30.91 Other: Headphones, including earphones, and telephone headsets 8518.30.99 Other: Other 8518.40.10 For line telephony applications 8518.40.90 Other 8518.50.00 Electric sound amplifier sets 8518.90.10 Cone housings, field cases and pole pieces, for speakers with mounting dimensions exceeding 203 mm, cones and cone surrounds, dust covers and spiders, for use in the manufacture of loudspeakers;</w:t>
      </w:r>
    </w:p>
    <w:p>
      <w:pPr>
        <w:pStyle w:val="Normal"/>
      </w:pPr>
      <w:r>
        <w:t>Of compression horn drivers or compression horn tweeters for use in the manufacture of speaker systems; Of loudspeakers, without housings, having a frequency range of 300 Hz to 3.4 KHz and</w:t>
      </w:r>
    </w:p>
    <w:p>
      <w:pPr>
        <w:pStyle w:val="Normal"/>
      </w:pPr>
      <w:r>
        <w:t>with a diameter not exceeding 50 mm, for telecommunications use; Of microphones, stands therefor, and headphones (including earphones) 8518.90.20 Of audio-frequency electric amplifiers for line telephony applications 8518.90.30 Of other audio-frequency electric amplifiers; Of telephone handsets; Other, of loudspeakers 8518.90.90 Other 8519.20.10 Coin- or token-operated record-players 8519.20.90 Other 8519.30.10 With automatic record changing mechanism 8519.30.90 Other 8519.50.00 Telephone answering machines 8519.81.10 Magnetic tape recorders incorporating sound reproducing apparatus 8519.81.21 Other sound reproducing apparatus: Compact disc players; Pocket-size cassette-players; Other, cassette type 8519.81.29 Other sound reproducing apparatus: Other 8519.81.31 Dictating machines not capable of operating without an external source of power and transcribing machines: Using magnetic tape 8519.81.39 Dictating machines not capable of operating without an external source of power and transcribing machines: Other 8519.81.91 Other: For the commercial reproduction or duplication of audio cassette tapes; To be employed in the commercial production of video tape productions, cinematographic films (motion picture films), animated films or multi-image shows 8519.81.99 Other: Other 8519.89.10 Record players; To be employed in the commercial production of video tape productions, cinematographic films (motion picture films), animated films or multi-image shows; Transcribing machines</w:t>
      </w:r>
    </w:p>
    <w:p>
      <w:pPr>
        <w:pStyle w:val="Normal"/>
      </w:pPr>
      <w:r>
        <w:t>8519.89.90 Other 8521.10.00 Magnetic tape-type 8521.90.10 Laser video disc players 8521.90.90 Other 8522.10.00 Pick-up cartridges 8522.90.10 Printed circuit assemblies 8522.90.90 Other 8523.21.10 Cards incorporating an unrecorded magnetic stripe 8523.21.20 Cards incorporating a recorded magnetic stripe 8523.29.10 Unrecorded, of a width not exceeding 4 mm 8523.29.20 Of a musical nature, including recordings of operas, operettas, musical comedies and other recordings having a significant musical content; Recordings of music hall and cabaret numbers, whether musical or not, including monologues and soliloquies and other recordings of a similar entertainment character; Of an advertising character not including radio or television commercials imported for reference purposes only; Video recordings, not including news features or current events 8523.29.90 Other 8523.41.10 Prepared unrecorded media 8523.41.90 Other 8523.49.10 For reproducing phenomena other than sound or image;</w:t>
      </w:r>
    </w:p>
    <w:p>
      <w:pPr>
        <w:pStyle w:val="Normal"/>
      </w:pPr>
      <w:r>
        <w:t>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w:t>
      </w:r>
    </w:p>
    <w:p>
      <w:pPr>
        <w:pStyle w:val="Normal"/>
      </w:pPr>
      <w:r>
        <w:t>international educational, scientific or cultural character; Other software 8523.49.90 Other 8523.51.10 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Prepared unrecorded media; Other software 8523.51.90 Other 8523.52.00 “Smart cards” 8523.59.10 For reproducing phenomena other than sound or image;</w:t>
      </w:r>
    </w:p>
    <w:p>
      <w:pPr>
        <w:pStyle w:val="Normal"/>
      </w:pPr>
      <w:r>
        <w:t>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Other prepared unrecorded media; Other sofware; Proximity cards and tags 8523.59.90 Other 8523.80.10 Gramophone</w:t>
      </w:r>
    </w:p>
    <w:p>
      <w:pPr>
        <w:pStyle w:val="Normal"/>
      </w:pPr>
      <w:r>
        <w:t>records; Prepared unrecorded media; 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Other software 8523.80.90 Other 8525.50.00 Transmission apparatus 8525.60.00 Transmission apparatus incorporating reception apparatus 8525.80.00 Television cameras, digital cameras and video camera recorders 8526.10.00 Radar apparatus 8526.91.00 Radio navigational aid apparatus 8526.92.00 Radio remote control apparatus 8527.12.10 Domestic 8527.12.90 Other 8527.13.10 Domestic 8527.13.90 Other 8527.19.00 Other 8527.21.00 Combined with sound recording or reproducing apparatus 8527.29.00 Other 8527.91.10 Domestic 8527.91.90 Other 8527.92.10 Domestic 8527.92.90 Other 8527.99.10 Domestic radio receivers; Facsimile apparatus; Radios designed for use on the amateur bands of the radio frequency spectrum; Receivers for calling, alerting or paging 8527.99.90 Other 8528.42.00 Capable of directly connecting to and designed for use with an automatic data processing machine of heading 84.71</w:t>
      </w:r>
    </w:p>
    <w:p>
      <w:pPr>
        <w:pStyle w:val="Normal"/>
      </w:pPr>
      <w:r>
        <w:t>8528.49.11 For use in the manufacture of lightwave transmission systems: High definition 8528.49.19 For use in the manufacture of lightwave transmission systems: Other 8528.49.20 Black and white or other monochrome 8528.49.30 Incomplete or unfinished colour monitors, including assemblies for monitors consisting of video intermediate (IF) amplifying and detecting systems, video processing and amplification systems, synchronizing and deflection circuitry and audio detection and amplification systems plus a power supply, but not incorporating a cathode-ray tube 8528.49.90 Other 8528.52.00 Capable of directly connecting to and designed for use with an automatic data processing machine of heading 84.71 8528.59.11 For use in the manufacture of lightwave transmission systems: High definition 8528.59.19 For use in the manufacture of lightwave transmission systems: Other 8528.59.20 Black and white or other monochrome 8528.59.30 Incomplete or unfinished colour monitors, including assemblies for monitors consisting of video intermediate (IF) amplifying and detecting systems, video processing and amplification systems, synchronizing and deflection circuitry and audio detection and amplification systems plus a power supply, but not incorporating a flat panel screen or similar display;</w:t>
      </w:r>
    </w:p>
    <w:p>
      <w:pPr>
        <w:pStyle w:val="Normal"/>
      </w:pPr>
      <w:r>
        <w:t>Other, having a single picture tube intended for direct viewing (non-projection type); Other, with flat panel screen 8528.59.90 Other 8528.62.00 Capable of directly connecting to and designed for use with</w:t>
      </w:r>
    </w:p>
    <w:p>
      <w:pPr>
        <w:pStyle w:val="Normal"/>
      </w:pPr>
      <w:r>
        <w:t>an automatic data processing machine of heading 84.71 8528.69.11 Colour, with flat panel screen: Capable of being used with both automatic data processing machines of heading 84.71 and with apparatus which emits television signals 8528.69.19 Colour, with flat panel screen: Other 8528.69.20 Incomplete or unfinished colour projectors, including assemblies for projectors consisting of video intermediate (IF) amplifying and detecting systems, video processing and amplification systems, synchronizing and deflection circuitry and audio detection and amplification systems plus a power supply, but not incorporating a cathode-ray tube, flat panel screen or similar display; Colour, other 8528.69.30 Black and white or other monochrome 8528.71.10 Incomplete or unfinished television receivers, including assemblies for television receivers consisting of video intermediate (IF) amplifying and detecting systems, video processing and amplification systems, synchronizing and deflection circuitry, tuners and tuner control systems, and audio detection and amplification systems plus a power supply, but not incorporating a cathode-ray tube, flat panel screen or similar display 8528.71.20 Set-top boxes which have a communication function: a microprocessor-based device incorporating a modem for gaining access to the Internet, and having a function of interactive information exchange 8528.71.40 For use in the manufacture of lightwave transmission systems 8528.71.90 Other 8528.72.10 Set-top boxes</w:t>
      </w:r>
    </w:p>
    <w:p>
      <w:pPr>
        <w:pStyle w:val="Normal"/>
      </w:pPr>
      <w:r>
        <w:t>which have a communication function: a microprocessor-based device incorporating a modem for gaining access to the Internet, and having a function of interactive information exchange 8528.72.20 Incomplete or unfinished television receivers, including assemblies for television receivers consisting of video intermediate (IF) amplifying and detecting systems, video processing and amplification systems, synchronizing and deflection circuitry, tuners and tuner control systems, and audio detection and amplification systems plus a power supply, but not incorporating a cathode-ray tube, flat panel screen or similar display 8528.72.31 High definition: Projection type, with cathode-ray tube 8528.72.32 High definition: Non-projection type, with cathode-ray tube 8528.72.33 High definition: Other, with flat panel screen 8528.72.34 High definition: Other, for use in the manufacture of lightwave transmission systems 8528.72.39 High definition: Other 8528.72.91 Other: Having a single picture tube intended for direct viewing (non-projection type), with a video display diagonal not exceeding 35.56 cm 8528.72.92 Other: Combined in the same housing with video recording or reproducing apparatus (video cassette recorders/players), having a single picture tube intended for direct viewing (non-projection type), with a video display diagonal exceeding 35.56 cm 8528.72.93 Other: Other non-projection type having a single picture tube intended for direct viewing, with a video display diagonal exceeding</w:t>
      </w:r>
    </w:p>
    <w:p>
      <w:pPr>
        <w:pStyle w:val="Normal"/>
      </w:pPr>
      <w:r>
        <w:t>35.56 cm but less than 66.04 cm 8528.72.94 Other: Other non-projection type having a single picture tube intended for direct viewing, with a video display diagonal of 66.04 cm or more 8528.72.95 Other: Projection type, with cathode-ray tube 8528.72.96 Other: Other, with flat panel screen 8528.72.97 Other: Other, for use in the manufacture of lightwave transmission systems 8528.72.99 Other: Other 8528.73.10 Domestic television receivers 8528.73.90 Other 8529.10.00 Aerials and aerial reflectors of all kinds; parts suitable for use therewith 8529.90.11 Printed circuit assemblies: Of radio remote control apparatus for controlling domestic audio or video equipment or for use on amateur radio bands by hobbyists 8529.90.12 Printed circuit assemblies: Of transmission apparatus for radio- broadcasting or television, whether or not incorporating reception apparatus or sound recording or reproducing apparatus, of television cameras or of still image video cameras and other video camera recorders 8529.90.19 Printed circuit assemblies:</w:t>
      </w:r>
    </w:p>
    <w:p>
      <w:pPr>
        <w:pStyle w:val="Normal"/>
      </w:pPr>
      <w:r>
        <w:t>Other 8529.90.20 Transceiver assemblies for the goods of subheading 8526.10, not elsewhere specified or included 8529.90.31 The following parts of television receivers (including video monitors and video projectors): video intermediate (IF) amplifying and detecting systems; video processing and amplification systems; synchronizing and deflection circuitry; tuners and tuner control systems; and audio detection and amplification systems: Combinations of</w:t>
      </w:r>
    </w:p>
    <w:p>
      <w:pPr>
        <w:pStyle w:val="Normal"/>
      </w:pPr>
      <w:r>
        <w:t>parts 8529.90.39 The following parts of television receivers (including video monitors and video projectors): video intermediate (IF) amplifying and detecting systems; video processing and amplification systems; synchronizing and deflection circuitry; tuners and tuner control systems; and audio detection and amplification systems: Other 8529.90.40 Flat panel screen assemblies for the goods of tariff item No. 8528.59.30, 8528.69.11, 8528.69.19, 8528.72.33 or 8528.72.96 8529.90.50 Parts, including face plates and lock latches, for printed circuit assemblies 8529.90.61 Other parts of goods of heading 85.25 or 85.27, excluding parts of cellular telephones: Incorporating printed circuit assemblies of goods of subheading 8525.50 or 8525.60 8529.90.69 Other parts of goods of heading 85.25 or 85.27, excluding parts of cellular telephones: Other 8529.90.90 Other 8530.10.00 Equipment for railways or tramways 8530.80.10 For use in the manufacture, maintenance or repair of buoys for the Government of Canada 8530.80.90 Other 8530.90.00 Parts 8531.10.10 Smoke detectors 8531.10.90 Other 8531.20.00 Indicator panels incorporating liquid crystal devices (LCD) or light-emitting diodes (LED) 8531.80.00 Other apparatus 8531.90.10 Printed circuit assemblies 8531.90.90 Other 8532.10.00 Fixed capacitors designed for use in 50/60 Hz circuits and having a reactive power handling capacity of not less than 0.5 kvar (power capacitors) 8532.21.00 Tantalum 8532.22.00 Aluminum electrolytic 8532.23.00</w:t>
      </w:r>
    </w:p>
    <w:p>
      <w:pPr>
        <w:pStyle w:val="Normal"/>
      </w:pPr>
      <w:r>
        <w:t>Ceramic dielectric, single layer 8532.24.00 Ceramic dielectric, multilayer 8532.25.00 Dielectric of paper or plastics 8532.29.00 Other 8532.30.00 Variable or adjustable (pre-set) capacitors 8532.90.00 Parts 8533.10.00 Fixed carbon resistors, composition or film types 8533.21.00 For a power handling capacity not exceeding 20 W 8533.29.00 Other 8533.31.00 For a power handling capacity not exceeding 20 W 8533.39.00 Other 8533.40.00 Other variable resistors, including rheostats and potentiometers 8533.90.10 Of ceramic or metallic materials, electrically or mechanically reactive to changes in temperature, for the goods of tariff item No. 8533.40.00 8533.90.90 Other 8534.00.00 Printed circuits. 8535.10.00 Fuses 8535.21.00 For a voltage of less than 72.5 kV 8535.29.00 Other 8535.30.00 Isolating switches and make-and-break switches 8535.40.00 Lightning arresters, voltage limiters and surge suppressors 8535.90.10 Flameproof cable connecting devices and junction boxes to be employed in mines in which inflammable gases exist 8535.90.20 Industrial control-type switches; Other junction boxes or flameproof cable connecting devices; Receptacle boxes of metal 8535.90.30 Motor starters and motor overload protectors 8535.90.90 Other 8536.10.00 Fuses 8536.20.00 Automatic circuit breakers 8536.30.10 Overloads for use in the manufacture of air conditioning machines 8536.30.20 Overload motor protectors excluding those for use in the manufacture of air conditioning machines 8536.30.90 Other</w:t>
      </w:r>
    </w:p>
    <w:p>
      <w:pPr>
        <w:pStyle w:val="Normal"/>
      </w:pPr>
      <w:r>
        <w:t>8536.41.00 For a voltage not exceeding 60 V 8536.49.00 Other 8536.50.11 Motor starters: For use with machinery or equipment 8536.50.12 Motor starters: For automotive use 8536.50.19 Motor starters: Other 8536.50.20 Electro-mechanical snap-action switches for a current not exceeding 11 A; Electronic switches, including temperature-protected electronic switches, consisting of a transistor and a logic chip (chip-on-chip technology); Electronic AC switches consisting of optically-coupled input and output circuits (insulated thyristor AC switches) 8536.50.91 Other: The following, other than for use in the manufacture of dish washing machines or of detectors for propane or other toxic fumes: Contact mat switches for activating automatic door openers; High pressure switches; Cam-type rotary limit switches with multiple contacts; Float switches and similar types of switches activated by changes in liquid levels; Magnetic contactors; Push button switches 8536.50.92 Other: Other, for automotive use 8536.50.99 Other: Other 8536.61.00 Lamp-holders 8536.69.00 Other 8536.70.00 Connectors for optical fibres, optical fibre bundles or cables 8536.90.00 Other apparatus 8537.10.11 Numerical control panels with built-in automatic data processing machines: Assembled with outer housings or supports, for the goods of heading 84.21, 84.22, 84.28, 84.50 or 85.16 8537.10.19 Numerical control panels with built-in automatic data processing machines: Other 8537.10.21 Motor control centres: For automotive</w:t>
      </w:r>
    </w:p>
    <w:p>
      <w:pPr>
        <w:pStyle w:val="Normal"/>
      </w:pPr>
      <w:r>
        <w:t>use 8537.10.29 Motor control centres: Other 8537.10.31 Other, for use with machinery or equipment: Automated industrial control systems, excluding panels for anode formers 8537.10.39 Other, for use with machinery or equipment: Other 8537.10.91 Other: Assembled with outer housings or supports, for the goods of heading 84.21, 84.22, 84.50 or 85.16 8537.10.93 Other: Panel boards and distribution boards 8537.10.99 Other: Other 8537.20.00 For a voltage exceeding 1,000 V 8538.10.00 Boards, panels, consoles, desks, cabinets and other bases for the goods of heading 85.37, not equipped with their apparatus 8538.90.10 Of ceramic or metallic materials, electrically or mechanically reactive to changes in temperature, for motor starters and overload protectors 8538.90.20 Printed circuit assemblies 8538.90.31 Moulded parts: For use in the manufacture of relays, microwave, passive infrared, or combination microwave/passive infrared, for a voltage not exceeding 60 V 8538.90.39 Moulded parts: Other 8538.90.90 Other 8539.10.10 For use in motor vehicles of Chapter 87 8539.10.90 Other 8539.21.00 Tungsten halogen 8539.22.10 For use in the manufacture of Christmas lighting sets or patio lighting sets 8539.22.90 Other 8539.29.10 Xenon filament lamps 8539.29.91 Other:</w:t>
      </w:r>
    </w:p>
    <w:p>
      <w:pPr>
        <w:pStyle w:val="Normal"/>
      </w:pPr>
      <w:r>
        <w:t>For a voltage exceeding 31 V 8539.29.99 Other: Other 8539.31.00 Fluorescent, hot cathode 8539.32.10 For use in measuring, checking or testing instruments of Chapter 90, or for use in electrically operated apparatus for indicating</w:t>
      </w:r>
    </w:p>
    <w:p>
      <w:pPr>
        <w:pStyle w:val="Normal"/>
      </w:pPr>
      <w:r>
        <w:t>intervals of time; High pressure (190-200 atmospheres), 100W to 300W mercury discharge lamps with arc gaps from 1.0mm to 1.3mm, mounted within a parabolic or elliptical dichroic glass reflector, and with a luminious efficiency of 60 (+/- 5) lumens per watt, for use in Canadian manufactures 8539.32.90 Other 8539.39.10 For use in measuring, checking or testing instruments of Chapter 90, or for use in electrically operated apparatus for indicating intervals of time; Neon glow lamps, with an attached resistor, for use in the manufacture of indicator light assemblies; Photographic flash lamps; Xenon discharge lamps 8539.39.90 Other 8539.41.10 For use in measuring, checking or testing instruments of Chapter 90, or for use in electrically operated apparatus for indicating intervals of time; Hollow-cathode lamps, for use in instruments and apparatus for measuring or detecting noxious gases; Xenon arc-lamps 8539.41.90 Other 8539.49.10 For use in measuring, checking or testing instruments of Chapter 90, or for use in electrically operated apparatus for indicating intervals of time; Ultra violet hollow-cathode lamps, for use in instruments and apparatus for measuring or detecting noxious gases;</w:t>
      </w:r>
    </w:p>
    <w:p>
      <w:pPr>
        <w:pStyle w:val="Normal"/>
      </w:pPr>
      <w:r>
        <w:t>Ultra violet lamps designed for detecting scheelite ore 8539.49.90 Other 8539.50.00 Light-emitting diode (LED) lamps 8539.90.10 Filaments, cathodes or electrodes, for use in the manufacture of electric lamps; Of the goods of tariff item No.</w:t>
      </w:r>
    </w:p>
    <w:p>
      <w:pPr>
        <w:pStyle w:val="Normal"/>
      </w:pPr>
      <w:r>
        <w:t>8539.10.90, 8539.22.10, 8539.29.10, 8539.32.10, 8539.39.10, 8539.41.10 or 8539.49.10 8539.90.90 Other 8540.11.11 High definition: With a video display diagonal not exceeding 35.56 cm 8540.11.12 High definition: With a video display diagonal exceeding 35.56 cm 8540.11.21 Other, for non-projection television receivers: With a video display diagonal not exceeding 35.56 cm 8540.11.22 Other, for non-projection television receivers: With a video display diagonal exceeding 35.56 cm 8540.11.90 Other 8540.12.11 High definition: For use in the manufacture of video monitors; For use in the manufacture of high definition colour television receivers, projection type 8540.12.19 High definition: Other 8540.12.91 Other: For use in the manufacture of video monitors; For use in the manufacture of other colour television receivers, projection type 8540.12.99 Other: Other 8540.20.00 Television camera tubes; image converters and intensifiers; other photo-cathode tubes 8540.40.00 Data/graphic display tubes, monochrome; data/graphic display tubes, colour, with a phosphor dot screen pitch smaller than 0.4 mm 8540.60.00 Other cathode-ray tubes 8540.71.00 Magnetrons 8540.79.00 Other 8540.81.00 Receiver or amplifier valves and tubes 8540.89.00 Other 8540.91.10 Front panel assemblies as follows:</w:t>
      </w:r>
    </w:p>
    <w:p>
      <w:pPr>
        <w:pStyle w:val="Normal"/>
      </w:pPr>
      <w:r>
        <w:t>(a) with respect to colour cathode-ray television picture tube, an assembly that consists of a glass panel to which a shadow mask or aperture grill is attached for ultimate use, that is suitable for</w:t>
      </w:r>
    </w:p>
    <w:p>
      <w:pPr>
        <w:pStyle w:val="Normal"/>
      </w:pPr>
      <w:r>
        <w:t>incorporation into a colour cathode-ray television picture tube (including a video monitor or video projector cathode-ray tube) and that has undergone the necessary chemical and physical processes for imprinting phosphors on the glass panel with sufficient precision to render a video image when excited by a stream of electrons; or (b) with respect to a monochrome cathode-ray television picture tube, an assembly that consists of either a glass panel or a glass envelope, that is suitable for incorporation into a monochrome cathode-ray television picture tube (including a video monitor or video projector cathode-ray tube) and that has undergone the necessary chemical and physical processes for imprinting phosphors on the glass panel or glass envelope with sufficient precision to render a video image when excited by a stream of electrons 8540.91.90 Other 8540.99.10 Electron guns;</w:t>
      </w:r>
    </w:p>
    <w:p>
      <w:pPr>
        <w:pStyle w:val="Normal"/>
      </w:pPr>
      <w:r>
        <w:t>Radio frequency (RF) interaction structures for microwave tubes of subheading 8540.71, 8540.72 or 8540.79 8540.99.90 Other 8541.10.00 Diodes, other than photosensitive or light-emitting diodes (LED) 8541.21.00 With a dissipation rate of less than 1 W 8541.29.00 Other 8541.30.00 Thyristors, diacs and triacs, other than photosensitive devices 8541.40.00 Photosensitive semiconductor devices, including photovoltaic cells whether or not assembled in modules or made up into panels; light-emitting diodes (LED) 8541.50.00 Other semiconductor devices 8541.60.00 Mounted piezo-electric crystals 8541.90.00 Parts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8542.31.00</w:t>
            </w:r>
          </w:p>
        </w:tc>
        <w:tc>
          <w:tcPr>
            <w:tcW w:w="4679" w:type="dxa"/>
            <w:tcMar>
              <w:top w:w="70" w:type="dxa"/>
              <w:start w:w="110" w:type="dxa"/>
              <w:bottom w:w="70" w:type="dxa"/>
              <w:end w:w="110" w:type="dxa"/>
            </w:tcMar>
            <w:vAlign w:val="center"/>
          </w:tcPr>
          <w:p>
            <w:pPr>
              <w:pStyle w:val="TableText"/>
              <w:jc w:val="left"/>
            </w:pPr>
            <w:r>
              <w:rPr>
                <w:lang w:val="en-US" w:eastAsia="en-US" w:bidi="ar-SA"/>
              </w:rPr>
              <w:t>Processors and controllers, whether or not combined with memories, converters, logic circuits, amplifiers, clock and timing circuits, or other circuits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8542.32.00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Memories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8542.33.00</w:t>
            </w:r>
          </w:p>
        </w:tc>
        <w:tc>
          <w:tcPr>
            <w:tcW w:w="4679" w:type="dxa"/>
            <w:tcMar>
              <w:top w:w="70" w:type="dxa"/>
              <w:start w:w="110" w:type="dxa"/>
              <w:bottom w:w="70" w:type="dxa"/>
              <w:end w:w="110" w:type="dxa"/>
            </w:tcMar>
            <w:vAlign w:val="center"/>
          </w:tcPr>
          <w:p>
            <w:pPr>
              <w:pStyle w:val="TableText"/>
              <w:jc w:val="left"/>
            </w:pPr>
            <w:r>
              <w:rPr>
                <w:lang w:val="en-US" w:eastAsia="en-US" w:bidi="ar-SA"/>
              </w:rPr>
              <w:t>Amplifiers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8542.39.00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8542.90.00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8543.10.00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Particle accelerators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8543.20.00</w:t>
            </w:r>
          </w:p>
        </w:tc>
        <w:tc>
          <w:tcPr>
            <w:tcW w:w="4679" w:type="dxa"/>
            <w:tcMar>
              <w:top w:w="70" w:type="dxa"/>
              <w:start w:w="110" w:type="dxa"/>
              <w:bottom w:w="70" w:type="dxa"/>
              <w:end w:w="110" w:type="dxa"/>
            </w:tcMar>
            <w:vAlign w:val="center"/>
          </w:tcPr>
          <w:p>
            <w:pPr>
              <w:pStyle w:val="TableText"/>
              <w:jc w:val="left"/>
            </w:pPr>
            <w:r>
              <w:rPr>
                <w:lang w:val="en-US" w:eastAsia="en-US" w:bidi="ar-SA"/>
              </w:rPr>
              <w:t>Signal generators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8543.30.00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Machines and apparatus for electroplating, electrolysis or electrophoresis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8543.70.00</w:t>
            </w:r>
          </w:p>
        </w:tc>
        <w:tc>
          <w:tcPr>
            <w:tcW w:w="4679" w:type="dxa"/>
            <w:tcMar>
              <w:top w:w="70" w:type="dxa"/>
              <w:start w:w="110" w:type="dxa"/>
              <w:bottom w:w="70" w:type="dxa"/>
              <w:end w:w="110" w:type="dxa"/>
            </w:tcMar>
            <w:vAlign w:val="center"/>
          </w:tcPr>
          <w:p>
            <w:pPr>
              <w:pStyle w:val="TableText"/>
              <w:jc w:val="left"/>
            </w:pPr>
            <w:r>
              <w:rPr>
                <w:lang w:val="en-US" w:eastAsia="en-US" w:bidi="ar-SA"/>
              </w:rPr>
              <w:t>Other machines and apparatus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8544.11.00</w:t>
            </w:r>
          </w:p>
        </w:tc>
        <w:tc>
          <w:tcPr>
            <w:tcW w:w="4679" w:type="dxa"/>
            <w:tcMar>
              <w:top w:w="70" w:type="dxa"/>
              <w:start w:w="110" w:type="dxa"/>
              <w:bottom w:w="70" w:type="dxa"/>
              <w:end w:w="110" w:type="dxa"/>
            </w:tcMar>
            <w:vAlign w:val="center"/>
          </w:tcPr>
          <w:p>
            <w:pPr>
              <w:pStyle w:val="TableText"/>
              <w:jc w:val="left"/>
            </w:pPr>
            <w:r>
              <w:rPr>
                <w:lang w:val="en-US" w:eastAsia="en-US" w:bidi="ar-SA"/>
              </w:rPr>
              <w:t>Of copper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8544.19.00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8544.20.00</w:t>
            </w:r>
          </w:p>
        </w:tc>
        <w:tc>
          <w:tcPr>
            <w:tcW w:w="4679" w:type="dxa"/>
            <w:tcMar>
              <w:top w:w="70" w:type="dxa"/>
              <w:start w:w="110" w:type="dxa"/>
              <w:bottom w:w="70" w:type="dxa"/>
              <w:end w:w="110" w:type="dxa"/>
            </w:tcMar>
            <w:vAlign w:val="center"/>
          </w:tcPr>
          <w:p>
            <w:pPr>
              <w:pStyle w:val="TableText"/>
              <w:jc w:val="left"/>
            </w:pPr>
            <w:r>
              <w:rPr>
                <w:lang w:val="en-US" w:eastAsia="en-US" w:bidi="ar-SA"/>
              </w:rPr>
              <w:t>Co-axial cable and other co-axial electric conductors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Ignition wiring sets and other wiring sets of a kind used in vehicles, aircraft or ships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8544.42.00</w:t>
            </w:r>
          </w:p>
        </w:tc>
        <w:tc>
          <w:tcPr>
            <w:tcW w:w="4679" w:type="dxa"/>
            <w:tcMar>
              <w:top w:w="70" w:type="dxa"/>
              <w:start w:w="110" w:type="dxa"/>
              <w:bottom w:w="70" w:type="dxa"/>
              <w:end w:w="110" w:type="dxa"/>
            </w:tcMar>
            <w:vAlign w:val="center"/>
          </w:tcPr>
          <w:p>
            <w:pPr>
              <w:pStyle w:val="TableText"/>
              <w:jc w:val="left"/>
            </w:pPr>
            <w:r>
              <w:rPr>
                <w:lang w:val="en-US" w:eastAsia="en-US" w:bidi="ar-SA"/>
              </w:rPr>
              <w:t>Fitted with connectors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8544.49.00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8544.60.10</w:t>
            </w:r>
          </w:p>
        </w:tc>
        <w:tc>
          <w:tcPr>
            <w:tcW w:w="4679" w:type="dxa"/>
            <w:tcMar>
              <w:top w:w="70" w:type="dxa"/>
              <w:start w:w="110" w:type="dxa"/>
              <w:bottom w:w="70" w:type="dxa"/>
              <w:end w:w="110" w:type="dxa"/>
            </w:tcMar>
            <w:vAlign w:val="center"/>
          </w:tcPr>
          <w:p>
            <w:pPr>
              <w:pStyle w:val="TableText"/>
              <w:jc w:val="left"/>
            </w:pPr>
            <w:r>
              <w:rPr>
                <w:lang w:val="en-US" w:eastAsia="en-US" w:bidi="ar-SA"/>
              </w:rPr>
              <w:t>Flameproof, to be employed in mines; Submarine cables for a voltage exceeding 235 kV</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8544.60.91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To be employed in mining, recovering and producing crude oil from shales, oil-sands or tar-sands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8544.60.99</w:t>
            </w:r>
          </w:p>
        </w:tc>
        <w:tc>
          <w:tcPr>
            <w:tcW w:w="4679" w:type="dxa"/>
            <w:tcMar>
              <w:top w:w="70" w:type="dxa"/>
              <w:start w:w="110" w:type="dxa"/>
              <w:bottom w:w="70" w:type="dxa"/>
              <w:end w:w="110" w:type="dxa"/>
            </w:tcMar>
            <w:vAlign w:val="center"/>
          </w:tcPr>
          <w:p>
            <w:pPr>
              <w:pStyle w:val="TableText"/>
              <w:jc w:val="left"/>
            </w:pPr>
            <w:r>
              <w:rPr>
                <w:lang w:val="en-US" w:eastAsia="en-US" w:bidi="ar-SA"/>
              </w:rPr>
              <w:t>Other: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8544.70.00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Optical fibre cables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8545.11.00</w:t>
            </w:r>
          </w:p>
        </w:tc>
        <w:tc>
          <w:tcPr>
            <w:tcW w:w="4679" w:type="dxa"/>
            <w:tcMar>
              <w:top w:w="70" w:type="dxa"/>
              <w:start w:w="110" w:type="dxa"/>
              <w:bottom w:w="70" w:type="dxa"/>
              <w:end w:w="110" w:type="dxa"/>
            </w:tcMar>
            <w:vAlign w:val="center"/>
          </w:tcPr>
          <w:p>
            <w:pPr>
              <w:pStyle w:val="TableText"/>
              <w:jc w:val="left"/>
            </w:pPr>
            <w:r>
              <w:rPr>
                <w:lang w:val="en-US" w:eastAsia="en-US" w:bidi="ar-SA"/>
              </w:rPr>
              <w:t>Of a kind used for furnaces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8545.19.00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8545.20.00</w:t>
            </w:r>
          </w:p>
        </w:tc>
        <w:tc>
          <w:tcPr>
            <w:tcW w:w="4679" w:type="dxa"/>
            <w:tcMar>
              <w:top w:w="70" w:type="dxa"/>
              <w:start w:w="110" w:type="dxa"/>
              <w:bottom w:w="70" w:type="dxa"/>
              <w:end w:w="110" w:type="dxa"/>
            </w:tcMar>
            <w:vAlign w:val="center"/>
          </w:tcPr>
          <w:p>
            <w:pPr>
              <w:pStyle w:val="TableText"/>
              <w:jc w:val="left"/>
            </w:pPr>
            <w:r>
              <w:rPr>
                <w:lang w:val="en-US" w:eastAsia="en-US" w:bidi="ar-SA"/>
              </w:rPr>
              <w:t>Brushes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8545.90.00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8546.10.00</w:t>
            </w:r>
          </w:p>
        </w:tc>
        <w:tc>
          <w:tcPr>
            <w:tcW w:w="4679" w:type="dxa"/>
            <w:tcMar>
              <w:top w:w="70" w:type="dxa"/>
              <w:start w:w="110" w:type="dxa"/>
              <w:bottom w:w="70" w:type="dxa"/>
              <w:end w:w="110" w:type="dxa"/>
            </w:tcMar>
            <w:vAlign w:val="center"/>
          </w:tcPr>
          <w:p>
            <w:pPr>
              <w:pStyle w:val="TableText"/>
              <w:jc w:val="left"/>
            </w:pPr>
            <w:r>
              <w:rPr>
                <w:lang w:val="en-US" w:eastAsia="en-US" w:bidi="ar-SA"/>
              </w:rPr>
              <w:t>Of glass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8546.20.00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ceramics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8546.90.00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Insulating fittings of ceramics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8547.20.00</w:t>
            </w:r>
          </w:p>
        </w:tc>
        <w:tc>
          <w:tcPr>
            <w:tcW w:w="4679" w:type="dxa"/>
            <w:tcMar>
              <w:top w:w="70" w:type="dxa"/>
              <w:start w:w="110" w:type="dxa"/>
              <w:bottom w:w="70" w:type="dxa"/>
              <w:end w:w="110" w:type="dxa"/>
            </w:tcMar>
            <w:vAlign w:val="center"/>
          </w:tcPr>
          <w:p>
            <w:pPr>
              <w:pStyle w:val="TableText"/>
              <w:jc w:val="left"/>
            </w:pPr>
            <w:r>
              <w:rPr>
                <w:lang w:val="en-US" w:eastAsia="en-US" w:bidi="ar-SA"/>
              </w:rPr>
              <w:t>Insulating fittings of plastics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8547.90.00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8548.10.10</w:t>
            </w:r>
          </w:p>
        </w:tc>
        <w:tc>
          <w:tcPr>
            <w:tcW w:w="4679" w:type="dxa"/>
            <w:tcMar>
              <w:top w:w="70" w:type="dxa"/>
              <w:start w:w="110" w:type="dxa"/>
              <w:bottom w:w="70" w:type="dxa"/>
              <w:end w:w="110" w:type="dxa"/>
            </w:tcMar>
            <w:vAlign w:val="center"/>
          </w:tcPr>
          <w:p>
            <w:pPr>
              <w:pStyle w:val="TableText"/>
              <w:jc w:val="left"/>
            </w:pPr>
            <w:r>
              <w:rPr>
                <w:lang w:val="en-US" w:eastAsia="en-US" w:bidi="ar-SA"/>
              </w:rPr>
              <w:t>Spent primary cells, spent primary batteries and spent electric accumulators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8548.10.90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8548.90.00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8601.10.00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Powered from an external source of electricity</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8601.20.00</w:t>
            </w:r>
          </w:p>
        </w:tc>
        <w:tc>
          <w:tcPr>
            <w:tcW w:w="4679" w:type="dxa"/>
            <w:tcMar>
              <w:top w:w="70" w:type="dxa"/>
              <w:start w:w="110" w:type="dxa"/>
              <w:bottom w:w="70" w:type="dxa"/>
              <w:end w:w="110" w:type="dxa"/>
            </w:tcMar>
            <w:vAlign w:val="center"/>
          </w:tcPr>
          <w:p>
            <w:pPr>
              <w:pStyle w:val="TableText"/>
              <w:jc w:val="left"/>
            </w:pPr>
            <w:r>
              <w:rPr>
                <w:lang w:val="en-US" w:eastAsia="en-US" w:bidi="ar-SA"/>
              </w:rPr>
              <w:t>Powered by electric accumulators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8602.10.00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Diesel-electric locomotives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8602.90.00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bl>
    <w:p>
      <w:pPr>
        <w:pStyle w:val="Normal"/>
      </w:pPr>
      <w:r>
        <w:t>8603.10.00 Powered from an external source of electricity 8603.90.00 Other 8604.00.10 Ballast spreaders; Buggies for transporting work crews and track material trailers, not exceeding 20 tonnes; Combination ballast broom and snow switch cleaners; Manual feed spike drivers for maintenance or production applications; On-track brush cutters; Rail tie spacing machines; Snow plows; Supply push carts; Tie cranes; Track carriage cranes 8604.00.90 Other 8605.00.00 Railway or tramway passenger coaches, not self-propelled; luggage vans (baggage cars), post office coaches and other special purpose railway or tramway coaches, not self-propelled (excluding those of heading 86.04). 8606.10.00 Tank wagons (tank cars) and the like 8606.30.00 Self-discharging vans and wagons (cars), other than those of subheading 8606.10 8606.91.00 Covered and closed 8606.92.00 Open, with non-removable sides of a height exceeding 60 cm 8606.99.00 Other 8607.11.00 Driving bogies and bissel-bogies (truck assemblies) 8607.12.00 Other bogies and bissel-bogies (truck assemblies) 8607.19.11 Axles: For self-propelled railway vehicles for the transport of passengers, baggage, mail or express traffic; In the rough, for use in the manufacture of axles for railway rolling-stock 8607.19.19 Axles:</w:t>
      </w:r>
    </w:p>
    <w:p>
      <w:pPr>
        <w:pStyle w:val="Normal"/>
      </w:pPr>
      <w:r>
        <w:t>Other 8607.19.21 Wheels, whether or not fitted with axles: Blanks for use in the manufacture of wheel and axle combinations for railway and tramway (including subway cars) passenger coaches; For self-propelled railway vehicles</w:t>
      </w:r>
    </w:p>
    <w:p>
      <w:pPr>
        <w:pStyle w:val="Normal"/>
      </w:pPr>
      <w:r>
        <w:t>for the transport of passengers, baggage, mail or express traffic; For use in the repair of tramway vehicles (excluding subway cars) with magnetic track brakes 8607.19.29 Wheels, whether or not fitted with axles: Other 8607.19.30 Parts of axles or wheels 8607.19.40 Tires of steel, in the rough, not machined or drilled 8607.19.50 Parts of bogies or bissel-bogies (truck assemblies) 8607.21.10 For self-propelled railway vehicles for the transport of passengers, baggage, mail or express traffic; Parts for use in the manufacture of brake systems for subway and rapid transit cars 8607.21.20 Brake beams for use in railway vehicles 8607.21.90 Other 8607.29.10 For self-propelled railway vehicles for the transport of passengers, baggage, mail or express traffic; For use in the repair of tramway vehicles (excluding subway cars) with magnetic track brakes; Parts for use in the manufacture of brake systems for subway and rapid transit cars 8607.29.90 Other 8607.30.10 For self-propelled railway vehicles for the transport of passengers, baggage, mail or express traffic; For use in the repair of tramway vehicles (excluding subway cars) with magnetic track brakes;</w:t>
      </w:r>
    </w:p>
    <w:p>
      <w:pPr>
        <w:pStyle w:val="Normal"/>
      </w:pPr>
      <w:r>
        <w:t>Parts for use in the manufacture of hydraulic cushioning devices (buffers) for railway rolling-stock 8607.30.90 Other 8607.91.00 Of locomotives 8607.99.11 Of self-propelled rolling-stock: For use in the repair of tramway vehicles (excluding subway cars) with magnetic track brakes; Of the vehicles of heading 86.04; Of railway</w:t>
      </w:r>
    </w:p>
    <w:p>
      <w:pPr>
        <w:pStyle w:val="Normal"/>
      </w:pPr>
      <w:r>
        <w:t>vehicles for the transport of passengers, baggage, mail or express traffic 8607.99.19 Of self-propelled rolling-stock: Other 8607.99.20 Of non self-propelled rolling-stock 8608.00.10 Fixed and sliding railway bumping posts and friction buffer stops;</w:t>
      </w:r>
    </w:p>
    <w:p>
      <w:pPr>
        <w:pStyle w:val="Normal"/>
      </w:pPr>
      <w:r>
        <w:t>Signalling equipment for railways and parts thereof 8608.00.90 Other 8609.00.10 Reusable, specially designed to be employed in the transportation of motor vehicle components which are free of customs duties, presented with the goods therein 8609.00.90 Other 8701.10.10 Powered by an internal combustion engine 8701.10.90 Other 8701.20.00 Road tractors for semi-trailers 8701.30.00 Track-laying tractors 8701.91.00 Not exceeding 18 kW 8701.92.00 Exceeding 18 kW but not exceeding 37 kW 8701.93.00 Exceeding 37 kW but not exceeding 75 kW 8701.94.00 Exceeding 75 kW but not exceeding 130 kW 8701.95.10 Yard shunting tractors 8701.95.90 Other 8702.10.10 For the transport of 16 or more persons, including the driver 8702.10.20 For the transport of ten to 15 persons, including the driver 8702.20.10 For the transport of 16 or more persons, including the driver 8702.20.20 For the transport of ten to 15 persons, including the driver 8702.30.10 For the transport of 16 or more persons, including the driver 8702.30.20 For the transport of ten to 15 persons, including the driver 8702.40.10 For the transport of 16 or more persons, including the driver 8702.40.20 For the transport of ten to 15 persons, including the driver 8702.90.10 For the transport</w:t>
      </w:r>
    </w:p>
    <w:p>
      <w:pPr>
        <w:pStyle w:val="Normal"/>
      </w:pPr>
      <w:r>
        <w:t>of 16 or more persons, including the driver 8702.90.20 For the transport of ten to 15 persons, including the driver 8703.10.10 Recreational or sporting vehicles specially designed for travelling on snow 8703.10.90 Other 8703.21.10 Non-amphibious all-terrain vehicles of a weight of less than 227.3 kg, having fewer than six wheels and designed to carry only one passenger 8703.21.90 Other 8703.22.00 Of a cylinder capacity exceeding 1,000 cc but not exceeding 1,500 cc 8703.23.00 Of a cylinder capacity exceeding 1,500 cc but not exceeding 3,000 cc 8703.24.00 Of a cylinder capacity exceeding 3,000 cc 8703.31.00 Of a cylinder capacity not exceeding 1,500 cc 8703.32.00 Of a cylinder capacity exceeding 1,500 cc but not exceeding 2,500 cc 8703.33.00 Of a cylinder capacity exceeding 2,500 cc 8703.40.10 Of a cylinder capacity not exceeding 1,000 cc 8703.40.90 Other 8703.50.00 Other vehicles, with both compression-ignition internal combustion piston engine (diesel or semi-diesel) and electric motor as motors for propulsion, other than those capable of being charged by plugging to external source of electric power 8703.60.10 Of a cylinder capacity not exceeding 1,000 cc 8703.60.90 Other</w:t>
      </w:r>
    </w:p>
    <w:p>
      <w:pPr>
        <w:pStyle w:val="Normal"/>
      </w:pPr>
      <w:r>
        <w:t>8703.70.00 Other vehicles, with both compression-ignition internal combustion piston engine (diesel or semi-diesel) and electric motor as motors for propulsion, capable of being charged by plugging to external source of electric power 8703.80.00 Other vehicles, with only electric motor for propulsion</w:t>
      </w:r>
    </w:p>
    <w:p>
      <w:pPr>
        <w:pStyle w:val="Normal"/>
      </w:pPr>
      <w:r>
        <w:t>8703.90.00 Other 8704.10.00 Dumpers designed for off-highway use 8704.21.10 For conversion to ambulances 8704.21.90 Other 8704.22.00 g.v.w. exceeding 5 tonnes but not exceeding 20 tonnes 8704.23.00 g.v.w. exceeding 20 tonnes 8704.31.00 g.v.w. not exceeding 5 tonnes 8704.32.00 g.v.w. exceeding 5 tonnes 8704.90.00 Other 8705.10.10 Railway maintenance cranes equipped to travel both by road and rail, with a lifting capacity exceeding 36.3 tonnes but not exceeding 68 tonnes 8705.10.90 Other 8705.20.00 Mobile drilling derricks 8705.30.00 Fire fighting vehicles 8705.40.10 Transit type, with delivery conveyors 8705.40.90 Other 8705.90.10 Automotive towing trucks for a basic wrecker rating not exceeding 67,000 kg; Cement trucks with mixing or pumping capabilities for the oil and gas industry, excluding concrete pumps with booms designed primarily for the construction industry;</w:t>
      </w:r>
    </w:p>
    <w:p>
      <w:pPr>
        <w:pStyle w:val="Normal"/>
      </w:pPr>
      <w:r>
        <w:t>Lorries equipped with: aggregate spreaders; carpet cleaning machinery; coiled tubing systems for servicing oil wells; combination vacuum and broom type sweepers; furnace and duct cleaning machinery; highway paint spraying machinery; manlift baskets with a working height not exceeding 26.5 m; oil or gas well logging units; recovery vacuum tanks; road surface patching machines; sand and salt spreaders; scissor lifts; sewer and catch basin cleaners; snow blowers; solid waste removal tanks, without compactors; street cleaning flushers; sweepers for airports; or vacuum type sweeper-leaf loaders 8705.90.90 Other</w:t>
      </w:r>
    </w:p>
    <w:p>
      <w:pPr>
        <w:pStyle w:val="Normal"/>
      </w:pPr>
      <w:r>
        <w:t>8706.00.10 For the tractors of tariff item No. 8701.10.10, 8701.30.00, 8701.91.00, 8701.92.00, 8701.93.00, 8701.94.00 or 8701.95.90 8706.00.20 For the vehicles of heading 87.03 or of subheading 8704.21 or 8704.31 8706.00.90 Other 8707.10.00 For the vehicles of heading 87.03 8707.90.10 Cabs for the tractors of tariff item No. 8701.10.10, 8701.30.00, 8701.91.00, 8701.92.00, 8701.93.00, 8701.94.00 or 8701.95.90 8707.90.90 Other 8708.10.10 Bumpers 8708.10.21 Parts: Face bars, of bare metal, not finished in any degree after final forming 8708.10.29 Parts: Other 8708.21.00 Safety seat belts 8708.29.11 Stampings: For the tractors of tariff item No. 8701.10.10, 8701.30.00, 8701.91.00, 8701.92.00, 8701.93.00, 8701.94.00 or 8701.95.90 8708.29.19 Stampings: Other 8708.29.20 Door assemblies 8708.29.60 Seat covers or floor mats of plastics 8708.29.91 Other: Veterinary units and parts and accessories thereof, designed for the transportation and storage of veterinary equipment and preparations, for installation on motor vehicles; Parts and accessories for use in the manufacture of fire fighting vehicles; Parts for the tractors of tariff item No. 8701.10.10, 8701.30.00, 8701.91.00, 8701.92.00, 8701.93.00, 8701.94.00 or 8701.95.90 8708.29.92 Other: Rear-trunk spoilers or wings of polyurethane, for use as aftermarket automotive accessories 8708.29.99 Other: Other 8708.30.11 Mounted brake linings: For the tractors of tariff item No.</w:t>
      </w:r>
    </w:p>
    <w:p>
      <w:pPr>
        <w:pStyle w:val="Normal"/>
      </w:pPr>
      <w:r>
        <w:t>8701.10.10, 8701.30.00, 8701.91.00, 8701.92.00, 8701.93.00, 8701.94.00 or 8701.95.90 8708.30.19 Mounted brake linings: Other 8708.30.91 Other: Parts, excluding slack adjusters, service chambers, double diaphragm spring brake actuators and oiled air connectors, for use in the manufacture of air or vacuum brake control systems; Parts for the tractors of tariff item No. 8701.10.10, 8701.30.00, 8701.91.00, 8701.92.00, 8701.93.00, 8701.94.00 or 8701.95.90 8708.30.99 Other: Other 8708.40.21 Gear boxes: For the tractors of tariff item No. 8701.10.10, 8701.30.00, 8701.91.00, 8701.92.00, 8701.93.00, 8701.94.00 or 8701.95.90; Transfer cases for use in the manufacture of tandem suspension conversion systems or all-wheel drive conversion systems to be installed in vehicles of heading 87.04 or 87.05 after the date of manufacture of those vehicles but prior to the date of receipt and licensing by the original purchaser 8708.40.29 Gear boxes: Other 8708.40.91 Other: For the tractors of tariff item No. 8701.10.10, 8701.30.00, 8701.91.00, 8701.92.00, 8701.93.00, 8701.94.00 or 8701.95.90; For installation in motor vehicles designed for the transportation and storage of veterinary equipment and preparations; Parts and accessories for use in the manufacture of fire fighting vehicles 8708.40.99 Other: Other 8708.50.31 Drive-axles with differential, whether or not provided with other transmission components: For the tractors of tariff item No.</w:t>
      </w:r>
    </w:p>
    <w:p>
      <w:pPr>
        <w:pStyle w:val="Normal"/>
      </w:pPr>
      <w:r>
        <w:t>8701.10.10, 8701.30.00, 8701.91.00, 8701.92.00, 8701.93.00, 8701.94.00 or 8701.95.90; For use in the manufacture of self-propelled road sweepers; Front steerable drive axles for use in the manufacture of tandem suspension conversion systems or all-wheel drive conversion systems to be installed in vehicles of heading 87.04 or 87.05 after the date of manufacture of those vehicles but prior to the date of receipt and licensing by the original purchaser; Transaxle assemblies for use in the manufacture of off-highway utility vehicles of a weight not exceeding 680 kg 8708.50.39 Drive-axles with differential, whether or not provided with other transmission components: Other 8708.50.81 Parts of drive-axles with differential: For installation in motor vehicles designed for the transportation and storage of veterinary equipment and preparations; Half shafts for the tractors of tariff item No. 8701.10.10, 8701.30.00, 8701.91.00, 8701.92.00, 8701.93.00, 8701.94.00 or 8701.95.90; Parts and accessories for use in the manufacture of fire fighting vehicles 8708.50.89 Parts of drive-axles with differential: Other 8708.50.91 Other: For the tractors of tariff item No. 8701.10.10, 8701.30.00, 8701.91.00, 8701.92.00, 8701.93.00, 8701.94.00 or 8701.95.90 8708.50.99 Other: Other 8708.70.11 Road wheels: For the tractors of tariff item No.</w:t>
      </w:r>
    </w:p>
    <w:p>
      <w:pPr>
        <w:pStyle w:val="Normal"/>
      </w:pPr>
      <w:r>
        <w:t>8701.10.10, 8701.30.00, 8701.91.00, 8701.92.00, 8701.93.00, 8701.94.00 or 8701.95.90 8708.70.19 Road wheels: Other 8708.70.21 Parts and accessories: Locking ring and rim sections, of hot- rolled iron or steel, for use in the manufacture of wheel rim assemblies; For the tractors of tariff item No. 8701.10.10, 8701.30.00, 8701.91.00, 8701.92.00, 8701.93.00, 8701.94.00 or 8701.95.90 8708.70.29 Parts and accessories: Other 8708.80.11 McPherson struts: For use in the manufacture of off-highway utility vehicles of a weight not exceeding 680 kg 8708.80.19 McPherson struts: Other 8708.80.20 Spring shock assemblies for use in the manufacture of off- highway utility vehicles of a weight not exceeding 680 kg; Other, for the tractors of tariff item No. 8701.10.10, 8701.30.00, 8701.91.00, 8701.92.00, 8701.93.00, 8701.94.00 or 8701.95.90 8708.80.30 Other suspension shock absorbers 8708.80.91 Other: For the tractors of tariff item No. 8701.10.10, 8701.30.00, 8701.91.00, 8701.92.00, 8701.93.00, 8701.94.00 or 8701.95.90 8708.80.99 Other: Other 8708.91.21 Radiators: For the tractors of tariff item No. 8701.10.10, 8701.30.00, 8701.91.00, 8701.92.00, 8701.93.00, 8701.94.00 or 8701.95.90 8708.91.29 Radiators: Other 8708.91.91 Other: For the tractors of tariff item No.</w:t>
      </w:r>
    </w:p>
    <w:p>
      <w:pPr>
        <w:pStyle w:val="Normal"/>
      </w:pPr>
      <w:r>
        <w:t>8701.10.10, 8701.30.00, 8701.91.00, 8701.92.00, 8701.93.00, 8701.94.00 or 8701.95.90; For installation in motor vehicles designed for the transportation and storage of veterinary equipment and preparations; Parts and accessories for use in the manufacture of fire fighting vehicles; Parts for use in the manufacture of aftermarket radiators for motor vehicles 8708.91.99 Other: Other 8708.92.21 Silencers (mufflers) and exhaust pipes: For the tractors of tariff item No. 8701.10.10, 8701.30.00, 8701.91.00, 8701.92.00, 8701.93.00, 8701.94.00 or 8701.95.90 8708.92.29 Silencers (mufflers) and exhaust pipes: Other 8708.92.91 Other: For the tractors of tariff item No. 8701.10.10, 8701.30.00, 8701.91.00, 8701.92.00, 8701.93.00, 8701.94.00 or 8701.95.90; For installation in motor vehicles designed for the transportation and storage of veterinary equipment and preparations; Parts and accessories for use in the manufacture of fire fighting vehicles 8708.92.99 Other: Other 8708.93.11 Clutches: For the tractors of tariff item No. 8701.10.10, 8701.30.00, 8701.91.00, 8701.92.00, 8701.93.00, 8701.94.00 or 8701.95.90 8708.93.19 Clutches: Other 8708.93.21 Parts of clutches: For the tractors of tariff item No. 8701.10.10, 8701.30.00, 8701.91.00, 8701.92.00, 8701.93.00, 8701.94.00 or 8701.95.90 8708.93.29 Parts of clutches: Other 8708.94.21 Steering wheels, steering columns and steering boxes: For the tractors of tariff item No.</w:t>
      </w:r>
    </w:p>
    <w:p>
      <w:pPr>
        <w:pStyle w:val="Normal"/>
      </w:pPr>
      <w:r>
        <w:t>8701.10.10, 8701.30.00, 8701.91.00, 8701.92.00, 8701.93.00, 8701.94.00 or 8701.95.90 8708.94.29 Steering wheels, steering columns and steering boxes: Other 8708.94.91 Other: For the tractors of tariff item No. 8701.10.10, 8701.30.00, 8701.91.00, 8701.92.00, 8701.93.00, 8701.94.00 or 8701.95.90; Rack and pinion steering assemblies for use in the manufacture of off-highway utility vehicles of a weight not exceeding 680 kg 8708.94.99 Other: Other 8708.95.10 For installation in motor vehicles designed for the transportation and storage of veterinary equipment and preparations; Parts and accessories for use in the manufacture of fire fighting vehicles 8708.95.90 Other 8708.99.14 Parts for power trains: For the tractors of tariff item No. 8701.10.10, 8701.30.00, 8701.91.00, 8701.92.00, 8701.93.00, 8701.94.00 or 8701.95.90 8708.99.15 Parts for power trains: For the vehicles of heading 87.03 8708.99.19 Parts for power trains: Other 8708.99.41 Vibration control units containing rubber: For the tractors of tariff item No. 8701.10.10, 8701.30.00, 8701.91.00, 8701.92.00, 8701.93.00, 8701.94.00 or 8701.95.90 8708.99.49 Vibration control units containing rubber: Other 8708.99.51 Double flanged wheel hub units incorporating ball bearings: For the tractors of tariff item No. 8701.10.10, 8701.30.00, 8701.91.00, 8701.92.00, 8701.93.00, 8701.94.00 or 8701.95.90 8708.99.59 Double flanged wheel hub units incorporating ball bearings: Other 8708.99.91 Other: For the tractors of tariff item No.</w:t>
      </w:r>
    </w:p>
    <w:p>
      <w:pPr>
        <w:pStyle w:val="Normal"/>
      </w:pPr>
      <w:r>
        <w:t>8701.10.10, 8701.30.00, 8701.91.00, 8701.92.00, 8701.93.00, 8701.94.00 or 8701.95.90; Veterinary units, and parts and accessories thereof, designed for the transportation and storage of veterinary equipment and preparations, for installation in motor vehicles; Parts and accessories for use in the manufacture of fire fighting vehicles; Parts for use in the manufacture of aftermarket gas tanks for motor vehicles 8708.99.99 Other: Other 8709.11.10 Industrial tow tractors with motors of an output not exceeding 3.5 kW 8709.11.90 Other 8709.19.10 Tractors 8709.19.90 Other 8709.90.00 Parts 8710.00.00 Tanks and other armoured fighting vehicles, motorized, whether or not fitted with weapons, and parts of such vehicles.</w:t>
      </w:r>
    </w:p>
    <w:p>
      <w:pPr>
        <w:pStyle w:val="Normal"/>
      </w:pPr>
      <w:r>
        <w:t>8711.10.00 With reciprocating internal combustion piston engine of a cylinder capacity not exceeding 50 cc 8711.20.00 With reciprocating internal combustion piston engine of a cylinder capacity exceeding 50 cc but not exceeding 250 cc 8711.30.00 With reciprocating internal combustion piston engine of a cylinder capacity exceeding 250 cc but not exceeding 500 cc 8711.40.00 With reciprocating internal combustion piston engine of a cylinder capacity exceeding 500 cc but not exceeding 800 cc 8711.50.00 With reciprocating internal combustion piston engine of a cylinder capacity exceeding 800 cc 8711.60.00 With electric motor for propulsion 8711.90.00 Other 8712.00.00 Bicycles and other cycles (including delivery tricycles), not motorized.</w:t>
      </w:r>
    </w:p>
    <w:p>
      <w:pPr>
        <w:pStyle w:val="Normal"/>
      </w:pPr>
      <w:r>
        <w:t>8713.10.00 Not mechanically propelled 8713.90.00 Other 8714.10.00 Of motorcycles (including mopeds) 8714.20.00 Of carriages for disabled persons 8714.91.10 Frame lugs, bottom bracket shells, forks, fork tubing sets, fork bearing assemblies, hydraulic shock absorbing cylinders, spring shock absorbers, rear pivots, cable stops, cable guides and back, chain and seat stays 8714.91.90 Other 8714.92.00 Wheel rims and spokes 8714.93.00 Hubs, other than coaster braking hubs and hub brakes, and free wheel sprocket-wheels 8714.94.00 Brakes, including coaster braking hubs, and hub brakes, and parts thereof 8714.95.00 Saddles 8714.96.00 Pedals and crank-gear, and parts thereof 8714.99.10 Bicycle wheels 8714.99.90 Other 8715.00.00 Baby carriages and parts thereof. 8716.10.00 Trailers and semi-trailers of the caravan type, for housing or camping 8716.20.10 Automatic bale stacking wagons, grain carts and silage wagons 8716.20.90 Other 8716.31.00 Tanker trailers and tanker semi-trailers 8716.39.10 Aluminum construction drop-centre livestock trailers having a g.v.w.</w:t>
      </w:r>
    </w:p>
    <w:p>
      <w:pPr>
        <w:pStyle w:val="Normal"/>
      </w:pPr>
      <w:r>
        <w:t>of 11.778 tonnes or more and a length exceeding 12 m 8716.39.20 Farm, logging or freight wagons; Trailers for self-propelled logging trucks of heading 87.04 8716.39.30 Trailers and semi-trailers for road tractors or for motor vehicles for the transport of goods (excluding non-commercial snowmobile, utility, boat or horse trailers and trailers for use as permanent mountings for machinery or equipment) 8716.39.90 Other 8716.40.00 Other trailers and semi-trailers 8716.80.10 For the transport of persons 8716.80.20 For the transport of goods 8716.90.30 For use in the manufacture of trailers and semi-trailers 8716.90.91 Other: Brake drums, hubs and rotors for use in the manufacture or repair of brakes and brake assemblies mounted on axles for semi-trailers; Double ball race turntables for use in the manufacture of self- steering axle assemblies for trailers; Forage boxes for self-loading or self-unloading trailers and semi trailers, for agricultural purposes; Gravity discharge boxes for farm wagons; Hitches and couplings, for use on the farm; Parts for automatic bale stacking wagons, grain carts, silage wagons, or the header or swather transporters of subheading 8716.39 8716.90.92 Other:</w:t>
      </w:r>
    </w:p>
    <w:p>
      <w:pPr>
        <w:pStyle w:val="Normal"/>
      </w:pPr>
      <w:r>
        <w:t>Other parts for farm, logging or freight wagons, for trailers for self-propelled logging trucks or for other vehicles for the transport of persons 8716.90.99 Other: Other 8801.00.10 Captive balloons 8801.00.90 Other 8802.11.00 Of an unladen weight not exceeding 2,000 kg 8802.12.00 Of an unladen</w:t>
      </w:r>
    </w:p>
    <w:p>
      <w:pPr>
        <w:pStyle w:val="Normal"/>
      </w:pPr>
      <w:r>
        <w:t>weight exceeding 2,000 kg 8802.20.00 Airplanes and other aircraft, of an unladen weight not exceeding 2,000 kg 8802.30.00 Airplanes and other aircraft, of an unladen weight exceeding 2,000 kg but not exceeding 15,000 kg 8802.40.00 Airplanes and other aircraft, of an unladen weight exceeding 15,000 kg 8802.60.10 Satellites 8802.60.90 Other 8803.10.00 Propellers and rotors and parts thereof 8803.20.00 Under-carriages and parts thereof 8803.30.00 Other parts of airplanes or helicopters 8803.90.00 Other 8804.00.10 Parachutes (including dirigible parachutes) and rotochutes 8804.00.20 Parts and accessories for parachutes (including dirigible parachutes) and rotochutes 8804.00.30 Paragliders; parts thereof and accessories thereto 8805.10.00 Aircraft launching gear and parts thereof; deck-arrestor or similar gear and parts thereof 8805.21.00 Air combat simulators and parts thereof 8805.29.00 Other 8901.10.10 Of dimensions exceeding a length of 294.13 m and a beam of 32.31 m 8901.10.90 Other 8901.20.10 Of dimensions exceeding a length of 294.13 m and a beam of 32.31 m 8901.20.90 Other 8901.30.00 Refrigerated vessels, other than those of subheading 8901.20 8901.90.10 Open vessels 8901.90.91 Other:</w:t>
      </w:r>
    </w:p>
    <w:p>
      <w:pPr>
        <w:pStyle w:val="Normal"/>
      </w:pPr>
      <w:r>
        <w:t>Of dimensions exceeding a length of 294.13 m and a beam of 32.31 m 8901.90.99 Other: Other 8902.00.10 Of a registered length not exceeding 30.5 m 8902.00.20 Of a registered length exceeding 30.5 m 8903.10.00 Inflatable 8903.91.00 Sailboats, with or without auxiliary motor 8903.92.00</w:t>
      </w:r>
    </w:p>
    <w:p>
      <w:pPr>
        <w:pStyle w:val="Normal"/>
      </w:pPr>
      <w:r>
        <w:t>Motorboats, other than outboard motorboats 8903.99.10 Racing shells 8903.99.90 Other 8904.00.00 Tugs and pusher craft. 8905.10.00 Dredgers 8905.20.11 Drilling platforms: Used in drilling activity for exploration, delineation or development of offshore projects 8905.20.19 Drilling platforms: Other 8905.20.20 Production platforms 8905.90.11 Drill-ships, drilling barges and floating drilling rigs: Drill-ships used in drilling activity for exploration, delineation or development of offshore projects 8905.90.19 Drill-ships, drilling barges and floating drilling rigs: Other 8905.90.20 Semi-submersible crane vessels, floating cranes, and other heavy lift crane vessels, with a minimum gross lift capacity of 1,200 tonnes 8905.90.90 Other 8906.10.00 Warships 8906.90.11 Open vessels: Lifeboats imported by societies dedicated to the saving of lives 8906.90.19 Open vessels: Other 8906.90.91 Other: Of dimensions exceeding a length of 294.13 m and a beam of 32.31 m 8906.90.99 Other: Other 8907.10.10 Imported by societies dedicated to the saving of lives 8907.10.90 Other 8907.90.10 Marker buoys, excluding wooden buoys, to be employed in commercial fishing or in the commercial harvesting of marine plants 8907.90.20 Other buoys and beacons 8907.90.90 Other 8908.00.10 Stripped of salvageable articles or equipment 8908.00.90 Other 9001.10.00 Optical fibres, optical fibre bundles and cables 9001.20.00 Sheets and plates of polarizing material 9001.30.00 Contact lenses 9001.40.10 Designed for use</w:t>
      </w:r>
    </w:p>
    <w:p>
      <w:pPr>
        <w:pStyle w:val="Normal"/>
      </w:pPr>
      <w:r>
        <w:t>by workers employed in hazardous work 9001.40.40 Other, unfinished 9001.40.90 Other 9001.50.10 Designed for use by workers employed in hazardous work; Unfinished, light polarizing, for use in the manufacture of spectacles 9001.50.40 Other, unfinished 9001.50.90 Other 9001.90.10 Diffusion discs, polarizing filters and colour filters, for cameras, and holders for use therewith; Diffraction gratings, proof planes and optical flats; Fresnel lenses or lenticular lenses for use in the manufacture of projection-type colour television receivers; Halftone or similar printing screens; Lenses or shields for use in the manufacture of ski goggles 9001.90.90 Other 9002.11.10 For colour television cameras or colour video cameras; For enlargers making negatives or positives of a width exceeding 10 cm and a length exceeding 12.5 cm; For photographic cameras; For use in the manufacture of projectors; To be employed in the commercial production of video tape productions, cinematographic films (motion picture films), animated films or multi-image shows 9002.11.90 Other 9002.19.10 For microscopes; For photogrammetric instruments; For rangefinders; For microfilm reader-printers;</w:t>
      </w:r>
    </w:p>
    <w:p>
      <w:pPr>
        <w:pStyle w:val="Normal"/>
      </w:pPr>
      <w:r>
        <w:t>Of a diameter of 6 cm or more but not exceeding 20.5 cm, for astronomical telescopes 9002.19.90 Other 9002.20.10 Diffusion discs, polarizing filters and colour filters, for cameras, and holders for use therewith; Filters for photogrammetric or stereoscopic instruments; Polarizing filters for microscopes 9002.20.90 Other</w:t>
      </w:r>
    </w:p>
    <w:p>
      <w:pPr>
        <w:pStyle w:val="Normal"/>
      </w:pPr>
      <w:r>
        <w:t>9002.90.10 Halftone or similar printing screens; Lenses, viewfinders and eyepieces, used with the equipment and apparatus specified in tariff item No. 9002.11.10 or 9002.19.10; Mirrors and prisms for astronomical telescopes 9002.90.90 Other 9003.11.10 For prismatic eyeglasses for reading; For safety goggles or safety spectacles designed for use by workers employed in hazardous work 9003.11.20 For other spectacles, goggles or the like 9003.19.00 Of other materials 9003.90.10 For use in the manufacture of ski goggles; Of other spectacles, goggles or the like, unfinished; Of prismatic eyeglasses for reading; Of safety goggles or safety spectacles designed for use by workers employed in hazardous work 9003.90.90 Other 9004.10.00 Sunglasses 9004.90.10 Prismatic eyeglasses for reading; Safety goggles and safety spectacles, designed for use by workers employed in hazardous work 9004.90.90 Other 9005.10.00 Binoculars 9005.80.10 Telescopes 9005.80.90 Other 9005.90.11 Of binoculars or telescopes of heading 90.05: Incorporating goods of heading 90.01 or 90.02 9005.90.19 Of binoculars or telescopes of heading 90.05: Other 9005.90.91 Other: Incorporating goods of heading 90.01 or 90.02 9005.90.99 Other: Other 9006.30.10 Comparison cameras for forensic or criminological purposes;</w:t>
      </w:r>
    </w:p>
    <w:p>
      <w:pPr>
        <w:pStyle w:val="Normal"/>
      </w:pPr>
      <w:r>
        <w:t>For making negatives or positives of a width exceeding 8 cm and of a length exceeding 10.5 cm; Specially designed for medical or surgical examination of internal organs 9006.30.90 Other 9006.40.00 Instant print</w:t>
      </w:r>
    </w:p>
    <w:p>
      <w:pPr>
        <w:pStyle w:val="Normal"/>
      </w:pPr>
      <w:r>
        <w:t>cameras 9006.51.00 With a through-the-lens viewfinder (single lens reflex (SLR)), for roll film of a width not exceeding 35 mm 9006.52.10 For making negatives or positives; Single-use cameras 9006.52.90 Other 9006.53.10 For making negatives or positives; Single-use cameras 9006.53.90 Other 9006.59.10 For making negatives or positives 9006.59.90 Other 9006.61.00 Discharge lamp (“electronic”) flashlight apparatus 9006.69.10 Flash guns 9006.69.20 Flashbulbs, flashcubes and the like 9006.69.90 Other 9006.91.10 Lantern slide attachments, lens hoods, stands and vignetters; Parts of the foregoing; Shutters and parts thereof, for use in the manufacture of cameras; Tripod tops and other parts of tripods; Unfinished parts for use in the manufacture of cameras; Other parts of the goods of tariff item No.</w:t>
      </w:r>
    </w:p>
    <w:p>
      <w:pPr>
        <w:pStyle w:val="Normal"/>
      </w:pPr>
      <w:r>
        <w:t>9006.30.10, 9006.40.00, 9006.51.00, 9006.52.90, 9006.53.90, 9006.59.10 or 9006.59.90 9006.91.90 Other 9006.99.10 Parts of discharge lamp (“electronic”) flashlight apparatus or flash guns 9006.99.90 Other 9007.10.10 For use with surgical, dental, veterinary or diagnostic instruments; To be employed in the commercial production of video tape productions, cinematographic films (motion picture films), animated films or multi-image shows 9007.10.90 Other 9007.20.10 To be employed in medical, surgical, dental or veterinary applications 9007.20.90 Other 9007.91.00 For cameras 9007.92.10 Parts for use in the manufacture of projectors 9007.92.90 Other 9008.50.10 Slide projectors 9008.50.21 Microfilm, microfiche or other microform readers, whether or not capable of producing copies: Microfilm or microfiche reader- printers 9008.50.29 Microfilm, microfiche or other microform readers, whether or not capable of producing copies: Other 9008.50.30 Other image projectors 9008.50.90 Other 9008.90.10 Parts 9008.90.20 Accessories 9010.10.00 Apparatus and equipment for automatically developing photographic (including cinematographic) film or paper in rolls or for automatically exposing developed film to rolls of photographic paper 9010.50.10 Ferro-type plates; Film or paper processors for photo-finishing; Film or print dryers; For X-ray film; Mounting presses; Negative or sheet-film hangers; Print straighteners; Print washers; Tanks and trays for negative and positive processing; To be</w:t>
      </w:r>
    </w:p>
    <w:p>
      <w:pPr>
        <w:pStyle w:val="Normal"/>
      </w:pPr>
      <w:r>
        <w:t>employed in the commercial production of video tape productions or cinematographic films (motion picture films), animated films or multi-image shows 9010.50.90 Other 9010.60.00 Projection screens 9010.90.00 Parts and accessories 9011.10.00 Stereoscopic microscopes 9011.20.00 Other microscopes, for photomicrography, cinephotomicrography or microprojection 9011.80.00 Other microscopes 9011.90.00 Parts and accessories 9012.10.00 Microscopes other than optical microscopes; diffraction apparatus 9012.90.00 Parts and accessories 9013.10.00 Telescopic sights for fitting to arms; periscopes; telescopes designed to form parts of machines, appliances, instruments or apparatus of this Chapter or Section XVI 9013.20.00 Lasers, other than laser diodes 9013.80.00 Other devices, appliances and instruments 9013.90.00 Parts and accessories 9014.10.10 For marine or aeronautical navigation; For use in the manufacture of geophysical instruments or appliances or for use in the manufacture of parts and accessories thereof, of heading 90.15 9014.10.90 Other 9014.20.00 Instruments and appliances for aeronautical or space navigation (other than compasses) 9014.80.10 Sextants 9014.80.90 Other 9014.90.00 Parts and accessories 9015.10.00 Rangefinders 9015.20.00 Theodolites and tachymeters (tacheometers) 9015.30.00 Levels 9015.40.00 Photogrammetrical surveying instruments and appliances 9015.80.10 Geophysical instruments, excluding magnetometers, gravimeters and geophone stringers; Oceanographic</w:t>
      </w:r>
    </w:p>
    <w:p>
      <w:pPr>
        <w:pStyle w:val="Normal"/>
      </w:pPr>
      <w:r>
        <w:t>instruments and appliances, to be employed in research 9015.80.20 Anemometers and other instruments for measuring wind direction; Ceilometers; Visibility meters, including transmissometers 9015.80.90 Other 9015.90.00 Parts and accessories 9016.00.00 Balances of a sensitivity of 5 cg or better, with or without weights. 9017.10.10 Drafting machines 9017.10.20 Drafting tables 9017.20.10 Drawing instruments 9017.20.90 Other 9017.30.00 Micrometers, callipers and gauges 9017.80.10 Measuring rules and tapes 9017.80.90 Other, including map measurers 9017.90.00 Parts and accessories 9018.11.10 Electro-cardiographs 9018.11.91 Parts and accessories: Printed circuit assemblies 9018.11.99 Parts and accessories: Other 9018.12.00 Ultrasonic scanning apparatus 9018.13.00 Magnetic resonance imaging apparatus 9018.14.00 Scintigraphic apparatus 9018.19.10 Patient monitoring systems 9018.19.20 Printed circuit assemblies for parameter acquisition modules 9018.19.90 Other 9018.20.00 Ultra-violet or infra-red ray apparatus 9018.31.00 Syringes, with or without needles 9018.32.00 Tubular metal needles and needles for sutures 9018.39.00 Other 9018.41.00 Dental drill engines, whether or not combined on a single base with other dental equipment 9018.49.00 Other 9018.50.00 Other ophthalmic instruments and appliances 9018.90.10 Defibrillators 9018.90.20 Printed circuit assemblies for the goods of tariff item No.</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9018.90.10</w:t>
            </w:r>
          </w:p>
        </w:tc>
        <w:tc>
          <w:tcPr>
            <w:tcW w:w="4679" w:type="dxa"/>
            <w:tcMar>
              <w:top w:w="70" w:type="dxa"/>
              <w:start w:w="110" w:type="dxa"/>
              <w:bottom w:w="70" w:type="dxa"/>
              <w:end w:w="110" w:type="dxa"/>
            </w:tcMar>
            <w:vAlign w:val="center"/>
          </w:tcPr>
          <w:p>
            <w:pPr>
              <w:pStyle w:val="TableText"/>
              <w:jc w:val="left"/>
            </w:pPr>
            <w:r>
              <w:rPr>
                <w:lang w:val="en-US" w:eastAsia="en-US" w:bidi="ar-SA"/>
              </w:rPr>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9018.90.90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9019.10.00</w:t>
            </w:r>
          </w:p>
        </w:tc>
        <w:tc>
          <w:tcPr>
            <w:tcW w:w="4679" w:type="dxa"/>
            <w:tcMar>
              <w:top w:w="70" w:type="dxa"/>
              <w:start w:w="110" w:type="dxa"/>
              <w:bottom w:w="70" w:type="dxa"/>
              <w:end w:w="110" w:type="dxa"/>
            </w:tcMar>
            <w:vAlign w:val="center"/>
          </w:tcPr>
          <w:p>
            <w:pPr>
              <w:pStyle w:val="TableText"/>
              <w:jc w:val="left"/>
            </w:pPr>
            <w:r>
              <w:rPr>
                <w:lang w:val="en-US" w:eastAsia="en-US" w:bidi="ar-SA"/>
              </w:rPr>
              <w:t>Mechano-therapy appliances; massage apparatus; psychological aptitude-testing apparatus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9019.20.00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Ozone therapy, oxygen therapy, aerosol therapy, artificial respiration or other therapeutic respiration apparatus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9020.00.00</w:t>
            </w:r>
          </w:p>
        </w:tc>
        <w:tc>
          <w:tcPr>
            <w:tcW w:w="4679" w:type="dxa"/>
            <w:tcMar>
              <w:top w:w="70" w:type="dxa"/>
              <w:start w:w="110" w:type="dxa"/>
              <w:bottom w:w="70" w:type="dxa"/>
              <w:end w:w="110" w:type="dxa"/>
            </w:tcMar>
            <w:vAlign w:val="center"/>
          </w:tcPr>
          <w:p>
            <w:pPr>
              <w:pStyle w:val="TableText"/>
              <w:jc w:val="left"/>
            </w:pPr>
            <w:r>
              <w:rPr>
                <w:lang w:val="en-US" w:eastAsia="en-US" w:bidi="ar-SA"/>
              </w:rPr>
              <w:t>Other breathing appliances and gas masks, excluding protective masks having neither mechanical parts nor replaceable filters.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Orthopaedic or fracture appliances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9021.21.00</w:t>
            </w:r>
          </w:p>
        </w:tc>
        <w:tc>
          <w:tcPr>
            <w:tcW w:w="4679" w:type="dxa"/>
            <w:tcMar>
              <w:top w:w="70" w:type="dxa"/>
              <w:start w:w="110" w:type="dxa"/>
              <w:bottom w:w="70" w:type="dxa"/>
              <w:end w:w="110" w:type="dxa"/>
            </w:tcMar>
            <w:vAlign w:val="center"/>
          </w:tcPr>
          <w:p>
            <w:pPr>
              <w:pStyle w:val="TableText"/>
              <w:jc w:val="left"/>
            </w:pPr>
            <w:r>
              <w:rPr>
                <w:lang w:val="en-US" w:eastAsia="en-US" w:bidi="ar-SA"/>
              </w:rPr>
              <w:t>Artificial teeth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9021.29.00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9021.31.00</w:t>
            </w:r>
          </w:p>
        </w:tc>
        <w:tc>
          <w:tcPr>
            <w:tcW w:w="4679" w:type="dxa"/>
            <w:tcMar>
              <w:top w:w="70" w:type="dxa"/>
              <w:start w:w="110" w:type="dxa"/>
              <w:bottom w:w="70" w:type="dxa"/>
              <w:end w:w="110" w:type="dxa"/>
            </w:tcMar>
            <w:vAlign w:val="center"/>
          </w:tcPr>
          <w:p>
            <w:pPr>
              <w:pStyle w:val="TableText"/>
              <w:jc w:val="left"/>
            </w:pPr>
            <w:r>
              <w:rPr>
                <w:lang w:val="en-US" w:eastAsia="en-US" w:bidi="ar-SA"/>
              </w:rPr>
              <w:t>Artificial joints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9021.39.00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9021.40.00</w:t>
            </w:r>
          </w:p>
        </w:tc>
        <w:tc>
          <w:tcPr>
            <w:tcW w:w="4679" w:type="dxa"/>
            <w:tcMar>
              <w:top w:w="70" w:type="dxa"/>
              <w:start w:w="110" w:type="dxa"/>
              <w:bottom w:w="70" w:type="dxa"/>
              <w:end w:w="110" w:type="dxa"/>
            </w:tcMar>
            <w:vAlign w:val="center"/>
          </w:tcPr>
          <w:p>
            <w:pPr>
              <w:pStyle w:val="TableText"/>
              <w:jc w:val="left"/>
            </w:pPr>
            <w:r>
              <w:rPr>
                <w:lang w:val="en-US" w:eastAsia="en-US" w:bidi="ar-SA"/>
              </w:rPr>
              <w:t>Hearing aids, excluding parts and accessories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9021.50.00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Pacemakers for stimulating heart muscles, excluding parts and accessories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9021.90.00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9022.12.00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Computed tomography apparatus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9022.13.00</w:t>
            </w:r>
          </w:p>
        </w:tc>
        <w:tc>
          <w:tcPr>
            <w:tcW w:w="4679" w:type="dxa"/>
            <w:tcMar>
              <w:top w:w="70" w:type="dxa"/>
              <w:start w:w="110" w:type="dxa"/>
              <w:bottom w:w="70" w:type="dxa"/>
              <w:end w:w="110" w:type="dxa"/>
            </w:tcMar>
            <w:vAlign w:val="center"/>
          </w:tcPr>
          <w:p>
            <w:pPr>
              <w:pStyle w:val="TableText"/>
              <w:jc w:val="left"/>
            </w:pPr>
            <w:r>
              <w:rPr>
                <w:lang w:val="en-US" w:eastAsia="en-US" w:bidi="ar-SA"/>
              </w:rPr>
              <w:t>Other, for dental uses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9022.14.00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for medical, surgical or veterinary uses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9022.19.00</w:t>
            </w:r>
          </w:p>
        </w:tc>
        <w:tc>
          <w:tcPr>
            <w:tcW w:w="4679" w:type="dxa"/>
            <w:tcMar>
              <w:top w:w="70" w:type="dxa"/>
              <w:start w:w="110" w:type="dxa"/>
              <w:bottom w:w="70" w:type="dxa"/>
              <w:end w:w="110" w:type="dxa"/>
            </w:tcMar>
            <w:vAlign w:val="center"/>
          </w:tcPr>
          <w:p>
            <w:pPr>
              <w:pStyle w:val="TableText"/>
              <w:jc w:val="left"/>
            </w:pPr>
            <w:r>
              <w:rPr>
                <w:lang w:val="en-US" w:eastAsia="en-US" w:bidi="ar-SA"/>
              </w:rPr>
              <w:t>For other uses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9022.21.00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medical, surgical, dental or veterinary uses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9022.29.00</w:t>
            </w:r>
          </w:p>
        </w:tc>
        <w:tc>
          <w:tcPr>
            <w:tcW w:w="4679" w:type="dxa"/>
            <w:tcMar>
              <w:top w:w="70" w:type="dxa"/>
              <w:start w:w="110" w:type="dxa"/>
              <w:bottom w:w="70" w:type="dxa"/>
              <w:end w:w="110" w:type="dxa"/>
            </w:tcMar>
            <w:vAlign w:val="center"/>
          </w:tcPr>
          <w:p>
            <w:pPr>
              <w:pStyle w:val="TableText"/>
              <w:jc w:val="left"/>
            </w:pPr>
            <w:r>
              <w:rPr>
                <w:lang w:val="en-US" w:eastAsia="en-US" w:bidi="ar-SA"/>
              </w:rPr>
              <w:t>For other uses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9022.30.00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X-ray tubes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9022.90.10</w:t>
            </w:r>
          </w:p>
        </w:tc>
        <w:tc>
          <w:tcPr>
            <w:tcW w:w="4679" w:type="dxa"/>
            <w:tcMar>
              <w:top w:w="70" w:type="dxa"/>
              <w:start w:w="110" w:type="dxa"/>
              <w:bottom w:w="70" w:type="dxa"/>
              <w:end w:w="110" w:type="dxa"/>
            </w:tcMar>
            <w:vAlign w:val="center"/>
          </w:tcPr>
          <w:p>
            <w:pPr>
              <w:pStyle w:val="TableText"/>
              <w:jc w:val="left"/>
            </w:pPr>
            <w:r>
              <w:rPr>
                <w:lang w:val="en-US" w:eastAsia="en-US" w:bidi="ar-SA"/>
              </w:rPr>
              <w:t>Radiation generator units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9022.90.20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Radiation beam delivery units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9022.90.90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9023.00.00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Instruments, apparatus and models, designed for demonstrational purposes (for example, in education or exhibitions), unsuitable for other uses.</w:t>
            </w:r>
          </w:p>
        </w:tc>
      </w:tr>
    </w:tbl>
    <w:p>
      <w:pPr>
        <w:pStyle w:val="Normal"/>
      </w:pPr>
      <w:r>
        <w:t>9024.10.00 Machines and appliances for testing metals 9024.80.00 Other machines and appliances 9024.90.00 Parts and accessories 9025.11.10 Clinical thermometers 9025.11.90 Other 9025.19.00 Other 9025.80.10 Barometers, not combined with other instruments 9025.80.90 Other 9025.90.00 Parts and accessories 9026.10.00 For measuring or checking the flow or level of liquids 9026.20.00 For measuring or checking pressure 9026.80.00 Other instruments or apparatus 9026.90.00 Parts and accessories 9027.10.00 Gas or smoke analysis apparatus 9027.20.00 Chromatographs and electrophoresis instruments 9027.30.00 Spectrometers, spectrophotometers and spectrographs using optical radiations (UV, visible, IR) 9027.50.00 Other instruments and apparatus using optical radiations (UV, visible, IR) 9027.80.11 Salinometers, titration instruments, rH and pH meters; Vibration, noise or spike energy measuring, analyzing or monitoring instruments: For physical or chemical analysis of drilling mud, acidizing fluids, fracturing fluids or well cement, excluding pH meters 9027.80.19 Salinometers, titration instruments, rH and pH meters; Vibration, noise or spike energy measuring, analyzing or monitoring instruments: Other 9027.80.20 Nuclear magnetic resonance instruments 9027.80.90 Other 9027.90.00 Microtomes; parts and accessories 9028.10.00 Gas meters 9028.20.00 Liquid meters 9028.30.00 Electricity meters 9028.90.10 Of gas meters; Of liquid meters, excluding those for fitting to fuel dispensing pumps, of</w:t>
      </w:r>
    </w:p>
    <w:p>
      <w:pPr>
        <w:pStyle w:val="Normal"/>
      </w:pPr>
      <w:r>
        <w:t>the kind used in filling stations or in garages; Transducers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9028.90.90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9029.10.00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Revolution counters, production counters, taximeters, mileometers, pedometers and the like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9029.20.00</w:t>
            </w:r>
          </w:p>
        </w:tc>
        <w:tc>
          <w:tcPr>
            <w:tcW w:w="4679" w:type="dxa"/>
            <w:tcMar>
              <w:top w:w="70" w:type="dxa"/>
              <w:start w:w="110" w:type="dxa"/>
              <w:bottom w:w="70" w:type="dxa"/>
              <w:end w:w="110" w:type="dxa"/>
            </w:tcMar>
            <w:vAlign w:val="center"/>
          </w:tcPr>
          <w:p>
            <w:pPr>
              <w:pStyle w:val="TableText"/>
              <w:jc w:val="left"/>
            </w:pPr>
            <w:r>
              <w:rPr>
                <w:lang w:val="en-US" w:eastAsia="en-US" w:bidi="ar-SA"/>
              </w:rPr>
              <w:t>Speed indicators and tachometers; stroboscopes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9029.90.00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 and accessories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9030.10.00</w:t>
            </w:r>
          </w:p>
        </w:tc>
        <w:tc>
          <w:tcPr>
            <w:tcW w:w="4679" w:type="dxa"/>
            <w:tcMar>
              <w:top w:w="70" w:type="dxa"/>
              <w:start w:w="110" w:type="dxa"/>
              <w:bottom w:w="70" w:type="dxa"/>
              <w:end w:w="110" w:type="dxa"/>
            </w:tcMar>
            <w:vAlign w:val="center"/>
          </w:tcPr>
          <w:p>
            <w:pPr>
              <w:pStyle w:val="TableText"/>
              <w:jc w:val="left"/>
            </w:pPr>
            <w:r>
              <w:rPr>
                <w:lang w:val="en-US" w:eastAsia="en-US" w:bidi="ar-SA"/>
              </w:rPr>
              <w:t>Instruments and apparatus for measuring or detecting ionizing radiations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9030.20.00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Oscilloscopes and oscillographs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9030.31.00</w:t>
            </w:r>
          </w:p>
        </w:tc>
        <w:tc>
          <w:tcPr>
            <w:tcW w:w="4679" w:type="dxa"/>
            <w:tcMar>
              <w:top w:w="70" w:type="dxa"/>
              <w:start w:w="110" w:type="dxa"/>
              <w:bottom w:w="70" w:type="dxa"/>
              <w:end w:w="110" w:type="dxa"/>
            </w:tcMar>
            <w:vAlign w:val="center"/>
          </w:tcPr>
          <w:p>
            <w:pPr>
              <w:pStyle w:val="TableText"/>
              <w:jc w:val="left"/>
            </w:pPr>
            <w:r>
              <w:rPr>
                <w:lang w:val="en-US" w:eastAsia="en-US" w:bidi="ar-SA"/>
              </w:rPr>
              <w:t>Multimeters without a recording device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9030.32.00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Multimeters with a recording device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9030.33.00</w:t>
            </w:r>
          </w:p>
        </w:tc>
        <w:tc>
          <w:tcPr>
            <w:tcW w:w="4679" w:type="dxa"/>
            <w:tcMar>
              <w:top w:w="70" w:type="dxa"/>
              <w:start w:w="110" w:type="dxa"/>
              <w:bottom w:w="70" w:type="dxa"/>
              <w:end w:w="110" w:type="dxa"/>
            </w:tcMar>
            <w:vAlign w:val="center"/>
          </w:tcPr>
          <w:p>
            <w:pPr>
              <w:pStyle w:val="TableText"/>
              <w:jc w:val="left"/>
            </w:pPr>
            <w:r>
              <w:rPr>
                <w:lang w:val="en-US" w:eastAsia="en-US" w:bidi="ar-SA"/>
              </w:rPr>
              <w:t>Other, without a recording device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9030.39.00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with a recording device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9030.40.00</w:t>
            </w:r>
          </w:p>
        </w:tc>
        <w:tc>
          <w:tcPr>
            <w:tcW w:w="4679" w:type="dxa"/>
            <w:tcMar>
              <w:top w:w="70" w:type="dxa"/>
              <w:start w:w="110" w:type="dxa"/>
              <w:bottom w:w="70" w:type="dxa"/>
              <w:end w:w="110" w:type="dxa"/>
            </w:tcMar>
            <w:vAlign w:val="center"/>
          </w:tcPr>
          <w:p>
            <w:pPr>
              <w:pStyle w:val="TableText"/>
              <w:jc w:val="left"/>
            </w:pPr>
            <w:r>
              <w:rPr>
                <w:lang w:val="en-US" w:eastAsia="en-US" w:bidi="ar-SA"/>
              </w:rPr>
              <w:t>Other instruments and apparatus, specially designed for telecommunications (for example, cross-talk meters, gain measuring instruments, distortion factor meters, psophometers)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9030.82.00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measuring or checking semiconductor wafers or devices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9030.84.00</w:t>
            </w:r>
          </w:p>
        </w:tc>
        <w:tc>
          <w:tcPr>
            <w:tcW w:w="4679" w:type="dxa"/>
            <w:tcMar>
              <w:top w:w="70" w:type="dxa"/>
              <w:start w:w="110" w:type="dxa"/>
              <w:bottom w:w="70" w:type="dxa"/>
              <w:end w:w="110" w:type="dxa"/>
            </w:tcMar>
            <w:vAlign w:val="center"/>
          </w:tcPr>
          <w:p>
            <w:pPr>
              <w:pStyle w:val="TableText"/>
              <w:jc w:val="left"/>
            </w:pPr>
            <w:r>
              <w:rPr>
                <w:lang w:val="en-US" w:eastAsia="en-US" w:bidi="ar-SA"/>
              </w:rPr>
              <w:t>Other, with a recording device</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9030.89.00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9030.90.00</w:t>
            </w:r>
          </w:p>
        </w:tc>
        <w:tc>
          <w:tcPr>
            <w:tcW w:w="4679" w:type="dxa"/>
            <w:tcMar>
              <w:top w:w="70" w:type="dxa"/>
              <w:start w:w="110" w:type="dxa"/>
              <w:bottom w:w="70" w:type="dxa"/>
              <w:end w:w="110" w:type="dxa"/>
            </w:tcMar>
            <w:vAlign w:val="center"/>
          </w:tcPr>
          <w:p>
            <w:pPr>
              <w:pStyle w:val="TableText"/>
              <w:jc w:val="left"/>
            </w:pPr>
            <w:r>
              <w:rPr>
                <w:lang w:val="en-US" w:eastAsia="en-US" w:bidi="ar-SA"/>
              </w:rPr>
              <w:t>Parts and accessories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Machines for balancing mechanical 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9031.20.00</w:t>
            </w:r>
          </w:p>
        </w:tc>
        <w:tc>
          <w:tcPr>
            <w:tcW w:w="4679" w:type="dxa"/>
            <w:tcMar>
              <w:top w:w="70" w:type="dxa"/>
              <w:start w:w="110" w:type="dxa"/>
              <w:bottom w:w="70" w:type="dxa"/>
              <w:end w:w="110" w:type="dxa"/>
            </w:tcMar>
            <w:vAlign w:val="center"/>
          </w:tcPr>
          <w:p>
            <w:pPr>
              <w:pStyle w:val="TableText"/>
              <w:jc w:val="left"/>
            </w:pPr>
            <w:r>
              <w:rPr>
                <w:lang w:val="en-US" w:eastAsia="en-US" w:bidi="ar-SA"/>
              </w:rPr>
              <w:t>Test benches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9031.41.00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inspecting semiconductor wafers or devices or for inspecting photomasks or reticles used in manufacturing semiconductor devices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9031.49.10</w:t>
            </w:r>
          </w:p>
        </w:tc>
        <w:tc>
          <w:tcPr>
            <w:tcW w:w="4679" w:type="dxa"/>
            <w:tcMar>
              <w:top w:w="70" w:type="dxa"/>
              <w:start w:w="110" w:type="dxa"/>
              <w:bottom w:w="70" w:type="dxa"/>
              <w:end w:w="110" w:type="dxa"/>
            </w:tcMar>
            <w:vAlign w:val="center"/>
          </w:tcPr>
          <w:p>
            <w:pPr>
              <w:pStyle w:val="TableText"/>
              <w:jc w:val="left"/>
            </w:pPr>
            <w:r>
              <w:rPr>
                <w:lang w:val="en-US" w:eastAsia="en-US" w:bidi="ar-SA"/>
              </w:rPr>
              <w:t>Co-ordinate measuring machines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9031.49.90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9031.80.00</w:t>
            </w:r>
          </w:p>
        </w:tc>
        <w:tc>
          <w:tcPr>
            <w:tcW w:w="4679" w:type="dxa"/>
            <w:tcMar>
              <w:top w:w="70" w:type="dxa"/>
              <w:start w:w="110" w:type="dxa"/>
              <w:bottom w:w="70" w:type="dxa"/>
              <w:end w:w="110" w:type="dxa"/>
            </w:tcMar>
            <w:vAlign w:val="center"/>
          </w:tcPr>
          <w:p>
            <w:pPr>
              <w:pStyle w:val="TableText"/>
              <w:jc w:val="left"/>
            </w:pPr>
            <w:r>
              <w:rPr>
                <w:lang w:val="en-US" w:eastAsia="en-US" w:bidi="ar-SA"/>
              </w:rPr>
              <w:t>Other instruments, appliances and machines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9031.90.10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Bases and frames for co-ordinate measuring machines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9031.90.90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9032.10.10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with machinery or equipment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9032.10.90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Manostats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9032.81.00</w:t>
            </w:r>
          </w:p>
        </w:tc>
        <w:tc>
          <w:tcPr>
            <w:tcW w:w="4679" w:type="dxa"/>
            <w:tcMar>
              <w:top w:w="70" w:type="dxa"/>
              <w:start w:w="110" w:type="dxa"/>
              <w:bottom w:w="70" w:type="dxa"/>
              <w:end w:w="110" w:type="dxa"/>
            </w:tcMar>
            <w:vAlign w:val="center"/>
          </w:tcPr>
          <w:p>
            <w:pPr>
              <w:pStyle w:val="TableText"/>
              <w:jc w:val="left"/>
            </w:pPr>
            <w:r>
              <w:rPr>
                <w:lang w:val="en-US" w:eastAsia="en-US" w:bidi="ar-SA"/>
              </w:rPr>
              <w:t>Hydraulic or pneumatic</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9032.89.00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9032.90.00</w:t>
            </w:r>
          </w:p>
        </w:tc>
        <w:tc>
          <w:tcPr>
            <w:tcW w:w="4679" w:type="dxa"/>
            <w:tcMar>
              <w:top w:w="70" w:type="dxa"/>
              <w:start w:w="110" w:type="dxa"/>
              <w:bottom w:w="70" w:type="dxa"/>
              <w:end w:w="110" w:type="dxa"/>
            </w:tcMar>
            <w:vAlign w:val="center"/>
          </w:tcPr>
          <w:p>
            <w:pPr>
              <w:pStyle w:val="TableText"/>
              <w:jc w:val="left"/>
            </w:pPr>
            <w:r>
              <w:rPr>
                <w:lang w:val="en-US" w:eastAsia="en-US" w:bidi="ar-SA"/>
              </w:rPr>
              <w:t>Parts and</w:t>
            </w:r>
          </w:p>
        </w:tc>
      </w:tr>
    </w:tbl>
    <w:p>
      <w:pPr>
        <w:pStyle w:val="Normal"/>
      </w:pPr>
      <w:r>
        <w:t>accessories 9033.00.00 Parts and accessories (not specified or included elsewhere in this Chapter) for machines, appliances, instruments or apparatus of Chapter 90. 9101.11.00 With mechanical display only 9101.19.00 Other 9101.21.00 With automatic winding 9101.29.00 Other 9101.91.10 Stop-watches 9101.91.90 Other 9101.99.00 Other 9102.11.00 With mechanical display only 9102.12.00 With opto-electronic display only 9102.19.00 Other 9102.21.00 With automatic winding 9102.29.00 Other 9102.91.10 Stop-watches 9102.91.90 Other 9102.99.00 Other 9103.10.00 Electrically operated 9103.90.00 Other 9104.00.00 Instrument panel clocks and clocks of a similar type for vehicles, aircraft, spacecraft or vessels. 9105.11.00 Electrically operated 9105.19.00 Other 9105.21.10 Clock systems 9105.21.90 Other 9105.29.00 Other 9105.91.10 Clock systems 9105.91.20 Chronometers for aircraft or vessels 9105.91.90 Other 9105.99.10 Chronometers for aircraft or vessels 9105.99.90 Other 9106.10.00 Time-registers; time-recorders 9106.90.10 Parking meters 9106.90.90 Other 9107.00.10 Electro-mechanical irrigation controllers; Time switches for use in the manufacture of machinery or equipment 9107.00.90 Other 9108.11.00 With mechanical display only or with a device to which a mechanical display can be incorporated 9108.12.00 With opto-electronic display only 9108.19.00 Other 9108.20.00 With automatic winding 9108.90.00 Other 9109.10.00 Electrically operated 9109.90.00 Other 9110.11.00 Complete movements,</w:t>
      </w:r>
    </w:p>
    <w:p>
      <w:pPr>
        <w:pStyle w:val="Normal"/>
      </w:pPr>
      <w:r>
        <w:t>unassembled or partly assembled (movement sets)</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9110.12.00</w:t>
            </w:r>
          </w:p>
        </w:tc>
        <w:tc>
          <w:tcPr>
            <w:tcW w:w="4679" w:type="dxa"/>
            <w:tcMar>
              <w:top w:w="70" w:type="dxa"/>
              <w:start w:w="110" w:type="dxa"/>
              <w:bottom w:w="70" w:type="dxa"/>
              <w:end w:w="110" w:type="dxa"/>
            </w:tcMar>
            <w:vAlign w:val="center"/>
          </w:tcPr>
          <w:p>
            <w:pPr>
              <w:pStyle w:val="TableText"/>
              <w:jc w:val="left"/>
            </w:pPr>
            <w:r>
              <w:rPr>
                <w:lang w:val="en-US" w:eastAsia="en-US" w:bidi="ar-SA"/>
              </w:rPr>
              <w:t>Incomplete movements, assembled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9110.19.00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Rough movements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9110.90.00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9111.10.00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Cases of precious metal or of metal clad with precious metal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9111.20.00</w:t>
            </w:r>
          </w:p>
        </w:tc>
        <w:tc>
          <w:tcPr>
            <w:tcW w:w="4679" w:type="dxa"/>
            <w:tcMar>
              <w:top w:w="70" w:type="dxa"/>
              <w:start w:w="110" w:type="dxa"/>
              <w:bottom w:w="70" w:type="dxa"/>
              <w:end w:w="110" w:type="dxa"/>
            </w:tcMar>
            <w:vAlign w:val="center"/>
          </w:tcPr>
          <w:p>
            <w:pPr>
              <w:pStyle w:val="TableText"/>
              <w:jc w:val="left"/>
            </w:pPr>
            <w:r>
              <w:rPr>
                <w:lang w:val="en-US" w:eastAsia="en-US" w:bidi="ar-SA"/>
              </w:rPr>
              <w:t>Cases of base metal, whether or not gold- or silver-plated</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9111.80.00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cases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9111.90.00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9112.20.00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9112.90.00</w:t>
            </w:r>
          </w:p>
        </w:tc>
        <w:tc>
          <w:tcPr>
            <w:tcW w:w="4679" w:type="dxa"/>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9113.10.10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watches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9113.10.90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9113.20.10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watches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9113.20.90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9114.10.00</w:t>
            </w:r>
          </w:p>
        </w:tc>
        <w:tc>
          <w:tcPr>
            <w:tcW w:w="4679" w:type="dxa"/>
            <w:tcMar>
              <w:top w:w="70" w:type="dxa"/>
              <w:start w:w="110" w:type="dxa"/>
              <w:bottom w:w="70" w:type="dxa"/>
              <w:end w:w="110" w:type="dxa"/>
            </w:tcMar>
            <w:vAlign w:val="center"/>
          </w:tcPr>
          <w:p>
            <w:pPr>
              <w:pStyle w:val="TableText"/>
              <w:jc w:val="left"/>
            </w:pPr>
            <w:r>
              <w:rPr>
                <w:lang w:val="en-US" w:eastAsia="en-US" w:bidi="ar-SA"/>
              </w:rPr>
              <w:t>Springs, including hair-springs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Dials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9114.40.00</w:t>
            </w:r>
          </w:p>
        </w:tc>
        <w:tc>
          <w:tcPr>
            <w:tcW w:w="4679" w:type="dxa"/>
            <w:tcMar>
              <w:top w:w="70" w:type="dxa"/>
              <w:start w:w="110" w:type="dxa"/>
              <w:bottom w:w="70" w:type="dxa"/>
              <w:end w:w="110" w:type="dxa"/>
            </w:tcMar>
            <w:vAlign w:val="center"/>
          </w:tcPr>
          <w:p>
            <w:pPr>
              <w:pStyle w:val="TableText"/>
              <w:jc w:val="left"/>
            </w:pPr>
            <w:r>
              <w:rPr>
                <w:lang w:val="en-US" w:eastAsia="en-US" w:bidi="ar-SA"/>
              </w:rPr>
              <w:t>Plates and bridges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9114.90.00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9201.10.00</w:t>
            </w:r>
          </w:p>
        </w:tc>
        <w:tc>
          <w:tcPr>
            <w:tcW w:w="4679" w:type="dxa"/>
            <w:tcMar>
              <w:top w:w="70" w:type="dxa"/>
              <w:start w:w="110" w:type="dxa"/>
              <w:bottom w:w="70" w:type="dxa"/>
              <w:end w:w="110" w:type="dxa"/>
            </w:tcMar>
            <w:vAlign w:val="center"/>
          </w:tcPr>
          <w:p>
            <w:pPr>
              <w:pStyle w:val="TableText"/>
              <w:jc w:val="left"/>
            </w:pPr>
            <w:r>
              <w:rPr>
                <w:lang w:val="en-US" w:eastAsia="en-US" w:bidi="ar-SA"/>
              </w:rPr>
              <w:t>Upright pianos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9201.20.00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Grand pianos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9201.90.10</w:t>
            </w:r>
          </w:p>
        </w:tc>
        <w:tc>
          <w:tcPr>
            <w:tcW w:w="4679" w:type="dxa"/>
            <w:tcMar>
              <w:top w:w="70" w:type="dxa"/>
              <w:start w:w="110" w:type="dxa"/>
              <w:bottom w:w="70" w:type="dxa"/>
              <w:end w:w="110" w:type="dxa"/>
            </w:tcMar>
            <w:vAlign w:val="center"/>
          </w:tcPr>
          <w:p>
            <w:pPr>
              <w:pStyle w:val="TableText"/>
              <w:jc w:val="left"/>
            </w:pPr>
            <w:r>
              <w:rPr>
                <w:lang w:val="en-US" w:eastAsia="en-US" w:bidi="ar-SA"/>
              </w:rPr>
              <w:t>Harpsichords and clavichords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9201.90.90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9202.10.00</w:t>
            </w:r>
          </w:p>
        </w:tc>
        <w:tc>
          <w:tcPr>
            <w:tcW w:w="4679" w:type="dxa"/>
            <w:tcMar>
              <w:top w:w="70" w:type="dxa"/>
              <w:start w:w="110" w:type="dxa"/>
              <w:bottom w:w="70" w:type="dxa"/>
              <w:end w:w="110" w:type="dxa"/>
            </w:tcMar>
            <w:vAlign w:val="center"/>
          </w:tcPr>
          <w:p>
            <w:pPr>
              <w:pStyle w:val="TableText"/>
              <w:jc w:val="left"/>
            </w:pPr>
            <w:r>
              <w:rPr>
                <w:lang w:val="en-US" w:eastAsia="en-US" w:bidi="ar-SA"/>
              </w:rPr>
              <w:t>Played with a bow</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9202.90.10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Harps, including autoharps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9202.90.90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9205.10.00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Brass-wind instruments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9205.90.10</w:t>
            </w:r>
          </w:p>
        </w:tc>
        <w:tc>
          <w:tcPr>
            <w:tcW w:w="4679" w:type="dxa"/>
            <w:tcMar>
              <w:top w:w="70" w:type="dxa"/>
              <w:start w:w="110" w:type="dxa"/>
              <w:bottom w:w="70" w:type="dxa"/>
              <w:end w:w="110" w:type="dxa"/>
            </w:tcMar>
            <w:vAlign w:val="center"/>
          </w:tcPr>
          <w:p>
            <w:pPr>
              <w:pStyle w:val="TableText"/>
              <w:jc w:val="left"/>
            </w:pPr>
            <w:r>
              <w:rPr>
                <w:lang w:val="en-US" w:eastAsia="en-US" w:bidi="ar-SA"/>
              </w:rPr>
              <w:t>Accordions and similar instruments; Bassoons, clarinets, English horns, fifes, flutes, oboes, piccolos, practice chanters, recorders and saxophones; Keyboard pipe organs; Mouth organs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9205.90.20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Harmoniums and similar keyboard instruments with free metal reeds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9205.90.90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9206.00.10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Carillons to be employed in churches; Drums and drum sets, cymbals, orchestral or concert chimes and bells, vibraharps or vibraphones, marimbas, xylophones and tuned handbells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9206.00.90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9207.10.00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Keyboard instruments, other than accordions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9207.90.10</w:t>
            </w:r>
          </w:p>
        </w:tc>
        <w:tc>
          <w:tcPr>
            <w:tcW w:w="4679" w:type="dxa"/>
            <w:tcMar>
              <w:top w:w="70" w:type="dxa"/>
              <w:start w:w="110" w:type="dxa"/>
              <w:bottom w:w="70" w:type="dxa"/>
              <w:end w:w="110" w:type="dxa"/>
            </w:tcMar>
            <w:vAlign w:val="center"/>
          </w:tcPr>
          <w:p>
            <w:pPr>
              <w:pStyle w:val="TableText"/>
              <w:jc w:val="left"/>
            </w:pPr>
            <w:r>
              <w:rPr>
                <w:lang w:val="en-US" w:eastAsia="en-US" w:bidi="ar-SA"/>
              </w:rPr>
              <w:t>Accordions, orchestral or concert chimes and bells, vibraharps or vibraphones, marimbas and xylophones</w:t>
            </w:r>
          </w:p>
        </w:tc>
      </w:tr>
    </w:tbl>
    <w:p>
      <w:pPr>
        <w:pStyle w:val="Normal"/>
      </w:pPr>
      <w:r>
        <w:t>9207.90.90 Other 9208.10.00 Musical boxes 9208.90.00 Other 9209.30.10 For autoharps, clavichords, harpsichords, harps, viols, violas, violins and violoncellos; For use in the manufacture of guitars, banjos or mandolins 9209.30.90 Other 9209.91.10 Agraffes, bass damper parts, bridle leather and bridle straps, damper sockets, damper rods, uncovered hammer heads and hammer head moulding, key bottoms, piano or organ sharps, tuning pins, hitch pins, bridge pins, key pins, centre brass pins, brass flange plates, pressure bars, paper or felt punchings, rail hooks, spruce sounding boards, spoons, back check wires, bridle wires, damper wires, dowel wires, lifter wires, hammer wires and piano plates 9209.91.90 Other 9209.92.10 For harps and instruments played with a bow; For use in the manufacture of guitars, banjos or mandolins 9209.92.20 For other string instruments, except keyboard string instruments 9209.94.10 For use in the manufacture or repair of pianos or organs; Parts and accessories for use in the manufacture of guitars, banjos or mandolins, the sound of which is produced or must be amplified electrically;</w:t>
      </w:r>
    </w:p>
    <w:p>
      <w:pPr>
        <w:pStyle w:val="Normal"/>
      </w:pPr>
      <w:r>
        <w:t>Parts of carillons to be employed in churches 9209.94.90 Other 9209.99.10 For harpischords, clavichords, accordions and similar instruments, brass-wind instruments, bassoons, clarinets, English horns, fifes, flutes, oboes, piccolos, practice chanters, recorders, saxophones, drums and drum sets, cymbals, orchestral or concert chimes and bells, vibraharps or vibraphones,</w:t>
      </w:r>
    </w:p>
    <w:p>
      <w:pPr>
        <w:pStyle w:val="Normal"/>
      </w:pPr>
      <w:r>
        <w:t>marimbas, xylophones and tuned handbells, and carillons to be employed in churches; Parts and accessories for keyboard pipe organs, harmoniums and similar keyboard instruments with free metal reeds 9209.99.20 Mechanisms for musical boxes 9209.99.30 Metronomes, tuning forks and pitch pipes 9209.99.90 Other 9301.10.10 Guns 9301.10.90 Other 9301.20.00 Rocket launchers; flame-throwers; grenade launchers; torpedo tubes and similar projectors 9301.90.10 Guns 9301.90.90 Other 9302.00.00 Revolvers and pistols, other than those of heading 93.03 or 93.04. 9303.10.00 Muzzle-loading firearms 9303.20.10 Pump or slide-action shotguns 9303.20.90 Other 9303.30.10 Bolt-action or semi-automatic .22 calibre rimfire rifles, excluding target shooting rifles 9303.30.90 Other 9303.90.10 Apparatus for the destruction of predatory animals by the discharge of poisonous cartridges; Automatic explosive bird-scaring devices 9303.90.90 Other 9304.00.10 Guns and pistols, spring or gas 9304.00.90 Other 9305.10.00 Of revolvers or pistols 9305.20.10 Shotgun barrels 9305.20.20 Accessories for use in bolt-action or semi-automatic .22 calibre rimfire rifles, excluding accessories of target shooting rifles; Parts 9305.20.90 Other 9305.91.00 Of military weapons of heading 93.01 9305.99.10 Parts for apparatus for the destruction of predatory animals by the discharge of poisonous cartridges; Parts for automatic explosive bird-scaring devices 9305.99.90 Other 9306.21.00 Cartridges 9306.29.00 Other 9306.30.10</w:t>
      </w:r>
    </w:p>
    <w:p>
      <w:pPr>
        <w:pStyle w:val="Normal"/>
      </w:pPr>
      <w:r>
        <w:t>Poisonous cartridges for apparatus for the destruction of predatory animals; Starter cartridges and parts thereof, for diesel or semi-diesel engines; Twin-shot cartridges designed for bird-scaring devices 9306.30.90 Other 9306.90.10 Parts of bombs, grenades, torpedoes, mines, missiles and similar munitions of war 9306.90.90 Other 9307.00.00 Swords, cutlasses, bayonets, lances and similar arms and parts thereof and scabbards and sheaths therefor.</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9401.10.00</w:t>
            </w:r>
          </w:p>
        </w:tc>
        <w:tc>
          <w:tcPr>
            <w:tcW w:w="4679" w:type="dxa"/>
            <w:tcMar>
              <w:top w:w="70" w:type="dxa"/>
              <w:start w:w="110" w:type="dxa"/>
              <w:bottom w:w="70" w:type="dxa"/>
              <w:end w:w="110" w:type="dxa"/>
            </w:tcMar>
            <w:vAlign w:val="center"/>
          </w:tcPr>
          <w:p>
            <w:pPr>
              <w:pStyle w:val="TableText"/>
              <w:jc w:val="left"/>
            </w:pPr>
            <w:r>
              <w:rPr>
                <w:lang w:val="en-US" w:eastAsia="en-US" w:bidi="ar-SA"/>
              </w:rPr>
              <w:t>Seats of a kind used for aircraft</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Seats of a kind used for motor vehicles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9401.30.10</w:t>
            </w:r>
          </w:p>
        </w:tc>
        <w:tc>
          <w:tcPr>
            <w:tcW w:w="4679" w:type="dxa"/>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9401.30.90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9401.40.00</w:t>
            </w:r>
          </w:p>
        </w:tc>
        <w:tc>
          <w:tcPr>
            <w:tcW w:w="4679" w:type="dxa"/>
            <w:tcMar>
              <w:top w:w="70" w:type="dxa"/>
              <w:start w:w="110" w:type="dxa"/>
              <w:bottom w:w="70" w:type="dxa"/>
              <w:end w:w="110" w:type="dxa"/>
            </w:tcMar>
            <w:vAlign w:val="center"/>
          </w:tcPr>
          <w:p>
            <w:pPr>
              <w:pStyle w:val="TableText"/>
              <w:jc w:val="left"/>
            </w:pPr>
            <w:r>
              <w:rPr>
                <w:lang w:val="en-US" w:eastAsia="en-US" w:bidi="ar-SA"/>
              </w:rPr>
              <w:t>Seats other than garden seats or camping equipment, convertible into beds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9401.52.10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Unfinished and unassembled, for use in the manufacture of furniture of bamboo</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9401.52.90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9401.53.10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Unfinished and unassembled, for use in the manufacture of furniture of rattan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9401.53.90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9401.59.10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Unfinished and unassembled, for use in the manufacture of furniture of bamboo or rattan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9401.59.90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9401.61.10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9401.61.90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9401.69.10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9401.69.90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9401.71.10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9401.71.90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9401.79.10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9401.79.90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9401.80.10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9401.80.90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9401.90.00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9402.10.00</w:t>
            </w:r>
          </w:p>
        </w:tc>
        <w:tc>
          <w:tcPr>
            <w:tcW w:w="4679" w:type="dxa"/>
            <w:tcMar>
              <w:top w:w="70" w:type="dxa"/>
              <w:start w:w="110" w:type="dxa"/>
              <w:bottom w:w="70" w:type="dxa"/>
              <w:end w:w="110" w:type="dxa"/>
            </w:tcMar>
            <w:vAlign w:val="center"/>
          </w:tcPr>
          <w:p>
            <w:pPr>
              <w:pStyle w:val="TableText"/>
              <w:jc w:val="left"/>
            </w:pPr>
            <w:r>
              <w:rPr>
                <w:lang w:val="en-US" w:eastAsia="en-US" w:bidi="ar-SA"/>
              </w:rPr>
              <w:t>Dentists’, barbers’ or similar chairs and parts thereof</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9402.90.00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9403.10.00</w:t>
            </w:r>
          </w:p>
        </w:tc>
        <w:tc>
          <w:tcPr>
            <w:tcW w:w="4679" w:type="dxa"/>
            <w:tcMar>
              <w:top w:w="70" w:type="dxa"/>
              <w:start w:w="110" w:type="dxa"/>
              <w:bottom w:w="70" w:type="dxa"/>
              <w:end w:w="110" w:type="dxa"/>
            </w:tcMar>
            <w:vAlign w:val="center"/>
          </w:tcPr>
          <w:p>
            <w:pPr>
              <w:pStyle w:val="TableText"/>
              <w:jc w:val="left"/>
            </w:pPr>
            <w:r>
              <w:rPr>
                <w:lang w:val="en-US" w:eastAsia="en-US" w:bidi="ar-SA"/>
              </w:rPr>
              <w:t>Metal furniture of a kind used in offices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 metal furniture</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9403.30.00</w:t>
            </w:r>
          </w:p>
        </w:tc>
        <w:tc>
          <w:tcPr>
            <w:tcW w:w="4679" w:type="dxa"/>
            <w:tcMar>
              <w:top w:w="70" w:type="dxa"/>
              <w:start w:w="110" w:type="dxa"/>
              <w:bottom w:w="70" w:type="dxa"/>
              <w:end w:w="110" w:type="dxa"/>
            </w:tcMar>
            <w:vAlign w:val="center"/>
          </w:tcPr>
          <w:p>
            <w:pPr>
              <w:pStyle w:val="TableText"/>
              <w:jc w:val="left"/>
            </w:pPr>
            <w:r>
              <w:rPr>
                <w:lang w:val="en-US" w:eastAsia="en-US" w:bidi="ar-SA"/>
              </w:rPr>
              <w:t>Wooden furniture of a kind used in offices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b/>
                <w:lang w:val="en-US" w:eastAsia="en-US" w:bidi="ar-SA"/>
              </w:rPr>
              <w:t>Tariff Item</w:t>
            </w:r>
          </w:p>
        </w:tc>
        <w:tc>
          <w:tcPr>
            <w:tcW w:w="4679" w:type="dxa"/>
            <w:shd w:fill="F5F7F8" w:val="clear" w:color="auto"/>
            <w:tcMar>
              <w:top w:w="70" w:type="dxa"/>
              <w:start w:w="110" w:type="dxa"/>
              <w:bottom w:w="70" w:type="dxa"/>
              <w:end w:w="110" w:type="dxa"/>
            </w:tcMar>
            <w:vAlign w:val="center"/>
          </w:tcPr>
          <w:p>
            <w:pPr>
              <w:pStyle w:val="TableText"/>
              <w:jc w:val="left"/>
            </w:pPr>
            <w:r>
              <w:rPr>
                <w:b/>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9403.40.00</w:t>
            </w:r>
          </w:p>
        </w:tc>
        <w:tc>
          <w:tcPr>
            <w:tcW w:w="4679" w:type="dxa"/>
            <w:tcMar>
              <w:top w:w="70" w:type="dxa"/>
              <w:start w:w="110" w:type="dxa"/>
              <w:bottom w:w="70" w:type="dxa"/>
              <w:end w:w="110" w:type="dxa"/>
            </w:tcMar>
            <w:vAlign w:val="center"/>
          </w:tcPr>
          <w:p>
            <w:pPr>
              <w:pStyle w:val="TableText"/>
              <w:jc w:val="left"/>
            </w:pPr>
            <w:r>
              <w:rPr>
                <w:lang w:val="en-US" w:eastAsia="en-US" w:bidi="ar-SA"/>
              </w:rPr>
              <w:t>Wooden furniture of a kind used in the kitchen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Wooden furniture of a kind used in the bedroom</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9403.60.10</w:t>
            </w:r>
          </w:p>
        </w:tc>
        <w:tc>
          <w:tcPr>
            <w:tcW w:w="4679" w:type="dxa"/>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9403.60.90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9403.70.10</w:t>
            </w:r>
          </w:p>
        </w:tc>
        <w:tc>
          <w:tcPr>
            <w:tcW w:w="4679" w:type="dxa"/>
            <w:tcMar>
              <w:top w:w="70" w:type="dxa"/>
              <w:start w:w="110" w:type="dxa"/>
              <w:bottom w:w="70" w:type="dxa"/>
              <w:end w:w="110" w:type="dxa"/>
            </w:tcMar>
            <w:vAlign w:val="center"/>
          </w:tcPr>
          <w:p>
            <w:pPr>
              <w:pStyle w:val="TableText"/>
              <w:jc w:val="left"/>
            </w:pPr>
            <w:r>
              <w:rPr>
                <w:lang w:val="en-US" w:eastAsia="en-US" w:bidi="ar-SA"/>
              </w:rPr>
              <w:t>For domestic purposes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9403.70.90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9403.82.11</w:t>
            </w:r>
          </w:p>
        </w:tc>
        <w:tc>
          <w:tcPr>
            <w:tcW w:w="4679" w:type="dxa"/>
            <w:tcMar>
              <w:top w:w="70" w:type="dxa"/>
              <w:start w:w="110" w:type="dxa"/>
              <w:bottom w:w="70" w:type="dxa"/>
              <w:end w:w="110" w:type="dxa"/>
            </w:tcMar>
            <w:vAlign w:val="center"/>
          </w:tcPr>
          <w:p>
            <w:pPr>
              <w:pStyle w:val="TableText"/>
              <w:jc w:val="left"/>
            </w:pPr>
            <w:r>
              <w:rPr>
                <w:lang w:val="en-US" w:eastAsia="en-US" w:bidi="ar-SA"/>
              </w:rPr>
              <w:t>For domestic purposes: Unfinished and unassembled, for use in the manufacture of furniture of bamboo</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9403.82.19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9403.82.90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9403.83.11</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 Unfinished and unassembled, for use in the manufacture of furniture of rattan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9403.83.19</w:t>
            </w:r>
          </w:p>
        </w:tc>
        <w:tc>
          <w:tcPr>
            <w:tcW w:w="4679" w:type="dxa"/>
            <w:tcMar>
              <w:top w:w="70" w:type="dxa"/>
              <w:start w:w="110" w:type="dxa"/>
              <w:bottom w:w="70" w:type="dxa"/>
              <w:end w:w="110" w:type="dxa"/>
            </w:tcMar>
            <w:vAlign w:val="center"/>
          </w:tcPr>
          <w:p>
            <w:pPr>
              <w:pStyle w:val="TableText"/>
              <w:jc w:val="left"/>
            </w:pPr>
            <w:r>
              <w:rPr>
                <w:lang w:val="en-US" w:eastAsia="en-US" w:bidi="ar-SA"/>
              </w:rPr>
              <w:t>For domestic purposes: 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9403.83.90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9403.89.11</w:t>
            </w:r>
          </w:p>
        </w:tc>
        <w:tc>
          <w:tcPr>
            <w:tcW w:w="4679" w:type="dxa"/>
            <w:tcMar>
              <w:top w:w="70" w:type="dxa"/>
              <w:start w:w="110" w:type="dxa"/>
              <w:bottom w:w="70" w:type="dxa"/>
              <w:end w:w="110" w:type="dxa"/>
            </w:tcMar>
            <w:vAlign w:val="center"/>
          </w:tcPr>
          <w:p>
            <w:pPr>
              <w:pStyle w:val="TableText"/>
              <w:jc w:val="left"/>
            </w:pPr>
            <w:r>
              <w:rPr>
                <w:lang w:val="en-US" w:eastAsia="en-US" w:bidi="ar-SA"/>
              </w:rPr>
              <w:t>For domestic purposes: Unfinished and unassembled, for use in the manufacture of furniture of bamboo or rattan</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9403.89.19</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domestic purposes: 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9403.89.90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9403.90.00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Parts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9404.10.00</w:t>
            </w:r>
          </w:p>
        </w:tc>
        <w:tc>
          <w:tcPr>
            <w:tcW w:w="4679" w:type="dxa"/>
            <w:tcMar>
              <w:top w:w="70" w:type="dxa"/>
              <w:start w:w="110" w:type="dxa"/>
              <w:bottom w:w="70" w:type="dxa"/>
              <w:end w:w="110" w:type="dxa"/>
            </w:tcMar>
            <w:vAlign w:val="center"/>
          </w:tcPr>
          <w:p>
            <w:pPr>
              <w:pStyle w:val="TableText"/>
              <w:jc w:val="left"/>
            </w:pPr>
            <w:r>
              <w:rPr>
                <w:lang w:val="en-US" w:eastAsia="en-US" w:bidi="ar-SA"/>
              </w:rPr>
              <w:t>Mattress supports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9404.21.00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cellular rubber or plastics, whether or not covered</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9404.29.00</w:t>
            </w:r>
          </w:p>
        </w:tc>
        <w:tc>
          <w:tcPr>
            <w:tcW w:w="4679" w:type="dxa"/>
            <w:tcMar>
              <w:top w:w="70" w:type="dxa"/>
              <w:start w:w="110" w:type="dxa"/>
              <w:bottom w:w="70" w:type="dxa"/>
              <w:end w:w="110" w:type="dxa"/>
            </w:tcMar>
            <w:vAlign w:val="center"/>
          </w:tcPr>
          <w:p>
            <w:pPr>
              <w:pStyle w:val="TableText"/>
              <w:jc w:val="left"/>
            </w:pPr>
            <w:r>
              <w:rPr>
                <w:lang w:val="en-US" w:eastAsia="en-US" w:bidi="ar-SA"/>
              </w:rPr>
              <w:t>Of other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9404.30.00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Sleeping bags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9404.90.10</w:t>
            </w:r>
          </w:p>
        </w:tc>
        <w:tc>
          <w:tcPr>
            <w:tcW w:w="4679" w:type="dxa"/>
            <w:tcMar>
              <w:top w:w="70" w:type="dxa"/>
              <w:start w:w="110" w:type="dxa"/>
              <w:bottom w:w="70" w:type="dxa"/>
              <w:end w:w="110" w:type="dxa"/>
            </w:tcMar>
            <w:vAlign w:val="center"/>
          </w:tcPr>
          <w:p>
            <w:pPr>
              <w:pStyle w:val="TableText"/>
              <w:jc w:val="left"/>
            </w:pPr>
            <w:r>
              <w:rPr>
                <w:lang w:val="en-US" w:eastAsia="en-US" w:bidi="ar-SA"/>
              </w:rPr>
              <w:t>Pillows, cushions and similar furnishings, of cotton;</w:t>
            </w:r>
          </w:p>
        </w:tc>
      </w:tr>
    </w:tbl>
    <w:p>
      <w:pPr>
        <w:pStyle w:val="Normal"/>
      </w:pPr>
      <w:r>
        <w:t>Quilts, eiderdowns, comforters and similar articles of textile material containing less than 85% by weight of silk or silk waste 9404.90.90 Other 9405.10.00 Chandeliers and other electric ceiling or wall lighting fittings, excluding those of a kind used for lighting public open spaces or thoroughfares 9405.20.00 Electric table, desk, bedside or floor-standing lamps 9405.30.00 Lighting sets of a kind used for Christmas trees 9405.40.10 Xenon type 9405.40.20 Motion picture or theatrical spotlights 9405.40.90 Other 9405.50.10</w:t>
      </w:r>
    </w:p>
    <w:p>
      <w:pPr>
        <w:pStyle w:val="Normal"/>
      </w:pPr>
      <w:r>
        <w:t>Candlesticks and candelabras 9405.50.90 Other 9405.60.00 Illuminated signs, illuminated name-plates and the like 9405.91.00 Of glass 9405.92.00 Of plastics 9405.99.00 Other 9406.10.10 Silos for storing ensilage 9406.10.90 Other 9406.90.11 Silos for storing ensilage: Unassembled or incomplete, of glass fibre reinforced plastics, for use in the manufacture of silos 9406.90.19 Silos for storing ensilage: Other 9406.90.20 Air-supported buildings 9406.90.90 Other 9503.00.10 Wheeled toys designed to be ridden by children (for example, tricycles, scooters, pedal cars); dolls’ carriages 9503.00.90 Other 9504.20.00 Articles and accessories for billiards of all kinds 9504.30.00 Other games, operated by coins, banknotes, bank cards, tokens or by other means of payment, other than automatic bowling alley equipment 9504.40.00 Playing cards 9504.50.00 Video game consoles and machines, other than those of subheading 9504.30 9504.90.00 Other 9505.10.00 Articles for Christmas festivities 9505.90.00 Other 9506.11.10 Downhill 9506.11.90 Other 9506.12.00 Ski-fastenings (ski-bindings) 9506.19.00 Other 9506.21.00 Sailboards 9506.29.00 Other 9506.31.00 Clubs, complete 9506.32.10 Hollow, for practice 9506.32.90 Other 9506.39.10 Finished grips for use in the manufacture of golf clubs; Shafts of steel or graphite 9506.39.20 Heads of woods; Shafts of wood 9506.39.30 Forged heads of iron or steel, not ground, polished, plated or otherwise finished 9506.39.90 Other 9506.40.00 Articles and equipment for</w:t>
      </w:r>
    </w:p>
    <w:p>
      <w:pPr>
        <w:pStyle w:val="Normal"/>
      </w:pPr>
      <w:r>
        <w:t>table-tennis 9506.51.00 Lawn-tennis rackets, whether or not strung 9506.59.10 Squash, badminton or racketball rackets 9506.59.90 Other 9506.61.00 Lawn-tennis balls 9506.62.10 Designed for the training of children with intellectual disabilities, to be employed in any school, academy, college or seminary of learning, or by any association, society or institution that trains such children; For basketball, volleyball or soccer 9506.62.90 Other 9506.69.10 Cricket balls 9506.69.20 Balls for lawn or carpet bowling, croquet, squash or racketball 9506.69.90 Other 9506.70.11 Ice or roller skates attached to boots or other footwear: Ice skates 9506.70.12 Ice or roller skates attached to boots or other footwear: Roller skates 9506.70.20 Ice or roller skates not attached to boots or other footwear 9506.91.10 Exercise bicycles; Parts for use in the manufacture of physical exercise machines; Stair climbing machines 9506.91.90 Other 9506.99.10 Badminton birds (shuttle cocks); Baseball bats of aluminum; Face masks and shoulder pads for football; For climbing or mountaineering 9506.99.20 Clay pigeons for trapshooting; Curling stones; Hockey sticks 9506.99.31 Power-operated equipment for the development of athletic skills: Automated batting cages; Clay target thrower machines;</w:t>
      </w:r>
    </w:p>
    <w:p>
      <w:pPr>
        <w:pStyle w:val="Normal"/>
      </w:pPr>
      <w:r>
        <w:t>Throwing or pitching machines for baseballs or softballs 9506.99.39 Power-operated equipment for the development of athletic skills: Other 9506.99.40 Leg pads and bats for cricket 9506.99.50 Shin-guards and elbow or</w:t>
      </w:r>
    </w:p>
    <w:p>
      <w:pPr>
        <w:pStyle w:val="Normal"/>
      </w:pPr>
      <w:r>
        <w:t>shoulder pads excluding those for football; Waist, thigh and hip protective equipment 9506.99.90 Other 9507.10.10 Parts for use in the manufacture of fishing rods 9507.10.90 Other 9507.20.00 Fish-hooks, whether or not snelled 9507.30.00 Fishing reels 9507.90.10 Sportsmen’s fishing line, in retail packages 9507.90.91 Other: Fish landing net bags for use in the manufacture of fish landing nets; Lures, jiggers, artificial bait, line floats and fishing lines (including marlines) of a circumference not exceeding 38 mm, to be employed in commercial fishing; Split rings and swivels for use in the manufacture of fishing lures 9507.90.99 Other: Other 9508.10.00 Travelling circuses and travelling menageries 9508.90.00 Other 9601.10.00 Worked ivory and articles of ivory 9601.90.00 Other 9602.00.10 Artificial honeycombs; Gelatin capsules for pharmaceutical products; Worked amber for use in the manufacture of jewellery 9602.00.90 Other 9603.10.10 Brooms 9603.10.20 Brushes 9603.21.00 Tooth brushes, including dental-plate brushes 9603.29.00 Other 9603.30.10 Artists’ brushes 9603.30.90 Other 9603.40.10 Rollers of textile materials 9603.40.90 Other 9603.50.00 Other brushes constituting parts of machines, appliances or vehicles 9603.90.10 Brooms 9603.90.20 Hand-operated mechanical floor sweepers, not motorized 9603.90.30 Mops of textile materials 9603.90.90 Other 9604.00.00 Hand sieves and hand riddles. 9605.00.00 Travel sets for personal toilet, sewing or shoe or clothes cleaning.</w:t>
      </w:r>
    </w:p>
    <w:tbl>
      <w:tblPr>
        <w:tblStyle w:val="TableGrid"/>
        <w:tblW w:w="9360" w:type="dxa"/>
        <w:jc w:val="center"/>
        <w:tblInd w:w="-28"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4680"/>
        <w:gridCol w:w="4679"/>
      </w:tblGrid>
      <w:tr>
        <w:trPr>
          <w:tblHeader w:val="true"/>
          <w:cantSplit w:val="true"/>
          <w:tblHeader w:val="true"/>
        </w:trPr>
        <w:tc>
          <w:tcPr>
            <w:tcW w:w="4680" w:type="dxa"/>
            <w:tcBorders>
              <w:bottom w:val="single" w:sz="6" w:space="0" w:color="546E7A"/>
            </w:tcBorders>
            <w:shd w:fill="E4E9EC" w:val="clear" w:color="auto"/>
            <w:vAlign w:val="center"/>
          </w:tcPr>
          <w:p>
            <w:pPr>
              <w:pStyle w:val="TableText"/>
              <w:jc w:val="left"/>
            </w:pPr>
            <w:r>
              <w:rPr>
                <w:b/>
                <w:color w:val="37474F"/>
                <w:lang w:val="en-US" w:eastAsia="en-US" w:bidi="ar-SA"/>
              </w:rPr>
              <w:t>Tariff Item</w:t>
            </w:r>
          </w:p>
        </w:tc>
        <w:tc>
          <w:tcPr>
            <w:tcW w:w="4679" w:type="dxa"/>
            <w:tcBorders>
              <w:bottom w:val="single" w:sz="6" w:space="0" w:color="546E7A"/>
            </w:tcBorders>
            <w:shd w:fill="E4E9EC" w:val="clear" w:color="auto"/>
            <w:vAlign w:val="center"/>
          </w:tcPr>
          <w:p>
            <w:pPr>
              <w:pStyle w:val="TableText"/>
              <w:jc w:val="left"/>
            </w:pPr>
            <w:r>
              <w:rPr>
                <w:b/>
                <w:color w:val="37474F"/>
                <w:lang w:val="en-US" w:eastAsia="en-US" w:bidi="ar-SA"/>
              </w:rPr>
              <w:t>Description</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9606.10.00</w:t>
            </w:r>
          </w:p>
        </w:tc>
        <w:tc>
          <w:tcPr>
            <w:tcW w:w="4679" w:type="dxa"/>
            <w:tcMar>
              <w:top w:w="70" w:type="dxa"/>
              <w:start w:w="110" w:type="dxa"/>
              <w:bottom w:w="70" w:type="dxa"/>
              <w:end w:w="110" w:type="dxa"/>
            </w:tcMar>
            <w:vAlign w:val="center"/>
          </w:tcPr>
          <w:p>
            <w:pPr>
              <w:pStyle w:val="TableText"/>
              <w:jc w:val="left"/>
            </w:pPr>
            <w:r>
              <w:rPr>
                <w:lang w:val="en-US" w:eastAsia="en-US" w:bidi="ar-SA"/>
              </w:rPr>
              <w:t>Press-fasteners, snap-fasteners and press-studs and parts therefor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9606.21.00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Of plastics, not covered with textile material</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9606.22.00</w:t>
            </w:r>
          </w:p>
        </w:tc>
        <w:tc>
          <w:tcPr>
            <w:tcW w:w="4679" w:type="dxa"/>
            <w:tcMar>
              <w:top w:w="70" w:type="dxa"/>
              <w:start w:w="110" w:type="dxa"/>
              <w:bottom w:w="70" w:type="dxa"/>
              <w:end w:w="110" w:type="dxa"/>
            </w:tcMar>
            <w:vAlign w:val="center"/>
          </w:tcPr>
          <w:p>
            <w:pPr>
              <w:pStyle w:val="TableText"/>
              <w:jc w:val="left"/>
            </w:pPr>
            <w:r>
              <w:rPr>
                <w:lang w:val="en-US" w:eastAsia="en-US" w:bidi="ar-SA"/>
              </w:rPr>
              <w:t>Of base metal, not covered with textile material</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9606.29.00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9606.30.00</w:t>
            </w:r>
          </w:p>
        </w:tc>
        <w:tc>
          <w:tcPr>
            <w:tcW w:w="4679" w:type="dxa"/>
            <w:tcMar>
              <w:top w:w="70" w:type="dxa"/>
              <w:start w:w="110" w:type="dxa"/>
              <w:bottom w:w="70" w:type="dxa"/>
              <w:end w:w="110" w:type="dxa"/>
            </w:tcMar>
            <w:vAlign w:val="center"/>
          </w:tcPr>
          <w:p>
            <w:pPr>
              <w:pStyle w:val="TableText"/>
              <w:jc w:val="left"/>
            </w:pPr>
            <w:r>
              <w:rPr>
                <w:lang w:val="en-US" w:eastAsia="en-US" w:bidi="ar-SA"/>
              </w:rPr>
              <w:t>Button moulds and other parts of buttons; button blanks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9607.11.10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Air-tight and watertight</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9607.11.90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9607.19.00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9607.20.10</w:t>
            </w:r>
          </w:p>
        </w:tc>
        <w:tc>
          <w:tcPr>
            <w:tcW w:w="4679" w:type="dxa"/>
            <w:tcMar>
              <w:top w:w="70" w:type="dxa"/>
              <w:start w:w="110" w:type="dxa"/>
              <w:bottom w:w="70" w:type="dxa"/>
              <w:end w:w="110" w:type="dxa"/>
            </w:tcMar>
            <w:vAlign w:val="center"/>
          </w:tcPr>
          <w:p>
            <w:pPr>
              <w:pStyle w:val="TableText"/>
              <w:jc w:val="left"/>
            </w:pPr>
            <w:r>
              <w:rPr>
                <w:lang w:val="en-US" w:eastAsia="en-US" w:bidi="ar-SA"/>
              </w:rPr>
              <w:t>Of textile materials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9607.20.90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9608.10.00</w:t>
            </w:r>
          </w:p>
        </w:tc>
        <w:tc>
          <w:tcPr>
            <w:tcW w:w="4679" w:type="dxa"/>
            <w:tcMar>
              <w:top w:w="70" w:type="dxa"/>
              <w:start w:w="110" w:type="dxa"/>
              <w:bottom w:w="70" w:type="dxa"/>
              <w:end w:w="110" w:type="dxa"/>
            </w:tcMar>
            <w:vAlign w:val="center"/>
          </w:tcPr>
          <w:p>
            <w:pPr>
              <w:pStyle w:val="TableText"/>
              <w:jc w:val="left"/>
            </w:pPr>
            <w:r>
              <w:rPr>
                <w:lang w:val="en-US" w:eastAsia="en-US" w:bidi="ar-SA"/>
              </w:rPr>
              <w:t>Ball point pens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9608.20.00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Felt tipped and other porous-tipped pens and markers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9608.30.10</w:t>
            </w:r>
          </w:p>
        </w:tc>
        <w:tc>
          <w:tcPr>
            <w:tcW w:w="4679" w:type="dxa"/>
            <w:tcMar>
              <w:top w:w="70" w:type="dxa"/>
              <w:start w:w="110" w:type="dxa"/>
              <w:bottom w:w="70" w:type="dxa"/>
              <w:end w:w="110" w:type="dxa"/>
            </w:tcMar>
            <w:vAlign w:val="center"/>
          </w:tcPr>
          <w:p>
            <w:pPr>
              <w:pStyle w:val="TableText"/>
              <w:jc w:val="left"/>
            </w:pPr>
            <w:r>
              <w:rPr>
                <w:lang w:val="en-US" w:eastAsia="en-US" w:bidi="ar-SA"/>
              </w:rPr>
              <w:t>Indian ink drawing pens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9608.30.90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9608.40.00</w:t>
            </w:r>
          </w:p>
        </w:tc>
        <w:tc>
          <w:tcPr>
            <w:tcW w:w="4679" w:type="dxa"/>
            <w:tcMar>
              <w:top w:w="70" w:type="dxa"/>
              <w:start w:w="110" w:type="dxa"/>
              <w:bottom w:w="70" w:type="dxa"/>
              <w:end w:w="110" w:type="dxa"/>
            </w:tcMar>
            <w:vAlign w:val="center"/>
          </w:tcPr>
          <w:p>
            <w:pPr>
              <w:pStyle w:val="TableText"/>
              <w:jc w:val="left"/>
            </w:pPr>
            <w:r>
              <w:rPr>
                <w:lang w:val="en-US" w:eastAsia="en-US" w:bidi="ar-SA"/>
              </w:rPr>
              <w:t>Propelling or sliding pencils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9608.50.00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Sets of articles from two or more of the foregoing subheadings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9608.60.10</w:t>
            </w:r>
          </w:p>
        </w:tc>
        <w:tc>
          <w:tcPr>
            <w:tcW w:w="4679" w:type="dxa"/>
            <w:tcMar>
              <w:top w:w="70" w:type="dxa"/>
              <w:start w:w="110" w:type="dxa"/>
              <w:bottom w:w="70" w:type="dxa"/>
              <w:end w:w="110" w:type="dxa"/>
            </w:tcMar>
            <w:vAlign w:val="center"/>
          </w:tcPr>
          <w:p>
            <w:pPr>
              <w:pStyle w:val="TableText"/>
              <w:jc w:val="left"/>
            </w:pPr>
            <w:r>
              <w:rPr>
                <w:lang w:val="en-US" w:eastAsia="en-US" w:bidi="ar-SA"/>
              </w:rPr>
              <w:t>For use in the manufacture of ball point pens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9608.60.90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9608.91.10</w:t>
            </w:r>
          </w:p>
        </w:tc>
        <w:tc>
          <w:tcPr>
            <w:tcW w:w="4679" w:type="dxa"/>
            <w:tcMar>
              <w:top w:w="70" w:type="dxa"/>
              <w:start w:w="110" w:type="dxa"/>
              <w:bottom w:w="70" w:type="dxa"/>
              <w:end w:w="110" w:type="dxa"/>
            </w:tcMar>
            <w:vAlign w:val="center"/>
          </w:tcPr>
          <w:p>
            <w:pPr>
              <w:pStyle w:val="TableText"/>
              <w:jc w:val="left"/>
            </w:pPr>
            <w:r>
              <w:rPr>
                <w:lang w:val="en-US" w:eastAsia="en-US" w:bidi="ar-SA"/>
              </w:rPr>
              <w:t>Nibs of wool felt or plastics for use in the manufacture of porous tip pens or markers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9608.91.90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9608.99.10</w:t>
            </w:r>
          </w:p>
        </w:tc>
        <w:tc>
          <w:tcPr>
            <w:tcW w:w="4679" w:type="dxa"/>
            <w:tcMar>
              <w:top w:w="70" w:type="dxa"/>
              <w:start w:w="110" w:type="dxa"/>
              <w:bottom w:w="70" w:type="dxa"/>
              <w:end w:w="110" w:type="dxa"/>
            </w:tcMar>
            <w:vAlign w:val="center"/>
          </w:tcPr>
          <w:p>
            <w:pPr>
              <w:pStyle w:val="TableText"/>
              <w:jc w:val="left"/>
            </w:pPr>
            <w:r>
              <w:rPr>
                <w:lang w:val="en-US" w:eastAsia="en-US" w:bidi="ar-SA"/>
              </w:rPr>
              <w:t>Parts other than refills, for use in the manufacture of ball point pens</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9608.99.90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9609.10.00</w:t>
            </w:r>
          </w:p>
        </w:tc>
        <w:tc>
          <w:tcPr>
            <w:tcW w:w="4679" w:type="dxa"/>
            <w:tcMar>
              <w:top w:w="70" w:type="dxa"/>
              <w:start w:w="110" w:type="dxa"/>
              <w:bottom w:w="70" w:type="dxa"/>
              <w:end w:w="110" w:type="dxa"/>
            </w:tcMar>
            <w:vAlign w:val="center"/>
          </w:tcPr>
          <w:p>
            <w:pPr>
              <w:pStyle w:val="TableText"/>
              <w:jc w:val="left"/>
            </w:pPr>
            <w:r>
              <w:rPr>
                <w:lang w:val="en-US" w:eastAsia="en-US" w:bidi="ar-SA"/>
              </w:rPr>
              <w:t>Pencils and crayons, with leads encased in a rigid sheath</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9609.20.10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For use in the manufacture of pencils</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9609.20.90</w:t>
            </w:r>
          </w:p>
        </w:tc>
        <w:tc>
          <w:tcPr>
            <w:tcW w:w="4679" w:type="dxa"/>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shd w:fill="F5F7F8" w:val="clear" w:color="auto"/>
            <w:tcMar>
              <w:top w:w="70" w:type="dxa"/>
              <w:start w:w="110" w:type="dxa"/>
              <w:bottom w:w="70" w:type="dxa"/>
              <w:end w:w="110" w:type="dxa"/>
            </w:tcMar>
            <w:vAlign w:val="center"/>
          </w:tcPr>
          <w:p>
            <w:pPr>
              <w:pStyle w:val="TableText"/>
              <w:jc w:val="left"/>
            </w:pPr>
            <w:r>
              <w:rPr>
                <w:lang w:val="en-US" w:eastAsia="en-US" w:bidi="ar-SA"/>
              </w:rPr>
              <w:t>9609.90.00</w:t>
            </w:r>
          </w:p>
        </w:tc>
        <w:tc>
          <w:tcPr>
            <w:tcW w:w="4679" w:type="dxa"/>
            <w:shd w:fill="F5F7F8" w:val="clear" w:color="auto"/>
            <w:tcMar>
              <w:top w:w="70" w:type="dxa"/>
              <w:start w:w="110" w:type="dxa"/>
              <w:bottom w:w="70" w:type="dxa"/>
              <w:end w:w="110" w:type="dxa"/>
            </w:tcMar>
            <w:vAlign w:val="center"/>
          </w:tcPr>
          <w:p>
            <w:pPr>
              <w:pStyle w:val="TableText"/>
              <w:jc w:val="left"/>
            </w:pPr>
            <w:r>
              <w:rPr>
                <w:lang w:val="en-US" w:eastAsia="en-US" w:bidi="ar-SA"/>
              </w:rPr>
              <w:t>Other</w:t>
            </w:r>
          </w:p>
        </w:tc>
      </w:tr>
      <w:tr>
        <w:trPr>
          <w:cantSplit w:val="true"/>
        </w:trPr>
        <w:tc>
          <w:tcPr>
            <w:tcW w:w="4680" w:type="dxa"/>
            <w:tcMar>
              <w:top w:w="70" w:type="dxa"/>
              <w:start w:w="110" w:type="dxa"/>
              <w:bottom w:w="70" w:type="dxa"/>
              <w:end w:w="110" w:type="dxa"/>
            </w:tcMar>
            <w:vAlign w:val="center"/>
          </w:tcPr>
          <w:p>
            <w:pPr>
              <w:pStyle w:val="TableText"/>
              <w:jc w:val="left"/>
            </w:pPr>
            <w:r>
              <w:rPr>
                <w:lang w:val="en-US" w:eastAsia="en-US" w:bidi="ar-SA"/>
              </w:rPr>
              <w:t>9610.00.00</w:t>
            </w:r>
          </w:p>
        </w:tc>
        <w:tc>
          <w:tcPr>
            <w:tcW w:w="4679" w:type="dxa"/>
            <w:tcMar>
              <w:top w:w="70" w:type="dxa"/>
              <w:start w:w="110" w:type="dxa"/>
              <w:bottom w:w="70" w:type="dxa"/>
              <w:end w:w="110" w:type="dxa"/>
            </w:tcMar>
            <w:vAlign w:val="center"/>
          </w:tcPr>
          <w:p>
            <w:pPr>
              <w:pStyle w:val="TableText"/>
              <w:jc w:val="left"/>
            </w:pPr>
            <w:r>
              <w:rPr>
                <w:lang w:val="en-US" w:eastAsia="en-US" w:bidi="ar-SA"/>
              </w:rPr>
              <w:t>Slates and boards, with writing or drawing surfaces, whether or not framed.</w:t>
            </w:r>
          </w:p>
        </w:tc>
      </w:tr>
    </w:tbl>
    <w:p>
      <w:pPr>
        <w:pStyle w:val="Normal"/>
      </w:pPr>
      <w:r>
        <w:t>9611.00.00 Date, sealing or numbering stamps, and the like (including devices for printing or embossing labels), designed for operating in the hand; hand-operated composing sticks, and hand printing sets incorporating such composing sticks.</w:t>
      </w:r>
    </w:p>
    <w:p>
      <w:pPr>
        <w:pStyle w:val="Normal"/>
      </w:pPr>
      <w:r>
        <w:t>9612.10.10 To be employed in machinery for packing fresh fruit or vegetables 9612.10.20 Other, woven, of man-made fibres, other than those of a width of 30 mm or less and permanently put up in cartridges 9612.10.30 Other, containing man-made fibres 9612.10.90 Other 9612.20.00 Ink-pads 9613.10.00 Pocket lighters, gas fuelled, non-refillable 9613.20.00 Pocket lighters, gas fuelled, refillable 9613.80.10 Table lighters 9613.80.90 Other 9613.90.00 Parts 9614.00.11 Pipes and pipe bowls: Meerschaum pipes, excluding those composed in part of briar wood; Roughly shaped blocks of wood or root, for pipes 9614.00.19 Pipes and pipe bowls: Other 9614.00.90 Other 9615.11.00 Of hard rubber or plastics 9615.19.00 Other 9615.90.00 Other 9616.10.00 Scent sprays and similar toilet sprays, and mounts and heads therefor 9616.20.00 Powder-puffs and pads for the application of cosmetics or toilet preparations 9617.00.00 Vacuum flasks and other vacuum vessels, complete with cases; parts thereof other than glass inners. 9618.00.00 Tailors’ dummies and other lay figures; automata and other animated displays used for shop window dressing.</w:t>
      </w:r>
    </w:p>
    <w:p>
      <w:pPr>
        <w:pStyle w:val="Normal"/>
      </w:pPr>
      <w:r>
        <w:t>9619.00.10 Incontinent briefs, underpants and panties, incontinent napkins (diapers), napkin (diaper) liners and similar sanitary articles for incontinence, designed to be worn by a person, excluding those of a kind for babies 9619.00.21 Napkins (diapers), napkin (diaper) liners and similar articles for babies: Of paper pulp, paper, cellulose wadding or webs of cellulose fibres 9619.00.22 Napkins (diapers), napkin (diaper) liners and similar articles for babies: Of textile wadding 9619.00.23 Napkins (diapers), napkin (diaper) liners and similar articles for babies: Knitted or crocheted 9619.00.24 Napkins (diapers), napkin (diaper) liners and similar articles for babies: Not knitted or crocheted, of cotton 9619.00.25 Napkins (diapers), napkin (diaper) liners and similar articles for babies: Not knitted or crocheted, of synthetic fibres 9619.00.29 Napkins (diapers), napkin (diaper) liners and similar articles for babies: Other 9619.00.91 Other: Of paper pulp, paper, cellulose wadding or webs of cellulose fibres 9619.00.92 Other: Of textile wadding 9619.00.99 Other: Other 9620.00.10 For binoculars or telescopes of heading 90.05; For cinematographic cameras; For goods of heading 84.71, 85.17 or 85.21; For surveying, hydrographic, oceanographic, hydrological, meteorological or geophysical instruments and appliances 9620.00.21 For photographic cameras: Tripods 9620.00.29 For photographic cameras: Other 9620.00.30 For monoculars; For other astronomical instruments 9620.00.40 For</w:t>
      </w:r>
    </w:p>
    <w:p>
      <w:pPr>
        <w:pStyle w:val="Normal"/>
      </w:pPr>
      <w:r>
        <w:t>other machines, appliances, instruments or apparatus of Chapter 90 9620.00.91 Other: Of graphite or other carbon 9620.00.92 Other: Of wood 9620.00.93 Other: Of aluminum 9620.00.99 Other: Other 9701.10.10 Originals by artists 9701.10.90 Other 9701.90.10 Original collages and similar decorative plaques by artists 9701.90.90 Other 9702.00.00 Original engravings, prints and lithographs. 9703.00.00 Original sculptures and statuary, in any material. 9704.00.00 Postage or revenue stamps, stamp-postmarks, first-day covers, postal stationery (stamped paper), and the like, used or unused, other than those of heading 49.07. 9705.00.00 Collections and collectors’ pieces of zoological, botanical, mineralogical, anatomical, historical, archaeological, palaeontological, ethnographic or numismatic interest. 9706.00.00 Antiques of an age exceeding one hundred years.</w:t>
      </w:r>
    </w:p>
    <w:p>
      <w:pPr>
        <w:pStyle w:val="Heading2"/>
      </w:pPr>
      <w:bookmarkStart w:id="900062" w:name="_Toc300000061"/>
      <w:r>
        <w:t xml:space="preserve">TARIFF SCHEDULE OF CANADA: APPENDIX 1</w:t>
      </w:r>
      <w:bookmarkEnd w:id="900062"/>
    </w:p>
    <w:p>
      <w:pPr>
        <w:pStyle w:val="Normal"/>
      </w:pPr>
      <w:r>
        <w:t xml:space="preserve">Tariff Line Description Base Rate for Mexico Staging Category for Mexico Base Rate for the United States Staging Category for the United States 0105.11.21 Broilers for domestic production: Within access commitment X 0.86¢ each 0105.11.22 Broilers for domestic production: Over access commitment X X 0105.94.10 For breeding purposes; Spent fowl; Started pullets X 2.82¢/kg 0105.94.91 Other: Within access commitment X 1.90¢/kg 0,TRQ-CA15 0105.94.92 Other: Over access commitment X X 0105.99.11 Turkeys: Within access commitment X 1.90¢/kg 0105.99.12 Turkeys: Over access commitment X X 0105.99.90 Other X 3% 0207.11.10 Spent fowl X 8% 0207.11.91 Other: Within access commitment X 5% but not less than 4.74¢/kg or more than 9.48¢/kg 0,TRQ-CA15 0207.11.92 Other: Over access commitment X X 0207.12.10 Spent fowl X 8% 0207.12.91 Other: Within access commitment X 5% but not less than 4.74¢/kg or more than 9.48¢/kg 0,TRQ-CA15 0207.12.92 Other: Over access commitment X X 0207.13.10 Spent fowl X 4% 0207.13.91 Other: Within access commitment X 5% but not less than 4.74¢/kg or more than 9.48¢/kg 0,TRQ-CA15 0207.13.92 Other:</w:t>
      </w:r>
    </w:p>
    <w:p>
      <w:pPr>
        <w:pStyle w:val="Normal"/>
      </w:pPr>
      <w:r>
        <w:t>Over access commitment, bone in X X 0207.13.93 Other: Over access commitment, boneless X X 0207.14.10 Spent fowl X 9% 0207.14.21 Livers: Within access commitment X Free 0,TRQ-CA15 0207.14.22 Livers: Over access commitment X X 0207.14.91 Other: Within access commitment X 5% but not less than 4.74¢/kg or more than 9.48¢/kg 0,TRQ-CA15</w:t>
      </w:r>
    </w:p>
    <w:p>
      <w:pPr>
        <w:pStyle w:val="Normal"/>
      </w:pPr>
      <w:r>
        <w:t>0207.14.92 Other: Over access commitment, bone in X X 0207.14.93 Other: Over access commitment, boneless X X 0207.24.11 Canner pack: Within access commitment X 5% but not less than 4.74¢/kg or more than 9.48¢/kg 0207.24.12 Canner pack: Over access commitment X X 0207.24.91 Other: Within access commitment X 5% but not less than 4.74¢/kg or more than 9.48¢/kg 0207.24.92 Other: Over access commitment X X 0207.25.11 Canner pack: Within access commitment X 5% but not less than 4.74¢/kg or more than 9.48¢/kg 0207.25.12 Canner pack: Over access commitment X X 0207.25.91 Other: Within access commitment X 5% but not less than 4.74¢/kg or more than 9.48¢/kg 0207.25.92 Other: Over access commitment X X 0207.26.10 Within access commitment X 5% but not less than 4.74¢/kg or more than 9.48¢/kg 0207.26.20 Over access commitment, bone in X X 0207.26.30 Over access commitment, boneless X X 0207.27.11 Livers: Within access commitment X Free 0207.27.12 Livers: Over access commitment X X 0207.27.91 Other: Within access commitment X 5% but not less than 4.74¢/kg or more than 9.48¢/kg 0207.27.92 Other:</w:t>
      </w:r>
    </w:p>
    <w:p>
      <w:pPr>
        <w:pStyle w:val="Normal"/>
      </w:pPr>
      <w:r>
        <w:t>Over access commitment, bone in X X 0207.27.93 Other: Over access commitment, boneless X X 0207.41.00 Not cut in pieces, fresh or chilled X 8% 0207.44.00 Other, fresh or chilled X 4% 0207.45.10 Livers X Free 0207.51.00 Not cut in pieces, fresh or chilled X 8% 0207.54.00 Other, fresh or chilled X 4% 0207.55.10 Livers X Free 0207.60.11 Fresh or chilled: Not cut in pieces X 8% 0207.60.19 Fresh or</w:t>
      </w:r>
    </w:p>
    <w:p>
      <w:pPr>
        <w:pStyle w:val="Normal"/>
      </w:pPr>
      <w:r>
        <w:t>chilled: Other X 4% 0207.60.91 Other frozen: Livers X Free 0209.90.10 Fat of fowls of the species Gallus domesticus, within access commitment X 5% but not less than 4.74¢/kg or more than 9.48¢/kg 0,TRQ-CA15 0209.90.20 Fat of fowls of the species Gallus domesticus, over access commitment X X 0209.90.30 Fat of turkeys, within access commitment X 5% but not less than 4.74¢/kg or more than 9.48¢/kg 0209.90.40 Fat of turkeys, over access commitment X X 0209.90.90 Other X 11% 0210.99.11 Meat of poultry: Of fowls of the species Gallus domesticus, within access commitment X 5% but not less than 4.74¢/kg or more than 9.48¢/kg 0,TRQ-CA15 0210.99.12 Meat of poultry: Of fowls of the species Gallus domesticus, over access commitment, bone in X X 0210.99.13 Meat of poultry: Of fowls of the species Gallus domesticus, over access commitment, boneless X X 0210.99.14 Meat of poultry: Of turkeys, within access commitment X 5% but not less than 4.74¢/kg or more than 9.48¢/kg 0210.99.15 Meat of poultry:</w:t>
      </w:r>
    </w:p>
    <w:p>
      <w:pPr>
        <w:pStyle w:val="Normal"/>
      </w:pPr>
      <w:r>
        <w:t>Of turkeys, over access commitment, bone in X X 0210.99.16 Meat of poultry: Of turkeys, over access commitment, boneless X X 0210.99.19 Meat of poultry: Other X 2.5% 0401.10.10 Within access commitment X 7.5% 0,TRQ-CA1 0401.10.20 Over access commitment X X 0401.20.10 Within access commitment X 7.5% 0,TRQ-CA1 0401.20.20 Over access commitment X X 0401.40.10 Within access commitment X 7.5% 0,TRQ-CA2 0401.40.20 Over access commitment X X 0401.50.10 Within access commitment X 7.5% 0,TRQ-CA2</w:t>
      </w:r>
    </w:p>
    <w:p>
      <w:pPr>
        <w:pStyle w:val="Normal"/>
      </w:pPr>
      <w:r>
        <w:t>0401.50.20 Over access commitment X X 0402.10.10 Within access commitment X 3.32¢/kg 0,TRQ-CA3 0402.10.20 Over access commitment X X 0402.21.11 Milk: Within access commitment X 3.32¢/kg 0,TRQ-CA7 0402.21.12 Milk: Over access commitment X X 0402.21.21 Cream: Within access commitment X 6.5% 0,TRQ-CA4 0402.21.22 Cream: Over access commitment X X 0402.29.11 Milk: Within access commitment X 3.32¢/kg 0,TRQ-CA7 0402.29.12 Milk: Over access commitment X X 0402.29.21 Cream: Within access commitment X 6.5% 0,TRQ-CA4 0402.29.22 Cream: Over access commitment X X 0402.91.10 Within access commitment X 2.84¢/kg 0,TRQ-CA8 0402.91.20 Over access commitment X X 0402.99.10 Within access commitment X 2.84¢/kg 0,TRQ-CA8 0402.99.20 Over access commitment X X 0403.10.10 Within access commitment X 6.5% 0,TRQ-CA9 0403.10.20 Over access commitment X X 0403.90.11 Powdered buttermilk: Within access commitment X 3.32¢/kg 0,TRQ-CA10 0403.90.12 Powdered buttermilk: Over access commitment X X 0403.90.91 Other: Within access commitment X 7.5% 0,TRQ-CA9 0403.90.92 Other: Over access commitment X X 0404.10.10 Whey protein concentrate X 4.94¢/kg 0404.10.21 Powdered whey: Within access commitment X 3.32¢/kg 0,TRQ-CA11 0404.10.22 Powdered whey:</w:t>
      </w:r>
    </w:p>
    <w:p>
      <w:pPr>
        <w:pStyle w:val="Normal"/>
      </w:pPr>
      <w:r>
        <w:t>Over access commitment X 208% but not less than $2.07/kg B11 0404.10.90 Other X 11% 0404.90.10 Within access commitment X 3% 0,TRQ-CA12 0404.90.20 Over access commitment X X 0405.10.10 Within access commitment X 11.38¢/kg 0,TRQ-CA4 0405.10.20 Over access commitment X X</w:t>
      </w:r>
    </w:p>
    <w:p>
      <w:pPr>
        <w:pStyle w:val="Normal"/>
      </w:pPr>
      <w:r>
        <w:t>0405.20.10 Within access commitment X 7% 0,TRQ-CA4 0405.20.20 Over access commitment X X 0405.90.10 Within access commitment X 7.5% 0,TRQ-CA4 0405.90.20 Over access commitment X X 0406.10.10 Within access commitment X 3.32¢/kg 0,TRQ-CA5; 0,TRQ-CA6 0406.10.20 Over access commitment X X 0406.20.11 Cheddar and Cheddar types: Within access commitment X 2.84¢/kg 0,TRQ-CA5; 0,TRQ-CA6 0406.20.12 Cheddar and Cheddar types: Over access commitment X X 0406.20.91 Other: Within access commitment X 3.32¢/kg 0,TRQ-CA5; 0,TRQ-CA6 0406.20.92 Other: Over access commitment X X 0406.30.10 Within access commitment X 3.32¢/kg 0,TRQ-CA5; 0,TRQ-CA6 0406.30.20 Over access commitment X X 0406.40.10 Within access commitment X 3.32¢/kg 0,TRQ-CA5; 0,TRQ-CA6 0406.40.20 Over access commitment X X 0406.90.11 Cheddar and Cheddar types: Within access commitment X 2.84¢/kg 0,TRQ-CA5; 0,TRQ-CA6 0406.90.12 Cheddar and Cheddar types: Over access commitment X X 0406.90.21 Camembert and Camembert types: Within access commitment X 3.32¢/kg 0,TRQ-CA5; 0,TRQ-CA6 0406.90.22 Camembert and Camembert types: Over access commitment X X 0406.90.31 Brie and Brie types: Within access commitment X 3.32¢/kg 0,TRQ-CA5; 0,TRQ-CA6 0406.90.32 Brie and Brie types: Over access commitment X X 0406.90.41 Gouda and Gouda types:</w:t>
      </w:r>
    </w:p>
    <w:p>
      <w:pPr>
        <w:pStyle w:val="Normal"/>
      </w:pPr>
      <w:r>
        <w:t>Within access commitment X 3.32¢/kg 0,TRQ-CA5; 0,TRQ-CA6 0406.90.42 Gouda and Gouda types: Over access commitment X X 0406.90.51 Provolone and Provolone types: Within access commitment X 3.32¢/kg 0,TRQ-CA5;</w:t>
      </w:r>
    </w:p>
    <w:p>
      <w:pPr>
        <w:pStyle w:val="Normal"/>
      </w:pPr>
      <w:r>
        <w:t>0,TRQ-CA6 0406.90.52 Provolone and Provolone types: Over access commitment X X 0406.90.61 Mozzarella and Mozzarella types: Within access commitment X 3.32¢/kg 0,TRQ-CA5; 0,TRQ-CA6 0406.90.62 Mozzarella and Mozzarella types: Over access commitment X X 0406.90.71 Swiss/Emmental and Swiss/Emmental types: Within access commitment X 3.32¢/kg 0,TRQ-CA5; 0,TRQ-CA6 0406.90.72 Swiss/Emmental and Swiss/Emmental types: Over access commitment X X 0406.90.81 Gruyère and Gruyère types: Within access commitment X 3.32¢/kg 0,TRQ-CA5; 0,TRQ-CA6 0406.90.82 Gruyère and Gruyère types: Over access commitment X X 0406.90.91 Other: Havarti and Havarti types, within access commitment X 3.32¢/kg 0,TRQ-CA5; 0,TRQ-CA6 0406.90.92 Other: Havarti and Havarti types, over access commitment X X 0406.90.93 Other: Parmesan and Parmesan types, within access commitment X 3.32¢/kg 0,TRQ-CA5; 0,TRQ-CA6 0406.90.94 Other: Parmesan and Parmesan types, over access commitment X X 0406.90.95 Other: Romano and Romano types, within access commitment X 3.32¢/kg 0,TRQ-CA5; 0,TRQ-CA6 0406.90.96 Other: Romano and Romano types, over access commitment X X 0406.90.98 Other: Other, within access commitment X 3.32¢/kg 0,TRQ-CA5; 0,TRQ-CA6 0406.90.99 Other: Other, over access commitment X X 0407.11.11 Hatching, for broilers: Within access commitment X 1.51¢/dozen 0407.11.12 Hatching, for broilers: Over access commitment X X 0407.11.91 Other: Within access commitment X 1.51¢/dozen 0,TRQ-CA16 0407.11.92 Other: Over access commitment</w:t>
      </w:r>
    </w:p>
    <w:p>
      <w:pPr>
        <w:pStyle w:val="Normal"/>
      </w:pPr>
      <w:r>
        <w:t>X X 0407.19.00 Other X Free 0407.21.10 Within access commitment X 1.51¢/dozen 0,TRQ-CA16 0407.21.20 Over access commitment X X 0407.29.00 Other X Free 0407.90.11 Of the fowls of the species Gallus domesticus: Within access commitment X 1.51¢/dozen 0,TRQ-CA16 0407.90.12 Of the fowls of the species Gallus domesticus: Over access commitment X X 0407.90.90 Other X Free 0408.11.10 Within access commitment X 8.5% 0,TRQ-CA16 0408.11.20 Over access commitment X X 0408.19.10 Within access commitment X 6.63¢/kg 0,TRQ-CA16 0408.19.20 Over access commitment X X 0408.91.10 Within access commitment X 8.5% 0,TRQ-CA16 0408.91.20 Over access commitment X X 0408.99.10 Within access commitment X 6.63¢/kg 0,TRQ-CA16 0408.99.20 Over access commitment X X 1517.10.20 Over access commitment 82.28¢/kg 82.28¢/kg B6 1517.90.21 Substitutes for butter: Within access commitment 7.5% 7.5% 0,TRQ-CA14 1517.90.22 Substitutes for butter: Over access commitment 218% but not less than $2.47/kg 218% but not less than $2.47/kg B6 1601.00.11 In cans or glass jars: Of poultry of heading 01.05 X 12.5% 1601.00.21 Of fowls of the species Gallus domesticus, other than in cans or glass jars:</w:t>
      </w:r>
    </w:p>
    <w:p>
      <w:pPr>
        <w:pStyle w:val="Normal"/>
      </w:pPr>
      <w:r>
        <w:t>Other than spent fowl, within access commitment X 0.95¢/kg 0,TRQ-CA15 1601.00.22 Of fowls of the species Gallus domesticus, other than in cans or glass jars: Other than spent fowl, over access commitment X X 1601.00.31 Of turkeys, other than in cans or glass jars: Within access commitment X 0.95¢/kg 1601.00.32 Of turkeys, other</w:t>
      </w:r>
    </w:p>
    <w:p>
      <w:pPr>
        <w:pStyle w:val="Normal"/>
      </w:pPr>
      <w:r>
        <w:t>than in cans or glass jars: Over access commitment X X 1602.10.10 Of fowls of the species Gallus domesticus and turkeys, of heading 01.05 X 12.5% 1602.20.21 Paste, of fowls of the species Gallus domesticus, not in cans or glass jars: Within access commitment X Free 0,TRQ-CA15 1602.20.22 Paste, of fowls of the species Gallus domesticus, not in cans or glass jars: Over access commitment X X 1602.20.31 Paste, of turkeys, not in cans or glass jars: Within access commitment X Free 1602.20.32 Paste, of turkeys, not in cans or glass jars: Over access commitment X X 1602.31.11 Prepared meals: Specially defined mixtures X 11% 1602.31.12 Prepared meals: Other, within access commitment X 7.5% 1602.31.13 Prepared meals: Other, over access commitment, bone in X X 1602.31.14 Prepared meals: Other, over access commitment, boneless X X 1602.31.91 Other: In cans or glass jars X 12.5% 1602.31.92 Other: Specially defined mixtures, other than in cans or glass jars X 2.5% 1602.31.93 Other: Other, within access commitment X 5% but not less than 4.74¢/kg or more than 9.48¢/kg 1602.31.94 Other:</w:t>
      </w:r>
    </w:p>
    <w:p>
      <w:pPr>
        <w:pStyle w:val="Normal"/>
      </w:pPr>
      <w:r>
        <w:t>Other, over access commitment, bone in X X 1602.31.95 Other: Other, over access commitment, boneless X X 1602.32.11 Prepared meals: Of spent fowl; Specially defined mixtures X 11% 1602.32.12 Prepared meals: Other, within access commitment X 7.5% 0,TRQ-CA15 1602.32.13 Prepared meals: Other, over access commitment, bone in X X 1602.32.14 Prepared meals: Other, over access commitment, boneless X X 1602.32.91</w:t>
      </w:r>
    </w:p>
    <w:p>
      <w:pPr>
        <w:pStyle w:val="Normal"/>
      </w:pPr>
      <w:r>
        <w:t>Other: In cans or glass jars X 9.5% 1602.32.92 Other: Specially defined mixtures, other than in cans or glass jars; Spent fowl other than in cans or glass jars X Free 1602.32.93 Other: Other, within access commitment X 5% but not less than 4.74¢/kg or more than 9.48¢/kg 0,TRQ-CA15 1602.32.94 Other: Other, over access commitment, bone in X X 1602.32.95 Other: Other, over access commitment, boneless X X 1602.39.10 Prepared meals X 11% 1602.39.91 Other: Of ducks, geese or guinea fowls, in cans or glass jars X 9.5% 1602.39.99 Other: Other X Free 1701.12.90 Other X $24.69/tonne 1701.13.90 Other X $22.05/tonne 1701.91.90 Other X $30.86/tonne 1701.99.90 Other X $30.86/tonne 1702.90.11 Invert sugar and other sugar syrups containing, after inversion, reducing sugars weighing 75% or more of the total solid weight and in receptacles where the gross weight exceeds 27 kg:</w:t>
      </w:r>
    </w:p>
    <w:p>
      <w:pPr>
        <w:pStyle w:val="Normal"/>
      </w:pPr>
      <w:r>
        <w:t>Containing reducing sugars after inversion not exceeding 65% by weight of the total syrup X $11.99/tonne 1702.90.12 Invert sugar and other sugar syrups containing, after inversion, reducing sugars weighing 75% or more of the total solid weight and in receptacles where the gross weight exceeds 27 kg: Containing reducing sugars after inversion exceeding 65% but not exceeding 70% by weight of the total syrup X $13.05/tonne 1702.90.13 Invert sugar and other sugar syrups containing, after inversion, reducing sugars weighing 75% or more of the total solid weight and in receptacles where the gross weight exceeds 27 kg:</w:t>
      </w:r>
    </w:p>
    <w:p>
      <w:pPr>
        <w:pStyle w:val="Normal"/>
      </w:pPr>
      <w:r>
        <w:t>Containing reducing sugars after inversion exceeding 70% but not exceeding 71% by weight of the total syrup X $13.26/tonne 1702.90.14 Invert sugar and other sugar syrups containing, after inversion, reducing sugars weighing 75% or more of the total solid weight and in receptacles where the gross weight exceeds 27 kg: Containing reducing sugars after inversion exceeding 71% but not exceeding 72% by weight of the total syrup X $13.47/tonne 1702.90.15 Invert sugar and other sugar syrups containing, after inversion, reducing sugars weighing 75% or more of the total solid weight and in receptacles where the gross weight exceeds 27 kg: Containing reducing sugars after inversion exceeding 72% but not exceeding 73% by weight of the total syrup X $13.69/tonne 1702.90.16 Invert sugar and other sugar syrups containing, after inversion, reducing sugars weighing 75% or more of the total solid weight and in receptacles where the gross weight exceeds 27 kg:</w:t>
      </w:r>
    </w:p>
    <w:p>
      <w:pPr>
        <w:pStyle w:val="Normal"/>
      </w:pPr>
      <w:r>
        <w:t>Containing reducing sugars after inversion exceeding 73% but not exceeding 74% by weight of the total syrup X $13.90/tonne 1702.90.17 Invert sugar and other sugar syrups containing, after inversion, reducing sugars weighing 75% or more of the total solid weight and in receptacles where the gross weight exceeds 27 kg: Containing reducing sugars after inversion exceeding 74% but not exceeding 75% by weight of the total syrup X $14.11/tonne 1702.90.18 Invert sugar and other sugar syrups containing, after inversion, reducing sugars weighing</w:t>
      </w:r>
    </w:p>
    <w:p>
      <w:pPr>
        <w:pStyle w:val="Normal"/>
      </w:pPr>
      <w:r>
        <w:t>75% or more of the total solid weight and in receptacles where the gross weight exceeds 27 kg: Containing reducing sugars after inversion exceeding 75% by weight of the total syrup X $15.17/tonne 1702.90.89 Other invert sugars and other sugar syrups: Other X $4.52/tonne 1806.10.10 Containing 90% or more by weight of sugar X 6% 1806.20.21 Chocolate ice cream mix or ice milk mix: Within access commitment 5% 5% 0,TRQ-CA13 1806.20.22 Chocolate ice cream mix or ice milk mix: Over access commitment X X 1806.90.11 Chocolate ice cream mix or ice milk mix: Within access commitment 5% 5% 0,TRQ-CA13 1806.90.12 Chocolate ice cream mix or ice milk mix: Over access commitment X X 1901.20.11 In packages of a weight not exceeding 11.34 kg each: Containing more than 25% by weight of butterfat, not put up for retail sale, within access commitment 4% 4% 0,TRQ-CA14 1901.20.12 In packages of a weight not exceeding 11.34 kg each:</w:t>
      </w:r>
    </w:p>
    <w:p>
      <w:pPr>
        <w:pStyle w:val="Normal"/>
      </w:pPr>
      <w:r>
        <w:t>Containing more than 25% by weight of butterfat, not put up for retail sale, over access commitment X X 1901.20.21 In bulk or in packages of a weight exceeding 11.34 kg each: Containing more than 25% by weight of butterfat, not put up for retail sale, within access commitment 3% 3% 0,TRQ-CA14 1901.20.22 In bulk or in packages of a weight exceeding 11.34 kg each: Containing more than 25% by weight of butterfat, not put up for retail sale, over access commitment X X 1901.90.31 Food preparations of goods of headings 04.01 to 04.04, containing more than 10% but less than 50</w:t>
      </w:r>
    </w:p>
    <w:p>
      <w:pPr>
        <w:pStyle w:val="Normal"/>
      </w:pPr>
      <w:r>
        <w:t>% on a dry weight basis of milk solids: Ice cream mixes or ice milk mixes, within access commitment X 6.5% 0,TRQ-CA13 1901.90.32 Food preparations of goods of headings 04.01 to 04.04, containing more than 10% but less than 50 % on a dry weight basis of milk solids: Ice cream mixes or ice milk mixes, over access commitment X X 1901.90.33 Food preparations of goods of headings 04.01 to 04.04, containing more than 10% but less than 50 % on a dry weight basis of milk solids: Other, not put up for retail sale, within access commitment X 6.5% 0,TRQ-CA14 1901.90.34 Food preparations of goods of headings 04.01 to 04.04, containing more than 10% but less than 50 % on a dry weight basis of milk solids: Other, not put up for retail sale, over access commitment X X 1901.90.51 Food preparations of goods of headings 04.01 to 04.04, containing 50 % or more on a dry weight basis of milk solids:</w:t>
      </w:r>
    </w:p>
    <w:p>
      <w:pPr>
        <w:pStyle w:val="Normal"/>
      </w:pPr>
      <w:r>
        <w:t>Ice cream mixes or ice milk mixes, within access commitment X 6.5% 0,TRQ-CA13 1901.90.52 Food preparations of goods of headings 04.01 to 04.04, containing 50 % or more on a dry weight basis of milk solids: Ice cream mixes or ice milk mixes, over access commitment X X 1901.90.53 Food preparations of goods of headings 04.01 to 04.04, containing 50 % or more on a dry weight basis of milk solids: Other, not put up for retail sale, within access commitment X 6.5% 0,TRQ-CA14 1901.90.54 Food preparations of goods of headings 04.01 to 04.04, containing 50 % or more on a dry weight basis of milk solids:</w:t>
      </w:r>
    </w:p>
    <w:p>
      <w:pPr>
        <w:pStyle w:val="Normal"/>
      </w:pPr>
      <w:r>
        <w:t>Other, not put up for retail sale, over access commitment X X 2105.00.10 Flavoured ice and ice sherbets X 9.5% 2105.00.91 Other: Within access commitment X 6.5% 0,TRQ-CA13 2105.00.92 Other: Over access commitment X X 2106.90.21 Syrups derived from cane or beet sugar, containing added colouring matter; Food concentrates and fruit syrups for use in beverages or other food preparations: Syrups derived from cane or beet sugar, containing, in the dry state, 90% or more by weight of sugar and no added flavouring matter X 6% 2106.90.31 Milk, cream or butter substitutes and preparations suitable for use as butter substitutes: Milk, cream or butter substitutes, containing 50% or more by weight of dairy content, within access commitment X 5% 0,TRQ-CA14 2106.90.32 Milk, cream or butter substitutes and preparations suitable for use as butter substitutes: Milk, cream or butter substitutes, containing 50% or more by weight of dairy content, over access commitment X X 2106.90.33 Milk, cream or butter substitutes and preparations suitable for use as butter substitutes:</w:t>
      </w:r>
    </w:p>
    <w:p>
      <w:pPr>
        <w:pStyle w:val="Normal"/>
      </w:pPr>
      <w:r>
        <w:t>Preparations, containing more than 15% by weight of milk fat but less than 50% by weight of dairy content, suitable for use as butter substitutes, within access commitment 5% 5% 0,TRQ-CA14 2106.90.34 Milk, cream or butter substitutes and preparations suitable for use as butter substitutes: Preparations, containing more than 15% by weight of milk fat but less than 50% by weight of dairy content, suitable for use as butter</w:t>
      </w:r>
    </w:p>
    <w:p>
      <w:pPr>
        <w:pStyle w:val="Normal"/>
      </w:pPr>
      <w:r>
        <w:t>substitutes, over access commitment X X 2106.90.51 Egg preparations: Within access commitment X 6.68¢/kg 0,TRQ-CA16 2106.90.52 Egg preparations: Over access commitment X X 2106.90.93 Other: Containing 50% or more by weight of dairy content, within access commitment 7% 7% 0,TRQ-CA14 2106.90.94 Other: Containing 50% or more by weight of dairy content, over access commitment X X 2202.99.32 Beverages containing milk: Other, containing 50% or more by weight of dairy content, not put up for retail sale, within access commitment 7.5% 7.5% 0,TRQ-CA13 2202.99.33 Beverages containing milk: Other, containing 50% or more by weight of dairy content, not put up for retail sale, over access commitment X X 2309.90.31 Complete feeds and feed supplements, including concentrates: Containing 50% or more by weight in the dry state of non-fat milk solids, within access commitment X 2% 0,TRQ-CA14 2309.90.32 Complete feeds and feed supplements, including concentrates: Containing 50% or more by weight in the dry state of non-fat milk solids, over access commitment X X 2309.90.35 Complete feeds and feed supplements, including concentrates:</w:t>
      </w:r>
    </w:p>
    <w:p>
      <w:pPr>
        <w:pStyle w:val="Normal"/>
      </w:pPr>
      <w:r>
        <w:t xml:space="preserve">Containing 50% or more by weight in the dry state of milk solids containing butterfat X 3% 3501.10.00 Casein X Free 3501.90.00 Other X Free 3502.11.10 Within access commitment X 8.5% 0,TRQ-CA16 3502.11.20 Over access commitment X X 3502.19.10 Within access commitment X 6.63¢/kg 0,TRQ-CA16 3502.19.20 Over access commitment X X</w:t>
      </w:r>
    </w:p>
    <w:p>
      <w:pPr>
        <w:pStyle w:val="Heading2"/>
      </w:pPr>
      <w:bookmarkStart w:id="900063" w:name="_Toc300000062"/>
      <w:r>
        <w:t xml:space="preserve">TARIFF SCHEDULE OF THE UNITED STATES</w:t>
      </w:r>
      <w:bookmarkEnd w:id="900063"/>
    </w:p>
    <w:p>
      <w:pPr>
        <w:pStyle w:val="Normal"/>
      </w:pPr>
      <w:r>
        <w:t>HTSUS 1 July 2017 Brief Description Canada Duty Rate Mexico Duty Rate Live purebred breeding horses Live horses other than purebred breeding horses Live asses Mules and hinnies imported for immediate slaughter Mules and hinnies not imported for immediate slaughter Live purebred breeding cattle Cows imported specially for dairy purposes Live cattle other than purebred or those imported for dairy purposes Live purebred breeding buffalo Live buffalo, other than purebred breeding animals Live bovine animals, other than cattle and buffalo Live purebred breeding swine Live swine, other than purebred breeding swine, weighing less than 50 kg each Live swine, other than purebred breeding swine, weighing 50 kg or more Live sheep Live goats Live chickens weighing not over 185 g each Live turkeys weighing not more than over 185 g each Live ducks, weighing not more than 185 g each Live geese, weighing not more than 185 g each Live guinea fowls, weighing not more than 185 g each Live Poultry;Chickens Live ducks, geese, turkeys and guineas, weighing over 185 g each Live primates Live whales, dolphins and porpoises;</w:t>
      </w:r>
    </w:p>
    <w:p>
      <w:pPr>
        <w:pStyle w:val="Normal"/>
      </w:pPr>
      <w:r>
        <w:t>manatees and dugongs, seals, sea lions, and walruses Live camels and other camelids (Camelidae) Live rabbits and hares Live foxes Live mammals, not elsewhere specified or included Live reptiles (including snakes and turtles) Live birds of prey Live psittaciforme birds (including parrots, parakeets, macaws and cockatoos) Ostriches; emus Live birds, other than poultry, birds of</w:t>
      </w:r>
    </w:p>
    <w:p>
      <w:pPr>
        <w:pStyle w:val="Normal"/>
      </w:pPr>
      <w:r>
        <w:t>prey or psittaciforme birds Bees Live insects other than bees Live animals other than mammals, reptiles, insects, and birds Bovine carcasses and halves, fresh or chld., descr. in gen. note 15 of the HTS Bovine carcasses and halves, fresh or chld., descr. in add. US note 3 to Ch. 2 Bovine carcasses and halves, fresh or chld., other than descr. in gen. note 15 or add. US note 3 to Ch. 2 High-qual. beef cuts w/bone in, processed, fresh or chld., descr in gen. note 15 of the HTS Bovine meat cuts (except high-qual. beef cuts), w/bone in, processed, fresh or chld., descr in gen. note 15 of the HTS Bovine meat cuts, w/bone in, not processed, fresh or chld., descr in gen. note 15 of the HTS High-qual. beef cuts, w/bone in, processed, fresh or chld., descr in add. US note 3 to Ch. 2 Bovine meat cuts (except high-qual. beef cuts), w/bone in, processed, fresh or chld., descr in add. US note 3 to Ch.</w:t>
      </w:r>
    </w:p>
    <w:p>
      <w:pPr>
        <w:pStyle w:val="Normal"/>
      </w:pPr>
      <w:r>
        <w:t>2 Bovine meat cuts, w/bone in, not processed, fresh or chld., descr in add. US note 3 to Ch. 2 Bovine meat cuts, w/bone in, fresh or chld., not descr in gen. note 15 or add. US note 3 to Ch. 2 High-qual. beef cuts, boneless, processed, fresh or chld., descr in gen. note 15 of the HTS Bovine meat cuts (except high-qual. beef cuts), boneless, processed, fresh or chld., descr in gen. note 15 of the HTS Bovine meat cuts, boneless, not processed, fresh or chld., descr in gen. note 15 of the HTS High-qual. beef cuts, boneless, processed, fresh or chld., descr in add. US note 3 to Ch.</w:t>
      </w:r>
    </w:p>
    <w:p>
      <w:pPr>
        <w:pStyle w:val="Normal"/>
      </w:pPr>
      <w:r>
        <w:t>Bovine meat cuts (except high-qual. beef cuts), boneless, processed, fresh or chld., descr in add. US note 3 to Ch. 2 Bovine meat cuts, boneless, not processed, fresh or chld., descr in add. US note 3 to Ch. 2 Bovine meat cuts, boneless, fresh or chld., not descr in gen. note 15 or add. US note 3 to Ch. 2 Bovine carcasses and halves, frozen, descr. in gen. note 15 of the HTS Bovine carcasses and halves, frozen, descr. in add. US note 3 to Ch. 2 Bovine carcasses and halves, frozen, other than descr. in gen. note 15 or add. US note 3 to Ch. 2 High-qual. beef cuts w/bone in, processed, frozen, descr in gen. note 15 of the HTS Bovine meat cuts (except high-qual. beef cuts), w/bone in, processed, frozen, descr in gen. note 15 of the HTS Bovine meat cuts, w/bone in, not processed, frozen, descr in gen. note 15 of the HTS High-qual. beef cuts, w/bone in, processed, frozen, descr in add. US note 3 to Ch.</w:t>
      </w:r>
    </w:p>
    <w:p>
      <w:pPr>
        <w:pStyle w:val="Normal"/>
      </w:pPr>
      <w:r>
        <w:t>2 Bovine meat cuts (except high-qual. beef cuts), w/bone in, processed, frozen, descr in add. US note 3 to Ch. 2 Bovine meat cuts, w/bone in, not processed, frozen, descr in add. US note 3 to Ch. 2 Bovine meat cuts, w/bone in, frozen, not descr in gen. note 15 or add. US note 3 to Ch. High-qual. beef cuts, boneless, processed, frozen, descr in gen. note 15 of the HTS Bovine meat cuts (except high-qual. beef cuts), boneless, processed, frozen, descr in gen. note 15 of the HTS Bovine meat cuts, boneless, not processed, frozen, descr in gen. note 15 of the HTS High-qual.</w:t>
      </w:r>
    </w:p>
    <w:p>
      <w:pPr>
        <w:pStyle w:val="Normal"/>
      </w:pPr>
      <w:r>
        <w:t>beef cuts, boneless, processed, frozen, descr in add. US note 3 to Ch. 2 Bovine meat cuts (except high-qual. beef cuts), boneless, processed, frozen, descr in add. US note 3 to Ch. 2 Bovine meat cuts, boneless, not processed, frozen, descr in add. US note 3 to Ch. 2 Bovine meat cuts, boneless, frozen, not descr in gen. note 15 or add. US note 3 to Ch.</w:t>
      </w:r>
    </w:p>
    <w:p>
      <w:pPr>
        <w:pStyle w:val="Normal"/>
      </w:pPr>
      <w:r>
        <w:t>Carcasses and half-carcasses of swine, fresh or chilled Fresh or chilled retail cuts of ham, shoulders and cuts thereof, with bone in Fresh or chilled hams, shoulders and cuts thereof, with bone in, other than processed Meat of swine nesi, retail cuts, fresh or chilled Meat of swine, nesi, non retail cuts, fresh or chilled Carcasses and half-carcasses of swine, frozen Frozen retail cuts of hams, shoulders and cuts thereof, with bone in Frozen hams, shoulders and cuts thereof, with bone in, other than retail cuts Frozen retail cuts of meat of swine, nesi Frozen meat of swine, other than retail cuts, nesi Carcasses and half-carcasses of lamb, fresh or chilled Carcasses and half-carcasses of sheep, other than lamb, fresh or chilled Cuts of lamb meat with bone in, fresh or chilled Cuts of sheep meat with bone in, nesi, fresh or chilled Boneless meat of lamb, fresh or chilled Boneless meat of sheep, nesi, fresh or chilled Carcasses and half-carcasses of lamb, frozen Carcasses and half-carcasses of sheep, other than lamb, frozen Cuts of lamb meat with bone in, frozen Cuts of sheep meat with bone in, nesi, frozen Boneless meat of</w:t>
      </w:r>
    </w:p>
    <w:p>
      <w:pPr>
        <w:pStyle w:val="Normal"/>
      </w:pPr>
      <w:r>
        <w:t>lamb, frozen Boneless meat of sheep, nesi, frozen Meat of goats, fresh, chilled or frozen Meat of horses, asses, mules or hinnies, fresh, chilled or frozen Edible offal of bovine animals, fresh or chilled Tongues of bovine animals, frozen Livers of bovine animals, frozen Edible offal of bovine animals, except tongues or livers, frozen Edible offal of swine, fresh or chilled Livers of swine, frozen Edible offal of swine, except liver, frozen Edible offal of sheep, goats, horses, asses, mules or hinnies, fresh or chilled Edible offal of sheep, goats, horses, asses, mules or hinnies, frozen Chickens, not cut in pieces, fresh or chilled Chickens, not cut in pieces, frozen Cuts and offal of chickens, fresh or chilled Cuts and offal of chickens, frozen Turkeys, not cut in pieces, fresh or chilled Turkeys, not cut in pieces, valued less than 88 cents/kg, frozen Turkeys, not cut in pieces, valued 88 cents or more per kg, frozen Cuts and offal of turkeys, fresh or chilled Cuts and offal of turkeys, frozen</w:t>
      </w:r>
    </w:p>
    <w:p>
      <w:pPr>
        <w:pStyle w:val="Normal"/>
      </w:pPr>
      <w:r>
        <w:t>Ducks, not cut in pieces, fresh or chilled Ducks, not cut in pieces, frozen Fatty livers of ducks, fresh or chilled Cuts and offal, other than fatty livers, of ducks, fresh or chilled Cuts and offal of ducks, frozen Geese, not cut in pieces, fresh or chilled Geese, not cut in pieces, frozen Fatty livers of geese, fresh or chilled Cuts and offal, other than fatty livers, of geese, fresh or chilled Cuts and offal of geese, frozen Guinea fowls, not cut in pieces, fresh or chilled</w:t>
      </w:r>
    </w:p>
    <w:p>
      <w:pPr>
        <w:pStyle w:val="Normal"/>
      </w:pPr>
      <w:r>
        <w:t>Guinea fowls, not cut in pieces, frozen Fatty livers of guinea fowls, fresh or chilled Cuts and offal, other than fatty livers, of guinea fowls, fresh or chilled Cuts and offal of guinea fowls, frozen Meat and edible meat offal of rabbits or hares, fresh, chilled or frozen Meat and edible meat offal of primates, fresh, chilled or frozen Meat and edible meat offal of whales, dolphins, porpoises, manatees, dugongs, seals, seal lions or walruses, fresh, chilled or frozen Meat and edible meat offal of reptiles, fresh, chilled or frozen Meat and edible meat offal of camels and other camelids, fresh, chilled or frozen Meat and edible offal of deer, fresh, chilled or frozen Frog legs, fresh, chilled or frozen Fresh, chilled or frozen quail, eviscerated, not in pieces Other meat and edible meat offal not elsewhere specified or included, fresh, chilled or frozen Pig fat, free of lean meat, fresh, chilled, frozen, salted, in brine, dried or smoked Poultry fat, not rendered or otherwise extracted, fresh, chilled, frozen, salted,</w:t>
      </w:r>
    </w:p>
    <w:p>
      <w:pPr>
        <w:pStyle w:val="Normal"/>
      </w:pPr>
      <w:r>
        <w:t>in brine, dried or smoked Hams, shoulders and cuts thereof with bone in, salted, in brine, dried or smoked Bellies (streaky) and cuts thereof of swine, salted, in brine, dried or smoked Meat of swine other than hams, shoulders, bellies (streaky) and cuts thereof, salted, in brine, dried or smoked Meat of bovine animals, salted, in brine, dried or smoked Meat and edible offal of primates, salted, in brine, dried or smoked;</w:t>
      </w:r>
    </w:p>
    <w:p>
      <w:pPr>
        <w:pStyle w:val="Normal"/>
      </w:pPr>
      <w:r>
        <w:t>edible flours and meals thereof Meat,</w:t>
      </w:r>
    </w:p>
    <w:p>
      <w:pPr>
        <w:pStyle w:val="Normal"/>
      </w:pPr>
      <w:r>
        <w:t>edible offal, &amp; meals of whales,dolphins,porpoises,manatees,dugongs,seals, sea lions, walruses,salted,in brine,dried or smoked Meat and edible offal of reptiles, salted, in brine, dried or smoked; edible flours and meals thereof Meat and edible offal of poultry of heading 0105, in brine, dried or smoked; edible flours and meals thereof Meat and edible offal not elsewhere specified or included, salted, in brine, dried or smoked;</w:t>
      </w:r>
    </w:p>
    <w:p>
      <w:pPr>
        <w:pStyle w:val="Normal"/>
      </w:pPr>
      <w:r>
        <w:t>edible flours and meals thereof Live ornamental freshwater fish Live ornamental fish, other than freshwater Live trout Live eels Live carp Other live Fish, Atlantic &amp; Pacific Bluefin Tunas Other live Fish, Southern Bluefin Tunas Live Tench (Tinca Tinca), sheatfish (Silurus Glanis), bighead carp (Aristichthys Nobilis) and other fish, nesoi Trout, fresh or chilled, excluding fillets, other meat portions, livers and roes Pacific salmon, fresh or chilled, excluding fillets, other meat portions, livers and roes Atlantic and Danube salmon, fresh or chilled, excluding fillets, other meat portions, livers and roes Salmonidae other than trout or Pacific, Atlantic &amp; Danube salmon, fresh or chilled, excluding fillets, other meat portions, livers &amp; roes Halibut and Greenland turbot, fresh or chilled, excluding fillets, other meat portions, livers and roes Plaice, fresh or chilled, excluding fillets, other meat portions, livers and roes Sole, fresh or chilled, excluding fillets, other meat portions, livers and roes Turbots Flat fish, nesi, fresh or chilled,</w:t>
      </w:r>
    </w:p>
    <w:p>
      <w:pPr>
        <w:pStyle w:val="Normal"/>
      </w:pPr>
      <w:r>
        <w:t>excluding fillets, other meat portions, livers and roes Albacore or longfinned tunas, fresh or chilled, excluding fillets, other meat portions, livers and roes Yellowfin tunas, fresh or chilled, excluding fillets, other meat portions, livers and roes Skipjack or stripe-bellied bonito, fresh or chilled, excluding fillets, other meat portions, livers and roes Bigeye tunas (Thunnas obesus), fresh or chilled, excluding fillets, other meat portions, livers and roes Atlantic &amp; Pacific bluefin tunas, fresh or chilled, excluding fillets, other meat portions, livers and roes Southern bluefin tunas (Thunnas maccoyii), fresh or chilled, excluding fillets, other meat portions, livers and roes Tunas not elsewhere specified or included, fresh or chilled, excluding fillets, other meat portions, livers and roes Herrings, fresh or chilled, excluding fillets, other meat portions, livers and roes Anchovies, excl. fillets, livers &amp; roes, fresh or chilled, scaled, in immediate containers weighing with their contents &lt;6.8 kg Sardines, sardinella, brisling or sprats, fresh or chilled, excluding fillets, other meat portions, livers and roes Mackerel, excl. fillets, livers &amp; roes, fresh or chilled Jack &amp; horse mackerel, excl.</w:t>
      </w:r>
    </w:p>
    <w:p>
      <w:pPr>
        <w:pStyle w:val="Normal"/>
      </w:pPr>
      <w:r>
        <w:t>fillets, livers &amp; roes, fresh or chilled, scaled, in immediate containers weighing with their contents &lt;6.8 kg Jack &amp; horse mackerel excl. fillets, livers &amp; roes, fresh or chilled, not scaled, or scaled in immediate containers &gt; 6.8 kg Cobia, excl.</w:t>
      </w:r>
    </w:p>
    <w:p>
      <w:pPr>
        <w:pStyle w:val="Normal"/>
      </w:pPr>
      <w:r>
        <w:t>fillets, livers and roes, fresh or chilled, scaled, in immediate containers weighing with their contents 6.8 kg or less Cobia, excl. fillets, livers &amp; roes, fresh or chilled, not scaled, or scaled in immediate containers over 6.8 kg Swordfish, fresh or chilled, excluding livers and roes Herrings, anchovies, sardines, nesoi Cod, fresh or chilled, excluding fillets, other meat portions, livers and roes Haddock, fresh or chilled, excluding fillets, other meat portions, livers and roes Coalfish, fresh or chilled, excluding fillets, other meat portions, livers and roes Hake, excl. fillets, livers and roes, fresh or chilled, scaled, in immediate containers weighing with their contents 6.8 kg or less Hake,excl. fillets, livers &amp; roes, fresh or chilled, not scaled, or scaled in immediate containers over 6.8 kg Alaska pollack, excl. fillets, livers,roes, fresh or chilled, scaled, in immediate containers weighing with their contents&lt; 6.8 kg Alaska pollack excl. fillets, livers &amp; roes, fresh or chilled, not scaled, or scaled in immediate containers over 6.8 kg Blue whitings, excl.</w:t>
      </w:r>
    </w:p>
    <w:p>
      <w:pPr>
        <w:pStyle w:val="Normal"/>
      </w:pPr>
      <w:r>
        <w:t>fillets, livers &amp; roes, fresh or chilled, scaled, in immediate containers weighing with their contents &lt;6.8 kg Blue whitings, excl. fillets, livers &amp; roes, fresh or chilled, not scaled, or scaled in immediate containers over 6.8 kg Bregmacerotidae et al fish, nesi, excl. fillets, livers and roes, fresh or chilled, scaled, in immediate containers weighing &lt; 6.8 kg Bregmacerotidae fish, etc. excl.</w:t>
      </w:r>
    </w:p>
    <w:p>
      <w:pPr>
        <w:pStyle w:val="Normal"/>
      </w:pPr>
      <w:r>
        <w:t>fillets, livers &amp; roes, fresh or chilled, not scaled, or scaled in immediate containers &gt; 6.8 kg Tilapias, excl. fillets, livers and roes, fresh or chilled, scaled, in immediate containers weighing with their contents &lt;6.8 kg Tilapias, excl. fillets, livers &amp; roes, fresh or chilled, not scaled, or scaled in immediate containers over 6.8 kg Catfish, excl. fillets, livers and roes, fresh or chilled, scaled, in immediate containers weighing with their contents 6.8 kg or less Catfish excl. fillets, livers &amp; roes, fresh or chilled, not scaled, or scaled in immediate containers over 6.8 kg Carp, excl. fillets, livers and roes, fresh or chilled, scaled, in immediate containers weighing with their contents 6.8 kg or less Carp excl. fillets, livers &amp; roes, fresh or chilled, not scaled, or scaled in immediate containers over 6.8 kg Eels, fresh or chilled, excluding fillets, other meat portions, livers and roes Fish beginning 0302.7, nesi, excl. fillets, livers and roes, fresh or chilled, scaled, in immediate containers &lt; 6.8 kg Fish beginning 0302.7, nesi, excl.</w:t>
      </w:r>
    </w:p>
    <w:p>
      <w:pPr>
        <w:pStyle w:val="Normal"/>
      </w:pPr>
      <w:r>
        <w:t>fillets, livers &amp; roes, fresh or chilled,not scaled,or scaled in containers&gt;6.8 kg Dogfish and other sharks, fresh or chilled, excluding fillets, livers, roes and fish meat of 0304 Rays &amp; skates, excl. fillets, livers &amp; roes, fresh or chilled, not scaled, or scaled in immediate containers over 6.8 kg Toothfish excl.</w:t>
      </w:r>
    </w:p>
    <w:p>
      <w:pPr>
        <w:pStyle w:val="Normal"/>
      </w:pPr>
      <w:r>
        <w:t>fillets, livers &amp; roes, fresh or chilled, not scaled, or scaled in immediate containers over 6.8 kg Seabass, excl. fillets, livers and roes, fresh or chilled, scaled, in immediate containers weighing with their contents 6.8 kg or less Seabass, excl. fillets, livers &amp; roes, fresh or chilled, not scaled, or scaled in immediate containers over 6.8 kg Seabream, excl. fillets, livers and roes, fresh or chilled, scaled, in immediate containers weighing with their contents 6.8 kg or less Seabream, excl. fillets, livers &amp; roes, fresh or chilled, not scaled, or scaled in immediate containers over 6.8 kg Fish, nesi, excl. fillets, livers and roes, fresh or chilled, scaled, in immediate containers weighing with their contents 6.8 kg or less Fish, nesi, excl.</w:t>
      </w:r>
    </w:p>
    <w:p>
      <w:pPr>
        <w:pStyle w:val="Normal"/>
      </w:pPr>
      <w:r>
        <w:t>fillets, livers &amp; roes, fresh or chilled, not scaled, or scaled in immediate containers over 6.8 kg Sturgeon Roe, fresh or chilled Mullet and other fish liver and roes, fresh or chilled Shark fins, fresh or chilled, excluding fillet Other fish, fresh or chilled, nesoi Sockeye salmon (red salmon) (Orncorhynchus nerka), frozen, excluding fillets, other meat portions, livers and roes Pacific salmon, other than sockeye, frozen, excluding fillets, other meat portions, livers and roes Atlantic salmon and Danube salmon, frozen, excluding livers and roes Trout, frozen, excluding fillets, other meat portions, livers and roes Salmonidae, other than trout or Atlantic and Danube salmon, nesi, frozen, excluding fillets, other meat portions,</w:t>
      </w:r>
    </w:p>
    <w:p>
      <w:pPr>
        <w:pStyle w:val="Normal"/>
      </w:pPr>
      <w:r>
        <w:t>livers and roes Tilapias, frozen, excluding fillets, other meat portions, livers and roes Catfish, frozen, excluding fillets, other meat portions, livers and roes Carp, frozen excluding fillets, livers and roes Eels, frozen, excluding fillets, other meat portions, livers and roes Other fish in 0303.2 grouping nesi, frozen, excluding fillets, other meat portions, livers and roes Halibut and Greenland turbot, frozen, excluding fillets, other meat portions &amp; livers and roes Plaice, frozen, excluding fillets, other meat portions, livers and roes Sole, frozen, excluding fillets, other meat portions, livers and roes Turbots, frozen, excluding fillets, other meat portions, livers and roes Flat fish, other than halibut, Greenland turbot, plaice and sole, frozen, excluding fillets, other meat portions, livers and roes Albacore or longfinned tunas, frozen, excluding fillets, other meat portions, livers and roes Yellowfin tunas, frozen, excluding fillets, other meat portions, livers and roes Skipjack or stripe-bellied bonito, frozen, excluding fillets, other meat portions, livers and roes Bigeye tunas (Thunnas obesus), frozen, excluding fillets, other meat portions, livers and roes Atlantic and</w:t>
      </w:r>
    </w:p>
    <w:p>
      <w:pPr>
        <w:pStyle w:val="Normal"/>
      </w:pPr>
      <w:r>
        <w:t>Pacific bluefin tunas, frozen, excluding fillets, other meat portions, livers and roes Southern bluefin tunas (Thunnas maccoyii), frozen, excluding fillets, other meat portions, livers and roes Tunas, not elsewhere specified or included, frozen, excluding fillets, other meat portions, livers and</w:t>
      </w:r>
    </w:p>
    <w:p>
      <w:pPr>
        <w:pStyle w:val="Normal"/>
      </w:pPr>
      <w:r>
        <w:t>roes Herrings, frozen, excluding fillets, other meat portions, livers and roes Sardines, sardinella, brisling or sprats, frozen, excluding fillets, other meat portions, livers and roes Mackerel, frozen, excluding fillets, livers and roes Jack &amp; horse mackerel, frozen, excluding fillets, other meat portions, livers and roes Cobia, frozen, excluding fillets, other meat portions, livers and roes Swordfish steaks,other swordfish, excluding fillets, other meat portions, livers and roes Other fish, frozen, excluding fillets, livers, roes and herrings Cod, frozen, excluding fillets, other meat portions, livers and roes Haddock, frozen, excluding fillets, other meat portions, livers and roes Coalfish, frozen, excluding fillets, other meat portions, livers and roes Hake, frozen, excluding fillets, other meat portions, livers and roes Alaska pollack, frozen, excluding fillets, other meat portions, livers and roes Blue whitings, frozen, excluding fillets, other meat portions, livers and roes Other fish in Bregmacerotidae et al,etc.</w:t>
      </w:r>
    </w:p>
    <w:p>
      <w:pPr>
        <w:pStyle w:val="Normal"/>
      </w:pPr>
      <w:r>
        <w:t>frozen, excluding fillets, other meat portions, livers and roes Dogfish and other sharks, frozen, excluding fillets, livers, roes and fish meat of 0304 Rays &amp; skates, frozen, excluding fillets, other meat portions, livers and roes Toothfish excluding fillets, other meat portions, livers and roes Sea bass, frozen, excluding fillets, other meat portions, livers and roes Smelts, cusk, pollock, shad, sturgeon, atkafish, fresh-water fish,etc.</w:t>
      </w:r>
    </w:p>
    <w:p>
      <w:pPr>
        <w:pStyle w:val="Normal"/>
      </w:pPr>
      <w:r>
        <w:t>frozen, excluding fillets, other meat portions, livers and roes Sturgeon roe, frozen Herring, salmon, alaskan pollock, mullet, other fist liver and roes, frozen Shark fins excluding fillets, frozen Other fish, frozen, nesoi Tilapias, fillets, fresh or chilled Catfish, fillets, fresh or chilled Nile perch, fillets, fresh or chilled Eels or snakeheads, fillets, fresh or chilled Salmon fillets, fresh or chilled Trout, fillets, fresh or chilled “Flat fish”, sole, plaice, etc.</w:t>
      </w:r>
    </w:p>
    <w:p>
      <w:pPr>
        <w:pStyle w:val="Normal"/>
      </w:pPr>
      <w:r>
        <w:t>fillets, fresh or chilled Bregamacerotidae &amp; like fish, fillets, fresh or chilled Fresh or chilled swordfish fillets Fresh or chilled toothfish fillets Dogfish and other shark fillets, frozen or chilled Ray and skate fillets, fresh or chilled Pike, pickerel, whitefish, tilapia, perch, cusk, other fish fillets, fresh or chilled Tilapias, catfish, carp, eels, nile perch, snakeheads, other than fillets, fresh or chilled Salmonidae, other than fillets, fresh or chilled Bregmacerotidae and other fish, nesi, other than fillets, fresh or chilled Fresh or chilled swordfish other than fillets Fresh or chilled toothfish other than fillets Dogfish and other sharks, fresh or chilled Rays and skates, fresh or chilled Other fish, nesi, other than fillets, fresh or chilled Frozen tilapia fillets Frozen catfish fillets Frozen Nile perch fillets Frozen eel &amp; snakehead fillets Frozen cod fillets, skinned, in blocks weighing over 4.5 kg, to be minced, ground or cut into pieces of uniform weight and dimension Fillets,</w:t>
      </w:r>
    </w:p>
    <w:p>
      <w:pPr>
        <w:pStyle w:val="Normal"/>
      </w:pPr>
      <w:r>
        <w:t>frozen, of cod, other than above Frozen haddock fillets, skinned, in blocks weighing over 4.5 kg, to be minced, ground or cut into pieces of uniform weight and dimension Fillets, frozen, of haddock, other than above Frozen coalfish fillets, skinned, in blocks weighing over 4.5 kg, to be minced, ground or cut into pieces of uniform weight and dimension Other coalfish fillets Frozen hake fillets, skinned, in blocks weighing over 4.5 kg, to be minced, ground or cut into pieces of uniform weight and dimension Fillets, frozen, of hake Frozen Alaska pollack fillets, skinned, in blocks weighing over 4.5 kg, to be minced, ground or cut Fillets, frozen, of Alaska pollock, other than above Frozen Bregmacerotidae et al fish fillets,nesi, skinned, in blocks weighing over 4.5 kg, to be minced, ground or cut into pieces Frozen fillets of other fresh-water fish, flat fish, etc., nesi, other than above Frozen salmon fillets, skinned, in blocks weighing over 4.5 kg, to be minced, ground or cut into pieces of uniform weight Other</w:t>
      </w:r>
    </w:p>
    <w:p>
      <w:pPr>
        <w:pStyle w:val="Normal"/>
      </w:pPr>
      <w:r>
        <w:t>frozen salmon fillets Frozen trout fillets, skinned, in blocks weighing over 4.5 kg, to be minced, ground or cut into pieces of uniform weight and dimension Frozen trout fillets, other than above Frozen “flat fish” fillets, skinned, in blocks weighing over 4.5 kg, to be minced, ground or cut into pieces of uniform weight and dimension Frozen “other flat fish” fillets, other than above Frozen swordfish fillets Frozen toothfish fillets Frozen herring fillets Frozen</w:t>
      </w:r>
    </w:p>
    <w:p>
      <w:pPr>
        <w:pStyle w:val="Normal"/>
      </w:pPr>
      <w:r>
        <w:t>tuna fillets Dogfish, other shark, ray and skate fillets, frozen Other frozen fish fillets, skinned, in blocks weighing over 4.5 kg, to be minced, ground or cut into pieces of uniform weight and dimension Other frozen fish fillets, other than above Chilled or Frozen Swordfish fillets, in bulk or in immediate containers weighing with their contents over 6.8 kg each Chilled or Frozen Swordfish Fillets,nesi Chilled or Frozen Toothfish fillets, in bulk or in immediate containers weighing with their contents over 6.8 kg each Chilled or Frozen Toothfish Fillets,nesi Chilled or Frozen tilapia &amp; like fillets,nesi, in bulk or in immediate containers weighing &gt; 6.8 kg each Tilapias, catfish, carp, eels, nile perch &amp; snakehead chilled or frozen fillets,nesi Alaska pollack chilled or frozen fillets,in bulk or in immediate containers weighing with their contents over 6.8 kg each Alaska pollack, chilled or frozen fillets,nesi Chilled or Frozen fillets,Bregmacerotidae &amp; like, nesi, in bulk or in immediate containers &gt; 6.8 kg each Bregamacerotidae other fish, other than Alaska pollack, nesi,</w:t>
      </w:r>
    </w:p>
    <w:p>
      <w:pPr>
        <w:pStyle w:val="Normal"/>
      </w:pPr>
      <w:r>
        <w:t>chilled or frozen fillets,nesi Dogfish and other sharks, frozen, nesoi Ray and skates, frozen, nesoi Chilled or Frozen fillets,nesi, in bulk or in immediate containers weighing with their contents over 6.8 kg each Chilled or Frozen fillets,nesi Flours, meals and pellets of fish, fit for human consumption, in bulk or in immediate containers weighing with contents over 6.8 kg each Flours, meals and</w:t>
      </w:r>
    </w:p>
    <w:p>
      <w:pPr>
        <w:pStyle w:val="Normal"/>
      </w:pPr>
      <w:r>
        <w:t>pellets of fish, fit for human consumption, other than in bulk or immediate containers weighing contents over 6.8 kg each Sturgeon roe, dried, smoked, salted or in brine Fish livers and roes, other than sturgeon roe, dried, smoked, salted or in brine Tilapia, catfish, carp, eel, nile perch, snakehead fillets, dried or salted in brine, but not smoked “Flat fish” fillets, nesi, dried, salted or in brine, but not smoked Fillets of herrings, dried, salted or in brine, but not smoked, in immediate containers weighing with their contents 6.8 kg or less each Fillets of mackerel, dried, salted or in brine, but not smoked, in immediate containers weighing with their contents 6.8 kg or less each Herring and other fist fillets, dried, salted or in brine, but not smoked Smoked Pacific, Atlantic and Danube salmon, including fillets Smoked herrings, including fillets Smoked trout, including fillets Tilapia, catfish, carp, eel, nile perch, snakehead including fillets, smoked Smoked mackerel, including fillets Smoked fish, including fillets, nesoi Dried cod, whether or not salted</w:t>
      </w:r>
    </w:p>
    <w:p>
      <w:pPr>
        <w:pStyle w:val="Normal"/>
      </w:pPr>
      <w:r>
        <w:t>but not smoked Tilapia, catfish, carp, eel, nile perch, snakehead, not smoked, dried, whether or not salted Fish of families Bregmacerotidae, Euclichthyidae, Gadidae, Macrouridae,Melanonidae, Merlucciidae, Moridae and Muraenolepididae, dried but not smoked Herrings, anchovies, sardines, sardinella, brisling or sprat, mackerel, Indian mackeral, seerfish, dried, whether or not salted, but not smoked Dried fish, other</w:t>
      </w:r>
    </w:p>
    <w:p>
      <w:pPr>
        <w:pStyle w:val="Normal"/>
      </w:pPr>
      <w:r>
        <w:t>than cod or shark fins, whether or not salted but not smoked Herrings, in brine or salted but not dried or smoked, in immediate containers weighing with their contents 6.8 kg or less each Herrings, in brine or salted but not dried or smoked, other than in immediate containers weighing with their contents 6.8 kg or less each Cod, in brine or salted but not dried or smoked Anchovies, in brine or salted but not dried or smoked, in immediate airtight containers weighing with their contents 6.8 kg or less each Anchovies, in brine or salted but not dried or smoked, in immediate containers, nesi, weighing with their contents 6.8 kg or less each Anchovies, in brine or salted but not dried or smoked, other than in immediate containers weighing with their contents 6.8 kg or less each Tilapias, catfish, carp, eel, Nile perch, or snakehead, in brine or salted but not dried or smoked, in immediate containers &lt;6.8 kg Tilapias, catfish, carp, eel, Nile perch, or snakehead, in brine</w:t>
      </w:r>
    </w:p>
    <w:p>
      <w:pPr>
        <w:pStyle w:val="Normal"/>
      </w:pPr>
      <w:r>
        <w:t>or salted but not dried or smoked, other than in containers &lt;6.8 kg Cusk, haddock, hake, and pollock, in brine or salted but not dried or smoked Mackerel, in brine or salted but not dried or smoked, in immediate containers weighing with their contents 6.8 kg or less each Mackerel, in brine or salted but not dried or smoked, other than in immediate containers weighing with their contents 6.8 kg or less each Salmon, in brine or salted but not dried or smoked Fish, nesi, in brine or salted but not dried or smoked,</w:t>
      </w:r>
    </w:p>
    <w:p>
      <w:pPr>
        <w:pStyle w:val="Normal"/>
      </w:pPr>
      <w:r>
        <w:t>in immediate containers weighing with their contents 6.8 kg or less each Fish, nesi, in brine or salted but not dried or smoked, other than in immediate containers weighing with their contents 6.8 kg or less each Dried shark fins, whether or not salted but not smoked Fish heads, tails, and maws, whether or not salted but not smoked Edible fish offal, other fish heads tails and maws or shark fins, whether or not salted but not smoked Rock lobster and other sea crawfish, cooked in shell or uncooked, dried, salted or in brine, frozen Lobsters excluding rock lobster, cooked in shell or uncooked, dried, salted or in brine, frozen Crabmeat, frozen Crabs, cooked in shell or uncooked (whether in shell or not), dried, salted or in brine, frozen Norway lobsters, cooked in shell or uncooked, dried, salted or in brine, frozen Cold-water shrimps and prawns, cooked in shell or uncooked, dried, salted or in brine, frozen Other shrimps and prawns, cooked in shell or uncooked, dried, salted or in</w:t>
      </w:r>
    </w:p>
    <w:p>
      <w:pPr>
        <w:pStyle w:val="Normal"/>
      </w:pPr>
      <w:r>
        <w:t>brine, frozen Crustateans, nesi (including flours, meals and pellets of crustaceans fit for human consumption), cooked in shell or uncooked, etc., frozen Live rock lobster and other sea crawfish, frozen or chilled Live lobsters (Homarus spp.), frozen or chilled, except rock lobster Crabmeat, fresh or chilled Live crabs, fresh or chilled, other than crabmeat Live Norway lobsters, frozen or chilled Cold water shrimps and prawns, shell-on or peeled, live, frozen, or chilled Shrimps and prawns, other</w:t>
      </w:r>
    </w:p>
    <w:p>
      <w:pPr>
        <w:pStyle w:val="Normal"/>
      </w:pPr>
      <w:r>
        <w:t>than cold water shrimp, shell-on or peeled, live, frozen or chilled Flours, meals and pellets of crustaceans, fress or chilled, fit for human consumption, or other crustaceans, live, fresh or chilled Rock lobster and other sea crawfish nesoi Lobsters (Homarus SPP.), except rock lobster nesoi Crabmeat, nesoi Crabs, other than crabmeat, nesoi Norway lobsters (Nephrops Norvegicus), nesoi Other shrimps and prawns, shell-on or peeled Flours, meals and pellets of crustaceans, fit for human consumption or crustraceans nesoi Oysters, whether in shell or not, live, fresh, or chilled Oysters, frozen Oysters, fresh or chilled Scallops, including queen scallops, whether in shell or not, live, fresh or chilled Scallops, including queen scallops, of the genera Pecten, Chlamys or Placopecten, frozen Scallops, including queen scallops, of the genera Pecten, Chlamys or Placopecten, dried, salted or in brine Mussels, whether in shell or not, live, fresh or chilled Mussels (Mytilus Spp., Perna Spp.), frozen Mussels (Mytilus Spp., Perna Spp.), dried, salted or in brine Squid or cuttle fish, live, fresh or chilled Squid or</w:t>
      </w:r>
    </w:p>
    <w:p>
      <w:pPr>
        <w:pStyle w:val="Normal"/>
      </w:pPr>
      <w:r>
        <w:t>cuttle fish, frozen Squid or cuttle fish, dried, salted or in brine Octopus, live, fresh or chilled Octopus, frozen Octopus, dried, salted or in brine Snails, other than sea snails, whether in shell or not, live, fresh, chilled, frozen, dried, salted or in brine Clams, cockles and ark shells, whether in shell or not, live, fresh or chilled Clams, cockles and ark shells, frozen</w:t>
      </w:r>
    </w:p>
    <w:p>
      <w:pPr>
        <w:pStyle w:val="Normal"/>
      </w:pPr>
      <w:r>
        <w:t>Clams, cockles and ark shells, dried salted or in brine Abalone, whether in shell or not, live, fresh or chilled Live stromboid conch, fresh or chilled Abalone, including flours, meals and pellets fit for human consumption, frozen Stromboid conchs (Strombus Spp.), frozen Abalone, including edible flours, meals and pellets, nesoi Stromboid conchs, nesoi Conch and other molluscs nesoi, including flours, meals and pellets, fit for human consumption, live, fresh o chilled Conch and other molluscs nesoi, including flours, meals and pellets, fit for human consumption, frozen Molluscs, including flours, meals and pellets fit for human consumption, nesoi Sea cucumbers, live, fresh or chilled Frozen sea cucumbers Sea cucumbers, not frozen Sea urchins, live, fresh or chilled Frozen sea urchins Sea urchins, not frozen Jellly fish, live, fresh, chilled, frozen, dried, salted smoked, or in brine Other aquatic invertebrates, oth than molluscs &amp; crustaceans, nesi, live, fresh or chilled, dried, salted, smoked or in brine Milk and cream, unconcentrated, with no added sweeteners, fat content, by weight, not more than 1</w:t>
      </w:r>
    </w:p>
    <w:p>
      <w:pPr>
        <w:pStyle w:val="Normal"/>
      </w:pPr>
      <w:r>
        <w:t>percent Milk and cream, unconcentrated, unsweetened, fat content over 1% but n/o 6%, for not over 11,356,236 liters entered in any calendar year Milk and cream, unconcentrated, unsweetened, fat content over 1% but not over 6%, for over 11,356,236 liters entered in any calendar year Milk and cream, not concentrated, not sweetened, fat content o/6% but not o/10%, subject to gen.</w:t>
      </w:r>
    </w:p>
    <w:p>
      <w:pPr>
        <w:pStyle w:val="Normal"/>
      </w:pPr>
      <w:r>
        <w:t>note 15 of the HTS Milk and cream, not concentrated, not sweetened, fat content o/6% but not o/10%, subject to add. US note 5 to Ch. 4 Milk and cream, not concentrated, not sweetened, fat content o/6% but not o/10%, not subject to gen. nte 15 or add. nte 5 to Ch. 4 * Milk and cream, not concentrated, not sweetened, fat content o/10% but not o/45%, subject to gen. note 15 of the HTS Milk and cream, not concentrated, not sweetened, fat content o/10% but not o/45%, subject to add. US note 5 to Ch. 4 Milk and cream, not concentrated, not sweetened, fat content o/10% but not o/45%, not subject to gen. nte 15 or add. nte 5 to Ch. 4 * Milk and cream, not concentrated, not sweetened, fat content o/45%, subject to gen. note 15 of the HTS Milk and cream, not concentrated, not sweetened, fat content o/45%, subject to add. US note 6 to Ch. 4 Milk and cream, not concentrated, not sweetened, fat content o/45%, not subject to gen. nte 15 or add. nte 6 to Ch.</w:t>
      </w:r>
    </w:p>
    <w:p>
      <w:pPr>
        <w:pStyle w:val="Normal"/>
      </w:pPr>
      <w:r>
        <w:t>4 * Milk &amp; cream, concen or sweetened, in powder, granules or other solid forms, w/fat content by weight not o/1.5%, subj to GN15 Milk &amp; cream in powder granules/other solid forms fat content by weight not exceeding 1.5% whether/not sweetened, described in addl note 7 Milk &amp; cream in powder granules/other solid forms fat content by weight not exceeding 1.5% whether/not sweetened, nesi * Milk &amp; cream, concen, not sweetened, in powder, granules or other solid forms, w/fat content o/1.5% but not o/3%, subj to GN15 Milk &amp; cream, concen, not sweetened, in powder, granules or other solid forms, w/fat content o/1.5% but not o/3%, subj Ch4 US note 7 Milk &amp; cream, concen, not sweetened, in powder, granules or other solid forms, w/fat content o/1.5% but not o/3%, not subj GN15/Ch4 US note7 * Milk &amp; cream, concen, not sweetened, in powder, granules or other solid forms, w/fat content o/3% but not o/35%, subject to gen.</w:t>
      </w:r>
    </w:p>
    <w:p>
      <w:pPr>
        <w:pStyle w:val="Normal"/>
      </w:pPr>
      <w:r>
        <w:t>note 15 Milk &amp; cream, concen, not sweetened, in powder/granules/oth solid forms, fat cont o/3% but not o/35%, subj to Ch 4 US note 7 Milk &amp; cream, concen, not sweetened, in powder/granules/oth solid forms, fat cont o/3% but not o/35%, not subj to GN15 or Ch 4 US.S. note 7 * Milk &amp; cream, concen, not sweetened, in powder, granules or other solid forms, w/fat content o/35%, subject to gen. note 15 Milk &amp; cream, concen, not sweetened, in powder, granules or other solid forms, w/fat content o/35%, subject to add.</w:t>
      </w:r>
    </w:p>
    <w:p>
      <w:pPr>
        <w:pStyle w:val="Normal"/>
      </w:pPr>
      <w:r>
        <w:t>US note 9 to Ch.4 Milk &amp; cream, concen, not sweetened, in powder, granules or other solid forms, w/fat content o/35%, not subj to GN15 or Ch4 US note 9 * Milk &amp; cream, concen, sweetened, in powder, granules or other solid forms, w/fat content o/1.5%, subject to gen. note 15 Milk &amp; cream, concen, sweetened, in powder, granules or other solid forms, w/fat content o/1.5%, subject to add. US note 10 to Ch.4 Milk &amp; cream, concen, sweetened, in powder, granules or other solid forms, w/fat content o/1.5%, not subj to GN15 or Ch4 US note 10 * Milk &amp; cream, concen, in non-solid forms, not sweetened, in airtight containers, subject to gen. note 15 of the HTS Milk &amp; cream, concen in non-solid forms, not sweetened, not in airtight containers, subject to gen. note 15 of the HTS Milk &amp; cream, concen in non-solid forms, not sweetened, in airtight containers, subject to add. US note 11 to Ch.4 Milk &amp; cream, concen in non-solid forms, not sweetened, not in airtight containers, subject to add.</w:t>
      </w:r>
    </w:p>
    <w:p>
      <w:pPr>
        <w:pStyle w:val="Normal"/>
      </w:pPr>
      <w:r>
        <w:t>US note 11 to Ch. 4 Milk &amp; cream, concen in non-solid forms, not sweetened, in airtight containers, not subject to gen. note 15 or add. US note 11 to Ch.4 * Milk and cream, concentrated, in other than powder, granules or other solid forms, unsweetened, other than in airtight containers * Condensed milk, sweetened, in airtight containers, subject to gen. note 15 of the HTS Condensed milk, sweetened, not in airtight containers, subject to gen.</w:t>
      </w:r>
    </w:p>
    <w:p>
      <w:pPr>
        <w:pStyle w:val="Normal"/>
      </w:pPr>
      <w:r>
        <w:t>note 15 of the HTS Condensed milk, sweetened, in airtight containers, subject to add. US note 11 to Ch.4 Condensed milk, sweetened, not in airtight containers, subject to add. US note 11 to Ch. 4 Condensed milk, sweetened, in airtight containers, not subject to gen. note 15 or add. US note 11 to Ch.4 * Condensed milk, sweetened, not in airtight containers, not subject to gen. note 15 or add. US note 11 to Ch.4 * Milk &amp; cream (except condensed milk), concentrated in non-solid forms, sweetened, subject to gen. note 15 of the HTS Milk &amp; cream (except condensed milk), concentrated in non-solid forms, sweetened, subject to add. US note 10 to Ch. 4 Milk &amp; cream (except condensed milk), concentrated in non-solid forms, sweetened, not desc. gen. note 15 or add. US note 10 to Ch. 4 * Yogurt, in dry form, whether or not flavored or containing add fruit or cocoa, subject to gen. note 15 of the HTS Yogurt, in dry form, whether or not flavored or containing add fruit or cocoa, subject to add.</w:t>
      </w:r>
    </w:p>
    <w:p>
      <w:pPr>
        <w:pStyle w:val="Normal"/>
      </w:pPr>
      <w:r>
        <w:t>US note 10 to Ch. 4 Yogurt, in dry form, whether or not flavored or containing add fruit or cocoa, not subject to gen nte 15 or add. US nte 10 to Ch.4 * Yogurt, not in dry form, whether or not flavored or containing add fruit or cocoa Sour cream, fluid, n/o 45% by wt. butterfat, subject to gen. note 15 of the HTS Sour cream, fluid, n/o 45% by wt. butterfat, subject to add. US note 5 to Ch.4 Sour cream, fluid, n/o 45% by wt.</w:t>
      </w:r>
    </w:p>
    <w:p>
      <w:pPr>
        <w:pStyle w:val="Normal"/>
      </w:pPr>
      <w:r>
        <w:t>butterfat, not subject to gen nte 15 or add US note 5 to Ch.4 * Fluid buttermilk Sour cream, dried, n/o 6% by wt. butterfat, subject to gen. note 15 of the HTS Sour cream, dried, n/o 6% by wt. butterfat, subject to add. US note 12 to Ch. 4 Sour cream, dried, n/o 6% by wt. butterfat, not subject to gen nte 15 or add. US note 12 to Ch. 4 * Sour cream, dried, o/6% but n/o 35% by wt. butterfat, subject to gen. note 15 of the HTS Sour cream, dried, o/6% but n/o 35% by wt. butterfat, subject to add. US note 8 to Ch. Sour cream, dried, o/6% but n/o 35% by wt. butterfat, not subject to gen nte 15 or add. US note 8 to Ch. 4 * Sour cream, dried, o/35% but n/o 45% by wt. butterfat, subject to gen. note 15 of the HTS Sour cream, dried, o/35% but n/o 45% by wt. butterfat, subject to add. US note 9 to Ch.</w:t>
      </w:r>
    </w:p>
    <w:p>
      <w:pPr>
        <w:pStyle w:val="Normal"/>
      </w:pPr>
      <w:r>
        <w:t>4 Sour cream, dried, o/35% but n/o 45% by wt. butterfat, not subject to gen nte 15 or add. US note 9 to Ch. 4 * Sour cream, o/45% by wt. butterfat, subject to gen. note 15 of the HTS Sour cream, o/45% by wt. butterfat, subject to add. US note 6 to Ch. 4 Sour cream, o/45% by wt. butterfat, not subject to gen nte 15 or add. US note 6 to Ch. * Fermented milk o/than dried fermented milk or o/than dried milk with added lactic ferments Curdled milk/cream/kephir &amp; other fermentd or acid. milk/cream descr.in gen. note 15 Curdled milk/cream/kephir &amp; other fermentd or acid. milk/cream subject to add US note 10 to Ch.4 Curdled milk/cream/kephir &amp; other fermentd or acid.</w:t>
      </w:r>
    </w:p>
    <w:p>
      <w:pPr>
        <w:pStyle w:val="Normal"/>
      </w:pPr>
      <w:r>
        <w:t>milk/cream subj to GN 15 or Ch4 US note 10 * Whey protein concentrates Modified whey (except protein conc.), subject to gen. note 15 of the HTS Modified whey (except protein conc.), wheth/not conc. or sweetened, subject to add US note 10 to Ch.4 Modified whey (except protein conc.), wheth/not conc. or sweetened, not subject to gen. note 15 or * Fluid whey, whether or not concentrated or containing added sweeteners Whey (except modified whey), dried, whether or not conc. or sweetened, subject to gen. note 15 of the HTS Whey (except modified whey), dried, whether or not conc. or sweetened, subject to add. US note 12 to Ch. 4 Whey (except modified whey), dried, whether or not conc. or sweetened, not subject to gen. note 15 or add US nte 12 to Ch.4 * Milk protein concentrates Dairy products of nat. milk constituents (except protein conc.), descr. in add. US nte 1 to Ch. 4 and subj to GN 15 Dairy products of nat. milk constituents (except protein conc.), descr. in add. US nte 1 to Ch.</w:t>
      </w:r>
    </w:p>
    <w:p>
      <w:pPr>
        <w:pStyle w:val="Normal"/>
      </w:pPr>
      <w:r>
        <w:t>4 and sub to Ch4 US note 10 Dairy products of nat. milk constituents (except protein conc.), descr. in add. US nte 1 to Ch. 4 &amp; not subj to GN15 or Ch4 US note 10 * Products consisting of natural milk constituents (except protein conc.), whether or not sweetened, not descr. in add US note 1 to Ch.</w:t>
      </w:r>
    </w:p>
    <w:p>
      <w:pPr>
        <w:pStyle w:val="Normal"/>
      </w:pPr>
      <w:r>
        <w:t>4 Butter subject to general note 15 (outside quota) Butter subject to quota pursuant to chapter 4 additional US note 6 Butter not subject to general note 15 and in excess of quota in chapter 4 additional U.S. note 6 * Butter substitute dairy spreads, over 45% butterfat weight, subject to general note 15 (outside quota) Butter substitute dairy spreads, over 45% butterfat weight, subject to quota pursuant to chapter 4 additional US note 14 Butter substitute dairy spreads, over 45% butterfat weight, not subj to gen note 15 and in excess of quota in ch. 4 additional US note 14 * Butter substitute dairy spreads, containing 45% or less butterfat by weight Other dairy spreads of a type provided in chapter 4 additional US note 1, subject to general note 15 (outside quota) Other dairy spreads of a type provided in ch. 4 add. US note 1, subject to quota pursuant to chapter 4 additional US note 10 Other dairy spreads of a type provided in ch. 4 add. US note 1, not subject to gen note 15 and in excess of quota in ch. 4 add.</w:t>
      </w:r>
    </w:p>
    <w:p>
      <w:pPr>
        <w:pStyle w:val="Normal"/>
      </w:pPr>
      <w:r>
        <w:t>US note 10 * Other dairy spreads, not butter substitutes or of a type provided for in chapter 4 additional US note 1 Fats and oils derived from milk, other than butter or dairy spreads, subject to general note 15 (outside quota) Fats and oils derived from milk, other than butter or dairy spreads, subject to quota pursuant to chapter 4 additional US note 14 Fats and oils derived from milk, other than butter or dairy spreads, not subject to gen note 15 and excess of quota in ch 4 add US note 14 * Chongos, unripened or uncured cheese, including whey cheese and curd, subject to gen. note 15 of the HTS Chongos, unripened or uncured cheese, including whey cheese and curd, subject to add. US note 16 to Ch. 4 Chongos, unripened or uncured cheese, including whey cheese and curd, not subject to gen note 15 or add. US note 16 to Ch. 4 * Fresh (unripened/uncured) cheese (ex chongos), incl whey cheese and curd, subj to gen.</w:t>
      </w:r>
    </w:p>
    <w:p>
      <w:pPr>
        <w:pStyle w:val="Normal"/>
      </w:pPr>
      <w:r>
        <w:t>note 15 of the HTS, not GN15 Fresh (unripened/uncured) blue-mold cheese, cheese/subs for cheese cont or procd fr blue-mold cheese, subj to Ch4 US note 17, not GN15 Fresh (unripened/uncured) blue-mold cheese, cheese/subs for cheese cont or proc fr blue-mold cheese, not subj to Ch4 US note 17 or GN15 * Fresh (unripened/uncured) cheddar cheese, cheese/subs for cheese cont or proc from cheddar cheese, subj to Ch 4 US note 18, not GN15 Fresh (unripened/uncured) cheddar cheese, cheese/subs for cheese cont or proc from cheddar cheese, not subj to Ch4 US note 18, not GN15 * Fresh (unripened/uncured) american-type cheese, cheese cont or proc. fr american type, subj to add. US note 19 to Ch.4, not GN15 Fresh (unripened/uncured) american-type cheese, cheese cont or proc. fr american type, not subj to add.</w:t>
      </w:r>
    </w:p>
    <w:p>
      <w:pPr>
        <w:pStyle w:val="Normal"/>
      </w:pPr>
      <w:r>
        <w:t>US note 19 to Ch.4, not GN15 * Fresh (unripened/uncured) edam and gouda cheeses, cheese/subs for cheese cont or processed therefrom, subj to Ch4 US note 20, not GN15 Fresh (unripened/uncured) edam and gouda cheeses, cheese/subs for cheese cont or processed therefrom, not sub to Ch4 US note 20, not GN15 * Fresh (unripened/uncured) Italian-type cheeses from cow milk, cheese/substitutes cont or proc therefrom, subj to Ch4 US nte 21, not GN15 Fresh (unrip./uncured) Italian-type cheeses from cow milk, cheese/substitutes cont or proc therefrom, not subj to Ch4 US note 21 or GN15 * Fresh (unrip./uncured) Swiss/emmentaler cheeses w/o eyes, gruyere-process and cheese cont/proc.</w:t>
      </w:r>
    </w:p>
    <w:p>
      <w:pPr>
        <w:pStyle w:val="Normal"/>
      </w:pPr>
      <w:r>
        <w:t>from, subj to Ch4 US note 22, not GN15 Fresh (unripened/uncured) Swiss/emmentaler cheeses exc eye formation, gruyere process cheese and cheese cont or proc. from such, not subj . * Fresh cheese, and substitutes for cheese,neosi, w/0.5% or less by wt. of butterfat, descr in add US note 23 to Ch 4, not GN15 Fresh cheese, and substitutes for cheese,neosi, w/0.5% or less by wt. of butterfat, not descr in add US note 23 to Ch 4, not GN15 * Fresh cheese, and substitutes for cheese, cont. cows milk, neosi, o/0.5% by wt. of butterfat, descr in add US note 16 to Ch 4, not GN15 Fresh cheese, and substitutes for cheese, cont. cows milk, neosi, o/0.5% by wt. of butterfat, not descr in add US note 16 to Ch 4, not GN 15 * Fresh cheese, and substitutes for cheese, not cont. cows milk, neosi, o/0.5% by wt. of butterfat Roquefort cheese, grated or powdered Stilton cheese, grated or powdered, subject to add. US note 24 to Ch.</w:t>
      </w:r>
    </w:p>
    <w:p>
      <w:pPr>
        <w:pStyle w:val="Normal"/>
      </w:pPr>
      <w:r>
        <w:t>4 Blue-veined cheese (except Roquefort or Stilton), grated or powdered, subject to gen. note 15 of the HTS Blue-veined cheese (except Roquefort or Stilton), grated or powdered, subject to add. US note 17 to Ch.4 Blue-veined cheese (except Roquefort or Stilton), grated or powdered, not subject to gen nte 15 or add. US note 17 to Ch.4 * Cheddar cheese, grated or powdered, subject to gen. note 15 of the HTS Cheddar cheese, grated or powdered, subject to add. US note 18 to Ch. 4 Cheddar cheese, grated or powdered, not subject to gen. note 15 or add. US note 18 to Ch.</w:t>
      </w:r>
    </w:p>
    <w:p>
      <w:pPr>
        <w:pStyle w:val="Normal"/>
      </w:pPr>
      <w:r>
        <w:t>4 * Colby cheese, grated or powdered, subject to gen. note 15 of the HTS Colby cheese, grated or powdered, subject to add. US note 19 to Ch. 4 Colby cheese, grated or powdered, not describ. in gen. note 15 or add. US note 19 to Ch. 4 * Edam and gouda cheese, grated or powdered, subject to gen. note 15 of the HTS Edam and gouda cheese, grated or powdered, subject to add. US note 20 to Ch. 4 Edam and gouda cheese, grated or powdered, not subject to gen note 15 or add. US nte 20 to Ch.</w:t>
      </w:r>
    </w:p>
    <w:p>
      <w:pPr>
        <w:pStyle w:val="Normal"/>
      </w:pPr>
      <w:r>
        <w:t>4 * Romano (cows milk), reggiano, provolone, provoletti, sbrinz and goya, grated or powdered, subject to gen. note 15 to HTS Romano, reggiano, provolone, provoletti, sbrinz and goya, made from cow’s milk, grated or powdered, subject to add US note 21 to Ch.4 Romano, reggiano, provolone, provoletti, sbrinz and goya, made from cow’s milk, grated or powdered, not subj to Ch4 US nte 21 or GN15 * Reggiano, provolone, provoletti, sbrinz and goya cheeses, not made from cow’s milk, grated or powdered Cheeses made from sheep’s milk, including mixtures of such cheeses, grated or powdered Cheese (including mixtures) nesoi, grated or powdered, subject to gen.</w:t>
      </w:r>
    </w:p>
    <w:p>
      <w:pPr>
        <w:pStyle w:val="Normal"/>
      </w:pPr>
      <w:r>
        <w:t>note 15 of the HTS Cheese containing or processed from bryndza, gjetost, gammelost, nokkelost or roquefort cheeses, grated or powdered Cheese containing or processed from blue-veined cheese (except roquefort), grated/powdered, subject to add US note 17 to Ch.4 Cheese containing or processed from blue-veined cheese (except roquefort), grated/powdered, not subject to add US note 17 to Ch.4 * Cheese containing or processed from cheddar cheese, grated or powdered, subject to add US note 18 to Ch. 4 Cheese containing or processed from cheddar cheese, grated or powdered, not subject to add US note 18 to Ch. 4 * Cheese containing or processed from american-type cheese (except cheddar), grated or powdered, subject to add US note 19 to Ch. 4 Cheese containing or processed from american-type cheese (except cheddar), grated or powdered, not subject to add US note 19 to Ch.</w:t>
      </w:r>
    </w:p>
    <w:p>
      <w:pPr>
        <w:pStyle w:val="Normal"/>
      </w:pPr>
      <w:r>
        <w:t>4 * Cheese containing or processed from edam or gouda cheeses, grated or powdered, subject to add US note 20 to Ch.4 Cheese containing or processed from edam or gouda cheeses, grated or powdered, not subject to add US note 20 to Ch. 4 * Cheese containing or processed from italian-type cheeses made from cow’s milk, grated or powdered, subject to add US note 21 to Ch. 4 Cheese containing or processed from italian-type cheeses made from cow’s milk, grated or powdered, not subject to add US note 21 to Ch.</w:t>
      </w:r>
    </w:p>
    <w:p>
      <w:pPr>
        <w:pStyle w:val="Normal"/>
      </w:pPr>
      <w:r>
        <w:t>4 * Cheese containing or processed from swiss, emmentaler or gruyere-process cheeses, grated or powdered, subject to add US nte 22 to Ch.4 Cheese containing or processed from swiss, emmentaler or gruyere-process cheeses, grated or powdered, not subject to add US nte 22 to Ch. 4 * Cheese (including mixtures), nesoi, n/o 0.5% by wt. of butterfat, grated or powdered, subject to add US note 23 to Ch. 4 Cheese (including mixtures), nesoi, n/o 0.5% by wt. of butterfat, grated or powdered, not subject to add US note 23 to Ch. 4 * Cheese (including mixtures), nesoi, o/0.5% by wt of butterfat, w/cow’s milk, grated or powdered, subject to add US note 16 to Ch. 4 Cheese (including mixtures), nesoi, o/0.5% by wt of butterfat, w/cow’s milk, grated or powdered, not subject to add US note 16 to Ch. 4 * Cheese (including mixtures), nesoi, o/0.5% by wt of butterfat, not containing cow’s milk, grated or powdered Stilton cheese, processed, not grated or powdered, subject to add US note 24 to Ch.</w:t>
      </w:r>
    </w:p>
    <w:p>
      <w:pPr>
        <w:pStyle w:val="Normal"/>
      </w:pPr>
      <w:r>
        <w:t>4 Blue-veined cheese (except roquefort), processed, not grated or powdered, subject to gen. note 15 of the HTS Blue-veined cheese (except roquefort), processed, not grated or powdered, subject to add. US note 17 to Ch. 4 Blue-veined cheese (except roquefort), processed, not grated or powdered, not subject to gen. note 15 or add. US note 17 to Ch. 4 * Cheddar cheese, processed, not grated or powdered, subject to gen.</w:t>
      </w:r>
    </w:p>
    <w:p>
      <w:pPr>
        <w:pStyle w:val="Normal"/>
      </w:pPr>
      <w:r>
        <w:t>note 15 of the HTS Cheddar cheese, processed, not grated or powdered, subject to add US note 18 to Ch. 4 Cheddar cheese, processed, not grated or powdered, not subject to gen note 15 or in add US note 18 to Ch. 4 * Colby cheese, processed, not grated or powdered, subject to gen. note 15 of the HTS Colby cheese, processed, not grated or powdered, subject to add US note 19 to Ch. 4 Colby cheese, processed, not grated or powdered, not subject to gen note 15 or add US note 19 to Ch. 4 * Edam and gouda cheese, processed, not grated or powdered, subject to gen. note 15 of the HTS Edam and gouda cheese, processed, not grated or powdered, subject to add. US note 20 to Ch. 4 Edam and gouda cheese, processed, not grated or powdered, not subject to gen note 15 or add. US note 20 to Ch.</w:t>
      </w:r>
    </w:p>
    <w:p>
      <w:pPr>
        <w:pStyle w:val="Normal"/>
      </w:pPr>
      <w:r>
        <w:t>4 * Gruyere-process cheese, processed, not grated or powdered, subject to gen. note 15 of the HTS Gruyere-process cheese, processed, not grated or powdered, subject to add. US note 22 to Ch. 4 Gruyere-process cheese, processed, not grated or powdered, not subject to gen note 15 or add. US note 22 to Ch. 4 * Processed cheeses made from sheep’s milk, including mixtures of such cheeses, not grated or powdered Cheese (including mixtures) nesoi, processed, not grated or powdered, subject to gen.</w:t>
      </w:r>
    </w:p>
    <w:p>
      <w:pPr>
        <w:pStyle w:val="Normal"/>
      </w:pPr>
      <w:r>
        <w:t>note 15 of the HTS Processed cheese containing or processed from bryndza, gjetost, gammelost, nokkelost or roquefort, not grated or powdered, not GN15 Processed cheese cont/procd fr blue-veined cheese (ex roquefort), not grated/powdered, subject to add US note 17 to Ch. 4, not GN15 Processed cheese cont/procd fr blue-veined cheese (ex roquefort), not grated/powdered, not subject to add US note 17 to Ch. 4, not GN15 * Processed cheese cont/procd fr cheddar cheese, not grated/powdered, subject to add US note 18, not GN15 Processed cheese cont/procd fr cheddar cheese, not grated/powdered, not subject to add US note 18, not GN15 * Processed cheese cont/procd fr american-type cheese (ex cheddar), not grated/powdered, subject to add US note 19 to Ch. 4, not GN15 Processed cheese cont/procd fr american-type cheese (ex cheddar), not grated/powdered, not subject to add US note 19 to Ch. 4, not GN15 * Processed cheese cont/procd fr edam or gouda, not grated/powdered, subject to add US note 20 to Ch.</w:t>
      </w:r>
    </w:p>
    <w:p>
      <w:pPr>
        <w:pStyle w:val="Normal"/>
      </w:pPr>
      <w:r>
        <w:t>4, not GN15 Processed cheese cont/procd from edam or gouda, not grated/powdered, not subject to add US note 20 to Ch. 4, not GN15 * Processed cheese cont/procd from italian-type, not grated/powdered, subject to add US note 21 to Ch. 4, not GN15 Processed cheese cont/procd from italian-type, not grated/powdered, not subject to add US note 21 to Ch. 4, not GN15 * Processed cheese cont/procd from swiss, emmentaler or gruyere-process, n/grated/powdered, subject to add US note 22 to Ch.</w:t>
      </w:r>
    </w:p>
    <w:p>
      <w:pPr>
        <w:pStyle w:val="Normal"/>
      </w:pPr>
      <w:r>
        <w:t>4, not GN15 Processed cheese cont/procd from swiss/emmentaler/gruyere-process, n/grated/powdered, not subject to add US note 22 to Ch. 4, not GN15 * Processed cheese (incl. mixtures), nesoi, n/o 0.5% by wt. butterfat, not grated or powdered, subject to Ch4 US note 23, not GN15 Processed cheese (incl. mixtures), nesoi, n/o 0.5% by wt. butterfat, not grated or powdered, not subj to Ch 4 US note 23 or not GN15 * Processed cheese (incl. mixtures), nesoi, w/cow’s milk, not grated or powdered, subject to add US note 16 to Ch. 4, not GN15 Processed cheese (incl. mixtures), nesoi, w/cow’s milk, not grated or powdered, not subject to add US note 16 to Ch. 4, not GN15 * Processed cheese (incl. mixtures), nesoi, w/o cows milk, not grated or powdered, not GN15 Roquefort cheese in original loaves, not grated or powdered, not processed Roquefort cheese, other than in original loaves, not grated or powdered, not processed Stilton cheese, nesoi, in original loaves, subject to add. US note 24 to Ch. 4 Stilton cheese, nesoi, not in original loaves, subject to add.</w:t>
      </w:r>
    </w:p>
    <w:p>
      <w:pPr>
        <w:pStyle w:val="Normal"/>
      </w:pPr>
      <w:r>
        <w:t>US note 24 to Ch. 4 Blue-veined cheese, nesoi, in original loaves, subject to gen. note 15 of the HTS Blue-veined cheese, nesoi, not in original loaves, subject to gen. note 15 of the HTS Blue-veined cheese, nesoi, in original loaves, subject to add. US note 17 to Ch. 4 Blue-veined cheese, nesoi, not in original loaves, subject to add. US note 17 to Ch. 4 Blue-veined cheese, nesoi, not subject to gen. note 15 of the HTS or to add.</w:t>
      </w:r>
    </w:p>
    <w:p>
      <w:pPr>
        <w:pStyle w:val="Normal"/>
      </w:pPr>
      <w:r>
        <w:t>US note 17 to Ch. 4 * Bryndza cheese, not grated or powdered, not processed Cheddar cheese, neosi, subject to gen. note 15 of the &amp; entered pursuant to its provisions Cheddar cheese, neosi, subject to add. US note 18 to Ch. 4 Cheddar cheese, nesoi, not subject to gen. note 15 of the HTS or to add. US note 18 to Ch. 4 * Edam and gouda cheese, nesoi, subject to gen. note 15 of the HTS Edam and gouda cheese, nesoi, subject to add. US note 20 to Ch. 4 Edam and gouda cheese, nesoi, not subject to gen. note 15 of the HTS or to add. US note 20 to Ch.</w:t>
      </w:r>
    </w:p>
    <w:p>
      <w:pPr>
        <w:pStyle w:val="Normal"/>
      </w:pPr>
      <w:r>
        <w:t>4 * Gjetost cheese from goat’s milk, whey or whey obtained from a mixture of goat’s &amp; n/o 20% cow’s milk, not grated, powdered or processed Gjetost cheese, made from goats’ milk, whey or whey obtained from a mixture of goats’ &amp; n/o 20% cows milk, not grated, powdered or processed Goya cheese, nesoi, subject to gen. note 15 of the HTS Goya cheese from cow’s milk, not in original loaves, nesoi,subject to add. US note 21 to Ch. 4 Goya cheese from cow’s milk, not in original loaves, nesoi, not subject to gen. note 15 or to add. US note 21 to Ch. 4 * Goya cheese not from cow’s milk, nesoi, not subject to gen. note 15 or to add. US note 21 to Ch. 4 Sbrinz cheese, nesoi, subject to gen. note 15 of the HTS Sbrinz cheese from cow’s milk, nesoi, subject to add. US note 21 to Ch. 4 Sbrinz cheese from cow’s milk, nesoi, not subject to gen. note 15 or to add. US note 21 to Ch.</w:t>
      </w:r>
    </w:p>
    <w:p>
      <w:pPr>
        <w:pStyle w:val="Normal"/>
      </w:pPr>
      <w:r>
        <w:t>4 * Sbrinz cheese not from cow’s milk, nesoi, not subject to gen.</w:t>
      </w:r>
    </w:p>
    <w:p>
      <w:pPr>
        <w:pStyle w:val="Normal"/>
      </w:pPr>
      <w:r>
        <w:t>note 15 or to add. US note 21 to Ch. 4 Romano from cows milk, Reggiano, Parmesan, Provolone, and Provoletti cheese, nesoi, subject to gen. note 15 of the HTS Romano, Reggiano, Parmesan, Provolone, and Provoletti cheese, nesoi, from cow’s milk, subject to add. US note 21 to Ch. 4 Romano, Reggiano, Parmesan, Provolone, and Provoletti cheese, nesoi, from cow’s milk, not subj to to GN 15 or Ch4 US note 21 * Reggiano, Parmesan, Provolone, and Provoletti cheese, nesoi, not from cow’s milk, not subject to gen. note 15 Swiss or Emmentaler cheese with eye formation, nesoi, subject to gen. note 15 of the HTS Swiss or Emmentaler cheese with eye formation, nesoi, subject to add. US note 25 to Ch. 4 Swiss or Emmentaler cheese with eye formation, nesoi, not subject to gen. note 15 or to add. US note 25 to Ch. 4 * Gammelost and nokkelost cheese, nesoi Colby cheese, nesoi, subject to gen. note 15 of the HTS and entered pursuant to its provisions Colby cheese, nesoi, subject to add. US note 19 to Ch.</w:t>
      </w:r>
    </w:p>
    <w:p>
      <w:pPr>
        <w:pStyle w:val="Normal"/>
      </w:pPr>
      <w:r>
        <w:t>4 and entered pursuant to its provisions Colby cheese, nesoi, not subject to gen. note 15 or to add. US note 19 to Ch. 4 * Cheeses, nesoi, from sheep’s milk in original loaves and suitable for grating Pecorino cheese, from sheep’s milk, in original loaves, not suitable for grating Cheeses, substitute for cheese (including mixtures of cheeses), nesoi, made from sheep’s milk Cheeses &amp; substitutes for cheese (incl.mixtures) w/romano/reggiano/parmesan/provolone/etc from cows milk, subj. to gen.</w:t>
      </w:r>
    </w:p>
    <w:p>
      <w:pPr>
        <w:pStyle w:val="Normal"/>
      </w:pPr>
      <w:r>
        <w:t>note 15 Cheeses &amp; substitutes for cheese (incl.mixtures) not cont.romano/reggiano/parmesan/provolone/etc from cows milk, subj. to gen. note 15 Cheeses &amp; subst. for cheese(incl. mixt.), nesoi, w/romano/reggiano/parmesan/provolone/etc, f/cow milk, subj. Ch4 US note 21, not GN15 Cheeses &amp; subst. for cheese(incl. mixt.), nesoi, w/romano/reggiano/parmesan/provolone/etc, f/cow milk, not subj. Ch4 US note 21, not GN15 * Cheeses &amp; subst. for cheese (incl. mixt.), nesoi, w/ or from blue-veined cheese, subj. to add. US note 17 to Ch.4, not GN15 Cheeses &amp; subst. for cheese (incl. mixt.), nesoi, w/ or from blue-veined cheese, not subj. to add. US note 17 to Ch.4, not GN15 * Cheeses &amp; subst. for cheese (incl. mixt.), nesoi, w/ or from cheddar cheese, subj. to add. US note 18 to Ch.4, not GN15 Cheeses &amp; subst. for cheese (incl. mixt.), nesoi, w/ or from cheddar cheese, not subj. to add. US note 18 to Ch.4, not GN15 * Cheeses &amp; subst. for cheese (incl. mixt.), nesoi, w/ or from Am. cheese except cheddar, subj. to add.</w:t>
      </w:r>
    </w:p>
    <w:p>
      <w:pPr>
        <w:pStyle w:val="Normal"/>
      </w:pPr>
      <w:r>
        <w:t>US note 19 to Ch.4, not GN15 Cheeses &amp; subst. for cheese (incl. mixt.), nesoi, w/ or from Am. cheese except cheddar, not subj. to add. US note 19 to Ch.4, not GN15 * Cheeses &amp; subst. for cheese (incl. mixt.), nesoi, w/ or from edam or gouda cheese, subj. to add. US note 20 to Ch.4, not GN15 Cheeses &amp; subst. for cheese (incl. mixt.), nesoi, w/ or from edam or gouda cheese, not subj. to add. US note 20 to Ch.4, not GN15 * Cheeses &amp; subst. for cheese (incl.</w:t>
      </w:r>
    </w:p>
    <w:p>
      <w:pPr>
        <w:pStyle w:val="Normal"/>
      </w:pPr>
      <w:r>
        <w:t>mixt.), nesoi, w/ or from swiss, emmentaler or gruyere, subj. to add. US note 22 to Ch.4, not GN15 Cheeses &amp; subst. for cheese (incl. mixt.), nesoi, w/ or from swiss, emmentaler or gruyere, not subj. Ch4 US note 22, not GN15 * Cheeses &amp; subst. for cheese (incl. mixt.), nesoi, w/butterfat n/o 0.5% by wt, subject to add. US note 23 to Ch. 4, not GN15 Cheeses &amp; subst. for cheese (incl. mixt.), nesoi, w/butterfat n/o 0.5% by wt, not subject to add. US note 23 to Ch.</w:t>
      </w:r>
    </w:p>
    <w:p>
      <w:pPr>
        <w:pStyle w:val="Normal"/>
      </w:pPr>
      <w:r>
        <w:t>4, not GN15 * Cheeses &amp; subst. for cheese (incl. mixt.), nesoi, w/cows milk, w/butterfat o/0.5% by wt, subject to Ch 4 US note 16 (quota) Cheeses &amp; subst. for cheese (incl. mixt.), nesoi, w/cows milk, w/butterfat o/0.5% by wt, not subject to Ch4 US note 16, not GN15 * Cheeses &amp; subst. for cheese (incl. mixt.), nesoi, w/o cows milk, w/butterfat o/0.5% by wt, not GN15 Birds’ eggs, in shell, fertilized eggs for incubation, Gallus domesticus Birds’ eggs, in shell, fertilized eggs for incubation, other than Gallus domesticus Birds’ eggs, in shell, other fresh, not fertilized eggs for incubation, of species Gallus domesticus Birds’ eggs, in shell, other fresh, not fertilized eggs for incubation, other than species Gallus domesticus Birds’ eggs, in shell, fresh, preserved or cooked Egg yolks, dried, whether or not containing added sweeteners Egg yolks, other than dried, whether or not containing added sweeteners Birds’ eggs, not in shell, dried, whether or not containing added sweeteners Birds’ eggs, not in shell, other</w:t>
      </w:r>
    </w:p>
    <w:p>
      <w:pPr>
        <w:pStyle w:val="Normal"/>
      </w:pPr>
      <w:r>
        <w:t>than dried, whether or not containing added sweeteners Natural honey Edible products of animal origin, nesi Human hair, unworked, whether or not washed and scoured; waste of human hair Pigs’, hogs’ or boars’ bristles and hair and waste thereof Badger hair and other brushmaking hair, nesi, and waste thereof Guts, bladders and stomachs of animals (other than fish), whole and pieces thereof Feathers of a kind used for stuffing, and down Feather meal and waste Skins and parts of birds with their feathers or down (except meal and waste) nesoi Ossein and bones treated with acid Bones &amp; horn-cores, unworked, defatted, simply prepared (but not cut to shape) or degelatinized; powder &amp; waste of these products Ivory, ivory powder and waste Tortoise shell, whalebone and whalebone hair, horns, antlers, hooves, nails, claws and beaks, unworked or simply prepared; waste and powder Coral, shells, cuttlebone and similar materials, unworked or simply prepared, but not cut to shape; powder and waste thereof Ambergris, castoreum, civet, and musk used in the preparation of pharmaceutical products Cantharides; bile;</w:t>
      </w:r>
    </w:p>
    <w:p>
      <w:pPr>
        <w:pStyle w:val="Normal"/>
      </w:pPr>
      <w:r>
        <w:t>glands and other animal products nesi, used in pharmaceutical products Bovine semen Products of fish, crustaceans, molluscs or other aquatic invertebrates nesi; dead animals of chapter 3, unfit for human consumption Parings and similar waste of raw hides or skins; glue stock nesi Animal products chiefly used as food for animals or as ingredients in such food, nesi Horsehair and</w:t>
      </w:r>
    </w:p>
    <w:p>
      <w:pPr>
        <w:pStyle w:val="Normal"/>
      </w:pPr>
      <w:r>
        <w:t>horsehair waste, whether or not put up as a layer with or without supporting material Natural sponges of animal origin Animal products nesi; dead animals of chapter 1, unfit for human consumption Tulip bulbs, dormant Hyacinth bulbs, dormant Lily bulbs, dormant Narcissus bulbs, dormant Crocus corms, dormant Lily of the valley pips, dormant Bulbs, tubers, tuberous roots, corms, crowns and rhizomes, nesi, dormant Hyacinth bulbs, without soil attached, in growth or in flower Bulbs nesi, tubers, tuberous roots, corms, crowns and rhizomes, in growth or in flower;</w:t>
      </w:r>
    </w:p>
    <w:p>
      <w:pPr>
        <w:pStyle w:val="Normal"/>
      </w:pPr>
      <w:r>
        <w:t>chicory plants and roots Unrooted cuttings and slips of live plants Trees, shrubs, and bushes, grafted or not of kinds which bear edible fruits or nuts Rhododendron and azalea plants, grafted or not Rose plants, grafted or not Live orchid plants Live herbaceous perennials, other than orchid plants, with soil attached to roots Live herbaceous perennials, other than orchid plants, without soil attached to roots Live mushroom spawn Other live plants nesoi, with soil attached to roots Other live plants nesoi, other than those with soil attached to roots Sweetheart, Spray and other Roses, fresh cut Miniature (spray) carnations, fresh cut Other Carnations, fresh cut Orchids, fresh cut Chrysanthemums, fresh cut Fresh cut Lilies (Lillium spp.) Fresh cut, Anthuriums,Alstroemeria,Gypsophilia,Lilies, Snapdragons and flowers, nesoi Cut flowers and flower buds, suitable for bouquets or ornamental purposes, dried, dyed, bleached,</w:t>
      </w:r>
    </w:p>
    <w:p>
      <w:pPr>
        <w:pStyle w:val="Normal"/>
      </w:pPr>
      <w:r>
        <w:t>impregnated or otherwise prepared Fresh foliage, branches, and other parts of plants for ornamental purposes Mosses and lichens Dried or bleached foliage, branches, and other parts of plants for ornamental purposes, except mosses and lichens Other than fresh, bleached or dried: Foliage, branches, parts of plants and grasses, suitable for ornamental purposes,except mosses &amp; lichen Seed potatoes, fresh or chilled Yellow (Solano) potatoes, excluding seed Fresh potatoes, other than yellow (Solano) potatoes or seed potatoes Tomatoes, fresh or chilled, entered during Mar.1 to July 14, or the period Sept.1 to Nov.14 in any year Tomatoes, fresh or chilled, entered during July 15 to Aug.31 in any year Tomatoes, fresh or chilled, entered from Nov.</w:t>
      </w:r>
    </w:p>
    <w:p>
      <w:pPr>
        <w:pStyle w:val="Normal"/>
      </w:pPr>
      <w:r>
        <w:t>15 thru the last day of Feb. of the following year Onion sets, fresh or chilled Pearl onions not over 16 mm in diameter, fresh or chilled Onions, other than onion sets or pearl onions not over 16 mm in diameter, and shallots, fresh or chilled Garlic, fresh or chilled Leeks and other alliaceous vegetables nesi, fresh or chilled Cauliflower and headed broccoli, fresh or chilled, if entered June 5 to October 15, inclusive, in any year Cauliflower and headed broccoli, fresh or chilled, not reduced in size, if entered Oct. 16 through June 4, inclusive Cauliflower and headed broccoli, fresh or chilled, reduced in size, if entered Oct.</w:t>
      </w:r>
    </w:p>
    <w:p>
      <w:pPr>
        <w:pStyle w:val="Normal"/>
      </w:pPr>
      <w:r>
        <w:t>16 through June 4, inclusive Brussels sprouts, fresh or chilled Cabbage, fresh or chilled Kohlrabi, kale and similar edible brassicas nesi, including sprouting broccoli, fresh or chilled Head lettuce (cabbage lettuce), fresh or chilled, if entered June 1 to October 31, inclusive, in any year Head lettuce (cabbage lettuce), fresh or chilled, if entered Nov. 1 through May 30, inclusive, in any year Lettuce, other than head lettuce, fresh or chilled, if entered June 1 to October 31, inclusive, in any year Lettuce, other than head lettuce, fresh or chilled, if entered Nov.</w:t>
      </w:r>
    </w:p>
    <w:p>
      <w:pPr>
        <w:pStyle w:val="Normal"/>
      </w:pPr>
      <w:r>
        <w:t>1 through May 30, inclusive, in any year Witloof chicory, fresh or chilled Chicory, other than witloof chicory, fresh or chilled Carrots, fresh or chilled, reduced in size Carrots, fresh or chilled, not reduced in size, under 10 cm in length Carrots, fresh or chilled, not reduced in size, 10 cm or over in length Turnips, fresh or chilled Radishes, fresh or chilled Beets and horseradish, fresh or chilled Salsify, celeriac, radishes and similar edible roots nesi, fresh or chilled Cucumbers, including gherkins, fresh or chilled, if entered December 1 in any year to the last day of the following February, inclusive Cucumbers, including gherkins, fresh or chilled, if entered March 1 to April 30, inclusive, in any year Cucumbers, including gherkins, fresh or chilled, if entered May 1 to June 30, inclusive, or Sept. 1 to Nov.</w:t>
      </w:r>
    </w:p>
    <w:p>
      <w:pPr>
        <w:pStyle w:val="Normal"/>
      </w:pPr>
      <w:r>
        <w:t>30, inclusive, in any year Cucumbers, including gherkins, fresh or chilled, if entered July 1 to August 31, inclusive, in any year Peas, fresh or chilled, shelled or unshelled, if entered July 1 to Sept. 30, inclusive, in any year Peas, fresh or chilled, shelled or unshelled, if entered Nov. 1 through the following June 30, inclusive Lima beans, fresh or chilled, shelled or unshelled, if entered November 1 through the following May 31, inclusive Cowpeas (other than black-eye peas), fresh or chilled, shelled or unshelled Beans nesi, fresh or chilled, shelled or unshelled Chickpeas (garbanzos), fresh or chilled, shelled or unshelled Lentils, fresh or chilled, shelled or unshelled Pigeon peas, fresh or chilled, shelled or unshelled, if entered from July 1 to September 30, inclusive, in any year Pigeon peas, fresh or chilled, shelled or unshelled, if entered Oct. 1 through the following June 30, inclusive Leguminous vegetables nesi, fresh or chilled, shelled or unshelled Asparagus, fresh or chilled, not reduced in size, if entered September 15 to November 15, inclusive, and transported to the U.S.</w:t>
      </w:r>
    </w:p>
    <w:p>
      <w:pPr>
        <w:pStyle w:val="Normal"/>
      </w:pPr>
      <w:r>
        <w:t>by air Asparagus, nesi, fresh or chilled Eggplants (aubergines), fresh or chilled, if entered April 1 to November 30, inclusive, in any year Eggplants (aubergines), fresh or chilled, if entered December 1 through the following March 31, inclusive Celery, other than celeriac, fresh or chilled, reduced in size Celery, other than celeriac, fresh or chilled, not reduced in size, if entered April 15 to July 31, inclusive, in any year Celery, other than celeriac, fresh or chilled, not reduced in size, if entered August 1 through the following April 14, inclusive Mushrooms of the genus Agaricus, fresh or chilled Truffles, fresh or chilled Mushrooms, other than of the genus Agaricus, fresh or chilled Chili peppers, fresh or chilled Fruits of the genus capsicum (peppers) (ex.</w:t>
      </w:r>
    </w:p>
    <w:p>
      <w:pPr>
        <w:pStyle w:val="Normal"/>
      </w:pPr>
      <w:r>
        <w:t>chili peppers) or of the genus pimenta (e.g., Allspice), fresh or chilled Spinach, New Zealand spinach and orache spinach (garden spinach), fresh or chilled Globe artichokes, fresh or chilled Olives, fresh or chilled Pumpkins, fresh or chilled Squash, fresh or chilled Gourds (Cucurbita spp.), fresh or chilled Jicamas and breadfruit, fresh or chilled Chayote (Sechium edule), fresh or chilled Okra, fresh or chilled Fiddlehead greens, fresh or chilled Sweet corn, fresh or chilled Vegetables, not elsewhere specified or included, fresh or chilled Potatoes, uncooked or cooked by steaming or boiling in water, frozen Peas, uncooked or cooked by steaming or boiling in water, frozen, if entered July 1 through September</w:t>
      </w:r>
    </w:p>
    <w:p>
      <w:pPr>
        <w:pStyle w:val="Normal"/>
      </w:pPr>
      <w:r>
        <w:t>30, inclusive, in any year Peas, uncooked or cooked by steaming or boiling in water, frozen, if entered Jan. 1 through June 30, or Oct. 1 through Dec. 31, inclusive Lima beans, uncooked or cooked by steaming or boiling in water, frozen, not reduced in size, entered Nov. 1 through the following May 31 Lima beans, frozen, entered June 1 - October 31 Cowpeas (other than black-eye peas), uncooked or cooked by steaming or boiling in water, frozen, not reduced in size Frozen string beans (snap beans), not reduced in size Frozen beans nesi, not reduced in size Beans nesi, uncooked or cooked by steaming or boiling in water, frozen, reduced in size Chickpeas (garbanzos), uncooked or cooked by steaming or boiling in water, frozen Lentils, uncooked or cooked by steaming or boiling in water, frozen Pigeon peas, uncooked or cooked by steaming or boiling in water, frozen, if entered July 1 through September 30, inclusive, in any year Pigeon peas, uncooked or cooked by steaming or boiling in water, frozen, if entered Oct.</w:t>
      </w:r>
    </w:p>
    <w:p>
      <w:pPr>
        <w:pStyle w:val="Normal"/>
      </w:pPr>
      <w:r>
        <w:t>1 through the following June 30, inclusive Leguminous vegetables nesi, uncooked or cooked by steaming or boiling in water, frozen Spinach, New Zealand spinach and orache spinach (garden spinach), uncooked or cooked by steaming or boiling in water, frozen Sweet corn, uncooked or cooked by steaming or boiling in water, frozen Bamboo shoots and water chestnuts (other than Chinese water chestnuts), uncooked or cooked by steaming or boiling in water, frozen Mushrooms, uncooked or cooked by steaming or boiling in water, frozen Tomatoes, uncooked or cooked by steaming or boiling in water, frozen, if entered Mar. 1 thru July 14, incl. or Sept. 1 thru Nov. 14, incl. Tomatoes, uncooked or cooked by steaming or boiling in water, frozen, if entered July 15 through August 31, inclusive, in any year Tomatoes, uncooked or cooked by steaming or boiling in water, frozen, if entered Nov. 15 through the following February, incl.</w:t>
      </w:r>
    </w:p>
    <w:p>
      <w:pPr>
        <w:pStyle w:val="Normal"/>
      </w:pPr>
      <w:r>
        <w:t>Fiddlehead greens, uncooked or cooked by steaming or boiling in water, frozen, not reduced in size Brussels sprouts, uncooked or cooked by steaming or boiling in water, frozen, not reduced in size Vegetables nesi, uncooked or cooked by steaming or boiling in water, frozen, not reduced in size Brussels sprouts, uncooked or cooked by steaming or boiling in water, frozen, reduced in size Okra, reduced in size, frozen Vegetables nesi, uncooked or cooked by steaming or boiling in water, frozen, reduced in size Mixtures of pea pods and water chestnuts (other than Chinese water chestnuts), uncooked or cooked by steaming or boiling in water, frozen Mixtures of vegetables not elsewhere specified or included, uncooked or cooked by steaming or boiling in water, frozen Olives, n/pitted, green, in saline sol., in contain. &gt; 8 kg, drained wt, for repacking or sale, subject to add. US note 5 to Ch. 7 Olives, n/pitted, green, in saline sol., in contain. &gt; 8 kg, drained wt, for repacking or sale, not subject to add. US note 5 to Ch.</w:t>
      </w:r>
    </w:p>
    <w:p>
      <w:pPr>
        <w:pStyle w:val="Normal"/>
      </w:pPr>
      <w:r>
        <w:t>7 Olives, n/pitted, nesoi Olives, pitted or stuffed, provisionally preserved but unsuitable in that state for immediate consumption Cucumbers including gherkins, provisionally preserved but unsuitable in that state for immediate consumption Mushrooms of the genus Agaricus, provisionally preserved but unsuitable in that state for immediate consumption Mushrooms, other than of the genus Agaricus, provisionally preserved but unsuitable in that state for immediate consumption Truffles, provisionally preserved but unsuitable in that state for immediate consumption Leguminous vegetables, provisionally preserved but unsuitable in that state for immediate consumption Capers, provisionally preserved but unsuitable in that state for immediate consumption Onions, provisionally preserved but unsuitable in that state for immediate consumption Vegetables nesoi, and mixtures of vegetables, provisionally preserved but unsuitable in that state for immediate consumption Dried onion powder or flour Dried onions whole, cut, sliced or broken, but not further prepared Air dried or sun dried mushrooms of the genus Agaricus, whole, cut, sliced, broken or in powder, but not further prepared Dried (not air or sun dried) mushrooms of the</w:t>
      </w:r>
    </w:p>
    <w:p>
      <w:pPr>
        <w:pStyle w:val="Normal"/>
      </w:pPr>
      <w:r>
        <w:t>genus Agaricus, whole, cut, sliced, broken or in powder, but not further prepared Dried wood ears (Auricularia spp.), whole, cut, sliced, broken or in powder, but not further prepared Dried jelly fungi (Tremella spp), whole, cut, sliced, broken or in powder, but not</w:t>
      </w:r>
    </w:p>
    <w:p>
      <w:pPr>
        <w:pStyle w:val="Normal"/>
      </w:pPr>
      <w:r>
        <w:t>further prepared Air dried or sun dried mushrooms (other than of the genus Agaricus), whole, cut, sliced, broken or in powder, but not further prepared Dried (not air or sun dried) mushrooms (other than of the genus Agaricus), whole, cut, sliced, broken or in powder, but not further prepared Dried truffles, whole, cut, sliced, broken or in powder, but not further prepared Dried carrots, whole, cut, sliced, broken or in powder, but not further prepared Dried olives, not ripe Dried olives, ripe Dried potatoes, whether or not cut or sliced but not further prepared Dried garlic, whole, cut, sliced, broken or in powder, but not further prepared Dried fennel, marjoram, parsley, savory and tarragon, crude or not manufactured Dried parsley nesi, whole, cut, sliced, broken or in powder, but not further prepared Dried fennel, marjoram, savory and tarragon nesi, whole, cut, sliced, broken or in powder, but not further prepared Tomatoes, dried in powder Tomatoes, dried, whole, other Dried vegetables nesoi, and mixtures of dried vegetables, whole, cut, sliced, broken</w:t>
      </w:r>
    </w:p>
    <w:p>
      <w:pPr>
        <w:pStyle w:val="Normal"/>
      </w:pPr>
      <w:r>
        <w:t>or in powder, but not further prepared Seeds of peas of a kind used for sowing Dried split peas, shelled Dried peas, nesi, shelled Seeds of chickpeas (garbanzos) of a kind used for sowing Dried chickpeas (garbanzos), shelled Seeds of beans of a kind used for sowing Dried beans, shelled, if entered May 1 through August 31, inclusive, in any year Dried beans, shelled, if entered September 1 through the following April 30, or</w:t>
      </w:r>
    </w:p>
    <w:p>
      <w:pPr>
        <w:pStyle w:val="Normal"/>
      </w:pPr>
      <w:r>
        <w:t>withdrawn for consumption at any time Seeds of small red (adzuki) beans of a kind used for sowing Dried small red (adzuki) beans, shelled Seeds of kidney beans, including white pea beans of a kind used for sowing Dried kidney beans, including white pea beans, shelled, if entered May 1 through August 31, inclusive, in any year Dried kidney beans, including white pea beans, shelled, if entered Sept.</w:t>
      </w:r>
    </w:p>
    <w:p>
      <w:pPr>
        <w:pStyle w:val="Normal"/>
      </w:pPr>
      <w:r>
        <w:t>1 through April 30, or withdrawn for consumption at any time Dried seeds of Bambara beans, of a kind used for sowing Dried Bambara beans, shelled, if entered for consumption from May 1 through August 31, inclusive, in any year Dried Bambara beans, shelled, if entered for consumption other than above period, or withdrawn for consumption Dried cowpeas, shelled Seeds of beans nesi, of a kind used for sowing Dried beans nesi, shelled, if entered for consumption from May 1 through August 31, inclusive, in any year Dried beans nesi, shelled, if entered for consumption September 1 through April 30, or withdrawn for consumption at any time Lentil seeds of a kind used for sowing Dried lentils, shelled Seeds of broad beans and horse beans of a kind used for sowing Dried broad beans and horse beans, shelled Dried pigeon pea seeds, of a kind used for sowing Dried pigeon pea seeds, shelled, if entered for consumption during the period from May 1 through August 31, inclusive, in any year Dried pigeon pea seeds, shelled, if entered Sept.</w:t>
      </w:r>
    </w:p>
    <w:p>
      <w:pPr>
        <w:pStyle w:val="Normal"/>
      </w:pPr>
      <w:r>
        <w:t>1 through the following April 30, or withdrawn for consumption at any time Seeds of leguminous vegetables nesi, of a kind used for sowing Dried guar seeds, shelled Dried leguminous vegetables nesi, shelled, if entered for consumption during the period from May 1 through August 31, inclusive, in any year Dried leguminous vegetales, nesi, shelled, if entered Sept.</w:t>
      </w:r>
    </w:p>
    <w:p>
      <w:pPr>
        <w:pStyle w:val="Normal"/>
      </w:pPr>
      <w:r>
        <w:t>1 through the following April 30, or withdrawn for consumption at any time Cassava (manioc), frozen, whether or not sliced or in the form of pellets Cassava (manioc), fresh, chilled or dried, whether or not sliced or in the form of pellets Sweet potatoes, frozen, whether or not sliced or in the form of pellets Sweet potatoes, fresh, chilled or dried, whether or not sliced or in the form of pellets Fresh or chilled yams (Dioscorea spp.), whether or not sliced or in the form of pellets Frozen yams (Dioscorea spp.) Dried yams (Dioscorea spp.), in the form of pellets Dried yams (Dioscorea spp.), whether or not sliced but not in pellets Fresh or chilled taro (Colocasia spp.), whether or not sliced or in the form of pellets Frozen taro (Colocasia spp.) Dried taro (Colocasia spp.), in the form of pellets Dried taro (Colocasia spp.), whether or not sliced but not in pellets Fresh or chilled yautia (Xanthosoma spp.), whether or not sliced or in the form of pellets Frozen yautia (Xanthosoma spp.) Dried yautia (Xanthosoma spp.), in the form of pellets Dried yautia (Xanthosoma spp.), whether or not sliced but not in pellets</w:t>
      </w:r>
    </w:p>
    <w:p>
      <w:pPr>
        <w:pStyle w:val="Normal"/>
      </w:pPr>
      <w:r>
        <w:t>Chinese water chestnuts, fresh or chilled Fresh or chilled arrowroot/salep/Jerusalem artichokes/similar roots &amp; tubers, nesi Mixtures of pea pods and Chineses water chestnuts, frozen Other mixtures of Chinese water chestnuts, frozen Chinese water chestnuts, not mixed, frozen Frozen dasheens/arrowroot/salep/Jerusalem artichokes/similar roots &amp; tubers, nesi Chinese water chestnuts, dried Dried dasheens, arrowroot, salep, Jerusalem artichokes and similar roots and tubers nesoi, in the form of pellets Dried dasheens, arrowroot, salep, Jerusalem artichokes, and similar roots and tubers nesoi, whether or not sliced but not in pellets Coconuts, desiccated Coconuts, fresh, in the inner shell (endocarp) Coconuts, fresh, not in the inner shell (endocarp) Brazil nuts, fresh or dried, in shell Brazil nuts, fresh or dried, shelled Cashew nuts, fresh or dried, in shell Cashew nuts, fresh or dried, shelled Almonds, fresh or dried, in shell Almonds, fresh or dried, shelled Hazelnuts or filberts, fresh or dried, in shell Hazelnuts or filberts, fresh or dried, shelled Walnuts, fresh or dried, in shell Walnuts, fresh or dried, shelled Chestnuts, fresh or dried, in</w:t>
      </w:r>
    </w:p>
    <w:p>
      <w:pPr>
        <w:pStyle w:val="Normal"/>
      </w:pPr>
      <w:r>
        <w:t>shell Chestnuts, fresh or dried, shelled Pistachios, fresh or dried, in shell Pistachios, fresh or dried, shelled Macadamia nuts, in shell Macadamia nuts, shelled Kola nuts (Cola spp.), fresh or dried, in shell Kola nuts (Cola spp.), fresh or dried, shelled Areca nuts, fresh or dried, in shell Areca nuts, fresh or dried, shelled</w:t>
      </w:r>
    </w:p>
    <w:p>
      <w:pPr>
        <w:pStyle w:val="Normal"/>
      </w:pPr>
      <w:r>
        <w:t>Pecans, fresh or dried, in shell Pecans, fresh or dried, shelled Pignolias, fresh or dried, in shell Pignolias, fresh or dried, shelled Nuts,nesi, fresh or dried, in shell Nuts nesi, fresh or dried, shelled Plantains, fresh Plantains, dried Bananas, fresh or dried Dates, fresh or dried, whole, with or without pits, packed in units weighing (with immediate container, if any) not over 4.6 kg Dates, fresh or dried, whole, with pits, packed in units weighing over 4.6 kg Dates, fresh or dried, whole, without pits, packed in units weighing over 4.6 kg Dates, fresh or dried, other than whole Figs, fresh or dried, whole, in units weighing more than 0.5 kg each Figs, fresh or dried, whole, in immediate containers weighing with their contents 0.5 kg or less Figs, fresh or dried, other than whole (including fig paste) Pineapples, fresh or dried, not reduced in size, in bulk Pineapples, fresh or dried, not reduced in size, in crates or other packages Pineapples, fresh or dried, reduced in size Avocados, fresh</w:t>
      </w:r>
    </w:p>
    <w:p>
      <w:pPr>
        <w:pStyle w:val="Normal"/>
      </w:pPr>
      <w:r>
        <w:t>or dried Guavas, mangoes, and mangosteens, fresh, if entered during the period September 1 through May 31, inclusive Guavas, mangoes, and mangosteens, fresh, if entered during the period June 1 through August 31, inclusive Guavas, mangoes, and mangosteens, dried Oranges, fresh or dried Mandarins and other similar citrus hybrids including tangerines, satsumas, clementines, wilkings, fresh or dried Clementines, fresh or dried, other Wilkings and similar citrus hybrids, fresh or</w:t>
      </w:r>
    </w:p>
    <w:p>
      <w:pPr>
        <w:pStyle w:val="Normal"/>
      </w:pPr>
      <w:r>
        <w:t>dried, other Grapefruit, fresh or dried, entered during the period August 1 through September 30, inclusive Grapefruit, fresh or dried, if entered during the month of October Grapefruit, fresh or dried, if entered during the period November 1 through the following July 31, inclusive Lemons, fresh or dried Tahitian lines, Persian limes and other limes of the Citrus latifolia variety, fresh or dried Limes of the Citrus aurantifolia variety, fresh or dried Citrus fruit, not elsewhere specified or included, fresh or dried, including kumquats, citrons and bergamots Grapes, fresh, if entered during the period February 15 through March 31, inclusive Grapes, fresh, if entered during the period April 1 through June 30, inclusive Grapes, fresh, if entered during the period July 1 through the following February 14, inclusive Raisins, made from dried seedless grapes Raisins, made from other than seedless grapes Grapes, dried, other than raisins Watermelons, fresh, if entered during the period from December 1, in any year, to the following March 31, inclusive Watermelons, fresh, if entered during</w:t>
      </w:r>
    </w:p>
    <w:p>
      <w:pPr>
        <w:pStyle w:val="Normal"/>
      </w:pPr>
      <w:r>
        <w:t>the period April 1 through November 30, inclusive Cantaloupes, fresh, if entered during the period from August 1 through September 15, inclusive Cantaloupes, fresh, if entered during the periods from January 1 through July 31 or September 16 to December 31, inclusive Ogen and Galia melons, fresh, if entered during the period from December 1, in any year, to the following May 31, inclusive Ogen</w:t>
      </w:r>
    </w:p>
    <w:p>
      <w:pPr>
        <w:pStyle w:val="Normal"/>
      </w:pPr>
      <w:r>
        <w:t>and Galia melons, fresh, if entered during the period from June 1 through November 30, inclusive Other melons nesoi, fresh, if entered during the period from December 1, in any year, to the following May 31, inclusive Other melons nesoi, fresh, if entered during the period from June 1 through November 30, inclusive Papayas (papaws), fresh Apples, fresh Pears, fresh, if entered during the period from April 1 through June 30, inclusive Pears, fresh, if entered during the period from July 1 through the following March 31, inclusive Quinces, fresh, if entered during the period from April 1 through June 30, inclusive Quinces, fresh, if entered during the period from July 1 through the following March 31, inclusive Apricots, fresh Sour cherries (Prunus cerasus), fresh Other cherries, fresh Peaches, including nectarines, fresh, if entered during the period from June 1 through November 30, inclusive Peaches, including nectarines, fresh, if entered during the period from December 1 through the following May 31, inclusive Plums, prunes and sloes, fresh, if entered during</w:t>
      </w:r>
    </w:p>
    <w:p>
      <w:pPr>
        <w:pStyle w:val="Normal"/>
      </w:pPr>
      <w:r>
        <w:t>the period from January 1 through May 31, inclusive Plums, prunes and sloes, fresh, if entered during the period from June 1 through December 31, inclusive Strawberries, fresh, if entered during the period from June 15 through September 15, inclusive Strawberries, fresh, if entered during the period from September 16 through the following June 14, inclusive Raspberries and loganberries, fresh, if entered during the</w:t>
      </w:r>
    </w:p>
    <w:p>
      <w:pPr>
        <w:pStyle w:val="Normal"/>
      </w:pPr>
      <w:r>
        <w:t>period from September 1 through the following June 30, inclusive Raspberries and loganberries, fresh, if entered July 1 - August 31, inclusive;</w:t>
      </w:r>
    </w:p>
    <w:p>
      <w:pPr>
        <w:pStyle w:val="Normal"/>
      </w:pPr>
      <w:r>
        <w:t>blackberries &amp; mulberries, fresh, entered any time Black, white or red currants and gooseberries (other than kiwifruit), fresh Cranberries, blueberries and other fruits of the genus Vaccinium, fresh Kiwi fruit, fresh Durians, fresh Persimmons, fresh Other berries and tamarinds, fresh Fruit, not elsewhere specified or included, fresh Strawberries, frozen, in water or containing added sweetening Raspberries, loganberries, black currants and gooseberries, frozen, in water or containing added sweetening Blackberries, mulberries and white or red currants, frozen, in water or containing added sweetening Bananas and plantains, frozen, in water or containing added sweetening Blueberries, frozen, in water or containing added sweetening Boysenberries, frozen, in water or containing added sweetening Cashew apples, mameyes colorados, sapodillas, soursops and sweetsops, frozen, in water or containing added sweetening Coconut meat, frozen, in water or containing added sweetening Cranberries, frozen, in water or containing added sweetening Papayas, frozen, in water or containing added sweetening Pineapples, frozen, in water or containing added sweetening Mangoes, frozen, whether or not previously steamed or boiled Melons, frozen, in water or containing added sweetening Fruit, nesi, frozen, whether or not previously steamed or boiled Cherries,</w:t>
      </w:r>
    </w:p>
    <w:p>
      <w:pPr>
        <w:pStyle w:val="Normal"/>
      </w:pPr>
      <w:r>
        <w:t>provisionally preserved, but unsuitable in that state for immediate consumption Mixtures of two or more fruits, provisionally preserved, but unsuitable in that state for consumption Citrus fruit, provisionally preserved, but unsuitable in that state for immediate consumption Figs, provisionally preserved, but unsuitable in that state for immediate consumption Pineapples, provisionally preserved, but unsuitable in that state for immediate consumption Strawberries, provisionally preserved, but unsuitable in that state for immediate consumption Fruit and nuts nesi, including mixtures containing nuts, provisionally preserved, but not for immediate consumption Apricots, dried Prunes and plums, soaked in brine and dried Prunes and plums, dried, (except if presoaked in brine) Apples, dried Papayas, dried Barberries, dried Berries except barberries, dried Cherries, dried Peaches, dried Tamarinds, dried Fruit nesi, dried, other than that of headings 0801 to 0806, and excluding mixtures Mixtures of nuts or dried fruits of Chapter 8 Peel of orange or citron, fresh, frozen, dried or provisionally preserved in brine, in sulfur water or other preservative solutions Lime peel, fresh, frozen or in brine Peel of citrus fruit, excl.</w:t>
      </w:r>
    </w:p>
    <w:p>
      <w:pPr>
        <w:pStyle w:val="Normal"/>
      </w:pPr>
      <w:r>
        <w:t>orange or citron and peel, nesi, of melon, fresh, frozen, dried or provisionally preserved Coffee, not roasted, not decaffeinated Coffee, not roasted, decaffeinated Coffee, roasted, not decaffeinated Coffee, roasted, decaffeinated Coffee husks and skins Coffee substitutes containing coffee Green tea in packages not over 3 kg, flavored Green tea in packages not over 3 kg, not flavored Green tea in packages over 3 kg, flavored Green tea in packages over 3 kg, not flavored Black tea (fermented) and partly fermented tea, in immediate packings of a content not exceeding 3 kg Black tea (fermented) and partly fermented tea, other than in immediate packings of a content not exceeding 3 kg Mate Pepper of the genus Piper, neither crushed nor ground Pepper of the genus Piper, crushed or ground Paprika, dried neither crushed nor ground Anaheim and ancho pepper, dried, neither crushed nor ground Fruits of the genus Capsicum, other than paprika or anaheim and ancho pepper, dried, not crushed or ground Fruits of the genus Pimenta (including allspice), dried Paprika,</w:t>
      </w:r>
    </w:p>
    <w:p>
      <w:pPr>
        <w:pStyle w:val="Normal"/>
      </w:pPr>
      <w:r>
        <w:t>crushed or ground Anaheim and ancho pepper, crushed or ground Mixtures of mashed or macerated hot red peppers and salt, nesoi Fruits of the genus capsicum, crushed or ground, nesoi Fruits of the genus Pimenta (including allspice), crushed or ground Vanilla beans, neither crushed nor ground Vanilla beans, crushed or ground Cinnamon (Cinnamomum zeylanicum Blume) neither crushed nor ground Cinnamon and cinnamon-tree flowers,nesi,</w:t>
      </w:r>
    </w:p>
    <w:p>
      <w:pPr>
        <w:pStyle w:val="Normal"/>
      </w:pPr>
      <w:r>
        <w:t>neither crushed nor ground Cinnamon and cinnamon-tree flowers, crushed or ground Cloves (whole fruit, cloves and stems), neither crushed nor ground Cloves (whole fruit, cloves and stems), crushed or ground Nutmeg, neither crushed nor ground Nutmeg, crushed or ground Mace, neither crushed nor ground Mace, crushed or ground, Bombay or wild Mace, crushed or ground, other than Bombay or wild mace Cardamoms, neither crushed nor ground Cardamoms, crushed or ground Seeds of coriander, neither crushed nor ground Seeds of coriander, crushed or ground Seeds of cumin, neither crushed nor ground Seeds of cumin, crushed or ground Seeds of anise,badian, caraway or fennel; juniper berries; neither crushed nor ground Seeds of anise,badian, caraway or fennel; juniper berries; crushed or ground Ginger, neither crushed nor ground Ginger, crushed or ground Saffron Turmeric (curcuma) Mixtures of spices Thyme;</w:t>
      </w:r>
    </w:p>
    <w:p>
      <w:pPr>
        <w:pStyle w:val="Normal"/>
      </w:pPr>
      <w:r>
        <w:t>bay leaves, crude or not manufactured Thyme, other than crude or not manufactured Bay leaves, other than crude or not manufactured Curry Origanum, crude or not manufactured Origanum, other than crude or not manufactured Dill Spices, nesi Durum wheat, seed Durum wheat, other than seed Seed of wheat and meslin, other than durum wheat Wheat &amp; meslin other than durum or seed wheat Rye, seed Rye, other than seed Barley, seed Barley, other than seed, for malting purposes Barley, not seed, other than for malting purposes Oats, seed Oats, other than seed Seed corn (maize) Yellow dent corn Corn</w:t>
      </w:r>
    </w:p>
    <w:p>
      <w:pPr>
        <w:pStyle w:val="Normal"/>
      </w:pPr>
      <w:r>
        <w:t>(maize), other than seed and yellow dent corn Rice in the husk (paddy or rough) Basmati rice, husked Husked (brown) rice, other than Basmati Rice semi-milled or wholly milled, whether or not polished or glazed, parboiled Rice semi-milled or wholly milled, whether or not polished or glazed, other than parboiled Broken rice Grain sorghum, seed Grain sorghum, other than seed Buckwheat Millet, seed Millet, other than seed Canary seed Fonio (Digitaria spp.) Quinoa (Chenopodium quinoa) Triticale Cereals nesi (including wild rice) Wheat or meslin flour Corn (maize) flour Buckwheat flour Rice flour Rye flour Cereal flours nesi, mixed together Cereal flours, other than of wheat or meslin, rye, corn, rice or buckwheat Groats and meal of wheat Groats and meal of corn (maize) Groats and meal of oats Groats and meal of rice Groats and meal of cereals other than wheat, oats, corn (maize) or rice Pellets of cereals Rolled or flaked grains of oats Rolled or flaked grains of barley Rolled or flaked grains of cereals, other than of</w:t>
      </w:r>
    </w:p>
    <w:p>
      <w:pPr>
        <w:pStyle w:val="Normal"/>
      </w:pPr>
      <w:r>
        <w:t>barley or oats Grains of oats, hulled, pearled, clipped, sliced, kibbled or otherwise worked, but not rolled or flaked Grains of corn (maize), hulled, pearled, clipped, sliced, kibbled or otherwise worked, but not rolled or flaked Grains of barley, hulled, pearled, clipped, sliced, kibbled or otherwise worked, but not rolled or flaked Grains of cereals other than barley, oats or corn, hulled, pearled, clipped, sliced, kibbled or otherwise worked, but not rolled or</w:t>
      </w:r>
    </w:p>
    <w:p>
      <w:pPr>
        <w:pStyle w:val="Normal"/>
      </w:pPr>
      <w:r>
        <w:t>flaked Germ of cereals, whole, rolled, flaked or ground Flour, meal and powder of potatoes Flakes, granules and pellets, of potatoes Flour, meal and powder of the dried leguminous vegetables of heading 0713 Flour, meal and powder of Chinese water chestnuts Flour, meal and powder of sago, or of roots or tubers of heading 0714 (excluding Chinese water chestnuts) Flour, meal and powder of banana and plantain Fruit and nut flour, meal and powder of the products of chapter 8, other than of banana and plantain Malt, not roasted Malt, roasted Wheat starch Corn (maize) starch Potato starch Cassava (manioc) starch Starches other than wheat, corn (maize), potato or cassava (manioc) starches Inulin Wheat gluten, whether or not dried, to be used as animal feed Wheat gluten, whether or not dried, to be used for other than animal feed Soybeans, whether or not broken, seed Soybeans, whether or not broken, other than seed Peanuts (ground-nuts), seed, not roasted or cooked, shelled, subject to gen note 15 of the HTS Peanuts (ground-nuts), seed, not roasted or cooked, shelled, subject to add.</w:t>
      </w:r>
    </w:p>
    <w:p>
      <w:pPr>
        <w:pStyle w:val="Normal"/>
      </w:pPr>
      <w:r>
        <w:t>US note 2 to Ch.12 Peanuts (ground-nuts), seed, not roasted or cooked, shelled, not subject to gen note 15 or add. US note 2 to Ch.12 * Peanuts (ground-nuts), not seed, not roasted or cooked, in shell, subject to gen note 15 of the HTS Peanuts (ground-nuts), not seed, not roasted or cooked, in shell, subject to add.</w:t>
      </w:r>
    </w:p>
    <w:p>
      <w:pPr>
        <w:pStyle w:val="Normal"/>
      </w:pPr>
      <w:r>
        <w:t>US note 2 to Ch.12 Peanuts (ground-nuts), not seed, not roasted or cooked, in shell, not subject to gen note 15 or add. US note 2 to Ch.12 * Peanuts (ground-nuts), not seed, not roasted or cooked, shelled, subject to gen note 15 of the HTS Peanuts (ground-nuts), not seed, not roasted or cooked, shelled, subject to add. US note 2 to Ch.12 Peanuts (ground-nuts), not seed, not roasted or cooked, shelled, not subject to gen note 15 or add.</w:t>
      </w:r>
    </w:p>
    <w:p>
      <w:pPr>
        <w:pStyle w:val="Normal"/>
      </w:pPr>
      <w:r>
        <w:t>US note 2 to Ch.12 * Copra Flaxseed (linseed), whether or not broken Low erucic acid rape or colza seeds, whether or not broken Rape or colza seeds (other than of low erucic acid), whether or not broken Sunflower seeds, whether or not broken Palm nuts and kernels Cotton seeds, whether or not broken, seed for sowing Cotton seeds, whether or not broken, other than seed for sowing Castor oil seeds Sesame seeds, whether or not broken Mustard seeds, whether or not broken Safflower (Carthamus tintorius) seeds Melon seeds Poppy seeds, whether or not broken Other oil seeds and oleaginous fruits whether or not broken, incl niger seeds, hemp seeds and seeds nesoi Flours and meals of soybeans Flours and meals of oil seeds or oleaginous fruits other than those of mustard or soybeans Sugar beet seeds of a kind used for sowing Alfalfa (lucerne) seed of a kind used for sowing White and ladino clover seeds of a kind used for sowing Clover seeds, other than white and ladino, of a kind used for sowing Fescue seeds of a kind used for sowing Kentucky blue grass</w:t>
      </w:r>
    </w:p>
    <w:p>
      <w:pPr>
        <w:pStyle w:val="Normal"/>
      </w:pPr>
      <w:r>
        <w:t>seeds of a kind used for sowing Rye grass seeds of a kind used for sowing Beet seed, other than sugar beet seed, of a kind used for sowing Seeds of forage plants of a kind used for sowing, not elsewhere specified or included Seeds of herbaceous plants cultivated principally for their flowers Cauliflower seeds of a kind used for sowing Celery seeds of a kind used for sowing Onion seeds of a kind used for sowing Parsley seeds of a kind used for sowing Pepper seeds of a kind used for sowing Vegetable seeds, nesi, of a kind used for sowing Tree and shrub seeds of a kind used for sowing Seeds, fruits and spores, of a kind used for sowing, nesi Hop cones, fresh or dried, neither ground, powdered nor in the form of pellets Hop cones, fresh or dried, ground, powdered or in the form of pellets;</w:t>
      </w:r>
    </w:p>
    <w:p>
      <w:pPr>
        <w:pStyle w:val="Normal"/>
      </w:pPr>
      <w:r>
        <w:t>lupulin Ginseng roots, fresh or dried, whether or not cut, crushed or powdered Ginseng roots, frozen or chilled Coca leaf, of a kind used in perfumery, in pharmacy or for insecticidal, fungicidal or similar purposes Poppy straw, of a kind used in perfumery, in pharmacy or for insecticidal, fungicidal or similar purposes Ephedra Mint leaves, crude or not manufactured, of a kind used in perfumery, in pharmacy or for insecticidal, fungicidal or similar purposes Mint leaves nesi, of a kind used in perfumery, in pharmacy or for insecticidal, fungicidal or similar purposes Tonka beans, of a kind used in perfumery, in pharmacy or for insecticidal, fungicidal or similar purposes Plants, parts of</w:t>
      </w:r>
    </w:p>
    <w:p>
      <w:pPr>
        <w:pStyle w:val="Normal"/>
      </w:pPr>
      <w:r>
        <w:t>plants (including seeds and fruits), used in perfumery, pharmacy, insecticidal, fungicidal or similar puproses, other, fresh or dried Plants, parts of plants (including seeds and fruits), used in perfumery, pharmacy, insecticidal, fungicidal or similar purposes, chilled or frozen Seaweeds and other algae, fresh, chilled, frozen or dried, whether or not ground, fit for human consumption Seaweeds and other algae, fresh, chilled, frozen or dried, whether or not ground, other than for human consumption Sugar beet, fresh, chilled, frozen or dried, whether or not ground Locust beans (carob) Sugar cane, fresh, chilled, frozen or dried, whether or not ground Chicory roots Nectarine stones and kernels of a kind used primarily for human consumption, not elsewhere specified or included Apricot, peach (other than nectarine) or plum stones and kernels used primarily for human consumption, not elsewhere specified or included Fruit stone &amp; kernel (not apricot/peach/plum) &amp; other vegetable products used primary human consumption, nesoi Cereal straw and husks, unprepared, whether or not chopped, ground, pressed or in the form of pellets Alfalfa</w:t>
      </w:r>
    </w:p>
    <w:p>
      <w:pPr>
        <w:pStyle w:val="Normal"/>
      </w:pPr>
      <w:r>
        <w:t>(lucerne) meal and pellets Rutabagas, mangolds, fodder roots, hay, clover, sainfoin, kale, lupines, vetches &amp; forage products nesi Gum Arabic Turpentine gum (oleoresinous exudate from living trees) Lac,natural gums, resins, gum-resins and oleoresins (e.g., balsams), nesoi Saps and extracts of opium Saps and extracts of licorice Saps and extracts of</w:t>
      </w:r>
    </w:p>
    <w:p>
      <w:pPr>
        <w:pStyle w:val="Normal"/>
      </w:pPr>
      <w:r>
        <w:t>hops Vegetable saps and extracts of ephedra Poppy straw extract Ginseng and other substances having prophylatic or therapeutic properties Vegetable saps and extracts nesoi Pectic substances, pectinates and pectates Agar-agar Mucilages and thickeners, whether or not modified, derived from locust beans, locust bean seeds or guar seeds Mucilages and thickeners derived from vegetable products other than locust beans, locust bean seeds or guar seeds, and excluding agar-agar Bamboos, of a kind used primarily for plaiting Rattans, in the rough or cut transversely into sections, of a kind used primarily for plaiting Rattans, other than those in the rough or cut transversely into sections, of a kind used primarily for plaiting Willow (osier), of a kind used primarily for plaiting Lime bark, raffia, reeds, rushes, cleaned, bleached or dyed cereal straw, other vegetable materials nesi, used primarily for plaiting Cotton linters Vegetable hair not elsewere specified or included Broomcorn (Sorghum vulgare var.</w:t>
      </w:r>
    </w:p>
    <w:p>
      <w:pPr>
        <w:pStyle w:val="Normal"/>
      </w:pPr>
      <w:r>
        <w:t>technicum) of a kind used primarily in brooms or brushes Istle of a kind used primarily in brooms or brushes Piassava, couch-grass and other vegetable materials nesoi, of a kind used primarily in brooms or brushes Other vegetable materials nesoi Lard, other than heading 0209 or 1503 Other pig fat other than heading 0209 or 1503 Poultry fat, other than that of head 0209 or 1503 Fats of bovine animals, sheep or goats, other than those of heading 1503:</w:t>
      </w:r>
    </w:p>
    <w:p>
      <w:pPr>
        <w:pStyle w:val="Normal"/>
      </w:pPr>
      <w:r>
        <w:t>tallow Fats of bovine animals, sheep or goats, other than those of heading 1503, other than tallow Lard stearin, lard oil, oleostearin, oleo-oil, and tallow oil, not emulsified or mixed or otherwise prepared Cod-liver oil and its fractions Fish-liver oils and their fractions, other than cod-liver oil and its fractions Cod oil and its fractions, other than liver oil Herring oil and its fractions, other than liver oil Fats and oils and their fractions, of fish other than cod and herring, excluding liver oil Fats and oils and their fractions, of marine mammals Wool grease, crude Fatty substances derived from wool grease (including lanolin) Animal fats and oils and their fractions nesi, whether or not refined, but not chemically modified Crude soybean oil, whether or not degummed Pharmaceutical grade soybean oil meeting FDA requirements for use in intravenous fat emulsions, valued over $5 per kg Soybean oil, other than crude, and its fractions, whether or not refined, but not chemically modified, nesi Crude peanut (ground-nut) oil</w:t>
      </w:r>
    </w:p>
    <w:p>
      <w:pPr>
        <w:pStyle w:val="Normal"/>
      </w:pPr>
      <w:r>
        <w:t>Peanut (ground-nut) oil, other than crude, and its fractions, whether or not refined, but not chemically modified Virgin olive oil and its fractions, whether or not refined, not chemically modified, weighing with the immediate container under 18 kg Virgin olive oil and its fractions, whether or not refined, not chemically modified, weighing with the immediate container 18 kg or over Olive oil, other than virgin olive oil, and its fractions, not chemically modified, weighing with the immediate container under 18 kg Olive oil, other than virgin olive oil, and its fractions, not chemically modified, weighing with the immediate container 18 kg or over Olive oil, including blends, and their fractions, not chemically modified, rendered unfit for use as food Edible oil including blends, and their fractions, nesi, not chemically modified, weighing under 18 kg Edible oil including blends, and their fractions, nesi, not chemically modified, weighing 18 kg or over Palm oil, crude, and its fractions, whether or not refined, not chemically modified Palm oil, other than crude, and its</w:t>
      </w:r>
    </w:p>
    <w:p>
      <w:pPr>
        <w:pStyle w:val="Normal"/>
      </w:pPr>
      <w:r>
        <w:t>fractions, whether or not refined, but not chemically modified Sunflower-seed or safflower oil, crude, and their fractions, whether or not refined, not chemically modified Sunflower seed or safflower oil, other than crude, and their fractions, whether or not refined, but not chemically modified Cottonseed oil, crude, and its fractions, whether or not gossypol has been removed Cottonseed oil, other than</w:t>
      </w:r>
    </w:p>
    <w:p>
      <w:pPr>
        <w:pStyle w:val="Normal"/>
      </w:pPr>
      <w:r>
        <w:t>crude, and its fractions, whether or not refined, but not chemically modified Coconut (copra) oil, crude, and its fractions, not chemically modified Coconut (copra) oil, other than crude, and its fractions, whether or not refined, but not chemically modified Palm kernel or babassu oil, crude, and their fractions, not chemically modified Palm kernel oil or babassu oil, other than crude, and their fractions, whether or not refined, but not chemically modified Low erucic acid rapeseed or colza oil, crude, but not chemically modified Low erucic acid rapeseed or colza oil, other than crude, and their fractions, whether or not refined, but not chemically modified Rapeseed/colza (not low erucic) or mustard oil, for use in manufacture of rubber substitutes or lubricating oil, crude, not chem modified Rapeseed or colza (not low erucic acid) or mustard oil, crude, not chemically modified, nesoi Rapeseed/colza(not low erucic) or mustard oil, for use manufacture rubber substitute or lube oil,not crude,&amp; its fractions,not chem modified Denatured rapeseed or colza (not low erucic acid) or mustard oil,</w:t>
      </w:r>
    </w:p>
    <w:p>
      <w:pPr>
        <w:pStyle w:val="Normal"/>
      </w:pPr>
      <w:r>
        <w:t>other than crude, and their fractions, whether or not refined, nesoi Rapeseed/colza (not low erucic) or mustard oil, other than crude, &amp; their fractions, whether or not refined, not chemically modified, nesoi Linseed oil, crude, and its fractions, not chemically modified Linseed oil, other than crude, and its fractions, whether or not refined, not chemically modified Corn (maize) oil, crude,</w:t>
      </w:r>
    </w:p>
    <w:p>
      <w:pPr>
        <w:pStyle w:val="Normal"/>
      </w:pPr>
      <w:r>
        <w:t>and its fractions, not chemically modified Corn (maize) oil, other than crude, and its fractions, whether or not refined, not chemically modified Castor oil and its fractions, whether or not refined, but not chemically modified Sesame oil and its fractions, whether or not refined, not chemically modified Nut oils, whether or not refined, not chemically modified Jojoba oil and its fractions, whether or not refined, not chemically modified Fixed vegetable fats and oils and their fractions nesoi, whether or not refined, not chemically modified Animal fats and oils, partly or wholly hydrogenated, interesterified, reesterified or elaidinized, not further prepared Rapeseed oil, hydrogenated or hardened Vegetable fats and oils nesi, partly or wholly hydrogenated, interesterified, reesterified or elaidinized, not further prepared Margarine, excluding liquid margarine Edible artificial mixtures of products provided for in headings 1501 to 1515, cont. 5% or more by weight of soybean oil or fraction thereof Edible artificial mixtures of products provided for in headings 1501 to 1515, nesi Edible mixt. &amp; preps, dairy products described in add.</w:t>
      </w:r>
    </w:p>
    <w:p>
      <w:pPr>
        <w:pStyle w:val="Normal"/>
      </w:pPr>
      <w:r>
        <w:t>US note 1 to Ch 4: subject to gen. note 15 of the HTS Edible mixt. &amp; preps, dairy products described in add. US note 1 to Ch 4: subject to add. US note 10 to Ch. 4 Edible mixt. &amp; preps, dairy products described in add. US note 1 to Ch 4: not subj. to gen. note 15 or add. US note 10 to Ch. 4 * Edible mixt. &amp; preps (ex. dairy products descr. in add.</w:t>
      </w:r>
    </w:p>
    <w:p>
      <w:pPr>
        <w:pStyle w:val="Normal"/>
      </w:pPr>
      <w:r>
        <w:t>US note 1 to Ch.</w:t>
      </w:r>
    </w:p>
    <w:p>
      <w:pPr>
        <w:pStyle w:val="Normal"/>
      </w:pPr>
      <w:r>
        <w:t>4), nesoi Linseed or flaxseed oil, and their fractions, boiled, oxidized, dehydrated, sulfurized, blown or otherwise chemically modified Animal or vegetable fats and oils, nesi, oxidized, dehydrated or otherwise chemically modified; inedible mixtures of fats and oils nesi Glycerol, crude; glycerol waters and glycerol lyes Vegetable waxes (other than triglycerides), whether or not refined or colored Bleached beeswax Insect waxes, other than bleached beeswax, and spermaceti, whether or not refined or colored Degras; residues resulting from the treatment of fatty substances or animal or vegetable waxes Pork sausages and similar products of pork, pork offal or blood; food preparations based on these products Sausages and similar products of beef, beef offal or blood; food preparations based on these products, in airtight containers Sausage and similar products of meats, meat offal or blood nesi;</w:t>
      </w:r>
    </w:p>
    <w:p>
      <w:pPr>
        <w:pStyle w:val="Normal"/>
      </w:pPr>
      <w:r>
        <w:t>food preparations based on these products Homogenized preparations of prepared or preserved meat, meat offal or blood, put up for retail sale as food for infants or for dietetic purposes Homogenized preparations of prepared or preserved meat, meat offal or blood, put up for retail sale as food for children Prepared or preserved liver of goose Prepared or preserved liver of any animal other than of goose Prepared or preserved meat or meat offal of turkeys, nesi Prepared or preserved meat or meat offal of chickens, nesoi Prepared or preserved meat or meat offal of ducks,</w:t>
      </w:r>
    </w:p>
    <w:p>
      <w:pPr>
        <w:pStyle w:val="Normal"/>
      </w:pPr>
      <w:r>
        <w:t>geese or guineas, nesoi Prepared or preserved pork ham and cuts thereof, containing cereals or vegetables Pork hams and cuts thereof, not containing cereals or vegetables, boned and cooked and packed in airtight containers Prepared or preserved pork hams and cuts thereof, not containing cereals or vegetables, nesi Pork shoulders and cuts thereof, boned and cooked and packed in airtight containers Prepared or preserved pork shoulders and cuts thereof, other than boned and cooked and packed in airtight containers Prepared or preserved pork offal, including mixtures Pork other than ham and shoulder and cuts thereof, not containing cereals or vegetables, boned and cooked and packed in airtight containers Prepared or preserved pork, not containing cereals or vegetables, nesi Prepared or preserved pork mixed with beef Prepared or preserved pork, nesi Prepared or preserved offal of bovine animals Corned beed in airtight containers Of bovine animals, cured or pickled, not corned beef, not in airtight containers Of bovine animals, other, in airtight containers Prepared or preserved meat of bovine animals, not</w:t>
      </w:r>
    </w:p>
    <w:p>
      <w:pPr>
        <w:pStyle w:val="Normal"/>
      </w:pPr>
      <w:r>
        <w:t>containing cereals or vegetables, nesi Prepared or preserved meat of bovine animals, containing cereals or vegetables Prepared or preserved frog meat Prepared or preserved meat, meat offal or blood, whether or not canned, nesoi Clam juice Extracts and juices of meat, fish, crustaceans, molluscs or other aquatic invertebrates, other than clam juice Prepared or preserved salmon,</w:t>
      </w:r>
    </w:p>
    <w:p>
      <w:pPr>
        <w:pStyle w:val="Normal"/>
      </w:pPr>
      <w:r>
        <w:t>whole or in pieces, but not minced, in oil, in airtight containers Prepared or preserved salmon, whole or in pieces, but not minced, other than in oil and in airtight containers Prepared or preserved herrings, whole or in pieces, but not minced, in oil, in airtight containers Herrings, whole or in pieces, but not minced, in tomato sauce, smoked or kippered, in immediate containers over 0.45 kg each Herrings prepared or preserved, whole or in pieces, but not minced, nesi Smoked sardines, in oil, not skinned nor boned, $1/kg or more in tin-plate containers, or $1.10/kg or more in other airtight containers Sardines, not smoked, sardinella, brisling or sprats, neither skinned nor boned, in oil, in airtight containers Sardines, sardinella, brisling or sprats, skinned or boned, in oil, in airtight containers Sardines, sardinella, brisling, sprats in containers with their contents under 225 g each, except those in oil and in airtight containers Sardines, sardinella and brisling or sprats (not in oil and airtight cont.), prepared or preserved, not minced, cont.</w:t>
      </w:r>
    </w:p>
    <w:p>
      <w:pPr>
        <w:pStyle w:val="Normal"/>
      </w:pPr>
      <w:r>
        <w:t>225 g or more Tunas and skipjack, whole or in pieces, but not minced, in oil, in airtight containers Tunas and skipjack, not in oil, in airtight cont., n/o 7 kg, not of U.S. possessions, product within quota Tunas and skipjack, not in oil, in airtight containers, n/o 7 kg, not of U.S.</w:t>
      </w:r>
    </w:p>
    <w:p>
      <w:pPr>
        <w:pStyle w:val="Normal"/>
      </w:pPr>
      <w:r>
        <w:t>possessions, over quota Tunas and skipjack, not in airtight containers, not in oil, in bulk or in immediate containers weighing with contents over 6.8 kg each Tunas and skipjack, not in airtight containers, not in bulk or in immediate containers weighing with contents over 6.8 kg each Bonito (Sarda spp.), in oil Bonito (Sarda spp.), not in oil Prepared or preserved mackerel, whole or in pieces, but not minced Anchovies, whole or in pieces but not minced, in oil, in airtight containers Prepared or preserved anchovies, whole or in pieces, not minced, not in oil, in immediate containers with their contents 6.8 kg or less ea.</w:t>
      </w:r>
    </w:p>
    <w:p>
      <w:pPr>
        <w:pStyle w:val="Normal"/>
      </w:pPr>
      <w:r>
        <w:t>Prepared or preserved anchovies, whole or in pieces, but not minced, not in oil, nesi Prepared or preserved eels, whole or in pieces, but not minced, in airtight containers, not in oil Eel portions similar to fish sticks and like products of any size or shape, breaded, coated with batter, not cooked nor in oil Eel similar to fish sticks and like products of any size or shape, if breaded, coated with batter, cooked or in oil Prepared or preserved eel, in oil and in bulk or in immediate containers weighing over 7 kg each Prepared or preserved eel, whole or in pieces, but not minced, nesi Shark fins, not in oil, in airtight containters Shark fins, not in airtight containers Bonito, yellowtail and pollock, whole or in pieces, but not minced, in airtight containers, not in oil Other fish, excluding bonito, yellowtail and pollock, in airtight containers, not in</w:t>
      </w:r>
    </w:p>
    <w:p>
      <w:pPr>
        <w:pStyle w:val="Normal"/>
      </w:pPr>
      <w:r>
        <w:t>oil Bonito, yellowtail and pollock, whole or in pieces, but not minced, in airtight containers, in oil Other fish, excluding bonito, yellowtail and pollock, in airtight containers, in oil Fish sticks and like products of any size or shape, fillets or other portions of fish, breaded, coated with batter, not cooked nor in oil Fish sticks and like products of any size or shape, fillets or other portions of fish, if breaded, coated with batter, cooked or in oil Prepared or preserved fish nesi, in oil and in bulk or in immediate containers weighing over 7 kg each Fish, whole or in pieces, but not minced, prepared or preserved, nesoi Products containing meat of crustaceans, molluscs or other aquatic invertebrates, prepared meals Fish pastes Fish balls, cakes and puddings, in oil Fish balls, cakes and puddings, not in oil, in immediate airtight containers, weighing with their contents not over 6.8 kg each Fish balls, cakes and puddings, not in oil, and in immediate nonairtight containers weighing with their contents not</w:t>
      </w:r>
    </w:p>
    <w:p>
      <w:pPr>
        <w:pStyle w:val="Normal"/>
      </w:pPr>
      <w:r>
        <w:t>over 6.8 kg each Fish balls, cakes and puddings, not in oil, not in immediate containers, weighing with their contents not over 6.8 kg each Fish sticks and similar products of any size or shape, if breaded, coated with batter or similarly prepared, not cooked nor in oil Fish sticks and similar products of any size or shape, if breaded, coated with batter or similarly prepared, cooked or in oil Prepared or preserved fish, other than whole or in pieces, nesi Caviar</w:t>
      </w:r>
    </w:p>
    <w:p>
      <w:pPr>
        <w:pStyle w:val="Normal"/>
      </w:pPr>
      <w:r>
        <w:t>Caviar substitutes prepared from fish eggs, boiled and in airtight containers Caviar substitutes prepared from fish eggs, nesi Crab products containing fish meat; prepared meals of crab Crabmeat, prepared or preserved, in airtight containers Crabmeat, prepared or preserved, other than in airtight containers Crabs, other than crabmeat, prepared or preserved Shrimp &amp; prawns not in airtight containers: fish meat and prepared meals Shrimp &amp; prawns not in airtight containers: other than fish meat and prepared meals Shrimp &amp; prawns in airtight containers: fish meat and prepared meals Shrimp &amp; prawns in airtight containers: other than fish meat and prepared meals Lobster products containing fish meat; prepared meals of lobster Lobster, prepared or preserved, not containing fish meat, nesi Crustacean products nesi, containing fish meat; prepared meals of crustaceans, nesi Crustaceans nesi, prepared or preserved, not containing fish meat, nesi Oysters, fish meat or prepared meals Smoked oysters Oysters, prepared or preserved, but not smoked Scallops, including queen scallops as containing fish meat;</w:t>
      </w:r>
    </w:p>
    <w:p>
      <w:pPr>
        <w:pStyle w:val="Normal"/>
      </w:pPr>
      <w:r>
        <w:t>prepared meals Scallops, including queen scallops, prepared or preserved Mussels, containing fish meats or in prepared meals Mussels, prepared or preserved Cuttle fish and squid, as containing fish meat; prepared meals Cuttle fish and squid, prepared or preserved Octopus, as containing fish meat or prepared meals Octopus, prepared or preserved Products of clams, cockles, and arkshells</w:t>
      </w:r>
    </w:p>
    <w:p>
      <w:pPr>
        <w:pStyle w:val="Normal"/>
      </w:pPr>
      <w:r>
        <w:t>containing fish meat; prepared meals Razor clams, in airtight containers, prepared or preserved, nesi Boiled clams in immediate airtight containers, the contents of which do not exceed 680 g gross weight Clams, prepared or preserved, excluding boiled clams, in immediate airtight containers, nesi Clams, prepared or preserved, other than in airtight containers Cockles and arkshells, prepared or preserved Products of abalone containing fish meat; prepared meals of abalone Abalone, prepared or preserved Products of snails, other than sea snails, containing fish meat; prepared meals of snails other than sea snails Prepared or preserved snails, other than sea snails Products of molluscs nesi containing fish meat; prepared meals of molluscs nesi Molluscs nesi, prepared or preserved Sea cucumbers, prepared or preserved Sea urchins, prepared or preserved Jelly fish, prepared or preserved Other aquatic invertebrates, nesi, prepared or preserved Beet sugar, raw, in solid form, w/o added flavoring or coloring, subject to gen. note 15 of the HTS Beet sugar, raw, in solid form, w/o added flavoring or coloring, subject to add.</w:t>
      </w:r>
    </w:p>
    <w:p>
      <w:pPr>
        <w:pStyle w:val="Normal"/>
      </w:pPr>
      <w:r>
        <w:t>US 5 to Ch.17 Beet sugar, raw, in solid form, w/o added flavoring or coloring, nesoi, not subject to gen. note 15 or add. US 5 to Ch.17 * Cane sugar, raw, specified in subheading 2 to chapter 17, in solid form, w/o added flavoring or coloring, subject to gen.</w:t>
      </w:r>
    </w:p>
    <w:p>
      <w:pPr>
        <w:pStyle w:val="Normal"/>
      </w:pPr>
      <w:r>
        <w:t>note 15 of the HTS Cane sugar, raw, specified in subheading 2 and subject to add’l note 5 to this chapter, in solid form, w/o added flavoring or coloring Cane sugar, raw, specified in subheading 2 to chapter 17, to be used for certain polyhydric alcohols Cane sugar, raw, specif in subhead 2 to chapt 17,solid, w/o added flavor or color, not subject gen. note 15 of the HTS or chapter note 5 * Other cane sugar, raw, in solid form, w/o added flavoring or coloring, subject to gen. note 15 of the HTS Other cane sugar, raw, in solid form, w/o added flavoring or coloring, subject to add. US 5 to Ch.17 Other cane sugar, raw, in solid form, to be used for certain polyhydric alcohols Other cane sugar, raw solid form, w/o flavoring or coloring, nesoi, not subject to gen. note 15 or add.</w:t>
      </w:r>
    </w:p>
    <w:p>
      <w:pPr>
        <w:pStyle w:val="Normal"/>
      </w:pPr>
      <w:r>
        <w:t>US 5 to Ch.17 * Cane/beet sugar &amp; pure sucrose, refined, solid, w/added coloring but not flav., subject to gen. note 15 of the HTS Cane/beet sugar &amp; pure sucrose, refined, solid, w/added coloring but not flav., subject to add. US 5 to Ch.17 Cane/beet sugar &amp; pure sucrose, refined, solid, w/added coloring but not flav., not subject to gen. note 15 or add. US 5 to Ch.17 * Cane/beet sugar &amp; pure sucrose, refined, solid, w/added flavoring, o/65% by wt. sugar, descr. in Ch17 US note 2, subj. to gen nte 15 Cane/beet sugar &amp; pure sucrose, refined, solid, w/added flavoring, o/65% by wt. sugar, descr. in Ch17 US note 2, subj.</w:t>
      </w:r>
    </w:p>
    <w:p>
      <w:pPr>
        <w:pStyle w:val="Normal"/>
      </w:pPr>
      <w:r>
        <w:t>to Ch17 US nte 7 Cane/beet sugar &amp; pure sucrose, refined, solid, w/added flavoring, o/65% by wt. sugar, descr. in Ch17 US note 2, not GN 15/Ch 17 US nte 7 * Cane/beet sugar &amp; pure sucrose, refined, solid, w/added flavoring, o/10% by wt. sugar, descr. in Ch17 US note 3, subj. to gen nte 15 Cane/beet sugar &amp; pure sucrose, refined, solid, w/added flavoring, o/10% by wt. sugar, descr. in Ch17 US note 3, subj. to Ch17 US nte 8 Cane/beet sugar &amp; pure sucrose, refined, solid, w/added flavoring, o/10% by wt. sugar, descr. in Ch17 US note 3, not GN15/Ch.17 US nte 8 * Cane/beet sugar &amp; pure sucrose, refined, solid, w/added flavoring, nesoi Cane/beet sugar &amp; pure sucrose, refined, solid, w/o added coloring or flavoring, subject to gen. note 15 of the HTS Cane/beet sugar &amp; pure sucrose, refined, solid, w/o added coloring or flavoring, subject to add. US 5 to Ch.17 Cane/beet sugar &amp; pure sucrose, refined, solid, w/o added coloring or flavoring, not subject to gen. note 15 or add.</w:t>
      </w:r>
    </w:p>
    <w:p>
      <w:pPr>
        <w:pStyle w:val="Normal"/>
      </w:pPr>
      <w:r>
        <w:t>US 5 to Ch.17 * Lactose and lactose syrup containing by weight 99% or more lactose, calculated on the dry matter Lactose and lactose syrup containing by weight less than 99% lactose, calculated on the dry matter Maple syrup, blended, described in add. US note 4 to Ch.17: subject to gen. note 15 of the HTS Maple syrup, blended, described in add. US note 4 to Ch.17: subject to add. US note 9 to Ch.17 Maple syrup, blended, described in add. US note 4 to Ch.17: not subject to gen note 15 or add.</w:t>
      </w:r>
    </w:p>
    <w:p>
      <w:pPr>
        <w:pStyle w:val="Normal"/>
      </w:pPr>
      <w:r>
        <w:t>US note 9 to Ch.17 * Maple sugar and maple syrup, nesi Glucose &amp; glucose syrup nt containing or containing in dry state less than 20% fructose; blended, see gen. note 15 of the schedule &amp; prov. Glucose &amp; glucose syrup nt containing or containing in dry state less than 20% fructose; blended, see add’l U.S. note 9 (chap. 17) &amp; Prov. Glucose &amp; glucose syrup not containing or containing in dry state less than 20% fructose; blended syrups (chap 17-note 4), nesoi * Glucose and glucose syrup, not containing fructose or in the dry state less than 20 percent by weight of fructose, nesi Blended syrup desc. in add’l U.S. note 4(chap.17) Contng in dry state 20%-50% by weight of fructose, see gen. note 15 of the HTS &amp; prov. Blended syrup desc. in add’l U.S. note 4(chap.17) Contng in dry state 20%-50% by weight of fructose, see add’l U.S. note 9 (chap.17) &amp; Prov.</w:t>
      </w:r>
    </w:p>
    <w:p>
      <w:pPr>
        <w:pStyle w:val="Normal"/>
      </w:pPr>
      <w:r>
        <w:t>Blended syrup desc. in add’l U.S. note 4(chap.17) Contng in dry state 20%-50% by weight of fructose, nesoi * Glucose in solid form &amp; glucose syrup, containing in dry state at least 20% but less than 50% by weight of fructose, nesoi Chemically pure fructose Oth fructose &amp; fruc. syrup contng in dry state &gt;50% by wt. of fructose, blended syrup(see add’l U.S. note 4-chap 17) &amp; see gen. note 15 Oth fructose &amp; fruc. syrup contng in dry state &gt;50% by wt. of fructose, blended syrup(see add’l U.S. note 4-chap 17) &amp; see add’l U.S. note 9 Oth fructose &amp; fruc. syrup contng in dry state &gt;50% by wt. of fructose, blended syrup(see add’l U.S.</w:t>
      </w:r>
    </w:p>
    <w:p>
      <w:pPr>
        <w:pStyle w:val="Normal"/>
      </w:pPr>
      <w:r>
        <w:t>note 4-chap 17), nesoi * Glucose and glucose syrup, w/50% or more fructose, other than blended syrups described in add. US note 4 to Ch.17 Cane/beet sugars &amp; syrups (incl. invert sugar); nesoi, w/soluble non-sugar solids 6% or less soluble solids, subj to GN 15 Cane/beet sugars &amp; syrups (incl. invert sugar); nesoi, w/soluble non-sugar solids 6% or less soluble solids, subj Ch17 US note 5 Cane/beet sugars &amp; syrups (incl. invert sugar); nesoi, w/soluble non-sugar solids 6% or less soluble solids, not subj to GN15/Ch17 US nte 5 * Invert molasses Other cane/beet syrups nesi Sugar syrups, artificial honey, caramel, nesoi, subject to gen. note 15 of the HTS Blended syrups described in add. US note 4 to chap. 17, nesoi, subject to add. US note 9 to Ch. 17 Blended syrups described in add. US note 4 to chap. 17, nesoi, not subject to add. US note 9 to Ch. 17 * Sugars nesoi w/o 65% by dry wt. sugar, described in add. U.S note 2 to Ch.17: and subj. to add. US note 7 to Ch.17 Sugars nesoi w/o 65% by dry wt. sugar, described in add. U.S note 2 to Ch.17: and not subj. to add.</w:t>
      </w:r>
    </w:p>
    <w:p>
      <w:pPr>
        <w:pStyle w:val="Normal"/>
      </w:pPr>
      <w:r>
        <w:t>US note 7 to Ch.17 * Sugars and sugar syrups, and articles containing sugar, neosi Cane molasses imported for (a) the commercial extraction of sugar or (b) human consumption Cane molasses nesi Molasses, other than cane, imported for (a) the commercial extraction of sugar or (b) human consumption Molasses nesi Chewing gum, not containing cocoa, whether or not sugar-coated Candied nuts, not containing cocoa Sugar confectionary cough drops, not containing cocoa Sugar confections or sweetmeats ready for consumption, not containing cocoa, other than candied nuts or cough drops Sugar confectionery nesoi, not containing cocoa, subject to gen. note 15 of the HTS Sugar confectionery nesoi, w/o cocoa, dairy products subject to add. US note 1 to chap. 4: subject to add US note 10 to chapter 4 Sugar confectionery nesoi, w/o cocoa, dairy products subject to add. US note 1 to chap. 4: not subject to add US note 10 to chapter 4 * Sugar confectionery nesoi o/65% by dry wt. of sugar described in add. US note 2 to Ch. 17, w/o cocoa, subj. to add.</w:t>
      </w:r>
    </w:p>
    <w:p>
      <w:pPr>
        <w:pStyle w:val="Normal"/>
      </w:pPr>
      <w:r>
        <w:t>US note 7 to Ch.17 Sugar confectionery nesoi o/65% by dry wt. of sugar described in add. US note 2 to Ch. 17, w/o cocoa, not subj. to Ch17 US note 7 * Sugar confectionery nesoi o/10% by dry wt. of sugar described in add. US note 3 to Ch. 17, w/o cocoa, subj. to add. US note 8 to Ch.17 Sugar confectionery nesoi o/10% by dry wt. of sugar described in add. US note 3 to Ch. 17, w/o cocoa, not subj.</w:t>
      </w:r>
    </w:p>
    <w:p>
      <w:pPr>
        <w:pStyle w:val="Normal"/>
      </w:pPr>
      <w:r>
        <w:t>to Ch17 US note 8 * Sugar confectionery, w/o cocoa, nesoi Cocoa beans, whole or broken, raw or roasted Cocoa shells, husks, skins and other cocoa waste Cocoa paste, not defatted Cocoa paste, wholly or partly defatted Cocoa butter, fat and oil Cocoa powder, not containing added sugar or other sweetening matter Cocoa powder, sweetened, w/less than 65% by dry wt. sugar, subject to gen. note 15 of the HTS Cocoa powder, sweetened, w/less than 65% by dry wt. sugar, subject to add US note 1 to Ch. 18 Cocoa powder, sweetened, w/less than 65% by dry wt. sugar, not subject to gen note 15 or add US note 1 to Ch. 18 * Cocoa powder, o/65% but less than 90% by dry wt of sugar, subject to gen. note 15 of the HTS Cocoa powder, o/65% but less than 90% by dry wt of sugar, described in add US note 2 to Ch.17: subj. to add US note 7 to Ch.</w:t>
      </w:r>
    </w:p>
    <w:p>
      <w:pPr>
        <w:pStyle w:val="Normal"/>
      </w:pPr>
      <w:r>
        <w:t>17 Cocoa powder, o/65% but less than 90% by dry wt of sugar, described in add US note 2 to Ch.17: not subj. to add US note 7 to Ch. 17 * Cocoa powder, sweetened, neosi, subject to add US note 1 to Ch. 18 Cocoa powder, sweetened, neosi, not subject to add US note 1 to Ch. 18 * Cocoa powder, o/90% by dry wt of sugar, subject to gen. note 15 of the HTS Cocoa powder, o/90% by dry wt of sugar, described in add US note 2 to Ch. 17: subject to add US note 7 to Ch. 17 Cocoa powder, o/90% by dry wt of sugar, described in add US note 2 to Ch. 17: not subject to add US note 7 to Ch. 17 * Cocoa powder, o/90% by dry wt of sugar, neosi, subject to add. US note 1 to Ch.</w:t>
      </w:r>
    </w:p>
    <w:p>
      <w:pPr>
        <w:pStyle w:val="Normal"/>
      </w:pPr>
      <w:r>
        <w:t>18 Cocoa powder, o/90% by dry wt of sugar, neosi * Preparation consist wholly of ground cocoa beans, cont. n/o 32% butterfat and 60% sugar, in blocks or slabs 4.5 kg or more each Chocolate, ov 2kg, cont. milk solids, not in blocks 4.5 kg or more, subj. to gen. note 15 of the HTS Chocolate, ov 2kg, cont. milk solids, not in blocks 4.5 kg or more, subj. to add US note 2 to Ch. 18, not GN15, ov 5.5 pc bf Chocolate, ov 2kg, cont. milk solids, not in blocks 4.5 kg or more, not subj. Ch18 US note 2/GN15, ov 5.5 pc bf, less th 21% milk solids * Chocolate, ov 2kg, cont. milk solids, not in blocks 4.5 kg or more, not GN15, ov 5.5 pc bf ov 21% milk solids * Chocolate, ov 2kg, cont. milk solids, not in blocks 4.5 kg or more, not ov 5.5 pc bf, subj. to add US note 3 to Ch.</w:t>
      </w:r>
    </w:p>
    <w:p>
      <w:pPr>
        <w:pStyle w:val="Normal"/>
      </w:pPr>
      <w:r>
        <w:t>18, not GN15 Chocolate, ov 2kg, cont. milk solids, not in blocks 4.5 kg or more, less than 21% milk solids, not subj. to Ch18 US note 3/GN15 * Chocolate, ov 2kg, cont. milk solids, not in blocks 4.5 kg or more, 21% or more milk solids, not GN15 * Chocolate, ov 2kg, cont. milk solids, not in blocks 4.5 kg or more, no milk solids, not GN15 Confectioners’ coatings &amp; other products, not less than 6.8% non-fat solids of the cocoa bean nib and not less than 15% vegetable fats Chocolate/oth preps with cocoa, ov 2kg but n/o 4.5 kg, o/65% by wt of sugar, subject to gen. note 15 of the HTS Chocolate/oth preps with cocoa, ov 2kg but n/o 4.5 kg, o/65% by wt of sugar, desc in add US nte 2 to Ch. 17: subj. to add note 7 to Ch.</w:t>
      </w:r>
    </w:p>
    <w:p>
      <w:pPr>
        <w:pStyle w:val="Normal"/>
      </w:pPr>
      <w:r>
        <w:t>17 Chocolate/oth preps with cocoa, ov 2kg but n/o 4.5 kg, o/65% by wt of sugar, desc in Ch17 US nte 2, not subj. to Ch17 US note 7 * Chocolate/oth preps with cocoa, ov 2kg but n/o 4.5 kg, o/65% by wt of sugar, desc in add US nte 3 to Ch. 17: subj. to Ch17 US note 8 Chocolate/oth preps with cocoa, ov 2kg but n/o 4.5 kg, o/65% by wt of sugar, desc in add US nte 3 to Ch.</w:t>
      </w:r>
    </w:p>
    <w:p>
      <w:pPr>
        <w:pStyle w:val="Normal"/>
      </w:pPr>
      <w:r>
        <w:t>17: not subj. to Ch17 US note 8 * Chocolate/oth preps with cocoa, ov 2kg but n/o 4.5 kg, o/65% by wt of sugar, neosi Chocolate/oth preps with cocoa, ov 2kg but n/o 4.5 kg, n/o 65% by wt of sugar, not in blocks 4.5 kg or more, subj to GN 15 Chocolate/oth preps with cocoa, ov 2kg but n/o 4.5 kg, (dairy prod. descr. in Ch.4 US note 1), n/o 65% sugar, subj to Ch.4 nte 10, not GN15 Chocolate/oth preps w/cocoa, o/2kg but n/o4.5 kg (dairy prod. of Ch4 US note 1), n/o 65% sugar, less th 21% milk solid, not GN15 * Chocolate/oth preps w/cocoa, o/2kg but n/o4.5 kg (dairy prod. of Ch4 US note 10), n/o 65% sugar, 21% or more milk solids, not GN15 * Low-fat chocoate crumb, n/o 65% by wt of sugar, ov 2kg but n/o 4.5 kg, subject to add US note 3 to Ch.</w:t>
      </w:r>
    </w:p>
    <w:p>
      <w:pPr>
        <w:pStyle w:val="Normal"/>
      </w:pPr>
      <w:r>
        <w:t>18, not GN15 Low-fat chocolate crumb, n/o 65% by wt of sugar, ov 2kg but n/o 4.5 kg, less than 21% milk solids, not GN15, not subj to ch 18 US note 3 * Low-fat chocolate crumb, n/o 65% by wt of sugar, 21% or more milk solids, not ov 2kg, not GN15, not subj to ch 18 US note 3 * Blended syrups w/chocolate or cocoa, o/2kg but n/o 4.5 kg, n/o 65% sugar, descr in Ch17 US note 4, subj. to Ch17 US note 9, not GN15 Blended syrups w/chocolate or cocoa, o/2kg but n/o 4.5 kg, n/o 65% sugar, descr in Ch 17 US note 4, not subj. to Cha7 US note 9, not GN15 * Chocolate and preps w/cocoa, nesoi, o/2kg but n/o 4.5 kg, n/o 65% sugar, desc in Ch17 US note 3, subj.</w:t>
      </w:r>
    </w:p>
    <w:p>
      <w:pPr>
        <w:pStyle w:val="Normal"/>
      </w:pPr>
      <w:r>
        <w:t>to Ch17 US note 8, not GN15 Chocolate and preps w/cocoa, neosi, o/2kg but n/o 4.5 kg, n/o 65% sugar, desc in Ch17 US note 3, not subj to Ch.17 US note 8, not GN15 * Chocolate and preps with cocoa, nesoi, ov 2kg but n/o 4.5 kg, n/o 65% sugar, nesoi Chocolate and other cocoa preparations, in blocks, slabs or bars, filled, not in bulk Chocolate, nt filled, in blocks/slabs/bars 2kg or less, subj. to GN15 Chocolate, nt filled, in blocks/slabs/bars 2kg or less, subj. to add US note 2 to Ch.</w:t>
      </w:r>
    </w:p>
    <w:p>
      <w:pPr>
        <w:pStyle w:val="Normal"/>
      </w:pPr>
      <w:r>
        <w:t>18 Chocolate, not filled, less than 21% milk solids, &gt;5.5% butterfat, in blocks/slabs/bars 2kg or less * Chocolate, not filled, 21% or more milk solids, &gt;5.5% butterfat, in blocks/slabs/bars 2kg or less * Chocolate, not filled, in blocks/slabs/bars 2kg or less, subj. to add US note 3 to Ch.</w:t>
      </w:r>
    </w:p>
    <w:p>
      <w:pPr>
        <w:pStyle w:val="Normal"/>
      </w:pPr>
      <w:r>
        <w:t>18 Chocolate, not filled, less than 21% milk solids, &lt;= 5.5% butterfat, in blocks/slabs/bars 2kg or less * Chocolate, not filled, 21% or more milk solids, &lt;=5.5% butterfat, in blocks/slabs/bars 2kg or less * Chocolate, not filled, w/o butterfat/milk solids, in blocks/slabs/bars 2kg or less Cocoa preps, not filled, in blocks, slabs or bars weighing 2 kg or less, subject to gen. note 15 of the HTS Cocoa preps, (dairy prod. of Ch4 US note 1), not filled, in blocks, slabs or bars, w/wt 2 kg or less, subj. to add.</w:t>
      </w:r>
    </w:p>
    <w:p>
      <w:pPr>
        <w:pStyle w:val="Normal"/>
      </w:pPr>
      <w:r>
        <w:t>US note 10 to Ch 4 Cocoa preps, (dairy prod. of Ch4 US note 1), less than 21% milk solids, not filled, in blocks/slabs/bars, 2 kg or less, not Ch.4 US nte 10 * Cocoa preps, (dairy prod. of Ch4 US note 1), 21% or more milk solids, not filled, in blocks/slabs/bars, 2 kg or less, not Ch.4 US nte 10 * Cocoa preps, not filled, in blocks, slabs or bars weighing 2kg or less, Cocoa preps, not in blocks/slabs/bars, subj. to gen. note 15 of the HTS Cocoa preps, (dairy prod. descr. in add US note 1 to Ch.4), not in blocks, slabs or bars, subj. to add.</w:t>
      </w:r>
    </w:p>
    <w:p>
      <w:pPr>
        <w:pStyle w:val="Normal"/>
      </w:pPr>
      <w:r>
        <w:t>US note 10 to Ch 4, not GN15 Cocoa preps, (dairy prod. descr. in add US note 1 to Ch.4), less than 21% milk solids, not in blocks, slabs or bars, not GN15 * Cocoa preps, (dairy prod. descr. in Ch4 US note 1), 21% or more milk solids, not in blocks, slabs or bars, not Ch4 USNote 10, not GN15 * Cocoa preps, o/5.5% butterfat by wt, not in blocks/slabs/bars, subj. to add US note 2 to Ch.</w:t>
      </w:r>
    </w:p>
    <w:p>
      <w:pPr>
        <w:pStyle w:val="Normal"/>
      </w:pPr>
      <w:r>
        <w:t>18, not GN15 Cocoa preps, o/5.5% butterfat by wt, w/less than 21% milk solids, not in blocks/slabs/bars, not GN15 * Cocoa preps, o/5.5% butterfat by wt, 21% or more milk solids, not in blocks/slabs/bars, not GN15 * Cocoa preps, cont. milk solids, n/o 5.5% butterfat by wt, not in blocks/slabs/bars, subj. to add US note 3 to Ch. 18, not GN15 Cocoa preps, cont. milk solids, n/o 5.5% butterfat by wt, w/less than 21% milk solids, not blocks/slabs/bars, not Ch18 US note 3, not GN15 * Cocoa preps, cont. milk solids, n/o 5.5% butterfat by wt, 21% or more milk solids, not in blocks/slabs/bars, not Ch18 US note 3, not GN15 * Blended syrups w/chocolate or cocoa, nesoi, described in add US note 4 to Ch.17: subj. to add US note 9 to Ch. 17, not GN15 Blended syrups w/chocolate or cocoa, nesoi, described in add US note 4 to Ch.17: not subj. to add US note 9 to Ch. 17, not GN15 * Chocolate and preps w/cocoa, nesoi, o/65% by dry wt of sugar, described in add US note 2 to Ch.17: subj.</w:t>
      </w:r>
    </w:p>
    <w:p>
      <w:pPr>
        <w:pStyle w:val="Normal"/>
      </w:pPr>
      <w:r>
        <w:t>to Ch17 US note 7, not GN15 Chocolate and preps w/cocoa, nesoi, o/65% by dry wt of sugar, described in add US note 2 to Ch.17: not subj to Ch17 US note 7, not GN15 * Chocolate and preps w/cocoa, nesoi, o/10% by dry wt of sugar, described in add US note 3 to Ch.17: subj to Ch17 US note 8, not GN15 Chocolate and preps w/cocoa, nesoi, o/10% by dry wt of sugar, described in add US note 3 to Ch.17: not subj to Ch17 US note 8, not GN15 * Chocolate and preps w/cocoa, nesoi, not put up for retail sale Preps for infant use, for retail sale, o/10% milk solids, subject to gen. note 15 Preps for infant use, infant formula containing Oligossaccharides and &gt;10% milk solid by weight, described in US note 2 Preps for infant use, infant formula containing Oligossaccharides and &gt; 10% milk solid by weight, nesoi * Pre[s for infant use containing &gt;10% milk solids, dairy products described in additional note 10 to chap:</w:t>
      </w:r>
    </w:p>
    <w:p>
      <w:pPr>
        <w:pStyle w:val="Normal"/>
      </w:pPr>
      <w:r>
        <w:t>provisional Preps for infant use, containing &gt;10% weight of milk solids, dairy products described in additional note 1 to chapter 4, nesoi * Preps for infant use, containing &gt;10% by weight of milk solids, nesoi Preps for infant use, nesoi, described in general note 15 of USHTS and entered pursuant to its provisions Preps for infant use, nesoi, containing Oligosaccharides described in additional US note 2: provisional Preps for infant use, nesoi, formula containing Oligosaccharides, nesoi * Preps for infant use, nesoi, dairy products described in additional US note 10 to chatper</w:t>
      </w:r>
    </w:p>
    <w:p>
      <w:pPr>
        <w:pStyle w:val="Normal"/>
      </w:pPr>
      <w:r>
        <w:t>4: provisional Preps for infant use, dairy products described in additional US note 1 to chapter 4 * Preps for infant use, nesoi Preps for young children, containing &gt;10% milk solids by weight, described in general note 15 of USHTS: provisional Preps suitable for young children, containing &gt;10% milk solids by weight, described in additional US note 10 to chapter 4 Preps for young children, dairy preps containing &gt; 10% by weight of milk solids, nesoi * Preps for young children, nesoi, described in general note 15: provisional Preps for young children, nesoi, described in additional US note 10 to chapter 4 Preps for young children, nesoi * Preps for young children, other excl dairy, described in general note 15 of USHTS and entered pursuant to its provisions Preps for young children, nesoi, described in additional US note 8 to chapter 17 and entered pursuant to its provisions Preps for young children, nesoi, containing &gt;10% by dry weight of sugar described in additional US note 3 to Chapter 17:</w:t>
      </w:r>
    </w:p>
    <w:p>
      <w:pPr>
        <w:pStyle w:val="Normal"/>
      </w:pPr>
      <w:r>
        <w:t>provisional * Preps for young children, nesoi Mixes for bakers wares, o/25% butterfat, not retail, subject to gen. note 15 of the HTS Mixes for bakers wares (dairy prod. of Ch4 US note 1), o/25% by wt butterfat, not retail, subj. to add.</w:t>
      </w:r>
    </w:p>
    <w:p>
      <w:pPr>
        <w:pStyle w:val="Normal"/>
      </w:pPr>
      <w:r>
        <w:t>US nte 10 to Ch.4, not GN15 Mixes for bakers wares (dairy prod. of Ch4 US note 1), o/25% by wt butterfat, not retail, not subj. to add.</w:t>
      </w:r>
    </w:p>
    <w:p>
      <w:pPr>
        <w:pStyle w:val="Normal"/>
      </w:pPr>
      <w:r>
        <w:t>US nte 10 to Ch.4, not GN15 * Mixes for bakers wares, o/65% sugar, o/25% bf, not retail, descr in add US note 2 to Ch. 17: subj. to add. US nte 7 to Ch.17, not GN15 Mixes and doughs for the prep of bakers wares of heading 1905, containing over 25% by weight of butterfat, not put up for retail sale, nesoi * Mixes for bakers wares, o/25% bf, not retail, descr in add US note 1 to Ch. 19: subj. to add. US nte 3 to Ch.19, not GN15 Mixes for bakers wares, o/25% bf, not retail, descr in add US note 1 to Ch. 19: not subj. to add. US nte 3 to Ch.19, not GN15 * Mixes for bakers wares, o/25% bf, not retail, nesoi Mixes for bakers wares, n/o 25% bf, not retail, subject to gen. note 15 of the HTS Mixes for bakers wares (dairy prod. of Ch4 US note 1), n/o 25% bf, not retail, subj. to add.</w:t>
      </w:r>
    </w:p>
    <w:p>
      <w:pPr>
        <w:pStyle w:val="Normal"/>
      </w:pPr>
      <w:r>
        <w:t>US nte 10 to Ch.4, not GN15 Mixes for bakers wares (dairy prod. of Ch4 US note 1), n/o 25% bf, not retail, not subj. to add. US nte 10 to Ch.4, not GN15 * Mixes for bakers wares, o/65% sugar, n/o 25% bf, not retail, descr in add US note 2 to Ch. 17: subj. to Ch17 US nte 7, not GN15 Mixes for bakers wares, o/65% sugar, n/o 25% bf, not retail, descr in add US note 2 to Ch. 17: not subj. to Ch17 US nte 7, not GN15 * Mixes for bakers wares, n/o 25% bf, not retail, descr in add US note 1 to Ch. 19: subj. to add. US nte 3 to Ch.19, not GN15 Mixes for bakers wares, n/o 25% bf, not retail, descr in add US note 1 to Ch. 19: not subj. to add.</w:t>
      </w:r>
    </w:p>
    <w:p>
      <w:pPr>
        <w:pStyle w:val="Normal"/>
      </w:pPr>
      <w:r>
        <w:t>US nte 3 to Ch.19, not GN15 * Mixes for bakers wares, n/o 25% bf, not retail, nesoi Malt extract, fluid Malt extract, solid or condensed Puddings, ready for immediate consumption without further preparation Dry mix. w/less than 31% bf &amp; 17.5% or more sodium caseinate, bf, whey solids o/5.5% b’fat &amp; dry whole milk, n/cntng dry milk/whey/b’fat Cajeta not made from cow’s milk Margarine cheese subject to gen. note 15 of the HTS and entered pursuant to its provisions Margarine cheese subject to add. US note 23 to Ch. 4 and entered pursuant to its provisions Margarine cheese not subject to gen. note 15 or add US note 23 to Ch.</w:t>
      </w:r>
    </w:p>
    <w:p>
      <w:pPr>
        <w:pStyle w:val="Normal"/>
      </w:pPr>
      <w:r>
        <w:t>4 * Malted milk described in general note 15 of USHTS and entered pursuant to its provisions Malted milk described in additional US note 10 to chapter 4: provisional Malted milk containing &gt;10% by weight of milk solids, nesoi * Articles of milk or cream, nesoi, preps containing &gt;10% by weight of milk solids, described in general note 15: provisional Articles of milk or cream, nesoi, preps containing &gt;10% by weight of milk solids, described in additional US note 10 to chapter 4 Articles of milk or cream, nesoi, preps containing &gt;10% by weight of milk solids, nesoi * Malted milk, nesoi, described in general note 15 of USHTS and entered pursuant to its provisions Articles of milk or cream, nesoi, containing &gt;65% by dry weight of sugar described in additional US note 7 to Chapter 17: provisional Articles of milk or cream, nesoi, containing &gt;65% by dry weight of</w:t>
      </w:r>
    </w:p>
    <w:p>
      <w:pPr>
        <w:pStyle w:val="Normal"/>
      </w:pPr>
      <w:r>
        <w:t>sugar described in additional US note 2 to Chapter 17: provisional * Articles of milk or cream, nesoi, described I n additional US note 8 to chapter 17 and entered pursuant to its provisions Articles of milk or cream, nesoi, containing &gt;10% by dry weight of sugar described in additional US note 3 to chapter 17:</w:t>
      </w:r>
    </w:p>
    <w:p>
      <w:pPr>
        <w:pStyle w:val="Normal"/>
      </w:pPr>
      <w:r>
        <w:t>provisional * Food preps, nesoi, containing &gt;5.5% by weight of butterfat and not packaged for retail sale, nesoi Flour-, meal-, starch-, malt extract- or dairy-based food preps not containing cocoa and not containing specific amounts of dairy, nesoi Uncooked pasta, not stuffed or otherwise prepared, containing eggs, exclusively pasta Uncooked pasta, not stuffed or otherwise prepared, containing eggs, nesi, including pasta packaged with sauce preparations Uncooked pasta, not stuffed or otherwise prepared, not containing eggs, exclusively pasta Uncooked pasta, not stuffed or otherwise prepared, not containing eggs, nesi, including pasta packaged with sauce preparations Stuffed pasta, whether or not cooked or otherwise prepared Pasta nesi Couscous, whether or not prepared Tapioca and substitutes prepared from arrowroot, cassava or sago, in the form of flakes, grains, pearls, siftings or in similar forms Tapioca and substitutes, prepared from starch nesi, in the form of flakes, grains, pearls, siftings or in similar forms Prepared foods obtained by the swelling or roasting of cereals or cereal products Prep food in airtght cont.,of unroast cereal flake/mixture of</w:t>
      </w:r>
    </w:p>
    <w:p>
      <w:pPr>
        <w:pStyle w:val="Normal"/>
      </w:pPr>
      <w:r>
        <w:t>unroasted/roasted cereal flake/swelled cereal,no apricot/citrus/peach/pear Prepared foods obtained from unroasted cereal flakes or from mixtures of unroasted and roasted cereal flakes or swelled cereals, nesoi Bulgur wheat, in grain form or in form of flakes or other worked grain (except flour,groats &amp; meal), pre-cooked or otherwise prepared, nesoi Cereals,other than corn,in grain form or form flakes or other worked grain (not flour,groat &amp; meal), pre-cooked or otherwise prepared, nesoi Crispbread Gingerbread and the like Sweet biscuits Waffles and wafers Rusks, toasted bread and similar toasted products Bread, pastry, cake, biscuit and similar baked products nesi, and puddings whether or not containing chocolate, fruit, nuts or confectionery Bakers’ wares communion wafers, empty capsules suitable for pharmaceutical use, sealing wafers, rice paper and similar products, nesi Cucumbers including gherkins, prepared or preserved by vinegar or acetic acid Capers, prepared or preserved by vinegar or acetic acid, in immediate containers holding more than 3.4 kg Capers, prepared or preserved by vinegar or acetic acid, nesi Artichokes, prepared or preserved by vinegar or acetic</w:t>
      </w:r>
    </w:p>
    <w:p>
      <w:pPr>
        <w:pStyle w:val="Normal"/>
      </w:pPr>
      <w:r>
        <w:t>acid Beans, prepared or preserved by vinegar or acetic acid Nopalitos, preserved by vinegar Onions, prepared or preserved by vinegar or acetic acid Pimientos, prepared or preserved by vinegar or acetic acid Vegetables (including olives) nesoi, prepared or preserved by vinegar or acetic acid Chestnuts, prepared</w:t>
      </w:r>
    </w:p>
    <w:p>
      <w:pPr>
        <w:pStyle w:val="Normal"/>
      </w:pPr>
      <w:r>
        <w:t>or preserved by vinegar or acetic acid Mangoes, prepared or preserved by vinegar or acetic acid Chinese water chestnuts, prepared or preserved by vinegar or acetic acid Walnuts, prepared or preserved by vinegar or acetic acid Fruits, nuts, and other edible parts of plants, nesi, prepared or preserved by vinegar or acetic acid Tomatoes, whole or in pieces, prepared or preserved otherwise than by vinegar or acetic acid Tomato prep/pres ex by vinegar/acetic acid, powder Tomatoes prepared or preserved otherwise than by vinegar or acetic acid, nesoi Mushrooms of the genus Agaricus, prepared or preserved otherwise than by vinegar or acetic acid Truffles Mushrooms other than of the genus Agaricus or truffles, prepared or preserved otherwise than by vinegar or acetic acid Yellow (Solano) potatoes, prepared or preserved otherwise than by vinegar or acetic acid, frozen Potatoes (not Solano), prepared or preserved otherwise than by vinegar or acetic acid, frozen Antipasto, prepared or preserved otherwise than by vinegar or acetic acid, frozen Beans, prepared or preserved otherwise than by vinegar</w:t>
      </w:r>
    </w:p>
    <w:p>
      <w:pPr>
        <w:pStyle w:val="Normal"/>
      </w:pPr>
      <w:r>
        <w:t>or acetic acid, frozen Vegetables and mixtures of vegetables, nesoi, prepared or preserved other than by vinegar or acetic acid, frozen, not preserved by sugar Homogenized vegetables, prepared or preserved otherwise than by vinegar or acetic acid, not frozen Potato preparations, prepared or preserved otherwise than by vinegar or acetic acid, not frozen Peas, prepared or preserved otherwise</w:t>
      </w:r>
    </w:p>
    <w:p>
      <w:pPr>
        <w:pStyle w:val="Normal"/>
      </w:pPr>
      <w:r>
        <w:t>than by vinegar or acetic acid, not frozen Black-eye cowpeas, shelled, prepared or preserved otherwise than by vinegar or acetic acid, not frozen Beans other than black-eye cowpeas, shelled, prepared or preserved otherwise than by vinegar or acetic acid, not frozen Beans, not shelled, prepared or preserved otherwise than by vinegar or acetic acid, not frozen Asparagus, prepared or preserved otherwise than by vinegar or acetic acid, not frozen Olives, green, not pitted, in saline, ripe, in containers holding 13 kg or less, aggregate quantity not to exceed 730 m ton/yr Olives, green, not pitted, in saline, ripe, in containers holding 13 kg or less, aggregate quantity exceeding 730 m ton/yr Olives, green, not pitted, in saline, not ripe, in containers holding o/8 kg for repkg, subject to add. US note 4 to Ch. 20 Olives, green, not pitted, in saline, not ripe, in containers holding o/8 kg for repkg, not subject to add. US note 4 to Ch.</w:t>
      </w:r>
    </w:p>
    <w:p>
      <w:pPr>
        <w:pStyle w:val="Normal"/>
      </w:pPr>
      <w:r>
        <w:t>20 Olives, green, not pitted, in saline, not ripe Olives, green, in saline, place packed, stuffed, in containers holding n/o 1 kg, aggregate quantity n/o 2700 m ton/yr Olives, green, in saline, place packed, stuffed, in containers holding n/o 1 kg, aggregate quantity o/2700 m ton/yr Olives, green, in saline, place packed, stuffed, not in containers holding 1 kg or less Olives, green, in a saline solution, pitted or stuffed, not place packed Olives (not green), in a saline solution, canned, not pitted Olives (not green), in a saline solution, canned, pitted Olives (not green), in a saline solution, in airtight containers of glass or metal but not canned Olives (not green), in a saline solution, not canned, nesi Olives, green, container less 13 kg, quota of 550 m tons/year, prepared or preserved otherwise than by vinegar/acetic acid, not in saline Olives, green, container less than 13 kg, exceed 550 m tons/year, prepared or preserved otherwise than by vinegar/acetic acid, not in saline Olives, prepared or preserved otherwise than by</w:t>
      </w:r>
    </w:p>
    <w:p>
      <w:pPr>
        <w:pStyle w:val="Normal"/>
      </w:pPr>
      <w:r>
        <w:t>vinegar, acetic acid or saline soln, not frozen, nesoi Sweet corn, prepared or preserved otherwise than by vinegar, acetic acid or sugar, not frozen Bamboo shoots in airtight containers, prepared or preserved otherwise than by vinegar or acetic acid, not frozen, not preserved by sugar Bamboo shoots, not in airtight containers, prepared or preserved otherwise than by vinegar or acetic acid, not frozen, not preserved by sugar Carrots in airtight</w:t>
      </w:r>
    </w:p>
    <w:p>
      <w:pPr>
        <w:pStyle w:val="Normal"/>
      </w:pPr>
      <w:r>
        <w:t>containers, prepared or preserved otherwise than by vinegar, acetic acid or sugar, not frozen Onions, prepared or preserved otherwise than by vinegar or acetic acid, not frozen Sauerkraut, prepared or preserved otherwise than by vinegar or acetic acid, not frozen Whole or Sliced water chestnuts, other than Chinese water chestnuts, prepared or preserved otherwise than by vinegar or acetic acid or sugar Pimientos, prepared or preserved otherwise than by vinegar or acetic acid, not frozen Fruits of the genus Capsicum or Pimenta, not pimientos, prepared or preserved otherwise than by vinegar or acetic acid, not frozen Artichokes, prepared or preserved otherwise than by vinegar or acetic acid, not frozen Chickpeas (garbanzos), prepared or preserved otherwise than by vinegar or acetic acid, not frozen Vegetables nesoi,&amp; mixtures of vegetables,prepared or preserved otherwise than by vinegar or acetic acid, not frozen, not preserved by sugar Cherries, preserved by sugar (drained, glace or crystallized) Ginger root, preserved by sugar (drained, glace or crystallized) Pineapples, preserved by sugar (drained, glace or crystallized) Mixtures of</w:t>
      </w:r>
    </w:p>
    <w:p>
      <w:pPr>
        <w:pStyle w:val="Normal"/>
      </w:pPr>
      <w:r>
        <w:t>vegetables, fruit, nuts, fruit-peel or other parts of plants, preserved by sugar (drained, glace or crystallized) Citrus fruit or peel of citrus or other fruit, except mixtures, preserved by sugar (drained, glace or crystallized) Fruit nesi, and nuts, except mixtures, preserved by sugar (drained, glace or crystallized) Vegetables and parts of</w:t>
      </w:r>
    </w:p>
    <w:p>
      <w:pPr>
        <w:pStyle w:val="Normal"/>
      </w:pPr>
      <w:r>
        <w:t>plants, nesoi, preserved by sugar (drained, glace or crystallized), except mixtures, Homogenized cooked preparations of fruit put up for retail sale as infant food or for dietetic purposes, in cont. not over 250 grams, net Citrus fruit pastes and purees, being cooked preparations Orange marmalade Citrus jams, fruit jellies, and marmalades (other than orange) Lingonberry and raspberry jams Strawberry jam Currant and other berry jams, nesi Apricot jam Cherry jam Guava jam Peach jam Pineapple jam Jams, nesi Apple, quince and pear pastes and purees, being cooked preparations Guava and mango pastes and purees, being cooked preparations Papaya pastes and purees, being cooked preparations Strawberry pastes and purees, being cooked preparations Fruit pastes and purees, nesi, and nut pastes and purees, being cooked preparations Currant and berry fruit jellies Fruit jellies, other than currant and berry Peanut butter and paste, subject to gen. note 15 of the HTS Peanut butter and paste, subject to add. US note 5 to Ch.</w:t>
      </w:r>
    </w:p>
    <w:p>
      <w:pPr>
        <w:pStyle w:val="Normal"/>
      </w:pPr>
      <w:r>
        <w:t>20, not GN15 Peanut butter and paste, nesoi, not subject to gen note 15 or add US note 5 to Ch. 20 * Blanched peanuts, subject to gen. note 15 of the HTS Blanched peanuts, subject to add. US note 2 to Ch. 12, not GN15 Blanched peanuts, nesoi, not subject to gen note 15 or add US note 2 to Ch. 12 * Peanuts, otherwise prepared or preserved, nesoi, subject to gen. note 15 of the HTS Peanuts, otherwise prepared or preserved, nesoi, subject to add. US note 2 to chap.</w:t>
      </w:r>
    </w:p>
    <w:p>
      <w:pPr>
        <w:pStyle w:val="Normal"/>
      </w:pPr>
      <w:r>
        <w:t>12, not GN15 Peanuts, otherwise prepared or preserved, nesoi, not subject to gen note 15 or add US note 2 to Ch.</w:t>
      </w:r>
    </w:p>
    <w:p>
      <w:pPr>
        <w:pStyle w:val="Normal"/>
      </w:pPr>
      <w:r>
        <w:t>12 * Brazil nuts and cashew nuts, otherwise prepared or preserved, nesi Coconuts, otherwise prepared or preserved, nesi Filberts, otherwise prepared or preserved, nesi Pecans, otherwise prepared or preserved, nesi Pignolia and pistachio nuts, otherwise prepared or preserved, nesi Almonds, otherwise prepared or preserved, nesi Watermelon seeds, otherwise prepared or preserved, nesi Mixtures of nuts or other seeds otherwise prepared or preserved, nesi Other nuts and seeds nesi, excluding mixtures, otherwise prepared or preserved, nesi Pineapples, otherwise prepared or preserved, nesi Peel of oranges, mandarins, clementines, wilkings and similar citrus hybrids, otherwise prepared or preserved, nesi Peel of lemons, otherwise prepared or preserved, nesi Peel of citrus fruit, nesi, otherwise prepared or preserved, nesi Orange pulp, otherwise prepared or preserved, nesi Citrus fruit pulp other than orange, otherwise prepared or preserved, nesi Oranges (other than peel or pulp), otherwise prepared or preserved, nesi Satsumas, prepared or preserved, in airtight containers, aggregate quantity n/o 40,000 metric tons/calandar yr Satsumas, prepared or preserved, in airtight containers, aggregate quantity o/40,000 metric tons/calandar yr Mandarins (other than satsuma), prepared or preserved, nesoi Clementines, wilkings and similar citrus hybrids (other than peel or pulp),</w:t>
      </w:r>
    </w:p>
    <w:p>
      <w:pPr>
        <w:pStyle w:val="Normal"/>
      </w:pPr>
      <w:r>
        <w:t>otherwise prepared or preserved, nesi Lemons (other than peel or pulp), otherwise prepared or preserved, nesi Limes (other than peel or pulp), otherwise prepared or preserved, not elsewhere specified or included Grapefruit (other than peel or pulp), otherwise prepared or preserved, nesi Kumquats (other than peel or pulp), otherwise prepared or preserved, nesi Citron (other than peel or pulp), otherwise prepared or preserved, nesi Citrus fruit nesoi (including bergamots), other than peel or pulp, otherwise prepared or preserved, nesoi Pears, otherwise prepared or preserved, nesi Apricot pulp, otherwise prepared or preserved, nesi Apricots, other than pulp, otherwise prepared or preserved, nesi Cherries, otherwise prepared or preserved, nesi Nectarines, otherwise prepared or preserved, not elsewhere specified or included Peaches (excluding nectarines), otherwise prepared or preserved, not elsewhere specified or included Strawberries, otherwise prepared or preserved, nesi Palm hearts, otherwise prepared or preserved, nesi Cranberries Mixtures of fruit or edible parts of plants, in airtight cont. excl. apricots, citrus, peaches or pears (incl.</w:t>
      </w:r>
    </w:p>
    <w:p>
      <w:pPr>
        <w:pStyle w:val="Normal"/>
      </w:pPr>
      <w:r>
        <w:t>canned tropical fruit salad) Mixtures of fruit or other edible parts of plants, otherwise prepared or preserved, nesi (excluding tropical fruit salad) Apples, otherwise prepared or preserved, nesi Avocados, otherwise prepared or preserved, nesi Banana pulp, otherwise prepared or preserved, nesi Bananas, other than pulp, otherwise prepared or preserved, nesi Blueberries, otherwise prepared or preserved, nesi. Berries, other than cranberries, blueberries and strawberries, otherwise prepared or preserved, nesi Cashew apples, mameyes colorados, sapodillas, soursops and sweetsops, otherwise prepared or preserved, nesi Dates, otherwise prepared or preserved, nesi Figs, otherwise prepared or preserved, nesi Grapes, otherwise prepared or preserved, nesi Guavas, otherwise prepared or preserved, nesi Lychees and longans, otherwise prepared or preserved, nesi Mangoes, otherwise prepared or preserved, nesi Papaya pulp, otherwise prepared or preserved, nesi Papayas, other than pulp, otherwise prepared or preserved, nesi Plums (including prune plums and sloes), otherwise prepared or preserved, nesi Soybeans, otherwise prepared or preserved, nesi Sweet ginger, otherwise prepared or preserved, nesi Yucca, otherwise prepared or preserved, nesi Chinese water chestnuts, otherwise prepared or preserved, frozen, not elsewhere specified or included Chinese water chestnuts, otherwise prepared or preserved, not frozen, not elsewhere specified or included Pulp of fruit nesi, and other edible parts</w:t>
      </w:r>
    </w:p>
    <w:p>
      <w:pPr>
        <w:pStyle w:val="Normal"/>
      </w:pPr>
      <w:r>
        <w:t>of plants nesi, excluding mixtures, otherwise prepared or preserved, nesi Bean cake, bean stick, miso, other fruit, nuts and other edible parts of plans, prepared or preserved Orange juice, frozen, unfermented and not containing added spirit Orange juice, not frozen, Brix value not exceed 20, not concentrate &amp; not made from juice degree concentration of 1.5 or &gt;, unfermented Orange juice, not frozen, of a Brix value not exceeding 20, concentrated, unfermented Orange juice, not frozen, of a Brix value exceeding 20, unfermented Grapefruit juice, Brix value not exceeding 20, not concentrated and not made from a juice degree of concentration of 1.5 or &gt;, unfermented Grapefruit juice, of a Brix value not exceeding 20, concentrated, unfermented Grapefruit juice, of a Brix value exceeding 20, unfermented Lime juice, of a Brix value not exceeding 20, unfit for beverage purposes, unfermented Lime juice, of a Brix value not exceeding 20, fit for beverage purposes, unfermented Citrus juice of any single citrus fruit (other than orange, grapefruit or lime), Brix value not</w:t>
      </w:r>
    </w:p>
    <w:p>
      <w:pPr>
        <w:pStyle w:val="Normal"/>
      </w:pPr>
      <w:r>
        <w:t>exceeding 20, not concentrated, unfermented Citrus juice of any single citrus fruit (other than orange, grapefruit or lime), of a Brix value not exceeding 20, concentrated, unfermented Lime juice, of a Brix value exceeding 20, unfit for beverage purposes, unfermented Lime juice, of a Brix value exceeding 20, fit for beverage purposes, unfermented Citrus juice of any single citrus fruit (other than orange, grapefruit or</w:t>
      </w:r>
    </w:p>
    <w:p>
      <w:pPr>
        <w:pStyle w:val="Normal"/>
      </w:pPr>
      <w:r>
        <w:t>lime), of a Brix value exceeding 20, unfermented Pineapple juice, of a Brix value not exceeding 20, not concentrated, or not having a degree of concentration of &gt; 3.5, unfermented Pineapple juice, of a Brix value not exceeding 20, concentrated (in degree of concentration greater than 3.5), unfermented Pineapple juice, of a Brix value exceeding 20, not concentrated, or not having a degree of concentration of &gt; 3.5, unfermented Pineapple juice, of a Brix value exceeding 20, concentrated (in degree of concentration greater than 3.5) Tomato juice, concentrated or not concentrated Grape juice (including grape must), of a Brix value not exceeding 30, unfermented Grape juice (including grape must), of a Brix value exceeding 30, unfermented Apple juice, of a Brix value not exceeding 20, unfermented Apple juice, of a Brix value exceeding 20, unfermented Cranberry juice, concentrated or not concentrated Pear juice, concentrated or not concentrated Prune juice, concentrated or not concentrated Juice of any other single fruit, nesi, (including cherries and berries), concentrated or not concentrated Juice of</w:t>
      </w:r>
    </w:p>
    <w:p>
      <w:pPr>
        <w:pStyle w:val="Normal"/>
      </w:pPr>
      <w:r>
        <w:t>any single vegetable, other than tomato, concentrated or not concentrated Mixtures of vegetable juices, concentrated or not concentrated Mixtures of fruit juices, or mixtures of vegetable and fruit juices, concentrated or not concentrated Instant coffee, not flavored Extracts, essences and concentrates of coffee other than unflavored instant coffee Preparations with a basis of</w:t>
      </w:r>
    </w:p>
    <w:p>
      <w:pPr>
        <w:pStyle w:val="Normal"/>
      </w:pPr>
      <w:r>
        <w:t>extracts, essences or concentrates or with a basis of coffee, subject to general note 15 (outside quota) Blend syrup (Ch17 add US note 4) preparation w/basis of extract,essence or concentrate or w/basis of coffee,subj. quota of Ch17 add US nte 9 Blend syrup (Ch17 add US note 4) preparation w/basis of extract, essence or concentrate or w/ basis of coffee, over Ch17 add US note 9 quota * Preparation ov 65% sugar (Ch17 add US nte 2) w/basis of extract,essence or concentrate or w/basis of coffee,subj. quota of Ch17 add US nte 7 Preparation ov 65% sugar (Ch17 add US note 2) w/ basis of extract, essence or concentrate or w/ basis of coffee, ov Ch17 add US note 9 quota * Preparation ov 10% sugar (Ch17 add US nte 3) w/basis of extract,essence or concentrate or w/basis of coffee,subj.</w:t>
      </w:r>
    </w:p>
    <w:p>
      <w:pPr>
        <w:pStyle w:val="Normal"/>
      </w:pPr>
      <w:r>
        <w:t>quota of Ch17 add US nte 8 Preparation ov 10% sugar (Ch17 add US note 3) w/ basis of extract, essence or concentrate or w/ basis of coffee, ov Ch17 add US note 8 quota * Preparations nesoi, with a basis of extracts, essences or concentrates or with a basis of coffee Extracts, essences or concentrates of tea or mate Preparations with a basis of extracts, essences or concentrates or with a basis of tea or mate, subject to general note 15 (outside quota) Blend syrup (Ch17 add US nte 4) preparation w/basis extract/essence/concentrate or w/basis of tea or mate,subj.</w:t>
      </w:r>
    </w:p>
    <w:p>
      <w:pPr>
        <w:pStyle w:val="Normal"/>
      </w:pPr>
      <w:r>
        <w:t>quota of Ch17 add US nte 9 Blend syrup (Ch17 add US note 4) preparation w/basis of extract/essence/concentrate or w/basis of tea or mate, over Ch17 add US note 9 quota * Preparation ov 65% sugar (Ch17 add US nte 2) w/basis extract/essence/concentrate or w/basis of tea or mate,subj. quota of Ch17 add US note 7 Preparation ov 65% sugar (Ch17 add US note 2) w/basis of extract/essence/concentrate or w/basis of tea or mate, ov Ch17 add US note 9 quota * Preparation ov 10% sugar (Ch17 add US nte 3) w/basis extract/essence/concentrate or w/basis of tea or mate,subj.</w:t>
      </w:r>
    </w:p>
    <w:p>
      <w:pPr>
        <w:pStyle w:val="Normal"/>
      </w:pPr>
      <w:r>
        <w:t>quota of Ch17 add US note 8 Preparation ov 10% sugar (Ch17 add US note 3) w/basis of extract/essence/concentrate or w/basis of tea or mate, ov Ch17 add US note 8 quota * Preparations nesoi, with a basis of extracts, essences or concentrates or with a basis of tea or mate Roasted chicory and other roasted coffee substitutes and extracts, essences and concentrates thereof Active yeasts Inactive yeasts (except dried brewers’ yeast) Dried brewers’ yeast, crude Single-cell micro-organisms, dead, excluding yeasts, (but not including vaccines of heading 3002) Prepared baking powders Soy sauce Tomato ketchup Tomato sauces, nesi Mustard flour and meal Prepared mustard Sauces derived or prepared from fish Nonalcoholic preparations of yeast extract (other than sauces) Mixed condiments and mixed seasonings (described in add US note 3 to Ch.</w:t>
      </w:r>
    </w:p>
    <w:p>
      <w:pPr>
        <w:pStyle w:val="Normal"/>
      </w:pPr>
      <w:r>
        <w:t>21), subject to gen.</w:t>
      </w:r>
    </w:p>
    <w:p>
      <w:pPr>
        <w:pStyle w:val="Normal"/>
      </w:pPr>
      <w:r>
        <w:t>note 15 of the HTS Mixed condiments and mixed seasonings (described in add US note 3 to Ch. 21), subject to add. US note 8(a) to Ch.17, not GN15 Mixed condiments and mixed seasonings (described in add US note 3 to Ch. 21), not subject to gen note 15 or add. US note 8(a) to Ch.17 * Mixed condiments and mixed seasonings, not described in add US note 3 to Ch. 21 Sauces and preparations therefor, neosi Soups and broths and preparations therefor Homogenized composite food preps put up for retail sale for infants or for dietectic purposes Homogenized composite food preps put up for retail sale for young children Ice cream, whether or not w/cocoa, subject to gen. note 15 of the HTS Ice cream, whether or not w/cocoa, subject to add. US note 5 to Ch. 21, not GN15 Ice cream, whether or not containing cocoa, not subject to gen note 15 or add. US note 5 to Ch.21 * Edible ice (dairy prod. described in add US note 1 to Ch.</w:t>
      </w:r>
    </w:p>
    <w:p>
      <w:pPr>
        <w:pStyle w:val="Normal"/>
      </w:pPr>
      <w:r>
        <w:t>4), subject to gen note 15 of the HTS Edible ice (dairy prod. described in add US note 1 to Ch. 4), subject to add US note 10 to Ch. 4, not GN15 Edible ice except ice cream, dairy products described in add’l U.S. note 1 to chap. 4, nesoi * Edible ice, except ice cream, not described in add US note 1 to Ch. 4, nesoi Protein concentrates and textured protein substances Food preps, nesoi, n/o 5.5% bf, mixed w/other ingred. if o/16% milk solids capable of being further proc., subj. to GN15 Food preps, nesoi, n/o 5.5% bf, mixed w/other ingred.</w:t>
      </w:r>
    </w:p>
    <w:p>
      <w:pPr>
        <w:pStyle w:val="Normal"/>
      </w:pPr>
      <w:r>
        <w:t>if o/16% milk solids capable of being further proc., subj. to Ch4 US nte 10, not GN15 Food preps, nesoi, n/o 5.5% b’fat, mixed w/other ingredi., if o/16% milk solids by wt, capable of being further proc, bulk, nesoi, not GN15 * Compound alcoholic preparations of a kind used for the manufacture of beverages, over 20% weight alcohol but not over 0.5% vol alcohol Compound alcoholic preparations used in the manufacture of beverages, cont. over 20% not over 50% of alcohol by weight Compound alcoholic preparations of a kind used for the manufacture of beverages, containing over 50% of alcohol by weight Butter substitutes o/10% by wt of milk solids, o/45% butterfat, subject to gen. note 15 to the HTS Butter substitutes o/10% by wt of milk solids, o/45% butterfat, subject to add US note 14 to Ch.4, not GN15 Butter substitutes o/10% by wt of milk solids, o/45% butterfat, not subject to gen note 15 or add US note 14 to Ch.4 * Butter substitutes o/10% by wt of milk solids, n/o 45% butterfat, neosi Butter substitutes n/o 10% by wt of milk solids, o/45% butterfat, subject to gen.</w:t>
      </w:r>
    </w:p>
    <w:p>
      <w:pPr>
        <w:pStyle w:val="Normal"/>
      </w:pPr>
      <w:r>
        <w:t>note 15 to the HTS Butter substitutes n/o 10% by wt of milk solids, o/45% butterfat, subject to add US note 14 to Ch.4, not GN15 Butter substitutes n/o 10% by wt of milk solids, o/45% butterfat, not subject to gen note 15 or add US note 14 to Ch.4 * Butter substitutes n/o 10% by wt of milk solids, n/o 45% butterfat, neosi Artificially sweetened cough drops Syrups from cane/beet sugar, neosi, w/added coloring but not added flavoring, subject to gen. note 15 of the HTS Syrups from cane/beet sugar, neosi, w/added coloring but not added flavoring, subject to add US note 5 to Ch. 17, not GN15 Syrups from cane/beet sugar, neosi, w/added coloring but not added flavoring, not subject to gen note 15 or add US note 5 to Ch.</w:t>
      </w:r>
    </w:p>
    <w:p>
      <w:pPr>
        <w:pStyle w:val="Normal"/>
      </w:pPr>
      <w:r>
        <w:t>17 * Orange juice, fortified with vitamins or minerals Juice of any single fruit or vegetables juices (o/t orange), concentrated, fortified with vitamins or minerals Mixtures of fruit or vegetable juices, fortified with vitamins or minerals, nesoi, mixtures of juices in concentrated form Food preparations of gelatin, neosi Food preps, nesoi, o/10% by wt of milk solids, subject to gen. note 15 of the HTS Food preps, nesoi, o/10% by wt of milk solids, dairy prods, descr. in add US note 1 to Ch.4: subject to add US note 10 to Ch.4, not GN15 Food preps, nesoi, o/10% by wt of milk solids, dairy prods, descr. in add US note 1 to Ch.4: not subject to Ch4 US note 10, not GN15 * Blended syrups, neosi, o/10% milk solids, descr.</w:t>
      </w:r>
    </w:p>
    <w:p>
      <w:pPr>
        <w:pStyle w:val="Normal"/>
      </w:pPr>
      <w:r>
        <w:t>in add US note 4 to Ch 17: subject to add US note 9 to Ch. 17, not GN15 Blended syrups, neosi, o/10% milk solids, descr. in add US note 4 to Ch 17: not subject to add US note 9 to Ch. 17, not GN15 * Food preps, nesoi, o/10% milk solids, o/65% sugar, descr. in add US note 2 to Ch.17, subject to add US note 7 to Ch. 17, not GN15 Food preps, nesoi, o/10% milk solids, o/65% sugar, descr. in add US note 2 to Ch.17, not subject to add US note 7 to Ch. 17, not GN15 * Food preps, nesoi, o/10% milk solids, o/10% sugar, descr. in add US note 3 to Ch.17, subject to add US note 8 to Ch. 17, not GN15 Food preps, nesoi, o/10% milk solids, o/10% sugar, descr. in add US note 3 to Ch.17, not subject to add US note 8 to Ch.</w:t>
      </w:r>
    </w:p>
    <w:p>
      <w:pPr>
        <w:pStyle w:val="Normal"/>
      </w:pPr>
      <w:r>
        <w:t>17, not GN15 * Food preps, nesoi, o/10% milk solids, neosi Food preps, nesoi, n/o 10% by wt of milk solids, subject to gen. note 15 of the HTS Food preps, nesoi, n/o 10% by wt of milk solids, dairy prods, descr. in add US note 1 to Ch.4: subject to add US note 10 to Ch.4, not GN15 Food preps, nesoi, n/o 10% by wt of milk solids, dairy prods, descr. in add US note 1 to Ch.4: n/subject to add US note 10 to Ch. 4, n/GN15 * Blended syrups, neosi, n/o 10% milk solids, descr. in add US note 4 to Ch 17: subject to add US note 9 to Ch. 17, not GN15 Blended syrups, neosi, n/o/10% milk solids, descr. in add US note 4 to Ch 17: not subject to add US note 9 to Ch. 17, not GN15 * Food preps, nesoi, n/o 10% milk solids, o/65% sugar, descr.</w:t>
      </w:r>
    </w:p>
    <w:p>
      <w:pPr>
        <w:pStyle w:val="Normal"/>
      </w:pPr>
      <w:r>
        <w:t>in add US note 2 to Ch.17, subject to add US note 7 to Ch. 17, not GN15 Food preps, nesoi, n/o 10% milk solids, o/65% sugar, descr. in add US note 2 to Ch.17, not subject to add US note 7 to Ch. 17, not GN15 * Food preps, nesoi, n/o 10% milk solids, o/10% sugar, descr. in add US note 3 to Ch.17, subject to add US note 8 to Ch. 17, not GN15 Food preps, nesoi, n/o 10% milk solids, o/10% sugar, descr. in add US note 3 to Ch.17, not subject to add US note 8 to Ch.</w:t>
      </w:r>
    </w:p>
    <w:p>
      <w:pPr>
        <w:pStyle w:val="Normal"/>
      </w:pPr>
      <w:r>
        <w:t>17, not GN15 * Other food preps nesoi, incl preps for the manufacture of beverages, non-dairy coffee whiteners, herbal teas and flavored honey Mineral waters and aerated waters, not containing added sugar or other sweetening matter nor flavored Waters (incl. ice, snow and steam), ot/than mineral waters or aerated waters, not cont. added sugar or other sweetening matter nor flavored Waters, including mineral waters and aerated waters, containing added sugar or other sweetening matter or flavored Nonalcoholic beer Chocolate milk drink Milk-based drinks described in general note 15 of USHTS and entered pursuant to its provisions, nonalcoholic, nesoi Milk-based drinks described in additional US note 10 to chapter 4 and entered pursuant to its provisions, nonalcoholic, nesoi Milk-based drinks, nonalcoholic, nesoi * Orange juice, fortified with vitamins or minerals not made from a juice having a degree of concentration of &gt;=1.5 Orange juice fortified with vitamins or minerals, nesoi Juice of any single fruit or vegetable</w:t>
      </w:r>
    </w:p>
    <w:p>
      <w:pPr>
        <w:pStyle w:val="Normal"/>
      </w:pPr>
      <w:r>
        <w:t>(except orange juice) fortified with vitamins or minerals, in nonconcentrated form Fruit or vegetable juices, fortified with vitamins or minerals, mixtures of juices in non- concentrated form Nonalcoholic beverages, nesoi, excluding fruit or vegetable juices of heading 2009 Beer made from malt Sparkling wine, made from grapes Effervescent grape wine, in containers holding 2 liters or less Tokay wine (not carbonated) not over 14% alcohol, in containers not over 2 liters Wine other than Tokay (not carbonated), not over 14% alcohol, in containers not over 2 liters “Marsala” wine, over 14% vol. alcohol, in containers holding 2 liters or less Grape wine, other than “Marsala”, not sparkling or effervescent, over 14% vol.</w:t>
      </w:r>
    </w:p>
    <w:p>
      <w:pPr>
        <w:pStyle w:val="Normal"/>
      </w:pPr>
      <w:r>
        <w:t>alcohol, in containers holding 2 liters or less Wine of fresh grapes of an alcoholic strength by volume &lt;=14% in containers holding &lt;2 liters but not &gt;10 liters Wine of fresh grapes of an alcoholic strength by volume &gt;14%, in containers holding &lt;2 liters but not &gt;10 liters Wine of fresh grapes of an alcoholic strength by volume &lt;=14% in containers holding &gt;10 liters Wine of fresh grapes of an alcoholic strength by volume &gt;14% I n containers holding &gt;10 liters Wine of fresh grapes of an alcoholic strength by volume &lt;=14% in containers holding &gt;10 liters Wine of fresh grapes of an alcoholic strength by volume &gt;14% in containers holding &gt;10 liters Grape must, nesi, in fermentation or with fermentation arrested otherwise than by addition of alcohol Vermouth in</w:t>
      </w:r>
    </w:p>
    <w:p>
      <w:pPr>
        <w:pStyle w:val="Normal"/>
      </w:pPr>
      <w:r>
        <w:t>containers holding 2 liters or less Wine of fresh grapes flavored with plants or aromatic substances, other than vermouth, in containers holding 2 liters or less Vermouth in containers each holding over 2 liters but not over 4 liters Vermouth in containers each holding over 4 liters Wine of fresh grapes flavored with plants or aromatic substances, other than vermouth, in containers holding over 2 liters Cider, fermented, whether still or sparkling Prune wine Rice wine or sake Effervescent wine, nesi Fermented beverages (other than grape wine, beer, cider, prune wine, sake, vermouth, or other effervescent wines) Undenatured ethyl alcohol of 80 percent vol. alcohol or higher, for beverage purposes Undenatured ethyl alcohol of 80 percent vol.</w:t>
      </w:r>
    </w:p>
    <w:p>
      <w:pPr>
        <w:pStyle w:val="Normal"/>
      </w:pPr>
      <w:r>
        <w:t>alcohol or higher, for nonbeverage purposes Ethyl alcohol and other spirits, denatured, of any strength Pisco and singani Grape brandy, excluding pisco and singani, in containers not over 4 liters, not over $2.38/liter Grape brandy, excluding pisco and singani, in containers not over 4 liters, valued over $2.38 to $3.43/liter Grape brandy, excluding pisco and singani, in containers not over 4 liters, valued over $3.43/liter Grape brandy, excluding pisco and singani, in containers over 4 liters, not over $2.38/liter Grape brandy, excluding pisco and singani, in containers over 4 liters, over $2.38/liter Irish and Scotch whiskies Whiskies, other than Irish and Scotch whiskies Rum and tafia, in containers each holding not over 4 liters,</w:t>
      </w:r>
    </w:p>
    <w:p>
      <w:pPr>
        <w:pStyle w:val="Normal"/>
      </w:pPr>
      <w:r>
        <w:t>valued not over $3/proof liter Rum and tafia, in containers each holding not over 4 liters, valued over $3/proof liter Rum and tafia, in containers each holding over 4 liters, valued not over $0.69/proof liter Rum and tafia, in containers each holding over 4 liters, valued over $0.69/proof liter Gin and Geneve Vodka, in containers each holding not over 4 liters, valued not over $2.05/liter Vodka, in containers each holding not over 4 liters, valued over $2.05/liter Vodka, in containers each holding over 4 liters Liqueurs and cordials Aquavit Bitters, not fit for use as beverages Bitters, fit for use as beverages Slivovitz brandy, valued not over $3.43/liter, in containers each holding not over 4 liters Slivovitz brandy, valued not over $3.43/liter, in containers each holding over 4 liters Slivovitz brandy, valued over $3.43/liter Brandy, except slivovitz, in containers each holding not over 4 liters, valued not over $2.38/liter Brandy, except grape brandy and slivovitz, in containers each holding not over 4 liters, valued over $2.38 but not over $3.43/liter</w:t>
      </w:r>
    </w:p>
    <w:p>
      <w:pPr>
        <w:pStyle w:val="Normal"/>
      </w:pPr>
      <w:r>
        <w:t>Brandy, except grape brandy and slivovitz, in containers each holding not over 4 liters, valued over $3.43/liter Brandy, except grape brandy and slivovitz, in containers each holding over 4 liters, valued not over $2.38/liter Brandy, except grape brandy and slivovitz, in containers each holding over 4 liters, valued over $2.38/liter Kirschwasser and ratafia Tequila, in containers each holding not over 4 liters Tequila, in</w:t>
      </w:r>
    </w:p>
    <w:p>
      <w:pPr>
        <w:pStyle w:val="Normal"/>
      </w:pPr>
      <w:r>
        <w:t>containers each holding over 4 liters Imitations of brandy and other spirituous beverages containing alcohol Mescal in containers each holding not over 4 liters Spirits nesi, fit for use as beverages or for beverage purposes Undenatured ethyl alcohol of an alcoholic strength by volume of less than 80 percent vol., nesi Vinegar and substitutes for vinegar obtained from acetic acid Flours, meals, and pellets, of meat or meat offal unfit for human consumption;</w:t>
      </w:r>
    </w:p>
    <w:p>
      <w:pPr>
        <w:pStyle w:val="Normal"/>
      </w:pPr>
      <w:r>
        <w:t>greaves (cracklings) Flours, meals, and pellets, of fish or of crustaceans, molluscs or other aquatic invertebrates, unfit for human consumption Bran, sharps (middlings) and other residues, derived from the sifting, milling or other working of corn (maize) Bran, sharps (middlings) and other residues, derived from the sifting, milling or other working of wheat Bran, sharps (middlings) and other residues, derived from the sifting, milling or other working of cereals, excluding corn, rice and wheat Bran, sharps (middlings) and other residues, derived from the sifting, milling or other working of leguminous plants Residues of starch manufacture and similar residues Beet-pulp, bagasse and other waste of sugar manufacture Brewing or distilling dregs and waste Oilcake and other solid residues, resulting from the extraction of soybean oil Oilcake and other solid residues, resulting from the extraction of peanut (ground-nut) oil Oilcake and other solid residues, resulting from the extraction of vegetable fats or oils, of cotton</w:t>
      </w:r>
    </w:p>
    <w:p>
      <w:pPr>
        <w:pStyle w:val="Normal"/>
      </w:pPr>
      <w:r>
        <w:t>seeds Oilcake and other solid residues, resulting from the extraction of vegetable fats or oils, of linseed Oilcake and other solid residues, resulting from the extraction of vegetable fats or oils, of sunflower seeds Oilcake and other solid residues, resulting from the extraction of vegetable fats or oils, of low erucic acid rape or colza seeds Oilcake and other solid residues, resulting from the extraction of vegetable fats/oils, of rape or colza seeds (other than low erucic acid) Oilcake and other solid residues, resulting from the extraction of vegetable fats or oils, of coconut or copra Oilcake and other solid residues, resulting from the extraction of vegetable fats or oils, of palm nuts or kernels Oilcake and other solid residues, resulting from the extraction of vegetable fats or oils, nesi Wine lees;</w:t>
      </w:r>
    </w:p>
    <w:p>
      <w:pPr>
        <w:pStyle w:val="Normal"/>
      </w:pPr>
      <w:r>
        <w:t>argol Acorns and horse-chestnuts, of a kind used in animal feeding, not elsewhere specified or included Screenings, scalpings, chaff or scourings, ground or not ground of flaxseed (linseed), of a kind used in animal feeding, nesoi Dehydrated marigolds, of a kind used in animal feeding, not elsewhere specified or included Vegetable materials and vegetable waste, vegetable residues and byproducts, of a kind used in animal feeding, nesoi Dog or cat food, put up for retail sale Mixed feed or mixed feed ingredients used in animal feeding Animal feeds w/milk or milk derivatives, o/10% by wt of milk solids, subject to gen.</w:t>
      </w:r>
    </w:p>
    <w:p>
      <w:pPr>
        <w:pStyle w:val="Normal"/>
      </w:pPr>
      <w:r>
        <w:t>note 15 of the HTS Animal feeds w/milk or milk derivatives, o/10% by wt of milk solids, subject to add note 2 to Ch. 23, not GN15 Animal feeds w/milk or milk derivatives, o/10% by wt of milk solids, not subject to gen note 15 or add note 2 to Ch. 23 * Animal feeds w/milk or milk derivatives, n/o 10% by wt of milk solids, subject to gen. note 15 of the HTS Animal feeds w/milk or milk derivatives, n/o 10% by wt of milk solids, subject to add note 2 to Ch. 23, not GN15 Animal feeds w/milk or milk derivatives, n/o 10% by wt of milk solids, not subject to gen note 15 or add note 2 to Ch.</w:t>
      </w:r>
    </w:p>
    <w:p>
      <w:pPr>
        <w:pStyle w:val="Normal"/>
      </w:pPr>
      <w:r>
        <w:t>23 * Animal feeds containing egg, other than mixed feeds or mixed feed ingredients, not containing milk or milk derivatives Other preps nes with a basis of vitamin B12, for supplementing animal in animal feeding, not cont milk or egg prods Other preps nes of a kind used in animal feeding, not cont milk or egg prods Wrapper tobacco, not stemmed/stripped Tobacco (o/t wrapper tobacco), cont ov 35% wrapper tobacco, not stemmed/stripped Tobacco, not stemmed or stripped, not or not over 35% wrapper tobacco, oriental or turkish type, cigarette leaf Tobacco, not stemmed or stripped, not or not over 35% wrapper tobacco, oriental or turkish type, other than cigarette leaf Tobacco, not stemmed or stripped, not or not over 35% wrapper tobacco, cigar binder and filler Tobacco, not stemmed or stripped, not or not over 35% wrapper tobacco, flue-cured burley etc, not for cigarettes Tobacco, not stemmed or</w:t>
      </w:r>
    </w:p>
    <w:p>
      <w:pPr>
        <w:pStyle w:val="Normal"/>
      </w:pPr>
      <w:r>
        <w:t>stripped, not or not over 35% wrapper tobacco, flue-cured burley, etc., described in addl US note 5 to chap 24 Tobacco, not stemmed or stripped, not or not over 35% wrapper tobacco, flue-cured burley, etc., other nesi Tobacco, not stemmed or stripped, not or not over 35% wrapper tobacco, not flue- cured burley, etc., other nesi Leaf tobacco, the product of two or more countries or dependencies, when mixed or packed together, partly or wholly stemmed, not threshed Wrapper tobacco, partly or wholly stemmed (stripped), not threshed or similarly processed Tobacco containing over 35% wrapper tobacco, partly or wholly stemmed (stripped), not threshed or similarly processed Tobacco, partly or wholly stemmed/stripped, n/threshed or similarly processed, not or n/over 35% wrapper, oriental or turkish, cigarette lea Tobacco, partly or wholly stemmed/stripped, n/threshed or similarly processed, not or n/over 35% wrapper, not cigarette leaf Tobacco, partly or wholly stemmed/stripped, n/threshed or similarly processed, not or n/over 35% wrapper, cigar binder and filler Tobacco, partly or wholly stemmed/stripped, n/threshed or similarly proc., not or n/over 35% wrapper, flue-cured burley etc, not for cigaret Tobacco, partly or wholly stemmed/stripped, n/threshed or similarly proc., not or n/over 35% wrapper, des.</w:t>
      </w:r>
    </w:p>
    <w:p>
      <w:pPr>
        <w:pStyle w:val="Normal"/>
      </w:pPr>
      <w:r>
        <w:t>in addl US note 5 to ch.</w:t>
      </w:r>
    </w:p>
    <w:p>
      <w:pPr>
        <w:pStyle w:val="Normal"/>
      </w:pPr>
      <w:r>
        <w:t>24 Tobacco, partly or wholly stemmed/stripped, n/threshed or similarly proc., not or n/over 35% wrapper, flue-cured burley etc, other nesi Tobacco, partly or wholly stemmed/stripped, n/threshed or similarly proc., not or n/over 35% wrapper, not flue-cured burley etc., other nesi Tobacco, partly or wholly stemmed (stripped), threshed or similarly processed, from cigar leaf Tobacco, partly or wholly stemmed/stripped, threshed or similarly processed, not from cigar leaf, oriental or turkish Tobacco, partly or wholly stemmed/stripped, threshed or similarly processed, not from cigar leaf, not oriental or turkish, not for cigarett Tobacco, partly or wholly stemmed/stripped, threshed or similarly processed, not from cigar leaf, described in addl US note 5 to chap 24 Tobacco, partly or wholly stemmed/stripped, threshed or similarly processed, not from cigar leaf, not oriental or turkish, other nesi Tobacco refuse, tobacco stems, not cut, ground or pulverized Tobacco refuse, from cigar leaf, tobacco stems, cut, ground or pulverized Tobacco refuse, from cigar leaf, other than tobacco stems Tobacco refuse, from oriental or turkish type,</w:t>
      </w:r>
    </w:p>
    <w:p>
      <w:pPr>
        <w:pStyle w:val="Normal"/>
      </w:pPr>
      <w:r>
        <w:t>tobacco stems, not cut, ground or pulverized Tobacco refuse, from oriental or turkish type, tobacco stems, cut, ground or pulverized Tobacco refuse, from oriental or turkish type, other than tobacco stems Tobacco refuse, from other tobacco, other than for cigarettes, tobacco stems, not cut, ground or pulverized Tobacco refuse, from other tobacco,</w:t>
      </w:r>
    </w:p>
    <w:p>
      <w:pPr>
        <w:pStyle w:val="Normal"/>
      </w:pPr>
      <w:r>
        <w:t>other than for cigarettes, tobacco stems, cut, ground or pulverized Tobacco refuse, from other tobacco, other than for cigarettes,tother than tobacco stems Tobacco refuse, from other tobacco, for cigarettes, described in addl US note 5 to chap 24, tobacco stems, not cut, ground or pulverized Tobacco refuse, from other tobacco, for cigarettes, described in addl US note 5 to chap 24, tobacco stems, cut, ground or pulverized Tobacco refuse, from other tobacco, for cigarettes, described in addl US note 5 to chap 24, not tobacco stems Tobacco refuse, from other tobacco, for cigarettes, other nesi Cigars, cheroots and cigarillos containing tobacco, each valued less than 15 cents Cigars, cheroots and cigarillos containing tobacco, each valued 15 cents or over but less than 23 cents Cigars, cheroots and cigarillos containing tobacco, each valued 23 cents or over Cigarettes containing tobacco and clove Cigarettes containing tobacco but not containing clove, paper-wrapped Cigarettes containing tobacco, nesi Cigars, cheroots and cigarillos and cigarettes of tobacco substitutes Water pipe tobacco, whether or not containing tobacco</w:t>
      </w:r>
    </w:p>
    <w:p>
      <w:pPr>
        <w:pStyle w:val="Normal"/>
      </w:pPr>
      <w:r>
        <w:t>substitutes Smoking tobacco, whether or not containing tobacco substitutes, prepared for marketing directly to consumer as packaged Smoking tobacco, other than for water pipes, whether or not containing tobacco subst, other, to be used in products other than cigarettes Smoking tobacco, not water pipe, whether or not containing substitutes, other, to be used in</w:t>
      </w:r>
    </w:p>
    <w:p>
      <w:pPr>
        <w:pStyle w:val="Normal"/>
      </w:pPr>
      <w:r>
        <w:t>cigarettes, in addl US note 5 to chapter Smoking tobacco, not water pipe, whether or not containing substitutes, other, to be used in cigarettes, other nesi “Homogenized” or “reconstituted” tobacco suitable for use as wrapper tobacco “Homogenized” or “reconstituted” tobacco, not suitable for use as wrapper tobacco, to be used in products other than cigarettes “Homogenized” or “reconstituted” tobacco, not suitable for use as wrapper tobacco, to be used in cigarettes, des. in addl US note 5 to chap “Homogenized” or “reconstituted” tobacco, not suitable for use as wrapper tobacco, to be used in cigarettes, other nesi Other manufactured tobacco, tobacco substitutes, tobacco extracts or essences, prepared for marketing directly to consumer as packaged Other manufactured tobacco, tobacco substitutes, tobacco extracts or essences, other, to be used in products other than cigarettes Other manufactured tobacco, tobacco substitutes, tobacco extracts or essences, to be used in cigarettes, described in addl US note 5 to chap Other manufactured tobacco, tobacco substitutes, tobacco extracts or essences, other, to be used in cigarettes, other nesi Salt &amp; pure sodium chloride, whether or not in aqueous solution or cont.</w:t>
      </w:r>
    </w:p>
    <w:p>
      <w:pPr>
        <w:pStyle w:val="Normal"/>
      </w:pPr>
      <w:r>
        <w:t>added anticaking or free-flowing agents;</w:t>
      </w:r>
    </w:p>
    <w:p>
      <w:pPr>
        <w:pStyle w:val="Normal"/>
      </w:pPr>
      <w:r>
        <w:t>sea water Iron pyrites, unroasted Sulfur of all kinds, other than sublimed, precipitated and colloidal sulfur Natural graphite, crystalline flake (not including flake dust) Natural graphite in powder or flakes (other than crystalline flake) Natural graphite, other than in powder or in flakes Natural silica and quartz sands, containing by weight 95% or more of silica and not more than 0.6% of oxide of iron Natural silica and quartz sands, nesoi Natural sands, other than silica or quartz sands and other than metal-bearing sands of chapter 26 Quartz (other than natural sands) Quartzite Kaolin and other kaolinic clays, whether or not calcined Bentonite clay, whether or not calcined Fire-clay, whether or not calcined Clays, (not including expanded clays of heading 6806), nesoi, whether or not calcined Andalusite, kyanite and sillimanite, whether or not calcined Mullite Chamotte or dinas earths Chalk, crude Chalk, other than crude Natural calcium phosphates, natural aluminum calcium phosphates and phosphatic chalk, unground Natural calcium phosphates, natural aluminum calcium phosphates and phosphatic chalk, ground Natural barium sulfate</w:t>
      </w:r>
    </w:p>
    <w:p>
      <w:pPr>
        <w:pStyle w:val="Normal"/>
      </w:pPr>
      <w:r>
        <w:t>(barytes), ground Natural barium sulfate (barytes), not ground Natural barium carbonate (witherite), whether or not calcined Siliceous fossil meals and similar siliceous earths, whether or not calcined, of an apparent specific gravity of 1 or less Pumice Emery;</w:t>
      </w:r>
    </w:p>
    <w:p>
      <w:pPr>
        <w:pStyle w:val="Normal"/>
      </w:pPr>
      <w:r>
        <w:t>natural corundum, nat. garnet and other nat.</w:t>
      </w:r>
    </w:p>
    <w:p>
      <w:pPr>
        <w:pStyle w:val="Normal"/>
      </w:pPr>
      <w:r>
        <w:t>abrasives, whether or not heat- treated, all the foregoing crude or in irregular pieces Emery; natural corundum, nat. garnet and other nat. abrasives, whether or not heat- treated, all the foregoin not crude or irregular pieces Slate, whether or not roughly trimmed or merely cut into blocks or slabs of a rectangular (including square) shape Marble and travertine, crude or roughly trimmed Marble, merely cut into blocks or slabs of a rectangular (including square) shape Travertine, merely cut into blocks or slabs of a rectangular (including square) shape Calcareous monument.or build.stone (o/than marble/traver.) of spec. gravity &gt;=2.5 &amp; alabaster, crude, rough, trimmed or cut blocks or slabs Granite, crude or roughly trimmed Granite, merely cut into blocks or slabs of a rectangular (including square) shape Sandstone, crude or roughly trimmed Sandstone, merely cut into blocks or slabs of a rectangular (including square) shape Porphyry, basalt and other monument. or build. stone (except granite/sandstone), crude or roughly trimmed or cut into rect. blocks/slabs Pebbles, gravel, broken or crushed stones, for concrete aggregates, road metalling, ballast, shingle or flint, whether o/not heat-treated Macadam of slag, dross or similar industrial waste, whether or not incorporating pebbles, gravel, etc.</w:t>
      </w:r>
    </w:p>
    <w:p>
      <w:pPr>
        <w:pStyle w:val="Normal"/>
      </w:pPr>
      <w:r>
        <w:t>Tarred macadam Granules, chippings and powder of marble, whether or not heat-treated Granules, chippings and powder, of travertine/calcareous monument.</w:t>
      </w:r>
    </w:p>
    <w:p>
      <w:pPr>
        <w:pStyle w:val="Normal"/>
      </w:pPr>
      <w:r>
        <w:t>or build.stone (except marble)/granite/porphyry/basalt/sandstone etc.</w:t>
      </w:r>
    </w:p>
    <w:p>
      <w:pPr>
        <w:pStyle w:val="Normal"/>
      </w:pPr>
      <w:r>
        <w:t>Dolomite, not calcined, whether or not or roughly trimmed or merely cut into blocks or slabs of a rectangular (including square) shape Dolomite, calcined, whether or not roughly trimmed or merely cut into blocks or slabs of a rectangular (including square) shape Agglomerated dolomite (including tarred dolomite) Natural magnesium carbonate (magnesite) Fused magnesia; dead-burned (sintered) magnesia, whether or not cont. small quant. of other oxides added before sintering Caustic calcined magnesite Magnesium oxide, nesi, whether or not pure Gypsum; anhydrite Plasters (of calcined gypsum or calcium sulfate), whether or not colored, with or without small quantities of accelerators or retarders Limestone flux;</w:t>
      </w:r>
    </w:p>
    <w:p>
      <w:pPr>
        <w:pStyle w:val="Normal"/>
      </w:pPr>
      <w:r>
        <w:t>limestone and other calcareous stone, of a kind used for the manufacture of lime or cement Quicklime (other than calcium oxide and hydroxide of heading 2825) Slaked lime (other than calcium oxide and hydroxide of heading 2825) Hydraulic lime (other than calcium oxide and hydroxide of heading 2825) Clinkers of portland, aluminous, slag, supersulfate and similar hydraulic cements Portland cement (white cement), whether or not artificially colored Portland cement (other than white cement), whether or not colored Aluminous cement, whether or not colored Slag cement, supersulfate cement and other hydraulic cements, nesoi, whether or not colored Crocidolite Asbestos other than crocidolite Mica, crude or rifted</w:t>
      </w:r>
    </w:p>
    <w:p>
      <w:pPr>
        <w:pStyle w:val="Normal"/>
      </w:pPr>
      <w:r>
        <w:t>into sheets or splittings Mica, powder Mica, waste Steatite, natural n/crushed or powdered, whether or not roughly trimmed or cut into rect. blocks or slabs; talc n/crushed or powdered Steatite, natural; talc; the foregoing crushed or powdered Borates, natural and conc., but n/incl. borates from nat. brine; nat. boric acid w/not over 85% H3B03 by dry weight Feldspar Fluorspar, containing by weight 97 percent or less of calcium fluoride Fluorspar, containing by weight more than 97 percent of calcium fluoride Leucite; nepheline and nepheline syenite Vermiculite, perlite and chlorites, unexpanded Kieserite Epsom salts (natural magnesium sulfates) Natural cryolite;</w:t>
      </w:r>
    </w:p>
    <w:p>
      <w:pPr>
        <w:pStyle w:val="Normal"/>
      </w:pPr>
      <w:r>
        <w:t>natural chiolite Natural micaceous iron oxides Other mineral substances, not elsewhere specified or included Iron ores and concentrates (other than roasted iron pyrites), not agglomerated Iron ores and concentrates (other than roasted iron pyrites), agglomerated Roasted iron pyrites Manganese ores and concentrates including ferruginous manganese ores &amp; concentrates with manganese content over 20% calculated on dry weight Copper ores and concentrates Nickel ores and concentrates Cobalt ores and concentrates Aluminum ores and concentrates Lead ores and concentrates Zinc ores and concentrates Tin ores and concentrates Chromium ores and concentrates Tungsten ores Tungsten concentrates Uranium ores and concentrates Thorium ores and concentrates Molybdenum ores and concentrates, roasted Molybdenum ores and concentrates, not</w:t>
      </w:r>
    </w:p>
    <w:p>
      <w:pPr>
        <w:pStyle w:val="Normal"/>
      </w:pPr>
      <w:r>
        <w:t>roasted Synthetic rutile Titanium ores and concentrates, other than synthetic rutile Zirconium ores and concentrates Synthetic tantalum-niobium concentrates Niobium, tantalum or vanadium ores and concentrates, nesoi Silver ores and concentrates Precious metal (other than silver) ores and concentrates Antimony ores and concentrates Metal ores and concentrates, nesoi Granulated slag (slag sand) from the manufacture of iron or steel Ferrous scale Slag, dross and other waste (except ferrous scale) from the manufacture of iron or steel Hard zinc spelter Zinc dross and skimmings (not from from the mfr. of iron or steel) Ash and residues (not from the mfr. of iron or steel), containing mainly zinc, other than hard zinc spelter/zinc dross &amp; skimmings Leaded gasoline sludges and leaded anti-knock compound sludges, containing mainly lead Ash and residues (other than from the manufacture of iron or steel), containing mainly lead, nesoi Ash and residues (not from the mfr. of iron or steel), containing mainly copper Ash and residues (not from the mfr.</w:t>
      </w:r>
    </w:p>
    <w:p>
      <w:pPr>
        <w:pStyle w:val="Normal"/>
      </w:pPr>
      <w:r>
        <w:t>of iron or steel), containing mainly aluminum Ash/residues contain arsenic, mercury, thallium or their mixtures, kind used only for extraction of arsenic or manufacture of its compounds Ash/residue contain arsenic,mercury,thallium/their mixtures,kind used only for extraction of those metals or manufacture of their compounds Ash and residues (other than from the manufacture of iron or steel), containing antimony, beryllium, cadmium, chromium or their mixtures Ash and residues (other than from the manufacture of iron or steel), containing mainly vanadium Ash and residues (other than from the manufacture of iron or steel), containing mainly tungsten Materials (ash and residues) not provided for elsewhere in heading 2620 containing by weight over 10 percent nickel Slag (other than from the manufacture of iron or steel) contains over 40% titanium &amp; if has over 2% Cu/Pb/Zn is not for recovery thereof Residues (not from mfr. of iron or steel) cont. metals/metal compounds nesoi, and n/adv. in value or cond.</w:t>
      </w:r>
    </w:p>
    <w:p>
      <w:pPr>
        <w:pStyle w:val="Normal"/>
      </w:pPr>
      <w:r>
        <w:t>&amp; if &gt; 2% Cu/Pb/Zn n/for recovery Other ash and residues (other than from the manufacture of iron or steel), containing metals or metal compounds, nesoi Ash and residues from the incineraction of municipal waste Other slag and ash, including seaweed ash (kelp), not elsewhere specified or included Coal, anthracite, whether or not pulverized, but not agglomerated Coal, bituminous, whether or not pulverized, but not agglomerated Coal, other than anthracite or bituminous, whether or not pulverized, but not agglomerated Coal, briquettes, ovoids and similar solid fuels manufactured from coal Lignite (excluding jet), whether or not pulverized, but not agglomerated Lignite (excluding jet), agglomerated Peat (including peat litter), whether or not agglomerated Coke and semicoke of coal, lignite or peat, whether or not agglomerated; retort carbon Coal gas, water gas, producer gas and similar gases, other than petroleum gases or other gaseous hydrocarbons Tars (including reconstituted tars), distill. from coal, lignite or peat, and other mineral tars, whether dehydrated or partially distilled Benzene, from distillation of hi-temp coal tar or in which wt. of aromatic components o/wt.</w:t>
      </w:r>
    </w:p>
    <w:p>
      <w:pPr>
        <w:pStyle w:val="Normal"/>
      </w:pPr>
      <w:r>
        <w:t>of nonaromatic components Toluene, from distillation of hi-temp coal tar or in which wt. of aromatic components o/wt. of nonaromatic components Xylenes, from distillation of hi-temp coal tar or in which wt. of aromatic components o/wt.</w:t>
      </w:r>
    </w:p>
    <w:p>
      <w:pPr>
        <w:pStyle w:val="Normal"/>
      </w:pPr>
      <w:r>
        <w:t>of nonaromatic components Naphthalene, from distillation of hi-temp coal tar or in which wt. of aromatic components o/wt. of nonaromatic components Aromatichydrocarbon mix.(from dist.ofhi-temp coaltar or wt.of aromatic &gt; nonaromatic),65%+ by vol.(incl.losses) dist. at 250 C/ASTM D 86 Creosote oils, from dist.of hi-temp coal tar or wt. of aromatic exceeds nonaromatic Light oil, from dist.of hi-temp coal tar or wt. of aromatic exceeds nonaromatic Picolines, from dist.of hi-temp coal tar or wt. of aromatic exceeds nonaromatic Carbazole, from dist.of hi-temp coal tar or wt. of aromatic exceeds nonaromatic, w/purity of 65% or more by wt. Phenols &gt; 50% by wt hydroxybenzene Metacresol/orthocresol/paracresol/metaparacresol (from dist.of hi-temp coal tar or wt. of aromatic &gt; nonaromatic), w/purity of 75%+ by wt. Phenols, nesoi Other products of hi-temp coal tar distillation and like products in which aromatic constituents exceed nonaromatic constituents, nesi Pitch, obtained from coal tar or other mineral tars Pitch coke, obtained from coal tar or other mineral tars Petroleum oils and oils from bituminous minerals, crude, testing under 25 degrees A.P.I.</w:t>
      </w:r>
    </w:p>
    <w:p>
      <w:pPr>
        <w:pStyle w:val="Normal"/>
      </w:pPr>
      <w:r>
        <w:t>Petroleum oils and oils from bituminous minerals, crude, testing 25 degrees A.P.I. or more Light oil motor fuel from petroleum oils and bituminous minerals (o/than crude) or preps. 70%+ by wt. from petroleum oils Light oil motor fuel blending stock from petroleum oils &amp; bituminous minerals (o/than crude) or prep 70%+ by wt.</w:t>
      </w:r>
    </w:p>
    <w:p>
      <w:pPr>
        <w:pStyle w:val="Normal"/>
      </w:pPr>
      <w:r>
        <w:t>from petroleum oils Naphthas (exc. motor fuel/mtr fuel blend. stock) fr petroleum oils &amp; bitumin minerals (o/than crude) or preps 70%+ by wt. fr petroleum oils Light oil mixt. of hydrocarbons fr petro oils &amp; bitum min(o/than crude) or prep 70%+ wt. fr petro oils, nesoi,n/o 50% any single hydrocarbon Light oils and preparations from petroleum oils &amp; oils from bituminous min. or preps 70%+ by wt. from petro. oils or bitum. min., nesoi Distillate and residual fuel oil (including blends) derived from petroleum or oils from bituminous minerals, testing &lt; 25 degrees A.P.I. Distillate and residual fuel oil (including blends) derived from petroleum oils or oil of bituminous minerals, testing 25 degree A.P.I. or &gt; Kerosene-type jet fuel from petroleum oils and oils of bitumin minerals (o/than crude) or preps. 70%+ by wt. from petroleum oils Kerosene motor fuel (not jet) from petro oils and bitumin minerals (o/than crude) or preps. 70%+ by wt. from petroleum oils Kerosene motor fuel blending stock (not jet), from petro oils and bitumin. minerals (o/than crude) or preps.</w:t>
      </w:r>
    </w:p>
    <w:p>
      <w:pPr>
        <w:pStyle w:val="Normal"/>
      </w:pPr>
      <w:r>
        <w:t>70%+ by wt. from petro oils Kerosene (ex. motor fuel/mtr fuel blend stock/xc jet), fr petro oils and bitumin minerals (o/than crude) or preps 70%+ by wt fr petro oils Lubricating oils, w/or w/o additives, fr. petro oils and bitumin minerals (o/than crude) or preps. 70%+ by wt. fr. petro oils Lubricating greases from petro oil/bitum min/70%+ by wt. fr. petro. oils but n/o 10% by wt.</w:t>
      </w:r>
    </w:p>
    <w:p>
      <w:pPr>
        <w:pStyle w:val="Normal"/>
      </w:pPr>
      <w:r>
        <w:t>of fatty acid salts animal/vegetable origin Lubricating greases from petro oil/bitum min/70%+ by wt. fr. petro. oils &gt; 10% by wt. of fatty acid salts animal/vegetable origin Mixture of hydrocarbons from petro oils &amp; bitum. min. or preps.70%+ by wt. fr. petro. oils, nesoi, n/o 50% any single hydrocarbon Petroleum oils &amp; oils from bituminous minerals or preps nesoi 70%+ by wt. from petroleum oils or bitum. min., not waste, nesoi Dist and resid fuel oil (including blends) derived from petro or oils fr bitum min, testing under 25 degrees A.P.I., contng biodiesel Dist and resid fuel oil (including blends) derived from petro or oils fr bitum min testing 25 degree A.P.I. or &gt;, contng biodiesel Kerosene-type jet fuel/mtr ful/mtr ful blend stck fr pet oils &amp; bitumin min (o/th crude), or preps.</w:t>
      </w:r>
    </w:p>
    <w:p>
      <w:pPr>
        <w:pStyle w:val="Normal"/>
      </w:pPr>
      <w:r>
        <w:t>70%+ by w fr pet oils, ctg biodiesel Kerosene (ex jet fuel,mtr ful/mtr ful blend stck/jet), fr pet oils and bitumin. min (o/th crude) or preps 70%+ by wt fr pet oils, ctg biodie Waste oils from petro oils/bitum minerals/preps 70%+ by wt. fr. petro oils/bitum minerals containing PCBs, PCTs or PBBs Wastes of distillate and residual fuel oil (including blends) derived from petroleum oil/bituminous minerals, testing under 25 degree A.P.I. Wastes of distillate and residual fuel oil (including blends) derived from petroleum oil/bituminous minerals, testing 25 degrees A.P.I. or &gt; Waste motor fuel or motor fuel blending stock from petro oils and bitumin. minerals (o/than crude) or preps. 70%+ by wt.</w:t>
      </w:r>
    </w:p>
    <w:p>
      <w:pPr>
        <w:pStyle w:val="Normal"/>
      </w:pPr>
      <w:r>
        <w:t>from petro oils Waste kerosene or naphthas from petro oils and bitumin minerals (o/than crude) or preps. 70%+ by wt. From petro oils/bitumin minerals Waste lubricating oils, w/or w/o additives, from petro oils and bitumin minerals (o/than crude) or preps.</w:t>
      </w:r>
    </w:p>
    <w:p>
      <w:pPr>
        <w:pStyle w:val="Normal"/>
      </w:pPr>
      <w:r>
        <w:t>70%+ by wt. from petro oils Waste lubricating greases from petro oil/bitum min/70%+ by wt. fr petro oils but n/o 10% by wt. of fatty acid salts animal/vegetable origin Waste lubricating greases from petro oil/bitum min/70%+ by wt. fr petro oils but over 10% by wt. of fatty acid salts animal/vegetable origin Waste mixtures of hydrocarbons from petro oils &amp; bitum. min. or preps.70%+ by wt. fr. petro oils, nesoi, n/o 50% any single hydrocarbon Waste petroleum oils &amp; oils from bitum. min. or preps nesoi 70%+ by wt. from petro. oils or bitum. min., nesoi Natural gas, liquefied Propane, liquefied Butanes, liquefied Ethylene, propylene, butylene and butadiene, liquefied Liquefied petroleum gases and other gaseous hydrocarbons, nesoi Natural gas, in gaseous state Petroleum gases and other gaseous hydrocarbons, except natural gas Petroleum jelly Paraffin wax (whether or not colored), obtained by synthesis or other process and less than 0.75% oil by wt. Montan wax (whether or not colored), obtained by synthesis or other process Mineral waxes (i.e.,paraffin w/0.75%+ oil, microcrystall.</w:t>
      </w:r>
    </w:p>
    <w:p>
      <w:pPr>
        <w:pStyle w:val="Normal"/>
      </w:pPr>
      <w:r>
        <w:t>wax, slack lignite &amp; peat waxes, ozokerite), obtained by synthesis Coke, petroleum, not calcined Coke, petroleum coke, calcined Petroleum bitumen Residues (except petroleum coke or petroleum bitumen) of petroleum oils or of oils obtained from bituminous materials Bituminous or oil shale and tar sands Bitumen and asphalt, natural; asphaltites and asphaltic rocks Bituminous mixtures based on natural asphalt, natural bitumen, petroleum bitumen, mineral tar or mineral tar pitch Electrical energy Chlorine Iodine Fluorine Bromine Sulfur, sublimed or precipitated; colloidal sulfur Carbon (carbon blacks and other forms of carbon not elsewhere specified or included) Hydrogen Argon Rare gases, other than argon Nitrogen Oxygen Boron; tellurium Silicon containing by weight not less than 99.99 percent of silicon Silicon, containing by weight less than 99.99 percent but not less than 99 percent of silicon Silicon, containing by weight less than 99 percent of silicon Phosphorus Arsenic Selenium Sodium Calcium Strontium Barium Alkali metals, other than sodium Rare-earth metals, scandium and yttrium, whether or not intermixed or interalloyed Mercury Hydrogen chloride (Hydrochloric acid) Chlorosulfuric acid Sulfuric acid; oleum Nitric acid;</w:t>
      </w:r>
    </w:p>
    <w:p>
      <w:pPr>
        <w:pStyle w:val="Normal"/>
      </w:pPr>
      <w:r>
        <w:t>sulfonitric acids Diphosphorus pentoxide Phosphoric acid and polyphosphoric acids Oxides of boron; boric acids Hydrogen fluoride (Hydrofluoric acid) Hydrogen cyanide Arsenic acid Hydrobromic acid Sulfamic acid and other inorganic acids nesoi Carbon</w:t>
      </w:r>
    </w:p>
    <w:p>
      <w:pPr>
        <w:pStyle w:val="Normal"/>
      </w:pPr>
      <w:r>
        <w:t>dioxide Synthetic silica gel Silicon dioxide, other than synthetic silica gel Arsenic trioxide Selenium dioxide Sulfur dioxide Other inorganic oxygen compounds of nonmetals, nesoi Carbonyl dichloride (Phosgene) Phosphorus oxychloride Phosphorus trichloride Phosphorus pentachloride Sulfur monochloride Sulfur dichloride Thionyl chloride Other chlorides and chloride oxides Halides and halide oxides of nonmetals, excluding chlorides and chloride oxides Carbon disulfide Arsenic sulfides Phosphorus sulfides Sulfides of nonmetals, excluding carbon disulfide and sulfides of arsenic or phosphorus Anhydrous ammonia Ammonia in aqueous solution Sodium hydroxide (Caustic soda), solid Sodium hydroxide (Caustic soda), in aqueous solution (Soda lye or liquid soda) Potassium hydroxide (Caustic potash) Peroxides of sodium or potassium Hydroxide and peroxide of magnesium Oxides, hydroxides and peroxides of strontium Oxides, hydroxides and peroxides of barium Zinc oxide; zinc peroxide Artificial corundum, crude Artificial corundum, in grains, or ground, pulverized or refined Aluminum oxide, other than artificial corundum Aluminum hydroxide Chromium trioxide Chromium oxides and hydroxides, other than chromium trioxide Manganese dioxide Manganese oxides, other than manganese dioxide Iron oxides and hydroxides Earth colors containing 70 percent or more by weight of combined iron evaluated as Fe2O3 Cobalt oxides and hydroxides; commercial cobalt oxides Titanium oxides Lead monoxide (Litharge,</w:t>
      </w:r>
    </w:p>
    <w:p>
      <w:pPr>
        <w:pStyle w:val="Normal"/>
      </w:pPr>
      <w:r>
        <w:t>massicot) Lead suboxide (Leady litharge) Red lead and orange lead Lead oxides, nesoi Hydrazine and hydroxylamine and their inorganic salts Lithium oxide and hydroxide Vanadium oxides and hydroxides Nickel oxides and hydroxides Cupric oxide Cuprous oxide Copper hydroxides Germanium oxides and zirconium dioxide Molybdenum oxides and hydroxides Antimony oxides Beryllium oxide and hydroxide Niobium oxide Tin oxides Tungsten oxides Cadmium oxide Other inorganic bases;</w:t>
      </w:r>
    </w:p>
    <w:p>
      <w:pPr>
        <w:pStyle w:val="Normal"/>
      </w:pPr>
      <w:r>
        <w:t>other metal oxides, hydroxides and peroxides, nesoi Fluorides of aluminum Ammonium fluoride Sodium fluoride Fluorides, other than of ammonium, sodium or aluminum Sodium hexafluoroaluminate (Synthetic cryolite) Fluorosilicates of sodium or of potassium Other complex fluorine salts, nesoi Ammonium chloride Calcium chloride Magnesium chloride Aluminum chloride Nickel chloride Vanadium chlorides Tin chlorides Titanium chlorides Tungsten hexachloride Barium chloride Iron chlorides Cobalt chlorides Zinc chloride Chlorides, nesoi Chloride oxides and chloride hydroxides of copper Chloride oxides and chloride hydroxides of vanadium Chloride oxides and chloride hydroxides other than of copper or of vanadium Bromides of sodium or potassium Bromides or bromide oxides of ammonium, calcium, or zinc Other bromides and bromide oxides, other than ammonium, calcium or zinc Iodide and iodide oxide of calcium or copper Iodide and iodide oxide of potassium Iodides and iodide oxides, other than of calcium, copper or potassium Commercial</w:t>
      </w:r>
    </w:p>
    <w:p>
      <w:pPr>
        <w:pStyle w:val="Normal"/>
      </w:pPr>
      <w:r>
        <w:t>calcium hypochlorite and other calcium hypochlorites Hypochlorites, except of calcium; hypobromites; chlorites Sodium chlorate Other chlorates and perchlorates, other than sodium Potassium bromate Sodium bromate Perchlorates, perbromates, iodates, periodates; of potassium Other perbromates, iodates and periodates other than potassium Sodium sulfides Zinc sulfide, luminescent grade, purity&gt;= 99.99 % By wt. Zinc sulfide excluding luminescent grade Cadmium sulfide Polysulfides; sulfides, other than those of zinc and cadmium Sodium formaldehyde sulfoxylate Dithionites and sulfoxylates of sodium Dithionites and sulfoxylates, other than those of sodium Sodium sulfites Sulfites, except sodium sulfites Sodium thiosulfate Thiosulfates, except sodium thiosulfate Disodium sulfate, crude (Salt cake) Disodium sulfate, other than crude Sodium sulfates, other than disodium sulfate Magnesium sulfate Aluminum sulfate Nickel sulfate Copper sulfate Barium sulfate Cobalt sulfate Iron sulfate Vanadium sulfate Chromium sulfate Zinc sulfate Other sulfates nesoi Alums Sodium peroxosulfates (sodium persulfates) Peroxosulfates (persulfates), nesoi Sodium nitrite Nitrites, other than of sodium Potassium nitrate Bismuth nitrate Calcium nitrate Strontium nitrate Nitrates, nesoi Phosphinates (hypophosphites) and phosphonates (phosphites) Mono- or disodium phosphates Potassium phosphate Calcium hydrogenorthophosphate (“Dicalcium phosphate”) Other phosphates of calcium, nesoi Aluminum phosphate Triammonium</w:t>
      </w:r>
    </w:p>
    <w:p>
      <w:pPr>
        <w:pStyle w:val="Normal"/>
      </w:pPr>
      <w:r>
        <w:t>phosphate Trisodium phosphate Other phosphates nesoi Sodium triphosphate (Sodium tripolyphosphate) Potassium polyphosphate Polyphosphates, other than sodium triphosphate and potassium polyphosphate Disodium carbonate Sodium hydrogencarbonate (Sodium bicarbonate) Dipotassium carbonate Potassium hydrogencarbonate (Potassium bicarbonate) Calcium carbonate Barium carbonate Lithium carbonates Strontium carbonate Cobalt carbonates Bismuth carbonate Commercial ammonium carbonate, containing ammonium carbamate, and other ammonium carbonates Lead carbonate Carbonates nesoi, and peroxocarbonates (percarbonates) Sodium cyanide Cyanides and cyanide oxides, except those of sodium Potassium ferricyanide Complex cyanides, excluding potassium ferricyanide Sodium metasilicates Sodium silicates except sodium metasilicates Potassium silicate Other alkali metal silicates nesoi Anhydrous disodium tetraborate (refined borax) Disodium tetraborate (refined borax) except anhydrous Borates, other than disodium tetraborate (refined borax) Peroxoborates (perborates) Sodium dichromate Potassium dichromate Chromates except of zinc or lead and dichromates except of sodium or potassium; peroxochromates Potassium permanganate Manganites, manganates and permanganates (except potassium permanganate) Ammonium molybdate Molybdates, other than of ammonium Tungstates (wolframates) Vanadates Ammonium perrhenate Potassium stannate Aluminates Chromates of zinc or of lead Salts of oxometallic or peroxometallic acids</w:t>
      </w:r>
    </w:p>
    <w:p>
      <w:pPr>
        <w:pStyle w:val="Normal"/>
      </w:pPr>
      <w:r>
        <w:t>nesoi Double or complex silicates Fulminates, cyanates and thiocyanates Salts of inorganic acids or peroxoacids nesoi, excluding azides Colloidal precious metals Silver nitrate Silver compounds, other than silver nitrate Gold compounds Inorganic or organic compounds of precious metals, excluding those of silver and gold; amalgams of precious metals Natural uranium metal Natural uranium compounds Alloys, dispersions (including cermets), ceramic products and mixtures containing natural uranium or natural uranium compounds Uranium enriched in U235 and plutonium and their compounds; alloys, dispersions, ceramic products and mixtures containing these products Thorium compounds Compounds of uranium depleted in U235 Uranium depleted in U235, thorium; alloys, dispersions, ceramic products and mixtures of these products and their compounds Radioactive elements, isotopes, compounds nesoi; alloys, dispersions, ceramic products and mixtures of these products; radioactive residues Spent (irradiated) fuel elements (cartridges) of nuclear reactors Heavy water (Deuterium oxide) Isotopes not in heading 2844 and their compounds other than heavy water Cerium compounds Mixtures of rare-earth oxides or of rare-earth chlorides Yttrium materials and compounds containing by wt.</w:t>
      </w:r>
    </w:p>
    <w:p>
      <w:pPr>
        <w:pStyle w:val="Normal"/>
      </w:pPr>
      <w:r>
        <w:t>&gt;19% But &lt; 85% yttrium oxide equivalent Compounds, inorganic or organic, of rare-earth metals, of yttrium or of scandium, or of mixtures of these metals, nesoi Hydrogen peroxide, whether or not solidified with urea Calcium carbide Silicon carbide, crude Silicon carbide, in grains, or ground, pulverized or refined Boron carbide Chromium carbide Tungsten carbide Carbides, nesoi Hydride, nitride, azide, silicide and boride of calcium Hydride, nitride, azide, silicide and boride of titanium Hydride, nitride, azide, silicide and boride of tungsten Hydride, nitride, azide, silicide and boride of vanadium Hydrides, nitrides, azides, silicides and borides other than of calcium, titanium, tungsten or vanadium Mercuric oxide, mercuric cyanide, mercuric oxycyanide and mercuric potassium cyanide Other chemically defined compounds of mercury excluding amalgams Albuminates, tannates, and phosphides of mercury Inorganic or organic compounds of mercury, not chemically defined, not albuminates, tannates, or phosphides, excluding amalgams Cyanogen chloride (Chlorocyan) Phosphor copper containing more than 15% by weight of phosphorus, excluding ferrosphosphorus Phosphides, whether or not chemically defined, excluding ferrophosphorus, of other metals or of nonmetals Other phosphides, excl ferrophosphorous, nesoi Ethane and butane n-Pentane and isopentane Saturated acyclic hydrocarbon (not ethane,butane,n-pentane or isopentane),derived in whole or part from petroleum,shale oil or natural gas</w:t>
      </w:r>
    </w:p>
    <w:p>
      <w:pPr>
        <w:pStyle w:val="Normal"/>
      </w:pPr>
      <w:r>
        <w:t>Saturated acyclic hydrocarbon (not ethane,butane,n-pentane or isopentane),not derived in whole or part petroleum,shale oil or natural gas Ethylene Propene (Propylene) Butene (Butylene) and isomers thereof Buta-l,3-diene Isoprene, having a purity of 95 percent or more by weight Isoprene less than 95 percent pure Unsaturated acyclic hydrocarbons, nesoi, derived in whole or in part from petroleum, shale oil or natural gas Unsaturated acyclic hydrocarbons, nesoi, not derived in whole or in part from petroleum, shale oil or natural gas Cyclohexane Cyclanic hydrocarbons (except cyclohexane), cyclenic hydrocarbons and cycloterpenes Benzene Toluene o-Xylene m-Xylene p-Xylene Mixed xylene isomers Styrene Ethylbenzene Cumene Pseudocumene Acenaphthene, chrysene, cymene, dimethylnaphthalenes, fluoranthene, fluorene, indene, mesitylene, and other specified cyclic hydrocarbons Alkylbenzenes and polyalkylbenzenes Anthracene and 1,4-di-(2-methylstyryl)benzene Biphenyl (diphenyl), in flakes Cyclic hydrocarbons, nesoi Chloromethane (Methyl chloride) &amp; chloroethane (Ethyl chloride) Dichloromethane (Methylene chloride) Chloroform (Trichloromethane) Carbon tetrachloride 1,2-Dichloroethane (Ethylene dichloride) 1,2-Dichloropropane (Propylene dichloride) and dichlorobutanes Hexachloroethane and tetrachloroethane sec-Butyl chloride Saturated chlorinated derivatives of acyclic hydrocarbons, nesoi Vinyl chloride (Chloroethylene) Trichloroethylene Tetrachloroethylene (Perchloroethylene) Unsaturated</w:t>
      </w:r>
    </w:p>
    <w:p>
      <w:pPr>
        <w:pStyle w:val="Normal"/>
      </w:pPr>
      <w:r>
        <w:t>chlorinated derivatives of acyclic hydrocarbons, nesoi Ethylene dibromide Acetylene tetrabromide; alkyl bromides; methylene dibromide; and vinyl bromide Fluorinated, brominated or iodinated derivatives of acyclic hydrocarbons, nesoi Chlorodifluoromethane Dichlorotrifluoroethanes Dichlorofluoroethanes Chlorodifluoroethanes Dichloropentafluoropropanes Bromochlorodifluoromethane, bromotrifluoromethane and dibromotetrafluoroethanes Other acyclic hydrocarbon derivatives,perhalogenated only with flourine and chlorine Other perhalogenated acyclic hydrocarbon derivatives, nesoi Bromochloromethane Other halogenated derivatives of acyclic hydrocarbons containing two or more different halogens, nesoi 1,2,3,4,5,6-Hexachlorocyclohexane (HCH (ISO)), including Lindane(ISO, INN) Aldrin (ISO), chlordane (ISO) and heptachlor (ISO) Halogenated derivatives of cyclanic cyclenic or cycloterpenic hydrocarbons: Mirex (ISO) Dibromoethyldibromocyclohexane Halogenated pesticides derived in whole or in part from benzene or other aromatic hydrocarbon, nesoi Halogenated products derived in whole or in part from benzene or other aromatic hydrocarbon, described in additional U.S. note 3 to sec.</w:t>
      </w:r>
    </w:p>
    <w:p>
      <w:pPr>
        <w:pStyle w:val="Normal"/>
      </w:pPr>
      <w:r>
        <w:t>VI Halogenated derivatives derived in whole or in part from benzene or other aromatic hydrocarbon, nesoi Chlorinated, but not otherwise halogenated derivatives of cyclanic, cyclenic or cycloterpenic hydrocarbons 1,3,5,7,9,11-Hexabromocyclododecane Tetrabromocyclooctane Other halogenated derivatives of cyclanic etc hydrocarbons not deriv from benzene or other aromatic hydrocarbons Chlorobenzene o-Dichlorobenzene p-Dichlorobenzene Hexachlorobenzene (ISO) and DDT (clofenatone (INN), (1,1,1-Trichloro-2,2-bis(p chlorophenyl)ethane)) Halogenated derivatives of aromatic hydrocarbons, pentachlorobenzene Halogenated derivatives of aromatic hydrocarbons, hexabromobiphenyls 3-Bromo-alpha,alpha,alpha-trifluorotoluene; and other specified halogenated derivatives of aromatic hydrocarbons p-Chlorobenzotrifluoride; and 3,4-Dichlorobenzotrifluoride m-Dichlorobenzene; 1,1-dichloro-2,2-bis(p-ethylphenyl)ethane; and trichlorobenzenes Triphenylmethyl chloride Benzyl chloride (alpha-Chlorotoluene); benzotrichloride (alpha,alpha,alpha trichlorotoluene) Pentabromoethylbenzene Tribromocumene Pesticides derived from halogenated derivatives of aromatic hydrocarbons Other halogenated derivatives of aromatic hydrocarbons, nesoi 2-Anthracenesulfonic acid Benzenesulfonyl chloride m-Benzenedisulfonic acid, sodium salt; 1,5-naphthalenedisulfonic acid; and p toluenesulfonyl chloride Mixtures of 1,3,6-naphthalenetrisulfonic acid and 1,3,7-naphthalenetrisulfonic acid Aromatic derivatives of hydrocarbons</w:t>
      </w:r>
    </w:p>
    <w:p>
      <w:pPr>
        <w:pStyle w:val="Normal"/>
      </w:pPr>
      <w:r>
        <w:t>containing only sulfo groups, their salts and ethyl esters, described in add. U.S. note 3 to sec. VI Aromatic derivatives of hydrocarbons containing only sulfo groups, their salts and ethyl esters, nesoi Nonaromatic derivatives of hydrocarbons containing only sulfo groups, their salts and ethyl esters, nesoi p-Nitrotoluene p-Nitro-o-xylene Trinitrotoluene 5-tert-Butyl-2,4,6-trinitro-m-xylene (Musk xylol) and other artificial musks Nitrated benzene, nitrated toluene (except p-nitrotoluene) or nitrated naphthalene Aromatic derivatives of hydrocarbons containing only nitro or only nitroso groups, described in additional U.S. note 3 to section VI Aromatic derivatives of hydrocarbons containing only nitro or only nitroso groups, nesoi Nonaromatic derivatives of hydrocarbons containing only nitro or only nitroso groups, nesoi Perfluorooctane sulfonic acid Ammonium perfluorooctane sulfonate Lithium perfluorooctane sulfonate Potassium perfluorooctane sulfonate Other salts of perfluorooctane sulfonic acid Perfluorooctane sulfonyl fluoride Trichloronitromethane (chloropicrin) Monochloromononitrobenzenes; o-nitrochlorobenzene; p-nitrochlorobenzene Monochloromononitrobenzenes nesoi 4-Chloro-3-nitro-a,a,a-trifluorotoluene; 2-Chloro-5-nitro-a,a,a-trifluorotoluene; and 4 Chloro-3,5-dinitro-a,a,a-trifluorotoluene Nitrotoluenesulfonic acids 1-Bromo-2-nitrobenzene; 1,2-Dichloro-4-nitrobenzene and o-Fluoronitrobenzene 4,4’-Dinitrostilbene-2,2’-disulfonic acid Sulfonated, nitrated or</w:t>
      </w:r>
    </w:p>
    <w:p>
      <w:pPr>
        <w:pStyle w:val="Normal"/>
      </w:pPr>
      <w:r>
        <w:t>nitrosated derivatives of aromatic products described in additional US note 3 to section 6 Other sulfonated, nitrated or nitrosated derivatives of aromatic hydrocarbons excluding aromatic products described in add US note 3 to section 6 Nonaromatic sulfonated, nitrated or nitrosated derivatives of hydrocarbons, nesoi Methanol (Methyl alcohol) imported only for use in producing synthetic natural gas (SNG) or for direct use as a fuel Methanol (Methyl alcohol), other than imported only for use in producing synthetic natural gas (SNG) or for direct use as fuel Propan-1-ol (Propyl alcohol) and Propan-2-ol (isopropyl alcohol) Butan-1-ol (n-Butyl alcohol) tert-Butyl alcohol, having a purity of less than 99 percent by weight Butanols other than butan-1-ol and tert-butyl alcohol having a purity of less than 99 percent by weight Octanol (Octyl acohol) and isomers thereof Dodecan-1-ol (Lauryl alcohol); hexadecan-1-ol (Cetyl alcohol); octadecan-1-ol (Stearyl alcohol) Pentanol (Amyl alcohol) and isomers thereof Saturated monohydric alcohols, nesoi Geraniol Isophytol Acyclic terpene alcohols, other than geraniol and isophytol Allyl alcohol Unsaturated monohydric alcohols, other than allyl alcohol or acyclic terpene alcohols Ethylene glycol (Ethanediol) Propylene glycol (Propane-1,2-diol) Butylene glycol Neopentyl glycol Hexylene glycol Dihydric alcohols (diols), nesoi 2-Ethyl-2-(hydroxymethyl)propane-1,3-diol (Trimethylolpropane) Pentaerythritol Mannitol D-glucitol (Sorbitol) Glycerol</w:t>
      </w:r>
    </w:p>
    <w:p>
      <w:pPr>
        <w:pStyle w:val="Normal"/>
      </w:pPr>
      <w:r>
        <w:t>Triols and tetrols Esters of glycerol formed with the acids of heading 2904 Xylitol Polyhydric alcohols derived from sugars, nesoi Polyhydric alcohols, nesoi Ethchlorvynol (INN) Halogenated, sulfonated, nitrated or nitrosated derivatives of monohydric alcohols Dibromoneopentylglycol Halogenated, sulfonated, nitrated or nitrosated derivatives of acyclic alcohols, nesoi Menthol Cyclohexanol, methylcyclohexanols and dimethylcyclohexanols Inositols Sterols 4,4’-Isopropylidenedicyclohexanol;and mixt. w/not less 90% stereoisomers of 2 isopropyl-5-methylcyclohexanol but n/o 30% any 1 stereoisomer Terpineols Other cyclanic, cyclenic or cycloterpenic alcohols and their halogenated, sulfonated, nitrated or nitrosated derivatives Benzyl alcohol Phenethyl alcohol Odoriferous or flavoring compounds of aromatic alcohols and their halogenated, sulfonated, nitrated or nitrosated derivatives, nesoi 1,1-Bis(4-chlorophenyl)-2,2,2-trichloroethanol (Dicofol); and p-nitrobenzyl alcohol Other aromatic alcohols and their halogenated, sulfonated, nitrated or nitrosated derivatives Phenol (Hydroxybenzene) and its salts Cresols and their salts Octylphenol, nonylphenol and their isomers; salts thereof alpha-Naphthol 2-Naphthol Naphthols and their salts, other than alpha-Naphthol and 2-Naphthol Alkylcresols Alkylphenols Thymol 2-t-Butyl ethyl phenol; and 6-t-butyl-2,4-xylenol and ylenols and their salts Other monophenols Resorcinol and its salts Hydroquinone (Quinol) and its salts, photographic grade</w:t>
      </w:r>
    </w:p>
    <w:p>
      <w:pPr>
        <w:pStyle w:val="Normal"/>
      </w:pPr>
      <w:r>
        <w:t>Hydroquinone (Quinol) and its salts, other than photographic grade 4,4’-Isopropylidenediphenol (Bisphenol A, Diphenylolpropane) and its salts Phenol-alcohols Pyrogallic acid 4,4’-Biphenol tert-Butylhydroquinone Other polyphenols, nesoi Pentachlorophenol (ISO) 2,2-Bis(4-hydroxyphenyl)-1,1,1,3,3,3-hexafluoropropane 6-Chloro-m-cresol [OH=1]; m-chlorophenol; and chlorothymol 3-Hydroxy-alpha,alpha,alpha-trifluorotoluene Pentachlorophenol and its salts; and 2,4,5-trichlorophenol and its salts Tetrabromobisphenol A Derivatives of phenols or phenol-alcohols containing only halogen substituents and their salts described in add. U.S. note 3 to sec. VI Other halogenated, sulfonated, nitrated or nitrosated derivatives of phenol or phenol- alcohols Dinoseb (ISO) and its salts 4,6-Dinitro-o-cresol (DNOC (ISO)) and its salts Specified derivatives of phenols or phenol-alcohols containing only sulfo groups, their salts and esters 4-Hydroxy-1-naphthalenesulfonic acid 1,8-Dihydroxynaphthalene-3,6-disulfonic acid and its sodium salt Derivatives nesoi,of phenols or phenol-alcohols cont. only sulfo groups, their salts and esters, described in add. U.S.</w:t>
      </w:r>
    </w:p>
    <w:p>
      <w:pPr>
        <w:pStyle w:val="Normal"/>
      </w:pPr>
      <w:r>
        <w:t>note 3 to section VI Derivatives of phenol or phenol-alcohols containing only sulfo groups, their salts and esters, nesoi p-Nitrophenol Nitrophenols, except p-nitrophenol Dinitro-o-cresols (other than 4,6-dinitro-o-cresol) and 4-nitro-m-cresol Dinitrobutylphenol and its salts Halogenated, sulfonated, nitrated or nitrosated derivatives of phenols or phenol- alcohols described in additional U.S. note 3 to section VI Halogenated, sulfonated, nitrated or nitrosated derivatives of phenols or phenol- alcohols, nesoi Diethyl ether Methyl tertiay-butyl ether. (MTBE) Ethers of acyc monohydric alcohols &amp; deriv, nesoi Triethylene glycol dichloride Ethers of polyhydric alcohols and their halogenated, sulfonated, nitrated or nitrosated derivatives, nesoi Cyclanic, cyclenic or cycloterpenic ethers and their halogenated, sulfonated, nitrated or nitrosated derivatives 5-Chloro-2-nitroanisole; 6-chloro-3-nitro-p-dimethoxybenzene; and dimethyl diphenyl ether Decabromodiphenyl oxide; and octabromodiphenyl oxide Bis-(tribromophenoxy)ethane; pentabromodiphenyl oxide; and tetradecabromodiphenoxy benzene 6-tert-Butyl-3-methyl-2,4-dinitroanisole (Musk ambrette) and other artificial musks Odoriferous or flavoring compounds of aromatic ethers and their halogenated, sulfonated, nitrated or nitrosated derivatives, nesoi Pesticides, of aromatic ethers and their halogenated, sulfonated, nitrated or nitrosated derivatives Aromatic ethers and their halogenated, sulfonated, nitrated or nitrosated</w:t>
      </w:r>
    </w:p>
    <w:p>
      <w:pPr>
        <w:pStyle w:val="Normal"/>
      </w:pPr>
      <w:r>
        <w:t>derivatives, nesoi, described in add. U.S. note 3 to section VI Other aromatic ethers and their halogenated, sulfonated, nitrated, or nitrosated derivatives, nesoi 2,2’-Oxydiethanol (Diethylene glycol, Digol) Monobutyl ethers of ethylene glycol or of diethylene glycol Monoalkyl ethers of ethylene glycol or of diethylene glycol Guaifenesin Other aromatic ether-alcohols, their halogenated, sulfonated, nitrated or nitrosated derivatives described in add. US note 3 to section VI Aromatic ether-alcohols and their halogenated, sulfonated, nitrated or nitrosated derivatives, nesoi Nonaromatic glycerol ethers Di-pentaerythritol having a purity of 94% or more by weight Other non-aromatic ether-alcohols and their halogenated, sulfonated, nitrated or nitrosated derivatives 4-Ethylguaiacol Guaiacol and its derivatives Odoriferous or flavoring compounds of ether-phenols, ether-alcohol-phenols &amp; their halogenated, sulfonated, nitrated, nitrosated derivatives Ether-phenols, ether-alcohol-phenols &amp; their halogenated, sulfonated, nitrated, nitrosated derivatives nesoi, in add. U.S. note 3 to sec. VI Ether-phenols, ether-alcohol-phenols and their halogenated, sulfonated, nitrated or nitrosated derivatives, nesoi Aromatic alcohol, ether and ketone peroxides and their halogenated, sulfonated, nitrated, nitrosated derivatives, in add. US note 3 sec.</w:t>
      </w:r>
    </w:p>
    <w:p>
      <w:pPr>
        <w:pStyle w:val="Normal"/>
      </w:pPr>
      <w:r>
        <w:t>VI Aromatic alcohol peroxides, ether peroxides, ketone peroxides and their halogenated, sulfonated, nitrated or nitrosated derivatives, nesoi Nonaromatic alcohol, ether and ketone peroxides and their halogenated, sulfonated, nitrated or nitrosated derivatives Oxirane (Ethylene oxide) Methyloxirane (Propylene oxide) 1-Chloro-2,3-epoxypropane (Epichlorohydrin) Dieldrin Endrin Butylene oxide Aromatic epoxides, epoxyalcohols, epoxyphenols and epoxyethers, with a three- membered ring, and their derivatives, nesoi Other nonaromatic epoxides, epoxyalcohols and epoxyethers, with a three-membered ring and their halogenated, sulfonated, nitrated or nitrosated deriv 1,1-Bis-(1-methylethoxy)cyclohexane Acetals and hemiacetals, whether or not with other oxygen function, and their halogenated, sulfonated, nitrated or nitrosated derivatives Methanal (Formaldehyde) Ethanal (Acetaldehyde) Citral Odoriferous or flavoring compounds of acyclic aldehydes without other oxygen function, nesoi Butanal (Butyraldehyde, normal isomer) Glyoxal Isobutanal Acyclic aldehydes without other oxygen function, nesoi Benzaldehyde Phenylacetaldehyde 3,4-Dimethylbenzaldehyde; paraldehyde, USP grade; and p-tolualdehyde Other cyclic aldehydes without other oxygen function Vanillin (4-Hydroxy-3-methoxybenzaldehyde) Ethylvanillin (3-Ethoxy-4-hydroxy-benzaldehyde) p-Anisaldehyde P-Hydroxybenzaldehyde Other aromatic aldehyde-alcohols, aldehyde-ethers, aldehyde-phenols and aldehydes with other oxygen function</w:t>
      </w:r>
    </w:p>
    <w:p>
      <w:pPr>
        <w:pStyle w:val="Normal"/>
      </w:pPr>
      <w:r>
        <w:t>Hydroxycitronellal Nonaromatic aldehyde-alcohols, other than hydroxycitronellal Nonaromatic aldehyde-ethers, aldehyde-phenols and aldehydes with other oxygen function, nesoi Metaldehyde from cyclic polymers of aldehydes Cyclic polymers of aldehydes, other than Metaldehyde. Paraformaldehyde 4-Fluoro-3-phenoxybenzaldehyde Aromatic halogenated, sulfonated, nitrated or nitrosated derivatives of product of heading 2912 Nonaromatic halogenated, sulfonated, nitrated or nitrosated derivatives of products of heading 2912 Acetone, derived in whole or in part from cumene Acetone, not derived in whole or in part from cumene Butanone (Methyl ethyl ketone) 4-Methylpentan-2-one (Methyl isobutyl ketone) Acyclic ketones without other oxygen function, nesoi Cyclohexanone Methylcyclohexanone Ionones and methylionones Isophorone Natural camphor Synthetic camphor Cyclanic, cyclenic or cycloterpenic ketones without other oxygen function, nesoi Phenylacetone (Phenylpropan-2-one) 7-Acetyl-1,1,3,4,4,6-hexamethyltetrahydronaphthalene; 1-(2-Naphthalenyl)ethanone; and 6-Acetyl-1,1,2,3,3,5-hexamethylindan Aromatic ketones without other oxygen function, nesoi 4-Hydroxy-4-methylpentan-2-one (Diacetone alcohol) 1,2,3-Indantrione monohydrate (Ninhydrin) Aromatic ketone-alcohols and ketone-aldehydes, nesoi 1,3-Dihydroxyacetone Nonaromatic ketone-alcohols and ketone-aldehydes, nesoi 5-Benzoyl-4-hydroxy-2-methoxy-benzenesulfonic acid Aromatic ketone-phenols and ketones with other oxygen function Nonaromatic</w:t>
      </w:r>
    </w:p>
    <w:p>
      <w:pPr>
        <w:pStyle w:val="Normal"/>
      </w:pPr>
      <w:r>
        <w:t>ketone-phenols and ketones with other oxygen function Anthraquinone Coenzyme Q10 (ubidecarenone (INN) Photographic chemicals of quinones Quinone drugs 1,4-Dihydroxyanthraquinone; and 2-ethylanthraquinone Quinones, nesoi Halogenated, sulfonated, nitrated or nitrosated derivatives: chlordecone (ISO) 2,3-dichloro-1,4-naphthoquinone and other artificial musks Anthraquinone disulfonic acid, sodium salt; and 4-(3,4-Dichlorophenyl)-1-tetralone Other halogenated, sulfonated, nitrated, etc derivatives of aromatic ketones and quinones whether or not with other oxygen function 1-Chloro-5-hexanone Other halogenated, sulfonated, nitrated or nitrosated derivatives of nonaromatic ketones and quinones whether or not with other ogygen function Formic acid Salts of formic acid Aromatic esters of formic acid Nonaromatic esters of formic acid Acetic acid Acetic anhydride Cupric acetate monohydrate Sodium acetate Cobalt acetates Other salts of acetic acid Ethyl acetate Vinyl acetate n-Butyl acetate Dinoseb (ISO) acetate Benzyl acetate Odoriferous or flavoring compounds of aromatic esters of acetic acid, other than benzyl acetate Aromatic esters of acetic acid described in additional U.S.</w:t>
      </w:r>
    </w:p>
    <w:p>
      <w:pPr>
        <w:pStyle w:val="Normal"/>
      </w:pPr>
      <w:r>
        <w:t>note 3 to section VI Aromatic esters of acetic acid, nesoi Linalyl acetate Odoriferous or flavoring compounds of nonaromatic esters of acetic acid, nesoi Acetates of polyhydric alcohols or of polyhydric alcohol ethers Bis(bromoacetoxy)butene Isobutyl acetate 2-Ethoxyethyl acetate (Ethylene glycol, monoethyl ether acetate) Other non-aromatic esters of acetic acid Chloroacetic acids Aromatic salts and esters of chlorocetic acids, described in additional U.S.</w:t>
      </w:r>
    </w:p>
    <w:p>
      <w:pPr>
        <w:pStyle w:val="Normal"/>
      </w:pPr>
      <w:r>
        <w:t>note 3 to section VI Aromatic salts and esters of chlorocetic acids, nesoi Nonaromatic salts and esters of chlorocetic acids, nesoi Propionic acid Aromatic salts and esters of propionic acid Nonaromatic salts and esters of propionic acid Aromatic salts and esters of butyric acids and valeric acids Butyric acids, valeric acids, their nonaromatic salts and esters Palmitic acid, stearic acid, their salts and esters Fatty acids of animal or vegetable origin, nesoi Valproic acid Saturated acyclic monocarboxylic acids, nesoi Aromatic anhydrides, halides, peroxides and peroxyacids, of saturated acyclic monocarboxylic acids, and their derivatives, nesoi Nonaromatic anhydrides, halides, peroxides and peroxyacids, of saturated acyclic monocarboxylic acids, and their derivatives, nesoi Acrylic acid and its salts Aromatic esters of acrylic acid Nonaromatic esters of acrylic acid Methacrylic acid and its salts Dicyclopentenyloxyethyl methacrylate Other esters of methacrylic acid Oleic, linoleic or linolenic acids Salts and esters of</w:t>
      </w:r>
    </w:p>
    <w:p>
      <w:pPr>
        <w:pStyle w:val="Normal"/>
      </w:pPr>
      <w:r>
        <w:t>oleic, linoleic or linolenic acids Binapacryl (ISO) Potassium sorbate Sorbic acid Unsaturated acyclic monocarboxylic acids, nesoi Unsaturated acyclic monocarboxylic acid anhydrides, halides, peroxides, peroxyacids and their derivatives, nesoi Tefluthrin Cyclanic, cyclenic or cycloterpenic monocarboxylic acids, their anhydrides, halides, peroxides, peroxyacids and their derivatives Benzoic acid and its salts Odoriferous or flavoring compounds of benzoic acid esters Benzoic acid esters, except odoriferous or flavoring compounds, described in additional U.S. note 3 to section VI Benzoic acid esters, nesoi Benzoyl peroxide Benzoyl chloride Phenylacetic acid (alpha-Toluic acid) Odoriferous or flavoring compounds of phenylacetic acid and its salts Phenylacetic acid salts, nesoi, described in additional US note 3 to section VI Phenylacetic acid salts, nesoi Benzoic anhydride; tert-butyl peroxybenzoate; p-nitrobenzoyl chloride; 2-nitro-m toluic acid; and 3-nitro-o-toluic acid Specified derivatives of benzoic and toluic acids Cinnamic acid 4-Chloro-3-nitrobenzoic acid 4-Chloro-3,5-dinitrobenzoic acid and its esters Ibuprofen 4-Chlorobenzoic acid 2,2-Dichlorophenylacetic acid ethyl ester and m-toluic acid Odoriferous or flavoring compounds of aromatic monocarboxylic acids, their anhydrides, halides, peroxides, peroxyacids and derivatives Aromatic monocarboxylic acids, their anhydrides, halides, peroxides, peroxyacids and derivatives described in add’l US note 3 to section VI</w:t>
      </w:r>
    </w:p>
    <w:p>
      <w:pPr>
        <w:pStyle w:val="Normal"/>
      </w:pPr>
      <w:r>
        <w:t>Phenylacetic acid esters, nesoi Other aromatic monocarboxylic acids, their anhydrides, halides, peroxides, peroxyacids and their derivatives Oxalic acid, its salts and esters Adipic acid Plasticizers of adipic acid salts and esters Adipic acid salts and esters, nesoi Azelaic acid, sebacic acid, their salts and esters Maleic anhydride derived in whole or in part from benzene or other aromatic hydrocarbons Maleic anhydride, except derived in whole or in part from benzene or other aromatic hydrocarbons Ferrous fumarate Fumaric acid, derived in whole or in part from aromatic hydrocarbons Fumaric acid except derived in whole or in part from aromatic hydrocarbons Specified acyclic polycarboxylic acids and their derivatives, described in additional U.S. note 3 to section VI Maleic acid Succinic acid, glutaric acid, and their derivatives, and derivatives of adipic, fumeric and maleic acids, nesoi Ethylene brassylate Malonic acid Acyclic polycarboxylic acids, derived from aromatic hydrocarbons, and their derivatives, nesoi Acyclic polycarboxylic acids and derivative (excluding plasticizers) Cyclanic, cyclenic or cycloterpenic polycarboxylic acids, their anhydrides, halides, peroxides, peroxyacids and their derivatives Dioctyl orthophthalates Dinonyl or didecyl orthophthalates Esters of orthophthalic acid, nesoi Phthalic anhydride Terephthalic acid and its salts Dimethyl terephthalate 1,2,4-Benzenetricarboxylic acid,1,2-dianhydride(trimellitic anhydride);naphthalic anhydride;phthalic</w:t>
      </w:r>
    </w:p>
    <w:p>
      <w:pPr>
        <w:pStyle w:val="Normal"/>
      </w:pPr>
      <w:r>
        <w:t>acid;&amp; 4-sulfo-1,8-naphthalic anhydride Naphthalic anhydride 4,4’-(Hexafluoroisopropyl-indene)bis(phthalic anhydride) Isophthalic acid Tetrabromophthalic anhydride Plasticizers of aromatic polycarboxylic acids, their anhydrides, halides, peroxides, peroxyacids and their derivatives Aromatic polycarboxylic acids, their anhydrides, halides, peroxides, peroxyacids and their derivatives nesoi, in add. U.S. note 3 to sec. VI Other aromatic polycarboxylic acids and their derivatives (excluding those described in additional US note 3 to section VI Lactic acid Salts and esters of lactic acid Tartaric acid Potassium antimony tartrate (Tartar emetic) Potassium bitartrate (Cream of tartar) Potassium sodium tartrate (Rochelle salts) Salts and esters of tartaric acid, nesoi Citric acid Sodium citrate Salts and esters of citric acid, except sodium citrate Gluconic acid Salts and esters of gluconic acid 2,2-Diphenyl-2-hydroxyacetic acid (benzilic acid) Chlorobenzilate (ISO) Benzilic acid, methyl ester Phenylglycolic acid (Mandelic acid) Phenylglycolic (Mandelic) acid salts and esters Aromatic carboxylic acids with alcohol function, w/o other oxygen functions, and their derivatives, described in add. U.S. note 3 to sec.</w:t>
      </w:r>
    </w:p>
    <w:p>
      <w:pPr>
        <w:pStyle w:val="Normal"/>
      </w:pPr>
      <w:r>
        <w:t>VI Aromatic carboxylic acids with alcohol function, without other oxygen functions, and their derivatives, nesoi Malic acid Nonaromatic carboxylic acids with alcohol function, without other oxygen function, and their derivatives, nesoi Salicylic acid and its salts, suitable for medicinal use Salicylic acid and its salts, not suitable for medicinal use O-Acetylsalicylic acid (Aspirin) Salts and esters Of O-acetylsalicylic acid Salol (Phenyl salicylate) suitable for medicinal use Odoriferous or flavoring compounds of other esters of salicyclic acid and their salts, nesoi Esters of salicylic acid and their salts, described in additional U.S. note 3 to section VI Esters of salicylic acid and their salts, nesoi 2,3-Cresotic acid; m-hydroxybenzoic acid;2-hydroxybenzoic acid, calcium salt; and other specified carboxylic acids w/phenol function 1,6-hexanediol-bis(3,5-dibutyl-4-hydroxyphenyl)propionate m-Hydroxybenzoic acid Gentisic acid; and hydroxycinnamic acid and its salts p-Hydroxybenzoic acid 3-Hydroxy-2-naphthoic acid Gallic acid 4,4-Bis(4-hydroxyphenyl)-pentanoic acid; and 3,5,6-triclorosalicylic acid Carboxylic acids with phenol function but w/o other oxygen function, described in add’l. U.S. note 3 to section VI Other carboxylic acids w/phenol function but w/o other oxygen function &amp; their derivatives (excluding goods of add.</w:t>
      </w:r>
    </w:p>
    <w:p>
      <w:pPr>
        <w:pStyle w:val="Normal"/>
      </w:pPr>
      <w:r>
        <w:t>US note 3 to section VI) 1-Formylphenylacetic acid, methyl ester 2-Chloro-4,5-difluoro-beta-oxobenzenepropanoic acid, ethyl ester; and ethyl 2-keto-4 phenylbutanoate Aromatic carboxylic acids w/aldehyde or ketone function but w/o other oxygen function &amp; their deriv desc. in add US note 3 to sec VI, nesoi Aromatic carboxylic acids with aldehyde or ketone function, but without other oxygen function, and derivatives, nesoi Dimethyl acetyl succinate; oxalacetic acid diethyl ester sodium salt; 4,4,4-trifluoro-3 oxobutanoic acid, both ethyl &amp; methyl ester versions Non-aromatic carboxylic acids w/aldehyde or ketone function but w/o other oxygen func. their anhydrides, halides, peroxides, etc derivatives 2, 4, 5-T (ISO) (2, 4, 5-trichlorophenoxyacetic acid), its salts and esters p-Anisic acid; clofibrate and 3-phenoxybenzoic acid 1-Hydroxy-6-octadecyloxy-2-naphthalenccarboxylic acid; and 1-hydroxy-6-docosyloxy 2-naphthalene carboxylic acid 2-(4-Chloro-2-methyl-phenoxy)propionic acid and its salts 4-(4-Chloro-2-methyl-phenoxy)butyric acid; p-chlorophenoxyacetic acid; and 2-(2,4 dichlorophenoxy)propionic acid Aromatic pesticides, derived from carboxylic acids with additional oxygen function, and their derivatives, nesoi Aromatic drugs derived from carboxylic acids with additional oxygen function, and their derivatives, nesoi Odoriferous or flavoring compounds of carboxylic acids with additional oxygen function, and their derivatives, nesoi Aromatic carboxylic acids with add’l</w:t>
      </w:r>
    </w:p>
    <w:p>
      <w:pPr>
        <w:pStyle w:val="Normal"/>
      </w:pPr>
      <w:r>
        <w:t>oxygen function and their anhydrides, halide, etc deriv described in add US note 3 to sect VI, nesoi Other aromatic carboxylic acids with add’l oxygen function and their anhydrides, halide, etc deriv (exclud goods in add US note 3 to sec VI) Nonaromatic carboxylic acids with additional oxygen function, and their derivatives, nesoi Tris (2,3-dibromopropyl phosphate) Triphenyl phosphate plasticizers Other aromatic plasticizers Aromatic phosphoric esters and their salts, including lactophosphates, and their derivatives, not used as plasticizers Nonaromatic phosphoric esters and their salts, including lactophosphates, and their derivatives Parathion (ISO) and parathion-methyl (ISO) (methyl-parathion) O,O-Dimethyl-O-(4-nitro-m-tolyl)-phosphorothioate (Fenitrothion) Other aromatic thiophosphoric esters (phosphorothioates) and their salts; their halogenated, sulfonated, nitrated or nitrosated derivatives Nonaromatic phosphorothioates, their salts and halogenated, sulfonated, nitrated or nitrosated derivatives, nesoi Dimethyl phosphite Diethyl phosphite Trimethyl phosphite Triethyl phosphite Other phosphite esters and their salts; their haolgenated, sulfonated, nitrated or nitrosated derivatives Endosulfan (ISO) Aromatic pesticides of esters of other inorganic acids (excluding hydrogen halides), their salts and their derivatives Aromatic esters of other inorganic acids (excluding hydrogen halides) their salts and their derivatives, nesoi Nonaromatic esters of inorganic acids of</w:t>
      </w:r>
    </w:p>
    <w:p>
      <w:pPr>
        <w:pStyle w:val="Normal"/>
      </w:pPr>
      <w:r>
        <w:t>nonmetals and their salts and derivatives, excluding esters of hydrogen halides, nesoi Methylamine, di- or trimethylamine, and their salts 2-(N,N-Dimethylamino)ethyl chloride hydrochloride 2-(N,N-Diethylamino)ethyl chloride hydrochloride 2-(N,N,-Diisopropylamino)ethyl chloride hydrochloride Mono- and triethylamines; mono-, di-, and tri(propyl- and butyl-) monoamines; salts of any of the foregoing 3-Amino-3-methyl-1-butyne; (Dimethylamino)isopropyl chloride hydrochloride N,N-Dialkyl (methyl, ethyl, N-Propyl or Isopropyl)-2-Chloroethylamines and their protonated salts; Acylcic monoamines and their derivatives, nesoi Ethylenediamine and its salts Hexamethylenediamine adipate (Nylon salt) Hexamethylenediamine and its salts (except Nylon salt), derived in whole or in part from adipic acid Hexamethylenediamine and its salts (except Nylon salt), not derived in whole or in part from adipic acid Acyclic polyamines, their derivatives and salts, other than ethylenediamine or hexamethylenediamine and their salts 1,3-Bis(aminoethyl)cyclohexane Cyclanic, cyclenic, cycloterpenic mono- or polyamines, derivatives and salts, from any aromatic compound desc in add US note 3, sec.</w:t>
      </w:r>
    </w:p>
    <w:p>
      <w:pPr>
        <w:pStyle w:val="Normal"/>
      </w:pPr>
      <w:r>
        <w:t>VI Cyclanic, cyclenic, cycloterpenic mono- or polyamines and their derivative, deriv from any aromatic cmpd (excl goods in add US note 3 sec VI Cyclanic, cyclenic or cycloterpenic mono- or polyamines, and their derivatives and salts, from any nonaromatic compounds Aniline Aniline salts N,N-Dimethylaniline N-Ethylaniline and N,N-diethylaniline 2,4,5-Trichloroaniline o-Aminobenzenesulfonic acid; 6-chlorometanilic acid; 2-chloro-5-nitroaniline; 4 chloro-3-nitroaniline; dichloroanilines; and other specified Metanilic acid Sulfanilic acid 3,4-Dichloroaniline m-Chloroaniline;2-chloro-4-nitroaniline;2,5-dicholoraniline-4-sulfonic acid &amp; its monosodium salt; &amp; other specified aniline derivatives Fast color bases of aniline derivatives and their salts Aniline derivatives and their salts of products in additional U.S.</w:t>
      </w:r>
    </w:p>
    <w:p>
      <w:pPr>
        <w:pStyle w:val="Normal"/>
      </w:pPr>
      <w:r>
        <w:t>note 3 to section VI Other aniline derivatives and their salts 3-Chloro-o-toluidine; and 6-chloro-o-toluidine 4-Chloro-o-toluidine hydrochloride; 5-chloro-o-o-toluidine; 6-chloro-2-toluidine sulfonic acid; 4-chloro-a,a,a-trifluoro-o-toluidine;&amp; other alpha,alpha,alpha-Trifluoro-2,6-dinitro-N,N-dipropyl-p-toluidine (Trifluralin) alpha,alpha,alpha-Trifluoro-o-toluidine; alpha,alpha,alpha-trifluoro-6-chloro-m toluidine N-Ethyl-N-(2-methyl-2-propenyl)-2,6-dinitro-4-(trifluoromethyl)benzenamine 2-Amino-5-chloro-4-ethyl-benzenesulfonic acid; 2-amino-5-chloro-p-toluenesulfonic acid; p-nitro-o-toluidine; and 3-(trifluoromethyl)aniline Toluidines and their derivatives; salts thereof; described in additional U.S. note 3 to section VI Other toluidines and their derivatives; and salts thereof, nesoi 4,4’-Bis(alpha,alpha-dimethlbenzyl)diphenylamine; and N-nitrosodiphenylamine Nitrosodiphenylamine Diphenylamine and its derivatives (except nitrodiphenylamine); salts thereof, described in additional U.S. note 3 to section VI Diphenylamine and its derivatives; salts thereof; excluding goods in additional U.S.</w:t>
      </w:r>
    </w:p>
    <w:p>
      <w:pPr>
        <w:pStyle w:val="Normal"/>
      </w:pPr>
      <w:r>
        <w:t>note 3 to section VI 7-Amino-1,3-naphthalenedisulfonic acid, specified naphthalenesulfonic acids and their salts; N-phenyl-2-napthylamine Specified aromatic monoamines and their derivatives; salts thereof Mixture of 5- &amp; 8-amino-2-naphthalenesulfonic acid;2-naphthalamine-o-sulfonic acid;&amp; o-naphthionic acid (1-amino-2-naphthalenesulfonic acid) Aromatic monoamines and their derivatives and salts described in additional US note 3 to section VI, nesoi Aromatic monoamines and their derivatives and salts thereof nesoi Amfetamine (INN), benzfetamine (INN), dexamfetamine (INN), etilamfetamine (INN), and other specified INNs; salts thereof 4-Amino-2-stilbenesulfonic acid and its salts, p-ethylaniline; 2,4,6-trimethylaniline (Mesidine); and specified xylidines m-Nitro-p-toluidine Fast color bases of aromatic monamines and their derivatives Aromatic monoamine antidepressants, tranquilizers and other psychotherapeutic agents, nesoi Aromatic monoamine drugs, nesoi Aromatic monoamines and their derivatives nesoi; salts thereof, described in additional U.S.</w:t>
      </w:r>
    </w:p>
    <w:p>
      <w:pPr>
        <w:pStyle w:val="Normal"/>
      </w:pPr>
      <w:r>
        <w:t>note 3 to section VI Aromatic monoamines and their derivatives and salts thereof, nesoi 4-Amino-2-(N,N-diethylamino)toluene hydrochloride; m- and o-phenylenediamine; toluene-2,4- and -2,5-diamine; and toluene-2,5-diamine sulfate Photographic chemicals of o-, m-, p-phenylenediamine, diaminotoluenes, and their derivatives, and salts thereof o-, m-, p-Phenylenediamine, diaminotoluenes, and their derivatives, and salts thereof, described in additional U.S. note 3 to section VI o-, m-, p-Phenylenediamine, and diaminotoluenes and their derivatives, and salts thereof, nesoi 1,8-diaminonaphthalene (1,8-naphthalenediamino) 5-Amino-2-(p-aminoanilino)benzenesulfonic acid; 4,4-diamino-3-biphenylsulfonic acid; 3,3-dimethylbenzidine (o-tolidine); &amp; other specified 4,4’-Benzidine-2,2’-disulfonic acid;1,4-diaminobenzene-2-sulfonic acid;4,4’ methylenebis-(2,6-diethylaniline);m-xylenediamine; and 1 other 4,4’-Diamino-2,2’-stilbenedisulfonic acid 4,4’-Methylenedianiline Aromatic polyamines and their derivatives and salts thereof, described in additional U.S.</w:t>
      </w:r>
    </w:p>
    <w:p>
      <w:pPr>
        <w:pStyle w:val="Normal"/>
      </w:pPr>
      <w:r>
        <w:t>note 3 to section VI Aromatic polyamines and their derivatives; salts thereof nesoi Monoethanolamine and its salts Diethanolamine and its salts Dextropropoxyphene (INN) and its salts Triethanolamine Diethylammonium perfluorooctane sulfonate Methyldiethanolamine and ethyldiethanolamine 2-(N,N-Diisopropylamino)ethanol Aromatic amino-alcohols drugs, their ethers and esters, other than those containing &gt; one kind of oxygen function; salts thereof; nesoi 4,4’-Bis(dimethylamino)benzhydrol (Michler’s hydrol) and other specified aromatic amino-alcohols, their ethers and esters; salts thereof N1-(2-Hydroxyethyl-2-nitro-1,4-phenylendiamine; N1,N4,N4-tris(2-hydroxyethyl)-2 nitro-1,4-phenylenediamine; and other specified chemicals Aromatic amino-alcohols, their ethers and esters, other than those containing more than one oxy func described in add. US note 3 to sect VI Other aromatic amino-alcohols, their ethers &amp; esters, other than those contain more than one oxy func (exc goods of add.</w:t>
      </w:r>
    </w:p>
    <w:p>
      <w:pPr>
        <w:pStyle w:val="Normal"/>
      </w:pPr>
      <w:r>
        <w:t>US note 3 sect VI) Salts of triethanolamine Amino-alcohols, other than those containing more than one kind of oxygen function, their ethers and esters and salts thereof, nesoi 1-Amino-8-hydroxy-3,6-naphthalenedisulfonic acid; and other specified aminohydroxynaphthalenesulfonic acids and their salts 1-Amino-8-hydroxy-4,6-naphthalenedisulfonic acid, monosodium salts Aminohydroxynaphthalene sulfonic acids and their salts of products described in additional US note 3 to section VI Aminohydroxynaphthalene sulfonic acids and their salts, nesoi o-Anisidine; p-anisidine; and p-phenetidine m-Nitro-p-anisidine and m-nitro-o-anisidine as fast color bases m-Nitro-p-anisidine and m-nitro-o-anisidine, nesoi 2-Amino-6-chloro-4-nitrophenol and other specified amino-naphthols and amino- phenols, their ethers and esters; salts thereof o-Aminophenol; and 2,2-bis-[4-(4-aminophenoxy)phenyl]propane m-Diethylaminophenol; m-dimethylaminophenol; 3-ethylamino-p-cresol; and 5 methoxy-m-phenylenediamine 4-Chloro-2,5-dimethoxyaniline; and 2,4-dimethoxyaniline Amino-naphthols and other amino-phenols and their derivatives used as fast color bases Drugs of amino-naphthols and -phenols, their ethers and esters, except those cont. more than one oxygen function; salts thereof, nesoi Photographic chemicals of amino-naphthols and -phenols, their ethers/esters, except those cont.</w:t>
      </w:r>
    </w:p>
    <w:p>
      <w:pPr>
        <w:pStyle w:val="Normal"/>
      </w:pPr>
      <w:r>
        <w:t>more than one oxygen function; salts, nesoi Amino-naphthols and other amino-phenols and their derivatives of products described in add’l U.S. note 3 to section VI Amino-naphthols and other amino-phenols; their ethers, esters &amp; salts (not containing more than one oxygen function) thereof nesoi Amfepramone (INN), methadone (INN) and normethadone (INN); salts thereof 1-Amino-2,4-dibromoanthraquinone; and 2-Amino-5-chlorobenzophenone 2’-Aminoacetophenone &amp; other specified aromatic amino-aldehydes, -ketones and  quinones, other than those with more than one oxygen function 2-Aminoanthraquinone 1-Aminoanthraquinone Aromatic amino-aldehydes, -ketones and -quinones, other than those with more than one oxygen function; salts; desc in add US note 3 sec VI Aromatic amino-aldehydes, -ketones and -quinones, other than those with more than one oxygen function; salts thereof; nesoi Nonaromatic amino-aldehydes, -ketones and -quinones, other than those with more than one kind of oxygen function, salts thereof; nesoi Lysine and its esters and salts thereof Monosodium glutamate Glutamic acid and its salts, other than monosodium glutamate Anthranilic acid and its salts, described in additional US note 3 to section VI Anthranilic acid and its salts, nesoi Tildine (INN) and its salts (R)-alpha-Aminobenzeneacetic acid;</w:t>
      </w:r>
    </w:p>
    <w:p>
      <w:pPr>
        <w:pStyle w:val="Normal"/>
      </w:pPr>
      <w:r>
        <w:t>and 2-amino-3-chlorobenzoic acid, methyl ester m-Aminobenzoic acid, technical; and other specified aromatic amino-acids and their esters, except those with more than one oxygen</w:t>
      </w:r>
    </w:p>
    <w:p>
      <w:pPr>
        <w:pStyle w:val="Normal"/>
      </w:pPr>
      <w:r>
        <w:t>function Aromatic amino-acids drugs and their esters, not containing more than one kind of oxygen function, nesoi Aromatic amino-acids and their esters, excl. those with more than one oxygen function; salts; described in add. U.S. note 3 to sect VI Aromatic amino-acids and their esters, not contng more than 1 kind of oxygen function (excluding goods in add U.S. note 3 to sec VI), nesoi Glycine (aminoacetic acid) Nonaromatic amino-acids, other than those containing more than one kind of oxygen function, other than glycine 3-Aminocrotonic acid, methyl ester; and (R)-alpha-amino-1,4-cyclohexadiene-1-acetic acid Non-aromatic esters of amino-acids, other than those containing more than one kind of oxygen function; salts thereof 3,4-Diaminophenetole dihydrogen sulfate; 2-nitro-5-[(2,3-dihydroxy)propoxy]-N methylaniline; and other specified aromatic chemicals Specified aromatic amino-alcohol-phenols, amino-acid-phenols and other amino- compounds with oxygen function Salts of d(underscored)-(-)-p-Hydroxyphenylglycine Isoetharine hydrochloride and other specified aromatic drugs of amino-compounds with oxygen function Other aromatic cardiovascular drugs of amino-compounds with oxygen function Aromatic dermatological agents and local anesthetics of amino-compounds with oxygen function Aromatic guaiacol derivatives of amino-compounds with oxygen function Aromatic drugs of amino-compounds with oxygen function, nesoi Aromatic amino-alcohol-phenols, amino-acid-phenols and other</w:t>
      </w:r>
    </w:p>
    <w:p>
      <w:pPr>
        <w:pStyle w:val="Normal"/>
      </w:pPr>
      <w:r>
        <w:t>amino-compounds with oxygen function described in add. US note 3 to section VI Aromatic amino-alcohol-phenols, amino-acid-phenols and other amino-compounds with oxygen function, nesoi Nonaromatic amino-alcohol-phenols, amino-acid-phenols and other amino-compounds with oxygen function Choline and its salts Purified egg phospholipids, pharmaceutical grade meeting requirements of the U.S. FDA for use in intravenous fat emulsion Lecithins and other phosphoaminolipids, nesoi Tetraethylammonium perfluorooctane sulfonate Didecylmethylammonium perfluorooctane sulfonate Quaternary ammonium salts and hydroxides, whether or not chemically defined, nesoi Meprobamate (INN) Fluoroacetamide (ISO), monocrotophos (ISO) and phosphamidon (ISO) Acyclic amides (including acyclic carbamates) Acyclic amide derivatives; salts thereof; nesoi 3-(p-Chlorophenyl)-1,1-dimethylurea (Monuron) 1,1-Diethyl-3-(alpha,alpha,alpah-trifluoro-m-tolyl)urea (Fluometuron) 1-(2-Methylcyclohexyl)-3-phenylurea Aromatic ureines and their derivatives pesticides, nesoi sym-Diethyldiphenylurea Aromatic ureines and their derivatives; salts thereof; described in additional U.S. note 3 to section VI Aromatic ureines and their derivatives; salts thereof, nesoi Nonaromatic ureines and their derivatives; and salts thereof 2-Acetamidobenzoic acid 2-Acetamidobenzoic acid salts described in additional U.S.</w:t>
      </w:r>
    </w:p>
    <w:p>
      <w:pPr>
        <w:pStyle w:val="Normal"/>
      </w:pPr>
      <w:r>
        <w:t>note 3 to section VI 2-Acetamidobenzoic acid salts, nesoi Ethinamate (INN) Alachlor (ISO) p-Acetanisidide; p-acetoacetatoluidide; 4’-amino-N-methylacetanilide; 2,5 dimethoxyacetanilide; and N-(7-hydroxy-1-naphthyl)acetamide 3,5-Dinitro-o-toluamide Biligrafin acid; 3,5-diacetamido-2,4,6-triiodobenzoic acid; and metrizoic acid Acetanilide; N-acetylsulfanilyl chloride; aspartame; and 2-methoxy-5-acetamino-N,N bis(2-acetoxyethyl)aniline 2-Acetamido-3-chloroanthraquinone; o-acetoacetaidide; o-acetoacetotoluidide; 2,4 acetoacetoxylidide; and 1-amino-5-benzamidoanthraquinone 4-Aminoacetanilide; 2-2-oxamidobis[ethyl-3-(3,5-di-tert-butyl-4 hydroxyphenyl)propionate]; and other specified cyclic amide chemicals 3-Aminomethoxybenzanilide N-[[(4-Chlorophenyl)amino]carbonyl]difluorobenzamide; and 3,5-dichloro-N-(1,1 dimethyl-2-propynyl)benzamide (pronamide) 4-Acetamido-2-aminophenol; p-acetaminobenzaldehyde; acetoacetbenzylamide; p acetoacetophenetidide; N-acetyl-2,6-xylidine; &amp; other specified 3-Hydroxy-2-naphthanilide; 3-hydroxy-2-naphtho-o-toluidide; 3-hydroxy-2-naphtho-o anisidine; 3-hydroxy-2-naphtho-o-phenetidide; &amp; other Naphthol AS and derivatives, nesoi 3-Ethoxycarbonylaminophenyl-N-phenylcarbamate (desmedipham); and Isopropyl-N (3-chlorophenyl)carbamate (CIPC) Other cyclic amides used as pesticides Aromatic cyclic amides for use as fast color bases Diethylaminoacetoxylidide (Lidocaine) Other aromatic cyclic amides and derivatives for use as drugs</w:t>
      </w:r>
    </w:p>
    <w:p>
      <w:pPr>
        <w:pStyle w:val="Normal"/>
      </w:pPr>
      <w:r>
        <w:t>5-Bromoacetyl-2-salicylamide Aromatic cyclic amides and their derivatives of products described in additional U.S. note 3 to section VI, nesoi Aromatic cyclic amides (incl cyclic carbamates) and their derivatives and salts thereof, nesoi 2,2-Dimethylcyclopropylcarboxamide Other nonaromatic cyclic amides and their derivatives; salts thereof; nesoi Saccharin and its salts Glutethimide (INN) Ethylenebistetrabromophthalimide Bis(o-tolyl)carbodiimide; and 2,2,6,6-tetraisopropyldiphenylcarbodiimide Other aromatic imides and their derivatives; salts thereof; nesoi N-Chlorosuccinimide; and N,N-ethylenebis(5,6-dibromo-2,3 norbornanedicarbooximide Other non-aromatic imides and their derivatives Chlordimeform (ISO) N’-(4-Chloro-o-tolyl)-N,N-dimethylformamidine; bunamidine hydrochloride; and pentamidine N,N’-diphenylguanidine; 3-dimethylaminomethyleneiminophenol hydrochloride; 1,3-di o-tolyguandidine; and one other specified chemical Aromatic drugs of imines and their derivatives, nesoi Aromatic imines and their derivatives; salts thereof (excluding drugs); nesoi Tetramethylguanidine Non-aromatic imines and their derivatives; salts thereof Acrylonitrile 1-Cyanoguanidine (Dicyandiamide) Fenproporex (INN) and its salts 4-Cyano-2-dimethylamino-4,4-diphenylbutane alpha-Phenylacetoacetonitrile 2-Cyano-4-nitroaniline 2-Amino-4-chlorobenzonitrile (5-chloro-2-cyanoaniline); 2-amino-5 chlorobenzonitrile; 4-amino-2-chlorobenzonitrile; and others specified Benzonitrile 2,6-Diclorobenzonitrile</w:t>
      </w:r>
    </w:p>
    <w:p>
      <w:pPr>
        <w:pStyle w:val="Normal"/>
      </w:pPr>
      <w:r>
        <w:t>Other dichlorobenzonitriles p-Chlorobenzonitrile and verapamil hydrochloride Specifically named derivative of dimethylcyclopropanecarboxylic acid o-Chlorobenzonitrile N,N-Bis(2-cyanoethyl)aniline; and 2,6-diflourobenzonitrile Aromatic fungicides of nitrile-function compounds 3,5-Dibromo-4-hydroxybenzonitrile (Bromoxynil) Aromatic herbicides of nitrile-function compounds, nesoi Other aromatic nitrile-function pesticides Aromatic nitrile-function compounds, nesoi, described in additional U.S. note 3 to section VI Aromatic nitrile-function compounds other than those products in additional U.S. note 3 to section VI, nesoi Nonaromatic nitrile-function compounds, nesoi 4-Aminoazobenzenedisulfonic acid, monosodium salt p-Aminoazobenzenedisulfonic acid; and diazoaminobenzene (1,3-diphenyltriazine) 1,1’-Azobisformamide 1-Naphthalenesulfonic acid, 6-diazo-5,6-dihydro-5-oxo, ester with phenyl compound; and three other specified chemicals Diazo-, azo- or azoxy-compounds used as photographic chemicals Fast color bases and fast color salts, of diazo-, azo- or azoxy-compounds Diazo-, azo- or azoxy-compounds, nesoi, described in additional U.S.</w:t>
      </w:r>
    </w:p>
    <w:p>
      <w:pPr>
        <w:pStyle w:val="Normal"/>
      </w:pPr>
      <w:r>
        <w:t>note 3 to section VI Other diazo-, azo- or azoxy-compounds, nesoi Methyl ethyl ketoxime Phenylhydrazine Aromatic organic derivatives of hydrazine or of hydroxylamine Nonaromatic drugs of organic derivatives of hydrazine or of hydroxylamine, other than Methyl ethyl ketoxime Nonaromatic organic derivatives of hydrazine or of hydroxylamine, nesoi Toluenediisocyanates (unmixed) Mixtures of 2,4- and 2,6-toluenediisocyanates Bitolylene diisocyanate (TODI); o-Isocyanic acid, o-tolyl ester; and Xylene diisocyanate N-Butylisocyanate; cyclohexyl isocyanate; 1-isocyanato-3-(trifluoromethyl)benzene; 1,5-naphthalene diisocyanate; and octadecyl isocyanate 3,4-Dichlorophenylisocyanate 1,6-Hexamethylene diisocyanate Isocyanates of products described in additioonal U.S. note 3 to sect VI Other isocyanates, nesoi 2,2-Bis(4-cyanatophenyl)-1,1,1,3,3,3,-hexafluoropropane; 2,2-bis(4 cyanatophenyl)propane; 1,1-ethylidenebis(phenyl-4-cyanate); and 2 others Other aromatic compounds with other nitrogen function of products described in additional U.S.</w:t>
      </w:r>
    </w:p>
    <w:p>
      <w:pPr>
        <w:pStyle w:val="Normal"/>
      </w:pPr>
      <w:r>
        <w:t>note 3 to section VI Aromatic compounds with other nitrogen function, nesoi Nonaromatic compounds with other nitrogen functions, except isocyanates Aromatic pesticides of thiocarbamates and dithiocarbamates Aromatic compounds of thiocarbamates and dithiocarbamates, excluding pesticides S-(2,3,3-trichloroallyl)diisopropylthiocarbamate Other non-aromatic thiocarbamates and dithiocarbamates Tetramethylthiuram monosulfide Thiuram mono-, di- or tetrasulfides, other than tetramethylthiuram monosulfide Methionine 2-(N,N-Diethylamino)ethanethiol Bis(2-hydroxyethyl)sulfide (thiodiglycol (INN)) Aldicarb (ISO), captafol (ISO) and methamidophos (ISO) Aromatic pesticides of organo-sulfur compounds, nesoi N-Cyclohexylthiophthalimide 3-(4-Aminobenzamido)phenyl-beta-hydroxyethylsulfone; 2-[(4 aminophenyl)sulfonyl]ethanol, hydrogen sulfate ester; diphenylthiourea; &amp; others Other aromatic organo-sulfur compounds (excluding pesticides) Thiocyanates, thiurams and isothiocyanates O,O-Dimethyl-S-methylcarbamoylmethyl phosphorodithioate; and malathion Other non-aromatic organo-sulfur compounds used as pesticides dl(underscored)-Hydroxy analog of dl(underscored)-methionine Nonaromatic organo-sulfur acids, nesoi Dibutylthiourea Other non-aromatic organo-sulfur compounds Tetramethyl lead &amp; tetraethyl lead Tributyltin compounds Dimethyl methylphosphonate Dimethyl propylphosphonate Diethyl ethylphosphonate Sodium 3-(trihydroxysilyl)propyl methylphosphonate</w:t>
      </w:r>
    </w:p>
    <w:p>
      <w:pPr>
        <w:pStyle w:val="Normal"/>
      </w:pPr>
      <w:r>
        <w:t>2,4,6-Tripropyl-1,3,5,2,4,6-trioxatriphosphinane-2,4,6-trioxide (5-Ethyl-2-methyl-2-oxido-1,3,2-dioxaphosphinan-5-yl)methyl methylphosphonate Bis[(5-ethyl-2-methyl-2-oxido-1,3,2-dioxaphosphinan-5-yl)methyl] methylphosphonate Salt of methylphosphonic acid and (aminoiminiomethyl)urea (1:1) Other organo-phosphorous derivatives, nesoi Diphenyldichlorosilane; and phenyltrichlorosilane 4,4’-Diphenyl-bis-phosphonous acid, di(2’,2“,4’,4”-di-tert-butyl)phenyl ester Sodium tetraphenylboron Drugs of aromatic organo-inorganic (except organo-sulfur) compounds Pesticides of aromatic organo-inorganic (except organo-sulfur) compounds Aromatic organo-inorganic compounds, nesoi, described in additional U.S. note 3 to section VI Other aromatic organo-inorganic compounds (excluding products described in additional U.S. note 3 to section VI) N,N’-Bis(trimethylsilyl)urea;2-Phosphonobutane-1,2,4-tricarboxylic acid and its salts; and one other specified chemical Other non-aromatic organo-inorganic compounds Tetrahydrofuran 2-Furaldehyde (Furfuraldehyde) Furfuryl alcohol and tetrahydrofurfuryl alcohol Sucralose Aromatic heterocyclic compounds with oxygen hetero-atom(s) only, containing an unfused furan ring, nesoi Nonaromatic compounds containing an unfused furan ring (whether or not hydrogenated) in the ring Coumarin, methylcoumarins and ethylcoumarins Aromatic pesticides of lactones Aromatic drugs of lactones 4-Hydroxycoumarin Aromatic lactones, nesoi, described in additional U.S.</w:t>
      </w:r>
    </w:p>
    <w:p>
      <w:pPr>
        <w:pStyle w:val="Normal"/>
      </w:pPr>
      <w:r>
        <w:t>note 3 to section VI Aromatic lactones, nesoi Nonaromatic lactones Isosafrole 1-(1,3-Benzodioxol-5-yl)propan-2-one Piperonal (heliotropin) Safrole Tetrahydrocannabinols (all isomers) 2,2-Dimethyl-1,3-benzodioxol-4-yl methylcarbamate (Bendiocarb) 2-Ethoxy-2,3-dihydro-3,3-dimethyl-5-benzofuranylmethanesulfonate Aromatic pesticides of heterocyclic compounds with oxygen hetero-atom(s) only, nesoi Benzofuran (Coumarone); and Dibenzofuran (Diphenylene oxide) 2-Hydroxy-3-dibenzofurancarboxylic acid Benzointetrahydropyranyl ester; and Xanthen-9-one Bis-O-[(4-methylphenyl)methylene]-D-glucitol (Dimethylbenzylidene sorbitol); and Rhodamine 2C base Aromatic heterocyclic compounds with oxygen hetero-atom(s) only described in additional U.S. note 3 to section VI, nesoi Aromatic heterocyclic compounds with oxygen hetero-atom(s) only, nesoi Nonaromatic heterocyclic compounds with oxygen hetero-atom(s) only, nesoi Phenazone (Antipyrine) and its derivatives Aminoethylphenylpyrazole (phenylmethylaminopyrazole); 3-methyl-1-(p-tolyl)-2 pyrazolin-5-one (p-tolylmethylpyrazolone) 3-(5-Amino-3-methyl-1H-pyrazol-1-yl)benzenesulfonic acid; amino-J-pyrazolone; and another 12 specified chemicals 1,2-Dimethyl-3,5-diphenyl-1H-pyrazolium methyl sulfate (difenzoquat methyl sulfate) 2-Chloro-5-sulfophenylmethylpyrazolone; phenylcarbethyoxypyrazolone; and 3 other specified chemicals Aromatic or modified aromatic pesticides containing an unfused pyrazole ring (whether or not hydrogenated) in the structure</w:t>
      </w:r>
    </w:p>
    <w:p>
      <w:pPr>
        <w:pStyle w:val="Normal"/>
      </w:pPr>
      <w:r>
        <w:t>Aromatic or modified aromatic photographic chemicals containing an unfused pyrazole ring (whether or n/hydrogenated) in the structure, nesoi Aromatic or modified aromatic drugs of heterocyclic compounds with nitrogen hetero- atom(s) only containing an unfused pyrazole ring Aromatic or mod. aromatic compound desc in add US note 3 to section VI contain an unfused pyrazole ring (w/wo hydrogenated) in the structure Aromatic or modified aromatic compounds (excluding products in add US note 3 to sec VI) containing an unfused pyrazole ring in the structure Nonaromatic drugs of heterocyclic compounds with nitrogen hetero-atom(s) only containing an unfused pyrazole ring 3-Methyl-5-pyrazolone Other compound (excluding aromatic, modified aromatic &amp; drugs) containing unfused pyrazole ring (whether or n/hydrogenated) in the structure Hydantoin and its derivatives 1-[1-((4-Chloro-2-(trifluoromethyl)phenyl)imino)-2-propoxyethyl]-1H-imidazole (triflumizole); and ethylene thiourea 2-Phenylimidazole Aromatic or modified aromatic drugs of heterocyclic compounds with nitrogen hetero- atom(s) only cont. an unfused imidazole ring Aromatic or mod.</w:t>
      </w:r>
    </w:p>
    <w:p>
      <w:pPr>
        <w:pStyle w:val="Normal"/>
      </w:pPr>
      <w:r>
        <w:t>aromatic goods in add US note 3 to sect VI containing an unfused imidazole ring (whether or n/hydrogenated) in structure Aromatic or mod aromatic goods contng unfused imidazole ring (whether or n/hydrogenated) in the structure (exc prod in add US note 3 sec VI) Nonaromatic drugs of heterocyclic compounds with nitrogen hetero-atom(s) only, containing an unfused imidazole ring, nesoi Imidazole Other compounds (excluding drugs, aromatic and modified aromatic compounds) containing an unfused imidazole ring (whether or n/hydrogenated) Pyridine and its salts Piperidine Piperidine salts Alfentanil (INN), anileridine (INN), bezitramide (INN), bromazepam (INN), difenoxin (INN), and other specified INNs; salts thereof 1-(3-Sulfapropyl)pryidinium hydroxide; N,N-bis(2,2,6,6-tetramethyl-4-piperidinyl)-1,6 hexanediamine; and 5 other specified chemicals Collidines, lutidines and picolines Quinuclidin-3-ol p-Chloro-2-benzylpyridine &amp; other specified heterocyclic compounds, w nitrogen hetero-atom(s) only cont.</w:t>
      </w:r>
    </w:p>
    <w:p>
      <w:pPr>
        <w:pStyle w:val="Normal"/>
      </w:pPr>
      <w:r>
        <w:t>an unfused pyridine ring Fungicides of heterocyclic compounds with nitrogen hetero-atom(s) only, containing an unfused pyridine ring o-Paraquat dichloride Herbicides nesoi, of heterocyclic compounds with nitrogen hetero-atom(s) only, containing an unfused pyridine ring Pesticides nesoi, of heterocyclic compounds with nitrogen hetero-atom(s) only, containing an unfused pyridine ring Psychotherapeutic agents of heterocyclic compounds with nitrogen hetero-atom(s) only, containing an unfused pyridine ring, nesoi Drugs containing an unfused pyridine ring (whether or not hydrogenated) in the structure, nesoi Heterocyclic compounds with nitrogen hetero-atom(s) only containing an unfused pyridine ring, described in add. US note 3 to sec. VI Heterocyclic compounds with nitrogen hetero-atom(s) only containing an unfused pyridine ring, nesoi Levorphenol (INN) and its salts 4,7-Dichloroquinoline Ethoxyquin (1,2-Dihydro-6-ethoxy-2,2,4-trimethylquinoline) 8-Methylquinoline and Isoquinoline Ethyl ethyl-6,7,8-trifluoro-1,4-dihydro-4-oxo-3-quinoline carboxylate 5-Chloro-7-iodo-8-quinolinol (Iodochlorhydroxyquin); Decoquinate; Diiodohydroxyquin; and Oxyquinoline sulfate Drugs containing a quinoline or isoquinoline ring-system (whether or not hydrogenated) not further fused, nesoi Pesticides of heterocyclic compounds with nitrogen hetero-atom(s) only, cont. a quinoline or isoquinoline ring-system, not further fused Products described in add.</w:t>
      </w:r>
    </w:p>
    <w:p>
      <w:pPr>
        <w:pStyle w:val="Normal"/>
      </w:pPr>
      <w:r>
        <w:t>US note 3 to sec VI containing quinoline or isoquinoline ring-system (whether or n/hydrogenated), n/further fused Heterocyclic compounds with nitrogen hetero-atom(s) only, containing a quinoline ring-system, not further fused, nesoi Malonylurea (barbituric acid) Salts of barbituric acid Allobarbital (INN), amobarbital (INN), barbital (INN), butalbital (INN), butobarbital, and other specified INNs; salts thereof Other derivatives of malonylurea (barbituric acid); salts thereof Loprazolam (INN), mecloqualone (INN), methaqualone (INN) and zipeprol (INN); salts thereof Aromatic or modified aromatic herbicides of heterocyclic compounds with nitrogen hetero-atom(s) only, cont. a pyrimidine or piperazine ring Aromatic or mod. aromatic pesticides nesoi, of heterocyclic compounds with nitrogen hetero-atom(s) only cont. pyrimidine or piperazine ring Nonaromatic pesticides of heterocyclic compounds with nitrogen hetero-atom(s) only, cont. pyrimidine or piperazine ring, nesoi Antihistamines, including those principally used as antinauseants Nicarbazin and trimethoprim Anti-infective agents nesoi, of heterocyclic compounds with nitrogen hetero-atom(s) only, cont. pyrimidine, piperazine ring Psychotherapeutic agents of heterocyclic compounds with nitrogen hetero-atom(s) only, cont.</w:t>
      </w:r>
    </w:p>
    <w:p>
      <w:pPr>
        <w:pStyle w:val="Normal"/>
      </w:pPr>
      <w:r>
        <w:t>pyrimidine or piperazine ring, nesoi Other aromatic or modified aromatic drugs containing a pyrimidine ring (whether or not hydrogenated) or piperazine ring in the structure Nonaromatic drugs of heterocyclic compounds nesoi, with nitrogen hetero-atom(s) only, cont. a pyrimidine or piperazine ring Aromatic heterocyclic compounds nesoi, with nitrogen hetero-atom(s) only, cont. pyrimidine or piperazine ring, in add. U.S. note 3, sec. VI Aromatic or modified aromatic heterocyclic compounds nesoi, with nitrogen hetero- atom(s) only, cont. pyrimidine or piperazine ring 2-Amino-4-chloro-6-methoxypyrimidine; 2-amino-4,6-dimethoxypyrimidine; and 6 methyluracil Other (excluding aromatic or mod aromatic) compds containing pyrimidine ring (whether or n/hydrogenated) or piperazine ring in the structure Melamine 2,4-Diamino-6-phenyl-1,3,5-triazine Hexamethylenetetramine Other compounds containing an unfused triazine ring (whether or not hydrogenated) in the structure 6-Hexanelactam (epsilon-Caprolactam) Clobazam (INN) and methyprylon (INN) 2,4-Dihydro-3,6-diphenylpyrrolo-(3,4-C)pyrrole-1,4-dione Aromatic or modified aromatic lactams with nitrogen hetero-atoms only described in additional U.S.</w:t>
      </w:r>
    </w:p>
    <w:p>
      <w:pPr>
        <w:pStyle w:val="Normal"/>
      </w:pPr>
      <w:r>
        <w:t>note 3 to section VI Aromatic or modified aromatic lactams, nesoi N-Methyl-2-pyrrolidone; and 2-pyrrolidone N-Vinyl-2-pyrrolidone, monomer 12-Aminododecanoic acid lactam Aromatic or modified aromatic lactams with nitrogen hetero-atoms only, nesoi Alprazolam (INN), camazepam (INN), chlordiazepoxide (INN), clonazepam (INN), clorazepate, and other specified INNs; salts thereof Azinphos-methyl Butyl (R)-2-[4-(5-triflouromethyl-2-pyridinyloxy)phenoxy]propanoate 2-[4-[(6-Chloro-2-quinoxalinyl)oxy]phenoxy]propionic acid, ethyl ester; and 1 other specified aromatic chemical Acridine and indole alpha-Butyl-alpha-(4-chlorophenyl)-1H-1,2,4-triazole-1-propanenitrile (Mycolbutanil); and one other specified aromatic chemical Acetoacetyl-5-aminobenzimidazolone; 1,3,3-Trimethyl-2-methyleneindoline; and two other specified aromatic chemicals Carbazole 6-Bromo-5-methyl-1H-imidazo-(4,5-b)pyridine; 2-sec-butyl-4-tert-butyl-6 (benzotriazol-2-yl)phenol; 2-methylindoline; and other specific 5-Amino-4-chloro-alpha-phenyl-3-pyridazinone o-Diquat dibromide (1,1-Ethylene-2,2-dipyridylium dibromide) Aromatic or modified aromatic insecticides with nitrogen hetero-atom(s) only, nesoi Other heterocyclic aromatic or modified aromatic pesticides with nitrogen hetero- atom(s) only, nesoi Aromatic or modified aromatic photographic chemicals with nitrogen hetero-atom(s) only Aromatic or modified aromatic antihistamines of heterocyclic compounds with nitrogen hetero-atom(s) only Acriflavin; Acriflavin</w:t>
      </w:r>
    </w:p>
    <w:p>
      <w:pPr>
        <w:pStyle w:val="Normal"/>
      </w:pPr>
      <w:r>
        <w:t>hydrochloride; Carbadox; Pyrazinamide Aromatic or modified aromatic anti-infective agents of heterocyclic compounds with nitrogen hetero-atom(s) only, nesoi Hydralazine hydrochloride Aromatic or modified aromatic cardiovascular drugs of heterocyclic compounds with nitrogen hetero-atom(s) only, nesoi Aromatic or modified aromatic analgesics and certain like affecting chemicals, of heterocyclic compounds with nitrogen hetero-atom(s) only Droperidol; and Imipramine hydrochloride Aromatic/modified aromatic psychotherapeutic agents, affecting the CNS, of heterocyclic compounds with nitrogen hetero-atom(s) only, nesoi Aromatic or modified aromatic anticonvulsants, hypnotics and sedatives, of heterocyclic compounds with nitrogen hetero-atom(s) only, nesoi Aromatic or modified aromatic drugs affecting the central nervous system, of heterocyclic compounds with nitrogen atom(s) only, nesoi Aromatic or modified aromatic drugs of heterocyclic compounds with nitrogen hetero- atom(s) only, nesoi Aromatic or modified aromatic compounds with nitrogen hetero-atom(s) only described in additional U.S. note 3 to section VI Aromatic or mod. aromatic compounds with nitrogen hetero-atom(s) only other than products described in add. U.S.</w:t>
      </w:r>
    </w:p>
    <w:p>
      <w:pPr>
        <w:pStyle w:val="Normal"/>
      </w:pPr>
      <w:r>
        <w:t>note 3 to section VI, nesoi 3-Amino-1,2,4-triazole Hexamethyleneimine Nonaromatic drugs of heterocyclic compounds with nitrogen hetero-atom(s) only, nesoi Nonaromatic heterocyclic compounds with nitrogen hetero-atom(s) only, nesoi Aromatic or modified aromatic heterocyclic compounds cont. an unfused thiazole ring, described in add. U.S. note 3 to section VI Aromatic or modified aromatic heterocyclic compounds, nesoi, containing an unfused thiazole ring 4,5-Dichloro-2-n-octyl-4-isothiazolin-3-one; thiothiamine hydrochloride; and 4 other specified chemicals Other compounds (excluding aromatic or modified aromatic) containing an unfused thiazole ring (whether or not hydrogenated) in the structure N-tert-Butyl-2-benzothiazolesulfenamide 2,2’-Dithiobisbenzothiazole 2-Mercaptobenzothiazole; and N-(Oxydiethylene)benzothiazole-2-sulfenamide 2-Mercaptobenzothiazole, sodium salt (2-Benzothiazolethiol, sodium salt) 2-Amino-5,6-dichlorobenzothiazole; 2-amino-6-nitrobenzothiazole; and 2 other specified chemicals 2-Amino-6-methoxybenzothiazole and other specified heterocyclic compounds, cont. a benzothiazole ring-system, not further fused Pesticides containing a benzothiazole ring-system, not further fused Heterocyclic compounds containing a benzothiazole ring-system, not further fused, described in add. U.S.</w:t>
      </w:r>
    </w:p>
    <w:p>
      <w:pPr>
        <w:pStyle w:val="Normal"/>
      </w:pPr>
      <w:r>
        <w:t>note 3 to section VI Other compounds containing a benzothiazole ring system (whether or not hydrogenated), not further fused 2-(Trifluoromethyl)phenothiazine Ethyl (1H-phenothiazin-2,4,1)carbamate Antidepressants, tranquilizers and other pschotherapeutic agents containing a phenothiazine ring-system, not further fused Other drugs containing a phenothiazine ring system (whether or not hydrogenated), not further fused, nesoi Products described in add. US note 3 to section VI containing a phenothiazine ring system (whether or not hydrogenated), not further fused Heterocyclic compounds containing a phenothiazine ring-system (whether or not hydrogenated), not further fused, nesoi Aminorex (INN), brotizolam (INN), clotiazepam (INN), cloxazolam (INN), dextromoramide (INN), and other specified INNs; salts thereof Mycophenolate mofetil 2-Acetylbenzo(b)thiophene; and 2 other specified aromatic or modified aromatic compounds 5-Amino-3-phenyl-1,2,4-thiadiazole(3-Phenyl-5-amino-1,2,4-thiadiazole); and 3 other specified aromatic/mod.</w:t>
      </w:r>
    </w:p>
    <w:p>
      <w:pPr>
        <w:pStyle w:val="Normal"/>
      </w:pPr>
      <w:r>
        <w:t>aromatic heterocyclic compounds 7-Nitronaphth[1,2]oxadiazole-5-sulfonic acid and its salts Ethyl 2-[4-[(6-chloro-2-benzoxazoyl)oxy]phenoxy]propanoate (Fenoxaprop- ethyl) 2,5-Diphenyloxazole 1,2-Benzisothiazolin-3-one 2-tert-Butyl-4-(2,4-dichloro-5-isopropoxyphenyl)-delta(squared)-1,3,4-oxadiazolin-5 one; Bentazon; Phosalone Aromatic or modified aromatic fungicides of other heterocyclic compounds, nesoi Aromatic or modified aromatic herbicides of other heterocyclic compounds, nesoi Aromatic or modified aromatic insecticides of other heterocyclic compounds, nesoi Aromatic or modified aromatic pesticides nesoi, of other heterocyclic compounds, nesoi Aromatic or modified aromatic photographic chemicals of other heterocyclic compounds, nesoi Aromatic or modified aromatic drugs of other heterocyclic compounds, nesoi Aromatic or modified aromatic other heterocyclic compounds described in additional U.S.</w:t>
      </w:r>
    </w:p>
    <w:p>
      <w:pPr>
        <w:pStyle w:val="Normal"/>
      </w:pPr>
      <w:r>
        <w:t>note 3 to section VI Aromatic or modified aromatic other heterocyclic compounds, nesoi Nonaromatic drugs of other heterocyclic compounds, nesoi Morpholinethyl chloride hydrochloride; 2-methyl-2,5-dioxo-1-oxa-2-phospholan; and 1 other specified nonaromatic chemical Nonaromatic other heterocyclic compounds, nesoi N-Methyl perfluorooctane sulfonamide N-Ethyl perfluorooctane sulfonamide N-Ethyl -N-(2-hydroxyethyl)perfluorooctane sulfonamide N-(2-hydroxyethyl)-N-methyl perfluorooctane sulfonamide Other perfluorooctane sulfonamides 4-Amino-6-chloro-m-benzenedisulfonamide and Methyl-4 aminobenzenesulfonylcarbamate (Asulam) 2-Amino-N-Ethylbenzenesulfonanilide etc (5-[2-Chloro-4-(Trifluoromeythyl)phenoxy]-N-(Methylsulfonyl)-2 Nitrobenzamide)(fomesafen); etc ortho-Toluenesulfonamide Sulfonamides used as fast color bases and fast color salts Acetylsulfaguanidine Sulfamethazine Acetylsulfisoxazole; Sulfacetamide, sodium; and Sulfamethazine, sodium Sulfathiazole and Sulfathiazole, sodium Salicylazosulfapyridine (Sulfasalazine); Sulfadiazine; Sulfaguanidine; Sulfamerizine; and Sulfapyridine Other sulfonamides used as anti-infective agents Other sulfonamide drugs (excluding anti-infective agents) Other sulfonamides (excluding drugs, etc) of products descibed in US note 3 to section Other sulfonamides, excluding drugs, excluding products described in US note 4 to section 6 Vitamins A and their derivatives, unmixed, natural or synthesized Vitamin B1 (Thiamine) and its derivatives,</w:t>
      </w:r>
    </w:p>
    <w:p>
      <w:pPr>
        <w:pStyle w:val="Normal"/>
      </w:pPr>
      <w:r>
        <w:t>unmixed, natural or synthesized Vitamin B2 (Riboflavin) and its derivatives, unmixed, natural or synthesized Vitamin B3 or B5 (d- or dl-Pantothenic acid) and its derivatives, unmixed, natural or synthesized Vitamin B6 (Pyridoxine and related compounds with Vitamin B6 activity) and its derivatives, unmixed, natural or synthesized Vitamin B12 (Cyanocobalamin and related compounds with Vitamin B12 activity) and its derivatives, unmixed, natural or synthesized Vitamin C (Ascorbic acid) and its derivatives, unmixed, natural or synthesized Vitamin E (Tocopherols and related compounds with Vitamin E activity) and its derivatives, unmixed, natural or synthesized Folic acid and its derivatives, unmixed Niacin an niacinamide Aromatic or modified aromatic vitamins and their derivatives, nesoi Other vitamins and their derivatives, nesoi Vitamins or provitamins (including natural concentrates) and intermixtures of the foregoing, whether or not in any solvent Somatotropin, its derivatives and structural analogues Insulin and its salts Polypeptide hormones, protein hormones and glycoprotein hormones, their derivatives and structural analogues, nesoi Cortisone, hydrocortisone, prednisone (Dehydrocortisone) and prednisolone (Dehydrohydrocortisone) Halogenated derivatives of corticosteroidal hormones Estrogens and progestins obtained directly or indirectly from animal or vegetable materials Estradiol benzoate; and Estradiol cyclopentylpropionate (estradiol cypionate) Other estrogens and</w:t>
      </w:r>
    </w:p>
    <w:p>
      <w:pPr>
        <w:pStyle w:val="Normal"/>
      </w:pPr>
      <w:r>
        <w:t>progestins not derived from animal or vegetable materials, nesoi Desonide; and Nandrolone phenpropionate Steroidal hormones, their derivatives and structural analogues, nesoi Prostaglandins, thromboxanes and leukotrienes, their derivatives and structural analogues Epinephrine Epinephrine hydrochloride Catecholamine hormones, their derivatives and structural analogues, nesoi l-Thyroxine(Levothyroxine), sodium Amino-acid derivatives of hormones and their derivatives, nesoi Other hormones,their derivatives and structural analogues,other steroid derivatives and structural analogue used primarily as hormones,nesoi Rutoside (Rutin) and its derivatives Glycosides, natural or synthesized, and their salts, ethers, esters, and other derivatives other than rutoside and its derivatives Concentrates of poppy straw; buprenorphine (INN), codeine, dihydrocodeine (INN), ethylmorphine, and other specified INNs; salts thereof Papaverine and its salts Synthetic alkaloids of opium and their derivatives; salts thereof; nesoi Nonsynthetic alkaloids of opium and their derivatives; salts thereof; nesoi Alkaloids of cinchona, and their derivatives; salts thereof, other than quinine and its salts Caffeine and its salts Ephedrine and its salts Pseudoephedrine and its salts Cathine (INN) and its salts Norephedrine &amp; its salts Ephedrines and their salts, other than ephedrine, cathine, norephedrine, pseudoephedrine and their salts Fenetylline (INN) its salts Theophylline aminophylline</w:t>
      </w:r>
    </w:p>
    <w:p>
      <w:pPr>
        <w:pStyle w:val="Normal"/>
      </w:pPr>
      <w:r>
        <w:t>(Theophylline-ethylenediamine) and their derivatives; salts thereof; nesoi Ergometrine and its salts Ergotamine and its salts Lysergic acid and its salts Alkaloids of rye ergot and their derivatives, nesoi; salts thereof Cocaine, ecgonine, levometamfetamine, metamfetamine (INN), metamfetamine racemate;salts, esters and other derivatives thereof Vegetable alkaloids, natural or reproduced by synthesis, their salts and other derivatives, nesoi Other alkaloids, natural or reproduced by synthesis and their salts, ethers, esters &amp; other derivatives, nesoi D-Arabinose Other sugars, nesoi excluding d-arabinose Ampicillin and its salts Penicillin G salts Carfecillin, sodium; cloxacillin, sodium; dicloxacillin, sodium; flucloxacillin (Floxacillin); and oxacillin, sodium Penicillins and their derivatives nesoi, with a penicillanic acid structure; salts thereof Dihydrostreptomycins and its derivatives; salts thereof Streptomycins and their derivatives; salts thereof, nesoi Tetracyclines and their derivatives; salts thereof Chloramphenicol and their derivatives; salts thereof Erythromycin and their derivatives; salts thereof Natural antibiotics, nesoi Antibiotics, nesoi, aromatic or modified aromatic, other than natural Antibiotics nesoi, other than aromatic or modified aromatic antibiotics [2,2’-Thiobis(4-(1,1,3,3-tetramethyl-n-butyl)phenolato)(2,1)]-O,O’,S-s(1-butanamine), nickel II Aromatic or modified aromatic drugs of other organic compounds, nesoi Aromatic or modified aromatic</w:t>
      </w:r>
    </w:p>
    <w:p>
      <w:pPr>
        <w:pStyle w:val="Normal"/>
      </w:pPr>
      <w:r>
        <w:t>organic compounds, nesoi, described in additional U.S. note 3 to section VI Other aromatic or modified aromatic organic compounds (excluding products described in additional U.S. note 3 to section VI) Nonaromatic organic compounds, nesoi Extracts of glands or other organs or of their secretions for organotherapeutic uses Glands and other organs for organotherapeutic uses, dried, whether or not powdered Malaria diagnostic test kits Antisera and other blood fractions including human blood and fetal bovine serum Immunological products, unmixed, not put up in measured doses or in forms or packings for retail sale Immunological products, mixed, not put up in measured doses or in forms or packings for retail sale Immunological products, put up in measured doses or in forms or packings for retail sale Blood fractions, nesoi Vaccines for human medicine Vaccines for veterinary medicine Ferments, excluding yeasts Human blood; animal blood prepared for therapeutic, prophylactic, diagnostic uses; toxins, cultures of micro-organisms nesoi &amp; like products Medicaments, cont.</w:t>
      </w:r>
    </w:p>
    <w:p>
      <w:pPr>
        <w:pStyle w:val="Normal"/>
      </w:pPr>
      <w:r>
        <w:t>penicillins or streptomycins, not dosage form and not packed for retail Medicaments containing antibiotics, nesoi, not dosage form and not packaged for retail Medicaments containing insulin, not dosage form and not packed for retail Medicaments containing artificial mixtures of natural hormones, but not antibiotics, not dosage form and not packed for retail Medicaments containing products of heading 2937, nesoi, but not antibiotics, not dosage form and not packed for retail Medicaments containing ephedrine or its salts, not dosage form and not packed for retail Medicaments containing pseudoephedrine (INN) or its salts, not dosage form and not packed for retail Medicaments containing norephedrine or its salts, not dosage form and not packed for retail Other medicaments containing alkaloids or derivatives thereof, nesoi, not dosage form and not packed for retail Other medicaments containing antimalarial active principles described in subheading note 2 to this chapter, not dosage form and not packed for retail Other medicaments excl goods of heading 3002, 3005, 3006 consist of two or more consituents mixed together, not dosage form and not packed for retail Medicaments containing penicillin G salts, in dosage form and packed for retail Medicaments cont.</w:t>
      </w:r>
    </w:p>
    <w:p>
      <w:pPr>
        <w:pStyle w:val="Normal"/>
      </w:pPr>
      <w:r>
        <w:t>penicillins or streptomycins, nesoi, in dosage form or packed for retail Medicaments containing antibiotics, nesoi, in dosage form or packed for retail Medicaments containing insulin, in dosage form or packed for retail Medicaments, containing adrenal cortical hormones, in dosage form or packed for retail Medicaments, containing products of heading 2937 nesoi, in dosage form or packed for retail Medicaments containing ephedrine or its salts, in dosage form and packed for retail Medicaments containing pseudoephedrine (INN) or its salts, in dosage form and packed for retail Medicaments containing norephedrine or its salts, in dosage form and packed for retail Other medicaments containing alkaloids or derivatives thereof, nesoi, in dosage form and packed for retail Medicaments containing vitamin B2 synthesized from aromatic or mod. aromatic compounds, in dosage form or packed for retail Medicaments containing vitamim B12 synthesized from aromatic or mod. aromatic compounds, in dosage form or packed for retail Medicaments containing vitamin E synthesized from aromatic or mod. aromatic compounds, in dosage form or packed for retail Medicaments containing vitamins nesoi, synthesized from aromatic or mod.</w:t>
      </w:r>
    </w:p>
    <w:p>
      <w:pPr>
        <w:pStyle w:val="Normal"/>
      </w:pPr>
      <w:r>
        <w:t>aromatic compounds, in dosage form or packed for retail Medicaments containing vitamins or other products of heading 2936, nesoi, in dosage form or packed for retail Other medicaments containing antimalarial active principles described in subheading note 2 to this chapter, in dosage form and packed for retail Medicaments containing antigens or hyaluronic acid or its sodium salt, nesoi, in dosage form or packed for retail Medicaments nesoi, in dosage form and packed for retail Adhesive dressings and other articles having an adhesive layer, coated or impregnated with pharmaceutical substances, packed for retail Adhesive dressings and other articles having an adhesive layer, packed for retail for medical, surgical, dental, veterinary purposes Wadding, gauze, bandages, &amp; similar articles, not having an adhesive layer, coated, impregnated with pharmaceutical substances, for retail Wadding, gauze, bandages, and similar articles, not having an adhesive layer, packed for retail for medical, surgical, like purposes Sterile surgical catgut, suture materials, tissue adhesives for wound closure, laminaria, laminaria tents, and absorbable hemostatics Blood-grouping reagents Opacifying preparation for X-ray examination; diagnostic reagent designed to be administered to the patient; all cont.</w:t>
      </w:r>
    </w:p>
    <w:p>
      <w:pPr>
        <w:pStyle w:val="Normal"/>
      </w:pPr>
      <w:r>
        <w:t>antigens or antisera Opacifying preparations for X-ray examinations; diagnostic reagents designed to be administered to the patient, nesoi Dental cements and other dental fillings; bone reconstruction cements First-aid boxes and kits Chemical contraceptive preparations based on hormones or spermicides Gel preparation use human/veterinary medicine lubricant in surgical operation, physical exam or coupling agent tween body &amp; med instrument Applicances identifiable for ostomy use Waste pharmaceuticals Animal or vegetable fertilizers;</w:t>
      </w:r>
    </w:p>
    <w:p>
      <w:pPr>
        <w:pStyle w:val="Normal"/>
      </w:pPr>
      <w:r>
        <w:t>fertilizers produced by the mixing or chemical treatment of animal or vegetable products Urea, whether or not in aqueous solution Ammonium sulfate Double salts and mixtures of ammonium sulfate and ammonium nitrate Ammonium nitrate, whether or not in aqueous solution Mixtures of ammonium nitrate with calcium carbonate or other inorganic nonfertilizing substances Sodium nitrate Double salts and mixtures of calcium nitrate and ammonium nitrate Mixtures of urea and ammonium nitrate in aqueous or ammoniacal solution Mineral or chemical fertilizers, nitrogenous, nesoi, including mixtures not specified elsewhere in heading 3102 Superphosphates containing by weight 35% or more of diphosphorous pentaoxide (P2O5) Superphosphates nesoi Mineral or chemical fertilizers, phosphatic Potassium chloride Potassium sulfate Mineral or chemical fertilizers, potassic, nesoi Fertilizers of chapter 31 in tablets or similar forms or in packages of a gross weight not</w:t>
      </w:r>
    </w:p>
    <w:p>
      <w:pPr>
        <w:pStyle w:val="Normal"/>
      </w:pPr>
      <w:r>
        <w:t>exceeding 10 kg Mineral or chemical fertilizers nesoi, containing the three fertilizing elements nitrogen, phosphorus and potassium Diammonium hydrogenorthophosphate (Diammonium phosphate) Ammonium dihydrogenorthophosphate (Monoammonium phosphate), mixtures thereof with diammonium hydrogenorthophosphate (Diammonium phosphate) Mineral or chemical fertilizers nesoi, containing nitrates and phosphates Mineral or chemical fertilizers nesoi, containing the two fertilizing elements nitrogen and phosphorus Mineral or chemical fertilizers nesoi, containing the two fertilizing elements phosphorous and potassium Mineral or chemical fertilizers cont. two or three of the fertilizing elements nitrogen, phosphorus and potassium fertilizers, nesoi Quebracho tanning extract Wattle tanning extract Tannic acid, containing by weight 50 percent or more of tannic acid Tanning extracts of canaigre,chestnut curupay,divi divi,eucalyptus,gambier,hemlock,larch,mangrove,myrobalan,oak,sumac,tara,urunday,v alonia Tanning extracts of vegetable origin nesoi; tannins and their salts, ethers, esters and other derivatives Aromatic or modified aromatic synthetic organic tanning substances Synthetic organic tanning substances, nonaromatic Tanning substances, tanning preparations and enzymatic preparations for pre-tanning consisting wholly of inorganic substances Tanning substances, tanning preparations and enzymatic preparations for pre-tanning, nesoi Coloring matter of annato, archil, cochineal, cudbear,</w:t>
      </w:r>
    </w:p>
    <w:p>
      <w:pPr>
        <w:pStyle w:val="Normal"/>
      </w:pPr>
      <w:r>
        <w:t>litmus and marigold meal Mixtures of 3,4-dihydroxyphenyl-2,4,6,-trihydroxypphenylmethanone and 2-(2,4 dihydroxyphenyl)-3,5,7-trihydroxy-4H-1-benzopyran-4-one Coloring matter of vegetable or animal origin, nesoi Disperse blue 19 and other specified dispersed dyes and preparations based thereon Disperse blue 30 and preparations based thereon N-[2-[2,6-Dicyano-4-methylphenylazo]-5-(diethylamino)phenyl]methanesulfonamide; and 1 other specified disperse dye Disperse dyes described in add’l U.S. note 3 to section VI Disperse dyes and preparations based thereon, nesoi Acid black 210 powder and presscake Acid violet 19 Acid dyes, whether or not premetallized, and preparations based thereon, acid black 31, and other specified acid or mordant dyes Acid black 61 and other specified acid and mordant dyes and preparations based thereon Mordant black 75, blue 1, brown 79, red 81, 84 and preparations based thereon Acid dyes, whether or not premetallized, and preparations based thereon, described in add’l U.S.</w:t>
      </w:r>
    </w:p>
    <w:p>
      <w:pPr>
        <w:pStyle w:val="Normal"/>
      </w:pPr>
      <w:r>
        <w:t>note 3 to section VI Synthetic acid and mordant dyes and preparations based thereon, nesoi Basic black 7 and other specified basic dyes and preparations based thereon Basic orange 22, basic red 13 dyes, and preparations based thereon Basic blue 3; basic red 14; and basic yellow 1, 11, 13; and preparations based thereon 3,7-Bis(dimethylamino)phenazathionium chloride (methylene blue); and basic blue Basic dyes and preparations based thereon, described in add’l U.S note 3 to section VIvi Basic dyes and preparations based thereon, nesoi Direct black 62 and other specified basic dyes and preparations based thereon Direct black 51 and other specified basic dyes and preparations based thereon Direct blue 86; direct red 83; direct yellow 28 dyes; and preparations based thereon Direct dyes nesoi, and preparations based thereon, described in additional U.S. note 3 to section VI Direct dyes and preparations based thereon, nesoi Vat blue 1 (synthetic indigo) dye, “Colour Index No.</w:t>
      </w:r>
    </w:p>
    <w:p>
      <w:pPr>
        <w:pStyle w:val="Normal"/>
      </w:pPr>
      <w:r>
        <w:t>73000” and preparations based thereon Vat brown 3; vat orange 2, 7; and vat violet 9, 13 dyes and preparations based thereon Vat red 1 Solubilized vat blue 5 and specified solubilized vat dyes and preparations based thereon Solubilized vat orange 3, vat blue 2, vat red 44; and vat yellow 4, 20 and preparations based thereon Vat dyes (incl. those usable as pigments) and preparations based thereon, described in add. U.S. note 3 to sec.</w:t>
      </w:r>
    </w:p>
    <w:p>
      <w:pPr>
        <w:pStyle w:val="Normal"/>
      </w:pPr>
      <w:r>
        <w:t>VI Vat dyes (including those usable in that state as pigments) and preparations based thereon, nesoi Reactive black 1; blue 1, 2, 4; orange 1; red 1, 2, 3, 5, 6; and yellow 1; and preparations based thereon Specified reactive dye mixtures and preparations based thereon Reactive dyes and preparations based thereon nesoi, described in additional U.S. note 3 to section VI Synthetic reactive dyes and preparations based thereon, nesoi Pigments and preparations based thereon, pigment black 1, and other specified pigments, nesoi Pigment red 178; pigment yellow 101, 138 Copper phthalocyanine ([Phthalocyanato(2-)]copper) not ready for use as a pigment Pigments and preparations based thereon, isoindoline red pigment; pigment red 242, 245; pigment yellow 155, 183, nesoi Pigments and preparations based thereon, products described in add’l U.S. note 3 to section VI, nesoi Other pigments and preparations based thereon, nesoi Solvent yellow 43, 44, 85, 172 Solvent black 2 and other specified solvent dyes and preparations based thereon Solvent dyes and preparations based thereon, products described in add’l U.S. note 3 to section VI Solvent dyes and preparations based thereon nesoi Sulfur black, “Colour Index Nos.</w:t>
      </w:r>
    </w:p>
    <w:p>
      <w:pPr>
        <w:pStyle w:val="Normal"/>
      </w:pPr>
      <w:r>
        <w:t>53185, 53190 and 53195” and preparations based thereon Beta-carotene and other carotenoid coloring matter Synthetic organic coloring matter and preparations based thereon, nesoi, described in additional U.S.</w:t>
      </w:r>
    </w:p>
    <w:p>
      <w:pPr>
        <w:pStyle w:val="Normal"/>
      </w:pPr>
      <w:r>
        <w:t>note 3 to section VI Synthetic organic coloring matter and preparations based thereon nesoi, including mixtures of items from subheading 320411 to 320419 Fluorescent brightening agent 32 Benzoxazol Synthetic organic products of a kind used as fluorescent brightening agents, nesoi Synthetic organic coloring matter or preparations based thereon, nesoi; synthetic organic products used as luminophores Carmine food coloring solutions, cont cochineal carmine lake and paprika oleoresins, not including any synthetic organic coloring matter Carmine color lakes and preparations as specified in note 3 to this chapter, nesoi Color lakes and preparations based thereon, described in additional U.S.</w:t>
      </w:r>
    </w:p>
    <w:p>
      <w:pPr>
        <w:pStyle w:val="Normal"/>
      </w:pPr>
      <w:r>
        <w:t>note 3 to section VI Color lakes and preparations based thereon, nesoi Pigments &amp; preparations based on titanium dioxide containing 80 percent or more by weight off titanium dioxide calculated on the dry weight Pigments and preparations based on titanium dioxide, nesoi Pigments and preparations based on chromium compounds Ultramarine and preparations based thereon Lithopone and other pigments and preparations based on zinc sulfide Concentrated dispersions of pigments in plastics materials Coloring preparations based on iron oxides, as specified in note 3 to this chapter 32 Coloring preparations based on zinc oxides, as specified in note 3 to this chapter 32 Coloring preparations based on carbon black, as specified in note 3 to this chapter 32 Pigments and preparations based on</w:t>
      </w:r>
    </w:p>
    <w:p>
      <w:pPr>
        <w:pStyle w:val="Normal"/>
      </w:pPr>
      <w:r>
        <w:t>hexacyanoferrates (ferrocyanides and ferricyanides) Coloring matter and preparations, nesoi, as specified in note 3 to this chapter 32 Inorganic products of a kind used as luminophores Prepared pigments, opacifiers, colors, and similar preparations, of a kind used in the ceramic, enamelling or glass industry Vitrifiable enamels and glazes, engobes (slips), and similar preparations, of a kind used in the ceramic, enamelling or glass industry Liquid lustres and similar preparations, of a kind used in the ceramic, enamelling or glass industry Glass frit and other glass, ground or pulverized Glass frit and other glass, in the form of granules or flakes Paints and varnishes (including enamels and lacquers) based on polyesters in a nonaqueous medium Paints and varnishes (including enamels and lacquers) based on acrylic or vinyl polymers in a nonaqueous medium Paints and varnishes based on synthetic polymers or chemically modified natural polymers nesoi, in a nonaqueous medium Paints and varnishes (including enamels and lacquers) based on acrylic or vinyl polymers in an aqueous medium Paints and varnishes based on synthetic polymers or chemically modified natural polymers nesoi, in an aqueous medium Other paints and varnishes (including enamels, lacquers and distempers) nesoi;</w:t>
      </w:r>
    </w:p>
    <w:p>
      <w:pPr>
        <w:pStyle w:val="Normal"/>
      </w:pPr>
      <w:r>
        <w:t>prepared water pigments of a kind used for finishing leather Prepared driers for paints and varnishes Stamping foils Pigments dispersed in nonaqueous media, in liquid or paste form, used in making paints;</w:t>
      </w:r>
    </w:p>
    <w:p>
      <w:pPr>
        <w:pStyle w:val="Normal"/>
      </w:pPr>
      <w:r>
        <w:t>dyes &amp; coloring matter packaged for retail sale Artists’, students’ or signboard painters’ colors, in tablets, tubes, jars, bottles, pans or in similar packings, in sets Artists’, students’ or signboard painters’ colors, in tablets, tubes, jars, bottles, pans or in similar packings, not in sets Glaziers’ putty, grafting putty, resin cements, caulking compounds and other mastics;</w:t>
      </w:r>
    </w:p>
    <w:p>
      <w:pPr>
        <w:pStyle w:val="Normal"/>
      </w:pPr>
      <w:r>
        <w:t>painters’ fillings Nonrefractory surfacing preparations for facades, indoor walls, floors, ceilings or the like, based on rubber Nonrefractory surfacing preparations for facades, indoor walls, floors, ceilings or the like, not based on rubber Printing ink, black, solid, in engineered shapes for apparatus in 8443.31,32,39 Printing ink, black, solid, other Printing ink, black, not solid, other Printing ink, not black, solid, in engineered shapes for apparatus in 8443.31,32,39 Printing ink, not black, solid, other Printing ink, not black, not solid Drawing ink Inks, other than printing or drawing inks Essential oils of orange Essential oils of lemon Essential oils of grapefruit Essential oils of citrus fruit, other, nesoi Essential oils of peppermint (Mentha piperita) Essential oils of mints, other than peppermint Essential oils of eucalyptus Essential oils of orris Essential oils other than those of citrus fruit, other, nesoi Resinoids Extracted oleoresins consisting essentially of nonvolatile components of the natural raw plant Concentrates of essential oils; terpenic by-product of the deterpenation</w:t>
      </w:r>
    </w:p>
    <w:p>
      <w:pPr>
        <w:pStyle w:val="Normal"/>
      </w:pPr>
      <w:r>
        <w:t>of essential oils;</w:t>
      </w:r>
    </w:p>
    <w:p>
      <w:pPr>
        <w:pStyle w:val="Normal"/>
      </w:pPr>
      <w:r>
        <w:t>aqueous distillates&amp; solutions of essential oils Mixtures of odoriferous substances, mixtures with a basis of these substances, used in the food or drink industries, not containing alcohol Mixtures of or with a basis of odoriferous substances, used in the food or drink industries, not over 20 percent alcohol by weight Mixtures of/with basis of odoriferous substances,with 20% to 50% alcohol by weight, needs only addn of ethyl alcohol or water to be beverage Mixtures of/with basis of odoriferous substances,over 50% of alcohol by weight, requiring only addn of ethyl alcohol or water to be beverage Mixtures of or with a basis of odoriferous substances, used in the food or drink industries, over 20 percent of alcohol by weight, nesoi Mixtures of or with a basis of odoriferous substances, used in other than the food or drink industries, zero to 10% alcohol by weight Mixtures of or with a basis of odoriferous substances, used in other than the food or drink industries, over 10 percent alcohol by weight Floral or flower</w:t>
      </w:r>
    </w:p>
    <w:p>
      <w:pPr>
        <w:pStyle w:val="Normal"/>
      </w:pPr>
      <w:r>
        <w:t>waters, not containing alcohol Perfumes and toilet waters, other than floral or flower waters, not containing alcohol Perfumes and toilet waters, containing alcohol Lip make-up preparations Eye make-up preparations Manicure or pedicure preparations Beauty or make-up powders, whether or not compressed Petroleum jelly put up for retail sale Beauty or make-up preparations &amp; preparations for the care of the skin, excl.</w:t>
      </w:r>
    </w:p>
    <w:p>
      <w:pPr>
        <w:pStyle w:val="Normal"/>
      </w:pPr>
      <w:r>
        <w:t>medicaments but incl.</w:t>
      </w:r>
    </w:p>
    <w:p>
      <w:pPr>
        <w:pStyle w:val="Normal"/>
      </w:pPr>
      <w:r>
        <w:t>sunscreen or sun tan preparations, nesoi Shampoos Preparations for permanent waving or straightening the hair Hair lacquers Preparations for use on the hair, nesoi Dentifrices Yarn used to clean between the teeth (dental floss) Preparations for oral or dental hygiene, including denture fixative pastes and powders, excluding dentifrices Pre-shave, shaving or after-shave preparations, not containing alcohol Pre-shave, shaving or after-shave preparations, containing alcohol Personal deodorants and antiperspirants Bath salts, whether or not perfumed Bath preparations, other than bath salts “Agarbatti” and other odoriferous preparations which operate by burning, to perfume or deodorize rooms or used during religious rites Preparations for perfuming or deodorizing rooms, including odoriferous preparations used during religious rites, nesoi Depilatories and other perfumery, cosmetic or toilet preparations.</w:t>
      </w:r>
    </w:p>
    <w:p>
      <w:pPr>
        <w:pStyle w:val="Normal"/>
      </w:pPr>
      <w:r>
        <w:t>nesoi Castile soap in the form of bars, cakes or molded pieces or shapes Soap, nesoi; organic surface-active products used as soap, in bars, cakes, pieces, soap- impregnated paper, wadding, felt, for toilet use Soap; organic surface-active products used as soap, in bars, cakes, pieces;</w:t>
      </w:r>
    </w:p>
    <w:p>
      <w:pPr>
        <w:pStyle w:val="Normal"/>
      </w:pPr>
      <w:r>
        <w:t>soap- impregnated paper, wadding, felt, not for toilet use Soap, not in the form of bars, cakes, molded pieces or shapes Organic surface-active products for wash skin, in liquid or cream, contain any aromatic/mod aromatic surface-active agent, put up for retail Organic surface-active products and preparations for washing the skin, in liquid or cream form, put up for retail sale, nesoi Linear alkylbenzene sulfonates Anionic, aromatic or modified aromatic organic surface-active agents, whether or not put up for retail sale, nesoi Nonaromatic anionic organic surface-active agents (other than soap) Aromatic or modified aromatic cationic organic surface-active agents (other than soap) Nonaromatic cationic organic surface-active agents (other than soap) Aromatic or modified aromatic nonionic organic surface-active agents (other than soap) Nonaromatic nonionic organic surface-active agents (other than soap) of fatty substances of animal or vegetable origin Nonaromatic nonionic organic surface-active agents (other than soap), other than of fatty substances of animal or vegetable origin Aromatic or modified aromatic organic surface-active agents (other than soap) other than anionic, cationic or</w:t>
      </w:r>
    </w:p>
    <w:p>
      <w:pPr>
        <w:pStyle w:val="Normal"/>
      </w:pPr>
      <w:r>
        <w:t>nonionic Nonaromatic organic surface-active agents (other than soap) nesoi Surface-active/washing/cleaning preparations containing any aromatic or mod aromatic surface-active agent, put up for retail, not head 3401 Surface-active, washing, and cleaning preparations nesoi, put up for retail sale, not of heading 3401 Synthetic detergents put up for retail sale Surface-active, washing, and cleaning preparations cont. any aromatic or modified aromatic surface-active agent, put up for retail sale Surface-active, washing, and cleaning preparations nesoi, put up for retail sale Preparations for the treatment of textile materials, containing 50 but not over 70 percent or more by weight of petroleum oils Preparations for the treatment of textile materials, containing less than 50 percent by weight of petroleum oils Preparations for the treatment of leather, furskins, other materials nesoi, containing less than 70% petroleum or bituminous mineral oils Lubricating preparations containing 50% but less than 70% by weight of petroleum oils or of oils obtained from bituminous minerals Lubricating preparations containing less than 50% by weight of petroleum oils or of oils from bituminous minerals Preparations for the treatment of textile materials, nesoi Preparations nesoi, for the treatment of leather, furskins or other materials nesoi Lubricating preparations (incl.</w:t>
      </w:r>
    </w:p>
    <w:p>
      <w:pPr>
        <w:pStyle w:val="Normal"/>
      </w:pPr>
      <w:r>
        <w:t>lubricant-based preparations), nesoi Artificial waxes and prepared waxes of polyethylene glycol Artificial waxes and prepared waxes containing bleached beeswax Artificial waxes and prepared waxes Polishes, creams and similar preparations for footwear or leather Polishes, creams and similar preparations for the maintenance of wooden furniture, floors or other woodwork Polishes and similar preparations for coachwork, other than metal polishes Scouring pastes and powders and other scouring preparations Polishes, creams and similar preparations for glass or metal Candles, tapers and the like Modeling pastes, including those put up for children’s amusement Modeling pastes, nesoi Casein, milk protein concentrate Casein, other than milk protein concentrate Casein glues Caseinates and other casein derivatives, nesoi Egg albumin, dried Egg albumin, other than dried Milk albumin, including concentrates of two or more whey proteins Albumins, albuminates and other albumin derivatives, nesoi Fish glue Inedible gelatin and animal glue valued under 88 cents per kg Inedible gelatin and animal glue valued 88 cents or more per kg Gelatin sheets and derivatives, nesoi; isinglass; other glues of animal origin, nesoi Protein isolates Peptones and their derivatives;</w:t>
      </w:r>
    </w:p>
    <w:p>
      <w:pPr>
        <w:pStyle w:val="Normal"/>
      </w:pPr>
      <w:r>
        <w:t>protein substances and their derivatives, nesoi; hide powder Dextrins and other modified starches Glues based on starches or on dextrins or other modified starches Animal glue, including casein glue but not including fish glue, not</w:t>
      </w:r>
    </w:p>
    <w:p>
      <w:pPr>
        <w:pStyle w:val="Normal"/>
      </w:pPr>
      <w:r>
        <w:t>exceeding a net weight of 1 kg, put up for retail sale Products suitable for use as glues or adhesives, nesoi, not exceeding 1 kg, put up for retail sale Adhesive preparations based on rubber or plastics (including artificial resins), optically clear, for flat panel &amp; touchscreen displays Other adhesive preparations based on rubber or plastics (including artificial resins) Prepared glues and other prepared adhesives, excluding adhesives based on rubber or plastics, nesoi Rennet and concentrates thereof Penicillin G amidase Enzymes and prepared enzymes, nesoi Propellant powders Prepared explosives, other than propellant powders Safety fuses or detonating fuses Percussion caps Detonating caps, igniters or electric detonators Display or special fireworks (Class 1.3G) Fireworks, nesoi Signaling flares, rain rockets, fog signals and other pyrotechnic articles, excluding fireworks Matches, other than pyrotechnic articles of heading 3604 Liquid or liquefied-gas fuels in containers used for filling cigarette or similar lighters of a capacity not exceeding 300 cubic cm Ferrocerium and other pyrophoric alloys in all forms Metaldehyde Articles of combustible materials as specified in note 2 of chap.</w:t>
      </w:r>
    </w:p>
    <w:p>
      <w:pPr>
        <w:pStyle w:val="Normal"/>
      </w:pPr>
      <w:r>
        <w:t>36, nesoi Photographic plates and film in the flat, sensitized, unexposed, of any material other than paper, paperboard or textiles, for X-ray use Instant print film in the flat, sensitized, unexposed, whether or not in packs Photographic plates and film nesoi, with any side 255 mm, in the flat, sensitized, unexposed, not of paper, paperboard, or textiles Photographic plates, film, for color photography, nesoi, in the flat, sensitized, unexposed, not of paper, paperboard, textiles Photographic dry plates, nesoi, sensitized, unexposed, of any material other than paper, paperboard or textiles Photographic plates and film, nesoi, in the flat, sensitized, unexposed, of any material other than paper, paperboard or textiles Photographic film in rolls, sensitized, unexposed, for X-ray use;</w:t>
      </w:r>
    </w:p>
    <w:p>
      <w:pPr>
        <w:pStyle w:val="Normal"/>
      </w:pPr>
      <w:r>
        <w:t>of any material other than paper, paperboard or textiles Film in rolls, for color photography, without sprocket holes, of a width not exceeding 105 mm, sensitized, unexposed Film in rolls, with silver halide emulsion, without sprocket holes, of a width not exceeding 105 mm, sensitized, unexposed Film in rolls without sprocket holes, width not exceeding 105 mm, other than color photography or silver halide emulsion film Film in rolls, without sprocket holes, of a width exceeding 610 mm and of a length exceeding 200 m, for color photography Film in rolls, without sprocket holes, of a width exceeding 610 mm and of a length exceeding 200 m, other than for color photography Film in rolls, without</w:t>
      </w:r>
    </w:p>
    <w:p>
      <w:pPr>
        <w:pStyle w:val="Normal"/>
      </w:pPr>
      <w:r>
        <w:t>sprocket holes, of a width exceeding 610 mm and of a length not exceeding 200 m Film in rolls, without sprocket holes, of a width exceeding 105 mm but not exceeding 610 mm Film for color photography, in rolls, of a width not exceeding 16 mm Film for color photography, in rolls, exceeding 16 but not 35 mm in width and of a length not exceeding 30 m, for slides Film for color photography, in rolls, exceeding 16 but not 35 mm in width, of a length not exceeding 30 m, other than for slides Film for color photography, in rolls, exceeding 16 but not 35 mm in width and of a length exceeding 30 m Film for color photography, in rolls, of a width exceeding 35 mm Photographic film nesoi, in rolls, of a width not exceeding 35 mm and of a length not exceeding 30 m Photographic film nesoi, in rolls, of a width not exceeding 35 mm and of a length exceeding 30 m Photographic film nesoi,</w:t>
      </w:r>
    </w:p>
    <w:p>
      <w:pPr>
        <w:pStyle w:val="Normal"/>
      </w:pPr>
      <w:r>
        <w:t>in rolls, of a width exceeding 35 mm Silver halide photographic papers, sensitized, unexposed, in rolls of a width exceeding 610 mm Photographic paper (other than silver halide), paperboard and textiles, sensitized, unexposed, in rolls of a width exceeding 610 mm Silver halide papers, other than in rolls of a width exceeding 610 mm, for color photography, sensitized, unexposed Photographic paper (not silver halide), paperbd &amp; textiles for color photos, other than in rolls of a width &gt; 610 mm, sensitized, unexposed Silver halide photographic papers, sensitized, unexposed, not for color photography, other than</w:t>
      </w:r>
    </w:p>
    <w:p>
      <w:pPr>
        <w:pStyle w:val="Normal"/>
      </w:pPr>
      <w:r>
        <w:t>in rolls of a width exceeding 610 mm Photographic paper (not silver halide), paperbd, tex., not for color photo, other than in rolls of a width &gt; 610 mm, sensitized, unexposed Photographic plates, film, paper, paperboard and textiles, exposed but not developed Photographic plates and film, exposed and developed, other than cinematographic film Sound recordings on motion-picture film of a width of 35 mm or more, suitable for use with motion-picture exhibits Motion-picture film of a width of 35 mm or more, exposed and developed, whether or not incorporating sound track, nesoi Motion-picture film, exposed and developed, less than 35 mm wide Sensitizing emulsions, for photographic uses, nesoi Acid violet 19 for photographic uses Chemical preparations for photographic uses, nesoi Unmixed products for photographic uses, put up in measured portions or put up for retail sale in a form ready for use Artificial graphite plates, rods, powder and other forms, for manufacture into brushes for electric generators, motors or appliances Artificial graphite, nesoi Colloidal or semi-colloidal graphite Carbonaceous pastes for</w:t>
      </w:r>
    </w:p>
    <w:p>
      <w:pPr>
        <w:pStyle w:val="Normal"/>
      </w:pPr>
      <w:r>
        <w:t>electrodes and similar pastes for furnace linings Preparations based on graphite or other carbon in the form of pastes, blocks, plates or other semimanufactures, nesoi Activated carbon Bone black Activated clays and activated earths Activated natural mineral products, nesoi;</w:t>
      </w:r>
    </w:p>
    <w:p>
      <w:pPr>
        <w:pStyle w:val="Normal"/>
      </w:pPr>
      <w:r>
        <w:t>animal black, including spent animal black Tall oil, whether or not refined Lignin sulfonic acid</w:t>
      </w:r>
    </w:p>
    <w:p>
      <w:pPr>
        <w:pStyle w:val="Normal"/>
      </w:pPr>
      <w:r>
        <w:t>and its salts Residual lyes from the manufacture of wood pulp, nesoi, excluding tall oil Gum, wood or sulfate turpentine oils Pine oil containing alpha-terpineol as the main constituent Terpenic oils, nesoi, produced by treatment of coniferous woods; crude dipentene; sulfite turpentine and other crude para-cymene Rosin and resin acids Salts of rosin or of resin acids Ester gums Resin acids, derivatives of resin acids and rosin, rosin spirit and rosin oils, run gums, nesoi Wood tar and its oils; wood creosote; wood naphtha; vegetable pitch;</w:t>
      </w:r>
    </w:p>
    <w:p>
      <w:pPr>
        <w:pStyle w:val="Normal"/>
      </w:pPr>
      <w:r>
        <w:t>preparations based on rosin, resin acids or vegetable pitch DDT (ISO) (clofenatone (INN)), in packings of a net weight content not exceeding 300 g Pesticides containing any aromatic or modified aromatic specified in note 1 to chapter Disinfectants specified in note 1 to chapter 38 Pesticides, nesoi specified in note 1 to chapter 38 Pesticides containing any aromatic or modified aromatic, not exceeding 300g, specified in note 2 to chapter 38 Pesticides, nesoi, not exceeding 300g, specified in note 2 to chapter 38 Pesticides containing any aromatic or modified aromatic, &gt;300g but &lt;7.5kg, specified in note 2 to chapter 38 Pesticides, nesoi, &gt;300g but &lt;7.5kg, specified in note 2 to chapter 38 Pesticides containing any aromatic or modified aromatic, &gt;7.5kg, specified in note 2 to chapter 38 Pesticides, nesoi, &gt;7.5kg, specified in note 2 to chapter 38 Fly ribbons (ribbon fly catchers), put up in packings for retail sale Mixtures of</w:t>
      </w:r>
    </w:p>
    <w:p>
      <w:pPr>
        <w:pStyle w:val="Normal"/>
      </w:pPr>
      <w:r>
        <w:t>N-[[(chlorophenyl)amino]carbonyl]-2,6-difluorobenzamide and inert substances Insecticides containing any aromatic or modified aromatic insecticide, nesoi Insecticides, nesoi, containing an inorganic substance, put up for retail sale Insecticides, nesoi, for retail sale or as preparations or articles Mixtures of dinocap and application adjuvants Fungicides containing any aromatic or modified aromatic fungicide, nesoi Maneb; zinab; mancozeb; and metiram Fungicides containing any fungicide which is a thioamide, thiocarbamate, dithio carbamate, thiuram or isothiocyanate, nesoi Fungicides, nesoi, containing an inorganic substance, put up for retail sale Fungicides nesoi, put up in forms or packing for retail sale or as preparations or articles Herbicides, antisprouting products and plant-growth regulators, aromatic or modified aromatic, for retail sale Herbicides containing any aromatic or modified aromatic herbicide, antisprouting agent or plant-growth regulator, nesoi Herbicides, antisprouting products and plant-growth regulators, nesoi, containing an inorganic substance, for retail sale Herbicides, antisprouting products and plant-growth regulators nesoi, put up for retail sale Disinfectants, containing any aromatic or modified aromatic disinfectant Disinfectants not subject to subheading note 1 of chapter 38, nesoi Mixtures of 1,1-bis(4-chlorophenyl)-2,2,2-trichloroethanol (Dicofol) and application adjuvants Rodenticides containing any aromatic or modified aromatic pesticide,</w:t>
      </w:r>
    </w:p>
    <w:p>
      <w:pPr>
        <w:pStyle w:val="Normal"/>
      </w:pPr>
      <w:r>
        <w:t>nesoi Formulated biocides based on 2-methyl-4-isothiazolin-3-one, or 2-n-octyl-4 isothiazolin-3-one, or on certain other chemicals; metaldehyde Rodenticides containing an inorganic substance Rodenticides, nesoi Finishing agents, dye carriers and like products, nesoi, with a basis of amylaceous substances Finishing agents, dye carriers and like products, nesoi, used in the textile or like industries Finishing agents, dye carriers and other preparations used in paper or like industries, 5% or more by wt. aromatic (mod.) substance(s) Finishing agents, dye carriers and other preparations used in paper or like industries, &lt; 5% by weight of aromatic (mod.) substance(s) Finishing agents, dye carriers and other preparations used in leather and like industries, &gt; 5% by weight aromatic (mod.) substance(s) Finishing agents, dye carriers and other preparations used in leather and like industries, &lt; 5% by weight aromatic (mod.) substance(s) Pickling preparations for metal surfaces;</w:t>
      </w:r>
    </w:p>
    <w:p>
      <w:pPr>
        <w:pStyle w:val="Normal"/>
      </w:pPr>
      <w:r>
        <w:t>soldering, brazing or welding powders and pastes consisting of metal and other materials Preparations used for soldering or cores or coatings for welding electrodes or rods, 5% or more by weight aromatic (or mod.) substance(s) Preparations used for soldering or as cores or coatings for welding electrodes or rods, consisting wholly of inorganic substances Preparations used for soldering or as cores or coatings for welding electrodes or rods, nesoi Antiknock preparations based on tetraethyl lead or on a mixture</w:t>
      </w:r>
    </w:p>
    <w:p>
      <w:pPr>
        <w:pStyle w:val="Normal"/>
      </w:pPr>
      <w:r>
        <w:t>of tetraethyl lead and tetramethyl lead Antiknock preparations based on lead compounds, nesoi Antiknock preparations based on other than lead compounds Additives for lubricating oils containing petroleum oils or oils obtained from bituminous minerals Additives for lubricating oils, nesoi Prepared additives for mineral oils (incl. gasoline) or other liquids used for the same purposes as mineral oils, nesoi Prepared rubber accelerators containing any aromatic or modified aromatic rubber accelerator nesoi Prepared rubber accelerators not containing any aromatic or modified aromatic rubber accelerator nesoi Compound plasticizers for rubber or plastics containing any aromatic or modified aromatic plasticizer nesoi Compound plasticizers for rubber or plastics not containing any aromatic or modified aromatic plasticizer nesoi Mixtures of oligomers of 2,2,4-trimethyl-1,2-dihydroquinoline (TMQ) Mixtures of N,N’-diaryl-p-phenylenediamines Master batches of poly[nitrilomethanetetraartlnitr Compound plasticizers for rubber/plastics cont any aromatic or modified aromatic antioxidant or other stabilizer, nesoi Bis(1,2,2,6,6-pentamethyl-4-piperidinyl) sebacate Antioxiding prep &amp; oth compound stabilizers for rubber or plastics, nesoi Preparations and charges for fire extinguishers; charged fire-extinguishing grenades; consisting wholly of inorganic substances Preparations and charges for fire extinguishers; charged fire-extinguishing grenades; nesoi Organic composite solvents and thinners</w:t>
      </w:r>
    </w:p>
    <w:p>
      <w:pPr>
        <w:pStyle w:val="Normal"/>
      </w:pPr>
      <w:r>
        <w:t>containing 5 to 25 percent, by weight of one or more aromatic substances Organic composite solvents and thinners containing more than 25 percent by weight of one or more aromatic substances Organic composite solvents and thinners, nesoi; prepared paint or varnish removers;</w:t>
      </w:r>
    </w:p>
    <w:p>
      <w:pPr>
        <w:pStyle w:val="Normal"/>
      </w:pPr>
      <w:r>
        <w:t>nesoi Supported catalysts with nickel or nickel compounds as the active substance Supported catalysts with precious metal or precious metal compounds as the active substance Supported catalysts other than with nickel or precious metal or their compounds as the active substance Reaction initiators, reaction accelerators and catalytic preparations, nesoi, consisting wholly of bismuth, of tungsten or of vanadium Reaction initiators, reaction accelerators and catalytic preparations, nesoi, consisting wholly of mercury or of molybdenum Reaction initiators, reaction accelerators and catalytic preparations, nesoi, consisting wholly of inorganic substances nesoi Reaction initiators, reaction accelerators and catalytic preparations, nesoi Refractory cements, mortars, concretes and similar compositions, other than products of heading 3801 Mixed linear alkylbenzenes, other than those of heading 2707 or 2902 Mixed alkylbenzenes, other than linear or those of heading 2707 or 2902 Mixed alkylnaphthalenes, other than those of heading 2707 or 2902 Chemical elements doped for use in electronics, in the form of discs, wafers etc., chemical compounds doped for electronic use Hydraulic brake fluids and transmission fluids</w:t>
      </w:r>
    </w:p>
    <w:p>
      <w:pPr>
        <w:pStyle w:val="Normal"/>
      </w:pPr>
      <w:r>
        <w:t>cont.</w:t>
      </w:r>
    </w:p>
    <w:p>
      <w:pPr>
        <w:pStyle w:val="Normal"/>
      </w:pPr>
      <w:r>
        <w:t>less than 70% by weight of petroleum oils, or bituminous mineral oils Antifreezing preparations and prepared de-icing fluids Prepared culture media for development of microorganisms Composite diagnostic or laboratory reagents, other than those of heading 3002 or 3006, containing antigens or antisera Composite diagnostic or laboratory reagents, nesoi Certified reference materials as defined in note 2 to chapter 38 Stearic acid Oleic acid Tall oil fatty acids Industrial monocarboxylic fatty acids or acid oils from refining derived from coconut, palm-kernel, or palm oil Industrial monocarboxylic fatty acids or acid oils from refining, nesoi Oleyl alcohol derived from fatty substances of animal or vegetable origin Industrial fatty alcohols, other than oleyl, derived from fatty substances of animal or vegetable origin Industrial fatty alcohols other than derived from fatty substances of animal or vegetable origin Prepared binders for foundry molds or cores Nonagglomerated metal carbides mixed together or with metallic binders Prepared additives for cements, mortars or concretes containing 5% or more by weight of aromatic or modified aromatic substances Prepared additives for cements, mortars or concretes consisting wholly of inorganic substances Prepared additives for cements, mortars or concretes, nesoi Non-refractory mortars and concretes Sorbitol other than that of subheading</w:t>
      </w:r>
    </w:p>
    <w:p>
      <w:pPr>
        <w:pStyle w:val="Normal"/>
      </w:pPr>
      <w:r>
        <w:t>2905.44 Mixtures containing chlorofluorocarbons Containing bromochlorodiflourormethane,</w:t>
      </w:r>
    </w:p>
    <w:p>
      <w:pPr>
        <w:pStyle w:val="Normal"/>
      </w:pPr>
      <w:r>
        <w:t>bromotrifluoromethane or dibromotetrafluroroethane Mixtures containing hydrobromofluorocarbons Mixtures containing hydrochlorofluorocarbons Mixtures of halogenated hydrocarbons containing carbon tetrachloride Containing 1,1,1,-trichloroethane Containing bromomethane or bomochloromethane Containing PFCs or HFCs but not CFCs or HCFCs Mixtures containing halogenated derivatives of methane, ethane, or propane, nesoi, chlorinated but not otherwise halogenated Mixtures containing halogenated derivatives of methane, ethane, or propane, nesoi, other than chlorinated but not halogenated Chemical mixtures containing oxirane (ethylene oxide) Containing PCBs, PCTs or PBBs: mixtures of halogenated hydrocarbons, chlorinated but not otherwise halogenated, nesoi Containing PCBs, PCTs or PBBs: mixtures of halogenated hydrocarbons other than chlorinated only, nesoi Containing tris (2,3-dibromopropyl phosphate) Other mixtures cont aldrin, camphechlor(toxaphene), chlordane, chlordecone, DDT(clofenatone), 1,1,1-TRICHLORO-2,2-BIS(P-CHLOROPHENYL)ETHANE), ETC. Mixtures containing 1,2,3,4,5,6-hexachlorocyclohexane (HCH (ISO)), including lindane (ISO,INN) Mixtures containing pentachlorobenzene (ISO) or hexachlorobenzene (ISO) Mixtures containing perfluorooctane sulfonic acid, its salts, perfluorooctane sulfonamides, or perfluorooctane sulfonyl fluoride Mixtures containing tetra-, penta-, hexa-, hepta-, or octabromodiphenyl ethers Mixtures consisting mainly of methylphosphonate etc.</w:t>
      </w:r>
    </w:p>
    <w:p>
      <w:pPr>
        <w:pStyle w:val="Normal"/>
      </w:pPr>
      <w:r>
        <w:t>Cultured crystals, weighing not less than 2.5g each, in the form of ingots Cultured crystals, weighing not less than 2.5g each except in the form of ingots Mixtures consisting wholly of substances found naturally in coal tar, whether obtained from coal tar or other source Mixtures of triphenyl sulfonium chloride, diphenyl (4-phenylthio)phenyl sulfonium chloride &amp; (thiodi-4,1- phenylene)bis(diphenyl sulfonium) dichloride Benzene,2,4-Diisocyanate-1,3,5-tris-(1-methylethyl) Mixtures containing 5% or more by weight of one or more aromatic or modified aromatic substance, nesoi Mixtures of bismuth Mixtures of hydrosulfite compounds, of sulfoxylate compounds, or of both Mixtures of mercury Mixtures of molybdenum Mixtures of tungsten Mixture of vanadium Mixtures of two or more inorganic compounds, nesoi Mixtures of fatty substances of animal or vegetable origin and mixtures thereof Mixtures that are in whole or in part of hydrocarbons derived in whole or in part from petroleum, shale oil or natural gas Mixtures chlorinated but not otherwise halogenated Mixtures of halogenated hydrocarbons, nesoi Mixtures of dibromoneopentyl gylcol;polydibromophenylene oxide;tetrabromobisphenol-A-carbonate oligomers;electroplating chemical and electroless Mixtures of naphthenic acids, their water-insoluble salts and their esthers Chemical products and preparations and residual products of the chemical or allied industries, nesoi Municipal waste Sewage sludge Clinical waste Halogenated waste organic</w:t>
      </w:r>
    </w:p>
    <w:p>
      <w:pPr>
        <w:pStyle w:val="Normal"/>
      </w:pPr>
      <w:r>
        <w:t>solvents Waste organic solvents, other than halogenated Wastes of metal-pickling liquors, hydraulic fluids, brake fluids and anti-freeze fluids Other wastes from the chemical or allied industries mainly containing organic constituents Other wastes from the chemical or allied industries, other than those mainly containing organic constituents Residual products of the chemical or allied industries, nesoi; other wastes, nesoi, specified in note 6 to chapter 38 Biodiesel not containing petroleum or bituminous oil Biodiesel containing &lt;70% petroleum or bituminous oil Polyethylene having a specific gravity of less than 0.94 and having a relative viscosity of 1.44 or more, in primary forms Polyethylene having a specific gravity of less than 0.94, in primary forms, nesoi Polyethylene having a specific gravity of 0.94 or more and having a relative viscosity of 1.44 or more, in primary forms Polyethylene having a specific gravity of 0.94 or more, in primary forms, nesoi Ethylene copolymer:</w:t>
      </w:r>
    </w:p>
    <w:p>
      <w:pPr>
        <w:pStyle w:val="Normal"/>
      </w:pPr>
      <w:r>
        <w:t>Vinyl acetate-vinyl chloride-ethylene terpoly w/ &lt; 50% deriv of vinyl acetate, exc polymer aromatic/mod arom monomers Ethylene-vinyl acetate copolymers, nesoi Ethylene-alpha-olefin copolymers, having a specific gravity of less than 0.94 Polymers of ethylene, nesoi, in primary forms, elastomeric Ethylene copolymers, in primary forms, other than elastomeric Polymers of ethylene, nesoi, in primary forms, other than elastomeric Polypropylene, in primary forms Polyisobutylene, elastomeric, in primary</w:t>
      </w:r>
    </w:p>
    <w:p>
      <w:pPr>
        <w:pStyle w:val="Normal"/>
      </w:pPr>
      <w:r>
        <w:t>forms Polyisobutylene, other than elastomeric, in primary forms Propylene copolymers, in primary forms Polymers of propylene or of other olefins, nesoi, in primary forms Polystyrene, expandable, in primary forms Polystyrene, other than expandable, in primary forms Styrene-acrylonitrile (SAN) copolymers, in primary forms Acrylonitrile-butadiene-styrene (ABS) copolymers, in primary forms Methyl methacrylate-butadiene-styrene (MBS) copolymers, in primary forms Polymers of styrene, nesoi, in primary forms Polyvinyl chloride, not mixed with any other substances, in primary forms Polyvinyl chloride, mixed with other substances, nonplasticized, in primary forms Polyvinyl chloride, mixed with other substances, plasticized, in primary forms Vinyl chloride copolymer: Vinyl acetate-vinyl chloride-ethylene terpoly w/&lt; 50% deriv vinyl acetate, exc polymer aromatic/mod arom monomers Vinyl chloride-vinyl acetate copolymers, nesoi Vinyl chloride copolymers nesoi, in primary forms Vinylidene chloride polymers, in primary forms Polytetrafluoroethylene (PTFE), in primary forms Fluoropolymers, elastomeric, other than polytetrafluoroethylene, in primary forms Fluoropolymers, other than elastomeric and other than polytetrafluoroethylene, in primary forms Polymers of vinyl chloride or of other halogenated olefins, nesoi, in primary forms, elastomeric, in primary forms Polymers of vinyl chloride or of other halogenated olefins, nesoi, in primary forms, other than elastomeric, in primary forms</w:t>
      </w:r>
    </w:p>
    <w:p>
      <w:pPr>
        <w:pStyle w:val="Normal"/>
      </w:pPr>
      <w:r>
        <w:t>Polyvinyl acetate, in aqueous dispersion Polyvinyl acetate, other than in aqueous dispersion, in primary forms Vinyl acetate copolymers, in aqueous dispersion Vinyl acetate copolymers, other than in aqueous dispersion, in primary forms Polyvinyl alcohols, whether or not containing unhydrolyzed acetate groups, in primary forms Copolymers of vinyl esters or other vinyls, in primary forms, containing by weight 50% or more of derivatives of vinyl acetate Copolymers of vinyl esters or other vinyls, in primary forms, nesoi Polyvinyl carbazole (including adjuvants) Polymers of vinyl esters or other vinyl polymers, in primary forms, nesoi Polymethyl methacrylate, in primary forms Acrylic polymers (except PMMA) in primary forms, elastomeric Acrylic plastics polymers (except PMMA), in primary forms, nonelastomeric Acrylic polymers (except plastics or elastomers), in primary forms, nesoi Polyacetals in primary forms Polyethers, other than polyacetals, in primary forms Epoxide resins in primary forms Polycarbonates in primary forms Alkyd resins in primary forms Having a viscosity number of 78 ml/g or higher Polyethylene terephthalate, nesoi Poly(lactic acid) Unsaturated allyl resins, uncompounded Unsaturated allyl resins,</w:t>
      </w:r>
    </w:p>
    <w:p>
      <w:pPr>
        <w:pStyle w:val="Normal"/>
      </w:pPr>
      <w:r>
        <w:t>nesoi Unsaturated polyesters, other than allyl resins in primary forms Thermoplastic liquid crystal aromatic polyester copolymers Other polyesters nesoi, saturated, in primary forms Polyamide-6, -11, -12, -6,6, -6,9, -6,10 or -6,12 in primary form</w:t>
      </w:r>
    </w:p>
    <w:p>
      <w:pPr>
        <w:pStyle w:val="Normal"/>
      </w:pPr>
      <w:r>
        <w:t>Bis(4-amino-3-methylcyclohexyl)methaneisophthalic acid-laurolactam copolymer Other polyamides in primary forms Urea resins; thiourea resins Melamine resins Poly(methylene phenyl isocyanate) (crude MDI, polymeric MDI) Amino-resins, nesoi Phenolic resins Polyurethanes, elastomeric, in primary forms Polyurethanes: cements, in primary forms Polyurethanes, other than elastomeric or cements, in primary forms Silicones in primary forms Petroleum resins, coumarone, indene, or coumarone-indene resins and polyterpenes, in primary forms Elastomeric polysulfides, polysulfones and other products specified in note 3 to chapter 39, nesoi, in primary forms Specified carbodiimide or homopolymer with polyethylene thermoplastic goods Thermoplastic polysulfides, polysulfones &amp; oth products spec in note 3, chapt 39, cont aromatic monomer units or derived therefrom Benzenamine; and hydrocarbon novolac cyanate ester Thermosetting polysulfides, polysulfones &amp; oth products spec in note 3, chapt 39, cont aromatic monomer units or derived therefrom Chlorinated synthetic rubber Polysulfides, polysulfones &amp; other products specified in note 3 to chapter 39, nesoi Cellulose acetates, nesoi, in primary forms, nonplasticized Cellulose acetates, nesoi, in primary forms, plasticized Cellulose nitrates (including collodions), in primary forms Carboxymethylcellulose and its salts Cellulose ethers, other than carboxymethylcellulose and its salts, in primary forms Cellulose and its chemical derivatives nesoi, in</w:t>
      </w:r>
    </w:p>
    <w:p>
      <w:pPr>
        <w:pStyle w:val="Normal"/>
      </w:pPr>
      <w:r>
        <w:t>primary forms Alginic acid, and its salts and esters, in primary forms Chemical derivatives of natural rubber, nesoi, in primary forms Polysaccharides and their derivatives, nesoi, in primary forms Natural polymers and modified natural polymers, nesoi, in primary forms Cross-linked polyvinylbenzyltrimethylammonium chloride (Cholestyramine resin USP) Ion-exchangers based on polymers of headings 3901 to 3913, in primary forms, nesoi Waste, parings and scraps, of polymers of ethylene Waste, parings and scrap, of polymers of styrene Waste, parings and scrap, of polymers of vinyl chloride Waste, parings and scrap, of plastics, nesoi Monofilament with cross-section dimension over 1 mm, rods, sticks, profile shapes, at most surface-worked, of polymers of ethylene Monofilament with cross-section dimension over 1 mm, rods, sticks, profile shapes, at most surface-worked, of polymers of vinyl chloride Monofilament with cross-section dimension over 1 mm, rods, sticks, profile shapes, at most surface-worked, of acrylic polymers Monofilament racket strings of plastics of which any cross-sectional dimension exceeds 1 mm Monafilament nesoi, of plastics, excluding ethylene, vinyl chloride and acrylic polymers Rods, sticks</w:t>
      </w:r>
    </w:p>
    <w:p>
      <w:pPr>
        <w:pStyle w:val="Normal"/>
      </w:pPr>
      <w:r>
        <w:t>and profile shapes, at most surface-worked, of plastics, nesoi Artificial guts (sausage casings) of cellulosic plastics materials Artificial guts (sausage casings) of collagen Artificial guts (sausage casings) of hardened protein, nesoi Tubes, pipes and hoses, rigid, of</w:t>
      </w:r>
    </w:p>
    <w:p>
      <w:pPr>
        <w:pStyle w:val="Normal"/>
      </w:pPr>
      <w:r>
        <w:t>polymers of ethylene Tubes, pipes and hoses, rigid, of polymers of propylene Tubes, pipes and hoses, rigid, of polymers of vinyl chloride Tubes, pipes and hoses, rigid, of other plastics nesoi Flexible plastic tubes, pipes and hoses, having a minimum burst pressure of 27.6 MPa Tubes, pipes and hoses, of plastics, other than rigid, not reinforced or otherwise combined with other materials, without fittings Flexible plastic tubes, pipes and hoses, nesoi, with fittings, not reinforced or otherwise combined with other materials Flexible plastic tubes, pipes and hoses, nesoi Fittings of plastics, for plastic tubes, pipes and hoses, nesoi Vinyl tile floor coverings Vinyl flooring, excluding vinyl tile Wall or ceiling coverings, with a backing of manmade fibers, greater than 70% by weight of PVC Wall or ceiling coverings, with a backing of manmade fibers, less than or equal to 70% by weight of PVC Wall or ceiling coverings of polymers of vinyl chloride with a backing of textile fibers other than of manmade fibers Wall or ceiling coverings of polymers</w:t>
      </w:r>
    </w:p>
    <w:p>
      <w:pPr>
        <w:pStyle w:val="Normal"/>
      </w:pPr>
      <w:r>
        <w:t>of vinyl chloride, without a backing of textile fibers Floor coverings of plastics, other than of polymers of vinyl chloride, nesoi Wall or ceiling coverings, with a backing of manmade fibers, of plastics other than polymers of vinyl chloride Wall or ceiling coverings of plastics other than of polymers of vinyl chloride with a backing of textile fibers other than of manmade fiber Wall or ceiling coverings of plastics other than vinyl</w:t>
      </w:r>
    </w:p>
    <w:p>
      <w:pPr>
        <w:pStyle w:val="Normal"/>
      </w:pPr>
      <w:r>
        <w:t>chloride, without a backing of textile fibers Self-adhesive plates, sheets, other flat shapes, of plastics, in rolls n/o 20 cm wide, light- reflecting surface produced by glass grains Self-adhesive plates, sheets, other flat shapes, of plastics, in rolls n/o 20 cm wide, not having a light-reflecting glass grain surface Self-adhesive plates, sheets, other flat shapes, of plastics, light-reflecting surface produced by glass grains, nesoi Self-adhesive plates, sheets, other flat shapes, of plastics, not having a light-reflecting surface produced by glass grains, nesoi Nonadhesive plates, sheets, film, foil and strip, noncellular, not reinforced or combined with other materials, of polymers of ethylene Nonadhesive plates, sheets, film, foil and strip, noncellular, not reinforced or combined with other materials, of polymers of propylene Nonadhesive plates, sheets, film, foil and strip, noncellular, not reinforced or combined with other materials, of polymers of styrene Nonadhesive plates/sheets/film/foil/strip made imitation of patent leather, of vinyl chloride polymers, not less 6% plasticizers Nonadhesive plate/sheet/film/foil/strip, noncellular, not comb w/other materials, of vinyl chloride polymers, not less 6% plasticizer, nesoi</w:t>
      </w:r>
    </w:p>
    <w:p>
      <w:pPr>
        <w:pStyle w:val="Normal"/>
      </w:pPr>
      <w:r>
        <w:t>Nonadhesive plates, sheets, film, foil, strip, noncellular, not combined w/other materials, of polymers of vinyl chloride, &lt; 6% plasticizers Nonadhesive plates, sheets, film, foil and strip, noncellular, not combined with other materials, of</w:t>
      </w:r>
    </w:p>
    <w:p>
      <w:pPr>
        <w:pStyle w:val="Normal"/>
      </w:pPr>
      <w:r>
        <w:t>polymethyl methacrylate, flexible Nonadhesive plates, sheets, film, foil and strip, noncellular, not combined with other materials, of polymethyl methacrylate, not flexible Nonadhesive plates, sheets, film, foil and strip, noncellular, not combined with other materials, of acrylic polymers, flexible, nesoi Transparent sheeting containing 30% or more by weight of lead Plates, sheets, film, etc, noncellular, not reinforced, laminated, combined, of other acrylic polymers, nesoi Nonadhesive plates, sheets, film, foil and strip, noncellular, not combined with other materials, of polycarbonates Nonadhesive plates, sheets, film, foil and strip, noncellular, not combined with other materials, of polyethylene terephthalate Nonadhesive plates, sheets, film, foil and strip, noncellular, not combined with other materials, of unsaturated polyesters, flexible Nonadhesive plates, sheets, film, foil and strip, noncellular, not combined with other materials, of unsaturated polyesters, not flexible Nonadhesive plates, sheets, film, foil and strip, noncellular, not combined with other materials, of polyesters, nesoi Nonadhesive plates, sheets, film, foil and strip, noncellular, not combined with other materials, of regenerated cellulose Nonadhesive plates, sheets, film, foil and strip, noncellular, not combined with other materials, of cellulose acetate Nonadhesive plates, sheets, film, foil and strip, noncellular, not combined with other materials, of vulcanized fiber Nonadhesive films,</w:t>
      </w:r>
    </w:p>
    <w:p>
      <w:pPr>
        <w:pStyle w:val="Normal"/>
      </w:pPr>
      <w:r>
        <w:t>strips, sheets, noncellular, not combined with other materials, of other cellulose derivatives nesoi, n/o 0.076 mm thick Nonadhesive plates, sheets, film, foil and strip, noncellular, not combined with other materials, of cellulose derivatives, nesoi Nonadhesive plates, sheets, film, foil and strip, noncellular, not combined with other materials, of polyvinyl butyral Nonadhesive plates, sheets, film, foil and strip, noncellular, not combined with other materials, of polyamides Nonadhesive plates, sheets, film, foil and strip, noncellular, not combined with other materials, of amino-resins Nonadhesive plates, sheets, film, foil and strip, noncellular, not combined with other materials, of phenolic resins Nonadhesive film, noncellular, not combined with other materials, of plastics nesoi, flexible, over 0.152mm thick, not in rolls Nonadhesive film, strips and sheets, noncellular, not combined with other materials, of plastics nesoi, flexible Nonadhesive plates, sheets, film, foil and strip, noncellular, not combined with other materials, of plastics, nesoi Nonadhesive plates, sheets, film, foil and strip, cellular, of polymers of styrene Nonadhesive plates, sheets, film, foil, strip, cellular, of polymers of vinyl chloride, with</w:t>
      </w:r>
    </w:p>
    <w:p>
      <w:pPr>
        <w:pStyle w:val="Normal"/>
      </w:pPr>
      <w:r>
        <w:t>man-made textile fibers, over 70% plastics Nonadhesive plates, sheets, film, foil, strip, cellular, of polymers of vinyl chloride, with man-made textile fibers, n/o 70% plastics Nonadhesive plates, sheets, film, foil and strip, cellular, of polymers of</w:t>
      </w:r>
    </w:p>
    <w:p>
      <w:pPr>
        <w:pStyle w:val="Normal"/>
      </w:pPr>
      <w:r>
        <w:t>vinyl chloride, combined with textile materials, nesoi Nonadhesive plates, sheets, film, foil and strip, cellular, of polymers of vinyl chloride, not combined with textile materials Nonadhesive plates, sheets, film, foil and strip, cellular, of polyurethanes, with man- made textile fibers, over 70% plastics Nonadhesive plates, sheets, film, foil and strip, cellular, of polyurethanes, with man- made textile fibers, not over 70 percent plastics Nonadhesive plates, sheets, film, foil and strip, cellular, of polyurethanes, combined with textile materials nesoi Nonadhesive plates, sheets, film, foil and strip, cellular,of polyurethanes, not combined with textile materials, nesoi Nonadhesive plates, sheets, film, foil and strip, cellular, of regenerated cellulose Nonadhesive plates, sheets, film, foil and strip, cellular, of plastics nesoi Nonadhesive plates, sheets, film, foil, strip, of noncellular plastics combined with man- made fibers, n/o 1.492 kg/sq m, over 70% plastics Nonadhesive plates, sheets, film, foil, strip, of noncellular plastics combined with man- made fibers, n/o 1.492 kg/sq m, n/o 70% plastics Nonadhesive plates, sheets, film, foil and strip, of noncellular plastics combined with textile</w:t>
      </w:r>
    </w:p>
    <w:p>
      <w:pPr>
        <w:pStyle w:val="Normal"/>
      </w:pPr>
      <w:r>
        <w:t>materials, nesoi, not over 1.492 kg/sq m Nonadhesive plates, sheets, film, foil and strip, of noncellular plastics combined with cotton, over 1.492 kg/sq m Nonadhesive plates, sheets, film, foil and strip, of noncellular plastics combined with man-made fibers, over 1.492 kg/sq</w:t>
      </w:r>
    </w:p>
    <w:p>
      <w:pPr>
        <w:pStyle w:val="Normal"/>
      </w:pPr>
      <w:r>
        <w:t>m Nonadhesive plates, sheets, film, foil and strip, of noncellular plastics combined with textile materials, nesoi, over 1.492 kg/sq m Nonadhesive plates, sheets, film, foil and strip, flexible, nesoi, of noncellular plastics Nonadhesive plates, sheets, film, foil and strip, nonflexible, nesoi, of noncellular plastics Baths, shower baths and washbasins, of plastics Lavatory seats and covers, of plastics Bidets, lavatory pans, flushing cisterns and similar sanitary ware nesoi, of plastics Boxes and similar articles for the conveyance or packing of semiconductor wafers, masks or reticules of subheadings 3923.10 or</w:t>
      </w:r>
    </w:p>
    <w:p>
      <w:pPr>
        <w:pStyle w:val="Normal"/>
      </w:pPr>
      <w:r>
        <w:t>8485.90 Other boxes, cases, crates and similar articles for the conveyance or packing of goods, of plastics Sacks and bags (including cones) for the conveyance or packing of goods, of polymers of ethylene Sacks and bags (including cones) for the conveyance or packing of goods, of plastics other than polymers of ethylene Carboys, bottles, flasks and similar articles for the conveyance or packing of goods, of plastics Spools, cops, bobbins and similar supports, of plastics Stoppers, lids, caps and other closures, of plastics Articles nesoi, for the conveyance or packing of goods, of plastics Salt, pepper, mustard and ketchup dispensers and similar dispensers, of plastics Plates, cups, saucers, soup bowls, cereal bowls, sugar bowls, creamers, gravy boats, serving dishes and platters, of plastics Trays, of plastics Tableware and kitchenware articles, nesoi, of plastics</w:t>
      </w:r>
    </w:p>
    <w:p>
      <w:pPr>
        <w:pStyle w:val="Normal"/>
      </w:pPr>
      <w:r>
        <w:t>Nursing nipples and finger cots Curtains and drapes, incl.</w:t>
      </w:r>
    </w:p>
    <w:p>
      <w:pPr>
        <w:pStyle w:val="Normal"/>
      </w:pPr>
      <w:r>
        <w:t>panels and valances, napkins, table covers, mats, scarves, runners, doilies, and like furnishings, of plastics Picture frames of plastics Household articles and toilet articles, nesoi, of plastics Reservoirs, tanks, vats and similar containers, of a capacity exceeding 300 liters, of plastics Doors, windows, and their frames and thresholds for doors, of plastics Blinds (including venetian blinds), of plastics Shutters and similar articles and parts thereof, nesoi, of plastics Builders’ ware of plastics, nesoi Office or school supplies, of plastics Gloves, seamless, of plastics Baseball and softball gloves and mitts, of plastics Gloves specially designed for use in sports, nesoi, of plastics Gloves, nesoi, of plastics Plastic rainwear, incl jackets, coats, ponchos, parkas &amp; slickers, w/ outer shell PVC and w/wo attached hoods, val not over $10 per unit Articles of apparel &amp; clothing accessories, of plastic, nesoi Handles and knobs for furniture, coachwork or the like, of plastics Fittings for furniture, coachwork or the like, other than handles and knobs, of plastics Statuettes and other ornamental articles, of plastics Buckets</w:t>
      </w:r>
    </w:p>
    <w:p>
      <w:pPr>
        <w:pStyle w:val="Normal"/>
      </w:pPr>
      <w:r>
        <w:t>and pails, of plastics, nesoi Pacifiers Specified sanitary, invalid and nursing products, and fittings therefor, of plastics Handles and knobs, not used as fittings for furniture, coachwork or the like, of plastics Parts for yachts or pleasure boats of heading 8903 and watercraft not used with</w:t>
      </w:r>
    </w:p>
    <w:p>
      <w:pPr>
        <w:pStyle w:val="Normal"/>
      </w:pPr>
      <w:r>
        <w:t>motors or sails, of plastics Handbags made of beads, bugles and spangles, of plastics Beads, bugles and spangles, not strung or set; articles thereof, nesoi, of plastics Imitation gemstones, of plastics Gaskets, washers and other seals, of plastics Photo albums Frames or mounts for photographic slides, of plastics V-belts of plastics, containing textile fibers Belting and belts (except V-belts) for machinery, of plastics, containing predominately vegetable fibers Belting and belts (except V-belts) for machinery, of plastics, containing predominately man-made fibers Belting and belts (except V-belts) for machinery, of plastics, containing textile fibers nesoi Belting and belts (except V-belts) for machinery, of plastics, not containing textile fibers Clothespins, spring type, of plastics Clothespins, other than spring type, of plastics Pneumatic mattresses and other inflatable articles, nesoi, of plastics Waterbed mattresses and liners and parts of the foregoing, of plastics Empty cartridges and cassettes for typewriter and machine ribbons, of plastics Fasteners, in clips suitable for use in a mechanical attaching device, of plastics Flexible document binders with tabs, rolled or flat, of plastics Cards, not punched, suit.</w:t>
      </w:r>
    </w:p>
    <w:p>
      <w:pPr>
        <w:pStyle w:val="Normal"/>
      </w:pPr>
      <w:r>
        <w:t>for jacquard cards; jacquard cards &amp; jacquard heads for power-driven weaving mach, etc;&amp; trans sheet plast 30%lead Casing for bicycle derailleur cable;and casing for cable or inner wire for caliper and cantilever bake,whether or not cut length;</w:t>
      </w:r>
    </w:p>
    <w:p>
      <w:pPr>
        <w:pStyle w:val="Normal"/>
      </w:pPr>
      <w:r>
        <w:t>of plastic Other articles of plastic, nesoi Natural rubber latex, whether or not prevulcanized Natural rubber smoked sheets Technically specified natural rubber (TSNR), in primary forms Natural rubber in primary forms other than latex, smoked sheets or technically specified natural rubber (TSNR) Balata, gutta-percha, guayule, chicle and similar natural rubber gums, in primary forms Styrene-butadiene rubber (SBR) or carboxylated styrene-butadiene rubber (XSBR), latex, in primary forms or in plates, sheets or strip Styrene-butadiene rubber (SBR), carboxylated styrene-butadiene rubber (XSBR), except latex, in primary forms or in plates, sheets or strip Butadiene rubber (BR), in primary forms or in plates, sheets or strip Isobutene-isoprene (butyl) rubber (IIR), in primary forms or in plates, sheets or strip Halo-isobutene-isoprene rubber (CIIR or BIIR), in primary forms or in plates, sheets or strip Chloroprene (chlorobutadiene) rubber (CR), latex, in primary forms or in plates, sheets or strip Chloroprene (chlorobutadiene) rubber (CR), other than latex, in primary forms or in plates, sheets or strip Acrylonitrile-butadiene rubber (NBR), latex, in primary forms or in plates, sheets or strip Acrylonitrile-butadiene rubber (NBR), other</w:t>
      </w:r>
    </w:p>
    <w:p>
      <w:pPr>
        <w:pStyle w:val="Normal"/>
      </w:pPr>
      <w:r>
        <w:t>than latex, in primary forms or in plates, sheets or strip Isoprene rubber (IR), in primary forms or in plates, sheets or strip Ethylene-propylene-nonconjugated diene rubber (EPDM), in primary forms or in plates, sheets or strip Mixtures of natural rubber gums with synthetic rubber, in primary forms or in plates, sheets or strip Synthetic rubber and factice derived from oils, in latex form, in primary forms or in plates, sheets or strip, nesoi Synthetic rubber and factice derived from oils, in primary forms or in plates, sheets or strip, nesoi Reclaimed rubber in primary forms or in plates, sheets or strip Waste, parings and scrap of rubber (other than hard rubber) and powders and granules obtained therefrom Rubber, unvulcanized, compounded with carbon black or silica, in primary forms or in plates, sheets or strip Solutions and dispersions of rubber, unvulcanized, compounded with other than carbon black or silica Compounded rubber, unvulcanized, in plates, sheets and strip Compounded rubber, unvulcanized, in primary forms, nesoi “Camel-back” strips of unvulcanized rubber, for retreading</w:t>
      </w:r>
    </w:p>
    <w:p>
      <w:pPr>
        <w:pStyle w:val="Normal"/>
      </w:pPr>
      <w:r>
        <w:t>rubber tires Rods, tubes, profile shapes, discs, rings, and similar articles, of natural, unvulcanized rubber Rods, tubes, profile shapes, discs, rings, and similar articles, of synthetic unvulcanized rubber Vulcanized rubber thread and cord Plates, sheets and strip of vulcanized natural cellular rubber, other than hard rubber Plates, sheets and strip of vulcanized synthetic cellular rubber,</w:t>
      </w:r>
    </w:p>
    <w:p>
      <w:pPr>
        <w:pStyle w:val="Normal"/>
      </w:pPr>
      <w:r>
        <w:t>other than hard rubber Rods and profile shapes of vulcanized natural cellular rubber, other than hard rubber Vulcanized natural cellular rubber, other than hard rubber, other than rods and profile shapes,nesi Rods and profile shapes of vulcanized, synthetic cellular rubber, other than hard rubber Vulcanized, synthetic cellular rubber, other than hard rubber, other than rods and profile shapes Plates, sheets and strip of vulcanized, noncellular rubber, other than hard rubber Rods and profile shapes of vulcanized, noncellular rubber, other than hard rubber Vulcanized, noncellular rubber, other than hard rubber, other than rods and profile shapes, nesoi Tubes, pipes and hoses of vulcanized rubber other than hard rubber, not reinforced or combined w/other materials, without fittings Tubes, pipes and hoses of vulcanized rubber other than hard rubber, not reinforced or combined w/other materials, with fittings Tubes, pipes and hoses of vulcanized rubber other than hard rubber, reinforced or combined only with metal, without fittings Tubes, pipes and hoses of vulcanized rubber other than hard rubber, reinforced or combined only with metal,</w:t>
      </w:r>
    </w:p>
    <w:p>
      <w:pPr>
        <w:pStyle w:val="Normal"/>
      </w:pPr>
      <w:r>
        <w:t>with fittings Tubes, pipes and hoses of vulcanized rubber other than hard rubber, reinforced or combined only with textile materials, without fittings Tubes, pipes and hoses of vulcanized rubber other than hard rubber, reinforced or combined only with textile materials, with fittings Tubes, pipes and hoses of vulcanized rubber other than hard</w:t>
      </w:r>
    </w:p>
    <w:p>
      <w:pPr>
        <w:pStyle w:val="Normal"/>
      </w:pPr>
      <w:r>
        <w:t>rubber, reinforced or combined with other materials nesoi, without fittings Tubes, pipes and hoses of vulcanized rubber other than hard rubber, reinforced or combined with other materials nesoi, with fittings Conveyor belts or belting of vulcanized rubber reinforced only with metal Conveyor belts or belting of vulcanized rubber reinforced only with textile materials, in which vegetable fibers predominate ov other fibers Conveyor belts/belting of vulcanized rubber reinforced w/textile material, mostly man- made fiber, width exceeds 20 cm Conveyor belts/belting of vulcanized rubber reinforced only w/textile material, mostly man-made fiber, width not over 20 cm Conveyor belts or belting of vulcanized rubber reinforced only with textile materials, nesoi Conveyor belts or belting of vulcanized rubber, nesoi, combined with textile materials in which vegetable fibers predominate ov other fibers Conveyor belts/belting of vulcanized rubber, nesoi, combined w/textile components in which man-made fibers predominate, width exceed 20 cm Conveyor belts/belting of vulcanized rubber, nesoi, combined w/textile components in which man-made fibers predominate, width under 20 cm Conveyor belts/belting of vulcanized rubber, nesoi, combined</w:t>
      </w:r>
    </w:p>
    <w:p>
      <w:pPr>
        <w:pStyle w:val="Normal"/>
      </w:pPr>
      <w:r>
        <w:t>with textile materials nesoi Conveyor belts/belting of vulcanized rubber, nesoi Transmission V-belts of vulcanized rubber, V-ribbed, circumference exceed 60 cm but not exceed 180 cm, combined with textile materials Transmission V-belt of vulcanized rubber,</w:t>
      </w:r>
    </w:p>
    <w:p>
      <w:pPr>
        <w:pStyle w:val="Normal"/>
      </w:pPr>
      <w:r>
        <w:t>V-ribbed, circumference exceed 60 cm but not exceed 180 cm, other than combined w/textile material Transmission V-belts of vulcanized rubber, not V-ribbed, circumference exceed 60 cm but not exceed 180 cm, combined with textile materials Transmission V-belt of vulcanized rubber, not V-ribbed, circumference exceed 60 cm not exceed 180 cm, other than combined w/textile material Transmission V-belts of vulcanized rubber, V-ribbed, circumference exceed 180 cm but not exceed 240 cm, combined with textile materials Transmission V-belt of vulcanized rubber, V-ribbed, circumference exceed 180 cm not exceed 240 cm, other than combined w/textile material Transmission V-belts of vulcanized rubber, not V-ribbed, circumference exceed 180 cm but not exceed 240 cm, combined with textile materials Transmission V-belt of vulcanized rubber, not V-ribbed, circumference exceed 180 cm not exceed 240 cm,other than combined w/textile material Endless synchronous transmission belt of vulcan. rubber, circum. 60-150 cm, combined w/textile mat. w/vegetable fiber more than other fibers Endless synchronous transmission belt of vulcan. rubber, circum. 60-150 cm, combine w/textile mat.;manmade fiber predominant; width ov 20 cm Endless synchronous transmission belt of vulcan. rubber, circum. 60-150 cm, combine w/text.</w:t>
      </w:r>
    </w:p>
    <w:p>
      <w:pPr>
        <w:pStyle w:val="Normal"/>
      </w:pPr>
      <w:r>
        <w:t>mat.;manmade fiber predominant; width n/o 20 cm Endless synchronous transmission belt of vulcanized rubber, circumference 60 to 150 cm, combined with textile materials nesoi Endless synchronous transmission belt of vulcanized rubber, circumference 60 to 150 cm, other than combined with textile materials Endless synchronous transmission belt of vulcan. rubber, circum. 150-198 cm, combined w/textile with vegetable fiber predom over other fiber Endless synchronous transmission belt of vulcan. rubber, circum. 150-198cm, combined w/manmade fiber exceeding other fibers, width ov 20 cm Endless synchronous transmission belt of vulcan. rubber, circum. 150-198cm, combined w/manmade fiber exceeding other fiber, width n/o 20 cm Endless synchronous transmission belts of vulcanized rubber, circumference 150 to 198 cm, combined with textile materials nesoi Endless synchronous transmission belts of vulcanized rubber, circumference 150 to 198 cm, other than combined with textile materials Transmission V-belts and V-belting of vulcanized rubber, nesoi, combined with textile materials Transmission V-belts and V-belting of vulcanized rubber, nesoi, other than combined with textile materials Transmission belts or belting of vulcanized rubber, nesoi, combined with textile materials in which vegetable fiber predominate other fibers Transmission belts or belting of vulcanized rubber, nesoi, combined w.</w:t>
      </w:r>
    </w:p>
    <w:p>
      <w:pPr>
        <w:pStyle w:val="Normal"/>
      </w:pPr>
      <w:r>
        <w:t>textile materials with man-made fibers predominant, width over 20 cm Transmission belts or belting of vulcanized rubber, nesoi, combined w.</w:t>
      </w:r>
    </w:p>
    <w:p>
      <w:pPr>
        <w:pStyle w:val="Normal"/>
      </w:pPr>
      <w:r>
        <w:t>textile materials with man-made fibers predominant, width n/o 20 cm Transmission belts or belting of vulcanized rubber, nesoi, combined with textile materials nesoi Transmission belts or belting of vulcanized rubber, nesoi, other than combined with textile materials New pneumatic radial tires, of rubber, of a kind used on motor cars (including station wagons and racing cars) New pneumatic tires excluding radials, of rubber, of a kind used on motor cars (including station wagons and racing cars) New pneumatic radial tires, of rubber, of a kind used on buses or trucks New pneumatic tires excluding radials, of rubber, of a kind used on buses or trucks New pneumatic tires, of rubber, of a kind used on aircraft New pneumatic tires, of rubber, of a kind used on motorcycles New pneumatic tires, of rubber, of a kind used on bicycles New pneumatic tires of a kind used on agricultural or forestry vehicles and machines New pneumatic tires of a kind used on construction, mining or industrial handling vehicles and machines having a</w:t>
      </w:r>
    </w:p>
    <w:p>
      <w:pPr>
        <w:pStyle w:val="Normal"/>
      </w:pPr>
      <w:r>
        <w:t>herring-bone or similar tread New pneumatic tires of a kind used on construction, mining or industrial handling vehicles and machines having a radial tread New pneumatic tires of a kind used on construction, mining or industrial handling vehicles and machines, other New pneumatic tires, of a kind nesoi, have a</w:t>
      </w:r>
    </w:p>
    <w:p>
      <w:pPr>
        <w:pStyle w:val="Normal"/>
      </w:pPr>
      <w:r>
        <w:t>herring-bone or similar tread New pneumatic tires, of a kind nesoi, have a radial tread New pneumatic tires, nesoi Retreaded radial pnuematic tires, of rubber, of a kind used on motor cars (including station wagons and racing cars) Retreaded pnuematic tires (nonradials), of rubber, of a kind used on motor cars (including station wagons and racing cars) Retreaded pnuematic radial tires, of rubber, of a kind used on buses or trucks Retreaded pnuematic tires (nonradials), of rubber, of a kind used on buses or trucks Retreaded pneumatic tires, of rubber, of a kind used on aircraft Retreaded pneumatic tires, of rubber, designed for certain agricultural or horticultural machinery Retreaded pnuematic radial tires, of rubber, not elsewhere specified or included Retreaded pnuematic tires (nonradials), of rubber, not elsewhere specified or included Used pneumatic tires of rubber, for aircraft Used pneumatic tires of rubber, designed for certain agricultural or horticultural machinery,for on-highway trasnport of passengers or goods Used pneumatic tires of rubber, designed for certain agricultural or horticultural machinery, nesoi Used pneumatic</w:t>
      </w:r>
    </w:p>
    <w:p>
      <w:pPr>
        <w:pStyle w:val="Normal"/>
      </w:pPr>
      <w:r>
        <w:t>tires, of rubber, for vehicles for on-highway transport of passengers or goods nesoi, or vehicles of heading 8705 Used pneumatic tires, of rubber for machinery, nesoi Solid or cushion tires of rubber Bicycle rim strips of natural rubber Interchangeable tire treads and tire flaps, of natural rubber, nesoi Bicycle rim strips of rubber other than</w:t>
      </w:r>
    </w:p>
    <w:p>
      <w:pPr>
        <w:pStyle w:val="Normal"/>
      </w:pPr>
      <w:r>
        <w:t>of natural rubber Interchangeable tire treads and tire flaps, of rubber other than natural rubber, except bicycle rim strips, nesoi Inner tubes of rubber, of a kind used on motor cars (including station wagons and racing cars), buses or trucks Inner tubes of rubber, of a kind used on bicycles Inner tubes of rubber designed for tires used on certain agricultural or horticultural machinery Inner tubes of rubber for vehicles nesoi Sheath contraceptives of vulcanized rubber Nursing nipples of vulcanized rubber Hygienic or pharmaceutical articles nesoi, of vulcanized rubber other than hard rubber, with or without fittings of hard rubber Surgical gloves of vulcanized rubber other than hard rubber Medical gloves of vulcanized rubber other than hard rubber Seamless gloves of vulcanized rubber other than hard rubber, other than surgical or medical gloves Nonseamless gloves of vulcanized rubber other than hard rubber, other than surgical or medical gloves Articles of apparel and clothing accessories, excluding gloves, of vulcanized rubber other than hard rubber Articles of vulcanized cellular rubber other than</w:t>
      </w:r>
    </w:p>
    <w:p>
      <w:pPr>
        <w:pStyle w:val="Normal"/>
      </w:pPr>
      <w:r>
        <w:t>hard rubber Floor covering and mats, of noncellular vulcanized rubber other than hard rubber Erasers, of noncellular vulcanized rubber other than hard rubber Gaskets, washers and other seals, of noncellular vulcanized rubber other than hard rubber, for use in automotive goods in C87 Gaskets, washers and other seals, of noncellular vulcanized rubber other than hard rubber, not</w:t>
      </w:r>
    </w:p>
    <w:p>
      <w:pPr>
        <w:pStyle w:val="Normal"/>
      </w:pPr>
      <w:r>
        <w:t>for use in automotive goods in C87 Boat or dock fenders, whether or not inflatable, of noncellular vulcanized rubber other than hard rubber Inflatable articles nesoi, of noncellular vulcanized rubber other than hard rubber Containers of noncellular vulcanized rubber, other than hard rubber, of a kind for packing, transport or marketing of merchandise Household articles nesoi, of noncellular vulcanized rubber other than hard rubber Handles and knobs, of noncellular vulcanized rubber other than hard rubber Caps, lids, seals, stoppers and other closures, of noncellular vulcanized rubber other than hard rubber Toys for pets made of noncellular vulcanized rubber other than hard rubber Articles made of noncellular vulcanized natural rubber, used as vibration control goods in vehicles of 8701 through 8705 Articles made of noncellular vulcanized natural rubber, not used as vibration control goods in vehicles of 8701 through 8705 nesoi Articles nesoi, of noncellular vulcanized synthetic rubber other than hard rubber, used as vibration control goods in veh 8701/8705 Articles of noncellular vulcanized synthetic rubber other than hard rubber Hard rubber (for example, ebonite) in all forms, including waste and scrap;</w:t>
      </w:r>
    </w:p>
    <w:p>
      <w:pPr>
        <w:pStyle w:val="Normal"/>
      </w:pPr>
      <w:r>
        <w:t>articles of hard rubber Whole raw hide/skin of bovine/equines (n/o 8 kg when dried, 10 kg when dry salted or 16 kg when fresh/otherwise preserved), not pretanned Whole bovine hides/skin upper/lining (n/o 8 kg when dried, 10 kg when dry salted or 16 kg when fresh/otherwise</w:t>
      </w:r>
    </w:p>
    <w:p>
      <w:pPr>
        <w:pStyle w:val="Normal"/>
      </w:pPr>
      <w:r>
        <w:t>preserved), n/o 2.6 m2, nesoi Whole bovine hides/skin nesoi (n/o 8 kg when dried, 10 kg when dry salted or 16 kg when fresh/otherwise preserved), n/o 2.6 m2, nesoi Whole raw buffalo hides/skins (n/o 8 kg when dried, 10 kg when dry salted or 16 kg when fresh/otherwise preserved), over 2.6 m2, nesoi Whole bovine hides/skins (not buffalo) (n/o 8 kg dried, 10 kg dry salted or 16 kg fresh/otherwise preserved), ov 2.6 m2, vegetable pretanned Whole bovine hide/skin (not buffalo) (n/o 8 kg dried, 10 kg dry salted or 16 kg fresh/otherwise preserved), ov 2.6 m2, not vegetable pretann Whole equine hides and skins (n/o 8 kg when dried, 10 kg when dry salted or 16 kg when fresh/otherwise preserved), other than not pretanned Whole raw hides and skins of bovine or equine animals, of a weight exceeding 16 kg, not pretanned Whole raw bovine hides and skins upper/lining, of a weight over 16 kg, unit surface area n/o 2.6 m2, pretanned but not further prepared Whole raw bovine</w:t>
      </w:r>
    </w:p>
    <w:p>
      <w:pPr>
        <w:pStyle w:val="Normal"/>
      </w:pPr>
      <w:r>
        <w:t>hides and skins, of a weight over 16 kg, unit surface area n/o 2.6 sq m, pretanned but not further prepared Whole raw buffalo hidess and skins, of a weight over 16 kg, surface area over 2.6 sq m, pretanned but not further prepared, Whole raw bovine hides and skins (not buffalo), weight over 16 kg, surface area over 2.6 m2, vegetable pretanned but not further prepared Whole raw bovine hides/skins (not buffalo), weight over 16 kg, surface area over 2.6 m2, pretanned (not vegetable) but not further prepared Whole raw equine</w:t>
      </w:r>
    </w:p>
    <w:p>
      <w:pPr>
        <w:pStyle w:val="Normal"/>
      </w:pPr>
      <w:r>
        <w:t>hides and skins, of a weight exceeding 16 kg, pretanned but not further prepared Raw hides and skins (other than whole) of bovine or equine animals, not pretanned Raw buffalo hides and skins (other than whole), pretanned but not further prepared Raw bovine hides and skins (other than whole), vegetable pretanned but not further prepared Raw bovine hides and skins (other than whole), pretanned (other than vegetable pretanned) but not further prepared Raw equine hides and skins (other than whole), pretanned but further prepared Raw skins of sheep or lambs (not excluded by note 1(c) to chapter 41), with wool on, not pretanned Raw skins of sheep or lamb (not excluded by note 1(c) to chapter 41), with wool on, vegetable pretanned but not further prepared Raw skins of sheep or lamb (not excluded by note 1(c) to chapter 41), with wool on, pretanned other than vegetable but not further prepared Raw skins of sheep or lambs, without wool on, pickled, other than those excluded by note 1(c) to chapter</w:t>
      </w:r>
    </w:p>
    <w:p>
      <w:pPr>
        <w:pStyle w:val="Normal"/>
      </w:pPr>
      <w:r>
        <w:t>41 Raw skins of sheep or lamb (not excluded by note 1(c) to chapter 41), without wool on, not pretanned Raw sheep or lamb skins (not excluded by note 1(c) to chapter 41), without wool on, vegetable pretanned but not further prepared Raw sheep or lamb skins (not excluded by note 1(c) to chapter 41), without wool on, pretanned other than vegetable but not further prepared Raw hides and skins of reptiles, not pretanned Raw hides and skins of reptiles, vegetable pretanned but not further</w:t>
      </w:r>
    </w:p>
    <w:p>
      <w:pPr>
        <w:pStyle w:val="Normal"/>
      </w:pPr>
      <w:r>
        <w:t>prepared Raw hides and skins of reptiles, pretanned other than vegetable pretanned but not further prepared Raw hides and skins of swine, not pretanned Raw hides and skins of swine, pretanned but not further prepared Raw hides and skins of deer, goats, kids and animals nesoi (other than those excluded by note 1(b) or 1(c) to chapter 41), not pretanned Raw hides and skins of goats or kids (not excluded by note 1(c) to chapter 41), vegetable pretanned but not further prepared Raw hides and skins of goat or kid (not excluded by note 1(c) to chapter 41), pretanned (other than vegetable) but not prepared Raw hides and skins of animals nesoi (other than those excluded by note 1(b) or 1(c) to chapter 41), pretanned but not further prepared Tanned whole bovine skin and hide upper/lining leather, w/o hair on, unit surface area n/o 2.6 sq m, in the wet state Tanned whole bovine skin and hide leather (not upper/lining), w/o hair on, unit surface area n/o 2.6 sq m,</w:t>
      </w:r>
    </w:p>
    <w:p>
      <w:pPr>
        <w:pStyle w:val="Normal"/>
      </w:pPr>
      <w:r>
        <w:t>in the wet state Full grain unsplit or grain split buffalo hide or skin, w/o hair on, tanned but not further prepared, surface ov 2.6 m2, in the wet state Full grain unsplit/grain split bovine nesoi and equine upper &amp; sole hides/skins, w/o hair, tanned but not further prepared, in the wet state Full grain unsplit/grain split bovine (except buffalo) nesoi and equine hides/skins, w/o hair, tanned not further prepared, in the wet state Whole bovine skin upper or lining leather, w/o hair on, unit surface n/o 2.6 sq m, tanned but</w:t>
      </w:r>
    </w:p>
    <w:p>
      <w:pPr>
        <w:pStyle w:val="Normal"/>
      </w:pPr>
      <w:r>
        <w:t>not further prepared, in the wet state Whole bovine skin leather (not upper or lining), w/o hair on, surface n/o 2.6 sq m, tanned but not further prepared, in the wet state Buffalo hides and skins nesoi, w/o hair on, unit surface area ov 2.6 m2, tanned but not further prepared, in the wet state Upper and sole bovine (except buffalo) and equine hides and skins, nesoi, w/o hair, tanned but not further prepared, in the wet state Bovine (except buffalo) and equine hides and skins (not upper/sole) nesoi, w/o hair, tanned but not further prepared, in the wet state Crust whole bovine hide and skin upper or lining leather, w/o hair on, unit surface n/o 2.6 sq m, tanned but not further prepared Crust whole bovine hide and skin leather (not upper or lining), w/o hair on, surface n/o 2.6 sq m, tanned but not further prepared Crust full grain unsplit or grain split buffalo hides and skins, surface area over 2.6 m2, without hair on, tanned but not further prepared Crust full grain unsplit/grain split bovine (ex.</w:t>
      </w:r>
    </w:p>
    <w:p>
      <w:pPr>
        <w:pStyle w:val="Normal"/>
      </w:pPr>
      <w:r>
        <w:t>buffalo) nesoi/equine hides/skins upper/sole leather, w/o hair, tanned not further prepared Crust full grain unsplit/grain split bovine (except buffalo) nesoi and equine hides and skins, nesoi, w/o hair, tanned not further prepared Crust whole bovine hide and skin upper or lining leather, w/o hair on, unit surface n/o 2.6 sq m, tanned but not further prepared, nesoi Crust whole bovine hide and skin (not upper or lining leather), w/o hair on, surface n/o 2.6 sq m, tanned but not further prepared, nesoi Crust buffalo hides and skins nesoi, without hair on, surface area over 2.6 m2, tanned but not further prepared Crust upper and sole equine and bovine (except buffalo) nesoi hides and skins, nesoi, w/o hair, tanned but not further prepared Crust bovine (except buffalo) nesoi and equine hides and skins, nesoi, w/o hair, tanned but not further prepared Sheep or lamb skins, without wool on, tanned but not further prepared, wet blue Sheep or lamb skins, without wool on, tanned but not further prepared, in the wet state</w:t>
      </w:r>
    </w:p>
    <w:p>
      <w:pPr>
        <w:pStyle w:val="Normal"/>
      </w:pPr>
      <w:r>
        <w:t>other than wet blue Sheep or lamb skins, without wool on, tanned but not further prepared, in the dry state (crust) Hides and skins of goats or kids, without hair on, tanned but not further prepared, wet blue Hides and skins of goats or kids, without hair on, tanned but not further prepared, in the wet state other than wet blue Hides and skins of goats or kids, without hair on, tanned but not further prepared, in the dry state (crust) Hides and skins of swine,</w:t>
      </w:r>
    </w:p>
    <w:p>
      <w:pPr>
        <w:pStyle w:val="Normal"/>
      </w:pPr>
      <w:r>
        <w:t>without hair on, tanned but not further prepared, wet blue Hides and skins of swine, without hair on, tanned but not further prepared, in the wet state other than wet blue Hides and skins of swine, without hair on, tanned but not further prepared, in the dry state (crust) Tanned or cust hides and skins of reptiles, whether or not split, but not further prepared Hides and skins of animals nesoi, without hair on, tanned but not further prepared, in the wet state (including wet-blue) Hides and skins of animals nesoi, without hair on, tanned but not further prepared, in the dry state (crust) Full grain unsplit whole bovine upper or lining leather, w/o hair on, surface n/o 2.6 m2, prepared after tanning or crusting, not head 4114 Full grain unsplit whole bovine leather (not upper/lining), w/o hair on, not fancy, n/o 2.6 m2,prepared after tanning or crust,not head 4114 Full grain unsplit whole bovine leather (not upper/lining), w/o hair on, fancy, n/o 2.6 m2, prepared after tanning or crusting,not</w:t>
      </w:r>
    </w:p>
    <w:p>
      <w:pPr>
        <w:pStyle w:val="Normal"/>
      </w:pPr>
      <w:r>
        <w:t>head 4114 Full grain unsplit whole buffalo leather, without hair on, surface over 2.6 sq m, prepared after tanning or crusting, not heading 4114 Full grain unsplit upholstery leather of bovines (not buffalo) nesoi and equines, w/o hair on, prepared after tanning or crusting, not 4114 Full grain unsplit upper &amp; sole leather of bovines (not buffalo) nesoi or equine, w/o hair on, prepared after tanning or crusting, not 4114 Full grain unsplit whole bovine (not buffalo) nesoi and equine</w:t>
      </w:r>
    </w:p>
    <w:p>
      <w:pPr>
        <w:pStyle w:val="Normal"/>
      </w:pPr>
      <w:r>
        <w:t>leather nesoi, w/o hair, prepared after tanning/crusting, not fancy, not 4114 Full grain unsplit whole bovine (not buffalo) nesoi and equine leather nesoi, w/o hair, prepared after tanning or crusting, fancy, not 4114 Grain split whole bovine skin upper or lining leather, w/o hair on, unit surface n/o 2.6 sq m, prepared after tanning or crusting, not 4114 Grain split whole bovine skin leather (not upper or lining), w/o hair, not fancy, n/o 2.6 sq m, prepared after tanning or crusting, not 4114 Grain split whole bovine skin leather (not upper or lining), w/o hair on, fancy, n/o 2.6 sq m, prepared after tanning or crusting, not 4114 Grain split whole buffalo leather, without hair on, unit surface area over 2.6 sq m, prepared after tanning or crusting, not of heading 4114 Grain split whole upholstery leather of bovines (not buffalo) nesoi and equines, w/o hair on, prepared after tanning or crusting, not 4114 Grain split whole upper &amp; sole leather of bovines (not buffalo) nesoi or equines, w/o hair</w:t>
      </w:r>
    </w:p>
    <w:p>
      <w:pPr>
        <w:pStyle w:val="Normal"/>
      </w:pPr>
      <w:r>
        <w:t>on, prepared after tanning or crusting, not 4114 Grain split whole bovine (not buffalo) nesoi and equine nesoi leathers, w/o hair on, prepared after tanning or crusting, not fancy, not 4114 Grain split whole bovine (not buffalo) nesoi and equine nesoi leathers, without hair on, prepared after tanning or crusting, fancy, not 4114 Whole bovine skin upper or lining leather nesoi, w/o hair on, unit surface n/o 2.6 m2, prepared after tanning or crusting, not of head 4114 Whole bovine skin</w:t>
      </w:r>
    </w:p>
    <w:p>
      <w:pPr>
        <w:pStyle w:val="Normal"/>
      </w:pPr>
      <w:r>
        <w:t>leather (not upper or lining) nesoi, w/o hair on, not fancy, n/or 2.6 sq m, prepared after tanning or crusting, not 4114 Whole bovine skin leather (not upper or lining) nesoi, w/o hair on, fancy, surface n/o 2.6 m2, prepared after tanning or crusting, not 4114 Whole buffalo skin leather (not full grain unsplits/grain splits), w/o hair on, over 2.6 sq m, prepared after tanning or crusting, not 4114 Whole upholstery leather of bovines (not buffalo) nesoi and equines nesoi, without hair on, prepared after tanning or crusting, not 4114 Whole upper &amp; sole leather of bovines (not buffalo) nesoi or equines nesoi, without hair on, prepared after tanning or crusting, not 4114 Whole bovine (not buffalo) and equine leather, nesoi, without hair on, not fancy, prepared after tanning or crusting, not of heading 4114 Whole bovine (not buffalo) and equine leather, nesoi, without hair on, fancy, prepared after tanning or crusting, not of heading 4114 Full grain unsplit buffalo leather (not whole), w/o hair on, prepared after tanning or</w:t>
      </w:r>
    </w:p>
    <w:p>
      <w:pPr>
        <w:pStyle w:val="Normal"/>
      </w:pPr>
      <w:r>
        <w:t>crusting (including parchment-dressed), not head 4114 Full grain unsplit upholstery leather of bovines (not buffalo) &amp; equines, not whole, w/o hair, prepared after tanning or crusting, not 4114 Full grain unsplit upper &amp; sole leather of bovines (not buffalo) or equines, not whole, w/o hair, prep.</w:t>
      </w:r>
    </w:p>
    <w:p>
      <w:pPr>
        <w:pStyle w:val="Normal"/>
      </w:pPr>
      <w:r>
        <w:t>after tanning or crusting, not 4114 Full grain unsplit bovine (not buffalo) &amp; equine leather, not whole, w/o hair on, nesoi, not fancy, prep.</w:t>
      </w:r>
    </w:p>
    <w:p>
      <w:pPr>
        <w:pStyle w:val="Normal"/>
      </w:pPr>
      <w:r>
        <w:t>after tanning/crusting, not 4114 Full grain unsplit bovine (not buffalo) &amp; equine leather, not whole, w/o hair on, nesoi, fancy, prepared after tanning or crusting, not 4114 Grain splits buffalo leather (not whole), without hair on, prepared after tanning or crusting, other than of heading 4114 Grain splits upholstery leather of bovines (not buffalo) and equines, not whole, w/o hair on, prepared after tanning or crusting, not 4114 Grain splits upper &amp; sole leather of bovines (not buffalo) or equines, not whole, w/o hair on, prepared after tanning or crusting, not 4114 Grain splits bovine (not buffalo) and equine leather, not whole, w/o hair on, nesoi, not fancy, prepared after tanning or crusting, not 4114 Grain splits bovine (not buffalo) and equine leather, not whole, without hair on, nesoi, fancy, prepared after tanning or crusting, not 4114 Buffalo leather other than full grains unsplit &amp; grain splits, not whole, w/o hair on, prepared after tanning or crusting, not heading 4114 Upholstery leather of bovines (not buffalo) or equines, not whole,</w:t>
      </w:r>
    </w:p>
    <w:p>
      <w:pPr>
        <w:pStyle w:val="Normal"/>
      </w:pPr>
      <w:r>
        <w:t>nesoi, without hair on, prepared after tanning or crusting, not 4114 Upper &amp; sole leather of bovines (not buffalo) or equines, not whole, nesoi, w/o hair on, prepare after tanning or crusting, not 4114 Bovine (not buffalo) and equine leather, not whole, nesoi, without hair on, not fancy, prepared after tanning or crusting, not heading 4114 Bovine (not buffalo) and equine leather, not whole, nesoi, without hair on, fancy, prepared</w:t>
      </w:r>
    </w:p>
    <w:p>
      <w:pPr>
        <w:pStyle w:val="Normal"/>
      </w:pPr>
      <w:r>
        <w:t>after tanning or crusting, not of heading 4114 Sheep or lamb skin leather, without wool on, not fancy, prepared after tanning or crusting, other than of heading 4114 Sheep or lamb skin leather, without wool on, fancy, further prepared after tanning or crusting, other than of heading 4114 Goat or kidskin leather, without hair on, not fancy, further prepared after tanning or crusting, other than of heading 4114 Goat or kidskin leather, without hair on, fancy, further prepared after tanning or crusting, other than of heading 4114 Leather of swine, without hair on, further prepared after tanning or crusting, other than leather of heading 4114 Reptile leather, not fancy, further prepared after tanning or crusting, other than leather of heading 4114 Reptile leather, fancy, further prepared after tanning or crusting, other than leather of heading 4114 Leather of animals nesoi, without hair on, not fancy, further prepared after tanning or crusting, other than leather of heading 4114 Leather of animals nesoi, without hair on, fancy, further prepared after tanning or</w:t>
      </w:r>
    </w:p>
    <w:p>
      <w:pPr>
        <w:pStyle w:val="Normal"/>
      </w:pPr>
      <w:r>
        <w:t>crusting, other than leather of heading 4114 Chamois (including combination chamois) leather Patent leather Patent laminated leather or metallized leather, of calf or kip Patent laminated leather or metallized leather, other than calf or kip Composition leather with a basis of leather or leather fiber, in slabs, sheets or strip, whether or not in rolls Parings &amp; other waste of leather or composition leather, not suitable</w:t>
      </w:r>
    </w:p>
    <w:p>
      <w:pPr>
        <w:pStyle w:val="Normal"/>
      </w:pPr>
      <w:r>
        <w:t>for the manufacture of leather articles; leather dust, powder &amp; flour Dog leashes, collars, muzzles, harnesses and similar dog equipment, of any material Saddlery and harnesses for animals nesi, (incl. traces, leads, knee pads, muzzles, saddle cloths and bags and the like), of any material Trunks, suitcases, vanity &amp; all other cases, occupational luggage &amp; like containers, surface of leather, composition or patent leather Trunks, suitcases, vanity and attache cases and similar containers, with outer surface of plastics Occupational luggage and similar containers, with outer surface of plastics Trunks, suitcases, vanity &amp; attache cases, occupational luggage &amp; like containers, surfaces of cotton, not of pile or tufted construction Trunks, suitcases, vanity &amp; attache cases, occupational luggage &amp; like containers, w outer surface of veg. fibers, excl.</w:t>
      </w:r>
    </w:p>
    <w:p>
      <w:pPr>
        <w:pStyle w:val="Normal"/>
      </w:pPr>
      <w:r>
        <w:t>cotton Trunks, suitcases, vanity &amp; attache cases, occupational luggage and similar containers, with outer surface of MMF materials Trunks, suitcases, vanity &amp; attache cases, occupational luggage and similar containers, with outer surface of textile materials nesi Trunks, suitcases, vanity cases, attache cases, occupational luggage &amp; like containers surface of vulcanized fiber or paperboard nesi Handbags, with or without shoulder strap or without handle, with outer surface of reptile leather Handbags, with or without shoulder strap or without handle, with outer surface of leather, composition or patent leather, nesi, n/o $20 ea.</w:t>
      </w:r>
    </w:p>
    <w:p>
      <w:pPr>
        <w:pStyle w:val="Normal"/>
      </w:pPr>
      <w:r>
        <w:t>Handbags, with or without shoulder strap or without handle, with outer surface of leather, composition or patent leather, nesi, over $20 ea.</w:t>
      </w:r>
    </w:p>
    <w:p>
      <w:pPr>
        <w:pStyle w:val="Normal"/>
      </w:pPr>
      <w:r>
        <w:t>Handbags, with or without shoulder straps or without handle, with outer surface of sheeting of plastics Handbags with or without shoulder strap or without handle, with outer surface of textile materials, wholly or in part of braid, of abaca Handbags with or without shoulder strap or without handle, with outer surface of textile materials, wholly or in part of braid, nesi Handbags with or without shoulder strap or without handle, with outer surface of cotton, not of pile or tufted construction or braid Handbags with or w/o shoulder strap or w/o handle, outer surface of veg. fibers, exc. cotton, not of pile or tufted construction or braid Handbags with or w/o shoulder strap or w/o handle, with outer surface containing 85% or more of silk, not braided Handbags with or without shoulder strap or without handle, with outer surface of MMF materials Handbags with or without shoulder strap or without handle, with outer surface of textile materials nesi Handbags w. or w/o shld. strap or w/o handle of mat.</w:t>
      </w:r>
    </w:p>
    <w:p>
      <w:pPr>
        <w:pStyle w:val="Normal"/>
      </w:pPr>
      <w:r>
        <w:t>(o/t leather, shtng. of plas., tex. mat., vul. fib. or paperbd.), paper cov., of plas. Handbags w. or w/o shld. strap or w/o handle of mat. (o/t leather, shtng. of plas., tex. mat., vul. fib. or paperbd.), paper cov., of wood Handbags w. or w/o shld. strap or w/o handle of mat. (o/t leather, shtng. of plas., tex. mat., vul. fib.</w:t>
      </w:r>
    </w:p>
    <w:p>
      <w:pPr>
        <w:pStyle w:val="Normal"/>
      </w:pPr>
      <w:r>
        <w:t>or paperbd.), pap.cov.,of mat.</w:t>
      </w:r>
    </w:p>
    <w:p>
      <w:pPr>
        <w:pStyle w:val="Normal"/>
      </w:pPr>
      <w:r>
        <w:t>nesi Handbags with or without shoulder straps or without handle, with outer surface of vulcanized fiber or of paperboard, not covered with paper Articles of a kind normally carried in the pocket or handbag, with outer surface of reptile leather Articles of a kind normally carried in the pocket or handbag, with outer surface of leather, composition or patent leather, nesi Articles of a kind normally carried in the pocket or handbag, with outer surface of reinforced or laminated plastics Articles of a kind normally carried in the pocket or handbag, with outer surface of plastic sheeting, nesi Articles of a kind normally carried in the pocket or handbag, with outer surface of cotton, not of pile or tufted construction Articles of a kind normally carried in the pocket or handbag,with outer surface of vegetable fibers,not of pile or tufted construction, nesi Articles of a kind normally carried in the pocket or handbag, with outer surface 85% or more silk or silk waste Articles of a kind normally carried in</w:t>
      </w:r>
    </w:p>
    <w:p>
      <w:pPr>
        <w:pStyle w:val="Normal"/>
      </w:pPr>
      <w:r>
        <w:t>the pocket or handbag, with outer surface of cotton Articles of a kind normally carried in the pocket or handbag, with outer surface of MMF Articles of a kind normally carried in the pocket or handbag, with outer surface of other textile materials Articles of kind usually carried in pocket or handbag (o/t leather, shtng.</w:t>
      </w:r>
    </w:p>
    <w:p>
      <w:pPr>
        <w:pStyle w:val="Normal"/>
      </w:pPr>
      <w:r>
        <w:t>of plas., tex. mat., vul. fib. or paperbd.), pap. cov., of plas.</w:t>
      </w:r>
    </w:p>
    <w:p>
      <w:pPr>
        <w:pStyle w:val="Normal"/>
      </w:pPr>
      <w:r>
        <w:t>Articles of kind usually carried in pocket or handbag (o/t leather, shtng. of plas., tex. mat., vul. fib. or paperbd.), pap. cov., of wood Articles of kind usu. carried in pocket or handbag (o/t lea., shtng. of plas., tex. mat., vul. fib. or paperbd.), pap. cov., of mat. nesi Articles of a kind normally carried in the pocket or handbag, with outer surface of vulcanized fiber or of paperboard Golf bags, with outer surface of leather or composition leather Cases, bags and containers nesi, other than golf bags, with outer surface of leather, of composition leather Insulated beverage bag w/outer surface textiles, interior only flexible plastic container storing/dispensing beverage thru flexible tubing Insulated food or beverage bags with outer surface of textile materials, nesoi Insulated food or beverage bags with outer surface of sheeting of plastic Travel, sports and similar bags with outer surface of cotton, not of pile or tufted construction Travel, sports and similar bags with outer surface of vegetable fibers, excl.</w:t>
      </w:r>
    </w:p>
    <w:p>
      <w:pPr>
        <w:pStyle w:val="Normal"/>
      </w:pPr>
      <w:r>
        <w:t>cotton, not of pile construction Travel, sports and similar bags with outer surface of MMF textile materials Travel, sports and similar bags with outer surface of textile materials of paper yarn, silk or cotton Travel, sports and similar bags with outer surface of textile materials other than MMF, paper yarn, silk, cotton Travel, sports and similar bags with outer surface of plastic sheeting Musical instrument cases, with outer surface of plastic sheeting or of textile materials Bags, cases and similar containers, nesi, with outer surface of cotton Bags, cases and similar containers with outer surface of textile materials, of MMF except jewelry boxes Bags, cases and similar containers with outer surface of textile materials, not of MMF Cases for CDs, CD players, cassettes, or cassette players Bags, cases &amp; similar containers with outer surface of sheeting of plastic materials,not containers for CDs or cassettes, or CD or cassette players Cases, bags and sim. containers, nesi, of mat. (o/t leather, shtng. of plas., tex. mat., vul. fib., or paperbd.), pap. cov., of plastic Cases &amp; sim. cont., nesi, of mat.</w:t>
      </w:r>
    </w:p>
    <w:p>
      <w:pPr>
        <w:pStyle w:val="Normal"/>
      </w:pPr>
      <w:r>
        <w:t>(o/t lea., shtng. of plas., tex. mat., vul. fib. or paperbd.), pap. cov., of wood, not lined with tex.fab. Cases, bags &amp; sim. cont., nesi, of mat. (o/t lea., plas. shtng., tex. mat., vul. fib. or paperbd.), pap. cov., of wood, lined with tex. fab. Cases, bags &amp; sim. cont., nesi, of mat. (o/t lea., plas. shtng., tex. mat., vul. fib. or paperbd.), pap.</w:t>
      </w:r>
    </w:p>
    <w:p>
      <w:pPr>
        <w:pStyle w:val="Normal"/>
      </w:pPr>
      <w:r>
        <w:t>cov., except of wood or plastic Cases, bags and similar containers, nesi, with outer surface of vulcanized fiber or of paperboard Articles of apparel, of reptile leather Articles of apparel, of leather or of composition leather, nesi Batting gloves, of leather or of composition leather Baseball and softball gloves and mitts, excluding batting gloves, of leather or of composition leather Cross-country ski gloves, mittens and mitts, of leather or of composition leather Ski or snowmobile gloves, mittens and mitts, nesi, of leather or of composition leather Ice hockey gloves, of leather or of composition leather Gloves, mittens and mitts specially designed for use in sports, nesi, of leather or of composition leather Gloves, wholly of horsehide or cowhide leather not specially designed for use in sports, with fourchettes or sidewalls Gloves, wholly of horsehide or cowhide (except calfskin) leather, not specially designed for use in sports, nesi Gloves not wholly of horsehide or cowhide leather not specially designed for use in sports, with fourchettes or sidewalls Gloves not wholly of</w:t>
      </w:r>
    </w:p>
    <w:p>
      <w:pPr>
        <w:pStyle w:val="Normal"/>
      </w:pPr>
      <w:r>
        <w:t>horsehide or cowhide leather not specially designed for use in sports, nesi Gloves, mittens and mitts of leather or composition leather, nesi, not seamed Men’s gloves, mittens and mitts of leather or composition leather, nesi, seamed Gloves, mittens and mitts of leather or composition leather, nesi, not lined, for persons other than men Gloves, mittens and mitts of leather or composition leather,</w:t>
      </w:r>
    </w:p>
    <w:p>
      <w:pPr>
        <w:pStyle w:val="Normal"/>
      </w:pPr>
      <w:r>
        <w:t>nesi, lined, for persons other than men Belts and bandoliers with or without buckles, of leather or of composition leather Clothing accessories nesi, of reptile leather Clothing accessories of leather or of composition leather, nesi Belting leather cut or wholly or partly manufactured into forms or shapes suit.</w:t>
      </w:r>
    </w:p>
    <w:p>
      <w:pPr>
        <w:pStyle w:val="Normal"/>
      </w:pPr>
      <w:r>
        <w:t>for conversion into belting for machinery or appliances Articles of leather or composition leather used in machinery or mechanical appliances or for other technical uses, except belting leathers Shoelaces of leather or of composition leather Straps and strops of leather or of composition leather Articles of reptile leather, nesi Articles of leather or of composition leather, nesi, excluding reptile leather Articles of catgut if imported for use in the manufacture of sterile surgical sutures Articles of catgut, nesoi Articles of gut (other than silkworm gut or catgut), of goldbeater’s skin, of bladders or of tendons Raw furskins of mink, whole, with or without head, tail or paws Raw lamb furskins of Astrakhan, Broadtail, Caracul, Persian, Indian, Chinese, Mongolian, Tibetan, whole Raw furskins of silver, black or platinum fox (including mutations of these), whole, with or without head, tail or paws Raw furskins of fox, other than of silver, black or platinum fox, whole, with or without head, tail or paws Other furskins, whole, with or without head, tail, or paws Heads, tails, paws and other pieces or cuttings of raw furskins, suitable for furriers’ use Tanned or</w:t>
      </w:r>
    </w:p>
    <w:p>
      <w:pPr>
        <w:pStyle w:val="Normal"/>
      </w:pPr>
      <w:r>
        <w:t>dressed whole furskins of mink, with or without head, tail or paws, not assembled Tanned/dressed whole skins of Astrakhan, Broadtail, Caracul, Persian, Indian, Mongolian, Chinese &amp; Tibetan lamb, not assembled Tanned or dressed whole furskins of silver, black or platinum fox (including mutations), with or without head, tail or paws, not assembled Tanned or dressed whole furskins of beaver, chinchilla, ermine, lynx, raccoon, sable, other specified animals, not dyed, not assembled Tanned or dressed whole furskins of beaver, chinchilla, ermine, lynx, raccoon, sable, wolf, other specified animals, dyed, not assembled Tanned or dressed whole furskins of rabbit or hare, with or without head, tail or paws, not assembled Tanned or dressed whole furskins, nesi, with or without head, tail or paws, not assembled, not dyed Tanned or dressed whole furskins, nesi, with or without head, tail or paws, not assembled, dyed Heads, tails, paws, other pieces or cuttings of dressed or tanned furskins, of beaver, ermine, wolf, other specified animals, nt assembled Heads, tails, paws and other pieces or cuttings</w:t>
      </w:r>
    </w:p>
    <w:p>
      <w:pPr>
        <w:pStyle w:val="Normal"/>
      </w:pPr>
      <w:r>
        <w:t>of dressed or tanned furskins, nesi, not assembled, not dyed Heads, tails, paws and other pieces or cuttings of dressed or tanned furskins, nesi, not assembled, dyed Whole furskins and pieces or cuttings thereof, tanned and dressed, assembled Articles of apparel and clothing accessories, of furskins Articles of furskin, nesi Artificial fur and articles thereof Fuel wood, in logs, in billets,</w:t>
      </w:r>
    </w:p>
    <w:p>
      <w:pPr>
        <w:pStyle w:val="Normal"/>
      </w:pPr>
      <w:r>
        <w:t>in twigs, in faggots or similar forms Coniferous wood in chips or particles Nonconiferous wood in chips or particles Sawdust and wood waste and scrap, pellets Artificial fire logs, composed of wax and sawdust, with or without added materials Sawdust and wood waste and scrap, excluding pellets or artificial logs, nesi Wood charcoal (including shell or nut charcoal), whether or not agglomerated, of bamboo Wood charcoal (including shell or nut charcoal), whether or not agglomerated, other than of bamboo Wood in the rough whether or not stripped of bark or sapwood, or roughly squared, treated with paint, stain, creosote or other preservatives Coniferous wood in the rough, whether or not stripped of bark or sapwood or roughly squared, not treated with preservatives Wood in the rough/roughly squared,of Dark Red Meranti,Light Red Meranti and Meranti Bakau,not treated with paint/stain/cresote/other preserv Wood in the rough/roughly squared, of other tropical wood, not treated with paint/stain/creosote/other preserv Oak wood in the rough, whether or not stripped of bark or sapwood, or roughly squared, not</w:t>
      </w:r>
    </w:p>
    <w:p>
      <w:pPr>
        <w:pStyle w:val="Normal"/>
      </w:pPr>
      <w:r>
        <w:t>treated with preservatives Beech wood in the rough, not treated with preservatives Wood in the rough, nesi Coniferous wood, roughly shaped into poles, pickets, stakes, sticks and other forms, to be finished into specific articles or products Nonconiferous wood, roughly shaped into poles, pickets, stakes, sticks and other forms, to be finished into specific articles or products Wood</w:t>
      </w:r>
    </w:p>
    <w:p>
      <w:pPr>
        <w:pStyle w:val="Normal"/>
      </w:pPr>
      <w:r>
        <w:t>wool (excelsior);</w:t>
      </w:r>
    </w:p>
    <w:p>
      <w:pPr>
        <w:pStyle w:val="Normal"/>
      </w:pPr>
      <w:r>
        <w:t>wood flour Railway or tramway sleepers (cross-ties) of wood, not impregnated Railway or tramway sleepers (cross-ties) of wood, impregnated Coniferous wood sawn or chipped lengthwise, sliced or peeled, of a thickness exceeding 6 mm Dark Red Meranti, Light Red Meranti and other specified tropical woods, sawn or chipped lengthwise, sliced or peeled, over 6 mm thick Okoume, Obeche, Sapelli and other specified tropical woods, sawn or chipped lengthwise, sliced or peeled, over 6 mm thick Dark Red Meranti, Light Red Meranti and Meranti Bakau wood sawn or chipped lengthwise, sliced or peeled, over 6 mm thick White Lauan, White Meranti, White Seraya, Yellow Meranta and Alan wood sawn or chipped lengthwise, sliced or peeled, over 6 mm thick Sapelli wood sawn or chipped lengthwise, sliced or peeled, over 6 mm thick Iroko wood sawn or chipped lengthwise, sliced or peeled, over 6 mm thick Tropical wood specified in chapter 44 subheading note 1, nesoi, sawn or chipped lengthwise, sliced or peeled, over 6 mm thick Oak wood, sawn or chipped</w:t>
      </w:r>
    </w:p>
    <w:p>
      <w:pPr>
        <w:pStyle w:val="Normal"/>
      </w:pPr>
      <w:r>
        <w:t>lengthwise, sliced or peeled, over 6 mm thick Beech wood, sawn or chipped lengthwise, sliced or peeled, over 6 mm thick Maple wood sawn or chipped lengthwise, sliced or peeled, over 6 mm thick Cherry wood sawn or chipped lengthwise, sliced or peeled, over 6 mm thick Ash wood sawn or chipped lengthwise, sliced or peeled, over 6 mm thick Nonconiferous woods, nesi, sawn or chipped lengthwise, sliced or peeled, over 6 mm thick Coniferous</w:t>
      </w:r>
    </w:p>
    <w:p>
      <w:pPr>
        <w:pStyle w:val="Normal"/>
      </w:pPr>
      <w:r>
        <w:t>veneer sheets and sheets for plywood &amp; coniferous wood sawn/sliced/peeled not over 6 mm thick Dark Red Meranti, Light Red Meranti and Meranti Bakau veneer sheets and sheets for plywood and other wood sawn/sliced/peeled, n/o 6 mm thick Other tropical wood veneer sheets and sheets for plywood, and wood sawn/sliced/peeled n/o 6 mm thick Nontropical nonconiferous veneer sheets and sheets for plywood and other wood sawn/sliced/peeled, not over 6 mm thick Coniferous wood continuously shaped along any of its ends, whether or not also continuously shaped along any its edges or faces Coniferous wood siding continuously shaped along any of its edges or faces but not on its ends Coniferous wood flooring continuously shaped along any of its edges or faces but not on its ends Standard wood moldings of pine (Pinus spp.) continuously shaped along any of its edges or faces but not on its ends Standard coniferous wood moldings, other than of pine, continuously shaped along any of its edges or faces but not on its ends Coniferous</w:t>
      </w:r>
    </w:p>
    <w:p>
      <w:pPr>
        <w:pStyle w:val="Normal"/>
      </w:pPr>
      <w:r>
        <w:t>wood moldings, other than standard type, continuously shaped along any of its edges or faces but not on its ends Coniferous wood dowel rods, plain, continuously shaped along any of its edges or faces but not on its ends Coniferous wood dowel rod, sanded/grooved/otherwise advanced in condition, continuously shaped along any of edges or faces but not its ends Coniferous wood, other than siding, flooring, moldings or dowel rod, continuously shaped along any of its edges</w:t>
      </w:r>
    </w:p>
    <w:p>
      <w:pPr>
        <w:pStyle w:val="Normal"/>
      </w:pPr>
      <w:r>
        <w:t>or faces but not on its ends Nonconiferous wood (bamboo) continuously shaped along any of its ends, wether or not also continuously shaped along any its edges or faces Bamboo, other than continuously shaped along any of its ends Nonconiferous tropical wood continuously shaped along any ends, whether or not also continuously shaped along any edges or faces Nonconiferous tropical wood siding, whether or not continuously shaped along its edges or faces but not its ends Nonconiferous tropical wood flooring, whether or not continuously shaped along its edges or faces but not its ends Nonconiferous tropical wood standard moldings, whether or not continuously shaped along its edges or faces but not its ends Other nonconiferous tropical wood moldings, whether or not continuously shaped along its edges or faces but not its ends Plain nonconiferous tropical wood dowel rods, whether or not continuously shaped along its edges or faces but not its ends Nonconif. tropical wood dowel rods, sanded/grooved/otherwise advanced in condition, whether or not continuous.</w:t>
      </w:r>
    </w:p>
    <w:p>
      <w:pPr>
        <w:pStyle w:val="Normal"/>
      </w:pPr>
      <w:r>
        <w:t>along edges or faces but not ends Other nonconiferous tropical wood, whether or not continuously shaped along its edges or faces but not its ends Other nonconiferous wood, continuously shaped along any ends, whether or not also continuously shaped along any edges or faces Other nonconiferous wood siding, whether or not continuously shaped along its edges or faces but not its ends Other nonconiferous wood flooring, whether or not continuously shaped along its edges or faces but not its ends Other nonconiferous standard wood moldings, whether or not continuously shaped along its edges or faces but not its ends Other nonconiferous wood moldings, whether or not continuously shaped along its edges or faces but not its ends Plain other nonconif. wood dowel rods, whether or not continuously shaped along edges or faces but not ends Other nonconif.</w:t>
      </w:r>
    </w:p>
    <w:p>
      <w:pPr>
        <w:pStyle w:val="Normal"/>
      </w:pPr>
      <w:r>
        <w:t>wood dowel rods, sanded/grooved/otherwise advanced in condition, whether or not continuously shaped along edges or faces but not ends Other nonconiferous wood, whether or not continuously shaped along its edges or faces but not its ends Waferboard, including oriented strand board, of wood Oriented strand board and waferboard, of wood, unworked or not further worked than sanded Particle board and similar board of wood, other than waferboard Particle board and similar board of ligneous materials other than wood MDF, &lt;= 5mm thick, not mechanically worked or surface covered MDF, &lt;= 5mm thick, for construction, laminated MDF, &lt;= 5mm thick, for construction, not laminated, nesoi Fiberboard of a density over 0.5 g/cm3 but not over 0.8 g/cm3, not mechanically worked surface covered (Except for oil treatment) MDF, &lt;= 5mm thick, not for construction, nesoi MDF, &gt;5mm but &lt;= 9 mm thick, not mechanically worked or surface covered MDF, &gt;5mm but &lt;= 9 mm thick, for construction, laminated MDF, &gt;5mm but &lt;= 9 mm thick, for construction, not laminated,</w:t>
      </w:r>
    </w:p>
    <w:p>
      <w:pPr>
        <w:pStyle w:val="Normal"/>
      </w:pPr>
      <w:r>
        <w:t>nesoi Fiberboard of a density over 0.5 g/cm3 but not over 0.8 g/cm3, not mechanically worked surface covered(except for oil treatment) MDF, &gt;5mm but &lt;= 9 mm thick, not for construction, nesoi Fiberboard of a thickness exceeding 9 mm, not mechanically worked or surface covered Fiberboard of a thickness exceeding 9 mm, edgeworked continuously, laminated, for construction uses Fiberboard of a thickness exceeding 9 mm, tongued, grooved or</w:t>
      </w:r>
    </w:p>
    <w:p>
      <w:pPr>
        <w:pStyle w:val="Normal"/>
      </w:pPr>
      <w:r>
        <w:t>rabbetted continuously, for construction uses, nesoi Fiberboard of a thickness exceeding 9 mm, not mechanically worked surface covered (except for oil treatment) Fiberboard nesoi,of a thickness exceeding 9 mm Fiberboard of a density exceeding 0.8 g/cm3, not mechanically worked or surface covered Fiberboard, of a density exceeding 0.8 g/cm3, mechanically worked, not surface covered (except for oil treatment) Fiberboard, of a density exceeding 0.8 g/cm3, mechanically edged-worked, for construction uses Fiberboard nesoi, density exceeding 0.8 g/cm3 Fiberboard, not MDF, of a density &gt;0.5 but &lt;=0.8 g/cm3, not mechanically worked or surface covered Fiberboard, not MDF, of a density &gt;0.5 but &lt;=0.8 g/cm3, edgeworked continuously, laminated, for construction uses Fiberboard, not MDF, of a density &gt;0.5 but &lt;=0.8 g/cm3, tongued, grooved or rabbetted continuously, for construction, nesoi Fiberboard of a density over 0.5 g/cm3 but not over 0.8 g/cm3, not mechanically worked surface covered (Except for oil) Fiberboard, not MDF, of a density &gt;0.5 but &lt;=0.8 g/cm3, nesoi Fiberboard of a density exceeding 0.35 g/cm3 but not exceeding 0.5 g/cm3, not</w:t>
      </w:r>
    </w:p>
    <w:p>
      <w:pPr>
        <w:pStyle w:val="Normal"/>
      </w:pPr>
      <w:r>
        <w:t>mechanically worked or surface covered Plywood, veneered panels and similar laminated wood, of bamboo Veneered panels and similar laminated wood, of bamboo, other than plywood Plywood sheets n/o 6mm thick, tropical wood outer ply, birch face ply, not surface covered beyond clear/transparent Plywood sheets n/o 6mm thick, tropical wood outer ply,</w:t>
      </w:r>
    </w:p>
    <w:p>
      <w:pPr>
        <w:pStyle w:val="Normal"/>
      </w:pPr>
      <w:r>
        <w:t>Spanish cedar or walnut face ply, not surface covered beyond clear/transparent Plywood sheets n/o 6mm thick, with specified tropical wood outer ply, with face ply nesoi, not surface covered beyond clear/transparent Plywood sheets n/o 6mm thick, tropical wood nesoi at least one outer ply, with face ply nesoi, not surface covered beyond clear/transparent Plywood sheets n/o 6mm thick, with certain specified tropical wood outer ply, surface covered beyond clear or transparent Plywood sheets n/o 6mm thick, tropical wood nesoi at least one outer ply, surface covered beyond clear or transparent Plywood sheets n/o 6mm thick, outer ply of nonconiferous wood, birch face ply, not surface covered beyond clear/transparent Plywood sheets n/o 6mm thick, outer ply nonconiferous wood, face ply Spanish ceder or walnut, not surface covered beyond clear/transparent Plywood sheets n/o 6mm thick, outerply of nonconiferous wood nesoi, face ply nesoi, not surface covered beyond clear/transparent Plywood sheets n/o 6mm thick, outerply of nonconiferous wood nesoi, face ply nesoi, surface covered beyond clear/transparent Plywood of wood sheets, n/o 6 mm</w:t>
      </w:r>
    </w:p>
    <w:p>
      <w:pPr>
        <w:pStyle w:val="Normal"/>
      </w:pPr>
      <w:r>
        <w:t>thick each, with outer plies of coniferous wood, face ply of Parana pine, not or clear surface covered Plywood of wood sheets, n/o 6 mm thick each, with outer plies of coniferous wood, European red pine face ply, not or clear surface covered Plywood of wood sheets, n/o 6 mm thick each, with outer plies of coniferous wood, with face ply nesoi, not or</w:t>
      </w:r>
    </w:p>
    <w:p>
      <w:pPr>
        <w:pStyle w:val="Normal"/>
      </w:pPr>
      <w:r>
        <w:t>clear surface covered Plywood of wood sheets, n/o 6 mm thick each, with outer plies of coniferous wood, nesoi, surface covered, nesoi Plywood nesoi, at least one nonconiferous outer ply, not surface-covered beyond clear/transparent, face ply of birch Blockboard etc.: plywood nesoi, at least one nonconifer outer ply, not surface-covered beyond clear/transparent, not w/face ply of birch Blockboard etc: plywood nesoi, at least one nonconiferous outer ply, surface covered other than clear or transparent Blockboard etc: veneered panels and similar laminated wood w/ at least one nonconiferous outer ply, nesoi Blockboard etc: plywood nesoi,other outer plies,not surf.-cov. Beyond clear/transp., face ply Parana pine Blockboard etc: plywood nesoi, other outer plies,not surf.-cov.</w:t>
      </w:r>
    </w:p>
    <w:p>
      <w:pPr>
        <w:pStyle w:val="Normal"/>
      </w:pPr>
      <w:r>
        <w:t>Beyond clear/transp.,face ply Europe red pine Blockboard etc: plywood nesoi,other outer plies,not surface-covered beyond clear/transparent, face ply nesoi Blockboard etc: plywood nesoi, other outer plies, surface covered other than clear or transparent Blockboard etc: veneered panels and similar laminated wood nesoi, other outer plies Plywood nesoi,veneered panel &amp; similar laminated wood w/nonconiferous outer ply, at least one layer of particle board Not blockboard: plywood at least 1 outer ply of nonconif wood, nesi, with a face ply of birch, not surface covered or clear/transparent Not blockboard: plywood nesoi, at least 1 nonconiferous outer ply, not surface-covered beyond clear/transparent, not w/face ply</w:t>
      </w:r>
    </w:p>
    <w:p>
      <w:pPr>
        <w:pStyle w:val="Normal"/>
      </w:pPr>
      <w:r>
        <w:t>of birch Not blockboard: plywood nesoi, at least 1 nonconiferous outer ply, surface covered other than clear or transparent Not blockboard: veneered panels and similar laminated wood w/ at least 1 nonconiferous outer ply, nesoi Not blockboard: plywood/veneered panel/sim. Laminated wood nesoi, at least 1 nonconiferous outer ply,at least 1 layer of particle board Not blockboard:plywood nesoi,at least 1 nonconiferous outer ply, no particle board,not surf.-cov. Beyond clear/transp., face ply Parana pine Not blockboard: plywood nesoi, at least 1 non conif outer ply,no particle board,not surf.-cov.</w:t>
      </w:r>
    </w:p>
    <w:p>
      <w:pPr>
        <w:pStyle w:val="Normal"/>
      </w:pPr>
      <w:r>
        <w:t>Beyond clear/transp.,face ply Europe red pine Not blockboard:plywood nesoi, at least 1 non conif outer ply, no particle board,not surface-covered beyond clear/transparent, face ply nesoi Not blockboard: plywood, veneer panels and similar laminated wood, at least 1 nonconiferous outer ply, nesoi Not blockboard: veneered panels and similar laminated wood, nesoi, at least 1 nonconiferous outer ply, no particle board, nesoi Densified wood, in blocks, plates, strips or profile shapes Wooden frames for paintings, photographs, mirrors or similar objects Packing boxes and cases of wood with solid sides, lids and bottoms Wooden containers designed for use in the harvesting of fruits and vegetables Wood cases, boxes, crates, drums and similar packings nesi; cable-drums of wood Wooden pallets, box-pallets and other load boards designed for use in the harvesting of fruits and vegetables Wooden</w:t>
      </w:r>
    </w:p>
    <w:p>
      <w:pPr>
        <w:pStyle w:val="Normal"/>
      </w:pPr>
      <w:r>
        <w:t>pallets, box-pallets and other load boards, other than designed for use in the harvesting of fruits and vegetables Wooden casks, barrels and hogsheads Wooden staves and hoops; tight barrelheads of softwood Wooden vats, tubs and other coopers’ products and parts thereof Wooden broom and mop handles, 1.9 cm or more in diameter and 97 cm or more in length Wooden paint brush and paint roller handles Wooden brush backs Wooden tools, tool bodies, tool handles, broom or brush bodies and handles nesi;</w:t>
      </w:r>
    </w:p>
    <w:p>
      <w:pPr>
        <w:pStyle w:val="Normal"/>
      </w:pPr>
      <w:r>
        <w:t>wooden boot or shoe lasts and trees Wooden windows, French-windows and their frames French doors of wood Doors of wood, other than French doors Wooden formwork (shuttering) for concrete constructional work Wooden shingles and shakes Builders’ joinery and carpentry of wood, Posts and Beams Assembled flooring panels of bamboo, for mosaic floors, solid Assembled flooring panels of bamboo, for mosaic floors other than solid, having a face ply more than 6mm in thickness Assembled flooring panels of bamboo, for mosaic floors other than solid, having a face ply less than or equal to 6 mm in thickness Assembled flooring panels of bamboo, other than for mosaic, multilayer, having a face ply more than 6mm in thickness Assembled flooring panels of bamboo, other than mosaic, multilayer, having a face ply &lt;=equal to 6mm in thickness, of unidirectional bamboo Assembled flooring panels of bamboo, other than for mosaic, multilayer, having a face ply &lt;= 6mm in thickness, not of unidirectional bamboo</w:t>
      </w:r>
    </w:p>
    <w:p>
      <w:pPr>
        <w:pStyle w:val="Normal"/>
      </w:pPr>
      <w:r>
        <w:t>Assembled flooring panels of bamboo, other than for mosaic or multilayer, nesoi Assembled wood flooring panels, other than of bamboo, for mosaic floors, solid Assembled wood flooring panels, other than of bamboo, for mosaic floors other than solid, having a face ply more than 6 mm in thickness Assembled wood flooring panels, other than of bamboo, for mosaic floors other than solid, having a face ply less than or equal to 6 mm in thickness Assembled wood flooring panels, other than of bamboo, other than for mosaic, multilayer, having a face ply more than 6 mm in thickness Assembled wood flooring panels, other than of bamboo, other than for mosaic, multilayer, having a face ply less than or equal to 6 mm in thickness Assembled wood flooring panels, other than of bamboo, other than for mosaic or multilayer Builders’ joinery and carpentry of wood, of bamboo, drilled or notched lumber studs Builders’ joinery and carpentry of wood, of bamboo, other than drilled or notched lumber studs Builders’ joinery and carpentry</w:t>
      </w:r>
    </w:p>
    <w:p>
      <w:pPr>
        <w:pStyle w:val="Normal"/>
      </w:pPr>
      <w:r>
        <w:t>of wood, of wood other than of bamboo, drilled or notched lumber studs Builders’ joinery and carpentry of wood, of wood other than of bamboo, other than drilled or notched lumber studs Bread boards, chopping boards and similar boards of bamboo Chopsticks of bamboo Forks and spoons of bamboo Tableware and kitchenware of bamboo, other than bread boards, chopping boards and similar boards, chopsticks, forks, spoons Forks and spoons of wood, other than of bamboo Tableware</w:t>
      </w:r>
    </w:p>
    <w:p>
      <w:pPr>
        <w:pStyle w:val="Normal"/>
      </w:pPr>
      <w:r>
        <w:t>and kitchenware of wood other than of bamboo, other than bread boards, chopping boards and similar boards, chopsticks, forks, spoons Wooden statuettes and other wood ornaments Wooden cigar and cigarette boxes Wooden jewelry boxes, silverware chests, microscope, tool or utensil cases, similar boxes, cases and chests, not lined with textile fabrics Wooden jewelry boxes, silverware chests, microscope, tool or utensil cases, similar boxes, cases and chests, lined with textile fabrics Wood marquetry and inlaid wood; wooden articles of furniture, nesi Wooden clothes hangers Plain wood dowel pins of bamboo Wood dowel pins of bamboo, sanded, grooved or otherwise advanced in condition Blinds, shutters, screens and shades of bamboo, with wooden frames having fixed louver boards or slats in the center Blinds, shutters, screens and shades of bamboo, with wooden frames w/o fixed louver boards or slats in the center Toothpicks of bamboo Skewers, candy sticks, ice cream sticks, tongue depressors, drink mixers and similar wares, other than toothpicks, of bamboo Pickets, palings, posts and rails of bamboo, sawn;</w:t>
      </w:r>
    </w:p>
    <w:p>
      <w:pPr>
        <w:pStyle w:val="Normal"/>
      </w:pPr>
      <w:r>
        <w:t>assembled fence sections of bamboo Spring-type clothespins of bamboo Clothespins other than spring-type, of bamboo Canoe paddles of bamboo Theatrical, ballet and operatic scenery and properties, including sets, of bamboo Edge-glued lumber of bamboo Other articles, nesoi, of bamboo, incl pencil slats, burial caskets, gates for confining children or pets Plain coniferous wood dowel</w:t>
      </w:r>
    </w:p>
    <w:p>
      <w:pPr>
        <w:pStyle w:val="Normal"/>
      </w:pPr>
      <w:r>
        <w:t>pins Plain wood dowel pins, other than of coniferous wood or of bamboo Wood dowel pins of wood other than of bamboo, the foregoing sanded, grooved or otherwise advanced in condition Blinds, shutters, screens and shades of wood other than bamboo, with wooden frames having fixed louver boards or slats in the center Blinds, shutters, screens and shades of wood other than bamboo, with wooden frames w/o fixed louver boards or slats in the center Toothpicks of wood other than of bamboo Skewers, candy sticks, ice cream sticks, tongue depressors, drink mixers and similar wares, other than toothpicks, of wood other than bamboo Pickets, palings, posts and rails, sawn, of wood other than of bamboo;</w:t>
      </w:r>
    </w:p>
    <w:p>
      <w:pPr>
        <w:pStyle w:val="Normal"/>
      </w:pPr>
      <w:r>
        <w:t>assembled fence sections of wood other than of bamboo Spring-type clothespins of wood other than of bamboo Clothespins other than spring-type, of wood other than of bamboo Canoe paddles of wood other than of bamboo Theatrical, ballet and operatic scenery and properties, including sets, of wood other than of bamboo Edge-glued lumber of wood other than of bamboo Other articles, nesoi, of wood other than of bamboo, incl pencil slats, burial caskets, gates for confining children or pets, Natural cork, raw or simply prepared Waste cork Crushed, granulated or ground cork Natural cork, debacked or roughly squared or in rectangular blocks, plates, sheets or strip (incl.</w:t>
      </w:r>
    </w:p>
    <w:p>
      <w:pPr>
        <w:pStyle w:val="Normal"/>
      </w:pPr>
      <w:r>
        <w:t>sharp-edged blanks for corks or stoppers) Corks and stoppers of natural cork, tapered and of a thickness (or length) greater than the maximum diameter, n/o 19 mm maximum diameter Corks and stoppers wholly of natural cork,tapered &amp; of a thickness (or length) greater than the maximum diam.,over 19 mm maximum diam.</w:t>
      </w:r>
    </w:p>
    <w:p>
      <w:pPr>
        <w:pStyle w:val="Normal"/>
      </w:pPr>
      <w:r>
        <w:t>Corks and stoppers of natural cork, tapered &amp; of a thickness (or length) greater than the maximum diam.,over 19 mm maximum diam., nesi Corks and stoppers of natural cork, of a thickness (or length) not greater than the maximum diameter Disks, wafers and washers of natural cork Natural cork wallcoverings, backed with paper or otherwise reinforced Articles of natural cork, other than corks and stoppers Vulcanized sheets and slabs wholly of agglomerated ground or pulverized cork and rubber Insulation of compressed agglomerated cork, coated or not coated Floor coverings of agglomerated cork Agglomerated cork wallcoverings, backed with paper or otherwise reinforced Agglomerated cork stoppers, not tapered, wholly of cork, of a thickness (or length) greater than the maximum diameter Corks, stoppers, disks, wafers and washers of agglomerated cork, nesi Blocks, plates, sheets and strip; tiles of any shape; solid cylinder; all the foregoing of cork; all the foregoing, nesi Agglomerated cork and articles of cork, nesoi Woven or partly assembled materials of bamboo, for mats, matting and screens Bamboo floor coverings Mats, matting and screens of bamboo, nesoi Woven or partly</w:t>
      </w:r>
    </w:p>
    <w:p>
      <w:pPr>
        <w:pStyle w:val="Normal"/>
      </w:pPr>
      <w:r>
        <w:t>assembled materials of rattan for mats, matting and screens Rattan floor coverings Mats, matting and screens of rattan, nesoi Woven or partly assembled materials of willow for mats, matting and screens Woven or partly assembled vegetable materials other than bamboo, rattan or willow, for mats, matting and screens Willow floor coverings Mats, matting and screens of willow, nesoi Plaits of bamboo and similar products of such plaiting materials, whether or not assembled into strips Products of bamboo other than plaits and similar products such as plaiting materials. Rattan webbing for mats, matting and screens Plaits of rattan and similar products of such plaiting materials, whether or not assembled into strips Products of rattan other than plaits and similar products such as plaiting materials.</w:t>
      </w:r>
    </w:p>
    <w:p>
      <w:pPr>
        <w:pStyle w:val="Normal"/>
      </w:pPr>
      <w:r>
        <w:t>Plaits of vegetable materials and similar products of such plaiting materials, whether or not assembled into strips Products nesoi, of plaiting materials, bound together in parallel strands or woven, in sheet form, of willow or wood Products nesoi, of plaiting vegetable materials nesoi, bound together in parallel strands or woven, in sheet form Plaits and similar products of plaiting materials (not vegetable), whether or not assembled into strips Products nesoi of plaiting materials (not vegetable), bound together in parallel strands or woven, in sheet form, nesoi Fishing baskets or creels made from bamboo Baskets and bags of bamboo wickerwork Baskets and bags of bamboo other than wickerwork Luggage, handbags and flat goods, whether or not lined, of bamboo Articles of wickerwork, neosi, of bamboo Basketwork and other articles, neosi, of one or more of bamboo Fishing baskets or creels made from rattan Baskets and bags of rattan wickerwork Baskets and bags of rattan other than wickerwork Articles of a kind normally carried in the pocket or in the handbag, of</w:t>
      </w:r>
    </w:p>
    <w:p>
      <w:pPr>
        <w:pStyle w:val="Normal"/>
      </w:pPr>
      <w:r>
        <w:t>rattan Luggage, handbags and flat goods, whether or not lined, of rattan,nesoi Articles of wickerwork, neosi, of rattan Basketwork and other articles, neosi, of rattan Fishing baskets or creels made from vegetable materials Baskets and bags, nesi, whether or not lined, of willow Baskets and bags of palm leaf wickerwork Baskets and bags of palm leaf other than wickerwork Baskets and bags of vegetable material wickerwork,</w:t>
      </w:r>
    </w:p>
    <w:p>
      <w:pPr>
        <w:pStyle w:val="Normal"/>
      </w:pPr>
      <w:r>
        <w:t>neosi Baskets and bags of vegetable material, neosi Luggage, handbags and flat goods, whether or not lined, of willow Articles of a kind normally carried in the pocket or in the handbag,of palm leaf Luggage, handbags and flat goods, whether or not lined, of palm leaf, nesoi Luggage, handbags and flat goods, whether or not lined, made from plaiting materials nesoi Articles of wickerwork, neosi, of willow or wood Basketwork and other articles, neosi, of willow or wood Articles of wickerwork, neosi, of vegetable materials, nesoi Basketwork and other articles, neosi, of vegetables materials, nesoi Basketwork, wickerwork and other articles made directly from plaiting materials or from articles of heading 4601, nesi;</w:t>
      </w:r>
    </w:p>
    <w:p>
      <w:pPr>
        <w:pStyle w:val="Normal"/>
      </w:pPr>
      <w:r>
        <w:t>loofah articles Mechanical woodpulp Chemical woodpulp, dissolving grades Chemical woodpulp, soda or sulfate, other than dissolving grades, of unbleached coniferous wood Chemical woodpulp, soda or sulfate, other than dissolving grades, of unbleached nonconiferous wood Chemical woodpulp, soda or sulfate, other than dissolving grades, of semibleached or bleached coniferous wood Chemical woodpulp, soda or sulfate, other than dissolving grades, of semibleached or bleached nonconiferous wood Chemical woodpulp, sulfite, other than dissolving grades, of unbleached coniferous wood Chemical woodpulp, sulfite, other than dissolving grades, of unbleached nonconiferous wood Chemical woodpulp, sulfite, other than dissolving grades, of semibleached or bleached coniferous wood</w:t>
      </w:r>
    </w:p>
    <w:p>
      <w:pPr>
        <w:pStyle w:val="Normal"/>
      </w:pPr>
      <w:r>
        <w:t>Chemical woodpulp, sulfite, other than dissolving grades, of semibleached or bleached nonconiferous wood Semichemical woodpulp Cotton linters pulp Pulps of fibers derived from recovered (waste and scrap) paper or paperboard Pulps of fibrous cellulosic material, of bamboo Pulps of fibrous cellulosic material, other than cotton linters pulp, mechanical Pulps of fibrous cellulosic material, other than cotton linters pulp, chemical Pulps of fibrous cellulosic material, other than cotton linters pulp, semichemical Waste and scrap of unbleached kraft paper or paperboard or of corrugated paper or paperboard Waste and scrap of other paper or paperboard, made mainly of bleached chemical pulp, not colored in the mass Waste and scrap of paper or paperboard made mainly of mechanical pulp (for example, newspapers, journals, and similar printed matter) Waste and scrap of paper or paperboard nesi, including unsorted waste and scrap Newsprint, in rolls or sheets Handmade paper and paperboard Paper &amp; paperboard use for photo-sensitive/heat-sensitive/electro-sensitive paper/paperboard, in strip/rolls ov 15 cm wide or certain sheets Uncoated basic paper for photo-sensitive/heat-sensitve/eletro-sensitive paper/paperboard to be</w:t>
      </w:r>
    </w:p>
    <w:p>
      <w:pPr>
        <w:pStyle w:val="Normal"/>
      </w:pPr>
      <w:r>
        <w:t>sensitized for photography, roll/sheets nesoi Uncoated paper and paperboard of a kind used for photo-sensitive/heat-sensitve/eletro sensitive paper/paperboard, in rolls or sheets nesoi Wallpaper base (hanging paper), in rolls or sheets Writing paper, weigh &lt; 40 g/m2,</w:t>
      </w:r>
    </w:p>
    <w:p>
      <w:pPr>
        <w:pStyle w:val="Normal"/>
      </w:pPr>
      <w:r>
        <w:t>cont.</w:t>
      </w:r>
    </w:p>
    <w:p>
      <w:pPr>
        <w:pStyle w:val="Normal"/>
      </w:pPr>
      <w:r>
        <w:t>n/o 10% total fiber content by a mechanical/chemi- process, in strip/roll ov 15 cm wide/certain sheets India &amp; bible paper, weigh &lt; 40 g/m2, n/o 10% total fiber content by a mechanical/chemi- process, in strip/roll ov 15 cm wide/certain sheets Carbonizing base paper weighing n/ov 15 g/m2, in strip/roll over 15 cm wide or rectangular sheets w/side ov 36 cm and other ov 15 cm unfold Other basic paper to be sensitized use in photography, wt &lt; 40g/m2, n/o 10% total fiber by mechanical/chem- process, in rolls/sheets nesoi Carbonizing base paper of a kind used for writing, printing or other graphic purposes, in rolls or sheets nesoi Writing/cover paper, wt 40 g/m2-150 g/m2, n/o 10% total fiber by mechanical/chemi process, in rolls exceeding 15 cm in width Drawing paper, wt 40 g/m2 -150 g/m2, n/o 10% total fiber content by mechanical/chemi- process, in rolls exceeding 15 cm in width India/bible paper, wt 40 g/m2-150 g/m2, n/o 10% total fiber content by mechanical/chemi- process, in rolls exceeding 15 cm in width</w:t>
      </w:r>
    </w:p>
    <w:p>
      <w:pPr>
        <w:pStyle w:val="Normal"/>
      </w:pPr>
      <w:r>
        <w:t>Paper &amp; paperboard, nesoi, 40 g/m2-150 g/m2, n/o 10% total fiber by mechanical/chemi- process, in rolls exceeding 15 cm in width Other basic paper be sensitized for use photography, 40g/m2-150g/m2, n/o 10% total fiber by mechanical/chemi- process, rolls n/o 15 cm wide Other paper/paperboard for writing/printing/other graphic purpose,40g/m2 150g/m2,n/o 10% fiber mechanical/chemi- process,roll n/o 15 cm wide Writing &amp; cover paper, wt 40 g/m2-150 g/m2, n/o 10% by</w:t>
      </w:r>
    </w:p>
    <w:p>
      <w:pPr>
        <w:pStyle w:val="Normal"/>
      </w:pPr>
      <w:r>
        <w:t>weight total fiber content by mechanical/chemi- process, in certain size sheets Drawing paper, wt 40 g/m2-150 g/m2, contain n/o 10% weight total fiber content obtained by mechanical/chemi- process, in certain size sheets India &amp; bible paper, wt 40 g/m2-150 g/m2, n/o 10% by wt. total fiber content obtained by mechanical/chemi- process, in certain size sheets Paper &amp; paperboard nesoi, 40 g/m2-150 g/m2, n/o 10% by wt. total fiber content obtained by mechanical/chemi- process, in certain size sheets Other basic paper be sensitized use in photography, wt. 40g/m2-150g/m2, n/o 10% total fiber by mechanical/chemi- process, other sized sheets Paper/paperboard for writing/printing/other graphic purpose,wt 40g/m2-150g/m2, n/o 10% fiber by mechanical/chemi- process,other sized sheets Writing/cover paper, wt 40 g/m2-150 g/m2, cont. n/o 10% by weight total fiber content obtained by mechanical/chemi- process, in sheets nesoi Drawing paper, wt 40 g/m2 to 150 g/m2, cont. n/o 10% by weight total fiber content obtained by mechanical/chemi- process, in sheets nesoi India &amp; bible paper, wt 40 g/m2 to 150 g/m2, cont. n/o 10% by wt. total fiber content obtained by mechanical/chemi- process, in sheets nesoi Paper &amp; paperboard nesoi, 40 g/m2-150 g/m2, cont. n/o 10% by wt.</w:t>
      </w:r>
    </w:p>
    <w:p>
      <w:pPr>
        <w:pStyle w:val="Normal"/>
      </w:pPr>
      <w:r>
        <w:t>total fiber content obtained by mechanical/chemi- process, in sheets nesoi Writing/cover paper, &gt;150 g/m2, n/o 10% by wt total fiber content by mechanical process/chemi-, in strip/roll ov 15 cm wide or certain sheet Paper &amp; paperboard nesoi, &gt;150 g/m2, n/o 10% total fiber content by mechanical/chemi- process, in strip/roll ov 15 cm wide or certain sheets Basic paper be sensitized for photography, wt &gt;150 g/m2, n/o 10% total fiber content by mechanical process/chemi-, in rolls/sheets nesoi Paper/paperboard for writing/printing/other graphic purpose,&gt;150 g/m2, n/o 10% fiber content by mechanical process/chemi-,rolls/sheets nesoi Writing &amp; cover paper, over 10% by wt total fiber content consists of fiber obtained by mechanical/chemi- process, in rolls over 15 cm wide Drawing paper, over 10% by weight total fiber content consists of fiber obtained by mechanical/chemi- process, in rolls over 15 cm wide Paper and paperboard for graphic purpose nesoi, ov 10% total fiber content obtained by mechanical/chemi- process, in rolls over 15 cm wide Basic paper to be sensitized for photography, ov 10% total fiber content</w:t>
      </w:r>
    </w:p>
    <w:p>
      <w:pPr>
        <w:pStyle w:val="Normal"/>
      </w:pPr>
      <w:r>
        <w:t>obtained by mechanical/chemi- process, in rolls n/o 15 cm wide Paper/paperboard for writing/printing/other graphic purposes nesoi, ov 10% total fiber by mechanical/chemi- process, in rolls n/o 15 cm wide Writing &amp; cover paper, over 10% by wt total fiber content consists of fiber obtained by mechanical/chemi- process, in certain size sheets Drawing paper, which ov 10% by</w:t>
      </w:r>
    </w:p>
    <w:p>
      <w:pPr>
        <w:pStyle w:val="Normal"/>
      </w:pPr>
      <w:r>
        <w:t>weight total fiber content consists of fiber obtained by mechanical/chemi- process, in certain size sheets Paper and paperboard for graphic purposes nesoi, ov 10% by wt total fiber obtained by mechanical/chemi- process, in certain size sheets Basic paper to be sensitized for use in photography, ov 10% by wt total fiber obtained by mechanical/chemi- process, other sized sheets Paper/paperboard for graphic purposes nesoi, ov 10% by wt total fiber obtained by mechanical/chemi- process, other sized sheets Writing &amp; cover paper, of which over 10% by weight total fiber content consists of fiber obtained by mechanical process, sheets nesoi Drawing paper, of which over 10% by weight total fiber content consists of fiber obtained by mechanical process, in sheets nesoi Paper and paperboard for graphic purposes nesoi, ov 10% by wt total fiber obtained by mechanical/chemi- process, in sheets nesoi Cellulose wadding in rolls over 36 cm wide or sheets with at least one side over 36 cm Toilet, facial tissue, towel or napkin stock and paper for household/sanitary purposes, in</w:t>
      </w:r>
    </w:p>
    <w:p>
      <w:pPr>
        <w:pStyle w:val="Normal"/>
      </w:pPr>
      <w:r>
        <w:t>rolls or sheets of specific measure Uncoated, unbleached kraftliner, in rolls or sheets Uncoated kraftliner, other than unbleached, in rolls or sheets Uncoated, unbleached sack kraft paper, in rolls or sheets Uncoated sack kraft paper, other than unbleached, in rolls or sheets Uncoated, unbleached kraft condenser paper, in rolls or sheets, weighing more than 15 g/m 2 but not over 30 g/m 2 Uncoated, unbleached kraft</w:t>
      </w:r>
    </w:p>
    <w:p>
      <w:pPr>
        <w:pStyle w:val="Normal"/>
      </w:pPr>
      <w:r>
        <w:t>condenser paper, in rolls or sheets, weighing less than 15 g/m 2 or more than 30 g/m 2 to 150 g/m 2 Uncoated, unbleached kraft wrapping paper in rolls or sheets, weighing 150 g/m2 or less Uncoated, unbleached kraft paper nesi, in rolls or sheets, weighing 150 g/m2 or less Uncoated kraft condenser paper, other than unbleached, in rolls or sheets, weighing 150 g/m2 or less Uncoated kraft wrapping paper, other than unbleached, in rolls or sheets, weighing 150 g/m2 or less Uncoated kraft paper and paperboard, other than unbleached, in rolls or sheets, weighing 150 g/m2 or less, nesi Uncoated, unbleached kraft wrapping paper in rolls or sheets, weighing more than 150 but less than 225 g/m2 Uncoated, unbleached kraft paper and paperboard, nesi, in rolls or sheets, weighing more than 150 but less than 225 g/m2 Uncoated, bleached kraft paper and paperboard,over 150 but n/o 225 g/m2,over 95% content of wood fibers by chemical process,rolls or sheets Uncoated kraft paper and paperboard, nesi, in rolls or sheets, weighing</w:t>
      </w:r>
    </w:p>
    <w:p>
      <w:pPr>
        <w:pStyle w:val="Normal"/>
      </w:pPr>
      <w:r>
        <w:t>more than 150 but less than 225 g/m2, nesi Uncoated, unbleached kraft paper and paperboard, in rolls or sheets, weighing 225 g/m2 or more Uncoated, bleached kraft paper &amp; paperboard, over 225 g/m2, over 95% content of wood fibers obtained by chemical process, rolls or sheets Uncoated kraft paper and paperboard in rolls or sheets, weighing 225 g/m2 or more, nesi Uncoated semichemical fluting paper, in rolls or sheets, not further worked than as specified in note 3 to</w:t>
      </w:r>
    </w:p>
    <w:p>
      <w:pPr>
        <w:pStyle w:val="Normal"/>
      </w:pPr>
      <w:r>
        <w:t>chapter 48 Uncoated straw fluting paper, weighing 150 g/m2 or less, in rolls or sheets, not further worked than as specified in note 3 to chapter 48 Uncoated straw fluting pape, weighing over 150 g/m2, in rolls or sheets, not further worked than as specified in note 3 to chapter 48 Uncoated fluting paper nesoi, weighing 150 g/m2 or less, in rolls or sheets, not further worked than as specified in note 3 to chapter 48 Uncoated fluting paper nesoi, weighing over 150 g/m2, in rolls or sheets, not further worked than as specified in note 3 to chapter 48 Uncoated testliner (recycled liner board), weighing n/o 15 g/m2, in rolls or sheets, not further worked than in note 3 to chapter 48 Uncoated testliner, weighing over 15 g/m2 but not over 30 g/m2, in rolls or sheets, not further worked than in note 3 to chapter 48 Uncoated testliner, weighing over 30 g/m2 but not over 150 g/m2, in rolls or sheets, not further worked than in note 3</w:t>
      </w:r>
    </w:p>
    <w:p>
      <w:pPr>
        <w:pStyle w:val="Normal"/>
      </w:pPr>
      <w:r>
        <w:t>to chapter 48 Uncoated testliner, weighing more than 150 g/m2, in rolls or sheets, not further worked than as specified in note 3 to chapter 48 Uncoated sulfite wrapping paper in rolls or sheets Uncoated filter paper and paperboard in rolls or sheets Uncoated felt paper and paperboard in rolls or sheets Uncoated multi-ply paper &amp; paperboard, bibulous &amp; wrapping paper, weigh 150 g/m2 or less, in rolls/sheets, not further worked than in note 3 Uncoated condenser paper, weighing 150 g/m2 or less, in rolls or sheets, not further worked than as specified in</w:t>
      </w:r>
    </w:p>
    <w:p>
      <w:pPr>
        <w:pStyle w:val="Normal"/>
      </w:pPr>
      <w:r>
        <w:t>note 3 to chapter 48 Uncoated paper and paperboard nesoi, weighing not over 15 g/m2, in rolls or sheets, not further worked than as in note 3 to chapter 48 Uncoated paper and paperboard nesoi, weigh over 15 g/m2 but n/o 30 g/m2, in rolls or sheets, not further worked than in note 3 to chapter 48 Uncoated paper and paperboard nesoi, weigh ov 30 g/m2 but n/o 150 g/m2, in rolls or sheets, not further worked than in note 3 to chapter 48 Uncoated pressboard, weighing more than 150 g/m2 but less than 225 g/m2, in rolls or sheets, not further worked than in note 3 to chapter 48 Uncoated paper &amp; paperboard nesoi, weighing &gt; 150 g/m2 but &lt; 225 g/m2, in rolls or sheets, not further worked than in note 3 to chapter 48 Uncoated pressboard weighing 225 g/m2 or more, in rolls or sheets, not further worked than as specified in note 3 to chapter 48 Uncoated paper and paperboard nesoi, weighing 225 g/m2 or more,</w:t>
      </w:r>
    </w:p>
    <w:p>
      <w:pPr>
        <w:pStyle w:val="Normal"/>
      </w:pPr>
      <w:r>
        <w:t>in rolls or sheets, not further worked than as in note 3 to chapter 48 Vegetable parchment in rolls or sheets Greaseproof papers in rolls or sheets Tracing papers in rolls or sheets Glassine and other glazed transparent or translucent papers, in rolls or sheets Composite paper and paperboard, laminated internally with bitumen, tar or asphalt, not surface-coated or impregnated, in rolls or sheets Composite straw paper and paperboard, not surface-coated or impregnated, in rolls or sheets Composite cloth-lined or reinforced paper, not surface-coated or impregnated, in rolls or sheets</w:t>
      </w:r>
    </w:p>
    <w:p>
      <w:pPr>
        <w:pStyle w:val="Normal"/>
      </w:pPr>
      <w:r>
        <w:t>Composite paper and paperboard nesoi, not surface-coated or impregnated, in rolls or sheets Corrugated paper and paperboard, whether or not perforated, in rolls or sheets Kraft paper, creped or crinkled, whether or not embossed or perforated Paper and paperboard, creped or crinkled, in rolls or sheets, nesi Paper and paperboard, embossed, in rolls or sheets, nesi Paper and paperboard, in rolls or sheets, nesi Self-copy writing paper in rolls over 36 cm wide or rectangular sheets over 36 cm on side(s) Self-copy paper in rolls over 36 cm wide or rectangular sheets over 36 cm on side(s), other than writing paper Stereotype-matrix board and mat in rolls over 36 cm wide or in rectangular sheets over 36 cm on side(s) Simplex decalcomania paper in rolls over 36 cm wide or in rectangular sheets over 36 cm on side(s) Duplex decalcomania paper in rolls over 36 cm wide or in rectangular sheets over 36 cm on side(s) Carbon paper, self-copy paper and other copying or transfer paper, Impregnated, coated or both,</w:t>
      </w:r>
    </w:p>
    <w:p>
      <w:pPr>
        <w:pStyle w:val="Normal"/>
      </w:pPr>
      <w:r>
        <w:t>but otherwise not treated Copying or transfer papers, nesi, in rolls over 36 cm wide or rectangular sheets over 36 cm on side(s) Basic paper be sensitized for photography, coated w/inorganic, n/o 150 g/m2, n/o 10% fiber by mechanical/chemi- process, rolls ov 15 cm wide India or bible paper, coated w/inorganic, n/o 150 g/m2, n/o 10% fiber content obtained by a mechanical/chemi- process, rolls ov 15 cm wide Paper/paperboard for graphic use nesoi, coated w/inorganic, n/o 150g/m2, n/o</w:t>
      </w:r>
    </w:p>
    <w:p>
      <w:pPr>
        <w:pStyle w:val="Normal"/>
      </w:pPr>
      <w:r>
        <w:t>10% fiber by mechanical/chemi- process, rolls ov 15 cm wide Paper and paperboard for graphic use, coated w/inorganic, ov 150g/m2, n/o 10% fiber by mechanical/chemi- process, in rolls over 15 cm wide Printed/embossed/perforated paper &amp; paperboard graphic use, coated w/inorganic, n/o 10% fiber by mech/chemi- process, rolls n/o 15 cm wide Basic paper be sensitized for photography, coated w/kaolin/inorganic, n/o 10% fiber by mechanical/chemi- process, rolls n/o 15 cm wide Paper &amp; paperboard for graphic purposes nesoi, coated w/kaolin/inorganic, n/o 10% fiber by mechanical/chemi- process, rolls n/o 15 cm wide Basic paper be sensitized for photography, coated w/inorganic, n/o 150g/m2, n/o 10% fiber by mechanical/chemi- process, certain size sheets India or bible paper, coated w/inorganic, n/o 150 g/m2, of n/o 10% fiber content obtained by mechanical/chemi- process, certain size sheets Paper and paperboard for graphic use nesoi, coated w/inorganic, n/o 150g/m2, n/o 10% fiber by mechanical/chemi- process, certain size sheets Paper and paperboard for graphic use, coated w/inorganic, ov 150g/m2, n/o 10% fiber obtained mechanical/chemi- process, certain size sheets Printed/embossed/perforated</w:t>
      </w:r>
    </w:p>
    <w:p>
      <w:pPr>
        <w:pStyle w:val="Normal"/>
      </w:pPr>
      <w:r>
        <w:t>paper &amp; paperboard, coated w/inorganic, n/o 10% fiber obtained mechanical/chemi- process, other sized sheets Basic paper be sensitized use in photography, coated w/inorganic, n/o 10% fiber obtained mechanical/chemi- process, other sized sheets Paper &amp; paperboard for graphic purposes nesoi, coated</w:t>
      </w:r>
    </w:p>
    <w:p>
      <w:pPr>
        <w:pStyle w:val="Normal"/>
      </w:pPr>
      <w:r>
        <w:t>w/inorganic, n/o 10% fiber obtained mechanical/chemi- process, other sized sheets Basic paper be sensitized use in photography, coated w/inorganic, n/o 150g/m2, n/o 10% fiber by mechanical/chemi- process, sheets nesoi India or bible paper, coated w/inorganic, n/o 150 g/m2, of n/o 10% fiber content obtained by a mechanical/chemi- process, sheets nesoi Paper &amp; paperboard for graphic use nesoi, coated w/inorganic, n/o 150g/m2, n/o 10% fiber obtained by mechanical/chemi- process, sheets nesoi Paper and paperboard for graphic use, coated w/inorganic, ov 150g/m2, n/o 10% fiber obtained by a mechanical/chemi- process, sheets nesoi Light-weight coated paper for graphic use, &gt; 10% fiber content obtained by mechanical/chemi- process, strip/roll ov 15 cm wide/sized sheets Light-wt coated printed/embossed/perforated paper/paperboard for graphic, &gt; 10% fiber obtained mechanical/chemi- process, roll/sheet nesoi Light-weight coated basic paper be sensitized use in photography, &gt; 10% fiber obtained mechanical/chemi- process, rolls/sheets nesoi Light-wt coated paper &amp; paperboard used for graphic purposes, &gt; 10% fiber obtained by a mechanical/chemi- process, roll/sheet nesoi Paper/paperboard for graphic, coated w/inorganic, &gt; 10% fiber obtained by</w:t>
      </w:r>
    </w:p>
    <w:p>
      <w:pPr>
        <w:pStyle w:val="Normal"/>
      </w:pPr>
      <w:r>
        <w:t>mechanical/chemi- process, strip/roll ov 15 cm wide &amp; sized sheets Printed/embossed/perforated paper/paperboard for graphic, coated w/inorganic, &gt; 10% fiber by mechanical/chemi- process, rolls/sheets nesoi Basic paper to be sensitized for use in</w:t>
      </w:r>
    </w:p>
    <w:p>
      <w:pPr>
        <w:pStyle w:val="Normal"/>
      </w:pPr>
      <w:r>
        <w:t>photography, coated w/inorganic, &gt; 10% fiber by mechanical/chemi- process, rolls/sheets nesoi Paper/paperboard used for graphic purposes, coated w/inorganic, &gt; 10% fiber by mechanical/chemi- process, rolls/sheets nesoi Nongraphic bleached coated kraft paper/paperboard, &gt;95% wood fiber by chemical process, 150g/m2 or &lt;, strip/roll ov 15 cm wide/certain sheet Bleached coated kraft paper cards, not punched, for punchcard machine, &gt;95% wood fiber by chemical process, 150g/m2 or &lt;, rolls/sheets nesoi Nongraphic bleached coated kraft paper/paperboard nesoi, of &gt; 95% wood fiber by chemical process, 150 g/m2 or less, in rolls or sheets nesoi Nongraphic bleached coated kraft paper/paperboard, &gt; 95% wood fiber by chemical process, &gt;150g/m2, strip/roll ov 15 cm wide/certain sheets Bleached coated kraft paper card, not punched, for punchcard machine, &gt;95% wood fiber by chemical process, &gt; 150g/m2, in strips/sheets nesoi Nongraphic bleached coated kraft paper/paperboard nesoi, of &gt; 95% wood fiber obtained chemical process, &gt; 150 g/m2, in rolls or sheets nesoi Nongraphic nonbleach uniformly kraft paper/paperboard,coated w/inorganic,wheth impreg but not treated,strip/roll ov 15cm wide/certain sheet Nongraphic nonbleached uniformly kraft paper and paperboard nesoi, coated w/kaolin/inorganic substances, strip/roll ov 15 cm/certain sheets Nonbleached uniformly kraft paper cards, not punched, for punchcard machines, coated w/inorganic substances, strips/sheets nesoi Nongraphic nonbleached</w:t>
      </w:r>
    </w:p>
    <w:p>
      <w:pPr>
        <w:pStyle w:val="Normal"/>
      </w:pPr>
      <w:r>
        <w:t>uniformly kraft paper or paperboard nesoi, coated with kaolin or other inorganic substances, in rolls or sheets nesoi Multi-ply paper &amp; paperboard nesoi, coat w/kaolin/other inorganic substances, wt &gt; 150g/m2, strips/rolls ov 15 cm wide or certain sheets Multi-ply paper/paperboard nesoi, coat w/kaolin/other inorganic substances, wt 150g/m2 or less, strips/rolls ov 15 cm wide or certain sheets Mult-ply paper/paperboard cards, not punched, for punchcard machines, coated w/kaolin/other inorganic substances, in strips/sheets nesoi Multi-ply paper or paperboard nesoi, coated with kaolin or other inorganic substances, in rolls n/o 15 cm wide and rectangular sheets nesoi Paper &amp; paperboard nesoi, coated with kaolin or other inorganic substances, in strips/rolls ov 15 cm wide or certain size rectangular sheets Paper &amp; paperboard cards nesoi, not punched, for punchcard machines, coated w/kaolin/inorganic substances, in strips or sheets nesoi Paper and paperboard nesoi, coated with kaolin or other inorganic substances, in rolls n/o 15 cm wide and rectangular sheets nesoi Tarred, bituminized or asphalted paper &amp; paperboard, in strip/roll ov 15cm wide or rectangular sheet</w:t>
      </w:r>
    </w:p>
    <w:p>
      <w:pPr>
        <w:pStyle w:val="Normal"/>
      </w:pPr>
      <w:r>
        <w:t>w/side ov 36cm &amp; other ov 15cm unfolded Tarred, bituminized or asphalted paper and paperboard, in strips or rolls not over 15 cm wide or in rectangular sheets nesoi Self-adhesive paper &amp; paperboard, in strips/rolls ov 15cm wide or rectangular sheets w/1 side ov 36cm &amp; other side ov 15cm in unfolded Self-adhesive paper</w:t>
      </w:r>
    </w:p>
    <w:p>
      <w:pPr>
        <w:pStyle w:val="Normal"/>
      </w:pPr>
      <w:r>
        <w:t>and paperboard, in strips or rolls not over 15 cm wide Self-adhesive paper and paperboard, in rectangular sheets nesoi Gummed or adhesive paper and paperboard (other than self-adhesive), in strips or rolls over 15 cm wide or certain sized rectangular sheets Gummed or adhesive paper and paperboard (other than self-adhesive), in strips or rolls not over 15 cm wide Gummed or adhesive paper and paperboard (other than self-adhesive), in rectangular sheets nesoi Bleached paper and paperboard, coated/impregnated/covered w/plastics, wt &gt;150g/m2, 0.3mm or more thick, in certain size strips/rolls/sheets Bleached paper and paperboard, coated/impregnated/covered w/plastics, wt &gt; 150 g/m2, &lt; 0.3 mm thick, in certain size strips/rolls/sheets Bleached paper and paperboard, coated/impregnated/covered w/plastics, wt &gt; 150 g/m2, in rolls n/o 15 cm wide or rectangular sheets nesoi Bleached nesoi/nonbleached printing paper, coated, impregnated or covered with plastics, in strips/rolls ov 15cm wide or certain size sheets Bleached nesoi/nonbleached paper and paperboard nesoi, coated/impregnated/covered with plastics, in certain size strip/rolls/sheets Bleached nesoi/nonbleached paper &amp; paperboard, coated/impregnated/covered with plastics, in rolls n/o 15 cm wide or rectangular sheets nesoi Paper and paperboard, coated/impregnated/covered with wax/paraffin/stearin/oil/glycerol, in strips/rolls ov 15cm wide or certain size sheets Paper and paperboard, coated/impregnated/covered with</w:t>
      </w:r>
    </w:p>
    <w:p>
      <w:pPr>
        <w:pStyle w:val="Normal"/>
      </w:pPr>
      <w:r>
        <w:t>wax/paraffin/stearin/oil/glycerol, in rolls n/o 15cm wide or rectangular sheets nesoi Handmade paper of cellulose fibers, in strip or roll ov 15 cm wide or rectangular sheets w/1 side ov 36 cm and other ov 15 cm in unfolded Paper/paperboard/cell wadding/webs of cell fibers, all/partly covered w/flock/gelatin/metal/metal solutions, in certain strip/rolls/sheets Paper, paperboard, cellulose wadding and webs of cellulose fibers, impregnated with latex, in certain size strips/rolls/sheets Paper, paperboard, cellulose wadding and webs of cellulose fibers, nesoi, weighing not over 15 g/m2, in certain size strips, rolls or sheets Paper, paperboard, cellulose wadding and web of cellulose fibers, nesoi, wt ov 15g/m2 n/o 30g/m2, in certain size strips, rolls or sheets Paper, paperboard, cellulose wadding and webs of cellulose fibers, nesoi, weighing over 30 g/m2, in certain size strips, rolls or sheets Paper, paperboard, cellulose wadding and webs of cellulose fibers, nesoi, in rolls n/o 15 cm wide or rectangular sheets nesoi Filter blocks, slabs and plates of paper pulp Cigarette paper in the form of booklets or tubes Cigarette paper</w:t>
      </w:r>
    </w:p>
    <w:p>
      <w:pPr>
        <w:pStyle w:val="Normal"/>
      </w:pPr>
      <w:r>
        <w:t>in rolls of a width not exceeding 5 cm Cigarette paper, whether or not cut to size, nesi Wallpaper and similar wallcoverings of paper, coated or covered on the face side with a layer of plastics Other wallpaper and similar wallcoverings, nesoi;</w:t>
      </w:r>
    </w:p>
    <w:p>
      <w:pPr>
        <w:pStyle w:val="Normal"/>
      </w:pPr>
      <w:r>
        <w:t>window transparencies of paper, nesoi Self-copy paper, nesi Carbon or similar copying papers, nesoi Envelopes</w:t>
      </w:r>
    </w:p>
    <w:p>
      <w:pPr>
        <w:pStyle w:val="Normal"/>
      </w:pPr>
      <w:r>
        <w:t>of paper or paperboard Sheets of writing paper with border gummed or perforated, prepared for use as combination sheets and envelopes Other letter cards, plain postcards and correspondence cards, nesi Boxes, pouches, wallets and writing compendiums, of paper or paperboard, containing an assortment of paper stationery Toilet paper Handkerchiefs, cleansing or facial tissues and towels of paper pulp, paper, cellulose wadding or webs of cellulose fiber Tablecloths and table napkins of paper pulp, paper, cellulose wadding or webs of cellulose fiber Articles of apparel and clothing accessories of paper pulp, paper, cellulose wadding or webs of cellulose fibers Bedsheets and similar household, sanitary or hospital articles of paper, cellulose wadding or webs of cellulose fibers, nesi Cartons, boxes and cases of corrugated paper or paperboard Folding cartons, boxes and cases of noncorrugated paper or paperboard Sacks and bags, having a base of a width of 40 cm or more, of paper, paperboard, cellulose wadding or webs of cellulose fibers Sacks and bags, nesi, including cones, of paper, paperboard, cellulose wadding</w:t>
      </w:r>
    </w:p>
    <w:p>
      <w:pPr>
        <w:pStyle w:val="Normal"/>
      </w:pPr>
      <w:r>
        <w:t>or webs of cellulose fibers Sanitary food and beverage containers of paper, paperboard, cellulose wadding or webs of cellulose fibers, nesi Record sleeves of paper, paperboard, cellulose wadding or webs of cellulose fibers Packing containers, nesi, of paper, paperboard, cellulose wadding or webs of cellulose fibers Box files, letter trays, storage &amp; like articles, used in</w:t>
      </w:r>
    </w:p>
    <w:p>
      <w:pPr>
        <w:pStyle w:val="Normal"/>
      </w:pPr>
      <w:r>
        <w:t>offices &amp; shops, of paper,paperboard,cellulose wadding/webs of cellulose fibers Diaries, notebooks and address books, bound;</w:t>
      </w:r>
    </w:p>
    <w:p>
      <w:pPr>
        <w:pStyle w:val="Normal"/>
      </w:pPr>
      <w:r>
        <w:t>letter and memorandum pads and similar articles, of paper or paperboard Registers, account, order and receipt books, and similar articles, of paper or paperboard, nesi Exercise books of paper or paperboard Binders (other than book covers), folders and file covers of paper or paperboard Manifold business forms and interleaved carbon sets of paper or paperboard Albums for samples or for collections, of paper or paperboard Blotting pads and other articles of stationery nesi, and book covers, of paper or paperboard Paper and paperboard labels, printed in whole or part by a lithographic process Paper and paperboard labels, printed by other than a lithographic process Pressure-sensitive paper and paperboard labels, not printed Paper and paperboard labels, not printed, nesi Bobbins, spools, cops and similar supports of paper pulp, paper or paperboard of a kind used for winding textile yarn Bobbins, spools, cops and similar supports of paper pulp, paper or paperboard, nesi Paint filters and strainers of paper or paperboard Filter paper and paperboard, nesi Rolls, sheets and dials of paper or paperboard printed for self-recording apparatus Trays, dishes, plates, cups and the like, of paper or paperboard:</w:t>
      </w:r>
    </w:p>
    <w:p>
      <w:pPr>
        <w:pStyle w:val="Normal"/>
      </w:pPr>
      <w:r>
        <w:t>of bamboo Trays, dishes, plates, cups and the like, of paper or paperboard Molded or pressed articles of paper pulp Articles of paper pulp, nesi Articles of</w:t>
      </w:r>
    </w:p>
    <w:p>
      <w:pPr>
        <w:pStyle w:val="Normal"/>
      </w:pPr>
      <w:r>
        <w:t>papier-mache, nesi Cards of paper or paperboard, nesoi, not punched, for punchcard machines, whether or not in strips Frames or mounts for photographic slides of paper or paperboard Hand fans of paper or paperboard Gaskets, washers and other seals of coated paper or paperboard Coated paper or paperboard, nesoi Articles of cellulose wadding, nesi Gaskets, washers and other seals of paper, paperboard and webs of cellulose fibers, nesi Articles of paper pulp, paper, paperboard, cellulose wadding or webs of cellulose fibers, nesoi Printed books, brochures, leaflets and similar printed matter in single sheets, whether or not folded Printed dictionaries and encyclopedias and serial installments thereof Printed books, brochures, leaflets and similar printed matter, other than in single sheets Newspapers, journals and periodicals, appearing at least four times a week Newspaper supplements printed by a gravure process Newspaper, journals and periodicals, except those appearing at least four times a week Children’s picture, drawing or coloring books Music, printed or in manuscript, whether or not bound or illustrated Globes, printed Maps and</w:t>
      </w:r>
    </w:p>
    <w:p>
      <w:pPr>
        <w:pStyle w:val="Normal"/>
      </w:pPr>
      <w:r>
        <w:t>hydrographic or similar charts of all kinds, including atlases and topographical plans, printed in book form Maps and hydrographic or similar charts of all kinds, including atlases, wall maps and topographical plans, printed, in other than book form Hand-drawn original plans and drawings;</w:t>
      </w:r>
    </w:p>
    <w:p>
      <w:pPr>
        <w:pStyle w:val="Normal"/>
      </w:pPr>
      <w:r>
        <w:t>hand-written texts; photo reproductions on sensitized paper</w:t>
      </w:r>
    </w:p>
    <w:p>
      <w:pPr>
        <w:pStyle w:val="Normal"/>
      </w:pPr>
      <w:r>
        <w:t>and carbon copies of the foregoing Unused stamps of current or new issue in country to which destined; stamp-impressed paper; check forms;</w:t>
      </w:r>
    </w:p>
    <w:p>
      <w:pPr>
        <w:pStyle w:val="Normal"/>
      </w:pPr>
      <w:r>
        <w:t>documents of title, etc Transfers (decalcomanias), vitrifiable Transfers (decalcomanias), not vitrifiable Postcards, printed or illustrated Printed cards (except postcards) bearing personal greetings, messages or announcements, with or without envelopes or trimmings Calendars printed on paper or paperboard in whole or in part by a lithographic process, not over 0.51 mm in thickness Calendars printed on paper or paperboard in whole or in part by a lithographic process, over 0.51 mm in thickness Printed calendars, including calendar blocks, printed on paper or paperboard by other than a lithographic process Printed trade advertising material, commercial catalogs and the like Pictures, designs and photographs, printed over 20 years at time of importation Pictures, designs and photographs printed not over 20 years at time of importation, used in production of articles of heading 4901 Lithographs on paper or paperboard, not over 0.51 mm in thickness, printed not over 20 years at time of importation Lithographs on paper or paperboard, over 0.51 mm in thickness, printed not over 20 years at time of importation Pictures,</w:t>
      </w:r>
    </w:p>
    <w:p>
      <w:pPr>
        <w:pStyle w:val="Normal"/>
      </w:pPr>
      <w:r>
        <w:t>designs and photographs, excluding lithographs on paper or paperboard, printed not over 20 years at time of importation Printed international customs forms (carnets), and parts thereof, in English or French, (whether or not in</w:t>
      </w:r>
    </w:p>
    <w:p>
      <w:pPr>
        <w:pStyle w:val="Normal"/>
      </w:pPr>
      <w:r>
        <w:t>additional languages) Printed matter, nesi, printed on paper in whole or in part by a lithographic process Printed matter, nesi Silkworm cocoons suitable for reeling Raw silk (not thrown) Silk waste (including cocoons unsuitable for reeling, yarn waste and garnetted stock) not carded or combed Silk waste (including cocoons unsuitable for reeling, yarn waste and garnetted stock) carded or combed Silk yarns (other than yarn spun from silk waste) not put up for retail sale Yarn spun from silk waste, not put up for retail sale Spun yarn, containing 85% or more by weight of silk, put up for retail sale;</w:t>
      </w:r>
    </w:p>
    <w:p>
      <w:pPr>
        <w:pStyle w:val="Normal"/>
      </w:pPr>
      <w:r>
        <w:t>silkworm gut Spun silk yarn, containing less than 85% by weight of silk, put up for retail sale Woven fabrics of noil silk, containing 85 percent or more by weight of silk or silk waste Woven fabrics of noil silk, containing less than 85 percent by weight of silk or silk waste Woven fabrics containing 85 percent or more by weight of silk or of silk waste, other than noil silk Woven silk fabrics, containing 85 percent or more by weight of silk or silk waste, nesoi Other silk woven fabrics, containing less than 85 percent by weight of silk or silk waste, nesoi Unimproved wool and other wool not finer than 46s, greasy, shorn, not carded or combed, for special uses Unimproved wool and other wool not finer than 40s, greasy, shorn, not carded or combed, not for special uses Wool, excluding unimproved, finer than 40s but not 44s, greasy, shorn, not carded or combed, not for special uses</w:t>
      </w:r>
    </w:p>
    <w:p>
      <w:pPr>
        <w:pStyle w:val="Normal"/>
      </w:pPr>
      <w:r>
        <w:t>Wool, excluding unimproved, finer than 44s but not 46s, greasy, shorn, not carded or combed, not for special uses Wool, excluding unimproved, finer than 46s, greasy, shorn, not carded or combed Unimproved wool and other wool not finer than 46s, greasy, not shorn, not carded or combed, for special uses Unimproved wool and other wool not finer than 40s, greasy, not shorn, not carded or combed, not for special uses Wool, excl. unimproved, finer than 40s, but not 44s, greasy, not shorn, not carded or combed, not for special uses Wool, excluding unimproved, finer than 44s but not 46s, greasy, not shorn, not carded or combed, not for special uses Wool, excluding unimproved, finer than 46s, greasy, incl. fleece-washed, not shorn, not carded or combed Unimproved wool and other wool not finer than 46s, degreased, not further processed, shorn, not carded or combed, for special uses Unimproved wool and other wool not finer than 40s, degreased, not further processed, shorn, not carded or combed, not for special uses Wool, excl.</w:t>
      </w:r>
    </w:p>
    <w:p>
      <w:pPr>
        <w:pStyle w:val="Normal"/>
      </w:pPr>
      <w:r>
        <w:t>unimproved, finer than 40s but not 44s, degreased, not further processed, shorn, not carded or combed, not for special uses Wool, excl. unimproved, finer than 44s but not 46s, degreased, not further processed, shorn, not carded or combed, not for special uses Wool, excl.</w:t>
      </w:r>
    </w:p>
    <w:p>
      <w:pPr>
        <w:pStyle w:val="Normal"/>
      </w:pPr>
      <w:r>
        <w:t>unimproved, finer than 46s, degreased, not further processed, shorn, not carded or combed, not for special uses Unimproved wool and other wool, not finer than 46s, degreased, shorn, not carbonized, not carded or combed Unimproved wool and other wool, finer than 46s, degreased, shorn, not carbonized, not carded or combed Unimproved wool and other wool not finer than 46s, degreased, not further processed, not shorn, not carded or combed, for special uses Unimproved wool and other wool not finer than 40s, degreased, not further processed, not shorn, not carded or combed, not for special uses Wool, excl. unimproved, finer than 40s but not 44s, degreased, not further processed, not shorn, not carded or combed, not for special uses Wool, excl. unimproved, finer than 44s but not 46s, degreased, not further processed, not shorn, not carded or combed, not for special uses Wool, excl.</w:t>
      </w:r>
    </w:p>
    <w:p>
      <w:pPr>
        <w:pStyle w:val="Normal"/>
      </w:pPr>
      <w:r>
        <w:t>unimproved, finer than 46s, degreased, not further processed, not shorn, not carded or combed, not for special uses Unimproved wool and other wool, not finer than 46s, not shorn, not carbonized, degreased and further processed, not carded or combed Wool, finer than 46s, not carded or combed, not carbonized, not shorn, degreased and processed to remove grease Unimproved wool and other wool, not finer than 40s, carbonized, not further processed, not carded or combed Wool, excluding unimproved, finer than 40s but not finer than 44s, carbonized, not further processed, not carded or combed Wool, excluding unimproved, finer than 44s but not finer than 46s, carbonized, not further processed, not carded or combed Wool, excluding unimproved, finer than 46s, carbonized, not further processed, not carded or combed Unimproved wool and other wool, not finer than 46s, carbonized and further processed, not carded or combed Unimproved wool and other wool, finer than 46s, carbonized and further processed, not carded or combed Fine hair of Kashmir (cashmere) goats, not processed in any manner</w:t>
      </w:r>
    </w:p>
    <w:p>
      <w:pPr>
        <w:pStyle w:val="Normal"/>
      </w:pPr>
      <w:r>
        <w:t>beyond the degreased or carbonized condition, not carded or combed Fine hair of Kashmir (cashmere) goats, processed beyond the degreased or carbonized condition, not carded or combed Fine hair of the camel, not processed in any manner beyond the degreased or carbonized condition, not carded or combed Fine animal hair (other than Kashmir or camel), not processed beyond the degreased or carbonized</w:t>
      </w:r>
    </w:p>
    <w:p>
      <w:pPr>
        <w:pStyle w:val="Normal"/>
      </w:pPr>
      <w:r>
        <w:t>condition, not carded or combed Fur, prepared for hatters’ use, not carded or combed Fine animal hair (other than Kashmir), processed beyond the degreased or carbonized condition, not carded or combed Coarse animal hair, not carded or combed Noils of wool or of fine animal hair Waste, other than noils, of wool or of fine animal hair, including yarn waste but excluding garnetted stock Waste of coarse animal hair, including yarn waste but excluding garnetted stock Garnetted stock of wool or of fine or coarse animal hair Carded wool Combed wool in fragments Wool tops and other combed wool, except in fragments Fine hair of Kashmir (cashmere) goats, carded or combed Fine animal hair (other than Kashmir), carded or combed Coarse animal hair, carded or combed Yarn of carded wool, containing 85 percent or more by weight of wool, not put up for retail sale Yarn of carded wool, containing less than 85 percent by weight of wool, not put up for retail sale Yarn of combed wool, containing 85%</w:t>
      </w:r>
    </w:p>
    <w:p>
      <w:pPr>
        <w:pStyle w:val="Normal"/>
      </w:pPr>
      <w:r>
        <w:t>or more by weight of wool, not put up for retail sale, of wool fiber avg diameter 18.5 micron or &lt; Yarn of combed wool, containing 85% or more by weight of wool, not put up for retail sale, nesoi Yarn of combed wool, containing less than 85 percent by weight of wool, not put up retail sale, of wool fiber avg diameter 18.5 micron or &lt; Yarn of combed wool, containing less than 85 percent by weight of wool, not put up retail sale, nesoi Yarn of Angora rabbit hair, carded, not put up for retail sale</w:t>
      </w:r>
    </w:p>
    <w:p>
      <w:pPr>
        <w:pStyle w:val="Normal"/>
      </w:pPr>
      <w:r>
        <w:t>Yarn of mohair, carded, not put up for retail sale Yarn of fine animal hair other than Angora rabbit hair or mohair, carded, not put up for retail sale Yarn of Angora rabbit hair, combed, not put up for retail sale Yarn of mohair, combed, not put up for retail sale Yarn of fine animal hair other than Angora rabbit hair or mohair, combed, not put up for retail sale Yarn of wool, containing 85 percent or more by weight of wool, colored, cut into uniform lengths of not over 8 cm, put up for retail sale Yarn of Angora rabbit hair, containing 85 percent or more by weight of the Angora hair, put up for retail sale Yarn of wool nesoi, or fine animal hair nesoi, over 85% or &gt; of that wool/hair, for retail sale, of wool fiber avg diamter 18.5 micron or &lt; Yarn of wool nesoi, or fine animal hair nesoi, over 85% or &gt; of that wool/hair, put up for retail sale, nesoi Yarn of</w:t>
      </w:r>
    </w:p>
    <w:p>
      <w:pPr>
        <w:pStyle w:val="Normal"/>
      </w:pPr>
      <w:r>
        <w:t>wool, colored, and cut into uniform lengths of not over 8 cm, containing less than 85% by weight of wool, put up for retail sale Yarn of Angora rabbit hair containing less than 85 percent by weight of the Angora hair, put up for retail sale Yarn of wool nesoi, or fine animal hair nesoi, &lt; 85% of that wool/hair, for retail sale, of wool fiber avg diameter 18.5 micron or &lt; Yarn of wool nesoi, or fine animal hair nesoi, &lt; 85% of that wool/hair, put up for retail sale, nesoi Yarn of coarse animal hair or horsehair (including gimped horsehair yarn) whether or not put up for retail sale Tapestry and upholstery fabrics of</w:t>
      </w:r>
    </w:p>
    <w:p>
      <w:pPr>
        <w:pStyle w:val="Normal"/>
      </w:pPr>
      <w:r>
        <w:t>carded wool/fine animal hair, over 85% wool or hair, weighing not over 140 g/m2 Hand-woven fabrics of carded wool/fine animal hair, 85% or more wool or hair, loom width less than 76 cm, weight not over 300 g/m2 Woven fabrics, 85% or more by weight of carded wool/fine animal hair, weight not over 300 g/m2, nesoi Tapestry and upholstery fabrics, woven, 85% or more by weight of carded wool/fine animal hair, weight over 300 g/m2 Hand-woven fabrics, with 85 percent or more by weight of carded wool/fine animal hair, loom width of less than 76 cm, weight ov 300 g/m2 Woven fabrics, with 85 percent or more by weight of carded wool/fine animal hair nesoi, weight over 300 g/m2 Tapestry &amp; upholstery fabrics of carded wool/fine animal hair, mixed mainly or solely with man-made filaments, weight exceeding 300 g/m2 Tapestry &amp; upholstery fabrics of carded wool/fine animal hair, mixed mainly or solely with man-made filaments, weight not over 140 g/m2 Woven fabrics of carded wool/fine animal hair, mixed mainly or</w:t>
      </w:r>
    </w:p>
    <w:p>
      <w:pPr>
        <w:pStyle w:val="Normal"/>
      </w:pPr>
      <w:r>
        <w:t>solely with man-made filaments, nesoi Tapestry &amp; upholstery fabrics of carded wool/fine animal hair, mixed mainly/solely with man-made staple fibers, weight exceeding 300 g/m2 Tapestry &amp; upholstery fabrics of carded wool/fine animal hair, mixed mainly/solely with man-made staple fibers, weight not over 140 g/m2 Woven fabrics of carded wool/fine animal hair, mixed mainly or solely with man-made staple fibers, nesoi Woven fabrics of carded wool/fine animal hair, containing 30 percent</w:t>
      </w:r>
    </w:p>
    <w:p>
      <w:pPr>
        <w:pStyle w:val="Normal"/>
      </w:pPr>
      <w:r>
        <w:t>or more by weight of silk or silk waste, valued over $33/kg Tapestry and upholstery fabrics of carded wool/fine animal hair, weight over 300 g/m2, containing less than 85% wool or hair, nesoi Tapestry and upholstery fabrics of carded wool/fine animal hair, weight not over 140 g/m2, containing less than 85% wool or hair, nesoi Woven fabrics of carded wool/fine animal hair, containing less than 85% wool or hair, nesoi Tapestry and upholstery fabrics of combed wool/fine animal hair, containing 85% or more wool or hair, weight not over 140 g/m2 Woven fabrics of combed wool/fine animal hair, over 85% wool or hair, weight not over 200 g/m2, avg wool fiber diameter 18.5 micron or &lt; Woven fabrics of combed wool/fine animal hair, over 85% wool or hair, weight not over 200 g/m2, nesoi Tapestry and upholstery fabrics of combed wool/fine animal hair, over 85% wool or hair, weight over 300 g/m2 Woven fabrics of combed wool/fine animal hair, over 85% wool or fine animal hair, ov 200 g/m2, avg</w:t>
      </w:r>
    </w:p>
    <w:p>
      <w:pPr>
        <w:pStyle w:val="Normal"/>
      </w:pPr>
      <w:r>
        <w:t>wool fiber diameter 18.5 micron or &lt; Woven fabrics of combed wool/fine animal hair, over 85% wool or fine animal hair, weight over 200 g/m2, nesoi Tapestry and upholstery fabrics of combed wool/fine animal hair, mixed mainly/solely with man-made filaments, weight over 300 g/m2 Tapestry and upholstery fabrics of combed wool/fine animal hair, mixed mainly/solely with man-made filaments, weight not over 140 g/m2 Woven fabrics of combed wool/fine animal hair, mixed mainly or solely with man- made</w:t>
      </w:r>
    </w:p>
    <w:p>
      <w:pPr>
        <w:pStyle w:val="Normal"/>
      </w:pPr>
      <w:r>
        <w:t>filaments, nesoi Tapestry and upholstery fabrics of combed wool/fine animal hair, mixed mainly/solely with man-made staple fibers, weight over 300 g/m2 Tapestry &amp; upholstery fabrics of combed wool/fine animal hair, mixed mainly/solely with man-made staple fibers, weight not over 140 g/m2 Woven fabrics of combed wool/fine animal hair, mixed mainly or solely with man- made staple fibers, nesoi Woven fabrics of combed wool/fine animal hair, nesoi, containing 30 percent or more by weight of silk or silk waste, valued over $33/kg Woven tapestry/upholstery fabrics of combed wool/fine animal hair, con. by wt. under 85% wool/hair &amp; under 30% silk, over 300 g/m2, nesoi Woven tapestry/upholstery fabrics of combed wool/fine animal hair, con. by wt.</w:t>
      </w:r>
    </w:p>
    <w:p>
      <w:pPr>
        <w:pStyle w:val="Normal"/>
      </w:pPr>
      <w:r>
        <w:t>under 85% wool/hair &amp; under 30% silk, n/o 140 g/m2, nesoi Woven fabrics of combed wool or combed fine animal hair, nesoi Woven fabrics of coarse animal hair or of horsehair Cotton, not carded or combed, having a staple length under 19.05 mm (3/4 inch), harsh or rough Cotton, n/carded or combed, having a staple length &lt; 28.575 mm (1-1/8 inches), n/harsh or rough, described in gen. note 15 Cotton, n/carded or combed, having a staple length &lt; 28.575 mm (1-1/8 inches), n/harsh or rough, quota described in ch 52 add’l US note 5 Cotton, not carded or combed, having a staple length under 28.575 mm (1-1/8 inches), n/harsh or rough, nesoi * Cotton, not carded or combed, staple length of 28.575 mm or more but under 34.925 mm, described in gen.</w:t>
      </w:r>
    </w:p>
    <w:p>
      <w:pPr>
        <w:pStyle w:val="Normal"/>
      </w:pPr>
      <w:r>
        <w:t>note 15 Cotton,n/carded or combed,harsh or rough,staple length 29.36875 mm or more but n/o 34.925 mm,white in color,quota descrd ch 52 add US note 6 Cotton, not carded or combed, harsh or rough, staple length of 29.36875 mm or more but under 34.925 mm &amp; white in color, nesoi * Cotton, not carded or combed, staple length of 28.575 mm or more but under 34.925 mm, other, quota described in chapter 52 add’l US note 7 Cotton, not carded or combed, staple length of 28.575 mm or more but under 34.925 mm, nesoi * Cotton, not carded or combed, having a staple length of 34.925 mm or more, described in the gen.</w:t>
      </w:r>
    </w:p>
    <w:p>
      <w:pPr>
        <w:pStyle w:val="Normal"/>
      </w:pPr>
      <w:r>
        <w:t>note 15 Cotton, not carded or combed, having a staple length of 34.925 mm or more, quota described in chapter 52 add’l US note 8 Cotton, not carded or combed, having a staple length of 34.925 mm or more, nesoi * Cotton yarn waste (including thread waste) Cotton garnetted stock Cotton card strips made from cotton waste having staple length under 30.1625 mm &amp; lap, sliver &amp; roving waste described in gen. nte 15 Cotton card strips made from cotton waste w/staple length under 30.1625 mm &amp; lap, sliver &amp; roving waste, quota dscrbd in ch 52 add US note 9 Cotton card strips made from cotton waste having staple length under 30.1625 mm &amp; lap, sliver &amp; roving waste, nesoi * Cotton waste, other than yarn waste and garnetted stock, nesoi Cotton fibers, carded or combed, of cotton fiber processed but not spun, described in gen.</w:t>
      </w:r>
    </w:p>
    <w:p>
      <w:pPr>
        <w:pStyle w:val="Normal"/>
      </w:pPr>
      <w:r>
        <w:t>note 15 Cotton fibers, carded or combed, of cotton fiber processed but not spun, quota described in chapter 52 add’l US note 10 Cotton fibers, carded or combed, of cotton fiber processed, but not spun, nesoi * Cotton carded or combed, excluding fibers of cotton processed but not spun Cotton sewing thread, containing 85 percent or more by weight of cotton, not put up for retail sale Cotton sewing thread, containing less than 85 percent by weight of cotton, not put up for retail sale Cotton sewing thread, put up for retail sale Single cotton yarn, 85% or more cotton by weight, of uncombed fibers, not over 14 nm, unbleached, not mercerized, not put up for retail sale Single cotton yarn, 85% or more cotton by weight, of uncombed fibers, n/o 14 nm, bleached or mercerized Single cotton yarn, 85% or more cotton, of uncombed fibers, over 14 but n/o 43 nm, unbleached, not mercerized, not put up for retail sale Single cotton yarn, 85% or more cotton by weight,</w:t>
      </w:r>
    </w:p>
    <w:p>
      <w:pPr>
        <w:pStyle w:val="Normal"/>
      </w:pPr>
      <w:r>
        <w:t>of uncombed fibers, over 14 nm but n/o 43 nm, bleached or mercerized Single cotton yarn, 85% or more cotton, of uncombed fibers, over 43 but n/o 52 nm, unbleached, not mercerized, not put up for retail sale Single cotton yarn, 85% or more cotton, of uncombed fibers, over 43 nm but n/o 52 mm, bleached or mercerized Single cotton yarn, 85% or more cotton, of uncombed fibers, over 52 but n/o 80 nm, unbleached, not mercerized, not put up for retail sale Single cotton yarn, 85% or more cotton by weight, of uncombed fibers, over 52</w:t>
      </w:r>
    </w:p>
    <w:p>
      <w:pPr>
        <w:pStyle w:val="Normal"/>
      </w:pPr>
      <w:r>
        <w:t>but n/o 80 nm, bleached or mercerized Single cotton yarn, 85% or more cotton, of uncombed fibers, over 80 nm, unbleached, not mercerized, not put up for retail sale Single cotton yarn, 85% or more cotton, of uncombed fibers, over 80 nm, bleached or mercerized, not put up for retail sale, nesoi Single cotton yarn, 85% or more cotton by weight, of combed fibers, not over 14 nm, not put up for retail sale Single cotton yarn, 85% or more cotton by weight, of combed fibers, over 14 but n/o 43 nm, not put up for retail sale Single cotton yarn, 85% or more cotton by weight, of combed fibers, over 43 but n/o 52 nm, not put up for retail sale Single cotton yarn, 85% or more cotton by weight, of combed fibers, over 52 but n/o 80 nm, not put up for retail sale Single cotton yarn,85% or &gt; cotton by wt, of combed fiber, meas.&lt;125 but not&lt;106.38 decitex, &gt;80nm but not &gt;94nm, not put up for retail</w:t>
      </w:r>
    </w:p>
    <w:p>
      <w:pPr>
        <w:pStyle w:val="Normal"/>
      </w:pPr>
      <w:r>
        <w:t>sale Single cotton yarn,85% or &gt; cotton by wt,of combed fiber,meas.&lt;106.38 but not&lt;83.33 decitex, &gt;94nm but not &gt;120nm,not put up for retail sale Single cotton yarn, 85% or &gt; cotton by wt, of combed fibers, meas.&lt;83.33 decitex, &gt;120 nm, not put up for retail sale Multiple or cabled cotton yarn, 85% or more cotton by weight, of uncombed fibers, n/o 14 nm per single yarn, not put up for retail sale Multiple or cabled cotton yarn, 85% or more cotton by weight, of uncombed fibers, yarn over 14 but n/o 43 nm, not put up for retail sale Multiple or cabled cotton yarn, 85% or more cotton by weight, of</w:t>
      </w:r>
    </w:p>
    <w:p>
      <w:pPr>
        <w:pStyle w:val="Normal"/>
      </w:pPr>
      <w:r>
        <w:t>uncombed fibers, yarn over 43 but n/o 52 nm, not put up for retail sale Multiple or cabled cotton yarn, 85% or more cotton by weight, of uncombed fibers, yarn over 52 but n/o 80 nm, not put up for retail sale Multiple or cabled cotton yarn, 85% or more cotton by weight, of uncombed fibers, over 80 nm per single yarn, not put up for retail sale Multiple or cabled cotton yarn, 85% or more cotton by weight, of combed fibers, not over 14 nm per single yarn, not put up for retail sale Multiple or cabled cotton yarn, 85% or more cotton by weight, of combed fibers, yarn over 14 but n/o 43 nm, not put up for retail sale Multiple or cabled cotton yarn, 85% or more cotton by weight, of combed fibers, yarn over 43 but n/o 52 nm, not put up for retail sale Multiple or cabled cotton yarn, 85% or more cotton by weight, of combed fibers, yarn over 52 but n/o 80 nm,</w:t>
      </w:r>
    </w:p>
    <w:p>
      <w:pPr>
        <w:pStyle w:val="Normal"/>
      </w:pPr>
      <w:r>
        <w:t>not put up for retail sale Multiple or cabled cotton yarn, 85% or &gt; cotton by wt, of combed fibers, &gt;80nm but not &gt;94nm/single yarn, not put up for retail sale Multiple or cabled cotton yarn, 85% or &gt; cotton by wt, of combed fibers, &gt;94nm but not &gt;120nm/single yarn, not put up for retail sale Multiple or cabled cotton yarn, 85% or &gt; cotton by wt, of combed fibers, &gt;120nm per single yarn, not put up for retail sale Single cotton yarn, less than 85 percent cotton by weight, of uncombed fibers, not over 14 nm, not put up for retail sale Single cotton yarn, less than 85 percent cotton by weight, of uncombed fibers, over 14 but n/o</w:t>
      </w:r>
    </w:p>
    <w:p>
      <w:pPr>
        <w:pStyle w:val="Normal"/>
      </w:pPr>
      <w:r>
        <w:t>43 nm, not put up for retail sale Single cotton yarn, less than 85 percent cotton by weight, of uncombed fibers, over 43 but n/o 52 nm, not put up for retail sale Single cotton yarn, less than 85 percent cotton by weight, of uncombed fibers, over 52 but n/o 80 nm, not put up for retail sale Single cotton yarn, less than 85 percent cotton by weight, of uncombed fibers, over 80 nm, not put up for retail sale Single cotton yarn, less than 85 percent cotton by weight, of combed fibers, not over 14 nm, not put up for retail sale Single cotton yarn, less than 85 percent cotton by weight, of combed fibers, over 14 but n/o 43 nm, not put up for retail sale Single cotton yarn, less than 85 percent cotton by weight, of combed fibers, over 43 but n/o 52 nm, not put up for retail sale Single cotton yarn, less than 85 percent cotton by weight, of combed fibers, over 52 but n/o</w:t>
      </w:r>
    </w:p>
    <w:p>
      <w:pPr>
        <w:pStyle w:val="Normal"/>
      </w:pPr>
      <w:r>
        <w:t>80 nm, not put up for retail sale Single cotton yarn, less than 85 percent cotton by weight, of combed fibers, over 80 nm, not put up for retail sale Multiple or cabled cotton yarn, &lt; 85% cotton by weight, of uncombed fibers, not over 14 nm per single yarn, not put up for retail sale Multiple or cabled cotton yarn, &lt; 85% cotton by weight, of uncombed fibers, over 14 but n/o 43 nm/single yarn, not put up for retail sale Multiple or cabled cotton yarn, &lt; 85% cotton by weight, of uncombed fibers, over 43 but n/o 52 nm/single yarn, not put up for retail sale Multiple or cabled cotton yarn, &lt; 85% cotton by weight, of</w:t>
      </w:r>
    </w:p>
    <w:p>
      <w:pPr>
        <w:pStyle w:val="Normal"/>
      </w:pPr>
      <w:r>
        <w:t>uncombed fibers, over 52 but n/o 80 nm/single yarn, not put up for retail sale Multiple or cabled cotton yarn, &lt; 85% cotton by weight, of uncombed fibers, over 80 nm per single yarn, not put up for retail sale Multiple or cabled cotton yarn, &lt; 85% cotton by weight, of combed fibers, n/o 14 nm per single yarn, not put up for retail sale Multiple or cabled cotton yarn, &lt; 85% cotton by weight, of combed fibers, over 14 but n/o 43 nm per single yarn, not put up for retail sale Multiple or cabled cotton yarn, &lt; 85% cotton by weight, of combed fibers, over 43 but n/o 52 nm per single yarn, not put up for retail sale Multiple or cabled cotton yarn, &lt; 85% cotton by weight, of combed fibers, over 52 but n/o 80 nm per single yarn, not put up for retail sale Multiple or cabled cotton yarn, &lt; 85% cotton by weight, of combed fibers, over 80 nm per single yarn, not put</w:t>
      </w:r>
    </w:p>
    <w:p>
      <w:pPr>
        <w:pStyle w:val="Normal"/>
      </w:pPr>
      <w:r>
        <w:t>up for retail sale Cotton yarn, other than sewing thread, containing 85 percent or more cotton by weight, put up for retail sale Cotton yarn, other than sewing thread, containing less than 85 percent cotton by weight, put up for retail sale Woven cotton fabric, 85% or more cotton by weight, plain weave, weight not over 100 g/m2, unbleached, of number 42 or lower Woven cotton fabric, 85% or more cotton by weight, plain weave, weight not over 100 g/m2, unbleached, of numbers 43-68 Woven cotton fabric, 85% or more cotton by weight, plain weave, wt n/o 100 g/m2, unbleached, of number 69 or over, for typewriter ribbon Woven</w:t>
      </w:r>
    </w:p>
    <w:p>
      <w:pPr>
        <w:pStyle w:val="Normal"/>
      </w:pPr>
      <w:r>
        <w:t>cotton fabric, 85% or more cotton by weight, plain weave, weight not over 100 g/m2, unbleached, of number 69 or over, nesoi Woven cotton fabric, 85% or more cotton by weight, plain weave, weight over 100 but n/o 200 g/m2, unbleached, of numbers 42 or lower Woven cotton fabric, 85% or more cotton by weight, plain weave, weight over 100 but n/o 200 g/m2, unbleached, of numbers 43-68 Woven cotton fabric, 85% or more cotton by weight, plain weave, weight over 100 but n/o 200 g/m2, unbleached, of number 69 or over Unbleached 3- or 4-thread twill fabrics of cotton, incl.</w:t>
      </w:r>
    </w:p>
    <w:p>
      <w:pPr>
        <w:pStyle w:val="Normal"/>
      </w:pPr>
      <w:r>
        <w:t>cross twill, containing 85% or more of cotton by weight, weighing not over 200 g/m2 Unbleached satin or twill weave fabrics of cotton, containing 85% or more cotton by weight, weighing not more than 200 g/m2, nesoi Unbleached woven fabrics of cotton, nesoi, 85% or more of cotton by weight, weighing not more than 200 g/m2, of number 42 or lower Unbleached woven fabrics of cotton, nesoi, 85% or more of cotton by weight, weighing not more than 200 g/m2, of numbers 43-68 Unbleached woven fabrics of cotton, nesoi, 85% or more of cotton by weight, weighing not more than 200 g/m2, of number 69 or higher Woven cotton fabric, 85 percent or more cotton by weight, plain weave, not over 100 g/m2, bleached, of number 42 or lower Woven cotton fabric, 85% or more cotton by weight, plain weave, not over 100 g/m2, bleached, of numbers 43-68 Woven cotton fabric, 85% or more cotton by weight, plain weave, not over 100 g/m2,</w:t>
      </w:r>
    </w:p>
    <w:p>
      <w:pPr>
        <w:pStyle w:val="Normal"/>
      </w:pPr>
      <w:r>
        <w:t>bleached, of number 69 or higher Woven cotton fabric, 85% or more cotton by weight, plain weave, over 100 but n/o 200 g/m2, bleached, of number 42 or lower Woven cotton fabric, 85% or more cotton by weight, plain weave, over 100 but n/o 200 g/m2, bleached, of numbers 43-68 Woven cotton fabric, 85% or more cotton by weight, plain weave, over 100 but n/o 200 g/m2, bleached, of number 69 or higher Woven cotton fabric, &gt;= 85% by wt. cotton, &lt;= 200 g/m2, bleached, exc.</w:t>
      </w:r>
    </w:p>
    <w:p>
      <w:pPr>
        <w:pStyle w:val="Normal"/>
      </w:pPr>
      <w:r>
        <w:t>plain weave, 3- or 4-thread twill Bleached satin or twill weave fabrics, containing 85% or more cotton by weight, weighing not more than 200 g/m2, nesoi Bleached woven fabrics of cotton, nesoi, 85% or more cotton by weight, weighing not more than 200 g/m2, of number 42 or lower Bleached woven fabrics of cotton, nesoi, containing 85% or more cotton by weight, weighing not more than 200 g/m2, of numbers 43-68 Bleached woven fabrics of cotton, nesoi, containing 85% or more cotton by weight, weighing not more than 200 g/m2, of number 69 or higher Dyed plain weave certified hand-loomed fabrics of cotton, containing 85% or more cotton by weight, weighing not more than 100 g/m2 Dyed plain weave fabrics of cotton, containing 85% or more cotton by weight, weighing not more than 100 g/m2, of number 42 or lower, nesoi Dyed plain weave fabrics of cotton, containing 85% or more cotton by weight, weighing not more than 100 g/m2, of numbers 43-68, nesoi Dyed plain weave fabrics of cotton, containing 85% or more cotton by weight,</w:t>
      </w:r>
    </w:p>
    <w:p>
      <w:pPr>
        <w:pStyle w:val="Normal"/>
      </w:pPr>
      <w:r>
        <w:t>weighing not more than 100 g/m2, of number 69 or higher, nesoi Dyed plain weave certified hand-loomed fabrics of cotton, cont.</w:t>
      </w:r>
    </w:p>
    <w:p>
      <w:pPr>
        <w:pStyle w:val="Normal"/>
      </w:pPr>
      <w:r>
        <w:t>85% or more cotton by weight, weighing over 100 g/m2 but not over 200 g/m2 Dyed plain weave fabrics of cotton, nesoi, 85% or more cotton by weight, over 100 g/m2 but not more than 200 g/m2, of number 42 or lower Dyed plain weave fabrics of cotton, nesoi, 85% or more cotton by weight, over 100 g/m2 but not more than 200 g/m2, of numbers 43-68 Dyed plain weave fabrics of cotton, nesoi, 85% or more cotton by weight, over 100 g/m2 but not more than 200 g/m2, of number 69 or higher Dyed 3- or 4-thread twill fabrics of cotton, including cross twill, 85% or more cotton by weight, weighing not more than 200 g/m2 Dyed satin or twill weave fabrics of cotton, containing 85% or more cotton by weight, weighing not more than 200 g/m2, nesoi Dyed woven fabrics of cotton, nesoi, containing 85% or more cotton by weight, weighing not more than 200 g/m2, of number 42 or lower Dyed woven fabrics of cotton, nesoi, containing</w:t>
      </w:r>
    </w:p>
    <w:p>
      <w:pPr>
        <w:pStyle w:val="Normal"/>
      </w:pPr>
      <w:r>
        <w:t>85% or more cotton by weight, weighing not more than 200 g/m2, of numbers 43-68 Dyed woven fabrics of cotton, nesoi, containing 85% or more cotton by weight, weighing not more than 200 g/m2, of number 69 or higher Plain weave certified hand-loomed fabrics of cotton, 85% or more cotton by weight, weighing not over 100 g/m2, of yarns of different colors Plain weave fabrics of cotton, 85% or more cotton by weight, weighing not over 100 g/m2, number 42</w:t>
      </w:r>
    </w:p>
    <w:p>
      <w:pPr>
        <w:pStyle w:val="Normal"/>
      </w:pPr>
      <w:r>
        <w:t>or lower, of yarns of different colors Plain weave fabrics of cotton, 85% or more cotton by weight, weighing not over 100 g/m2, of numbers 43-68, of yarns of different colors Plain weave fabrics of cotton, 85% or more cotton by weight, weighing not over 100 g/m2, of number 69 or higher, of yarn of different colors Plain weave certified hand-loomed fabrics of cotton, 85% or more cotton by weight, over 100 but n/o 200 g/m2, of yarns of different colors Plain weave fabrics of cotton, 85% or more cotton by weight, over 100 but n/o 200 g/m2, of numbers 42 or lower, of yarns of different colors Plain weave fabrics of cotton, 85% or more cotton by weight, over 100 but n/o 200 g/m2, of numbers 43-68, of yarns of different colors Plain weave fabrics of cotton, 85% or more cotton by weight, over 100 but n/o 200 g/m2, number 69 or higher, of yarns of different colors 3- or 4-thread twill fabrics of cotton, including cross twill, 85% or more cotton by weight, not over 200 g/m2, of yarns of different colors Satin or twill weave fabrics of cotton, cont.</w:t>
      </w:r>
    </w:p>
    <w:p>
      <w:pPr>
        <w:pStyle w:val="Normal"/>
      </w:pPr>
      <w:r>
        <w:t>85% or more cotton by weight, weighing not over 200 g/m2, of yarns of different colors, nesoi Woven fabrics of cotton, nesoi, 85% or more cotton by weight, wt not more than 200 g/m2, of number 42 or lower, of yarns of different colors Woven fabrics of cotton, nesoi, 85% or more cotton by weight, wt not over 200 g/m2, of numbers 43-68, of yarns of different colors Woven fabrics of cotton, nesoi, 85% or more cotton by weight, wt not over 200 g/m2, of number 69 or higher, of yarns of different colors Printed certified hand-loomed plain weave fabrics of cotton, 85% or more cotton by weight, weighing not over 100 g/m2 Printed plain weave fabrics of cotton, containg 85% or more cotton by weight, weighing not over 100 g/m2, of number 42 or lower Printed plain weave fabrics of cotton, containing 85% or more cotton by weight, weighing not over 100 g/m2, of numbers 43-68 Printed plain weave fabrics of cotton, containg 85% or more cotton by weight,</w:t>
      </w:r>
    </w:p>
    <w:p>
      <w:pPr>
        <w:pStyle w:val="Normal"/>
      </w:pPr>
      <w:r>
        <w:t>weighing not over 100 g/m2, of number 69 or higher Printed certified hand-loomed plain weave fabrics of cotton, 85% or more cotton by weight, wt more than 100 g/m2 but not more than 200 g/m2 Printed plain weave fabrics of cotton, 85% or more cotton by weight, weighing over 100g/m2 but not more than 200 g/m2, of number 42 or lower Printed plain weave fabrics of cotton, 85% or more cotton by weight, weighing over 100 g/m2 but not more than 200 g/m2, of numbers 43-68 Printed plain weave fabrics of cotton, 85% or more cotton by weight, weighing</w:t>
      </w:r>
    </w:p>
    <w:p>
      <w:pPr>
        <w:pStyle w:val="Normal"/>
      </w:pPr>
      <w:r>
        <w:t>over 100g/m2 but not more than 200g/m2, of number 69 or higher Printed 3- or 4-thread twill fabrics of cotton, including cross twill, 85% or more cotton by weight, weighing not more than 200 g/m2 Printed satin or twill weave fabrics of cotton, containing 85% or more cotton by weight, weighing not more than 200 g/m2, nesoi Printed woven fabrics of cotton, nesoi, containing 85% or more cotton by weight, weighing not more than 200 g/m2, of number 42 or lower Printed woven fabrics of cotton, nesoi, containing 85% or more cotton by weight, weighing not more than 200 g/m2, of numbers 43-68 Printed woven fabrics of cotton, nesoi, containing 85% or more cotton by weight, weighing not more than 200 g/m2, of number 69 or higher Unbleached plain weave fabrics of cotton, 85 percent or more cotton by weight, weight more than 200 g/m2 Unbleached 3- or 4-thread twill fabrics of cotton, including cross twill, 85 percent or more cotton by weight, weighing more than 200 g/m2 Unbleached woven</w:t>
      </w:r>
    </w:p>
    <w:p>
      <w:pPr>
        <w:pStyle w:val="Normal"/>
      </w:pPr>
      <w:r>
        <w:t>fabrics of cotton, nesoi, containing 85% or more cotton by weight, weighing more than 200g/m2 Bleached plain weave fabrics of cotton, 85% or more cotton by weight, weighing more than 200 g/m2 Bleached 3- or 4-thread twill fabrics of cotton, including cross twill, 85 percent or more cotton by weight, weighing more than 200 g/m2 Bleached woven fabrics of cotton, nesoi, containing 85% or more cotton by weight, weighing more than 200g/m2 Dyed, plain weave certified hand-loomed fabrics of cotton, containing</w:t>
      </w:r>
    </w:p>
    <w:p>
      <w:pPr>
        <w:pStyle w:val="Normal"/>
      </w:pPr>
      <w:r>
        <w:t>85% or more cotton by weight, weighing more than 200 g/m2 Dyed, plain weave fabrics of cotton, containing 85% or more cotton by weight, weighing more than 200 g/m2, nesoi Dyed 3- or 4-thread twill fabrics of cotton, including cross twill, containing 85% or more cotton by weight, weighing more than 200 g/m2 Dyed woven fabrics of cotton, nesoi, containing 85% or more cotton by weight, weighing more than 200 g/m2 Plain weave certified hand-loomed fabrics of cotton, cont. 85% or more cotton by weight,weighing over 200 g/m2, of yarns of different colors Plain weave fabrics of cotton, nesoi, containing 85% or more cotton by weight, weighing more than 200 g/m2, of yarns of different colors Denim containing 85% or more cotton by weight, weighing more than 200 g/m2, of yarns of different colors 3- or 4-thread twill fabrics of cotton,incl.</w:t>
      </w:r>
    </w:p>
    <w:p>
      <w:pPr>
        <w:pStyle w:val="Normal"/>
      </w:pPr>
      <w:r>
        <w:t>cross twill, nesoi, 85% or more cotton by wt, weighing ov 200g/m2, of yarns of different colors Woven fabrics of cotton, nesoi, containing 85% or more cotton by weight, weighing more than 200 g/m2, of yarns of different colors Printed plain weave certified hand-loomed fabrics of cotton, containing 85% or more cotton by weight, weighing more than 200 g/m2 Printed plain weave fabrics of cotton, nesoi, containing 85% or more cotton by weight, weighing more than 200 g/m2 Printed 3- or 4-thread twill fabrics of cotton, including cross twill, containing 85% or more cotton by weight, weighing more than 200 g/m2 Printed woven fabrics of cotton, nesoi, containing 85% or more cotton by weight, weighing more than 200 g/m2 Unbleached plain weave fabrics of cotton, &lt; 85% cotton, mixed mainly/solely with man-made fibers, wt &lt; 200 g/m2, of number 42 or lower Unbleached plain weave fabrics of cotton, &lt; 85% cotton, mixed mainly/solely with man-made fibers, wt &lt; 200 g/m2, of numbers 43-68 Unbleached plain weave fabrics of cotton, &lt; 85% cotton, mixed mainly/solely with man-made fibers, wt &lt; 200 g/m2, of number 69 or higher Unbleached 3- or 4-thread twill fabrics of cotton, incl.</w:t>
      </w:r>
    </w:p>
    <w:p>
      <w:pPr>
        <w:pStyle w:val="Normal"/>
      </w:pPr>
      <w:r>
        <w:t>cross twill, &lt; 85% cotton by wt, mixed mainly/solely with mm fibers, n/o 200 g/m2 Unbleached satin or twill weave fabrics of cotton, &lt; 85% cotton by wt, mixed mainly/solely with man-made fibers, not more than 200 g/m2 Unbleached woven fabrics of cotton, nesoi, &lt; 85% cotton by wt, mixed mainly/solely with man-made fibers, n/o 200 g/m2, of number 42 or lower Unbleached woven fabrics of cotton, nesoi, &lt; 85% cotton by wt, mixed mainly/solely with man-made fibers, n/o 200 g/m2, of numbers 43-68 Unbleached woven fabrics of cotton, nesoi, &lt; 85% cotton by wt, mixed mainly/solely w/man-made fibers, n/o 200 g/m2, of number 69 or higher Bleached plain weave fabrics of cotton, &lt; 85% cotton by wt, mixed mainly/solely with man-made fibers, n/o 200 g/m2, of number 42 or lower Bleached plain weave fabrics of cotton, &lt; 85% cotton by wt, mixed mainly/solely with man-made fibers, not over 200 g/m2, of numbers 43-68 Bleached plain weave fabrics of cotton, &lt; 85% cotton by wt, mixed mainly/solely with man-made fibers, n/o 200 g/m2, of number 69 or higher Bleached 3- or 4-thread twill fabrics of cotton, incl.</w:t>
      </w:r>
    </w:p>
    <w:p>
      <w:pPr>
        <w:pStyle w:val="Normal"/>
      </w:pPr>
      <w:r>
        <w:t>cross twill, &lt; 85% cotton by wt, mixed mainly/solely w/man-made fibers, n/o 200 g/m2 Bleached satin or twill weave fabrics of cotton, &lt; 85% cotton by weight, mixed mainly/solely with man-made fibers, not more than 200 g/m2 Bleached woven fabrics of cotton, nesoi, &lt; 85% cotton by weight, mixed mainly/solely w/man-made fibers, n/o 200 g/m2, of number 42 or lower Bleached woven fabrics of cotton, nesoi, &lt; 85% cotton by weight, mixed mainly/solely with man-made fibers, n/o 200 g/m2, of numbers 43-68 Bleached woven fabrics of cotton, nesoi, &lt; 85% cotton by wt, mixed mainly/solely with man-made fibers, n/o 200 g/m2, of number 69 or higher Dyed plain weave fabrics of cotton, &lt; 85% cotton by wt, mixed mainly/solely with man- made fibers, not over 200 g/m2, of number 42 or lower Dyed plain weave fabrics of cotton, &lt; 85% cotton by wt, mixed mainly/solely with man- made fibers, not over 200 g/m2, of numbers 43-68 Dyed plain weave cotton fabrics, &lt; 85% cotton by wt, mixed mainly/solely with man- made fibers, not over 200 g/m2, of number 69 or higher Dyed 3 or 4-thread twill fabrics of cotton, incl.</w:t>
      </w:r>
    </w:p>
    <w:p>
      <w:pPr>
        <w:pStyle w:val="Normal"/>
      </w:pPr>
      <w:r>
        <w:t>cross twill, &lt; 85% cotton by wt, mixed mainly/solely with man-made fibers, wt n/o 200 g/m2 Dyed satin or twill weave fabrics of cotton, &lt; 85% cotton by wt, mixed mainly/solely with man-made fibers, weighing not more than 200 g/m2 Dyed woven fabrics of cotton, nesoi, &lt; 85% cotton by weight, mixed mainly/solely w/man-made fibers, not over 200 g/m2, of number 42 or lower Dyed woven fabrics of cotton, nesoi, &lt; 85% cotton by weight, mixed mainly/solely w/man-made fibers, not over 200 g/m2, of numbers 43-68 Dyed woven fabrics of cotton, nesoi, &lt; 85% cotton by wt, mixed mainly/solely w/man made fibers, not over 200 g/m2, of number 69 or higher Plain weave cotton fabrics, &lt; 85% cotton by wt, mixed mainly/solely w/mm fibers, n/o 200 g/m2, of number 42 or lower, of yarn of diff colors Plain weave cotton fabrics, &lt; 85% cotton by wt, mixed mainly/solely w/mm fibers, n/o 200 g/m2, of numbers 43-68, of yarn of different colors Plain weave cotton fabrics, &lt; 85% cotton by wt, mixed mainly/solely w/mm fibers, n/o 200 g/m2, number 69 or higher, of yarn of diff colors 3- or 4-thread twill fabrics of cotton,incl.</w:t>
      </w:r>
    </w:p>
    <w:p>
      <w:pPr>
        <w:pStyle w:val="Normal"/>
      </w:pPr>
      <w:r>
        <w:t>cross twill,&lt; 85% cotton by wt,mixed mainly/solely w/mm fibers,n/o 200 g/m2,of yarn diff colors Satin or twill weave fabrics of cotton,&lt; 85% cotton by wt,mixed mainly/solely w/mm fibers, wt n/o 200g/m2, of yarn of different colors,nesoi Woven fabrics of cotton,nesoi,&lt; 85% cotton by wt,mixed mainly/solely w/mm fibers, n/o 200g/m2, of number 42 or lower, of yarn of diff colors Woven fabrics of cotton,nesoi,&lt; 85% cotton by wt,mixed mainly/solely w/man-made fibers, n/o 200 g/m2, numbers 43-68, of yarn of diff colors Woven fabrics of cotton, nesoi, &lt; 85% cotton by wt, mixed mainly with m-m fibers, n/o 200 g/m2, number 69 or higher, of yarn of diff colors Printed plain weave cotton fabrics, &lt; 85% cotton by wt, mixed mainly/solely with man- made fibers, n/o 200 g/m2, of number 42 or lower Printed plain weave cotton fabrics, &lt; 85% cotton by wt, mixed mainly/solely with man- made fibers, n/o 200 g/m2, of numbers 43-68 Printed plain weave cotton fabrics, &lt; 85% cotton by weight, mixed mainly/solely with man-made fibers, n/o 200 g/m2, of number 69 or higher Printed 3- or 4-thread twill fabrics of cotton, incl.</w:t>
      </w:r>
    </w:p>
    <w:p>
      <w:pPr>
        <w:pStyle w:val="Normal"/>
      </w:pPr>
      <w:r>
        <w:t>cross twill, &lt; 85% cotton by wt, mixed mainly/solely w/man-made fibers, n/o 200 g/m2 Printed satin or twill weave cotton fabrics, nesoi, &lt; 85% cotton by wt, mixed mainly/solely with man-made fibers, weighing n/o 200 g/m2 Printed woven fabrics of cotton, nesoi, &lt; 85% cotton by wt, mixed mainly/solely with man-made fibers, wt n/o 200g/m2, of number 42 or lower Printed woven fabrics of cotton, nesoi, &lt; 85% cotton by wt, mixed mainly/solely with man-made fibers, weighing n/o 200g/m2, of numbers 43-68 Printed woven fabrics of cotton, nesoi, &lt; 85% cotton by wt, mixed mainly/solely w/man-made fibers, weighing n/o 200g/m2, number 69 or higher Unbleached plain weave fabrics of cotton, &lt; 85% cotton by wt, mixed mainly/solely with man-made fibers, over 200 g/m2 Unbleached 3- or 4-thread twill fabrics of cotton, incl. cross twill, &lt; 85% cotton by wt, mixed mainly/solely w/man-made fiber, ov 200 g/m2 Unbleached woven fabrics of cotton, nesoi, containing &lt; 85% cotton by weight, mixed mainly/solely with man-made fibers, more than 200 g/m2 Bleached plain weave fabrics of cotton, &lt; 85% cotton by weight, mixed mainly/solely with man-made fibers, over 200 g/m2 Bleached 3- or 4-thread twill fabrics of cotton, incl.</w:t>
      </w:r>
    </w:p>
    <w:p>
      <w:pPr>
        <w:pStyle w:val="Normal"/>
      </w:pPr>
      <w:r>
        <w:t>cross twill, &lt; 85% cotton by wt, mixed mainly/solely w/man-made fibers, over 200 g/m2 Bleached woven fabrics of cotton, nesoi, containing &lt; 85% cotton by weight, mixed mainly/solely with man-made fibers, more than 200g/m2 Dyed plain weave fabrics of cotton, containing &lt; 85% cotton by weight, mixed mainly/solely with man-made fibers, more than 200 g/m2 Dyed 3- or 4-thread twill fabrics of cotton, incl.</w:t>
      </w:r>
    </w:p>
    <w:p>
      <w:pPr>
        <w:pStyle w:val="Normal"/>
      </w:pPr>
      <w:r>
        <w:t>cross twill, &lt; 85% cotton by wt, mixed mainly/solely w/man-made fibers, more than 200g/m2 Dyed woven fabrics of cotton, nesoi, &lt; 85% cotton by weight, mixed mainly/solely with man-made fibers, weighing more than 200g/m2 Plain weave fabrics of cotton, &lt; 85% cotton by weight, mixed mainly/solely with man- made fibers, over 200g/m2, of yarns of different colors Denim containing &lt; 85% cotton by wt, mixed mainly/solely w/man-made fibers, weighing &gt; 200 g/m2, of yarns of different colors 3-or 4-thread twill fab of cotton,incl cross twill,nesoi,&lt; 85% cotton wt,mixed mainly/solely w/mm fibers,ov 200 g/m2, of yarn of diff colors Woven fabrics of cotton, nesoi, &lt; 85% cotton by weight, mixed mainly/solely w/manmade fibers, over 200g/m2, of yarns of different colors Printed plain weave fabrics of cotton, &lt; 85% cotton by wt, mixed mainly/solely with man-made fibers, weighing more than 200g/m2 Printed 3- or 4-thread twill fabrics of cotton, incl cross twill, &lt; 85% cotton by wt, mixed mainly/solely with man-made fibers, over 200g/m2 Printed woven fabrics of cotton, nesoi, &lt; 85% cotton by</w:t>
      </w:r>
    </w:p>
    <w:p>
      <w:pPr>
        <w:pStyle w:val="Normal"/>
      </w:pPr>
      <w:r>
        <w:t>weight, mixed mainly/solely with man-made fibers, weighing more than 200g/m2 Other woven fabrics of cotton, containing 36% or more by weight of wool or fine hair, weighing not more than 200 g/m2, unbleached Other woven fabrics of cotton, nesoi, weighing not more than 200 g/m2, unbleached Other woven fabrics of cotton, containing 36% or more by weight of wool or fine hair, weighing not more than 200 g/m2, bleached Other woven fabrics of cotton, nesoi, weighing not more than 200 g/m2, bleached Other woven fabrics of cotton, containing 36% or more by weight of wool or fine hair, weighing not more than 200 g/m2, dyed Other woven fabrics of cotton, nesoi, weighing not more than 200 g/m2, dyed Other woven fabrics of cotton, containing 36% or more of wool or fine hair, weighing not more than 200 g/m2, of yarns of different colors Other woven fabrics of cotton, nesoi, weighing not more than 200 g/m2, of yarns of different colors Other woven fabrics of cotton, containing 36% or more by</w:t>
      </w:r>
    </w:p>
    <w:p>
      <w:pPr>
        <w:pStyle w:val="Normal"/>
      </w:pPr>
      <w:r>
        <w:t>weight of wool or fine hair, weighing not more than 200 g/m2, printed Other woven fabrics of cotton, nesoi, weighing not more than 200 g/m2, printed Other woven fabrics of cotton, containing 36% or more by weight of wool or fine hair, weighing more than 200 g/m2, unbleached Other woven fabrics of cotton, nesoi, weighing more than 200 g/m2, unbleached Other woven fabrics of cotton, containing 36% or more by weight of wool or fine hair, weighing more than 200 g/m2, bleached Other woven fabrics of cotton,</w:t>
      </w:r>
    </w:p>
    <w:p>
      <w:pPr>
        <w:pStyle w:val="Normal"/>
      </w:pPr>
      <w:r>
        <w:t>nesoi, weighing more than 200 g/m2, bleached Other woven fabrics of cotton, containing 36% or more by weight of wool or fine hair, weighing more than 200 g/m2, dyed Other woven fabrics of cotton, nesoi, weighing more than 200 g/m2, dyed Other woven fabrics of cotton,containing 36% or more by weight of wool or fine hair,weighing more than 200 g/m2,of yarns of different colors Other woven fabrics of cotton, nesoi, weighing more than 200 g/m2, of yarns of different colors Other woven fabrics of cotton, containing 36% or more by weight of wool or fine hair, weighing more than 200 g/m2, printed Other woven fabrics of cotton, nesoi, weighing more than 200 g/m2, printed Flax, raw or retted Flax, broken or scutched Flax, hackled or otherwise processed, except broken or scutched but not spun Flax tow and waste (including yarn waste and garnetted stock) True hemp, raw or retted True hemp, processed but not spun;</w:t>
      </w:r>
    </w:p>
    <w:p>
      <w:pPr>
        <w:pStyle w:val="Normal"/>
      </w:pPr>
      <w:r>
        <w:t>tow and waste of true hemp (including yarn waste and garnetted stock) Jute and other textile bast fibers (excluding flax, true hemp and ramie), raw or retted Jute and other textile bast fibers (excluding flax, true hemp and ramie), processed but not spun; tow and waste of these fibers Coconut, abaca, ramie, other veg. fibers, nesoi, raw or processed, not spun; tow noils and their wastes (incl.</w:t>
      </w:r>
    </w:p>
    <w:p>
      <w:pPr>
        <w:pStyle w:val="Normal"/>
      </w:pPr>
      <w:r>
        <w:t>yarn waste and garnetted stoc Flax yarn, single Flax yarn, multiple (folded) or cabled Yarn of jute or other textile bast fibers (excluding flax, true hemp, and ramie), single Yarn of jute or other textile bast fibers (excluding flax, true hemp, and ramie), multiple (folded) or cabled Coir yarn True hemp yarn Paper yarn Yarn of other vegetable textile fibers, nesoi Woven fabrics of flax, containing 85 percent or more by weight of flax, unbleached or bleached Woven fabrics of flax, containing 85 percent or more by weight of flax, other than unbleached or bleached Woven fabrics of flax, containing less than 85% by weight of flax, containing over 17% of wool or fine animal hair, unbleached or bleached Woven fabrics of flax, &lt; 85% by wt of flax, unbleached or bleached, containing &lt; 17% by wt of wool and containing cotton and manmade fibers Woven fabrics of flax, containing less than 85 percent by weight of flax, unbleached or bleached, nesoi Woven fabrics of flax, containing &lt; 85% by</w:t>
      </w:r>
    </w:p>
    <w:p>
      <w:pPr>
        <w:pStyle w:val="Normal"/>
      </w:pPr>
      <w:r>
        <w:t>wt of flax, contain over 17% by wt of wool or fine animal hair, other than unbleached or bleached Woven fabrics of flax, less than 85% by wt of flax, containing less than 17% by wt of wool and containing cotton and manmade fibers, nesoi Woven fabrics of flax, containing less than 85 percent by weight of flax, other than unbleached or bleached, nesoi Unbleached woven fabrics of jute or of other textile bast fibers of heading 5303 Woven fabrics of jute or of other textile bast fibers of heading 5303,</w:t>
      </w:r>
    </w:p>
    <w:p>
      <w:pPr>
        <w:pStyle w:val="Normal"/>
      </w:pPr>
      <w:r>
        <w:t>other than unbleached Woven fabrics of other vegetable textile fibers, containing more than 17% by weight of wool or fine animal hair Woven fabrics of other vegetable textile fibers, containing cotton and manmade fibers, nesoi Woven fabrics of other vegetable textile fibers, nesoi Woven fabrics of paper yarn Sewing thread of synthetic filaments, whether or not put up for retail sale Sewing thread of artificial filaments, whether or not put up for retail sale Single high tenacity yarn of aramids, not put up for retail sale Multiple (folded) or cabled high tenacity yarn (except sewing thread) of aramids, not put up for retail sale Single high tenacity yarn of nylon or polyamides (except aramids), not put up for retail sale Multiple (folded) or cabled high tenacity yarn (except sewing thread) of nylon or other polyamides (except aramids), not put up for retail s Single high tenacity yarn of polyesters, not put up for retail sale Multiple (folded) or cabled high tenacity yarn (except sewing thread) of polyesters, not put up</w:t>
      </w:r>
    </w:p>
    <w:p>
      <w:pPr>
        <w:pStyle w:val="Normal"/>
      </w:pPr>
      <w:r>
        <w:t>for retail sale Single textured yarn, of nylon or other polyamides, measuring not more than 500 decitex, not put up for retail sale Multiple or cabled textured yarn (except sewing thread), of polyamides, single yarn not more than 500 decitex, not put up for retail sale Single textured yarn, of nylon or other polyamides, measuring more than 500 decitex, not put up for retail sale Multiple or cabled textured yarn (except sewing thread), of polyamides, single</w:t>
      </w:r>
    </w:p>
    <w:p>
      <w:pPr>
        <w:pStyle w:val="Normal"/>
      </w:pPr>
      <w:r>
        <w:t>yarn more than 500 decitex, not put up for retail sale Single textured yarn of polyesters, not put up for retail sale Multiple or cabled textured yarn (except sewing thread), of polyesters, not put up for retail sale Single textured polypropylene yarn, not put up for retail sale Multiple or cabled textured polypropylene yarn (except sewing thread), not put up for retail sale Single textured yarn, nesoi, not put up for retail sale Multiple or cabled textured yarn (except sewing thread), nesoi, not put up for retail sale Single elastomeric yarns, monofil, untwisted or with a twist not exceeding 50 turns per meter, not for retail sale Synth filament yarn, for doll wigs, of colored multifil, untwisted/with twist &lt; 5 turns/meter, of nylon or other polyamide, not retail sale Syn filament yarn (not for doll wigs), of colored multifil, untwisted/with twist &lt; 5 turns/meter, of nylon or o/polyamides, not retail sale Non-textured yarn of polyesters, partially oriented, single, untwisted or with a twist not exceeding 50 turns/m, not put up</w:t>
      </w:r>
    </w:p>
    <w:p>
      <w:pPr>
        <w:pStyle w:val="Normal"/>
      </w:pPr>
      <w:r>
        <w:t>for retail sale Single yarn, twist of 0-50 turns/m, wholly polyester, 75-80 decitex, 24 filaments, nesoi, not put up for retail sale Single yarn, twist of 0-50 turns/m, other than wholly of polyester, nesoi, not put up for retail sale Non-textured polypropylene yarns, monofil, untwisted or with a twist not exceeding 50 turns per meter, not for retail sale Colored multifilament yarn to be used to make wigs for dolls, of modacrylic, untwisted or</w:t>
      </w:r>
    </w:p>
    <w:p>
      <w:pPr>
        <w:pStyle w:val="Normal"/>
      </w:pPr>
      <w:r>
        <w:t>twisted, &lt; 5 turns per meter, not for retail sale Other yarns, monofil; multifil, untwisted or twisted &gt; or = to 5, not exceeding 50 turns per meter of other synthetic, not for retail sale Nylon or other polyamide yarns, single, with a twist exceeding 50 turns/m, not put up for retail sale Single yarn, twist exceeding 50 turns/m, wholly polyester, 75-80 decitex, 24 filaments, nesoi, not put up for retail sale Single yarn, twist exceeding 50 turns/m, other than wholly of polyester, nesoi, not put up for retail sale Synthetic filament yarn of polypropylene: single other twisted yarns exc nylon/polyester, &gt;50 turns/M, not put up for retail sale Synthetic filament yarn nesoi:</w:t>
      </w:r>
    </w:p>
    <w:p>
      <w:pPr>
        <w:pStyle w:val="Normal"/>
      </w:pPr>
      <w:r>
        <w:t>single other twisted yarns exc nylon/polyester, &gt;50 turns/M, not put up for retail sale Nylon or other polyamide yarn, multiple (folded) or cabled, (except sewing thread), not put up for retail sale Polyester yarn, multiple (folded) or cabled, (except sewing thread), not put up for retail sale Synthetic filament yarn exc sewing thread of polypropylene, not for retail sale inc monofilament &lt;67 decitex:other yarn multiple (folded) or cabled Synthetic filament yarn exc sewing thread nesoi, not for retail sale inc monofilament &lt;67 decitex:other yarn multiple (folded) or cabled Single high tenacity yarn of viscose rayon, not put up for retail sale Multiple (folded) or cabled high tenacity yarn of viscose rayon (except sewing thread), not put up for retail sale Single yarn of viscose rayon (not high ten.</w:t>
      </w:r>
    </w:p>
    <w:p>
      <w:pPr>
        <w:pStyle w:val="Normal"/>
      </w:pPr>
      <w:r>
        <w:t>or sewing thread), untwisted or with a twist not over 120 turns/m, not put up for retail sale Single yarn of viscose rayon (not high ten. or sewing thread), with twist exceeding 120 turns/m, not put up for retail sale Single yarn of cellulose acetate (not high ten. or sewing thread), not put up for retail sale Single textured artificial filament yarn (other than sewing thread), not put up for retail sale Artificial filament yarn nesoi, single, not put up for retail sale Viscose rayon yarn (except sewing thread), multiple (folded) or cabled, not put up for retail sale Yarn of cellulose acetate (except sewing thread) multiple (folded) or cabled, not put up for retail sale Multiple (folded) or cabled textured artificial filament yarn (other than sewing thread), not put up for retail sale Multiple (folded) or cabled non-textured artificial filament yarn (other than sewing thread), not put up for retail sale Synthetic monofilament (exc.</w:t>
      </w:r>
    </w:p>
    <w:p>
      <w:pPr>
        <w:pStyle w:val="Normal"/>
      </w:pPr>
      <w:r>
        <w:t>polypropylene), elastomeric, of 67 decitex or more and with no cross-sectional dimension &gt; 1 mm, nesoi Polypropylene monofilament of 67 decitex or more (not racket strings), and with no cross-sectional dim. &gt; 1 mm, not over 254 mm in length Polypropylene monofilament of 67 decitex or more (not racket strings), and with no cross-sectional dim. &gt; 1 mm, over 254 mm in length Racket strings of synthetic monofilament of 67 decitex or more and of which no cross- sectional dimension exceeds 1 mm Synthetic monofilament (exc.</w:t>
      </w:r>
    </w:p>
    <w:p>
      <w:pPr>
        <w:pStyle w:val="Normal"/>
      </w:pPr>
      <w:r>
        <w:t>polypropylene), of 67 decitex or more and with no cross- sectional dimension &gt; 1 mm, nesoi Strip and the like of synthetic textile materials of an apparent width not exceeding 5 mm Artificial monofilament of 67 decitex or more and of which no cross-sectional dimension exceeds 1 mm Strip and the like of artificial textile materials of an apparent width not exceeding 5 mm Synthetic filament yarn (except sewing thread), put up for retail sale Artificial filament yarn (except sewing thread), put up for retail sale Woven fabrics obtained from high tenacity yarn of nylon or other polyamides or of polyesters Woven fabrics obtained from strip or the like of synthetic textile materials Woven fabrics specified in note 9 to section XI, of synthetic filament yarn, over 60 percent by weight of plastics Woven fabrics specified in note 9 to section XI, of synthetic filament yarn, nesoi Woven fabrics, containing 85 percent or more by weight of filaments of nylon or other polyamides, unbleached or bleached Woven fabrics, containing 85 percent or more by weight of filaments of nylon or other polyamides, dyed Woven fabrics, over 85% by wt fil.</w:t>
      </w:r>
    </w:p>
    <w:p>
      <w:pPr>
        <w:pStyle w:val="Normal"/>
      </w:pPr>
      <w:r>
        <w:t>of nylon/other polyamides, of diff colored yarns, thread count over 69-142/cm warp, over 31-71/cm filling Woven fabrics, containing 85 percent or more by weight of filaments of nylon or other polyamides, of yarns of different colors, nesoi Woven fabrics, containing 85 percent or more by weight of filaments of nylon or other polyamides, printed Woven fabrics, containing 85 percent or more by weight of textured polyester filaments, unbleached or bleached Woven fabrics, over 85 percent textured polyester filaments, dyed, less than 77 cm in width, thread count 69-142/cm warp, 31-71/cm filling Woven fabrics, over 85 percent textured polyester filaments, dyed, nesoi Woven fabrics, over 85% textured polyester filaments, of different colored yarns, thread count 69-142/cm warp and 31-71/cm filling Woven fabrics, containing 85 percent or more by weight of textured polyester filaments, of yarns of different colors, nesoi Woven fabrics, containing 85 percent or more by weight of textured polyester filaments, printed Woven fab, dyed, 100% polyester, &lt;77cm wide, &gt;69-142 warp &gt;31-71 filling, of non tex singles yarn, 75-80dtx, 24 fil/yn, twist 900+ turns/m Woven fab,dyed,85%+ non-tex poly.</w:t>
      </w:r>
    </w:p>
    <w:p>
      <w:pPr>
        <w:pStyle w:val="Normal"/>
      </w:pPr>
      <w:r>
        <w:t>fil., &lt;77cm wide, &gt;69-142 warp &gt;31-71 filling (not 100%poly. sin.yarn, 75-80dtx, 24 fil/yn &amp; 900+ turns/m) Woven fab,yn diff colors,&lt;77cm wide, &gt;69-142 warp, &gt;31-71 filling, 100% poly.non tex sin.</w:t>
      </w:r>
    </w:p>
    <w:p>
      <w:pPr>
        <w:pStyle w:val="Normal"/>
      </w:pPr>
      <w:r>
        <w:t>yarn of 75-80 dtx., 24 fil/yn &amp; twist 900+ turns/m Woven fab,85%+ non-tex poly,yn diff colors,&lt;77cm wide,&gt;69-142 warp,&gt;31-71 filling (not 100%poly sin yarn, 75-80dtx,24 fil/yn &amp; 900+ turns/m) Woven fab, 85%+ non-tex poly fil, wholly of polyester, of single yarns 75-80 decitex, 24 fil/yarn &amp; a twist of 900 or more turns/m Woven fab, of 85%+ non-text. polyester filaments, nesoi (not wholly polyester single yarns, 75-80 dtx, 24 fil/yarn &amp; twist 900+ turns/m) Woven fab, containing 85%+ by wt of polyester filaments nesoi, unbleached or bleached Woven fab, containing 85%+ by wt of polyester filaments nesoi, dyed Woven fab, cont. 85%+ by wt polyester filaments nesoi, thread count &gt;69-142/cm in warp &amp; &gt;31-71/cm filling, of yarns of diff. colors Woven fab, containing 85%+ by wt polyester filaments nesoi, of yarns of different colors, nesoi Woven fab, containing 85%+ by wt polyester filaments nesoi, printed Woven fabrics, containing 85 percent or more by weight of synthetic filaments, unbleached or bleached Woven fabrics, containing 85 percent or more by weight of synthetic filaments, dyed Woven fabrics, cont. 85% or more syn.</w:t>
      </w:r>
    </w:p>
    <w:p>
      <w:pPr>
        <w:pStyle w:val="Normal"/>
      </w:pPr>
      <w:r>
        <w:t>filaments by weight, thread count &gt;69-142/cm warp and &gt;31-71/cm filling, of different colored yarns Woven fabrics, containing 85% or more by weight of synthetic filaments, of yarns of different colors, nesoi Woven fabrics, containing 85 percent or more by weight of synthetic filaments, printed Woven fabrics, containing less than 85% by weight of synthetic filaments, mixed mainly or solely with cotton, unbleached or bleached Woven fabrics, containing less than 85 percent by weight of synthetic filaments, mixed mainly or solely with cotton, dyed Woven fabrics, less than 85 percent by weight of synthetic filaments, mixed mainly or solely with cotton, of yarns of different colors Woven fabrics, containing less than 85 percent by weight of synthetic filaments, mixed mainly or solely with cotton, printed Woven fabrics of synthetic filament yarn nesoi, containing 36 percent or more by weight of wool or fine animal hair, unbleached or bleached Woven fabrics of synthetic filament yarn nesoi, mixed mainly or solely with wool or fine animal hair, unbleached or bleached, nesoi Woven fabrics</w:t>
      </w:r>
    </w:p>
    <w:p>
      <w:pPr>
        <w:pStyle w:val="Normal"/>
      </w:pPr>
      <w:r>
        <w:t>of synthetic filament yarn nesoi, unbleached or bleached, nesoi Woven fabrics of synthetic filament yarn nesoi, containing 36 percent or more by weight of wool or fine animal hair, dyed Woven fabrics of synthetic filament yarn nesoi, mixed mainly or solely with wool or fine animal hair, cont.</w:t>
      </w:r>
    </w:p>
    <w:p>
      <w:pPr>
        <w:pStyle w:val="Normal"/>
      </w:pPr>
      <w:r>
        <w:t>&lt;36% wool/fine animal hair, dyed Woven fabrics of synthetic filament yarn nesoi, dyed, nesoi Woven fabrics of synthetic filament yarn nesoi, containing 36% or more by weight of wool or fine animal hair, of yarns of different colors Woven fabrics of synthetic filament yarn nesoi, mixed mainly or solely with wool or fine animal hair, of yarns of different colors, nesoi Woven fabrics, cont.</w:t>
      </w:r>
    </w:p>
    <w:p>
      <w:pPr>
        <w:pStyle w:val="Normal"/>
      </w:pPr>
      <w:r>
        <w:t>85% or more of man-made filaments, thread count &gt;69-142/cm warp and &gt;31-71/cm filling, of different colored yarns Woven fabrics of synthetic filament yarn nesoi, of yarns of different colors, nesoi Woven fabrics of synthetic filament yarn nesoi, containing 36 percent or more by weight of wool or fine animal hair, printed Woven fabrics of synthetic filament yarn nesoi, mixed mainly/solely with wool/fine animal hair, contain &lt; 36% wool/fine animal hair, printed Woven fabrics of synthetic filament yarn nesoi, printed, nesoi Woven fabrics obtained from high tenacity yarn, of viscose rayon Woven fabrics, containing 85 percent or more by weight of artificial filament or strip or the like, unbleached or bleached Woven fabric, 85%+ artificial filament or strip or the like, dyed, of cuprammonium rayon Woven fabric, 85%+ artificial filament or strip or the like, dyed, not of cuprammonium rayon, nesoi Woven fabric, 85%+ artificial filament/strip, of yarns of different colors,&gt; 69-142 warp &amp; &gt; 31-71 filling yarns, of cupra/rayon, nesoi Woven fabric, 85%+ artificial filament/strip, of yarns of different</w:t>
      </w:r>
    </w:p>
    <w:p>
      <w:pPr>
        <w:pStyle w:val="Normal"/>
      </w:pPr>
      <w:r>
        <w:t>colors,&gt; 69-142 warp &amp; &gt; 31-71 filling yarns, not of cupra/rayon, nesoi Woven fabric, 85%+ artificial filament/strip, of yarns of different colors, not 69-142 warp &amp; 31-71 filling yarns, of cupra/rayon, nesoi Woven fabric, 85%+ artificial filament/strip, of yarns of different colors, not 69-142 warp &amp; 31-71 filling yarns, not of cupra/rayon, nesoi Woven fabric, 85%+ artificial filament/strip, printed, of cuprammonium rayon, nesoi Woven fabric, 85%+ artificial filament/strip, printed, not of cuprammonium rayon, nesoi Woven fabrics of artificial filament yarn nesoi, containing 36 percent or more by wt of wool or fine animal hair, unbleached or bleached Woven fabrics of artificial filament yarn nesoi, mixed mainly or solely with wool or fine animal hair, unbleached or bleached, nesoi Woven fabrics of artificial filament yarn nesoi, unbleached or bleached, nesoi Woven fabrics of artificial filament yarn nesoi, containing 36 percent or more by wt of wool or fine animal hair, dyed Woven fabrics of artificial filament yarn nesoi, mixed mainly or solely with wool or fine animal hair, dyed, nesoi Woven</w:t>
      </w:r>
    </w:p>
    <w:p>
      <w:pPr>
        <w:pStyle w:val="Normal"/>
      </w:pPr>
      <w:r>
        <w:t>fabrics of artificial filament yarn nesoi, dyed, 30 percent or more by wt of silk or silk waste, valued over $33/kg Woven fabrics of artificial filament yarn nesoi, dyed, nesoi Woven fabrics of artificial filament yarn nesoi, containing 36% or more by wt of wool or fine animal hair, of yarns of different colors Woven fabrics of artificial filament yarn nesoi, mixed mainly or solely</w:t>
      </w:r>
    </w:p>
    <w:p>
      <w:pPr>
        <w:pStyle w:val="Normal"/>
      </w:pPr>
      <w:r>
        <w:t>with wool or fine animal hair, of yarns of different colors, nesoi Woven fabrics cont.</w:t>
      </w:r>
    </w:p>
    <w:p>
      <w:pPr>
        <w:pStyle w:val="Normal"/>
      </w:pPr>
      <w:r>
        <w:t>85% or more mm filaments nesoi, thread count &gt; 69-142/cm warp and &gt; 31-71/cm filling, of different colored yarns Woven fabrics of artificial filament yarn nesoi, of yarns of different colors, 30 percent or more of silk or silk waste, valued over $33/kg Woven fabrics of artificial filament yarn nesoi, of yarns of different colors, nesoi Woven fabrics of artificial filament yarn nesoi, containing 36 percent or more by weight of wool or fine animal hair, printed Woven fabrics of artificial filament yarn nesoi, mixed mainly or solely with wool or fine animal hair, printed, nesoi Woven fabrics of artificial filament yarn nesoi, printed, 30 percent or more by weight of silk or silk waste, valued over $33/kg Woven fabrics of artificial filament yarn nesoi, printed, nesoi Synthetic filament tow of nylon or other polyamides Synthetic filament tow of polyesters Synthetic filament tow of acrylic or modacrylic Synthetic filament tow, of polypropylene Synthetic filament tow, nesoi Artificial filament tow of cellulose acetate Artificial filament tow other than of cellulose acetate</w:t>
      </w:r>
    </w:p>
    <w:p>
      <w:pPr>
        <w:pStyle w:val="Normal"/>
      </w:pPr>
      <w:r>
        <w:t>Synthetic staple fibers, n/carded, combed or otherwise processed for spinning, of aramids Synthetic staple fibers, n/carded, combed or otherwise processed for spinning, of nylon/other polyamides (except aramids), cont 10% or more Synthetic staple fibers, n/carded, combed or otherwise processed for spinning, of nylon or other</w:t>
      </w:r>
    </w:p>
    <w:p>
      <w:pPr>
        <w:pStyle w:val="Normal"/>
      </w:pPr>
      <w:r>
        <w:t>polyamides (except aramids), nesoi Synthetic staple fibers, not carded, combed or otherwise processed for spinning, of polyesters Synthetic (acrylic or modacrylic) staple fibers, not carded, combed or otherwise processed for spinning Synthetic staple fibers, not carded, combed or otherwise processed for spinning, of polypropylene Synthetic staple fibers, not carded, combed or otherwise processed for spinning, of vinyon Synthetic staple fibers, not carded, combed or otherwise processed for spinning, nesoi Artificial staple fibers, not carded, combed or otherwise processed for spinning, of viscose rayon Artificial staple fibers, not carded, combed or otherwise processed for spinning, other than of viscose rayon Waste (including noils, yarn waste and garnetted stock) of synthetic fibers Waste (including noils, yarn waste and garnetted stock) of artificial fibers Synthetic staple fibers, carded, combed or otherwise processed for spinning, of nylon or other polyamides Synthetic staple fibers, carded, combed or otherwise processed for spinning, of polyesters Synthetic (acrylic or modacrylic) staple fibers, carded, combed or otherwise processed for spinning Synthetic staple fibers of polypropylene, carded, combed or otherwise</w:t>
      </w:r>
    </w:p>
    <w:p>
      <w:pPr>
        <w:pStyle w:val="Normal"/>
      </w:pPr>
      <w:r>
        <w:t>processed for spinning Other Synthetic staple fibers nesoi, carded, combed or otherwise processed for spinning Artificial staple fibers, carded, combed or otherwise processed for spinning Sewing thread of synthetic staple fibers, whether or not put up for</w:t>
      </w:r>
    </w:p>
    <w:p>
      <w:pPr>
        <w:pStyle w:val="Normal"/>
      </w:pPr>
      <w:r>
        <w:t>retail sale Sewing thread of artificial staple fibers, whether or not put up for retail sale Yarn (other than sewing thread) containing 85% or more by weight of nylon/polyamide staple fibers, singles, not put up for retail sale Yarn (other than sewing thread) cont. 85% or more by weight of nylon/polyamide staple fibers, multiple or cabled, not put up for retail sale Yarn (other than sewing thread) containing 85% or more by weight of polyester staple fibers, singles, not put up for retail sale Yarn (other than sewing thread) cont. 85% or more by weight of polyester staple fibers, multiple or cabled, not put up for retail sale Yarn (not sewing thread) cont. 85% or more by weight of acrylic or modacrylic staple fibers, singles, not put up for retail sale Yarn (not sewing thread) cont. 85% or more by wt. of acrylic or modacrylic staple fibers,multiple or cabled,not put up for retail sale Yarn (other than sewing thread) containing 85% or more by weight of synthetic staple fibers nesoi, singles, not put up for retail sale Yarn (other than sewing thread) cont.</w:t>
      </w:r>
    </w:p>
    <w:p>
      <w:pPr>
        <w:pStyle w:val="Normal"/>
      </w:pPr>
      <w:r>
        <w:t>85% or more by weight of synthetic staple fibers nesoi, multiple or cabled, not put up for retail sale Yarn (not sewing thread) of polyester staple fibers mixed mainly/solely with artificial staple fibers, single, not put up for retail sale Yarn (not sewing thread) of polyester staple fibers mixed mainly/solely with artificial staple fibers, multiple, not put up for retail sale Yarn (other than sewing thread) of polyester staple fibers mixed mainly/solely with wool or fine animal hair, not put up for retail sale Yarn (other than sewing thread) of polyester staple fibers mixed mainly or solely with cotton, not put up for retail sale Yarn (other than sewing thread) of polyester staple fibers nesoi, not put up for retail sale Yarn (other than sewing thread) of acrylic or modacrylic staple fibers mixed with wool or fine animal hair, not put up for retail sale Yarn (other than sewing thread) of acrylic or modacrylic staple fibers mixed mainly or solely with cotton, not put up for retail sale Yarn (not</w:t>
      </w:r>
    </w:p>
    <w:p>
      <w:pPr>
        <w:pStyle w:val="Normal"/>
      </w:pPr>
      <w:r>
        <w:t>sew thread) of acrylic/modacrylic staple fibers mixed mainly/solely w/artificial staple fibers, singles, not for retail sale Yarn (not sewing thread) of acrylic/modacrylic staple fiber mixed mainly/solely w/artificial staple fiber,multiple or cabled,not retail sale Yarn (other than sewing thread) of acrylic or modacrylic staple fibers nesoi, not put up for retail sale Yarn (other than sewing thread) of synthetic staple fibers mixed mainly or solely with wool or fine animal hair,</w:t>
      </w:r>
    </w:p>
    <w:p>
      <w:pPr>
        <w:pStyle w:val="Normal"/>
      </w:pPr>
      <w:r>
        <w:t>not put up for retail sale Yarn (other than sewing thread) of synthetic staple fibers mixed mainly or solely with cotton, not put up for retail sale Yarn (not sewing thread) of synthetic staple fibers nesoi, mixed mainly/solely w/artificial staple fibers, singles, not for retail sale Yarn (not sewing thread) of synthetic staple fibers nesoi, mixed mainly/solely w/artificial staple fibers, multiple, not for retail sale Yarn (other than sewing thread) of synthetic staple fibers nesoi, not put up for retail sale Yarn (other than sewing thread) containing 85% or more by weight of artificial staple fibers, singles, not put up for retail sale Yarn (other than sewing thread) cont.</w:t>
      </w:r>
    </w:p>
    <w:p>
      <w:pPr>
        <w:pStyle w:val="Normal"/>
      </w:pPr>
      <w:r>
        <w:t>85% or more by weight of artificial staple fibers, multiple or cabled, not put up for retail sale Yarn (other than sewing thread) of artificial staple fibers mixed mainly or solely with wool or fine animal hair, not put up for retail sale Yarn (other than sewing thread) of artificial staple fibers mixed mainly or solely with cotton, not put up for retail sale Yarn (other than sewing thread) of artificial staple fibers mixed mainly/solely with synthetic staple fibers, singles, not for retail sale Yarn (other than sewing thread) of artificial staple fibers mixed mainly/solely with synthetic staple fibers, multiple, not for retail sale Yarn (other than sewing thread) of artificial staple fibers nesoi, not put up for retail sale Yarn (other than sewing thread) of synthetic staple fibers, containing 85% or</w:t>
      </w:r>
    </w:p>
    <w:p>
      <w:pPr>
        <w:pStyle w:val="Normal"/>
      </w:pPr>
      <w:r>
        <w:t>more by weight of such fibers, put up for retail sale Yarn (other than sewing thread) of synthetic staple fibers, containing less than 85% by weight of such fibers, put up for retail sale Yarn (other than sewing thread) of artificial staple fibers, put up for retail sale Woven fabrics containing 85% or more by weight of polyester staple fibers, unbleached or bleached Woven fabrics containing 85% or more by weight of polyester staple fibers, other than unbleached or bleached Woven fabrics containing 85% or more by weight of acrylic or modacrylic staple fibers, unbleached or bleached Woven fabrics containing 85% or more by weight of acrylic or modacrylic staple fibers, other than unbleached or bleached Woven fabrics, containing 85% or more by weight of synthetic fibers nesoi, unbleached or bleached Woven fabrics, containing 85% or more by weight of synthetic fibers nesoi, other than unbleached or bleached Woven fabric of poly staple fiber,&lt; 85% wt poly staple fibers,mixed mainly/solely w/cotton,wt n/o 170 g/m2,plain weave,unbleached/bleached Woven 3-or 4-thread twill fabric</w:t>
      </w:r>
    </w:p>
    <w:p>
      <w:pPr>
        <w:pStyle w:val="Normal"/>
      </w:pPr>
      <w:r>
        <w:t>of poly staple fib,&lt; 85% poly staple fiber,mixed mainly/solely w/cotton,wt n/o 170 g/m2,unbleached/bleached Woven fabrics of polyester staple fibers,&lt; 85% polyester staple fibers, mixed mainly/solely w/cotton,n/o 170 g/m2,unbleached/bleached, nesoi Woven fabrics of synthetic staple fibers nesoi, &lt; 85% by weight of such fibers, mixed with cotton, n/o 170g/m2, unbleached or bleached Woven fabrics of polyester</w:t>
      </w:r>
    </w:p>
    <w:p>
      <w:pPr>
        <w:pStyle w:val="Normal"/>
      </w:pPr>
      <w:r>
        <w:t>staple fibers, &lt; 85% polyester staple fibers, mixed mainly/solely w/cotton, not over 170 g/m2, plain weave, dyed Woven fabrics of polyester staple fibers, &lt; 85% by wt polyester staple fibers, mixed mainly/solely w/cotton, not over 170 g/m2, dyed, nesoi Woven fabrics of synthetic staple fibers nesoi, &lt; 85% by wt of such fibers, mixed mainly/solely w/cotton, weighing n/o 170g/m2, dyed, nesoi Woven fabrics of poly staple fib,&lt; 85% polyester staple fibers,mixed mainly/solely w/cotton,n/o 170 g/m2,plain weave,of yarns of dif. colors Woven fabrics of synthetic staple fibers nesoi,&lt; 85% by wt of such fibers, mixed mainly/solely w/cotton, n/o 170g/m2, of dif.</w:t>
      </w:r>
    </w:p>
    <w:p>
      <w:pPr>
        <w:pStyle w:val="Normal"/>
      </w:pPr>
      <w:r>
        <w:t>colored yarns Printed plain weave fabrics of poly staple fib,&lt; 85% by weight polyester staple fibers, mixed mainly/solely with cotton, n/o 170g/m2 Printed 3-or 4-thread twill fabric of poly staple fib,incl cross twill,&lt; 85% wt poly staple fibers,mixed mainly/solely w/cotton,n/o 170g/m2 Printed woven fabrics of polyester staple fibers, &lt; 85% by wt polyester staple fibers, mixed mainly/solely with cotton, weighing n/o 170g/m2 Printed woven fabrics of synthetic staple fibers nesoi, &lt; 85% by weight of such fibers, mixed mainly or solely with cotton, n/o 170g/m2 Plain weave fabrics of poly staple fiber,&lt; 85% wt polyester staple fibers, mixed mainly/solely w/cotton, wt ov 170 g/m2, unbleached/bleached Wov 3-or 4-thread twill fabric of poly staple fib,&lt; 85% polyester staple fiber,mixed mainly/solely w/cotton,ov 170</w:t>
      </w:r>
    </w:p>
    <w:p>
      <w:pPr>
        <w:pStyle w:val="Normal"/>
      </w:pPr>
      <w:r>
        <w:t>g/m2,unbleached/bleached Woven fabric of polyester staple fiber, &lt; 85% wt polyester, mixed mainly/solely w/cotton, over 170 g/m2, unbleached/bleached Unbleached or bleached woven fabric of synthetic staple fibers nesoi, &lt; 85% by wt of such fibers, mixed mainly/solely w/cotton, over 170g/m2 Plain weave fabrics of polyester staple fiber, &lt; 85% by wt polyester staple fibers, mixed mainly/solely with cotton, over 170 g/m2, dyed Wov 3-or 4-thread twill fabric of poly staple fib,incl cross twill,&lt; 85% poly staple fibers,mixed mainly/solely w/cotton,ov 170 g/m2, dyed Woven fabrics of polyester staple fib, &lt; 85% by wt polyester staple fibers, mixed mainly/solely w/cotton, over 170 g/m2, dyed, nesoi Dyed woven fabrics of synthetic staple fibers nesoi, &lt; 85% by weight of such fibers, mixed mainly or solely with cotton, over 170g/m2 Plain weave fabrics of poly staple fiber, &lt; 85% polyester staple fibers, mixed mainly/solely with cotton,ov 170 g/m2,of yarns of dif. colors Woven 3-or 4-thread twill fabric of poly staple fib,&lt; 85% poly staple fibers,mixed mainly/solely w/cotton,ov 170 g/m2,of yarn of dif.</w:t>
      </w:r>
    </w:p>
    <w:p>
      <w:pPr>
        <w:pStyle w:val="Normal"/>
      </w:pPr>
      <w:r>
        <w:t>colors Woven fabrics of poly staple fiber,&lt; 85% polyester staple fibers,mixed mainly/solely w/cotton,ov 170 g/m2,of yarns of different colors,nesoi Woven fabrics of synthetic staple fibers nesoi, &lt; 85% by wt of such fibers, mixed mainly/solely w/cotton, ov 170g/m2, of dif.</w:t>
      </w:r>
    </w:p>
    <w:p>
      <w:pPr>
        <w:pStyle w:val="Normal"/>
      </w:pPr>
      <w:r>
        <w:t>colored yarns Printed plain weave fabrics of polyester staple fiber, &lt; 85% by wt polyester staple fibers, mixed mainly or solely with cotton, over 170g/m2 Printed 3-or 4-thread twill fab of poly staple fib,incl cross twill,&lt; 85% by wt poly staple fibers, mixed mainly/solely w/cotton,ov 170g/m Printed woven fabrics of polyester staple fiber, &lt; 85% by wt polyester staple fibers, mixed mainly/solely with cotton, over 170g/m2, nesoi Printed woven fabrics of synthetic staple fibers nesoi, &lt; 85% by weight of such fibers, mixed mainly or solely with cotton, over 170g/m2 Woven fabrics of polyester staple fibers, mixed mainly or solely with viscose rayon staple fibers, nesoi Woven fabrics of polyester staple fibers, mixed mainly or solely with man-made filaments, nesoi Woven fabrics of polyester staple fibers, containing 36 percent or more by weight of wool or fine animal hair, nesoi Woven fabrics of polyester staple fibers, mixed mainly or solely with wool or fine animal hair, nesoi Woven fabrics of polyester staple fibers, nesoi Woven fabrics of acrylic or modacrylic</w:t>
      </w:r>
    </w:p>
    <w:p>
      <w:pPr>
        <w:pStyle w:val="Normal"/>
      </w:pPr>
      <w:r>
        <w:t>staple fibers, mixed mainly or solely with man- made filaments, nesoi Woven fabrics of acrylic or modacrylic staple fibers, containing 36% or more by weight of wool or fine animal hair, nesoi Woven fabrics of acrylic or modacrylic staple fibers, mixed mainly or solely with wool or fine animal hair, nesoi Woven fabrics of acrylic or modacrylic staple fibers, nesoi Woven fabrics of synthetic staple fibers (not</w:t>
      </w:r>
    </w:p>
    <w:p>
      <w:pPr>
        <w:pStyle w:val="Normal"/>
      </w:pPr>
      <w:r>
        <w:t>polyester/acrylic or modacrylic staple fiber) mixed mainly/solely w/man-made filaments, nesoi Woven fabrics of synthetic staple fibers (not polyester/acrylic or modacrylic staple fiber) contain 36% or more wool/fine animal hair, nesoi Woven fabrics of synthetic staple fibers (not polyester/acrylic/modacrylic staple fiber) mixed mainly/solely w/wool/fine animal hair,nesoi Woven fabrics of synthetic staple fibers (not of polyester, acrylic or modacrylic staple fibers), nesoi Woven fabrics of artificial staple fibers, containing 85% or more by weight of such fibers, unbleached or bleached Woven fabrics of artificial staple fibers, containing 85% or more by weight of such fibers, dyed Woven fabrics of artificial staple fibers, containing 85% or more by weight of such fibers, of yarns of different colors Woven fabrics of artificial staple fibers, containing 85% or more by weight of such fibers, printed Woven fabrics of artificial staple fibers, &lt; 85% by weight of such fibers, mixed mainly/solely with man-made filaments, unbleached/bleached Woven fabrics of artificial staple fibers, &lt; 85% by weight of such fibers, mixed mainly/solely with man-made filaments, dyed Woven fabrics</w:t>
      </w:r>
    </w:p>
    <w:p>
      <w:pPr>
        <w:pStyle w:val="Normal"/>
      </w:pPr>
      <w:r>
        <w:t>of artificial staple fibers, &lt; 85% by wt of such fibers, mixed mainly/solely w/man-made filaments, of different colored yarns Woven fabrics of artificial staple fibers, &lt; 85% by weight of such fibers, mixed mainly or solely with man-made filaments, printed Woven fabrics of artificial staple fibers, &lt; 85% of</w:t>
      </w:r>
    </w:p>
    <w:p>
      <w:pPr>
        <w:pStyle w:val="Normal"/>
      </w:pPr>
      <w:r>
        <w:t>such fibers, containing 36% or more of wool or fine animal hair,unbleached or bleached Woven fabrics of artificial staple fibers, &lt; 85% of such fibers, mixed mainly/solely w/wool or fine animal hair, unbleached/bleached, nesoi Woven fabrics of artificial staple fibers, &lt; 85% of such fibers, containing 36% or more of wool or fine animal hair, dyed Woven fabrics of artificial staple fibers, &lt; 85% by weight of such fibers, mixed mainly/solely with wool or fine animal hair, dyed, nesoi Woven fabrics of artificial staple fibers, &lt; 85% such fibers, containing 36% or more of wool or fine animal hair, of different colored yarns Woven fabrics of artificial staple fibers, &lt; 85% of such fiber, mixed mainly/solely w/wool or fine animal hair, of dif.</w:t>
      </w:r>
    </w:p>
    <w:p>
      <w:pPr>
        <w:pStyle w:val="Normal"/>
      </w:pPr>
      <w:r>
        <w:t>colored yarns, nesoi Woven fabrics of artificial staple fibers, &lt; 85% of such fibers, containing 36% or more of wool or fine animal hair, printed Woven fabrics of artificial staple fibers, &lt; 85% of such fibers, mixed mainly or solely with wool or fine animal hair, printed, nesoi Woven fabrics of artificial staple fibers, &lt; 85% by weight of such fibers, mixed mainly or solely with cotton, unbleached or bleached Woven fabrics of artificial staple fibers, less than 85% by weight of such fibers, mixed mainly or solely with cotton, dyed Woven fabrics of artificial staple fibers, &lt; 85% by wt.</w:t>
      </w:r>
    </w:p>
    <w:p>
      <w:pPr>
        <w:pStyle w:val="Normal"/>
      </w:pPr>
      <w:r>
        <w:t>of such fibers, mixed mainly or solely with cotton, of yarns of different colors Woven fabrics of artificial staple fibers, less than 85% by weight of such fibers, mixed mainly or solely with cotton, printed Woven fabrics of artificial staple fibers nesoi, unbleached or bleached, nesoi Woven fabrics of artificial staple fibers nesoi, dyed, nesoi Woven fabrics of artificial staple fibers nesoi, of yarns of different colors, nesoi Woven fabrics of artificial staple fibers nesoi, printed, nesoi Wadding of cotton and other articles of cotton wadding nesoi Wadding of man-made fibers and other articles of such wadding nesoi Wadding of textile materials (excluding cotton and man-made fibers) and articles thereof, nesoi Textile flock, not exceeding 5 mm in length, and textile dust and mill neps Laminated fabrics of needleloom felt or stitch-bonded fiber fabrics Needleloom felt and stitch-bonded fabrics, whether or not impregnated, coated or covered, nesoi Felt, excluding needleloom felt and stitch-bonded fiber fabrics, not impregnated, coated, covered or laminated, of wool or fine animal hair Felt, excluding needleloom</w:t>
      </w:r>
    </w:p>
    <w:p>
      <w:pPr>
        <w:pStyle w:val="Normal"/>
      </w:pPr>
      <w:r>
        <w:t>felt and stitch-bonded fiber fabrics, not impregnated, coated, covered or laminated, of textile materials nesoi Laminated fabrics of felt, nesoi Felt, impregnated, coated or covered, of man-made fibers, nesoi Felt, impregnated, coated or covered, nesoi Nonwovens, of man-made filaments, weighing not &gt;25 g/square m, whether or not impregnated, coated, covered or</w:t>
      </w:r>
    </w:p>
    <w:p>
      <w:pPr>
        <w:pStyle w:val="Normal"/>
      </w:pPr>
      <w:r>
        <w:t>laminated Nonwovens, of man-made filaments, weighing &gt;25 but not &gt;70 g/square m, whether or not impregnated, coated, covered or laminated Nonwovens, of man-made filaments, weighing &gt;70 but not &gt;150 g/square m, whether or not impregnated, coated, covered or laminated Laminated nonwoven fabs, of man-made filaments, weighing &gt;150 g/square m Nonwovens (except laminated), of man-made filaments, weighing &gt;150 g/square m, whether or not impregnated, coated, or covered Nonwovens (not of man-made filaments), weighing not &gt;25 g/square m, whether or not impregnated, coated, covered or laminated Nonwovens (not of man-made filaments), weighing &gt;25 but not &gt;70 g/square m, whether or not impregnated, coated, covered or laminated Nonwovens (not of man-made filaments), weighing &gt;70 but not &gt;150 g/square m, whether or not impregnated, coated, covered or laminated Nonwoven floor covering underlays (not of man-made filaments), weighing &gt;150 g/square m, whether or not impreg, coated, cov or laminated Laminated nonwovens nesoi (not of man-made filaments), weighing &gt;150 g/square m Nonwovens nesoi (not of man-made filaments), weighing &gt;150 g/square m, whether or not impregnated, coated,</w:t>
      </w:r>
    </w:p>
    <w:p>
      <w:pPr>
        <w:pStyle w:val="Normal"/>
      </w:pPr>
      <w:r>
        <w:t>covered but not laminated Rubber thread and cord, textile covered High tenacity yarn of polyesters, of nylon or other polyamides or of viscose rayon, impregnated or coated Textile yarn and strip and the like of heading 5404 or 5405, impregnated, coated, covered or sheathed with rubber or plastics, nesoi Metal coated</w:t>
      </w:r>
    </w:p>
    <w:p>
      <w:pPr>
        <w:pStyle w:val="Normal"/>
      </w:pPr>
      <w:r>
        <w:t>or metal laminated man-made monofilament or strip or the like, ungimped &amp; untwisted or w/twist of less than 5 turns per meter Metalized textile yarn nesoi, of man-made monofilament or strip or the like, other than ungimped or w/twist of &lt; 5 turns per meter Gimped yarn, and strip and the like of man-made monofilament; chenille yarn;</w:t>
      </w:r>
    </w:p>
    <w:p>
      <w:pPr>
        <w:pStyle w:val="Normal"/>
      </w:pPr>
      <w:r>
        <w:t>loop wale-yarn Binder or baler twine, of sisal or other textile fibers of genus Agave Twine (except binder or baler twine), cordage, rope and cables of sisal or other textile fibers of genus Agave Binder or baler twine of wide nonfibrillated strip, of polyethylene or polypropylene Binder or baler twine, of polyethylene or polypropylene, nesoi Twine (other than binder or baler twine), cordage, rope and cables of wide nonfibrillated strip, of polyethylene or polypropylene Twine (ex binder/baler twine), cordage, rope and cables, of polyethylene or polypropylene, not braided or plaited, less than 4.8 mm in diam Twine (except binder or baler twine), cordage, rope and cables, of polyethylene or polypropylene, not braided or plaited, nesoi Twine (except binder or baler twine), cordage, rope and cables, of polyethylene or polypropylene, nesoi 3- or 4-ply multicolor twine of synthetic fibers nesoi at least 10% cotton, having “S” twist, &lt; 3.5 mm diameter, not braided or plaited Twine nesoi, cordage, rope and cables of synthetic fibers, other than of polyethylene or polypropylene, not braided or plaited Twine, cordage, rope and cables of synthetic fibers,</w:t>
      </w:r>
    </w:p>
    <w:p>
      <w:pPr>
        <w:pStyle w:val="Normal"/>
      </w:pPr>
      <w:r>
        <w:t>other than of polyethylene or polypropylene, nesoi Twine, cordage, rope and cables, of coir Twine, cordage, rope and cables, of jute or other textile bast fibers (excluding flax, true hemp and ramie) Twine, cordage, rope and cables of abaca or other hard (leaf) fibers, of stranded construction measuring 1.88 cm or over in diameter Twine, cordage, rope &amp; cables of abaca or other hard (leaf) fibers, other than stranded construction or stranded n/o 1.88 cm in diameter Twine, cordage, rope and cables, of materials nesoi Made-up fishing nets, of man-made textile materials Fish netting (other than made-up fishing nets) of man-made textile materials Knotted netting of twine, cordage or rope (excluding fish netting or made-up fishing nets) of man-made textile materials Fish netting and fishing nets, of textile materials other than man-made materials Hammocks, of cotton Netting or nets, of cotton, other than hammocks or netting or nets for fishing Knotted netting of twine, cordage or rope or other made-up nets (not fish netting and nets) of textile materials (not</w:t>
      </w:r>
    </w:p>
    <w:p>
      <w:pPr>
        <w:pStyle w:val="Normal"/>
      </w:pPr>
      <w:r>
        <w:t>cotton/manmade mat.) Articles of yarn, strip, twine, cordage, rope or cables nesoi, of cotton Articles of yarn, strip, twine, cordage, rope or cables nesoi, of vegetable fibers except cotton Articles of yarn, strip, twine, cordage, rope or cables nesoi, of man-made fibers Articles of yarn, strip or the like of man-made monofilaments, twine, cordage, rope or cables, nesoi Carpet &amp; other textile floor</w:t>
      </w:r>
    </w:p>
    <w:p>
      <w:pPr>
        <w:pStyle w:val="Normal"/>
      </w:pPr>
      <w:r>
        <w:t>covering,hand-knotted/hand-inserted,w/ov 50% wt pile of fine animal hair,foregoing cert. hand-loomed &amp; folklore Carpets &amp; other textile floor coverings, hand-knotted or hand-inserted, w/ov 50% by weight of the pile of fine animal hair, nesoi Carpets and other textile floor coverings, of wool or fine animal hair, hand-hooked (tufts were inserted and knotted by hand or hand tool) Carpets and other textile floor coverings, of wool or fine animal hair, not hand-hooked, not hand knotted during weaving Carpet and oth textile floor covering, knotted,of text.</w:t>
      </w:r>
    </w:p>
    <w:p>
      <w:pPr>
        <w:pStyle w:val="Normal"/>
      </w:pPr>
      <w:r>
        <w:t>materials (not wool/hair) nesoi, pile inserted &amp; knotted during weaving or knitting Carpet &amp; oth textile floor covering, knotted, of text materials (not wool/hair) nesoi,not w/pile inserted &amp; knotted during weaving/knitting Certified hand-loomed and folklore products being “Kelem”, “Schumacks”, “Karamanie” and similar hand-woven rugs “Kelem”, “Schumacks”, “Karamanie” and similar hand-woven rugs, other than certified hand-loomed and folklore products Floor coverings of coconut fibers (coir), woven, not tufted or flocked, with pile Floor coverings of coconut fibers (coir), woven, not tufted or flocked, other than with pile Wilton, velvet and like floor coverings of pile construction, woven, not tufted or flocked, not made up, of wool or fine animal hair Carpets and other textile floor coverings of pile construction, woven, not tufted or flocked, not made up, of wool/fine animal hair, nesoi Wilton, velvet and like floor coverings</w:t>
      </w:r>
    </w:p>
    <w:p>
      <w:pPr>
        <w:pStyle w:val="Normal"/>
      </w:pPr>
      <w:r>
        <w:t>of pile construction, woven, not tufted or flocked, not made up, of man-made textile materials Carpets &amp; other textile floor coverings of pile construction, woven,not tufted or flocked, not made up, of man-made textile materials, nesoi Carpets and other textile floor coverings of pile construction, woven, not tufted or flocked, not made up, of jute Carpets and other textile floor coverings of pile construction, woven, not tufted or flocked, not made up, of other textile materials nesoi Wilton, velvet and like floor coverings of pile construction, woven, not tufted or flocked, made up, of wool or fine animal hair Carpets and other textile floor coverings of pile construction, woven, not tufted or flocked, made up, of wool or fine animal hair, nesoi Wilton, velvet and like floor coverings of pile construction, woven, not tufted or flocked, made up, of man-made textile materials Carpets and other textile floor coverings, of pile construction, woven, not tufted or flocked, made up, of man-made textile materials, nesoi Carpets not other textile floor coverings of</w:t>
      </w:r>
    </w:p>
    <w:p>
      <w:pPr>
        <w:pStyle w:val="Normal"/>
      </w:pPr>
      <w:r>
        <w:t>pile construction, woven, not tufted or flocked, made up, of cotton Carpets and other textile floor coverings of pile construction, woven, not tufted or flocked, made up, of jute Carpets &amp; other textile floor coverings of pile construction, woven, not tufted or flocked, made up, of other textile materials nesoi Carpets &amp; other textile floor coverings, not of pile construction, woven but not on a power-driven loom,not</w:t>
      </w:r>
    </w:p>
    <w:p>
      <w:pPr>
        <w:pStyle w:val="Normal"/>
      </w:pPr>
      <w:r>
        <w:t>made up,of wool/fine animal hair Carpets &amp; other textile floor coverings, not of pile construction, woven, not made up, of wool or fine animal hair, nesoi Carpets &amp; other textile floor coverings, not of pile construction, woven, not made up, of man-made textile materials Carpets &amp; other textile floor coverings, not of pile construction, woven, not made up, of cotton Carpets &amp; other textile floor coverings, not of pile construction, woven, not made up, of other textile materials nesoi Certified hand-loomed &amp; folklore floor covering, woven not on power-driven loom,not of pile construction,made up,of wool or fine animal hair Floor coverings,not of pile construction,woven not on power-driven loom, made up, of wool or fine animal hair,nesi Carpets &amp; other textile floor coverings, not of pile construction, woven nesoi, made up, of wool or fine animal hair, nesoi Hand-loomed carpet &amp; other textile floor coverings, not of pile construction, woven, made up, of man-made textile materials,nesi Carpet &amp; other textile floor coverings, not of pile construction, woven, made up, of man-made</w:t>
      </w:r>
    </w:p>
    <w:p>
      <w:pPr>
        <w:pStyle w:val="Normal"/>
      </w:pPr>
      <w:r>
        <w:t>textile materials,nesi Hand-loomed carpets and other textile floor coverings, not of pile construction, woven, made up, of cotton Carpets and other textile floor coverings, not of pile construction, woven, made up, of cotton, nesoi Carpets &amp; other textile floor coverings, not of pile construction, woven, made up, of other textile materials nesoi Hand-hooked carpets and other textile floor coverings,</w:t>
      </w:r>
    </w:p>
    <w:p>
      <w:pPr>
        <w:pStyle w:val="Normal"/>
      </w:pPr>
      <w:r>
        <w:t>tufted, whether or not made up, of wool or fine animal hair Carpets and other textile floor coverings, tufted, whether or not made up, of wool or fine animal hair, nesoi Carpets and other textile floor coverings, tufted, whether or not made up, of nylon or other polyamides, hand-hooked Carpets and other textile floor coverings, tufted, whether or not made up, of nylon or other polyamides, nesoi Hand-hookded carpets &amp; other textile floor coverings, tufted, whether or not made up, of man-made materials (not nylon/other polyamides) Carpets &amp; other textile floor coverings, tufted, whether or not made up, of man-made textile materials (not nylon/other polyamides), nesoi Carpets and other textile floor coverings, tufted, whether or not made up, of other textile materials nesoi Carpet tiles of felt, not tufted or flocked, whether or not made up, having a maximum surface area of 0.3 m2 Carpet tiles of felt, not tufted or flocked, whether or not made up, having a maximum surface area exceeding 0.3m2 but not exceeding 1m2 Carpets and</w:t>
      </w:r>
    </w:p>
    <w:p>
      <w:pPr>
        <w:pStyle w:val="Normal"/>
      </w:pPr>
      <w:r>
        <w:t>other textile floor coverings of felt, not tufted or flocked, whether or not made up, other surface area Carpets and other textile floor coverings, whether or not made up, of coir, nesoi Carpets and other textile floor coverings, whether or not made up, nesoi Woven pile fabrics and chenille fabrics, other than fabrics of heading 5802 or 5806, of wool or fine animal hair Uncut weft pile fabrics of cotton, other than fabrics of heading 5802 or 5806 Cut</w:t>
      </w:r>
    </w:p>
    <w:p>
      <w:pPr>
        <w:pStyle w:val="Normal"/>
      </w:pPr>
      <w:r>
        <w:t>corduroy woven pile fabrics of cotton, greater than 7.5 wales per cm, other than fabrics of heading 5802 or 5806 Cut corduroy woven pile fabrics of cotton, less than 7.5 wales per cm, other than fabrics of heading 5802 or 5806 Weft pile fabrics, cut, of cotton, other than fabrics of heading 5802 or 5806, nesoi Chenille fabrics of cotton, other than fabrics of heading 5802 or 5806 Warp pile fabrics, epingle (uncut), of cotton, other than fabrics of heading 5802 or Warp pile fabrics, cut, of cotton, other than fabrics of heading 5802 or 5806 Uncut weft pile fabrics of man-made fibers, other than fabrics of heading 5802 or 5806 Cut corduroy of man-made fibers, other than fabrics of heading 5802 or 5806 Weft pile fabrics of man-made fibers, cut, other than fabrics of heading 5802 or 5806, nesoi Chenille fabrics of man-made fibers, other than fabrics of heading 5802 or 5806 Warp pile fabrics, epingle (uncut), of man-made fibers, other than fabrics of heading 5802 or 5806 Warp</w:t>
      </w:r>
    </w:p>
    <w:p>
      <w:pPr>
        <w:pStyle w:val="Normal"/>
      </w:pPr>
      <w:r>
        <w:t>pile fabrics, cut, of man-made fibers, other than fabrics of heading 5802 or 5806 Woven pile fabrics and chenille fabrics of vegetable fibers except cotton, other than fabrics of heading 5802 or 5806 Woven pile fabrics and chenille fabrics of textile materials nesoi, other than fabrics of heading 5802 or 5806 Terry toweling and similar woven terry fabrics (other than narrow fabrics of heading 5806) of cotton, unbleached Terry toweling and similar woven terry fabrics (other than narrow fabrics of heading</w:t>
      </w:r>
    </w:p>
    <w:p>
      <w:pPr>
        <w:pStyle w:val="Normal"/>
      </w:pPr>
      <w:r>
        <w:t>5806) of cotton, other than unbleached Terry toweling and similar woven terry fabrics (other than narrow fabrics of heading 5806) of textile materials other than cotton Tufted textile fabrics, other than products of heading 5703 Gauze (other than narrow fabrics of heading 5806) of cotton Gauze (other than narrow fabrics of heading 5806) tapestry and upholstery fabrics, of wool or fine animal hair, weighing not over 140 g/m2 Gauze (not narrow fabrics of heading 5806), except tapestry and upholstery fabrics, of wool or fine animal hair, weighing n/o 140 g/m2 Gauze (other than narrow fabrics of heading 5806) of vegetable fibers except cotton Gauze (other than narrow fabrics of heading 5806) of man-made fibers Gauze (other than narrow fabrics of heading 5806) of other textile materials nesoi Tulles and other net fabrics (not including woven, knitted or crocheted fabrics) of cotton or man-made fibers Tulles and other net fabrics (not including woven, knitted or crocheted fabrics) of textile fibers except cotton or man-made Mechanically made lace, in the piece, in</w:t>
      </w:r>
    </w:p>
    <w:p>
      <w:pPr>
        <w:pStyle w:val="Normal"/>
      </w:pPr>
      <w:r>
        <w:t>strips or in motifs (not fabric of heading 6002), of man-made fibers Mechanically made lace, in the piece, in strips or in motifs (not fabric of heading 6002), of cotton Mechanically made lace, in the piece, in strips or in motifs (not fabric of heading 6002), of textile materials (not cotton or mm fibers) Hand-made lace, in the piece, in strips or in motifs (other than fabrics of heading 6002) Hand-woven tapestries of</w:t>
      </w:r>
    </w:p>
    <w:p>
      <w:pPr>
        <w:pStyle w:val="Normal"/>
      </w:pPr>
      <w:r>
        <w:t>the type Gobelins, Flanders, Aubusson, Beauvais and the like, used only as wall hangings, valued over $215/m2 Certified hand-loomed and folklore hand-woven tapestries nesoi and needle-worked tapestries, of wool or fine animal hair Hand-woven tapestries nesoi and needle-worked tapestries, of wool or fine animal hair Hand-woven tapestries nesoi and needle-worked tapestries, of cotton Hand-woven tapestries nesoi and needle-worked tapestries, other than of cotton, wool or fine animal hair Narrow woven pile fabrics (including terry toweling and the like) and chenille fabrics (other than goods of heading 5807) of cotton Narrow woven pile fastener fabric tapes (other than goods of heading 5807) of man- made fibers Narrow woven pile fabrics, incl terry toweling/chenille fabric (excl fastener fabric tape)) (other than goods of heading 5807) of m-m fibers Narrow woven pile fabrics (including terry toweling/the like) &amp; chenille fabrics, except of cotton or of m-m fibers (not goods of head 5807) Narrow woven fabrics (not goods of heading 5807), not pile, containing by weight 5 percent or more of elastomeric yarn or</w:t>
      </w:r>
    </w:p>
    <w:p>
      <w:pPr>
        <w:pStyle w:val="Normal"/>
      </w:pPr>
      <w:r>
        <w:t>rubber thread Narrow woven fabrics (other than goods of heading 5807), not pile, not cont by wt 5% or more of elastomeric yarn or rubber, of cotton, nesoi Woven ribbons of man-made fibers, not pile, not cont by wt 5% or more of elastomeric yarn or rubber Narrow woven fabrics (other than ribbons), not pile, of man-made fibers, not cont by wt 5% or more of elastomeric yarn or</w:t>
      </w:r>
    </w:p>
    <w:p>
      <w:pPr>
        <w:pStyle w:val="Normal"/>
      </w:pPr>
      <w:r>
        <w:t>rubber Narrow woven fabrics (not goods of heading 5807), not pile, of wool/fine animal hair, not cont by wt 5% or more elastomeric yarn or rubber Narrow woven fabric (not good of heading 5807), not pile, of vegetable fibers except cotton, not cont by wt 5% or more elastomer yarn/rubber Narrow woven fabrics (not goods of heading 5807), not pile, of textile materials nesoi, not cont by wt 5% or more elastomeric yarn or rubber Narrow fabrics consisting of warp without weft assembled by means of an adhesive (bolducs) Labels, in the piece, in strips or cut to shape or size, woven, not embroidered, of cotton or man-made fibers Labels, in the piece, in strips or cut to shape or size, woven, not embroidered, of textile materials other than cotton or man-made fibers Woven badges and similar articles of textile materials (except labels), in the piece, in strips or cut to shape or size, not embroidered Labels, in the piece, in strips or cut to shape or size, nonwoven, not</w:t>
      </w:r>
    </w:p>
    <w:p>
      <w:pPr>
        <w:pStyle w:val="Normal"/>
      </w:pPr>
      <w:r>
        <w:t>embroidered, of cotton or man-made fibers Labels, in the piece, in strips or cut to shape or size, nonwoven, not embroidered, of textile materials other than cotton or man-made fiber Badges &amp; similar articles (except labels) of textile materials, not woven, not embroidered, in the piece, in strips or cut to shape or size Braids, in the piece, of abaca or ramie, suitable for making or ornamenting headwear Braids in the piece, suitable for making or ornamenting headwear, of cotton or man- made fibers Braids in the</w:t>
      </w:r>
    </w:p>
    <w:p>
      <w:pPr>
        <w:pStyle w:val="Normal"/>
      </w:pPr>
      <w:r>
        <w:t>piece, suitable for making or ornamenting headwear, of textile materials other than cotton or man-made fibers Braids in the piece, not suitable for making or ornamenting headwear, of cotton or man- made fibers Braids in the piece, not suitable for making or ornamenting headwear, of textile materials other than cotton or man-made fibers Ornamental trimmings in the piece, without embroidery, other than knitted or crocheted;</w:t>
      </w:r>
    </w:p>
    <w:p>
      <w:pPr>
        <w:pStyle w:val="Normal"/>
      </w:pPr>
      <w:r>
        <w:t>tassels, pompons and similar articles Woven fabrics of metal thread &amp; woven fabrics of metallized yarn of heading 5605, used in apparel, as furnishing fabrics or the like, nesoi Embroidery in the piece, in strips or in motifs, without visible ground Embroidery of cotton, in the piece, in strips or in motifs, other than without visible ground Badges, emblems, and motifs of man-made fibers, embroidered, in the piece or in strips, other than without visible ground Embroidery in the piece or in strips (excluding badges, emblems and motifs), of man- made fibers, other than without visible ground Embroidery in the piece, in strips or in motifs, of wool or fine animal hair, other than without visible ground Embroidery in piece/strips/motifs,of textile material except cotton, man-made fiber, wool or fine animal hair, other than w/o visible ground Quilted textile products in the piece (excluding embroidery), of one or more layers assembled with padding, of wool or fine animal hair Quilted textile products in the piece (excluding embroidery), of one or more layers</w:t>
      </w:r>
    </w:p>
    <w:p>
      <w:pPr>
        <w:pStyle w:val="Normal"/>
      </w:pPr>
      <w:r>
        <w:t>assembled with padding, of cotton Quilted textile products in the piece (excluding embroidery), of one or more layers assembled with padding, of man-made fibers Quilted textile products in the piece (excluding embroidery), of one or more layers assembled with padding, of textile materials nesoi Textile fabrics coated with gum or amylaceous substances, of a kind used for outer covers of books or the like, of man-made fibers Textile fabrics coated with gum or amylaceous substances, of a kind used for outer covers of books or the like, other than man-made fibers Tracing cloth, prepared painting canvas, buckram and similar stiffened textile fabrics used in hat foundations, of man-made fibers Tracing cloth, prepared painting canvas, buckram and similar stiffened textile fabrics used in hat foundations, except of man-made fibers Tire cord fabric of high tenacity yarn of nylon or other polyamides Tire cord fabric of high tenacity yarn of polyesters Tire cord fabric of high tenacity yarns of viscose rayon Textile fabrics of cotton, impregnated, coated, covered or laminated with polyvinyl</w:t>
      </w:r>
    </w:p>
    <w:p>
      <w:pPr>
        <w:pStyle w:val="Normal"/>
      </w:pPr>
      <w:r>
        <w:t>chloride Textile fabric spec in note 9 to sect XI, of man-made fibers, impreg, coated, covered or laminated w/polyvinyl chloride, over 60% plastics Textile fabrics spec in note 9 to section XI, of man-made fibers, impregnated, coated, covered or laminated with polyvinyl chloride, nesoi Textile fabrics nesoi,of man-made fibers,impregnated, coated, covered or laminated with polyvinyl chloride, over</w:t>
      </w:r>
    </w:p>
    <w:p>
      <w:pPr>
        <w:pStyle w:val="Normal"/>
      </w:pPr>
      <w:r>
        <w:t>70% wt. rubber or plastics Textile fabrics nesoi,of man-made fibers,impregnated,coated,covered or laminated with polyvinyl chloride, n/o 70% by wt.</w:t>
      </w:r>
    </w:p>
    <w:p>
      <w:pPr>
        <w:pStyle w:val="Normal"/>
      </w:pPr>
      <w:r>
        <w:t>rubber or plastics Textile fabrics nesoi, impregnated, coated, covered or laminated with polyvinyl chloride, other than those of heading 5902 Textile fabrics of cotton, impregnated, coated, covered or laminated with polyurethane Textile fabrics spec in note 9 to section XI, of man-made fibers, impreg, coated, covered or laminated with polyurethane, over 60% plastics Textile fabrics specified in note 9 to section XI, of man-made fibers, impregnated, coated, covered or laminated with polyurethane, nesoi Textile fabrics of man-made fibers, impregnated, coated, covered or laminated with polyurethane, over 70% weight rubber or plastics Textile fabrics of man-made fibers, impregnated, coated, covered or laminated with polyurethane, n/o 70% by weight rubber or plastics Textile fabrics nesoi, impregnated, coated, covered or laminated with polyurethane Textile fabrics of cotton, impregnated, coated, covered or laminated with plastics nesoi, other than those of heading 5902 Textile fabrics spec in note 9 to section XI, of man-made fibers, impreg, coated, covered or laminated w/plastics, nesoi, over 60% plastics Textile fabrics specified in note 9 to section XI, of man-made fabrics, impregnated, coated, covered or laminated with plastics, nesoi Textile fabrics of man-made fibers, impregnated, coated, covered or laminated with plastics,</w:t>
      </w:r>
    </w:p>
    <w:p>
      <w:pPr>
        <w:pStyle w:val="Normal"/>
      </w:pPr>
      <w:r>
        <w:t>nesoi, over 70% weight rubber or plastics Textile fabrics of man-made fibers, impregnated, coated, covered or laminated with plastics, nesoi, n/o 70% by weight rubber or plastics Textile fabrics nesoi, impreg, coated, covered or laminated w/plastics other than vinyl chloride or polyurethane, other than those head 5902 Linoleum, whether or not cut to shape Floor coverings consisting of a coating or covering applied on a textile backing, with a base consisting of needleloom felt or nonwovens Floor coverings consisting of a coating or covering applied on textile backing, with textile base other than of needleloom felt or nonwovens Textile wall coverings backed with permanently affixed paper Textile wall coverings, nesoi Rubberized textile fabric adhesive tape of a width not exceeding 20 cm (other than fabric of heading 5902) Rubberized textile fabrics of cotton, knitted or crocheted (other than fabric of heading Rubberized textile fabrics (other than of heading 5902) nesoi, knitted or crocheted, of man-made fibers, ov 70% by wt of rubber or plastics Rubberized textile fabrics (other than of</w:t>
      </w:r>
    </w:p>
    <w:p>
      <w:pPr>
        <w:pStyle w:val="Normal"/>
      </w:pPr>
      <w:r>
        <w:t>head 5902), nesoi, knitted or crocheted, of man-made fibers, n/o 70% by wt of rubber or plastics Rubberized textile fabrics (other than of heading 5902) nesoi, knitted or crocheted, other than of cotton or man-made fibers Rubberized textile fabrics not knitted or crocheted, of cotton, other than fabrics of heading 5902 Rubberized textile fabrics (other than of head 5902), nesoi, not knitted</w:t>
      </w:r>
    </w:p>
    <w:p>
      <w:pPr>
        <w:pStyle w:val="Normal"/>
      </w:pPr>
      <w:r>
        <w:t>or crocheted, of man-made fibers, ov 70% by wt of rubber/plastics Rubberized textile fabrics (other than of head 5902), nesoi, not knitted or crocheted, of man-made fibers, n/o 70% by wt of rubber/plastics Rubberized textile fabrics, not knitted or crocheted, other than those of heading 5902, nesoi Laminated fabrics specified in note 9 to sect. XI of HTS, of m-m fiber, for theatrical, ballet, &amp; operatic scenery &amp; properties, incl sets Laminated fabrics spec in note 9 to sect XI of HTS, of m-m fiber, other than theatrical, ballet, &amp; operatic scenery &amp; properties, incl sets Lam fabs specified in nte 9 to sect. XI of HTS, of tx mats except m-m fiber, for theatrical, ballet, &amp; opera scenery &amp; properties, incl sets Lam fabs specified in nte 9 to sect.</w:t>
      </w:r>
    </w:p>
    <w:p>
      <w:pPr>
        <w:pStyle w:val="Normal"/>
      </w:pPr>
      <w:r>
        <w:t>XI of HTS, of tx mats except m-m fiber, other than theatrical, ballet, &amp; oper scenery &amp; prop, incl sets Other fabric, impregnated, coated or covered, and painted canvas being theatrical scenery, back-cloths or the like, of man-made fibers Other fabric, impregnated, coated or covered, &amp; painted canvas being theatrical scenery, back-cloths or the like, other than man-made fibers Textile wicks, woven, plaited or knitted, for lamps, stoves, candles and the like; gas mantles and tubular knitted gas mantle fabric Textile hosepiping and similar textile tubing of vegetable fibers, with or without lining, armor or accessories of other materials Textile hosepiping and similar textile tubing nesoi, with or without lining, armor or accessories</w:t>
      </w:r>
    </w:p>
    <w:p>
      <w:pPr>
        <w:pStyle w:val="Normal"/>
      </w:pPr>
      <w:r>
        <w:t>of other materials Transmission or conveyor belts or belting of man-made fibers Transmission or conveyor belts or belting of textile materials, other than man-made fibers Printers’ rubberized blankets of textile fabrics Textile fabrics, felt and felt-lined woven fabrics, combined with layer(s) of rubber, leather or other material, for technical uses, nesoi Bolting cloth fabrics principally used for stenciling purposes in screen-process printing, whether or not made up Bolting cloth nesoi, of silk, whether or not made up Bolting cloth, whether or not made up, nesoi Textile fabrics and felts, endless or fitted with linking devices, used for papermaking or similar machines, weighing less than 650 g/m2 Textile fabrics and felts, endless or fitted with linking devices, used for papermaking or similar machines, weighing 650 g/m2 or more Straining cloth of a kind used in oil presses or the like, of textile material or of human hair Textile products and articles, of a kind used in machinery or plants for technical uses, specified in note 7 to chapter 59, nesoi Knitted</w:t>
      </w:r>
    </w:p>
    <w:p>
      <w:pPr>
        <w:pStyle w:val="Normal"/>
      </w:pPr>
      <w:r>
        <w:t>or crocheted “long pile” fabrics of man-made fibers Knitted or crocheted “long pile” fabrics, other than of man-made fibers Knitted or crocheted looped pile fabrics of cotton Knitted or crocheted looped pile fabrics of man-made fibers Knitted or crocheted looped pile fabrics of textile materials, other than of cotton or man-made fibers Knitted or crocheted pile fabrics (other than “long pile” or looped pile) of cotton</w:t>
      </w:r>
    </w:p>
    <w:p>
      <w:pPr>
        <w:pStyle w:val="Normal"/>
      </w:pPr>
      <w:r>
        <w:t>Knitted or crocheted pile fabrics (other than “long pile” or looped pile) of man-made fibers Knitted or crocheted pile fabrics (except long or looped pile), of tex mats other than cotton or mmf, containing 85% or more by wt of silk Knitted or crocheted pile fabrics (except long or looped pile), of tex mats other than cotton or mmf, cont less than 85% by wt of silk, Knitted or crocheted fabrics nesoi, width not exceeding 30 cm, containing 5% or more elastomeric yarn but no rubber thread, of cotton Knitted or crocheted fabrics nesoi, width n/o 30 cm, containing 5% or more elastomeric yarn but no rubber thread, other than of cotton Knitted or crocheted fabrics nesoi, width not exceeding 30 cm, containing 5% or more elastomeric yarn or rubber thread nesoi, of cotton Knitted or crocheted fabrics nesoi, width n/o 30 cm, containing 5% or more elastomeric yarn or rubber thread nesoi, other than of cotton Warp knit open-worked fabrics of wool or fine animal hair, width not exceeding</w:t>
      </w:r>
    </w:p>
    <w:p>
      <w:pPr>
        <w:pStyle w:val="Normal"/>
      </w:pPr>
      <w:r>
        <w:t>30 cm, other than those of heading 6001 or 6002 Knitted or crocheted fabrics of wool or fine animal hair nesoi, width not exceeding 30 cm, other than those of heading 6001 or 6002 Warp knit open-worked fabrics of cotton, width not exceeding 30 cm, other than those of heading 6001 or 6002 Knitted or crocheted fabrics of cotton (other than warp knit open-worked), width not exceed 30 cm, other than those of heading 6001 or 6002 Warp knit open-worked fabrics of synthetic fibers, width not exceeding 30 cm,</w:t>
      </w:r>
    </w:p>
    <w:p>
      <w:pPr>
        <w:pStyle w:val="Normal"/>
      </w:pPr>
      <w:r>
        <w:t>other than those of heading 6001 or 6002 Knitted or crocheted fabrics of synthetic fibers nesoi, width not over 30 cm, other than those of heading 6001 or 6002 Warp knit open-worked fabrics of artificial fibers, width not exceeding 30 cm, other than those of heading 6001 or 6002 Knitted or crocheted fabrics of artifical fibers nesoi, width not over 30 cm, other than those of heading 6001 or 6002 Warp knit open-worked fabrics nesoi, width not exceeding 30 cm, other than those of heading 6001 or 6002 Knitted or crocheted fabrics nesoi, width not exceeding 30 cm, other than those of heading 6001 or 6002 Knitted or crocheted fabrics, width exceeding 30 cm, containing 5% or more of elastomeric yarn but no rubber thread, not of heading 6001 Knitted or crocheted fabrics, width exceeding 30 cm, containing 5% or more of elastomeric yarn and rubber thread, other than of heading 6001 Knitted or crocheted fabrics, width exceeding 30 cm, containing 5% or more of rubber thread, other than those</w:t>
      </w:r>
    </w:p>
    <w:p>
      <w:pPr>
        <w:pStyle w:val="Normal"/>
      </w:pPr>
      <w:r>
        <w:t>of heading 6001 Unbleached or bleached warp knit fabrics (including those made on galloon knitting machines) of cotton, other than of headings 6001 to 6004 Dyed warp knit fabrics (including those made on galloon knitting machines) of cotton, other than those of headings 6001 to 6004 Warp knit fabrics of yarns of different colors (including made on galloon knitting machines) of cotton, other than headings 6001 to 6004 Printed warp knit fabrics (including those made on galloon knitting machines) of</w:t>
      </w:r>
    </w:p>
    <w:p>
      <w:pPr>
        <w:pStyle w:val="Normal"/>
      </w:pPr>
      <w:r>
        <w:t>cotton, other than those of headings 6001 to 6004 Wrap knit fabrics of synthetic fibers,specified in subheading note 1 to this chapter excluding headings 6001 to 6004 Other wrap knit fabrics of synthetic fibers, bleached or unbleached, but not dyed and not specified in subheading note 1 to this chapter Other wrap knit fabrics of synthetic fibers, dyed, not specified in subheading note 1 to this chapter Other wrap knit fabrics of synthetic fibers, of yarns of different colors, not specified in subheading note 1 to this chapter Other wrap knit fabrics of synthetic fibers, printed, not specified in subheading note 1 to this chapter Unbleached or bleached warp knit fabrics (including made on galloon knitting machines) of artificial fiber, other than headings 6001 to 6004 Dyed warp knit fabrics (including those made on galloon knitting machines) of artificial fibers, other than those of headings 6001 to 6004 Warp knit fabrics of yarn of different color (including made on galloon knitting machine) of artificial fiber, other than headings 6001-6004 Printed</w:t>
      </w:r>
    </w:p>
    <w:p>
      <w:pPr>
        <w:pStyle w:val="Normal"/>
      </w:pPr>
      <w:r>
        <w:t>warp knit fabrics (including those made on galloon knitting machine) of artificial fibers, other than those of headings 6001 to 6004 Warp knit fabrics (including those made on galloon knitting machines) of wool or fine animal hair, other than those of headings 6001 to 6004 Warp knit fabric (including made on galloon knit machine), not of wool/fine animal hair, cotton or manmade fiber, not of headings 6001-6004 Knitted or</w:t>
      </w:r>
    </w:p>
    <w:p>
      <w:pPr>
        <w:pStyle w:val="Normal"/>
      </w:pPr>
      <w:r>
        <w:t>crocheted fabrics of wool or fine animal hair, nesoi Unbleached or bleached circular knit fabric, wholly of cotton yarns over 100 metric number per single yarn, nesoi Unbleached or bleached knitted or crocheted fabrics of cotton, nesoi Dyed circular knit fabric, wholly of cotton yarns over 100 metric number per single yarn, nesoi Dyed knitted or crocheted fabrics of cotton, nesoi Circular knit fabric, of yarns of different colors, wholly of cotton yarns over 100 metric number per single yarn, nesoi Knitted or crocheted fabrics of cotton, of yarns of different colors, nesoi Printed circular knit fabric, wholly of cotton yarns over 100 metric number per single yarn, nesoi Printed knitted or crocheted fabrics of cotton, nesoi Unbleached or bleached knitted or crocheted fabrics of synthetic fibers, nesoi Dyed knitted or crocheted fabrics of synthetic fibers, nesoi Knitted or crocheted fabrics of synthetic fibers, of yarns of different colors, nesoi Printed knitted or crocheted fabrics of synthetic fibers, nesoi Unbleached or bleached knitted or crocheted fabrics of artificial fibers, nesoi</w:t>
      </w:r>
    </w:p>
    <w:p>
      <w:pPr>
        <w:pStyle w:val="Normal"/>
      </w:pPr>
      <w:r>
        <w:t>Dyed knitted or crocheted fabrics of artificial fibers, nesoi Knitted or crocheted fabrics of artificial fibers, of yarns of different colors, nesoi Printed knitted or crocheted fabrics of artificial fibers, nesoi Other knitted or crocheted fabrics nesoi, containing 85 percent or more by weight of silk or silk waste Other knitted or crocheted fabrics nesoi, other than of wool, cotton or</w:t>
      </w:r>
    </w:p>
    <w:p>
      <w:pPr>
        <w:pStyle w:val="Normal"/>
      </w:pPr>
      <w:r>
        <w:t>manmade fibers &amp; containing &lt; 85% by wt of silk/silk waste Men’s or boys’ overcoats, carcoats, capes, cloaks, anoraks, windbreakers and similar articles, knitted or crocheted, of cotton Men’s or boys’ overcoats, carcoats, capes and like articles knitted or crocheted, of man- made fibers, 25% or more by weight of leather Men’s or boy’s overcoat,etc.,knitted or crocheted, of manmade fibers, containing 23% or more wool or fine animal hair, nesoi Men’s or boy’s overcoats, carcoats, capes, cloaks, windbreakers and similar articles, knitted or crocheted, of man-made fibers, nesoi Men’s or boys’ overcoats, carcoats, capes, cloaks, windbreakers and similar articles, knitted or crocheted, of wool or fine animal hair Men’s or boys’ overcoats, carcoats, etc., of tex mats (other than wool, cotton or mmf), cont 70% or more wt of silk, knitted or crocheted Men’s or boys’ overcoats, carcoats, etc., of tex mats (other than wool, cotton or mmf), cont less than 70% wt silk, knitted or crocheted Women’s or girls’ overcoats, carcoats, capes, windbreakers and similar articles, knitted or crocheted,</w:t>
      </w:r>
    </w:p>
    <w:p>
      <w:pPr>
        <w:pStyle w:val="Normal"/>
      </w:pPr>
      <w:r>
        <w:t>of wool or fine animal hair Women’s or girls’ overcoats, carcoats, capes, cloaks, anoraks, windbreakers and similar articles, knitted or crocheted, of cotton Women’s or girls’ overcoats, carcoats, etc., knitted or crocheted, of manmade fibers, cont.</w:t>
      </w:r>
    </w:p>
    <w:p>
      <w:pPr>
        <w:pStyle w:val="Normal"/>
      </w:pPr>
      <w:r>
        <w:t>25% or more by weight of leather Women’s or girls’ overcoats, carcoats, etc., knitted or crocheted, of manmade fibers, containing 23% or more of wool or fine animal hair Women’s or girls’ overcoats, carcoats, capes, windbreakers and similar articles, knitted or crocheted, of manmade fibers, nesoi Women’s or girls’ overcoats, carcoats, etc., of tex mats (other than wool, cotton or mmf), cont 70% or more wt of silk, knitted or crochet Women’s or girls’ overcoats, carcoats, etc., of tex mats (other than wool, cotton or mmf), cont less than 70% wt of silk, knitted/crocheted Men’s or boys’ suits, knitted or crocheted, of wool or fine animal hair Men’s or boys’ suits, knitted or crocheted, of synthetic fibers, containing 23 percent or more of wool or fine animal hair Men’s or boys’ suits, knitted or crocheted, of synthetic fibers, nesoi Men’s or boys’ suits, knitted or crocheted, of artificial fibers, containing 23 percent or more of wool or fine animal hair Men’s or boys’ suits, knitted or crocheted, of artificial fibers,</w:t>
      </w:r>
    </w:p>
    <w:p>
      <w:pPr>
        <w:pStyle w:val="Normal"/>
      </w:pPr>
      <w:r>
        <w:t>nesoi Men’s or boys’ suits, knitted or crocheted, of cotton Men’s or boys’ suits, of tex mats(ex wool, cotton or mmf), containing 70% or more by weight of silk or silk waste, knitted or crocheted Men’s or boys’ suits, of tex mats (ex wool, cotton or mmf), containing under 70% by weight of silk or silk waste, knitted or crocheted Men’s or boys’ ensembles, knitted or crocheted, of cotton Men’s or boys’ ensembles, knitted or crocheted, of synthetic fibers Men’s or</w:t>
      </w:r>
    </w:p>
    <w:p>
      <w:pPr>
        <w:pStyle w:val="Normal"/>
      </w:pPr>
      <w:r>
        <w:t>boys’ ensembles, knitted or crocheted, of wool or fine animal hair Men’s or boys’ ensembles, knitted or crocheted, of artificial fibers Men’s or boys’ ensembles, knitted or crocheted, of textile materials nesoi Men’s or boys’ suit-type jackets and blazers, knitted or crocheted, of wool or fine animal hair Men’s or boys’ suit-type jackets and blazers, knitted or crocheted, of cotton Men’s or boys’ suit-type jackets and blazers, knitted or crocheted, of synthetic fibers, containing 23% or more of wool or fine animal hair Men’s or boys’ suit-type jackets and blazers, knitted or crocheted, of synthetic fibers, nesoi Men’s or boys’ suit-type jackets and blazers, knitted or crocheted, of artificial fibers Men’s or boys’ suit-type jackets and blazers, of textile mats, (except wool, cotton, or mmf), cont 70% or more by wt of silk, knitted/croc Men’s or boys’ suit-type jackets and blazers, of textile mats, (except wool, cotton, or mmf), cont less than 70% by wt of silk, knitted/croc Men’s or boys’ trousers, breeches and shorts, knitted or crocheted, of wool</w:t>
      </w:r>
    </w:p>
    <w:p>
      <w:pPr>
        <w:pStyle w:val="Normal"/>
      </w:pPr>
      <w:r>
        <w:t>or fine animal hair Men’s or boys’ bib and brace overalls, knitted or crocheted, of wool or fine animal hair Men’s or boys’ trousers, breeches and shorts, knitted or crocheted, of cotton Men’s or boys’ bib and brace overalls, knitted or crocheted, of cotton Men’s or boys’ trousers, breeches and shorts, knitted or crocheted, of syn.</w:t>
      </w:r>
    </w:p>
    <w:p>
      <w:pPr>
        <w:pStyle w:val="Normal"/>
      </w:pPr>
      <w:r>
        <w:t>fibers, cont.</w:t>
      </w:r>
    </w:p>
    <w:p>
      <w:pPr>
        <w:pStyle w:val="Normal"/>
      </w:pPr>
      <w:r>
        <w:t>23 percent or more of wool or fine animal hair Men’s or boys’ trousers, breeches and shorts, knitted or crocheted, of synthetic fibers, nesoi Men’s and boys’ bib and brace overalls of synthetic fibers, knitted or crocheted Men’s or boys’ trousers, breeches and shorts, knitted or crocheted, of artificial fibers Men’s or boys’ bib and brace overalls, knitted or crocheted, of artificial fibers Men’s or boys’ trousers, bib and brace overalls, breeches and shorts, of tex mat (except wool, cot or mmf), con 70% or more wt of silk, k/c Men’s or boys’ trousers, bib and brace overalls, breeches and shorts, of tex mat (except wool, cot or mmf), con under 70% by wt of silk, k/c Women’s or girls’ suits, knitted or crocheted, of synthetic fibers, containing 23 percent or more of wool or fine animal hair Women’s or girls’ suits, knitted or crocheted, of synthetic fibers, nesoi Women’s or girls’ suits, knitted or crocheted, of artificial fibers, containing 23 percent or more of wool or fine animal hair</w:t>
      </w:r>
    </w:p>
    <w:p>
      <w:pPr>
        <w:pStyle w:val="Normal"/>
      </w:pPr>
      <w:r>
        <w:t>Women’s or girls’ suits, knitted or crocheted, of artificial fibers, nesoi Women’s or girls’ suits, of tex mats (ex wool, cotton or mmf), containing 70% or more by weight of silk or silk waste, knitted or crocheted Women’s or girls’ suits, knitted or crocheted, of wool or fine animal hair Women’s or girls’ suits, knitted or crocheted, of cotton Women’s or girls’ suits, of tex mats (ex wool, cotton or mmf), containing under 70% by weight of silk or silk waste, knitted or crocheted Women’s or</w:t>
      </w:r>
    </w:p>
    <w:p>
      <w:pPr>
        <w:pStyle w:val="Normal"/>
      </w:pPr>
      <w:r>
        <w:t>girls’ ensembles, knitted or crocheted, of cotton Women’s or girls’ ensembles, knitted or crocheted, of synthetic fibers Women’s or girls’ ensembles, knitted or crocheted, of wool or fine animal hair Women’s or girls’ ensembles, knitted or crocheted, of artificial fibers Women’s or girls’ ensembles, knitted or crocheted, of textile materials nesoi Women’s or girls’ suit-type jackets and blazers, knitted or crocheted, of wool or fine animal hair Women’s or girls’ suit-type jackets and blazers, knitted or crocheted, of cotton Women’s or girls’ suit-type jackets &amp; blazers, knit or crocheted, of synthetic fibers, cont.</w:t>
      </w:r>
    </w:p>
    <w:p>
      <w:pPr>
        <w:pStyle w:val="Normal"/>
      </w:pPr>
      <w:r>
        <w:t>23% or more of wool or fine animal hair Women’s or girls’ suit-type jackets and blazers, knitted or crocheted, of synthetic fibers, nesoi Women’s or girls’ suit-type jackets, knitted or crocheted, of artificial fibers Women’s or girls’ suit-type jackets, knitted or crocheted, of textile materials nesoi Women’s or girls’ dresses, knitted or crocheted, of wool or fine animal hair Women’s or girls’ dresses, knitted or crocheted, of cotton Women’s or girls’ dresses, knitted or crocheted, of synthetic fibers, containing 23 percent or more of wool or fine animal hair Women’s or girls’ dresses, knitted or crocheted, of synthetic fibers, nesoi Women’s or girls’ dresses, knitted or crocheted, of artificial fibers, containing 23 percent or more of wool or fine animal hair Women’s or girls’ dresses, knitted or crocheted, of artificial fibers, nesoi Women’s or girls’ dresses,</w:t>
      </w:r>
    </w:p>
    <w:p>
      <w:pPr>
        <w:pStyle w:val="Normal"/>
      </w:pPr>
      <w:r>
        <w:t>of textile mats (ex wool, cotton or mmf), containing 70% or more by weight of silk or silk waste, knitted or croc Women’s or girls’ dresses, of textile mats (ex wool, cotton or mmf), containing under 70% by weight of silk or silk waste, knitted or croc Women’s or girls’ skirts and divided skirts, knitted or crocheted, of wool or fine animal hair Women’s or girls’ skirts and divided skirts, knitted or crocheted, of cotton Women’s or girls’ skirts &amp; divided skirts, knitted or crocheted, of synthetic fibers, cont.</w:t>
      </w:r>
    </w:p>
    <w:p>
      <w:pPr>
        <w:pStyle w:val="Normal"/>
      </w:pPr>
      <w:r>
        <w:t>23% or more of wool or fine animal hair Women’s or girls’ skirts and divided skirts, knitted or crocheted, of synthetic fibers, nesoi Women’s or girls’ skirts and divided skirts, knitted or crocheted, of artificial fibers Women’s or girls’ skirts &amp; divided skirts, of textile mats (ex wool, cotton or mmf), containing 70% or more by wt of silk, knitted or croc Women’s or girls’ skirts and divided skirts, of textile mats (ex wool, cotton or mmf), containing under 70% by wt of silk, knitted or croc Women’s or girls’ trousers, bib and brace overalls, breeches and shorts, knitted or crocheted, of wool or fine animal hair Women’s or girls’ bib and brace overalls, knitted or crocheted, of cotton Women’s or girls’ trousers, breeches and shorts, knitted or crocheted, of cotton Women’s or girls’ bib and brace overalls, knitted or crocheted, of synthetic fibers Women’s or girls’ trousers, etc., knitted or crocheted, of synthetic fibers, containing 23 percent or more of wool or</w:t>
      </w:r>
    </w:p>
    <w:p>
      <w:pPr>
        <w:pStyle w:val="Normal"/>
      </w:pPr>
      <w:r>
        <w:t>fine animal hair Women’s or girls’ trousers, breeches and shorts, knitted or crocheted, of synthetic fibers, nesoi Women’s or girls’ bib and brace overalls, knitted or crocheted, of artificial fibers Women’s or girls’ trousers, breeches and shorts, knitted or crocheted, of artificial fibers Women’s or girls’ trousers, bib &amp; brace overalls, breeches &amp; shorts, of tex mats (ex wool, cotton or mmf), cont 70% or more wt of silk, k/c Women’s or girls’ trousers, bib &amp; brace overalls, breeches &amp; shorts, of tex mats (ex wool, cotton or mmf), cont under 70% by wt of silk, k/c Men’s or boys’ shirts, knitted or crocheted, of cotton Men’s or boys’ shirts, knitted or crocheted, of manmade fibers, containing 23 percent or more of wool or fine animal hair Men’s or boys’ shirts, knitted or crocheted, of manmade fibers, nesoi Men’s or boys’ shirts, knitted or crocheted, of wool or fine animal hair Men’s or boys’ shirts, of textile materials (ex wool, cotton or mmf), containing 70% or more by weight of</w:t>
      </w:r>
    </w:p>
    <w:p>
      <w:pPr>
        <w:pStyle w:val="Normal"/>
      </w:pPr>
      <w:r>
        <w:t>silk or silk waste, knitted/croch Men’s or boys’ shirts, of textile materials (ex wool, cotton or mmf), containing under 70% by weight of silk or silk waste, knitted/crochete Women’s or girls’ blouses and shirts, knitted or crocheted, of cotton Women’s or girls’ blouses and shirts, knitted or crocheted, of manmade fibers, containing 23 percent or more of wool or fine animal hair Women’s or girls’ blouses and shirts, knitted or crocheted, of man-made fibers, nesoi Women’s or girls’ blouses and</w:t>
      </w:r>
    </w:p>
    <w:p>
      <w:pPr>
        <w:pStyle w:val="Normal"/>
      </w:pPr>
      <w:r>
        <w:t>shirts, knitted or crocheted, of wool or fine animal hair Women’s or girls’ blouses and shirts, of textile materials (ex wool, cotton or mmf), containing 70% or more weight of silk, knitted or croc Women’s or girls’ blouses and shirts, of textile materials (ex wool, cotton or mmf), containing under 70% by weight of silk, knitted or croc Women’s or girls’ blouses and shirts, knitted or crocheted, of textile materials nesoi Men’s or boys’ underpants and briefs, knitted or crocheted, of cotton Men’s or boys’ underpants and briefs, knitted or crocheted, of man-made fibers Men’s or boys’ underpants &amp; briefs, of textile materials (ex cotton or mmf), containing 70% or more by weight of silk or silk waste, k/croc Men’s or boys’ underpants and briefs, of textile materials (except cotton or mmf), containing under 70% by weight of silk, knitted or croc Men’s or boys’ nightshirts and pajamas, knitted or crocheted, of cotton Men’s or boys’ nightshirts and pajamas, knitted or crocheted, of man-made fibers Men’s or boys’ nightshirts and</w:t>
      </w:r>
    </w:p>
    <w:p>
      <w:pPr>
        <w:pStyle w:val="Normal"/>
      </w:pPr>
      <w:r>
        <w:t>pajamas, knitted or crocheted, of wool or fine animal hair Men’s or boys’ nightshirts and pajamas, of textile materials (ex cotton, mmf or wool), containing 70% or more by wt of silk, knitted or croc Men’s or boys’ nightshirts and pajamas, of textile materials (ex cotton, mmf or wool), containing under 70% by wt of silk, knitted or croc Men’s or boys’ bathrobes, dressing gowns and similar articles, knitted or crocheted, of cotton Men’s or boys’ bathrobes,</w:t>
      </w:r>
    </w:p>
    <w:p>
      <w:pPr>
        <w:pStyle w:val="Normal"/>
      </w:pPr>
      <w:r>
        <w:t>dressing gowns and similar articles, knitted or crocheted, of man-made fibers Men’s or boys’ bathrobes, dressing gowns and similar articles, knitted or crocheted, of wool or fine animal hair Men’s or boys’ bathrobes, dressing gowns, &amp; similar articles, of textile materials (except wool), containing 70% or more by wt of silk, k/c Men’s or boys’ bathrobes, dressing gowns, and similar articles, of textile materials (except wool), containing under 70% by wt of silk, k/c Women’s or girls’ slips and petticoats, knitted or crocheted, of man-made fibers Women’s or girls’ slips and petticoats, of textile materials (except mmf), containing 70% or more by weight of silk, knitted or crocheted Women’s or girls’ slips and petticoats, of textile materials (except mmf), containing under 70% by weight of silk, knitted or crocheted Women’s or girls’ briefs and panties, knitted or crocheted, of cotton Women’s or girls’ disposable briefs and panties designed for one-time use, of man- made fibers, knitted or crocheted Women’s or girls’ briefs and panties (other than disposable), of man-made fibers,</w:t>
      </w:r>
    </w:p>
    <w:p>
      <w:pPr>
        <w:pStyle w:val="Normal"/>
      </w:pPr>
      <w:r>
        <w:t>knitted or crocheted Women’s or girls’ briefs and panties (other than disposable), of text materials (other than cotton or mmf) cont 70% or more wt of silk, k/c Women’s or girls’ briefs and panties (other than disposable), of text mats (other than cotton or mmf) cont under 70% by wt of silk, k/c Women’s or girls’ nightdresses and pajamas, knitted or crocheted, of cotton Women’s or girls’ nightdresses</w:t>
      </w:r>
    </w:p>
    <w:p>
      <w:pPr>
        <w:pStyle w:val="Normal"/>
      </w:pPr>
      <w:r>
        <w:t>and pajamas, knitted or crocheted, of man-made fibers Women’s or girls’ nightdresses and pajamas, knitted or crocheted, of wool or fine animal hair Women’s or girls’ nightdresses &amp; pajamas, con. 70% or more by wt of silk or silk waste, knitted or crocheted Women’s or girls’ nightdresses &amp; pajamas, of textiles (except of cotton/mmf/wool), con. under 70% by wt of silk, knitted or crocheted Women’s or girls’ negligees, bathrobes, dressing gowns and similar articles, knitted or crocheted, of cotton Women’s or girls’ negligees, bathrobes, dressing gowns and similar articles, knitted or crocheted, of man-made fibers Women’s or girls’ negligees, bathrobes, dressing gowns and similar articles, knitted or crocheted, of wool or fine animal hair Women’s or girls’ bathrobes, negligees, &amp; sim. articles, con. 70% or more by wt of silk or silk waste, knitted or crocheted Women’s or girls’ bathrobes, negligees, &amp; sim.</w:t>
      </w:r>
    </w:p>
    <w:p>
      <w:pPr>
        <w:pStyle w:val="Normal"/>
      </w:pPr>
      <w:r>
        <w:t>articles, of textiles (except of cotton/mmf/wool), con under 70% by wt of silk, k/c T-shirts, singlets, tank tops and similar garments, knitted or crocheted, of cotton T-shirts, singlets, tank tops and similar garments, knitted or crocheted, of man-made fibers T-shirts and similar garments, knitted or crocheted, of wool, with long sleeves T-shirts, singlets tanktops &amp; sim garments, of text mat (except cotton, mmf or long sleeve wool garments), cont 70% or more wt of silk, k/c T-shirts, singlets tanktops and sim garments, of text mat (except cotton, mmf or long sleeve wool garments), cont under 70% wt of silk, k/c Sweaters, pullovers, sweatshirts, waistcoats (vests) and similar articles, knitted or crocheted, of wool Sweaters, pullovers, sweatshirts, waistcoats (vests) and similar articles, knitted or crocheted, of Kashmir goats, wholly of cashmere Sweaters, pullovers, sweatshirts, waistcoats (vests) and similar articles, knitted or crocheted, of Kashmir goats, not wholly of cashmere Sweaters, pullovers, sweatshirts, waistcoats (vests) and similar articles, knitted or crocheted, of fine animal hair Sweaters, pullovers and similar articles, knitted or</w:t>
      </w:r>
    </w:p>
    <w:p>
      <w:pPr>
        <w:pStyle w:val="Normal"/>
      </w:pPr>
      <w:r>
        <w:t>crocheted, of cotton, containing 36 percent or more of flax fibers Sweaters, pullovers and similar articles, knitted or crocheted, of cotton, nesoi Sweaters, pullovers, sweatshirts and similar articles, knitted or crocheted, of man-made fibers, cont.</w:t>
      </w:r>
    </w:p>
    <w:p>
      <w:pPr>
        <w:pStyle w:val="Normal"/>
      </w:pPr>
      <w:r>
        <w:t>25% or more by weight of leather Sweaters, etc., knitted or crocheted, of manmade fibers, containing 23% or more of wool or fine animal hair Sweaters, pullovers &amp; similar articles, knitted or crocheted, of manmade fibers, containing 30 percent or more of silk or silk waste Sweaters, pullovers and similar articles, knitted or crocheted, of manmade fibers, nesoi Sweaters, pullovers, sweatshirts, vests and similar articles, of text mat (except wool, cotton or mmf), cont 70% or more by wt of silk, k/c Sweaters, pullovers, sweatshirts, vests and sim articles, of text mat (except wool, cotton or mmf), containing under 70% by wt of silk, k/c Babies’ blouses and shirts, except those imported as parts of sets, knitted or crocheted, of cotton Babies’ T-shirts, singlets and similar garments, except those imported as parts of sets, of cotton Babies’ sweaters, pullovers, sweatshirts and similar articles, except those imported as parts of sets, knitted or crocheted, of cotton Babies’ dresses, knitted or crocheted, of cotton Babies’ trousers, breeches and shorts, except those imported</w:t>
      </w:r>
    </w:p>
    <w:p>
      <w:pPr>
        <w:pStyle w:val="Normal"/>
      </w:pPr>
      <w:r>
        <w:t>as parts of sets, knitted or crocheted, of cotton Babies’ garments and clothing accessories, knitted or crocheted, of cotton, nesoi Babies’ trousers, breeches and shorts, except those imported as parts of sets, knitted or crocheted, of synthetic fibers Babies’ blouses and shirts, except those imported as parts of sets, knitted or crocheted, of synthetic fibers Babies’ T-shirts, singlets and similar garments,</w:t>
      </w:r>
    </w:p>
    <w:p>
      <w:pPr>
        <w:pStyle w:val="Normal"/>
      </w:pPr>
      <w:r>
        <w:t>except those imported as parts of sets, knitted or crocheted, of synthetic fibers Babies’ sweaters, pullovers and similar articles, except those imported as parts of sets, knitted or crocheted, of synthetic fibers Babies’ garments and clothing accessories, knitted or crocheted, of synthetic fibers, nesoi Babies’ garments and clothing accessories, knitted or crocheted, of wool or fine animal hair Babies’ trousers, breeches and shorts, except those imported as parts of sets, knitted or crocheted, of artificial fibers Babies’ blouses and shirts, except those imported as parts of sets, knitted or crocheted, of artificial fibers Babies’ T-shirts, singlets and similar garments, except those imported as parts of sets, knitted or crocheted, of artificial fibers Babies’ sweaters, sweatshirts, and similar articles, except those imported as parts of sets, knitted or crocheted, of artificial fibers Babies’ garments and clothing accessories, knitted or crocheted, of artificial fibers, nesoi Babies garments and clothing accessories, of textile materials (except wool, cotton or mmf), containing 70% or more by weight of silk, k/c Babies garments and clothing accessories,</w:t>
      </w:r>
    </w:p>
    <w:p>
      <w:pPr>
        <w:pStyle w:val="Normal"/>
      </w:pPr>
      <w:r>
        <w:t>of textile materials (except wool, cotton or mmf), containing under 70% by weight of silk, k/c Track suits, knitted or crocheted, of cotton Track suits, knitted or crocheted, of synthetic fibers Track suits, knitted or crocheted, of artificial fibers Track suits, of textile materials (except cotton or mmf), containing 70%</w:t>
      </w:r>
    </w:p>
    <w:p>
      <w:pPr>
        <w:pStyle w:val="Normal"/>
      </w:pPr>
      <w:r>
        <w:t>or more by weight of silk or silk waste, knitted or crocheted Track suits, of textile materials (except cotton or mmf), containing less than 70% by weight of silk or silk waste, knitted or crocheted Ski-suits, knitted or crocheted, of man-made fibers Ski-suits, knitted or crocheted, of textile materials other than man-made fibers Men’s or boys’ swimwear, knitted or crocheted, of synthetic fibers Men’s or boys’ swimwear, knitted or crocheted, of textile materials other than synthetic fibers Women’s or girls’ knitted or crocheted swimwear of synthetic fibers Women’s or girls’ swimwear, knitted or crocheted, of textile materials other than synthetic fibers Garments nesoi, made up of k/c fabrics of 5903, 5906 or 5907, w an outer surf impreg, coated, cov, or lam w rub/p mat which obscures the fab Garments nesoi, made up of k/c fabrics of 5903, 5906 or 5907, not impreg, coated, covered, or laminated w rubber or plastics materials Garments nesoi, knitted or crocheted, of cotton Tops, knitted or crocheted, of man-made fibers Bodysuits and bodyshirts, knitted</w:t>
      </w:r>
    </w:p>
    <w:p>
      <w:pPr>
        <w:pStyle w:val="Normal"/>
      </w:pPr>
      <w:r>
        <w:t>or crocheted, of man-made fibers Garments nesoi, knitted or crocheted, of man-made fibers Garments nesoi, knitted or crocheted, of wool or fine animal hair Other garments nesoi, of textile materials (except wool, cotton or mmf), contain 70% or more by weight of silk or silk waste, knitted/croch Other garment, nesoi, of textile materials (except wool, cotton or mmf), containing under 70% by wt of silk or silk waste,</w:t>
      </w:r>
    </w:p>
    <w:p>
      <w:pPr>
        <w:pStyle w:val="Normal"/>
      </w:pPr>
      <w:r>
        <w:t>knitted/crocheted Surgical panty hose and surgical stockings with graduated compression for orthopedic treatment Graduated compression panty hose and tights (not for orthopedic treatment), of synthetic fibers Graduated compression panty hose and tights (not for orthopedic treatment), of textile materials except synthetic fibers Graduated compression hosiery (except pantyhose and tights) (not for orthopedic treatment), of cotton Graduated compression hosiery (except pantyhose and tights) (not for orthopedic treatment), of synthetic fibers Graduated compression hosiery (except pantyhose and tights) (not for orthopedic treatment), of artificial fibers Graduated compression hosiery (except pantyhose and tights) (not for orthopedic treatment), nesoi Panty hose and tights (not graduated compression), knitted or crocheted, of synthetic fibers, measuring per single yarn less than 67 decitex Panty hose and tights (not graduated compression), knitted or crocheted, of synthetic fibers, measuring per single yarn 67 decitex or more Panty hose (not graduated compressoin) and tights, containing 70% or more by weight of silk or silk waste, knitted or crocheted Panty hose (not surgical) and tights, of textile materials nesoi, knitted or</w:t>
      </w:r>
    </w:p>
    <w:p>
      <w:pPr>
        <w:pStyle w:val="Normal"/>
      </w:pPr>
      <w:r>
        <w:t>crocheted Women’s full-length or knee-length hosiery, measuring per single yarn less than 67 decitex containing 70% or more by wt of silk, knit/croc Women’s full-length or knee-length hosiery, measuring per single yarn less than 67 decitex containing under</w:t>
      </w:r>
    </w:p>
    <w:p>
      <w:pPr>
        <w:pStyle w:val="Normal"/>
      </w:pPr>
      <w:r>
        <w:t>70% by wt of silk, knitted/croc Hosiery nesoi, knitted or crocheted, of wool or fine animal hair Stockings, socks, etc.</w:t>
      </w:r>
    </w:p>
    <w:p>
      <w:pPr>
        <w:pStyle w:val="Normal"/>
      </w:pPr>
      <w:r>
        <w:t>(not surgical), knitted or crocheted, of cotton, containing lace or net Stockings, socks, etc. nesoi (not surgical and not containing lace or net), knitted or crocheted, of cotton Stockings, socks, etc. nesoi, knitted or crocheted, of synthetic fibers, containing lace or net Stockings, socks, etc. nesoi, knitted or crocheted, of synthetic fibers (not containing lace or net) Hosiery nesoi, of artificial fibers, containing lace or net Hosiery nesoi, knitted or crocheted, of artificial fibers, other than those containing lace or net Stockings and other hosiery, including footwear without applied soles, of textile materials(except mmf), cont 70% or more by wt of silk, k/c Stockings and other hosiery, including footwear without applied soles, of textile materials(except mmf), cont under 70% by wt of silk, knitt Ice hockey and field hockey gloves, knitted or crocheted, impregnated, coated or covered with plastics or rubber Other gloves, mittens and mitts, the foregoing specially designed for sports use, incl. ski and snowmobile gloves, mittens and mitts Gloves, mittens &amp; mitts, w/o four., k/c, coated w. plastics/rubber nesoi, cut &amp; sewn, of veg. fibers, cont.</w:t>
      </w:r>
    </w:p>
    <w:p>
      <w:pPr>
        <w:pStyle w:val="Normal"/>
      </w:pPr>
      <w:r>
        <w:t>&gt; 50% by wt. of plastics/rubber Gloves, mittens &amp; mitts, w/o four., k/c, coated w. plastics/rubber, nesoi, cut &amp; sewn, of veg. fibers, cont.</w:t>
      </w:r>
    </w:p>
    <w:p>
      <w:pPr>
        <w:pStyle w:val="Normal"/>
      </w:pPr>
      <w:r>
        <w:t>50 % or less wt. of plas./rub.</w:t>
      </w:r>
    </w:p>
    <w:p>
      <w:pPr>
        <w:pStyle w:val="Normal"/>
      </w:pPr>
      <w:r>
        <w:t>Gloves, mittens &amp; mitts(excl sports), impreg etc, cut &amp; sewn from pre-exist non-veg fib impreg fab, w/o fourch, con ov 50% wt plast/rub k/c Gloves, mittens &amp; mitts(excl sports), impreg etc, cut &amp; sewn from pre-exist non-veg fib impreg fab, w/o fourch, con &lt; 50% wt pla/rub k/c Gloves, mittens &amp; mitts(excl ports), impreg etc, not cut &amp; sewn from pre-existing fabric, w/o fourch, con 50% or more wt of tex fibers, k/c Gloves, mittens &amp; mitts(excl sports), impreg etc, not cut &amp; sewn from pre-existing fabric, w/o fourch, cont &lt; 50% by wt of text fib, k/c Gloves, mittens &amp; mitts(excl sports), impreg etc, not cut &amp; sewn from pre-existing fabric, with fourch, con 50% or more wt of text fib, k/c Gloves, mittens &amp; mitts(excl sports), impreg etc, not cut &amp; sewn from pre-existing fab, w fourch, cont &lt; 50% by wt of textile fiber, k/c Gloves, mittens and mitts, knitted or crocheted, of wool or fine animal hair Ice hockey and field hockey gloves, knitted or crocheted,</w:t>
      </w:r>
    </w:p>
    <w:p>
      <w:pPr>
        <w:pStyle w:val="Normal"/>
      </w:pPr>
      <w:r>
        <w:t>of cotton, not impregnated, coated or covered with plastics or rubber Gloves, etc., specially designed for sports, including ski and snowmobile gloves, mittens and mitts, knitted or crocheted, of cotton Gloves, mittens &amp; mitts, (excl.</w:t>
      </w:r>
    </w:p>
    <w:p>
      <w:pPr>
        <w:pStyle w:val="Normal"/>
      </w:pPr>
      <w:r>
        <w:t>ski or snowmobile), knitted or crocheted, of cotton, made from a pre-existing machine knit fabric, w/o four.</w:t>
      </w:r>
    </w:p>
    <w:p>
      <w:pPr>
        <w:pStyle w:val="Normal"/>
      </w:pPr>
      <w:r>
        <w:t>Gloves, mittens &amp; mitts (excl. ski or snowmobile), k/c, of cotton, from a pre-existing machine knit fabric, with fourchettes Gloves, mittens &amp; mitts, (excl.</w:t>
      </w:r>
    </w:p>
    <w:p>
      <w:pPr>
        <w:pStyle w:val="Normal"/>
      </w:pPr>
      <w:r>
        <w:t>ski or snowmobile), k/c, of cotton, not made from a pre existing machine knit fabric, w/o fourchettes Gloves, mittens &amp; mitts, of cotton, k/c, not impreg. etc. with plas./rub., not from pre ex. mach. knit fabric, not for sports, with four. Ice hockey and field hockey gloves, knitted or crocehted, of synthetic fibers, not impregnated, coated or covered with plastics or rubber Gloves, mittens &amp; mitts, for sports use, (incl. ski and snowmobile gloves, etc.), of synthetic fibers Gloves, mittens &amp; mitts (excl. those designed for sports etc.), k/c, of synthetic fiber, cont. 23% or more wt. of wool etc., w/o four. Gloves, mittens &amp; mitts (excl. those designed for sports etc.), k/c, of synthetic fibers, cont. 23% or more wt. of wool etc., with four.</w:t>
      </w:r>
    </w:p>
    <w:p>
      <w:pPr>
        <w:pStyle w:val="Normal"/>
      </w:pPr>
      <w:r>
        <w:t>Gloves, mittens &amp; mitts (excl. those designed for sports etc.), k/c, of synthetic fibers, under 23% by wt. of wool etc., w/o fourchettes Gloves, mittens &amp; mitts (excl. those designed for sports etc.), k/c, of synthetic fibers, under 23% by wt. of wool etc., with fourchettes Ice hockey and field hockey gloves, knitted or crocheted, of artificial fibers, not impregnated, coated or covered with plastics or rubber Gloves, mittens &amp; mitts specially designed for sports, including ski and snowmobile gloves, mittens and mitts, of artificial fibers Gloves, mittens &amp; mitts (excl. those designed for sports etc.), knitted/crocheted, of artificial fibers, without fourchettes Gloves, mittens &amp; mitts (excl.</w:t>
      </w:r>
    </w:p>
    <w:p>
      <w:pPr>
        <w:pStyle w:val="Normal"/>
      </w:pPr>
      <w:r>
        <w:t>those designed for sports etc.), knitted or crocheted, of artificial fibers, with fourchettes Gloves, mittens and mitts, of textile materials(except wool, cotton or mmf), containing 70% or more by wt of silk or silk waste, knit/croc Gloves, mittens and mitts, of textile materials(except wool, cotton or mmf), containing under 70% by weight of silk or silk waste, knit/croc Shawls, scarves, mufflers, mantillas, veils and the like, knitted or crocheted, of wool or fine animal hair Shawls, scarves, mufflers, mantillas, veils and the like, knitted or crocheted, of man- made fibers Shawls, scarves, etc., knitted or crocheted, containing 70% or more by weight of silk or silk waste Shawls, scarves, mufflers, mantillas, veils and the like, nesoi Ties, bow ties and cravats, containing 70% or more by weight of silk or silk waste, knitted or crocheted Made up clothing accessories(excl shawls, scarves, mufflers, mantillas, veils and the like;</w:t>
      </w:r>
    </w:p>
    <w:p>
      <w:pPr>
        <w:pStyle w:val="Normal"/>
      </w:pPr>
      <w:r>
        <w:t>ties and cravat), containing &gt;= 70% wt of silk, Headbands, ponytail holders &amp; similar articles, of textile materials other than containing 70% or more by weight of silk, knitted/crocheted Ties, bow ties and cravats, containing under 70% by weight of silk or silk waste, knitted or crocheted Made up clothing accessories (excl shawl, scarve, and like, tie, cravat, headband, ponytail holder and like), cont &lt; 70% wt of silk, k/c Parts of garments or of clothing accessories, containing 70% or more by weight of silk or silk waste, knitted or crocheted</w:t>
      </w:r>
    </w:p>
    <w:p>
      <w:pPr>
        <w:pStyle w:val="Normal"/>
      </w:pPr>
      <w:r>
        <w:t>Parts of garments or of clothing accessories, containing under 70% by weight of silk or silk waste, knitted or crocheted Men’s or boys’ overcoats, carcoats, capes, cloaks and similar coats of wool or fine animal hair, not knitted or crocheted Men’s or boys’ overcoats, carcoats, capes, &amp; similar coats of cotton, not knit or crocheted, containing 15% or more by wt of down, etc Men’s or boys’ overcoats, carcoats, capes, &amp; similar coats of cotton, not knit or crocheted, not containing 15% or more by wt of down, etc Men’s or boys’ overcoats, carcoats, capes, &amp; like coats of man-made fibers, not knit or crocheted, cont. 15% or more by wt of down, etc Men’s or boys’ overcoats, carcoats, capes, &amp; like coats of manmade fibers, not knit or crocheted, cont.</w:t>
      </w:r>
    </w:p>
    <w:p>
      <w:pPr>
        <w:pStyle w:val="Normal"/>
      </w:pPr>
      <w:r>
        <w:t>36 percent or more of wool, nesoi Men’s or boys’ overcoats, carcoats, capes, cloaks and similar coats, not knitted or crocheted, of manmade fibers, nesoi Men’s or boys’ overcoats, carcoats, capes, cloaks, &amp; sim coats, of tex mats(except wool, cotton or mmf), cont &gt; or = 70% by wt silk, not k/c Men’s or boys’ overcoats, carcoats, capes, cloaks, &amp; sim coats, of tex mats(except wool, cotton or mmf), cont under 70% by wt silk, not k/c Rec. perf.</w:t>
      </w:r>
    </w:p>
    <w:p>
      <w:pPr>
        <w:pStyle w:val="Normal"/>
      </w:pPr>
      <w:r>
        <w:t>outwear, men’s/boys’ padded, sleevels jackets, not knit/crochet, of wool or fine animal Rec perf outwear, men’s or boys’ anoraks, windbreakers and similar articles nesoi, not knitted or crocheted, of wool or fine animal hair Men’s or boys’ padded, sleeveless jackets, not knitted or crocheted, of wool or fine animal hair, o/than rec. perf outwear Men’s or boys’ anoraks, windbreakers and similar articles nesoi, not knitted or crocheted, of wool or fine animal hair, o/than rec perf outwear Rec perf outwear, men’s/boys’ anoraks, windbreakers &amp; similar articles, not knit/crocheted, of cotton, containing 15% or more by weight of down, etc Rec perf outwear, men’s or boys’ anoraks, windbreakers and similar articles, nesoi, not knitted or crocheted, of cotton, water resistant Rec perf outwear, men’s/boys’ anoraks, windbreakers &amp; similar articles nesoi, not knit/crochet, of cotton, not cont.</w:t>
      </w:r>
    </w:p>
    <w:p>
      <w:pPr>
        <w:pStyle w:val="Normal"/>
      </w:pPr>
      <w:r>
        <w:t>15% or more by wt of down, etc Men’s/boys’ anoraks, windbreakers &amp; sim articles, not knit/crochet, cotton, containing 15% or more by weight down, etc, o/than rec perf outwear Men’s or boys’ anoraks, windbreakers and similar articles, nesoi, not knitted or crocheted, of cotton, water resistant, o/than rec perf outwear Men’s or boys’ anoraks, windbreakers &amp; sim articles nesoi, not knit/crochet, cotton, not cont. 15% or more by wt of down, etc, o/than rec perf outwear Rec perf outwear, men’s/boys’ anoraks, windbreakers &amp; similar articles, not knit/crochet, of man-made fibers, cont.</w:t>
      </w:r>
    </w:p>
    <w:p>
      <w:pPr>
        <w:pStyle w:val="Normal"/>
      </w:pPr>
      <w:r>
        <w:t>15% or more by wt of down, etc Rec perf outwear, men’s/boys’ padded, sleeveless jackets, not knit/ crochet, man-made fibers, not containing 15% or more by weight of down, etc Rec perf outwear, men’s/boys’ anoraks, etc, nesoi, not knit/crochet, of manmade fibers, containing 36 percent or more of wool or fine animal hair Rec perf outwear, men’s/boys’ anoraks, windbreakers and similar articles, not knitted or crocheted, of manmade fibers, nesoi, water resistant Rec perf outwear, men’s/boys’ anoraks, windbreakers and similar articles, not knitted or crocheted, of manmade fibers, nesoi Men’s/boys’ anoraks, windbreakers &amp; similar articles, not knit/crochet, man-made fibers, cont.</w:t>
      </w:r>
    </w:p>
    <w:p>
      <w:pPr>
        <w:pStyle w:val="Normal"/>
      </w:pPr>
      <w:r>
        <w:t>15% or more by wt of down, etc, o/than rec perf outwear Men’s/boys’ padded, sleeveless jackets, not knit/crochet, man-made fibers, not containing 15% or more by wt of down, etc, o/than rec perf outwear Men’s/boys’ anoraks, etc, nesoi, not knit/crochet, manmade fibers, containing 36 percent or more of wool or fine animal hair, o/than rec perf outwear Men’s or boys’ anoraks, windbreakers &amp; similar articles, not knitted or crocheted, of manmade fibers, nesoi, water resistant, o/than rec perf outwear Men’s or boys’ anoraks, windbreakers and similar articles, not knitted or crocheted, of manmade fibers, nesoi, o/than rec perf outwear Rec perf outwear, men’s/boys’ anoraks, wind-breakers &amp; sim articles, not k/c, of tex mats (except wool, cotton or mmf), cont 70% or more by wt silk Rec perf outwear, men’s/boys’</w:t>
      </w:r>
    </w:p>
    <w:p>
      <w:pPr>
        <w:pStyle w:val="Normal"/>
      </w:pPr>
      <w:r>
        <w:t>anoraks, wind-breakers &amp; sim articles, not k/c, text mats (not wool, cotton or mmf), cont under 70% by wt of silk Men’s/boys’ anoraks, wind-breakers &amp; sim articles, not k/c, tex mats (not wool, cotton or mmf), cont 70% or more by wt silk, o/than rec perf outwear men’s/boys’ anoraks, wind-breakers &amp; similar articles, not k/c, of text mats(except wool, cotton or mmf), cont under 70% by wt of silk, Women’s or girls’ overcoats, carcoats, capes, cloaks and similar coats, not knitted or crocheted, of wool or fine animal hair Women’s or girls’ overcoats, carcoats, etc, not knitted or crocheted, of cotton, containing 15% or more by weight of down, etc Women’s or girls’ overcoats, carcoats, etc, not knitted or crocheted, of cotton, not containing 15% or more by weight of down, etc Women’s or girls’ overcoats, carcoats, etc, not knitted or crocheted, of man-made fibers, containing 15% or more by weight of down, etc Women’s or girls’ overcoats, carcoats, etc, not knitted or crocheted, of m-m fibers, cont.</w:t>
      </w:r>
    </w:p>
    <w:p>
      <w:pPr>
        <w:pStyle w:val="Normal"/>
      </w:pPr>
      <w:r>
        <w:t>36% or more of wool or fine animal hair, nesoi Women’s or girls’ overcoats, carcoats, capes, cloaks and similar articles, not knitted or crocheted, of man-made fibers, nesoi Women’s or girls’ overcoats, carcoats, capes, cloaks &amp; sim coats, of tex mats(except wool, cotton or mmf), con 70% or more wt silk, not k/c Women’s or girls’ overcoats, carcoats, capes, cloaks &amp; sim coats, of tex mats(except wool, cotton or mmf), con under 70% wt silk, not k/c Rec perf outwear, women’s or girls’ padded, sleeveless jackets, not knitted or crocheted, of wool or fine animal hair Rec perf outwear, women’s or girls’ anoraks, windbreakers and similar articles nesoi, not knitted or crocheted, of wool or fine animal hair Women’s or girls’ padded, sleeveless jackets, not knitted or crocheted, of wool or fine animal hair, o/than rec perf outwear Women’s or girls’ anoraks, windbreakers and similar articles nesoi, not knitted or crocheted, of wool or fine animal hair, o/than rec pert outwear Rec perf outwear, women’s/girls’ anoraks, windbreakers 7 similar articles, not knitt/crochet, cotton, cont.</w:t>
      </w:r>
    </w:p>
    <w:p>
      <w:pPr>
        <w:pStyle w:val="Normal"/>
      </w:pPr>
      <w:r>
        <w:t>15% or more by weight of down Rec perf outwear, women’s/girls’ anoraks, windbreakers and similar articles, not knitted or crocheted, of cotton, nesoi, water resistant Rec perf outwear, women’s/girls’ anoraks, windbreakers &amp; similar articles, nt knit/crochet, of cotton, nt cont. 15% or more by wt of down, etc Women’s/girls’ anoraks, windbreakers &amp; similar articles, not knit/crochet, cotton, cont.</w:t>
      </w:r>
    </w:p>
    <w:p>
      <w:pPr>
        <w:pStyle w:val="Normal"/>
      </w:pPr>
      <w:r>
        <w:t>15% or more by weight of down, o/than rec perf outwear Women’s or girls’ anoraks, windbreakers and similar articles, not knitted or crocheted, of cotton, nesoi, water resistant, o/than rec perf outwear Women’s/girls’ anoraks, windbreakers &amp; similar articles, nt knit/crochet, cotton, nt cont. 15% or more by wt of down, etc, o/than rec perf outwear Women’s or girls’ anoraks, windbreakers &amp; like articles, not knitted or crocheted, of man-made fibers, cont. 15% or more by wt of down, etc Rec perf outwear, women’s/girls’ padded, sleeveless jackets, not knit/crochet, man- made fibers, not cont. 15% or more by weight of down, etc Rec perf outwear, women’s/girls’ anoraks, windbreakers, etc, nt knit/crochet, manmade fibers, cont. 36% or more of wool or fine animal hair, nesoi Rec perf outwear, women’s/girls’ anoraks, windbreakers &amp; similar articles, not knit/crochet, manmade fibers, nesoi, water resistant Rec perf outwear, women’s/girls’ anoraks, windbreakers &amp; similar articles, not knitted or crocheted, of man-made fibers, nesoi Women’s/girls’ anoraks, windbreakers &amp; like articles, not knit/crochet, man-made fibers, cont.</w:t>
      </w:r>
    </w:p>
    <w:p>
      <w:pPr>
        <w:pStyle w:val="Normal"/>
      </w:pPr>
      <w:r>
        <w:t>15% or more by wt of down, etc, o/than rec perf outwear Women’s/girls’ padded, sleeveless jackets, not knit/crochet, man-made fibers, not cont. 15% or more by wt of down, etc, o/than rec perf outwear Women’s/girls’ anoraks, windbreakers, etc, nt knit/crochet, mm fibers, cont.</w:t>
      </w:r>
    </w:p>
    <w:p>
      <w:pPr>
        <w:pStyle w:val="Normal"/>
      </w:pPr>
      <w:r>
        <w:t>36% or more wool or fine animal hair, nesoi, o/than rec perf outwear Women’s/girls’ anoraks, windbreakers &amp; similar articles, not knit/crochet, of manmade fibers, nesoi, water resistant, o/than rec perf outwer Women’s or girls’ anoraks, windbreakers and similar articles, not knitted or crocheted, of man-made fibers, nesoi, o/than rec perf outwear Rec perf outwear, women’s/girls’ anoraks, wind-breakers &amp; similar articles,not k/c, tex mats (not wool, cotton or mmf), cont 70% or more by wt silk Rec perf outwear, women’s/girls’ anoraks, wind-breakers &amp; similar articles, not k/c, tex mats (not wool, cotton or mmf), cont &lt; 70% by wt of silk Women’s/girls’ anoraks, wind-breakers, etc, not k/c, tex mats (not wool, cotton or mmf), cont 70% or more by wt silk, o/than rec perf outwear Women’s/girls’ anoraks, wind-breakers &amp; similar articles, not k/c, of tex mats (not wool, cotton or mmf), cont &lt; 70% by wt of silk, Men’s/boys’ suits of wool, not knitted or crocheted, 30% or more of silk or silk waste, of wool yarn w/avg fiber diameter 18.5</w:t>
      </w:r>
    </w:p>
    <w:p>
      <w:pPr>
        <w:pStyle w:val="Normal"/>
      </w:pPr>
      <w:r>
        <w:t>micron or &lt; Men’s or boys’ suits of wool or fine animal hair, not knitted or crocheted, containing 30 percent or more of silk or silk waste, nesoi Men’s or boys’ suits of wool, not knitted or crocheted, nesoi, of wool yarn with average fiber diameter of 18.5 micron or less Men’s or boys’ suits of wool or fine animal hair, not knitted or crocheted, nesoi Men’s or boys’ suits, of synthetic fibers, not knitted or crocheted, containing 36 percent or more</w:t>
      </w:r>
    </w:p>
    <w:p>
      <w:pPr>
        <w:pStyle w:val="Normal"/>
      </w:pPr>
      <w:r>
        <w:t>by weight of wool or fine animal hair Men’s or boys’ suits, of synthetic fibers, under 36% by weight of wool, not knitted or crocheted Men’s or boys’ suits, not knitted or crocheted, of cotton Men’s or boys’ suits, of artificial fibers, not knitted or crocheted, containing 36 percent or more of wool or fine animal hair Men’s or boys’ suits, of artificial fibers, nesoi, not knitted or crocheted Men’s or boys’ suits, of textile mats(except wool, cotton or mmf), containing 70% or more by weight of silk or silk waste, not knit or croch Men’s or boys’ suits, of textile mats(except wool, cotton or mmf), containing under 70% by weight of silk or silk waste, not knit or croch Men’s or boys’ judo, karate and other oriental martial arts uniforms, not knitted or crocheted, of cotton Men’s or boys’ ensembles, not knitted or crocheted, of cotton, other than judo, karate and other oriental martial arts uniforms Men’s or boys’ ensembles, not knitted or crocheted, of synthetic fibers Men’s or</w:t>
      </w:r>
    </w:p>
    <w:p>
      <w:pPr>
        <w:pStyle w:val="Normal"/>
      </w:pPr>
      <w:r>
        <w:t>boys’ ensembles, not knitted or crocheted, of worsted wool fabric with wool yarn having average fiber diameter of 18.5 micron or &lt; Men’s or boys’ ensembles, not knitted or crocheted, of wool or fine animal hair Men’s or boys’ ensembles, not knitted or crocheted, of artificial fibers Men’s or boys’ ensembles, not knitted or crocheted, of textile materials nesoi Men’s or boys’ suit-type jackets and blazers, of worsted wool fabric of wool yarn fiber avg diameter 18.5 micron or &lt;, not knitt/crocheted Men’s</w:t>
      </w:r>
    </w:p>
    <w:p>
      <w:pPr>
        <w:pStyle w:val="Normal"/>
      </w:pPr>
      <w:r>
        <w:t>or boys’ suit-type jackets and blazers, of wool or fine animal hair, not knitted or crocheted Men’s or boys’ suit-type jackets and blazers, not knitted or crocheted, of cotton, containing 36 percent or more of flax fibers Men’s or boys’ suit-type jackets and blazers, not knitted or crocheted, of cotton, under 36% by weight of flax Men’s or boys’ suit-type jackets and blazers, not knitted or crocheted, of synthetic fibers, cont.</w:t>
      </w:r>
    </w:p>
    <w:p>
      <w:pPr>
        <w:pStyle w:val="Normal"/>
      </w:pPr>
      <w:r>
        <w:t>36% or more of wool or fine animal hair Men’s or boys’ suit-type jackets and blazers, not knitted or crocheted, of synthetic fibers, under 36% by weight of wool Men’s or boys’ suit-type jackets and blazers, of artificial fibers, containing 36% or more by weight of wool or fine animal hair, not k/c Men’s or boys’ suit-type jackets and blazers, not knitted or crocheted, of artificial fibers, under 36% by weight of wool Men’s or boys’ suit-type jackets and blazers, of textile materials(except wool, cotton or mmf), cont 70% or more by weight of silk, not k/c Men’s or boys’ suit-type jackets and blazers, of text materials(except wool, cotton or mmf), containing under 70% by weight of silk, not k/c Rec perf outwear, men’s/boys’ trousers &amp; breeches, wool or fine an.</w:t>
      </w:r>
    </w:p>
    <w:p>
      <w:pPr>
        <w:pStyle w:val="Normal"/>
      </w:pPr>
      <w:r>
        <w:t>hair, cont elastomeric fib, water resist, w/o belt loops, weighing &gt;9 kg/doz Rec perf outwear, men’s/boys’ trousers and breeches, other than of HTS 6203.41.05, of wool yarn having average fiber diameter of 18.5 micron or less Rec perf outwear, men’s/boys’ trousers and breeches, other than of HTS 6203.41.05, nesoi Rec perf outwear, men’s/boys’ bib and brace overalls, not knitted or crocheted, of wool or fine animal hair Men’s/boys’ trousers &amp; breeches, wool or fine an. hair, cont elastomeric fib, water resist, w/o belt loops, wt &gt;9 kg/doz, o/than rec perf outwear Men’s/boys’ trousers and breeches, o/ than of HTS 6203.41.05, wool yarn w/ average fiber diam of 18.5 micron or less, o/than rec perf outwear Men’s or boys’ trousers and breeches, other than of HTSA 6203.41.05, nesoi, o/than rec perf outwear Men’s or boys’ bib and brace overalls, not knitted or crocheted, of wool or fine animal hair, o/than rec perf outwear Rec perf outwear, men’s/boys’ trousers, overalls &amp; shorts, not knit/crochet, of cotton, cont.</w:t>
      </w:r>
    </w:p>
    <w:p>
      <w:pPr>
        <w:pStyle w:val="Normal"/>
      </w:pPr>
      <w:r>
        <w:t>10 to 15% or more by weight of down Rec perf outwear, men’s/boys’ bib and brace overalls, not knitted or crocheted, of cotton, not containing 10 to 15% or more by weight of down, etc Rec perf outwear, men’s/boys’ trousers &amp; shorts, not bibs, not knit/crochet, cotton, not containing 15% or more by weight of down, etc Men’s or boys’ trousers, overalls &amp; shorts, not knitted or crocheted, of cotton, cont. 10 to 15% or more by weight of down.</w:t>
      </w:r>
    </w:p>
    <w:p>
      <w:pPr>
        <w:pStyle w:val="Normal"/>
      </w:pPr>
      <w:r>
        <w:t>o/than rec perf outwear Men’s/boys’ bib &amp; brace overalls, not knit/crochet, cotton, not containing 10 to 15% or more by weight of down, etc, o/than rec perf outwear Men’s/boys’ trousers &amp;shorts, not bibs, not knit/crochet, cotton, not containing 15% or more by weight of down, etc, o/than rec perf outwear Rec perf outwear, men’s/boys’ trousers, bib &amp; brace overalls, breeches &amp; shorts, not knit/crochet, syn. fibers, cont. 15% or more of down, etc Rec perf outwear, men’s/boys’ bib and brace overalls, not knitted or crocheted, of synthetic fibers, water resistant, not down Rec perf outwear, men’s/boys’ bib and brace overalls, not knitted or crocheted, of synthetic fibers, not down, not water resistant Rec perf outwear, men’s /boys’ trousers, etc, not knit/crochet, of synthetic fibers, containing 36 percent or more of wool or fine animal hair Rec perf outwear, men’s/boys’ trousers and breeches, not knitted or crocheted, of synthetic fibers, nesoi, water resistant Rec perf outwear, men’s/boys’ trousers, breeches &amp; shorts, not k/c, synth fibers, cont under 15% wt down etc, cont under 36% wt wool, n/water resist, Men’s /boys’ trousers, bib &amp; brace overalls, breeches &amp; shorts, not knit/crochet, syn. fibers, cont.</w:t>
      </w:r>
    </w:p>
    <w:p>
      <w:pPr>
        <w:pStyle w:val="Normal"/>
      </w:pPr>
      <w:r>
        <w:t>15% or more down, etc, o/than rec perf outwear Men’s or boys’ bib and brace overalls, not knitted or crocheted, of synthetic fibers, water resistant, not down, o/than rec perf outwear Men’s or boys’ bib and brace overalls, not knitted or crocheted, of synthetic fibers, not down, not water resistant, o/than rec perf outwear Men’s or boys’ trousers, breeches and shorts, not knitted or crocheted, of synthetic fibers, certified hand-loomed and folklore products Men’s/boys’ trousers, etc, not knit/crochet, synthetic fibers, containing 36 percent or more of wool or fine animal hair, o/than rec perf outwear Men’s or boys’ trousers and breeches, not knitted or crocheted, of synthetic fibers, nesoi, water resistant, o/than rec perf outwear Men’s/boys’ trousers, breeches, shorts, not k/c, synth fibers, con under 15% wt down etc, cont und 36% wt wool, n/water resist, not rec perf outwear Rec perf outwear, men’s/boys’ bib and brace overalls, not knitted or crocheted, of artificial fibers Rec perf outwear, men’s/boys’ trousers, breeches and shorts, not knitted or crocheted, of artificial fibers,</w:t>
      </w:r>
    </w:p>
    <w:p>
      <w:pPr>
        <w:pStyle w:val="Normal"/>
      </w:pPr>
      <w:r>
        <w:t>nesoi Rec perf outwear, men’s/boys’ trousers, bib &amp; brace overalls, breeches &amp; shorts, not k/c, tex mats (not wool, cotton, mmf), cont &gt; or = 70% wt silk Rec perf outwear, men’s/boys’ trousers, bib/brace overalls, breeches &amp; shorts, not k/c, tex mats (not wool, cotton, mmf), con &lt; 70% by wt silk, Men’s or boys’ bib and brace overalls, not knitted or crocheted, of artificial fibers, o/than rec</w:t>
      </w:r>
    </w:p>
    <w:p>
      <w:pPr>
        <w:pStyle w:val="Normal"/>
      </w:pPr>
      <w:r>
        <w:t>perf outwear Men’s or boys’ trousers, breeches and shorts, not knitted or crocheted, of artificial fibers, certified hand-loomed and folklore products Men’s or boys’ trousers, breeches and shorts, not knitted or crocheted, of artificial fibers, nesoi, o/than rec perf outwear Men’s/boys’ trousers, bib/brace overalls, breeches &amp; shorts, not k/c, tex mats (not wool, cotton, mmf), cont &gt; or = 70% wt silk, not rec P outwear Men’s/boys’ trousers, bib/brace overalls, breeches &amp; shorts, not k/c, tex mats (not wool, cotton, mmf), con &lt; 70% by wt silk, o/than rec perf outwear Women’s or girls’ suits, not knitted or crocheted, of wool or fine animal hair Women’s or girls’ suits, not knitted or crocheted, of cotton Women’s or girls’ suits, not knitted or crocheted, of synthetic fibers, containing 36 percent or more of wool or fine animal hair Women’s or girls’ suits, not knitted or crocheted, of synthetic fibers, nesoi Women’s or girls’ suits, not knitted or crocheted, of artificial fibers, containing 36 percent or more of wool or fine</w:t>
      </w:r>
    </w:p>
    <w:p>
      <w:pPr>
        <w:pStyle w:val="Normal"/>
      </w:pPr>
      <w:r>
        <w:t>animal hair Women’s or girls’ suits, not knitted or crocheted, of artificial fibers, nesoi Women’s or girls’ suits, of textile materials(except wool,cotton or mmf), containing 70% or more by weight of silk or silk waste, not k/c Women’s or girls’ suits, of textile material(except wool,cotton or mmf), containing under 70% by weight of silk or silk waste, not knit/croc Women’s or girls’ ensembles, not knitted or crocheted, of wool or fine animal hair</w:t>
      </w:r>
    </w:p>
    <w:p>
      <w:pPr>
        <w:pStyle w:val="Normal"/>
      </w:pPr>
      <w:r>
        <w:t>Women’s or girls’ judo, karate and other oriental martial arts uniforms, not knitted or crocheted, of cotton Women’s or girls’ ensembles, not knitted or crocheted, of cotton, other than judo, karate and other oriental martial arts uniforms Women’s or girls’ ensembles, not knitted or crocheted, of synthetic fibers Women’s or girls’ ensembles, not knitted or crocheted, of artificial fibers Women’s or girls’ ensembles, not knitted or crocheted, of textile materials nesoi Women’s or girls’ suit-type jackets &amp; blazers, of wool or fine animal hair, not knitted or crocheted, cont. 30% or more of silk/silk waste Women’s or girls’ suit-type jackets and blazers, of wool or fine animal hair, not knitted or crocheted, under 30% by weight of silk Women’s or girls’ suit-type jackets and blazers, of cotton, not knitted or crocheted, containing 36 percent or more of flax fibers Women’s or girls’ suit-type jackets and blazers, of cotton, not knitted or crocheted, under 36% flax Women’s or girls’ suit-type jackets and blazers, not knitted or crocheted, of synthetic fibers, cont.</w:t>
      </w:r>
    </w:p>
    <w:p>
      <w:pPr>
        <w:pStyle w:val="Normal"/>
      </w:pPr>
      <w:r>
        <w:t>30% or more of silk/silk waste Women’s or girls’ suit-type jackets and blazers, not knitted or crocheted, of synthetic fibers, containing 36 percent or more of flax fibers Women’s or girls’ suit-type jackets &amp; blazers, not knitted or crocheted, of synthetic fibers, cont.</w:t>
      </w:r>
    </w:p>
    <w:p>
      <w:pPr>
        <w:pStyle w:val="Normal"/>
      </w:pPr>
      <w:r>
        <w:t>36% or more of wool or fine animal hair Women’s or girls’ suit-type jackets and blazers, not knitted or crocheted, of synthetic fibers, nesoi Women’s or girls’ suit-type jackets &amp; blazers, not knitted or crocheted, of artificial fibers, cont. 36% or more of wool or fine animal hair Women’s or girls’ suit-type jackets and blazers, not knitted or crocheted, of artificial fibers, under 36% by weight of wool Women’s or girls’ suit-type jackets and blazers, not knitted/crocheted, of textile materials nesoi, cont.</w:t>
      </w:r>
    </w:p>
    <w:p>
      <w:pPr>
        <w:pStyle w:val="Normal"/>
      </w:pPr>
      <w:r>
        <w:t>70% + of silk or silk waste Women’s or girls’ suit-type jackets and blazers, not knitted or crocheted, of textile materials nesoi Women’s or girls’ dresses, not knitted or crocheted, of wool or fine animal hair, containing 30 percent of silk or silk waste Women’s or girls’ dresses, not knitted or crocheted, of wool or fine animal hair, under 30% by weight of silk Women’s or girls’ dresses, not knitted or crocheted, of cotton, certified hand-loomed and folklore products Women’s or girls’ dresses, not knitted or crocheted, of cotton, containing 36 percent or more of flax fibers, other than certified Women’s or girls’ dresses, not knitted or crocheted, of cotton, nesoi Women’s or girls’ dresses, not knitted or crocheted, of synthetic fibers, certified hand- loomed and folklore products Women’s or girls’ dresses, not knit or crocheted, of synthetic fibers, containing 30% or more of silk or silk waste, other than certified Women’s or girls’ dresses, of synthetic fibers, not</w:t>
      </w:r>
    </w:p>
    <w:p>
      <w:pPr>
        <w:pStyle w:val="Normal"/>
      </w:pPr>
      <w:r>
        <w:t>knitted or crocheted, containing 36 percent or more of wool or fine animal hair, nesoi Women’s or girls’ dresses, not knitted or crocheted, of synthetic fibers, nesoi Women’s or girls’ dresses, not knitted or crocheted, of artificial fibers, nesoi, certified hand-loomed and folklore products Women’s or girls’ dresses, not knitted or crocheted, of artificial fibers, containing 36 percent or more of wool or fine animal hair Women’s or girls’ dresses, not knitted or crocheted, of artificial fibers, nesoi Women’s or girls’ dresses, not knitted or crocheted, containing 70% or more by weight of silk or silk waste Women’s or girls’ dresses, not knitted or crocheted, of textile materials nesoi Women’s or girls’ skirts and divided skirts, not knitted or crocheted, of wool or fine animal hair Women’s or girls’ skirts and divided skirts, not knitted or crocheted, of cotton, certified hand-loomed and folklore products Women’s or girls’ skirts and divided skirts, not knitted or crocheted, of cotton, nesoi Women’s or girls’ skirts and divided skirts, not knitted or crocheted, of synthetic fibers, certified hand-loomed and folklore products Women’s or girls’ skirts &amp; divided skirts, nt knit or crocheted, of synthetic fibers, cont.</w:t>
      </w:r>
    </w:p>
    <w:p>
      <w:pPr>
        <w:pStyle w:val="Normal"/>
      </w:pPr>
      <w:r>
        <w:t>36% or more of wool or fine animal hair, nesoi Women’s or girls’ skirts and divided skirts, not knitted or crocheted, of synthetic fibers, nesoi Women’s or girls’ skirts and divided skirts, not knitted or crocheted, of artificial fibers, certified hand-loomed and folklore products Women’s or girls’ skirts &amp; divided skirts, nt knit or crocheted, of artificial fibers, cont.</w:t>
      </w:r>
    </w:p>
    <w:p>
      <w:pPr>
        <w:pStyle w:val="Normal"/>
      </w:pPr>
      <w:r>
        <w:t>36% or more of wool or fine animal hair, nesoi Women’s or girls’ skirts and divided skirts, not knitted or crocheted, of artificial fibers, nesoi Women’s or girls’ skirts and divided skirts, not knitted or crocheted, of textile materials nesoi Rec perf outwear, women’s/girls’ trousers &amp; breeches,not k/c, wool or f.a.h., cont elastomeric fib, water resist, w/o belt loops, wt &gt; 6 kg/doz, Rec perf outwear, women’s/girls’ trousers &amp; breeches, not k/c, wool, w/o elastomeric fib, not water resist, w belt loops, weighing under 6 kg/doz, Women’s or girls’ trousers &amp; breeches, not k/c, wool or f.a.h., cont elastomeric fib, water resist, w/o belt loops, wt &gt; 6 kg/doz, not rec perf outwr Women’s or girls’ trousers &amp; breeches, not k/c, wool, w/o elastomeric fib, not water resist, w/belt loops, wt under 6 kg/doz, o/than rec perf outwear Rec perf outwear, women’s/girls’ trousers, bib/brace overalls, breeches &amp; shorts, not knit/crochet, cotton, cont.</w:t>
      </w:r>
    </w:p>
    <w:p>
      <w:pPr>
        <w:pStyle w:val="Normal"/>
      </w:pPr>
      <w:r>
        <w:t>15% or more by wt of down, etc Rec perf outwear, women’s/girls’ bib and brace overalls, not knitted or crocheted, of cotton, not containing 15% or more by weight of down, etc Rec perf outwear, women’s or girls’ trousers, breeches and shorts, not knitted or crocheted, of cotton, nesoi Women’s/girls’ trousers, bib/brace overalls, breeches &amp; shorts, not knit/ crochet, cotton, cont. 15% or more by wt down, etc, o/than rec perf outwear Women’s/girls’ bib/brace overalls, not knit/crochet, cotton, not containing 15% or more by weight of down, etc. o/than rec perf outwear Women’s or girls’ trousers, breeches and shorts, not knitted or crocheted, of cotton, nesoi, certified hand-loomed and folklore products Women’s or girls’ trousers, breeches and shorts, not knitted or crocheted, of cotton, nesoi, o/than rec perf outwear Rec perf outwear, women’s/girls’ trousers, bib/brace overalls, breeches &amp; shorts, not knit/crochet, syn. fibers, cont. 15% or more down, etc. Rec perf outwear, women’s/girls’ bib/brace overalls, not knit/crochet, syn. fibers, water resistant, not cont.</w:t>
      </w:r>
    </w:p>
    <w:p>
      <w:pPr>
        <w:pStyle w:val="Normal"/>
      </w:pPr>
      <w:r>
        <w:t>15% or more by wt. of down, etc Rec perf outwear, women’s/girls’ bib/ brace overalls of synthetic fibers, not knit/crochet, not cont. 15% or more by wt of down, etc, nesoi Rec perf outwear, women’s/girls’ trousers, breeches &amp; shorts, not knit/ crochet, syn. fibers, cont.</w:t>
      </w:r>
    </w:p>
    <w:p>
      <w:pPr>
        <w:pStyle w:val="Normal"/>
      </w:pPr>
      <w:r>
        <w:t>36% or more of wool or fine animal hair, nesoi Rec perf outwear, women’s/girls’ trousers, breeches and shorts, not knitted or crocheted, of synthetic fibers, nesoi, water resistant Rec perf outwear, women’s or girls’ trousers, breeches and shorts, not knitted or crocheted, of synthetic fibers, nesoi Women’s/girls’ trousers, bib/brace overalls, breeches &amp; shorts, not knit/crochet, syn. fibers, cont. 15% or more down, etc., o/than rec perf outwear Women’s/girls’ bib/brace overalls, not knit/crochet, syn. fibers, water resistant, not cont. 15% or more by wt. of down, etc, o/than rec perf outwear Women’s/girls’ bib &amp; brace overalls of synthetic fibers, not knit/crochet, not cont. 15% or more by wt of down, etc, nesoi, o/than rec perf outwear Women’s or girls’ trousers, breeches &amp; shorts, not knit or crocheted, of synthetic fibers, nesoi, certified hand-loomed &amp; folklore products Women’s/girls’ trousers, breeches &amp; shorts, not knit/crochet, syn. fibers, cont.</w:t>
      </w:r>
    </w:p>
    <w:p>
      <w:pPr>
        <w:pStyle w:val="Normal"/>
      </w:pPr>
      <w:r>
        <w:t>36% or more wool or fine animal hair, nesoi, o/than rec perf outwear Women’s or girls’ trousers, breeches and shorts, not knitted or crocheted, of synthetic fibers, nesoi, water resistant, o/than rec perf outwear Women’s or girls’ trousers, breeches and shorts, not knitted or crocheted, of synthetic fibers, nesoi, o/than rec perf outwear Rec perf outwear, women’s or girls’ bib and brace overalls, not knitted or crocheted, of artificial fibers Rec perf outwear, women’s/girls’ trousers, breeches &amp; shorts, not knit/crochet, artificial fibers, cont.</w:t>
      </w:r>
    </w:p>
    <w:p>
      <w:pPr>
        <w:pStyle w:val="Normal"/>
      </w:pPr>
      <w:r>
        <w:t>36% or more of wool or fine animal hair Rec perf outwear, women’s/girls’ trousers, breeches and shorts, not knitted or crocheted, of artificial fibers, nesoi Rec perf outwear, women’s/girls’ trousers, bib/brace overalls, breeches &amp; shorts, not k/c, silk or silk waste, cont &gt; or = 70% wt silk or silk waste, Rec perf outwear, women’s/girls’ trousers, bib/brace overalls, breeches &amp; shorts, not k/c, silk or silk waste, cont under 70% by wt silk/silk waste, Rec perf outwear, women’s or girls’ trousers, bib and brace overalls, breeches and shorts, not knitted or crocheted, of textile materials nesoi Women’s or girls’ bib and brace overalls, not knitted or crocheted, of artificial fibers, o/than rec perf outwear Women’s/girls’ trousers, breeches &amp; shorts, not knit/crochet, artificial fibers, cont.</w:t>
      </w:r>
    </w:p>
    <w:p>
      <w:pPr>
        <w:pStyle w:val="Normal"/>
      </w:pPr>
      <w:r>
        <w:t>36% or more wool or fine animal hair, o/than rec perf outwear Women’s or girls’ trousers, breeches and shorts, not knitted or crocheted, of artificial fibers, nesoi, o/than rec perf outwear Women’s/girls’ trousers, bib/brace overalls, breeches &amp; shorts, not k/c, silk or silk waste, cont &gt; or = 70% wt silk,silk waste, not rec perf outwear Women’s/girls’ trousers, bib/brace overalls, breeches &amp; shorts,not k/c, silk or silk waste, cont under 70% by wt silk/silk waste, not rec perf outwr Women’s/girls’ trousers, bib/brace overalls, breeches &amp; shorts, not knit/crochet, textile materials nesoi, o/than red perf outwear Men’s or boys’ shirts, not knitted or crocheted, of cotton, certified hand-loomed and folklore products Men’s or boys’ shirts, not knitted or crocheted, of cotton, nesoi Men’s or boys’ shirts, not knitted or crocheted, of manmade fibers, certified hand- loomed and folklore products Men’s or boys’ shirts, not knitted or crocheted, of manmade fibers, containing 36 percent or more of wool or fine animal hair, nesoi Men’s or boys’ shirts, not knitted or crocheted, of</w:t>
      </w:r>
    </w:p>
    <w:p>
      <w:pPr>
        <w:pStyle w:val="Normal"/>
      </w:pPr>
      <w:r>
        <w:t>manmade fibers, nesoi Men’s or boys’ shirts, not knitted or crocheted, of wool or fine animal hair, certified hand-loomed and folklore products Men’s or boys’ shirts, not knitted or crocheted, of wool or fine animal hair, nesoi Men’s or boys’ shirts, of silk or silk waste, containing 70% or more by wt of silk or silk waste, not knitted or crocheted Men’s or boys’ shirts, of silk or silk waste, containing</w:t>
      </w:r>
    </w:p>
    <w:p>
      <w:pPr>
        <w:pStyle w:val="Normal"/>
      </w:pPr>
      <w:r>
        <w:t>under 70% by wt of silk or silk waste, not knitted or crocheted Men’s or boys’ shirts, not knitted or crocheted, of textile materials, nesoi Women’s or girls’ blouses, shirts and shirt-blouses, not knitted or crocheted, of silk or silk waste Women’s or girls’ blouses and shirts, not knitted or crocheted, of wool or fine animal hair, certified hand-loomed and folklore products Women’s or girls’ blouses &amp; shirts, not knitted or crocheted, of wool or fine animal hair, containing 30% or more of silk/silk waste, nesoi Women’s or girls’ blouses and shirts, not knitted or crocheted, of wool or fine animal hair, nesoi Women’s or girls’ blouses and shirts, not knitted or crocheted, of cotton, certified hand- loomed and folklore products Women’s or girls’ blouses and shirts, not knitted or crocheted, of cotton, containing 36 percent or more of flax fibers, nesoi Women’s or girls’ blouses and shirts, not knitted or crocheted, of cotton, nesoi Women’s or girls’ blouses and shirts, not knitted or crocheted, of manmade fibers, certified hand-loomed</w:t>
      </w:r>
    </w:p>
    <w:p>
      <w:pPr>
        <w:pStyle w:val="Normal"/>
      </w:pPr>
      <w:r>
        <w:t>and folklore products Women’s or girls’ blouses and shirts, not knitted or crocheted, of manmade fibers, containing 30 percent or more of silk/silk waste, nesoi Women’s or girls’ blouses, shirts and shirt-blouses, not knitted or crocheted, of manmade fibers, containing 36% or more of wool, nesoi Women’s or girls’ blouses and shirts, not knitted or crocheted, of manmade fibers, nesoi Women’s or girls’ blouses, shirts and shirt-blouses, not</w:t>
      </w:r>
    </w:p>
    <w:p>
      <w:pPr>
        <w:pStyle w:val="Normal"/>
      </w:pPr>
      <w:r>
        <w:t>knitted or crocheted, of textile materials nesoi Men’s or boys’ underpants and briefs, not knitted or crocheted, of cotton Men’s or boys’ underpants and briefs, of textile mats(except cotton), cont 70% or more wt of silk or silk waste, not knitted/crocheted Men’s or boys’ underpants and briefs, of textile mats(except cotton), cont under 70% by wt of silk or silk waste, not knitted/crocheted Men’s or boys’ nightshirts and pajamas, not knitted or crocheted, of cotton Men’s or boys’ nightshirts and pajamas, not knitted or crocheted, of man-made fibers Men’s or boys’ nightshirts and pajamas, of textile materials(except cotton or mmf), cont 70% or more by wt of silk or silk waste, not k/c Men’s or boys’ nightshirts and pajamas, of textile materials(except cotton or mmf), cont under 70% by weight of silk or silk waste, not k/c Men’s or boys’ bathrobes, dressing gowns and similar articles, not knitted or crocheted, of cotton Men’s or boys’ singlets and other undershirts, not knitted or crocheted, of cotton Men’s or boys’ bathrobes, dressing</w:t>
      </w:r>
    </w:p>
    <w:p>
      <w:pPr>
        <w:pStyle w:val="Normal"/>
      </w:pPr>
      <w:r>
        <w:t>gowns and similar articles, not knitted or crocheted, of wool or fine animal hair Men’s or boys’ singlets and other undershirts, not knitted or crocheted, of wool or fine animal hair Men’s or boys’ undershirts, bathrobes, &amp; sim art, cont 70% or more by wt of silk or silk waste, not knitted or crocheted Men’s or boys’ bathrobes, dressing gowns and similar articles, not knitted or crocheted, of man-made fibers Men’s or boys’ singlets and other</w:t>
      </w:r>
    </w:p>
    <w:p>
      <w:pPr>
        <w:pStyle w:val="Normal"/>
      </w:pPr>
      <w:r>
        <w:t>undershirts, not knitted or crocheted, of man-made fibers, nesoi Men’s or boys’ undershirts, bathrobes, &amp; sim art, of text mats (except of cotton, mmf, wool, silk), not knitted or crocheted Women’s or girls’ slips and petticoats, not knitted or crocheted, of man-made fibers Women’s or girls’ slips and petticoats, not knitted or crocheted, of cotton Women’s or girls’ slips and petticoats, of textile materials (except mmf or cotton), cont 70% or more by wt of silk or silk waste, not k/c Women’s or girls’ slips and petticoats, of textile materials (except mmf or cotton), cont under 70% by weight of silk or silk waste, not k/c Women’s or girls’ nightdresses and pajamas, not knitted or crocheted, of cotton Women’s or girls’ nightdresses and pajamas, not knitted or crocheted, of man-made fibers Women’s or girls’ nightdresses and pajamas, of textile materials(except cotton or mmf), cont &gt; or = 70% by wt of silk or silk waste, not k/c Women’s or girls’ nightdresses and pajamas, of textile materials(except cotton or mmf), cont</w:t>
      </w:r>
    </w:p>
    <w:p>
      <w:pPr>
        <w:pStyle w:val="Normal"/>
      </w:pPr>
      <w:r>
        <w:t>under 70% by wt of silk or silk waste, not k/c Women’s or girls’ bathrobes, dressing gowns and similar articles, not knitted or crocheted, of cotton Women’s or girls’ undershirts and underpants, not knitted or crocheted, of cotton Women’s or girls’ singlets &amp; other undershirts, briefs, panties, bathrobes &amp; similar articles, not knitted or crocheted, of man-made fibers Women’s or girls’ undershirts, underpants, bathrobes &amp; like articles, not knitted or</w:t>
      </w:r>
    </w:p>
    <w:p>
      <w:pPr>
        <w:pStyle w:val="Normal"/>
      </w:pPr>
      <w:r>
        <w:t>crocheted, of wool or fine animal hair Women’s or girls’ singlet &amp; other undershirt, briefs, panties, negligees, dressing gowns &amp; sim art, of silk, con &gt; or = 70% wt silk, not k/c Women’s or girls’ singlets &amp; other undershirts, briefs, panties, negligees, dressing gowns &amp; sim art, of silk, con &lt; 70% wt silk, not k/c Women’s or girls’ undershirts, underpants, bathrobes &amp; like articles, not knitted or crocheted, of textile materials nesoi Babies’ dresses, not knitted or crocheted, of cotton Babies’ blouses and shirts, except those imported as parts of sets, not knitted or crocheted, of cotton Babies’ trousers, breeches and shorts, except those imported as parts of sets, not knitted or crocheted, of cotton Babies’ garments &amp; clothing acc. nesoi, of cotton, incl.</w:t>
      </w:r>
    </w:p>
    <w:p>
      <w:pPr>
        <w:pStyle w:val="Normal"/>
      </w:pPr>
      <w:r>
        <w:t>sunsuits &amp; sim app, sets &amp; parts of sets, &amp; diapers, not knitted or crocheted Babies’ blouses and shirts, except those imported as parts of sets, not knitted or crocheted, of synthetic fibers Babies’ trousers, breeches and shorts, except those imported as parts of sets, not knitted or crocheted, of synthetic fibers Babies’ garments and clothing accessories, not knitted or crocheted, nesoi, of synthetic fibers Babies’ garments and clothing accessories, not knitted or crocheted, of wool or fine animal hair Babies’ blouses and shirts, except those imported as parts of sets, not knitted or crocheted, of artificial fibers Babies’ trousers, breeches and shorts, except those imported as parts of sets, not knitted or crocheted,</w:t>
      </w:r>
    </w:p>
    <w:p>
      <w:pPr>
        <w:pStyle w:val="Normal"/>
      </w:pPr>
      <w:r>
        <w:t>of artificial fibers Babies’ garments and clothing accessories, not knitted or crocheted, nesoi, of artificial fibers Babies’ garments and clothing accessories, of text mats(except wool, cotton or mmf), cont 70% or more by wt of silk or silk waste, not k/c Babies’ garments and clothing accessories, of textile mats(except wool, cotton or mmf), cont under 70% by wt of silk or silk waste, not k/c Garments, not knitted or crocheted, made up of fabrics of heading 5602 or 5603 formed on a base of paper or covered or lined with paper Nonwoven dispos apparel designed for hosps, clinics, labs or cont area use, made up of fab of 5602/5603, n/formed or lined w paper, not k/c Disposable briefs and panties designed for one time use, made up of fabrics of 5602 or 5603, not formed or lined w paper, not k/c Garments, nesoi, made up of fabrics of heading 5602 or 5603, not formed or lined w paper, not k/c Men’s or boys’ garments, sim to 6201.11-6201.19, of mmf, outer surf impreg, coated etc.</w:t>
      </w:r>
    </w:p>
    <w:p>
      <w:pPr>
        <w:pStyle w:val="Normal"/>
      </w:pPr>
      <w:r>
        <w:t>w rub/plast, underlying fab completely obsc, not k/c Men’s or boys’ overcoats/carcoats/capes/etc. of mmf, other than with outer sur. impreg/coated/etc. w/ rub/plast, n knitted/crocheted Men’s or boys’ overcoats/carcoats/capes/etc. of tx mat(excl mmf), outer sur. impreg/etc. w/rub/plast completely obscuring fab, n k/c Men’s or boys’ overcoats/carcoats/capes/etc. of tx mat(excl mmf), other than with outer sur. impreg/coated/etc. w/ rub/plast, n k/c Women’s or girls’ overcoats/carcoats/capes/etc.</w:t>
      </w:r>
    </w:p>
    <w:p>
      <w:pPr>
        <w:pStyle w:val="Normal"/>
      </w:pPr>
      <w:r>
        <w:t>of mmf, outer sur. impreg/coated/etc. w/rub/plast completely obscuring fab, n k/c Women’s or girls’ overcoats/carcoats/capes/etc. of mmf, other than with outer sur. impreg/coated/etc. w/rub/plast, n k/c Women’s or girls’ overcoats/carcoats/capes/etc. of tx mat(excl mmf), fabric impreg/coated w/rub/plast completely obscuring fab, n k/c Women’s or girls’ overcoats/carcoats/capes/etc. of tx mat(excl mmf), other than with outer sur. impreg/coated etc. w/rub/plast, n k/c Rec perf outwear, men’s/boys’ garm, nesi, of fab 5903/5906/5907, not k/c, mmf, w/out sur. impreg/coatd/etc. w/rub/plast completely obscuring fab, Rec perf outwear, men’s/boys’ garm, nesoi, of fab of 5903/5906/5907, not k/c, mmf, o/than w/outer sur. impreg/coated/etc. w/rub/plast, Rec perf outwear, men’s/boys’ garm, nesi, fab of 5903/5906/5907, not k/c, tex mat (excl mmf), w/out sur. impreg/etc. w/rub/plast compl obscuring fab Rec perf outwear, men’s or boys’ garm, nesoi, of fab of 5903/5906/5907, not k/c, tex mat (excl mmf), w/out sur. impreg/etc. w/rub/plast Men’s/boys’ garm, nesi, fab of 5903/5906/5907, not k/c, mmf, w/out sur. impreg/coated/etc. w/rub/plast completely obscuring fab, not rec perf outwear Men’s or boys’ garm, nesoi, of fab of 5903/5906/5907, not k/c, mmf, o/than w/outer sur. impreg/coated/etc. w/rub/plast, o/than rec perf outwear Men’s/boys’ garm, nesi, fab of 5903/5906/5907, n k/c, tex mat (excl mmf), w/oute sur. impreg/etc.</w:t>
      </w:r>
    </w:p>
    <w:p>
      <w:pPr>
        <w:pStyle w:val="Normal"/>
      </w:pPr>
      <w:r>
        <w:t>w/rub/plast compl obscuring fab,not rec perf outwr Men’s or boys’ garm, nesoi, of fab of 5903/5906/5907, not k/c, tex mat (excl mmf), w/out sur. impreg/etc. w/rub/plast, o/than rec perf outwear Rec perf outwear, women’s/girls’ garm, nesi, fab of 5903/5906/5907, not k/c, mmf, w/outer sur. impreg/coated/etc. w/rub/plast compl obscuring fab Rec perf outwear, women’s/girls’ garm, nesi, fab of 5903/5906/5907,not k/c, mmf, o/than w/out sur. impreg/etc. w/rub/plast Rec perf outwear, women/girls’ garm, nesi, fab of 5903/5906/5907, n k/c, tex mat (excl mmf), w/out sur. impreg/etc. w/rub/plast comp obscuring fab Rec perf outwear, wom’s/girls’ garm, nesi, fab of 5903/5906/5907, n k/c, tex mat (excpt mmf), o/than w/out sur. impreg/coated w/rub/plas Women’s/girls’ garm, nesi, fab of 5903/5906/5907, n k/c, mmf, w/out sur. impreg/coated/etc. w/rub/plast compl obscuring fab, o/than rec perf outwear Women’s or girls’ garm, nesoi, of fab of 5903/5906/5907, n k/c, of mmf, other than w/outer sur. impreg/etc. w/rub/plast, o/than rec perf outwear Wom’s/girls’ garm, nesi, fab of 5903/5906/5907, n k/c, of tex mat (excl mmf), w/o sur. impreg/etc. w/rub/plast comp obscur fab, not rec perf outwear Wom’s/girls’ garm, nesi, fab of 5903/5906/5907, not k/c, tex mat(except mmf), o/than w/out sur.</w:t>
      </w:r>
    </w:p>
    <w:p>
      <w:pPr>
        <w:pStyle w:val="Normal"/>
      </w:pPr>
      <w:r>
        <w:t>impreg/coated w/rub/plas, o/than rec perf outwear Men’s or boys’ swimwear, not knitted or crocheted, of man-made fibers Men’s or boys’ swimwear, of textile materials(except mmf), containing 70% or more by weight of silk or silk waste, not knit or crocheted Men’s or boys’ swimwear, of textile materials(except mmf), containing under 70% by weight of silk or silk waste, not knit or crocheted Women’s or girls’ swimwear, not knitted or crocheted, of man-made fibers Women’s or girls’ swimwear, of textile materials(except mmf), containing 70% or more by weight of silk or silk waste, not knit or crocheted Women’s or girls’ swimwear, of textile materials(except mmf), containing under 70% by weight of silk or silk waste, not knit or crocheted Anoraks, windbreakers and similar articles imported as parts of ski-suits, con 15% or more by wt of down &amp; waterfowl plumage, etc, not k/c Anoraks, windbreakers and similar articles imported as parts of ski-suits, con under 15% by wt of down &amp; waterfowl plumage, etc, not k/c Men’s or boys’ ski-suits, not</w:t>
      </w:r>
    </w:p>
    <w:p>
      <w:pPr>
        <w:pStyle w:val="Normal"/>
      </w:pPr>
      <w:r>
        <w:t>knitted or crocheted, water resistant, not containing 15% or more by weight of down, etc Men’s or boys’ anoraks, windbreakers and sim art impted as pts of ski-suits, of wool, con &lt; 15% wt of down etc, not water resist, not k/c Men’s or boys’ anoraks, etc.</w:t>
      </w:r>
    </w:p>
    <w:p>
      <w:pPr>
        <w:pStyle w:val="Normal"/>
      </w:pPr>
      <w:r>
        <w:t>imported as parts of ski-suits, of tx mats(except wool), con 15% wt of down etc, not water resist, not k/c Men’s or boys’ trousers and breeches imported as parts of ski-suits, of wool, con under 15% by wt of down etc., not water resist, not k/c Men’s or boys’ trousers &amp; breeches imported as pts of ski-suits, of tx mat(except wool), con 15% wt down etc, not water resist, not k/c Men’s or boys’ ski-suits nesoi, of wool or fine animal hair, con under 15% wt down etc, not water resist, not knitted/crocheted Men’s or boys’ ski-suits nesoi, of tx mats(except wool or fine animal hair), con under 15% wt down etc, not water resist, not knitted/croch Women’s or girls’ anoraks, windbreakers and sim art impted as pts of ski-suits, of wool, con 15% wt down etc, not water resist, not k/c Women’s or girls’ anoraks and sim art imported as pts of ski-suits, of tx mats(except wool), con &lt; 15% wt down etc, not wat resist, n k/c Women’s</w:t>
      </w:r>
    </w:p>
    <w:p>
      <w:pPr>
        <w:pStyle w:val="Normal"/>
      </w:pPr>
      <w:r>
        <w:t>or girls’ trousers and breeches imported as parts of ski-suits, of wool, cont under 15% by wt of down etc, not water resist, not k/c Women’s or girls’ trousers &amp; breeches imp as pts of ski-suits, of tx mats(except wool), con &lt; 15% wt of down etc, not wat resist, not k/c Women’s or girls’ ski-suits nesoi, of wool or fine animal hair, con under 15% by wt of down etc, not water resistant, not knit or crocheted Women’s or girls’ ski-suits nesoi, of tx mats(except wool), con under 15% by weight of down etc, not water resistant, not knit or crocheted Rec pref</w:t>
      </w:r>
    </w:p>
    <w:p>
      <w:pPr>
        <w:pStyle w:val="Normal"/>
      </w:pPr>
      <w:r>
        <w:t>outwear, men’s or boys’ track suits or other garments nesoi, not knitted or crocheted, of cotton Men’s or boys’ track suits or other garments nesoi, not knitted or crocheted, of cotton, o/than rec perf outwear Rec perf outwear, men’s or boys’ track suits or other garments nesoi, not knitted or crocheted, of man-made fibers Men’s or boys’ track suits or other garments nesoi, not knitted or crocheted, of man- made fibers, o/than rec perf outwear Rec perf outwear, men’s or boys’ track suits or other garments nesoi, not knitted or crocheted, of wool or fine animal hair Rec pref outwear, men’s/boys’ garments(excl swimwear or ski-suits), nesoi, not k/c, tex mat (not wool, cotton,mmf), cont 70% or more wt of silk Rec perf outwear, men’s/boys’ garments (excl swimwr or ski-suits), nesi, not k/c, tex mat (not wool, cotton, mmf), cont under 70% by wt of silk Men’s or boys’ track suits or other garments nesoi, not knitted or crocheted, of wool or fine animal hair, o/than rec perf outwear Men’s/boys’ garments</w:t>
      </w:r>
    </w:p>
    <w:p>
      <w:pPr>
        <w:pStyle w:val="Normal"/>
      </w:pPr>
      <w:r>
        <w:t>(excl swimwr or ski-suits), nesi, not k/c, tex mat (not wool, cotton or mmf), cont 70% or more wt of silk, not rec perf outwear Men’s/boys’ garments (excl swimwr or ski-suits), nesi, not k/c, tex mat (not wool, cotton, mmf), cont under 70% by wt of silk, not rec perf outwear Rec perf outwear, women’s or girls’ track suits or other garments nesoi, not knitted or crocheted, of cotton Women’s or girls’ track suits or other garments nesoi, not knitted or crocheted, of cotton, o/than rec</w:t>
      </w:r>
    </w:p>
    <w:p>
      <w:pPr>
        <w:pStyle w:val="Normal"/>
      </w:pPr>
      <w:r>
        <w:t>perf outwear Rec perf outwear, women’s or girls’ track suits or other garments nesoi, not knitted or crocheted, of man-made fibers Women’s or girls’ track suits or other garments nesoi, not knitted or crocheted, of man- made fibers, o/than rec perf outwear Rec perf outwear, women’s/girls’ garments (excl swimwr or ski-suits), nesi, not k/c, tex mat (not wool, cotton,mmf), cont 70% or more wt of silk Rec perf outwear, women’s or girls’ track suits or other garments nesoi, not knitted or crocheted, of wool or fine animal hair Rec pref outwear, women’s/girls’ garments (excl swimwr or ski-suits), nesi, not k/c, tex mat (not wool, cotton,mmf), cont under 70% by wt of silk Women’s/girls’ garms (excl swimwr or ski-suits), nesi, not k/c, tex mat (not wool, cotton, mmf), cont 70% or more wt of silk,o/than rec perf outwear Women’s or girls’ track suits or other garments nesoi, not knitted or crocheted, of wool or fine animal hair, o/than rec perf outwear Women’s/girls’ garments (excl swimwr or ski-suits), nesi, not k/c, tex</w:t>
      </w:r>
    </w:p>
    <w:p>
      <w:pPr>
        <w:pStyle w:val="Normal"/>
      </w:pPr>
      <w:r>
        <w:t>mat (not wool, cotton, mmf), cont under 70% by wt of silk, not rec perf outwear Brassieres, containing lace, net or embroidery, containing 70% or more by weight of silk or silk waste, whether or not knitted or crocheted Brassieres containing lace, net or embroidery, containing under 70% by weight of silk or silk waste, whether or not knitted or crocheted Brassieres, not containing lace, net or embroidery, containing 70% or more by wt of silk or silk waste, whether</w:t>
      </w:r>
    </w:p>
    <w:p>
      <w:pPr>
        <w:pStyle w:val="Normal"/>
      </w:pPr>
      <w:r>
        <w:t>or not knitted or crocheted Brassieres, not containing lace, net or embroidery, containing under 70% by wt of silk or silk waste, whether or not knitted or crocheted Girdles and panty-girdles Corsets Braces, suspenders, garters and similar articles and parts thereof Handkerchiefs, not knitted or crocheted, of cotton, hemmed, not containing lace or embroidery Handkerchiefs, not knitted or crocheted, of cotton, nesoi Handkerchiefs, not knitted or crocheted, containing 70% or more by weight of silk or silk waste Handkerchiefs, of silk or silk waste, containing less than 70 percent by weight of silk or silk waste Handkerchiefs, not knitted or crocheted, of man-made fibers Handkerchiefs, not knitted or crocheted, of textile materials, nesoi Shawls, scarves, mufflers, mantillas, veils and the like, not knitted or crocheted, containing 70% or more silk or silk waste Shawls, scarves, mufflers, mantillas, veils and the like, not knitted or crocheted, containing less than 70% silk or silk waste Shawls, scarves, mufflers, mantillas, veils and the like, not knitted or crocheted, of wool or fine animal</w:t>
      </w:r>
    </w:p>
    <w:p>
      <w:pPr>
        <w:pStyle w:val="Normal"/>
      </w:pPr>
      <w:r>
        <w:t>hair Shawls, scarves, mufflers, mantillas, veils and the like, not knitted or crocheted, of synthetic fibers Shawls, scarves, mufflers, mantillas, veils and the like, not knitted or crocheted, of artificial fibers Shawls, scarves, mufflers, mantillas, veils and the like, not knitted or crocheted, of textile materials nesoi Ties, bow ties and cravats, not knitted or crocheted, of silk or</w:t>
      </w:r>
    </w:p>
    <w:p>
      <w:pPr>
        <w:pStyle w:val="Normal"/>
      </w:pPr>
      <w:r>
        <w:t>silk waste Ties, bow ties and cravats, not knitted or crocheted, of man-made fibers Ties, bow ties and cravats, not knitted or crocheted, of textile materials nesoi Ice hockey and field hockey gloves, not knitted or crocheted, impregnated, coated or covered with plastics or rubber Gloves, mittens &amp; mitts, for sports, including ski &amp; snowmobile gloves, etc., not knitted/crocheted, impreg. or cov. with plastic/rubber Gloves etc. (excl. for sports etc.), not k/c, impreg. etc. with plas/rub, w/o four., cut &amp; sewn, of veg. fibers, over 50% by wt. plas/rub Gloves etc.</w:t>
      </w:r>
    </w:p>
    <w:p>
      <w:pPr>
        <w:pStyle w:val="Normal"/>
      </w:pPr>
      <w:r>
        <w:t>(excl. for sports), not k/c, impreg. etc. with plas/rub, w/o four., cut &amp; sewn, of veg. fibers, cont. &lt;50% by wt. plas./rubber Gloves, mittens and mitts(excl sports), w/o four, impreg etc, cut &amp; sewn from pre exist impreg fab, of non-veg fib, con &gt; 50% wt plas/rub Gloves, mittens and mitts(excl sports), w/o four, impreg etc, cut &amp; sewn from pre exist impreg fab, of non-veg fib, con &lt; 50% wt plas/rub Gloves, mittens and mitts(excl sports), w/o four, impreg etc, not cut &amp; sewn from pre exist fab, con 50% or more wt cotton/mmf, not k/c Gloves, mittens and mitts(excl sports), w/o four, impreg etc, not cut &amp; sewn from pre exist fab, con under 50% wt cotton or mmf, not k/c Gloves, mittens and mitts(excl sports), impreg, etc., with fourchettes, cont 50% or more by wt of coton, mmf or combo thereof, not knit/croc Gloves, mittens and mitts(excl sports), impreg, etc., with fourchettes, cont under 50% by wt of coton, mmf or</w:t>
      </w:r>
    </w:p>
    <w:p>
      <w:pPr>
        <w:pStyle w:val="Normal"/>
      </w:pPr>
      <w:r>
        <w:t>combo thereof, not knit/croc Ice hockey and field hockey gloves, not knitted or crocheted, of cotton, not impregnated, coated or covered with plastics or rubber Gloves, mittens &amp; mitts, all the foregoing for sports use, including ski &amp; snowmobile gloves, mittens &amp; mitts, of cotton Gloves, mittens &amp; mitts (excl. for sports), not impregnated, coated or covered with plastics or rubber, of cotton, without fourchettes Gloves, mittens &amp; mitts (excl. for sports), not impregnated, coated or covered with plastics or rubber, of cotton, with fourchettes Ice hockey and field hockey gloves, not knitted or crocheted, of man-made fibers, not impregnated etc. with plastics or rubber Gloves, mittens &amp; mitts, for sports use, incl. ski &amp; snowmobile, of man-made fibers, not impregnated/coated with plastics or rubber Gloves, mittens &amp; mitts (excl. for sports), not impregnated, coated or covered with plastics or rubber, of man-made fibers, w/o fourchettes Gloves, mittens &amp; mitts (excl.</w:t>
      </w:r>
    </w:p>
    <w:p>
      <w:pPr>
        <w:pStyle w:val="Normal"/>
      </w:pPr>
      <w:r>
        <w:t>for sports), not impregnated, coated or covered with plastics or rubber, of mmf, with fourchettes Gloves, mittens and mitts, not knitted or crocheted, of wool or fine animal hair, nesoi Gloves, mittens and mitts, not knitted or crocheted, of textile materials nesoi Made up clothing accessories(excl those of heading 6212), containing 70% or more by weight of silk or silk waste, not knitted or crocheted Headbands, ponytail holders and similar articles, of textile materials containing &lt; 70% by weight of silk, not knit/crochet Made up clothing accessories (excl of heading 6212 or headbands, ponytail holders &amp; like), containing &lt; 70% wgt of silk, not knit/crochet Parts of garments or of clothing accessories (excl those of heading 6212), containing 70% or more by weight of silk or silk waste, not k/c Parts of garments or of clothing accessories(excl those of heading 6212), containing under 70% by weight of silk or silk waste, n/knit/croc Electric blankets Blankets (other than electric blankets) and traveling rugs, of wool or fine animal hair Blankets (other</w:t>
      </w:r>
    </w:p>
    <w:p>
      <w:pPr>
        <w:pStyle w:val="Normal"/>
      </w:pPr>
      <w:r>
        <w:t>than electric blankets) and traveling rugs, of cotton Blankets (other than electric blankets) and traveling rugs, of synthetic fibers Blankets and traveling rugs, nesoi Bed linen, knitted or crocheted Bed linen, not knitted or crocheted, printed, of cotton, cont any embroidery, lace, braid, edging, trimming, piping or applique work, napped Bed linen, not knit or crocheted, printed, of cotton, cont any embroidery, lace, braid,</w:t>
      </w:r>
    </w:p>
    <w:p>
      <w:pPr>
        <w:pStyle w:val="Normal"/>
      </w:pPr>
      <w:r>
        <w:t>edging, trimming, piping or applique work, n/napped Bed linen, not knit or crocheted, printed, of cotton, not cont any embroidery, lace,braid, edging, trimming, piping or applique work, napped Bed linen, not knit or croc, printed, of cotton, not cont any embroidery, lace, braid, edging, trimming, piping or applique work, not napped Bed linen, not knitted or crocheted, printed, of manmade fibers, containing embroidery, lace, braid, etc or applique work Bed linen, not knitted or crocheted, printed, of manmade fibers, nesoi Bed linen, not knitted or crocheted, printed, of textile materials nesoi Bed linen, not knit/croc, not printed, of cotton, cont any embroidery, lace, braid, edging, trimming, piping or applique work, napped Bed linen, not knit/croc, not printed, of cotton, cont any embroidery, lace, braid, edging, trimming, piping or applique work, not napped Bed linen, not knit/croc, not printed, of cotton, not cont any embroidery, lace, braid, edging, trimming, piping or applique work, napped Bed linen, not knit/croc, not printed, of cotton, not cont any embroidery, lace, braid, edging, trimming,piping or</w:t>
      </w:r>
    </w:p>
    <w:p>
      <w:pPr>
        <w:pStyle w:val="Normal"/>
      </w:pPr>
      <w:r>
        <w:t>applique work, not napped Bed linen, not knitted or crocheted, not printed, of manmade fiber, containing embroidery, lace, braid, etc or applique work Bed linen, not knitted or crocheted, not printed, of manmade fibers, nesoi Bed linen, not knitted or crocheted, not printed, of textile materials nesoi Table linen, knitted or crocheted, of vegetable fiber (except of</w:t>
      </w:r>
    </w:p>
    <w:p>
      <w:pPr>
        <w:pStyle w:val="Normal"/>
      </w:pPr>
      <w:r>
        <w:t>cotton) Table linen, knitted or crocheted, nesoi Damask tablecloths and napkins, not knitted or crocheted, of cotton Plain woven tablecloths and napkins, not knitted or crocheted, of cotton Tablecloths and napkins, other than plain woven or damask, not knitted or crocheted, of cotton Table linen, other than tablecloths and napkins, not knitted or crocheted, of cotton, nesoi Table linen of man-made fibers, not knitted or crocheted Tablecloths and napkins of flax, not knitted or crocheted Table linen of flax, other than tablecloths and napkins, not knitted or crocheted Table linen, of textile materials other than of cotton, flax or man-made fibers, not knitted or crocheted Toilet linen and kitchen linen, of terry toweling or similar terry fabrics, of cotton Toilet and kitchen linen, other than terry toweling or similar terry fabrics of cotton Toilet and kitchen linen, of manmade fibers, of pile or tufted construction Toilet and kitchen linen, of manmade fibers, nesoi Toilet and kitchen linen of textile materials nesoi, containing 85% or more by weight of silk or</w:t>
      </w:r>
    </w:p>
    <w:p>
      <w:pPr>
        <w:pStyle w:val="Normal"/>
      </w:pPr>
      <w:r>
        <w:t>silk waste Toilet and kitchen linen of flax Toilet and kitchen linen of textile materials nesoi, containing less than 85% by weight of silk or silk waste Curtains (including drapes), interior blinds and valances of synthetic fibers, knitted or crocheted Curtains (including drapes), interior blinds and valances of cotton, knitted or crocheted Curtains (including drapes),interior blinds and valances of textile materials</w:t>
      </w:r>
    </w:p>
    <w:p>
      <w:pPr>
        <w:pStyle w:val="Normal"/>
      </w:pPr>
      <w:r>
        <w:t>other than of cotton or synthetic fibers, knitted or crocheted Curtains (including drapes), interior blinds and valances of cotton, not knitted or crocheted Curtains/drapes, inter. blinds, etc. of syn fib, made up from fab of subh 5407.60.11/5407.60.21/5407.60.91, not knitted or crocheted Curtains (including drapes), interior blinds and valances, nesoi, of synthetic fibers, not knitted or crocheted Curtains (including drapes),interior blinds, valances of textile materials other than of cotton or of synthetic fibers,not knitted/crocheted Bedspreads of cotton, knitted or crocheted, excluding those of heading 9404 Bedspreads of man-made fibers, knitted or crocheted, excluding those of heading 9404 Bedspreads of textile materials other than of cotton or of man-made fibers, knitted or crocheted, excluding those of heading 9404 Bedspreads, not knitted or crocheted, of cotton, containing any embroidery, lace, etc. Bedspreads, not knitted or crocheted, of cotton, nesoi Bedspreads, not knitted or crocheted, of manmade fibers, containing any embroidery, lace, etc.</w:t>
      </w:r>
    </w:p>
    <w:p>
      <w:pPr>
        <w:pStyle w:val="Normal"/>
      </w:pPr>
      <w:r>
        <w:t>Bedspreads, not knitted or crocheted, of manmade fibers, nesoi Bedspreads, not knitted or crocheted, other than those of cotton or man-made fibers, excluding those of heading 9404 Furnishing articles (excluding those of heading 9404 and other than bedspreads) knitted or crocheted Furnishing articles (excluding those of heading 9404 and other than bedspreads) not knitted or crocheted, of cotton Furnishing articles (excluding those of heading 9404 and other than bedspreads) not knitted or crocheted, of synthetic fibers Wall hangings, not knitted or crocheted, of wool or fine animal hair, the foregoing certified hand-loomed and folklore products Wall hangings, not knitted or crocheted, of wool or fine animal hair, nesoi Wall hangings of jute, excluding those of heading 9404 Furnishing articles (excl. those of heading 9404 and other than bedspreads and jute wall hangings) of veg. fibers (excl.</w:t>
      </w:r>
    </w:p>
    <w:p>
      <w:pPr>
        <w:pStyle w:val="Normal"/>
      </w:pPr>
      <w:r>
        <w:t>cotton), not k/c Certified hand-loomed and folklore pillow covers of wool or fine animal hair, not knitted or crocheted Furnishing articles (excluding those of heading 9404 and other than bedspreads) not knitted or crocheted, of textile materials, nesoi Sacks and bags of a kind used for the packing of goods, of jute or of other textile bast fibers of heading 5303 Sacks and bags of a kind used for the packing of goods, of cotton Flexible intermed.</w:t>
      </w:r>
    </w:p>
    <w:p>
      <w:pPr>
        <w:pStyle w:val="Normal"/>
      </w:pPr>
      <w:r>
        <w:t>bulk containers of a kind used for packing goods, of man-made textile materials Other sacks/bags for packing goods, of mm tex.mat.(not flex.intermed.bulk containers), of polyethylene or polypro.</w:t>
      </w:r>
    </w:p>
    <w:p>
      <w:pPr>
        <w:pStyle w:val="Normal"/>
      </w:pPr>
      <w:r>
        <w:t>strip or the like Sacks and bags of a kind used for the packing of goods, of man-made textile materials, nesoi Sacks and bags of a kind used for the packing of goods, of textile materials, nesoi Tarpaulins, awnings and sunblinds, of synthetic fibers Tarpaulins, awnings and sunblinds, of cotton Tarpaulins, awnings and sunblinds, of textile materials other than of cotton or synthetic fibers Backpacking tents of synthetic fibers Tents other than backpacking tents, of synthetic fibers Tents of cotton Tents of textile materials other than of cotton or synthetic fibers Sails of textile materials Pneumatic mattresses of cotton Pneumatic mattresses of textile materials other than of cotton Camping goods, nesoi, of cotton Camping goods, nesoi, of textile materials other than of cotton Dustcloths, mop cloths and polishing cloths, of cotton Floor cloths, dishcloths and similar cleaning cloths of textile materials (except dustcloths, mops cloths and polishing cloths of cotton) Lifejackets and lifebelts of textile materials Made-up labels of textile materials Cords and tassels of textile materials Corset lacings, footwear lacings or similar lacings of textile materials Surgical drapes of fabric formed on a base of paper or covered or lined with paper Surgical drapes of spunlaced or bonded fiber</w:t>
      </w:r>
    </w:p>
    <w:p>
      <w:pPr>
        <w:pStyle w:val="Normal"/>
      </w:pPr>
      <w:r>
        <w:t>fabric disposable surgical drapes of man- made fibers Surgical drapes, nesoi, not spunlaced or bonded fiber fabric Toys for pets, of textile materials Wall banners, of man-made fibers Surgical towels; cotton towels of pile/tufted const.; pillow shells, of cotton;</w:t>
      </w:r>
    </w:p>
    <w:p>
      <w:pPr>
        <w:pStyle w:val="Normal"/>
      </w:pPr>
      <w:r>
        <w:t>shells for quilts etc., and similar articles of cotton National flags and other made-up articles of textile materials, nesoi Needlecraft sets for making up into rugs, etc., consist of woven fabric and yarn, whether/not w/accessories, put up packings for retail sale Worn clothing and other worn articles Used or new rags, scrap and worn out articles of twine, cordage, rope or cables, of wool or fine animal hair, sorted Used or new rags, scrap and worn out articles of twine, cordage, rope or cables, of textile materials nesoi, sorted Used or new rags, scrap and worn out articles of twine, cordage, rope or cables, of wool or fine animal hair, not sorted Used or new rags, scrap and worn out articles of twine, cordage, rope or cables, of textile materials nesoi, not sorted Waterproof footwear, not mechanically assembled, w/outer soles &amp; uppers of rubber or plastics, w/metal toecap Waterproof ski boots &amp; snowboard boots, not mechanically asmbld., w/outer sole and uppers of rubb. or plast., cover/ankle but not knee Waterproof footwear, not mechanically asmbld., w/over 90% of ext. surf.</w:t>
      </w:r>
    </w:p>
    <w:p>
      <w:pPr>
        <w:pStyle w:val="Normal"/>
      </w:pPr>
      <w:r>
        <w:t>area of soles &amp; uppers PVC, covering/ankle but not knee Waterproof footwear, not mechanically asmbld., w/outer soles and upper of rubber or plastics, nesoi, covering ankle but not knee Waterproof footwear, not mechanically assembled, w/outer soles &amp; uppers of rubber or plastics, covering the knee Waterproof protect. footwear, not mechanically asmbld., w/outer soles and uppers of rubber or plastics, not cover ankle, w/o closures Waterproof protect. footwear, not mechanically asmbld., w/outer soles and uppers of rubber or plastics, not cover ankle, w/closures Waterproof footwear, not mechanically asmbld, w/outer soles and 90% of ext. surf. area of uppers of rubber or plastics, not cover ankle Waterproof footwear, not mechanically asmbld, w/outer soles and uppers of rubber or plastics, nesoi, not cover ankle Ski-boots, cross-country ski footwear and snowboard boots, w/outer soles and uppers of rubber or plastics Golf shoes w/outer soles of rubber or plastics and uppers &gt; 90% of ext. surface area rubber or plastics Sports footwear (o/than ski fwear &amp; golf shoes), w/outer soles of rubber or plastics &amp; uppers &gt;90% ext. surf. area rubber or plast.</w:t>
      </w:r>
    </w:p>
    <w:p>
      <w:pPr>
        <w:pStyle w:val="Normal"/>
      </w:pPr>
      <w:r>
        <w:t>Sports footwear w/outer soles and uppers of rubber or plastics, nesi, valued not over $3/pair Sports footwear w/outer soles and uppers of rubber or plastics, nesi, valued over $3 but not over $6.50/pair Sports footwear w/outer soles and uppers of rubber or plastics, nesi, valued over $6.50 but not over $12/pair Sports footwear w/outer soles and uppers of rubber or plastics, nesi, valued over $12/pair Footwear w/outer soles &amp; uppers of rubber/plastics, w/upper straps or thongs assembled to sole by means of plugs (zoris) Footwear w/outer soles of rubber or plastics, o/than sports,covers ankle, w/metal toe- cap,w/ext. surf.</w:t>
      </w:r>
    </w:p>
    <w:p>
      <w:pPr>
        <w:pStyle w:val="Normal"/>
      </w:pPr>
      <w:r>
        <w:t>uppers o/90% rubber or plastics Footwear, covers ankle, w/outer soles &amp; uppers of rubber or plastics, nesoi, w/metal toe-cap, designed to protect liquids, chemicals, weather Footwear, covers ankle, w/outer soles &amp; uppers of rubber or plastics, nesoi, w/metal toe-cap, not protective, valued n/o $3/pair Footwear, covers ankle, w/outer soles &amp; uppers of rubber or plastics, nesoi, w/metal toe-cap, not protective, valued over $3 but n/o $6.50/pair Footwear, covers ankle, w/outer soles &amp; uppers of rubber or plastics, nesoi, w/metal toe-cap, not protective, valued o/$6.50 but n/o $12/pair Footwear, covers ankle, w/outer soles &amp; uppers of rubber or plastics, nesoi, w/metal toe-cap, not protective, valued over $12/pair Footwear w/outer soles &amp; uppers of rubber or plastics, nesoi, covering ankle, w/ext. surf.</w:t>
      </w:r>
    </w:p>
    <w:p>
      <w:pPr>
        <w:pStyle w:val="Normal"/>
      </w:pPr>
      <w:r>
        <w:t>of uppers o/90% rubber or plastics Protective active footwear w/outer soles &amp; uppers of rubber or plastics, covered ankle, nesoi, valued over $24/pair Footwear w/outer soles &amp; uppers of rubber or plastics, nesoi, covering ankle, designed as protection against liquids, chemicals, weather Footwear w/outer soles &amp; uppers of rubber or plastics, nesoi, covering ankle, nesoi, valued n/o $3/pair Footwear w/outer soles &amp; uppers of rubber or plastics, nesoi, covering ankle, nesoi, valued over $3 but n/o $6.50/pair Footwear w/outer soles &amp; uppers of rubber or plastics, nesoi, covering ankle, nesoi, valued o/$6.50 but n/o $12/pair Footwear w/outer soles &amp; uppers of rubber or plastics, nesoi, covering ankle, nesoi, valued over $12/pair Footwear not cov. ankle, w/outer soles of rubber or plastics, nesoi, w/metal toe-cap, w/ext. surf. uppers o/90% rubber or plastics Footwear not cov. ankle,w/outer soles &amp; uppers of rubber or plastics, nesoi, w/metal toe-cap, to protect against liquids, chem, weather Footwear not cov. ankle, w/outer soles &amp; uppers of rubber or plastics, nesoi, w/metal toe-cap, not protective, valued n/o $3/pair Footwear not cov.</w:t>
      </w:r>
    </w:p>
    <w:p>
      <w:pPr>
        <w:pStyle w:val="Normal"/>
      </w:pPr>
      <w:r>
        <w:t>ankle, w/outer soles &amp; uppers of rubber or plastics, nesoi, w/metal toe-cap, not protective, valued &gt; $3 but n/o $6.50/pair Footwear not cov. ankle, w/outer soles &amp; uppers of rubber or plastics, nesoi, w/metal toe-cap, not protective, valued o/$6.50 but n/o $12/pair Footwear not cov.</w:t>
      </w:r>
    </w:p>
    <w:p>
      <w:pPr>
        <w:pStyle w:val="Normal"/>
      </w:pPr>
      <w:r>
        <w:t>ankle, w/outer soles &amp; uppers of rubber or plastics, nesoi, w/metal toe-cap, not protective, valued over $12/pair Footwear w/outer soles &amp; uppers of rubber or plastics, nesoi, n/cov. ankle, w/ext. surf. uppers o/90% rubber/plastics, w/base of wood Footwear w/outer soles &amp; uppers of rubber or plastics, nesoi, n/cov. ankle, w/ext. surf. uppers o/90% rubber/plastics, w/base of cork Sandals w/outer soles &amp; uppers of rubber or plastics, not cov. ankle, produced in one piece by molding Footwear w/outer soles &amp; uppers of rubber or plastics, nesoi, n/cov. ankle, w/ext. surf. of uppers o/90% rubber or plastics, nesoi Protective active footwear w/outer soles &amp; uppers of rubber or plastics, not covered ankle, nesoi, valued over $24/pair Footwear w/outer soles &amp; uppers of rubber or plastics, nesoi, n/cov. ankle, nesoi, design. as protection against liquids/chemicals/weather Footwear, nesoi, w/outer soles &amp; uppers of rubber or plastic, open toe or heel or slip- on, tex outersole Footwear w/outer soles &amp; uppers of rubber or plastics, nesoi, n/cov.</w:t>
      </w:r>
    </w:p>
    <w:p>
      <w:pPr>
        <w:pStyle w:val="Normal"/>
      </w:pPr>
      <w:r>
        <w:t>ankle, w/open toes or heels or of the slip-on type Footwear, nesoi, w/outer soles &amp; uppers of rubber or plastics, o/than open toe or heel or slip-on, &lt; $3, tex outersole, not subj C64 note 5 Footwear w/outer soles &amp; uppers of rubber or plastics, nesoi, n/cov.</w:t>
      </w:r>
    </w:p>
    <w:p>
      <w:pPr>
        <w:pStyle w:val="Normal"/>
      </w:pPr>
      <w:r>
        <w:t>ankle, nesoi, valued n/o $3/pair Footwear, nesoi, w/outer soles and uppers of rubber or plastic, o/than open toe or heel or slip-on, $3-6.50, tex outersole, not subj C64 note 5 Footwear w/outer soles &amp; uppers of rubber or plastics, nesoi, n/cov. ankle, nesoi, valued o/$3 but n/o $6.50/pair Footwear w/outer soles &amp; uppers of rubber or plastics, nesoi, n/cov. ankle, nesoi, valued o/$6.50 but n/o $12/pair Footwear w/outer soles &amp; uppers of rubber or plastics, nesoi, n/cov. ankle, nesoi, valued over $12/pair Ski-boots,cross-country ski footwear and snowboard boots, w/outer soles of rubber/plastics/leather/comp. leather &amp; uppers of leather, welt Ski-boots,cross-country ski footwear and snowboard boot, w/outer soles of rubber/plastics/leather/comp. leather &amp;uppers of leather, n/welt Golf shoes, w/outer soles rubber/plastics/leather/comp. leather &amp; uppers of leather, welt, for men/youths/boys Sports footwear, nesoi, w/outer soles of rubber/plastics/leather/comp. leather &amp; uppers of leather, welt, for men/youths/boys Golf shoes, w/outer soles rubber/plastics/leather/comp. leather &amp; uppers of leather, n/welt, for men/youths/boys Sports footwear, nesoi, w/outer soles rubber/plastics/leather/comp. leather &amp; uppers of leather, n/welt, for men/youths/boys Golf shoes, w/outer soles rubber/plastics/leather/comp.</w:t>
      </w:r>
    </w:p>
    <w:p>
      <w:pPr>
        <w:pStyle w:val="Normal"/>
      </w:pPr>
      <w:r>
        <w:t>leather &amp; upper of leather, for persons other than men/youths/boys Sports footwear, nesoi, w/outer soles rubber/plastics/leather/comp.leather &amp; uppers of leather, for persons other than men/youths/boys Footwear w/outer soles leather and uppers consist. of leather straps across the instep and around the big toe Footwear w/outer soles of rubber/plastics/leather/comp. leather &amp; uppers of leather, w/protective metal toe-cap, welt Footwear w/outer soles of rubber/plastics/leather/comp.</w:t>
      </w:r>
    </w:p>
    <w:p>
      <w:pPr>
        <w:pStyle w:val="Normal"/>
      </w:pPr>
      <w:r>
        <w:t>leather &amp; uppers of leather, w/protective metal toe-cap, n/welt Footwear w/outer soles of leather &amp; uppers of leather, covering ankle, made on a base or platform of wood, w/o insole or metal toe-cap Footwear w/outer soles and uppers of leather, nesoi, covering the ankle, welt Footwear w/outer soles and uppers of leather, nesoi, covering the ankle, n/welt, for men, youths and boys Footwear w/outer soles and uppers of leather, nesoi, covering the ankle, n/welt, for persons other than men, youths and boys Footwear w/outer soles of leather &amp; uppers of leather, not covering ankle, made on a base or platform of wood, w/o insole or metal toe-cap Turn or turned footwear w/outer soles and uppers of leather, not covering the ankle Footwear w/outer soles and uppers of leather, not covering the ankle, welt, nesoi Footwear w/outer soles and uppers of leather, not cov. ankle, n/welt, for men, youths and boys Footwear w/outer soles and uppers of leather, not cov.</w:t>
      </w:r>
    </w:p>
    <w:p>
      <w:pPr>
        <w:pStyle w:val="Normal"/>
      </w:pPr>
      <w:r>
        <w:t>ankle, n/welt, for persons other than men, youths and boys Footwear w/outer soles of rubber, plastics &amp; uppers of leather, covering ankle, made on a base or platform of wood, w/o insole or metal toe Footwear w/outer soles of rubber/plastics/composition leather &amp; uppers of leather, covering the ankle, welt Footwear w/outer soles of rubber/plastics/composition leather &amp; uppers of leather, covering the ankle, n/welt, for men,youths and boys Footwear w/outer soles of rubber/plastics/comp. leather &amp; uppers of leather, cov. ankle, n/welt, for persons other than men/youths/boys Footwear w/outer soles of rubber, plastics &amp; uppers of leather, not covering ankle, made on a base or platform of wood, w/o insole or metal Footwear w/outer soles of rubber/plastics/comp. leather &amp; uppers of leather, n/cov. ankle, made on a base wood Footwear w/outer soles of rubber/plastics/comp. leather &amp; uppers of leather, n/cov. ankle, welt, nesoi Footwear w/outer soles of rubber/plastics/comp. leather &amp; uppers of leather, n/cov. ankle, n/welt, for men, youths and boys, nesoi Footwear w/outer soles of rubber/plastics/comp. leather &amp; uppers of leather, n/cov.</w:t>
      </w:r>
    </w:p>
    <w:p>
      <w:pPr>
        <w:pStyle w:val="Normal"/>
      </w:pPr>
      <w:r>
        <w:t>ankle, for women/child./infants, val.n/o $2.50/pr Footwear w/outer soles of rubber/plastics/comp. leather &amp; uppers of leather, n/cov. ankle, for women/child./infants, val. over $2.50/pair Sports &amp; athletic footwear w/outer soles of rubber/plastics &amp; uppers of textile, w/ext. surf.</w:t>
      </w:r>
    </w:p>
    <w:p>
      <w:pPr>
        <w:pStyle w:val="Normal"/>
      </w:pPr>
      <w:r>
        <w:t>of uppers over 50% leather Sports ftwear w/outr sole rub/plast &amp; upper textile val. &lt; $3/pr, w/sole fixed w/adhesives w/o foxing not subj note 5 ch 64 Sports ftwear, outer soles rubber/plastic &amp; uppers textile, val. &lt;$3/pr, soles fixed w/adhesives w/o foxing, subj note 5 ch 64 Sports ftwear w/outer soles rubber/plastic &amp; uppers textile, val. &lt; $3/pair, not subj to note 5 ch 64 Sports ftwear w/outer soles rubber/plastic, uppers textile, val &lt;$3/pair, subj note 5 ch Sports ftwear w/outr sole rubber/plastic &amp; upper textile, val. &gt;$3 but &lt; $6.50/pr, w/soles fixed w/adhesives, not subj note 5 ch 64 Sports ftwear w/outr sole rubber/plastic &amp; uppers textile, val.&gt;$3 but &lt;$6.50/pr, w/sole fixed w/adhesives subj note 5 ch 64 Sports ftwear w/outer soles rubber/plastic &amp; uppers veg fiber, val.&gt;$3 but &lt;$6.50/pr, not subj note 5 ch 64 Sports ftwear w/outer soles rubber/plastic &amp; uppers textile, val. &gt;$3 but &lt;$6.50/pr, not subj note 5 ch 64 Sports ftwear w/outer soles rubber/plastic &amp; uppers textile, val.</w:t>
      </w:r>
    </w:p>
    <w:p>
      <w:pPr>
        <w:pStyle w:val="Normal"/>
      </w:pPr>
      <w:r>
        <w:t>&gt;$3 but &lt;$6.50/pr, subj note 5 ch 64 Sports ftwear w/outer soles rubber/plastic &amp; uppers veg fiber, val. &gt;$6.50 but &lt;$12/pr, not subj note 5 to ch 64 Sports ftwear w/outer soles rubber/plastic &amp; uppers textile, val. &gt;$6.50 but &lt; $12/pr, not subj to note 5 ch 64 Sports ftwear w/outer soles rubber/plastics&amp; uppers textile, val. &gt;$6.50 but &lt;$12/pr, subj note 5 ch 64 Sports ftwear w/outer soles rubber/plastic &amp; uppers textile, val.</w:t>
      </w:r>
    </w:p>
    <w:p>
      <w:pPr>
        <w:pStyle w:val="Normal"/>
      </w:pPr>
      <w:r>
        <w:t>&gt;$12/pair Ftwear w/outer soles rubber/plastic &amp; uppers textile, nesoi, w/ext. surf. of uppers &gt; 50% leather Ftwear w/outer soles rubber/plastic &amp; uppers textile, nesoi, designed to protect agst liquids, chemicals &amp; weather Ftwear w/outer soles rubber/plastic &amp; upp. veg. fibers, nesoi, w/open toes/heels or slip- on, &lt; 10% rub/plast by wt. Ftwear w/outer soles rubber/plastic &amp; upp. textile, nesoi, w/open toes/heels or slip-on, &lt;10% rub/plast by wt.</w:t>
      </w:r>
    </w:p>
    <w:p>
      <w:pPr>
        <w:pStyle w:val="Normal"/>
      </w:pPr>
      <w:r>
        <w:t>Ftwear w/outer soles rub/plast &amp; upp. veg fiber, nesoi, w/open toes/heels or slip-on, &gt;10% by wt. rub./plast, subj note 5 ch 64 Ftwear w/outr soles rubber/plastic &amp; upp. textile, nesoi, w/open toes/heels or slip-on, &gt;10% by wt. of rub/plast, subj note 5 ch 64 Ftwear w/outr sole rub/plast &amp; upp. textile, nesoi, w/open toes/heels or slip-on, &gt;10% by wt. rub./plast not subj note 5 ch 64 Ftwear w/outr sole rub/plast. &amp; upp. veg fiber, nesoi, val. &lt;$3/pr, w/sole fixed to upp. w/adhesives &amp; w/o foxing, not subj note 5 ch 64 Ftwear w/outr soles rub/plast &amp; upp. textile, nesoi, val. &lt;$3/pr, w/sole fixed to upper w/adhesives &amp; w/o foxing, not subj note 5 ch 64 Ftwear w/outr sole rub./plast. &amp; upp. textile, nesoi, val. &lt;$3/pr, w/soles fixed to upper w/adhesives &amp; w/o foxing subj note 5 ch 64 Ftwear w/outer soles rubber/plastic &amp; upp. veg fiber, nesoi, val. &lt;$3/pr, nesoi, not subj note 5 ch 64 Ftwear w/outr sole rub/plast./leather &amp; upp. not veg fiber textile, nesoi, not sports, val.</w:t>
      </w:r>
    </w:p>
    <w:p>
      <w:pPr>
        <w:pStyle w:val="Normal"/>
      </w:pPr>
      <w:r>
        <w:t>&lt;$3/pr, not subj note 5 ch 64 Ftwear w/outr sole rub/plast./leather &amp; upp. textile, nesoi, not sports, val. &lt; $3/pr, subj note 5 ch 64 Ftwear w/outr sole rub/plast. &amp; upp. textile, nesoi, val. &gt;/$3 but &lt;$6.50/pr, w/sole fixed to upp. w/adhesives, not subj note 5 ch 64 Ftwear w/outr sole rub/plast. &amp; upp. textile, nesoi, val. &gt;$3 but &lt;$6.50/pr, w/sole fixed to upp. w/adhesives, subj note 5 ch 64 Ftwear w/outr sole rub/plast. &amp; upper veg fiber, nesoi, val. &gt;$3 but &lt;$6.50/pr, nesoi, not subj note 5 ch 64 Footwear w/outer sole rub/plast. &amp; upper textile, nesoi, val. o/$3 but n/o $6.50/pr, nesoi, not subj note 5 ch 64 Footwear w/outr sole rub/plast. &amp; upper. textile, nesoi, val. o/$3 but n/o $6.50/pr, nesoi, subj note 5 ch 64 Footwear w/outer sole rub/plast. &amp; upp. veg fiber, nesoi, val. o/$6.50 but n/o $12/pr, not subj note 5 ch 64 Footwear w/outer sole rub/plast. &amp; upp. textile, nesoi, val. o/$6.50 but n/o $12/pr, not subj note 5 ch 64 Footwear w/outer soles rub/plast. &amp; upp. textile, nesoi, val.</w:t>
      </w:r>
    </w:p>
    <w:p>
      <w:pPr>
        <w:pStyle w:val="Normal"/>
      </w:pPr>
      <w:r>
        <w:t>o/$6.50 but n/o $12/pr, subj note 5 ch 64 Footwear w/outer soles of rub./plast. &amp; upp. of textile, nesoi, val. o/$12/pr Footwear w/outer soles of leather/comp. leath., n/o 50% by wt. rub./plast. or rub./plast./text. &amp; 10%+ by wt. rub./plast., val. n/o $2.50/pr Footwear w/outer soles of leather/comp. leath., n/o 50% by wt. rub./plast. or rub./plast./text. &amp; 10%+ by wt. rub./plast., val. o/$2.50/pr Footwear w/outer soles of leather/comp.</w:t>
      </w:r>
    </w:p>
    <w:p>
      <w:pPr>
        <w:pStyle w:val="Normal"/>
      </w:pPr>
      <w:r>
        <w:t>leather &amp; uppers of textile, nesoi Footwear, nesoi, w/outer soles of other than rubber/plastics/leather/comp.leather &amp; uppers of leather/composition leather, nesoi Footwear, nesoi, w/outer soles of other than rubber/plastics/leather/comp.leather &amp; uppers of vegetable fibers, nesoi Footwear, nesoi, with soles and uppers of wool felt Footwear,nesoi,w/outer sole other than rubber/plastics/leather/comp. leather &amp; upper of text. material other than veg. fibers or wool felt Disposable footwear, nesoi, designed for one-time use Footwear, nesoi, w/outer soles and uppers o/than leather or comp.</w:t>
      </w:r>
    </w:p>
    <w:p>
      <w:pPr>
        <w:pStyle w:val="Normal"/>
      </w:pPr>
      <w:r>
        <w:t>leather, not disposible Formed uppers for footwear, of leather/composition leather, for men, youths and boys Formed uppers for footwear, of leather/composition leather, for women, misses, children and infants Formed uppers for footwear, of textile materials, w/o 50% of external surface leather Formed uppers for footwear, of textile materials, nesoi, valued n/o $3/pr Formed uppers for footwear, of textile materials, nesoi, valued o/$3 but n/o $6.50/pr Formed uppers for footwear, of textile materials, nesoi, valued o/$6.50 but n/o $12/pr Formed uppers for footwear, of textile materials, nesoi, valued o/$12/pr Formed upper for footwear, of materials other than leather/comp.leather or textile, w/over 90% of ext. surf. rub./plast. not for fw w/foxing Formed uppers for footwear, of materials other than leather/comp.leather or textile materials, nesoi Uppers &amp; pts.</w:t>
      </w:r>
    </w:p>
    <w:p>
      <w:pPr>
        <w:pStyle w:val="Normal"/>
      </w:pPr>
      <w:r>
        <w:t>thereof for footwear, nesoi, of rubber or plastics Uppers &amp; pts. thereof for footwear, nesoi, of leather Uppers &amp; pts. thereof for footwear, nesoi, of textile materials w/external surface area over 50% leather Uppers for footwear, nesoi, of cotton, w/external surface area less than 50% textile materials Uppers &amp; pts. thereof for footwear, nesoi, of cotton, w/external surface area 50% or more of textile materials Uppers for footwear, nesoi, of materials nesoi, w/external surface area less than 50% textile materials Uppers &amp; pts. thereof for footwear, nesoi Outer soles and heels for footwear, of rubber or plastics Parts of footwear, nesoi, of wood Parts of footwear; nesoi, removable insoles, heel cushions, gaiters, leggings, etc, &amp; pts. thereof; all the foregoing of textile materials Parts of footwear, nesoi; removable insoles,heel cushions, etc; gaiters, leggings, etc., &amp; pts. thereof; all the foregoing of rubber/plastic Parts of footwear; nesoi, removable insoles, heel cushions, etc; gaiters, leggings, etc, &amp; pts.</w:t>
      </w:r>
    </w:p>
    <w:p>
      <w:pPr>
        <w:pStyle w:val="Normal"/>
      </w:pPr>
      <w:r>
        <w:t>thereof; all the foregoing of leather Parts of footwear, nesoi; removable insoles, heel cushions, etc; gaiters, leggings, etc, &amp; pts thereof; all the foregoing of materials nesoi Hat forms, hat bodies and hoods, not blocked to shape or with made brims; plateaux &amp; manchons; all of fur felt, for men or boys Hat forms, hat bodies and hoods, not blocked to shape or with made brims; plateaux &amp; manchons; all of fur felt, not for men or boys Hat forms, hat bodies and hoods, not blocked to shape or with made brims; plateaux &amp; manchons; all of felt, other than fur felt Hat shapes, plaited or assembled from strips, not blocked/lined/trimmed &amp; w/o made brims, of veg. fibers or materls, or paper yarn, sewed Hat shapes, plaited or asmbld from strips, n/blocked/lined/trimmed &amp; w/o made brims, of veg. fibers or materls, not sewed/bleached/colored Hat shapes, plaited or asmbld from strips, n/blocked/lined/trimmed &amp; w/o made brims, of veg. fibers or materls, not sewed but bleachd/colord Hat shapes, plaited or assembled from strips, not blocked/lined/trimmed &amp; w/o made brims, not veg. fibers/veg.</w:t>
      </w:r>
    </w:p>
    <w:p>
      <w:pPr>
        <w:pStyle w:val="Normal"/>
      </w:pPr>
      <w:r>
        <w:t>materials/paper yarn, nesoi Hats and headgear, plaited or assembled from strips of veg. fibers or unspun fibrous veg. materials and/or paper yarn, sewed Hats and headgear, plaited or assembled from strips of veg. fibers or unspun fibrous veg. materials and/or paper yarn, not sewed Hats and headgear, plaited or assembled from strips of any material (o/than veg. fibers/unspun fibrous veg.</w:t>
      </w:r>
    </w:p>
    <w:p>
      <w:pPr>
        <w:pStyle w:val="Normal"/>
      </w:pPr>
      <w:r>
        <w:t>materials and/or paper yarn) Hair-nets of any material, whether or not lined or trimmed Hats and headgear of fur felt made from hat forms and hat bodies of 6501 Hats and headgear made from hat forms and hat bodies of 6501, except of fur felt Hats and headgear, of cotton and/or flax, knitted Headwear, of cotton, not knitted;</w:t>
      </w:r>
    </w:p>
    <w:p>
      <w:pPr>
        <w:pStyle w:val="Normal"/>
      </w:pPr>
      <w:r>
        <w:t>certified hand-loomed and folklore hats &amp; headgear, of cotton or flax, not knitted Hats and headgear, of cotton or flax, not knitted, not certified hand-loomed folklore goods Hats and headgear, of wool, knitted or crocheted or made up from knitted or crocheted fabric Hats and headgear, of wool, made up from felt or of textile material, not knitted or crocheted or made up from knitted or crocheted fabric Hats and headgear, of man-made fibers, knitted or crocheted or made up from knitted or crocheted fabric, wholly or in part of braid Hats and headgear, of man-made fibers, knitted or crocheted or made up from knitted or crocheted fabrics, not in part of braid Hats and headgear, of man-made fibers, made up from felt or of textile material, not knitted or crocheted, wholly or in part braid Hats and headgear, of man-made fibers, made up from felt or of textile material, not knitted or crocheted, not in part of braid Hats and headgear, of textile materials (other than of cotton, flax, wool or man-made fibers), nesoi Safety headgear of reinforced or laminated plastics, whether or not lined or trimmed Safety headgear, other than of reinforced or laminated</w:t>
      </w:r>
    </w:p>
    <w:p>
      <w:pPr>
        <w:pStyle w:val="Normal"/>
      </w:pPr>
      <w:r>
        <w:t>plastics, whether or not lined or trimmed Headgear (other than safety headgear), nesoi, of rubber or plastics, whether or not lined or trimmed Headgear, nesoi, of furskin, whether or not lined or trimmed Headgear (other than safety headgear), nesoi, of materials other than rubber, plastics, or furskins, whether or not lined or trimmed Headbands, linings, covers, hat foundations, hat frames, peaks (visors) and chinstraps, for headgear Garden or similar umbrellas Umbrellas, other than garden or similar umbrellas, having a telescopic shaft Umbrellas, other than garden or similar umbrellas, not having a telescopic shaft Walking-sticks, seat-sticks, whips, riding-crops and the like Umbrella frames, including frames mounted on shafts (sticks), for hand-held umbrellas chiefly used for protection against rain Umbrella frames, including frames mounted on shafts (sticks), other than for hand-held rain umbrellas, nesoi Umbrella handles, knobs, tips and caps Handles, knobs, other parts, trimmings or accessories for walking sticks, seat-sticks, whips, riding crops and the like Articles of feathers or down (other than articles &amp; apparel filled or stuffed with feathers/down and worked quills &amp; scapes) Skins and o/parts of birds w/their feathers or down, feathers, pts of feathers/down, nesoi Artificial flowers/foliage/fruit;</w:t>
      </w:r>
    </w:p>
    <w:p>
      <w:pPr>
        <w:pStyle w:val="Normal"/>
      </w:pPr>
      <w:r>
        <w:t>articles of art. flowers, etc.; all of plastics, asmbld by binding/gluing/or similar methods Artificial flowers/foliage/fruit &amp; pts of; articles of art.</w:t>
      </w:r>
    </w:p>
    <w:p>
      <w:pPr>
        <w:pStyle w:val="Normal"/>
      </w:pPr>
      <w:r>
        <w:t>flowers, etc.; all of plastics, not asmbld by binding/gluing/or similar methods Artificial flowers/foliage/fruit &amp; pts thereof; articles of artif. flowers, etc.; all the foregoing of feathers Artificial flowers/foliage/fruit &amp; pts thereof; articles of artif. flowers, etc.; all the foregoing of man-made fibers Artificial flowers/foliage/fruit &amp; pts thereof; articles of artif. flowers, etc.; all the foregoing of materials o/than plast./feath./mmf Human hair, dressed, thinned, bleached or otherwise worked, for use in making wigs or the like Wool or other animal hair or other textile materials, prepared for use in making wigs or the like Wigs (complete), of synthetic textile materials Wigs (partial), false beards, eyebrows and the like, of synthetic textile materials Wigs, false beards, eyebrows and the like, of human hair; articles of human hair, nesoi Wigs, false beards, eyebrows and the like, of animal hair or textile materials (other than synthetic textiles) Setts, curbstones and flagstones, of natural stone (except slate) Tiles/cubes/similar arts. of natural stone, enclosable in a sq. w/a side less than 7 cm; artificially colored granules, chippings &amp; powder Monumental or building stone &amp; arts.</w:t>
      </w:r>
    </w:p>
    <w:p>
      <w:pPr>
        <w:pStyle w:val="Normal"/>
      </w:pPr>
      <w:r>
        <w:t>thereof, of travertine, simply cut/sawn, w/flat or even surface Monumental or building stone &amp; arts. thereof, of marble &amp; alabaster, simply cut/sawn, w/flat or even surface Monumental or building stone &amp; arts.</w:t>
      </w:r>
    </w:p>
    <w:p>
      <w:pPr>
        <w:pStyle w:val="Normal"/>
      </w:pPr>
      <w:r>
        <w:t>thereof, of granite, simply cut/sawn, w/flat or even surface Monumental or building stone &amp; arts. thereof, of calcareous stone, nesoi, simply cut/sawn, w/flat or even surface Monumental or building stone &amp; arts. thereof, of stone, nesoi, simply cut/sawn, w/flat or even surface Marble slabs, further worked than simply cut/sawn Monumental or building stone &amp; arts. thereof (o/than slabs), of marble, further worked than simply cut/sawn, nesoi Monumental or building stone &amp; arts. thereof, of travertine, dressed or polished but not further worked, nesoi Monumental or building stone &amp; arts. thereof, of travertine, further worked than dressed or polished, nesoi Monumental or building stone &amp; arts. thereof, of alabaster, further worked than simply cut/sawn, nesoi Monumental or building stone &amp; arts. thereof, of calcareous stone, nesoi, further worked than simply cut/sawn, nesoi Monumental or building stone &amp; arts. thereof, of granite, further worked than simply cut/sawn, nesoi Monumental or building stone &amp; arts.</w:t>
      </w:r>
    </w:p>
    <w:p>
      <w:pPr>
        <w:pStyle w:val="Normal"/>
      </w:pPr>
      <w:r>
        <w:t>thereof, nesoi, further worked than simply cut/sawn, nesoi Roofing slate Worked slate (other than roofing slate) and articles of slate or agglomerated slate Millstones and grindstones for milling, grinding or pulping Millstones, grindstones, grinding wheels and the like, nesoi, of agglomerated synthetic or natural diamond Millstones, grindstones, grinding wheels and the like, nesoi, of agglomerated abrasives nesoi, or ceramics, bonded with synthetic resins Abrasive wheels of agglomerated abrasives nesoi, or ceramics, not bonded with synthetic resins Millstones, grindstones, grinding wheels and the like, nesoi, of agglomerated abrasives nesoi, or ceramics, not bonded w/synthetic resins Millstones, grindstones, grinding wheels and the like, nesoi, of natural stone Hand sharpening or polishing stones Natural or artificial abrasive powder or grain on a base of woven textile fabric only Natural or artificial abrasive powder or grain on a base of paper or paperboard only Articles wholly or partly coated natural or artificial abrasive powder or grain, on a base of materials nesoi, in sheets, strips, disks,etc.</w:t>
      </w:r>
    </w:p>
    <w:p>
      <w:pPr>
        <w:pStyle w:val="Normal"/>
      </w:pPr>
      <w:r>
        <w:t>Natural or artificial abrasive powder or grain on a base of materials nesoi, in forms nesoi Slag wool, rock wool and similar mineral wools, in bulk, sheets or rolls Exfoliated vermiculite, expanded clays, foamed slag and similar expanded mineral materials Mixtures and articles of heat-insulating, sound-insulating or sound-absorbing mineral materials, nesoi Articles of asphalt or of similar material, in rolls Articles of asphalt or of similar material, not in rolls Panels, boards, tiles and similar articles of vegetable fiber, straw or wood wastes, agglomerated with cement, plaster or o/mineral binders Panels, boards, sheets, tiles and similar articles of plaster or comp. plaster, n/ornamented, faced or reinforced w/paper or paperboard only Panels, boards, sheets, tiles and similar articles of plaster or comp. plaster, not ornamented, nesoi Articles (other than panels, boards, sheets, tiles, etc.) of plaster or of compositions based on plaster, nesoi Building blocks and bricks, of cement, concrete or artificial stone, whether or not reinforced Floor and wall tiles, of stone agglomerated with binders other than cement Floor and wall tiles, of cement, concrete, or of artificial stone (except stone agglom.</w:t>
      </w:r>
    </w:p>
    <w:p>
      <w:pPr>
        <w:pStyle w:val="Normal"/>
      </w:pPr>
      <w:r>
        <w:t>w/binders other than cement) Tiles, flagstones, and similar articles, nesoi, of cement, concrete or artificial stone, whether or not reinforced Prefabricated structural components for building or civil engineering, of cement, concrete or artificial stone, nesoi Articles of cement (other than tiles, flagstones, bricks and similar arts.), of concrete or artificial stone, nesoi Articles of asbestos-cement Corrugated sheets, of cellulose fiber-cement or the like (not containing asbestos) Sheets (other than corrugated), panels, tiles and similar articles of cellulose-fiber cement or the like (not containing asbestos) Tubes, pipes and tube or pipe fittings, of cellulose fiber-cement or the like (not containing asbestos) Articles of cellulose fiber-cement or the like (not containing asbestos), nesoi Footwear of crocidolite Articles or mixtures of crocidolite, nesoi Footwear of asbestos other than crocidolite Clothing, accessories, and headgear of asbestos other than crocidolite Paper, millboard and felt of asbestos other than crocidolite Compressed asbestos (other than crocidolite) fiber jointing, in sheets Articles nesoi, of asbestos other than crocidolite or mixtures with a basis of asbestos other than crocidolite</w:t>
      </w:r>
    </w:p>
    <w:p>
      <w:pPr>
        <w:pStyle w:val="Normal"/>
      </w:pPr>
      <w:r>
        <w:t>Friction material &amp; articles thereof, containing asbestos Brake linings and pads not containing asbestos Friction material &amp; articles thereof with a basis of mineral substances (other than asbestos) or of cellulose, nesoi Agglomerated or reconstituted mica, in plates,</w:t>
      </w:r>
    </w:p>
    <w:p>
      <w:pPr>
        <w:pStyle w:val="Normal"/>
      </w:pPr>
      <w:r>
        <w:t>sheets and strips, whether or not on a support Worked mica and articles of mica, nesoi, whether or not on a support of paper, paperboard or other materials Nonelectrical articles of graphite or other carbon Articles of peat, nesoi Articles containing magnesoite, dolomite or chromite, nesoi Talc, steatite and soapstone, cut or sawn, or in blanks, crayons, cubes, disks or other forms Articles of stone or of other mineral substances (including carbon fibers &amp; articles thereof), nesoi Siliceous fossil meal or earth bricks, blocks, tiles and other ceramic goods Refractory bricks of magnesite, containing by weight o/50% MgO Refractory bricks, blocks, tiles and similar goods containing by weight o/50% MgO, CaO, or Cr2O3 Refractory bricks containing by weight o/50% alumina (Al2O2) or silica (SiO2) or mixtures or compounds thereof Refractory blocks, tiles &amp; similar goods (o/than bricks), cont. by wt. o/50% alumina (Al2O2) or silica (SiO2) or mixtures thereof Refractory bricks, nesoi Refractory blocks, tiles &amp; similar goods (other than bricks), nesoi Refractory ceramic goods (o/than of siliceous fossil meals or earths), nesoi, cont. by wt.</w:t>
      </w:r>
    </w:p>
    <w:p>
      <w:pPr>
        <w:pStyle w:val="Normal"/>
      </w:pPr>
      <w:r>
        <w:t>o/50% graphite or o/forms or mix. of carbon Refractory ceramic goods (o/than of siliceous fossil meals or earths), nesoi, cont. by wt. o/50% alumina or mix. or comp.</w:t>
      </w:r>
    </w:p>
    <w:p>
      <w:pPr>
        <w:pStyle w:val="Normal"/>
      </w:pPr>
      <w:r>
        <w:t>of Al2O3 &amp; SiO3 Refractory ceramic goods (o/than of siliceous fossil meals or earths), nesoi Ceramic building bricks (o/than refractory bricks) Ceramic flooring blocks, support or filler tiles and the like (other than bricks) Ceramic roofing tiles Ceramic chimney pots, cowls, chimney liners, architectural ornaments and other construction goods Ceramic pipes, conduits, guttering and pipe fittings Unglazed ceramic tiles, other than those of subheading 6907.30 and 6907.40, of H2O absorp coeff by wt &lt;=0.5% Glazed ceramic tiles having &lt;=3229 tiles per m2, surf area in sq w/ side &lt;7cm, H2O absorp coeff by wt &lt;=0.5% Glazed ceramic tiles having surface area &lt;38.7cm2, surf area in sq w/ side &lt;7cm, of H2O absorp coeff by wt &lt;=0.5% Glazed ceramic tiles having surface area &gt;=38.7cm2, surf area in sq w/ side &lt;7cm, of a H2O absorp coeff by wt &lt;=0.5% Glazed ceramic tiles nesoi, of a H2O absorp coeff by wt &lt;=0.5% Unglazed ceramic tiles, other than those of subheading 6907.30 and</w:t>
      </w:r>
    </w:p>
    <w:p>
      <w:pPr>
        <w:pStyle w:val="Normal"/>
      </w:pPr>
      <w:r>
        <w:t>6907.40, of H2O absorp coeff by wt exceeding 0.5% but not exceeding 10% Glazed ceramic tiles having &lt;=3229 tiles per m2, surf area in sq w/ side &lt;7cm, H2O absorp coeff by wt exceeding 0.5% but not exceeding 10% Glazed ceramic tiles having surface area &lt;38.7cm2, surf area in sq w/ side &lt;7cm, of H2O absorp coeff by wt exceeding 0.5% but not exceeding 10% Glazed ceramic tiles having surface area &gt;=38.7cm2, surf area in sq w/ side &lt;7cm, of a H2O absorp coeff by wt exceeding 0.5% but not exceeding 10% Glazed ceramic</w:t>
      </w:r>
    </w:p>
    <w:p>
      <w:pPr>
        <w:pStyle w:val="Normal"/>
      </w:pPr>
      <w:r>
        <w:t>tiles nesoi, of a H2O absorp coeff by wt exceeding 0.5% but not exceeding 10% Unglazed ceramic tiles, other than those of subheading 6907.30 and 6907.40, of H2O absorp coeff by wt &gt;10% Glazed ceramic tiles having &lt;=3229 tiles per m2, surf area in sq w/ side &lt;7cm, H2O absorp coeff by wt &gt;10% Glazed ceramic tiles having surface area &lt;38.7cm2, surf area in sq w/ side &lt;7cm, of H2O absorp coeff by wt &gt;10% Glazed ceramic tiles having surface area &gt;=38.7cm2, surf area in sq w/ side &lt;7cm, of a H2O absorp coeff by wt &gt;10% Glazed ceramic tiles nesoi, of a H2O absorp coeff by wt &gt;10% Unglazed ceramic mosaic cubes, o/t subheading 6907.40 Glazed ceramic mosaic cubes having &lt;=3229 tiles per m2, surf area in sq w/ side &lt;7cm Glazed ceramic mosaic cubes having surface area &lt;38.7cm2, surf area in sq w/ side &lt;7cm Glazed ceramic mosaic cubes having surface area &gt;=38.7cm2, surf area in sq w/ side &lt;7cm Glazed ceramic mosaic cubes nesoi, o/t subheading</w:t>
      </w:r>
    </w:p>
    <w:p>
      <w:pPr>
        <w:pStyle w:val="Normal"/>
      </w:pPr>
      <w:r>
        <w:t>6907.40 Unglazed finishing ceramics Glazed finishing ceramics having &lt;=3229 tiles per m2, surf area in sq w/ side &lt;7cm Glazed finishing ceramics having surface area &lt;38.7cm2, surf area in sq w/ side &lt;7cm Glazed finishing ceramics having surface area &gt;=38.7cm2, surf area in sq w/ side &lt;7cm Glazed finishing ceramics nesoi Porcelain or china ceramic machinery parts Porcelain or china ceramic wares for laboratory, chemical or other technical uses (other than machinery parts), nesoi Ceramic wares (o/than of porcelain or china) for laboratory,</w:t>
      </w:r>
    </w:p>
    <w:p>
      <w:pPr>
        <w:pStyle w:val="Normal"/>
      </w:pPr>
      <w:r>
        <w:t>chemical or technical uses, w/hardness equivalent to 9 or more on Mohs scale Ceramic ferrite core memories Ceramic wares for laboratory, chemical or other technical uses (o/than of porcelain or china), nesoi Ceramic troughs, tubes &amp; siml. receptacles for agriculture; ceramic pots, jars, &amp; siml. arts. for conveyance or packing of goods Porcelain or china ceramic sinks, washbasins, baths, bidets, water closet bowls, urinals &amp; siml. sanitary fixtures Ceramic (o/than porcelain or china) sinks, washbasins, baths, bidets, water closet bowls, urinals &amp; siml. sanitary fixtures Porcelain or china hotel, restaurant &amp; nonhousehold table and kitchenware Bone china household table &amp; kitchenware valued n/o $31.50/doz. pcs. Bone china household table &amp; kitchenware valued o/$31.50/doz. pcs. Porcelain or china (o/than bone china) househld tabl. &amp; kitch.ware in sets in which aggregate val. of arts./US note 6(b) n/o $56 Porcelain or china (o/than bone china) househld tabl. &amp; kitch.ware in sets in which aggregate val. of arts./US note 6(b) o/$56 n/o $200 Porcelain or china (o/than bone china) househld tabl. &amp; kitch.ware in sets in which aggregate val. of arts./US note 6(b) o/$200 Porcelain or china (o/than bone china) hsehld steins w/pewter lids, decanters, punch bowls, spoons &amp; rests, salt/pepper sets, etc.</w:t>
      </w:r>
    </w:p>
    <w:p>
      <w:pPr>
        <w:pStyle w:val="Normal"/>
      </w:pPr>
      <w:r>
        <w:t>Porcelain or china (o/than bone china) household mugs and steins w/o attached pewter lids Porcelain or china (o/than bone china) hsehld tabl/kit.ware n/in specif.sets,cups o/$8 but n/o $29/dz, saucers o/$5.25 but n/o $18.75/dz,etc Porcelain or china (o/than bone china) hsehld tabl/kit ware n/in specif. sets, cups o/$29/dz, saucers o/$18.75/dz, bowls o/$33/dz, etc. Porcelain or china (o/than bone china) household serviette rings Porcelain or china (o/than bone china) household tableware &amp; kitchenware, not in specified sets, nesoi Porcelain or china (o/than bone china) household and toilet articles (other than tableware or kitchenware), nesoi Course-grained earthen/stoneware tabl &amp; kitchware; fine-grain earthenware tabl &amp; kitch.ware w/reddish body &amp; lustrous colored/mottled glaze Ceramic (o/than porcelain or china) hotel, restaurant or nonhousehold tableware and kitchenware Ceramic (o/than porcelain or china) household table and kitchenware, in sets in which aggregate val. of arts./US note 6(b) n/o $38 Ceramic (o/than porcelain or china) household table and kitchenware, in sets in which aggregate val. of arts./US note 6(b) o/$38 Ceramic (o/than porcelain or china) hsehld steins w/pewter lids, decanters, punch bowls, spoons &amp; rests, salt/pepper sets, etc.</w:t>
      </w:r>
    </w:p>
    <w:p>
      <w:pPr>
        <w:pStyle w:val="Normal"/>
      </w:pPr>
      <w:r>
        <w:t>Ceramic (o/than porcelain or china) household mugs and steins w/o attached pewter lids Ceramic (o/than porcelain or china) household tabl/kitch.ware,n/in specif. sets, cups o/$5.25/dz, saucers o/$3/dz, etc.</w:t>
      </w:r>
    </w:p>
    <w:p>
      <w:pPr>
        <w:pStyle w:val="Normal"/>
      </w:pPr>
      <w:r>
        <w:t>Ceramic (o/than porcelain or china) household serviette rings Ceramic (o/than porcelain or china) household tableware and kitchenware, nesoi Ceramic (o/than porcelain or china) household articles and toilet articles (o/than table and kitchenware), nesoi Porcelain or china statues, statuettes &amp; handmade flowers, valued o/$2.50 each, of original work by professional sculptors Bone china statuettes and other ornamental articles, nesoi Porcelain or china (o/than bone china) statuettes and other ornamental articles, nesoi Ceramic (o/than porcelain or china) statues, statuettes, handmade flowers, val. o/$2.50 each, of original work by professional sculptors Ornamental articles of ceramic tile Earthenware ornamental articles, having a reddish-colored body and a lustrous glaze of differing colors Ceramic (o/than porcelain, china or eartherware) ornamental articles, nesoi Porcelain or china ceramic ferrules, n/o 3mm diam or 25mm long, w/fiber channel open. and/or ceramic mating sleeves of Al2O3 or zirconia Porcelain or china arts. (o/than tableware/kitchenware/household &amp; ornament. arts),nesoi Ceramic (o/porcelain or china) ferrules, n/o 3mm or 25mm long, w/fiber channel open. and/or ceramic mating of sleeves of Al2O3 or zirconia Ceramic (o/than porcelain or china) arts. (o/than tableware/kitchenware/household &amp; ornament.</w:t>
      </w:r>
    </w:p>
    <w:p>
      <w:pPr>
        <w:pStyle w:val="Normal"/>
      </w:pPr>
      <w:r>
        <w:t>arts), nesoi Glass in the mass of fused quartz or other fused silica Glass in the mass (other than of fused quartz or other fused silica) Cullet and other waste and scrap of glass Glass in balls (o/than microspheres of heading 7018), unworked, n/o 6mm in diameter Glass in balls (o/than microspheres of heading 7018), unworked, over 6 mm in diameter Glass rods of fused quartz or other fused silica, unworked Glass rods (o/than of fused quartz or other fused silica), unworked Glass tubes of fused quartz or other fused silica, unworked Glass tubes (o/than fused quartz/silica), w/linear coefficient of expansion n/o 5x10-6 per Kelvin in range of 0-300 degrees C, unworked Glass tubes (o/than fused quartz/silica), nesoi, unworked Cast or rolled glass, in nonwired sheets, colored thru the mass, opacified, flashed or w/absorbent,reflect. or non-reflect.layer, not wkd.</w:t>
      </w:r>
    </w:p>
    <w:p>
      <w:pPr>
        <w:pStyle w:val="Normal"/>
      </w:pPr>
      <w:r>
        <w:t>Cast or rolled glass, in nonwired sheets, n/colored thru the mass, opacified, flashed, etc. &amp; not further worked Cast or rolled glass, in wired sheets Cast or rolled glass profiles Drawn or blown glass, in sheets, w/absorbent, reflecting or non-reflecting layer, n/furth. wkd. Drawn or blown glass, in rect. sheets, colored thru the mass, etc., w/o absorbent, reflecting or non-reflect. layer, n/furth wkd Drawn or blown glass, in sheets (o/than rect.), colored thru the mass, opacified, flashed, w/o absorbent, etc. layer, n/furth. wkd. Drawn or blown glass, nesoi, in rectangular sheets, w/thick.</w:t>
      </w:r>
    </w:p>
    <w:p>
      <w:pPr>
        <w:pStyle w:val="Normal"/>
      </w:pPr>
      <w:r>
        <w:t>n/o 1.5 mm &amp; n/o 0.26 m2 in area, n/further wkd. Drawn or blown glass, nesoi, in rectangular sheets, w/thick. n/o 1.5 mm &amp; over 0.26 m2 in area, n/further wkd. Drawn or blown glass, nesoi, in rectangular sheets, w/thick. over 1.5 but n/o 2 mm &amp; n/o 0.26 m2 in area, n/further wkd. Drawn or blown glass, nesoi, in rectangular sheets, w/thick. over 1.5 but n/o 2 mm &amp; over 0.26 m2 in area, n/further wkd. Drawn or blown glass, nesoi, in rectangular sheets, w/thick. over 2 but n/o 3.5 mm, not further wkd. Drawn or blown glass, nesoi, in rectangular sheets, w/thick. over 3.5 mm &amp; n/o 0.65 m2 in area, not further wkd. Drawn or blown glass, nesoi, in rectangular sheets, w/thick. over 3.5 mm &amp; over 0.65 m2 in area, not further wkd. Drawn or blown glass, nesoi, in sheets (other than rectangular), nesoi Surface ground or polished glass, w/absorb. or reflect. layer, n/o 1.2 mm thick &amp; n/o 0.8 M2 in area, suitable for use in LCD’s Float glass &amp; surface ground or polished glass, nonwired, in sheets, w/absorb. or reflect.</w:t>
      </w:r>
    </w:p>
    <w:p>
      <w:pPr>
        <w:pStyle w:val="Normal"/>
      </w:pPr>
      <w:r>
        <w:t>layer, nesoi, not worked Float glass &amp; surface ground or polished glass, nonwired, in sheets, colored thru mass, opacified, flashed, under 10 mm thick, not worked Float glass &amp; surface ground or polished glass, nonwired, in sheets, colored thru mass, opacified, flashed, 10 mm or more thick, not worked Float glass &amp; surface ground or polished glass, in sheets, less than 10 mm thick, w/area n/o 0.65 M2 &amp; for liquid crystal displays Float glass &amp; surface ground or polished glass, nonwired, in sheets, less than 10 mm thick, w/area n/o 0.65 M2 &amp; not for LCD’s Float glass &amp; surface ground or polished glass, in sheets, less than 10 mm thick, w/area o/0.65 M2 &amp; for liquid crystal displays Float glass &amp; surface ground or polished glass, nonwired, in sheets, less than 10 mm thick, w/area over 0.65 M2 &amp; not for LCD’s Float glass &amp; surface ground or polished glass, nonwired, in sheets, 10 mm or more in thickness Float glass &amp; surface ground or polished glass, wired,</w:t>
      </w:r>
    </w:p>
    <w:p>
      <w:pPr>
        <w:pStyle w:val="Normal"/>
      </w:pPr>
      <w:r>
        <w:t>in sheets Glass of heading 7003-7005 in strips n/o 15.2 cm wide &amp; o/2 mm thick, w/longitudinal edges ground or smoothed Drawn or blown glass, not containing wire netting &amp; not surface ground or polished, but bent, edged or otherwise worked but not framed Glass of heading 7003-7005, bent, edgeworked, engraved, drilled, enameled or otherwise worked, but not framed or fitted, nesoi Toughened (tempered) safety glass, of size and shape suitable for incorporation in vehicles, aircraft, spacecraft or vessels Toughened (tempered)</w:t>
      </w:r>
    </w:p>
    <w:p>
      <w:pPr>
        <w:pStyle w:val="Normal"/>
      </w:pPr>
      <w:r>
        <w:t>safety glass, not of size or shape suitable for incorporation in vehicles, aircraft, spacecraft or vessels Laminated safety glass, windshields, of size and shape suitable for incorporation in vehicles, aircraft, spacecraft or vessels Laminated safety glass (o/than windshields), of size and shape suitable for incorporation in vehicles, aircraft, spacecraft or vessels Laminated safety glass, not of size or shape suitable for incorporation in vehicles, aircraft, spacecraft or vessels Glass multiple-walled insulating units Glass rearview mirrors for vehicles Glass mirrors (o/than rearview mirrors), unframed, n/o 929 cm2 in reflecting area Glass mirrors (o/than rearview mirrors), unframed, over 929 cm2 in reflecting area Glass mirrors (o/than rearview mirrors), framed, n/o 929 cm2 in reflecting area Glass mirrors (o/than rearview mirrors), framed, over 929 cm2 in reflecting area Glass ampoules used for the conveyance or packing of goods Glass stoppers, lids and other closures produced by automatic machine Glass stoppers, lids and other closures not produced by automatic machine Glass serum bottles, vials and other pharmaceutical containers Glass containers for conveyance/packing perfume/toilet preps</w:t>
      </w:r>
    </w:p>
    <w:p>
      <w:pPr>
        <w:pStyle w:val="Normal"/>
      </w:pPr>
      <w:r>
        <w:t>&amp; containers with/designed for ground glass stopper, made by automatic machine Glass containers for convey/pack perfume/toilet preps &amp; containers with/designed for ground glass stopper, not made by automatic machine Glass carboys, bottles, jars, pots, flasks, &amp; other containers for</w:t>
      </w:r>
    </w:p>
    <w:p>
      <w:pPr>
        <w:pStyle w:val="Normal"/>
      </w:pPr>
      <w:r>
        <w:t>conveyance/packing of goods (w/wo closures) &amp; preserving jars, nesoi Glass bulbs (w/o fittings) for electric incandescent lamps Glass envelopes, open, &amp; glass parts thereof, for electric lighting (other than bulbs for incandescent lamps), without fittings Glass cones (w/o fittings) for cathode-ray tubes Monochrome glass envelopes (open &amp; w/o fittings), certified by importer for actual use in computer or graphic display CRTs Glass envelopes (open &amp; w/o fittings) &amp; glass parts thereof, nesoi, for cathode-ray tubes Glass envelopes (open &amp; w/o fittings) &amp; glass parts thereof (o/than for electric lighting or cathode-ray tubes Transparent glass-ceramic kitchenware 75% by vol. crystallilne, of lithium aluminosilicate, w/low lin.</w:t>
      </w:r>
    </w:p>
    <w:p>
      <w:pPr>
        <w:pStyle w:val="Normal"/>
      </w:pPr>
      <w:r>
        <w:t>coefficient of expansion Glass-ceramic ware of a kind used for household, office, indoor decoration or similar purposes, nesoi Stemware drinking glasses of lead crystal, valued n/over $1 each Stemware drinking glasses of lead crystal, valued o/$1 but n/over $3 each Stemware drinking glasses of lead crystal, valued o/$3 but n/over $5 each Stemware drinking glasses of lead crystal, valued over $5 each Stemware of pressed and toughened (specially tempered) glass, o/than lead crystal Stemware, o/than of pressed and toughened glass, o/than lead crystal, valued n/over $0.30 each Stemware, o/than of pressed and toughened glass, o/than lead crystal, valued o/$0.30 but n/over $3 each Stemware, o/than of pressed and toughened glass, o/than lead crystal, cut or</w:t>
      </w:r>
    </w:p>
    <w:p>
      <w:pPr>
        <w:pStyle w:val="Normal"/>
      </w:pPr>
      <w:r>
        <w:t>engraved, valued o/$3 but n/over $5 each Stemware, o/than of pressed and toughened glass, o/than lead crystal, cut or engraved, valued over $5 each Stemware, o/than of pressed and toughened glass, o/than lead crystal, not cut or engraved, valued o/$3 but n/over $5 each Stemware, o/than of pressed and toughened glass, o/than lead crystal, not cut or engraved, valued over $5 each Drinking glasses, nesoi, of lead crystal, valued n/over $1 each Drinking glasses, nesoi, of lead crystal, valued o/$1 but n/over $3 each Drinking glasses, nesoi, of lead crystal, valued o/$3 but n/over $5 each Drinking glasses, nesoi, of lead crystal, valued over $5 each Drinking glasses, nesoi, of pressed and toughened (specially tempered) glass, o/than lead crystal Drinking glasses, nesoi, o/than of pressed and toughened glass, o/than lead crystal, valued n/over $0.30 each Drinking glasses, nesoi, o/than of pressed and toughened glass, o/than lead crystal, valued o/$0.30 but n/over $3 each Drinking glasses, nesoi, o/than of pressed and toughened glass, o/than lead crystal, cut or engraved, valued o/$3</w:t>
      </w:r>
    </w:p>
    <w:p>
      <w:pPr>
        <w:pStyle w:val="Normal"/>
      </w:pPr>
      <w:r>
        <w:t>but n/over $5 each Drinking glasses, nesoi, o/than of pressed and toughened glass, o/than lead crystal, cut or engraved, valued over $5 each Drinking glasses, nesoi, o/than of pressed and toughened glass, o/than lead crystal, not cut or engraved, valued o/$3 but n/over $5 each Drinking glasses, nesoi, o/than of pressed and toughened glass, o/than lead crystal, not cut or engraved, valued over $5 each</w:t>
      </w:r>
    </w:p>
    <w:p>
      <w:pPr>
        <w:pStyle w:val="Normal"/>
      </w:pPr>
      <w:r>
        <w:t>Glassware for table or kitchen purposes (o/than drinking glasses), of lead crystal, valued n/over $1 each Glassware for table or kitchen purposes (o/than drinking glasses), of lead crystal, valued over $1 but n/over $3 each Glassware for table or kitchen purposes (o/than drinking glasses), of lead crystal, valued over $3 but n/over $5 each Glassware for table or kitchen purposes (o/than drinking glasses), of lead crystal, valued over $5 each Glassware for table or kitchen purposes (o/than drinking glasses), of pressed and toughened low coefficient of heat expansion glass Glassware for table or kitchen purposes (o/than drinking glasses), of low coefficient of heat expansion glass, n/o $3 each Glassware for table or kitchen purposes (o/than drinking glasses), of low coefficient of heat expansion glass, over $3 but n/o $5 each Glassware for table or kitchen purposes (o/than drinking glasses), of low coefficient of heat expansion, over $5 each Glassware for table or kitchen purposes (o/than drinking glasses), of pressed and toughened glass, nesoi Glassware for table or kitchen purposes (o/than</w:t>
      </w:r>
    </w:p>
    <w:p>
      <w:pPr>
        <w:pStyle w:val="Normal"/>
      </w:pPr>
      <w:r>
        <w:t>drinking glasses), nesoi, valued n/over $3 each Glassware for table or kitchen purposes (o/than drinking glasses), nesoi, cut or engraved, valued over $3 but n/over $5 each Glassware for table or kitchen purposes (o/than drinking glasses), nesoi, cut or engraved, valued over $5 each Glassware for table or kitchen purposes (o/than drinking glasses), nesoi, n/cut or engraved, valued over $3</w:t>
      </w:r>
    </w:p>
    <w:p>
      <w:pPr>
        <w:pStyle w:val="Normal"/>
      </w:pPr>
      <w:r>
        <w:t>but n/o $5 each Glassware for table or kitchen purposes (o/than drinking glasses), nesoi, n/cut or engraved, valued over $5 each Glassware for toilet/office/indoor decor. &amp; similar purposes, of lead crystal, valued n/over $1 each Glassware for toilet/office/indoor decor. &amp; similar purposes, of lead crystal, valued over $1 but n/over $3 each Glassware for toilet/office/indoor decor. &amp; similar purposes, of lead crystal, valued over $3 but n/over $5 each Glassware for toilet/office/indoor decor. &amp; similar purposes, of lead crystal, valued over $5 each Glassware, nesoi, decorated/colored within the body prior to solidification; millefiori glassware; glassware colored &amp; w/bubbles etc Glassware for toilet/office/indoor decor. &amp; similar purposes, of pressed and toughened (specially tempered) glass Smokers’ articles of glass, nesoi; perfume bottles of glass fitted with ground glass stoppersk, nesoi Votive-candle holders of glass, nesoi Glassware for toilet/office/indoor decor. or similar purposes, nesoi, valued n/over $0.30 each Glassware for toilet/office/indoor decor. or similar purposes, nesoi, valued over $0.30 but n/over $3 each Glassware for toilet/office/indoor decor. or similar purposes, nesoi, cut or engraved, valued over $3 but n/over $5 each Glassware for toilet/office/indoor decor. or similar purposes, nesoi, cut or engraved, valued over $5 each Glassware for toilet/office/indoor decor.</w:t>
      </w:r>
    </w:p>
    <w:p>
      <w:pPr>
        <w:pStyle w:val="Normal"/>
      </w:pPr>
      <w:r>
        <w:t>or similar purposes, nesoi, n/cut or engraved, valued over $3 but n/over $5 each Glassware for toilet/office/indoor decor. or similar purposes, nesoi, n/cut or engraved, valued over $5 each Glass lens blanks (other than for spectacles), not optically worked Glass optical elements (other than lens blanks), not optically worked Glass lenses and filters (other than optical elements) and parts thereof, for signaling purposes, not optically worked Signaling glassware, nesoi, not optically worked Glasses, curved, bent, hollowed, or the like (but not optically worked), for corrective spectacles Watch glasses, round Watch glasses, not round Clock glasses; glasses curved, bent, hollowed, etc. for noncorrective spectacles; hollow spheres &amp; segments for glasses; all n/opt. wkd. Glass cubes and other glass smallwares, whether or not on a backing, for mosaics or similar decorative purposes Paving blocks, slabs, bricks, squares, tiles &amp; other arts.</w:t>
      </w:r>
    </w:p>
    <w:p>
      <w:pPr>
        <w:pStyle w:val="Normal"/>
      </w:pPr>
      <w:r>
        <w:t>of pressed or molded glass, for building or construction purposes Leaded glass windows &amp; the like; multicellular or foam glass in blocks, panels, plates, shells or similar forms Fused quartz reactor tubes and holders designed for insertion into diffusion and oxidation furnaces for semiconductor wafer production Laboratory, hygienic or pharmaceutical glassware, whether or not calibrated or graduated, of fused quartz or other fused silica, nesoi Laboratory, hygienic or pharmaceutical glassware, whether or not calibrated or graduated, of glass w/low coefficient of heat expansion Glass microscope slides and micro cover glasses Laboratory, hygienic or pharmaceutical glassware, whether or not calibrated, nesoi, of glass, nesoi Glass imitation pearls and pearl beads of all shapes and colors, whether or not drilled, not strung and not set Glass imitation precious or semiprecious stones (except beads) Glass beads (o/than imitat.</w:t>
      </w:r>
    </w:p>
    <w:p>
      <w:pPr>
        <w:pStyle w:val="Normal"/>
      </w:pPr>
      <w:r>
        <w:t>pearls) &amp; similar glass smallwares, nesoi Glass microspheres not exceeding 1 mm in diameter Glass eyes, except prosthetic articles Articles (o/than imitation jewellry) of glass beads, pearls and imitation stones and statuettes &amp; ornaments of lamp-worked glass Glass fiber chopped strands of a length not more than 50 mm Glass fiber rovings Fiberglass rubber reinforcing yarn,not color,of electrically nonconductive continuous filament 9 to 11 microns diam &amp; impreg for adhesion to Glass fiber yarns, not colored, other than fiberglass rubber reinforcing yarn Fiberglass rubber reinforce yarn,color,of electrically nonconduct. continuous filament 9 to 11 microns diam &amp; impreg for adhesion to polym. Glass fiber yarns, colored, other than fiberglass rubber reinforcing yarn Glass fiber chopped strands of a length more than 50 mm Fiberglass rubber reinforce cord,of electrically nonconduct. contin. filament 9 to 11 microns diam &amp; impreg for adhesion to polymeric comp. Glass fiber slivers Nonwoven glass fiber mats Nonwoven glass fiber in thin sheets (voiles) Nonwoven glass wool insulation products Nonwoven glass fiber webs, mattresses, boards and similar articles of nonwoven glass fibers, nesoi Woven fiberglass tire cord fabric of rovings,n/o 30 cm wide,of elect. nonconductive cont.</w:t>
      </w:r>
    </w:p>
    <w:p>
      <w:pPr>
        <w:pStyle w:val="Normal"/>
      </w:pPr>
      <w:r>
        <w:t>filament 9-11 micron diam &amp; impreg for adhesion Woven glass fiber fabric of rovings, n/o 30 cm in width, other than fiberglass tire cord fabric Woven fiberglass tire cord fabric of roving,o/30 cm wide,n/color, of elect. nonconduct. contin. fil.</w:t>
      </w:r>
    </w:p>
    <w:p>
      <w:pPr>
        <w:pStyle w:val="Normal"/>
      </w:pPr>
      <w:r>
        <w:t>9-11 micron diam &amp; impreg for adhesion Woven glass fiber fabric of rovings, o/30 cm wide, not colored, other than fiberglass tire cord fabric Woven fiberglass tire cord fabric of roving,o/30 cm wide,color,of elect nonconduct. cont. filament 9-11 micron diam &amp; impreg for adhesion Woven glass fiber fabrics of rovings, o/30 cm wide, colored, other than fiberglass tire cord fabric Woven fiberglass tire cord fabric,n/roving,n/o 30 cm wide,of electrical nonconduct. contin. filament 9-11 micron diam &amp; impreg for adhesion Woven glass fiber fabric, not of rovings, n/o 30 cm wide, other than fiberglass tire cord fabric Woven fiberglass tire cord fabric,n/rov,pl.weave,o/30 cm wide &amp; less than 250 g/m2,w/no single yarn o/136 tex,n/colrd,of elect nonconduct Woven glass fiber woven fabric, not colored, not of rovings, plain weave, o/30 cm wide, less than 250 g/m2, w/no single yarn o/136 tex,nesoi Woven fiberglass tire cord fabric,n/rov,color,pl. weave,o/30 cm wide &amp; less thna 250 g/m2,w/no single yarn o/136 tex, of elect nonconduct Woven glass fiber fabric,not colored,not rovings,plain weave,o/30 cm wide &amp; less than 250 g/m2,w/no single yarn not more than 136 tex, nesoi Woven fiberglass tire cord fabric,n/colored,nesoi,o/30 cm wide,of elect.</w:t>
      </w:r>
    </w:p>
    <w:p>
      <w:pPr>
        <w:pStyle w:val="Normal"/>
      </w:pPr>
      <w:r>
        <w:t>noncond contin filament 9-11 micron diam and impreg for adhesion Woven glass fiber woven fabrics, not colored, nesoi, o/30 cm wide, nesoi Woven fiberglass tire cord fabric,colored,nesoi,o/30 cm wide,of elect.</w:t>
      </w:r>
    </w:p>
    <w:p>
      <w:pPr>
        <w:pStyle w:val="Normal"/>
      </w:pPr>
      <w:r>
        <w:t>nonconduct contin filaments 9-11 micron diam &amp; impreg for adhesion Woven glass fiber woven fabrics, colored, nesoi, o/30 cm wide, nesoi Woven glass fiber articles (other than fabrics), nesoi Glass fibers (including glass wool), nesoi, and articles thereof, nesoi Quartz reactor tubes and holders designed for insertion into diffusion and oxidation furnaces for semiconductor wafer production, nesoi Glass inners for vacuum flasks or for other vacuum vessels Articles of glass, not elsewhere specified or included Natural pearls, graded and temporarily strung for convenence of transport Natural pearls, not strung, mounted or set Cultured pearls, unworked Cultured pearls, worked, graded and temporarily strung for convenience of transport Cultured pearls, worked, not strung, mounted or set Diamonds, unsorted, whether or not worked Miners’ diamonds, unworked or simply sawn, cleaved or bruted Industrial diamonds (other than miners’ diamonds), simply sawn, cleaved or bruted Industrial diamonds (other than miners’ diamonds), unworked Industrial diamonds, worked, but not mounted or set Nonindustrial diamonds, unworked or simply sawn, cleaved or bruted Nonindustrial diamonds, worked, but not mounted or set Precious stones (o/than diamonds) &amp; semiprecious stones, unworked Precious</w:t>
      </w:r>
    </w:p>
    <w:p>
      <w:pPr>
        <w:pStyle w:val="Normal"/>
      </w:pPr>
      <w:r>
        <w:t>stones (o/than diamonds) &amp; semiprecious stones, simply sawn or roughly shaped Rubies, sapphires and emeralds, worked, whether or not graded, but n/strung (ex. ungraded temporarily strung), mounted or set Precious or semiprecious stones, nesoi, cut but not set and suitable for use in the manufacture of jewelry Precious or semiprecious stones, nesoi, worked, whether or not graded, but n/strung (ex. ungraded temporarily strung), mtd. or set Piezo-electric quartz Synthetic or reconstructed precious or semiprecious stones, unworked or simply sawn or roughly shaped Synthetic or reconstructed precious or semiprecious stones, cut but not set &amp; suitable for use in the manufacture of jewelry Synth.or reconstruct. precious or semiprecious stones, wkd, whether or not graded, but n/strung (ex.ungraded temp. strung), mtd./set,nesoi Diamond dust and powder Natural or synthetic precious (except diamond) or semiprecious stone dust and powder Silver powder Silver bullion and dore Silver, unwrought (o/than bullion and dore) Silver (incl.</w:t>
      </w:r>
    </w:p>
    <w:p>
      <w:pPr>
        <w:pStyle w:val="Normal"/>
      </w:pPr>
      <w:r>
        <w:t>silver plate w gold/platinum),semimanufacture,rectangular/near rectangular shape,99.5% or &gt; pure,marked only by wgt/identity Silver (including silver plated with gold or platinum), in semimanufactured form, nesoi Base metals clad with silver, not further worked than semimanufactured Gold powder Gold, nonmonetary, bullion and dore Gold, nonmonetary, unwrought (o/than gold bullion and dore) Gold leaf Gold (incl.</w:t>
      </w:r>
    </w:p>
    <w:p>
      <w:pPr>
        <w:pStyle w:val="Normal"/>
      </w:pPr>
      <w:r>
        <w:t>gold plated w platinum),not money,semimanufacture,rectangle/near rectangular shape,99.5% or &gt; pure,marked only by wgt/identity Gold (including gold plated with platinum), nonmonetary, in semimanufactured forms (except gold leaf), nesoi Gold, monetary, in unwrought, semimanufactured or powder form Base metals or silver clad with gold, but not further worked than semimanufactured Platinum, unwrought or in powder form Platinum, in semimanufactured forms Palladium, unwrought or in powder form Palladium, in semimanufactured forms Rhodium, unwrought or in powder form Rhodium, in semimanufactured forms Iridium, osmium and ruthenium, unwrought or in powder form Iridium, osmium and ruthenium, in semimanufactured forms Base metals, silver or gold clad with platinum, not further worked than semimanufactured Ash containing precious metals or precious metal compounds Gold waste and scrap, including metal clad with gold but excluding sweepings containing other precious metals Platinum waste and scrap, including metal clad with platinum but excluding sweepings containing other precious metals Precious metal (other than of gold or platinum) waste and scrap, including metal clad with precious metals, nesoi Silver rope, curb, etc.</w:t>
      </w:r>
    </w:p>
    <w:p>
      <w:pPr>
        <w:pStyle w:val="Normal"/>
      </w:pPr>
      <w:r>
        <w:t>in continuous lengths, whether or not plated/clad with other precious metal, suitable for jewelry manufacture Silver articles of jewelry and parts thereof, nesoi, valued not over $18 per dozen pieces or parts Silver articles of jewelry and parts thereof, nesoi, valued over $18 per dozen pieces or parts Precious metal (o/than silver) rope, curb, etc.</w:t>
      </w:r>
    </w:p>
    <w:p>
      <w:pPr>
        <w:pStyle w:val="Normal"/>
      </w:pPr>
      <w:r>
        <w:t>in continuous lengths, whether or not plated/clad precious metal, for jewelry manufacture Gold rope necklaces and neck chains Gold mixed link necklaces and neck chains Gold necklaces and neck chains (o/than of rope or mixed links) Precious metal (o/than silver) clasps and parts thereof Precious metal (o/than silver) articles of jewelry and parts thereo, whether or not plated or clad with precious metal,nesoi Base metal clad w/precious metal, rope, curb &amp; like articles in continuous lengths, suitable for use in jewelry manufacture Base metal clad w/gold rope necklaces and neck chains Base metal clad w/gold mixed link necklaces and neck chains Base metal clad w/gold necklaces and neck chains, nesoi Base metal clad w/precious metal clasps and parts thereof Base metal clad w/precious metal articles of jewelry and parts thereof, nesoi Knives with handles of silver, whether or not plated or clad with other precious metal Forks with handles of silver, whether or not plated or clad with other precious metal Spoons and ladles with handles of sterling silver Spoons and ladles (o/than w/sterling silver handles) of silver, whether or not</w:t>
      </w:r>
    </w:p>
    <w:p>
      <w:pPr>
        <w:pStyle w:val="Normal"/>
      </w:pPr>
      <w:r>
        <w:t>plated or clad w/other precious metal Sets of two or more knives or forks w/silver handles or spoons and ladles of silver, whether or not clad or plated w/prec.metal Tableware, nesoi, of sterling silver Articles of silver nesoi, for household, table or kitchen use, toilet and sanitary wares, including parts thereof Silversmiths’ wares (other than for household/table/kitchen use &amp; toilet and sanitary wares) of silver, nesoi Precious metal (o/than silver) articles, nesoi, whether or not plated or clad with other precious metal, nesoi Goldsmiths’ or silversmiths’ wares of base metal clad with precious metal Platinum catalysts in the form of wire cloth or grill Precious metal articles, incl.</w:t>
      </w:r>
    </w:p>
    <w:p>
      <w:pPr>
        <w:pStyle w:val="Normal"/>
      </w:pPr>
      <w:r>
        <w:t>metal clad w/precious metal,rectangle/near rectangle shape,99.5%/ or pure,marked only by wgt/identity Gold (including metal clad with gold) articles (o/than jewellry or goldsmiths’ wares), nesoi Silver (including metal clad with silver) articles (o/than jewellry or silversmiths’ wares), nesoi Articles of precious metal (o/than gold or silver), including metal clad with precious metal, nesoi Natural pearl articles Cultured pearl articles Jewelry articles of precious or semiprecious stones, valued not over $40 per piece Jewelry articles of precious or semiprecious stones, valued over $40 per piece Semiprecious stones (except rock crystal), graded and strung temporarily for convenience of transport Semiprecious stone (except rock crystal) figurines Semiprecious stone (except rock crystal)</w:t>
      </w:r>
    </w:p>
    <w:p>
      <w:pPr>
        <w:pStyle w:val="Normal"/>
      </w:pPr>
      <w:r>
        <w:t>articles (other than jewelry and figurines) Precious stone articles,nesoi Cuff links and studs of base metal (whether or not plated w/precious metal) Toy jewelry rope, curb, cable, chain, etc, of base metal (whether or not plated w/prec. metal), val. n/o 8 cents each Rope, curb, cable, chain, etc., of base metal (whether or n/plated w/prec. metal), val. n/over 33 cents/meter for jewelry mfr. Rope, curb, cable, chain, etc., of base metal (whether or n/plated w/prec. metal), val. o/33 cents/meter, for jewelry mfr.</w:t>
      </w:r>
    </w:p>
    <w:p>
      <w:pPr>
        <w:pStyle w:val="Normal"/>
      </w:pPr>
      <w:r>
        <w:t>Religious articles of a devotional character, design. to be carried on the person, of base metal (whether or not plated with precious metal) Toy jewelry (o/than rope, curb, cable, chain, etc.) of base metal, val. not over 8 cents each Imitation jewelry (o/than toy jewelry &amp; rope, curb, cable, chain, etc.), of base metal (wheth. or n/plated w/prec.metal), nesoi Necklaces wholly of plastic shapes on a fiber string, valued not over 30 cents per dozen Rosaries and chaplets of a purely devotional character for personal use, of a material o/than prec. or base metals, nesoi Religious articles of a purely devotional character designed to be carried on the person, nesoi Toy jewelry (except pts.), other than necklaces of plastic shapes, not of base metal, n/o 20 cents/dozen pcs Imitation jewelry nesoi, not of base metal, n/o 20 cents/doz.</w:t>
      </w:r>
    </w:p>
    <w:p>
      <w:pPr>
        <w:pStyle w:val="Normal"/>
      </w:pPr>
      <w:r>
        <w:t>pcs or pts Toy jewelry (except pts.), not of base metal, n/o 8 cents each Imitation jewelry of plastics, nesoi, over 20 cents/dozen pcs or pts Imitation jewelry not of base metal or plastics, nesoi, over 20 cents/dozen pcs or pts Coin (other than gold coin), not being legal tender Coins, nesoi Nonalloy pig iron containing by weight 0.5 percent or less of phosphorus Nonalloy pig iron containing by weight more than 0.5 percent of phosphorus Alloy pig iron in blocks or other primary forms Spiegeleisen in blocks or other primary forms Ferromanganese containing by weight more than 2 percent but not more than 4 percent of carbon Ferromanganese containing by weight more than 4 percent of carbon Ferromanganese containing by weight not more than 1 percent of carbon Ferromanganese containing by weight more than 1 percent but not more than 2 percent of carbon Ferrosilicon containing by weight more than 55% but not more than 80% of silicon and more than 3% of calcium Ferrosilicon containing by weight more</w:t>
      </w:r>
    </w:p>
    <w:p>
      <w:pPr>
        <w:pStyle w:val="Normal"/>
      </w:pPr>
      <w:r>
        <w:t>than 55% but not more than 80% of silicon, nesoi Ferrosilicon containing by weight more than 80% but not more than 90% of silicon Ferrosilicon containing by weight more than 90% of silicon Ferrosilicon containing by weight 55% or less of silicon Ferrosilicon manganese Ferrochromium containing by weight more than 4 percent of carbon Ferrochromium containing by weight more than 3 percent but not more than 4 percent of carbon Ferrochromium containing by weight 3 percent or less of carbon</w:t>
      </w:r>
    </w:p>
    <w:p>
      <w:pPr>
        <w:pStyle w:val="Normal"/>
      </w:pPr>
      <w:r>
        <w:t>Ferrosilicon chromium Ferronickel Ferromolybdenum Ferrotungsten and ferrosilicon tungsten Ferrotitanium and ferrosilicon titanium Ferrovanadium Ferroniobium containing by weight less than 0.02 percent of phosphorus or sulfur or less than 0.4 percent of silicon Ferroniobium, nesoi Ferrozirconium Calcium silicon ferroalloys Ferroalloys nesoi Ferrous products obtained by direct reduction of iron ore Spongy ferrous products, in lumps, pellets or like forms; iron of a minimum purity by weight of 99.94% in lumps, pellets or like forms Cast iron waste and scrap Stainless steel waste and scrap Alloy steel (o/than stainless) waste and scrap Tinned iron or steel waste and scrap Ferrous turnings, shavings, chips, milling wastes, sawdust, fillings, trimmings and stampings, whether or not in bundles Ferrous waste and scrap nesoi Iron or steel remelting scrap ingots Pig iron, spiegeleisen, and iron or steel granules Alloy steel powders Pig iron, spiegeleisen, and iron or steel (o/than alloy steel) powders Iron and nonalloy steel ingots Iron and nonalloy steel in primary forms (o/than ingots) Iron or nonalloy steel semifinished products, w/less than 0.25% carbon, w/rect. cross sect.(incl. sq.), w/width less than twice thickness Iron or nonalloy steel semifinished products, w/less than 0.25% carbon, w/rect. cross sect.</w:t>
      </w:r>
    </w:p>
    <w:p>
      <w:pPr>
        <w:pStyle w:val="Normal"/>
      </w:pPr>
      <w:r>
        <w:t>(exclud. sq.), nesoi Iron or nonalloy steel semifinished products, w/less than 0.25% carbon, o/than w/rect.</w:t>
      </w:r>
    </w:p>
    <w:p>
      <w:pPr>
        <w:pStyle w:val="Normal"/>
      </w:pPr>
      <w:r>
        <w:t>cross section Iron or nonalloy steel semifinished products, w/0.25% or more of carbon Iron/nonalloy steel, width 600mm+, hot-rolled flat-rolled products, w/patterns in relief, in coils, pickled, not clad/plated/coated Iron/nonalloy steel,width 600mm+,hot-rolled flat-rolled product,in coil,w/pattern in relief,w/thick 4.75mm+,not pickld,not clad/plated/coatd Iron/nonalloy steel,width 600mm+,hot-rolled flat-rolled product,in coil,w/pattern in relief,w/thick &lt;4.75mm,not pickld,not clad/plated/coatd Nonalloy hi-strength steel, width 600mm+, hot-rolled flat-rolled products, in coils, w/thick 4.75mm+, pickled, not clad/plated/coated Iron/nonalloy steel, width 600mm+, hot-rolled flat-rolled products, in coils, w/thick 4.7mm or more, pickled, not clad/plated/coated Iron/nonalloy steel, width 600mm+, hot-rolled flat-rolled products, in coils, w/thick 3mm or mor but less 4.75mm, pickled, not clad/plated Iron/nonalloy steel, width 600mm+, hot-rolled flat-rolled products, in coils, w/thick less than 3mm, pickled, not clad/plated/coated Iron/nonalloy steel, width 600mm+, hot-rolled flat-rolled products, in coils, w/thick o/10mm, not pickled/clad/plated/coated Iron/nonalloy steel, width 600mm+, hot-rolled flat-rolled products, in coils, w/thick 4.75mm or more &amp; n/o 10mm, not pickled/clad/plated Iron/nonalloy steel, width 600mm+, hot-rolled flat-rolled products, in coils, w/thick 3mm or more &amp; less 4.75mm, not pickld/clad/plated Iron/nonalloy steel, width 600mm+, hot-rolled flat-rolled</w:t>
      </w:r>
    </w:p>
    <w:p>
      <w:pPr>
        <w:pStyle w:val="Normal"/>
      </w:pPr>
      <w:r>
        <w:t>products, in coils, w/thick less than 3mm, not pickled/clad/plated/coated Iron/nonalloy steel, width 600mm+, hot-rolled flat-rolled products, w/pattern in relief,not coils,w/thick 4.75 or more, n/clad/plated/coated Iron/nonalloy steel, width 600mm+, hot-rolled flat-rolled products, w/pattern in relief,not coils,w/thick &lt; 4.75mm, not clad/plated/coated Iron/nonalloy steel, width 600mm+, hot-rolled flat-rolled products, nesoi, not in coils, w/thick o/10mm, not clad/plated/coated Iron/nonalloy steel, width 600mm+, hot-rolled flat-rolled products, neosi, not in coils, w/thick 4.75mm+ but n/o 10mm, not clad/plated/ Iron/nonalloy steel, width 600mm+, hot-rolled flat-rolled products, neosi, not in coils, w/thick 3mm+ but &lt; 4.75mm, not clad/plated/coated Iron/nonalloy steel, width 600mm+, hot-rolled flat-rolled products, neosi, not in coils, w/thick less than 3mm, not clad/plated/coated Iron/nonalloy steel, width 600mm+, hot-rolled flat-rolled products, nesoi, not clad/plated/coated Iron/nonalloy steel, width 600mm+, cold-rolled flat-rolled products, in coils, w/thick 3mm+, not clad/plated/coated Iron/nonalloy steel, width 600mm+, cold-rolled flat-rolled products, in coils, w/thick o/1mm but less than 3mm, not clad/plated/coated Iron/nonalloy steel, width 600mm+, cold-rolled flat-rolled products, in coils, w/thick 0.5mm or more but n/o 1mm, not clad/plated/coated Nonalloy hi-strength steel, width 600mm+, cold-rolled flat-rolled products, in coils, w/thick less than 0.5mm, not</w:t>
      </w:r>
    </w:p>
    <w:p>
      <w:pPr>
        <w:pStyle w:val="Normal"/>
      </w:pPr>
      <w:r>
        <w:t>clad/plated/coated Nonalloy steel(blackplate), width 600mm+, cold-rolled flat-rolled products, in coils, w/thick less than 0.361mm, not clad/plated/coated Iron/nonalloy steel, width 600mm+, cold-rolled flat-rolled products, in coils, w/thick 0.361mm+ but less 5mm, not clad/plated/coated Iron/nonalloy steel, width 600mm+, cold-rolled flat-rolled products, not in coils, w/thick 3mm or more, not clad/plated/coated Iron/nonalloy steel, width 600mm+, cold-rolled flat-rolled products, not in coils, w/thick o/1mm but less than 3mm, not clad/plated/coated Iron/nonalloy steel, width 600mm+, cold-rolled flat-rolled products, not in coils, w/thick 0.5mm+ but n/o 1mm, not clad/plated/coated Iron/nonalloy steel, width 600mm+, cold-rolled flat-rolled products, not in coils, w/thick less than 0.5mm, not clad/plated/coated Iron/nonalloy steel, width 600mm+, flat-rolled products further worked than cold- rolled, not clad/plated/coated, nesoi Iron/nonalloy steel, width 600mm+, flat-rolled products, plated or coated with tin, w/thick.</w:t>
      </w:r>
    </w:p>
    <w:p>
      <w:pPr>
        <w:pStyle w:val="Normal"/>
      </w:pPr>
      <w:r>
        <w:t>0.5 mm or more Iron/nonalloy steel, width 600mm+, flat-rolled products, plated or coated with tin, less than 0.5 mm thick Iron/nonalloy steel, width 600mm+, flat-rolled products, plated or coated with lead, including terneplate Iron/nonalloy steel, width 600mm+, flat-rolled products, electrolytically plated or coated with zinc Iron/nonalloy steel, width 600mm+, flat-rolled products, plated or coated with zinc (other than electrolytically), corrugated Iron/nonalloy steel, width 600mm+, flat-rolled products, plated or coated with zinc (other than electrolytically), not corrugated Iron/nonalloy steel, width 600mm+, flat-rolled products, plated or coated with chromium oxides or with chromium and chromium oxides Iron/nonalloy steel, width 600mm+, flat-rolled products, plated or coated with aluminum-zinc alloys Iron/nonalloy steel, width 600mm+, flat-rolled products, plated or coated with aluminum o/than aluminum-zinc alloy Iron/nonalloy steel, width 600mm+, flat-rolled products, painted/varnished or coated w/plastic but not plated/coated or clad w/metal Iron/nonalloy steel, width 600mm+, flat-rolled products, painted/varnished or coated w/plastic, nesoi Iron/nonalloy steel, width 600mm+, flat-rolled products, clad Iron/nonalloy steel, width 600mm+, flat-rolled products, electrolytically coated or plated with base metal, nesoi Iron/nonalloy steel, width 600mm+, flat-rolled products, plated or coated, nesoi Iron/nonalloy steel, width less th/600mm, hot-rolled flat-rolled universal</w:t>
      </w:r>
    </w:p>
    <w:p>
      <w:pPr>
        <w:pStyle w:val="Normal"/>
      </w:pPr>
      <w:r>
        <w:t>mill plate, not clad/plated/coated Iron/nonalloy steel, width less th/600mm, hot-rolled flat-rolled products, nesoi, w/thick of 4.75mm or more, not clad/plated/coated Nonalloy hi-strength steel, width less th/300mm, hot-rolled flat-rolled products, not clad/plated/coated Iron/nonalloy steel, neosi, width less th/300mm, hot-rolled flat-rolled products, w/thick o/1.25 mm but n/o 4.75 mm, n/clad/plated/coated Iron/nonalloy steel, neosi, width less th/300mm, hot-rolled flat-rolled products, w/thick 1.25mm or less, not clad/plated/coated Nonalloy hi-strength steel, width 300mm+ but less th/600mm, hot-rolled flat-rolled products, not clad/plated/coated Iron/nonalloy steel, neosi, width 300mm+ but less th/600mm, hot-rolled flat-rolled products, pickled, not clad/plated/coated Iron/nonalloy steel, neosi, width 300mm+ but less th/600mm, hot-rolled flat-rolled products, not pickled, not clad/plated/coated Nonalloy hi-strength steel, width less th/300mm, cold-rolled flat-rolled, &lt;0.25% carbon, w/thick o/1.25mm, not clad/plated/coated Iron/nonalloy steel, nesoi, width less th/300mm, cold-rolled flat-rolled, &lt;0.25% carbon, w/thick o/1.25mm, not clad/plated/coated Iron/nonalloy steel, nesoi, width less th/300mm, cold-rolled flat-rolled, &lt;0.25% carbon, w/thick o/0.25mm n/o 1.25mm, not clad/plated Iron/nonalloy steel, nesoi, width less th/300mm, cold-rolled flat-rolled, &lt;0.25% carbon, w/thick n/o 0.25mm, not clad/plated/coated Iron/nonalloy steel, nesoi, width 300mm+ but less th/600mm,</w:t>
      </w:r>
    </w:p>
    <w:p>
      <w:pPr>
        <w:pStyle w:val="Normal"/>
      </w:pPr>
      <w:r>
        <w:t>cold-rolled flat-rolled, &lt;0.25% carbon, not clad/plated/coated Iron/nonalloy steel, width less th/300mm, cold-rolled flat-rolled, w/0.25% or more carbon,w/thick o/0.25mm, not clad/plated/coated Iron/nonalloy steel, width less th/300mm, cold-rolled flat-rolled, w/0.25% or more carbon,w/thick 0.25mm or less, not clad/plated/coated Iron/nonalloy steel, width 300mm+ but less th/600mm, cold-rolled flat-rolled, w/0.25% or more carbon, not clad/plated/coated Iron/nonalloy steel, width less th/600mm, flat-rolled further worked than cold-rolled, not clad, plated or coated Iron/nonalloy steel, width less th/600mm, flat-rolled products, plated or coated with tin Iron/nonalloy steel, width less th/600mm, flat-rolled products, electrolytically plated or coated with zinc Iron/nonalloy steel, width less th/300mm, flat-rolled products, plated/coated with zinc (other than electrolytically), w/thick o/0.25mm Iron/nonalloy steel, width less th/300mm, flat-rolled products, plated/coated w/zinc (other than electrolytically), w/thick 0.25mm or less Iron/nonalloy steel, width 300+ but less th/600mm, flat-rolled products, plated or coated with zinc (other than electrolytically) Iron/nonalloy steel, width less th/300mm, flat-rolled products, painted, varnished or coated w/plastic Iron/nonalloy steel, width 300+ but less th/600mm, flat-rolled products, painted, varnished or coated w/plastic Iron/nonalloy steel, width less th/600mm, flat-rolled products, plated or coated nesoi Iron/nonalloy steel,</w:t>
      </w:r>
    </w:p>
    <w:p>
      <w:pPr>
        <w:pStyle w:val="Normal"/>
      </w:pPr>
      <w:r>
        <w:t>width less th/600mm, flat-rolled products, clad Iron/nonalloy, concrete reinforcing bars and rods in irregularly wound coils, hot-rolled Free-cutting steel, bars and rods in irregularly wound coils, hot-rolled Iron/nonalloy steel, nesoi, hot-rolled bars &amp; rods in irregularly wound coils, w/cir. x- sect. diam. &lt;14mm, n/tempered/treated/partly mfd Iron/nonalloy steel, nesoi, hot-rolled bars &amp; rods in irregularly wound coils, w/cir. x- sect. diam. &lt;14mm, w/0.6%+ of carbon, nesoi Iron/nonalloy steel, nesoi, hot-rolled bars &amp; rods in irregularly wound coils, w/cir. x- sect. diam. &lt;14mm, w/less th/0.6% carbon, nesoi Iron/nonalloy steel, nesoi, hot-rolled bars &amp; rods, w/cir. x-sect. diam 14+mm or non circ.</w:t>
      </w:r>
    </w:p>
    <w:p>
      <w:pPr>
        <w:pStyle w:val="Normal"/>
      </w:pPr>
      <w:r>
        <w:t>x-sect., in irregularly wound coils, nesoi Iron/nonalloy steel, forged bars and rods, not in coils Iron/nonalloy steel, concrete reinforcing bars and rods, not further worked than hot- rolled, hot-drawn or hot-extruded, n/coils Free-cutting steel, bars and rods, not further worked than hot-rolled, hot-drawn or hot- extruded, n/coils, nesoi Iron/nonalloy steel, bars and rods, not further worked than hot-rolled, hot-drawn or hot- extruded, w/rectangular (o/than square) X-section Iron/nonalloy steel, bars and rods, not further worked than hot-rolled, hot-drawn or hot- extruded, w/non-rectangular X-sect, not in coils Free-cutting steel, bars and rods, not further worked than cold-formed or cold-finished, not in coils Iron/nonalloy steel nesoi, bars and rods, not further wkd.</w:t>
      </w:r>
    </w:p>
    <w:p>
      <w:pPr>
        <w:pStyle w:val="Normal"/>
      </w:pPr>
      <w:r>
        <w:t>than cold-formed or cold- finished, not in coils Iron/nonalloy steel, bars and rods, not cold-formed, plated or coated with metal Iron/nonalloy steel, bars and rods, cold-formed, plated or coated with metal Iron/nonalloy steel, bars and rods, further worked than cold-formed or cold-finished, nesoi Iron/nonalloy steel, U,I or H-sections, not further worked than hot-rolled, hot-drawn or extruded, w/height under 80 mm Iron/nonalloy steel, L-sections, not further worked than hot-rolled, hot-drawn or extruded, w/height under 80 mm Iron/nonalloy steel, T-sections, not further worked than hot-rolled, hot-drawn or extruded, w/height under 80 mm Iron/nonalloy steel, U-sections, not further worked than hot-rolled, hot-drawn or extruded, w/height of 80 mm or more Iron/nonalloy steel, I-sections (standard beams), not further worked than hot-rolled, hot-drawn or extruded, w/height 80 mm or more Iron/nonalloy steel, H-sections, not further worked than hot-rolled, hot-drawn or extruded, w/height 80 mm or more Iron/nonalloy steel, L or T-sections, not further worked than hot-rolled, hot-drawn or extruded, w/height 80 mm or more Iron/nonalloy steel, angles, shapes &amp; sections nesoi, not further worked than</w:t>
      </w:r>
    </w:p>
    <w:p>
      <w:pPr>
        <w:pStyle w:val="Normal"/>
      </w:pPr>
      <w:r>
        <w:t>hot- rolled, hot-drawn or extruded Iron/nonalloy steel, angles, shapes &amp; sections nesoi, not further worked than cold- formed or cold-finished, from flat-rolled products Iron/nonalloy steel, angles, shapes &amp; sections nesoi, not further worked than cold- formed or cold-finished, not from</w:t>
      </w:r>
    </w:p>
    <w:p>
      <w:pPr>
        <w:pStyle w:val="Normal"/>
      </w:pPr>
      <w:r>
        <w:t>flat-rolled products Iron/nonalloy steel, angle, shapes &amp; sections nesoi,cold-formed/cold-finished from flat- rolled prod. &amp; furth wkd th/cold-formed/cold-finish Iron/nonalloy steel, angles, shapes &amp; sections nesoi,further wkd.</w:t>
      </w:r>
    </w:p>
    <w:p>
      <w:pPr>
        <w:pStyle w:val="Normal"/>
      </w:pPr>
      <w:r>
        <w:t>than cold-formed or cold-finished and not from flat-rolled products Iron/nonalloy steel, flat wire, &lt;0.25% carbon, not plated or coated, w/thick n/o 0.25 mm Iron/nonalloy steel, flat wire, &lt;0.25% carbon, not plated or coated, w/thick o/0.25mm but n/o 1.25 mm Iron/nonalloy steel, flat wire, &lt;0.25% carbon, not plated or coated, w/thick o/1.25 mm Iron/nonalloy steel, round wire, &lt;0.25% carbon, not plated or coated, w/diameter less than 1.5 mm Iron/nonalloy steel, round wire, &lt;0.25% carbon, not plated or coated, w/diameter of 1.5 mm or more Iron/nonalloy steel, wire (other than flat or round), &lt;0.25% carbon, not plated or coated Iron/nonalloy steel, flat wire, w/0.25% or more carbon, not plated or coated Iron/nonalloy steel, round wire, w/0.25% or more carbon, not plated or coated Iron/nonalloy steel, wire (other than flat or round), w/0.25% or more of carbon, not plated or coated Iron/nonalloy steel, flat wire, plated or coated with zinc Iron/nonalloy steel, round wire, &lt;0.25% carbon, plated or coated with zinc, w/diameter of 1.5 mm or more Iron/nonalloy steel, round wire, w/0.25% or more carbon and/or &lt;1.5mm diam, plated or coated with zinc Iron/nonalloy steel, wire (other than flat or round), &lt;0.25% carbon, plated or coated with zinc Iron/nonalloy</w:t>
      </w:r>
    </w:p>
    <w:p>
      <w:pPr>
        <w:pStyle w:val="Normal"/>
      </w:pPr>
      <w:r>
        <w:t>steel, wire (other than flat or round), w/0.25% or more of carbon, plated or coated with zinc Iron/nonalloy steel, flat wire, plated or coated with base metal other than zinc Iron/nonalloy steel, round wire, &lt;0.25% carbon, plated or coated with base metal other than zinc, w/diam. of 1.5 mm or more Iron/nonalloy steel, round wire, w/0.25% or more carbon and/or &lt;1.5mm diam, plated or coated with base metal other than zinc Iron/nonalloy steel, wire (other than flat or round), &lt;0.25% carbon, plated or coated with base metal other than zinc Iron/nonalloy steel, wire (other than flat or round), w/0.25% or more of carbon, plated or coated with base metal other than zinc Iron/nonalloy steel, wire, coated with plastics Iron/nonalloy steel, wire, plated or coated with materials other than base metals or plastics Stainless steel, ingots and other primary forms Stainless steel, semifinished products of rectangular (other than square) cross-section Stainless steel, semifinished products, other than of rectangular (other than square) cross-section Stainless steel, width 600mm+, hot-rolled flat-rolled products, in coils, w/thickness o/10 mm Stainless steel, width 600mm+, hot-rolled flat-rolled products, in coils, w/thick.</w:t>
      </w:r>
    </w:p>
    <w:p>
      <w:pPr>
        <w:pStyle w:val="Normal"/>
      </w:pPr>
      <w:r>
        <w:t>4.75 mm or more but n/o 10 mm Stainless steel, width 600mm+, hot-rolled flat-rolled products, in coils, w/thick.</w:t>
      </w:r>
    </w:p>
    <w:p>
      <w:pPr>
        <w:pStyle w:val="Normal"/>
      </w:pPr>
      <w:r>
        <w:t>3 mm or more but less than 4.75 mm Stainless steel, width 600mm+, hot-rolled flat-rolled products, in coils, w/thickness less than 3 mm Stainless steel, width 600mm+, hot-rolled flat-rolled products, not in coils, w/thickness o/10 mm Stainless steel, width 600mm+, hot-rolled flat-rolled products, not in coils, w/thick. 4.75 mm or more but n/o 10 mm Stainless steel, width 600mm+, hot-rolled flat-rolled products, not in coils, w/thick.</w:t>
      </w:r>
    </w:p>
    <w:p>
      <w:pPr>
        <w:pStyle w:val="Normal"/>
      </w:pPr>
      <w:r>
        <w:t>3 mm or more but less than 4.75 mm Stainless steel, width 600mm+, hot-rolled flat-rolled products, not in coils, w/thickness less than 3 mm Stainless steel, width 600mm+, cold-rolled flat-rolled products, w/thickness of 4.75 mm or more Stainless steel, width 600mm+, cold-rolled flat-rolled products, w/thickness of 3 mm or more but less than 4.75 mm Stainless steel, width 600mm+, cold-rolled flat-rolled products, w/thickness o/1 mm but less than 3 mm Stainless steel, width 600mm+, cold-rolled flat-rolled products, w/thickness of 0.5 mm or more but n/o 1 mm Stainless steel, width 600mm+, cold-rolled flat-rolled products, w/thickness of less than 0.5 mm Stainless steel, width 600mm+, flat-rolled products, nesoi, further worked than cold- rolled Stainless steel, width less th/600mm, hot-rolled flat-rolled products, w/thickness of 4.75 mm or more Stainless steel, width 300m+ but less th/600mm, hot-rolled flat-rolled products, w/thickness of less than 4.75 mm Stainless steel, width less th/300mm, hot-rolled flat-rolled products, w/thickness of less</w:t>
      </w:r>
    </w:p>
    <w:p>
      <w:pPr>
        <w:pStyle w:val="Normal"/>
      </w:pPr>
      <w:r>
        <w:t>than 4.75 mm Stainless steel, width 300+ but less th/600mm, cold-rolled flat-rolled products Stainless steel, width less th/300mm, cold-rolled flat-rolled products, w/thickness o/1.25 mm Stainless steel, width less th/300mm, cold-rolled flat-rolled products, w/ thickness of 0.25 mm but n/o 1.25 mm Stainless razor blade steel, width less th/300mm, cold-rolled flat-rolled, w/thickness n/o 0.25 mm Stainless steel (o/than razor blade steel), width less th/300mm, cold-rolled flat-rolled products, w/thickness n/o 0.25 mm Stainless steel, width less th/600mm, flat-rolled products further worked than cold- rolled Stainless steel, bars and rods in irregularly wound coils, hot-rolled Stainless steel, bars and rods, hot-rolled, hot-drawn or extruded, of circular cross- section Stainless steel, bars and rods, hot-rolled, hot-drawn or extruded, other than of circular cross-section Stainless steel, bars and rods, not further worked than cold-formed or cold-finished, nesoi Stainless steel, bars and rods, further worked than cold-formed or cold-finished, nesoi Stainless steel, angles, shapes &amp; sections, hot-rolled, not drilled/punched or otherwise advanced Stainless steel, angles, shapes &amp; sections, other than hot-rolled and not drilled/punched or otherwise</w:t>
      </w:r>
    </w:p>
    <w:p>
      <w:pPr>
        <w:pStyle w:val="Normal"/>
      </w:pPr>
      <w:r>
        <w:t>advanced Stainless steel, round wire Stainless steel, flat wire Stainless steel, wire (other than round or flat wire) Alloy (o/than stainless) steel, ingots and other primary forms Alloy (o/than stainless) steel, semifinished products</w:t>
      </w:r>
    </w:p>
    <w:p>
      <w:pPr>
        <w:pStyle w:val="Normal"/>
      </w:pPr>
      <w:r>
        <w:t>Alloy silicon electrical steel (grain-oriented), width 600mm+, flat-rolled products Alloy silicon electrical steel (other than grain-oriented), width 600mm+, flat-rolled products Alloy tool steel, width 600mm+, hot-rolled flat-rolled products, in coils, w/thick. of 4.75 mm or more Alloy (o/th stainless, silicon elect., hi-speed, or tool) steel, width 600mm+, hot-rolled flat-rolled products, in coils, w/thick 4.75mm+ Alloy tool steel, width 600mm+, hot-rolled flat-rolled products, in coils, w/thick. of less than 4.75 mm Alloy (o/th stainless, silicon elect., hi-speed, or tool) steel, width 600mm+, hot-rolled flat-rolled prod., in coils, w/thick less 4.75mm Alloy tool steel, width 600mm+, hot-rolled flat-rolled products, n/coils, w/thick. of 4.75 mm or more Alloy (o/th stainless, silicon elect., hi-speed, or tool) steel, width 600mm+, hot-rolled flat-rolled products, n/coils, w/thick 4.75mm+ Alloy tool steel, width 600mm+, hot-rolled flat-rolled products, n/coils, w/thick.</w:t>
      </w:r>
    </w:p>
    <w:p>
      <w:pPr>
        <w:pStyle w:val="Normal"/>
      </w:pPr>
      <w:r>
        <w:t>of less than 4.75 mm Alloy (o/th stainless, silicon elect., hi-speed, or tool) steel, width 600mm+, hot-rolled flat-rolled prod., n/coils, w/thick less 4.75mm Alloy tool steel, width 600mm+, cold-rolled flat-rolled products Alloy steel (o/ than tool), width 600mm+, cold-rolled flat-rolled products, w/thickness 4.75 mm or more Alloy heat-resisting steel, width 600mm+, cold-rolled flat-rolled products, w/thickness less than 4.75 mm Alloy steel (o/th heat-resisting), width 600mm+, cold-rolled flat-rolled products, w/thickness less than 4.75 mm Alloy steel, width 600mm+, flat-rolled products further worked than cold-rolled, electrolytically plated or coated with zinc Alloy steel, width 600mm+, flat-rolled products further worked than cold-rolled, plated or coated with zinc (o/than electrolytically) Alloy steel, width 600mm+, flat-rolled products further worked than cold-rolled, nesoi Alloy silicon electrical steel (grain-oriented), width 300mm+ but less th/600mm, flat- rolled products Alloy silicon electrical steel (grain-oriented), width less th/300mm, flat-rolled products Alloy silicon electrical steel (o/than grain-oriented), width 300mm+ but less th/600mm, flat-rolled products Alloy silicon electrical steel (o/than grain-oriented), width less th/300mm, flat-rolled products Alloy high-speed steel, width less th/600mm, flat-rolled products of high-speed steel Alloy chipper knife tool steel (o/than hi-speed), width less th/600mm, hot-rolled flat- rolled products Alloy tool</w:t>
      </w:r>
    </w:p>
    <w:p>
      <w:pPr>
        <w:pStyle w:val="Normal"/>
      </w:pPr>
      <w:r>
        <w:t>steel (o/than hi-speed/chipper knife), width 300mm+ but less th/600mm, hot- rolled flat-rolled products Alloy tool steel (o/than hi-speed/chipper knife), width less th/300mm, hot-rolled flat- rolled products Alloy steel (o/than silicon elect./tool), width less th/600mm, hot-rolled flat-rolled products, w/thickness of 4.75 mm or more Alloy steel (o/than silicon elect./tool), width 300mm+ but less th/600mm, hot-rolled flat-rolled products, w/thickness less than 4.75 mm Alloy steel (o/than silicon elect./tool), width less th/300mm, hot-rolled flat-rolled products, w/thickness less than 4.75 mm Alloy tool steel (o/than hi-speed), width 300mm+ but less th/600mm, cold-rolled flat- rolled products Alloy tool steel (o/than hi-speed), width less th/300mm, cold-rolled flat-rolled products Alloy steel (o/than tool), width 300mm+ but less th/600mm, cold-rolled flat-rolled products Alloy steel (o/than tool), width less th/300mm, cold-rolled flat-rolled products, w/thickness n/o 0.25 mm Alloy steel (o/than tool), width less th/300mm, cold-rolled flat-rolled products, w/thickness o/0.25 mm Alloy steel, width less than 600mm, flat-rolled products further worked than cold- rolled, nesoi Alloy high-speed steel, bars and rods in irregularly wound coils, hmot-rolled Alloy silico-manganese steel, bars and rods in irregularly wound coils, hot-rolled Alloy tool steel (o/than hi-speed), bars &amp; rods in irregular wound coils, hot-rolled, n/tempered, treated or partly manufactured Alloy tool steel</w:t>
      </w:r>
    </w:p>
    <w:p>
      <w:pPr>
        <w:pStyle w:val="Normal"/>
      </w:pPr>
      <w:r>
        <w:t>(o/than hi-speed), bars and rods in irregularly wound coils, hot-rolled, nesoi Alloy steel (o/than hi-speed/silico-mang./tool) steel, bars and rods in irregularly wound coils, hot-rolled Alloy high-speed steel, bars and rods, o/than hot-rolled and in irregularly wound coils Alloy silico-manganese steel, bars and rods, not cold-formed, o/than hot-rolled and in irregularly wound coils Alloy silico-manganese steel, bars and rods, cold formed, o/than hot-rolled and in irregularly wound coils Alloy ball-bearing tool steel, bars and rods, not further worked than hot-rolled, hot- drawn or extruded Alloy chipper knife tool steel, bars and rods, not cold-formed &amp; not further worked than hot-rolled, hot-drawn or extruded Alloy tool steel (o/than ball-bearing/chipper knife), bars and rods, not further worked than hot-rolled, hot-drawn or extruded Alloy steel (o/than hi-speed, silico-mang./tool), bars and rods, not further worked than hot-rolled, hot-drawn or extruded Alloy steel, bars and rods, not further worked than forged Alloy tool steel (o/than hi-speed), bars and rods, not further worked than cold-formed or cold-finished Alloy steel (o/than tool), bars and rods, not further worked</w:t>
      </w:r>
    </w:p>
    <w:p>
      <w:pPr>
        <w:pStyle w:val="Normal"/>
      </w:pPr>
      <w:r>
        <w:t>than cold-formed or cold- finished Alloy tool steel (o/than hi-speed), bars and rods, further worked than hot-rolled, forged, cold-formed or cold-finished Alloy steel (o/than tool), bars and rods, further worked than hot-rolled, forged but not cold-formed Alloy steel (o/than tool), bars and rods,</w:t>
      </w:r>
    </w:p>
    <w:p>
      <w:pPr>
        <w:pStyle w:val="Normal"/>
      </w:pPr>
      <w:r>
        <w:t>cold-formed Alloy steel, angles, shapes and sections, hot-rolled &amp; not drilled/not punched and not otherwise advanced Alloy steel, angles, shapes and sections, o/than hot-rolled &amp; not drilled/punced and not otherwise advanced Alloy steel hollow drill bars and rods Alloy silico-manganese steel, wire Alloy high-speed steel, wire Alloy steel (o/than hi-speed/silico-mang.), flat wire Alloy steel (o/than hi-speed/silico-mang.), round wire Alloy steel (o/than hi-speed/silico-mang.), wire (o/than flat or round wire) Iron or steel sheet piling, whether or not drilled, punched or made from assembled elements Iron or nonalloy steel, angles, shapes and sections, welded Alloy steel, angles, shapes and sections of alloy steel, welded Iron or nonalloy steel, rails for railway or tramway tracks Alloy steel, rails for railway or tramway tracks Iron or steel, switch blades, crossing frogs, point rods and other crossing pieces, for jointing or fixing rails Iron or steel, fish plates and sole plates for jointing or fixing rails Sleepers (cross-ties) for railway or tramway track construction of iron or steel Railway or tramway track construction material and</w:t>
      </w:r>
    </w:p>
    <w:p>
      <w:pPr>
        <w:pStyle w:val="Normal"/>
      </w:pPr>
      <w:r>
        <w:t>other materials specialized for joing or fixing rails, of iron or steel, nesoi Cast iron, tubes, pipes and hollow profiles Stainless steel, seamless line pipe used for oil or gas pipelines Iron (o/than cast) or nonalloy steel, seamless line pipe used for oil and gas pipelines Alloy (other than stainless) steel, seamless line pipe used for</w:t>
      </w:r>
    </w:p>
    <w:p>
      <w:pPr>
        <w:pStyle w:val="Normal"/>
      </w:pPr>
      <w:r>
        <w:t>oil or gas pipelines Stainless steel, seamless drill pipe, of a kind used in drilling for oil or gas Iron (o/than cast) or nonalloy steel, seamless drill pipe, of a kind used in drilling for oil or gas Alloy (other than stainless) steel, seamless drill pipe, of a kind used in drilling for oil or gas Stainless steel, seamless casing pipe, threaded or coupled, of a kind used in drilling for oil or gas Stainless steel, seamless casing pipe, not threaded or coupled, of a kind used in drilling for oil or gas Stainless steel, seamless tubing, of a kind used in drilling for oil or gas Iron (o/than cast) or nonalloy steel, seamless casing pipe, threaded or coupled, of a kind used in drilling for oil or gas Iron (o/than cast) or nonalloy steel, seamless casing pipe, not threaded or coupled, of a kind used in drilling for oil or gas Alloy (other than stainless) steel, seamless casing pipe, threaded or coupled, of a kind used in drilling for</w:t>
      </w:r>
    </w:p>
    <w:p>
      <w:pPr>
        <w:pStyle w:val="Normal"/>
      </w:pPr>
      <w:r>
        <w:t>oil or gas Alloy (other than stainless) steel, seamless casing pipe, not threaded or coupled, of a kind used in drilling for oil or gas Iron (o/than cast) or nonalloy, seamless tubing, of a kind used in drilling for oil or gas Alloy (other than stainless) steel, seamless tubing, of a kind used in drilling for oil or gas Iron (o/than cast) or nonalloy steel, seamless, cold-drawn or cold-rolled, hollow bars w/circular cross section Iron (o/than cast) or nonalloy steel, seamless, cold-drawn or cold-rolled, tubes, pipes &amp; hollow profiles, w/circular</w:t>
      </w:r>
    </w:p>
    <w:p>
      <w:pPr>
        <w:pStyle w:val="Normal"/>
      </w:pPr>
      <w:r>
        <w:t>cross section, nesoi Iron (o/than cast) or nonalloy steel, seamless, not cold-drawn or cold-rolled, tubes, pipes and hollow prof., w/circular cross sect., nesoi Stainless steel, seamless, cold-drawn/cold-rolled, tubes, pipes and hollow profiles, w/circular cross section &amp; extern. diam less than 19mm Stainless steel, seamless, cold-drawn/cold-rolled, tubes, pipes and hollow profiles, w/circular cross section &amp; extern. diam of 19mm or more Stainless steel, seamless, not cold-drawn/cold-rolled, tubes, pipes and hollow profiles, w/circular cross section Alloy steel (o/than stainless), seamless, cold-drawn/cold-rolled, tubes, pipes, etc., w/circ. cross sect., for mfr of ball/roller bearings Alloy steel (o/than stainless), seamless, cold-drawn/cold-rolled, tubes, pipes and hollow profiles, w/circular cross section, nesoi Alloy steel (o/than stainless), seamless, n/cold-drawn/cold-rolled, tubes, pipes, etc. w/circ. cross sect., for mfr ball/roller bearings Alloy steel (o/than stainless), seamless, n/cold-drawn/cold-rolled, tubes, pipes, etc. w/circ. cross sect., for boilers, heaters, etc Heat-resisting alloy steel (o/than stainless), seamless, n/cold-drawn/cold-rolled, tubes, pipes, etc., w/circ. cross sect., nesoi Alloy steel (o/than heat-resist or stainless), seamless, n/cold-drawn/cold-rolled, tubes, pipes and hollow prof., w/circ. cross sect., nesoi Iron (o/than cast) or nonalloy steel, seamless, tubes, pipes and hollow profiles, o/than circ.</w:t>
      </w:r>
    </w:p>
    <w:p>
      <w:pPr>
        <w:pStyle w:val="Normal"/>
      </w:pPr>
      <w:r>
        <w:t>cross sect., w/wall thickness of 4 mm or more Alloy steel (o/than stainless), seamless, tubes, pipes and hollow profiles, o/than circ. cross sect., w/wall thickness of 4 mm or more Iron (o/than cast) or nonalloy steel, seamless, tubes, pipes and hollow profiles, o/than circ. cross sect., w/wall thickness less than 4 mm Alloy steel (o/than stainless), seamless, tubes, pipes and hollow profiles, o/than circ. cross sect., w/wall thickness less than 4 mm Iron or nonalloy steel, seamed, w/circ. cross sect. &amp; ext. diam o/406.4mm, line pipe, long. submerg. arc weld., used for oil/gas Alloy steel, seamed, circ. w/cross sect. &amp; ext. diam o/406.4mm, line pipe, long. submerg. arc weld., used for oil/gas pipelines Iron or nonalloy steel, seamed, w/circ. cross sect. &amp; ext. diam o/406.4mm, line pipe, long. welded nesoi, used for oil/gas Alloy steel, seamed, w/circ. cross sect. &amp; ext. diam o/406.4mm, line pipe, long. welded nesoi, used for oil/gas pipelines Iron or nonalloy steel, seamed, w/circ. cross sect.&amp; ext. diam o/406.4mm, line pipe, not long. welded, used for oil/gas Alloy steel, seamed, w/circ. cross sect. &amp; ext.</w:t>
      </w:r>
    </w:p>
    <w:p>
      <w:pPr>
        <w:pStyle w:val="Normal"/>
      </w:pPr>
      <w:r>
        <w:t>diam o/406.4mm, line pipe, not long. welded, used for oil/gas pipelines Iron or nonalloy steel, seamed, w/circ. cross sect. &amp; ext. diam. o/406.4mm, casing pipe, threaded/coupled, of kind for drilling for oil/gas Iron or nonalloy steel, seamed, w/circ. cross sect. &amp; ext. diam. o/406.4mm, casing pipe, n/threaded/coupled, of kind for drill.</w:t>
      </w:r>
    </w:p>
    <w:p>
      <w:pPr>
        <w:pStyle w:val="Normal"/>
      </w:pPr>
      <w:r>
        <w:t>for oil/gas Alloy steel, seamed, w/circ. cross sect. &amp; ext. diam. o/406.4mm, casing pipe, threaded/coupled, of kind for drilling for oil/gas Alloy steel, seamed, w/circ. cross sect. &amp; ext. diam. o/406.4mm, casing pipe, n/threaded/coupled, of kind for drilling for oil/gas Steel, long. welded, w/circ. cross sect &amp; ext. diam o/406.4mm, tapered pipes and tubes principally used as pts of illuminating arts.</w:t>
      </w:r>
    </w:p>
    <w:p>
      <w:pPr>
        <w:pStyle w:val="Normal"/>
      </w:pPr>
      <w:r>
        <w:t>Iron or nonalloy steel, long. welded, w/circ. cross sect. &amp; ext. diam. o/406.4mm, tubes and pipes, o/th used in oil/gas drill.etc Alloy steel, long. welded, w/circ. cross sect. &amp; ext. diam. o/406.4mm, tubes and pipes, o/than used in oil/gas drill. or pipelines Iron or nonalloy steel, weld. o/than long. weld., w/circ. x-sect. &amp; ext. diam. o/406.4mm, tubes and pipes, o/th used in oil/gas drill.etc Alloy steel, weld. o/than long. weld., w/circ. x-sect. &amp; ext. diam. o/406.4mm, tubes and pipes, o/than used in oil/gas drill. or pipelines Iron or nonalloy steel, seamed, w/circ. cross sect. &amp; ext. diam. o/406.4mm, not welded, tubes and pipes, o/th used in oil/gas drill.etc Alloy steel, seamed, w/circ. cross sect. &amp; ext. diam. o/406.4mm, not welded, tubes and pipes, o/than used in oil/gas drill. or pipelines Welded stainless steel, w/ext. diam 406.4mm or less or o/than circ. x-sect, line pipe of a kind used for oil and gas pipelines Iron or nonalloy steel, seamed, w/ext. diam. 406.4mm or less or o/than circ.</w:t>
      </w:r>
    </w:p>
    <w:p>
      <w:pPr>
        <w:pStyle w:val="Normal"/>
      </w:pPr>
      <w:r>
        <w:t>x-sect, line pipe of a kind used for oil and gas pipelines Alloy steel, seamed (o/than welded stainless steel), w/ext. diam 406.4mm or less or o/than circ. x-sect, line pipe of a kind used for oil an Welded stainless steel, w/ext. diam 406.4mm or less or o/than circ. x-sect, threaded/coupled, casing of kind used in drilling for oil/gas Welded stainless steel, w/ext. diam 406.4mm or less or o/than circ. x-sect, n/threaded/coupled, casing of kind used in drilling for oil/gas Welded stainless steel, w/ext. diam 406.4mm or less or o/than circ. x-sect, tubing of a kind used for drilling for oil/gas Iron or nonalloy steel, seamed, w/ext. diam 406.4mm or less or o/than circ. x-sect, threaded/coupled, casing of kind used in drill. oil/gas Iron or nonalloy steel, seamed, w/ext. diam 406.4mm or less or o/than circ. x-sect, n/threaded/coupled, casing kind used drill for oil/gas Alloy steel, seamed (o/than welded stainless steel), w/ext. diam 406.4mm or less or o/than circ. x-sect, threaded/coupled, casing of kind us Alloy steel, seamed (o/than welded stainless steel), w/ext. diam 406.4mm or less or o/than circ. x-sect, n/threaded/coupled, casing of kind Iron or nonalloy steel, seamed, w/ext. diam.</w:t>
      </w:r>
    </w:p>
    <w:p>
      <w:pPr>
        <w:pStyle w:val="Normal"/>
      </w:pPr>
      <w:r>
        <w:t>406.4mm or less or o/than circ. x-sect, tubing of a kind used for drilling for oil/gas Alloy steel, seamed (o/than welded stainless steel), w/ext. diam 406.4mm or less or o/than circ. x-sect, tubing of a kind used for drilling Iron or nonalloy steel, welded, w/circ. x-sect &amp; ext. diam.</w:t>
      </w:r>
    </w:p>
    <w:p>
      <w:pPr>
        <w:pStyle w:val="Normal"/>
      </w:pPr>
      <w:r>
        <w:t>406.4mm or less, tubes, pipes, hollow profiles, w/wall thick. less than 1.65 mm Nonalloy steel, welded, w/circ. x-sect &amp; ext. diam. 406.4mm or less, tapered pipes &amp; tubes, w/wall thick. of 1.65 mm+, pts. of illum. arts. Iron or nonalloy steel, welded, w/circ. x-sect &amp; ext. diam. 406.4mm or less, pipes, tubes &amp; holl. prof., w/wall thick. of 1.65 mm or more Stainless steel, welded, w/circ. x-sect &amp; ext. diam. 406.4mm or less, tubes, pipes, hollow profiles, w/wall thick. less than 1.65 mm Stainless steel, welded, w/circ. x-sect &amp; ext. diam. 406.4mm or less, tubes, pipes, hollow profiles, w/wall thick. of 1.65 mm or more Alloy steel (o/stainless), welded, w/circ. x-sect &amp; ext. diam. 406.4mm or less, tubes, pipes, hollow prof., w/wall thick. less th/1.65 mm Alloy steel (o/stainless), welded, w/circ. x-sect &amp; ext. diam. 406.4mm or less, tapered pipes &amp; tubes, w/wall thick. of 1.65 mm+, pts. illum Alloy steel (o/stainless), welded, w/circ. x-sect &amp; ext. diam. 406.4mm or less, tubes, pipes, hollow prof., w/wall thick.</w:t>
      </w:r>
    </w:p>
    <w:p>
      <w:pPr>
        <w:pStyle w:val="Normal"/>
      </w:pPr>
      <w:r>
        <w:t>of 1.65 mm+ Iron or nonalloy steel, welded, w/square or rectangular x-sect, tubes, pipes and hollow profiles, w/wall thickness of 4 mm or more Alloy steel, welded, w/square or rectangular x-sect, tubes, pipes and hollow profiles, w/wall thickness of 4 mm or more Iron or nonalloy steel, welded, w/square or rectangular x-sect, tubes, pipes and hollow profiles, w/wall thickness less than 4 mm Alloy steel, welded, w/square or rectangular x-sect, tubes, pipes and hollow profiles, w/wall thickness less than 4 mm Iron or nonalloy steel, welded, w/other non-circ. x-sect, tubes, pipes and hollow profiles, w/wall thickness of 4 mm or more Alloy steel, welded, w/other non-circ. x-sect, tubes, pipes and hollow profiles, w/wall thickness of 4 mm or more Iron or nonalloy steel, welded, w/other non-circ. x-sect, tubes, pipes and hollow profiles, w/wall thickness less than 4 mm Alloy steel, welded, w/other non-circ. x-sect, tubes, pipes and hollow profiles, w/wall thickness less than 4 mm Iron or nonalloy steel, seamed o/welded, w/non-circ. x-sect. or circ. x-sect. w/ext. diam. 406.4mm or less, tubes, pipes &amp; hollow profiles Alloy steel, seamed o/than welded, w/non-circ. x-sect or circ. x-sect w/ext. diam.</w:t>
      </w:r>
    </w:p>
    <w:p>
      <w:pPr>
        <w:pStyle w:val="Normal"/>
      </w:pPr>
      <w:r>
        <w:t>406.4mm or less, tubes, pipes and hollow profiles Cast nonmalleable iron, fittings for tubes or pipes Cast ductile iron or steel, fittings for tubes or pipes Cast iron or steel, fittings for tubes or pipes, nesoi Stainless steel, flanges for tubes/pipes, forged, not machined, not tooled and not otherwise processed after forging Stainless steel, not cast, flanges for tubes/pipes, not forged or forged and machined, tooled and otherwise processed after forging Stainless steel, not cast, threaded sleeves (couplings) for tubes/pipes Stainless steel, not cast, threaded elbow and bends for tubes/pipes Stainless steel, not cast, butt welding fittings for tubes/pipes Stainless steel, not cast, fittings for tubes/pipes, nesoi Iron or nonalloy steel, flanges for tubes/pipes, forged, not machined, not tooled and not otherwise processed after forging Alloy steel (o/than stainless), not cast, flanges for tubes/pipes, forged, not machined/tooled and not otherwise processed after forging Iron or steel (o/than stainless), not cast, flanges for tubes/pipes, not forged or forged and machined, tooled &amp; processed after forging Iron or steel (o/than stainless), not</w:t>
      </w:r>
    </w:p>
    <w:p>
      <w:pPr>
        <w:pStyle w:val="Normal"/>
      </w:pPr>
      <w:r>
        <w:t>cast, threaded sleeves (couplings) for tubes/pipes Iron or steel (o/than stainless), not cast, threaded elbow and bends for tubes/pipes Iron or nonalloy steel, not cast, butt welding fittings for tubes/pipes, w/inside diam.</w:t>
      </w:r>
    </w:p>
    <w:p>
      <w:pPr>
        <w:pStyle w:val="Normal"/>
      </w:pPr>
      <w:r>
        <w:t>less than 360mm Alloy steel (o/than stainless), not cast, butt welding fittings for tubes/pipes, w/inside diam.</w:t>
      </w:r>
    </w:p>
    <w:p>
      <w:pPr>
        <w:pStyle w:val="Normal"/>
      </w:pPr>
      <w:r>
        <w:t>less than 360mm Iron or alloy steel (o/than stainless), not cast, butt welding fittings for tubes/pipes, w/inside diam.</w:t>
      </w:r>
    </w:p>
    <w:p>
      <w:pPr>
        <w:pStyle w:val="Normal"/>
      </w:pPr>
      <w:r>
        <w:t>360mm or more Iron or nonalloy steel, fittings for tubes/pipes, nesoi, forged, not machined, not tooled and not otherwise processed after forging Alloy steel (o/than stainless), fittings for tubes/pipes, nesoi, forged, not machined/tooled and not otherwise processed after forging Iron/steel (o/than stainless), n/cast, fittings for tubes/pipes, nesoi, not forged or forged and machined, tooled &amp; processed after forging Iron or steel, bridges and bridge sections Iron or steel, towers and lattice masts Stainless steel, doors, windows and their frames, and thresholds for doors Iron or steel (o/than stainless), doors, windows and their frames, and thresholds for doors Iron or steel, props and similar equipment for scaffolding, shuttering or pit-propping Iron or steel, not in part alloy steel, columns, pillars, posts, beams and girders Iron or steel, columns, pillars, posts, beams and girders, nesoi Steel, grating for structures or parts of structures Iron or steel, structures (excluding prefab structures of 9406) and parts of structures, nesoi Iron/steel, reservoirs, tanks, vats, siml. contain., for any material (o/than compress./liq.gas), w/capacity o/300 l, n/fit. w/mech/thermal Iron/steel, tanks, casks, drums, cans, boxes &amp; siml. cont. for any material (o/than compress./liq.gas), w/cap.</w:t>
      </w:r>
    </w:p>
    <w:p>
      <w:pPr>
        <w:pStyle w:val="Normal"/>
      </w:pPr>
      <w:r>
        <w:t>of 50+ l but n/o 300 l Iron/steel, cans for any material (o/compressed/liq. gas), closed by soldering or crimping, w/cap. less than 50 l Iron/steel, cans for any material (o/compressed/liq. gas), n/closed by soldering or crimping, w/cap. less than 50 l Iron/steel, containers for compressed or liquefied gas Stainless steel, stranded wire, not elect. insulated, fitted with fittings or made up into articles Stainless steel, stranded wire, not elect. insulated, not fitted with fittings or made up into articles Iron or steel (o/than stainless), stranded wire, not elect. insul., fitted with fittings or made up into articles Iron or steel (o/than stainless), stranded wire, not elect. insul., not fitted with fittings or made up into articles Stainless steel, ropes, cables and cordage (o/than stranded wire), not elect. insul., fitted with fittings or made up into articles Stainless steel, ropes, cables and cordage (o/than stranded wire), not elect. insul., not fitted with fittings or made up into articles Iron/steel (o/stainless), ropes, cables &amp; cordage (o/than stranded wire), n/elect. insul., fitted with fittings or made up into articles Iron/steel (o/stainless), ropes, cables &amp; cordage, of brass plated wire (o/than stranded wire), n/elect. insul., w/o fittings or arts.</w:t>
      </w:r>
    </w:p>
    <w:p>
      <w:pPr>
        <w:pStyle w:val="Normal"/>
      </w:pPr>
      <w:r>
        <w:t>Iron/steel (o/stainless), ropes, cables &amp; cordage, o/th of brass plate wire (o/than stranded wire), n/elect. insul., w/o fittings etc.</w:t>
      </w:r>
    </w:p>
    <w:p>
      <w:pPr>
        <w:pStyle w:val="Normal"/>
      </w:pPr>
      <w:r>
        <w:t>Iron/steel (o/stainless), plaited bands, slings and the like, not electrically insulated Iron/steel, barbed wire;</w:t>
      </w:r>
    </w:p>
    <w:p>
      <w:pPr>
        <w:pStyle w:val="Normal"/>
      </w:pPr>
      <w:r>
        <w:t>iron/steel, twisted hoop or single flat wire and loosely twisted double wire, of a kind used for fencing Stainless steel, woven cloth endless bands for machinery, w/meshes not finer than 12 wires to the lineal cm in warp or filling Stainless steel, woven cloth endless bands for machinery, w/meshes finer than 12 but n/finer than 36 wires to the lineal cm warp or filling Stainless steel, Fourdrinier wires for papermaking machines w/94 or more wires to the lineal cm in warp or filling Stainless steel, Fourdrinier wires for papermaking machines w/36 to 93 wires to the lineal cm in warp or filling Stainless steel, woven cloth endless bands for machinery, nesoi, w/meshes finer than 36 wires to the lineal cm in warp or filling Stainless steel, woven cloth (o/than endless bands for machinery), w/meshes not finer than 12 wires to the lineal cm in warp or filling Stainless steel, woven cloth (o/than endless bands for machinery), w/meshes finer 12 but n/finer 36 wires to the lineal cm warp/filling Stainless steel,</w:t>
      </w:r>
    </w:p>
    <w:p>
      <w:pPr>
        <w:pStyle w:val="Normal"/>
      </w:pPr>
      <w:r>
        <w:t>Fourdrinier wires (o/than endless bands) for papermaking machines,w/meshes 94 or more wire to lineal cm warp/filling Stainless steel, Fourdrinier wires (o/than endless bands) for papermaking machines, w/meshes 36 to 93 wires to the lineal cm warp/filling Stainless steel woven cloth (other than endless band for machinery), neosi, w/meshes finer than 36 wires to</w:t>
      </w:r>
    </w:p>
    <w:p>
      <w:pPr>
        <w:pStyle w:val="Normal"/>
      </w:pPr>
      <w:r>
        <w:t>the lineal cm in warp or filling Iron or steel (o/than stainless), woven cloth Iron/steel, grill, netting &amp; fencing, of wire w/maximum x-sect.</w:t>
      </w:r>
    </w:p>
    <w:p>
      <w:pPr>
        <w:pStyle w:val="Normal"/>
      </w:pPr>
      <w:r>
        <w:t>dimension 3 mm or more, welded at intersection, w/mesh size 100 cm2 or more Iron/steel, fencing, of wire, welded at the intersection, plated or coated with zinc, whether or not covered w/plastic material Iron/steel, grill and netting, of wire, welded at the intersection, plated or coated with zinc, nesoi Iron/steel, grill, netting and fencing, of wire, welded at the intersection, not plated or coated with zinc Iron/steel, grill, netting and fencing, of wire, not welded at the intersection, plated or coated with zinc Iron/steel, grill, netting and fencing, of wire, not welded at the intersection, coated with plastics Iron/steel, grill, netting and fencing, of wire, not welded at the intersection, not cut to shape Iron/steel, grill, netting and fencing, of wire, not welded at the intersection, cut to shape Iron or steel, expanded metal Iron or steel, roller chain Iron or steel, articulated link chain (other than roller chain) Iron or steel, parts of articulated link chain Iron or steel, skid chain, not over 8 mm in diameter Iron or</w:t>
      </w:r>
    </w:p>
    <w:p>
      <w:pPr>
        <w:pStyle w:val="Normal"/>
      </w:pPr>
      <w:r>
        <w:t>steel, skid chain, over 8 mm in diameter Iron or steel, stud link chain Alloy steel, welded link chain, not over 10 mm in diameter Alloy steel, welded link chain, over 10 mm in diameter Iron or nonalloy steel, welded link chain, not over 10 mm in diameter Iron or nonalloy steel, welded link chain, over 10 mm</w:t>
      </w:r>
    </w:p>
    <w:p>
      <w:pPr>
        <w:pStyle w:val="Normal"/>
      </w:pPr>
      <w:r>
        <w:t>in diameter Iron or steel, chain nesoi, with links of essentially round cross section, not over 8 mm in diameter Iron or steel, chain nesoi, with links of essentially round cross sections, over 8 mm in diameter Iron or steel, chain nesoi Iron or steel, parts of chain (other than articulated link chain) Iron or steel, anchors, grapnels and parts thereof Iron or steel, thumb tacks Iron or steel, nails, tacks, corrugated nails, staples &amp; similar arts., not threaded, suitable for use in powder-actuated hand tools Iron or steel, nails, tacks, corrugated nails, staples &amp; similar arts., threaded, suitable for use in powder-actuated hand tools Iron or steel, nails, tacks, corrugated nails, staples &amp; similar arts., of one piece construction, made of round wire, nesoi Iron or steel, nails, tacks, corrugated nails, staples &amp; similar arts., of one piece construction, not made of round wire, nesoi Iron or steel, nails, tacks, corrugated nails, staples &amp; similar arts., of two or more pieces, nesoi Iron or steel, coach screws Iron or</w:t>
      </w:r>
    </w:p>
    <w:p>
      <w:pPr>
        <w:pStyle w:val="Normal"/>
      </w:pPr>
      <w:r>
        <w:t>steel, wood screws (o/than coach screws) Iron or steel, screw hooks and screw rings Iron or steel, self-tapping screws, w/shanks or threads less than 6 mm in diameter Iron or steel, self-tapping screws, w/shanks or threads 6 mm or more in diameter Iron or steel, bolts and bolts &amp; their nuts or washers, imported in the same shipment Iron or steel, machine screws (o/than cap screws), 9.5 mm or more in length and 3.2 mm in diameter Iron or steel, threaded studs</w:t>
      </w:r>
    </w:p>
    <w:p>
      <w:pPr>
        <w:pStyle w:val="Normal"/>
      </w:pPr>
      <w:r>
        <w:t>Iron or steel, screws and bolts, nesoi, having shanks or threads less than 6 mm in diameter Iron or steel, screws and bolts, nesoi, having shanks or threads 6 mm or more in diameter Iron or steel, nuts Iron or steel, threaded articles similar to screws, bolts, nuts, coach screws &amp; screw hooks, nesoi Iron or steel, spring washers and other lock washers Iron or steel, washers (o/than spring washers and other lock washers) Iron or steel, rivets Iron or steel, cotters and cotter pins Iron or steel, nonthreaded articles similar to rivets, cotters, cotter pins, washers and spring washers Iron or steel, safety pins Iron or steel, dressmakers’ or common pins Iron or steel, pins (o/than safety pins, dressmakers’ or common pins) Iron or steel, sewing, darning or embroidery needles Iron or steel, knitting needles, bodkins, crochet hooks, embroidery stilettos and similar articles for use in the hand Iron or steel, leaf springs &amp; leaves therefore, to be used in motor vehicles having a G.V.W. not exceeding 4 metric tons Iron or steel, leaf springs &amp; leaves therefore, suitable for motor vehicle suspension (o/than for motor vehicles w/a G.V.W.</w:t>
      </w:r>
    </w:p>
    <w:p>
      <w:pPr>
        <w:pStyle w:val="Normal"/>
      </w:pPr>
      <w:r>
        <w:t>o/4 metric tons) Iron or steel, leaf springs &amp; leaves therefore, not suitable for motor vehicle suspension Iron or steel, helical springs, suitable for motor-vehicle suspension Iron or steel, helical springs (o/than suitable for motor-vehicle suspension) Iron or steel, hairsprings Iron or steel, springs (o/than leaf springs, helical springs or hairsprings) Iron or steel, portable non-electric domestic cooking appliances and plate warmers, for gas fuel or for both gas and other fuels Iron or steel, nonportable non-electric domestic stoves or ranges, for gas fuel or for both gas and other fuels Iron or steel, nonportable non-electric domestic cook. appl. (o/th stoves or ranges) &amp; plate warmers, for gas fuel or both gas &amp; other fuels Iron or steel, non-electric domestic cooking appliances and plate warmers, for liquid fuels Iron or steel, non-electric domestic cooking appliances and plate warmers, o/than for gas or liquid fuels Iron or steel, portable non-electric domestic grates &amp; warming appl. (o/cooking/plate warmers), for gas fuel or both gas and other fuels Iron or steel, nonportable non-electric domestic grates &amp; warming appl.</w:t>
      </w:r>
    </w:p>
    <w:p>
      <w:pPr>
        <w:pStyle w:val="Normal"/>
      </w:pPr>
      <w:r>
        <w:t>(o/than cooking/plate warmers), for gas fuel/both gas &amp; other fuels Iron or steel, portable non-electric domestic grates &amp; warming appliances (o/than cooking/plate warmers) for liquid fuels Iron or steel, nonportable non-electric domestic grates &amp; warming appliances (o/than cooking/plate warmers), for liquid fuels Iron or steel, non-electric domestic grates &amp; warming appliances (o/than cooking/plate warmers), o/than for gas or liquid fuelss Iron/steel, cooking chambers for nonportable non-electric domestic stoves or ranges, for gas or for gas and other fuels Iron/steel, top surface panels w/ or w/o burners/controls for nonportable non-elect. domest. stoves or ranges, for gas or gas &amp; other fuels Iron/steel, door assmbly w/more than one of inner panel, out. panel, window, insul., for non-elect.</w:t>
      </w:r>
    </w:p>
    <w:p>
      <w:pPr>
        <w:pStyle w:val="Normal"/>
      </w:pPr>
      <w:r>
        <w:t>stoves or ranges, for gas or gas &amp; other Iron/steel, parts of nonportable non-electric domestic stoves or ranges, nesoi, for gas fuel or for both gas and other fuels Iron/steel, parts, of nonelectric domestic cooking and warming appliances, nesoi Cast iron, non-electrically heated radiators and parts thereof, for central heating Iron (o/than cast) or steel, non-electrically heated radiators and parts thereof, for central heating Iron or steel, non-electrically heated air heaters and hot air distributors w/motor driven fan or blower and parts thereof Iron or steel wool; iron or steel pot scourers and scouring or polishing pads, gloves and the like Cast iron, table, kitchen or o/household arts. and parts thereof, not enameled but coated or plated with precious metals Cast iron, table, kitchen or o/household arts. and parts thereof, not enameled &amp; not coated or plated with precious metals Cast iron, table, kitchen or o/household arts. and parts thereof, enameled Stainless steel, table, kitchen or o/household arts. amd parts thereof Iron (o/than cast) or steel (o/than stainless), table, kitchen or o/household arts.</w:t>
      </w:r>
    </w:p>
    <w:p>
      <w:pPr>
        <w:pStyle w:val="Normal"/>
      </w:pPr>
      <w:r>
        <w:t>and parts thereof, enameled Iron (o/th cast) or steel (o/th stainless), table, kitchen or o/household arts. &amp; parts thereof, not enameled but plated/coat. w/silver Iron (o/th cast)/steel (o/th stainless), table/kitchen /household arts. &amp; parts thereof, not enameled but plated/coat. w/prec metal o/silver Tinplate, table, kitchen or o/household arts.</w:t>
      </w:r>
    </w:p>
    <w:p>
      <w:pPr>
        <w:pStyle w:val="Normal"/>
      </w:pPr>
      <w:r>
        <w:t>&amp; parts thereof, not coated or plated w/precious metal Iron (o/th cast) or steel (o/than tinplate or stainless), cookingware, not coated or plated with precious metal Iron (o/th cast)/steel (o/th tinplate or stainless), table, kitchen (o/th cooking.) or o/household arts &amp; part, n/coated/plated w/prec.metal Stainless steel, sinks and wash basins Cast iron, baths (whether or not enameled), coated or plated with precious metal Cast iron, baths (whether or not enameled), not coated or plated with precious metal Iron (o/than cast) or steel, baths (whether or not enameled) Iron or steel, sanitary ware (o/than baths or stainless steel sinks and wash basins) and parts thereof Nonmalleable cast iron, articles, nesoi Iron or steel, cast grinding balls and similar articles for mills Cast iron (o/than nonmalleable cast iron), articles nesoi Steel, cast articles nesoi Iron or steel, forged or stamped grinding balls and similar articles for mills Iron or steel, articles forged or stamped but n/further worked, nesoi Iron or steel, articles of wire, nesoi Tinplate, articles nesoi Iron or steel, cable</w:t>
      </w:r>
    </w:p>
    <w:p>
      <w:pPr>
        <w:pStyle w:val="Normal"/>
      </w:pPr>
      <w:r>
        <w:t>or inner wire for caliper and cantilever brakes and casing therefore, whether or not cut to length Iron or steel, containers of a kind normally carried on the person, in the pocket or in the handbag, nesoi Iron or steel, horse and mule shoes Iron or steel, articles nesoi, coated or plated with precious metal Iron or steel, articles, nesoi Copper mattes;</w:t>
      </w:r>
    </w:p>
    <w:p>
      <w:pPr>
        <w:pStyle w:val="Normal"/>
      </w:pPr>
      <w:r>
        <w:t>cement copper (precipitated copper)</w:t>
      </w:r>
    </w:p>
    <w:p>
      <w:pPr>
        <w:pStyle w:val="Normal"/>
      </w:pPr>
      <w:r>
        <w:t>Unrefined copper; copper anodes for electrolytic refining Refined copper cathodes and sections of cathodes Refined copper, wire bars Refined copper, billets Refined copper, unwrought articles nesoi Copper-zinc base alloys (brass), unwrought nesoi Copper-tin base alloys (bronze), unwrought nesoi Copper alloys (o/than copper-zinc, copper-tin alloys), unwrought nesoi Copper spent anodes; copper waste &amp; scrap containing less than 94% by weight of copper Copper, waste and scrap containing 94% or more by weight of copper Copper master alloys, containing 5% or more but n/more than 15% by weight of phosphorus Copper master alloys, not containing 5% or more but n/more than 15% by weight of phosphorus Copper, powders of non-lamellar structure Copper, powders of lamellar structure;</w:t>
      </w:r>
    </w:p>
    <w:p>
      <w:pPr>
        <w:pStyle w:val="Normal"/>
      </w:pPr>
      <w:r>
        <w:t>copper flakes Refined copper, hollow profiles Refined copper, profiles (o/than hollow profiles) Refined copper, bars and rods Copper-zinc base alloys (brass), hollow profiles Copper-zinc base alloys (brass), profiles (o/than hollow profiles) Copper-zinc base alloys (brass), low fuming brazing rods Copper-zinc base alloys (brass), bars &amp; rods nesoi, having a rectangular cross section Copper-zinc base alloys (brass), bars &amp; rods nesoi, not having a rectangular cross section Copper alloys, hollow profiles Copper-nickel base alloys (cupro-nickel) or copper-nickel-zinc base alloys (nickel silver), profiles (o/than hollow profiles) Copper alloys (o/than cupro-nickel or nickel silver), profiles (o/than hollow</w:t>
      </w:r>
    </w:p>
    <w:p>
      <w:pPr>
        <w:pStyle w:val="Normal"/>
      </w:pPr>
      <w:r>
        <w:t>profiles) Copper-nickel base alloys (cupro-nickel) or copper-nickel-zinc base alloys (nickel silver), bars &amp; rods Copper alloys (o/than brass, cupro-nickel or nickel silver), bars and rods Refined copper, wire, w/maximum cross-sectional dimension over 9.5 mm Refined copper, wire, w/maximum cross-sectional dimension over 6 mm but not over 9.5 mm Refined copper, wire, w/maximum cross-sectional dimension of 6 mm or less Copper-zinc base alloys (brass), wire Copper-nickel base alloys (cupro-nickel) or copper-nickel-zinc base alloys (nickel silver), wire, coated or plated with metal Copper-nickel base alloys (cupro-nickel) or copper-nickel-zinc base alloys (nickel silver), wire, not coated or plated w/metal Copper alloys (o/than brass, cupro-nickel or nickel-silver), wire, coated or plated with metal Copper alloys (o/than brass, cupro-nickel or nickel-silver), wire, not coated or plated with metal Refined copper, plates, sheets and strip, in coils, with a thickness of 5 mm or more Refined copper, plates, sheets and strip, in coils, with a thickness over 0.15mm but less than 5 mm Refined copper, plates, sheets and strip, not in coils, with a thickness of</w:t>
      </w:r>
    </w:p>
    <w:p>
      <w:pPr>
        <w:pStyle w:val="Normal"/>
      </w:pPr>
      <w:r>
        <w:t>5 mm or more Refined copper, plates, sheets and strip, not in coils, with a thickness o/0.15mm but less than 5 mm &amp; a width of 500 mm or more Refined copper, plates, sheets and strip, not in coils, with a thickness o/0.15mm but less than 5 mm &amp; a width of less than 500 mm Copper-zinc base alloys (brass), plates, sheets and strip,</w:t>
      </w:r>
    </w:p>
    <w:p>
      <w:pPr>
        <w:pStyle w:val="Normal"/>
      </w:pPr>
      <w:r>
        <w:t>in coils Copper-zinc base alloys (brass), plates, sheets and strip, not in coils Copper-tin base alloys (bronze), plates, sheets and strip, in coils.</w:t>
      </w:r>
    </w:p>
    <w:p>
      <w:pPr>
        <w:pStyle w:val="Normal"/>
      </w:pPr>
      <w:r>
        <w:t>with a thickness of 5 mm or more Copper-tin base alloys (bronze), plates, sheets and strip, in coils, with a thickness o/0.15mm but less than 5mm &amp; a width of 500mm or more Copper-tin base alloys (bronze), plates, sheets and strip, in coils, w/thickness o/0.15mm but less than 5mm &amp; a width of less than 500mm Copper-tin base alloys (bronze), plates, sheets and strip, with a thickness of 5 mm or more Copper-tin base alloys (bronze), plates, sheets and strip, with a thickness o/0.15 but less than 5 mm &amp; of a width of 500 mm or more Copper-tin base alloys (bronze), plates, sheets and strip, with a thickness o/0.15 but less than 5 mm &amp; of a width of less than 500 mm Copper-nickel base alloys (cupro-nickel) or copper-nickel-zinc base alloys (nickel silver), plates, sheets and strip, w/thickness o/0.15mm Copper alloys (o/than brass/bronze/cupro-nickel/nickel silver), plates, sheets &amp; strip, with thickness of 5 mm or more Copper alloys (o/than brass/bronze/cupro-nickel/nickel silver), plates, sheets &amp; strip, w/thick.</w:t>
      </w:r>
    </w:p>
    <w:p>
      <w:pPr>
        <w:pStyle w:val="Normal"/>
      </w:pPr>
      <w:r>
        <w:t>o/0.15mm but less th/5mm &amp; width 500mm+ Copper alloys (o/than brass/bronze/cupro-nickel/nickel silver), plates, sheets &amp; strip, w/thick.</w:t>
      </w:r>
    </w:p>
    <w:p>
      <w:pPr>
        <w:pStyle w:val="Normal"/>
      </w:pPr>
      <w:r>
        <w:t>o/0.15mm but less th/5mm &amp; width less 500mm Refined copper, foil, w/thickness of 0.15 mm or less, not backed Copper alloys, foil, w/thickness of 0.15 mm or less, not backed Refined copper, clad laminates, w/thickness of 0.15 mm or less, backed Refined copper, foil, w/thickness of 0.15 mm or less, backed Copper alloys, foil, w/thickness of 0.15 mm or less, backed Refined copper, tubes and pipes, seamless Refined copper, tubes and pipes, other than seamless Copper-zinc base alloys (brass), tubes and pipes, seamless Copper-zinc base alloys (brass), tubes and pipes, other than seamless Copper-nickel base alloys (cupro-nickel) or copper-nickel-zinc base alloys (nickel- silver), tubes and pipes Copper alloys (o/than brass/cupro-nickel/nickel-silver), pipes and tubes, seamless Copper alloys (o/than brass/cupro-nickel/nickel-silver), pipes and tubes, other than seamless Refined copper, fittings for tubes and pipes Copper alloys, fittings for tubes and pipes Copper, stranded wire, not electrically insulated, not fitted with fittings and not made up into articles Copper, cables, plaited bands and the like, not fitted with fittings and not made up into</w:t>
      </w:r>
    </w:p>
    <w:p>
      <w:pPr>
        <w:pStyle w:val="Normal"/>
      </w:pPr>
      <w:r>
        <w:t>articles Copper, stranded wire, cables, plaited bands and the like, not electrically insulated, fitted with fittings or made up into articles Copper or iron/steel w/heads of copper, nails and tacks, drawing pins, staples and similar articles Copper, washers (including spring washers) Copper, rivets, cotters, cotter pins and similar</w:t>
      </w:r>
    </w:p>
    <w:p>
      <w:pPr>
        <w:pStyle w:val="Normal"/>
      </w:pPr>
      <w:r>
        <w:t>non-threaded articles (o/than washers) Copper screws for wood Muntz or yellow metal copper bolts Screws (other than wood screws), bolts (other than Muntz or yellow metal) and nuts, of copper, threaded, nesoi Copper, screw hooks and other threaded articles, nesoi Copper &amp; copper alloy table, kitchen, household articles &amp; parts; pot scourers, scouring &amp; polishing pads, gloves, etc Copper-zinc base alloys (brass), sanitary ware and parts thereof Copper (o/than brass), sanitary ware and parts thereof Copper, chain and parts thereof Copper, articles nesoi, cast, molded, stamped, or forged but not further worked Copper, Fourdrinier wires, for use in papermaking machines, w/94 or more wires to the lineal cm Copper cloth, nesoi Copper, wire grill and netting;</w:t>
      </w:r>
    </w:p>
    <w:p>
      <w:pPr>
        <w:pStyle w:val="Normal"/>
      </w:pPr>
      <w:r>
        <w:t>expanded metal of copper Copper, containers a kind normally carried on the person, in the pocket or in the handbag Copper, springs Copper, articles nesoi, coated or plated with precious metal Copper, articles nesoi, not coated or plated with precious metal Nickel mattes Nickel oxide sinters and other intermediate products of nickel metallurgy Nickel (o/than alloy), unwrought Nickel alloys, unwrought Nickel, waste and scrap Nickel, powders and flakes Nickel (o/than alloy), bars and rods, cold formed Nickel (o/than alloy), bars and rods, not cold formed Nickel (o/than alloy), profiles Nickel alloy, bars and rods, cold formed Nickel alloy, bars and rods, not cold formed Nickel alloy, profiles Nickel (o/than alloy), wire, cold</w:t>
      </w:r>
    </w:p>
    <w:p>
      <w:pPr>
        <w:pStyle w:val="Normal"/>
      </w:pPr>
      <w:r>
        <w:t>formed Nickel (o/than alloy), wire, not cold formed Nickel alloy, wire, cold formed Nickel alloy, wire, not cold formed Nickel, foil, w/thickness not over 0.15 mm Nickel (o/than alloy), plates, sheets and strip, cold formed Nickel (o/than alloy), plates, sheets and strip, not cold formed Nickel alloy, foil, w/thickness not over 0.15 mm Nickel alloy, plates, sheets and strip, cold formed Nickel alloy, plates, sheets and strip, not cold formed Nickel (o/than alloy), tubes and pipes Nickel alloy, tubes and pipes Nickel, fittings for tubes and pipes Nickel, wire cloth, grill and netting Nickel, stranded wire Nickel, articles of nesoi Aluminum (o/than alloy), unwrought, in coils, w/uniform x-section throughout length &amp; w/least cross-sectional dimension n/o 9.5 mm Aluminum (o/than alloy), unwrought nesoi Aluminum alloys, unwrought, in coils, w/uniform x-section throughout length &amp; w/least cross-sectional dimension n/o 9.5 mm Aluminum alloys, w/25% or more by weight of silicon, unwrought nesoi Aluminum alloys nesoi, unwrought nesoi Aluminum, waste and scrap Aluminum, powders of non-lamellar structure Aluminum, powders of lamellar structure;</w:t>
      </w:r>
    </w:p>
    <w:p>
      <w:pPr>
        <w:pStyle w:val="Normal"/>
      </w:pPr>
      <w:r>
        <w:t>aluminum flakes Aluminum (o/than alloy), profiles Aluminum (o/than alloy), bar and rods, with a round cross section Aluminum (o/than alloy), bar and rods, other than with a round cross section Aluminum alloy, hollow profiles Aluminum alloy, profiles (o/than hollow profiles) Aluminum alloy, bars and rods, having a round cross section Aluminum</w:t>
      </w:r>
    </w:p>
    <w:p>
      <w:pPr>
        <w:pStyle w:val="Normal"/>
      </w:pPr>
      <w:r>
        <w:t>alloy, bars and rodss, other than with a round cross section Aluminum (o/than alloy), wire, with a maximum cross-sectional dimension over 7 mm Aluminum (o/than alloy), wire, with a maximum cross-sectional dimension of 7 mm or less Aluminum alloy, wire, with a maximum cross-sectional dimension over 7 mm Aluminum alloy, wire, with a maximum cross-sectional dimension of 7 mm or less Aluminum (o/than alloy), plates/sheets/strip, w/thick. o/0.2mm, rectangular (incl. sq), not clad Aluminum (o/than alloy), plates/sheets/strip, w/thick. o/0.2mm, rectangular (incl. sq), clad Aluminum alloy, plates/sheets/strip, w/thick. o/0.2mm, rectangular (incl. sq), not clad Aluminum alloy, plates/sheets/strip, w/thick. o/0.2mm, rectangular (incl. sq), clad Aluminum (o/than alloy), plates/sheets/strip, w/thick. o/0.2mm, o/than rectangular (incl. sq), not clad Aluminum (o/than alloy), plates/sheets/strip, w/thick. o/0.2mm, o/than rectangular (incl. sq), clad Aluminum alloy, plates/sheets/strip, w/thick. o/0.2mm, o/than rectangular (incl. sq), not clad Aluminum alloy, plates/sheets/strip, w/thick. o/0.2mm, o/than rectangular (incl.</w:t>
      </w:r>
    </w:p>
    <w:p>
      <w:pPr>
        <w:pStyle w:val="Normal"/>
      </w:pPr>
      <w:r>
        <w:t>sq), clad Aluminum, foil, w/thickness n/o 0.01 mm, rolled but not further worked, not backed Aluminum, foil, w/thickness over 0.01 mm but n/o 0.15 mm, rolled but not further worked, not backed Aluminum, foil, w/thickness over 0.15 mm but n/o 0.2 mm, rolled but not further worked, not backed Aluminum, etched capacitor foil, w/thickness n/o 0.2 mm, not rolled or rolled and further worked, not backed Aluminum, foil nesoi, w/thickness n/o 0.15 mm, cut to shape, not rolled, not backed Aluminum, foil nesoi, w/thickness o/0.15mm but n/o 0.2 mm or 0.15mm or less &amp; not cut to shape, not rolled, not backed, nesoi Aluminum, foil, w/thickness n/o 0.2 mm, backed, covered or decorated with a character, design, fancy effect or pattern Aluminum, foil, w/thickness n/o 0.2 mm, backed, nesoi Aluminum (o/than alloy), tubes and pipes Aluminum alloy, tubes and pipes Aluminum, fittings for tubes and pipes Aluminum, doors, windows and their frames and thresholds for doors Aluminum, structures and parts of structures, nesoi;</w:t>
      </w:r>
    </w:p>
    <w:p>
      <w:pPr>
        <w:pStyle w:val="Normal"/>
      </w:pPr>
      <w:r>
        <w:t>aluminum plates, rods, profiles, tubes and the like prepared for use in structures Aluminum, reservoirs, tanks, vats &amp; like containers for any material (o/than compressed or liq. gas), w/capacity o/300 l, not fitted w/ Aluminum, collapsible tubular containers, w/capacity of 300 l or less Aluminum, casks, drums &amp; like containers, for any material (o/than compressed or liq. gas), w/cap.</w:t>
      </w:r>
    </w:p>
    <w:p>
      <w:pPr>
        <w:pStyle w:val="Normal"/>
      </w:pPr>
      <w:r>
        <w:t>n/o 20 l, n/fitted w/mech/thermal Aluminum, casks, drums &amp; like containers, for any material (o/thna compressed or liq. gas), w/cap. o/20 but n/o 300 l, n/fitted w/mech Aluminum, containers for compressed or liquefied gas Aluminum, stranded wire, cables &amp; the like w/steel core, not electrically insulated, not fitted with fittings &amp; not made up into articles Aluminum, stranded wire, cables &amp; the like w/steel core, not electrically insulated, fitted with fittings or made up into articles Aluminum, elect. conductors of stranded wire, cables &amp; the like (o/than w/steel core), n/elect. insulated, n/fitted w/fittings or articles Aluminum, stranded wire, cables, &amp; the like (o/than elect. conduct or w/steel core), n/elect.</w:t>
      </w:r>
    </w:p>
    <w:p>
      <w:pPr>
        <w:pStyle w:val="Normal"/>
      </w:pPr>
      <w:r>
        <w:t>insulated, n/fitted w/fittings or articles Aluminum, stranded wire, cables and the like (o/than w/steel core), not electrically insulated, fitted w/fittings or made up into articles Aluminum, pot scourers, scouring or polishing pads, gloves and the like Aluminum, cast cooking and kitchen ware, enameled or glazed or containing nonstick interior finishes Aluminum, cooking and kitchen ware (o/than cast), enameled or glazed or containing nonstick interior finishes Aluminum, cast cooking and kitchen ware, not enameled or glazed and not containing nonstick interior finishes Aluminum, cooking and kitchen ware (o/than cast), not enameled or glazed and not containing nonstick interior finishes Aluminum, table, kitchen or other household articles (o/than cooking or kitchen</w:t>
      </w:r>
    </w:p>
    <w:p>
      <w:pPr>
        <w:pStyle w:val="Normal"/>
      </w:pPr>
      <w:r>
        <w:t>ware) and parts thereof Aluminum, sanitary ware and parts thereof Aluminum, nails, tacks and staples Aluminum, rivets Aluminum, cotters and cotter pins Aluminum, screws, bolts, nuts, screw hooks, washers and similar articles w/shanks, threads, or holes o/6 mm in diameter Aluminum, screws, bolts, nuts, screw hooks, washers and similar articles w/shanks, threads or holes 6 mm or less in diameter Aluminum, wire cloth, grill, netting and fencing Aluminum, luggage frames Aluminum, articles, nesoi Refined lead, unwrought Lead (o/than refined lead), containing by weight antimony as the principal other element, unwrought Lead (o/than refined lead), bullion Lead (o/than refined lead), unwrought nesoi Lead, waste and scrap Lead, sheets, strip and foil, w/thickness n/o 0.2 mm, excluding any backing Lead, plates &amp; sheets, strip and foil w/thickness o/0.2mm, nesoi Lead, powders and flakes Lead, bars, rods, profiles and wire Lead, tubes or pipes and fittings for tubes or pipes Lead, articles, nesoi Zinc (o/than alloy), unwrought, containing o/99.99% by weight of zinc Zinc (o/than alloy), unwrought, casting-grade zinc, containing at least 97.5% but less than 99.99% by weight of zinc Zinc (o/than alloy), unwrought, o/than casting-grade zinc, containing at least 97.5% but less than 99.99% by wt.</w:t>
      </w:r>
    </w:p>
    <w:p>
      <w:pPr>
        <w:pStyle w:val="Normal"/>
      </w:pPr>
      <w:r>
        <w:t>of zinc Zinc alloy, unwrought Zinc, waste and scrap Zinc, dust Zinc, powders Zinc, flakes Zinc, bars, rods, profiles and wire Zinc, plates, sheets, strip and foil Zinc, household, table or kitchen use articles; zinc toilet and sanitary wares; zinc parts of all the foregoing Zinc, tubes or pipes and fittings for tubes or pipes Zinc, articles (o/than for household, table or kitchen use), nesoi Tin (o/than alloy), unwrought Tin alloy, unwrought Tin, waste and scrap Tin, bars, rods, profiles and wire Tin, household, table or kitchen use articles; tin toilet and sanitary wares; all the foregoing, n/coated or plated w/prec. metal Tin, plates, sheets and strip, of a thickness exceeding 0.20 mm Tin.</w:t>
      </w:r>
    </w:p>
    <w:p>
      <w:pPr>
        <w:pStyle w:val="Normal"/>
      </w:pPr>
      <w:r>
        <w:t>foil, w/thickness (excluding any backing) n/o 0.2 mm Tin, powders and flakes Tin, tubes or pipes and fittings for tubes or pipes Tin, articles nesoi Tungsten, powders Tungsten, unwrought (including bars and rods obtained simply by sintering) Tungsten wire Tungsten waste and scrap Tungsten bars and rods (o/than those obtained simply by sintering), profiles, plates, sheets, strip and foil Tungsten, articles nesoi Molybdenum, powders Molybdenum, unwrought (including bars and rods obtained simply by sintering) Molybdenum bars and rods (o/than those obtained simply by sintering) Molybdenum profiles, plates, sheets, strip and foil Molybdenum wire Molybdenum waste and scrap Molybdenum, articles nesoi Tantalum, unwrought (including bars and rods obtained simply by sintering); tantalum powders</w:t>
      </w:r>
    </w:p>
    <w:p>
      <w:pPr>
        <w:pStyle w:val="Normal"/>
      </w:pPr>
      <w:r>
        <w:t>Tantalum waste and scrap Tantalum, articles nesoi Magnesium, unwrought, containing at least 99.8 percent by weight of magnesium Magnesium, unwrought, nesoi Magnesium, waste and scrap Magnesium, raspings, turnings and granules graded according to size; magnesium powders Magnesium, articles nesoi Cobalt alloys, unwrought Cobalt (other than alloys), unwrought Cobalt, mattes and other intermediate products of cobalt metallurgy; cobalt powders Cobalt waste and scrap Cobalt, articles thereof nesoi Bismuth (including waste &amp; scrap) and articles thereof, nesoi Cadmium, unwrought; cadmium powders Cadmium waste and scrap Cadmium, articles thereof nesoi Titanium, unwrought; titanium powders Titanium waste and scrap Titanium, articles nesoi Titanium, wrought nesoi Zirconium, unwrought; zirconium powders Zirconium waste and scrap Zirconium, articles, nesoi Antimony, unwrought; antimony powders Antimony waste and scrap Articles of antimony, nesoi Manganese, waste and scrap Unwrought manganese flake containing at least 99.5 percent by weight manganese Unwrought manganese, nesoi Manganese (o/than waste and scrap, unwrought) and articles thereof, nesoi Beryllium, unwrought; beryllium powders Beryllium waste and scrap Beryllium, articles nesoi Chromium, unwrought; chromium powders Chromium waste and scrap Articles of chromium, nesoi Thallium, unwrought; thallium powders Thallium waste and scrap Articles of thallium, nesoi Waste and scrap of gallium, germanium, hafnium, indium, niobium,</w:t>
      </w:r>
    </w:p>
    <w:p>
      <w:pPr>
        <w:pStyle w:val="Normal"/>
      </w:pPr>
      <w:r>
        <w:t>rhenium, or vanadium Gallium, unwrought; gallium powders Hafnium, unwrought; hafnium powders Indium, unwrought; indium powders Niobium (columbium), unwrought; niobium powders Rhenium, unwrought;</w:t>
      </w:r>
    </w:p>
    <w:p>
      <w:pPr>
        <w:pStyle w:val="Normal"/>
      </w:pPr>
      <w:r>
        <w:t>rhenium powders Germanium, unwrought Germanium powder, wrought Vanadium, unwrought and powders Germanium nesoi and articles thereof Vanadium, nesoi, and articles thereof Articles of gallium, hafnium, indium, niobium or rhenium, nesoi Cermets (including waste &amp; scrap) and articles thereof Spades and shovels and base metal parts thereof Mattocks, picks, hoes and rakes and base metal parts thereof Machetes, and base metal parts thereof Axes, bill hooks and similar hewing tools (o/than machetes), and base metal parts thereof One-handed secateurs, pruners and shears (including poultry shears), and base metal parts thereof Hedge shears, two-handed pruning shears and similar two-handed shears, and base metal parts thereof Grass shears, and base metal parts thereof Forks (hand tools) and base metal parts thereof Base metal hand tools of a kind used in agriculture, horticulture or forestry nesoi, and base metal parts thereof Hand saws, and base metal parts thereof (except blades) Band saw blades Circular saw blades (including slitting or slotting saw blades), w/working part of steel Circular saw blades (including slitting or slotting saw blades), with working part of o/than steel, &amp; base metal parts thereof Chain saw blades &amp; base metal parts thereof, w/cutting parts cont.</w:t>
      </w:r>
    </w:p>
    <w:p>
      <w:pPr>
        <w:pStyle w:val="Normal"/>
      </w:pPr>
      <w:r>
        <w:t>o/0.2% of Cr, Mo or W, or o/0.1% of V Chain saw blades and base metal parts thereof, nesoi Hacksaw blades for working metal Straight saw blades for working metal (o/than hacksaw blades), and base metal parts thereof Saw blades nesoi, and base metal parts thereof Files, rasps and similar tools, n/o 11 cm in length Files, rasps and similar tools, o/11 cm but n/o 17 cm in length Files, rasps and similar tools, o/17 cm in length Base metal tweezers Slip joint pliers Pliers (including cutting pliers but not slip joint pliers), pincers and similar tools Base metal parts of pliers (including cutting pliers), pincers, tweezers and similar tools Metal cutting shears and similar tools, and base metal parts thereof Pipe cutters, bolt cutters, perf. punches &amp; similar tools, w/cutting parts o/0.2% Cr, Mo or W, or o/0.1% V &amp; base metal pts.</w:t>
      </w:r>
    </w:p>
    <w:p>
      <w:pPr>
        <w:pStyle w:val="Normal"/>
      </w:pPr>
      <w:r>
        <w:t>Pipe cutters, bolt cutters, perforating punches and similar tools, nesoi, and base metal parts thereof Hand-operated non-adjustable spanners and wrenches, and base metal parts thereof Hand-operated adjustable spanners and wrenches, and base metal parts thereof Socket wrenches, with or without handles, drives and extensions, and base metal parts thereof Drilling, threading or tapping tools, and base metal parts thereof Hammers and sledge hammers, with heads not over 1.5 kg each, and base metal parts thereof Hammers and sledge hammers, with heads over 1.5 kg each, and base metal parts thereof Planes, chisels, gouges etc.</w:t>
      </w:r>
    </w:p>
    <w:p>
      <w:pPr>
        <w:pStyle w:val="Normal"/>
      </w:pPr>
      <w:r>
        <w:t>for working wood, over 0.2% chromium, molybdenum or tungsten, or over 0.1% vanadium, base metal parts thereof Planes, chisels, gouges and similar cutting tools for working wood, nesoi, and base metal parts thereof Screwdrivers and base metal parts thereof Carving and butcher steels, of iron or steel, with or without their handles Iron or steel household handtools (o/than carving &amp; butcher steels), and base metal parts thereof Copper household handtools, and base metal parts thereof Aluminum household handtools, and base metal parts thereof Base metal, nesoi, household handtools, and base metal parts thereof Pipe tools and base metal parts thereof Powder-actuated hand tools and base metal parts thereof Crowbars, track tools and wedges, and base metal parts thereof Caulking guns of iron or steel, and base metal parts thereof Iron or steel handtools (o/ than household, o/than caulking guns) nesoi, and base metal parts thereof Copper handtools (o/than household) nesoi, and base metal parts thereof Aluminum handtools (o/than household) nesoi, and base metal parts thereof Base metal, nesoi, handtools (o/than</w:t>
      </w:r>
    </w:p>
    <w:p>
      <w:pPr>
        <w:pStyle w:val="Normal"/>
      </w:pPr>
      <w:r>
        <w:t>household), and base metal parts thereof Blow torches and similar self-contained torches, and base metal parts thereof Vises, clamps and the like, and base metal parts thereof Anvils, portable forges, hand- or pedal-operated grinding wheels with frameworks and base metal parts thereof Sets of articles (handtools and other specified tools) of two or more foregoing subheadings</w:t>
      </w:r>
    </w:p>
    <w:p>
      <w:pPr>
        <w:pStyle w:val="Normal"/>
      </w:pPr>
      <w:r>
        <w:t>Tools of two or more of headings 8202 to 8205 put up in sets for retail sale Interchangeable tools for rock drilling or earth boring tools, w/working part of cermets Interchangeable tools for rock drilling or earth boring tools, w/cutting part o/0.2% Cr, Mo or W, or o/0.1% V by wt., &amp; base metal parts Interchangeable tools for rock drilling or earth boring tools, w/working part neosi, and base metal parts thereof Interchangeable dies for drawing or extruding metal, and base metal parts thereof Interchangeable tools for pressing, stamping or punching, suitable for cutting metal, and base metal parts thereof Interchangeable tools for pressing, stamping or punching, not suitable for cutting metal, and base metal parts thereof Interchangeable tools for tapping or threading, w/cutting pts ov 0.2% by wt of Cr, Mo, W, or ov 0.1% V, &amp; base metal pts thereof Interchangeable tools for tapping or threading, nesoi, and base metal parts thereof Interchangeable tools for drilling (o/than rock drilling) w/cutting part ov 0.2% Cr, Mo or W, or</w:t>
      </w:r>
    </w:p>
    <w:p>
      <w:pPr>
        <w:pStyle w:val="Normal"/>
      </w:pPr>
      <w:r>
        <w:t>ov 0.1% V &amp; base metal parts thereof Interchangeable tools for drilling (o/than rock drilling), nesoi, suitable for cutting metal, and base metal parts thereof Interchangeable tools for handtools, for drilling (o/than rock drilling), nesoi, n/suitable for cutting metal, &amp; base metal parts thereof Interchangeable tools (o/than for handtools) for drilling (o/than rock drilling), nesoi, not suitable for cutting metal, &amp; base metal parts Interchangeable</w:t>
      </w:r>
    </w:p>
    <w:p>
      <w:pPr>
        <w:pStyle w:val="Normal"/>
      </w:pPr>
      <w:r>
        <w:t>tools for boring or broaching, and base metal parts thereof Interchangeable tools for milling, w/cutting part ov 0.2% by wt of Cr, Mo or W, or ov 0.1% by wt of V &amp; base metal parts thereof Interchangeable tools for milling, nesoi, and base metal parts thereof Interchangeable tools for turning, w/cutting part ov 0.2% by wt of Cr, Mo or W, or ov 0.1% by wt of V &amp; base metal parts thereof Interchangeable tools for turning, nesoi, and base metal parts thereof Interchangeable files and rasps, including rotary files and rasps, and base metal parts thereof Interchangeable cutting tools, nesoi, w/cutting part ov 0.2% by wt of Cr, Mo or W, or ov 0.1% by wt of V, and base metal parts thereof Interchangeable tools, nesoi, suitable for cutting metal, nesoi and base metal parts thereof Interchangeable tools for handtools, nesoi, not suitable for cutting metal, nesoi and base metal parts thereof Interchangeable tools (o/than for handtools) nesoi, not suitable for cutting metal, nesoi and base metal parts</w:t>
      </w:r>
    </w:p>
    <w:p>
      <w:pPr>
        <w:pStyle w:val="Normal"/>
      </w:pPr>
      <w:r>
        <w:t>thereof Knives and cutting blades for metal working machines or mechanical appliances, and base metal parts thereof Knives and cutting blades for wood working machines or mechanical appliances, and base metal parts thereof Knives and cutting blades for kitchen appliances or for machines used by the food industry, and base metal parts thereof Lawnmower blades for agricultural, horticultural or forestry machines Knives and cutting blades (o/than lawnmower blades) for agricultural,</w:t>
      </w:r>
    </w:p>
    <w:p>
      <w:pPr>
        <w:pStyle w:val="Normal"/>
      </w:pPr>
      <w:r>
        <w:t>horticultural or forestry machines, and base metal parts thereof Knives and cutting blades for shoe machinery, and base metal parts thereof Knives and cutting blades, nesoi for machines or for mechanical appliances nesoi, and base metal parts thereof Cermet plates, sticks, tips and the like for tools, unmounted Hand-operated mechanical appliances weighing 10 kg or less, used in preparation, conditioning, serving food or drink &amp; base metal pts Sets of assorted knives w/cutting blades serrated or not (including pruning knives) Table knives with fixed blades and silver-plated handles Table knives w/fixed blades, w/stain. steel handles w/Ni or ov 10% by wt. of Mn, w/overall length 25.9cm or less &amp; val. &lt;than 25 cents ea Table knives w/fixed blades, w/stain. steel handles cont.</w:t>
      </w:r>
    </w:p>
    <w:p>
      <w:pPr>
        <w:pStyle w:val="Normal"/>
      </w:pPr>
      <w:r>
        <w:t>Ni or ov 10% by wt of Mn, nesoi Table knives w/fixed blades, w/stain. steel handles, nesoi, not ov 25.9 cm in overall length &amp; val less than 25 cents each Table knives w/fixed blades, w/stain. steel handles, nesoi Table knives w/fixed blades, with rubber or plastics handles Table knives w/fixed blades, w/handles other than of silver-plate, stainless steel, rubber or plastics Kitchen and butcher knives w/fixed blades, with rubber or plastics handles Knives w/fixed blades (o/than table or kitchen and butcher knives), with rubber or plastic handles Hunting knives w/fixed blades, with wood handles Knives w/fixed blades (o/than table knives, other knives w/rubb./plast.</w:t>
      </w:r>
    </w:p>
    <w:p>
      <w:pPr>
        <w:pStyle w:val="Normal"/>
      </w:pPr>
      <w:r>
        <w:t>handles, or hunting knives w/wood handles) Knives having other than fixed blades Base metal blades for knives having fixed blades Base metal blades for knives having other than fixed blades Base metal handles for table knives w/fixed blades Base metal handles for knives (o/than table knivies) w/fixed blades Base metal handles for knives having other than fixed blades Base metal razors Base metal safety razor blades (including razor blade blanks) Base metal parts of razors and razor blades Base metal scissors, tailors’ shears and similar shears, and blades thereof, valued n/o $1.75 per dozen Base metal pinking shears, and blades thereof, valued over $30 per dozen Base metal scissors, tailors’ shears and similar shears (o/than pinking shears val o$30/dz), and base metal parts, val.</w:t>
      </w:r>
    </w:p>
    <w:p>
      <w:pPr>
        <w:pStyle w:val="Normal"/>
      </w:pPr>
      <w:r>
        <w:t>o/$1.75 per dozen Base metal paper knives, letter openers, erasing knives, nonmechanical pencil sharpeners and blades and base metal parts thereof Base metal instruments for manicure or pedicure purposes, and base metal parts thereof Manicure and pedicure sets, and combinations thereof, in leather containers Manicure and pedicure sets, and combinations thereof, other than in leather containers Butchers’ or kitchen cleavers with their handles, nesoi, and base metal parts thereof Butchers’ or kitchen chopping or mincing knives (o/than cleavers w/their handles), and base metal parts thereof Articles of cutlery, nesoi, and base metal parts of cutlery, nesoi Sets of assted.</w:t>
      </w:r>
    </w:p>
    <w:p>
      <w:pPr>
        <w:pStyle w:val="Normal"/>
      </w:pPr>
      <w:r>
        <w:t>base metal spoons, forks, ladles, etc. &amp; similar kitchen or tableware, w/at least one article plated w/prec. metal Sets of assted. base metal spoons, forks, ladles, etc. &amp; similar kitchen or tableware, w/no articles plated with precious metal Base metal forks plated with precious metal Base metal spoons and ladles plated with precious metal Base metal skimmers, cake-servers, fish-knives, etc. and similar kitchen or tableware and parts, plated with precious metal Base metal forks, w/stainless steel handles cont. Ni or o/10% by wt of Mn, w/overall length n/o 25.9cm, valued under 25cents ea Base metal forks, w/stainless steel handles cont.</w:t>
      </w:r>
    </w:p>
    <w:p>
      <w:pPr>
        <w:pStyle w:val="Normal"/>
      </w:pPr>
      <w:r>
        <w:t>Ni or o/10% by wt of Mn, nesoi Base metal forks, w/stainless steel handles, nesoi, valued under 25 cents each Base metal forks, w/stainless steel handles, nesoi, valued at 25 cents each or more Base metal forks, with rubber or plastic handles Base metal forks, without their handles Base metal table forks and barbecue forks, with wood handles Base metal forks (o/than plated w/prec. metal, or w/handles of stain. steel, wood, rubber or plastics), nesoi Base metal spoons, w/stainless steel handles &amp; valued under 25 cents each Base metal spoons, w/stainless steel handles &amp; valued at 25 cents and over, and base metal ladles w/stainless steel handles Base metal spoons and ladles with handles of base metal (o/than stain.</w:t>
      </w:r>
    </w:p>
    <w:p>
      <w:pPr>
        <w:pStyle w:val="Normal"/>
      </w:pPr>
      <w:r>
        <w:t>steel) or w/nonmetal handles Base metal spoons and ladles, nesoi Base metal skimmers/cake-servers/butter-knives/sugar tongs &amp; similar kitchen or tableware, &amp; base metal parts (incl. pts.</w:t>
      </w:r>
    </w:p>
    <w:p>
      <w:pPr>
        <w:pStyle w:val="Normal"/>
      </w:pPr>
      <w:r>
        <w:t>of forks/spoons) Padlocks, base metal, not of cylinder or pin tumbler construction, not ov 3.8cm wide Padlocks, base metal, not of cylinder or pin tumbler construction, ov 3.8cm but n/o 6.4cm wide Padlocks, base metal, not of cylinder or pin tumbler construction, ov 6.4cm wide Padlocks, base metal, of cylinder or pin tumbler construction, not ov 3.8cm wide Padlocks, base metal, of cylinder or pin tumbler construction, ov 3.8cm but n/o 6.4cm wide Padlocks, base metal, of cylinder or pin tumbler construction, ov 6.4cm wide Base metal locks, of a kind used on motor vehicles Base metal locks, of a kind used for furniture Base metal luggage locks Base metal locks (o/than padlocks, locks for motor vehicles or furniture, luggage locks) Base metal clasps and frames with clasps, incorporating locks Base metal parts of padlocks, other locks, and clasps and frames with clasps incorporating locks Base metal keys for padlocks, other locks, and clasps and frames with clasps incorporating locks Iron or steel, aluminum, or zinc hinges and base metal</w:t>
      </w:r>
    </w:p>
    <w:p>
      <w:pPr>
        <w:pStyle w:val="Normal"/>
      </w:pPr>
      <w:r>
        <w:t>parts thereof, designed for motor vehicles Iron or steel, aluminum, or zinc hinges and base metal parts thereof, not designed for motor vehicles Base metal (o/than iron/steel/aluminum/zinc) hinges and base metal parts thereof Base metal castors and base metal</w:t>
      </w:r>
    </w:p>
    <w:p>
      <w:pPr>
        <w:pStyle w:val="Normal"/>
      </w:pPr>
      <w:r>
        <w:t>parts thereof Iron or steel, aluminum or zinc mountings, fittings and similar articles nesoi, suitable for motor vehicles, and base metal parts thereof Base metal (o/than iron/steel/aluminum/zinc) mountings, fittings &amp; similar articles, suitable for motor vehicles, &amp; base metal pts thereof Base metal door closers (except automatic door closers) suitable for buildings, and base metal parts thereof Iron or steel, aluminum or zinc mountings, fittings &amp; similar articles, nesoi, suitable for buildings, &amp; base metal pts thereof Base metal (o/than iron/steel/aluminum/zinc) mountings, fittings and similar arts, nesoi, suitable for buildings &amp; base metal parts thereof Iron or steel, aluminum, or zinc mountings, fittings &amp; similar articles, suitable for furniture, and base metal parts thereof Base metal (o/than iron/steel/aluminum/zinc) mountings, fittings &amp; similar articles, suitable for furniture, and base metal parts thereof Base metal harness, saddlery or riding-bridle hardware coated or plated w/prec. metal, and base metal parts thereof Base metal harness, saddlery or riding-bridle hardware, not coated or plated w/prec.</w:t>
      </w:r>
    </w:p>
    <w:p>
      <w:pPr>
        <w:pStyle w:val="Normal"/>
      </w:pPr>
      <w:r>
        <w:t>metal, and base metal parts thereof Iron or steel, aluminum, or zinc, mountings, fittings &amp; similar articles nesoi, and base metal parts thereof Base metal (o/than iron/steel/aluminum/zinc) mountings, fittings &amp; similar articles nesoi, and base metal parts thereof Base metal hat-racks, hat pegs, brackets and similar fixtures, and base metal parts thereof Base metal automatic door closers Base metal parts of automatic door closers Base metal armored or reinforced safes/strong-boxes &amp; doors &amp; safe deposit lockers for strong rooms/cash &amp; deed boxes etc., &amp; base metal pts Base metal desk-top filing/card-index cabinets, paper trays, pen trays &amp; similar office/desk equipment nesoi, and base metal parts thereof Base metal fittings for loose-leaf binders or files Base metal staples in strips (e.g., for offices, upholstery, packaging) Base metal paper clips and base metal parts thereof Base metal letter clips, letter corners, indexing tags and similar office articles nesoi, and base metal parts thereof Base metal, nonelectric bells, gongs, and the like, and base metal parts thereof Base metal statuettes and other ornaments plated w/prec.</w:t>
      </w:r>
    </w:p>
    <w:p>
      <w:pPr>
        <w:pStyle w:val="Normal"/>
      </w:pPr>
      <w:r>
        <w:t>metal, and base metal parts thereof Base metal statuettes and other ornaments not plated w/prec.metal, and base metal parts thereof Base metal photograph, picture or similar frames; base metal mirrors;</w:t>
      </w:r>
    </w:p>
    <w:p>
      <w:pPr>
        <w:pStyle w:val="Normal"/>
      </w:pPr>
      <w:r>
        <w:t>base metal parts thereof Iron or steel flexible tubing, with fittings Iron or steel flexible tubing, without fittings Base metal (o/than iron or steel) flexible tubing, with fittings Base metal (o/than iron or steel) flexible tubing, without fittings Base metal hooks, eyes, and eyelets, of a kind used for clothing, footwear, awnings, handbags, travel goods, or other made up articles Iron or steel bifurcated rivets, not brightened, not lathed and not machined Base metal tubular or bifurcated rivets (o/than of iron or steel) Base metal beads and spangles Base metal buckles and buckle clasps, and base metal parts thereof Base metal clasps, frames with clasps not incorporating a lock, and like articles, and base metal parts thereof Base metal crown corks (including crown seals and caps), and base metal parts thereof Base metal stoppers, caps and lids (o/than crown corks), threaded bungs, bung covers, seals, other packing accessories and parts Base metal sign plates, name plates, address plates, numbers, letters and other symbols (o/than of 9405), and base metal parts</w:t>
      </w:r>
    </w:p>
    <w:p>
      <w:pPr>
        <w:pStyle w:val="Normal"/>
      </w:pPr>
      <w:r>
        <w:t>thereof Coated base metal electrodes for electric arc-welding Base metal cored wire for electric arc-welding Coated rod or cored wire lead-tin solders Coated rods and cored wire of base metal (o/than lead-tin</w:t>
      </w:r>
    </w:p>
    <w:p>
      <w:pPr>
        <w:pStyle w:val="Normal"/>
      </w:pPr>
      <w:r>
        <w:t>solders), for soldering, brazing or welding by flame Wire &amp; rods of agglom. base metal powder for metal spray.; metal carbide wire, rods, tubes, electrodes, coated/cored w/flux, for welding etc Nuclear reactors Machinery and apparatus for isotopic separation, and parts thereof Fuel elements (cartridges), non-irradiated and parts thereof Parts of nuclear reactors Watertube boilers with a steam production exceeding 45 tons per hour Watertube boilers with a steam production not exceeding 45 tons per hour Vapor-generating boilers, including hybrid boilers, other than watertube boilers Super-heated water boilers Parts of steam- or other vapor-generating boilers Central heating boilers (other than those of heading 8402) Parts of central heating boilers (other than those of heading 8402) Auxiliary plant for use with boilers of heading 8402 or 8403 Condensers for steam or other vapor power units Parts for auxiliary plant for use with boilers of heading 8402 and 8403 and condensers for steam or vapor power units Producer gas or water gas generators, acetylene gas generators and similar water process gas generators;</w:t>
      </w:r>
    </w:p>
    <w:p>
      <w:pPr>
        <w:pStyle w:val="Normal"/>
      </w:pPr>
      <w:r>
        <w:t>with or without their purifiers Parts for gas generators of subheading 8405.10 Steam turbines for marine propulsion Vapor turbines (other than steam) for marine propulsion Steam turbines other than for marine propulsion, of an output exceeding 40 MW Vapor turbines (excluding steam turbines) other than for marine propulsion, of an output exceeding 40 MW Steam turbines other</w:t>
      </w:r>
    </w:p>
    <w:p>
      <w:pPr>
        <w:pStyle w:val="Normal"/>
      </w:pPr>
      <w:r>
        <w:t>than for marine propulsion, of an output not exceeding 40 MW Vapor turbines (excluding steam turbines) other than for marine propulsion, of an output not exceeding 40 MW Parts of steam turbines, rotors, finished for final assembly Parts of steam turbines, rotors, not further worked than cleaned or machined for removal of fins, etc., or certain other working Parts of steam turbines, blades, rotating or stationary Parts of steam turbines, other Parts of vapor turbines other than steam turbines, rotors, finished for final assembly Parts of vapor turbines other than steam turbines, rotors, not further worked than cleaned or machined for removal of fins, etc., or other Parts of vapor turbines other than steam turbines, blades, rotating or stationary Parts of vapor turbines other than steam turbines, other Spark-ignition reciprocating or rotary internal combustion piston engines for use in aircraft Marine propulsion spark-ignition reciprocating or rotary internal-combustion piston engines for outboard motors Marine propulsion spark-ignition reciprocating or rotary internal-combustion piston engines, nesi Spark-ignition reciprocating piston engines used for propulsion of</w:t>
      </w:r>
    </w:p>
    <w:p>
      <w:pPr>
        <w:pStyle w:val="Normal"/>
      </w:pPr>
      <w:r>
        <w:t>vehicles of chapter 87, of a cylinder capacity not exceeding 50cc Spark-ignition reciprocating piston engines used in tractors suitable for agricultural use, of a cylinder capacity over 50cc but n/o 250cc Spark-ignition reciprocating piston engines used in vehicles of heading</w:t>
      </w:r>
    </w:p>
    <w:p>
      <w:pPr>
        <w:pStyle w:val="Normal"/>
      </w:pPr>
      <w:r>
        <w:t>8701.20, 8702 8704, cylinder capacity</w:t>
      </w:r>
    </w:p>
    <w:p>
      <w:pPr>
        <w:pStyle w:val="Normal"/>
      </w:pPr>
      <w:r>
        <w:t>over 50cc but n/o 250cc Spark-ignition reciprocating piston engines used for vehicles, of chap. 87 nesi, of a cylinder capacity over 50 but not over 250cc Spark-ignition reciprocating piston engines used in tractors for agricultural use, of a cylinder capacity over 250cc but not over 1000cc Spark-ignition reciprocating piston engines, for certain spec. veh. of 8701.20, 8702, 8703 or 8704, cylinder cap. &gt; 250 cc &gt; or = 1, 000 cc Spark-ignition reciprocating piston engines, for other veh. of 8701.20, 8702, 8703 or 8704, cylinder cap. &gt; 250 cc &gt; or = 1, 000 cc, nesi Spark-ignition reciprocating piston engines for vehicles of chap. 87 nesi, of a cylinder capacity over 250cc but not over 1000cc Spark-ignition reciprocating piston engines used in agricultural tractors, cylinder capacity over 1000 cc to 2000 cc Spark-ignition reciprocating piston engines for vehicles of 8701.20 or 8702-8704, cylinder cap. over 1000 cc to 2000 cc, used or rebuilt Spark-ignition reciprocating piston engines for vehicles of 8701.20 or 8702-8704, cylinder cap. over 1000 cc to 2000 cc, new Spark-ignition reciprocating piston engines for other vehicles of chap.</w:t>
      </w:r>
    </w:p>
    <w:p>
      <w:pPr>
        <w:pStyle w:val="Normal"/>
      </w:pPr>
      <w:r>
        <w:t>87, of a cylinder capacity over 1000 cc to 2000 cc Spark-ignition reciprocating piston engines used in agricultural tractors, cylinder capacity over 2000 cc Spark-ignition reciprocating piston engines for vehicles of 8701.20 or 8702-8704, cylinder capacity over 2000 cc, used or rebuilt Spark-ignition reciprocating piston engines for vehicles of 8701.20 or 8702-8704, cylinder capacity over 2000 cc, new Spark-ignition reciprocating piston engines for other vehicles of chap. 87 nesi, of a cylinder capacity exceeding 2000 cc Spark-ignition rotary or reciprocating internal-combustion piston engines nesi, installed in agricultural/horticultural machinery/equipment Spark-ignition rotary or reciprocating internal-combustion piston engines, for machinery or equipment nesi Marine propulsion compression-ignition internal-combustion piston engines Compression-ignition internal-combustion piston engines to be installed in tractors suitable for agricultural use Compression-ignition internal-combustion piston engines to be installed in vehicles of heading 8701.20, 8702, 8703, or 8704 Compression-ignition internal-combustion piston engines used for propulsion of vehicles of chapter 87, nesi Compression-ignition internal-combustion piston engines, to be installed in agricultural or horticultural machinery or equipment, nesi Compression-ignition internal-combustion piston engines, for machinery or equipment, nesi Parts for internal combustion aircraft engines Cast-iron parts used solely or</w:t>
      </w:r>
    </w:p>
    <w:p>
      <w:pPr>
        <w:pStyle w:val="Normal"/>
      </w:pPr>
      <w:r>
        <w:t>principally with spark-ignition internal-combustion piston engines of heading 8407 Aluminum cylinder heads for spark-ignition internal combustion piston engines for vehicles of 8701.20 or 8702-8704 Parts nesi, used solely or principally with spark-ignition internal-combustion piston engines for vehicles of head 8701.20, 8702-8704 Parts nesi, used solely or principally with spark-ignition internal-combustion piston engines for marine propulsion Parts nesi, used solely or principally with spark-ignition internal-combustion piston engines of heading 8407, nesi Cast iron parts not advanced beyond cleaning &amp; machined only for removal of fins, gates, etc.</w:t>
      </w:r>
    </w:p>
    <w:p>
      <w:pPr>
        <w:pStyle w:val="Normal"/>
      </w:pPr>
      <w:r>
        <w:t>or to permit location in machinery Parts nesi, used solely or principally with the engines of heading 8408, for vehicles of heading 8701.20, 8702, 8703, 8704 Parts nesi, used solely or principally with compression-ignition internal-combustion piston engines for marine propulsion Parts nesi, used solely or principally with compression-ignition internal-combustion piston engines of heading 8407 or 8408, nesi Hydraulic turbines and water wheels of a power not exceeding 1,000 kW Hydraulic turbines and water wheels of a power exceeding 1,000 kW but not exceeding 10,000 kW Hydraulic turbines and water wheels of a power exceeding 10,000 kW Parts, including regulators, of hydraulic turbines and water wheels Aircraft turbojets of a thrust not exceeding 25 kN Turbojets of a thrust not exceeding 25 kN, other than aircraft Aircraft turbojets</w:t>
      </w:r>
    </w:p>
    <w:p>
      <w:pPr>
        <w:pStyle w:val="Normal"/>
      </w:pPr>
      <w:r>
        <w:t>of a thrust exceeding 25 kN Turbojets of a thrust exceeding 25 kN, other than aircraft Aircraft turbopropellers of a power not exceeding 1,100 kW Turbopropellers of a power not exceeding 1,100 kW, other than aircraft Aircraft turbopropellers of a power exceeding 1,100 kW Turbopropellers of a power exceeding 1,100 kW, other than aircraft Aircraft gas turbines other than turbojets or turbopropellers, of a power not exceeding 5,000 kW Gas turbines other than turbojets or turbopropellers, of a power not exceeding 5,000 kW, other than aircraft Aircraft gas turbines other than turbojets or turbopropellers, of a power exceeding 5,000 kW Gas turbines, other than turbojets or turbopropellers of a power exceeding 5,000 kW, other than aircraft Cast-iron parts of turbojets or turbopropellers machined only for removal of fins, gates, etc.</w:t>
      </w:r>
    </w:p>
    <w:p>
      <w:pPr>
        <w:pStyle w:val="Normal"/>
      </w:pPr>
      <w:r>
        <w:t>or to permit location in machinery Parts of turbojets or turbopropellers other than those of subheading 8411.91.10 Cast-iron parts of gas turbines nesi, not advanced beyond cleaning, and machined for removal of fins, gates, sprues and risers Parts of gas turbines nesi, other than those of subheading 8411.99.10 Reaction engines other than turbojets Hydraulic power engines and motors, linear acting (cylinders) Hydrojet engines for marine propulsion Hydraulic power engines and motors, nesi Pneumatic power engines and motors, linear acting (cylinders) Pneumatic power engines and motors, other than linear acting Spring-operated and weight-operated motors Engines and motors, nesi (excluding motors of heading 8501) Parts of hydrojet engines for marine propulsion Parts for engines of heading 8412 other than hydrojet engines for marine propulsion Pumps fitted or designed to be fitted with a measuring device, used for dispensing fuel or lubricants, of the type used in filling-stations Pumps for liquids fitted or designed to be fitted with a measuring device, nesi Hand pumps other than those of subheading 8413.11 or</w:t>
      </w:r>
    </w:p>
    <w:p>
      <w:pPr>
        <w:pStyle w:val="Normal"/>
      </w:pPr>
      <w:r>
        <w:t>8413.19, not fitted with a measuring device Fuel-injection pumps for compression-ignition engines, not fitted with a measuring device Fuel, lubricating or cooling medium pumps for internal-combustion piston engines, not fitted with a measuring device, nesi Concrete pumps for liquids, not fitted with a measuring device Reciprocating positive displacement pumps for liquids,</w:t>
      </w:r>
    </w:p>
    <w:p>
      <w:pPr>
        <w:pStyle w:val="Normal"/>
      </w:pPr>
      <w:r>
        <w:t>not fitted with a measuring device, nesi Rotary positive displacement pumps for liquids, not fitted with a measuring device, nesi Stock pumps imported for use with machines for making cellulosic pulp, paper or paperboard, not fitted with a measuring device Centrifugal pumps for liquids, not fitted with a measuring device, nesi Pumps for liquids, not fitted with a measuring device, nesi Liquid elevators Parts of fuel-injection pumps for compression-ignition engines Parts of stock pumps imported for use with machines for making cellulosic pulp, paper or paperboard Parts of pumps, nesi Parts of liquid elevators Vacuum pumps Hand-operated or foot-operated air pumps Compressors of a kind used in refrigerating equipment (including air conditioning) not exceeding 1/4 horsepower Compressors of a kind used in refrigerating equipment (incl.</w:t>
      </w:r>
    </w:p>
    <w:p>
      <w:pPr>
        <w:pStyle w:val="Normal"/>
      </w:pPr>
      <w:r>
        <w:t>air conditioning) exceeding 1/4 horsepower Air compressors mounted on a wheeled chassis for towing Ceiling fans for permanent installation, with a self-contained electric motor of an output not exceeding 125 W Table, floor, wall, window or roof fans, with a self-contained electric motor of an output not exceeding 125 W Blowers for pipe organs Fans used for cooling microprocessors, telecommunications equipment, or computers Turbocharger and supercharger fans Other fans, nesi Ventilating or recycling hoods incorporating a fan, having a maximum horizontal side not exceeding 120 cm Turbocharger and supercharger air compressors Air compressors, nesoi Gas compressors, nesi Air or gas pumps, compressors and fans, nesi Parts of fans (including blowers) and ventilating or recycling hoods Stators and rotors of goods of subheading</w:t>
      </w:r>
    </w:p>
    <w:p>
      <w:pPr>
        <w:pStyle w:val="Normal"/>
      </w:pPr>
      <w:r>
        <w:t>8414.30 Parts of air or gas compressors, nesoi Parts of air or vacuum pumps and ventilating or recycling hoods Window or wall type air conditioning machines, self-contained Window or wall type air conditioning machines, “split-system”, incorporating a refrigerating unit &amp; valve for reversal of cooling/heat cycle Window or wall type air conditioning machines, “split-system”, nesoi Air conditioning machines of a kind used for persons, in motor vehicles Air conditioning machines incorporating a refrigerating unit and valve for reversal of cooling/heat cycle, nesoi Air conditioning machines incorporating a refrigerating unit, nesoi Air conditioning machines not</w:t>
      </w:r>
    </w:p>
    <w:p>
      <w:pPr>
        <w:pStyle w:val="Normal"/>
      </w:pPr>
      <w:r>
        <w:t>incorporating a refrigerating unit Chassis, chassis bases and other outer cabinets for air conditioning machines, Parts for air conditioning machines, nesi Furnace burners for liquid fuel Furnace burners for pulverized solid fuel or for gas, including combination burners Mechanical stokers, including their mechanical grates, mechanical ash dischargers and similar appliances Parts for furnace burners, mechanical stokers, mechanical grates, mechanical ash dischargers and similar appliances Furnaces and ovens for the roasting, melting or other heat treatment of ores, pyrites or of metals Bakery ovens, including biscuit ovens Industrial or laboratory furnaces and ovens nesi, including incinerators, nonelectric Parts for industrial or laboratory furnaces and ovens, including incinerators, nonelectric Combined refrigerator-freezers, fitted with separate external doors, electric or other Refrigerators, household compression-type, electric or other, other than those of subheading 8418.10 Refrigerators, household absorption-type, electrical, other than those of subheading 8418.10 Refrigerators, household type, electric or other, other than those of subheading 8418.10, nesi Freezers of the chest type, not exceeding 800 liters capacity, electric or other Freezers of the upright type, not exceeding 900 liters capacity, electric or other Refrigerating or freezing display counters, cabinets, showcases and similar refrigerating or freezing furniture Heat pumps, other than the</w:t>
      </w:r>
    </w:p>
    <w:p>
      <w:pPr>
        <w:pStyle w:val="Normal"/>
      </w:pPr>
      <w:r>
        <w:t>air-conditioning machines of heading 8415 Refrigerating or freezing equipment nesi Furniture designed to receive refrigerating or freezing equipment Certain door assemblies for refrigerators, freezers and other refrigerating or freezing equipment Parts for refrigerators, freezers and other refrigerating or freezing equipment, electric or other, nesi; parts for heat pumps, nesi Instantaneous gas water heaters, nonelectric Storage water heaters, nonelectric Medical, surgical or laboratory sterilizers Dryers for agricultural products, not used for domestic purposes Dryers for wood Dryers for paper pulp, paper or paperboard Dryers, other than of a kind for domestic purposes, nesoi Distilling or rectifying plant, not used for domestic purposes Brazed aluminum plate-fin heat exchangers Heat exchange units, nesoi Machinery for liquefying air or gas containing brazed aluminum plate-fin heat exchangers Machinery for liquefying air or gas, nesoi Cooking stoves, ranges &amp; ovens, other than microwave, for making hot drinks or for cooking or heating food, not used for domestic purposes Machinery and equipment nesi, for making hot drinks or for cooking or heating food, not used for domestic purposes Machinery and equipment for the treatment of materials (by a process which changes temperatures), for making paper pulp, paper or paperboard Industrial machinery, plant or equip. for the treat.</w:t>
      </w:r>
    </w:p>
    <w:p>
      <w:pPr>
        <w:pStyle w:val="Normal"/>
      </w:pPr>
      <w:r>
        <w:t>of mat., involving a change in temp., for molten-salt-cooled acrylic acid reactors Industrial machinery, plant or equipment for the treatment of materials, by process involving a change in temperature, nesoi Parts of instantaneous or storage water heaters Parts of machinery and plant, for making paper pulp, paper or paperbroad Parts of heat exchange units Parts of molten-salt-cooled acrylic acid reactors, nesi;</w:t>
      </w:r>
    </w:p>
    <w:p>
      <w:pPr>
        <w:pStyle w:val="Normal"/>
      </w:pPr>
      <w:r>
        <w:t>parts of certain medical, surgical or laboratory sterilizers, nesi Parts of electromechanical tools for work in the hand, w/self-contained electric motor, for treatment of materials by change in temperature Parts of machinery, plant or laboratory equipment for the treatment of materials by a process involving a change of temperature, nesoi Textile calendering or rolling machines Calendering or similar rolling machines for making paper pulp, paper or paperboard Calendering or other rolling machines, other than for metals or glass, nesi Cylinders for textile calendering or rolling machines Cylinders for paper pulp, paper or paperboard calendering or rolling machines Cylinders for calendering and similar rolling machines, nesi Parts of calendering or rolling machines for processing textiles Parts of calendering or rolling machines for making paper pulp, paper or paperboard Parts of calendering or other rolling machines, other than for metals or glass, nesi Cream separators Centrifugal clothes dryers Centrifuges, other than cream separators or clothes dryers Machinery</w:t>
      </w:r>
    </w:p>
    <w:p>
      <w:pPr>
        <w:pStyle w:val="Normal"/>
      </w:pPr>
      <w:r>
        <w:t>and apparatus for filtering or purifying water Machinery and apparatus for filtering or purifying beverages other than water Oil or fuel filters for internal combustion engines Filtering or purifying machinery and apparatus for liquids, nesi Intake air filters for internal combustion engines Catalytic converters Filtering or purifying machinery and apparatus for gases, other than intake air filters for internal combustion engines or catalytic conv.</w:t>
      </w:r>
    </w:p>
    <w:p>
      <w:pPr>
        <w:pStyle w:val="Normal"/>
      </w:pPr>
      <w:r>
        <w:t>Drying chambers for the clothes-dryers of subheading 8421.12 and other parts of clothes-dryers incorporating drying chambers Furniture designed to receive the clothes-dryers of subheading 8421.12 Parts of centrifuges, including centrifugal dryers, nesi Parts for filtering or purifying machinery or apparatus for liquids or gases Dishwashing machines of the household type Dishwashing machines other than of the household type Machinery for cleaning or drying bottles or other containers Can-sealing machines Machinery for filling,closing,sealing, capsuling or labeling bottles,cans, boxes or other containers;machinery for aerating beverages; nesoi Machinery for packing or wrapping pipe tobacco, candy and cigarette packages; combination candy cutting and wrapping machines Packing or wrapping machinery, nesoi Water containment chambers for the household dishwashing machines and other parts of the same incorporating water containment chambers Door assemblies for the dishwashing machines of subheading 8422.11 Parts of dishwashing machines,</w:t>
      </w:r>
    </w:p>
    <w:p>
      <w:pPr>
        <w:pStyle w:val="Normal"/>
      </w:pPr>
      <w:r>
        <w:t>nesi Parts of can-sealing machines Parts of machines for packing tobacco, wrapping candy, cigarette packages and of combination candy cutting and wrapping machines Parts of packing or wrapping machinery, nesoi Personal weighing machines, including baby scales;</w:t>
      </w:r>
    </w:p>
    <w:p>
      <w:pPr>
        <w:pStyle w:val="Normal"/>
      </w:pPr>
      <w:r>
        <w:t>household scales Scales for continuous weighing of goods on conveyors using electronic means for gauging weights Other scales for continuous weighing of goods on conveyors Constant weight scales and scales for discharging a predetermined weight of material into a bag or container, including hopper scales Weighing machinery having a maximum weighing capacity not exceeding 30 kg Weighing machinery having a maximum weighing capacity exceeding 30 kg but not exceeding 5,000 kg Weighing machinery with maximum capacity exceeding 5,000 kg, using electronic means for gauging Weighing machinery with maximum capacity exceeding 5,000 kg, not using electronic means for gauging nesi Parts of weighing machinery using electronic means for gauging, except parts for weighing motor vehicles Other parts of weighing machinery, including weights Fire extinguishers, whether or not charged Simple piston pump sprays and powder bellows Spray guns and similar appliances other than simple piston pump sprays and powder bellows Sand blasting machines Steam blasting machines and similar jet projecting machines, other than sand blasting machines; nesi Portable sprayers excl self-contained sprayers having a capacity &gt;=20 liters) Portable sprayers</w:t>
      </w:r>
    </w:p>
    <w:p>
      <w:pPr>
        <w:pStyle w:val="Normal"/>
      </w:pPr>
      <w:r>
        <w:t>self-contained having a capacity &gt;=20 liters Sprayers, not portable, nesoi Agricultural or horticultural projecting or dispersing equipment including irrigation equipment Mechanical appliances for projecting, dispersing or spraying liquids or powders, used for making printed circuits or printed circuit assemblies Other mechanical appliances for projecting, dispersing or spraying liquids or powders, nesi Parts of fire extinguishers Parts of simple piston pump sprays and powder bellows Parts of sand blasting machines Parts of mechanical appliances for projecting, dispersing or spraying liquids or powders, fire extinguishers and similar machines, nesi Pulley tackle and hoists other than skip hoists or hoists used for raising vehicles, powered by electric motor Pulley tackle and hoists other than skip hoists or hoists used for raising vehicles, not powered by electric motor Winches nesi, and capstans, powered by electric motor Winches nesi, and capstans, not powered by electric motor Built-in jacking systems of a type used in garages Hydraulic jacks and hoists, nesi Jacks and hoists of a kind used for raising vehicles, other than hydraulic, nesi Overhead</w:t>
      </w:r>
    </w:p>
    <w:p>
      <w:pPr>
        <w:pStyle w:val="Normal"/>
      </w:pPr>
      <w:r>
        <w:t>traveling cranes on fixed support Mobile lifting frames on tires and straddle carriers Transporter cranes, gantry cranes and bridge cranes Tower cranes Portal or pedestal jib cranes Derricks, cranes and other lifting machinery nesi, self-propelled, on tires Derricks, cranes and other lifting machinery nesi, self-propelled, not</w:t>
      </w:r>
    </w:p>
    <w:p>
      <w:pPr>
        <w:pStyle w:val="Normal"/>
      </w:pPr>
      <w:r>
        <w:t>on tires Derricks, cranes and other lifting machinery nesi, designed for mounting on road vehicles Derricks, cranes and other lifting machinery nesi Self-propelled works trucks powered by an electric motor, rider type forklift trucks Self-propelled works trucks powered by an electric motor, fitted with lifting and handling equipment, nesi Self-propelled works trucks not powered by an electric motor, rider type forklift trucks Self-propelled works trucks not powered by an electric motor, fitted with lifting and handling equipment, nesi Trucks, fitted with lifting or handling equipment, nesi Passenger or freight elevators other than continuous action; skip hoists Pneumatic elevators and conveyors Continuous-action elevators and conveyors, for goods or materials, specially designed for underground use Bucket type continuous-action elevators and conveyors, for goods or materials Belt type continuous-action elevators and conveyors, for goods or materials Continuous-action elevators and conveyors, for goods or materials, nesi Escalators and moving walkways Teleferics, chair lifts, ski draglines; traction mechanisms for funiculars Machinery for lifting, handling, loading or unloading, nesi Self-propelled bulldozers and angledozers, for track laying Self-propelled bulldozers and angledozers other than track laying Self-propelled graders and levelers Self-propelled scrapers Self-propelled tamping machines and road rollers Self-propelled front-end shovel loaders, wheel-type</w:t>
      </w:r>
    </w:p>
    <w:p>
      <w:pPr>
        <w:pStyle w:val="Normal"/>
      </w:pPr>
      <w:r>
        <w:t>Self-propelled front-end shovel loaders, other than wheel-type Self-propelled backhoes, shovels, clamshells and draglines with a 360 degree revolving superstructure Self-propelled machinery with a 360 degree revolving superstructure, other than backhoes, shovels, clamshells and draglines Self-propelled backhoes, shovels, clamshells and draglines not with a 360 degree revolving superstructure Self-propelled machinery not with a 360 degree revolving superstructure, other than backhoes, shovels, clamshells and draglines Pile-drivers and pile-extractors Snowplows and snowblowers Self-propelled coal or rock cutters and tunneling machinery Coal or rock cutters and tunneling machinery, not self-propelled Self-propelled boring or sinking machinery Offshore oil and natural gas drilling and production platforms Boring or sinking machinery, not self-propelled, nesi Self-propelled peat excavators Self-propelled machinery for working earth, minerals or ores, nesi Tamping or compacting machinery, not self-propelled Machinery for working earth, minerals or ores, not self-propelled, nesoi Parts suitable for use solely or principally with the machinery of heading 8425 Parts suitable for use solely or principally with the machinery of heading 8427 Parts suitable for use solely or principally with passenger or freight elevators other than continuous action, skip hoists or escalators Parts suitable for use solely or principally with the machinery of heading 8428, nesi Buckets, shovels, grabs</w:t>
      </w:r>
    </w:p>
    <w:p>
      <w:pPr>
        <w:pStyle w:val="Normal"/>
      </w:pPr>
      <w:r>
        <w:t>and grips suitable for use solely or principally with the machinery of headings 8426, 8429, or 8430 Bulldozer or angledozer blades suitable for use solely or principally with the machinery of heading 8426, 8429 or 8430 Parts for offshore oil &amp; natural gas, drilling and production platforms Parts for boring or sinking machinery of 8430.41 or 8430.49, nesi Parts suitable for use solely or principally with the machinery of heading 8426, nesi Parts suitable for use solely or principally with the machinery of heading 8429 or 8430, nesi Plows for soil preparation or cultivation Disc harrows for soil preparation or cultivation Harrows (other than disc), scarifiers, cultivators, weeders and hoes for soil preparation or cultivation No-till direct seeders, planters and transplanters Seeders, planters and transplanters, nesoi Manure spreaders Fertilizer distributors Agricultural, horticultural or forestry machinery for soil preparation or cultivation, nesi; lawn or sports ground rollers Parts of agricultural, horticultural or forestry machinery for soil preparation or cultivation;</w:t>
      </w:r>
    </w:p>
    <w:p>
      <w:pPr>
        <w:pStyle w:val="Normal"/>
      </w:pPr>
      <w:r>
        <w:t>parts of lawn or sports ground rollers Mowers for lawns, parks or sports grounds, powered, with the cutting device rotating in a horizontal plane Mowers for lawns, parks or sports grounds, nesi Mowers nesi, including cutter bars for tractor mounting Haymaking machinery other than mowers Straw or fodder balers, including pick-up balers Combine harvester-threshers Threshing machinery other than combine</w:t>
      </w:r>
    </w:p>
    <w:p>
      <w:pPr>
        <w:pStyle w:val="Normal"/>
      </w:pPr>
      <w:r>
        <w:t>harvester-threshers Root or tuber harvesting machines Harvesting machinery or threshing machinery, nesi Machines for cleaning, sorting or grading eggs, fruit or other agricultural produce Parts of mowers for lawns, parks or sports grounds Parts for machinery of heading 8433, nesi Milking machines Dairy machinery other than milking machines Parts for milking machines and dairy machinery Presses, crushers and similar machinery used in the manufacture of wine, cider, fruit juices or similar beverages Parts of presses, crushers and similar machinery used in the manufacture of wine, cider, fruit juices or similar beverages Machinery for preparing animal feeds Poultry incubators and brooders Poultry-keeping machinery Agricultural, horticultural, forestry or bee-keeping machinery, nesi Parts of poultry-keeping machinery or poultry incubators and brooders Parts for agricultural, horticultural, forestry or bee-keeping machinery, nesi Machines for cleaning, sorting or grading seed, grain or dried leguminous vegetables Machinery used in the milling industry or for the working of cereals or dried leguminous vegetables, other than farm type machinery Parts for machinery used in the milling industry or for</w:t>
      </w:r>
    </w:p>
    <w:p>
      <w:pPr>
        <w:pStyle w:val="Normal"/>
      </w:pPr>
      <w:r>
        <w:t>cleaning,sorting,grading or working of cereals or dried leguminous vegetables Bakery machinery and machinery for the manufacture of macaroni, spaghetti or similar products, nesi Machinery for the manufacture of confectionery, cocoa or chocolate, nesi Machinery for sugar manufacture,</w:t>
      </w:r>
    </w:p>
    <w:p>
      <w:pPr>
        <w:pStyle w:val="Normal"/>
      </w:pPr>
      <w:r>
        <w:t>nesi Brewery machinery, nesi Machinery for the preparation of meat or poultry, nesi Machinery for the preparation of fruits, nuts or vegetables, nesi Machinery for the industrial preparation or manufacture of food or drink, nesi Parts of machinery for sugar manufacture, nesi Parts of machinery for the industrial preparation or manufacture of food or drink, other than sugar manufacturing, nesi Machinery for making pulp of fibrous cellulosic material Machinery for making paper or paperboard Machinery for finishing paper or paperboard Bed plates, roll bars and other stock-treating parts of machinery for making pulp of fibrous cellulosic materials Parts of machinery for making pulp of fibrous cellulosic materials, nesi Parts of machinery for making paper or paperboard Parts of machinery for finishing paper or paperboard Bookbinding machinery, including book-sewing machines Parts for bookbinding machinery, including book-sewing machines Cutting machines of all kinds used for making up paper pulp, paper or paperboard Machines for making bags, sacks or envelopes of paper pulp, paper or paperboard Machines for making cartons, boxes, cases, tubes,</w:t>
      </w:r>
    </w:p>
    <w:p>
      <w:pPr>
        <w:pStyle w:val="Normal"/>
      </w:pPr>
      <w:r>
        <w:t>drums or similar containers, other than by molding, of paper pulp, paper or paperboard Machines for molding articles in paper pulp, paper or paperboard Machinery for making up paper pulp, paper or paperboard, nesi Parts for machinery used in making up paper pulp, paper or paperboard, including cutting machines Machinery, apparatus and</w:t>
      </w:r>
    </w:p>
    <w:p>
      <w:pPr>
        <w:pStyle w:val="Normal"/>
      </w:pPr>
      <w:r>
        <w:t>equipment of heading 8442 Parts of the machinery, apparatus or equipment of subheadings 8442.10, 8442.20 and 8442.30 Printing plates Printing type, blocks, cylinders and other printing components; blocks, cylinders and lithographic stones, prepared for printing purposes Reel-fed offset printing machinery, double-width newspaper printing presses Reel-fed offset printing machinery, other than double-width newspaper printing presses Sheet-fed offset printing machinery, office type (sheet size not exceeding 22 X 36 cm) Offset printing machinery, nesi Letterpress printing machinery, excluding flexographic printing, reel-fed Letterpress printing machinery, excluding flexographic printing, other than reel-fed Flexographic printing machinery Gravure printing machinery Textile printing machinery Printing machinery, nesoi Multifunction units (machines which perform two or more of the functions of printing, copying or facsimile transmission, capable of connecti Printer units, capable of connecting to an automatic data processing machine or to a network Single function units other than printer units (machines which perform only one of the functions of printing, copying or facsimile transmiss Electrostatic photocopying apparatus, operating by reproducing the original image directly onto the copy (direct process) Electrostatic photocopying apparatus, operating by reproducing the original image via an intermediate onto the copy (indirect process) Photocopying apparatus, other than</w:t>
      </w:r>
    </w:p>
    <w:p>
      <w:pPr>
        <w:pStyle w:val="Normal"/>
      </w:pPr>
      <w:r>
        <w:t>electrostatic, incorporating an optical system Photocopying apparatus, other than electrostatic, of the contact type Thermocopying apparatus Copying machines, nesoi Other printers, copying machines or facsimile machines, nesoi Machines for uses ancillary to printing Parts of textile printing machinery Parts for printing machinery other than textile printing machinery Accessory &amp; auxiliary machines intended for attachment to an electrostatic photocopier &amp; which do not operate independent of such copier Parts of printer units of subheading 8443.32.10 specified in additional U.S. note 2 to this chapter Parts and accessories of printers, nesoi Parts of facsimile machines specified in additional U.S. note 3 to this chapter Parts and accessories of facsimile machines, nesoi Parts of photocopying apparatus of subheading 8443.39.20 specified in additional U.S.</w:t>
      </w:r>
    </w:p>
    <w:p>
      <w:pPr>
        <w:pStyle w:val="Normal"/>
      </w:pPr>
      <w:r>
        <w:t>note 4 to this chapter Parts and acessories of copying machines; nesoi Parts and acessories of other printing, copying or facsimile machines; nesoi Machines for extruding, drawing, texturing or cutting man-made textile materials Carding machines for preparing textile fibers Combing machines for preparing textile fibers Drawing or roving machines for preparing textile fibers Machines for preparing textile fibers, nesi Textile spinning machines Textile doubling or twisting machines Textile winding (including weft-winding) or reeling machines Machinery for producing textile yarns nesi;</w:t>
      </w:r>
    </w:p>
    <w:p>
      <w:pPr>
        <w:pStyle w:val="Normal"/>
      </w:pPr>
      <w:r>
        <w:t>machines for preparing textile yarns for use on machines of heading 8446 or 8447 Weaving machines (looms) for weaving fabrics of a width not exceeding 30 cm Shuttle type power looms for weaving fabrics of a width exceeding 4.9 m Shuttle type power looms for weaving fabrics of a width exceeding 30 cm, but not exceeding 4.9 m Weaving machines for weaving fabrics of a width exceeding 30 cm, shuttle type, nesi Shuttleless type power looms, for weaving fabrics of a width exceeding 4.9 m, nesi Shuttleless type weaving machines (looms), for weaving fabrics of a width exceeding 30 cm, nesi Circular knitting machines with cylinder diameter not exceeding 165 mm, for knitting hosiery Circular knitting machines with cylinder diameter not exceeding 165 mm, other than for knitting hosiery Circular knitting machines with cylinder diameter exceeding 165 mm, for knitting hosiery Circular knitting machines with</w:t>
      </w:r>
    </w:p>
    <w:p>
      <w:pPr>
        <w:pStyle w:val="Normal"/>
      </w:pPr>
      <w:r>
        <w:t>cylinder diameter exceeding 165 mm, other than for knitting hosiery V-bed flat knitting machines, power driven, over 50.8 mm in width V-bed flat knitting machines, nesi Warp knitting machines Flat knitting machines, other than V-bed or warp; stitch-bonding machines Braiding and lace-braiding machines Embroidery machines Knitting machines other than circular or flat knitting; machines for making gimped yarn, tulle, trimmings or net;</w:t>
      </w:r>
    </w:p>
    <w:p>
      <w:pPr>
        <w:pStyle w:val="Normal"/>
      </w:pPr>
      <w:r>
        <w:t>machines for tufting Dobbies and Jacquards, card reducing, copying, punching or assembling machines for use with machines of heading 8444, 8445, 8446 or 8447 Auxiliary machinery for machines of heading 8444, 8445, 8446 or 8447, nesi Parts and accessories of machines for extruding or drawing man-made textile filaments Parts and accessories of machines of heading 8444 or of their auxiliary machinery, nesi Card clothing as parts and accessories of machines of heading 8445 or of their auxiliary machinery Parts and accessories of machines for preparing textile fibers, other than card clothing Spindles, spindle flyers, spinning rings and ring travellers of machines of heading 8445 or of their auxiliary machines Parts of spinning, doubling or twisting machines of heading 8445 or of their auxiliary machinery Parts of winding or reeling machines of heading 8445 or of their auxiliary machinery Parts and accessories of machines of heading 8445 or their auxiliary machinery, nesi Reeds for looms, healds and heald-frames of weaving machines (looms) or their</w:t>
      </w:r>
    </w:p>
    <w:p>
      <w:pPr>
        <w:pStyle w:val="Normal"/>
      </w:pPr>
      <w:r>
        <w:t>auxiliary machinery Shuttles for weaving machines (looms) Parts and accessories of weaving machines (looms) or of their auxiliary machinery, other than shuttles, reeds, healds and heald-frames Latch needles for knitting machines Spring-beard needles for knitting machines Needles for knitting machines other than latch needles or spring-beard needles Sinkers, needles and other articles used to form stitches, nesi, for machines of heading Parts of knitting machines of heading 8447 or of their auxiliary machinery, nesi Accessories of machines of heading 8447 or of their auxiliary machinery, nesi Finishing machinery for felt or nonwovens and parts thereof Machinery for making felt hats; blocks for making hats;</w:t>
      </w:r>
    </w:p>
    <w:p>
      <w:pPr>
        <w:pStyle w:val="Normal"/>
      </w:pPr>
      <w:r>
        <w:t>parts thereof Household- or laundry-type washing machines, each of a dry linen capacity not exceeding 10 kg, fully automatic Household- or laundry-type washing machines, each of a dry linen capacity not exceeding 10 kg, with built-in centrifugal driers, nesi Household- or laundry-type washing machines, each of a dry linen capacity not exceeding 10 kg, nesi Household- or laundry-type washing machines, each of a dry linen capacity exceeding 10 kg Tub and tub assemblies for household- or laundry-type washing machines Furniture designed to receive household- or laundry-type washing machines Parts for household- or laundry-type washing machines, nesi Dry-cleaning machines Drying machines, each of a dry linen capacity not exceeding 10 kg Drying machines for yarns, fabrics or made</w:t>
      </w:r>
    </w:p>
    <w:p>
      <w:pPr>
        <w:pStyle w:val="Normal"/>
      </w:pPr>
      <w:r>
        <w:t>up textile articles, each of a dry linen capacity exceeding 10 kg Ironing machines and presses (including fusing presses) for textile fabrics or made up textile articles Washing, bleaching or dyeing machines for textile yarns, fabrics or made up textile articles Machines for reeling, unreeling, folding, cutting or pinking textile fabrics Machinery for the handling of textile yarns, fabrics or made up textile articles, nesi Drying chambers for the drying machines of subheading 8451.21 or 8451.29, and other parts of drying machines incorporating drying chambers Furniture designed to receive the drying machines of subheading 8451.21 or</w:t>
      </w:r>
    </w:p>
    <w:p>
      <w:pPr>
        <w:pStyle w:val="Normal"/>
      </w:pPr>
      <w:r>
        <w:t>8451.29 Parts of machines for the handling of textile yarns, fabrics or made up textile articles, nesi Sewing machines of the household type Sewing machines specially designed to join footwear soles to uppers, automatic Sewing machines, automatic, nesi Sewing machines, other than automatic, specially designed to join footwear soles to uppers Sewing machines, other than automatic, nesi Sewing machine needles Furniture, bases and covers for sewing machines, and parts thereof Parts of sewing machines, nesi Machinery for preparing, tanning or working hides, skins or leather Machinery for making or repairing footwear Machinery, nesi, for making or repairing articles of hides, skins or leather Parts of machinery for making or repairing footwear Parts of machinery for preparing, tanning or working hides, skins or leather or making or repairing articles</w:t>
      </w:r>
    </w:p>
    <w:p>
      <w:pPr>
        <w:pStyle w:val="Normal"/>
      </w:pPr>
      <w:r>
        <w:t>of same, nesi Converters of a kind used in metallurgy or in metal foundries Ingot molds and ladles, of a kind used in metallurgy or in metal foundries Casting machines, of a kind used in metallurgy or in metal foundries Parts of converters, ladles, ingot molds and casting machines, of a kind used in metallurgy or in metal foundries Metal-rolling tube mills Metal-rolling mills, other than tube mills, hot or combination hot and cold Metal-rolling mills, other than tube mills, cold Rolls for metal-rolling mills Parts for metal-rolling mills, other than rolls, in the form of castings or weldments, individually weighing less than 90 tons Parts for metal-rolling mills, other than rolls, nesi Machine tools operated by laser, for working metal Machine tools operated by laser, of a kind used solely or principally for manufacture of printed circuits Machine tools operated by laser, nesoi Machine tools operated by light or photon beam processes, for working metal Machine tools operated by light or photon beam processes, of a kind used solely</w:t>
      </w:r>
    </w:p>
    <w:p>
      <w:pPr>
        <w:pStyle w:val="Normal"/>
      </w:pPr>
      <w:r>
        <w:t>or principally for the manufacture of printed circuits Machine tools operated by light or photon beam processes, nesoi Machine tools operated by ultrasonic processes, for working metal Machine tools operated by ultrasonic processes, other than for working metal Machine tools operated by electro-discharge processes, for working metal Machine tools operated by electro-discharge processes, other than for working metal Machine tools operated by plasma</w:t>
      </w:r>
    </w:p>
    <w:p>
      <w:pPr>
        <w:pStyle w:val="Normal"/>
      </w:pPr>
      <w:r>
        <w:t>arc process, for working metal Machine tools operated by plasma arc process, other than for working metal Water-jet cutting machines Machine tools operated by electro-chemical or ionic-beam processes, for working metal Machine tools operated by electro-chemical or ionic-beam processes, other than for working metal Machining centers for working metal Unit construction machines (single station), for working metal Multistation transfer machines for working metal Horizontal lathes (including turning centers) for removing metal, numerically controlled Horizontal lathes (including turning centers) for removing metal, other than numerically controlled Vertical turret lathes (including turning centers) for removing metal, numerically controlled Lathes (including turning centers), other than horizontal or vertical turret lathes, for removing metal, numerically controlled Vertical turret lathes (including turning centers) for removing metal, other than numerically controlled Lathes (including turning centers), other than horizontal or vertical turret lathes, for removing metal, other than numerically controlled Way-type unit head machines for drilling, boring, milling, threading or tapping by removing metal, other than lathes of heading 8458 Drilling machines, numerically controlled, nesi Drilling machines, other than numerically controlled, nesi Boring-milling machines, numerically controlled, nesi Boring-milling machines, other than numerically controlled, nesi Boring machines,</w:t>
      </w:r>
    </w:p>
    <w:p>
      <w:pPr>
        <w:pStyle w:val="Normal"/>
      </w:pPr>
      <w:r>
        <w:t>numerically controlled, nesoi Boring machines, not numerically controlled, nesoi Milling machines, knee type, numerically controlled, nesi Milling machines, knee type, other than numerically controlled, nesi Milling machines, other than knee type, numerically controlled, nesi Milling machines, other than knee type, other than numerically controlled, nesi Other threading or tapping machines, numerically controlled Other threading or tapping machines nesi Flat-surface grinding machines, numerically controlled Flat-surface grinding machines, not numerically controlled Centerless grinding machines, numerically controlled Other cylindrical grinding machines, numerically controlled Other grinding machines, numerically controlled Other grinding machines, other than numerically controlled Sharpening (tool or cutter grinding) machines for working metal or cermets, numerically controlled Sharpening (tool or cutter grinding) machines for working metal or cermets, other than numerically controlled Honing or lapping machines for working metal or cermets, numerically controlled Honing or lapping machines for working metal or cermets, other than numerically controlled Other machine tools for deburring, polishing or otherwise finishing metal or cermets, nesoi, numerically controlled Other machine tools for deburring, polishing or otherwise finishing metal or cermets, nesoi, other than numerically controlled Shaping or slotting machines for working by removing metal or cermets, numerically</w:t>
      </w:r>
    </w:p>
    <w:p>
      <w:pPr>
        <w:pStyle w:val="Normal"/>
      </w:pPr>
      <w:r>
        <w:t>controlled Shaping or slotting machines for working by removing metal or cermets, other than numerically controlled Broaching machines for working by removing metal or cermets, numerically controlled Broaching machines for working by removing metal or cermets, other than numerically controlled Gear cutting machines for working by removing metal or cermets Gear grinding or finishing machines for working by removing metal or cermets Sawing or cutting-off machines for working by removing metal or cermets, numerically controlled Sawing or cutting-off machines for working by removing metal or cermets, other than numerically controlled Machine-tools for working by removing metal or cermets, nesoi, numerically controlled Machine-tools for working by removing metal or cermets, nesoi, other than numerically controlled Forging or die-stamping machines (including presses) and hammers Bending, folding, straightening or flattening machines (including presses) numerically controlled for working metal or metal carbides Bending, folding, straightening or flattening machines (including presses) not numerically controlled for working metal or metal carbides Shearing machines (incl. presses), excl. combined punching &amp; shearing machines, numerically controlled for working metal or metal carbides Shearing machines (incl. presses), excl. combined punch &amp; shearing machines, nt numerically controlled for working metal or metal carbides Punch/notch machines (incl. presses), incl.</w:t>
      </w:r>
    </w:p>
    <w:p>
      <w:pPr>
        <w:pStyle w:val="Normal"/>
      </w:pPr>
      <w:r>
        <w:t>combined punch &amp; shearing machines, numerically controlled for working metal or metal carbides Punch/notch machines (incl. presses), incl.</w:t>
      </w:r>
    </w:p>
    <w:p>
      <w:pPr>
        <w:pStyle w:val="Normal"/>
      </w:pPr>
      <w:r>
        <w:t>combined punch &amp; shear machines, nt numerically controlled for working metal or metal carbides Hydraulic presses, numerically controlled Hydraulic presses, not numerically controlled Machine tools (including nonhydraulic presses) for working metal or metal carbides, nesi, numerically controlled Machine tools (including nonhydraulic presses) for working metal or metal carbides, nesi, not numerically controlled Draw-benches for bars, tubes, profiles, wire or the like, for working metal or cermets, without removing material Thread rolling machines for working metal or cermets, without removing material Machines for working wire of metal or cermets, without removing material Machine tools for working metal or cermets, without removing material, nesoi Sawing machines for working stone, ceramics, concrete, asbestos-cement or like mineral materials or for cold working glass Grinding or polishing machines for working stone, ceramics, concrete, asbestos- cement or like mineral materials, or glass, nesi Machine tools for working stone, ceramics, concrete, asbestos-cement or like mineral materials or for cold working glass, nesoi Machines for working certain hard materials which can carry out different types of machining operations w/o tool change between operations Machine centers for sawing, planing, milling, molding, grinding, sanding,</w:t>
      </w:r>
    </w:p>
    <w:p>
      <w:pPr>
        <w:pStyle w:val="Normal"/>
      </w:pPr>
      <w:r>
        <w:t>polishing, drilling or mortising Machine centers for bending or assembling Machine centers, nesoi Sawing machines for working wood, cork, bone, hard rubber, hard plastics or similar hard materials Planing, milling or molding (by cutting) machines for working wood, cork, bone, hard rubber, hard plastics or similar hard materials Grinding, sanding or polishing machines for working wood, cork, bone, hard rubber, hard plastics or similar hard materials Bending or assembling machines for working wood, cork, bone hard rubber, hard plastics or similar hard materials Drilling or mortising machines for working wood, cork, bone, hard rubber, hard plastics or similar hard materials Splitting, slicing or paring machines for working wood, cork, bone, hard rubber, hard plastics or similar hard materials Machine tools for working wood, cork, bone, hard rubber, hard plastics and similar hard materials, nesoi Tool holders and self-opening dieheads for use solely or principally with machines of headings 8456 to 8465, nesoi Work holders for machine tools used in cutting gears Work holders for machine tools other than those used</w:t>
      </w:r>
    </w:p>
    <w:p>
      <w:pPr>
        <w:pStyle w:val="Normal"/>
      </w:pPr>
      <w:r>
        <w:t>in cutting gears, nesoi Dividing heads for use solely or principally for machine tools of headings 8456 to Special attachments (which are machines) use solely or principally for machines of heading 8456 to 8465, excluding dividing heads, nesoi Special attachments for use solely or principally for machine tools of headings 8456 to 8465, nesoi Cast iron parts not advanced</w:t>
      </w:r>
    </w:p>
    <w:p>
      <w:pPr>
        <w:pStyle w:val="Normal"/>
      </w:pPr>
      <w:r>
        <w:t>beyond cleaning and specifically machined, for machines of heading 8464 Parts and accessories nesi, for machines of heading 8464 Cast-iron parts not advanced beyond cleaning and specifically machined, for machines of heading 8465 Parts and accessories nesi, for machines of heading 8465 Certain parts for water-jet cutting machines Certain specified cast-iron parts not advanced beyond cleaning and specifically machined, for metalworking machine tools for cutting, etc. Certain specified parts and accessories of metal working machine tools for cutting gears Certain specified parts and accessories for machines of heading 8456 to 8461, nesoi Other cast-iron parts not advanced beyond cleaning and specifically machined, for metalworking machine tools for cutting, etc.</w:t>
      </w:r>
    </w:p>
    <w:p>
      <w:pPr>
        <w:pStyle w:val="Normal"/>
      </w:pPr>
      <w:r>
        <w:t>Other parts and accessories of metal working machine tools for cutting gears Parts &amp; accessories for machines of heading 8456 to 8461 used to make printed circuits or PCAs, parts of heading 8517 or computers Other parts and accessories for machines of heading 8456 to 8461, nesoi Certain specified cast-iron parts not advanced beyond cleaning and specifically machined, for machines of heading 8462 or 8463 Other cast-iron parts not advanced beyond cleaning and specifically machined, for machines of heading 8462 or 8463 Other specified parts and accessories for machines of heading 8462 or 8463, nesoi Other parts and accessories for machines of heading 8462 or 8463, nesoi Tools for working in the hand, pneumatic, rotary</w:t>
      </w:r>
    </w:p>
    <w:p>
      <w:pPr>
        <w:pStyle w:val="Normal"/>
      </w:pPr>
      <w:r>
        <w:t>type, suitable for metal working Tools for working in the hand, pneumatic, rotary type, other than suitable for metal working Tools for working in the hand, pneumatic, other than rotary type, suitable for metal working Tools for working in the hand, pneumatic, other than rotary type, other than suitable for metal working Electromechanical drills of all kinds for working in the hand, with self-contained electric motor Electromechanical saws for working in the hand, with self-contained electric motor Electromechanical tools for working in the hand, other than drills or saws, with self- contained electric motor Chain saws for working in the hand, hydraulic or with self-contained nonelectric motor Other tools for working in the hand, hydraulic or with self-contained nonelectric motor, suitable for metal working, nesoi Other tools for working in the hand, hydraulic or with self-contained nonelectric motor, other than suitable for metal working, nesoi Parts of chain saws Parts of pneumatic tools for working in the hand Parts of tools for working in the hand, hydraulic or with self-contained</w:t>
      </w:r>
    </w:p>
    <w:p>
      <w:pPr>
        <w:pStyle w:val="Normal"/>
      </w:pPr>
      <w:r>
        <w:t>nonelectric or electric motor, other than chain saws Hand-held blow torches Gas-operated machinery, apparatus and appliances, hand-directed or -controlled, used for soldering, brazing, welding or tempering, nesi Gas-operated machinery, apparatus and appliances, not hand-directed or -controlled, used for soldering, brazing, welding or tempering, nesi Machinery and apparatus, hand-directed or</w:t>
      </w:r>
    </w:p>
    <w:p>
      <w:pPr>
        <w:pStyle w:val="Normal"/>
      </w:pPr>
      <w:r>
        <w:t>-controlled, used for soldering, brazing or welding, not gas-operated Machinery and apparatus other than hand-directed or -controlled, used for soldering, brazing or welding, not gas-operated Parts of hand-directed or -controlled machinery, apparatus and appliances used for soldering, brazing, welding or tempering Parts for machinery, apparatus or appliances, not hand-directed or -controlled, used for soldering, brazing, welding or tempering Electronic calculator operate w/o external electric power &amp; pocket-size data recording/reproducing/displaying machine w/calculating function Electronic calculating machines, incorporating a printing device, nesi Electronic calculating machines, not incorporating a printing device, nesi Calculating machines nesi, other than electronic Cash registers Postage-franking, ticket-issuing and similar machines nesi, incorporating a calculating device; accounting machines Portable automatic data processing machines, not over 10 kg, consisting at least a central processing unit, keyboard and display ADP machines, nonportable or over 10 kg, comprise in the same housing least central processing unit and input &amp; output unit ADP machines, nesoi, entered as a system (consisting of a central processing unit, an input unit, and an output unit) Processing units other than those of subheading 8471.41 and 8471.49, nesoi Combined input/output units for automatic data processing machines not entered with the rest of a system Keyboards for automatic data</w:t>
      </w:r>
    </w:p>
    <w:p>
      <w:pPr>
        <w:pStyle w:val="Normal"/>
      </w:pPr>
      <w:r>
        <w:t>processing machines not entered with the rest of a system Input or output units suitable for physical incorporation into ADP machine or unit thereof,nesoi, not entered with the rest of a system Optical scanners and magnetic ink recognition devices not entered with the rest of a ADP system Other input or output units of digital ADP machines, nesoi, not entered with the rest of a system ADP magnetic disk drive storage units, disk dia. ov 21 cm,w/o read-write unit; read- write units; all not entered with the rest of a system ADP magnetic disk drive storage units, disk dia. ov 21 cm: for incorp. into ADP machines or units, not entered with the rest of a system ADP magnetic disk drive storage units, disk dia. ov 21 cm, nesoi, not entered with the rest of a system ADP magnetic disk drive storage units, disk dia. n/ov 21 cm,not in cabinet, w/o attached external power supply, n/entered w/rest of a system ADP magnetic disk drive storage units, disk dia.</w:t>
      </w:r>
    </w:p>
    <w:p>
      <w:pPr>
        <w:pStyle w:val="Normal"/>
      </w:pPr>
      <w:r>
        <w:t>n/ov 21 cm, nesoi, not entered with the rest of a system ADP storage units other than magnetic disk, not in cabinets for placing on a table, etc., not entered with the rest of a system ADP storage units other than magnetic disk drive units, nesoi, not entered with the rest of a system Control or adapter units for automatic data processing machines not entered with rest of a system Unit suitable for physical incorporation into automatic data processing machine or unit thereof,not entered with the rest of a system, nesoi Other units of automatic data processing machines, not entered with the rest of a system, nesoi Magnetic or optical readers, nesoi; machines for transcribing data on data media in coded form and machines for processing such data, nesoi Hectographic or stencil duplicating machines Machines for sorting, folding, opening, closing or sealing mail, and postage stamp affixing or canceling machines Addressing machines and address plate embossing machines Automatic teller machines Pencil sharpeners Typewriters other than printers of heading 8443;</w:t>
      </w:r>
    </w:p>
    <w:p>
      <w:pPr>
        <w:pStyle w:val="Normal"/>
      </w:pPr>
      <w:r>
        <w:t>word processing machines Numbering, dating and check-writing machines Other office machines, nesoi Parts and accessories of the electronic calculating machines of subheading 8470.10, 8470.21 or 8470.29 Parts and accessories of machines of heading 8470, nesi Printed circuit assemblies, not incorporating a cathode ray tube, of the machines of Parts and accessories of the ADP machines of heading 8471, not incorporating a CRT,</w:t>
      </w:r>
    </w:p>
    <w:p>
      <w:pPr>
        <w:pStyle w:val="Normal"/>
      </w:pPr>
      <w:r>
        <w:t>parts and accessories of printed circuit assemblies Parts and accessories of the ADP machines of heading 8471, not incorporating a CRT, nesi Parts and accessories of the ADP machines of heading 8471, incorporating a CRT, nesi Printed circuit assemblies for automatic teller machines of subheading 8472.90.10 Printed circuit assemblies of word processing machines of 8472.90.50 Other parts and accessories of the machines of 8472.90.50 Other parts and accessories of machines of heading 8472, nesoi Printed circuit assemblies suitable for use with machines of two or more of the headings 8469 to 8472 Part/accessory (also face plate and lock latch) of printed circuit assemblies suitable for use w/machine of two or more heading 8469 to 8472 Parts and accessories, nesoi, suitable for use with machines of two or more of the headings 8469 to 8472 Sorting, screening, separating or washing machines for earth, stones, ores or other mineral substances in solid form Crushing or grinding machines for earth, stones, ores or other mineral substances Concrete or mortar mixers Machines for mixing mineral substances with bitumen Mixing or kneading machines for earth, stones, ores or other mineral substances, nesi Machinery for agglomerating, shaping or molding solid mineral fuels, or other mineral products;</w:t>
      </w:r>
    </w:p>
    <w:p>
      <w:pPr>
        <w:pStyle w:val="Normal"/>
      </w:pPr>
      <w:r>
        <w:t>machines for forming sand foundry molds Parts for the machinery of heading 8474 Machines for assembling electric or electronic lamps, tubes or flashbulbs, in glass envelopes Machines for making</w:t>
      </w:r>
    </w:p>
    <w:p>
      <w:pPr>
        <w:pStyle w:val="Normal"/>
      </w:pPr>
      <w:r>
        <w:t>glass optical fibers and preforms thereof Machines for manufacturing or hot working glass or glassware, nesoi Parts of machines for assembling electric or electronic lamps, tubes or flashbulbs, in glass envelopes Parts of machines for manufacturing or hot working glass or glassware Automatic beverage-vending machines incorporating heating or refrigerating devices Automatic beverage-vending machines other than machines that incorporate heating or refrigerating devices Automatic goods-vending machines (other than beverage-vending) incorporating heating or refrigerating devices Automatic goods-vending (other than beverage-vending but incl. money-changing machines) not incorporating heating or refrigerating devices Parts for automatic goods-vending and money-changing machines Injection-molding machines for manufacturing shoes of rubber or plastics Injection-molding machines for use in the manufacture of video laser discs Injection-molding machines of a type used for working or manufacturing products from rubber or plastics, nesoi Extruders for working rubber or plastics or for the manufacture of products from these materials, nesi Blow-molding machines for working rubber or plastics or for the manufacture of products from these materials Vacuum-molding and other thermoforming machines for working rubber or plastics or for manufacture of products from these materials, nesoi Machinery for molding or retreading pneumatic tires or for molding or otherwise forming inner tubes</w:t>
      </w:r>
    </w:p>
    <w:p>
      <w:pPr>
        <w:pStyle w:val="Normal"/>
      </w:pPr>
      <w:r>
        <w:t>Machinery for molding or otherwise forming rubber or plastics other than for molding or retreading pneumatic tires, nesoi Machinery for working rubber or plastics or for the manufacture of products from these materials, nesi Base, bed, platen and specified parts of machinery for working rubber or plastics or for manufacture of products from these material, nesoi Barrel screws of machinery for working rubber or plastics or for the manufacture of products from these materials, nesoi Hydraulic assemblies of machinery for working rubber or plastics or for the manufacture of products from these materials, nesoi Parts of machinery for working rubber or plastics or for the manufacture of products from these materials, nesoi Machinery for preparing or making up tobacco, nesi Parts of machinery for preparing or making up tobacco, nesi Machinery for public works, building or the like, nesi Machinery for the extraction or preparation of animal or fixed vegetable fats or oils, nesi Presses for making particle board or fiber building board of wood or other ligneous materials, and mach. for treat.</w:t>
      </w:r>
    </w:p>
    <w:p>
      <w:pPr>
        <w:pStyle w:val="Normal"/>
      </w:pPr>
      <w:r>
        <w:t>wood or cork, nesi Rope- or cable-making machines nesi Industrial robots, not elsewhere specified or included Evaporative air coolers Passenger boarding bridges of a kind used in airports Other passenger boarding bridges Machines and mechanical appliances for treating metal, including electric wire coil- winders, nesi Machines for mixing, kneading, crushing, grinding, screening, sifting, homogenizing, emulsifying or stirring, nesi Air humidifiers or dehumidifiers with self-contained electric motor, other than for domestic purposes Floor polishers with self-contained electric motor, other than for domestic purposes Electromechanical appliances with self-contained electric motor, trash compactors Electromechanical appliances with self-contained electric motor, nesi Carpet sweepers, not electromechanical having self-contained electric motor Machines for the manufacture of optical media Automated electronic component placement machines for making printed circuit assemblies Other machines and mechanical appliances having individual functions, not specified or included elsewhere in chapter 84, nesoi Parts of floor polishers of subheading 8479.89.20; parts of carpet sweepers Parts of trash compactors, frame assemblies Parts of trash compactors, ram assemblies Parts of trash compactors, container assemblies Parts of trash compactors, cabinets or cases Parts of trash compactors, nesi Parts of machines and mechanical appliances having individual functions, not specidied or included</w:t>
      </w:r>
    </w:p>
    <w:p>
      <w:pPr>
        <w:pStyle w:val="Normal"/>
      </w:pPr>
      <w:r>
        <w:t>elsewhere in chapter 84, nesoi Molding boxes for metal foundry Mold bases Molding patterns Molds for metal or metal carbides, injection or compression types Molds for metal or metal carbides other than injection or compression types Molds for glass Molds for mineral materials Molds for rubber or plastics, injection or compression types, for shoe machinery Injection or compression type molds for rubber or plastics for the manufacture of semiconductor devices Molds for rubber or plastics, injection or compression types, other than for shoe machinery or for manufacture of semiconductor devices Molds for rubber or plastics, other than injection or compression types, for shoe machinery Molds for rubber or plastics, other than injection or compression types, other than for shoe machinery Pressure-reducing valves for pipes, boiler shells, tanks, vats or the like Valves for oleohydraulic or pneumatic transmissions Check valves of copper for pipes, boiler shells, tanks, vats or the like Check valves of iron or steel for pipes, boiler shells, tanks, vats or the like Check valves other than of</w:t>
      </w:r>
    </w:p>
    <w:p>
      <w:pPr>
        <w:pStyle w:val="Normal"/>
      </w:pPr>
      <w:r>
        <w:t>copper or iron or steel, for pipes, boiler shells, tanks, vats or the like Safety or relief valves for pipes, boiler shells, tanks, vats or the like Taps, cocks, valves &amp; similar appliances for pipes, boiler shells, tanks, vats or the like, hand operated, of copper, nesi Taps, cocks, valves &amp; similar appliances for pipes, boiler shells, tanks, vats or the like, hand operated, of iron or steel,</w:t>
      </w:r>
    </w:p>
    <w:p>
      <w:pPr>
        <w:pStyle w:val="Normal"/>
      </w:pPr>
      <w:r>
        <w:t>nesi Taps, cocks, valves &amp; similar appliances for pipes, boiler shells, tanks, vats or the like, hand operated, not copper, iron or steel, nesi Taps, cocks, valves &amp; similar appliances for pipes, boiler shells, tanks, vats or the like, other than hand operated, nesi Parts of hand operated and check appliances for pipes, boiler shells, tanks, vats or the like, of copper Parts of hand operated and check appliances for pipes, boiler shells, tanks, vats or the like, of iron or steel Parts of hand operated and check appliances for pipes, boiler shells, tanks, vats or the like, other than of copper or iron or steel Parts of taps, cocks, valves and similar appliances for pipes, boiler shells, tanks, vats or the like, nesi Ball bearings with integral shafts Ball bearings other than ball bearings with integral shafts Tapered roller bearings, including cone and tapered roller assemblies Spherical roller bearings Needle roller bearings Cylindrical roller bearings nesi Ball or roller bearings nesi, including combined ball/roller bearings Balls, needles and rollers</w:t>
      </w:r>
    </w:p>
    <w:p>
      <w:pPr>
        <w:pStyle w:val="Normal"/>
      </w:pPr>
      <w:r>
        <w:t>for ball or roller bearings Inner or outer rings or races for ball bearings Inner or outer rings or races for taper roller bearings Inner or outer rings or races for other bearings, nesi Parts of ball bearings (including parts of ball bearings with integral shafts), nesi Parts of tapered roller bearings, nesi Parts of other ball or roller bearings, nesi Camshafts and crankshafts for use solely or principally with</w:t>
      </w:r>
    </w:p>
    <w:p>
      <w:pPr>
        <w:pStyle w:val="Normal"/>
      </w:pPr>
      <w:r>
        <w:t>spark-ignition internal- combustion piston or rotary engines Camshafts and crankshafts nesi Transmission shafts and cranks other than camshafts and crankshafts Housed bearings of the flange, take-up, cartridge and hanger unit type (incorporating ball or roller bearings) Housed bearings (incorporating ball or roller bearings), nesi Bearing housings of the flange, take-up, cartridge and hanger unit type Bearing housings nesi;</w:t>
      </w:r>
    </w:p>
    <w:p>
      <w:pPr>
        <w:pStyle w:val="Normal"/>
      </w:pPr>
      <w:r>
        <w:t>plain shaft bearings Torque converters Fixed, multiple and variable ratio speed changers, imported for use with machines for making cellulosic pulp, paper or paperboard Fixed, multiple and variable ratio speed changers, not imported for use with machines for making cellulosic pulp, paper or paperboard Speed changers other than fixed, multiple and variable ratio speed changers Ball or roller screws Gears and gearing, other than toothed wheels, chain sprockets and other transmission elements entered separately Gray-iron awning or tackle pulleys, not over 6.4 cm in wheel diameter Flywheels, nesi Pulleys, including pulley blocks, nesi Clutches and universal joints Shaft couplings (other than universal joints) Chain sprockets and parts thereof Parts of flange, take-up, cartridge and hanger units Parts of bearing housings and plain shaft bearings, nesi Parts of gearing, gear boxes and other speed changers Parts of articles of subheading 8483.20 Parts of transmission equipment, nesi Gaskets and similar joints of metal sheeting combined with other material or of</w:t>
      </w:r>
    </w:p>
    <w:p>
      <w:pPr>
        <w:pStyle w:val="Normal"/>
      </w:pPr>
      <w:r>
        <w:t>two or more layers of metal Mechanical seals Sets or assortments of gaskets and similar joints dissimilar in composition, put up in pouches, envelopes or similar packings Machines and apparatus for the manufacture of boules or wafers Machines and apparatus for the manufacture of semiconductor devices or electronic integrated circuits Machines and apparatus for the manufacture of flat panel displays Machines and apparatus for the manufacture of masks and reticles; for the assembly of electronic integrated circuits;</w:t>
      </w:r>
    </w:p>
    <w:p>
      <w:pPr>
        <w:pStyle w:val="Normal"/>
      </w:pPr>
      <w:r>
        <w:t>or for the lifting, ha Parts and accessories of the machines and apparatus for the manufacture of semiconductor devices, electronic integrated circuits and flat pa Ships’ or boats propellers and blades therefor Machinery parts, not containing electrical connectors, insulators, coils, contacts or other electrical features and other parts nesi Electric motors of an output of under 18.65 W, synchronous, valued not over $4 each Electric motors of an output of under 18.65 W, other than synchronous valued not over $4 each Electric motors of an output of 18.65 W or more but not exceeding 37.5 W Universal AC/DC motors of an output exceeding 37.5 W but not exceeding 74.6 W Universal AC/DC motors of an output exceeding 74.6 W but not exceeding 735 W Universal AC/DC motors of an output exceeding 735 W but under 746 W Universal AC/DC motors of an output of 746 W or more DC motors nesi, of an output exceeding 37.5 W but not exceeding 74.6 W DC motors, nesi, of an output</w:t>
      </w:r>
    </w:p>
    <w:p>
      <w:pPr>
        <w:pStyle w:val="Normal"/>
      </w:pPr>
      <w:r>
        <w:t>exceeding 74.6 W but not exceeding 735 W DC motors, nesi, of an ouput exceeding 735 W but under 746 W DC motors nesi, of an output of 746 W but not exceeding 750 W DC generators of an output not exceeding 750 W DC motors nesi, of an output exceeding 750 W but not exceeding 14.92 kW DC motors nesi, of an output exceeding 14.92 kW but not exceeding 75 kW, used as primary source of mechanical power for electric vehicles DC motors nesi, of an output exceeding 14.92 kW but not exceeding 75 kW, nesi DC generators of an output exceeding 750 W but not exceeding 75 kW DC motors nesi, of an output exceeding 75 kW but under 149.2 kW DC motors, nesi, 149.2 kW or more but not exceeding 150 kW DC motors nesi, of an output exceeding 150 kW but not exceeding 375 kW DC generators of an output exceeding 75 kW but not exceeding 375 kW DC motors nesi, of an output exceeding 375</w:t>
      </w:r>
    </w:p>
    <w:p>
      <w:pPr>
        <w:pStyle w:val="Normal"/>
      </w:pPr>
      <w:r>
        <w:t>kW DC generators of an output exceeding 375 kW AC motors nesi, single-phase, exceeding 37.5 W but not exceeding 74.6 W AC motors, nesi, single-phase, exceeding 74.6 W but not exceeding 735 W AC motors, nesi, single-phase, exceeding 735 W but under 746 W AC motors nesi, single-phase, of 746 W or more AC motors nesi, multi-phase, of an output exceeding 37.5 W but not exceeding 74.6 W AC motors, nesi, multi-phase, of an output exceeding 74.6 W but not exceeding 735 W AC motors, nesi, multi-phase, of an output exceeding 735 W but under 746 W AC motors nesi, multi-phase of an output of 746 W but not exceeding 750 W AC motors</w:t>
      </w:r>
    </w:p>
    <w:p>
      <w:pPr>
        <w:pStyle w:val="Normal"/>
      </w:pPr>
      <w:r>
        <w:t>nesi, multi-phase, of an output exceeding 750 W but not exceeding 14.92 kW AC motors nesi, multi-phase, of an output exceeding 14.92 kW but not exceeding 75 kW AC motors nesi, multi-phase, of an output exceeding 75 kW but under 149.2 kW AC motors, nesi, multi-phase, 149.2 kW or more but not exceeding 150 kW AC motors nesi, multi-phase, of an output exceeding 150 kW AC generators (alternators) of an output not exceeding 75 kVA AC generators (alternators) of an output exceeding 75 kVA but not exceeding 375 kVA AC generators (alternators) of an output exceeding 375 kVA but not exceeding 750 kVA AC generators (alternators) of an output exceeding 750 kVA Electric generating sets with compression-ignition internal-combustion piston engines, of an output not exceeding 75 kVA Electric generating sets with compression-ignition internal-combustion piston engines, of an output exceeding 75 kVA but not over 375 kVA Electric generating sets with compression-ignition internal-combustion piston engines, of an output exceeding 375 kVA Electric generating sets with spark-ignition internal-combustion piston engines Wind-powered electric</w:t>
      </w:r>
    </w:p>
    <w:p>
      <w:pPr>
        <w:pStyle w:val="Normal"/>
      </w:pPr>
      <w:r>
        <w:t>generating sets Electric generating sets, nesoi Electric rotary converters Commutators suitable for use solely or principally with the machines of heading 8501 or 8502 Parts of electric motors under 18.65 W, stators and rotors Stators and rotors for electric generators for use on aircraft Stators and rotors for electric motors &amp; generators of heading 8501,</w:t>
      </w:r>
    </w:p>
    <w:p>
      <w:pPr>
        <w:pStyle w:val="Normal"/>
      </w:pPr>
      <w:r>
        <w:t>nesi Parts of electric motors under 18.65 W, other than commutators, stators or rotors Parts for electric generators suitable for use on aircraft Other parts, nesi, suitable for use solely or principally with the machines in heading 8501 or 8502 Ballasts for discharge lamps or tubes Liquid dielectric transformers having a power handling capacity not exceeding 650 kVA Liquid dielectric transformers having a power handling capacity exceeding 650 kVA but not exceeding 10,000 kVA Liquid dielectric transformers having a power handling capacity exceeding 10,000 kVA Unrated electrical transformers other than liquid dielectric, having a power handling capacity not exceeding 1 kVA Electrical transformers other than liquid dielectric, having a power handling capacity less than 1 kVA Electrical transformers other than liquid dielectric, having a power handling capacity of l kVA Electrical transformers other than liquid dielectric, having a power handling capacity exceeding 1 kVA but not exceeding 16 kVA Electrical transformers other than liquid dielectric, having a power handling capacity exceeding 16 kVA but not exceeding 500 kVA Electrical transformers</w:t>
      </w:r>
    </w:p>
    <w:p>
      <w:pPr>
        <w:pStyle w:val="Normal"/>
      </w:pPr>
      <w:r>
        <w:t>other than liquid dielectric, having a power handling capacity exceeding 500 kVA Electrical speed drive controllers for electric motors (static converters) Power supplies suitable for physical incorporation into automatic data processing machines or units thereof of heading 8471 Power supplies for automatic data processing machines or</w:t>
      </w:r>
    </w:p>
    <w:p>
      <w:pPr>
        <w:pStyle w:val="Normal"/>
      </w:pPr>
      <w:r>
        <w:t>units thereof of heading 8471, nesoi Static converters (for example, rectifiers) for telecommunication apparatus Static converters (for example, rectifiers), nesoi Other inductors for power supplies for ADP machines and units of heading 8471 or for telecommunication apparatus Other inductors, nesoi Printed circuit assemblies of power supplies for automatic data processing machines or units thereof of heading 8471 Parts of power supplies (other than printed circuit assemblies) for automatic data processing machines or units thereof of heading 8471 Printed circuit assemblies of the goods of subheading 8504.40 or 8504.50 for telecommunication apparatus Printed circuit assemblies of electrical transformers, static converters and inductors, nesoi Parts (other than printed circuit assemblies) of electrical transformers, static converters and inductors Permanent magnets and articles intended to become permanent magnets after magnetization, of metal Flexible permanent magnets, other than of metal Composite goods containing flexible permanent magnets, other than of metal Permanent magnets and articles intended to become permanent magnets after magnetization, other than of metal, nesoi Electromagnetic couplings, clutches and brakes Electromagnetic lifting heads Electromagnetic or permanent magnet work holders and parts thereof Electromagnets used for MRI Other electromagnets and parts thereof, and parts of related electromagnetic articles nesi Manganese dioxide primary cells and</w:t>
      </w:r>
    </w:p>
    <w:p>
      <w:pPr>
        <w:pStyle w:val="Normal"/>
      </w:pPr>
      <w:r>
        <w:t>primary batteries Mercuric oxide primary cells and primary batteries having an external volume not exceeding 300 cubic cm Mercuric oxide primary cells and primary batteries having an external volume exceeding 300 cubic cm Silver oxide primary cells and primary batteries having an external volume not exceeding 300 cubic cm Silver oxide primary cells and primary batteries having an external volume exceeding 300 cubic cm Lithium primary cells and primary batteries Air-zinc primary cells and primary batteries Primary cells and primary batteries, nesoi Parts of primary cells and primary batteries Lead-acid storage batteries of a kind used for starting piston engines Lead-acid storage batteries of a kind used as the primary source of electrical power for electrically powered vehicles of 8703.90 Lead-acid storage batteries other than of a kind used for starting piston engines or as the primary source of power for electric vehicles Nickel-cadmium storage batteries, of a kind used as the primary source of electrical power for electrically powered vehicles of</w:t>
      </w:r>
    </w:p>
    <w:p>
      <w:pPr>
        <w:pStyle w:val="Normal"/>
      </w:pPr>
      <w:r>
        <w:t>8703.90 Nickel-cadmium storage batteries, other than of a kind used as the primary source of power for electric vehicles Nickel-iron storage batteries, of a kind used as the primary source of electrical power for electrically powered vehicles of 8703.90 Nickel-iron storage batteries, other than of a kind used as the primary source of power for electric vehicles Nickel-metal hydride batteries Lithium-ion batteries Other storage</w:t>
      </w:r>
    </w:p>
    <w:p>
      <w:pPr>
        <w:pStyle w:val="Normal"/>
      </w:pPr>
      <w:r>
        <w:t>batteries nesi, of a kind used as the primary source of electrical power for electrically powered vehicles of</w:t>
      </w:r>
    </w:p>
    <w:p>
      <w:pPr>
        <w:pStyle w:val="Normal"/>
      </w:pPr>
      <w:r>
        <w:t>8703.90 Other storage batteries nesi, other than of a kind used as the primary source of power for electric vehicles Parts of lead-acid storage batteries, including separators therefor Parts of storage batteries, including separators therefor, other than parts of lead-acid storage batteries Vacuum cleaners with self-contained electric motor, of a power not exceeding 1,500 W and having a dust bag or other receptacle capacity not Vacuum cleaners with self-contained electric motor, other than of a power not exceeding 1,500 W and having a dust bag or other receptacle ca Vacuum cleaners with other than a self-contained electric motor Parts of vacuum cleaners Electromechanical food grinders, processors, mixers, fruit or vegetable juice extractors, w self-contained electric motor, for domestic uses Electromechanical floor polishers, with self-contained electric motor, for domestic uses Electromechanical kitchen waste disposers (disposals), with self-contained electric motor, for domestic uses Electromechanical domestic appliances nesi, with self-contained electric motor Parts of electromechanical domestic floor polishers, housings Parts of electromechanical domestic floor polishers, other than housings Parts of electromechanical domestic appliances nesi, housings Parts of electromechanical domestic appliances nesi, other than housings Shavers, with self-contained electric</w:t>
      </w:r>
    </w:p>
    <w:p>
      <w:pPr>
        <w:pStyle w:val="Normal"/>
      </w:pPr>
      <w:r>
        <w:t>motor Hair clippers to be used for agricultural or horticultual purposes, with self-contained electric motor Hair clippers other than to be used for agricultural or horticultural purposes, with self- contained electric motor Hair-removing appliances with self-contained electric motor Blades and cutting heads of shavers with self-contained electric motor Parts of shavers with self-contained electric motor, other than blades and cutting heads Parts of hair clippers with self-contained electric motor Parts of hair clippers, nesoi, with self-contained electric motor Parts of hair-removing appliances of subheading</w:t>
      </w:r>
    </w:p>
    <w:p>
      <w:pPr>
        <w:pStyle w:val="Normal"/>
      </w:pPr>
      <w:r>
        <w:t>8510.30 Spark plugs Ignition magnetos, magneto-dynamos and magnetic flywheels Distributors and ignition coils Starter motors and dual purpose starter-generators Generators nesi, of a kind used in conjunction with spark-ignition or compression- ignition internal-combustion engines Voltage and voltage-current regulators with cut-out relays designed for use on 6, 12 or 24 V systems Voltage and voltage-current regulators with cut-out relays other than those designed for use on 6, 12 or 24 V systems Electrical ignition or starting equipment of a kind used for spark-ignition internal- combustion or compression-ignition engines, nesi Parts of voltage and voltage-current regulators with cut-out relays, designed for use on 6, 12 or 24 V systems Parts of voltage and voltage-current regulators with cut-out relays, other than those designed for use on 6, 12 or 24 V systems Parts</w:t>
      </w:r>
    </w:p>
    <w:p>
      <w:pPr>
        <w:pStyle w:val="Normal"/>
      </w:pPr>
      <w:r>
        <w:t>nesi of electrical ignition or starting equipment or generators used for spark- or compression-ignition internal-combustion engines Electrical lighting equipment of a kind used on bicycles Electrical visual signaling equipment of a kind used on bicycles Electrical lighting equipment of a kind used for motor vehicles or cycles other than bicycles Electrical visual signaling equipment of a kind used for motor vehicles or cycles other than bicycles Electrical sound signaling equipment of a kind used for cycles or motor vehicles Defrosters and demisters of a kind used for cycles or motor vehicles Windshield wipers of a kind used for cycles or motor vehicles Parts of electrical signaling equipment of a kind used for cycles or motor vehicles Parts of electrical lighting equipment of a kind used on bicycles Parts of electrical lighting equipment of a kind used for motor vehicles or cycles other than bicycles Parts of defrosters and demisters of a kind used for cycles or motor vehicles Parts of windshield wipers of a kind used for motor vehicles or</w:t>
      </w:r>
    </w:p>
    <w:p>
      <w:pPr>
        <w:pStyle w:val="Normal"/>
      </w:pPr>
      <w:r>
        <w:t>cycles Flashlights Portable electric lamps designed to function by their own source of energy, other than flashlights Parts of flashlights Parts of portable electric lamps designed to function by their own source of energy, other than flashlights Resistance heated industrial or laboratory furnaces and ovens Industrial or laboratory microwave ovens for making hot drinks or for cooking or heating food Industrial or laboratory microwave</w:t>
      </w:r>
    </w:p>
    <w:p>
      <w:pPr>
        <w:pStyle w:val="Normal"/>
      </w:pPr>
      <w:r>
        <w:t>ovens, nesoi Industrial or laboratory furnaces and ovens (other than microwave) functioning by induction or dielectric loss Industrial furnaces and ovens for making printed circuits or printed circuit assemblies Industrial or laboratory electric industrial or laboratory furnaces and ovens nesi Industrial or laboratory induction or dielectric heating equipment nesi Parts of industrial or laboratory microwaves Parts of industrial or laboratory electric furnaces and ovens and other industrial or laboratory induction or dielectric heating equipment Electric soldering irons and guns Electric brazing or soldering machines and apparatus, other than soldering irons and guns Electric machines and apparatus for resistance welding of metal, fully or partly automatic Electric machines and apparatus for resistance welding of metal, other than fully or partly automatic Electric machines and apparatus for arc (including plasma arc) welding of metals, fully or partly automatic Electric machines and apparatus for arc (including plasma arc) welding of metals, other than fully or partly automatic Electric welding apparatus nesi,and electric machines and apparatus for hot spraying metals or sintered metal carbides</w:t>
      </w:r>
    </w:p>
    <w:p>
      <w:pPr>
        <w:pStyle w:val="Normal"/>
      </w:pPr>
      <w:r>
        <w:t>Parts of electric welding machines and apparatus Parts of electric soldering or brazing machines &amp; apparatus, &amp; electric apparatus for hot spraying of metals or sintered metal carbides Electric instantaneous or storage water heaters and immersion heaters Electric storage heating</w:t>
      </w:r>
    </w:p>
    <w:p>
      <w:pPr>
        <w:pStyle w:val="Normal"/>
      </w:pPr>
      <w:r>
        <w:t>radiators Electric space heating apparatus and electric soil heating apparatus, other than storage heating radiators Electrothermic hair dryers Electrothermic hairdressing apparatus other than hair dryers Electrothermic hand drying apparatus Electric flatirons, travel type Electric flatirons, other than travel type Microwave ovens of a kind used for domestic purposes Electrothermic cooking stoves, ranges and ovens (excluding microwave ovens) of a kind used for domestic purposes Electrothermic cookers, cooking plates, boiling rings, grillers and roasters, nesi, of a kind used for domestic purposes Electrothermic coffee or tea makers, for domestic purposes Electrothermic toasters, for domestic purposes Electrothermic appliances nesi, of a kind used for domestic purposes Electric heating resistors assembled only with simple insulated former and electrical connectors, used for anti-icing or de-icing Electric heating resistors, nesi Parts of electric heaters or heating apparatus of subheading 8516.10, 8516.21 or 8516.29 Housings for hand-drying apparatus of subheading 8516.33 Housings and steel bases for electric flat irons of subheading 8516.40 Parts of domestic microwave ovens, assemblies, having more than one of: cooking chamber; structural supporting chassis; door;</w:t>
      </w:r>
    </w:p>
    <w:p>
      <w:pPr>
        <w:pStyle w:val="Normal"/>
      </w:pPr>
      <w:r>
        <w:t>outer case Parts of domestic microwave ovens, printed circuit assemblies Parts of domestic microwave ovens, other nesi Parts of domestic electrothermic cooking stoves, ranges and ovens of subheading 8516.60.40,</w:t>
      </w:r>
    </w:p>
    <w:p>
      <w:pPr>
        <w:pStyle w:val="Normal"/>
      </w:pPr>
      <w:r>
        <w:t>cooking chambers whether or not assembled Parts of domestic electrothermic cooking stoves, ranges and ovens of subheading 8516.60.40, top surface panels w/orw/o elements or controls Parts of domestic electrothermic cooking stoves, ranges and ovens of subheading 8516.60.40, door assemblies Parts of domestic electrothermic cooking stoves, ranges and ovens of subheading 8516.60.40, other nesi Housings for domestic electrothermic toasters Parts of electric instantaneous or storage water heaters and immersion heaters and other domestic electrothermic appliance, nesi Line telephone sets with cordless handsets Telephones for cellular networks or for other wireless networks Telephone sets, nesoi Base stations Machines for the reception, conversion and transmission or regeneration of voice, images or other data, including switching and routing appa Other apparatus for transmission or reception of voice, images or other data, including apparatus for communication in a wired or wireless n Parts of telephone sets;</w:t>
      </w:r>
    </w:p>
    <w:p>
      <w:pPr>
        <w:pStyle w:val="Normal"/>
      </w:pPr>
      <w:r>
        <w:t>parts of other apparatus for the transmission or reception of voice, images or other data, including apparatus for Microphones having a frequency range of 300Hz-3.4kHz with diameter not over 10 mm and height not over 3 mm, for telecommunication Microphones and stands therefor, nesoi Single loudspeakers mounted in their enclosures Multiple loudspeakers mounted in the same enclosure Loudspeakers not mounted in their enclosures, with frequency range of 300Hz to 3.4kHz, with a</w:t>
      </w:r>
    </w:p>
    <w:p>
      <w:pPr>
        <w:pStyle w:val="Normal"/>
      </w:pPr>
      <w:r>
        <w:t>diameter not over 50 mm, for telecommunication Loudspeakers nesoi, not mounted in their enclosures, nesoi Line telephone handsets Headphones, earphones and combined microphone/speaker sets, other than telephone handsets Audio-frequency electric amplifiers for use as repeaters in line telephony Audio-frequency electric amplifiers, other than for use as repeaters in line telephony Electric sound amplifier sets Printed circuit assemblies of line telephone handsets; parts of repeaters Other parts of telephone handsets other than printed circuit assemblies Printed circuit assemblies of the microphones of subheading 8518.10.40 or the loudspeakers of subheading 8518.29.40 Other parts of microphones &amp; stands, loudspeakers, headphones &amp; earphones nesi, electric amplifiers, &amp; electric sound amplifier sets, nesoi Sound recording or reproducing apparatus operated by coins, bank notes, bank cards, tokens or other means of payment Turntables with automatic record changing mechanism Turntables without automatic record changing mechanism Telephone answering machines Transcribing machines Cassette players (non-recording) designed exclusively for motor-vehicle installation Cassette players (non-recording), nesoi Sound reproducing apparatus nesi, not incorporating a sound recording device Sound recording and reproducing apparatus using magnetic tape, optical media, or semiconductor media Record players, other than coin- or token-operated, without loudspeaker Record players, other than coin- or</w:t>
      </w:r>
    </w:p>
    <w:p>
      <w:pPr>
        <w:pStyle w:val="Normal"/>
      </w:pPr>
      <w:r>
        <w:t>token-operated, with loudspeakers Sound recording and reproducing apparatus, nesoi Color, cartridge or cassette magnetic tape-type video players Color, cartridge or cassette magnetic tape-type video recording and reproducing apparatus, nesi Magnetic tape-type video recording or reproducing apparatus, other than color, cartridge or cassette type Video recording or reproducing apparatus, other than magnetic tape-type Pick-up cartridges for use with apparatus of heading 8519 to 8521 Assemblies &amp; subassemblies of articles of 8520.90, consisting of 2 or more pieces fastened together, printed circuit assemblies Other assemblies &amp; subassemblies of articles of</w:t>
      </w:r>
    </w:p>
    <w:p>
      <w:pPr>
        <w:pStyle w:val="Normal"/>
      </w:pPr>
      <w:r>
        <w:t>8520.90, consisting of 2 or more pieces fastened together, other than printed circuit assemblies Other parts of telephone answering machines, printed circuit assemblies Other parts of telephone answering machines, other than printed circuit assemblies Parts and accessories of apparatus of headings 8519 to 8521, nesi, printed circuit assemblies Parts and accessories of apparatus of headings 8519 to 8521, nesi, other than printed circuit assemblies Cards incorporating a magnetic stripe Unrecorded magnetic media Pre-recorded magnetic tapes for reproducing phenomena other than sound or image Pre-recorded magnetic tapes, of a width not exceeding 4 mm, of news sound recording relating to current events Pre-recorded magnetic tapes, of a width not exceeding 4 mm, nesoi Pre-recorded magnetic video tape recordings of a width exceeding 4</w:t>
      </w:r>
    </w:p>
    <w:p>
      <w:pPr>
        <w:pStyle w:val="Normal"/>
      </w:pPr>
      <w:r>
        <w:t>mm but not exceeding 6.5 mm Pre-recorded magnetic tapes of a width exceeding 4 mm but not exceeding 6.5 mm, nesoi Pre-recorded magnetic video tape recordings of a width exceeding 6.5 mm Pre-recorded magnetic tapes of a width exceeding 6.5 mm, nesoi Pre-recorded magnetic media other than tape, nesoi Unrecorded optical media Recorded optical media, for reproducing phenonema other than sound or image Recorded optical media, for reproducing sound only Recorded optical media,for reproducing representations of instructions, data, sound, &amp; image, recorded machine readable binary form, for ADP Recorded optical media, nesoi Semiconductor media, solid state non-volatile storage devices Semiconductor media, “smart cards” Semiconductor media, nesoi Phonograph records Discs, tapes, solid-state non-volatile storage devices, “smart cards” and other media for the recording of sound or of other phenomena, whet Television transmission set top boxes which have a communication function Transmission apparatus for television, nesoi Transmission apparatus for radiobroadcasting Transceivers Transmission apparatus incorporating reception apparatus, other than transceivers Television cameras, gyrostabilized Television cameras, studio type, other than shoulder-carried or other portable cameras Television cameras, nesi Digital still image video cameras Television cameras, digital cameras and video camera recorders, nesoi Radar apparatus Radio navigational aid apparatus, other than radar Radio remote</w:t>
      </w:r>
    </w:p>
    <w:p>
      <w:pPr>
        <w:pStyle w:val="Normal"/>
      </w:pPr>
      <w:r>
        <w:t>control apparatus for video game consoles Radio remote control apparatus other than for video game consoles Pocket-size radio cassette players Radio-tape player combination (other than pocket-size radio cassette type),nonrecording,capable of operating w/o an external source of power Radio-tape recorder combinations, capable of operating without an external source of power, nesoi Radio-phonograph combinations, capable of operating without external power source, nesoi Radiobroadcast receivers capable of operating without external power source, combined with sound recording or reproducing apparatus, nesoi Radiobroadcast receivers, able to operate w/o external power, with clock or clock- timer, valued not over $40, not for motor vehicles Radiobroadcast receivers, capable of operation w/o external power, nesi Radio-tape player combinations capable of receiving &amp; decoding digital radio signals Other radio-tape player combinations Radiobroadcast receivers not operable w/o external power source, for motor veh., combined with sound recording/reproducing apparatus, nesi Radiobroadcast receivers, not operating w/o external power, for motor vehicles, w/o sound recording or reproducing apparatus, FM or AM/FM Radiobroadcast receivers, not operating w/o external power, for motor vehicles, w/o sound recording or reproducing apparatus, other Radiobroadcast receiver combined w/ sound recording or reproducing apparatus for connection to telegraphic/telephonic apparatus/network Radiobroadcast</w:t>
      </w:r>
    </w:p>
    <w:p>
      <w:pPr>
        <w:pStyle w:val="Normal"/>
      </w:pPr>
      <w:r>
        <w:t>receiver combinations incorporating tape players, nesi Radiobroadcast receiver combinations incorporating tape recorders, nesi Radiobroadcast receivers combined with sound recording or reproducing apparatus, nesi Radiobroadcast receiver with clock or clock-timer, n/for m.v., n/combined w/sound recording or reproducing app., valued &lt; or = $40 ea Radiobroadcast receiver with clock or clock timer, n/for m.v., n/combined w/sound recording or reproducing app., valued &gt; $40 ea Infant nursery monitor systems, consisting, in the same package, of a radio transmitter, electrical adapter and radio receiver Radio receivers, nesoi Reception apparatus for radiobroadcasting, nesoi Cathode-ray tube monitors capable of directly connecting to and designed for use with an automatic data processing machine of heading 8471 Incomplete or unfinished color video monitors, presented w/o a display device, incorp. VCR or player Incomplete or unfinished color video monitors, presented w/o a display device, not incorp. VCR or player Non-high definition color video monitors, nonprojection type, w/CRT, video display diagonal not over 34.29 cm, incorporating VCR or player Non-high definition color video monitors, nonprojection, w/CRT, video display diag. ov 34.29 cm but n/ov 35.56 cm, incorp. VCR or player Non-high definition color video monitors, nonprojection type, w/CRT, video display diagonal not over 34.29 cm, not incorp.</w:t>
      </w:r>
    </w:p>
    <w:p>
      <w:pPr>
        <w:pStyle w:val="Normal"/>
      </w:pPr>
      <w:r>
        <w:t>VCR or player Non-high definition color video monitors, nonprojection, w/CRT, video display diag. ov 34.29 cm but n/ov 35.56 cm, not incorp. VCR or player Non-high definition color video monitors, nonprojection type, w/CRT, video display diagonal over 35.56 cm, incorporating VCR or player Non-high definition color video monitors, nonprojection type, w/CRT, video display diagonal over 35.56 cm, not incorporating VCR or player Non-high definition color video monitors, projection type, with cathode-ray tube, incorporating VCR or player Non-high definition color video monitors, projection type, with cathode-ray tube, not incorporating VCR or player High definition color video monitors, nonprojection type, with cathode-ray tube, incorporating VCR or player High definition color video monitors, nonprojection type, with cathode-ray tube, not incorporating VCR or player High definition color video monitors, projection type, with cathode-ray tube, incorporating VCR or player High definition color video monitors, projection type, with cathode-ray tube, not incorporating VCR or player Black and white or other monochrome video monitors, with cathode-ray tube Other monitors capable of directly connecting to and designed for use with an automatic data processing machine of heading 8471 Incomplete or unfinished color video monitors, w/o cathode-ray tube, flat panel screen or similar display device, incorp.</w:t>
      </w:r>
    </w:p>
    <w:p>
      <w:pPr>
        <w:pStyle w:val="Normal"/>
      </w:pPr>
      <w:r>
        <w:t>VCR or player Incomplete or unfinished color video monitors, w/o cathode-ray tube, flat panel screen or similar display device, not incorp.</w:t>
      </w:r>
    </w:p>
    <w:p>
      <w:pPr>
        <w:pStyle w:val="Normal"/>
      </w:pPr>
      <w:r>
        <w:t>VCR or player Color video monitors w/flat panel screen, video display diagonal n/ov 34.29 cm, incorporate VCR or player Color video monitors w/flat panel screen, video display diagonal &gt; 34.29 cm, incorporating VCR or player, not subject US note 13 Color video monitors w/flat panel screen, video display diagonal n/ov 34.29 cm, not incorporate VCR or player Color video monitors w/flat panel screen, video display diagonal &gt; 34.29 cm, not with VCR/player, not subj US note 13 Color video monitors nesoi, with video display diagonal not over 34.29 cm, incorporating VCR or player Color video monitors nesoi, with video display diagonal over 34.29 cm, incorporating VCR or player Color video monitors nesoi, with video display diagonal not over 34.29 cm, not incorporating VCR or player Color video monitors nesoi, with video display diagonal over 34.29 cm, not incorporating VCR or player Black and white or other monochrome video monitors, other Projectors capable of directly connecting to and designed for use with an automatic data processing machine of heading 8471 Incomplete or unfinished color video projectors, w/o cathode-ray tube, flat panel screen or similar display device, incorp.</w:t>
      </w:r>
    </w:p>
    <w:p>
      <w:pPr>
        <w:pStyle w:val="Normal"/>
      </w:pPr>
      <w:r>
        <w:t>VCR or player Incomplete or unfinished color video projectors, w/o cathode-ray tube, flat panel screen or similar display, not incorp.</w:t>
      </w:r>
    </w:p>
    <w:p>
      <w:pPr>
        <w:pStyle w:val="Normal"/>
      </w:pPr>
      <w:r>
        <w:t>VCR or player Non-high definition color video projectors, with a cathode-ray tube, incorporating VCR or player Non-high definition color video projectors, with a cathode-ray tube, not incorporating VCR or player High definition color video projectors, with a cathode-ray tube, incorporating VCR or player High definition color video projectors, with a cathode-ray tube, not incorporating VCR or player Color video projectors w/flat panel screen, video display diagonal not over 34.29 cm, incorporating VCR or player Color video projectors w/flat panel screen, video display diagonal over 34.29 cm, incorporating VCR or player Color video projectors w/flat panel screen, video display diagonal not over 34.29 cm, not incorporating VCR or player Color video projectors w/flat panel screen, video display diagonal over 34.29 cm, not incorporating VCR or player Color video projectors nesoi, incorporating video recording or reproducing apparatus Color video projectors nesoi, not incorporating a video recording or reproducing apparatus Black and white or other monochrome video projectors Reception apparatus for television, not designed to incorporate a video display or screen, incorporating video</w:t>
      </w:r>
    </w:p>
    <w:p>
      <w:pPr>
        <w:pStyle w:val="Normal"/>
      </w:pPr>
      <w:r>
        <w:t>recording or reproducing appa TV reception set top boxes with a communication function, nesoi TV reception printed circuit assemblies incorporating a tuner, of a kind used with ADP machines of heading 8471, nesoi TV reception apparatus, not designed to incorp.</w:t>
      </w:r>
    </w:p>
    <w:p>
      <w:pPr>
        <w:pStyle w:val="Normal"/>
      </w:pPr>
      <w:r>
        <w:t>video display or screen, not incorp.</w:t>
      </w:r>
    </w:p>
    <w:p>
      <w:pPr>
        <w:pStyle w:val="Normal"/>
      </w:pPr>
      <w:r>
        <w:t>video recording/reproducing apparatus, color TV reception apparatus, not designed to incorp. video display or screen, not incorp. video recording/reproducing apparatus, monochrome Incomplete or unfinished color tv reception apparatus, presented w/o a display device, incorp. VCR or player Incomplete or unfinished color tv reception apparatus, presented w/o a display device, n/incorp. VCR or player Non-high definition color television reception apparatus, nonprojection, w/CRT, video display diag. not ov 34.29 cm, incorp. a VCR or player Non-high def. color television reception app., nonprojection, w/CRT, display diag. ov 34.29 cm but n/ov 35.56 cm, incorp. VCR or player Non-high def. color television reception app., nonprojection, w/CRT, video display diag. not ov 34.29 cm, not incorporating VCR or player Non-high def. color television reception app., nonprojection, w/CRT, display diag. ov 34.29 cm but n/ov 35.56 cm, n/incorp. VCR or player Non-high definition color television reception app., nonprojection, w/CRT, video display diag. ov 35.56 cm, incorporating a VCR or player Non-high definition color television reception apparatus, nonprojection, w/CRT, video display diag. ov 35.56 cm, not incorp.</w:t>
      </w:r>
    </w:p>
    <w:p>
      <w:pPr>
        <w:pStyle w:val="Normal"/>
      </w:pPr>
      <w:r>
        <w:t>a VCR or player Non-high definition color television reception apparatus, projection type, with a cathode-ray tube, incorporating a VCR or player Non-high definition color television reception apparatus, projection type, with a cathode-ray tube, not incorporating a VCR or player High definition color television reception apparatus, nonprojection, with cathode-ray tube, incorporating a VCR or player High definition color television reception apparatus, nonprojection, with cathode-ray tube, not incorporating a VCR or player High definition color television reception apparatus, projection type, with cathode-ray tube, incorporating a VCR or player High definition color television reception apparatus, projection type, with cathode-ray tube, not incorporating a VCR or player Color television reception apparatus w/flat panel screen, video display diagonal n/ov 34.29 cm, incorporating a VCR or player Color television reception apparatus w/flat panel screen, video display diagonal over 34.29 cm, incorporating a VCR or player Color television reception apparatus w/flat panel screen, video display diagonal n/o 34.29 cm, not incorporating a VCR or player Color television reception apparatus w/flat panel screen, video display diagonal over 34.29</w:t>
      </w:r>
    </w:p>
    <w:p>
      <w:pPr>
        <w:pStyle w:val="Normal"/>
      </w:pPr>
      <w:r>
        <w:t>cm, not incorporating a VCR or player Color television reception apparatus nesoi, video display diagonal not over 34.29 cm, incorporating a VCR or player Color television reception apparatus nesoi, video display diagonal over 34.29 cm,</w:t>
      </w:r>
    </w:p>
    <w:p>
      <w:pPr>
        <w:pStyle w:val="Normal"/>
      </w:pPr>
      <w:r>
        <w:t>incorporating a VCR or player Color television reception apparatus nesoi, video display diagonal not over 34.29 cm, not incorporating a VCR or player Color television reception apparatus nesoi, video display diagonal over 34.29 cm, not incorporating a VCR or player, nesoi Black and white or other monochrome television reception apparatus Television antennas and antenna reflectors, and parts suitable for use therewith Radar, radio navigational aid and radio remote control antennas and antenna reflectors, and parts suitable for use therewith Other antennas and antenna reflectors of all kinds and parts, for use Tuners (printed circuit assemblies) PCBs and ceramic substrates and subassemblies thereof, for color TV, with components listed in add. US note 4, chap. 85 PCBs and ceramic substrates and subassemblies thereof, for color TV, not with components listed in add. US note 4, chap. 85 Printed circuit assemblies for television cameras Printed circuit assemblies for television apparatus, nesi Printed circuit assemblies which are subassemblies of radar, radio nav.</w:t>
      </w:r>
    </w:p>
    <w:p>
      <w:pPr>
        <w:pStyle w:val="Normal"/>
      </w:pPr>
      <w:r>
        <w:t>aid or remote control apparatus, of 2 or more parts joined together Printed circuit assemblies, nesi, for radar, radio navigational aid or radio remote control apparatus Other printed circuit assemblies suitable for use solely or principally with the apparatus of headings 8525 to 8528, nesi Transceiver assemblies for the apparatus of subheading 8526.10, other than printed circuit assemblies Tuners for television apparatus, other than printed circuit assemblies Subassies w/2 or more PCBs or ceramic substrates, as spec’d in add. US note 9 ch. 85, for color TV, w/components in add. US note 4, ch. 85 Subassies w/2 or more PCBs or ceramic substrates, as spec’d in add. US note 9 ch. 85, for color TV, not w/components in add. US note 4, ch. 85 Parts of television receivers specified in U.S. note 9 to chapter 85, other than printed circuit assemblies, nesi PCBs and ceramic substrates and subassemblies thereof for color TV, w/components listed in add. U.S. note 4, chap. 85 Combinations of PCBs and ceramic substrates and subassemblies thereof for color TV, w/components listed in add. U.S. note 4, chap. 85 Combinations of parts of television receivers specified in U.S.</w:t>
      </w:r>
    </w:p>
    <w:p>
      <w:pPr>
        <w:pStyle w:val="Normal"/>
      </w:pPr>
      <w:r>
        <w:t>note 10 to chapter 85, other than printed circuit assemblies, nesi Flat panel screen assemblies for TV reception apparatus, color video monitors and video projectors Parts of printed circuit assemblies (including face plates and lock latches) for television cameras Parts of printed circuit assemblies (including face plates and lock latches) for television apparatus other than television cameras Parts of printed circuit assemblies (including face plates and lock latches) for radar, radio navigational aid or radio remote control app. Parts of printed circuit assemblies (including face plates and lock latches) for other apparatus of headings 8525 to 8528, nesi Mounted lenses for use in closed circuit television cameras, seperately imported, w/ or w/o attached elec. connectors or motors Other parts of television camers, nesi Other parts of television apparatus (other than television cameras), nesi Parts suitable for use solely or principally with the apparatus of 8525 and 8527 (except television apparatus or cellular phones), nesi Subassies w/2 or more PCBs or ceramic substrates, exc. tuners or converg. ass’ies, for color TV, w/components in add. US note 4, ch.</w:t>
      </w:r>
    </w:p>
    <w:p>
      <w:pPr>
        <w:pStyle w:val="Normal"/>
      </w:pPr>
      <w:r>
        <w:t>85 Subassies w/2 or more PCBs or ceramic substrates, exc. tuners or converg. ass’ies, for color TV, not w/components in add. US note 4, ch.</w:t>
      </w:r>
    </w:p>
    <w:p>
      <w:pPr>
        <w:pStyle w:val="Normal"/>
      </w:pPr>
      <w:r>
        <w:t>85 Parts of television apparatus, nesi Assemblies and subassemblies of radar, radio navigational aid or remote control apparatus, of 2 or more parts joined together, nesi Parts suitable for use solely or principally in radar, radio navigational aid or radio remote control apparatus, nesi Parts suitable for use solely or principally with the apparatus of headings 8525 to 8528, nesi Electrical signaling, safety or traffic control equipment for railways, streetcar lines or subways Electrical signaling, safety or traffic control equipment for roads, inland waterways, parking facilities, port installations or airfields Parts for electrical signaling, safety or traffic control equipment Electric burglar or fire alarms and similar apparatus Indicator panels incorporating liquid crystal devices (LCD’s) or light emitting diodes (LED’s) Doorbells, chimes, buzzers, and similar apparatus Electric sound or visual signaling apparatus, nesoi Printed circuit assemblies of the panels of subheading 8531.20 Printed circuit assemblies of electric sound or visual signaling apparatus, nesoi Parts of the panels of subheading</w:t>
      </w:r>
    </w:p>
    <w:p>
      <w:pPr>
        <w:pStyle w:val="Normal"/>
      </w:pPr>
      <w:r>
        <w:t>8531.20, other than printed circuit assemblies Parts of electric sound or visual signaling apparatus, nesoi Fixed electrical capacitors designed for use in 50/60 Hz circuits and having a reactive power handling capacity of not less than 0.5 kvar Tantalum fixed capacitors Aluminum electrolytic fixed capacitors Ceramic dielectric fixed capacitors, single layer Ceramic</w:t>
      </w:r>
    </w:p>
    <w:p>
      <w:pPr>
        <w:pStyle w:val="Normal"/>
      </w:pPr>
      <w:r>
        <w:t>dielectric fixed capacitors, multilayer Dielectric fixed capacitors of paper or plastics Fixed electrical capacitors, nesi Variable or adjustable (pre-set) electrical capacitors Parts of electrical capacitors, fixed, variable or adjustable (pre-set) Electrical fixed carbon resistors, composition or film types Electrical fixed resistors, other than composition or film type carbon resistors, for a power handling capacity not exceeding 20 W Electrical fixed resistors, other than composition or film type carbon resistors, for a power handling capacity exceeding 20 W Electrical wirewound variable resistors, including rheostats and potentiometers, for a power handling capacity not exceeding 20 W Electrical wirewound variable resistors, including rheostats and potentiometers, for a power handling capacity exceeding 20 W Metal oxide resistors Electrical variable resistors, other than wirewound, including rheostats and potentiometers For the goods of subheading</w:t>
      </w:r>
    </w:p>
    <w:p>
      <w:pPr>
        <w:pStyle w:val="Normal"/>
      </w:pPr>
      <w:r>
        <w:t>8533.40, of ceramic or metallic materials, electrically or mechanically reactive to changes in temperature Other parts of electrical resistors, including rheostats and potentiometers, nesi Printed circuits, without elements (other than connecting elements) fitted thereon Fuses, for a voltage exceeding 1,000 V Automatic circuit breakers, for a voltage of less than 72.5 kV, but exceeding 1,000 V Automatic circuit breakers, for a voltage of 72.5 kV or more Isolating switches and make-and-break switches, for a voltage exceeding</w:t>
      </w:r>
    </w:p>
    <w:p>
      <w:pPr>
        <w:pStyle w:val="Normal"/>
      </w:pPr>
      <w:r>
        <w:t>1,000 V Lightning arrestors, voltage limiters and surge suppressors, for a voltage exceeding 1,000 V Electrical motor starters and electrical motor overload protector, for a voltage exceeding 1,000 V Electrical apparatus nesi for switching, protecting, or making connections for electrical circuits, for a voltage exceeding 1,000 V, nesi Fuses, for a voltage not exceeding 1,000 V Automatic circuit breakers, for a voltage not exceeding 1,000 V Electrical motor overload protectors, for a voltage not exceeding 1,000 V, nesi Electrical apparatus for protecting electrical circuits, for a voltage not exceeding 1,000 V, nesi Relays for switching, protecting or making connections to or in electrical circuits, for a voltage not exceeding 60 V Relays for switching, protecting or making connections to or in electrical circuits, for a voltage exceeding 60 but not exceeding 1,000 V Electrical motor starters (which are switches), for a voltage not exceeding 1,000 V Certain specifed electronic and electromechanical snap-action switches, for a voltage not exceeding 1,000 V Switches nesoi, for switching or making connections to or in electrical circuits, for a voltage not exceeding 1,000 V Lampholders for a voltage not exceeding 1,000 V Connectors:</w:t>
      </w:r>
    </w:p>
    <w:p>
      <w:pPr>
        <w:pStyle w:val="Normal"/>
      </w:pPr>
      <w:r>
        <w:t>coaxial, cylindrical multicontact, rack and panel, printed circuit, ribbon or flat cable, for a voltage not exceeding 1,000 V Plugs and sockets for making connections to or in electrical circuits, for a voltage not exceeding 1,000 V, nesoi</w:t>
      </w:r>
    </w:p>
    <w:p>
      <w:pPr>
        <w:pStyle w:val="Normal"/>
      </w:pPr>
      <w:r>
        <w:t>Connectors for optical fibers, optical fiber bundles or cables Electrical terminals, electrical splicers and electrical couplings, wafer probers, for a voltage not exceeding 1,000 V Battery clamps used in motor vehicles of headings 8702, 8703, 8704, or 8711 Other electrical apparatus nesi, for switching or making connections to or in electrical circuits, for a voltage not exceeding 1,000 V, nesoi Electric control panels, for a voltage not exceeding 1,000, assembled with outer housing or supports, for goods of 8421, 8422, 8450 or 8516 Boards, panels, etc., equipped with apparatus for electric control, for a voltage not exceeding 1,000, motor control centers Touch screens without display capabilities for incorporation in apparatus having a display Other boards, panels, consoles, desks, cabinets, etc., equipped with apparatus for electric control, for a voltage not exceeding 1,000, nesi Boards, panels, consoles, desks, cabinets and other bases, equipped with apparatus for electric control, for a voltage exceeding 1,000 V Parts of boards, panels, consoles, desks, cabinets and other bases for the goods of heading 8537, not equipped with their apparatus Printed circuit assemblies of an article of heading 8537 for one of the articles described in additional U.S.</w:t>
      </w:r>
    </w:p>
    <w:p>
      <w:pPr>
        <w:pStyle w:val="Normal"/>
      </w:pPr>
      <w:r>
        <w:t>note 12 to chapter 85 Printed circuit assemblies, suitable for use solely or principally with the apparatus of heading 8535, 8536 or 8537, nesoi Parts for articles of 8535.90.40, 8536.30.40 or 8536.50.40, of ceramic or metallic materials, mech. or elec. reactive to changes in temp.</w:t>
      </w:r>
    </w:p>
    <w:p>
      <w:pPr>
        <w:pStyle w:val="Normal"/>
      </w:pPr>
      <w:r>
        <w:t>Molded parts nesi, suitable for use solely or principally with the apparatus of heading 8535, 8536 or 8537 Other parts nesi, suitable for use solely or principally with the apparatus of heading 8535, 8536 or 8537 Sealed beam lamp units Tungsten halogen electrical filament lamps, designed for a voltage not exceeding 100 V Tungsten halogen electrical filament lamps, designed for a voltage exceeding 100 V Electrical filament Christmas-tree lamps, of a power not exceeding 200 W and for a voltage exceeding 100 V Electrical filament lamps of a power not exceeding 200 W and for a voltage exceeding 100 V nesi, excluding ultraviolet and infrared lamps Electrical filament Christmas-tree lamps, designed for a voltage not exceeding 100 V Electrical filament lamps, voltage not exceeding 100 V, having glass envelopes n/o 6.35 mm in diameter, suitable in surgical instruments Electrical filament lamps nesi, designed for a voltage not exceeding 100 V, excluding ultraviolet and infrared lamps Electrical filament lamps, designed for a voltage exceeding 100 V, of a power exceeding 200 W Fluorescent, hot cathode discharge lamps, other than untraviolet lamps Mercury or sodium vapor discharge lamps or metal halide</w:t>
      </w:r>
    </w:p>
    <w:p>
      <w:pPr>
        <w:pStyle w:val="Normal"/>
      </w:pPr>
      <w:r>
        <w:t>discharge lamps (other than ultraviolet lamps) CCFLS for backlighting of flat planel displays Other electrical discharge lamps, other than fluorescent (hot cathode), mercury or sodium vapor, metal halide or ultraviolet lamps Arc lamps Ultraviolet or infrared lamps Light-emitting diode (LED) lamps Parts of electrical filament or discharge lamps Cathode-ray television picture tubes incl. video monitor, color, non-high definition, non-projection, display &gt; 35.56 cm Cathode-ray TV &amp; video monitor tubes, color, non-high definition, non-projection, video display diagonal &lt;or= 34.29 cm Cathode-ray TV &amp; video monitor tubes, color, non-high definition, non-projection, video display diagonal &gt; 34.29 cm &amp; &lt;or= 35.56 cm Cathode-ray television picture tubes incl. video monitor, color, high definition, display diagonal &gt; 35.56 cm Cathode-ray TV &amp; video monitor tubes, color, high definition, having video display display diagonal &lt;or= 34.29 cm Cathode-ray TV &amp; video monitor tubes, color, high definition, video display diagonal video display diagonal &gt; 34.29 cm &amp; &lt;or= 35.56 cm Cathode-ray television picture tubes incl. video monitor, color, non-high definition, projection type Cathode-ray television picture tubes incl.</w:t>
      </w:r>
    </w:p>
    <w:p>
      <w:pPr>
        <w:pStyle w:val="Normal"/>
      </w:pPr>
      <w:r>
        <w:t>video monitor, monochrome, non-high definition, w/faceplate diagonal &gt; 29 cm and &lt;or= 42 cm Cathode-ray television picture tubes incl. video monitor, monochrome, high definition, w/faceplate diagonal &gt; 29 cm and &lt;or= 42 cm Cathode-ray television picture tubes incl.</w:t>
      </w:r>
    </w:p>
    <w:p>
      <w:pPr>
        <w:pStyle w:val="Normal"/>
      </w:pPr>
      <w:r>
        <w:t>video monitor, monochrome, non-high definition, nesi Cathode-ray television picture tubes incl. video monitor, monochrome, high definition, nesi Cathode-ray television camera tubes Television camera tubes, image converters and intensifiers, and other photocathode tubes, other than cathode-ray tubes Data/grphic display tubes, monochrome; data/graphic display tubes, color, with a phosphor dot screen pitch smaller than 0.4 mm Cathode-ray tubes nesoi Magnetron tubes, modified for use as parts of microwave ovens Magnetron tubes nesoi Klystron tubes Microwave tubes (other than magnetrons or klystrons) excluding grid-controlled tubes Receiver or amplifier tubes Thermionic, cold cathode or photocathode tubes, nesi Front panel assemblies for cathode-ray tubes Deflection coils for cathode-ray tubes Parts of cathode-ray tubes other than deflection coils or front panel assemblies Electron guns; radio frequency (RF) interaction structures for microwave tubes of subheadings 8540.71 through 8540.79, inclusive Parts of thermionic, cold cathode or photocathode tubes, other than parts of cathode- ray tubes, electron guns, etc., nesi Diodes, other than photosensitive or light-emitting diodes Transistors, other than photosensitive transistors, with a dissipation rating of less than 1 W Transistors, other than photosensitive transistors, with a dissipation rating of 1 W or more Thyristors, diacs and triacs, other than photosensitive devices Light-emitting diodes (LED’s) Diodes for semiconductor</w:t>
      </w:r>
    </w:p>
    <w:p>
      <w:pPr>
        <w:pStyle w:val="Normal"/>
      </w:pPr>
      <w:r>
        <w:t>devices, other than light-emitting diodes, nesi Photosensitive transistors Photosensitive semiconductor devices nesi, optical coupled isolators Photosensitive semiconductor devices nesi, other Semiconductor devices other than photosensitive semiconductor devices, nesi Mounted piezoelectric crystals Parts of diodes, transistors, similar semiconductor devices, photosensitive semiconductor devices, LED’s and mounted piezoelectric crystals Processors and controllers, whether or not combined with memories, converters, logic circuits, amplifiers, clock and timing circuits, or oth Memories Amplifiers Electronic integrated circuits, nesoi Parts of electronic integrated circuits and microassemblies Electrical particle accelerators Electrical signal generators Electrical machines and apparatus for electroplating, electrolysis, or electrophoresis for making printed circuits Other electrical machines and apparatus for electroplating, electrolysis, or electrophoresis Physical vapor deposition appartus, nesoi Flight data recorders Other electric synchros and transducers; defrosters and demisters with electric resistors for aircraft Electrical machines and apparatus nesoi, designed for connection to telegraphic or telephonic apparatus, instruments or networks Electric luminescent lamps Microwave amplifiers Electrical machines and apparatus for electrical nerve stimulation Electrical machines w/ translation/dictionary; flatpanel displays except for heading 8528 (except 8528.51/61);infrared</w:t>
      </w:r>
    </w:p>
    <w:p>
      <w:pPr>
        <w:pStyle w:val="Normal"/>
      </w:pPr>
      <w:r>
        <w:t>video game controller Portable battery operated electronic readers for recording text, still images or audio files Digital signal processing apparatus capable of connecting to a wired or wireless network for sound mixing Portable interactive electronic education devices for children Touch screens without display capabilities for incorporation in apparatus having a display Plasma cleaner machines that remove organic contaminants from electron microscopy specimens and holders Other machinery in this subheading Parts of physical vapor deposition apparatus of subheading 8543.70 Assemblies and subassemblies for flight data recorders, consisting of 2 or more parts pieces fastened together, printed circuit assemblies Assemblies and subassemblies for flight data recorders, consisting of 2 or more parts pieces fastened together, not printed circuit assys.</w:t>
      </w:r>
    </w:p>
    <w:p>
      <w:pPr>
        <w:pStyle w:val="Normal"/>
      </w:pPr>
      <w:r>
        <w:t>Printed circuit assemblies of flat panel displays other than for reception apparatus for television of heading 8528 Printed circuit assemblies of electrical machines and apparatus, having individual functions, nesoi Parts, nesoi, of flat panel displays other than for reception apparatus for television of heading 8528 Parts (other than printed circuit assemblies) of electrical machines and apparatus, having individual functions, nesoi Insulated (including enameled or anodized) winding wire, of copper Insulated (including enameled or anodized) winding wire, other than of copper Insulated (including enameled or anodized) coaxial cable and other coaxial conductors Insulated ignition wiring sets and other wiring sets of a kind used in vehicles, aircraft or ships Insulated electric conductors nesi, for a voltage not exceeding 1,000 V, fitted with modular telephone connectors Insulated electric conductors nesi, used for telecommuncations, for a voltage not exceeding 1,000 V, fitted with connectors Insulated electric conductors nesi, for a voltage not exceeding 1,000 V, fitted with connectors, nesoi Insulated electric conductors of a kind used for telecommuncations, for a voltage not exceeding</w:t>
      </w:r>
    </w:p>
    <w:p>
      <w:pPr>
        <w:pStyle w:val="Normal"/>
      </w:pPr>
      <w:r>
        <w:t>80 V, not fitted with connectors Insulated electric conductors nesoi, for a voltage not exceeding 80 V, not fitted with connectors Insulated electric conductors nesi, of copper, for a voltage not exceeding 1,000 V, not fitted with connectors Insulated electric conductors nesi, not of copper,</w:t>
      </w:r>
    </w:p>
    <w:p>
      <w:pPr>
        <w:pStyle w:val="Normal"/>
      </w:pPr>
      <w:r>
        <w:t>for a voltage not exceeding 1,000 V, not fitted with connectors Insulated electric conductors nesi, for a voltage exceeding 1,000 V, fitted with connectors Insulated electric conductors nesi, of copper, for a voltage exceeding 1,000 V, not fitted with connectors Insulated electric conductors nesi, not of copper, for a voltage exceeding 1,000 V, not fitted with connectors Optical fiber cables made up of individually sheathed fibers Carbon electrodes of a kind used for furnaces Carbon electrodes of a kind used for electrolytic purposes Carbon electrodes of a kind used for electrical purposes, other than those used for furnaces or for electrolytic purposes Carbon brushes of a kind used for electrical purposes Arc light carbons of a kind used for electrical purposes Lamp carbons, battery carbons and articles of graphite or other carbon nesi, of a kind used for electrical purposes Electrical insulators of glass Electrical insulators of ceramics Electrical insulators of any material, other than glass or ceramics Ceramic insulators to be used in the production of spark plugs for</w:t>
      </w:r>
    </w:p>
    <w:p>
      <w:pPr>
        <w:pStyle w:val="Normal"/>
      </w:pPr>
      <w:r>
        <w:t>natural gas fueled, stationary, internal-combustion engines Insulating fittings for electrical machines, appliances or equipment, of ceramics nesi Insulating fittings for electrical machines, appliances or equipment, of plastics Electrical conduit tubing and joints therefor, of base metal lined with insulating material;</w:t>
      </w:r>
    </w:p>
    <w:p>
      <w:pPr>
        <w:pStyle w:val="Normal"/>
      </w:pPr>
      <w:r>
        <w:t>insulating fittings for electrical goods nesi Spent primary cells, spent primary</w:t>
      </w:r>
    </w:p>
    <w:p>
      <w:pPr>
        <w:pStyle w:val="Normal"/>
      </w:pPr>
      <w:r>
        <w:t>batteries and spent electric storage batteries, entered for recovery of lead Spent primary cells, spent primary batteries and spent electric storage batteries, not entered for recovery of lead Waste and scrap of primary cells, primary batteries and electric storage batteries, entered for recovery of lead Waste and scrap of primary cells, primary batteries and electric storage batteries, not entered for recovery of lead Electrical parts of machinery or apparatus not specified or included elsewhere in chapter 85 Rail locomotives powered from an external source of electricity Rail locomotives powered by electric accumulators (batteries) Diesel-electric locomotives Rail locomotives (o/than diesel-electric), non-electric; locomotive tenders Self-propelled railway or tramway coaches, vans and trucks (o/than those of 8604), powered from an external source of electricity Self-propelled railway or tramway coaches, vans and trucks (o/than those of 8604), o/than powered from an external source of electricity Railway or tramway maintenance or service vehicles, whether or not self-propelled Railway or tramway passenger coaches and special purpose railway or tramway coaches, not self-propelled Railway or tramway tank cars and the like, not self-propelled Railway or tramway self-discharging freight cars (o/than tank cars or insulated/refrig.</w:t>
      </w:r>
    </w:p>
    <w:p>
      <w:pPr>
        <w:pStyle w:val="Normal"/>
      </w:pPr>
      <w:r>
        <w:t>freight cars), not self-propelled Railway or tramway freight cars nesoi, closed and covered, not self-propelled Railway or tramway freight cars nesoi, open, with nonremovable sides of a height over 60 cm, not self-propelled Railway or tramway freight cars nesoi, not self-propelled Parts of railway/tramway locomotives/rolling stock, truck assemblies for self-propelled vehicles Parts of railway/tramway locomotives/rolling stock, truck assemblies for other than self- propelled vehicles Parts of railway/tramway locomotives/rolling stock, axles Parts of railway/tramway locomotives/rolling stock, parts of axles Parts of railway/tramway locomotives/rolling stock, wheels, whether or not fitted with axles Parts of railway/tramway locomotives/rolling stock, parts of wheels Parts of railway/tramway locomotives/rolling stock, parts of truck assemblies for non self-propelled passenger coaches or freight cars Parts of railway/tramway locomotives/rolling stock, parts of truck assemblies for self- propelled vehicles or for non-self propelled nesoi Parts of railway/tramway locomotives/rolling stock, air brakes &amp; parts thereof for non self-propelled passenger coaches or freight cars Parts of railway/tramway locomotives/rolling stock, air brakes &amp; parts thereof for self- propelled vehicles or non-self-propelled stock nesoi Parts of railway/tramway locomotives/rolling stock, pts of brakes (o/than air brakes) for non-self-propelled passenger coaches or freight Parts of railway/tramway</w:t>
      </w:r>
    </w:p>
    <w:p>
      <w:pPr>
        <w:pStyle w:val="Normal"/>
      </w:pPr>
      <w:r>
        <w:t>locomotives/rolling stock, pts of brakes (o/th air brakes) for self-propelled vehicles or non-self-propelled nesoi Parts of railway/tramway locomotives/rolling stock, hooks and other coupling devices, buffers, pts thereof, for stock of 8605 or 8606 Parts of railway/tramway locomotives/rolling stock, hooks and other coupling devices, buffers, pts thereof, for stock of 8601 to 8605 Parts, nesoi, of railway/tramway locomotives Parts (o/than brake regulators) nesoi, of railway/tramway, non-self-propelled passenger coaches or freight cars Parts, nesoi, of railway or tramway rolling stock, nesoi Railway or tramway track fixtures and fittings; mechanical signaling, safety or traffic control equipment of all kinds nesoi;</w:t>
      </w:r>
    </w:p>
    <w:p>
      <w:pPr>
        <w:pStyle w:val="Normal"/>
      </w:pPr>
      <w:r>
        <w:t>parts thereof Containers (including containers for transport of fluids) specially designed and equipped for carriage by one or more modes of transport Single axle tractors, other than tractors of 8709 Road tractors for semi-trailers Track-laying tractors, suitable for agricultural use Track-laying tractors, not suitable for agricultural use Other tractors of engine power &lt;18kW, for agricultural use Other tractors of engine power &lt;18kW, not for agricultural use Other tractors of engine power =&gt; 18kW but &lt; 37kW, for agricultural use Other tractors of engine power =&gt; 18kW but &lt; 37kW, not for agricultural use Other tractors of engine power =&gt; 37kW but &lt; 75kW, for agricultural use Other tractors of engine power =&gt; 37kW but &lt; 75kW, not for agricultural use Other tractors</w:t>
      </w:r>
    </w:p>
    <w:p>
      <w:pPr>
        <w:pStyle w:val="Normal"/>
      </w:pPr>
      <w:r>
        <w:t>of engine power =&gt; 75kW but &lt; 130kW, for agricultural use Other tractors of engine power =&gt; 75kW but &lt; 130kW, not for agricultural use Other tractors of engine power &gt;130kW, for agricultural use Other tractors of engine power &gt;130kW, not for agricultural use Motor vehicles w/diesel engine, to transport 16 or more persons, incl driver Motor vehicles w/diesel engine, to transport 10 to 15 persons, incl driver Motor vehicles w/diesel engine &amp; electric motor, to transport 16 or more persons, incl driver Motor vehicles w/diesel engine &amp; electric motor, to transport 10 to 15 persons, incl driver Motor vehicles w/spark-ign. IC recip. piston engine &amp; electric motor, to transport 16 or more persons, incl driver Motor vehicles w/spark-ign.</w:t>
      </w:r>
    </w:p>
    <w:p>
      <w:pPr>
        <w:pStyle w:val="Normal"/>
      </w:pPr>
      <w:r>
        <w:t>IC recip. piston engine &amp; electric motor, to transport 10 to 15 persons, incl driver Motor vehicles w/electric motor, to transport 16 or more persons, incl driver Motor vehicles w/electric motor, to transport 10 to 15 persons, incl driver Motor vehicles nesoi, to transport 16 or more persons, incl driver Motor vehicles nesoi, to transport 10 to 15 persons, incl driver Motor vehicles specially designed for traveling on snow Golf carts and similar motor vehicles Motor vehicles to transport persons, w/spark-ign. IC recip. piston engine, w/cyl capacity &lt;= 1, 000 cc Motor vehicles to transport persons, w/spark-ign. IC recip. piston engine, w/cyl capacity &gt; 1, 000cc but &lt;=1, 500cc Motor vehicles to transport persons, w/spark-ign. IC recip.</w:t>
      </w:r>
    </w:p>
    <w:p>
      <w:pPr>
        <w:pStyle w:val="Normal"/>
      </w:pPr>
      <w:r>
        <w:t>piston engine, w/cyl capacity &gt;1, 500cc but &lt;=3, 000cc Motor vehicles to transport persons, w/spark-ign. IC recip. piston engine, w/cyl capacity &gt;3, 000cc Motor vehicles to transport persons, w/diesel engines, of a cylinder capacity &lt;= 1, 500cc Motor vehicles to transport persons, w/diesel engines, of a cylinder capacity &gt; 1, 500cc but &lt;= 2, 500cc Motor vehicles to transport persons, w/diesel engines, of a cylinder capacity &gt; 2, 500cc Motor vehicles to transport persons, w/spark-ign. IC recip. piston engine &amp; elec motor incapable of charge by plug to exetrnal source Motor vehicles to transport persons, w/diesel engine &amp; elec motor incapable of charge by plug to external source Motor vehicles to transport persons, w/spark-ign.</w:t>
      </w:r>
    </w:p>
    <w:p>
      <w:pPr>
        <w:pStyle w:val="Normal"/>
      </w:pPr>
      <w:r>
        <w:t>IC recip. piston engine &amp; elec motor capable of charge by plug to external source Motor vehicles to transport persons, w/diesel engine &amp; elec motor capable of charge by plug to external source Motor vehicles to transport persons, w/electric motor for propulsion Motor vehicles to transport persons, nesoi Mtr. vehicles for transport of goods, cab chassis for dumpers designed for off-highway use Mtr. vehicles for transport of goods, complete dumpers designed for off-highway use Mtr. vehicles for transport of goods, w/compress.-ign. int. combust. recip. piston engine, w/G.V.W. not over 5 metric tons Mtr. vehicles for transport of goods, cab chassis, w/compress.-ign. int. combust. recip. piston engine, w/G.V.W. o/5 but n/o 20 metric tons Mtr. vehicl.</w:t>
      </w:r>
    </w:p>
    <w:p>
      <w:pPr>
        <w:pStyle w:val="Normal"/>
      </w:pPr>
      <w:r>
        <w:t>for transport of goods (o/than cab chassis), w/compress.-ign. int. combust. recip. piston engine, w/G.V.W. o/5 but n/o 20 mtons Mtr. vehicles for transport of goods, w/compress.-ign. int. combust. recip. piston engine, w/G.V.W. over 20 metric tons Mtr. vehicles for transport of goods, w/spark.-ign. int. combust. recip. piston engine, w/G.V.W. not over 5 metric tons Mtr. vehicles for transport of goods, w/spark.-ign. int. combust. recip. piston engine, w/G.V.W. over 5 metric tons Mtr. vehicles for transport of goods, o/than w/compress. ign. or spark ign. recip. piston engine, nesoi Mtr. vehicles (o/than for transport of persons or of goods), mobile cranes Mtr. vehicles (o/than for transport of persons or of goods), mobile drilling derricks Mtr. vehicles (o/than for transport of persons or of goods), fire fighting vehicles Mtr. vehicles (o/than for transport of persons or of goods), concrete mixers Mtr. vehicles (o/than for transport of persons or of goods), special purpose motor vehicles nesoi Chassis fitted w/engines, for mtr. vehicles for transport of goods of 8704.21 or 8704.31 Chassis fitted w/engines, for mtr.</w:t>
      </w:r>
    </w:p>
    <w:p>
      <w:pPr>
        <w:pStyle w:val="Normal"/>
      </w:pPr>
      <w:r>
        <w:t>vehicles of 8701.20, 8702, &amp; 8704 (except 8704.21 or 8704.31) Chassis fitted w/engines, for mtr. vehicles for transport of persons of 8703 Chassis fitted w/engines, for mtr. vehicles of heading 8705 Chassis fitted w/engines, for tractors suitable for agricultural use Chassis fitted w/engines, for tractors (o/than for agric.</w:t>
      </w:r>
    </w:p>
    <w:p>
      <w:pPr>
        <w:pStyle w:val="Normal"/>
      </w:pPr>
      <w:r>
        <w:t>use) and other motor vehicles nesoi Bodies (including cabs), for mtr. vehicles for transport of persons of heading 8703 Bodies (including cabs), for tractors suitable for agricultural use Bodies (including cabs), for mtr. vehicles (o/than tract. for agri. use) of headings 8701 8705 (except 8703) Pts. &amp; access. for mtr vehicles of headings 8701 to 8705, bumpers Pts. &amp; access. of mtr. vehicles of headings 8701 to 8705, parts of bumpers Pts. &amp; access. of bodies for mtr. vehicles of headings 8701 to 8705, safety seat belts Pts. &amp; access. of bodies for mtr. vehicles of headings 8701 to 8705, door assemblies Body stampings for tractors suitable for agriculture Body stampings of motor vehicles, nesoi Pts. &amp; access. of bodies for mtr. vehicles of headings 8701 to 8705, nesoi Pts. &amp; access. of tractors suit. for agric. use, brakes and servo-brakes &amp; pts thereof Pts. &amp; access. of mtr. vehicles of 8701, nesoi, and 8702-8705, brakes and servo-brakes &amp; pts thereof Pts. &amp; access. of mtr. vehic. of 8701.20, 8702, 8703 or 8704, gear boxes Pts. &amp; access.</w:t>
      </w:r>
    </w:p>
    <w:p>
      <w:pPr>
        <w:pStyle w:val="Normal"/>
      </w:pPr>
      <w:r>
        <w:t>of tractors suitable for agricultural use, gear boxes Pts. &amp; access. of mtr. vehic. of 8701, nesoi, and of 8705, gear boxes Pts. &amp; access. of tractors suitable for agricultural use, pts. for gear boxes Pts. &amp; access. of tractors (o/than road tractors or for agricultural use), pts. for gear boxes Parts of gear boxes of the motor vehicles of 8701-8705, of cast iron Pts. &amp; access. of motor vehicles of 8701, nesoi, and 8702-8705, pts.</w:t>
      </w:r>
    </w:p>
    <w:p>
      <w:pPr>
        <w:pStyle w:val="Normal"/>
      </w:pPr>
      <w:r>
        <w:t>for gear boxes, nesoi Pts. &amp; access. of tractors suitable for agricultural use, drive axles w/differential (whether or not w/other transm. components) Pts. &amp; access. of tractors, other than road tractors or for agricultural use, drive axles w/differential (whether or not w/other transm. com Pts. &amp; access. of motor vehicles of 8703, drive axles w/differential (whether or not w/other transm. components) Pts. &amp; access. of mtr. vehic. of 8701, nesoi, 8702, and 8704-8705, drive axles w/different. (wheth or not w/oth transm components) Pts. &amp; access. of mtr. vehic. of 8701, nesoi, of 8702, and of 8704-8705, non-driving axles Pts. &amp; access. of tractors suitable for agricultural use, parts of drive axles w/different. (wheth or not w/oth transm components) Pts. &amp; access. of tractors, other than road tractors or for agricultural use, parts of drive axles w/different.</w:t>
      </w:r>
    </w:p>
    <w:p>
      <w:pPr>
        <w:pStyle w:val="Normal"/>
      </w:pPr>
      <w:r>
        <w:t>(wheth or not w/oth transm c Pts. &amp; access. of mtr. vehic. for transp. of persons of 8703, parts of non-driving axles Pts. &amp; access. of motor vehicles of 8703, of cast iron nesoi Pts. &amp; access. of motor vehicles of 8703, half-shafts Pts. &amp; access. of motor vehicles of 8703, parts, nesoi, of drive axles w/different. (wheth or not w/oth transm components) Pts. &amp; access. of mtr. vehic. of 8701, nesoi, 8702 and 8704-8705, parts of non-driving axles Pts. &amp; access. of mtr. vehic. of 8701, nesoi, 8702 and 8704-8705, of cast iron nesoi Pts. &amp; access. of mtr. vehic. of 8701, nesoi, 8702 and 8704-8705, half-shafts Pts. &amp; access.</w:t>
      </w:r>
    </w:p>
    <w:p>
      <w:pPr>
        <w:pStyle w:val="Normal"/>
      </w:pPr>
      <w:r>
        <w:t>of mtr. vehic. of 8701, nesoi, 8702 and 8704-8705, parts, nesoi, of drive axles w/different.</w:t>
      </w:r>
    </w:p>
    <w:p>
      <w:pPr>
        <w:pStyle w:val="Normal"/>
      </w:pPr>
      <w:r>
        <w:t>(wheth or not w/oth transm compo Pts. &amp; access. of tractors suitable for agricultural use, road wheels Pts. &amp; access. of tractors suitable for agricultural use, pts. &amp; access. for road wheels Pts. &amp; access. of tractors (o/than road tractors or for agric. use), road wheels Pts. &amp; access. of tractors (o/than road tractors or for agric. use), pts. &amp; access. for road wheels Pts. &amp; access. of mtr. vehic. of 8701, nesoi, and of 8702-8705, road wheels Pts. &amp; access. of mtr. vehicc of 8701, nesoi, and of 8702-8705, pts. &amp; access. for road wheels Pts. &amp; access. of tractors suitable for agricultural use, McPherson struts Pts. &amp; access. of tractors suitable for agricultural use, suspension shock absorbers (o/than McPherson struts) Pts. &amp; access. of mtr. vehic. of 8701, nesoi, and of 8702-8705, McPherson struts Pts. &amp; access. of mtr. vehic. of 8701, nesoi, and of 8702-8705, suspension shock absorbers (o/than McPherson struts) Pts. &amp; access. of tractors suitable for agricultural use, pts. for suspension systems nesoi Pts. &amp; access.</w:t>
      </w:r>
    </w:p>
    <w:p>
      <w:pPr>
        <w:pStyle w:val="Normal"/>
      </w:pPr>
      <w:r>
        <w:t>of tractors (o/than road tractors or for agricultural use), pts. for suspension systems nesoi Parts of suspension systems of the motor vehicles of 8701-8705, of cast iron Pts. &amp; access. of motor vehicles of 8701, nesoi, and 8702-8705, pts. for suspension systems nesoi Pts. &amp; access. of tractors suitable for agricultural use, radiators Pts. &amp; access. of mtr. vehic.</w:t>
      </w:r>
    </w:p>
    <w:p>
      <w:pPr>
        <w:pStyle w:val="Normal"/>
      </w:pPr>
      <w:r>
        <w:t>of 8701, nesoi, and 8702-8705, radiators Pts. &amp; access., nesoi, of tractors suitable for agricultural use, parts of radiators Pts. &amp; access., nesoi, of tractors (o/than road tractors or suitable for agricultural use), parts of radiators Pts. &amp; access. of motor vehicles of 8701, nesoi, and 8702-8705, parts of radiators, of cast iron nesoi Pts. &amp; access., nesoi, of motor vehicles of 8701, nesoi, and 8702-8705, parts of radiators, nesoi Pts. &amp; access. of tractors suitable for agricultural use, mufflers &amp; exhaust pipes Pts. &amp; access. of mtr. vehic. of 8701, nesoi, and 8702-8705, mufflers &amp; exhaust pipes Pts. &amp; access., nesoi, of tractors suitable for agricultural use, parts of mufflers Pts. &amp; access., nesoi, of tractors (o/than road tractors or suitable for agricultural use), parts of mufflers Pts. &amp; access. of motor vehicles of 8701, nesoi, and 8702-8705, parts of mufflers, of cast iron nesoi Pts. &amp; access., nesoi, of motor vehicles of 8701, nesoi, and 8702-8705, parts of mufflers, nesoi Pts. &amp; access. of tractors suitable for agricultural use, clutches Pts. &amp; access.</w:t>
      </w:r>
    </w:p>
    <w:p>
      <w:pPr>
        <w:pStyle w:val="Normal"/>
      </w:pPr>
      <w:r>
        <w:t>of tractors suitable for agricultural use, pts. of clutches Pts. &amp; access. of mtr. vehic. of 8701, nesoi, and 8702-8705, clutches Pts. &amp; access. of mtr. vehic. of 8701, nesoi, and 8702-8705, pts. of clutches Pts. &amp; access. of tractors suitable for agricultural use, steering wheels, steering columns and steering boxes Pts. &amp; access. of mtr. vehic.</w:t>
      </w:r>
    </w:p>
    <w:p>
      <w:pPr>
        <w:pStyle w:val="Normal"/>
      </w:pPr>
      <w:r>
        <w:t>of 8701, nesoi, and 8702-8705, steering wheels, steering columns and steering boxes Pts. &amp; access., nesoi, of tractors suitable for agricultural use, parts of steering wheels/columns/boxes Pts. &amp; access., nesoi, of tractors (o/than road tractors or suitable for agricultural use), parts of steering wheels/columns/boxes Pts. &amp; access. of motor vehicles of 8701, nesoi, and 8702-8705, parts of steering wheels/columns/boxes, of cast iron nesoi Pts. &amp; access., nesoi, of motor vehicles of 8701, nesoi, and 8702-8705, parts of steering wheels/columns/boxes, nesoi Pts. &amp; access. of bodies for mtr. vehicles of headings 8701 to 8705, inflators &amp; modules for airbags Pts. &amp; access., nesoi, of tractors suitable for agricultural use, parts of safety airbags with inflater system Pts. &amp; access., nesoi, of tractors (o/than road tractors or suitable for agricultural use), parts of safety airbags with inflater system Pts. &amp; access. of motor vehicles of 8701, nesoi, and 8702-8705, parts of safety airbags with inflater system Pts. &amp; access. of tractors suitable for agricultural use, vibration control goods containing rubber Pts. &amp; access.</w:t>
      </w:r>
    </w:p>
    <w:p>
      <w:pPr>
        <w:pStyle w:val="Normal"/>
      </w:pPr>
      <w:r>
        <w:t>of tractors suitable for agricultural use, double flanged wheel hub units w/ball bearings Pts. &amp; access. of tractors suitable for agricultural use, pts. for power trains nesoi Pts. &amp; access., nesoi, of tractors suitable for agricultural use Pts. &amp; access. of tractors (o/than road tractors or for agricultural use), vibration control goods containing rubber Pts.</w:t>
      </w:r>
    </w:p>
    <w:p>
      <w:pPr>
        <w:pStyle w:val="Normal"/>
      </w:pPr>
      <w:r>
        <w:t>&amp; access. of tractors (o/than road tractors or for agricultural use), double flanged wheel hub units w/ball bearings Pts. &amp; access. of tractors (o/than road tractors or for agricultural use), pts. for power trains nesoi Pts. &amp; access., nesoi, of tractors (o/than road tractors or suitable for agricultural use) Parts &amp; accessories of motor vehicles of 8701-8705, nesoi, of cast iron Pts. &amp; access. of motor vehicles of 8701, nesoi, and 8702-8705, vibration control goods containing rubber Pts. &amp; access. of motor vehicles of 8701, nesoi, and 8702-8705, double flanged wheel hub units w/ball bearings Pts. &amp; access. of motor vehicles of 8701, nesoi, and 8702-8705, pts. for power trains nesoi Pts. &amp; access., nesoi, of motor vehicles of 8701, nesoi, and 8702-8705 Electrical, self-propelled, works trucks, not fitted w/lift. equip. and tractors of type used on railway station platforms Non-electrical, self-propelled, works trucks, not fitted w/lift. equip. and tractors of type used on railway station platforms Parts of self-propelled works trucks, not fitted w/lift. equip.</w:t>
      </w:r>
    </w:p>
    <w:p>
      <w:pPr>
        <w:pStyle w:val="Normal"/>
      </w:pPr>
      <w:r>
        <w:t>and tractors of the type used on railway station platforms Tanks &amp; other armored fighting vehicles, motorized, whether or not fitted with weapons, and parts of such vehicles Motorcycles (incl. mopeds) and cycles, fitted w/recip. internal-combustion piston engine w/capacity n/o 50 cc Motorcycles (incl. mopeds) and cycles, fitted w/recip.</w:t>
      </w:r>
    </w:p>
    <w:p>
      <w:pPr>
        <w:pStyle w:val="Normal"/>
      </w:pPr>
      <w:r>
        <w:t>internal-combustion piston engine w/capacity o/50 but n/o 250 cc Motorcycles (incl. mopeds) and cycles, fitted w/recip. internal-combustion piston engine w/capacity o/250 but n/o 500 cc Motorcycles (incl. mopeds) and cycles, fitted w/recip. internal-combustion piston engine w/capacity o/500 cc but n/o 700 cc Motorcycles (incl. mopeds) and cycles, fitted w/recip. internal-combustion piston engine w/capacity o/700 cc but n/o 800 cc Motorcycles (incl. mopeds) and cycles, fitted w/recip. internal-combustion piston engine w/capacity o/800 cc Motorcycles (incl. mopeds) and cycles, w/electric motor for propulsion Motorcycles (incl. mopeds) and cycles, nesoi Bicycles, not motorized, w/both wheels not over 63.5 cm in diameter Bicycles, not motorized, w/both wheels o/63.5 cm in diam., weighing under 16.3 kg &amp; not design. for tires w/x-sect. diam. o/4.13cm Bicycles, not motorized, w/both wheels o/63.5 cm in diam., weighing 16.3 kg or more, and/or for use w/tires w/x-sect. diam. o/4.13 cm Bicycles, n/motor., w/front wheel diam. o/55 cm but n/o 63.5 cm &amp; rear wheel diam.</w:t>
      </w:r>
    </w:p>
    <w:p>
      <w:pPr>
        <w:pStyle w:val="Normal"/>
      </w:pPr>
      <w:r>
        <w:t>o/63.5 cm in diam., &amp; wt &lt;16.3 kg w/o acces., value $200+ Bicycles, n/motor., w/front wheel w/diameter different than rear wheel diam., nesoi Cycles (o/than bicycles) (including delivery tricycles), not motorized Invalid carriages, not mechanically propelled Invalid carriages, motorized or otherwise mechanically propelled Pts. &amp; access. for motorcycles (including mopeds) Pts. &amp; access. for invalid carriages Pts.</w:t>
      </w:r>
    </w:p>
    <w:p>
      <w:pPr>
        <w:pStyle w:val="Normal"/>
      </w:pPr>
      <w:r>
        <w:t>&amp; access. for bicycles &amp; o/cycles, frames, valued over $600 each Pts. &amp; access. for bicycles &amp; o/cycles, frames, valued at $600 or less each Pts. &amp; access. for bicycles, sets of steel tubing cut to exact length for the assembly (w/other pts) into the frame &amp; fork of one bicycle Pts. &amp; access. for bicycles &amp; o/cycles, forks, nesoi and pts of frames, nesoi and pts. of forks Pts. &amp; access. for bicycles &amp; o/cycles, wheel rims Pts. &amp; access. for bicycles &amp; o/cycles, wheel spokes Pts. &amp; access. for bicycles &amp; o/cycles, aluminum alloy hubs, w/hollow axle and lever- operated quick release mechanism Pts. &amp; access. for bicycles &amp; o/cycles, 3-speed hubs nesoi Pts. &amp; access. for bicycles &amp; o/cycles, 2-speed hubs, w/internal gear changing mechanisms, nesoi Pts. &amp; access. for bicycles &amp; o/cycles, variable speed hubs, w/internal gear changing mechanisms, nesoi Pts. &amp; access. for bicycles &amp; o/cycles, non-variable speed hubs, nesoi Pts. &amp; access. for bicycles &amp; o/cycles, free-wheel sprocket-wheels Pts. &amp; access. for bicycles &amp; o/cycles, brakes (o/than hub brakes) and parts thereof Pts.</w:t>
      </w:r>
    </w:p>
    <w:p>
      <w:pPr>
        <w:pStyle w:val="Normal"/>
      </w:pPr>
      <w:r>
        <w:t>&amp; access. for bicycles &amp; o/cycles, brakes and parts thereof, nesoi Pts. &amp; access. for bicycles &amp; o/cycles, saddles Pts. &amp; access. for bicycles &amp; o/cycles, pedals and parts thereof Pts. &amp; access. for bicycles &amp; o/cycles, cotterless-type crank sets and parts thereof Pts. &amp; access. for bicycles &amp; o/cycles, crank-gear nesoi and parts thereof Pts. &amp; access.</w:t>
      </w:r>
    </w:p>
    <w:p>
      <w:pPr>
        <w:pStyle w:val="Normal"/>
      </w:pPr>
      <w:r>
        <w:t>for bicycles &amp; o/cycles, click twist grips and click stick levers Pts. &amp; access. for bicycles &amp; o/cycles, derailleurs and parts thereof Pts. &amp; accs. for bicycles &amp; o/cycl., trigger &amp; twist grip cntrls for 3-spd hubs, alum. handlebar stems &gt;$2.15 ea, &amp; stem rotor assys. &amp; pts.</w:t>
      </w:r>
    </w:p>
    <w:p>
      <w:pPr>
        <w:pStyle w:val="Normal"/>
      </w:pPr>
      <w:r>
        <w:t>Pts. &amp; access. nesoi, for bicycles and other cycles of heading 8712 Baby carriages (including strollers) and parts thereof Trailers &amp; semi-trailers, not mech. propelled, for housing or camping Self-loading or self-unloading trailers and semi-trailers, not mech. propelled, for agricultural purposes Tanker trailers and tanker semi-trailers, not mech. propelled, for the transport of goods Trailers and semi-trailers, not mech. propelled, nesoi, for the transport of goods Trailers and semi-trailers, not mechanically propelled, nesoi Farm wagons and carts, not mechanically propelled Vehicles, not mechanically propelled, nesoi Parts of farm wagons and carts Parts of vehicles, not mechanically propelled, castors (o/than castors of heading 8302) Parts of trailers and semi-trailers and vehicles, not mechanically propelled, nesoi Balloons, dirigibles and non-powered aircraft, gliders and hang gliders Helicopters, with an unladen weight not over 2,000 kg Helicopters, with an unladen weight over 2,000 kg Airplanes and other powered aircraft, nesoi, with an unladen weight not over 2,000 kg Airplanes and other powered aircraft, nesoi, with an unladen weight over 2,000 kg but not over 15,000 kg Airplanes and other</w:t>
      </w:r>
    </w:p>
    <w:p>
      <w:pPr>
        <w:pStyle w:val="Normal"/>
      </w:pPr>
      <w:r>
        <w:t>powered aircraft, nesoi, with an unladen weight over 15,000 kg Communication satellites Spacecraft, including satellites (o/than communication satellites), and suborbital and spacecraft launch vehicles Parts of airplanes and other aircraft, propellers and rotors and parts thereof Parts of airplanes and other aircraft, undercarriages and parts thereof Parts of airplanes and helicopters, nesoi Parts of communication satellites Parts of aircraft (o/than airplanes and helicopters), spacecraft (o/than comm. satell.) and suborbital and launch vehicles, nesoi Parachutes (including dirigible parachutes) and rotochutes; parts &amp; access. thereof Aircraft launching gear and parts thereof; deck-arrestors or similar gear and parts thereof Air combat ground flying simulators and parts thereof Ground flying trainers and parts thereof, other than air combat simulators Vessels, designed for the transport of persons, cruise ships, excursion boats and similar vessels; ferry boats of all kinds Vessels, designed for the transport of goods, tankers Vessels, designed for the transport of goods, refrigerated vessels (o/than tankers) Vessels, designed for the transport of goods or for the transport of both persons and goods, nesoi Vessels, fishing;</w:t>
      </w:r>
    </w:p>
    <w:p>
      <w:pPr>
        <w:pStyle w:val="Normal"/>
      </w:pPr>
      <w:r>
        <w:t>factory ships and other vessels for processing or preserving fishery products Vessels, inflatable, for pleasure or sports Vessels, sailboats, with or without auxiliary motor, for pleasure or sports Vessels, motorboats (o/than outboard motorboats), for</w:t>
      </w:r>
    </w:p>
    <w:p>
      <w:pPr>
        <w:pStyle w:val="Normal"/>
      </w:pPr>
      <w:r>
        <w:t>pleasure or sports Vessels, canoes, not of a type designed to be principally used with motor or sails Vessels, row boats, not of a type to be principally used with motors or sails Vessels, outboard motorboats, for pleasure or sports Vessels, yachts and other vessels for pleasure or sports, nesoi Vessels, tugs and pusher craft Vessels, dredgers Floating or submersible drilling or production platforms Floating docks Vessels, light-vessels, fire-floats, floating cranes, &amp; other vessels nesoi, the navigability of which is subsidiary to their main function Warships Vessels (including lifeboats other than row boats), nesoi Inflatable rafts (o/than used for pleasure or sports of</w:t>
      </w:r>
    </w:p>
    <w:p>
      <w:pPr>
        <w:pStyle w:val="Normal"/>
      </w:pPr>
      <w:r>
        <w:t>8901.10) Floating structures nesoi (for example, rafts, other than inflatable rafts, tanks, cofferdams, landing stages, buoys and beacons) Vessels and other floating structures for breaking up (scrapping) Optical fibers, optical fiber bundles and cables, other than those of heading 8544 Sheets and plates of polarizing material Contact lenses Spectacle lenses of glass, unmounted Spectacle lenses of materials other than glass, unmounted Lenses nesi, unmounted Prisms, unmounted Mirrors, unmounted Half-tone screens designed for use in engraving or photographic processes, unmounted Optical elements nesi, unmounted Projection lenses, mounted, and parts and accessories therefor, for cameras, projectors or photographic enlargers or reducers Mounted objective lenses for use in closed circuit television cameras,</w:t>
      </w:r>
    </w:p>
    <w:p>
      <w:pPr>
        <w:pStyle w:val="Normal"/>
      </w:pPr>
      <w:r>
        <w:t>seperately imported, w/ or w/o attached elec. connectors or motors Objective lenses and parts &amp; access. thereof, for cameras, projectors, or photographic enlargers or reducers, except projection, nesi Objective lenses, mounted, and parts and accessories therefor, other than for cameras, projectors or photographic enlargers or reducers Photographic filters, mounted, and parts and accessories therefor Filters, mounted, and parts and accessories therefor, for optical uses other than photographic Prisms, mounted, for optical uses Mirrors, mounted, for optical uses Half-tone screens, mounted, designed for use in engraving or photographic processes Mounted lenses, n/obj., for use in closed circuit television cameras, seperately imported, w/ or w/o attached elec. connectors or motors Mounted optical elements, nesi;</w:t>
      </w:r>
    </w:p>
    <w:p>
      <w:pPr>
        <w:pStyle w:val="Normal"/>
      </w:pPr>
      <w:r>
        <w:t>parts and accessories of mounted optical elements, nesi Frames and mountings, of plastics, for spectacles, goggles or the like Frames and mountings, other than of plastics, for spectacles, goggles or the like Parts of frames and mountings for spectacles, goggles or the like Sunglasses, corrective, protective or other Spectacles, goggles and the like, corrective, protective or other, other than sunglasses Binoculars Optical telescopes, including monoculars Monoculars and astronomical instruments other than binoculars and optical telescopes but not including instruments for radio-astronomy Parts and accessories, for binoculars, monoculars, optical telescopes, or</w:t>
      </w:r>
    </w:p>
    <w:p>
      <w:pPr>
        <w:pStyle w:val="Normal"/>
      </w:pPr>
      <w:r>
        <w:t>astronomical instruments, incorp.</w:t>
      </w:r>
    </w:p>
    <w:p>
      <w:pPr>
        <w:pStyle w:val="Normal"/>
      </w:pPr>
      <w:r>
        <w:t>good or 9001 or 9002 Parts and accessories, including mountings, for binoculars, monoculars, other optical telescopes, and other astronomical instruments, nesi Photographic cameras for underwater, aerial, medical, surgical, forensic or criminological purposes, not cinematographic Fixed focus instant print cameras Instant print cameras, other than fixed focus, valued not over $10 each Instant print cameras, other than fixed focus, valued over $10 each Cameras with through-the-lens viewfinder, for roll film of a width not exceeding 35 mm, not cinematographic Fixed focus, hand held, 110 cameras Fixed focus, hand held cameras, other than 110 cameras, for roll film of a width less than 35 mm, not cinematographic Fixed focus cameras nesi, for roll film of a width less than 35 mm, not cinematographic Cameras, other than fixed focus, nesi, for roll film of a width less than 35 mm, valued not over $10 each, not cinematographic Cameras, other than fixed focus, nesi, for roll film of a width less than 35 mm, valued over $10 each, not cinematographic Cameras nesi, for roll</w:t>
      </w:r>
    </w:p>
    <w:p>
      <w:pPr>
        <w:pStyle w:val="Normal"/>
      </w:pPr>
      <w:r>
        <w:t>film of a width of 35 mm, not cinematographic Cameras of a kind used for preparing printing plates or cylinders Fixed focus cameras, nesi, not cinematographic Cameras nesi, other than fixed focus, valued not over $10 each, not cinematographic Photographic cameras, other than fixed focus, valued over $10 each, nesi Photographic discharge lamp (“electronic”) flashlight apparatus</w:t>
      </w:r>
    </w:p>
    <w:p>
      <w:pPr>
        <w:pStyle w:val="Normal"/>
      </w:pPr>
      <w:r>
        <w:t>Photographic flashlight apparatus, nesi Parts and accessories for photographic cameras, not cinematographic Parts and accessories for photographic flashlight apparatus and flashbulbs Cinematographic cameras Cinematographic projectors for film &lt; 16 mm, w/sound recording and reproducing systems and those for projecting only sound motion pictures Cinematographic projectors for film of less than 16 mm, nesoi Cinematographic projectors for film = or &gt; 16 mm, w/sound recording &amp; reproducing systems &amp; those for projecting only sound motion pictures Cinematographic projectors for film of 16 mm or greater, nesoi Parts for cinematographic cameras Accessories for cinematographic cameras Parts and accessories for cinematographic projectors Slide projectors Microfilm, microfiche or other microform readers, capable of producing copies Microfilm, microfiche or other microform readers, other than those capable of producing copies Image projectors, except slide projectors and microfilm, microfiche or other microform readers Photographic (other than cinematographic) enlargers and reducers Parts and accessories of image projectors, other than cinematographic Parts and accessories of photographic (other than cinematographic) enlargers and reducers Apparatus &amp; equipment for auto.</w:t>
      </w:r>
    </w:p>
    <w:p>
      <w:pPr>
        <w:pStyle w:val="Normal"/>
      </w:pPr>
      <w:r>
        <w:t>developing photographic film/paper in rolls or exposing developed film to rolls of photographic paper Contact printers for photographic laboratories Developing tanks for photographic laboratories Editors and combination editor-splicers, for cinematographic film, containing an optical lens or designed to contain such a lens Photographic film viewers, titlers, splicers and editors, and combinations thereof, containing or designed to contain an optical lens, nesoi Photographic film viewers, titlers, splicers and editors, and combinations thereof, not containing or designed to contain an optical lens Apparatus and equipment for photographic (including cinematographic) laboratories, nesoi; negatoscopes Projection screens Parts and accessories of articles of subheading 9010.50 &amp; 9010.60 Other parts &amp; accessories for apparatus &amp; equipment for photographic (incl.</w:t>
      </w:r>
    </w:p>
    <w:p>
      <w:pPr>
        <w:pStyle w:val="Normal"/>
      </w:pPr>
      <w:r>
        <w:t>cinematographic) labs, nesoi, negatoscopes, &amp; projection screens Stereoscopic microscopes, provided with a means for photographing the image Stereoscopic microscopes, other than those provided with a means for photographing the image Microscopes for microphotography, microcinematography or microprojection, provided with a means for photographing the image Microscopes for microphotography, microcinematography or microprojection, not provided with a means for photographing the image Compound optical microscopes other than stereoscopic or those for microphotography, microcinematography or microprojection Parts and accessories for compound optical microscopes, including those for microphotography, microcinematography or microprojection Microscopes other than optical microscopes; diffraction apparatus Parts and accessories for microscopes other than optical microscopes, and for diffraction apparatus Telescopic sights for rifles not designed for use with infrared light Telescopic sights for rifles designed for use with infrared light Telescopes as parts of machines, appliances, etc.</w:t>
      </w:r>
    </w:p>
    <w:p>
      <w:pPr>
        <w:pStyle w:val="Normal"/>
      </w:pPr>
      <w:r>
        <w:t>of chapter 90 or section XVI Other telescopic sights for arms other than rifles; periscopes Lasers, other than laser diodes Hand magnifiers, magnifying glasses, loupes, thread counters and similar apparatus nesi Door viewers (door eyes) Liquid crystal and other optical flat panel displays other than for articles of heading 8528, nesoi Liquid crystal devices nesoi, and optical appliances and instruments, nesoi Parts and accessories of telescopic sights for rifles Parts and accessories of flat panel displays other than for articles of heading 8528 Parts and accessories other than for telescopic sights for fitting to arms or for periscopes Parts and accessories of liquid crystal devices nesoi, and optical appliances and instruments, nesoi Optical direction finding compasses Gyroscopic directing finding compasses, other than electrical Electrical direction finding compasses Direction finding compasses, other than optical instruments, gyroscopic compasses or electrical Optical instruments and appliances (other than compasses) for aeronautical or space navigation Automatic pilots for aeronautical or space navigation Electrical instruments and appliances (other than compasses) for aeronautical or space navigation Nonelectrical instruments and appliances (other than compasses) for aeronautical or space navigation Optical navigational instruments, nesi Ships’ logs and depth-sounding apparatus Electrical navigational instruments and appliances, nesi Nonelectrical navigational</w:t>
      </w:r>
    </w:p>
    <w:p>
      <w:pPr>
        <w:pStyle w:val="Normal"/>
      </w:pPr>
      <w:r>
        <w:t>instruments and appliances, nesi Parts and accessories of automatic pilots for aeronautical or space navigation of subheading 9014.20.40 Parts and accessories of nonelectrical instruments and appliances for aeronautical or space navigation of subheading 9014.20.80 Parts and accessories of nonelectrical navigational instruments and appliances nesi of subheading 9014.80.50 Parts and accessories of navigational instruments and appliances, nesi Electrical rangefinders Rangefinders, other than electrical Electrical theodolites and tachymeters Theodolites and tachymeters, other than electrical Electrical levels Levels, other than electrical Electrical photogrammetrical surveying instruments and appliances Photogrammetrical surveying instruments and appliances, other than electrical Optical surveying, hydrographic, oceanographic, hydrological, meteorological or geophysical instruments and appliances, nesi Seismographs Surveying, hydrographic, oceanographic, hydrological, meteorological or geophysical instruments and appliances, nesi, nonoptical Parts and accessories of 9015 Electrical balances of a sensitivity of 5 cg or better, with or without weights, and parts and accessories thereof Jewelers’ balances (nonelectrical) of a sensitivity of 5 cg or better, with or without weights, and parts and accessories thereof Balances (nonelectrical) of a sensitivity of 5 cg or better, other than jewelers’, balances, and parts and accessories thereof Drafting plotters, whether or not automatic</w:t>
      </w:r>
    </w:p>
    <w:p>
      <w:pPr>
        <w:pStyle w:val="Normal"/>
      </w:pPr>
      <w:r>
        <w:t>Drafting tables and machines, whether or not automatic, nesoi Disc calculators, slide rules and other mathematical calculating instruments Other drawing, marking-out or mathematical plotters, nesoi Other drawing, marking-out or mathematical calculating instruments, nesoi Micrometers and calipers, for use in the hand Gauges for measuring length, for use in the hand Instruments for measuring length, for use in the hand, nesi (for example, measuring rods and tapes) Parts and accessories for drawing, marking-out or mathematical calculating instruments, and for hand-held instruments for measuring length Electrocardiographs Printed circuit assemblies for electrocardiographs Parts and accessories of electrocardiographs, other than printed circuit assemblies Ultrasonic scanning electro-diagnostic apparatus used in medical, surgical, dental or veterinary sciences Magnetic resonance imaging electro-diagnostic apparatus used in medical, surgical, dental or veterinary sciences Scintigraphic electro-diagnostic apparatus used in medical, surgical, dental or veterinary sciences Electro-diagnostic apparatus for functional exploratory examination, and parts and accessories thereof Electro-diagnostic patient monitoring systems Printed circuit assemblies for electro-diagnostic parameter acquisition modules Electro-diagnostic apparatus nesi, and parts and accessories thereof nesi Ultraviolet or infrared ray apparatus used in medical, surgical, dental or veterinary sciences, and parts and</w:t>
      </w:r>
    </w:p>
    <w:p>
      <w:pPr>
        <w:pStyle w:val="Normal"/>
      </w:pPr>
      <w:r>
        <w:t>accessories thereof Syringes, with or without their needles; parts and accessories thereof Tubular metal needles and needles for sutures, used in medical, surgical, dental or veterinary sciences, and parts and accessories thereof Catheters, cannulae and the like nesi, used in medical, surgical, dental or veterinary sciences, and parts and accessories thereof Dental drill engines, whether or not combined on a single base with other dental equipment, and parts and accessories thereof Dental burs Instruments and apparatus used in dental sciences, nesi, and parts and accessories thereof Ophthalmic instruments and appliances nesi, and parts and accessories thereof Mirrors and reflectors used in medical, surgical, dental or veterinary sciences, and parts and accessories thereof Optical instruments and appliances nesi, used in medical, surgical, dental or veterinary sciences, and parts and accessories thereof Anesthetic instruments and appliances nesi, used in medical, surgical, dental or veterinary sciences, and parts and accessories thereof Percussion hammers, stethescopes, and parts of stethescopes used in medical, surgical, dental or veterinary sciences Sphygmomanometers, tensimeters and oscillometers used in medical, surgical, dental or veterinary sciences; parts and accessories thereof Electro-surgical instruments and appliances nesi, other than extracorporeal shock wave lithotripters and parts and accessories thereof Defibrillators Printed circuit assemblies for</w:t>
      </w:r>
    </w:p>
    <w:p>
      <w:pPr>
        <w:pStyle w:val="Normal"/>
      </w:pPr>
      <w:r>
        <w:t>defibrillators Electro-medical instruments and appliances nesi, and parts and accessories thereof Instruments and appliances used in medical, surgical, dental or veterinary sciences, nesi, and parts and accessories thereof Mechano-therapy appliances and massage apparatus, and parts and accessories thereof Electrical psychological aptitude testing apparatus and parts and accessories thereof Psychological aptitude testing apparatus, other than electrical, and parts and accessories thereof Ozone, oxygen and aerosol therapy, artificial respiration or other therapeutic respiration apparatus, and parts and accessories thereof Underwater breathing devices designed as a complete unit to be carried on the person &amp; not requiring attendants, parts &amp; accessories thereof Breathing appliances, nesi, &amp; gas masks, excl.</w:t>
      </w:r>
    </w:p>
    <w:p>
      <w:pPr>
        <w:pStyle w:val="Normal"/>
      </w:pPr>
      <w:r>
        <w:t>protective masks having neither mechanical parts/replaceable filters, parts, accessories of Parts and accessories of breathing appliances and gas masks, nesi Orthopedic or fracture appliances, and parts and accessories thereof Artificial teeth and parts and accessories thereof, of plastics Artificial teeth and parts and accessories thereof, other than of plastics Dental fittings and parts and accessories thereof, of plastics Dental fittings and parts and accessories thereof, other than of plastics Artificial joints and parts and accessories thereof Artificial parts of the body (other than artificial joints) and parts and accessories thereof, nesoi Hearing aids, excluding parts and accessories thereof Pacemakers for stimulating heart muscles, excluding parts and accessories thereof Parts and accessories for hearing aids and for pacemakers for stimulating heart muscles Appliances nesi which are worn or carried, or implanted in the body, to compensate for a defect or disability, and parts and accessories Computed tomography apparatus based on the use of X-rays Apparatus based on the use of X-rays for dental uses (other than computed tomography apparatus) Apparatus based</w:t>
      </w:r>
    </w:p>
    <w:p>
      <w:pPr>
        <w:pStyle w:val="Normal"/>
      </w:pPr>
      <w:r>
        <w:t>on the use of X-rays for medical, surgical or veterinary uses (other than computed tomography apparatus) Apparatus based on the use of X-rays other than for medical, surgical, dental or veterinary use Apparatus based on the use of alpha, beta or gamma radiations, for medical, surgical, dental or veterinary use</w:t>
      </w:r>
    </w:p>
    <w:p>
      <w:pPr>
        <w:pStyle w:val="Normal"/>
      </w:pPr>
      <w:r>
        <w:t>Smoke detectors, ionization type Apparatus based on the use of alpha, beta or gama radiations, other than for medical, surgical, dental or veterinary use, nesi X-ray tubes Radiation generator units Radiation beam delivery units X-ray generators, high tension generators, desks, screens, examination or treatment tables, chairs and similar apparatus, nesi Parts and accessories of X-ray tubes Parts and accessories of apparatus based on the use of X-rays Parts and accessories of ionization type smoke detectors Parts and accessories of apparatus based on the use of alpha, beta or gamma radiations Instruments, apparatus and models, designed for demonstrational purposes, unsuitable for other uses, and parts and accessories thereof Machines and appliances for testing the mechanical properties of metals Machines and appliances for testing the mechanical properties of materials other than metals Parts and accessories of machines and appliances for testing the hardness, strength, compressibility, or other properties of materials Clinical thermometers, liquid-filled, for direct reading, not combined with other instruments Liquid-filled thermometers, for direct reading, not combined with other instruments, other than clinical thermometers Pyrometers, not combined with other instruments Thermometers, for direct reading, not combined with other instruments, other than liquid-filled thermometers Electrical:</w:t>
      </w:r>
    </w:p>
    <w:p>
      <w:pPr>
        <w:pStyle w:val="Normal"/>
      </w:pPr>
      <w:r>
        <w:t>hydrometers &amp; sim. floating instr., hygrometers, psychometers, &amp; any comb.</w:t>
      </w:r>
    </w:p>
    <w:p>
      <w:pPr>
        <w:pStyle w:val="Normal"/>
      </w:pPr>
      <w:r>
        <w:t>with or w/o thermometers, pyrometers, &amp; barometers Nonelectrical barometers, not combined with other instruments Hydrometers and similar floating instruments, whether or not incorporating a thermometer, non-recording, other than electrical Hygrometers and psychrometers, non-electrical, non-recording Thermographs, barographs, hygrographs and other recording instruments, other than electrical Combinations of thermometers, barometers and similar temperature and atmosphere measuring and recording instruments, nonelectrical Other parts &amp; accessories of hydrometers &amp; like floating instruments, thermometers,pyrometers,barometers,hygrometers,psychrometers &amp; combinations Electrical instruments and apparatus for measuring or checking the flow or level of liquids Flow meters, other than electrical, for measuring or checking the flow of liquids Instruments and apparatus for measuring or checking the level of liquids, other than flow meters, non-electrical Electrical instruments and apparatus for measuring or checking the pressure of liquids or gases Instruments and apparatus, other than electrical, for measuring or checking the pressure of liquids or gases Electrical instruments and apparatus for measuring or checking variables of liquids or gases, nesi Nonelectrical heat meters incorporating liquid supply meters, and anemometers Nonelectrical instruments and apparatus for measuring or checking variables of liquids or gases, nesi Parts and accessories of electrical instruments and</w:t>
      </w:r>
    </w:p>
    <w:p>
      <w:pPr>
        <w:pStyle w:val="Normal"/>
      </w:pPr>
      <w:r>
        <w:t>apparatus for measuring or checking variables of liquids or gases Parts and accessories of nonelectrical flow meters, heat meters incorporating liquid supply meters and anemometers Parts and accessories of nonelectrical instruments and apparatus for measuring or checking variables of liquids or gases, nesi Electrical gas or smoke analysis apparatus Nonelectrical optical instruments and apparatus for gas or smoke analysis Nonelectrical gas or smoke analysis apparatus, other than optical instruments and apparatus Electrical chromatographs and electrical electrophoresis instruments Nonelectrical chromatographs Electrical spectrometers, spectrophotometers and spectrographs using optical radiations (ultraviolet, visible, infrared) Nonelectrical spectrometers, spectrophotometers and spectrographs using optical radiations (ultraviolet, visible, infrared) Exposure meters Electrical instruments and apparatus using optical radiations (ultraviolet, visible, infrared), nesi Nonelectrical instruments and apparatus using optical radiations (ultraviolet, visible, infrared), nesi Nuclear magnetic resonance instruments Electrical instruments and apparatus for physical or chemical analysis, measuring viscosity, checking heat, sound, light, etc., nesi Nonelectrical instruments and apparatus for physical or chemical analysis, measuring viscosity, checking heat, sound or light, nesi Microtomes Printed circuit assemblies for instruments and apparatus of subheading 9027.80 Parts and accessories of</w:t>
      </w:r>
    </w:p>
    <w:p>
      <w:pPr>
        <w:pStyle w:val="Normal"/>
      </w:pPr>
      <w:r>
        <w:t>electrophoresis instruments not incorporating an optical or other measuring device Parts and accessories of electrical instruments and apparatus of subheading 9027.20, 9027.30, 9027.50 or 9027.80 Other parts and accessories of other electrical instruments and apparatus of heading 9027, nesoi Parts and accessories of nonelectrical optical instruments and apparatus of subheading 9027.20, 9027.30, 9027.40, 9027.50 or 9027.80 Parts and accessories of nonelectrical optical instruments and apparatus of heading 9027, nesoi Parts and accessories of nonelectrical nonoptical instruments and apparatus of heading 9027.20, 9027.30, 9027.40, 9027.50 or 9027.80 Parts and accessories of nonelectrical instruments and apparatus of heading 9027, nesoi Gas supply or production meters, including calibrating meters thereof Liquid supply or production meters, including calibrating meters thereof Electricity supply or production meters, including calibrating meters thereof Parts and accessories for gas, liquid or electricity supply or production meters Taximeters Revolution counters, production counters, odometers, pedometers and the like, other than taximeters Bicycle speedometers Speedometers and tachometers, other than bicycle speedometers Stroboscopes Parts and accessories of taximeters Parts and accessories of bicycle speedometers Parts and accessories of stroboscopes Parts and accessories of revolution counters, production counters, odometers, pedometers and the like, of speedometers nesi and</w:t>
      </w:r>
    </w:p>
    <w:p>
      <w:pPr>
        <w:pStyle w:val="Normal"/>
      </w:pPr>
      <w:r>
        <w:t>tachometers Instruments and apparatus for measuring or detecting ionizing radiations Oscilloscopes and oscillographs, specially designed for telecommunications Oscilloscopes and oscillographs, nesoi Multimeters for measuring or checking electrical voltage, current, resistance or power, without a recording device Multimeters, with a recording device Resistance measuring instruments Other instruments and apparatus, nesi, for measuring or checking electrical voltage, current, resistance or power, without a recording device Instruments and apparatus, nesi, for measuring or checking electrical voltage, current, resistance or power, with a recording device Instruments and apparatus specially designed for telecommunications Instruments and apparatus for measuring or checking electrical quantities, nesoi: for measuring or checking semiconductor wafers or devices Instruments and apparatus for measuring, checking or detecting electrical quantities or ionizing radiations, nesoi: with a recording device Instruments and apparatus for measuring, checking or detecting electrical quantities or ionizing radiations, nesoi: w/o a recording device Printed circuit assemblies for instruments and apparatus for measuring or detecting ionizing radiation Parts and accessories for instruments and apparatus for measuring or detecting ionizing radiation, nesi Printed circuit assemblies for subheadings and apparatus of 9030.40 &amp; 9030.82 Printed circuit assemblies, nesoi Parts and accessories for</w:t>
      </w:r>
    </w:p>
    <w:p>
      <w:pPr>
        <w:pStyle w:val="Normal"/>
      </w:pPr>
      <w:r>
        <w:t>instruments and apparatus for measuring or checking semiconductor wafers or devices, nesoi Parts and accessories for articles of subheadings 9030.20 to 9030.40, 9030.83 and 9030.89, nesoi Machines for balancing mechanical parts Test benches Optical measuring/checking instruments/appliances for inspecting semiconductor wafers/devices or photomasks/reticle used to mfg such devices Profile projectors Optical coordinate-measuring machines, nesoi Optical instrument &amp; appliance: to inspect masks (not photomask) used to mfg semiconductor devices; to measure contamination on such devices Other optical measuring or checking instruments, appliances and machines, nesoi Electron beam microscopes fitted with equipment specifically designed for the handling and transport of semiconductor devices or reticles Measuring and checking instruments, appliances and machines, nesoi Parts and accessories of profile projectors Bases and frames for the optical coordinate-measuring machines of subheading 9031.49.40 Parts &amp; accessories of measuring &amp; checking optical instruments &amp; appliances of subheading 9031.41 or 9031.49.70 Parts &amp; accessories of measuring &amp; checking optical instruments &amp; appliances, other than test benches or profile projectors, nesoi Parts and accessories of articles of subheading 9031.80.40 Parts and accessories of measuring or checking instruments, appliances and machines, nesoi Automatic thermostats Automatic manostats Hydraulic and pneumatic automatic regulating or controlling</w:t>
      </w:r>
    </w:p>
    <w:p>
      <w:pPr>
        <w:pStyle w:val="Normal"/>
      </w:pPr>
      <w:r>
        <w:t>instruments and apparatus Automatic voltage and voltage-current regulators, designed for use in a 6, 12, or 24 V system Automatic voltage and voltage-current regulators, not designed for use in a 6, 12, or 24 V system Automatic regulating or controlling instruments and apparatus, nesi Parts and accessories of automatic voltage and voltage-current regulators designed for use in a 6, 12, or 24 V system, nesi Parts and accessories of automatic voltage and voltage-current regulators, not designed for use in a 6, 12, or 24 V system, nesi Parts and accessories for automatic regulating or controlling instruments and apparatus, nesi LEDs for backlighting of LCDs Touch screens without display capabilities for incorporation in apparatus having a display Other parts and accessories for machines, appliances, instruments or apparatus of chapter 90, nesi Wrist watches with cases of or clad with precious metal, electrically operated, with mechanical display only, with 0-1 jewel in mvmt Wrist watches with cases of or clad with precious metal, electrically operated, with mechanical display only, w/more than 1</w:t>
      </w:r>
    </w:p>
    <w:p>
      <w:pPr>
        <w:pStyle w:val="Normal"/>
      </w:pPr>
      <w:r>
        <w:t>jewel in mvmt Wrist watches with cases of or clad with precious metal, electrically operated, with opto-electronic display only Wrist watches with cases of or clad with precious metal, electrically operated, with both opto-electronic and mechanical displays, 0-1 jewel Wrist watches with cases of or clad with precious metal, electrically operated, w/both opto-electronic &amp; mechanical</w:t>
      </w:r>
    </w:p>
    <w:p>
      <w:pPr>
        <w:pStyle w:val="Normal"/>
      </w:pPr>
      <w:r>
        <w:t>displays, over 1 jewel Straps/bands/bracelets of tex. mat. or base metal, whether or not gold- or silver-plated entered with wrist watches of subheading 9101.21.50 Straps, bands or bracelets, nesi, entered with wrist watches of subheading 9101.21.50 and classifiable therewith Wrist watches with cases of or clad with precious metal, not electrically operated, with automatic winding, with over 17 jewels in mvmt Wrist watches with cases of or clad with precious metal, not electrically operated, with automatic winding, w/17 jewels or less in mvmt Wrist watches with cases of or clad with precious metal, not electrically operated, not automatic winding, with 0-1 jewel in mvmt Wrist watches with cases of or clad with precious metal, not electrically operated, not automatic winding, with 2-7 jewels in mvmt Wrist watches with cases of or clad with precious metal, not electrically operated, n/auto winding, 8-17 jewels, mvmt n/o $15 &amp; n/o 15.2 mm Wrist watches with cases of or clad with precious metal, not electrically operated, n/auto winding, 8-17 jewels, mvmt n/o $15 &amp; ov 15.2 mm Wrist watches with cases of or clad with precious metal, not electrically operated, not automatic winding, 8-17 jewels, movement over $15 Straps/bands/bracelets of tex. mat.</w:t>
      </w:r>
    </w:p>
    <w:p>
      <w:pPr>
        <w:pStyle w:val="Normal"/>
      </w:pPr>
      <w:r>
        <w:t>or base metal, whether or not gold- or silver-plated entered with wrist watches of subheading 9101.29.90 Straps, bands or bracelets, nesi, entered with wrist watches of subheading 9101.29.90 and classifiable therewith Wrist watches with cases of or clad with precious metal, not electrically operated, not automatic winding, w/over 17 jewels in the mvmt Watches (excl. wrist watches) with cases of or clad with precious metal, electrically operated, with opto-electronic display only Watches (excl. wrist watches) with cases of or clad with precious metal, electrically operated, with 0-1 jewel in mvmt, n/optoelec. display Watches (excl. wrist watches) with cases of or clad with precious metal, electrically operated, over 1 jewel in mvmt, n/optoelec. display Watches (excl. wrist watches) with cases of or clad with precious metal, not electrically operated, with 0-7 jewels in the mvmt Watches (excl. wrist watches) with cases of or clad with precious metal, not electrically operated, w/8-17 jewels in mvmt, mvmt n/o $15 ea Watches (excl.</w:t>
      </w:r>
    </w:p>
    <w:p>
      <w:pPr>
        <w:pStyle w:val="Normal"/>
      </w:pPr>
      <w:r>
        <w:t>wrist watches) with cases of or clad with precious metal, not electrically operated, w/8-17 jewels in mvmt, mvmt over $15 ea Watches (excl. wrist watches) with cases of or clad with precious metal, not electrically operated, with over 17 jewels in the mvmt Wrist watches nesoi, electrically operated, mechanical display only, 0-1 jewel, gold/silver-plated case, band of textile mat.</w:t>
      </w:r>
    </w:p>
    <w:p>
      <w:pPr>
        <w:pStyle w:val="Normal"/>
      </w:pPr>
      <w:r>
        <w:t>or base metal Wrist watches nesoi, electrically operated, mechanical display only, 0-1 jewel, case nesoi, with band of textile material or base metal Wrist watches nesoi, electrically operated, mechanical display only, 0-1 jewel, gold- or silver-plated case, with band of material nesoi Wrist watches nesoi, electrically operated, mechanical display only, 0-1 jewel, case nesoi, with band of material nesoi Wrist watches nesoi, electrically operated, mechanical display only, over 1 jewel, gold/silver-plated case, band of textile or base metal Wrist watches nesoi, electrically operated, mechanical display only, over 1 jewel, case nesoi, with band of textile material or base metal Wrist watches nesoi, electrically operated, mechanical display only, over 1 jewel, gold- or silver-case, with band of material nesoi Wrist watches nesoi, electrically operated, mechanical display only, over 1 jewel, case nesoi, with band of material nesoi Straps/bands/bracelets of tex. mat.</w:t>
      </w:r>
    </w:p>
    <w:p>
      <w:pPr>
        <w:pStyle w:val="Normal"/>
      </w:pPr>
      <w:r>
        <w:t>or base metal, whether or not gold- or silver-plated entered with wrist watches of subheading 9102.12.80 Straps, bands or bracelets, nesi, entered with wrist watches of subheading 9102.12.80 and classifiable therewith Wrist watches nesoi, electrically operated, with opto-electronic display only Wrist watches nesoi, electrically operated, w/both optoelectronic &amp; mechanical displays, 0-1 jewel, band of textile material or base metal Wrist watches nesoi, electrically operated, w/both optoelectronic &amp; mechanical displays, 0-1 jewel, band of material nesoi Wrist watches nesoi, electrically operated, w/both optoelectronic &amp; mechanical displays, over 1 jewel, band of textile mat.</w:t>
      </w:r>
    </w:p>
    <w:p>
      <w:pPr>
        <w:pStyle w:val="Normal"/>
      </w:pPr>
      <w:r>
        <w:t>or base metal Wrist watches nesoi, electrically operated, w/both optoelectronic &amp; mechanical displays, over 1 jewel, band of material nesoi Wrist watches nesi, automatic winding, 0-1 jewel, watch band of textile material or base metal Wrist watches nesi, automatic winding, 0-1 jewel, watch band not of textile material or base metal Wrist watches nesi, automatic winding, 2-17 jewels, watch band of textile material or base metal Wrist watches nesi, automatic winding, 2-17 jewels, watch band not of textile material or base metal Wrist watches nesi, automatic winding, over 17 jewels, watch band of textile material or base metal Wrist watches nesi, automatic winding, over 17 jewels, watch band not of textile material or base metal Straps/bands/bracelets of tex. mat.</w:t>
      </w:r>
    </w:p>
    <w:p>
      <w:pPr>
        <w:pStyle w:val="Normal"/>
      </w:pPr>
      <w:r>
        <w:t>or base metal, whether or not gold- or silver-plated entered with wrist watches of subheading 9102.29.04 Wrist watches nesoi, not electrically operated, not autowind, 0-1 jewel, entered with straps/bands/bracelet of tex. mat.</w:t>
      </w:r>
    </w:p>
    <w:p>
      <w:pPr>
        <w:pStyle w:val="Normal"/>
      </w:pPr>
      <w:r>
        <w:t>or base metal Wrist watches nesoi, not electrically operated, not automatic winding, 0-1 jewel, with strap/band/bracelet of material nesoi Wrist watches nesoi, not electrically operated, not automatic winding, 2-7 jewels, with strap/band of textile material or base metal Wrist watches nesoi, not electrically operated, not automatic winding, 2-7 jewels, with strap/band/bracelet of material nesoi Wrist watches nesoi, not electrically operated, n/autowind, 8-17 jewels, mvmt n/o $15 &amp; n/o 15.2 mm, band of textile material or base metal Wrist watches nesoi, not electrically operated, not automatic winding, 8-17 jewels, movement n/o $15 &amp; n/o 15.2 mm, band of material nesoi Wrist watches nesoi, not electrically operated, n/autowinding, 8-17 jewel, mvmt n/o $15 &amp; ov 15.2 mm, band of textile material or base metal Wrist watches nesoi, not electrically operated, n/autowinding, 8-17 jewel, mvmt n/o $15 &amp; over 15.2 mm, with band of material nesoi Wrist watches nesoi, not electrically operated, not auto winding, 8-17 jewels, movement over $15 each, with band of textiles or base metal Wrist watches nesoi, not electrically operated, not auto winding, 8-17 jewels, mvmt over $15 each, with band of material nesoi Wrist watches nesoi, not electrically operated, not</w:t>
      </w:r>
    </w:p>
    <w:p>
      <w:pPr>
        <w:pStyle w:val="Normal"/>
      </w:pPr>
      <w:r>
        <w:t>automatic winding, over 17 jewels in the mvmt, with band of textiles or base metal Wrist watches nesoi, not electrically operated, not automatic winding, over 17 jewels in the movement, with band of material nesoi Watches (excl. wrist watches) nesoi, electrically operated, with opto-electronic display only Watches (excl. wrist watches) nesoi, electrically operated, with 0-1 jewel in the movement Watches (excl. wrist watches) nesoi, electrically operated, with over 1 jewel in the movement Watches (excl. wrist watches) nesoi, not electrically operated, with 0-7 jewels in the movement Watches (excl. wrist watches) nesoi, not electrically operated, with 8-17 jewels in movement, movement valued not over $15 each Watches (excl. wrist watches) nesoi, not electrically operated, with 8-17 jewels in movement, movement valued over $15 each Watches (excl.</w:t>
      </w:r>
    </w:p>
    <w:p>
      <w:pPr>
        <w:pStyle w:val="Normal"/>
      </w:pPr>
      <w:r>
        <w:t>wrist watches) nesoi, not electrically operated, having over 17 jewels in the movement Clocks with watch movements, excluding clocks of heading 9104, electrically operated, with opto-electronic display only Clocks with watch movements, excluding clocks of heading 9104, electrically operated, with 0-1 jewel in the movement Clocks with watch movements, excluding clocks of heading 9104, electrically operated, with over 1 jewel in the movement Clocks with watch movements, excluding clocks of heading 9104, not electrically operated Instrument panel clocks for vehicles, air/spacecraft, vessels, clock movement over 50 mm wide, opto-electronic display only, n/o $10 each Instrument panel clocks for veh., air/spacecraft, vessels, clock mvmt over 50 mm wide, electric, nt optoelectronic display, n/o $10 each Instrument panel clocks for vehicles, air/spacecraft, vessels, w/clock movement over 50 mm wide, valued n/o $10 each, nonelectric Instrument panel clocks for vehicles, air/spacecraft, vessels, w/clock movement ov 50 mm wide, opto-electronic display only, ov $10 each Instrument panel clocks for vehicles, air/spacecraft,vessels, w/clock mvmt ov 50 mm wide, electric, nt optoelectronic display, ov $10 each</w:t>
      </w:r>
    </w:p>
    <w:p>
      <w:pPr>
        <w:pStyle w:val="Normal"/>
      </w:pPr>
      <w:r>
        <w:t>Instrument panel clocks for vehicles, air/spacecraft,vessels, w/clock movement ov 50 mm wide, valued ov $10 each, non-electric Instrument panel clocks for vehicles, air/spacecraft,vessels, w/watch or clock movement &lt; 50 mm wide, opto-electronic display only Instrument panel clocks</w:t>
      </w:r>
    </w:p>
    <w:p>
      <w:pPr>
        <w:pStyle w:val="Normal"/>
      </w:pPr>
      <w:r>
        <w:t>for vehicles, air/spacecraft, vessels, w/watch or clock movement &lt; 50 mm wide, electric, not opto-electronic display Instrument panel clocks for vehicles, air/spacecraft or vessels, w/clock or watch movement &lt; 50 mm wide, nonelectric Alarm clocks nesoi, electrically operated, with opto-electronic display only Alarm clocks nesoi, electrically operated, other than with opto-electronic display only Alarm clocks nesoi, not electrically operated, movement measuring not over 50 mm, not designed to operate over 47 hrs without rewinding Alarm clocks nesoi, not electrically operated, movement measuring n/o 50 mm, designed to operate over 47 hrs w/o rewinding, with 0-1 jewel Alarm clocks nesoi, not electrically operated, movement measuring n/o 50 mm, designed to operate over 47 hrs w/o rewinding, over 1 jewel Alarm clocks nesoi, not electrically operated, movement measuring over 50 mm in width or diameter, valued not over $5 each Alarm clocks nesoi, not electrically operated, movement measuring over 50 mm in width or diameter, valued over $5 each Wall clocks nesoi, electrically operated, with opto-electronic display only Wall clocks nesoi, electrically operated, other than with opto-electronic display only Wall clocks nesoi, not electrically operated, mvmt measuring n/o 50 mm, not designed or constr.</w:t>
      </w:r>
    </w:p>
    <w:p>
      <w:pPr>
        <w:pStyle w:val="Normal"/>
      </w:pPr>
      <w:r>
        <w:t>to operate over 47 hrs without rewinding Wall clocks nesoi, not electrically operated, mvmt measuring n/o 50 mm, 0-1 jewel, constructed/designed to operate over 47 hrs w/o rewinding Wall clocks nesoi, not electrically operated, mvmt measuring n/o 50 mm, ov 1 jewel, constructed/designed to operate ov 47 hrs w/o rewinding Wall clocks nesoi, not electrically operated, movement measuring over 50 mm in width or diameter, valued not over $5 each Wall clocks nesoi, not electrically operated, movement measuring over 50 mm in width or diameter, valued over $5 each Clocks nesoi, electrically operated, with opto-electronic display only Clocks nesoi, electrically operated, other than with opto-electronic display only Standard marine chronometers nesi, having spring-detent escapements Clocks nesoi, not electrically operated, mvmt not over 50 mm in width or diameter, not designed to operate for over 47 hrs without rewinding Clocks nesoi, not electrically operated, mvmt not over 50 mm in width or diameter, 0-1 jewel, designed to operate ov 47 hrs w/o rewinding Clocks nesoi, not electrically operated, mvmt not over</w:t>
      </w:r>
    </w:p>
    <w:p>
      <w:pPr>
        <w:pStyle w:val="Normal"/>
      </w:pPr>
      <w:r>
        <w:t>50 mm in width or diameter, over 1 jewel, designed to operate ov 47 hrs w/o rewinding Clocks nesoi, not electrically operated, movement measuring over 50 mm in width or diameter, valued not over $5 each Clocks nesoi, not electrically operated, movement measuring over 50 mm in width or diameter, valued over $5 each Time registers;</w:t>
      </w:r>
    </w:p>
    <w:p>
      <w:pPr>
        <w:pStyle w:val="Normal"/>
      </w:pPr>
      <w:r>
        <w:t>time recorders Parking meters Time locks valued</w:t>
      </w:r>
    </w:p>
    <w:p>
      <w:pPr>
        <w:pStyle w:val="Normal"/>
      </w:pPr>
      <w:r>
        <w:t>over $10 each Apparatus for meas., recording or indicating time intervals, w/watch or clock mvmt., battery powered, w/opto-electronic display only Other apparatus for meas., recording or otherwise indicating time intervals, w/watch or clock mvmt., battery powered, nesi Apparatus for meas., recording or indicating time intervals, w/watch or clock mvmt., AC powered, w/opto-electronic display only Time of day recording apparatus &amp; apparatus for measuring, detecting, recording or otherwise indicating intervals of time nesi Time switches with clock or watch movements or with synchronous motor, valued not over $5 each Time switches with clock or watch movements or with synchronous motor, valued over $5 each Watch movements, complete and assembled, electrically operated, with mechanical display or device to incorporate such display, 0-1 jewel Watch movements, complete and assembled, electrically operated, with mechanical display or device to incorporate such display, over 1 jewel Watch movements, complete and assembled, electrically operated, with opto-electronic display only Watch movements, complete and assembled, electrically operated, w/both optoelectronic &amp; mechanical displays, having 0-1 jewels Watch movements, complete and</w:t>
      </w:r>
    </w:p>
    <w:p>
      <w:pPr>
        <w:pStyle w:val="Normal"/>
      </w:pPr>
      <w:r>
        <w:t>assembled, electrically operated, w/both optoelectronic &amp; mechanical displays, having over 1 jewel Watch movements, complete and assembled, with automatic winding, over 17 jewels Watch movements, complete and assembled, with automatic winding, 17 jewels or</w:t>
      </w:r>
    </w:p>
    <w:p>
      <w:pPr>
        <w:pStyle w:val="Normal"/>
      </w:pPr>
      <w:r>
        <w:t>less Watch movements, complete and assembled, not electrically operated or automatic winding, measuring 33.8 mm or less, none or only 1 jewel Watch movements, complete and assembled, not electrically operated or automatic winding, measuring over 33.8 mm, none or only 1 jewel Watch movements, complete and assembled, not electrically operated or automatic winding, measuring 33.8 mm or less, over 1 but n/o 7 jewels Watch movements, complete and assembled, not electrically operated or automatic winding, measuring over 33.8 mm, ov 1 but not over 7 jewels Watch movements, complete and assembled, nesoi, measuring not over 15.2 mm, over 7 but n/o 17 jewels, valued not over $15 each Watch movements, complete and assembled, nesoi, measuring over 15.2 mm but not over 33.8 mm, over 7 but n/o 17 jewels, valued n/o $15 each Watch movements, complete and assembled, nesoi, measuring 33.8 mm or less, over 7 but not over 17 jewels, valued over $15 each Watch movements, complete and assembled, nesoi, measuring over 33.8 mm, over 7 but not over</w:t>
      </w:r>
    </w:p>
    <w:p>
      <w:pPr>
        <w:pStyle w:val="Normal"/>
      </w:pPr>
      <w:r>
        <w:t>17 jewels, valued not over $15 each Watch movements, complete and assembled, nesoi, measuring over 33.8 mm, over 7 but not over 17 jewels, valued over $15 each Watch movements, complete and assembled, not electrically operated or automatic winding, measuring 33.8 mm or less, over 17 jewels Watch movements, complete and assembled, not electrically operated or automatic winding, measuring over 33.8 mm, over 17 jewels Alarm clock movements, complete and</w:t>
      </w:r>
    </w:p>
    <w:p>
      <w:pPr>
        <w:pStyle w:val="Normal"/>
      </w:pPr>
      <w:r>
        <w:t>assembled, electrically operated, with opto electronic display only Alarm clock movements, complete and assembled, electrically operated, with display nesoi, measuring not over 50 mm in width or diameter Alarm clock movements, complete and assembled, electrically operated, with display nesoi, measuring over 50 mm, valued not over $5 each Alarm clock movements, complete and assembled, electrically operated, with display nesoi, measuring over 50 mm, valued over $5 each Clock movements nesoi, complete and assembled, electrically operated, with opto electronic display only Clock movements nesoi, complete and assembled, electrically operated, with display nesoi, measuring not over 50 mm in width or diameter Clock movements nesoi, complete and assembled, electrically operated, with display nesoi, measuring over 50 mm, valued not over $5 each Clock movements nesoi, complete and assembled, electrically operated, with display nesoi, measuring over 50 mm, valued over $5 each Clock movements, complete and assembled, not electrically operated, measuring not over 50 mm in width or diameter Clock movements, complete and assembled, not electrically operated, measuring over 50 mm in width</w:t>
      </w:r>
    </w:p>
    <w:p>
      <w:pPr>
        <w:pStyle w:val="Normal"/>
      </w:pPr>
      <w:r>
        <w:t>or diameter, valued not over $5 each Clock movements, complete and assembled, not electrically operated, measuring over 50 mm in width or diameter, valued over $5 each Complete watch movements, unassembled or partly assembled (movement sets) Incomplete watch movements, assembled Rough watch movements</w:t>
      </w:r>
    </w:p>
    <w:p>
      <w:pPr>
        <w:pStyle w:val="Normal"/>
      </w:pPr>
      <w:r>
        <w:t>Complete clock movements, unassembled or partly assembled (movement sets) Incomplete clock movements consisting of 2 or more pieces or parts fastened or joined together Incomplete clock movements, nesi Watch cases of precious metal or of metal clad with precious metal Watch cases of gold- or silver-plated base metal Watch cases of base metal not gold- or silver-plated Watch cases, not of precious metal, of metal clad with precious metal or of base metal Parts of watch cases, of precious metal or of metal clad with precious metal Bezels, backs and centers, of watch cases, not of precious metal or of metal clad with precious metal Parts of watch cases, other than bezels, backs and centers, not of precious metal or of metal clad with precious metal Clock cases and cases of a similar type for other goods of chapter 91, of metal Clock cases and cases of a similar type for other goods of chapter 91, other than cases of metal Parts of clock cases and cases of a similar</w:t>
      </w:r>
    </w:p>
    <w:p>
      <w:pPr>
        <w:pStyle w:val="Normal"/>
      </w:pPr>
      <w:r>
        <w:t>type for other goods of chapter 91 Watch straps, watch bands and watch bracelets, of precious metal or of metal clad with precious metal, and parts thereof Watch straps, watch bands and watch bracelets of base metal, whether or not gold- or silver-plated, valued not over $5 per dozen Watch straps, watch bands and watch bracelets of base metal, whether or not gold- or silver-plated, valued over $5 per dozen Parts of watch bracelet of base metal, whether or not gold- or silver-plated, valued not over $12 per dozen</w:t>
      </w:r>
    </w:p>
    <w:p>
      <w:pPr>
        <w:pStyle w:val="Normal"/>
      </w:pPr>
      <w:r>
        <w:t>Parts of watch bracelets of base metal, whether or not gold- or silver-plated, valued over $12 per dozen Watch straps, watch bands and watch bracelets, of textile material, and parts thereof Watch straps, watch bands and watch bracelets, other than of precious metal, base metal or textile material, and parts thereof Springs, including hair-springs, for watches Springs, including hair-springs, for clocks Dials for watches and clocks, not exceeding 50 mm in width Dials for watches and clocks, exceeding 50 mm in width Watch movement bottom or pillar plates or their equivalent Any plate, or set of plates, suitable for assembling thereon a clock movement Plates and bridges for watches, nesi Plates and bridges for clocks, nesi Jewels for watch or clock movements Assemblies and subassemblies for watch movements consisting of 2 or more pieces or parts fastened or joined inseparably together Assemblies and subassemblies for clock movements consisting of 2 or more pieces or parts fastened or joined inseparably together Watch parts, nesi Clock parts, nesi Upright pianos Grand pianos Keybd string. musical instru., o/than w/elect. sound or ampl., pianos (incl. player pianos) nesoi; harpsichords &amp; oth keybd string. instr.</w:t>
      </w:r>
    </w:p>
    <w:p>
      <w:pPr>
        <w:pStyle w:val="Normal"/>
      </w:pPr>
      <w:r>
        <w:t>String musical instruments, o/than w/elect. sound or ampl., played with a bow String musical instruments, o/than w/elect. sound or ampl., guitars, valued not over $100 each (excluding the value of the case) String musical instruments, o/than w/elect.</w:t>
      </w:r>
    </w:p>
    <w:p>
      <w:pPr>
        <w:pStyle w:val="Normal"/>
      </w:pPr>
      <w:r>
        <w:t>sound or ampl., guitars, valued over $100 each (excluding the value of the case) String musical instruments (o/than guitars or instruments played with a bow), o/than w/elect. sound or ampl. Wind musical instruments, o/than w/elect. sound or ampl., brass-wind instruments Keyboard musical instruments, o/than w/elect. sound or ampl., pipe organs Keyboard musical instruments, o/than w/elect. sound or ampl., harmoniums and similar keyboard instruments with free metal reeds Piano accordions, o/than w/elect. sound or ampl. Accordions (o/than piano accordions) and similar instruments, o/than w/elect. sound or ampl. Mouth organs Wind musical instruments, o/than w/elect. sound or ampl., bagpipes Wind musical instruments, o/than w/elect. sound or ampl., woodwind instruments (o/than bagpipes) Wind musical instruments (o/than brass-wind or woodwind) nesoi, o/than w/elect. sound or ampl. Percussion musical instruments, o/than w/elect. sound or ampl., drums Percussion musical instruments, o/than w/elect. sound or ampl., cymbals Percussion musical instruments, o/than w/elect.</w:t>
      </w:r>
    </w:p>
    <w:p>
      <w:pPr>
        <w:pStyle w:val="Normal"/>
      </w:pPr>
      <w:r>
        <w:t>sound or ampl., sets of tuned bells known as chimes, peals or carillons Percussion musical instruments (o/than drums, cymbals, chimes, peals or carillons) nesoi (e.g., xylophones, castanets, maracas) Keyboard musical instruments (o/than accordions), the sound of which is produced, or must be amplified, electrically Musical instruments (o/than keyboard except accordions) nesoi, the sound of which is produced, or must be amplified, electrically Music boxes Musical instruments nesoi in chapter 92; decoy calls; whistles, and o/mouth-blown sound signaling instruments Strings for musical instruments Tuning pins for pianos Parts &amp; access. for pianos (o/than tuning pins and strings) nesoi Mutes, collapsible musical instru. stands, &amp; music holders for attachment to instru., all the foregoing, for stringed music. instru. of 9202 Tuning pins for stringed musical instruments of heading 9202 Bows, parts of bows, bow hair, chin rests and other parts and accessories for stringed musical instru. of 9202 Parts &amp; access. nesoi, for stringed musical instruments of heading 9202 Collapsible musical instrument stands, for the instruments w/elect sound or ampl. of heading 9207 Parts &amp; access. nesoi, for the musical instruments w/elect.</w:t>
      </w:r>
    </w:p>
    <w:p>
      <w:pPr>
        <w:pStyle w:val="Normal"/>
      </w:pPr>
      <w:r>
        <w:t>sound or ampl. of heading 9207 nesoi Metronomes, tuning forks and pitch pipes of all kinds Mutes nesoi; pedals, dampers &amp; spurs for drums; pedals &amp; holders for cymbals; music holders nesoi; collapsible music instru stands, nesoi Parts &amp; access.</w:t>
      </w:r>
    </w:p>
    <w:p>
      <w:pPr>
        <w:pStyle w:val="Normal"/>
      </w:pPr>
      <w:r>
        <w:t>nesoi, for pipe organs Parts &amp; access. nesoi, for harmoniums and similar keyboard instruments with free metal reeds of heading 9203, nesoi Parts &amp; access. nesoi, for bagpipes Parts &amp; access. nesoi, for woodwind and brass-wind musical instruments Parts for music boxes Parts &amp; access. nesoi, for musical instruments, nesoi Artillery weapons (for example, guns, howitzers, and mortars) Rocket launchers; flame-throwers; grenade launchers; torpedo tubes and similar projectors Rifles, military Shotguns, military Military weapons, nesoi Revolvers and pistols (o/than of heading 9303 or 9304) Muzzle-loading firearms Shotguns (incl. comb. shotgun-rifles), for sport, hunting or target-shooting Rifles (o/than muzzle-loading), for sport, hunting or target-shootings, valued o/$25 but n/or $50 each Rifles (o/than muzzle-loading), for sport, hunting or target-shooting rifles, valued at $25 and under or o/$50 each Revolvers and pistols, designed to fire only blank cartridges or blank ammunition Firearms and similar devices that operate by the firing of an explosive charge, nesoi Rifles that eject missiles by release of compressed air or gas, or by the release of a spring mechanism or rubber held under tension Pistols &amp; other guns (o/than rifles) that eject missiles by release of comp.</w:t>
      </w:r>
    </w:p>
    <w:p>
      <w:pPr>
        <w:pStyle w:val="Normal"/>
      </w:pPr>
      <w:r>
        <w:t>air or gas, a spring mechanism or rubber held under tension Arms (o/than those of heading 9307) nesoi Parts and accessories nesoi, for revolvers or pistols of heading 9302 Parts and accessories nesoi, for revolvers or pistols designed to fire only blank cartridges or blank ammunition Parts and accessories nesoi, for muzzle-loading revolvers and pistols Parts and accessories nesoi, for revolvers or pistols nesoi Stocks, for rifles of heading 9303 Other parts and accessories of shotguns or rifles of heading 9303 Parts and accessories for military rifles of heading 9301 Parts and accessories for military shotguns of heading 9301 Parts and accessories for military weapons (other than rifles and shotguns) of heading Parts and accessories for articles of heading 9303 other than shotguns or rifles Parts and accessories for articles of subheading 9304.00.20 or 9304.00.40 Parts and accessories for articles of headings 9301 to 9304, nesoi Cartridges, for shotguns Parts of cartridges for shotguns; air gun pellets Cartridges nesoi and empty cartridge shells Parts of cartridges nesoi Bombs, grenades, torpedoes, mines, missiles and similar munitions of war and pts thereof; other ammunition projectiles &amp; pts.</w:t>
      </w:r>
    </w:p>
    <w:p>
      <w:pPr>
        <w:pStyle w:val="Normal"/>
      </w:pPr>
      <w:r>
        <w:t>thereof Swords, cutlasses, bayonets, lances and similar arms, parts thereof and scabbards and sheaths therefor Seats, of a kind used for aircraft, leather upholstered Seats, of a kind used for aircraft (o/than leather upholstered) Seats, of a kind used for motor vehicles Seats nesoi, swivel w/variable height adjustment &amp; w/wooden frame (o/than of heading 9402) Seats nesoi, swivel w/variable height adjustment &amp; other than w/wooden frame (o/than of heading 9402) Seats nesoi, convertible into beds (o/than garden seats or camping equip.) Bamboo seats Rattan seats Seats nesoi, of cane, osier, similar materials o/than bamboo or rattan Chairs nesoi, w/teak frames, upholstered Chairs nesoi, w/wooden frames (o/than teak), upholstered Seats (o/than chairs) nesoi, w/wooden frames, upholstered Seats nesoi, of bent-wood Chairs nesoi, w/teak frames, not upholstered Chairs nesoi, w/wooden frames (o/than teak), not upholstered Seats (o/than chairs) nesoi, w/wooden frames, not upholstered Seats nesoi, w/metal frame (o/than of heading 9402), upholstered Seats nesoi, w/metal frame (o/than of heading 9402), not upholstered Seats nesoi, of reinforced or laminated plastics (o/than of heading</w:t>
      </w:r>
    </w:p>
    <w:p>
      <w:pPr>
        <w:pStyle w:val="Normal"/>
      </w:pPr>
      <w:r>
        <w:t>9402) Seats nesoi, of rubber or plastics (o/than of reinforced or laminated plastics &amp; o/than of heading 9402) Seats nesoi, o/than of wood, or w/metal frame or of rubber or plastics (o/than of heading 9402) Parts of seats nesoi, for seats of a kind used for motor vehicles Parts of seats nesoi, for bent-wood</w:t>
      </w:r>
    </w:p>
    <w:p>
      <w:pPr>
        <w:pStyle w:val="Normal"/>
      </w:pPr>
      <w:r>
        <w:t>seats Parts of seats (o/than of 9402) nesoi, of cane, osier, bamboo or similar materials Parts of seats (o/than of 9402) nesoi, of rubber or plastics (o/than of heading 9402) Parts of seats (o/than of 9402) nesoi, of wood Parts of seats (o/than of 9402) nesoi, o/than of cane etc, rubber or plastics or of wood Dentists’, barbers’ and similar chairs and parts thereof Medical, surgical, dental or veterinary furniture and parts thereof Furniture (o/than seats) of metal nesoi, of a kind used in offices Furniture (o/than seats) of metal nesoi, o/than of a kind used in offices Furniture (o/than seats) of bentwood nesoi, of a kind used in offices Furniture (o/than seats) of wood (o/than bentwood) nesoi, of a kind used in offices Furniture (o/than seats) of bent-wood nesoi, of a kind used in the kitchen Furniture (o/than seats) of wood (o/than bentwood) nesoi, of a kind used in the kitchen &amp; design. for motor vehicle use Furniture (o/than seats) of wood (o/than bentwood) nesoi, of a kind used in the kitchen &amp; not design. for motor vehicl.</w:t>
      </w:r>
    </w:p>
    <w:p>
      <w:pPr>
        <w:pStyle w:val="Normal"/>
      </w:pPr>
      <w:r>
        <w:t>use Furniture (o/than seats) of bentwood nesoi, of a kind used in the bedroom Furniture (o/than seats) of wood (o/than bentwood), of a kind used in the bedroom &amp; designed for motor vehicle use Furniture (o/than seats) of wood (o/than bentwood), of a kind used in the bedroom &amp; not designed for motor vehicle use Furniture (o/than seats &amp; o/than of 9402) of bentwood nesoi Furniture (o/than seats &amp; o/than of 9402) of wooden (o/than bentwood) nesoi Furniture (o/than seats &amp; o/than of 9402) of reinforced or laminated plastics nesoi Furniture (o/than seats &amp; o/than of 9402) of plastics (o/than reinforced or laminated) nesoi Bamboo furniture and parts Rattan furniture and parts Furniture (o/than seats) of cane, osier, or similar materials o/than bamboo or rattan Furniture (o/than seats &amp; o/than of 9402) of materials nesoi Parts of furniture (o/than seats), for furniture of a kind used for motor vehicles Parts of furniture (o/than seats), of cane, osier, bamboo or similar materials Parts of furniture (o/than seats or o/than of 9402),</w:t>
      </w:r>
    </w:p>
    <w:p>
      <w:pPr>
        <w:pStyle w:val="Normal"/>
      </w:pPr>
      <w:r>
        <w:t>of reinforced or laminated plastics Parts of furniture (o/than seats or o/than of 9402), of rubber or plastics (o/than reinforced or laminated plastics) Parts of furniture (o/than seats or o/than of 9402), of textile material (o/than cotton) Parts of furniture (o/than seats or o/than of 9402), of wood Parts of furniture (o/than seats or o/than of 9402) nesoi Mattress supports Mattresses, of cellular rubber or plastics, whether or not covered Mattresses,</w:t>
      </w:r>
    </w:p>
    <w:p>
      <w:pPr>
        <w:pStyle w:val="Normal"/>
      </w:pPr>
      <w:r>
        <w:t>of cotton Mattresses (o/than of cellular rubber or plastics or of cotton) Sleeping bags, containing 20% or more by weight of feathers and/or down Sleeping bags, not containing 20% or more by weight of feathers and/or down Pillows, cushions and similar furnishings, of cotton Pillows, cushions and similar furnishings, other than of cotton Arts. of bedding &amp; similar furnishings stuffed or internally fitted w/any material nesoi, of cotton, w/o embroidery/lace/braid/edging,etc Quilts, eiderdowns, comforters and similar articles, not of cotton Arts.</w:t>
      </w:r>
    </w:p>
    <w:p>
      <w:pPr>
        <w:pStyle w:val="Normal"/>
      </w:pPr>
      <w:r>
        <w:t>of bedding &amp; similar furnishings stuffed or internally fitted w/any material nesoi Chandeliers and other electric ceiling or wall lighting fittings (o/than used for public spaces), of brass Chandeliers and other electric ceiling or wall lighting fixtures (o/than used for public spaces), of base metal (o/than brass) Chandeliers and other electric ceiling or wall lighting fixtures (o/than used for public spaces), not of base metal Electric table, desk, bedside or floor-standing lamps, of brass Electric table, desk, bedside or floor-standing lamps, of base metal (o/than brass) Electric table, desk, bedside or floor-standing lamps, not of base metal Lighting sets of a kind used for Christmas trees Electric lamps and lighting fixtures nesoi, of brass Electric lamps and lighting fixtures nesoi, of base metal (o/than brass) LEDs for backlighting of LCDs Electric lamps and lighting fixtures nesoi, not of base metal Non-electrical incandescent</w:t>
      </w:r>
    </w:p>
    <w:p>
      <w:pPr>
        <w:pStyle w:val="Normal"/>
      </w:pPr>
      <w:r>
        <w:t>lamps designed to be operated by propane or other gas, or by compressed air and kerosene or gasoline Non-electrical lamps and lighting fixtures nesoi, of brass Non-electrical lamps and lighting fixtures nesoi, not of brass Illuminated signs, illuminated name plates and the like, of brass Illuminated signs, illuminated name plates and the like, of base metal (o/than brass) Illuminated signs, illuminated name plates and the like, not of base metal Parts of lamps, lighting fittings, illuminated signs &amp; the like, globes and shades, of lead crystal glass Parts of lamps, lighting fittings, illuminated signs &amp; the like, globes and shades, of glass (o/than lead crystal) Parts of lamps, lighting fittings, illuminated signs &amp; the like, chimneys, of glass Parts of lamps, lighting fixtures, illuminated signs &amp; the like, of glass nesoi Parts of lamps, lighting fixtures, illuminated signs &amp; the like, of plastics Parts of lamps, lighting fixtures, illuminated signs &amp; the like, of brass Parts of lamps, lighting fixtures, illuminated signs &amp; the like, not of glass, plastics or</w:t>
      </w:r>
    </w:p>
    <w:p>
      <w:pPr>
        <w:pStyle w:val="Normal"/>
      </w:pPr>
      <w:r>
        <w:t>brass Prefabricated buildings of wood Prefabricated buildings not of wood Toys, including riding toys o/than bicycles, puzzles, reduced scale models Balls, for billiards Chalk, for billiards Tables, for billiards Articles nesoi and parts and accessories, for billiards Coin- or token-operated games for arcade, table or parlor (o/than bowling alley equipment) nesoi and parts and accessories thereof Playing cards Video</w:t>
      </w:r>
    </w:p>
    <w:p>
      <w:pPr>
        <w:pStyle w:val="Normal"/>
      </w:pPr>
      <w:r>
        <w:t>game consoles and machines, other than those of heading 9504.30 Game machines (o/than coin- or token-operated) and parts and accessories thereof Chess, checkers, backgammon, darts and o/table and parlor games played on boards of a special design and parts thereof; poker chips and dice Articles nesoi for arcade, table or parlor games &amp; parts &amp; access.; automatic bowling alley equipment &amp; parts and accessories thereof Arts. for Christmas festivities, ornaments of glass Arts. for Christmas festivities, ornaments of wood Arts. for Christmas festivities, ornaments, not of glass or wood Arts. for Christmas festivities, nativity scenes and figures thereof Arts. for Christmas festivities (o/than ornaments &amp; nativity scenes) nesoi, of plastics Arts.</w:t>
      </w:r>
    </w:p>
    <w:p>
      <w:pPr>
        <w:pStyle w:val="Normal"/>
      </w:pPr>
      <w:r>
        <w:t>for Christmas festivities (o/than ornaments &amp; nativity scenes) nesoi, not of plastics Magic tricks and practical joke articles, and parts &amp; accessories thereof nesoi Confetti, paper spirals or streamers, party favors, and noisemakers, and parts &amp; accessories thereof nesoi Festive, carnival or other entertainment articles nesoi and parts &amp; accessories thereof nesoi Skis, cross-country snow-skis Skis, snow-skis (o/than cross-country) Parts and accessories (o/than poles) for snow-skis Bindings and parts &amp; accessories thereof, for cross-country snow skis Bindings and parts &amp; accessories thereof, for snow-skis (o/than cross-country) Cross country snow-ski equipment nesoi, and parts &amp; accessories thereof nesoi Snow-ski (o/than cross country)</w:t>
      </w:r>
    </w:p>
    <w:p>
      <w:pPr>
        <w:pStyle w:val="Normal"/>
      </w:pPr>
      <w:r>
        <w:t>equipment nesoi, and parts &amp; accessories thereof nesoi Sailboards Parts and accessories for sailboards Water-skis, surf boards, and other water sport equipment (o/than sailboards) and parts &amp; accessories thereof nesoi Golf clubs, complete Golf balls Golf equipment (o/than golf footwear) nesoi and parts &amp; accessories thereof Articles and equipment for table-tennis and parts &amp; accessories thereof Lawn-tennis rackets, strung Lawn-tennis rackets, not strung Parts and accessories for lawn-tennis rackets Badminton rackets and parts and accessories thereof Rackets for games (o/than for lawn-tennis or badminton) and parts &amp; accessories thereof Lawn-tennis balls Inflatable footballs and soccer balls Inflatable balls (o/than footballs and soccer balls) nesoi Baseballs and softballs Noninflatable hollow balls nesoi, w/diameter of 19 cm or less Noninflatable balls nesoi Roller skates and parts &amp; accessories thereof Ice skates w/footwear permanently attached Skates (o/than roller or ice) nesoi and parts &amp; access. thereof (incl. parts and accessories for ice skates w/perm. attach. footwear) Arts. and equip.</w:t>
      </w:r>
    </w:p>
    <w:p>
      <w:pPr>
        <w:pStyle w:val="Normal"/>
      </w:pPr>
      <w:r>
        <w:t>for general physical exercise, gymnastics or athletics and parts &amp; accessories thereof Archery articles and equipment, and parts &amp; accessories thereof Badminton nets, of cotton Badminton articles and equipment (o/than rackets and cotton nets) and parts &amp; accessories thereof Baseball articles and equipment (o/than baseballs) and parts &amp; accessories thereof Football, soccer and polo articles and equipment (o/than balls), and parts &amp; accessories thereof Ice-hockey and field-hockey articles and equipment (o/than balls and skates), and parts &amp; accessories thereof Lacrosse sticks Lawn-tennis articles and equipment (o/than balls and rackets), and parts &amp; accessories thereof Skeet targets Toboggans; bobsleds and luges of a kind used in international competition Sleds and bobsleds (o/than bobsleds &amp; luges for intl.</w:t>
      </w:r>
    </w:p>
    <w:p>
      <w:pPr>
        <w:pStyle w:val="Normal"/>
      </w:pPr>
      <w:r>
        <w:t>competition) and parts &amp; accessories for toboggans, sleds, bobsled, luges and the like Snowshoes and parts &amp; accessories thereof Swimming pools and wading pools and parts &amp; accessories thereof Athletic and sports articles and equipment nesoi, and parts &amp; accessories thereof nesoi Fishing rods and parts &amp; accessories thereof Fish hooks, snelled Fish hooks, not snelled Fishing reels, valued not over $2.70 each Fishing reels, valued over $2.70 but not over $8.45 each Fishing reels, valued over $8.45 each Parts and accessories for fishing reels Fishing line, put up and packaged for retail sale Fishing casts or leaders Fish landing nets, butterfly nets and similar nets Artificial baits and flies Line fishing tackle nesoi, decoy “birds” &amp; similar hunting or shooting equip., and parts &amp; access. thereof Traveling circuses and traveling menageries; parts and accessories thereof Merry-go-rounds, boat-swings, shooting galleries and other fairground amusements; traveling theaters;</w:t>
      </w:r>
    </w:p>
    <w:p>
      <w:pPr>
        <w:pStyle w:val="Normal"/>
      </w:pPr>
      <w:r>
        <w:t>parts and accessories thereof Ivory, worked and articles thereof Shell, worked and articles thereof Coral, cut but not set, and cameos, suitable for use in jewelry Bone, horn, hoof, whalebone, quill, or any combination thereof, worked and articles thereof Carving materials of animal parts, worked and articles thereof, nesoi Unhardened gelatin, worked and articles thereof Wax, molded or carved articles Vegetable, mineral or gum materials, worked and articles of these materials Whiskbrooms, wholly or pt.</w:t>
      </w:r>
    </w:p>
    <w:p>
      <w:pPr>
        <w:pStyle w:val="Normal"/>
      </w:pPr>
      <w:r>
        <w:t>of broom corn, n/o $0.96 each, first 61,655 doz in calendar year classif. In 9603.10.05-9603.10.35 Whiskbrooms, wholly or pt. of broom corn, n/o $0.96 each, &gt;first 61,655 dz in calendar year classif.</w:t>
      </w:r>
    </w:p>
    <w:p>
      <w:pPr>
        <w:pStyle w:val="Normal"/>
      </w:pPr>
      <w:r>
        <w:t>In 9603.10.05-9603.10.35 Whiskbrooms, wholly or pt. of broom corn, over $0.96 each Brooms (o/than whiskbrooms), wholly or in part broom corn, val. n/o 96 cents ea, first 121478 dz in calendar yr, class. in 9603.10 Brooms (o/than whiskbrooms), wholly or in part broom corn, val. n/o 96 cents ea, in excess of 121478 dz in calendar yr., class in 9603.10 Brooms (o/than whiskbrooms), wholly or in part broom corn, val. ov 96 cents each Brooms &amp; brushes of twigs or vegetable materials (o/than broom corn) bound together, w/ or w/o handles Toothbrushes, including dental-plate brushes Shaving brushes, hair brushes, nail brushes, eyelash and other toilet brushes (o/than tooth brushes), valued n/o 40 cents each Shaving brushes, hair brushes, nail brushes, eyelash and other toilet brushes (o/than tooth brushes), valued o/40 cents each Artists’ brushes, writing brushes and similar brushes for the application of cosmetics, valued n/o 5 cents each Artists’ brushes, writing brushes and similar brushes for the application of cosmetics, valued o/5 cents but n/o 10 cents each Artists’ brushes, writing brushes and similar brushes for the application of cosmetics, valued o/10 cents each Paint rollers Paint, distemper, varnish or similar brushes (o/than artists’ brushes); paint pads Brushes,</w:t>
      </w:r>
    </w:p>
    <w:p>
      <w:pPr>
        <w:pStyle w:val="Normal"/>
      </w:pPr>
      <w:r>
        <w:t>constituting parts of machines, appliances or vehicles, nesoi Feather dusters Brooms &amp; brushes nesoi, mops, hand-operated mechanical floor sweepers, squeegees and similar articles, nesoi Hand sieves and hand riddles Travel sets for personal toilet, sewing, shoe or clothes cleaning (o/than manicure and pedicure sets of 8214) Press-fasteners, snap-fasteners and press-studs and pts thereof, valued n/o 20 cents/dozen pieces or parts Press-fasteners, snap-fasteners and press-studs and pts thereof, valued o/20 cents/dozen pieces or parts Buttons, of casein, not covered with textile material Buttons, of acrylic resin or polyester resin, or both resins, not covered with textile material Buttons, of plastics (o/than casein, acrylic or polyester resins), not covered with textile materials Buttons, of base metal, not covered with textile material Buttons, of acrylic resin or polyester resin, or both resins, covered with textile material Buttons, of pearl or shell Buttons, nesoi Button blanks, of casein Button molds &amp; parts of buttons;</w:t>
      </w:r>
    </w:p>
    <w:p>
      <w:pPr>
        <w:pStyle w:val="Normal"/>
      </w:pPr>
      <w:r>
        <w:t>button blanks (o/than casein) Slide fasteners, fitted with chain scoops of base metal Slide fasteners, not fitted with chain scoops of base metal Parts of slide fasteners Pens, w/ball point Pens and markers, w/felt tip or other porous-tip Pens, fountain, stylograph and other pens, nesoi Pencils, propelling or sliding, w/mechanical action for extending, or for extending and retracting, the lead Pencils, propelling or sliding pencils, not w/mechanical</w:t>
      </w:r>
    </w:p>
    <w:p>
      <w:pPr>
        <w:pStyle w:val="Normal"/>
      </w:pPr>
      <w:r>
        <w:t>action for extending, or for extending and retracting, the lead Sets of pens, mechanical pencils, etc. from two or more subheadings 9608.10  9608.40 Refills for ball point pens, comprising the ball point and ink reservoir Pen nibs and nib points Refill cartridges for pens (o/than ball point pens) Balls for ball point pens Parts, of pens, mechanical pencils, etc. provided for in 9608.10, 9608.31, and 9608.39 (o/than balls for ball point pens) Duplicating stylos, pen-holders, pencil-holders and similar holders &amp; pts. thereof, and parts of pens, mech.pencils, etc. of 9608 nesoi Pencils &amp; crayons, with leads encased in a rigid sheath Pencil leads, black or colored, n/o 1.5 mm in maximum cross-sectional dimension Pencil leads, black or colored, o/1.5 mm in maximum cross-sectional dimension Tailors’ chalks Pencils &amp; crayons (o/than in rigid sheath), pastels, drawing charcoals and writing or drawing chalks, nesoi Slates and boards, with writing or drawing surfaces (whether or not framed) Date, sealing or numbering stamps and the like, designed for operating in the hand; hand-operated composing sticks and hand printing sets Ribbons, inked or otherwise prepared, less than 30 mm wide, put up in plastic/metal cart., of a kind used in typewriters, ADP or other mach.</w:t>
      </w:r>
    </w:p>
    <w:p>
      <w:pPr>
        <w:pStyle w:val="Normal"/>
      </w:pPr>
      <w:r>
        <w:t>Ribbons, inked or otherwise prepared (whether or not on spools) nesoi, for typewriters and similar uses Ink pads (whether or not inked and with or without boxes) Cigarette lighters and similar lighters, gas fueled, not refillable, for the pocket Cigarette lighters and similar lighters, gas fueled, refillable, for the pocket Cigarette lighters and similar lighters, for the table Cigarette lighters and similar lighters (other than pocket or table), electrical Cigarette lighters &amp; similar lighters (o/than pocket or table), n/elect., of prec.metal (o/than silver), precious/semiprec. stones, or comb.</w:t>
      </w:r>
    </w:p>
    <w:p>
      <w:pPr>
        <w:pStyle w:val="Normal"/>
      </w:pPr>
      <w:r>
        <w:t>Cigarette lighters &amp; similar lighters (o/than pocket or table), n/elect., nesoi, valued n/o $5/dozen pieces Cigarette lighters &amp; similar lighters (o/than pocket or table), n/elect., nesoi, valued over $5/dozen pieces Parts for electrical cigarette lighters and similar lighters Parts for nonelectrical cigarette lighters and similar lighters Roughly shaped blocks of wood or root, for the manufacture of smoking pipes Smoking pipes (o/than roughly shaped blocks of wood or root for the manufacture of smoking pipes) and pipe bowls of wood or root Smoking pipes and bowls, wholly of clay, and other smoking pipes w/bowls wholly of clay Smoking pipes and pipe bowls (o/than wood, root or wholly of clay) Cigar or cigarette holders of metal; parts of metal for smoking pipes &amp; bowls or for cigar or cigarette holders Cigar or cigarette holders o/than of metal; parts o/than of metal for smoking</w:t>
      </w:r>
    </w:p>
    <w:p>
      <w:pPr>
        <w:pStyle w:val="Normal"/>
      </w:pPr>
      <w:r>
        <w:t>pipes &amp; bowls or for cigar or cigarette holders Combs, of hard rubber or plastics, valued n/o $4.50 per gross Combs, of hard rubber, valued over $4.50 per gross Combs, of plastics, valued over $4.50 per gross Hair slides and the like, of hard rubber or plastics, not set with imitation pearls or imitation gemstones Hair slides and the like, of hard rubber or plastics, set w/imitation pearls or imit. gemstones Combs, not of hard rubber or plastics, valued n/o $4.50 per gross Combs, not of hard rubber or plastics, valued over $4.50 per gross Hair-slides and the like, not of hard rubber or plastics Nonthermic, nonornamental devices for curling the hair Hair pins Hair accessories and pts thereof, and pts. of combs, hair slides, etc. nesoi, of rubber or plastics, n/set w/imit. pearls or imit. gemstones Hair accessories and pts thereof, and pts. of combs, hair slides, etc.</w:t>
      </w:r>
    </w:p>
    <w:p>
      <w:pPr>
        <w:pStyle w:val="Normal"/>
      </w:pPr>
      <w:r>
        <w:t>nesoi Scent sprayers and similar toilet sprayers, and mounts and heads therefor Powder puffs and pads for the application of cosmetics or toilet preparations Vacuum flasks and vessels, complete with cases, w/capacity n/o 1 liter Vacuum flasks and vessels, complete with cases, w/capacity o/1 liter but n/o 2 liters Vacuum flasks and vessels, complete with cases, w/capacity o/2 liters Vacuum flask and vacuum vessel parts (o/than glass liners) Tailors’ dummies and other mannequins;</w:t>
      </w:r>
    </w:p>
    <w:p>
      <w:pPr>
        <w:pStyle w:val="Normal"/>
      </w:pPr>
      <w:r>
        <w:t>automatons and other animated displays used for shop window dressing Sanitary napkins and tampons, diapers and diaper liners and similar sanitary articles, of plastics Sanitary napkins and tampons, diapers and diaper liners and similar sanitary articles, of paper pulp Sanitary napkins and tampons, diapers and diaper liners and similar sanitary articles, other than of paper pulp Sanitary towels and tampons, diapers and diaper liners for babies and similar sanitary articles, of wadding of cotton Sanitary towels and tampons, diapers and diaper liners for babies &amp; similar sanitary articles, of wadding of other textile materials, nesoi Babies’ diapers, knitted or crocheted, of cotton, nesoi Babies’ diapers nesoi, of cotton, not knitted or crocheted Babies’ diapers, not knitted or crocheted, nesoi, of synthetic fibers Babies’ diapers, not knitted or crocheted, nesoi, of artificial fibers Babies diapers, of textile materials (except wool, cotton or mmf), containing under 70% by weight of silk, k/c Babies’</w:t>
      </w:r>
    </w:p>
    <w:p>
      <w:pPr>
        <w:pStyle w:val="Normal"/>
      </w:pPr>
      <w:r>
        <w:t>diapers, of textile mats(except wool, cotton or mmf), cont under 70% by wt of silk or silk waste, not k/c Other sanitary garments nesoi, knitted or crocheted, of cotton Other sanitary garments nesoi, knitted or crocheted, of man-made fibers Other sanitary garments, nesoi, of textile materials (except wool, cotton or mmf), &lt; 70% by wt of silk or silk waste, knitted/crocheted Other sanitary garments nesoi, not knitted or crocheted, of cotton Other sanitary garments nesoi, not knitted or crocheted, of man-made fibers Men’s or boys’ other sanitary garments, nesoi, of tex mat(except wool, cotton or mmf), cont under 70% by wt of silk, not k/c Women’s or girls’ other sanitary garments, nesoi, of tex mat(except wool, cotton or mmf), cont under 70% by wt of silk, not k/c Other sanitary included articles of textile materials, nesoi Monopods, bipods, tripods and similar articles, accessories of heading 8519 or 8521 Monopods, bipods, tripods and similar articles, accessories of heading 9005 Monopods, bipods, tripods and similar articles, accessories of heading 9006, other than</w:t>
      </w:r>
    </w:p>
    <w:p>
      <w:pPr>
        <w:pStyle w:val="Normal"/>
      </w:pPr>
      <w:r>
        <w:t>cinematographic Monopods, bipods, tripods and similar articles, accessories of heading 9007 Monopods, bipods, tripods and similar articles, accessories of heading 9015, including rangefinders Monopods, bipods, tripods and similar articles of plastics, nesoi Monopods, bipods, tripods and similar articles of wood, nesoi Monopods, bipods, tripods and similar articles of graphite and other carbon, nesoi Monopods,</w:t>
      </w:r>
    </w:p>
    <w:p>
      <w:pPr>
        <w:pStyle w:val="Normal"/>
      </w:pPr>
      <w:r>
        <w:t>bipods, tripods and similar articles of iron and steel, nesoi Monopods, bipods, tripods and similar articles of aluminum, nesoi Paintings, drawings (o/than of 4906) and pastels, executed entirely by hand, whether or not framed Collages and similar decorative plaques, executed entirely by hand, whether or not framed Original engravings, prints and lithographs, whether or not framed Original sculptures and statuary, in any material Postage or revenue stamps, stamp-postmarks, first-day covers, postal stationery, and the like, used or unused, other than heading 4907 Collections and collectors’ pieces of zoological, botanical, mineralogical, anatomical, historical, archaeological etc. interest Antiques of an age exceeding one hundred years U.S. goods returned without having been advanced in value or improved in condition while abroad U.S.</w:t>
      </w:r>
    </w:p>
    <w:p>
      <w:pPr>
        <w:pStyle w:val="Normal"/>
      </w:pPr>
      <w:r>
        <w:t>Government property, returned to the United States without having been advanced in value or improved in condition by any means while abroad Articles reimported without having advanced in value or improved in condition while abroad, under lease to a foreign manufacturer Articles reimported without having advanced in value or improved in condition while abroad, or do not conform to specifications Articles sold for export for personal use and reimported without having advanced in value or improved in condition while abroad by exporter Any aircraft engine or part reimported without having advanced or improved while abroad, after temporary substitution for engine overhauled Articles returned after temporary export for exhibition, examination or experimentation, for scientific or educational purposes Articles returned after temporary export for exhibition in connection with any circus or menagerie Articles returned after temporary export for exhibition or use at any public exposition, fair or conference Art. ret. after temp. export for rendition of geophysical or contr. services, connected w/exploration, extract. or dev.</w:t>
      </w:r>
    </w:p>
    <w:p>
      <w:pPr>
        <w:pStyle w:val="Normal"/>
      </w:pPr>
      <w:r>
        <w:t>of natural resources Previously exported aircraft with benefit of drawback, dutiable upon return Previously exported articles except aircraft, dutiable upon return Professional books, implements, instruments &amp; tools of trade, occupation or employment returned US by person after use temporarily abroad U.S.</w:t>
      </w:r>
    </w:p>
    <w:p>
      <w:pPr>
        <w:pStyle w:val="Normal"/>
      </w:pPr>
      <w:r>
        <w:t>domestic animals and offspring returned from straying across the border or returned from pasture abroad within 8 months Photographic films and dry plates manufactured in U.S.(except commercial motion- picture film) and exposed abroad, whether developed or not Articles returned to the U.S. after having been exported for repairs or alterations, made pursuant to a warranty Articles returned to the U.S. after having been exported for repairs or alterations, nesi Textile and apparel goods, assembled in Mexico in which all fabric components were wholly formed and cut in the United States, etc.</w:t>
      </w:r>
    </w:p>
    <w:p>
      <w:pPr>
        <w:pStyle w:val="Normal"/>
      </w:pPr>
      <w:r>
        <w:t>Substantial containers and holders, either U.S. or foreign prev. imported and dutied; specified instruments of international traffic, etc books, libraries, usual furniture &amp; household effects, used 1 year+, and n/for other person, or for sale For person arriving in the U.S.: professional books, implements, instruments &amp; tools of trade/occupation/employ., previously taken abroad For person emigrating to the U.S.: professional books, implements, instruments &amp; tools of trade/occupation/employ., he owned &amp; used abroad For person arriving in the U.S., not returning resident: certain wearing apparel, personal adornment art., toilet art. &amp; personal effects For person arriving in the U.S., not returning resident: up to 50 cigars, 200 cigarettes, or 2 kg smoking tobacco &amp; n/ov. 1 liter of alcohol For person arriving in the U.S., not returning resident: n/over $100 of articles (n/alcohol. bev.</w:t>
      </w:r>
    </w:p>
    <w:p>
      <w:pPr>
        <w:pStyle w:val="Normal"/>
      </w:pPr>
      <w:r>
        <w:t>or cigarettes, n/over 100 cigars) for gift For person arriving in the U.S., not returning resident: automobiles &amp; other means of transport, import connected w/arrival, for personal us For person arriving in the U.S., not returning resident: n/over $200 of articles (w/n/over 4 liters alcohol. bev.) for a person in transit For person arriving in the U.S., returning resident, etc.: all personal and household effects taken abroad by him or for his account For person arriving in the U.S., returning resident, etc.: articles of metal (incl. medals, etc.), bestowed by foreign countries or citizens For person arriving in the U.S., returning resident, etc.: game animals, birds &amp; fish killed abroad by him &amp; not for non-commercial purposes For person arriving in the U.S., returning resident, etc.: automobiles rented by U.S. resident while abroad and imported for personal use For person arriving in the U.S., returning resident, etc.: acquired abroad, accompanying: n/over $400 value, etc (limit on tobacco &amp; alcoho For person arriving in the U.S., returning resident, etc.: acquired abroad: n/over $1,200 value, etc (limit on tobacco &amp; alcohol):</w:t>
      </w:r>
    </w:p>
    <w:p>
      <w:pPr>
        <w:pStyle w:val="Normal"/>
      </w:pPr>
      <w:r>
        <w:t>insular For person arriving in the U.S., returning resident, etc.: acquired abroad: n/over $600 value, etc (limit on tobacco &amp; alcohol): beneficiar For person arriving in the U.S., returning resident, etc.: article imported to replace like art. previously exempted under 9804.00.70, etc.</w:t>
      </w:r>
    </w:p>
    <w:p>
      <w:pPr>
        <w:pStyle w:val="Normal"/>
      </w:pPr>
      <w:r>
        <w:t>Articles (limits on tobacco &amp; alcohol), for personal use of person leaving a vessel, etc. engaged in int’l. traffic, on which employed, etc. Personal &amp; household effects, not stock in trade, part of estate of a citizen of the United States who died abroad Personal &amp; household effects (limit on alcohol &amp; tobacco) of person in U.S. service returning at end of assignment to extended duty, etc.</w:t>
      </w:r>
    </w:p>
    <w:p>
      <w:pPr>
        <w:pStyle w:val="Normal"/>
      </w:pPr>
      <w:r>
        <w:t>Baggage and effects of the following aliens (on req. of Dept. of State): ambassadors, ministers and other rep., etc. &amp; their families etc Baggage and effects of the following aliens (on req. of Dept. of State): diplomatic couriers of foreign governments Baggage and effects of the following aliens (on req. of Dept. of State): rep. etc. of foreign govt in or to public int’l organizations, etc Baggage and effects of the following aliens (on req. of Dept. of State): persons on duty in the U.S. as members of foreign armed forces, etc Baggage and effects of the following aliens (on req. of Dept. of State): persons designated by the State Dept. as foreign high officials, et Baggage and effects of the following aliens (on req. of Dept. of State): persons designated by statute or treaty ratified by the U.S. Senate On req. of Dept. of State: personal effects and equip. of groups of foreign residents arriving on goodwill visits of short duration, etc. Art. for the personal or family use of the following aliens on duty in U.S.</w:t>
      </w:r>
    </w:p>
    <w:p>
      <w:pPr>
        <w:pStyle w:val="Normal"/>
      </w:pPr>
      <w:r>
        <w:t>(on req. of Dept. of State): ambassadors, etc. of embassies, etc Art.</w:t>
      </w:r>
    </w:p>
    <w:p>
      <w:pPr>
        <w:pStyle w:val="Normal"/>
      </w:pPr>
      <w:r>
        <w:t>for the personal or family use of the following aliens on duty in U.S. (on req. of Dept. of State): members of foreign armed forces Art. for the personal or family use of the following aliens on duty in U.S. (on req. of Dept. of State): other rep. &amp; employ. of foreign gov Art. for the personal or family use of the following aliens on duty in U.S. (on req. of Dept. of State): persons designated by statute, etc Art. of metal (incl. medals, trophies &amp; prizes), for bestowal on persons in U.S., as honorary dist., by foreign countries or their citizens Upon req. of the Dept. of State, articles from citizens of foreign countries for presentation to the Pres. or Vice Pres. of the U.S. Engravings, etchings, photographic prints or exposed films, video tapes, and govt. publications on micromedia; all for U.S. govt. agency use Sound recordings and recorded video tapes for State Department use under the U.S.I.E.E.</w:t>
      </w:r>
    </w:p>
    <w:p>
      <w:pPr>
        <w:pStyle w:val="Normal"/>
      </w:pPr>
      <w:r>
        <w:t>Act of 1948 Materials certified to the Commissioner of Customs by authorized military procuring agencies to be emergency war material purchased abroad Materials certified to the Commissioner of Customs by GSA to be strategic and critical for stockpiles Material certified to the Comm. of Customs by the Nuclear Regulatory Comm. or the Dept. of Energy to be necessary for defense and security Plants, seeds and all other material for planting for use of the Department of Agriculture or United States Botanic Garden Materials certified to the Comm.</w:t>
      </w:r>
    </w:p>
    <w:p>
      <w:pPr>
        <w:pStyle w:val="Normal"/>
      </w:pPr>
      <w:r>
        <w:t>of Customs by the Commodity Credit Corp. to be materials acquired by barter or exchange of agri. products Materials certified by NASA to the Comm. of Customs to be imported to be launched into space by NASA, spare parts and support equipment Public documents, incl. microfiche etc. (incl. motion pictures &amp; other films, video tapes &amp; audio tapes) issued by a foreign government, et For foreign govt on a recip. basis &amp; for public intl. org.</w:t>
      </w:r>
    </w:p>
    <w:p>
      <w:pPr>
        <w:pStyle w:val="Normal"/>
      </w:pPr>
      <w:r>
        <w:t>(on req. of Dept. of State): office supplies &amp; other art. for the official use For foreign govt on a recip. basis &amp; for public intl. org.: articles for the official use of members foreign armed forces on duty in the U.S On req. of Dept. of State, property of a foreign govt or public intl. org.: used in non-commercial functions, exhibitions, etc On req. of Dept. of State, property of a foreign govt or public intl. org.: prosthetic appliances furnished by foreign govt to armed forces On req. of Dept. of State, property of a foreign govt or public intl. org.: headstones furnished by foreign govt for graves of its war vet. On req. of Dept. of State, property of a foreign govt or public intl. org.: gifts to the various govt. or public institutions in U.S. On req. of Dept. of State, property of a foreign govt or public intl. org.: printed matter, not containing advertising, for free distrib.</w:t>
      </w:r>
    </w:p>
    <w:p>
      <w:pPr>
        <w:pStyle w:val="Normal"/>
      </w:pPr>
      <w:r>
        <w:t>Drawings, engravings, etchings and similar articles bound or unbound, and exposed photographic films for use of religious institutions Painted, colored or stained glass windows and parts valued over $161 per square meter, by a professional artist, for religious institutions Regalia for the use of religious institutions Handwoven fabrics, to be used by religious institutions in making religious vestments for its own use or sale Altars, pulpits, communion tables, fonts, mosaics, shrines and similar articles for use of religious institutions Drawings and plans, reproductions, engravings, globes, sound recordings and similar articles for use of public institutions Symbols, arithmetical materials, printed matter, shapes, figures, models and other classroom materials for the instruction of children Sculptures and statuary for use of any public or nonprofit institutions for educational, scientific, philosophical or fine arts purposes Regalia for use of any public or nonprofit institution for educational, scientific, literary, philosophical or fine arts purposes Any textile machine or machinery, or part thereof, solely for the instruction of students in any public or nonprofit institutions Patterns</w:t>
      </w:r>
    </w:p>
    <w:p>
      <w:pPr>
        <w:pStyle w:val="Normal"/>
      </w:pPr>
      <w:r>
        <w:t>and models exclusively for exhibition or educational use at any public or nonprofit institution Instruments and apparatus, not manufactured in the U.S., to be used in nonprofit institutions for educational or scientific purposes Repair components for instruments or apparatus admitted</w:t>
      </w:r>
    </w:p>
    <w:p>
      <w:pPr>
        <w:pStyle w:val="Normal"/>
      </w:pPr>
      <w:r>
        <w:t>under heading 98100060 Tools specially designed for maintenance, etc. of instruments and apparatus of subheading 9810.00.60 Wild animals (including birds and fish) imported for use or sale for use in any scientific public collection for exhibition Lifeboats and life-saving apparatus for lifesaving institutions Radiation apparatus (including parts or accessories) for nonprofit institutions for educational, scientific or therapeutic purposes Cellulosic plastics materials for use in artificial kidney machine by a hospital or by a patient pursuant to prescription of a physician Prayer shawls, bags for the keeping of prayer shawls, and headwear of a kind used for public or private religious observances Scrolls or tablets of wood or paper, commonly known as Gohonzon, imported for use in public or private religious observances Alcoholic bev. samples (each containing &lt;or=n 300 ml if a malt be., &lt;or= 150 ml if wine &amp; &lt;or= 100 ml if other) for use in soliciting orders Samples of tobacco products, etc. (limited to 3 cigars, cigarettes, cig.</w:t>
      </w:r>
    </w:p>
    <w:p>
      <w:pPr>
        <w:pStyle w:val="Normal"/>
      </w:pPr>
      <w:r>
        <w:t>tubes or papers, 3.5 gm tobacco or snuff), for soliciting orders Any sample (except 9811.00.20 or 9811.00.40), valued n/over $1 each, or marked, torn, or otherwise unsuitable for sale, for soliciting order Articles imported by certain organizations, only for exhibition to encourage agriculture, arts, education or science without bond without bond Articles imported by any institution, society or state, or for a municipal corporation, for the purpose of erecting a public monument without bond without bond Articles to be repaired, altered or processed (including processes which result in articles manufactured or produced in the United States) without bond without bond Models of women’s wearing apparel imported by manufacturers for use solely as models in their own establishments without bond without bond Art. imp. by illustrators and photographers for use as models in their establishments, in illustrating of catalogues or advertising matters without bond without bond Samples solely for use in taking orders for merchandise without bond without bond Articles for examination w/view to reproduction, or for such examination and reproduction; and motion-picture advertising films without bond without bond Articles intended for testing, experimental or review purposes, incl.</w:t>
      </w:r>
    </w:p>
    <w:p>
      <w:pPr>
        <w:pStyle w:val="Normal"/>
      </w:pPr>
      <w:r>
        <w:t>spec., photos and similar articles for use in experiments or for stud without bond without bond Automobiles, and other vehicles and craft, and the usual equip.; all temporarily imported by nonresidents for races or other specific contes without bond without bond Locomotives and other railroad equipment temporarily imported for use in clearing obstructions, fighting fire, making emergency repairs, etc without bond without bond Containers for compressed gases, &amp; containers, etc. for use for covering or holding merchandise during transportation and suitable for reuse without bond without bond Professional equip., tools of trade, &amp; repair components for such and camping equipment; imported by nonresidents sojourning temp. in U.S. without bond without bond Articles of special design for temporary use exclusively in connection with the manufacture or production of articles for export without bond without bond Animals and poultry brought into the U.S. for the purpose of breeding, exhibition or competition for prizes, and the usual equipment therefo without bond without bond Art, engravings, photos &amp; philo./scien. appar. imported by artist, lecturer or scientist for exhib.</w:t>
      </w:r>
    </w:p>
    <w:p>
      <w:pPr>
        <w:pStyle w:val="Normal"/>
      </w:pPr>
      <w:r>
        <w:t>or promotion of art, science &amp; industry without bond without bond Automobiles, chassis, bodies, cutaway portions of such, and parts for such, finished, unfinished or cutaway, intended for show purposes without bond without bond Tea, tea waste, and tea siftings and sweepings, for manufacturing of chemical products without bond without bond Products of American fisheries which have not been landed in a foreign country, or landed solely for transshipment Fish (except cod, cusk, haddock, hake, mackerel, pollock and swordfish) landed abroad only for evisceration and/or chilling or freezing Products of American fisheries, prepared or preserved by American fishery on treaty coasts of Labrador, Magdalen Isles or Newfoundland Articles for personal or household use, or as gifts, valued not over $1,000, accompanying a person, arriving in the U.S.</w:t>
      </w:r>
    </w:p>
    <w:p>
      <w:pPr>
        <w:pStyle w:val="Normal"/>
      </w:pPr>
      <w:r>
        <w:t>Articles for personal or household use, or as gifts, valued not over $1,000, accompanying a person arriving from an insular possessions Monofilament gill nets or sections or parts of nets to be used for fish sampling Nets (incl. section or parts) to be used in taking wild birds under license issued by an appropriate Federal or State government authority Visual or auditory material of educational, scientific or cultural character (except toy models) per U.S.</w:t>
      </w:r>
    </w:p>
    <w:p>
      <w:pPr>
        <w:pStyle w:val="Normal"/>
      </w:pPr>
      <w:r>
        <w:t>note 1(a) of subchapter XVII Holograms; microfilm, microfiche, etc.; the foregoing if defined as visual or auditory materials Motion picture films if defined as visual or auditory materials Sound, sound+visual, and magnetic recordings; video discs, tapes, etc.; the foregoing if defined as visual or auditory materials Various specific articles and kits used generally as aids to learning or instruction, if defined as visual or auditory materials Machinery, equipment and implements to be used for agricultural or horticultural purposes Parts to be used in articles provided for in headings 8432, 8433, 8434, and 8436 Animals, game, imported to be liberated in the United States for stocking purposes Articles of copper to be used in remanufacture by melting, or by shredding, shearing, etc.</w:t>
      </w:r>
    </w:p>
    <w:p>
      <w:pPr>
        <w:pStyle w:val="Normal"/>
      </w:pPr>
      <w:r>
        <w:t>rendering suitable only for recovery of metal Specified unwrought metal and forms or articles of metal for remanufacture or for recovery of the metal content Books, music and pamphlets, in raised print, used exclusively by or for the blind Braille tablets, cubarithms, and special apparatus, machines, presses, and types for use by or benefit exclusively of the blind Other articles specially designed or adapted for the use or benefit of the blind or other physically or mentally handicapped persons Articles specially designed or adapted for the use or benefit of the blind or other physically or mentally handicapped persons, nesi Rum, tafia, liqueurs and spirituous beverages, of subheading 2208.40 or</w:t>
      </w:r>
    </w:p>
    <w:p>
      <w:pPr>
        <w:pStyle w:val="Normal"/>
      </w:pPr>
      <w:r>
        <w:t>2208.90, and described in US note 6 to this subchapter Photographic color couplers &amp; cyclic organic chemical products, having an aromatic or mod. aromatic structure, used in the mfg. of such Methanol (Methyl alcohol) produced from natural gas aboard a vessel on the high seas or in foreign waters Certain needle-craft display models, primarily hand stitched, of completed mass- produced kits (of certain specified headings) Articles not sale/distribution to the public:</w:t>
      </w:r>
    </w:p>
    <w:p>
      <w:pPr>
        <w:pStyle w:val="Normal"/>
      </w:pPr>
      <w:r>
        <w:t>personal effect/equipment of foreign participant or official of international athletic events Articles of ski racing apparel which, are specially designed to protect against injuries from the sport of ski racing Footwear, not heading 9021, for support/hold foot after illness, injury or operation, provided certain conditions are met Certain mounted tool and drill bit blanks of polycrystalline diamond &amp; mounted tool blanks of polycrystalline diamond (of certain headings) Certain wheelbuilding, wheel-trueing, rimpunching, tire fitting and similar machines, for use in the manufacture of wheels for bicycles Prototypes to be used exclusively for development, testing, product evaluation, or quality control purposes Utilitarian articles of a kind used in the home in the performance of specific religious or cultural ritual celebrations for religious or cu Utilitarian articles in the form of a three-dimensional representation of a symbol or motif clearly associated with a specific holiday in t Any equipment or part</w:t>
      </w:r>
    </w:p>
    <w:p>
      <w:pPr>
        <w:pStyle w:val="Normal"/>
      </w:pPr>
      <w:r>
        <w:t xml:space="preserve">purchased for, or repair parts used, or expense of repairs made to, a LASH (Lighter Aboard Ship) barge Spare repair parts or materials which the owner or master of a vessel certifies are intended for use aboard a cargo vessel, etc. Spare parts necessarily installed before first entry into the U.S., upon first entry into the U.S. of each such spare part, etc. Other equipment or parts, upon first arrival in any port of the U.S. of any vessel described in U.S. note 1 to subch. XVIII of chap. 98</w:t>
      </w:r>
    </w:p>
    <w:p>
      <w:pPr>
        <w:pStyle w:val="Heading2"/>
      </w:pPr>
      <w:bookmarkStart w:id="900064" w:name="_Toc300000063"/>
      <w:r>
        <w:t xml:space="preserve">TARIFF SCHEDULE OF THE UNITED STATES: APPENDIX 1</w:t>
      </w:r>
      <w:bookmarkEnd w:id="900064"/>
    </w:p>
    <w:p>
      <w:pPr>
        <w:pStyle w:val="Normal"/>
      </w:pPr>
      <w:r>
        <w:t xml:space="preserve">HTSUS 1 July 2017 Brief Description Base Rate Staging Category for Canada Milk and cream, not concentrated, not sweetened, fat content o/6% but not o/10%, not subject to gen. nte 15 or add. nte 5 to Ch. 4 77.2 cents/liter TRQ-US 1 Milk and cream, not concentrated, not sweetened, fat content o/10% but not o/45%, not subject to gen. nte 15 or add. nte 5 to Ch. 4 77.2 cents/liter TRQ-US 1 Milk and cream, not concentrated, not sweetened, fat content o/45%, not subject to gen. nte 15 or add. nte 6 to Ch.</w:t>
      </w:r>
    </w:p>
    <w:p>
      <w:pPr>
        <w:pStyle w:val="Normal"/>
      </w:pPr>
      <w:r>
        <w:t>4 $1.646/kg TRQ-US 3 Milk &amp; cream in powder granules/other solid forms fat content by weight not exceeding 1.5% whether/not sweetened, nesi 86.5 cents/kg TRQ-US 2 Milk &amp; cream, concen, not sweetened, in powder, granules or other solid forms, w/fat content o/1.5% but not o/3%, not subj GN15/Ch4 US note7 86.5 cents/kg TRQ-US 2 Milk &amp; cream, concen, not sweetened, in powder/granules/oth solid forms, fat cont o/3% but not o/35%, not subj to GN15 or Ch 4 US.S. note 7 $1.092/kg TRQ-US 5 Milk &amp; cream, concen, not sweetened, in powder, granules or other solid forms, w/fat content o/35%, not subj to GN15 or Ch4 US note 9 $1.556/kg TRQ-US 3 Milk &amp; cream, concen, sweetened, in powder, granules or other solid forms, w/fat content o/1.5%, not subj to GN15 or Ch4 US note 10 $1.104/kg + 14.9% TRQ-US 5 Milk &amp; cream, concen in non-solid forms, not sweetened, in airtight containers, not subject to gen. note 15 or add.</w:t>
      </w:r>
    </w:p>
    <w:p>
      <w:pPr>
        <w:pStyle w:val="Normal"/>
      </w:pPr>
      <w:r>
        <w:t>US note 11 to Ch.4 31.3 cents/kg TRQ-US 7 Milk and cream, concentrated, in other than powder, granules or other solid forms, unsweetened, other than in airtight containers 31.3 cents/kg TRQ-US 7 Condensed milk, sweetened, in airtight containers, not subject to gen. note 15 or add. US note 11 to Ch.4 49.6 cents/kg TRQ-US 7 Condensed milk, sweetened, not in airtight containers, not subject to gen. note 15 or add. US note 11 to Ch.4 49.6 cents/kg TRQ-US 7 Milk &amp; cream (except condensed milk), concentrated in non-solid forms, sweetened, not desc. gen. note 15 or add.</w:t>
      </w:r>
    </w:p>
    <w:p>
      <w:pPr>
        <w:pStyle w:val="Normal"/>
      </w:pPr>
      <w:r>
        <w:t>US note 10 to Ch. 4 46.3 cents/kg + 14.9% TRQ-US 7 Yogurt, in dry form, whether or not flavored or containing add fruit or cocoa, not subject to gen nte 15 or add. US nte 10 to Ch.4 $1.035/kg + 17% TRQ-US 6 Sour cream, fluid, n/o 45% by wt. butterfat, not subject to gen nte 15 or add US note 5 to Ch.4 77.2 cents/liter TRQ-US 1 Sour cream, dried, n/o 6% by wt. butterfat, not subject to gen nte 15 or add. US note 12 to Ch. 4 87.6 cents/kg TRQ-US 6 Sour cream, dried, o/6% but n/o 35% by wt. butterfat, not subject to gen nte 15 or add. US note 8 to Ch. 4 $1.092/kg TRQ-US 6 Sour cream, dried, o/35% but n/o 45% by wt. butterfat, not subject to gen nte 15 or add. US note 9 to Ch. 4 $1.556/kg TRQ-US 3 Sour cream, o/45% by wt. butterfat, not subject to gen nte 15 or add. US note 6 to Ch.</w:t>
      </w:r>
    </w:p>
    <w:p>
      <w:pPr>
        <w:pStyle w:val="Normal"/>
      </w:pPr>
      <w:r>
        <w:t>4 $1.646/kg TRQ-US 3 Curdled milk/cream/kephir &amp; other fermentd or acid. milk/cream subj to GN 15 or Ch4 US note 10 $1.034/kg + 17% TRQ-US 6 Modified whey (except protein conc.), wheth/not conc. or sweetened, not subject to gen. note 15 $1.035/kg + 8.5% B11; TRQ-US 6 Whey (except modified whey), dried, whether or not conc. or sweetened, not subject to gen. note 15 or add US nte 12 to Ch.4 87.6 cents/kg B11; TRQ-US 6 Dairy products of nat. milk constituents (except protein conc.), descr. in add. US nte 1 to Ch. 4 &amp; not subj to GN15 or Ch4 US note 10 $1.189/kg + 8.5% TRQ-US 6 Butter not subject to general note 15 and in excess of quota in chapter 4 additional U.S.</w:t>
      </w:r>
    </w:p>
    <w:p>
      <w:pPr>
        <w:pStyle w:val="Normal"/>
      </w:pPr>
      <w:r>
        <w:t>note $1.541/kg TRQ-US 3 Butter substitute dairy spreads, over 45% butterfat weight, not subj to gen note 15 and in excess of quota in ch. 4 additional US note 14 $1.996/kg TRQ-US 3 Other dairy spreads of a type provided in ch. 4 add. US note 1, not subject to gen note 15 and in excess of quota in ch. 4 add. US note 10 70.4 cents/kg + 8.5% TRQ-US 3 Fats and oils derived from milk, other than butter or dairy spreads, not subject to gen note 15 and excess of quota in ch 4 add US note 14 $1.865/kg + 8.5% TRQ-US 3 Chongos, unripened or uncured cheese, including whey cheese and curd, not subject to gen note 15 or add. US note 16 to Ch. 4 $1.509/kg TRQ-US 4 Fresh (unripened/uncured) blue-mold cheese, cheese/subs for cheese cont or proc fr blue- mold cheese, not subj to Ch4 US note 17 or GN15 $2.269/kg TRQ-US 4 Fresh (unripened/uncured) cheddar cheese, cheese/subs for cheese cont or proc from cheddar cheese, not subj to Ch4 US note 18, not GN15 $1.227/kg TRQ-US 4 Fresh (unripened/uncured) american-type cheese, cheese cont or proc. fr american-type, not subj to add.</w:t>
      </w:r>
    </w:p>
    <w:p>
      <w:pPr>
        <w:pStyle w:val="Normal"/>
      </w:pPr>
      <w:r>
        <w:t>US note 19 to Ch.4, not GN15 $1.055/kg TRQ-US 4 Fresh (unripened/uncured) edam and gouda cheeses, cheese/subs for cheese cont or processed therefrom, not sub to Ch4 US note 20, not GN15 $1.803/kg TRQ-US 4 Fresh (unrip./uncured) Italian-type cheeses from cow milk, cheese/substitutes cont or proc therefrom, not subj to Ch4 US note 21 or GN15 $2.146/kg TRQ-US 4 Fresh (unripened/uncured) Swiss/emmentaler cheeses exc eye formation, gruyere-process cheese and cheese cont or proc. from such, not subj . $1.386/kg TRQ-US 4 Fresh cheese, and substitutes for cheese,neosi, w/0.5% or less by wt. of butterfat, not descr in add US note 23 to Ch 4, not GN15 $1.128/kg TRQ-US 4 Fresh cheese, and substitutes for cheese, cont. cows milk, neosi, o/0.5% by wt. of butterfat, not descr in add US note 16 to Ch 4, not GN 15 $1.509/kg TRQ-US 4 Blue-veined cheese (except Roquefort or Stilton), grated or powdered, not subject to gen nte 15 or add. US note 17 to Ch.4 $2.269/kg TRQ-US 4 Cheddar cheese, grated or powdered, not subject to gen. note 15 or add.</w:t>
      </w:r>
    </w:p>
    <w:p>
      <w:pPr>
        <w:pStyle w:val="Normal"/>
      </w:pPr>
      <w:r>
        <w:t>US note 18 to Ch. 4 $1.227/kg TRQ-US 4 Colby cheese, grated or powdered, not describ. in gen. note 15 or add. US note 19 to Ch. 4 $1.055/kg TRQ-US 4 Edam and gouda cheese, grated or powdered, not subject to gen note 15 or add. US nte 20 to Ch.</w:t>
      </w:r>
    </w:p>
    <w:p>
      <w:pPr>
        <w:pStyle w:val="Normal"/>
      </w:pPr>
      <w:r>
        <w:t>4 $1.803/kg TRQ-US 4 Romano, reggiano, provolone, provoletti, sbrinz and goya, made from cow’s milk, grated or powdered, not subj to Ch4 US nte 21 or GN15 $2.146/kg TRQ-US 4 Cheese containing or processed from blue-veined cheese (except roquefort), grated/powdered, not subject to add US note 17 to Ch.4 $2.269/kg TRQ-US 4 Cheese containing or processed from cheddar cheese, grated or powdered, not subject to add US note 18 to Ch. 4 $1.227/kg TRQ-US 4 Cheese containing or processed from american-type cheese (except cheddar), grated or powdered, not subject to add US note 19 to Ch. 4 $1.055/kg TRQ-US 4 Cheese containing or processed from edam or gouda cheeses, grated or powdered, not subject to add US note 20 to Ch. 4 $1.803/kg TRQ-US 4 Cheese containing or processed from italian-type cheeses made from cow’s milk, grated or powdered, not subject to add US note 21 to Ch. 4 $2.146/kg TRQ-US 4 Cheese containing or processed from swiss, emmentaler or gruyere-process cheeses, grated or powdered, not subject to add US nte 22 to Ch.</w:t>
      </w:r>
    </w:p>
    <w:p>
      <w:pPr>
        <w:pStyle w:val="Normal"/>
      </w:pPr>
      <w:r>
        <w:t>4 $1.386/kg TRQ-US 4 Cheese (including mixtures), nesoi, n/o 0.5% by wt. of butterfat, grated or powdered, not subject to add US note 23 to Ch. 4 $1.128/kg TRQ-US 4 Cheese (including mixtures), nesoi, o/0.5% by wt of butterfat, w/cow’s milk, grated or powdered, not subject to add US note 16 to Ch. 4 $1.509/kg TRQ-US 4 Blue-veined cheese (except roquefort), processed, not grated or powdered, not subject to gen. note 15 or add. US note 17 to Ch.</w:t>
      </w:r>
    </w:p>
    <w:p>
      <w:pPr>
        <w:pStyle w:val="Normal"/>
      </w:pPr>
      <w:r>
        <w:t>4 $2.269/kg TRQ-US 4 Cheddar cheese, processed, not grated or powdered, not subject to gen note 15 or in add US note 18 to Ch. 4 $1.227/kg TRQ-US 4 Colby cheese, processed, not grated or powdered, not subject to gen note 15 or add US note 19 to Ch. 4 $1.055/kg TRQ-US 4 Edam and gouda cheese, processed, not grated or powdered, not subject to gen note 15 or add. US note 20 to Ch. 4 $1.803/kg TRQ-US 4 Gruyere-process cheese, processed, not grated or powdered, not subject to gen note 15 or add. US note 22 to Ch. 4 $1.386/kg TRQ-US 4 Processed cheese cont/procd fr blue-veined cheese (ex roquefort), not grated/powdered, not subject to add US note 17 to Ch. 4, not GN15 $2.269/kg TRQ-US 4 Processed cheese cont/procd fr cheddar cheese, not grated/powdered, not subject to add US note 18, not GN15 $1.227/kg TRQ-US 4 Processed cheese cont/procd fr american-type cheese (ex cheddar), not grated/powdered, not subject to add US note 19 to Ch.</w:t>
      </w:r>
    </w:p>
    <w:p>
      <w:pPr>
        <w:pStyle w:val="Normal"/>
      </w:pPr>
      <w:r>
        <w:t>4, not GN15 $1.055/kg TRQ-US 4 Processed cheese cont/procd from edam or gouda, not grated/powdered, not subject to add US note 20 to Ch. 4, not GN15 $1.803/kg TRQ-US 4 Processed cheese cont/procd from italian-type, not grated/powdered, not subject to add US note 21 to Ch. 4, not GN15 $2.146/kg TRQ-US 4 Processed cheese cont/procd from swiss/emmentaler/gruyere-process, n/grated/powdered, not subject to add US note 22 to Ch. 4, not GN15 $1.386/kg TRQ-US 4 Processed cheese (incl. mixtures), nesoi, n/o 0.5% by wt.</w:t>
      </w:r>
    </w:p>
    <w:p>
      <w:pPr>
        <w:pStyle w:val="Normal"/>
      </w:pPr>
      <w:r>
        <w:t>butterfat, not grated or powdered, not subj to Ch 4 US note 23 or not GN15 $1.128/kg TRQ-US 4 Processed cheese (incl. mixtures), nesoi, w/cow’s milk, not grated or powdered, not subject to add US note 16 to Ch. 4, not GN15 $1.509/kg TRQ-US 4 Blue-veined cheese, nesoi, not subject to gen. note 15 of the HTS or to add. US note 17 to Ch. 4 $2.269/kg TRQ-US 4 Cheddar cheese, nesoi, not subject to gen. note 15 of the HTS or to add. US note 18 to Ch. 4 $1.227/kg TRQ-US 4 Edam and gouda cheese, nesoi, not subject to gen. note 15 of the HTS or to add. US note 20 to Ch. 4 $1.803/kg TRQ-US 4 Goya cheese from cow’s milk, not in original loaves, nesoi, not subject to gen. note 15 or to add. US note 21 to Ch. 4 $2.146/kg TRQ-US 4 Sbrinz cheese from cow’s milk, nesoi, not subject to gen. note 15 or to add. US note 21 to Ch.</w:t>
      </w:r>
    </w:p>
    <w:p>
      <w:pPr>
        <w:pStyle w:val="Normal"/>
      </w:pPr>
      <w:r>
        <w:t>4 $2.146/kg TRQ-US 4 Romano, Reggiano, Parmesan, Provolone, and Provoletti cheese, nesoi, from cow’s milk, not subj to to GN 15 or Ch4 US note 21 $2.146/kg TRQ-US 4 Swiss or Emmentaler cheese with eye formation, nesoi, not subject to gen. note 15 or to add. US note 25 to Ch. 4 $1.877/kg TRQ-US 4 Colby cheese, nesoi, not subject to gen. note 15 or to add. US note 19 to Ch. 4 $1.055/kg TRQ-US 4 Cheeses &amp; subst. for cheese(incl. mixt.), nesoi, w/romano/reggiano/parmesan/provolone/etc, f/cow milk, not subj. Ch4 US note 21, not GN15 $2.146/kg TRQ-US 4 Cheeses &amp; subst. for cheese (incl. mixt.), nesoi, w/ or from blue-veined cheese, not subj. to add.</w:t>
      </w:r>
    </w:p>
    <w:p>
      <w:pPr>
        <w:pStyle w:val="Normal"/>
      </w:pPr>
      <w:r>
        <w:t>US note 17 to Ch.4, not GN15 $2.269/kg TRQ-US 4 Cheeses &amp; subst. for cheese (incl. mixt.), nesoi, w/ or from cheddar cheese, not subj. to add. US note 18 to Ch.4, not GN15 $1.227/kg TRQ-US 4 Cheeses &amp; subst. for cheese (incl. mixt.), nesoi, w/ or from Am. cheese except cheddar, not subj. to add. US note 19 to Ch.4, not GN15 $1.055/kg TRQ-US 4 Cheeses &amp; subst. for cheese (incl. mixt.), nesoi, w/ or from edam or gouda cheese, not subj. to add. US note 20 to Ch.4, not GN15 $1.803/kg TRQ-US 4 Cheeses &amp; subst. for cheese (incl. mixt.), nesoi, w/ or from swiss, emmentaler or gruyere, not subj. Ch4 US note 22, not GN15 $1.386/kg TRQ-US 4 Cheeses &amp; subst. for cheese (incl. mixt.), nesoi, w/butterfat n/o 0.5% by wt, not subject to add. US note 23 to Ch.</w:t>
      </w:r>
    </w:p>
    <w:p>
      <w:pPr>
        <w:pStyle w:val="Normal"/>
      </w:pPr>
      <w:r>
        <w:t>4, not GN15 $1.128/kg TRQ-US 4 Cheeses &amp; subst. for cheese (incl. mixt.), nesoi, w/cows milk, w/butterfat o/0.5% by wt, not subject to Ch4 US note 16, not GN15 $1.509/kg TRQ-US 4 Peanuts (ground-nuts), seed, not roasted or cooked, shelled, not subject to gen note 15 or add. US note 2 to Ch.12 131.8% B6 Peanuts (ground-nuts), not seed, not roasted or cooked, in shell, not subject to gen note 15 or add. US note 2 to Ch.12 163.8% B6 Peanuts (ground-nuts), not seed, not roasted or cooked, shelled, not subject to gen note 15 or add. US note 2 to Ch.12 131.8% B6 Edible mixt. &amp; preps, dairy products described in add. US note 1 to Ch 4: not subj. to gen. note 15 or add. US note 10 to Ch.</w:t>
      </w:r>
    </w:p>
    <w:p>
      <w:pPr>
        <w:pStyle w:val="Normal"/>
      </w:pPr>
      <w:r>
        <w:t>4 34.2 cents/kg B6; TRQ-US 8 Beet sugar, raw, in solid form, w/o added flavoring or coloring, nesoi, not subject to gen. note 15 or add. US 5 to Ch.17 35.74 cents/kg TRQ-US 9 Cane sugar, raw, specif in subhead 2 to chapt 17,solid, w/o added flavor or color, not subject gen. note 15 of the HTS or chapter note 5 33.87 cents/kg TRQ-US 9 Other cane sugar, raw solid form, w/o flavoring or coloring, nesoi, not subject to gen. note 15 or add. US 5 to Ch.17 33.87 cents/kg TRQ-US 9 Cane/beet sugar &amp; pure sucrose, refined, solid, w/added coloring but not flav., not subject to gen. note 15 or add.</w:t>
      </w:r>
    </w:p>
    <w:p>
      <w:pPr>
        <w:pStyle w:val="Normal"/>
      </w:pPr>
      <w:r>
        <w:t>US 5 to Ch.17 35.74 cents/kg TRQ-US 9 Cane/beet sugar &amp; pure sucrose, refined, solid, w/added flavoring, o/65% by wt. sugar, descr. in Ch17 US note 2, not GN 15/Ch 17 US nte 7 33.9 cents/kg + 5.1% TRQ-US 10 Cane/beet sugar &amp; pure sucrose, refined, solid, w/added flavoring, o/10% by wt. sugar, descr. in Ch17 US note 3, not GN15/Ch.17 US nte 8 33.9 cents/kg + 5.1% TRQ-US 10 Cane/beet sugar &amp; pure sucrose, refined, solid, w/o added coloring or flavoring, not subject to gen. note 15 or add. US 5 to Ch.17 35.74 cents/kg TRQ-US 9 Maple syrup, blended, described in add. US note 4 to Ch.17: not subject to gen note 15 or add. US note 9 to Ch.17 16.9 cents/kg of total sugars + 5.1% TRQ-US 10 Glucose &amp; glucose syrup not containing or containing in dry state less than 20% fructose; blended syrups (chap 17-note 4), nesoi 16.9 cents/kg of total sugars + 5.1% TRQ-US 10 Blended syrup desc. in add’l U.S.</w:t>
      </w:r>
    </w:p>
    <w:p>
      <w:pPr>
        <w:pStyle w:val="Normal"/>
      </w:pPr>
      <w:r>
        <w:t>note 4(chap.17) Contng in dry state 20%-50% by weight of fructose, nesoi 33.9 cents/kg of total sugars + 5.1% TRQ-US 10 Oth fructose &amp; fruc. syrup contng in dry state &gt;50% by wt. of fructose, blended syrup(see add’l U.S. note 4-chap 17), nesoi 33.9 cents/kg of total sugars + 5.1% TRQ-US 10 Cane/beet sugars &amp; syrups (incl. invert sugar); nesoi, w/soluble non-sugar solids 6% or less soluble solids, not subj to GN15/Ch17 US nte 5 35.74 cents/kg TRQ-US 9 Blended syrups described in add. US note 4 to chap. 17, nesoi, not subject to add. US note 9 to Ch. 17 33.9 cents/kg of total sugars + 5.1% TRQ-US 10 Sugars nesoi w/o 65% by dry wt. sugar, described in add. U.S note 2 to Ch.17: and not subj. to add. US note 7 to Ch.17 33.9 cents/kg + 5.1% TRQ-US 10 Sugar confectionery nesoi, w/o cocoa, dairy products subject to add. US note 1 to chap.</w:t>
      </w:r>
    </w:p>
    <w:p>
      <w:pPr>
        <w:pStyle w:val="Normal"/>
      </w:pPr>
      <w:r>
        <w:t>4: not subject to add US note 10 to chapter 4 40 cents/kg + 10.4% TRQ-US 8 Sugar confectionery nesoi o/65% by dry wt. of sugar described in add. US note 2 to Ch. 17, w/o cocoa, not subj. to Ch17 US note 7 40 cents/kg + 10.4% TRQ-US 10 Sugar confectionery nesoi o/10% by dry wt. of sugar described in add. US note 3 to Ch. 17, w/o cocoa, not subj. to Ch17 US note 8 40 cents/kg + 10.4% TRQ-US 10 Cocoa powder, sweetened, w/le ss than 65% by dr y wt. sugar, not subject to gen note 15 or add US note 1 to Ch. 18 21.7 cents/kg TRQ-US 10 Cocoa powder, o/65% but less than 90% by dry wt of sugar, described in add US note 2 to Ch.17: not subj.</w:t>
      </w:r>
    </w:p>
    <w:p>
      <w:pPr>
        <w:pStyle w:val="Normal"/>
      </w:pPr>
      <w:r>
        <w:t>to add US note 7 to Ch. 17 33.6 cents/kg TRQ-US 10 Cocoa powder, sweetened, neosi, not subject to add US note 1 to Ch. 18 33.6 cents/kg TRQ-US 10 Cocoa powder, o/90% by dry wt of sugar, described in add US note 2 to Ch. 17: not subject to add US note 7 to Ch. 17 33.6 cents/kg TRQ-US 10 Cocoa powder, o/90% by dry wt of sugar, neosi 33.6 cents/kg TRQ-US 10 Chocolate, ov 2kg, cont. milk solids, not in blocks 4.5 kg or more, not subj.</w:t>
      </w:r>
    </w:p>
    <w:p>
      <w:pPr>
        <w:pStyle w:val="Normal"/>
      </w:pPr>
      <w:r>
        <w:t>Ch18 US note 2/GN15, ov 5.5 pc bf, less th 21% milk solids 37.2 cents/kg + 4.3% TRQ-US 8 Chocolate, ov 2kg, cont. milk solids, not in blocks 4.5 kg or more, not GN15, ov 5.5 pc bf ov 21% milk solids 52.8 cents/kg + 4.3% TRQ-US 8 Chocolate, ov 2kg, cont. milk solids, not in blocks 4.5 kg or more, less than 21% milk solids, not subj. to Ch18 US note 3/GN15 37.2 cents/kg + 4.3% TRQ-US 8 Chocolate, ov 2kg, cont. milk solids, not in blocks 4.5 kg or more, 21% or more milk solids, not GN15 52.8 cents/kg + 4.3% TRQ-US 8 Chocolate/oth preps with cocoa, ov 2kg but n/o 4.5 kg, o/65% by wt of sugar, desc in Ch17 US nte 2, not subj. to Ch17 US note 7 30.5 cents/kg + 8.5% TRQ-US 10 Chocolate/oth preps with cocoa, ov 2kg but n/o 4.5 kg, o/65% by wt of sugar, desc in add US nte 3 to Ch.</w:t>
      </w:r>
    </w:p>
    <w:p>
      <w:pPr>
        <w:pStyle w:val="Normal"/>
      </w:pPr>
      <w:r>
        <w:t>17: not subj. to Ch17 US note 8 30.5 cents/kg + 8.5% TRQ-US 10 Chocolate/oth preps w/cocoa, o/2kg but n/o4.5 kg (dairy prod.</w:t>
      </w:r>
    </w:p>
    <w:p>
      <w:pPr>
        <w:pStyle w:val="Normal"/>
      </w:pPr>
      <w:r>
        <w:t>of Ch4 US note 1), n/o 65% sugar, less th 21% milk solid, not GN15 37.2 cents/kg + 8.5% TRQ-US 8 Chocolate/oth preps w/cocoa, o/2kg but n/o4.5 kg (dairy prod. of Ch4 US note 10), n/o 65% sugar, 21% or more milk solids, not GN15 52.8 cents/kg + 8.5% TRQ-US 8 Low-fat chocolate crumb, n/o 65% by wt of sugar, ov 2kg but n/o 4.5 kg, less than 21% milk solids, not GN15, not subj to ch 18 US note 3 37.2 cents/kg + 8.5% TRQ-US 8 Low-fat chocolate crumb, n/o 65% by wt of sugar, 21% or more milk solids, not ov 2kg, not GN15, not subj to ch 18 US note 3 52.8 cents/kg + 8.5% TRQ-US 8 Blended syrups w/chocolate or cocoa, o/2kg but n/o 4.5 kg, n/o 65% sugar, descr in Ch 17 US note 4, not subj.</w:t>
      </w:r>
    </w:p>
    <w:p>
      <w:pPr>
        <w:pStyle w:val="Normal"/>
      </w:pPr>
      <w:r>
        <w:t>to Cha7 US note 9, not GN15 37.2 cents/kg + 8.5% TRQ-US 10 Chocolate and preps w/cocoa, neosi, o/2kg but n/o 4.5 kg, n/o 65% sugar, desc in Ch17 US note 3, not subj to Ch.17 US note 8, not GN15 37.2 cents/kg + 8.5% TRQ-US 10 Chocolate, not filled, less than 21% milk solids, &gt;5.5% butterfat, in blocks/slabs/bars 2kg or less 37.2 cents/kg + 4.3% TRQ-US 8 Chocolate, not filled, 21% or more milk solids, &gt;5.5% butterfat, in blocks/slabs/bars 2kg or less 52.8 cents/kg + 4.3% TRQ-US 8 Chocolate, not filled, less than 21% milk solids, &lt;= 5.5% butterfat, in blocks/slabs/bars 2kg or less 37.2 cents/kg + 4.3% TRQ-US 8 Chocolate, not filled, 21% or more milk solids, &lt;=5.5% butterfat, in blocks/slabs/bars 2kg or less 52.8 cents/kg + 4.3% TRQ-US 8 Cocoa preps, (dairy prod.</w:t>
      </w:r>
    </w:p>
    <w:p>
      <w:pPr>
        <w:pStyle w:val="Normal"/>
      </w:pPr>
      <w:r>
        <w:t>of Ch4 US note 1), less than 21% milk solids, not filled, in blocks/slabs/bars, 2 kg or less, not Ch.4 US nte 10 37.2 cents/kg + 6% TRQ-US 8 Cocoa preps, (dairy prod. of Ch4 US note 1), 21% or more milk solids, not filled, in blocks/slabs/bars, 2 kg or less, not Ch.4 US nte 10 52.8 cents/kg + 6% TRQ-US 8 Cocoa preps, (dairy prod. descr. in add US note 1 to Ch.4), less than 21% milk solids, not in blocks, slabs or bars, not GN15 37.2 cents/kg + 6% TRQ-US 8 Cocoa preps, (dairy prod. descr. in Ch4 US note 1), 21% or more milk solids, not in blocks, slabs or bars, not Ch4 USNote 10, not GN15 52.8 cents/kg + 6% TRQ-US 8 Cocoa preps, o/5.5% butterfat by wt, w/less than 21% milk solids, not in blocks/slabs/bars, not GN15 37.2 cents/kg + 6% TRQ-US 8 Cocoa preps, o/5.5% butterfat by wt, 21% or more milk solids, not in blocks/slabs/bars, not GN15 52.8 cents/kg + 6% TRQ-US 8 Cocoa preps, cont.</w:t>
      </w:r>
    </w:p>
    <w:p>
      <w:pPr>
        <w:pStyle w:val="Normal"/>
      </w:pPr>
      <w:r>
        <w:t>milk solids, n/o 5.5% butterfat by wt, w/less than 21% milk solids, not blocks/slabs/bars, not Ch18 US note 3, not GN15 37.2 cents/kg + 6% TRQ-US 8 Cocoa preps, cont. milk solids, n/o 5.5% butterfat by wt, 21% or more milk solids, not in blocks/slabs/bars, not Ch18 US note 3, not GN15 52.8 cents/kg + 6% TRQ-US 8 Blended syrups w/chocolate or cocoa, nesoi, described in add US note 4 to Ch.17: not subj. to add US note 9 to Ch.</w:t>
      </w:r>
    </w:p>
    <w:p>
      <w:pPr>
        <w:pStyle w:val="Normal"/>
      </w:pPr>
      <w:r>
        <w:t>17, not GN15 37.2 cents/kg + 6% TRQ-US 10 Chocolate and preps w/cocoa, nesoi, o/65% by dry wt of sugar, described in add US note 2 to Ch.17: not subj to Ch17 US note 7, not GN15 37.2 cents/kg + 6% TRQ-US 10 Chocolate and preps w/cocoa, nesoi, o/10% by dry wt of sugar, described in add US note 3 to Ch.17:</w:t>
      </w:r>
    </w:p>
    <w:p>
      <w:pPr>
        <w:pStyle w:val="Normal"/>
      </w:pPr>
      <w:r>
        <w:t>not subj to Ch17 US note 8, not GN15 37.2 cents/kg + 6% TRQ-US 10 Preps for infant use, infant formula containing Oligossaccharides and &gt; 10% milk solid by weight, nesoi $1.035/kg + 14.9% TRQ-US 8 Preps for infant use, containing &gt;10% weight of milk solids, dairy products described in additional note 1 to chapter 4, nesoi $1.035/kg + 14.9% TRQ-US 8 Preps for infant use, nesoi, formula containing Oligosaccharides, nesoi $1.035/kg + 14.9% TRQ-US 8 Preps for infant use, dairy products described in additional US note 1 to chapter 4 $1.035/kg + 14.9% TRQ-US 8 Preps for young children, dairy preps containing &gt; 10% by weight of milk solids, nesoi $1.035/kg +13.6% TRQ-US 8 Preps for young children, nesoi $1.035/kg + 13.6% TRQ-US 8 Preps for young children, nesoi, containing &gt;10% by dry weight of sugar described in additional US note 3 to Chapter 17: provisional 23.7¢/kg + 8.5% TRQ-US 10 Mixes for bakers wares (dairy prod. of Ch4 US note 1), o/25% by wt butterfat, not retail, not subj. to add.</w:t>
      </w:r>
    </w:p>
    <w:p>
      <w:pPr>
        <w:pStyle w:val="Normal"/>
      </w:pPr>
      <w:r>
        <w:t>US nte 10 to Ch.4, not GN15 42.3 cents/kg + 8.5% TRQ-US 8 Mixes and doughs for the prep of bakers wares of heading 1905, containing over 25% by weight of butterfat, not put up for retail sale, nesoi 42.3 cents/kg + 8.5% TRQ-US 10 Mixes for bakers wares, o/25% bf, not retail, descr in add US note 1 to Ch. 19: not subj. to add. US nte 3 to Ch.19, not GN15 42.3 cents/kg + 8.5% TRQ-US 10 Mixes for bakers wares (dairy prod. of Ch4 US note 1), n/o 25% bf, not retail, not subj. to add. US nte 10 to Ch.4, not GN15 42.3 cents/kg + 8.5% TRQ-US 8 Mixes for bakers wares, o/65% sugar, n/o 25% bf, not retail, descr in add US note 2 to Ch. 17: not subj. to Ch17 US nte 7, not GN15 42.3 cents/kg + 8.5% TRQ-US 10 Mixes for bakers wares, n/o 25% bf, not retail, descr in add US note 1 to Ch. 19: not subj. to add. US nte 3 to Ch.19, not GN15 42.3 cents/kg + 8.5% TRQ-US 10 Margarine cheese not subject to gen. note 15 or add US note 23 to Ch.</w:t>
      </w:r>
    </w:p>
    <w:p>
      <w:pPr>
        <w:pStyle w:val="Normal"/>
      </w:pPr>
      <w:r>
        <w:t>4 $1.128/kg TRQ-US 4 Malted milk containing &gt;10% by weight of milk solids, nesoi $1.035/kg +13.6% TRQ-US 8 Articles of milk or cream, nesoi, preps containing &gt;10% by weight of milk solids, nesoi $1.035/kg + 13.6% TRQ-US 8 Articles of milk or cream, nesoi, containing &gt;65% by dry weight of sugar described in additional US note 2 to Chapter 17: provisional 23.7¢/kg + 8.5% TRQ-US 10 Articles of milk or cream, nesoi, containing &gt;10% by dry weight of sugar described in additional US note 3 to chapter 17: provisional 23.7¢/kg + 8.5% TRQ-US 10 Peanut butter and paste, nesoi, not subject to gen note 15 or add US note 5 to Ch. 20 131.8% B6 Blanched peanuts, nesoi, not subject to gen note 15 or add US note 2 to Ch. 12 131.8% B6 Peanuts, otherwise prepared or preserved, nesoi, not subject to gen note 15 or add US note 2 to Ch.</w:t>
      </w:r>
    </w:p>
    <w:p>
      <w:pPr>
        <w:pStyle w:val="Normal"/>
      </w:pPr>
      <w:r>
        <w:t>12 131.8% B6 Blend syrup (Ch17 add US note 4) preparation w/basis of extract, essence or concentrate or w/ basis of coffee, over Ch17 add US note 9 quota 30.5 cents/kg + 8.5% TRQ-US 10 Preparation ov 65% sugar (Ch17 add US note 2) w/ basis of extract, essence or concentrate or w/ basis of coffee, ov Ch17 add US note 9 quota 30.5 cents/kg + 8.5% TRQ-US 10 Preparation ov 10% sugar (Ch17 add US note 3) w/ basis of extract, essence or concentrate or w/ basis of coffee, ov Ch17 add US note 8 quota 30.5 cents/kg + 8.5% TRQ-US 10 Blend syrup (Ch17 add US note 4) preparation w/basis of extract/essence/concentrate or w/basis of tea or mate, over Ch17 add US note 9 quota 30.5 cents/kg + 8.5% TRQ-US 10 Preparation ov 65% sugar (Ch17 add US note 2) w/basis of extract/essence/concentrate or w/basis of tea or mate, ov Ch17 add US note 9 quota 30.5 cents/kg + 8.5% TRQ-US 10 Preparation ov 10% sugar (Ch17 add</w:t>
      </w:r>
    </w:p>
    <w:p>
      <w:pPr>
        <w:pStyle w:val="Normal"/>
      </w:pPr>
      <w:r>
        <w:t>US note 3) w/basis of extract/essence/concentrate or w/basis of tea or mate, ov Ch17 add US note 8 quota 30.5 cents/kg + 8.5% TRQ-US 10 Mixed condiments and mixed seasonings (described in add US note 3 to Ch.</w:t>
      </w:r>
    </w:p>
    <w:p>
      <w:pPr>
        <w:pStyle w:val="Normal"/>
      </w:pPr>
      <w:r>
        <w:t>21), not subject to gen note 15 or add. US note 8(a) to Ch.17 30.5 cents/kg + 6.4% TRQ-US 10 Ice cream, whether or not containing cocoa, not subject to gen note 15 or add. US note 5 to Ch.21 50.2 cents/kg + 17% TRQ-US 1 Edible ice except ice cream, dairy products described in add’l U.S. note 1 to chap.</w:t>
      </w:r>
    </w:p>
    <w:p>
      <w:pPr>
        <w:pStyle w:val="Normal"/>
      </w:pPr>
      <w:r>
        <w:t>4, nesoi 50.2 cents/kg + 17% TRQ-US 8 Food preps, nesoi, n/o 5.5% b’fat, mixed w/other ingredi., if o/16% milk solids by wt, capable of being further proc, bulk, nesoi, not GN15 86.2 cents/kg TRQ-US 8 Butter substitutes o/10% by wt of milk solids, o/45% butterfat, not subject to gen note 15 or add US note 14 to Ch.4 $1.996/kg TRQ-US 3 Butter substitutes n/o 10% by wt of milk solids, o/45% butterfat, not subject to gen note 15 or add US note 14 to Ch.4 $1.996/kg TRQ-US 3 Syrups from cane/beet sugar, neosi, w/added coloring but not added flavoring, not subject to gen note 15 or add US note 5 to Ch. 17 35.74 cents/kg TRQ-US 10 Food preps, nesoi, o/10% by wt of milk solids, dairy prods, descr. in add US note 1 to Ch.4: not subject to Ch4 US note 10, not GN15 70.4 cents/kg + 8.5% TRQ-US 8 Blended syrups, neosi, o/10% milk solids, descr. in add US note 4 to Ch 17: not subject to add US note 9 to Ch.</w:t>
      </w:r>
    </w:p>
    <w:p>
      <w:pPr>
        <w:pStyle w:val="Normal"/>
      </w:pPr>
      <w:r>
        <w:t>17, not GN15 70.4 cents/kg + 8.5% TRQ-US 10 Food preps, nesoi, o/10% milk solids, o/65% sugar, descr. in add US note 2 to Ch.17, not subject to add US note 7 to Ch. 17, not GN15 70.4 cents/kg + 8.5% TRQ-US 10 Food preps, nesoi, o/10% milk solids, o/10% sugar, descr. in add US note 3 to Ch.17, not subject to add US note 8 to Ch. 17, not GN15 70.4 cents/kg + 8.5% TRQ-US 10 Food preps, nesoi, n/o 10% by wt of milk solids, dairy prods, descr. in add US note 1 to Ch.4: n/subject to add US note 10 to Ch.</w:t>
      </w:r>
    </w:p>
    <w:p>
      <w:pPr>
        <w:pStyle w:val="Normal"/>
      </w:pPr>
      <w:r>
        <w:t>4, n/GN15 28.8 cents/kg + 8.5% TRQ-US 8 Blended syrups, neosi, n/o/10% milk solids, descr. in add US note 4 to Ch 17: not subject to add US note 9 to Ch. 17, not GN15 28.8 cents/kg + 8.5% TRQ-US 10 Food preps, nesoi, n/o 10% milk solids, o/65% sugar, descr. in add US note 2 to Ch.17, not subject to add US note 7 to Ch. 17, not GN15 28.8 cents/kg + 8.5% TRQ-US 10 Food preps, nesoi, n/o 10% milk solids, o/10% sugar, descr. in add US note 3 to Ch.17, not subject to add US note 8 to Ch. 17, not GN15 28.8 cents/kg + 8.5% TRQ-US 10 Milk-based drinks, nonalcoholic, nesoi 23.5¢/liter + 14.9% TRQ-US 1 Animal feeds w/milk or milk derivatives, o/10% by wt of milk solids, not subject to gen note 15 or add note 2 to Ch. 23 80.4 cents/kg + 6.4% TRQ-US 5 Animal feeds w/milk or milk derivatives, n/o 10% by wt of milk solids, not subject to gen note 15 or add note 2 to Ch.</w:t>
      </w:r>
    </w:p>
    <w:p>
      <w:pPr>
        <w:pStyle w:val="Normal"/>
      </w:pPr>
      <w:r>
        <w:t>23 80.4 cents/kg + 6.4% TRQ-US 5 Cotton, not carded or combed, having a staple length under 28.575 mm (1-1/8 inches), n/harsh or rough, nesoi 31.4 cents/kg B6 Cotton, not carded or combed, harsh or rough, staple length of 29.36875 mm or more but under 34.925 mm &amp; white in color, nesoi 31.4 cents/kg B6 Cotton, not carded or combed, staple length of 28.575 mm or more but under 34.925 mm, nesoi 31.4 cents/kg B6 Cotton, not carded or combed, having a staple length of 34.925 mm or more, nesoi 31.4 cents/kg B6 Cotton card strips made from cotton waste having staple length under 30.1625 mm &amp; lap, sliver &amp; roving waste, nesoi 7.8 cents/kg B6 Cotton fibers, carded or combed, of cotton fiber processed, but not spun, nesoi 31.4 cents/kg B6</w:t>
      </w:r>
    </w:p>
    <w:p>
      <w:pPr>
        <w:pStyle w:val="ModHeading"/>
      </w:pPr>
      <w:bookmarkStart w:id="900065" w:name="_Toc300000064"/>
      <w:r>
        <w:t>CHAPTER 2: CUSMA 2.0 MODERNIZATION PROVISIONS</w:t>
      </w:r>
      <w:bookmarkEnd w:id="900065"/>
    </w:p>
    <w:p>
      <w:pPr>
        <w:pStyle w:val="Normal"/>
      </w:pPr>
      <w:r>
        <w:t>Numbering convention. Lettered modernization Articles in this Part, including Articles 2.A through 2.I, are provisions of Chapter 2 and are distinct from provisions contained in Annex 2-A or another annex whose identifiers use a similar letter. A citation shall include the word “Annex” when referring to an annex provision. This convention resolves namespace ambiguity without renumbering inherited annex provisions. Search, indexing, and cross-reference tools should preserve that distinction.</w:t>
      </w:r>
    </w:p>
    <w:p>
      <w:pPr>
        <w:pStyle w:val="Normal"/>
      </w:pPr>
      <w:r>
        <w:rPr>
          <w:i/>
        </w:rPr>
        <w:t>The provisions of this Part amend Chapter 2 (National Treatment and Market Access for Goods). The tariff commitments of Annex 2-B are unaffected except as expressly stated.</w:t>
      </w:r>
    </w:p>
    <w:p>
      <w:pPr>
        <w:pStyle w:val="Heading2"/>
      </w:pPr>
      <w:bookmarkStart w:id="1200008" w:name="_Toc901200008"/>
      <w:r>
        <w:t>Article 2.A: Tariff Treatment of Originating Goods (Supplement to Article 2.4)</w:t>
      </w:r>
      <w:bookmarkEnd w:id="1200008"/>
    </w:p>
    <w:p>
      <w:pPr>
        <w:pStyle w:val="Normal"/>
      </w:pPr>
      <w:r>
        <w:t>1. Article 2.4 (Treatment of Customs Duties) is supplemented as follows:</w:t>
      </w:r>
    </w:p>
    <w:p>
      <w:pPr>
        <w:pStyle w:val="Normal"/>
      </w:pPr>
      <w:r>
        <w:t>“</w:t>
      </w:r>
      <w:r>
        <w:t>For greater certainty, the prohibition in this Article on increasing an existing customs duty or adopting a new customs duty on an originating good applies to any covered border measure, as defined in Article 35.2, whatever its domestic-law designation, and subject only to the exceptions expressly provided in this Agreement, including Article 35.3.9. In determining whether a measure is a covered border measure, its design, operation, incidence, conditions of application, and economic effect shall control over its domestic-law label or form. Once an affected Party identifies a measure that on its face falls within Article 35.2, the Party maintaining the measure bears the burden of identifying the provision of this Agreement that authorizes or excepts that measure and of producing the information reasonably necessary to substantiate that reliance. A disputed classification under this paragraph shall proceed through the applicable Chapter 35 notification, verification, and cure procedures and does not, by itself, authorize unilateral tariff escalation outside those procedures.”</w:t>
      </w:r>
    </w:p>
    <w:p>
      <w:pPr>
        <w:pStyle w:val="Normal"/>
      </w:pPr>
      <w:r>
        <w:t>2. A Party’s Schedule to Annex 2-B may not be modified so as to increase a duty on an originating good except by agreement of the Parties under Article 34.3 (Amendments).</w:t>
      </w:r>
    </w:p>
    <w:p>
      <w:pPr>
        <w:pStyle w:val="Heading2"/>
      </w:pPr>
      <w:bookmarkStart w:id="900067" w:name="_Toc300000066"/>
      <w:r>
        <w:t>Article 2.B: Prohibition of Equivalent Charges</w:t>
      </w:r>
      <w:bookmarkEnd w:id="900067"/>
    </w:p>
    <w:p>
      <w:pPr>
        <w:pStyle w:val="Normal"/>
      </w:pPr>
      <w:r>
        <w:t>1. No Party shall adopt or maintain, in respect of an originating good of another Party, a fee, surcharge, levy, border adjustment, security charge, or other charge of any kind applied by reason of importation or exportation, except: (a) an internal tax or other internal charge applied consistently with Article 2.3 (National Treatment) and Article III:2 of the GATT 1994; (b) a fee or charge commensurate with the cost of services rendered, consistent with Article VIII of the GATT 1994; and (c) a measure expressly authorized by this Agreement.</w:t>
      </w:r>
    </w:p>
    <w:p>
      <w:pPr>
        <w:pStyle w:val="Normal"/>
      </w:pPr>
      <w:r>
        <w:t>2. A fee or charge described in paragraph 1(b) that exceeds the approximate cost of services rendered is treated for all purposes of this Agreement as a customs duty. Nothing in paragraph 1(b) authorizes a customs user fee prohibited by Article 2.16(3), and nothing in this Article limits an export duty, tax, or charge permitted by Article 2.15.</w:t>
      </w:r>
    </w:p>
    <w:p>
      <w:pPr>
        <w:pStyle w:val="Normal"/>
      </w:pPr>
      <w:r>
        <w:t>3. A Party shall not avoid paragraphs 1 or 2 by renaming, bundling, routing through an intermediary, or indirectly collecting a charge whose design or economic incidence is materially based on the importation or exportation of an originating good.</w:t>
      </w:r>
    </w:p>
    <w:p>
      <w:pPr>
        <w:pStyle w:val="Normal"/>
      </w:pPr>
      <w:r>
        <w:t>4. A Party relying on paragraph 1(b) shall maintain and, on request through the applicable consultation or verification procedure, provide a reasoned explanation of the methodology used to relate the amount of the fee or charge to the approximate cost of the services rendered, subject to protection of confidential information.</w:t>
      </w:r>
    </w:p>
    <w:p>
      <w:pPr>
        <w:pStyle w:val="Heading2"/>
      </w:pPr>
      <w:bookmarkStart w:id="900068" w:name="_Toc300000067"/>
      <w:r>
        <w:t>Article 2.C: Low-Value Shipments</w:t>
      </w:r>
      <w:bookmarkEnd w:id="900068"/>
    </w:p>
    <w:p>
      <w:pPr>
        <w:pStyle w:val="Normal"/>
      </w:pPr>
      <w:r>
        <w:t>1. Each Party shall maintain a de minimis regime providing duty-free and simplified entry for low-value shipments, and shall not set its de minimis threshold below the greater of the level in effect for that Party on January 1, 2020 and any minimum amount expressly required for that Party by Article 7.8, as amended or superseded by an adopted instrument of this Agreement. Where duty and tax thresholds differ, each threshold is compared separately to its corresponding baseline.</w:t>
      </w:r>
    </w:p>
    <w:p>
      <w:pPr>
        <w:pStyle w:val="Normal"/>
      </w:pPr>
      <w:r>
        <w:t>2. Duty-free and simplified treatment under paragraph 1 applies to shipments of originating goods without regard to the existence of any dispute between the Parties. Withdrawal, suspension, or conditioning of de minimis treatment for originating shipments is a covered border measure within Article 35.2(e).</w:t>
      </w:r>
    </w:p>
    <w:p>
      <w:pPr>
        <w:pStyle w:val="Normal"/>
      </w:pPr>
      <w:r>
        <w:t>3. The Parties shall establish interoperable electronic advance-data and declaration systems for low-value shipments, proportionate fraud and safety controls, and simplified procedures for low-risk small and medium-sized enterprises, in accordance with Chapter 7 as amended.</w:t>
      </w:r>
    </w:p>
    <w:p>
      <w:pPr>
        <w:pStyle w:val="Normal"/>
      </w:pPr>
      <w:r>
        <w:t>4. Customs treatment of low-value shipments shall be uniform across a Party’s ports of entry.</w:t>
      </w:r>
    </w:p>
    <w:p>
      <w:pPr>
        <w:pStyle w:val="Normal"/>
      </w:pPr>
      <w:r>
        <w:t>5. Dispute Standstill. During the pendency of consultations, verification, panel proceedings, appeal or compliance review concerning a low-value shipment measure, the treatment in force immediately before the dispute shall remain available to originating shipments, except to the extent an identified shipment or entity is supported by particularized evidence of fraud, forced labor, prohibited goods, material health or safety risk, or another independently lawful ground. A Party shall not suspend or narrow low-value treatment generally as leverage in the dispute.</w:t>
      </w:r>
    </w:p>
    <w:p>
      <w:pPr>
        <w:pStyle w:val="Heading2"/>
      </w:pPr>
      <w:bookmarkStart w:id="900069" w:name="_Toc300000068"/>
      <w:r>
        <w:t>Article 2.D: Non-Discriminatory Administration of Tariff-Rate Quotas</w:t>
      </w:r>
      <w:bookmarkEnd w:id="900069"/>
    </w:p>
    <w:p>
      <w:pPr>
        <w:pStyle w:val="Normal"/>
      </w:pPr>
      <w:r>
        <w:t>1. Each Party shall administer its tariff-rate quotas under this Agreement in a manner that is transparent, predictable, and non-discriminatory, and shall not administer a TRQ so as to deny eligible importers or users access to allocations by reason of their channel of trade, where that channel is eligible under the Party’s other trade agreements for substantially like products.</w:t>
      </w:r>
    </w:p>
    <w:p>
      <w:pPr>
        <w:pStyle w:val="Normal"/>
      </w:pPr>
      <w:r>
        <w:t>2. Without limiting paragraph 1, where a Party administers a tariff-rate quota for cheese or other dairy products under this Agreement and a corresponding quota under another trade agreement, the Party shall ensure that the eligibility of allocation applicants under this Agreement’s quota is not less favorable than the eligibility of like applicants under the other agreement’s quota, it being understood that allocation among eligible applicants remains a matter of the administering Party’s published procedures.</w:t>
      </w:r>
    </w:p>
    <w:p>
      <w:pPr>
        <w:pStyle w:val="Normal"/>
      </w:pPr>
      <w:r>
        <w:t>3. Each Party shall publish its TRQ allocation methodology, utilization rates, and applicable deadlines, and shall notify material changes 60 days before they take effect. Utilization data shall be reported annually to the Committee on Agricultural Trade.</w:t>
      </w:r>
    </w:p>
    <w:p>
      <w:pPr>
        <w:pStyle w:val="Normal"/>
      </w:pPr>
      <w:r>
        <w:t>4. This Article is without prejudice to the scope and levels of market-access commitments set out in the Parties’ Schedules, and does not require a Party to expand any quota volume. For greater certainty, nothing in this Agreement requires a Party to alter the fundamental structure of its supply-management system; the disciplines of this Article address the administration of the access that this Agreement provides.</w:t>
      </w:r>
    </w:p>
    <w:p>
      <w:pPr/>
      <w:r>
        <w:t>5. Relationship to other TRQ disciplines. This Article supplies a treaty-wide floor for non-discriminatory TRQ administration and does not displace a more specific procedure in Annex 3-A, Article 3.A.2, Chapter 43, or a Party’s applicable Schedule. Where two procedures apply to the same proposed administrative change, the Party shall satisfy each applicable notice, consultation, publication, eligibility, and reallocation requirement, and the longer applicable advance period controls unless the provisions can operate concurrently. A Party may use one notice or consultation process to satisfy overlapping requirements where that process contains all information, participation rights, and minimum periods required by each applicable provision. Nothing in this paragraph alters quota volumes or substantive market-access commitments.</w:t>
      </w:r>
    </w:p>
    <w:p>
      <w:pPr>
        <w:pStyle w:val="Heading2"/>
      </w:pPr>
      <w:bookmarkStart w:id="900070" w:name="_Toc300000069"/>
      <w:r>
        <w:t>Article 2.E: Alcoholic Beverages, Non-Discriminatory Treatment</w:t>
      </w:r>
      <w:bookmarkEnd w:id="900070"/>
    </w:p>
    <w:p>
      <w:pPr>
        <w:pStyle w:val="Normal"/>
      </w:pPr>
      <w:r>
        <w:t>1. Measures of a Party, including measures of a sub-federal level of government within the scope of Article 2.3 (National Treatment) and the Annexes on alcoholic beverages, shall not discriminate against wine, beer, or spirits of another Party, in listing, distribution, mark-up, or retail access, by comparison with like products of that Party or of any non-Party.</w:t>
      </w:r>
    </w:p>
    <w:p>
      <w:pPr>
        <w:pStyle w:val="Normal"/>
      </w:pPr>
      <w:r>
        <w:t>2. Where a measure of a province, state, or other sub-federal entity restricts the sale of another Party’s alcoholic beverages while permitting the sale of like domestic or third-country products, the Party shall, consistent with its constitutional allocation of authority, use the measures lawfully available to it to seek observance of paragraph 1. At a minimum, the Party shall notify the relevant sub-federal authority of the concern, offer or undertake consultation, make a written request for correction where the concern is not resolved, report the response to the affected Party, and use available domestic coordinating mechanisms appropriate to the matter. This paragraph imposes an obligation of diligent use of constitutionally available measures and does not require a Party to exercise authority it does not possess or to guarantee the conduct of a sub-federal government.</w:t>
      </w:r>
    </w:p>
    <w:p>
      <w:pPr>
        <w:pStyle w:val="Normal"/>
      </w:pPr>
      <w:r>
        <w:t>3. Retaliatory removal of another Party’s alcoholic beverages from sale, in response to a matter arising under this Agreement, is a measure subject to this Agreement, including the disciplines of Chapter 35 where the removal has the economic effect of a covered border measure on originating goods.</w:t>
      </w:r>
    </w:p>
    <w:p>
      <w:pPr/>
      <w:r>
        <w:t>4. Relationship to sub-federal authority and Annex 3-C. Paragraph 1 states the substantive non-discrimination standard, while paragraph 2 states the obligation of the Party where compliance depends on constitutionally allocated sub-federal authority; paragraph 2 does not reduce the standard in paragraph 1. A Party satisfies paragraph 2 only by diligently using the measures lawfully available to it and by documenting those measures on request. Nothing in this Article displaces an express exception, grandfathered measure, cost-of-service differential, or on-premise limitation preserved by Annex 3-C, which continues to govern within its stated scope. Outside that preserved scope, this Article applies according to its terms.</w:t>
      </w:r>
    </w:p>
    <w:p>
      <w:pPr>
        <w:pStyle w:val="Heading2"/>
      </w:pPr>
      <w:bookmarkStart w:id="900071" w:name="_Toc300000070"/>
      <w:r>
        <w:t>Article 2.F: Goods Re-Entered After Repair or Alteration; Temporary Admission</w:t>
      </w:r>
      <w:bookmarkEnd w:id="900071"/>
    </w:p>
    <w:p>
      <w:pPr>
        <w:pStyle w:val="Normal"/>
      </w:pPr>
      <w:r>
        <w:t>1. The treatment of goods re-entered after repair or alteration, and of temporarily admitted goods, is governed by Articles 2.7 and 2.8 as in force. No Party shall apply a covered border measure to such goods by reason of extraordinary authority where the underlying goods are originating and the repair, alteration, or temporary admission conditions of this Agreement are satisfied. A Party shall not circumvent this rule by characterizing a measure as a fee, surcharge, security charge, processing charge, or other equivalent exaction where the measure is imposed by reason of the qualifying good crossing the border. Nothing in this Article prevents a Party from requiring the ordinary documentation reasonably necessary to establish origin or satisfaction of the applicable repair, alteration, or temporary-admission conditions, or from applying independently lawful measures addressing fraud, prohibited goods, material health or safety risks, or other grounds expressly permitted by this Agreement.</w:t>
      </w:r>
    </w:p>
    <w:p>
      <w:pPr>
        <w:pStyle w:val="Heading2"/>
      </w:pPr>
      <w:bookmarkStart w:id="900072" w:name="_Toc300000071"/>
      <w:r>
        <w:t>Article 2.G: Import and Export Restrictions</w:t>
      </w:r>
      <w:bookmarkEnd w:id="900072"/>
    </w:p>
    <w:p>
      <w:pPr>
        <w:pStyle w:val="Normal"/>
      </w:pPr>
      <w:r>
        <w:t>1. Article 2.11 (Import and Export Restrictions) is supplemented as follows:</w:t>
      </w:r>
    </w:p>
    <w:p>
      <w:pPr>
        <w:pStyle w:val="Normal"/>
      </w:pPr>
      <w:r>
        <w:t>“</w:t>
      </w:r>
      <w:r>
        <w:t>For greater certainty, a licensing requirement, registration condition, or similar administrative measure that operates to restrict imports or exports of originating goods to a degree equivalent to a quantitative restriction is a restriction within this Article, and is a covered border measure within Article 35.2 where it is applied by reason of the goods crossing the border. Indicators of equivalent restrictive effect may include denial of otherwise lawful entry or export, a numerical or volume limitation, systematic delay that materially prevents trade, discriminatory eligibility conditions, or administrative conditions that in practice materially prevent otherwise lawful trade. A Party shall not avoid this Article by dividing, renaming, sequencing, or administering measures whose combined operation produces such an effect. Nothing in this paragraph prevents non-discriminatory licensing, registration, inspection, or similar requirements genuinely directed to health, safety, customs administration, prohibited goods, or another lawful regulatory purpose, provided that the measure is not applied as a disguised quantitative restriction.”</w:t>
      </w:r>
    </w:p>
    <w:p>
      <w:pPr>
        <w:pStyle w:val="Heading2"/>
      </w:pPr>
      <w:bookmarkStart w:id="900073" w:name="_Toc300000072"/>
      <w:r>
        <w:t>Article 2.H: Consultation on Non-Party Preferential Treatment</w:t>
      </w:r>
      <w:bookmarkEnd w:id="900073"/>
    </w:p>
    <w:p>
      <w:pPr>
        <w:pStyle w:val="Normal"/>
      </w:pPr>
      <w:r>
        <w:t>1. Where a Party extends to a non-Party preferential sectoral treatment materially more favorable than the treatment applicable to like originating goods of another Party, including under an arrangement addressing an extraordinary measure, the affected Party may request consultations, which shall be held within 30 days.</w:t>
      </w:r>
    </w:p>
    <w:p>
      <w:pPr>
        <w:pStyle w:val="Normal"/>
      </w:pPr>
      <w:r>
        <w:t>2. The Party extending the treatment shall in good faith consider extending functionally equivalent treatment to the affected Party’s originating goods, taking into account the affected Party’s participation in this Agreement’s anti-circumvention, traceability, and economic-security disciplines. In assessing whether treatment is materially more favorable or functionally equivalent, the Parties shall consider, as applicable, tariff incidence, quota or quantitative access, eligibility conditions, duration, sectoral and product scope, compliance conditions, and other conditions materially affecting usable market access. Consultations conclude on the earliest of a jointly recorded conclusion, written notice by either consulting Party after at least 15 days of consultations, or 45 days after the consultation request unless the Parties agree in writing to continue them. Within 30 days after that conclusion, the Party extending the treatment shall provide the affected Party a written response stating whether it will extend functionally equivalent treatment and, if it declines, the principal reasons for that decision. Nothing in this Article guarantees extension of a non-Party preference or requires a Party to disregard an applicable exception or other obligation under this Agreement.</w:t>
      </w:r>
    </w:p>
    <w:p>
      <w:pPr>
        <w:pStyle w:val="Normal"/>
      </w:pPr>
      <w:r>
        <w:t>3. This Article does not affect preferences extended under a free trade agreement or customs union consistent with Article XXIV of the GATT 1994, or preferences required by the WTO Agreement.</w:t>
      </w:r>
    </w:p>
    <w:p>
      <w:pPr>
        <w:pStyle w:val="Heading2"/>
      </w:pPr>
      <w:bookmarkStart w:id="900074" w:name="_Toc300000073"/>
      <w:r>
        <w:t>Article 2.I: Committee on Trade in Goods, Additional Functions</w:t>
      </w:r>
      <w:bookmarkEnd w:id="900074"/>
    </w:p>
    <w:p>
      <w:pPr>
        <w:pStyle w:val="Normal"/>
      </w:pPr>
      <w:r>
        <w:t>1. The Committee on Trade in Goods shall: (a) monitor the operation of Articles 2.A through 2.H; (b) receive reports from the Secretariat's Treaty Integrity function concerning covered border measures affecting goods; and (c) report annually to the Commission on the state of tariff-free North American trade in goods. The annual report shall identify material notifications concerning covered border measures, unresolved implementation issues, material developments involving tariffs or equivalent charges on originating goods, and recommendations, where appropriate, for improving administration or resolving recurring implementation problems. The Committee shall rely on information already produced under this Agreement and by competent national authorities to the greatest extent practicable and shall not create duplicative reporting requirements unless the Commission expressly authorizes them. The Committee may recommend action to the Commission but may not amend a Party’s tariff commitments, alter a Schedule to Annex 2-B, or create a new binding obligation except through the amendment procedures of this Agreement.</w:t>
      </w:r>
    </w:p>
    <w:p>
      <w:pPr>
        <w:pStyle w:val="Heading1"/>
      </w:pPr>
      <w:bookmarkStart w:id="900075" w:name="_Toc300000074"/>
      <w:r>
        <w:t>CHAPTER 3 AGRICULTURE</w:t>
      </w:r>
      <w:r>
        <w:br/>
      </w:r>
      <w:r>
        <w:t>Section A: General Provisions</w:t>
      </w:r>
      <w:bookmarkEnd w:id="900075"/>
    </w:p>
    <w:p>
      <w:pPr>
        <w:pStyle w:val="Heading2"/>
      </w:pPr>
      <w:bookmarkStart w:id="900076" w:name="_Toc300000075"/>
      <w:r>
        <w:t xml:space="preserve">Article 3.1: Definitions</w:t>
      </w:r>
      <w:bookmarkEnd w:id="900076"/>
    </w:p>
    <w:p>
      <w:pPr>
        <w:pStyle w:val="Normal"/>
      </w:pPr>
      <w:r>
        <w:t xml:space="preserve">For the purposes of this Chapter: agricultural good means agricultural products referred to in Article 2 of the Agreement on Agriculture; export subsidy has the same meaning as assigned to “export subsidies” in Article 1(e) of the Agreement on Agriculture; and Agreement on Agriculture means the Agreement on Agriculture, set out in Annex 1A to the WTO Agreement.</w:t>
      </w:r>
    </w:p>
    <w:p>
      <w:pPr>
        <w:pStyle w:val="Heading2"/>
      </w:pPr>
      <w:bookmarkStart w:id="900077" w:name="_Toc300000076"/>
      <w:r>
        <w:t xml:space="preserve">Article 3.2: Scope</w:t>
      </w:r>
      <w:bookmarkEnd w:id="900077"/>
    </w:p>
    <w:p>
      <w:pPr>
        <w:pStyle w:val="Normal"/>
      </w:pPr>
      <w:r>
        <w:t xml:space="preserve">1. This Chapter applies to measures adopted or maintained by a Party relating to trade in agricultural goods. 2. In the event of any inconsistency between this Chapter and another provision of this Agreement, this Chapter shall prevail to the extent of the inconsistency.</w:t>
      </w:r>
    </w:p>
    <w:p>
      <w:pPr>
        <w:pStyle w:val="Heading2"/>
      </w:pPr>
      <w:bookmarkStart w:id="900078" w:name="_Toc300000077"/>
      <w:r>
        <w:t xml:space="preserve">Article 3.3: International Cooperation</w:t>
      </w:r>
      <w:bookmarkEnd w:id="900078"/>
    </w:p>
    <w:p>
      <w:pPr>
        <w:pStyle w:val="Normal"/>
      </w:pPr>
      <w:r>
        <w:t xml:space="preserve">The Parties shall work together at the WTO to promote increased transparency and to improve and further develop multilateral disciplines on market access, domestic support, and export competition with the objective of substantial progressive reductions in support and protection resulting in fundamental reform.</w:t>
      </w:r>
    </w:p>
    <w:p>
      <w:pPr>
        <w:pStyle w:val="Heading2"/>
      </w:pPr>
      <w:bookmarkStart w:id="900079" w:name="_Toc300000078"/>
      <w:r>
        <w:t xml:space="preserve">Article 3.4: Export Competition</w:t>
      </w:r>
      <w:bookmarkEnd w:id="900079"/>
    </w:p>
    <w:p>
      <w:pPr>
        <w:pStyle w:val="Normal"/>
      </w:pPr>
      <w:r>
        <w:t xml:space="preserve">1. No Party shall adopt or maintain an export subsidy on any agricultural good destined for the territory of another Party. 2. If a Party considers that export financing support granted by another Party results or may result in a distorting effect on trade between the Parties, or considers that an export subsidy is being granted by another Party, with respect to an agricultural good, it may request a discussion on the matter with the other Party. The responding Party shall agree to discuss the matter with the requesting Party as soon as practicable.</w:t>
      </w:r>
    </w:p>
    <w:p>
      <w:pPr>
        <w:pStyle w:val="Heading2"/>
      </w:pPr>
      <w:bookmarkStart w:id="900080" w:name="_Toc300000079"/>
      <w:r>
        <w:t xml:space="preserve">Article 3.5: Export Restrictions – Food Security</w:t>
      </w:r>
      <w:bookmarkEnd w:id="900080"/>
    </w:p>
    <w:p>
      <w:pPr>
        <w:pStyle w:val="Normal"/>
      </w:pPr>
      <w:r>
        <w:t xml:space="preserve">1. For the purpose of this Article, “foodstuff” includes fish and fish products intended for human consumption. 2. The Parties recognize that under Article XI:2(a) of the GATT 1994 a Party may temporarily apply an export prohibition or restriction that is otherwise prohibited under Article XI:1 of the GATT 1994 on a foodstuff to prevent or relieve a critical shortage, subject to meeting the conditions set out in Article 12.1 of the Agreement on Agriculture. 3. In addition to the conditions set out in Article 12.1 of the Agreement on Agriculture under which a Party may apply an export prohibition or restriction, other than a duty, tax, or other charge on a foodstuff, a Party that:</w:t>
      </w:r>
    </w:p>
    <w:p>
      <w:pPr>
        <w:pStyle w:val="Normal"/>
      </w:pPr>
      <w:r>
        <w:t>(a) imposes an export prohibition or restriction on the exportation or sale for export of a foodstuff to another Party shall notify the measure to the other Parties at least 30 days prior to the date the measure takes effect, except when the critical shortage is caused by an event constituting force majeure, in which case the Party shall notify prior to the date the measure takes effect; or (b) maintains an export prohibition or restriction as of the date of entry into force of this Agreement shall notify the measure to the other Parties within 30 days of the date of entry into force of this Agreement. 4.</w:t>
      </w:r>
    </w:p>
    <w:p>
      <w:pPr>
        <w:pStyle w:val="Normal"/>
      </w:pPr>
      <w:r>
        <w:t>A notification made pursuant to paragraph 3 must include: the reasons for adopting or maintaining the export prohibition or restriction, an explanation of how the measure is consistent with Article XI:2(a) of the GATT 1994, and an identification of alternative measures, if any, that the Party considered before imposing the export prohibition or restriction. 5. A Party is not required to notify an export prohibition or restriction pursuant to paragraphs 3 or 8 if the measure prohibits or restricts the exportation or sale for export only of a foodstuff that the Party has been a net importer during each of the three calendar years preceding the imposition of the measure, excluding the year in which the Party imposes the measure. 6.</w:t>
      </w:r>
    </w:p>
    <w:p>
      <w:pPr>
        <w:pStyle w:val="Normal"/>
      </w:pPr>
      <w:r>
        <w:t>If a Party that adopts or maintains a measure referred to in paragraph 3 has been a net importer of each foodstuff subject to that measure during each of the three calendar years preceding imposition of the measure, excluding the year in which the Party imposes the measure, and that Party does not provide the other Parties with a notification pursuant to paragraph 3, the Party shall, within a reasonable period of time, provide to the other Parties trade data demonstrating that it was a net importer of the foodstuff during these three calendar years. 7.</w:t>
      </w:r>
    </w:p>
    <w:p>
      <w:pPr>
        <w:pStyle w:val="Normal"/>
      </w:pPr>
      <w:r>
        <w:t>A Party that is required to notify a measure under paragraph 3 shall: (a) on the request of another Party having a substantial interest as an importer of the foodstuff subject to the measure, consult with that Party with respect to any matter relating to the measure; (b) on the request of another Party having a substantial interest as an importer of the foodstuff subject to the measure, provide that Party with relevant economic indicators bearing on whether a critical shortage within the meaning of Article XI:2(a) of the GATT 1994 exists or is likely to occur in the absence of the measure, and on how the measure will prevent or relieve the critical shortage; and (c) respond in writing to any question posed by another Party regarding the measure within 14 days of receipt of the question. 8. A Party that considers that another Party should have notified a measure under paragraph 3 may bring the matter to the attention of that other Party.</w:t>
      </w:r>
    </w:p>
    <w:p>
      <w:pPr>
        <w:pStyle w:val="Normal"/>
      </w:pPr>
      <w:r>
        <w:t>If the matter is not satisfactorily resolved promptly thereafter, the Party that considers that the measure should have been notified may itself bring the measure to the attention to the third Party. 9. A Party should ordinarily terminate a measure subject to notification under paragraphs 3 or 8 within six months of the date it is adopted.</w:t>
      </w:r>
    </w:p>
    <w:p>
      <w:pPr>
        <w:pStyle w:val="Normal"/>
      </w:pPr>
      <w:r>
        <w:t>A Party contemplating continuation of a measure beyond six months from the date it adopted the measure shall notify the other Parties no later than five months after the date it adopted the measure and provide the information identified in paragraph 3. Unless the Party has consulted with the other Parties that are net importers of the foodstuff subject to the export prohibition or restriction, the Party shall not continue the measure beyond 12 months from the date the Party adopted the measure. The Party shall immediately discontinue the measure when the critical shortage, or threat thereof, ceases to exist. 10. No Party shall apply a measure that is subject to notification under paragraphs 3 or 8 to a foodstuff purchased for a non-commercial, humanitarian purpose.</w:t>
      </w:r>
    </w:p>
    <w:p>
      <w:pPr>
        <w:pStyle w:val="Heading2"/>
      </w:pPr>
      <w:bookmarkStart w:id="900081" w:name="_Toc300000080"/>
      <w:r>
        <w:t xml:space="preserve">Article 3.6: Domestic Support</w:t>
      </w:r>
      <w:bookmarkEnd w:id="900081"/>
    </w:p>
    <w:p>
      <w:pPr>
        <w:pStyle w:val="Normal"/>
      </w:pPr>
      <w:r>
        <w:t xml:space="preserve">1. The Parties recognize that domestic support measures can be of crucial importance to their agricultural sectors but may also have trade distorting effects and effects on production. If a Party supports its agricultural producers, the Party shall consider domestic support measures that have no, or at most minimal, trade distorting effects or effects on production. 2. If a Party raises concerns that another Party’s domestic support measure has had a negative impact on trade between the Parties, the Parties shall share relevant information regarding the domestic support measure with each other and discuss the matter with a view to seeking to minimize any negative trade impact.</w:t>
      </w:r>
    </w:p>
    <w:p>
      <w:pPr>
        <w:pStyle w:val="Heading2"/>
      </w:pPr>
      <w:bookmarkStart w:id="900082" w:name="_Toc300000081"/>
      <w:r>
        <w:t xml:space="preserve">Article 3.7: Committee on Agricultural Trade</w:t>
      </w:r>
      <w:bookmarkEnd w:id="900082"/>
    </w:p>
    <w:p>
      <w:pPr>
        <w:pStyle w:val="Normal"/>
      </w:pPr>
      <w:r>
        <w:t xml:space="preserve">1. The Parties hereby establish a Committee on Agricultural Trade (“Agriculture Committee”), composed of government representatives of each Party. 2. The Agriculture Committee’s functions shall include: (a) promoting trade in agricultural goods between the Parties under this Agreement; (b) monitoring and promoting cooperation on the implementation and administration of this Chapter; (c) providing a forum for the Parties to consult and endeavor to address issues or trade barriers and improve access to their respective markets, in coordination or jointly with other committees, working groups, or any other subsidiary bodies established under this Agreement; (d) endeavoring to exchange information on trade in agricultural goods between the Parties, including information covered by Article 3.10.1 (Transparency and Consultations) or any other relevant transparency provision in this Chapter; (e) fostering cooperation among the Parties in areas of mutual interest, such as rural development, technology, research and development, and capacity building, and creating joint programs as mutually agreed between the agencies involved in agriculture, among others;</w:t>
      </w:r>
    </w:p>
    <w:p>
      <w:pPr>
        <w:pStyle w:val="Normal"/>
      </w:pPr>
      <w:r>
        <w:t>(f) undertaking any additional work, including that the Commission may assign or another committee may refer; (g) recommending to the Commission any modification of or addition to this Chapter; and (h) reporting annually on its activities to the Commission. 3.</w:t>
      </w:r>
    </w:p>
    <w:p>
      <w:pPr>
        <w:pStyle w:val="Normal"/>
      </w:pPr>
      <w:r>
        <w:t>The Agriculture Committee shall establish its terms of reference at its first meeting and may revise those terms as needed. 4. The Agriculture Committee shall meet within one year of the date of entry into force of this Agreement and once each year thereafter unless the Parties decide otherwise.</w:t>
      </w:r>
    </w:p>
    <w:p>
      <w:pPr>
        <w:pStyle w:val="Heading2"/>
      </w:pPr>
      <w:bookmarkStart w:id="900083" w:name="_Toc300000082"/>
      <w:r>
        <w:t xml:space="preserve">Article 3.8: Consultative Committees on Agriculture</w:t>
      </w:r>
      <w:bookmarkEnd w:id="900083"/>
    </w:p>
    <w:p>
      <w:pPr>
        <w:pStyle w:val="Normal"/>
      </w:pPr>
      <w:r>
        <w:t xml:space="preserve">1. The activities of the Consultative Committees on Agriculture (CCAs) established by: (a) the Canada-U.S. Consultative Committee on Agriculture Terms of Reference in accordance with the Record of Understanding Between the Governments of the United States of America and Canada Regarding Areas of Agricultural Trade (ROU) on December 4, 1998; (b) the Memorandum of Understanding Between the U.S. Department of Agriculture and the Office of the U.S. Trade Representative, and the Secretariat of Agriculture, Livestock, Rural Development, Fish and Food and the Secretary of Economy of the United Mexican States Regarding Areas of Food and Agriculture Trade (US-MX MOU) on October 1, 2001 and re-established on March 6, 2007; and (c) the Memorandum of Understanding between the Secretariat of Agriculture, Livestock, Rural Development, Fisheries and Food of the United Mexican States and Agriculture and Agri-Food Canada for the establishment of the Mexico- Canada Agriculture Consultative Committee (MX-CA MOU) on February 1, 2002 and re-established in March 2006, shall as of the date of entry into force of this Agreement be organized under this Agreement.</w:t>
      </w:r>
    </w:p>
    <w:p>
      <w:pPr>
        <w:pStyle w:val="Normal"/>
      </w:pPr>
      <w:r>
        <w:t>2. The CCAs shall be governed by and operate according to their respective ROU or MOU, and all implementing or administrative documents, as may be amended. 3.</w:t>
      </w:r>
    </w:p>
    <w:p>
      <w:pPr>
        <w:pStyle w:val="Normal"/>
      </w:pPr>
      <w:r>
        <w:t>The CCAs may inform the Agriculture Committee, the Committee on Sanitary and Phytosanitary Measures, or the Committee on Technical Barriers to Trade of their activities.</w:t>
      </w:r>
    </w:p>
    <w:p>
      <w:pPr>
        <w:pStyle w:val="Heading2"/>
      </w:pPr>
      <w:bookmarkStart w:id="900084" w:name="_Toc300000083"/>
      <w:r>
        <w:t xml:space="preserve">Article 3.9: Agricultural Special Safeguards</w:t>
      </w:r>
      <w:bookmarkEnd w:id="900084"/>
    </w:p>
    <w:p>
      <w:pPr>
        <w:pStyle w:val="Normal"/>
      </w:pPr>
      <w:r>
        <w:t xml:space="preserve">Originating agricultural goods traded under preferential tariff treatment shall not be subject to any duties that the importing Party applies pursuant to a special safeguard it takes pursuant to the Agreement on Agriculture.1 1 For greater certainty, an agricultural good for which most-favored-nation tariff treatment applies may be subject to additional duties applied by a Party pursuant to a special safeguard taken under the Agreement on Agriculture.</w:t>
      </w:r>
    </w:p>
    <w:p>
      <w:pPr>
        <w:pStyle w:val="Heading2"/>
      </w:pPr>
      <w:bookmarkStart w:id="900085" w:name="_Toc300000084"/>
      <w:r>
        <w:t xml:space="preserve">Article 3.10: Transparency and Consultations</w:t>
      </w:r>
      <w:bookmarkEnd w:id="900085"/>
    </w:p>
    <w:p>
      <w:pPr>
        <w:pStyle w:val="Normal"/>
      </w:pPr>
      <w:r>
        <w:t xml:space="preserve">1. Each Party shall endeavor, as appropriate, to share with another Party, on request, available information regarding a measure relating to trade in agricultural goods taken by a regional level of government in its territory that may have a significant effect on trade between those Parties. 2. At the request of another Party, a Party shall meet to discuss, and if appropriate, resolve, matters arising from grade, quality, technical specifications, and other standards as they affect trade between the Parties.</w:t>
      </w:r>
    </w:p>
    <w:p>
      <w:pPr>
        <w:pStyle w:val="Heading2"/>
      </w:pPr>
      <w:bookmarkStart w:id="900086" w:name="_Toc300000085"/>
      <w:r>
        <w:t xml:space="preserve">Article 3.11: Annexes</w:t>
      </w:r>
      <w:bookmarkEnd w:id="900086"/>
    </w:p>
    <w:p>
      <w:pPr>
        <w:pStyle w:val="Normal"/>
      </w:pPr>
      <w:r>
        <w:t xml:space="preserve">1. Annex 3-A applies to trade in agricultural goods between Canada and the United States. 2. Annex 3-B applies to trade in agricultural goods between Mexico and the United States. 3. Annex 3-C applies to trade in distilled spirits, wine, beer, and other alcohol beverages. 4. Annex 3-D applies to proprietary formulas for prepackaged foods and food additives. Section B: Agricultural Biotechnology</w:t>
      </w:r>
    </w:p>
    <w:p>
      <w:pPr>
        <w:pStyle w:val="Heading2"/>
      </w:pPr>
      <w:bookmarkStart w:id="900087" w:name="_Toc300000086"/>
      <w:r>
        <w:t xml:space="preserve">Article 3.12: Definitions</w:t>
      </w:r>
      <w:bookmarkEnd w:id="900087"/>
    </w:p>
    <w:p>
      <w:pPr>
        <w:pStyle w:val="Normal"/>
      </w:pPr>
      <w:r>
        <w:t xml:space="preserve">For the purposes of this Section: agricultural biotechnology means technologies, including modern biotechnology, used for the deliberate manipulation of an organism to introduce, remove, or modify one or more heritable characteristics of a product for agriculture and aquaculture use and that are not technologies used in traditional breeding and selection; Low Level Presence (LLP) Occurrence means low levels of recombinant deoxyribonucleic acid (DNA) plant materials that have passed a food safety assessment according to the Codex Guideline for the Conduct of a Food Safety Assessment of Foods Derived from Recombinant- DNA Plants (CAC/GL 45-2003) in one or more countries, which may on occasion be inadvertently present in food or feed in importing countries in which the food safety of the relevant recombinant DNA plant has not been determined; modern biotechnology means the application of:</w:t>
      </w:r>
    </w:p>
    <w:p>
      <w:pPr>
        <w:pStyle w:val="Normal"/>
      </w:pPr>
      <w:r>
        <w:t>(a) in vitro nucleic acid techniques, including recombinant DNA and direct injection of nucleic acid into cells or organelles; or (b) fusion of cells beyond the taxonomic family, that overcome natural physiological reproductive or recombination barriers and that are not techniques used in traditional breeding and selection; product of agricultural biotechnology means an agricultural good, or a fish or fish product covered by Chapter 3 of the Harmonized System, developed using agricultural biotechnology, but does not include a medicine or a medical product; and product</w:t>
      </w:r>
    </w:p>
    <w:p>
      <w:pPr>
        <w:pStyle w:val="Normal"/>
      </w:pPr>
      <w:r>
        <w:t>of modern biotechnology means an agricultural good, or a fish or fish product covered by Chapter 3 of the Harmonized System, developed using modern biotechnology, but does not include a medicine or a medical product.</w:t>
      </w:r>
    </w:p>
    <w:p>
      <w:pPr>
        <w:pStyle w:val="Heading2"/>
      </w:pPr>
      <w:bookmarkStart w:id="900088" w:name="_Toc300000087"/>
      <w:r>
        <w:t xml:space="preserve">Article 3.13: Contact Points</w:t>
      </w:r>
      <w:bookmarkEnd w:id="900088"/>
    </w:p>
    <w:p>
      <w:pPr>
        <w:pStyle w:val="Normal"/>
      </w:pPr>
      <w:r>
        <w:t xml:space="preserve">Each Party shall designate and notify a contact point or contact points for the sharing of information on matters related to this Section, in accordance with Article 30.5 (Agreement Coordinator and Contact Points).</w:t>
      </w:r>
    </w:p>
    <w:p>
      <w:pPr>
        <w:pStyle w:val="Heading2"/>
      </w:pPr>
      <w:bookmarkStart w:id="900089" w:name="_Toc300000088"/>
      <w:r>
        <w:t xml:space="preserve">Article 3.14: Trade in Products of Agricultural Biotechnology</w:t>
      </w:r>
      <w:bookmarkEnd w:id="900089"/>
    </w:p>
    <w:p>
      <w:pPr>
        <w:pStyle w:val="Normal"/>
      </w:pPr>
      <w:r>
        <w:t xml:space="preserve">1. The Parties confirm the importance of encouraging agricultural innovation and facilitating trade in products of agricultural biotechnology, while fulfilling legitimate objectives, including by promoting transparency and cooperation, and exchanging information related to the trade in products of agricultural biotechnology. 2. This Section does not require a Party to mandate an authorization for a product of agricultural biotechnology to be on the market. 3. Each Party shall make available to the public and, to the extent possible, online: (a) the information and documentation requirements for an authorization, if required, of a product of agricultural biotechnology; (b) any summary of any risk or safety assessment that has led to the authorization, if required, of a product of agricultural biotechnology; and (c) any list of the products of agricultural biotechnology that have been authorized in its territory. 4.</w:t>
      </w:r>
    </w:p>
    <w:p>
      <w:pPr>
        <w:pStyle w:val="Normal"/>
      </w:pPr>
      <w:r>
        <w:t>To reduce the likelihood of disruptions to trade in products of agricultural biotechnology: (a) each Party shall continue to encourage applicants to submit timely and concurrent applications to the Parties for authorization, if required, of products of agricultural biotechnology; (b) a Party requiring any authorization for a product of agricultural biotechnology shall: (i) accept and review applications for the authorization, if required, of products of agricultural biotechnology on an ongoing basis year-round, (ii) adopt or maintain measures that allow the initiation of the domestic regulatory authorization process of a product not yet authorized in another country, (iii) if an authorization is subject to expiration, take steps to help ensure that the review of the product is completed and a decision is made in a timely manner, and if possible, prior to expiration, and (iv) communicate with the other Parties regarding any new and existing authorizations of products of agricultural biotechnology so as to improve information exchange.</w:t>
      </w:r>
    </w:p>
    <w:p>
      <w:pPr>
        <w:pStyle w:val="Heading2"/>
      </w:pPr>
      <w:bookmarkStart w:id="900090" w:name="_Toc300000089"/>
      <w:r>
        <w:t xml:space="preserve">Article 3.15: LLP Occurrence</w:t>
      </w:r>
      <w:bookmarkEnd w:id="900090"/>
    </w:p>
    <w:p>
      <w:pPr>
        <w:pStyle w:val="Normal"/>
      </w:pPr>
      <w:r>
        <w:t xml:space="preserve">1. Each Party shall adopt or maintain policies or approaches designed to facilitate the management of any LLP Occurrence. 2. To address an LLP Occurrence, and with a view to preventing future LLP Occurrences, on request of an importing Party, an exporting Party shall: (a) provide any summary of the specific risk or safety assessments that the exporting Party conducted in connection with any authorization of the product of modern biotechnology that is the subject of the LLP Occurrence; (b) provide, on receiving permission of the entity, if required, a contact point for any entity within its territory that received authorization for the product of modern biotechnology that is the subject of the LLP Occurrence and that is on the basis of this authorization, likely to possess:</w:t>
      </w:r>
    </w:p>
    <w:p>
      <w:pPr>
        <w:pStyle w:val="Normal"/>
      </w:pPr>
      <w:r>
        <w:t>(i) any existing, validated methods for the detection of the product of modern biotechnology that is the subject of the LLP Occurrence, (ii) any reference sample of the product of modern biotechnology that is the subject of the LLP Occurrence necessary for the detection of the LLP Occurrence, and (iii) relevant information2 that can be used by the importing Party to conduct a risk or safety assessment, if appropriate, in accordance with the relevant international standards and guidelines; and (c) encourage the entity in its territory that received authorization related to the product of modern biotechnology that is the subject of the LLP Occurrence to share the information</w:t>
      </w:r>
    </w:p>
    <w:p>
      <w:pPr>
        <w:pStyle w:val="Normal"/>
      </w:pPr>
      <w:r>
        <w:t>referred to in paragraph 2(b) with the importing Party. 3. In the event of an LLP Occurrence, the importing Party shall: (a) inform the importer or the importer’s agent of the LLP Occurrence and of any additional information, including the information referenced in paragraph 2(b) of this Article, that will be required to be submitted to assist the importing Party to make a decision on the management of the LLP occurrence; (b) on request, and if available, provide to the exporting Party a summary of any risk or safety assessment that the importing Party has conducted in accordance with its domestic law in connection with the LLP Occurrence; (c) ensure that the LLP Occurrence is managed without unnecessary delay and that any measure3 applied to manage the LLP Occurrence is appropriate to achieve compliance with the importing Party’s laws and regulations and takes into account any risk posed by the LLP Occurrence; and (d) take into account, as appropriate, any relevant risk or safety assessment provided, and authorization granted, by another Party or non-Party when deciding how to manage the LLP Occurrence.</w:t>
      </w:r>
    </w:p>
    <w:p>
      <w:pPr>
        <w:pStyle w:val="Heading2"/>
      </w:pPr>
      <w:bookmarkStart w:id="900091" w:name="_Toc300000090"/>
      <w:r>
        <w:t xml:space="preserve">Article 3.16: Working Group for Cooperation on Agricultural Biotechnology</w:t>
      </w:r>
      <w:bookmarkEnd w:id="900091"/>
    </w:p>
    <w:p>
      <w:pPr>
        <w:pStyle w:val="Normal"/>
      </w:pPr>
      <w:r>
        <w:t xml:space="preserve">2 For example, relevant information includes the information contained in Annex 3 of the Codex Guideline for the Conduct of Food Safety Assessment of Foods Derived from Recombinant-DNA Plants (CAC/GL 45-2003). 3 For purposes of this paragraph, “measure” does not include penalties. 1. The Parties hereby establish a Working Group for Cooperation on Agricultural Biotechnology (Working Group) for information exchange and cooperation on policy and trade- related matters associated with products of agricultural biotechnology. The Working Group shall be co-chaired by government representatives of each of the Parties, and shall be comprised of policy officials responsible for issues related to agricultural biotechnology of each of the Parties. The Working Group shall report to the Agriculture Committee on its activities and progress on related matters. 2.</w:t>
      </w:r>
    </w:p>
    <w:p>
      <w:pPr>
        <w:pStyle w:val="Normal"/>
      </w:pPr>
      <w:r>
        <w:t>The Working Group shall provide a forum for the Parties to: (a) exchange information on issues, including on existing and proposed domestic laws, regulations, and policies, and on any risk or safety assessments subject to appropriate confidentiality arrangements, related to the trade in products of agricultural biotechnology; (b) exchange information, and collaborate when possible, on issues pertaining to products of agricultural biotechnology, including on regulatory and policy developments; (c) consider work, based upon accumulated knowledge and experience of certain products, in areas of regulatory affairs and policy to facilitate trade in products of agricultural biotechnology; (d) collaborate to consider common approaches for the management of an LLP Occurrence; and (e) consider the work conducted under other trilateral cooperation mechanisms focused on agricultural biotechnology, including the Trilateral Technical Working Group, established by the Parties in 2003 and operating under Terms of Reference from February 2015. 3. The Working Group shall coordinate efforts to advance regulatory approaches and trade policies that are transparent, and based on science and on risk for products of agricultural biotechnology in other countries and in international organizations.</w:t>
      </w:r>
    </w:p>
    <w:p>
      <w:pPr>
        <w:pStyle w:val="Normal"/>
      </w:pPr>
      <w:r>
        <w:t>4. The Working Group shall meet annually, unless otherwise decided by the Parties, and may meet in person, or by any other means as determined by the Parties.</w:t>
      </w:r>
    </w:p>
    <w:p>
      <w:pPr>
        <w:pStyle w:val="Heading2"/>
      </w:pPr>
      <w:bookmarkStart w:id="900092" w:name="_Toc300000091"/>
      <w:r>
        <w:t xml:space="preserve">ANNEX 3-A AGRICULTURAL TRADE BETWEEN CANADA AND THE UNITED STATES</w:t>
      </w:r>
      <w:bookmarkEnd w:id="900092"/>
    </w:p>
    <w:p>
      <w:pPr>
        <w:pStyle w:val="Heading2"/>
      </w:pPr>
      <w:bookmarkStart w:id="900093" w:name="_Toc300000092"/>
      <w:r>
        <w:t xml:space="preserve">Article 3.A.1: Tariff Classifications</w:t>
      </w:r>
      <w:bookmarkEnd w:id="900093"/>
    </w:p>
    <w:p>
      <w:pPr>
        <w:pStyle w:val="Normal"/>
      </w:pPr>
      <w:r>
        <w:t xml:space="preserve">1. Canada shall notify the United States of any change to Canada’s Schedule to the Customs Tariff that increases the rate of a customs duty applied to a dairy, poultry, or egg product when imported into Canada from the United States4 prior to finalization of such change. To the maximum extent possible, Canada shall provide such notification immediately after publication of the proposal for the change, so as to provide a sufficient opportunity for the United States to review the proposal prior to its implementation. If the United States requests, Canada shall promptly provide information to the United States, and respond to questions from the United States, pertaining to any change to Canada’s Schedule to the Customs Tariff that increases the rate of a customs duty applied to a dairy, poultry, or egg product when imported into Canada from the United States, whether or not the United States has been previously notified of the change. 2.</w:t>
      </w:r>
    </w:p>
    <w:p>
      <w:pPr>
        <w:pStyle w:val="Normal"/>
      </w:pPr>
      <w:r>
        <w:t>The United States shall notify Canada of any change to the Harmonized Tariff Schedule of the United States that increases the tariff rate applied to a sugar, sugar containing product (SCP), or dairy product when imported into the United States from Canada5 prior to finalization of such change.</w:t>
      </w:r>
    </w:p>
    <w:p>
      <w:pPr>
        <w:pStyle w:val="Normal"/>
      </w:pPr>
      <w:r>
        <w:t>To the maximum extent possible, the United States shall provide such notification immediately after publication of the proposal for the change, so as to provide sufficient opportunity for Canada to review the proposal prior to its implementation. If Canada requests, the United States shall promptly provide information to Canada, and respond to questions from Canada, pertaining to any change to the Harmonized Tariff Schedule of the United States that increases the tariff rate applied to a sugar, SCP, or dairy product when imported into the United States from Canada, whether or not Canada has been previously notified of the change. 3. On the request of the other Party, a Party shall meet to discuss any measures or policies that may affect trade between the Parties of a sugar, SCP, dairy, poultry, or egg product within 30 days of the request.</w:t>
      </w:r>
    </w:p>
    <w:p>
      <w:pPr>
        <w:pStyle w:val="Normal"/>
      </w:pPr>
      <w:r>
        <w:t>4 For purposes of this paragraph, a “change to Canada’s Schedule to the Customs Tariff that increases the rate of a customs duty applied to a dairy, poultry, or egg product when imported into Canada from the United States” means a change to Canada’s Schedule to the Customs Tariff that changes the classification of any good not previously classified under a tariff item listed in Appendix A that results in the good being classified under a tariff item listed in Appendix A.</w:t>
      </w:r>
    </w:p>
    <w:p>
      <w:pPr>
        <w:pStyle w:val="Normal"/>
      </w:pPr>
      <w:r>
        <w:t xml:space="preserve">5 For purposes of this paragraph, a “change to the Harmonized Tariff Schedule of the United States that increases the tariff rate applied to a sugar, SCP, or dairy product when imported into the United States from Canada” means a change to the Harmonized Tariff Schedule of the United States that changes the classification of any good not classified before the change under a tariff item listed in Appendix B to this Annex that results in the good being classified under a tariff item listed in Appendix B. 3-A-1</w:t>
      </w:r>
    </w:p>
    <w:p>
      <w:pPr>
        <w:pStyle w:val="Heading2"/>
      </w:pPr>
      <w:bookmarkStart w:id="900094" w:name="_Toc300000093"/>
      <w:r>
        <w:t xml:space="preserve">Article 3.A.2: Tariff-Rate Quota Administration</w:t>
      </w:r>
      <w:bookmarkEnd w:id="900094"/>
    </w:p>
    <w:p>
      <w:pPr>
        <w:pStyle w:val="Normal"/>
      </w:pPr>
      <w:r>
        <w:t xml:space="preserve">1. For the purposes of this Article: allocation mechanism means any system in which access to the tariff rate quota is granted on a basis other than first-come first-served; and tariff rate quota (TRQ) means a mechanism that provides for the application of a preferential rate of customs duty to imports of a particular originating good up to a specified quantity (in quota quantity), and at a different rate to imports of that good that exceed that quantity. 2.</w:t>
      </w:r>
    </w:p>
    <w:p>
      <w:pPr>
        <w:pStyle w:val="Normal"/>
      </w:pPr>
      <w:r>
        <w:t>For the purposes of this Article, TRQ refers only t o those TRQs established under this Agreement as set out in a Party’s Schedule to Annex 2-B (Tariff Commitments). For greater certainty, this Article shall not apply to TRQs set out in a Party’s Schedule to the WTO Agreement. 3.</w:t>
      </w:r>
    </w:p>
    <w:p>
      <w:pPr>
        <w:pStyle w:val="Normal"/>
      </w:pPr>
      <w:r>
        <w:t>Each Party shall implement and administer its TRQs in accordance with Article XIII of GATT 1994, including its interpretative notes, the Import Licensing Agreement and Article 2.15 (Transparency in Import Licensing). All TRQs established by a Party under this Agreement shall be set out in that Party’s Schedule to Annex 2-B (Tariff Commitments). 4. Each Party shall ensure that its procedures for administering its TRQs: (a) are transparent; (b) are fair and equitable; (c) use clearly specified timeframes, administrative procedures, and requirements; (d) are no more administratively burdensome than necessary; (e) are responsive to market conditions; and (f) are administered in a timely manner. 5. The Party administering a TRQ shall publish, on its designated website and at least 90 days prior to the beginning of the TRQ year, all information concerning its TRQ administration, including the size of quotas and eligibility requirements. 6. Each Party shall administer its TRQs in a manner that allows importers the opportunity to utilize TRQ quantities fully.</w:t>
      </w:r>
    </w:p>
    <w:p>
      <w:pPr>
        <w:pStyle w:val="Normal"/>
      </w:pPr>
      <w:r>
        <w:t>(a) Except as provided in subparagraph (b) and (c), no Party shall introduce a new or additional condition, limit, or eligibility requirement on the utilization of a TRQ 3-A-2 for importation of an agricultural good, including in relation to specification or grade, permissible end-use of the imported product, or package size beyond those set out in its Schedule to Annex 2-B (Tariff Commitments).</w:t>
      </w:r>
    </w:p>
    <w:p>
      <w:pPr>
        <w:pStyle w:val="Normal"/>
      </w:pPr>
      <w:r>
        <w:t>For greater certainty, paragraph 6 shall not apply to conditions, limits, or eligibility requirements that apply regardless of whether or not the importer utilizes the TRQ when importing the agricultural good. (b) A Party seeking to introduce a new or additional condition, limit, or eligibility requirement on the utilization of a TRQ for importation of an agricultural good shall notify the other Party at least 45 days prior to the proposed effective date of the new or additional condition, limit, or eligibility requirement. If the other Party has a demonstrable commercial interest in supplying the agricultural good, that Party may submit a written request for consultations within 30 days of the notification to the Party seeking to introduce the new or additional condition, limit, or eligibility requirement. On receipt of such a request for consultations, the Party seeking to introduce the new or additional condition, limit, or eligibility requirement shall promptly undertake consultations with the other Party, in accordance with Article 3.10 (Transparency and Consultations).</w:t>
      </w:r>
    </w:p>
    <w:p>
      <w:pPr>
        <w:pStyle w:val="Normal"/>
      </w:pPr>
      <w:r>
        <w:t>(c) The Party seeking to introduce the new or additional condition, limit, or eligibility requirement may do so if the other Party with a demonstrable commercial interest in supplying the agricultural good has not submitted a written request for consultations within 30 days of the notification pursuant to subparagraph (b) or, in the case when the other Party has submitted a written request for consultations pursuant to subparagraph (b) if: (i) the Party has consulted with the other Party, and (ii) the other Party has not objected, after the consultation, to the introduction of the new or additional condition, limit, or eligibility requirement. (d) A new or additional condition, limit, or eligibility requirement that is the outcome of any consultation held pursuant to subparagraph (c) shall be circulated to the other Party prior to its implementation. 7. Notwithstanding paragraph 6, a Party shall not implement a condition, limit, or eligibility requirement:</w:t>
      </w:r>
    </w:p>
    <w:p>
      <w:pPr>
        <w:pStyle w:val="Normal"/>
      </w:pPr>
      <w:r>
        <w:t>(a) regarding the quota applicant’s nationality, or headquarters location; or (b) requiring the quota applicant’s physical presence in the territory of the Party, except that a Party may require that the quota applicant either: (i) do business and have a business office, or 3-A-3 (ii) have an employee, an agent for service of process, or a legal representative, in the territory of the Party. 8.</w:t>
      </w:r>
    </w:p>
    <w:p>
      <w:pPr>
        <w:pStyle w:val="Normal"/>
      </w:pPr>
      <w:r>
        <w:t>On entry into force of this Agreement, if either Party maintains a TRQ in its Schedule to Annex 2-B (Tariff Commitments) that is administered through issuance of permits by either Party, then the Party maintaining the TRQ shall have: (a) consulted with the other Party with respect to all procedures for the allocation and use of the TRQ, and any condition or requirement applicable on or in connection with the allocation or use of the TRQ; and (b) adopted and implemented regulations or policies containing all of its procedures for the allocation and use of the TRQ and any condition or requirement of that Party applicable on or in connection with the allocation or use of the TRQ. 9. If a TRQ is administered by an allocation mechanism, the administering Party shall, prior to any change to the allocation mechanism:</w:t>
      </w:r>
    </w:p>
    <w:p>
      <w:pPr>
        <w:pStyle w:val="Normal"/>
      </w:pPr>
      <w:r>
        <w:t>(a) publish for public comment the proposed regulations or policies containing all of its procedures for the allocation and use of the TRQ and any condition or requirement applicable on or in connection with the allocation or use of the TRQ no less than 60 days in advance of the date on which comments are due; (b) take any comments into account in the development of the final regulations or policies; and (c) adopt, implement, and publish the final regulations or policies on its designated website at least 90 days prior to the beginning of each TRQ year. 10.</w:t>
      </w:r>
    </w:p>
    <w:p>
      <w:pPr>
        <w:pStyle w:val="Normal"/>
      </w:pPr>
      <w:r>
        <w:t>If a TRQ is administered by an allocation mechanism, then the administering Party shall provide that the mechanism allows for importers that have not previously imported the agricultural good subject to the TRQ (new importers), who meet all eligibility criteria other than import performance, to be eligible for a quota allocation. The Party administering the TRQ allocation mechanism shall not discriminate against new importers when allocating the TRQ. 11. A Party administering an allocated TRQ shall ensure that: (a) any person of the other Party that fulfils the importing Party’s eligibility requirements is able to apply and be considered for a quota allocation under the TRQ; (b) unless otherwise agreed by the Parties, it does not allocate any portion of the quota 3-A-4 to a producer group, condition access to an allocation on the purchase of domestic production, or limit access to an allocation to processors; (c) each allocation is made in commercially viable shipping quantities and, to the maximum extent possible, in the quantities that the TRQ applicant requests;</w:t>
      </w:r>
    </w:p>
    <w:p>
      <w:pPr>
        <w:pStyle w:val="Normal"/>
      </w:pPr>
      <w:r>
        <w:t>(d) an allocation for in-quota imports is applicable to any tariff items subject to the TRQ and is valid throughout the TRQ year; (e) if the aggregate TRQ quantity requested by applicants exceeds the quota size, allocation to eligible applicants shall be conducted by equitable and transparent methods; (f) applicants have at least four weeks after the opening of the application period to submit their applications;</w:t>
      </w:r>
    </w:p>
    <w:p>
      <w:pPr>
        <w:pStyle w:val="Normal"/>
      </w:pPr>
      <w:r>
        <w:t>and (g) quota is allocated no later than four weeks before the opening of the quota period, unless the allocation is based in whole or in part on import performance during the 12-month period immediately preceding the quota period. If the administering Party bases the allocation in whole or in part on import performance during the 12-month period immediately preceding the quota period, then that Party shall make a provisional allocation of the full quota amount no later than four weeks before the opening of the quota period. All final allocation decisions, including any revisions, shall be made and communicated to applicants by the beginning of the quota period. 12.</w:t>
      </w:r>
    </w:p>
    <w:p>
      <w:pPr>
        <w:pStyle w:val="Normal"/>
      </w:pPr>
      <w:r>
        <w:t>If less than 12 months remain in the first TRQ year on the date of entry into force of this Agreement, then a Party administering a TRQ allocation shall make available to quota applicants, beginning on the date of entry into force of this Agreement, the quota quantity established in its Schedule to Annex 2-B (Tariff Commitments), multiplied by a fraction the numerator of which shall be a whole number consisting of the number of months remaining in the TRQ year on the date of entry into force of this Agreement, including the entirety of the month in which this Agreement enters into force, and the denominator of which shall be 12.</w:t>
      </w:r>
    </w:p>
    <w:p>
      <w:pPr>
        <w:pStyle w:val="Normal"/>
      </w:pPr>
      <w:r>
        <w:t>The administering Party shall make the entire quota quantity established in its Schedule to Annex 2-B (Tariff Commitments) available to quota applicants beginning on the first day of each TRQ year that the quota is in operation. 13. A Party administering a TRQ shall not require the re-export of an agricultural good as a condition for the application for, or utilization of, a quota allocation. 14. Any quantity of agricultural goods imported under a TRQ pursuant to Section B of Appendix 2 (Tariff Schedule of Canada (Tariff Rate Quotas)) to the Tariff Schedule of Canada in Annex 2-B (Tariff Commitments) or Section B of Appendix 2 (Tariff Schedule of the United States (Tariff Rate Quotas)) to the Tariff Schedule of the United States in 3-A-5 Annex 2-B (Tariff Commitments) shall not count towards, or reduce the in-quota quantity of, any TRQ provided for that agricultural good in a Party’s Schedule to the WTO Agreement or under any other trade agreement.6 15.</w:t>
      </w:r>
    </w:p>
    <w:p>
      <w:pPr>
        <w:pStyle w:val="Normal"/>
      </w:pPr>
      <w:r>
        <w:t>If a TRQ is administered by an allocation mechanism, then the administering Party shall ensure that there is a mechanism for the return and reallocation of unused allocations in a timely and transparent manner that provides the greatest possible opportunity for the TRQ to be filled. 16. Each Party shall publish, on a regular basis and on its designated publicly available website, information concerning quantities allocated, quantities returned, and, if available, quota utilization rates.</w:t>
      </w:r>
    </w:p>
    <w:p>
      <w:pPr>
        <w:pStyle w:val="Normal"/>
      </w:pPr>
      <w:r>
        <w:t>In addition, each Party shall publish, on the website designated to provide TRQ information, the quantities available for reallocation and the application deadline, at least two weeks prior to the date on which the Party will begin accepting applications for reallocations. 17. Each Party shall identify the entity or entities responsible for administering its TRQs and designate and notify at least one contact point, in accordance with Article 30.5 (Agreement Coordinator and Contact Points), to facilitate communications between the Parties on matters relating to the administration of its TRQs. Each Party shall promptly notify the other Party of any amendments to the details of its contact point. 18. If a TRQ is administered by an allocation mechanism, then the administering Party shall publish the name and address of allocation holders on its designated publicly available website. 19.</w:t>
      </w:r>
    </w:p>
    <w:p>
      <w:pPr>
        <w:pStyle w:val="Normal"/>
      </w:pPr>
      <w:r>
        <w:t>If a TRQ is administered on a first-come, first-served basis, the importing Party’s administering authority shall publish the utilization rates and remaining available quantities for that TRQ, over the course of each TRQ year, in a timely and on-going basis, and on its designated website. 20. When a TRQ administered on a first-come, first-served basis is filled, the administering Party shall publish a notice to this effect on its designated publicly available website within 10 days. 21.</w:t>
      </w:r>
    </w:p>
    <w:p>
      <w:pPr>
        <w:pStyle w:val="Normal"/>
      </w:pPr>
      <w:r>
        <w:t xml:space="preserve">When a TRQ administered by an allocation mechanism is filled, the administering Party shall publish a notice to this effect on its designated publicly available website as early as practicable. 6 For greater certainty, nothing in this paragraph shall prevent an administrating Party from applying an in-quota rate of customs duty to agricultural goods from the other Party, as set out in the administering Party’s Schedule to Annex 2-B (Tariff Commitments), that is different than the rate of customs duty applied to the same agricultural good of Mexico or a non-Party under a TRQ established under the WTO Agreement. Furthermore, nothing in this paragraph requires an administrating Party to change the in-quota quantity of any TRQ established under the WTO Agreement. 3-A-6 22. On the written request of the exporting Party, the Party administrating a TRQ shall consult with the exporting Party regarding the administration of its TRQ within 30 days of the request, under normal circumstances.</w:t>
      </w:r>
    </w:p>
    <w:p>
      <w:pPr>
        <w:pStyle w:val="Heading2"/>
      </w:pPr>
      <w:bookmarkStart w:id="900095" w:name="_Toc300000094"/>
      <w:r>
        <w:t xml:space="preserve">Article 3.A.3: Dairy Pricing and Exports</w:t>
      </w:r>
      <w:bookmarkEnd w:id="900095"/>
    </w:p>
    <w:p>
      <w:pPr>
        <w:pStyle w:val="Normal"/>
      </w:pPr>
      <w:r>
        <w:t xml:space="preserve">1.</w:t>
      </w:r>
    </w:p>
    <w:p>
      <w:pPr>
        <w:pStyle w:val="Normal"/>
      </w:pPr>
      <w:r>
        <w:t>For the purposes of this Article: assumed processor margin means the estimated cost to a processor of converting raw milk into a specified manufactured wholesale commodity or milk product, which may then be used in the calculation of a milk class price and may also be referred to as a make allowance; dairy year means August 1 to July 31; eligible goods means goods that a processor may manufacture using the milk or milk components provided at a milk class price; infant formula means a good classified in HS subheading 1901.10 containing more than 10 percent on a dry weight basis of cow milk solids; milk class means an end use for which processors may utilize milk or milk components provided at milk class prices; milk class price means the price, minimum price, or milk component price at which milk or milk components are billed or provided to processors based on their end use; milk component means butterfat, protein, other solids, and any other component of milk for which a Party sets a milk class price; milk protein concentrate means goods classified in HS subheading 0404.90; skim milk powder means goods classified in HS subheading 0402.10;</w:t>
      </w:r>
    </w:p>
    <w:p>
      <w:pPr>
        <w:pStyle w:val="Normal"/>
      </w:pPr>
      <w:r>
        <w:t>USDA nonfat dry milk price means the nonfat dry milk price published by the United States Department of Agriculture (USDA) in its Announcement of Class and Component Prices, as used in the calculation of the Nonfat Milk Solids price in the United States; and yield factor means the estimated ratio of a given volume of skim milk powder to</w:t>
      </w:r>
    </w:p>
    <w:p>
      <w:pPr>
        <w:pStyle w:val="Normal"/>
      </w:pPr>
      <w:r>
        <w:t>the volume of non-fat solids required to manufacture that volume skim milk powder as determined by the Party. 2. This Article applies to any milk class pricing system for dairy adopted or maintained by a Party, where for: 3-A-7 (a) Canada, milk class pricing system refers to price setting under the supply management system for dairy; and (b) the United States, milk class pricing system refers to price setting under the federal milk marketing orders. 3. Canada shall ensure that milk class 6 and milk class 7, including their associated milk class prices, are eliminated six months after entry into force of this Agreement. 4. Six months after entry into force of this Agreement, Canada shall ensure that products and ingredients formerly classified under milk classes 6 and 7 are reclassified and that their associated milk class prices are established appropriately based on end use. 5.</w:t>
      </w:r>
    </w:p>
    <w:p>
      <w:pPr>
        <w:pStyle w:val="Normal"/>
      </w:pPr>
      <w:r>
        <w:t>Notwithstanding paragraph 4, Canada shall ensure that the prices for non-fat solids used to manufacture milk protein concentrates, skim milk powder, and infant formula are no lower than the applicable price determined by the following formula: (The USDA nonfat dry milk price minus Canada’s applicable assumed processor margin) multiplied by Canada’s applicable yield factor. 6. Paragraph 5 shall not apply to domestic sales of milk components for non-human consumption, such as for use as animal feed. 7.</w:t>
      </w:r>
    </w:p>
    <w:p>
      <w:pPr>
        <w:pStyle w:val="Normal"/>
      </w:pPr>
      <w:r>
        <w:rPr>
          <w:b w:val="0"/>
        </w:rPr>
        <w:t>Canada shall monitor its global exports of milk protein concentrates, skim milk powder, and infant formula and provide information regarding those exports to the United States as specified in paragraph 13. 8. In a given dairy year, if global exports of: (a) both milk protein concentrates and skim milk powder from Canada together exceed the following thresholds: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Year</w:t>
            </w:r>
          </w:p>
        </w:tc>
        <w:tc>
          <w:tcPr>
            <w:tcW w:type="dxa" w:w="4680"/>
            <w:tcBorders>
              <w:bottom w:val="single" w:sz="6" w:space="0" w:color="546E7A"/>
            </w:tcBorders>
            <w:shd w:fill="E4E9EC" w:val="clear" w:color="auto"/>
          </w:tcPr>
          <w:p>
            <w:pPr>
              <w:pStyle w:val="TableText"/>
            </w:pPr>
            <w:r>
              <w:rPr>
                <w:b/>
                <w:color w:val="37474F"/>
              </w:rPr>
              <w:t>MPC plus SMP Threshold</w:t>
            </w:r>
          </w:p>
        </w:tc>
      </w:tr>
      <w:tr>
        <w:trPr>
          <w:cantSplit/>
        </w:trPr>
        <w:tc>
          <w:tcPr>
            <w:tcW w:type="dxa" w:w="4680"/>
            <w:tcMar>
              <w:top w:w="70" w:type="dxa"/>
              <w:start w:w="110" w:type="dxa"/>
              <w:bottom w:w="70" w:type="dxa"/>
              <w:end w:w="110" w:type="dxa"/>
            </w:tcMar>
          </w:tcPr>
          <w:p>
            <w:pPr>
              <w:pStyle w:val="TableText"/>
            </w:pPr>
            <w:r>
              <w:rPr/>
              <w:t>1</w:t>
            </w:r>
          </w:p>
        </w:tc>
        <w:tc>
          <w:tcPr>
            <w:tcW w:type="dxa" w:w="4680"/>
            <w:tcMar>
              <w:top w:w="70" w:type="dxa"/>
              <w:start w:w="110" w:type="dxa"/>
              <w:bottom w:w="70" w:type="dxa"/>
              <w:end w:w="110" w:type="dxa"/>
            </w:tcMar>
          </w:tcPr>
          <w:p>
            <w:pPr>
              <w:pStyle w:val="TableText"/>
            </w:pPr>
            <w:r>
              <w:rPr/>
              <w:t>55,000 MT</w:t>
            </w:r>
          </w:p>
        </w:tc>
      </w:tr>
      <w:tr>
        <w:trPr>
          <w:cantSplit/>
        </w:trPr>
        <w:tc>
          <w:tcPr>
            <w:tcW w:type="dxa" w:w="4680"/>
            <w:shd w:fill="F5F7F8" w:val="clear" w:color="auto"/>
            <w:tcMar>
              <w:top w:w="70" w:type="dxa"/>
              <w:start w:w="110" w:type="dxa"/>
              <w:bottom w:w="70" w:type="dxa"/>
              <w:end w:w="110" w:type="dxa"/>
            </w:tcMar>
          </w:tcPr>
          <w:p>
            <w:pPr>
              <w:pStyle w:val="TableText"/>
            </w:pPr>
            <w:r>
              <w:rPr/>
              <w:t>2</w:t>
            </w:r>
          </w:p>
        </w:tc>
        <w:tc>
          <w:tcPr>
            <w:tcW w:type="dxa" w:w="4680"/>
            <w:shd w:fill="F5F7F8" w:val="clear" w:color="auto"/>
            <w:tcMar>
              <w:top w:w="70" w:type="dxa"/>
              <w:start w:w="110" w:type="dxa"/>
              <w:bottom w:w="70" w:type="dxa"/>
              <w:end w:w="110" w:type="dxa"/>
            </w:tcMar>
          </w:tcPr>
          <w:p>
            <w:pPr>
              <w:pStyle w:val="TableText"/>
            </w:pPr>
            <w:r>
              <w:rPr/>
              <w:t>35,000 MT</w:t>
            </w:r>
          </w:p>
        </w:tc>
      </w:tr>
    </w:tbl>
    <w:p>
      <w:pPr>
        <w:pStyle w:val="Normal"/>
      </w:pPr>
      <w:r>
        <w:rPr>
          <w:b w:val="0"/>
        </w:rPr>
        <w:t>then, Canada shall apply an export charge of CAD 0.54 per kilogram to global exports of these goods in excess of the thresholds set out above for the remainder of the dairy year. (b) infant formula from Canada exceeds the following thresholds: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Year</w:t>
            </w:r>
          </w:p>
        </w:tc>
        <w:tc>
          <w:tcPr>
            <w:tcW w:type="dxa" w:w="4680"/>
            <w:tcBorders>
              <w:bottom w:val="single" w:sz="6" w:space="0" w:color="546E7A"/>
            </w:tcBorders>
            <w:shd w:fill="E4E9EC" w:val="clear" w:color="auto"/>
          </w:tcPr>
          <w:p>
            <w:pPr>
              <w:pStyle w:val="TableText"/>
            </w:pPr>
            <w:r>
              <w:rPr>
                <w:b/>
                <w:color w:val="37474F"/>
              </w:rPr>
              <w:t>Infant Formula Threshold</w:t>
            </w:r>
          </w:p>
        </w:tc>
      </w:tr>
      <w:tr>
        <w:trPr>
          <w:cantSplit/>
        </w:trPr>
        <w:tc>
          <w:tcPr>
            <w:tcW w:type="dxa" w:w="4680"/>
            <w:tcMar>
              <w:top w:w="70" w:type="dxa"/>
              <w:start w:w="110" w:type="dxa"/>
              <w:bottom w:w="70" w:type="dxa"/>
              <w:end w:w="110" w:type="dxa"/>
            </w:tcMar>
          </w:tcPr>
          <w:p>
            <w:pPr>
              <w:pStyle w:val="TableText"/>
            </w:pPr>
            <w:r>
              <w:rPr/>
              <w:t>1</w:t>
            </w:r>
          </w:p>
        </w:tc>
        <w:tc>
          <w:tcPr>
            <w:tcW w:type="dxa" w:w="4680"/>
            <w:tcMar>
              <w:top w:w="70" w:type="dxa"/>
              <w:start w:w="110" w:type="dxa"/>
              <w:bottom w:w="70" w:type="dxa"/>
              <w:end w:w="110" w:type="dxa"/>
            </w:tcMar>
          </w:tcPr>
          <w:p>
            <w:pPr>
              <w:pStyle w:val="TableText"/>
            </w:pPr>
            <w:r>
              <w:rPr/>
              <w:t>13,333 MT</w:t>
            </w:r>
          </w:p>
        </w:tc>
      </w:tr>
      <w:tr>
        <w:trPr>
          <w:cantSplit/>
        </w:trPr>
        <w:tc>
          <w:tcPr>
            <w:tcW w:type="dxa" w:w="4680"/>
            <w:shd w:fill="F5F7F8" w:val="clear" w:color="auto"/>
            <w:tcMar>
              <w:top w:w="70" w:type="dxa"/>
              <w:start w:w="110" w:type="dxa"/>
              <w:bottom w:w="70" w:type="dxa"/>
              <w:end w:w="110" w:type="dxa"/>
            </w:tcMar>
          </w:tcPr>
          <w:p>
            <w:pPr>
              <w:pStyle w:val="TableText"/>
            </w:pPr>
            <w:r>
              <w:rPr/>
              <w:t>2</w:t>
            </w:r>
          </w:p>
        </w:tc>
        <w:tc>
          <w:tcPr>
            <w:tcW w:type="dxa" w:w="4680"/>
            <w:shd w:fill="F5F7F8" w:val="clear" w:color="auto"/>
            <w:tcMar>
              <w:top w:w="70" w:type="dxa"/>
              <w:start w:w="110" w:type="dxa"/>
              <w:bottom w:w="70" w:type="dxa"/>
              <w:end w:w="110" w:type="dxa"/>
            </w:tcMar>
          </w:tcPr>
          <w:p>
            <w:pPr>
              <w:pStyle w:val="TableText"/>
            </w:pPr>
            <w:r>
              <w:rPr/>
              <w:t>40,000 MT</w:t>
            </w:r>
          </w:p>
        </w:tc>
      </w:tr>
    </w:tbl>
    <w:p>
      <w:pPr>
        <w:pStyle w:val="Normal"/>
      </w:pPr>
      <w:r>
        <w:rPr>
          <w:b w:val="0"/>
        </w:rPr>
        <w:t>then, Canada shall apply an export charge of CAD 4.25 per kilogram to global exports of these goods in excess of the thresholds set out above for the remainder of the dairy year. 9. With regard to the thresholds established in paragraphs 8(a) and 8(b), after Year 2 each threshold shall increase at a rate of 1.2 percent annually on a dairy year basis. 10.</w:t>
      </w:r>
    </w:p>
    <w:p>
      <w:pPr>
        <w:pStyle w:val="Normal"/>
      </w:pPr>
      <w:r>
        <w:t>Each Party shall publish on, or link to, a central government website, the following information: (a) laws and regulations at the central or regional level of government of a Party that govern or implement a milk class pricing system for dairy, including any replacement or amendment thereof; (b) the assumed processor margin; (c) each milk class price, including for each milk component by each milk class; and (d) the yield factor. Each Party shall publish this information as of entry into force of this Agreement for existing measures, and thereafter, a Party shall publish the information as soon as possible. 11. (a) No later than six months after entry into force of this Agreement, each Party shall provide to the other Party or publish on, or link to, a central government website the requirements, terms, and conditions for obtaining and using milk and milk components at milk class prices, including:</w:t>
      </w:r>
    </w:p>
    <w:p>
      <w:pPr>
        <w:pStyle w:val="Normal"/>
      </w:pPr>
      <w:r>
        <w:t>(i) a list or description of the goods for which processors are eligible to receive milk or milk components at a milk class price, and 3-A-9 (ii) a list or description of the products that eligible goods can be used to manufacture.7 Thereafter, each Party shall provide to the other Party or publish on, or link to, a central government website any revisions or amendments to this information as soon as possible.</w:t>
      </w:r>
    </w:p>
    <w:p>
      <w:pPr>
        <w:pStyle w:val="Normal"/>
      </w:pPr>
      <w:r>
        <w:t>The first time that the information in subparagraph (a) is provided or published, the Party shall also provide or publish this information since entry into force of this Agreement. (b) No later than six months after entry into force of this Agreement, each Party shall provide to the other Party or publish on, or link to, a central government website the milk utilization by milk class and by month, including quantities sold, prices, and revenues for milk and each milk component.8 Thereafter, each Party shall provide or publish this monthly data on a quarterly basis. The first time that this data is provided or published the Party shall also provide or publish this data since entry into force of this Agreement. 12. Before the adoption, amendment, or revision to a milk class,9 a Party shall:</w:t>
      </w:r>
    </w:p>
    <w:p>
      <w:pPr>
        <w:pStyle w:val="Normal"/>
      </w:pPr>
      <w:r>
        <w:t>(a) notify the other Party of, or publicly announce, its intent to adopt, amend, or revise a milk class at least one calendar month before the effective date of the adoption, amendment, or revision, so as to provide a sufficient opportunity for the other Party to review the proposed measure containing the adoption, amendment, or revision to a milk class prior to its implementation; (b) consult with the other Party on request, or allow participation in any public regulatory process, regarding the proposed measure containing the adoption, amendment, or revision to a milk class, and take any comments into account in the decision to adopt, amend, or revise a milk class; and 7 For greater</w:t>
      </w:r>
    </w:p>
    <w:p>
      <w:pPr>
        <w:pStyle w:val="Normal"/>
      </w:pPr>
      <w:r>
        <w:t>certainty, the information to be provided or published in subparagraph (a) is not confidential and does not include information regarding individual contractual arrangements. 8 For greater certainty, the data to be provided or published in subparagraph (b) is aggregated data. The Parties understand that aggregated data is not confidential and that if certain data cannot be aggregated, then it may be considered confidential. 9 For the purposes of this paragraph an “adoption, amendment or revision to a milk class” means the creation of a new milk class, the removal of a milk class, and the amendment of the eligible goods in a milk class or how a milk class price is set. Amendments to how a milk class price is set means changes to the formula used to calculate a milk class price, the source of data used in the formula, the value of the assumed processor margin, or the value of the yield factor.</w:t>
      </w:r>
    </w:p>
    <w:p>
      <w:pPr>
        <w:pStyle w:val="Normal"/>
      </w:pPr>
      <w:r>
        <w:t>For greater certainty, “adoption, amendment, or revision to a milk class” does not include routine updates to a milk class price due to the input of updated data, and “amendment of the eligible goods” does not include changes that are clerical in nature. 3-A-10 (c) publish the final measure, and to the extent possible, allow for an interval between the publication of the final measure and its effective date. 13.</w:t>
      </w:r>
    </w:p>
    <w:p>
      <w:pPr>
        <w:pStyle w:val="Normal"/>
      </w:pPr>
      <w:r>
        <w:t>Further to paragraph 7, Canada shall make available to the United States data regarding Canada’s global exports of milk protein concentrates, skim milk powder, and infant formula, at the HS subheading level, on a monthly basis, and no later than 30 days after the close of each month. 14. Within 30 days of a request from the other Party, the Parties shall meet in a jointly agreed location, or by electronic means, to discuss any matter associated with the application of this Section. 15. Recognizing that new products and new consumer preferences may impact the demand for and exports of skim milk powder, milk protein concentrates, and infant formula, if the trade monitoring mechanism established in paragraphs 7 through 9 is unsatisfactory to either Party, the Parties shall, within 30 days of a written request of a Party, enter consultations to consider and, if appropriate, seek to amend the provisions of paragraphs 7 through 9 pursuant to Article 34.3 (Amendments). 16.</w:t>
      </w:r>
    </w:p>
    <w:p>
      <w:pPr>
        <w:pStyle w:val="Normal"/>
      </w:pPr>
      <w:r>
        <w:t xml:space="preserve">Five years after entry into force of this Agreement and every two years thereafter, Canada and the United States shall meet to consider whether conditions have changed such that this Article should be terminated or modified. Modifications, including termination, may be made at that time or at any other time by mutual consent of Canada and the United States.</w:t>
      </w:r>
    </w:p>
    <w:p>
      <w:pPr>
        <w:pStyle w:val="Heading2"/>
      </w:pPr>
      <w:bookmarkStart w:id="900096" w:name="_Toc300000095"/>
      <w:r>
        <w:t xml:space="preserve">Article 3.A.4: Grain</w:t>
      </w:r>
      <w:bookmarkEnd w:id="900096"/>
    </w:p>
    <w:p>
      <w:pPr>
        <w:pStyle w:val="Normal"/>
      </w:pPr>
      <w:r>
        <w:t xml:space="preserve">1.</w:t>
      </w:r>
    </w:p>
    <w:p>
      <w:pPr>
        <w:pStyle w:val="Normal"/>
      </w:pPr>
      <w:r>
        <w:t>Each Party shall accord to originating wheat imported from the territory of the other Party treatment no less favorable than that it accords to like wheat of domestic origin with respect to the assignment of quality grades, including by ensuring that any measure it adopts or maintains regarding the grading of wheat for quality, whether on a mandatory or voluntary basis, is applied to imported wheat on the basis of the same requirements as domestic wheat. 2. No Party shall require that a country of origin statement be issued on a quality grade certificate for originating wheat imported from the territory of the other Party, recognizing that phytosanitary or customs requirements may require such a statement. 3. At the request of the other Party, the Parties shall discuss issues related to the operation of a domestic grain grading or grain class system, including issues related to the seed regulatory system associated with the operation of any such system, through existing mechanisms. The Parties shall endeavor to share best practices with respect these issues, as appropriate. 4.</w:t>
      </w:r>
    </w:p>
    <w:p>
      <w:pPr>
        <w:pStyle w:val="Normal"/>
      </w:pPr>
      <w:r>
        <w:t xml:space="preserve">Canada shall exclude from the application of the Maximum Grain Revenue Entitlement, established under the Canada Transportation Act, or any modification, replacement, or 3-A-11 amendment thereof, movements of agricultural goods originating in Canada and shipped via west coast ports for consumption in the United States.</w:t>
      </w:r>
    </w:p>
    <w:p>
      <w:pPr>
        <w:pStyle w:val="Heading2"/>
      </w:pPr>
      <w:bookmarkStart w:id="900097" w:name="_Toc300000096"/>
      <w:r>
        <w:t xml:space="preserve">Article 3.A.5: Sugar and Sugar Containing Products</w:t>
      </w:r>
      <w:bookmarkEnd w:id="900097"/>
    </w:p>
    <w:p>
      <w:pPr>
        <w:pStyle w:val="Normal"/>
      </w:pPr>
      <w:r>
        <w:t xml:space="preserve">1.</w:t>
      </w:r>
    </w:p>
    <w:p>
      <w:pPr>
        <w:pStyle w:val="Normal"/>
      </w:pPr>
      <w:r>
        <w:t>For the purposes of paragraphs 2 through 5: “product of Canada” means a good that qualifies to be marked as a good of Canada pursuant to U.S. law10 without regard to whether the good is marked. 2. Consistent with Article XIII of the GATT 1994, the United States shall allocate to Canada: (a) a share of the in-quota quantity of its refined sugar TRQ11 of not less than 10,300 metric tons, raw value, for sugar that is a product of Canada; and (b) a share of the in-quota quantity of its SCP TRQ12 of not less than 59,250 metric tons for SCPs that are the product of Canada. 3. Further to paragraph 2, the United States shall permit access for sugar that is the product of Canada to any in-quota quantity of the refined sugar TRQ that is not allocated among supplying countries. The United States shall permit access to the unallocated amounts in a TRQ period without regard to whether the share allocated to Canada for that period has been filled. 4.</w:t>
      </w:r>
    </w:p>
    <w:p>
      <w:pPr>
        <w:pStyle w:val="Normal"/>
      </w:pPr>
      <w:r>
        <w:t>Further to paragraph 2, if the United States allocates the refined sugar TRQ reserved for specialty sugar, then the United States shall do so consistent with its WTO obligations and in consultation with Canada. 5.</w:t>
      </w:r>
    </w:p>
    <w:p>
      <w:pPr>
        <w:pStyle w:val="Normal"/>
      </w:pPr>
      <w:r>
        <w:t>Further to paragraph 2, if for any TRQ period Canada informs the United States that Canada will not supply the full amount of the share of SCP TRQ allocated to Canada pursuant to paragraph 2, then the United States shall transfer the quantity of the share that Canada will not supply to the quantity of SCP TRQ that is not allocated among supplying countries. The United States shall provide Canada reasonable advance notice of the date on which such a transfer will 10 Any change to U.S. regulations regarding the marking of refined sugar and sugar containing products shall be undertaken consistent with U.S. law, meaning that any proposed amendments or revisions will be published in the Federal Register normally allowing at least 60 days for public comment, including comments from Canada, and the United States shall take all public comments timely submitted into account before finalizing any new regulation. 11 The refined sugar TRQ of the United States is as provided for in Additional U.S.</w:t>
      </w:r>
    </w:p>
    <w:p>
      <w:pPr>
        <w:pStyle w:val="Normal"/>
      </w:pPr>
      <w:r>
        <w:t>Note 2 to chapter 17 of the Schedule of the United States annexed to the Marrakesh Protocol to the General Agreement on Tariffs and Trade 1994. 12 The SCP TRQ of the United States is as provided for in Additional U.S. Note 6 to chapter 17 of the Schedule of the United States annexed to the Marrakesh Protocol to the General Agreement on Tariffs and Trade 1994. 3-A-12 take effect.</w:t>
      </w:r>
    </w:p>
    <w:p>
      <w:pPr>
        <w:pStyle w:val="Normal"/>
      </w:pPr>
      <w:r>
        <w:t xml:space="preserve">Any transfer under this paragraph will not affect the amount of the share of the SCP TRQ allocated to Canada pursuant to paragraph 2 in subsequent TRQ periods.</w:t>
      </w:r>
    </w:p>
    <w:p>
      <w:pPr>
        <w:pStyle w:val="Heading2"/>
      </w:pPr>
      <w:bookmarkStart w:id="900098" w:name="_Toc300000097"/>
      <w:r>
        <w:t xml:space="preserve">Article 3.A.6: Other</w:t>
      </w:r>
      <w:bookmarkEnd w:id="900098"/>
    </w:p>
    <w:p>
      <w:pPr>
        <w:pStyle w:val="Normal"/>
      </w:pPr>
      <w:r>
        <w:t xml:space="preserve">1. Canada shall ensure that imports of dairy, poultry, or egg products eligible for Canada’s Duties Relief Program (DRP) and Import for Re-export Program (IREP) as of September 1, 2018, continue to be eligible for these programs, as well as any subsequent or successor programs to DRP and IREP, as long as Canada maintains such programs. 2. Notwithstanding the product specific rules of origin in Annex 4-B (Product Specific Rules of Origin), the rule of origin for a good traded between Canada and the United States in subheading 1517.10 shall allow that good to be originating if there is a change from heading 15.11 or any other chapter.</w:t>
      </w:r>
    </w:p>
    <w:p>
      <w:pPr>
        <w:pStyle w:val="Normal"/>
      </w:pPr>
      <w:r>
        <w:t>3-A-13 Appendix 1 01051121, 01051122, 01059491, 01059492, 01059911, 01059912, 02071191, 02071192, 02071291, 02071292, 02071391, 02071392, 02071393, 02071421, 02071422, 02071491, 02071492, 02071493, 02072411, 02072412, 02072491, 02072492, 02072511, 02072512, 02072591, 02072592, 02072610, 02072620, 02072630, 02072711, 02072712, 02072791, 02072792, 02072793, 02099010, 02099020, 02099030, 02099040, 02109911, 02109912, 02109913, 02109914, 02109915, 02109916, 04011010, 04011020, 04012010, 04012020, 04014010, 04014020, 04015010, 04015020, 04021010, 04021020, 04022111, 04022112, 04022121, 04022122, 04022911, 04022912, 04022921, 04022922, 04029110, 04029120, 04029910, 04029920, 04031010, 04031020, 04039011, 04039012, 04039091, 04039092, 04041021, 04041022, 04049010, 04049020, 04051010, 04051020, 04052010, 04052020, 04059010, 04059020, 04061010, 04061020, 04062011, 04062012, 04062091, 04062092, 04063010, 04063020, 04064010, 04064020, 04069011, 04069012, 04069021, 04069022, 04069031, 04069032, 04069041, 04069042, 04069051, 04069052, 04069061, 04069062, 04069071, 04069072, 04069081, 04069082, 04069091, 04069092, 04069093, 04069094, 04069095, 04069096, 04069098, 04069099, 04071111, 04071112, 04071191, 04071192, 04072110, 04072120, 04079011, 04079012, 04081110, 04081120, 04081910, 04081920, 04089110, 04089120, 04089910, 04089920, 15171020, 15179021, 15179022, 16010021, 16010022, 16010031, 16010032, 16022021, 16022022, 16022031, 16022032, 16023112, 16023113, 16023114, 16023193, 16023194,</w:t>
      </w:r>
    </w:p>
    <w:p>
      <w:pPr>
        <w:pStyle w:val="Normal"/>
      </w:pPr>
      <w:r>
        <w:t>16023195, 16023212, 16023213, 16023214, 16023293, 16023294, 16023295, 18062021, 18062022, 18069011, 18069012, 19012011, 19012012, 19012021, 19012022, 19019031, 19019032, 19019033, 19019034, 19019051, 19019052, 19019053, 19019054, 21050091, 21050092, 21069031, 21069032, 21069033, 21069034, 21069051, 21069052, 21069093, 21069094, 22029932, 22029933, 23099031, 23099032, 35021110, 35021120, 35021910, 35021920. 3-A-1-1 Appendix 2 04014005, 04014025, 04015005, 04015025, 04015075, 04015050, 04021010, 04021050, 04022105, 04022125, 04022130, 04022150, 04022175, 04022190, 04022910, 04022950, 04029110, 04029130, 04029170, 04029190, 04029910, 04029930, 04029945, 04029955, 04029970, 04029990, 04031010, 04031050, 04039004, 04039016, 04039041, 04039045, 04039051, 04039055, 04039061, 04039065, 04039074, 04039078, 04039090, 04039095, 04041011, 04041015, 04041050, 04041090, 04049030, 04049050, 04051010, 04051020, 04052020, 04052030, 04052060, 04052070, 04059010, 04059020, 04061004, 04061008, 04061014, 04061018, 04061024, 04061028, 04061034, 04061038, 04061044, 04061048, 04061054, 04061058, 04061064, 04061068, 04061074, 04061078, 04061084, 04061088, 04062024, 04062028, 04062031, 04062033, 04062036, 04062039, 04062044, 04062048, 04062051, 04062053, 04062061, 04062063, 04062065, 04062067, 04062069, 04062071, 04062073, 04062075, 04062077, 04062079, 04062081, 04062083, 04062085, 04062087, 04062089, 04062091, 04063014, 04063018, 04063024, 04063028, 04063034, 04063038, 04063044, 04063048, 04063051,</w:t>
      </w:r>
    </w:p>
    <w:p>
      <w:pPr>
        <w:pStyle w:val="Normal"/>
      </w:pPr>
      <w:r>
        <w:t>04063053, 04063061, 04063063, 04063065, 04063067, 04063069, 04063071, 04063073, 04063075, 04063077, 04063079, 04063081, 04063083, 04063085, 04063087, 04063089, 04063091, 04064054, 04064058, 04064070, 04069008, 04069012, 04069016, 04069018, 04069031, 04069032, 04069036, 04069037, 04069041, 04069042, 04069046, 04069048, 04069052, 04069054, 04069066, 04069068, 04069072, 04069074, 04069076, 04069078, 04069082, 04069084, 04069086, 04069088, 04069090, 04069092, 04069093, 04069094, 04069095, 04069097, 15179050, 15179060, 17011210, 17011250, 17011310, 17011350, 17011410, 17011450, 17019110, 17019130, 17019144, 17019148, 17019154, 17019158, 17019910, 17019950, 17022024, 17022028, 17023024, 17023028, 17024024, 17024028, 17026024, 17026028, 17029010, 17029020, 17029054, 17029058, 17029064, 17029068, 17049054, 17049058, 17049064, 17049068, 17049074, 17049078, 18061010, 18061015, 18061024, 18061028, 18061034, 18061038, 18061045, 18061055, 18061065, 18061075, 18062024, 18062026, 18062028, 18062034, 18062036, 18062038, 18062071, 18062073, 18062075, 18062077, 18062081, 18062082, 18062083, 18062085, 18062087, 18062089, 18062091, 18062094, 18062095, 18062098, 18063204, 18063206, 18063208, 18063214, 18063216, 18063218, 18063260, 18063270, 18063280, 18069005, 18069008, 18069010, 18069015, 18069018, 18069020, 18069025, 18069028, 18069030, 18069035, 18069039, 18069045, 18069049, 18069055, 18069059, 19011011, 19011016, 19011021, 19011026, 19011033, 19011036, 19011041, 19011044, 19011054, 19011056,</w:t>
      </w:r>
    </w:p>
    <w:p>
      <w:pPr>
        <w:pStyle w:val="Normal"/>
      </w:pPr>
      <w:r>
        <w:t>19011064, 19011066, 19011074, 19011076, 19012005, 19012015, 19012020, 19012025, 19012030, 19012035, 19012045, 19012050, 19012055, 19012060, 19012065, 19012070, 19019034, 19019036, 19019061, 19019062, 19019064, 19019065, 19019067, 19019068, 19019069, 19019071, 21011234, 21011238, 21011244, 21011248, 21011254, 3-A-2-1 21011258, 21012034, 21012038, 21012044, 21012048, 21012054, 21012058, 21039074, 21039078, 21050010, 21050020, 21050030, 21050040, 21069006, 21069009, 21069024, 21069026, 21069034, 21069036, 21069044, 21069046, 21069064, 21069066, 21069068, 21069072, 21069074, 21069076, 21069078, 21069080, 21069085, 21069087, 21069089, 21069091, 21069092, 21069094, 21069095, 21069097, 22029924, 22029928, 23099024, 23099028, 23099044, 23099048 3-A-2-2</w:t>
      </w:r>
    </w:p>
    <w:p>
      <w:pPr>
        <w:pStyle w:val="Heading2"/>
      </w:pPr>
      <w:bookmarkStart w:id="900099" w:name="_Toc300000098"/>
      <w:r>
        <w:t xml:space="preserve">ANNEX 3-B AGRICULTURAL TRADE BETWEEN MEXICO AND THE UNITED STATES</w:t>
      </w:r>
      <w:bookmarkEnd w:id="900099"/>
    </w:p>
    <w:p>
      <w:pPr>
        <w:pStyle w:val="Normal"/>
      </w:pPr>
      <w:r>
        <w:t xml:space="preserve">1. For the purposes of this Annex: qualifying good means an originating good that is an agricultural good, except that in determining whether the good is an originating good, operations performed in or materials obtained from Canada shall be considered as if they were performed in or obtained from a non- Party; sugar means raw or refined sugar derived directly or indirectly from sugar cane or sugar beets, including liquid refined sugar; sugar-containing product means a good containing sugar; sugar or syrup good means:</w:t>
      </w:r>
    </w:p>
    <w:p>
      <w:pPr>
        <w:pStyle w:val="Normal"/>
      </w:pPr>
      <w:r>
        <w:t>(a) for imports into Mexico, a good provided for in any of the current HS subheading 1701.91 (except those that contain added flavoring matter) and the current tariff items 1701.12.01, 1701.12.04, 1701.13.01, 1701.14.01, 1701.14.04, 1701.99.01, 1701.99.02, 1701.99.99, 1702.90.01, 1806.10.01, and 2106.90.05 of the General Import and Export Duty Act (“Ley de los Impuestos Generales de Importación y de Exportación”); and (b) for imports into the United States, a good provided for in any of the current tariff items 1701.12.05, 1701.12.10, 1701.12.50, 1701.13.05, 1701.13.10, 1701.13.20, 1701.13.50, 1701.14.05, 1701.14.10, 1701.14.20, 1701.14.50, 1701.91.05, 1701.91.10, 1701.91.30, 1701.99.05, 1701.99.10, 1701.99.50, 1702.90.05, 1702.90.10, 1702.90.20, 1702.90.35, 1702.90.40, 1702.90.52, 1702.90.54, 1702.90.58, 1702.90.64, 1702.90.68, 1702.90.90, 1806.10.43, 1806.10.45, 1806.10.55, 1806.10.65,</w:t>
      </w:r>
    </w:p>
    <w:p>
      <w:pPr>
        <w:pStyle w:val="Normal"/>
      </w:pPr>
      <w:r>
        <w:t>1806.10.75, and 2106.90.42, 2106.90.44, and 2106.90.46 of the U.S. Harmonized Tariff Schedule, without regard to the quantity imported; and Tariff rate quota (TRQ) means a mechanism that provides for the application of a customs duty at a certain rate to imports of a particular good up to a specific quantity (in-quota quantity), and at a different rate to imports of that good that exceed that quantity. 2. This Annex applies only as between Mexico and the United States. 3. With the exception of TRQs set out in its schedule to the WTO Agreement, Mexico shall ensure that the customs duty for any TRQ it maintains for sugar or syrup goods on a most 3-B-1 favored-nation (MFN) basis is not less than the prevailing MFN rate of the United States for the same sugar and syrup goods. 4.</w:t>
      </w:r>
    </w:p>
    <w:p>
      <w:pPr>
        <w:pStyle w:val="Normal"/>
      </w:pPr>
      <w:r>
        <w:t>Mexico shall not be required to apply the applicable preferential duty rate provided in this Agreement to a sugar or syrup good, or sugar-containing product, that is a qualifying good when the United States has granted or will grant benefits under any re-export program or any like program in connection with the export of the good, including a good covered in paragraph 6(f) of Article 2.5 (Drawback and Duty Deferral Programs). The United States shall notify Mexico in writing within two business days of any export to Mexico of a good for which the benefits of any re-export program or any other like program have been or will be claimed by the exporter. 5.</w:t>
      </w:r>
    </w:p>
    <w:p>
      <w:pPr>
        <w:pStyle w:val="Normal"/>
      </w:pPr>
      <w:r>
        <w:t>Notwithstanding Chapter 4 (Rules of Origin), or General Note 7 to the Tariff Schedule of the United States, for the purposes of applying the preferential duty rate provided in this Agreement to a good, the United States may consider a good not to be originating if it is provided for in U.S. tariff items 1702.90.05, 1702.90.10, 1702.90.20, 1702.90.35, 1702.90.40, 1702.90.52, 1702.90.54, 1702.90.58, 1702.90.64, 1702.90.68, 1702.90.90, 1806.10.43, 1806.10.45, 1806.10.55, 1806.10.65, 1806.10.75, 2106.90.42, 2106.90.44, or 2106.90.46 that is exported from the territory of Mexico, if any material provided for in HS subheading 1701.99 used in the production of that good is not a qualifying good. 6. Notwithstanding Chapter 4 (Rules of Origin) or General Note 4 to the Tariff Schedule of Mexico, for the purposes of applying the preferential duty rate provided in this Agreement to a good, Mexico may consider a good not to be originating if it is a good provided for in: Mexican tariff item 1702.90.01, 1702.90.99, 1806.10.01, or 2106.90.05 that is exported from the territory of the United States, if any material provided for in HS subheading 1701.99 used in the production of that good is not a qualifying good. 7.</w:t>
      </w:r>
    </w:p>
    <w:p>
      <w:pPr>
        <w:pStyle w:val="Normal"/>
      </w:pPr>
      <w:r>
        <w:t>Each Party shall ensure that any measure it adopts or maintains regarding the grading of agricultural goods for quality, whether on a mandatory or voluntary basis, shall be applicable to imported agricultural goods, on the basis of the same regulatory framework, including the same requirements and based on the same criteria as domestic agricultural goods. 8. A Party that provides for the assignment of grades shall ensure that the same quality grade certificate requiring the same information is used for domestic and imported like products. No Party shall require: (a) a country of origin statement on any quality grade certificate; or (b) that any quality grade certificate state that the agricultural good is foreign or domestic. 9. No Party shall make domestic registration of grain and oilseed varietals: (a) a requirement for importation; or 3-B-2 (b) a consideration in the assignment of quality grades or classes to imported grain and oilseed. 10.</w:t>
      </w:r>
    </w:p>
    <w:p>
      <w:pPr>
        <w:pStyle w:val="Normal"/>
      </w:pPr>
      <w:r>
        <w:t>Mexico and the United States shall establish a technical working group, which will be comprised of, and co-chaired by, representatives of the governments of Mexico and the United States. The technical working group shall meet on an annual basis, unless otherwise decided. The technical working group shall review matters related to agricultural grade and quality standards, technical specifications, and other standards in each Party and their application and implementation insofar as they affect trade between the Parties.</w:t>
      </w:r>
    </w:p>
    <w:p>
      <w:pPr>
        <w:pStyle w:val="Normal"/>
      </w:pPr>
      <w:r>
        <w:t>The technical working group shall work to resolve issues that may arise regarding the application and implementation of the standards, including when feasible and appropriate, considering joint mechanisms, such as training programs, or work plans for quality inspections at the point of origin to facilitate trade between the Parties. 11. Beginning on the date of entry into force of this Agreement, no Party may refund the amount of customs paid, or waive or reduce the amount of customs duties owed, on any agricultural good imported into its territory that is substituted for an identical or similar good that is subsequently exported to the territory of the other Party. 3-B-3</w:t>
      </w:r>
    </w:p>
    <w:p>
      <w:pPr>
        <w:pStyle w:val="Heading2"/>
      </w:pPr>
      <w:bookmarkStart w:id="900100" w:name="_Toc300000099"/>
      <w:r>
        <w:t xml:space="preserve">ANNEX 3-C DISTILLED SPIRITS, WINE, BEER, AND OTHER ALCOHOL BEVERAGES</w:t>
      </w:r>
      <w:bookmarkEnd w:id="900100"/>
    </w:p>
    <w:p>
      <w:pPr>
        <w:pStyle w:val="Heading2"/>
      </w:pPr>
      <w:bookmarkStart w:id="900101" w:name="_Toc300000100"/>
      <w:r>
        <w:t xml:space="preserve">Article 3.C.1: Internal Sale and Distribution of Distilled Spirits, Wine, Beer, or other Alcohol Beverages</w:t>
      </w:r>
      <w:bookmarkEnd w:id="900101"/>
    </w:p>
    <w:p>
      <w:pPr>
        <w:pStyle w:val="Normal"/>
      </w:pPr>
      <w:r>
        <w:t xml:space="preserve">1. For the purposes of this Article: commercial considerations means price, quality, availability, marketability, transportation, and other terms and conditions of purchase or sale, or other factors that would normally be taken into account in the commercial decisions of a privately owned enterprise in the relevant business or industry; distilled spirits include distilled spirits and distilled spirit containing beverages; and wine includes wine and wine-containing beverages. 2. This Article applies to a measure related to the internal sale and distribution of distilled spirits, wine, beer, or other alcohol beverages.13 3. Except as otherwise provided in this Article, Article 2.3 (National Treatment) shall not apply to: (a) a non-conforming provision of a measure related to wine or distilled spirits in existence on October 4, 1987;</w:t>
      </w:r>
    </w:p>
    <w:p>
      <w:pPr>
        <w:pStyle w:val="Normal"/>
      </w:pPr>
      <w:r>
        <w:t>(b) the continuation or prompt renewal of a non-conforming provision of a measure referred to in subparagraph (a); or (c) an amendment to a non-conforming provision of a measure referred to in subparagraph (a) to the extent that the amendment does not decrease its conformity with Article 2.3 (National Treatment). 4. A Party asserting that paragraph 3 applies to a measure shall have the burden of establishing that the measure meets the conditions set out in paragraph 3. 5.</w:t>
      </w:r>
    </w:p>
    <w:p>
      <w:pPr>
        <w:pStyle w:val="Normal"/>
      </w:pPr>
      <w:r>
        <w:t>Measures related to distribution of distilled spirits, wine, beer, or other alcohol beverages shall conform with Article 2.3 (National Treatment). 13 Paragraphs 3 and 4 of this Article do not apply to Mexico. 3-C-1 6. Notwithstanding paragraph 5, and provided that distribution measures otherwise ensure conformity with Article 2.3 (National Treatment), Canada may maintain a measure in existence on October 4, 1987, requiring private wine store outlets in existence on October 4, 1987, in the provinces of Ontario and British Columbia to discriminate in favor of wine of those provinces to a degree no greater than the discrimination required by that measure in existence on October 4, 1987. 7. Nothing in this Agreement shall prohibit the Province of Quebec from requiring that wine sold in grocery stores in Quebec be bottled in Quebec, provided that alternative outlets are provided in Quebec for the sale of wine of the other Parties, whether or not that wine is bottled in Quebec. 8.</w:t>
      </w:r>
    </w:p>
    <w:p>
      <w:pPr>
        <w:pStyle w:val="Normal"/>
      </w:pPr>
      <w:r>
        <w:t>If a Party requires that distilled spirits, wine, beer, or other alcohol beverages be listed to be distributed or sold in its territory, measures related to listing shall: (a) conform with Article 2.3 (National Treatment); (b) not create disguised barriers to trade; (c) be based on commercial considerations; and (d) be transparent, including providing transparent criteria for decisions regarding listing. 9.</w:t>
      </w:r>
    </w:p>
    <w:p>
      <w:pPr>
        <w:pStyle w:val="Normal"/>
      </w:pPr>
      <w:r>
        <w:t>If a Party requires that distilled spirits, wine, beer, or other alcohol beverages be listed to be distributed or sold in its territory, that Party shall, with regard to the decisions of the entity exercising governmental authority regarding the listing: (a) provide for a prompt decision on any listing application; (b) provide prompt written notification of decisions regarding a listing application to the applicant and, in the case of a negative decision, provide for a statement of the reason for refusal; and (c) establish administrative appeal procedures for listing decisions that provide for prompt, fair, and objective rulings. 10. If a distributor or retailer exercises governmental authority regarding internal sale or distribution of distilled spirits, wine, beer, or other alcohol beverages, any price mark-ups charged by that entity shall conform with Article 2.3 (National Treatment) and that entity shall accord treatment to distilled spirits, wine, beer, or other alcohol beverages of another Party no less favorable than the treatment accorded to a like product of another Party or a non-Party. 3-C-2 11.</w:t>
      </w:r>
    </w:p>
    <w:p>
      <w:pPr>
        <w:pStyle w:val="Normal"/>
      </w:pPr>
      <w:r>
        <w:t xml:space="preserve">If a distributor or retailer exercises governmental authority regarding internal sale or distribution of distilled spirits, wine, beer, or other alcohol beverages, that entity may charge the actual cost-of-service differential between distributing or selling distilled spirits, wine, beer, or other alcohol beverages of another Party and distributing or selling domestic or regional product. The cost-of-service shall be reasonable and commensurate with service. Any cost-of-service differential referred to above shall not exceed the actual amount by which the audited cost of service for the product of the exporting Party exceeds the audited cost of service for the product of the importing Party. 12. A Party may maintain or introduce a measure limiting on premise sales by a winery or distillery to those wines or distilled spirits produced on its premises. 13. No Party shall adopt or maintain a measure requiring that distilled spirits, wine, beer, or other alcohol beverages imported from another Party for bottling be blended with distilled spirits, wine, beer, or other alcohol beverages of the importing Party.</w:t>
      </w:r>
    </w:p>
    <w:p>
      <w:pPr>
        <w:pStyle w:val="Heading2"/>
      </w:pPr>
      <w:bookmarkStart w:id="900102" w:name="_Toc300000101"/>
      <w:r>
        <w:t xml:space="preserve">Article 3.C.2: Distinctive Products</w:t>
      </w:r>
      <w:bookmarkEnd w:id="900102"/>
    </w:p>
    <w:p>
      <w:pPr>
        <w:pStyle w:val="Normal"/>
      </w:pPr>
      <w:r>
        <w:t xml:space="preserve">1.</w:t>
      </w:r>
    </w:p>
    <w:p>
      <w:pPr>
        <w:pStyle w:val="Normal"/>
      </w:pPr>
      <w:r>
        <w:t>Canada and Mexico shall recognize Bourbon Whiskey and Tennessee Whiskey, which is a straight Bourbon Whiskey authorized to be produced only in the State of Tennessee, as distinctive products of the United States.</w:t>
      </w:r>
    </w:p>
    <w:p>
      <w:pPr>
        <w:pStyle w:val="Normal"/>
      </w:pPr>
      <w:r>
        <w:t xml:space="preserve">Accordingly, Canada and Mexico shall not permit the sale of any product as Bourbon Whiskey or Tennessee Whiskey, unless it has been manufactured in the United States in accordance with the laws and regulations of the United States governing the manufacture of Bourbon Whiskey and Tennessee Whiskey. 2. Mexico and the United States shall recognize Canadian Whisky as a distinctive product of Canada. Accordingly, Mexico and the United States shall not permit the sale of any product as Canadian Whisky, unless it has been manufactured in Canada in accordance with the laws and regulations of Canada governing the manufacture of Canadian Whisky for consumption in Canada. 3. Canada and the United States shall recognize Tequila and Mezcal as distinctive products of Mexico. Accordingly, Canada and the United States shall not permit the sale of any product as Tequila or Mezcal unless it has been manufactured in Mexico in accordance with the laws and regulations of Mexico governing the manufacture of Tequila and Mezcal.</w:t>
      </w:r>
    </w:p>
    <w:p>
      <w:pPr>
        <w:pStyle w:val="Heading2"/>
      </w:pPr>
      <w:bookmarkStart w:id="900103" w:name="_Toc300000102"/>
      <w:r>
        <w:t xml:space="preserve">Article 3.C.3: Wine and Distilled Spirits</w:t>
      </w:r>
      <w:bookmarkEnd w:id="900103"/>
    </w:p>
    <w:p>
      <w:pPr>
        <w:pStyle w:val="Normal"/>
      </w:pPr>
      <w:r>
        <w:t xml:space="preserve">1.</w:t>
      </w:r>
    </w:p>
    <w:p>
      <w:pPr>
        <w:pStyle w:val="Normal"/>
      </w:pPr>
      <w:r>
        <w:t>For the purposes of this Article and Article 3.C.4 (Other Provisions): container means a bottle, barrel, cask, or other closed receptacle, irrespective of size or of the material from which it is made, used for the retail sale of wine or distilled spirits;</w:t>
      </w:r>
    </w:p>
    <w:p>
      <w:pPr>
        <w:pStyle w:val="Normal"/>
      </w:pPr>
      <w:r>
        <w:t>3-C-3 distilled spirits means a potable alcoholic distillate including spirits made from wine, whiskey, rum, brandy, gin, tequila, mezcal, liqueurs, cordials, and vodka and dilutions or mixtures thereof for consumption; label means a brand, mark, pictorial, or other descriptive matter that is written, printed, stenciled, marked, embossed, or impressed on, or firmly affixed to a primary container of wine or distilled spirits; mandatory information means information required by a Party to appear on a wine or distilled spirits container, label, or packaging; oenological practices means winemaking materials, processes, treatments, and techniques, but does not include labeling, bottling, or packaging for final sale; single field of vision means a part of the surface of a primary container, excluding its base and cap, that can be seen without having to turn the container; and wine means a beverage that is produced by the complete or partial alcoholic fermentation exclusively of fresh grapes, grape must, or products derived from fresh grapes and as defined by each Party’s laws and regulations.14 2.</w:t>
      </w:r>
    </w:p>
    <w:p>
      <w:pPr>
        <w:pStyle w:val="Normal"/>
      </w:pPr>
      <w:r>
        <w:t>This Article shall apply to the preparation, adoption, and application of technical regulations, standards, and conformity assessment procedures adopted or maintained by each Party at the central level of government that may affect trade in wine and distilled spirits between the Parties, other than sanitary or phytosanitary measures or technical specifications prepared by a governmental body for production or consumption requirements of governmental bodies. 3. Each Party shall make its laws and regulations concerning wine and distilled spirits available online. 4. A Party may require that a wine or distilled spirits label be: (a) clear, specific, truthful, accurate, and not misleading to the consumer; (b) legible to the consumer; and (c) firmly affixed to the container if the label is not an integral part of the container. 5. Each Party shall permit mandatory information to be displayed on a supplementary label affixed to a distilled spirits container. Each Party shall permit those supplementary labels to be 14 For the United States, the alcohol content of wine must be not less than seven percent and not more than 24 percent.</w:t>
      </w:r>
    </w:p>
    <w:p>
      <w:pPr>
        <w:pStyle w:val="Normal"/>
      </w:pPr>
      <w:r>
        <w:t>3-C-4 affixed to an imported distilled spirits container after importation but prior to the product being offered for sale in the Party’s territory. A Party may require that the supplementary label be affixed prior to release from customs.</w:t>
      </w:r>
    </w:p>
    <w:p>
      <w:pPr>
        <w:pStyle w:val="Normal"/>
      </w:pPr>
      <w:r>
        <w:t>For greater certainty, a Party may require that the information indicated on a supplementary label meet the requirements in paragraph 4. 6. A Party may require that information indicated on a supplementary label affixed to a distilled spirits container or wine container not conflict with information on an existing label. 7. Each Party shall permit the alcoholic content by volume indicated on a wine or distilled spirits label to be expressed by alcohol by volume (alc/vol), for example 12% alc/vol or alc12%vol, and to be indicated in percentage terms to a maximum of one decimal point, for example 12.1%. 8. Each Party shall permit the use of the term “wine” as a product name. A Party may require a wine label to indicate the type, category, class, or classification of the wine. 9. With respect to wine labels, each Party shall permit the information set out in paragraphs 11(a) through (d) to be presented in a single field of vision for a container of wine.</w:t>
      </w:r>
    </w:p>
    <w:p>
      <w:pPr>
        <w:pStyle w:val="Normal"/>
      </w:pPr>
      <w:r>
        <w:t>If this information is presented in a single field of vision, then the Party’s requirements with respect to placement of this information are satisfied. A Party shall accept any of the information that appears outside a single field of vision if that information satisfies that Party’s laws, regulations, and requirements. 10.</w:t>
      </w:r>
    </w:p>
    <w:p>
      <w:pPr>
        <w:pStyle w:val="Normal"/>
      </w:pPr>
      <w:r>
        <w:t>Notwithstanding paragraph 9, a Party may require net contents to be displayed on the principal display panel for a subset of less commonly used container sizes if specifically required by that Party’s laws or regulations. 11. If a Party requires a wine label to indicate information other than: (a) product name; (b) country of origin; (c) net contents; or (d) alcohol content, it shall permit the information to be indicated on a supplementary label affixed to the wine container. A Party shall permit the supplementary label to be affixed to the container of the imported wine after importation but prior to the product being offered for sale in the Party’s territory, and may require that the supplementary label be affixed prior to release from customs. For greater certainty, a Party may require that information on a supplementary label meet the requirements set out in paragraph 4. 3-C-5 12.</w:t>
      </w:r>
    </w:p>
    <w:p>
      <w:pPr>
        <w:pStyle w:val="Normal"/>
      </w:pPr>
      <w:r>
        <w:t>If there is more than one label on a container of imported wine or distilled spirits, a Party may require that each label be visible and not obscure mandatory information on another label. 13. If a Party has more than one official language, it may require that information on a wine or distilled spirits label appear in equal prominence in each official language. 14.</w:t>
      </w:r>
    </w:p>
    <w:p>
      <w:pPr>
        <w:pStyle w:val="Normal"/>
      </w:pPr>
      <w:r>
        <w:t>Each Party shall permit placement of a lot identification code on a wine or distilled spirits container, if the code is clear, specific, truthful, accurate, and not misleading, and shall not impose requirements regarding: (a) where to place the lot identification code on the container, provided that the code does not cover up mandatory information printed on the label; and (b) the specific font size, readable phrasing, and formatting for the code, provided that the lot identification code is legible by physical means, and if permitted, by electronic means. 15. A Party may impose penalties for the removal or deliberate defacement of any lot identification code on the container. 16. No Party shall require a date mark on a wine or distilled spirits container, label, or packaging, including the following or iterations of the following: (a) date of production or manufacture; (b) use-by date (recommended last consumption date, expiration date); (c) date of minimum durability (best-before date), best quality before date; (d) sell-by date;</w:t>
      </w:r>
    </w:p>
    <w:p>
      <w:pPr>
        <w:pStyle w:val="Normal"/>
      </w:pPr>
      <w:r>
        <w:t>(e) date of packaging; or (f) date of bottling, except that a Party may require the display of a date of minimum durability or use-by date on products that could have a shorter date of minimum durability or expiration than would normally be expected by the consumer because of their packaging or container, for example, bag-in-box wines or individual serving size wines, or because of the addition of perishable ingredients. 17.</w:t>
      </w:r>
    </w:p>
    <w:p>
      <w:pPr>
        <w:pStyle w:val="Normal"/>
      </w:pPr>
      <w:r>
        <w:t>No Party shall require a wine or distilled spirits label or packaging to include translation of a trademark or brand name. A Party may require that a trademark or brand name not conflict with any mandatory information on the label. 3-C-6 18. No Party shall prevent imports of wine from other Parties on the basis that the wine label includes the following terms: chateau, classic, clos, cream, crusted, crusting, fine, late bottled vintage, noble, reserve, ruby, special reserve, solera, superior, sur lie, tawny, vintage, or vintage character.15 19. No Party shall require a wine label or packaging to disclose an oenological practice, except to meet a legitimate human health or safety objective with respect to that oenological practice. 20. Each Party shall permit wine to be labeled as Icewine, ice wine, ice-wine or a similar variation of those terms, only if the wine is made exclusively from grapes naturally frozen on the vine. 21.</w:t>
      </w:r>
    </w:p>
    <w:p>
      <w:pPr>
        <w:pStyle w:val="Normal"/>
      </w:pPr>
      <w:r>
        <w:t>Each Party shall endeavor to base its quality and identity requirements for any specific type, category, class, or classification of distilled spirits solely on minimum ethyl alcohol content and raw materials, added ingredients, and production procedures used to produce that specific type, category, class, or classification of distilled spirits. 22.</w:t>
      </w:r>
    </w:p>
    <w:p>
      <w:pPr>
        <w:pStyle w:val="Normal"/>
      </w:pPr>
      <w:r>
        <w:t>No importing Party shall require imported wine or distilled spirits to be certified by an official certification body of the Party in which territory the wine or distilled spirits were produced or by a certification body recognized by the Party in whose territory the wine or distilled spirits were produced regarding: (a) vintage, varietal, regional, or appellation of origin claims for wine; or (b) raw materials and production processes for distilled spirits, except that the importing Party may require: (i) that wine or distilled spirits be certified regarding subparagraph (a) or (b) if the Party in which territory the wine or distilled spirits were produced requires that certification, or (ii) that wine be certified regarding subparagraph (a) if the importing Party has a reasonable and legitimate concern about a vintage, varietal, regional, or appellation of origin claim for wine, or that distilled spirits be certified regarding subparagraph (b) if certification is necessary to verify claims such as age, origin, or standards of identity. 23.</w:t>
      </w:r>
    </w:p>
    <w:p>
      <w:pPr>
        <w:pStyle w:val="Normal"/>
      </w:pPr>
      <w:r>
        <w:t>A Party shall normally permit submission of any required certification (other than those required pursuant to paragraph 22 of this Article), test result, or sample only with the initial 15 Nothing in this paragraph shall be construed to require Canada to apply this paragraph in a manner inconsistent with its obligations under Article A(3) of Annex V of the EU-Canada Wine Agreement, as amended on September 21, 2017.</w:t>
      </w:r>
    </w:p>
    <w:p>
      <w:pPr>
        <w:pStyle w:val="Normal"/>
      </w:pPr>
      <w:r>
        <w:t>3-C-7 shipment of a particular brand, producer, and lot. If a Party requires submission of a sample of the product for the Party’s procedure to assess conformity with its technical regulation or standard, it shall not require a sample quantity larger than the minimum quantity necessary to complete the relevant conformity assessment procedure. Nothing in this provision precludes a Party from undertaking verification of test results or certification, for example, if the Party has information that a particular product may be non-compliant. 24. Each Party shall endeavor to assess the other Parties’ laws, regulations, and requirements in respect of oenological practices, with the aim of reaching agreements that provide for the Parties’ acceptance of each other’s mechanisms for regulating oenological practices, if appropriate. 25. If an importing Party requires certification for wine or distilled spirits from the Party in whose territory the wine or distilled spirits were produced, the importing Party shall not deny the certification on the basis that the certification was issued from a conformity assessment body accredited and approved by the Party in whose territory the wine or distilled spirits were produced. 26.</w:t>
      </w:r>
    </w:p>
    <w:p>
      <w:pPr>
        <w:pStyle w:val="Normal"/>
      </w:pPr>
      <w:r>
        <w:t xml:space="preserve">Each Party shall permit a wine or distilled spirits label to include: (a) statements regarding quality;16 (b) statements regarding production processes; and (c) drawings, figures, or illustrations, provided they are not false, misleading, obscene, or indecent, as defined in each Party’s law. 27. Nothing in paragraph 26 affects mandatory information requirements or a Party’s ability to enforce its intellectual property, health, or safety laws and regulations.</w:t>
      </w:r>
    </w:p>
    <w:p>
      <w:pPr>
        <w:pStyle w:val="Heading2"/>
      </w:pPr>
      <w:bookmarkStart w:id="900104" w:name="_Toc300000103"/>
      <w:r>
        <w:t xml:space="preserve">Article 3.C.4: Other Provisions</w:t>
      </w:r>
      <w:bookmarkEnd w:id="900104"/>
    </w:p>
    <w:p>
      <w:pPr>
        <w:pStyle w:val="Normal"/>
      </w:pPr>
      <w:r>
        <w:t xml:space="preserve">1. Unless urgent problems of human health or safety arise or threaten to arise, a Party shall normally allow a reasonable period of time, as determined by the authority responsible, following the date of entry into force of a measure before requiring wine or distilled spirits that were entered into commerce in the territory of that Party prior to that date of entry into force to comply with the measure in order to allow time for the sale of those products. 2.</w:t>
      </w:r>
    </w:p>
    <w:p>
      <w:pPr>
        <w:pStyle w:val="Normal"/>
      </w:pPr>
      <w:r>
        <w:t>For the purpose of paragraph 1, a “measure” means a technical regulation, standard, conformity assessment procedure, or sanitary or phytosanitary measure adopted by a Party at the 16 Statements regarding quality would include, for example, “premium” or “ultra premium.” 3-C-8 central level of government that may affect trade in wine and distilled spirits between the Parties, other than technical specifications prepared by a governmental body for production or consumption requirements of governmental bodies. 3.</w:t>
      </w:r>
    </w:p>
    <w:p>
      <w:pPr>
        <w:pStyle w:val="Normal"/>
      </w:pPr>
      <w:r>
        <w:t>If a Party imposes a mandatory food allergen labelling requirement at the central level of government for wine or distilled spirits, that Party shall: (a) not apply the requirement to wines and distilled spirits if no protein from a food allergen is present in the product; or (b) provide an exemption17 for food allergen sources that have been used in the production of the beverage if: (i) the finished product or class of products does not cause an allergic response that poses a risk to human health, or (ii) the finished product does not contain protein from a food allergen. For the purpose of this paragraph, “food allergen” means those food allergens that a Party requires to be declared on a wine or distilled spirits label. 4. Each Party shall apply a risk-based approach regarding whether to require, for wine, certificates of analysis for pathogenic microorganisms. In applying a risk-based approach, each Party shall take into account that wine is a microbiological low risk food product. 5.</w:t>
      </w:r>
    </w:p>
    <w:p>
      <w:pPr>
        <w:pStyle w:val="Normal"/>
      </w:pPr>
      <w:r>
        <w:t>If an authority at the central level of government deems that certification of wine is necessary to protect human health or safety or to achieve other legitimate objectives, that Party shall consider the use of the generic model official certificate in the Codex Alimentarius Guidelines for Design, Production, Issuance and Use of Generic Official Certificates (CAC/GL 38-2001), as amended, or the APEC model wine export certificate.</w:t>
      </w:r>
    </w:p>
    <w:p>
      <w:pPr>
        <w:pStyle w:val="Normal"/>
      </w:pPr>
      <w:r>
        <w:t>A Party requiring certification of wine shall ensure any certification requirements are transparent and non discriminatory. 6. The Committee on Agricultural Trade established in Article 3.7 (Committee on Agricultural Trade) shall provide a forum for the Parties to: (a) monitor and promote cooperation on the implementation and administration of this Annex; (b) if appropriate consult on matters and positions relevant to trade in alcohol beverages in international organizations; 17 For greater certainty, a Party may require the producer, bottler, or importer of the product to establish eligibility for an exemption from the Party’s allergen labeling requirement using a scientifically validated testing methodology. 3-C-9 (c) promote trade in alcohol beverages between the Parties under this Agreement; and (d) discuss any other matters related to this Annex. 3-C-10</w:t>
      </w:r>
    </w:p>
    <w:p>
      <w:pPr>
        <w:pStyle w:val="Heading2"/>
      </w:pPr>
      <w:bookmarkStart w:id="900105" w:name="_Toc300000104"/>
      <w:r>
        <w:t xml:space="preserve">ANNEX 3-D PROPRIETARY FORMULAS FOR PREPACKAGED FOODS AND FOOD ADDITIVES</w:t>
      </w:r>
      <w:bookmarkEnd w:id="900105"/>
    </w:p>
    <w:p>
      <w:pPr>
        <w:pStyle w:val="Normal"/>
      </w:pPr>
      <w:r>
        <w:t xml:space="preserve">1. This Annex applies to the preparation, adoption, and application of technical regulations and standards of central government bodies related to prepackaged foods and food additives, other than sanitary or phytosanitary measures or technical specifications prepared by a governmental body for production or consumption requirements of a governmental body. 2. For the purposes of this Annex, “food”, “food additive”, and “prepackaged” have the same meanings as set out in the Codex General Standard for the Labelling of Pre-Packaged Food (CODEX STAN 1-1985) and the Codex General Standard for the Labelling of Food Additives When Sold as Such (CODEX STAN 107-1981), as amended. 3. When requesting information relating to proprietary formulas for prepackaged foods or food additives, a Party shall: (a) ensure that its information requirements are limited to what is necessary to achieve its legitimate objective; and (b) protect the confidential information received about products originating in the territory of another Party in the same manner as for domestic products and in a manner that protects legitimate commercial interests. 4.</w:t>
      </w:r>
    </w:p>
    <w:p>
      <w:pPr>
        <w:pStyle w:val="Normal"/>
      </w:pPr>
      <w:r>
        <w:t>A Party may use confidential information it has obtained relating to proprietary formulas in administrative and judicial proceedings in accordance with its law, provided the Party maintains procedures to protect the confidentiality of the information in the course of those proceedings.</w:t>
      </w:r>
    </w:p>
    <w:p>
      <w:pPr>
        <w:pStyle w:val="Normal"/>
      </w:pPr>
      <w:r>
        <w:t>5. Nothing in paragraph 3 prevents a Party from requiring ingredients to be listed on labels consistent with CODEX STAN 1-1985 and CODEX STAN 107-1981, as they may be amended, except when those standards would be an ineffective or inappropriate means for the fulfilment of a legitimate objective. 3-D-1</w:t>
      </w:r>
    </w:p>
    <w:p>
      <w:pPr>
        <w:pStyle w:val="Normal"/>
      </w:pPr>
      <w:r>
        <w:t>4. A discriminatory listing, distribution, mark-up, retail-access, licensing, inspection, or equivalent sub-federal measure concerning alcoholic beverages is subject to Article 35.4A where its design or economic effect substitutes for a prohibited covered border measure. Differences in regulatory form are permitted where the burden is objectively equivalent, non-discriminatory, and reasonably necessary to achieve a legitimate regulatory objective.</w:t>
      </w:r>
    </w:p>
    <w:p>
      <w:pPr>
        <w:pStyle w:val="Heading1"/>
      </w:pPr>
      <w:bookmarkStart w:id="900106" w:name="_Toc300000105"/>
      <w:r>
        <w:t>CHAPTER 4 RULES OF ORIGIN</w:t>
      </w:r>
      <w:bookmarkEnd w:id="900106"/>
    </w:p>
    <w:p>
      <w:pPr>
        <w:pStyle w:val="Heading2"/>
      </w:pPr>
      <w:bookmarkStart w:id="900107" w:name="_Toc300000106"/>
      <w:r>
        <w:t xml:space="preserve">Article 4.1: Definitions</w:t>
      </w:r>
      <w:bookmarkEnd w:id="900107"/>
    </w:p>
    <w:p>
      <w:pPr>
        <w:pStyle w:val="Normal"/>
      </w:pPr>
      <w:r>
        <w:t xml:space="preserve">For the purposes of this Chapter: aquaculture means the farming of aquatic organisms, including fish, molluscs, crustaceans, other aquatic invertebrates and aquatic plants from seed stock such as eggs, fry, fingerlings, or larvae, by intervention in the rearing or growth processes to enhance production such as regular stocking, feeding, or protection from predators; fungible goods or fungible materials means goods or materials that are interchangeable for commercial purposes and the properties of which are essentially identical; indirect material means a material used in the production, testing, or inspection of a good but not physically incorporated into the good, or a material used in the maintenance of buildings or the operation of equipment associated with the production of a good, including: (a) fuel and energy; (b) tools, dies, and molds; (c) spare parts and materials used in the maintenance of equipment and buildings; (d) lubricants, greases, compounding materials, and other materials used in production or used to operate equipment and buildings; (e) gloves, glasses, footwear, clothing, safety equipment, and supplies;</w:t>
      </w:r>
    </w:p>
    <w:p>
      <w:pPr>
        <w:pStyle w:val="Normal"/>
      </w:pPr>
      <w:r>
        <w:t>(f) equipment, devices, and supplies used for testing or inspecting the goods; (g) catalysts and solvents; and (h) any other material that is not incorporated into the good but for which the use in the production of the good can reasonably be demonstrated to be a part of that production; intermediate material means a material</w:t>
      </w:r>
    </w:p>
    <w:p>
      <w:pPr>
        <w:pStyle w:val="Normal"/>
      </w:pPr>
      <w:r>
        <w:t>that is self-produced and used in the production of a good, and designated pursuant to Article 4.8 (Intermediate Materials); material means a good that is used in the production of another good, and includes a part or an ingredient; net cost means total cost minus sales promotion, marketing and after-sales service costs, royalties, shipping and packing costs, and non-allowable interest costs that are included in the total cost; net cost of a good means the net cost that can be reasonably allocated to a good using one of the methods set out in Article 4.5 (Regional Value Content); non-allowable interest costs means interest costs incurred by a producer that exceed 700 basis points above the applicable federal government interest rate identified in the Uniform Regulations for comparable maturities; non-originating good or non-originating material means a good or material that does not qualify as originating under this Chapter; originating good or originating material means a good or material that qualifies as originating under this Chapter;</w:t>
      </w:r>
    </w:p>
    <w:p>
      <w:pPr>
        <w:pStyle w:val="Normal"/>
      </w:pPr>
      <w:r>
        <w:t>packaging materials and containers means materials and containers in which a good is packaged for retail sale; packing materials and containers means materials and containers that are used to protect a good during transportation; producer means a person who engages in the production of a good; production means growing, cultivating, raising, mining, harvesting, fishing, trapping, hunting, capturing, breeding, extracting, manufacturing,</w:t>
      </w:r>
    </w:p>
    <w:p>
      <w:pPr>
        <w:pStyle w:val="Normal"/>
      </w:pPr>
      <w:r>
        <w:t>processing, or assembling a good, or aquaculture; reasonably allocate means to apportion in a manner appropriate to the circumstances; royalties means payments of any kind, including payments under technical assistance or similar agreements, made as consideration for the use or right to use a copyright, literary, artistic, or scientific work, patent, trademark, design, model, plan, or secret formula or process, excluding those payments under technical assistance or similar agreements that can be related to specific services such as: (a) personnel training, without regard to where the training is performed; or (b) if performed in the territory of one or more of the Parties, engineering, tooling, die-setting, software design and similar computer services, or other services; sales promotion, marketing, and after-sales service costs means the following costs related to sales promotion, marketing, and after-sales service:</w:t>
      </w:r>
    </w:p>
    <w:p>
      <w:pPr>
        <w:pStyle w:val="Normal"/>
      </w:pPr>
      <w:r>
        <w:t>(a) sales and marketing promotion; media advertising; advertising and market research; promotional and demonstration materials; exhibits; sales conferences, trade shows, and conventions; banners; marketing displays; free samples; sales, marketing, and after-sales service literature (product brochures, catalogs, technical literature, price lists, service manuals, or sales aid information); establishment and protection of logos and trademarks; sponsorships; wholesale and retail restocking charges; or entertainment; (b) sales and marketing incentives; consumer,</w:t>
      </w:r>
    </w:p>
    <w:p>
      <w:pPr>
        <w:pStyle w:val="Normal"/>
      </w:pPr>
      <w:r>
        <w:t>retailer, or wholesaler rebates; or merchandise incentives; (c) salaries and wages, sales commissions, bonuses, benefits (for example, medical, insurance, or pension), travelling and living expenses, or membership and professional fees for sales promotion, marketing and after-sales service personnel; (d) recruiting and training of sales promotion, marketing, and after-sales service personnel, and after-sales training of customers’ employees, if those costs are identified separately for sales promotion, marketing, and after-sales service of goods on the financial statements or cost accounts of the producer; (e) product liability insurance; (f) office supplies for sales promotion, marketing, and after-sales service of goods, if those costs are identified separately for sales promotion, marketing, and after- sales service of goods on the financial statements or cost accounts of the producer; (g) telephone, mail, and other communications, if those costs are identified separately for sales promotion, marketing, and after-sales service of goods on the financial statements or cost accounts of the producer; (h) rent and depreciation of sales promotion, marketing, and after-sales service offices, and distribution centers;</w:t>
      </w:r>
    </w:p>
    <w:p>
      <w:pPr>
        <w:pStyle w:val="Normal"/>
      </w:pPr>
      <w:r>
        <w:t>(i) property insurance premiums, taxes, cost of utilities, and repair and maintenance of sales promotion, marketing, and after-sales service offices and distribution centers, if those costs are identified separately for sales promotion, marketing, and after-sales</w:t>
      </w:r>
    </w:p>
    <w:p>
      <w:pPr>
        <w:pStyle w:val="Normal"/>
      </w:pPr>
      <w:r>
        <w:t>service of goods on the financial statements or cost accounts of the producer; and (j) payments by the producer to other persons for warranty repairs; self-produced material means a material that is produced by the producer of a good and used in the production of that good; shipping and packing costs means the costs incurred in packing a good for shipment and shipping the good from the point of direct shipment to the buyer, excluding costs of preparing and packaging the good for retail sale; total cost means all product costs, period costs, and other costs incurred in the territory of one or more of the Parties, where: (a) product costs are costs that are associated with the production of a good and include the value of materials, direct labor costs, and direct overheads; (b) period costs are costs, other than product costs, that are expensed in the period in which they are incurred, such as selling expenses and general and administrative expenses; and (c) other costs are all costs recorded on the books of the producer that are not product costs or period costs, such as interest.</w:t>
      </w:r>
    </w:p>
    <w:p>
      <w:pPr>
        <w:pStyle w:val="Normal"/>
      </w:pPr>
      <w:r>
        <w:t>Total cost does not include profits that are earned by the producer, regardless of whether they are retained by the producer or paid out to other persons as dividends, or taxes paid on those profits, including capital gains taxes; transaction value means the customs value as determined in accordance with the Customs Valuation Agreement, that is, the price actually paid or payable for a good or material with respect to a transaction of, except for the application of Articles 10.3(a) in the Appendix to Annex 4-B (Product-Specific Rules of Origin), the producer of the good, adjusted in accordance with the principles of Articles 8(1), 8(3), and 8(4) of the Customs Valuation Agreement, regardless of whether the good or material is sold for export; used means used or consumed in the production of goods; and value means value of a good or material for purposes of calculating customs duties or for the purposes of applying this Chapter.</w:t>
      </w:r>
    </w:p>
    <w:p>
      <w:pPr>
        <w:pStyle w:val="Heading2"/>
      </w:pPr>
      <w:bookmarkStart w:id="900108" w:name="_Toc300000107"/>
      <w:r>
        <w:t xml:space="preserve">Article 4.2: Originating Goods</w:t>
      </w:r>
      <w:bookmarkEnd w:id="900108"/>
    </w:p>
    <w:p>
      <w:pPr>
        <w:pStyle w:val="Normal"/>
      </w:pPr>
      <w:r>
        <w:t xml:space="preserve">Except as otherwise provided in this Chapter, each Party shall provide that a good is originating if it is: (a) wholly obtained or produced entirely in the territory of one or more of the Parties, as defined in Article 4.3 (Wholly Obtained or Produced Goods); (b) produced entirely in the territory of one or more of the Parties using non- originating materials provided the good satisfies all applicable requirements of Annex 4-B (Product-Specific Rules of Origin); (c) produced entirely in the territory of one or more of the Parties exclusively from originating materials; or (d) except for a good provided for in Chapter 61 to 63 of the Harmonized System: (i) produced entirely in the territory of one or more of the Parties;</w:t>
      </w:r>
    </w:p>
    <w:p>
      <w:pPr>
        <w:pStyle w:val="Normal"/>
      </w:pPr>
      <w:r>
        <w:t>(ii) one or more of the non-originating materials provided for as parts under the Harmonized System used in the production of the good cannot satisfy the requirements set out in Annex 4-B (Product-Specific Rules of Origin) because both the good and its materials are classified in the same subheading or same heading that is not further subdivided into subheadings or, the good was imported into the territory of a Party in an unassembled or a disassembled form but was classified as an assembled good pursuant to rule 2(a) of the General Rules of Interpretation of the Harmonized System; and (iii) the regional value content of the good, determined in accordance with Article 4.5 (Regional Value Content), is not less than 60 percent if</w:t>
      </w:r>
    </w:p>
    <w:p>
      <w:pPr>
        <w:pStyle w:val="Normal"/>
      </w:pPr>
      <w:r>
        <w:t>the transaction value method is used, or not less than 50 percent if the net cost method is used; and the good satisfies all other applicable requirements of this Chapter.</w:t>
      </w:r>
    </w:p>
    <w:p>
      <w:pPr>
        <w:pStyle w:val="Heading2"/>
      </w:pPr>
      <w:bookmarkStart w:id="900109" w:name="_Toc300000108"/>
      <w:r>
        <w:t xml:space="preserve">Article 4.3: Wholly Obtained or Produced Goods</w:t>
      </w:r>
      <w:bookmarkEnd w:id="900109"/>
    </w:p>
    <w:p>
      <w:pPr>
        <w:pStyle w:val="Normal"/>
      </w:pPr>
      <w:r>
        <w:t xml:space="preserve">Each Party shall provide that, for the purposes of Article 4.2 (Originating Goods), a good is wholly obtained or produced entirely in the territory of one or more of the Parties if it is: (a) a mineral good or other naturally occurring substance extracted or taken from there; (b) a plant, plant good, vegetable, or fungus, grown, cultivated, harvested, picked, or gathered there; (c) a live animal born and raised there; (d) a good obtained from a live animal there; (e) an animal obtained by hunting, trapping, fishing, gathering, or capturing there; (f) a good obtained from aquaculture there; (g) fish, shellfish, or other marine life taken from the sea, seabed or subsoil outside the territories of the Parties and, under international law, outside the territorial sea of non-Parties, by vessels that are registered, listed, or recorded with a Party and entitled to fly the flag of that Party;</w:t>
      </w:r>
    </w:p>
    <w:p>
      <w:pPr>
        <w:pStyle w:val="Normal"/>
      </w:pPr>
      <w:r>
        <w:t>(h) a good produced from goods referred to in subparagraph (g) on board a factory ship that is registered, listed, or recorded with a Party and entitled to fly the flag of that Party; (i) a good other than fish, shellfish, and other marine life taken by a Party or a person of a Party from the seabed or subsoil outside the territories of the Parties, provided that Party has the right to exploit that seabed or subsoil; (j) waste and scrap derived from: (i) production there, or (ii) used goods collected there, provided the goods are fit only for the</w:t>
      </w:r>
    </w:p>
    <w:p>
      <w:pPr>
        <w:pStyle w:val="Normal"/>
      </w:pPr>
      <w:r>
        <w:t>recovery of raw materials; and (k) a good produced there, exclusively from goods referred to in subparagraphs (a) through (j), or from their derivatives, at any stage of production.</w:t>
      </w:r>
    </w:p>
    <w:p>
      <w:pPr>
        <w:pStyle w:val="Heading2"/>
      </w:pPr>
      <w:bookmarkStart w:id="900110" w:name="_Toc300000109"/>
      <w:r>
        <w:t xml:space="preserve">Article 4.4: Treatment of Recovered Materials Used in the Production of a Remanufactured Good</w:t>
      </w:r>
      <w:bookmarkEnd w:id="900110"/>
    </w:p>
    <w:p>
      <w:pPr>
        <w:pStyle w:val="Normal"/>
      </w:pPr>
      <w:r>
        <w:t xml:space="preserve">1. Each Party shall provide that a recovered material derived in the territory of one or more of the Parties is treated as originating when it is used in the production of, and incorporated into, a remanufactured good. 2. For greater certainty: (a) a remanufactured good is originating only if it satisfies the applicable requirements of Article 4.2 (Originating Goods); and (b) a recovered material that is not used or incorporated in the production of a remanufactured good is originating only if it satisfies the applicable requirements of Article 4.2 (Originating Goods).</w:t>
      </w:r>
    </w:p>
    <w:p>
      <w:pPr>
        <w:pStyle w:val="Heading2"/>
      </w:pPr>
      <w:bookmarkStart w:id="900111" w:name="_Toc300000110"/>
      <w:r>
        <w:t xml:space="preserve">Article 4.5: Regional Value Content</w:t>
      </w:r>
      <w:bookmarkEnd w:id="900111"/>
    </w:p>
    <w:p>
      <w:pPr>
        <w:pStyle w:val="Normal"/>
      </w:pPr>
      <w:r>
        <w:t xml:space="preserve">1. Except as provided in paragraph 6, each Party shall provide that the regional value content of a good shall be calculated, at the choice of the importer, exporter, or producer of the good, on the basis of either the transaction value method set out in paragraph 2 or the net cost method set out in paragraph 3. 2. Each Party shall provide that an importer, exporter, or producer may calculate the regional value content of a good on the basis of the following transaction value method: RVC = (TV-VNM)/TV x 100 where RVC is the regional value content, expressed as a percentage; TV is the transaction value of the good, adjusted to exclude any costs incurred in the international shipment of the good; and VNM is the value of non-originating materials including materials of undetermined origin used by the producer in the production of the good. 3.</w:t>
      </w:r>
    </w:p>
    <w:p>
      <w:pPr>
        <w:pStyle w:val="Normal"/>
      </w:pPr>
      <w:r>
        <w:t>Each Party shall provide that an importer, exporter, or producer may calculate the regional value content of a good on the basis of the following net cost method: RVC = (NC-VNM)/NC x 100 where RVC is the regional value content, expressed as a percentage; NC is the net cost of the good; and VNM is the value of non-originating materials including materials of undetermined origin used by the producer in the production of the good. 4.</w:t>
      </w:r>
    </w:p>
    <w:p>
      <w:pPr>
        <w:pStyle w:val="Normal"/>
      </w:pPr>
      <w:r>
        <w:t>Each Party shall provide that the value of non-originating materials used by the producer in the production of a good shall not, for the purposes of calculating the regional value content of the good under paragraph 2 or 3, include the value of non-originating materials used to produce originating materials that are subsequently used in the production of the good. 5. Each Party shall provide that if a non-originating material is used in the production of a good, the following may be counted as originating content for the purpose of determining whether the good meets a regional value content requirement: (a) the value of processing of the non-originating materials undertaken in the territory of one or more of the Parties; and (b) the value of any originating material used in the production of the non-originating material undertaken in the territory of one or more of the Parties. 6.</w:t>
      </w:r>
    </w:p>
    <w:p>
      <w:pPr>
        <w:pStyle w:val="Normal"/>
      </w:pPr>
      <w:r>
        <w:t>Each Party shall provide that an importer, exporter, or producer shall calculate the regional value content of a good solely on the basis of the net cost method set out in paragraph 3 if the rule under the Annex 4-B (Product-Specific Rules of Origin) does not provide a rule based on the transaction value method. 7.</w:t>
      </w:r>
    </w:p>
    <w:p>
      <w:pPr>
        <w:pStyle w:val="Normal"/>
      </w:pPr>
      <w:r>
        <w:t>If an importer, exporter, or producer of a good calculates the regional value content of the good on the basis of the transaction value method set out in paragraph 2 and a Party subsequently notifies the importer, exporter, or producer, during the course of a verification pursuant to Chapter 5 (Origin Procedures) that the transaction value of the good, or the value of material used in the production of the good, is required to be adjusted or is unacceptable under Article 1 of the Customs Valuation Agreement, the exporter, producer, or importer may then also calculate the regional value content of the good on the basis of the net cost method set out in paragraph 3. 8. For the purposes of calculating the net cost of a good under paragraph 3, the producer of the good may:</w:t>
      </w:r>
    </w:p>
    <w:p>
      <w:pPr>
        <w:pStyle w:val="Normal"/>
      </w:pPr>
      <w:r>
        <w:t>(a) calculate the total cost incurred with respect to all goods produced by that producer, subtract any sales promotion, marketing, and after-sales service costs, royalties, shipping and packing costs, and non-allowable interest costs that are included in the total cost of all those goods, and then reasonably allocate the resulting net cost of those goods to the good; (b) calculate the total cost incurred with respect to all goods produced by that producer, reasonably allocate the total cost to the good, and then subtract any sales promotion, marketing, and after-sales service costs, royalties, shipping and packing costs, and non-allowable interest costs that are included in the portion of the total cost</w:t>
      </w:r>
    </w:p>
    <w:p>
      <w:pPr>
        <w:pStyle w:val="Normal"/>
      </w:pPr>
      <w:r>
        <w:t>allocated to the good; or (c) reasonably allocate each cost that forms part of the total cost incurred with respect to the good so that the aggregate of these costs does not include any sales promotion, marketing, and after-sales service costs, royalties, shipping and packing costs, and non-allowable interest costs, provided that the allocation of all those costs is consistent with the provisions regarding the reasonable allocation of costs set out in the Uniform Regulations.</w:t>
      </w:r>
    </w:p>
    <w:p>
      <w:pPr>
        <w:pStyle w:val="Heading2"/>
      </w:pPr>
      <w:bookmarkStart w:id="900112" w:name="_Toc300000111"/>
      <w:r>
        <w:t xml:space="preserve">Article 4.6: Value of Materials Used in Production</w:t>
      </w:r>
      <w:bookmarkEnd w:id="900112"/>
    </w:p>
    <w:p>
      <w:pPr>
        <w:pStyle w:val="Normal"/>
      </w:pPr>
      <w:r>
        <w:t xml:space="preserve">Each Party shall provide that, for the purposes of this Chapter, the value of a material is: (a) for a material imported by the producer of the good, the transaction value of the material at the time of importation, including the costs incurred in the international shipment of the material; (b) for a material acquired in the territory where the good is produced: (i) the price paid or payable by the producer in the Party where the producer is located, (ii) the value as determined for an imported material in subparagraph (a), or (iii) the earliest ascertainable price paid or payable in the territory of the Party; or (c) for a material that is self-produced: (i) all the costs incurred in the production of the material, which includes general expenses, and (ii) an amount equivalent to the profit added in the normal course of trade, or equal to the profit that is usually reflected in the sale of goods of the same class or kind as the self-produced material that is being valued.</w:t>
      </w:r>
    </w:p>
    <w:p>
      <w:pPr>
        <w:pStyle w:val="Heading2"/>
      </w:pPr>
      <w:bookmarkStart w:id="900113" w:name="_Toc300000112"/>
      <w:r>
        <w:t xml:space="preserve">Article 4.7: Further Adjustments to the Value of Materials</w:t>
      </w:r>
      <w:bookmarkEnd w:id="900113"/>
    </w:p>
    <w:p>
      <w:pPr>
        <w:pStyle w:val="Normal"/>
      </w:pPr>
      <w:r>
        <w:t xml:space="preserve">1. Each Party shall provide that for a non-originating material or material of undetermined origin, the following expenses may be deducted from the value of the material: (a) the costs of freight, insurance, packing, and all other costs incurred in transporting the material to the location of the producer of the good; (b) duties, taxes, and customs brokerage fees on the material paid in the territory of one or more of the Parties, other than duties and taxes that are waived, refunded, refundable, or otherwise recoverable, which include credit against duty or tax paid or payable; and (c) the cost of waste and spoilage resulting from the use of the material in the production of the good, less the value of reusable scrap or by-product. 2. If the cost or expense listed in paragraph 1 is unknown or documentary evidence of the amount of the adjustment is not available, then no adjustment is allowed for that particular cost.</w:t>
      </w:r>
    </w:p>
    <w:p>
      <w:pPr>
        <w:pStyle w:val="Heading2"/>
      </w:pPr>
      <w:bookmarkStart w:id="900114" w:name="_Toc300000113"/>
      <w:r>
        <w:t xml:space="preserve">Article 4.8: Intermediate Materials</w:t>
      </w:r>
      <w:bookmarkEnd w:id="900114"/>
    </w:p>
    <w:p>
      <w:pPr>
        <w:pStyle w:val="Normal"/>
      </w:pPr>
      <w:r>
        <w:t xml:space="preserve">Each Party shall provide that any self-produced material, other than a component identified in Table G of that Appendix, that is used in the production of a good may be designated by the producer of the good as an intermediate material for the purpose of calculating the regional value content of the good under paragraph 2 or 3 of Article 4.5 (Regional Value Content), provided that if the intermediate material is subject to a regional value content requirement, no other self-produced material subject to a regional value content requirement used in the production of that intermediate material may itself be designated by the producer as an intermediate material.</w:t>
      </w:r>
    </w:p>
    <w:p>
      <w:pPr>
        <w:pStyle w:val="Heading2"/>
      </w:pPr>
      <w:bookmarkStart w:id="900115" w:name="_Toc300000114"/>
      <w:r>
        <w:t>Article 4.9: Indirect Materials</w:t>
      </w:r>
      <w:bookmarkEnd w:id="900115"/>
    </w:p>
    <w:p>
      <w:pPr>
        <w:pStyle w:val="Normal"/>
      </w:pPr>
      <w:r>
        <w:t>An indirect material shall be considered to be an originating material without regard to where it is produced.</w:t>
      </w:r>
    </w:p>
    <w:p>
      <w:pPr>
        <w:pStyle w:val="Heading2"/>
      </w:pPr>
      <w:bookmarkStart w:id="900116" w:name="_Toc300000115"/>
      <w:r>
        <w:t>Article 4.10: Automotive Goods</w:t>
      </w:r>
      <w:bookmarkEnd w:id="900116"/>
    </w:p>
    <w:p>
      <w:pPr>
        <w:pStyle w:val="Normal"/>
      </w:pPr>
      <w:r>
        <w:t>The Appendix to Annex 4-B (Product-Specific Rules of Origin) includes additional provisions that apply to automotive goods.</w:t>
      </w:r>
    </w:p>
    <w:p>
      <w:pPr>
        <w:pStyle w:val="Heading2"/>
      </w:pPr>
      <w:bookmarkStart w:id="900117" w:name="_Toc300000116"/>
      <w:r>
        <w:t xml:space="preserve">Article 4.11: Accumulation</w:t>
      </w:r>
      <w:bookmarkEnd w:id="900117"/>
    </w:p>
    <w:p>
      <w:pPr>
        <w:pStyle w:val="Normal"/>
      </w:pPr>
      <w:r>
        <w:t xml:space="preserve">1. Each Party shall provide that a good is originating if the good is produced in the territory of one or more of the Parties by one or more producers, provided that the good satisfies the requirements of Article 4.2 (Originating Goods) and all other applicable requirements in this Chapter. 2. Each Party shall provide that an originating good or material of one or more of the Parties is considered as originating in the territory of another Party when used as a material in the production of a good in the territory of another Party. 3. Each Party shall provide that production undertaken on a non-originating material in the territory of one or more of the Parties may contribute toward the originating status of a good, regardless of whether that production was sufficient to confer originating status to the material itself.</w:t>
      </w:r>
    </w:p>
    <w:p>
      <w:pPr>
        <w:pStyle w:val="Heading2"/>
      </w:pPr>
      <w:bookmarkStart w:id="900118" w:name="_Toc300000117"/>
      <w:r>
        <w:t xml:space="preserve">Article 4.12: De Minimis</w:t>
      </w:r>
      <w:bookmarkEnd w:id="900118"/>
    </w:p>
    <w:p>
      <w:pPr>
        <w:pStyle w:val="Normal"/>
      </w:pPr>
      <w:r>
        <w:t xml:space="preserve">1. Except as provided in Annex 4-A (Exceptions to Article 4.12 (De Minimis)), each Party shall provide that a good is an originating good if the value of all non-originating materials used in the production of the good that do not undergo an applicable change in tariff classification set out in Annex 4-B (Product- Specific Rules of Origin) is not more than 10 percent: (a) of the transaction value of the good adjusted to exclude any costs incurred in the international shipment of the good; or (b) of the total cost of the good, provided that the good satisfies all other applicable requirements of this Chapter. 2. If a good described in paragraph 1 is also subject to a regional value content requirement, the value of those non-originating materials shall be included in the value of non-originating materials for the applicable regional value content requirement. 3.</w:t>
      </w:r>
    </w:p>
    <w:p>
      <w:pPr>
        <w:pStyle w:val="Normal"/>
      </w:pPr>
      <w:r>
        <w:t>A good that is otherwise subject to a regional value content requirement shall not be required to satisfy the requirement if the value of all non-originating materials used in the production of the good is not more than 10 percent of the transaction value of the good, adjusted to exclude any costs incurred in the international shipment of the good, or the total cost of the good, provided that the good satisfies all other applicable requirements of this Chapter. 4.</w:t>
      </w:r>
    </w:p>
    <w:p>
      <w:pPr>
        <w:pStyle w:val="Normal"/>
      </w:pPr>
      <w:r>
        <w:t>With respect to a textile or apparel good, Articles 6.1.2 and 6.1.3 (Rules of Origin and Related Matters) apply in place of paragraph 1.</w:t>
      </w:r>
    </w:p>
    <w:p>
      <w:pPr>
        <w:pStyle w:val="Heading2"/>
      </w:pPr>
      <w:bookmarkStart w:id="900119" w:name="_Toc300000118"/>
      <w:r>
        <w:t xml:space="preserve">Article 4.13: Fungible Goods and Materials</w:t>
      </w:r>
      <w:bookmarkEnd w:id="900119"/>
    </w:p>
    <w:p>
      <w:pPr>
        <w:pStyle w:val="Normal"/>
      </w:pPr>
      <w:r>
        <w:t xml:space="preserve">1. Each Party shall provide that a fungible material or good is originating if: (a) when originating and non-originating fungible materials are used in the production of a good, the determination of whether the materials are originating is made on the basis of an inventory management method recognized in the Generally Accepted Accounting Principles of, or otherwise accepted by, the Party in which the production is performed; or (b) when originating and non-originating fungible goods are commingled and exported in the same form, the determination of whether the goods are originating is made on the basis of an inventory management method recognized in the Generally Accepted Accounting Principles of, or otherwise accepted by, the Party from which the good is exported. 2. The inventory management method selected under paragraph 1 must be used throughout the fiscal year of the producer or the person that selected the inventory management method. 3. For greater certainty, an importer may claim that a fungible material or good is originating if the importer, producer, or exporter has physically segregated each fungible material or good as to allow their specific identification.</w:t>
      </w:r>
    </w:p>
    <w:p>
      <w:pPr>
        <w:pStyle w:val="Heading2"/>
      </w:pPr>
      <w:bookmarkStart w:id="900120" w:name="_Toc300000119"/>
      <w:r>
        <w:t xml:space="preserve">Article 4.14: Accessories, Spare Parts, Tools, or Instructional or Other Information Materials</w:t>
      </w:r>
      <w:bookmarkEnd w:id="900120"/>
    </w:p>
    <w:p>
      <w:pPr>
        <w:pStyle w:val="Normal"/>
      </w:pPr>
      <w:r>
        <w:t xml:space="preserve">1. Each Party shall provide that: (a) in determining whether a good is wholly obtained, or satisfies a process or change in tariff classification requirement as set out in Annex 4-B (Product-Specific Rules of Origin), accessories, spare parts, tools, or instructional or other information materials as described in paragraph 3, are to be disregarded; and (b) in determining whether a good meets a regional value content requirement, the value of the accessories, spare parts, tools, or instructional or other information materials, as described in paragraph 3, are to be taken into account as originating or non-originating materials, as the case may be, in calculating the regional value content of the good. 2. Each Party shall provide that a good’s accessories, spare parts, tools, or instructional or other information materials, as described in paragraph 3, have the originating status of the good with which they are delivered. 3. For the purposes of this Article, accessories, spare parts, tools, or instructional or other information materials are covered when:</w:t>
      </w:r>
    </w:p>
    <w:p>
      <w:pPr>
        <w:pStyle w:val="Normal"/>
      </w:pPr>
      <w:r>
        <w:t>(a) the accessories, spare parts, tools, or instructional or other information materials are classified with, delivered with, but not invoiced separately from the good; and (b) the types, quantities, and value of the accessories, spare parts, tools, or instructional or other information materials are customary for that good.</w:t>
      </w:r>
    </w:p>
    <w:p>
      <w:pPr>
        <w:pStyle w:val="Heading2"/>
      </w:pPr>
      <w:bookmarkStart w:id="900121" w:name="_Toc300000120"/>
      <w:r>
        <w:t xml:space="preserve">Article 4.15: Packaging Materials and Containers for Retail Sale</w:t>
      </w:r>
      <w:bookmarkEnd w:id="900121"/>
    </w:p>
    <w:p>
      <w:pPr>
        <w:pStyle w:val="Normal"/>
      </w:pPr>
      <w:r>
        <w:t xml:space="preserve">1. Each Party shall provide that packaging materials and containers in which a good is packaged for retail sale, if classified with the good, are disregarded in determining whether all the non-originating materials used in the production of the good have satisfied the applicable process or change in tariff classification requirement set out in Annex 4-B (Product-Specific Rules of Origin) or whether the good is wholly obtained or produced. 2. Each Party shall provide that if a good is subject to a regional value content requirement, the value of the packaging materials and containers in which the good is packaged for retail sale, if classified with the good, are taken into account as originating or non-originating, as the case may be, in calculating the regional value content of the good.</w:t>
      </w:r>
    </w:p>
    <w:p>
      <w:pPr>
        <w:pStyle w:val="Heading2"/>
      </w:pPr>
      <w:bookmarkStart w:id="900122" w:name="_Toc300000121"/>
      <w:r>
        <w:t xml:space="preserve">Article 4.16: Packing Materials and Containers for Shipment</w:t>
      </w:r>
      <w:bookmarkEnd w:id="900122"/>
    </w:p>
    <w:p>
      <w:pPr>
        <w:pStyle w:val="Normal"/>
      </w:pPr>
      <w:r>
        <w:t xml:space="preserve">Each Party shall provide that packing materials and containers for shipment are disregarded in determining whether a good is originating.</w:t>
      </w:r>
    </w:p>
    <w:p>
      <w:pPr>
        <w:pStyle w:val="Heading2"/>
      </w:pPr>
      <w:bookmarkStart w:id="900123" w:name="_Toc300000122"/>
      <w:r>
        <w:t xml:space="preserve">Article 4.17: Sets of Goods, Kits or Composite Goods</w:t>
      </w:r>
      <w:bookmarkEnd w:id="900123"/>
    </w:p>
    <w:p>
      <w:pPr>
        <w:pStyle w:val="Normal"/>
      </w:pPr>
      <w:r>
        <w:t xml:space="preserve">1. Except as provided in Annex 4-B (Product-Specific Rules of Origin), each Party shall provide that for a set classified as a result of the application of rule 3 of the General Rules for the Interpretation of the Harmonized System, the set is originating only if each good in the set is originating and both the set and the goods meet the other applicable requirements of this Chapter. 2. Notwithstanding paragraph 1, for a set classified as a result of the application of rule 3 of the General Rules for the Interpretation of the Harmonized System, the set is originating if the value of all the non-originating goods in the set does not exceed 10 percent of the value of the set. 3. For the purposes of paragraph 2, the value of the non-originating goods in the set and the value of the set shall be calculated in the same manner as the value of non-originating materials and the value of the good. 4. With respect to a textile or apparel good, Articles 6.1.4 and 6.1.5 (Rules of Origin and Related Matters) apply in place of paragraph 1.</w:t>
      </w:r>
    </w:p>
    <w:p>
      <w:pPr>
        <w:pStyle w:val="Heading2"/>
      </w:pPr>
      <w:bookmarkStart w:id="900124" w:name="_Toc300000123"/>
      <w:r>
        <w:t xml:space="preserve">Article 4.18: Transit and Transshipment</w:t>
      </w:r>
      <w:bookmarkEnd w:id="900124"/>
    </w:p>
    <w:p>
      <w:pPr>
        <w:pStyle w:val="Normal"/>
      </w:pPr>
      <w:r>
        <w:t xml:space="preserve">1. Each Party shall provide that an originating good retains its originating status if the good has been transported to the importing Party without passing through the territory of a non-Party. 2. Each Party shall provide that if an originating good is transported outside the territories of the Parties, the good retains its originating status if the good: (a) remains under customs control in the territory of a non-Party; and (b) does not undergo an operation outside the territories of the Parties other than: unloading; reloading; separation from a bulk shipment; storing; labeling or marking required by the importing Party; or any other operation necessary to preserve it in good condition or to transport the good to the territory of the importing Party.</w:t>
      </w:r>
    </w:p>
    <w:p>
      <w:pPr>
        <w:pStyle w:val="Heading2"/>
      </w:pPr>
      <w:bookmarkStart w:id="900125" w:name="_Toc300000124"/>
      <w:r>
        <w:t xml:space="preserve">Article 4.19: Non-Qualifying Operations</w:t>
      </w:r>
      <w:bookmarkEnd w:id="900125"/>
    </w:p>
    <w:p>
      <w:pPr>
        <w:pStyle w:val="Normal"/>
      </w:pPr>
      <w:r>
        <w:t xml:space="preserve">Each Party shall provide that a good shall not be considered to be an originating good merely by reason of: (a) mere dilution with water or another substance that does not materially alter the characteristics of the good; or (b) a production or pricing practice in respect of which it may be demonstrated, on the basis of a preponderance of evidence, that the object was to circumvent this Chapter.</w:t>
      </w:r>
    </w:p>
    <w:p>
      <w:pPr>
        <w:pStyle w:val="Heading2"/>
      </w:pPr>
      <w:bookmarkStart w:id="900126" w:name="_Toc300000125"/>
      <w:r>
        <w:t xml:space="preserve">ANNEX 4-A EXCEPTIONS TO ARTICLE 4.12 (DE MINIMIS)</w:t>
      </w:r>
      <w:bookmarkEnd w:id="900126"/>
    </w:p>
    <w:p>
      <w:pPr>
        <w:pStyle w:val="Normal"/>
      </w:pPr>
      <w:r>
        <w:t xml:space="preserve">Each Party shall provide that Article 4.12 (De Minimis) shall not apply to: (a) a non-originating material of heading 04.01 through 04.06, or a non-originating dairy preparation containing over 10 percent by dry weight of milk solids of subheading 1901.90 or 2106.90, used in the production of a good of heading 04.01 through 04.06; (b) a non-originating material of heading 04.01 through 04.06, or non-originating dairy preparations containing over 10 percent by dry weight of milk solids of subheading 1901.90 or 2106.90, used in the production of: (i) infant preparations containing over 10 percent by dry weight of milk solids of subheading 1901.10, (ii) mixes and doughs, containing over 25 percent by dry weight of butterfat, not put up for retail sale of subheading 1901.20, (iii) dairy preparations containing over 10 percent by dry weight of milk solids of subheading 1901.90 or 2106.90, (iv) goods of heading 21.05, (v) beverages containing milk of subheading 2202.90, or (vi) animal feeds containing over 10 percent by dry weight of milk solids of subheading 2309.90;</w:t>
      </w:r>
    </w:p>
    <w:p>
      <w:pPr>
        <w:pStyle w:val="Normal"/>
      </w:pPr>
      <w:r>
        <w:t>(c) a non-originating material of heading 08.05 or subheading 2009.11 through 2009.39 used in the production of a good of subheading 2009.11 through 2009.39, or a fruit or vegetable juice of any single fruit or vegetable, fortified with minerals or vitamins, concentrated or unconcentrated, of subheading 2106.90 or 2202.90; (d) a non-originating material of Chapter 9</w:t>
      </w:r>
    </w:p>
    <w:p>
      <w:pPr>
        <w:pStyle w:val="Normal"/>
      </w:pPr>
      <w:r>
        <w:t>of the Harmonized System used in the production of instant coffee, not flavored, of subheading 2101.11; (e) a non-originating material of Chapter 15 of the Harmonized System, used in the production of a good of heading 15.01 through 15.08, 15.12, 15.14, or 15.15; 4-A-1 (f) a non-originating material of heading 17.01 used in the production of a good provided for in heading 17.01 through 17.03; (g) a non-originating material of Chapter 17 of the Harmonized System or heading 18.05 that is used in the production of a good of subheading 1806.10; (h) non-originating peaches, pears, or apricots of Chapter 8 or 20 of the Harmonized System, used in the production of a good of heading 20.08; (i) a non-originating single juice ingredient provided for in heading 20.09 that is used in the production of a good provided for in subheading 2009.90, or tariff item 2106.90.cc (concentrated mixtures of fruit or vegetable juice, fortified with minerals or vitamins), or 2202.90.bb (mixtures of fruit or vegetable juices, fortified with minerals or vitamins);</w:t>
      </w:r>
    </w:p>
    <w:p>
      <w:pPr>
        <w:pStyle w:val="Normal"/>
      </w:pPr>
      <w:r>
        <w:t>(j) a non-originating material provided for in heading 22.03 through 22.08 that is used in the production of a good provided for in heading 22.07 or 22.08; (k) a non-originating material used in the production of a good of Chapters 1 through 27 of the Harmonized System, unless the non-originating materials are provided for in a different subheading than the good for which origin is being determined under this Agreement. 4-A-2</w:t>
      </w:r>
    </w:p>
    <w:p>
      <w:pPr>
        <w:pStyle w:val="Heading2"/>
      </w:pPr>
      <w:bookmarkStart w:id="900127" w:name="_Toc300000126"/>
      <w:r>
        <w:t xml:space="preserve">ANNEX 4-B PRODUCT-SPECIFIC RULES OF ORIGIN</w:t>
      </w:r>
      <w:bookmarkEnd w:id="900127"/>
    </w:p>
    <w:p>
      <w:pPr>
        <w:pStyle w:val="AnnexSection"/>
      </w:pPr>
      <w:bookmarkStart w:id="900128" w:name="_Toc300000127"/>
      <w:r>
        <w:t xml:space="preserve">Section A: General Interpretative Note</w:t>
      </w:r>
      <w:bookmarkEnd w:id="900128"/>
    </w:p>
    <w:p>
      <w:pPr>
        <w:pStyle w:val="Normal"/>
      </w:pPr>
      <w:r>
        <w:t xml:space="preserve">For the purposes of interpreting the rules of origin set out in this Annex: (a) the tariff items referred to in this Annex, shown generically in this Annex by eight-digit numbers comprised of six numeric and two alpha characters, refer to the Party-specific tariff items shown in the table following Section B of this Annex; (b) the specific rule, or specific set of rules, that applies to a particular heading, subheading or tariff item is set out immediately adjacent to the heading, subheading, or tariff item; (c) a rule applicable to a tariff item shall take precedence over a rule applicable to the heading or subheading which is parent to that tariff item; (d) a requirement of a change in tariff classification applies only to non-originating materials; (e) reference to weight in the rules for goods provided for in Chapter 1 through 24 of the Harmonized System means dry weight unless otherwise specified in the Harmonized System;</w:t>
      </w:r>
    </w:p>
    <w:p>
      <w:pPr>
        <w:pStyle w:val="Normal"/>
      </w:pPr>
      <w:r>
        <w:t>(f) the specific rule that follows a reference to “beginning on January 1, 2020 or the date of entry into force of the Agreement, whichever is later” is the specific rule that applies if the Agreement enters into force before January 1, 2020, (g) the following definitions apply: chapter means a chapter of the Harmonized System; heading means the first four digits in the tariff classification number under the Harmonized System; section means a section of the Harmonized</w:t>
      </w:r>
    </w:p>
    <w:p>
      <w:pPr>
        <w:pStyle w:val="Normal"/>
      </w:pPr>
      <w:r>
        <w:t xml:space="preserve">System; subheading means the first six digits in the tariff classification number under the Harmonized System; and 4-B-1 tariff item means the first eight digits in the tariff classification number under the Harmonized System as implemented by each Party. (h) if the good is a vehicle of chapter 87 or a part listed in Tables A.1, B, C, D, E, F or G of the Appendix to this Annex for use in a vehicle of Chapter 87, the provisions of the Appendix to this Annex apply.</w:t>
      </w:r>
    </w:p>
    <w:p>
      <w:pPr>
        <w:pStyle w:val="AnnexSection"/>
      </w:pPr>
      <w:bookmarkStart w:id="900129" w:name="_Toc300000128"/>
      <w:r>
        <w:t xml:space="preserve">Section B: Product-Specific Rules of Origin</w:t>
      </w:r>
      <w:bookmarkEnd w:id="900129"/>
    </w:p>
    <w:p>
      <w:pPr>
        <w:pStyle w:val="AnnexSection"/>
      </w:pPr>
      <w:bookmarkStart w:id="900130" w:name="_Toc300000129"/>
      <w:r>
        <w:t xml:space="preserve">Section I - Live Animals; Animal Products (Chapter 1-5)</w:t>
      </w:r>
      <w:bookmarkEnd w:id="900130"/>
    </w:p>
    <w:p>
      <w:pPr>
        <w:pStyle w:val="Normal"/>
      </w:pPr>
      <w:r>
        <w:t xml:space="preserve">Chapter 1 Live Animals 01.01-01.06 A change to heading 01.01 through 01.06 from any other chapter. Chapter 2 Meat and Edible Meat Offal 02.01-02.10 A change to heading 02.01 through 02.10 from any other chapter. Chapter 3 Fish and Crustaceans, Molluscs and Other Aquatic Invertebrates Note:</w:t>
      </w:r>
    </w:p>
    <w:p>
      <w:pPr>
        <w:pStyle w:val="Normal"/>
      </w:pPr>
      <w:r>
        <w:t>A fish, crustacean, mollusc or other aquatic invertebrate obtained in the territory of a Party is originating even if obtained from eggs, larvae, fry, fingerlings, parr, smolts or other immature fish at a post-larval stage that are imported from a non-Party. 03.01-03.05 A change to heading 03.01 through 03.05 from any other chapter. 03.06.11 – 03.08.90 A change to a smoked good of any of subheading 03.06.11 through 03.08.90 from a non-smoked good within that subheading or any other subheading; or A change to any other good of any of subheading 03.06.11 through 03.08.90 from any other chapter.</w:t>
      </w:r>
    </w:p>
    <w:p>
      <w:pPr>
        <w:pStyle w:val="Normal"/>
      </w:pPr>
      <w:r>
        <w:t xml:space="preserve">Chapter 4 Dairy Produce; Birds’ Eggs; Natural Honey; Edible Products of Animal Origin, Not Elsewhere Specified or Included 04.01-04.04 A change to heading 04.01 through 04.04 from any other chapter, except from tariff item 1901.90.aa. 4-B-2 04.05 A change to heading 04.05 from any other chapter, except from tariff item 1901.90.aa or 2106.90.dd. 04.06-04.10 A change to heading 04.06 through 04.10 from any other chapter, except from tariff item 1901.90.aa. Chapter 5 Products of Animal Origin, Not Elsewhere Specified or Included 05.01-05.11 A change to heading 05.01 through 05.11 from any other chapter.</w:t>
      </w:r>
    </w:p>
    <w:p>
      <w:pPr>
        <w:pStyle w:val="AnnexSection"/>
      </w:pPr>
      <w:bookmarkStart w:id="900131" w:name="_Toc300000130"/>
      <w:r>
        <w:t xml:space="preserve">Section II - Vegetable Products (Chapter 6-14)</w:t>
      </w:r>
      <w:bookmarkEnd w:id="900131"/>
    </w:p>
    <w:p>
      <w:pPr>
        <w:pStyle w:val="Normal"/>
      </w:pPr>
      <w:r>
        <w:t xml:space="preserve">Note: Agricultural and horticultural goods grown in the territory of a Party shall be treated as originating in the territory of that Party even if grown from seed, bulbs, rootstock, cuttings, slips or other live parts of plants imported from a non-Party. Chapter 6 Live Trees and Other Plants; Bulbs, Roots and the Like; Cut Flowers and Ornamental Foliage 06.01-06.04 A change to heading 06.01 through 06.04 from any other chapter.</w:t>
      </w:r>
    </w:p>
    <w:p>
      <w:pPr>
        <w:pStyle w:val="Normal"/>
      </w:pPr>
      <w:r>
        <w:t>Chapter 7 Edible Vegetables and Certain Roots and Tubers Note: Notwithstanding subparagraph (k) of Annex 4-A (Exceptions to Article 4.12 (De Minimis)), paragraph 1 of Article 4.12 (De Minimis) applies to: non- originating truffles of subheading 0709.59 used in the production of mixtures of mushrooms and truffles of subheading 0709.59 and non-originating capers of subheading 0711.90 used in the production of mixtures of vegetables of subheading 0711.90. 07.01-07.11 A change to heading 07.01 through 07.11 from any other chapter. 0712.20-0712.39 A change to subheading 0712.20 through 0712.39 from any other chapter. 0712.90 A change to savory, crushed or ground, of subheading 0712.90 from savory, neither crushed nor ground, of subheading 0712.90 or any other chapter; or A change to any other good of subheading 0712.90 from any other chapter. 4-B-3 07.13-07.14 A change to heading 07.13 through 07.14 from any other chapter. Chapter 8 Edible Fruit and Nuts; Peel of Citrus Fruit or Melons Note:</w:t>
      </w:r>
    </w:p>
    <w:p>
      <w:pPr>
        <w:pStyle w:val="Normal"/>
      </w:pPr>
      <w:r>
        <w:t>Notwithstanding subparagraph (k) of Annex 4-A (Exceptions to Article 4.12 (De Minimis)), paragraph 1 of Article 4.12 (De Minimis) does not apply to non-originating macadamia nuts of subheading 0802.60 used in the production of mixtures of nuts of subheading 0802.90. 08.01-08.14 A change to heading 08.01 through 08.14 from any other chapter. Chapter 9 Coffee, Tea, Maté and Spices 09.01 A change to heading 09.01 from any other chapter.</w:t>
      </w:r>
    </w:p>
    <w:p>
      <w:pPr>
        <w:pStyle w:val="Normal"/>
      </w:pPr>
      <w:r>
        <w:t>0902.10-0902.40 A change to subheading 0902.10 through 0902.40 from any other subheading, including another subheading within that group. 09.03 A change to heading 09.03 from any other chapter. 0904.11 A change to subheading 0904.11 from any other chapter. 0904.12 A change to subheading 0904.12 from any other subheading. 0904.21 A change to subheading 0904.21 from any other chapter. 0904.22 A change to allspice, crushed or ground, of subheading 0904.22 from allspice, neither crushed nor ground of subheading 0904.21 or from any other chapter; or A change to any other good of subheading 0904.22 from any other chapter. 09.05 A change to heading 09.05 from any other chapter. 0906.11-0906.19 A change to subheading 0906.11 through 0906.19 from any other chapter. 0906.20 A change to subheading 0906.20 from any other subheading. 0907.10-0907.20 A change to a good of any of subheading 0907.10 through 0907.20 from any other good within that subheading, any other subheading within that group or any other chapter.</w:t>
      </w:r>
    </w:p>
    <w:p>
      <w:pPr>
        <w:pStyle w:val="Normal"/>
      </w:pPr>
      <w:r>
        <w:t>4-B-4 0908.11-0909.62 A change to a good of any of subheading 0908.11 through 0909.62 from any other good within that subheading, any other subheading within that group or any other chapter. 0910.11-0910.12 A change to a good of any of subheading 0910.11 through 0910.12 from any other good within that subheading, any other subheading within that group or any other chapter. 0910.20 A change to subheading 0910.20 from any other chapter.</w:t>
      </w:r>
    </w:p>
    <w:p>
      <w:pPr>
        <w:pStyle w:val="Normal"/>
      </w:pPr>
      <w:r>
        <w:t>0910.30 A change to a good of subheading 0910.30 from within that subheading or any other chapter. 0910.91 A change to subheading 0910.91 from any other subheading. 0910.99 Note: Notwithstanding subparagraph (k) of Annex 4-A (Exceptions to Article 4.12 (De Minimis)), paragraph 1 of Article 4.12 (De Minimis) applies to non- originating thyme, bay leaves, or curry of subheading 0910.99 used in the production of mixtures of subheading 0910.99. A change to bay leaves, crushed or ground, of subheading 0910.99 from bay leaves, neither crushed nor ground, of subheading 0910.99 or any other chapter; A change to dill seeds, crushed or ground, of subheading 0910.99 from dill seeds, neither crushed nor ground, of subheading 0910.99 or any other chapter; A change to curry of subheading 0910.99 from any other good of subheading 0910.99 or any other subheading; or A change to any other good of subheading 0910.99 from any other chapter. Chapter 10 Cereals 10.01-10.08 A change to heading 10.01 through 10.08 from any other chapter. Chapter 11 Products of the Milling Industry; Malt; Starches; Inulin;</w:t>
      </w:r>
    </w:p>
    <w:p>
      <w:pPr>
        <w:pStyle w:val="Normal"/>
      </w:pPr>
      <w:r>
        <w:t>Wheat Gluten 11.01-11.09 4-B-5 12.08 Note: Notwithstanding subparagraph (k) of Annex 4-A (Exceptions to Article 4.12 (De Minimis)), paragraph 1 of Article 4.12 (De Minimis) applies to non- originating rice or rye flour of subheading 1102.90 used in the production of mixtures of flours of subheading 1102.90. A change to heading 11.01 through 11.09 from any other chapter.</w:t>
      </w:r>
    </w:p>
    <w:p>
      <w:pPr>
        <w:pStyle w:val="Normal"/>
      </w:pPr>
      <w:r>
        <w:t>Chapter 12 Oil Seeds and Oleaginous Fruits; Miscellaneous Grains, Seeds and Fruit; Industrial or Medicinal Plants; Straw and Fodder 12.01-12.06 A change to heading 12.01 through 12.06 from any other chapter. 1207.10-1207.70 A change to subheading 1207.10 through 1207.70 from any other chapter. 1207.91 A change to a good of subheading 1207.91 from within that subheading or any other chapter. 1207.99 A change to subheading 1207.99 from any other chapter. A change to heading 12.08 from any other chapter. 1209.10-1209.30 Note: Notwithstanding subparagraph (k) of Annex 4-A (Exceptions to Article 4.12 (De Minimis)), paragraph 1 of Article 4.12 (De Minimis) applies to non- originating timothy grass seed when used in the production of mixtures of subheading 1209.29. A change to subheading 1209.10 through 1209.30 from any other chapter. 1209.91 A change to celery seeds, crushed or ground, of subheading 1209.91 from celery seeds, neither crushed nor ground, of subheading 1209.91 or any other chapter; or A change to any other good of subheading 1209.91 from any other chapter. 1209.99 A change to subheading 1209.99 from any other chapter.</w:t>
      </w:r>
    </w:p>
    <w:p>
      <w:pPr>
        <w:pStyle w:val="Normal"/>
      </w:pPr>
      <w:r>
        <w:t>12.10-12.14 A change to heading 12.10 through 12.14 from any other chapter. 4-B-6 Chapter 13 Lac; Gums, Resins and Other Vegetable Saps and Extracts 1301.20 A change to a good of subheading 1301.20 from within that subheading or any other chapter.</w:t>
      </w:r>
    </w:p>
    <w:p>
      <w:pPr>
        <w:pStyle w:val="Normal"/>
      </w:pPr>
      <w:r>
        <w:t xml:space="preserve">1301.90 A change to subheading 1301.90 from any other chapter 1302.11-1302.32 Note: Notwithstanding subparagraph (k) of Annex 4-A (Exceptions to Article 4.12 (De Minimis)), paragraph 1 of Article 4.12 (De Minimis) applies to non- originating saps and extracts of pyrethrum or of the roots of plants containing rotenone when used in the production of goods of subheading 1302.19. A change to subheading 1302.11 through 1302.32 from any other chapter, except from concentrates of poppy straw of subheading 2939.11. 1302.39 A change to carrageenan of subheading 1302.39 from within that subheading or any other chapter, provided the non-originating materials of subheading 1302.39 do not exceed 50 percent by weight of the good; or A change to any other good of subheading 1302.39 from any other chapter, except from concentrates of poppy straw of subheading 2939.11. Chapter 14 Vegetable Plaiting Materials; Vegetable Products Not Elsewhere Specified or Included 14.01-14.04 A change to heading 14.01 through 14.04 from any other chapter.</w:t>
      </w:r>
    </w:p>
    <w:p>
      <w:pPr>
        <w:pStyle w:val="AnnexSection"/>
      </w:pPr>
      <w:bookmarkStart w:id="900132" w:name="_Toc300000131"/>
      <w:r>
        <w:t xml:space="preserve">Section III - Animal or Vegetable Fats and Oils and Their Cleavage Products; Prepared Edible Fats;</w:t>
      </w:r>
      <w:r>
        <w:t xml:space="preserve"> </w:t>
      </w:r>
      <w:r>
        <w:t xml:space="preserve">Animal or Vegetable Waxes (Chapter 15)</w:t>
      </w:r>
      <w:bookmarkEnd w:id="900132"/>
    </w:p>
    <w:p>
      <w:pPr>
        <w:pStyle w:val="Normal"/>
      </w:pPr>
      <w:r>
        <w:t xml:space="preserve">Chapter 15 Animal or Vegetable Fats and Oils and Their Cleavage Products; Prepared Edible Fats; Animal or Vegetable Waxes 15.01-15.18 A change to heading 15.01 through 15.18 from any other chapter, except from heading 38.23. A change to heading 15.20 from any other heading, except from heading 38.23.</w:t>
      </w:r>
    </w:p>
    <w:p>
      <w:pPr>
        <w:pStyle w:val="Normal"/>
      </w:pPr>
      <w:r>
        <w:t xml:space="preserve">15.21-15.22 A change to heading 15.21 through 15.22 from any other chapter. 4-B-7 15.20 17.04</w:t>
      </w:r>
    </w:p>
    <w:p>
      <w:pPr>
        <w:pStyle w:val="AnnexSection"/>
      </w:pPr>
      <w:bookmarkStart w:id="900133" w:name="_Toc300000132"/>
      <w:r>
        <w:t xml:space="preserve">Section IV - Prepared Foodstuffs; Beverages, Spirits and Vinegar; Tobacco and Manufactured Tobacco Substitutes (Chapter 16-24)</w:t>
      </w:r>
      <w:bookmarkEnd w:id="900133"/>
    </w:p>
    <w:p>
      <w:pPr>
        <w:pStyle w:val="Normal"/>
      </w:pPr>
      <w:r>
        <w:t xml:space="preserve">Chapter 16 Preparations of Meat, of Fish or of Crustaceans, Molluscs or Other Aquatic Invertebrates 16.01-16.05 A change to heading 16.01 through 16.05 from any other chapter. Chapter 17 Sugars and Sugar Confectionery 17.01-17.03 A change to heading 17.01 through 17.03 from any other chapter. A change to heading 17.04 from any other heading. Chapter 18 Cocoa and Cocoa Preparations 18.01-18.05 A change to heading 18.01 through 18.05 from any other chapter. 1806.10 1806.10.aa A change to tariff item 1806.10.aa from any other heading 1806.10 A change to subheading 1806.10 from any other heading, provided that the non-originating sugar of Chapter 17 constitutes no more than 35 percent by weight of the sugar and the non-originating cocoa powder of heading 18.05 constitutes no more than 35 percent by weight of the cocoa powder. 1806.20 A change to subheading 1806.20 from any other heading.</w:t>
      </w:r>
    </w:p>
    <w:p>
      <w:pPr>
        <w:pStyle w:val="Normal"/>
      </w:pPr>
      <w:r>
        <w:t>1806.31-1806.90 A change to subheading 1806.31 through 1806.90 from any other subheading, including another subheading within that group. Chapter 19 Preparations of Cereals, Flour, Starch or Milk; Pastrycooks’ Products 1901.10 1901.10.aa A change to tariff item 1901.10.aa from any other chapter, except from Chapter 4.</w:t>
      </w:r>
    </w:p>
    <w:p>
      <w:pPr>
        <w:pStyle w:val="Normal"/>
      </w:pPr>
      <w:r>
        <w:t>1901.10 A change to subheading 1901.10 from any other chapter. 1901.20 4-B-8 19.05 1901.20.aa A change to tariff item 1901.20.aa from any other chapter, except from Chapter 4. 1901.20 A change to subheading 1901.20 from any other chapter. 1901.90 1901.90.aa A change to tariff item 1901.90.aa from any other chapter, except from Chapter 4. 1901.90 A change to subheading 1901.90 from any other chapter. 19.02-19.03 A change to heading 19.02 through 19.03 from any other chapter. 1904.10 A change to subheading 1904.10 from any other chapter. 1904.20 A change to subheading 1904.20 from any other subheading, except from Chapter 20. 1904.30-1904.90 A change to subheading 1904.30 through 1904.90 from any other chapter. A change to heading 19.05 from any other chapter. Chapter 20 Preparations of Vegetables, Fruit, Nuts or Other Parts of Plants Note:</w:t>
      </w:r>
    </w:p>
    <w:p>
      <w:pPr>
        <w:pStyle w:val="Normal"/>
      </w:pPr>
      <w:r>
        <w:t>Fruit, nut and vegetable preparations of Chapter 20 that have been prepared or preserved merely by freezing, by packing (including canning) in water, brine or natural juices, or by roasting, either dry or in oil (including processing incidental to freezing, packing, or roasting), shall be treated as an originating good only if the fresh good were wholly produced or obtained entirely in the territory of one or more of the Parties.</w:t>
      </w:r>
    </w:p>
    <w:p>
      <w:pPr>
        <w:pStyle w:val="Normal"/>
      </w:pPr>
      <w:r>
        <w:t>20.01-20.07 Note 1: Notwithstanding subparagraph (k) of Annex 4-A (Exceptions to Article 4.12 (De Minimis)), paragraph 1 of Article 4.12 (De Minimis), does not apply to non-originating bamboo shoots of subheading 2005.91 used in the production of mixtures of vegetables of subheading 2005.99. Note 2: Notwithstanding sub-paragraph (k) of Annex 4-A (Exceptions to Article 4.12 (De Minimis)), paragraph 1 of Article 4.12 (De Minimis) applies to non- originating truffles of subheading 2003.90 used in the production of mixtures of mushrooms and truffles of subheading 2003.90. 4-B-9 A change to heading 20.01 through 20.07 from any other chapter. 2008.11 A change to subheading 2008.11 from any other heading, except from heading 12.02. 2008.19-2008.99 Note: Fruit preparations of subheading 2008.19 through 2008.99 that contain peaches, pears, or apricots, either alone or mixed with other fruits shall be treated as originating only if the peaches, pears, or apricots were wholly obtained or produced entirely in the territory of one or more of the Parties. A change to subheading 2008.19 through 2008.99 from any other chapter. 2009.11-2009.39 A change to subheading 2009.11 through 2009.39 from any other chapter, except from heading 08.05. 2009.41-2009.89 A change to subheading 2009.41 through 2009.89 from any other chapter.</w:t>
      </w:r>
    </w:p>
    <w:p>
      <w:pPr>
        <w:pStyle w:val="Normal"/>
      </w:pPr>
      <w:r>
        <w:t>2009.90 A change to subheading 2009.90 from any other chapter; A change to cranberry juice mixtures of subheading 2009.90 from any other subheading within Chapter 20, except from subheading 2009.11 through 2009.39 or cranberry juice of subheading 2009.80, whether or not there is also a change from any other chapter, provided there is a regional value content of not less than: (a) 60 percent where the transaction value method is used; or (b) 50 percent where the net cost method is used; or a change to any other good of subheading 2009.90 from any other subheading within Chapter 20, whether or not there is also a change from any other chapter, provided that a single juice ingredient, or juice ingredients from a single non-Party, constitute in single strength form no more than 60 percent by volume of the good. Chapter 21 Miscellaneous Edible Preparations 21.01 2101.11.aa A change to tariff item 2101.11.aa from any other chapter, provided that the non-originating coffee of Chapter 9 constitutes no more than 60 percent by weight of the good.</w:t>
      </w:r>
    </w:p>
    <w:p>
      <w:pPr>
        <w:pStyle w:val="Normal"/>
      </w:pPr>
      <w:r>
        <w:t>4-B-10 21.01 A change to heading 21.01 from any other chapter. 21.02 A change to heading 21.02 from any other chapter. 2103.10 A change to subheading 2103.10 from any other chapter. 2103.20 2103.20.aa A change to tariff item 2103.20.aa from any other chapter, except from subheading 2002.90. 2103.20 A change to subheading 2103.20 from any other chapter. 2103.30 A change to subheading 2103.30 from any other chapter.</w:t>
      </w:r>
    </w:p>
    <w:p>
      <w:pPr>
        <w:pStyle w:val="Normal"/>
      </w:pPr>
      <w:r>
        <w:t>2103.90 A change to subheading 2103.90 from any other subheading. 21.04 A change to heading 21.04 from any other chapter. 21.05 A change to heading 21.05 from any other heading, except from Chapter 4 or tariff item 1901.90.aa. 21.06 2106.90.bb A change to tariff item 2106.90.bb from any other chapter, except from heading 08.05 or 20.09 or tariff item 2202.90.aa. 2106.90.cc A change to tariff item 2106.90.cc from any other chapter, except from heading 20.09 or tariff item 2202.90.bb; or A change to tariff item 2106.90.cc from any other subheading within Chapter 21, heading 20.09, or tariff item 2202.90.bb, whether or not there is also a change from any other chapter, provided that a single juice ingredient, or juice ingredients from a single non-Party, constitute in single strength form no more than 60 percent by volume of the good. 2106.90.dd A change to tariff items 2106.90.dd from any other chapter, except from Chapter 4 or tariff item 1901.90.aa. 2106.90.ee A change to tariff item 2106.90.ee from any other tariff item, except from heading 22.03 through 22.09.</w:t>
      </w:r>
    </w:p>
    <w:p>
      <w:pPr>
        <w:pStyle w:val="Normal"/>
      </w:pPr>
      <w:r>
        <w:t>21.06 A change to heading 21.06 from any other chapter. 4-B-11 Chapter 22 Beverages, Spirits and Vinegar 22.01 A change to heading 22.01 from any other chapter. 2202.10 A change to subheading 2202.10 from any other chapter. 2202.90 2202.90.aa A change to tariff item 2202.90.aa from any other chapter, except from heading 08.05 or 20.09 or tariff item 2106.90.bb.</w:t>
      </w:r>
    </w:p>
    <w:p>
      <w:pPr>
        <w:pStyle w:val="Normal"/>
      </w:pPr>
      <w:r>
        <w:t>2202.90.bb A change to tariff item 2202.90.bb from any other chapter, except from heading 20.09 or tariff item 2106.90.cc; or A change to tariff item 2202.90.bb from any other subheading within Chapter 22, heading 20.09, or tariff item 2106.90.cc, whether or not there is also a change from any other chapter, provided that a single juice ingredient, or juice ingredients from a single non-Party, constitute in single strength form no more than 60 percent by volume of the good. 2202.90.cc A change to tariff item 2202.90.cc from any other chapter, except from Chapter 4 or tariff item 1901.90.aa. 2202.90 A change to subheading 2202.90 from any other chapter. 22.03-22.07 A change to heading 22.03 through 22.07 from any heading outside that group, except from tariff item 2106.90.ee or heading 22.08 through 22.09. 2208.20 A change to subheading 2208.20 from any other heading, except from tariff item 2106.90.ee or heading 22.03 through 22.07 or 22.09.</w:t>
      </w:r>
    </w:p>
    <w:p>
      <w:pPr>
        <w:pStyle w:val="Normal"/>
      </w:pPr>
      <w:r>
        <w:t>2208.30-2208.70 No required change in tariff classification to subheading 2208.30 through 2208.70, provided that the non-originating alcoholic ingredients constitute no more than 10 percent of the alcoholic content of the good by volume. 2208.90 A change to subheading 2208.90 from any other heading, except from tariff item 2106.90.ee or heading 22.03 through 22.07 or 22.09. 22.09 A change to heading 22.09 from any other heading, except from tariff item 2106.90.ee or heading 22.03 through 22.08.</w:t>
      </w:r>
    </w:p>
    <w:p>
      <w:pPr>
        <w:pStyle w:val="Normal"/>
      </w:pPr>
      <w:r>
        <w:t xml:space="preserve">4-B-12 Chapter 23 Residues and Waste From the Food Industries; Prepared Animal Fodder 23.01-23.08 A change to heading 23.01 through 23.08 from any other chapter. 2309.10 A change to subheading 2309.10 from any other heading. 2309.90 2309.90.aa A change to tariff item 2309.90.aa from any other heading, except from Chapter 4 or tariff item 1901.90.aa. 2309.90 A change to subheading 2309.90 from any other heading. Chapter 24 Tobacco and Manufactured Tobacco Substitutes 24.01-24.03 A change to heading 24.01 through 24.03 from tariff item 2401.10.aa, 2401.20.aa, or 2403.91.aa or any other chapter.</w:t>
      </w:r>
    </w:p>
    <w:p>
      <w:pPr>
        <w:pStyle w:val="AnnexSection"/>
      </w:pPr>
      <w:bookmarkStart w:id="900134" w:name="_Toc300000133"/>
      <w:r>
        <w:t xml:space="preserve">Section V - Mineral Products (Chapter 25-27)</w:t>
      </w:r>
      <w:bookmarkEnd w:id="900134"/>
    </w:p>
    <w:p>
      <w:pPr>
        <w:pStyle w:val="Normal"/>
      </w:pPr>
      <w:r>
        <w:t xml:space="preserve">Chapter 25 Salt; Sulphur; Earths and Stone; Plastering Materials, Lime and Cement 25.01-25.30 A change to heading 25.01 through 25.30 from any other chapter. Chapter 26 Ores, Slag and Ash 26.01-26.21 A change to heading 26.01 through 26.21 from any other heading, including another heading within that group. Chapter 27 Mineral Fuels, Mineral Oils and Products of Their Distillation; Bituminous Substances; Mineral Waxes Note 1:</w:t>
      </w:r>
    </w:p>
    <w:p>
      <w:pPr>
        <w:pStyle w:val="Normal"/>
      </w:pPr>
      <w:r>
        <w:t>Notwithstanding the applicable product-specific rules of origin, a good of chapter 27 that is the product of a chemical reaction is an originating good if the chemical reaction occurred in the territory of one or more of the Parties.</w:t>
      </w:r>
    </w:p>
    <w:p>
      <w:pPr>
        <w:pStyle w:val="Normal"/>
      </w:pPr>
      <w:r>
        <w:t>For the purposes of this rule, a “chemical reaction” is a process (including a biochemical process) that results in a molecule with a new structure by breaking intramolecular bonds and by forming new intramolecular bonds, or by altering the spatial arrangement of atoms in a molecule. The following are not chemical reactions: (a) dissolving in water or other solvents; 4-B-13 (b) the elimination of solvents, including solvent water; or (c) the addition or elimination of water of crystallisation. Note 2: For the purposes of heading 27.10, the following processes confer origin: (a) Atmospheric distillation: A separation process in which petroleum oils are converted, in a distillation tower, into fractions according to boiling point and the vapor then condensed into different liquefied fractions. Liquefied petroleum gas, naphtha, gasoline, kerosene, diesel/heating oil, light gas oils, and lubricating oil are produced from petroleum distillation; (b) Vacuum distillation: Distillation at a pressure below atmospheric but not so low that it would be classed as molecular distillation. Vacuum distillation is useful for distilling high-boiling and heat- sensitive materials such as heavy distillates in petroleum oils to produce light to heavy vacuum gas oils and residuum.</w:t>
      </w:r>
    </w:p>
    <w:p>
      <w:pPr>
        <w:pStyle w:val="Normal"/>
      </w:pPr>
      <w:r>
        <w:t>In some refineries gas oils may be further processed into lubricating oils; (c) Catalytic hydroprocessing: The cracking or treating of petroleum oils with hydrogen at high temperature and under pressure, in the presence of special catalysts. Catalytic hydroprocessing includes hydrocracking and hydrotreating; (d) Reforming (catalytic reforming): The rearrangement of molecules in a naphtha boiling range material to form higher octane aromatics (i.e., improved antiknock quality at the expense of gasoline yield). A main product is catalytic reformate, a blend component for gasoline. Hydrogen is another by-product; (e) Alkylation: A process whereby a high-octane blending component for gasolines is derived from catalytic combination of an isoparaffin and an olefin; (f) Cracking: A refining process involving decomposition and molecular recombination of organic compounds, especially hydrocarbons obtained by means of heat, to form molecules suitable for motor fuels, monomers, petrochemicals, etc.; (i) Thermal cracking: Exposes the distillate to temperatures of approximately 540-650C (1000-1200F) for varying periods 4-B-14 of time.</w:t>
      </w:r>
    </w:p>
    <w:p>
      <w:pPr>
        <w:pStyle w:val="Normal"/>
      </w:pPr>
      <w:r>
        <w:t>Process produces modest yields of gasoline and higher yields of residual products for fuel oil blending, or (ii) Catalytic cracking: Hydrocarbon vapors are passed at approximately 400C (750F) over a metallic catalyst (e.g., silica-alumina or platinum); the complex recombinations (alkylation, polymerization, isomerization, etc.) occur within seconds to yield high-octane gasoline. Process yields less residual oils and light gases than thermal cracking; (g) Coking: A thermal cracking process for the conversion of heavy low grade products, such as reduced crude, straight run pitch, cracked tars, and shale oil into solid coke (carbon) and lower boiling hydrocarbon products which are suitable as feed for other refinery units for conversion into lighter products; and (h) Isomerization: The refinery process of converting petroleum compounds into their isomers. Note 3: For the purposes of heading 27.10, “direct blending” is a refinery process whereby various petroleum streams from processing units and petroleum components from holding/storage tanks combine to create a finished product, with pre-determined parameters, classified under heading 27.10, provided that the non-originating material constitutes no more than 25 percent by volume of the good.</w:t>
      </w:r>
    </w:p>
    <w:p>
      <w:pPr>
        <w:pStyle w:val="Normal"/>
      </w:pPr>
      <w:r>
        <w:t>Note 4: For the purposes of determining whether or not a good of heading 27.09 is an originating good, the origin of diluent of heading 27.09 or 27.10 that is used to facilitate the transportation between Parties of crude petroleum oils and crude oils obtained from bituminous minerals of heading 27.09 is disregarded, provided that the diluent constitutes no more than 40 percent by volume of the good. 27.01-27.03 A change to heading 27.01 through 27.03 from any other chapter. A change to heading 27.04 from any other heading. 27.05-27.06 A change to heading 27.05 through 27.06 from any other heading, including another heading within that group. 2707.10-2707.91 A change to subheading 2707.10 through 2707. 91 from any other heading; or 4-B-15 27.04 27.10 A change to subheading 2707.10 through 2707. 91 from any other subheading within heading 27.07, whether or not there is also a change from any other heading, provided that the good resulting from such change is the product of a chemical reaction.</w:t>
      </w:r>
    </w:p>
    <w:p>
      <w:pPr>
        <w:pStyle w:val="Normal"/>
      </w:pPr>
      <w:r>
        <w:t>2707.99 A change to subheading 2707.99 from any other heading; A change to phenols of subheading 2707.99 from within that subheading or any other subheading within heading 27.07, whether or not there is also a change from any other heading, provided that the good resulting from such change is the product of a chemical reaction; or A change to any other good of subheading 2707.99 from phenols of that subheading or any other subheading within heading 27.07, whether or not there is also a change from any other heading, provided that the good resulting from such change is the product of a chemical reaction. 27.08-27.09 A change to heading 27.08 through 27.09 from any other heading, including another heading within that group. Note: Notwithstanding sub-paragraph (k) of Annex 4-A (Exceptions to Article 4.12 (De Minimis)) paragraph 1 of Article 4.12 (De Minimis) applies to: (a) non-originating light oils and preparations of subheading 2710.20 when used in the production of other goods of subheading 2710.20; and (b) non-originating other oils of subheading 2710.20 when used in the production of light oils or preparations of subheading 2710.20.</w:t>
      </w:r>
    </w:p>
    <w:p>
      <w:pPr>
        <w:pStyle w:val="Normal"/>
      </w:pPr>
      <w:r>
        <w:t>A change to heading 27.10 from any other heading, except from heading 27.11 through 27.15; Production of any good of heading 27.10 as the result of atmospheric distillation, vacuum distillation, catalytic hydroprocessing, catalytic reforming, alkylation, catalytic cracking, thermal cracking, coking or isomerization; or Production of any good of heading 27.10 as the result of direct blending, provided that: (i) the non-originating material is classified in Chapter 27, 4-B-16 (ii) no component of that non-originating material is classified under heading 22.07, and (iii) the non-originating material constitutes no more than 25 percent by volume of the good. 2711.11 A change to a good of subheading 2711.11 from within that subheading or any other subheading, provided that the non-originating feedstock of subheading 2711.11 constitutes no more than 49 percent by volume of the good. 2711.12-2711.14 A change to a good of subheading 2711.12 through 2711.14 from within that subheading or any other subheading, including another subheading within that group, provided that the non-originating feedstock of subheading 2711.12 through 2711.14 constitutes no more than 49 percent by volume of the good.</w:t>
      </w:r>
    </w:p>
    <w:p>
      <w:pPr>
        <w:pStyle w:val="Normal"/>
      </w:pPr>
      <w:r>
        <w:t>2711.19 A change to subheading 2711.19 from any other subheading, except from subheading 2711.29. 2711.21 A change to subheading 2711.21 from any other subheading. 2711.29 A change to subheading 2711.29 from any other subheading, except from subheading 2711.12 through 2711.21.</w:t>
      </w:r>
    </w:p>
    <w:p>
      <w:pPr>
        <w:pStyle w:val="Normal"/>
      </w:pPr>
      <w:r>
        <w:t xml:space="preserve">27.12 A change to heading 27.12 from any other heading. 2713.11-2713.12 A change to subheading 2713.11 through 2713.12 from any other heading. 2713.20 A change to a good of subheading 2713.20 from any other good within that subheading or any other subheading, provided that the non-originating feedstock of subheading 2713.20 constitutes no more than 49 percent by volume of the good. 2713.90 A change to subheading 2713.90 from any other heading, except from heading 27.10 through 27.12, subheading 2713.11 through 2713.20 or heading 27.14 through 27.15. 27.14 A change to heading 27.14 from any other heading. 27.15 A change to heading 27.15 from subheading 2713.20 or heading 27.14. any other heading, except from 4-B-17 27.16 A change to heading 27.16 from any other heading.</w:t>
      </w:r>
    </w:p>
    <w:p>
      <w:pPr>
        <w:pStyle w:val="AnnexSection"/>
      </w:pPr>
      <w:bookmarkStart w:id="900135" w:name="_Toc300000134"/>
      <w:r>
        <w:t xml:space="preserve">Section VI - Products of the Chemical or Allied Industries (Chapter 28-38)</w:t>
      </w:r>
      <w:bookmarkEnd w:id="900135"/>
    </w:p>
    <w:p>
      <w:pPr>
        <w:pStyle w:val="Normal"/>
      </w:pPr>
      <w:r>
        <w:t xml:space="preserve">Note 1: A good of any chapter or heading in Section VI that satisfies one or more of Rules 1 through 8 of this Section shall be treated as an originating good, except as otherwise specified in those rules. Note 2:</w:t>
      </w:r>
    </w:p>
    <w:p>
      <w:pPr>
        <w:pStyle w:val="Normal"/>
      </w:pPr>
      <w:r>
        <w:t>Notwithstanding Note 1, a good is an originating good if it meets the applicable change in tariff classification or satisfies the applicable value content requirement specified in the rules of origin in this Section.</w:t>
      </w:r>
    </w:p>
    <w:p>
      <w:pPr>
        <w:pStyle w:val="Normal"/>
      </w:pPr>
      <w:r>
        <w:t>Rule 1: Chemical Reaction Rule A good of Chapter 28 through 38, except a good of heading 33.01 or 38.23, or subheading 2916.32 or 3502.11 through 3502.19, that results from a chemical reaction in the territory of one or more of the Parties shall be treated as an originating good. For the purposes of this rule, a “chemical reaction” is a process (including a biochemical process) that results in a molecule with a new structure by breaking intramolecular bonds and by forming new intramolecular bonds, or by altering the spatial arrangement of atoms in a molecule. The following are not considered to be chemical reactions for the purposes of determining whether a good is an originating good: (a) dissolution in water or in another solvent; (b) the elimination of solvents, including solvent water; or (c) the addition or elimination of water of crystallisation.</w:t>
      </w:r>
    </w:p>
    <w:p>
      <w:pPr>
        <w:pStyle w:val="Normal"/>
      </w:pPr>
      <w:r>
        <w:t>Rule 2: Purification Rule A good of Chapter 28 through 38, except for a good of heading 33.01 or subheading 3502.11 through 3502.19, that is subject to purification is an originating good, provided that the purification occurs in the territory of one or more of the Parties and results in the following: (a) the elimination of not less than 80 percent of the content of existing impurities; or (b) the reduction or elimination of impurities resulting in a good suitable for one or more of the following: (i) as a pharmaceutical, medical, cosmetic, veterinary, or food grade substance, 4-B-18 (ii) as a chemical product or reagent for analytical, diagnostic, or laboratory uses, (iii) as an element or component for use in micro-elements, (iv) for specialized optical uses, (v) for non-toxic uses for health and safety; (vi) for biotechnical use (e.g. in cell culturing, in genetic technology, or as a catalyst), (vii) as a carrier used in a separation process, or (viii) for nuclear grade uses.</w:t>
      </w:r>
    </w:p>
    <w:p>
      <w:pPr>
        <w:pStyle w:val="Normal"/>
      </w:pPr>
      <w:r>
        <w:t>Rule 3: Mixtures and Blends Rule A good of Chapter 28 through 38, except for a good of Chapter 28, 29, or 32, heading 33.01 or 38.08, or subheading 3502.11 through 3502.19 is an originating good if the deliberate and proportionally controlled mixing or blending (including dispersing) of materials other than the addition of diluents, to conform to predetermined specifications occurs in the territory of one or more of the Parties, resulting in the production of a good having essential physical or chemical characteristics that are relevant to the purposes or uses of the good and are different from the input materials. Rule 4:</w:t>
      </w:r>
    </w:p>
    <w:p>
      <w:pPr>
        <w:pStyle w:val="Normal"/>
      </w:pPr>
      <w:r>
        <w:t>Change in Particle Size Rule A good of Chapter 28 through 38, except for a good of Chapter 28, 29, 32, or 38, heading 33.01, or subheading 3502.11 through 3502.19, is an originating good if the deliberate and controlled modification in particle size of a good, including micronizing by dissolving a polymer and subsequent precipitation, other than by merely crushing or pressing, occurs in the territory of one or more of the Parties, resulting in a good with a defined particle size, defined particle size distribution, or defined surface area, that is relevant to the purposes of the resulting good, and having essential physical or chemical characteristics different from the input materials.</w:t>
      </w:r>
    </w:p>
    <w:p>
      <w:pPr>
        <w:pStyle w:val="Normal"/>
      </w:pPr>
      <w:r>
        <w:t>Rule 5: Standards Materials Rule A standards material of Chapter 28 through 38, except for a good of heading 33.01, or subheading 3502.11 through 3502.19 is an originating good if it is produced in the territory of one or more of the Parties. 4-B-19 For the purposes of this rule, a “standards material” (including a standard solution) is a preparation suitable for analytical, calibrating, or referencing uses, having precise degrees of purity or proportions that are certified by the manufacturer. Rule 6: Isomer Separation Rule A good of Chapter 28 through 38, except for a good of heading 33.01, or subheading 3502.11 through 3502.19 is an originating good if the isolation or separation of isomers from mixtures of isomers occurs in the territory of one or more of the Parties. Rule 7:</w:t>
      </w:r>
    </w:p>
    <w:p>
      <w:pPr>
        <w:pStyle w:val="Normal"/>
      </w:pPr>
      <w:r>
        <w:t>Separation Prohibition Rule A good of Chapter 28 through 38, except for a good of heading 33.01, or subheading 3502.11 through 3502.19, that undergoes a change from one classification to another in the territory of one or more of the Parties as a result of the separation of one or more materials from a man- made mixture, shall not be treated as an originating good unless the isolated material underwent a chemical reaction in the territory of one or more of the Parties.</w:t>
      </w:r>
    </w:p>
    <w:p>
      <w:pPr>
        <w:pStyle w:val="Normal"/>
      </w:pPr>
      <w:r>
        <w:t>Rule 8: Biotechnological Processes Rule A good of Chapter 28 through 38, except for a good of heading 29.30 through 29.42, Chapter 30, heading 33.01, or subheading 3502.11 through 3502.19, is an originating good if it undergoes a biochemical process or one or more of the following processes: (a) Biological or biotechnological culturing, hybridization or genetic modification of: (i) Micro-organisms (bacteria, viruses (includes phages) etc.), or (ii) Human, animal or plant cells; (b) Production, isolation, or purification of cellular or intercellular structures (such as isolated genes, gene fragments, and plasmids); or (c) Products obtained by fermentation. Chapter 28 Inorganic Chemicals; Organic or Inorganic Compounds of Precious Metals, of Rare-Earth Metals, of Radioactive Elements or of Isotopes 2801.10-2853.00 A change to subheading 2801.10 through 2853.00 from any other subheading, including another heading within that group; or No required change in tariff classification to subheading 2801.10 through 2853.00, provided there is a regional value content of not less than: 4-B-20 30.04 (a) 40 percent where the transaction value method is used; or (b) 30 percent where the net cost method is used.</w:t>
      </w:r>
    </w:p>
    <w:p>
      <w:pPr>
        <w:pStyle w:val="Normal"/>
      </w:pPr>
      <w:r>
        <w:t>Chapter 29 Organic Chemicals 2901.10-2942.00 A change to subheading 2901.10 through 2942.00 from any other subheading, including another subheading within that group; or No required change in tariff classification to subheading 2901.10 through 2942.00, except for a good of subheading 2916.32 whether or not there is also a change from any other subheading, provided there is a regional value content of not less than: (a) 40 percent where the transaction value method is used; or (b) 30 percent where the net cost method is used. Chapter 30 Pharmaceutical Products 3001.20-3003.90 A change to subheading 3001.20 through 3003.90 from any other subheading, including another subheading within that group. A change to heading 30.04 from any other heading, except from heading 30.03; or No required change in tariff classification to heading 30.04, provided there is a regional value content of not less than: (a) 60 percent where the transaction value method is used; or (b) 50 percent where the net cost method is used.</w:t>
      </w:r>
    </w:p>
    <w:p>
      <w:pPr>
        <w:pStyle w:val="Normal"/>
      </w:pPr>
      <w:r>
        <w:t>3005.10-3005.90 A change to subheading 3005.10 through 3005.90 from any other heading; or No required change in tariff classification to subheading 3005.10 through 3005.90, provided there is a regional value content of not less than: (a) 60 percent where the transaction value method is used; or (b) 50 percent where the net cost method is used.</w:t>
      </w:r>
    </w:p>
    <w:p>
      <w:pPr>
        <w:pStyle w:val="Normal"/>
      </w:pPr>
      <w:r>
        <w:t>4-B-21 3006.10-3006.50 A change to subheading 3006.10 through 3006.50 from any other subheading, including another subheading within that group. 3006.60 A change to subheading 3006.60 from any other heading; or No required change in tariff classification to subheading 3006.60, provided there is a regional value content of not less than: (a) 60 percent where the transaction value is used; or (b) 50 percent where the net cost method is used. 3006.70 A change to subheading 3006.70 from any other chapter, except from Chapter 28 through 38; or No required change in tariff classification to subheading 3006.70, provided there is a regional value content of not less than: (a) 60 percent where the transaction value method is used; or (b) 50 percent where the net cost method is used. 3006.91-3006.92 A change to subheading 3006.91 through 3006.92 from any other subheading, including another subheading within that group. Chapter 31 Fertilizers 3101.00-3105.90 A change to subheading 3101.00 through 3105.90 from any other good within these subheadings or any other subheading, including another subheading within that group.</w:t>
      </w:r>
    </w:p>
    <w:p>
      <w:pPr>
        <w:pStyle w:val="Normal"/>
      </w:pPr>
      <w:r>
        <w:t>Chapter 32 Tanning or Dyeing Extracts; Tannins and Their Derivatives; Dyes, Pigments and Other Colouring Matter; Paints and Varnishes; Putty and Other Mastics; Inks Note: Pigments or coloring materials classified under heading 32.06 or 32.12 shall be disregarded in determining the origin of the goods classified under heading 32.07 through 32.15, except for any such pigments or materials based on titanium dioxide. 3201.10-3202.90 A change to subheading 3201.10 through 3202.90 from any other subheading, including another subheading within that group. A change to heading 32.03 from any other heading. 4-B-22 32.03 3204.11-3204.90 A change to subheading 3204.11 through 3204.90 from any other subheading, including another subheading within that group. 3205.00 A change to subheading 3205.00 from any other subheading; or No required change in tariff classification to subheading 3205.00, provided there is a regional value content of not less than: (a) 40 percent where the transaction value method is used; or (b) 30 percent where the net cost method is used. 3206.11-3206.42 A change to subheading 3206.11 through 3206.42 from any other subheading, including another subheading within that group.</w:t>
      </w:r>
    </w:p>
    <w:p>
      <w:pPr>
        <w:pStyle w:val="Normal"/>
      </w:pPr>
      <w:r>
        <w:t>3206.49 A change to pigments or preparations based on cadmium compounds of subheading 3206.49 from any other good of subheading 3206.49 or any other subheading; A change to pigments and preparations based on hexacyanoferrates (ferrocyanides and ferricyanides) of subheading 3206.49 from any other good of subheading 3206.49 or any other subheading; or A change to any other good of subheading 3206.49 from any other subheading. 3206.50 A change to subheading 3206.50 from any other subheading. 32.07-32.15 A change to heading 32.07 through 32.15 from any other chapter. Chapter 33 Essential Oils and Resinoids; Perfumery, Cosmetic, or Toilet Preparations 3301.12-3301.13 A change to subheading 3301.12 through 3301.13 from any other chapter; or No required change in tariff classification to subheading 3301.12 through 3301.13 provided there is a regional value content of not less than: (a) 60 percent where the transaction value method is used; or (b) 50 percent where the net cost method is used. 4-B-23 3301.19 A change to essential oils of bergamot or lime of subheading 3301.19 from any other good of subheading 3301.19 or any other subheading;</w:t>
      </w:r>
    </w:p>
    <w:p>
      <w:pPr>
        <w:pStyle w:val="Normal"/>
      </w:pPr>
      <w:r>
        <w:t>A change to any other good of subheading 3301.19 from any other chapter; or No required change in tariff classification to subheading 3301.19 provided there is a regional value content of not less than: (a) 60 percent where the transaction value method is used; or (b) 50 percent where the net cost method is used.</w:t>
      </w:r>
    </w:p>
    <w:p>
      <w:pPr>
        <w:pStyle w:val="Normal"/>
      </w:pPr>
      <w:r>
        <w:t>3301.24-3301.25 A change to subheading 3301.24 through 3301.25 from any other subheading, including another subheading within that group. 3301.29 A change to essential oils of geranium, jasmine, lavender, lavandin, or vetiver of subheading 3301.29 from any other good of subheading 3301.29 or any other subheading; A change to any other good of subheading 3301.29 from any other chapter; or No required change in tariff classification to subheading 3301.29, whether or not there is also a change from any other chapter, provided there is a regional value content of not less than: (a) 60 percent where the transaction value method is used; or (b) 50 percent where the net cost method is used. 3301.30-3301.90 A change to subheading 3301.30 through 3301.90 from any other chapter; or No required change in tariff classification to subheading 3301.30 through 3301.90, provided there is a regional value content of not less than: (a) 60 percent where the transaction value method is used; or (b) 50 percent where the net cost method is used.</w:t>
      </w:r>
    </w:p>
    <w:p>
      <w:pPr>
        <w:pStyle w:val="Normal"/>
      </w:pPr>
      <w:r>
        <w:t>33.02 – 33.03 A change to heading 33.02 through 33.03 from any other heading. 4-B-24 3304.10-3305.90 A change to subheading 3304.10 through 3305.90 from any other subheading, including another subheading within that group. 33.06-33.07 A change to heading 33.06 through 33.07 from any other heading.</w:t>
      </w:r>
    </w:p>
    <w:p>
      <w:pPr>
        <w:pStyle w:val="Normal"/>
      </w:pPr>
      <w:r>
        <w:t>Chapter 34 Soap, Organic Surface-active Agents, Washing Preparations, Lubricating Preparations, Artificial Waxes, Prepared Waxes, Polishing or Scouring Preparations, Candles and Similar Articles, Modelling Pastes, “Dental Waxes” and Dental Preparations with a Basis of Plaster 34.01 A change to heading 34.01 from any other heading. 3402.11-3404.90 A change to subheading 3402.11 through 3404.90 from any other subheading, including another subheading within that group; or No required change in tariff classification to subheading 3402.11 through 3404.90, provided there is a regional value content of not less than: (a) 60 percent where the transaction value method is used; or (b) 50 percent where the net cost method is used. 34.05-34.07 A change to heading 34.05 through 34.07 from any other heading, including another heading within that group. Chapter 35 Albuminoidal Substances; Modified Starches; Glues; Enzymes 35.01 A change to heading 35.01 from any other heading; or No required change in tariff classification to heading 35.01, provided there is a regional value content of not less than: (a) 65 percent where the transaction value method is used; or (b) 50 percent where the net cost method is used. 3502.11-3502.19 A change to subheading 3502.11 through 3502.19 from any other heading.</w:t>
      </w:r>
    </w:p>
    <w:p>
      <w:pPr>
        <w:pStyle w:val="Normal"/>
      </w:pPr>
      <w:r>
        <w:t>3502.20-3502.90 A change to subheading 3502.20 through 3502.90 from any other heading; or No required change in tariff classification to subheading 3502.20 through 3502.90, provided there is a regional value content of not less than: 4-B-25 (a) 65 percent where the transaction value method is used; or (b) 50 percent where the net cost method is used. 3503.00-3507.90 A change to subheading 3503.00 through 3507.90 from any other subheading, including another subheading within that group; or No required change in tariff classification to subheading 3503.00 through 3507.90, provided there is a regional value content of not less than: (a) 40 percent where the transaction value method is used; or (b) 30 percent where the net cost method is used. Chapter 36 Explosives; Pyrotechnic Products; Matches; Pyrophoric Alloys; Certain Combustible Preparations 36.01-36.06 A change to heading 36.01 through 36.06 from any other heading, including another heading within that group. Chapter 37 Photographic or Cinematographic Goods 37.01-37.03 A change to heading 37.01 through 37.03 from any heading outside that group. 37.04- 37.07 A change to heading 37.04 through 37.07 from any other heading, including another heading within that group.</w:t>
      </w:r>
    </w:p>
    <w:p>
      <w:pPr>
        <w:pStyle w:val="Normal"/>
      </w:pPr>
      <w:r>
        <w:t>Chapter 38 Miscellaneous Chemical Products 3801.10-3807.00 A change to subheading 3801.10 through 3807.00 from any other subheading, including another subheading within that group; or No required change in tariff classification to subheading 3801.10 through 3807.00, provided there is a regional value content of not less than: (a) 40 percent where the transaction value method is used; or (b) 30 percent where the net cost method is used. 3808.50-3808.99 A change to subheading 3808.50 through 3808.99 from any other subheading, including another subheading within that group, provided that not less than 50 percent by weight of the total active ingredient or ingredients is originating. 4-B-26 3809.10-3821.00 A change to subheading 3809.10 through 3821.00 from any other subheading, including another subheading within that group; or No required change in tariff classification to subheading 3809.10 through 3821.00, provided there is a regional value content of not less than: (a) 40 percent where the transaction value method is used; or (b) 30 percent where the net cost method is used. 38.22 A change to heading 38.22 from any other heading.</w:t>
      </w:r>
    </w:p>
    <w:p>
      <w:pPr>
        <w:pStyle w:val="Normal"/>
      </w:pPr>
      <w:r>
        <w:t xml:space="preserve">3823.11-3826.00 A change to subheading 3823.11 through 3826.00 from any other subheading, including another subheading within that group; or No required change in tariff classification to subheading 3823.11 through 3826.00, provided there is a regional value content of not less than: (a) 40 percent where the transaction value method is used; or (b) 30 percent where the net cost method is used.</w:t>
      </w:r>
    </w:p>
    <w:p>
      <w:pPr>
        <w:pStyle w:val="AnnexSection"/>
      </w:pPr>
      <w:bookmarkStart w:id="900136" w:name="_Toc300000135"/>
      <w:r>
        <w:t xml:space="preserve">Section VII - Plastics and Articles Thereof; Rubber and Articles Thereof (Chapter 39-40)</w:t>
      </w:r>
      <w:bookmarkEnd w:id="900136"/>
    </w:p>
    <w:p>
      <w:pPr>
        <w:pStyle w:val="Normal"/>
      </w:pPr>
      <w:r>
        <w:t xml:space="preserve">Notes to Section VII: Note 1: A good of any chapter or heading in Section VII that satisfies one or more of Rules 1 through 7 of this Section shall be treated as an originating good, except as otherwise specified in those rules. Note 2: Notwithstanding Note 1, a good is an originating good if it meets the applicable change in tariff classification or satisfies the applicable value content requirement specified in the rules of origin in this Section. Rule 1:</w:t>
      </w:r>
    </w:p>
    <w:p>
      <w:pPr>
        <w:pStyle w:val="Normal"/>
      </w:pPr>
      <w:r>
        <w:t>Chemical Reaction Rule A good of Chapter 39 through 40 that results from a chemical reaction in the territory of one or more of the Parties shall be treated as an originating good. For the purposes of this rule, a “chemical reaction” is a process (including a biochemical process) that results in a molecule with a new structure by breaking intramolecular bonds and by forming new intramolecular bonds, or by altering the spatial arrangement of atoms in a molecule.</w:t>
      </w:r>
    </w:p>
    <w:p>
      <w:pPr>
        <w:pStyle w:val="Normal"/>
      </w:pPr>
      <w:r>
        <w:t>4-B-27 The following are not considered to be chemical reactions for the purposes of determining whether a good is an originating good: (a) dissolution in water or in another solvent; (b) the elimination of solvents, including solvent water; or (c) the addition or elimination of water of crystallization. Rule 2: Purification Rule A good of Chapter 39 through 40 that is subject to purification is an originating good, provided that the purification occurs in the territory of one or more of the Parties and results in the following: (a) the elimination of not less than 80 percent of the content of existing impurities; or (b) the reduction or elimination of impurities resulting in a good suitable for one or more of the following: (i) as a pharmaceutical, medical, cosmetic, veterinary, or food grade substance, (ii) as a chemical product or reagent for analytical, diagnostic, or laboratory uses, (iii) as an element or component for use in micro-elements, (iv) for specialized optical uses, (v) for non-toxic uses for health and safety, (vi) for biotechnical use (e.g., in cell culturing, in genetic technology, or as a catalyst), (vii) as a carrier used in a separation process, or (viii) for nuclear grade uses.</w:t>
      </w:r>
    </w:p>
    <w:p>
      <w:pPr>
        <w:pStyle w:val="Normal"/>
      </w:pPr>
      <w:r>
        <w:t>Rule 3: Mixtures and Blends Rule A good of Chapter 39 is an originating good if the deliberate and proportionally-controlled mixing or blending (including dispersing) of materials, other than the addition of diluents, to 4-B-28 conform to predetermined specifications occurs in the territory of one or more of the Parties, resulting in the production of a good having essential physical or chemical characteristics that are relevant to the purposes or uses of the good and are different from the input materials. Rule 4: Change in Particle Size Rule A good of Chapter 39 is an originating good if the deliberate and controlled modification in particle size of a good, including micronizing by dissolving a polymer and subsequent precipitation, other than by merely crushing or pressing, occurs in the territory of one or more of the Parties, resulting in a good with a defined particle size, defined particle size distribution, or defined surface area, that is relevant to the purposes of the resulting good, and having essential physical or chemical characteristics different from the input materials. Rule 5:</w:t>
      </w:r>
    </w:p>
    <w:p>
      <w:pPr>
        <w:pStyle w:val="Normal"/>
      </w:pPr>
      <w:r>
        <w:t>Standards Materials Rule A standards material of Chapter 39 is an originating good if it is produced in the territory of one or more of the Parties.</w:t>
      </w:r>
    </w:p>
    <w:p>
      <w:pPr>
        <w:pStyle w:val="Normal"/>
      </w:pPr>
      <w:r>
        <w:t>For the purposes of this rule, a “standards material” (including a standard solution) is a preparation suitable for analytical, calibrating, or referencing uses, having precise degrees of purity or proportions that are certified by the manufacturer. Rule 6: Isomer Separation Rule A good of Chapter 39 is an originating good if the isolation or separation of isomers from mixtures of isomers occurs in the territory of one or more of the Parties. Rule 7: Biotechnological Processes Rule A good of Chapter 39 is an originating good if it undergoes a biochemical process or through one or more of the following processes: (a) Biological or biotechnological culturing, hybridization, or genetic modification of: (i) Micro-organisms (bacteria, viruses (includes phages) etc.), or (ii) Human, animal or plant cells; (b) Production, isolation or purification of cellular or intercellular structures (such as isolated genes, gene fragments and plasmids); or (c) Fermentation.</w:t>
      </w:r>
    </w:p>
    <w:p>
      <w:pPr>
        <w:pStyle w:val="Normal"/>
      </w:pPr>
      <w:r>
        <w:t>4-B-29 Chapter 39 Plastics and Articles Thereof 39.01-39.15 A change to heading 39.01 through 39.15 from any other heading, including another heading within that group, provided that the originating polymer content of heading 39.01 through 39.15 is not less than 50 percent by weight of the total polymer content. 39.16-39.26 A change to heading 39.15 through 39.26 from any other heading, including another heading within that group.</w:t>
      </w:r>
    </w:p>
    <w:p>
      <w:pPr>
        <w:pStyle w:val="Normal"/>
      </w:pPr>
      <w:r>
        <w:t>Chapter 40 Rubber and Articles Thereof 4001.10-4002.99 A change to subheading 4001.10 through 4002.99 from any other subheading, including another subheading within that group. 40.03-40.04 A change to heading 40.03 through 40.04 from any other heading, including another heading within that group. 40.05-40.06 A change to heading 40.05 through 40.06 from any other heading, including another heading within that group, except from heading 40.01; or A change to heading 40.05 through 40.06 from heading 40.01, whether or not there is also a change from any other heading, including another heading within that group, provided there is a regional value content of not less than: (a) 35 percent where the transaction value method is used; or (b) 25 percent where the net cost method is used. 40.07-40.08 A change to heading 40.07 through 40.08 from any heading outside that group. 4009.111 A change to subheading 4009.11 from any other heading, except from heading 40.10 through 40.17.</w:t>
      </w:r>
    </w:p>
    <w:p>
      <w:pPr>
        <w:pStyle w:val="Normal"/>
      </w:pPr>
      <w:r>
        <w:t>4009.122 A change to tubes, pipes, or hoses of subheading 4009.12, of a kind for use in a motor vehicle of tariff item 8702.10.bb or 8702.90.bb, subheading 1 If the good is for use in a vehicle of Chapter 87, the provisions of the Appendix to this Annex apply. 2 If the good is for use in a vehicle of Chapter 87, the provisions of the Appendix to this Annex apply.</w:t>
      </w:r>
    </w:p>
    <w:p>
      <w:pPr>
        <w:pStyle w:val="Normal"/>
      </w:pPr>
      <w:r>
        <w:t>4-B-30 8703.21 through 8703.90, 8704.21 or 8704.31, or heading 87.11, from any other heading, except from heading 40.10 through 40.17; A change to tubes, pipes or hoses of subheading 4009.12,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 (a) 60 percent where the transaction value method is used, or (b) 50 percent where the net cost method is used; or A change to tubes, pipes or hoses of subheading 4009.12, other than those of a kind for use in a motor vehicle of tariff item 8702.10.bb or 8702.90.bb, subheading 8703.21 through 8703.90, 8704.21 or 8704.31, or heading 87.11, from any other heading, except from heading 40.10 through 40.17. 4009.213 A change to subheading 4009.21 from any other heading, except from heading 40.10 through 40.17.</w:t>
      </w:r>
    </w:p>
    <w:p>
      <w:pPr>
        <w:pStyle w:val="Normal"/>
      </w:pPr>
      <w:r>
        <w:t>4009.224 A change to tubes, pipes, or hoses of subheading 4009.22, of a kind for use in a motor vehicle of tariff item 8702.10.bb or 8702.90.bb, subheading 8703.21 through 8703.90, 8704.21 or 8704.31, or heading 87.11, from any other heading, except from heading 40.10 through 40.17; A change to tubes, pipes, or hoses of subheading 4009.22,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 (a) 60 percent where the transaction value method is used; or (b) 50 percent where the net cost method is used. 3 If the good is for use in a vehicle of Chapter 87, the provisions of the Appendix to this Annex apply. 4 If the good is for use in a vehicle of Chapter 87, the provisions of the Appendix to this Annex apply.</w:t>
      </w:r>
    </w:p>
    <w:p>
      <w:pPr>
        <w:pStyle w:val="Normal"/>
      </w:pPr>
      <w:r>
        <w:t>4-B-31 A change to tubes, pipes, or hoses of subheading 4009.22, other than those of a kind for use in a motor vehicle of tariff item 8702.10.bb or 8702.90.bb, subheading 8703.21 through 8703.90, 8704.21 or 8704.31, or heading 87.11, from any other heading, except from heading 40.10 through 40.17. 4009.315 A change to subheading 4009.31 from any other heading, except from heading 40.10 through 40.17.</w:t>
      </w:r>
    </w:p>
    <w:p>
      <w:pPr>
        <w:pStyle w:val="Normal"/>
      </w:pPr>
      <w:r>
        <w:t>4009.326 A change to tubes, pipes, or hoses of subheading 4009.32, of a kind for use in a motor vehicle of tariff item 8702.10.bb or 8702.90.bb, subheading 8703.21 through 8703.90, 8704.21 or 8704.31, or heading 87.11, from any other heading, except from heading 40.10 through 40.17; A change to tubes, pipes, or hoses of subheading 4009.32,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 (a) 60 percent where the transaction value method is used; or (b) 50 percent where the net cost method is used; or A change to tubes, pipes, or hoses of subheading 4009.32, other than those of a kind for use in a motor vehicle of tariff item 8702.10.bb or 8702.90.bb, subheading 8703.21 through 8703.90, 8704.21 or 8704.31, or heading 87.11, from any other heading, except from heading 40.10 through 40.17.</w:t>
      </w:r>
    </w:p>
    <w:p>
      <w:pPr>
        <w:pStyle w:val="Normal"/>
      </w:pPr>
      <w:r>
        <w:t>4009.417 A change to subheading 4009.41 from any other heading, except from heading 40.10 through 40.17. 4009.428 A change to tubes, pipes, or hoses of subheading 4009.42, of a kind for use in a motor vehicle of tariff item 8702.10.bb or 8702.90.bb, subheading 5 If the good is for use in a vehicle of Chapter 87, the provisions of the Appendix to this Annex apply.</w:t>
      </w:r>
    </w:p>
    <w:p>
      <w:pPr>
        <w:pStyle w:val="Normal"/>
      </w:pPr>
      <w:r>
        <w:t>6 If the good is for use in a vehicle of Chapter 87, the provisions of the Appendix to this Annex apply. 7 If the good is for use in a vehicle of Chapter 87, the provisions of the Appendix to this Annex apply. 8 If the good is for use in a vehicle of Chapter 87, the provisions of the Appendix to this Annex apply. 4-B-32 8703.21 through 8703.90, 8704.21 or 8704.31, or heading 87.11, from any other heading, except from heading 40.10 through 40.17; A change to tubes, pipes or hoses of subheading 4009.42,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w:t>
      </w:r>
    </w:p>
    <w:p>
      <w:pPr>
        <w:pStyle w:val="Normal"/>
      </w:pPr>
      <w:r>
        <w:t>(a) 60 percent where the transaction value method is used; or (b) 50 percent where the net cost method is used; or A change to tubes, pipes or hoses of subheading 4009.42, other than those of a kind for use in a motor vehicle of tariff item 8702.10.bb or 8702.90.bb, subheading 8703.21 through 8703.90, 8704.21 or 8704.31, or heading 87.11, from any other heading, except from heading 40.10 through 40.17. 40.10-40.119 A change to heading 40.10 through 40.11 from any other heading, except from heading 40.09 through 40.17. 4012.11-4012.19 A change to subheading 4012.11 through 4012.19 from any subheading outside that group.</w:t>
      </w:r>
    </w:p>
    <w:p>
      <w:pPr>
        <w:pStyle w:val="Normal"/>
      </w:pPr>
      <w:r>
        <w:t>4012.20-4012.90 A change to subheading 4012.20 through 4012.90 from any other heading. 40.13-40.15 A change to heading 40.13 through 40.15 from any other heading, including another heading within that group. 4016.10-4016.9510 A change to subheading 4016.10 through 4016.95 from any other heading. 4016.9911 4016.99.aa A change to tariff item 4016.99.aa from any other heading; or 9 If the good is for use in a vehicle of Chapter 87, the provisions of the Appendix to this Annex apply. 10 If the good is for use in a vehicle of Chapter 87, the provisions of the Appendix to this Annex apply. 11 If the good is for use in a vehicle of Chapter 87, the provisions of the Appendix to this Annex apply. 4-B-33 A change to tariff item 4016.99.aa from any other subheading, provided there is a regional value content of not less than 50 percent under the net cost method. 4016.99 A change to subheading 4016.99 from any other heading. 40.17 A change to heading 40.17 from any other heading.</w:t>
      </w:r>
    </w:p>
    <w:p>
      <w:pPr>
        <w:pStyle w:val="AnnexSection"/>
      </w:pPr>
      <w:bookmarkStart w:id="900137" w:name="_Toc300000136"/>
      <w:r>
        <w:t xml:space="preserve">Section VIII - Raw Hides and Skins, Leather, Furskins and Articles Thereof; Saddlery and Harness; Travel Goods, Handbags and Similar Containers; Articles of Animal Gut (Other Than Silk-worm Gut) (Chapter 41-43)</w:t>
      </w:r>
      <w:bookmarkEnd w:id="900137"/>
    </w:p>
    <w:p>
      <w:pPr>
        <w:pStyle w:val="Normal"/>
      </w:pPr>
      <w:r>
        <w:t xml:space="preserve">Chapter 41 Raw Hides and Skins (Other Than Furskins) and Leather 41.01 A change to hides or skins of heading 41.01 which have undergone a tanning (including pre-tanning) process which is reversible from any other good of heading 41.01 or any other chapter; or A change to any other good of heading 41.01 from any other chapter. 41.02 A change to hides or skins of heading 41.02 which have undergone a tanning (including pre-tanning) process which is reversible from any other good of heading 41.02 or any other chapter; or A change to any other good of heading 41.02 from any other chapter. 41.03 A change to hides or skins of heading 41.03, except hides or skins of camels or dromedaries of heading 41.03, which have undergone a tanning (including pre-tanning) process which is reversible from any other good of heading 41.03 or any other chapter;</w:t>
      </w:r>
    </w:p>
    <w:p>
      <w:pPr>
        <w:pStyle w:val="Normal"/>
      </w:pPr>
      <w:r>
        <w:t>A change to hides or skins of camels or dromedaries of heading 41.03 from any other chapter, except from Chapter 43; or A change to any other good of heading 41.03 from any other chapter. 41.04 A change to heading 41.04 from any other heading, except from 41.07. 4105.10 A change to subheading 4105.10 from heading 41.02 or any other chapter.</w:t>
      </w:r>
    </w:p>
    <w:p>
      <w:pPr>
        <w:pStyle w:val="Normal"/>
      </w:pPr>
      <w:r>
        <w:t>4105.30 A change to subheading 4105.30 from heading 41.02, subheading 4105.10 or any other chapter. 4-B-34 4106.21 A change to subheading 4106.21 from subheading 4103.10 or any other chapter. 4106.22 A change to subheading 4106.22 from subheading 4103.10 or 4106.21 or any other chapter. 4106.31 A change to subheading 4106.31 from subheading 4103.30 or any other chapter. 4106.32 A change to subheading 4106.32 from subheading 4103.30 or 4106.31 or any other chapter. 4106.40 A change to tanned hides and skins in the wet state (including wet-blue) of subheading 4106.40 from subheading 4103.20 or any other chapter; or A change to crust hides and skins of subheading 4106.40 from subheading 4103.20 or tanned hides and skins in the wet state (including wet-blue) of subheading 4106.40 or any other chapter. 4106.91 A change to subheading 4106.91 from subheading 4103.90 or any other chapter. 4106.92 A change to subheading 4106.92 from subheading 4103.90 or 4106.91 or any other chapter. 41.07 A change to heading 41.07 from heading 41.01 or any other chapter.</w:t>
      </w:r>
    </w:p>
    <w:p>
      <w:pPr>
        <w:pStyle w:val="Normal"/>
      </w:pPr>
      <w:r>
        <w:t>41.12 A change to heading 41.12 from heading 41.02, subheading 4105.10 or any other chapter. 41.13 A change to heading 41.13 from heading 41.03, subheading 4106.21 or 4106.31, tanned hides and skins in the wet state (including wet-blue) of subheading 4106.40, subheading 4106.91 or any other chapter.</w:t>
      </w:r>
    </w:p>
    <w:p>
      <w:pPr>
        <w:pStyle w:val="Normal"/>
      </w:pPr>
      <w:r>
        <w:t>41.14 A change to heading 41.14 from heading 41.01 through 41.03, subheading 4105.10, 4106.21, 4106.31 or 4106.91 or any other chapter. 4115.10-4115.20 A change to subheading 4115.10 through 4115.20 from heading 41.01 through 41.03 or any other chapter. Chapter 42 Articles of Leather; Saddlery and Harness; Travel Goods, Handbags and Similar Containers; Articles of Animal Gut (Other Than Silk-Worm Gut) A change to heading 42.01 from any other chapter. 4-B-35 42.01 4202.11 A change to subheading 4202.11 from any other chapter. 4202.12 A change to subheading 4202.12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4202.19-4202.21 A change to subheading 4202.19 through 4202.21 from any other chapter.</w:t>
      </w:r>
    </w:p>
    <w:p>
      <w:pPr>
        <w:pStyle w:val="Normal"/>
      </w:pPr>
      <w:r>
        <w:t>4202.22 A change to subheading 4202.22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4202.29-4202.31 A change to subheading 4202.29 through 4202.31 from any other chapter.</w:t>
      </w:r>
    </w:p>
    <w:p>
      <w:pPr>
        <w:pStyle w:val="Normal"/>
      </w:pPr>
      <w:r>
        <w:t>4202.32 A change to subheading 4202.32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4202.39-4202.91 A change to subheading 4202.39 through 4202.91 from any other chapter. 4202.92 A change to subheading 4202.92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4202.99 A change to subheading 4202.99 from any other chapter. 42.03-42.06 A change to heading 42.03 through 42.06 from any other chapter. Chapter 43 Furskins and Artificial Fur; Manufactures Thereof A change to heading 43.01 from any other chapter. 4-B-36 43.01 43.02 A change to heading 43.02 from any other heading. 43.03-43.04 A change to heading 43.03 through 43.04 from any heading outside that group.</w:t>
      </w:r>
    </w:p>
    <w:p>
      <w:pPr>
        <w:pStyle w:val="AnnexSection"/>
      </w:pPr>
      <w:bookmarkStart w:id="900138" w:name="_Toc300000137"/>
      <w:r>
        <w:t xml:space="preserve">Section IX - Wood and Articles of Wood; Wood Charcoal; Cork and Articles of Cork; Manufactures of Straw, of Esparto, or of Other Plaiting Materials; Basketware and Wickerwork (Chapter 44-46)</w:t>
      </w:r>
      <w:bookmarkEnd w:id="900138"/>
    </w:p>
    <w:p>
      <w:pPr>
        <w:pStyle w:val="Normal"/>
      </w:pPr>
      <w:r>
        <w:t xml:space="preserve">Chapter 44 Wood and Articles of Wood; Wood Charcoal 44.01-44.21 A change to heading 44.01 through 44.21 from any other heading, including another heading within that group. Chapter 45 Cork and Articles of Cork 45.01-45.02 A change to heading 45.01 through 45.02 from any other heading, including another heading within that group. 4503.10 A change to a good of subheading 4503.10 from any other good within that subheading or any other subheading. 4503.90 A change to subheading 4503.90 from any other heading. 45.04 A change to heading 45.04 from any other heading. Chapter 46 Manufactures of Straw, of Esparto or of Other Plaiting Materials; Basketware and Wickerwork 46.01 A change to heading 46.01 from any other chapter. 46.02 A change to heading 46.02 from any other heading.</w:t>
      </w:r>
    </w:p>
    <w:p>
      <w:pPr>
        <w:pStyle w:val="AnnexSection"/>
      </w:pPr>
      <w:bookmarkStart w:id="900139" w:name="_Toc300000138"/>
      <w:r>
        <w:t xml:space="preserve">Section X - Pulp of Wood or of other Fibrous Cellulosic Material; Waste and Scrap of Paper or Paperboard;</w:t>
      </w:r>
      <w:r>
        <w:t xml:space="preserve"> </w:t>
      </w:r>
      <w:r>
        <w:t xml:space="preserve">Paper and Paperboard and Articles Thereof (Chapter 47-49)</w:t>
      </w:r>
      <w:bookmarkEnd w:id="900139"/>
    </w:p>
    <w:p>
      <w:pPr>
        <w:pStyle w:val="Normal"/>
      </w:pPr>
      <w:r>
        <w:t xml:space="preserve">Chapter 47 Pulp of Wood or of Other Fibrous Cellulosic Material; Waste and Scrap of Paper or Paperboard 47.01-47.07 A change to heading 47.01 through 47.07 from any other chapter. 4-B-37 Chapter 48 Paper and Paperboard; Articles of Paper Pulp, of Paper or of Paperboard 48.01 A change to heading 48.01 from any other chapter.</w:t>
      </w:r>
    </w:p>
    <w:p>
      <w:pPr>
        <w:pStyle w:val="Normal"/>
      </w:pPr>
      <w:r>
        <w:t>48.02 A change to paper or paperboard in strips or rolls of a width not exceeding 15 cm of heading 48.02 from strips or rolls of a width exceeding 15 cm of heading 48.02 or any other heading, except from heading 48.17 through 48.23; A change to paper or paperboard in rectangular (including square) sheets with the larger dimension not exceeding 36 cm or the other dimension not exceeding 15 cm in the unfolded state of heading 48.02 from strips or rolls of a width exceeding 15 cm of heading 48.02, paper or paperboard in rectangular (including square) sheets with the larger dimension exceeding 36 cm and the other dimension exceeding 15 cm in the unfolded state of heading 48.02 or from any other heading, except from heading 48.17 through 48.23; or A change to any other good of heading 48.02 from any other chapter. 48.03-48.07 A change to heading 48.03 through 48.07 from any other chapter. 48.08-48.09 A change to heading 48.08 through 48.09 from any heading outside that group.</w:t>
      </w:r>
    </w:p>
    <w:p>
      <w:pPr>
        <w:pStyle w:val="Normal"/>
      </w:pPr>
      <w:r>
        <w:t>48.10 A change to paper or paperboard in strips or rolls of a width not exceeding 15 cm of heading 48.10 from strips or rolls of a width exceeding 15 cm of heading 48.10, or from any other heading, except from heading 48.17 through 48.23; A change to paper or paperboard in rectangular (including square) sheets with the larger dimension not exceeding 36 cm or the other dimension not exceeding 15 cm in the unfolded state of heading 48.10 from strips or rolls of a width exceeding 15 cm of heading 48.10, paper or paperboard in rectangular (including square) sheets with the larger dimension exceeding 36 cm and the other dimension exceeding 15 cm in the unfolded state of heading 48.10, or from any other heading, except from heading 48.17 through 48.23; or A change to any other good of heading 48.10 from any other chapter.</w:t>
      </w:r>
    </w:p>
    <w:p>
      <w:pPr>
        <w:pStyle w:val="Normal"/>
      </w:pPr>
      <w:r>
        <w:t>48.11 A change to paper or paperboard in strips or rolls of a width not exceeding 15cm of heading 48.11 from strips or rolls of a width exceeding 15 cm of heading 48.11, floor coverings on a base of paper or paperboard of 4-B-38 heading 48.11, or from any other heading, except from heading 48.17 through 48.23; A change to paper or paperboard in rectangular (including square) sheets with the larger dimension not exceeding 36 cm or the other dimension not exceeding 15 cm in the unfolded state of heading 48.11 from strips or rolls of a width exceeding 15 cm of heading 48.11, paper or paperboard in rectangular (including square) sheets with the larger dimension exceeding 36 cm and the other dimension exceeding 15 cm in the unfolded state of heading 48.11, floor coverings on a base of paper or paperboard of heading 48.11 or any other heading, except from heading 48.17 through 48.23;</w:t>
      </w:r>
    </w:p>
    <w:p>
      <w:pPr>
        <w:pStyle w:val="Normal"/>
      </w:pPr>
      <w:r>
        <w:t>A change to floor coverings on a base of paper or paperboard of heading 48.11 from any other good of heading 48.11 or any other heading, except from heading 48.14 or floor coverings on a base of paper or paperboard of subheading 4823.90; or A change to any other good of heading 48.11 from floor coverings on a base of paper or paperboard of heading 48.11 or any other chapter. 48.12-48.13 A change to heading 48.12 through 48.13 from any other chapter. 48.14 A change to heading 48.14 from any other heading, except from floor coverings on a base of paper or paperboard of heading 48.11.</w:t>
      </w:r>
    </w:p>
    <w:p>
      <w:pPr>
        <w:pStyle w:val="Normal"/>
      </w:pPr>
      <w:r>
        <w:t>48.16 A change to heading 48.16 from any other heading, except from heading 48.09. 48.17-48.22 A change to heading 48.17 through 48.22 from any heading outside that group, except from heading 48.23. 48.23 A change to strips or rolls of a width of 15 cm or less of heading 48.23 from strips or rolls of a width exceeding 15 cm of heading 48.23, other than strips or rolls of heading 48.23 which, but for their width, would be classified in heading 48.03, 48.09 or 48.14, floor coverings on a base of paper or paperboard of heading 48.23, or from any other heading, except from heading 48.17 through 48.22; A change to strips or rolls of a width exceeding 15 cm of heading 48.23 from floor coverings on a base of paper or paperboard of heading 48.23, or any other heading, except from heading 48.17 through 48.22;</w:t>
      </w:r>
    </w:p>
    <w:p>
      <w:pPr>
        <w:pStyle w:val="Normal"/>
      </w:pPr>
      <w:r>
        <w:t>4-B-39 A change to floor coverings on a base of paper or paperboard of heading 48.23 from any other good of heading 48.23 or any other heading, except from floor coverings on a base of paper or paperboard of heading 48.11 or 48.14; or A change to any other good of heading 48.23 from strip or rolls of a width exceeding 15 cm of heading 48.23, other than strips or rolls of heading 48.23 which but for their width would be classified in heading 48.03, 48.09 or 48.14, floor coverings on a base of paper or paperboard of heading 48.23, from or any other heading, except from strip or rolls of a width exceeding 15 cm but not exceeding 36 cm or paper or paperboard in rectangular</w:t>
      </w:r>
    </w:p>
    <w:p>
      <w:pPr>
        <w:pStyle w:val="Normal"/>
      </w:pPr>
      <w:r>
        <w:t xml:space="preserve">(including square) sheets with one side not exceeding 15 cm in the unfolded state of heading 48.02, 48.10 or 48.11, or from heading 48.17 through 48.22. Chapter 49 Printed Books, Newspapers, Pictures and Other Products of the Printing Industry; Manuscripts, Typescripts and Plans 49.01-49.11 A change to heading 49.01 through 49.11 from any other chapter.</w:t>
      </w:r>
    </w:p>
    <w:p>
      <w:pPr>
        <w:pStyle w:val="AnnexSection"/>
      </w:pPr>
      <w:bookmarkStart w:id="900140" w:name="_Toc300000139"/>
      <w:r>
        <w:t xml:space="preserve">Section XI - Textiles and Textile Articles (Chapter 50-63)</w:t>
      </w:r>
      <w:bookmarkEnd w:id="900140"/>
    </w:p>
    <w:p>
      <w:pPr>
        <w:pStyle w:val="Normal"/>
      </w:pPr>
      <w:r>
        <w:t xml:space="preserve">Note 1: The textile and apparel rules are read in conjunction with Chapter 6 (Textile and Apparel Goods). For the purposes of these rules, the term “wholly” means that the good is made entirely or solely of the named material. Note 2: A good classified in Chapter 50 through 63 shall be considered originating, notwithstanding the origin of the following materials, provided that the good otherwise meets the applicable product specific rule: (a) rayon filament, other than lyocell or acetate, of heading 54.03 or 54.05, or (b) rayon fiber, other than lyocell or acetate, of heading 55.02, 55.04, or 55.07. Chapter 50 Silk 50.01-50.03 A change to heading 50.01 through 50.03 from any other chapter.</w:t>
      </w:r>
    </w:p>
    <w:p>
      <w:pPr>
        <w:pStyle w:val="Normal"/>
      </w:pPr>
      <w:r>
        <w:t>50.04-50.06 A change to heading 50.04 through 50.06 from any heading outside that group. A change to heading 50.07 from any other heading. 4-B-40 50.07 Chapter 51 Wool, Fine or Coarse Animal Hair; Horsehair Yarn and Woven Fabric 51.01-51.05 A change to heading 51.01 through 51.05 from any other chapter.</w:t>
      </w:r>
    </w:p>
    <w:p>
      <w:pPr>
        <w:pStyle w:val="Normal"/>
      </w:pPr>
      <w:r>
        <w:t>51.06-51.10 A change to heading 51.06 through 51.10 from any heading outside that group. 51.11 A change to heading 51.11 from any heading, except from heading 51.06 through 51.10, 51.12 through 51.13, 52.05 through 52.06, 54.01 through 54.04 or 55.09 through 55.10. 5112.11 For the purposes of trade between Canada and the United States of goods of subheading 5112.11, the following rules of origin apply: A change to woven fabrics (other than tapestry fabrics or upholstery fabrics of a weight not exceeding 140 grams per square meter) of combed fine animal hair of subheading 5112.11 from yarn of combed camel hair or combed cashmere of subheading 5108.20 or any other heading (except from heading 51.06 through 51.07, any other good of heading 51.08, or heading 51.09 through 51.11, 52.05 through 52.06, 54.01 through 54.04, or 55.09 through 55.10); or A change to any other good of subheading 5112.11 from any other heading, except from heading 51.06 through 51.11 or 51.13, 52.05 through 52.06, 54.01 through 54.04 or 55.09 through 55.10.</w:t>
      </w:r>
    </w:p>
    <w:p>
      <w:pPr>
        <w:pStyle w:val="Normal"/>
      </w:pPr>
      <w:r>
        <w:t>For the purposes of all other trade of subheading 5112.11 the following rule of origin applies: A change to subheading 5112.11 from any other heading, except from heading 51.06 through 51.11 or 51.13, 52.05 through 52.06, 54.01 through 54.04 or 55.09 through 55.10.</w:t>
      </w:r>
    </w:p>
    <w:p>
      <w:pPr>
        <w:pStyle w:val="Normal"/>
      </w:pPr>
      <w:r>
        <w:t>5112.19 For the purposes of trade between Canada and the United States of goods of subheading 5112.19, the following rules of origin apply: A change to woven fabrics, other than tapestry or upholstery fabrics, of combed fine animal hair of subheading 5112.19 from yarn of combed camel hair or combed cashmere of subheading 5108.20 or any other heading (except from heading 51.06 through 51.07, any other good of heading 51.08 or headings 51.09 through 4-B-41 51.11, 52.05 through 52.06, 54.01 through 54.04 or 55.09 through 55.10); or A change to any other good of subheading 5112.19 from any other heading, except from heading 51.06 through 51.10, 51.11, 51.13, 52.05 through 52.06, 54.01 through 54.04 or 55.09 through 55.10. For the purposes of all other trade of subheading 5112.19 the following rule of origin applies: A change to subheading 5112.19 from any other heading, except from heading 51.06 through 51.11 or 51.13, 52.05 through 52.06, 54.01 through 54.04 or 55.09 through 55.10.</w:t>
      </w:r>
    </w:p>
    <w:p>
      <w:pPr>
        <w:pStyle w:val="Normal"/>
      </w:pPr>
      <w:r>
        <w:t>5112.20-5112.90 A change to subheading 5112.20 through 5112.90 from any other heading, except from heading 51.06 through 51.11 or 51.13, 52.05 through 52.06, 54.01 through 54.04 or 55.09 through 55.10. 51.13 A change to heading 51.13 from any other heading, except from heading 51.06 through 51.12, 52.05 through 52.06, 54.01 through 54.04 or 55.09 through 55.10.</w:t>
      </w:r>
    </w:p>
    <w:p>
      <w:pPr>
        <w:pStyle w:val="Normal"/>
      </w:pPr>
      <w:r>
        <w:t>Chapter 52 Cotton 52.01-52.07 A change to heading 52.01 through 52.07 from any other chapter, except from heading 54.01 through 54.05 or 55.01 through 55.07. 52.08-52.12 A change to heading 52.08 through 52.12 from any heading outside that group, except from heading 51.06 through 51.10, 52.05 through 52.06, 54.01 through 54.04 or 55.09 through 55.10. Chapter 53 Other Vegetable Textile Fibers; Paper Yarn and Woven Fabrics of Paper Yarn 53.01-53.05 A change to heading 53.01 through 53.05 from any other chapter. 53.06-53.08 A change to heading 53.06 through 53.08 from any heading outside that group. 53.09-53.11 A change to heading 53.09 through 53.11 from any other heading. Chapter 54 Man-Made Filaments 4-B-42 54.01-54.06 A change to heading 54.01 through 54.06 from any other chapter, except from heading 52.01 through 52.03 or 55.01 through 55.07.</w:t>
      </w:r>
    </w:p>
    <w:p>
      <w:pPr>
        <w:pStyle w:val="Normal"/>
      </w:pPr>
      <w:r>
        <w:t>54.07 A change to woven fabric of non-textured polyester filaments of subheading 5407.61 from yarns, with a twist of 900 or more turns per meter, wholly of polyesters other than partially oriented measuring no less than 75 decitex but not more than 80 decitex, and having 24 filaments per yarn of subheading 5402.44, 5402.47 or 5402.52, or any other chapter, except from heading 51.06 through 51.10, 52.05 through 52.06 or 55.09 through 55.10. A change to any other good of heading 54.07 from any other chapter, except from heading 51.06 through 51.10, 52.05 through 52.06 or 55.09 through 55.10.</w:t>
      </w:r>
    </w:p>
    <w:p>
      <w:pPr>
        <w:pStyle w:val="Normal"/>
      </w:pPr>
      <w:r>
        <w:t>54.08 A change to heading 54.08 from any other chapter, except from heading 51.06 through 51.10, 52.05 through 52.06, or 55.09 through 55.10. Chapter 55 Man-Made Staple Fibers 55.01-55.08 A change to heading 55.01 through 55.08 from any other chapter, except from heading 52.01 through 52.03 or 54.01 through 54.05. 5509.11-5509.22 A change to subheading 5509.11 through 5509.22 from any other chapter, except from heading 52.01 through 52.03 or 54.01 through 54.05. 5509.31 For the purposes of trade between Canada and the United States of goods of subheading 5509.31 the following rule of origin applies: A change to subheading 5509.31 from acid-dyeable acrylic tow of subheading 5501.30 or any other chapter, except from heading 52.01 through 52.03 or 54.01 through 54.05. For the purposes of all other trade of subheading 5509.31 the following rule of origin applies: A change to subheading 5509.31 from any other chapter, except from heading 52.01 through 52.03 or 54.01 through 54.05. 5509.32-5509.99 A change to subheading 5509.32 through 5509.99 from any other chapter, except from heading 52.01 through 52.03 or 54.01 through 54.05.</w:t>
      </w:r>
    </w:p>
    <w:p>
      <w:pPr>
        <w:pStyle w:val="Normal"/>
      </w:pPr>
      <w:r>
        <w:t>4-B-43 55.10-55.11 A change to heading 55.10 through 55.11 from any other chapter, except from heading 52.01 through 52.03 or 54.01 through 54.05. 55.12-55.16 A change to heading 55.12 through 55.16 from any heading outside that group, except from heading 51.06 through 51.10, 52.05 through 52.06, 54.01 through 54.04 or 55.09 through 55.10.</w:t>
      </w:r>
    </w:p>
    <w:p>
      <w:pPr>
        <w:pStyle w:val="Normal"/>
      </w:pPr>
      <w:r>
        <w:t>Chapter 56 Wadding, Felt, and Nonwovens; Special Yarns; Twine, Cordage, Ropes, and Cables and Articles Thereof 56.01-56.05 A change to heading 56.01 through 56.05 from any other chapter, except from heading 51.06 through 51.13, 52.04 through 52.12, 53.10 through 53.11 or Chapter 54 through 55. 56.06 A change to heading 56.06 from flat yarns of subheading 5402.45 (flat yarns means 7 denier/5 filament, 10 denier/7 filament or 12 denier/5 filament, all of nylon 66, untextured (flat) semi-dull yarns, multifilament, untwisted or with a twist not exceeding 50 turns per meter, of subheading 5402.45) or any other chapter, except from heading 51.06 through 51.13, 52.04 through 52.12, 53.10 through 53.11 or Chapter 54 through 55. A change to any other good of heading 56.06 from any other chapter, except from heading 51.06 through 51.13, 52.04 through 52.12, 53.10 through 53.11, or Chapter 54 through 55. 56.07-56.09 A change to heading 56.07 through 56.09 from any other chapter, except from heading 51.06 through 51.13, 52.04 through 52.12, 53.10 through 53.11 or Chapter 54 through 55.</w:t>
      </w:r>
    </w:p>
    <w:p>
      <w:pPr>
        <w:pStyle w:val="Normal"/>
      </w:pPr>
      <w:r>
        <w:t>Chapter 57 Carpets and Other Textile Floor Coverings 57.01-57.02 A change to heading 57.01 through 57.02 from any other chapter, except from heading 51.06 through 51.13, 52.04 through 52.12, 53.11, Chapter 54 or heading 55.08 through 55.16.</w:t>
      </w:r>
    </w:p>
    <w:p>
      <w:pPr>
        <w:pStyle w:val="Normal"/>
      </w:pPr>
      <w:r>
        <w:t>5703.10 A change to subheading 5703.10 from any other chapter, except from heading 51.06 through 51.13, 52.04 through 52.12, 53.11, Chapter 54 or heading 55.08 through 55.16. 5703.20-5703.30 For the purposes of trade between Mexico and the United States of goods of subheading 5703.20 through 5703.30 the following rule of origin applies: 4-B-44 A change to subheading 5703.20 through 5703.30 from any other chapter, except from heading 51.06 through 51.13, 52.04 through 52.12, 53.11, Chapter 54 or 55. For the purposes of all other trade of subheading 5703.20 through 5703.30 the following rule of origin applies: A change to subheading 5703.20 through 5703.30 from any other chapter, except from heading 51.06 through 51.13, 52.04 through 52.12, 53.11, Chapter 54 or heading 55.08 through 55.16. 5703.90 A change to subheading 5703.90 from any other chapter, except from heading 51.06 through 51.13, 52.04 through 52.12, 53.11, Chapter 54 or heading 55.08 through 55.16. 57.04 For the purposes of trade between Mexico and the United States of goods of heading 57.04 the following rule of origin applies:</w:t>
      </w:r>
    </w:p>
    <w:p>
      <w:pPr>
        <w:pStyle w:val="Normal"/>
      </w:pPr>
      <w:r>
        <w:t>A change to heading 57.04 from any chapter, except from heading 51.06 through 51.13, 52.04 through 52.12, 53.11, or Chapter 54 or 55. For the purposes of all other trade of heading 57.04 the following rule of origin applies: A change to heading 57.04 from any other chapter, except from heading 51.06 through 51.13, 52.04 through 52.12, 53.11, Chapter 54 or heading 55.08 through 55.16.</w:t>
      </w:r>
    </w:p>
    <w:p>
      <w:pPr>
        <w:pStyle w:val="Normal"/>
      </w:pPr>
      <w:r>
        <w:t>57.05 A change to heading 57.05 from any other chapter, except from heading 51.06 through 51.13, 52.04 through 52.12, 53.11, Chapter 54 or heading 55.08 through 55.16. Chapter 58 Special Woven Fabrics; Tufted Textile Fabrics; Lace; Tapestries; Trimmings; Embroidery 5801.10-5801.33 A change to subheading 5801.10 through 5801.33 from any other chapter, except from heading 51.06 through 51.13, 52.04 through 52.12, 53.10 through 53.11, or Chapter 54 through 55. 5801.36 For the purposes of trade between Canada and the United States of goods of subheading 5801.36 the following rule of origin applies: 4-B-45 A change to subheading 5801.36 from any other chapter, except heading 51.06 through 51.13, 52.04 through 52.12, 53.10 through 53.11, Chapter 54, heading 55.01 through 55.02, subheading 5503.10 through 5503.20 or 5503.40 through 5503.90 or heading 55.04 through 55.16. For the purposes of all other trade of subheading 5801.36 the following rule of origin applies: A change to subheading 5801.36 from any other chapter, except from heading 51.06 through 51.13, 52.04 through 52.12, 53.10 through 53.11, or Chapter 54 through 55.</w:t>
      </w:r>
    </w:p>
    <w:p>
      <w:pPr>
        <w:pStyle w:val="Normal"/>
      </w:pPr>
      <w:r>
        <w:t>5801.37 For the purposes of trade between Canada and the United States of goods of subheading 5801.37 the following rules of origin apply: A change to warp pile fabrics, cut, of subheading 5801.37 (if such fabrics are fabrics with pile of dry-spun acrylic staple fibers of subheading 5503.30 and dyed in the piece to a single uniform color) from any other chapter, except from heading 51.06 through 51.13, 52.04 through 52.12, 53.10 through 53.11, Chapter 54, heading 55.01 through 55.02, subheading 5503.10 through 5503.20 or 5503.40 through 5503.90 or heading 55.04 through 55.16; or A change to any other good of subheading 5801.37 from any other chapter, except from heading 51.06 through 51.13, 52.04 through 52.12, 53.10 through 53.11, or Chapter 54 through 55. For the purposes of all other trade of subheading 5801.37 the following rule of origin applies: A change to subheading 5801.37 from any other chapter, except from heading 51.06 through 51.13, 52.04 through 52.12, 53.10 through 53.11, or Chapter 54 through 55.</w:t>
      </w:r>
    </w:p>
    <w:p>
      <w:pPr>
        <w:pStyle w:val="Normal"/>
      </w:pPr>
      <w:r>
        <w:t>5801.90 A change to subheading 5801.90 from any other chapter, except from heading 51.06 through 51.13, 52.04 through 52.12, 53.10 through 53.11, or Chapter 54 through 55. 58.02-58.11 A change to heading 58.02 through 58.11 from any other chapter, except from heading 51.06 through 51.13, 52.04 through 52.12, 53.10 through 53.11, or Chapter 54 through 55.</w:t>
      </w:r>
    </w:p>
    <w:p>
      <w:pPr>
        <w:pStyle w:val="Normal"/>
      </w:pPr>
      <w:r>
        <w:t>4-B-46 Chapter 59 Impregnated, Coated, Covered, or Laminated Textile Fabrics; Textile Articles of a Kind Suitable For Industrial Use 59.01 A change to heading 59.01 from any other chapter, except from heading 51.11 through 51.13, 52.08 through 52.12, 53.10 through 53.11, 54.07 through 54.08 or 55.12 through 55.16. 59.02 A change to heading 59.02 from any other heading, except from heading 51.06 through 51.13, 52.04 through 52.12, 53.10 through 53.11 or Chapter 54 through 55. 59.03-59.08 A change to heading 59.03 through 59.08 from any other chapter, except from heading 51.11 through 51.13, 52.08 through 52.12, 53.10 through 53.11, 54.07 through 54.08 or 55.12 through 55.16. 59.09 A change to heading 59.09 from any other chapter, except from heading 51.11 through 51.13, 52.08 through 52.12 or 53.10 through 53.11, Chapter 54 or heading 55.12 through 55.16. 59.10 A change to heading 59.10 from any other heading, except from heading 51.06 through 51.13, 52.04 through 52.12, 53.10 through 53.11, or Chapter 54 through 55.</w:t>
      </w:r>
    </w:p>
    <w:p>
      <w:pPr>
        <w:pStyle w:val="Normal"/>
      </w:pPr>
      <w:r>
        <w:t>59.11 A change to heading 59.11 from any other chapter, except from heading 51.11 through 51.13, 52.08 through 52.12, 53.10 through 53.11, 54.07 through 54.08 or 55.12 through 55.16. Chapter 60 Knitted or Crocheted Fabrics 60.01-60.06 A change to heading 60.01 through 60.06 from any other chapter, except from heading 51.06 through 51.13, Chapter 52, heading 53.10 through 53.11, or Chapter 54 through 55.</w:t>
      </w:r>
    </w:p>
    <w:p>
      <w:pPr>
        <w:pStyle w:val="Normal"/>
      </w:pPr>
      <w:r>
        <w:t>Chapter 61 Articles of Apparel and Clothing Accessories, Knitted or Crocheted Note 1: For the purposes of determining the origin of a good of this chapter, the rule applicable to that good shall only apply to the component that determines the tariff classification of the good and such component must satisfy the tariff change requirements set out in the rule for that good. Note 2: Effective 18 months from the date of entry into force of the agreement, and notwithstanding Chapter Note 1, a good of this chapter containing fabrics of subheading 5806.20 or heading 60.02 is originating only if such fabrics are 4-B-47 both formed from yarn and finished in the territory of one or more of the Parties. Note 3:</w:t>
      </w:r>
    </w:p>
    <w:p>
      <w:pPr>
        <w:pStyle w:val="Normal"/>
      </w:pPr>
      <w:r>
        <w:t>Effective 12 months from the date of entry into force of the agreement, and notwithstanding Chapter Note 1, a good of this chapter containing sewing thread of heading 52.04, 54.01 or 55.08, or yarn of heading 54.02 used as sewing thread shall be considered originating only if such sewing thread is both formed and finished in the territory of one or more of the Parties. Note 4: Effective 18 months from the date of entry into force of the agreement, and notwithstanding Chapter Note 1, if a good of this chapter contains a pocket or pockets, the pocket bag fabric must be formed and finished in the territory of one or more of the Parties from yarn wholly formed in one or more of the Parties.</w:t>
      </w:r>
    </w:p>
    <w:p>
      <w:pPr>
        <w:pStyle w:val="Normal"/>
      </w:pPr>
      <w:r>
        <w:t>61.01-61.02 A change to heading 61.01 through 61.02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6103.10-6103.22 A change to subheading 6103.10 through 6103.22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6103.23 For the purposes of trade between Mexico and the United States of goods of subheading 6103.23 the following rules of origin apply:</w:t>
      </w:r>
    </w:p>
    <w:p>
      <w:pPr>
        <w:pStyle w:val="Normal"/>
      </w:pPr>
      <w:r>
        <w:t>A change to sweaters of subheading 6110.30 classified as part of an ensemble of subheading 6103.23 from any other chapter, except from heading 51.06 through 51.13, 52.04 through 52.12, 53.10 through 53.11, Chapter 54 or 55 or heading 60.01 through 60.06, provided that the good is both cut (or knit to shape) and sewn or otherwise assembled in the territory of one or more of the Parties; or A change to any other good of subheading 6103.23 from any other chapter, except from heading 51.06 through 51.13, 52.04 through 52.12, 53.10 through 53.11, Chapter 54, heading 55.08 through 55.16, or 60.01 through 60.06, provided that the</w:t>
      </w:r>
    </w:p>
    <w:p>
      <w:pPr>
        <w:pStyle w:val="Normal"/>
      </w:pPr>
      <w:r>
        <w:t>good is both cut (or knit to shape) and sewn or otherwise assembled in the territory of one or more of the Parties. 4-B-48 For the purposes of all other trade of subheading 6103.23 the following rule of origin applies: A change to subheading 6103.23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 6103.29-6103.49 A change to subheading 6103.29 through 6103.49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pPr>
        <w:pStyle w:val="Normal"/>
      </w:pPr>
      <w:r>
        <w:t>6104.13-6104.22 A change to subheading 6104.13 through 6104.22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pPr>
        <w:pStyle w:val="Normal"/>
      </w:pPr>
      <w:r>
        <w:t>6104.23 For the purposes of trade between Mexico and the United States of goods of subheading 6104.23 the following rules of origin apply: A change to sweaters of subheading 6110.30 classified as part of an ensemble of subheading 6104.23 from any other chapter, except from heading 51.06 through 51.13, 52.04 through 52.12, 53.10 through 53.11, Chapter 54 or 55 or heading 60.01 through 60.06, provided that the good is both cut (or knit to shape) and sewn or otherwise assembled in the territory of one or more of the Parties; or A change to any other good of subheading 6104.23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 For the purposes of all other trade of subheading 6104.23 the following rule of origin applies:</w:t>
      </w:r>
    </w:p>
    <w:p>
      <w:pPr>
        <w:pStyle w:val="Normal"/>
      </w:pPr>
      <w:r>
        <w:t>4-B-49 A change to subheading 6104.23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w:t>
      </w:r>
    </w:p>
    <w:p>
      <w:pPr>
        <w:pStyle w:val="Normal"/>
      </w:pPr>
      <w:r>
        <w:t>6104.29-6104.69 A change to subheading 6104.29 through 6104.69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61.05-61.06 A change to heading 61.05 through 61.06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6107.11-6107.19 A change to subheading 6107.11 through 6107.19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w:t>
      </w:r>
    </w:p>
    <w:p>
      <w:pPr>
        <w:pStyle w:val="Normal"/>
      </w:pPr>
      <w:r>
        <w:t>6107.21 A change to subheading 6107.21 from:</w:t>
      </w:r>
    </w:p>
    <w:p>
      <w:pPr>
        <w:pStyle w:val="Normal"/>
      </w:pPr>
      <w:r>
        <w:t>(a) circular knit fabric, wholly of cotton yarns exceeding 100 metric number per single yarn, of subheading 6006.21, circular knit fabric, wholly of cotton yarns exceeding 100 metric number per single yarn, of subheading 6006.22, circular knit fabric, wholly of cotton yarns exceeding 100 metric number per single yarn, of subheading 6006.23 or circular knit fabric, wholly of cotton yarns exceeding 100 metric number per single yarn, of subheading 6006.24, provided that the good, exclusive of collar, cuffs, waistband or elastic, is wholly of such fabric and the good is both cut and sewn or otherwise assembled in the territory of one or more of the Parties, and such goods will not be subject to Notes 2 through 4 of this Chapter; or (b) any other chapter, except from heading 51.06 through 51.13, 52.04 through 52.12, 53.10 through 53.11, Chapter 54 or heading 55.08 through 55.16 or 60.01 through 60.06, provided that the good is 4-B-50 both cut (or knit to shape) and sewn or otherwise assembled in the territory of one or more of the Parties.</w:t>
      </w:r>
    </w:p>
    <w:p>
      <w:pPr>
        <w:pStyle w:val="Normal"/>
      </w:pPr>
      <w:r>
        <w:t>6107.22-6107.99 A change to subheading 6107.22 through 6107.99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pPr>
        <w:pStyle w:val="Normal"/>
      </w:pPr>
      <w:r>
        <w:t>6108.11-6108.19 A change to subheading 6108.11 through 6108.19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6108.21 A change to subheading 6108.21 from:</w:t>
      </w:r>
    </w:p>
    <w:p>
      <w:pPr>
        <w:pStyle w:val="Normal"/>
      </w:pPr>
      <w:r>
        <w:t>(a) circular knit fabric, wholly of cotton yarns exceeding 100 metric number per single yarn, of subheading 6006.21, circular knit fabric, wholly of cotton yarns exceeding 100 metric number per single yarn, of subheading 6006.22, circular knit fabric, wholly of cotton yarns exceeding 100 metric number per single yarn, of subheading 6006.23 or circular knit fabric, wholly of cotton yarns exceeding 100 metric number per single yarn, of subheading 6006.24, provided that the good, exclusive of waistband, elastic or lace, is wholly of such fabric and the good is both cut and sewn or otherwise assembled in the territory of one or more of the Parties, and such goods will not be subject to Notes 2 through 4 of this Chapter; or (b)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w:t>
      </w:r>
    </w:p>
    <w:p>
      <w:pPr>
        <w:pStyle w:val="Normal"/>
      </w:pPr>
      <w:r>
        <w:t>Parties. 6108.22-6108.29 A change to subheading 6108.22 through 6108.29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 4-B-51 6108.31 A change to subheading 6108.31 from:</w:t>
      </w:r>
    </w:p>
    <w:p>
      <w:pPr>
        <w:pStyle w:val="Normal"/>
      </w:pPr>
      <w:r>
        <w:t>(a) circular knit fabric, wholly of cotton yarns exceeding 100 metric number per single yarn, of subheading 6006.21, circular knit fabric, wholly of cotton yarns exceeding 100 metric number per single yarn, of subheading 6006.22, circular knit fabric, wholly of cotton yarns exceeding 100 metric number per single yarn, of subheading 6006.23 or circular knit fabric, wholly of cotton yarns exceeding 100 metric number per single yarn, of subheading 6006.24, provided that the good, exclusive of collar, cuffs, waistband, elastic or lace, is wholly of such fabric and the good is both cut and sewn or otherwise assembled in the territory of one or more of the Parties, and such goods will not be subject to Notes 2 through 4 of this Chapter; or (b) any other chapter, except from heading 51.06 through 51.13, 52.04 through 52.12, 53.10 through 53.11, Chapter 54 or heading 55.08 through 55.16 or 60.01 through 60.06, provided that the good is both cut (or knit to shape) and sewn or otherwise assembled in the</w:t>
      </w:r>
    </w:p>
    <w:p>
      <w:pPr>
        <w:pStyle w:val="Normal"/>
      </w:pPr>
      <w:r>
        <w:t>territory of one or more of the Parties. 6108.32-6108.99 A change to subheading 6108.32 through 6108.99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61.09 A change to heading 61.09 from any other chapter, except from heading 51.06 through 51.13, 52.04 through 52.12, 53.10 through 53.11, Chapter 54 or heading 55.08 through 55.16 or 60.01 through 60.06, or other made- up textile articles of heading 96.19, provided that the good is both cut (or knit to shape) and sewn or otherwise assembled in the territory of one or more of the Parties.</w:t>
      </w:r>
    </w:p>
    <w:p>
      <w:pPr>
        <w:pStyle w:val="Normal"/>
      </w:pPr>
      <w:r>
        <w:t>6110.11-6110.20 A change to subheading 6110.11 through 6110.20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w:t>
      </w:r>
    </w:p>
    <w:p>
      <w:pPr>
        <w:pStyle w:val="Normal"/>
      </w:pPr>
      <w:r>
        <w:t>6110.30 For the purposes of trade between Mexico and the United States of goods of subheading 6110.30 the following rules of origin apply: 4-B-52 61.11 A change to sweaters of subheading 6110.30 from any other chapter, except from heading 51.06 through 51.13, 52.04 through 52.12, 53.10 through 53.11, Chapter 54 or 55 or heading 60.01 through 60.06, provided that the good is both cut (or knit to shape) and sewn or otherwise assembled in the territory of one or more of the Parties; or A change to any other good of subheading 6110.30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 For the purposes of all other trade of subheading 6110.30 the following rule of origin applies:</w:t>
      </w:r>
    </w:p>
    <w:p>
      <w:pPr>
        <w:pStyle w:val="Normal"/>
      </w:pPr>
      <w:r>
        <w:t>A change to subheading 6110.30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w:t>
      </w:r>
    </w:p>
    <w:p>
      <w:pPr>
        <w:pStyle w:val="Normal"/>
      </w:pPr>
      <w:r>
        <w:t>6110.90 A change to subheading 6110.90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 A change to heading 61.11 from any other chapter, except from heading 51.06 through 51.13, 52.04 through 52.12, 53.10 through 53.11, Chapter 54 or heading 55.08 through 55.16 or 60.01 through 60.06, or other made- up textile articles of heading 96.19, provided that the good is both cut (or knit to shape) and sewn or otherwise assembled in the territory of one or more of the Parties. 61.12-61.17 A change to heading 61.12 through 61.17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pPr>
        <w:pStyle w:val="Normal"/>
      </w:pPr>
      <w:r>
        <w:t>4-B-53 Chapter 62 Articles of Apparel and Clothing Accessories, Not Knitted or Crocheted Note 1: Apparel goods of this chapter shall be considered to originate if they are both cut and sewn or otherwise assembled in the territory of one or more of the Parties and if the fabric of the outer shell, exclusive of collars or cuffs, is wholly of one or more of the following: (a) Velveteen fabrics of subheading 5801.23, containing 85 percent or more by weight of cotton; (b) Corduroy fabrics of subheading 5801.22, containing 85 percent or more by weight of cotton and containing more than 7.5 wales per centimeter; (c) Fabrics of subheading 5111.11 or 5111.19, if handwoven, with a loom width of less than 76 cm, woven in the United Kingdom in accordance with the rules and regulations of the Harris Tweed Authority, Ltd., and so certified by the Authority;</w:t>
      </w:r>
    </w:p>
    <w:p>
      <w:pPr>
        <w:pStyle w:val="Normal"/>
      </w:pPr>
      <w:r>
        <w:t>(d) Fabrics of subheading 5112.30, weighing not more than 340 grams per square meter, containing wool, not less than 20 percent by weight of fine animal hair and not less than 15 percent by weight of manmade staple fibers; or (e) Batiste fabrics of subheading 5513.11 or 5513.21, of square construction, of single yarns exceeding 76 metric count, containing between 60 and 70 warp ends and filling picks per square centimeter, of a weight not exceeding 110 grams per square meter. Such apparel goods shall not be subject to Notes 3 through 5 of this Chapter.</w:t>
      </w:r>
    </w:p>
    <w:p>
      <w:pPr>
        <w:pStyle w:val="Normal"/>
      </w:pPr>
      <w:r>
        <w:t>Note 2: For the purposes of determining the origin of a good of this chapter, the rule applicable to that good shall only apply to the component that determines the tariff classification of the good and such component must satisfy the tariff change requirements set out in the rule for that good. Note 3: Effective 18 months from the date of entry into force of the agreement, and notwithstanding Chapter Note 2, a good of this chapter containing fabrics of subheading 5806.20 or heading 60.02 is originating only if such fabrics are both formed and finished from yarn in the territory of one or more of the Parties. 4-B-54 Note 4: Effective 12 months from the date of entry into force of the agreement, and notwithstanding Chapter Note 2, a good of this chapter containing sewing thread of heading 52.04, 54.01 or 55.08, or yarn of heading 54.02 used as sewing thread shall be considered originating only if such sewing thread is both formed and finished in the territory of one or more of the Parties. Note 5:</w:t>
      </w:r>
    </w:p>
    <w:p>
      <w:pPr>
        <w:pStyle w:val="Normal"/>
      </w:pPr>
      <w:r>
        <w:t>For apparel made of blue denim fabric of subheading 5209.42, 5211.42, 5212.24, and 5514.30, effective 30 months from the date of entry into force of the agreement, and notwithstanding Chapter Note 2, if such goods of this chapter contain a pocket or pockets, the pocket bag fabric must be formed and finished in the territory of one or more of the Parties from yarn wholly formed in one or more of the Parties.</w:t>
      </w:r>
    </w:p>
    <w:p>
      <w:pPr>
        <w:pStyle w:val="Normal"/>
      </w:pPr>
      <w:r>
        <w:t>For all other apparel, effective 18 months from the date of entry into force of the agreement, and notwithstanding Chapter Note 2, if a good of this chapter contains a pocket or pockets, the pocket bag fabric must be formed and finished in the territory of one or more of the Parties from yarn wholly formed in one or more of the Parties. 62.01-62.04 A change to heading 62.01 through 62.04 from any other chapter, except from heading 51.06 through 51.13 52.04 through 52.12, 53.10 through 53.11, Chapter 54, heading 55.08 through 55.16, 58.01 through 58.02 or 60.01 through 60.06, provided that the good is both cut (or knit to shape) and sewn or otherwise assembled in the territory of one or more of the Parties. 6205.20-6205.30 Note:</w:t>
      </w:r>
    </w:p>
    <w:p>
      <w:pPr>
        <w:pStyle w:val="Normal"/>
      </w:pPr>
      <w:r>
        <w:t>Men’s or boys’ shirts of cotton or man-made fibers shall be considered to originate if they are both cut and assembled in the territory of one or more of the Parties and if the fabric of the outer shell, exclusive of collars or cuffs, is wholly of one or more of the following: (a) Fabrics of subheading 5208.21, 5208.22, 5208.29, 5208.31, 5208.32, 5208.39, 5208.41, 5208.42, 5208.49, 5208.51, 5208.52 or 5208.59, other than 3-thread or 4-thread twill, including cross twill, fabric of subheading 5208.59 of average yarn number exceeding 135 metric; (b) Fabrics of subheading 5513.11 or 5513.21, not of square construction, containing more than 70 warp ends and filling picks per square centimeter, of average yarn number exceeding 70 metric; 4-B-55 (c)</w:t>
      </w:r>
    </w:p>
    <w:p>
      <w:pPr>
        <w:pStyle w:val="Normal"/>
      </w:pPr>
      <w:r>
        <w:t>Fabrics of subheading 5210.21 or 5210.31, not of square construction, containing more than 70 warp ends and filling picks per square centimeter, of average yarn number exceeding 70 metric; (d) Fabrics of subheading 5208.22 or 5208.32, not of square construction, containing more than 75 warp ends and filling picks per square centimeter, of average yarn number exceeding 65 metric; (e) Fabrics of subheading 5407.81, 5407.82 or 5407.83, weighing less than 170 grams per square meter, having a dobby weave created by a dobby attachment; (f) Fabrics of subheading 5208.42 or 5208.49, not of square construction, containing more than 85 warp ends and filling picks per square centimeter, of average yarn number exceeding 85 metric; (g) Fabrics of subheading 5208.51, of square construction, containing more than 75 warp ends and filling picks per square centimeter, made with single yarns, of average yarn number 95 or greater metric;</w:t>
      </w:r>
    </w:p>
    <w:p>
      <w:pPr>
        <w:pStyle w:val="Normal"/>
      </w:pPr>
      <w:r>
        <w:t>(h) Fabrics of subheading 5208.41, of square construction, with a gingham pattern, containing more than 85 warp ends and filling picks per square centimeter, made with single yarns, of average yarn number 95 or greater metric, and characterized by a check effect produced by the variation in color of the yarns in the warp and filling; or (i) Fabrics of subheading 5208.41, with the warp colored with vegetable dyes, and the filling yarns white or colored with vegetable dyes, of average yarn number greater than 65 metric.</w:t>
      </w:r>
    </w:p>
    <w:p>
      <w:pPr>
        <w:pStyle w:val="Normal"/>
      </w:pPr>
      <w:r>
        <w:t>Such apparel goods shall not be subject to Notes 3 through 5 of this Chapter. A change to any other good of subheading 6205.20 through 6205.30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4-B-56 62.06 6205.90 A change to subheading 6205.90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A change to heading 62.06 from any other chapter, except from heading 51.06 through 51.13, 52.04 through 52.12, or 53.10 through 53.11, Chapter 54 or heading 55.08 through 55.16, 58.01 through 58.02 or 60.01 through 60.06, provided that the good is both cut and sewn or otherwise assembled in the territory of one or more of the Parties.</w:t>
      </w:r>
    </w:p>
    <w:p>
      <w:pPr>
        <w:pStyle w:val="Normal"/>
      </w:pPr>
      <w:r>
        <w:t>6207.11 Note: Men’s or boys’ boxer shorts of cotton of subheading 6207.11 shall be considered to originate if they are both cut and sewn or otherwise assembled in the territory of one or more of the Parties, and if the plain weave fabric of the outer shell, exclusive of waistbands, is wholly of one or more of the following: (a) Fabrics of subheading 5208.41, yarn-dyed, with a fiber content of 100 percent cotton, 95 to 100 grams per square meter, of average yarn number 37 to 42 metric; (b) Fabrics of subheading 5208.42, yarn-dyed, with a fiber content of 100 percent cotton, weighing not more than 105 grams per square meter, of average yarn number 47 to 53 metric; (c) Fabrics of subheading 5208.51, printed, with a fiber content of 100 percent cotton, 93 to 97 grams per square meter, of average yarn number 38 to 42 metric; (d) Fabrics of subheading 5208.52, printed, with a fiber content of 100 percent cotton, 112 to 118 grams per square meter, of average yarn number 38 to 42 metric;</w:t>
      </w:r>
    </w:p>
    <w:p>
      <w:pPr>
        <w:pStyle w:val="Normal"/>
      </w:pPr>
      <w:r>
        <w:t>(e) Fabrics of subheading 5210.11, greige, with a fiber content of 51 to 60 percent cotton, 49 to 40 percent polyester, 100 to 112 grams per square meter, of average yarn number 55 to 65 metric; (f) Fabrics of subheading 5210.41, yarn-dyed, with a fiber content of 51 to 60 percent cotton, 49 to 40 percent polyester, 77 to 82 grams per square meter, of average yarn number 43 to 48 metric; 4-B-57 (g) Fabrics of subheading 5210.41, yarn-dyed, with a fiber content of 51 to 60 percent cotton, 49 to 40</w:t>
      </w:r>
    </w:p>
    <w:p>
      <w:pPr>
        <w:pStyle w:val="Normal"/>
      </w:pPr>
      <w:r>
        <w:t>percent polyester, 85 to 90 grams per square meter, of average yarn number 69 to 75 metric; (h) Fabrics of subheading 5210.51, printed, with a fiber content of 51 to 60 percent cotton, 49 to 40 percent polyester, 107 to 113 grams per square meter, of average yarn number 33 to 37 metric; (i) Fabrics of subheading 5210.51, printed, with a fiber content of 51 to 60 percent cotton, 49 to 40 percent polyester, 92 to 98 grams per square meter, of average yarn number 43 to 48 metric; or (j) Fabrics of subheading 5210.51, printed, with a fiber content of 51 to 60 percent cotton, 49 to 40 percent polyester, 105 to 112 grams per square meter, of average yarn number 50 to 60 metric. Such apparel goods shall not be subject to Notes 3 through 5 of this Chapter.</w:t>
      </w:r>
    </w:p>
    <w:p>
      <w:pPr>
        <w:pStyle w:val="Normal"/>
      </w:pPr>
      <w:r>
        <w:t>A change to any other good of subheading 6207.11 from any other chapter, except from heading 51.06 through 51.13, 52.04 through 52.12, 53.10 through 53.11, Chapter 54 or heading 55.08 through 55.16, 58.01 through 58.02 or 60.01 through 60.06, or other made-up textile articles of heading 96.19, provided that the good is both cut and sewn or otherwise assembled in the territory of one or more of the Parties.</w:t>
      </w:r>
    </w:p>
    <w:p>
      <w:pPr>
        <w:pStyle w:val="Normal"/>
      </w:pPr>
      <w:r>
        <w:t>6207.19-6207.99 A change to heading 6207.19 through 6207.99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62.08-62.11 A change to heading 62.08 through 62.11 from any other chapter, except from heading 51.06 through 51.13, 52.04 through 52.12, 53.10 through 53.11, Chapter 54, heading 55.08 through 55.16, 58.01 through 58.02 or 60.01 through 60.06, provided that the good is both cut and sewn or otherwise assembled in the territory of one or more of the Parties. 6212.10 A change to subheading 6212.10 from any other chapter, provided that the good is both cut and sewn or otherwise assembled in the territory of one or more of the Parties. Such goods shall not be subject to Notes 3 through 5 of this Chapter.</w:t>
      </w:r>
    </w:p>
    <w:p>
      <w:pPr>
        <w:pStyle w:val="Normal"/>
      </w:pPr>
      <w:r>
        <w:t>4-B-58 6212.20-6212.90 A change to subheading 6212.20 through 6212.90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w:t>
      </w:r>
    </w:p>
    <w:p>
      <w:pPr>
        <w:pStyle w:val="Normal"/>
      </w:pPr>
      <w:r>
        <w:t>62.13-62.17 A change to heading 62.13 through 62.17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Chapter 63 Other Made Up Textile Articles; Sets; Worn Clothing and Worn Textile Articles; Rags Note 1: For the purposes of determining the origin of a good of this chapter, the rule applicable to that good shall only apply to the component that determines the tariff classification of the good and such component must satisfy the tariff change requirements set out in the rule for that good. Note 2:</w:t>
      </w:r>
    </w:p>
    <w:p>
      <w:pPr>
        <w:pStyle w:val="Normal"/>
      </w:pPr>
      <w:r>
        <w:t>Effective 18 months from the date of entry into force of the agreement, and not withstanding Chapter Note 1, for the purposes of determining the origin of a good of this chapter, a good of this chapter containing fabrics of heading 59.03 shall be considered originating only if all fabrics used in the production of the fabrics of heading 59.03 are formed and finished in the territory of one or more of the Parties. This note shall not apply to goods of heading 63.05, goods of subheading 6306.12 or 6306.22, or goods of subheading 6307.90 that are not surgical drapes or national flags.</w:t>
      </w:r>
    </w:p>
    <w:p>
      <w:pPr>
        <w:pStyle w:val="Normal"/>
      </w:pPr>
      <w:r>
        <w:t>63.01-63.02 A change to heading 63.01 through 63.02 from any other chapter, except from heading 51.06 through 51.13, 52.04 through 52.12 53.10 through 53.11, Chapter 54 through 55, or heading 58.01 through 58.02 or 60.01 through 60.06, provided that the good is both cut (or knit to shape) and sewn or otherwise assembled in the territory of one or more of the Parties. 6303.12-6303.91 A change to subheading 6303.12 through 6303.91 from any other chapter, except from heading 51.06 through 51.13, 52.04 through 52.12, 53.10 through 53.11, Chapter 54 through 55 or heading 58.01 through 58.02 or 60.01 through 60.06, provided that the good is both cut (or knit to shape) and sewn or otherwise assembled in the territory of one or more of the Parties.</w:t>
      </w:r>
    </w:p>
    <w:p>
      <w:pPr>
        <w:pStyle w:val="Normal"/>
      </w:pPr>
      <w:r>
        <w:t>6303.92 A change to curtains of subheading 6303.92 made of fabrics wholly of non-textured polyester filaments from yarn, with a twist of 900 or more 4-B-59 turns per meter, wholly of polyesters other than partially oriented, measuring not less than 75 decitex but not more than 80 decitex, and having 24 filaments per yarn of subheading 5402.44, 5402.47 or 5402.52, provided that the good is both cut and sewn or otherwise assembled in the territory of one or more of the Parties, and such goods will not be subject to Note 2 of this Chapter; A change to any other good of subheading 6303.92 from any other chapter, except from heading 51.06 through 51.13, 52.04 through 52.12, 53.10 through 53.11, Chapter 54 through 55 or heading 58.01 through</w:t>
      </w:r>
    </w:p>
    <w:p>
      <w:pPr>
        <w:pStyle w:val="Normal"/>
      </w:pPr>
      <w:r>
        <w:t xml:space="preserve">58.02 or 60.01 through 60.06, provided that the good is both cut (or knit to shape) and sewn or otherwise assembled in the territory of one or more of the Parties. 6303.99 A change to subheading 6303.99 from any other chapter, except from heading 51.06 through 51.13, 52.04 through 52.12, 53.10 through 53.11, Chapter 54 through 55 or heading 58.01 through 58.02 or 60.01 through 60.06, provided that the good is both cut (or knit to shape) and sewn or otherwise assembled in the territory of one or more of the Parties. 63.04-63.10 A change to heading 63.04 through 63.10 from any other chapter, except from heading 51.06 through 51.13, 52.04 through 52.12, 53.10 through 53.11, Chapter 54 through 55 or heading 58.01 through 58.02 or 60.01 through 60.06, or other made-up textile articles of heading 96.19, provided that the good is both cut (or knit to shape) and sewn or otherwise assembled in the territory of one or more of the Parties.</w:t>
      </w:r>
    </w:p>
    <w:p>
      <w:pPr>
        <w:pStyle w:val="AnnexSection"/>
      </w:pPr>
      <w:bookmarkStart w:id="900141" w:name="_Toc300000140"/>
      <w:r>
        <w:t xml:space="preserve">Section XII - Footwear, Headgear, Umbrellas, Sun Umbrellas, Walking-Sticks, Seat-Sticks, Whips, Riding-Crops and Parts Thereof;</w:t>
      </w:r>
      <w:r>
        <w:t xml:space="preserve"> </w:t>
      </w:r>
      <w:r>
        <w:t xml:space="preserve">Prepared Feathers and Articles Made Therewith; Artificial Flowers; Articles of Human Hair (Chapter 64-67)</w:t>
      </w:r>
      <w:bookmarkEnd w:id="900141"/>
    </w:p>
    <w:p>
      <w:pPr>
        <w:pStyle w:val="Normal"/>
      </w:pPr>
      <w:r>
        <w:t xml:space="preserve">Chapter 64 Footwear, Gaiters and the Like; Parts of Such Articles 64.01-64.05 A change to heading 64.01 through 64.05 from any heading outside that group, except from subheading 6406.10, provided there is a regional value content of not less than 55 percent under the net cost method.</w:t>
      </w:r>
    </w:p>
    <w:p>
      <w:pPr>
        <w:pStyle w:val="Normal"/>
      </w:pPr>
      <w:r>
        <w:t>6406.10 A change to subheading 6406.10 from any other subheading, except from heading 64.01 through 64.05, provided there is a regional value content of not less than 55 percent under the net cost method. 6406.20-6406.90 A change to subheading 6406.20 through 6406.90 from any other chapter. Chapter 65 Headgear and Parts Thereof 4-B-60 65.01-65.02 A change to heading 65.01 through 65.02 from any other chapter. 65.04-65.07 A change to heading 65.04 through 65.07 from any heading outside that group. Chapter 66 Umbrellas, Sun Umbrellas, Walking-Sticks, Seat-Sticks, Whips, Riding-Crops and Parts Thereof 66.01 A change to heading 66.01 from any other heading, except from a combination of both: (a) subheading 6603.20; and (b) heading 39.20 through 39.21, 50.07, 51.11 through 51.13, 52.08 through 52.12, 53.09 through 53.11, 54.07 through 54.08, 55.12 through 55.16, 56.02 through 56.03, 58.01 through 58.11, 59.01 through 59.11 and 60.01 through 60.06. 66.02 A change to heading 66.02 from any other heading. 66.03 A change to heading 66.03 from any other chapter. Chapter 67 Prepared Feathers and Down and Articles Made of Feathers or of Down;</w:t>
      </w:r>
    </w:p>
    <w:p>
      <w:pPr>
        <w:pStyle w:val="Normal"/>
      </w:pPr>
      <w:r>
        <w:t>Artificial Flowers; Articles of Human Hair 67.01 A change to heading 67.01 from any other heading; or A change to a good of feather or down of heading 67.01 from within that heading or any other heading. 67.02-67.04 A change to heading 67.02 through 67.04 from any other heading, including another heading within that group.</w:t>
      </w:r>
    </w:p>
    <w:p>
      <w:pPr>
        <w:pStyle w:val="AnnexSection"/>
      </w:pPr>
      <w:bookmarkStart w:id="900142" w:name="_Toc300000141"/>
      <w:r>
        <w:t xml:space="preserve">Section XIII - Articles of Stone, Plaster, Cement, Asbestos, Mica or Similar Materials; Ceramic Products; Glass and Glassware (Chapter 68-70)</w:t>
      </w:r>
      <w:bookmarkEnd w:id="900142"/>
    </w:p>
    <w:p>
      <w:pPr>
        <w:pStyle w:val="Normal"/>
      </w:pPr>
      <w:r>
        <w:t xml:space="preserve">Chapter 68 Articles of Stone, Plaster, Cement, Asbestos, Mica or Similar Materials 68.01-68.11 A change to heading 68.01 through 68.11 from any other chapter. 6812.80 A change to clothing, clothing accessories, footwear and headgear of subheading 6812.80 from any other subheading; 4-B-61 A change to fabricated crocidolite fibers or mixtures with a basis of crocidolite or with a basis of crocidolite and magnesium carbonate of subheading 6812.80 from any other chapter; A change to yarn or thread of subheading 6812.80 from any other good of subheading 6812.80 or any other subheading; A change to cords or string, whether or not plaited, of subheading 6812.80 from any other good of subheading 6812.80 or any other subheading, except from woven or knitted fabric of subheading 6812.80;</w:t>
      </w:r>
    </w:p>
    <w:p>
      <w:pPr>
        <w:pStyle w:val="Normal"/>
      </w:pPr>
      <w:r>
        <w:t>A change to woven or knitted fabric of subheading 6812.80 from any other good of subheading 6812.80 or any other subheading, except from cords or string, whether or not plaited, of subheading 6812.80; or A change to any other good of subheading 6812.80 from fabricated crocidolite fibers or mixtures with a basis of crocidolite and magnesium carbonate, yarn or thread, cords or string, whether or not plaited, or woven or knitted fabric of subheading 6812.80 or from any other subheading. 6812.91 A change to subheading 6812.91 from any other subheading.</w:t>
      </w:r>
    </w:p>
    <w:p>
      <w:pPr>
        <w:pStyle w:val="Normal"/>
      </w:pPr>
      <w:r>
        <w:t>6812.92-6812.99 A change to fabricated asbestos fibers or mixtures with a basis of asbestos or with a basis of asbestos and magnesium carbonate of subheading 6812.99 from any other chapter; A change to yarn or thread of subheading 6812.99 from any other good of subheading 6812.99 or any other subheading; A change to cords or string, whether or not plaited, of subheading 6812.99 from any other good of subheading 6812.99 or any other subheading, except from woven or knitted fabric of subheading 6812.99; A change to woven or knitted fabric of subheading 6812.99 from any other good of subheading 6812.99 or any other subheading, except from cords or string, whether or not plaited, of subheading 6812.99; or A change to any other good of subheading 6812.92 through 6812.99 from fabricated asbestos fibers or mixtures with a basis of asbestos or with a basis of asbestos and magnesium carbonate, yarn or thread, cords or string, whether or not plaited, or woven or knitted fabric of subheading 6812.99 or from any subheading outside that group.</w:t>
      </w:r>
    </w:p>
    <w:p>
      <w:pPr>
        <w:pStyle w:val="Normal"/>
      </w:pPr>
      <w:r>
        <w:t>4-B-62 68.13 A change to heading 68.13 from any other heading. 68.14-68.15 A change to heading 68.14 through 68.15 from any other chapter. Chapter 69 Ceramic Products 69.01-69.14 A change to heading 69.01 through 69.14 from any other chapter. Chapter 70 Glass and Glassware 70.01 A change to heading 70.01 from any other heading. 7002.10 A change to subheading 7002.10 from any other heading.</w:t>
      </w:r>
    </w:p>
    <w:p>
      <w:pPr>
        <w:pStyle w:val="Normal"/>
      </w:pPr>
      <w:r>
        <w:t xml:space="preserve">7002.20 A change to subheading 7002.20 from any other chapter. 7002.31 A change to subheading 7002.31 from any other heading. 7002.32-7002.39 A change to subheading 7002.32 through 7002.39 from any other chapter. 70.03-70.0812 A change to heading 70.03 through 70.08 from any heading outside that group, except from heading 70.09. 7009.10-7009.9113 A change to subheading 7009.10 through 7009.91 from any other heading, except from heading 70.03 through 70.08. 7009.92 A change to subheading 7009.92 from any other subheading. 70.10-70.18 A change to heading 70.10 through 70.18 from any other chapter. 70.19 A change to heading 70.19 from any other heading, except from heading 70.07 through 70.18 or 70.20. 70.20 A change to heading 70.20 from any other chapter.</w:t>
      </w:r>
    </w:p>
    <w:p>
      <w:pPr>
        <w:pStyle w:val="AnnexSection"/>
      </w:pPr>
      <w:bookmarkStart w:id="900143" w:name="_Toc300000142"/>
      <w:r>
        <w:t xml:space="preserve">Section XIV - Natural or Cultured Pearls, Precious or Semi-precious Stones, Precious Metals, Metals Clad with Precious Metal, and Articles Thereof; Imitation Jewellery; Coin (Chapter 71)</w:t>
      </w:r>
      <w:bookmarkEnd w:id="900143"/>
    </w:p>
    <w:p>
      <w:pPr>
        <w:pStyle w:val="Normal"/>
      </w:pPr>
      <w:r>
        <w:t xml:space="preserve">12 If the good is for use in a vehicle of Chapter 87, the provisions of the Appendix to this Annex apply.</w:t>
      </w:r>
    </w:p>
    <w:p>
      <w:pPr>
        <w:pStyle w:val="Normal"/>
      </w:pPr>
      <w:r>
        <w:t>13 If the good is for use in a vehicle of Chapter 87, the provisions of the Appendix to this Annex apply. 4-B-63 Chapter 71 Natural or Cultured Pearls, Precious or Semi-Precious Stones, Precious Metals, Metals Clad with Precious Metal, and Articles Thereof; Imitation Jewellery; Coin (Chapter 71) 71.01-71.05 A change to heading 71.01 through 71.05 from any other chapter.</w:t>
      </w:r>
    </w:p>
    <w:p>
      <w:pPr>
        <w:pStyle w:val="Normal"/>
      </w:pPr>
      <w:r>
        <w:t>7106.10-7106.92 A change to subheading 7106.10 through 7106.92 from any other subheading, including another subheading within that group; or No required change in tariff classification to subheading 7106.91, whether or not there is also a change from another subheading, provided that the non-originating materials undergo electrolytic, thermal or chemical separation or alloying. 71.07 A change to heading 71.07 from any other chapter. 7108.11-7108.20 A change to subheading 7108.11 through 7108.20 from any other subheading, including another subheading within that group; or No required change in tariff classification to subheading 7108.12, whether or not there is also a change from another subheading, provided that the non-originating materials undergo electrolytic, thermal or chemical separation or alloying. 71.09 A change to heading 71.09 from any other chapter. 7110.11-7110.49 A change to subheading 7110.11 through 7110.49 from any other subheading, including another subheading within that group. 71.11 A change to heading 71.11 from any other chapter. 71.12 A change to heading 71.12 from any other heading. 71.13-71.18 A change to heading 71.13 through 71.18 from any heading outside that group.</w:t>
      </w:r>
    </w:p>
    <w:p>
      <w:pPr>
        <w:pStyle w:val="AnnexSection"/>
      </w:pPr>
      <w:bookmarkStart w:id="900144" w:name="_Toc300000143"/>
      <w:r>
        <w:t xml:space="preserve">Section XV - Base Metals and Articles of Base Metal (Chapter 72-83)</w:t>
      </w:r>
      <w:bookmarkEnd w:id="900144"/>
    </w:p>
    <w:p>
      <w:pPr>
        <w:pStyle w:val="Normal"/>
      </w:pPr>
      <w:r>
        <w:t xml:space="preserve">Chapter 72 Iron and Steel A change to heading 72.01 from any other chapter. 7202.11-7202.60 A change to subheading 7202.11 through 7202.60 from any other chapter.</w:t>
      </w:r>
    </w:p>
    <w:p>
      <w:pPr>
        <w:pStyle w:val="Normal"/>
      </w:pPr>
      <w:r>
        <w:t>4-B-64 72.01 7202.70 A change to subheading 7202.70 from any other chapter, except from subheading 2613.10. 7202.80-7202.99 A change to subheading 7202.80 through 7202.99 from any other chapter. 72.03-72.05 A change to heading 72.03 through 72.05 from any other chapter. 72.06-72.07 A change to heading 72.06 through 72.07 from any heading outside that group. 72.08-72.16 A change to heading 72.08 through 72.16 from any heading outside that group. 72.17 A change to heading 72.17 from any other heading, except from heading 72.13 through 72.15. 72.18-72.22 A change to heading 72.18 through 72.22 from any heading outside that group. 72.23 A change to heading 72.23 from any other heading, except from heading 72.21 through 72.22. 72.24-72.28 A change to heading 72.24 through 72.28 from any heading outside that group. 72.29 A change to heading 72.29 from any other heading, except from heading 72.27 through 72.28. Chapter 73 Articles of Iron or Steel 73.01-73.03 A change to heading 73.01 through 73.03 from any other chapter. 7304.11-7304.39 A change to subheading 7304.11 through 7304.39 from any other chapter.</w:t>
      </w:r>
    </w:p>
    <w:p>
      <w:pPr>
        <w:pStyle w:val="Normal"/>
      </w:pPr>
      <w:r>
        <w:t>7304.41 7304.41.aa A change to tariff item 7304.41.aa from subheading 7304.49 or any other chapter. 7304.41 A change to subheading 7304.41 from any other chapter. 7304.49-7304.90 A change to subheading 7304.49 through 7304.90 from any other chapter.</w:t>
      </w:r>
    </w:p>
    <w:p>
      <w:pPr>
        <w:pStyle w:val="Normal"/>
      </w:pPr>
      <w:r>
        <w:t>73.05-73.07 4-B-65 Note: Beginning on January 1, 2020 or the date of entry into force of the Agreement, whichever is later, until December 31, 2022 or three years after entry into force of this Agreement, whichever is later, the following rule of origin shall apply to heading 73.05 through 73.07: A change to heading 73.05 through 73.07 from any other chapter. Note: Beginning on January 1, 2023, or three years after entry into force of this Agreement, whichever is later, and thereafter, the following rules of origin shall apply to heading 73.05 through 73.07: A change to heading 73.05 through 73.07 from any other heading, except from heading 72.08 through 72.29 or 73.01 through 73.26; or A change to heading 73.05 through 73.07 from heading 72.08 through 72.29 or 73.01 through 73.26, provided that at least 70 percent by weight of the materials of heading 72.08 through 72.29 and heading 73.01 through 73.26 is originating; or No required change in tariff classification to heading 73.05 through 73.07 provided there is a regional value content of not less than: (a) 75 percent where the transaction value method is used; or (b) 65 percent where the net cost method is used.</w:t>
      </w:r>
    </w:p>
    <w:p>
      <w:pPr>
        <w:pStyle w:val="Normal"/>
      </w:pPr>
      <w:r>
        <w:t>7308.10 Note: Beginning on January 1 2020 or the date of entry into force of the Agreement, whichever is later, until December 31, 2021 or two years after entry into force of this Agreement, whichever is later, the following rules of origin shall apply to subheading 7308.10: A change to subheading 7308.10 from any other heading, except for changes resulting from the following processes performed on angles, shapes, or sections of heading 72.16: (a) drilling, punching, notching, cutting, cambering, or sweeping, whether performed individually or in combination; (b) adding attachments or weldments for composite construction; (c) adding attachments for handling purposes; 4-B-66 (d) adding weldments, connectors or attachments to H-sections or I- sections, provided that the maximum 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w:t>
      </w:r>
    </w:p>
    <w:p>
      <w:pPr>
        <w:pStyle w:val="Normal"/>
      </w:pPr>
      <w:r>
        <w:t>Note: Beginning on January 1, 2022 or two years after entry into force of this Agreement, whichever is later, and thereafter, the follow rules of origin shall apply to subheading 7308.10: A change to subheading 7308.10 from any other heading, except from heading 72.08, 72.11, 72.16, 72.25or 72.26; or A change to subheading 7308.10 from heading 72.08, 72.11, 72.16, 72.25 or 72.26, provided that at least 70 percent by weight of the materials of heading 72.08, 72.11, 72.16, 72.25 and 72.26 is originating; or No required change in tariff classification to subheading 7308.10 provided there is a regional value content of not less than: (a) 75 percent where the transaction value method is used; or (b) 65 percent where the net cost method is used. 7308.20 Note: Beginning on the date of entry into force of the Agreement until January 1, 2022 or two years after entry into force of this Agreement, whichever is later, the following rules of origin shall apply to subheading 7308.20:</w:t>
      </w:r>
    </w:p>
    <w:p>
      <w:pPr>
        <w:pStyle w:val="Normal"/>
      </w:pPr>
      <w:r>
        <w:t>A change to subheading 7308.20 from any other heading, except for changes resulting from the following processes performed on angles, shapes, or sections of heading 72.16: (a) drilling, punching, notching, cutting, cambering, or sweeping, whether performed individually or in combination; 4-B-67 (b) adding attachments or weldments for composite construction; (c) adding attachments for handling purposes; (d) adding weldments, connectors or attachments to H-sections or I- sections, provided that the maximum</w:t>
      </w:r>
    </w:p>
    <w:p>
      <w:pPr>
        <w:pStyle w:val="Normal"/>
      </w:pPr>
      <w:r>
        <w:t>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 Note: Beginning on January 1, 2022 or two years after entry into force of this Agreement, whichever is later, and thereafter, the follow rules of origin shall apply to subheading 7308.20: A change to subheading 7308.20 from any other heading, except from heading 72.08, 72.11, 72.16, 72.25or 72.26; or A change to subheading 7308.20 from heading 72.08, 72.11, 72.16, 72.25, or 72.26, provided that at least 70 percent by weight of the materials of heading 72.08, 72.11, 72.16, 72.25and 72.26 is originating; or No required change in tariff classification to subheading 7308.20 provided there is a regional value content of not less than: (a) 65 percent where the transaction value method is used; or (b) 55 percent where the net cost method is used.</w:t>
      </w:r>
    </w:p>
    <w:p>
      <w:pPr>
        <w:pStyle w:val="Normal"/>
      </w:pPr>
      <w:r>
        <w:t>7308.30 Note: Beginning on the date of entry into force of the Agreement until January 1, 2022 or two years after entry into force of this Agreement, whichever is later, the following rules of origin shall apply to subheading 7308.30: A change to subheading 7308.30 from any other heading, except for changes resulting from the following processes performed on angles, shapes, or sections of heading 72.16: 4-B-68 (a) drilling, punching, notching, cutting, cambering, or sweeping, whether performed individually or in combination; (b) adding attachments or weldments for composite construction; (c) adding attachments for handling purposes; (d) adding weldments, connectors or attachments to H-sections or I- sections, provided that the maximum 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w:t>
      </w:r>
    </w:p>
    <w:p>
      <w:pPr>
        <w:pStyle w:val="Normal"/>
      </w:pPr>
      <w:r>
        <w:t>Note: Beginning on January 1, 2022 or two years after entry into force of this Agreement, whichever is later, and thereafter, the follow rules of origin shall apply to subheading 7308.30: A change to subheading 7308.30 from any other heading, except from heading 72.08, 72.11, 72.16, 72.25 or 72.26; A change to subheading 7308.30 from heading 72.08, 72.11, 72.16, 72.25, or 72.26, provided that at least 70 percent by weight of the materials of heading 72.08, 72.11, 72.16, 72.25 and 72.26 is originating; or No required change in tariff classification to subheading 7308.30 provided there is a regional value content of not less than: (a) 75 percent where the transaction value method is used; or (b) 65 percent where the net cost method is used. 7308.40 Note: Beginning on the date of entry into force of the Agreement until January 1, 2022 or two years after entry into force of this Agreement, whichever is later, the following rules of origin shall apply to subheading 7308.40:</w:t>
      </w:r>
    </w:p>
    <w:p>
      <w:pPr>
        <w:pStyle w:val="Normal"/>
      </w:pPr>
      <w:r>
        <w:t>4-B-69 A change to subheading 7308.40 from any other heading, except for changes resulting from the following processes performed on angles, shapes, or sections of heading 72.16: (a) drilling, punching, notching, cutting, cambering, or sweeping, whether performed individually or in combination; (b) adding attachments or weldments for composite construction; (c) adding attachments for handling purposes; (d) adding weldments, connectors or attachments to H-sections or I- sections, provided that the maximum</w:t>
      </w:r>
    </w:p>
    <w:p>
      <w:pPr>
        <w:pStyle w:val="Normal"/>
      </w:pPr>
      <w:r>
        <w:t>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 Note: Beginning on January 1, 2022 or two years after entry into force of this Agreement, whichever is later, and thereafter, the follow rules of origin shall apply to subheading 7308.40: A change to subheading 7308.40 from any other heading, except from heading 72.08, 72.11, 72.16, 72.25 or 72.26; A change to subheading 7308.40 from heading 72.08, 72.11, 72.16, 72.25, or 72.26, provided that at least 70 percent by weight of the materials of heading 72.08, 72.11, 72.16, 72.25 and 72.26 is originating; or No required change in tariff classification to subheading 7308.40 provided there is a regional value content of not less than: (a) 65 percent where the transaction value method is used; or (b) 55 percent where the net cost method is used.</w:t>
      </w:r>
    </w:p>
    <w:p>
      <w:pPr>
        <w:pStyle w:val="Normal"/>
      </w:pPr>
      <w:r>
        <w:t>7308.90 4-B-70 Note: Beginning on the date of entry into force of the Agreement until January 1, 2022 or two years after entry into force of this Agreement, whichever is later, the following rules of origin shall apply to subheading 7308.90: A change to subheading 7308.90 from any other heading, except for changes resulting from the following processes performed on angles, shapes, or sections of heading 72.16: (a) drilling, punching, notching, cutting, cambering, or sweeping, whether performed individually or in combination; (b) adding attachments or weldments for composite construction; (c) adding attachments for handling purposes; (d) adding weldments, connectors or attachments to H-sections or I- sections, provided that the maximum 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w:t>
      </w:r>
    </w:p>
    <w:p>
      <w:pPr>
        <w:pStyle w:val="Normal"/>
      </w:pPr>
      <w:r>
        <w:t>Note: Beginning on January 1, 2022 or two years after entry into force of this Agreement, whichever is later, and thereafter, the follow rules of origin shall apply to subheading 7308.90: A change to subheading 7308.90 from any other heading, except from heading 72.08, 72.11, 72.16, 72.25 or 72.26; A change to subheading 7308.90 from heading 72.08, 72.11, 72.16, 72.25, or 72.26, provided that at least 70 percent by weight of the materials of heading 72.08, 72.11, 72.16, 72.25 and 72.26 is originating; or No required change in tariff classification to subheading 7308.90 provided there is a regional value content of not less than 65 percent where the net cost method is used. 4-B-71 73.13 73.09-73.11 A change to heading 73.09 through 73.11 from any heading outside that group. 7312.10 Note: Beginning on the date of entry into force of the Agreement until January 1, 2023 or three years after entry into force of this Agreement, whichever is later, the following rule of origin shall apply to subheading 7312.10: A change to subheading 7312.10 from any other heading.</w:t>
      </w:r>
    </w:p>
    <w:p>
      <w:pPr>
        <w:pStyle w:val="Normal"/>
      </w:pPr>
      <w:r>
        <w:t>Note: Beginning on January 1, 2023, or three years after entry into force of this Agreement, whichever is later, and thereafter, the following rules of origin shall apply to subheading 7312.10: A change to subheading 7312.10 from any other heading except from heading 72.08 through 72.29 or 73.01 through 73.26; A change to subheading 7312.10 from heading 72.08 through 72.29 or 73.01 through 73.26, provided that at least 70 percent by weight of the materials of heading 72.08 through 72.29 and 73.01 through 73.26 is originating; or No required change in tariff classification to subheading 7312.10 provided there is a regional value content of not less than: (a) 75 percent where the transaction value method is used; or (b) 65 percent where the net cost method is used. 7312.90 A change to subheading 7312.90 from any other heading. Note: Beginning on the date of entry into force of the Agreement until January 1, 2023, or three years after entry into force of this Agreement, whichever is later, the following rule of origin shall apply to heading 73.13: A change to heading 73.13 from any other heading.</w:t>
      </w:r>
    </w:p>
    <w:p>
      <w:pPr>
        <w:pStyle w:val="Normal"/>
      </w:pPr>
      <w:r>
        <w:t>Note: Beginning on January 1, 2023 or three years after entry into force of this Agreement, whichever is later, and thereafter, the following rules of origin shall apply to heading 73.13: 4-B-72 A change to heading 73.13 from any other heading, except from heading 72.08 through 72.29 or 73.01 through 73.26; A change to heading 73.13 from heading 72.08 through 72.29 or 73.01 through 73.26, provided that at least 70 percent by weight of the materials of heading 72.08 through 72.29 and 73.01 through 73.26 is originating; or No required change in tariff classification to heading 73.13 provided there is a regional value content of not less than: (a) 75 percent where the transaction value method is used; or (b) 65 percent where the net cost method is used. 7314.12-7314.14 A change to subheading 7314.12 through 7314.14 from any other heading. 7314.19 Note: Beginning on the date of entry into force of the Agreement until January 1, 2023, or three years after entry into force of this Agreement, whichever is later, the following rule of origin shall apply to subheading 7314.19: A change to subheading 7314.19 from any other heading.</w:t>
      </w:r>
    </w:p>
    <w:p>
      <w:pPr>
        <w:pStyle w:val="Normal"/>
      </w:pPr>
      <w:r>
        <w:t>Note: Beginning on January 1, 2023 or three years after entry into force of this Agreement, whichever is later, and thereafter, the following rules of origin shall apply to subheading 7314.19: A change to subheading 7314.19 from any other heading, except from heading 72.08 through 72.29 or 73.01 through 73.26; A change to subheading 7314.19 from heading 72.08 through 72.29 or 73.01 through 73.26, provided that at least 70 percent by weight of the materials of heading 72.08 through 72.29 and 73.01 through 73.26 is originating; or No required change in tariff classification to subheading 7314.19 provided there is a regional value content of not less than: (a) 75 percent where the transaction value method is used; or (b) 65 percent where the net cost method is used. 4-B-73 7314.20 A change to subheading 7314.20 from any other heading. 7314.31-7314.49 Note: Beginning on the date of entry into force of the Agreement until January 1, 2023, or three years after entry into force of this Agreement, whichever is later, the following rule of origin shall apply to subheading 7314.31 through 7314.49: A change to subheading 7314.31 through 7314.49 from any other heading.</w:t>
      </w:r>
    </w:p>
    <w:p>
      <w:pPr>
        <w:pStyle w:val="Normal"/>
      </w:pPr>
      <w:r>
        <w:t>Note: Beginning on January 1, 2023 or three years after entry into force of this Agreement, whichever is later, and thereafter, the following rules of origin shall apply to subheading 7314.31 through 7314.49: A change to subheading 7314.31 through 7314.49 from any other heading, except from heading 72.08 through 72.29 or 73.01 through 73.26; A change to subheading 7314.31 through 7314.49 from heading 72.08 through 72.29 or 73.01 through 73.26, provided that at least 70 percent by weight of the materials of heading 72.08 through 72.29 and 73.01 through 73.26 is originating; or No required change in tariff classification to subheading 7314.31 through 7314.49 provided there is a regional value content of not less than: (a) 75 percent where the transaction value method is used; or (b) 65 percent where the net cost method is used. 7314.50 A change to subheading 7314.50 from any other heading.</w:t>
      </w:r>
    </w:p>
    <w:p>
      <w:pPr>
        <w:pStyle w:val="Normal"/>
      </w:pPr>
      <w:r>
        <w:t>7315.11-7315.12 A change to subheading 7315.11 through 7315.12 from any other heading; or A change to subheading 7315.11 through 7315.12 from subheading 7315.19, whether or not there is also a change from any other heading, provided there is a regional value content of not less than: (a) 60 percent where the transaction value method is used; or (b) 50 percent where the net cost method is used. 7315.19 A change to subheading 7315.19 from any other heading.</w:t>
      </w:r>
    </w:p>
    <w:p>
      <w:pPr>
        <w:pStyle w:val="Normal"/>
      </w:pPr>
      <w:r>
        <w:t>4-B-74 7315.20-7315.81 A change to subheading 7315.20 through 7315.81 from any other heading; or A change to subheading 7315.20 through 7315.81 from subheading 7315.90, whether or not there is also a change from any other heading, provided there is a regional value content of not less than: (a) 60 percent where the transaction value method is used; or (b) 50 percent where the net cost method is used. 7315.82-7315.89 Note: Beginning on the date of entry into force of the Agreement until January 1, 2023 or three years after entry into force of this Agreement, whichever is later, the following rules of origin shall apply to subheading 7315.82 through 7315.89: A change to subheading 7315.82 through 7315.89 from any other heading; or A change to subheading 7315.82 through 7315.89 from subheading 7315.90, whether or not there is also a change from any other heading, provided there is a regional value content of not less than: (a) 60 percent where the transaction value method is used, or (b) 50 percent where the net cost method is used.</w:t>
      </w:r>
    </w:p>
    <w:p>
      <w:pPr>
        <w:pStyle w:val="Normal"/>
      </w:pPr>
      <w:r>
        <w:t>Note: Beginning on January 1, 2023 or three years after entry into force of this Agreement, whichever is later, and thereafter, the following rules of origin shall apply to subheading 7315.82 through 7315.89: A change to subheading 7315.82 through 7315.89 from any other heading, except from heading 72.08 through 72.29 or 73.01 through 73.26; A change to subheading 7315.82 through 7315.89 from heading 72.08 through 72.29 or 73.01 through 73.26, provided that at least 70 percent by weight of the materials of heading 72.08 through 72.29 and 73.01 through 73.26 is originating; or No required change in tariff classification to subheading 7315.82 through 7315.89 provided there is a regional value content of not less than: 4-B-75 (a) 75 percent where the transaction value method is used; or (b) 65 percent where the net cost method is used. 7315.90 A change to subheading 7314.20 from any other heading. 73.16 A change to heading 73.16 from any other heading, except from heading 73.12 or 73.15. 73.17 Note:</w:t>
      </w:r>
    </w:p>
    <w:p>
      <w:pPr>
        <w:pStyle w:val="Normal"/>
      </w:pPr>
      <w:r>
        <w:t>Beginning on the date of entry into force of the Agreement until January 1 2023 or three years after entry into force of this Agreement, whichever is later, the following rule of origin shall apply to heading 73.17: A change to heading 73.17 from any other heading, except from heading 73.18.</w:t>
      </w:r>
    </w:p>
    <w:p>
      <w:pPr>
        <w:pStyle w:val="Normal"/>
      </w:pPr>
      <w:r>
        <w:t>Note: Beginning on January 1, 2023 or three years after entry into force of this Agreement, whichever is later, and thereafter, the following rules of origin shall apply to heading 73.17: A change to heading 73.17 from any other heading, except from heading 72.08 through 72.29 or 73.01 through 73.26; or A change to heading 73.17 from heading 72.08 through 72.29 or 73.01 through 73.26, provided that at least 70 percent by weight of the materials of heading 72.08 through 72.29 and 73.01 through 73.26 is originating; or No required change in tariff classification to heading 73.17 provided there is a regional value content of not less than: (a) 75 percent where the transaction value method is used; or (b) 65 percent where the net cost method is used. 73.18 A change to heading 73.18 from any other heading, except from heading 73.17. 73.19-73.20 A change to heading 73.19 through 73.20 from any heading outside that group. 4-B-76 7321.11 7321.11.aa A change to tariff item 7321.11.aa from any other subheading, except from tariff item 7321.90.aa, 7321.90.bb or 7321.90.cc.</w:t>
      </w:r>
    </w:p>
    <w:p>
      <w:pPr>
        <w:pStyle w:val="Normal"/>
      </w:pPr>
      <w:r>
        <w:t>7321.11 A change to subheading 7321.11 from any other heading; or A change to subheading 7321.11 from subheading 7321.90, whether or not there is also a change from any other heading, provided there is a regional value content of not less than: (a) 60 percent where the transaction value method is used, or (b) 50 percent where the net cost method is used.</w:t>
      </w:r>
    </w:p>
    <w:p>
      <w:pPr>
        <w:pStyle w:val="Normal"/>
      </w:pPr>
      <w:r>
        <w:t>7321.12-7321.89 A change to subheading 7321.12 through 7321.89 from any other heading; or A change to subheading 7321.12 through 7321.89 from subheading 7321.90, whether or not there is also a change from any other heading, provided there is a regional value content of not less than: (a) 60 percent where the transaction value method is used, or (b) 50 percent where the net cost method is used. 7321.90 7321.90.aa A change to tariff item 7321.90.aa from any other tariff item. 7321.90.bb A change to tariff item 7321.90.bb from any other tariff item. 7321.90.cc A change to tariff item 7321.90.cc from any other tariff item. 7321.90 A change to subheading 7321.90 from any other heading. 73.22-73.23 A change to heading 73.22 through 73.23 from any heading outside that group. 7324.10-7324.29 A change to subheading 7324.10 through 7324.29 from any other heading; or 4-B-77 74.04 A change to subheading 7324.10 through 7324.29 from subheading 7324.90, whether or not there is also a change from any other heading, provided there is a regional value content of not less than:</w:t>
      </w:r>
    </w:p>
    <w:p>
      <w:pPr>
        <w:pStyle w:val="Normal"/>
      </w:pPr>
      <w:r>
        <w:t>(a) 60 percent where the transaction value method is used; or (b) 50 percent where the net cost method is used. 7324.90 A change to subheading 7324.90 from any other heading. 73.25-73.26 A change to heading 73.25 through 73.26 from any heading outside that group.</w:t>
      </w:r>
    </w:p>
    <w:p>
      <w:pPr>
        <w:pStyle w:val="Normal"/>
      </w:pPr>
      <w:r>
        <w:t>Chapter 74 Copper and Articles Thereof 74.01-74.03 A change to heading 74.01 through 74.03 from any other heading, including another heading within that group, except from heading 74.04; or A change to heading 74.01 through 74.03 from heading 74.04, whether or not there is also a change from any other heading, including another heading within that group, provided there is a regional value content of not less than: (a) 60 percent where the transaction value method is used; or (b) 50 percent where the net cost method is used. A change to a good of heading 74.04 from any other good within that heading or any other heading. 74.05-74.07 A change to heading 74.05 through 74.07 from any other chapter; or A change to heading 74.05 through 74.07 from heading 74.01 through 74.02 or tariff item 7404.00.aa, whether or not there is also a change from any other chapter, provided there is a regional value content of not less than:</w:t>
      </w:r>
    </w:p>
    <w:p>
      <w:pPr>
        <w:pStyle w:val="Normal"/>
      </w:pPr>
      <w:r>
        <w:t>(a) 60 percent where the transaction value method is used; or (b) 50 percent where the net cost method is used. 7408.11 4-B-78 7408.11.aa A change to tariff item 7408.11.aa from any other chapter; or A change to tariff item 7408.11.aa from heading 74.01 through 74.02 or tariff item 7404.00.aa, whether or not there is also a change from any other chapter, provided there is a regional value content of not less than: (a) 60 percent where the transaction value method is used; or (b) 50 percent where the net cost method is used.</w:t>
      </w:r>
    </w:p>
    <w:p>
      <w:pPr>
        <w:pStyle w:val="Normal"/>
      </w:pPr>
      <w:r>
        <w:t>7408.11 A change to subheading 7408.11 from any other heading, except from heading 74.07. 7408.19-7408.29 A change to subheading 7408.19 through 7408.29 from any other heading, except from heading 74.07. 74.09 A change to heading 74.09 from any other heading. 74.10 A change to heading 74.10 from any other heading, except from heading 74.09. 74.11 A change to heading 74.11 from any other heading, except from tariff item 7407.10.aa, 7407.21.aa, 7407.29.aa or heading 74.09. 74.12 A change to heading 74.12 from any other heading, except from heading 74.11. 74.13 A change to heading 74.13 from any other heading, except from heading 74.07 through 74.08; or A change to heading 74.13 from heading 74.07 through 74.08, whether or not there is also a change from any other heading, provided there is a regional value content of not less than: (a) 60 percent where the transaction value method is used; or (b) 50 percent where the net cost method is used. 74.15-74.18 A change to heading 74.15 through 74.18 from any other heading, including another heading within that group.</w:t>
      </w:r>
    </w:p>
    <w:p>
      <w:pPr>
        <w:pStyle w:val="Normal"/>
      </w:pPr>
      <w:r>
        <w:t>7419.10 A change to subheading 7419.10 from any other heading, except from heading 74.07. 4-B-79 7419.91 A change to subheading 7419.91 from any other heading. 7419.99 A change to a good of subheading 7419.99 from any other good within that subheading or any other heading.</w:t>
      </w:r>
    </w:p>
    <w:p>
      <w:pPr>
        <w:pStyle w:val="Normal"/>
      </w:pPr>
      <w:r>
        <w:t>Chapter 75 Nickel and Articles Thereof 75.01-75.04 A change to heading 75.01 through 75.04 from any other heading, including another heading within that group. 7505.11-7505.12 A change to subheading 7505.11 through 7505.12 from any other heading. 7505.21-7505.22 A change to subheading 7505.21 through 7505.22 from any other heading; or A change to subheading 7505.21 through 7505.22 from subheading 7505.11 through 7505.12, whether or not there is also a change from any other heading, provided that, if bar or rod is used, the cross-sectional area of the bar or rod is reduced by at least 50 percent. 75.06 7506.10.aa A change to tariff item 7506.10.aa from any other tariff item. 7506.20.aa A change to tariff item 7506.20.aa from any other tariff item. 75.06 A change to heading 75.06 from any other heading. 7507.11-7508.90 A change to subheading 7507.11 through 7508.90 from any other subheading, including another subheading within that group. Chapter 76 Aluminum and Articles Thereof 76.01 A change to heading 76.01 from any other chapter. 76.02 A change to heading 76.02 from any other heading.</w:t>
      </w:r>
    </w:p>
    <w:p>
      <w:pPr>
        <w:pStyle w:val="Normal"/>
      </w:pPr>
      <w:r>
        <w:t>76.03 A change to heading 76.03 from any other chapter. 76.04 A change to heading 76.04 from any other heading. 76.05 A change to heading 76.05 from any other heading, except from heading 76.04 or 76.06. 4-B-80 76.06 A change to heading 76.06 from any other heading. 76.07 A change to heading 76.07 from any other heading.</w:t>
      </w:r>
    </w:p>
    <w:p>
      <w:pPr>
        <w:pStyle w:val="Normal"/>
      </w:pPr>
      <w:r>
        <w:t>76.08-76.09 A change to heading 76.08 through 76.09 from any heading outside that group. 76.10-76.13 A change to heading 76.10 through 76.13 from any other heading, including another heading within that group. 76.14 A change to heading 76.14 from any other heading, except from heading 76.04 through 76.05. 76.15-76.16 A change to heading 76.15 through 76.16 from any other heading, including another heading within that group. Chapter 78 Lead and Articles Thereof 78.01-78.02 A change to heading 78.01 through 78.02 from any other chapter. 7804.11-7804.20 A change to subheading 7804.11 through 7804.20 from any other subheading, including another subheading within that group; or A change to foil of a thickness not exceeding 0.15 mm (excluding backing) of subheading 7804.11 from within that subheading, whether or not there is also a change from any other subheading. 78.06 A change to a good of heading 78.06 from any other good within that heading or any other heading. Chapter 79 Zinc and Articles Thereof 79.01-79.02 A change to heading 79.01 through 79.02 from any other chapter. 7903.10 A change to subheading 7903.10 from any other chapter. 7903.90 A change to subheading 7903.90 from any other heading.</w:t>
      </w:r>
    </w:p>
    <w:p>
      <w:pPr>
        <w:pStyle w:val="Normal"/>
      </w:pPr>
      <w:r>
        <w:t>79.04 A change to heading 79.04 from any other heading; or A change to wire of heading 79.04 from within that heading, whether or not there is also a change from any other heading, provided that, if bar or rod is used, the cross-sectional area of the bar or rod is reduced by at least 50 percent. 4-B-81 79.05 A change to heading 79.05 from any other heading; or A change to foil of a thickness not exceeding 0.15 mm (excluding backing) of heading 79.05 from within that heading, whether or not there is also a change from any other heading. 79.07 A change to a good of heading 79.07 from any other good within that heading or any other heading. Chapter 80 Tin and Articles Thereof 80.01-80.02 A change to heading 80.01 through 80.02 from any other chapter.</w:t>
      </w:r>
    </w:p>
    <w:p>
      <w:pPr>
        <w:pStyle w:val="Normal"/>
      </w:pPr>
      <w:r>
        <w:t>80.03 A change to heading 80.03 from any other heading; or A change to wire of heading 80.03 from within that heading, whether or not there is also a change from any other heading, provided that, if bar or rod is used, the cross-sectional area of the bar or rod is reduced by at least 50 percent. 80.07 A change to a good of heading 80.07 from any other good within that heading or any other heading. Chapter 81 Other Base Metals; Cermets; Articles Thereof 8101.10-8101.97 A change to subheading 8101.10 through 8101.97 from any other subheading, including another subheading within that group. 8101.99 A change to a good of subheading 8101.99 from any other good within that subheading or any other subheading.</w:t>
      </w:r>
    </w:p>
    <w:p>
      <w:pPr>
        <w:pStyle w:val="Normal"/>
      </w:pPr>
      <w:r>
        <w:t>8102.10-8107.90 A change to subheading 8102.10 through 8107.90 from any other subheading, including another subheading within that group. 8108.20 A change to subheading 8108.20 from any other chapter; or A change from any other subheading whether or not there is also a change from any other chapter, provided there is a regional value content of not less than: (a) 60 percent where the transaction value method is used; or (b) 50 percent where the net cost method is used. 4-B-82 82.01 8108.30 A change to subheading 8108.30 from any other subheading. 8108.90 A change to subheading 8108.90 from any other chapter; or A change to subheading 8108.90 from any other subheading, whether or not there is also a change from any other chapter, provided there is a regional value content of not less than: (a) 60 percent where the transaction value method is used; or (b) 50 percent where the net cost method is used.</w:t>
      </w:r>
    </w:p>
    <w:p>
      <w:pPr>
        <w:pStyle w:val="Normal"/>
      </w:pPr>
      <w:r>
        <w:t>8109.20-8110.90 A change to subheading 8109.20 through 8110.90 from any other subheading, including another subheading within that group 81.11 A change to manganese powders or articles of manganese of heading 81.11 from any other good of heading 81.11; or A change to any other good of heading 81.11 from any other heading. 8112.12-8112.59 A change to subheading 8112.12 through 8112.59 from any other subheading, including another subheading within that group.</w:t>
      </w:r>
    </w:p>
    <w:p>
      <w:pPr>
        <w:pStyle w:val="Normal"/>
      </w:pPr>
      <w:r>
        <w:t>8112.92-8112.99 A change to a good of any of subheading 8112.92 through 8112.99 from any other good within that subheading or any other subheading, including another subheading within that group. 81.13 A change to heading 81.13 from any other heading. Chapter 82 Tools, Implements, Cutlery, Spoons and Forks, of Base Metal; Parts Thereof of Base Metal A change to heading 82.01 from any other chapter. 8202.10-8202.20 A change to subheading 8202.10 through 8202.20 from any other chapter. 8202.31 A change to subheading 8202.31 from any other chapter; or A change to subheading 8202.31 from subheading 8202.39, whether or not there is also a change from any other chapter, provided there is a regional value content of not less than: (a) 60 percent where the transaction value method is used; or 4-B-83 (b) 50 percent where the net cost method is used. 8202.39-8202.99 A change to subheading 8202.39 through 8202.99 from any other chapter. 82.03-82.06 A change to heading 82.03 through 82.06 from any other chapter.</w:t>
      </w:r>
    </w:p>
    <w:p>
      <w:pPr>
        <w:pStyle w:val="Normal"/>
      </w:pPr>
      <w:r>
        <w:t>8207.13 A change to subheading 8207.13 from any other chapter; or A change to subheading 8207.13 from subheading 8207.19, whether or not there is also a change from any other chapter, provided there is a regional value content of not less than: (a) 60 percent where the transaction value method is used; or (b) 50 percent where the net cost method is used. 8207.19-8207.90 A change to subheading 8207.19 through 8207.90 from any other chapter.</w:t>
      </w:r>
    </w:p>
    <w:p>
      <w:pPr>
        <w:pStyle w:val="Normal"/>
      </w:pPr>
      <w:r>
        <w:t>82.08-82.10 A change to heading 82.08 through 82.10 from any other chapter. 8211.10 A change to subheading 8211.10 from any other chapter. 8211.91-8211.93 A change to subheading 8211.91 through 8211.93 from any other chapter; or A change to subheading 8211.91 through 8211.93 from subheading 8211.95, whether or not there is also a change from any other chapter, provided there is a regional value content of not less than: (a) 60 percent where the transaction value method is used; or (b) 50 percent where the net cost method is used. 8211.94-8211.95 A change to subheading 8211.94 through 8211.95 from any other chapter. 82.12-82.15 A change to heading 82.12 through 82.15 from any other chapter. Chapter 83 Miscellaneous Articles of Base Metal 4-B-84 8301.10-8301.5014 A change to subheading 8301.10 through 8301.50 from any other chapter; or A change to subheading 8301.10 through 8301.50 from subheading 8301.60, whether or not there is also a change from any other chapter, provided there is a regional value content of not less than:</w:t>
      </w:r>
    </w:p>
    <w:p>
      <w:pPr>
        <w:pStyle w:val="Normal"/>
      </w:pPr>
      <w:r>
        <w:t>(a) 60 percent where the transaction value method is used; or (b) 50 percent where the net cost method is used. 8301.60-8301.70 A change to subheading 8301.60 through 8301.70 from any other chapter. 83.02-83.04 A change to heading 83.02 through 83.04 from any other heading, including another heading within that group.</w:t>
      </w:r>
    </w:p>
    <w:p>
      <w:pPr>
        <w:pStyle w:val="Normal"/>
      </w:pPr>
      <w:r>
        <w:t>8305.10-8305.20 A change to subheading 8305.10 through 8305.20 from any other chapter; or A change to subheading 8305.10 through 8305.20 from subheading 8305.90, whether or not there is also a change from any other chapter, provided there is a regional value content of not less than: (a) 60 percent where the transaction value method is used; or (b) 50 percent where the net cost method is used. 8305.90 A change to subheading 8305.90 from any other heading. 83.06-83.07 A change to heading 83.06 through 83.07 from any other chapter. 8308.10-8308.20 A change to subheading 8308.10 through 8308.20 from any other chapter; or A change to subheading 8308.10 through 8308.20 from subheading 8308.90, whether or not there is also a change from any other chapter, provided there is a regional value content of not less than: (a) 60 percent where the transaction value method is used; or 14 If the good is for use in a vehicle of Chapter 87, the provisions of the Appendix to this Annex apply. 4-B-85 (b) 50 percent where the net cost method is used.</w:t>
      </w:r>
    </w:p>
    <w:p>
      <w:pPr>
        <w:pStyle w:val="Normal"/>
      </w:pPr>
      <w:r>
        <w:t>8308.90 A change to subheading 8308.90 from any other heading. 83.09-83.10 A change to heading 83.09 through 83.10 from any other chapter.</w:t>
      </w:r>
    </w:p>
    <w:p>
      <w:pPr>
        <w:pStyle w:val="Normal"/>
      </w:pPr>
      <w:r>
        <w:t xml:space="preserve">8311.10-8311.30 A change to subheading 8311.10 through 8311.30 from any other chapter; or A change to subheading 8311.10 through 8311.30 from subheading 8311.90, whether or not there is also a change from any other chapter, provided there is a regional value content of not less than: (a) 60 percent where the transaction value method is used; or (b) 50 percent where the net cost method is used. 8311.90 A change to subheading 8311.90 from any other heading.</w:t>
      </w:r>
    </w:p>
    <w:p>
      <w:pPr>
        <w:pStyle w:val="AnnexSection"/>
      </w:pPr>
      <w:bookmarkStart w:id="900145" w:name="_Toc300000144"/>
      <w:r>
        <w:t xml:space="preserve">Section XVI - Machinery and Mechanical Appliances; Electrical Equipment; Parts Thereof; Sound Recorders and Reproducers, Television Image and Sound Recorders and Reproducers, and Parts and Accessories of Such Articles (Chapter 84-85)</w:t>
      </w:r>
      <w:bookmarkEnd w:id="900145"/>
    </w:p>
    <w:p>
      <w:pPr>
        <w:pStyle w:val="Normal"/>
      </w:pPr>
      <w:r>
        <w:t xml:space="preserve">Chapter 84 Nuclear Reactors, Boilers, Machinery and Mechanical Appliances; Parts Thereof Note 1: For the purposes of this Chapter, the term “printed circuit assembly” means a good consisting of one or more printed circuits of heading 85.34 with one or more active elements assembled thereon, with or without passive elements. For the purposes of this Note, “active elements” means diodes, transistors and similar semiconductor devices, whether or not photosensitive, of heading 85.41 and integrated circuits of heading 85.42 and microassemblies of heading 85.43 or 85.48.</w:t>
      </w:r>
    </w:p>
    <w:p>
      <w:pPr>
        <w:pStyle w:val="Normal"/>
      </w:pPr>
      <w:r>
        <w:t>Note 2: For the purposes of subheading 8471.49, the origin of each unit presented within a system shall be determined in accordance with the rule that would be applicable to such unit if it were presented separately and the rate of duty applicable to each unit presented within a system shall be: (a) in the case of Mexico, the rate that would be applicable to such unit if it were presented separately; and 4-B-86 (b) in the case of Canada and the United States, the rate that is applicable to such unit under the appropriate tariff item within subheading 8471.49. For the purposes of this Note, the term “unit presented within a system” shall mean: (a) a separate unit as described in Note 5(B) to Chapter 84 of the Harmonized System; or (b) any other separate machine that is presented and classified with a system under subheading 8471.49.</w:t>
      </w:r>
    </w:p>
    <w:p>
      <w:pPr>
        <w:pStyle w:val="Normal"/>
      </w:pPr>
      <w:r>
        <w:t>Note 3: The following are parts for those goods of subheading 8443.31 or 8443.32: (a) control or command assemblies, incorporating more than one of the following: printed circuit assembly; hard or flexible (floppy) disc drive; keyboard; user interface; (b) light source assemblies, incorporating more than one of the following: light emitting diode assembly; gas laser; mirror polygon assembly; base casting; (c) laser imaging assemblies, incorporating more than one of the following: photoreceptor belt or cylinder; toner receptable unit; toner developing unit; charge/discharge unit; cleaning unit; (d) image fixing assemblies, incorporating more than one of the following: fuser; pressure roller; heating element; release oil dispenser; cleaning unit; electrical control; (e) ink-jet marking assemblies, incorporating more than one of the following: thermal print head; ink dispensing unit; nozzle and reservoir unit; ink heater; (f) maintenance/sealing assemblies, incorporating more than one of the following: vacuum unit; ink-jet covering unit; sealing unit; purging unit; (g) paper handling assemblies, incorporating more than one of the following: paper transport belt; roller; print bar; carriage; gripper roller; paper storage unit; exit tray;</w:t>
      </w:r>
    </w:p>
    <w:p>
      <w:pPr>
        <w:pStyle w:val="Normal"/>
      </w:pPr>
      <w:r>
        <w:t>4-B-87 (h) thermal transfer imaging assemblies, incorporating more than one of the following: thermal print head, cleaning unit; supply or take-up roller; (i) ionographic imaging assemblies, incorporating more than one of the following: ion</w:t>
      </w:r>
    </w:p>
    <w:p>
      <w:pPr>
        <w:pStyle w:val="Normal"/>
      </w:pPr>
      <w:r>
        <w:t>generation and emitting unit; air assist unit; printed circuit assembly; charge receptor belt or cyclinder; toner receptacle unit; toner distribution unit; developer receptacle and distribution unit; developing unit; charge/discharge unit; cleaning unit; or (j) combinations of the above specified assemblies. Note 4: The following are parts for facsimile machines: (a) control or command assemblies, incorporating more than one of the following: printed circuit assembly; modem; hard or flexible (floppy) disc drive; keyboard; user interface; (b) optics module assemblies, incorporating more than one of the following: optics lamp; charge couples device and appropriate optics; lenses; mirror; (c) laser imaging assemblies, incorporating more than one of the following: photoreceptor belt or cylinder; toner receptacle unit; toner developing unit; charge/discharge unit; cleaning unit; (d) ink-jet marking assemblies, incorporating more than one of the following: thermal print head; ink dispensing unit; nozzle and reservoir unit; ink heater; (e) thermal transfer imaging assemblies, incorporating more than one of the following: thermal print head, cleaning unit; supply or take-up roller;</w:t>
      </w:r>
    </w:p>
    <w:p>
      <w:pPr>
        <w:pStyle w:val="Normal"/>
      </w:pPr>
      <w:r>
        <w:t>(f) ionographic imaging assemblies, incorporating more than one of the following: ion generation and emitting unit; air assist unit; printed circuit assembly; charge receptor belt or cyclinder; toner receptacle unit; toner distribution unit; developer receptacle and distribution unit; developing unit;</w:t>
      </w:r>
    </w:p>
    <w:p>
      <w:pPr>
        <w:pStyle w:val="Normal"/>
      </w:pPr>
      <w:r>
        <w:t>charge/discharge unit; cleaning unit; (g) image fixing assemblies, incorporating more than one of the following: fuser; pressure roller; heating element; release oil dispenser; cleaning unit; electrical control; 4-B-88 (h) paper handling assemblies, incorporating more than one of the following: paper transport belt; roller; print bar; carriage; gripper roller; paper storage unit; exit tray; or (i) combinations of the above specified assemblies. Note 5: The following are parts for photocopying apparatus of subheading 8443.32 and 8443.39 which refer to this Note: (a) imaging assemblies, incorporating more than one of the following: photoreceptor belt or cylinder; toner receptacle unit; toner distribution unit; developer receptacle unit; developer distribution unit; charge/discharge unit; cleaning unit; (b) optics assemblies, incorporating more than one of the following: lens; mirror; illumination source; document exposure glass; (c) user control assemblies incorporating more than one of the following: printed circuit assembly; power supply; user input keyboard; wiring harness; display unit (cathode-ray type or flat panel); (d) image fixing assemblies, incorporating more than one of the following: fuser; pressure roller; heating element; release oil dispenser; cleaning unit; electrical control;</w:t>
      </w:r>
    </w:p>
    <w:p>
      <w:pPr>
        <w:pStyle w:val="Normal"/>
      </w:pPr>
      <w:r>
        <w:t>(e) paper handling assemblies incorporating more than one of the following: paper transport belt; roller; print bar; carriage; gripper roller; paper storage unit; exit tray; (f) or</w:t>
      </w:r>
    </w:p>
    <w:p>
      <w:pPr>
        <w:pStyle w:val="Normal"/>
      </w:pPr>
      <w:r>
        <w:t>combinations of the above specified assemblies. 8401.10-8401.30 A change to subheading 8401.10 through 8401.30 from any other heading; or A change to subheading 8401.10 through 8401.30 from subheading 8401.40, whether or not there is also a change from any other heading, provided there is a regional value content of not less than: (a) 60 percent where the transaction value method is used; or (b) 50 percent where the net cost method is used. 8401.40 A change to subheading 8401.40 from any other heading. 4-B-89 8402.11-8402.20 A change to subheading 8402.11 through 8402.20 from any other heading; or A change to subheading 8402.11 through 8402.20 from subheading 8402.90, whether or not there is also a change from any other heading, provided there is a regional value content of not less than: (a) 60 percent where the transaction value method is used; or (b) 50 percent where the net cost method is used.</w:t>
      </w:r>
    </w:p>
    <w:p>
      <w:pPr>
        <w:pStyle w:val="Normal"/>
      </w:pPr>
      <w:r>
        <w:t>8402.90 A change to subheading 8402.90 from any other heading; or No required change in tariff classification to subheading 8402.90, provided there is a regional value content of not less than: (a) 60 percent where the transaction value method is used; or (b) 50 percent where the net cost method is used.</w:t>
      </w:r>
    </w:p>
    <w:p>
      <w:pPr>
        <w:pStyle w:val="Normal"/>
      </w:pPr>
      <w:r>
        <w:t>8403.10 A change to subheading 8403.10 from any other heading; or A change to subheading 8403.10 from subheading 8403.90, whether or not there is also a change from any other heading, provided there is a regional value content of not less than: (a) 60 percent where the transaction value method is used; or (b) 50 percent where the net cost method is used. 8403.90 A change to subheading 8403.90 from any other heading. 8404.10-8404.20 A change to subheading 8404.10 through 8404.20 from any other heading; or A change to subheading 8404.10 through 8404.20 from subheading 8404.90, whether or not there is also a change from any other heading, provided there is a regional value content of not less than: (a) 60 percent where the transaction value method is used; or (b) 50 percent where the net cost method is used. 8404.90 A change to subheading 8404.90 from any other heading.</w:t>
      </w:r>
    </w:p>
    <w:p>
      <w:pPr>
        <w:pStyle w:val="Normal"/>
      </w:pPr>
      <w:r>
        <w:t>4-B-90 8405.10 A change to subheading 8405.10 from any other heading; or A change to subheading 8405.10 from subheading 8405.90, whether or not there is also a change from any other heading, provided there is a regional value content of not less than: (a) 60 percent where the transaction value method is used; or (b) 50 percent where the net cost method is used. 8405.90 A change to subheading 8405.90 from any other heading. 8406.10 A change to subheading 8406.10 from any other subheading. 8406.81-8406.82 A change to subheading 8406.81 through 8406.82 from any subheading outside that group.</w:t>
      </w:r>
    </w:p>
    <w:p>
      <w:pPr>
        <w:pStyle w:val="Normal"/>
      </w:pPr>
      <w:r>
        <w:t>8406.90.aa A change to tariff item 8406.90.aa from tariff item 8406.90.cc or any other heading; or A change to tariff item 8406.90.aa from any other good within subheading 8406.90, whether or not there is also a change from tariff item 8406.90.cc or any other heading, provided there is a regional value content of not less than: (a) 60 percent where the transaction value method is used; or (b) 50 percent where the net cost method is used. 8406.90.bb A change to tariff item 8406.90.bb from any other tariff item; or No required change in tariff classification to tariff item 8406.90.bb, provided there is a regional value content of not less than: (a) 60 percent where the transaction value method is used; or (b) 50 percent where the net cost method is used. 8406.90 A change to subheading 8406.90 from any other heading. 8407.10-8407.29 A change to subheading 8407.10 through 8407.29 from any other heading, provided there is a regional value content of not less than:</w:t>
      </w:r>
    </w:p>
    <w:p>
      <w:pPr>
        <w:pStyle w:val="Normal"/>
      </w:pPr>
      <w:r>
        <w:t>4-B-91 (a) 60 percent where the transaction value method is used; or (b) 50 percent where the net cost method is used. 8407.31-8407.3415 For a good of heading 8407.31 through 8407.34 for use in a passenger vehicle or light truck: No required change in tariff classification to a good of subheading 8407.31 through 8407.34, provided there is a regional value content of not less than 75 percent under the net cost method.</w:t>
      </w:r>
    </w:p>
    <w:p>
      <w:pPr>
        <w:pStyle w:val="Normal"/>
      </w:pPr>
      <w:r>
        <w:t>For a good of heading 8407.31 through 8407.34 for use in a heavy truck: No required change in tariff classification to a good of subheading 8407.31 through 8407.34, provided there is a regional value content of not less than 70 percent under the net cost method. For any other good of heading 8407.31 through 8407.34: A change to subheading 8407.31 through 8407.34 from any other heading, provided there is a regional value content of not less than: (a) 60 percent where the transaction value method is used; or (b) 50 percent where the net cost method is used. 8407.90 A change to subheading 8407.90 from any other subheading. 8408.10 A change to subheading 8408.10 from any other subheading. 8408.2016 For a compression-ignition internal combustion piston engine of 8408.20 used for a light truck: 15 If the good is for use in a vehicle of Chapter 87, the provisions of the Appendix to this Annex apply. 16 If the good is for use in a vehicle of Chapter 87, the provisions of the Appendix to this Annex apply.</w:t>
      </w:r>
    </w:p>
    <w:p>
      <w:pPr>
        <w:pStyle w:val="Normal"/>
      </w:pPr>
      <w:r>
        <w:t>4-B-92 No required change in tariff classification to a good of subheading 8408.20, provided there is a regional value content of not less than: (a) 85 percent where the transaction value method is used; or (b) 75 percent where the net cost method is used.</w:t>
      </w:r>
    </w:p>
    <w:p>
      <w:pPr>
        <w:pStyle w:val="Normal"/>
      </w:pPr>
      <w:r>
        <w:t>For a good of heading 8408.20 for use in a heavy truck: A change to subheading 8408.20 from any other heading, provided there is a regional value content of not less than: (a) 80 percent where the transaction value method is used; or (b) 70 percent where the net cost method is used. For any other good of heading 8408.20: A change to subheading 8408.20 from any other heading, provided there is a regional value content of not less than: (a) 60 percent where the transaction value method is used; or (b) 50 percent where the net cost method is used. 8408.90 A change to subheading 8408.90 from any other subheading. 8409.10 A change to subheading 8409.10 from any other heading. 8409.9117 For a good of heading 8409.91 for use in a passenger vehicle or light truck: No required change in tariff classification to a good of subheading 8409.91, provided there is a regional value content of not less than 75 percent under the net cost method.</w:t>
      </w:r>
    </w:p>
    <w:p>
      <w:pPr>
        <w:pStyle w:val="Normal"/>
      </w:pPr>
      <w:r>
        <w:t>17 If the good is for use in a vehicle of Chapter 87, the provisions of the Appendix to this Annex apply. 4-B-93 For a good of heading 8409.91 for use in a heavy truck: No required change in tariff classification to a good of subheading 8409.91, provided there is a regional value content of not less than 70 percent under the net cost method.</w:t>
      </w:r>
    </w:p>
    <w:p>
      <w:pPr>
        <w:pStyle w:val="Normal"/>
      </w:pPr>
      <w:r>
        <w:t>For any other good of heading 8409.91: A change to subheading 8409.91 from any other heading; or No required change in tariff classification to subheading 8409.91, provided there is a regional value content of not less than: (a) 60 percent where the transaction value method is used; or (b) 50 percent where the net cost method is used. 8409.9918 For a good of heading 8409.99 for use in a passenger vehicle or light truck: No required change in tariff classification to a good of subheading 8409.91, provided there is a regional value content of not less than 75 percent under the net cost method. For a good of heading 8409.99 for use in a heavy truck: No required change in tariff classification to a good of subheading 8409.91, provided there is a regional value content of not less than 70 percent under the net cost method. For any other good of heading 8409.99:</w:t>
      </w:r>
    </w:p>
    <w:p>
      <w:pPr>
        <w:pStyle w:val="Normal"/>
      </w:pPr>
      <w:r>
        <w:t>A change to subheading 8409.99 from any other heading; or No required change in tariff classification to subheading 8409.99, provided there is a regional value content of not less than: 18 If the good is for use in a vehicle of Chapter 87, the provisions of the Appendix to this Annex apply. 4-B-94 (a) 60 percent where the transaction value method is used; or (b) 50 percent where the net cost method is used.</w:t>
      </w:r>
    </w:p>
    <w:p>
      <w:pPr>
        <w:pStyle w:val="Normal"/>
      </w:pPr>
      <w:r>
        <w:t>8410.11-8410.13 A change to subheading 8410.11 through 8410.13 from any other heading; or A change to subheading 8410.11 through 8410.13 from subheading 8410.90, whether or not there is also a change from any other heading, provided there is a regional value content of not less than: (a) 60 percent where the transaction value method is used; or (b) 50 percent where the net cost method is used. 8410.90 A change to subheading 8410.90 from any other heading. 8411.11-8411.82 A change to subheading 8411.11 through 8411.82 from any subheading outside that group. 8411.91 A change to subheading 8411.91 from any other heading. 8411.99 A change to subheading 8411.99 from any other heading; or No required change in tariff classification to subheading 8411.99, provided there is a regional value content of not less than: (a) 60 percent where the transaction value method is used; or (b) 50 percent where the net cost method is used. 8412.10-8412.80 A change to subheading 8412.10 through 8412.80 from any other subheading, including another subheading within that group.</w:t>
      </w:r>
    </w:p>
    <w:p>
      <w:pPr>
        <w:pStyle w:val="Normal"/>
      </w:pPr>
      <w:r>
        <w:t>8412.90 A change to subheading 8412.90 from any other heading. 8413.11-8413.8219 A change to subheading 8413.11 through 8413.82 from any other heading; or 19 If the good is for use in a vehicle of Chapter 87, the provisions of the Appendix to this Annex apply.</w:t>
      </w:r>
    </w:p>
    <w:p>
      <w:pPr>
        <w:pStyle w:val="Normal"/>
      </w:pPr>
      <w:r>
        <w:t>4-B-95 A change to subheading 8413.11 through 8413.82 from subheading 8413.91 through 8413.92, whether or not there is also a change from any other heading, provided there is a regional value content of not less than: (a) 60 percent where the transaction value method is used; or (b) 50 percent where the net cost method is used. 8413.91 A change to subheading 8413.91 from any other heading. 8413.92 A change to subheading 8413.92 from any other heading; or No required change in tariff classification to subheading 8413.92, provided there is a regional value content of not less than: (a) 60 percent where the transaction value method is used; or (b) 50 percent where the net cost method is used. 8414.10-8414.20 A change to subheading 8414.10 through 8414.20 from any other heading; or A change to subheading 8414.10 through 8414.20 from subheading 8414.90, whether or not there is also a change from any other heading, provided there is a regional value content of not less than:</w:t>
      </w:r>
    </w:p>
    <w:p>
      <w:pPr>
        <w:pStyle w:val="Normal"/>
      </w:pPr>
      <w:r>
        <w:t>(a) 60 percent where the transaction value method is used; or (b) 50 percent where the net cost method is used. 8414.3020 A change to subheading 8414.30 from any other subheading, except from tariff item 8414.90.aa.</w:t>
      </w:r>
    </w:p>
    <w:p>
      <w:pPr>
        <w:pStyle w:val="Normal"/>
      </w:pPr>
      <w:r>
        <w:t>8414.40 A change to subheading 8414.40 from any other heading; or A change to subheading 8414.40 from subheading 8414.90, whether or not there is also a change from any other heading, provided there is a regional value content of not less than: (a) 60 percent where the transaction value method is used; or 20 If the good is for use in a vehicle of Chapter 87, the provisions of the Appendix to this Annex apply. 4-B-96 (b) 50 percent where the net cost method is used. 8414.51 A change to subheading 8414.51 from any other subheading. 8414.59-8414.8021 A change to subheading 8414.59 through 8414.80 from any other heading; or A change to subheading 8414.59 through 8414.80 from subheading 8414.90, whether or not there is also a change from any other heading, provided there is a regional value content of not less than: (a) 60 percent where the transaction value method is used; or (b) 50 percent where the net cost method is used.</w:t>
      </w:r>
    </w:p>
    <w:p>
      <w:pPr>
        <w:pStyle w:val="Normal"/>
      </w:pPr>
      <w:r>
        <w:t>8414.90 A change to subheading 8414.90 from any other heading; or No required change in tariff classification to subheading 8414.90, provided there is a regional value content of not less than: (a) 60 percent where the transaction value method is used; or (b) 50 percent where the net cost method is used.</w:t>
      </w:r>
    </w:p>
    <w:p>
      <w:pPr>
        <w:pStyle w:val="Normal"/>
      </w:pPr>
      <w:r>
        <w:t>8415.10 A change to self-contained window or wall type air conditioning machines of subheading 8415.10 from any other subheading, except from tariff item 8415.90.aa or assemblies incorporating more than one of the following: compressor, condenser, evaporator, connecting tubing; A change to “split-systems” of subheading 8415.10 from any other subheading, except from subheading 8415.20 through 8415.83, tariff item 8415.90.aa or assemblies incorporating more than one of the following: compressor, condenser, evaporator, connecting tubing; or A change to “split-systems” of subheading 8415.10 from tariff item 8415.90.aa or assemblies incorporating more than one of the following: compressor, condenser, evaporator, connecting tubing, whether or not there is also a change from subheading 8415.20 through 8415.83, provided there is a regional value content of not less than: 21 If the good is for use in a vehicle of Chapter 87, the provisions of the Appendix to this Annex apply. 4-B-97 (a) 60 percent where the transaction value method is used; or (b) 50 percent where the net cost method is used.</w:t>
      </w:r>
    </w:p>
    <w:p>
      <w:pPr>
        <w:pStyle w:val="Normal"/>
      </w:pPr>
      <w:r>
        <w:t>8415.20-8415.8322 A change to subheading 8415.20 through 8415.83 from any subheading outside that group, except from “split-systems” of subheading 8415.10, tariff item 8415.90.aa or assemblies incorporating more than one of the following: compressor, condenser, evaporator, connecting tubing; or A change to subheading 8415.20 through 8415.83 from tariff item 8415.90.aa or assemblies incorporating more than one of the following: compressor, condenser, evaporator, connecting tubing, whether or not there is also a change from any subheading outside that group, except from “split-systems” of subheading 8415.10, provided there is a regional value content of not less than: (a) 60 percent where the transaction value method is used; or (b) 50 percent where the net cost method is used. 8415.90 8415.90.aa A change to tariff item 8415.90.aa from any other tariff item. 8415.90 A change to subheading 8415.90 from any other heading.</w:t>
      </w:r>
    </w:p>
    <w:p>
      <w:pPr>
        <w:pStyle w:val="Normal"/>
      </w:pPr>
      <w:r>
        <w:t>8416.10-8416.30 A change to subheading 8416.10 through 8416.30 from any other heading; or A change to subheading 8416.10 through 8416.30 from subheading 8416.90, whether or not there is also a change from any other heading, provided there is a regional value content of not less than: (a) 60 percent where the transaction value method is used; or (b) 50 percent where the net cost method is used. 8416.90 A change to subheading 8416.90 from any other heading. 22 If the good is for use in a vehicle of Chapter 87, the provisions of the Appendix to this Annex apply.</w:t>
      </w:r>
    </w:p>
    <w:p>
      <w:pPr>
        <w:pStyle w:val="Normal"/>
      </w:pPr>
      <w:r>
        <w:t>4-B-98 8417.10-8417.80 A change to subheading 8417.10 through 8417.80 from any other heading; or A change to subheading 8417.10 through 8417.80 from subheading 8417.90, whether or not there is also a change from any other heading, provided there is a regional value content of not less than: (a) 60 percent where the transaction value method is used; or (b) 50 percent where the net cost method is used. 8417.90 A change to subheading 8417.90 from any other heading. 8418.10-8418.21 A change to subheading 8418.10 through 8418.21 from any subheading outside that group, except from subheading 8418.91, tariff item 8418.99.aa or assemblies incorporating more than one of the following: compressor, condenser, evaporator, connecting tubing. 8418.29 A change to absorption-type electrical household refrigerators of subheading 8418.29 from any other heading; A change to absorption-type electrical household refrigerators of subheading 8418.29 from subheading 8418.91 through 8418.99, whether or not there is also a change from any other heading, provided there is a regional value content of not less than:</w:t>
      </w:r>
    </w:p>
    <w:p>
      <w:pPr>
        <w:pStyle w:val="Normal"/>
      </w:pPr>
      <w:r>
        <w:t>(a) 60 percent where the transaction value method is used; or (b) 50 percent where the net cost method is used; or A change to any other good of subheading 8418.29 from any other subheading, except from subheading 8418.30, 8418.40 or 8418.91, door assemblies incorporating more than one of the following: inner panel, outer panel, insulation, hinges, handles of subheading 8418.99 or</w:t>
      </w:r>
    </w:p>
    <w:p>
      <w:pPr>
        <w:pStyle w:val="Normal"/>
      </w:pPr>
      <w:r>
        <w:t>assemblies incorporating more than one of the following: compressor, condenser, evaporator, connecting tubing. 8418.30-8418.40 A change to subheading 8418.30 through 8418.40 from any subheading outside that group, except from any good, other than absorption-type electrical household refrigerators, of subheading 8418.29 or 8418.91, door assemblies incorporating more than one of the following: inner panel, outer panel, insulation, hinges, handles of subheading 8418.99 or assemblies incorporating more than one of the following: compressor, condenser, evaporator, connecting tubing. 4-B-99 8418.50-8418.69 A change to subheading 8418.50 through 8418.69 from any other heading; or A change to subheading 8418.50 through 8418.69 from subheading 8418.91 through 8418.99, whether or not there is also a change from any other heading, provided there is a regional value content of not less than: (a) 60 percent where the transaction value method is used; or (b) 50 percent where the net cost method is used. 8418.91 A change to subheading 8418.91 from any other subheading. 8418.99 8418.99.aa A change to tariff item 8418.99.aa from any other tariff item. 8418.99 A change to subheading 8418.99 from any other heading.</w:t>
      </w:r>
    </w:p>
    <w:p>
      <w:pPr>
        <w:pStyle w:val="Normal"/>
      </w:pPr>
      <w:r>
        <w:t>8419.11-8419.89 A change to subheading 8419.11 through 8419.89 from any other heading; or A change to subheading 8419.11 through 8419.89 from subheading 8419.90, whether or not there is also a change from any other heading, provided there is a regional value content of not less than: (a) 60 percent where the transaction value method is used; or (b) 50 percent where the net cost method is used. 8419.90 A change to subheading 8419.90 from any other heading; or No required change in tariff classification to subheading 8419.90, provided there is a regional value content of not less than: (a) 60 percent where the transaction value method is used; or (b) 50 percent where the net cost method is used. 8420.10 A change to subheading 8420.10 from any other heading; or 4-B-100 A change to subheading 8420.10 from subheading 8420.91 through 8420.99, whether or not there is also a change from any other heading, provided there is a regional value content of not less than: (a) 60 percent where the transaction value method is used; or (b) 50 percent where the net cost method is used. 8420.91-8420.99 A change to subheading 8420.91 through 8420.99 from any other heading.</w:t>
      </w:r>
    </w:p>
    <w:p>
      <w:pPr>
        <w:pStyle w:val="Normal"/>
      </w:pPr>
      <w:r>
        <w:t>8421.11 A change to subheading 8421.11 from any other heading; or A change to subheading 8421.11 from subheading 8421.91, whether or not there is also a change from any other heading, provided there is a regional value content of not less than: (a) 60 percent where the transaction value method is used; or (b) 50 percent where the net cost method is used. 8421.12 A change to subheading 8421.12 from any other subheading, except from tariff item 8421.91.aa, 8421.91.bb or 8537.10.aa. 8421.19-8421.3923 A change to subheading 8421.19 through 8421.39 from any other heading; or A change to subheading 8421.19 through 8421.39 from subheading 8421.91 through 8421.99, whether or not there is also a change from any other heading, provided there is a regional value content of not less than: (a) 60 percent where the transaction value method is used; or (b) 50 percent where the net cost method is used. 8421.91 8421.91.aa A change to tariff item 8421.91.aa from any other tariff item. 8421.91.bb A change to tariff item 8421.91.bb from any other tariff item.</w:t>
      </w:r>
    </w:p>
    <w:p>
      <w:pPr>
        <w:pStyle w:val="Normal"/>
      </w:pPr>
      <w:r>
        <w:t>23 If the good is for use in a vehicle of Chapter 87, the provisions of the Appendix to this Annex apply. 4-B-101 8421.91 A change to subheading 8421.91 from any other heading.</w:t>
      </w:r>
    </w:p>
    <w:p>
      <w:pPr>
        <w:pStyle w:val="Normal"/>
      </w:pPr>
      <w:r>
        <w:t>8421.99 A change to subheading 8421.99 from any other heading; or No required change in tariff classification to subheading 8421.99, provided there is a regional value content of not less than: (a) 60 percent where the transaction value method is used; or (b) 50 percent where the net cost method is used. 8422.11 A change to subheading 8422.11 from any other subheading, except from tariff item 8422.90.aa, 8422.90.bb, 8537.10.aa or water circulation systems incorporating a pump, whether or not motorized, and auxiliary apparatus for controlling, filtering, or dispersing a spray. 8422.19-8422.40 A change to subheading 8422.19 through 8422.40 from any other heading; or A change to subheading 8422.19 through 8422.40 from subheading 8422.90, whether or not there is also a change from any other heading, provided there is a regional value content of not less than: (a) 60 percent where the transaction value method is used; or (b) 50 percent where the net cost method is used. 8422.90 8422.90.aa A change to tariff item 8422.90.aa from any other tariff item. 8422.90.bb A change to tariff item 8422.90.bb from any other tariff item. 8422.90 A change to subheading 8422.90 from any other heading.</w:t>
      </w:r>
    </w:p>
    <w:p>
      <w:pPr>
        <w:pStyle w:val="Normal"/>
      </w:pPr>
      <w:r>
        <w:t>8423.10-8423.89 A change to subheading 8423.10 through 8423.89 from any other heading; or A change to subheading 8423.10 through 8423.89 from subheading 8423.90, whether or not there is also a change from any other heading, provided there is a regional value content of not less than: (a) 60 percent where the transaction value method is used; or 4-B-102 (b) 50 percent where the net cost method is used. 8423.90 A change to subheading 8423.90 from any other heading. 8424.10-8424.89 A change to subheading 8424.10 through 8424.89 from any other subheading, including another subheading within that group. 8424.90 A change to subheading 8424.90 from any other heading. 84.25-84.26 A change to heading 84.25 through 84.26 from any other heading, including another heading within that group, except from heading 84.31; or A change to heading 84.25 through 84.26 from heading 84.31, whether or not there is also a change from any other heading, including another heading within that group, provided there is a regional value content of not less than: (a) 60 percent where the transaction value method is used; or (b) 50 percent where the net cost method is used.</w:t>
      </w:r>
    </w:p>
    <w:p>
      <w:pPr>
        <w:pStyle w:val="Normal"/>
      </w:pPr>
      <w:r>
        <w:t>8427.10 8427.10.aa A change to tariff item 8427.10.aa from any other heading, except from subheading 8431.20 or 8483.40 or heading 85.01; or A change to tariff item 8427.10.aa from subheading 8431.20 or 8483.40 or heading 85.01, whether or not there is also a change from any other heading, provided there is a regional value content of not less than: (a) 60 percent where the transaction value method is used; or (b) 50 percent where the net cost method is used. 8427.10 A change to subheading 8427.10 from any other heading, except from subheading 8431.20; or A change to subheading 8427.10 from subheading 8431.20, whether or not there is also a change from any other heading, provided there is a regional value content of not less than: (a) 60 percent where the transaction value method is used; or 4-B-103 (b) 50 percent where the net cost method is used. 8427.20 A change to subheading 8427.20 from any other subheading.</w:t>
      </w:r>
    </w:p>
    <w:p>
      <w:pPr>
        <w:pStyle w:val="Normal"/>
      </w:pPr>
      <w:r>
        <w:t>8427.90 A change to subheading 8427.90 from any other heading, except from subheading 8431.20; or A change to subheading 8427.90 from subheading 8431.20, whether or not there is also a change from any other heading, provided there is a regional value content of not less than: (a) 60 percent where the transaction value method is used; or (b) 50 percent where the net cost method is used. 8428.10-8430.69 A change to subheading 8428.10 through 8430.69 from any other subheading, including another subheading within that group.</w:t>
      </w:r>
    </w:p>
    <w:p>
      <w:pPr>
        <w:pStyle w:val="Normal"/>
      </w:pPr>
      <w:r>
        <w:t>8431.10-8431.49 A change to subheading 8431.10 through 8431.49 from any other heading; or No required change in tariff classification to any of subheading 8431.10 through 8431.49, provided there is a regional value content of not less than: (a) 60 percent where the transaction value method is used; or (b) 50 percent where the net cost method is used. 8432.10-8432.80 A change to subheading 8432.10 through 8432.80 from any other subheading, including another subheading within that group. 8432.90 A change to subheading 8432.90 from any other heading. 8433.11-8433.60 A change to subheading 8433.11 through 8433.60 from any other subheading, including another subheading within that group. 8433.90 A change to subheading 8433.90 from any other heading. 8434.10-8434.20 A change to subheading 8434.10 through 8434.20 from any other heading; or 4-B-104 A change to subheading 8434.10 through 8434.20 from subheading 8434.90, whether or not there is also a change from any other heading, provided there is a regional value content of not less than:</w:t>
      </w:r>
    </w:p>
    <w:p>
      <w:pPr>
        <w:pStyle w:val="Normal"/>
      </w:pPr>
      <w:r>
        <w:t>(a) 60 percent where the transaction value method is used; or (b) 50 percent where the net cost method is used. 8434.90 A change to subheading 8434.90 from any other heading. 8435.10 A change to a good of subheading 8435.10 from any other good within that subheading or any other subheading. 8435.90 A change to subheading 8435.90 from any other heading.</w:t>
      </w:r>
    </w:p>
    <w:p>
      <w:pPr>
        <w:pStyle w:val="Normal"/>
      </w:pPr>
      <w:r>
        <w:t>8436.10-8436.80 A change to subheading 8436.10 through 8436.80 from any other subheading, including another subheading within that group. 8436.91-8436.99 A change to subheading 8436.91 through 8436.99 from any other heading. 8437.10-8437.80 A change to subheading 8437.10 through 8437.80 from any other heading; or A change to subheading 8437.10 through 8437.80 from subheading 8437.90, whether or not there is also a change from any other heading, provided there is a regional value content of not less than: (a) 60 percent where the transaction value method is used; or (b) 50 percent where the net cost method is used. 8437.90 A change to subheading 8437.90 from any other heading. 8438.10-8438.80 A change to subheading 8438.10 through 8438.80 from any other heading; or A change to subheading 8438.10 through 8438.80 from subheading 8438.90, whether or not there is also a change from any other heading, provided there is a regional value content of not less than: (a) 60 percent where the transaction value method is used; or (b) 50 percent where the net cost method is used. 4-B-105 8438.90 A change to subheading 8438.90 from any other heading.</w:t>
      </w:r>
    </w:p>
    <w:p>
      <w:pPr>
        <w:pStyle w:val="Normal"/>
      </w:pPr>
      <w:r>
        <w:t>8439.10-8439.30 A change to subheading 8439.10 through 8439.30 from any other heading; or A change to subheading 8439.10 through 8439.30 from subheading 8439.91 through 8439.99, whether or not there is also a change from any other heading, provided there is a regional value content of not less than: (a) 60 percent where the transaction value method is used; or (b) 50 percent where the net cost method is used. 8439.91-8439.99 A change to subheading 8439.91 through 8439.99 from any other heading. 8440.10 A change to subheading 8440.10 from any other heading; or A change to subheading 8440.10 from subheading 8440.90, whether or not there is also a change from any other heading, provided there is a regional value content of not less than: (a) 60 percent where the transaction value method is used; or (b) 50 percent where the net cost method is used. 8440.90 A change to subheading 8440.90 from any other heading.</w:t>
      </w:r>
    </w:p>
    <w:p>
      <w:pPr>
        <w:pStyle w:val="Normal"/>
      </w:pPr>
      <w:r>
        <w:t>8441.10-8441.80 A change to subheading 8441.10 through 8441.80 from any other heading; or A change to subheading 8441.10 through 8441.80 from subheading 8441.90, whether or not there is also a change from any other heading, provided there is a regional value content of not less than: (a) 60 percent where the transaction value method is used; or (b) 50 percent where the net cost method is used.</w:t>
      </w:r>
    </w:p>
    <w:p>
      <w:pPr>
        <w:pStyle w:val="Normal"/>
      </w:pPr>
      <w:r>
        <w:t>8441.90 A change to subheading 8441.90 from any other heading; or No required change in tariff classification to subheading 8441.90, provided there is a regional value content of not less than: (a) 60 percent where the transaction value method is used; or 4-B-106 (b) 50 percent where the net cost method is used. 8442.30 A change to subheading 8442.30 from any other heading; or A change to subheading 8442.30 from subheading 8442.40 through 8442.50, whether or not there is also a change from any other heading, provided there is a regional value content of not less than: (a) 60 percent where the transaction value method is used; or (b) 50 percent where the net cost method is used. 8442.40-8442.50 A change to subheading 8442.40 through 8442.50 from any other heading.</w:t>
      </w:r>
    </w:p>
    <w:p>
      <w:pPr>
        <w:pStyle w:val="Normal"/>
      </w:pPr>
      <w:r>
        <w:t>8443.11-8443.19 A change to subheading 8443.11 through 8443.19 from any other heading; or A change to subheading 8443.11 through 8443.19 from any other subheading within that group or subheading 8443.91, whether or not there is also a change from any other heading, provided there is a regional value content of not less than: (a) 60 percent where the transaction value method is used; or (b) 50 percent where the net cost method is used. 8443.31-8443.39 A change to a good of any of subheading 8443.31 through 8443.39 from any other good within that subheading or any other subheading, including another subheading within that group.</w:t>
      </w:r>
    </w:p>
    <w:p>
      <w:pPr>
        <w:pStyle w:val="Normal"/>
      </w:pPr>
      <w:r>
        <w:t>8443.91 A change to subheading 8443.91 from any other subheading; or A change to a good of subheading 8443.91 from any other good within that subheading, whether or not there is also a change from any other subheading, provided there is a regional value content of not less than: (a) 60 percent where the transaction value method is used; or (b) 50 percent where the net cost method is used. 8443.99 A change to a good of subheading 8443.99 from any other good within that subheading or any other subheading. 4-B-107 84.49 84.44-84.47 A change to heading 84.44 through 84.47 from any heading outside that group, except from heading 84.48; or A change to heading 84.44 through 84.47 from heading 84.48, whether or not there is also a change from any other heading, provided there is a regional value content of not less than: (a) 60 percent where the transaction value method is used; or (b) 50 percent where the net cost method is used.</w:t>
      </w:r>
    </w:p>
    <w:p>
      <w:pPr>
        <w:pStyle w:val="Normal"/>
      </w:pPr>
      <w:r>
        <w:t>8448.11-8448.19 A change to subheading 8448.11 through 8448.19 from any other heading; or A change to subheading 8448.11 through 8448.19 from subheading 8448.20 through 8448.59, whether or not there is also a change from any other heading, provided there is a regional value content of not less than: (a) 60 percent where the transaction value method is used; or (b) 50 percent where the net cost method is used. 8448.20-8448.59 A change to subheading 8448.20 through 8448.59 from any other heading. A change to heading 84.49 from any other heading.</w:t>
      </w:r>
    </w:p>
    <w:p>
      <w:pPr>
        <w:pStyle w:val="Normal"/>
      </w:pPr>
      <w:r>
        <w:t>8450.11-8450.20 A change to subheading 8450.11 through 8450.20 from any subheading outside that group, except from tariff item 8450.90.aa, 8450.90.bb, 8537.10.aa or washer assemblies incorporating more than one of the following: agitator, motor, transmission, clutch. 8450.90 8450.90.aa A change to tariff item 8450.90.aa from any other tariff item. 8450.90.bb A change to tariff item 8450.90.bb from any other tariff item. 8450.90 A change to subheading 8450.90 from any other heading. 8451.10 A change to subheading 8451.10 from any other heading; or A change to subheading 8451.10 from subheading 8451.90, whether or not there is also a change from any other heading, provided there is a regional value content of not less than: 4-B-108 (a) 60 percent where the transaction value method is used; or (b) 50 percent where the net cost method is used. 8451.21-8451.29 A change to subheading 8451.21 through 8451.29 from any subheading outside that group, except from tariff item 8451.90.aa or 8451.90.bb or subheading 8537.10.</w:t>
      </w:r>
    </w:p>
    <w:p>
      <w:pPr>
        <w:pStyle w:val="Normal"/>
      </w:pPr>
      <w:r>
        <w:t>8451.30-8451.80 A change to subheading 8451.30 through 8451.80 from any other heading; or A change to subheading 8451.30 through 8451.80 from subheading 8451.90, whether or not there is also a change from any other heading, provided there is a regional value content of not less than: (a) 60 percent where the transaction value method is used; or (b) 50 percent where the net cost method is used.</w:t>
      </w:r>
    </w:p>
    <w:p>
      <w:pPr>
        <w:pStyle w:val="Normal"/>
      </w:pPr>
      <w:r>
        <w:t>8451.90 8451.90.aa A change to tariff item 8451.90.aa from any other tariff item. 8451.90.bb A change to tariff item 8451.90.bb from any other tariff item. 8451.90 A change to subheading 8451.90 from any other heading. 8452.10-8452.30 A change to subheading 8452.10 through 8452.30 from any other heading; or A change to subheading 8452.10 through 8452.30 from subheading 8452.90, whether or not there is also a change from any other heading, provided there is a regional value content of not less than: (a) 60 percent where the transaction value method is used; or (b) 50 percent where the net cost method is used. 8452.90 A change to subheading 8452.90 from any other heading. 8453.10-8453.80 A change to subheading 8453.10 through 8453.80 from any other heading; or 4-B-109 A change to subheading 8453.10 through 8453.80 from subheading 8453.90, whether or not there is also a change from any other heading, provided there is a regional value content of not less than: (a) 60 percent where the transaction value method is used; or (b) 50 percent where the net cost method is used. 8453.90 A change to subheading 8453.90 from any other heading.</w:t>
      </w:r>
    </w:p>
    <w:p>
      <w:pPr>
        <w:pStyle w:val="Normal"/>
      </w:pPr>
      <w:r>
        <w:t>8454.10-8454.30 A change to subheading 8454.10 through 8454.30 from any other heading; or A change to subheading 8454.10 through 8454.30 from subheading 8454.90, whether or not there is also a change from any other heading, provided there is a regional value content of not less than: (a) 60 percent where the transaction value method; or (b) 50 percent where the net cost method is used. 8454.90 A change to subheading 8454.90 from any other heading. 8455.10-8455.22 A change to subheading 8455.10 through 8455.22 from any subheading outside that group, except from tariff item 8455.90.aa. 8455.30 A change to subheading 8455.30 from any other heading; or A change to subheading 8455.30 from subheading 8455.90, whether or not there is also a change from any other heading, provided there is a regional value content of not less than: (a) 60 percent where the transaction value method is used; or (b) 50 percent where the net cost method is used. 8455.90 A change to subheading 8455.90 from any other heading.</w:t>
      </w:r>
    </w:p>
    <w:p>
      <w:pPr>
        <w:pStyle w:val="Normal"/>
      </w:pPr>
      <w:r>
        <w:t>8456.10 A change to subheading 8456.10 from any other heading, except from more than one of the following: - tariff item 8466.93.aa, - subheading 8537.10, - subheading 9013.20. 4-B-110 84.57 8456.20-8456.30 A change to subheading 8456.20 through 8456.30 from any other heading, except from more than one of the following: - subheading 8413.50 through 8413.60, - tariff item 8466.93.aa, - subheading 8501.32 or 8501.52, - subheading 8537.10.</w:t>
      </w:r>
    </w:p>
    <w:p>
      <w:pPr>
        <w:pStyle w:val="Normal"/>
      </w:pPr>
      <w:r>
        <w:t>8456.90 A change to water-jet cutting machinery of subheading 8456.90 from any other good within that subheading, subheading 8456.10 through 8456.30 or any other heading, except from subheading 8466.93 or heading 84.79; A change to water-jet cutting machinery of subheading 8456.90 from subheading 8466.93, whether or not there is also a change from any other good within subheading 8456.90, subheading 8456.10 through 8456.30 or any other heading, except from heading 84.79, provided there is a regional value content of not less than: (a) 60 percent where the transaction value method is used, or (b) 50 percent where the net cost method is used; or A change to any other good of subheading 8456.90 from water-jet cutting machinery within that subheading or any other heading, except from more than one of the following: - subheading 8413.50 through 8413.60, - tariff item 8466.93.aa, - subheading 8501.32 or 8501.52, - subheading 8537.10.</w:t>
      </w:r>
    </w:p>
    <w:p>
      <w:pPr>
        <w:pStyle w:val="Normal"/>
      </w:pPr>
      <w:r>
        <w:t>A change to heading 84.57 from any other heading, except from heading 84.59 or more than one of the following: - subheading 8413.50 through 8413.60, - tariff item 8466.93.aa, - subheading 8501.32 or 8501.52, - subheading 8537.10. 8458.11 A change to subheading 8458.11 from any other heading, except from more than one of the following: - subheading 8413.50 through 8413.60, 4-B-111 - tariff item 8466.93.aa, - subheading 8501.32 or 8501.52, - subheading 8537.10.</w:t>
      </w:r>
    </w:p>
    <w:p>
      <w:pPr>
        <w:pStyle w:val="Normal"/>
      </w:pPr>
      <w:r>
        <w:t>8458.19 A change to subheading 8458.19 from any other heading, except from tariff item 8466.93.aa or subheading 8501.32 or 8501.52. 8458.91 A change to subheading 8458.91 from any other heading, except from more than one of the following: - subheading 8413.50 through 8413.60, - tariff item 8466.93.aa, - subheading 8501.32 or 8501.52, - subheading 8537.10. 8458.99 A change to subheading 8458.99 from any other heading, except from tariff item 8466.93.aa or subheading 8501.32 or 8501.52. 8459.10 A change to subheading 8459.10 from any other heading, except from tariff item 8466.93.aa or subheading 8501.32 or 8501.52.</w:t>
      </w:r>
    </w:p>
    <w:p>
      <w:pPr>
        <w:pStyle w:val="Normal"/>
      </w:pPr>
      <w:r>
        <w:t>8459.21 A change to subheading 8459.21 from any other heading, except from more than one of the following: - subheading 8413.50 through 8413.60, - tariff item 8466.93.aa, - subheading 8501.32 or 8501.52, - subheading 8537.10; or A change to subheading 8459.21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4-B-112 8459.29 A change to subheading 8459.29 from any other heading, except from tariff item 8466.93.aa or subheading 8501.32 or 8501.52.</w:t>
      </w:r>
    </w:p>
    <w:p>
      <w:pPr>
        <w:pStyle w:val="Normal"/>
      </w:pPr>
      <w:r>
        <w:t>8459.31 A change to subheading 8459.31 from any other heading, except from more than one of the following: - subheading 8413.50 through 8413.60, - tariff item 8466.93.aa, - subheading 8501.32 or 8501.52, - subheading 8537.10; or A change to subheading 8459.31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8459.39 A change to subheading 8459.39 from any other heading, except from tariff item 8466.93.aa or subheading 8501.32 or 8501.52.</w:t>
      </w:r>
    </w:p>
    <w:p>
      <w:pPr>
        <w:pStyle w:val="Normal"/>
      </w:pPr>
      <w:r>
        <w:t>8459.40-8459.51 A change to subheading 8459.40 through 8459.51 from any other heading, except from more than one of the following: - subheading 8413.50 through 8413.60, - tariff item 8466.93.aa, - subheading 8501.32 or 8501.52, - subheading 8537.10; or A change to subheading 8459.40 through 8459.51 from more than one of the following: - subheading 8413.50 through 8413.60, - tariff item 8466.93.aa, - subheading 8501.32 or 8501.52, or - subheading 8537.10, 4-B-113 whether or not there is also a change from any other heading, provided there is a regional value content of not less than: (a) 60 percent where the transaction value method is used; or (b) 50 percent where the net cost method is used.</w:t>
      </w:r>
    </w:p>
    <w:p>
      <w:pPr>
        <w:pStyle w:val="Normal"/>
      </w:pPr>
      <w:r>
        <w:t>8459.59 A change to subheading 8459.59 from any other heading, except from tariff item 8466.93.aa or subheading 8501.32 or 8501.52. 8459.61 A change to subheading 8459.61 from any other heading, except from more than one of the following: - subheading 8413.50 through 8413.60, - tariff item 8466.93.aa, - subheading 8501.32 or 8501.52, - subheading 8537.10; or A change to subheading 8459.61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8459.69 A change to subheading 8459.69 from any other heading, except from tariff item 8466.93.aa or subheading 8501.32 or 8501.52.</w:t>
      </w:r>
    </w:p>
    <w:p>
      <w:pPr>
        <w:pStyle w:val="Normal"/>
      </w:pPr>
      <w:r>
        <w:t>8459.70 8459.70.aa A change to tariff item 8459.70.aa from any other heading, except from more than one of the following: - subheading 8413.50 through 8413.60, - tariff item 8466.93.aa, - subheading 8501.32 or 8501.52, - subheading 8537.10; or 4-B-114 A change to tariff item 8459.70.aa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8459.70 A change to subheading 8459.70 from any other heading, except from tariff item 8466.93.aa or subheading 8501.32 or 8501.52. 8460.11 A change to subheading 8460.11 from any other heading, except from more than one of the following: - subheading 8413.50 through 8413.60, - tariff item 8466.93.aa, - subheading 8501.32 or 8501.52, - subheading 8537.10.</w:t>
      </w:r>
    </w:p>
    <w:p>
      <w:pPr>
        <w:pStyle w:val="Normal"/>
      </w:pPr>
      <w:r>
        <w:t>8460.19 A change to subheading 8460.19 from any other heading, except from tariff item 8466.93.aa or subheading 8501.32 or 8501.52. 8460.21 A change to subheading 8460.21 from any other heading, except from more than one of the following: - subheading 8413.50 through 8413.60, - tariff item 8466.93.aa, - subheading 8501.32 or 8501.52, - subheading 8537.10.</w:t>
      </w:r>
    </w:p>
    <w:p>
      <w:pPr>
        <w:pStyle w:val="Normal"/>
      </w:pPr>
      <w:r>
        <w:t>8460.29 A change to subheading 8460.29 from any other heading, except from tariff item 8466.93.aa or subheading 8501.32 or 8501.52. 8460.31 A change to subheading 8460.31 from any other heading, except from more than one of the following: - subheading 8413.50 through 8413.60, 4-B-115 - tariff item 8466.93.aa, - subheading 8501.32 or 8501.52, - subheading 8537.10. 8460.39 A change to subheading 8460.39 from any other heading, except from tariff item 8466.93.aa or subheading 8501.32 or 8501.52. 8460.40 8460.40.aa A change to tariff item 8460.40.aa from any other heading, except from more than one of the following: - subheading 8413.50 through 8413.60, - tariff item 8466.93.aa, - subheading 8501.32 or 8501.52, - subheading 8537.10. 8460.40 A change to subheading 8460.40 from any other heading, except from tariff item 8466.93.aa or subheading 8501.32 or 8501.52. 8460.90 8460.90.aa A change to tariff item 8460.90.aa from any other heading, except from more than one of the following: - subheading 8413.50 through 8413.60, - tariff item 8466.93.aa, - subheading 8501.32 or 8501.52, - subheading 8537.10.</w:t>
      </w:r>
    </w:p>
    <w:p>
      <w:pPr>
        <w:pStyle w:val="Normal"/>
      </w:pPr>
      <w:r>
        <w:t>8460.90 A change to subheading 8460.90 from any other heading, except from tariff item 8466.93.aa or subheading 8501.32 or 8501.52. 8461.20 8461.20.aa A change to tariff item 8461.20.aa from any other heading, except from more than one of the following: - subheading 8413.50 through 8413.60, - tariff item 8466.93.aa, - subheading 8501.32 or 8501.52, - subheading 8537.10.</w:t>
      </w:r>
    </w:p>
    <w:p>
      <w:pPr>
        <w:pStyle w:val="Normal"/>
      </w:pPr>
      <w:r>
        <w:t>4-B-116 8461.20 A change to subheading 8461.20 from any other heading, except from tariff item 8466.93.aa. 8461.30 8461.30.aa A change to tariff item 8461.30.aa from any other heading, except from more than one of the following: - subheading 8413.50 through 8413.60, - tariff item 8466.93.aa, - subheading 8501.32 or 8501.52, - subheading 8537.10. 8461.30 A change to subheading 8461.30 from any other heading, except from tariff item 8466.93.aa. 8461.40 A change to subheading 8461.40 from any other heading, except from tariff item 8466.93.aa. 8461.50 8461.50.aa A change to tariff item 8461.50.aa from any other heading, except from more than one of the following: - subheading 8413.50 through 8413.60, - tariff item 8466.93.aa, - subheading 8501.32 or 8501.52, - subheading 8537.10. 8461.50 A change to subheading 8461.50 from any other heading, except from tariff item 8466.93.aa. 8461.90 8461.90.aa A change to tariff item 8461.90.aa from any other heading, except from more than one of the following: - subheading 8413.50 through 8413.60, - tariff item 8466.93.aa, - subheading 8501.32 or 8501.52, - subheading 8537.10.</w:t>
      </w:r>
    </w:p>
    <w:p>
      <w:pPr>
        <w:pStyle w:val="Normal"/>
      </w:pPr>
      <w:r>
        <w:t>8461.90 A change to subheading 8461.90 from any other heading, except from tariff item 8466.93.aa. 4-B-117 8462.10 A change to subheading 8462.10 from any other heading, except from tariff item 8466.94.aa or 8483.50.aa.</w:t>
      </w:r>
    </w:p>
    <w:p>
      <w:pPr>
        <w:pStyle w:val="Normal"/>
      </w:pPr>
      <w:r>
        <w:t>8462.21 A change to subheading 8462.21 from any other heading, except from more than one of the following: - subheading 8413.50 through 8413.60, - tariff item 8466.94.aa, - tariff item 8483.50.aa, - subheading 8501.32 or 8501.52, - subheading 8537.10. 8462.29 A change to subheading 8462.29 from any other heading, except from tariff item 8466.94.aa or 8483.50.aa. 8462.31 A change to subheading 8462.31 from any other heading, except from more than one of the following: - subheading 8413.50 through 8413.60, - tariff item 8466.94.aa, - tariff item 8483.50.aa, - subheading 8501.32 or 8501.52, - subheading 8537.10. 8462.39 A change to subheading 8462.39 from any other heading, except from tariff item 8466.94.aa or 8483.50.aa. 8462.41 A change to subheading 8462.41 from any other heading, except from more than one of the following: - subheading 8413.50 through 8413.60, - tariff item 8466.94.aa, - tariff item 8483.50.aa, - subheading 8501.32 or 8501.52, - subheading 8537.10. 8462.49 A change to subheading 8462.49 from any other heading, except from tariff item 8466.94.aa or 8483.50.aa. 8462.91 A change to subheading 8462.91 from any other heading.</w:t>
      </w:r>
    </w:p>
    <w:p>
      <w:pPr>
        <w:pStyle w:val="Normal"/>
      </w:pPr>
      <w:r>
        <w:t>8462.99 4-B-118 8462.99.aa A change to tariff item 8462.99.aa from any other heading, except from more than one of the following: - subheading 8413.50 through 8413.60, - tariff item 8466.94.aa, - tariff item 8483.50.aa, - subheading 8501.32 or 8501.52, - subheading 8537.10.</w:t>
      </w:r>
    </w:p>
    <w:p>
      <w:pPr>
        <w:pStyle w:val="Normal"/>
      </w:pPr>
      <w:r>
        <w:t>8462.99 A change to subheading 8462.99 from any other heading, except from tariff item 8466.94.aa or 8483.50.aa. 84.63 A change to heading 84.63 from any other heading, except from tariff item 8466.94.aa or 8483.50.aa or subheading 8501.32 or 8501.52. 84.64 A change to heading 84.64 from any other heading, except from subheading 8466.91; or A change to heading 84.64 from subheading 8466.91, whether or not there is also a change from any other heading, provided there is a regional value content of not less than: (a) 60 percent where the transaction value method is used; or (b) 50 percent where the net cost method is used. 84.65 A change to heading 84.65 from any other heading, except from subheading 8466.92; or A change to heading 84.65 from subheading 8466.92, whether or not there is also a change from any other heading, provided there is a regional value content of not less than: (a) 60 percent where the transaction value method is used; or (b) 50 percent where the net cost method is used.</w:t>
      </w:r>
    </w:p>
    <w:p>
      <w:pPr>
        <w:pStyle w:val="Normal"/>
      </w:pPr>
      <w:r>
        <w:t>84.66 A change to heading 84.66 from any other subheading; or No required change in tariff classification to heading 84.66 provided there is a regional value content of not less than: (a) 60 percent where the transaction value method is used; or 4-B-119 (b) 50 percent where the net cost method is used.</w:t>
      </w:r>
    </w:p>
    <w:p>
      <w:pPr>
        <w:pStyle w:val="Normal"/>
      </w:pPr>
      <w:r>
        <w:t>8467.11-8467.19 A change to subheading 8467.11 through 8467.19 from any other heading; or A change to subheading 8467.11 through 8467.19 from subheading 8467.91 or 8467.92, whether or not there is also a change from any other heading, provided there is a regional value content of not less than: (a) 60 percent where the transaction value method is used; or (b) 50 percent where the net cost method is used. 8467.21-8467.29 A change to subheading 8467.21 through 8467.29 from any subheading outside that group, except from housings of subheading 8467.91 or 8467.99 or heading 85.01; or A change to subheading 8467.21 through 8467.29 from housings of subheading 8467.91 or 8467.99 or heading 85.01, whether or not there is also a change from any subheading outside that group, provided there is a regional value content of not less than: (a) 60 percent where the transaction value method is used; or (b) 50 percent where the net cost method is used.</w:t>
      </w:r>
    </w:p>
    <w:p>
      <w:pPr>
        <w:pStyle w:val="Normal"/>
      </w:pPr>
      <w:r>
        <w:t>8467.81-8467.89 A change to subheading 8467.81 through 8467.89 from any other heading; or A change to subheading 8467.81 through 8467.89 from subheading 8467.91 or 8467.99, whether or not there is also a change from any other heading, provided there is a regional value content of not less than: (a) 60 percent where the transaction value method is used; or (b) 50 percent where the net cost method is used. 8467.91-8467.99 A change to subheading 8467.91 through 8467.99 from any other heading.</w:t>
      </w:r>
    </w:p>
    <w:p>
      <w:pPr>
        <w:pStyle w:val="Normal"/>
      </w:pPr>
      <w:r>
        <w:t>8468.10-8468.80 A change to subheading 8468.10 through 8468.80 from any other heading; or 4-B-120 A change to subheading 8468.10 through 8468.80 from subheading 8468.90, whether or not there is also a change from any other heading, provided there is a regional value content of not less than: (a) 60 percent where the transaction value method is used; or (b) 50 percent where the net cost method is used. 8468.90 A change to subheading 8468.90 from any other heading. 84.69 A change to word-processing machines of heading 84.69 from any other heading, except from heading 84.73; or A change to word-processing machines of heading 84.69 from heading 84.73, whether or not there is also a change from any other heading, provided there is a regional value content of not less than 50 percent under the net cost method;</w:t>
      </w:r>
    </w:p>
    <w:p>
      <w:pPr>
        <w:pStyle w:val="Normal"/>
      </w:pPr>
      <w:r>
        <w:t>A change to any other good of heading 84.69 from any other heading, except from heading 84.73; or A change to any other good of heading 84.69 from heading 84.73, whether or not there is also a change from any other heading, provided there is a regional value content of not less than: (a) 60 percent where the transaction value method is used; or (b) 50 percent where the net cost method is used.</w:t>
      </w:r>
    </w:p>
    <w:p>
      <w:pPr>
        <w:pStyle w:val="Normal"/>
      </w:pPr>
      <w:r>
        <w:t>84.70 A change to heading 84.70 from any other heading, except from heading 84.73; or A change to heading 84.70 from heading 84.73, whether or not there is also a change from any other heading, provided there is a regional value content of not less than: (a) 60 percent where the transaction value method is used; or (b) 50 percent where the net cost method is used. 8471.30 A change to a good of subheading 8471.30 from any other good within that subheading or any other subheading, except from subheading 8471.41 through 8471.50. 4-B-121 8471.41 A change to a good of subheading 8471.41 from any other good within that subheading or any other subheading, except from subheading 8471.30 or 8471.49 through 8471.50. 8471.49 Note: The origin of each unit presented within a system shall be determined as though each unit were presented separately and were classified under the appropriate tariff provision for that unit.</w:t>
      </w:r>
    </w:p>
    <w:p>
      <w:pPr>
        <w:pStyle w:val="Normal"/>
      </w:pPr>
      <w:r>
        <w:t>8471.50 A change to analogue or hybrid automatic data processing machines of subheading 8471.50 from any other heading, except from heading 84.73; or A change to analogue or hybrid automatic data processing machines of subheading 8471.50 from heading 84.73, whether or not there is also a change from any other heading, provided there is a regional value content of not less than: (a) 60 percent where the transaction value method is used; or (b) 50 percent where the net cost method is used; or A change to any other good of subheading 8471.50 from analogue or hybrid automatic data processing machines of subheading 8471.50 or any other subheading, except from subheading 8471.30 through 8471.49. 8471.60 A change to subheading 8471.60 from any other subheading, except from subheading 8471.49. 8471.70 A change to subheading 8471.70 from any other subheading, except from subheading 8471.49. 8471.80 8471.80.aa A change to tariff item 8471.80.aa from any other tariff item, except from subheading 8471.49. 8471.80.cc A change to tariff item 8471.80.cc from any other tariff item, except from subheading 8471.49.</w:t>
      </w:r>
    </w:p>
    <w:p>
      <w:pPr>
        <w:pStyle w:val="Normal"/>
      </w:pPr>
      <w:r>
        <w:t>8471.80 A change to any other tariff item within subheading 8471.80 from tariff item 8471.80.aa or 8471.80.cc or any other subheading, except from subheading 8471.49. 4-B-122 84.72 8471.90 A change to subheading 8471.90 from any other subheading.</w:t>
      </w:r>
    </w:p>
    <w:p>
      <w:pPr>
        <w:pStyle w:val="Normal"/>
      </w:pPr>
      <w:r>
        <w:t>A change to heading 84.72 from any other heading, except from heading 84.73; or A change to heading 84.72 from heading 84.73, whether or not there is also a change from any other heading, provided there is a regional value content of not less than: (a) 60 percent where the transaction value method is used; or (b) 50 percent where the net cost method is used. 8473.10 8473.10.aa A change to tariff item 8473.10.aa from any other heading. 8473.10.bb A change to tariff item 8473.10.bb from any other heading; or No required change in tariff classification to tariff item 8473.10.bb, provided there is a regional value content of not less than: (a) 60 percent where the transaction value method is used; or (b) 50 percent where the net cost method is used. 8473.10 A change to subheading 8473.10 from any other heading. 8473.21 A change to subheading 8473.21 from any other heading; or No required change in tariff classification to subheading 8473.21, provided there is a regional value content of not less than:</w:t>
      </w:r>
    </w:p>
    <w:p>
      <w:pPr>
        <w:pStyle w:val="Normal"/>
      </w:pPr>
      <w:r>
        <w:t>(a) 60 percent where the transaction value method is used; or (b) 50 percent where the net cost method is used. 8473.29 A change to subheading 8473.29 from any other heading; or No required change in tariff classification to subheading 8473.29, provided there is a regional value content of not less than: (a) 60 percent where the transaction value method is used; or 4-B-123 (b) 50 percent where the net cost method is used.</w:t>
      </w:r>
    </w:p>
    <w:p>
      <w:pPr>
        <w:pStyle w:val="Normal"/>
      </w:pPr>
      <w:r>
        <w:t>8473.30 8473.30.aa A change to tariff item 8473.30.aa from any other tariff item. 8473.30.bb A change to tariff item 8473.30.bb from any other tariff item. 8473.30 A change to subheading 8473.30 from any other heading; or No required change in tariff classification to subheading 8473.30, provided there is a regional value content of not less than: (a) 60 percent where the transaction value method is used; or (b) 50 percent where the net cost method is used. 8473.40 A change to subheading 8473.40 from any other heading; or No required change in tariff classification to subheading 8473.40, provided there is a regional value content of not less than: (a) 60 percent where the transaction value method is used; or (b) 50 percent where the net cost method is used. 8473.50 8473.50.aa A change to tariff item 8473.50.aa from any other tariff item. 8473.50.bb A change to tariff item 8473.50.bb from any other tariff item. 8473.50 Note: The alternative rule which contains a regional value content requirement does not apply to a part or accessory provided for in subheading 8473.50 if that part or accessory is used in the production of a good provided for in subheading 8469.11 or heading 84.71.</w:t>
      </w:r>
    </w:p>
    <w:p>
      <w:pPr>
        <w:pStyle w:val="Normal"/>
      </w:pPr>
      <w:r>
        <w:t>A change to subheading 8473.50 from any other heading; or No required change in tariff classification to subheading 8473.50, provided there is a regional value content of not less than: 4-B-124 (a) 60 percent where the transaction value method is used; or (b) 50 percent where the net cost method is used. 8474.10-8474.80 A change to subheading 8474.10 through 8474.80 from any other heading; or A change to subheading 8474.10 through 8474.80 from subheading 8474.90, whether or not there is also a change from any other heading, provided there is a regional value content of not less than: (a) 60 percent where the transaction value method is used; or (b) 50 percent where the net cost method is used. 8474.90 A change to subheading 8474.90 from any other heading; or No required change in tariff classification to subheading 8474.90, provided there is a regional value content of not less than: (a) 60 percent where the transaction value method is used; or (b) 50 percent where the net cost method is used.</w:t>
      </w:r>
    </w:p>
    <w:p>
      <w:pPr>
        <w:pStyle w:val="Normal"/>
      </w:pPr>
      <w:r>
        <w:t>8475.10-8475.29 A change to subheading 8475.10 through 8475.29 from any other heading; or A change to subheading 8475.10 through 8475.29 from subheading 8475.90, whether or not there is also a change from any other heading, provided there is a regional value content of not less than: (a) 60 percent where the transaction value method is used; or (b) 50 percent where the net cost method is used. 8475.90 A change to subheading 8475.90 from any other heading.</w:t>
      </w:r>
    </w:p>
    <w:p>
      <w:pPr>
        <w:pStyle w:val="Normal"/>
      </w:pPr>
      <w:r>
        <w:t>8476.21-8476.89 A change to subheading 8476.21 through 8476.89 from any other heading; or A change to subheading 8476.21 through 8476.89 from subheading 8476.90, whether or not there is also a change from any other heading, provided there is a regional value content of not less than: 4-B-125 (a) 60 percent where the transaction value method is used; or (b) 50 percent where the net cost method is used. 8476.90 A change to subheading 8476.90 from any other heading. 8477.10 A change to subheading 8477.10 from any other subheading, except from tariff item 8477.90.aa or more than one of the following: - tariff item 8477.90.bb, - subheading 8537.10. 8477.20 A change to subheading 8477.20 from any other subheading, except from tariff item 8477.90.aa or more than one of the following: - tariff item 8477.90.bb, - subheading 8537.10. 8477.30 A change to subheading 8477.30 from any other subheading, except from tariff item 8477.90.aa or more than one of the following: - tariff item 8477.90.cc, - subheading 8537.10.</w:t>
      </w:r>
    </w:p>
    <w:p>
      <w:pPr>
        <w:pStyle w:val="Normal"/>
      </w:pPr>
      <w:r>
        <w:t>8477.40-8477.80 A change to subheading 8477.40 through 8477.80 from any other heading; or A change to subheading 8477.40 through 8477.80 from subheading 8477.90, whether or not there is also a change from any other heading, provided there is a regional value content of not less than: (a) 60 percent where the transaction value method is used; or (b) 50 percent where the net cost method is used. 8477.90 A change to subheading 8477.90 from any other heading.</w:t>
      </w:r>
    </w:p>
    <w:p>
      <w:pPr>
        <w:pStyle w:val="Normal"/>
      </w:pPr>
      <w:r>
        <w:t>8478.10 A change to subheading 8478.10 from any other heading; or A change to subheading 8478.10 from subheading 8478.90, whether or not there is also a change from any other heading, provided there is a regional value content of not less than: 4-B-126 (a) 60 percent where the transaction value method is used; or (b) 50 percent where the net cost method is used. 8478.90 A change to subheading 8478.90 from any other heading. 8479.10-8479.82 A change to subheading 8479.10 through 8479.82 from any other subheading, including another subheading within that group. 8479.8924 A change to trash compactors of subheading 8479.89 from any other good within that subheading or any other subheading; or A change to any other good of subheading 8479.89 from any other subheading. 8479.90 8479.90.aa A change to tariff item 8479.90.aa from any other tariff item. 8479.90.bb A change to tariff item 8479.90.bb from any other tariff item. 8479.90.cc A change to tariff item 8479.90.cc from any other tariff item. 8479.90.dd A change to tariff item 8479.90.dd from any other tariff item. 8479.90 A change to subheading 8479.90 from any other heading. 84.80 A change to heading 84.80 from any other heading.</w:t>
      </w:r>
    </w:p>
    <w:p>
      <w:pPr>
        <w:pStyle w:val="Normal"/>
      </w:pPr>
      <w:r>
        <w:t>8481.10-8481.3025 A change to subheading 8481.10 through 8481.30 from any other heading; or A change to subheading 8481.10 through 8481.30 from subheading 8481.90, whether or not there is also a change from any other heading, provided there is a regional value content of not less than: (a) 60 percent where the transaction value method is used or (b) 50 percent where the net cost method is used. 24 If the good is for use in a vehicle of Chapter 87, the provisions of the Appendix to this Annex apply. 25 If the good is for use in a vehicle of Chapter 87, the provisions of the Appendix to this Annex apply. 4-B-127 8481.40-8481.8026 A change to subheading 8481.40 through 8481.80 from any other heading; or A change to subheading 8481.40 through 8481.80 from subheading 8481.90, whether or not there is also a change from any other heading, provided there is a regional value content of not less than: (a) 45 percent where the transaction value method is used; or (b) 35 percent where the net cost method is used. 8481.90 A change to subheading 8481.90 from any other heading.</w:t>
      </w:r>
    </w:p>
    <w:p>
      <w:pPr>
        <w:pStyle w:val="Normal"/>
      </w:pPr>
      <w:r>
        <w:t>8482.10-8482.8027 A change to subheading 8482.10 through 8482.80 from any subheading outside that group, except from tariff item 8482.99.aa; or A change to subheading 8482.10 through 8482.80 from tariff item 8482.99.aa, whether or not there is also a change from any subheading outside that group, provided there is a regional value content of not less than: (a) 60 percent where the transaction value method is used; or (b) 50 percent where the net cost method is used. 8482.91-8482.99 A change to subheading 8482.91 through 8482.99 from any other heading. 8483.1028 A change to subheading 8483.10 from any other heading; or A change to subheading 8483.10 from subheading 8483.90, whether or not there is also a change from any other heading, provided there is a regional value content of not less than: (a) 60 percent where the transaction value method is used; or 26 If the good is for use in a vehicle of Chapter 87, the provisions of the Appendix to this Annex apply.</w:t>
      </w:r>
    </w:p>
    <w:p>
      <w:pPr>
        <w:pStyle w:val="Normal"/>
      </w:pPr>
      <w:r>
        <w:t>27 If the good is for use in a vehicle of Chapter 87, the provisions of the Appendix to this Annex apply. 28 If the good is for use in a vehicle of Chapter 87, the provisions of the Appendix to this Annex apply. 4-B-128 (b) 50 percent where the net cost method is used.</w:t>
      </w:r>
    </w:p>
    <w:p>
      <w:pPr>
        <w:pStyle w:val="Normal"/>
      </w:pPr>
      <w:r>
        <w:t>8483.2029 A change to subheading 8483.20 from any other subheading, except from subheading 8482.10 through 8482.80, tariff item 8482.99.aa, or subheading 8483.90; or A change to subheading 8483.20 from subheading 8482.10 through 8482.80, tariff item 8482.99.aa or subheading 8483.90, whether or not there is also a change from any other subheading, provided there is a regional value content of not less than: (a) 60 percent where the transaction value method is used; or (b) 50 percent where the net cost method is used. 8483.3030 A change to subheading 8483.30 from any other heading; or A change to subheading 8483.30 from subheading 8483.90, whether or not there is also a change from any other heading, provided there is a regional value content of not less than: (a) 60 percent where the transaction value method is used; or (b) 50 percent where the net cost method is used. 8483.40 -8483.9031 A change to subheading 8483.40 through 8483.90 from any other subheading, including another subheading within that group. 84.84 A change to heading 84.84 from any other heading.</w:t>
      </w:r>
    </w:p>
    <w:p>
      <w:pPr>
        <w:pStyle w:val="Normal"/>
      </w:pPr>
      <w:r>
        <w:t>8486.10-8486.90 A change to a good of any of subheading 8486.10 through 8486.90 from any other good within that subheading or any other subheading, including another subheading within that group. 84.87 A change to heading 84.87 from any other heading. 29 If the good is for use in a vehicle of Chapter 87, the provisions of the Appendix to this Annex apply.</w:t>
      </w:r>
    </w:p>
    <w:p>
      <w:pPr>
        <w:pStyle w:val="Normal"/>
      </w:pPr>
      <w:r>
        <w:t>30 If the good is for use in a vehicle of Chapter 87, the provisions of the Appendix to this Annex apply. 31 If the good is for use in a vehicle of Chapter 87, the provisions of the Appendix to this Annex apply. 4-B-129 Chapter 85 Electrical Machinery and Equipment and Parts Thereof; Sound Recorders and Reproducers, Television Image and Sound Recorders and Reproducers, and Parts and Accessories of Such Articles Note 1: For the purposes of this Chapter, the term “printed circuit assembly” means a good consisting of one or more printed circuits of heading 85.34 with one or more active elements assembled thereon, with or without passive elements. For the purposes of this Note, “active elements” means diodes, transistors and similar semiconductor devices, whether or not photosensitive, of heading 85.41, integrated circuits of heading 85.42, and microassemblies of heading 85.43 or 85.48. Note 2: For purposes of this Chapter: (a) references to “high definition” as it applies to television receivers and cathode-ray tubes refers to goods having:</w:t>
      </w:r>
    </w:p>
    <w:p>
      <w:pPr>
        <w:pStyle w:val="Normal"/>
      </w:pPr>
      <w:r>
        <w:t>(i) an aspect ratio of the screen equal to or greater than 16:9, and (ii) (ii) a viewing screen capable of displaying more than 700 scanning lines; and (b) the video display diagonal is determined by measuring the maximum straight line dimension across the visible portion of the face plate used for displaying video.</w:t>
      </w:r>
    </w:p>
    <w:p>
      <w:pPr>
        <w:pStyle w:val="Normal"/>
      </w:pPr>
      <w:r>
        <w:t>Note 3: Tariff item 8529.90.cc covers the following parts of television receivers, video monitors, and video projectors: (a) Video intermediate (IF) amplifying and detecting systems; (b) Video processing and amplification systems; (c) Synchronizing and deflection circuitry; (d) Tuners and tuner control systems; and (e) Audio detection and amplification systems. Note 4: For the purposes of tariff item 8540.91.aa, the term “front panel assembly” refers to:</w:t>
      </w:r>
    </w:p>
    <w:p>
      <w:pPr>
        <w:pStyle w:val="Normal"/>
      </w:pPr>
      <w:r>
        <w:t>(a) with respect to a monochrome cathode-ray television picture tube, video monitor tube or video projector tube, an assembly which 4-B-130 consists of either a glass panel or a glass envelope, which is suitable for incorporation into a monochrome cathode-ray television picture tube, video monitor tube or video projector tube and which has undergone the necessary chemical and physical processes for imprinting phosphors on the glass panel or glass envelope with sufficient precision to render a video image when excited by a stream of electrons; or (b) with respect to a color cathode-ray television picture tube, video monitor tube or video projector tube, an assembly which consists of a glass panel and a shadow mask or aperture grille, attached for ultimate use, which is suitable for incorporation into a color cathode-ray television picture tube, video monitor tube or video projector tube and which has undergone the necessary chemical and physical processes for imprinting phosphors on the glass panel with sufficient precision</w:t>
      </w:r>
    </w:p>
    <w:p>
      <w:pPr>
        <w:pStyle w:val="Normal"/>
      </w:pPr>
      <w:r>
        <w:t>to render a video image when excited by a stream of electrons. Note 5: The origin of a television combination unit shall be determined in accordance with the rule that would be applicable to such unit if it were solely a television receiver. 85.0132 A change to heading 85.01 from any other heading, except from tariff item 8503.00.aa; or A change to heading 85.01 from tariff item 8503.00.aa, whether or not there is also a change from any other heading, provided there is a regional value content of not less than: (a) 60 percent where the transaction value method is used; or (b) 50 percent where the net cost method is used. 85.02 A change to heading 85.02 from any other heading, except from heading 84.06, 84.11, 85.01 or 85.03; or A change to heading 85.02 from heading 84.06, 84.11, 85.01 or 85.03, whether or not there is also a change from any other heading, provided there is a regional value content of not less than:</w:t>
      </w:r>
    </w:p>
    <w:p>
      <w:pPr>
        <w:pStyle w:val="Normal"/>
      </w:pPr>
      <w:r>
        <w:t>(a) 60 percent where the transaction value method is used; or 32 If the good is for use in a vehicle of Chapter 87, the provisions of the Appendix to this Annex apply. 4-B-131 85.03 (b) 50 percent where the net cost method is used. A change to heading 85.03 from any other heading. 8504.10 A change to subheading 8504.10 from any other subheading.</w:t>
      </w:r>
    </w:p>
    <w:p>
      <w:pPr>
        <w:pStyle w:val="Normal"/>
      </w:pPr>
      <w:r>
        <w:t>8504.21-8504.34 Note: Beginning on the date of entry into force of the Agreement until January 1 2025 or five years after entry into force of this Agreement, whichever is later, the following rules of origin shall apply to subheading 8504.21 through 8504.34: A change to subheading 8504.21 through 8504.34 from any other heading; or A change to subheading 8504.21 through 8504.34 from subheading 8504.90, whether or not there is also a change from any other heading, provided there is a regional value content of not less than: (a) 60 percent where the transaction value method is used; or (b) 50 percent where the net cost method is used. Note: Beginning on January 1, 2025 or five years after entry into force of this Agreement, whichever is later, and thereafter, the following rules of origin shall apply to subheading 8504.21 through 8504.34:</w:t>
      </w:r>
    </w:p>
    <w:p>
      <w:pPr>
        <w:pStyle w:val="Normal"/>
      </w:pPr>
      <w:r>
        <w:t>A change to subheading 8504.21 through 8504.34 from any other heading, except from heading 72.25, 72.26 or 73.26; or No required change in tariff classification to subheading 8504.21 through 8504.34, provided there is a regional value content of not less than: (a) 65 percent where the transaction value method is used; or (b) 55 percent where the net cost method is used. 8504.40 4-B-132 8504.40.aa A change to tariff item 8504.40.aa from any other subheading, except from subheading 8471.49. 8504.40.bb A change to tariff item 8504.40.bb from any other subheading. 8504.40 A change to subheading 8504.40 from any other subheading.</w:t>
      </w:r>
    </w:p>
    <w:p>
      <w:pPr>
        <w:pStyle w:val="Normal"/>
      </w:pPr>
      <w:r>
        <w:t>8504.50 A change to subheading 8504.50 from any other heading; or A change to subheading 8504.50 from subheading 8504.90, whether or not there is also a change from any other heading, provided there is a regional value content of not less than: (a) 60 percent where the transaction value method is used; or (b) 50 percent where the net cost method is used. 8504.90 8504.90.aa A change to tariff item 8504.90.aa from any other tariff item. 8504.90.bb A change to tariff item 8504.90.bb from any other tariff item. 8504.90 Note: Beginning on the date of entry into force of the Agreement, whichever is later, until January 1 2025 or five years after entry into force of this Agreement, whichever is later, the following rules of origin shall apply to subheading 8504.90: A change to subheading 8504.90 from any other heading; or No required change in tariff classification to subheading 8504.90, provided there is a regional value content of not less than: (a) 60 percent where the transaction value method is used; or (b) 50 percent where the net cost method is used.</w:t>
      </w:r>
    </w:p>
    <w:p>
      <w:pPr>
        <w:pStyle w:val="Normal"/>
      </w:pPr>
      <w:r>
        <w:t>Note: Beginning on January 1, 2025 or five years after entry into force of this Agreement, whichever is later, and thereafter, the following rules of origin shall apply to subheading 8504.90: A change to subheading 8504.90 from any other heading, except from heading 72.25, 72.26 or 73.26; or 4-B-133 No required change in tariff classification to subheading 8504.90, provided there is a regional value content of not less than: (a) 65 percent where the transaction value method is used; or (b) 55 percent where the net cost method is used. 8505.11-8505.2033 A change to subheading 8505.11 through 8505.20 from any other heading; or A change to subheading 8505.11 through 8505.20 from subheading 8505.90, whether or not there is also a change from any other heading, provided there is a regional value content of not less than: (a) 60 percent where the transaction value method is used; or (b) 50 percent where the net cost method is used.</w:t>
      </w:r>
    </w:p>
    <w:p>
      <w:pPr>
        <w:pStyle w:val="Normal"/>
      </w:pPr>
      <w:r>
        <w:t>8505.9034 A change to subheading 8505.90 from any other heading; or No required change in tariff classification to subheading 8505.90, provided there is a regional value content of not less than: (a) 60 percent where the transaction value method is used; or (b) 50 percent where the net cost method is used. 8506.10-8506.40 A change to subheading 8506.10 through 8506.40 from any other subheading, including another subheading within that group. 8506.50-8506.80 A change to subheading 8506.50 through 8506.80 from any subheading outside that group.</w:t>
      </w:r>
    </w:p>
    <w:p>
      <w:pPr>
        <w:pStyle w:val="Normal"/>
      </w:pPr>
      <w:r>
        <w:t>8506.90 A change to a good of subheading 8506.90 from within that subheading or any other subheading. 8507.10-8507.5035 A change to subheading 8507.10 through 8507.50 from any other heading, except from tariff item 8548.10.aa, or 33 If the good is for use in a vehicle of Chapter 87, the provisions of the Appendix to this Annex apply. 34 If the good is for use in a vehicle of Chapter 87, the provisions of the Appendix to this Annex apply. 4-B-134 A change to subheading 8507.10 through 8507.50 from subheading 8507.90, whether or not there is also a change from any other heading, except from tariff item 8548.10.aa, provided there is a regional value content of not less than: (a) 60 percent where the transaction value method is used; or (b) 50 percent where the net cost method is used. 8507.6036 A change to a battery of subheading 8507.60, of a kind used as the primary source of electrical power for the propulsion of an electric passenger vehicle or light truck from any other subheading, excluding battery cells of 8507.90;</w:t>
      </w:r>
    </w:p>
    <w:p>
      <w:pPr>
        <w:pStyle w:val="Normal"/>
      </w:pPr>
      <w:r>
        <w:t>No required change in tariff classification a battery of subheading 8507.60, used as the primary source of electrical power for the propulsion of an electric passenger vehicle or light truck provided that the regional value content is (a) 85 percent where the transaction value method is used; or (b) 75 percent where the net cost method is used; A change to any other good of subheading 8507.60 from any other heading; or A change to any other good of subheading</w:t>
      </w:r>
    </w:p>
    <w:p>
      <w:pPr>
        <w:pStyle w:val="Normal"/>
      </w:pPr>
      <w:r>
        <w:t>8507.60 from subheading 8507.90, whether or not there is also a change from any other heading, provided there is a regional value content of not less than: (a) 60 percent where the transaction value method is used; or (b) 50 percent where the net cost method is used 8507.8037 A change to subheading 8507.80 from any other heading, except from tariff item 8548.10.aa; or 35 If the good is for use in a vehicle of Chapter 87, the provisions of the Appendix to this Annex apply. 36 If the good is for use in vehicle of Chapter 87, the provisions of the Appendix to this Annex apply. 37 If the good is for use in a vehicle of Chapter 87, the provisions of the Appendix to this Annex apply. 4-B-135 A change to subheading 8507.80 from subheading 8507.90, whether or not there is also a change from any other heading, except from tariff item 8548.10.aa, provided there is a regional value content of not less than:</w:t>
      </w:r>
    </w:p>
    <w:p>
      <w:pPr>
        <w:pStyle w:val="Normal"/>
      </w:pPr>
      <w:r>
        <w:t>(a) 60 percent where the transaction value method is used, or (b) 50 percent where the net cost method is used. 8507.90 A change to subheading 8507.90 from any other heading, except from tariff item 8548.10.aa; or No required change in tariff classification to subheading 8507.90, provided there is a regional value content of not less than: (a) 60 percent where the transaction value method is used; or (b) 50 percent where the net cost method is used.</w:t>
      </w:r>
    </w:p>
    <w:p>
      <w:pPr>
        <w:pStyle w:val="Normal"/>
      </w:pPr>
      <w:r>
        <w:t>8508.11 A change to subheading 8508.11 from any other subheading, except from heading 85.01, subheading 8508.19 or housings of subheading 8508.70; or A change to subheading 8508.11 from heading 85.01, subheading 8508.19 or housings of subheading 8508.70, whether or not there is also a change from any other subheading, provided there is a regional value content of not less than: (a) 60 percent where the transaction value method is used; or (b) 50 percent where the net cost method is used. 8508.19 A change to domestic vacuum cleaners of subheading 8508.19 from any other subheading, except from heading 85.01, subheading 8508.11 or housings of subheading 8508.70; A change to domestic vacuum cleaners of subheading 8508.19 from heading 85.01, subheading 8508.11 or housings of subheading 8508.70, whether or not there is also a change from any other subheading, provided there is a regional value content of not less than: (a) 60 percent where the transaction value method is used; or (b) 50 percent where the net cost method is used;</w:t>
      </w:r>
    </w:p>
    <w:p>
      <w:pPr>
        <w:pStyle w:val="Normal"/>
      </w:pPr>
      <w:r>
        <w:t>4-B-136 A change to any other good of subheading 8508.19 from any other heading, except from heading 84.79; or A change to any other good of subheading 8508.19 from subheading 8508.70, whether or not there is also a change from any other heading, except from heading 84.79, provided there is a regional value content of not less than: (a) 60 percent where the transaction value method is used; or (b) 50 percent where the net cost method is used.</w:t>
      </w:r>
    </w:p>
    <w:p>
      <w:pPr>
        <w:pStyle w:val="Normal"/>
      </w:pPr>
      <w:r>
        <w:t>8508.60 A change to subheading 8508.60 from any other heading, except from heading 84.79; or A change to subheading 8508.60 from subheading 8508.70, whether or not there is also a change from any other heading, except from heading 84.79, provided there is a regional value content of not less than: (a) 60 percent where the transaction value method is used; or (b) 50 percent where the net cost method is used. 8508.70 A change to parts of domestic vacuum cleaners of subheading 8508.70 from any other heading, except from heading 85.09; No required change in tariff classification to parts of domestic vacuum cleaners of subheading 8508.70, provided there is a regional value content of not less than: (a) 60 percent where the transaction value method is used; or (b) 50 percent where the net cost method is used; or A change to any other good of subheading 8508.70 from parts of domestic vacuum cleaners of subheading 8508.70 or any other heading, except from heading 84.79. 8509.40 A change to subheading 8509.40 from any other subheading.</w:t>
      </w:r>
    </w:p>
    <w:p>
      <w:pPr>
        <w:pStyle w:val="Normal"/>
      </w:pPr>
      <w:r>
        <w:t>8509.80 A change to a good of subheading 8509.80 from any other good within that subheading or any other subheading. 8509.90 A change to subheading 8509.90 from any other heading; or 4-B-137 No required change in tariff classification to subheading 8509.90, provided there is a regional value content of not less than: (a) 60 percent where the transaction value method is used; or (b) 50 percent where the net cost method is used.</w:t>
      </w:r>
    </w:p>
    <w:p>
      <w:pPr>
        <w:pStyle w:val="Normal"/>
      </w:pPr>
      <w:r>
        <w:t>8510.10-8510.30 A change to subheading 8510.10 through 8510.30 from any other heading; or A change to subheading 8510.10 through 8510.30 from subheading 8510.90, whether or not there is also a change from any other heading, provided there is a regional value content of not less than: (a) 60 percent where the transaction value method is used; or (b) 50 percent where the net cost method is used. 8510.90 A change to subheading 8510.90 from any other heading. 8511.10-8511.8038 A change to subheading 8511.10 through 8511.80 from any other subheading, including another subheading within that group. 8511.9039 A change to subheading 8511.90 from any other heading; or No required change in tariff classification to subheading 8511.90, provided there is a regional value content of not less than: (a) 60 percent where the transaction value method is used; or (b) 50 percent where the net cost method is used.</w:t>
      </w:r>
    </w:p>
    <w:p>
      <w:pPr>
        <w:pStyle w:val="Normal"/>
      </w:pPr>
      <w:r>
        <w:t>8512.10-8512.4040 A change to subheading 8512.10 through 8512.40 from any other heading; or 38 If the good is for use in a vehicle of Chapter 87, the provisions of the Appendix to this Annex apply. 39 If the good is for use in a vehicle of Chapter 87, the provisions of the Appendix to this Annex apply. 40 If the good is for use in a vehicle of Chapter 87, the provisions of the Appendix to this Annex apply.</w:t>
      </w:r>
    </w:p>
    <w:p>
      <w:pPr>
        <w:pStyle w:val="Normal"/>
      </w:pPr>
      <w:r>
        <w:t>4-B-138 A change to subheading 8512.10 through 8512.40 from subheading 8512.90, whether or not there is also a change from any other heading, provided there is also a regional value content of not less than: (a) 60 percent where the transaction value method is used; or (b) 50 percent where the net cost method is used. 8512.90 A change to subheading 8512.90 from any other heading. 8513.10 A change to subheading 8513.10 from any other heading; or A change to subheading 8513.10 from subheading 8513.90, whether or not there is also a change from any other heading, provided there is a regional value content of not less than: (a) 60 percent where the transaction value method is used; or (b) 50 percent where the net cost method is used. 8513.90 A change to subheading 8513.90 from any other heading. 8514.10-8514.30 A change to subheading 8514.10 through 8514.30 from any other subheading, including another subheading within that group.</w:t>
      </w:r>
    </w:p>
    <w:p>
      <w:pPr>
        <w:pStyle w:val="Normal"/>
      </w:pPr>
      <w:r>
        <w:t>8514.40 A change to subheading 8514.40 from any other heading; or A change to subheading 8514.40 from subheading 8514.90, whether or not there is also a change from any other heading, provided there is a regional value content of not less than: (a) 60 percent where the transaction value method is used; or (b) 50 percent where the net cost method is used.</w:t>
      </w:r>
    </w:p>
    <w:p>
      <w:pPr>
        <w:pStyle w:val="Normal"/>
      </w:pPr>
      <w:r>
        <w:t>8514.90 A change to subheading 8514.90 from any other heading; or No required change in tariff classification to subheading 8514.90, provided there is a regional value content of not less than: (a) 60 percent where the transaction value method is used; or (b) 50 percent where the net cost method is used. 4-B-139 8515.11-8515.80 A change to subheading 8515.11 through 8515.80 from any other heading; or A change to subheading 8515.11 through 8515.80 from subheading 8515.90, whether or not there is also a change from any other heading, provided there is a regional value content of not less than: (a) 60 percent where the transaction value method is used; or (b) 50 percent where the net cost method is used. 8515.90 A change to subheading 8515.90 from any other heading. 8516.10-8516.80 A change to subheading 8516.10 through 8516.80 from any other subheading, including another subheading within that group. 8516.90 8516.90.cc A change to tariff item 8516.90.cc from any other tariff item. 8516.90.dd A change to tariff item 8516.90.dd from any other tariff item.</w:t>
      </w:r>
    </w:p>
    <w:p>
      <w:pPr>
        <w:pStyle w:val="Normal"/>
      </w:pPr>
      <w:r>
        <w:t>8516.90.ee A change to tariff item 8516.90.ee from any other tariff item. 8516.90.ff A change to tariff item 8516.90.ff from any other tariff item. 8516.90.gg A change to tariff item 8516.90.gg from any other tariff item.</w:t>
      </w:r>
    </w:p>
    <w:p>
      <w:pPr>
        <w:pStyle w:val="Normal"/>
      </w:pPr>
      <w:r>
        <w:t>8516.90 A change to subheading 8516.90 from any other heading; or No required change in tariff classification to subheading 8516.90, provided there is a regional value content of not less than: (a) 60 percent where the transaction value method is used; or (b) 50 percent where the net cost method is used. 8517.11 A change to subheading 8517.11 from any other subheading. 8517.12-8517.61 A change to subheading 8517.12 through 8517.61 from any other subheading, including another subheading within that group. 4-B-140 8517.62-8517.70 A change to a good of any of subheading 8517.62 through 8517.70 from any other good within that subheading or any other subheading, including another subheading within that group. 8518.10-8518.30 A change to a good of any of subheading 8518.10 through 8518.30 from any other good within that subheading or any other subheading, including another subheading within that group.</w:t>
      </w:r>
    </w:p>
    <w:p>
      <w:pPr>
        <w:pStyle w:val="Normal"/>
      </w:pPr>
      <w:r>
        <w:t>8518.40-8518.50 A change to subheading 8518.40 through 8518.50 from any other heading; or A change to subheading 8518.40 through 8518.50 from subheading 8518.90, whether or not there is also a change from any other heading, provided there is a regional value content of not less than: (a) 60 percent where the transaction value method is used; or (b) 50 percent where the net cost method is used.</w:t>
      </w:r>
    </w:p>
    <w:p>
      <w:pPr>
        <w:pStyle w:val="Normal"/>
      </w:pPr>
      <w:r>
        <w:t>8518.90 A change to subheading 8518.90 from any other heading; or A change to subheading 8518.90 from any other subheading within heading 85.18, whether or not there is also a change from any other heading, provided there is a regional value content of not less than: (a) 30 percent where the transaction value method is used; or (b) 25 percent where the net cost method is used. 8519.20-8519.8941 A change to a good of any of subheading 8519.20 through 8519.89 from any other good within that subheading or any other subheading, including another subheading within that group. 8521.10-8521.90 A change to subheading 8521.10 through 8521.90 from any other subheading, including another subheading within that group, except from tariff item 8522.90.aa. 85.22 A change to heading 85.22 from any other heading. 41 If the good is for use in a vehicle of Chapter 87, the provisions of the Appendix to this Annex apply. 4-B-141 8523.21-8523.51 A change to a good of any of subheading 8523.21 through 8523.51 from any other good within that subheading or any other subheading, including another subheading within that group.</w:t>
      </w:r>
    </w:p>
    <w:p>
      <w:pPr>
        <w:pStyle w:val="Normal"/>
      </w:pPr>
      <w:r>
        <w:t>8523.52 Note: Notwithstanding Article 4.18 (Transit and Transshipment), “smart cards” of subheading 8523.52 qualifying under the rule below as an originating good may undergo further production outside the territory of the Parties and, when imported into the territory of a Party, will originate in the territory of a Party, provided that such further production did not result in a change to any other subheading. No required change in tariff classification to “smart cards” which contain a single integrated circuit or parts of such “smart cards” of subheading 8523.52; A change to other “smart cards” of subheading 8523.52 from any other good of subheading 8523.52, except from parts of other “smart cards” of subheading 8523.52, or any other heading; A change to other “smart cards” of subheading 8523.52 from parts of other “smart cards” of subheading 8523.52, whether or not there is also a change from any other good of subheading 8523.52 or any other heading, provided there is a regional value content of not less than: (a) 60 percent where the transaction value method is used; or (b) 50 percent where the net cost method is used.</w:t>
      </w:r>
    </w:p>
    <w:p>
      <w:pPr>
        <w:pStyle w:val="Normal"/>
      </w:pPr>
      <w:r>
        <w:t>A change to parts of other “smart cards” of subheading 8523.52 from any other heading; or No required change in tariff classification to parts of other “smart cards” of subheading 8523.52, provided there is a regional value content of not less than: (a) 60 percent where the transaction value method is used; or (b) 50 percent where the net cost method is used. 8523.59-8523.80 A change to a good of any of subheading 8523.59 through 8523.80 from any other good within that subheading or any other subheading, including another subheading within that group. 4-B-142 8525.50-8525.60 A change to subheading 8525.50 through 8525.60 from any subheading outside that group, provided that, with respect to printed circuit assemblies (PCAs) of subheading 8529.90: (a) except as provided in subparagraph (b), for each multiple of nine PCAs, or any portion thereof, that is contained in the good, only one PCA may be a non-originating PCA; and (b) if the good contains less than three PCAs, all of the PCAs must be originating PCAs.</w:t>
      </w:r>
    </w:p>
    <w:p>
      <w:pPr>
        <w:pStyle w:val="Normal"/>
      </w:pPr>
      <w:r>
        <w:t>8525.80 A change to gyrostabilized television cameras of subheading 8525.80 from any other good of subheading 8525.80 or any other subheading, except from studio television cameras, other than shoulder-carried cameras and other portable cameras, of subheading 8525.80; A change to other television cameras of subheading 8525.80 from any other good of subheading 8525.80 or any other subheading, except from gyrostabilized television cameras of subheading 8525.80; or A change to any other good of subheading 8525.80 from television cameras of subheading 8525.80 or any other subheading. 8526.10-8526.92 A change to subheading 8526.10 through 8526.92 from any other subheading, including another subheading within that group. 8527.12-8527.9942 A change to subheading 8527.12 through 8527.99 from any other subheading, including another subheading within that group, except from printed circuit assemblies (PCAs) of subheading 8529.90. 85.28 A change to heading 85.28 from any other heading; or No required change in tariff classification to heading 85.28, provided there is a regional value content of not less than:</w:t>
      </w:r>
    </w:p>
    <w:p>
      <w:pPr>
        <w:pStyle w:val="Normal"/>
      </w:pPr>
      <w:r>
        <w:t>(a) 60 percent where the transaction value method is used; or (b) 50 percent where the net cost method is used. 42 If the good is for use in a vehicle of Chapter 87, the provisions of the Appendix to this Annex apply.</w:t>
      </w:r>
    </w:p>
    <w:p>
      <w:pPr>
        <w:pStyle w:val="Normal"/>
      </w:pPr>
      <w:r>
        <w:t>4-B-143 8529.10 A change to subheading 8529.10 from any other heading; or No required change in tariff classification to subheading 8529.10, provided there is a regional value content of not less than: (a) 60 percent where the transaction value method is used; or (b) 50 percent where the net cost method is used. 8529.90 A change of subheading 8529.90 from any other good within the same subheading; or No required change in tariff classification to subheading 8529.90, provided there is a regional value content of not less than: (a) 40 percent where the transaction value method is used; or (b) 30 percent where the net cost method is used. 8530.10-8530.80 A change to subheading 8530.10 through 8530.80 from any other heading; or A change to subheading 8530.10 through 8530.80 from subheading 8530.90, whether or not there is also a change from any other heading, provided there is a regional value content of not less than: (a) 60 percent where the transaction value method is used; or (b) 50 percent where the net cost method is used.</w:t>
      </w:r>
    </w:p>
    <w:p>
      <w:pPr>
        <w:pStyle w:val="Normal"/>
      </w:pPr>
      <w:r>
        <w:t>8530.90 A change to subheading 8530.90 from any other heading; or No required change in tariff classification to subheading 8530.90, provided there is a regional value content of not less than: (a) 60 percent where the transaction value method is used; or (b) 50 percent where the net cost method is used. 8531.10 A change to subheading 8531.10 from any other subheading.</w:t>
      </w:r>
    </w:p>
    <w:p>
      <w:pPr>
        <w:pStyle w:val="Normal"/>
      </w:pPr>
      <w:r>
        <w:t>8531.20 A change to a good of subheading 8531.20 from any other good within that subheading or any other subheading. 4-B-144 8531.80 A change to subheading 8531.80 from any other subheading. 8531.90 A change to a good of subheading 8531.90 from any other good within that subheading or any other subheading. 8532.10-8532.90 A change to a good of any of subheading 8532.10 through 8532.90 from any other good within that subheading or any other subheading, including another subheading within that group. 8533.10-8533.39 A change to subheading 8533.10 through 8533.39 from any other subheading, including another subheading within that group. 8533.40 A change to subheading 8533.40 from any other subheading, except from tariff item 8533.90.aa. 8533.90 A change to a good of subheading 8533.90 from any other good within that subheading or any other subheading. 85.34 A change to heading 85.34 from any other heading.</w:t>
      </w:r>
    </w:p>
    <w:p>
      <w:pPr>
        <w:pStyle w:val="Normal"/>
      </w:pPr>
      <w:r>
        <w:t>85.35 8535.90.aa A change to tariff item 8535.90.aa from any other tariff item, except from tariff item 8538.90.aa; or A change to tariff item 8535.90.aa from tariff item 8538.90.aa, whether or not there is also a change from any other tariff item, provided there is a regional value content of not less than: (a) 60 percent where the transaction value method is used; or (b) 50 percent where the net cost method is used.</w:t>
      </w:r>
    </w:p>
    <w:p>
      <w:pPr>
        <w:pStyle w:val="Normal"/>
      </w:pPr>
      <w:r>
        <w:t>85.35 A change to heading 85.35 from any other heading, except from tariff item 8538.90.bb or 8538.90.cc; or A change to heading 85.35 from tariff item 8538.90.bb or 8538.90.cc, whether or not there is also a change from any other heading, provided there is a regional value content of not less than: (a) 60 percent where the transaction value method is used; or (b) 50 percent where the net cost method is used. 4-B-145 8536.10-8536.20 A change to subheading 8536.10 through 8536.20 from any other heading, except from tariff item 8538.90.bb or 8538.90.cc; or A change to subheading 8536.10 through 8536.20 from tariff item 8538.90.bb or 8538.90.cc, whether or not there is also a change from any other heading, provided there is a regional value content of not less than: (a) 60 percent where the transaction value method is used; or (b) 50 percent where the net cost method is used.</w:t>
      </w:r>
    </w:p>
    <w:p>
      <w:pPr>
        <w:pStyle w:val="Normal"/>
      </w:pPr>
      <w:r>
        <w:t>8536.30 8536.30.aa A change to tariff item 8536.30.aa from any other tariff item, except from tariff item 8538.90.aa; or A change to tariff item 8536.30.aa from tariff item 8538.90.aa, whether or not there is also a change from any other tariff item, provided there is a regional value content of not less than: (a) 60 percent where the transaction value method is used; or (b) 50 percent where the net cost method is used.</w:t>
      </w:r>
    </w:p>
    <w:p>
      <w:pPr>
        <w:pStyle w:val="Normal"/>
      </w:pPr>
      <w:r>
        <w:t>8536.30 A change to any other good of subheading 8536.30 from any other heading, except from tariff item 8538.90.bb or 8538.90.cc; or A change to any other good of subheading 8536.30 from tariff item 8538.90.bb or 8538.90.cc, whether or not there is also a change from any other heading, provided there is a regional value content of not less than: (a) 60 percent where the transaction value method is used; or (b) 50 percent where the net cost method is used. 8536.41-8536.49 A change to subheading 8536.41 through 8536.49 from any other heading, except from tariff item 8538.90.bb or 8538.90.cc; or A change to subheading 8536.41 through 8536.49 from tariff item 8538.90.bb or 8538.90.cc, whether or not there is also a change from any other heading, provided there is a regional value content of not less than: (a) 60 percent where the transaction value method is used; or 4-B-146 (b) 50 percent where the net cost method is used.</w:t>
      </w:r>
    </w:p>
    <w:p>
      <w:pPr>
        <w:pStyle w:val="Normal"/>
      </w:pPr>
      <w:r>
        <w:t>8536.5043 8536.50.aa A change to tariff item 8536.50.aa from any other tariff item, except from tariff item 8538.90.aa; or A change to tariff item 8536.50.aa from tariff item 8538.90.aa, whether or not there is also a change from any other tariff item, provided there is a regional value content of not less than: (a) 60 percent where the transaction value method is used; or (b) 50 percent where the net cost method is used.</w:t>
      </w:r>
    </w:p>
    <w:p>
      <w:pPr>
        <w:pStyle w:val="Normal"/>
      </w:pPr>
      <w:r>
        <w:t>8536.50 A change to any other good of subheading 8536.50 from any other heading, except from tariff item 8538.90.bb or 8538.90.cc; or A change to any other good of subheading 8536.50 from tariff item 8538.90.bb or 8538.90.cc, whether or not there is also a change from any other heading, provided there is a regional value content of not less than: (a) 60 percent where the transaction value method is used; or (b) 50 percent where the net cost method is used. 8536.61-8536.69 A change to subheading 8536.61 through 8536.69 from any other heading, except from tariff item 8538.90.bb or 8538.90.cc; or A change to subheading 8536.61 through 8536.69 from tariff item 8538.90.bb or 8538.90.cc, whether or not there is also a change from any other heading, provided there is a regional value content of not less than: (a) 60 percent where the transaction value method is used; or (b) 50 percent where the net cost method is used. 43 If the good is for use in a vehicle of Chapter 87, the provisions of the Appendix to this Annex apply.</w:t>
      </w:r>
    </w:p>
    <w:p>
      <w:pPr>
        <w:pStyle w:val="Normal"/>
      </w:pPr>
      <w:r>
        <w:t>4-B-147 8536.70 A change to plastic connectors of subheading 8536.70 from any other good of subheading 8536.70 or any other subheading, except from heading 39.26, provided there is a regional value content of not less than: (a) 60 percent where the transaction value method is used; or (b) 50 percent where the net cost method is used.</w:t>
      </w:r>
    </w:p>
    <w:p>
      <w:pPr>
        <w:pStyle w:val="Normal"/>
      </w:pPr>
      <w:r>
        <w:t>A change to ceramic connectors of subheading 8536.70 from any other good of subheading 8536.70 or any other subheading, except from Chapter 69; or A change to copper connectors of subheading 8536.70 from any other good of subheading 8536.70 or any other subheading, except from heading 74.19. 8536.9044 A change to subheading 8536.90 from any other heading, except from tariff item 8538.90.bb or 8538.90.cc; or A change to subheading 8536.90 from tariff item 8538.90.bb or 8538.90.cc, whether or not there is also a change from any other heading, provided there is a regional value content of not less than: (a) 60 percent where the transaction value method is used; or (b) 50 percent where the net cost method is used.</w:t>
      </w:r>
    </w:p>
    <w:p>
      <w:pPr>
        <w:pStyle w:val="Normal"/>
      </w:pPr>
      <w:r>
        <w:t>85.3745 A change to heading 85.37 from any other heading, except from printed circuit assemblies of subheading 8538.90 or moulded parts of subheading 8538.90; or A change to heading 85.37 from printed circuit assemblies of subheading 8538.90 or moulded parts of subheading 8538.90 or, whether or not there is also a change from any other heading, provided there is a regional value content of not less than: (a) 50 percent where the transaction value method is used; or (b) 40 percent where the net cost method is used. 44 If the good is for use in a vehicle of Chapter 87, the provisions of the Appendix to this Annex apply. 45 If the good is for use in a vehicle of Chapter 87, the provisions of the Appendix to this Annex apply.</w:t>
      </w:r>
    </w:p>
    <w:p>
      <w:pPr>
        <w:pStyle w:val="Normal"/>
      </w:pPr>
      <w:r>
        <w:t>4-B-148 8538.10-8538.90 A change to subheading 8538.10 through 8538.90 from any other heading; or A change to subheading 8538.10 through 8538.90 from any other subheading within that group, whether or not there is also a change from any other heading, provided there is a regional value content of not less than: (a) 60 percent where the transaction value method is used; or (b) 50 percent where the net cost method is used. 8539.10-8539.4946 A change to subheading 8539.10 through 8539.49 from any other subheading, except from any subheading within that group. 8539.90 A change to subheading 8539.90 from any other heading. 8540.11 8540.11.aa A change to tariff item 8540.11.aa from any other subheading, except from more than one of the following: - tariff item 7011.20.aa, - tariff item 8540.91.aa. 8540.11.bb A change to tariff item 8540.11.bb from any other subheading, except from more than one of the following: - tariff item 7011.20.aa, - tariff item 8540.91.aa. 8540.11.cc A change to tariff item 8540.11.cc from any other subheading, except from tariff item 8540.91.aa.</w:t>
      </w:r>
    </w:p>
    <w:p>
      <w:pPr>
        <w:pStyle w:val="Normal"/>
      </w:pPr>
      <w:r>
        <w:t>8540.11.dd A change to tariff item 8540.11.dd from any other subheading, except from tariff item 8540.91.aa. 8540.11 A change to subheading 8540.11 from any other heading; or 46 If the good is for use in a vehicle of Chapter 87, the provisions of the Appendix to this Annex apply.</w:t>
      </w:r>
    </w:p>
    <w:p>
      <w:pPr>
        <w:pStyle w:val="Normal"/>
      </w:pPr>
      <w:r>
        <w:t>4-B-149 A change to subheading 8540.11 from subheading 8540.91, whether or not there is also a change from any other heading, provided there is a regional value content of not less than: (a) 60 percent where the transaction value method is used; or (b) 50 percent where the net cost method is used. 8540.12 Note: The following rule applies to a good of tariff item 8540.12.aa incorporating a glass panel referred to in subparagraph (b) of Note 4 of Chapter85 and a glass cone provided for in tariff item 7011.20.aa: 8540.12.aa A change to tariff item 8540.12.aa from any other subheading, except from more than one of the following: - tariff item 7011.20.aa, - tariff item 8540.91.aa. Note: The following rule applies to a good of tariff item 8540.12.aa incorporating a glass envelope referred to in subparagraph (b) of Note 4 of Chapter 85: 8540.12.aa A change to tariff item 8540.12.aa from any other subheading, except from tariff item 8540.91.aa. 8540.12.bb A change to tariff item 8540.12.bb from any other subheading, except from tariff item 8540.91.aa.</w:t>
      </w:r>
    </w:p>
    <w:p>
      <w:pPr>
        <w:pStyle w:val="Normal"/>
      </w:pPr>
      <w:r>
        <w:t>8540.12 A change to subheading 8540.12 from any other heading; or A change to subheading 8540.12 from subheading 8540.91, whether or not there is also a change from any other heading, provided there is a regional value content of not less than: (a) 60 percent where the transaction value method is used; or (b) 50 percent where the net cost method is used.</w:t>
      </w:r>
    </w:p>
    <w:p>
      <w:pPr>
        <w:pStyle w:val="Normal"/>
      </w:pPr>
      <w:r>
        <w:t>8540.20 A change to subheading 8540.20 from any other heading; or A change to subheading 8540.20 from subheading 8540.91 through 8540.99, whether or not there is also a change from any other heading, provided there is a regional value content of not less than: 4-B-150 (a) 60 percent where the transaction value method is used; or (b) 50 percent where the net cost method is used. 8540.40-8540.60 A change to subheading 8540.40 through 8540.60 from any subheading outside that group. 8540.71 A change to subheading 8540.71 from any other subheading. 8540.79 A change to klystrons of subheading 8540.79 from any other good within that subheading or any other subheading; or A change to any other good of subheading 8540.79 from klystrons within that subheading or any other subheading. 8540.81-8540.89 A change to subheading 8540.81 through 8540.89 from any other subheading, including another subheading within that group. 8540.91 8540.91.aa A change to tariff item 8540.91.aa from any other tariff item.</w:t>
      </w:r>
    </w:p>
    <w:p>
      <w:pPr>
        <w:pStyle w:val="Normal"/>
      </w:pPr>
      <w:r>
        <w:t>8540.91 A change to subheading 8540.91 from any other heading; or No required change in tariff classification to subheading 8540.91, provided there is a regional value content of not less than: (a) 60 percent where the transaction value method is used; or (b) 50 percent where the net cost method is used. 8540.99 8540.99.aa A change to tariff item 8540.99.aa from any other tariff item.</w:t>
      </w:r>
    </w:p>
    <w:p>
      <w:pPr>
        <w:pStyle w:val="Normal"/>
      </w:pPr>
      <w:r>
        <w:t>8540.99 A change to subheading 8540.99 from any other heading; or No required change in tariff classification to subheading 8540.99, provided there is a regional value content of not less than: (a) 60 percent where the transaction value method is used; or 4-B-151 (b) 50 percent where the net cost method is used. 8541.10-8542.90 Note: Notwithstanding Article 4.18 (Transshipment), a good provided for in subheading 8541.10 through 8541.60 or 8542.10 through 8542.39 qualifying under the rule below as an originating good may undergo further production outside the territory of the Parties and, when imported into the territory of a Party, will originate in the territory of a Party, provided that such further production did not result in a change to a subheading outside of that group. No required change in tariff classification to subheading 8541.10 through 8542.90. 8543.10 A change to subheading 8543.10 from any other subheading, except from subheading 8486.20. 8543.20-8543.30 A change to subheading 8543.20 through 8543.30 from any other subheading, including another subheading within that group. 8543.70 A change to subheading 8543.70 from any other subheading, except from “smart” cards, other than those containing a single integrated circuit, of subheading 8523.59.</w:t>
      </w:r>
    </w:p>
    <w:p>
      <w:pPr>
        <w:pStyle w:val="Normal"/>
      </w:pPr>
      <w:r>
        <w:t>8543.90 Note: Notwithstanding Article 4.18 (Transit and Transshipment), electronic microassemblies of subheading 8543.90 qualifying under the rule below as an originating good may undergo further production outside the territory of the Parties and, when imported into the territory of a Party, will originate in the territory of a Party, provided that such further production did not result in a change to any other subheading. No required change in tariff classification to electronic microassemblies of subheading 8543.90; A change to any other good of subheading 8543.90 from electronic microassemblies of subheading 8543.90 or any other heading; or No required change in tariff classification to any other good of subheading 8543.90, provided there is a regional value content of not less than: (a) 60 percent where the transaction value method is used; or 4-B-152 (b) 50 percent where the net cost method is used.</w:t>
      </w:r>
    </w:p>
    <w:p>
      <w:pPr>
        <w:pStyle w:val="Normal"/>
      </w:pPr>
      <w:r>
        <w:t>8544.11-8544.6047 A change to subheading 8544.11 through 8544.60 from any subheading outside that group, except from heading 74.08, 74.13, 76.05 or 76.14; or A change to subheading 8544.11 through 8544.60 from any other subheading within that group or heading 74.08, 74.13, 76.05 or 76.14, whether or not there is also a change from any other subheading, provided there is a regional value content of not less than: (a) 60 percent where the transaction value method is used; or (b) 50 percent where the net cost method is used.</w:t>
      </w:r>
    </w:p>
    <w:p>
      <w:pPr>
        <w:pStyle w:val="Normal"/>
      </w:pPr>
      <w:r>
        <w:t>8544.70 A change to subheading 8544.70 from any other subheading, except from heading 70.02 or 90.01; or A change to subheading 8544.70 from heading 70.02 or 90.01, whether or not there is also a change from any other subheading, provided there is a regional value content of not less than: (a) 60 percent where the transaction value method is used; or (b) 50 percent where the net cost method is used. 8545.11-8545.90 A change to subheading 8545.11 through 8545.90 from any other subheading, including another subheading within that group. 85.46 A change to heading 85.46 from any other heading. 8547.10-8547.90 A change to subheading 8547.10 through 8547.90 from any other subheading, including another subheading within that group. 8548.10 A change to subheading 8548.10 from any other chapter. 8548.90 Note: Notwithstanding Article 4.18 (Transit and Transshipment), electronic microassemblies of subheading 8548.90 qualifying under the rule below as an originating good may undergo further production outside the territory of the 47 If the good is for use in a vehicle of Chapter 87, the provisions of the Appendix to this Annex apply.</w:t>
      </w:r>
    </w:p>
    <w:p>
      <w:pPr>
        <w:pStyle w:val="Normal"/>
      </w:pPr>
      <w:r>
        <w:t>4-B-153 Parties and, when imported into the territory of a Party, will originate in the territory of a Party, provided that such further production did not result in a change to any other subheading.</w:t>
      </w:r>
    </w:p>
    <w:p>
      <w:pPr>
        <w:pStyle w:val="Normal"/>
      </w:pPr>
      <w:r>
        <w:t xml:space="preserve">No required change in tariff classification to electronic microassemblies of subheading 8548.90; or A change to any other good of subheading 8548.90 from electronic microassemblies of subheading 8548.90 or any other heading.</w:t>
      </w:r>
    </w:p>
    <w:p>
      <w:pPr>
        <w:pStyle w:val="AnnexSection"/>
      </w:pPr>
      <w:bookmarkStart w:id="900146" w:name="_Toc300000145"/>
      <w:r>
        <w:t xml:space="preserve">Section XVII - Vehicles, Aircraft, Vessels and Associated Transport Equipment (Chapter 86-89)</w:t>
      </w:r>
      <w:bookmarkEnd w:id="900146"/>
    </w:p>
    <w:p>
      <w:pPr>
        <w:pStyle w:val="Normal"/>
      </w:pPr>
      <w:r>
        <w:t xml:space="preserve">Chapter 86 Railway or Tramway Locomotives, Rolling-Stock and Parts Thereof; Railway or Tramway Track Fixtures and Fittings and Parts Thereof; Mechanical (Including Electro-Mechanical) Traffic Signalling Equipment of all Kinds 86.01-86.02 A change to heading 86.01 through 86.02 from any other heading, including another heading within that group. 86.03-86.06 A change to heading 86.03 through 86.06 from any other heading, including another heading within that group, except from heading 86.07; or A change to heading 86.03 through 86.06 from heading 86.07, whether or not there is also a change from any other heading, including another heading within that group, provided there is a regional value content of not less than: (a) 60 percent where the transaction value method is used; or (b) 50 percent where the net cost method is used.</w:t>
      </w:r>
    </w:p>
    <w:p>
      <w:pPr>
        <w:pStyle w:val="Normal"/>
      </w:pPr>
      <w:r>
        <w:t>8607.11-8607.12 Note: Beginning on the date of entry into force of the Agreement, until January 1, 2023 or three years after entry into force of this Agreement, whichever is later, the following rule of origin shall apply to subheading 8607.11 through 8607.12: 4-B-154 A change to subheading 8607.11 through 8607.12 from any subheading outside that group. Note: Beginning on January 1, 2023 or three years after entry into force of this Agreement, whichever is later, and thereafter, the following rules of origin shall apply to subheading 8607.11 through 8607.12: A change to subheading 8607.11 through 8607.12 from any other heading, except from heading 72.08 through 72.29 or 73.01 through 73.26; A change to subheading 8607.11 through 8607.12 from heading 72.08 through 72.29 or 73.01 through 73.26, provided that at least 70 percent by weight of the materials of heading 72.08 through 72.29 and 73.01 through 73.26 is originating; or No required change in tariff classification to subheading 8607.11 through 8607.12 provided there is a regional value content of not less than: (a) 70 percent where the transaction value method is used; or (b) 60 percent where the net cost method is used.</w:t>
      </w:r>
    </w:p>
    <w:p>
      <w:pPr>
        <w:pStyle w:val="Normal"/>
      </w:pPr>
      <w:r>
        <w:t>8607.19 8607.19.aa A change to tariff item 8607.19.aa from any other heading; or A change to tariff item 8607.19.aa from tariff item 8607.19.bb, whether or not there is also a change from any other heading, provided there is a regional value content of not less than: (a) 60 percent where the transaction value method is used; or (b) 50 percent where the net cost method is used. 8607.19.cc A change to tariff item 8607.19.cc from any other heading; or A change to tariff item 8607.19.cc from tariff item 8607.19.bb or 8607.19.dd, whether or not there is also a change from any other heading, provided there is a regional value content of not less than: (a) 60 percent where the transaction value method is used; or (b) 50 percent where the net cost method is used. 4-B-155 8607.19 A change to subheading 8607.19 from any other heading. 8607.21 A change to subheading 8607.21 from any other heading; or No required change in tariff classification to subheading 8607.21, provided there is a regional value content of not less than: (a) 60 percent where the transaction value method is used; or (b) 50 percent where the net cost method is used.</w:t>
      </w:r>
    </w:p>
    <w:p>
      <w:pPr>
        <w:pStyle w:val="Normal"/>
      </w:pPr>
      <w:r>
        <w:t>8607.29 Note: Beginning on the date of entry into force of the Agreement, until January 1, 2023 or three years after entry into force of this Agreement, whichever is later, the following rule of origin shall apply to subheading 8607.29: A change to subheading 8607.29 from any other heading; or No required change in tariff classification to subheading 8607.29, provided there is a regional value content of not less than: (a) 60 percent where the transaction value method is used, or (b) 50 percent where the net cost method is used. Note: Beginning on January 1, 2023 or three years after entry into force of this Agreement, whichever is later, and thereafter, the following rules of origin shall apply to subheading 8607.29: A change to subheading 8607.29 from any other heading, except from heading 72.08 through 72.29 or heading 73.01 through 73.26;</w:t>
      </w:r>
    </w:p>
    <w:p>
      <w:pPr>
        <w:pStyle w:val="Normal"/>
      </w:pPr>
      <w:r>
        <w:t>A change to subheading 8607.29 from heading 72.08 through 72.29 or 73.01 through 73.26, provided that at least 70 percent by weight of the materials of heading 72.08 through 72.29 and 73.01 through 73.26 is originating; or No required change in tariff classification to subheading 8607.21 provided there is a regional value content of not less than: (a) 70 percent where the transaction value method is used; or 4-B-156 (b) 60 percent where the net cost method is used.</w:t>
      </w:r>
    </w:p>
    <w:p>
      <w:pPr>
        <w:pStyle w:val="Normal"/>
      </w:pPr>
      <w:r>
        <w:t>8607.30 A change to subheading 8607.30 from any other heading; or No required change in tariff classification to subheading 8607.30, provided there is a regional value content of not less than: (a) 60 percent where the transaction value method is used; or (b) 50 percent where the net cost method is used. 8607.91 Note: Beginning on the date of entry into force of the Agreement, until January 1, 2023 or three years after entry into force of this Agreement, whichever is later, the following rule of origin shall apply to subheading 8607.91: A change to subheading 8607.91 from any other heading; or No required change in tariff classification to subheading 8607.91, provided there is a regional value content of not less than: (a) 60 percent where the transaction value method is used, or (b) 50 percent where the net cost method is used.</w:t>
      </w:r>
    </w:p>
    <w:p>
      <w:pPr>
        <w:pStyle w:val="Normal"/>
      </w:pPr>
      <w:r>
        <w:t>Note: Beginning on January 1, 2023 or three years after entry into force of this Agreement, whichever is later, and thereafter, the following rules of origin shall apply to subheading 8607.91: A change to subheading 8607.91 from any other heading, except from heading 72.08 through 72.29 or 73.01 through 73.26; A change to subheading 8607.91 from heading 72.08 through 72.29 or 73.01 through 73.26, provided that at least 70 percent by weight of the materials of heading 72.08 through 72.29 and 73.01 through 73.26 is originating; or No required change in tariff classification to subheading 8607.91 provided there is a regional value content of not less than: (a) 70 percent where the transaction value method is used; or 4-B-157 (b) 60 percent where the net cost method is used. 8607.99 A change to subheading 8607.99 from any other heading; or No required change in tariff classification to subheading 8607.99, provided there is a regional value content of not less than: (a) 60 percent where the transaction value method is used; or (b) 50 percent where the net cost method is used. 86.08 A change to heading 86.08 from any other heading.</w:t>
      </w:r>
    </w:p>
    <w:p>
      <w:pPr>
        <w:pStyle w:val="Normal"/>
      </w:pPr>
      <w:r>
        <w:t>86.09 Note: Beginning on the date of entry into force of the Agreementuntil January 1, 2023, or three years after entry into force of this Agreement, whichever is later, the following rule of origin shall apply to heading 86.09: A change to heading 86.09 from any other heading Note: Beginning on January 1, 2023, or three years after entry into force of this Agreement, whichever is later, and thereafter, the following rules of origin shall apply to heading 86.09: A change to heading 86.09 from any other heading, except from heading 72.08 through 72.29 or 73.01 through 73.26; or A change to heading 86.09 from heading 72.08 through 72.29 or 73.01 through 73.26, provided that at least 70 percent by weight of the materials of heading 72.08 through 72.29 and 73.01 through 73.26 is originating; or No required change in tariff classification to heading 86.09 is required provided there is a regional value content of not less than:</w:t>
      </w:r>
    </w:p>
    <w:p>
      <w:pPr>
        <w:pStyle w:val="Normal"/>
      </w:pPr>
      <w:r>
        <w:t>(a) 70 percent where the transaction value method is used; or (b) 60 percent where the net cost method is used 4-B-158 87.01-87.08 87.10 Chapter 87 Vehicles Other Than Railway or Tramway Rolling-Stock, and Parts and Accessories Thereof The Appendix (Provisions Related to the Product-Specific Rules of Origin for Automotive Goods) includes the product-specific rules for a good of heading 8701 through 8708.</w:t>
      </w:r>
    </w:p>
    <w:p>
      <w:pPr>
        <w:pStyle w:val="Normal"/>
      </w:pPr>
      <w:r>
        <w:t>8709.11-8709.19 A change to subheading 8709.11 through 8709.19 from any other heading; or A change to subheading 8709.11 through 8709.19 from subheading 8709.90, whether or not there is also a change from any other heading, provided there is a regional value content of not less than: (a) 60 percent where the transaction value method is used; or (b) 50 percent where the net cost method is used. 8709.90 A change to subheading 8709.90 from any other heading. A change to heading 87.10 from any other heading. 87.11-87.13 A change to heading 87.11 through 87.13 from any other heading, including another heading within that group, except from heading 87.14; or A change to heading 87.11 through 87.13 from heading 87.14, whether or not there is also a change from any other heading, including another heading within that group, provided there is a regional value content of not less than: (a) 60 percent where the transaction value method is used; or (b) 50 percent where the net cost method is used. 87.14-87.15 A change to heading 87.14 through 87.15 from any other heading, including another heading within that group.</w:t>
      </w:r>
    </w:p>
    <w:p>
      <w:pPr>
        <w:pStyle w:val="Normal"/>
      </w:pPr>
      <w:r>
        <w:t>8716.10-8716.80 A change to subheading 8716.10 through 8716.80 from any other heading; or 4-B-159 88.01 A change to subheading 8716.10 through 8716.80 from subheading 8716.90, whether or not there is also a change from any other heading, provided there is a regional value content of not less than: (a) 60 percent where the transaction value method is used; or (b) 50 percent where the net cost method is used. 8716.90 A change to subheading 8716.90 from any other heading; or No required change in tariff classification to subheading 8716.90, provided there is a regional value content of not less than: (a) 60 percent where the transaction value method is used; or (b) 50 percent where the net cost method is used. Chapter 88 Aircraft, Spacecraft, and Parts Thereof A change to gliders or hang gliders of heading 88.01 from any other good of heading 88.01 or any other heading; or A change to any other good of heading 88.01 from gliders or hang gliders of heading 88.01 or any other heading.</w:t>
      </w:r>
    </w:p>
    <w:p>
      <w:pPr>
        <w:pStyle w:val="Normal"/>
      </w:pPr>
      <w:r>
        <w:t>8802.11-8803.90 A change to subheading 8802.11 through 8803.90 from any other subheading, including another subheading within that group. 88.04-88.05 A change to heading 88.04 through 88.05 from any other heading, including another heading within that group.</w:t>
      </w:r>
    </w:p>
    <w:p>
      <w:pPr>
        <w:pStyle w:val="Normal"/>
      </w:pPr>
      <w:r>
        <w:t>Chapter 89 Ships, Boats and Floating Structures 89.01-89.02 A change to heading 89.01 through 89.02 from any other chapter; or A change to heading 89.01 through 89.02 from any other heading within Chapter 89, including another heading within that group, whether or not there is also a change from any other chapter, provided there is a regional value content of not less than: (a) 60 percent where the transaction value method is used; or (b) 50 percent where the net cost method is used. 4-B-160 89.03 A change to heading 89.03 from any other heading, provided there is a regional value content of not less than: (a) 60 percent where the transaction value method is used; or (b) 50 percent where the net cost method is used.</w:t>
      </w:r>
    </w:p>
    <w:p>
      <w:pPr>
        <w:pStyle w:val="Normal"/>
      </w:pPr>
      <w:r>
        <w:t>89.04-89.05 A change to heading 89.04 through 89.05 from any other chapter; or A change to heading 89.04 through 89.05 from any other heading within Chapter 89, including another heading within that group, whether or not there is also a change from any other chapter, provided there is a regional value content of not less than: (a) 60 percent where the transaction value method is used; or (b) 50 percent where the net cost method is used. 89.06-89.08 A change to heading 89.06 through 89.08 from any other heading, including another heading within that group.</w:t>
      </w:r>
    </w:p>
    <w:p>
      <w:pPr>
        <w:pStyle w:val="AnnexSection"/>
      </w:pPr>
      <w:bookmarkStart w:id="900147" w:name="_Toc300000146"/>
      <w:r>
        <w:t xml:space="preserve">Section XVIII- Optical, Photographic, Cinematographic, Measuring, Checking, Precision, Medical or Surgical Instruments and Apparatus; Clocks and Watches; Musical Instruments; Parts and Accessories Thereof (Chapter 90-92)</w:t>
      </w:r>
      <w:bookmarkEnd w:id="900147"/>
    </w:p>
    <w:p>
      <w:pPr>
        <w:pStyle w:val="Normal"/>
      </w:pPr>
      <w:r>
        <w:t xml:space="preserve">Chapter 90 Optical, Photographic, Cinematographic, Measuring, Checking, Precision, Medical or Surgical Instruments and Apparatus; Parts and Accessories Thereof Note 1: For the purposes of this Chapter, the term “printed circuit assembly” means a good consisting of one or more printed circuits of heading 85.34 with one or more active elements assembled thereon, with or without passive elements. For the purposes of this Note, “active elements” means diodes, transistors and similar semiconductor devices, whether or not photosensitive, of heading 85.41 and integrated circuits of heading 85.42 and microassemblies of heading 85.43 or 85.48. Note 2: The origin of the goods of Chapter 90 shall be determined without regard to the origin of any automatic data processing machines or units thereof of heading 84.71, or parts and accessories thereof of heading 84.73, which may be included therewith.</w:t>
      </w:r>
    </w:p>
    <w:p>
      <w:pPr>
        <w:pStyle w:val="Normal"/>
      </w:pPr>
      <w:r>
        <w:t>9001.10 A change to subheading 9001.10 from any other chapter, except from pre forms of heading 70.02; or 4-B-161 90.02 A change to subheading 9001.10 from any other good of heading 70.02 except pre-forms, whether or not there is also a change from any other chapter, provided there is a regional value content of not less than: (a) 60 percent where the transaction value method is used; or (b) 50 percent where the net cost method is used. 9001.20-9001.90 A change to subheading 9001.20 through 9001.90 from any other heading. A change to heading 90.02 from any other heading, except from heading 90.01. 9003.11-9003.19 A change to subheading 9003.11 through 9003.19 from any other subheading, including another subheading within that group, except from subheading 9003.90; or A change to subheading 9003.11 through 9003.19 from subheading 9003.90, whether or not there is also a change from any other subheading, including another subheading within that group, provided there is a regional value content of not less than:</w:t>
      </w:r>
    </w:p>
    <w:p>
      <w:pPr>
        <w:pStyle w:val="Normal"/>
      </w:pPr>
      <w:r>
        <w:t>(a) 60 percent where the transaction value method is used; or (b) 50 percent where the net cost method is used. 9003.90 A change to subheading 9003.90 from any other heading. 9004.10 A change to subheading 9004.10 from any other subheading.</w:t>
      </w:r>
    </w:p>
    <w:p>
      <w:pPr>
        <w:pStyle w:val="Normal"/>
      </w:pPr>
      <w:r>
        <w:t>9004.90 A change to subheading 9004.90 from any other chapter; or A change to subheading 9004.90 from any other heading within Chapter 90, whether or not there is also a change from any other chapter, provided there is a regional value content of not less than: (a) 60 percent where the transaction value method is used; or (b) 50 percent where the net cost method is used. 9005.10-9005.80 A change to subheading 9005.10 through 9005.80 from any subheading outside that group, except from heading 90.01 through 90.02 or tariff item 9005.90.aa. 4-B-162 9005.90 9005.90.aa A change to tariff item 9005.90.aa from any other heading, except from heading 90.01 through 90.02. 9005.90 A change to subheading 9005.90 from any other heading; or No required change in tariff classification to subheading 9005.90, provided there is a regional value content of not less than: (a) 60 percent where the transaction value method is used; or (b) 50 percent where the net cost method is used.</w:t>
      </w:r>
    </w:p>
    <w:p>
      <w:pPr>
        <w:pStyle w:val="Normal"/>
      </w:pPr>
      <w:r>
        <w:t>9006.10-9006.69 A change to subheading 9006.10 through 9006.69 from any other heading; or A change to subheading 9006.10 through 9006.69 from subheading 9006.91 or 9006.99, whether or not there is also a change from any other heading, provided there is a regional value content of not less than: (a) 60 percent where the transaction value method is used; or (b) 50 percent where the net cost method is used.</w:t>
      </w:r>
    </w:p>
    <w:p>
      <w:pPr>
        <w:pStyle w:val="Normal"/>
      </w:pPr>
      <w:r>
        <w:t>9006.91-9006.99 A change to subheading 9006.91 through 9006.99 from any other heading; or A change to a good of any of subheading 9006.91 through 9006.99 from within that subheading, whether or not there is also a change from any other heading, provided there is a regional value content of not less than: (a) 60 percent where the transaction value method is used; or (b) 50 percent where the net cost method is used. 9007.10 A change to gyrostabilized cameras of subheading 9007.10 from any other good within that subheading or any other subheading; A change to heading; or any other good of subheading 9007.10 from any other 4-B-163 A change to any other good of subheading 9007.10 from subheading 9007.91, whether or not there is also a change from any other heading, provided there is a regional value content of not less than: (a) 60 percent where the transaction value method is used, or (b) 50 percent where the net cost method is used.</w:t>
      </w:r>
    </w:p>
    <w:p>
      <w:pPr>
        <w:pStyle w:val="Normal"/>
      </w:pPr>
      <w:r>
        <w:t>9007.20 A change to subheading 9007.20 from any other heading; or A change to subheading 9007.20 from subheading 9007.92, whether or not there is also a change from any other heading, provided there is a regional value content of not less than: (a) 60 percent where the transaction value method is used; or (b) 50 percent where the net cost is used.</w:t>
      </w:r>
    </w:p>
    <w:p>
      <w:pPr>
        <w:pStyle w:val="Normal"/>
      </w:pPr>
      <w:r>
        <w:t>9007.91 A change to subheading 9007.91 from any other heading; or No required change in tariff classification to subheading 9007.91, provided there is a regional value content of not less than: (a) 60 percent where the transaction value method is used; or (b) 50 percent where the net cost method is used. 9007.92 A change to subheading 9007.92 from any other heading; or No required change in tariff classification to subheading 9007.92, provided there is a regional value content of not less than: (a) 60 percent where the transaction value method is used; or (b) 50 percent where the net cost method is used. 9008.50 A change to subheading 9008.50 from any other heading; or A change to subheading 9008.50 from subheading 9008.90, whether or not there is also a change from any other heading, provided there is a regional value content of not less than: (a) 60 percent where the transaction value method is used; or 4-B-164 (b) 50 percent where the net cost method is used.</w:t>
      </w:r>
    </w:p>
    <w:p>
      <w:pPr>
        <w:pStyle w:val="Normal"/>
      </w:pPr>
      <w:r>
        <w:t>9008.90 A change to subheading 9008.90 from any other heading; or No required change in tariff classification to subheading 9008.90, provided there is a regional value content of not less than: (a) 60 percent where the transaction value method is used; or (b) 50 percent where the net cost method is used.</w:t>
      </w:r>
    </w:p>
    <w:p>
      <w:pPr>
        <w:pStyle w:val="Normal"/>
      </w:pPr>
      <w:r>
        <w:t>9010.10-9010.60 A change to subheading 9010.10 through 9010.60 from any other heading; or A change to subheading 9010.10 through 9010.60 from subheading 9010.90, whether or not there is also a change from any other heading, provided there is a regional value content of not less than: (a) 60 percent where the transaction value method is used; or (b) 50 percent where the net cost method is used. 9010.90 A change to subheading 9010.90 from any other heading; or No required change in tariff classification to subheading 9010.90, provided there is a regional value content of not less than: (a) 60 percent where the transaction value method is used; or (b) 50 percent where the net cost method is used. 9011.10-9011.80 A change to subheading 9011.10 through 9011.80 from any other heading; or A change to subheading 9011.10 through 9011.80 from subheading 9011.90, whether or not there is also a change from any other heading, provided there is a regional value content of not less than: (a) 60 percent where the transaction value method is used; or (b) 50 percent where the net cost method is used. 9011.90 A change to subheading 9011.90 from any other heading.</w:t>
      </w:r>
    </w:p>
    <w:p>
      <w:pPr>
        <w:pStyle w:val="Normal"/>
      </w:pPr>
      <w:r>
        <w:t>4-B-165 9012.10 A change to subheading 9012.10 from any other heading; or A change to subheading 9012.10 from subheading 9012.90, whether or not there is also a change from any other heading, provided there is a regional value content of not less than: (a) 60 percent where the transaction value method is used; or (b) 50 percent where the net cost method is used. 9012.90 A change to subheading 9012.90 from any other heading. 9013.10-9013.20 A change to subheading 9013.10 through 9013.20 from any other heading; or A change to subheading 9013.10 through 9013.20 from subheading 9013.90, whether or not there is also a change from any other heading, provided there is a regional value content of not less than: (a) 60 percent where the transaction value method is used; or (b) 50 percent where the net cost method is used.</w:t>
      </w:r>
    </w:p>
    <w:p>
      <w:pPr>
        <w:pStyle w:val="Normal"/>
      </w:pPr>
      <w:r>
        <w:t>9013.80 A change to Liquid Crystal Display Assemblies of subheading 9013.80 from any other subheading; No required tariff change to Liquid Crystal Display Assemblies of subheading 9013.80 provided there is a regional value content of not less than: (a) 40 percent where the transaction value method is used; or (b) 30 percent where the net cost method is used; A change to any other good of subheading 9013.80 from any other heading; or No required tariff change to any other good of subheading 9013.80 provided there is a regional value content of not less than: (a) 60 percent where the transaction value method is used; or (b) 50 percent where the net cost method is used. 4-B-166 9013.90 A change to subheading 9013.90 from any other heading; or No required change in tariff classification to subheading 9013.90, provided there is a regional value content of not less than: (a) 60 percent where the transaction value method is used; or (b) 50 percent where the net cost method is used.</w:t>
      </w:r>
    </w:p>
    <w:p>
      <w:pPr>
        <w:pStyle w:val="Normal"/>
      </w:pPr>
      <w:r>
        <w:t>9014.10-9014.80 A change to subheading 9014.10 through 9014.80 from any other heading; or A change to subheading 9014.10 through 9014.80 from subheading 9014.90, whether or not there is also a change from any other heading, provided there is a regional value content of not less than: (a) 60 percent where the transaction value method is used; or (b) 50 percent where the net cost method is used.</w:t>
      </w:r>
    </w:p>
    <w:p>
      <w:pPr>
        <w:pStyle w:val="Normal"/>
      </w:pPr>
      <w:r>
        <w:t>9014.90 A change to subheading 9014.90 from any other heading; or No required change in tariff classification to subheading 9014.90, provided there is a regional value content of not less than: (a) 60 percent where the transaction value method is used; or (b) 50 percent where the net cost method is used. 9015.10-9015.80 A change to subheading 9015.10 through 9015.80 from any other heading; or A change to subheading 9015.10 through 9015.80 from subheading 9015.90, whether or not there is also a change from any other heading, provided there is a regional value content of not less than: (a) 60 percent where the transaction value method is used; or (b) 50 percent where the net cost method is used. 9015.90 A change to subheading 9015.90 from any other heading; or No required change in tariff classification to subheading 9015.90, provided there is a regional value content of not less than: 4-B-167 90.16 (a) 60 percent where the transaction value method is used; or (b) 50 percent where the net cost method is used.</w:t>
      </w:r>
    </w:p>
    <w:p>
      <w:pPr>
        <w:pStyle w:val="Normal"/>
      </w:pPr>
      <w:r>
        <w:t>A change to heading 90.16 from any other heading. 9017.10-9017.80 A change to subheading 9017.10 through 9017.80 from any other heading; or A change to subheading 9017.10 through 9017.80 from subheading 9017.90, whether or not there is also a change from any other heading, provided there is a regional value content of not less than: (a) 60 percent where the transaction value method is used; or (b) 50 percent where the net cost method is used.</w:t>
      </w:r>
    </w:p>
    <w:p>
      <w:pPr>
        <w:pStyle w:val="Normal"/>
      </w:pPr>
      <w:r>
        <w:t>9017.90 A change to subheading 9017.90 from any other heading. 9018.11 9018.11.aa A change to tariff item 9018.11.aa from any other tariff item, except from tariff item 9018.11.bb. 9018.11 A change to subheading 9018.11 from any other heading. 9018.12-9018.14 A change to subheading 9018.12 through 9018.14 from any other heading. 9018.19 9018.19.aa A change to tariff item 9018.19.aa from any other tariff item, except from tariff item 9018.19.bb. 9018.19 A change to subheading 9018.19 from any other heading. 9018.20-9018.50 A change to subheading 9018.20 through 9018.50 from any other heading. 9018.90 9018.90.aa A change to tariff item 9018.90.aa from any other tariff item, except from tariff item 9018.90.bb. 9018.90 A change to subheading 9018.90 from any other heading. 4-B-168 90.20 9019.10-9019.20 A change to subheading 9019.10 through 9019.20 from any other subheading, including another subheading within that group; or No required change in tariff classification to any of subheading 9019.10 through 9019.20, provided there is a regional value content of not less than: (a) 60 percent where the transaction value method is used; or (b) 50 percent where the net cost method is used. A change to heading 90.20 from any other heading.</w:t>
      </w:r>
    </w:p>
    <w:p>
      <w:pPr>
        <w:pStyle w:val="Normal"/>
      </w:pPr>
      <w:r>
        <w:t>9021.10-9021.90 A change to subheading 9021.10 through 9021.90 from any other subheading, including another subheading within that group; or No required change in tariff classification to any of subheading 9021.10 through 9021.90, provided there is a regional value content of not less than: (a) 60 percent where the transaction value method is used; or (b) 50 percent where the net cost method is used. 9022.12-9022.30 A change to subheading 9022.12 through 9022.30 from any other subheading, including another subheading within that group; or No required change in tariff classification to any of subheading 9022.12 through 9022.30, provided there is a regional value content of not less than: (a) 60 percent where the transaction value method is used; or (b) 50 percent where the net cost method is used. 9022.90 9022.90.aa A change to tariff item 9022.90.aa from any other tariff item. 9022.90 A change to subheading 9022.90 from any other heading; or No required change in tariff classification to subheading 9022.90, provided there is a regional value content of not less than:</w:t>
      </w:r>
    </w:p>
    <w:p>
      <w:pPr>
        <w:pStyle w:val="Normal"/>
      </w:pPr>
      <w:r>
        <w:t>4-B-169 90.23 (a) 60 percent where the transaction value method is used; or (b) 50 percent where the net cost method is used. A change to heading 90.23 from any other heading.</w:t>
      </w:r>
    </w:p>
    <w:p>
      <w:pPr>
        <w:pStyle w:val="Normal"/>
      </w:pPr>
      <w:r>
        <w:t>9024.10-9024.80 A change to subheading 9024.10 through 9024.80 from any other heading; or A change to subheading 9024.10 through 9024.80 from subheading 9024.90, whether or not there is also a change from any other heading, provided there is a regional value content of not less than: (a) 60 percent where the transaction value method is used; or (b) 50 percent where the net cost method is used. 9024.90 A change to subheading 9024.90 from any other heading; or No required change in tariff classification to subheading 9024.90, provided there is a regional value content of not less than: (a) 60 percent where the transaction value method is used; or (b) 50 percent where the net cost method is used. 9025.11-9025.80 A change to subheading 9025.11 through 9025.80 from any other heading; or A change to subheading 9025.11 through 9025.80 from subheading 9025.90, whether or not there is also a change from any other heading, provided there is a regional value content of not less than: (a) 45 percent where the transaction value method is used; or (b) 35 percent where the net cost method is used. 9025.90 A change to subheading 9025.90 from any other heading.</w:t>
      </w:r>
    </w:p>
    <w:p>
      <w:pPr>
        <w:pStyle w:val="Normal"/>
      </w:pPr>
      <w:r>
        <w:t>9026.10-9026.80 A change to subheading 9026.10 through 9026.80 from any other heading; or 4-B-170 A change to subheading 9026.10 through 9026.80 from subheading 9026.90, whether or not there is also a change from any other heading, provided there is a regional value content of not less than: (a) 60 percent where the transaction value method is used; or (b) 50 percent where the net cost method is used. 9026.90 A change to subheading 9026.90 from any other heading; or No required change in tariff classification to subheading 9026.90, provided there is a regional value content of not less than: (a) 60 percent where the transaction value method is used; or (b) 50 percent where the net cost method is used. 9027.10-9027.50 A change to subheading 9027.10 through 9027.50 from any other subheading, including another subheading within that group. 9027.80 A change to a good of subheading 9027.80 from any other good within that subheading or any other subheading.</w:t>
      </w:r>
    </w:p>
    <w:p>
      <w:pPr>
        <w:pStyle w:val="Normal"/>
      </w:pPr>
      <w:r>
        <w:t>9027.90 A change to subheading 9027.90 from any other heading; or No required change in tariff classification to subheading 9027.90, provided there is a regional value content of not less than: (a) 60 percent where the transaction value method is used; or (b) 50 percent where the net cost method is used.</w:t>
      </w:r>
    </w:p>
    <w:p>
      <w:pPr>
        <w:pStyle w:val="Normal"/>
      </w:pPr>
      <w:r>
        <w:t>9028.10-9028.30 A change to subheading 9028.10 through 9028.30 from any other heading; or A change to subheading 9028.10 through 9028.30 from subheading 9028.90, whether or not there is also a change from any other heading, provided there is a regional value content of not less than: (a) 60 percent where the transaction value method is used; or (b) 50 percent where the net cost method is used. 9028.90 A change to subheading 9028.90 from any other heading. 4-B-171 9029.10-9029.20 A change to subheading 9029.10 through 9029.20 from any other heading; or A change to subheading 9029.10 through 9029.20 from subheading 9029.90, whether or not there is also a change from any other heading, provided there is a regional value content of not less than: (a) 60 percent where the transaction value method is used; or (b) 50 percent where the net cost method is used. 9029.90 A change to subheading 9029.90 from any other heading; or No required change in tariff classification to subheading 9029.90, provided there is a regional value content of not less than:</w:t>
      </w:r>
    </w:p>
    <w:p>
      <w:pPr>
        <w:pStyle w:val="Normal"/>
      </w:pPr>
      <w:r>
        <w:t>(a) 60 percent where the transaction value method is used; or (b) 50 percent where the net cost method is used. 9030.10 A change to subheading 9030.10 from any other subheading. 9030.20 A change to cathode-ray oscilloscopes or cathode-ray oscillographs of subheading 9030.20 from any other good within that subheading or any other subheading; or A change to any other good of subheading 9030.20 from any other subheading.</w:t>
      </w:r>
    </w:p>
    <w:p>
      <w:pPr>
        <w:pStyle w:val="Normal"/>
      </w:pPr>
      <w:r>
        <w:t>9030.31 A change to subheading 9030.31 from any other subheading. 9030.32 A change to subheading 9030.32 from any other heading; or A change to subheading 9030.32 from subheading 9030.90, whether or not there is also a change from any other heading, provided there is a regional value content of not less than: (a) 60 percent where the transaction value method is used; or (b) 50 percent where the net cost method is used. 9030.33 A change to subheading 9030.33 from any other subheading, except from printed circuit assemblies (PCAs) of subheading 9030.90. 4-B-172 9030.39 A change to subheading 9030.39 from any other subheading. 9030.40-9030.82 A change to subheading 9030.40 through 9030.82 from any other heading; or A change to subheading 9030.40 through 9030.82 from subheading 9030.90, whether or not there is also a change from any other heading, provided there is a regional value content of not less than: (a) 60 percent where the transaction value method is used; or (b) 50 percent where the net cost method is used.</w:t>
      </w:r>
    </w:p>
    <w:p>
      <w:pPr>
        <w:pStyle w:val="Normal"/>
      </w:pPr>
      <w:r>
        <w:t>9030.84-9030.89 A change to subheading 9030.84 through 9030.89 from any other subheading, including another subheading within that group. 9030.90 A change to subheading 9030.90 from any other heading; or No required change in tariff classification to subheading 9030.90, provided there is a regional value content of not less than: (a) 60 percent where the transaction value method is used; or (b) 50 percent where the net cost method is used.</w:t>
      </w:r>
    </w:p>
    <w:p>
      <w:pPr>
        <w:pStyle w:val="Normal"/>
      </w:pPr>
      <w:r>
        <w:t>9031.10-9031.20 A change to subheading 9031.10 through 9031.20 from any other subheading, including another subheading within that group. 9031.41 A change to subheading 9031.41 from any other heading; or A change to subheading 9031.41 from subheading 9031.90, whether or not there is also a change from any other heading, provided there is a regional value content of not less than: (a) 60 percent where the transaction value method is used; or (b) 50 percent where the net cost method is used. 9031.49 9031.49.aa A change to tariff item 9031.49.aa from any other tariff item. 9031.49 A change to subheading 9031.49 from any other subheading. 4-B-173 9031.8048 A change to subheading 9031.80 from any other heading; or A change to subheading 9031.80 from subheading 9031.90, whether or not there is also a change from any other heading, provided there is a regional value content of not less than: (a) 60 percent where the transaction value method is used; or (b) 50 percent where the net cost method is used. 9031.90 A change to a good of 9031.90 from any other good within that subheading or any other subheading.</w:t>
      </w:r>
    </w:p>
    <w:p>
      <w:pPr>
        <w:pStyle w:val="Normal"/>
      </w:pPr>
      <w:r>
        <w:t>9032.10 A change to subheading 9032.10 from any other heading; or A change to a good of subheading 9032.10 from within that subheading or subheading 9032.89 through 9032.90, whether or not there is also a change from any other heading, provided there is a regional value content of not less than: (a) 45 percent where the transaction value method is used; or (b) 35 percent where the net cost method is used. 9032.20-9032.81 A change to subheading 9032.20 through 9032.81 from any other subheading, including another subheading within that group. 9032.8949 A change to subheading 9032.89 from any other heading; or A change to subheading 9032.89 from subheading 9032.90, whether or not there is also a change from any other heading, provided there is a regional value content of not less than: (a) 45 percent where the transaction value method is used; or (b) 35 percent where the net cost method is used.</w:t>
      </w:r>
    </w:p>
    <w:p>
      <w:pPr>
        <w:pStyle w:val="Normal"/>
      </w:pPr>
      <w:r>
        <w:t>9032.90 A change to subheading 9032.90 from any other heading; or 48 If the good is for use in a vehicle of Chapter 87, the provisions of the Appendix to this Annex apply. 49 If the good is for use in a vehicle of Chapter 87, the provisions of the Appendix to this Annex apply. 4-B-174 No required change in tariff classification to subheading 9032.90, provided there is a regional value content of not less than: (a) 60 percent where the transaction value method is used; or (b) 50 percent where the net cost method is used.</w:t>
      </w:r>
    </w:p>
    <w:p>
      <w:pPr>
        <w:pStyle w:val="Normal"/>
      </w:pPr>
      <w:r>
        <w:t>90.33 A change to heading 90.33 from any other heading; or No required change in tariff classification to heading 90.33, provided there is a regional value content of not less than: (a) 60 percent where the transaction value method is used; or (b) 50 percent where the net cost method is used. Chapter 91 Clocks and Watches and Parts Thereof 91.01-91.06 A change to heading 91.01 through 91.06 from any other chapter; or A change to heading 91.01 through 91.06 from heading 91.14, whether or not there is also a change from any other chapter, provided there is a regional value content of not less than: (a) 60 percent where the transaction value method is used; or (b) 50 percent where the net cost method is used. 91.07 A change to heading 91.07 from any other chapter; or A change to heading 91.07 from heading 91.14, whether or not there is also a change from any other chapter, provided there is a regional value content of not less than:</w:t>
      </w:r>
    </w:p>
    <w:p>
      <w:pPr>
        <w:pStyle w:val="Normal"/>
      </w:pPr>
      <w:r>
        <w:t>(a) 45 percent where the transaction value method is used; or (b) 35 percent where the net cost method is used. 91.08-91.10 A change to heading 91.08 through 91.10 from any other heading, including another heading within that group, provided there is a regional value content of not less than: (a) 60 percent where the transaction value method is used; or 4-B-175 (b) 50 percent where the net cost method is used.</w:t>
      </w:r>
    </w:p>
    <w:p>
      <w:pPr>
        <w:pStyle w:val="Normal"/>
      </w:pPr>
      <w:r>
        <w:t>9111.10-9111.80 A change to subheading 9111.10 through 9111.80 from subheading 9111.90 or any other heading, provided there is a regional value content of not less than: (a) 60 percent where the transaction value method is used; or (b) 50 percent where the net cost method is used. 9111.90 A change to subheading 9111.90 from any other heading, provided there is a regional value content of not less than: (a) 60 percent where the transaction value method is used; or (b) 50 percent where the net cost method is used. 9112.20 A change to subheading 9112.20 from subheading 9112.90 or any other heading, provided there is a regional value content of not less than: (a) 60 percent where the transaction value method is used; or (b) 50 percent where the net cost method is used. 9112.90 A change to subheading 9112.90 from any other heading, provided there is a regional value content of not less than: (a) 60 percent where the transaction value method is used; or (b) 50 percent where the net cost method is used.</w:t>
      </w:r>
    </w:p>
    <w:p>
      <w:pPr>
        <w:pStyle w:val="Normal"/>
      </w:pPr>
      <w:r>
        <w:t>91.13 A change to heading 91.13 from any other heading, provided there is a regional value content of not less than: (a) 60 percent where the transaction value method is used; or (b) 50 percent where the net cost method is used. 91.14 A change to heading 91.14 from any other heading.</w:t>
      </w:r>
    </w:p>
    <w:p>
      <w:pPr>
        <w:pStyle w:val="Normal"/>
      </w:pPr>
      <w:r>
        <w:t xml:space="preserve">Chapter 92 Musical Instruments; Parts and Accessories of Such Articles 92.01-92.08 A change to heading 92.01 through 92.08 from any other chapter; or 4-B-176 A change to heading 92.01 through 92.08 from heading 92.09, whether or not there is also a change from any other chapter, provided there is a regional value content of not less than: (a) 60 percent where the transaction value method is used; or (b) 50 percent where the net cost method is used. 92.09 A change to heading 92.09 from any other heading.</w:t>
      </w:r>
    </w:p>
    <w:p>
      <w:pPr>
        <w:pStyle w:val="AnnexSection"/>
      </w:pPr>
      <w:bookmarkStart w:id="900148" w:name="_Toc300000147"/>
      <w:r>
        <w:t xml:space="preserve">Section XIX - Arms and Ammunition; Parts and Accessories Thereof (Chapter 93)</w:t>
      </w:r>
      <w:bookmarkEnd w:id="900148"/>
    </w:p>
    <w:p>
      <w:pPr>
        <w:pStyle w:val="Normal"/>
      </w:pPr>
      <w:r>
        <w:t xml:space="preserve">Chapter 93 Arms and Ammunition; Parts and Accessories Thereof 93.01-93.04 A change to heading 93.01 through 93.04 from any other chapter; or A change to heading 93.01 through 93.04 from heading 93.05, whether or not there is also a change from any other chapter, provided there is a regional value content of not less than: (a) 60 percent where the transaction value method is used; or (b) 50 percent where the net cost method is used. 93.05 A change to heading 93.05 from any other heading. 93.06-93.07 A change to heading 93.06 through 93.07 from any other chapter.</w:t>
      </w:r>
    </w:p>
    <w:p>
      <w:pPr>
        <w:pStyle w:val="AnnexSection"/>
      </w:pPr>
      <w:bookmarkStart w:id="900149" w:name="_Toc300000148"/>
      <w:r>
        <w:t xml:space="preserve">Section XX - Miscellaneous Manufactured Articles (Chapter 94-96)</w:t>
      </w:r>
      <w:bookmarkEnd w:id="900149"/>
    </w:p>
    <w:p>
      <w:pPr>
        <w:pStyle w:val="Normal"/>
      </w:pPr>
      <w:r>
        <w:t xml:space="preserve">Chapter 94 Furniture; Bedding, Mattresses, Mattress Supports, Cushions and Similar Stuffed Furnishings; Lamps and Lighting Fittings, Not Elsewhere Specified or Included; Illuminated Signs, Illuminated Name-Plates and the Like; Prefabricated Buildings 9401.10-9401.8050 A change to subheading 9401.10 through 9401.80 from any other chapter; or 50 If the good is for use in a vehicle of Chapter 87, the provisions of the Appendix to this Annex apply. 4-B-177 A change to subheading 9401.10 through 9401.80 from subheading 9401.90, whether or not there is also a change from any other chapter, provided there is a regional value content of not less than: (a) 60 percent where the transaction value method is used; or (b) 50 percent where the net cost method is used. 9401.90 A change to subheading 9401.90 from any other heading. 9402.10-9402.90 A change to subheading 9402.10 through 9402.90 from any other subheading, including another subheading within that group.</w:t>
      </w:r>
    </w:p>
    <w:p>
      <w:pPr>
        <w:pStyle w:val="Normal"/>
      </w:pPr>
      <w:r>
        <w:t>9403.10-9403.89 A change to subheading 9403.10 through 9403.89 from any other chapter; or A change to subheading 9403.10 through 9403.89 from subheading 9403.90, whether or not there is also a change from any other chapter, provided there is a regional value content of not less than: (a) 60 percent where the transaction value method is used; or (b) 50 percent where the net cost method is used. 9403.90 A change to subheading 9403.90 from any other heading.</w:t>
      </w:r>
    </w:p>
    <w:p>
      <w:pPr>
        <w:pStyle w:val="Normal"/>
      </w:pPr>
      <w:r>
        <w:t>9404.10-9404.30 A change to subheading 9404.10 through 9404.30 from any other chapter. 9404.90 A change to subheading 9404.90 from any other chapter, except from heading 50.07, 51.11 through 51.13, 52.08 through 52.12, 53.10 through 53.11, 54.07 through 54.08 or 55.12 through 55.16. 9405.10-9405.40 A change to subheading 9405.10 through 9405.40 from any subheading outside that group. 9405.50 A change to subheading 9405.50 from any other chapter; or A change to subheading 9405.50 from subheading 9405.91 through 9405.99, whether or not there is also a change from any other chapter, provided there is a regional value content of not less than: (a) 60 percent where the transaction value method is used; or (b) 50 percent where the net cost method is used. 4-B-178 9405.60 A change to subheading 9405.60 from any other subheading. 9405.91-9405.99 A change to subheading 9405.91 through 9405.99 from any other heading. 94.06 A change to heading 94.06 from any other chapter. Chapter 95 Toys, Games and Sports Requisites;</w:t>
      </w:r>
    </w:p>
    <w:p>
      <w:pPr>
        <w:pStyle w:val="Normal"/>
      </w:pPr>
      <w:r>
        <w:t>Parts and Accessories Thereof 9503.00-9505.90 A change to subheading 9503.00 through 9505.90 from any other subheading, including another subheading within that group; or No required change in tariff classification to any of subheading 9503.00 through 9505.90, provided there is a regional value content of not less than: (a) 45 percent where the transaction value method is used; or (b) 35 percent where the net cost method is used.</w:t>
      </w:r>
    </w:p>
    <w:p>
      <w:pPr>
        <w:pStyle w:val="Normal"/>
      </w:pPr>
      <w:r>
        <w:t>9506.11-9506.29 A change to subheading 9506.11 through 9506.29 from any other chapter. 9506.31 A change to subheading 9506.31 from any other chapter; or A change to subheading 9506.31 from subheading 9506.39, whether or not there is also a change from any other chapter, provided there is a regional value content of not less than: (a) 60 percent where the transaction value method is used; or (b) 50 percent where the net cost method is used. 9506.32-9506.39 A change to subheading 9506.32 through 9506.39 from any other chapter. 9506.40-9506.99 A change to subheading 9506.40 through 9506.99 from any other chapter. 95.07-95.08 A change to heading 95.07 through 95.08 from any other chapter. Chapter 96 Miscellaneous Manufactured Articles 96.01-96.05 A change to heading 96.01 through 96.05 from any other chapter. 9606.10 A change to subheading 9606.10 from any other chapter.</w:t>
      </w:r>
    </w:p>
    <w:p>
      <w:pPr>
        <w:pStyle w:val="Normal"/>
      </w:pPr>
      <w:r>
        <w:t>4-B-179 9606.21-9606.29 A change to subheading 9606.21 through 9606.29 from any other chapter; or A change to subheading 9606.21 through 9606.29 from subheading 9606.30, whether or not there is also a change from any other chapter, provided there is a regional value content of not less than: (a) 60 percent where the transaction value method is used; or (b) 50 percent where the net cost method is used. 9606.30 A change to subheading 9606.30 from any other heading.</w:t>
      </w:r>
    </w:p>
    <w:p>
      <w:pPr>
        <w:pStyle w:val="Normal"/>
      </w:pPr>
      <w:r>
        <w:t>9607.11-9607.19 A change to subheading 9607.11 through 9607.19 from any other chapter; or A change to subheading 9607.11 through 9607.19 from subheading 9607.20, whether or not there is also a change from any other chapter, provided there is a regional value content of not less than: (a) 60 percent where the transaction value method is used; or (b) 50 percent where the net cost method is used. 9607.20 A change to subheading 9607.20 from any other heading. 9608.10-9608.50 A change to subheading 9608.10 through 9608.50 from any other chapter; or A change to subheading 9608.10 through 9608.50 from subheading 9608.60 through 9608.99, whether or not there is also a change from any other chapter, provided there is a regional value content of not less than: (a) 60 percent where the transaction value method is used; or (b) 50 percent where the net cost method is used. 9608.60-9608.99 A change to subheading 9608.60 through 9608.99 from any other heading. 96.09-96.12 A change to heading 96.09 through 96.12 from any other chapter.</w:t>
      </w:r>
    </w:p>
    <w:p>
      <w:pPr>
        <w:pStyle w:val="Normal"/>
      </w:pPr>
      <w:r>
        <w:t>9613.10-9613.80 A change to subheading 9613.10 through 9613.80 from any other chapter; or 4-B-180 A change to subheading 9613.10 through 9613.80 from subheading 9613.90, whether or not there is also a change from any other chapter, provided there is a regional value content of not less than: (a) 45 percent where the transaction value method is used; or (b) 35 percent where the net cost method is used.</w:t>
      </w:r>
    </w:p>
    <w:p>
      <w:pPr>
        <w:pStyle w:val="Normal"/>
      </w:pPr>
      <w:r>
        <w:t>9613.90 A change to subheading 9613.90 from any other heading. 96.14 A change to a good of heading 96.14 from any other good within that heading or any other heading. 9615.11-9615.19 A change to subheading 9615.11 through 9615.19 from any other chapter; or A change to subheading 9615.11 through 9615.19 from subheading 9615.90, whether or not there is also a change from any other chapter, provided there is a regional value content of not less than: (a) 60 percent where the transaction value method is used; or (b) 50 percent where the net cost method is used. 9615.90 A change to subheading 9615.90 from any other heading. 96.16-96.18 A change to heading 96.16 through 96.18 from any other chapter. 96.19 Note: A good of heading 96.19 shall be considered originating, notwithstanding the origin of the following materials, provided that the good otherwise meets the applicable product-specific rule of origin: (a) rayon filament, other than lyocell or acetate, of heading 54.03 or 54.05; or (b) rayon fiber, other than lyocell or acetate, of heading 55.02, 55.04, or 55.07.</w:t>
      </w:r>
    </w:p>
    <w:p>
      <w:pPr>
        <w:pStyle w:val="Normal"/>
      </w:pPr>
      <w:r>
        <w:t xml:space="preserve">A change to sanitary towels or tampons of heading 96.19 from any other chapter, except from heading 51.06 through 51.13, 52.04 through 52.12, 53.10 through 53.11 or Chapter 54 through 55; 4-B-181 A change to a good of textile wadding of heading 96.19 from any other heading, except from heading 51.06 through 51.13, 52.04 through 52.12, 53.10 through 53.11, Chapter 54 through 56 or 61 through 62; A change to any other good of textile material of heading 96.19 from any other chapter, except from heading 51.06 through 51.13, 52.04 through 52.12, 53.10 through 53.11, Chapter 54, heading 55.08 through 55.16, 60.01 through 60.06, or Chapter 61 through 62, provided the good is cut or knit to shape, or both, and sewn or otherwise assembled in the territory of one or more of the Parties; or A change to any other good of heading 96.19 from any other heading.</w:t>
      </w:r>
    </w:p>
    <w:p>
      <w:pPr>
        <w:pStyle w:val="AnnexSection"/>
      </w:pPr>
      <w:bookmarkStart w:id="900150" w:name="_Toc300000149"/>
      <w:r>
        <w:t xml:space="preserve">Section XXI - Works of Art, Collectors’ Pieces and Antiques</w:t>
      </w:r>
      <w:bookmarkEnd w:id="900150"/>
    </w:p>
    <w:p>
      <w:pPr>
        <w:pStyle w:val="Normal"/>
      </w:pPr>
      <w:r>
        <w:t xml:space="preserve">Chapter 97 Works of Art, Collectors’ Pieces and Antiques 97.01-97.06 A change to heading 97.01 through 97.06 from any other chapter.</w:t>
      </w:r>
    </w:p>
    <w:p>
      <w:pPr>
        <w:pStyle w:val="Normal"/>
      </w:pPr>
      <w:r>
        <w:t xml:space="preserve">4-B-182</w:t>
      </w:r>
    </w:p>
    <w:p>
      <w:pPr>
        <w:pStyle w:val="AnnexSection"/>
      </w:pPr>
      <w:bookmarkStart w:id="900151" w:name="_Toc300000150"/>
      <w:r>
        <w:t xml:space="preserve">Section C: Revised Tariff Items (HS 2012)</w:t>
      </w:r>
      <w:bookmarkEnd w:id="900151"/>
    </w:p>
    <w:p>
      <w:pPr>
        <w:pStyle w:val="Normal"/>
      </w:pPr>
      <w:r>
        <w:t xml:space="preserve">TARIFF ITEM CANADA (HS 2012) USA (HS 2012) MEXICO (HS 2012) DESCRIPTION 1806.10.aa 1806.10.10 1806.10.43 1806.10.45 1806.10.55 1806.10.65 1806.10.75 1806.10.01 Containing 90 percent or more by weight of sugar 1901.10.aa 1901.10.20 1901.10.05 1901.10.15 1901.10.30 1901.10.35 1901.10.40 1901.10.45 1901.10.01 Containing over 10 percent by weight of milk solids 4-B-183 TARIFF ITEM CANADA (HS 2012) USA (HS 2012) MEXICO (HS 2012) DESCRIPTION 1901.20.aa 1901.20.11 1901.20.02 1901.20.01 Containing over 25 percent by weight of 1901.20.12 1901.20.05 1901.20.02 butterfat, not put up for retail sale 1901.20.21 1901.20.15 1901.20.22 1901.20.20 1901.20.25 1901.20.30 1901.20.35 1901.20.40 1901.90.aa 1901.90.31 1901.90.32 1901.90.03 Dairy preparations containing over 10 1901.90.32 1901.90.33 1901.90.04 percent by weight of milk solids 1901.90.33 1901.90.34 1901.90.05 1901.90.34 1901.90.36 1901.90.39 1901.90.38 1901.90.51 1901.90.42 1901.90.52 1901.90.43 1901.90.53 1901.90.54 1901.90.59 4-B-184 TARIFF ITEM CANADA (HS 2012) USA (HS 2012) MEXICO (HS 2012) DESCRIPTION 2101.11.aa 2101.11.10 2101.11.21 2101.11.01 Instant coffee, not flavoured 2103.20.aa 2103.20.10 2103.20.20 2103.20.01 Ketchup 2106.90.bb 2106.90.cc 2106.90.91 2106.90.92 2106.90.48 2106.90.52 2106.90.54 2106.90.06 2106.90.07 Concentrated fruit or vegetable juices, fortified with minerals or vitamins: Of any single fruit or vegetable Of mixtures of fruit or vegetable juices 4-B-185</w:t>
      </w:r>
    </w:p>
    <w:p>
      <w:pPr>
        <w:pStyle w:val="Normal"/>
      </w:pPr>
      <w:r>
        <w:t>TARIFF ITEM CANADA (HS 2012) USA (HS 2012) MEXICO (HS 2012) DESCRIPTION 2106.90.dd 2106.90.31 2106.90.03 2106.90.08 Containing over 10 percent by weight of 2106.90.32 2106.90.06 milk solids 2106.90.33 2106.90.09 2106.90.34 2106.90.22 2106.90.35 2106.90.24 2106.90.93 2106.90.26 2106.90.94 2106.90.28 2106.90.95 2106.90.62 2106.90.64 2106.90.66 2106.90.68 2106.90.72 2106.90.74 2106.90.76 2106.90.78 2106.90.80 2106.90.82 4-B-186 TARIFF ITEM CANADA (HS 2012) USA (HS 2012) MEXICO (HS 2012) DESCRIPTION 2106.90.ee 2106.90.96 2106.90.12 2106.90.10 Compound preparations, with an alcoholic 2106.90.15 2106.90.11 strength exceeding 0.5 percent by volume, of a 2106.90.18 kind used in the manufacture of beverages Fruit or vegetable juices, fortified with minerals or vitamins: 2202.90.aa 2202.90.31 2202.90.30 2202.90.02 Of any single fruit or vegetable 2202.90.bb 2202.90.32 2202.90.37 2202.90.03 Of mixtures of fruit or vegetable juices 2202.90.cc 2202.90.41 2202.90.10 2202.90.04 Beverages containing milk 2202.90.42 2202.90.22 2202.90.43 2202.90.24 2202.90.49 2202.90.28 4-B-187 TARIFF ITEM CANADA (HS 2012) USA (HS 2012) MEXICO (HS 2012) DESCRIPTION 2309.90.aa 2309.90.31 2309.90.32 2309.90.33 2309.90.35 2309.90.36 2309.90.22 2309.90.24 2309.90.28 2309.90.10 2309.90.11 Containing over 10 percent by weight of milk solids 2401.10.aa 2401.10.10 2401.10.21 2401.10.01 Wrapper tobacco 2401.20.aa 2401.20.10 2401.20.14 2401.20.02 Wrapper tobacco 2403.91.aa 2403.91.10 2403.91.20 2403.91.01 Of a kind</w:t>
      </w:r>
    </w:p>
    <w:p>
      <w:pPr>
        <w:pStyle w:val="Normal"/>
      </w:pPr>
      <w:r>
        <w:t>used as wrapper tobacco 4010.39.aa 4010.39.10 4010.39.10 4010.39.20 4010.39.01 Endless transmission belts (V-belts) 4016.93.aa 4016.93.10 4016.93.10 4016.93.01 4016.93.02 Rubber, gaskets, washers and other seals for automotive goods) 4016.99.aa 4016.99.30 4016.99.30 4016.99.55 4016.99.10 Vibration control goods of a kind used in the vehicles of heading 87.01 through 87.05 4-B-188 TARIFF ITEM CANADA (HS 2012) USA (HS 2012) MEXICO (HS 2012) DESCRIPTION 4105.10.aa 4105.10.21 4105.10.29 4105.10.10 4105.10.03 Wet blue 7011.20.aa 7011.20.10 7011.20.10 7011.20.02 7011.20.03 Cones 7304.41.aa 7304.41.11 7304.41.19 7304.41.30 7304.41.02 Of an external diameter of less than 19 mm 7321.11.aa 7321.11.10 7321.11.30 7321.11.01 7321.11.02 Stoves or ranges (other than portable) 7321.90.aa 7321.90.21 7321.90.10 7321.90.05 Parts: Of stoves or ranges (other than portable): Cooking chambers, whether or not assembled 4-B-189 TARIFF ITEM CANADA (HS 2012) USA (HS 2012) MEXICO (HS 2012) DESCRIPTION 7321.90.bb 7321.90.cc 7321.90.22 7321.90.23 7321.90.20 7321.90.40 7321.90.06 7321.90.07 Top surface panels with or without burners or control Door assemblies, incorporating more than one of the following: inner panel, outer panel, window, insulation 7404.00.aa 7404.00.10 7404.00.20 7404.00.91 7404.00.30 7404.00.02 Spent anodes; waste and scrap with a copper content of less than 94 percent by weight 7407.10.aa 7407.10.11 7407.10.12 7407.10.15 7407.10.02 Hollow profiles 7407.21.aa 7407.21.21 7407.21.22</w:t>
      </w:r>
    </w:p>
    <w:p>
      <w:pPr>
        <w:pStyle w:val="Normal"/>
      </w:pPr>
      <w:r>
        <w:t>7407.21.15 7407.21.02 Hollow profiles 4-B-190 TARIFF ITEM CANADA (HS 2012) USA (HS 2012) MEXICO (HS 2012) DESCRIPTION 7407.29.aa ex. 7407.29.21 ex. 7407.29.29 7407.29.90 7407.29.16 7407.29.02 7407.29.03 Hollow profiles 7408.11.aa 7408.11.11 7408.11.12 7408.11.60 7408.11.01 With a maximum cross- sectional dimension not exceeding 9.5 mm 7506.10.aa 7506.10.10 7506.10.05 7506.10.01 Foil, not exceeding 0.15 mm in thickness 7506.20.aa 7506.20.10 7506.20.05 7506.20.01 Foil, not exceeding 0.15 mm in thickness 8406.90.aa 8406.90.22 8406.90.33 8406.90.34 8406.90.20 8406.90.50 8406.90.01 Rotors, finished for final assembly 4-B-191 TARIFF ITEM CANADA (HS 2012) USA (HS 2012) MEXICO (HS 2012) DESCRIPTION 8406.90.bb 8406.90.cc 8406.90.23 8406.90.36 8406.90.37 8406.90.21 8406.90.31 8406.90.32 8406.90.40 8406.90.70 8406.90.30 8406.90.60 8406.90.02 8406.90.03 Blades, rotating or stationary Rotors, not further advanced than cleaned or machined for removal of fins, gates, sprues, and risers, or to permit location in finishing machinery 8407.34.aa 8407.34.10 8407.34.05 8407.34.14 8407.34.18 8407.34.25 8407.34.02 Engines of a cylinder capacity exceeding 1000 cc but not exceeding 2000 cc 8407.34.bb 8407.34.21 8407.34.29 8407.34.35 8407.34.44 8407.34.48 8407.34.55 8407.34.99 Engines of a cylinder capacity exceeding 2000 cc 8414.59.aa see 8414.80.aa 8414.59.30 see 8414.80.aa Turbochargers and superchargers for motor vehicles, where not provided for under subheading 8414.80 8414.80.aa 8414.80.10</w:t>
      </w:r>
    </w:p>
    <w:p>
      <w:pPr>
        <w:pStyle w:val="Normal"/>
      </w:pPr>
      <w:r>
        <w:t>8414.80.05 8414.80.14 Turbochargers and superchargers for motor vehicles, where not provided for under subheading 8414.59 4-B-192 TARIFF ITEM CANADA (HS 2012) USA (HS 2012) MEXICO (HS 2012) DESCRIPTION 8414.90.aa 8414.90.10 8414.90.30 8414.90.04 Stators and rotors of goods of subheading 8414.30 8415.90.aa 8415.90.11 8415.90.21 8415.90.22 8415.90.40 8415.90.01 Chassis, chassis bases and outer cabinets 8418.99.aa 8418.99.10 8418.99.40 8418.99.04 Door assemblies incorporating more than one of the following: inner panel; outer panel; insulation; hinges; handles 8421.39.aa 8421.39.20 8421.39.40 8421.39.08 Catalytic converters 8421.91.aa 8421.91.bb 8421.91.10 8421.91.20 8421.91.20 8421.91.40 8421.91.02 8421.91.03 Drying chambers for the goods of subheading 8421.12 and other parts of clothes-dryers incorporating drying chambers Furniture designed to receive the goods of subheading 8421.12 4-B-193 TARIFF ITEM CANADA (HS 2012) USA (HS 2012) MEXICO (HS 2012) DESCRIPTION 8422.90.aa 8422.90.bb 8422.90.10 8422.90.20 8422.90.02 8422.90.04 8422.90.03 8422.90.04 Water containment chambers for the goods of subheading 8422.11 and other parts of dishwashing machines of the household type incorporating water containment chambers Door assemblies for the goods of subheading 8422.11 8427.10.aa 8427.10.10 8427.10.40 8427.10.01 8427.10.02 Rider-type, counterbalanced fork-lift trucks 8450.90.aa 8450.90.bb 8450.90.10 8450.90.20 8450.90.20 8450.90.40 8450.90.01 8450.90.02 Tubs and tub assemblies</w:t>
      </w:r>
    </w:p>
    <w:p>
      <w:pPr>
        <w:pStyle w:val="Normal"/>
      </w:pPr>
      <w:r>
        <w:t>Furniture designed to receive the goods of subheading 8450.11 through 8450.20 4-B-194 TARIFF ITEM CANADA (HS 2012) USA (HS 2012) MEXICO (HS 2012) DESCRIPTION 8451.90.aa 8451.90.bb 8451.90.10 8451.90.20 8451.90.30 8451.90.60 8451.90.01 8451.90.02 Drying chambers for the goods of subheading 8451.21 or 8451.29 and other parts of drying machines incorporating drying chambers Furniture designed to receive the goods of subheading 8451.21 or 8451.29 8455.90.aa 8455.90.10 8455.90.40 8455.90.01 Castings or weldments, individually weighing less than 90 tons, for the machines of heading 84.55 8459.70.aa 8459.70.10 8459.70.40 8459.70.02 Numerically controlled 8460.40.aa 8460.40.10 8460.40.40 8460.40.02 Numerically controlled 8460.90.aa 8460.90.10 8460.90.40 8460.90.01 Numerically controlled 8461.20.aa 8461.20.10 8461.20.40 8461.20.01 Numerically controlled 4-B-195 TARIFF ITEM CANADA (HS 2012) USA (HS 2012) MEXICO (HS 2012) DESCRIPTION 8461.30.aa 8461.30.10 8461.30.40 8461.30.01 Numerically controlled 8461.50.aa 8461.50.11 8461.50.19 8461.50.40 8461.50.01 Numerically controlled 8461.90.aa 8461.90.10 8461.90.30 8461.90.02 Numerically controlled 8462.99.aa 8462.99.11 8462.99.19 8462.99.40 8462.99.01 Numerically controlled 8466.93.aa 8466.93.10 8466.93.15 8466.93.30 8466.93.53 8466.93.04 Bed, base, table, head, tail, saddle, cradle, cross slide, column, arm, saw arm, wheelhead, tailstock, headstock, ram, frame, work-arbor support, and C-frame castings, weldments or fabrications 8466.94.aa</w:t>
      </w:r>
    </w:p>
    <w:p>
      <w:pPr>
        <w:pStyle w:val="Normal"/>
      </w:pPr>
      <w:r>
        <w:t>8466.94.10 8466.94.20 8466.94.65 8466.94.01 Bed, base, table, column, cradle, frame, bolster, crown, slide, rod, tailstock and headstock castings, weldments or fabrications 4-B-196 TARIFF ITEM CANADA (HS 2012) USA (HS 2012) MEXICO (HS 2012) DESCRIPTION 8471.80.aa 8471.80.cc 8471.80.10 8471.80.91 8471.80.10 8471.80.40 8471.80.03 8471.80.01 Control or adapter units Other units suitable for physical incorporation into automatic data processing machines or units thereof 8473.10.aa 8473.10.bb 8473.10.00 8473.10.20 8473.10.40 8473.10.60 8473.10.01 8473.10.99 Parts for word processing machines of heading 84.69 Parts of other machines of heading 84.69 8473.30.aa 8473.30.bb 8473.30.20 8473.30.30 8473.30.10 8473.30.20 8473.30.02 8473.30.03 Printed circuit assemblies Parts and accessories, including face plates and lock latches, of printed circuit assemblies 4-B-197 TARIFF ITEM CANADA (HS 2012) USA (HS 2012) MEXICO (HS 2012) DESCRIPTION 8473.50.aa 8473.50.bb 8473.50.10 8473.50.20 8473.50.30 8473.50.60 8473.50.01 8473.50.02 Printed circuit assemblies Parts and accessories, including face plates and lock latches, of printed circuit assemblies 8477.90.aa 8477.90.bb 8477.90.cc 8477.90.10 8477.90.20 8477.90.30 8477.90.25 8477.90.45 8477.90.65 8477.90.01 8477.90.02 8477.90.03 Base, bed, platen, clamp cylinder, ram and injection castings, weldments, and fabrications Barrel screws Hydraulic assemblies incorporating more than one of the following: manifold, valves, pump, oil cooler 8479.90.aa</w:t>
      </w:r>
    </w:p>
    <w:p>
      <w:pPr>
        <w:pStyle w:val="Normal"/>
      </w:pPr>
      <w:r>
        <w:t>8479.90.11 8479.90.45 8479.90.17 Frame assemblies incorporating more than one of the following: baseplate, side frames, power screws, front plates 4-B-198 TARIFF ITEM CANADA (HS 2012) USA (HS 2012) MEXICO (HS 2012) DESCRIPTION 8479.90.bb 8479.90.cc 8479.90.dd 8479.90.12 8479.90.13 8479.90.14 8479.90.55 8479.90.65 8479.90.75 8479.90.15 8479.90.07 8479.90.04 Ram assemblies incorporating a ram wrapper and/or ram cover Container assemblies incorporating more than one of the following: container bottom, container wrapper, slide track, container front Cabinet or cases 8482.99.aa 8482.99.11 8482.99.19 8482.99.05 8482.99.15 8482.99.25 8482.99.01 8482.99.02 8482.99.03 Inner or outer rings or races 8501.32.aa 8501.32.20 8501.32.45 8501.32.06 Electric motors that provide primary source for electric powered vehicles of subheading 8703.90 8503.00.aa 8503.00.10 8503.00.35 8503.00.45 8503.00.65 8503.00.01 8503.00.03 8503.00.05 Stators and rotors for the goods of heading 85.01. 4-B-199 TARIFF ITEM CANADA (HS 2012) USA (HS 2012) MEXICO (HS 2012) DESCRIPTION 8504.40.aa 8504.40.bb 8504.40.30 8504.40.40 8504.40.60 8504.40.70 8504.40.40 8504.40.10 8504.40.12 8504.40.14 8504.40.13 Power supplies for the automatic data processing machines of heading 84.71 Speed drive controllers for electric motors 8507.20.aa 8507.20.10 8507.20.40 8507.20.03 Batteries that provide primary source for electric cars.</w:t>
      </w:r>
    </w:p>
    <w:p>
      <w:pPr>
        <w:pStyle w:val="Normal"/>
      </w:pPr>
      <w:r>
        <w:t>8507.30.aa 8507.30.20 8507.30.40 8507.30.01 Batteries that provide primary source for electric cars 8507.40.aa 8507.40.10 8507.40.40 8507.40.01 Batteries that provide primary source for electric cars 8507.80.aa 8507.80.20 8507.80.40 8507.80.01 Batteries that provide primary source for electric cars 8516.90.cc 8516.90.30 8516.90.35 8516.90.06 Assemblies for the goods of subheading 8516.50, incorporating more than one of the following: cooking chamber; structural supporting chassis; door; outer case 4-B-200 TARIFF ITEM CANADA (HS 2012) USA (HS 2012) MEXICO (HS 2012) DESCRIPTION 8516.90.dd 8516.90.40 8516.90.45 8516.90.07 Printed circuit assemblies for the goods of subheading 8516.50 For the goods of tariff item 8516.60.aa: 8516.90.ee 8516.90.50 8516.90.55 8516.90.08 Cooking chambers whether or not assembled 8516.90.ff 8516.90.60 8516.90.65 8516.90.09 Top surface panels with or without heating elements or controls 8516.90.gg 8516.90.70 8516.90.75 8516.90.10 Door assemblies incorporating more than one of the following: inner panel; outer panel; window; insulation 8522.90.aa 8522.90.10 8522.90.25 8522.90.07 Printed circuit assemblies for the 8522.90.45 apparatus provided for in heading 85.19 and 85.21 8522.90.65 4-B-201 TARIFF ITEM CANADA (HS 2012) USA (HS 2012) MEXICO (HS 2012) DESCRIPTION 8533.90.aa 8533.90.10 8533.90.40 8533.90.02 For the goods of subheading 8533.40, of ceramic or metallic materials, electrically or mechanically reactive to changes in temperature 8535.90.aa</w:t>
      </w:r>
    </w:p>
    <w:p>
      <w:pPr>
        <w:pStyle w:val="Normal"/>
      </w:pPr>
      <w:r>
        <w:t>8535.90.30 8535.90.40 8535.90.08 8535.90.20 Motor starters and motor overload protectors 8536.30.aa 8536.30.10 8536.30.20 8536.30.40 8536.30.05 Motor overload protectors 8536.50.aa 8536.50.11 8536.50.12 8536.50.19 8536.50.40 8536.50.13 8536.50.14 Motor starters 8537.10.aa 8537.10.11 8537.10.91 8537.10.30 8537.10.05 Assembled with outer housing or supports, for the goods of heading 84.21, 84.22, 84.50 or 85.16 4-B-202 TARIFF ITEM CANADA (HS 2012) USA (HS 2012) MEXICO (HS 2012) DESCRIPTION 8537.10.bb 8537.10.21 8537.10.29 8537.10.60 8537.10.06 Motor control centers 8538.90.aa 8538.90.10 8538.90.40 8538.90.04 For the goods of tariff item 8535.90.aa, 8536.30.aa or 8536.50.aa, of ceramic or metallic materials, electrically or mechanically reactive to changes in temperature 8538.90.bb 8538.90.20 8538.90.10 8538.90.05 Printed circuit assemblies 8538.90.30 8538.90.cc 8538.90.31 8538.90.60 8538.90.01 Moulded parts 8538.90.39 8540.11.aa 8540.11.22 8540.11.10 8540.11.03 Non-high definition, non-projection, having a 8540.11.05 video display diagonal exceeding 14 inches (35.56 cm) 8540.11.bb 8540.11.21 8540.11.24 8540.11.04 Non-high definition, non-projection, having a 8540.11.28 video display diagonal not exceeding 14 inches (35.56 cm) 4-B-203 TARIFF ITEM CANADA (HS 2012) USA (HS 2012) MEXICO (HS 2012) DESCRIPTION 8540.11.cc 8540.11.dd 8540.11.12 8540.11.11 8540.11.30 8540.11.44 8540.11.48 8540.11.01 8540.11.05 8540.11.02 High definition, having a video display diagonal exceeding 14</w:t>
      </w:r>
    </w:p>
    <w:p>
      <w:pPr>
        <w:pStyle w:val="Normal"/>
      </w:pPr>
      <w:r>
        <w:t>inches (35.56 cm) High definition, having a video display diagonal not exceeding 14 inches (35.56 cm) 8540.12.aa 8540.12.bb 8540.12.91 8540.12.99 8540.12.11 8540.12.19 8540.12.10 8540.12.50 8540.12.20 8540.12.70 8540.12.99 8540.12.01 Non-high definition High definition 8540.91.aa 8540.91.10 8540.91.15 8540.91.01 Front panel assemblies 8540.99.aa 8540.99.10 8540.99.40 8540.99.03 Electron guns; radio frequency (RF) interaction structures for microwave tubes of subheading 8540.71 through 8540.79 4-B-204 TARIFF ITEM CANADA (HS 2012) USA (HS 2012) MEXICO (HS 2012) DESCRIPTION 8548.10.aa 8548.10.10 8548.10.05 8548.10.15 8548.10.01 Spent primary cells, spent primary batteries and spent electric accumulators 8607.19.aa 8607.19.bb 8607.19.cc 8607.19.11 8607.19.19 8607.19.30 8607.19.21 8607.19.29 8607.19.03 8607.19.06 8607.19.12 8607.19.01 8607.19.99 8607.19.06 8607.19.02 8607.19.03 Axles Parts of axles Wheels, whether or not fitted with axles 8607.19.dd 8607.19.30 8607.19.40 8607.19.15 8607.19.04 8607.19.05 8607.19.06 Parts of wheels 4-B-205 TARIFF ITEM CANADA (HS 2012) USA (HS 2012) MEXICO (HS 2012) DESCRIPTION 8702.10.bb 8702.10.20 8702.10.60 8702.10.01 8702.10.02 Designed for the transport of 15 or fewer persons, including the driver 8706.00.aa 8706.00.20 8706.00.03 8706.00.15 8706.00.01 8706.00.02 Chassis of vehicles of heading 87.03 and subheading 8704.21 and 8704.31 8706.00.bb 8706.00.10 8706.00.90 8706.00.05 8706.00.25 8706.00.30 8706.00.50 8706.00.99 Chassis for other</w:t>
      </w:r>
    </w:p>
    <w:p>
      <w:pPr>
        <w:pStyle w:val="Normal"/>
      </w:pPr>
      <w:r>
        <w:t>vehicles 8708.10.aa 8708.10.10 8708.10.30 8708.10.03 Bumpers, but not parts thereof 8708.29.aa 8708.29.11 8708.29.19 8708.29.20 8708.29.20 Body stampings 8708.29.cc 8708.29.20 8708.29.15 8708.29.19 Door assemblies 8708.70.aa 8708.70.11 8708.70.19 8708.70.05 8708.70.25 8708.70.45 8708.70.03 8708.70.04 Road wheels, but not parts or accessories thereof 8708.93.aa 8708.93.11 8708.93.19 8708.93.15 8708.93.60 8708.93.04 Clutches, but not parts thereof 8708.99.aa 8708.99.41 8708.99.49 8708.99.03 8708.99.27 8708.99.55 8708.99.11 Vibration control goods containing rubber 4-B-206 TARIFF ITEM CANADA (HS 2012) USA (HS 2012) MEXICO (HS 2012) DESCRIPTION 8708.99.bb 8708.99.51 8708.99.59 8708.99.06 8708.99.31 8708.99.58 8708.99.10 Doubled flanged wheel hub units incorporating ball bearings 8708.99.ee 8708.99.14 8708.99.15 8708.99.19 8708.99.15 8708.99.16 8708.99.40 8708.99.41 8708.99.67 8708.99.68 8708.99.99 Other parts for powertrains 8708.99.hh 8708.99.91 8708.99.99 8708.99.23 8708.99.24 8708.99.48 8708.99.49 8708.99.80 8708.99.81 8708.99.01 8708.99.02 8708.99.03 8708.99.04 8708.99.05 8708.99.06 8708.99.07 8708.99.08 8708.99.09 8708.99.12 8708.99.13 8708.99.14 8708.99.99 Other parts and accessories not elsewhere classified under subheading 8708.99 9005.90.aa 9005.90.11 9005.90.91 9005.90.40 9005.90.01 Incorporating goods of heading 90.01 or 90.02 9018.11.aa 9018.11.bb 9018.11.10 9018.11.91 9018.11.30 9018.11.60 9018.11.01 9018.11.02 Electrocardiographs Printed circuit assemblies 4-B-207</w:t>
      </w:r>
    </w:p>
    <w:p>
      <w:pPr>
        <w:pStyle w:val="Normal"/>
      </w:pPr>
      <w:r>
        <w:t xml:space="preserve">TARIFF ITEM CANADA (HS 2012) USA (HS 2012) MEXICO (HS 2012) DESCRIPTION 9018.19.aa 9018.19.bb 9018.19.10 9018.19.20 9018.19.55 9018.19.75 9018.19.05 9018.19.10 Patient monitoring systems Printed circuit assemblies for parameter acquisition modules 9018.90.aa 9018.90.bb 9018.90.10 9018.90.20 9018.90.64 9018.90.68 9018.90.18 9018.90.24 Defibrillators Printed circuit assemblies for the goods of tariff item 9018.90.aa 9022.90.aa 9022.90.10 9022.90.05 9022.90.01 Radiation generator units 9031.49.aa 9031.49.10 9031.49.40 9031.49.01 Coordinate-measuring machines 4-B-208</w:t>
      </w:r>
    </w:p>
    <w:p>
      <w:pPr>
        <w:pStyle w:val="Heading2"/>
      </w:pPr>
      <w:bookmarkStart w:id="900152" w:name="_Toc300000151"/>
      <w:r>
        <w:t xml:space="preserve">APPENDIX PROVISIONS RELATED TO THE PRODUCT-SPECIFIC RULES OF ORIGIN FOR AUTOMOTIVE GOODS</w:t>
      </w:r>
      <w:bookmarkEnd w:id="900152"/>
    </w:p>
    <w:p>
      <w:pPr>
        <w:pStyle w:val="Heading2"/>
      </w:pPr>
      <w:bookmarkStart w:id="900153" w:name="_Toc300000152"/>
      <w:r>
        <w:t xml:space="preserve">Article 1: Definitions</w:t>
      </w:r>
      <w:bookmarkEnd w:id="900153"/>
    </w:p>
    <w:p>
      <w:pPr>
        <w:pStyle w:val="Normal"/>
      </w:pPr>
      <w:r>
        <w:t xml:space="preserve">For purposes of this Appendix: Advanced Technology Vehicle means: (a) an electric vehicle, including a hybrid electric vehicle; fuel cell vehicle; or other type of advanced propulsion vehicle (e.g., zero emission veh101icle); or (b) an autonomous vehicle of heading 8703 or 8704 classified as a Level 4 or Level 5 automated vehicle in accordance with SAE International SAEJ3016-2016 (Taxonomy and Definitions for Terms Related to Driving Automation Systems for On-Road Motor Vehicles), as amended; class of motor vehicles means one of the following categories of motor vehicles: (a) motor vehicles of subheading 8701.20, motor vehicles for the transport of 16 or more persons of subheading 8702.10 or 8702.90, or motor vehicles of subheading 8704.10, 8704.22, 8704.23, 8704.32 or 8704.90, or heading 87.05 or 87.06; (b) motor vehicles of subheading 8701.10 or 8701.30 through 8701.90;</w:t>
      </w:r>
    </w:p>
    <w:p>
      <w:pPr>
        <w:pStyle w:val="Normal"/>
      </w:pPr>
      <w:r>
        <w:t>(c) motor vehicles for the transport of 15 or fewer persons of subheading 8702.10 or 8702.90, or motor vehicles of subheading 8704.21 or 8704.31; or (d) motor vehicles of subheading 8703.21 through 8703.90; heavy truck means a vehicle of subheading 8701.20, 8704.22, 8704.23, 8704.32, 8704.90, or 8706, except for a vehicle that is solely or principally for off-road use; 51 A good of heading 87.06, for the purposes of this definition, means a chassis fitted with engines for a vehicle under subheading 8701.20, 8704.22, 8704.23, 8704.32, 8704.90, except for a vehicle that is solely or</w:t>
      </w:r>
    </w:p>
    <w:p>
      <w:pPr>
        <w:pStyle w:val="Normal"/>
      </w:pPr>
      <w:r>
        <w:t>principally designed for off-road use. 52 A vehicle that is solely or principally for off-road use is defined as a vehicle that does not meet U.S. federal safety and emissions standards permitting unrestricted on-road use or the equivalent Mexican and Canadian on-road standards. The Parties shall develop any additional description or other modification, if necessary.</w:t>
      </w:r>
    </w:p>
    <w:p>
      <w:pPr>
        <w:pStyle w:val="Normal"/>
      </w:pPr>
      <w:r>
        <w:t>4-B-1-1 light truck means a vehicle of subheading 8704.21 or 8704.31, except for a vehicle that is solely or principally for off-road use;53 marque means the trade name used by a separate marketing division of a motor vehicle assembler; model line means a group of motor vehicles having the same platform or model name; motor vehicle assembler means a producer of motor vehicles and any related persons or joint ventures in which the producer participates; new building means a new construction, including at least the pouring or construction of new foundation and floor, the erection of a new structure and roof, and installation of new plumbing, electrical and other utilities to house a complete vehicle assembly process; passenger vehicle means a vehicle of subheading 8703.21 through 8703.90, except for: (a) a vehicle with a compression-ignition engine classified in subheading 8703.31 through 8703.33, or a vehicle of 8703.90 with both a compression-ignition engine and an electric motor for propulsion; (b) a three or four-wheeled motorcycle; (c) an all-terrain vehicle;54 or (d) a motorhome or entertainer coach;55 refit</w:t>
      </w:r>
    </w:p>
    <w:p>
      <w:pPr>
        <w:pStyle w:val="Normal"/>
      </w:pPr>
      <w:r>
        <w:t>means a plant closure, for purposes of plant conversion or retooling, that lasts at least three months; and 53 A vehicle that is solely or principally for off-road use is defined as a vehicle that does not meet U.S. federal safety and emissions standards permitting unrestricted on-road use or the equivalent Mexican and Canadian on-road standards. The Parties shall develop any additional description or other modification, if necessary. 54 An all-terrain vehicle is defined as a vehicle that does not meet U.S. federal safety and emissions standards permitting unrestricted on-road use or the equivalent Mexican and Canadian on-road standards. The Parties shall develop any additional description or other modification, if necessary. 55 A motorhome or entertainer coach is defined as a vehicle built on a self-propelled motor vehicle chassis that is solely or principally designed as temporary living quarters for recreational, camping, entertainment, corporate, or seasonal use. The Parties shall develop any additional description or other modification, if necessary. 4-B-1-2 super-core means the parts listed in the left column of Table A.2 of this Appendix, which are considered as a single part for the purposes of performing a Regional Value Content calculation in accordance with Article 5.2 (Averaging).</w:t>
      </w:r>
    </w:p>
    <w:p>
      <w:pPr>
        <w:pStyle w:val="Heading2"/>
      </w:pPr>
      <w:bookmarkStart w:id="900154" w:name="_Toc300000153"/>
      <w:r>
        <w:t xml:space="preserve">Article 2: Product-Specific Rules of Origin for Vehicles</w:t>
      </w:r>
      <w:bookmarkEnd w:id="900154"/>
    </w:p>
    <w:p>
      <w:pPr>
        <w:pStyle w:val="Normal"/>
      </w:pPr>
      <w:r>
        <w:t xml:space="preserve">Each Party shall provide that the product-specific rules for a good of heading 87.01 through 87.08 are: 8701.10 A change to a good of subheading 8701.10 from any other heading, provided there is a regional value content of not less than 60 percent under the net cost method. 8701.20 A change to a good of subheading 8701.20 from any other heading, provided there is a regional value content of not less than 70 percent under the net cost method. 8701.30 - 8701.90 A change to a good of subheading 8701.30 through 8701.90 from any other heading, provided there is a regional value content of not less than 60 percent under the net cost method.</w:t>
      </w:r>
    </w:p>
    <w:p>
      <w:pPr>
        <w:pStyle w:val="Normal"/>
      </w:pPr>
      <w:r>
        <w:t>8702.10 A change to a motor vehicle for the transport of 15 or fewer persons of subheading 8702.10 from any other heading, provided there is a regional value content of not less than 62.5 percent under the net cost method; or A change to a motor vehicle for the transport of 16 or more persons of subheading 8702.10 from any other heading, provided there is a regional value content of not less than 60 percent under the net cost method.</w:t>
      </w:r>
    </w:p>
    <w:p>
      <w:pPr>
        <w:pStyle w:val="Normal"/>
      </w:pPr>
      <w:r>
        <w:t>8702.90 A change to a motor vehicle for the transport of 15 or fewer persons of subheading 8702.90 from any other heading, provided there is a regional value content of not less than 62.5 percent under the net cost method; or A change to a motor vehicle for the transport of 16 or more persons of subheading 8702.90 from any other heading, provided there is a regional value content of not less than 60 percent under the net cost method. 8703.10 A change to subheading 8703.10 from any other heading, provided there is a regional value content of not less than: (a) 60 percent where the transaction value method is used; or 4-B-1-3 (b) 50 percent where the net cost method is used.</w:t>
      </w:r>
    </w:p>
    <w:p>
      <w:pPr>
        <w:pStyle w:val="Normal"/>
      </w:pPr>
      <w:r>
        <w:t>8703.21-8703.90 A change to a passenger vehicle of subheading 8703.21 through 8703.90 from any other heading, provided there is a regional value content of not less than 75 percent under the net cost method; or A change to any other good of subheading 8703.21 through 8703.90 from any other heading, provided there is a regional value content of not less than 62.5 percent under the net cost method. 8704.10 A change to a good of subheading 8704.10 from any other heading, provided there is a regional value content of not less than 60 percent under the net cost method.</w:t>
      </w:r>
    </w:p>
    <w:p>
      <w:pPr>
        <w:pStyle w:val="Normal"/>
      </w:pPr>
      <w:r>
        <w:t>8704.21 A change to a light truck of subheading 8704.21 from any other heading, provided there is a regional value content of not less than 75 percent under the net cost method; or A change to a vehicle solely or principally for off-road use of subheading 8704.21 from any other heading, provided there is a regional value content of not less than 62.5 percent under the net cost method. 8704.22-8704.23 A change to a heavy truck of subheading 8704.22 through 8704.23 from any other heading, provided there is a regional value content of not less than 70 percent under the net cost method; or A change to a vehicle that is solely or principally for off-road use of subheading 8704.22 through 8704.23 from any other heading, provided there is a regional value content of not less than 60 percent under the net cost method.</w:t>
      </w:r>
    </w:p>
    <w:p>
      <w:pPr>
        <w:pStyle w:val="Normal"/>
      </w:pPr>
      <w:r>
        <w:t>8704.31 A change to a light truck of subheading 8704.31 from any other heading, provided there is a regional value content of not less than 75 percent under the net cost method; or A change to a vehicle solely or principally for off-road use of subheading 8704.31 from any other heading, provided there is a regional value content of not less than 62.5 percent under the net cost method.</w:t>
      </w:r>
    </w:p>
    <w:p>
      <w:pPr>
        <w:pStyle w:val="Normal"/>
      </w:pPr>
      <w:r>
        <w:t>8704.32-8704.90 A change to a vehicle that is solely or principally for off-road use of subheading 8704.32 through 8704.90 from any other heading, provided there is a regional value content of not less than 60 percent under the net cost method; or 4-B-1-4 A change to any other good of subheading 8704.32 through 8704.90 from any other heading, provided there is a regional value content of not less than 70 percent under the net cost method. 87.05 A change to heading 87.05 from any other heading, provided there is a regional value content of not less than 60 percent under the net cost method. 87.0656 For a good of heading 87.06 for use in a passenger vehicle or light truck: No required change in tariff classification provided there is a regional value content of not less than 75 percent under the net cost method; For a good of heading 87.06 for use in heavy truck: No required change in tariff classification provided there is a regional value content of not less than 70 percent under the net cost method;</w:t>
      </w:r>
    </w:p>
    <w:p>
      <w:pPr>
        <w:pStyle w:val="Normal"/>
      </w:pPr>
      <w:r>
        <w:t>For any other good of heading 87.06: No required change in tariff classification provided there is a regional value content of not less than 60 percent under the net cost method; 87.0757 For a good of heading 87.07 for use in a passenger vehicle or light truck: No required change in tariff classification to heading 87.07, provided there is a regional value content of not less than 75 percent under the net cost method.</w:t>
      </w:r>
    </w:p>
    <w:p>
      <w:pPr>
        <w:pStyle w:val="Normal"/>
      </w:pPr>
      <w:r>
        <w:t>For a good of heading 87.07 for use in a heavy truck: 56 If the good is for use in a passenger vehicle or light truck, Articles 3.2 and 3.3 of this Appendix apply. If the good is for use in a heavy truck, Article 4.2 of this Appendix applies. If the good is for use in a vehicle specified in paragraphs 1 and 2 of Article 10, Articles 10.1 and 10.2 of this Appendix apply. 57 If the good is for use in a passenger vehicle or light truck, Articles 3.2 and 3.3 of this Appendix apply. If the good for use in a heavy truck, Article 4.2 of this Appendix applies. If the good is for use in a vehicle specified in paragraphs 1 and 2 of Article 10, Articles 10.1 and 10.2 of this Appendix apply.</w:t>
      </w:r>
    </w:p>
    <w:p>
      <w:pPr>
        <w:pStyle w:val="Normal"/>
      </w:pPr>
      <w:r>
        <w:t>4-B-1-5 A change to heading 87.07 from any other chapter; or A change to heading 87.07 from heading 87.08, whether or not there is also a change from any other chapter, provided there is a regional value content of not less than 70 percent under the net cost method. For any other good of heading 87.07: A change to heading 87.07 from any other chapter; or A change to heading 87.07 from heading 87.08, whether or not there is also a change from any other chapter, provided there is a regional value content of not less than 60 percent under the net cost method.</w:t>
      </w:r>
    </w:p>
    <w:p>
      <w:pPr>
        <w:pStyle w:val="Normal"/>
      </w:pPr>
      <w:r>
        <w:t>8708.1058 For a good of subheading 8708.10 for use in a passenger vehicle, light truck, or heavy truck: A change to subheading 8708.10 from any other heading; or A change to subheading 8708.10 from subheading 8708.99, whether or not there is also a change from any other heading, provided there is a regional value content of not less than 70 percent under the net cost method. For any other good of subheading 8708.10: A change to subheading 8708.10 from any other heading; or A change to subheading 8708.10 from subheading 8708.99, whether or not there is also a change from any other heading, provided there is a regional value content of not less than 50 percent under the net cost method. 8708.2159 58 If the good is for use in a passenger vehicle or light truck, Article 3.4 of this Appendix applies. If the good is for use in a heavy truck, Article 4.2 of this Appendix applies.</w:t>
      </w:r>
    </w:p>
    <w:p>
      <w:pPr>
        <w:pStyle w:val="Normal"/>
      </w:pPr>
      <w:r>
        <w:t>If the good is for use in a vehicle specified in paragraphs 1 and 2 of Article 10, Articles 10.1 and 10.2 of this Appendix apply. 59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w:t>
      </w:r>
    </w:p>
    <w:p>
      <w:pPr>
        <w:pStyle w:val="Normal"/>
      </w:pPr>
      <w:r>
        <w:t>4-B-1-6 For a good of subheading 8708.21 for use in a passenger vehicle, light truck or heavy truck: A change to subheading 8708.21 from any other heading; or A change to subheading 8708.21 from subheading 8708.99, whether or not there is also a change from any other heading, provided there is a regional value content of not less than 70 percent under the net cost method. For any other good of subheading 8708.21: A change to subheading 8708.21 from any other heading; or A change to subheading 8708.21 from subheading 8708.99, whether or not there is also a change from any other heading, provided there is a regional value content of not less than 50 percent under the net cost method. 8708.2960 For a body stamping of subheading 8708.29 for use in a passenger vehicle or light truck: No required change in tariff classification to a body stamping of subheading 8708.29, provided there is a regional value content of at least 75 percent under the net cost method.</w:t>
      </w:r>
    </w:p>
    <w:p>
      <w:pPr>
        <w:pStyle w:val="Normal"/>
      </w:pPr>
      <w:r>
        <w:t>For any other good of subheading 8708.29 for use in a passenger vehicle, light truck or heavy truck: A change to subheading 8708.29 from any other heading; or No required change in tariff classification to subheading 8708.29, provided there is a regional value content of not less than 70 percent under the net cost method. For any other good of subheading 8708.29: 60 If the good is a body stamping for use in a passenger vehicle or light truck, Articles 3.2 and 3.3 of this Appendix apply.</w:t>
      </w:r>
    </w:p>
    <w:p>
      <w:pPr>
        <w:pStyle w:val="Normal"/>
      </w:pPr>
      <w:r>
        <w:t>If the good is any other good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4-B-1-7 A change to subheading 8708.29 from any other heading; or No required change in tariff classification to subheading 8708.29, provided there is a regional value content of not less than 50 percent under the net cost method. 8708.3061 For a good of subheading 8708.30 for use in a passenger vehicle, light truck or heavy truck:</w:t>
      </w:r>
    </w:p>
    <w:p>
      <w:pPr>
        <w:pStyle w:val="Normal"/>
      </w:pPr>
      <w:r>
        <w:t>A change to mounted brake linings of subheading 8708.30 from any other heading; or A change to mounted brake linings of subheading 8708.30 from parts of mounted brake linings, brakes or servo-brakes of subheading 8708.30 or 8708.99, whether or not there is also a change from any other heading, provided there is a regional value content of not less than 70 percent under the net cost method; A change to any other good of subheading 8708.30 from any other heading; or A change to any other good of subheading 8708.30 from mounted brake linings or parts of brakes or servo-brakes of subheading 8708.30, or 8708.99, whether or not there is also a change from any other heading, provided there is a regional value content of not less than 70 percent under the net cost method.</w:t>
      </w:r>
    </w:p>
    <w:p>
      <w:pPr>
        <w:pStyle w:val="Normal"/>
      </w:pPr>
      <w:r>
        <w:t>For any other good of subheading 8708.30: A change to mounted brake linings of subheading 8708.30 from any other heading; or A change to mounted brake linings of subheading 8708.30 from parts of mounted brake linings, brakes or servo-brakes of subheading 8708.30 or 8708.99, whether or not there is also a change from any other heading, 61 If the good is a body stamping for use in a passenger vehicle or light truck, Articles 3.2 and 3.3 of this Appendix apply. If the good is any other good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4-B-1-8 provided there is a regional value content of not less than 50 percent under the net cost method;</w:t>
      </w:r>
    </w:p>
    <w:p>
      <w:pPr>
        <w:pStyle w:val="Normal"/>
      </w:pPr>
      <w:r>
        <w:t>A change to any other good of subheading 8708.30 from any other heading; or A change to any other good of subheading 8708.30 from mounted brake linings or parts of brakes or servo-brakes of subheading 8708.30, or 8708.99, whether or not there is also a change from any other heading, provided there is a regional value content of not less than 50 percent under the net cost method.</w:t>
      </w:r>
    </w:p>
    <w:p>
      <w:pPr>
        <w:pStyle w:val="Normal"/>
      </w:pPr>
      <w:r>
        <w:t>8708.4062 For a good of subheading 8708.40 for use in a passenger vehicle or light truck: No required change in tariff classification to subheading 8708.40, provided there is a regional value content of not less than 75 percent under the net cost method. For a good of subheading 8708.40 for use in a heavy truck: No required change in tariff classification to subheading 8708.40, provided there is a regional value content of not less than 70 percent under the net cost method. For any other good of subheading 8708.40: A change to gear boxes of subheading 8708.40 from any other heading; or A change to gear boxes of subheading 8708.40 from any other good of subheading 8708.40 or 8708.99, whether or not there is also a change from any other heading, provided there is a regional value content of not less than 50 percent under the net cost method;</w:t>
      </w:r>
    </w:p>
    <w:p>
      <w:pPr>
        <w:pStyle w:val="Normal"/>
      </w:pPr>
      <w:r>
        <w:t>A change to any other good of subheading 8708.40 from any other heading; or 62 If the good is for use in a passenger vehicle or light truck, Articles 3.2 and 3.3 of this Appendix apply. If the good is for use in a heavy truck, Articles 4.2 and 4.4 of this Appendix apply. If the good is for use in a vehicle specified in paragraphs 1 and 2 of Article 10, Articles 10.1 and 10.2 of this Appendix apply. 4-B-1-9 No required change in tariff classification to any other good of subheading 8708.40, provided there is a regional value content of not less than 50 percent under the net cost method.</w:t>
      </w:r>
    </w:p>
    <w:p>
      <w:pPr>
        <w:pStyle w:val="Normal"/>
      </w:pPr>
      <w:r>
        <w:t>8708.5063 For a good of subheading 8708.50 for use in a passenger vehicle or light truck: No required change in tariff classification to subheading 8708.50, provided there is a regional value content of not less than 75 percent under the net cost method. For a good of subheading 8708.50 for use in a heavy truck: A change to drive-axles with differential, whether or not provided with other transmission components, for vehicles of heading 87.03, of subheading 8708.50 from any other heading, except from subheading 8482.10 through 8482.80; or A change to drive-axles with differential, whether or not provided with other transmission components, for vehicles of heading 87.03, of subheading 8708.50 from subheading 8482.10 through 8482.80 or parts of drive-axles of subheading 8708.50, whether or not there is also a change from any other heading, provided there is a regional value content of not less than 70 percent under the net cost method;</w:t>
      </w:r>
    </w:p>
    <w:p>
      <w:pPr>
        <w:pStyle w:val="Normal"/>
      </w:pPr>
      <w:r>
        <w:t>A change to other drive-axles with differential, whether or not provided with other transmission components, of subheading 8708.50 from any other heading; or A change to other drive-axles with differential, whether or not provided with other transmission components, of subheading 8708.50 from subheading 8708.99, whether or not there is also a change from any other heading, provided there is a regional value content of not less than 70 percent under the net cost method; 63 If the good is for use in a passenger vehicle or light truck, Articles</w:t>
      </w:r>
    </w:p>
    <w:p>
      <w:pPr>
        <w:pStyle w:val="Normal"/>
      </w:pPr>
      <w:r>
        <w:t>3.2 and 3.3 of this Appendix apply. If the good is for use in a heavy truck, Articles 4.2 of this Appendix applies. If the good is for use in a vehicle specified in paragraphs 1 and 2 of Article 10, Articles 10.1 and 10.2 of this Appendix apply. 4-B-1-10 A change to non-driving axles and parts thereof, for vehicles of heading 87.03, of subheading 8708.50 from any other heading, except from subheading 8482.10 through 8482.80; or A change to non-driving axles and parts thereof, for vehicles of heading 87.03, of subheading 8708.50 from subheading 8482.10 through 8482.80 or 8708.99, whether or not there is also a change from any other heading, provided there is a regional value content of not less than 70 percent under the net cost method;</w:t>
      </w:r>
    </w:p>
    <w:p>
      <w:pPr>
        <w:pStyle w:val="Normal"/>
      </w:pPr>
      <w:r>
        <w:t>A change to other non-driving axles and parts thereof of subheading 8708.50 from any other heading; or A change to other non-driving axles and parts thereof of subheading 8708.50 from subheading 8708.99, whether or not there is also a change from any other heading, provided there is a regional value content of not less than 70 percent under the net cost method; A change to any other good of subheading 8708.50 from any other heading; or No required change in tariff classification to any other good of subheading 8708.50, provided there is a regional value content of not less than 70 percent under the net cost method.</w:t>
      </w:r>
    </w:p>
    <w:p>
      <w:pPr>
        <w:pStyle w:val="Normal"/>
      </w:pPr>
      <w:r>
        <w:t>For any other good of subheading 8708.50: A change to drive-axles with differential, whether or not provided with other transmission components, for vehicles of heading 87.03, of subheading 8708.50 from any other heading, except from subheading 8482.10 through 8482.80; or A change to drive-axles with differential, whether or not provided with other transmission components, for vehicles of heading 87.03, of subheading 8708.50 from subheading 8482.10 through 8482.80 or parts of drive-axles of subheading 8708.50, whether or not there is also a change from any other heading, provided there is a regional value content of not less than 50 percent under the net cost method; A change to other drive-axles with differential, whether or not provided with other transmission components, of subheading 8708.50 from any other heading; or 4-B-1-11 A change to other drive-axles with differential, whether or not provided with other transmission components, of subheading 8708.50 from subheading 8708.99, whether or not there is also a change from any other heading, provided there is a regional value content of not less than 50 percent under the net cost method;</w:t>
      </w:r>
    </w:p>
    <w:p>
      <w:pPr>
        <w:pStyle w:val="Normal"/>
      </w:pPr>
      <w:r>
        <w:t>A change to non-driving axles and parts thereof, for vehicles of heading 87.03, of subheading 8708.50 from any other heading, except from subheading 8482.10 through 8482.80; or A change to non-driving axles and parts thereof, for vehicles of heading 87.03, of subheading 8708.50 from subheading 8482.10 through 8482.80 or 8708.99, whether</w:t>
      </w:r>
    </w:p>
    <w:p>
      <w:pPr>
        <w:pStyle w:val="Normal"/>
      </w:pPr>
      <w:r>
        <w:t>or not there is also a change from any other heading, provided there is a regional value content of not less than 50 percent under the net cost method; A change to other non-driving axles and parts thereof of subheading 8708.50 from any other heading; or A change to other non-driving axles and parts thereof of subheading 8708.50 from subheading 8708.99, whether or not there is also a change from any other heading, provided there is a regional value content of not less than 50 percent under the net cost method; A change to any other good of subheading 8708.50 from any other heading; or No required change in tariff classification to any other good of subheading 8708.50, provided there is a regional value content of not less than 50 percent under the net cost method. 8708.7064 For a good of subheading 8708.70 for use in a passenger vehicle, light truck, or heavy truck:</w:t>
      </w:r>
    </w:p>
    <w:p>
      <w:pPr>
        <w:pStyle w:val="Normal"/>
      </w:pPr>
      <w:r>
        <w:t>A change to subheading 8708.70 from any other heading; or 64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4-B-1-12 A change to subheading 8708.70 from subheading 8708.99, whether or not there is also a change from any other heading, provided there is a regional value content of not less than 70 percent under the net cost method.</w:t>
      </w:r>
    </w:p>
    <w:p>
      <w:pPr>
        <w:pStyle w:val="Normal"/>
      </w:pPr>
      <w:r>
        <w:t>For any other good of subheading 8708.70: A change to subheading 8708.70 from any other heading; or A change to subheading 8708.70 from subheading 8708.99, whether or not there is also a change from any other heading, provided there is a regional value content of not less than 50 percent under the net cost method. 8708.8065 For a good of subheading 8708.80 for use in a passenger vehicle or light truck: No required change in tariff classification to subheading 8708.80, provided there is a regional value content of not less than 75 percent under the net cost method. For a good of subheading 8708.80 for use in a heavy truck: A change to McPherson struts of subheading 8708.80 from parts thereof of subheading 8708.80 or any other subheading, provided there is a regional value content of not less than 50 percent under the net cost method; A change to any other good subheading 8708.80 from any other heading;</w:t>
      </w:r>
    </w:p>
    <w:p>
      <w:pPr>
        <w:pStyle w:val="Normal"/>
      </w:pPr>
      <w:r>
        <w:t>A change to suspension systems (including shock absorbers) of subheading 8708.80 from parts thereof of subheading 8708.80 or 8708.99, whether or not there is also a change from any other heading, provided there is a regional value content of not less than 70 percent under the net cost method; or No required change in tariff classification to parts of suspension systems (including shock absorbers) of subheading 8708.80, provided there is a 65 If the good is for use in a passenger vehicle or light truck, Article 3.2 and 3.3 of this Appendix applies.</w:t>
      </w:r>
    </w:p>
    <w:p>
      <w:pPr>
        <w:pStyle w:val="Normal"/>
      </w:pPr>
      <w:r>
        <w:t>If the good is for use in a heavy truck, Article 4.2 of this Appendix applies. If the good is for use in a vehicle specified in paragraphs 1 and 2 of Article 10, Articles 10.1 and 10.2 of this Appendix apply. 4-B-1-13 regional value content of not less than 70 percent under the net cost method. For any other good of subheading 8708.80: A change to McPherson struts of subheading 8708.80 from parts thereof of subheading 8708.80 or any other subheading, provided there is a regional value content of not less than 50 percent under the net cost method; A change to any other good subheading 8708.80 from any other heading; A change to suspension systems (including shock absorbers) of subheading 8708.80 from parts thereof of subheading 8708.80 or 8708.99, whether or not there is also a change from any other heading, provided there is a regional value content of not less than 50 percent under the net cost method; or No required change in tariff classification to parts of suspension systems (including shock absorbers) of subheading 8708.80, provided there is a regional value content of not less than 50 percent under the net cost method.</w:t>
      </w:r>
    </w:p>
    <w:p>
      <w:pPr>
        <w:pStyle w:val="Normal"/>
      </w:pPr>
      <w:r>
        <w:t>8708.9166 For a good of subheading 8708.91 for use in a passenger vehicle, light truck or heavy truck: A change to radiators of subheading 8708.91 from any other heading; A change to radiators of subheading 8708.91 from any other good of subheading 8708.91, whether or not there is also a change from any other heading, provided there is a regional value content of not less than 70 percent under the net cost method; or No required change in tariff classification to any other good of subheading 8708.91, provided there is a regional value content of not less than 70 percent under the net cost method. 66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4-B-1-14 For any other good of subheading 8708.91:</w:t>
      </w:r>
    </w:p>
    <w:p>
      <w:pPr>
        <w:pStyle w:val="Normal"/>
      </w:pPr>
      <w:r>
        <w:t>A change to radiators of subheading 8708.91 from any other heading; A change to radiators of subheading 8708.91 from any other good of subheading 8708.91, whether or not there is also a change from any other heading, provided there is a regional value content of not less than 50 percent under the net cost method; or No required change in tariff classification to any other good of subheading 8708.91, provided there is a regional value content of not less than 50 percent under the net cost method.</w:t>
      </w:r>
    </w:p>
    <w:p>
      <w:pPr>
        <w:pStyle w:val="Normal"/>
      </w:pPr>
      <w:r>
        <w:t>8708.9267 For a good of subheading 8708.92 for use in a passenger vehicle, light truck or heavy truck: A change to silencers (mufflers) or exhaust pipes of subheading 8708.92 from any other heading; or A change to silencers (mufflers) or exhaust pipes of subheading 8708.92 from any other good of subheading 8708.92, whether or not there is also a change from any other heading, provided there is regional value content of not less than 70 percent under the net cost method; or No required change in tariff classification to any other good of subheading 8708.92, provided there is a regional value content of not less than 70 percent under the net cost method For any other good of subheading 8708.92:</w:t>
      </w:r>
    </w:p>
    <w:p>
      <w:pPr>
        <w:pStyle w:val="Normal"/>
      </w:pPr>
      <w:r>
        <w:t>A change to silencers (mufflers) or exhaust pipes of subheading 8708.92 from any other heading; or A change to silencers (mufflers) or exhaust pipes of subheading 8708.92 from any other good of subheading 8708.92, whether or not there is also a 67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w:t>
      </w:r>
    </w:p>
    <w:p>
      <w:pPr>
        <w:pStyle w:val="Normal"/>
      </w:pPr>
      <w:r>
        <w:t>4-B-1-15 change from any other heading, provided there is regional value content of not less than 50 percent under the net cost method; or No required change in tariff classification to any other good of subheading 8708.92, provided there is a regional value content of not less than 50 percent under the net cost method 8708.9368 For a good of subheading 8708.93 for use in a passenger vehicle, light truck or heavy truck: A change to subheading 8708.93 from any other heading; or A change to subheading 8708.93 from subheading 8708.99, whether or not there is also a change from any other heading, provided there is a regional value content of not less than 70 percent under the net cost method. For any other good of subheading 8708.93: A change to subheading 8708.93 from any other heading; or A change to subheading 8708.93 from subheading 8708.99, whether or not there is also a change from any other heading, provided there is a regional value content of not less than 50 percent under the net cost method.</w:t>
      </w:r>
    </w:p>
    <w:p>
      <w:pPr>
        <w:pStyle w:val="Normal"/>
      </w:pPr>
      <w:r>
        <w:t>8708.9469 For a good of subheading 8708.94 for use in a passenger vehicle or light truck: No required change in tariff classification to subheading 8708.94, provided there is a regional value content of not less than 75 percent under the net cost method. 68 If the good is for use in a passenger vehicle or light truck, Article 3.4 of this Appendix applies. If the good is for use in a heavy truck, Article 4.2 of this Appendix applies.</w:t>
      </w:r>
    </w:p>
    <w:p>
      <w:pPr>
        <w:pStyle w:val="Normal"/>
      </w:pPr>
      <w:r>
        <w:t>If the good is for use in a vehicle specified in paragraphs 1 and 2 of Article 10, Articles 10.1 and 10.2 of this Appendix apply. 69 If the good is for use in a passenger vehicle or light truck, Article 3.2 and 3.3 of this Appendix apply. If the good is for use in a heavy truck, Article 4.2 of this Appendix applies. If the good is for use in a vehicle specified in paragraphs 1 and 2 of Article 10, Articles 10.1 and 10.2 of this Appendix apply. 4-B-1-16 For a good of subheading 8708.94 for use in a heavy truck: A change to subheading 8708.94 from any other heading; A change to steering wheels, steering columns or steering boxes of subheading 8708.94 from parts thereof of subheading 8708.94 or 8708.99, whether or not there is also a change from any other heading, provided there is a regional value content of not less than 70 percent under the net cost method; No required change in tariff classification to parts of steering wheels, steering columns or steering boxes of subheading 8708.94, provided there is a regional value content of not less than 70 percent under the net cost method.</w:t>
      </w:r>
    </w:p>
    <w:p>
      <w:pPr>
        <w:pStyle w:val="Normal"/>
      </w:pPr>
      <w:r>
        <w:t>For any other good of subheading 8708.94: A change to subheading 8708.94 from any other heading; A change to steering wheels, steering columns or steering boxes of subheading 8708.94 from parts thereof of subheading 8708.94 or 8708.99, whether or not there is also a change from any other heading, provided there is a regional value content of not less than 50 percent under the net cost method; No required change in tariff classification to parts of steering wheels, steering columns or steering boxes of subheading 8708.94, provided there is a regional value content of not less than 50 percent under the net cost method. 8708.9570 For a good of subheading 8708.95 for use in a passenger vehicle, light truck or heavy truck: A change to subheading 8708.95 from any other heading; or 70 If the good is for use in a passenger vehicle or light truck, Article 3.4 of this Appendix applies. If the good is for use in a heavy truck, Article 4.2 of this Appendix applies.</w:t>
      </w:r>
    </w:p>
    <w:p>
      <w:pPr>
        <w:pStyle w:val="Normal"/>
      </w:pPr>
      <w:r>
        <w:t>If the good is for use in a vehicle specified in paragraphs 1 and 2 of Article 10, Articles 10.1 and 10.2 of this Appendix apply. 4-B-1-17 No required change in tariff classification to subheading 8708.95, provided there is a regional value content of not less than 70 percent under the net cost method.</w:t>
      </w:r>
    </w:p>
    <w:p>
      <w:pPr>
        <w:pStyle w:val="Normal"/>
      </w:pPr>
      <w:r>
        <w:t>For any other good of subheading 8708.95: A change to subheading 8708.95 from any other heading; or No required change in tariff classification to subheading 8708.95, provided there is a regional value content of not less than 50 percent under the net cost method. 8708.9971 For a chassis frame of subheading 8708.99 for use in a passenger vehicle or light truck: No required change in tariff classification to a good of subheading 8708.99, provided there is a regional value content of not less than 75 percent under the net cost method. For a chassis of subheading 8708.99 for use in a heavy truck: No required change in tariff classification to a good of subheading 8708.99, provided there is a regional value content of not less than 70 percent under the net cost method. For any other good of subheading 8708.99 for use in a heavy truck or for any other good of subheading 8708.99 for use in a passenger vehicle or light truck:</w:t>
      </w:r>
    </w:p>
    <w:p>
      <w:pPr>
        <w:pStyle w:val="Normal"/>
      </w:pPr>
      <w:r>
        <w:t>8708.99.aa A change to tariff item 8708.99.aa from any other subheading, provided there is a regional value content of not less than 70 percent under the net cost method. 8708.99.bb A change to tariff item 8708.99.bb from any other heading, except from subheading 8482.10 through 8482.80 or tariff item 8482.99.aa; or 71 If the good is a chassis frame for use in a passenger vehicle or light truck, Articles 3.2 and 3.3 of this Appendix 3 apply. If the good is a chassis for use in a heavy truck, Articles 4.2 and 4.4 of this Appendix applies.</w:t>
      </w:r>
    </w:p>
    <w:p>
      <w:pPr>
        <w:pStyle w:val="Normal"/>
      </w:pPr>
      <w:r>
        <w:t>If the good is any other good for use in a passenger vehicle or light truck, Article 3.4 of this Appendix applies. If the good is any other good for use in a heavy truck, Article 4.2 of this Appendix applies. If the good is for use in a vehicle specified in paragraphs 1 and 2 of Article 10, Articles 10.1 and 10.2 of this Appendix apply. 4-B-1-18 A change to tariff item 8708.99.bb from subheading 8482.10 through 8482.80 or tariff item 8482.99.aa, whether or not there is also a change from any other heading, provided there is a regional value content of not less than 70 percent under the net cost method. 8708.99 A change to subheading 8708.99 from any other heading; or No required change in tariff classification to subheading 8708.99, provided there is a regional value content of not less than 70 percent under the net cost method For any other good of subheading 8708.99:</w:t>
      </w:r>
    </w:p>
    <w:p>
      <w:pPr>
        <w:pStyle w:val="Normal"/>
      </w:pPr>
      <w:r>
        <w:t>8708.99.aa A change to tariff item 8708.99.aa from any other subheading, provided there is a regional value content of not less than 50 percent under the net cost method. 8708.99.bb A change to tariff item 8708.99.bb from any other heading, except from subheading 8482.10 through 8482.80 or tariff item 8482.99.aa; or A change to tariff item 8708.99.bb from subheading 8482.10 through 8482.80 or tariff item 8482.99.aa, whether or not there is also a change from any other heading, provided there is a regional value content of not less than 50 percent under the net cost method.</w:t>
      </w:r>
    </w:p>
    <w:p>
      <w:pPr>
        <w:pStyle w:val="Normal"/>
      </w:pPr>
      <w:r>
        <w:t>8708.99 A change to subheading 8708.99 from any other heading; or No required change in tariff classification to subheading 8708.99, provided there is a regional value content of not less than 50 percent under the net cost method.</w:t>
      </w:r>
    </w:p>
    <w:p>
      <w:pPr>
        <w:pStyle w:val="Heading2"/>
      </w:pPr>
      <w:bookmarkStart w:id="900155" w:name="_Toc300000154"/>
      <w:r>
        <w:t xml:space="preserve">Article 3: Regional Value Content for Passenger Vehicles, Light Trucks, and Parts Thereof</w:t>
      </w:r>
      <w:bookmarkEnd w:id="900155"/>
    </w:p>
    <w:p>
      <w:pPr>
        <w:pStyle w:val="Normal"/>
      </w:pPr>
      <w:r>
        <w:t xml:space="preserve">1. Notwithstanding Article 2 (Product-Specific Rules of Origin for Vehicles), each Party shall provide that the regional value content requirement for a passenger vehicle or a light truck is: (a) 66 percent under the net cost method, beginning on January 1, 2020, or the date of entry into force of this Agreement, whichever is later; 4-B-1-19 (b) 69 percent under the net cost method, beginning on January 1, 2021, or one year after the date of entry into force of this Agreement, whichever is later; (c) 72 percent under the net cost method, beginning on January 1, 2022, or two years after the date of entry into force of this Agreement, whichever is later; and (d) 75 percent under the net cost method, beginning on January 1, 2023, or three years after the date of entry into force of this Agreement, whichever is later, and thereafter. 2.</w:t>
      </w:r>
    </w:p>
    <w:p>
      <w:pPr>
        <w:pStyle w:val="Normal"/>
      </w:pPr>
      <w:r>
        <w:t>Notwithstanding Article 2 (Product-Specific Rules of Origin for Vehicles) and the Product-Specific Rules of Origin in Annex 4-B, each Party shall provide that the regional value content requirement for a part listed in Table A.1 of this Appendix that is for use in a passenger vehicle or light truck is: (a) 66 percent under the net cost method or 76 percent under the transaction value method, if the corresponding rule includes a transaction value method, beginning on January 1, 2020, or the date of entry into force of this Agreement, whichever is later; (b) 69 percent under the net cost method or 79 percent under the transaction value method, if the corresponding rule includes a transaction value method, beginning on January 1, 2021, or one year after the date of entry into force of this Agreement, whichever is later;</w:t>
      </w:r>
    </w:p>
    <w:p>
      <w:pPr>
        <w:pStyle w:val="Normal"/>
      </w:pPr>
      <w:r>
        <w:t>(c) 72 percent under the net cost method or 82 percent under the transaction value method, if the corresponding rule includes a transaction value method, beginning on January 1, 2022, or two years after the date of entry into force of this Agreement, whichever is later; or (d) 75 percent under the net cost method or 85 percent under the transaction value method, if the corresponding rule includes a transaction value method, beginning on January 1, 2023, or three years after the date of entry into force of this Agreement, whichever is later, and thereafter. 3.</w:t>
      </w:r>
    </w:p>
    <w:p>
      <w:pPr>
        <w:pStyle w:val="Normal"/>
      </w:pPr>
      <w:r>
        <w:t>Notwithstanding Article 2 (Product-Specific Rules of Origin for Vehicles) and the Product-Specific Rules of Origin in Annex 4-B, each Party shall provide that a part listed in Table A.1 of this Appendix that is for use in a passenger vehicle or light truck is originating only if it satisfies the regional value content requirement in paragraph 2, except for batteries of subheading 8507.60 that are used as the primary source of electrical power for the propulsion of an electric passenger vehicle or light truck. 4. Notwithstanding Article 2 (Product-Specific Rules of Origin for Vehicles) and the Product-Specific Rules of Origin in Annex 4-B, each Party shall provide that the regional value 4-B-1-20 content requirement for a part listed in Table B of this Appendix that is for use in a passenger vehicle or light truck is: (a) 62.5 percent under the net cost method or 72.5 percent under the transaction value method, if the corresponding rule includes a transaction value method, beginning on January 1, 2020 or the date of entry into force of this Agreement, whichever is later;</w:t>
      </w:r>
    </w:p>
    <w:p>
      <w:pPr>
        <w:pStyle w:val="Normal"/>
      </w:pPr>
      <w:r>
        <w:t>(b) 65 percent under the net cost method or 75 percent under the transaction value method, if the corresponding rule includes a transaction value method, beginning on January 1, 2021 or one year after the date of entry into force of this Agreement, whichever is later; (c) 67.5 percent under the net cost method or 77.5 percent under the transaction value method, if the corresponding rule includes a</w:t>
      </w:r>
    </w:p>
    <w:p>
      <w:pPr>
        <w:pStyle w:val="Normal"/>
      </w:pPr>
      <w:r>
        <w:t>transaction value method, beginning on January 1, 2022 or two years after the date of entry into force of this Agreement, whichever is later; or (d) 70 percent under the net cost method or 80 percent under the transaction value method, if the corresponding rule includes a transaction value method, beginning on January 1, 2023 or three years after the date of entry into force of this Agreement, whichever is later, and thereafter. Notwithstanding any regional value content requirement in this paragraph, a part listed in Table B is originating if it meets the applicable change in tariff classification requirement provided in Annex 4-B. 5. Notwithstanding the Product-Specific Rules of Origin in Annex 4-B, each Party shall provide that the regional value content requirement for a part listed in Table C of this Appendix that is for use in a passenger vehicle or light truck is:</w:t>
      </w:r>
    </w:p>
    <w:p>
      <w:pPr>
        <w:pStyle w:val="Normal"/>
      </w:pPr>
      <w:r>
        <w:t>(a) 62 percent under the net cost method or 72 percent under the transaction value method, if the corresponding rule includes a transaction value method, beginning on January 1, 2020 or the date of entry into force of this Agreement, whichever is later; (b) 63 percent under the net cost method or 73 percent under the transaction value method, if the corresponding rule includes a transaction value method, beginning on January 1, 2021 or one year after the date of entry into force of this Agreement, whichever is later; (c) 64 percent under the net cost method or 74 percent under the transaction value method,</w:t>
      </w:r>
    </w:p>
    <w:p>
      <w:pPr>
        <w:pStyle w:val="Normal"/>
      </w:pPr>
      <w:r>
        <w:t>if the corresponding rule includes a transaction value method, beginning 4-B-1-21 on January 1, 2022 or two years after the date of entry into force of this Agreement, whichever is later; or (d) 65 percent under the net cost method or 75 percent under the transaction value method, if the corresponding rule includes a transaction value method, beginning on January 1, 2023 or three years after the date of entry into force of this Agreement, whichever is later, and thereafter. Notwithstanding any regional value content requirement in this paragraph, a part listed in Table C is originating if it meets the applicable change in tariff classification requirement provided in Annex 4-B. 6. For the purposes of calculating the regional value content under paragraphs 1 through 5, Article 4.5 (Regional Value Content), Article 4.6 (Value of Materials Used in Production), Article 4.7 (Further Adjustments to the Value of Materials), and 4.8 (Intermediate Materials) and Article 5 (Averaging) apply. 7.</w:t>
      </w:r>
    </w:p>
    <w:p>
      <w:pPr>
        <w:pStyle w:val="Normal"/>
      </w:pPr>
      <w:r>
        <w:t>Each Party shall provide that a passenger vehicle or light truck is originating only if the parts under Column 1 of Table A.2 of this Appendix used in the production of a passenger vehicle or light truck are originating. Such a part is originating only if it satisfies the regional value content requirement in paragraph 2, except for an advanced battery.</w:t>
      </w:r>
    </w:p>
    <w:p>
      <w:pPr>
        <w:pStyle w:val="Normal"/>
      </w:pPr>
      <w:r>
        <w:t>The Parties, as appropriate, shall provide in the Uniform Regulations additional description or other clarification to the list of the parts and components under Table A.2 of this Appendix, such as by tariff provision or product description, to facilitate implementation of this requirement. 8. Each Party shall provide that for the purposes of calculating the regional value content under Article 4.5 (Regional Value Content) for a part under Column 1 of Table A.2 of this Appendix, the value of non-originating materials (VNM) is, at the vehicle producer’s option: (a) the value of all non-originating materials used in the production of the part; or (b) the value of any non-originating components used in the production of the part that are listed under Column 2 of Table A.2 of this Appendix. 9.</w:t>
      </w:r>
    </w:p>
    <w:p>
      <w:pPr>
        <w:pStyle w:val="Normal"/>
      </w:pPr>
      <w:r>
        <w:t>Further to paragraph 8, each Party shall provide that the regional value content may also be calculated, at the producer’s option, for all parts under Column 1 of Table A.2 of this Appendix as a single part, using the sum of the net cost of each part listed under Column 1 of Table A.2 of this Appendix, and when calculating the VNM, at the producer’s option: (a) the sum of the value of all non-originating materials used in the production of the parts listed under Column 1; or 4-B-1-22 (b) the sum of the value of only those non-originating components under Column 2 of Table A.2 of this Appendix, used in the production of the parts listed under Column 1.</w:t>
      </w:r>
    </w:p>
    <w:p>
      <w:pPr>
        <w:pStyle w:val="Normal"/>
      </w:pPr>
      <w:r>
        <w:t>If this regional value content meets the required threshold under paragraph 2, then each Party shall provide that all parts under Table A.2 of this Appendix are originating and the passenger vehicle or light truck will be considered to have met the requirement under paragraph 7. 10. The Parties are encouraged to develop any additional description or other modification to the list of the parts and components of the parts and components in Table A.2 of this Appendix for a passenger vehicle or light truck that is an Advanced Technology Vehicle. Upon request of one of the Parties, the Parties shall discuss and agree on any appropriate modifications to Table A.2 of this Appendix for such a vehicle to ensure that the requirements in paragraph 7 remain relevant in light of technological changes and to facilitate the use of originating core parts.</w:t>
      </w:r>
    </w:p>
    <w:p>
      <w:pPr>
        <w:pStyle w:val="Heading2"/>
      </w:pPr>
      <w:bookmarkStart w:id="900156" w:name="_Toc300000155"/>
      <w:r>
        <w:t xml:space="preserve">Article 4: Regional Value Content for Heavy Trucks and Parts Thereof</w:t>
      </w:r>
      <w:bookmarkEnd w:id="900156"/>
    </w:p>
    <w:p>
      <w:pPr>
        <w:pStyle w:val="Normal"/>
      </w:pPr>
      <w:r>
        <w:t xml:space="preserve">1. Notwithstanding Article 2 (Product-Specific Rules of Origin for Vehicles), each Party shall provide that the regional value content requirement for a heavy truck is: (a) 60 percent under the net cost method, beginning on January 1, 2020, or the date of entry into force of this Agreement, whichever is later; (b) 64 percent under the net cost method, beginning on January 1, 2024, or four years after the date of entry into force of this Agreement, whichever is later; or (c) 70 percent under the net cost method, beginning on January 1, 2027, or seven years after the date of entry into force of this Agreement, whichever is later, and thereafter. 2. Notwithstanding Article 2 (Product-Specific Rules of Origin for Vehicles) and the Product-Specific Rules of Origin in Annex 4-B, each Party shall provide that the regional value content requirement for a part listed in Table D of this Appendix that is for use in a heavy truck is:</w:t>
      </w:r>
    </w:p>
    <w:p>
      <w:pPr>
        <w:pStyle w:val="Normal"/>
      </w:pPr>
      <w:r>
        <w:t>(a) 60 percent under the net cost method or 70 percent under the transaction value method, if the corresponding rule includes a transaction value method, beginning on January 1, 2020, or the date of entry into force of this Agreement, whichever is later; 4-B-1-23 (b) 64 percent under the net cost method or 74 percent under the transaction value method, if the corresponding rule includes a transaction value method, beginning on January 1, 2024, or four years after the date of entry into</w:t>
      </w:r>
    </w:p>
    <w:p>
      <w:pPr>
        <w:pStyle w:val="Normal"/>
      </w:pPr>
      <w:r>
        <w:t>force of this Agreement, whichever is later; and (c) 70 percent under the net cost method or 80 percent under the transaction value method, if the corresponding rule includes a transaction value method, beginning on January 1, 2027, or seven years after the date of entry into force of this Agreement, whichever is later, and thereafter. 3. Notwithstanding the Product-Specific Rules of Origin in Annex 4-B, each Party shall provide that the regional value content requirement for a part listed in Table E of this Appendix that is for use in a heavy truck is: (a) 50 percent under the net cost method or 60 percent under the transaction value method, if the corresponding rule includes a transaction value method, beginning on January 1, 2020, or the date of entry into force of this Agreement, whichever is later;</w:t>
      </w:r>
    </w:p>
    <w:p>
      <w:pPr>
        <w:pStyle w:val="Normal"/>
      </w:pPr>
      <w:r>
        <w:t>(b) 54 percent under the net cost method or 64 percent under the transaction value method, if the corresponding rule includes a transaction value method beginning on January 1, 2024, or four years after the date of entry into force of this Agreement, whichever is later; and (c) 60 percent under the net cost method or 70 percent under the transaction value method, if the corresponding rule includes a transaction value method, beginning on January 1, 2027, or seven years after the date of entry into force of this Agreement, whichever is later, and thereafter. 4.</w:t>
      </w:r>
    </w:p>
    <w:p>
      <w:pPr>
        <w:pStyle w:val="Normal"/>
      </w:pPr>
      <w:r>
        <w:t>Notwithstanding Article 2 (Product-Specific Rules of Origin for Vehicles) or the Product- Specific Rules of Origin in Annex 4-B, each Party shall provide that a part of heading 84.07 or 84.08 or subheading 8708.40, or a chassis classified in 8708.99, that is for use in a heavy truck, is originating only if it satisfies the applicable regional value content requirement in paragraph 2.</w:t>
      </w:r>
    </w:p>
    <w:p>
      <w:pPr>
        <w:pStyle w:val="Heading2"/>
      </w:pPr>
      <w:bookmarkStart w:id="900157" w:name="_Toc300000156"/>
      <w:r>
        <w:t xml:space="preserve">Article 5: Averaging</w:t>
      </w:r>
      <w:bookmarkEnd w:id="900157"/>
    </w:p>
    <w:p>
      <w:pPr>
        <w:pStyle w:val="Normal"/>
      </w:pPr>
      <w:r>
        <w:t xml:space="preserve">1. Each Party shall provide that, for the purposes of calculating the regional value content of a passenger vehicle, light truck, or heavy truck, the calculation may be averaged over the producer’s fiscal year, using any one of the following categories, on the basis of either all motor vehicles in the category or only those motor vehicles in the category that are exported to the territory of one or more of the other Parties: 4-B-1-24 (a) the same model line of motor vehicles in the same class of vehicles produced in the same plant in the territory of a Party; (b) the same class of motor vehicles produced in the same plant in the territory of a Party; (c) the same model line or same class of motor vehicles produced in the territory of a Party;72 or (d) any other category as the Parties may decide. 2.</w:t>
      </w:r>
    </w:p>
    <w:p>
      <w:pPr>
        <w:pStyle w:val="Normal"/>
      </w:pPr>
      <w:r>
        <w:t>Each Party shall provide, that for the purposes of calculating the regional value content for an automotive good listed in Tables A.1, B, C, D, or E of this Appendix, produced in the same plant, or a super-core for a passenger vehicle or light truck, the calculation may be averaged: (a) over the fiscal year of the motor vehicle producer to whom the good is sold; (b) over any quarter or month; (c) over the fiscal year of the producer of the automotive material; or (d) over any of the categories in paragraph 1 (a) through (d), provided that the good was produced during the fiscal year, quarter, or month forming the basis for the calculation, in which: (i) the average in subparagraph (a) is calculated separately for those goods sold to one or more motor vehicle producers, or (ii) the average in subparagraph (a) or (b) is calculated separately for those goods that are exported to the territory of another Party.</w:t>
      </w:r>
    </w:p>
    <w:p>
      <w:pPr>
        <w:pStyle w:val="Heading2"/>
      </w:pPr>
      <w:bookmarkStart w:id="900158" w:name="_Toc300000157"/>
      <w:r>
        <w:t xml:space="preserve">Article 6: Steel and Aluminum</w:t>
      </w:r>
      <w:bookmarkEnd w:id="900158"/>
    </w:p>
    <w:p>
      <w:pPr>
        <w:pStyle w:val="Normal"/>
      </w:pPr>
      <w:r>
        <w:t xml:space="preserve">1. In addition to the Product-Specific Rules of Origin in Annex 4-B or other requirements in this Appendix, each Party shall provide that a passenger vehicle, light truck, or heavy truck is originating only if, during a time period provided for in paragraph 2,at least 70 percent of: 72 Vehicles within the same model line or class may be averaged separately if such vehicles are subject to different RVC requirements. 4-B-1-25 (a) the vehicle producer’s purchases of steel by value in the territories of the Parties; and (b) the vehicle producer’s purchases of aluminum by value in the territories of the Parties, are of originating goods.73 2. Each Party shall provide that, for the purposes of determining the vehicle producer’s purchases of steel or aluminium in paragraph 1, the producer may calculate the purchases: (a) over the previous fiscal year of the producer; (b) over the previous calendar year; (c) over the quarter or month to date in which the vehicle is exported;</w:t>
      </w:r>
    </w:p>
    <w:p>
      <w:pPr>
        <w:pStyle w:val="Normal"/>
      </w:pPr>
      <w:r>
        <w:t>(d) over the producer’s fiscal year to date in which the vehicle is exported; or (e) over the calendar year to date in which the vehicle is exported. A steel or aluminum calculation based on the producer’s previous fiscal year is valid for the duration of the producer’s current fiscal year. A steel or aluminum calculation based on the previous calendar year is valid for the duration of the current calendar year. 3.</w:t>
      </w:r>
    </w:p>
    <w:p>
      <w:pPr>
        <w:pStyle w:val="Normal"/>
      </w:pPr>
      <w:r>
        <w:t>The Parties shall endeavor to develop any additional description or other modification of steel and aluminum subject to paragraph 1, if needed, to facilitate implementation of this requirement. Upon request of one of the Parties, the Parties shall discuss and agree on any appropriate modifications to the description of steel and aluminum. The Parties, as appropriate, shall provide in the Uniform Regulations additional description for steel and aluminum subject to paragraph 1, such as by tariff provision or product description, to facilitate implementation of this requirement. 4. The Parties shall include any certification or verification provisions for this requirement in Uniform Regulations. 73 This requirement will apply to a vehicle producer’s corporate purchases throughout the territories of the Parties, including if the producer has more than one location in a Party where steel and aluminum is purchased. Such purchases of steel and aluminum include direct purchases, purchases through a services center, and purchases contracted through a supplier. 4-B-1-26</w:t>
      </w:r>
    </w:p>
    <w:p>
      <w:pPr>
        <w:pStyle w:val="Heading2"/>
      </w:pPr>
      <w:bookmarkStart w:id="900159" w:name="_Toc300000158"/>
      <w:r>
        <w:t>Article 7: North American Automotive Workforce Advancement Standard</w:t>
      </w:r>
      <w:bookmarkEnd w:id="900159"/>
    </w:p>
    <w:p>
      <w:pPr>
        <w:pStyle w:val="Normal"/>
      </w:pPr>
      <w:r>
        <w:t>1. Supersession of Legacy Labor Value Content. The former Labor Value Content requirements based on a fixed US$16 per hour production-wage threshold, including the former 40 percent passenger-vehicle requirement and 45 percent light- and heavy-truck requirement, are superseded by this Article. Compliance with a fixed nominal wage threshold shall not be a condition of originating status under this Agreement.</w:t>
      </w:r>
    </w:p>
    <w:p>
      <w:pPr>
        <w:pStyle w:val="Normal"/>
      </w:pPr>
      <w:r>
        <w:t>2. Standard Origin. A passenger vehicle, light truck, medium-duty vehicle, heavy-duty vehicle, vocational vehicle, qualifying chassis, or other covered automotive good that satisfies the applicable regional value content, product-specific origin, steel or aluminum, and anti-circumvention requirements shall not be denied ordinary originating treatment solely because of the compensation level, wage geography, or workforce-cost structure of a facility in which qualifying North American production occurred. The 75% (75 percent) Standard Tier under the automotive modernization architecture remains sufficient for ordinary zero automotive tariff treatment where all other applicable origin requirements are satisfied.</w:t>
      </w:r>
    </w:p>
    <w:p>
      <w:pPr>
        <w:pStyle w:val="Normal"/>
      </w:pPr>
      <w:r>
        <w:t>3. Workforce Advancement Objective. The Parties shall use workforce performance as an earned-integration and industrial-upgrading factor rather than as a fixed nominal-wage gate to origin. The objective is to raise compensation, skills, productivity, worker security, lawful collective representation, workplace safety, and long-term North American production without creating a permanent geographic preference for facilities that happened to begin from a higher nominal-wage base.</w:t>
      </w:r>
    </w:p>
    <w:p>
      <w:pPr>
        <w:pStyle w:val="Normal"/>
      </w:pPr>
      <w:r>
        <w:t>4. Eligible Workforce Advancement Factors. An implementing schedule may recognize verified performance involving: (a) sustained real compensation growth; (b) competitive total compensation, including lawful benefits; (c) freedom of association and collective-bargaining compliance; (d) apprenticeship and certified industrial training; (e) technical and portable credentials; (f) worker retention and reduced involuntary turnover; (g) employer-funded upskilling and transition support; (h) genuine engineering, research, development, testing, software, and advanced-manufacturing employment; (i) productivity improvements accompanied by measurable worker benefit; (j) occupational safety and health performance; (k) lawful portable benefits and social-protection coordination; and (l) absence and remediation of prohibited recruitment fees, document retention, retaliation, forced labour, or other serious covered labour violations.</w:t>
      </w:r>
    </w:p>
    <w:p>
      <w:pPr>
        <w:pStyle w:val="Normal"/>
      </w:pPr>
      <w:r>
        <w:t>5. Earned Integration. Verified workforce advancement may contribute to eligibility for High Integration or Strategic Integration benefits under the 80% (80 percent) and 85% (85 percent) automotive tiers, including designated customs facilitation, reduced routine verification, trusted-trader treatment, transition assistance, supplier-development support, workforce-development cooperation, or other authorized non-tariff benefits. Workforce advancement shall not by itself create a nationality-specific quota or mandatory production allocation.</w:t>
      </w:r>
    </w:p>
    <w:p>
      <w:pPr>
        <w:pStyle w:val="Normal"/>
      </w:pPr>
      <w:r>
        <w:t>6. Upward-Convergence Path. A facility or producer shall not be disadvantaged merely because its lawful starting compensation level is lower than that of a facility in another Party. An implementing schedule may recognize sustained real wage growth, productivity growth, skills formation, stronger bargaining outcomes, improved benefits, and movement into higher-value production as evidence of upward convergence. The architecture shall reward measurable improvement and durable worker benefit rather than permanent incumbency at a historically higher nominal wage.</w:t>
      </w:r>
    </w:p>
    <w:p>
      <w:pPr>
        <w:pStyle w:val="Normal"/>
      </w:pPr>
      <w:r>
        <w:t>7. No Wage-Suppression Advantage. No Party or producer shall obtain an automotive integration advantage principally through sustained suppression of compensation, denial of covered labour rights, prohibited recruitment practices, systematic misclassification, coercive use of immigration status, forced labour, or deliberate circumvention of applicable labour protections. A serious verified violation may affect earned-integration benefits in accordance with Chapter 23, Chapter 31, Chapter 51, and Cothrom procedures, but shall not automatically erase otherwise valid North American origin unless an applicable origin rule is independently violated.</w:t>
      </w:r>
    </w:p>
    <w:p>
      <w:pPr>
        <w:pStyle w:val="Normal"/>
      </w:pPr>
      <w:r>
        <w:t>8. Worker-First Enforcement. The existence of a covered labour right does not depend on proof that a violation injured the commerce or competitiveness of another Party. Commercial effects may inform the proportionality of a trade-related remedy, but shall not determine whether workers possess the protected right or whether a serious violation warrants remediation.</w:t>
      </w:r>
    </w:p>
    <w:p>
      <w:pPr>
        <w:pStyle w:val="Normal"/>
      </w:pPr>
      <w:r>
        <w:t>9. Trilateral Neutrality. Workforce advancement criteria shall apply on functionally equivalent terms to facilities in Canada, Mexico, and the United States. No Party shall receive a presumption that high nominal wages establish labour compliance, that lower nominal wages establish labour non-compliance, or that meaningful workforce upgrading can occur only in another Party.</w:t>
      </w:r>
    </w:p>
    <w:p>
      <w:pPr>
        <w:pStyle w:val="Normal"/>
      </w:pPr>
      <w:r>
        <w:t>10. Benefits and Non-Cash Compensation. Total-compensation measures may recognize legally required or genuinely additional benefits, including pensions, health coverage, paid leave, housing contributions, profit-sharing, childcare, transport, or meal support, where measurable and worker-accessible. Non-cash benefits shall not be used to disguise sustained suppression of cash compensation or to substitute indefinitely for reasonable wage progression.</w:t>
      </w:r>
    </w:p>
    <w:p>
      <w:pPr>
        <w:pStyle w:val="Normal"/>
      </w:pPr>
      <w:r>
        <w:t>11. Skills, R&amp;D, and Advanced Work. Genuine North American engineering, research, development, design, software, testing, certification, skilled-trades, apprenticeship, and advanced-manufacturing work may qualify as workforce advancement where it materially contributes to covered automotive production. Paper allocations, nominal contracting, or artificial relocation of accounting entries shall not qualify.</w:t>
      </w:r>
    </w:p>
    <w:p>
      <w:pPr>
        <w:pStyle w:val="Normal"/>
      </w:pPr>
      <w:r>
        <w:t>12. Verification and Anti-Gaming. Verification shall be risk-based, evidence-based, proportionate, and no more burdensome than necessary. The Parties may use trusted-compliance treatment for producers with a sustained record of accurate reporting, subject to reopening where credible evidence indicates material non-compliance, manipulation, worker retaliation, or false certification.</w:t>
      </w:r>
    </w:p>
    <w:p>
      <w:pPr>
        <w:pStyle w:val="Normal"/>
      </w:pPr>
      <w:r>
        <w:t>13. Cure and Earn-Back. Where an earned workforce-related benefit is paused for verified non-performance, the producer or Party shall receive a reasonable opportunity to cure except where urgent action is necessary to prevent serious or irreversible harm. A paused benefit shall be restored promptly and proportionately when corrective performance is verified, consistent with the No Uncompensated Front-Loading and Cothrom earn-back architecture.</w:t>
      </w:r>
    </w:p>
    <w:p>
      <w:pPr>
        <w:pStyle w:val="Normal"/>
      </w:pPr>
      <w:r>
        <w:t>14. No Fixed-Dollar Automatic Escalator. No fixed U.S.-dollar wage number, purchasing-power-parity formula, foreign minimum-wage benchmark, or automatic inflation escalator shall determine originating status. Any numerical workforce benchmarks adopted in an implementing schedule shall be evidence-based, periodically reviewable, transparent, and subordinate to the trilateral outcome principles in this Article.</w:t>
      </w:r>
    </w:p>
    <w:p>
      <w:pPr>
        <w:pStyle w:val="Normal"/>
      </w:pPr>
      <w:r>
        <w:t>15. Review. The Parties shall periodically assess whether workforce advancement measures are producing higher real compensation, stronger skills, safer workplaces, improved worker retention, greater productivity, more resilient North American production, and reduced incentive for abusive labour arbitrage. Review shall inform agreed modernization and shall not automatically rewrite substantive treaty obligations.</w:t>
      </w:r>
    </w:p>
    <w:p>
      <w:pPr>
        <w:pStyle w:val="Normal"/>
      </w:pPr>
      <w:r>
        <w:t>16. Chapter 23-B Operationalization. The workforce advancement metrics supporting Article 4.A.2 are operationalized through Chapter 23-B (North American Just Transition and Worker Security Framework). Parties shall provide workers with access to the income support, retraining, and benefit portability specified in Articles 23-B.3–23-B.5. All workforce-advancement metrics shall be measured against Chapter 23-B standards.</w:t>
      </w:r>
    </w:p>
    <w:p>
      <w:pPr>
        <w:pStyle w:val="Heading2"/>
      </w:pPr>
      <w:bookmarkStart w:id="900160" w:name="_Toc300000159"/>
      <w:r>
        <w:t xml:space="preserve">Article 8: Transitions</w:t>
      </w:r>
      <w:bookmarkEnd w:id="900160"/>
    </w:p>
    <w:p>
      <w:pPr>
        <w:pStyle w:val="Normal"/>
      </w:pPr>
      <w:r>
        <w:t xml:space="preserve">1. Each Party shall provide that for a period ending no later than January 1, 2025 or five years after entry into force of this Agreement, whichever is later, a passenger vehicle or light truck may be originating pursuant to an alternative staging regime to the regime set out in Articles 2 through 6, subject to paragraphs 2 and 3. 2. An alternative staging regime for eligible passenger vehicles or light trucks must meet the following requirements:</w:t>
      </w:r>
    </w:p>
    <w:p>
      <w:pPr>
        <w:pStyle w:val="Normal"/>
      </w:pPr>
      <w:r>
        <w:t>(a) the regional value content for such vehicles must not be lower than 62.5 percent, under the net cost method, and must be 75 percent by no later than January 1, 2025 or five years after entry into force of this Agreement, whichever is later;81 (b) the regional value content for a good listed in Table A.1 of this Appendix, except for a battery of subheading 8507.60,82 that is for use in a passenger vehicle or light truck must not be lower than 62.5 percent under the net cost method or 72.5 percent under the transaction value method, if the corresponding rule includes a transaction value method, and must be 75 percent under the net cost method or 85 percent under the transaction value method, if the corresponding rule includes a transaction value method by no later than January 1, 2025 or five years after entry into force of this Agreement, whichever is later; (c) the steel and aluminum requirement under Article 6 (Steel and Aluminum) must be met, unless the Parties agree to change that requirement for</w:t>
      </w:r>
    </w:p>
    <w:p>
      <w:pPr>
        <w:pStyle w:val="Normal"/>
      </w:pPr>
      <w:r>
        <w:t>vehicles subject to this alternative regime. 81 Notwithstanding this Article, if a vehicle is covered by an alternative staging regime described in Article 403.6 of NAFTA 1994 as of signature of this Agreement, a transition provided for under this Article may include providing such treatment. 82 During this transition period, the rule of origin for a battery of subheading 8507.60 will be: “A change to a battery of subheading 8507.60, of a kind used as the primary source of electrical power for the propulsion of an electric passenger vehicle or light truck, from within that subheading or from any other subheading. 4-B-1-30 4.</w:t>
      </w:r>
    </w:p>
    <w:p>
      <w:pPr>
        <w:pStyle w:val="Normal"/>
      </w:pPr>
      <w:r>
        <w:t>The quantities of passenger vehicles or light trucks eligible for the alternative staging regime in paragraph 2 shall be limited to not more than ten percent of a producer’s total passenger vehicle or light truck production, in the territories of the Parties, during the complete 12 month period prior to entry into force of this Agreement, or the average of such production during the complete 36 month period prior to entry into force of this Agreement, whichever is greater.</w:t>
      </w:r>
    </w:p>
    <w:p>
      <w:pPr>
        <w:pStyle w:val="Normal"/>
      </w:pPr>
      <w:r>
        <w:t>The Parties may decide to increase the number of eligible vehicles for a producer if a vehicle producer can demonstrate, to the satisfaction of the Parties, a detailed and credible plan to ensure these vehicles will meet all the requirements set out in Articles 1 through 6 within five years from entry into force of this Agreement. 5. Each Party shall provide that for a period ending no later than January 1, 2027 or seven years after entry into force of this Agreement, whichever is later, a heavy truck may be originating pursuant to an alternative staging regime to the requirements set out in Articles 2 through 6. 6. A Party may apply an alternative staging regime described in this Article on a producer- by-producer basis.</w:t>
      </w:r>
    </w:p>
    <w:p>
      <w:pPr>
        <w:pStyle w:val="Normal"/>
      </w:pPr>
      <w:r>
        <w:t>Upon request of one of the Parties, the Parties shall discuss and agree on any appropriate extensions or other modifications to the alternative staging regime described in paragraphs 1 through 4 if the Parties consider that such an extension or modification would result in new investment for vehicle or parts production in the territories of the Parties. 7. A rule of origin applicable to a good as a result of an alternative staging regime provided for under this Article applies in place of any other rule of origin for that good.</w:t>
      </w:r>
    </w:p>
    <w:p>
      <w:pPr>
        <w:pStyle w:val="Heading2"/>
      </w:pPr>
      <w:bookmarkStart w:id="900161" w:name="_Toc300000160"/>
      <w:r>
        <w:t xml:space="preserve">Article 9: Review and Transitional Arrangements</w:t>
      </w:r>
      <w:bookmarkEnd w:id="900161"/>
    </w:p>
    <w:p>
      <w:pPr>
        <w:pStyle w:val="Normal"/>
      </w:pPr>
      <w:r>
        <w:t xml:space="preserve">1. The Parties shall, upon request of a Party, review the requirements in this Appendix for passenger vehicles, light truck, and heavy trucks to ensure that they reflect the composition of these vehicles, especially Advanced Technology Vehicles, and in light of technological developments 2. Notwithstanding Article 5 (Averaging), a Party may allow averaging for a producer over a partial fiscal year or partial calendar year if the beginning of the producer’s fiscal year does not coincide with the date of entry into force of this Agreement, or if the date of entry into force of this Agreement does not fall at the beginning of a calendar year, in order to facilitate implementation of the requirements in this Appendix. 3. The Parties shall include additional description or other clarification to this Appendix, as well as matters for implementation of any transition arrangements, in the Uniform Regulations.</w:t>
      </w:r>
    </w:p>
    <w:p>
      <w:pPr>
        <w:pStyle w:val="Heading2"/>
      </w:pPr>
      <w:bookmarkStart w:id="900162" w:name="_Toc300000161"/>
      <w:r>
        <w:t xml:space="preserve">Article 10: Regional Value Content for Other Vehicles</w:t>
      </w:r>
      <w:bookmarkEnd w:id="900162"/>
    </w:p>
    <w:p>
      <w:pPr>
        <w:pStyle w:val="Normal"/>
      </w:pPr>
      <w:r>
        <w:t xml:space="preserve">4-B-1-31 1. Notwithstanding the Product-Specific Rules of Origin in Annex 4-B, each Party shall provide that the regional value content requirement is 62.5 percent under the net cost method for: (a) a motor vehicle for the transport of 15 or fewer persons of subheading 8702.10 or 8702.90; a passenger vehicle with a compression-ignition engine as the primary motor of propulsion, a three or four-wheeled motorcycle, a motorhome or entertainer coach, or a vehicle solely or principally for off-road use of subheading 8703.21 through 8703.90; or a vehicle of subheading 8704.21 or 8704.31 that is solely or principally for off-road use; and (b) a good of heading 84.07 or 84.08, or subheading 8708.40, that is for use in a motor vehicle in subparagraph (a). 2.</w:t>
      </w:r>
    </w:p>
    <w:p>
      <w:pPr>
        <w:pStyle w:val="Normal"/>
      </w:pPr>
      <w:r>
        <w:t>Notwithstanding the Product-Specific Rules of Origin in Annex 4-B, each Party shall provide that the regional value content requirement is 60 percent under the net cost method for: (a) a good that is a motor vehicle of heading 8701, except for subheading 8701.20; a motor vehicle for the transport of 16 or more persons of subheading 8702.10 or 8702.90; a motor vehicle of subheading 8704.10; a motor vehicle of subheading 8704.22, 8704.23, 8704.32, or 8704.90 that is solely or principally for off-road use; a motor vehicle of heading 87.05; or a good of heading 87.06 that is not for use in a passenger vehicle, light truck, or heavy truck; (b) a good of heading 84.07 or 84.08, or subheading 8708.40, that is for use in a motor vehicle in subparagraph (a); or (c) except for a good in paragraph 2(b) or of subheading 8482.10 through 8482.80, 8483.20, or 8483.30, a good in Table F of this Appendix that is subject to a regional value content requirement and that is for use in a motor vehicle in paragraphs 1(a) or 2(a). 3.</w:t>
      </w:r>
    </w:p>
    <w:p>
      <w:pPr>
        <w:pStyle w:val="Normal"/>
      </w:pPr>
      <w:r>
        <w:t>Each Party shall provide that, for the purposes of calculating the regional value content under the net cost method for a good that is a motor vehicle provided for in paragraph 1(a) or 2(a), a good listed in Table F of this Appendix for use as original equipment in the production of a good in paragraph 1(a), or a component listed in Table G of this Appendix for use as original equipment in the production of the motor vehicle in paragraph 2(a), the value of non-originating materials used by the producer in the production of the good shall be the sum of:</w:t>
      </w:r>
    </w:p>
    <w:p>
      <w:pPr>
        <w:pStyle w:val="Normal"/>
      </w:pPr>
      <w:r>
        <w:t>(a) for each material used by the producer listed in Table F or Table G, whether or not produced by the producer, at the choice of the producer and determined in accordance with Article 4.5 (Regional Value Content), either (i) the value of such material that is non-originating, or 4-B-1-32 (ii) the value of non-originating materials used in the production of such material; and (b) the value of any other non-originating material used by the producer that is not listed in Table F or Table G of this Appendix, determined in accordance with Article 4.5 (Regional Value Content). 4.</w:t>
      </w:r>
    </w:p>
    <w:p>
      <w:pPr>
        <w:pStyle w:val="Normal"/>
      </w:pPr>
      <w:r>
        <w:t>Each Party shall provide that, for purposes of calculating the regional value content of a motor vehicle covered by paragraph 1 or 2, the producer may average its calculation over its fiscal year, using any one of the following categories, on the basis of either all motor vehicles in the category or only those motor vehicles in the category that are exported to the territory of one or more of the other Parties: (a) the same model line of motor vehicles in the same class of vehicles produced in the same plant in the territory of a Party; (b) the same class of motor vehicles produced in the same plant in the territory of a Party; or (c) the same model line of motor vehicles produced in the territory of a Party. 5. Each Party shall provide that, for purposes of calculating the regional value content for a good listed in Table F of this Appendix, or a component or material listed in Table G of this Appendix, produced in the same plant, the producer of the good may:</w:t>
      </w:r>
    </w:p>
    <w:p>
      <w:pPr>
        <w:pStyle w:val="Normal"/>
      </w:pPr>
      <w:r>
        <w:t>(a) average its calculation: (i) over the fiscal year of the motor vehicle producer to whom the good is sold, (ii) over any quarter or month, or (iii) over its fiscal year, if the good is sold as an aftermarket part; (b) calculate the average referred to in subparagraph (a) separately for a good sold to one or more motor vehicle producers; or (c) with respect to any calculation under this paragraph, calculate the average separately for goods that are exported to the territory of one or more of the Parties. 6.</w:t>
      </w:r>
    </w:p>
    <w:p>
      <w:pPr>
        <w:pStyle w:val="Normal"/>
      </w:pPr>
      <w:r>
        <w:t>The regional value content requirement for a motor vehicle identified in paragraph 1 or 2 of this Article shall be: 4-B-1-33 (a) 50 percent for five years after the date on which the first motor vehicle prototype is produced in a plant by a motor vehicle assembler, if:</w:t>
      </w:r>
    </w:p>
    <w:p>
      <w:pPr>
        <w:pStyle w:val="Normal"/>
      </w:pPr>
      <w:r>
        <w:rPr>
          <w:b w:val="0"/>
        </w:rPr>
        <w:t>(i) it is a motor vehicle of a class, or marque, or, except for a motor vehicle identified in paragraph 2, size category and underbody, not previously produced by the motor vehicle assembler in the territory of any of the Parties, (ii) the plant consists of a new building in which the motor vehicle is assembled, and (iii) the plant contains substantially all new machinery that is used in the assembly of the motor vehicle; or (b) 50 percent for two years after the date on which the first motor vehicle prototype is produced at a plant following a refit, if it is a different motor vehicle of a class, or marque, or, except for a motor vehicle identified in paragraph 2, size category and underbody, than was assembled by the motor vehicle assembler in the plant before the refit. 4-B-1-34</w:t>
      </w:r>
    </w:p>
    <w:p>
      <w:pPr>
        <w:pStyle w:val="Normal"/>
      </w:pPr>
      <w:r>
        <w:rPr>
          <w:b/>
        </w:rPr>
        <w:t>TABLE A.1: CORE PARTS FOR PASSENGER VEHICLES AND LIGHT TRUCKS</w:t>
      </w:r>
    </w:p>
    <w:p>
      <w:pPr>
        <w:pStyle w:val="Normal"/>
      </w:pPr>
      <w:r>
        <w:rPr>
          <w:b w:val="0"/>
        </w:rPr>
        <w:t>Note: The Regional Value Content requirements set out in Article 3 of this Appendix apply to a good for use in a passenger vehicle or light truck.</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HS Provision</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8407.31</w:t>
            </w:r>
          </w:p>
        </w:tc>
        <w:tc>
          <w:tcPr>
            <w:tcW w:type="dxa" w:w="4680"/>
            <w:tcMar>
              <w:top w:w="70" w:type="dxa"/>
              <w:start w:w="110" w:type="dxa"/>
              <w:bottom w:w="70" w:type="dxa"/>
              <w:end w:w="110" w:type="dxa"/>
            </w:tcMar>
          </w:tcPr>
          <w:p>
            <w:pPr>
              <w:pStyle w:val="TableText"/>
            </w:pPr>
            <w:r>
              <w:rPr/>
              <w:t>Reciprocating piston engines of a kind used for the propulsion of passenger vehicles of Chapter 87, of a cylinder capacity not exceeding 50 cc</w:t>
            </w:r>
          </w:p>
        </w:tc>
      </w:tr>
      <w:tr>
        <w:trPr>
          <w:cantSplit/>
        </w:trPr>
        <w:tc>
          <w:tcPr>
            <w:tcW w:type="dxa" w:w="4680"/>
            <w:shd w:fill="F5F7F8" w:val="clear" w:color="auto"/>
            <w:tcMar>
              <w:top w:w="70" w:type="dxa"/>
              <w:start w:w="110" w:type="dxa"/>
              <w:bottom w:w="70" w:type="dxa"/>
              <w:end w:w="110" w:type="dxa"/>
            </w:tcMar>
          </w:tcPr>
          <w:p>
            <w:pPr>
              <w:pStyle w:val="TableText"/>
            </w:pPr>
            <w:r>
              <w:rPr/>
              <w:t>8407.32</w:t>
            </w:r>
          </w:p>
        </w:tc>
        <w:tc>
          <w:tcPr>
            <w:tcW w:type="dxa" w:w="4680"/>
            <w:shd w:fill="F5F7F8" w:val="clear" w:color="auto"/>
            <w:tcMar>
              <w:top w:w="70" w:type="dxa"/>
              <w:start w:w="110" w:type="dxa"/>
              <w:bottom w:w="70" w:type="dxa"/>
              <w:end w:w="110" w:type="dxa"/>
            </w:tcMar>
          </w:tcPr>
          <w:p>
            <w:pPr>
              <w:pStyle w:val="TableText"/>
            </w:pPr>
            <w:r>
              <w:rPr/>
              <w:t>Reciprocating piston engines of a kind used for the propulsion of vehicles of Chapter 87, of a cylinder capacity exceeding 50 cc but not exceeding 250 cc</w:t>
            </w:r>
          </w:p>
        </w:tc>
      </w:tr>
      <w:tr>
        <w:trPr>
          <w:cantSplit/>
        </w:trPr>
        <w:tc>
          <w:tcPr>
            <w:tcW w:type="dxa" w:w="4680"/>
            <w:tcMar>
              <w:top w:w="70" w:type="dxa"/>
              <w:start w:w="110" w:type="dxa"/>
              <w:bottom w:w="70" w:type="dxa"/>
              <w:end w:w="110" w:type="dxa"/>
            </w:tcMar>
          </w:tcPr>
          <w:p>
            <w:pPr>
              <w:pStyle w:val="TableText"/>
            </w:pPr>
            <w:r>
              <w:rPr/>
              <w:t>8407.33</w:t>
            </w:r>
          </w:p>
        </w:tc>
        <w:tc>
          <w:tcPr>
            <w:tcW w:type="dxa" w:w="4680"/>
            <w:tcMar>
              <w:top w:w="70" w:type="dxa"/>
              <w:start w:w="110" w:type="dxa"/>
              <w:bottom w:w="70" w:type="dxa"/>
              <w:end w:w="110" w:type="dxa"/>
            </w:tcMar>
          </w:tcPr>
          <w:p>
            <w:pPr>
              <w:pStyle w:val="TableText"/>
            </w:pPr>
            <w:r>
              <w:rPr/>
              <w:t>Reciprocating piston engines of a kind used for the propulsion of vehicles of Chapter 87, of a cylinder capacity exceeding 250 cc but not exceeding 1,000 cc</w:t>
            </w:r>
          </w:p>
        </w:tc>
      </w:tr>
      <w:tr>
        <w:trPr>
          <w:cantSplit/>
        </w:trPr>
        <w:tc>
          <w:tcPr>
            <w:tcW w:type="dxa" w:w="4680"/>
            <w:shd w:fill="F5F7F8" w:val="clear" w:color="auto"/>
            <w:tcMar>
              <w:top w:w="70" w:type="dxa"/>
              <w:start w:w="110" w:type="dxa"/>
              <w:bottom w:w="70" w:type="dxa"/>
              <w:end w:w="110" w:type="dxa"/>
            </w:tcMar>
          </w:tcPr>
          <w:p>
            <w:pPr>
              <w:pStyle w:val="TableText"/>
            </w:pPr>
            <w:r>
              <w:rPr/>
              <w:t>8407.34</w:t>
            </w:r>
          </w:p>
        </w:tc>
        <w:tc>
          <w:tcPr>
            <w:tcW w:type="dxa" w:w="4680"/>
            <w:shd w:fill="F5F7F8" w:val="clear" w:color="auto"/>
            <w:tcMar>
              <w:top w:w="70" w:type="dxa"/>
              <w:start w:w="110" w:type="dxa"/>
              <w:bottom w:w="70" w:type="dxa"/>
              <w:end w:w="110" w:type="dxa"/>
            </w:tcMar>
          </w:tcPr>
          <w:p>
            <w:pPr>
              <w:pStyle w:val="TableText"/>
            </w:pPr>
            <w:r>
              <w:rPr/>
              <w:t>Reciprocating piston engines of a kind used for the propulsion of vehicles of Chapter 87, of a cylinder capacity exceeding 1,000 cc</w:t>
            </w:r>
          </w:p>
        </w:tc>
      </w:tr>
      <w:tr>
        <w:trPr>
          <w:cantSplit/>
        </w:trPr>
        <w:tc>
          <w:tcPr>
            <w:tcW w:type="dxa" w:w="4680"/>
            <w:tcMar>
              <w:top w:w="70" w:type="dxa"/>
              <w:start w:w="110" w:type="dxa"/>
              <w:bottom w:w="70" w:type="dxa"/>
              <w:end w:w="110" w:type="dxa"/>
            </w:tcMar>
          </w:tcPr>
          <w:p>
            <w:pPr>
              <w:pStyle w:val="TableText"/>
            </w:pPr>
            <w:r>
              <w:rPr/>
              <w:t>Ex 8408.20</w:t>
            </w:r>
          </w:p>
        </w:tc>
        <w:tc>
          <w:tcPr>
            <w:tcW w:type="dxa" w:w="4680"/>
            <w:tcMar>
              <w:top w:w="70" w:type="dxa"/>
              <w:start w:w="110" w:type="dxa"/>
              <w:bottom w:w="70" w:type="dxa"/>
              <w:end w:w="110" w:type="dxa"/>
            </w:tcMar>
          </w:tcPr>
          <w:p>
            <w:pPr>
              <w:pStyle w:val="TableText"/>
            </w:pPr>
            <w:r>
              <w:rPr/>
              <w:t>Compression-ignition internal combustion piston engines of a kind used for the propulsion of vehicles of subheading</w:t>
            </w:r>
          </w:p>
        </w:tc>
      </w:tr>
      <w:tr>
        <w:trPr>
          <w:cantSplit/>
        </w:trPr>
        <w:tc>
          <w:tcPr>
            <w:tcW w:type="dxa" w:w="4680"/>
            <w:shd w:fill="F5F7F8" w:val="clear" w:color="auto"/>
            <w:tcMar>
              <w:top w:w="70" w:type="dxa"/>
              <w:start w:w="110" w:type="dxa"/>
              <w:bottom w:w="70" w:type="dxa"/>
              <w:end w:w="110" w:type="dxa"/>
            </w:tcMar>
          </w:tcPr>
          <w:p>
            <w:pPr>
              <w:pStyle w:val="TableText"/>
            </w:pPr>
            <w:r>
              <w:rPr/>
              <w:t>8704.21</w:t>
            </w:r>
          </w:p>
        </w:tc>
        <w:tc>
          <w:tcPr>
            <w:tcW w:type="dxa" w:w="4680"/>
            <w:shd w:fill="F5F7F8" w:val="clear" w:color="auto"/>
            <w:tcMar>
              <w:top w:w="70" w:type="dxa"/>
              <w:start w:w="110" w:type="dxa"/>
              <w:bottom w:w="70" w:type="dxa"/>
              <w:end w:w="110" w:type="dxa"/>
            </w:tcMar>
          </w:tcPr>
          <w:p>
            <w:pPr>
              <w:pStyle w:val="TableText"/>
            </w:pPr>
            <w:r>
              <w:rPr/>
              <w:t>or</w:t>
            </w:r>
          </w:p>
        </w:tc>
      </w:tr>
      <w:tr>
        <w:trPr>
          <w:cantSplit/>
        </w:trPr>
        <w:tc>
          <w:tcPr>
            <w:tcW w:type="dxa" w:w="4680"/>
            <w:tcMar>
              <w:top w:w="70" w:type="dxa"/>
              <w:start w:w="110" w:type="dxa"/>
              <w:bottom w:w="70" w:type="dxa"/>
              <w:end w:w="110" w:type="dxa"/>
            </w:tcMar>
          </w:tcPr>
          <w:p>
            <w:pPr>
              <w:pStyle w:val="TableText"/>
            </w:pPr>
            <w:r>
              <w:rPr/>
              <w:t>8704.31</w:t>
            </w:r>
          </w:p>
        </w:tc>
        <w:tc>
          <w:tcPr>
            <w:tcW w:type="dxa" w:w="4680"/>
            <w:tcMar>
              <w:top w:w="70" w:type="dxa"/>
              <w:start w:w="110" w:type="dxa"/>
              <w:bottom w:w="70" w:type="dxa"/>
              <w:end w:w="110" w:type="dxa"/>
            </w:tcMar>
          </w:tcPr>
          <w:p>
            <w:pPr>
              <w:pStyle w:val="TableText"/>
            </w:pPr>
            <w:r>
              <w:rPr/>
            </w:r>
          </w:p>
        </w:tc>
      </w:tr>
      <w:tr>
        <w:trPr>
          <w:cantSplit/>
        </w:trPr>
        <w:tc>
          <w:tcPr>
            <w:tcW w:type="dxa" w:w="4680"/>
            <w:shd w:fill="F5F7F8" w:val="clear" w:color="auto"/>
            <w:tcMar>
              <w:top w:w="70" w:type="dxa"/>
              <w:start w:w="110" w:type="dxa"/>
              <w:bottom w:w="70" w:type="dxa"/>
              <w:end w:w="110" w:type="dxa"/>
            </w:tcMar>
          </w:tcPr>
          <w:p>
            <w:pPr>
              <w:pStyle w:val="TableText"/>
            </w:pPr>
            <w:r>
              <w:rPr/>
              <w:t>8409.91</w:t>
            </w:r>
          </w:p>
        </w:tc>
        <w:tc>
          <w:tcPr>
            <w:tcW w:type="dxa" w:w="4680"/>
            <w:shd w:fill="F5F7F8" w:val="clear" w:color="auto"/>
            <w:tcMar>
              <w:top w:w="70" w:type="dxa"/>
              <w:start w:w="110" w:type="dxa"/>
              <w:bottom w:w="70" w:type="dxa"/>
              <w:end w:w="110" w:type="dxa"/>
            </w:tcMar>
          </w:tcPr>
          <w:p>
            <w:pPr>
              <w:pStyle w:val="TableText"/>
            </w:pPr>
            <w:r>
              <w:rPr/>
              <w:t>Parts suitable for use solely or principally with the engines of heading 84.07 or 84.08, suitable for use solely or principally with spark-ignition internal combustion piston engines</w:t>
            </w:r>
          </w:p>
        </w:tc>
      </w:tr>
      <w:tr>
        <w:trPr>
          <w:cantSplit/>
        </w:trPr>
        <w:tc>
          <w:tcPr>
            <w:tcW w:type="dxa" w:w="4680"/>
            <w:tcMar>
              <w:top w:w="70" w:type="dxa"/>
              <w:start w:w="110" w:type="dxa"/>
              <w:bottom w:w="70" w:type="dxa"/>
              <w:end w:w="110" w:type="dxa"/>
            </w:tcMar>
          </w:tcPr>
          <w:p>
            <w:pPr>
              <w:pStyle w:val="TableText"/>
            </w:pPr>
            <w:r>
              <w:rPr/>
              <w:t>8409.99</w:t>
            </w:r>
          </w:p>
        </w:tc>
        <w:tc>
          <w:tcPr>
            <w:tcW w:type="dxa" w:w="4680"/>
            <w:tcMar>
              <w:top w:w="70" w:type="dxa"/>
              <w:start w:w="110" w:type="dxa"/>
              <w:bottom w:w="70" w:type="dxa"/>
              <w:end w:w="110" w:type="dxa"/>
            </w:tcMar>
          </w:tcPr>
          <w:p>
            <w:pPr>
              <w:pStyle w:val="TableText"/>
            </w:pPr>
            <w:r>
              <w:rPr/>
              <w:t>Parts suitable for use solely or principally with the engines of heading 84.07 or 84.08, other</w:t>
            </w:r>
          </w:p>
        </w:tc>
      </w:tr>
      <w:tr>
        <w:trPr>
          <w:cantSplit/>
        </w:trPr>
        <w:tc>
          <w:tcPr>
            <w:tcW w:type="dxa" w:w="4680"/>
            <w:shd w:fill="F5F7F8" w:val="clear" w:color="auto"/>
            <w:tcMar>
              <w:top w:w="70" w:type="dxa"/>
              <w:start w:w="110" w:type="dxa"/>
              <w:bottom w:w="70" w:type="dxa"/>
              <w:end w:w="110" w:type="dxa"/>
            </w:tcMar>
          </w:tcPr>
          <w:p>
            <w:pPr>
              <w:pStyle w:val="TableText"/>
            </w:pPr>
            <w:r>
              <w:rPr/>
              <w:t>8507.60</w:t>
            </w:r>
          </w:p>
        </w:tc>
        <w:tc>
          <w:tcPr>
            <w:tcW w:type="dxa" w:w="4680"/>
            <w:shd w:fill="F5F7F8" w:val="clear" w:color="auto"/>
            <w:tcMar>
              <w:top w:w="70" w:type="dxa"/>
              <w:start w:w="110" w:type="dxa"/>
              <w:bottom w:w="70" w:type="dxa"/>
              <w:end w:w="110" w:type="dxa"/>
            </w:tcMar>
          </w:tcPr>
          <w:p>
            <w:pPr>
              <w:pStyle w:val="TableText"/>
            </w:pPr>
            <w:r>
              <w:rPr/>
              <w:t>Lithium-ion batteries</w:t>
            </w:r>
          </w:p>
        </w:tc>
      </w:tr>
      <w:tr>
        <w:trPr>
          <w:cantSplit/>
        </w:trPr>
        <w:tc>
          <w:tcPr>
            <w:tcW w:type="dxa" w:w="4680"/>
            <w:tcMar>
              <w:top w:w="70" w:type="dxa"/>
              <w:start w:w="110" w:type="dxa"/>
              <w:bottom w:w="70" w:type="dxa"/>
              <w:end w:w="110" w:type="dxa"/>
            </w:tcMar>
          </w:tcPr>
          <w:p>
            <w:pPr>
              <w:pStyle w:val="TableText"/>
            </w:pPr>
            <w:r>
              <w:rPr/>
              <w:t>8706.00</w:t>
            </w:r>
          </w:p>
        </w:tc>
        <w:tc>
          <w:tcPr>
            <w:tcW w:type="dxa" w:w="4680"/>
            <w:tcMar>
              <w:top w:w="70" w:type="dxa"/>
              <w:start w:w="110" w:type="dxa"/>
              <w:bottom w:w="70" w:type="dxa"/>
              <w:end w:w="110" w:type="dxa"/>
            </w:tcMar>
          </w:tcPr>
          <w:p>
            <w:pPr>
              <w:pStyle w:val="TableText"/>
            </w:pPr>
            <w:r>
              <w:rPr/>
              <w:t>Chassis fitted with engines, for the motor vehicles of heading 87.03 or subheading</w:t>
            </w:r>
          </w:p>
        </w:tc>
      </w:tr>
      <w:tr>
        <w:trPr>
          <w:cantSplit/>
        </w:trPr>
        <w:tc>
          <w:tcPr>
            <w:tcW w:type="dxa" w:w="4680"/>
            <w:shd w:fill="F5F7F8" w:val="clear" w:color="auto"/>
            <w:tcMar>
              <w:top w:w="70" w:type="dxa"/>
              <w:start w:w="110" w:type="dxa"/>
              <w:bottom w:w="70" w:type="dxa"/>
              <w:end w:w="110" w:type="dxa"/>
            </w:tcMar>
          </w:tcPr>
          <w:p>
            <w:pPr>
              <w:pStyle w:val="TableText"/>
            </w:pPr>
            <w:r>
              <w:rPr/>
              <w:t>8704.21</w:t>
            </w:r>
          </w:p>
        </w:tc>
        <w:tc>
          <w:tcPr>
            <w:tcW w:type="dxa" w:w="4680"/>
            <w:shd w:fill="F5F7F8" w:val="clear" w:color="auto"/>
            <w:tcMar>
              <w:top w:w="70" w:type="dxa"/>
              <w:start w:w="110" w:type="dxa"/>
              <w:bottom w:w="70" w:type="dxa"/>
              <w:end w:w="110" w:type="dxa"/>
            </w:tcMar>
          </w:tcPr>
          <w:p>
            <w:pPr>
              <w:pStyle w:val="TableText"/>
            </w:pPr>
            <w:r>
              <w:rPr/>
              <w:t>or</w:t>
            </w:r>
          </w:p>
        </w:tc>
      </w:tr>
      <w:tr>
        <w:trPr>
          <w:cantSplit/>
        </w:trPr>
        <w:tc>
          <w:tcPr>
            <w:tcW w:type="dxa" w:w="4680"/>
            <w:tcMar>
              <w:top w:w="70" w:type="dxa"/>
              <w:start w:w="110" w:type="dxa"/>
              <w:bottom w:w="70" w:type="dxa"/>
              <w:end w:w="110" w:type="dxa"/>
            </w:tcMar>
          </w:tcPr>
          <w:p>
            <w:pPr>
              <w:pStyle w:val="TableText"/>
            </w:pPr>
            <w:r>
              <w:rPr/>
              <w:t>8704.31</w:t>
            </w:r>
          </w:p>
        </w:tc>
        <w:tc>
          <w:tcPr>
            <w:tcW w:type="dxa" w:w="4680"/>
            <w:tcMar>
              <w:top w:w="70" w:type="dxa"/>
              <w:start w:w="110" w:type="dxa"/>
              <w:bottom w:w="70" w:type="dxa"/>
              <w:end w:w="110" w:type="dxa"/>
            </w:tcMar>
          </w:tcPr>
          <w:p>
            <w:pPr>
              <w:pStyle w:val="TableText"/>
            </w:pPr>
            <w:r>
              <w:rPr/>
            </w:r>
          </w:p>
        </w:tc>
      </w:tr>
      <w:tr>
        <w:trPr>
          <w:cantSplit/>
        </w:trPr>
        <w:tc>
          <w:tcPr>
            <w:tcW w:type="dxa" w:w="4680"/>
            <w:shd w:fill="F5F7F8" w:val="clear" w:color="auto"/>
            <w:tcMar>
              <w:top w:w="70" w:type="dxa"/>
              <w:start w:w="110" w:type="dxa"/>
              <w:bottom w:w="70" w:type="dxa"/>
              <w:end w:w="110" w:type="dxa"/>
            </w:tcMar>
          </w:tcPr>
          <w:p>
            <w:pPr>
              <w:pStyle w:val="TableText"/>
            </w:pPr>
            <w:r>
              <w:rPr/>
              <w:t>8707.10</w:t>
            </w:r>
          </w:p>
        </w:tc>
        <w:tc>
          <w:tcPr>
            <w:tcW w:type="dxa" w:w="4680"/>
            <w:shd w:fill="F5F7F8" w:val="clear" w:color="auto"/>
            <w:tcMar>
              <w:top w:w="70" w:type="dxa"/>
              <w:start w:w="110" w:type="dxa"/>
              <w:bottom w:w="70" w:type="dxa"/>
              <w:end w:w="110" w:type="dxa"/>
            </w:tcMar>
          </w:tcPr>
          <w:p>
            <w:pPr>
              <w:pStyle w:val="TableText"/>
            </w:pPr>
            <w:r>
              <w:rPr/>
              <w:t>Bodies for the vehicles of heading 87.03</w:t>
            </w:r>
          </w:p>
        </w:tc>
      </w:tr>
      <w:tr>
        <w:trPr>
          <w:cantSplit/>
        </w:trPr>
        <w:tc>
          <w:tcPr>
            <w:tcW w:type="dxa" w:w="4680"/>
            <w:tcMar>
              <w:top w:w="70" w:type="dxa"/>
              <w:start w:w="110" w:type="dxa"/>
              <w:bottom w:w="70" w:type="dxa"/>
              <w:end w:w="110" w:type="dxa"/>
            </w:tcMar>
          </w:tcPr>
          <w:p>
            <w:pPr>
              <w:pStyle w:val="TableText"/>
            </w:pPr>
            <w:r>
              <w:rPr/>
              <w:t>8707.90</w:t>
            </w:r>
          </w:p>
        </w:tc>
        <w:tc>
          <w:tcPr>
            <w:tcW w:type="dxa" w:w="4680"/>
            <w:tcMar>
              <w:top w:w="70" w:type="dxa"/>
              <w:start w:w="110" w:type="dxa"/>
              <w:bottom w:w="70" w:type="dxa"/>
              <w:end w:w="110" w:type="dxa"/>
            </w:tcMar>
          </w:tcPr>
          <w:p>
            <w:pPr>
              <w:pStyle w:val="TableText"/>
            </w:pPr>
            <w:r>
              <w:rPr/>
              <w:t>Bodies for the vehicles of subheading</w:t>
            </w:r>
          </w:p>
        </w:tc>
      </w:tr>
      <w:tr>
        <w:trPr>
          <w:cantSplit/>
        </w:trPr>
        <w:tc>
          <w:tcPr>
            <w:tcW w:type="dxa" w:w="4680"/>
            <w:shd w:fill="F5F7F8" w:val="clear" w:color="auto"/>
            <w:tcMar>
              <w:top w:w="70" w:type="dxa"/>
              <w:start w:w="110" w:type="dxa"/>
              <w:bottom w:w="70" w:type="dxa"/>
              <w:end w:w="110" w:type="dxa"/>
            </w:tcMar>
          </w:tcPr>
          <w:p>
            <w:pPr>
              <w:pStyle w:val="TableText"/>
            </w:pPr>
            <w:r>
              <w:rPr/>
              <w:t>8704.21</w:t>
            </w:r>
          </w:p>
        </w:tc>
        <w:tc>
          <w:tcPr>
            <w:tcW w:type="dxa" w:w="4680"/>
            <w:shd w:fill="F5F7F8" w:val="clear" w:color="auto"/>
            <w:tcMar>
              <w:top w:w="70" w:type="dxa"/>
              <w:start w:w="110" w:type="dxa"/>
              <w:bottom w:w="70" w:type="dxa"/>
              <w:end w:w="110" w:type="dxa"/>
            </w:tcMar>
          </w:tcPr>
          <w:p>
            <w:pPr>
              <w:pStyle w:val="TableText"/>
            </w:pPr>
            <w:r>
              <w:rPr/>
              <w:t>or</w:t>
            </w:r>
          </w:p>
        </w:tc>
      </w:tr>
      <w:tr>
        <w:trPr>
          <w:cantSplit/>
        </w:trPr>
        <w:tc>
          <w:tcPr>
            <w:tcW w:type="dxa" w:w="4680"/>
            <w:tcMar>
              <w:top w:w="70" w:type="dxa"/>
              <w:start w:w="110" w:type="dxa"/>
              <w:bottom w:w="70" w:type="dxa"/>
              <w:end w:w="110" w:type="dxa"/>
            </w:tcMar>
          </w:tcPr>
          <w:p>
            <w:pPr>
              <w:pStyle w:val="TableText"/>
            </w:pPr>
            <w:r>
              <w:rPr/>
              <w:t>8704.31</w:t>
            </w:r>
          </w:p>
        </w:tc>
        <w:tc>
          <w:tcPr>
            <w:tcW w:type="dxa" w:w="4680"/>
            <w:tcMar>
              <w:top w:w="70" w:type="dxa"/>
              <w:start w:w="110" w:type="dxa"/>
              <w:bottom w:w="70" w:type="dxa"/>
              <w:end w:w="110" w:type="dxa"/>
            </w:tcMar>
          </w:tcPr>
          <w:p>
            <w:pPr>
              <w:pStyle w:val="TableText"/>
            </w:pPr>
            <w:r>
              <w:rPr/>
            </w:r>
          </w:p>
        </w:tc>
      </w:tr>
      <w:tr>
        <w:trPr>
          <w:cantSplit/>
        </w:trPr>
        <w:tc>
          <w:tcPr>
            <w:tcW w:type="dxa" w:w="4680"/>
            <w:shd w:fill="F5F7F8" w:val="clear" w:color="auto"/>
            <w:tcMar>
              <w:top w:w="70" w:type="dxa"/>
              <w:start w:w="110" w:type="dxa"/>
              <w:bottom w:w="70" w:type="dxa"/>
              <w:end w:w="110" w:type="dxa"/>
            </w:tcMar>
          </w:tcPr>
          <w:p>
            <w:pPr>
              <w:pStyle w:val="TableText"/>
            </w:pPr>
            <w:r>
              <w:rPr/>
              <w:t>Ex 8708.29</w:t>
            </w:r>
          </w:p>
        </w:tc>
        <w:tc>
          <w:tcPr>
            <w:tcW w:type="dxa" w:w="4680"/>
            <w:shd w:fill="F5F7F8" w:val="clear" w:color="auto"/>
            <w:tcMar>
              <w:top w:w="70" w:type="dxa"/>
              <w:start w:w="110" w:type="dxa"/>
              <w:bottom w:w="70" w:type="dxa"/>
              <w:end w:w="110" w:type="dxa"/>
            </w:tcMar>
          </w:tcPr>
          <w:p>
            <w:pPr>
              <w:pStyle w:val="TableText"/>
            </w:pPr>
            <w:r>
              <w:rPr/>
              <w:t>Body stampings</w:t>
            </w:r>
          </w:p>
        </w:tc>
      </w:tr>
      <w:tr>
        <w:trPr>
          <w:cantSplit/>
        </w:trPr>
        <w:tc>
          <w:tcPr>
            <w:tcW w:type="dxa" w:w="4680"/>
            <w:tcMar>
              <w:top w:w="70" w:type="dxa"/>
              <w:start w:w="110" w:type="dxa"/>
              <w:bottom w:w="70" w:type="dxa"/>
              <w:end w:w="110" w:type="dxa"/>
            </w:tcMar>
          </w:tcPr>
          <w:p>
            <w:pPr>
              <w:pStyle w:val="TableText"/>
            </w:pPr>
            <w:r>
              <w:rPr/>
              <w:t>8708.40</w:t>
            </w:r>
          </w:p>
        </w:tc>
        <w:tc>
          <w:tcPr>
            <w:tcW w:type="dxa" w:w="4680"/>
            <w:tcMar>
              <w:top w:w="70" w:type="dxa"/>
              <w:start w:w="110" w:type="dxa"/>
              <w:bottom w:w="70" w:type="dxa"/>
              <w:end w:w="110" w:type="dxa"/>
            </w:tcMar>
          </w:tcPr>
          <w:p>
            <w:pPr>
              <w:pStyle w:val="TableText"/>
            </w:pPr>
            <w:r>
              <w:rPr/>
              <w:t>Gear boxes and parts thereof</w:t>
            </w:r>
          </w:p>
        </w:tc>
      </w:tr>
      <w:tr>
        <w:trPr>
          <w:cantSplit/>
        </w:trPr>
        <w:tc>
          <w:tcPr>
            <w:tcW w:type="dxa" w:w="4680"/>
            <w:shd w:fill="F5F7F8" w:val="clear" w:color="auto"/>
            <w:tcMar>
              <w:top w:w="70" w:type="dxa"/>
              <w:start w:w="110" w:type="dxa"/>
              <w:bottom w:w="70" w:type="dxa"/>
              <w:end w:w="110" w:type="dxa"/>
            </w:tcMar>
          </w:tcPr>
          <w:p>
            <w:pPr>
              <w:pStyle w:val="TableText"/>
            </w:pPr>
            <w:r>
              <w:rPr/>
              <w:t>8708.50</w:t>
            </w:r>
          </w:p>
        </w:tc>
        <w:tc>
          <w:tcPr>
            <w:tcW w:type="dxa" w:w="4680"/>
            <w:shd w:fill="F5F7F8" w:val="clear" w:color="auto"/>
            <w:tcMar>
              <w:top w:w="70" w:type="dxa"/>
              <w:start w:w="110" w:type="dxa"/>
              <w:bottom w:w="70" w:type="dxa"/>
              <w:end w:w="110" w:type="dxa"/>
            </w:tcMar>
          </w:tcPr>
          <w:p>
            <w:pPr>
              <w:pStyle w:val="TableText"/>
            </w:pPr>
            <w:r>
              <w:rPr/>
              <w:t>Drive axles with differential, whether or not provided with other transmission components, and non-driving axles; parts thereof</w:t>
            </w:r>
          </w:p>
        </w:tc>
      </w:tr>
      <w:tr>
        <w:trPr>
          <w:cantSplit/>
        </w:trPr>
        <w:tc>
          <w:tcPr>
            <w:tcW w:type="dxa" w:w="4680"/>
            <w:tcMar>
              <w:top w:w="70" w:type="dxa"/>
              <w:start w:w="110" w:type="dxa"/>
              <w:bottom w:w="70" w:type="dxa"/>
              <w:end w:w="110" w:type="dxa"/>
            </w:tcMar>
          </w:tcPr>
          <w:p>
            <w:pPr>
              <w:pStyle w:val="TableText"/>
            </w:pPr>
            <w:r>
              <w:rPr/>
              <w:t>8708.80</w:t>
            </w:r>
          </w:p>
        </w:tc>
        <w:tc>
          <w:tcPr>
            <w:tcW w:type="dxa" w:w="4680"/>
            <w:tcMar>
              <w:top w:w="70" w:type="dxa"/>
              <w:start w:w="110" w:type="dxa"/>
              <w:bottom w:w="70" w:type="dxa"/>
              <w:end w:w="110" w:type="dxa"/>
            </w:tcMar>
          </w:tcPr>
          <w:p>
            <w:pPr>
              <w:pStyle w:val="TableText"/>
            </w:pPr>
            <w:r>
              <w:rPr/>
              <w:t>Suspension systems and parts thereof (including shock absorbers)</w:t>
            </w:r>
          </w:p>
        </w:tc>
      </w:tr>
      <w:tr>
        <w:trPr>
          <w:cantSplit/>
        </w:trPr>
        <w:tc>
          <w:tcPr>
            <w:tcW w:type="dxa" w:w="4680"/>
            <w:shd w:fill="F5F7F8" w:val="clear" w:color="auto"/>
            <w:tcMar>
              <w:top w:w="70" w:type="dxa"/>
              <w:start w:w="110" w:type="dxa"/>
              <w:bottom w:w="70" w:type="dxa"/>
              <w:end w:w="110" w:type="dxa"/>
            </w:tcMar>
          </w:tcPr>
          <w:p>
            <w:pPr>
              <w:pStyle w:val="TableText"/>
            </w:pPr>
            <w:r>
              <w:rPr/>
              <w:t>8708.94</w:t>
            </w:r>
          </w:p>
        </w:tc>
        <w:tc>
          <w:tcPr>
            <w:tcW w:type="dxa" w:w="4680"/>
            <w:shd w:fill="F5F7F8" w:val="clear" w:color="auto"/>
            <w:tcMar>
              <w:top w:w="70" w:type="dxa"/>
              <w:start w:w="110" w:type="dxa"/>
              <w:bottom w:w="70" w:type="dxa"/>
              <w:end w:w="110" w:type="dxa"/>
            </w:tcMar>
          </w:tcPr>
          <w:p>
            <w:pPr>
              <w:pStyle w:val="TableText"/>
            </w:pPr>
            <w:r>
              <w:rPr/>
              <w:t>Steering wheels, steering columns, and steering boxes; parts thereof</w:t>
            </w:r>
          </w:p>
        </w:tc>
      </w:tr>
      <w:tr>
        <w:trPr>
          <w:cantSplit/>
        </w:trPr>
        <w:tc>
          <w:tcPr>
            <w:tcW w:type="dxa" w:w="4680"/>
            <w:tcMar>
              <w:top w:w="70" w:type="dxa"/>
              <w:start w:w="110" w:type="dxa"/>
              <w:bottom w:w="70" w:type="dxa"/>
              <w:end w:w="110" w:type="dxa"/>
            </w:tcMar>
          </w:tcPr>
          <w:p>
            <w:pPr>
              <w:pStyle w:val="TableText"/>
            </w:pPr>
            <w:r>
              <w:rPr/>
              <w:t>Ex 8708.99</w:t>
            </w:r>
          </w:p>
        </w:tc>
        <w:tc>
          <w:tcPr>
            <w:tcW w:type="dxa" w:w="4680"/>
            <w:tcMar>
              <w:top w:w="70" w:type="dxa"/>
              <w:start w:w="110" w:type="dxa"/>
              <w:bottom w:w="70" w:type="dxa"/>
              <w:end w:w="110" w:type="dxa"/>
            </w:tcMar>
          </w:tcPr>
          <w:p>
            <w:pPr>
              <w:pStyle w:val="TableText"/>
            </w:pPr>
            <w:r>
              <w:rPr/>
              <w:t>Chassis frames</w:t>
            </w:r>
          </w:p>
        </w:tc>
      </w:tr>
    </w:tbl>
    <w:p>
      <w:pPr>
        <w:pStyle w:val="Normal"/>
      </w:pPr>
      <w:r>
        <w:rPr>
          <w:b/>
        </w:rPr>
        <w:t>TABLE A.2: PARTS AND COMPONENTS FOR DETERMINING THE ORIGIN OF PASSENGER VEHICLES AND LIGHT TRUCKS UNDER ARTICLE 3 OF THIS APPENDIX</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Parts</w:t>
            </w:r>
          </w:p>
        </w:tc>
        <w:tc>
          <w:tcPr>
            <w:tcW w:type="dxa" w:w="4680"/>
            <w:tcBorders>
              <w:bottom w:val="single" w:sz="6" w:space="0" w:color="546E7A"/>
            </w:tcBorders>
            <w:shd w:fill="E4E9EC" w:val="clear" w:color="auto"/>
          </w:tcPr>
          <w:p>
            <w:pPr>
              <w:pStyle w:val="TableText"/>
            </w:pPr>
            <w:r>
              <w:rPr>
                <w:b/>
                <w:color w:val="37474F"/>
              </w:rPr>
              <w:t>Components</w:t>
            </w:r>
          </w:p>
        </w:tc>
      </w:tr>
      <w:tr>
        <w:trPr>
          <w:cantSplit/>
        </w:trPr>
        <w:tc>
          <w:tcPr>
            <w:tcW w:type="dxa" w:w="4680"/>
            <w:tcMar>
              <w:top w:w="70" w:type="dxa"/>
              <w:start w:w="110" w:type="dxa"/>
              <w:bottom w:w="70" w:type="dxa"/>
              <w:end w:w="110" w:type="dxa"/>
            </w:tcMar>
          </w:tcPr>
          <w:p>
            <w:pPr>
              <w:pStyle w:val="TableText"/>
            </w:pPr>
            <w:r>
              <w:rPr/>
              <w:t>ENGINE</w:t>
            </w:r>
          </w:p>
        </w:tc>
        <w:tc>
          <w:tcPr>
            <w:tcW w:type="dxa" w:w="4680"/>
            <w:tcMar>
              <w:top w:w="70" w:type="dxa"/>
              <w:start w:w="110" w:type="dxa"/>
              <w:bottom w:w="70" w:type="dxa"/>
              <w:end w:w="110" w:type="dxa"/>
            </w:tcMar>
          </w:tcPr>
          <w:p>
            <w:pPr>
              <w:pStyle w:val="TableText"/>
            </w:pPr>
            <w:r>
              <w:rPr/>
              <w:t>Heads, Blocks, Crankshafts, Crankcases, Pistons, Rods, Head subassembly</w:t>
            </w:r>
          </w:p>
        </w:tc>
      </w:tr>
      <w:tr>
        <w:trPr>
          <w:cantSplit/>
        </w:trPr>
        <w:tc>
          <w:tcPr>
            <w:tcW w:type="dxa" w:w="4680"/>
            <w:shd w:fill="F5F7F8" w:val="clear" w:color="auto"/>
            <w:tcMar>
              <w:top w:w="70" w:type="dxa"/>
              <w:start w:w="110" w:type="dxa"/>
              <w:bottom w:w="70" w:type="dxa"/>
              <w:end w:w="110" w:type="dxa"/>
            </w:tcMar>
          </w:tcPr>
          <w:p>
            <w:pPr>
              <w:pStyle w:val="TableText"/>
            </w:pPr>
            <w:r>
              <w:rPr/>
              <w:t>TRANSMISSION</w:t>
            </w:r>
          </w:p>
        </w:tc>
        <w:tc>
          <w:tcPr>
            <w:tcW w:type="dxa" w:w="4680"/>
            <w:shd w:fill="F5F7F8" w:val="clear" w:color="auto"/>
            <w:tcMar>
              <w:top w:w="70" w:type="dxa"/>
              <w:start w:w="110" w:type="dxa"/>
              <w:bottom w:w="70" w:type="dxa"/>
              <w:end w:w="110" w:type="dxa"/>
            </w:tcMar>
          </w:tcPr>
          <w:p>
            <w:pPr>
              <w:pStyle w:val="TableText"/>
            </w:pPr>
            <w:r>
              <w:rPr/>
              <w:t>Transmission cases, Torque converters, Torque converter housings, Gears and gear blanks, Clutches, Valve body assembly</w:t>
            </w:r>
          </w:p>
        </w:tc>
      </w:tr>
      <w:tr>
        <w:trPr>
          <w:cantSplit/>
        </w:trPr>
        <w:tc>
          <w:tcPr>
            <w:tcW w:type="dxa" w:w="4680"/>
            <w:tcMar>
              <w:top w:w="70" w:type="dxa"/>
              <w:start w:w="110" w:type="dxa"/>
              <w:bottom w:w="70" w:type="dxa"/>
              <w:end w:w="110" w:type="dxa"/>
            </w:tcMar>
          </w:tcPr>
          <w:p>
            <w:pPr>
              <w:pStyle w:val="TableText"/>
            </w:pPr>
            <w:r>
              <w:rPr/>
              <w:t>BODY AND CHASSIS</w:t>
            </w:r>
          </w:p>
        </w:tc>
        <w:tc>
          <w:tcPr>
            <w:tcW w:type="dxa" w:w="4680"/>
            <w:tcMar>
              <w:top w:w="70" w:type="dxa"/>
              <w:start w:w="110" w:type="dxa"/>
              <w:bottom w:w="70" w:type="dxa"/>
              <w:end w:w="110" w:type="dxa"/>
            </w:tcMar>
          </w:tcPr>
          <w:p>
            <w:pPr>
              <w:pStyle w:val="TableText"/>
            </w:pPr>
            <w:r>
              <w:rPr/>
              <w:t>Major body panels, Secondary panels, Structural panels, Frames</w:t>
            </w:r>
          </w:p>
        </w:tc>
      </w:tr>
      <w:tr>
        <w:trPr>
          <w:cantSplit/>
        </w:trPr>
        <w:tc>
          <w:tcPr>
            <w:tcW w:type="dxa" w:w="4680"/>
            <w:shd w:fill="F5F7F8" w:val="clear" w:color="auto"/>
            <w:tcMar>
              <w:top w:w="70" w:type="dxa"/>
              <w:start w:w="110" w:type="dxa"/>
              <w:bottom w:w="70" w:type="dxa"/>
              <w:end w:w="110" w:type="dxa"/>
            </w:tcMar>
          </w:tcPr>
          <w:p>
            <w:pPr>
              <w:pStyle w:val="TableText"/>
            </w:pPr>
            <w:r>
              <w:rPr/>
              <w:t>AXLE</w:t>
            </w:r>
          </w:p>
        </w:tc>
        <w:tc>
          <w:tcPr>
            <w:tcW w:type="dxa" w:w="4680"/>
            <w:shd w:fill="F5F7F8" w:val="clear" w:color="auto"/>
            <w:tcMar>
              <w:top w:w="70" w:type="dxa"/>
              <w:start w:w="110" w:type="dxa"/>
              <w:bottom w:w="70" w:type="dxa"/>
              <w:end w:w="110" w:type="dxa"/>
            </w:tcMar>
          </w:tcPr>
          <w:p>
            <w:pPr>
              <w:pStyle w:val="TableText"/>
            </w:pPr>
            <w:r>
              <w:rPr/>
              <w:t>Axle shafts, Axle housings, Axle hubs, Carriers, Differentials</w:t>
            </w:r>
          </w:p>
        </w:tc>
      </w:tr>
      <w:tr>
        <w:trPr>
          <w:cantSplit/>
        </w:trPr>
        <w:tc>
          <w:tcPr>
            <w:tcW w:type="dxa" w:w="4680"/>
            <w:tcMar>
              <w:top w:w="70" w:type="dxa"/>
              <w:start w:w="110" w:type="dxa"/>
              <w:bottom w:w="70" w:type="dxa"/>
              <w:end w:w="110" w:type="dxa"/>
            </w:tcMar>
          </w:tcPr>
          <w:p>
            <w:pPr>
              <w:pStyle w:val="TableText"/>
            </w:pPr>
            <w:r>
              <w:rPr/>
              <w:t>SUSPENSION SYSTEM</w:t>
            </w:r>
          </w:p>
        </w:tc>
        <w:tc>
          <w:tcPr>
            <w:tcW w:type="dxa" w:w="4680"/>
            <w:tcMar>
              <w:top w:w="70" w:type="dxa"/>
              <w:start w:w="110" w:type="dxa"/>
              <w:bottom w:w="70" w:type="dxa"/>
              <w:end w:w="110" w:type="dxa"/>
            </w:tcMar>
          </w:tcPr>
          <w:p>
            <w:pPr>
              <w:pStyle w:val="TableText"/>
            </w:pPr>
            <w:r>
              <w:rPr/>
              <w:t>Shock absorbers, Struts, Control arms, Sway bars, Knuckles, Coil springs, Leaf springs</w:t>
            </w:r>
          </w:p>
        </w:tc>
      </w:tr>
      <w:tr>
        <w:trPr>
          <w:cantSplit/>
        </w:trPr>
        <w:tc>
          <w:tcPr>
            <w:tcW w:type="dxa" w:w="4680"/>
            <w:shd w:fill="F5F7F8" w:val="clear" w:color="auto"/>
            <w:tcMar>
              <w:top w:w="70" w:type="dxa"/>
              <w:start w:w="110" w:type="dxa"/>
              <w:bottom w:w="70" w:type="dxa"/>
              <w:end w:w="110" w:type="dxa"/>
            </w:tcMar>
          </w:tcPr>
          <w:p>
            <w:pPr>
              <w:pStyle w:val="TableText"/>
            </w:pPr>
            <w:r>
              <w:rPr/>
              <w:t>STEERING SYSTEM</w:t>
            </w:r>
          </w:p>
        </w:tc>
        <w:tc>
          <w:tcPr>
            <w:tcW w:type="dxa" w:w="4680"/>
            <w:shd w:fill="F5F7F8" w:val="clear" w:color="auto"/>
            <w:tcMar>
              <w:top w:w="70" w:type="dxa"/>
              <w:start w:w="110" w:type="dxa"/>
              <w:bottom w:w="70" w:type="dxa"/>
              <w:end w:w="110" w:type="dxa"/>
            </w:tcMar>
          </w:tcPr>
          <w:p>
            <w:pPr>
              <w:pStyle w:val="TableText"/>
            </w:pPr>
            <w:r>
              <w:rPr/>
              <w:t>Steering columns, Steering gears/racks, Control units</w:t>
            </w:r>
          </w:p>
        </w:tc>
      </w:tr>
      <w:tr>
        <w:trPr>
          <w:cantSplit/>
        </w:trPr>
        <w:tc>
          <w:tcPr>
            <w:tcW w:type="dxa" w:w="4680"/>
            <w:tcMar>
              <w:top w:w="70" w:type="dxa"/>
              <w:start w:w="110" w:type="dxa"/>
              <w:bottom w:w="70" w:type="dxa"/>
              <w:end w:w="110" w:type="dxa"/>
            </w:tcMar>
          </w:tcPr>
          <w:p>
            <w:pPr>
              <w:pStyle w:val="TableText"/>
            </w:pPr>
            <w:r>
              <w:rPr/>
              <w:t>ADVANCED BATTERY</w:t>
            </w:r>
          </w:p>
        </w:tc>
        <w:tc>
          <w:tcPr>
            <w:tcW w:type="dxa" w:w="4680"/>
            <w:tcMar>
              <w:top w:w="70" w:type="dxa"/>
              <w:start w:w="110" w:type="dxa"/>
              <w:bottom w:w="70" w:type="dxa"/>
              <w:end w:w="110" w:type="dxa"/>
            </w:tcMar>
          </w:tcPr>
          <w:p>
            <w:pPr>
              <w:pStyle w:val="TableText"/>
            </w:pPr>
            <w:r>
              <w:rPr/>
              <w:t>Cells, Modules/arrays, Assembled packs</w:t>
            </w:r>
          </w:p>
        </w:tc>
      </w:tr>
    </w:tbl>
    <w:p>
      <w:pPr>
        <w:pStyle w:val="Normal"/>
      </w:pPr>
      <w:r>
        <w:rPr>
          <w:b/>
        </w:rPr>
        <w:t>TABLE B: PRINCIPAL PARTS FOR PASSENGER VEHICLES AND LIGHT TRUCKS</w:t>
      </w:r>
    </w:p>
    <w:p>
      <w:pPr>
        <w:pStyle w:val="Normal"/>
      </w:pPr>
      <w:r>
        <w:rPr>
          <w:b w:val="0"/>
        </w:rPr>
        <w:t>Note: The Regional Value Content requirements set out in Article 3 of this Appendix apply to a good for use in a passenger vehicle or light truck.</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HS Provision</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8413.30</w:t>
            </w:r>
          </w:p>
        </w:tc>
        <w:tc>
          <w:tcPr>
            <w:tcW w:type="dxa" w:w="4680"/>
            <w:tcMar>
              <w:top w:w="70" w:type="dxa"/>
              <w:start w:w="110" w:type="dxa"/>
              <w:bottom w:w="70" w:type="dxa"/>
              <w:end w:w="110" w:type="dxa"/>
            </w:tcMar>
          </w:tcPr>
          <w:p>
            <w:pPr>
              <w:pStyle w:val="TableText"/>
            </w:pPr>
            <w:r>
              <w:rPr/>
              <w:t>Fuel, lubricating or cooling medium pumps for internal combustion piston engines</w:t>
            </w:r>
          </w:p>
        </w:tc>
      </w:tr>
      <w:tr>
        <w:trPr>
          <w:cantSplit/>
        </w:trPr>
        <w:tc>
          <w:tcPr>
            <w:tcW w:type="dxa" w:w="4680"/>
            <w:shd w:fill="F5F7F8" w:val="clear" w:color="auto"/>
            <w:tcMar>
              <w:top w:w="70" w:type="dxa"/>
              <w:start w:w="110" w:type="dxa"/>
              <w:bottom w:w="70" w:type="dxa"/>
              <w:end w:w="110" w:type="dxa"/>
            </w:tcMar>
          </w:tcPr>
          <w:p>
            <w:pPr>
              <w:pStyle w:val="TableText"/>
            </w:pPr>
            <w:r>
              <w:rPr/>
              <w:t>8413.50</w:t>
            </w:r>
          </w:p>
        </w:tc>
        <w:tc>
          <w:tcPr>
            <w:tcW w:type="dxa" w:w="4680"/>
            <w:shd w:fill="F5F7F8" w:val="clear" w:color="auto"/>
            <w:tcMar>
              <w:top w:w="70" w:type="dxa"/>
              <w:start w:w="110" w:type="dxa"/>
              <w:bottom w:w="70" w:type="dxa"/>
              <w:end w:w="110" w:type="dxa"/>
            </w:tcMar>
          </w:tcPr>
          <w:p>
            <w:pPr>
              <w:pStyle w:val="TableText"/>
            </w:pPr>
            <w:r>
              <w:rPr/>
              <w:t>Other reciprocating positive displacement pumps</w:t>
            </w:r>
          </w:p>
        </w:tc>
      </w:tr>
      <w:tr>
        <w:trPr>
          <w:cantSplit/>
        </w:trPr>
        <w:tc>
          <w:tcPr>
            <w:tcW w:type="dxa" w:w="4680"/>
            <w:tcMar>
              <w:top w:w="70" w:type="dxa"/>
              <w:start w:w="110" w:type="dxa"/>
              <w:bottom w:w="70" w:type="dxa"/>
              <w:end w:w="110" w:type="dxa"/>
            </w:tcMar>
          </w:tcPr>
          <w:p>
            <w:pPr>
              <w:pStyle w:val="TableText"/>
            </w:pPr>
            <w:r>
              <w:rPr/>
              <w:t>8414.59</w:t>
            </w:r>
          </w:p>
        </w:tc>
        <w:tc>
          <w:tcPr>
            <w:tcW w:type="dxa" w:w="4680"/>
            <w:tcMar>
              <w:top w:w="70" w:type="dxa"/>
              <w:start w:w="110" w:type="dxa"/>
              <w:bottom w:w="70" w:type="dxa"/>
              <w:end w:w="110" w:type="dxa"/>
            </w:tcMar>
          </w:tcPr>
          <w:p>
            <w:pPr>
              <w:pStyle w:val="TableText"/>
            </w:pPr>
            <w:r>
              <w:rPr/>
              <w:t>Other fans</w:t>
            </w:r>
          </w:p>
        </w:tc>
      </w:tr>
      <w:tr>
        <w:trPr>
          <w:cantSplit/>
        </w:trPr>
        <w:tc>
          <w:tcPr>
            <w:tcW w:type="dxa" w:w="4680"/>
            <w:shd w:fill="F5F7F8" w:val="clear" w:color="auto"/>
            <w:tcMar>
              <w:top w:w="70" w:type="dxa"/>
              <w:start w:w="110" w:type="dxa"/>
              <w:bottom w:w="70" w:type="dxa"/>
              <w:end w:w="110" w:type="dxa"/>
            </w:tcMar>
          </w:tcPr>
          <w:p>
            <w:pPr>
              <w:pStyle w:val="TableText"/>
            </w:pPr>
            <w:r>
              <w:rPr/>
              <w:t>8414.80</w:t>
            </w:r>
          </w:p>
        </w:tc>
        <w:tc>
          <w:tcPr>
            <w:tcW w:type="dxa" w:w="4680"/>
            <w:shd w:fill="F5F7F8" w:val="clear" w:color="auto"/>
            <w:tcMar>
              <w:top w:w="70" w:type="dxa"/>
              <w:start w:w="110" w:type="dxa"/>
              <w:bottom w:w="70" w:type="dxa"/>
              <w:end w:w="110" w:type="dxa"/>
            </w:tcMar>
          </w:tcPr>
          <w:p>
            <w:pPr>
              <w:pStyle w:val="TableText"/>
            </w:pPr>
            <w:r>
              <w:rPr/>
              <w:t>Other air or gas pumps, compressors and fans</w:t>
            </w:r>
          </w:p>
        </w:tc>
      </w:tr>
      <w:tr>
        <w:trPr>
          <w:cantSplit/>
        </w:trPr>
        <w:tc>
          <w:tcPr>
            <w:tcW w:type="dxa" w:w="4680"/>
            <w:tcMar>
              <w:top w:w="70" w:type="dxa"/>
              <w:start w:w="110" w:type="dxa"/>
              <w:bottom w:w="70" w:type="dxa"/>
              <w:end w:w="110" w:type="dxa"/>
            </w:tcMar>
          </w:tcPr>
          <w:p>
            <w:pPr>
              <w:pStyle w:val="TableText"/>
            </w:pPr>
            <w:r>
              <w:rPr/>
              <w:t>8415.20</w:t>
            </w:r>
          </w:p>
        </w:tc>
        <w:tc>
          <w:tcPr>
            <w:tcW w:type="dxa" w:w="4680"/>
            <w:tcMar>
              <w:top w:w="70" w:type="dxa"/>
              <w:start w:w="110" w:type="dxa"/>
              <w:bottom w:w="70" w:type="dxa"/>
              <w:end w:w="110" w:type="dxa"/>
            </w:tcMar>
          </w:tcPr>
          <w:p>
            <w:pPr>
              <w:pStyle w:val="TableText"/>
            </w:pPr>
            <w:r>
              <w:rPr/>
              <w:t>Air conditioning machines, comprising a motor-driven fan and elements for changing the temperature and humidity, including those machines in which humidity cannot be separately regulated, of a kind used for persons, in motor vehicles</w:t>
            </w:r>
          </w:p>
        </w:tc>
      </w:tr>
      <w:tr>
        <w:trPr>
          <w:cantSplit/>
        </w:trPr>
        <w:tc>
          <w:tcPr>
            <w:tcW w:type="dxa" w:w="4680"/>
            <w:shd w:fill="F5F7F8" w:val="clear" w:color="auto"/>
            <w:tcMar>
              <w:top w:w="70" w:type="dxa"/>
              <w:start w:w="110" w:type="dxa"/>
              <w:bottom w:w="70" w:type="dxa"/>
              <w:end w:w="110" w:type="dxa"/>
            </w:tcMar>
          </w:tcPr>
          <w:p>
            <w:pPr>
              <w:pStyle w:val="TableText"/>
            </w:pPr>
            <w:r>
              <w:rPr/>
              <w:t>Ex 8479.89</w:t>
            </w:r>
          </w:p>
        </w:tc>
        <w:tc>
          <w:tcPr>
            <w:tcW w:type="dxa" w:w="4680"/>
            <w:shd w:fill="F5F7F8" w:val="clear" w:color="auto"/>
            <w:tcMar>
              <w:top w:w="70" w:type="dxa"/>
              <w:start w:w="110" w:type="dxa"/>
              <w:bottom w:w="70" w:type="dxa"/>
              <w:end w:w="110" w:type="dxa"/>
            </w:tcMar>
          </w:tcPr>
          <w:p>
            <w:pPr>
              <w:pStyle w:val="TableText"/>
            </w:pPr>
            <w:r>
              <w:rPr/>
              <w:t>Electronic brake systems, including ABS and ESC systems</w:t>
            </w:r>
          </w:p>
        </w:tc>
      </w:tr>
      <w:tr>
        <w:trPr>
          <w:cantSplit/>
        </w:trPr>
        <w:tc>
          <w:tcPr>
            <w:tcW w:type="dxa" w:w="4680"/>
            <w:tcMar>
              <w:top w:w="70" w:type="dxa"/>
              <w:start w:w="110" w:type="dxa"/>
              <w:bottom w:w="70" w:type="dxa"/>
              <w:end w:w="110" w:type="dxa"/>
            </w:tcMar>
          </w:tcPr>
          <w:p>
            <w:pPr>
              <w:pStyle w:val="TableText"/>
            </w:pPr>
            <w:r>
              <w:rPr/>
              <w:t>8482.10</w:t>
            </w:r>
          </w:p>
        </w:tc>
        <w:tc>
          <w:tcPr>
            <w:tcW w:type="dxa" w:w="4680"/>
            <w:tcMar>
              <w:top w:w="70" w:type="dxa"/>
              <w:start w:w="110" w:type="dxa"/>
              <w:bottom w:w="70" w:type="dxa"/>
              <w:end w:w="110" w:type="dxa"/>
            </w:tcMar>
          </w:tcPr>
          <w:p>
            <w:pPr>
              <w:pStyle w:val="TableText"/>
            </w:pPr>
            <w:r>
              <w:rPr/>
              <w:t>Ball bearings</w:t>
            </w:r>
          </w:p>
        </w:tc>
      </w:tr>
      <w:tr>
        <w:trPr>
          <w:cantSplit/>
        </w:trPr>
        <w:tc>
          <w:tcPr>
            <w:tcW w:type="dxa" w:w="4680"/>
            <w:shd w:fill="F5F7F8" w:val="clear" w:color="auto"/>
            <w:tcMar>
              <w:top w:w="70" w:type="dxa"/>
              <w:start w:w="110" w:type="dxa"/>
              <w:bottom w:w="70" w:type="dxa"/>
              <w:end w:w="110" w:type="dxa"/>
            </w:tcMar>
          </w:tcPr>
          <w:p>
            <w:pPr>
              <w:pStyle w:val="TableText"/>
            </w:pPr>
            <w:r>
              <w:rPr/>
              <w:t>8482.20</w:t>
            </w:r>
          </w:p>
        </w:tc>
        <w:tc>
          <w:tcPr>
            <w:tcW w:type="dxa" w:w="4680"/>
            <w:shd w:fill="F5F7F8" w:val="clear" w:color="auto"/>
            <w:tcMar>
              <w:top w:w="70" w:type="dxa"/>
              <w:start w:w="110" w:type="dxa"/>
              <w:bottom w:w="70" w:type="dxa"/>
              <w:end w:w="110" w:type="dxa"/>
            </w:tcMar>
          </w:tcPr>
          <w:p>
            <w:pPr>
              <w:pStyle w:val="TableText"/>
            </w:pPr>
            <w:r>
              <w:rPr/>
              <w:t>Tapered roller bearings, including cone and tapered roller assemblies</w:t>
            </w:r>
          </w:p>
        </w:tc>
      </w:tr>
      <w:tr>
        <w:trPr>
          <w:cantSplit/>
        </w:trPr>
        <w:tc>
          <w:tcPr>
            <w:tcW w:type="dxa" w:w="4680"/>
            <w:tcMar>
              <w:top w:w="70" w:type="dxa"/>
              <w:start w:w="110" w:type="dxa"/>
              <w:bottom w:w="70" w:type="dxa"/>
              <w:end w:w="110" w:type="dxa"/>
            </w:tcMar>
          </w:tcPr>
          <w:p>
            <w:pPr>
              <w:pStyle w:val="TableText"/>
            </w:pPr>
            <w:r>
              <w:rPr/>
              <w:t>8482.30</w:t>
            </w:r>
          </w:p>
        </w:tc>
        <w:tc>
          <w:tcPr>
            <w:tcW w:type="dxa" w:w="4680"/>
            <w:tcMar>
              <w:top w:w="70" w:type="dxa"/>
              <w:start w:w="110" w:type="dxa"/>
              <w:bottom w:w="70" w:type="dxa"/>
              <w:end w:w="110" w:type="dxa"/>
            </w:tcMar>
          </w:tcPr>
          <w:p>
            <w:pPr>
              <w:pStyle w:val="TableText"/>
            </w:pPr>
            <w:r>
              <w:rPr/>
              <w:t>Spherical roller bearings</w:t>
            </w:r>
          </w:p>
        </w:tc>
      </w:tr>
      <w:tr>
        <w:trPr>
          <w:cantSplit/>
        </w:trPr>
        <w:tc>
          <w:tcPr>
            <w:tcW w:type="dxa" w:w="4680"/>
            <w:shd w:fill="F5F7F8" w:val="clear" w:color="auto"/>
            <w:tcMar>
              <w:top w:w="70" w:type="dxa"/>
              <w:start w:w="110" w:type="dxa"/>
              <w:bottom w:w="70" w:type="dxa"/>
              <w:end w:w="110" w:type="dxa"/>
            </w:tcMar>
          </w:tcPr>
          <w:p>
            <w:pPr>
              <w:pStyle w:val="TableText"/>
            </w:pPr>
            <w:r>
              <w:rPr/>
              <w:t>8482.40</w:t>
            </w:r>
          </w:p>
        </w:tc>
        <w:tc>
          <w:tcPr>
            <w:tcW w:type="dxa" w:w="4680"/>
            <w:shd w:fill="F5F7F8" w:val="clear" w:color="auto"/>
            <w:tcMar>
              <w:top w:w="70" w:type="dxa"/>
              <w:start w:w="110" w:type="dxa"/>
              <w:bottom w:w="70" w:type="dxa"/>
              <w:end w:w="110" w:type="dxa"/>
            </w:tcMar>
          </w:tcPr>
          <w:p>
            <w:pPr>
              <w:pStyle w:val="TableText"/>
            </w:pPr>
            <w:r>
              <w:rPr/>
              <w:t>Needle roller bearings</w:t>
            </w:r>
          </w:p>
        </w:tc>
      </w:tr>
      <w:tr>
        <w:trPr>
          <w:cantSplit/>
        </w:trPr>
        <w:tc>
          <w:tcPr>
            <w:tcW w:type="dxa" w:w="4680"/>
            <w:tcMar>
              <w:top w:w="70" w:type="dxa"/>
              <w:start w:w="110" w:type="dxa"/>
              <w:bottom w:w="70" w:type="dxa"/>
              <w:end w:w="110" w:type="dxa"/>
            </w:tcMar>
          </w:tcPr>
          <w:p>
            <w:pPr>
              <w:pStyle w:val="TableText"/>
            </w:pPr>
            <w:r>
              <w:rPr/>
              <w:t>8482.50</w:t>
            </w:r>
          </w:p>
        </w:tc>
        <w:tc>
          <w:tcPr>
            <w:tcW w:type="dxa" w:w="4680"/>
            <w:tcMar>
              <w:top w:w="70" w:type="dxa"/>
              <w:start w:w="110" w:type="dxa"/>
              <w:bottom w:w="70" w:type="dxa"/>
              <w:end w:w="110" w:type="dxa"/>
            </w:tcMar>
          </w:tcPr>
          <w:p>
            <w:pPr>
              <w:pStyle w:val="TableText"/>
            </w:pPr>
            <w:r>
              <w:rPr/>
              <w:t>Other cylindrical roller bearings</w:t>
            </w:r>
          </w:p>
        </w:tc>
      </w:tr>
      <w:tr>
        <w:trPr>
          <w:cantSplit/>
        </w:trPr>
        <w:tc>
          <w:tcPr>
            <w:tcW w:type="dxa" w:w="4680"/>
            <w:shd w:fill="F5F7F8" w:val="clear" w:color="auto"/>
            <w:tcMar>
              <w:top w:w="70" w:type="dxa"/>
              <w:start w:w="110" w:type="dxa"/>
              <w:bottom w:w="70" w:type="dxa"/>
              <w:end w:w="110" w:type="dxa"/>
            </w:tcMar>
          </w:tcPr>
          <w:p>
            <w:pPr>
              <w:pStyle w:val="TableText"/>
            </w:pPr>
            <w:r>
              <w:rPr/>
              <w:t>8482.80</w:t>
            </w:r>
          </w:p>
        </w:tc>
        <w:tc>
          <w:tcPr>
            <w:tcW w:type="dxa" w:w="4680"/>
            <w:shd w:fill="F5F7F8" w:val="clear" w:color="auto"/>
            <w:tcMar>
              <w:top w:w="70" w:type="dxa"/>
              <w:start w:w="110" w:type="dxa"/>
              <w:bottom w:w="70" w:type="dxa"/>
              <w:end w:w="110" w:type="dxa"/>
            </w:tcMar>
          </w:tcPr>
          <w:p>
            <w:pPr>
              <w:pStyle w:val="TableText"/>
            </w:pPr>
            <w:r>
              <w:rPr/>
              <w:t>Other ball or roller bearings, including combined ball/roller bearings</w:t>
            </w:r>
          </w:p>
        </w:tc>
      </w:tr>
      <w:tr>
        <w:trPr>
          <w:cantSplit/>
        </w:trPr>
        <w:tc>
          <w:tcPr>
            <w:tcW w:type="dxa" w:w="4680"/>
            <w:tcMar>
              <w:top w:w="70" w:type="dxa"/>
              <w:start w:w="110" w:type="dxa"/>
              <w:bottom w:w="70" w:type="dxa"/>
              <w:end w:w="110" w:type="dxa"/>
            </w:tcMar>
          </w:tcPr>
          <w:p>
            <w:pPr>
              <w:pStyle w:val="TableText"/>
            </w:pPr>
            <w:r>
              <w:rPr/>
              <w:t>8483.10</w:t>
            </w:r>
          </w:p>
        </w:tc>
        <w:tc>
          <w:tcPr>
            <w:tcW w:type="dxa" w:w="4680"/>
            <w:tcMar>
              <w:top w:w="70" w:type="dxa"/>
              <w:start w:w="110" w:type="dxa"/>
              <w:bottom w:w="70" w:type="dxa"/>
              <w:end w:w="110" w:type="dxa"/>
            </w:tcMar>
          </w:tcPr>
          <w:p>
            <w:pPr>
              <w:pStyle w:val="TableText"/>
            </w:pPr>
            <w:r>
              <w:rPr/>
              <w:t>Transmission shafts (including cam shafts and crank shafts) and cranks</w:t>
            </w:r>
          </w:p>
        </w:tc>
      </w:tr>
      <w:tr>
        <w:trPr>
          <w:cantSplit/>
        </w:trPr>
        <w:tc>
          <w:tcPr>
            <w:tcW w:type="dxa" w:w="4680"/>
            <w:shd w:fill="F5F7F8" w:val="clear" w:color="auto"/>
            <w:tcMar>
              <w:top w:w="70" w:type="dxa"/>
              <w:start w:w="110" w:type="dxa"/>
              <w:bottom w:w="70" w:type="dxa"/>
              <w:end w:w="110" w:type="dxa"/>
            </w:tcMar>
          </w:tcPr>
          <w:p>
            <w:pPr>
              <w:pStyle w:val="TableText"/>
            </w:pPr>
            <w:r>
              <w:rPr/>
              <w:t>8483.20</w:t>
            </w:r>
          </w:p>
        </w:tc>
        <w:tc>
          <w:tcPr>
            <w:tcW w:type="dxa" w:w="4680"/>
            <w:shd w:fill="F5F7F8" w:val="clear" w:color="auto"/>
            <w:tcMar>
              <w:top w:w="70" w:type="dxa"/>
              <w:start w:w="110" w:type="dxa"/>
              <w:bottom w:w="70" w:type="dxa"/>
              <w:end w:w="110" w:type="dxa"/>
            </w:tcMar>
          </w:tcPr>
          <w:p>
            <w:pPr>
              <w:pStyle w:val="TableText"/>
            </w:pPr>
            <w:r>
              <w:rPr/>
              <w:t>Bearing housings, incorporating ball or roller bearings</w:t>
            </w:r>
          </w:p>
        </w:tc>
      </w:tr>
      <w:tr>
        <w:trPr>
          <w:cantSplit/>
        </w:trPr>
        <w:tc>
          <w:tcPr>
            <w:tcW w:type="dxa" w:w="4680"/>
            <w:tcMar>
              <w:top w:w="70" w:type="dxa"/>
              <w:start w:w="110" w:type="dxa"/>
              <w:bottom w:w="70" w:type="dxa"/>
              <w:end w:w="110" w:type="dxa"/>
            </w:tcMar>
          </w:tcPr>
          <w:p>
            <w:pPr>
              <w:pStyle w:val="TableText"/>
            </w:pPr>
            <w:r>
              <w:rPr/>
              <w:t>8483.30</w:t>
            </w:r>
          </w:p>
        </w:tc>
        <w:tc>
          <w:tcPr>
            <w:tcW w:type="dxa" w:w="4680"/>
            <w:tcMar>
              <w:top w:w="70" w:type="dxa"/>
              <w:start w:w="110" w:type="dxa"/>
              <w:bottom w:w="70" w:type="dxa"/>
              <w:end w:w="110" w:type="dxa"/>
            </w:tcMar>
          </w:tcPr>
          <w:p>
            <w:pPr>
              <w:pStyle w:val="TableText"/>
            </w:pPr>
            <w:r>
              <w:rPr/>
              <w:t>Bearing housings, not incorporating ball or roller bearings; plain shaft bearings</w:t>
            </w:r>
          </w:p>
        </w:tc>
      </w:tr>
      <w:tr>
        <w:trPr>
          <w:cantSplit/>
        </w:trPr>
        <w:tc>
          <w:tcPr>
            <w:tcW w:type="dxa" w:w="4680"/>
            <w:shd w:fill="F5F7F8" w:val="clear" w:color="auto"/>
            <w:tcMar>
              <w:top w:w="70" w:type="dxa"/>
              <w:start w:w="110" w:type="dxa"/>
              <w:bottom w:w="70" w:type="dxa"/>
              <w:end w:w="110" w:type="dxa"/>
            </w:tcMar>
          </w:tcPr>
          <w:p>
            <w:pPr>
              <w:pStyle w:val="TableText"/>
            </w:pPr>
            <w:r>
              <w:rPr/>
              <w:t>8483.40</w:t>
            </w:r>
          </w:p>
        </w:tc>
        <w:tc>
          <w:tcPr>
            <w:tcW w:type="dxa" w:w="4680"/>
            <w:shd w:fill="F5F7F8" w:val="clear" w:color="auto"/>
            <w:tcMar>
              <w:top w:w="70" w:type="dxa"/>
              <w:start w:w="110" w:type="dxa"/>
              <w:bottom w:w="70" w:type="dxa"/>
              <w:end w:w="110" w:type="dxa"/>
            </w:tcMar>
          </w:tcPr>
          <w:p>
            <w:pPr>
              <w:pStyle w:val="TableText"/>
            </w:pPr>
            <w:r>
              <w:rPr/>
              <w:t>Gears and gearing, other than toothed wheels, chain sprockets and other transmission elements presented separately; ball or roller screws; gear boxes and other speed changers, including torque converters</w:t>
            </w:r>
          </w:p>
        </w:tc>
      </w:tr>
      <w:tr>
        <w:trPr>
          <w:cantSplit/>
        </w:trPr>
        <w:tc>
          <w:tcPr>
            <w:tcW w:type="dxa" w:w="4680"/>
            <w:tcMar>
              <w:top w:w="70" w:type="dxa"/>
              <w:start w:w="110" w:type="dxa"/>
              <w:bottom w:w="70" w:type="dxa"/>
              <w:end w:w="110" w:type="dxa"/>
            </w:tcMar>
          </w:tcPr>
          <w:p>
            <w:pPr>
              <w:pStyle w:val="TableText"/>
            </w:pPr>
            <w:r>
              <w:rPr/>
              <w:t>8483.50</w:t>
            </w:r>
          </w:p>
        </w:tc>
        <w:tc>
          <w:tcPr>
            <w:tcW w:type="dxa" w:w="4680"/>
            <w:tcMar>
              <w:top w:w="70" w:type="dxa"/>
              <w:start w:w="110" w:type="dxa"/>
              <w:bottom w:w="70" w:type="dxa"/>
              <w:end w:w="110" w:type="dxa"/>
            </w:tcMar>
          </w:tcPr>
          <w:p>
            <w:pPr>
              <w:pStyle w:val="TableText"/>
            </w:pPr>
            <w:r>
              <w:rPr/>
              <w:t>Flywheels and pulleys, including pulley blocks</w:t>
            </w:r>
          </w:p>
        </w:tc>
      </w:tr>
      <w:tr>
        <w:trPr>
          <w:cantSplit/>
        </w:trPr>
        <w:tc>
          <w:tcPr>
            <w:tcW w:type="dxa" w:w="4680"/>
            <w:shd w:fill="F5F7F8" w:val="clear" w:color="auto"/>
            <w:tcMar>
              <w:top w:w="70" w:type="dxa"/>
              <w:start w:w="110" w:type="dxa"/>
              <w:bottom w:w="70" w:type="dxa"/>
              <w:end w:w="110" w:type="dxa"/>
            </w:tcMar>
          </w:tcPr>
          <w:p>
            <w:pPr>
              <w:pStyle w:val="TableText"/>
            </w:pPr>
            <w:r>
              <w:rPr/>
              <w:t>8483.60</w:t>
            </w:r>
          </w:p>
        </w:tc>
        <w:tc>
          <w:tcPr>
            <w:tcW w:type="dxa" w:w="4680"/>
            <w:shd w:fill="F5F7F8" w:val="clear" w:color="auto"/>
            <w:tcMar>
              <w:top w:w="70" w:type="dxa"/>
              <w:start w:w="110" w:type="dxa"/>
              <w:bottom w:w="70" w:type="dxa"/>
              <w:end w:w="110" w:type="dxa"/>
            </w:tcMar>
          </w:tcPr>
          <w:p>
            <w:pPr>
              <w:pStyle w:val="TableText"/>
            </w:pPr>
            <w:r>
              <w:rPr/>
              <w:t>Clutches and shaft couplings (including universal joints)</w:t>
            </w:r>
          </w:p>
        </w:tc>
      </w:tr>
      <w:tr>
        <w:trPr>
          <w:cantSplit/>
        </w:trPr>
        <w:tc>
          <w:tcPr>
            <w:tcW w:type="dxa" w:w="4680"/>
            <w:tcMar>
              <w:top w:w="70" w:type="dxa"/>
              <w:start w:w="110" w:type="dxa"/>
              <w:bottom w:w="70" w:type="dxa"/>
              <w:end w:w="110" w:type="dxa"/>
            </w:tcMar>
          </w:tcPr>
          <w:p>
            <w:pPr>
              <w:pStyle w:val="TableText"/>
            </w:pPr>
            <w:r>
              <w:rPr/>
              <w:t>8501.32</w:t>
            </w:r>
          </w:p>
        </w:tc>
        <w:tc>
          <w:tcPr>
            <w:tcW w:type="dxa" w:w="4680"/>
            <w:tcMar>
              <w:top w:w="70" w:type="dxa"/>
              <w:start w:w="110" w:type="dxa"/>
              <w:bottom w:w="70" w:type="dxa"/>
              <w:end w:w="110" w:type="dxa"/>
            </w:tcMar>
          </w:tcPr>
          <w:p>
            <w:pPr>
              <w:pStyle w:val="TableText"/>
            </w:pPr>
            <w:r>
              <w:rPr/>
              <w:t>Other DC motors and generators of an output exceeding 750W but not exceeding 75 kW</w:t>
            </w:r>
          </w:p>
        </w:tc>
      </w:tr>
      <w:tr>
        <w:trPr>
          <w:cantSplit/>
        </w:trPr>
        <w:tc>
          <w:tcPr>
            <w:tcW w:type="dxa" w:w="4680"/>
            <w:shd w:fill="F5F7F8" w:val="clear" w:color="auto"/>
            <w:tcMar>
              <w:top w:w="70" w:type="dxa"/>
              <w:start w:w="110" w:type="dxa"/>
              <w:bottom w:w="70" w:type="dxa"/>
              <w:end w:w="110" w:type="dxa"/>
            </w:tcMar>
          </w:tcPr>
          <w:p>
            <w:pPr>
              <w:pStyle w:val="TableText"/>
            </w:pPr>
            <w:r>
              <w:rPr/>
              <w:t>8501.33</w:t>
            </w:r>
          </w:p>
        </w:tc>
        <w:tc>
          <w:tcPr>
            <w:tcW w:type="dxa" w:w="4680"/>
            <w:shd w:fill="F5F7F8" w:val="clear" w:color="auto"/>
            <w:tcMar>
              <w:top w:w="70" w:type="dxa"/>
              <w:start w:w="110" w:type="dxa"/>
              <w:bottom w:w="70" w:type="dxa"/>
              <w:end w:w="110" w:type="dxa"/>
            </w:tcMar>
          </w:tcPr>
          <w:p>
            <w:pPr>
              <w:pStyle w:val="TableText"/>
            </w:pPr>
            <w:r>
              <w:rPr/>
              <w:t>Other DC motors and generators of an output exceeding 75 kW but not exceeding 375 kW</w:t>
            </w:r>
          </w:p>
        </w:tc>
      </w:tr>
      <w:tr>
        <w:trPr>
          <w:cantSplit/>
        </w:trPr>
        <w:tc>
          <w:tcPr>
            <w:tcW w:type="dxa" w:w="4680"/>
            <w:tcMar>
              <w:top w:w="70" w:type="dxa"/>
              <w:start w:w="110" w:type="dxa"/>
              <w:bottom w:w="70" w:type="dxa"/>
              <w:end w:w="110" w:type="dxa"/>
            </w:tcMar>
          </w:tcPr>
          <w:p>
            <w:pPr>
              <w:pStyle w:val="TableText"/>
            </w:pPr>
            <w:r>
              <w:rPr/>
              <w:t>8505.20</w:t>
            </w:r>
          </w:p>
        </w:tc>
        <w:tc>
          <w:tcPr>
            <w:tcW w:type="dxa" w:w="4680"/>
            <w:tcMar>
              <w:top w:w="70" w:type="dxa"/>
              <w:start w:w="110" w:type="dxa"/>
              <w:bottom w:w="70" w:type="dxa"/>
              <w:end w:w="110" w:type="dxa"/>
            </w:tcMar>
          </w:tcPr>
          <w:p>
            <w:pPr>
              <w:pStyle w:val="TableText"/>
            </w:pPr>
            <w:r>
              <w:rPr/>
              <w:t>Electro-magnetic couplings, clutches and brakes</w:t>
            </w:r>
          </w:p>
        </w:tc>
      </w:tr>
      <w:tr>
        <w:trPr>
          <w:cantSplit/>
        </w:trPr>
        <w:tc>
          <w:tcPr>
            <w:tcW w:type="dxa" w:w="4680"/>
            <w:shd w:fill="F5F7F8" w:val="clear" w:color="auto"/>
            <w:tcMar>
              <w:top w:w="70" w:type="dxa"/>
              <w:start w:w="110" w:type="dxa"/>
              <w:bottom w:w="70" w:type="dxa"/>
              <w:end w:w="110" w:type="dxa"/>
            </w:tcMar>
          </w:tcPr>
          <w:p>
            <w:pPr>
              <w:pStyle w:val="TableText"/>
            </w:pPr>
            <w:r>
              <w:rPr/>
              <w:t>8505.90</w:t>
            </w:r>
          </w:p>
        </w:tc>
        <w:tc>
          <w:tcPr>
            <w:tcW w:type="dxa" w:w="4680"/>
            <w:shd w:fill="F5F7F8" w:val="clear" w:color="auto"/>
            <w:tcMar>
              <w:top w:w="70" w:type="dxa"/>
              <w:start w:w="110" w:type="dxa"/>
              <w:bottom w:w="70" w:type="dxa"/>
              <w:end w:w="110" w:type="dxa"/>
            </w:tcMar>
          </w:tcPr>
          <w:p>
            <w:pPr>
              <w:pStyle w:val="TableText"/>
            </w:pPr>
            <w:r>
              <w:rPr/>
              <w:t>Other electro-magnets; electro-magnetic or permanent magnet chucks, clamps and similar holding devices; electro-magnetic lifting heads; including parts</w:t>
            </w:r>
          </w:p>
        </w:tc>
      </w:tr>
      <w:tr>
        <w:trPr>
          <w:cantSplit/>
        </w:trPr>
        <w:tc>
          <w:tcPr>
            <w:tcW w:type="dxa" w:w="4680"/>
            <w:tcMar>
              <w:top w:w="70" w:type="dxa"/>
              <w:start w:w="110" w:type="dxa"/>
              <w:bottom w:w="70" w:type="dxa"/>
              <w:end w:w="110" w:type="dxa"/>
            </w:tcMar>
          </w:tcPr>
          <w:p>
            <w:pPr>
              <w:pStyle w:val="TableText"/>
            </w:pPr>
            <w:r>
              <w:rPr/>
              <w:t>8511.40</w:t>
            </w:r>
          </w:p>
        </w:tc>
        <w:tc>
          <w:tcPr>
            <w:tcW w:type="dxa" w:w="4680"/>
            <w:tcMar>
              <w:top w:w="70" w:type="dxa"/>
              <w:start w:w="110" w:type="dxa"/>
              <w:bottom w:w="70" w:type="dxa"/>
              <w:end w:w="110" w:type="dxa"/>
            </w:tcMar>
          </w:tcPr>
          <w:p>
            <w:pPr>
              <w:pStyle w:val="TableText"/>
            </w:pPr>
            <w:r>
              <w:rPr/>
              <w:t>Starter motors and dual purpose starter-generators of a kind used for spark- ignition or compression-ignition internal combustion engines</w:t>
            </w:r>
          </w:p>
        </w:tc>
      </w:tr>
      <w:tr>
        <w:trPr>
          <w:cantSplit/>
        </w:trPr>
        <w:tc>
          <w:tcPr>
            <w:tcW w:type="dxa" w:w="4680"/>
            <w:shd w:fill="F5F7F8" w:val="clear" w:color="auto"/>
            <w:tcMar>
              <w:top w:w="70" w:type="dxa"/>
              <w:start w:w="110" w:type="dxa"/>
              <w:bottom w:w="70" w:type="dxa"/>
              <w:end w:w="110" w:type="dxa"/>
            </w:tcMar>
          </w:tcPr>
          <w:p>
            <w:pPr>
              <w:pStyle w:val="TableText"/>
            </w:pPr>
            <w:r>
              <w:rPr/>
              <w:t>8511.50</w:t>
            </w:r>
          </w:p>
        </w:tc>
        <w:tc>
          <w:tcPr>
            <w:tcW w:type="dxa" w:w="4680"/>
            <w:shd w:fill="F5F7F8" w:val="clear" w:color="auto"/>
            <w:tcMar>
              <w:top w:w="70" w:type="dxa"/>
              <w:start w:w="110" w:type="dxa"/>
              <w:bottom w:w="70" w:type="dxa"/>
              <w:end w:w="110" w:type="dxa"/>
            </w:tcMar>
          </w:tcPr>
          <w:p>
            <w:pPr>
              <w:pStyle w:val="TableText"/>
            </w:pPr>
            <w:r>
              <w:rPr/>
              <w:t>Other generators</w:t>
            </w:r>
          </w:p>
        </w:tc>
      </w:tr>
      <w:tr>
        <w:trPr>
          <w:cantSplit/>
        </w:trPr>
        <w:tc>
          <w:tcPr>
            <w:tcW w:type="dxa" w:w="4680"/>
            <w:tcMar>
              <w:top w:w="70" w:type="dxa"/>
              <w:start w:w="110" w:type="dxa"/>
              <w:bottom w:w="70" w:type="dxa"/>
              <w:end w:w="110" w:type="dxa"/>
            </w:tcMar>
          </w:tcPr>
          <w:p>
            <w:pPr>
              <w:pStyle w:val="TableText"/>
            </w:pPr>
            <w:r>
              <w:rPr/>
              <w:t>8511.80</w:t>
            </w:r>
          </w:p>
        </w:tc>
        <w:tc>
          <w:tcPr>
            <w:tcW w:type="dxa" w:w="4680"/>
            <w:tcMar>
              <w:top w:w="70" w:type="dxa"/>
              <w:start w:w="110" w:type="dxa"/>
              <w:bottom w:w="70" w:type="dxa"/>
              <w:end w:w="110" w:type="dxa"/>
            </w:tcMar>
          </w:tcPr>
          <w:p>
            <w:pPr>
              <w:pStyle w:val="TableText"/>
            </w:pPr>
            <w:r>
              <w:rPr/>
              <w:t>Other electrical ignition or starting equipment of a kind used for spark-ignition or compression-ignition internal combustion engines</w:t>
            </w:r>
          </w:p>
        </w:tc>
      </w:tr>
      <w:tr>
        <w:trPr>
          <w:cantSplit/>
        </w:trPr>
        <w:tc>
          <w:tcPr>
            <w:tcW w:type="dxa" w:w="4680"/>
            <w:shd w:fill="F5F7F8" w:val="clear" w:color="auto"/>
            <w:tcMar>
              <w:top w:w="70" w:type="dxa"/>
              <w:start w:w="110" w:type="dxa"/>
              <w:bottom w:w="70" w:type="dxa"/>
              <w:end w:w="110" w:type="dxa"/>
            </w:tcMar>
          </w:tcPr>
          <w:p>
            <w:pPr>
              <w:pStyle w:val="TableText"/>
            </w:pPr>
            <w:r>
              <w:rPr/>
              <w:t>Ex 8511.90</w:t>
            </w:r>
          </w:p>
        </w:tc>
        <w:tc>
          <w:tcPr>
            <w:tcW w:type="dxa" w:w="4680"/>
            <w:shd w:fill="F5F7F8" w:val="clear" w:color="auto"/>
            <w:tcMar>
              <w:top w:w="70" w:type="dxa"/>
              <w:start w:w="110" w:type="dxa"/>
              <w:bottom w:w="70" w:type="dxa"/>
              <w:end w:w="110" w:type="dxa"/>
            </w:tcMar>
          </w:tcPr>
          <w:p>
            <w:pPr>
              <w:pStyle w:val="TableText"/>
            </w:pPr>
            <w:r>
              <w:rPr/>
              <w:t>Parts of electrical ignition or starting equipment of a kind used for spark-ignition or compression-ignition internal combustion engines</w:t>
            </w:r>
          </w:p>
        </w:tc>
      </w:tr>
      <w:tr>
        <w:trPr>
          <w:cantSplit/>
        </w:trPr>
        <w:tc>
          <w:tcPr>
            <w:tcW w:type="dxa" w:w="4680"/>
            <w:tcMar>
              <w:top w:w="70" w:type="dxa"/>
              <w:start w:w="110" w:type="dxa"/>
              <w:bottom w:w="70" w:type="dxa"/>
              <w:end w:w="110" w:type="dxa"/>
            </w:tcMar>
          </w:tcPr>
          <w:p>
            <w:pPr>
              <w:pStyle w:val="TableText"/>
            </w:pPr>
            <w:r>
              <w:rPr/>
              <w:t>8537.10</w:t>
            </w:r>
          </w:p>
        </w:tc>
        <w:tc>
          <w:tcPr>
            <w:tcW w:type="dxa" w:w="4680"/>
            <w:tcMar>
              <w:top w:w="70" w:type="dxa"/>
              <w:start w:w="110" w:type="dxa"/>
              <w:bottom w:w="70" w:type="dxa"/>
              <w:end w:w="110" w:type="dxa"/>
            </w:tcMar>
          </w:tcPr>
          <w:p>
            <w:pPr>
              <w:pStyle w:val="TableText"/>
            </w:pPr>
            <w:r>
              <w:rPr/>
              <w:t>Electric controls for a voltage not exceeding 1,000 V</w:t>
            </w:r>
          </w:p>
        </w:tc>
      </w:tr>
      <w:tr>
        <w:trPr>
          <w:cantSplit/>
        </w:trPr>
        <w:tc>
          <w:tcPr>
            <w:tcW w:type="dxa" w:w="4680"/>
            <w:shd w:fill="F5F7F8" w:val="clear" w:color="auto"/>
            <w:tcMar>
              <w:top w:w="70" w:type="dxa"/>
              <w:start w:w="110" w:type="dxa"/>
              <w:bottom w:w="70" w:type="dxa"/>
              <w:end w:w="110" w:type="dxa"/>
            </w:tcMar>
          </w:tcPr>
          <w:p>
            <w:pPr>
              <w:pStyle w:val="TableText"/>
            </w:pPr>
            <w:r>
              <w:rPr/>
              <w:t>8708.10</w:t>
            </w:r>
          </w:p>
        </w:tc>
        <w:tc>
          <w:tcPr>
            <w:tcW w:type="dxa" w:w="4680"/>
            <w:shd w:fill="F5F7F8" w:val="clear" w:color="auto"/>
            <w:tcMar>
              <w:top w:w="70" w:type="dxa"/>
              <w:start w:w="110" w:type="dxa"/>
              <w:bottom w:w="70" w:type="dxa"/>
              <w:end w:w="110" w:type="dxa"/>
            </w:tcMar>
          </w:tcPr>
          <w:p>
            <w:pPr>
              <w:pStyle w:val="TableText"/>
            </w:pPr>
            <w:r>
              <w:rPr/>
              <w:t>Bumpers and parts thereof</w:t>
            </w:r>
          </w:p>
        </w:tc>
      </w:tr>
      <w:tr>
        <w:trPr>
          <w:cantSplit/>
        </w:trPr>
        <w:tc>
          <w:tcPr>
            <w:tcW w:type="dxa" w:w="4680"/>
            <w:tcMar>
              <w:top w:w="70" w:type="dxa"/>
              <w:start w:w="110" w:type="dxa"/>
              <w:bottom w:w="70" w:type="dxa"/>
              <w:end w:w="110" w:type="dxa"/>
            </w:tcMar>
          </w:tcPr>
          <w:p>
            <w:pPr>
              <w:pStyle w:val="TableText"/>
            </w:pPr>
            <w:r>
              <w:rPr/>
              <w:t>8708.21</w:t>
            </w:r>
          </w:p>
        </w:tc>
        <w:tc>
          <w:tcPr>
            <w:tcW w:type="dxa" w:w="4680"/>
            <w:tcMar>
              <w:top w:w="70" w:type="dxa"/>
              <w:start w:w="110" w:type="dxa"/>
              <w:bottom w:w="70" w:type="dxa"/>
              <w:end w:w="110" w:type="dxa"/>
            </w:tcMar>
          </w:tcPr>
          <w:p>
            <w:pPr>
              <w:pStyle w:val="TableText"/>
            </w:pPr>
            <w:r>
              <w:rPr/>
              <w:t>Safety seat belts</w:t>
            </w:r>
          </w:p>
        </w:tc>
      </w:tr>
      <w:tr>
        <w:trPr>
          <w:cantSplit/>
        </w:trPr>
        <w:tc>
          <w:tcPr>
            <w:tcW w:type="dxa" w:w="4680"/>
            <w:shd w:fill="F5F7F8" w:val="clear" w:color="auto"/>
            <w:tcMar>
              <w:top w:w="70" w:type="dxa"/>
              <w:start w:w="110" w:type="dxa"/>
              <w:bottom w:w="70" w:type="dxa"/>
              <w:end w:w="110" w:type="dxa"/>
            </w:tcMar>
          </w:tcPr>
          <w:p>
            <w:pPr>
              <w:pStyle w:val="TableText"/>
            </w:pPr>
            <w:r>
              <w:rPr/>
              <w:t>Ex 8708.29</w:t>
            </w:r>
          </w:p>
        </w:tc>
        <w:tc>
          <w:tcPr>
            <w:tcW w:type="dxa" w:w="4680"/>
            <w:shd w:fill="F5F7F8" w:val="clear" w:color="auto"/>
            <w:tcMar>
              <w:top w:w="70" w:type="dxa"/>
              <w:start w:w="110" w:type="dxa"/>
              <w:bottom w:w="70" w:type="dxa"/>
              <w:end w:w="110" w:type="dxa"/>
            </w:tcMar>
          </w:tcPr>
          <w:p>
            <w:pPr>
              <w:pStyle w:val="TableText"/>
            </w:pPr>
            <w:r>
              <w:rPr/>
              <w:t>Other parts and accessories of bodies (including cabs) of motor vehicles (excluding body stampings)</w:t>
            </w:r>
          </w:p>
        </w:tc>
      </w:tr>
      <w:tr>
        <w:trPr>
          <w:cantSplit/>
        </w:trPr>
        <w:tc>
          <w:tcPr>
            <w:tcW w:type="dxa" w:w="4680"/>
            <w:tcMar>
              <w:top w:w="70" w:type="dxa"/>
              <w:start w:w="110" w:type="dxa"/>
              <w:bottom w:w="70" w:type="dxa"/>
              <w:end w:w="110" w:type="dxa"/>
            </w:tcMar>
          </w:tcPr>
          <w:p>
            <w:pPr>
              <w:pStyle w:val="TableText"/>
            </w:pPr>
            <w:r>
              <w:rPr/>
              <w:t>8708.30</w:t>
            </w:r>
          </w:p>
        </w:tc>
        <w:tc>
          <w:tcPr>
            <w:tcW w:type="dxa" w:w="4680"/>
            <w:tcMar>
              <w:top w:w="70" w:type="dxa"/>
              <w:start w:w="110" w:type="dxa"/>
              <w:bottom w:w="70" w:type="dxa"/>
              <w:end w:w="110" w:type="dxa"/>
            </w:tcMar>
          </w:tcPr>
          <w:p>
            <w:pPr>
              <w:pStyle w:val="TableText"/>
            </w:pPr>
            <w:r>
              <w:rPr/>
              <w:t>Brakes and servo-brakes; parts thereof</w:t>
            </w:r>
          </w:p>
        </w:tc>
      </w:tr>
      <w:tr>
        <w:trPr>
          <w:cantSplit/>
        </w:trPr>
        <w:tc>
          <w:tcPr>
            <w:tcW w:type="dxa" w:w="4680"/>
            <w:shd w:fill="F5F7F8" w:val="clear" w:color="auto"/>
            <w:tcMar>
              <w:top w:w="70" w:type="dxa"/>
              <w:start w:w="110" w:type="dxa"/>
              <w:bottom w:w="70" w:type="dxa"/>
              <w:end w:w="110" w:type="dxa"/>
            </w:tcMar>
          </w:tcPr>
          <w:p>
            <w:pPr>
              <w:pStyle w:val="TableText"/>
            </w:pPr>
            <w:r>
              <w:rPr/>
              <w:t>8708.70</w:t>
            </w:r>
          </w:p>
        </w:tc>
        <w:tc>
          <w:tcPr>
            <w:tcW w:type="dxa" w:w="4680"/>
            <w:shd w:fill="F5F7F8" w:val="clear" w:color="auto"/>
            <w:tcMar>
              <w:top w:w="70" w:type="dxa"/>
              <w:start w:w="110" w:type="dxa"/>
              <w:bottom w:w="70" w:type="dxa"/>
              <w:end w:w="110" w:type="dxa"/>
            </w:tcMar>
          </w:tcPr>
          <w:p>
            <w:pPr>
              <w:pStyle w:val="TableText"/>
            </w:pPr>
            <w:r>
              <w:rPr/>
              <w:t>Road wheels and parts and accessories thereof</w:t>
            </w:r>
          </w:p>
        </w:tc>
      </w:tr>
      <w:tr>
        <w:trPr>
          <w:cantSplit/>
        </w:trPr>
        <w:tc>
          <w:tcPr>
            <w:tcW w:type="dxa" w:w="4680"/>
            <w:tcMar>
              <w:top w:w="70" w:type="dxa"/>
              <w:start w:w="110" w:type="dxa"/>
              <w:bottom w:w="70" w:type="dxa"/>
              <w:end w:w="110" w:type="dxa"/>
            </w:tcMar>
          </w:tcPr>
          <w:p>
            <w:pPr>
              <w:pStyle w:val="TableText"/>
            </w:pPr>
            <w:r>
              <w:rPr/>
              <w:t>8708.91</w:t>
            </w:r>
          </w:p>
        </w:tc>
        <w:tc>
          <w:tcPr>
            <w:tcW w:type="dxa" w:w="4680"/>
            <w:tcMar>
              <w:top w:w="70" w:type="dxa"/>
              <w:start w:w="110" w:type="dxa"/>
              <w:bottom w:w="70" w:type="dxa"/>
              <w:end w:w="110" w:type="dxa"/>
            </w:tcMar>
          </w:tcPr>
          <w:p>
            <w:pPr>
              <w:pStyle w:val="TableText"/>
            </w:pPr>
            <w:r>
              <w:rPr/>
              <w:t>Radiators and parts thereof</w:t>
            </w:r>
          </w:p>
        </w:tc>
      </w:tr>
      <w:tr>
        <w:trPr>
          <w:cantSplit/>
        </w:trPr>
        <w:tc>
          <w:tcPr>
            <w:tcW w:type="dxa" w:w="4680"/>
            <w:shd w:fill="F5F7F8" w:val="clear" w:color="auto"/>
            <w:tcMar>
              <w:top w:w="70" w:type="dxa"/>
              <w:start w:w="110" w:type="dxa"/>
              <w:bottom w:w="70" w:type="dxa"/>
              <w:end w:w="110" w:type="dxa"/>
            </w:tcMar>
          </w:tcPr>
          <w:p>
            <w:pPr>
              <w:pStyle w:val="TableText"/>
            </w:pPr>
            <w:r>
              <w:rPr/>
              <w:t>8708.92</w:t>
            </w:r>
          </w:p>
        </w:tc>
        <w:tc>
          <w:tcPr>
            <w:tcW w:type="dxa" w:w="4680"/>
            <w:shd w:fill="F5F7F8" w:val="clear" w:color="auto"/>
            <w:tcMar>
              <w:top w:w="70" w:type="dxa"/>
              <w:start w:w="110" w:type="dxa"/>
              <w:bottom w:w="70" w:type="dxa"/>
              <w:end w:w="110" w:type="dxa"/>
            </w:tcMar>
          </w:tcPr>
          <w:p>
            <w:pPr>
              <w:pStyle w:val="TableText"/>
            </w:pPr>
            <w:r>
              <w:rPr/>
              <w:t>Silencers (mufflers) and exhaust pipes; parts thereof</w:t>
            </w:r>
          </w:p>
        </w:tc>
      </w:tr>
      <w:tr>
        <w:trPr>
          <w:cantSplit/>
        </w:trPr>
        <w:tc>
          <w:tcPr>
            <w:tcW w:type="dxa" w:w="4680"/>
            <w:tcMar>
              <w:top w:w="70" w:type="dxa"/>
              <w:start w:w="110" w:type="dxa"/>
              <w:bottom w:w="70" w:type="dxa"/>
              <w:end w:w="110" w:type="dxa"/>
            </w:tcMar>
          </w:tcPr>
          <w:p>
            <w:pPr>
              <w:pStyle w:val="TableText"/>
            </w:pPr>
            <w:r>
              <w:rPr/>
              <w:t>8708.93</w:t>
            </w:r>
          </w:p>
        </w:tc>
        <w:tc>
          <w:tcPr>
            <w:tcW w:type="dxa" w:w="4680"/>
            <w:tcMar>
              <w:top w:w="70" w:type="dxa"/>
              <w:start w:w="110" w:type="dxa"/>
              <w:bottom w:w="70" w:type="dxa"/>
              <w:end w:w="110" w:type="dxa"/>
            </w:tcMar>
          </w:tcPr>
          <w:p>
            <w:pPr>
              <w:pStyle w:val="TableText"/>
            </w:pPr>
            <w:r>
              <w:rPr/>
              <w:t>Clutches and parts thereof</w:t>
            </w:r>
          </w:p>
        </w:tc>
      </w:tr>
      <w:tr>
        <w:trPr>
          <w:cantSplit/>
        </w:trPr>
        <w:tc>
          <w:tcPr>
            <w:tcW w:type="dxa" w:w="4680"/>
            <w:shd w:fill="F5F7F8" w:val="clear" w:color="auto"/>
            <w:tcMar>
              <w:top w:w="70" w:type="dxa"/>
              <w:start w:w="110" w:type="dxa"/>
              <w:bottom w:w="70" w:type="dxa"/>
              <w:end w:w="110" w:type="dxa"/>
            </w:tcMar>
          </w:tcPr>
          <w:p>
            <w:pPr>
              <w:pStyle w:val="TableText"/>
            </w:pPr>
            <w:r>
              <w:rPr/>
              <w:t>8708.95</w:t>
            </w:r>
          </w:p>
        </w:tc>
        <w:tc>
          <w:tcPr>
            <w:tcW w:type="dxa" w:w="4680"/>
            <w:shd w:fill="F5F7F8" w:val="clear" w:color="auto"/>
            <w:tcMar>
              <w:top w:w="70" w:type="dxa"/>
              <w:start w:w="110" w:type="dxa"/>
              <w:bottom w:w="70" w:type="dxa"/>
              <w:end w:w="110" w:type="dxa"/>
            </w:tcMar>
          </w:tcPr>
          <w:p>
            <w:pPr>
              <w:pStyle w:val="TableText"/>
            </w:pPr>
            <w:r>
              <w:rPr/>
              <w:t>Safety airbags with inflator system</w:t>
            </w:r>
          </w:p>
        </w:tc>
      </w:tr>
    </w:tbl>
    <w:p>
      <w:pPr>
        <w:pStyle w:val="Normal"/>
      </w:pPr>
      <w:r>
        <w:rPr>
          <w:b w:val="0"/>
        </w:rPr>
        <w:t>parts thereof Ex 8708.99 Other parts and accessories of motor vehicles of headings 87.01 to 87.05 (excluding chassis frames) 9401.20 Seats of a kind used for motor vehicles 4-B-1-38</w:t>
      </w:r>
    </w:p>
    <w:p>
      <w:pPr>
        <w:pStyle w:val="Normal"/>
      </w:pPr>
      <w:r>
        <w:rPr>
          <w:b/>
        </w:rPr>
        <w:t>TABLE C: COMPLEMENTARY PARTS FOR PASSENGER VEHICLES AND LIGHT TRUCKS</w:t>
      </w:r>
    </w:p>
    <w:p>
      <w:pPr>
        <w:pStyle w:val="Normal"/>
      </w:pPr>
      <w:r>
        <w:rPr>
          <w:b w:val="0"/>
        </w:rPr>
        <w:t>Note: The Regional Value Content requirements set out in Article 3 of this Appendix apply to a good for use in a passenger vehicle or light truck.</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HS Provision</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4009.12</w:t>
            </w:r>
          </w:p>
        </w:tc>
        <w:tc>
          <w:tcPr>
            <w:tcW w:type="dxa" w:w="4680"/>
            <w:tcMar>
              <w:top w:w="70" w:type="dxa"/>
              <w:start w:w="110" w:type="dxa"/>
              <w:bottom w:w="70" w:type="dxa"/>
              <w:end w:w="110" w:type="dxa"/>
            </w:tcMar>
          </w:tcPr>
          <w:p>
            <w:pPr>
              <w:pStyle w:val="TableText"/>
            </w:pPr>
            <w:r>
              <w:rPr/>
              <w:t>Tubes, pipes and hoses of vulcanised rubber other than hard rubber, not reinforced or otherwise combined with other materials, with fittings</w:t>
            </w:r>
          </w:p>
        </w:tc>
      </w:tr>
      <w:tr>
        <w:trPr>
          <w:cantSplit/>
        </w:trPr>
        <w:tc>
          <w:tcPr>
            <w:tcW w:type="dxa" w:w="4680"/>
            <w:shd w:fill="F5F7F8" w:val="clear" w:color="auto"/>
            <w:tcMar>
              <w:top w:w="70" w:type="dxa"/>
              <w:start w:w="110" w:type="dxa"/>
              <w:bottom w:w="70" w:type="dxa"/>
              <w:end w:w="110" w:type="dxa"/>
            </w:tcMar>
          </w:tcPr>
          <w:p>
            <w:pPr>
              <w:pStyle w:val="TableText"/>
            </w:pPr>
            <w:r>
              <w:rPr/>
              <w:t>4009.22</w:t>
            </w:r>
          </w:p>
        </w:tc>
        <w:tc>
          <w:tcPr>
            <w:tcW w:type="dxa" w:w="4680"/>
            <w:shd w:fill="F5F7F8" w:val="clear" w:color="auto"/>
            <w:tcMar>
              <w:top w:w="70" w:type="dxa"/>
              <w:start w:w="110" w:type="dxa"/>
              <w:bottom w:w="70" w:type="dxa"/>
              <w:end w:w="110" w:type="dxa"/>
            </w:tcMar>
          </w:tcPr>
          <w:p>
            <w:pPr>
              <w:pStyle w:val="TableText"/>
            </w:pPr>
            <w:r>
              <w:rPr/>
              <w:t>Tubes, pipes and hoses of vulcanised rubber other than hard rubber, reinforced or otherwise combined only with metal, with fittings</w:t>
            </w:r>
          </w:p>
        </w:tc>
      </w:tr>
      <w:tr>
        <w:trPr>
          <w:cantSplit/>
        </w:trPr>
        <w:tc>
          <w:tcPr>
            <w:tcW w:type="dxa" w:w="4680"/>
            <w:tcMar>
              <w:top w:w="70" w:type="dxa"/>
              <w:start w:w="110" w:type="dxa"/>
              <w:bottom w:w="70" w:type="dxa"/>
              <w:end w:w="110" w:type="dxa"/>
            </w:tcMar>
          </w:tcPr>
          <w:p>
            <w:pPr>
              <w:pStyle w:val="TableText"/>
            </w:pPr>
            <w:r>
              <w:rPr/>
              <w:t>4009.32</w:t>
            </w:r>
          </w:p>
        </w:tc>
        <w:tc>
          <w:tcPr>
            <w:tcW w:type="dxa" w:w="4680"/>
            <w:tcMar>
              <w:top w:w="70" w:type="dxa"/>
              <w:start w:w="110" w:type="dxa"/>
              <w:bottom w:w="70" w:type="dxa"/>
              <w:end w:w="110" w:type="dxa"/>
            </w:tcMar>
          </w:tcPr>
          <w:p>
            <w:pPr>
              <w:pStyle w:val="TableText"/>
            </w:pPr>
            <w:r>
              <w:rPr/>
              <w:t>Tubes, pipes and hoses of vulcanised rubber other than hard rubber, reinforced or otherwise combined only with textile materials, with fittings</w:t>
            </w:r>
          </w:p>
        </w:tc>
      </w:tr>
      <w:tr>
        <w:trPr>
          <w:cantSplit/>
        </w:trPr>
        <w:tc>
          <w:tcPr>
            <w:tcW w:type="dxa" w:w="4680"/>
            <w:shd w:fill="F5F7F8" w:val="clear" w:color="auto"/>
            <w:tcMar>
              <w:top w:w="70" w:type="dxa"/>
              <w:start w:w="110" w:type="dxa"/>
              <w:bottom w:w="70" w:type="dxa"/>
              <w:end w:w="110" w:type="dxa"/>
            </w:tcMar>
          </w:tcPr>
          <w:p>
            <w:pPr>
              <w:pStyle w:val="TableText"/>
            </w:pPr>
            <w:r>
              <w:rPr/>
              <w:t>4009.42</w:t>
            </w:r>
          </w:p>
        </w:tc>
        <w:tc>
          <w:tcPr>
            <w:tcW w:type="dxa" w:w="4680"/>
            <w:shd w:fill="F5F7F8" w:val="clear" w:color="auto"/>
            <w:tcMar>
              <w:top w:w="70" w:type="dxa"/>
              <w:start w:w="110" w:type="dxa"/>
              <w:bottom w:w="70" w:type="dxa"/>
              <w:end w:w="110" w:type="dxa"/>
            </w:tcMar>
          </w:tcPr>
          <w:p>
            <w:pPr>
              <w:pStyle w:val="TableText"/>
            </w:pPr>
            <w:r>
              <w:rPr/>
              <w:t>Tubes, pipes and hoses of vulcanised rubber other than hard rubber, reinforced or otherwise combined with other materials, with fittings</w:t>
            </w:r>
          </w:p>
        </w:tc>
      </w:tr>
      <w:tr>
        <w:trPr>
          <w:cantSplit/>
        </w:trPr>
        <w:tc>
          <w:tcPr>
            <w:tcW w:type="dxa" w:w="4680"/>
            <w:tcMar>
              <w:top w:w="70" w:type="dxa"/>
              <w:start w:w="110" w:type="dxa"/>
              <w:bottom w:w="70" w:type="dxa"/>
              <w:end w:w="110" w:type="dxa"/>
            </w:tcMar>
          </w:tcPr>
          <w:p>
            <w:pPr>
              <w:pStyle w:val="TableText"/>
            </w:pPr>
            <w:r>
              <w:rPr/>
              <w:t>8301.20</w:t>
            </w:r>
          </w:p>
        </w:tc>
        <w:tc>
          <w:tcPr>
            <w:tcW w:type="dxa" w:w="4680"/>
            <w:tcMar>
              <w:top w:w="70" w:type="dxa"/>
              <w:start w:w="110" w:type="dxa"/>
              <w:bottom w:w="70" w:type="dxa"/>
              <w:end w:w="110" w:type="dxa"/>
            </w:tcMar>
          </w:tcPr>
          <w:p>
            <w:pPr>
              <w:pStyle w:val="TableText"/>
            </w:pPr>
            <w:r>
              <w:rPr/>
              <w:t>Locks of a kind used for motor vehicles</w:t>
            </w:r>
          </w:p>
        </w:tc>
      </w:tr>
      <w:tr>
        <w:trPr>
          <w:cantSplit/>
        </w:trPr>
        <w:tc>
          <w:tcPr>
            <w:tcW w:type="dxa" w:w="4680"/>
            <w:shd w:fill="F5F7F8" w:val="clear" w:color="auto"/>
            <w:tcMar>
              <w:top w:w="70" w:type="dxa"/>
              <w:start w:w="110" w:type="dxa"/>
              <w:bottom w:w="70" w:type="dxa"/>
              <w:end w:w="110" w:type="dxa"/>
            </w:tcMar>
          </w:tcPr>
          <w:p>
            <w:pPr>
              <w:pStyle w:val="TableText"/>
            </w:pPr>
            <w:r>
              <w:rPr/>
              <w:t>Ex 8421.39</w:t>
            </w:r>
          </w:p>
        </w:tc>
        <w:tc>
          <w:tcPr>
            <w:tcW w:type="dxa" w:w="4680"/>
            <w:shd w:fill="F5F7F8" w:val="clear" w:color="auto"/>
            <w:tcMar>
              <w:top w:w="70" w:type="dxa"/>
              <w:start w:w="110" w:type="dxa"/>
              <w:bottom w:w="70" w:type="dxa"/>
              <w:end w:w="110" w:type="dxa"/>
            </w:tcMar>
          </w:tcPr>
          <w:p>
            <w:pPr>
              <w:pStyle w:val="TableText"/>
            </w:pPr>
            <w:r>
              <w:rPr/>
              <w:t>Catalytic converters</w:t>
            </w:r>
          </w:p>
        </w:tc>
      </w:tr>
      <w:tr>
        <w:trPr>
          <w:cantSplit/>
        </w:trPr>
        <w:tc>
          <w:tcPr>
            <w:tcW w:type="dxa" w:w="4680"/>
            <w:tcMar>
              <w:top w:w="70" w:type="dxa"/>
              <w:start w:w="110" w:type="dxa"/>
              <w:bottom w:w="70" w:type="dxa"/>
              <w:end w:w="110" w:type="dxa"/>
            </w:tcMar>
          </w:tcPr>
          <w:p>
            <w:pPr>
              <w:pStyle w:val="TableText"/>
            </w:pPr>
            <w:r>
              <w:rPr/>
              <w:t>8481.20</w:t>
            </w:r>
          </w:p>
        </w:tc>
        <w:tc>
          <w:tcPr>
            <w:tcW w:type="dxa" w:w="4680"/>
            <w:tcMar>
              <w:top w:w="70" w:type="dxa"/>
              <w:start w:w="110" w:type="dxa"/>
              <w:bottom w:w="70" w:type="dxa"/>
              <w:end w:w="110" w:type="dxa"/>
            </w:tcMar>
          </w:tcPr>
          <w:p>
            <w:pPr>
              <w:pStyle w:val="TableText"/>
            </w:pPr>
            <w:r>
              <w:rPr/>
              <w:t>Valves for oleohydraulic or pneumatic transmissions</w:t>
            </w:r>
          </w:p>
        </w:tc>
      </w:tr>
      <w:tr>
        <w:trPr>
          <w:cantSplit/>
        </w:trPr>
        <w:tc>
          <w:tcPr>
            <w:tcW w:type="dxa" w:w="4680"/>
            <w:shd w:fill="F5F7F8" w:val="clear" w:color="auto"/>
            <w:tcMar>
              <w:top w:w="70" w:type="dxa"/>
              <w:start w:w="110" w:type="dxa"/>
              <w:bottom w:w="70" w:type="dxa"/>
              <w:end w:w="110" w:type="dxa"/>
            </w:tcMar>
          </w:tcPr>
          <w:p>
            <w:pPr>
              <w:pStyle w:val="TableText"/>
            </w:pPr>
            <w:r>
              <w:rPr/>
              <w:t>8481.30</w:t>
            </w:r>
          </w:p>
        </w:tc>
        <w:tc>
          <w:tcPr>
            <w:tcW w:type="dxa" w:w="4680"/>
            <w:shd w:fill="F5F7F8" w:val="clear" w:color="auto"/>
            <w:tcMar>
              <w:top w:w="70" w:type="dxa"/>
              <w:start w:w="110" w:type="dxa"/>
              <w:bottom w:w="70" w:type="dxa"/>
              <w:end w:w="110" w:type="dxa"/>
            </w:tcMar>
          </w:tcPr>
          <w:p>
            <w:pPr>
              <w:pStyle w:val="TableText"/>
            </w:pPr>
            <w:r>
              <w:rPr/>
              <w:t>Check (nonreturn) valves</w:t>
            </w:r>
          </w:p>
        </w:tc>
      </w:tr>
      <w:tr>
        <w:trPr>
          <w:cantSplit/>
        </w:trPr>
        <w:tc>
          <w:tcPr>
            <w:tcW w:type="dxa" w:w="4680"/>
            <w:tcMar>
              <w:top w:w="70" w:type="dxa"/>
              <w:start w:w="110" w:type="dxa"/>
              <w:bottom w:w="70" w:type="dxa"/>
              <w:end w:w="110" w:type="dxa"/>
            </w:tcMar>
          </w:tcPr>
          <w:p>
            <w:pPr>
              <w:pStyle w:val="TableText"/>
            </w:pPr>
            <w:r>
              <w:rPr/>
              <w:t>8481.80</w:t>
            </w:r>
          </w:p>
        </w:tc>
        <w:tc>
          <w:tcPr>
            <w:tcW w:type="dxa" w:w="4680"/>
            <w:tcMar>
              <w:top w:w="70" w:type="dxa"/>
              <w:start w:w="110" w:type="dxa"/>
              <w:bottom w:w="70" w:type="dxa"/>
              <w:end w:w="110" w:type="dxa"/>
            </w:tcMar>
          </w:tcPr>
          <w:p>
            <w:pPr>
              <w:pStyle w:val="TableText"/>
            </w:pPr>
            <w:r>
              <w:rPr/>
              <w:t>Other taps, cocks, valves and similar appliances, including pressure-reducing valves and thermostatically controlled valves</w:t>
            </w:r>
          </w:p>
        </w:tc>
      </w:tr>
      <w:tr>
        <w:trPr>
          <w:cantSplit/>
        </w:trPr>
        <w:tc>
          <w:tcPr>
            <w:tcW w:type="dxa" w:w="4680"/>
            <w:shd w:fill="F5F7F8" w:val="clear" w:color="auto"/>
            <w:tcMar>
              <w:top w:w="70" w:type="dxa"/>
              <w:start w:w="110" w:type="dxa"/>
              <w:bottom w:w="70" w:type="dxa"/>
              <w:end w:w="110" w:type="dxa"/>
            </w:tcMar>
          </w:tcPr>
          <w:p>
            <w:pPr>
              <w:pStyle w:val="TableText"/>
            </w:pPr>
            <w:r>
              <w:rPr/>
              <w:t>8501.10</w:t>
            </w:r>
          </w:p>
        </w:tc>
        <w:tc>
          <w:tcPr>
            <w:tcW w:type="dxa" w:w="4680"/>
            <w:shd w:fill="F5F7F8" w:val="clear" w:color="auto"/>
            <w:tcMar>
              <w:top w:w="70" w:type="dxa"/>
              <w:start w:w="110" w:type="dxa"/>
              <w:bottom w:w="70" w:type="dxa"/>
              <w:end w:w="110" w:type="dxa"/>
            </w:tcMar>
          </w:tcPr>
          <w:p>
            <w:pPr>
              <w:pStyle w:val="TableText"/>
            </w:pPr>
            <w:r>
              <w:rPr/>
              <w:t>Electric motors of an output not exceeding 37.5 W</w:t>
            </w:r>
          </w:p>
        </w:tc>
      </w:tr>
      <w:tr>
        <w:trPr>
          <w:cantSplit/>
        </w:trPr>
        <w:tc>
          <w:tcPr>
            <w:tcW w:type="dxa" w:w="4680"/>
            <w:tcMar>
              <w:top w:w="70" w:type="dxa"/>
              <w:start w:w="110" w:type="dxa"/>
              <w:bottom w:w="70" w:type="dxa"/>
              <w:end w:w="110" w:type="dxa"/>
            </w:tcMar>
          </w:tcPr>
          <w:p>
            <w:pPr>
              <w:pStyle w:val="TableText"/>
            </w:pPr>
            <w:r>
              <w:rPr/>
              <w:t>8501.20</w:t>
            </w:r>
          </w:p>
        </w:tc>
        <w:tc>
          <w:tcPr>
            <w:tcW w:type="dxa" w:w="4680"/>
            <w:tcMar>
              <w:top w:w="70" w:type="dxa"/>
              <w:start w:w="110" w:type="dxa"/>
              <w:bottom w:w="70" w:type="dxa"/>
              <w:end w:w="110" w:type="dxa"/>
            </w:tcMar>
          </w:tcPr>
          <w:p>
            <w:pPr>
              <w:pStyle w:val="TableText"/>
            </w:pPr>
            <w:r>
              <w:rPr/>
              <w:t>Universal AC/DC motors of an output exceeding 37.5 W</w:t>
            </w:r>
          </w:p>
        </w:tc>
      </w:tr>
      <w:tr>
        <w:trPr>
          <w:cantSplit/>
        </w:trPr>
        <w:tc>
          <w:tcPr>
            <w:tcW w:type="dxa" w:w="4680"/>
            <w:shd w:fill="F5F7F8" w:val="clear" w:color="auto"/>
            <w:tcMar>
              <w:top w:w="70" w:type="dxa"/>
              <w:start w:w="110" w:type="dxa"/>
              <w:bottom w:w="70" w:type="dxa"/>
              <w:end w:w="110" w:type="dxa"/>
            </w:tcMar>
          </w:tcPr>
          <w:p>
            <w:pPr>
              <w:pStyle w:val="TableText"/>
            </w:pPr>
            <w:r>
              <w:rPr/>
              <w:t>8501.31</w:t>
            </w:r>
          </w:p>
        </w:tc>
        <w:tc>
          <w:tcPr>
            <w:tcW w:type="dxa" w:w="4680"/>
            <w:shd w:fill="F5F7F8" w:val="clear" w:color="auto"/>
            <w:tcMar>
              <w:top w:w="70" w:type="dxa"/>
              <w:start w:w="110" w:type="dxa"/>
              <w:bottom w:w="70" w:type="dxa"/>
              <w:end w:w="110" w:type="dxa"/>
            </w:tcMar>
          </w:tcPr>
          <w:p>
            <w:pPr>
              <w:pStyle w:val="TableText"/>
            </w:pPr>
            <w:r>
              <w:rPr/>
              <w:t>Other DC motors and generators of an output not exceeding 750 W</w:t>
            </w:r>
          </w:p>
        </w:tc>
      </w:tr>
      <w:tr>
        <w:trPr>
          <w:cantSplit/>
        </w:trPr>
        <w:tc>
          <w:tcPr>
            <w:tcW w:type="dxa" w:w="4680"/>
            <w:tcMar>
              <w:top w:w="70" w:type="dxa"/>
              <w:start w:w="110" w:type="dxa"/>
              <w:bottom w:w="70" w:type="dxa"/>
              <w:end w:w="110" w:type="dxa"/>
            </w:tcMar>
          </w:tcPr>
          <w:p>
            <w:pPr>
              <w:pStyle w:val="TableText"/>
            </w:pPr>
            <w:r>
              <w:rPr/>
              <w:t>Ex 8507.20</w:t>
            </w:r>
          </w:p>
        </w:tc>
        <w:tc>
          <w:tcPr>
            <w:tcW w:type="dxa" w:w="4680"/>
            <w:tcMar>
              <w:top w:w="70" w:type="dxa"/>
              <w:start w:w="110" w:type="dxa"/>
              <w:bottom w:w="70" w:type="dxa"/>
              <w:end w:w="110" w:type="dxa"/>
            </w:tcMar>
          </w:tcPr>
          <w:p>
            <w:pPr>
              <w:pStyle w:val="TableText"/>
            </w:pPr>
            <w:r>
              <w:rPr/>
              <w:t>Other lead-acid batteries of a kind used for the propulsion of motor vehicles of Chapter 87</w:t>
            </w:r>
          </w:p>
        </w:tc>
      </w:tr>
      <w:tr>
        <w:trPr>
          <w:cantSplit/>
        </w:trPr>
        <w:tc>
          <w:tcPr>
            <w:tcW w:type="dxa" w:w="4680"/>
            <w:shd w:fill="F5F7F8" w:val="clear" w:color="auto"/>
            <w:tcMar>
              <w:top w:w="70" w:type="dxa"/>
              <w:start w:w="110" w:type="dxa"/>
              <w:bottom w:w="70" w:type="dxa"/>
              <w:end w:w="110" w:type="dxa"/>
            </w:tcMar>
          </w:tcPr>
          <w:p>
            <w:pPr>
              <w:pStyle w:val="TableText"/>
            </w:pPr>
            <w:r>
              <w:rPr/>
              <w:t>Ex 8507.30</w:t>
            </w:r>
          </w:p>
        </w:tc>
        <w:tc>
          <w:tcPr>
            <w:tcW w:type="dxa" w:w="4680"/>
            <w:shd w:fill="F5F7F8" w:val="clear" w:color="auto"/>
            <w:tcMar>
              <w:top w:w="70" w:type="dxa"/>
              <w:start w:w="110" w:type="dxa"/>
              <w:bottom w:w="70" w:type="dxa"/>
              <w:end w:w="110" w:type="dxa"/>
            </w:tcMar>
          </w:tcPr>
          <w:p>
            <w:pPr>
              <w:pStyle w:val="TableText"/>
            </w:pPr>
            <w:r>
              <w:rPr/>
              <w:t>Nickel-cadmium batteries of a kind used for the propulsion of motor vehicles of Chapter 87 Ex</w:t>
            </w:r>
          </w:p>
        </w:tc>
      </w:tr>
    </w:tbl>
    <w:p>
      <w:pPr>
        <w:pStyle w:val="Normal"/>
      </w:pPr>
      <w:r>
        <w:rPr>
          <w:b w:val="0"/>
        </w:rPr>
        <w:t>8507.40 Nickel-iron batteries of a kind used for the propulsion of motor vehicles of Chapter 87 Ex 8507.80 Other batteries of a kind used for the propulsion of motor vehicles of Chapter 87 8511.30 Distributors; ignition coils 8512.20 Other lighting or visual signalling equipment 8512.40 Windshield wipers, defrosters and demisters Ex 8519.81 Cassette decks 8536.50 Other electrical switches, for a voltage not exceeding 1,000 V Ex 8536.90 Junction boxes 8539.10 Sealed beam lamp units 8539.21 Tungsten halogen filament lamp 8544.30 Ignition wiring sets and other wiring sets of a kind used in motor vehicles 9031.80 Other measuring and checking instruments, appliances &amp; machines 4-B-1-39 9032.89 Other automatic regulating or controlling instruments and apparatus 4-B-1-40</w:t>
      </w:r>
    </w:p>
    <w:p>
      <w:pPr>
        <w:pStyle w:val="Normal"/>
      </w:pPr>
      <w:r>
        <w:rPr>
          <w:b/>
        </w:rPr>
        <w:t>TABLE D: PRINCIPAL PARTS FOR HEAVY TRUCKS</w:t>
      </w:r>
    </w:p>
    <w:p>
      <w:pPr>
        <w:pStyle w:val="Normal"/>
      </w:pPr>
      <w:r>
        <w:rPr>
          <w:b w:val="0"/>
        </w:rPr>
        <w:t>Note: The Regional Value Content requirements set out in Article 4 of this Appendix apply to a good for use in a heavy truck.</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HS Provision</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8407.31</w:t>
            </w:r>
          </w:p>
        </w:tc>
        <w:tc>
          <w:tcPr>
            <w:tcW w:type="dxa" w:w="4680"/>
            <w:tcMar>
              <w:top w:w="70" w:type="dxa"/>
              <w:start w:w="110" w:type="dxa"/>
              <w:bottom w:w="70" w:type="dxa"/>
              <w:end w:w="110" w:type="dxa"/>
            </w:tcMar>
          </w:tcPr>
          <w:p>
            <w:pPr>
              <w:pStyle w:val="TableText"/>
            </w:pPr>
            <w:r>
              <w:rPr/>
              <w:t>Reciprocating piston engines of a kind used for the propulsion of passenger vehicles of Chapter 87, of a cylinder capacity not exceeding 50 cc</w:t>
            </w:r>
          </w:p>
        </w:tc>
      </w:tr>
      <w:tr>
        <w:trPr>
          <w:cantSplit/>
        </w:trPr>
        <w:tc>
          <w:tcPr>
            <w:tcW w:type="dxa" w:w="4680"/>
            <w:shd w:fill="F5F7F8" w:val="clear" w:color="auto"/>
            <w:tcMar>
              <w:top w:w="70" w:type="dxa"/>
              <w:start w:w="110" w:type="dxa"/>
              <w:bottom w:w="70" w:type="dxa"/>
              <w:end w:w="110" w:type="dxa"/>
            </w:tcMar>
          </w:tcPr>
          <w:p>
            <w:pPr>
              <w:pStyle w:val="TableText"/>
            </w:pPr>
            <w:r>
              <w:rPr/>
              <w:t>8407.32</w:t>
            </w:r>
          </w:p>
        </w:tc>
        <w:tc>
          <w:tcPr>
            <w:tcW w:type="dxa" w:w="4680"/>
            <w:shd w:fill="F5F7F8" w:val="clear" w:color="auto"/>
            <w:tcMar>
              <w:top w:w="70" w:type="dxa"/>
              <w:start w:w="110" w:type="dxa"/>
              <w:bottom w:w="70" w:type="dxa"/>
              <w:end w:w="110" w:type="dxa"/>
            </w:tcMar>
          </w:tcPr>
          <w:p>
            <w:pPr>
              <w:pStyle w:val="TableText"/>
            </w:pPr>
            <w:r>
              <w:rPr/>
              <w:t>Reciprocating piston engines of a kind used for the propulsion of vehicles of Chapter 87, of a cylinder capacity exceeding 50 cc but not exceeding 250 cc</w:t>
            </w:r>
          </w:p>
        </w:tc>
      </w:tr>
      <w:tr>
        <w:trPr>
          <w:cantSplit/>
        </w:trPr>
        <w:tc>
          <w:tcPr>
            <w:tcW w:type="dxa" w:w="4680"/>
            <w:tcMar>
              <w:top w:w="70" w:type="dxa"/>
              <w:start w:w="110" w:type="dxa"/>
              <w:bottom w:w="70" w:type="dxa"/>
              <w:end w:w="110" w:type="dxa"/>
            </w:tcMar>
          </w:tcPr>
          <w:p>
            <w:pPr>
              <w:pStyle w:val="TableText"/>
            </w:pPr>
            <w:r>
              <w:rPr/>
              <w:t>8407.33</w:t>
            </w:r>
          </w:p>
        </w:tc>
        <w:tc>
          <w:tcPr>
            <w:tcW w:type="dxa" w:w="4680"/>
            <w:tcMar>
              <w:top w:w="70" w:type="dxa"/>
              <w:start w:w="110" w:type="dxa"/>
              <w:bottom w:w="70" w:type="dxa"/>
              <w:end w:w="110" w:type="dxa"/>
            </w:tcMar>
          </w:tcPr>
          <w:p>
            <w:pPr>
              <w:pStyle w:val="TableText"/>
            </w:pPr>
            <w:r>
              <w:rPr/>
              <w:t>Reciprocating piston engines of a kind used for the propulsion of vehicles of Chapter 87, of a cylinder capacity exceeding 250 cc but not exceeding 1,000 cc</w:t>
            </w:r>
          </w:p>
        </w:tc>
      </w:tr>
      <w:tr>
        <w:trPr>
          <w:cantSplit/>
        </w:trPr>
        <w:tc>
          <w:tcPr>
            <w:tcW w:type="dxa" w:w="4680"/>
            <w:shd w:fill="F5F7F8" w:val="clear" w:color="auto"/>
            <w:tcMar>
              <w:top w:w="70" w:type="dxa"/>
              <w:start w:w="110" w:type="dxa"/>
              <w:bottom w:w="70" w:type="dxa"/>
              <w:end w:w="110" w:type="dxa"/>
            </w:tcMar>
          </w:tcPr>
          <w:p>
            <w:pPr>
              <w:pStyle w:val="TableText"/>
            </w:pPr>
            <w:r>
              <w:rPr/>
              <w:t>8407.34</w:t>
            </w:r>
          </w:p>
        </w:tc>
        <w:tc>
          <w:tcPr>
            <w:tcW w:type="dxa" w:w="4680"/>
            <w:shd w:fill="F5F7F8" w:val="clear" w:color="auto"/>
            <w:tcMar>
              <w:top w:w="70" w:type="dxa"/>
              <w:start w:w="110" w:type="dxa"/>
              <w:bottom w:w="70" w:type="dxa"/>
              <w:end w:w="110" w:type="dxa"/>
            </w:tcMar>
          </w:tcPr>
          <w:p>
            <w:pPr>
              <w:pStyle w:val="TableText"/>
            </w:pPr>
            <w:r>
              <w:rPr/>
              <w:t>Reciprocating piston engines of a kind used for the propulsion of vehicles of Chapter 87, of a cylinder capacity exceeding 1,000 cc</w:t>
            </w:r>
          </w:p>
        </w:tc>
      </w:tr>
      <w:tr>
        <w:trPr>
          <w:cantSplit/>
        </w:trPr>
        <w:tc>
          <w:tcPr>
            <w:tcW w:type="dxa" w:w="4680"/>
            <w:tcMar>
              <w:top w:w="70" w:type="dxa"/>
              <w:start w:w="110" w:type="dxa"/>
              <w:bottom w:w="70" w:type="dxa"/>
              <w:end w:w="110" w:type="dxa"/>
            </w:tcMar>
          </w:tcPr>
          <w:p>
            <w:pPr>
              <w:pStyle w:val="TableText"/>
            </w:pPr>
            <w:r>
              <w:rPr/>
              <w:t>8408.20</w:t>
            </w:r>
          </w:p>
        </w:tc>
        <w:tc>
          <w:tcPr>
            <w:tcW w:type="dxa" w:w="4680"/>
            <w:tcMar>
              <w:top w:w="70" w:type="dxa"/>
              <w:start w:w="110" w:type="dxa"/>
              <w:bottom w:w="70" w:type="dxa"/>
              <w:end w:w="110" w:type="dxa"/>
            </w:tcMar>
          </w:tcPr>
          <w:p>
            <w:pPr>
              <w:pStyle w:val="TableText"/>
            </w:pPr>
            <w:r>
              <w:rPr/>
              <w:t>Compression-ignition internal combustion piston engines of a kind used for the propulsion of vehicles of Chapter 87</w:t>
            </w:r>
          </w:p>
        </w:tc>
      </w:tr>
      <w:tr>
        <w:trPr>
          <w:cantSplit/>
        </w:trPr>
        <w:tc>
          <w:tcPr>
            <w:tcW w:type="dxa" w:w="4680"/>
            <w:shd w:fill="F5F7F8" w:val="clear" w:color="auto"/>
            <w:tcMar>
              <w:top w:w="70" w:type="dxa"/>
              <w:start w:w="110" w:type="dxa"/>
              <w:bottom w:w="70" w:type="dxa"/>
              <w:end w:w="110" w:type="dxa"/>
            </w:tcMar>
          </w:tcPr>
          <w:p>
            <w:pPr>
              <w:pStyle w:val="TableText"/>
            </w:pPr>
            <w:r>
              <w:rPr/>
              <w:t>8409.91</w:t>
            </w:r>
          </w:p>
        </w:tc>
        <w:tc>
          <w:tcPr>
            <w:tcW w:type="dxa" w:w="4680"/>
            <w:shd w:fill="F5F7F8" w:val="clear" w:color="auto"/>
            <w:tcMar>
              <w:top w:w="70" w:type="dxa"/>
              <w:start w:w="110" w:type="dxa"/>
              <w:bottom w:w="70" w:type="dxa"/>
              <w:end w:w="110" w:type="dxa"/>
            </w:tcMar>
          </w:tcPr>
          <w:p>
            <w:pPr>
              <w:pStyle w:val="TableText"/>
            </w:pPr>
            <w:r>
              <w:rPr/>
              <w:t>Parts suitable for use solely or principally with the engines of heading 84.07 or 84.08, suitable for use solely or principally with spark-ignition internal combustion piston engines</w:t>
            </w:r>
          </w:p>
        </w:tc>
      </w:tr>
      <w:tr>
        <w:trPr>
          <w:cantSplit/>
        </w:trPr>
        <w:tc>
          <w:tcPr>
            <w:tcW w:type="dxa" w:w="4680"/>
            <w:tcMar>
              <w:top w:w="70" w:type="dxa"/>
              <w:start w:w="110" w:type="dxa"/>
              <w:bottom w:w="70" w:type="dxa"/>
              <w:end w:w="110" w:type="dxa"/>
            </w:tcMar>
          </w:tcPr>
          <w:p>
            <w:pPr>
              <w:pStyle w:val="TableText"/>
            </w:pPr>
            <w:r>
              <w:rPr/>
              <w:t>8409.99</w:t>
            </w:r>
          </w:p>
        </w:tc>
        <w:tc>
          <w:tcPr>
            <w:tcW w:type="dxa" w:w="4680"/>
            <w:tcMar>
              <w:top w:w="70" w:type="dxa"/>
              <w:start w:w="110" w:type="dxa"/>
              <w:bottom w:w="70" w:type="dxa"/>
              <w:end w:w="110" w:type="dxa"/>
            </w:tcMar>
          </w:tcPr>
          <w:p>
            <w:pPr>
              <w:pStyle w:val="TableText"/>
            </w:pPr>
            <w:r>
              <w:rPr/>
              <w:t>Parts suitable for use solely or principally with the engines of heading 84.07 or 84.08, other</w:t>
            </w:r>
          </w:p>
        </w:tc>
      </w:tr>
      <w:tr>
        <w:trPr>
          <w:cantSplit/>
        </w:trPr>
        <w:tc>
          <w:tcPr>
            <w:tcW w:type="dxa" w:w="4680"/>
            <w:shd w:fill="F5F7F8" w:val="clear" w:color="auto"/>
            <w:tcMar>
              <w:top w:w="70" w:type="dxa"/>
              <w:start w:w="110" w:type="dxa"/>
              <w:bottom w:w="70" w:type="dxa"/>
              <w:end w:w="110" w:type="dxa"/>
            </w:tcMar>
          </w:tcPr>
          <w:p>
            <w:pPr>
              <w:pStyle w:val="TableText"/>
            </w:pPr>
            <w:r>
              <w:rPr/>
              <w:t>8413.30</w:t>
            </w:r>
          </w:p>
        </w:tc>
        <w:tc>
          <w:tcPr>
            <w:tcW w:type="dxa" w:w="4680"/>
            <w:shd w:fill="F5F7F8" w:val="clear" w:color="auto"/>
            <w:tcMar>
              <w:top w:w="70" w:type="dxa"/>
              <w:start w:w="110" w:type="dxa"/>
              <w:bottom w:w="70" w:type="dxa"/>
              <w:end w:w="110" w:type="dxa"/>
            </w:tcMar>
          </w:tcPr>
          <w:p>
            <w:pPr>
              <w:pStyle w:val="TableText"/>
            </w:pPr>
            <w:r>
              <w:rPr/>
              <w:t>Fuel, lubricating or cooling medium pumps for internal combustion piston engines</w:t>
            </w:r>
          </w:p>
        </w:tc>
      </w:tr>
      <w:tr>
        <w:trPr>
          <w:cantSplit/>
        </w:trPr>
        <w:tc>
          <w:tcPr>
            <w:tcW w:type="dxa" w:w="4680"/>
            <w:tcMar>
              <w:top w:w="70" w:type="dxa"/>
              <w:start w:w="110" w:type="dxa"/>
              <w:bottom w:w="70" w:type="dxa"/>
              <w:end w:w="110" w:type="dxa"/>
            </w:tcMar>
          </w:tcPr>
          <w:p>
            <w:pPr>
              <w:pStyle w:val="TableText"/>
            </w:pPr>
            <w:r>
              <w:rPr/>
              <w:t>Ex 8414.59</w:t>
            </w:r>
          </w:p>
        </w:tc>
        <w:tc>
          <w:tcPr>
            <w:tcW w:type="dxa" w:w="4680"/>
            <w:tcMar>
              <w:top w:w="70" w:type="dxa"/>
              <w:start w:w="110" w:type="dxa"/>
              <w:bottom w:w="70" w:type="dxa"/>
              <w:end w:w="110" w:type="dxa"/>
            </w:tcMar>
          </w:tcPr>
          <w:p>
            <w:pPr>
              <w:pStyle w:val="TableText"/>
            </w:pPr>
            <w:r>
              <w:rPr/>
              <w:t>Turbochargers and superchargers</w:t>
            </w:r>
          </w:p>
        </w:tc>
      </w:tr>
      <w:tr>
        <w:trPr>
          <w:cantSplit/>
        </w:trPr>
        <w:tc>
          <w:tcPr>
            <w:tcW w:type="dxa" w:w="4680"/>
            <w:shd w:fill="F5F7F8" w:val="clear" w:color="auto"/>
            <w:tcMar>
              <w:top w:w="70" w:type="dxa"/>
              <w:start w:w="110" w:type="dxa"/>
              <w:bottom w:w="70" w:type="dxa"/>
              <w:end w:w="110" w:type="dxa"/>
            </w:tcMar>
          </w:tcPr>
          <w:p>
            <w:pPr>
              <w:pStyle w:val="TableText"/>
            </w:pPr>
            <w:r>
              <w:rPr/>
              <w:t>8414.80</w:t>
            </w:r>
          </w:p>
        </w:tc>
        <w:tc>
          <w:tcPr>
            <w:tcW w:type="dxa" w:w="4680"/>
            <w:shd w:fill="F5F7F8" w:val="clear" w:color="auto"/>
            <w:tcMar>
              <w:top w:w="70" w:type="dxa"/>
              <w:start w:w="110" w:type="dxa"/>
              <w:bottom w:w="70" w:type="dxa"/>
              <w:end w:w="110" w:type="dxa"/>
            </w:tcMar>
          </w:tcPr>
          <w:p>
            <w:pPr>
              <w:pStyle w:val="TableText"/>
            </w:pPr>
            <w:r>
              <w:rPr/>
              <w:t>Other air or gas pumps, compressors and fans</w:t>
            </w:r>
          </w:p>
        </w:tc>
      </w:tr>
      <w:tr>
        <w:trPr>
          <w:cantSplit/>
        </w:trPr>
        <w:tc>
          <w:tcPr>
            <w:tcW w:type="dxa" w:w="4680"/>
            <w:tcMar>
              <w:top w:w="70" w:type="dxa"/>
              <w:start w:w="110" w:type="dxa"/>
              <w:bottom w:w="70" w:type="dxa"/>
              <w:end w:w="110" w:type="dxa"/>
            </w:tcMar>
          </w:tcPr>
          <w:p>
            <w:pPr>
              <w:pStyle w:val="TableText"/>
            </w:pPr>
            <w:r>
              <w:rPr/>
              <w:t>8415.20</w:t>
            </w:r>
          </w:p>
        </w:tc>
        <w:tc>
          <w:tcPr>
            <w:tcW w:type="dxa" w:w="4680"/>
            <w:tcMar>
              <w:top w:w="70" w:type="dxa"/>
              <w:start w:w="110" w:type="dxa"/>
              <w:bottom w:w="70" w:type="dxa"/>
              <w:end w:w="110" w:type="dxa"/>
            </w:tcMar>
          </w:tcPr>
          <w:p>
            <w:pPr>
              <w:pStyle w:val="TableText"/>
            </w:pPr>
            <w:r>
              <w:rPr/>
              <w:t>Air conditioning machines, comprising a motor-driven fan and elements for changing the temperature and humidity, including those machines in which humidity cannot be separately regulated, of a kind used for persons, in motor vehicles</w:t>
            </w:r>
          </w:p>
        </w:tc>
      </w:tr>
      <w:tr>
        <w:trPr>
          <w:cantSplit/>
        </w:trPr>
        <w:tc>
          <w:tcPr>
            <w:tcW w:type="dxa" w:w="4680"/>
            <w:shd w:fill="F5F7F8" w:val="clear" w:color="auto"/>
            <w:tcMar>
              <w:top w:w="70" w:type="dxa"/>
              <w:start w:w="110" w:type="dxa"/>
              <w:bottom w:w="70" w:type="dxa"/>
              <w:end w:w="110" w:type="dxa"/>
            </w:tcMar>
          </w:tcPr>
          <w:p>
            <w:pPr>
              <w:pStyle w:val="TableText"/>
            </w:pPr>
            <w:r>
              <w:rPr/>
              <w:t>8483.10</w:t>
            </w:r>
          </w:p>
        </w:tc>
        <w:tc>
          <w:tcPr>
            <w:tcW w:type="dxa" w:w="4680"/>
            <w:shd w:fill="F5F7F8" w:val="clear" w:color="auto"/>
            <w:tcMar>
              <w:top w:w="70" w:type="dxa"/>
              <w:start w:w="110" w:type="dxa"/>
              <w:bottom w:w="70" w:type="dxa"/>
              <w:end w:w="110" w:type="dxa"/>
            </w:tcMar>
          </w:tcPr>
          <w:p>
            <w:pPr>
              <w:pStyle w:val="TableText"/>
            </w:pPr>
            <w:r>
              <w:rPr/>
              <w:t>Transmission shafts (including cam shafts and crank shafts) and cranks</w:t>
            </w:r>
          </w:p>
        </w:tc>
      </w:tr>
      <w:tr>
        <w:trPr>
          <w:cantSplit/>
        </w:trPr>
        <w:tc>
          <w:tcPr>
            <w:tcW w:type="dxa" w:w="4680"/>
            <w:tcMar>
              <w:top w:w="70" w:type="dxa"/>
              <w:start w:w="110" w:type="dxa"/>
              <w:bottom w:w="70" w:type="dxa"/>
              <w:end w:w="110" w:type="dxa"/>
            </w:tcMar>
          </w:tcPr>
          <w:p>
            <w:pPr>
              <w:pStyle w:val="TableText"/>
            </w:pPr>
            <w:r>
              <w:rPr/>
              <w:t>8483.40</w:t>
            </w:r>
          </w:p>
        </w:tc>
        <w:tc>
          <w:tcPr>
            <w:tcW w:type="dxa" w:w="4680"/>
            <w:tcMar>
              <w:top w:w="70" w:type="dxa"/>
              <w:start w:w="110" w:type="dxa"/>
              <w:bottom w:w="70" w:type="dxa"/>
              <w:end w:w="110" w:type="dxa"/>
            </w:tcMar>
          </w:tcPr>
          <w:p>
            <w:pPr>
              <w:pStyle w:val="TableText"/>
            </w:pPr>
            <w:r>
              <w:rPr/>
              <w:t>Gears and gearing, other than toothed wheels, chain sprockets and other transmission elements presented separately; ball or roller screws; gear boxes and other speed changers, including torque converters</w:t>
            </w:r>
          </w:p>
        </w:tc>
      </w:tr>
      <w:tr>
        <w:trPr>
          <w:cantSplit/>
        </w:trPr>
        <w:tc>
          <w:tcPr>
            <w:tcW w:type="dxa" w:w="4680"/>
            <w:shd w:fill="F5F7F8" w:val="clear" w:color="auto"/>
            <w:tcMar>
              <w:top w:w="70" w:type="dxa"/>
              <w:start w:w="110" w:type="dxa"/>
              <w:bottom w:w="70" w:type="dxa"/>
              <w:end w:w="110" w:type="dxa"/>
            </w:tcMar>
          </w:tcPr>
          <w:p>
            <w:pPr>
              <w:pStyle w:val="TableText"/>
            </w:pPr>
            <w:r>
              <w:rPr/>
              <w:t>8483.50</w:t>
            </w:r>
          </w:p>
        </w:tc>
        <w:tc>
          <w:tcPr>
            <w:tcW w:type="dxa" w:w="4680"/>
            <w:shd w:fill="F5F7F8" w:val="clear" w:color="auto"/>
            <w:tcMar>
              <w:top w:w="70" w:type="dxa"/>
              <w:start w:w="110" w:type="dxa"/>
              <w:bottom w:w="70" w:type="dxa"/>
              <w:end w:w="110" w:type="dxa"/>
            </w:tcMar>
          </w:tcPr>
          <w:p>
            <w:pPr>
              <w:pStyle w:val="TableText"/>
            </w:pPr>
            <w:r>
              <w:rPr/>
              <w:t>Flywheels and pulleys, including pulley blocks</w:t>
            </w:r>
          </w:p>
        </w:tc>
      </w:tr>
      <w:tr>
        <w:trPr>
          <w:cantSplit/>
        </w:trPr>
        <w:tc>
          <w:tcPr>
            <w:tcW w:type="dxa" w:w="4680"/>
            <w:tcMar>
              <w:top w:w="70" w:type="dxa"/>
              <w:start w:w="110" w:type="dxa"/>
              <w:bottom w:w="70" w:type="dxa"/>
              <w:end w:w="110" w:type="dxa"/>
            </w:tcMar>
          </w:tcPr>
          <w:p>
            <w:pPr>
              <w:pStyle w:val="TableText"/>
            </w:pPr>
            <w:r>
              <w:rPr/>
              <w:t>Ex 8501.32</w:t>
            </w:r>
          </w:p>
        </w:tc>
        <w:tc>
          <w:tcPr>
            <w:tcW w:type="dxa" w:w="4680"/>
            <w:tcMar>
              <w:top w:w="70" w:type="dxa"/>
              <w:start w:w="110" w:type="dxa"/>
              <w:bottom w:w="70" w:type="dxa"/>
              <w:end w:w="110" w:type="dxa"/>
            </w:tcMar>
          </w:tcPr>
          <w:p>
            <w:pPr>
              <w:pStyle w:val="TableText"/>
            </w:pPr>
            <w:r>
              <w:rPr/>
              <w:t>Other DC motors and generators of an output exceeding 750W but not exceeding 75 kW, of a kind used for the propulsion of motor vehicles of Chapter 87</w:t>
            </w:r>
          </w:p>
        </w:tc>
      </w:tr>
      <w:tr>
        <w:trPr>
          <w:cantSplit/>
        </w:trPr>
        <w:tc>
          <w:tcPr>
            <w:tcW w:type="dxa" w:w="4680"/>
            <w:shd w:fill="F5F7F8" w:val="clear" w:color="auto"/>
            <w:tcMar>
              <w:top w:w="70" w:type="dxa"/>
              <w:start w:w="110" w:type="dxa"/>
              <w:bottom w:w="70" w:type="dxa"/>
              <w:end w:w="110" w:type="dxa"/>
            </w:tcMar>
          </w:tcPr>
          <w:p>
            <w:pPr>
              <w:pStyle w:val="TableText"/>
            </w:pPr>
            <w:r>
              <w:rPr/>
              <w:t>8511.40</w:t>
            </w:r>
          </w:p>
        </w:tc>
        <w:tc>
          <w:tcPr>
            <w:tcW w:type="dxa" w:w="4680"/>
            <w:shd w:fill="F5F7F8" w:val="clear" w:color="auto"/>
            <w:tcMar>
              <w:top w:w="70" w:type="dxa"/>
              <w:start w:w="110" w:type="dxa"/>
              <w:bottom w:w="70" w:type="dxa"/>
              <w:end w:w="110" w:type="dxa"/>
            </w:tcMar>
          </w:tcPr>
          <w:p>
            <w:pPr>
              <w:pStyle w:val="TableText"/>
            </w:pPr>
            <w:r>
              <w:rPr/>
              <w:t>Starter motors and dual purpose starter-generators of a kind used for spark- ignition or compression-ignition internal combustion engines</w:t>
            </w:r>
          </w:p>
        </w:tc>
      </w:tr>
      <w:tr>
        <w:trPr>
          <w:cantSplit/>
        </w:trPr>
        <w:tc>
          <w:tcPr>
            <w:tcW w:type="dxa" w:w="4680"/>
            <w:tcMar>
              <w:top w:w="70" w:type="dxa"/>
              <w:start w:w="110" w:type="dxa"/>
              <w:bottom w:w="70" w:type="dxa"/>
              <w:end w:w="110" w:type="dxa"/>
            </w:tcMar>
          </w:tcPr>
          <w:p>
            <w:pPr>
              <w:pStyle w:val="TableText"/>
            </w:pPr>
            <w:r>
              <w:rPr/>
              <w:t>8511.50</w:t>
            </w:r>
          </w:p>
        </w:tc>
        <w:tc>
          <w:tcPr>
            <w:tcW w:type="dxa" w:w="4680"/>
            <w:tcMar>
              <w:top w:w="70" w:type="dxa"/>
              <w:start w:w="110" w:type="dxa"/>
              <w:bottom w:w="70" w:type="dxa"/>
              <w:end w:w="110" w:type="dxa"/>
            </w:tcMar>
          </w:tcPr>
          <w:p>
            <w:pPr>
              <w:pStyle w:val="TableText"/>
            </w:pPr>
            <w:r>
              <w:rPr/>
              <w:t>Other generators</w:t>
            </w:r>
          </w:p>
        </w:tc>
      </w:tr>
      <w:tr>
        <w:trPr>
          <w:cantSplit/>
        </w:trPr>
        <w:tc>
          <w:tcPr>
            <w:tcW w:type="dxa" w:w="4680"/>
            <w:shd w:fill="F5F7F8" w:val="clear" w:color="auto"/>
            <w:tcMar>
              <w:top w:w="70" w:type="dxa"/>
              <w:start w:w="110" w:type="dxa"/>
              <w:bottom w:w="70" w:type="dxa"/>
              <w:end w:w="110" w:type="dxa"/>
            </w:tcMar>
          </w:tcPr>
          <w:p>
            <w:pPr>
              <w:pStyle w:val="TableText"/>
            </w:pPr>
            <w:r>
              <w:rPr/>
              <w:t>8537.10</w:t>
            </w:r>
          </w:p>
        </w:tc>
        <w:tc>
          <w:tcPr>
            <w:tcW w:type="dxa" w:w="4680"/>
            <w:shd w:fill="F5F7F8" w:val="clear" w:color="auto"/>
            <w:tcMar>
              <w:top w:w="70" w:type="dxa"/>
              <w:start w:w="110" w:type="dxa"/>
              <w:bottom w:w="70" w:type="dxa"/>
              <w:end w:w="110" w:type="dxa"/>
            </w:tcMar>
          </w:tcPr>
          <w:p>
            <w:pPr>
              <w:pStyle w:val="TableText"/>
            </w:pPr>
            <w:r>
              <w:rPr/>
              <w:t>Electric controls for a voltage not exceeding 1,000 V</w:t>
            </w:r>
          </w:p>
        </w:tc>
      </w:tr>
      <w:tr>
        <w:trPr>
          <w:cantSplit/>
        </w:trPr>
        <w:tc>
          <w:tcPr>
            <w:tcW w:type="dxa" w:w="4680"/>
            <w:tcMar>
              <w:top w:w="70" w:type="dxa"/>
              <w:start w:w="110" w:type="dxa"/>
              <w:bottom w:w="70" w:type="dxa"/>
              <w:end w:w="110" w:type="dxa"/>
            </w:tcMar>
          </w:tcPr>
          <w:p>
            <w:pPr>
              <w:pStyle w:val="TableText"/>
            </w:pPr>
            <w:r>
              <w:rPr/>
              <w:t>8706.00</w:t>
            </w:r>
          </w:p>
        </w:tc>
        <w:tc>
          <w:tcPr>
            <w:tcW w:type="dxa" w:w="4680"/>
            <w:tcMar>
              <w:top w:w="70" w:type="dxa"/>
              <w:start w:w="110" w:type="dxa"/>
              <w:bottom w:w="70" w:type="dxa"/>
              <w:end w:w="110" w:type="dxa"/>
            </w:tcMar>
          </w:tcPr>
          <w:p>
            <w:pPr>
              <w:pStyle w:val="TableText"/>
            </w:pPr>
            <w:r>
              <w:rPr/>
              <w:t>Chassis fitted with engines, for the motor vehicles of heading 87.01 through 87.05</w:t>
            </w:r>
          </w:p>
        </w:tc>
      </w:tr>
      <w:tr>
        <w:trPr>
          <w:cantSplit/>
        </w:trPr>
        <w:tc>
          <w:tcPr>
            <w:tcW w:type="dxa" w:w="4680"/>
            <w:shd w:fill="F5F7F8" w:val="clear" w:color="auto"/>
            <w:tcMar>
              <w:top w:w="70" w:type="dxa"/>
              <w:start w:w="110" w:type="dxa"/>
              <w:bottom w:w="70" w:type="dxa"/>
              <w:end w:w="110" w:type="dxa"/>
            </w:tcMar>
          </w:tcPr>
          <w:p>
            <w:pPr>
              <w:pStyle w:val="TableText"/>
            </w:pPr>
            <w:r>
              <w:rPr/>
              <w:t>8707.90</w:t>
            </w:r>
          </w:p>
        </w:tc>
        <w:tc>
          <w:tcPr>
            <w:tcW w:type="dxa" w:w="4680"/>
            <w:shd w:fill="F5F7F8" w:val="clear" w:color="auto"/>
            <w:tcMar>
              <w:top w:w="70" w:type="dxa"/>
              <w:start w:w="110" w:type="dxa"/>
              <w:bottom w:w="70" w:type="dxa"/>
              <w:end w:w="110" w:type="dxa"/>
            </w:tcMar>
          </w:tcPr>
          <w:p>
            <w:pPr>
              <w:pStyle w:val="TableText"/>
            </w:pPr>
            <w:r>
              <w:rPr/>
              <w:t>Bodies for the vehicles of heading 87.01, 87.02, 87.04 or 87.05</w:t>
            </w:r>
          </w:p>
        </w:tc>
      </w:tr>
      <w:tr>
        <w:trPr>
          <w:cantSplit/>
        </w:trPr>
        <w:tc>
          <w:tcPr>
            <w:tcW w:type="dxa" w:w="4680"/>
            <w:tcMar>
              <w:top w:w="70" w:type="dxa"/>
              <w:start w:w="110" w:type="dxa"/>
              <w:bottom w:w="70" w:type="dxa"/>
              <w:end w:w="110" w:type="dxa"/>
            </w:tcMar>
          </w:tcPr>
          <w:p>
            <w:pPr>
              <w:pStyle w:val="TableText"/>
            </w:pPr>
            <w:r>
              <w:rPr/>
              <w:t>8708.10</w:t>
            </w:r>
          </w:p>
        </w:tc>
        <w:tc>
          <w:tcPr>
            <w:tcW w:type="dxa" w:w="4680"/>
            <w:tcMar>
              <w:top w:w="70" w:type="dxa"/>
              <w:start w:w="110" w:type="dxa"/>
              <w:bottom w:w="70" w:type="dxa"/>
              <w:end w:w="110" w:type="dxa"/>
            </w:tcMar>
          </w:tcPr>
          <w:p>
            <w:pPr>
              <w:pStyle w:val="TableText"/>
            </w:pPr>
            <w:r>
              <w:rPr/>
              <w:t>Bumpers and parts thereof</w:t>
            </w:r>
          </w:p>
        </w:tc>
      </w:tr>
      <w:tr>
        <w:trPr>
          <w:cantSplit/>
        </w:trPr>
        <w:tc>
          <w:tcPr>
            <w:tcW w:type="dxa" w:w="4680"/>
            <w:shd w:fill="F5F7F8" w:val="clear" w:color="auto"/>
            <w:tcMar>
              <w:top w:w="70" w:type="dxa"/>
              <w:start w:w="110" w:type="dxa"/>
              <w:bottom w:w="70" w:type="dxa"/>
              <w:end w:w="110" w:type="dxa"/>
            </w:tcMar>
          </w:tcPr>
          <w:p>
            <w:pPr>
              <w:pStyle w:val="TableText"/>
            </w:pPr>
            <w:r>
              <w:rPr/>
              <w:t>8708.21</w:t>
            </w:r>
          </w:p>
        </w:tc>
        <w:tc>
          <w:tcPr>
            <w:tcW w:type="dxa" w:w="4680"/>
            <w:shd w:fill="F5F7F8" w:val="clear" w:color="auto"/>
            <w:tcMar>
              <w:top w:w="70" w:type="dxa"/>
              <w:start w:w="110" w:type="dxa"/>
              <w:bottom w:w="70" w:type="dxa"/>
              <w:end w:w="110" w:type="dxa"/>
            </w:tcMar>
          </w:tcPr>
          <w:p>
            <w:pPr>
              <w:pStyle w:val="TableText"/>
            </w:pPr>
            <w:r>
              <w:rPr/>
              <w:t>Safety seat belts</w:t>
            </w:r>
          </w:p>
        </w:tc>
      </w:tr>
      <w:tr>
        <w:trPr>
          <w:cantSplit/>
        </w:trPr>
        <w:tc>
          <w:tcPr>
            <w:tcW w:type="dxa" w:w="4680"/>
            <w:tcMar>
              <w:top w:w="70" w:type="dxa"/>
              <w:start w:w="110" w:type="dxa"/>
              <w:bottom w:w="70" w:type="dxa"/>
              <w:end w:w="110" w:type="dxa"/>
            </w:tcMar>
          </w:tcPr>
          <w:p>
            <w:pPr>
              <w:pStyle w:val="TableText"/>
            </w:pPr>
            <w:r>
              <w:rPr/>
              <w:t>8708.29</w:t>
            </w:r>
          </w:p>
        </w:tc>
        <w:tc>
          <w:tcPr>
            <w:tcW w:type="dxa" w:w="4680"/>
            <w:tcMar>
              <w:top w:w="70" w:type="dxa"/>
              <w:start w:w="110" w:type="dxa"/>
              <w:bottom w:w="70" w:type="dxa"/>
              <w:end w:w="110" w:type="dxa"/>
            </w:tcMar>
          </w:tcPr>
          <w:p>
            <w:pPr>
              <w:pStyle w:val="TableText"/>
            </w:pPr>
            <w:r>
              <w:rPr/>
              <w:t>Other parts and accessories of bodies (including cabs) of motor vehicles</w:t>
            </w:r>
          </w:p>
        </w:tc>
      </w:tr>
      <w:tr>
        <w:trPr>
          <w:cantSplit/>
        </w:trPr>
        <w:tc>
          <w:tcPr>
            <w:tcW w:type="dxa" w:w="4680"/>
            <w:shd w:fill="F5F7F8" w:val="clear" w:color="auto"/>
            <w:tcMar>
              <w:top w:w="70" w:type="dxa"/>
              <w:start w:w="110" w:type="dxa"/>
              <w:bottom w:w="70" w:type="dxa"/>
              <w:end w:w="110" w:type="dxa"/>
            </w:tcMar>
          </w:tcPr>
          <w:p>
            <w:pPr>
              <w:pStyle w:val="TableText"/>
            </w:pPr>
            <w:r>
              <w:rPr/>
              <w:t>8708.30</w:t>
            </w:r>
          </w:p>
        </w:tc>
        <w:tc>
          <w:tcPr>
            <w:tcW w:type="dxa" w:w="4680"/>
            <w:shd w:fill="F5F7F8" w:val="clear" w:color="auto"/>
            <w:tcMar>
              <w:top w:w="70" w:type="dxa"/>
              <w:start w:w="110" w:type="dxa"/>
              <w:bottom w:w="70" w:type="dxa"/>
              <w:end w:w="110" w:type="dxa"/>
            </w:tcMar>
          </w:tcPr>
          <w:p>
            <w:pPr>
              <w:pStyle w:val="TableText"/>
            </w:pPr>
            <w:r>
              <w:rPr/>
              <w:t>Brakes and servo-brakes; parts thereof</w:t>
            </w:r>
          </w:p>
        </w:tc>
      </w:tr>
      <w:tr>
        <w:trPr>
          <w:cantSplit/>
        </w:trPr>
        <w:tc>
          <w:tcPr>
            <w:tcW w:type="dxa" w:w="4680"/>
            <w:tcMar>
              <w:top w:w="70" w:type="dxa"/>
              <w:start w:w="110" w:type="dxa"/>
              <w:bottom w:w="70" w:type="dxa"/>
              <w:end w:w="110" w:type="dxa"/>
            </w:tcMar>
          </w:tcPr>
          <w:p>
            <w:pPr>
              <w:pStyle w:val="TableText"/>
            </w:pPr>
            <w:r>
              <w:rPr/>
              <w:t>8708.40</w:t>
            </w:r>
          </w:p>
        </w:tc>
        <w:tc>
          <w:tcPr>
            <w:tcW w:type="dxa" w:w="4680"/>
            <w:tcMar>
              <w:top w:w="70" w:type="dxa"/>
              <w:start w:w="110" w:type="dxa"/>
              <w:bottom w:w="70" w:type="dxa"/>
              <w:end w:w="110" w:type="dxa"/>
            </w:tcMar>
          </w:tcPr>
          <w:p>
            <w:pPr>
              <w:pStyle w:val="TableText"/>
            </w:pPr>
            <w:r>
              <w:rPr/>
              <w:t>Gear boxes and parts thereof</w:t>
            </w:r>
          </w:p>
        </w:tc>
      </w:tr>
      <w:tr>
        <w:trPr>
          <w:cantSplit/>
        </w:trPr>
        <w:tc>
          <w:tcPr>
            <w:tcW w:type="dxa" w:w="4680"/>
            <w:shd w:fill="F5F7F8" w:val="clear" w:color="auto"/>
            <w:tcMar>
              <w:top w:w="70" w:type="dxa"/>
              <w:start w:w="110" w:type="dxa"/>
              <w:bottom w:w="70" w:type="dxa"/>
              <w:end w:w="110" w:type="dxa"/>
            </w:tcMar>
          </w:tcPr>
          <w:p>
            <w:pPr>
              <w:pStyle w:val="TableText"/>
            </w:pPr>
            <w:r>
              <w:rPr/>
              <w:t>8708.50</w:t>
            </w:r>
          </w:p>
        </w:tc>
        <w:tc>
          <w:tcPr>
            <w:tcW w:type="dxa" w:w="4680"/>
            <w:shd w:fill="F5F7F8" w:val="clear" w:color="auto"/>
            <w:tcMar>
              <w:top w:w="70" w:type="dxa"/>
              <w:start w:w="110" w:type="dxa"/>
              <w:bottom w:w="70" w:type="dxa"/>
              <w:end w:w="110" w:type="dxa"/>
            </w:tcMar>
          </w:tcPr>
          <w:p>
            <w:pPr>
              <w:pStyle w:val="TableText"/>
            </w:pPr>
            <w:r>
              <w:rPr/>
              <w:t>Drive axles with differential, whether or not provided with other transmission components, and non-driving axles; and parts thereof</w:t>
            </w:r>
          </w:p>
        </w:tc>
      </w:tr>
      <w:tr>
        <w:trPr>
          <w:cantSplit/>
        </w:trPr>
        <w:tc>
          <w:tcPr>
            <w:tcW w:type="dxa" w:w="4680"/>
            <w:tcMar>
              <w:top w:w="70" w:type="dxa"/>
              <w:start w:w="110" w:type="dxa"/>
              <w:bottom w:w="70" w:type="dxa"/>
              <w:end w:w="110" w:type="dxa"/>
            </w:tcMar>
          </w:tcPr>
          <w:p>
            <w:pPr>
              <w:pStyle w:val="TableText"/>
            </w:pPr>
            <w:r>
              <w:rPr/>
              <w:t>8708.70</w:t>
            </w:r>
          </w:p>
        </w:tc>
        <w:tc>
          <w:tcPr>
            <w:tcW w:type="dxa" w:w="4680"/>
            <w:tcMar>
              <w:top w:w="70" w:type="dxa"/>
              <w:start w:w="110" w:type="dxa"/>
              <w:bottom w:w="70" w:type="dxa"/>
              <w:end w:w="110" w:type="dxa"/>
            </w:tcMar>
          </w:tcPr>
          <w:p>
            <w:pPr>
              <w:pStyle w:val="TableText"/>
            </w:pPr>
            <w:r>
              <w:rPr/>
              <w:t>Road wheels and parts and accessories thereof</w:t>
            </w:r>
          </w:p>
        </w:tc>
      </w:tr>
      <w:tr>
        <w:trPr>
          <w:cantSplit/>
        </w:trPr>
        <w:tc>
          <w:tcPr>
            <w:tcW w:type="dxa" w:w="4680"/>
            <w:shd w:fill="F5F7F8" w:val="clear" w:color="auto"/>
            <w:tcMar>
              <w:top w:w="70" w:type="dxa"/>
              <w:start w:w="110" w:type="dxa"/>
              <w:bottom w:w="70" w:type="dxa"/>
              <w:end w:w="110" w:type="dxa"/>
            </w:tcMar>
          </w:tcPr>
          <w:p>
            <w:pPr>
              <w:pStyle w:val="TableText"/>
            </w:pPr>
            <w:r>
              <w:rPr/>
              <w:t>8708.80</w:t>
            </w:r>
          </w:p>
        </w:tc>
        <w:tc>
          <w:tcPr>
            <w:tcW w:type="dxa" w:w="4680"/>
            <w:shd w:fill="F5F7F8" w:val="clear" w:color="auto"/>
            <w:tcMar>
              <w:top w:w="70" w:type="dxa"/>
              <w:start w:w="110" w:type="dxa"/>
              <w:bottom w:w="70" w:type="dxa"/>
              <w:end w:w="110" w:type="dxa"/>
            </w:tcMar>
          </w:tcPr>
          <w:p>
            <w:pPr>
              <w:pStyle w:val="TableText"/>
            </w:pPr>
            <w:r>
              <w:rPr/>
              <w:t>Suspension systems and parts thereof (including shock absorbers)</w:t>
            </w:r>
          </w:p>
        </w:tc>
      </w:tr>
      <w:tr>
        <w:trPr>
          <w:cantSplit/>
        </w:trPr>
        <w:tc>
          <w:tcPr>
            <w:tcW w:type="dxa" w:w="4680"/>
            <w:tcMar>
              <w:top w:w="70" w:type="dxa"/>
              <w:start w:w="110" w:type="dxa"/>
              <w:bottom w:w="70" w:type="dxa"/>
              <w:end w:w="110" w:type="dxa"/>
            </w:tcMar>
          </w:tcPr>
          <w:p>
            <w:pPr>
              <w:pStyle w:val="TableText"/>
            </w:pPr>
            <w:r>
              <w:rPr/>
              <w:t>8708.91</w:t>
            </w:r>
          </w:p>
        </w:tc>
        <w:tc>
          <w:tcPr>
            <w:tcW w:type="dxa" w:w="4680"/>
            <w:tcMar>
              <w:top w:w="70" w:type="dxa"/>
              <w:start w:w="110" w:type="dxa"/>
              <w:bottom w:w="70" w:type="dxa"/>
              <w:end w:w="110" w:type="dxa"/>
            </w:tcMar>
          </w:tcPr>
          <w:p>
            <w:pPr>
              <w:pStyle w:val="TableText"/>
            </w:pPr>
            <w:r>
              <w:rPr/>
              <w:t>Radiators and parts thereof</w:t>
            </w:r>
          </w:p>
        </w:tc>
      </w:tr>
      <w:tr>
        <w:trPr>
          <w:cantSplit/>
        </w:trPr>
        <w:tc>
          <w:tcPr>
            <w:tcW w:type="dxa" w:w="4680"/>
            <w:shd w:fill="F5F7F8" w:val="clear" w:color="auto"/>
            <w:tcMar>
              <w:top w:w="70" w:type="dxa"/>
              <w:start w:w="110" w:type="dxa"/>
              <w:bottom w:w="70" w:type="dxa"/>
              <w:end w:w="110" w:type="dxa"/>
            </w:tcMar>
          </w:tcPr>
          <w:p>
            <w:pPr>
              <w:pStyle w:val="TableText"/>
            </w:pPr>
            <w:r>
              <w:rPr/>
              <w:t>8708.92</w:t>
            </w:r>
          </w:p>
        </w:tc>
        <w:tc>
          <w:tcPr>
            <w:tcW w:type="dxa" w:w="4680"/>
            <w:shd w:fill="F5F7F8" w:val="clear" w:color="auto"/>
            <w:tcMar>
              <w:top w:w="70" w:type="dxa"/>
              <w:start w:w="110" w:type="dxa"/>
              <w:bottom w:w="70" w:type="dxa"/>
              <w:end w:w="110" w:type="dxa"/>
            </w:tcMar>
          </w:tcPr>
          <w:p>
            <w:pPr>
              <w:pStyle w:val="TableText"/>
            </w:pPr>
            <w:r>
              <w:rPr/>
              <w:t>Silencers (mufflers) and exhaust pipes; parts thereof</w:t>
            </w:r>
          </w:p>
        </w:tc>
      </w:tr>
      <w:tr>
        <w:trPr>
          <w:cantSplit/>
        </w:trPr>
        <w:tc>
          <w:tcPr>
            <w:tcW w:type="dxa" w:w="4680"/>
            <w:tcMar>
              <w:top w:w="70" w:type="dxa"/>
              <w:start w:w="110" w:type="dxa"/>
              <w:bottom w:w="70" w:type="dxa"/>
              <w:end w:w="110" w:type="dxa"/>
            </w:tcMar>
          </w:tcPr>
          <w:p>
            <w:pPr>
              <w:pStyle w:val="TableText"/>
            </w:pPr>
            <w:r>
              <w:rPr/>
              <w:t>8708.93</w:t>
            </w:r>
          </w:p>
        </w:tc>
        <w:tc>
          <w:tcPr>
            <w:tcW w:type="dxa" w:w="4680"/>
            <w:tcMar>
              <w:top w:w="70" w:type="dxa"/>
              <w:start w:w="110" w:type="dxa"/>
              <w:bottom w:w="70" w:type="dxa"/>
              <w:end w:w="110" w:type="dxa"/>
            </w:tcMar>
          </w:tcPr>
          <w:p>
            <w:pPr>
              <w:pStyle w:val="TableText"/>
            </w:pPr>
            <w:r>
              <w:rPr/>
              <w:t>Clutches and</w:t>
            </w:r>
          </w:p>
        </w:tc>
      </w:tr>
    </w:tbl>
    <w:p>
      <w:pPr>
        <w:pStyle w:val="Normal"/>
      </w:pPr>
      <w:r>
        <w:rPr>
          <w:b w:val="0"/>
        </w:rPr>
        <w:t>parts thereof 8708.94 Steering wheels, steering columns and steering boxes; parts thereof 8708.95 Safety airbags with inflator system; parts thereof 8708.99 Other parts and accessories of motor vehicles of headings 87.01 to 87.05 9401.20 Seats of a kind used for motor vehicles 4-B-1-42</w:t>
      </w:r>
    </w:p>
    <w:p>
      <w:pPr>
        <w:pStyle w:val="Normal"/>
      </w:pPr>
      <w:r>
        <w:rPr>
          <w:b/>
        </w:rPr>
        <w:t>TABLE E: COMPLEMENTARY PARTS FOR HEAVY TRUCKS</w:t>
      </w:r>
    </w:p>
    <w:p>
      <w:pPr>
        <w:pStyle w:val="Normal"/>
      </w:pPr>
      <w:r>
        <w:rPr>
          <w:b w:val="0"/>
        </w:rPr>
        <w:t>Note: The Regional Value Content requirements set out in Article 4 of this Appendix apply to a good for use in a heavy truck.</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HS Provision</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8413.50</w:t>
            </w:r>
          </w:p>
        </w:tc>
        <w:tc>
          <w:tcPr>
            <w:tcW w:type="dxa" w:w="4680"/>
            <w:tcMar>
              <w:top w:w="70" w:type="dxa"/>
              <w:start w:w="110" w:type="dxa"/>
              <w:bottom w:w="70" w:type="dxa"/>
              <w:end w:w="110" w:type="dxa"/>
            </w:tcMar>
          </w:tcPr>
          <w:p>
            <w:pPr>
              <w:pStyle w:val="TableText"/>
            </w:pPr>
            <w:r>
              <w:rPr/>
              <w:t>Other reciprocating positive displacement pumps</w:t>
            </w:r>
          </w:p>
        </w:tc>
      </w:tr>
      <w:tr>
        <w:trPr>
          <w:cantSplit/>
        </w:trPr>
        <w:tc>
          <w:tcPr>
            <w:tcW w:type="dxa" w:w="4680"/>
            <w:shd w:fill="F5F7F8" w:val="clear" w:color="auto"/>
            <w:tcMar>
              <w:top w:w="70" w:type="dxa"/>
              <w:start w:w="110" w:type="dxa"/>
              <w:bottom w:w="70" w:type="dxa"/>
              <w:end w:w="110" w:type="dxa"/>
            </w:tcMar>
          </w:tcPr>
          <w:p>
            <w:pPr>
              <w:pStyle w:val="TableText"/>
            </w:pPr>
            <w:r>
              <w:rPr/>
              <w:t>Ex 8479.89</w:t>
            </w:r>
          </w:p>
        </w:tc>
        <w:tc>
          <w:tcPr>
            <w:tcW w:type="dxa" w:w="4680"/>
            <w:shd w:fill="F5F7F8" w:val="clear" w:color="auto"/>
            <w:tcMar>
              <w:top w:w="70" w:type="dxa"/>
              <w:start w:w="110" w:type="dxa"/>
              <w:bottom w:w="70" w:type="dxa"/>
              <w:end w:w="110" w:type="dxa"/>
            </w:tcMar>
          </w:tcPr>
          <w:p>
            <w:pPr>
              <w:pStyle w:val="TableText"/>
            </w:pPr>
            <w:r>
              <w:rPr/>
              <w:t>Electronic brake systems, including ABS and ESC systems</w:t>
            </w:r>
          </w:p>
        </w:tc>
      </w:tr>
      <w:tr>
        <w:trPr>
          <w:cantSplit/>
        </w:trPr>
        <w:tc>
          <w:tcPr>
            <w:tcW w:type="dxa" w:w="4680"/>
            <w:tcMar>
              <w:top w:w="70" w:type="dxa"/>
              <w:start w:w="110" w:type="dxa"/>
              <w:bottom w:w="70" w:type="dxa"/>
              <w:end w:w="110" w:type="dxa"/>
            </w:tcMar>
          </w:tcPr>
          <w:p>
            <w:pPr>
              <w:pStyle w:val="TableText"/>
            </w:pPr>
            <w:r>
              <w:rPr/>
              <w:t>8482.10</w:t>
            </w:r>
          </w:p>
        </w:tc>
        <w:tc>
          <w:tcPr>
            <w:tcW w:type="dxa" w:w="4680"/>
            <w:tcMar>
              <w:top w:w="70" w:type="dxa"/>
              <w:start w:w="110" w:type="dxa"/>
              <w:bottom w:w="70" w:type="dxa"/>
              <w:end w:w="110" w:type="dxa"/>
            </w:tcMar>
          </w:tcPr>
          <w:p>
            <w:pPr>
              <w:pStyle w:val="TableText"/>
            </w:pPr>
            <w:r>
              <w:rPr/>
              <w:t>Ball bearings</w:t>
            </w:r>
          </w:p>
        </w:tc>
      </w:tr>
      <w:tr>
        <w:trPr>
          <w:cantSplit/>
        </w:trPr>
        <w:tc>
          <w:tcPr>
            <w:tcW w:type="dxa" w:w="4680"/>
            <w:shd w:fill="F5F7F8" w:val="clear" w:color="auto"/>
            <w:tcMar>
              <w:top w:w="70" w:type="dxa"/>
              <w:start w:w="110" w:type="dxa"/>
              <w:bottom w:w="70" w:type="dxa"/>
              <w:end w:w="110" w:type="dxa"/>
            </w:tcMar>
          </w:tcPr>
          <w:p>
            <w:pPr>
              <w:pStyle w:val="TableText"/>
            </w:pPr>
            <w:r>
              <w:rPr/>
              <w:t>8482.20</w:t>
            </w:r>
          </w:p>
        </w:tc>
        <w:tc>
          <w:tcPr>
            <w:tcW w:type="dxa" w:w="4680"/>
            <w:shd w:fill="F5F7F8" w:val="clear" w:color="auto"/>
            <w:tcMar>
              <w:top w:w="70" w:type="dxa"/>
              <w:start w:w="110" w:type="dxa"/>
              <w:bottom w:w="70" w:type="dxa"/>
              <w:end w:w="110" w:type="dxa"/>
            </w:tcMar>
          </w:tcPr>
          <w:p>
            <w:pPr>
              <w:pStyle w:val="TableText"/>
            </w:pPr>
            <w:r>
              <w:rPr/>
              <w:t>Tapered roller bearings, including cone and tapered roller assemblies</w:t>
            </w:r>
          </w:p>
        </w:tc>
      </w:tr>
      <w:tr>
        <w:trPr>
          <w:cantSplit/>
        </w:trPr>
        <w:tc>
          <w:tcPr>
            <w:tcW w:type="dxa" w:w="4680"/>
            <w:tcMar>
              <w:top w:w="70" w:type="dxa"/>
              <w:start w:w="110" w:type="dxa"/>
              <w:bottom w:w="70" w:type="dxa"/>
              <w:end w:w="110" w:type="dxa"/>
            </w:tcMar>
          </w:tcPr>
          <w:p>
            <w:pPr>
              <w:pStyle w:val="TableText"/>
            </w:pPr>
            <w:r>
              <w:rPr/>
              <w:t>8482.30</w:t>
            </w:r>
          </w:p>
        </w:tc>
        <w:tc>
          <w:tcPr>
            <w:tcW w:type="dxa" w:w="4680"/>
            <w:tcMar>
              <w:top w:w="70" w:type="dxa"/>
              <w:start w:w="110" w:type="dxa"/>
              <w:bottom w:w="70" w:type="dxa"/>
              <w:end w:w="110" w:type="dxa"/>
            </w:tcMar>
          </w:tcPr>
          <w:p>
            <w:pPr>
              <w:pStyle w:val="TableText"/>
            </w:pPr>
            <w:r>
              <w:rPr/>
              <w:t>Spherical roller bearings</w:t>
            </w:r>
          </w:p>
        </w:tc>
      </w:tr>
      <w:tr>
        <w:trPr>
          <w:cantSplit/>
        </w:trPr>
        <w:tc>
          <w:tcPr>
            <w:tcW w:type="dxa" w:w="4680"/>
            <w:shd w:fill="F5F7F8" w:val="clear" w:color="auto"/>
            <w:tcMar>
              <w:top w:w="70" w:type="dxa"/>
              <w:start w:w="110" w:type="dxa"/>
              <w:bottom w:w="70" w:type="dxa"/>
              <w:end w:w="110" w:type="dxa"/>
            </w:tcMar>
          </w:tcPr>
          <w:p>
            <w:pPr>
              <w:pStyle w:val="TableText"/>
            </w:pPr>
            <w:r>
              <w:rPr/>
              <w:t>8482.40</w:t>
            </w:r>
          </w:p>
        </w:tc>
        <w:tc>
          <w:tcPr>
            <w:tcW w:type="dxa" w:w="4680"/>
            <w:shd w:fill="F5F7F8" w:val="clear" w:color="auto"/>
            <w:tcMar>
              <w:top w:w="70" w:type="dxa"/>
              <w:start w:w="110" w:type="dxa"/>
              <w:bottom w:w="70" w:type="dxa"/>
              <w:end w:w="110" w:type="dxa"/>
            </w:tcMar>
          </w:tcPr>
          <w:p>
            <w:pPr>
              <w:pStyle w:val="TableText"/>
            </w:pPr>
            <w:r>
              <w:rPr/>
              <w:t>Needle roller bearings</w:t>
            </w:r>
          </w:p>
        </w:tc>
      </w:tr>
      <w:tr>
        <w:trPr>
          <w:cantSplit/>
        </w:trPr>
        <w:tc>
          <w:tcPr>
            <w:tcW w:type="dxa" w:w="4680"/>
            <w:tcMar>
              <w:top w:w="70" w:type="dxa"/>
              <w:start w:w="110" w:type="dxa"/>
              <w:bottom w:w="70" w:type="dxa"/>
              <w:end w:w="110" w:type="dxa"/>
            </w:tcMar>
          </w:tcPr>
          <w:p>
            <w:pPr>
              <w:pStyle w:val="TableText"/>
            </w:pPr>
            <w:r>
              <w:rPr/>
              <w:t>8482.50</w:t>
            </w:r>
          </w:p>
        </w:tc>
        <w:tc>
          <w:tcPr>
            <w:tcW w:type="dxa" w:w="4680"/>
            <w:tcMar>
              <w:top w:w="70" w:type="dxa"/>
              <w:start w:w="110" w:type="dxa"/>
              <w:bottom w:w="70" w:type="dxa"/>
              <w:end w:w="110" w:type="dxa"/>
            </w:tcMar>
          </w:tcPr>
          <w:p>
            <w:pPr>
              <w:pStyle w:val="TableText"/>
            </w:pPr>
            <w:r>
              <w:rPr/>
              <w:t>Other cylindrical roller bearings</w:t>
            </w:r>
          </w:p>
        </w:tc>
      </w:tr>
      <w:tr>
        <w:trPr>
          <w:cantSplit/>
        </w:trPr>
        <w:tc>
          <w:tcPr>
            <w:tcW w:type="dxa" w:w="4680"/>
            <w:shd w:fill="F5F7F8" w:val="clear" w:color="auto"/>
            <w:tcMar>
              <w:top w:w="70" w:type="dxa"/>
              <w:start w:w="110" w:type="dxa"/>
              <w:bottom w:w="70" w:type="dxa"/>
              <w:end w:w="110" w:type="dxa"/>
            </w:tcMar>
          </w:tcPr>
          <w:p>
            <w:pPr>
              <w:pStyle w:val="TableText"/>
            </w:pPr>
            <w:r>
              <w:rPr/>
              <w:t>8483.20</w:t>
            </w:r>
          </w:p>
        </w:tc>
        <w:tc>
          <w:tcPr>
            <w:tcW w:type="dxa" w:w="4680"/>
            <w:shd w:fill="F5F7F8" w:val="clear" w:color="auto"/>
            <w:tcMar>
              <w:top w:w="70" w:type="dxa"/>
              <w:start w:w="110" w:type="dxa"/>
              <w:bottom w:w="70" w:type="dxa"/>
              <w:end w:w="110" w:type="dxa"/>
            </w:tcMar>
          </w:tcPr>
          <w:p>
            <w:pPr>
              <w:pStyle w:val="TableText"/>
            </w:pPr>
            <w:r>
              <w:rPr/>
              <w:t>Bearing housings, incorporating ball or roller bearings</w:t>
            </w:r>
          </w:p>
        </w:tc>
      </w:tr>
      <w:tr>
        <w:trPr>
          <w:cantSplit/>
        </w:trPr>
        <w:tc>
          <w:tcPr>
            <w:tcW w:type="dxa" w:w="4680"/>
            <w:tcMar>
              <w:top w:w="70" w:type="dxa"/>
              <w:start w:w="110" w:type="dxa"/>
              <w:bottom w:w="70" w:type="dxa"/>
              <w:end w:w="110" w:type="dxa"/>
            </w:tcMar>
          </w:tcPr>
          <w:p>
            <w:pPr>
              <w:pStyle w:val="TableText"/>
            </w:pPr>
            <w:r>
              <w:rPr/>
              <w:t>8483.30</w:t>
            </w:r>
          </w:p>
        </w:tc>
        <w:tc>
          <w:tcPr>
            <w:tcW w:type="dxa" w:w="4680"/>
            <w:tcMar>
              <w:top w:w="70" w:type="dxa"/>
              <w:start w:w="110" w:type="dxa"/>
              <w:bottom w:w="70" w:type="dxa"/>
              <w:end w:w="110" w:type="dxa"/>
            </w:tcMar>
          </w:tcPr>
          <w:p>
            <w:pPr>
              <w:pStyle w:val="TableText"/>
            </w:pPr>
            <w:r>
              <w:rPr/>
              <w:t>Bearing housings, not incorporating ball or roller bearings; plain shaft bearings</w:t>
            </w:r>
          </w:p>
        </w:tc>
      </w:tr>
      <w:tr>
        <w:trPr>
          <w:cantSplit/>
        </w:trPr>
        <w:tc>
          <w:tcPr>
            <w:tcW w:type="dxa" w:w="4680"/>
            <w:shd w:fill="F5F7F8" w:val="clear" w:color="auto"/>
            <w:tcMar>
              <w:top w:w="70" w:type="dxa"/>
              <w:start w:w="110" w:type="dxa"/>
              <w:bottom w:w="70" w:type="dxa"/>
              <w:end w:w="110" w:type="dxa"/>
            </w:tcMar>
          </w:tcPr>
          <w:p>
            <w:pPr>
              <w:pStyle w:val="TableText"/>
            </w:pPr>
            <w:r>
              <w:rPr/>
              <w:t>8483.60</w:t>
            </w:r>
          </w:p>
        </w:tc>
        <w:tc>
          <w:tcPr>
            <w:tcW w:type="dxa" w:w="4680"/>
            <w:shd w:fill="F5F7F8" w:val="clear" w:color="auto"/>
            <w:tcMar>
              <w:top w:w="70" w:type="dxa"/>
              <w:start w:w="110" w:type="dxa"/>
              <w:bottom w:w="70" w:type="dxa"/>
              <w:end w:w="110" w:type="dxa"/>
            </w:tcMar>
          </w:tcPr>
          <w:p>
            <w:pPr>
              <w:pStyle w:val="TableText"/>
            </w:pPr>
            <w:r>
              <w:rPr/>
              <w:t>Clutches and shaft couplings (including universal joints)</w:t>
            </w:r>
          </w:p>
        </w:tc>
      </w:tr>
      <w:tr>
        <w:trPr>
          <w:cantSplit/>
        </w:trPr>
        <w:tc>
          <w:tcPr>
            <w:tcW w:type="dxa" w:w="4680"/>
            <w:tcMar>
              <w:top w:w="70" w:type="dxa"/>
              <w:start w:w="110" w:type="dxa"/>
              <w:bottom w:w="70" w:type="dxa"/>
              <w:end w:w="110" w:type="dxa"/>
            </w:tcMar>
          </w:tcPr>
          <w:p>
            <w:pPr>
              <w:pStyle w:val="TableText"/>
            </w:pPr>
            <w:r>
              <w:rPr/>
              <w:t>8505.20</w:t>
            </w:r>
          </w:p>
        </w:tc>
        <w:tc>
          <w:tcPr>
            <w:tcW w:type="dxa" w:w="4680"/>
            <w:tcMar>
              <w:top w:w="70" w:type="dxa"/>
              <w:start w:w="110" w:type="dxa"/>
              <w:bottom w:w="70" w:type="dxa"/>
              <w:end w:w="110" w:type="dxa"/>
            </w:tcMar>
          </w:tcPr>
          <w:p>
            <w:pPr>
              <w:pStyle w:val="TableText"/>
            </w:pPr>
            <w:r>
              <w:rPr/>
              <w:t>Electro-magnetic couplings, clutches and brakes</w:t>
            </w:r>
          </w:p>
        </w:tc>
      </w:tr>
      <w:tr>
        <w:trPr>
          <w:cantSplit/>
        </w:trPr>
        <w:tc>
          <w:tcPr>
            <w:tcW w:type="dxa" w:w="4680"/>
            <w:shd w:fill="F5F7F8" w:val="clear" w:color="auto"/>
            <w:tcMar>
              <w:top w:w="70" w:type="dxa"/>
              <w:start w:w="110" w:type="dxa"/>
              <w:bottom w:w="70" w:type="dxa"/>
              <w:end w:w="110" w:type="dxa"/>
            </w:tcMar>
          </w:tcPr>
          <w:p>
            <w:pPr>
              <w:pStyle w:val="TableText"/>
            </w:pPr>
            <w:r>
              <w:rPr/>
              <w:t>8505.90</w:t>
            </w:r>
          </w:p>
        </w:tc>
        <w:tc>
          <w:tcPr>
            <w:tcW w:type="dxa" w:w="4680"/>
            <w:shd w:fill="F5F7F8" w:val="clear" w:color="auto"/>
            <w:tcMar>
              <w:top w:w="70" w:type="dxa"/>
              <w:start w:w="110" w:type="dxa"/>
              <w:bottom w:w="70" w:type="dxa"/>
              <w:end w:w="110" w:type="dxa"/>
            </w:tcMar>
          </w:tcPr>
          <w:p>
            <w:pPr>
              <w:pStyle w:val="TableText"/>
            </w:pPr>
            <w:r>
              <w:rPr/>
              <w:t>Other electro-magnets; electro-magnetic or permanent magnet chucks, clamps and similar holding devices; electro-magnetic lifting heads; including parts</w:t>
            </w:r>
          </w:p>
        </w:tc>
      </w:tr>
      <w:tr>
        <w:trPr>
          <w:cantSplit/>
        </w:trPr>
        <w:tc>
          <w:tcPr>
            <w:tcW w:type="dxa" w:w="4680"/>
            <w:tcMar>
              <w:top w:w="70" w:type="dxa"/>
              <w:start w:w="110" w:type="dxa"/>
              <w:bottom w:w="70" w:type="dxa"/>
              <w:end w:w="110" w:type="dxa"/>
            </w:tcMar>
          </w:tcPr>
          <w:p>
            <w:pPr>
              <w:pStyle w:val="TableText"/>
            </w:pPr>
            <w:r>
              <w:rPr/>
              <w:t>8507.60</w:t>
            </w:r>
          </w:p>
        </w:tc>
        <w:tc>
          <w:tcPr>
            <w:tcW w:type="dxa" w:w="4680"/>
            <w:tcMar>
              <w:top w:w="70" w:type="dxa"/>
              <w:start w:w="110" w:type="dxa"/>
              <w:bottom w:w="70" w:type="dxa"/>
              <w:end w:w="110" w:type="dxa"/>
            </w:tcMar>
          </w:tcPr>
          <w:p>
            <w:pPr>
              <w:pStyle w:val="TableText"/>
            </w:pPr>
            <w:r>
              <w:rPr/>
              <w:t>Lithium-ion batteries</w:t>
            </w:r>
          </w:p>
        </w:tc>
      </w:tr>
      <w:tr>
        <w:trPr>
          <w:cantSplit/>
        </w:trPr>
        <w:tc>
          <w:tcPr>
            <w:tcW w:type="dxa" w:w="4680"/>
            <w:shd w:fill="F5F7F8" w:val="clear" w:color="auto"/>
            <w:tcMar>
              <w:top w:w="70" w:type="dxa"/>
              <w:start w:w="110" w:type="dxa"/>
              <w:bottom w:w="70" w:type="dxa"/>
              <w:end w:w="110" w:type="dxa"/>
            </w:tcMar>
          </w:tcPr>
          <w:p>
            <w:pPr>
              <w:pStyle w:val="TableText"/>
            </w:pPr>
            <w:r>
              <w:rPr/>
              <w:t>8511.80</w:t>
            </w:r>
          </w:p>
        </w:tc>
        <w:tc>
          <w:tcPr>
            <w:tcW w:type="dxa" w:w="4680"/>
            <w:shd w:fill="F5F7F8" w:val="clear" w:color="auto"/>
            <w:tcMar>
              <w:top w:w="70" w:type="dxa"/>
              <w:start w:w="110" w:type="dxa"/>
              <w:bottom w:w="70" w:type="dxa"/>
              <w:end w:w="110" w:type="dxa"/>
            </w:tcMar>
          </w:tcPr>
          <w:p>
            <w:pPr>
              <w:pStyle w:val="TableText"/>
            </w:pPr>
            <w:r>
              <w:rPr/>
              <w:t>Other electrical ignition or starting equipment of a kind used for spark-ignition or compression-ignition internal combustion engines</w:t>
            </w:r>
          </w:p>
        </w:tc>
      </w:tr>
      <w:tr>
        <w:trPr>
          <w:cantSplit/>
        </w:trPr>
        <w:tc>
          <w:tcPr>
            <w:tcW w:type="dxa" w:w="4680"/>
            <w:tcMar>
              <w:top w:w="70" w:type="dxa"/>
              <w:start w:w="110" w:type="dxa"/>
              <w:bottom w:w="70" w:type="dxa"/>
              <w:end w:w="110" w:type="dxa"/>
            </w:tcMar>
          </w:tcPr>
          <w:p>
            <w:pPr>
              <w:pStyle w:val="TableText"/>
            </w:pPr>
            <w:r>
              <w:rPr/>
              <w:t>8511.90</w:t>
            </w:r>
          </w:p>
        </w:tc>
        <w:tc>
          <w:tcPr>
            <w:tcW w:type="dxa" w:w="4680"/>
            <w:tcMar>
              <w:top w:w="70" w:type="dxa"/>
              <w:start w:w="110" w:type="dxa"/>
              <w:bottom w:w="70" w:type="dxa"/>
              <w:end w:w="110" w:type="dxa"/>
            </w:tcMar>
          </w:tcPr>
          <w:p>
            <w:pPr>
              <w:pStyle w:val="TableText"/>
            </w:pPr>
            <w:r>
              <w:rPr/>
              <w:t>Parts of electrical ignition or starting equipment of a kind used for spark-ignition or</w:t>
            </w:r>
          </w:p>
        </w:tc>
      </w:tr>
    </w:tbl>
    <w:p>
      <w:pPr>
        <w:pStyle w:val="Normal"/>
      </w:pPr>
      <w:r>
        <w:t>compression-ignition internal combustion engines or generators and cut-outs of a kind used in conjunction with such engines 4-B-1-43 TABLE F PARTS FOR OTHER VEHICLES Note: The Regional Value Content requirements set out in Article 10 of this Appendix apply to a good for use in a vehicle specified in paragraphs 1 and 2 of Article 10 of this Appendix.</w:t>
      </w:r>
    </w:p>
    <w:p>
      <w:pPr>
        <w:pStyle w:val="Normal"/>
      </w:pPr>
      <w:r>
        <w:t>HS 2012 Description 40.09 Tubes, pipes and hoses 4010.31 Endless transmission belts (V-belts), V-ribbed, of an outside circumference exceeding 60 cm but not exceeding 180 cm 4010.32 Endless transmission belts (V-belts), other than V-ribbed, of an outside circumference exceeding 60 cm but not exceeding 180 cm 4010.33 Endless transmission belts (V-belts), V-ribbed, of an outside circumference exceeding 180 cm but not exceeding 240 cm 4010.34 Endless transmission belts (V-belts), other than V-ribbed, of an outside circumference exceeding 180 cm but not exceeding 240 cm 4010.39.aa Other endless transmission belts (V-belts) 40.11 New pneumatic tires, of rubber 4016.93.aa Gaskets, washers and other seals of vulcanised rubber other than hard rubber 4016.99.aa Vibration control goods 7007.11 Toughened (tempered) safety glass of a size and shape suitable for incorporation in vehicles 7007.21 Laminated safety glass of a size and shape suitable for incorporation in vehicles 7009.10 Rearview mirrors for vehicles 8301.20 Locks of a kind used for motor vehicles 8407.31 Reciprocating piston engines of a kind used for the propulsion of passenger</w:t>
      </w:r>
    </w:p>
    <w:p>
      <w:pPr>
        <w:pStyle w:val="Normal"/>
      </w:pPr>
      <w:r>
        <w:t>vehicles of Chapter 87, of a cylinder capacity not exceeding 50 cc 8407.32 Reciprocating piston engines of a kind used for the propulsion of vehicles of Chapter 87, of a cylinder capacity exceeding 50 cc but not exceeding 250 cc 4-B-1-44 8407.33 8407.34.aa 8407.34.bb 8408.20 84.09 8413.30 8414.80.aa 8414.59.aa 8415.20 8421.39.aa 8481.20 8481.30 8481.80 8482.10 through 8482.80 8483.10 8483.20 8483.30</w:t>
      </w:r>
    </w:p>
    <w:p>
      <w:pPr>
        <w:pStyle w:val="Normal"/>
      </w:pPr>
      <w:r>
        <w:t>8483.40 Reciprocating piston engines of a kind used for the propulsion of vehicles of Chapter 87, of a cylinder capacity exceeding 250 cc but not exceeding 1,000 cc Reciprocating piston engines of a kind used for the propulsion of vehicles of Chapter 87, of a cylinder capacity exceeding 1,000 cc but not exceeding 2,000cc Reciprocating piston engines of a kind used for the propulsion of vehicles of Chapter 87, of a cylinder capacity exceeding 2,000 cc Compression-ignition internal combustion piston engines of a kind used for the propulsion of vehicles of Chapter 87 Parts suitable for use solely or principally with spark-ignition internal combustion piston engines Fuel, lubricating or cooling medium pumps for internal combustion piston engines Other air or gas pumps, compressors and fans (turbochargers and superchargers for motor vehicles, where not provided for under subheading 8414.59) Other fans (turbochargers and superchargers for motor vehicles, where not provided for under subheading 8414.80) Air conditioning machines, comprising a motor-driven fan and elements for changing</w:t>
      </w:r>
    </w:p>
    <w:p>
      <w:pPr>
        <w:pStyle w:val="Normal"/>
      </w:pPr>
      <w:r>
        <w:t>the temperature and humidity, including those machines in which humidity cannot be separately regulated, of a kind used for persons, in motor vehicles Catalytic converters Valves for oleohydraulic or pneumatic transmissions Check (nonreturn) valves Other taps, cocks, valves and similar appliances, including pressure-reducing valves and thermostatically controlled valves Ball or roller bearings Transmission shafts (including cam shafts and crank shafts) and cranks Bearing housings, incorporating ball or roller bearings Bearing housings; not incorporating ball or roller bearings; plain shaft bearings Gears and gearing, other than toothed wheels, chain sprockets 4-B-1-45 8483.50 8501.10 8501.20 8501.31 8501.32.aa 8507.20.aa, 8507.30.aa, 8507.40.aa and 8507.80.aa 8511.30 8511.40 8511.50 8512.20 8512.40 ex 8519.81 8527.21 8527.29 8536.50 8536.90 8537.10.bb 8539.10 8539.21 8544.30 87.06 and other transmission elements presented separately; ball or roller screws;</w:t>
      </w:r>
    </w:p>
    <w:p>
      <w:pPr>
        <w:pStyle w:val="Normal"/>
      </w:pPr>
      <w:r>
        <w:t>gear boxes and other speed changes, including torque converters Flywheels and pulleys, including pulley blocks Electric motors and generators of an output not exceeding 37.5 W Universal AC/DC motors of an output exceeding 37.5 W Other DC motors and generators of an output not exceeding 750 W Other DC motors and generators of an output exceeding 750W but not exceeding 75 kW of a kind used for the propulsion of vehicles of Chapter 87 Batteries that provide primary source for electric cars Distributors; ignition coils Starter</w:t>
      </w:r>
    </w:p>
    <w:p>
      <w:pPr>
        <w:pStyle w:val="Normal"/>
      </w:pPr>
      <w:r>
        <w:t>motors and dual purpose starter-generators of a kind used for spark-ignition or compressing-ignition internal combustion engines Other generators Other lighting or visual signalling equipment Windshield wipers, defrosters and demisters Cassette decks Radios combined with cassette players Radios Other electrical switches, for a voltage not exceeding 1,000 V Junction boxes Motor control centers Sealed beam lamp units Tungsten halogen filament lamp Ignition wiring sets and other wiring sets of a kind used in vehicles Chassis fitted with engines, for the motor vehicles of heading 87.01 through 87.05 4-B-1-46 87.07 8708.10.aa 8708.21 8708.29.aa 8708.29.cc 8708.30 8708.40 8708.50 8708.70.aa 8708.80 8708.91 8708.92 8708.93.aa 8708.94 8708.95 8708.99.aa 8708.99.bb 8708.99.ee 8708.99.hh 9031.80 9032.89 9401.20 Bodies (including cabs) for the motor vehicles of headings 87.01 to 87.05 Bumpers (but not parts thereof) Safety seat belts Body stampings Door assemblies Brakes and servo-brakes;</w:t>
      </w:r>
    </w:p>
    <w:p>
      <w:pPr>
        <w:pStyle w:val="Normal"/>
      </w:pPr>
      <w:r>
        <w:t>parts thereof Gear boxes and parts thereof Drive axles with differential, whether or not provided with other transmission components, and non-driving axles Road wheels, but not parts or accessories thereof Suspension systems and parts thereof (including shock absorbers) Radiators and parts thereof Silencers (mufflers) and exhaust pipes; parts thereof Clutches (but not parts thereof) Steering wheels, steering columns and steering boxes; parts thereof Safety airbags with inflator systems, and parts</w:t>
      </w:r>
    </w:p>
    <w:p>
      <w:pPr>
        <w:pStyle w:val="Normal"/>
      </w:pPr>
      <w:r>
        <w:rPr>
          <w:b w:val="0"/>
        </w:rPr>
        <w:t>thereof Vibration control goods containing rubber Double flanged wheel hub units incorporating ball bearings Other parts for powertrains Other parts and accessories not provided for elsewhere in subheading 8708.99 Other measuring and checking instruments, appliances &amp; machines Other automatic regulating or controlling instruments and apparatus Seats of a kind used for motor vehicles</w:t>
      </w:r>
    </w:p>
    <w:p>
      <w:pPr>
        <w:pStyle w:val="Normal"/>
      </w:pPr>
      <w:r>
        <w:rPr>
          <w:b/>
        </w:rPr>
        <w:t>TABLE G: LIST OF COMPONENTS AND MATERIALS FOR OTHER VEHICLES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Component</w:t>
            </w:r>
          </w:p>
        </w:tc>
        <w:tc>
          <w:tcPr>
            <w:tcW w:type="dxa" w:w="4680"/>
            <w:tcBorders>
              <w:bottom w:val="single" w:sz="6" w:space="0" w:color="546E7A"/>
            </w:tcBorders>
            <w:shd w:fill="E4E9EC" w:val="clear" w:color="auto"/>
          </w:tcPr>
          <w:p>
            <w:pPr>
              <w:pStyle w:val="TableText"/>
            </w:pPr>
            <w:r>
              <w:rPr>
                <w:b/>
                <w:color w:val="37474F"/>
              </w:rPr>
              <w:t>Materials</w:t>
            </w:r>
          </w:p>
        </w:tc>
      </w:tr>
      <w:tr>
        <w:trPr>
          <w:cantSplit/>
        </w:trPr>
        <w:tc>
          <w:tcPr>
            <w:tcW w:type="dxa" w:w="4680"/>
            <w:tcMar>
              <w:top w:w="70" w:type="dxa"/>
              <w:start w:w="110" w:type="dxa"/>
              <w:bottom w:w="70" w:type="dxa"/>
              <w:end w:w="110" w:type="dxa"/>
            </w:tcMar>
          </w:tcPr>
          <w:p>
            <w:pPr>
              <w:pStyle w:val="TableText"/>
            </w:pPr>
            <w:r>
              <w:rPr/>
              <w:t>Engines provided for in heading 84.07 or 84.08</w:t>
            </w:r>
          </w:p>
        </w:tc>
        <w:tc>
          <w:tcPr>
            <w:tcW w:type="dxa" w:w="4680"/>
            <w:tcMar>
              <w:top w:w="70" w:type="dxa"/>
              <w:start w:w="110" w:type="dxa"/>
              <w:bottom w:w="70" w:type="dxa"/>
              <w:end w:w="110" w:type="dxa"/>
            </w:tcMar>
          </w:tcPr>
          <w:p>
            <w:pPr>
              <w:pStyle w:val="TableText"/>
            </w:pPr>
            <w:r>
              <w:rPr/>
              <w:t>cast block, cast head, fuel nozzle, fuel injector pumps, glow plugs, turbochargers and superchargers, electronic engine controls, intake manifold, exhaust manifold, intake/exhaust valves, crankshaft/camshaft, alternator, starter, air cleaner assembly, pistons, connecting rods and assemblies made therefrom (or rotor assemblies for rotary engines), flywheel (for manual transmissions), flexplate (for automatic transmissions), oil pan, oil pump and pressure regulator, water pump, crankshaft and camshaft gears, and radiator assemblies or charge-air coolers.</w:t>
            </w:r>
          </w:p>
        </w:tc>
      </w:tr>
      <w:tr>
        <w:trPr>
          <w:cantSplit/>
        </w:trPr>
        <w:tc>
          <w:tcPr>
            <w:tcW w:type="dxa" w:w="4680"/>
            <w:shd w:fill="F5F7F8" w:val="clear" w:color="auto"/>
            <w:tcMar>
              <w:top w:w="70" w:type="dxa"/>
              <w:start w:w="110" w:type="dxa"/>
              <w:bottom w:w="70" w:type="dxa"/>
              <w:end w:w="110" w:type="dxa"/>
            </w:tcMar>
          </w:tcPr>
          <w:p>
            <w:pPr>
              <w:pStyle w:val="TableText"/>
            </w:pPr>
            <w:r>
              <w:rPr/>
              <w:t>Gear boxes (transmissions) provided for in subheading 8708.40</w:t>
            </w:r>
          </w:p>
        </w:tc>
        <w:tc>
          <w:tcPr>
            <w:tcW w:type="dxa" w:w="4680"/>
            <w:shd w:fill="F5F7F8" w:val="clear" w:color="auto"/>
            <w:tcMar>
              <w:top w:w="70" w:type="dxa"/>
              <w:start w:w="110" w:type="dxa"/>
              <w:bottom w:w="70" w:type="dxa"/>
              <w:end w:w="110" w:type="dxa"/>
            </w:tcMar>
          </w:tcPr>
          <w:p>
            <w:pPr>
              <w:pStyle w:val="TableText"/>
            </w:pPr>
            <w:r>
              <w:rPr/>
              <w:t>(a) for manual transmissions - transmission case and clutch housing; clutch; internal shifting mechanism; gear sets, synchronizers and shafts; and (b) for torque convertor type transmissions - transmission case and convertor housing; torque convertor assembly; gear sets and clutches; and electronic transmission controls.</w:t>
            </w:r>
          </w:p>
        </w:tc>
      </w:tr>
    </w:tbl>
    <w:p>
      <w:pPr>
        <w:pStyle w:val="Normal"/>
      </w:pPr>
      <w:r>
        <w:t>4-B-1-48</w:t>
      </w:r>
    </w:p>
    <w:p>
      <w:pPr>
        <w:pStyle w:val="ModHeading"/>
      </w:pPr>
      <w:bookmarkStart w:id="900163" w:name="_Toc300000162"/>
      <w:r>
        <w:t>CHAPTER 4: CUSMA 2.0 MODERNIZATION PROVISIONS</w:t>
      </w:r>
      <w:bookmarkEnd w:id="900163"/>
    </w:p>
    <w:p>
      <w:pPr>
        <w:pStyle w:val="Normal"/>
      </w:pPr>
      <w:r>
        <w:rPr>
          <w:i/>
        </w:rPr>
        <w:t>The provisions of this Part amend Chapter 4 (Rules of Origin) and its Annexes. Product-specific rules in Annex 4-B, including the Appendix on automotive goods, remain in force except as expressly amended below.</w:t>
      </w:r>
    </w:p>
    <w:p>
      <w:pPr>
        <w:pStyle w:val="Heading2"/>
      </w:pPr>
      <w:bookmarkStart w:id="900164" w:name="_Toc300000163"/>
      <w:r>
        <w:t>Article 4.A: Modernized General Origin Provisions</w:t>
      </w:r>
      <w:bookmarkEnd w:id="900164"/>
    </w:p>
    <w:p>
      <w:pPr>
        <w:pStyle w:val="Heading2"/>
      </w:pPr>
      <w:bookmarkStart w:id="900165" w:name="_Toc300000164"/>
      <w:r>
        <w:t>Article 4.A.1: North American Origin as the Organizing Concept</w:t>
      </w:r>
      <w:bookmarkEnd w:id="900165"/>
    </w:p>
    <w:p>
      <w:pPr>
        <w:pStyle w:val="Normal"/>
      </w:pPr>
      <w:r>
        <w:t>1. Origin under this Agreement is North American origin. A good is originating when it satisfies the applicable rule of origin in this Chapter and Annex 4-B, and originating status is a single regional status; it is not conditioned on the share of the good’s content attributable to any one Party.</w:t>
      </w:r>
    </w:p>
    <w:p>
      <w:pPr>
        <w:pStyle w:val="Normal"/>
      </w:pPr>
      <w:r>
        <w:t>2. For greater certainty, the accumulation rule in Article 4.11 (Accumulation) applies to production carried out in the territories of all Parties collectively, and no provision of this Agreement establishes a minimum content requirement measured by reference to a single Party’s territory.</w:t>
      </w:r>
    </w:p>
    <w:p>
      <w:pPr>
        <w:pStyle w:val="Normal"/>
      </w:pPr>
      <w:r>
        <w:t>3. No Party shall administer this Chapter so as to impose, in practice, a single-Party content requirement as a condition of preferential treatment.</w:t>
      </w:r>
    </w:p>
    <w:p>
      <w:pPr>
        <w:pStyle w:val="Normal"/>
      </w:pPr>
      <w:r>
        <w:t>4. A Party-specific content condition shall not be used to deny preferential treatment to a good that otherwise satisfies the applicable Party-neutral rule of origin under this Chapter and Annex 4-B. A measure alleged to operate as a de facto Party-specific content quota may be reviewed under Article 4.A.2C.</w:t>
      </w:r>
    </w:p>
    <w:p>
      <w:pPr>
        <w:pStyle w:val="Heading2"/>
      </w:pPr>
      <w:bookmarkStart w:id="900166" w:name="_Toc300000165"/>
      <w:r>
        <w:t>Article 4.A.2: Automotive Goods, Modernized Architecture</w:t>
      </w:r>
      <w:bookmarkEnd w:id="900166"/>
    </w:p>
    <w:p>
      <w:pPr>
        <w:pStyle w:val="Normal"/>
      </w:pPr>
      <w:r>
        <w:t>1. The regional value content thresholds for passenger vehicles, light trucks, heavy trucks, and parts in the Appendix to Annex 4-B remain as provided therein, subject to the transition schedules in force.</w:t>
      </w:r>
    </w:p>
    <w:p>
      <w:pPr>
        <w:pStyle w:val="Normal"/>
      </w:pPr>
      <w:r>
        <w:t>2. Notwithstanding paragraph 1, the Parties shall, within 24 months after entry into force of the Protocol of Modernization, conclude a technical modernization of the Appendix to Annex 4-B through a Commission instrument adopted by consensus, published by the Secretariat, and incorporated into the applicable Annex or implementing schedule in accordance with this Agreement. The modernization shall address, at a minimum:</w:t>
      </w:r>
    </w:p>
    <w:p>
      <w:pPr>
        <w:pStyle w:val="Normal"/>
      </w:pPr>
      <w:r>
        <w:t>(a) the treatment of electric vehicles, including batteries, cells, cathode and anode active materials, power electronics, and electric drive units, as core, principal, or complementary parts as technically appropriate;</w:t>
      </w:r>
    </w:p>
    <w:p>
      <w:pPr>
        <w:pStyle w:val="Normal"/>
      </w:pPr>
      <w:r>
        <w:t>(b) the treatment of vehicle software, sensors, and electronic systems in the value calculation, including their valuation where bundled with originating hardware;</w:t>
      </w:r>
    </w:p>
    <w:p>
      <w:pPr>
        <w:pStyle w:val="Normal"/>
      </w:pPr>
      <w:r>
        <w:t>(c) a clarified and simplified regional value content methodology, with reduced scope for divergent interpretation, including standardized calculation guidance and worked examples adopted by the Committee on Rules of Origin;</w:t>
      </w:r>
    </w:p>
    <w:p>
      <w:pPr>
        <w:pStyle w:val="Normal"/>
      </w:pPr>
      <w:r>
        <w:t>(d) the treatment of recycled, refurbished, and remanufactured content in accordance with Article 4.A.4; and</w:t>
      </w:r>
    </w:p>
    <w:p>
      <w:pPr>
        <w:pStyle w:val="Normal"/>
      </w:pPr>
      <w:r>
        <w:t>(e) transition periods sufficient to protect investments made in reliance on the rules in force, with not less than 36 months’ phase-in for any increased threshold unless all Parties expressly agree to a shorter period in the same published instrument that adopts the increased threshold, whether a Commission instrument where this Agreement authorizes Commission adoption or an amending instrument under Article 34.3.</w:t>
      </w:r>
    </w:p>
    <w:p>
      <w:pPr>
        <w:pStyle w:val="Normal"/>
      </w:pPr>
      <w:r>
        <w:t>3. Pending conclusion, adoption, implementation, or technical operation of the modernization in paragraph 2, the Appendix, uniform rules, preferential treatment, and other automotive rights otherwise in force shall continue without interruption. No Party shall apply a unilateral methodology, interpretation, auditing practice, tariff, surcharge, fee, quota, suspension of preference, or other covered border measure on the ground that the modernization, a traceability standard, a certification method, a technical platform, or an implementing methodology is incomplete, delayed, disputed, unavailable, or not yet operational, unless that measure is independently authorized under another provision of this Agreement and satisfies every condition of that provision. No Party may invoke as grounds for an emergency, safeguard, essential-security, transitional, corrective, or other trade restriction a condition materially created, prolonged, or aggravated by that Party's own failure to complete, adopt, implement, or operate the modernization. If the modernization has not been adopted by the 24-month deadline, the Appendix and uniform rules then in force shall continue without unilateral departure; the Committee on Rules of Origin shall publish a status report within 30 days and every 90 days thereafter until adoption, identifying unresolved technical questions without altering existing origin requirements or tariff treatment.</w:t>
      </w:r>
    </w:p>
    <w:p>
      <w:pPr>
        <w:pStyle w:val="Normal"/>
      </w:pPr>
      <w:r>
        <w:t>4. For a vehicle that fails to qualify as originating, any duty applied by a Party on importation from another Party shall be calculated so that the value of North American content, content originating in one or more Parties, is not subject to that duty; the duty base is confined to the non-originating content of the vehicle, in accordance with implementing procedures adopted by the Committee on Rules of Origin. This paragraph does not create a preferential rate; it confines the incidence of the applicable most-favored-nation duty to non-originating value.</w:t>
      </w:r>
    </w:p>
    <w:p>
      <w:pPr>
        <w:pStyle w:val="Normal"/>
      </w:pPr>
      <w:r>
        <w:t>5. Non-Originating Content Valuation. Any duty confined to the non-originating content of a non-qualifying vehicle or automotive good shall be administered exclusively under Annex 4-E (Automotive Non-Originating Content Valuation). No Party may apply that treatment until the Annex methodology, audit rules, software and engineering-cost treatment, transfer-pricing safeguards, component aggregation rules, and dispute procedures are operational.</w:t>
      </w:r>
    </w:p>
    <w:p>
      <w:pPr/>
      <w:r>
        <w:t>6. Transitional precedence for non-qualifying vehicles. Until the valuation methodology required by Annex 4-E becomes operational through a published Commission instrument, an importer retains any more favorable treatment expressly available under an inherited baseline provision, including Annex 2-C, and Article 4.A.2(4) does not withdraw that treatment. The alternative Article 59.5A pathway applies only after the instrument making that pathway operative has been adopted and published in accordance with its own terms. Once Annex 4-E is operational, the importing authority shall determine ordinary preferential qualification first and then apply any preserved baseline treatment or expressly operative alternative pathway according to its governing conditions. Where this Agreement makes more than one alternative pathway simultaneously available and does not prescribe exclusivity, the importer may elect the pathway under which it claims treatment.</w:t>
      </w:r>
    </w:p>
    <w:p>
      <w:pPr>
        <w:pStyle w:val="Heading2"/>
      </w:pPr>
      <w:bookmarkStart w:id="900167" w:name="_Toc300000166"/>
      <w:r>
        <w:t>Article 4.A.2A: Automotive Sector Worker and Community Support</w:t>
      </w:r>
      <w:bookmarkEnd w:id="900167"/>
    </w:p>
    <w:p>
      <w:pPr>
        <w:pStyle w:val="Normal"/>
      </w:pPr>
      <w:r>
        <w:t>The Parties recognize that Article 4.A.2 transformation will materially affect automotive workers and communities. Accordingly:</w:t>
      </w:r>
    </w:p>
    <w:p>
      <w:pPr>
        <w:pStyle w:val="Normal"/>
      </w:pPr>
      <w:r>
        <w:t>(i) The automotive sector is designated as a Core Transition Sector under Chapter 23-B.</w:t>
      </w:r>
    </w:p>
    <w:p>
      <w:pPr>
        <w:pStyle w:val="Normal"/>
      </w:pPr>
      <w:r>
        <w:t>(ii) All automotive workers displaced or materially affected by the transformations contemplated by Article 4.A.2 qualify as Affected Workers under Chapter 23-B and shall receive from the Party or Parties responsible under Chapter 23-B income support, retraining, and benefit portability under Articles 23-B.3–23-B.5.</w:t>
      </w:r>
    </w:p>
    <w:p>
      <w:pPr>
        <w:pStyle w:val="Normal"/>
      </w:pPr>
      <w:r>
        <w:t>(iii) Communities dependent on automotive manufacturing shall receive from the Party or Parties responsible under Chapter 23-B community resilience and diversification support under Article 23-B.6.</w:t>
      </w:r>
    </w:p>
    <w:p>
      <w:pPr>
        <w:pStyle w:val="Normal"/>
      </w:pPr>
      <w:r>
        <w:t>(iv) The Parties shall coordinate automotive workforce development through the North American Skills, Credentials and Certification Board established under Article 23-B.4(f), ensuring that automotive retraining produces credentials recognized across all three Parties.</w:t>
      </w:r>
    </w:p>
    <w:p>
      <w:pPr>
        <w:pStyle w:val="Heading3"/>
      </w:pPr>
      <w:r>
        <w:t>ANNEX 4-E: AUTOMOTIVE NON-ORIGINATING CONTENT VALUATION AND TRANSITION</w:t>
      </w:r>
    </w:p>
    <w:p>
      <w:pPr>
        <w:pStyle w:val="Normal"/>
      </w:pPr>
      <w:r>
        <w:t>1. Scope. This Annex governs any treatment that confines duty to the verified non-originating value of a non-qualifying vehicle or automotive good.</w:t>
      </w:r>
    </w:p>
    <w:p>
      <w:pPr>
        <w:pStyle w:val="Normal"/>
      </w:pPr>
      <w:r>
        <w:t>2. Valuation hierarchy. Non-originating value shall be established, in order of preference, from verified transaction values of non-originating materials; audited producer cost records; approved component-family averages; or another transparent method adopted by consensus through a published Commission instrument. Software, engineering, tooling, royalties, assists, transfer pricing, recovered materials, and related-party transactions shall be treated under published uniform rules. No unpublished or ad hoc valuation method shall bind a trader.</w:t>
      </w:r>
    </w:p>
    <w:p>
      <w:pPr>
        <w:pStyle w:val="Normal"/>
      </w:pPr>
      <w:r>
        <w:t>3. Aggregation. A producer may aggregate identical or substantially similar components by approved component family. Customs shall not require item-by-item valuation where aggregation produces an equally reliable result.</w:t>
      </w:r>
    </w:p>
    <w:p>
      <w:pPr>
        <w:pStyle w:val="Normal"/>
      </w:pPr>
      <w:r>
        <w:t>4. Audit and dispute protection. Customs shall disclose the methodology, data requests, adjustments, and calculation. Disputed amounts may be secured by bond or escrow pending expedited review; no Party may impose duty on originating value merely because valuation of non-originating value remains disputed.</w:t>
      </w:r>
    </w:p>
    <w:p>
      <w:pPr>
        <w:pStyle w:val="Normal"/>
      </w:pPr>
      <w:r>
        <w:t>5. Transition. Existing automotive origin thresholds remain applicable until a modernized threshold takes effect under an adopted schedule. Any increase in a regional-value or sector-specific threshold receives at least 36 months of phase-in after adoption unless all Parties expressly agree to a shorter period in the same published instrument that adopts the increased threshold, whether a Commission instrument where this Agreement authorizes Commission adoption or an amending instrument under Article 34.3. Heavy-truck and other legacy phase-ins shall be displayed by the Secretariat in a consolidated transition table stating the applicable threshold, effective date, vehicle class, and legal source.</w:t>
      </w:r>
    </w:p>
    <w:p>
      <w:pPr>
        <w:pStyle w:val="Normal"/>
      </w:pPr>
      <w:r>
        <w:t>6. The Commission shall adopt the initial technical valuation schedule within 12 months of entry into force and shall publish worked examples for a passenger vehicle, light truck, heavy truck, battery-electric vehicle, and vehicle containing recovered or remanufactured components. If the schedule is not adopted by that deadline, the valuation methods and automotive origin rules otherwise in force shall continue, and the non-originating-content duty treatment in Article 4.A.2(4) shall not become operational until the published schedule required by this paragraph is adopted.</w:t>
      </w:r>
    </w:p>
    <w:p>
      <w:pPr>
        <w:pStyle w:val="Heading2"/>
      </w:pPr>
      <w:bookmarkStart w:id="900168" w:name="_Toc300000167"/>
      <w:r>
        <w:t>Article 4.A.3: Steel and Aluminum, Melted and Poured; Smelted and Cast</w:t>
      </w:r>
      <w:bookmarkEnd w:id="900168"/>
    </w:p>
    <w:p>
      <w:pPr>
        <w:pStyle w:val="Normal"/>
      </w:pPr>
      <w:r>
        <w:t>1. The steel requirement of footnote 74 to the Appendix to Annex 4-B (as amended by the 2019 Protocol) remains in force as provided therein.</w:t>
      </w:r>
    </w:p>
    <w:p>
      <w:pPr>
        <w:pStyle w:val="Normal"/>
      </w:pPr>
      <w:r>
        <w:t>2. Within 18 months after entry into force of the Protocol of Modernization, the Parties shall adopt through the Origin Committee the aluminum requirements contemplated by footnote 74 and procedures for certification of melted-and-poured and smelted-and-cast compliance. Those procedures shall use any interoperable traceability standards operative under Article 37.4 and, until such standards are operative, shall accept the reliable alternative evidence described in Article 37.4(5) and (6). In developing the requirements, the Origin Committee shall consider verified North American production capacity, commercially available grades and forms, supply concentration, material import dependence, technical specifications, transition needs, and reasonably foreseeable circumvention risks, provide a reasonable opportunity for public comment, and apply criteria on a Party-neutral basis. Any adopted requirement or certification procedure shall be published before taking effect. If no new aluminum requirement or certification procedure has been adopted by the deadline, the requirements and lawful verification methods otherwise in force remain applicable until a replacement is adopted and published under this paragraph.</w:t>
      </w:r>
    </w:p>
    <w:p>
      <w:pPr>
        <w:pStyle w:val="Normal"/>
      </w:pPr>
      <w:r>
        <w:t>3. A requirement described in this Article operates as a rule of origin only. It does not authorize a covered border measure, and no special sectoral origin test applies to originating goods outside this Agreement’s rules of origin except as provided herein.</w:t>
      </w:r>
    </w:p>
    <w:p>
      <w:pPr>
        <w:pStyle w:val="Heading2"/>
      </w:pPr>
      <w:bookmarkStart w:id="900169" w:name="_Toc300000168"/>
      <w:r>
        <w:t>Article 4.A.4: Circular Production, Recycling, Recovery, Refurbishment, Remanufacturing</w:t>
      </w:r>
      <w:bookmarkEnd w:id="900169"/>
    </w:p>
    <w:p>
      <w:pPr>
        <w:pStyle w:val="Normal"/>
      </w:pPr>
      <w:r>
        <w:t>1. Production within a Party consisting of recycling, recovery of materials, refining of secondary materials, refurbishment, or remanufacturing confers originating status where the recovered or remanufactured good satisfies the applicable rule of origin, treating the recovery or remanufacturing operations as qualifying production.</w:t>
      </w:r>
    </w:p>
    <w:p>
      <w:pPr>
        <w:pStyle w:val="Normal"/>
      </w:pPr>
      <w:r>
        <w:t>2. Recovered materials collected in a Party are originating materials for the purposes of this Chapter.</w:t>
      </w:r>
    </w:p>
    <w:p>
      <w:pPr>
        <w:pStyle w:val="Normal"/>
      </w:pPr>
      <w:r>
        <w:t>3. A remanufactured good, as defined in Article 2.1, that is recovered in the territory of one or more Parties and satisfies the applicable rule is originating.</w:t>
      </w:r>
    </w:p>
    <w:p>
      <w:pPr>
        <w:pStyle w:val="Normal"/>
      </w:pPr>
      <w:r>
        <w:t>4. The Committee on Rules of Origin shall adopt technical criteria for this Article within 18 months, including chain-of-custody documentation proportionate to risk. If those criteria are not adopted by the deadline, paragraphs 1 through 3 remain operative under the otherwise applicable origin rules and the minimum documentation standard in paragraph 5 applies until replacement criteria are adopted and published. Failure to reach consensus does not suspend an otherwise available originating determination or authorize an administration to impose unpublished criteria.</w:t>
      </w:r>
    </w:p>
    <w:p>
      <w:pPr>
        <w:pStyle w:val="Normal"/>
      </w:pPr>
      <w:r>
        <w:t>5. Minimum Chain-of-Custody Standard. Risk-proportionate documentation shall in all cases identify the supplying entity, material or component category, quantity or value, recovery or remanufacturing operation, country of operation, transaction date, and linkage to the resulting originating good. Higher-risk transactions may require lot-level traceability, independent certification, or physical verification under published criteria. The Committee on Rules of Origin shall maintain a standardized electronic record template.</w:t>
      </w:r>
    </w:p>
    <w:p>
      <w:pPr/>
      <w:r>
        <w:t>6. Recovered-material terminology. The defined term “recovered material” retains the meaning assigned in the General Definitions and is not expanded merely by collection, sorting, baling, or shipment of scrap, black mass, waste, or other material. A material outside that definition acquires originating status under this Article only through a qualifying production, recovery, refining, remanufacturing, or other transformation expressly recognized by the applicable origin rule. Paragraph 2 shall not be construed to confer originating status on imported material solely because it is collected in the territory of a Party. This paragraph shall be read consistently with Article 4.A.2D.5 and the applicable worked examples.</w:t>
      </w:r>
    </w:p>
    <w:p>
      <w:pPr>
        <w:pStyle w:val="Heading2"/>
      </w:pPr>
      <w:bookmarkStart w:id="900170" w:name="_Toc300000169"/>
      <w:r>
        <w:t>Article 4.A.5: Semiconductors and Embedded Electronics</w:t>
      </w:r>
      <w:bookmarkEnd w:id="900170"/>
    </w:p>
    <w:p>
      <w:pPr>
        <w:pStyle w:val="Normal"/>
      </w:pPr>
      <w:r>
        <w:t>1. For goods incorporating semiconductors or embedded microelectronics for which no North American substitute is reasonably available, testing, packaging, programming, or final assembly within a Party may receive the treatment described in this paragraph only under published procedures adopted by the Committee on Rules of Origin and subject to the de minimis component ceiling formally established in Annex 4-B as amended. Unavailability shall be determined from documented evidence concerning commercial availability, required volume, technical quality or specification, delivery time, and reasonable commercial price, taking account of genuine qualification and safety requirements. The procedure shall identify the evidence required, provide a reasoned eligibility determination, and permit review under the ordinary origin-review procedures of this Agreement. Until the Annex 4-B ceiling and implementing procedure are in force, the ordinary origin rules apply without disregarding the non-originating status of the component under this Article.</w:t>
      </w:r>
    </w:p>
    <w:p>
      <w:pPr>
        <w:pStyle w:val="Normal"/>
      </w:pPr>
      <w:r>
        <w:t>2. The Committee on Rules of Origin shall maintain and annually review a published list of components covered by paragraph 1, based on documented market evidence. Additions, removals, and material eligibility changes shall state reasons and an effective date and shall not apply retroactively to completed entries except where required to correct fraud or material misrepresentation.</w:t>
      </w:r>
    </w:p>
    <w:p>
      <w:pPr/>
      <w:r>
        <w:t>3. Documented-unavailability treatment. Where this Article applies and the documented-unavailability conditions are satisfied, the otherwise qualifying good shall not be disqualified solely because the unavailable covered component is non-originating, subject to a quantitative ceiling validly adopted and published for that component. Because a ceiling under this Article alters a treaty-level origin limitation and may affect market access, a ceiling may be established only by amendment under Article 34.3 and the applicable ratification procedure; the Structured Technical Amendment Procedure in Article 34.3.A does not by itself authorize adoption of such a ceiling. A Commission implementing schedule may implement a ceiling only after the underlying amendment is in force and only to the extent that the amendment or Annex 4-B expressly authorizes the schedule. Article 4.A.5A(7) does not independently supply authority for a ceiling under this Article. No ceiling is operative until the required amendment and any required implementing instrument are adopted and published, and the absence of a ceiling does not authorize an administration to invent one by guidance. Article 4.A.5A may use the documented-unavailability procedure in this Article only after the applicable component and ceiling have been validly designated under the authority governing that Article.</w:t>
      </w:r>
    </w:p>
    <w:p>
      <w:pPr>
        <w:pStyle w:val="Heading2"/>
      </w:pPr>
      <w:bookmarkStart w:id="900171" w:name="_Toc300000170"/>
      <w:r>
        <w:t>Article 4.A.5A: Strategic Compute and AI Hardware Origin Integrity</w:t>
      </w:r>
      <w:bookmarkEnd w:id="900171"/>
    </w:p>
    <w:p>
      <w:pPr>
        <w:pStyle w:val="Normal"/>
      </w:pPr>
      <w:r>
        <w:t>1. Coverage And Purpose. For purposes of this Article, a strategic compute good means a good designated in Annex 4-B or an implementing schedule adopted under this Article because its principal commercial function materially depends on advanced computation, artificial-intelligence acceleration, high-performance data processing, or strategically significant compute interconnection. A designation may include AI accelerators, accelerator servers, high-performance computing systems, strategically significant networking equipment, accelerator modules, compute boards, or other finished or intermediate compute goods meeting published technical criteria. Designation shall be product-specific, technology-neutral, and supported by a reasoned record identifying the origin-integrity or circumvention risk that warrants special treatment. Ordinary consumer electronics, general-purpose equipment, and components not meeting the published criteria remain subject to the ordinary rules of origin unless separately designated through the applicable Annex 4-B procedure.</w:t>
      </w:r>
    </w:p>
    <w:p>
      <w:pPr>
        <w:pStyle w:val="Normal"/>
      </w:pPr>
      <w:r>
        <w:t>2. No-Moustache Origin Rule. A strategic compute good does not acquire originating status solely through relabelling, repackaging, enclosure, cosmetic modification, firmware loading, software installation, testing without material production, simple fastening, or another operation that does not materially transform the designated good or satisfy its applicable product-specific rule of origin. Final assembly within a Party may contribute to originating status where it constitutes qualifying production and the resulting good satisfies the applicable rule, but final assembly alone does not disregard non-originating strategic content except as expressly permitted under Article 4.A.5 or Annex 4-B. The Committee on Rules of Origin shall publish examples distinguishing qualifying production from minimal or circumvention-oriented operations for designated strategic compute goods. Customs authorities shall apply this paragraph on a Party-neutral basis and shall not deny originating status merely because a producer uses globally sourced inputs that are lawfully permitted by the applicable rule.</w:t>
      </w:r>
    </w:p>
    <w:p>
      <w:pPr>
        <w:pStyle w:val="Normal"/>
      </w:pPr>
      <w:r>
        <w:t>3. Strategic Content And Traceability. For a designated strategic compute good, the applicable product-specific rule may identify strategic components whose origin, value, production stage, or substantial transformation must be documented because those components materially determine the economic identity, security significance, or circumvention risk of the finished good. Strategic components may include designated processors, accelerators, high-bandwidth memory assemblies, advanced substrates, chiplets, compute modules, high-speed interconnect equipment, or other items listed through the Annex 4-B process on the basis of documented technical and market evidence. Required records shall be proportionate to risk and may use supplier declarations, commercial records, lot or batch information, manufacturing records, or other reliable evidence rather than requiring physical tracing of every low-risk component. A documentation rule under this paragraph shall protect confidential business information, avoid unnecessary duplication with Article 37.4 traceability systems, and identify the consequence of a missing or materially unreliable record before the rule takes effect.</w:t>
      </w:r>
    </w:p>
    <w:p>
      <w:pPr>
        <w:pStyle w:val="Normal"/>
      </w:pPr>
      <w:r>
        <w:t>4. North American Capacity-Gap Safe Harbor. A producer is not disqualified from preferential treatment merely because a designated strategic compute good incorporates a non-originating semiconductor, memory product, substrate, interconnect component, or other strategic input for which no North American substitute is reasonably available in the required volume, technical quality or specification, delivery time, qualification state, and reasonable commercial price. Eligibility for that treatment shall use the documented unavailability procedure in Article 4.A.5, including reasoned determinations, published component lists, ordinary origin review, and the applicable Annex 4-B ceiling or product-specific limitation. The Committee shall distinguish genuine capacity gaps from supplier preference, temporary price arbitrage, deliberate underinvestment, or sourcing arrangements structured principally to avoid an otherwise applicable origin requirement. When North American capacity becomes commercially reasonable, removal or narrowing of the safe harbor shall occur prospectively after published notice, a reasoned market finding, and a transition period sufficient to avoid stranding bona fide production commitments.</w:t>
      </w:r>
    </w:p>
    <w:p>
      <w:pPr>
        <w:pStyle w:val="Normal"/>
      </w:pPr>
      <w:r>
        <w:t>5. Anti-Circumvention And Verification. Where a customs authority possesses objective evidence that a strategic compute good may have been routed, minimally processed, disassembled, reassembled, or documented through a Party principally to obtain preferential treatment without satisfying the applicable origin rule, it may initiate verification under the ordinary origin procedures of this Agreement. Verification shall focus on the disputed production step, strategic component, value calculation, transformation, or documentary representation and shall not presume non-origin merely from ownership, investment nationality, brand, or the presence of non-originating inputs permitted by the applicable rule. A material misrepresentation concerning the country of production, strategic-component origin, qualifying operation, or capacity-gap eligibility may result in denial or correction of preferential treatment and other consequences available under applicable law. Anti-circumvention action under this Article does not authorize a Party to prohibit lawful trade with a non-Party, dictate a producer's general sourcing policy, or convert an origin verification into an investment-screening measure.</w:t>
      </w:r>
    </w:p>
    <w:p>
      <w:pPr>
        <w:pStyle w:val="Normal"/>
      </w:pPr>
      <w:r>
        <w:t>6. Administration, Review, and Sovereignty Firewall. The Committee on Rules of Origin shall administer this Article in coordination with the bodies responsible for Chapter 39 semiconductor and advanced-electronics cooperation and the Economic Security and Supply Chain Resilience Subcommittee, while avoiding duplicate reporting or parallel product lists. Any new designation, strategic-component list, special threshold, valuation rule, or capacity-gap limitation having binding effect shall be adopted by the Commission under paragraph 7 and shall state its effective date, evidentiary basis, and transition treatment. The Committee shall review designated strategic compute goods at least annually for technological change, North American production capacity, preference utilization, compliance burden, false-positive risk, and evidence of circumvention, and shall recommend removal of obsolete special treatment when ordinary origin rules are sufficient. Nothing in this Article authorizes a Party or treaty body to direct another Party's trade or investment relations with a non-Party, compel exclusion of a lawful supplier solely because of nationality, or impose a sectoral restriction beyond the rules of origin and other authority independently provided by this Agreement.</w:t>
      </w:r>
    </w:p>
    <w:p>
      <w:pPr/>
      <w:r>
        <w:t>7. Designation authority. A designation or implementing schedule under this Article is adopted by the Commission, on the recommendation of the Origin Committee, through a published implementing instrument expressly identifying this Article as its authority. The Origin Committee may develop technical criteria and recommendations but may not make a binding designation on its own. A product-specific designation that applies the coverage criteria and special treatment already authorized by this Article, without changing a treaty-level threshold, ceiling, valuation rule, or other substantive origin requirement, may be adopted by the Commission under this paragraph; a purely technical maintenance action concerning Annex 4-B or a product-specific rule may proceed under Article 34.3.A(1)(d) only within the limits of Article 34.3.A(3). A designation or implementing action that changes a treaty-level threshold or ceiling, creates or changes a valuation rule, or otherwise alters substantive origin treatment or market access beyond the authority already conferred by this Article must instead be adopted as an amendment under Article 34.3 and enter into force through the applicable ratification procedure. A Commission implementing instrument may administer an amendment already in force only to the extent that the amendment or applicable Annex expressly delegates that implementing function. Each designation shall identify the covered product or product class, the technical criteria supporting coverage, the evidentiary basis, the applicable special treatment, the effective date, and any transition treatment. Failure to adopt a designation leaves the otherwise applicable origin rule in force and creates no discretionary administrative power to deny origin.</w:t>
      </w:r>
    </w:p>
    <w:p>
      <w:pPr>
        <w:pStyle w:val="Heading2"/>
      </w:pPr>
      <w:bookmarkStart w:id="900172" w:name="_Toc300000171"/>
      <w:r>
        <w:t>Article 4.A.6: SME Access</w:t>
      </w:r>
      <w:bookmarkEnd w:id="900172"/>
    </w:p>
    <w:p>
      <w:pPr>
        <w:pStyle w:val="Normal"/>
      </w:pPr>
      <w:r>
        <w:t>1. The Committee on Rules of Origin shall publish plain-language origin guidance, model certifications, and digital self-assessment tools for small and medium-sized enterprises in the three official languages.</w:t>
      </w:r>
    </w:p>
    <w:p>
      <w:pPr>
        <w:pStyle w:val="Normal"/>
      </w:pPr>
      <w:r>
        <w:t>2. One-Audit Safe Harbor. An SME that has completed an origin or customs compliance audit without a material adverse finding shall not be subjected to a substantially duplicative audit concerning the same goods and period during the following 12 months, unless the authority possesses materially new evidence of fraud, a material change in ownership or sourcing, or another documented risk that could not reasonably have been examined in the prior audit. An SME subjected to a second audit within that period may invoke the independent-review procedure in paragraph 4. If the reviewing body determines under paragraph 4 that the repeat audit lacked reasonable grounds, the authority shall reimburse the SME’s reasonable documented legal and compliance costs attributable to the duplicative audit, subject to the caps and review standards stated there. This 12-month SME safe harbor is distinct from, and does not shorten, the general verification repose provided by Article 5.I.</w:t>
      </w:r>
    </w:p>
    <w:p>
      <w:pPr>
        <w:pStyle w:val="Normal"/>
      </w:pPr>
      <w:r>
        <w:t>3. Simplified origin procedures, including reduced documentation and longer certification-validity periods, apply to SMEs with a clean three-year compliance record.</w:t>
      </w:r>
    </w:p>
    <w:p>
      <w:pPr>
        <w:pStyle w:val="Normal"/>
      </w:pPr>
      <w:r>
        <w:t>4. Independent Review of Repeat Audits. An SME subject to a second audit within a rolling 12-month period may request expedited review by the competent domestic customs-review authority or another independent domestic review body designated and published by the Party, referred to in this Article as the “reviewing body.” The customs authority bears the burden of showing reasonable grounds based on materially new evidence, fraud indicators, a material change in ownership or trade pattern, or another published risk criterion. If the reviewing body determines that the repeat audit lacked reasonable grounds, the authority shall reimburse reasonable documented legal and compliance costs, subject to published caps and review standards. The Treaty Integrity Secretariat may register and transmit a request but shall not adjudicate whether reasonable grounds existed.</w:t>
      </w:r>
    </w:p>
    <w:p>
      <w:pPr>
        <w:pStyle w:val="Normal"/>
      </w:pPr>
      <w:r>
        <w:t>5. Single SME Compliance Gateway. Each Party shall provide a single electronic and assisted-service gateway through which a qualifying SME may obtain origin guidance, submit a consolidated certification, request an advance ruling, respond to verification requests, and obtain a plain-language statement of any deficiency.</w:t>
      </w:r>
    </w:p>
    <w:p>
      <w:pPr>
        <w:pStyle w:val="Normal"/>
      </w:pPr>
      <w:r>
        <w:t>6. An SME that uses the official form, supplies the required data fields in good faith, and has no material fraud indicator is presumed to have satisfied documentary-format requirements. A customs authority may require correction of a material error but shall not deny preferential treatment solely for a non-material formatting defect.</w:t>
      </w:r>
    </w:p>
    <w:p>
      <w:pPr>
        <w:pStyle w:val="Normal"/>
      </w:pPr>
      <w:r>
        <w:t>7. Advance rulings and binding administrative guidance requested by a qualifying SME under this Article shall be provided without application fee and, absent exceptional complexity, within 30 days. Where the authority cannot meet that period, it shall issue an interim written position on which the SME may reasonably rely pending the final ruling.</w:t>
      </w:r>
    </w:p>
    <w:p>
      <w:pPr>
        <w:pStyle w:val="Normal"/>
      </w:pPr>
      <w:r>
        <w:t>8. The Commission shall publish model forms, worked examples, and sector-specific SME guidance and shall review SME compliance costs annually. If a new procedure materially increases average SME compliance cost, the responsible committee shall identify and adopt a simplified pathway or explain publicly why simplification is not feasible.</w:t>
      </w:r>
    </w:p>
    <w:p>
      <w:pPr/>
      <w:r>
        <w:t>9. Audit-cost review. Reimbursement under paragraphs 2 and 4 constitutes one remedy and may not be recovered twice for the same cost. Published caps apply to reimbursement except where the reviewing body finds that extraordinary, documented costs were directly caused by a repeat audit undertaken without reasonable grounds and domestic law permits additional reimbursement. The burden and substantive standard in paragraph 4 govern any reimbursement claim under paragraph 2. Nothing in this paragraph alters the substantive origin standard or prevents recovery otherwise available under domestic law.</w:t>
      </w:r>
    </w:p>
    <w:p>
      <w:pPr>
        <w:pStyle w:val="Heading2"/>
      </w:pPr>
      <w:bookmarkStart w:id="900173" w:name="_Toc300000172"/>
      <w:r>
        <w:t>Article 4.A.7: Committee on Rules of Origin, Additional Functions</w:t>
      </w:r>
      <w:bookmarkEnd w:id="900173"/>
    </w:p>
    <w:p>
      <w:pPr>
        <w:pStyle w:val="Normal"/>
      </w:pPr>
      <w:r>
        <w:t>1. The Origin Committee established under Article 5.18 shall perform the functions assigned to the Committee on Rules of Origin, the Committee on Origin Procedures, and the Origin Committee in the modernization provisions of this Agreement, unless a provision expressly establishes a different body. For automotive-specific technical functions, the Automotive Committee established in paragraph 2 acts as a subcommittee of the Origin Committee rather than as a separate origin institution. The Origin Committee shall administer the modernization mandate in Article 4.A.2, maintain the lists in Articles 4.A.5 and 4.A.6, coordinate with the Economic Security and Supply Chain Resilience Subcommittee on traceability, and report annually to the Commission on utilization of preferences and pending interpretive questions. The annual report shall identify material implementation actions, published lists or technical instruments adopted during the year, preference-utilization trends, unresolved interpretive questions, and recommendations requiring Commission attention, subject to appropriate redaction of confidential information. An interpretive question that the Origin Committee cannot resolve shall be referred to the Commission or to the dispute-settlement route otherwise available under this Agreement. The Origin Committee may administer and recommend changes but shall not amend an origin threshold, product-specific rule, or other binding requirement except through the amendment or technical-adoption authority expressly provided by this Agreement.</w:t>
      </w:r>
    </w:p>
    <w:p>
      <w:pPr/>
      <w:r>
        <w:t>2. Institutional identity and continuity. The Committee on Rules of Origin and Origin Procedures established under Article 5.18 is the “Origin Committee” for purposes of this Agreement; references in modernization provisions to the Committee on Rules of Origin or Committee on Origin Procedures mean that body unless the text expressly provides otherwise. The Commission establishes an Automotive Subcommittee of the Origin Committee, referred to as the “Automotive Committee,” to perform the automotive-specific technical functions expressly assigned to it. The Automotive Committee acts by consensus, and if consensus is not reached by an applicable deadline the previously operative rule, methodology, or published instrument continues; where no prior instrument exists, the ordinary origin rule otherwise applicable governs until consensus is reached. Neither committee may amend tariff commitments, origin thresholds, or other binding obligations except through the amendment authority otherwise required by this Agreement.</w:t>
      </w:r>
    </w:p>
    <w:p>
      <w:pPr>
        <w:pStyle w:val="Heading2"/>
      </w:pPr>
      <w:bookmarkStart w:id="900174" w:name="_Toc300000173"/>
      <w:r>
        <w:t>Article 4.A.2E: Automotive Duty-Free Safe Harbor and Alternative Settlement Election</w:t>
      </w:r>
      <w:bookmarkEnd w:id="900174"/>
    </w:p>
    <w:p>
      <w:pPr>
        <w:pStyle w:val="Normal"/>
      </w:pPr>
      <w:r>
        <w:t>1. A covered automotive good satisfying the ordinary CUSMA automotive rules of origin, including the applicable Standard Tier regional value content requirement and all other mandatory origin conditions, receives the preferential tariff treatment otherwise provided by this Agreement. No Article 59.5A non-North-American-value calculation or earned-integration-credit calculation is required merely to obtain that ordinary treatment.</w:t>
      </w:r>
    </w:p>
    <w:p>
      <w:pPr>
        <w:pStyle w:val="Normal"/>
      </w:pPr>
      <w:r>
        <w:t>2. A covered automotive good that does not satisfy ordinary preferential qualification may, where the applicable schedule permits, elect the Article 59.5A Automotive Settlement pathway. The 13.8 percent headline rate, verified content credits, earned integration credits, and bounded effective-rate rules apply only within that elected or otherwise expressly applicable pathway.</w:t>
      </w:r>
    </w:p>
    <w:p>
      <w:pPr>
        <w:pStyle w:val="Normal"/>
      </w:pPr>
      <w:r>
        <w:t>3. Use of the ordinary duty-free pathway shall not reduce eligibility for unrelated facilitation benefits. Election of the alternative pathway does not convert legitimate Canadian, Mexican, or United States originating content into non-originating content.</w:t>
      </w:r>
    </w:p>
    <w:p>
      <w:pPr>
        <w:pStyle w:val="Normal"/>
      </w:pPr>
      <w:r>
        <w:t>4. Authorities shall determine ordinary qualification first where doing so can resolve tariff treatment more simply than applying the alternative settlement calculation.</w:t>
      </w:r>
    </w:p>
    <w:tbl>
      <w:tblPr>
        <w:tblW w:type="auto" w:w="0"/>
        <w:tblBorders>
          <w:top w:val="single" w:sz="10" w:space="0" w:color="546E7A"/>
          <w:left w:val="nil"/>
          <w:bottom w:val="single" w:sz="10" w:space="0" w:color="546E7A"/>
          <w:right w:val="nil"/>
          <w:insideH w:val="single" w:sz="2" w:space="0" w:color="B0BEC5"/>
          <w:insideV w:val="single" w:sz="2" w:space="0" w:color="CFD8DC"/>
        </w:tblBorders>
        <w:tblLayout w:type="fixed"/>
        <w:tblCellMar>
          <w:top w:w="70" w:type="dxa"/>
          <w:left w:w="100" w:type="dxa"/>
          <w:bottom w:w="70" w:type="dxa"/>
          <w:right w:w="100" w:type="dxa"/>
        </w:tblCellMar>
        <w:tblLook w:firstColumn="1" w:firstRow="1" w:lastColumn="0" w:lastRow="0" w:noHBand="0" w:noVBand="1" w:val="04A0"/>
      </w:tblPr>
      <w:tblGrid>
        <w:gridCol w:w="9072"/>
      </w:tblGrid>
      <w:tr>
        <w:tc>
          <w:tcPr>
            <w:tcW w:type="dxa" w:w="9360"/>
            <w:shd w:fill="FFF2F2" w:val="clear"/>
            <w:tcMar>
              <w:top w:w="120" w:type="dxa"/>
              <w:left w:w="160" w:type="dxa"/>
              <w:bottom w:w="120" w:type="dxa"/>
              <w:right w:w="160" w:type="dxa"/>
            </w:tcMar>
            <w:vAlign w:val="center"/>
          </w:tcPr>
          <w:p>
            <w:pPr>
              <w:pStyle w:val="TableText"/>
              <w:jc w:val="center"/>
            </w:pPr>
            <w:r>
              <w:t>Article 4.A.2E.1: Core-Parts Roll-Up Clarification</w:t>
            </w:r>
          </w:p>
          <w:p>
            <w:pPr>
              <w:pStyle w:val="TableText"/>
            </w:pPr>
            <w:r>
              <w:rPr>
                <w:b/>
                <w:color w:val="C00000"/>
              </w:rPr>
              <w:t>1. For purposes of calculating the regional value content of a passenger vehicle, light truck, heavy truck, or other covered motor vehicle, a core part that qualifies as originating under the applicable rule of origin is treated as originating for the full value of that core part in the downstream vehicle calculation.</w:t>
            </w:r>
          </w:p>
          <w:p>
            <w:pPr>
              <w:pStyle w:val="TableText"/>
            </w:pPr>
            <w:r>
              <w:rPr>
                <w:b/>
                <w:color w:val="C00000"/>
              </w:rPr>
              <w:t>2. A producer is not required, solely for that downstream vehicle calculation, to trace through the originating core part and re-identify or deduct the value of non-originating materials incorporated into that core part.</w:t>
            </w:r>
          </w:p>
          <w:p>
            <w:pPr>
              <w:pStyle w:val="TableText"/>
            </w:pPr>
            <w:r>
              <w:rPr>
                <w:b/>
                <w:color w:val="C00000"/>
              </w:rPr>
              <w:t>3. This roll-up treatment does not waive, reduce, or alter the rule of origin, regional value content threshold, steel or aluminum requirement, labour-value requirement where independently applicable, or other condition that the core part or finished vehicle must itself satisfy to obtain originating status.</w:t>
            </w:r>
          </w:p>
          <w:p>
            <w:pPr>
              <w:pStyle w:val="TableText"/>
            </w:pPr>
            <w:r>
              <w:rPr>
                <w:b/>
                <w:color w:val="C00000"/>
              </w:rPr>
              <w:t>4. A customs authority may deny roll-up treatment where it establishes fraud, material misrepresentation, sham processing, or circumvention under the anti-evasion provisions of this Agreement, but it shall not use verification, guidance, administrative practice, or a calculation methodology to reimpose tracing of embedded non-originating materials after the core part has validly qualified as originating.</w:t>
            </w:r>
          </w:p>
          <w:p>
            <w:pPr>
              <w:pStyle w:val="TableText"/>
              <w:jc w:val="center"/>
            </w:pPr>
            <w:r>
              <w:t>Interpretive Rule: No Contrary Administrative Methodology</w:t>
            </w:r>
          </w:p>
        </w:tc>
      </w:tr>
    </w:tbl>
    <w:p>
      <w:pPr>
        <w:pStyle w:val="Heading2"/>
      </w:pPr>
      <w:bookmarkStart w:id="900175" w:name="_Toc300000174"/>
      <w:r>
        <w:t>Article 4.A.2B: Strategic Component Banking and Portfolio Flexibility</w:t>
      </w:r>
      <w:bookmarkEnd w:id="900175"/>
    </w:p>
    <w:p>
      <w:pPr>
        <w:pStyle w:val="Normal"/>
      </w:pPr>
      <w:r>
        <w:t>1. The Commission may, by consensus and through a published implementing schedule, authorize limited banking of verified excess performance in designated strategic-component categories for use against a shortfall in another covered model or model-year of the same producer or controlled producer group. The schedule shall identify eligible categories, the maximum credit or percentage that may be banked or applied, the banking period and expiry, required records, audit treatment, and the effective date.</w:t>
      </w:r>
    </w:p>
    <w:p>
      <w:pPr>
        <w:pStyle w:val="Normal"/>
      </w:pPr>
      <w:r>
        <w:t>2. Banking is an optional facilitation mechanism and shall be capped, time-limited, transparent to the verifying authority, and unavailable to cure failure of a mandatory origin rule. Credits shall expire after the period specified in the schedule, shall not be applied retroactively to entries completed before the schedule takes effect, and may not be sold to unrelated producers unless expressly authorized by amendment. Banking shall reward real excess North American production or sourcing and shall not permit paper transfers, double counting, artificial production shifting, or circumvention of a mandatory Party-neutral origin rule. A Party's decision not to participate in a banking schedule does not constitute non-compliance, reduce unrelated benefits, or authorize retaliation unless the Party has expressly accepted that schedule as binding.</w:t>
      </w:r>
    </w:p>
    <w:p>
      <w:pPr>
        <w:pStyle w:val="Normal"/>
      </w:pPr>
      <w:r>
        <w:t>3. The Secretariat shall report aggregate use without disclosing confidential business information.</w:t>
      </w:r>
    </w:p>
    <w:p>
      <w:pPr>
        <w:pStyle w:val="Heading2"/>
      </w:pPr>
      <w:bookmarkStart w:id="900176" w:name="_Toc300000175"/>
      <w:r>
        <w:t>Article 4.A.2C: De Facto Party-Specific Quota Fast Track</w:t>
      </w:r>
      <w:bookmarkEnd w:id="900176"/>
    </w:p>
    <w:p>
      <w:pPr>
        <w:pStyle w:val="Normal"/>
      </w:pPr>
      <w:r>
        <w:t>1. A Party reasonably believing that another Party's automotive incentive, credit, procurement preference, licensing condition, or related measure functions in economic substance as a prohibited Party-specific content quota may submit a substantiated written notice through the existing Secretariat.</w:t>
      </w:r>
    </w:p>
    <w:p>
      <w:pPr>
        <w:pStyle w:val="Normal"/>
      </w:pPr>
      <w:r>
        <w:t>2. Technical consultations begin within 10 days after Day 0. By Day 30, the consulting Parties shall issue a joint written statement identifying any point resolved, any point remaining disputed, and any agreed recommendation; absence of agreement on a joint statement is treated as an unresolved consultation, not as a missing adjudicative determination. If the matter remains unresolved on Day 45, the complaining Party may invoke the dispute-settlement route otherwise available under Chapter 31, including Article 31.A where its jurisdictional requirements are independently satisfied. This Article creates no separate Day 60 adjudicative determination and does not alter the timetable that applies after a Chapter 31 panel is constituted.</w:t>
      </w:r>
    </w:p>
    <w:p>
      <w:pPr>
        <w:pStyle w:val="Normal"/>
      </w:pPr>
      <w:r>
        <w:t>3. The review shall examine design, eligibility conditions, marginal incentives, effective commercial access, treatment of equivalent originating content, and actual or reasonably foreseeable economic effects. A stronger marginal incentive for investment in the granting Party is not alone a prohibited quota. The question is whether, in design or effect, commercially meaningful access or treatment is conditioned on achieving a Party-specific production share or whether legitimate originating content of another Party is functionally treated as non-originating.</w:t>
      </w:r>
    </w:p>
    <w:p>
      <w:pPr>
        <w:pStyle w:val="Normal"/>
      </w:pPr>
      <w:r>
        <w:t>4. Pending review, the Parties shall use the narrowest sufficient interim measure and avoid suspension of unrelated automotive trade.</w:t>
      </w:r>
    </w:p>
    <w:p>
      <w:pPr/>
      <w:r>
        <w:t>5. Fast-track clock and authority. Day 0 is the date on which the respondent Party receives the written notice described in paragraph 1, whether or not the respondent disputes that the notice is substantiated, and the Secretariat shall confirm the date of receipt to the Parties within two working days. A dispute concerning whether the notice is sufficiently substantiated may be raised in the consultations but does not postpone Day 0 or any deadline in this Article. The Day 10 consultation commencement and Day 30 consultation statement are binding procedural deadlines, but failure to reach agreement by Day 30 does not itself establish a violation. If the Day 30 statement is not issued, the matter is deemed unresolved for purposes of the Day 45 escalation point; on or after Day 45 the complaining Party may invoke the dispute-settlement route otherwise available under Chapter 31 without waiting for any further output under this Article. This Article does not itself authorize an interim suspension, quota, tariff, or other measure, and any interim action must rest on express authority elsewhere in this Agreement.</w:t>
      </w:r>
    </w:p>
    <w:p>
      <w:pPr>
        <w:pStyle w:val="Heading2"/>
      </w:pPr>
      <w:bookmarkStart w:id="900177" w:name="_Toc300000176"/>
      <w:r>
        <w:t>Article 4.A.2D: Advanced Automotive Components and Electrified Powertrain Origin</w:t>
      </w:r>
      <w:bookmarkEnd w:id="900177"/>
    </w:p>
    <w:p>
      <w:pPr>
        <w:pStyle w:val="Normal"/>
      </w:pPr>
      <w:r>
        <w:rPr>
          <w:b w:val="0"/>
        </w:rPr>
      </w:r>
      <w:r>
        <w:t>1. Covered Component Families. For purposes of the automotive rules of origin, advanced automotive components include battery cells, battery modules, battery packs and systems, traction motors, integrated electric-drive units, inverters, converters, onboard chargers, battery-management systems, thermal-management systems, and successor components designated under paragraph 6. The Automotive Committee shall maintain a technology-neutral classification schedule that maps each covered component to its applicable origin methodology without altering tariff treatment by administrative guidance. A component may be classified according to its principal manufacturing function even when multiple functions are integrated into a single housing, provided that the classification does not duplicate originating value. Classification under this paragraph determines the applicable origin method only and does not by itself confer originating status.</w:t>
      </w:r>
    </w:p>
    <w:p>
      <w:pPr>
        <w:pStyle w:val="Normal"/>
      </w:pPr>
      <w:r>
        <w:rPr>
          <w:b w:val="0"/>
        </w:rPr>
      </w:r>
      <w:r>
        <w:t>2. Substantial North American Transformation. A covered component may acquire originating status through a substantial manufacturing transformation performed in the territory of one or more Parties when the applicable rule in Annex 4-E-2 is satisfied. Qualifying transformation may include cell manufacture from active materials, substantive module or pack manufacture, manufacture or integration of traction-motor and reduction-drive systems, and substantive manufacture of power-electronic assemblies, where the operation creates a commercially distinct automotive component and is supported by production records. Relabelling, repackaging, simple fastening, testing alone, software flashing alone, cosmetic finishing, or other minimal operations do not confer origin on a finished non-originating component. Lawful accumulation among the Parties applies throughout the production chain in accordance with this Chapter.</w:t>
      </w:r>
    </w:p>
    <w:p>
      <w:pPr>
        <w:pStyle w:val="Normal"/>
      </w:pPr>
      <w:r>
        <w:rPr>
          <w:b w:val="0"/>
        </w:rPr>
      </w:r>
      <w:r>
        <w:t>3. Lawful Non-Originating Inputs. The presence of lawful non-originating minerals, chemicals, semiconductor devices, subassemblies, or other inputs does not by itself prevent a covered component from qualifying as originating when the component satisfies its applicable rule of origin. Mineral and strategic-material provenance remains reportable and verifiable under Chapters 36 and 37, and non-originating content remains subject to the valuation and tracing rules expressly applicable to the component. No Party may treat the origin of a single upstream material as dispositive of the origin of the finished advanced component unless the applicable product-specific rule expressly requires that material to originate. This paragraph does not excuse circumvention, fraudulent origin claims, prohibited transshipment, or failure to satisfy an expressly applicable critical-material requirement.</w:t>
      </w:r>
    </w:p>
    <w:p>
      <w:pPr>
        <w:pStyle w:val="Normal"/>
      </w:pPr>
      <w:r>
        <w:rPr>
          <w:b w:val="0"/>
        </w:rPr>
      </w:r>
      <w:r>
        <w:t>4. Downstream Roll-Up and No Double Counting. Once a covered advanced automotive component validly qualifies as originating, its full qualifying value is treated as originating in the downstream regional-value-content calculation for the vehicle or higher-level automotive component into which it is incorporated, consistently with Article 4.A.2E.1. The verifying authority shall not reopen embedded non-originating content solely because the qualifying component is subsequently incorporated into a module, pack, electric-drive system, or finished vehicle. The same economic value may not be claimed more than once as separate originating content, strategic-component credit, recovered-material credit, or other content credit at successive stages of production. Annex 4-E-2 shall prescribe a calculation hierarchy and reconciliation method sufficient to prevent duplication while preserving lawful accumulation and roll-up.</w:t>
      </w:r>
    </w:p>
    <w:p>
      <w:pPr>
        <w:pStyle w:val="Normal"/>
      </w:pPr>
      <w:r>
        <w:rPr>
          <w:b w:val="0"/>
        </w:rPr>
      </w:r>
      <w:r>
        <w:t>5. Recovered and Circular Materials. Recovered battery materials and other automotive materials that are genuinely processed in the territory of a Party into usable production feedstock receive originating treatment to the extent provided by the applicable recovered-material rule and the circularity provisions of Chapters 37 and 59. Recovery, refining, purification, precursor production, active-material production, remanufacturing, and other qualifying processes shall be credited according to the stage at which commercially usable material is created and shall not be counted repeatedly at later stages. Mere collection, sorting, baling, or shipment of waste or scrap does not by itself convert non-originating material into an originating advanced component. The Commission shall maintain worked examples for recycled black mass, recovered cathode and anode materials, remanufactured modules, and second-life battery systems.</w:t>
      </w:r>
    </w:p>
    <w:p>
      <w:pPr>
        <w:pStyle w:val="Normal"/>
      </w:pPr>
      <w:r>
        <w:rPr>
          <w:b w:val="0"/>
        </w:rPr>
      </w:r>
      <w:r>
        <w:t>6. Successor Technologies and Rule Updates. The Automotive Committee may designate a successor technology or newly integrated component family for treatment under this Article when the technology performs a substantially equivalent or newly material automotive propulsion, energy-storage, charging, control, or thermal-management function. Before designation, the Committee shall publish the proposed classification, technical rationale, expected compliance effect, and at least one worked origin example and shall provide not less than 60 days for Party and stakeholder comment. A designation may clarify classification or methodology but may not covertly increase regional-value-content thresholds, impose a Party-specific sourcing requirement, or materially tighten an origin rule without following Article 49.4 and the amendment procedures otherwise required by this Agreement. Until a designation becomes effective, an emerging component shall be treated under the most technically analogous existing rule that does not disadvantage a producer merely because the technology is new.</w:t>
      </w:r>
    </w:p>
    <w:p>
      <w:pPr>
        <w:pStyle w:val="Normal"/>
      </w:pPr>
      <w:r>
        <w:rPr>
          <w:b w:val="0"/>
        </w:rPr>
      </w:r>
      <w:r>
        <w:t>7. Verification and Administrative Simplicity. Origin claims under this Article are administered under Chapter 5 using model-year, component-family, supplier-declaration, advance-ruling, reusable-evidence, and risk-tiered verification procedures wherever those procedures can establish compliance reliably. Authorities shall request records proportionate to the origin issue being examined and shall not require reconstruction of the complete upstream genealogy of every input when the applicable component rule can be verified through production, cost, provenance, and supplier records at the relevant transformation stage. A producer using an official methodology in good faith receives the cure, reliance, appeal, and verification-clock protections otherwise provided by this Agreement. Nothing in this Article creates a separate battery or advanced-component verification bureaucracy.</w:t>
      </w:r>
    </w:p>
    <w:p>
      <w:pPr>
        <w:pStyle w:val="Normal"/>
      </w:pPr>
      <w:r>
        <w:rPr>
          <w:b w:val="0"/>
        </w:rPr>
      </w:r>
      <w:r>
        <w:t>8. Relationship to Enhanced-Origin Incentives. Qualification under this Article establishes ordinary originating status and is distinct from any voluntary High Tier, Strategic Tier, strategic-component, investment, or enhanced-origin incentive available elsewhere in this Agreement. A producer may earn additional benefits for exceeding ordinary North American sourcing or production thresholds only where the applicable program is voluntary, transparent, Party-neutral, and consistent with Articles 36.12 and 36.13. Failure to meet an enhanced or voluntary threshold does not convert an otherwise originating component or vehicle into a non-originating good. No incentive program may be administered as a disguised single-Party content quota or as a condition for ordinary preferential tariff treatment.</w:t>
      </w:r>
    </w:p>
    <w:p>
      <w:pPr>
        <w:pStyle w:val="Heading2"/>
      </w:pPr>
      <w:bookmarkStart w:id="900178" w:name="_Toc300000177"/>
      <w:r>
        <w:t>ANNEX 4-E-1: Consolidated Automotive Tier Reference</w:t>
      </w:r>
      <w:bookmarkEnd w:id="900178"/>
    </w:p>
    <w:tbl>
      <w:tblPr>
        <w:tblStyle w:val="TableGrid"/>
        <w:tblW w:w="9360" w:type="dxa"/>
        <w:jc w:val="center"/>
        <w:tblInd w:w="0"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2340"/>
        <w:gridCol w:w="2340"/>
        <w:gridCol w:w="2340"/>
        <w:gridCol w:w="2339"/>
      </w:tblGrid>
      <w:tr>
        <w:trPr>
          <w:tblHeader w:val="true"/>
        </w:trPr>
        <w:tc>
          <w:tcPr>
            <w:tcW w:w="2340" w:type="dxa"/>
            <w:tcBorders>
              <w:bottom w:val="single" w:sz="6" w:space="0" w:color="546E7A"/>
            </w:tcBorders>
            <w:shd w:fill="E4E9EC" w:val="clear" w:color="auto"/>
          </w:tcPr>
          <w:p>
            <w:pPr>
              <w:pStyle w:val="TableText"/>
              <w:jc w:val="left"/>
            </w:pPr>
            <w:r>
              <w:rPr>
                <w:b/>
                <w:color w:val="37474F"/>
                <w:lang w:val="en-US" w:eastAsia="en-US" w:bidi="ar-SA"/>
              </w:rPr>
              <w:t>Tier</w:t>
            </w:r>
          </w:p>
        </w:tc>
        <w:tc>
          <w:tcPr>
            <w:tcW w:w="2340" w:type="dxa"/>
            <w:tcBorders>
              <w:bottom w:val="single" w:sz="6" w:space="0" w:color="546E7A"/>
            </w:tcBorders>
            <w:shd w:fill="E4E9EC" w:val="clear" w:color="auto"/>
          </w:tcPr>
          <w:p>
            <w:pPr>
              <w:pStyle w:val="TableText"/>
              <w:jc w:val="left"/>
            </w:pPr>
            <w:r>
              <w:rPr>
                <w:b/>
                <w:color w:val="37474F"/>
                <w:lang w:val="en-US" w:eastAsia="en-US" w:bidi="ar-SA"/>
              </w:rPr>
              <w:t>RVC / Origin Threshold</w:t>
            </w:r>
          </w:p>
        </w:tc>
        <w:tc>
          <w:tcPr>
            <w:tcW w:w="2340" w:type="dxa"/>
            <w:tcBorders>
              <w:bottom w:val="single" w:sz="6" w:space="0" w:color="546E7A"/>
            </w:tcBorders>
            <w:shd w:fill="E4E9EC" w:val="clear" w:color="auto"/>
          </w:tcPr>
          <w:p>
            <w:pPr>
              <w:pStyle w:val="TableText"/>
              <w:jc w:val="left"/>
            </w:pPr>
            <w:r>
              <w:rPr>
                <w:b/>
                <w:color w:val="37474F"/>
                <w:lang w:val="en-US" w:eastAsia="en-US" w:bidi="ar-SA"/>
              </w:rPr>
              <w:t>Strategic Component / Continuity Requirement</w:t>
            </w:r>
          </w:p>
        </w:tc>
        <w:tc>
          <w:tcPr>
            <w:tcW w:w="2339" w:type="dxa"/>
            <w:tcBorders>
              <w:bottom w:val="single" w:sz="6" w:space="0" w:color="546E7A"/>
            </w:tcBorders>
            <w:shd w:fill="E4E9EC" w:val="clear" w:color="auto"/>
          </w:tcPr>
          <w:p>
            <w:pPr>
              <w:pStyle w:val="TableText"/>
              <w:jc w:val="left"/>
            </w:pPr>
            <w:r>
              <w:rPr>
                <w:b/>
                <w:color w:val="37474F"/>
                <w:lang w:val="en-US" w:eastAsia="en-US" w:bidi="ar-SA"/>
              </w:rPr>
              <w:t>Principal Treatment</w:t>
            </w:r>
          </w:p>
        </w:tc>
      </w:tr>
      <w:tr>
        <w:trPr/>
        <w:tc>
          <w:tcPr>
            <w:tcW w:w="2340" w:type="dxa"/>
            <w:tcMar>
              <w:top w:w="70" w:type="dxa"/>
              <w:start w:w="110" w:type="dxa"/>
              <w:bottom w:w="70" w:type="dxa"/>
              <w:end w:w="110" w:type="dxa"/>
            </w:tcMar>
          </w:tcPr>
          <w:p>
            <w:pPr>
              <w:pStyle w:val="TableText"/>
              <w:jc w:val="left"/>
            </w:pPr>
            <w:r>
              <w:rPr>
                <w:lang w:val="en-US" w:eastAsia="en-US" w:bidi="ar-SA"/>
              </w:rPr>
              <w:t>Standard</w:t>
            </w:r>
          </w:p>
        </w:tc>
        <w:tc>
          <w:tcPr>
            <w:tcW w:w="2340" w:type="dxa"/>
            <w:tcMar>
              <w:top w:w="70" w:type="dxa"/>
              <w:start w:w="110" w:type="dxa"/>
              <w:bottom w:w="70" w:type="dxa"/>
              <w:end w:w="110" w:type="dxa"/>
            </w:tcMar>
          </w:tcPr>
          <w:p>
            <w:pPr>
              <w:pStyle w:val="TableText"/>
              <w:jc w:val="left"/>
            </w:pPr>
            <w:r>
              <w:rPr>
                <w:lang w:val="en-US" w:eastAsia="en-US" w:bidi="ar-SA"/>
              </w:rPr>
              <w:t>75% RVC, subject to all other applicable automotive origin rules</w:t>
            </w:r>
          </w:p>
        </w:tc>
        <w:tc>
          <w:tcPr>
            <w:tcW w:w="2340" w:type="dxa"/>
            <w:tcMar>
              <w:top w:w="70" w:type="dxa"/>
              <w:start w:w="110" w:type="dxa"/>
              <w:bottom w:w="70" w:type="dxa"/>
              <w:end w:w="110" w:type="dxa"/>
            </w:tcMar>
          </w:tcPr>
          <w:p>
            <w:pPr>
              <w:pStyle w:val="TableText"/>
              <w:jc w:val="left"/>
            </w:pPr>
            <w:r>
              <w:rPr>
                <w:lang w:val="en-US" w:eastAsia="en-US" w:bidi="ar-SA"/>
              </w:rPr>
              <w:t>No additional strategic-category condition solely by reason of this table</w:t>
            </w:r>
          </w:p>
        </w:tc>
        <w:tc>
          <w:tcPr>
            <w:tcW w:w="2339" w:type="dxa"/>
            <w:tcMar>
              <w:top w:w="70" w:type="dxa"/>
              <w:start w:w="110" w:type="dxa"/>
              <w:bottom w:w="70" w:type="dxa"/>
              <w:end w:w="110" w:type="dxa"/>
            </w:tcMar>
          </w:tcPr>
          <w:p>
            <w:pPr>
              <w:pStyle w:val="TableText"/>
              <w:jc w:val="left"/>
            </w:pPr>
            <w:r>
              <w:rPr>
                <w:lang w:val="en-US" w:eastAsia="en-US" w:bidi="ar-SA"/>
              </w:rPr>
              <w:t>Ordinary CUSMA preferential treatment; duty-free where otherwise provided; no Article 59.5A calculation required.</w:t>
            </w:r>
          </w:p>
        </w:tc>
      </w:tr>
      <w:tr>
        <w:trPr/>
        <w:tc>
          <w:tcPr>
            <w:tcW w:w="2340" w:type="dxa"/>
            <w:shd w:fill="F5F7F8" w:val="clear" w:color="auto"/>
            <w:tcMar>
              <w:top w:w="70" w:type="dxa"/>
              <w:start w:w="110" w:type="dxa"/>
              <w:bottom w:w="70" w:type="dxa"/>
              <w:end w:w="110" w:type="dxa"/>
            </w:tcMar>
          </w:tcPr>
          <w:p>
            <w:pPr>
              <w:pStyle w:val="TableText"/>
              <w:jc w:val="left"/>
            </w:pPr>
            <w:r>
              <w:rPr>
                <w:lang w:val="en-US" w:eastAsia="en-US" w:bidi="ar-SA"/>
              </w:rPr>
              <w:t>High Integration</w:t>
            </w:r>
          </w:p>
        </w:tc>
        <w:tc>
          <w:tcPr>
            <w:tcW w:w="2340" w:type="dxa"/>
            <w:shd w:fill="F5F7F8" w:val="clear" w:color="auto"/>
            <w:tcMar>
              <w:top w:w="70" w:type="dxa"/>
              <w:start w:w="110" w:type="dxa"/>
              <w:bottom w:w="70" w:type="dxa"/>
              <w:end w:w="110" w:type="dxa"/>
            </w:tcMar>
          </w:tcPr>
          <w:p>
            <w:r>
              <w:t>80% RVC treaty-fixed qualification threshold once the High Integration pathway is activated under Article 59.1(5)</w:t>
            </w:r>
          </w:p>
        </w:tc>
        <w:tc>
          <w:tcPr>
            <w:tcW w:w="2340" w:type="dxa"/>
            <w:shd w:fill="F5F7F8" w:val="clear" w:color="auto"/>
            <w:tcMar>
              <w:top w:w="70" w:type="dxa"/>
              <w:start w:w="110" w:type="dxa"/>
              <w:bottom w:w="70" w:type="dxa"/>
              <w:end w:w="110" w:type="dxa"/>
            </w:tcMar>
          </w:tcPr>
          <w:p>
            <w:r>
              <w:t>Qualifying performance, measured under the Automotive Integration Activation Schedule, in at least 3 of the 5 strategic component categories designated by that Schedule</w:t>
            </w:r>
          </w:p>
        </w:tc>
        <w:tc>
          <w:tcPr>
            <w:tcW w:w="2339" w:type="dxa"/>
            <w:shd w:fill="F5F7F8" w:val="clear" w:color="auto"/>
            <w:tcMar>
              <w:top w:w="70" w:type="dxa"/>
              <w:start w:w="110" w:type="dxa"/>
              <w:bottom w:w="70" w:type="dxa"/>
              <w:end w:w="110" w:type="dxa"/>
            </w:tcMar>
          </w:tcPr>
          <w:p>
            <w:pPr>
              <w:pStyle w:val="TableText"/>
              <w:jc w:val="left"/>
            </w:pPr>
            <w:r>
              <w:rPr>
                <w:lang w:val="en-US" w:eastAsia="en-US" w:bidi="ar-SA"/>
              </w:rPr>
              <w:t>Eligibility for designated facilitation benefits such as expedited customs, reduced verification frequency, or approved model-year determinations; does not create a Party-specific quota.</w:t>
            </w:r>
          </w:p>
        </w:tc>
      </w:tr>
      <w:tr>
        <w:trPr/>
        <w:tc>
          <w:tcPr>
            <w:tcW w:w="2340" w:type="dxa"/>
            <w:tcMar>
              <w:top w:w="70" w:type="dxa"/>
              <w:start w:w="110" w:type="dxa"/>
              <w:bottom w:w="70" w:type="dxa"/>
              <w:end w:w="110" w:type="dxa"/>
            </w:tcMar>
          </w:tcPr>
          <w:p>
            <w:pPr>
              <w:pStyle w:val="TableText"/>
              <w:jc w:val="left"/>
            </w:pPr>
            <w:r>
              <w:rPr>
                <w:lang w:val="en-US" w:eastAsia="en-US" w:bidi="ar-SA"/>
              </w:rPr>
              <w:t>Strategic Integration</w:t>
            </w:r>
          </w:p>
        </w:tc>
        <w:tc>
          <w:tcPr>
            <w:tcW w:w="2340" w:type="dxa"/>
            <w:tcMar>
              <w:top w:w="70" w:type="dxa"/>
              <w:start w:w="110" w:type="dxa"/>
              <w:bottom w:w="70" w:type="dxa"/>
              <w:end w:w="110" w:type="dxa"/>
            </w:tcMar>
          </w:tcPr>
          <w:p>
            <w:r>
              <w:t>85% RVC treaty-fixed qualification threshold once the Strategic Integration pathway is activated under Article 59.1(5)</w:t>
            </w:r>
          </w:p>
        </w:tc>
        <w:tc>
          <w:tcPr>
            <w:tcW w:w="2340" w:type="dxa"/>
            <w:tcMar>
              <w:top w:w="70" w:type="dxa"/>
              <w:start w:w="110" w:type="dxa"/>
              <w:bottom w:w="70" w:type="dxa"/>
              <w:end w:w="110" w:type="dxa"/>
            </w:tcMar>
          </w:tcPr>
          <w:p>
            <w:r>
              <w:t>Qualifying performance, measured under the Automotive Integration Activation Schedule, across all 5 designated strategic component categories plus a supply-chain continuity plan approved under that Schedule</w:t>
            </w:r>
          </w:p>
        </w:tc>
        <w:tc>
          <w:tcPr>
            <w:tcW w:w="2339" w:type="dxa"/>
            <w:tcMar>
              <w:top w:w="70" w:type="dxa"/>
              <w:start w:w="110" w:type="dxa"/>
              <w:bottom w:w="70" w:type="dxa"/>
              <w:end w:w="110" w:type="dxa"/>
            </w:tcMar>
          </w:tcPr>
          <w:p>
            <w:pPr>
              <w:pStyle w:val="TableText"/>
              <w:jc w:val="left"/>
            </w:pPr>
            <w:r>
              <w:rPr>
                <w:lang w:val="en-US" w:eastAsia="en-US" w:bidi="ar-SA"/>
              </w:rPr>
              <w:t>Best available non-tariff facilitation and resilience treatment authorized by the implementing schedule, subject to verification and anti-gaming rules.</w:t>
            </w:r>
          </w:p>
        </w:tc>
      </w:tr>
    </w:tbl>
    <w:p>
      <w:pPr>
        <w:pStyle w:val="Normal"/>
      </w:pPr>
      <w:r>
        <w:t>Interpretive Note. This table consolidates operational reference points and does not silently override stricter product-specific rules, steel or aluminum requirements, anti-circumvention requirements, or other mandatory automotive provisions. High Integration and Strategic Integration become operative only through the Automotive Integration Activation Schedule adopted under Article 59.1(5), which supplies the designated categories, qualifying-performance criteria, evidence rules, continuity-plan approval rule, and status-determining authority. The 80 percent and 85 percent figures shown here are treaty-fixed qualification thresholds for those activated pathways rather than independently elective reference values. Where another conflict exists, the operative treaty provision controls unless formally amended.</w:t>
      </w:r>
    </w:p>
    <w:p>
      <w:pPr>
        <w:pStyle w:val="Heading2"/>
      </w:pPr>
      <w:bookmarkStart w:id="900179" w:name="_Toc300000178"/>
      <w:r>
        <w:t>ANNEX 4-E-2: Advanced Automotive Component Origin Methodology and Worked Examples</w:t>
      </w:r>
      <w:bookmarkEnd w:id="900179"/>
    </w:p>
    <w:p>
      <w:pPr>
        <w:pStyle w:val="Normal"/>
      </w:pPr>
      <w:r>
        <w:rPr>
          <w:b w:val="0"/>
        </w:rPr>
        <w:t>Purpose. This Annex operationalizes Article 4.A.2D. It supplies component-family rules, minimum transformation tests, calculation hierarchy, anti-double-counting rules, and authoritative examples while preserving Chapter 5 verification, Chapters 36 and 37 strategic-material disciplines, Article 49.4 rule-change safeguards, and Chapter 59 automotive implementation.</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CellMar>
          <w:top w:w="70" w:type="dxa"/>
          <w:left w:w="100" w:type="dxa"/>
          <w:bottom w:w="70" w:type="dxa"/>
          <w:right w:w="100" w:type="dxa"/>
        </w:tblCellMar>
        <w:tblLook w:firstColumn="1" w:firstRow="1" w:lastColumn="0" w:lastRow="0" w:noHBand="0" w:noVBand="1" w:val="04A0"/>
      </w:tblPr>
      <w:tblGrid>
        <w:gridCol w:w="2340"/>
        <w:gridCol w:w="2340"/>
        <w:gridCol w:w="2340"/>
        <w:gridCol w:w="2340"/>
      </w:tblGrid>
      <w:tr>
        <w:tc>
          <w:tcPr>
            <w:tcW w:type="dxa" w:w="2340"/>
            <w:shd w:fill="ECEFF1" w:val="clear" w:color="auto"/>
            <w:tcMar>
              <w:top w:w="80" w:type="dxa"/>
              <w:start w:w="100" w:type="dxa"/>
              <w:bottom w:w="80" w:type="dxa"/>
              <w:end w:w="100" w:type="dxa"/>
            </w:tcMar>
          </w:tcPr>
          <w:p>
            <w:pPr>
              <w:pStyle w:val="TableText"/>
            </w:pPr>
            <w:r>
              <w:rPr>
                <w:b/>
              </w:rPr>
              <w:t>Component family</w:t>
            </w:r>
          </w:p>
        </w:tc>
        <w:tc>
          <w:tcPr>
            <w:tcW w:type="dxa" w:w="2340"/>
            <w:shd w:fill="ECEFF1" w:val="clear" w:color="auto"/>
            <w:tcMar>
              <w:top w:w="80" w:type="dxa"/>
              <w:start w:w="100" w:type="dxa"/>
              <w:bottom w:w="80" w:type="dxa"/>
              <w:end w:w="100" w:type="dxa"/>
            </w:tcMar>
          </w:tcPr>
          <w:p>
            <w:pPr>
              <w:pStyle w:val="TableText"/>
            </w:pPr>
            <w:r>
              <w:rPr>
                <w:b/>
              </w:rPr>
              <w:t>Qualifying North American transformation</w:t>
            </w:r>
          </w:p>
        </w:tc>
        <w:tc>
          <w:tcPr>
            <w:tcW w:type="dxa" w:w="2340"/>
            <w:shd w:fill="ECEFF1" w:val="clear" w:color="auto"/>
            <w:tcMar>
              <w:top w:w="80" w:type="dxa"/>
              <w:start w:w="100" w:type="dxa"/>
              <w:bottom w:w="80" w:type="dxa"/>
              <w:end w:w="100" w:type="dxa"/>
            </w:tcMar>
          </w:tcPr>
          <w:p>
            <w:pPr>
              <w:pStyle w:val="TableText"/>
            </w:pPr>
            <w:r>
              <w:rPr>
                <w:b/>
              </w:rPr>
              <w:t>Operations insufficient by themselves</w:t>
            </w:r>
          </w:p>
        </w:tc>
        <w:tc>
          <w:tcPr>
            <w:tcW w:type="dxa" w:w="2340"/>
            <w:shd w:fill="ECEFF1" w:val="clear" w:color="auto"/>
            <w:tcMar>
              <w:top w:w="80" w:type="dxa"/>
              <w:start w:w="100" w:type="dxa"/>
              <w:bottom w:w="80" w:type="dxa"/>
              <w:end w:w="100" w:type="dxa"/>
            </w:tcMar>
          </w:tcPr>
          <w:p>
            <w:pPr>
              <w:pStyle w:val="TableText"/>
            </w:pPr>
            <w:r>
              <w:rPr>
                <w:b/>
              </w:rPr>
              <w:t>Verification focus</w:t>
            </w:r>
          </w:p>
        </w:tc>
      </w:tr>
      <w:tr>
        <w:tc>
          <w:tcPr>
            <w:tcW w:type="dxa" w:w="2340"/>
            <w:tcMar>
              <w:top w:w="80" w:type="dxa"/>
              <w:start w:w="100" w:type="dxa"/>
              <w:bottom w:w="80" w:type="dxa"/>
              <w:end w:w="100" w:type="dxa"/>
            </w:tcMar>
            <w:vAlign w:val="top"/>
          </w:tcPr>
          <w:p>
            <w:pPr>
              <w:pStyle w:val="TableText"/>
            </w:pPr>
            <w:r>
              <w:t>Battery cell</w:t>
            </w:r>
          </w:p>
        </w:tc>
        <w:tc>
          <w:tcPr>
            <w:tcW w:type="dxa" w:w="2340"/>
            <w:tcMar>
              <w:top w:w="80" w:type="dxa"/>
              <w:start w:w="100" w:type="dxa"/>
              <w:bottom w:w="80" w:type="dxa"/>
              <w:end w:w="100" w:type="dxa"/>
            </w:tcMar>
            <w:vAlign w:val="top"/>
          </w:tcPr>
          <w:p>
            <w:pPr>
              <w:pStyle w:val="TableText"/>
            </w:pPr>
            <w:r>
              <w:t>Manufacture of a commercially functional electrochemical cell in North America, including electrode preparation or coating, cell assembly, electrolyte filling, formation, and testing sufficient to satisfy the applicable product-specific rule.</w:t>
            </w:r>
          </w:p>
        </w:tc>
        <w:tc>
          <w:tcPr>
            <w:tcW w:type="dxa" w:w="2340"/>
            <w:tcMar>
              <w:top w:w="80" w:type="dxa"/>
              <w:start w:w="100" w:type="dxa"/>
              <w:bottom w:w="80" w:type="dxa"/>
              <w:end w:w="100" w:type="dxa"/>
            </w:tcMar>
            <w:vAlign w:val="top"/>
          </w:tcPr>
          <w:p>
            <w:pPr>
              <w:pStyle w:val="TableText"/>
            </w:pPr>
            <w:r>
              <w:t>Importing a finished cell; relabelling; testing alone; packaging; simple terminal attachment.</w:t>
            </w:r>
          </w:p>
        </w:tc>
        <w:tc>
          <w:tcPr>
            <w:tcW w:type="dxa" w:w="2340"/>
            <w:tcMar>
              <w:top w:w="80" w:type="dxa"/>
              <w:start w:w="100" w:type="dxa"/>
              <w:bottom w:w="80" w:type="dxa"/>
              <w:end w:w="100" w:type="dxa"/>
            </w:tcMar>
            <w:vAlign w:val="top"/>
          </w:tcPr>
          <w:p>
            <w:pPr>
              <w:pStyle w:val="TableText"/>
            </w:pPr>
            <w:r>
              <w:t>Production records, bill of materials, cell genealogy, costed origin calculation, and relevant Chapter 37 provenance.</w:t>
            </w:r>
          </w:p>
        </w:tc>
      </w:tr>
      <w:tr>
        <w:tc>
          <w:tcPr>
            <w:tcW w:type="dxa" w:w="2340"/>
            <w:tcMar>
              <w:top w:w="80" w:type="dxa"/>
              <w:start w:w="100" w:type="dxa"/>
              <w:bottom w:w="80" w:type="dxa"/>
              <w:end w:w="100" w:type="dxa"/>
            </w:tcMar>
            <w:vAlign w:val="top"/>
          </w:tcPr>
          <w:p>
            <w:pPr>
              <w:pStyle w:val="TableText"/>
            </w:pPr>
            <w:r>
              <w:t>Battery module</w:t>
            </w:r>
          </w:p>
        </w:tc>
        <w:tc>
          <w:tcPr>
            <w:tcW w:type="dxa" w:w="2340"/>
            <w:tcMar>
              <w:top w:w="80" w:type="dxa"/>
              <w:start w:w="100" w:type="dxa"/>
              <w:bottom w:w="80" w:type="dxa"/>
              <w:end w:w="100" w:type="dxa"/>
            </w:tcMar>
            <w:vAlign w:val="top"/>
          </w:tcPr>
          <w:p>
            <w:pPr>
              <w:pStyle w:val="TableText"/>
            </w:pPr>
            <w:r>
              <w:t>Substantive assembly of cells with structural, electrical, sensing, control, safety, or thermal elements into a commercially distinct module under the applicable rule.</w:t>
            </w:r>
          </w:p>
        </w:tc>
        <w:tc>
          <w:tcPr>
            <w:tcW w:type="dxa" w:w="2340"/>
            <w:tcMar>
              <w:top w:w="80" w:type="dxa"/>
              <w:start w:w="100" w:type="dxa"/>
              <w:bottom w:w="80" w:type="dxa"/>
              <w:end w:w="100" w:type="dxa"/>
            </w:tcMar>
            <w:vAlign w:val="top"/>
          </w:tcPr>
          <w:p>
            <w:pPr>
              <w:pStyle w:val="TableText"/>
            </w:pPr>
            <w:r>
              <w:t>Simple bundling or fastening of imported finished modules or cosmetic enclosure.</w:t>
            </w:r>
          </w:p>
        </w:tc>
        <w:tc>
          <w:tcPr>
            <w:tcW w:type="dxa" w:w="2340"/>
            <w:tcMar>
              <w:top w:w="80" w:type="dxa"/>
              <w:start w:w="100" w:type="dxa"/>
              <w:bottom w:w="80" w:type="dxa"/>
              <w:end w:w="100" w:type="dxa"/>
            </w:tcMar>
            <w:vAlign w:val="top"/>
          </w:tcPr>
          <w:p>
            <w:pPr>
              <w:pStyle w:val="TableText"/>
            </w:pPr>
            <w:r>
              <w:t>Cell origin where relevant, module manufacturing records, BMS/thermal inputs, and reconciliation against duplicate credit.</w:t>
            </w:r>
          </w:p>
        </w:tc>
      </w:tr>
      <w:tr>
        <w:tc>
          <w:tcPr>
            <w:tcW w:type="dxa" w:w="2340"/>
            <w:tcMar>
              <w:top w:w="80" w:type="dxa"/>
              <w:start w:w="100" w:type="dxa"/>
              <w:bottom w:w="80" w:type="dxa"/>
              <w:end w:w="100" w:type="dxa"/>
            </w:tcMar>
            <w:vAlign w:val="top"/>
          </w:tcPr>
          <w:p>
            <w:pPr>
              <w:pStyle w:val="TableText"/>
            </w:pPr>
            <w:r>
              <w:t>Battery pack/system</w:t>
            </w:r>
          </w:p>
        </w:tc>
        <w:tc>
          <w:tcPr>
            <w:tcW w:type="dxa" w:w="2340"/>
            <w:tcMar>
              <w:top w:w="80" w:type="dxa"/>
              <w:start w:w="100" w:type="dxa"/>
              <w:bottom w:w="80" w:type="dxa"/>
              <w:end w:w="100" w:type="dxa"/>
            </w:tcMar>
            <w:vAlign w:val="top"/>
          </w:tcPr>
          <w:p>
            <w:pPr>
              <w:pStyle w:val="TableText"/>
            </w:pPr>
            <w:r>
              <w:t>Substantive manufacture or integration of modules or cells with enclosure, high-voltage distribution, BMS, thermal management, safety systems, and pack-level validation under the applicable rule.</w:t>
            </w:r>
          </w:p>
        </w:tc>
        <w:tc>
          <w:tcPr>
            <w:tcW w:type="dxa" w:w="2340"/>
            <w:tcMar>
              <w:top w:w="80" w:type="dxa"/>
              <w:start w:w="100" w:type="dxa"/>
              <w:bottom w:w="80" w:type="dxa"/>
              <w:end w:w="100" w:type="dxa"/>
            </w:tcMar>
            <w:vAlign w:val="top"/>
          </w:tcPr>
          <w:p>
            <w:pPr>
              <w:pStyle w:val="TableText"/>
            </w:pPr>
            <w:r>
              <w:t>Installation of a substantially finished imported pack into a vehicle; software flashing or testing alone.</w:t>
            </w:r>
          </w:p>
        </w:tc>
        <w:tc>
          <w:tcPr>
            <w:tcW w:type="dxa" w:w="2340"/>
            <w:tcMar>
              <w:top w:w="80" w:type="dxa"/>
              <w:start w:w="100" w:type="dxa"/>
              <w:bottom w:w="80" w:type="dxa"/>
              <w:end w:w="100" w:type="dxa"/>
            </w:tcMar>
            <w:vAlign w:val="top"/>
          </w:tcPr>
          <w:p>
            <w:pPr>
              <w:pStyle w:val="TableText"/>
            </w:pPr>
            <w:r>
              <w:t>Pack BOM, production routing, qualifying module/cell value, electronics, enclosure, thermal system, and no-double-count reconciliation.</w:t>
            </w:r>
          </w:p>
        </w:tc>
      </w:tr>
      <w:tr>
        <w:tc>
          <w:tcPr>
            <w:tcW w:type="dxa" w:w="2340"/>
            <w:tcMar>
              <w:top w:w="80" w:type="dxa"/>
              <w:start w:w="100" w:type="dxa"/>
              <w:bottom w:w="80" w:type="dxa"/>
              <w:end w:w="100" w:type="dxa"/>
            </w:tcMar>
            <w:vAlign w:val="top"/>
          </w:tcPr>
          <w:p>
            <w:pPr>
              <w:pStyle w:val="TableText"/>
            </w:pPr>
            <w:r>
              <w:t>Traction motor / electric-drive unit</w:t>
            </w:r>
          </w:p>
        </w:tc>
        <w:tc>
          <w:tcPr>
            <w:tcW w:type="dxa" w:w="2340"/>
            <w:tcMar>
              <w:top w:w="80" w:type="dxa"/>
              <w:start w:w="100" w:type="dxa"/>
              <w:bottom w:w="80" w:type="dxa"/>
              <w:end w:w="100" w:type="dxa"/>
            </w:tcMar>
            <w:vAlign w:val="top"/>
          </w:tcPr>
          <w:p>
            <w:pPr>
              <w:pStyle w:val="TableText"/>
            </w:pPr>
            <w:r>
              <w:t>Manufacture of a traction motor or substantive integration of motor, inverter, gearing, differential, controls, cooling, or related elements into a commercially distinct propulsion unit.</w:t>
            </w:r>
          </w:p>
        </w:tc>
        <w:tc>
          <w:tcPr>
            <w:tcW w:type="dxa" w:w="2340"/>
            <w:tcMar>
              <w:top w:w="80" w:type="dxa"/>
              <w:start w:w="100" w:type="dxa"/>
              <w:bottom w:w="80" w:type="dxa"/>
              <w:end w:w="100" w:type="dxa"/>
            </w:tcMar>
            <w:vAlign w:val="top"/>
          </w:tcPr>
          <w:p>
            <w:pPr>
              <w:pStyle w:val="TableText"/>
            </w:pPr>
            <w:r>
              <w:t>Bolting a finished imported drive unit into a vehicle; repackaging; calibration alone.</w:t>
            </w:r>
          </w:p>
        </w:tc>
        <w:tc>
          <w:tcPr>
            <w:tcW w:type="dxa" w:w="2340"/>
            <w:tcMar>
              <w:top w:w="80" w:type="dxa"/>
              <w:start w:w="100" w:type="dxa"/>
              <w:bottom w:w="80" w:type="dxa"/>
              <w:end w:w="100" w:type="dxa"/>
            </w:tcMar>
            <w:vAlign w:val="top"/>
          </w:tcPr>
          <w:p>
            <w:pPr>
              <w:pStyle w:val="TableText"/>
            </w:pPr>
            <w:r>
              <w:t>Motor/drive manufacturing records, major subassembly origin, costed transformation, and strategic-component records.</w:t>
            </w:r>
          </w:p>
        </w:tc>
      </w:tr>
      <w:tr>
        <w:tc>
          <w:tcPr>
            <w:tcW w:type="dxa" w:w="2340"/>
            <w:tcMar>
              <w:top w:w="80" w:type="dxa"/>
              <w:start w:w="100" w:type="dxa"/>
              <w:bottom w:w="80" w:type="dxa"/>
              <w:end w:w="100" w:type="dxa"/>
            </w:tcMar>
            <w:vAlign w:val="top"/>
          </w:tcPr>
          <w:p>
            <w:pPr>
              <w:pStyle w:val="TableText"/>
            </w:pPr>
            <w:r>
              <w:t>Power electronics</w:t>
            </w:r>
          </w:p>
        </w:tc>
        <w:tc>
          <w:tcPr>
            <w:tcW w:type="dxa" w:w="2340"/>
            <w:tcMar>
              <w:top w:w="80" w:type="dxa"/>
              <w:start w:w="100" w:type="dxa"/>
              <w:bottom w:w="80" w:type="dxa"/>
              <w:end w:w="100" w:type="dxa"/>
            </w:tcMar>
            <w:vAlign w:val="top"/>
          </w:tcPr>
          <w:p>
            <w:pPr>
              <w:pStyle w:val="TableText"/>
            </w:pPr>
            <w:r>
              <w:t>Substantive manufacture or assembly of inverter, converter, onboard charger, power-control, or related automotive power-electronic equipment that creates the functional automotive assembly under the applicable rule.</w:t>
            </w:r>
          </w:p>
        </w:tc>
        <w:tc>
          <w:tcPr>
            <w:tcW w:type="dxa" w:w="2340"/>
            <w:tcMar>
              <w:top w:w="80" w:type="dxa"/>
              <w:start w:w="100" w:type="dxa"/>
              <w:bottom w:w="80" w:type="dxa"/>
              <w:end w:w="100" w:type="dxa"/>
            </w:tcMar>
            <w:vAlign w:val="top"/>
          </w:tcPr>
          <w:p>
            <w:pPr>
              <w:pStyle w:val="TableText"/>
            </w:pPr>
            <w:r>
              <w:t>Importing a finished inverter or charger and changing labels, firmware, connectors, or packaging only.</w:t>
            </w:r>
          </w:p>
        </w:tc>
        <w:tc>
          <w:tcPr>
            <w:tcW w:type="dxa" w:w="2340"/>
            <w:tcMar>
              <w:top w:w="80" w:type="dxa"/>
              <w:start w:w="100" w:type="dxa"/>
              <w:bottom w:w="80" w:type="dxa"/>
              <w:end w:w="100" w:type="dxa"/>
            </w:tcMar>
            <w:vAlign w:val="top"/>
          </w:tcPr>
          <w:p>
            <w:pPr>
              <w:pStyle w:val="TableText"/>
            </w:pPr>
            <w:r>
              <w:t>PCB/assembly records, semiconductor and module inputs where relevant, testing records, and costed origin methodology.</w:t>
            </w:r>
          </w:p>
        </w:tc>
      </w:tr>
      <w:tr>
        <w:tc>
          <w:tcPr>
            <w:tcW w:type="dxa" w:w="2340"/>
            <w:tcMar>
              <w:top w:w="80" w:type="dxa"/>
              <w:start w:w="100" w:type="dxa"/>
              <w:bottom w:w="80" w:type="dxa"/>
              <w:end w:w="100" w:type="dxa"/>
            </w:tcMar>
            <w:vAlign w:val="top"/>
          </w:tcPr>
          <w:p>
            <w:pPr>
              <w:pStyle w:val="TableText"/>
            </w:pPr>
            <w:r>
              <w:t>BMS / thermal-management system</w:t>
            </w:r>
          </w:p>
        </w:tc>
        <w:tc>
          <w:tcPr>
            <w:tcW w:type="dxa" w:w="2340"/>
            <w:tcMar>
              <w:top w:w="80" w:type="dxa"/>
              <w:start w:w="100" w:type="dxa"/>
              <w:bottom w:w="80" w:type="dxa"/>
              <w:end w:w="100" w:type="dxa"/>
            </w:tcMar>
            <w:vAlign w:val="top"/>
          </w:tcPr>
          <w:p>
            <w:pPr>
              <w:pStyle w:val="TableText"/>
            </w:pPr>
            <w:r>
              <w:t>Substantive manufacture or integration of sensing, control, cooling, heating, pumping, valving, heat-exchange, or related systems into a distinct battery-management or thermal-management assembly.</w:t>
            </w:r>
          </w:p>
        </w:tc>
        <w:tc>
          <w:tcPr>
            <w:tcW w:type="dxa" w:w="2340"/>
            <w:tcMar>
              <w:top w:w="80" w:type="dxa"/>
              <w:start w:w="100" w:type="dxa"/>
              <w:bottom w:w="80" w:type="dxa"/>
              <w:end w:w="100" w:type="dxa"/>
            </w:tcMar>
            <w:vAlign w:val="top"/>
          </w:tcPr>
          <w:p>
            <w:pPr>
              <w:pStyle w:val="TableText"/>
            </w:pPr>
            <w:r>
              <w:t>Software loading alone; simple hose or connector installation; repackaging finished foreign systems.</w:t>
            </w:r>
          </w:p>
        </w:tc>
        <w:tc>
          <w:tcPr>
            <w:tcW w:type="dxa" w:w="2340"/>
            <w:tcMar>
              <w:top w:w="80" w:type="dxa"/>
              <w:start w:w="100" w:type="dxa"/>
              <w:bottom w:w="80" w:type="dxa"/>
              <w:end w:w="100" w:type="dxa"/>
            </w:tcMar>
            <w:vAlign w:val="top"/>
          </w:tcPr>
          <w:p>
            <w:pPr>
              <w:pStyle w:val="TableText"/>
            </w:pPr>
            <w:r>
              <w:t>System BOM, manufacturing routing, controller/sensor inputs, and functional integration records.</w:t>
            </w:r>
          </w:p>
        </w:tc>
      </w:tr>
      <w:tr>
        <w:tc>
          <w:tcPr>
            <w:tcW w:type="dxa" w:w="2340"/>
            <w:tcMar>
              <w:top w:w="80" w:type="dxa"/>
              <w:start w:w="100" w:type="dxa"/>
              <w:bottom w:w="80" w:type="dxa"/>
              <w:end w:w="100" w:type="dxa"/>
            </w:tcMar>
            <w:vAlign w:val="top"/>
          </w:tcPr>
          <w:p>
            <w:pPr>
              <w:pStyle w:val="TableText"/>
            </w:pPr>
            <w:r>
              <w:t>Successor technology</w:t>
            </w:r>
          </w:p>
        </w:tc>
        <w:tc>
          <w:tcPr>
            <w:tcW w:type="dxa" w:w="2340"/>
            <w:tcMar>
              <w:top w:w="80" w:type="dxa"/>
              <w:start w:w="100" w:type="dxa"/>
              <w:bottom w:w="80" w:type="dxa"/>
              <w:end w:w="100" w:type="dxa"/>
            </w:tcMar>
            <w:vAlign w:val="top"/>
          </w:tcPr>
          <w:p>
            <w:pPr>
              <w:pStyle w:val="TableText"/>
            </w:pPr>
            <w:r>
              <w:t>The transformation specified in a published Automotive Committee designation adopted under Article 4.A.2D.6 and Article 49.4.</w:t>
            </w:r>
          </w:p>
        </w:tc>
        <w:tc>
          <w:tcPr>
            <w:tcW w:type="dxa" w:w="2340"/>
            <w:tcMar>
              <w:top w:w="80" w:type="dxa"/>
              <w:start w:w="100" w:type="dxa"/>
              <w:bottom w:w="80" w:type="dxa"/>
              <w:end w:w="100" w:type="dxa"/>
            </w:tcMar>
            <w:vAlign w:val="top"/>
          </w:tcPr>
          <w:p>
            <w:pPr>
              <w:pStyle w:val="TableText"/>
            </w:pPr>
            <w:r>
              <w:t>Any operation designated minimal or insufficient in the published classification.</w:t>
            </w:r>
          </w:p>
        </w:tc>
        <w:tc>
          <w:tcPr>
            <w:tcW w:type="dxa" w:w="2340"/>
            <w:tcMar>
              <w:top w:w="80" w:type="dxa"/>
              <w:start w:w="100" w:type="dxa"/>
              <w:bottom w:w="80" w:type="dxa"/>
              <w:end w:w="100" w:type="dxa"/>
            </w:tcMar>
            <w:vAlign w:val="top"/>
          </w:tcPr>
          <w:p>
            <w:pPr>
              <w:pStyle w:val="TableText"/>
            </w:pPr>
            <w:r>
              <w:t>The records identified in the designation, using existing Chapter 5 procedures.</w:t>
            </w:r>
          </w:p>
        </w:tc>
      </w:tr>
    </w:tbl>
    <w:p>
      <w:pPr>
        <w:pStyle w:val="Normal"/>
      </w:pPr>
      <w:r>
        <w:rPr>
          <w:b/>
        </w:rPr>
        <w:t>Worked Example 1: Foreign mineral, North American cell and pack.</w:t>
      </w:r>
    </w:p>
    <w:p>
      <w:pPr>
        <w:pStyle w:val="Normal"/>
      </w:pPr>
      <w:r>
        <w:rPr>
          <w:b w:val="0"/>
        </w:rPr>
        <w:t>Lithium concentrate mined outside North America is lawfully imported and refined into qualifying battery material in Canada, after which electrodes and cells are manufactured in the United States and the cells are assembled into a qualifying pack in Canada. The foreign origin of the original concentrate does not by itself prevent the cell or pack from acquiring origin where the applicable transformation and value rules are satisfied, while Chapter 37 continues to record the material provenance. Once the pack qualifies, Article 4.A.2D.4 permits its qualifying value to roll up into the finished vehicle calculation without reopening the embedded concentrate value solely because it was non-originating. The producer may not separately count the same refined-material value, cell value, and pack value as three independent credits.</w:t>
      </w:r>
    </w:p>
    <w:p>
      <w:pPr>
        <w:pStyle w:val="Normal"/>
      </w:pPr>
      <w:r>
        <w:rPr>
          <w:b/>
        </w:rPr>
        <w:t>Worked Example 2: Imported finished cells.</w:t>
      </w:r>
    </w:p>
    <w:p>
      <w:pPr>
        <w:pStyle w:val="Normal"/>
      </w:pPr>
      <w:r>
        <w:rPr>
          <w:b w:val="0"/>
        </w:rPr>
        <w:t>Finished non-originating cells are imported into Mexico and assembled with a North American enclosure, BMS, cooling system, wiring, and safety hardware into a battery pack. The pack may qualify only if the applicable pack rule in this Annex and the product-specific origin rule are independently satisfied, and the imported cells remain non-originating inputs to the extent required by that calculation. Simple placement of imported cells into a housing is insufficient, but substantive pack manufacture may be recognized where the prescribed transformation and value requirements are met. If the pack qualifies, downstream roll-up applies to the pack while the same imported-cell value cannot be claimed again as a separate originating credit.</w:t>
      </w:r>
    </w:p>
    <w:p>
      <w:pPr>
        <w:pStyle w:val="Normal"/>
      </w:pPr>
      <w:r>
        <w:rPr>
          <w:b/>
        </w:rPr>
        <w:t>Worked Example 3: Imported finished pack.</w:t>
      </w:r>
    </w:p>
    <w:p>
      <w:pPr>
        <w:pStyle w:val="Normal"/>
      </w:pPr>
      <w:r>
        <w:rPr>
          <w:b w:val="0"/>
        </w:rPr>
        <w:t>A completed non-originating battery pack is imported into the United States and installed into an otherwise North American vehicle. Installation, software pairing, charging, calibration, or vehicle-level testing does not convert the imported finished pack into an originating pack. The pack therefore enters the vehicle origin calculation as non-originating except to the extent another express rule of this Agreement provides otherwise. The vehicle may nevertheless qualify if it satisfies all applicable vehicle-level rules without falsely treating the pack as originating.</w:t>
      </w:r>
    </w:p>
    <w:p>
      <w:pPr>
        <w:pStyle w:val="Normal"/>
      </w:pPr>
      <w:r>
        <w:rPr>
          <w:b/>
        </w:rPr>
        <w:t>Worked Example 4: Integrated e-axle.</w:t>
      </w:r>
    </w:p>
    <w:p>
      <w:pPr>
        <w:pStyle w:val="Normal"/>
      </w:pPr>
      <w:r>
        <w:rPr>
          <w:b w:val="0"/>
        </w:rPr>
        <w:t>A Canadian plant manufactures a traction motor and integrates it with an originating reduction gear, a non-originating semiconductor power module, cooling hardware, controls, and a differential into a commercially distinct e-axle. The non-originating semiconductor module does not automatically defeat origin if the e-axle satisfies the applicable transformation and value rule and the imported module is properly accounted for. Verification focuses on the actual North American manufacturing operations, costed bill of materials, supplier records, and any strategic-electronics requirements that independently apply. Once the e-axle qualifies, its qualifying value may roll up into the vehicle calculation without duplicate credit for the motor or gear.</w:t>
      </w:r>
    </w:p>
    <w:p>
      <w:pPr>
        <w:pStyle w:val="Normal"/>
      </w:pPr>
      <w:r>
        <w:rPr>
          <w:b/>
        </w:rPr>
        <w:t>Worked Example 5: Recycled black mass.</w:t>
      </w:r>
    </w:p>
    <w:p>
      <w:pPr>
        <w:pStyle w:val="Normal"/>
      </w:pPr>
      <w:r>
        <w:rPr>
          <w:b w:val="0"/>
        </w:rPr>
        <w:t>End-of-life batteries collected in the United States are processed into black mass and then refined in Canada into commercially usable battery-grade materials that enter cell production in Mexico. Origin credit attaches at the qualifying recovery or refining stage specified by Chapters 37 and 59 and the applicable rule, rather than being multiplied each time the material moves through a later manufacturing stage. Collection or sorting alone does not create the same credit as substantive recovery, refining, or active-material manufacture. The resulting cells and packs must still satisfy their own component rules before downstream roll-up applies.</w:t>
      </w:r>
    </w:p>
    <w:p>
      <w:pPr>
        <w:pStyle w:val="Normal"/>
      </w:pPr>
      <w:r>
        <w:rPr>
          <w:b/>
        </w:rPr>
        <w:t>Worked Example 6: Software is not enough.</w:t>
      </w:r>
    </w:p>
    <w:p>
      <w:pPr>
        <w:pStyle w:val="Normal"/>
      </w:pPr>
      <w:r>
        <w:rPr>
          <w:b w:val="0"/>
        </w:rPr>
        <w:t>A finished non-originating inverter is imported into Canada, loaded with Canadian-developed control software, tested, and relabelled for a Canadian vehicle program. Software development may qualify for any separate innovation or value treatment expressly provided elsewhere in this Agreement, but software loading alone does not transform the finished inverter into an originating power-electronic component. The inverter remains non-originating for the component rule unless additional qualifying North American manufacturing satisfies that rule. Authorities shall not treat this result as diminishing the originating status of unrelated Canadian software or engineering services.</w:t>
      </w:r>
    </w:p>
    <w:p>
      <w:pPr>
        <w:pStyle w:val="Normal"/>
      </w:pPr>
      <w:r>
        <w:rPr>
          <w:b/>
        </w:rPr>
        <w:t>Worked Example 7: Successor solid-state architecture.</w:t>
      </w:r>
    </w:p>
    <w:p>
      <w:pPr>
        <w:pStyle w:val="Normal"/>
      </w:pPr>
      <w:r>
        <w:rPr>
          <w:b w:val="0"/>
        </w:rPr>
        <w:t>A producer introduces a solid-state energy-storage architecture that does not map cleanly onto the existing cell-module-pack sequence. The producer or a Party may request an advance ruling and a successor-technology designation under Article 4.A.2D.6 using the closest technically analogous existing methodology during the interim. The Committee may clarify classification and evidence requirements but may not use the designation to increase substantive origin thresholds without Article 49.4 procedures. Once adopted, the published designation applies prospectively and includes at least one authoritative calculation example.</w:t>
      </w:r>
    </w:p>
    <w:p>
      <w:pPr>
        <w:pStyle w:val="Normal"/>
      </w:pPr>
      <w:r>
        <w:rPr>
          <w:b/>
        </w:rPr>
        <w:t>Worked Example 8: Model-year reconciliation.</w:t>
      </w:r>
    </w:p>
    <w:p>
      <w:pPr>
        <w:pStyle w:val="Normal"/>
      </w:pPr>
      <w:r>
        <w:rPr>
          <w:b w:val="0"/>
        </w:rPr>
        <w:t>A producer manufactures several related battery-pack variants during a model year using changing mixes of originating and non-originating cells and electronics. Chapter 5 permits the authority to verify the relevant component family through approved model-year, batch, supplier-declaration, and reusable-evidence methods rather than reconstructing every shipment independently. The producer must reconcile originating value accurately and retain sufficient records to prevent double counting or concealment of a material sourcing change. A good-faith methodology error remains subject to the cure and appeal protections otherwise provided by this Agreement unless fraud or circumvention is established.</w:t>
      </w:r>
    </w:p>
    <w:p>
      <w:pPr>
        <w:pStyle w:val="Normal"/>
      </w:pPr>
      <w:r>
        <w:rPr>
          <w:b w:val="0"/>
        </w:rPr>
        <w:t>Interpretive Safeguard 1. Nothing in this Annex creates a Party-specific content requirement, a tariff authority, or a presumption that lawful non-originating inputs constitute circumvention. Ordinary preferential qualification remains governed by the applicable North American rules of origin, and voluntary enhanced-origin incentives remain separate. Where another provision affords more favorable treatment to an originating good, this Annex does not reduce that treatment. Where an express product-specific rule is stricter, that operative rule controls unless formally amended.</w:t>
      </w:r>
    </w:p>
    <w:p>
      <w:pPr>
        <w:pStyle w:val="Normal"/>
      </w:pPr>
      <w:r>
        <w:rPr>
          <w:b w:val="0"/>
        </w:rPr>
        <w:t>Interpretive Safeguard 2. The Commission shall publish and maintain machine-readable calculation templates and at least the worked examples contained in this Annex, with additional examples adopted by consensus as technologies evolve. Technical guidance may resolve classification, evidence, or calculation questions but may not silently amend an origin threshold or withdraw lawful roll-up treatment. A producer may request an advance ruling before changing a manufacturing pathway or introducing a successor technology. Conflicting administrative interpretations shall be referred promptly to the Automotive Committee and, where necessary, the dispute-settlement procedures of this Agreement.</w:t>
      </w:r>
    </w:p>
    <w:p>
      <w:pPr>
        <w:pStyle w:val="Heading1"/>
      </w:pPr>
      <w:bookmarkStart w:id="900180" w:name="_Toc300000179"/>
      <w:r>
        <w:t>CHAPTER 5 ORIGIN PROCEDURES</w:t>
      </w:r>
      <w:bookmarkEnd w:id="900180"/>
    </w:p>
    <w:p>
      <w:pPr>
        <w:pStyle w:val="Heading2"/>
      </w:pPr>
      <w:bookmarkStart w:id="900181" w:name="_Toc300000180"/>
      <w:r>
        <w:t xml:space="preserve">Article 5.1: Definitions</w:t>
      </w:r>
      <w:bookmarkEnd w:id="900181"/>
    </w:p>
    <w:p>
      <w:pPr>
        <w:pStyle w:val="Normal"/>
      </w:pPr>
      <w:r>
        <w:t xml:space="preserve">For the purposes of this Chapter: exporter means an exporter located in the territory of a Party and an exporter required under this Chapter to maintain records in the territory of that Party regarding exportations of a good; identical goods means goods that are the same in all respects, including physical characteristics, quality, and reputation, irrespective of minor differences in appearance that are not relevant to a determination of origin of those goods under Chapter 4 (Rules of Origin) or Chapter 6 (Textile and Apparel Goods); importer means an importer located in the territory of a Party and an importer required under this Chapter to maintain records in the territory of that Party regarding importations of a good; and value means value of a good or material for purposes of calculating customs duties or for purposes of applying Chapter 4 (Rules of Origin) or Chapter 6 (Textile and Apparel Goods).</w:t>
      </w:r>
    </w:p>
    <w:p>
      <w:pPr>
        <w:pStyle w:val="Heading2"/>
      </w:pPr>
      <w:bookmarkStart w:id="900182" w:name="_Toc300000181"/>
      <w:r>
        <w:t xml:space="preserve">Article 5.2: Claims for Preferential Tariff Treatment</w:t>
      </w:r>
      <w:bookmarkEnd w:id="900182"/>
    </w:p>
    <w:p>
      <w:pPr>
        <w:pStyle w:val="Normal"/>
      </w:pPr>
      <w:r>
        <w:t xml:space="preserve">1. Each Party shall provide that an importer may make a claim for preferential tariff treatment, based on a certification of origin completed by the exporter, producer, or importer1 for the purpose of certifying that a good being exported from the territory of a Party into the territory of another Party qualifies as an originating good. 2. An importing Party may: (a) require that an importer who completes a certification of origin provide documents or other information to support the certification; (b) establish in its law conditions that an importer shall meet to complete a certification of origin; For Mexico, implementation of paragraph 1 with respect to a certification of origin by the importer shall be no later than three years and six months after the date of entry into force of this Agreement.</w:t>
      </w:r>
    </w:p>
    <w:p>
      <w:pPr>
        <w:pStyle w:val="Normal"/>
      </w:pPr>
      <w:r>
        <w:t>(c) if an importer fails to meet or no longer meets the conditions established under subparagraph (b), prohibit that importer from providing its own certification as the basis of a claim for preferential tariff treatment; or (d) if a claim for preferential tariff treatment is based on a certification of origin completed by an importer, prohibit that importer from: (i) issuing a certification, based on a certification of origin or a written representation completed by the exporter or producer, and (ii) making a subsequent claim for preferential tariff treatment for the same importation, based on a certification of origin completed by the exporter or producer. 3. Each Party shall provide that a certification of origin: (a) need not follow a prescribed format; (b) contains a set of minimum data elements as set out in Annex 5-A (Minimum Data Elements) that indicate that the good is both originating and meets the requirements of this Chapter; (c) may be provided on an invoice or any other document;</w:t>
      </w:r>
    </w:p>
    <w:p>
      <w:pPr>
        <w:pStyle w:val="Normal"/>
      </w:pPr>
      <w:r>
        <w:t>(d) describes the originating good in sufficient detail to enable its identification; and (e) meets the requirements as set out in the Uniform Regulations. 4. A Party shall not reject a claim for preferential tariff treatment for the sole reason that the invoice was issued in a non-Party. However, a certification of origin shall not be provided on an invoice or any other commercial document issued in a non-Party. 5.</w:t>
      </w:r>
    </w:p>
    <w:p>
      <w:pPr>
        <w:pStyle w:val="Normal"/>
      </w:pPr>
      <w:r>
        <w:t>Each Party shall provide that the certification of origin for a good imported into its territory may be completed in English, French, or Spanish. If the certification of origin is not in a language of the importing Party, the importing Party may require an importer to submit, upon request, a translation into such a language. 6. Each Party shall allow a certification of origin to be completed and submitted electronically and shall accept the certification of origin with an electronic or digital signature.</w:t>
      </w:r>
    </w:p>
    <w:p>
      <w:pPr>
        <w:pStyle w:val="Heading2"/>
      </w:pPr>
      <w:bookmarkStart w:id="900183" w:name="_Toc300000182"/>
      <w:r>
        <w:t xml:space="preserve">Article 5.3: Basis of a Certification of Origin</w:t>
      </w:r>
      <w:bookmarkEnd w:id="900183"/>
    </w:p>
    <w:p>
      <w:pPr>
        <w:pStyle w:val="Normal"/>
      </w:pPr>
      <w:r>
        <w:t xml:space="preserve">1. Each Party shall provide that if a producer certifies the origin of a good, the certification of origin is completed on the basis of the producer having information, including documents, that demonstrate that the good is originating. 2. Each Party shall provide that if the exporter is not the producer of the good, the certification of origin may be completed by the exporter of the good on the basis of: (a) having information, including documents, that demonstrate that the good is originating; or (b) reasonable reliance on the producer’s written representation, such as in a certification of origin, that the good is originating. 3. Each Party shall provide that a certification of origin may be completed by the importer of the good on the basis of the importer having information, including documents, that demonstrate that the good is originating. 4.</w:t>
      </w:r>
    </w:p>
    <w:p>
      <w:pPr>
        <w:pStyle w:val="Normal"/>
      </w:pPr>
      <w:r>
        <w:t>For greater certainty, nothing in paragraph 1 or 2 shall be construed to allow a Party to require an exporter or producer to complete a certification of origin or provide a certification of origin or a written representation to another person. 5. Each Party shall provide that a certification of origin may apply to: (a) a single shipment of a good into the territory of a Party; or (b) multiple shipments of identical goods within any period specified in the certification of origin, but not exceeding 12 months. 6.</w:t>
      </w:r>
    </w:p>
    <w:p>
      <w:pPr>
        <w:pStyle w:val="Normal"/>
      </w:pPr>
      <w:r>
        <w:t>Each Party shall provide that a certification of origin for a good imported into its territory be accepted by its customs administration for four years after the date the certification of origin was completed.</w:t>
      </w:r>
    </w:p>
    <w:p>
      <w:pPr>
        <w:pStyle w:val="Heading2"/>
      </w:pPr>
      <w:bookmarkStart w:id="900184" w:name="_Toc300000183"/>
      <w:r>
        <w:t xml:space="preserve">Article 5.4: Obligations Regarding Importations</w:t>
      </w:r>
      <w:bookmarkEnd w:id="900184"/>
    </w:p>
    <w:p>
      <w:pPr>
        <w:pStyle w:val="Normal"/>
      </w:pPr>
      <w:r>
        <w:t xml:space="preserve">1. Except as otherwise provided for in this Chapter, each Party shall provide that, for the purpose of claiming preferential tariff treatment, the importer shall: (a) make a statement forming part of the import documentation based on a valid certification of origin that the good qualifies as an originating good; (b) have a valid certification of origin in its possession at the time the statement referred to in subparagraph (a) is made; (c) provide, on the request of the importing Party’s customs administration, a copy of the certification of origin, in accordance with its laws and regulations;</w:t>
      </w:r>
    </w:p>
    <w:p>
      <w:pPr>
        <w:pStyle w:val="Normal"/>
      </w:pPr>
      <w:r>
        <w:t>(d) if a certification by the importer forms the basis for the claim, demonstrate, on request of the importing Party, that the good is originating under Article 5.3.3 (Basis of a Certification of Origin); and (e) if the claim for preferential tariff treatment is based on a certification of origin completed by a producer that is not the exporter of the good, demonstrate, on the request of the importing Party, that the good certified as originating did not undergo further production or any other operation other than unloading, reloading, or any other operation necessary to preserve it in good condition or to transport the good into the territory of the importing Party. 2.</w:t>
      </w:r>
    </w:p>
    <w:p>
      <w:pPr>
        <w:pStyle w:val="Normal"/>
      </w:pPr>
      <w:r>
        <w:t>Each Party shall provide that, if the importer has reason to believe that the certification of origin is based on incorrect information that could affect the accuracy or validity of the certification of origin, the importer shall promptly correct the importation document and pay any duties owing. The importer shall not be subject to penalties for making an incorrect statement that formed part of the import documentation, if it promptly corrects the importation document and pays any duties owing. 3. A Party may require an importer to demonstrate that a good for which the importer claims preferential tariff treatment was shipped in accordance with Article 4.18 (Transit and Transshipment) by providing: (a) transportation documents, including the multimodal or combined transportation documents, such as bills of lading or waybills, indicating the shipping route and all points of shipment and transhipment prior to the importation of the good; and (b) if the good is shipped through or transhipped outside the territories of the Parties, relevant documents, such as in the case of storage, storage documents or a copy of the customs control documents, demonstrating that the good remained under customs control while outside the territories of the Parties.</w:t>
      </w:r>
    </w:p>
    <w:p>
      <w:pPr>
        <w:pStyle w:val="Heading2"/>
      </w:pPr>
      <w:bookmarkStart w:id="900185" w:name="_Toc300000184"/>
      <w:r>
        <w:t xml:space="preserve">Article 5.5: Exceptions to Certification of Origin</w:t>
      </w:r>
      <w:bookmarkEnd w:id="900185"/>
    </w:p>
    <w:p>
      <w:pPr>
        <w:pStyle w:val="Normal"/>
      </w:pPr>
      <w:r>
        <w:t xml:space="preserve">Each Party shall provide that a certification of origin shall not be required if: (a) the value of the importation does not exceed US$1,000 or the equivalent amount in the importing Party’s currency or any higher amount as the importing Party may establish. A Party may require a written representation certifying that the good qualifies as an originating good; or (b) it is an importation of a good for which the Party into whose territory the good is imported has waived the requirement for a certification of origin, provided that the importation does not form part of a series of importations that may reasonably be considered to have been undertaken or arranged for the purpose of evading compliance with the importing Party’s laws, regulations, or procedures governing claims for preferential tariff treatment.</w:t>
      </w:r>
    </w:p>
    <w:p>
      <w:pPr>
        <w:pStyle w:val="Heading2"/>
      </w:pPr>
      <w:bookmarkStart w:id="900186" w:name="_Toc300000185"/>
      <w:r>
        <w:t xml:space="preserve">Article 5.6: Obligations Regarding Exportations</w:t>
      </w:r>
      <w:bookmarkEnd w:id="900186"/>
    </w:p>
    <w:p>
      <w:pPr>
        <w:pStyle w:val="Normal"/>
      </w:pPr>
      <w:r>
        <w:t xml:space="preserve">1. Each Party shall provide that an exporter or producer in its territory that completes a certification of origin shall provide a copy of the certification of origin to its customs administration, on its request. 2. Each Party shall provide that if an exporter or a producer in its territory has provided a certification of origin and has reason to believe that it contains or is based on incorrect information, the exporter or producer shall promptly notify, in writing, every person and every Party to whom the exporter or producer provided the certification of origin of any change that could affect the accuracy or validity of the certification of origin. 3. No Party shall impose penalties on an exporter or a producer in its territory that voluntarily provides written notification pursuant to paragraph 2 with respect to a certification of origin. 4. A Party may apply measures as the circumstances may warrant when an exporter or a producer in its territory fails to comply with any requirement of this Chapter. 5.</w:t>
      </w:r>
    </w:p>
    <w:p>
      <w:pPr>
        <w:pStyle w:val="Normal"/>
      </w:pPr>
      <w:r>
        <w:t>Each Party shall allow a certification of origin to be maintained in any medium and submitted electronically from the exporter or producer in the territory of a Party to an importer in the territory of another Party.</w:t>
      </w:r>
    </w:p>
    <w:p>
      <w:pPr>
        <w:pStyle w:val="Heading2"/>
      </w:pPr>
      <w:bookmarkStart w:id="900187" w:name="_Toc300000186"/>
      <w:r>
        <w:t xml:space="preserve">Article 5.7: Errors or Discrepancies</w:t>
      </w:r>
      <w:bookmarkEnd w:id="900187"/>
    </w:p>
    <w:p>
      <w:pPr>
        <w:pStyle w:val="Normal"/>
      </w:pPr>
      <w:r>
        <w:t xml:space="preserve">1. Each Party shall provide that it shall not reject a certification of origin due to minor errors or discrepancies in it that do not create doubts concerning the correctness of the import documentation. 2. Each Party shall provide that if the customs administration of the Party into whose territory a good is imported determines that a certification of origin is illegible, defective on its face, or has not been completed in accordance with this Chapter, the importer shall be granted a period of not less than five working days to provide the customs administration with a copy of the corrected certification of origin.</w:t>
      </w:r>
    </w:p>
    <w:p>
      <w:pPr>
        <w:pStyle w:val="Heading2"/>
      </w:pPr>
      <w:bookmarkStart w:id="900188" w:name="_Toc300000187"/>
      <w:r>
        <w:t xml:space="preserve">Article 5.8: Record Keeping Requirements</w:t>
      </w:r>
      <w:bookmarkEnd w:id="900188"/>
    </w:p>
    <w:p>
      <w:pPr>
        <w:pStyle w:val="Normal"/>
      </w:pPr>
      <w:r>
        <w:t xml:space="preserve">1. Each Party shall provide that an importer claiming preferential tariff treatment for a good imported into its territory shall maintain, for a period of no less than five years from the date of importation of the good: (a) the documentation related to the importation, including the certification of origin that served as the basis for the claim; (b) all records necessary to demonstrate that the good is originating, if the claim was based on a certification of origin completed by the importer; and (c) the information, including documents, necessary to demonstrate compliance with Article 5.4.1(e) (Obligations Regarding Importations), if applicable. 2.</w:t>
      </w:r>
    </w:p>
    <w:p>
      <w:pPr>
        <w:pStyle w:val="Normal"/>
      </w:pPr>
      <w:r>
        <w:t>Each Party shall provide that an exporter or a producer in its territory that completes a certification of origin or a producer that provides a written representation shall maintain in its territory for five years after the date on which the certification of origin was completed, or for such longer period as the Party may specify, all records necessary to demonstrate that a good for which the exporter or producer provided a certification of origin or other written representation is originating, including records associated with: (a) the purchase of, cost of, value of, shipping of, and payment for, the good or material; (b) the purchase of, cost of, value of, shipping of, and payment for all materials, including indirect materials, used in the production of the good or material; and (c)</w:t>
      </w:r>
    </w:p>
    <w:p>
      <w:pPr>
        <w:pStyle w:val="Normal"/>
      </w:pPr>
      <w:r>
        <w:t>the production of the good in the form in which the good is exported or the production of the material in the form in which it was sold. 3. Each Party shall provide in accordance with that Party’s law that an importer, exporter, or producer in its territory may choose to maintain the records or documentation specified in paragraphs 1 and 2 in any medium, including electronic, provided that the records or documentation can be promptly retrieved and printed. 4. For greater certainty, the record keeping requirements on an importer, exporter, or producer that a Party provides for pursuant to this Article apply even if the importing Party does not require a certification of origin or if a requirement for a certification of origin has been waived.</w:t>
      </w:r>
    </w:p>
    <w:p>
      <w:pPr>
        <w:pStyle w:val="Heading2"/>
      </w:pPr>
      <w:bookmarkStart w:id="900189" w:name="_Toc300000188"/>
      <w:r>
        <w:t xml:space="preserve">Article 5.9: Origin Verification</w:t>
      </w:r>
      <w:bookmarkEnd w:id="900189"/>
    </w:p>
    <w:p>
      <w:pPr>
        <w:pStyle w:val="Normal"/>
      </w:pPr>
      <w:r>
        <w:t xml:space="preserve">1. For the purpose of determining whether a good imported into its territory is an originating good, the importing Party may, through its customs administration, conduct a verification of a claim for preferential tariff treatment by one or more of the following: (a) a written request or questionnaire seeking information, including documents, from the importer, exporter, or producer of the good; (b) a verification visit to the premises of the exporter or producer of the good in order to request information, including documents, and to observe the production process and the related facilities; (c) for a textile or apparel good, the procedures set out in Article 6.6 (Verification); or (d) any other procedure as may be decided by the Parties. 2. The importing Party may choose to initiate a verification under this Article to the importer or the person who completed the certification of origin. 3. If an importing Party conducts a verification under this Article it shall accept information, including documents, directly from the importer, exporter, or producer. 4.</w:t>
      </w:r>
    </w:p>
    <w:p>
      <w:pPr>
        <w:pStyle w:val="Normal"/>
      </w:pPr>
      <w:r>
        <w:t>If a claim for preferential tariff treatment is based on a certification of origin completed by the exporter or producer, and in response to a request for information by an importing Party to determine whether a good is originating in verifying a claim of preferential treatment under paragraph 1(a), the importer does not provide sufficient information to demonstrate that the good is originating, the importing Party shall request information from the exporter or producer under paragraph 1 before it may deny the claim for preferential tariff treatment. The importing Party shall complete the verification, including any additional request to the exporter or producer under paragraph 1, within the time provided in paragraph 15. 5. A written request or questionnaire seeking information, including documents, or a request for a verification visit, under paragraphs 1(a) or (b) shall: (a) include the identity of the customs administration issuing the request; (b) state the object and scope of the verification, including the specific issue the requesting Party seeks to resolve with the verification;</w:t>
      </w:r>
    </w:p>
    <w:p>
      <w:pPr>
        <w:pStyle w:val="Normal"/>
      </w:pPr>
      <w:r>
        <w:t>(c) include sufficient information to identify the good that is being verified; and (d) in the case of a verification visit, request the written consent of the exporter or producer whose premises are going to be visited and indicate: (i) the legal authority for the visit, (ii) the proposed date and location for the visit, (iii) the specific purpose of the visit, and (iv) the names and</w:t>
      </w:r>
    </w:p>
    <w:p>
      <w:pPr>
        <w:pStyle w:val="Normal"/>
      </w:pPr>
      <w:r>
        <w:t>titles of the officials performing the visit. 6. If an importing Party has initiated a verification under paragraph 1(a) or 1(b) other than to the importer, it shall inform the importer of the initiation of the verification. 7. For a verification under paragraph 1(a) or 1(b), the importing Party shall: (a) ensure that the written request for information, or documentation to be reviewed, is limited to information and documentation to determine whether the good is originating; (b) describe the information or documentation in detail to allow the importer, exporter, or producer to identify the information and documentation necessary to respond; (c) allow the importer, exporter, or producer at least 30 days from the date of receipt of the written request or questionnaire under paragraph 1(a) to respond; and (d) allow the exporter or producer 30 days from the date of receipt of the written request for a visit under paragraph 1(b) to consent to or refuse the request. 8.</w:t>
      </w:r>
    </w:p>
    <w:p>
      <w:pPr>
        <w:pStyle w:val="Normal"/>
      </w:pPr>
      <w:r>
        <w:t>On request of the importing Party, the Party where the exporter or producer is located may, as it deems appropriate and in accordance with its laws and regulations, assist with the verification. This assistance may include providing information it has that is relevant to the origin verification. The importing Party shall not deny a claim for preferential tariff treatment solely on the grounds that the Party where the exporter or producer is located did not provide requested assistance. 9.</w:t>
      </w:r>
    </w:p>
    <w:p>
      <w:pPr>
        <w:pStyle w:val="Normal"/>
      </w:pPr>
      <w:r>
        <w:t>If an importing Party initiates a verification under paragraph 1(b), it shall, at the time of the request for the visit under paragraph 5, provide a copy of the request to: (a) the customs administration of the Party in whose territory the visit is to occur; and (b) if requested by the Party in whose territory the visit is to occur, the embassy of that Party in the territory of the Party proposing to conduct the visit. 10. Each Party shall provide that, when the exporter or producer receives notification pursuant to paragraph 5, the exporter or producer may, on a single occasion, within 15 days of receipt of the notification, request the postponement of the proposed verification visit for a period not exceeding 30 days from the proposed date of the visit. 11.</w:t>
      </w:r>
    </w:p>
    <w:p>
      <w:pPr>
        <w:pStyle w:val="Normal"/>
      </w:pPr>
      <w:r>
        <w:t>Each Party shall provide that, when its customs administration receives notification pursuant to paragraph 9, the customs administration may, within 15 days of receipt of the notification, postpone the proposed verification visit for a period not exceeding 60 days from the proposed date of the visit, or for a longer period as the relevant Parties may decide. 12. A Party shall not deny preferential tariff treatment to a good based solely on the postponement of a verification visit pursuant to paragraphs 10 or 11. 13.</w:t>
      </w:r>
    </w:p>
    <w:p>
      <w:pPr>
        <w:pStyle w:val="Normal"/>
      </w:pPr>
      <w:r>
        <w:t>Each Party shall permit an exporter or a producer whose good is subject to a verification visit by another Party to designate two observers to be present during the visit, provided that: (a) the observers do not participate in a manner other than as observers; (b) the failure of the exporter or producer to designate observers does not result in the postponement of the visit; and (c) an exporter or producer of a good identifies to the customs administration conducting a verification visit any observers designated to be present during the visit. 14. The importing Party shall provide the importer, exporter, or producer that certified that the good was originating and is the subject of a verification, with a written determination of origin that includes the findings of facts and the legal basis for the determination. If the importer is not the certifier, the importing Party shall also provide that written determination to the importer. 15.</w:t>
      </w:r>
    </w:p>
    <w:p>
      <w:pPr>
        <w:pStyle w:val="Normal"/>
      </w:pPr>
      <w:r>
        <w:t>The Party conducting a verification shall, as expeditiously as possible and within 120 days after it has received all the information necessary2 to make the determination, provide the written determination under paragraph 14. Notwithstanding the foregoing, the Party may extend this period, in exceptional cases, for up to 90 days after notifying the importer, and any exporter or producer who is subject to the verification or provided information during the verification.</w:t>
      </w:r>
    </w:p>
    <w:p>
      <w:pPr>
        <w:pStyle w:val="Normal"/>
      </w:pPr>
      <w:r>
        <w:t>2 This includes any information collected pursuant to a verification request to an exporter or producer. 16. Prior to issuing a written determination under paragraph 14, if the importing Party intends to deny preferential tariff treatment, the importing Party shall inform the importer, and any exporter or producer who is subject to the verification and provided information during the verification, of the preliminary results of the verification and provide those persons with a notice of intent to deny that includes when the denial would be effective and a period of at least 30 days for the submission of additional information, including documents, related to the originating status of the good. 17.</w:t>
      </w:r>
    </w:p>
    <w:p>
      <w:pPr>
        <w:pStyle w:val="Normal"/>
      </w:pPr>
      <w:r>
        <w:t>If verifications by a Party indicate a pattern of conduct by an importer, exporter, or a producer of false or unsupported representations that a good imported into its territory qualifies as an originating good, the Party may withhold preferential tariff treatment to identical goods imported, exported, or produced by such person until that person establishes compliance with this Chapter, Chapter 4 (Rules of Origin), and Chapter 6 (Textile and Apparel Goods). 18. For the purposes of this Article and relevant articles of the Uniform Regulations, all communication to the exporter or producer and to the customs administration of the Party of export will be sent by any means that can produce any confirmation of receipt. The specified time periods will begin from the date of receipt.</w:t>
      </w:r>
    </w:p>
    <w:p>
      <w:pPr>
        <w:pStyle w:val="Heading2"/>
      </w:pPr>
      <w:bookmarkStart w:id="900190" w:name="_Toc300000189"/>
      <w:r>
        <w:t xml:space="preserve">Article 5.10: Determinations of Origin</w:t>
      </w:r>
      <w:bookmarkEnd w:id="900190"/>
    </w:p>
    <w:p>
      <w:pPr>
        <w:pStyle w:val="Normal"/>
      </w:pPr>
      <w:r>
        <w:t xml:space="preserve">1. Except as otherwise provided in paragraph 2 or Article 6.7 (Determinations), each Party shall grant a claim for preferential tariff treatment made under this Chapter on or after the date of entry into force of this Agreement. 2. The importing Party may deny a claim for preferential tariff treatment if: (a) it determines that the good does not qualify for preferential treatment; (b) pursuant to a verification under Article 5.9 (Origin Verification), it has not received sufficient information to determine that the good qualifies as originating; (c) the exporter, producer, or importer fails to respond to a written request or questionnaire for information, including documents, under Article 5.9 (Origin Verification); (d) the exporter or producer fails to provide its written consent for a verification visit, in accordance with Article 5.9 (Origin Verification); (e) the importer, exporter, or producer fails to comply with the requirements of this Chapter; or (f) the exporter, producer, or importer of the good that is required to maintain records or documentation in accordance with this Chapter: (i) fails to maintain records or documentation, or (ii) denies access, if requested by a Party, to those records or documentation.</w:t>
      </w:r>
    </w:p>
    <w:p>
      <w:pPr>
        <w:pStyle w:val="Heading2"/>
      </w:pPr>
      <w:bookmarkStart w:id="900191" w:name="_Toc300000190"/>
      <w:r>
        <w:t xml:space="preserve">Article 5.11: Refunds and Claims for Preferential Tariff Treatment after Importation</w:t>
      </w:r>
      <w:bookmarkEnd w:id="900191"/>
    </w:p>
    <w:p>
      <w:pPr>
        <w:pStyle w:val="Normal"/>
      </w:pPr>
      <w:r>
        <w:t xml:space="preserve">1. Each Party shall provide that an importer may apply for preferential tariff treatment and a refund of any excess duties paid for a good if the importer did not make a claim for preferential tariff treatment at the time of importation, provided that the good would have qualified for preferential tariff treatment when it was imported into the territory of the Party. 2. The importing Party may, for the purposes of paragraph 1, require that the importer: (a) make a claim for preferential tariff treatment; (b) provide a statement that the good was originating at the time of importation; (c) provide a copy of the certification of origin; and (d) provide any other documentation relating to the importation of the good as the importing Party may require, no later than one year after the date of importation or a longer period if specified in the importing Party’s law.</w:t>
      </w:r>
    </w:p>
    <w:p>
      <w:pPr>
        <w:pStyle w:val="Heading2"/>
      </w:pPr>
      <w:bookmarkStart w:id="900192" w:name="_Toc300000191"/>
      <w:r>
        <w:t xml:space="preserve">Article 5.12: Confidentiality</w:t>
      </w:r>
      <w:bookmarkEnd w:id="900192"/>
    </w:p>
    <w:p>
      <w:pPr>
        <w:pStyle w:val="Normal"/>
      </w:pPr>
      <w:r>
        <w:t xml:space="preserve">1. If a Party provides information to another Party in accordance with this Chapter and designates the information as confidential or it is confidential under the receiving Party’s law, the receiving Party shall keep the information confidential in accordance with its law. 2. A Party may decline to provide information requested by another Party if that Party has failed to act in accordance with paragraph 1. 3. A Party may use or disclose confidential information received from another Party under this Chapter but only for the purposes of administration or enforcement of its customs laws or as otherwise provided under the Party’s law, including in an administrative, quasi-judicial, or judicial proceeding. 4. When a Party collects information from a trader under this Chapter, that Party shall apply the provisions set out in Article 7.24 (Protection of Trader Information) to keep the information confidential.</w:t>
      </w:r>
    </w:p>
    <w:p>
      <w:pPr>
        <w:pStyle w:val="Heading2"/>
      </w:pPr>
      <w:bookmarkStart w:id="900193" w:name="_Toc300000192"/>
      <w:r>
        <w:t xml:space="preserve">Article 5.13: Penalties</w:t>
      </w:r>
      <w:bookmarkEnd w:id="900193"/>
    </w:p>
    <w:p>
      <w:pPr>
        <w:pStyle w:val="Normal"/>
      </w:pPr>
      <w:r>
        <w:t xml:space="preserve">Each Party shall maintain criminal, civil, or administrative penalties for violations of its laws and regulations related to this Chapter.</w:t>
      </w:r>
    </w:p>
    <w:p>
      <w:pPr>
        <w:pStyle w:val="Heading2"/>
      </w:pPr>
      <w:bookmarkStart w:id="900194" w:name="_Toc300000193"/>
      <w:r>
        <w:t xml:space="preserve">Article 5.14: Advance Rulings Relating to Origin</w:t>
      </w:r>
      <w:bookmarkEnd w:id="900194"/>
    </w:p>
    <w:p>
      <w:pPr>
        <w:pStyle w:val="Normal"/>
      </w:pPr>
      <w:r>
        <w:t xml:space="preserve">1. In accordance with Article 7.5 (Advance Rulings), each Party, through its customs administration, shall, on request, provide for the issuance of a written advance ruling on origin under this Agreement. 2. Each Party shall adopt or maintain uniform procedures throughout its territory for the issuance of advance rulings on origin under this Agreement, including the common standards set out in the Uniform Regulations regarding the information required to process an application for a ruling.</w:t>
      </w:r>
    </w:p>
    <w:p>
      <w:pPr>
        <w:pStyle w:val="Heading2"/>
      </w:pPr>
      <w:bookmarkStart w:id="900195" w:name="_Toc300000194"/>
      <w:r>
        <w:t xml:space="preserve">Article 5.15: Review and Appeal</w:t>
      </w:r>
      <w:bookmarkEnd w:id="900195"/>
    </w:p>
    <w:p>
      <w:pPr>
        <w:pStyle w:val="Normal"/>
      </w:pPr>
      <w:r>
        <w:t xml:space="preserve">1. Each Party shall grant substantially the same rights of review and appeal of determinations of origin and advance rulings by its customs administration related to origin under this Agreement as it provides to importers in its territory, to an exporter or producer: (a) that completes a certification of origin for a good that has been the subject of a determination of origin under this Agreement; or (b) that has received an advance ruling on origin under this Agreement pursuant to Article 5.14 (Advance Rulings Relating to Origin), and Article 7.5 (Advance Rulings).</w:t>
      </w:r>
    </w:p>
    <w:p>
      <w:pPr>
        <w:pStyle w:val="Heading2"/>
      </w:pPr>
      <w:bookmarkStart w:id="900196" w:name="_Toc300000195"/>
      <w:r>
        <w:t xml:space="preserve">Article 5.16: Uniform Regulations</w:t>
      </w:r>
      <w:bookmarkEnd w:id="900196"/>
    </w:p>
    <w:p>
      <w:pPr>
        <w:pStyle w:val="Normal"/>
      </w:pPr>
      <w:r>
        <w:t xml:space="preserve">1. The Parties shall, by entry into force of this Agreement, adopt or maintain through their respective laws or regulations, Uniform Regulations regarding the interpretation, application, and administration of this Chapter, Chapter 4 (Rules of Origin), Chapter 6 (Textile and Apparel Goods), Chapter 7 (Customs Administration and Trade Facilitation) and other matters as may be decided by the Parties. 2. The Committee on Rules of Origin and Origin Procedures (Origin Committee) shall consult to discuss possible amendments or modifications to the Uniform Regulations. 3. In particular, the Origin Committee shall consult regularly to consider modifications or additions to the Uniform Regulations to reduce their complexity and provide practical and useful guidance to ensure better compliance with the rules and procedures of this Chapter, Chapter 4 (Rules of Origin), and Chapter 6 (Textile and Apparel Goods), including examples or guidance that would be of particular assistance to SMEs in the territories of the Parties. 4. The Origin Committee shall notify the Commission of any modification of or addition to the Uniform Regulations it decides. 5.</w:t>
      </w:r>
    </w:p>
    <w:p>
      <w:pPr>
        <w:pStyle w:val="Normal"/>
      </w:pPr>
      <w:r>
        <w:t>Each Party shall implement any modification of or addition to the Uniform Regulations within a period that the Parties decide. 6. Each Party shall apply the Uniform Regulations in addition to the obligations in the Chapter.</w:t>
      </w:r>
    </w:p>
    <w:p>
      <w:pPr>
        <w:pStyle w:val="Heading2"/>
      </w:pPr>
      <w:bookmarkStart w:id="900197" w:name="_Toc300000196"/>
      <w:r>
        <w:t xml:space="preserve">Article 5.17: Notification of Treatment</w:t>
      </w:r>
      <w:bookmarkEnd w:id="900197"/>
    </w:p>
    <w:p>
      <w:pPr>
        <w:pStyle w:val="Normal"/>
      </w:pPr>
      <w:r>
        <w:t xml:space="preserve">1. Each Party shall notify the other Parties of the following determinations, measures, and rulings, including to the extent practicable those that are prospective in application: (a) a determination of origin issued as the result of a verification conducted pursuant to Article 5.9 (Origin Verification); (b) a determination of origin that the Party is aware is contrary to: (i) a ruling issued by the customs administration of another Party, or (ii) consistent treatment given by the customs administration of another Party with respect to the tariff classification or value of a good, or of materials used in the production of a good, or the reasonable allocation of costs when calculating the net cost of a good, that has been the subject of a determination of origin; (c) a measure establishing or significantly modifying an administrative policy that is likely to affect a future determination of origin; and (d) an advance ruling, or a ruling modifying or revoking an advance ruling, on origin under this Agreement, pursuant to Article 5.14 (Advance Rulings Relating to Origin), and Article 7.5 (Advance Rulings).</w:t>
      </w:r>
    </w:p>
    <w:p>
      <w:pPr>
        <w:pStyle w:val="Heading2"/>
      </w:pPr>
      <w:bookmarkStart w:id="900198" w:name="_Toc300000197"/>
      <w:r>
        <w:t xml:space="preserve">Article 5.18: Committee on Rules of Origin and Origin Procedures</w:t>
      </w:r>
      <w:bookmarkEnd w:id="900198"/>
    </w:p>
    <w:p>
      <w:pPr>
        <w:pStyle w:val="Normal"/>
      </w:pPr>
      <w:r>
        <w:t xml:space="preserve">1. The Parties hereby establish a Committee on Rules of Origin and Origin Procedures (Origin Committee), composed of government representatives of each Party, to consider any matters arising under this Chapter or Chapter 4 (Rules of Origin). 2. The Origin Committee shall consult regularly to ensure that this Chapter and Chapter 4 (Rules of Origin) are administered effectively, uniformly, and consistently with the spirit and objectives of this Agreement. 3. The Origin Committee shall consult to discuss possible amendments or modifications to this Chapter or Chapter 4 (Rules of Origin), and in particular to the Product-Specific Rules of Origin in Annex 4-B, except Product-Specific Rules for textile and apparel goods, taking into account developments in technology, production processes, or other related matters. A Party may submit a proposed modification, along with supporting rationale and any studies to the other Parties for consideration. In particular, the Committee shall consider the possibility of cumulation with non-parties with which the Parties have trade agreements on a product by product basis. 4.</w:t>
      </w:r>
    </w:p>
    <w:p>
      <w:pPr>
        <w:pStyle w:val="Normal"/>
      </w:pPr>
      <w:r>
        <w:t>Prior to the entry into force of an amended version of the Harmonized System, the Origin Committee shall consult to prepare updates to this Chapter and Chapter 4 (Rules of Origin), and in particular to the Product-Specific Rules of Origin in Annex 4-B, except for textiles and apparel goods, that are necessary to reflect changes to the Harmonized System. 5. With respect to a textile or apparel good, Article 6.8 (Committee on Textile and Apparel Trade Matters) applies in place of this Article.</w:t>
      </w:r>
    </w:p>
    <w:p>
      <w:pPr>
        <w:pStyle w:val="Heading2"/>
      </w:pPr>
      <w:bookmarkStart w:id="900199" w:name="_Toc300000198"/>
      <w:r>
        <w:t xml:space="preserve">Article 5.19: Sub-Committee on Origin Verification</w:t>
      </w:r>
      <w:bookmarkEnd w:id="900199"/>
    </w:p>
    <w:p>
      <w:pPr>
        <w:pStyle w:val="Normal"/>
      </w:pPr>
      <w:r>
        <w:t xml:space="preserve">1. The Parties hereby establish a Sub-Committee on Origin Verification, composed of government representatives of each Party, which will be a subcommittee of the Origin Committee. 2. The Sub-Committee shall meet at least once within one year of the date of entry into force of this Agreement, and thereafter at such times as the Parties decide or on request of the Commission or the Origin Committee. 3. The Sub-Committee’s functions shall include: (a) discussing and developing technical papers and sharing technical advice related to this Chapter or Chapter 4 (Rules of Origin) for the purposes of conducting verifications of origin; (b) developing and improving the NAFTA 1994 Audit Manual and recommending verification procedures; (c) developing and improving verification questionnaires, forms, or brochures; and (d) providing a forum for the Parties to consult and endeavor to resolve issues relating to origin verification.</w:t>
      </w:r>
    </w:p>
    <w:p>
      <w:pPr>
        <w:pStyle w:val="Heading2"/>
      </w:pPr>
      <w:bookmarkStart w:id="900200" w:name="_Toc300000199"/>
      <w:r>
        <w:t xml:space="preserve">ANNEX 5-A MINIMUM DATA ELEMENTS</w:t>
      </w:r>
      <w:bookmarkEnd w:id="900200"/>
    </w:p>
    <w:p>
      <w:pPr>
        <w:pStyle w:val="Normal"/>
      </w:pPr>
      <w:r>
        <w:t xml:space="preserve">A certification of origin that is the basis for a claim for preferential tariff treatment under this Agreement shall include the following elements: 1. Importer, Exporter, or Producer Certification of Origin Indicate whether the certifier is the exporter, producer, or importer in accordance with Article 5.2 (Claims for Preferential Treatment). 2. Certifier Provide the certifier’s name, title, address (including country), telephone number, and e mail address. 3. Exporter Provide the exporter’s name, address (including country), e-mail address, and telephone number if different from the certifier. This information is not required if the producer is completing the certification of origin and does not know the identity of the exporter. The address of the exporter shall be the place of export of the good in a Party’s territory. 4. Producer Provide the producer’s name, address (including country), e-mail address, and telephone number, if different from the certifier or exporter or, if there are multiple producers, state “Various” or provide a list of producers.</w:t>
      </w:r>
    </w:p>
    <w:p>
      <w:pPr>
        <w:pStyle w:val="Normal"/>
      </w:pPr>
      <w:r>
        <w:t>A person that wishes for this information to remain confidential may state “Available upon request by the importing authorities”. The address of a producer shall be the place of production of the good in a Party’s territory. 5. Importer Provide, if known, the importer’s name, address, e-mail address, and telephone number. The address of the importer shall be in a Party’s territory. 6.</w:t>
      </w:r>
    </w:p>
    <w:p>
      <w:pPr>
        <w:pStyle w:val="Normal"/>
      </w:pPr>
      <w:r>
        <w:t>Description and HS Tariff Classification of the Good (a) Provide a description of the good and the HS tariff classification of the good to the 6-digit level. The description should be sufficient to relate it to the good covered by the certification; and 5-A-1 (b) If the certification of origin covers a single shipment of a good, indicate, if known, the invoice number related to the exportation. 7. Origin Criteria Specify the origin criteria under which the good qualifies, as set out in Article 4.2 (Originating Goods). 8. Blanket Period Include the period if the certification covers multiple shipments of identical goods for a specified period of up to 12 months as set out in Article 5.2 (Claims for Preferential Treatment). 9. Authorized Signature and Date The certification must be signed and dated by the certifier and accompanied by the following statement: I certify that the goods described in this document qualify as originating and the information contained in this document is true and accurate. I assume responsibility for proving such representations and agree to maintain and present upon request or to make available during a verification visit, documentation necessary to support this certification. 5-A-2</w:t>
      </w:r>
    </w:p>
    <w:p>
      <w:pPr>
        <w:pStyle w:val="ModHeading"/>
      </w:pPr>
      <w:bookmarkStart w:id="900201" w:name="_Toc300000200"/>
      <w:r>
        <w:t>CHAPTER 5: CUSMA 2.0 MODERNIZATION PROVISIONS</w:t>
      </w:r>
      <w:bookmarkEnd w:id="900201"/>
    </w:p>
    <w:p>
      <w:pPr>
        <w:pStyle w:val="Normal"/>
      </w:pPr>
      <w:r>
        <w:rPr>
          <w:i/>
        </w:rPr>
        <w:t>The provisions of this Part amend Chapter 5 (Origin Procedures).</w:t>
      </w:r>
    </w:p>
    <w:p>
      <w:pPr>
        <w:pStyle w:val="Heading2"/>
      </w:pPr>
      <w:bookmarkStart w:id="900202" w:name="_Toc300000201"/>
      <w:r>
        <w:t>Article 5.A: Verification Modernization</w:t>
      </w:r>
      <w:bookmarkEnd w:id="900202"/>
    </w:p>
    <w:p>
      <w:pPr>
        <w:pStyle w:val="Normal"/>
      </w:pPr>
      <w:r>
        <w:t>1. Verification of origin under Article 5.9 shall be conducted with regard to the following additional disciplines:</w:t>
      </w:r>
    </w:p>
    <w:p>
      <w:pPr>
        <w:pStyle w:val="Normal"/>
      </w:pPr>
      <w:r>
        <w:t>(a) a verification shall be based on reasonable, articulable grounds stated in the verification notice;</w:t>
      </w:r>
    </w:p>
    <w:p>
      <w:pPr>
        <w:pStyle w:val="Normal"/>
      </w:pPr>
      <w:r>
        <w:t>(b) verifications targeted at an entire national industry of another Party, rather than at identified producers, exporters, or shipments, are permitted only where the importing authority makes a written finding, based on objective evidence, that a material sector-wide risk pattern exists. The finding shall identify the evidence, scope, selection criteria, and reasons an entity-specific verification would be insufficient, and the importing authority shall deliver the finding to the affected Party and publish or otherwise provide notice reasonably sufficient to reach materially affected entities before expanding verification beyond already identified entities or shipments. The affected Party may request review within 10 days after delivery of the finding to that Party; a materially affected entity may request review within 10 days after it receives actual notice of the finding, and an entity shall not lose that review right merely because public or Party-level notice preceded actual notice to the entity. For member-selection purposes under Article 35.10(3), the importing Party is the responding Party and the affected Party is the initiating Party, while an entity request uses the Party in whose territory that entity is established as the initiating Party for selection purposes only. Within five days after a timely request, the Secretariat shall constitute a three-member Sector-Wide Verification Review Team solely for this review. If the Secretariat does not constitute the Team within that period, the proposed sector-wide expansion terminates without prejudice to a later new finding based on then-current evidence; entity- or shipment-specific verification may continue on independently reasonable grounds. The Team shall issue a reasoned decision within 20 days after constitution; a replacement required by Article 35.10(10) tolls that decision period only for the time reasonably necessary to appoint the replacement and in no event for more than five additional days. If the Team does not issue its decision by the applicable deadline, the proposed sector-wide expansion terminates without prejudice to a later new finding based on then-current evidence; entity- or shipment-specific verification may continue on independently reasonable grounds. A decision sustaining the finding permits the sector-wide verification to proceed within the scope and selection criteria sustained by the Team, while a decision setting aside or narrowing the finding binds the importing authority for purposes of this paragraph and terminates or narrows any unsupported expansion. Pending the decision, expansion beyond already identified entities or shipments remains suspended unless particularized evidence of fraud or a material health, safety, or prohibited-goods risk requires immediate action.</w:t>
      </w:r>
    </w:p>
    <w:p>
      <w:pPr>
        <w:pStyle w:val="Normal"/>
      </w:pPr>
      <w:r>
        <w:t>(c) the customs administration shall complete verifications within the period in Article 5.9, and in any case shall issue its determination within 150 days after the request for information, failing which the claimed preferential treatment applies provisionally pending determination; and</w:t>
      </w:r>
    </w:p>
    <w:p>
      <w:pPr>
        <w:pStyle w:val="Normal"/>
      </w:pPr>
      <w:r>
        <w:t>(d) an exporter or producer subject to verification may present evidence of origin through any reasonable means, including the traceability records of Article 37.4 where applicable.</w:t>
      </w:r>
    </w:p>
    <w:p>
      <w:pPr>
        <w:pStyle w:val="Normal"/>
      </w:pPr>
      <w:r>
        <w:t>2. A customs administration shall not subject the same exporter or producer with respect to materially identical goods to repetitive verifications without new evidence. A further verification within 24 months of a completed positive verification of the same exporter or producer and materially identical goods requires materially new evidence, changed facts, an identified material deficiency in the prior verification, or credible fraud indicators documented in writing. A Party also shall not evade this discipline by distributing substantially similar verifications across multiple exporters, producers, shipments, facilities, products, agencies, or time periods where the aggregate pattern lacks independently reasonable, articulable grounds and has the purpose or reasonably foreseeable effect of imposing disproportionate administrative friction on originating trade. Where a challenged pattern could materially impede a sector or substantial volume of originating trade, the Party conducting the verifications bears the burden of identifying the risk basis, selection methodology, proportionality safeguards, and objective criteria for narrowing or ending the campaign; pending review lawfully available under this Agreement, compliant goods shall not lose preference solely because of the aggregate verification campaign absent entity- or shipment-specific grounds.</w:t>
      </w:r>
    </w:p>
    <w:p>
      <w:pPr/>
      <w:r>
        <w:t>3. Verification clocks and sector-wide findings. The 150-day outer clock begins when the importing authority issues the first complete written request that identifies the information reasonably necessary to determine origin, and it is tolled only for a documented period in which the recipient fails to provide information due by a stated reasonable deadline. The baseline Article 5.9 determination period continues to govern according to its own terms, but expiry of that baseline period alone does not trigger the interim consequence in this paragraph unless another provision expressly makes that consequence applicable. When the 150-day outer clock or another deadline expressly designated by this Agreement as carrying the Article 5.L(3) consequence expires without a determination, the interim treatment, security standard, exceptions, reconciliation rule, and duration are governed exclusively by Article 5.L(3). A sector-wide verification under paragraph 1(b) requires the written risk finding and limited review procedure stated there; no standing Verification Panel certification or Article 35.10A review is required.</w:t>
      </w:r>
    </w:p>
    <w:p>
      <w:pPr>
        <w:pStyle w:val="Heading2"/>
      </w:pPr>
      <w:bookmarkStart w:id="900203" w:name="_Toc300000202"/>
      <w:r>
        <w:t>Article 5.B: Joint Verification and Data Exchange</w:t>
      </w:r>
      <w:bookmarkEnd w:id="900203"/>
    </w:p>
    <w:p>
      <w:pPr>
        <w:pStyle w:val="Normal"/>
      </w:pPr>
      <w:r>
        <w:t>1. The customs administrations of the Parties shall exchange origin-verification data, certification metadata, and risk indicators through secure electronic channels, consistent with Annex 35-C. Access shall be limited to authorized personnel for defined origin or customs purposes, authenticated and role-based, and recorded in auditable access logs.</w:t>
      </w:r>
    </w:p>
    <w:p>
      <w:pPr>
        <w:pStyle w:val="Normal"/>
      </w:pPr>
      <w:r>
        <w:t>2. Where suspected circumvention spans more than one Party, the customs administrations concerned shall conduct coordinated or joint verifications on request, and shall share results. Each participating administration acts under its own law; a joint verification does not enlarge the investigative, compulsory, or enforcement authority of another Party.</w:t>
      </w:r>
    </w:p>
    <w:p>
      <w:pPr>
        <w:pStyle w:val="Normal"/>
      </w:pPr>
      <w:r>
        <w:t>3. Information received under this Article is confidential, is used only for origin and customs purposes, and is subject to Article 5.12 (Confidentiality) and the access tiers of Annex 35-C, Part 4. Records shall be retained only for the period required by applicable law or an identified verification need, with correction, access-control, audit-log, and deletion or archival treatment governed by the supplying Party's restrictions and Annex 35-C. Where domestic legal requirements conflict, the administrations shall limit the exchange to the lawfully shareable minimum and use another lawful verification method rather than treating non-disclosure alone as adverse evidence.</w:t>
      </w:r>
    </w:p>
    <w:p>
      <w:pPr>
        <w:pStyle w:val="Heading2"/>
      </w:pPr>
      <w:bookmarkStart w:id="900204" w:name="_Toc300000203"/>
      <w:r>
        <w:t>Article 5.C: Anti-Circumvention Discipline</w:t>
      </w:r>
      <w:bookmarkEnd w:id="900204"/>
    </w:p>
    <w:p>
      <w:pPr>
        <w:pStyle w:val="Normal"/>
      </w:pPr>
      <w:r>
        <w:t>1. A Party that determines, through verification, that identified entities have engaged in transshipment, false declaration, or origin fraud shall apply consequences (denial of preference, penalties under its law, and suspension of certification privileges) to those entities and goods, in accordance with the procedural rights of Article 35.10A.</w:t>
      </w:r>
    </w:p>
    <w:p>
      <w:pPr>
        <w:pStyle w:val="Normal"/>
      </w:pPr>
      <w:r>
        <w:t>2. A Party shall not respond to entity-level origin fraud by withdrawing preferential treatment from the trade of other entities or of the sector generally, except in accordance with Chapter 35.</w:t>
      </w:r>
    </w:p>
    <w:p>
      <w:pPr>
        <w:pStyle w:val="Normal"/>
      </w:pPr>
      <w:r>
        <w:t>3. Upon receipt of a demonstration of corrected conduct and reliable record-keeping, the entity's access to preferential treatment shall be restored no later than the end of the 30-day period stated in paragraph 4 unless a timely deficiency notice is issued under that paragraph. A new verification may delay restoration only if commenced on documented materially new evidence of continuing fraud or material misrepresentation and must be completed within the verification deadline otherwise applicable under this Chapter. The administration may not use successive deficiency notices or new verifications to evade the restoration deadline or the repose protections in Articles 5.A and 5.I.</w:t>
      </w:r>
    </w:p>
    <w:p>
      <w:pPr/>
      <w:r>
        <w:t>4. Restoration determination. The customs administration that imposed the entity-level consequence shall determine whether the demonstration required by paragraph 3 is adequate, on the basis of published criteria and a written record. The 30-day period begins when the administration receives the demonstration; within 10 days it shall either confirm completeness or issue one written deficiency notice identifying each material item then known to be missing, and otherwise the submission is deemed complete as of receipt. A timely deficiency notice suspends only the unexpired portion of the 30-day period beginning on the date the notice is issued. The entity may submit one deficiency response within 10 working days after receipt of the notice, or within a longer period expressly allowed by the administration for good cause. After the deficiency response is received, the administration has five working days to state in writing, with reasons, whether each identified deficiency is cured. The unexpired portion of the 30-day period resumes on the earlier of that written determination or expiry of the five-working-day period, regardless of whether the administration concludes that a deficiency remains uncured; if no written determination issues within five working days, each identified deficiency is deemed cured for purposes of the restoration proceeding. A written determination that a material deficiency remains uncured constitutes a denial to that extent and is immediately subject to the appeal rights otherwise available under this Chapter, without stopping the resumed restoration clock unless an appellate body expressly orders otherwise under authority provided by this Agreement or domestic law. The administration may not issue a second deficiency notice concerning the same demonstration except on materially new evidence of fraud or material misrepresentation. If no restoration determination issues by the end of the applicable period, the demonstration is deemed adequate and preferential access restores immediately, subject to later action based on materially new evidence of fraud or material misrepresentation; a denial remains subject to the appeal rights otherwise available under this Chapter.</w:t>
      </w:r>
    </w:p>
    <w:p>
      <w:pPr>
        <w:pStyle w:val="Heading2"/>
      </w:pPr>
      <w:bookmarkStart w:id="900205" w:name="_Toc300000204"/>
      <w:r>
        <w:t>Article 5.D: Advance Rulings and Appeals</w:t>
      </w:r>
      <w:bookmarkEnd w:id="900205"/>
    </w:p>
    <w:p>
      <w:pPr>
        <w:pStyle w:val="Normal"/>
      </w:pPr>
      <w:r>
        <w:t>1. Advance rulings under Article 5.14 extend, on request, to the treatment of electric-vehicle, battery, and circular-production transactions under Article 4.A.</w:t>
      </w:r>
    </w:p>
    <w:p>
      <w:pPr>
        <w:pStyle w:val="Normal"/>
      </w:pPr>
      <w:r>
        <w:t>2. Each Party shall provide a rapid administrative appeal of origin determinations, certification decisions, and TNAO suspensions, with a decision within 90 days (30 days for TNAO suspensions), and judicial or quasi-judicial review thereafter in accordance with its law. The appellant shall receive written notice of the decision and the principal reasons and legal basis for it. Pending appeal, the importing Party shall use bond, escrow, provisional preference, or another lawful revenue-protection mechanism where reasonably available and adequate, unless credible fraud, prohibited goods, or a material enforcement risk requires different treatment. The 90-day and 30-day decision periods in this paragraph are binding appeal deadlines and expressly carry the consequence in Article 5.L(3) if missed. If an applicable decision period is missed, the authority shall promptly provide a written status update, reasons for delay, and a new expected decision date; missing the deadline does not by itself determine origin.</w:t>
      </w:r>
    </w:p>
    <w:p>
      <w:pPr/>
      <w:r>
        <w:t>3. Relationship of appeal routes. A domestic administrative or judicial appeal under this Article and a Verification Team review expressly available under Article 35.10A are distinct routes and may proceed in parallel where domestic law permits; invoking one route does not waive the other unless the claimant expressly elects an exclusive remedy. For purposes of Article 35.10A(1)(f), an entity-specific customs determination imposing, continuing, or affirming an entity-level consequence under Article 5.C may be appealed to a Verification Team whether or not a Verification Team participated in the initial customs determination; the Secretariat shall constitute the appeal Team under Article 35.10(3) so that no member who participated in any prior Team review of the same entity-specific matter serves on the appeal. For an entity-specific determination, verification, PTA, TNAO suspension, or other entity-targeted measure covered by Article 35.10A, the responsible authority shall serve the written notice required by Article 35.10A(1)(a) on the affected entity. Unless another provision expressly establishes a different filing period, the entity may file a Team appeal within 10 working days after receipt of that notice, and the 30-day completion period in Article 35.10A(1)(f) begins on filing. A Verification Team determination becomes final for treaty purposes when the Team issues its appeal determination, or, if no Team appeal is filed, when the applicable filing period expires. A timely filing under either route preserves any suspensive or interim protection expressly attached to that route; a final Verification Team determination governs the Party's treaty obligation and required treaty treatment, while no Verification Team determination reverses a domestic administrative or judicial decision as a matter of domestic law, domestic outcomes retain the legal effect assigned by domestic law, and the Party remains responsible for curing any resulting treaty inconsistency through lawful means.</w:t>
      </w:r>
    </w:p>
    <w:p>
      <w:pPr>
        <w:pStyle w:val="Heading2"/>
      </w:pPr>
      <w:bookmarkStart w:id="900206" w:name="_Toc300000205"/>
      <w:r>
        <w:t>Article 5.E: Electronic Certification</w:t>
      </w:r>
      <w:bookmarkEnd w:id="900206"/>
    </w:p>
    <w:p>
      <w:pPr>
        <w:pStyle w:val="Normal"/>
      </w:pPr>
      <w:r>
        <w:t>1. Certificates of origin and supporting records may be created, transmitted, and retained in electronic form, and each Party shall accept electronic certifications and signatures in accordance with Chapter 7 as amended and Chapter 19 as amended.</w:t>
      </w:r>
    </w:p>
    <w:p>
      <w:pPr>
        <w:pStyle w:val="Normal"/>
      </w:pPr>
      <w:r>
        <w:t>2. The Parties shall implement interoperable electronic certification within 24 months after entry into force of the Protocol of Modernization, enabling a single certification data set to serve all three customs administrations. The common data set shall include at least the applicable minimum data elements in Annex 5-A and shall be mutually machine-readable. The customs administrations, acting through the Committee on Trade Facilitation and the existing origin committees, shall publish the technical specification, including authentication, integrity, version control, transmission-status and availability requirements. Each Party shall maintain a lawful non-electronic contingency process for material system outages or for traders that cannot reasonably use the electronic channel, without lowering the substantive certification standard.</w:t>
      </w:r>
    </w:p>
    <w:p>
      <w:pPr/>
      <w:r>
        <w:t>3. Technical-standard fallback. If an interoperable traceability, certification, or data standard required by this Article or Chapter 37 has not been adopted by an express deadline applicable to that standard, or, where no express deadline exists, within 24 months after entry into force of the Protocol of Modernization, a Party shall accept the last jointly adopted standard and, where none exists, its published domestic format together with reliable alternative evidence permitted by this Agreement. A trader shall not lose preferential treatment solely because the Parties failed to reach consensus on a new technical format or traceability standard. The responsible committee shall publish the unresolved technical questions and a timetable for renewed consideration, and no unpublished criterion may be imposed during the fallback period. A later standard applies prospectively after a reasonable implementation period unless the Parties expressly agree otherwise.</w:t>
      </w:r>
    </w:p>
    <w:p>
      <w:pPr>
        <w:pStyle w:val="Heading2"/>
      </w:pPr>
      <w:bookmarkStart w:id="900207" w:name="_Toc300000206"/>
      <w:r>
        <w:t>Article 5.F: Administrative Simplicity and Least-Burdensome Verification</w:t>
      </w:r>
      <w:bookmarkEnd w:id="900207"/>
    </w:p>
    <w:p>
      <w:pPr>
        <w:pStyle w:val="Normal"/>
      </w:pPr>
      <w:r>
        <w:t>1. Where a trader demonstrably satisfies a simpler pathway that provides the treatment sought, a customs authority shall not require calculation, documentation, or verification under a more complex alternative pathway unless necessary to address credible evidence of circumvention, fraud, material error, or another mandatory treaty requirement.</w:t>
      </w:r>
    </w:p>
    <w:p>
      <w:pPr>
        <w:pStyle w:val="Normal"/>
      </w:pPr>
      <w:r>
        <w:t>2. A verification request shall identify the specific issue under review and initially be limited to information reasonably relevant to that issue. Broader requests require written reasons tied to identified risk.</w:t>
      </w:r>
    </w:p>
    <w:p>
      <w:pPr>
        <w:pStyle w:val="Normal"/>
      </w:pPr>
      <w:r>
        <w:t>3. Minor discrepancies that could not reasonably alter origin status, tariff treatment, a material credit, or enforcement outcome shall ordinarily be corrected through reconciliation rather than punitive treatment. Repeated or intentional discrepancies may be aggregated or escalated.</w:t>
      </w:r>
    </w:p>
    <w:p>
      <w:pPr>
        <w:pStyle w:val="Normal"/>
      </w:pPr>
      <w:r>
        <w:t>4. Nothing in this Article prevents full verification where justified, alters recordkeeping duties, excuses fraud, or restricts a Party's authority to protect revenue and enforce origin rules consistently with this Agreement.</w:t>
      </w:r>
    </w:p>
    <w:p>
      <w:pPr>
        <w:pStyle w:val="Heading2"/>
      </w:pPr>
      <w:bookmarkStart w:id="900208" w:name="_Toc300000207"/>
      <w:r>
        <w:t>Article 5.G: Standardized Verification Requests and Decisions</w:t>
      </w:r>
      <w:bookmarkEnd w:id="900208"/>
    </w:p>
    <w:p>
      <w:pPr>
        <w:pStyle w:val="Normal"/>
      </w:pPr>
      <w:r>
        <w:t>1. The customs administrations, acting through the existing Committee on Trade in Goods and customs cooperation mechanisms, shall maintain a common verification-request template and a common decision template. Templates shall identify the issue, legal basis, requested evidence, response deadline, available correction route, status-review points, and appeal rights.</w:t>
      </w:r>
    </w:p>
    <w:p>
      <w:pPr>
        <w:pStyle w:val="Normal"/>
      </w:pPr>
      <w:r>
        <w:t>2. A Party may request additional information where necessary, but shall explain why the additional material is relevant.</w:t>
      </w:r>
    </w:p>
    <w:p>
      <w:pPr>
        <w:pStyle w:val="Normal"/>
      </w:pPr>
      <w:r>
        <w:t>3. Standardized templates concern form and administration only and do not alter the substantive burden or standard established elsewhere in this Agreement.</w:t>
      </w:r>
    </w:p>
    <w:p>
      <w:pPr>
        <w:pStyle w:val="Heading2"/>
      </w:pPr>
      <w:bookmarkStart w:id="900209" w:name="_Toc300000208"/>
      <w:r>
        <w:t>Article 5.H: Risk-Tiered Verification</w:t>
      </w:r>
      <w:bookmarkEnd w:id="900209"/>
    </w:p>
    <w:p>
      <w:pPr>
        <w:pStyle w:val="Normal"/>
      </w:pPr>
      <w:r>
        <w:t>Verification shall be proportionate to documented risk. The operational lanes in this Article do not create a separate institution.</w:t>
      </w:r>
    </w:p>
    <w:p>
      <w:pPr>
        <w:pStyle w:val="Normal"/>
      </w:pPr>
      <w:r>
        <w:t>1. Trusted Lane: qualifying trusted traders receive a rebuttable presumption of compliance, document review as the default, and no on-site visit absent material anomaly, credible fraud indicator, or other reasonable grounds.</w:t>
      </w:r>
    </w:p>
    <w:p>
      <w:pPr>
        <w:pStyle w:val="Normal"/>
      </w:pPr>
      <w:r>
        <w:t>2. Standard Lane: questionnaire and documentary review are the default; an on-site visit requires reasonable articulable grounds or inability to resolve a material issue through documents.</w:t>
      </w:r>
    </w:p>
    <w:p>
      <w:pPr>
        <w:pStyle w:val="Normal"/>
      </w:pPr>
      <w:r>
        <w:t>3. Enhanced Lane: entities or transactions presenting documented high-risk indicators may receive full verification, including on-site review where lawful and necessary.</w:t>
      </w:r>
    </w:p>
    <w:p>
      <w:pPr>
        <w:pStyle w:val="Normal"/>
      </w:pPr>
      <w:r>
        <w:t>4. Trusted status may be suspended or revoked for material non-compliance, repeated serious error, obstruction, or fraud, subject to notice and review.</w:t>
      </w:r>
    </w:p>
    <w:p>
      <w:pPr>
        <w:pStyle w:val="Normal"/>
      </w:pPr>
      <w:r>
        <w:t>5. Risk models shall be periodically tested for false positives, discriminatory effects, and obsolete indicators.</w:t>
      </w:r>
    </w:p>
    <w:p>
      <w:pPr>
        <w:pStyle w:val="Heading2"/>
      </w:pPr>
      <w:bookmarkStart w:id="900210" w:name="_Toc300000209"/>
      <w:r>
        <w:t>Article 5.I: Single Submission and Reuse of Reliable Evidence</w:t>
      </w:r>
      <w:bookmarkEnd w:id="900210"/>
    </w:p>
    <w:p>
      <w:pPr>
        <w:pStyle w:val="Normal"/>
      </w:pPr>
      <w:r>
        <w:t>1. Existing electronic single-window and certification systems shall, to the maximum extent practicable, permit a trader to submit the same verification package once for authorized access by relevant customs administrations. Each Party retains independent legal authority to evaluate the evidence. A Party shall not require resubmission of identical material already available through an authorized interoperable system unless integrity, completeness, confidentiality, or technical-access concerns reasonably require it.</w:t>
      </w:r>
    </w:p>
    <w:p>
      <w:pPr>
        <w:pStyle w:val="Normal"/>
      </w:pPr>
      <w:r>
        <w:t>2. A prior audit, advance ruling, or verification finding involving materially identical goods, facts, supply chains, and legal provisions receives presumptive administrative weight. During an applicable repose period, supplementary verification requires materially new evidence, changed facts, an identified material deficiency in the prior verification, or credible fraud indicators documented in writing. Outside a repose period, an administration may verify in accordance with the ordinary requirements of this Chapter, but shall still give appropriate weight to reliable prior findings. Nothing in this paragraph authorizes repetitive verification contrary to Article 5.A.</w:t>
      </w:r>
    </w:p>
    <w:p>
      <w:pPr>
        <w:pStyle w:val="Normal"/>
      </w:pPr>
      <w:r>
        <w:t>3. A positive origin verification for the same exporter or producer and materially identical goods provides 24 months of repose from repetitive verification. Departure during that period requires materially new evidence, changed facts, an identified material deficiency in the prior verification, or credible fraud indicators documented in writing. A specialized 12-month SME or safe-harbor protection applies only to the distinct audit or protection for which it is expressly created and does not shorten this general 24-month repose. The repose period does not bar a verification of materially different goods, a materially changed supply chain, or conduct occurring after the facts examined in the positive verification.</w:t>
      </w:r>
    </w:p>
    <w:p>
      <w:pPr/>
      <w:r>
        <w:t>4. Verification repose hierarchy. The 24-month period in paragraph 3 is the general repose rule following a completed positive origin verification and governs Article 5.A(2) and any general reuse or prior-verification provision in Annex 5-Z. A specialized 12-month period applies only where a provision expressly identifies a distinct SME, audit, or safe-harbor protection and states the conduct to which that shorter period applies. The departure standard for the general 24-month repose is the standard in paragraph 3, and another provision may not create a broader departure test for the same repose unless it expressly states that it replaces this paragraph. Article 35.4A shall use the repose period and departure standard determined under this paragraph when assessing repetitive verification.</w:t>
      </w:r>
    </w:p>
    <w:p>
      <w:pPr>
        <w:pStyle w:val="Heading2"/>
      </w:pPr>
      <w:bookmarkStart w:id="900211" w:name="_Toc300000210"/>
      <w:r>
        <w:t>Article 5.J: Batch Certification and Model-Year Determinations</w:t>
      </w:r>
      <w:bookmarkEnd w:id="900211"/>
    </w:p>
    <w:p>
      <w:pPr>
        <w:pStyle w:val="Normal"/>
      </w:pPr>
      <w:r>
        <w:t>1. Repeated shipments of identical goods may use annual or other authorized blanket certifications consistent with Article 5.3.5. A blanket certification shall be offered as an ordinary administrative option where the goods, producer or exporter, applicable origin rule, and material origin facts are expected to remain stable during the certification period and no documented risk requires shipment-specific certification. A refusal of an otherwise eligible blanket-certification request shall state the principal reasons.</w:t>
      </w:r>
    </w:p>
    <w:p>
      <w:pPr>
        <w:pStyle w:val="Normal"/>
      </w:pPr>
      <w:r>
        <w:t>2. Automotive producers may seek advance model, model-year, component-family, or another determination expressly authorized by the customs administration or an applicable implementing schedule, covering approved origin coefficients, strategic-component treatment, and earned integration credits. The responsible customs administration shall publish the categories of advance determination it accepts and the information required for each. Border authorities shall apply an approved determination without reconstructing the full calculation shipment by shipment absent a material anomaly or changed facts.</w:t>
      </w:r>
    </w:p>
    <w:p>
      <w:pPr>
        <w:pStyle w:val="Normal"/>
      </w:pPr>
      <w:r>
        <w:t>3. Producers shall promptly disclose material changes affecting an approved determination and shall reconcile any resulting difference under Article 5.K.</w:t>
      </w:r>
    </w:p>
    <w:p>
      <w:pPr>
        <w:pStyle w:val="Heading2"/>
      </w:pPr>
      <w:bookmarkStart w:id="900212" w:name="_Toc300000211"/>
      <w:r>
        <w:t>Article 5.K: Correction, Cure, and Administrative Stay</w:t>
      </w:r>
      <w:bookmarkEnd w:id="900212"/>
    </w:p>
    <w:p>
      <w:pPr>
        <w:pStyle w:val="Normal"/>
      </w:pPr>
      <w:r>
        <w:t>1. Clerical, formatting, transcription, or comparable minor discrepancies shall not by themselves justify denial of preferential treatment where the substantive claim is otherwise supported. Where a correctable discrepancy is identified, the trader shall ordinarily receive at least 10 working days to submit a corrected certification or missing non-material information. Preferential treatment shall continue or be restored pending review where revenue is adequately protected and no credible fraud indicator exists.</w:t>
      </w:r>
    </w:p>
    <w:p>
      <w:pPr>
        <w:pStyle w:val="Normal"/>
      </w:pPr>
      <w:r>
        <w:t>2. For a good-faith substantive error, a trader may submit a correction plan within 30 days. Authorities may waive or reduce penalties where the error is promptly corrected, properly due amounts are paid, and reasonable compliance controls are demonstrated. Fraud, intentional misrepresentation, concealment, obstruction, or repeated reckless conduct is not eligible for the safe harbors in this Article.</w:t>
      </w:r>
    </w:p>
    <w:p>
      <w:pPr>
        <w:pStyle w:val="Heading2"/>
      </w:pPr>
      <w:bookmarkStart w:id="900213" w:name="_Toc300000212"/>
      <w:r>
        <w:t>Article 5.L: Verification Clocks and Status Transparency</w:t>
      </w:r>
      <w:bookmarkEnd w:id="900213"/>
    </w:p>
    <w:p>
      <w:pPr>
        <w:pStyle w:val="Normal"/>
      </w:pPr>
      <w:r>
        <w:t>1. A trader subject to verification shall receive electronic status information identifying the current stage, outstanding requests, and deadlines. For reviews continuing beyond 30, 60, or 90 days, the authority shall provide a status update and an estimated completion date; where a reliable estimate cannot reasonably be given, the update shall explain why and identify the next procedural milestone. Nothing in this paragraph extends the 150-day outer determination rule in Article 5.A.</w:t>
      </w:r>
    </w:p>
    <w:p>
      <w:pPr>
        <w:pStyle w:val="Normal"/>
      </w:pPr>
      <w:r>
        <w:t>2. Delay alone does not establish origin or non-origin, but unexplained administrative delay shall not be used to impose unnecessary commercial disruption. Where consistent with domestic law and adequate to protect revenue, the importing Party shall make available escrow, bond, provisional preference, or another equivalent interim mechanism while verification remains pending.</w:t>
      </w:r>
    </w:p>
    <w:p>
      <w:pPr/>
      <w:r>
        <w:t>3. Consequence of administrative delay. Where an authority misses the 150-day outer verification deadline in Article 5.A, or another verification or appeal deadline that this Agreement expressly states carries the consequence in this paragraph, the authority shall provide provisional release or preferential treatment against bond, escrow, or equivalent security only to the extent reasonably necessary to protect revenue. The interim route does not apply where particularized evidence establishes fraud, prohibited goods, or a material health or safety risk that independently justifies different treatment, and the authority shall state the basis for that exception in writing; the interim route remains available until the overdue determination issues. If no determination issues within 90 additional days, the affected trader may request an order or direction through an ordinary administrative or judicial review mechanism of the importing Party; if no such mechanism is legally available, the trader may submit a written request to the importing customs administration for expedited consultations with the customs administration of the Party from whose territory the good was exported, for the purpose of establishing and enforcing a prompt completion timetable for the overdue determination. The importing customs administration shall transmit the request and convene consultations within 10 days. Failure to convene those consultations within 10 days does not terminate interim treatment and does not itself create a private right to invoke dispute settlement; the trader or an affected Party may invoke only a dispute-settlement right otherwise available to it under this Agreement. Security shall be periodically reviewed and reduced or released to the extent it is no longer reasonably necessary to protect revenue, and the overdue determination is reconciled through refund or collection without lapse of time alone converting provisional treatment into a final origin determination.</w:t>
      </w:r>
    </w:p>
    <w:p>
      <w:pPr>
        <w:pStyle w:val="Heading2"/>
      </w:pPr>
      <w:bookmarkStart w:id="900214" w:name="_Toc300000213"/>
      <w:r>
        <w:t>Article 5.M: Electronic Traceability and Technology Neutrality</w:t>
      </w:r>
      <w:bookmarkEnd w:id="900214"/>
    </w:p>
    <w:p>
      <w:pPr>
        <w:pStyle w:val="Normal"/>
      </w:pPr>
      <w:r>
        <w:t>A reliable electronic traceability chain may constitute presumptive evidence for the facts it records where it provides auditable provenance, integrity controls, access logs, correction history, retention, and confidentiality protection. No particular technology is required. Specific evidence of tampering, false input, broken chain of custody, or material inconsistency may rebut the presumption.</w:t>
      </w:r>
    </w:p>
    <w:p>
      <w:pPr>
        <w:pStyle w:val="Heading2"/>
      </w:pPr>
      <w:bookmarkStart w:id="900215" w:name="_Toc300000214"/>
      <w:r>
        <w:t>Article 5.N: Proportionate Supplier Documentation</w:t>
      </w:r>
      <w:bookmarkEnd w:id="900215"/>
    </w:p>
    <w:p>
      <w:pPr>
        <w:pStyle w:val="Normal"/>
      </w:pPr>
      <w:r>
        <w:t>1. A Party may authorize simplified supplier declarations for low-value, non-strategic inputs where full documentation would be disproportionate to origin risk. Any such program is a facilitation option rather than an entitlement unless the Party has expressly adopted it as such. Published eligibility criteria shall consider both value and strategic sensitivity; core automotive components, high-circumvention-risk goods, and inputs material to a product-specific rule may be excluded regardless of value.</w:t>
      </w:r>
    </w:p>
    <w:p>
      <w:pPr>
        <w:pStyle w:val="Normal"/>
      </w:pPr>
      <w:r>
        <w:t>2. The customs administration operating a simplified-declaration program shall publish its thresholds, covered and excluded categories, required declaration fields, and material suspension criteria, and shall review them at least once every 24 months. Material exclusions or suspensions shall be based on the published criteria and shall not modify the substantive origin requirement.</w:t>
      </w:r>
    </w:p>
    <w:p>
      <w:pPr>
        <w:pStyle w:val="Heading2"/>
      </w:pPr>
      <w:bookmarkStart w:id="900216" w:name="_Toc300000215"/>
      <w:r>
        <w:t>Article 5.O: Appeals Without Unnecessary Trade Interruption</w:t>
      </w:r>
      <w:bookmarkEnd w:id="900216"/>
    </w:p>
    <w:p>
      <w:pPr>
        <w:pStyle w:val="Normal"/>
      </w:pPr>
      <w:r>
        <w:t>1. Where preferential treatment is denied and the trader timely appeals, the importing Party shall permit bond, escrow, or equivalent security in lieu of unnecessary interruption where consistent with domestic law and adequate to protect revenue.</w:t>
      </w:r>
    </w:p>
    <w:p>
      <w:pPr>
        <w:pStyle w:val="Normal"/>
      </w:pPr>
      <w:r>
        <w:t>2. SMEs shall have access to simplified procedural requirements and expedited scheduling without changing the substantive standard of review. Material appeal decisions and advance rulings shall be published in searchable, appropriately redacted form. Prior decisions may have persuasive or precedential effect only to the extent permitted by the relevant Party's law or expressly adopted under this Agreement.</w:t>
      </w:r>
    </w:p>
    <w:p>
      <w:pPr>
        <w:pStyle w:val="Normal"/>
      </w:pPr>
      <w:r>
        <w:t>3. Where preference was clearly and finally denied through administrative error, improperly collected duties shall be refunded with applicable interest. Reasonable extraordinary storage or demurrage directly caused by clear administrative error may be addressed under domestic procedures; this does not create open-ended consequential-damages liability.</w:t>
      </w:r>
    </w:p>
    <w:p>
      <w:pPr>
        <w:pStyle w:val="Heading2"/>
      </w:pPr>
      <w:bookmarkStart w:id="900217" w:name="_Toc300000216"/>
      <w:r>
        <w:t>Article 5.P: Consolidated Origin Verification Manual and Training</w:t>
      </w:r>
      <w:bookmarkEnd w:id="900217"/>
    </w:p>
    <w:p>
      <w:pPr>
        <w:pStyle w:val="Normal"/>
      </w:pPr>
      <w:r>
        <w:t>1. The existing Secretariat, working with the customs administrations and relevant existing committees, shall publish and maintain a consolidated North American Origin Verification Manual containing current procedures, templates, timelines, electronic-submission guidance, correction routes, and non-binding implementation examples.</w:t>
      </w:r>
    </w:p>
    <w:p>
      <w:pPr>
        <w:pStyle w:val="Normal"/>
      </w:pPr>
      <w:r>
        <w:t>2. The Manual reflects the Agreement and does not amend it. In any conflict, the Agreement controls.</w:t>
      </w:r>
    </w:p>
    <w:p>
      <w:pPr>
        <w:pStyle w:val="Normal"/>
      </w:pPr>
      <w:r>
        <w:t>3. The customs administrations shall maintain a joint training and exchange program using existing institutional structures. No separate academy or permanent body is established.</w:t>
      </w:r>
    </w:p>
    <w:p>
      <w:pPr>
        <w:pStyle w:val="Normal"/>
      </w:pPr>
      <w:r>
        <w:t>4. Training shall emphasize consistent interpretation, issue-limited requests, confidentiality, risk-based verification, anti-circumvention, SME usability, and recognition of reliable prior findings.</w:t>
      </w:r>
    </w:p>
    <w:p>
      <w:pPr>
        <w:pStyle w:val="Heading2"/>
      </w:pPr>
      <w:bookmarkStart w:id="900218" w:name="_Toc300000217"/>
      <w:r>
        <w:t>Article 5.Q: No Delay of Chapter 23-B Benefits Through Verification</w:t>
      </w:r>
      <w:bookmarkEnd w:id="900218"/>
    </w:p>
    <w:p>
      <w:pPr>
        <w:pStyle w:val="Normal"/>
      </w:pPr>
      <w:r>
        <w:t>Verification procedures under this Chapter shall not be used to delay, condition, or deny worker income support, retraining, or community resilience benefits under Chapter 23-B. Chapter 23-B benefits shall be paid upon claim (with basic eligibility verification) and shall not be held pending trade verification or other Chapter 5 procedures. A worker's eligibility for income support is independent of trade verification timelines.</w:t>
      </w:r>
    </w:p>
    <w:p>
      <w:pPr>
        <w:pStyle w:val="Heading2"/>
      </w:pPr>
      <w:bookmarkStart w:id="900219" w:name="_Toc300000218"/>
      <w:r>
        <w:t>ANNEX 5-Z: Verification Service Standards and Safe-Harbor Matrix</w:t>
      </w:r>
      <w:bookmarkEnd w:id="900219"/>
    </w:p>
    <w:tbl>
      <w:tblPr>
        <w:tblStyle w:val="TableGrid"/>
        <w:tblW w:w="9360" w:type="dxa"/>
        <w:jc w:val="center"/>
        <w:tblInd w:w="0"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1872"/>
        <w:gridCol w:w="1872"/>
        <w:gridCol w:w="1872"/>
        <w:gridCol w:w="1872"/>
        <w:gridCol w:w="1872"/>
      </w:tblGrid>
      <w:tr>
        <w:trPr>
          <w:tblHeader w:val="true"/>
        </w:trPr>
        <w:tc>
          <w:tcPr>
            <w:tcW w:w="1872" w:type="dxa"/>
            <w:tcBorders>
              <w:bottom w:val="single" w:sz="6" w:space="0" w:color="546E7A"/>
            </w:tcBorders>
            <w:shd w:fill="E4E9EC" w:val="clear" w:color="auto"/>
          </w:tcPr>
          <w:p>
            <w:pPr>
              <w:pStyle w:val="TableText"/>
              <w:jc w:val="left"/>
            </w:pPr>
            <w:r>
              <w:rPr>
                <w:b/>
                <w:color w:val="37474F"/>
                <w:lang w:val="en-US" w:eastAsia="en-US" w:bidi="ar-SA"/>
              </w:rPr>
              <w:t>Situation</w:t>
            </w:r>
          </w:p>
        </w:tc>
        <w:tc>
          <w:tcPr>
            <w:tcW w:w="1872" w:type="dxa"/>
            <w:tcBorders>
              <w:bottom w:val="single" w:sz="6" w:space="0" w:color="546E7A"/>
            </w:tcBorders>
            <w:shd w:fill="E4E9EC" w:val="clear" w:color="auto"/>
          </w:tcPr>
          <w:p>
            <w:pPr>
              <w:pStyle w:val="TableText"/>
              <w:jc w:val="left"/>
            </w:pPr>
            <w:r>
              <w:rPr>
                <w:b/>
                <w:color w:val="37474F"/>
                <w:lang w:val="en-US" w:eastAsia="en-US" w:bidi="ar-SA"/>
              </w:rPr>
              <w:t>Default Process</w:t>
            </w:r>
          </w:p>
        </w:tc>
        <w:tc>
          <w:tcPr>
            <w:tcW w:w="1872" w:type="dxa"/>
            <w:tcBorders>
              <w:bottom w:val="single" w:sz="6" w:space="0" w:color="546E7A"/>
            </w:tcBorders>
            <w:shd w:fill="E4E9EC" w:val="clear" w:color="auto"/>
          </w:tcPr>
          <w:p>
            <w:pPr>
              <w:pStyle w:val="TableText"/>
              <w:jc w:val="left"/>
            </w:pPr>
            <w:r>
              <w:rPr>
                <w:b/>
                <w:color w:val="37474F"/>
                <w:lang w:val="en-US" w:eastAsia="en-US" w:bidi="ar-SA"/>
              </w:rPr>
              <w:t>Escalation Trigger</w:t>
            </w:r>
          </w:p>
        </w:tc>
        <w:tc>
          <w:tcPr>
            <w:tcW w:w="1872" w:type="dxa"/>
            <w:tcBorders>
              <w:bottom w:val="single" w:sz="6" w:space="0" w:color="546E7A"/>
            </w:tcBorders>
            <w:shd w:fill="E4E9EC" w:val="clear" w:color="auto"/>
          </w:tcPr>
          <w:p>
            <w:pPr>
              <w:pStyle w:val="TableText"/>
              <w:jc w:val="left"/>
            </w:pPr>
            <w:r>
              <w:rPr>
                <w:b/>
                <w:color w:val="37474F"/>
                <w:lang w:val="en-US" w:eastAsia="en-US" w:bidi="ar-SA"/>
              </w:rPr>
              <w:t>Trade Treatment While Pending</w:t>
            </w:r>
          </w:p>
        </w:tc>
        <w:tc>
          <w:tcPr>
            <w:tcW w:w="1872" w:type="dxa"/>
            <w:tcBorders>
              <w:bottom w:val="single" w:sz="6" w:space="0" w:color="546E7A"/>
            </w:tcBorders>
            <w:shd w:fill="E4E9EC" w:val="clear" w:color="auto"/>
          </w:tcPr>
          <w:p>
            <w:pPr>
              <w:pStyle w:val="TableText"/>
              <w:jc w:val="left"/>
            </w:pPr>
            <w:r>
              <w:rPr>
                <w:b/>
                <w:color w:val="37474F"/>
                <w:lang w:val="en-US" w:eastAsia="en-US" w:bidi="ar-SA"/>
              </w:rPr>
              <w:t>Target Administration</w:t>
            </w:r>
          </w:p>
        </w:tc>
      </w:tr>
      <w:tr>
        <w:trPr/>
        <w:tc>
          <w:tcPr>
            <w:tcW w:w="1872" w:type="dxa"/>
            <w:tcMar>
              <w:top w:w="70" w:type="dxa"/>
              <w:start w:w="110" w:type="dxa"/>
              <w:bottom w:w="70" w:type="dxa"/>
              <w:end w:w="110" w:type="dxa"/>
            </w:tcMar>
          </w:tcPr>
          <w:p>
            <w:pPr>
              <w:pStyle w:val="TableText"/>
              <w:jc w:val="left"/>
            </w:pPr>
            <w:r>
              <w:rPr>
                <w:lang w:val="en-US" w:eastAsia="en-US" w:bidi="ar-SA"/>
              </w:rPr>
              <w:t>Trusted trader / stable goods</w:t>
            </w:r>
          </w:p>
        </w:tc>
        <w:tc>
          <w:tcPr>
            <w:tcW w:w="1872" w:type="dxa"/>
            <w:tcMar>
              <w:top w:w="70" w:type="dxa"/>
              <w:start w:w="110" w:type="dxa"/>
              <w:bottom w:w="70" w:type="dxa"/>
              <w:end w:w="110" w:type="dxa"/>
            </w:tcMar>
          </w:tcPr>
          <w:p>
            <w:pPr>
              <w:pStyle w:val="TableText"/>
              <w:jc w:val="left"/>
            </w:pPr>
            <w:r>
              <w:rPr>
                <w:lang w:val="en-US" w:eastAsia="en-US" w:bidi="ar-SA"/>
              </w:rPr>
              <w:t>Document review; batch or annual certification; reuse reliable prior findings</w:t>
            </w:r>
          </w:p>
        </w:tc>
        <w:tc>
          <w:tcPr>
            <w:tcW w:w="1872" w:type="dxa"/>
            <w:tcMar>
              <w:top w:w="70" w:type="dxa"/>
              <w:start w:w="110" w:type="dxa"/>
              <w:bottom w:w="70" w:type="dxa"/>
              <w:end w:w="110" w:type="dxa"/>
            </w:tcMar>
          </w:tcPr>
          <w:p>
            <w:pPr>
              <w:pStyle w:val="TableText"/>
              <w:jc w:val="left"/>
            </w:pPr>
            <w:r>
              <w:rPr>
                <w:lang w:val="en-US" w:eastAsia="en-US" w:bidi="ar-SA"/>
              </w:rPr>
              <w:t>Material anomaly, new evidence, credible fraud indicator</w:t>
            </w:r>
          </w:p>
        </w:tc>
        <w:tc>
          <w:tcPr>
            <w:tcW w:w="1872" w:type="dxa"/>
            <w:tcMar>
              <w:top w:w="70" w:type="dxa"/>
              <w:start w:w="110" w:type="dxa"/>
              <w:bottom w:w="70" w:type="dxa"/>
              <w:end w:w="110" w:type="dxa"/>
            </w:tcMar>
          </w:tcPr>
          <w:p>
            <w:pPr>
              <w:pStyle w:val="TableText"/>
              <w:jc w:val="left"/>
            </w:pPr>
            <w:r>
              <w:rPr>
                <w:lang w:val="en-US" w:eastAsia="en-US" w:bidi="ar-SA"/>
              </w:rPr>
              <w:t>Preference continues where revenue is protected</w:t>
            </w:r>
          </w:p>
        </w:tc>
        <w:tc>
          <w:tcPr>
            <w:tcW w:w="1872" w:type="dxa"/>
            <w:tcMar>
              <w:top w:w="70" w:type="dxa"/>
              <w:start w:w="110" w:type="dxa"/>
              <w:bottom w:w="70" w:type="dxa"/>
              <w:end w:w="110" w:type="dxa"/>
            </w:tcMar>
          </w:tcPr>
          <w:p>
            <w:pPr>
              <w:pStyle w:val="TableText"/>
              <w:jc w:val="left"/>
            </w:pPr>
            <w:r>
              <w:rPr>
                <w:lang w:val="en-US" w:eastAsia="en-US" w:bidi="ar-SA"/>
              </w:rPr>
              <w:t>Fast lane</w:t>
            </w:r>
          </w:p>
        </w:tc>
      </w:tr>
      <w:tr>
        <w:trPr/>
        <w:tc>
          <w:tcPr>
            <w:tcW w:w="1872" w:type="dxa"/>
            <w:shd w:fill="F5F7F8" w:val="clear" w:color="auto"/>
            <w:tcMar>
              <w:top w:w="70" w:type="dxa"/>
              <w:start w:w="110" w:type="dxa"/>
              <w:bottom w:w="70" w:type="dxa"/>
              <w:end w:w="110" w:type="dxa"/>
            </w:tcMar>
          </w:tcPr>
          <w:p>
            <w:pPr>
              <w:pStyle w:val="TableText"/>
              <w:jc w:val="left"/>
            </w:pPr>
            <w:r>
              <w:rPr>
                <w:lang w:val="en-US" w:eastAsia="en-US" w:bidi="ar-SA"/>
              </w:rPr>
              <w:t>Standard-risk verification</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Issue-limited standardized questionnaire; remote review first</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Unresolved material inconsistency or reasonable articulable grounds</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Preference continues, bond/escrow, or targeted hold as legally appropriate</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Ordinary lane</w:t>
            </w:r>
          </w:p>
        </w:tc>
      </w:tr>
      <w:tr>
        <w:trPr/>
        <w:tc>
          <w:tcPr>
            <w:tcW w:w="1872" w:type="dxa"/>
            <w:tcMar>
              <w:top w:w="70" w:type="dxa"/>
              <w:start w:w="110" w:type="dxa"/>
              <w:bottom w:w="70" w:type="dxa"/>
              <w:end w:w="110" w:type="dxa"/>
            </w:tcMar>
          </w:tcPr>
          <w:p>
            <w:pPr>
              <w:pStyle w:val="TableText"/>
              <w:jc w:val="left"/>
            </w:pPr>
            <w:r>
              <w:rPr>
                <w:lang w:val="en-US" w:eastAsia="en-US" w:bidi="ar-SA"/>
              </w:rPr>
              <w:t>High-risk / credible circumvention</w:t>
            </w:r>
          </w:p>
        </w:tc>
        <w:tc>
          <w:tcPr>
            <w:tcW w:w="1872" w:type="dxa"/>
            <w:tcMar>
              <w:top w:w="70" w:type="dxa"/>
              <w:start w:w="110" w:type="dxa"/>
              <w:bottom w:w="70" w:type="dxa"/>
              <w:end w:w="110" w:type="dxa"/>
            </w:tcMar>
          </w:tcPr>
          <w:p>
            <w:pPr>
              <w:pStyle w:val="TableText"/>
              <w:jc w:val="left"/>
            </w:pPr>
            <w:r>
              <w:rPr>
                <w:lang w:val="en-US" w:eastAsia="en-US" w:bidi="ar-SA"/>
              </w:rPr>
              <w:t>Full verification; expanded records; on-site review where lawful</w:t>
            </w:r>
          </w:p>
        </w:tc>
        <w:tc>
          <w:tcPr>
            <w:tcW w:w="1872" w:type="dxa"/>
            <w:tcMar>
              <w:top w:w="70" w:type="dxa"/>
              <w:start w:w="110" w:type="dxa"/>
              <w:bottom w:w="70" w:type="dxa"/>
              <w:end w:w="110" w:type="dxa"/>
            </w:tcMar>
          </w:tcPr>
          <w:p>
            <w:pPr>
              <w:pStyle w:val="TableText"/>
              <w:jc w:val="left"/>
            </w:pPr>
            <w:r>
              <w:rPr>
                <w:lang w:val="en-US" w:eastAsia="en-US" w:bidi="ar-SA"/>
              </w:rPr>
              <w:t>Existing documented risk</w:t>
            </w:r>
          </w:p>
        </w:tc>
        <w:tc>
          <w:tcPr>
            <w:tcW w:w="1872" w:type="dxa"/>
            <w:tcMar>
              <w:top w:w="70" w:type="dxa"/>
              <w:start w:w="110" w:type="dxa"/>
              <w:bottom w:w="70" w:type="dxa"/>
              <w:end w:w="110" w:type="dxa"/>
            </w:tcMar>
          </w:tcPr>
          <w:p>
            <w:pPr>
              <w:pStyle w:val="TableText"/>
              <w:jc w:val="left"/>
            </w:pPr>
            <w:r>
              <w:rPr>
                <w:lang w:val="en-US" w:eastAsia="en-US" w:bidi="ar-SA"/>
              </w:rPr>
              <w:t>Targeted protective measures permitted</w:t>
            </w:r>
          </w:p>
        </w:tc>
        <w:tc>
          <w:tcPr>
            <w:tcW w:w="1872" w:type="dxa"/>
            <w:tcMar>
              <w:top w:w="70" w:type="dxa"/>
              <w:start w:w="110" w:type="dxa"/>
              <w:bottom w:w="70" w:type="dxa"/>
              <w:end w:w="110" w:type="dxa"/>
            </w:tcMar>
          </w:tcPr>
          <w:p>
            <w:pPr>
              <w:pStyle w:val="TableText"/>
              <w:jc w:val="left"/>
            </w:pPr>
            <w:r>
              <w:rPr>
                <w:lang w:val="en-US" w:eastAsia="en-US" w:bidi="ar-SA"/>
              </w:rPr>
              <w:t>Enhanced lane</w:t>
            </w:r>
          </w:p>
        </w:tc>
      </w:tr>
      <w:tr>
        <w:trPr/>
        <w:tc>
          <w:tcPr>
            <w:tcW w:w="1872" w:type="dxa"/>
            <w:shd w:fill="F5F7F8" w:val="clear" w:color="auto"/>
            <w:tcMar>
              <w:top w:w="70" w:type="dxa"/>
              <w:start w:w="110" w:type="dxa"/>
              <w:bottom w:w="70" w:type="dxa"/>
              <w:end w:w="110" w:type="dxa"/>
            </w:tcMar>
          </w:tcPr>
          <w:p>
            <w:pPr>
              <w:pStyle w:val="TableText"/>
              <w:jc w:val="left"/>
            </w:pPr>
            <w:r>
              <w:rPr>
                <w:lang w:val="en-US" w:eastAsia="en-US" w:bidi="ar-SA"/>
              </w:rPr>
              <w:t>Minor clerical discrepancy</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10-working-day correction opportunity</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Failure to cure, repeated pattern, or evidence of intent</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No unnecessary denial solely for minor error</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Correction lane</w:t>
            </w:r>
          </w:p>
        </w:tc>
      </w:tr>
      <w:tr>
        <w:trPr/>
        <w:tc>
          <w:tcPr>
            <w:tcW w:w="1872" w:type="dxa"/>
            <w:tcMar>
              <w:top w:w="70" w:type="dxa"/>
              <w:start w:w="110" w:type="dxa"/>
              <w:bottom w:w="70" w:type="dxa"/>
              <w:end w:w="110" w:type="dxa"/>
            </w:tcMar>
          </w:tcPr>
          <w:p>
            <w:r>
              <w:t>Positive prior verification</w:t>
            </w:r>
          </w:p>
        </w:tc>
        <w:tc>
          <w:tcPr>
            <w:tcW w:w="1872" w:type="dxa"/>
            <w:tcMar>
              <w:top w:w="70" w:type="dxa"/>
              <w:start w:w="110" w:type="dxa"/>
              <w:bottom w:w="70" w:type="dxa"/>
              <w:end w:w="110" w:type="dxa"/>
            </w:tcMar>
          </w:tcPr>
          <w:p>
            <w:r>
              <w:t>24-month general repose for same exporter or producer and materially identical goods</w:t>
            </w:r>
          </w:p>
        </w:tc>
        <w:tc>
          <w:tcPr>
            <w:tcW w:w="1872" w:type="dxa"/>
            <w:tcMar>
              <w:top w:w="70" w:type="dxa"/>
              <w:start w:w="110" w:type="dxa"/>
              <w:bottom w:w="70" w:type="dxa"/>
              <w:end w:w="110" w:type="dxa"/>
            </w:tcMar>
          </w:tcPr>
          <w:p>
            <w:r>
              <w:t>Materially new evidence, changed facts, identified material deficiency, or credible fraud indicators documented in writing</w:t>
            </w:r>
          </w:p>
        </w:tc>
        <w:tc>
          <w:tcPr>
            <w:tcW w:w="1872" w:type="dxa"/>
            <w:tcMar>
              <w:top w:w="70" w:type="dxa"/>
              <w:start w:w="110" w:type="dxa"/>
              <w:bottom w:w="70" w:type="dxa"/>
              <w:end w:w="110" w:type="dxa"/>
            </w:tcMar>
          </w:tcPr>
          <w:p>
            <w:r>
              <w:t>Prior treatment presumptively continues</w:t>
            </w:r>
          </w:p>
        </w:tc>
        <w:tc>
          <w:tcPr>
            <w:tcW w:w="1872" w:type="dxa"/>
            <w:tcMar>
              <w:top w:w="70" w:type="dxa"/>
              <w:start w:w="110" w:type="dxa"/>
              <w:bottom w:w="70" w:type="dxa"/>
              <w:end w:w="110" w:type="dxa"/>
            </w:tcMar>
          </w:tcPr>
          <w:p>
            <w:r>
              <w:t>Reuse lane</w:t>
            </w:r>
          </w:p>
        </w:tc>
      </w:tr>
      <w:tr>
        <w:trPr/>
        <w:tc>
          <w:tcPr>
            <w:tcW w:w="1872" w:type="dxa"/>
            <w:shd w:fill="F5F7F8" w:val="clear" w:color="auto"/>
            <w:tcMar>
              <w:top w:w="70" w:type="dxa"/>
              <w:start w:w="110" w:type="dxa"/>
              <w:bottom w:w="70" w:type="dxa"/>
              <w:end w:w="110" w:type="dxa"/>
            </w:tcMar>
          </w:tcPr>
          <w:p>
            <w:pPr>
              <w:pStyle w:val="TableText"/>
              <w:jc w:val="left"/>
            </w:pPr>
            <w:r>
              <w:rPr>
                <w:lang w:val="en-US" w:eastAsia="en-US" w:bidi="ar-SA"/>
              </w:rPr>
              <w:t>Automotive Standard Tier qualification</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Apply ordinary CUSMA treatment; stop</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Evidence ordinary qualification is invalid</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Duty-free where otherwise provided</w:t>
            </w:r>
          </w:p>
        </w:tc>
        <w:tc>
          <w:tcPr>
            <w:tcW w:w="1872" w:type="dxa"/>
            <w:shd w:fill="F5F7F8" w:val="clear" w:color="auto"/>
            <w:tcMar>
              <w:top w:w="70" w:type="dxa"/>
              <w:start w:w="110" w:type="dxa"/>
              <w:bottom w:w="70" w:type="dxa"/>
              <w:end w:w="110" w:type="dxa"/>
            </w:tcMar>
          </w:tcPr>
          <w:p>
            <w:pPr>
              <w:pStyle w:val="TableText"/>
              <w:jc w:val="left"/>
            </w:pPr>
            <w:r>
              <w:rPr>
                <w:lang w:val="en-US" w:eastAsia="en-US" w:bidi="ar-SA"/>
              </w:rPr>
              <w:t>Safe harbor</w:t>
            </w:r>
          </w:p>
        </w:tc>
      </w:tr>
      <w:tr>
        <w:trPr/>
        <w:tc>
          <w:tcPr>
            <w:tcW w:w="1872" w:type="dxa"/>
            <w:tcMar>
              <w:top w:w="70" w:type="dxa"/>
              <w:start w:w="110" w:type="dxa"/>
              <w:bottom w:w="70" w:type="dxa"/>
              <w:end w:w="110" w:type="dxa"/>
            </w:tcMar>
          </w:tcPr>
          <w:p>
            <w:pPr>
              <w:pStyle w:val="TableText"/>
              <w:jc w:val="left"/>
            </w:pPr>
            <w:r>
              <w:rPr>
                <w:lang w:val="en-US" w:eastAsia="en-US" w:bidi="ar-SA"/>
              </w:rPr>
              <w:t>Automotive alternative settlement</w:t>
            </w:r>
          </w:p>
        </w:tc>
        <w:tc>
          <w:tcPr>
            <w:tcW w:w="1872" w:type="dxa"/>
            <w:tcMar>
              <w:top w:w="70" w:type="dxa"/>
              <w:start w:w="110" w:type="dxa"/>
              <w:bottom w:w="70" w:type="dxa"/>
              <w:end w:w="110" w:type="dxa"/>
            </w:tcMar>
          </w:tcPr>
          <w:p>
            <w:pPr>
              <w:pStyle w:val="TableText"/>
              <w:jc w:val="left"/>
            </w:pPr>
            <w:r>
              <w:rPr>
                <w:lang w:val="en-US" w:eastAsia="en-US" w:bidi="ar-SA"/>
              </w:rPr>
              <w:t>Approved model/model-year calculation where possible</w:t>
            </w:r>
          </w:p>
        </w:tc>
        <w:tc>
          <w:tcPr>
            <w:tcW w:w="1872" w:type="dxa"/>
            <w:tcMar>
              <w:top w:w="70" w:type="dxa"/>
              <w:start w:w="110" w:type="dxa"/>
              <w:bottom w:w="70" w:type="dxa"/>
              <w:end w:w="110" w:type="dxa"/>
            </w:tcMar>
          </w:tcPr>
          <w:p>
            <w:pPr>
              <w:pStyle w:val="TableText"/>
              <w:jc w:val="left"/>
            </w:pPr>
            <w:r>
              <w:rPr>
                <w:lang w:val="en-US" w:eastAsia="en-US" w:bidi="ar-SA"/>
              </w:rPr>
              <w:t>Material change or anomaly</w:t>
            </w:r>
          </w:p>
        </w:tc>
        <w:tc>
          <w:tcPr>
            <w:tcW w:w="1872" w:type="dxa"/>
            <w:tcMar>
              <w:top w:w="70" w:type="dxa"/>
              <w:start w:w="110" w:type="dxa"/>
              <w:bottom w:w="70" w:type="dxa"/>
              <w:end w:w="110" w:type="dxa"/>
            </w:tcMar>
          </w:tcPr>
          <w:p>
            <w:pPr>
              <w:pStyle w:val="TableText"/>
              <w:jc w:val="left"/>
            </w:pPr>
            <w:r>
              <w:rPr>
                <w:lang w:val="en-US" w:eastAsia="en-US" w:bidi="ar-SA"/>
              </w:rPr>
              <w:t>Apply approved coefficient subject to reconciliation</w:t>
            </w:r>
          </w:p>
        </w:tc>
        <w:tc>
          <w:tcPr>
            <w:tcW w:w="1872" w:type="dxa"/>
            <w:tcMar>
              <w:top w:w="70" w:type="dxa"/>
              <w:start w:w="110" w:type="dxa"/>
              <w:bottom w:w="70" w:type="dxa"/>
              <w:end w:w="110" w:type="dxa"/>
            </w:tcMar>
          </w:tcPr>
          <w:p>
            <w:pPr>
              <w:pStyle w:val="TableText"/>
              <w:jc w:val="left"/>
            </w:pPr>
            <w:r>
              <w:rPr>
                <w:lang w:val="en-US" w:eastAsia="en-US" w:bidi="ar-SA"/>
              </w:rPr>
              <w:t>13.8% settlement lane</w:t>
            </w:r>
          </w:p>
        </w:tc>
      </w:tr>
    </w:tbl>
    <w:p>
      <w:pPr>
        <w:pStyle w:val="Heading2"/>
      </w:pPr>
      <w:bookmarkStart w:id="900220" w:name="_Toc300000219"/>
      <w:r>
        <w:t>Implementation Direction</w:t>
      </w:r>
      <w:bookmarkEnd w:id="900220"/>
    </w:p>
    <w:p>
      <w:pPr>
        <w:pStyle w:val="Normal"/>
      </w:pPr>
      <w:r>
        <w:t>Within 180 days of entry into force of the Protocol of Modernization, the customs administrations, the Committee on Origin Procedures and its Sub-Committee on Origin Verification, and the Committee on Trade Facilitation, acting within their existing mandates, shall harmonize templates, electronic submission specifications, service standards, model-year automotive procedures, and the consolidated Verification Manual. The Committee on Origin Procedures shall coordinate resolution of conflicting origin-verification templates or specifications, consulting the Committee on Trade Facilitation where the conflict concerns electronic transmission or single-window interoperability. They shall prioritize reuse of existing systems and budgets and shall identify any proposal that would require a new permanent institution for Commission review under Article 30.C.1.</w:t>
      </w:r>
    </w:p>
    <w:p>
      <w:pPr>
        <w:pStyle w:val="Normal"/>
      </w:pPr>
      <w:r>
        <w:t>Nothing in the Protocol of Modernization authorizes deletion of existing substantive protections merely for administrative convenience. Simplification shall reduce unnecessary duplication, delay, and documentation while preserving verification depth where risk warrants it.</w:t>
      </w:r>
    </w:p>
    <w:p>
      <w:pPr>
        <w:pStyle w:val="Heading1"/>
      </w:pPr>
      <w:bookmarkStart w:id="900221" w:name="_Toc300000220"/>
      <w:r>
        <w:t>CHAPTER 6 TEXTILE AND APPAREL GOODS</w:t>
      </w:r>
      <w:bookmarkEnd w:id="900221"/>
    </w:p>
    <w:p>
      <w:pPr>
        <w:pStyle w:val="Heading2"/>
      </w:pPr>
      <w:bookmarkStart w:id="900222" w:name="_Toc300000221"/>
      <w:r>
        <w:t xml:space="preserve">Article 6.1: Rules of Origin and Related Matters</w:t>
      </w:r>
      <w:bookmarkEnd w:id="900222"/>
    </w:p>
    <w:p>
      <w:pPr>
        <w:pStyle w:val="Normal"/>
      </w:pPr>
      <w:r>
        <w:t xml:space="preserve">Application of Chapters 4 (Rules of Origin) and 5 (Origin Procedures) 1. Except as provided in this Chapter, Chapters 4 (Rules of Origin) and 5 (Origin Procedures) apply to textile and apparel goods. De Minimis 2. A textile or apparel good classified in Chapters 50 through 60 or heading 96.19 of the Harmonized System that contains non-originating materials that do not satisfy the applicable change in tariff classification requirement specified in Annex 4-B (Product-Specific Rules of Origin), shall nonetheless be considered to be an originating good if the total weight of all those materials is not more than 10 percent of the total weight of the good, of which the total weight of elastomeric content may not exceed 7 percent of the total weight of the good, and the good meets all the other applicable requirements of this Chapter and Chapter 4 (Rules of Origin). 3.</w:t>
      </w:r>
    </w:p>
    <w:p>
      <w:pPr>
        <w:pStyle w:val="Normal"/>
      </w:pPr>
      <w:r>
        <w:t>A textile or apparel good classified in Chapters 61 through 63 of the Harmonized System that contains non-originating fibers or yarns in the component of the good that determines the tariff classification of the good that do not satisfy the applicable change in tariff classification set out in Annex 4-B (Product-Specific Rules of Origin), shall nonetheless be considered to be an originating good if the total weight of all those fibers or yarns is not more than 10 percent of the total weight of that component, of which the total weight of elastomeric content may not exceed 7 percent of the total weight of the good, and the good meets all the other applicable requirements of this Chapter and Chapter 4 (Rules of Origin). Treatment of Sets 4.</w:t>
      </w:r>
    </w:p>
    <w:p>
      <w:pPr>
        <w:pStyle w:val="Normal"/>
      </w:pPr>
      <w:r>
        <w:t>Notwithstanding the product-specific rules of origin set out in Annex 4-B (Product- Specific Rules of Origin), textile and apparel goods put up in sets for retail sale, classified as a result of the application of Rule 3 of the General Rules for the Interpretation of the Harmonized System, shall not be originating goods unless each of the goods in the set is an originating good or the total value of the non-originating goods in the set does not exceed 10 percent of the value of the set. 5.</w:t>
      </w:r>
    </w:p>
    <w:p>
      <w:pPr>
        <w:pStyle w:val="Normal"/>
      </w:pPr>
      <w:r>
        <w:t>For the purposes of paragraph 4: (a) the value of non-originating goods in the set shall be calculated in the same manner as the value of non-originating materials in Chapter 4 (Rules of Origin); and (b) the value of the set shall be calculated in the same manner as the value of the good in Chapter 4 (Rules of Origin).</w:t>
      </w:r>
    </w:p>
    <w:p>
      <w:pPr>
        <w:pStyle w:val="Heading2"/>
      </w:pPr>
      <w:bookmarkStart w:id="900223" w:name="_Toc300000222"/>
      <w:r>
        <w:t xml:space="preserve">Article 6.2: Handmade, Traditional Folkloric, or Indigenous Handicraft Goods</w:t>
      </w:r>
      <w:bookmarkEnd w:id="900223"/>
    </w:p>
    <w:p>
      <w:pPr>
        <w:pStyle w:val="Normal"/>
      </w:pPr>
      <w:r>
        <w:t xml:space="preserve">1. An importing Party and an exporting Party may identify particular textile or apparel goods that they mutually agree are: (a) hand-loomed fabrics of a cottage industry; (b) hand-made cottage industry goods made of those hand-loomed fabrics; (c) traditional folklore handicraft goods; or (d) indigenous handicraft goods. 2. The goods identified pursuant to paragraph 1 shall be eligible for duty-free treatment by the importing Party provided that any requirements agreed by the importing and exporting Parties are met.</w:t>
      </w:r>
    </w:p>
    <w:p>
      <w:pPr>
        <w:pStyle w:val="Heading2"/>
      </w:pPr>
      <w:bookmarkStart w:id="900224" w:name="_Toc300000223"/>
      <w:r>
        <w:t>Article 6.3: Special Provisions</w:t>
      </w:r>
      <w:bookmarkEnd w:id="900224"/>
    </w:p>
    <w:p>
      <w:pPr>
        <w:pStyle w:val="Normal"/>
      </w:pPr>
      <w:r>
        <w:t>Annex 6-A (Special Provisions) sets out special provisions applicable to certain textile and apparel goods.</w:t>
      </w:r>
    </w:p>
    <w:p>
      <w:pPr>
        <w:pStyle w:val="Heading2"/>
      </w:pPr>
      <w:bookmarkStart w:id="900225" w:name="_Toc300000224"/>
      <w:r>
        <w:t xml:space="preserve">Article 6.4: Review and Revision of Rules of Origin</w:t>
      </w:r>
      <w:bookmarkEnd w:id="900225"/>
    </w:p>
    <w:p>
      <w:pPr>
        <w:pStyle w:val="Normal"/>
      </w:pPr>
      <w:r>
        <w:t xml:space="preserve">1. On request of a Party, the Parties shall consult to consider whether particular goods should be subject to different rules of origin to address issues of availability of supply of fibers, yarns, or fabrics in the territories of the Parties. 2. In the consultations, each Party shall consider the data presented by a Party showing substantial production in its territory of the particular good. The consulting Parties shall consider that substantial production has been shown if that Party demonstrates that its domestic producers are capable of supplying commercial quantities of the good in a timely manner. With a view to concluding consultations without delay, the Parties shall endeavor to make an initial assessment of the evidence available regarding whether the fiber, yarn, or fabric is commercially available in the territories of the Parties promptly and to the extent possible within 90 days. 3.</w:t>
      </w:r>
    </w:p>
    <w:p>
      <w:pPr>
        <w:pStyle w:val="Normal"/>
      </w:pPr>
      <w:r>
        <w:t>If, based on the initial assessment, the Parties agree that the fiber, yarn, or fabric is not commercially available, the Parties shall endeavor to reach agreement promptly on a corresponding proposed product-specific rule change and, as appropriate, proceed with their respective domestic procedures for implementation. The Parties shall endeavor to conclude consultations within 60 days after the initial assessment.</w:t>
      </w:r>
    </w:p>
    <w:p>
      <w:pPr>
        <w:pStyle w:val="Normal"/>
      </w:pPr>
      <w:r>
        <w:t>An agreement between the Parties shall supersede any prior rule of origin for such good when approved by each Party in accordance with any necessary legal procedures of each Party.</w:t>
      </w:r>
    </w:p>
    <w:p>
      <w:pPr>
        <w:pStyle w:val="Heading2"/>
      </w:pPr>
      <w:bookmarkStart w:id="900226" w:name="_Toc300000225"/>
      <w:r>
        <w:t xml:space="preserve">Article 6.5: Cooperation</w:t>
      </w:r>
      <w:bookmarkEnd w:id="900226"/>
    </w:p>
    <w:p>
      <w:pPr>
        <w:pStyle w:val="Normal"/>
      </w:pPr>
      <w:r>
        <w:t xml:space="preserve">1. The Parties shall cooperate, through information sharing and other activities as provided for in Article 7.25 (Regional and Bilateral Cooperation on Enforcement), Article 7.26 (Exchange of Specific Confidential Information), Article 7.27 (Customs Compliance Verification Requests), and Article 7.28 (Confidentiality between Parties), on matters related to trade in textile and apparel goods. 2. The Parties recognize that documents such as bills of lading, invoices, contracts of sale, purchase orders, packing lists, and other commercial documents are particularly important to detect, prevent, or address customs offenses related to trade in textile and apparel goods. 3. Each Party shall designate a contact point for information exchange and other cooperation activities related to trade in textile and apparel goods in accordance with Article 30.5 (Agreement Coordinator and Contact Points).</w:t>
      </w:r>
    </w:p>
    <w:p>
      <w:pPr>
        <w:pStyle w:val="Heading2"/>
      </w:pPr>
      <w:bookmarkStart w:id="900227" w:name="_Toc300000226"/>
      <w:r>
        <w:t xml:space="preserve">Article 6.6: Verification</w:t>
      </w:r>
      <w:bookmarkEnd w:id="900227"/>
    </w:p>
    <w:p>
      <w:pPr>
        <w:pStyle w:val="Normal"/>
      </w:pPr>
      <w:r>
        <w:t xml:space="preserve">1. An importing Party may, through its customs administration, conduct a verification with respect to a textile or apparel good pursuant to Article 5.9 (Origin Verification), and the associated procedures, to verify whether a good qualifies for preferential tariff treatment, or through a request for a site visit as described in this Article.1 2. An importing Party may request a site visit under this Article from an exporter or producer of textile or apparel goods to verify whether: (a) a textile or apparel good qualifies for preferential tariff treatment under this Agreement; or (b) customs offenses with regard to a textile or apparel good are occurring or have occurred. 3. During a site visit under paragraph 2, an importing Party may request access to: (a) records and facilities relevant to the claim for preferential tariff treatment; or (b) records and facilities relevant to the customs offenses being verified. 4.</w:t>
      </w:r>
    </w:p>
    <w:p>
      <w:pPr>
        <w:pStyle w:val="Normal"/>
      </w:pPr>
      <w:r>
        <w:t>If an importing Party seeks to conduct a site visit under paragraph 2, it shall provide the host Party, not later than 20 days prior to the date of the first visit to an exporter or producer, with: (a) the proposed dates; (b) the number and general location of exporters and producers to be visited in appropriate detail to allow the efficient and effective application of the provisions of paragraphs 7(a) and 7(b), but does not need to specify the names of the exporters or producers to be visited; (c) whether assistance by the host Party will be requested and what type; (d) the suspected customs offenses to be verified under paragraph 2(b), including relevant factual information available at the time of the notification related to the specific offenses, which may include historical information; and (e) whether the importer claimed preferential tariff treatment. 5.</w:t>
      </w:r>
    </w:p>
    <w:p>
      <w:pPr>
        <w:pStyle w:val="Normal"/>
      </w:pPr>
      <w:r>
        <w:t>If an importing Party seeks to conduct a site visit under paragraph 2, and does not provide the names of the exporters or producers 20 days prior to the site visit, it shall provide the host For the purposes of this Article, the information collected in accordance with this Article shall be used for the purpose of ensuring the effective implementation of this Chapter. A Party shall not use these procedures to collect information for other purposes.</w:t>
      </w:r>
    </w:p>
    <w:p>
      <w:pPr>
        <w:pStyle w:val="Normal"/>
      </w:pPr>
      <w:r>
        <w:t>Party with a list of the names and addresses of the exporters or producers it proposes to visit, in a timely manner and prior to the date of the first visit to an exporter or producer under paragraph 2, to facilitate coordination, logistical support, and scheduling of the site visit. 6. The host Party shall promptly acknowledge receipt of the notification of a proposed site visit under paragraph 2, and may request information from the importing Party to facilitate planning of the site visit, such as logistical arrangements or provision of requested assistance. 7. If an importing Party seeks to conduct a site visit under paragraph 2: (a) officials of the customs administration of the host Party may accompany the officials of the importing Party during the site visit;</w:t>
      </w:r>
    </w:p>
    <w:p>
      <w:pPr>
        <w:pStyle w:val="Normal"/>
      </w:pPr>
      <w:r>
        <w:t>(b) officials of the customs administration of the host Party may, in accordance with its laws and regulations, on request of the importing Party or on its own initiative, assist the officials of the importing Party during the site visit and provide, to the extent practicable, information relevant to conduct the site visit; (c) the importing and the host Party shall limit communication regarding the site visit to relevant government officials and shall not inform any person outside the government of the host Party in advance of a site visit or provide any other verification or other information not publicly available the disclosure of which could undermine the effectiveness of the action; (d) the importing Party</w:t>
      </w:r>
    </w:p>
    <w:p>
      <w:pPr>
        <w:pStyle w:val="Normal"/>
      </w:pPr>
      <w:r>
        <w:t>shall request permission from the exporter, producer, or a person having capacity to consent on behalf of the exporter or producer, either prior to the site visit if this would not undermine the effectiveness of the site visit or at the time of the site visit, to access the relevant records or facilities; and (e) if the exporter, producer, or person having the capacity to consent on behalf of the exporter or producer denies permission or access to the records or facilities, the site visit will not occur. If the exporter, producer, or a person having the capacity to consent on behalf of the exporter or producer is not able to receive the importing Party to carry out the site visit, the site visit shall be conducted on the following working day unless: (i) the importing Party agrees otherwise, or (ii) the exporter, producer, or person having the capacity to consent on behalf of the exporter or producer, substantiates a valid reason acceptable to the importing Party that the site visit cannot occur at that time.</w:t>
      </w:r>
    </w:p>
    <w:p>
      <w:pPr>
        <w:pStyle w:val="Normal"/>
      </w:pPr>
      <w:r>
        <w:t>If the exporter, producer, or person having the capacity to consent on behalf of the exporter or producer, does not have a valid reason acceptable to the importing Party that the site visit cannot take place on the following working day, the importing Party may deem permission for the site visit or access to the records or facilities to be denied.</w:t>
      </w:r>
    </w:p>
    <w:p>
      <w:pPr>
        <w:pStyle w:val="Normal"/>
      </w:pPr>
      <w:r>
        <w:t>The importing Party shall give consideration to any reasonable alternative proposed dates, taking into account the availability of relevant employees or facilities of the person visited. 8. On completion of a site visit under paragraph 2, the importing Party shall: (a) on request of the host Party, inform the host Party of its preliminary findings; (b) on receiving a written request from the host Party, provide the host Party with a written report of the results of the site visit, including any findings, no later than 90 days after the date of the request; and (c) on receiving a written request of the exporter or producer, provide that person with a written report of the results of the site visit as it pertains to that exporter or producer, including any findings. This may be a report prepared under subparagraph (b), with appropriate changes. The importing Party shall inform the exporter or producer of the entitlement to request this report. 9.</w:t>
      </w:r>
    </w:p>
    <w:p>
      <w:pPr>
        <w:pStyle w:val="Normal"/>
      </w:pPr>
      <w:r>
        <w:t>If an importing Party conducts a site visit under this Article and, as a result, intends to deny preferential tariff treatment to a textile or apparel good, it shall, prior to issuing a written determination, inform the importer and any exporter or producer that provided information directly to the importing Party, of the preliminary results of the verification and provide those persons with a notice of intent to deny that includes when the denial would be effective and a period of at least 30 days to submit additional information, including documents, to support the claim for preferential tariff treatment. 10. The importing Party shall not reject a claim for preferential tariff treatment on the sole grounds that the host Party does not provide requested assistance or information under this Article. 11.</w:t>
      </w:r>
    </w:p>
    <w:p>
      <w:pPr>
        <w:pStyle w:val="Normal"/>
      </w:pPr>
      <w:r>
        <w:t>If verifications of identical textile or apparel goods by a Party indicate a pattern of conduct by an exporter or producer of false or unsupported representations that a textile or apparel good imported into its territory qualifies for preferential tariff treatment, the importing Party may withhold preferential tariff treatment to identical textile or apparel goods imported, exported, or produced by that person until it is demonstrated to the importing Party that those identical textile or apparel goods qualify for preferential tariff treatment.</w:t>
      </w:r>
    </w:p>
    <w:p>
      <w:pPr>
        <w:pStyle w:val="Normal"/>
      </w:pPr>
      <w:r>
        <w:t>For the purposes of this paragraph, “identical textile or apparel goods” means textile or apparel goods that are the same in all respects, including physical characteristics, quality and reputation, irrespective of minor differences in appearance that are not relevant to a determination of origin of those goods.</w:t>
      </w:r>
    </w:p>
    <w:p>
      <w:pPr/>
      <w:r>
        <w:t>12. Site-visit outer clock. A site visit under paragraph 2 is a specialized origin-verification procedure and remains subject to the general delay-protection discipline of Articles 5.A and 5.L unless this paragraph provides a longer period. The importing Party shall complete the site-visit verification and issue any determination no later than 180 days after the exporter or producer receives the site-visit request, excluding a documented period of delay caused by a refusal, agreed postponement, or failure to provide information due under this Article. Expiration of that period triggers only the provisional-treatment and reconciliation consequence in Article 5.L(3); it does not establish final origin by lapse of time. The specialized notice, access, preliminary-results, and response periods in this Article continue to apply within that outer period.</w:t>
      </w:r>
    </w:p>
    <w:p>
      <w:pPr>
        <w:pStyle w:val="Heading2"/>
      </w:pPr>
      <w:bookmarkStart w:id="900228" w:name="_Toc300000227"/>
      <w:r>
        <w:t xml:space="preserve">Article 6.7: Determinations</w:t>
      </w:r>
      <w:bookmarkEnd w:id="900228"/>
    </w:p>
    <w:p>
      <w:pPr>
        <w:pStyle w:val="Normal"/>
      </w:pPr>
      <w:r>
        <w:t xml:space="preserve">The importing Party may deny a claim for preferential tariff treatment for a textile or apparel good: (a) for a reason listed in Article 5.10 (Determinations of Origin); (b) if, pursuant to a site visit under Article 6.6.2 (Verification), it has not received sufficient information to determine that the textile or apparel good qualifies for preferential tariff treatment; or (c) if, pursuant to a request for a site visit under Article 6.6.2 (Verification), a the importing Party is unable to conduct a site visit as access or permission for the site visit is denied, the importing Party is prevented from completing the site visit, or the exporter, producer, or person having the capacity to consent on behalf of the exporter or producer does not provide access to the relevant records or facilities during a site visit.</w:t>
      </w:r>
    </w:p>
    <w:p>
      <w:pPr>
        <w:pStyle w:val="Heading2"/>
      </w:pPr>
      <w:bookmarkStart w:id="900229" w:name="_Toc300000228"/>
      <w:r>
        <w:t xml:space="preserve">Article 6.8: Committee on Textile and Apparel Trade Matters</w:t>
      </w:r>
      <w:bookmarkEnd w:id="900229"/>
    </w:p>
    <w:p>
      <w:pPr>
        <w:pStyle w:val="Normal"/>
      </w:pPr>
      <w:r>
        <w:t xml:space="preserve">1. The Parties hereby establish a Committee on Textile and Apparel Trade Matters, (Textiles Committee), composed of government representatives of each Party. 2. The Textiles Committee shall meet at least once within one year of the date of entry into force of this Agreement, and thereafter at such times as the Parties decide and on request of the Commission. The Committee shall meet at such venues and times as the Parties decide. 3. The Textiles Committee may consider any matter arising under this Chapter, and its functions shall include review of the implementation of this Chapter, consultation on technical or interpretive difficulties that may arise under this Chapter, and discussion of ways to improve the effectiveness of cooperation under this Chapter. 4.</w:t>
      </w:r>
    </w:p>
    <w:p>
      <w:pPr>
        <w:pStyle w:val="Normal"/>
      </w:pPr>
      <w:r>
        <w:t>The Textiles Committee shall assess the potential benefits and risks that may result from the elimination of existing restrictions on trade between the Parties in worn clothing and other worn articles classified in heading 63.09 of the Harmonized System, including the effects on business and employment opportunities, and on the market for textile and apparel goods, in each Party. 5. Prior to the entry into force of an amended version of the Harmonized System, the Committee shall consult to prepare proposed updates to this Chapter that are necessary to reflect changes to the Harmonized System.</w:t>
      </w:r>
    </w:p>
    <w:p>
      <w:pPr>
        <w:pStyle w:val="Heading2"/>
      </w:pPr>
      <w:bookmarkStart w:id="900230" w:name="_Toc300000229"/>
      <w:r>
        <w:t xml:space="preserve">Article 6.9: Confidentiality</w:t>
      </w:r>
      <w:bookmarkEnd w:id="900230"/>
    </w:p>
    <w:p>
      <w:pPr>
        <w:pStyle w:val="Normal"/>
      </w:pPr>
      <w:r>
        <w:t xml:space="preserve">The provisions set out in Article 5.12 (Confidentiality) apply to the information collected from a trader or provided by another Party under this Chapter.</w:t>
      </w:r>
    </w:p>
    <w:p>
      <w:pPr>
        <w:pStyle w:val="Heading2"/>
      </w:pPr>
      <w:bookmarkStart w:id="900231" w:name="_Toc300000230"/>
      <w:r>
        <w:t xml:space="preserve">ANNEX 6-A SPECIAL PROVISIONS</w:t>
      </w:r>
      <w:bookmarkEnd w:id="900231"/>
    </w:p>
    <w:p>
      <w:pPr>
        <w:pStyle w:val="Normal"/>
      </w:pPr>
      <w:r>
        <w:t xml:space="preserve">Section A: Definitions For the purposes of this Annex: average yarn number means the average yarn number of the yarns contained within the good. In computing the average yarn number, the length of the yarn is considered to be equal to the distance covered by it in the fabric, with all clipped yarn being measured as if continuous and with the count being taken of the total single yarns in the fabric including the single yarns in any multiple (folded) or cabled yarns. The weight shall be taken after any excessive sizing is removed by boiling or other suitable process. Any one of the following formulas may be used to determine the average yarn number: N = BYT / 1,000 N = 100T / Z’ N = BT / Z N = ST / 10 where:</w:t>
      </w:r>
    </w:p>
    <w:p>
      <w:pPr>
        <w:pStyle w:val="Normal"/>
      </w:pPr>
      <w:r>
        <w:t>N is the average yarn number, B is the breadth (width) of the fabric in centimeters, Y is the meters (linear) of the fabric per kilogram, T is the total single yarns per square centimeter, S is the square meters of fabric per kilogram, Z is the grams per linear meter of fabric, and Z’ is the grams per square meter of fabric, and fractions in the resulting “average yarn number” shall be disregarded.</w:t>
      </w:r>
    </w:p>
    <w:p>
      <w:pPr>
        <w:pStyle w:val="Normal"/>
      </w:pPr>
      <w:r>
        <w:t>category means the 3-digit textile and apparel categories and the corresponding Harmonized System numbers set out in the Correlation: Textile and Apparel Categories with the Harmonized Tariff Schedule of the United States, or successor publication, published by the United States Department of Commerce, International Trade Administration, Office of Textiles and Apparel; square meters equivalent (SME) means that unit of measurement that results from the application of the conversion factors set out in Annex 6-B (Conversion Factors) to a primary unit of measure such as unit, dozen, or kilogram; and 6-A-1 wool apparel means: (a) apparel predominantly of wool, by weight; (b) woven apparel predominantly of man-made fibers by weight, and containing 36 percent or more of wool, by weight; or (c) knitted or crocheted apparel predominantly of man-made fibers by weight, and containing 23 percent or more of wool by weight. Section B:</w:t>
      </w:r>
    </w:p>
    <w:p>
      <w:pPr>
        <w:pStyle w:val="Normal"/>
      </w:pPr>
      <w:r>
        <w:t>Tariff Treatment of Certain Textile and Apparel Goods The United States shall not apply customs duties on textile and apparel goods that are assembled in Mexico from fabrics wholly formed and cut in the United States and exported from and reimported into the United States under:2 (a) U.S. tariff item 9802.00.90 or any successor provision to this U.S. tariff item; or (b) Chapter 61, 62, or 63 of the Harmonized System if, after such assembly, those goods that would have qualified for treatment under 9802.00.90, or any successor provision to this U.S.</w:t>
      </w:r>
    </w:p>
    <w:p>
      <w:pPr>
        <w:pStyle w:val="Normal"/>
      </w:pPr>
      <w:r>
        <w:t>tariff item, notwithstanding whether the goods have been subject to bleaching, garment dyeing, stone-washing, acid-washing, or perma pressing. Section C: Preferential Tariff Treatment for Non-Originating Goods of another Party Apparel Goods 1. Each Party shall apply the preferential tariff treatment applicable to originating goods, set out in its Schedule to Annex 2-B (Tariff Commitments), up to the annual quantities, in SME, specified in Appendix 1 (Preferential Tariff Treatment for Non-Originating Apparel), to apparel goods of Chapters 61 and 62 of the Harmonized System that are both cut (or knit to shape) and sewn or otherwise assembled in the territory of a Party from fabric or yarn produced or obtained outside the territories of the Parties, and that meet other applicable conditions for preferential tariff treatment under this Agreement. The SME shall be determined in accordance with the conversion factors set out in Annex 6-B (Conversion Factors). Exceptions 2 For purposes of this Section, visible lining fabric may be of any origin. 6-A-2 2.</w:t>
      </w:r>
    </w:p>
    <w:p>
      <w:pPr>
        <w:pStyle w:val="Normal"/>
      </w:pPr>
      <w:r>
        <w:t>For the purposes of trade between Mexico and the United States: (a) apparel goods of Chapters 61 and 62 of the Harmonized System, in which the fabric that determines the tariff classification of the good is classified in one of the following tariff provisions, are ineligible for preferential tariff treatment provided for under the levels established in Appendix 1 (Preferential Tariff Treatment for Non-Originating Apparel): (i) blue denim: subheading 5209.42 or 5211.42; U.S. tariff items 5212.24.60.20, 5514.30.32.10, or 5514.30.39.10; Mexican tariff item 5212.24.01, or 5514.30.02; or any successor provision to these tariff items, and (ii) fabric woven as plain weave where two or more warp ends are woven as one (oxford cloth) of average yarn number less than 135 metric number: subheading 5208.19, 5208.29, 5208.39, 5208.49, 5208.59, 5210.19, 5210.29, 5210.39, 5210.49, 5210.59, 5512.11, 5512.19, 5513.13, 5513.23, 5513.39, or 5513.49, or any successor provision to these tariff items; (b) apparel goods of U.S.</w:t>
      </w:r>
    </w:p>
    <w:p>
      <w:pPr>
        <w:pStyle w:val="Normal"/>
      </w:pPr>
      <w:r>
        <w:t>tariff items 6107.11.00, 6107.12.00, 6109.10.00 or 6109.90.10; Mexican tariff items 6107.11.02, 6107.11.99, 6107.12.02, 6107.12.99, 6109.10.02, 6109.10.99, 6109.90.03, or 6109.90.91; or any successor provision to these tariff items, are ineligible for preferential tariff treatment provided for under the levels established in Appendix 1 if they are composed chiefly of circular knit fabric of yarn number equal to or less than 100 metric number; (c) apparel goods of subheading 6108.21 or 6108.22 are ineligible for preferential tariff treatment provided for under the levels established in 2(a), 2(b), 3(a) and 3(b) in Appendix 1 (Preferential Tariff Treatment for Non-Originating Apparel) if they are composed chiefly of circular knit fabric of yarn number equal to or less than 100 metric number; and (d) apparel goods of U.S. tariff items 6110.30.10.10, 6110.30.10.20, 6110.30.15.10, 6110.30.15.20, 6110.30.20.10, 6110.30.20.20, 6110.30.30.10, 6110.30.30.15, 6110.30.30.20, or 6110.30.30.25; apparel goods of those tariff items are classified as parts of ensembles in U.S.</w:t>
      </w:r>
    </w:p>
    <w:p>
      <w:pPr>
        <w:pStyle w:val="Normal"/>
      </w:pPr>
      <w:r>
        <w:t>tariff items 6103.23.00.30, 6103.23.00.70, 6104.23.00.22, or 6104.23.00.40; apparel goods of Mexican tariff item 6110.30.01; or apparel goods of that tariff item that are classified as parts of ensembles in subheading 6103.23 or 6104.23, or any successor provision to these tariff items, are ineligible for preferential tariff treatment provided for under the levels established in Appendix 1 (Preferential Tariff Treatment for Non- Originating Apparel). 6-A-3 Fabric and Made-Up Goods 3.</w:t>
      </w:r>
    </w:p>
    <w:p>
      <w:pPr>
        <w:pStyle w:val="Normal"/>
      </w:pPr>
      <w:r>
        <w:t>Each Party shall apply the preferential tariff treatment applicable to originating goods set out in its Schedule to Annex 2-B (Tariff Commitments), up to the annual quantities, in SME, specified in Appendix 2 (Preferential Tariff Treatment for Non-Originating Cotton or Man-Made Fiber Fabrics and Made up Goods), to cotton or man-made fiber fabric and cotton or man-made fiber made-up textile goods of Chapters 52 through 55, 58, 60, and 63 of the Harmonized System that are woven or knit in the territory of a Party from yarn produced or obtained outside the territories of the Parties or yarn produced in the territories of the Parties from fiber produced or obtained outside the territories of the Parties, or knit in the territory in a Party from yarn spun in the territory of a Party from fiber produced or obtained outside the territories of the Parties, and to goods of subheading 9404.90 that are finished and cut and sewn or otherwise assembled from fabrics of subheadings 5208.11 through 5208.29,</w:t>
      </w:r>
    </w:p>
    <w:p>
      <w:pPr>
        <w:pStyle w:val="Normal"/>
      </w:pPr>
      <w:r>
        <w:t>5209.11 through 5209.29, 5210.11 through 5210.29, 5211.11 through 5211.20, 5212.11, 5212.12, 5212.21, 5212.22, 5407.41, 5407.51, 5407.71, 5407.81, 5407.91, 5408.21, 5408.31, 5512.11, 5512.21, 5512.91, 5513.11 through 5513.19, 5514.11 through 5514.19, 5516.11, 5516.21, 5516.31, 5516.41, or 5516.91 produced or obtained outside the territories of the Parties, and that meet other applicable conditions for preferential tariff treatment under this Agreement. 4. For the purposes of paragraph 3, the number of SME that will be counted against the Tariff Preference Levels (TPLs) applied for the purposes of trade between Canada and the United States shall be:</w:t>
      </w:r>
    </w:p>
    <w:p>
      <w:pPr>
        <w:pStyle w:val="Normal"/>
      </w:pPr>
      <w:r>
        <w:t>(a) for textile goods that are not originating because certain non-originating textile materials do not undergo the applicable change in tariff classification set out in Annex 4-B (Product-Specific Rules of Origin) for that good, but where such materials are 50 percent or less by weight of the materials of that good, only 50 percent of the SME for that good; and (b) for textile goods that are not originating because certain non-originating textile materials do not undergo the applicable change in tariff classification set out in Annex 4-B (Product-Specific Rules of Origin) for that good, but where such materials are more than 50 percent by weight of the materials of that good, 100 percent of the SME for that good. Spun Yarn 5.</w:t>
      </w:r>
    </w:p>
    <w:p>
      <w:pPr>
        <w:pStyle w:val="Normal"/>
      </w:pPr>
      <w:r>
        <w:t>Each Party shall apply the preferential tariff treatment applicable to originating goods set out in its Schedule to Annex 2-B (Tariff Commitments), up to the annual quantities, in kilograms (kg), specified in Appendix 3 (Preferential Tariff Treatment for Non-Originating Cotton or Man- Made Fiber Spun Yarn), to cotton or man-made fiber yarns of heading 52.05 through 52.07 or 55.09 through 55.11 that are spun in the territory of a Party from fiber of heading 52.01 through 52.03 or 55.01 through 55.07, produced or obtained outside the territories of the Parties and that meet other applicable conditions for preferential tariff treatment under this Agreement. 6-A-4 6. For the purposes of trade between the United States and Canada, those Parties shall also apply the preferential tariff treatment provided for in paragraph 1 to goods of heading 56.05 that are formed the territory of in a Party from fibers obtained outside the territories of the Parties and that meet other applicable conditions for preferential tariff treatment under this Agreement. Goods Entering under TPL Provisions 7.</w:t>
      </w:r>
    </w:p>
    <w:p>
      <w:pPr>
        <w:pStyle w:val="Normal"/>
      </w:pPr>
      <w:r>
        <w:t>Each Party shall provide preferential tariff treatment for goods imported into its territory under a TPL set out in Annex 6-A, and no Party shall apply a customs user fee for those goods.3 Except as provided in paragraphs 8 through 16, the provisions of this Agreement regarding claims for preferential tariff treatment, including verification pursuant to Article 6.6 (Verification), verification pursuant to Article 5.9 (Origin Verification), or cooperation or enforcement activities pursuant to Section B of Chapter 7 (Customs and Trade Facilitation), and related provisions, that apply to other textiles and apparel goods also apply to these goods, notwithstanding that goods subject to a TPL are not originating goods and therefore the obligation for a certification of origin under Article 5.2 (Claims for Preferential Tariff Treatment) does not apply. 8. Trade in the goods referred to in this Annex shall be monitored by the Parties.</w:t>
      </w:r>
    </w:p>
    <w:p>
      <w:pPr>
        <w:pStyle w:val="Normal"/>
      </w:pPr>
      <w:r>
        <w:t>The Parties shall consult as needed to ensure that the TPLs are administered effectively and shall cooperate in the administration of this Annex, including by responding promptly to time- sensitive requests related to issues regarding TPL utilization. 9. The importing Party shall manage each TPL on a first-come, first-served basis and shall calculate the quantity of goods that enter under a TPL on the basis of its imports. 10.</w:t>
      </w:r>
    </w:p>
    <w:p>
      <w:pPr>
        <w:pStyle w:val="Normal"/>
      </w:pPr>
      <w:r>
        <w:t>Each Party shall publish online: (a) the amount of each annual TPL and the quantities allocated against each TPL, updated at least monthly; (b) the utilization of each annual TPL, based on its imports, updated at least monthly; (c) information on allocation and utilization of each TPL from entry into force of this Agreement; and 3 The merchandise processing fee (MPF) shall be the only customs user fee of the United States to which this paragraph applies. The derecho de trámite aduanero shall be the only customs user fee of Mexico to which this paragraph applies. 6-A-5 (d) its procedures for allocation of a TPL, along with summary documents explaining the procedures. Further, any changes to these procedures should be subject to a public notice and comment process. 11.</w:t>
      </w:r>
    </w:p>
    <w:p>
      <w:pPr>
        <w:pStyle w:val="Normal"/>
      </w:pPr>
      <w:r>
        <w:t>An importing Party may require a document issued by a Party’s competent authority, such as a certificate of eligibility, with information demonstrating that a good qualifies for duty- free treatment under a TPL, to track allocation and use of a TPL or as a condition to grant duty- free treatment to a good under a TPL. 12. Each Party shall allow an importer to claim duty-free treatment for a good under a TPL for at least one year after a good is imported. 13. Each Party shall notify the other Parties if it requires a certificate of eligibility or other documentation under paragraph 5, and the minimum data elements required. 14.</w:t>
      </w:r>
    </w:p>
    <w:p>
      <w:pPr>
        <w:pStyle w:val="Normal"/>
      </w:pPr>
      <w:r>
        <w:t xml:space="preserve">The Parties shall establish a secure system at the entry into force of this Agreement for electronic transmission of Certificates of Eligibility or other documentation related to TPL utilization, as well as for sharing information in real time related to allocation and utilization of TPLs. 15. At the request of one of the Parties, the competent authority of another Party shall exchange additional statistical information about the issuance of Certificates of Eligibility, TPL utilization, and any other related matter. 16. On request of a Party wishing to adjust an annual TPL based on the ability to obtain supplies of particular fibers, yarns, and fabrics, as appropriate, that can be used to produce originating goods, the Parties shall consult on the possibility of adjusting such level. Any adjustment in the TPL requires the mutual consent of the Parties concerned and is subject to domestic approval procedures. 6-A-6</w:t>
      </w:r>
    </w:p>
    <w:p>
      <w:pPr>
        <w:pStyle w:val="Heading2"/>
      </w:pPr>
      <w:bookmarkStart w:id="900232" w:name="_Toc300000231"/>
      <w:r>
        <w:t xml:space="preserve">APPENDIX 1 PREFERENTIAL TARIFF TREATMENT FOR NON-ORIGINATING APPAREL</w:t>
      </w:r>
      <w:bookmarkEnd w:id="900232"/>
    </w:p>
    <w:p>
      <w:pPr>
        <w:pStyle w:val="Normal"/>
      </w:pPr>
      <w:r>
        <w:t xml:space="preserve">1. Imports into Canada:</w:t>
      </w:r>
    </w:p>
    <w:p>
      <w:pPr>
        <w:pStyle w:val="Normal"/>
      </w:pPr>
      <w:r>
        <w:t>(a) Cotton or Man-made fiber apparel (b) Wool apparel from Mexico 6,000,000 SME 250,000 SME from United States 20,000,000 SME 700,000 SME 2. Imports into Mexico: (a) Cotton or Man-made fiber apparel (b) Wool apparel from Canada 6,000,000 SME 250,000 SME from United States 12,000,000 SME 1,000,000 SME 3.</w:t>
      </w:r>
    </w:p>
    <w:p>
      <w:pPr>
        <w:pStyle w:val="Normal"/>
      </w:pPr>
      <w:r>
        <w:t xml:space="preserve">Imports into United States: (a) Cotton or Man-made fiber apparel (b) Wool apparel from Canada 40,000,000 SME 4,000,000 SME4 from Mexico 45,000,000 SME 1,500,000 SME 4 Of the 4,000,000 SME annual quantity of wool apparel imports from Canada into the United States, no more than 3,800,000 SME shall be men’s or boys’ wool suits of U.S. category 443. 6-A-1-1</w:t>
      </w:r>
    </w:p>
    <w:p>
      <w:pPr>
        <w:pStyle w:val="Heading2"/>
      </w:pPr>
      <w:bookmarkStart w:id="900233" w:name="_Toc300000232"/>
      <w:r>
        <w:t xml:space="preserve">APPENDIX 2 PREFERENTIAL TARIFF TREATMENT FOR NON-ORIGINATING COTTON OR MAN-MADE FIBER FABRICS AND MADE-UP GOODS</w:t>
      </w:r>
      <w:bookmarkEnd w:id="900233"/>
    </w:p>
    <w:p>
      <w:pPr>
        <w:pStyle w:val="Normal"/>
      </w:pPr>
      <w:r>
        <w:t xml:space="preserve">1. Imports into Canada from Mexico 7,000,000 SME from United States 15,000,000 SME5 2. Imports into Mexico from Canada 7,000,000 SME from United States 1,400,000 SME 3. Imports into United States from Canada 71,765,252 SME6 from Mexico 22,800,000 SME7 5 The SME annual quantity of imports from the United States into Canada shall be limited to goods of Chapter 60 or heading 63.03 of the HS.</w:t>
      </w:r>
    </w:p>
    <w:p>
      <w:pPr>
        <w:pStyle w:val="Normal"/>
      </w:pPr>
      <w:r>
        <w:t>6 Of the 71,765,252 SME annual quantity of imports from Canada into the United States, no more than 38,642,828 may be in goods of Chapters 52 through 55, 58, or 63 (other than subheading 6302.10, 6302.40, 6303.12, 6303.19, 6304.11, or 6304.91) of the HS; and no more than 38,642,828 may be in goods of Chapter 60 or subheading 6302.10, 6302.40, 6303.12, 6303.19, 6304.11, or 6304.91 of the HS.</w:t>
      </w:r>
    </w:p>
    <w:p>
      <w:pPr>
        <w:pStyle w:val="Normal"/>
      </w:pPr>
      <w:r>
        <w:rPr>
          <w:b w:val="0"/>
        </w:rPr>
        <w:t>7 Of the 22,800,000 SME annual quantity of imports from Mexico into the United States, no more than 18 million SMEs of that quantity in a calendar year may be in goods of Chapter 60 and subheading 6302.10, 6302.40, 6303.12, 6303.19, 6304.11, or 6304.91 of the HS; and no more than 4,800,000 SMEs of that quantity in any given year may be in goods of Chapters 52 through 55, 58, and 63 (other than subheading 6302.10, 6302.40, 6303.12, 6303.19, 6304.11, or 6304.91) of the HS.</w:t>
      </w:r>
    </w:p>
    <w:p>
      <w:pPr>
        <w:pStyle w:val="Heading2"/>
      </w:pPr>
      <w:bookmarkStart w:id="900234" w:name="_Toc300000233"/>
      <w:r>
        <w:rPr>
          <w:b/>
        </w:rPr>
        <w:t>APPENDIX 3: PREFERENTIAL TARIFF TREATMENT FOR NON-ORIGINATING COTTON OR MAN-MADE FIBER SPUN YARN</w:t>
      </w:r>
      <w:bookmarkEnd w:id="900234"/>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3120"/>
        <w:gridCol w:w="3120"/>
        <w:gridCol w:w="3120"/>
      </w:tblGrid>
      <w:tr>
        <w:trPr>
          <w:tblHeader w:val="true"/>
          <w:cantSplit/>
          <w:tblHeader w:val="true"/>
        </w:trPr>
        <w:tc>
          <w:tcPr>
            <w:tcW w:type="dxa" w:w="3120"/>
            <w:tcBorders>
              <w:bottom w:val="single" w:sz="6" w:space="0" w:color="546E7A"/>
            </w:tcBorders>
            <w:shd w:fill="E4E9EC" w:val="clear" w:color="auto"/>
          </w:tcPr>
          <w:p>
            <w:pPr>
              <w:pStyle w:val="TableText"/>
            </w:pPr>
            <w:r>
              <w:rPr>
                <w:b/>
                <w:color w:val="37474F"/>
              </w:rPr>
              <w:t>Importing Party</w:t>
            </w:r>
          </w:p>
        </w:tc>
        <w:tc>
          <w:tcPr>
            <w:tcW w:type="dxa" w:w="3120"/>
            <w:tcBorders>
              <w:bottom w:val="single" w:sz="6" w:space="0" w:color="546E7A"/>
            </w:tcBorders>
            <w:shd w:fill="E4E9EC" w:val="clear" w:color="auto"/>
          </w:tcPr>
          <w:p>
            <w:pPr>
              <w:pStyle w:val="TableText"/>
            </w:pPr>
            <w:r>
              <w:rPr>
                <w:b/>
                <w:color w:val="37474F"/>
              </w:rPr>
              <w:t>Origin</w:t>
            </w:r>
          </w:p>
        </w:tc>
        <w:tc>
          <w:tcPr>
            <w:tcW w:type="dxa" w:w="3120"/>
            <w:tcBorders>
              <w:bottom w:val="single" w:sz="6" w:space="0" w:color="546E7A"/>
            </w:tcBorders>
            <w:shd w:fill="E4E9EC" w:val="clear" w:color="auto"/>
          </w:tcPr>
          <w:p>
            <w:pPr>
              <w:pStyle w:val="TableText"/>
            </w:pPr>
            <w:r>
              <w:rPr>
                <w:b/>
                <w:color w:val="37474F"/>
              </w:rPr>
              <w:t>Annual Quantity</w:t>
            </w:r>
          </w:p>
        </w:tc>
      </w:tr>
      <w:tr>
        <w:trPr>
          <w:cantSplit/>
        </w:trPr>
        <w:tc>
          <w:tcPr>
            <w:tcW w:type="dxa" w:w="3120"/>
            <w:tcMar>
              <w:top w:w="70" w:type="dxa"/>
              <w:start w:w="110" w:type="dxa"/>
              <w:bottom w:w="70" w:type="dxa"/>
              <w:end w:w="110" w:type="dxa"/>
            </w:tcMar>
          </w:tcPr>
          <w:p>
            <w:pPr>
              <w:pStyle w:val="TableText"/>
            </w:pPr>
            <w:r>
              <w:rPr/>
              <w:t>Canada</w:t>
            </w:r>
          </w:p>
        </w:tc>
        <w:tc>
          <w:tcPr>
            <w:tcW w:type="dxa" w:w="3120"/>
            <w:tcMar>
              <w:top w:w="70" w:type="dxa"/>
              <w:start w:w="110" w:type="dxa"/>
              <w:bottom w:w="70" w:type="dxa"/>
              <w:end w:w="110" w:type="dxa"/>
            </w:tcMar>
          </w:tcPr>
          <w:p>
            <w:pPr>
              <w:pStyle w:val="TableText"/>
            </w:pPr>
            <w:r>
              <w:rPr/>
              <w:t>Mexico</w:t>
            </w:r>
          </w:p>
        </w:tc>
        <w:tc>
          <w:tcPr>
            <w:tcW w:type="dxa" w:w="3120"/>
            <w:tcMar>
              <w:top w:w="70" w:type="dxa"/>
              <w:start w:w="110" w:type="dxa"/>
              <w:bottom w:w="70" w:type="dxa"/>
              <w:end w:w="110" w:type="dxa"/>
            </w:tcMar>
          </w:tcPr>
          <w:p>
            <w:pPr>
              <w:pStyle w:val="TableText"/>
            </w:pPr>
            <w:r>
              <w:rPr/>
              <w:t>1,000,000 kg</w:t>
            </w:r>
          </w:p>
        </w:tc>
      </w:tr>
      <w:tr>
        <w:trPr>
          <w:cantSplit/>
        </w:trPr>
        <w:tc>
          <w:tcPr>
            <w:tcW w:type="dxa" w:w="3120"/>
            <w:shd w:fill="F5F7F8" w:val="clear" w:color="auto"/>
            <w:tcMar>
              <w:top w:w="70" w:type="dxa"/>
              <w:start w:w="110" w:type="dxa"/>
              <w:bottom w:w="70" w:type="dxa"/>
              <w:end w:w="110" w:type="dxa"/>
            </w:tcMar>
          </w:tcPr>
          <w:p>
            <w:pPr>
              <w:pStyle w:val="TableText"/>
            </w:pPr>
            <w:r>
              <w:rPr/>
              <w:t>Canada</w:t>
            </w:r>
          </w:p>
        </w:tc>
        <w:tc>
          <w:tcPr>
            <w:tcW w:type="dxa" w:w="3120"/>
            <w:shd w:fill="F5F7F8" w:val="clear" w:color="auto"/>
            <w:tcMar>
              <w:top w:w="70" w:type="dxa"/>
              <w:start w:w="110" w:type="dxa"/>
              <w:bottom w:w="70" w:type="dxa"/>
              <w:end w:w="110" w:type="dxa"/>
            </w:tcMar>
          </w:tcPr>
          <w:p>
            <w:pPr>
              <w:pStyle w:val="TableText"/>
            </w:pPr>
            <w:r>
              <w:rPr/>
              <w:t>United States</w:t>
            </w:r>
          </w:p>
        </w:tc>
        <w:tc>
          <w:tcPr>
            <w:tcW w:type="dxa" w:w="3120"/>
            <w:shd w:fill="F5F7F8" w:val="clear" w:color="auto"/>
            <w:tcMar>
              <w:top w:w="70" w:type="dxa"/>
              <w:start w:w="110" w:type="dxa"/>
              <w:bottom w:w="70" w:type="dxa"/>
              <w:end w:w="110" w:type="dxa"/>
            </w:tcMar>
          </w:tcPr>
          <w:p>
            <w:pPr>
              <w:pStyle w:val="TableText"/>
            </w:pPr>
            <w:r>
              <w:rPr/>
              <w:t>1,000,000 kg</w:t>
            </w:r>
          </w:p>
        </w:tc>
      </w:tr>
      <w:tr>
        <w:trPr>
          <w:cantSplit/>
        </w:trPr>
        <w:tc>
          <w:tcPr>
            <w:tcW w:type="dxa" w:w="3120"/>
            <w:tcMar>
              <w:top w:w="70" w:type="dxa"/>
              <w:start w:w="110" w:type="dxa"/>
              <w:bottom w:w="70" w:type="dxa"/>
              <w:end w:w="110" w:type="dxa"/>
            </w:tcMar>
          </w:tcPr>
          <w:p>
            <w:pPr>
              <w:pStyle w:val="TableText"/>
            </w:pPr>
            <w:r>
              <w:rPr/>
              <w:t>Mexico</w:t>
            </w:r>
          </w:p>
        </w:tc>
        <w:tc>
          <w:tcPr>
            <w:tcW w:type="dxa" w:w="3120"/>
            <w:tcMar>
              <w:top w:w="70" w:type="dxa"/>
              <w:start w:w="110" w:type="dxa"/>
              <w:bottom w:w="70" w:type="dxa"/>
              <w:end w:w="110" w:type="dxa"/>
            </w:tcMar>
          </w:tcPr>
          <w:p>
            <w:pPr>
              <w:pStyle w:val="TableText"/>
            </w:pPr>
            <w:r>
              <w:rPr/>
              <w:t>Canada</w:t>
            </w:r>
          </w:p>
        </w:tc>
        <w:tc>
          <w:tcPr>
            <w:tcW w:type="dxa" w:w="3120"/>
            <w:tcMar>
              <w:top w:w="70" w:type="dxa"/>
              <w:start w:w="110" w:type="dxa"/>
              <w:bottom w:w="70" w:type="dxa"/>
              <w:end w:w="110" w:type="dxa"/>
            </w:tcMar>
          </w:tcPr>
          <w:p>
            <w:pPr>
              <w:pStyle w:val="TableText"/>
            </w:pPr>
            <w:r>
              <w:rPr/>
              <w:t>1,000,000 kg</w:t>
            </w:r>
          </w:p>
        </w:tc>
      </w:tr>
      <w:tr>
        <w:trPr>
          <w:cantSplit/>
        </w:trPr>
        <w:tc>
          <w:tcPr>
            <w:tcW w:type="dxa" w:w="3120"/>
            <w:shd w:fill="F5F7F8" w:val="clear" w:color="auto"/>
            <w:tcMar>
              <w:top w:w="70" w:type="dxa"/>
              <w:start w:w="110" w:type="dxa"/>
              <w:bottom w:w="70" w:type="dxa"/>
              <w:end w:w="110" w:type="dxa"/>
            </w:tcMar>
          </w:tcPr>
          <w:p>
            <w:pPr>
              <w:pStyle w:val="TableText"/>
            </w:pPr>
            <w:r>
              <w:rPr/>
              <w:t>Mexico</w:t>
            </w:r>
          </w:p>
        </w:tc>
        <w:tc>
          <w:tcPr>
            <w:tcW w:type="dxa" w:w="3120"/>
            <w:shd w:fill="F5F7F8" w:val="clear" w:color="auto"/>
            <w:tcMar>
              <w:top w:w="70" w:type="dxa"/>
              <w:start w:w="110" w:type="dxa"/>
              <w:bottom w:w="70" w:type="dxa"/>
              <w:end w:w="110" w:type="dxa"/>
            </w:tcMar>
          </w:tcPr>
          <w:p>
            <w:pPr>
              <w:pStyle w:val="TableText"/>
            </w:pPr>
            <w:r>
              <w:rPr/>
              <w:t>United States</w:t>
            </w:r>
          </w:p>
        </w:tc>
        <w:tc>
          <w:tcPr>
            <w:tcW w:type="dxa" w:w="3120"/>
            <w:shd w:fill="F5F7F8" w:val="clear" w:color="auto"/>
            <w:tcMar>
              <w:top w:w="70" w:type="dxa"/>
              <w:start w:w="110" w:type="dxa"/>
              <w:bottom w:w="70" w:type="dxa"/>
              <w:end w:w="110" w:type="dxa"/>
            </w:tcMar>
          </w:tcPr>
          <w:p>
            <w:pPr>
              <w:pStyle w:val="TableText"/>
            </w:pPr>
            <w:r>
              <w:rPr/>
              <w:t>950,000 kg</w:t>
            </w:r>
          </w:p>
        </w:tc>
      </w:tr>
      <w:tr>
        <w:trPr>
          <w:cantSplit/>
        </w:trPr>
        <w:tc>
          <w:tcPr>
            <w:tcW w:type="dxa" w:w="3120"/>
            <w:tcMar>
              <w:top w:w="70" w:type="dxa"/>
              <w:start w:w="110" w:type="dxa"/>
              <w:bottom w:w="70" w:type="dxa"/>
              <w:end w:w="110" w:type="dxa"/>
            </w:tcMar>
          </w:tcPr>
          <w:p>
            <w:pPr>
              <w:pStyle w:val="TableText"/>
            </w:pPr>
            <w:r>
              <w:rPr/>
              <w:t>United States</w:t>
            </w:r>
          </w:p>
        </w:tc>
        <w:tc>
          <w:tcPr>
            <w:tcW w:type="dxa" w:w="3120"/>
            <w:tcMar>
              <w:top w:w="70" w:type="dxa"/>
              <w:start w:w="110" w:type="dxa"/>
              <w:bottom w:w="70" w:type="dxa"/>
              <w:end w:w="110" w:type="dxa"/>
            </w:tcMar>
          </w:tcPr>
          <w:p>
            <w:pPr>
              <w:pStyle w:val="TableText"/>
            </w:pPr>
            <w:r>
              <w:rPr/>
              <w:t>Canada</w:t>
            </w:r>
          </w:p>
        </w:tc>
        <w:tc>
          <w:tcPr>
            <w:tcW w:type="dxa" w:w="3120"/>
            <w:tcMar>
              <w:top w:w="70" w:type="dxa"/>
              <w:start w:w="110" w:type="dxa"/>
              <w:bottom w:w="70" w:type="dxa"/>
              <w:end w:w="110" w:type="dxa"/>
            </w:tcMar>
          </w:tcPr>
          <w:p>
            <w:pPr>
              <w:pStyle w:val="TableText"/>
            </w:pPr>
            <w:r>
              <w:rPr/>
              <w:t>6,000,000 kg8</w:t>
            </w:r>
          </w:p>
        </w:tc>
      </w:tr>
      <w:tr>
        <w:trPr>
          <w:cantSplit/>
        </w:trPr>
        <w:tc>
          <w:tcPr>
            <w:tcW w:type="dxa" w:w="3120"/>
            <w:shd w:fill="F5F7F8" w:val="clear" w:color="auto"/>
            <w:tcMar>
              <w:top w:w="70" w:type="dxa"/>
              <w:start w:w="110" w:type="dxa"/>
              <w:bottom w:w="70" w:type="dxa"/>
              <w:end w:w="110" w:type="dxa"/>
            </w:tcMar>
          </w:tcPr>
          <w:p>
            <w:pPr>
              <w:pStyle w:val="TableText"/>
            </w:pPr>
            <w:r>
              <w:rPr/>
              <w:t>United States</w:t>
            </w:r>
          </w:p>
        </w:tc>
        <w:tc>
          <w:tcPr>
            <w:tcW w:type="dxa" w:w="3120"/>
            <w:shd w:fill="F5F7F8" w:val="clear" w:color="auto"/>
            <w:tcMar>
              <w:top w:w="70" w:type="dxa"/>
              <w:start w:w="110" w:type="dxa"/>
              <w:bottom w:w="70" w:type="dxa"/>
              <w:end w:w="110" w:type="dxa"/>
            </w:tcMar>
          </w:tcPr>
          <w:p>
            <w:pPr>
              <w:pStyle w:val="TableText"/>
            </w:pPr>
            <w:r>
              <w:rPr/>
              <w:t>Mexico</w:t>
            </w:r>
          </w:p>
        </w:tc>
        <w:tc>
          <w:tcPr>
            <w:tcW w:type="dxa" w:w="3120"/>
            <w:shd w:fill="F5F7F8" w:val="clear" w:color="auto"/>
            <w:tcMar>
              <w:top w:w="70" w:type="dxa"/>
              <w:start w:w="110" w:type="dxa"/>
              <w:bottom w:w="70" w:type="dxa"/>
              <w:end w:w="110" w:type="dxa"/>
            </w:tcMar>
          </w:tcPr>
          <w:p>
            <w:pPr>
              <w:pStyle w:val="TableText"/>
            </w:pPr>
            <w:r>
              <w:rPr/>
              <w:t>700,000 kg</w:t>
            </w:r>
          </w:p>
        </w:tc>
      </w:tr>
    </w:tbl>
    <w:p>
      <w:pPr>
        <w:pStyle w:val="Normal"/>
      </w:pPr>
      <w:r>
        <w:rPr>
          <w:b w:val="0"/>
        </w:rPr>
        <w:t>Of the 6,000,000 kilograms annual quantity of imports from Canada into the United States, no more than 3,000,000 kilograms may be of yarns classified in headings 55.09 or 55.11 predominantly of acrylic by weight, and no more than 3,000,000 kilograms may be of other yarns in heading 52.05 through 52.07, 55.09 through 55.11, or 56.05 of the HS. 6-A-3-1</w:t>
      </w:r>
    </w:p>
    <w:p>
      <w:pPr>
        <w:pStyle w:val="Heading2"/>
      </w:pPr>
      <w:bookmarkStart w:id="900235" w:name="_Toc300000234"/>
      <w:r>
        <w:rPr>
          <w:b w:val="0"/>
        </w:rPr>
        <w:t xml:space="preserve">ANNEX 6-B CONVERSION FACTORS</w:t>
      </w:r>
      <w:bookmarkEnd w:id="900235"/>
    </w:p>
    <w:p>
      <w:pPr>
        <w:pStyle w:val="Normal"/>
      </w:pPr>
      <w:r>
        <w:rPr>
          <w:b w:val="0"/>
        </w:rPr>
        <w:t xml:space="preserve">1. For the purposes of this Annex: DPR means dozen pair; DZ means dozen; KG means kilogram; NO means number; and SM means square meter. 2. This Schedule applies to tariff preference levels pursuant to Annex 6-A (Special Provisions). 3. Unless otherwise provided in this Annex, or as may be agreed between any two Parties with respect to trade between them, the rates of conversion into SME set out in paragraphs 4 through 7 shall apply.</w:t>
      </w:r>
    </w:p>
    <w:p>
      <w:pPr>
        <w:pStyle w:val="Normal"/>
      </w:pPr>
      <w:r>
        <w:rPr>
          <w:b w:val="0"/>
        </w:rPr>
        <w:t>4. The following conversion factors shall apply to the goods covered by the following U.S. categories: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3120"/>
        <w:gridCol w:w="3120"/>
        <w:gridCol w:w="3120"/>
      </w:tblGrid>
      <w:tr>
        <w:trPr>
          <w:tblHeader w:val="true"/>
          <w:cantSplit/>
          <w:tblHeader w:val="true"/>
        </w:trPr>
        <w:tc>
          <w:tcPr>
            <w:tcW w:type="dxa" w:w="3120"/>
            <w:tcBorders>
              <w:bottom w:val="single" w:sz="6" w:space="0" w:color="546E7A"/>
            </w:tcBorders>
            <w:shd w:fill="E4E9EC" w:val="clear" w:color="auto"/>
          </w:tcPr>
          <w:p>
            <w:pPr>
              <w:pStyle w:val="TableText"/>
            </w:pPr>
            <w:r>
              <w:rPr>
                <w:b/>
                <w:color w:val="37474F"/>
              </w:rPr>
              <w:t>Conversion Factor</w:t>
            </w:r>
          </w:p>
        </w:tc>
        <w:tc>
          <w:tcPr>
            <w:tcW w:type="dxa" w:w="3120"/>
            <w:tcBorders>
              <w:bottom w:val="single" w:sz="6" w:space="0" w:color="546E7A"/>
            </w:tcBorders>
            <w:shd w:fill="E4E9EC" w:val="clear" w:color="auto"/>
          </w:tcPr>
          <w:p>
            <w:pPr>
              <w:pStyle w:val="TableText"/>
            </w:pPr>
            <w:r>
              <w:rPr>
                <w:b/>
                <w:color w:val="37474F"/>
              </w:rPr>
              <w:t>Description</w:t>
            </w:r>
          </w:p>
        </w:tc>
        <w:tc>
          <w:tcPr>
            <w:tcW w:type="dxa" w:w="3120"/>
            <w:tcBorders>
              <w:bottom w:val="single" w:sz="6" w:space="0" w:color="546E7A"/>
            </w:tcBorders>
            <w:shd w:fill="E4E9EC" w:val="clear" w:color="auto"/>
          </w:tcPr>
          <w:p>
            <w:pPr>
              <w:pStyle w:val="TableText"/>
            </w:pPr>
            <w:r>
              <w:rPr>
                <w:b/>
                <w:color w:val="37474F"/>
              </w:rPr>
              <w:t>Primary Unit of Measure</w:t>
            </w:r>
          </w:p>
        </w:tc>
      </w:tr>
      <w:tr>
        <w:trPr>
          <w:cantSplit/>
        </w:trPr>
        <w:tc>
          <w:tcPr>
            <w:tcW w:type="dxa" w:w="3120"/>
            <w:tcMar>
              <w:top w:w="70" w:type="dxa"/>
              <w:start w:w="110" w:type="dxa"/>
              <w:bottom w:w="70" w:type="dxa"/>
              <w:end w:w="110" w:type="dxa"/>
            </w:tcMar>
          </w:tcPr>
          <w:p>
            <w:pPr>
              <w:pStyle w:val="TableText"/>
            </w:pPr>
            <w:r>
              <w:rPr/>
              <w:t>6.60</w:t>
            </w:r>
          </w:p>
        </w:tc>
        <w:tc>
          <w:tcPr>
            <w:tcW w:type="dxa" w:w="3120"/>
            <w:tcMar>
              <w:top w:w="70" w:type="dxa"/>
              <w:start w:w="110" w:type="dxa"/>
              <w:bottom w:w="70" w:type="dxa"/>
              <w:end w:w="110" w:type="dxa"/>
            </w:tcMar>
          </w:tcPr>
          <w:p>
            <w:pPr>
              <w:pStyle w:val="TableText"/>
            </w:pPr>
            <w:r>
              <w:rPr/>
              <w:t>YARN FOR RETAIL SALE, SEWING THREAD</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6.50</w:t>
            </w:r>
          </w:p>
        </w:tc>
        <w:tc>
          <w:tcPr>
            <w:tcW w:type="dxa" w:w="3120"/>
            <w:shd w:fill="F5F7F8" w:val="clear" w:color="auto"/>
            <w:tcMar>
              <w:top w:w="70" w:type="dxa"/>
              <w:start w:w="110" w:type="dxa"/>
              <w:bottom w:w="70" w:type="dxa"/>
              <w:end w:w="110" w:type="dxa"/>
            </w:tcMar>
          </w:tcPr>
          <w:p>
            <w:pPr>
              <w:pStyle w:val="TableText"/>
            </w:pPr>
            <w:r>
              <w:rPr/>
              <w:t>SPECIALTY YARNS</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FABRIC OF YARNS OF DIFFERENT COLORS</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DUCK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FABRIC OF SPECIAL WEAVE</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6.00</w:t>
            </w:r>
          </w:p>
        </w:tc>
        <w:tc>
          <w:tcPr>
            <w:tcW w:type="dxa" w:w="3120"/>
            <w:shd w:fill="F5F7F8" w:val="clear" w:color="auto"/>
            <w:tcMar>
              <w:top w:w="70" w:type="dxa"/>
              <w:start w:w="110" w:type="dxa"/>
              <w:bottom w:w="70" w:type="dxa"/>
              <w:end w:w="110" w:type="dxa"/>
            </w:tcMar>
          </w:tcPr>
          <w:p>
            <w:pPr>
              <w:pStyle w:val="TableText"/>
            </w:pPr>
            <w:r>
              <w:rPr/>
              <w:t>KNIT FABRIC</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14.00</w:t>
            </w:r>
          </w:p>
        </w:tc>
        <w:tc>
          <w:tcPr>
            <w:tcW w:type="dxa" w:w="3120"/>
            <w:tcMar>
              <w:top w:w="70" w:type="dxa"/>
              <w:start w:w="110" w:type="dxa"/>
              <w:bottom w:w="70" w:type="dxa"/>
              <w:end w:w="110" w:type="dxa"/>
            </w:tcMar>
          </w:tcPr>
          <w:p>
            <w:pPr>
              <w:pStyle w:val="TableText"/>
            </w:pPr>
            <w:r>
              <w:rPr/>
              <w:t>NON WOVEN FABRIC</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PILE &amp; TUFTED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BLUE DENIM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CHEESECLOTH, BATISTE, LAWN &amp; VOILE</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OXFORD CLOTH</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13.60</w:t>
            </w:r>
          </w:p>
        </w:tc>
        <w:tc>
          <w:tcPr>
            <w:tcW w:type="dxa" w:w="3120"/>
            <w:shd w:fill="F5F7F8" w:val="clear" w:color="auto"/>
            <w:tcMar>
              <w:top w:w="70" w:type="dxa"/>
              <w:start w:w="110" w:type="dxa"/>
              <w:bottom w:w="70" w:type="dxa"/>
              <w:end w:w="110" w:type="dxa"/>
            </w:tcMar>
          </w:tcPr>
          <w:p>
            <w:pPr>
              <w:pStyle w:val="TableText"/>
            </w:pPr>
            <w:r>
              <w:rPr/>
              <w:t>SPECIAL PURPOSE FABRIC</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19.20</w:t>
            </w:r>
          </w:p>
        </w:tc>
        <w:tc>
          <w:tcPr>
            <w:tcW w:type="dxa" w:w="3120"/>
            <w:tcMar>
              <w:top w:w="70" w:type="dxa"/>
              <w:start w:w="110" w:type="dxa"/>
              <w:bottom w:w="70" w:type="dxa"/>
              <w:end w:w="110" w:type="dxa"/>
            </w:tcMar>
          </w:tcPr>
          <w:p>
            <w:pPr>
              <w:pStyle w:val="TableText"/>
            </w:pPr>
            <w:r>
              <w:rPr/>
              <w:t>PLAYSUITS, SUNSUITS, ETC</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6.30</w:t>
            </w:r>
          </w:p>
        </w:tc>
        <w:tc>
          <w:tcPr>
            <w:tcW w:type="dxa" w:w="3120"/>
            <w:shd w:fill="F5F7F8" w:val="clear" w:color="auto"/>
            <w:tcMar>
              <w:top w:w="70" w:type="dxa"/>
              <w:start w:w="110" w:type="dxa"/>
              <w:bottom w:w="70" w:type="dxa"/>
              <w:end w:w="110" w:type="dxa"/>
            </w:tcMar>
          </w:tcPr>
          <w:p>
            <w:pPr>
              <w:pStyle w:val="TableText"/>
            </w:pPr>
            <w:r>
              <w:rPr/>
              <w:t>BABIES’ GARMENTS &amp; CLOTHING ACCESS.</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8.50</w:t>
            </w:r>
          </w:p>
        </w:tc>
        <w:tc>
          <w:tcPr>
            <w:tcW w:type="dxa" w:w="3120"/>
            <w:tcMar>
              <w:top w:w="70" w:type="dxa"/>
              <w:start w:w="110" w:type="dxa"/>
              <w:bottom w:w="70" w:type="dxa"/>
              <w:end w:w="110" w:type="dxa"/>
            </w:tcMar>
          </w:tcPr>
          <w:p>
            <w:pPr>
              <w:pStyle w:val="TableText"/>
            </w:pPr>
            <w:r>
              <w:rPr/>
              <w:t>CARDED COTTON YARN</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8.50</w:t>
            </w:r>
          </w:p>
        </w:tc>
        <w:tc>
          <w:tcPr>
            <w:tcW w:type="dxa" w:w="3120"/>
            <w:shd w:fill="F5F7F8" w:val="clear" w:color="auto"/>
            <w:tcMar>
              <w:top w:w="70" w:type="dxa"/>
              <w:start w:w="110" w:type="dxa"/>
              <w:bottom w:w="70" w:type="dxa"/>
              <w:end w:w="110" w:type="dxa"/>
            </w:tcMar>
          </w:tcPr>
          <w:p>
            <w:pPr>
              <w:pStyle w:val="TableText"/>
            </w:pPr>
            <w:r>
              <w:rPr/>
              <w:t>COMBED COTTON YARN</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COTTON SHEETING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COTTON POPLIN &amp; BROADCLOTH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COTTON PRINTCLOTH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COTTON TWILL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COTTON SATEEN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1.40</w:t>
            </w:r>
          </w:p>
        </w:tc>
        <w:tc>
          <w:tcPr>
            <w:tcW w:type="dxa" w:w="3120"/>
            <w:shd w:fill="F5F7F8" w:val="clear" w:color="auto"/>
            <w:tcMar>
              <w:top w:w="70" w:type="dxa"/>
              <w:start w:w="110" w:type="dxa"/>
              <w:bottom w:w="70" w:type="dxa"/>
              <w:end w:w="110" w:type="dxa"/>
            </w:tcMar>
          </w:tcPr>
          <w:p>
            <w:pPr>
              <w:pStyle w:val="TableText"/>
            </w:pPr>
            <w:r>
              <w:rPr/>
              <w:t>COTTON HANDKERCHIEFS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2.90</w:t>
            </w:r>
          </w:p>
        </w:tc>
        <w:tc>
          <w:tcPr>
            <w:tcW w:type="dxa" w:w="3120"/>
            <w:tcMar>
              <w:top w:w="70" w:type="dxa"/>
              <w:start w:w="110" w:type="dxa"/>
              <w:bottom w:w="70" w:type="dxa"/>
              <w:end w:w="110" w:type="dxa"/>
            </w:tcMar>
          </w:tcPr>
          <w:p>
            <w:pPr>
              <w:pStyle w:val="TableText"/>
            </w:pPr>
            <w:r>
              <w:rPr/>
              <w:t>COTTON GLOVES AND MITTENS</w:t>
            </w:r>
          </w:p>
        </w:tc>
        <w:tc>
          <w:tcPr>
            <w:tcW w:type="dxa" w:w="3120"/>
            <w:tcMar>
              <w:top w:w="70" w:type="dxa"/>
              <w:start w:w="110" w:type="dxa"/>
              <w:bottom w:w="70" w:type="dxa"/>
              <w:end w:w="110" w:type="dxa"/>
            </w:tcMar>
          </w:tcPr>
          <w:p>
            <w:pPr>
              <w:pStyle w:val="TableText"/>
            </w:pPr>
            <w:r>
              <w:rPr/>
              <w:t>DPR</w:t>
            </w:r>
          </w:p>
        </w:tc>
      </w:tr>
      <w:tr>
        <w:trPr>
          <w:cantSplit/>
        </w:trPr>
        <w:tc>
          <w:tcPr>
            <w:tcW w:type="dxa" w:w="3120"/>
            <w:shd w:fill="F5F7F8" w:val="clear" w:color="auto"/>
            <w:tcMar>
              <w:top w:w="70" w:type="dxa"/>
              <w:start w:w="110" w:type="dxa"/>
              <w:bottom w:w="70" w:type="dxa"/>
              <w:end w:w="110" w:type="dxa"/>
            </w:tcMar>
          </w:tcPr>
          <w:p>
            <w:pPr>
              <w:pStyle w:val="TableText"/>
            </w:pPr>
            <w:r>
              <w:rPr/>
              <w:t>3.80</w:t>
            </w:r>
          </w:p>
        </w:tc>
        <w:tc>
          <w:tcPr>
            <w:tcW w:type="dxa" w:w="3120"/>
            <w:shd w:fill="F5F7F8" w:val="clear" w:color="auto"/>
            <w:tcMar>
              <w:top w:w="70" w:type="dxa"/>
              <w:start w:w="110" w:type="dxa"/>
              <w:bottom w:w="70" w:type="dxa"/>
              <w:end w:w="110" w:type="dxa"/>
            </w:tcMar>
          </w:tcPr>
          <w:p>
            <w:pPr>
              <w:pStyle w:val="TableText"/>
            </w:pPr>
            <w:r>
              <w:rPr/>
              <w:t>COTTON HOSIERY</w:t>
            </w:r>
          </w:p>
        </w:tc>
        <w:tc>
          <w:tcPr>
            <w:tcW w:type="dxa" w:w="3120"/>
            <w:shd w:fill="F5F7F8" w:val="clear" w:color="auto"/>
            <w:tcMar>
              <w:top w:w="70" w:type="dxa"/>
              <w:start w:w="110" w:type="dxa"/>
              <w:bottom w:w="70" w:type="dxa"/>
              <w:end w:w="110" w:type="dxa"/>
            </w:tcMar>
          </w:tcPr>
          <w:p>
            <w:pPr>
              <w:pStyle w:val="TableText"/>
            </w:pPr>
            <w:r>
              <w:rPr/>
              <w:t>DPR</w:t>
            </w:r>
          </w:p>
        </w:tc>
      </w:tr>
      <w:tr>
        <w:trPr>
          <w:cantSplit/>
        </w:trPr>
        <w:tc>
          <w:tcPr>
            <w:tcW w:type="dxa" w:w="3120"/>
            <w:tcMar>
              <w:top w:w="70" w:type="dxa"/>
              <w:start w:w="110" w:type="dxa"/>
              <w:bottom w:w="70" w:type="dxa"/>
              <w:end w:w="110" w:type="dxa"/>
            </w:tcMar>
          </w:tcPr>
          <w:p>
            <w:pPr>
              <w:pStyle w:val="TableText"/>
            </w:pPr>
            <w:r>
              <w:rPr/>
              <w:t>30.30</w:t>
            </w:r>
          </w:p>
        </w:tc>
        <w:tc>
          <w:tcPr>
            <w:tcW w:type="dxa" w:w="3120"/>
            <w:tcMar>
              <w:top w:w="70" w:type="dxa"/>
              <w:start w:w="110" w:type="dxa"/>
              <w:bottom w:w="70" w:type="dxa"/>
              <w:end w:w="110" w:type="dxa"/>
            </w:tcMar>
          </w:tcPr>
          <w:p>
            <w:pPr>
              <w:pStyle w:val="TableText"/>
            </w:pPr>
            <w:r>
              <w:rPr/>
              <w:t>M&amp;B SUIT TYPE COATS, COTTON</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34.50</w:t>
            </w:r>
          </w:p>
        </w:tc>
        <w:tc>
          <w:tcPr>
            <w:tcW w:type="dxa" w:w="3120"/>
            <w:shd w:fill="F5F7F8" w:val="clear" w:color="auto"/>
            <w:tcMar>
              <w:top w:w="70" w:type="dxa"/>
              <w:start w:w="110" w:type="dxa"/>
              <w:bottom w:w="70" w:type="dxa"/>
              <w:end w:w="110" w:type="dxa"/>
            </w:tcMar>
          </w:tcPr>
          <w:p>
            <w:pPr>
              <w:pStyle w:val="TableText"/>
            </w:pPr>
            <w:r>
              <w:rPr/>
              <w:t>OTHER M&amp;B COATS, COTTON</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34.50</w:t>
            </w:r>
          </w:p>
        </w:tc>
        <w:tc>
          <w:tcPr>
            <w:tcW w:type="dxa" w:w="3120"/>
            <w:tcMar>
              <w:top w:w="70" w:type="dxa"/>
              <w:start w:w="110" w:type="dxa"/>
              <w:bottom w:w="70" w:type="dxa"/>
              <w:end w:w="110" w:type="dxa"/>
            </w:tcMar>
          </w:tcPr>
          <w:p>
            <w:pPr>
              <w:pStyle w:val="TableText"/>
            </w:pPr>
            <w:r>
              <w:rPr/>
              <w:t>W&amp;G COTTON COATS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37.90</w:t>
            </w:r>
          </w:p>
        </w:tc>
        <w:tc>
          <w:tcPr>
            <w:tcW w:type="dxa" w:w="3120"/>
            <w:shd w:fill="F5F7F8" w:val="clear" w:color="auto"/>
            <w:tcMar>
              <w:top w:w="70" w:type="dxa"/>
              <w:start w:w="110" w:type="dxa"/>
              <w:bottom w:w="70" w:type="dxa"/>
              <w:end w:w="110" w:type="dxa"/>
            </w:tcMar>
          </w:tcPr>
          <w:p>
            <w:pPr>
              <w:pStyle w:val="TableText"/>
            </w:pPr>
            <w:r>
              <w:rPr/>
              <w:t>COTTON DRESSES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6.00</w:t>
            </w:r>
          </w:p>
        </w:tc>
        <w:tc>
          <w:tcPr>
            <w:tcW w:type="dxa" w:w="3120"/>
            <w:tcMar>
              <w:top w:w="70" w:type="dxa"/>
              <w:start w:w="110" w:type="dxa"/>
              <w:bottom w:w="70" w:type="dxa"/>
              <w:end w:w="110" w:type="dxa"/>
            </w:tcMar>
          </w:tcPr>
          <w:p>
            <w:pPr>
              <w:pStyle w:val="TableText"/>
            </w:pPr>
            <w:r>
              <w:rPr/>
              <w:t>M&amp;B COTTON KNIT SHIRTS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6.00</w:t>
            </w:r>
          </w:p>
        </w:tc>
        <w:tc>
          <w:tcPr>
            <w:tcW w:type="dxa" w:w="3120"/>
            <w:shd w:fill="F5F7F8" w:val="clear" w:color="auto"/>
            <w:tcMar>
              <w:top w:w="70" w:type="dxa"/>
              <w:start w:w="110" w:type="dxa"/>
              <w:bottom w:w="70" w:type="dxa"/>
              <w:end w:w="110" w:type="dxa"/>
            </w:tcMar>
          </w:tcPr>
          <w:p>
            <w:pPr>
              <w:pStyle w:val="TableText"/>
            </w:pPr>
            <w:r>
              <w:rPr/>
              <w:t>W&amp;G COTTON KNIT SHIRTS/BLOUSES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20.10</w:t>
            </w:r>
          </w:p>
        </w:tc>
        <w:tc>
          <w:tcPr>
            <w:tcW w:type="dxa" w:w="3120"/>
            <w:tcMar>
              <w:top w:w="70" w:type="dxa"/>
              <w:start w:w="110" w:type="dxa"/>
              <w:bottom w:w="70" w:type="dxa"/>
              <w:end w:w="110" w:type="dxa"/>
            </w:tcMar>
          </w:tcPr>
          <w:p>
            <w:pPr>
              <w:pStyle w:val="TableText"/>
            </w:pPr>
            <w:r>
              <w:rPr/>
              <w:t>M&amp;B COTTON SHIRTS, NOT KNIT</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12.10</w:t>
            </w:r>
          </w:p>
        </w:tc>
        <w:tc>
          <w:tcPr>
            <w:tcW w:type="dxa" w:w="3120"/>
            <w:shd w:fill="F5F7F8" w:val="clear" w:color="auto"/>
            <w:tcMar>
              <w:top w:w="70" w:type="dxa"/>
              <w:start w:w="110" w:type="dxa"/>
              <w:bottom w:w="70" w:type="dxa"/>
              <w:end w:w="110" w:type="dxa"/>
            </w:tcMar>
          </w:tcPr>
          <w:p>
            <w:pPr>
              <w:pStyle w:val="TableText"/>
            </w:pPr>
            <w:r>
              <w:rPr/>
              <w:t>W&amp;G COTTON SHIRTS/BLOUSES, NOT  KNIT</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14.90</w:t>
            </w:r>
          </w:p>
        </w:tc>
        <w:tc>
          <w:tcPr>
            <w:tcW w:type="dxa" w:w="3120"/>
            <w:tcMar>
              <w:top w:w="70" w:type="dxa"/>
              <w:start w:w="110" w:type="dxa"/>
              <w:bottom w:w="70" w:type="dxa"/>
              <w:end w:w="110" w:type="dxa"/>
            </w:tcMar>
          </w:tcPr>
          <w:p>
            <w:pPr>
              <w:pStyle w:val="TableText"/>
            </w:pPr>
            <w:r>
              <w:rPr/>
              <w:t>COTTON SKIRTS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30.80</w:t>
            </w:r>
          </w:p>
        </w:tc>
        <w:tc>
          <w:tcPr>
            <w:tcW w:type="dxa" w:w="3120"/>
            <w:shd w:fill="F5F7F8" w:val="clear" w:color="auto"/>
            <w:tcMar>
              <w:top w:w="70" w:type="dxa"/>
              <w:start w:w="110" w:type="dxa"/>
              <w:bottom w:w="70" w:type="dxa"/>
              <w:end w:w="110" w:type="dxa"/>
            </w:tcMar>
          </w:tcPr>
          <w:p>
            <w:pPr>
              <w:pStyle w:val="TableText"/>
            </w:pPr>
            <w:r>
              <w:rPr/>
              <w:t>COTTON SWEATERS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14.90</w:t>
            </w:r>
          </w:p>
        </w:tc>
        <w:tc>
          <w:tcPr>
            <w:tcW w:type="dxa" w:w="3120"/>
            <w:tcMar>
              <w:top w:w="70" w:type="dxa"/>
              <w:start w:w="110" w:type="dxa"/>
              <w:bottom w:w="70" w:type="dxa"/>
              <w:end w:w="110" w:type="dxa"/>
            </w:tcMar>
          </w:tcPr>
          <w:p>
            <w:pPr>
              <w:pStyle w:val="TableText"/>
            </w:pPr>
            <w:r>
              <w:rPr/>
              <w:t>M&amp;B COTTON  TROUSERS/BREECHES/SHORTS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14.90</w:t>
            </w:r>
          </w:p>
        </w:tc>
        <w:tc>
          <w:tcPr>
            <w:tcW w:type="dxa" w:w="3120"/>
            <w:shd w:fill="F5F7F8" w:val="clear" w:color="auto"/>
            <w:tcMar>
              <w:top w:w="70" w:type="dxa"/>
              <w:start w:w="110" w:type="dxa"/>
              <w:bottom w:w="70" w:type="dxa"/>
              <w:end w:w="110" w:type="dxa"/>
            </w:tcMar>
          </w:tcPr>
          <w:p>
            <w:pPr>
              <w:pStyle w:val="TableText"/>
            </w:pPr>
            <w:r>
              <w:rPr/>
              <w:t>W&amp;G COTTON  TROUSERS/BREECHES/SHORTS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4.00</w:t>
            </w:r>
          </w:p>
        </w:tc>
        <w:tc>
          <w:tcPr>
            <w:tcW w:type="dxa" w:w="3120"/>
            <w:tcMar>
              <w:top w:w="70" w:type="dxa"/>
              <w:start w:w="110" w:type="dxa"/>
              <w:bottom w:w="70" w:type="dxa"/>
              <w:end w:w="110" w:type="dxa"/>
            </w:tcMar>
          </w:tcPr>
          <w:p>
            <w:pPr>
              <w:pStyle w:val="TableText"/>
            </w:pPr>
            <w:r>
              <w:rPr/>
              <w:t>BRASSIERES, OTHER BODY SUPPORT  GARMENTS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42.60</w:t>
            </w:r>
          </w:p>
        </w:tc>
        <w:tc>
          <w:tcPr>
            <w:tcW w:type="dxa" w:w="3120"/>
            <w:shd w:fill="F5F7F8" w:val="clear" w:color="auto"/>
            <w:tcMar>
              <w:top w:w="70" w:type="dxa"/>
              <w:start w:w="110" w:type="dxa"/>
              <w:bottom w:w="70" w:type="dxa"/>
              <w:end w:w="110" w:type="dxa"/>
            </w:tcMar>
          </w:tcPr>
          <w:p>
            <w:pPr>
              <w:pStyle w:val="TableText"/>
            </w:pPr>
            <w:r>
              <w:rPr/>
              <w:t>COTTON DRESSING GOWNS, ROBES ETC.</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43.50</w:t>
            </w:r>
          </w:p>
        </w:tc>
        <w:tc>
          <w:tcPr>
            <w:tcW w:type="dxa" w:w="3120"/>
            <w:tcMar>
              <w:top w:w="70" w:type="dxa"/>
              <w:start w:w="110" w:type="dxa"/>
              <w:bottom w:w="70" w:type="dxa"/>
              <w:end w:w="110" w:type="dxa"/>
            </w:tcMar>
          </w:tcPr>
          <w:p>
            <w:pPr>
              <w:pStyle w:val="TableText"/>
            </w:pPr>
            <w:r>
              <w:rPr/>
              <w:t>COTTON NIGHTWEAR/PAJAMAS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9.20</w:t>
            </w:r>
          </w:p>
        </w:tc>
        <w:tc>
          <w:tcPr>
            <w:tcW w:type="dxa" w:w="3120"/>
            <w:shd w:fill="F5F7F8" w:val="clear" w:color="auto"/>
            <w:tcMar>
              <w:top w:w="70" w:type="dxa"/>
              <w:start w:w="110" w:type="dxa"/>
              <w:bottom w:w="70" w:type="dxa"/>
              <w:end w:w="110" w:type="dxa"/>
            </w:tcMar>
          </w:tcPr>
          <w:p>
            <w:pPr>
              <w:pStyle w:val="TableText"/>
            </w:pPr>
            <w:r>
              <w:rPr/>
              <w:t>COTTON UNDERWEAR</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34.50</w:t>
            </w:r>
          </w:p>
        </w:tc>
        <w:tc>
          <w:tcPr>
            <w:tcW w:type="dxa" w:w="3120"/>
            <w:tcMar>
              <w:top w:w="70" w:type="dxa"/>
              <w:start w:w="110" w:type="dxa"/>
              <w:bottom w:w="70" w:type="dxa"/>
              <w:end w:w="110" w:type="dxa"/>
            </w:tcMar>
          </w:tcPr>
          <w:p>
            <w:pPr>
              <w:pStyle w:val="TableText"/>
            </w:pPr>
            <w:r>
              <w:rPr/>
              <w:t>M&amp;B COTTON DOWN FILLED COATS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34.50</w:t>
            </w:r>
          </w:p>
        </w:tc>
        <w:tc>
          <w:tcPr>
            <w:tcW w:type="dxa" w:w="3120"/>
            <w:shd w:fill="F5F7F8" w:val="clear" w:color="auto"/>
            <w:tcMar>
              <w:top w:w="70" w:type="dxa"/>
              <w:start w:w="110" w:type="dxa"/>
              <w:bottom w:w="70" w:type="dxa"/>
              <w:end w:w="110" w:type="dxa"/>
            </w:tcMar>
          </w:tcPr>
          <w:p>
            <w:pPr>
              <w:pStyle w:val="TableText"/>
            </w:pPr>
            <w:r>
              <w:rPr/>
              <w:t>W&amp;G COTTON DOWN FILLED COATS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8.50</w:t>
            </w:r>
          </w:p>
        </w:tc>
        <w:tc>
          <w:tcPr>
            <w:tcW w:type="dxa" w:w="3120"/>
            <w:tcMar>
              <w:top w:w="70" w:type="dxa"/>
              <w:start w:w="110" w:type="dxa"/>
              <w:bottom w:w="70" w:type="dxa"/>
              <w:end w:w="110" w:type="dxa"/>
            </w:tcMar>
          </w:tcPr>
          <w:p>
            <w:pPr>
              <w:pStyle w:val="TableText"/>
            </w:pPr>
            <w:r>
              <w:rPr/>
              <w:t>OTHER COTTON APPAREL</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0.90</w:t>
            </w:r>
          </w:p>
        </w:tc>
        <w:tc>
          <w:tcPr>
            <w:tcW w:type="dxa" w:w="3120"/>
            <w:shd w:fill="F5F7F8" w:val="clear" w:color="auto"/>
            <w:tcMar>
              <w:top w:w="70" w:type="dxa"/>
              <w:start w:w="110" w:type="dxa"/>
              <w:bottom w:w="70" w:type="dxa"/>
              <w:end w:w="110" w:type="dxa"/>
            </w:tcMar>
          </w:tcPr>
          <w:p>
            <w:pPr>
              <w:pStyle w:val="TableText"/>
            </w:pPr>
            <w:r>
              <w:rPr/>
              <w:t>COTTON PILLOWCASES</w:t>
            </w:r>
          </w:p>
        </w:tc>
        <w:tc>
          <w:tcPr>
            <w:tcW w:type="dxa" w:w="3120"/>
            <w:shd w:fill="F5F7F8" w:val="clear" w:color="auto"/>
            <w:tcMar>
              <w:top w:w="70" w:type="dxa"/>
              <w:start w:w="110" w:type="dxa"/>
              <w:bottom w:w="70" w:type="dxa"/>
              <w:end w:w="110" w:type="dxa"/>
            </w:tcMar>
          </w:tcPr>
          <w:p>
            <w:pPr>
              <w:pStyle w:val="TableText"/>
            </w:pPr>
            <w:r>
              <w:rPr/>
              <w:t>NO</w:t>
            </w:r>
          </w:p>
        </w:tc>
      </w:tr>
      <w:tr>
        <w:trPr>
          <w:cantSplit/>
        </w:trPr>
        <w:tc>
          <w:tcPr>
            <w:tcW w:type="dxa" w:w="3120"/>
            <w:tcMar>
              <w:top w:w="70" w:type="dxa"/>
              <w:start w:w="110" w:type="dxa"/>
              <w:bottom w:w="70" w:type="dxa"/>
              <w:end w:w="110" w:type="dxa"/>
            </w:tcMar>
          </w:tcPr>
          <w:p>
            <w:pPr>
              <w:pStyle w:val="TableText"/>
            </w:pPr>
            <w:r>
              <w:rPr/>
              <w:t>5.20</w:t>
            </w:r>
          </w:p>
        </w:tc>
        <w:tc>
          <w:tcPr>
            <w:tcW w:type="dxa" w:w="3120"/>
            <w:tcMar>
              <w:top w:w="70" w:type="dxa"/>
              <w:start w:w="110" w:type="dxa"/>
              <w:bottom w:w="70" w:type="dxa"/>
              <w:end w:w="110" w:type="dxa"/>
            </w:tcMar>
          </w:tcPr>
          <w:p>
            <w:pPr>
              <w:pStyle w:val="TableText"/>
            </w:pPr>
            <w:r>
              <w:rPr/>
              <w:t>COTTON SHEETS</w:t>
            </w:r>
          </w:p>
        </w:tc>
        <w:tc>
          <w:tcPr>
            <w:tcW w:type="dxa" w:w="3120"/>
            <w:tcMar>
              <w:top w:w="70" w:type="dxa"/>
              <w:start w:w="110" w:type="dxa"/>
              <w:bottom w:w="70" w:type="dxa"/>
              <w:end w:w="110" w:type="dxa"/>
            </w:tcMar>
          </w:tcPr>
          <w:p>
            <w:pPr>
              <w:pStyle w:val="TableText"/>
            </w:pPr>
            <w:r>
              <w:rPr/>
              <w:t>NO</w:t>
            </w:r>
          </w:p>
        </w:tc>
      </w:tr>
      <w:tr>
        <w:trPr>
          <w:cantSplit/>
        </w:trPr>
        <w:tc>
          <w:tcPr>
            <w:tcW w:type="dxa" w:w="3120"/>
            <w:shd w:fill="F5F7F8" w:val="clear" w:color="auto"/>
            <w:tcMar>
              <w:top w:w="70" w:type="dxa"/>
              <w:start w:w="110" w:type="dxa"/>
              <w:bottom w:w="70" w:type="dxa"/>
              <w:end w:w="110" w:type="dxa"/>
            </w:tcMar>
          </w:tcPr>
          <w:p>
            <w:pPr>
              <w:pStyle w:val="TableText"/>
            </w:pPr>
            <w:r>
              <w:rPr/>
              <w:t>5.80</w:t>
            </w:r>
          </w:p>
        </w:tc>
        <w:tc>
          <w:tcPr>
            <w:tcW w:type="dxa" w:w="3120"/>
            <w:shd w:fill="F5F7F8" w:val="clear" w:color="auto"/>
            <w:tcMar>
              <w:top w:w="70" w:type="dxa"/>
              <w:start w:w="110" w:type="dxa"/>
              <w:bottom w:w="70" w:type="dxa"/>
              <w:end w:w="110" w:type="dxa"/>
            </w:tcMar>
          </w:tcPr>
          <w:p>
            <w:pPr>
              <w:pStyle w:val="TableText"/>
            </w:pPr>
            <w:r>
              <w:rPr/>
              <w:t>OTHER COTTON BEDDING</w:t>
            </w:r>
          </w:p>
        </w:tc>
        <w:tc>
          <w:tcPr>
            <w:tcW w:type="dxa" w:w="3120"/>
            <w:shd w:fill="F5F7F8" w:val="clear" w:color="auto"/>
            <w:tcMar>
              <w:top w:w="70" w:type="dxa"/>
              <w:start w:w="110" w:type="dxa"/>
              <w:bottom w:w="70" w:type="dxa"/>
              <w:end w:w="110" w:type="dxa"/>
            </w:tcMar>
          </w:tcPr>
          <w:p>
            <w:pPr>
              <w:pStyle w:val="TableText"/>
            </w:pPr>
            <w:r>
              <w:rPr/>
              <w:t>NO</w:t>
            </w:r>
          </w:p>
        </w:tc>
      </w:tr>
      <w:tr>
        <w:trPr>
          <w:cantSplit/>
        </w:trPr>
        <w:tc>
          <w:tcPr>
            <w:tcW w:type="dxa" w:w="3120"/>
            <w:tcMar>
              <w:top w:w="70" w:type="dxa"/>
              <w:start w:w="110" w:type="dxa"/>
              <w:bottom w:w="70" w:type="dxa"/>
              <w:end w:w="110" w:type="dxa"/>
            </w:tcMar>
          </w:tcPr>
          <w:p>
            <w:pPr>
              <w:pStyle w:val="TableText"/>
            </w:pPr>
            <w:r>
              <w:rPr/>
              <w:t>0.40</w:t>
            </w:r>
          </w:p>
        </w:tc>
        <w:tc>
          <w:tcPr>
            <w:tcW w:type="dxa" w:w="3120"/>
            <w:tcMar>
              <w:top w:w="70" w:type="dxa"/>
              <w:start w:w="110" w:type="dxa"/>
              <w:bottom w:w="70" w:type="dxa"/>
              <w:end w:w="110" w:type="dxa"/>
            </w:tcMar>
          </w:tcPr>
          <w:p>
            <w:pPr>
              <w:pStyle w:val="TableText"/>
            </w:pPr>
            <w:r>
              <w:rPr/>
              <w:t>COTTON TERRY &amp; OTHER PILE TOWELS</w:t>
            </w:r>
          </w:p>
        </w:tc>
        <w:tc>
          <w:tcPr>
            <w:tcW w:type="dxa" w:w="3120"/>
            <w:tcMar>
              <w:top w:w="70" w:type="dxa"/>
              <w:start w:w="110" w:type="dxa"/>
              <w:bottom w:w="70" w:type="dxa"/>
              <w:end w:w="110" w:type="dxa"/>
            </w:tcMar>
          </w:tcPr>
          <w:p>
            <w:pPr>
              <w:pStyle w:val="TableText"/>
            </w:pPr>
            <w:r>
              <w:rPr/>
              <w:t>NO</w:t>
            </w:r>
          </w:p>
        </w:tc>
      </w:tr>
      <w:tr>
        <w:trPr>
          <w:cantSplit/>
        </w:trPr>
        <w:tc>
          <w:tcPr>
            <w:tcW w:type="dxa" w:w="3120"/>
            <w:shd w:fill="F5F7F8" w:val="clear" w:color="auto"/>
            <w:tcMar>
              <w:top w:w="70" w:type="dxa"/>
              <w:start w:w="110" w:type="dxa"/>
              <w:bottom w:w="70" w:type="dxa"/>
              <w:end w:w="110" w:type="dxa"/>
            </w:tcMar>
          </w:tcPr>
          <w:p>
            <w:pPr>
              <w:pStyle w:val="TableText"/>
            </w:pPr>
            <w:r>
              <w:rPr/>
              <w:t>8.50</w:t>
            </w:r>
          </w:p>
        </w:tc>
        <w:tc>
          <w:tcPr>
            <w:tcW w:type="dxa" w:w="3120"/>
            <w:shd w:fill="F5F7F8" w:val="clear" w:color="auto"/>
            <w:tcMar>
              <w:top w:w="70" w:type="dxa"/>
              <w:start w:w="110" w:type="dxa"/>
              <w:bottom w:w="70" w:type="dxa"/>
              <w:end w:w="110" w:type="dxa"/>
            </w:tcMar>
          </w:tcPr>
          <w:p>
            <w:pPr>
              <w:pStyle w:val="TableText"/>
            </w:pPr>
            <w:r>
              <w:rPr/>
              <w:t>OTHER COTTON MANUFACTURES</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3.70</w:t>
            </w:r>
          </w:p>
        </w:tc>
        <w:tc>
          <w:tcPr>
            <w:tcW w:type="dxa" w:w="3120"/>
            <w:tcMar>
              <w:top w:w="70" w:type="dxa"/>
              <w:start w:w="110" w:type="dxa"/>
              <w:bottom w:w="70" w:type="dxa"/>
              <w:end w:w="110" w:type="dxa"/>
            </w:tcMar>
          </w:tcPr>
          <w:p>
            <w:pPr>
              <w:pStyle w:val="TableText"/>
            </w:pPr>
            <w:r>
              <w:rPr/>
              <w:t>WOOL YARN</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WOOL WOVEN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2.80</w:t>
            </w:r>
          </w:p>
        </w:tc>
        <w:tc>
          <w:tcPr>
            <w:tcW w:type="dxa" w:w="3120"/>
            <w:tcMar>
              <w:top w:w="70" w:type="dxa"/>
              <w:start w:w="110" w:type="dxa"/>
              <w:bottom w:w="70" w:type="dxa"/>
              <w:end w:w="110" w:type="dxa"/>
            </w:tcMar>
          </w:tcPr>
          <w:p>
            <w:pPr>
              <w:pStyle w:val="TableText"/>
            </w:pPr>
            <w:r>
              <w:rPr/>
              <w:t>OTHER WOOL FABRIC</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1.80</w:t>
            </w:r>
          </w:p>
        </w:tc>
        <w:tc>
          <w:tcPr>
            <w:tcW w:type="dxa" w:w="3120"/>
            <w:shd w:fill="F5F7F8" w:val="clear" w:color="auto"/>
            <w:tcMar>
              <w:top w:w="70" w:type="dxa"/>
              <w:start w:w="110" w:type="dxa"/>
              <w:bottom w:w="70" w:type="dxa"/>
              <w:end w:w="110" w:type="dxa"/>
            </w:tcMar>
          </w:tcPr>
          <w:p>
            <w:pPr>
              <w:pStyle w:val="TableText"/>
            </w:pPr>
            <w:r>
              <w:rPr/>
              <w:t>WOOL GLOVES/MITTENS</w:t>
            </w:r>
          </w:p>
        </w:tc>
        <w:tc>
          <w:tcPr>
            <w:tcW w:type="dxa" w:w="3120"/>
            <w:shd w:fill="F5F7F8" w:val="clear" w:color="auto"/>
            <w:tcMar>
              <w:top w:w="70" w:type="dxa"/>
              <w:start w:w="110" w:type="dxa"/>
              <w:bottom w:w="70" w:type="dxa"/>
              <w:end w:w="110" w:type="dxa"/>
            </w:tcMar>
          </w:tcPr>
          <w:p>
            <w:pPr>
              <w:pStyle w:val="TableText"/>
            </w:pPr>
            <w:r>
              <w:rPr/>
              <w:t>DPR</w:t>
            </w:r>
          </w:p>
        </w:tc>
      </w:tr>
      <w:tr>
        <w:trPr>
          <w:cantSplit/>
        </w:trPr>
        <w:tc>
          <w:tcPr>
            <w:tcW w:type="dxa" w:w="3120"/>
            <w:tcMar>
              <w:top w:w="70" w:type="dxa"/>
              <w:start w:w="110" w:type="dxa"/>
              <w:bottom w:w="70" w:type="dxa"/>
              <w:end w:w="110" w:type="dxa"/>
            </w:tcMar>
          </w:tcPr>
          <w:p>
            <w:pPr>
              <w:pStyle w:val="TableText"/>
            </w:pPr>
            <w:r>
              <w:rPr/>
              <w:t>2.30</w:t>
            </w:r>
          </w:p>
        </w:tc>
        <w:tc>
          <w:tcPr>
            <w:tcW w:type="dxa" w:w="3120"/>
            <w:tcMar>
              <w:top w:w="70" w:type="dxa"/>
              <w:start w:w="110" w:type="dxa"/>
              <w:bottom w:w="70" w:type="dxa"/>
              <w:end w:w="110" w:type="dxa"/>
            </w:tcMar>
          </w:tcPr>
          <w:p>
            <w:pPr>
              <w:pStyle w:val="TableText"/>
            </w:pPr>
            <w:r>
              <w:rPr/>
              <w:t>WOOL HOSIERY</w:t>
            </w:r>
          </w:p>
        </w:tc>
        <w:tc>
          <w:tcPr>
            <w:tcW w:type="dxa" w:w="3120"/>
            <w:tcMar>
              <w:top w:w="70" w:type="dxa"/>
              <w:start w:w="110" w:type="dxa"/>
              <w:bottom w:w="70" w:type="dxa"/>
              <w:end w:w="110" w:type="dxa"/>
            </w:tcMar>
          </w:tcPr>
          <w:p>
            <w:pPr>
              <w:pStyle w:val="TableText"/>
            </w:pPr>
            <w:r>
              <w:rPr/>
              <w:t>DPR</w:t>
            </w:r>
          </w:p>
        </w:tc>
      </w:tr>
      <w:tr>
        <w:trPr>
          <w:cantSplit/>
        </w:trPr>
        <w:tc>
          <w:tcPr>
            <w:tcW w:type="dxa" w:w="3120"/>
            <w:shd w:fill="F5F7F8" w:val="clear" w:color="auto"/>
            <w:tcMar>
              <w:top w:w="70" w:type="dxa"/>
              <w:start w:w="110" w:type="dxa"/>
              <w:bottom w:w="70" w:type="dxa"/>
              <w:end w:w="110" w:type="dxa"/>
            </w:tcMar>
          </w:tcPr>
          <w:p>
            <w:pPr>
              <w:pStyle w:val="TableText"/>
            </w:pPr>
            <w:r>
              <w:rPr/>
              <w:t>30.10</w:t>
            </w:r>
          </w:p>
        </w:tc>
        <w:tc>
          <w:tcPr>
            <w:tcW w:type="dxa" w:w="3120"/>
            <w:shd w:fill="F5F7F8" w:val="clear" w:color="auto"/>
            <w:tcMar>
              <w:top w:w="70" w:type="dxa"/>
              <w:start w:w="110" w:type="dxa"/>
              <w:bottom w:w="70" w:type="dxa"/>
              <w:end w:w="110" w:type="dxa"/>
            </w:tcMar>
          </w:tcPr>
          <w:p>
            <w:pPr>
              <w:pStyle w:val="TableText"/>
            </w:pPr>
            <w:r>
              <w:rPr/>
              <w:t>M&amp;B WOOL SUIT TYPE COATS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45.10</w:t>
            </w:r>
          </w:p>
        </w:tc>
        <w:tc>
          <w:tcPr>
            <w:tcW w:type="dxa" w:w="3120"/>
            <w:tcMar>
              <w:top w:w="70" w:type="dxa"/>
              <w:start w:w="110" w:type="dxa"/>
              <w:bottom w:w="70" w:type="dxa"/>
              <w:end w:w="110" w:type="dxa"/>
            </w:tcMar>
          </w:tcPr>
          <w:p>
            <w:pPr>
              <w:pStyle w:val="TableText"/>
            </w:pPr>
            <w:r>
              <w:rPr/>
              <w:t>OTHER M&amp;B WOOL COATS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45.10</w:t>
            </w:r>
          </w:p>
        </w:tc>
        <w:tc>
          <w:tcPr>
            <w:tcW w:type="dxa" w:w="3120"/>
            <w:shd w:fill="F5F7F8" w:val="clear" w:color="auto"/>
            <w:tcMar>
              <w:top w:w="70" w:type="dxa"/>
              <w:start w:w="110" w:type="dxa"/>
              <w:bottom w:w="70" w:type="dxa"/>
              <w:end w:w="110" w:type="dxa"/>
            </w:tcMar>
          </w:tcPr>
          <w:p>
            <w:pPr>
              <w:pStyle w:val="TableText"/>
            </w:pPr>
            <w:r>
              <w:rPr/>
              <w:t>W&amp;G WOOL COATS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41.10</w:t>
            </w:r>
          </w:p>
        </w:tc>
        <w:tc>
          <w:tcPr>
            <w:tcW w:type="dxa" w:w="3120"/>
            <w:tcMar>
              <w:top w:w="70" w:type="dxa"/>
              <w:start w:w="110" w:type="dxa"/>
              <w:bottom w:w="70" w:type="dxa"/>
              <w:end w:w="110" w:type="dxa"/>
            </w:tcMar>
          </w:tcPr>
          <w:p>
            <w:pPr>
              <w:pStyle w:val="TableText"/>
            </w:pPr>
            <w:r>
              <w:rPr/>
              <w:t>WOOL DRESSES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12.50</w:t>
            </w:r>
          </w:p>
        </w:tc>
        <w:tc>
          <w:tcPr>
            <w:tcW w:type="dxa" w:w="3120"/>
            <w:shd w:fill="F5F7F8" w:val="clear" w:color="auto"/>
            <w:tcMar>
              <w:top w:w="70" w:type="dxa"/>
              <w:start w:w="110" w:type="dxa"/>
              <w:bottom w:w="70" w:type="dxa"/>
              <w:end w:w="110" w:type="dxa"/>
            </w:tcMar>
          </w:tcPr>
          <w:p>
            <w:pPr>
              <w:pStyle w:val="TableText"/>
            </w:pPr>
            <w:r>
              <w:rPr/>
              <w:t>WOOL KNIT SHIRTS/BLOUSES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6.30</w:t>
            </w:r>
          </w:p>
        </w:tc>
        <w:tc>
          <w:tcPr>
            <w:tcW w:type="dxa" w:w="3120"/>
            <w:tcMar>
              <w:top w:w="70" w:type="dxa"/>
              <w:start w:w="110" w:type="dxa"/>
              <w:bottom w:w="70" w:type="dxa"/>
              <w:end w:w="110" w:type="dxa"/>
            </w:tcMar>
          </w:tcPr>
          <w:p>
            <w:pPr>
              <w:pStyle w:val="TableText"/>
            </w:pPr>
            <w:r>
              <w:rPr/>
              <w:t>BABIES’ WOOL GARM/CLOTHING ACCESS.</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20.10</w:t>
            </w:r>
          </w:p>
        </w:tc>
        <w:tc>
          <w:tcPr>
            <w:tcW w:type="dxa" w:w="3120"/>
            <w:shd w:fill="F5F7F8" w:val="clear" w:color="auto"/>
            <w:tcMar>
              <w:top w:w="70" w:type="dxa"/>
              <w:start w:w="110" w:type="dxa"/>
              <w:bottom w:w="70" w:type="dxa"/>
              <w:end w:w="110" w:type="dxa"/>
            </w:tcMar>
          </w:tcPr>
          <w:p>
            <w:pPr>
              <w:pStyle w:val="TableText"/>
            </w:pPr>
            <w:r>
              <w:rPr/>
              <w:t>WOOL SHIRTS/BLOUSES, NOT KNIT</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15.00</w:t>
            </w:r>
          </w:p>
        </w:tc>
        <w:tc>
          <w:tcPr>
            <w:tcW w:type="dxa" w:w="3120"/>
            <w:tcMar>
              <w:top w:w="70" w:type="dxa"/>
              <w:start w:w="110" w:type="dxa"/>
              <w:bottom w:w="70" w:type="dxa"/>
              <w:end w:w="110" w:type="dxa"/>
            </w:tcMar>
          </w:tcPr>
          <w:p>
            <w:pPr>
              <w:pStyle w:val="TableText"/>
            </w:pPr>
            <w:r>
              <w:rPr/>
              <w:t>WOOL SKIRTS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3.76</w:t>
            </w:r>
          </w:p>
        </w:tc>
        <w:tc>
          <w:tcPr>
            <w:tcW w:type="dxa" w:w="3120"/>
            <w:shd w:fill="F5F7F8" w:val="clear" w:color="auto"/>
            <w:tcMar>
              <w:top w:w="70" w:type="dxa"/>
              <w:start w:w="110" w:type="dxa"/>
              <w:bottom w:w="70" w:type="dxa"/>
              <w:end w:w="110" w:type="dxa"/>
            </w:tcMar>
          </w:tcPr>
          <w:p>
            <w:pPr>
              <w:pStyle w:val="TableText"/>
            </w:pPr>
            <w:r>
              <w:rPr/>
              <w:t>M&amp;B WOOL SUITS</w:t>
            </w:r>
          </w:p>
        </w:tc>
        <w:tc>
          <w:tcPr>
            <w:tcW w:type="dxa" w:w="3120"/>
            <w:shd w:fill="F5F7F8" w:val="clear" w:color="auto"/>
            <w:tcMar>
              <w:top w:w="70" w:type="dxa"/>
              <w:start w:w="110" w:type="dxa"/>
              <w:bottom w:w="70" w:type="dxa"/>
              <w:end w:w="110" w:type="dxa"/>
            </w:tcMar>
          </w:tcPr>
          <w:p>
            <w:pPr>
              <w:pStyle w:val="TableText"/>
            </w:pPr>
            <w:r>
              <w:rPr/>
              <w:t>NO</w:t>
            </w:r>
          </w:p>
        </w:tc>
      </w:tr>
      <w:tr>
        <w:trPr>
          <w:cantSplit/>
        </w:trPr>
        <w:tc>
          <w:tcPr>
            <w:tcW w:type="dxa" w:w="3120"/>
            <w:tcMar>
              <w:top w:w="70" w:type="dxa"/>
              <w:start w:w="110" w:type="dxa"/>
              <w:bottom w:w="70" w:type="dxa"/>
              <w:end w:w="110" w:type="dxa"/>
            </w:tcMar>
          </w:tcPr>
          <w:p>
            <w:pPr>
              <w:pStyle w:val="TableText"/>
            </w:pPr>
            <w:r>
              <w:rPr/>
              <w:t>3.76</w:t>
            </w:r>
          </w:p>
        </w:tc>
        <w:tc>
          <w:tcPr>
            <w:tcW w:type="dxa" w:w="3120"/>
            <w:tcMar>
              <w:top w:w="70" w:type="dxa"/>
              <w:start w:w="110" w:type="dxa"/>
              <w:bottom w:w="70" w:type="dxa"/>
              <w:end w:w="110" w:type="dxa"/>
            </w:tcMar>
          </w:tcPr>
          <w:p>
            <w:pPr>
              <w:pStyle w:val="TableText"/>
            </w:pPr>
            <w:r>
              <w:rPr/>
              <w:t>W&amp;G WOOL SUITS</w:t>
            </w:r>
          </w:p>
        </w:tc>
        <w:tc>
          <w:tcPr>
            <w:tcW w:type="dxa" w:w="3120"/>
            <w:tcMar>
              <w:top w:w="70" w:type="dxa"/>
              <w:start w:w="110" w:type="dxa"/>
              <w:bottom w:w="70" w:type="dxa"/>
              <w:end w:w="110" w:type="dxa"/>
            </w:tcMar>
          </w:tcPr>
          <w:p>
            <w:pPr>
              <w:pStyle w:val="TableText"/>
            </w:pPr>
            <w:r>
              <w:rPr/>
              <w:t>NO</w:t>
            </w:r>
          </w:p>
        </w:tc>
      </w:tr>
      <w:tr>
        <w:trPr>
          <w:cantSplit/>
        </w:trPr>
        <w:tc>
          <w:tcPr>
            <w:tcW w:type="dxa" w:w="3120"/>
            <w:shd w:fill="F5F7F8" w:val="clear" w:color="auto"/>
            <w:tcMar>
              <w:top w:w="70" w:type="dxa"/>
              <w:start w:w="110" w:type="dxa"/>
              <w:bottom w:w="70" w:type="dxa"/>
              <w:end w:w="110" w:type="dxa"/>
            </w:tcMar>
          </w:tcPr>
          <w:p>
            <w:pPr>
              <w:pStyle w:val="TableText"/>
            </w:pPr>
            <w:r>
              <w:rPr/>
              <w:t>12.40</w:t>
            </w:r>
          </w:p>
        </w:tc>
        <w:tc>
          <w:tcPr>
            <w:tcW w:type="dxa" w:w="3120"/>
            <w:shd w:fill="F5F7F8" w:val="clear" w:color="auto"/>
            <w:tcMar>
              <w:top w:w="70" w:type="dxa"/>
              <w:start w:w="110" w:type="dxa"/>
              <w:bottom w:w="70" w:type="dxa"/>
              <w:end w:w="110" w:type="dxa"/>
            </w:tcMar>
          </w:tcPr>
          <w:p>
            <w:pPr>
              <w:pStyle w:val="TableText"/>
            </w:pPr>
            <w:r>
              <w:rPr/>
              <w:t>M&amp;B WOOL SWEATERS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12.40</w:t>
            </w:r>
          </w:p>
        </w:tc>
        <w:tc>
          <w:tcPr>
            <w:tcW w:type="dxa" w:w="3120"/>
            <w:tcMar>
              <w:top w:w="70" w:type="dxa"/>
              <w:start w:w="110" w:type="dxa"/>
              <w:bottom w:w="70" w:type="dxa"/>
              <w:end w:w="110" w:type="dxa"/>
            </w:tcMar>
          </w:tcPr>
          <w:p>
            <w:pPr>
              <w:pStyle w:val="TableText"/>
            </w:pPr>
            <w:r>
              <w:rPr/>
              <w:t>W&amp;G WOOL SWEATERS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15.00</w:t>
            </w:r>
          </w:p>
        </w:tc>
        <w:tc>
          <w:tcPr>
            <w:tcW w:type="dxa" w:w="3120"/>
            <w:shd w:fill="F5F7F8" w:val="clear" w:color="auto"/>
            <w:tcMar>
              <w:top w:w="70" w:type="dxa"/>
              <w:start w:w="110" w:type="dxa"/>
              <w:bottom w:w="70" w:type="dxa"/>
              <w:end w:w="110" w:type="dxa"/>
            </w:tcMar>
          </w:tcPr>
          <w:p>
            <w:pPr>
              <w:pStyle w:val="TableText"/>
            </w:pPr>
            <w:r>
              <w:rPr/>
              <w:t>M&amp;B WOOL  TROUSERS/BREECHES/SHORTS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15.00</w:t>
            </w:r>
          </w:p>
        </w:tc>
        <w:tc>
          <w:tcPr>
            <w:tcW w:type="dxa" w:w="3120"/>
            <w:tcMar>
              <w:top w:w="70" w:type="dxa"/>
              <w:start w:w="110" w:type="dxa"/>
              <w:bottom w:w="70" w:type="dxa"/>
              <w:end w:w="110" w:type="dxa"/>
            </w:tcMar>
          </w:tcPr>
          <w:p>
            <w:pPr>
              <w:pStyle w:val="TableText"/>
            </w:pPr>
            <w:r>
              <w:rPr/>
              <w:t>W&amp;G WOOL  TROUSERS/BREECHES/SHORTS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3.70</w:t>
            </w:r>
          </w:p>
        </w:tc>
        <w:tc>
          <w:tcPr>
            <w:tcW w:type="dxa" w:w="3120"/>
            <w:shd w:fill="F5F7F8" w:val="clear" w:color="auto"/>
            <w:tcMar>
              <w:top w:w="70" w:type="dxa"/>
              <w:start w:w="110" w:type="dxa"/>
              <w:bottom w:w="70" w:type="dxa"/>
              <w:end w:w="110" w:type="dxa"/>
            </w:tcMar>
          </w:tcPr>
          <w:p>
            <w:pPr>
              <w:pStyle w:val="TableText"/>
            </w:pPr>
            <w:r>
              <w:rPr/>
              <w:t>OTHER WOOL APPAREL</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2.40</w:t>
            </w:r>
          </w:p>
        </w:tc>
        <w:tc>
          <w:tcPr>
            <w:tcW w:type="dxa" w:w="3120"/>
            <w:tcMar>
              <w:top w:w="70" w:type="dxa"/>
              <w:start w:w="110" w:type="dxa"/>
              <w:bottom w:w="70" w:type="dxa"/>
              <w:end w:w="110" w:type="dxa"/>
            </w:tcMar>
          </w:tcPr>
          <w:p>
            <w:pPr>
              <w:pStyle w:val="TableText"/>
            </w:pPr>
            <w:r>
              <w:rPr/>
              <w:t>WOOL BLANKETS</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WOOL FLOOR COVERINGS</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3.70</w:t>
            </w:r>
          </w:p>
        </w:tc>
        <w:tc>
          <w:tcPr>
            <w:tcW w:type="dxa" w:w="3120"/>
            <w:tcMar>
              <w:top w:w="70" w:type="dxa"/>
              <w:start w:w="110" w:type="dxa"/>
              <w:bottom w:w="70" w:type="dxa"/>
              <w:end w:w="110" w:type="dxa"/>
            </w:tcMar>
          </w:tcPr>
          <w:p>
            <w:pPr>
              <w:pStyle w:val="TableText"/>
            </w:pPr>
            <w:r>
              <w:rPr/>
              <w:t>OTHER WOOL MANUFACTURES</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6.50</w:t>
            </w:r>
          </w:p>
        </w:tc>
        <w:tc>
          <w:tcPr>
            <w:tcW w:type="dxa" w:w="3120"/>
            <w:shd w:fill="F5F7F8" w:val="clear" w:color="auto"/>
            <w:tcMar>
              <w:top w:w="70" w:type="dxa"/>
              <w:start w:w="110" w:type="dxa"/>
              <w:bottom w:w="70" w:type="dxa"/>
              <w:end w:w="110" w:type="dxa"/>
            </w:tcMar>
          </w:tcPr>
          <w:p>
            <w:pPr>
              <w:pStyle w:val="TableText"/>
            </w:pPr>
            <w:r>
              <w:rPr/>
              <w:t>TEXTURED FILAMENT YARN</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6.30</w:t>
            </w:r>
          </w:p>
        </w:tc>
        <w:tc>
          <w:tcPr>
            <w:tcW w:type="dxa" w:w="3120"/>
            <w:tcMar>
              <w:top w:w="70" w:type="dxa"/>
              <w:start w:w="110" w:type="dxa"/>
              <w:bottom w:w="70" w:type="dxa"/>
              <w:end w:w="110" w:type="dxa"/>
            </w:tcMar>
          </w:tcPr>
          <w:p>
            <w:pPr>
              <w:pStyle w:val="TableText"/>
            </w:pPr>
            <w:r>
              <w:rPr/>
              <w:t>YARN ≥</w:t>
            </w:r>
          </w:p>
        </w:tc>
        <w:tc>
          <w:tcPr>
            <w:tcW w:type="dxa" w:w="3120"/>
            <w:tcMar>
              <w:top w:w="70" w:type="dxa"/>
              <w:start w:w="110" w:type="dxa"/>
              <w:bottom w:w="70" w:type="dxa"/>
              <w:end w:w="110" w:type="dxa"/>
            </w:tcMar>
          </w:tcPr>
          <w:p>
            <w:pPr>
              <w:pStyle w:val="TableText"/>
            </w:pPr>
            <w:r>
              <w:rPr/>
            </w:r>
          </w:p>
        </w:tc>
      </w:tr>
      <w:tr>
        <w:trPr>
          <w:cantSplit/>
        </w:trPr>
        <w:tc>
          <w:tcPr>
            <w:tcW w:type="dxa" w:w="3120"/>
            <w:shd w:fill="F5F7F8" w:val="clear" w:color="auto"/>
            <w:tcMar>
              <w:top w:w="70" w:type="dxa"/>
              <w:start w:w="110" w:type="dxa"/>
              <w:bottom w:w="70" w:type="dxa"/>
              <w:end w:w="110" w:type="dxa"/>
            </w:tcMar>
          </w:tcPr>
          <w:p>
            <w:pPr>
              <w:pStyle w:val="TableText"/>
            </w:pPr>
            <w:r>
              <w:rPr/>
              <w:t>85</w:t>
            </w:r>
          </w:p>
        </w:tc>
        <w:tc>
          <w:tcPr>
            <w:tcW w:type="dxa" w:w="3120"/>
            <w:shd w:fill="F5F7F8" w:val="clear" w:color="auto"/>
            <w:tcMar>
              <w:top w:w="70" w:type="dxa"/>
              <w:start w:w="110" w:type="dxa"/>
              <w:bottom w:w="70" w:type="dxa"/>
              <w:end w:w="110" w:type="dxa"/>
            </w:tcMar>
          </w:tcPr>
          <w:p>
            <w:pPr>
              <w:pStyle w:val="TableText"/>
            </w:pPr>
            <w:r>
              <w:rPr/>
              <w:t>% ARTIFICIAL STAPLE FIBER</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7.60</w:t>
            </w:r>
          </w:p>
        </w:tc>
        <w:tc>
          <w:tcPr>
            <w:tcW w:type="dxa" w:w="3120"/>
            <w:tcMar>
              <w:top w:w="70" w:type="dxa"/>
              <w:start w:w="110" w:type="dxa"/>
              <w:bottom w:w="70" w:type="dxa"/>
              <w:end w:w="110" w:type="dxa"/>
            </w:tcMar>
          </w:tcPr>
          <w:p>
            <w:pPr>
              <w:pStyle w:val="TableText"/>
            </w:pPr>
            <w:r>
              <w:rPr/>
              <w:t>YARN ≥</w:t>
            </w:r>
          </w:p>
        </w:tc>
        <w:tc>
          <w:tcPr>
            <w:tcW w:type="dxa" w:w="3120"/>
            <w:tcMar>
              <w:top w:w="70" w:type="dxa"/>
              <w:start w:w="110" w:type="dxa"/>
              <w:bottom w:w="70" w:type="dxa"/>
              <w:end w:w="110" w:type="dxa"/>
            </w:tcMar>
          </w:tcPr>
          <w:p>
            <w:pPr>
              <w:pStyle w:val="TableText"/>
            </w:pPr>
            <w:r>
              <w:rPr/>
            </w:r>
          </w:p>
        </w:tc>
      </w:tr>
      <w:tr>
        <w:trPr>
          <w:cantSplit/>
        </w:trPr>
        <w:tc>
          <w:tcPr>
            <w:tcW w:type="dxa" w:w="3120"/>
            <w:shd w:fill="F5F7F8" w:val="clear" w:color="auto"/>
            <w:tcMar>
              <w:top w:w="70" w:type="dxa"/>
              <w:start w:w="110" w:type="dxa"/>
              <w:bottom w:w="70" w:type="dxa"/>
              <w:end w:w="110" w:type="dxa"/>
            </w:tcMar>
          </w:tcPr>
          <w:p>
            <w:pPr>
              <w:pStyle w:val="TableText"/>
            </w:pPr>
            <w:r>
              <w:rPr/>
              <w:t>85</w:t>
            </w:r>
          </w:p>
        </w:tc>
        <w:tc>
          <w:tcPr>
            <w:tcW w:type="dxa" w:w="3120"/>
            <w:shd w:fill="F5F7F8" w:val="clear" w:color="auto"/>
            <w:tcMar>
              <w:top w:w="70" w:type="dxa"/>
              <w:start w:w="110" w:type="dxa"/>
              <w:bottom w:w="70" w:type="dxa"/>
              <w:end w:w="110" w:type="dxa"/>
            </w:tcMar>
          </w:tcPr>
          <w:p>
            <w:pPr>
              <w:pStyle w:val="TableText"/>
            </w:pPr>
            <w:r>
              <w:rPr/>
              <w:t>% SYNTHETIC STAPLE FIBER</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20.10</w:t>
            </w:r>
          </w:p>
        </w:tc>
        <w:tc>
          <w:tcPr>
            <w:tcW w:type="dxa" w:w="3120"/>
            <w:tcMar>
              <w:top w:w="70" w:type="dxa"/>
              <w:start w:w="110" w:type="dxa"/>
              <w:bottom w:w="70" w:type="dxa"/>
              <w:end w:w="110" w:type="dxa"/>
            </w:tcMar>
          </w:tcPr>
          <w:p>
            <w:pPr>
              <w:pStyle w:val="TableText"/>
            </w:pPr>
            <w:r>
              <w:rPr/>
              <w:t>NON TEXTURED FILAMENT YARN</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6.50</w:t>
            </w:r>
          </w:p>
        </w:tc>
        <w:tc>
          <w:tcPr>
            <w:tcW w:type="dxa" w:w="3120"/>
            <w:shd w:fill="F5F7F8" w:val="clear" w:color="auto"/>
            <w:tcMar>
              <w:top w:w="70" w:type="dxa"/>
              <w:start w:w="110" w:type="dxa"/>
              <w:bottom w:w="70" w:type="dxa"/>
              <w:end w:w="110" w:type="dxa"/>
            </w:tcMar>
          </w:tcPr>
          <w:p>
            <w:pPr>
              <w:pStyle w:val="TableText"/>
            </w:pPr>
            <w:r>
              <w:rPr/>
              <w:t>OTHER STAPLE FIBER YARN</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WOVEN FABRIC ≥</w:t>
            </w:r>
          </w:p>
        </w:tc>
        <w:tc>
          <w:tcPr>
            <w:tcW w:type="dxa" w:w="3120"/>
            <w:tcMar>
              <w:top w:w="70" w:type="dxa"/>
              <w:start w:w="110" w:type="dxa"/>
              <w:bottom w:w="70" w:type="dxa"/>
              <w:end w:w="110" w:type="dxa"/>
            </w:tcMar>
          </w:tcPr>
          <w:p>
            <w:pPr>
              <w:pStyle w:val="TableText"/>
            </w:pPr>
            <w:r>
              <w:rPr/>
            </w:r>
          </w:p>
        </w:tc>
      </w:tr>
      <w:tr>
        <w:trPr>
          <w:cantSplit/>
        </w:trPr>
        <w:tc>
          <w:tcPr>
            <w:tcW w:type="dxa" w:w="3120"/>
            <w:shd w:fill="F5F7F8" w:val="clear" w:color="auto"/>
            <w:tcMar>
              <w:top w:w="70" w:type="dxa"/>
              <w:start w:w="110" w:type="dxa"/>
              <w:bottom w:w="70" w:type="dxa"/>
              <w:end w:w="110" w:type="dxa"/>
            </w:tcMar>
          </w:tcPr>
          <w:p>
            <w:pPr>
              <w:pStyle w:val="TableText"/>
            </w:pPr>
            <w:r>
              <w:rPr/>
              <w:t>85</w:t>
            </w:r>
          </w:p>
        </w:tc>
        <w:tc>
          <w:tcPr>
            <w:tcW w:type="dxa" w:w="3120"/>
            <w:shd w:fill="F5F7F8" w:val="clear" w:color="auto"/>
            <w:tcMar>
              <w:top w:w="70" w:type="dxa"/>
              <w:start w:w="110" w:type="dxa"/>
              <w:bottom w:w="70" w:type="dxa"/>
              <w:end w:w="110" w:type="dxa"/>
            </w:tcMar>
          </w:tcPr>
          <w:p>
            <w:pPr>
              <w:pStyle w:val="TableText"/>
            </w:pPr>
            <w:r>
              <w:rPr/>
              <w:t>% ARTIFICIAL STAPLE</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MMF SHEETING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MMF POPLIN &amp; BROADCLOTH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MMF PRINTCLOTH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MMF TWILL AND SATEEN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WOVEN ARTIFICIAL FILAMENT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POLYESTER FILAMENT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OTHER SYNTHETIC FILAMENT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14.40</w:t>
            </w:r>
          </w:p>
        </w:tc>
        <w:tc>
          <w:tcPr>
            <w:tcW w:type="dxa" w:w="3120"/>
            <w:shd w:fill="F5F7F8" w:val="clear" w:color="auto"/>
            <w:tcMar>
              <w:top w:w="70" w:type="dxa"/>
              <w:start w:w="110" w:type="dxa"/>
              <w:bottom w:w="70" w:type="dxa"/>
              <w:end w:w="110" w:type="dxa"/>
            </w:tcMar>
          </w:tcPr>
          <w:p>
            <w:pPr>
              <w:pStyle w:val="TableText"/>
            </w:pPr>
            <w:r>
              <w:rPr/>
              <w:t>IMPRESSION FABRIC</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GLASS FIBER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WOVEN MMF FABRIC,</w:t>
            </w:r>
          </w:p>
        </w:tc>
        <w:tc>
          <w:tcPr>
            <w:tcW w:type="dxa" w:w="3120"/>
            <w:shd w:fill="F5F7F8" w:val="clear" w:color="auto"/>
            <w:tcMar>
              <w:top w:w="70" w:type="dxa"/>
              <w:start w:w="110" w:type="dxa"/>
              <w:bottom w:w="70" w:type="dxa"/>
              <w:end w:w="110" w:type="dxa"/>
            </w:tcMar>
          </w:tcPr>
          <w:p>
            <w:pPr>
              <w:pStyle w:val="TableText"/>
            </w:pPr>
            <w:r>
              <w:rPr/>
            </w:r>
          </w:p>
        </w:tc>
      </w:tr>
      <w:tr>
        <w:trPr>
          <w:cantSplit/>
        </w:trPr>
        <w:tc>
          <w:tcPr>
            <w:tcW w:type="dxa" w:w="3120"/>
            <w:tcMar>
              <w:top w:w="70" w:type="dxa"/>
              <w:start w:w="110" w:type="dxa"/>
              <w:bottom w:w="70" w:type="dxa"/>
              <w:end w:w="110" w:type="dxa"/>
            </w:tcMar>
          </w:tcPr>
          <w:p>
            <w:pPr>
              <w:pStyle w:val="TableText"/>
            </w:pPr>
            <w:r>
              <w:rPr/>
              <w:t>15</w:t>
            </w:r>
          </w:p>
        </w:tc>
        <w:tc>
          <w:tcPr>
            <w:tcW w:type="dxa" w:w="3120"/>
            <w:tcMar>
              <w:top w:w="70" w:type="dxa"/>
              <w:start w:w="110" w:type="dxa"/>
              <w:bottom w:w="70" w:type="dxa"/>
              <w:end w:w="110" w:type="dxa"/>
            </w:tcMar>
          </w:tcPr>
          <w:p>
            <w:pPr>
              <w:pStyle w:val="TableText"/>
            </w:pPr>
            <w:r>
              <w:rPr/>
              <w:t>% TO</w:t>
            </w:r>
          </w:p>
        </w:tc>
        <w:tc>
          <w:tcPr>
            <w:tcW w:type="dxa" w:w="3120"/>
            <w:tcMar>
              <w:top w:w="70" w:type="dxa"/>
              <w:start w:w="110" w:type="dxa"/>
              <w:bottom w:w="70" w:type="dxa"/>
              <w:end w:w="110" w:type="dxa"/>
            </w:tcMar>
          </w:tcPr>
          <w:p>
            <w:pPr>
              <w:pStyle w:val="TableText"/>
            </w:pPr>
            <w:r>
              <w:rPr/>
            </w:r>
          </w:p>
        </w:tc>
      </w:tr>
      <w:tr>
        <w:trPr>
          <w:cantSplit/>
        </w:trPr>
        <w:tc>
          <w:tcPr>
            <w:tcW w:type="dxa" w:w="3120"/>
            <w:shd w:fill="F5F7F8" w:val="clear" w:color="auto"/>
            <w:tcMar>
              <w:top w:w="70" w:type="dxa"/>
              <w:start w:w="110" w:type="dxa"/>
              <w:bottom w:w="70" w:type="dxa"/>
              <w:end w:w="110" w:type="dxa"/>
            </w:tcMar>
          </w:tcPr>
          <w:p>
            <w:pPr>
              <w:pStyle w:val="TableText"/>
            </w:pPr>
            <w:r>
              <w:rPr/>
              <w:t>36</w:t>
            </w:r>
          </w:p>
        </w:tc>
        <w:tc>
          <w:tcPr>
            <w:tcW w:type="dxa" w:w="3120"/>
            <w:shd w:fill="F5F7F8" w:val="clear" w:color="auto"/>
            <w:tcMar>
              <w:top w:w="70" w:type="dxa"/>
              <w:start w:w="110" w:type="dxa"/>
              <w:bottom w:w="70" w:type="dxa"/>
              <w:end w:w="110" w:type="dxa"/>
            </w:tcMar>
          </w:tcPr>
          <w:p>
            <w:pPr>
              <w:pStyle w:val="TableText"/>
            </w:pPr>
            <w:r>
              <w:rPr/>
              <w:t>% WOOL</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MMF STAPLE/FILAMENT POPLIN &amp;  BROADCLOTH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MMF STAPLE/FILAMENT PRINTCLOTH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MMF STAPLE/FILAMENT SHEETING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MMF STAPLE/FILAMENT TWILL/SATEEN  FABRIC</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OTHER MMF STAPLE/FILAMENT FABRIC</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1.40</w:t>
            </w:r>
          </w:p>
        </w:tc>
        <w:tc>
          <w:tcPr>
            <w:tcW w:type="dxa" w:w="3120"/>
            <w:shd w:fill="F5F7F8" w:val="clear" w:color="auto"/>
            <w:tcMar>
              <w:top w:w="70" w:type="dxa"/>
              <w:start w:w="110" w:type="dxa"/>
              <w:bottom w:w="70" w:type="dxa"/>
              <w:end w:w="110" w:type="dxa"/>
            </w:tcMar>
          </w:tcPr>
          <w:p>
            <w:pPr>
              <w:pStyle w:val="TableText"/>
            </w:pPr>
            <w:r>
              <w:rPr/>
              <w:t>MMF HANDKERCHIEFS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2.90</w:t>
            </w:r>
          </w:p>
        </w:tc>
        <w:tc>
          <w:tcPr>
            <w:tcW w:type="dxa" w:w="3120"/>
            <w:tcMar>
              <w:top w:w="70" w:type="dxa"/>
              <w:start w:w="110" w:type="dxa"/>
              <w:bottom w:w="70" w:type="dxa"/>
              <w:end w:w="110" w:type="dxa"/>
            </w:tcMar>
          </w:tcPr>
          <w:p>
            <w:pPr>
              <w:pStyle w:val="TableText"/>
            </w:pPr>
            <w:r>
              <w:rPr/>
              <w:t>MMF GLOVES AND MITTENS</w:t>
            </w:r>
          </w:p>
        </w:tc>
        <w:tc>
          <w:tcPr>
            <w:tcW w:type="dxa" w:w="3120"/>
            <w:tcMar>
              <w:top w:w="70" w:type="dxa"/>
              <w:start w:w="110" w:type="dxa"/>
              <w:bottom w:w="70" w:type="dxa"/>
              <w:end w:w="110" w:type="dxa"/>
            </w:tcMar>
          </w:tcPr>
          <w:p>
            <w:pPr>
              <w:pStyle w:val="TableText"/>
            </w:pPr>
            <w:r>
              <w:rPr/>
              <w:t>DPR</w:t>
            </w:r>
          </w:p>
        </w:tc>
      </w:tr>
      <w:tr>
        <w:trPr>
          <w:cantSplit/>
        </w:trPr>
        <w:tc>
          <w:tcPr>
            <w:tcW w:type="dxa" w:w="3120"/>
            <w:shd w:fill="F5F7F8" w:val="clear" w:color="auto"/>
            <w:tcMar>
              <w:top w:w="70" w:type="dxa"/>
              <w:start w:w="110" w:type="dxa"/>
              <w:bottom w:w="70" w:type="dxa"/>
              <w:end w:w="110" w:type="dxa"/>
            </w:tcMar>
          </w:tcPr>
          <w:p>
            <w:pPr>
              <w:pStyle w:val="TableText"/>
            </w:pPr>
            <w:r>
              <w:rPr/>
              <w:t>3.80</w:t>
            </w:r>
          </w:p>
        </w:tc>
        <w:tc>
          <w:tcPr>
            <w:tcW w:type="dxa" w:w="3120"/>
            <w:shd w:fill="F5F7F8" w:val="clear" w:color="auto"/>
            <w:tcMar>
              <w:top w:w="70" w:type="dxa"/>
              <w:start w:w="110" w:type="dxa"/>
              <w:bottom w:w="70" w:type="dxa"/>
              <w:end w:w="110" w:type="dxa"/>
            </w:tcMar>
          </w:tcPr>
          <w:p>
            <w:pPr>
              <w:pStyle w:val="TableText"/>
            </w:pPr>
            <w:r>
              <w:rPr/>
              <w:t>MMF HOSIERY</w:t>
            </w:r>
          </w:p>
        </w:tc>
        <w:tc>
          <w:tcPr>
            <w:tcW w:type="dxa" w:w="3120"/>
            <w:shd w:fill="F5F7F8" w:val="clear" w:color="auto"/>
            <w:tcMar>
              <w:top w:w="70" w:type="dxa"/>
              <w:start w:w="110" w:type="dxa"/>
              <w:bottom w:w="70" w:type="dxa"/>
              <w:end w:w="110" w:type="dxa"/>
            </w:tcMar>
          </w:tcPr>
          <w:p>
            <w:pPr>
              <w:pStyle w:val="TableText"/>
            </w:pPr>
            <w:r>
              <w:rPr/>
              <w:t>DPR</w:t>
            </w:r>
          </w:p>
        </w:tc>
      </w:tr>
      <w:tr>
        <w:trPr>
          <w:cantSplit/>
        </w:trPr>
        <w:tc>
          <w:tcPr>
            <w:tcW w:type="dxa" w:w="3120"/>
            <w:tcMar>
              <w:top w:w="70" w:type="dxa"/>
              <w:start w:w="110" w:type="dxa"/>
              <w:bottom w:w="70" w:type="dxa"/>
              <w:end w:w="110" w:type="dxa"/>
            </w:tcMar>
          </w:tcPr>
          <w:p>
            <w:pPr>
              <w:pStyle w:val="TableText"/>
            </w:pPr>
            <w:r>
              <w:rPr/>
              <w:t>30.30</w:t>
            </w:r>
          </w:p>
        </w:tc>
        <w:tc>
          <w:tcPr>
            <w:tcW w:type="dxa" w:w="3120"/>
            <w:tcMar>
              <w:top w:w="70" w:type="dxa"/>
              <w:start w:w="110" w:type="dxa"/>
              <w:bottom w:w="70" w:type="dxa"/>
              <w:end w:w="110" w:type="dxa"/>
            </w:tcMar>
          </w:tcPr>
          <w:p>
            <w:pPr>
              <w:pStyle w:val="TableText"/>
            </w:pPr>
            <w:r>
              <w:rPr/>
              <w:t>M&amp;B MMF SUIT TYPE COATS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34.50</w:t>
            </w:r>
          </w:p>
        </w:tc>
        <w:tc>
          <w:tcPr>
            <w:tcW w:type="dxa" w:w="3120"/>
            <w:shd w:fill="F5F7F8" w:val="clear" w:color="auto"/>
            <w:tcMar>
              <w:top w:w="70" w:type="dxa"/>
              <w:start w:w="110" w:type="dxa"/>
              <w:bottom w:w="70" w:type="dxa"/>
              <w:end w:w="110" w:type="dxa"/>
            </w:tcMar>
          </w:tcPr>
          <w:p>
            <w:pPr>
              <w:pStyle w:val="TableText"/>
            </w:pPr>
            <w:r>
              <w:rPr/>
              <w:t>OTHER M&amp;B MMF COATS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34.50</w:t>
            </w:r>
          </w:p>
        </w:tc>
        <w:tc>
          <w:tcPr>
            <w:tcW w:type="dxa" w:w="3120"/>
            <w:tcMar>
              <w:top w:w="70" w:type="dxa"/>
              <w:start w:w="110" w:type="dxa"/>
              <w:bottom w:w="70" w:type="dxa"/>
              <w:end w:w="110" w:type="dxa"/>
            </w:tcMar>
          </w:tcPr>
          <w:p>
            <w:pPr>
              <w:pStyle w:val="TableText"/>
            </w:pPr>
            <w:r>
              <w:rPr/>
              <w:t>W&amp;G MMF COATS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37.90</w:t>
            </w:r>
          </w:p>
        </w:tc>
        <w:tc>
          <w:tcPr>
            <w:tcW w:type="dxa" w:w="3120"/>
            <w:shd w:fill="F5F7F8" w:val="clear" w:color="auto"/>
            <w:tcMar>
              <w:top w:w="70" w:type="dxa"/>
              <w:start w:w="110" w:type="dxa"/>
              <w:bottom w:w="70" w:type="dxa"/>
              <w:end w:w="110" w:type="dxa"/>
            </w:tcMar>
          </w:tcPr>
          <w:p>
            <w:pPr>
              <w:pStyle w:val="TableText"/>
            </w:pPr>
            <w:r>
              <w:rPr/>
              <w:t>MMF DRESSES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15.00</w:t>
            </w:r>
          </w:p>
        </w:tc>
        <w:tc>
          <w:tcPr>
            <w:tcW w:type="dxa" w:w="3120"/>
            <w:tcMar>
              <w:top w:w="70" w:type="dxa"/>
              <w:start w:w="110" w:type="dxa"/>
              <w:bottom w:w="70" w:type="dxa"/>
              <w:end w:w="110" w:type="dxa"/>
            </w:tcMar>
          </w:tcPr>
          <w:p>
            <w:pPr>
              <w:pStyle w:val="TableText"/>
            </w:pPr>
            <w:r>
              <w:rPr/>
              <w:t>M&amp;B MMF KNIT SHIRTS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12.50</w:t>
            </w:r>
          </w:p>
        </w:tc>
        <w:tc>
          <w:tcPr>
            <w:tcW w:type="dxa" w:w="3120"/>
            <w:shd w:fill="F5F7F8" w:val="clear" w:color="auto"/>
            <w:tcMar>
              <w:top w:w="70" w:type="dxa"/>
              <w:start w:w="110" w:type="dxa"/>
              <w:bottom w:w="70" w:type="dxa"/>
              <w:end w:w="110" w:type="dxa"/>
            </w:tcMar>
          </w:tcPr>
          <w:p>
            <w:pPr>
              <w:pStyle w:val="TableText"/>
            </w:pPr>
            <w:r>
              <w:rPr/>
              <w:t>W&amp;G MMF KNIT SHIRTS &amp; BLOUSES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20.10</w:t>
            </w:r>
          </w:p>
        </w:tc>
        <w:tc>
          <w:tcPr>
            <w:tcW w:type="dxa" w:w="3120"/>
            <w:tcMar>
              <w:top w:w="70" w:type="dxa"/>
              <w:start w:w="110" w:type="dxa"/>
              <w:bottom w:w="70" w:type="dxa"/>
              <w:end w:w="110" w:type="dxa"/>
            </w:tcMar>
          </w:tcPr>
          <w:p>
            <w:pPr>
              <w:pStyle w:val="TableText"/>
            </w:pPr>
            <w:r>
              <w:rPr/>
              <w:t>M&amp;B NOT KNIT MMF SHIRTS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12.10</w:t>
            </w:r>
          </w:p>
        </w:tc>
        <w:tc>
          <w:tcPr>
            <w:tcW w:type="dxa" w:w="3120"/>
            <w:shd w:fill="F5F7F8" w:val="clear" w:color="auto"/>
            <w:tcMar>
              <w:top w:w="70" w:type="dxa"/>
              <w:start w:w="110" w:type="dxa"/>
              <w:bottom w:w="70" w:type="dxa"/>
              <w:end w:w="110" w:type="dxa"/>
            </w:tcMar>
          </w:tcPr>
          <w:p>
            <w:pPr>
              <w:pStyle w:val="TableText"/>
            </w:pPr>
            <w:r>
              <w:rPr/>
              <w:t>W&amp;G NOT KNIT MMF SHIRTS &amp; BLOUSES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14.90</w:t>
            </w:r>
          </w:p>
        </w:tc>
        <w:tc>
          <w:tcPr>
            <w:tcW w:type="dxa" w:w="3120"/>
            <w:tcMar>
              <w:top w:w="70" w:type="dxa"/>
              <w:start w:w="110" w:type="dxa"/>
              <w:bottom w:w="70" w:type="dxa"/>
              <w:end w:w="110" w:type="dxa"/>
            </w:tcMar>
          </w:tcPr>
          <w:p>
            <w:pPr>
              <w:pStyle w:val="TableText"/>
            </w:pPr>
            <w:r>
              <w:rPr/>
              <w:t>MMF SKIRTS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3.76</w:t>
            </w:r>
          </w:p>
        </w:tc>
        <w:tc>
          <w:tcPr>
            <w:tcW w:type="dxa" w:w="3120"/>
            <w:shd w:fill="F5F7F8" w:val="clear" w:color="auto"/>
            <w:tcMar>
              <w:top w:w="70" w:type="dxa"/>
              <w:start w:w="110" w:type="dxa"/>
              <w:bottom w:w="70" w:type="dxa"/>
              <w:end w:w="110" w:type="dxa"/>
            </w:tcMar>
          </w:tcPr>
          <w:p>
            <w:pPr>
              <w:pStyle w:val="TableText"/>
            </w:pPr>
            <w:r>
              <w:rPr/>
              <w:t>M&amp;B MMF SUITS</w:t>
            </w:r>
          </w:p>
        </w:tc>
        <w:tc>
          <w:tcPr>
            <w:tcW w:type="dxa" w:w="3120"/>
            <w:shd w:fill="F5F7F8" w:val="clear" w:color="auto"/>
            <w:tcMar>
              <w:top w:w="70" w:type="dxa"/>
              <w:start w:w="110" w:type="dxa"/>
              <w:bottom w:w="70" w:type="dxa"/>
              <w:end w:w="110" w:type="dxa"/>
            </w:tcMar>
          </w:tcPr>
          <w:p>
            <w:pPr>
              <w:pStyle w:val="TableText"/>
            </w:pPr>
            <w:r>
              <w:rPr/>
              <w:t>NO</w:t>
            </w:r>
          </w:p>
        </w:tc>
      </w:tr>
      <w:tr>
        <w:trPr>
          <w:cantSplit/>
        </w:trPr>
        <w:tc>
          <w:tcPr>
            <w:tcW w:type="dxa" w:w="3120"/>
            <w:tcMar>
              <w:top w:w="70" w:type="dxa"/>
              <w:start w:w="110" w:type="dxa"/>
              <w:bottom w:w="70" w:type="dxa"/>
              <w:end w:w="110" w:type="dxa"/>
            </w:tcMar>
          </w:tcPr>
          <w:p>
            <w:pPr>
              <w:pStyle w:val="TableText"/>
            </w:pPr>
            <w:r>
              <w:rPr/>
              <w:t>3.76</w:t>
            </w:r>
          </w:p>
        </w:tc>
        <w:tc>
          <w:tcPr>
            <w:tcW w:type="dxa" w:w="3120"/>
            <w:tcMar>
              <w:top w:w="70" w:type="dxa"/>
              <w:start w:w="110" w:type="dxa"/>
              <w:bottom w:w="70" w:type="dxa"/>
              <w:end w:w="110" w:type="dxa"/>
            </w:tcMar>
          </w:tcPr>
          <w:p>
            <w:pPr>
              <w:pStyle w:val="TableText"/>
            </w:pPr>
            <w:r>
              <w:rPr/>
              <w:t>W&amp;G MMF SUITS</w:t>
            </w:r>
          </w:p>
        </w:tc>
        <w:tc>
          <w:tcPr>
            <w:tcW w:type="dxa" w:w="3120"/>
            <w:tcMar>
              <w:top w:w="70" w:type="dxa"/>
              <w:start w:w="110" w:type="dxa"/>
              <w:bottom w:w="70" w:type="dxa"/>
              <w:end w:w="110" w:type="dxa"/>
            </w:tcMar>
          </w:tcPr>
          <w:p>
            <w:pPr>
              <w:pStyle w:val="TableText"/>
            </w:pPr>
            <w:r>
              <w:rPr/>
              <w:t>NO</w:t>
            </w:r>
          </w:p>
        </w:tc>
      </w:tr>
      <w:tr>
        <w:trPr>
          <w:cantSplit/>
        </w:trPr>
        <w:tc>
          <w:tcPr>
            <w:tcW w:type="dxa" w:w="3120"/>
            <w:shd w:fill="F5F7F8" w:val="clear" w:color="auto"/>
            <w:tcMar>
              <w:top w:w="70" w:type="dxa"/>
              <w:start w:w="110" w:type="dxa"/>
              <w:bottom w:w="70" w:type="dxa"/>
              <w:end w:w="110" w:type="dxa"/>
            </w:tcMar>
          </w:tcPr>
          <w:p>
            <w:pPr>
              <w:pStyle w:val="TableText"/>
            </w:pPr>
            <w:r>
              <w:rPr/>
              <w:t>30.80</w:t>
            </w:r>
          </w:p>
        </w:tc>
        <w:tc>
          <w:tcPr>
            <w:tcW w:type="dxa" w:w="3120"/>
            <w:shd w:fill="F5F7F8" w:val="clear" w:color="auto"/>
            <w:tcMar>
              <w:top w:w="70" w:type="dxa"/>
              <w:start w:w="110" w:type="dxa"/>
              <w:bottom w:w="70" w:type="dxa"/>
              <w:end w:w="110" w:type="dxa"/>
            </w:tcMar>
          </w:tcPr>
          <w:p>
            <w:pPr>
              <w:pStyle w:val="TableText"/>
            </w:pPr>
            <w:r>
              <w:rPr/>
              <w:t>M&amp;B MMF SWEATERS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30.80</w:t>
            </w:r>
          </w:p>
        </w:tc>
        <w:tc>
          <w:tcPr>
            <w:tcW w:type="dxa" w:w="3120"/>
            <w:tcMar>
              <w:top w:w="70" w:type="dxa"/>
              <w:start w:w="110" w:type="dxa"/>
              <w:bottom w:w="70" w:type="dxa"/>
              <w:end w:w="110" w:type="dxa"/>
            </w:tcMar>
          </w:tcPr>
          <w:p>
            <w:pPr>
              <w:pStyle w:val="TableText"/>
            </w:pPr>
            <w:r>
              <w:rPr/>
              <w:t>W&amp;G MMF SWEATERS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14.90</w:t>
            </w:r>
          </w:p>
        </w:tc>
        <w:tc>
          <w:tcPr>
            <w:tcW w:type="dxa" w:w="3120"/>
            <w:shd w:fill="F5F7F8" w:val="clear" w:color="auto"/>
            <w:tcMar>
              <w:top w:w="70" w:type="dxa"/>
              <w:start w:w="110" w:type="dxa"/>
              <w:bottom w:w="70" w:type="dxa"/>
              <w:end w:w="110" w:type="dxa"/>
            </w:tcMar>
          </w:tcPr>
          <w:p>
            <w:pPr>
              <w:pStyle w:val="TableText"/>
            </w:pPr>
            <w:r>
              <w:rPr/>
              <w:t>M&amp;B MMF TROUSERS/BREECHES/SHORTS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14.90</w:t>
            </w:r>
          </w:p>
        </w:tc>
        <w:tc>
          <w:tcPr>
            <w:tcW w:type="dxa" w:w="3120"/>
            <w:tcMar>
              <w:top w:w="70" w:type="dxa"/>
              <w:start w:w="110" w:type="dxa"/>
              <w:bottom w:w="70" w:type="dxa"/>
              <w:end w:w="110" w:type="dxa"/>
            </w:tcMar>
          </w:tcPr>
          <w:p>
            <w:pPr>
              <w:pStyle w:val="TableText"/>
            </w:pPr>
            <w:r>
              <w:rPr/>
              <w:t>W&amp;G MMF TROUSERS/BREECHES/SHORTS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4.00</w:t>
            </w:r>
          </w:p>
        </w:tc>
        <w:tc>
          <w:tcPr>
            <w:tcW w:type="dxa" w:w="3120"/>
            <w:shd w:fill="F5F7F8" w:val="clear" w:color="auto"/>
            <w:tcMar>
              <w:top w:w="70" w:type="dxa"/>
              <w:start w:w="110" w:type="dxa"/>
              <w:bottom w:w="70" w:type="dxa"/>
              <w:end w:w="110" w:type="dxa"/>
            </w:tcMar>
          </w:tcPr>
          <w:p>
            <w:pPr>
              <w:pStyle w:val="TableText"/>
            </w:pPr>
            <w:r>
              <w:rPr/>
              <w:t>MMF BRAS &amp; OTHER BODY SUPPORT  GARMENTS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42.60</w:t>
            </w:r>
          </w:p>
        </w:tc>
        <w:tc>
          <w:tcPr>
            <w:tcW w:type="dxa" w:w="3120"/>
            <w:tcMar>
              <w:top w:w="70" w:type="dxa"/>
              <w:start w:w="110" w:type="dxa"/>
              <w:bottom w:w="70" w:type="dxa"/>
              <w:end w:w="110" w:type="dxa"/>
            </w:tcMar>
          </w:tcPr>
          <w:p>
            <w:pPr>
              <w:pStyle w:val="TableText"/>
            </w:pPr>
            <w:r>
              <w:rPr/>
              <w:t>MMF ROBES, DRESSING GOWNS, ETC.</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43.50</w:t>
            </w:r>
          </w:p>
        </w:tc>
        <w:tc>
          <w:tcPr>
            <w:tcW w:type="dxa" w:w="3120"/>
            <w:shd w:fill="F5F7F8" w:val="clear" w:color="auto"/>
            <w:tcMar>
              <w:top w:w="70" w:type="dxa"/>
              <w:start w:w="110" w:type="dxa"/>
              <w:bottom w:w="70" w:type="dxa"/>
              <w:end w:w="110" w:type="dxa"/>
            </w:tcMar>
          </w:tcPr>
          <w:p>
            <w:pPr>
              <w:pStyle w:val="TableText"/>
            </w:pPr>
            <w:r>
              <w:rPr/>
              <w:t>MMF NIGHTWEAR &amp; PAJAMAS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13.40</w:t>
            </w:r>
          </w:p>
        </w:tc>
        <w:tc>
          <w:tcPr>
            <w:tcW w:type="dxa" w:w="3120"/>
            <w:tcMar>
              <w:top w:w="70" w:type="dxa"/>
              <w:start w:w="110" w:type="dxa"/>
              <w:bottom w:w="70" w:type="dxa"/>
              <w:end w:w="110" w:type="dxa"/>
            </w:tcMar>
          </w:tcPr>
          <w:p>
            <w:pPr>
              <w:pStyle w:val="TableText"/>
            </w:pPr>
            <w:r>
              <w:rPr/>
              <w:t>MMF UNDERWEAR</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34.50</w:t>
            </w:r>
          </w:p>
        </w:tc>
        <w:tc>
          <w:tcPr>
            <w:tcW w:type="dxa" w:w="3120"/>
            <w:shd w:fill="F5F7F8" w:val="clear" w:color="auto"/>
            <w:tcMar>
              <w:top w:w="70" w:type="dxa"/>
              <w:start w:w="110" w:type="dxa"/>
              <w:bottom w:w="70" w:type="dxa"/>
              <w:end w:w="110" w:type="dxa"/>
            </w:tcMar>
          </w:tcPr>
          <w:p>
            <w:pPr>
              <w:pStyle w:val="TableText"/>
            </w:pPr>
            <w:r>
              <w:rPr/>
              <w:t>M&amp;B MMF DOWN FILLED COATS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34.50</w:t>
            </w:r>
          </w:p>
        </w:tc>
        <w:tc>
          <w:tcPr>
            <w:tcW w:type="dxa" w:w="3120"/>
            <w:tcMar>
              <w:top w:w="70" w:type="dxa"/>
              <w:start w:w="110" w:type="dxa"/>
              <w:bottom w:w="70" w:type="dxa"/>
              <w:end w:w="110" w:type="dxa"/>
            </w:tcMar>
          </w:tcPr>
          <w:p>
            <w:pPr>
              <w:pStyle w:val="TableText"/>
            </w:pPr>
            <w:r>
              <w:rPr/>
              <w:t>W&amp;G MMF DOWN FILLED COATS    U.S.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14.40</w:t>
            </w:r>
          </w:p>
        </w:tc>
        <w:tc>
          <w:tcPr>
            <w:tcW w:type="dxa" w:w="3120"/>
            <w:shd w:fill="F5F7F8" w:val="clear" w:color="auto"/>
            <w:tcMar>
              <w:top w:w="70" w:type="dxa"/>
              <w:start w:w="110" w:type="dxa"/>
              <w:bottom w:w="70" w:type="dxa"/>
              <w:end w:w="110" w:type="dxa"/>
            </w:tcMar>
          </w:tcPr>
          <w:p>
            <w:pPr>
              <w:pStyle w:val="TableText"/>
            </w:pPr>
            <w:r>
              <w:rPr/>
              <w:t>OTHER MMF APPAREL</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1.00</w:t>
            </w:r>
          </w:p>
        </w:tc>
        <w:tc>
          <w:tcPr>
            <w:tcW w:type="dxa" w:w="3120"/>
            <w:tcMar>
              <w:top w:w="70" w:type="dxa"/>
              <w:start w:w="110" w:type="dxa"/>
              <w:bottom w:w="70" w:type="dxa"/>
              <w:end w:w="110" w:type="dxa"/>
            </w:tcMar>
          </w:tcPr>
          <w:p>
            <w:pPr>
              <w:pStyle w:val="TableText"/>
            </w:pPr>
            <w:r>
              <w:rPr/>
              <w:t>MMF FLOOR COVERINGS</w:t>
            </w:r>
          </w:p>
        </w:tc>
        <w:tc>
          <w:tcPr>
            <w:tcW w:type="dxa" w:w="3120"/>
            <w:tcMar>
              <w:top w:w="70" w:type="dxa"/>
              <w:start w:w="110" w:type="dxa"/>
              <w:bottom w:w="70" w:type="dxa"/>
              <w:end w:w="110" w:type="dxa"/>
            </w:tcMar>
          </w:tcPr>
          <w:p>
            <w:pPr>
              <w:pStyle w:val="TableText"/>
            </w:pPr>
            <w:r>
              <w:rPr/>
              <w:t>SM</w:t>
            </w:r>
          </w:p>
        </w:tc>
      </w:tr>
      <w:tr>
        <w:trPr>
          <w:cantSplit/>
        </w:trPr>
        <w:tc>
          <w:tcPr>
            <w:tcW w:type="dxa" w:w="3120"/>
            <w:shd w:fill="F5F7F8" w:val="clear" w:color="auto"/>
            <w:tcMar>
              <w:top w:w="70" w:type="dxa"/>
              <w:start w:w="110" w:type="dxa"/>
              <w:bottom w:w="70" w:type="dxa"/>
              <w:end w:w="110" w:type="dxa"/>
            </w:tcMar>
          </w:tcPr>
          <w:p>
            <w:pPr>
              <w:pStyle w:val="TableText"/>
            </w:pPr>
            <w:r>
              <w:rPr/>
              <w:t>14.40</w:t>
            </w:r>
          </w:p>
        </w:tc>
        <w:tc>
          <w:tcPr>
            <w:tcW w:type="dxa" w:w="3120"/>
            <w:shd w:fill="F5F7F8" w:val="clear" w:color="auto"/>
            <w:tcMar>
              <w:top w:w="70" w:type="dxa"/>
              <w:start w:w="110" w:type="dxa"/>
              <w:bottom w:w="70" w:type="dxa"/>
              <w:end w:w="110" w:type="dxa"/>
            </w:tcMar>
          </w:tcPr>
          <w:p>
            <w:pPr>
              <w:pStyle w:val="TableText"/>
            </w:pPr>
            <w:r>
              <w:rPr/>
              <w:t>OTHER MMF FURNISHINGS</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14.40</w:t>
            </w:r>
          </w:p>
        </w:tc>
        <w:tc>
          <w:tcPr>
            <w:tcW w:type="dxa" w:w="3120"/>
            <w:tcMar>
              <w:top w:w="70" w:type="dxa"/>
              <w:start w:w="110" w:type="dxa"/>
              <w:bottom w:w="70" w:type="dxa"/>
              <w:end w:w="110" w:type="dxa"/>
            </w:tcMar>
          </w:tcPr>
          <w:p>
            <w:pPr>
              <w:pStyle w:val="TableText"/>
            </w:pPr>
            <w:r>
              <w:rPr/>
              <w:t>OTHER MMF MANUFACTURES</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3.70</w:t>
            </w:r>
          </w:p>
        </w:tc>
        <w:tc>
          <w:tcPr>
            <w:tcW w:type="dxa" w:w="3120"/>
            <w:shd w:fill="F5F7F8" w:val="clear" w:color="auto"/>
            <w:tcMar>
              <w:top w:w="70" w:type="dxa"/>
              <w:start w:w="110" w:type="dxa"/>
              <w:bottom w:w="70" w:type="dxa"/>
              <w:end w:w="110" w:type="dxa"/>
            </w:tcMar>
          </w:tcPr>
          <w:p>
            <w:pPr>
              <w:pStyle w:val="TableText"/>
            </w:pPr>
            <w:r>
              <w:rPr/>
              <w:t>MMF FLAT GOODS, HANDBAGS, LUGGAGE</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8.50</w:t>
            </w:r>
          </w:p>
        </w:tc>
        <w:tc>
          <w:tcPr>
            <w:tcW w:type="dxa" w:w="3120"/>
            <w:tcMar>
              <w:top w:w="70" w:type="dxa"/>
              <w:start w:w="110" w:type="dxa"/>
              <w:bottom w:w="70" w:type="dxa"/>
              <w:end w:w="110" w:type="dxa"/>
            </w:tcMar>
          </w:tcPr>
          <w:p>
            <w:pPr>
              <w:pStyle w:val="TableText"/>
            </w:pPr>
            <w:r>
              <w:rPr/>
              <w:t>YARN, SILK BLENDS/VEGETABLE FIBER</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1.00</w:t>
            </w:r>
          </w:p>
        </w:tc>
        <w:tc>
          <w:tcPr>
            <w:tcW w:type="dxa" w:w="3120"/>
            <w:shd w:fill="F5F7F8" w:val="clear" w:color="auto"/>
            <w:tcMar>
              <w:top w:w="70" w:type="dxa"/>
              <w:start w:w="110" w:type="dxa"/>
              <w:bottom w:w="70" w:type="dxa"/>
              <w:end w:w="110" w:type="dxa"/>
            </w:tcMar>
          </w:tcPr>
          <w:p>
            <w:pPr>
              <w:pStyle w:val="TableText"/>
            </w:pPr>
            <w:r>
              <w:rPr/>
              <w:t>WOVEN FABRIC, SILK  BLENDS/VEGETABLE FIBER</w:t>
            </w:r>
          </w:p>
        </w:tc>
        <w:tc>
          <w:tcPr>
            <w:tcW w:type="dxa" w:w="3120"/>
            <w:shd w:fill="F5F7F8" w:val="clear" w:color="auto"/>
            <w:tcMar>
              <w:top w:w="70" w:type="dxa"/>
              <w:start w:w="110" w:type="dxa"/>
              <w:bottom w:w="70" w:type="dxa"/>
              <w:end w:w="110" w:type="dxa"/>
            </w:tcMar>
          </w:tcPr>
          <w:p>
            <w:pPr>
              <w:pStyle w:val="TableText"/>
            </w:pPr>
            <w:r>
              <w:rPr/>
              <w:t>SM</w:t>
            </w:r>
          </w:p>
        </w:tc>
      </w:tr>
      <w:tr>
        <w:trPr>
          <w:cantSplit/>
        </w:trPr>
        <w:tc>
          <w:tcPr>
            <w:tcW w:type="dxa" w:w="3120"/>
            <w:tcMar>
              <w:top w:w="70" w:type="dxa"/>
              <w:start w:w="110" w:type="dxa"/>
              <w:bottom w:w="70" w:type="dxa"/>
              <w:end w:w="110" w:type="dxa"/>
            </w:tcMar>
          </w:tcPr>
          <w:p>
            <w:pPr>
              <w:pStyle w:val="TableText"/>
            </w:pPr>
            <w:r>
              <w:rPr/>
              <w:t>2.90</w:t>
            </w:r>
          </w:p>
        </w:tc>
        <w:tc>
          <w:tcPr>
            <w:tcW w:type="dxa" w:w="3120"/>
            <w:tcMar>
              <w:top w:w="70" w:type="dxa"/>
              <w:start w:w="110" w:type="dxa"/>
              <w:bottom w:w="70" w:type="dxa"/>
              <w:end w:w="110" w:type="dxa"/>
            </w:tcMar>
          </w:tcPr>
          <w:p>
            <w:pPr>
              <w:pStyle w:val="TableText"/>
            </w:pPr>
            <w:r>
              <w:rPr/>
              <w:t>GLOVES &amp; MITTENS, SILK BLENDS /  VEGETABLE FIBER</w:t>
            </w:r>
          </w:p>
        </w:tc>
        <w:tc>
          <w:tcPr>
            <w:tcW w:type="dxa" w:w="3120"/>
            <w:tcMar>
              <w:top w:w="70" w:type="dxa"/>
              <w:start w:w="110" w:type="dxa"/>
              <w:bottom w:w="70" w:type="dxa"/>
              <w:end w:w="110" w:type="dxa"/>
            </w:tcMar>
          </w:tcPr>
          <w:p>
            <w:pPr>
              <w:pStyle w:val="TableText"/>
            </w:pPr>
            <w:r>
              <w:rPr/>
              <w:t>DPR</w:t>
            </w:r>
          </w:p>
        </w:tc>
      </w:tr>
      <w:tr>
        <w:trPr>
          <w:cantSplit/>
        </w:trPr>
        <w:tc>
          <w:tcPr>
            <w:tcW w:type="dxa" w:w="3120"/>
            <w:shd w:fill="F5F7F8" w:val="clear" w:color="auto"/>
            <w:tcMar>
              <w:top w:w="70" w:type="dxa"/>
              <w:start w:w="110" w:type="dxa"/>
              <w:bottom w:w="70" w:type="dxa"/>
              <w:end w:w="110" w:type="dxa"/>
            </w:tcMar>
          </w:tcPr>
          <w:p>
            <w:pPr>
              <w:pStyle w:val="TableText"/>
            </w:pPr>
            <w:r>
              <w:rPr/>
              <w:t>3.80</w:t>
            </w:r>
          </w:p>
        </w:tc>
        <w:tc>
          <w:tcPr>
            <w:tcW w:type="dxa" w:w="3120"/>
            <w:shd w:fill="F5F7F8" w:val="clear" w:color="auto"/>
            <w:tcMar>
              <w:top w:w="70" w:type="dxa"/>
              <w:start w:w="110" w:type="dxa"/>
              <w:bottom w:w="70" w:type="dxa"/>
              <w:end w:w="110" w:type="dxa"/>
            </w:tcMar>
          </w:tcPr>
          <w:p>
            <w:pPr>
              <w:pStyle w:val="TableText"/>
            </w:pPr>
            <w:r>
              <w:rPr/>
              <w:t>HOSIERY, SILK BLENDS/VEGETABLE  FIBER</w:t>
            </w:r>
          </w:p>
        </w:tc>
        <w:tc>
          <w:tcPr>
            <w:tcW w:type="dxa" w:w="3120"/>
            <w:shd w:fill="F5F7F8" w:val="clear" w:color="auto"/>
            <w:tcMar>
              <w:top w:w="70" w:type="dxa"/>
              <w:start w:w="110" w:type="dxa"/>
              <w:bottom w:w="70" w:type="dxa"/>
              <w:end w:w="110" w:type="dxa"/>
            </w:tcMar>
          </w:tcPr>
          <w:p>
            <w:pPr>
              <w:pStyle w:val="TableText"/>
            </w:pPr>
            <w:r>
              <w:rPr/>
              <w:t>DPR</w:t>
            </w:r>
          </w:p>
        </w:tc>
      </w:tr>
      <w:tr>
        <w:trPr>
          <w:cantSplit/>
        </w:trPr>
        <w:tc>
          <w:tcPr>
            <w:tcW w:type="dxa" w:w="3120"/>
            <w:tcMar>
              <w:top w:w="70" w:type="dxa"/>
              <w:start w:w="110" w:type="dxa"/>
              <w:bottom w:w="70" w:type="dxa"/>
              <w:end w:w="110" w:type="dxa"/>
            </w:tcMar>
          </w:tcPr>
          <w:p>
            <w:pPr>
              <w:pStyle w:val="TableText"/>
            </w:pPr>
            <w:r>
              <w:rPr/>
              <w:t>30.30</w:t>
            </w:r>
          </w:p>
        </w:tc>
        <w:tc>
          <w:tcPr>
            <w:tcW w:type="dxa" w:w="3120"/>
            <w:tcMar>
              <w:top w:w="70" w:type="dxa"/>
              <w:start w:w="110" w:type="dxa"/>
              <w:bottom w:w="70" w:type="dxa"/>
              <w:end w:w="110" w:type="dxa"/>
            </w:tcMar>
          </w:tcPr>
          <w:p>
            <w:pPr>
              <w:pStyle w:val="TableText"/>
            </w:pPr>
            <w:r>
              <w:rPr/>
              <w:t>M&amp;B SUIT TYPE COATS, SILK BLENDS/  VEGETABLE FIBER</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34.50</w:t>
            </w:r>
          </w:p>
        </w:tc>
        <w:tc>
          <w:tcPr>
            <w:tcW w:type="dxa" w:w="3120"/>
            <w:shd w:fill="F5F7F8" w:val="clear" w:color="auto"/>
            <w:tcMar>
              <w:top w:w="70" w:type="dxa"/>
              <w:start w:w="110" w:type="dxa"/>
              <w:bottom w:w="70" w:type="dxa"/>
              <w:end w:w="110" w:type="dxa"/>
            </w:tcMar>
          </w:tcPr>
          <w:p>
            <w:pPr>
              <w:pStyle w:val="TableText"/>
            </w:pPr>
            <w:r>
              <w:rPr/>
              <w:t>OTHER M&amp;B COATS, SILK  BLENDS/VEGETABLE FIBER</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34.50</w:t>
            </w:r>
          </w:p>
        </w:tc>
        <w:tc>
          <w:tcPr>
            <w:tcW w:type="dxa" w:w="3120"/>
            <w:tcMar>
              <w:top w:w="70" w:type="dxa"/>
              <w:start w:w="110" w:type="dxa"/>
              <w:bottom w:w="70" w:type="dxa"/>
              <w:end w:w="110" w:type="dxa"/>
            </w:tcMar>
          </w:tcPr>
          <w:p>
            <w:pPr>
              <w:pStyle w:val="TableText"/>
            </w:pPr>
            <w:r>
              <w:rPr/>
              <w:t>W&amp;G COATS, SILK BLENDS/VEGETABLE  FIBER</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37.90</w:t>
            </w:r>
          </w:p>
        </w:tc>
        <w:tc>
          <w:tcPr>
            <w:tcW w:type="dxa" w:w="3120"/>
            <w:shd w:fill="F5F7F8" w:val="clear" w:color="auto"/>
            <w:tcMar>
              <w:top w:w="70" w:type="dxa"/>
              <w:start w:w="110" w:type="dxa"/>
              <w:bottom w:w="70" w:type="dxa"/>
              <w:end w:w="110" w:type="dxa"/>
            </w:tcMar>
          </w:tcPr>
          <w:p>
            <w:pPr>
              <w:pStyle w:val="TableText"/>
            </w:pPr>
            <w:r>
              <w:rPr/>
              <w:t>DRESSES, SILK BLENDS/VEGETABLE  FIBER</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11.70</w:t>
            </w:r>
          </w:p>
        </w:tc>
        <w:tc>
          <w:tcPr>
            <w:tcW w:type="dxa" w:w="3120"/>
            <w:tcMar>
              <w:top w:w="70" w:type="dxa"/>
              <w:start w:w="110" w:type="dxa"/>
              <w:bottom w:w="70" w:type="dxa"/>
              <w:end w:w="110" w:type="dxa"/>
            </w:tcMar>
          </w:tcPr>
          <w:p>
            <w:pPr>
              <w:pStyle w:val="TableText"/>
            </w:pPr>
            <w:r>
              <w:rPr/>
              <w:t>KNIT SHIRTS &amp; BLOUSES, SILK  BLENDS/VEGETABLE FIBER</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6.30</w:t>
            </w:r>
          </w:p>
        </w:tc>
        <w:tc>
          <w:tcPr>
            <w:tcW w:type="dxa" w:w="3120"/>
            <w:shd w:fill="F5F7F8" w:val="clear" w:color="auto"/>
            <w:tcMar>
              <w:top w:w="70" w:type="dxa"/>
              <w:start w:w="110" w:type="dxa"/>
              <w:bottom w:w="70" w:type="dxa"/>
              <w:end w:w="110" w:type="dxa"/>
            </w:tcMar>
          </w:tcPr>
          <w:p>
            <w:pPr>
              <w:pStyle w:val="TableText"/>
            </w:pPr>
            <w:r>
              <w:rPr/>
              <w:t>BABIES’ GARM &amp; CLOTHING  ACCESSORIES, SILK/VEG FIBER</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16.70</w:t>
            </w:r>
          </w:p>
        </w:tc>
        <w:tc>
          <w:tcPr>
            <w:tcW w:type="dxa" w:w="3120"/>
            <w:tcMar>
              <w:top w:w="70" w:type="dxa"/>
              <w:start w:w="110" w:type="dxa"/>
              <w:bottom w:w="70" w:type="dxa"/>
              <w:end w:w="110" w:type="dxa"/>
            </w:tcMar>
          </w:tcPr>
          <w:p>
            <w:pPr>
              <w:pStyle w:val="TableText"/>
            </w:pPr>
            <w:r>
              <w:rPr/>
              <w:t>NOT KNIT SHIRTS &amp; BLOUSES, SILK  BLENDS/ VEGETABLE FIBER</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14.90</w:t>
            </w:r>
          </w:p>
        </w:tc>
        <w:tc>
          <w:tcPr>
            <w:tcW w:type="dxa" w:w="3120"/>
            <w:shd w:fill="F5F7F8" w:val="clear" w:color="auto"/>
            <w:tcMar>
              <w:top w:w="70" w:type="dxa"/>
              <w:start w:w="110" w:type="dxa"/>
              <w:bottom w:w="70" w:type="dxa"/>
              <w:end w:w="110" w:type="dxa"/>
            </w:tcMar>
          </w:tcPr>
          <w:p>
            <w:pPr>
              <w:pStyle w:val="TableText"/>
            </w:pPr>
            <w:r>
              <w:rPr/>
              <w:t>SKIRTS, SILK BLENDS/VEGETABLE FIBERS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3.76</w:t>
            </w:r>
          </w:p>
        </w:tc>
        <w:tc>
          <w:tcPr>
            <w:tcW w:type="dxa" w:w="3120"/>
            <w:tcMar>
              <w:top w:w="70" w:type="dxa"/>
              <w:start w:w="110" w:type="dxa"/>
              <w:bottom w:w="70" w:type="dxa"/>
              <w:end w:w="110" w:type="dxa"/>
            </w:tcMar>
          </w:tcPr>
          <w:p>
            <w:pPr>
              <w:pStyle w:val="TableText"/>
            </w:pPr>
            <w:r>
              <w:rPr/>
              <w:t>M&amp;B SUITS, SILK BLENDS/VEGETABLE  FIBER</w:t>
            </w:r>
          </w:p>
        </w:tc>
        <w:tc>
          <w:tcPr>
            <w:tcW w:type="dxa" w:w="3120"/>
            <w:tcMar>
              <w:top w:w="70" w:type="dxa"/>
              <w:start w:w="110" w:type="dxa"/>
              <w:bottom w:w="70" w:type="dxa"/>
              <w:end w:w="110" w:type="dxa"/>
            </w:tcMar>
          </w:tcPr>
          <w:p>
            <w:pPr>
              <w:pStyle w:val="TableText"/>
            </w:pPr>
            <w:r>
              <w:rPr/>
              <w:t>NO</w:t>
            </w:r>
          </w:p>
        </w:tc>
      </w:tr>
      <w:tr>
        <w:trPr>
          <w:cantSplit/>
        </w:trPr>
        <w:tc>
          <w:tcPr>
            <w:tcW w:type="dxa" w:w="3120"/>
            <w:shd w:fill="F5F7F8" w:val="clear" w:color="auto"/>
            <w:tcMar>
              <w:top w:w="70" w:type="dxa"/>
              <w:start w:w="110" w:type="dxa"/>
              <w:bottom w:w="70" w:type="dxa"/>
              <w:end w:w="110" w:type="dxa"/>
            </w:tcMar>
          </w:tcPr>
          <w:p>
            <w:pPr>
              <w:pStyle w:val="TableText"/>
            </w:pPr>
            <w:r>
              <w:rPr/>
              <w:t>3.76</w:t>
            </w:r>
          </w:p>
        </w:tc>
        <w:tc>
          <w:tcPr>
            <w:tcW w:type="dxa" w:w="3120"/>
            <w:shd w:fill="F5F7F8" w:val="clear" w:color="auto"/>
            <w:tcMar>
              <w:top w:w="70" w:type="dxa"/>
              <w:start w:w="110" w:type="dxa"/>
              <w:bottom w:w="70" w:type="dxa"/>
              <w:end w:w="110" w:type="dxa"/>
            </w:tcMar>
          </w:tcPr>
          <w:p>
            <w:pPr>
              <w:pStyle w:val="TableText"/>
            </w:pPr>
            <w:r>
              <w:rPr/>
              <w:t>W&amp;G SUITS, SILK BLENDS/VEGETABLE  FIBER</w:t>
            </w:r>
          </w:p>
        </w:tc>
        <w:tc>
          <w:tcPr>
            <w:tcW w:type="dxa" w:w="3120"/>
            <w:shd w:fill="F5F7F8" w:val="clear" w:color="auto"/>
            <w:tcMar>
              <w:top w:w="70" w:type="dxa"/>
              <w:start w:w="110" w:type="dxa"/>
              <w:bottom w:w="70" w:type="dxa"/>
              <w:end w:w="110" w:type="dxa"/>
            </w:tcMar>
          </w:tcPr>
          <w:p>
            <w:pPr>
              <w:pStyle w:val="TableText"/>
            </w:pPr>
            <w:r>
              <w:rPr/>
              <w:t>NO</w:t>
            </w:r>
          </w:p>
        </w:tc>
      </w:tr>
      <w:tr>
        <w:trPr>
          <w:cantSplit/>
        </w:trPr>
        <w:tc>
          <w:tcPr>
            <w:tcW w:type="dxa" w:w="3120"/>
            <w:tcMar>
              <w:top w:w="70" w:type="dxa"/>
              <w:start w:w="110" w:type="dxa"/>
              <w:bottom w:w="70" w:type="dxa"/>
              <w:end w:w="110" w:type="dxa"/>
            </w:tcMar>
          </w:tcPr>
          <w:p>
            <w:pPr>
              <w:pStyle w:val="TableText"/>
            </w:pPr>
            <w:r>
              <w:rPr/>
              <w:t>30.80</w:t>
            </w:r>
          </w:p>
        </w:tc>
        <w:tc>
          <w:tcPr>
            <w:tcW w:type="dxa" w:w="3120"/>
            <w:tcMar>
              <w:top w:w="70" w:type="dxa"/>
              <w:start w:w="110" w:type="dxa"/>
              <w:bottom w:w="70" w:type="dxa"/>
              <w:end w:w="110" w:type="dxa"/>
            </w:tcMar>
          </w:tcPr>
          <w:p>
            <w:pPr>
              <w:pStyle w:val="TableText"/>
            </w:pPr>
            <w:r>
              <w:rPr/>
              <w:t>SWEATERS, NON-COTTON VEGETABLE  FIBERS</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30.80</w:t>
            </w:r>
          </w:p>
        </w:tc>
        <w:tc>
          <w:tcPr>
            <w:tcW w:type="dxa" w:w="3120"/>
            <w:shd w:fill="F5F7F8" w:val="clear" w:color="auto"/>
            <w:tcMar>
              <w:top w:w="70" w:type="dxa"/>
              <w:start w:w="110" w:type="dxa"/>
              <w:bottom w:w="70" w:type="dxa"/>
              <w:end w:w="110" w:type="dxa"/>
            </w:tcMar>
          </w:tcPr>
          <w:p>
            <w:pPr>
              <w:pStyle w:val="TableText"/>
            </w:pPr>
            <w:r>
              <w:rPr/>
              <w:t>SWEATERS, SILK BLENDS</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14.90</w:t>
            </w:r>
          </w:p>
        </w:tc>
        <w:tc>
          <w:tcPr>
            <w:tcW w:type="dxa" w:w="3120"/>
            <w:tcMar>
              <w:top w:w="70" w:type="dxa"/>
              <w:start w:w="110" w:type="dxa"/>
              <w:bottom w:w="70" w:type="dxa"/>
              <w:end w:w="110" w:type="dxa"/>
            </w:tcMar>
          </w:tcPr>
          <w:p>
            <w:pPr>
              <w:pStyle w:val="TableText"/>
            </w:pPr>
            <w:r>
              <w:rPr/>
              <w:t>TROUSERS/BREECHES/SHORTS, SILK  BLENDS/ VEGETABLE FIBER</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42.60</w:t>
            </w:r>
          </w:p>
        </w:tc>
        <w:tc>
          <w:tcPr>
            <w:tcW w:type="dxa" w:w="3120"/>
            <w:shd w:fill="F5F7F8" w:val="clear" w:color="auto"/>
            <w:tcMar>
              <w:top w:w="70" w:type="dxa"/>
              <w:start w:w="110" w:type="dxa"/>
              <w:bottom w:w="70" w:type="dxa"/>
              <w:end w:w="110" w:type="dxa"/>
            </w:tcMar>
          </w:tcPr>
          <w:p>
            <w:pPr>
              <w:pStyle w:val="TableText"/>
            </w:pPr>
            <w:r>
              <w:rPr/>
              <w:t>ROBES, DRESSING GOWNS, ETC, SILK  BLENDS/ VEGETABLE FIBER</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43.50</w:t>
            </w:r>
          </w:p>
        </w:tc>
        <w:tc>
          <w:tcPr>
            <w:tcW w:type="dxa" w:w="3120"/>
            <w:tcMar>
              <w:top w:w="70" w:type="dxa"/>
              <w:start w:w="110" w:type="dxa"/>
              <w:bottom w:w="70" w:type="dxa"/>
              <w:end w:w="110" w:type="dxa"/>
            </w:tcMar>
          </w:tcPr>
          <w:p>
            <w:pPr>
              <w:pStyle w:val="TableText"/>
            </w:pPr>
            <w:r>
              <w:rPr/>
              <w:t>NIGHTWEAR &amp; PYJAMAS, SILK BLENDS/  VEGETABLE FIBER</w:t>
            </w:r>
          </w:p>
        </w:tc>
        <w:tc>
          <w:tcPr>
            <w:tcW w:type="dxa" w:w="3120"/>
            <w:tcMar>
              <w:top w:w="70" w:type="dxa"/>
              <w:start w:w="110" w:type="dxa"/>
              <w:bottom w:w="70" w:type="dxa"/>
              <w:end w:w="110" w:type="dxa"/>
            </w:tcMar>
          </w:tcPr>
          <w:p>
            <w:pPr>
              <w:pStyle w:val="TableText"/>
            </w:pPr>
            <w:r>
              <w:rPr/>
              <w:t>DZ</w:t>
            </w:r>
          </w:p>
        </w:tc>
      </w:tr>
      <w:tr>
        <w:trPr>
          <w:cantSplit/>
        </w:trPr>
        <w:tc>
          <w:tcPr>
            <w:tcW w:type="dxa" w:w="3120"/>
            <w:shd w:fill="F5F7F8" w:val="clear" w:color="auto"/>
            <w:tcMar>
              <w:top w:w="70" w:type="dxa"/>
              <w:start w:w="110" w:type="dxa"/>
              <w:bottom w:w="70" w:type="dxa"/>
              <w:end w:w="110" w:type="dxa"/>
            </w:tcMar>
          </w:tcPr>
          <w:p>
            <w:pPr>
              <w:pStyle w:val="TableText"/>
            </w:pPr>
            <w:r>
              <w:rPr/>
              <w:t>11.30</w:t>
            </w:r>
          </w:p>
        </w:tc>
        <w:tc>
          <w:tcPr>
            <w:tcW w:type="dxa" w:w="3120"/>
            <w:shd w:fill="F5F7F8" w:val="clear" w:color="auto"/>
            <w:tcMar>
              <w:top w:w="70" w:type="dxa"/>
              <w:start w:w="110" w:type="dxa"/>
              <w:bottom w:w="70" w:type="dxa"/>
              <w:end w:w="110" w:type="dxa"/>
            </w:tcMar>
          </w:tcPr>
          <w:p>
            <w:pPr>
              <w:pStyle w:val="TableText"/>
            </w:pPr>
            <w:r>
              <w:rPr/>
              <w:t>UNDERWEAR, SILK BLENDS/VEGETABLE  FIBER</w:t>
            </w:r>
          </w:p>
        </w:tc>
        <w:tc>
          <w:tcPr>
            <w:tcW w:type="dxa" w:w="3120"/>
            <w:shd w:fill="F5F7F8" w:val="clear" w:color="auto"/>
            <w:tcMar>
              <w:top w:w="70" w:type="dxa"/>
              <w:start w:w="110" w:type="dxa"/>
              <w:bottom w:w="70" w:type="dxa"/>
              <w:end w:w="110" w:type="dxa"/>
            </w:tcMar>
          </w:tcPr>
          <w:p>
            <w:pPr>
              <w:pStyle w:val="TableText"/>
            </w:pPr>
            <w:r>
              <w:rPr/>
              <w:t>DZ</w:t>
            </w:r>
          </w:p>
        </w:tc>
      </w:tr>
      <w:tr>
        <w:trPr>
          <w:cantSplit/>
        </w:trPr>
        <w:tc>
          <w:tcPr>
            <w:tcW w:type="dxa" w:w="3120"/>
            <w:tcMar>
              <w:top w:w="70" w:type="dxa"/>
              <w:start w:w="110" w:type="dxa"/>
              <w:bottom w:w="70" w:type="dxa"/>
              <w:end w:w="110" w:type="dxa"/>
            </w:tcMar>
          </w:tcPr>
          <w:p>
            <w:pPr>
              <w:pStyle w:val="TableText"/>
            </w:pPr>
            <w:r>
              <w:rPr/>
              <w:t>6.60</w:t>
            </w:r>
          </w:p>
        </w:tc>
        <w:tc>
          <w:tcPr>
            <w:tcW w:type="dxa" w:w="3120"/>
            <w:tcMar>
              <w:top w:w="70" w:type="dxa"/>
              <w:start w:w="110" w:type="dxa"/>
              <w:bottom w:w="70" w:type="dxa"/>
              <w:end w:w="110" w:type="dxa"/>
            </w:tcMar>
          </w:tcPr>
          <w:p>
            <w:pPr>
              <w:pStyle w:val="TableText"/>
            </w:pPr>
            <w:r>
              <w:rPr/>
              <w:t>NECKWEAR, SILK BLENDS/VEGETABLE  FIBER</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12.50</w:t>
            </w:r>
          </w:p>
        </w:tc>
        <w:tc>
          <w:tcPr>
            <w:tcW w:type="dxa" w:w="3120"/>
            <w:shd w:fill="F5F7F8" w:val="clear" w:color="auto"/>
            <w:tcMar>
              <w:top w:w="70" w:type="dxa"/>
              <w:start w:w="110" w:type="dxa"/>
              <w:bottom w:w="70" w:type="dxa"/>
              <w:end w:w="110" w:type="dxa"/>
            </w:tcMar>
          </w:tcPr>
          <w:p>
            <w:pPr>
              <w:pStyle w:val="TableText"/>
            </w:pPr>
            <w:r>
              <w:rPr/>
              <w:t>OTHER SILK BLEND/VEGETABLE FIBER  APPAREL</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0.40</w:t>
            </w:r>
          </w:p>
        </w:tc>
        <w:tc>
          <w:tcPr>
            <w:tcW w:type="dxa" w:w="3120"/>
            <w:tcMar>
              <w:top w:w="70" w:type="dxa"/>
              <w:start w:w="110" w:type="dxa"/>
              <w:bottom w:w="70" w:type="dxa"/>
              <w:end w:w="110" w:type="dxa"/>
            </w:tcMar>
          </w:tcPr>
          <w:p>
            <w:pPr>
              <w:pStyle w:val="TableText"/>
            </w:pPr>
            <w:r>
              <w:rPr/>
              <w:t>TOWELS, SILK BLENDS/VEGETABLE  FIBERS</w:t>
            </w:r>
          </w:p>
        </w:tc>
        <w:tc>
          <w:tcPr>
            <w:tcW w:type="dxa" w:w="3120"/>
            <w:tcMar>
              <w:top w:w="70" w:type="dxa"/>
              <w:start w:w="110" w:type="dxa"/>
              <w:bottom w:w="70" w:type="dxa"/>
              <w:end w:w="110" w:type="dxa"/>
            </w:tcMar>
          </w:tcPr>
          <w:p>
            <w:pPr>
              <w:pStyle w:val="TableText"/>
            </w:pPr>
            <w:r>
              <w:rPr/>
              <w:t>NO</w:t>
            </w:r>
          </w:p>
        </w:tc>
      </w:tr>
      <w:tr>
        <w:trPr>
          <w:cantSplit/>
        </w:trPr>
        <w:tc>
          <w:tcPr>
            <w:tcW w:type="dxa" w:w="3120"/>
            <w:shd w:fill="F5F7F8" w:val="clear" w:color="auto"/>
            <w:tcMar>
              <w:top w:w="70" w:type="dxa"/>
              <w:start w:w="110" w:type="dxa"/>
              <w:bottom w:w="70" w:type="dxa"/>
              <w:end w:w="110" w:type="dxa"/>
            </w:tcMar>
          </w:tcPr>
          <w:p>
            <w:pPr>
              <w:pStyle w:val="TableText"/>
            </w:pPr>
            <w:r>
              <w:rPr/>
              <w:t>3.70</w:t>
            </w:r>
          </w:p>
        </w:tc>
        <w:tc>
          <w:tcPr>
            <w:tcW w:type="dxa" w:w="3120"/>
            <w:shd w:fill="F5F7F8" w:val="clear" w:color="auto"/>
            <w:tcMar>
              <w:top w:w="70" w:type="dxa"/>
              <w:start w:w="110" w:type="dxa"/>
              <w:bottom w:w="70" w:type="dxa"/>
              <w:end w:w="110" w:type="dxa"/>
            </w:tcMar>
          </w:tcPr>
          <w:p>
            <w:pPr>
              <w:pStyle w:val="TableText"/>
            </w:pPr>
            <w:r>
              <w:rPr/>
              <w:t>LUGGAGE, SILK BLENDS/VEGETABLE  FIBERS</w:t>
            </w:r>
          </w:p>
        </w:tc>
        <w:tc>
          <w:tcPr>
            <w:tcW w:type="dxa" w:w="3120"/>
            <w:shd w:fill="F5F7F8" w:val="clear" w:color="auto"/>
            <w:tcMar>
              <w:top w:w="70" w:type="dxa"/>
              <w:start w:w="110" w:type="dxa"/>
              <w:bottom w:w="70" w:type="dxa"/>
              <w:end w:w="110" w:type="dxa"/>
            </w:tcMar>
          </w:tcPr>
          <w:p>
            <w:pPr>
              <w:pStyle w:val="TableText"/>
            </w:pPr>
            <w:r>
              <w:rPr/>
              <w:t>KG</w:t>
            </w:r>
          </w:p>
        </w:tc>
      </w:tr>
      <w:tr>
        <w:trPr>
          <w:cantSplit/>
        </w:trPr>
        <w:tc>
          <w:tcPr>
            <w:tcW w:type="dxa" w:w="3120"/>
            <w:tcMar>
              <w:top w:w="70" w:type="dxa"/>
              <w:start w:w="110" w:type="dxa"/>
              <w:bottom w:w="70" w:type="dxa"/>
              <w:end w:w="110" w:type="dxa"/>
            </w:tcMar>
          </w:tcPr>
          <w:p>
            <w:pPr>
              <w:pStyle w:val="TableText"/>
            </w:pPr>
            <w:r>
              <w:rPr/>
              <w:t>3.70</w:t>
            </w:r>
          </w:p>
        </w:tc>
        <w:tc>
          <w:tcPr>
            <w:tcW w:type="dxa" w:w="3120"/>
            <w:tcMar>
              <w:top w:w="70" w:type="dxa"/>
              <w:start w:w="110" w:type="dxa"/>
              <w:bottom w:w="70" w:type="dxa"/>
              <w:end w:w="110" w:type="dxa"/>
            </w:tcMar>
          </w:tcPr>
          <w:p>
            <w:pPr>
              <w:pStyle w:val="TableText"/>
            </w:pPr>
            <w:r>
              <w:rPr/>
              <w:t>HANDBAGS &amp; FLATGOODS, SILK BLENDS/  VEGETABLE FIBER</w:t>
            </w:r>
          </w:p>
        </w:tc>
        <w:tc>
          <w:tcPr>
            <w:tcW w:type="dxa" w:w="3120"/>
            <w:tcMar>
              <w:top w:w="70" w:type="dxa"/>
              <w:start w:w="110" w:type="dxa"/>
              <w:bottom w:w="70" w:type="dxa"/>
              <w:end w:w="110" w:type="dxa"/>
            </w:tcMar>
          </w:tcPr>
          <w:p>
            <w:pPr>
              <w:pStyle w:val="TableText"/>
            </w:pPr>
            <w:r>
              <w:rPr/>
              <w:t>KG</w:t>
            </w:r>
          </w:p>
        </w:tc>
      </w:tr>
      <w:tr>
        <w:trPr>
          <w:cantSplit/>
        </w:trPr>
        <w:tc>
          <w:tcPr>
            <w:tcW w:type="dxa" w:w="3120"/>
            <w:shd w:fill="F5F7F8" w:val="clear" w:color="auto"/>
            <w:tcMar>
              <w:top w:w="70" w:type="dxa"/>
              <w:start w:w="110" w:type="dxa"/>
              <w:bottom w:w="70" w:type="dxa"/>
              <w:end w:w="110" w:type="dxa"/>
            </w:tcMar>
          </w:tcPr>
          <w:p>
            <w:pPr>
              <w:pStyle w:val="TableText"/>
            </w:pPr>
            <w:r>
              <w:rPr/>
              <w:t>11.10</w:t>
            </w:r>
          </w:p>
        </w:tc>
        <w:tc>
          <w:tcPr>
            <w:tcW w:type="dxa" w:w="3120"/>
            <w:shd w:fill="F5F7F8" w:val="clear" w:color="auto"/>
            <w:tcMar>
              <w:top w:w="70" w:type="dxa"/>
              <w:start w:w="110" w:type="dxa"/>
              <w:bottom w:w="70" w:type="dxa"/>
              <w:end w:w="110" w:type="dxa"/>
            </w:tcMar>
          </w:tcPr>
          <w:p>
            <w:pPr>
              <w:pStyle w:val="TableText"/>
            </w:pPr>
            <w:r>
              <w:rPr/>
              <w:t>OTHER SILK BLENDS/VEGETABLE FIBER  MANUFACTURES</w:t>
            </w:r>
          </w:p>
        </w:tc>
        <w:tc>
          <w:tcPr>
            <w:tcW w:type="dxa" w:w="3120"/>
            <w:shd w:fill="F5F7F8" w:val="clear" w:color="auto"/>
            <w:tcMar>
              <w:top w:w="70" w:type="dxa"/>
              <w:start w:w="110" w:type="dxa"/>
              <w:bottom w:w="70" w:type="dxa"/>
              <w:end w:w="110" w:type="dxa"/>
            </w:tcMar>
          </w:tcPr>
          <w:p>
            <w:pPr>
              <w:pStyle w:val="TableText"/>
            </w:pPr>
            <w:r>
              <w:rPr/>
              <w:t>KG</w:t>
            </w:r>
          </w:p>
        </w:tc>
      </w:tr>
    </w:tbl>
    <w:p>
      <w:pPr>
        <w:pStyle w:val="Normal"/>
      </w:pPr>
      <w:r>
        <w:rPr>
          <w:b w:val="0"/>
        </w:rPr>
        <w:t>5. The following conversion factors shall apply to the following goods not covered by a U.S. category:</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2340"/>
        <w:gridCol w:w="2340"/>
        <w:gridCol w:w="2340"/>
        <w:gridCol w:w="2340"/>
      </w:tblGrid>
      <w:tr>
        <w:trPr>
          <w:tblHeader w:val="true"/>
          <w:cantSplit/>
          <w:tblHeader w:val="true"/>
        </w:trPr>
        <w:tc>
          <w:tcPr>
            <w:tcW w:type="dxa" w:w="2340"/>
            <w:tcBorders>
              <w:bottom w:val="single" w:sz="6" w:space="0" w:color="546E7A"/>
            </w:tcBorders>
            <w:shd w:fill="E4E9EC" w:val="clear" w:color="auto"/>
          </w:tcPr>
          <w:p>
            <w:pPr>
              <w:pStyle w:val="TableText"/>
            </w:pPr>
            <w:r>
              <w:rPr>
                <w:b/>
                <w:color w:val="37474F"/>
              </w:rPr>
              <w:t>U.S. Harmonized Statistical Provision</w:t>
            </w:r>
          </w:p>
        </w:tc>
        <w:tc>
          <w:tcPr>
            <w:tcW w:type="dxa" w:w="2340"/>
            <w:tcBorders>
              <w:bottom w:val="single" w:sz="6" w:space="0" w:color="546E7A"/>
            </w:tcBorders>
            <w:shd w:fill="E4E9EC" w:val="clear" w:color="auto"/>
          </w:tcPr>
          <w:p>
            <w:pPr>
              <w:pStyle w:val="TableText"/>
            </w:pPr>
            <w:r>
              <w:rPr>
                <w:b/>
                <w:color w:val="37474F"/>
              </w:rPr>
              <w:t>Conversion Factor</w:t>
            </w:r>
          </w:p>
        </w:tc>
        <w:tc>
          <w:tcPr>
            <w:tcW w:type="dxa" w:w="2340"/>
            <w:tcBorders>
              <w:bottom w:val="single" w:sz="6" w:space="0" w:color="546E7A"/>
            </w:tcBorders>
            <w:shd w:fill="E4E9EC" w:val="clear" w:color="auto"/>
          </w:tcPr>
          <w:p>
            <w:pPr>
              <w:pStyle w:val="TableText"/>
            </w:pPr>
            <w:r>
              <w:rPr>
                <w:b/>
                <w:color w:val="37474F"/>
              </w:rPr>
              <w:t>Primary Unit of Measure</w:t>
            </w:r>
          </w:p>
        </w:tc>
        <w:tc>
          <w:tcPr>
            <w:tcW w:type="dxa" w:w="2340"/>
            <w:tcBorders>
              <w:bottom w:val="single" w:sz="6" w:space="0" w:color="546E7A"/>
            </w:tcBorders>
            <w:shd w:fill="E4E9EC" w:val="clear" w:color="auto"/>
          </w:tcPr>
          <w:p>
            <w:pPr>
              <w:pStyle w:val="TableText"/>
            </w:pPr>
            <w:r>
              <w:rPr>
                <w:b/>
                <w:color w:val="37474F"/>
              </w:rPr>
              <w:t>Description</w:t>
            </w:r>
          </w:p>
        </w:tc>
      </w:tr>
      <w:tr>
        <w:trPr>
          <w:cantSplit/>
        </w:trPr>
        <w:tc>
          <w:tcPr>
            <w:tcW w:type="dxa" w:w="2340"/>
            <w:tcMar>
              <w:top w:w="70" w:type="dxa"/>
              <w:start w:w="110" w:type="dxa"/>
              <w:bottom w:w="70" w:type="dxa"/>
              <w:end w:w="110" w:type="dxa"/>
            </w:tcMar>
          </w:tcPr>
          <w:p>
            <w:pPr>
              <w:pStyle w:val="TableText"/>
            </w:pPr>
            <w:r>
              <w:rPr/>
              <w:t>5208.31.2000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WOVEN FABRIC, CONTAINING 85% OR MORE BY WEIGHT OF COTTON, WEIGHING NOT MORE THAN 100 G/M2, PLAIN WEAVE, CERTIFIED HANDLOOM FABRIC, DYED</w:t>
            </w:r>
          </w:p>
        </w:tc>
      </w:tr>
      <w:tr>
        <w:trPr>
          <w:cantSplit/>
        </w:trPr>
        <w:tc>
          <w:tcPr>
            <w:tcW w:type="dxa" w:w="2340"/>
            <w:shd w:fill="F5F7F8" w:val="clear" w:color="auto"/>
            <w:tcMar>
              <w:top w:w="70" w:type="dxa"/>
              <w:start w:w="110" w:type="dxa"/>
              <w:bottom w:w="70" w:type="dxa"/>
              <w:end w:w="110" w:type="dxa"/>
            </w:tcMar>
          </w:tcPr>
          <w:p>
            <w:pPr>
              <w:pStyle w:val="TableText"/>
            </w:pPr>
            <w:r>
              <w:rPr/>
              <w:t>5208.32.1000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WOVEN FABRIC, CONTAINING 85% OR MORE BY WEIGHT OF COTTON, WEIGHING MORE THAN 100 G/M2 BUT NOT MORE THAN 200 G/M2, PLAIN WEAVE, CERTIFIED HANDLOOM FABRIC, DYED</w:t>
            </w:r>
          </w:p>
        </w:tc>
      </w:tr>
      <w:tr>
        <w:trPr>
          <w:cantSplit/>
        </w:trPr>
        <w:tc>
          <w:tcPr>
            <w:tcW w:type="dxa" w:w="2340"/>
            <w:tcMar>
              <w:top w:w="70" w:type="dxa"/>
              <w:start w:w="110" w:type="dxa"/>
              <w:bottom w:w="70" w:type="dxa"/>
              <w:end w:w="110" w:type="dxa"/>
            </w:tcMar>
          </w:tcPr>
          <w:p>
            <w:pPr>
              <w:pStyle w:val="TableText"/>
            </w:pPr>
            <w:r>
              <w:rPr/>
              <w:t>5208.41.2000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WOVEN FABRIC,CONTAINING 85% OR MORE BY WEIGHT OF COTTON WEIGHING NOT MORE THAN 100 G/M2, PLAIN WEAVE CERTIFIED HANDLOOM, YARNS OF DIFFERENT COLORS</w:t>
            </w:r>
          </w:p>
        </w:tc>
      </w:tr>
      <w:tr>
        <w:trPr>
          <w:cantSplit/>
        </w:trPr>
        <w:tc>
          <w:tcPr>
            <w:tcW w:type="dxa" w:w="2340"/>
            <w:shd w:fill="F5F7F8" w:val="clear" w:color="auto"/>
            <w:tcMar>
              <w:top w:w="70" w:type="dxa"/>
              <w:start w:w="110" w:type="dxa"/>
              <w:bottom w:w="70" w:type="dxa"/>
              <w:end w:w="110" w:type="dxa"/>
            </w:tcMar>
          </w:tcPr>
          <w:p>
            <w:pPr>
              <w:pStyle w:val="TableText"/>
            </w:pPr>
            <w:r>
              <w:rPr/>
              <w:t>5208.42.1000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WOVEN FABRIC, CONTAINING 85% OR MORE BY WEIGHT OF COTTON, WEIGHING MORE THAN 100 G/M2 BUT NOT MORE THAN 200 G/M2, PLAIN WEAVE, CERTIFIED HANDLOOM,     YARNS OF DIFFERENT COLORS</w:t>
            </w:r>
          </w:p>
        </w:tc>
      </w:tr>
      <w:tr>
        <w:trPr>
          <w:cantSplit/>
        </w:trPr>
        <w:tc>
          <w:tcPr>
            <w:tcW w:type="dxa" w:w="2340"/>
            <w:tcMar>
              <w:top w:w="70" w:type="dxa"/>
              <w:start w:w="110" w:type="dxa"/>
              <w:bottom w:w="70" w:type="dxa"/>
              <w:end w:w="110" w:type="dxa"/>
            </w:tcMar>
          </w:tcPr>
          <w:p>
            <w:pPr>
              <w:pStyle w:val="TableText"/>
            </w:pPr>
            <w:r>
              <w:rPr/>
              <w:t>5208.51.2000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WOVEN FABRIC, CONTAINING 85% OR MORE BY WEIGHT OF COTTON WEIGHING NOT MORE THAN 100 G/M2 PLAIN WEAVE, CERTIFIED HANDLOOM, PRINTED</w:t>
            </w:r>
          </w:p>
        </w:tc>
      </w:tr>
      <w:tr>
        <w:trPr>
          <w:cantSplit/>
        </w:trPr>
        <w:tc>
          <w:tcPr>
            <w:tcW w:type="dxa" w:w="2340"/>
            <w:shd w:fill="F5F7F8" w:val="clear" w:color="auto"/>
            <w:tcMar>
              <w:top w:w="70" w:type="dxa"/>
              <w:start w:w="110" w:type="dxa"/>
              <w:bottom w:w="70" w:type="dxa"/>
              <w:end w:w="110" w:type="dxa"/>
            </w:tcMar>
          </w:tcPr>
          <w:p>
            <w:pPr>
              <w:pStyle w:val="TableText"/>
            </w:pPr>
            <w:r>
              <w:rPr/>
              <w:t>5208.52.1000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WOVEN FABRIC, CONTAINING 85% OR MORE BY WEIGHT OF COTTON WEIGHING MORE THAN 100 G/M2 BUT NOT MORE THAN 200 G/M2 PLAIN WEAVE, CERTIFIED HANDLOOM, PRINTED</w:t>
            </w:r>
          </w:p>
        </w:tc>
      </w:tr>
      <w:tr>
        <w:trPr>
          <w:cantSplit/>
        </w:trPr>
        <w:tc>
          <w:tcPr>
            <w:tcW w:type="dxa" w:w="2340"/>
            <w:tcMar>
              <w:top w:w="70" w:type="dxa"/>
              <w:start w:w="110" w:type="dxa"/>
              <w:bottom w:w="70" w:type="dxa"/>
              <w:end w:w="110" w:type="dxa"/>
            </w:tcMar>
          </w:tcPr>
          <w:p>
            <w:pPr>
              <w:pStyle w:val="TableText"/>
            </w:pPr>
            <w:r>
              <w:rPr/>
              <w:t>5209.31.3000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WOVEN FABRIC, CONTAINING 85% OR MORE BY WEIGHT OF COTTON WEIGHING MORE THAN 200 G/M2, PLAIN WEAVE, CERTIFIED HANDLOOM, DYED</w:t>
            </w:r>
          </w:p>
        </w:tc>
      </w:tr>
      <w:tr>
        <w:trPr>
          <w:cantSplit/>
        </w:trPr>
        <w:tc>
          <w:tcPr>
            <w:tcW w:type="dxa" w:w="2340"/>
            <w:shd w:fill="F5F7F8" w:val="clear" w:color="auto"/>
            <w:tcMar>
              <w:top w:w="70" w:type="dxa"/>
              <w:start w:w="110" w:type="dxa"/>
              <w:bottom w:w="70" w:type="dxa"/>
              <w:end w:w="110" w:type="dxa"/>
            </w:tcMar>
          </w:tcPr>
          <w:p>
            <w:pPr>
              <w:pStyle w:val="TableText"/>
            </w:pPr>
            <w:r>
              <w:rPr/>
              <w:t>5209.41.3000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WOVEN FABRIC, CONTAINING 85% OR MORE BY WEIGHT OF COTTON WEIGHING MORE THAN 200 G/M2, PLAIN WEAVE, CERTIFIED HANDLOOM, YARNS OF DIFFERENT COLOR</w:t>
            </w:r>
          </w:p>
        </w:tc>
      </w:tr>
      <w:tr>
        <w:trPr>
          <w:cantSplit/>
        </w:trPr>
        <w:tc>
          <w:tcPr>
            <w:tcW w:type="dxa" w:w="2340"/>
            <w:tcMar>
              <w:top w:w="70" w:type="dxa"/>
              <w:start w:w="110" w:type="dxa"/>
              <w:bottom w:w="70" w:type="dxa"/>
              <w:end w:w="110" w:type="dxa"/>
            </w:tcMar>
          </w:tcPr>
          <w:p>
            <w:pPr>
              <w:pStyle w:val="TableText"/>
            </w:pPr>
            <w:r>
              <w:rPr/>
              <w:t>5209.51.3000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WOVEN FABRIC, CONTAINING 85% OR MORE BY WEIGHT OF COTTON WEIGHING MORE THAN 200 G/M2, PLAIN WEAVE, CERTIFIED HANDLOOM, PRINTED</w:t>
            </w:r>
          </w:p>
        </w:tc>
      </w:tr>
      <w:tr>
        <w:trPr>
          <w:cantSplit/>
        </w:trPr>
        <w:tc>
          <w:tcPr>
            <w:tcW w:type="dxa" w:w="2340"/>
            <w:shd w:fill="F5F7F8" w:val="clear" w:color="auto"/>
            <w:tcMar>
              <w:top w:w="70" w:type="dxa"/>
              <w:start w:w="110" w:type="dxa"/>
              <w:bottom w:w="70" w:type="dxa"/>
              <w:end w:w="110" w:type="dxa"/>
            </w:tcMar>
          </w:tcPr>
          <w:p>
            <w:pPr>
              <w:pStyle w:val="TableText"/>
            </w:pPr>
            <w:r>
              <w:rPr/>
              <w:t>5310.10.0020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WOVEN FABRIC, JUTE OR OTHER TEXTILE BAST FIBER (EXCLUDING FLAX/HEMP/RAMIE), NOT OVER 130 CM WIDE, UNBLEACHED</w:t>
            </w:r>
          </w:p>
        </w:tc>
      </w:tr>
      <w:tr>
        <w:trPr>
          <w:cantSplit/>
        </w:trPr>
        <w:tc>
          <w:tcPr>
            <w:tcW w:type="dxa" w:w="2340"/>
            <w:tcMar>
              <w:top w:w="70" w:type="dxa"/>
              <w:start w:w="110" w:type="dxa"/>
              <w:bottom w:w="70" w:type="dxa"/>
              <w:end w:w="110" w:type="dxa"/>
            </w:tcMar>
          </w:tcPr>
          <w:p>
            <w:pPr>
              <w:pStyle w:val="TableText"/>
            </w:pPr>
            <w:r>
              <w:rPr/>
              <w:t>5310.10.0040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WOVEN FABRIC, JUTE OR OTHER TEXTILE BAST FIBER (EXCLUDING FLAX/HEMP/RAMIE) OVER 130 CM BUT NOT OVER 250 CM WIDE, UNBLEACHED</w:t>
            </w:r>
          </w:p>
        </w:tc>
      </w:tr>
      <w:tr>
        <w:trPr>
          <w:cantSplit/>
        </w:trPr>
        <w:tc>
          <w:tcPr>
            <w:tcW w:type="dxa" w:w="2340"/>
            <w:shd w:fill="F5F7F8" w:val="clear" w:color="auto"/>
            <w:tcMar>
              <w:top w:w="70" w:type="dxa"/>
              <w:start w:w="110" w:type="dxa"/>
              <w:bottom w:w="70" w:type="dxa"/>
              <w:end w:w="110" w:type="dxa"/>
            </w:tcMar>
          </w:tcPr>
          <w:p>
            <w:pPr>
              <w:pStyle w:val="TableText"/>
            </w:pPr>
            <w:r>
              <w:rPr/>
              <w:t>5310.10.0060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WOVEN FABRIC, JUTE OR OTHER TEXTILE BAST FIBER(EXCLUDING FLAX/HEMP/RAMIE), OVER 250 CM WIDE, UNBLEACHED</w:t>
            </w:r>
          </w:p>
        </w:tc>
      </w:tr>
      <w:tr>
        <w:trPr>
          <w:cantSplit/>
        </w:trPr>
        <w:tc>
          <w:tcPr>
            <w:tcW w:type="dxa" w:w="2340"/>
            <w:tcMar>
              <w:top w:w="70" w:type="dxa"/>
              <w:start w:w="110" w:type="dxa"/>
              <w:bottom w:w="70" w:type="dxa"/>
              <w:end w:w="110" w:type="dxa"/>
            </w:tcMar>
          </w:tcPr>
          <w:p>
            <w:pPr>
              <w:pStyle w:val="TableText"/>
            </w:pPr>
            <w:r>
              <w:rPr/>
              <w:t>5310.90.0000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OTHER WOVEN FABRIC, JUTE OR OTHER TEXTILE BAST FIBER (EXCLUDING FLAX/HEMP/RAMIE)</w:t>
            </w:r>
          </w:p>
        </w:tc>
      </w:tr>
      <w:tr>
        <w:trPr>
          <w:cantSplit/>
        </w:trPr>
        <w:tc>
          <w:tcPr>
            <w:tcW w:type="dxa" w:w="2340"/>
            <w:shd w:fill="F5F7F8" w:val="clear" w:color="auto"/>
            <w:tcMar>
              <w:top w:w="70" w:type="dxa"/>
              <w:start w:w="110" w:type="dxa"/>
              <w:bottom w:w="70" w:type="dxa"/>
              <w:end w:w="110" w:type="dxa"/>
            </w:tcMar>
          </w:tcPr>
          <w:p>
            <w:pPr>
              <w:pStyle w:val="TableText"/>
            </w:pPr>
            <w:r>
              <w:rPr/>
              <w:t>5311.00.6000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WOVEN FABRIC OF PAPER YARN</w:t>
            </w:r>
          </w:p>
        </w:tc>
      </w:tr>
      <w:tr>
        <w:trPr>
          <w:cantSplit/>
        </w:trPr>
        <w:tc>
          <w:tcPr>
            <w:tcW w:type="dxa" w:w="2340"/>
            <w:tcMar>
              <w:top w:w="70" w:type="dxa"/>
              <w:start w:w="110" w:type="dxa"/>
              <w:bottom w:w="70" w:type="dxa"/>
              <w:end w:w="110" w:type="dxa"/>
            </w:tcMar>
          </w:tcPr>
          <w:p>
            <w:pPr>
              <w:pStyle w:val="TableText"/>
            </w:pPr>
            <w:r>
              <w:rPr/>
              <w:t>5407.30.1000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WOVEN SYNTHETIC FILAMENT FABRIC WITH     YARN AT ACUTE/RIGHT ANGLES, OVER 60% BY WEIGHT OF PLASTIC</w:t>
            </w:r>
          </w:p>
        </w:tc>
      </w:tr>
      <w:tr>
        <w:trPr>
          <w:cantSplit/>
        </w:trPr>
        <w:tc>
          <w:tcPr>
            <w:tcW w:type="dxa" w:w="2340"/>
            <w:shd w:fill="F5F7F8" w:val="clear" w:color="auto"/>
            <w:tcMar>
              <w:top w:w="70" w:type="dxa"/>
              <w:start w:w="110" w:type="dxa"/>
              <w:bottom w:w="70" w:type="dxa"/>
              <w:end w:w="110" w:type="dxa"/>
            </w:tcMar>
          </w:tcPr>
          <w:p>
            <w:pPr>
              <w:pStyle w:val="TableText"/>
            </w:pPr>
            <w:r>
              <w:rPr/>
              <w:t>5605.00.1000</w:t>
            </w:r>
          </w:p>
        </w:tc>
        <w:tc>
          <w:tcPr>
            <w:tcW w:type="dxa" w:w="2340"/>
            <w:shd w:fill="F5F7F8" w:val="clear" w:color="auto"/>
            <w:tcMar>
              <w:top w:w="70" w:type="dxa"/>
              <w:start w:w="110" w:type="dxa"/>
              <w:bottom w:w="70" w:type="dxa"/>
              <w:end w:w="110" w:type="dxa"/>
            </w:tcMar>
          </w:tcPr>
          <w:p>
            <w:pPr>
              <w:pStyle w:val="TableText"/>
            </w:pPr>
            <w:r>
              <w:rPr/>
              <w:t>6.5</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METAL COATED OR METAL LAMINATED MAN-MADE FILAMENT OR STRIP OR THE LIKE, UNGIMPED, AND UNTWISTED OR WITH TWIST OF LESS THAN 5 TURNS PER METER WOVEN PILE FABRIC, CONTAINING 85% OR</w:t>
            </w:r>
          </w:p>
        </w:tc>
      </w:tr>
      <w:tr>
        <w:trPr>
          <w:cantSplit/>
        </w:trPr>
        <w:tc>
          <w:tcPr>
            <w:tcW w:type="dxa" w:w="2340"/>
            <w:tcMar>
              <w:top w:w="70" w:type="dxa"/>
              <w:start w:w="110" w:type="dxa"/>
              <w:bottom w:w="70" w:type="dxa"/>
              <w:end w:w="110" w:type="dxa"/>
            </w:tcMar>
          </w:tcPr>
          <w:p>
            <w:pPr>
              <w:pStyle w:val="TableText"/>
            </w:pPr>
            <w:r>
              <w:rPr/>
              <w:t>5801.90.2010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5802.20.0010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TERRY TOWELING AND SIMILAR WOVEN FABRIC, CONTAINING 85% OR MORE BY WEIGHT OF SILK OR SILK WASTE</w:t>
            </w:r>
          </w:p>
        </w:tc>
      </w:tr>
      <w:tr>
        <w:trPr>
          <w:cantSplit/>
        </w:trPr>
        <w:tc>
          <w:tcPr>
            <w:tcW w:type="dxa" w:w="2340"/>
            <w:tcMar>
              <w:top w:w="70" w:type="dxa"/>
              <w:start w:w="110" w:type="dxa"/>
              <w:bottom w:w="70" w:type="dxa"/>
              <w:end w:w="110" w:type="dxa"/>
            </w:tcMar>
          </w:tcPr>
          <w:p>
            <w:pPr>
              <w:pStyle w:val="TableText"/>
            </w:pPr>
            <w:r>
              <w:rPr/>
              <w:t>5802.30.0010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TUFTED TEXTILE FABRIC, CONTAINING 85%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5803.00.9010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GAUZE, CONTAINING 85% OR MORE BY WEIGHT OF SILK OR SILK WASTE</w:t>
            </w:r>
          </w:p>
        </w:tc>
      </w:tr>
      <w:tr>
        <w:trPr>
          <w:cantSplit/>
        </w:trPr>
        <w:tc>
          <w:tcPr>
            <w:tcW w:type="dxa" w:w="2340"/>
            <w:tcMar>
              <w:top w:w="70" w:type="dxa"/>
              <w:start w:w="110" w:type="dxa"/>
              <w:bottom w:w="70" w:type="dxa"/>
              <w:end w:w="110" w:type="dxa"/>
            </w:tcMar>
          </w:tcPr>
          <w:p>
            <w:pPr>
              <w:pStyle w:val="TableText"/>
            </w:pPr>
            <w:r>
              <w:rPr/>
              <w:t>5804.10.9010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TULLES &amp; OTHER NETTING FABRIC NOT INCLUDING WOVEN, KNIT OR CROCHETED, CONTAINING 85%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5804.29.9010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MECHANICALLY MADE LACE IN THE PIECE/STRIP/MOTIF, CONTAINING 85% OR MORE BY WEIGHT OF SILK OR SILK WASTE</w:t>
            </w:r>
          </w:p>
        </w:tc>
      </w:tr>
      <w:tr>
        <w:trPr>
          <w:cantSplit/>
        </w:trPr>
        <w:tc>
          <w:tcPr>
            <w:tcW w:type="dxa" w:w="2340"/>
            <w:tcMar>
              <w:top w:w="70" w:type="dxa"/>
              <w:start w:w="110" w:type="dxa"/>
              <w:bottom w:w="70" w:type="dxa"/>
              <w:end w:w="110" w:type="dxa"/>
            </w:tcMar>
          </w:tcPr>
          <w:p>
            <w:pPr>
              <w:pStyle w:val="TableText"/>
            </w:pPr>
            <w:r>
              <w:rPr/>
              <w:t>5804.30.0010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HANDMADE LACE IN PIECE/STRIP/MOTIF, CONTAINING 85%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5805.00.1000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HANDWOVEN TAPESTRIES FOR WALLHANGINGS, VALUED OVER $215 PER SM</w:t>
            </w:r>
          </w:p>
        </w:tc>
      </w:tr>
      <w:tr>
        <w:trPr>
          <w:cantSplit/>
        </w:trPr>
        <w:tc>
          <w:tcPr>
            <w:tcW w:type="dxa" w:w="2340"/>
            <w:tcMar>
              <w:top w:w="70" w:type="dxa"/>
              <w:start w:w="110" w:type="dxa"/>
              <w:bottom w:w="70" w:type="dxa"/>
              <w:end w:w="110" w:type="dxa"/>
            </w:tcMar>
          </w:tcPr>
          <w:p>
            <w:pPr>
              <w:pStyle w:val="TableText"/>
            </w:pPr>
            <w:r>
              <w:rPr/>
              <w:t>5805.00.2000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OTHER HANDWOVEN TAPESTRIES, WOOL OR FINE ANIMAL HAIR, CERTIFIED HANDLOOMED</w:t>
            </w:r>
          </w:p>
        </w:tc>
      </w:tr>
      <w:tr>
        <w:trPr>
          <w:cantSplit/>
        </w:trPr>
        <w:tc>
          <w:tcPr>
            <w:tcW w:type="dxa" w:w="2340"/>
            <w:shd w:fill="F5F7F8" w:val="clear" w:color="auto"/>
            <w:tcMar>
              <w:top w:w="70" w:type="dxa"/>
              <w:start w:w="110" w:type="dxa"/>
              <w:bottom w:w="70" w:type="dxa"/>
              <w:end w:w="110" w:type="dxa"/>
            </w:tcMar>
          </w:tcPr>
          <w:p>
            <w:pPr>
              <w:pStyle w:val="TableText"/>
            </w:pPr>
            <w:r>
              <w:rPr/>
              <w:t>5805.00.4090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OTHER HANDWOVEN TAPESTRIES</w:t>
            </w:r>
          </w:p>
        </w:tc>
      </w:tr>
      <w:tr>
        <w:trPr>
          <w:cantSplit/>
        </w:trPr>
        <w:tc>
          <w:tcPr>
            <w:tcW w:type="dxa" w:w="2340"/>
            <w:tcMar>
              <w:top w:w="70" w:type="dxa"/>
              <w:start w:w="110" w:type="dxa"/>
              <w:bottom w:w="70" w:type="dxa"/>
              <w:end w:w="110" w:type="dxa"/>
            </w:tcMar>
          </w:tcPr>
          <w:p>
            <w:pPr>
              <w:pStyle w:val="TableText"/>
            </w:pPr>
            <w:r>
              <w:rPr/>
              <w:t>5806.10.3010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OTHER NARROW WOVEN PILE &amp; CHENILLE FABRIC, CONTAINING 85 PERCENT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5806.39.3010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NARROW WOVEN FABRIC, NOT PILE,     CONTAINING 85% OR MORE BY WEIGHT OF SILK OR SILK WASTE</w:t>
            </w:r>
          </w:p>
        </w:tc>
      </w:tr>
      <w:tr>
        <w:trPr>
          <w:cantSplit/>
        </w:trPr>
        <w:tc>
          <w:tcPr>
            <w:tcW w:type="dxa" w:w="2340"/>
            <w:tcMar>
              <w:top w:w="70" w:type="dxa"/>
              <w:start w:w="110" w:type="dxa"/>
              <w:bottom w:w="70" w:type="dxa"/>
              <w:end w:w="110" w:type="dxa"/>
            </w:tcMar>
          </w:tcPr>
          <w:p>
            <w:pPr>
              <w:pStyle w:val="TableText"/>
            </w:pPr>
            <w:r>
              <w:rPr/>
              <w:t>5806.40.0000</w:t>
            </w:r>
          </w:p>
        </w:tc>
        <w:tc>
          <w:tcPr>
            <w:tcW w:type="dxa" w:w="2340"/>
            <w:tcMar>
              <w:top w:w="70" w:type="dxa"/>
              <w:start w:w="110" w:type="dxa"/>
              <w:bottom w:w="70" w:type="dxa"/>
              <w:end w:w="110" w:type="dxa"/>
            </w:tcMar>
          </w:tcPr>
          <w:p>
            <w:pPr>
              <w:pStyle w:val="TableText"/>
            </w:pPr>
            <w:r>
              <w:rPr/>
              <w:t>13.60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NARROW FABRIC, WARP WITHOUT WEFT ASSEMBLED BY MEANS OF AN ADHESIVE (BOLDUCS)</w:t>
            </w:r>
          </w:p>
        </w:tc>
      </w:tr>
      <w:tr>
        <w:trPr>
          <w:cantSplit/>
        </w:trPr>
        <w:tc>
          <w:tcPr>
            <w:tcW w:type="dxa" w:w="2340"/>
            <w:shd w:fill="F5F7F8" w:val="clear" w:color="auto"/>
            <w:tcMar>
              <w:top w:w="70" w:type="dxa"/>
              <w:start w:w="110" w:type="dxa"/>
              <w:bottom w:w="70" w:type="dxa"/>
              <w:end w:w="110" w:type="dxa"/>
            </w:tcMar>
          </w:tcPr>
          <w:p>
            <w:pPr>
              <w:pStyle w:val="TableText"/>
            </w:pPr>
            <w:r>
              <w:rPr/>
              <w:t>5807.10.1500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WOVEN LABELS, TEXTILE MATERIALS, NOT EMBROIDERED, NOT COTTON OR MMF</w:t>
            </w:r>
          </w:p>
        </w:tc>
      </w:tr>
      <w:tr>
        <w:trPr>
          <w:cantSplit/>
        </w:trPr>
        <w:tc>
          <w:tcPr>
            <w:tcW w:type="dxa" w:w="2340"/>
            <w:tcMar>
              <w:top w:w="70" w:type="dxa"/>
              <w:start w:w="110" w:type="dxa"/>
              <w:bottom w:w="70" w:type="dxa"/>
              <w:end w:w="110" w:type="dxa"/>
            </w:tcMar>
          </w:tcPr>
          <w:p>
            <w:pPr>
              <w:pStyle w:val="TableText"/>
            </w:pPr>
            <w:r>
              <w:rPr/>
              <w:t>5807.10.2010</w:t>
            </w:r>
          </w:p>
        </w:tc>
        <w:tc>
          <w:tcPr>
            <w:tcW w:type="dxa" w:w="2340"/>
            <w:tcMar>
              <w:top w:w="70" w:type="dxa"/>
              <w:start w:w="110" w:type="dxa"/>
              <w:bottom w:w="70" w:type="dxa"/>
              <w:end w:w="110" w:type="dxa"/>
            </w:tcMar>
          </w:tcPr>
          <w:p>
            <w:pPr>
              <w:pStyle w:val="TableText"/>
            </w:pPr>
            <w:r>
              <w:rPr/>
              <w:t>8.50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WOVEN BADGES AND SIMILAR ARTICLES, COTTON, NOT EMBROIDERED</w:t>
            </w:r>
          </w:p>
        </w:tc>
      </w:tr>
      <w:tr>
        <w:trPr>
          <w:cantSplit/>
        </w:trPr>
        <w:tc>
          <w:tcPr>
            <w:tcW w:type="dxa" w:w="2340"/>
            <w:shd w:fill="F5F7F8" w:val="clear" w:color="auto"/>
            <w:tcMar>
              <w:top w:w="70" w:type="dxa"/>
              <w:start w:w="110" w:type="dxa"/>
              <w:bottom w:w="70" w:type="dxa"/>
              <w:end w:w="110" w:type="dxa"/>
            </w:tcMar>
          </w:tcPr>
          <w:p>
            <w:pPr>
              <w:pStyle w:val="TableText"/>
            </w:pPr>
            <w:r>
              <w:rPr/>
              <w:t>5807.10.2020</w:t>
            </w:r>
          </w:p>
        </w:tc>
        <w:tc>
          <w:tcPr>
            <w:tcW w:type="dxa" w:w="2340"/>
            <w:shd w:fill="F5F7F8" w:val="clear" w:color="auto"/>
            <w:tcMar>
              <w:top w:w="70" w:type="dxa"/>
              <w:start w:w="110" w:type="dxa"/>
              <w:bottom w:w="70" w:type="dxa"/>
              <w:end w:w="110" w:type="dxa"/>
            </w:tcMar>
          </w:tcPr>
          <w:p>
            <w:pPr>
              <w:pStyle w:val="TableText"/>
            </w:pPr>
            <w:r>
              <w:rPr/>
              <w:t>14.40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WOVEN BADGES/SIMILAR ARTICLES, MMF, NOT EMBROIDERED</w:t>
            </w:r>
          </w:p>
        </w:tc>
      </w:tr>
      <w:tr>
        <w:trPr>
          <w:cantSplit/>
        </w:trPr>
        <w:tc>
          <w:tcPr>
            <w:tcW w:type="dxa" w:w="2340"/>
            <w:tcMar>
              <w:top w:w="70" w:type="dxa"/>
              <w:start w:w="110" w:type="dxa"/>
              <w:bottom w:w="70" w:type="dxa"/>
              <w:end w:w="110" w:type="dxa"/>
            </w:tcMar>
          </w:tcPr>
          <w:p>
            <w:pPr>
              <w:pStyle w:val="TableText"/>
            </w:pPr>
            <w:r>
              <w:rPr/>
              <w:t>5807.10.2090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WOVEN BADGES/SIMILAR ARTCLES, TEXTILE MATERIALS, NOT EMBROIDERED, NOT COTTON/MMF</w:t>
            </w:r>
          </w:p>
        </w:tc>
      </w:tr>
      <w:tr>
        <w:trPr>
          <w:cantSplit/>
        </w:trPr>
        <w:tc>
          <w:tcPr>
            <w:tcW w:type="dxa" w:w="2340"/>
            <w:shd w:fill="F5F7F8" w:val="clear" w:color="auto"/>
            <w:tcMar>
              <w:top w:w="70" w:type="dxa"/>
              <w:start w:w="110" w:type="dxa"/>
              <w:bottom w:w="70" w:type="dxa"/>
              <w:end w:w="110" w:type="dxa"/>
            </w:tcMar>
          </w:tcPr>
          <w:p>
            <w:pPr>
              <w:pStyle w:val="TableText"/>
            </w:pPr>
            <w:r>
              <w:rPr/>
              <w:t>5807.90.1500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NOTWOVEN LABELS OF TEXTILE MATERIALS, NOT EMBROIDERED, NOT COTTON/MMF</w:t>
            </w:r>
          </w:p>
        </w:tc>
      </w:tr>
      <w:tr>
        <w:trPr>
          <w:cantSplit/>
        </w:trPr>
        <w:tc>
          <w:tcPr>
            <w:tcW w:type="dxa" w:w="2340"/>
            <w:tcMar>
              <w:top w:w="70" w:type="dxa"/>
              <w:start w:w="110" w:type="dxa"/>
              <w:bottom w:w="70" w:type="dxa"/>
              <w:end w:w="110" w:type="dxa"/>
            </w:tcMar>
          </w:tcPr>
          <w:p>
            <w:pPr>
              <w:pStyle w:val="TableText"/>
            </w:pPr>
            <w:r>
              <w:rPr/>
              <w:t>5807.90.2010</w:t>
            </w:r>
          </w:p>
        </w:tc>
        <w:tc>
          <w:tcPr>
            <w:tcW w:type="dxa" w:w="2340"/>
            <w:tcMar>
              <w:top w:w="70" w:type="dxa"/>
              <w:start w:w="110" w:type="dxa"/>
              <w:bottom w:w="70" w:type="dxa"/>
              <w:end w:w="110" w:type="dxa"/>
            </w:tcMar>
          </w:tcPr>
          <w:p>
            <w:pPr>
              <w:pStyle w:val="TableText"/>
            </w:pPr>
            <w:r>
              <w:rPr/>
              <w:t>8.50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NOTWOVEN BADGES/SIMILAR ARTICLES, COTTON, NOT EMBROIDERED</w:t>
            </w:r>
          </w:p>
        </w:tc>
      </w:tr>
      <w:tr>
        <w:trPr>
          <w:cantSplit/>
        </w:trPr>
        <w:tc>
          <w:tcPr>
            <w:tcW w:type="dxa" w:w="2340"/>
            <w:shd w:fill="F5F7F8" w:val="clear" w:color="auto"/>
            <w:tcMar>
              <w:top w:w="70" w:type="dxa"/>
              <w:start w:w="110" w:type="dxa"/>
              <w:bottom w:w="70" w:type="dxa"/>
              <w:end w:w="110" w:type="dxa"/>
            </w:tcMar>
          </w:tcPr>
          <w:p>
            <w:pPr>
              <w:pStyle w:val="TableText"/>
            </w:pPr>
            <w:r>
              <w:rPr/>
              <w:t>5807.90.2020</w:t>
            </w:r>
          </w:p>
        </w:tc>
        <w:tc>
          <w:tcPr>
            <w:tcW w:type="dxa" w:w="2340"/>
            <w:shd w:fill="F5F7F8" w:val="clear" w:color="auto"/>
            <w:tcMar>
              <w:top w:w="70" w:type="dxa"/>
              <w:start w:w="110" w:type="dxa"/>
              <w:bottom w:w="70" w:type="dxa"/>
              <w:end w:w="110" w:type="dxa"/>
            </w:tcMar>
          </w:tcPr>
          <w:p>
            <w:pPr>
              <w:pStyle w:val="TableText"/>
            </w:pPr>
            <w:r>
              <w:rPr/>
              <w:t>14.40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NOTWOVEN BADGES/SIMILAR ARTICLES, MMF, NOT EMBROIDERED</w:t>
            </w:r>
          </w:p>
        </w:tc>
      </w:tr>
      <w:tr>
        <w:trPr>
          <w:cantSplit/>
        </w:trPr>
        <w:tc>
          <w:tcPr>
            <w:tcW w:type="dxa" w:w="2340"/>
            <w:tcMar>
              <w:top w:w="70" w:type="dxa"/>
              <w:start w:w="110" w:type="dxa"/>
              <w:bottom w:w="70" w:type="dxa"/>
              <w:end w:w="110" w:type="dxa"/>
            </w:tcMar>
          </w:tcPr>
          <w:p>
            <w:pPr>
              <w:pStyle w:val="TableText"/>
            </w:pPr>
            <w:r>
              <w:rPr/>
              <w:t>5807.90.2090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NOTWOVEN BADGES/SIMILAR ARTICLES, TEX MATERIALS, NOT EMBROIDERED, NOT COTTON/MMF</w:t>
            </w:r>
          </w:p>
        </w:tc>
      </w:tr>
      <w:tr>
        <w:trPr>
          <w:cantSplit/>
        </w:trPr>
        <w:tc>
          <w:tcPr>
            <w:tcW w:type="dxa" w:w="2340"/>
            <w:shd w:fill="F5F7F8" w:val="clear" w:color="auto"/>
            <w:tcMar>
              <w:top w:w="70" w:type="dxa"/>
              <w:start w:w="110" w:type="dxa"/>
              <w:bottom w:w="70" w:type="dxa"/>
              <w:end w:w="110" w:type="dxa"/>
            </w:tcMar>
          </w:tcPr>
          <w:p>
            <w:pPr>
              <w:pStyle w:val="TableText"/>
            </w:pPr>
            <w:r>
              <w:rPr/>
              <w:t>5808.10.5000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BRAIDS IN PIECE FOR HEADWEAR, OTHER TEXTILE MATERIALS</w:t>
            </w:r>
          </w:p>
        </w:tc>
      </w:tr>
      <w:tr>
        <w:trPr>
          <w:cantSplit/>
        </w:trPr>
        <w:tc>
          <w:tcPr>
            <w:tcW w:type="dxa" w:w="2340"/>
            <w:tcMar>
              <w:top w:w="70" w:type="dxa"/>
              <w:start w:w="110" w:type="dxa"/>
              <w:bottom w:w="70" w:type="dxa"/>
              <w:end w:w="110" w:type="dxa"/>
            </w:tcMar>
          </w:tcPr>
          <w:p>
            <w:pPr>
              <w:pStyle w:val="TableText"/>
            </w:pPr>
            <w:r>
              <w:rPr/>
              <w:t>5808.10.9000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OTHER BRAIDS IN PIECE</w:t>
            </w:r>
          </w:p>
        </w:tc>
      </w:tr>
      <w:tr>
        <w:trPr>
          <w:cantSplit/>
        </w:trPr>
        <w:tc>
          <w:tcPr>
            <w:tcW w:type="dxa" w:w="2340"/>
            <w:shd w:fill="F5F7F8" w:val="clear" w:color="auto"/>
            <w:tcMar>
              <w:top w:w="70" w:type="dxa"/>
              <w:start w:w="110" w:type="dxa"/>
              <w:bottom w:w="70" w:type="dxa"/>
              <w:end w:w="110" w:type="dxa"/>
            </w:tcMar>
          </w:tcPr>
          <w:p>
            <w:pPr>
              <w:pStyle w:val="TableText"/>
            </w:pPr>
            <w:r>
              <w:rPr/>
              <w:t>5808.90.0090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ORNAMENTAL TRIMMING IN PIECE, TEXTILE MATERIALS, NOT KNIT OR CROCHETED OR EMBROIDERED, NOT COTTON/MMF</w:t>
            </w:r>
          </w:p>
        </w:tc>
      </w:tr>
      <w:tr>
        <w:trPr>
          <w:cantSplit/>
        </w:trPr>
        <w:tc>
          <w:tcPr>
            <w:tcW w:type="dxa" w:w="2340"/>
            <w:tcMar>
              <w:top w:w="70" w:type="dxa"/>
              <w:start w:w="110" w:type="dxa"/>
              <w:bottom w:w="70" w:type="dxa"/>
              <w:end w:w="110" w:type="dxa"/>
            </w:tcMar>
          </w:tcPr>
          <w:p>
            <w:pPr>
              <w:pStyle w:val="TableText"/>
            </w:pPr>
            <w:r>
              <w:rPr/>
              <w:t>5810.92.1000</w:t>
            </w:r>
          </w:p>
        </w:tc>
        <w:tc>
          <w:tcPr>
            <w:tcW w:type="dxa" w:w="2340"/>
            <w:tcMar>
              <w:top w:w="70" w:type="dxa"/>
              <w:start w:w="110" w:type="dxa"/>
              <w:bottom w:w="70" w:type="dxa"/>
              <w:end w:w="110" w:type="dxa"/>
            </w:tcMar>
          </w:tcPr>
          <w:p>
            <w:pPr>
              <w:pStyle w:val="TableText"/>
            </w:pPr>
            <w:r>
              <w:rPr/>
              <w:t>14.40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EMBROIDERED BADGES/EMBLEMS/MOTIFS WITH VISIBLE GROUND, MMF</w:t>
            </w:r>
          </w:p>
        </w:tc>
      </w:tr>
      <w:tr>
        <w:trPr>
          <w:cantSplit/>
        </w:trPr>
        <w:tc>
          <w:tcPr>
            <w:tcW w:type="dxa" w:w="2340"/>
            <w:shd w:fill="F5F7F8" w:val="clear" w:color="auto"/>
            <w:tcMar>
              <w:top w:w="70" w:type="dxa"/>
              <w:start w:w="110" w:type="dxa"/>
              <w:bottom w:w="70" w:type="dxa"/>
              <w:end w:w="110" w:type="dxa"/>
            </w:tcMar>
          </w:tcPr>
          <w:p>
            <w:pPr>
              <w:pStyle w:val="TableText"/>
            </w:pPr>
            <w:r>
              <w:rPr/>
              <w:t>5810.99.9000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EMBROIDERY PIECES/STRIPS/MOTIFS WITH VISIBLE GROUND, TEXTILE MATERIALS</w:t>
            </w:r>
          </w:p>
        </w:tc>
      </w:tr>
      <w:tr>
        <w:trPr>
          <w:cantSplit/>
        </w:trPr>
        <w:tc>
          <w:tcPr>
            <w:tcW w:type="dxa" w:w="2340"/>
            <w:tcMar>
              <w:top w:w="70" w:type="dxa"/>
              <w:start w:w="110" w:type="dxa"/>
              <w:bottom w:w="70" w:type="dxa"/>
              <w:end w:w="110" w:type="dxa"/>
            </w:tcMar>
          </w:tcPr>
          <w:p>
            <w:pPr>
              <w:pStyle w:val="TableText"/>
            </w:pPr>
            <w:r>
              <w:rPr/>
              <w:t>5811.00.4000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OTHER QUILTED PIECES, 1 LAYER TEXTILE MATERIALS, OTHER TEXTILE MATERIALS</w:t>
            </w:r>
          </w:p>
        </w:tc>
      </w:tr>
      <w:tr>
        <w:trPr>
          <w:cantSplit/>
        </w:trPr>
        <w:tc>
          <w:tcPr>
            <w:tcW w:type="dxa" w:w="2340"/>
            <w:shd w:fill="F5F7F8" w:val="clear" w:color="auto"/>
            <w:tcMar>
              <w:top w:w="70" w:type="dxa"/>
              <w:start w:w="110" w:type="dxa"/>
              <w:bottom w:w="70" w:type="dxa"/>
              <w:end w:w="110" w:type="dxa"/>
            </w:tcMar>
          </w:tcPr>
          <w:p>
            <w:pPr>
              <w:pStyle w:val="TableText"/>
            </w:pPr>
            <w:r>
              <w:rPr/>
              <w:t>6001.99.1000</w:t>
            </w:r>
          </w:p>
        </w:tc>
        <w:tc>
          <w:tcPr>
            <w:tcW w:type="dxa" w:w="2340"/>
            <w:shd w:fill="F5F7F8" w:val="clear" w:color="auto"/>
            <w:tcMar>
              <w:top w:w="70" w:type="dxa"/>
              <w:start w:w="110" w:type="dxa"/>
              <w:bottom w:w="70" w:type="dxa"/>
              <w:end w:w="110" w:type="dxa"/>
            </w:tcMar>
          </w:tcPr>
          <w:p>
            <w:pPr>
              <w:pStyle w:val="TableText"/>
            </w:pPr>
            <w:r>
              <w:rPr/>
              <w:t>1.00</w:t>
            </w:r>
          </w:p>
        </w:tc>
        <w:tc>
          <w:tcPr>
            <w:tcW w:type="dxa" w:w="2340"/>
            <w:shd w:fill="F5F7F8" w:val="clear" w:color="auto"/>
            <w:tcMar>
              <w:top w:w="70" w:type="dxa"/>
              <w:start w:w="110" w:type="dxa"/>
              <w:bottom w:w="70" w:type="dxa"/>
              <w:end w:w="110" w:type="dxa"/>
            </w:tcMar>
          </w:tcPr>
          <w:p>
            <w:pPr>
              <w:pStyle w:val="TableText"/>
            </w:pPr>
            <w:r>
              <w:rPr/>
              <w:t>SM</w:t>
            </w:r>
          </w:p>
        </w:tc>
        <w:tc>
          <w:tcPr>
            <w:tcW w:type="dxa" w:w="2340"/>
            <w:shd w:fill="F5F7F8" w:val="clear" w:color="auto"/>
            <w:tcMar>
              <w:top w:w="70" w:type="dxa"/>
              <w:start w:w="110" w:type="dxa"/>
              <w:bottom w:w="70" w:type="dxa"/>
              <w:end w:w="110" w:type="dxa"/>
            </w:tcMar>
          </w:tcPr>
          <w:p>
            <w:pPr>
              <w:pStyle w:val="TableText"/>
            </w:pPr>
            <w:r>
              <w:rPr/>
              <w:t>OTHER KNIT OR CROCHETED PILE FABRIC, OTHER, CONTAINING 85% OR MORE BY WEIGHT OF SILK OR SILK WASTE</w:t>
            </w:r>
          </w:p>
        </w:tc>
      </w:tr>
      <w:tr>
        <w:trPr>
          <w:cantSplit/>
        </w:trPr>
        <w:tc>
          <w:tcPr>
            <w:tcW w:type="dxa" w:w="2340"/>
            <w:tcMar>
              <w:top w:w="70" w:type="dxa"/>
              <w:start w:w="110" w:type="dxa"/>
              <w:bottom w:w="70" w:type="dxa"/>
              <w:end w:w="110" w:type="dxa"/>
            </w:tcMar>
          </w:tcPr>
          <w:p>
            <w:pPr>
              <w:pStyle w:val="TableText"/>
            </w:pPr>
            <w:r>
              <w:rPr/>
              <w:t>6006.90.1000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KNIT OR CROCHETED FABRIC, OTHER,     CONTAINING 85%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6301.90.0020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NO</w:t>
            </w:r>
          </w:p>
        </w:tc>
        <w:tc>
          <w:tcPr>
            <w:tcW w:type="dxa" w:w="2340"/>
            <w:shd w:fill="F5F7F8" w:val="clear" w:color="auto"/>
            <w:tcMar>
              <w:top w:w="70" w:type="dxa"/>
              <w:start w:w="110" w:type="dxa"/>
              <w:bottom w:w="70" w:type="dxa"/>
              <w:end w:w="110" w:type="dxa"/>
            </w:tcMar>
          </w:tcPr>
          <w:p>
            <w:pPr>
              <w:pStyle w:val="TableText"/>
            </w:pPr>
            <w:r>
              <w:rPr/>
              <w:t>BLANKET/TRAVELING RUGS, CONTAINING 85% OR MORE BY WEIGHT OF SILK OR SILK WASTE</w:t>
            </w:r>
          </w:p>
        </w:tc>
      </w:tr>
      <w:tr>
        <w:trPr>
          <w:cantSplit/>
        </w:trPr>
        <w:tc>
          <w:tcPr>
            <w:tcW w:type="dxa" w:w="2340"/>
            <w:tcMar>
              <w:top w:w="70" w:type="dxa"/>
              <w:start w:w="110" w:type="dxa"/>
              <w:bottom w:w="70" w:type="dxa"/>
              <w:end w:w="110" w:type="dxa"/>
            </w:tcMar>
          </w:tcPr>
          <w:p>
            <w:pPr>
              <w:pStyle w:val="TableText"/>
            </w:pPr>
            <w:r>
              <w:rPr/>
              <w:t>6302.29.0010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NO</w:t>
            </w:r>
          </w:p>
        </w:tc>
        <w:tc>
          <w:tcPr>
            <w:tcW w:type="dxa" w:w="2340"/>
            <w:tcMar>
              <w:top w:w="70" w:type="dxa"/>
              <w:start w:w="110" w:type="dxa"/>
              <w:bottom w:w="70" w:type="dxa"/>
              <w:end w:w="110" w:type="dxa"/>
            </w:tcMar>
          </w:tcPr>
          <w:p>
            <w:pPr>
              <w:pStyle w:val="TableText"/>
            </w:pPr>
            <w:r>
              <w:rPr/>
              <w:t>BED LINEN, PRINTED CONTAINING 85%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6302.39.0020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NO</w:t>
            </w:r>
          </w:p>
        </w:tc>
        <w:tc>
          <w:tcPr>
            <w:tcW w:type="dxa" w:w="2340"/>
            <w:shd w:fill="F5F7F8" w:val="clear" w:color="auto"/>
            <w:tcMar>
              <w:top w:w="70" w:type="dxa"/>
              <w:start w:w="110" w:type="dxa"/>
              <w:bottom w:w="70" w:type="dxa"/>
              <w:end w:w="110" w:type="dxa"/>
            </w:tcMar>
          </w:tcPr>
          <w:p>
            <w:pPr>
              <w:pStyle w:val="TableText"/>
            </w:pPr>
            <w:r>
              <w:rPr/>
              <w:t>OTHER BED LINEN, CONTAINING 85% OR MORE BY WEIGHT OF SILK OR SILK WASTE</w:t>
            </w:r>
          </w:p>
        </w:tc>
      </w:tr>
      <w:tr>
        <w:trPr>
          <w:cantSplit/>
        </w:trPr>
        <w:tc>
          <w:tcPr>
            <w:tcW w:type="dxa" w:w="2340"/>
            <w:tcMar>
              <w:top w:w="70" w:type="dxa"/>
              <w:start w:w="110" w:type="dxa"/>
              <w:bottom w:w="70" w:type="dxa"/>
              <w:end w:w="110" w:type="dxa"/>
            </w:tcMar>
          </w:tcPr>
          <w:p>
            <w:pPr>
              <w:pStyle w:val="TableText"/>
            </w:pPr>
            <w:r>
              <w:rPr/>
              <w:t>6302.99.1000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NO</w:t>
            </w:r>
          </w:p>
        </w:tc>
        <w:tc>
          <w:tcPr>
            <w:tcW w:type="dxa" w:w="2340"/>
            <w:tcMar>
              <w:top w:w="70" w:type="dxa"/>
              <w:start w:w="110" w:type="dxa"/>
              <w:bottom w:w="70" w:type="dxa"/>
              <w:end w:w="110" w:type="dxa"/>
            </w:tcMar>
          </w:tcPr>
          <w:p>
            <w:pPr>
              <w:pStyle w:val="TableText"/>
            </w:pPr>
            <w:r>
              <w:rPr/>
              <w:t>OTHER LINEN, CONTAINING 85%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6303.99.0030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NO</w:t>
            </w:r>
          </w:p>
        </w:tc>
        <w:tc>
          <w:tcPr>
            <w:tcW w:type="dxa" w:w="2340"/>
            <w:shd w:fill="F5F7F8" w:val="clear" w:color="auto"/>
            <w:tcMar>
              <w:top w:w="70" w:type="dxa"/>
              <w:start w:w="110" w:type="dxa"/>
              <w:bottom w:w="70" w:type="dxa"/>
              <w:end w:w="110" w:type="dxa"/>
            </w:tcMar>
          </w:tcPr>
          <w:p>
            <w:pPr>
              <w:pStyle w:val="TableText"/>
            </w:pPr>
            <w:r>
              <w:rPr/>
              <w:t>CURTAINS, INTERIOR BLINDS, OF OTHER TEXTILE MATERIALS NOT KNIT OR CROCHETED, CONTAINING 85% OR MORE BY WEIGHT OF SILK OR SILK WASTE</w:t>
            </w:r>
          </w:p>
        </w:tc>
      </w:tr>
      <w:tr>
        <w:trPr>
          <w:cantSplit/>
        </w:trPr>
        <w:tc>
          <w:tcPr>
            <w:tcW w:type="dxa" w:w="2340"/>
            <w:tcMar>
              <w:top w:w="70" w:type="dxa"/>
              <w:start w:w="110" w:type="dxa"/>
              <w:bottom w:w="70" w:type="dxa"/>
              <w:end w:w="110" w:type="dxa"/>
            </w:tcMar>
          </w:tcPr>
          <w:p>
            <w:pPr>
              <w:pStyle w:val="TableText"/>
            </w:pPr>
            <w:r>
              <w:rPr/>
              <w:t>6304.19.3030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NO</w:t>
            </w:r>
          </w:p>
        </w:tc>
        <w:tc>
          <w:tcPr>
            <w:tcW w:type="dxa" w:w="2340"/>
            <w:tcMar>
              <w:top w:w="70" w:type="dxa"/>
              <w:start w:w="110" w:type="dxa"/>
              <w:bottom w:w="70" w:type="dxa"/>
              <w:end w:w="110" w:type="dxa"/>
            </w:tcMar>
          </w:tcPr>
          <w:p>
            <w:pPr>
              <w:pStyle w:val="TableText"/>
            </w:pPr>
            <w:r>
              <w:rPr/>
              <w:t>BEDSPREADS, NOT KNIT OR CROCHETED, CONTAINING 85% OR MORE BY WEIGHT OF SILK OR SILK WASTE</w:t>
            </w:r>
          </w:p>
        </w:tc>
      </w:tr>
      <w:tr>
        <w:trPr>
          <w:cantSplit/>
        </w:trPr>
        <w:tc>
          <w:tcPr>
            <w:tcW w:type="dxa" w:w="2340"/>
            <w:shd w:fill="F5F7F8" w:val="clear" w:color="auto"/>
            <w:tcMar>
              <w:top w:w="70" w:type="dxa"/>
              <w:start w:w="110" w:type="dxa"/>
              <w:bottom w:w="70" w:type="dxa"/>
              <w:end w:w="110" w:type="dxa"/>
            </w:tcMar>
          </w:tcPr>
          <w:p>
            <w:pPr>
              <w:pStyle w:val="TableText"/>
            </w:pPr>
            <w:r>
              <w:rPr/>
              <w:t>6304.91.0060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NO</w:t>
            </w:r>
          </w:p>
        </w:tc>
        <w:tc>
          <w:tcPr>
            <w:tcW w:type="dxa" w:w="2340"/>
            <w:shd w:fill="F5F7F8" w:val="clear" w:color="auto"/>
            <w:tcMar>
              <w:top w:w="70" w:type="dxa"/>
              <w:start w:w="110" w:type="dxa"/>
              <w:bottom w:w="70" w:type="dxa"/>
              <w:end w:w="110" w:type="dxa"/>
            </w:tcMar>
          </w:tcPr>
          <w:p>
            <w:pPr>
              <w:pStyle w:val="TableText"/>
            </w:pPr>
            <w:r>
              <w:rPr/>
              <w:t>OTHER FURNISHING ARTICLES, KNIT OR CROCHETED CONTAINING 85% OR MORE BY WEIGHT OF SILK OR SILK WASTE</w:t>
            </w:r>
          </w:p>
        </w:tc>
      </w:tr>
      <w:tr>
        <w:trPr>
          <w:cantSplit/>
        </w:trPr>
        <w:tc>
          <w:tcPr>
            <w:tcW w:type="dxa" w:w="2340"/>
            <w:tcMar>
              <w:top w:w="70" w:type="dxa"/>
              <w:start w:w="110" w:type="dxa"/>
              <w:bottom w:w="70" w:type="dxa"/>
              <w:end w:w="110" w:type="dxa"/>
            </w:tcMar>
          </w:tcPr>
          <w:p>
            <w:pPr>
              <w:pStyle w:val="TableText"/>
            </w:pPr>
            <w:r>
              <w:rPr/>
              <w:t>6304.99.1000</w:t>
            </w:r>
          </w:p>
        </w:tc>
        <w:tc>
          <w:tcPr>
            <w:tcW w:type="dxa" w:w="2340"/>
            <w:tcMar>
              <w:top w:w="70" w:type="dxa"/>
              <w:start w:w="110" w:type="dxa"/>
              <w:bottom w:w="70" w:type="dxa"/>
              <w:end w:w="110" w:type="dxa"/>
            </w:tcMar>
          </w:tcPr>
          <w:p>
            <w:pPr>
              <w:pStyle w:val="TableText"/>
            </w:pPr>
            <w:r>
              <w:rPr/>
              <w:t>1.00</w:t>
            </w:r>
          </w:p>
        </w:tc>
        <w:tc>
          <w:tcPr>
            <w:tcW w:type="dxa" w:w="2340"/>
            <w:tcMar>
              <w:top w:w="70" w:type="dxa"/>
              <w:start w:w="110" w:type="dxa"/>
              <w:bottom w:w="70" w:type="dxa"/>
              <w:end w:w="110" w:type="dxa"/>
            </w:tcMar>
          </w:tcPr>
          <w:p>
            <w:pPr>
              <w:pStyle w:val="TableText"/>
            </w:pPr>
            <w:r>
              <w:rPr/>
              <w:t>SM</w:t>
            </w:r>
          </w:p>
        </w:tc>
        <w:tc>
          <w:tcPr>
            <w:tcW w:type="dxa" w:w="2340"/>
            <w:tcMar>
              <w:top w:w="70" w:type="dxa"/>
              <w:start w:w="110" w:type="dxa"/>
              <w:bottom w:w="70" w:type="dxa"/>
              <w:end w:w="110" w:type="dxa"/>
            </w:tcMar>
          </w:tcPr>
          <w:p>
            <w:pPr>
              <w:pStyle w:val="TableText"/>
            </w:pPr>
            <w:r>
              <w:rPr/>
              <w:t>WALL HANGINGS OF WOOL OR FINE ANIMAL HAIR, CERTIFIED HANDLOOMED/FOLKLORE, NOT KNIT OR CROCHETED</w:t>
            </w:r>
          </w:p>
        </w:tc>
      </w:tr>
      <w:tr>
        <w:trPr>
          <w:cantSplit/>
        </w:trPr>
        <w:tc>
          <w:tcPr>
            <w:tcW w:type="dxa" w:w="2340"/>
            <w:shd w:fill="F5F7F8" w:val="clear" w:color="auto"/>
            <w:tcMar>
              <w:top w:w="70" w:type="dxa"/>
              <w:start w:w="110" w:type="dxa"/>
              <w:bottom w:w="70" w:type="dxa"/>
              <w:end w:w="110" w:type="dxa"/>
            </w:tcMar>
          </w:tcPr>
          <w:p>
            <w:pPr>
              <w:pStyle w:val="TableText"/>
            </w:pPr>
            <w:r>
              <w:rPr/>
              <w:t>6304.99.2500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WALL HANGINGS, JUTE, NOT KNIT</w:t>
            </w:r>
          </w:p>
        </w:tc>
      </w:tr>
      <w:tr>
        <w:trPr>
          <w:cantSplit/>
        </w:trPr>
        <w:tc>
          <w:tcPr>
            <w:tcW w:type="dxa" w:w="2340"/>
            <w:tcMar>
              <w:top w:w="70" w:type="dxa"/>
              <w:start w:w="110" w:type="dxa"/>
              <w:bottom w:w="70" w:type="dxa"/>
              <w:end w:w="110" w:type="dxa"/>
            </w:tcMar>
          </w:tcPr>
          <w:p>
            <w:pPr>
              <w:pStyle w:val="TableText"/>
            </w:pPr>
            <w:r>
              <w:rPr/>
              <w:t>6304.99.4000</w:t>
            </w:r>
          </w:p>
        </w:tc>
        <w:tc>
          <w:tcPr>
            <w:tcW w:type="dxa" w:w="2340"/>
            <w:tcMar>
              <w:top w:w="70" w:type="dxa"/>
              <w:start w:w="110" w:type="dxa"/>
              <w:bottom w:w="70" w:type="dxa"/>
              <w:end w:w="110" w:type="dxa"/>
            </w:tcMar>
          </w:tcPr>
          <w:p>
            <w:pPr>
              <w:pStyle w:val="TableText"/>
            </w:pPr>
            <w:r>
              <w:rPr/>
              <w:t>3.70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PILLOW COVERS, WOOL OR FINE ANIMAL HAIR, CERTIFIED HANDLOOMED/FOLKLORE NOT KNIT OR CROCHETED</w:t>
            </w:r>
          </w:p>
        </w:tc>
      </w:tr>
      <w:tr>
        <w:trPr>
          <w:cantSplit/>
        </w:trPr>
        <w:tc>
          <w:tcPr>
            <w:tcW w:type="dxa" w:w="2340"/>
            <w:shd w:fill="F5F7F8" w:val="clear" w:color="auto"/>
            <w:tcMar>
              <w:top w:w="70" w:type="dxa"/>
              <w:start w:w="110" w:type="dxa"/>
              <w:bottom w:w="70" w:type="dxa"/>
              <w:end w:w="110" w:type="dxa"/>
            </w:tcMar>
          </w:tcPr>
          <w:p>
            <w:pPr>
              <w:pStyle w:val="TableText"/>
            </w:pPr>
            <w:r>
              <w:rPr/>
              <w:t>6304.99.6030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FURNISHING ARTICLES, NOT KNIT, CONTAINING 85% OR MORE BY WEIGHT OF SILK OR SILK WASTE</w:t>
            </w:r>
          </w:p>
        </w:tc>
      </w:tr>
      <w:tr>
        <w:trPr>
          <w:cantSplit/>
        </w:trPr>
        <w:tc>
          <w:tcPr>
            <w:tcW w:type="dxa" w:w="2340"/>
            <w:tcMar>
              <w:top w:w="70" w:type="dxa"/>
              <w:start w:w="110" w:type="dxa"/>
              <w:bottom w:w="70" w:type="dxa"/>
              <w:end w:w="110" w:type="dxa"/>
            </w:tcMar>
          </w:tcPr>
          <w:p>
            <w:pPr>
              <w:pStyle w:val="TableText"/>
            </w:pPr>
            <w:r>
              <w:rPr/>
              <w:t>6305.10.0000</w:t>
            </w:r>
          </w:p>
        </w:tc>
        <w:tc>
          <w:tcPr>
            <w:tcW w:type="dxa" w:w="2340"/>
            <w:tcMar>
              <w:top w:w="70" w:type="dxa"/>
              <w:start w:w="110" w:type="dxa"/>
              <w:bottom w:w="70" w:type="dxa"/>
              <w:end w:w="110" w:type="dxa"/>
            </w:tcMar>
          </w:tcPr>
          <w:p>
            <w:pPr>
              <w:pStyle w:val="TableText"/>
            </w:pPr>
            <w:r>
              <w:rPr/>
              <w:t>11.10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SACKS &amp; BAGS, JUTE/BAST FIBERS</w:t>
            </w:r>
          </w:p>
        </w:tc>
      </w:tr>
      <w:tr>
        <w:trPr>
          <w:cantSplit/>
        </w:trPr>
        <w:tc>
          <w:tcPr>
            <w:tcW w:type="dxa" w:w="2340"/>
            <w:shd w:fill="F5F7F8" w:val="clear" w:color="auto"/>
            <w:tcMar>
              <w:top w:w="70" w:type="dxa"/>
              <w:start w:w="110" w:type="dxa"/>
              <w:bottom w:w="70" w:type="dxa"/>
              <w:end w:w="110" w:type="dxa"/>
            </w:tcMar>
          </w:tcPr>
          <w:p>
            <w:pPr>
              <w:pStyle w:val="TableText"/>
            </w:pPr>
            <w:r>
              <w:rPr/>
              <w:t>6306.22.1000</w:t>
            </w:r>
          </w:p>
        </w:tc>
        <w:tc>
          <w:tcPr>
            <w:tcW w:type="dxa" w:w="2340"/>
            <w:shd w:fill="F5F7F8" w:val="clear" w:color="auto"/>
            <w:tcMar>
              <w:top w:w="70" w:type="dxa"/>
              <w:start w:w="110" w:type="dxa"/>
              <w:bottom w:w="70" w:type="dxa"/>
              <w:end w:w="110" w:type="dxa"/>
            </w:tcMar>
          </w:tcPr>
          <w:p>
            <w:pPr>
              <w:pStyle w:val="TableText"/>
            </w:pPr>
            <w:r>
              <w:rPr/>
              <w:t>14.40</w:t>
            </w:r>
          </w:p>
        </w:tc>
        <w:tc>
          <w:tcPr>
            <w:tcW w:type="dxa" w:w="2340"/>
            <w:shd w:fill="F5F7F8" w:val="clear" w:color="auto"/>
            <w:tcMar>
              <w:top w:w="70" w:type="dxa"/>
              <w:start w:w="110" w:type="dxa"/>
              <w:bottom w:w="70" w:type="dxa"/>
              <w:end w:w="110" w:type="dxa"/>
            </w:tcMar>
          </w:tcPr>
          <w:p>
            <w:pPr>
              <w:pStyle w:val="TableText"/>
            </w:pPr>
            <w:r>
              <w:rPr/>
              <w:t>NO</w:t>
            </w:r>
          </w:p>
        </w:tc>
        <w:tc>
          <w:tcPr>
            <w:tcW w:type="dxa" w:w="2340"/>
            <w:shd w:fill="F5F7F8" w:val="clear" w:color="auto"/>
            <w:tcMar>
              <w:top w:w="70" w:type="dxa"/>
              <w:start w:w="110" w:type="dxa"/>
              <w:bottom w:w="70" w:type="dxa"/>
              <w:end w:w="110" w:type="dxa"/>
            </w:tcMar>
          </w:tcPr>
          <w:p>
            <w:pPr>
              <w:pStyle w:val="TableText"/>
            </w:pPr>
            <w:r>
              <w:rPr/>
              <w:t>BACKPACK TENTS, SYNTHETIC FIBERS</w:t>
            </w:r>
          </w:p>
        </w:tc>
      </w:tr>
      <w:tr>
        <w:trPr>
          <w:cantSplit/>
        </w:trPr>
        <w:tc>
          <w:tcPr>
            <w:tcW w:type="dxa" w:w="2340"/>
            <w:tcMar>
              <w:top w:w="70" w:type="dxa"/>
              <w:start w:w="110" w:type="dxa"/>
              <w:bottom w:w="70" w:type="dxa"/>
              <w:end w:w="110" w:type="dxa"/>
            </w:tcMar>
          </w:tcPr>
          <w:p>
            <w:pPr>
              <w:pStyle w:val="TableText"/>
            </w:pPr>
            <w:r>
              <w:rPr/>
              <w:t>6306.22.9010</w:t>
            </w:r>
          </w:p>
        </w:tc>
        <w:tc>
          <w:tcPr>
            <w:tcW w:type="dxa" w:w="2340"/>
            <w:tcMar>
              <w:top w:w="70" w:type="dxa"/>
              <w:start w:w="110" w:type="dxa"/>
              <w:bottom w:w="70" w:type="dxa"/>
              <w:end w:w="110" w:type="dxa"/>
            </w:tcMar>
          </w:tcPr>
          <w:p>
            <w:pPr>
              <w:pStyle w:val="TableText"/>
            </w:pPr>
            <w:r>
              <w:rPr/>
              <w:t>14.40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SCREEN HOUSES, SYNTHETIC FIBERS</w:t>
            </w:r>
          </w:p>
        </w:tc>
      </w:tr>
      <w:tr>
        <w:trPr>
          <w:cantSplit/>
        </w:trPr>
        <w:tc>
          <w:tcPr>
            <w:tcW w:type="dxa" w:w="2340"/>
            <w:shd w:fill="F5F7F8" w:val="clear" w:color="auto"/>
            <w:tcMar>
              <w:top w:w="70" w:type="dxa"/>
              <w:start w:w="110" w:type="dxa"/>
              <w:bottom w:w="70" w:type="dxa"/>
              <w:end w:w="110" w:type="dxa"/>
            </w:tcMar>
          </w:tcPr>
          <w:p>
            <w:pPr>
              <w:pStyle w:val="TableText"/>
            </w:pPr>
            <w:r>
              <w:rPr/>
              <w:t>6306.29.1100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TENTS OF COTTON</w:t>
            </w:r>
          </w:p>
        </w:tc>
      </w:tr>
      <w:tr>
        <w:trPr>
          <w:cantSplit/>
        </w:trPr>
        <w:tc>
          <w:tcPr>
            <w:tcW w:type="dxa" w:w="2340"/>
            <w:tcMar>
              <w:top w:w="70" w:type="dxa"/>
              <w:start w:w="110" w:type="dxa"/>
              <w:bottom w:w="70" w:type="dxa"/>
              <w:end w:w="110" w:type="dxa"/>
            </w:tcMar>
          </w:tcPr>
          <w:p>
            <w:pPr>
              <w:pStyle w:val="TableText"/>
            </w:pPr>
            <w:r>
              <w:rPr/>
              <w:t>6306.29.2100</w:t>
            </w:r>
          </w:p>
        </w:tc>
        <w:tc>
          <w:tcPr>
            <w:tcW w:type="dxa" w:w="2340"/>
            <w:tcMar>
              <w:top w:w="70" w:type="dxa"/>
              <w:start w:w="110" w:type="dxa"/>
              <w:bottom w:w="70" w:type="dxa"/>
              <w:end w:w="110" w:type="dxa"/>
            </w:tcMar>
          </w:tcPr>
          <w:p>
            <w:pPr>
              <w:pStyle w:val="TableText"/>
            </w:pPr>
            <w:r>
              <w:rPr/>
              <w:t>14.40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TENTS, OF OTHER TEXTILE MATERIALS</w:t>
            </w:r>
          </w:p>
        </w:tc>
      </w:tr>
      <w:tr>
        <w:trPr>
          <w:cantSplit/>
        </w:trPr>
        <w:tc>
          <w:tcPr>
            <w:tcW w:type="dxa" w:w="2340"/>
            <w:shd w:fill="F5F7F8" w:val="clear" w:color="auto"/>
            <w:tcMar>
              <w:top w:w="70" w:type="dxa"/>
              <w:start w:w="110" w:type="dxa"/>
              <w:bottom w:w="70" w:type="dxa"/>
              <w:end w:w="110" w:type="dxa"/>
            </w:tcMar>
          </w:tcPr>
          <w:p>
            <w:pPr>
              <w:pStyle w:val="TableText"/>
            </w:pPr>
            <w:r>
              <w:rPr/>
              <w:t>6306.30.0010</w:t>
            </w:r>
          </w:p>
        </w:tc>
        <w:tc>
          <w:tcPr>
            <w:tcW w:type="dxa" w:w="2340"/>
            <w:shd w:fill="F5F7F8" w:val="clear" w:color="auto"/>
            <w:tcMar>
              <w:top w:w="70" w:type="dxa"/>
              <w:start w:w="110" w:type="dxa"/>
              <w:bottom w:w="70" w:type="dxa"/>
              <w:end w:w="110" w:type="dxa"/>
            </w:tcMar>
          </w:tcPr>
          <w:p>
            <w:pPr>
              <w:pStyle w:val="TableText"/>
            </w:pPr>
            <w:r>
              <w:rPr/>
              <w:t>14.40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SAILS, SYNTHETIC FIBERS</w:t>
            </w:r>
          </w:p>
        </w:tc>
      </w:tr>
      <w:tr>
        <w:trPr>
          <w:cantSplit/>
        </w:trPr>
        <w:tc>
          <w:tcPr>
            <w:tcW w:type="dxa" w:w="2340"/>
            <w:tcMar>
              <w:top w:w="70" w:type="dxa"/>
              <w:start w:w="110" w:type="dxa"/>
              <w:bottom w:w="70" w:type="dxa"/>
              <w:end w:w="110" w:type="dxa"/>
            </w:tcMar>
          </w:tcPr>
          <w:p>
            <w:pPr>
              <w:pStyle w:val="TableText"/>
            </w:pPr>
            <w:r>
              <w:rPr/>
              <w:t>6306.30.0020</w:t>
            </w:r>
          </w:p>
        </w:tc>
        <w:tc>
          <w:tcPr>
            <w:tcW w:type="dxa" w:w="2340"/>
            <w:tcMar>
              <w:top w:w="70" w:type="dxa"/>
              <w:start w:w="110" w:type="dxa"/>
              <w:bottom w:w="70" w:type="dxa"/>
              <w:end w:w="110" w:type="dxa"/>
            </w:tcMar>
          </w:tcPr>
          <w:p>
            <w:pPr>
              <w:pStyle w:val="TableText"/>
            </w:pPr>
            <w:r>
              <w:rPr/>
              <w:t>8.50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SAILS, OF OTHER TEXTILE MATERIALS</w:t>
            </w:r>
          </w:p>
        </w:tc>
      </w:tr>
      <w:tr>
        <w:trPr>
          <w:cantSplit/>
        </w:trPr>
        <w:tc>
          <w:tcPr>
            <w:tcW w:type="dxa" w:w="2340"/>
            <w:shd w:fill="F5F7F8" w:val="clear" w:color="auto"/>
            <w:tcMar>
              <w:top w:w="70" w:type="dxa"/>
              <w:start w:w="110" w:type="dxa"/>
              <w:bottom w:w="70" w:type="dxa"/>
              <w:end w:w="110" w:type="dxa"/>
            </w:tcMar>
          </w:tcPr>
          <w:p>
            <w:pPr>
              <w:pStyle w:val="TableText"/>
            </w:pPr>
            <w:r>
              <w:rPr/>
              <w:t>6306.40.4100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PNEUMATIC MATTRESSES, COTTON</w:t>
            </w:r>
          </w:p>
        </w:tc>
      </w:tr>
      <w:tr>
        <w:trPr>
          <w:cantSplit/>
        </w:trPr>
        <w:tc>
          <w:tcPr>
            <w:tcW w:type="dxa" w:w="2340"/>
            <w:tcMar>
              <w:top w:w="70" w:type="dxa"/>
              <w:start w:w="110" w:type="dxa"/>
              <w:bottom w:w="70" w:type="dxa"/>
              <w:end w:w="110" w:type="dxa"/>
            </w:tcMar>
          </w:tcPr>
          <w:p>
            <w:pPr>
              <w:pStyle w:val="TableText"/>
            </w:pPr>
            <w:r>
              <w:rPr/>
              <w:t>6306.40.4900</w:t>
            </w:r>
          </w:p>
        </w:tc>
        <w:tc>
          <w:tcPr>
            <w:tcW w:type="dxa" w:w="2340"/>
            <w:tcMar>
              <w:top w:w="70" w:type="dxa"/>
              <w:start w:w="110" w:type="dxa"/>
              <w:bottom w:w="70" w:type="dxa"/>
              <w:end w:w="110" w:type="dxa"/>
            </w:tcMar>
          </w:tcPr>
          <w:p>
            <w:pPr>
              <w:pStyle w:val="TableText"/>
            </w:pPr>
            <w:r>
              <w:rPr/>
              <w:t>14.40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PNEUMATIC MATTRESSES, OF OTHER TEXTILE MATERIALS</w:t>
            </w:r>
          </w:p>
        </w:tc>
      </w:tr>
      <w:tr>
        <w:trPr>
          <w:cantSplit/>
        </w:trPr>
        <w:tc>
          <w:tcPr>
            <w:tcW w:type="dxa" w:w="2340"/>
            <w:shd w:fill="F5F7F8" w:val="clear" w:color="auto"/>
            <w:tcMar>
              <w:top w:w="70" w:type="dxa"/>
              <w:start w:w="110" w:type="dxa"/>
              <w:bottom w:w="70" w:type="dxa"/>
              <w:end w:w="110" w:type="dxa"/>
            </w:tcMar>
          </w:tcPr>
          <w:p>
            <w:pPr>
              <w:pStyle w:val="TableText"/>
            </w:pPr>
            <w:r>
              <w:rPr/>
              <w:t>6306.90.1000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CAMPING GOODS, COTTON</w:t>
            </w:r>
          </w:p>
        </w:tc>
      </w:tr>
      <w:tr>
        <w:trPr>
          <w:cantSplit/>
        </w:trPr>
        <w:tc>
          <w:tcPr>
            <w:tcW w:type="dxa" w:w="2340"/>
            <w:tcMar>
              <w:top w:w="70" w:type="dxa"/>
              <w:start w:w="110" w:type="dxa"/>
              <w:bottom w:w="70" w:type="dxa"/>
              <w:end w:w="110" w:type="dxa"/>
            </w:tcMar>
          </w:tcPr>
          <w:p>
            <w:pPr>
              <w:pStyle w:val="TableText"/>
            </w:pPr>
            <w:r>
              <w:rPr/>
              <w:t>6306.90.5000</w:t>
            </w:r>
          </w:p>
        </w:tc>
        <w:tc>
          <w:tcPr>
            <w:tcW w:type="dxa" w:w="2340"/>
            <w:tcMar>
              <w:top w:w="70" w:type="dxa"/>
              <w:start w:w="110" w:type="dxa"/>
              <w:bottom w:w="70" w:type="dxa"/>
              <w:end w:w="110" w:type="dxa"/>
            </w:tcMar>
          </w:tcPr>
          <w:p>
            <w:pPr>
              <w:pStyle w:val="TableText"/>
            </w:pPr>
            <w:r>
              <w:rPr/>
              <w:t>14.40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CAMPING GOODS, OF OTHER TEXTILE MATERIALS</w:t>
            </w:r>
          </w:p>
        </w:tc>
      </w:tr>
      <w:tr>
        <w:trPr>
          <w:cantSplit/>
        </w:trPr>
        <w:tc>
          <w:tcPr>
            <w:tcW w:type="dxa" w:w="2340"/>
            <w:shd w:fill="F5F7F8" w:val="clear" w:color="auto"/>
            <w:tcMar>
              <w:top w:w="70" w:type="dxa"/>
              <w:start w:w="110" w:type="dxa"/>
              <w:bottom w:w="70" w:type="dxa"/>
              <w:end w:w="110" w:type="dxa"/>
            </w:tcMar>
          </w:tcPr>
          <w:p>
            <w:pPr>
              <w:pStyle w:val="TableText"/>
            </w:pPr>
            <w:r>
              <w:rPr/>
              <w:t>6307.10.2030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CLEANING CLOTHS</w:t>
            </w:r>
          </w:p>
        </w:tc>
      </w:tr>
      <w:tr>
        <w:trPr>
          <w:cantSplit/>
        </w:trPr>
        <w:tc>
          <w:tcPr>
            <w:tcW w:type="dxa" w:w="2340"/>
            <w:tcMar>
              <w:top w:w="70" w:type="dxa"/>
              <w:start w:w="110" w:type="dxa"/>
              <w:bottom w:w="70" w:type="dxa"/>
              <w:end w:w="110" w:type="dxa"/>
            </w:tcMar>
          </w:tcPr>
          <w:p>
            <w:pPr>
              <w:pStyle w:val="TableText"/>
            </w:pPr>
            <w:r>
              <w:rPr/>
              <w:t>6307.20.0000</w:t>
            </w:r>
          </w:p>
        </w:tc>
        <w:tc>
          <w:tcPr>
            <w:tcW w:type="dxa" w:w="2340"/>
            <w:tcMar>
              <w:top w:w="70" w:type="dxa"/>
              <w:start w:w="110" w:type="dxa"/>
              <w:bottom w:w="70" w:type="dxa"/>
              <w:end w:w="110" w:type="dxa"/>
            </w:tcMar>
          </w:tcPr>
          <w:p>
            <w:pPr>
              <w:pStyle w:val="TableText"/>
            </w:pPr>
            <w:r>
              <w:rPr/>
              <w:t>11.40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LIFEJACKETS AND LIFEBELTS</w:t>
            </w:r>
          </w:p>
        </w:tc>
      </w:tr>
      <w:tr>
        <w:trPr>
          <w:cantSplit/>
        </w:trPr>
        <w:tc>
          <w:tcPr>
            <w:tcW w:type="dxa" w:w="2340"/>
            <w:shd w:fill="F5F7F8" w:val="clear" w:color="auto"/>
            <w:tcMar>
              <w:top w:w="70" w:type="dxa"/>
              <w:start w:w="110" w:type="dxa"/>
              <w:bottom w:w="70" w:type="dxa"/>
              <w:end w:w="110" w:type="dxa"/>
            </w:tcMar>
          </w:tcPr>
          <w:p>
            <w:pPr>
              <w:pStyle w:val="TableText"/>
            </w:pPr>
            <w:r>
              <w:rPr/>
              <w:t>6307.90.6010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PERINEAL TOWELS, FABRIC WITH PAPER BASE OR COVERED OR LINED WITH PAPER</w:t>
            </w:r>
          </w:p>
        </w:tc>
      </w:tr>
      <w:tr>
        <w:trPr>
          <w:cantSplit/>
        </w:trPr>
        <w:tc>
          <w:tcPr>
            <w:tcW w:type="dxa" w:w="2340"/>
            <w:tcMar>
              <w:top w:w="70" w:type="dxa"/>
              <w:start w:w="110" w:type="dxa"/>
              <w:bottom w:w="70" w:type="dxa"/>
              <w:end w:w="110" w:type="dxa"/>
            </w:tcMar>
          </w:tcPr>
          <w:p>
            <w:pPr>
              <w:pStyle w:val="TableText"/>
            </w:pPr>
            <w:r>
              <w:rPr/>
              <w:t>6307.90.6090</w:t>
            </w:r>
          </w:p>
        </w:tc>
        <w:tc>
          <w:tcPr>
            <w:tcW w:type="dxa" w:w="2340"/>
            <w:tcMar>
              <w:top w:w="70" w:type="dxa"/>
              <w:start w:w="110" w:type="dxa"/>
              <w:bottom w:w="70" w:type="dxa"/>
              <w:end w:w="110" w:type="dxa"/>
            </w:tcMar>
          </w:tcPr>
          <w:p>
            <w:pPr>
              <w:pStyle w:val="TableText"/>
            </w:pPr>
            <w:r>
              <w:rPr/>
              <w:t>8.50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OTHER SURGICAL DRAPES, FABRIC WITH PAPER BASE OR COVERED OR LINED WITH PAPER</w:t>
            </w:r>
          </w:p>
        </w:tc>
      </w:tr>
      <w:tr>
        <w:trPr>
          <w:cantSplit/>
        </w:trPr>
        <w:tc>
          <w:tcPr>
            <w:tcW w:type="dxa" w:w="2340"/>
            <w:shd w:fill="F5F7F8" w:val="clear" w:color="auto"/>
            <w:tcMar>
              <w:top w:w="70" w:type="dxa"/>
              <w:start w:w="110" w:type="dxa"/>
              <w:bottom w:w="70" w:type="dxa"/>
              <w:end w:w="110" w:type="dxa"/>
            </w:tcMar>
          </w:tcPr>
          <w:p>
            <w:pPr>
              <w:pStyle w:val="TableText"/>
            </w:pPr>
            <w:r>
              <w:rPr/>
              <w:t>6307.90.6800</w:t>
            </w:r>
          </w:p>
        </w:tc>
        <w:tc>
          <w:tcPr>
            <w:tcW w:type="dxa" w:w="2340"/>
            <w:shd w:fill="F5F7F8" w:val="clear" w:color="auto"/>
            <w:tcMar>
              <w:top w:w="70" w:type="dxa"/>
              <w:start w:w="110" w:type="dxa"/>
              <w:bottom w:w="70" w:type="dxa"/>
              <w:end w:w="110" w:type="dxa"/>
            </w:tcMar>
          </w:tcPr>
          <w:p>
            <w:pPr>
              <w:pStyle w:val="TableText"/>
            </w:pPr>
            <w:r>
              <w:rPr/>
              <w:t>14.40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SURGICAL DRAPES, DISPOSABLE &amp; NONWOVEN MMF</w:t>
            </w:r>
          </w:p>
        </w:tc>
      </w:tr>
      <w:tr>
        <w:trPr>
          <w:cantSplit/>
        </w:trPr>
        <w:tc>
          <w:tcPr>
            <w:tcW w:type="dxa" w:w="2340"/>
            <w:tcMar>
              <w:top w:w="70" w:type="dxa"/>
              <w:start w:w="110" w:type="dxa"/>
              <w:bottom w:w="70" w:type="dxa"/>
              <w:end w:w="110" w:type="dxa"/>
            </w:tcMar>
          </w:tcPr>
          <w:p>
            <w:pPr>
              <w:pStyle w:val="TableText"/>
            </w:pPr>
            <w:r>
              <w:rPr/>
              <w:t>6307.90.7200</w:t>
            </w:r>
          </w:p>
        </w:tc>
        <w:tc>
          <w:tcPr>
            <w:tcW w:type="dxa" w:w="2340"/>
            <w:tcMar>
              <w:top w:w="70" w:type="dxa"/>
              <w:start w:w="110" w:type="dxa"/>
              <w:bottom w:w="70" w:type="dxa"/>
              <w:end w:w="110" w:type="dxa"/>
            </w:tcMar>
          </w:tcPr>
          <w:p>
            <w:pPr>
              <w:pStyle w:val="TableText"/>
            </w:pPr>
            <w:r>
              <w:rPr/>
              <w:t>8.50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OTHER SURGICAL DRAPES</w:t>
            </w:r>
          </w:p>
        </w:tc>
      </w:tr>
      <w:tr>
        <w:trPr>
          <w:cantSplit/>
        </w:trPr>
        <w:tc>
          <w:tcPr>
            <w:tcW w:type="dxa" w:w="2340"/>
            <w:shd w:fill="F5F7F8" w:val="clear" w:color="auto"/>
            <w:tcMar>
              <w:top w:w="70" w:type="dxa"/>
              <w:start w:w="110" w:type="dxa"/>
              <w:bottom w:w="70" w:type="dxa"/>
              <w:end w:w="110" w:type="dxa"/>
            </w:tcMar>
          </w:tcPr>
          <w:p>
            <w:pPr>
              <w:pStyle w:val="TableText"/>
            </w:pPr>
            <w:r>
              <w:rPr/>
              <w:t>6307.90.7500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NO</w:t>
            </w:r>
          </w:p>
        </w:tc>
        <w:tc>
          <w:tcPr>
            <w:tcW w:type="dxa" w:w="2340"/>
            <w:shd w:fill="F5F7F8" w:val="clear" w:color="auto"/>
            <w:tcMar>
              <w:top w:w="70" w:type="dxa"/>
              <w:start w:w="110" w:type="dxa"/>
              <w:bottom w:w="70" w:type="dxa"/>
              <w:end w:w="110" w:type="dxa"/>
            </w:tcMar>
          </w:tcPr>
          <w:p>
            <w:pPr>
              <w:pStyle w:val="TableText"/>
            </w:pPr>
            <w:r>
              <w:rPr/>
              <w:t>TOYS FOR PETS, TEXTILE MATERIALS</w:t>
            </w:r>
          </w:p>
        </w:tc>
      </w:tr>
      <w:tr>
        <w:trPr>
          <w:cantSplit/>
        </w:trPr>
        <w:tc>
          <w:tcPr>
            <w:tcW w:type="dxa" w:w="2340"/>
            <w:tcMar>
              <w:top w:w="70" w:type="dxa"/>
              <w:start w:w="110" w:type="dxa"/>
              <w:bottom w:w="70" w:type="dxa"/>
              <w:end w:w="110" w:type="dxa"/>
            </w:tcMar>
          </w:tcPr>
          <w:p>
            <w:pPr>
              <w:pStyle w:val="TableText"/>
            </w:pPr>
            <w:r>
              <w:rPr/>
              <w:t>6307.90.8500</w:t>
            </w:r>
          </w:p>
        </w:tc>
        <w:tc>
          <w:tcPr>
            <w:tcW w:type="dxa" w:w="2340"/>
            <w:tcMar>
              <w:top w:w="70" w:type="dxa"/>
              <w:start w:w="110" w:type="dxa"/>
              <w:bottom w:w="70" w:type="dxa"/>
              <w:end w:w="110" w:type="dxa"/>
            </w:tcMar>
          </w:tcPr>
          <w:p>
            <w:pPr>
              <w:pStyle w:val="TableText"/>
            </w:pPr>
            <w:r>
              <w:rPr/>
              <w:t>8.50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WALL BANNERS, MANMADE FIBERS</w:t>
            </w:r>
          </w:p>
        </w:tc>
      </w:tr>
      <w:tr>
        <w:trPr>
          <w:cantSplit/>
        </w:trPr>
        <w:tc>
          <w:tcPr>
            <w:tcW w:type="dxa" w:w="2340"/>
            <w:shd w:fill="F5F7F8" w:val="clear" w:color="auto"/>
            <w:tcMar>
              <w:top w:w="70" w:type="dxa"/>
              <w:start w:w="110" w:type="dxa"/>
              <w:bottom w:w="70" w:type="dxa"/>
              <w:end w:w="110" w:type="dxa"/>
            </w:tcMar>
          </w:tcPr>
          <w:p>
            <w:pPr>
              <w:pStyle w:val="TableText"/>
            </w:pPr>
            <w:r>
              <w:rPr/>
              <w:t>6307.90.9825</w:t>
            </w:r>
          </w:p>
        </w:tc>
        <w:tc>
          <w:tcPr>
            <w:tcW w:type="dxa" w:w="2340"/>
            <w:shd w:fill="F5F7F8" w:val="clear" w:color="auto"/>
            <w:tcMar>
              <w:top w:w="70" w:type="dxa"/>
              <w:start w:w="110" w:type="dxa"/>
              <w:bottom w:w="70" w:type="dxa"/>
              <w:end w:w="110" w:type="dxa"/>
            </w:tcMar>
          </w:tcPr>
          <w:p>
            <w:pPr>
              <w:pStyle w:val="TableText"/>
            </w:pPr>
            <w:r>
              <w:rPr/>
              <w:t>14.50</w:t>
            </w:r>
          </w:p>
        </w:tc>
        <w:tc>
          <w:tcPr>
            <w:tcW w:type="dxa" w:w="2340"/>
            <w:shd w:fill="F5F7F8" w:val="clear" w:color="auto"/>
            <w:tcMar>
              <w:top w:w="70" w:type="dxa"/>
              <w:start w:w="110" w:type="dxa"/>
              <w:bottom w:w="70" w:type="dxa"/>
              <w:end w:w="110" w:type="dxa"/>
            </w:tcMar>
          </w:tcPr>
          <w:p>
            <w:pPr>
              <w:pStyle w:val="TableText"/>
            </w:pPr>
            <w:r>
              <w:rPr/>
              <w:t>NO</w:t>
            </w:r>
          </w:p>
        </w:tc>
        <w:tc>
          <w:tcPr>
            <w:tcW w:type="dxa" w:w="2340"/>
            <w:shd w:fill="F5F7F8" w:val="clear" w:color="auto"/>
            <w:tcMar>
              <w:top w:w="70" w:type="dxa"/>
              <w:start w:w="110" w:type="dxa"/>
              <w:bottom w:w="70" w:type="dxa"/>
              <w:end w:w="110" w:type="dxa"/>
            </w:tcMar>
          </w:tcPr>
          <w:p>
            <w:pPr>
              <w:pStyle w:val="TableText"/>
            </w:pPr>
            <w:r>
              <w:rPr/>
              <w:t>NATIONAL FLAGS OF THE UNITED STATES</w:t>
            </w:r>
          </w:p>
        </w:tc>
      </w:tr>
      <w:tr>
        <w:trPr>
          <w:cantSplit/>
        </w:trPr>
        <w:tc>
          <w:tcPr>
            <w:tcW w:type="dxa" w:w="2340"/>
            <w:tcMar>
              <w:top w:w="70" w:type="dxa"/>
              <w:start w:w="110" w:type="dxa"/>
              <w:bottom w:w="70" w:type="dxa"/>
              <w:end w:w="110" w:type="dxa"/>
            </w:tcMar>
          </w:tcPr>
          <w:p>
            <w:pPr>
              <w:pStyle w:val="TableText"/>
            </w:pPr>
            <w:r>
              <w:rPr/>
              <w:t>6307.90.9835</w:t>
            </w:r>
          </w:p>
        </w:tc>
        <w:tc>
          <w:tcPr>
            <w:tcW w:type="dxa" w:w="2340"/>
            <w:tcMar>
              <w:top w:w="70" w:type="dxa"/>
              <w:start w:w="110" w:type="dxa"/>
              <w:bottom w:w="70" w:type="dxa"/>
              <w:end w:w="110" w:type="dxa"/>
            </w:tcMar>
          </w:tcPr>
          <w:p>
            <w:pPr>
              <w:pStyle w:val="TableText"/>
            </w:pPr>
            <w:r>
              <w:rPr/>
              <w:t>14.50</w:t>
            </w:r>
          </w:p>
        </w:tc>
        <w:tc>
          <w:tcPr>
            <w:tcW w:type="dxa" w:w="2340"/>
            <w:tcMar>
              <w:top w:w="70" w:type="dxa"/>
              <w:start w:w="110" w:type="dxa"/>
              <w:bottom w:w="70" w:type="dxa"/>
              <w:end w:w="110" w:type="dxa"/>
            </w:tcMar>
          </w:tcPr>
          <w:p>
            <w:pPr>
              <w:pStyle w:val="TableText"/>
            </w:pPr>
            <w:r>
              <w:rPr/>
              <w:t>NO</w:t>
            </w:r>
          </w:p>
        </w:tc>
        <w:tc>
          <w:tcPr>
            <w:tcW w:type="dxa" w:w="2340"/>
            <w:tcMar>
              <w:top w:w="70" w:type="dxa"/>
              <w:start w:w="110" w:type="dxa"/>
              <w:bottom w:w="70" w:type="dxa"/>
              <w:end w:w="110" w:type="dxa"/>
            </w:tcMar>
          </w:tcPr>
          <w:p>
            <w:pPr>
              <w:pStyle w:val="TableText"/>
            </w:pPr>
            <w:r>
              <w:rPr/>
              <w:t>NATIONAL FLAGS OF NATIONS OTHER THAN THE UNITED STATES</w:t>
            </w:r>
          </w:p>
        </w:tc>
      </w:tr>
      <w:tr>
        <w:trPr>
          <w:cantSplit/>
        </w:trPr>
        <w:tc>
          <w:tcPr>
            <w:tcW w:type="dxa" w:w="2340"/>
            <w:shd w:fill="F5F7F8" w:val="clear" w:color="auto"/>
            <w:tcMar>
              <w:top w:w="70" w:type="dxa"/>
              <w:start w:w="110" w:type="dxa"/>
              <w:bottom w:w="70" w:type="dxa"/>
              <w:end w:w="110" w:type="dxa"/>
            </w:tcMar>
          </w:tcPr>
          <w:p>
            <w:pPr>
              <w:pStyle w:val="TableText"/>
            </w:pPr>
            <w:r>
              <w:rPr/>
              <w:t>6307.90.9889</w:t>
            </w:r>
          </w:p>
        </w:tc>
        <w:tc>
          <w:tcPr>
            <w:tcW w:type="dxa" w:w="2340"/>
            <w:shd w:fill="F5F7F8" w:val="clear" w:color="auto"/>
            <w:tcMar>
              <w:top w:w="70" w:type="dxa"/>
              <w:start w:w="110" w:type="dxa"/>
              <w:bottom w:w="70" w:type="dxa"/>
              <w:end w:w="110" w:type="dxa"/>
            </w:tcMar>
          </w:tcPr>
          <w:p>
            <w:pPr>
              <w:pStyle w:val="TableText"/>
            </w:pPr>
            <w:r>
              <w:rPr/>
              <w:t>14.50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MADEUP ARTICLES</w:t>
            </w:r>
          </w:p>
        </w:tc>
      </w:tr>
      <w:tr>
        <w:trPr>
          <w:cantSplit/>
        </w:trPr>
        <w:tc>
          <w:tcPr>
            <w:tcW w:type="dxa" w:w="2340"/>
            <w:tcMar>
              <w:top w:w="70" w:type="dxa"/>
              <w:start w:w="110" w:type="dxa"/>
              <w:bottom w:w="70" w:type="dxa"/>
              <w:end w:w="110" w:type="dxa"/>
            </w:tcMar>
          </w:tcPr>
          <w:p>
            <w:pPr>
              <w:pStyle w:val="TableText"/>
            </w:pPr>
            <w:r>
              <w:rPr/>
              <w:t>6309.00.0010</w:t>
            </w:r>
          </w:p>
        </w:tc>
        <w:tc>
          <w:tcPr>
            <w:tcW w:type="dxa" w:w="2340"/>
            <w:tcMar>
              <w:top w:w="70" w:type="dxa"/>
              <w:start w:w="110" w:type="dxa"/>
              <w:bottom w:w="70" w:type="dxa"/>
              <w:end w:w="110" w:type="dxa"/>
            </w:tcMar>
          </w:tcPr>
          <w:p>
            <w:pPr>
              <w:pStyle w:val="TableText"/>
            </w:pPr>
            <w:r>
              <w:rPr/>
              <w:t>8.50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WORN CLOTHING</w:t>
            </w:r>
          </w:p>
        </w:tc>
      </w:tr>
      <w:tr>
        <w:trPr>
          <w:cantSplit/>
        </w:trPr>
        <w:tc>
          <w:tcPr>
            <w:tcW w:type="dxa" w:w="2340"/>
            <w:shd w:fill="F5F7F8" w:val="clear" w:color="auto"/>
            <w:tcMar>
              <w:top w:w="70" w:type="dxa"/>
              <w:start w:w="110" w:type="dxa"/>
              <w:bottom w:w="70" w:type="dxa"/>
              <w:end w:w="110" w:type="dxa"/>
            </w:tcMar>
          </w:tcPr>
          <w:p>
            <w:pPr>
              <w:pStyle w:val="TableText"/>
            </w:pPr>
            <w:r>
              <w:rPr/>
              <w:t>6309.00.0020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OTHER WORN ARTICLES</w:t>
            </w:r>
          </w:p>
        </w:tc>
      </w:tr>
      <w:tr>
        <w:trPr>
          <w:cantSplit/>
        </w:trPr>
        <w:tc>
          <w:tcPr>
            <w:tcW w:type="dxa" w:w="2340"/>
            <w:tcMar>
              <w:top w:w="70" w:type="dxa"/>
              <w:start w:w="110" w:type="dxa"/>
              <w:bottom w:w="70" w:type="dxa"/>
              <w:end w:w="110" w:type="dxa"/>
            </w:tcMar>
          </w:tcPr>
          <w:p>
            <w:pPr>
              <w:pStyle w:val="TableText"/>
            </w:pPr>
            <w:r>
              <w:rPr/>
              <w:t>6310.10.1000</w:t>
            </w:r>
          </w:p>
        </w:tc>
        <w:tc>
          <w:tcPr>
            <w:tcW w:type="dxa" w:w="2340"/>
            <w:tcMar>
              <w:top w:w="70" w:type="dxa"/>
              <w:start w:w="110" w:type="dxa"/>
              <w:bottom w:w="70" w:type="dxa"/>
              <w:end w:w="110" w:type="dxa"/>
            </w:tcMar>
          </w:tcPr>
          <w:p>
            <w:pPr>
              <w:pStyle w:val="TableText"/>
            </w:pPr>
            <w:r>
              <w:rPr/>
              <w:t>3.70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RAGS/SCRAP/TWINE/CORDAGE/ROPE/CABLES, SORTED, WOOL OR FINE ANIMAL HAIR</w:t>
            </w:r>
          </w:p>
        </w:tc>
      </w:tr>
      <w:tr>
        <w:trPr>
          <w:cantSplit/>
        </w:trPr>
        <w:tc>
          <w:tcPr>
            <w:tcW w:type="dxa" w:w="2340"/>
            <w:shd w:fill="F5F7F8" w:val="clear" w:color="auto"/>
            <w:tcMar>
              <w:top w:w="70" w:type="dxa"/>
              <w:start w:w="110" w:type="dxa"/>
              <w:bottom w:w="70" w:type="dxa"/>
              <w:end w:w="110" w:type="dxa"/>
            </w:tcMar>
          </w:tcPr>
          <w:p>
            <w:pPr>
              <w:pStyle w:val="TableText"/>
            </w:pPr>
            <w:r>
              <w:rPr/>
              <w:t>6310.10.2010</w:t>
            </w:r>
          </w:p>
        </w:tc>
        <w:tc>
          <w:tcPr>
            <w:tcW w:type="dxa" w:w="2340"/>
            <w:shd w:fill="F5F7F8" w:val="clear" w:color="auto"/>
            <w:tcMar>
              <w:top w:w="70" w:type="dxa"/>
              <w:start w:w="110" w:type="dxa"/>
              <w:bottom w:w="70" w:type="dxa"/>
              <w:end w:w="110" w:type="dxa"/>
            </w:tcMar>
          </w:tcPr>
          <w:p>
            <w:pPr>
              <w:pStyle w:val="TableText"/>
            </w:pPr>
            <w:r>
              <w:rPr/>
              <w:t>8.50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RAGS/SCRAP/TWINE/CORDAGE/ROPE/CABLES, SORTED, COTTON</w:t>
            </w:r>
          </w:p>
        </w:tc>
      </w:tr>
      <w:tr>
        <w:trPr>
          <w:cantSplit/>
        </w:trPr>
        <w:tc>
          <w:tcPr>
            <w:tcW w:type="dxa" w:w="2340"/>
            <w:tcMar>
              <w:top w:w="70" w:type="dxa"/>
              <w:start w:w="110" w:type="dxa"/>
              <w:bottom w:w="70" w:type="dxa"/>
              <w:end w:w="110" w:type="dxa"/>
            </w:tcMar>
          </w:tcPr>
          <w:p>
            <w:pPr>
              <w:pStyle w:val="TableText"/>
            </w:pPr>
            <w:r>
              <w:rPr/>
              <w:t>6310.10.2020</w:t>
            </w:r>
          </w:p>
        </w:tc>
        <w:tc>
          <w:tcPr>
            <w:tcW w:type="dxa" w:w="2340"/>
            <w:tcMar>
              <w:top w:w="70" w:type="dxa"/>
              <w:start w:w="110" w:type="dxa"/>
              <w:bottom w:w="70" w:type="dxa"/>
              <w:end w:w="110" w:type="dxa"/>
            </w:tcMar>
          </w:tcPr>
          <w:p>
            <w:pPr>
              <w:pStyle w:val="TableText"/>
            </w:pPr>
            <w:r>
              <w:rPr/>
              <w:t>14.40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RAGS/SCRAP/TWINE/CORDAGE/ROPE/CABLES, SORTED, MMF</w:t>
            </w:r>
          </w:p>
        </w:tc>
      </w:tr>
      <w:tr>
        <w:trPr>
          <w:cantSplit/>
        </w:trPr>
        <w:tc>
          <w:tcPr>
            <w:tcW w:type="dxa" w:w="2340"/>
            <w:shd w:fill="F5F7F8" w:val="clear" w:color="auto"/>
            <w:tcMar>
              <w:top w:w="70" w:type="dxa"/>
              <w:start w:w="110" w:type="dxa"/>
              <w:bottom w:w="70" w:type="dxa"/>
              <w:end w:w="110" w:type="dxa"/>
            </w:tcMar>
          </w:tcPr>
          <w:p>
            <w:pPr>
              <w:pStyle w:val="TableText"/>
            </w:pPr>
            <w:r>
              <w:rPr/>
              <w:t>6310.10.2030</w:t>
            </w:r>
          </w:p>
        </w:tc>
        <w:tc>
          <w:tcPr>
            <w:tcW w:type="dxa" w:w="2340"/>
            <w:shd w:fill="F5F7F8" w:val="clear" w:color="auto"/>
            <w:tcMar>
              <w:top w:w="70" w:type="dxa"/>
              <w:start w:w="110" w:type="dxa"/>
              <w:bottom w:w="70" w:type="dxa"/>
              <w:end w:w="110" w:type="dxa"/>
            </w:tcMar>
          </w:tcPr>
          <w:p>
            <w:pPr>
              <w:pStyle w:val="TableText"/>
            </w:pPr>
            <w:r>
              <w:rPr/>
              <w:t>11.10</w:t>
            </w:r>
          </w:p>
        </w:tc>
        <w:tc>
          <w:tcPr>
            <w:tcW w:type="dxa" w:w="2340"/>
            <w:shd w:fill="F5F7F8" w:val="clear" w:color="auto"/>
            <w:tcMar>
              <w:top w:w="70" w:type="dxa"/>
              <w:start w:w="110" w:type="dxa"/>
              <w:bottom w:w="70" w:type="dxa"/>
              <w:end w:w="110" w:type="dxa"/>
            </w:tcMar>
          </w:tcPr>
          <w:p>
            <w:pPr>
              <w:pStyle w:val="TableText"/>
            </w:pPr>
            <w:r>
              <w:rPr/>
              <w:t>KG</w:t>
            </w:r>
          </w:p>
        </w:tc>
        <w:tc>
          <w:tcPr>
            <w:tcW w:type="dxa" w:w="2340"/>
            <w:shd w:fill="F5F7F8" w:val="clear" w:color="auto"/>
            <w:tcMar>
              <w:top w:w="70" w:type="dxa"/>
              <w:start w:w="110" w:type="dxa"/>
              <w:bottom w:w="70" w:type="dxa"/>
              <w:end w:w="110" w:type="dxa"/>
            </w:tcMar>
          </w:tcPr>
          <w:p>
            <w:pPr>
              <w:pStyle w:val="TableText"/>
            </w:pPr>
            <w:r>
              <w:rPr/>
              <w:t>RAGS/SCRAP/TWINE/CORDAGE/ROPE/CABLES, SORTED, NOT COTTON/MMF</w:t>
            </w:r>
          </w:p>
        </w:tc>
      </w:tr>
      <w:tr>
        <w:trPr>
          <w:cantSplit/>
        </w:trPr>
        <w:tc>
          <w:tcPr>
            <w:tcW w:type="dxa" w:w="2340"/>
            <w:tcMar>
              <w:top w:w="70" w:type="dxa"/>
              <w:start w:w="110" w:type="dxa"/>
              <w:bottom w:w="70" w:type="dxa"/>
              <w:end w:w="110" w:type="dxa"/>
            </w:tcMar>
          </w:tcPr>
          <w:p>
            <w:pPr>
              <w:pStyle w:val="TableText"/>
            </w:pPr>
            <w:r>
              <w:rPr/>
              <w:t>6310.90.1000</w:t>
            </w:r>
          </w:p>
        </w:tc>
        <w:tc>
          <w:tcPr>
            <w:tcW w:type="dxa" w:w="2340"/>
            <w:tcMar>
              <w:top w:w="70" w:type="dxa"/>
              <w:start w:w="110" w:type="dxa"/>
              <w:bottom w:w="70" w:type="dxa"/>
              <w:end w:w="110" w:type="dxa"/>
            </w:tcMar>
          </w:tcPr>
          <w:p>
            <w:pPr>
              <w:pStyle w:val="TableText"/>
            </w:pPr>
            <w:r>
              <w:rPr/>
              <w:t>3.70</w:t>
            </w:r>
          </w:p>
        </w:tc>
        <w:tc>
          <w:tcPr>
            <w:tcW w:type="dxa" w:w="2340"/>
            <w:tcMar>
              <w:top w:w="70" w:type="dxa"/>
              <w:start w:w="110" w:type="dxa"/>
              <w:bottom w:w="70" w:type="dxa"/>
              <w:end w:w="110" w:type="dxa"/>
            </w:tcMar>
          </w:tcPr>
          <w:p>
            <w:pPr>
              <w:pStyle w:val="TableText"/>
            </w:pPr>
            <w:r>
              <w:rPr/>
              <w:t>KG</w:t>
            </w:r>
          </w:p>
        </w:tc>
        <w:tc>
          <w:tcPr>
            <w:tcW w:type="dxa" w:w="2340"/>
            <w:tcMar>
              <w:top w:w="70" w:type="dxa"/>
              <w:start w:w="110" w:type="dxa"/>
              <w:bottom w:w="70" w:type="dxa"/>
              <w:end w:w="110" w:type="dxa"/>
            </w:tcMar>
          </w:tcPr>
          <w:p>
            <w:pPr>
              <w:pStyle w:val="TableText"/>
            </w:pPr>
            <w:r>
              <w:rPr/>
              <w:t>RAGS/SCRAP/TWINE/CORDAGE/ROPE/CABLES, NOT SORTED, WOOL OR FINE ANIMAL HAIR</w:t>
            </w:r>
          </w:p>
        </w:tc>
      </w:tr>
    </w:tbl>
    <w:p>
      <w:pPr>
        <w:pStyle w:val="Normal"/>
      </w:pPr>
      <w:r>
        <w:rPr>
          <w:b w:val="0"/>
        </w:rPr>
        <w:t>6. The primary unit of measure for the following tariff items in U.S. category 666 shall be NO and shall be converted into SME by a factor of 5.5:</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Tariff Item</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6301.10.0000</w:t>
            </w:r>
          </w:p>
        </w:tc>
        <w:tc>
          <w:tcPr>
            <w:tcW w:type="dxa" w:w="4680"/>
            <w:tcMar>
              <w:top w:w="70" w:type="dxa"/>
              <w:start w:w="110" w:type="dxa"/>
              <w:bottom w:w="70" w:type="dxa"/>
              <w:end w:w="110" w:type="dxa"/>
            </w:tcMar>
          </w:tcPr>
          <w:p>
            <w:pPr>
              <w:pStyle w:val="TableText"/>
            </w:pPr>
            <w:r>
              <w:rPr/>
              <w:t>ELECTRIC BLANKETS</w:t>
            </w:r>
          </w:p>
        </w:tc>
      </w:tr>
      <w:tr>
        <w:trPr>
          <w:cantSplit/>
        </w:trPr>
        <w:tc>
          <w:tcPr>
            <w:tcW w:type="dxa" w:w="4680"/>
            <w:shd w:fill="F5F7F8" w:val="clear" w:color="auto"/>
            <w:tcMar>
              <w:top w:w="70" w:type="dxa"/>
              <w:start w:w="110" w:type="dxa"/>
              <w:bottom w:w="70" w:type="dxa"/>
              <w:end w:w="110" w:type="dxa"/>
            </w:tcMar>
          </w:tcPr>
          <w:p>
            <w:pPr>
              <w:pStyle w:val="TableText"/>
            </w:pPr>
            <w:r>
              <w:rPr/>
              <w:t>6301.40.0010</w:t>
            </w:r>
          </w:p>
        </w:tc>
        <w:tc>
          <w:tcPr>
            <w:tcW w:type="dxa" w:w="4680"/>
            <w:shd w:fill="F5F7F8" w:val="clear" w:color="auto"/>
            <w:tcMar>
              <w:top w:w="70" w:type="dxa"/>
              <w:start w:w="110" w:type="dxa"/>
              <w:bottom w:w="70" w:type="dxa"/>
              <w:end w:w="110" w:type="dxa"/>
            </w:tcMar>
          </w:tcPr>
          <w:p>
            <w:pPr>
              <w:pStyle w:val="TableText"/>
            </w:pPr>
            <w:r>
              <w:rPr/>
              <w:t>BLANKETS (NOT ELECTRIC) &amp; TRAVEL RUGS OF SYNTHETIC FIBER, WOVEN</w:t>
            </w:r>
          </w:p>
        </w:tc>
      </w:tr>
      <w:tr>
        <w:trPr>
          <w:cantSplit/>
        </w:trPr>
        <w:tc>
          <w:tcPr>
            <w:tcW w:type="dxa" w:w="4680"/>
            <w:tcMar>
              <w:top w:w="70" w:type="dxa"/>
              <w:start w:w="110" w:type="dxa"/>
              <w:bottom w:w="70" w:type="dxa"/>
              <w:end w:w="110" w:type="dxa"/>
            </w:tcMar>
          </w:tcPr>
          <w:p>
            <w:pPr>
              <w:pStyle w:val="TableText"/>
            </w:pPr>
            <w:r>
              <w:rPr/>
              <w:t>6301.40.0020</w:t>
            </w:r>
          </w:p>
        </w:tc>
        <w:tc>
          <w:tcPr>
            <w:tcW w:type="dxa" w:w="4680"/>
            <w:tcMar>
              <w:top w:w="70" w:type="dxa"/>
              <w:start w:w="110" w:type="dxa"/>
              <w:bottom w:w="70" w:type="dxa"/>
              <w:end w:w="110" w:type="dxa"/>
            </w:tcMar>
          </w:tcPr>
          <w:p>
            <w:pPr>
              <w:pStyle w:val="TableText"/>
            </w:pPr>
            <w:r>
              <w:rPr/>
              <w:t>OTHER BLANKETS (NOT ELECTRIC) &amp; TRAVEL RUGS OF SYNTHETIC FIBER</w:t>
            </w:r>
          </w:p>
        </w:tc>
      </w:tr>
      <w:tr>
        <w:trPr>
          <w:cantSplit/>
        </w:trPr>
        <w:tc>
          <w:tcPr>
            <w:tcW w:type="dxa" w:w="4680"/>
            <w:shd w:fill="F5F7F8" w:val="clear" w:color="auto"/>
            <w:tcMar>
              <w:top w:w="70" w:type="dxa"/>
              <w:start w:w="110" w:type="dxa"/>
              <w:bottom w:w="70" w:type="dxa"/>
              <w:end w:w="110" w:type="dxa"/>
            </w:tcMar>
          </w:tcPr>
          <w:p>
            <w:pPr>
              <w:pStyle w:val="TableText"/>
            </w:pPr>
            <w:r>
              <w:rPr/>
              <w:t>6301.90.0010</w:t>
            </w:r>
          </w:p>
        </w:tc>
        <w:tc>
          <w:tcPr>
            <w:tcW w:type="dxa" w:w="4680"/>
            <w:shd w:fill="F5F7F8" w:val="clear" w:color="auto"/>
            <w:tcMar>
              <w:top w:w="70" w:type="dxa"/>
              <w:start w:w="110" w:type="dxa"/>
              <w:bottom w:w="70" w:type="dxa"/>
              <w:end w:w="110" w:type="dxa"/>
            </w:tcMar>
          </w:tcPr>
          <w:p>
            <w:pPr>
              <w:pStyle w:val="TableText"/>
            </w:pPr>
            <w:r>
              <w:rPr/>
              <w:t>BLANKETS AND TRAVELING RUGS OF ARTIFICIAL FIBER</w:t>
            </w:r>
          </w:p>
        </w:tc>
      </w:tr>
      <w:tr>
        <w:trPr>
          <w:cantSplit/>
        </w:trPr>
        <w:tc>
          <w:tcPr>
            <w:tcW w:type="dxa" w:w="4680"/>
            <w:tcMar>
              <w:top w:w="70" w:type="dxa"/>
              <w:start w:w="110" w:type="dxa"/>
              <w:bottom w:w="70" w:type="dxa"/>
              <w:end w:w="110" w:type="dxa"/>
            </w:tcMar>
          </w:tcPr>
          <w:p>
            <w:pPr>
              <w:pStyle w:val="TableText"/>
            </w:pPr>
            <w:r>
              <w:rPr/>
              <w:t>6302.10.0020</w:t>
            </w:r>
          </w:p>
        </w:tc>
        <w:tc>
          <w:tcPr>
            <w:tcW w:type="dxa" w:w="4680"/>
            <w:tcMar>
              <w:top w:w="70" w:type="dxa"/>
              <w:start w:w="110" w:type="dxa"/>
              <w:bottom w:w="70" w:type="dxa"/>
              <w:end w:w="110" w:type="dxa"/>
            </w:tcMar>
          </w:tcPr>
          <w:p>
            <w:pPr>
              <w:pStyle w:val="TableText"/>
            </w:pPr>
            <w:r>
              <w:rPr/>
              <w:t>BED LINEN, KNITTED OR CROCHETED FABRIC, EXCLUDING COTTON</w:t>
            </w:r>
          </w:p>
        </w:tc>
      </w:tr>
      <w:tr>
        <w:trPr>
          <w:cantSplit/>
        </w:trPr>
        <w:tc>
          <w:tcPr>
            <w:tcW w:type="dxa" w:w="4680"/>
            <w:shd w:fill="F5F7F8" w:val="clear" w:color="auto"/>
            <w:tcMar>
              <w:top w:w="70" w:type="dxa"/>
              <w:start w:w="110" w:type="dxa"/>
              <w:bottom w:w="70" w:type="dxa"/>
              <w:end w:w="110" w:type="dxa"/>
            </w:tcMar>
          </w:tcPr>
          <w:p>
            <w:pPr>
              <w:pStyle w:val="TableText"/>
            </w:pPr>
            <w:r>
              <w:rPr/>
              <w:t>6302.22.1030</w:t>
            </w:r>
          </w:p>
        </w:tc>
        <w:tc>
          <w:tcPr>
            <w:tcW w:type="dxa" w:w="4680"/>
            <w:shd w:fill="F5F7F8" w:val="clear" w:color="auto"/>
            <w:tcMar>
              <w:top w:w="70" w:type="dxa"/>
              <w:start w:w="110" w:type="dxa"/>
              <w:bottom w:w="70" w:type="dxa"/>
              <w:end w:w="110" w:type="dxa"/>
            </w:tcMar>
          </w:tcPr>
          <w:p>
            <w:pPr>
              <w:pStyle w:val="TableText"/>
            </w:pPr>
            <w:r>
              <w:rPr/>
              <w:t>SHEETS WITH TRIM, NAPPED, PRINTED, MANMADE FIBER</w:t>
            </w:r>
          </w:p>
        </w:tc>
      </w:tr>
      <w:tr>
        <w:trPr>
          <w:cantSplit/>
        </w:trPr>
        <w:tc>
          <w:tcPr>
            <w:tcW w:type="dxa" w:w="4680"/>
            <w:tcMar>
              <w:top w:w="70" w:type="dxa"/>
              <w:start w:w="110" w:type="dxa"/>
              <w:bottom w:w="70" w:type="dxa"/>
              <w:end w:w="110" w:type="dxa"/>
            </w:tcMar>
          </w:tcPr>
          <w:p>
            <w:pPr>
              <w:pStyle w:val="TableText"/>
            </w:pPr>
            <w:r>
              <w:rPr/>
              <w:t>6302.22.1040</w:t>
            </w:r>
          </w:p>
        </w:tc>
        <w:tc>
          <w:tcPr>
            <w:tcW w:type="dxa" w:w="4680"/>
            <w:tcMar>
              <w:top w:w="70" w:type="dxa"/>
              <w:start w:w="110" w:type="dxa"/>
              <w:bottom w:w="70" w:type="dxa"/>
              <w:end w:w="110" w:type="dxa"/>
            </w:tcMar>
          </w:tcPr>
          <w:p>
            <w:pPr>
              <w:pStyle w:val="TableText"/>
            </w:pPr>
            <w:r>
              <w:rPr/>
              <w:t>SHEETS WITH TRIM, NOT NAPPED, PRINTED,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6302.22.1050</w:t>
            </w:r>
          </w:p>
        </w:tc>
        <w:tc>
          <w:tcPr>
            <w:tcW w:type="dxa" w:w="4680"/>
            <w:shd w:fill="F5F7F8" w:val="clear" w:color="auto"/>
            <w:tcMar>
              <w:top w:w="70" w:type="dxa"/>
              <w:start w:w="110" w:type="dxa"/>
              <w:bottom w:w="70" w:type="dxa"/>
              <w:end w:w="110" w:type="dxa"/>
            </w:tcMar>
          </w:tcPr>
          <w:p>
            <w:pPr>
              <w:pStyle w:val="TableText"/>
            </w:pPr>
            <w:r>
              <w:rPr/>
              <w:t>BOLSTER CASES WITH TRIM, PRINTED, MANMADE FIBER</w:t>
            </w:r>
          </w:p>
        </w:tc>
      </w:tr>
      <w:tr>
        <w:trPr>
          <w:cantSplit/>
        </w:trPr>
        <w:tc>
          <w:tcPr>
            <w:tcW w:type="dxa" w:w="4680"/>
            <w:tcMar>
              <w:top w:w="70" w:type="dxa"/>
              <w:start w:w="110" w:type="dxa"/>
              <w:bottom w:w="70" w:type="dxa"/>
              <w:end w:w="110" w:type="dxa"/>
            </w:tcMar>
          </w:tcPr>
          <w:p>
            <w:pPr>
              <w:pStyle w:val="TableText"/>
            </w:pPr>
            <w:r>
              <w:rPr/>
              <w:t>6302.22.1060</w:t>
            </w:r>
          </w:p>
        </w:tc>
        <w:tc>
          <w:tcPr>
            <w:tcW w:type="dxa" w:w="4680"/>
            <w:tcMar>
              <w:top w:w="70" w:type="dxa"/>
              <w:start w:w="110" w:type="dxa"/>
              <w:bottom w:w="70" w:type="dxa"/>
              <w:end w:w="110" w:type="dxa"/>
            </w:tcMar>
          </w:tcPr>
          <w:p>
            <w:pPr>
              <w:pStyle w:val="TableText"/>
            </w:pPr>
            <w:r>
              <w:rPr/>
              <w:t>OTHER BED LINEN WITH TRIM, PRINTED,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6302.22.2020</w:t>
            </w:r>
          </w:p>
        </w:tc>
        <w:tc>
          <w:tcPr>
            <w:tcW w:type="dxa" w:w="4680"/>
            <w:shd w:fill="F5F7F8" w:val="clear" w:color="auto"/>
            <w:tcMar>
              <w:top w:w="70" w:type="dxa"/>
              <w:start w:w="110" w:type="dxa"/>
              <w:bottom w:w="70" w:type="dxa"/>
              <w:end w:w="110" w:type="dxa"/>
            </w:tcMar>
          </w:tcPr>
          <w:p>
            <w:pPr>
              <w:pStyle w:val="TableText"/>
            </w:pPr>
            <w:r>
              <w:rPr/>
              <w:t>SHEETS, NOT TRIMMED, PRINTED, MANMADE FIBER</w:t>
            </w:r>
          </w:p>
        </w:tc>
      </w:tr>
      <w:tr>
        <w:trPr>
          <w:cantSplit/>
        </w:trPr>
        <w:tc>
          <w:tcPr>
            <w:tcW w:type="dxa" w:w="4680"/>
            <w:tcMar>
              <w:top w:w="70" w:type="dxa"/>
              <w:start w:w="110" w:type="dxa"/>
              <w:bottom w:w="70" w:type="dxa"/>
              <w:end w:w="110" w:type="dxa"/>
            </w:tcMar>
          </w:tcPr>
          <w:p>
            <w:pPr>
              <w:pStyle w:val="TableText"/>
            </w:pPr>
            <w:r>
              <w:rPr/>
              <w:t>6302.22.2030</w:t>
            </w:r>
          </w:p>
        </w:tc>
        <w:tc>
          <w:tcPr>
            <w:tcW w:type="dxa" w:w="4680"/>
            <w:tcMar>
              <w:top w:w="70" w:type="dxa"/>
              <w:start w:w="110" w:type="dxa"/>
              <w:bottom w:w="70" w:type="dxa"/>
              <w:end w:w="110" w:type="dxa"/>
            </w:tcMar>
          </w:tcPr>
          <w:p>
            <w:pPr>
              <w:pStyle w:val="TableText"/>
            </w:pPr>
            <w:r>
              <w:rPr/>
              <w:t>OTHER BED LINEN, NOT TRIMMED, PRINTED,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6302.32.1030</w:t>
            </w:r>
          </w:p>
        </w:tc>
        <w:tc>
          <w:tcPr>
            <w:tcW w:type="dxa" w:w="4680"/>
            <w:shd w:fill="F5F7F8" w:val="clear" w:color="auto"/>
            <w:tcMar>
              <w:top w:w="70" w:type="dxa"/>
              <w:start w:w="110" w:type="dxa"/>
              <w:bottom w:w="70" w:type="dxa"/>
              <w:end w:w="110" w:type="dxa"/>
            </w:tcMar>
          </w:tcPr>
          <w:p>
            <w:pPr>
              <w:pStyle w:val="TableText"/>
            </w:pPr>
            <w:r>
              <w:rPr/>
              <w:t>SHEETS WITH TRIM, NAPPED, MANMADE FIBER</w:t>
            </w:r>
          </w:p>
        </w:tc>
      </w:tr>
      <w:tr>
        <w:trPr>
          <w:cantSplit/>
        </w:trPr>
        <w:tc>
          <w:tcPr>
            <w:tcW w:type="dxa" w:w="4680"/>
            <w:tcMar>
              <w:top w:w="70" w:type="dxa"/>
              <w:start w:w="110" w:type="dxa"/>
              <w:bottom w:w="70" w:type="dxa"/>
              <w:end w:w="110" w:type="dxa"/>
            </w:tcMar>
          </w:tcPr>
          <w:p>
            <w:pPr>
              <w:pStyle w:val="TableText"/>
            </w:pPr>
            <w:r>
              <w:rPr/>
              <w:t>6302.32.1040</w:t>
            </w:r>
          </w:p>
        </w:tc>
        <w:tc>
          <w:tcPr>
            <w:tcW w:type="dxa" w:w="4680"/>
            <w:tcMar>
              <w:top w:w="70" w:type="dxa"/>
              <w:start w:w="110" w:type="dxa"/>
              <w:bottom w:w="70" w:type="dxa"/>
              <w:end w:w="110" w:type="dxa"/>
            </w:tcMar>
          </w:tcPr>
          <w:p>
            <w:pPr>
              <w:pStyle w:val="TableText"/>
            </w:pPr>
            <w:r>
              <w:rPr/>
              <w:t>SHEETS WITH TRIM, NOT NAPPED,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6302.32.1050</w:t>
            </w:r>
          </w:p>
        </w:tc>
        <w:tc>
          <w:tcPr>
            <w:tcW w:type="dxa" w:w="4680"/>
            <w:shd w:fill="F5F7F8" w:val="clear" w:color="auto"/>
            <w:tcMar>
              <w:top w:w="70" w:type="dxa"/>
              <w:start w:w="110" w:type="dxa"/>
              <w:bottom w:w="70" w:type="dxa"/>
              <w:end w:w="110" w:type="dxa"/>
            </w:tcMar>
          </w:tcPr>
          <w:p>
            <w:pPr>
              <w:pStyle w:val="TableText"/>
            </w:pPr>
            <w:r>
              <w:rPr/>
              <w:t>BOLSTER CASES WITH TRIM, MANMADE FIBER</w:t>
            </w:r>
          </w:p>
        </w:tc>
      </w:tr>
      <w:tr>
        <w:trPr>
          <w:cantSplit/>
        </w:trPr>
        <w:tc>
          <w:tcPr>
            <w:tcW w:type="dxa" w:w="4680"/>
            <w:tcMar>
              <w:top w:w="70" w:type="dxa"/>
              <w:start w:w="110" w:type="dxa"/>
              <w:bottom w:w="70" w:type="dxa"/>
              <w:end w:w="110" w:type="dxa"/>
            </w:tcMar>
          </w:tcPr>
          <w:p>
            <w:pPr>
              <w:pStyle w:val="TableText"/>
            </w:pPr>
            <w:r>
              <w:rPr/>
              <w:t>6302.32.1060</w:t>
            </w:r>
          </w:p>
        </w:tc>
        <w:tc>
          <w:tcPr>
            <w:tcW w:type="dxa" w:w="4680"/>
            <w:tcMar>
              <w:top w:w="70" w:type="dxa"/>
              <w:start w:w="110" w:type="dxa"/>
              <w:bottom w:w="70" w:type="dxa"/>
              <w:end w:w="110" w:type="dxa"/>
            </w:tcMar>
          </w:tcPr>
          <w:p>
            <w:pPr>
              <w:pStyle w:val="TableText"/>
            </w:pPr>
            <w:r>
              <w:rPr/>
              <w:t>OTHER BED LINEN WITH TRIM, MANMADE FIBER</w:t>
            </w:r>
          </w:p>
        </w:tc>
      </w:tr>
      <w:tr>
        <w:trPr>
          <w:cantSplit/>
        </w:trPr>
        <w:tc>
          <w:tcPr>
            <w:tcW w:type="dxa" w:w="4680"/>
            <w:shd w:fill="F5F7F8" w:val="clear" w:color="auto"/>
            <w:tcMar>
              <w:top w:w="70" w:type="dxa"/>
              <w:start w:w="110" w:type="dxa"/>
              <w:bottom w:w="70" w:type="dxa"/>
              <w:end w:w="110" w:type="dxa"/>
            </w:tcMar>
          </w:tcPr>
          <w:p>
            <w:pPr>
              <w:pStyle w:val="TableText"/>
            </w:pPr>
            <w:r>
              <w:rPr/>
              <w:t>6302.32.2030</w:t>
            </w:r>
          </w:p>
        </w:tc>
        <w:tc>
          <w:tcPr>
            <w:tcW w:type="dxa" w:w="4680"/>
            <w:shd w:fill="F5F7F8" w:val="clear" w:color="auto"/>
            <w:tcMar>
              <w:top w:w="70" w:type="dxa"/>
              <w:start w:w="110" w:type="dxa"/>
              <w:bottom w:w="70" w:type="dxa"/>
              <w:end w:w="110" w:type="dxa"/>
            </w:tcMar>
          </w:tcPr>
          <w:p>
            <w:pPr>
              <w:pStyle w:val="TableText"/>
            </w:pPr>
            <w:r>
              <w:rPr/>
              <w:t>SHEETS, NOT TRIMMED, NAPPED, MANMADE FIBER</w:t>
            </w:r>
          </w:p>
        </w:tc>
      </w:tr>
      <w:tr>
        <w:trPr>
          <w:cantSplit/>
        </w:trPr>
        <w:tc>
          <w:tcPr>
            <w:tcW w:type="dxa" w:w="4680"/>
            <w:tcMar>
              <w:top w:w="70" w:type="dxa"/>
              <w:start w:w="110" w:type="dxa"/>
              <w:bottom w:w="70" w:type="dxa"/>
              <w:end w:w="110" w:type="dxa"/>
            </w:tcMar>
          </w:tcPr>
          <w:p>
            <w:pPr>
              <w:pStyle w:val="TableText"/>
            </w:pPr>
            <w:r>
              <w:rPr/>
              <w:t>6302.32.2040</w:t>
            </w:r>
          </w:p>
        </w:tc>
        <w:tc>
          <w:tcPr>
            <w:tcW w:type="dxa" w:w="4680"/>
            <w:tcMar>
              <w:top w:w="70" w:type="dxa"/>
              <w:start w:w="110" w:type="dxa"/>
              <w:bottom w:w="70" w:type="dxa"/>
              <w:end w:w="110" w:type="dxa"/>
            </w:tcMar>
          </w:tcPr>
          <w:p>
            <w:pPr>
              <w:pStyle w:val="TableText"/>
            </w:pPr>
            <w:r>
              <w:rPr/>
              <w:t>SHEETS NOT TRIMMED, NOT NAPPED,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6302.32.2050</w:t>
            </w:r>
          </w:p>
        </w:tc>
        <w:tc>
          <w:tcPr>
            <w:tcW w:type="dxa" w:w="4680"/>
            <w:shd w:fill="F5F7F8" w:val="clear" w:color="auto"/>
            <w:tcMar>
              <w:top w:w="70" w:type="dxa"/>
              <w:start w:w="110" w:type="dxa"/>
              <w:bottom w:w="70" w:type="dxa"/>
              <w:end w:w="110" w:type="dxa"/>
            </w:tcMar>
          </w:tcPr>
          <w:p>
            <w:pPr>
              <w:pStyle w:val="TableText"/>
            </w:pPr>
            <w:r>
              <w:rPr/>
              <w:t>BOLSTER CASES, NOT TRIMMED, MANMADE FIBER</w:t>
            </w:r>
          </w:p>
        </w:tc>
      </w:tr>
      <w:tr>
        <w:trPr>
          <w:cantSplit/>
        </w:trPr>
        <w:tc>
          <w:tcPr>
            <w:tcW w:type="dxa" w:w="4680"/>
            <w:tcMar>
              <w:top w:w="70" w:type="dxa"/>
              <w:start w:w="110" w:type="dxa"/>
              <w:bottom w:w="70" w:type="dxa"/>
              <w:end w:w="110" w:type="dxa"/>
            </w:tcMar>
          </w:tcPr>
          <w:p>
            <w:pPr>
              <w:pStyle w:val="TableText"/>
            </w:pPr>
            <w:r>
              <w:rPr/>
              <w:t>6302.32.2060</w:t>
            </w:r>
          </w:p>
        </w:tc>
        <w:tc>
          <w:tcPr>
            <w:tcW w:type="dxa" w:w="4680"/>
            <w:tcMar>
              <w:top w:w="70" w:type="dxa"/>
              <w:start w:w="110" w:type="dxa"/>
              <w:bottom w:w="70" w:type="dxa"/>
              <w:end w:w="110" w:type="dxa"/>
            </w:tcMar>
          </w:tcPr>
          <w:p>
            <w:pPr>
              <w:pStyle w:val="TableText"/>
            </w:pPr>
            <w:r>
              <w:rPr/>
              <w:t>OTHER BED LINEN, MANMADE FIBER</w:t>
            </w:r>
          </w:p>
        </w:tc>
      </w:tr>
      <w:tr>
        <w:trPr>
          <w:cantSplit/>
        </w:trPr>
        <w:tc>
          <w:tcPr>
            <w:tcW w:type="dxa" w:w="4680"/>
            <w:shd w:fill="F5F7F8" w:val="clear" w:color="auto"/>
            <w:tcMar>
              <w:top w:w="70" w:type="dxa"/>
              <w:start w:w="110" w:type="dxa"/>
              <w:bottom w:w="70" w:type="dxa"/>
              <w:end w:w="110" w:type="dxa"/>
            </w:tcMar>
          </w:tcPr>
          <w:p>
            <w:pPr>
              <w:pStyle w:val="TableText"/>
            </w:pPr>
            <w:r>
              <w:rPr/>
              <w:t>6304.11.2000</w:t>
            </w:r>
          </w:p>
        </w:tc>
        <w:tc>
          <w:tcPr>
            <w:tcW w:type="dxa" w:w="4680"/>
            <w:shd w:fill="F5F7F8" w:val="clear" w:color="auto"/>
            <w:tcMar>
              <w:top w:w="70" w:type="dxa"/>
              <w:start w:w="110" w:type="dxa"/>
              <w:bottom w:w="70" w:type="dxa"/>
              <w:end w:w="110" w:type="dxa"/>
            </w:tcMar>
          </w:tcPr>
          <w:p>
            <w:pPr>
              <w:pStyle w:val="TableText"/>
            </w:pPr>
            <w:r>
              <w:rPr/>
              <w:t>BEDSPREADS, KNIT/CROCHETED, MANMADE FIBER</w:t>
            </w:r>
          </w:p>
        </w:tc>
      </w:tr>
      <w:tr>
        <w:trPr>
          <w:cantSplit/>
        </w:trPr>
        <w:tc>
          <w:tcPr>
            <w:tcW w:type="dxa" w:w="4680"/>
            <w:tcMar>
              <w:top w:w="70" w:type="dxa"/>
              <w:start w:w="110" w:type="dxa"/>
              <w:bottom w:w="70" w:type="dxa"/>
              <w:end w:w="110" w:type="dxa"/>
            </w:tcMar>
          </w:tcPr>
          <w:p>
            <w:pPr>
              <w:pStyle w:val="TableText"/>
            </w:pPr>
            <w:r>
              <w:rPr/>
              <w:t>6304.19.1500</w:t>
            </w:r>
          </w:p>
        </w:tc>
        <w:tc>
          <w:tcPr>
            <w:tcW w:type="dxa" w:w="4680"/>
            <w:tcMar>
              <w:top w:w="70" w:type="dxa"/>
              <w:start w:w="110" w:type="dxa"/>
              <w:bottom w:w="70" w:type="dxa"/>
              <w:end w:w="110" w:type="dxa"/>
            </w:tcMar>
          </w:tcPr>
          <w:p>
            <w:pPr>
              <w:pStyle w:val="TableText"/>
            </w:pPr>
            <w:r>
              <w:rPr/>
              <w:t>OTHER BEDSPREADS WITH TRIM, MANMADE FIBER</w:t>
            </w:r>
          </w:p>
        </w:tc>
      </w:tr>
      <w:tr>
        <w:trPr>
          <w:cantSplit/>
        </w:trPr>
        <w:tc>
          <w:tcPr>
            <w:tcW w:type="dxa" w:w="4680"/>
            <w:shd w:fill="F5F7F8" w:val="clear" w:color="auto"/>
            <w:tcMar>
              <w:top w:w="70" w:type="dxa"/>
              <w:start w:w="110" w:type="dxa"/>
              <w:bottom w:w="70" w:type="dxa"/>
              <w:end w:w="110" w:type="dxa"/>
            </w:tcMar>
          </w:tcPr>
          <w:p>
            <w:pPr>
              <w:pStyle w:val="TableText"/>
            </w:pPr>
            <w:r>
              <w:rPr/>
              <w:t>6304.19.2000</w:t>
            </w:r>
          </w:p>
        </w:tc>
        <w:tc>
          <w:tcPr>
            <w:tcW w:type="dxa" w:w="4680"/>
            <w:shd w:fill="F5F7F8" w:val="clear" w:color="auto"/>
            <w:tcMar>
              <w:top w:w="70" w:type="dxa"/>
              <w:start w:w="110" w:type="dxa"/>
              <w:bottom w:w="70" w:type="dxa"/>
              <w:end w:w="110" w:type="dxa"/>
            </w:tcMar>
          </w:tcPr>
          <w:p>
            <w:pPr>
              <w:pStyle w:val="TableText"/>
            </w:pPr>
            <w:r>
              <w:rPr/>
              <w:t>OTHER BEDSPREADS, MANMADE FIBER</w:t>
            </w:r>
          </w:p>
        </w:tc>
      </w:tr>
    </w:tbl>
    <w:p>
      <w:pPr>
        <w:pStyle w:val="Normal"/>
      </w:pPr>
      <w:r>
        <w:rPr>
          <w:b w:val="0"/>
        </w:rPr>
        <w:t>7. The primary unit of measure for the following tariff items in U.S. category 666 shall be NO and shall be converted into SME by a factor of 0.9:</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Tariff Item</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6302.22.1010</w:t>
            </w:r>
          </w:p>
        </w:tc>
        <w:tc>
          <w:tcPr>
            <w:tcW w:type="dxa" w:w="4680"/>
            <w:tcMar>
              <w:top w:w="70" w:type="dxa"/>
              <w:start w:w="110" w:type="dxa"/>
              <w:bottom w:w="70" w:type="dxa"/>
              <w:end w:w="110" w:type="dxa"/>
            </w:tcMar>
          </w:tcPr>
          <w:p>
            <w:pPr>
              <w:pStyle w:val="TableText"/>
            </w:pPr>
            <w:r>
              <w:rPr/>
              <w:t>PILLOWCASES WITH TRIM, PRINTED, NAPPED,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6302.22.1020</w:t>
            </w:r>
          </w:p>
        </w:tc>
        <w:tc>
          <w:tcPr>
            <w:tcW w:type="dxa" w:w="4680"/>
            <w:shd w:fill="F5F7F8" w:val="clear" w:color="auto"/>
            <w:tcMar>
              <w:top w:w="70" w:type="dxa"/>
              <w:start w:w="110" w:type="dxa"/>
              <w:bottom w:w="70" w:type="dxa"/>
              <w:end w:w="110" w:type="dxa"/>
            </w:tcMar>
          </w:tcPr>
          <w:p>
            <w:pPr>
              <w:pStyle w:val="TableText"/>
            </w:pPr>
            <w:r>
              <w:rPr/>
              <w:t>PILLOWCASES WITH TRIM, PRINTED, NOT NAPPED, MANMADE FIBER</w:t>
            </w:r>
          </w:p>
        </w:tc>
      </w:tr>
      <w:tr>
        <w:trPr>
          <w:cantSplit/>
        </w:trPr>
        <w:tc>
          <w:tcPr>
            <w:tcW w:type="dxa" w:w="4680"/>
            <w:tcMar>
              <w:top w:w="70" w:type="dxa"/>
              <w:start w:w="110" w:type="dxa"/>
              <w:bottom w:w="70" w:type="dxa"/>
              <w:end w:w="110" w:type="dxa"/>
            </w:tcMar>
          </w:tcPr>
          <w:p>
            <w:pPr>
              <w:pStyle w:val="TableText"/>
            </w:pPr>
            <w:r>
              <w:rPr/>
              <w:t>6302.22.2010</w:t>
            </w:r>
          </w:p>
        </w:tc>
        <w:tc>
          <w:tcPr>
            <w:tcW w:type="dxa" w:w="4680"/>
            <w:tcMar>
              <w:top w:w="70" w:type="dxa"/>
              <w:start w:w="110" w:type="dxa"/>
              <w:bottom w:w="70" w:type="dxa"/>
              <w:end w:w="110" w:type="dxa"/>
            </w:tcMar>
          </w:tcPr>
          <w:p>
            <w:pPr>
              <w:pStyle w:val="TableText"/>
            </w:pPr>
            <w:r>
              <w:rPr/>
              <w:t>PILLOWCASES, NOT TRIMMED, PRINTED,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6302.32.1010</w:t>
            </w:r>
          </w:p>
        </w:tc>
        <w:tc>
          <w:tcPr>
            <w:tcW w:type="dxa" w:w="4680"/>
            <w:shd w:fill="F5F7F8" w:val="clear" w:color="auto"/>
            <w:tcMar>
              <w:top w:w="70" w:type="dxa"/>
              <w:start w:w="110" w:type="dxa"/>
              <w:bottom w:w="70" w:type="dxa"/>
              <w:end w:w="110" w:type="dxa"/>
            </w:tcMar>
          </w:tcPr>
          <w:p>
            <w:pPr>
              <w:pStyle w:val="TableText"/>
            </w:pPr>
            <w:r>
              <w:rPr/>
              <w:t>PILLOWCASES WITH TRIM, NAPPED, MANMADE FIBER</w:t>
            </w:r>
          </w:p>
        </w:tc>
      </w:tr>
      <w:tr>
        <w:trPr>
          <w:cantSplit/>
        </w:trPr>
        <w:tc>
          <w:tcPr>
            <w:tcW w:type="dxa" w:w="4680"/>
            <w:tcMar>
              <w:top w:w="70" w:type="dxa"/>
              <w:start w:w="110" w:type="dxa"/>
              <w:bottom w:w="70" w:type="dxa"/>
              <w:end w:w="110" w:type="dxa"/>
            </w:tcMar>
          </w:tcPr>
          <w:p>
            <w:pPr>
              <w:pStyle w:val="TableText"/>
            </w:pPr>
            <w:r>
              <w:rPr/>
              <w:t>6302.32.1020</w:t>
            </w:r>
          </w:p>
        </w:tc>
        <w:tc>
          <w:tcPr>
            <w:tcW w:type="dxa" w:w="4680"/>
            <w:tcMar>
              <w:top w:w="70" w:type="dxa"/>
              <w:start w:w="110" w:type="dxa"/>
              <w:bottom w:w="70" w:type="dxa"/>
              <w:end w:w="110" w:type="dxa"/>
            </w:tcMar>
          </w:tcPr>
          <w:p>
            <w:pPr>
              <w:pStyle w:val="TableText"/>
            </w:pPr>
            <w:r>
              <w:rPr/>
              <w:t>PILLOWCASES WITH TRIM, NOT NAPPED, MANMADE FIBER</w:t>
            </w:r>
          </w:p>
        </w:tc>
      </w:tr>
      <w:tr>
        <w:trPr>
          <w:cantSplit/>
        </w:trPr>
        <w:tc>
          <w:tcPr>
            <w:tcW w:type="dxa" w:w="4680"/>
            <w:shd w:fill="F5F7F8" w:val="clear" w:color="auto"/>
            <w:tcMar>
              <w:top w:w="70" w:type="dxa"/>
              <w:start w:w="110" w:type="dxa"/>
              <w:bottom w:w="70" w:type="dxa"/>
              <w:end w:w="110" w:type="dxa"/>
            </w:tcMar>
          </w:tcPr>
          <w:p>
            <w:pPr>
              <w:pStyle w:val="TableText"/>
            </w:pPr>
            <w:r>
              <w:rPr/>
              <w:t>6302.32.2010</w:t>
            </w:r>
          </w:p>
        </w:tc>
        <w:tc>
          <w:tcPr>
            <w:tcW w:type="dxa" w:w="4680"/>
            <w:shd w:fill="F5F7F8" w:val="clear" w:color="auto"/>
            <w:tcMar>
              <w:top w:w="70" w:type="dxa"/>
              <w:start w:w="110" w:type="dxa"/>
              <w:bottom w:w="70" w:type="dxa"/>
              <w:end w:w="110" w:type="dxa"/>
            </w:tcMar>
          </w:tcPr>
          <w:p>
            <w:pPr>
              <w:pStyle w:val="TableText"/>
            </w:pPr>
            <w:r>
              <w:rPr/>
              <w:t>PILLOWCASES, NOT TRIMMED, NAPPED, MANMADE FIBER</w:t>
            </w:r>
          </w:p>
        </w:tc>
      </w:tr>
      <w:tr>
        <w:trPr>
          <w:cantSplit/>
        </w:trPr>
        <w:tc>
          <w:tcPr>
            <w:tcW w:type="dxa" w:w="4680"/>
            <w:tcMar>
              <w:top w:w="70" w:type="dxa"/>
              <w:start w:w="110" w:type="dxa"/>
              <w:bottom w:w="70" w:type="dxa"/>
              <w:end w:w="110" w:type="dxa"/>
            </w:tcMar>
          </w:tcPr>
          <w:p>
            <w:pPr>
              <w:pStyle w:val="TableText"/>
            </w:pPr>
            <w:r>
              <w:rPr/>
              <w:t>6302.32.2020</w:t>
            </w:r>
          </w:p>
        </w:tc>
        <w:tc>
          <w:tcPr>
            <w:tcW w:type="dxa" w:w="4680"/>
            <w:tcMar>
              <w:top w:w="70" w:type="dxa"/>
              <w:start w:w="110" w:type="dxa"/>
              <w:bottom w:w="70" w:type="dxa"/>
              <w:end w:w="110" w:type="dxa"/>
            </w:tcMar>
          </w:tcPr>
          <w:p>
            <w:pPr>
              <w:pStyle w:val="TableText"/>
            </w:pPr>
            <w:r>
              <w:rPr/>
              <w:t>PILLOWCASES NOT TRIMMED, NOT NAPPED, MANMADE FIBER</w:t>
            </w:r>
          </w:p>
        </w:tc>
      </w:tr>
    </w:tbl>
    <w:p>
      <w:pPr>
        <w:pStyle w:val="Normal"/>
      </w:pPr>
      <w:r>
        <w:rPr>
          <w:b w:val="0"/>
        </w:rPr>
        <w:t>8. The primary unit of measure for garment parts of subheadings 6117.90 and 6217.90 shall be KG and shall be converted into SME by applying the following factors: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Garment-Part Category</w:t>
            </w:r>
          </w:p>
        </w:tc>
        <w:tc>
          <w:tcPr>
            <w:tcW w:type="dxa" w:w="4680"/>
            <w:tcBorders>
              <w:bottom w:val="single" w:sz="6" w:space="0" w:color="546E7A"/>
            </w:tcBorders>
            <w:shd w:fill="E4E9EC" w:val="clear" w:color="auto"/>
          </w:tcPr>
          <w:p>
            <w:pPr>
              <w:pStyle w:val="TableText"/>
            </w:pPr>
            <w:r>
              <w:rPr>
                <w:b/>
                <w:color w:val="37474F"/>
              </w:rPr>
              <w:t>Conversion Factor</w:t>
            </w:r>
          </w:p>
        </w:tc>
      </w:tr>
      <w:tr>
        <w:trPr>
          <w:cantSplit/>
        </w:trPr>
        <w:tc>
          <w:tcPr>
            <w:tcW w:type="dxa" w:w="4680"/>
            <w:tcMar>
              <w:top w:w="70" w:type="dxa"/>
              <w:start w:w="110" w:type="dxa"/>
              <w:bottom w:w="70" w:type="dxa"/>
              <w:end w:w="110" w:type="dxa"/>
            </w:tcMar>
          </w:tcPr>
          <w:p>
            <w:pPr>
              <w:pStyle w:val="TableText"/>
            </w:pPr>
            <w:r>
              <w:rPr/>
              <w:t>Cotton apparel</w:t>
            </w:r>
          </w:p>
        </w:tc>
        <w:tc>
          <w:tcPr>
            <w:tcW w:type="dxa" w:w="4680"/>
            <w:tcMar>
              <w:top w:w="70" w:type="dxa"/>
              <w:start w:w="110" w:type="dxa"/>
              <w:bottom w:w="70" w:type="dxa"/>
              <w:end w:w="110" w:type="dxa"/>
            </w:tcMar>
          </w:tcPr>
          <w:p>
            <w:pPr>
              <w:pStyle w:val="TableText"/>
            </w:pPr>
            <w:r>
              <w:rPr/>
              <w:t>8.5</w:t>
            </w:r>
          </w:p>
        </w:tc>
      </w:tr>
      <w:tr>
        <w:trPr>
          <w:cantSplit/>
        </w:trPr>
        <w:tc>
          <w:tcPr>
            <w:tcW w:type="dxa" w:w="4680"/>
            <w:shd w:fill="F5F7F8" w:val="clear" w:color="auto"/>
            <w:tcMar>
              <w:top w:w="70" w:type="dxa"/>
              <w:start w:w="110" w:type="dxa"/>
              <w:bottom w:w="70" w:type="dxa"/>
              <w:end w:w="110" w:type="dxa"/>
            </w:tcMar>
          </w:tcPr>
          <w:p>
            <w:pPr>
              <w:pStyle w:val="TableText"/>
            </w:pPr>
            <w:r>
              <w:rPr/>
              <w:t>Wool apparel</w:t>
            </w:r>
          </w:p>
        </w:tc>
        <w:tc>
          <w:tcPr>
            <w:tcW w:type="dxa" w:w="4680"/>
            <w:shd w:fill="F5F7F8" w:val="clear" w:color="auto"/>
            <w:tcMar>
              <w:top w:w="70" w:type="dxa"/>
              <w:start w:w="110" w:type="dxa"/>
              <w:bottom w:w="70" w:type="dxa"/>
              <w:end w:w="110" w:type="dxa"/>
            </w:tcMar>
          </w:tcPr>
          <w:p>
            <w:pPr>
              <w:pStyle w:val="TableText"/>
            </w:pPr>
            <w:r>
              <w:rPr/>
              <w:t>3.7</w:t>
            </w:r>
          </w:p>
        </w:tc>
      </w:tr>
      <w:tr>
        <w:trPr>
          <w:cantSplit/>
        </w:trPr>
        <w:tc>
          <w:tcPr>
            <w:tcW w:type="dxa" w:w="4680"/>
            <w:tcMar>
              <w:top w:w="70" w:type="dxa"/>
              <w:start w:w="110" w:type="dxa"/>
              <w:bottom w:w="70" w:type="dxa"/>
              <w:end w:w="110" w:type="dxa"/>
            </w:tcMar>
          </w:tcPr>
          <w:p>
            <w:pPr>
              <w:pStyle w:val="TableText"/>
            </w:pPr>
            <w:r>
              <w:rPr/>
              <w:t>Manmade fiber apparel</w:t>
            </w:r>
          </w:p>
        </w:tc>
        <w:tc>
          <w:tcPr>
            <w:tcW w:type="dxa" w:w="4680"/>
            <w:tcMar>
              <w:top w:w="70" w:type="dxa"/>
              <w:start w:w="110" w:type="dxa"/>
              <w:bottom w:w="70" w:type="dxa"/>
              <w:end w:w="110" w:type="dxa"/>
            </w:tcMar>
          </w:tcPr>
          <w:p>
            <w:pPr>
              <w:pStyle w:val="TableText"/>
            </w:pPr>
            <w:r>
              <w:rPr/>
              <w:t>14.4</w:t>
            </w:r>
          </w:p>
        </w:tc>
      </w:tr>
      <w:tr>
        <w:trPr>
          <w:cantSplit/>
        </w:trPr>
        <w:tc>
          <w:tcPr>
            <w:tcW w:type="dxa" w:w="4680"/>
            <w:shd w:fill="F5F7F8" w:val="clear" w:color="auto"/>
            <w:tcMar>
              <w:top w:w="70" w:type="dxa"/>
              <w:start w:w="110" w:type="dxa"/>
              <w:bottom w:w="70" w:type="dxa"/>
              <w:end w:w="110" w:type="dxa"/>
            </w:tcMar>
          </w:tcPr>
          <w:p>
            <w:pPr>
              <w:pStyle w:val="TableText"/>
            </w:pPr>
            <w:r>
              <w:rPr/>
              <w:t>Other non-cotton vegetable fiber apparel</w:t>
            </w:r>
          </w:p>
        </w:tc>
        <w:tc>
          <w:tcPr>
            <w:tcW w:type="dxa" w:w="4680"/>
            <w:shd w:fill="F5F7F8" w:val="clear" w:color="auto"/>
            <w:tcMar>
              <w:top w:w="70" w:type="dxa"/>
              <w:start w:w="110" w:type="dxa"/>
              <w:bottom w:w="70" w:type="dxa"/>
              <w:end w:w="110" w:type="dxa"/>
            </w:tcMar>
          </w:tcPr>
          <w:p>
            <w:pPr>
              <w:pStyle w:val="TableText"/>
            </w:pPr>
            <w:r>
              <w:rPr/>
              <w:t>12.5</w:t>
            </w:r>
          </w:p>
        </w:tc>
      </w:tr>
    </w:tbl>
    <w:p>
      <w:pPr>
        <w:pStyle w:val="Heading1"/>
      </w:pPr>
      <w:bookmarkStart w:id="900236" w:name="_Toc300000235"/>
      <w:r>
        <w:t>CHAPTER 7 CUSTOMS ADMINISTRATION AND TRADE FACILITATION</w:t>
      </w:r>
      <w:r>
        <w:br/>
      </w:r>
      <w:r>
        <w:t>Section A: Trade Facilitation</w:t>
      </w:r>
      <w:bookmarkEnd w:id="900236"/>
    </w:p>
    <w:p>
      <w:pPr>
        <w:pStyle w:val="Heading2"/>
      </w:pPr>
      <w:bookmarkStart w:id="900237" w:name="_Toc300000236"/>
      <w:r>
        <w:t xml:space="preserve">Article 7.1: Trade Facilitation</w:t>
      </w:r>
      <w:bookmarkEnd w:id="900237"/>
    </w:p>
    <w:p>
      <w:pPr>
        <w:pStyle w:val="Normal"/>
      </w:pPr>
      <w:r>
        <w:t xml:space="preserve">1. The Parties affirm their rights and obligations under the Agreement on Trade Facilitation, set out in Annex 1A to the WTO Agreement. 2. With a view to minimizing the costs incurred by traders through the importation, exportation, or transit of a good, each Party shall administer its customs procedures in a manner that facilitates the importation, exportation, or transit of a good, and supports compliance with its law. 3. The Parties shall discuss within the Trade Facilitation Committee established under Article 7.24 (Committee on Trade Facilitation) additional measures to facilitate trade. The Parties are encouraged to adopt additional measures that build on the obligations in this Chapter with a view to further facilitating trade.</w:t>
      </w:r>
    </w:p>
    <w:p>
      <w:pPr>
        <w:pStyle w:val="Heading2"/>
      </w:pPr>
      <w:bookmarkStart w:id="900238" w:name="_Toc300000237"/>
      <w:r>
        <w:t xml:space="preserve">Article 7.2: Online Publication</w:t>
      </w:r>
      <w:bookmarkEnd w:id="900238"/>
    </w:p>
    <w:p>
      <w:pPr>
        <w:pStyle w:val="Normal"/>
      </w:pPr>
      <w:r>
        <w:t xml:space="preserve">Each Party shall make available on a free, publicly accessible website the following information and update such information as necessary: (a) an informational resource that describes the procedures and practical steps an interested person needs to follow for importation into, exportation from, or transit through the territory of the Party; (b) the documentation and data that it requires for importation into, exportation from, or transit through its territory; (c) its laws, regulations, and procedures for importation into, exportation from or transit through its territory; (d) web links to all current customs duties, taxes, fees, and charges it imposes on or in connection with importation, exportation, or transit, including when the fee or charge applies, and the amount or rate; (e) contact information for its enquiry point or points established or maintained pursuant to Article 7.4 (Enquiry Points); (f) its laws, regulations, and procedures for becoming a customs broker, for issuing customs broker licenses, and regarding the use of customs brokers;</w:t>
      </w:r>
    </w:p>
    <w:p>
      <w:pPr>
        <w:pStyle w:val="Normal"/>
      </w:pPr>
      <w:r>
        <w:t>(g) informational resources that help an interested person understand their responsibilities when importing into, exporting from, or transiting goods through its territory, how to be compliant, and the benefits of compliance; and (h) procedures to correct an error in a customs transaction, including the information to submit and, if applicable, the circumstances when penalties will not be imposed.</w:t>
      </w:r>
    </w:p>
    <w:p>
      <w:pPr>
        <w:pStyle w:val="Heading2"/>
      </w:pPr>
      <w:bookmarkStart w:id="900239" w:name="_Toc300000238"/>
      <w:r>
        <w:t xml:space="preserve">Article 7.3: Communication with Traders</w:t>
      </w:r>
      <w:bookmarkEnd w:id="900239"/>
    </w:p>
    <w:p>
      <w:pPr>
        <w:pStyle w:val="Normal"/>
      </w:pPr>
      <w:r>
        <w:t xml:space="preserve">1. To the extent possible, in accordance with its law, each Party shall publish, in advance, regulations of general application governing trade and customs matters that it proposes to adopt and shall provide interested persons the opportunity to comment before the Party adopts such regulations. 2. Each Party shall adopt or maintain a mechanism to regularly communicate with traders within its territory on its procedures related to the importation, exportation, and transit of goods. These communications shall provide traders with an opportunity to raise emerging issues and provide their views to the customs administration on these procedures.</w:t>
      </w:r>
    </w:p>
    <w:p>
      <w:pPr>
        <w:pStyle w:val="Heading2"/>
      </w:pPr>
      <w:bookmarkStart w:id="900240" w:name="_Toc300000239"/>
      <w:r>
        <w:t xml:space="preserve">Article 7.4: Enquiry Points</w:t>
      </w:r>
      <w:bookmarkEnd w:id="900240"/>
    </w:p>
    <w:p>
      <w:pPr>
        <w:pStyle w:val="Normal"/>
      </w:pPr>
      <w:r>
        <w:t xml:space="preserve">1. Each Party shall establish or maintain one or more enquiry points to respond to enquiries by interested persons concerning importation, exportation, and transit procedures. 2. A Party shall not require the payment of a fee or charge for answering enquiries under paragraph 1.1 3. Each Party shall ensure that its enquiry points respond to enquiries within a reasonable period of time, which may vary depending on the nature or complexity of the request.</w:t>
      </w:r>
    </w:p>
    <w:p>
      <w:pPr>
        <w:pStyle w:val="Heading2"/>
      </w:pPr>
      <w:bookmarkStart w:id="900241" w:name="_Toc300000240"/>
      <w:r>
        <w:t xml:space="preserve">Article 7.5: Advance Rulings</w:t>
      </w:r>
      <w:bookmarkEnd w:id="900241"/>
    </w:p>
    <w:p>
      <w:pPr>
        <w:pStyle w:val="Normal"/>
      </w:pPr>
      <w:r>
        <w:t xml:space="preserve">For greater certainty, a Party may require payment of a fee or charge with respect to other enquiries requiring document search, duplication, and review in connection with requests in accordance with its laws and regulations providing public access to government records. 1. Each Party shall, through its customs administration, issue a written advance ruling, prior to the importation of a good into its territory, that sets forth the treatment that the Party shall provide to the good at the time of importation. 2. Each Party shall allow an exporter, importer, producer, or any other person with a justifiable cause, or a representative thereof, to request a written advance ruling. 3. No Party shall as a condition for requesting an advance ruling, require an exporter or producer of another Party to establish or maintain a contractual or other relation with a person located in the territory of the importing Party. 4. Each Party shall issue advance rulings with regard to: (a) tariff classification;</w:t>
      </w:r>
    </w:p>
    <w:p>
      <w:pPr>
        <w:pStyle w:val="Normal"/>
      </w:pPr>
      <w:r>
        <w:t>(b) the application of customs valuation criteria for a particular case in accordance with the Customs Valuation Agreement; (c) the origin of the good, including whether the good qualifies as an originating good under the terms of this Agreement; (d) whether a good is subject to a quota or a tariff-rate quota; and (e) other matters as the Parties may agree. 5.</w:t>
      </w:r>
    </w:p>
    <w:p>
      <w:pPr>
        <w:pStyle w:val="Normal"/>
      </w:pPr>
      <w:r>
        <w:t>Each Party shall adopt or maintain uniform procedures throughout its territory for the issuance of advance rulings, including a detailed description of the information required to process an application for a ruling. 6. Each Party shall provide that its customs administration: (a) may, at any time during the course of an evaluation of a request for an advance ruling, request supplemental information from the person requesting the ruling or a sample of the good for which the advance ruling was requested; (b) in issuing an advance ruling, take into account the facts and circumstances provided by the person requesting that ruling; (c) issue the ruling as expeditiously as possible and in no case later than 120 days after it has obtained all necessary information from the person requesting an advance ruling; and (d) provide to that person a full explanation of the reasons for the ruling. 7.</w:t>
      </w:r>
    </w:p>
    <w:p>
      <w:pPr>
        <w:pStyle w:val="Normal"/>
      </w:pPr>
      <w:r>
        <w:t>Each Party shall provide that its advance rulings take effect on the date that they are issued or on a later date specified in the ruling, and remain in effect unless the advance ruling is modified or revoked. 8. Each Party shall provide to a person requesting an advance ruling the same treatment, including the same interpretation and application of provisions of Chapter 4 (Rules of Origin) regarding a determination of origin, as it provided to any other person to whom it issued an advance ruling, provided that the facts and circumstances are identical in all material respects. 9.</w:t>
      </w:r>
    </w:p>
    <w:p>
      <w:pPr>
        <w:pStyle w:val="Normal"/>
      </w:pPr>
      <w:r>
        <w:t>An advance ruling issued by a Party shall apply throughout its territory to the person to whom the ruling is issued. 10. After issuing an advance ruling, the issuing Party may modify or revoke the advance ruling if there is a change in the law, facts, or circumstances on which the ruling was based, or if the ruling was based on inaccurate or false information, or on an error. 11. A Party may decline to issue an advance ruling if the facts and circumstances forming the basis of the advance ruling are the subject of a post clearance audit or an administrative, judicial, or quasi-judicial review or appeal. A Party that declines to issue an advance ruling shall promptly notify, in writing, the person requesting the ruling, setting out the relevant facts and circumstances and the basis for its decision. 12.</w:t>
      </w:r>
    </w:p>
    <w:p>
      <w:pPr>
        <w:pStyle w:val="Normal"/>
      </w:pPr>
      <w:r>
        <w:t>No Party shall apply retroactively a revocation or modification to the detriment of the requester unless the person to whom the advance ruling was issued has not acted in accordance with its terms and conditions or the ruling was based on inaccurate or false information provided by the requester. 13. Each Party shall provide that, unless it retroactively applies a modification or revocation as described in paragraph 12, any modification or revocation of an advance ruling shall be effective on the date on which the modification or revocation is issued, or on such later date as may be specified therein. 14.</w:t>
      </w:r>
    </w:p>
    <w:p>
      <w:pPr>
        <w:pStyle w:val="Normal"/>
      </w:pPr>
      <w:r>
        <w:t>The issuing Party shall postpone the effective date of such modification or revocation for a period not exceeding 90 days if the person to whom the advance ruling was issued demonstrates that it has relied in good faith to its detriment on that ruling. 15. Each Party shall, in accordance with its laws, regulations, and procedures, make its advance rulings, complete or redacted, available on a free, publicly accessible website.</w:t>
      </w:r>
    </w:p>
    <w:p>
      <w:pPr>
        <w:pStyle w:val="Heading2"/>
      </w:pPr>
      <w:bookmarkStart w:id="900242" w:name="_Toc300000241"/>
      <w:r>
        <w:t xml:space="preserve">Article 7.6: Advice or Information Regarding Duty Drawback or Duty Deferral Programs</w:t>
      </w:r>
      <w:bookmarkEnd w:id="900242"/>
    </w:p>
    <w:p>
      <w:pPr>
        <w:pStyle w:val="Normal"/>
      </w:pPr>
      <w:r>
        <w:t xml:space="preserve">Upon request from an importer in its territory, or an exporter or producer in the territory of another Party, a Party shall, within a reasonable timeframe, provide advice or information relevant to the facts contained in the request on the application of duty drawback or duty deferral programs that reduce, refund, or waive customs duties.</w:t>
      </w:r>
    </w:p>
    <w:p>
      <w:pPr>
        <w:pStyle w:val="Heading2"/>
      </w:pPr>
      <w:bookmarkStart w:id="900243" w:name="_Toc300000242"/>
      <w:r>
        <w:t xml:space="preserve">Article 7.7: Release of Goods</w:t>
      </w:r>
      <w:bookmarkEnd w:id="900243"/>
    </w:p>
    <w:p>
      <w:pPr>
        <w:pStyle w:val="Normal"/>
      </w:pPr>
      <w:r>
        <w:t xml:space="preserve">1. Each Party shall adopt or maintain simplified customs procedures for the efficient release of goods in order to facilitate trade between the Parties. 2. Pursuant to paragraph 1, each Party shall adopt or maintain procedures that: (a) provide for the immediate release of goods upon receipt of the customs declaration and fulfillment of all applicable requirements and procedures; (b) provide for the electronic submission and processing of documentation and data, including manifests, in advance of the arrival of the goods in order to expedite the release of goods from customs control upon arrival; (c) allow goods to be released at the point of arrival without requiring temporary transfer to warehouses or other facilities; and (d) require that the importer be informed if a Party does not promptly release goods, including, to the extent permitted by its law, the reasons why the goods are not released and which border agency, if not the customs administration, has withheld release of the goods. 3.</w:t>
      </w:r>
    </w:p>
    <w:p>
      <w:pPr>
        <w:pStyle w:val="Normal"/>
      </w:pPr>
      <w:r>
        <w:t>Each Party shall adopt or maintain procedures that provide for the release of goods prior to a final determination and payment of any customs duties, taxes, fees, and charges imposed on or in connection with importation of the goods, when these are not determined prior to or promptly upon arrival, provided that the goods are otherwise eligible for release and any security required by the importing Party has been provided. 4.</w:t>
      </w:r>
    </w:p>
    <w:p>
      <w:pPr>
        <w:pStyle w:val="Normal"/>
      </w:pPr>
      <w:r>
        <w:t>If a Party allows for the release of goods conditioned on a security, it shall adopt or maintain procedures that: (a) ensure that the amount of the security is no greater than that required to ensure that obligations arising from the importation of the goods will be fulfilled; (b) ensure that the security shall be discharged as soon as possible after its customs administration is satisfied that the obligations arising from the importation of the goods have been fulfilled or, for instruments covering multiple entries, until it is no longer required by the customs administration; and (c) allow an importer to provide security using a non-cash financial instrument, including, if applicable, when an importer frequently enters goods, an instrument covering multiple entries. 5. Nothing in this Article requires a Party to release a good if its requirements for release have not been met nor prevents a Party from liquidating a security in accordance with its law. 6.</w:t>
      </w:r>
    </w:p>
    <w:p>
      <w:pPr>
        <w:pStyle w:val="Normal"/>
      </w:pPr>
      <w:r>
        <w:t>Each Party shall allow, to the extent practicable, goods intended for import to be moved within its territory under customs control from the point of entry into the Party’s territory to another customs office in its territory from where the goods are intended to be released, provided the applicable regulatory requirements are met.</w:t>
      </w:r>
    </w:p>
    <w:p>
      <w:pPr>
        <w:pStyle w:val="Heading2"/>
      </w:pPr>
      <w:bookmarkStart w:id="900244" w:name="_Toc300000243"/>
      <w:r>
        <w:t xml:space="preserve">Article 7.8: Express Shipments</w:t>
      </w:r>
      <w:bookmarkEnd w:id="900244"/>
    </w:p>
    <w:p>
      <w:pPr>
        <w:pStyle w:val="Normal"/>
      </w:pPr>
      <w:r>
        <w:t xml:space="preserve">1. Each Party shall adopt or maintain specific expedited customs procedures for express shipments while maintaining appropriate customs controls. These procedures shall: (a) provide for information required to release an express shipment to be submitted and processed before the shipment arrives; (b) allow a single submission of information, such as a manifest, covering all goods contained in an express shipment, through, if possible, electronic means; (c) expedite the release of these shipments based on, to the extent possible, minimum documentation or a single submission of information; (d) provide for these shipments, under normal circumstances, to be released immediately after arrival, provided that all required documentation and data are submitted;</w:t>
      </w:r>
    </w:p>
    <w:p>
      <w:pPr>
        <w:pStyle w:val="Normal"/>
      </w:pPr>
      <w:r>
        <w:t>(e) apply to shipments of any weight or value, recognizing that a Party may require formal entry procedures as a condition for release, including a declaration and supporting documentation and payment of customs duties, based on the good’s weight or value; and (f) provide that, under normal circumstances, no customs duties or taxes will be assessed at the time or point of importation or formal entry procedures required,2 on express shipments of a Party valued at or below a fixed amount set out under For greater certainty, this subparagraph shall not prevent a Party from requiring informal entry procedures, including applicable supporting documents.</w:t>
      </w:r>
    </w:p>
    <w:p>
      <w:pPr>
        <w:pStyle w:val="Normal"/>
      </w:pPr>
      <w:r>
        <w:t>the Party’s law, provided that the shipment does not form part of a series of shipments carried out or planned for the purpose of evading duties or taxes, or avoiding any regulation applicable to the formal entry procedures required by the importing Party. The fixed amount set out under the Party’s law shall be at least3: (i) for the United States, US$800, (ii) for Mexico, US$117 for customs duties and US$50 for taxes, and (iii) for Canada, C$150 for customs duties and C$40 for taxes. For these shipments, each Party shall allow for the periodic assessment and payment of duties and taxes applicable at the time or point of importation. 2.</w:t>
      </w:r>
    </w:p>
    <w:p>
      <w:pPr>
        <w:pStyle w:val="Normal"/>
      </w:pPr>
      <w:r>
        <w:t>Each Party shall adopt or maintain procedures that apply fewer customs formalities than those applied under formal entry procedures, to shipments valued at less than CAD$3,300 for Canada and US$2,500 for the United States and Mexico, provided that the shipments do not form part of a series of importations that may be reasonably considered to have been undertaken or arranged for the purpose of avoiding compliance by an importer with the importing Party’s laws, regulations, or procedures related to formal entry. 3. Nothing in this Article prevents a Party from requiring the necessary information and documents as a condition for the release of goods, and from assessing customs duties or taxes for restricted or controlled goods.</w:t>
      </w:r>
    </w:p>
    <w:p>
      <w:pPr>
        <w:pStyle w:val="Heading2"/>
      </w:pPr>
      <w:bookmarkStart w:id="900245" w:name="_Toc300000244"/>
      <w:r>
        <w:t xml:space="preserve">Article 7.9: Use of Information Technology</w:t>
      </w:r>
      <w:bookmarkEnd w:id="900245"/>
    </w:p>
    <w:p>
      <w:pPr>
        <w:pStyle w:val="Normal"/>
      </w:pPr>
      <w:r>
        <w:t xml:space="preserve">Each Party shall: (a) use information technology that expedites procedures for the release of goods; (b) make available by electronic means any declaration or other form that is required for import, export, or transit of goods through its territory; (c) allow a customs declaration and related documentation to be submitted in electronic format; Notwithstanding the amounts set out under this subparagraph, a Party may impose a reciprocal amount that is lower for shipments from another Party if the amount provided for under that other Party’s law is lower than that of the Party. (d) make electronic systems accessible to importers, exporters, persons engaged in the transit of goods through its territory, and other customs users in order to submit and receive information; (e) promote the use of its electronic systems to facilitate the communication between traders and its customs administration and other related agencies;</w:t>
      </w:r>
    </w:p>
    <w:p>
      <w:pPr>
        <w:pStyle w:val="Normal"/>
      </w:pPr>
      <w:r>
        <w:t>(f) adopt or maintain procedures allowing for the electronic payment of customs duties, taxes, fees, or charges imposed on or in connection with importation or exportation and collected by customs and other related agencies; (g) use electronic risk management systems in accordance with Article 7.12 (Risk Management); and (h) endeavor to allow an importer, through its electronic systems, to correct multiple import declarations previously submitted to the Party involving the same issue through a single submission.</w:t>
      </w:r>
    </w:p>
    <w:p>
      <w:pPr>
        <w:pStyle w:val="Heading2"/>
      </w:pPr>
      <w:bookmarkStart w:id="900246" w:name="_Toc300000245"/>
      <w:r>
        <w:t xml:space="preserve">Article 7.10: Single Window</w:t>
      </w:r>
      <w:bookmarkEnd w:id="900246"/>
    </w:p>
    <w:p>
      <w:pPr>
        <w:pStyle w:val="Normal"/>
      </w:pPr>
      <w:r>
        <w:t xml:space="preserve">1. Each Party shall establish or maintain a single window system that enables the electronic submission through a single entry point of the documentation and data the Party requires for importation into its territory. 2. Each Party shall review the operations of its single window system with a view to expanding its functionality to cover all its import, export, and transit transactions. 3. Each Party shall, in a timely manner, inform a person that is using its single window system of the status of the release of goods, through the single window system. 4. If a Party receives documentation or data for a good or shipment of goods through its single window system, the Party shall not request the same documentation or data for that good or shipment of goods, except in urgent circumstances or pursuant to other limited exceptions set out in its laws, regulations, or procedures. Each Party shall minimize the extent to which paper documents are required if electronic copies are provided. 5.</w:t>
      </w:r>
    </w:p>
    <w:p>
      <w:pPr>
        <w:pStyle w:val="Normal"/>
      </w:pPr>
      <w:r>
        <w:t>In building and maintaining its single window system, each Party shall: (a) incorporate, as appropriate, the World Customs Organization Data Model for data elements; (b) endeavor to implement standards and data elements for import, export, and transit that are the same as the other Parties’ single window system; and (c) on an ongoing basis, streamline its single window system, including by adding functionality to facilitate trade, improve transparency, and reduce release times and costs. 6. In implementing paragraph 5, the Parties shall: (a) share with each other their respective experiences in developing and maintaining their single window system; and (b) work towards a harmonization, to the extent possible, of data elements and customs processes that facilitate use of a single transmission of information to both the exporting and importing Party.</w:t>
      </w:r>
    </w:p>
    <w:p>
      <w:pPr>
        <w:pStyle w:val="Heading2"/>
      </w:pPr>
      <w:bookmarkStart w:id="900247" w:name="_Toc300000246"/>
      <w:r>
        <w:t xml:space="preserve">Article 7.11: Transparency, Predictability, and Consistency in Customs Procedures</w:t>
      </w:r>
      <w:bookmarkEnd w:id="900247"/>
    </w:p>
    <w:p>
      <w:pPr>
        <w:pStyle w:val="Normal"/>
      </w:pPr>
      <w:r>
        <w:t xml:space="preserve">1. Each Party shall apply its customs procedures related to the importation, exportation, and transit of goods in a manner that is transparent, predictable, and consistent throughout its territory. 2. Nothing in this Article prevents a Party from differentiating its import, export, and transit procedures, and documentation and data requirements: (a) based on the nature and type of goods, or their means of transport; (b) based on risk management; (c) to provide total or partial exemption to a good from customs duties, taxes, fees, or charges; (d) to allow electronic filing, processing or payment; or (e) in a manner consistent with Chapter 9 (Sanitary and Phytosanitary Measures) and the SPS Agreement. 3. Each Party shall review its import, export, and transit procedures, and documentation and data requirements, and, based on the results of the review, ensure, as appropriate, that these procedures and requirements are: (a) adopted and applied with a view to a rapid release of goods;</w:t>
      </w:r>
    </w:p>
    <w:p>
      <w:pPr>
        <w:pStyle w:val="Normal"/>
      </w:pPr>
      <w:r>
        <w:t>(b) adopted and applied in a manner that aims at reducing the time, administrative burden, and cost of compliance with those procedures and those documentation and data requirements; (c) the least trade restrictive, if two or more alternative measures are reasonably available to fulfil the Party’s policy objectives; and (d) not maintained, including parts thereof, if no longer required to fulfil the Party’s policy</w:t>
      </w:r>
    </w:p>
    <w:p>
      <w:pPr>
        <w:pStyle w:val="Normal"/>
      </w:pPr>
      <w:r>
        <w:t>objectives. 4. If a Party holds the original paper version of a document submitted for the importation into, exportation from, or transit through its territory, the Party shall not require an additional submission of the same document. 5. Each Party shall take into consideration, to the extent practicable and appropriate, relevant international standards and international trade instruments for the development of its customs procedures related to the importation, exportation and transit of goods. 6. Each Party shall adopt or maintain measures with a view to ensuring consistency and predictability for traders throughout its territory in the application of its customs procedures, including determinations on tariff classification and customs valuation of goods. These measures may include training of customs officials or issuing documents that serve to guide customs officials. If an inconsistency in the application of its customs procedures, including determinations on tariff classification or customs valuation of goods, is discovered, the Party shall seek to resolve the inconsistency, if practicable.</w:t>
      </w:r>
    </w:p>
    <w:p>
      <w:pPr>
        <w:pStyle w:val="Heading2"/>
      </w:pPr>
      <w:bookmarkStart w:id="900248" w:name="_Toc300000247"/>
      <w:r>
        <w:t xml:space="preserve">Article 7.12: Risk Management</w:t>
      </w:r>
      <w:bookmarkEnd w:id="900248"/>
    </w:p>
    <w:p>
      <w:pPr>
        <w:pStyle w:val="Normal"/>
      </w:pPr>
      <w:r>
        <w:t xml:space="preserve">1. Each Party shall maintain a risk management system for assessment and targeting that enables its customs administration, and other agencies involved in the process for cross border trade, to focus inspection activities on high-risk goods and that simplifies the release and movement of low-risk goods. 2. Each Party shall base risk management on assessment of risk through appropriate selectivity criteria. 3. Each Party shall design and apply risk management in a manner as to avoid arbitrary or unjustifiable discrimination, or disguised restrictions on international trade. 4. In order to facilitate trade, each Party shall periodically review and update, as appropriate, its risk management system. 5. The Parties shall work towards strengthening their respective assessment of risk through improvements in compatibility of risk analysis and risk targeting systems, as appropriate.</w:t>
      </w:r>
    </w:p>
    <w:p>
      <w:pPr>
        <w:pStyle w:val="Heading2"/>
      </w:pPr>
      <w:bookmarkStart w:id="900249" w:name="_Toc300000248"/>
      <w:r>
        <w:t xml:space="preserve">Article 7.13: Post-Clearance Audit</w:t>
      </w:r>
      <w:bookmarkEnd w:id="900249"/>
    </w:p>
    <w:p>
      <w:pPr>
        <w:pStyle w:val="Normal"/>
      </w:pPr>
      <w:r>
        <w:t xml:space="preserve">1. With a view to expediting the release of goods, each Party shall adopt or maintain post- clearance audit to ensure compliance with its customs and related laws and regulations. 2. Each Party shall conduct post-clearance audits in a risk-based manner. 3. Each Party shall conduct post-clearance audits in a transparent manner. If an audit is conducted and conclusive results have been achieved, the Party shall, without delay, notify the person whose records are audited of the audit results, the basis of the results, and the audited person’s rights and obligations. 4. The Parties acknowledge that the information obtained in a post-clearance audit may be used in further administrative, quasi-judicial, or judicial proceedings. 5. Each Party shall, whenever practicable, use the result of post-clearance audit in applying risk management. 6. Each Party shall conduct a post-clearance audit in a manner that informs the trader with respect to laws, regulations, and procedures and promotes future compliance. 7. Each Party shall provide in its laws or regulations a fixed and finite period with respect to record-keeping obligations.</w:t>
      </w:r>
    </w:p>
    <w:p>
      <w:pPr>
        <w:pStyle w:val="Heading2"/>
      </w:pPr>
      <w:bookmarkStart w:id="900250" w:name="_Toc300000249"/>
      <w:r>
        <w:t xml:space="preserve">Article 7.14: Authorized Economic Operator – AEO</w:t>
      </w:r>
      <w:bookmarkEnd w:id="900250"/>
    </w:p>
    <w:p>
      <w:pPr>
        <w:pStyle w:val="Normal"/>
      </w:pPr>
      <w:r>
        <w:t xml:space="preserve">1. Each Party shall maintain a trade facilitation partnership program for operators who meet specified security criteria, hereinafter, referred to as Authorized Economic Operator (AEO) programs, in accordance with the Framework of Standards to Secure and Facilitate Global Trade of the World Customs Organization. 2. The Parties shall endeavor to cooperate by: (a) exchanging experiences on the operation of and improvements to their respective AEO programs, seeking to adopt, if appropriate, best practices; (b) exchanging information with each other on the operators authorized by each program, in accordance with each Party’s law and established processes; and (c) collaborating in the identification and implementation of trade facilitation benefits for operators authorized by the other Parties.</w:t>
      </w:r>
    </w:p>
    <w:p>
      <w:pPr>
        <w:pStyle w:val="Heading2"/>
      </w:pPr>
      <w:bookmarkStart w:id="900251" w:name="_Toc300000250"/>
      <w:r>
        <w:t xml:space="preserve">Article 7.15: Review and Appeal of Customs Determinations</w:t>
      </w:r>
      <w:bookmarkEnd w:id="900251"/>
    </w:p>
    <w:p>
      <w:pPr>
        <w:pStyle w:val="Normal"/>
      </w:pPr>
      <w:r>
        <w:t xml:space="preserve">1. With a view to providing effective, impartial, and easily accessible procedures for review and appeal of administrative determinations on customs matters, each Party shall ensure that any person to whom a customs administration issues a determination has access to: (a) an administrative appeal or a review of the determination by an administrative authority higher than or independent of the employee or office that issued the determination; and (b) a quasi-judicial or judicial review or appeal of the determination or decision made at the final level of an administrative review. 2. Each Party shall provide a person to whom it issues an administrative determination with the reasons for the administrative determination and access to information on how to request reviews and appeals. 3. Each Party shall ensure that an authority conducting a review or appeal under paragraph 1 notifies the person in writing of its determination or decision in the review or appeal, and the reasons for the determination or decision. 4.</w:t>
      </w:r>
    </w:p>
    <w:p>
      <w:pPr>
        <w:pStyle w:val="Normal"/>
      </w:pPr>
      <w:r>
        <w:t>Each Party shall ensure that if a person receives a determination or decision on an administrative, quasi-judicial, or judicial review or appeal as provided under paragraph 1, that determination or decision shall be applicable in the same manner throughout the territory of the Party with respect to that person. 5.</w:t>
      </w:r>
    </w:p>
    <w:p>
      <w:pPr>
        <w:pStyle w:val="Normal"/>
      </w:pPr>
      <w:r>
        <w:t>With a view to ensuring predictability for traders and consistent application of its customs laws, regulations, and procedural requirements, each Party is encouraged to apply determinations or decisions of administrative, quasi-judicial, and judicial authorities under paragraph 1 to the practices of its customs administration throughout its territory. 6. Each Party shall endeavor to allow a trader to file a request for administrative review or appeal to be conducted by the customs administration through electronic means.</w:t>
      </w:r>
    </w:p>
    <w:p>
      <w:pPr>
        <w:pStyle w:val="Heading2"/>
      </w:pPr>
      <w:bookmarkStart w:id="900252" w:name="_Toc300000251"/>
      <w:r>
        <w:t xml:space="preserve">Article 7.16: Administrative Guidance</w:t>
      </w:r>
      <w:bookmarkEnd w:id="900252"/>
    </w:p>
    <w:p>
      <w:pPr>
        <w:pStyle w:val="Normal"/>
      </w:pPr>
      <w:r>
        <w:t xml:space="preserve">1. Each Party shall adopt or maintain an administrative procedure by which a customs office in its territory may request the appropriate authority of the customs administration to provide guidance as to the proper application of laws, regulations, and procedures for importation into, exportation from, or transit through its territory with respect to a specific customs transaction, regardless of whether the transaction is prospective, pending, or has been completed. A customs office shall request guidance under this administrative procedure on its own initiative or at the written request of an importer or exporter in its territory, or a representative thereof. 2. The appropriate authority of a Party shall provide guidance in response to a request under paragraph 1 if the customs treatment applied or proposed to be applied by the customs office to the transaction is inconsistent with the customs treatment provided with respect to transactions that are identical in all material respects, including by another customs office in the territory of the Party. 3. Each Party shall make available to the public on a free, publicly accessible website the procedures, including any forms, for requesting guidance under paragraph 1. 4.</w:t>
      </w:r>
    </w:p>
    <w:p>
      <w:pPr>
        <w:pStyle w:val="Normal"/>
      </w:pPr>
      <w:r>
        <w:t>Each Party shall allow an importer or exporter to whom a request under paragraph 1 relates an opportunity to submit written views and information to the appropriate authority of the customs administration before it issues guidance in response to a request. 5. Guidance in response to a request under paragraph 1 shall be taken into account by the customs office with respect to the transaction that is the subject of the request, provided that there is not a ruling or determination issued on the transaction and the facts and circumstances remain the same. 6. Nothing in this Article requires the appropriate authority of the customs administration to provide guidance on transactions for which a determination has been made, or for which a determination has been applied consistently throughout its territory; on transactions for which a determination is pending; if an importer or exporter has requested a ruling or has received a ruling that has been applied consistently throughout its territory; or on transactions for which a determination or ruling is being reviewed.</w:t>
      </w:r>
    </w:p>
    <w:p>
      <w:pPr>
        <w:pStyle w:val="Heading2"/>
      </w:pPr>
      <w:bookmarkStart w:id="900253" w:name="_Toc300000252"/>
      <w:r>
        <w:t xml:space="preserve">Article 7.17: Transit</w:t>
      </w:r>
      <w:bookmarkEnd w:id="900253"/>
    </w:p>
    <w:p>
      <w:pPr>
        <w:pStyle w:val="Normal"/>
      </w:pPr>
      <w:r>
        <w:t xml:space="preserve">1. Goods (including baggage), and also vessels and other means of transport, shall be deemed to be in transit across the territory of a Party when the passage across the territory, with or without trans-shipment, warehousing, breaking bulk, or change in the mode of transport, is only a portion of a complete journey beginning and terminating beyond the frontier of the Party across whose territory the traffic passes. Traffic of this nature is termed for purposes of this Article as “traffic in transit.” 2. This Article does not apply to the operation of aircraft in transit, but applies to air transit of goods (including baggage). 3. Each Party’s formalities, documentation requirements, and customs controls in connection with traffic in transit shall not be more burdensome than necessary to: (a) identify the goods in transit; and (b) ensure that the Party’s transit requirements have been met. 4.</w:t>
      </w:r>
    </w:p>
    <w:p>
      <w:pPr>
        <w:pStyle w:val="Normal"/>
      </w:pPr>
      <w:r>
        <w:t>After a Party has authorized the goods to proceed from the point of entry through a Party’s territory, the Party shall not apply customs charges or customs procedures, or conduct inspections, other than those necessary for specific law enforcement purposes under its law with respect to that traffic in transit, until the goods arrive at the point of exit from its territory. 5. Each Party shall provide for advance filing and processing of documentation and data required for transit prior to the arrival of goods. 6.</w:t>
      </w:r>
    </w:p>
    <w:p>
      <w:pPr>
        <w:pStyle w:val="Normal"/>
      </w:pPr>
      <w:r>
        <w:t>Once traffic in transit has reached the point of exit from the territory of a Party and transit requirements have been met, the Party shall promptly terminate the transit operation. 7. A Party may require a guarantee or other security for traffic in transit, provided the use of the guarantee is limited to ensuring that obligations arising from such traffic in transit are fulfilled. 8. If a guarantee covers a transit operation, a Party shall allow use of a comprehensive guarantee that covers multiple transactions by the same operator. 9. If a Party requires a guarantee for traffic in transit, it shall discharge the guarantee without delay once it determines that its transit requirements have been satisfied. 10. Each Party shall publish information on how it sets the amount of a guarantee for traffic in transit. 11. If a Party limits the time for transiting its territory, it shall ensure that the time it allows is sufficient to accomplish the transit operation. 12. A Party shall not require the use of customs convoys or customs escorts for traffic in transit.</w:t>
      </w:r>
    </w:p>
    <w:p>
      <w:pPr>
        <w:pStyle w:val="Normal"/>
      </w:pPr>
      <w:r>
        <w:t xml:space="preserve">13. Each Party shall allow goods moving in transit to be imported into its territory provided the goods and appropriate information are presented to its customs administration and that the goods fulfil all applicable requirements for release under its law.</w:t>
      </w:r>
    </w:p>
    <w:p>
      <w:pPr>
        <w:pStyle w:val="Heading2"/>
      </w:pPr>
      <w:bookmarkStart w:id="900254" w:name="_Toc300000253"/>
      <w:r>
        <w:t xml:space="preserve">Article: 7.18: Penalties</w:t>
      </w:r>
      <w:bookmarkEnd w:id="900254"/>
    </w:p>
    <w:p>
      <w:pPr>
        <w:pStyle w:val="Normal"/>
      </w:pPr>
      <w:r>
        <w:t xml:space="preserve">1.</w:t>
      </w:r>
    </w:p>
    <w:p>
      <w:pPr>
        <w:pStyle w:val="Normal"/>
      </w:pPr>
      <w:r>
        <w:t>Each Party shall adopt or maintain measures that allow for the imposition of a penalty by a Party’s customs administration for breach of its customs laws, regulations, or procedural requirements, including those governing tariff classification, customs valuation, transit procedures, country of origin, or claims for preferential treatment. Each Party shall ensure that such measures are administered in a uniform manner throughout its territory. 2. Each Party shall ensure that a penalty imposed by its customs administration for a breach of its customs laws, regulations, or procedural requirements is imposed only on the person legally responsible for the breach. 3. Each Party shall ensure that any penalty imposed by its customs administration for breach of its customs laws, regulations, or procedural requirements depends on the facts and circumstances of the case, including any previous breaches by the person receiving the penalty, and be commensurate with the degree and severity of the breach. 4.</w:t>
      </w:r>
    </w:p>
    <w:p>
      <w:pPr>
        <w:pStyle w:val="Normal"/>
      </w:pPr>
      <w:r>
        <w:t>Each Party shall provide that a clerical or minor error in a customs transaction, as set forth in its laws, regulations or procedures, published in accordance with Article 7.2 (Online Publication), shall not be treated as a breach of customs laws, regulations, or procedural requirements, and may be corrected without assessment of a penalty, unless the error is part of a consistent pattern of such errors by that person. 5.</w:t>
      </w:r>
    </w:p>
    <w:p>
      <w:pPr>
        <w:pStyle w:val="Normal"/>
      </w:pPr>
      <w:r>
        <w:t>Each Party shall adopt or maintain measures to avoid conflicts of interest in the assessment and collection of penalties and duties. No portion of the remuneration of a government official shall be calculated as a fixed portion or percentage of any penalties or duties assessed or collected. 6. Each Party shall ensure that when its customs administration imposes a penalty for a breach of its customs laws, regulations, or procedural requirements, it provides an explanation in writing to the person on whom the penalty is imposed, specifying the nature of the breach, including the specific law, regulation, or procedural requirement concerned, and the basis for determining the penalty amount if not set forth specifically in the law, regulation, or procedural requirement. 7.</w:t>
      </w:r>
    </w:p>
    <w:p>
      <w:pPr>
        <w:pStyle w:val="Normal"/>
      </w:pPr>
      <w:r>
        <w:t>Each Party shall provide that a person may correct an error in a customs transaction that is a potential breach of a customs law, regulation, or procedural requirement, excluding fraud, prior to the discovery of the error by the Party, if the person does so in accordance with the Party’s laws, regulations, or procedures, and pays any owed customs duties, taxes, fees, and charges, including interest. The correction shall include the identification of the transaction and circumstances of the error. The Party shall not use this error to assess a penalty for a breach of a customs law, regulation, or procedural requirement. 8.</w:t>
      </w:r>
    </w:p>
    <w:p>
      <w:pPr>
        <w:pStyle w:val="Normal"/>
      </w:pPr>
      <w:r>
        <w:t>Each Party shall specify a fixed, finite period within which it may initiate penalty proceedings in connection with a breach of a customs law, regulation, or procedural requirement.</w:t>
      </w:r>
    </w:p>
    <w:p>
      <w:pPr>
        <w:pStyle w:val="Heading2"/>
      </w:pPr>
      <w:bookmarkStart w:id="900255" w:name="_Toc300000254"/>
      <w:r>
        <w:t xml:space="preserve">Article 7.19: Standards of Conduct</w:t>
      </w:r>
      <w:bookmarkEnd w:id="900255"/>
    </w:p>
    <w:p>
      <w:pPr>
        <w:pStyle w:val="Normal"/>
      </w:pPr>
      <w:r>
        <w:t xml:space="preserve">1. Further to Article 7.18 (Penalties) and Article 27.4 (Promoting Integrity among Public Officials), each Party shall adopt or maintain measures to deter its customs officials from engaging in any action that would result in, or that reasonably creates the appearance of, use of their public service position for private gain, including any monetary benefit. 2. Each Party shall provide a mechanism for importers, exporters, carriers, customs brokers and other stakeholders to submit complaints regarding perceived improper or corrupt behavior in its territory, including at ports of entry and other customs offices, of its customs administration personnel. Each Party shall take appropriate action on a complaint in a timely manner in accordance with its laws, regulations, or procedures.</w:t>
      </w:r>
    </w:p>
    <w:p>
      <w:pPr>
        <w:pStyle w:val="Heading2"/>
      </w:pPr>
      <w:bookmarkStart w:id="900256" w:name="_Toc300000255"/>
      <w:r>
        <w:t xml:space="preserve">Article 7.20: Customs Brokers</w:t>
      </w:r>
      <w:bookmarkEnd w:id="900256"/>
    </w:p>
    <w:p>
      <w:pPr>
        <w:pStyle w:val="Normal"/>
      </w:pPr>
      <w:r>
        <w:t xml:space="preserve">1. Each Party shall allow an importer and any other person it deems appropriate, in accordance with its laws and regulations, to self-file a customs declaration and other import or transit documentation without the services of a customs broker. For the purposes of electronic filing, self-filing shall include direct access or access through a service provider, to electronic systems for filing and transmitting customs declarations and other import or transit documentation. Each Party shall ensure that access to the electronic systems is available for self- filers on a non-discriminatory basis relative to other categories of users. 2. If a Party establishes requirements for qualifications, licensing, or registration to be a customs broker or to provide customs broker services, the Party shall ensure that the requirements are transparent, based on objective criteria related to providing customs broker services, promote integrity and professionalism among customs brokers, and are administered uniformly in its territory. 3. No Party shall impose arbitrary limits to the number of ports or locations at which a customs broker may operate.</w:t>
      </w:r>
    </w:p>
    <w:p>
      <w:pPr>
        <w:pStyle w:val="Normal"/>
      </w:pPr>
      <w:r>
        <w:t>A Party shall allow a licensed customs broker to electronically submit a customs declaration and import documentation to the electronic systems referred to in paragraph 1, at any port at which it is licensed to operate in accordance with the preceding sentence.</w:t>
      </w:r>
    </w:p>
    <w:p>
      <w:pPr>
        <w:pStyle w:val="Heading2"/>
      </w:pPr>
      <w:bookmarkStart w:id="900257" w:name="_Toc300000256"/>
      <w:r>
        <w:t xml:space="preserve">Article 7.21: Border Inspections</w:t>
      </w:r>
      <w:bookmarkEnd w:id="900257"/>
    </w:p>
    <w:p>
      <w:pPr>
        <w:pStyle w:val="Normal"/>
      </w:pPr>
      <w:r>
        <w:t xml:space="preserve">1. The Parties shall cooperate with each other, as appropriate, with a view to facilitating trade through the promotion of efficient and effective processing of imports and exports through their ports of entry. 2. Each Party shall ensure that its customs administration and other relevant agencies that examine goods, conveyances, or instruments of international traffic, carry out examinations with appropriate coordination and, to the extent practicable, simultaneously within a single location, with a view to releasing goods and allowing conveyances and instruments of international traffic to enter its territory in a timely manner and immediately after the examinations have been completed, provided that all regulatory requirements have been met. 3. Pursuant to paragraphs 1 and 2, each Party is encouraged to develop and implement standard operating procedures amongst its customs administration and relevant agencies that examine goods, conveyances, or instruments of international traffic. If practicable, each Party is encouraged to adapt their border facilities to carry out the examinations specified in paragraph 2. 4.</w:t>
      </w:r>
    </w:p>
    <w:p>
      <w:pPr>
        <w:pStyle w:val="Normal"/>
      </w:pPr>
      <w:r>
        <w:t>As appropriate, the Parties shall coordinate to develop procedures or facilities adjacent to ports of entry for the efficient movement of goods the processing of which requires specific accommodations with respect to facilities or examination. 5.</w:t>
      </w:r>
    </w:p>
    <w:p>
      <w:pPr>
        <w:pStyle w:val="Normal"/>
      </w:pPr>
      <w:r>
        <w:t>Nothing in this Article requires a Party to provide services for the examination and release of goods for all types of goods at all ports of entry within its territory.</w:t>
      </w:r>
    </w:p>
    <w:p>
      <w:pPr>
        <w:pStyle w:val="Heading2"/>
      </w:pPr>
      <w:bookmarkStart w:id="900258" w:name="_Toc300000257"/>
      <w:r>
        <w:t xml:space="preserve">Article 7.22: Protection of Trader Information</w:t>
      </w:r>
      <w:bookmarkEnd w:id="900258"/>
    </w:p>
    <w:p>
      <w:pPr>
        <w:pStyle w:val="Normal"/>
      </w:pPr>
      <w:r>
        <w:t xml:space="preserve">1. Each Party’s customs administration shall apply measures governing the collection, protection, use, disclosure, retention, correction, and disposal of information that it collects from traders. 2. Each Party’s customs administration shall protect, in accordance with its law, confidential information from use or disclosure that could prejudice the competitive position of the trader to whom the confidential information relates. 3. Notwithstanding paragraph 2, a Party may use or disclose confidential information but only for the purposes of administration or enforcement of its customs laws or as otherwise provided under the Party’s law, including in an administrative, quasi-judicial, or judicial proceeding. 4. If confidential information is used or disclosed other than in accordance with this Article, the Party shall address the incident, in accordance with its laws, regulations, or procedures, and strive to prevent a reoccurrence.</w:t>
      </w:r>
    </w:p>
    <w:p>
      <w:pPr>
        <w:pStyle w:val="Heading2"/>
      </w:pPr>
      <w:bookmarkStart w:id="900259" w:name="_Toc300000258"/>
      <w:r>
        <w:t xml:space="preserve">Article 7.23: Customs Initiatives for Trade Facilitation</w:t>
      </w:r>
      <w:bookmarkEnd w:id="900259"/>
    </w:p>
    <w:p>
      <w:pPr>
        <w:pStyle w:val="Normal"/>
      </w:pPr>
      <w:r>
        <w:t xml:space="preserve">1. The Parties shall cooperate in the development and implementation of customs initiatives related to the trade facilitation measures described in this Section, as well as on other trade facilitation initiatives. 2. This cooperation may include information sharing or collaboration with respect to: (a) best practices on the implementation of customs procedures; (b) the management of customs and trade compliance measures; (c) engagement between the customs administrations at the operational level to address issues related to regular cross-border operations and to resolve specific cases, including pending shipments; (d) the development and implementation of procedures to facilitate cross border trade and improve customs operations related to the movement, release, and clearance of goods; (e) the harmonization of cargo manifest data requirements in each mode of transportation; (f) the implementation of programs designed to facilitate the movement of goods through their ports of entry, including, if feasible, alignment of hours of service, joint customs inspections, and the use of shared facilities; and (g) the design, development, and construction of ports of entry located at their common borders.</w:t>
      </w:r>
    </w:p>
    <w:p>
      <w:pPr>
        <w:pStyle w:val="Heading2"/>
      </w:pPr>
      <w:bookmarkStart w:id="900260" w:name="_Toc300000259"/>
      <w:r>
        <w:t xml:space="preserve">Article 7.24: Committee on Trade Facilitation</w:t>
      </w:r>
      <w:bookmarkEnd w:id="900260"/>
    </w:p>
    <w:p>
      <w:pPr>
        <w:pStyle w:val="Normal"/>
      </w:pPr>
      <w:r>
        <w:t xml:space="preserve">1. The Parties hereby establish a Committee on Trade Facilitation (Trade Facilitation Committee), composed of government representatives of each Party. 2. The Trade Facilitation Committee shall: (a) facilitate the exchange of information among the Parties with respect to their respective experiences regarding the development and implementation of a single window including information regarding each Party’s participating border agencies and the automation of its forms, documents, and procedures; (b) facilitate the exchange of information among the Parties regarding the formulation and implementation of, and experiences under, each Party’s low-risk trader programs, including their AEO programs; (c) provide a forum for the sharing of views on individual cases involving questions of tariff classification, customs valuation, other customs treatments, or emerging industry trends and issues, with a view to reconciling inconsistencies, supporting a competitive business environment, or otherwise facilitating trade and investment among the Parties; (d) facilitate the exchange of information among the Parties regarding the formulation and implementation of, and experiences with, each Party’s measures that promote voluntary compliance by traders;</w:t>
      </w:r>
    </w:p>
    <w:p>
      <w:pPr>
        <w:pStyle w:val="Normal"/>
      </w:pPr>
      <w:r>
        <w:t>(e) providing a forum for the Parties to consult and endeavor to resolve issues relating to this Chapter, including, as appropriate, in coordination or jointly with other committees or other</w:t>
      </w:r>
    </w:p>
    <w:p>
      <w:pPr>
        <w:pStyle w:val="Normal"/>
      </w:pPr>
      <w:r>
        <w:t>subsidiary bodies established under this Agreement; (f) review international initiatives on trade facilitation; (g) identify initiatives for joint action by their respective customs administrations, in cases where joint action could facilitate trade among the Parties, and taking into account priorities and experiences of their customs administrations; (h) discuss technical assistance and support for capacity building to enhance the impact of trade facilitation measures for traders, and in particular to identify priorities for this assistance and support among their customs administrations and outside North America; and (i) engage in other activities as the Parties may decide. 3. The Trade Facilitation Committee shall meet within one year of the date of entry into force of this Agreement, and thereafter at such times as the Parties decide. 4. The Parties are encouraged to provide opportunities for persons to provide input to each Party’s representative to the Trade Facilitation Committee on matters relevant to the Committee’s work, such as through the mechanism described in Article 7.3 (Communication with Traders). Section B: Cooperation and Enforcement</w:t>
      </w:r>
    </w:p>
    <w:p>
      <w:pPr>
        <w:pStyle w:val="Heading2"/>
      </w:pPr>
      <w:bookmarkStart w:id="900261" w:name="_Toc300000260"/>
      <w:r>
        <w:t xml:space="preserve">Article 7.25: Regional and Bilateral Cooperation on Enforcement</w:t>
      </w:r>
      <w:bookmarkEnd w:id="900261"/>
    </w:p>
    <w:p>
      <w:pPr>
        <w:pStyle w:val="Normal"/>
      </w:pPr>
      <w:r>
        <w:t xml:space="preserve">1. The Parties agree to strengthen and expand their customs and trade enforcement efforts and cooperation as set out in this Section. In these efforts, the Parties may use any applicable mechanism, including bilateral cooperation mechanisms. 2. Each Party shall, in accordance with its laws and regulations, cooperate with other Parties for the purposes of enforcing or assisting in the enforcement of their respective measures concerning customs offenses in the trade in goods between the Parties, including ensuring the accuracy of claims for preferential tariff treatment under this Agreement. 3. With a view to facilitating the effective operation of this Agreement, each Party shall: (a) encourage cooperation with the other Parties regarding customs issues that affect goods traded between the Parties; and (b) endeavor to provide the other Parties with advance notice of any significant administrative change, modification of a law or regulation, or other measure related to its laws or regulations that governs importations, exportations, or transit procedures that is likely to substantially affect the operation of this Agreement or likely to affect the effective implementation and enforcement of the customs and trade laws and regulations of a Party. 4.</w:t>
      </w:r>
    </w:p>
    <w:p>
      <w:pPr>
        <w:pStyle w:val="Normal"/>
      </w:pPr>
      <w:r>
        <w:t>Each Party shall take appropriate measures, such as legislative, administrative, or judicial actions for enforcement of its laws, regulations, and procedures related to customs offenses, to enhance coordination between its customs administration and other relevant agencies and for cooperation with another Party. 5. The measures under paragraph 4 may include: (a) specific measures, such as enforcement actions to detect, prevent, or address customs offenses, especially on identified customs priorities, taking into account trade data, including patterns of imports, exports, or transit goods to identify potential or real sources of these offenses; (b) adopting or maintaining penalties aimed at deterring or penalizing customs offenses; and (c) providing a Party’s government officials with the legal authority to meet its enforcement obligations under this Agreement. 6. The Parties shall, subject to their respective laws, regulations and procedures, cooperate by sharing information, including exchanging historical data and if practicable and appropriate, data in real time with respect to imports, exports, and transit of goods to identify potential or real sources of customs offenses, especially on priority initiatives or industry sectors. Each Party shall identify and maintain the capability for the secure exchange of customs data with another Party. 7.</w:t>
      </w:r>
    </w:p>
    <w:p>
      <w:pPr>
        <w:pStyle w:val="Normal"/>
      </w:pPr>
      <w:r>
        <w:t>Each Party shall, whenever practicable, and subject to its laws and regulations, provide another Party with information that has come to its attention that it believes would assist the receiving Party in detecting, preventing, or addressing potential or real customs offenses in particular those related to unlawful activities, including duty evasion, smuggling, and similar infractions. Such information may include specific data on any person suspected to be involved in unlawful activity, the mode of transportation, other relevant information, and the results of enforcement actions, application of penalties, or unusual trade patterns, both collected directly by the providing Party and received from other sources. 8. The Parties shall endeavor to cooperate, subject to their laws, regulations, and procedures, bilaterally or trilaterally, as appropriate, by developing customs enforcement initiatives, which may include the creation of task forces, joint or coordinated data analysis, and identification of special monitoring measures and other actions, to prevent, deter, and address customs offenses, particularly with respect to priorities of mutual concern.</w:t>
      </w:r>
    </w:p>
    <w:p>
      <w:pPr>
        <w:pStyle w:val="Heading2"/>
      </w:pPr>
      <w:bookmarkStart w:id="900262" w:name="_Toc300000261"/>
      <w:r>
        <w:t xml:space="preserve">Article 7.26: Exchange of Specific Confidential Information</w:t>
      </w:r>
      <w:bookmarkEnd w:id="900262"/>
    </w:p>
    <w:p>
      <w:pPr>
        <w:pStyle w:val="Normal"/>
      </w:pPr>
      <w:r>
        <w:t xml:space="preserve">1. For the purposes of enforcing or assisting in the enforcement of its respective measures concerning customs offenses, a Party may request that another Party provide specific confidential information that is normally collected in connection with the importation, exportation, or transit of a good if the requesting Party has relevant facts indicating that a customs offense is occurring or is likely to occur. 2. A request under paragraph 1 shall be made in writing, electronically, or through another means that allows for the acknowledgement of receipt, and shall include a brief statement of the matter at issue, the information requested, the relevant facts indicating that a customs offense is occurring or is likely to occur, and sufficient information for the Party that receives a request to respond in accordance with its laws and regulations. 3. The Party that receives a request under paragraph 1 shall, subject to its laws, regulations, procedures, or other legal obligations, provide to the requesting Party a written response containing the requested information held by the Party as soon as practicable. 4. A Party may provide information under this Article in paper or electronic format. 5.</w:t>
      </w:r>
    </w:p>
    <w:p>
      <w:pPr>
        <w:pStyle w:val="Normal"/>
      </w:pPr>
      <w:r>
        <w:t>In order to facilitate the rapid and secure exchange of information, each Party shall designate or maintain a contact point for cooperation under this Section in accordance with Article 30.5 (Agreement Coordinator and Contact Points). 6. For the purposes of paragraph 1, relevant facts indicating that a customs offense is occurring or is likely to occur means historical evidence of non-compliance with laws or regulations, or other information that the requesting Party and the Party from which the information is requested agree is sufficient in the context of a particular request.</w:t>
      </w:r>
    </w:p>
    <w:p>
      <w:pPr>
        <w:pStyle w:val="Heading2"/>
      </w:pPr>
      <w:bookmarkStart w:id="900263" w:name="_Toc300000262"/>
      <w:r>
        <w:t xml:space="preserve">Article 7.27: Customs Compliance Verification Requests</w:t>
      </w:r>
      <w:bookmarkEnd w:id="900263"/>
    </w:p>
    <w:p>
      <w:pPr>
        <w:pStyle w:val="Normal"/>
      </w:pPr>
      <w:r>
        <w:t xml:space="preserve">1. A Party may request another Party to conduct a verification in that Party’s territory to assist the requesting Party to determine whether a customs offence is occurring or has occurred by obtaining information, including documents, from an exporter or producer. The requesting Party shall make the request in writing. The requested Party shall respond to the request promptly and in no case later than 30 days after the date it receives the request. The response will include whether it will conduct the verification. If the Party does not intend to conduct the verification, the response will indicate the basis for refusal. If a Party will conduct the verification, the response will indicate the intended timing and other relevant details. 2. If the requested Party conducts a verification under paragraph 1, it shall provide the requesting Party promptly upon completing the verification a report containing the relevant information including data and documents, obtained during its verification. 3.</w:t>
      </w:r>
    </w:p>
    <w:p>
      <w:pPr>
        <w:pStyle w:val="Normal"/>
      </w:pPr>
      <w:r>
        <w:t>In the case of a site visit by the requested Party, the requesting Party may, through officials it designates and subject to the consent of a legally responsible person for the location visited, accompany the requested Party. Accompanying the requested Party does not create any legal authority for the designated officials of the requesting Party.</w:t>
      </w:r>
    </w:p>
    <w:p>
      <w:pPr>
        <w:pStyle w:val="Normal"/>
      </w:pPr>
      <w:r>
        <w:t>The designated officials of the requesting Party shall fulfill the conditions and procedures mutually agreed between the relevant Parties for the visit. Nothing in this Agreement requires the requested Party to allow or facilitate the participation of the designated officials of the requesting Party.</w:t>
      </w:r>
    </w:p>
    <w:p>
      <w:pPr>
        <w:pStyle w:val="Heading2"/>
      </w:pPr>
      <w:bookmarkStart w:id="900264" w:name="_Toc300000263"/>
      <w:r>
        <w:t xml:space="preserve">Article 7.28: Confidentiality between Parties</w:t>
      </w:r>
      <w:bookmarkEnd w:id="900264"/>
    </w:p>
    <w:p>
      <w:pPr>
        <w:pStyle w:val="Normal"/>
      </w:pPr>
      <w:r>
        <w:t xml:space="preserve">1. If a Party provides information to another Party in accordance with this Section and designates the information as confidential or is confidential under the receiving Party’s law, the receiving Party shall keep the information confidential in accordance with its law. 2. A Party may decline to provide information requested by another Party if that Party has failed to act in accordance with paragraph 1. 3. A Party may use or disclose confidential information received from another Party under this Section but only for the purposes of administration or enforcement of its customs laws or as otherwise provided under the Party’s law, including in an administrative, quasi-judicial, or judicial proceeding.</w:t>
      </w:r>
    </w:p>
    <w:p>
      <w:pPr>
        <w:pStyle w:val="Heading2"/>
      </w:pPr>
      <w:bookmarkStart w:id="900265" w:name="_Toc300000264"/>
      <w:r>
        <w:t xml:space="preserve">Article 7.29: Sub-Committee on Customs Enforcement</w:t>
      </w:r>
      <w:bookmarkEnd w:id="900265"/>
    </w:p>
    <w:p>
      <w:pPr>
        <w:pStyle w:val="Normal"/>
      </w:pPr>
      <w:r>
        <w:t xml:space="preserve">1. The Parties hereby establish a Sub-Committee on Customs Enforcement (Customs Enforcement Sub-Committee), composed of government representatives of each Party, to address issues related to potential or real customs offenses. 2. The Customs Enforcement Sub-Committee shall: (a) work to identify regional priorities of mutual concern and programs for detecting, preventing, and addressing duty evasion and other customs offenses; (b) identify and discuss opportunities for the exchange of customs and trade information or data among the Parties that facilitates detecting, preventing, and addressing customs offenses; (c) provide a forum to discuss proposed customs enforcement initiatives, including by identifying areas of coordination and cooperation, as appropriate, especially those related to detecting, preventing, and addressing customs offenses; (d) facilitate the exchange of information of best practices on customs enforcement and in managing customs compliance; (e) provide a forum to discuss technical guidance or assistance and support for capacity building, including specific training programs, in matters related to customs enforcement and compliance;</w:t>
      </w:r>
    </w:p>
    <w:p>
      <w:pPr>
        <w:pStyle w:val="Normal"/>
      </w:pPr>
      <w:r>
        <w:t>(f) provide a forum to discuss, with a view to identifying and enhancing joint customs enforcement and compliance initiatives on topics of mutual concern, including with respect to customs offenses, such as deterring duty evasion and circumvention of safeguards, antidumping,</w:t>
      </w:r>
    </w:p>
    <w:p>
      <w:pPr>
        <w:pStyle w:val="Normal"/>
      </w:pPr>
      <w:r>
        <w:t>and countervailing duty laws and orders; (g) identify appropriate government officials to address the matters raised in the Customs Enforcement Sub-Committee and share their contact information; (h) inform the Trade Facilitation Committee about customs enforcement measures implemented by a Party that may have an impact on their customs procedures with respect to a matter covered by this Chapter; and (i) engage in other matters related to customs offenses as the Parties may decide. 3. The Parties shall designate and notify a contact point for this Customs Enforcement Sub- Committee in accordance with Article 30.5 (Agreement Coordinator and Contact Points). 4. The Customs Enforcement Sub-Committee shall meet within one year of the date of entry into force of this Agreement, and thereafter as the Parties may decide.</w:t>
      </w:r>
    </w:p>
    <w:p>
      <w:pPr>
        <w:pStyle w:val="ModHeading"/>
      </w:pPr>
      <w:bookmarkStart w:id="900266" w:name="_Toc300000265"/>
      <w:r>
        <w:t>CHAPTER 7: CUSMA 2.0 MODERNIZATION PROVISIONS</w:t>
      </w:r>
      <w:bookmarkEnd w:id="900266"/>
    </w:p>
    <w:p>
      <w:pPr>
        <w:pStyle w:val="Normal"/>
      </w:pPr>
      <w:r>
        <w:rPr>
          <w:i/>
        </w:rPr>
        <w:t>The provisions of this Part amend Chapter 7 (Customs Administration and Trade Facilitation).</w:t>
      </w:r>
    </w:p>
    <w:p>
      <w:pPr>
        <w:pStyle w:val="Heading2"/>
      </w:pPr>
      <w:bookmarkStart w:id="900267" w:name="_Toc300000266"/>
      <w:r>
        <w:t>Article 7.A: Low-Value Shipments (Implementation of Article 2.C)</w:t>
      </w:r>
      <w:bookmarkEnd w:id="900267"/>
    </w:p>
    <w:p>
      <w:pPr>
        <w:pStyle w:val="Normal"/>
      </w:pPr>
      <w:r>
        <w:t>1. Each Party shall provide simplified, electronic, expedited clearance for low-value shipments, with a de minimis threshold not below the greater of its January 1, 2020 level and the corresponding minimum expressly required by Article 7.8, as amended or superseded by an adopted instrument of this Agreement. Data requirements for such shipments shall conform to the Standard Data Packet adopted under paragraph 3, subject only to the published risk-based additions permitted there.</w:t>
      </w:r>
    </w:p>
    <w:p>
      <w:pPr>
        <w:pStyle w:val="Normal"/>
      </w:pPr>
      <w:r>
        <w:t>2. Risk-based controls on low-value shipments shall target fraud, safety, and prohibited goods, and shall not be administered so as to impose on originating shipments burdens equivalent to a duty.</w:t>
      </w:r>
    </w:p>
    <w:p>
      <w:pPr>
        <w:pStyle w:val="Normal"/>
      </w:pPr>
      <w:r>
        <w:t>3. Standard Data Packet. Within 12 months after entry into force of the Protocol of Modernization, the Committee on Trade Facilitation shall adopt and publish a uniform maximum core data set for low-value shipments, limited to elements reasonably necessary for customs, revenue, safety, security, and prohibited-goods enforcement, and shall review the data set at least every 24 months. A Party shall not require country-specific or carrier-specific additional data from originating low-value shipments except pursuant to published risk criteria of general application or a particularized request supported by documented risk. A materially burdensome additional-data requirement inconsistent with this paragraph is reviewable as a substitute measure under Article 35.4A.</w:t>
      </w:r>
    </w:p>
    <w:p>
      <w:pPr>
        <w:pStyle w:val="Heading2"/>
      </w:pPr>
      <w:bookmarkStart w:id="900268" w:name="_Toc300000267"/>
      <w:r>
        <w:t>Article 7.B: North American Single Window Interoperability</w:t>
      </w:r>
      <w:bookmarkEnd w:id="900268"/>
    </w:p>
    <w:p>
      <w:pPr>
        <w:pStyle w:val="Normal"/>
      </w:pPr>
      <w:r>
        <w:t>1. The Parties shall establish, within 36 months after entry into force of the Protocol of Modernization, interoperable electronic single-window systems such that: (a) a trader may submit a single standardized data set usable for the import, export, and transit formalities of all three Parties; (b) certificates of origin, trusted-trader credentials, and advance rulings are mutually machine-readable; and (c) border release status is electronically visible to the trader across the corridor.</w:t>
      </w:r>
    </w:p>
    <w:p>
      <w:pPr>
        <w:pStyle w:val="Normal"/>
      </w:pPr>
      <w:r>
        <w:t>2. The Committee on Trade Facilitation shall adopt and publish the technical standards, data dictionary, and cybersecurity requirements for this Article, and shall publish an annual implementation report. The technical framework shall at minimum require authenticated users and systems, integrity protection for submitted and returned data, confidentiality controls appropriate to the data, role-based access, auditable access and transaction logs, reasonable service availability and recovery capability, incident identification and response procedures, and a documented fallback process that permits lawful border processing during a material system outage. Technical protocols may differ among Parties where they remain interoperable and provide equivalent protection.</w:t>
      </w:r>
    </w:p>
    <w:p>
      <w:pPr/>
      <w:r>
        <w:t>3. No-consensus default. Failure of a committee to adopt a technical standard, data dictionary, performance objective, or interoperability specification by a deadline in Articles 7.A through 7.D does not suspend the underlying obligation. Pending consensus, each Party shall continue using its then-operative published system and shall accept data conforming to the most recent jointly adopted specification, while the Secretariat publishes the unresolved items and competing technical proposals. A dependent right shall not be denied solely because the committee missed its adoption deadline where compliance can reasonably be demonstrated under the last operative standard. Adoption of a later consensus standard may operate prospectively after a reasonable transition period and shall not retroactively invalidate compliant transactions.</w:t>
      </w:r>
    </w:p>
    <w:p>
      <w:pPr>
        <w:pStyle w:val="Heading2"/>
      </w:pPr>
      <w:bookmarkStart w:id="900269" w:name="_Toc300000268"/>
      <w:r>
        <w:t>Article 7.C: Uniformity of Customs Administration</w:t>
      </w:r>
      <w:bookmarkEnd w:id="900269"/>
    </w:p>
    <w:p>
      <w:pPr>
        <w:pStyle w:val="Normal"/>
      </w:pPr>
      <w:r>
        <w:t>1. Each Party shall administer its customs laws and procedures uniformly across its ports of entry, including with respect to classification, valuation, origin treatment, and processing of low-value shipments.</w:t>
      </w:r>
    </w:p>
    <w:p>
      <w:pPr>
        <w:pStyle w:val="Normal"/>
      </w:pPr>
      <w:r>
        <w:t>2. A trader experiencing materially inconsistent treatment between ports may invoke a Party’s internal review mechanism, and the Party shall issue a harmonizing determination within 90 days. Recurrent inconsistency may be raised in the Committee on Trade Facilitation and, if unresolved, under Chapter 31.</w:t>
      </w:r>
    </w:p>
    <w:p>
      <w:pPr>
        <w:pStyle w:val="Normal"/>
      </w:pPr>
      <w:r>
        <w:t>3. No Party shall require that another Party’s goods enter only through designated ports, inspection centers, or crossings, or at restricted hours, unless objectively necessary for safety, security, or infrastructure capacity, with the invoking Party bearing the burden of demonstrating that necessity (see Article 35.4A.1(c)).</w:t>
      </w:r>
    </w:p>
    <w:p>
      <w:pPr>
        <w:pStyle w:val="Heading2"/>
      </w:pPr>
      <w:bookmarkStart w:id="900270" w:name="_Toc300000269"/>
      <w:r>
        <w:t>Article 7.D: Border Processing Times and Transparency</w:t>
      </w:r>
      <w:bookmarkEnd w:id="900270"/>
    </w:p>
    <w:p>
      <w:pPr>
        <w:pStyle w:val="Normal"/>
      </w:pPr>
      <w:r>
        <w:t>1. Each Party shall publish, monthly and by port of entry, average and 95th-percentile border processing times for commercial shipments, in machine-readable form.</w:t>
      </w:r>
    </w:p>
    <w:p>
      <w:pPr>
        <w:pStyle w:val="Normal"/>
      </w:pPr>
      <w:r>
        <w:t>2. The Committee on Trade Facilitation shall establish and publish corridor-specific performance objectives for processing times, together with the measurement methodology and material exclusions, and shall review performance quarterly. Where a corridor materially misses an objective in three consecutive monthly reporting periods, the responsible Party shall publish or provide to the Committee a brief explanation of the principal causes and the corrective actions being taken where correction is reasonably within governmental control. Performance objectives are administrative benchmarks and do not create automatic liability or establish breach from an isolated delay.</w:t>
      </w:r>
    </w:p>
    <w:p>
      <w:pPr>
        <w:pStyle w:val="Normal"/>
      </w:pPr>
      <w:r>
        <w:t>3. Systematic, discriminatory clearance delay, inspection intensity, documentation demands, or release holds that materially burden originating trade are covered border measures under Article 35.4A, assessed against the benchmarks published under this Article.</w:t>
      </w:r>
    </w:p>
    <w:p>
      <w:pPr>
        <w:pStyle w:val="Heading2"/>
      </w:pPr>
      <w:bookmarkStart w:id="900271" w:name="_Toc300000270"/>
      <w:r>
        <w:t>Article 7.E: Trusted Trader Programs</w:t>
      </w:r>
      <w:bookmarkEnd w:id="900271"/>
    </w:p>
    <w:p>
      <w:pPr>
        <w:pStyle w:val="Normal"/>
      </w:pPr>
      <w:r>
        <w:t>1. Each Party shall maintain a trusted-trader program consistent with its existing authorized-economic-operator or comparable customs-security framework and shall provide a process for mutual recognition of the other Parties' trusted-trader authorizations. Mutual recognition shall be based on materially equivalent eligibility, security, compliance, validation, monitoring, and suspension standards and shall provide qualifying traders meaningful facilitation benefits, including reduced inspection or expedited release where risk permits. A refusal, suspension, or revocation of mutual-recognition treatment shall identify the principal reasons and provide access to administrative review. Existing treatment shall continue pending review subject only to the exception standard in paragraph 3.</w:t>
      </w:r>
    </w:p>
    <w:p>
      <w:pPr>
        <w:pStyle w:val="Normal"/>
      </w:pPr>
      <w:r>
        <w:t>2. Compliance facilitation earned under Article 35.17.7 is implemented through the trusted-trader programs of the Parties. Nothing in this Article requires a Party to recognize another Party's authorization where the equivalence criteria in paragraph 1 are not met or to waive independently applicable safety, security, prohibited-goods, or revenue controls.</w:t>
      </w:r>
    </w:p>
    <w:p>
      <w:pPr/>
      <w:r>
        <w:t>3. Minimum administration of facilitation programs. Where this Agreement requires a Party to maintain a facilitation category, trusted-trader pathway, batch-certification category, or simplified-documentation program, the administering authority shall publish objective eligibility criteria and shall not satisfy the obligation by publishing an empty category list or withholding authorization from every otherwise eligible applicant. Any limitation or suspension shall rest on published, risk-based criteria and be reviewable under the ordinary administrative review procedures of the Party. A benefit expressly required to continue pending review shall continue unless particularized evidence establishes fraud, prohibited goods, a material security risk, a material health or safety risk, or a material revenue risk; the administration shall state the particularized evidence and the ground relied upon in writing. Nothing in this paragraph converts a facilitation option expressly described elsewhere as discretionary into an entitlement.</w:t>
      </w:r>
    </w:p>
    <w:p>
      <w:pPr>
        <w:pStyle w:val="Heading1"/>
      </w:pPr>
      <w:bookmarkStart w:id="900272" w:name="_Toc300000271"/>
      <w:r>
        <w:t>CHAPTER 8 RECOGNITION OF THE UNITED MEXICAN STATES’ DIRECT, INALIENABLE, AND IMPRESCRIPTIBLE OWNERSHIP OF HYDROCARBONS</w:t>
      </w:r>
      <w:bookmarkEnd w:id="900272"/>
    </w:p>
    <w:p>
      <w:pPr>
        <w:pStyle w:val="Heading2"/>
      </w:pPr>
      <w:bookmarkStart w:id="900273" w:name="_Toc300000272"/>
      <w:r>
        <w:t xml:space="preserve">Article 8.1: Recognition of the United Mexican States’ Direct, Inalienable, and Imprescriptible Ownership of Hydrocarbons</w:t>
      </w:r>
      <w:bookmarkEnd w:id="900273"/>
    </w:p>
    <w:p>
      <w:pPr>
        <w:pStyle w:val="Normal"/>
      </w:pPr>
      <w:r>
        <w:t xml:space="preserve">1. As provided for in this Agreement, the Parties confirm their full respect for sovereignty and their sovereign right to regulate with respect to matters addressed in this Chapter in accordance with their respective Constitutions and domestic laws, in the full exercise of their democratic processes. 2. In the case of Mexico, and without prejudice to their rights and remedies available under this Agreement, the United States and Canada recognize that: (a) Mexico reserves its sovereign right to reform its Constitution and its domestic legislation; and (b) Mexico has the direct, inalienable, and imprescriptible ownership of all hydrocarbons in the subsoil of the national territory, including the continental shelf and the exclusive economic zone located outside the territorial sea and adjacent thereto, in strata or deposits, regardless of their physical conditions pursuant to Mexico’s Constitution (Constitución Política de los Estados Unidos Mexicanos).</w:t>
      </w:r>
    </w:p>
    <w:p>
      <w:pPr>
        <w:pStyle w:val="Heading1"/>
      </w:pPr>
      <w:bookmarkStart w:id="900274" w:name="_Toc300000273"/>
      <w:r>
        <w:t>CHAPTER 9 SANITARY AND PHYTOSANITARY MEASURES</w:t>
      </w:r>
      <w:bookmarkEnd w:id="900274"/>
    </w:p>
    <w:p>
      <w:pPr>
        <w:pStyle w:val="Heading2"/>
      </w:pPr>
      <w:bookmarkStart w:id="900275" w:name="_Toc300000274"/>
      <w:r>
        <w:t xml:space="preserve">Article 9.1: Definitions</w:t>
      </w:r>
      <w:bookmarkEnd w:id="900275"/>
    </w:p>
    <w:p>
      <w:pPr>
        <w:pStyle w:val="Normal"/>
      </w:pPr>
      <w:r>
        <w:t xml:space="preserve">1. The definitions in Annex A of the SPS Agreement are incorporated into and made part of this Chapter, mutatis mutandis, except as otherwise provided for in paragraph 2. 2.</w:t>
      </w:r>
    </w:p>
    <w:p>
      <w:pPr>
        <w:pStyle w:val="Normal"/>
      </w:pPr>
      <w:r>
        <w:t>For the purposes of this Chapter: competent authority means a government body of a Party responsible for measures or matters referred to in this Chapter; import check means an inspection, examination, sampling, review of documentation, test, or procedure, including laboratory, organoleptic, or identity, conducted at the border or otherwise during the entry process by an importing Party or its representative to determine if a consignment complies with the sanitary or phytosanitary requirements of the importing Party; relevant international organizations means the Codex Alimentarius Commission, the World Organization for Animal Health, the International Plant Protection Convention, and other international organizations as decided by the Committee on Sanitary and Phytosanitary Measures established under Article 9.17 (SPS Committee); relevant international standards, guidelines, or recommendations means those defined in paragraph 3(a) through (c) of Annex A of the SPS Agreement and standards, guidelines, or recommendations of other international organizations as decided by the SPS Committee; risk management means the weighing of policy alternatives in light of the results of risk assessment and, if required, selecting and implementing appropriate controls, which may include sanitary</w:t>
      </w:r>
    </w:p>
    <w:p>
      <w:pPr>
        <w:pStyle w:val="Normal"/>
      </w:pPr>
      <w:r>
        <w:t>or phytosanitary measures; WTO SPS Committee means the WTO Committee on Sanitary and Phytosanitary Measures established under Article 12 of the SPS Agreement.</w:t>
      </w:r>
    </w:p>
    <w:p>
      <w:pPr>
        <w:pStyle w:val="Heading2"/>
      </w:pPr>
      <w:bookmarkStart w:id="900276" w:name="_Toc300000275"/>
      <w:r>
        <w:t xml:space="preserve">Article 9.2: Scope</w:t>
      </w:r>
      <w:bookmarkEnd w:id="900276"/>
    </w:p>
    <w:p>
      <w:pPr>
        <w:pStyle w:val="Normal"/>
      </w:pPr>
      <w:r>
        <w:t xml:space="preserve">This Chapter applies to all sanitary and phytosanitary measures of a Party that may, directly or indirectly, affect trade between the Parties.</w:t>
      </w:r>
    </w:p>
    <w:p>
      <w:pPr>
        <w:pStyle w:val="Heading2"/>
      </w:pPr>
      <w:bookmarkStart w:id="900277" w:name="_Toc300000276"/>
      <w:r>
        <w:t xml:space="preserve">Article 9.3: Objectives</w:t>
      </w:r>
      <w:bookmarkEnd w:id="900277"/>
    </w:p>
    <w:p>
      <w:pPr>
        <w:pStyle w:val="Normal"/>
      </w:pPr>
      <w:r>
        <w:t xml:space="preserve">1. The objectives of this Chapter are to: (a) protect human, animal, or plant life or health in the territories of the Parties while facilitating trade between them; (b) reinforce and build upon the SPS Agreement; (c) strengthen communication, consultation, and cooperation between the Parties, and particularly between the Parties’ competent authorities; (d) ensure that sanitary or phytosanitary measures implemented by a Party do not create unnecessary barriers to trade; (e) enhance transparency in and understanding of the application of each Party’s sanitary and phytosanitary measures; (f) encourage the development and adoption of science-based international standards, guidelines, and recommendations, and promote their implementation by the Parties; (g) enhance compatability of sanitary or phytosanitary measures as appropriate; and (h) advance science-based decision making.</w:t>
      </w:r>
    </w:p>
    <w:p>
      <w:pPr>
        <w:pStyle w:val="Heading2"/>
      </w:pPr>
      <w:bookmarkStart w:id="900278" w:name="_Toc300000277"/>
      <w:r>
        <w:t xml:space="preserve">Article 9.4: General Provisions</w:t>
      </w:r>
      <w:bookmarkEnd w:id="900278"/>
    </w:p>
    <w:p>
      <w:pPr>
        <w:pStyle w:val="Normal"/>
      </w:pPr>
      <w:r>
        <w:t xml:space="preserve">1. The Parties affirm their rights and obligations under the SPS Agreement. 2. Sanitary or phytosanitary measures which conform to the relevant provisions of this Chapter are presumed to be consistent with the obligations of the Parties under Chapter 2 (National Treatment and Market Access for Goods), which relate to the use of sanitary or phytosanitary measures, and Article XX(b) of the GATT 1994 as incorporated into Article 32.1 (General Exceptions). 3. Sanitary or phytosanitary measures which conform to relevant international standards, guidelines, and recommendations are deemed to be necessary to protect human, animal, or plant life or health, and presumed to be consistent with the relevant provisions of this Chapter, Chapter 2 (National Treatment and Market Access for Goods), which relate to the use of sanitary or phytosanitary measures, and Article XX(b) of the GATT 1994 as incorporated into Article 32.1 (General Exceptions).</w:t>
      </w:r>
    </w:p>
    <w:p>
      <w:pPr>
        <w:pStyle w:val="Heading2"/>
      </w:pPr>
      <w:bookmarkStart w:id="900279" w:name="_Toc300000278"/>
      <w:r>
        <w:t xml:space="preserve">Article 9.5: Competent Authorities and Contact Points</w:t>
      </w:r>
      <w:bookmarkEnd w:id="900279"/>
    </w:p>
    <w:p>
      <w:pPr>
        <w:pStyle w:val="Normal"/>
      </w:pPr>
      <w:r>
        <w:t xml:space="preserve">1. Each Party shall provide to the other Parties a list of its central level of government competent authorities. On request of a Party, and, if applicable, a Party shall provide contact information or written descriptions of the sanitary and phytosanitary responsibilities of its competent authorities. 2. Each Party shall designate and notify a contact point for matters arising under this Chapter, in accordance with Article 30.5 (Agreement Coordinator and Contact Points). 3. Each Party shall promptly inform the other Parties of any change in its competent authorities or contact points.</w:t>
      </w:r>
    </w:p>
    <w:p>
      <w:pPr>
        <w:pStyle w:val="Heading2"/>
      </w:pPr>
      <w:bookmarkStart w:id="900280" w:name="_Toc300000279"/>
      <w:r>
        <w:t xml:space="preserve">Article 9.6: Science and Risk Analysis</w:t>
      </w:r>
      <w:bookmarkEnd w:id="900280"/>
    </w:p>
    <w:p>
      <w:pPr>
        <w:pStyle w:val="Normal"/>
      </w:pPr>
      <w:r>
        <w:t xml:space="preserve">1. The Parties recognize the importance of ensuring that their respective sanitary and phytosanitary measures are based on scientific principles. 2. Each Party has the right to adopt or maintain sanitary and phytosanitary measures necessary for the protection of human, animal, or plant life or health, provided that those measures are not inconsistent with the provisions of this Chapter. 3. Each Party shall base its sanitary and phytosanitary measures on relevant international standards, guidelines, or recommendations provided that doing so meets the Party’s appropriate level of sanitary or phytosanitary protection (appropriate level of protection). If a sanitary or phytosanitary measure is not based on relevant international standards, guidelines, or recommendations, or if relevant international standards, guidelines, or recommendations do not exist, the Party shall ensure that its sanitary or phytosanitary measure is based on an assessment, as appropriate to the circumstances, of the risk to human, animal, or plant life or health. 4.</w:t>
      </w:r>
    </w:p>
    <w:p>
      <w:pPr>
        <w:pStyle w:val="Normal"/>
      </w:pPr>
      <w:r>
        <w:t>Recognizing the Parties’ rights and obligations under the relevant provisions of the SPS Agreement, this Chapter does not prevent a Party from: (a) establishing the level of protection it determines to be appropriate; (b) establishing or maintaining an approval procedure that requires a risk assessment to be conducted before the Party grants a product access to its market; or (c) adopting or maintaining a sanitary or phytosanitary measure on a provisional basis if relevant scientific evidence is insufficient. 5. If a Party adopts or maintains a provisional sanitary or phytosanitary measure if relevant scientific evidence is insufficient, the Party shall within a reasonable period of time: (a) seek to obtain the additional information necessary for a more objective assessment of risk; (b) complete the risk assessment after obtaining the requisite information; and (c) review and, if appropriate, revise the provisional measure in light of the risk assessment. 6.</w:t>
      </w:r>
    </w:p>
    <w:p>
      <w:pPr>
        <w:pStyle w:val="Normal"/>
      </w:pPr>
      <w:r>
        <w:t>Each Party shall ensure that its sanitary and phytosanitary measures: (a) are applied only to the extent necessary to protect human, animal, or plant life or health; (b) are based on relevant scientific principles, taking into account relevant factors, including, if appropriate, different geographic conditions; (c) are not maintained if there is no longer a scientific basis; (d) do not arbitrarily or unjustifiably discriminate between Parties where identical or similar conditions prevail, including between its own territory and that of other Parties; and (e) are not applied in a manner that constitutes a disguised restriction on trade between the Parties. 7. Each Party shall conduct its risk assessment and risk management with respect to a sanitary or phytosanitary regulation within the scope of Annex B of the SPS Agreement in a manner that is documented and provides the other Parties and persons of the Parties an opportunity to comment, in a manner to be determined by that Party. 8.</w:t>
      </w:r>
    </w:p>
    <w:p>
      <w:pPr>
        <w:pStyle w:val="Normal"/>
      </w:pPr>
      <w:r>
        <w:t>In conducting its risk assessment and risk management, each Party shall: (a) ensure that each risk assessment it conducts is appropriate to the circumstances of the risk to human, animal, or plant life or health, and takes into account the available relevant scientific evidence, including qualitative and quantitative data and information; and (b) take into account relevant guidance of the WTO SPS Committee and the relevant international standards, guidelines, and recommendations of the relevant international organization. 9. Each Party shall consider, as a risk management option, taking no measure if that would achieve the Party’s appropriate level of protection. 10. Without prejudice to Article 9.4 (General Provisions), each Party shall select a sanitary or phytosanitary measure that is not more trade restrictive than required to achieve the level of protection that the Party has determined to be appropriate. For greater certainty, a sanitary or phytosanitary measure is not more trade restrictive than required unless there is another option that is reasonably available, taking into account technical and economic feasibility, that achieves the Party’s appropriate level of protection and is significantly less restrictive to trade. 11.</w:t>
      </w:r>
    </w:p>
    <w:p>
      <w:pPr>
        <w:pStyle w:val="Normal"/>
      </w:pPr>
      <w:r>
        <w:t>If an importing Party requires a risk assessment to evaluate a request from an exporting Party to authorize importation of a good of that exporting Party, the importing Party shall provide, on request of the exporting Party, an explanation of the information required for the risk assessment. On receipt of the requisite information from the exporting Party, the importing Party shall endeavor to facilitate the evaluation of the request for authorization by scheduling work on this request in accordance with the procedures, policies, resources, laws, and regulations of the importing Party. 12. On request of the exporting Party, the importing Party shall inform the exporting Party of the status of a request to authorize trade, including the status of any risk assessment or other evaluation the Party requires to authorize trade, and of any delay that occurs during the process. 13. If the importing Party, as a result of a risk assessment, adopts a sanitary or phytosanitary measure that may facilitate trade between the Parties, the importing Party shall implement the measure without undue delay. 14.</w:t>
      </w:r>
    </w:p>
    <w:p>
      <w:pPr>
        <w:pStyle w:val="Normal"/>
      </w:pPr>
      <w:r>
        <w:t>If a Party has reason to believe that a specific sanitary or phytosanitary measure adopted or maintained by another Party is constraining, or has the potential to constrain, its exports and the measure is not based on a relevant international standard, guideline, or recommendation, or a relevant standard, guideline, or recommendation does not exist, the Party adopting or maintaining the measure shall provide an explanation of the reasons and pertinent relevant information regarding the measure upon request by the other Party. 15. Without prejudice to Article 9.14 (Emergency Measures), no Party shall stop the importation of a good of another Party for the reason that the importing Party is undertaking a review of its sanitary or phytosanitary measure, if the importing Party permitted the importation of that good of the other Party when the review was initiated.1 1 For greater certainty, a Party is not stopping imports because it is undertaking a review if the Party stops imports on the basis that the review identifies that the information necessary to permit the importation of a good is lacking.</w:t>
      </w:r>
    </w:p>
    <w:p>
      <w:pPr>
        <w:pStyle w:val="Heading2"/>
      </w:pPr>
      <w:bookmarkStart w:id="900281" w:name="_Toc300000280"/>
      <w:r>
        <w:t xml:space="preserve">Article 9.7: Enhancing Compatibility of Sanitary and Phytosanitary Measures</w:t>
      </w:r>
      <w:bookmarkEnd w:id="900281"/>
    </w:p>
    <w:p>
      <w:pPr>
        <w:pStyle w:val="Normal"/>
      </w:pPr>
      <w:r>
        <w:t xml:space="preserve">1. Each Party recognizes that enhancing the compatibility of its sanitary and phytosanitary measures with the measures of another Party may facilitate trade while maintaining each Party’s right to determine its appropriate level of protection. 2. To reduce unnecessary obstacles to trade, each Party shall endeavor to enhance the compatibility of its sanitary and phytosanitary measures with the sanitary and phytosanitary measures of the other Parties, provided that doing so does not reduce each Party’s appropriate level of protection. In so doing, each Party: (a) is encouraged to consider relevant actual or proposed sanitary or phytosanitary measures of the other Parties in the development, modification, or adoption of their sanitary or phytosanitary measures; and (b) shall have the objective, among others, of making its sanitary and phytosanitary measures equivalent or, if appropriate, identical to those of the other Parties, but only to the extent that doing either does not reduce the Party’s appropriate level of protection.</w:t>
      </w:r>
    </w:p>
    <w:p>
      <w:pPr>
        <w:pStyle w:val="Heading2"/>
      </w:pPr>
      <w:bookmarkStart w:id="900282" w:name="_Toc300000281"/>
      <w:r>
        <w:t xml:space="preserve">Article 9.8: Adaptation to Regional Conditions, Including Pest- or Disease-Free Areas and Areas of Low Pest or Disease Prevalence</w:t>
      </w:r>
      <w:bookmarkEnd w:id="900282"/>
    </w:p>
    <w:p>
      <w:pPr>
        <w:pStyle w:val="Normal"/>
      </w:pPr>
      <w:r>
        <w:t xml:space="preserve">1. The Parties recognize that adaptation to regional conditions, including regionalization, zoning, and compartmentalization, is an important means to facilitate trade. 2. The Parties shall endeavour to cooperate on the recognition of pest- or disease-free areas, and areas of low pest or disease prevalence with the objective of acquiring confidence in the procedures followed by each Party for the recognition of pest- or disease-free areas, and areas of low pest or disease prevalence. 3. In making a determination regarding regional conditions, each Party shall take into account the relevant guidance of the WTO SPS Committee and relevant international standards, guidelines, and recommendations. 4. If an importing Party receives from an exporting Party a request for a determination of regional conditions and determines that the exporting Party has provided sufficient information, the importing Party shall initiate an assessment without undue delay.</w:t>
      </w:r>
    </w:p>
    <w:p>
      <w:pPr>
        <w:pStyle w:val="Normal"/>
      </w:pPr>
      <w:r>
        <w:t>For this purpose, each exporting Party shall provide reasonable access in its territory to the importing Party for inspection, testing, and other relevant procedures. 5. The importing Party shall inform the exporting Party of receipt of information provided by the exporting Party under paragraph 4.</w:t>
      </w:r>
    </w:p>
    <w:p>
      <w:pPr>
        <w:pStyle w:val="Normal"/>
      </w:pPr>
      <w:r>
        <w:t>The importing Party shall evaluate the information provided by the exporting Party and shall inform the exporting Party whether the information is sufficient to evaluate a request for adaptation to regional conditions. The importing Party may request additional relevant information or an on-site verification, if justified, based on the results of the ongoing evaluation. 6. When an importing Party initiates an evaluation of a request for a determination of regional conditions under paragraph 4, that Party shall explain, on request of the exporting Party, its process for making the determination of regional conditions without undue delay. 7. On request from the exporting Party, the importing Party’s competent authority shall consider whether a streamlined process may be used for the determination of regional conditions. 8. If the importing and exporting Parties’ competent authorities decide that a request for a determination of regional conditions is a priority, and the importing Party has received sufficient information, as referenced in paragraph 4, the competent authorities involved shall establish reasonable timeframes based on the circumstances and may establish a work plan under which the importing Party, under normal circumstances2, may finalize the determination. The determination may be positive or negative. 9.</w:t>
      </w:r>
    </w:p>
    <w:p>
      <w:pPr>
        <w:pStyle w:val="Normal"/>
      </w:pPr>
      <w:r>
        <w:t>On request of the exporting Party, the importing Party shall inform the exporting Party of the status of the evaluation of the exporting Party’s request for a determination of regional conditions. 10. The importing Party shall finalize the evaluation and all necessary stages involved for the determination of regional conditions of the exporting Party without undue delay once the importing Party’s competent authority determines that it has received sufficient information from the exporting Party. 11. If the evaluation results in the recognition of specific regional conditions of an exporting Party, the importing Party shall communicate this determination to the exporting Party in writing and shall apply this recognition without undue delay. 12. If the evaluation of the evidence provided by the exporting Party does not result in a determination to recognize pest- or disease-free areas or areas of low pest and disease prevalence, the importing Party shall provide in writing to the exporting Party with the rationale for its determination. 13. The importing and exporting Parties involved in a particular determination of regional conditions may also decide in advance the risk management measures that will apply to trade between them in the event of a change in the status.</w:t>
      </w:r>
    </w:p>
    <w:p>
      <w:pPr>
        <w:pStyle w:val="Normal"/>
      </w:pPr>
      <w:r>
        <w:t>For the purposes of this paragraph, “normal circumstances” do not include any extraordinary or unanticipated situations, such as unanticipated risks to human, animal, or plant life or health, or resource or regulatory constraints. 14. If there is an incident that results in a change of status, the exporting Party shall inform the importing Party. If the importing Party modifies or revokes the determination recognizing regional conditions as a result of the change in status, on request of the exporting Party, the Parties involved shall cooperate to assess whether the determination can be reinstated. 15. The Parties involved in a determination recognizing regional conditions shall, if mutually decided, report the outcome to the SPS Committee.</w:t>
      </w:r>
    </w:p>
    <w:p>
      <w:pPr>
        <w:pStyle w:val="Heading2"/>
      </w:pPr>
      <w:bookmarkStart w:id="900283" w:name="_Toc300000282"/>
      <w:r>
        <w:t xml:space="preserve">Article 9.9: Equivalence</w:t>
      </w:r>
      <w:bookmarkEnd w:id="900283"/>
    </w:p>
    <w:p>
      <w:pPr>
        <w:pStyle w:val="Normal"/>
      </w:pPr>
      <w:r>
        <w:t xml:space="preserve">1. The Parties recognize that a positive determination of equivalence of sanitary and phytosanitary measures is an important means to facilitate trade. 2. Further to Article 4 of the SPS Agreement, the Parties shall apply a recognition of equivalence to a specific sanitary or phytosanitary measure, or to the extent feasible and appropriate, to a group of measures or on a systems-wide basis. In determining the equivalence of a specific sanitary or phytosanitary measure, group of measures, or measures on a systems- wide basis, each Party shall take into account the relevant guidance of the WTO SPS Committee and relevant international standards, guidelines, and recommendations. 3. On request of the exporting Party, the importing Party shall explain the objective and rationale of its sanitary or phytosanitary measure and identify the risk the sanitary or phytosanitary measure is intended to address. 4. When an importing Party receives a request for a determination of equivalence from an exporting Party and determines that the exporting Party has provided sufficient information, the importing Party shall initiate an assessment without undue delay.</w:t>
      </w:r>
    </w:p>
    <w:p>
      <w:pPr>
        <w:pStyle w:val="Normal"/>
      </w:pPr>
      <w:r>
        <w:t>5. When an importing Party initiates an equivalence assessment, the importing Party shall explain, on request of the exporting Party, and without undue delay, its process for making the determination of equivalence, and, if the determination results in recognition, its plan for enabling trade. 6.</w:t>
      </w:r>
    </w:p>
    <w:p>
      <w:pPr>
        <w:pStyle w:val="Normal"/>
      </w:pPr>
      <w:r>
        <w:t>On request of the exporting Party, the importing Party’s competent authority shall consider whether a streamlined process may be used to determine equivalence. 7. If the importing and exporting Parties’ competent authorities decide that a request for a determination of equivalence is a priority, and the importing Party has received sufficient information, as referenced in paragraph 4, the competent authorities involved shall establish reasonable timeframes based on the circumstances and may establish a work plan under which the importing Party, under normal circumstances3, may finalize the determination. The determination may be positive or negative. 8. On request of the exporting Party, the importing Party shall inform the exporting Party of the status of the equivalence assessment. 9. Once the importing Party determines that the information provided by the exporting Party is sufficient to finalize the assessment, the importing Party shall finalize the assessment and communicate the results of the assessment to the exporting Party without undue delay. 10. In determining equivalence, an importing Party shall take into account available knowledge, information, and relevant experience, including knowledge acquired through experience with the exporting Party’s relevant competent authority. 11.</w:t>
      </w:r>
    </w:p>
    <w:p>
      <w:pPr>
        <w:pStyle w:val="Normal"/>
      </w:pPr>
      <w:r>
        <w:t>An importing Party shall recognize the equivalence of a sanitary or phytosanitary measure, group of measures, or system, even if the measure, group of measures, or system differs from its own, if the exporting Party objectively demonstrates to the importing Party that the exporting Party’s measure achieves the importing Party’s appropriate level of protection, taking into account outcomes that the exporting Party’s measure, group of measures, or system achieves. 12. If an importing Party adopts a measure that recognizes the equivalence of an exporting Party’s specific sanitary or phytosanitary measure, group of measures, or measures on a systems- wide basis, the importing Party shall communicate that measure to the exporting Party in writing and implement the measure without undue delay. 13. The Parties involved in an equivalence determination that results in recognition shall, if mutually decided, report the outcome to the SPS Committee. 14. If an assessment does not result in the recognition of equivalence, the importing Party shall communicate that determination and its rationale to the exporting Party without undue delay. 15.</w:t>
      </w:r>
    </w:p>
    <w:p>
      <w:pPr>
        <w:pStyle w:val="Normal"/>
      </w:pPr>
      <w:r>
        <w:t>If a Party plans to adopt, modify, or repeal a measure that is the subject of a sanitary or phytosanitary equivalence recognition, the following applies: (a) The Party shall notify the other Party involved in the recognition of its plan.</w:t>
      </w:r>
    </w:p>
    <w:p>
      <w:pPr>
        <w:pStyle w:val="Normal"/>
      </w:pPr>
      <w:r>
        <w:t>The notification should take place at an early appropriate stage where any comments submitted by the other Party can be taken into account, including by revising its plan. Upon request of a Party involved in the recognition, the Parties involved For the purposes of this paragraph, “normal circumstances” do not include any extraordinary or unanticipated situations, such as unanticipated risks to human, animal or plant life or health, or resource or regulatory constraints. shall discuss whether the adoption, modification, or repeal of the measure may affect the equivalence recognition. (b) The Party shall, upon request of the other Party, provide information and rationale concerning its planned adoption, modification, or repeal. The other Party shall review any information provided to it and submit any comments to the Party that plans to adopt, modify, or repeal the measure, without undue delay. (c) The importing Party shall not revoke its recognition of equivalence on the basis that an adoption, modification, or repeal of the measure is pending. 16.</w:t>
      </w:r>
    </w:p>
    <w:p>
      <w:pPr>
        <w:pStyle w:val="Normal"/>
      </w:pPr>
      <w:r>
        <w:t>If a Party adopts, modifies, or repeals a measure that is the subject of a sanitary or phytosanitary recognition of equivalence, the importing Party shall maintain its recognition of equivalence provided that the exporting Party’s measures concerning the good continue to achieve the appropriate level of protection of the importing Party.</w:t>
      </w:r>
    </w:p>
    <w:p>
      <w:pPr>
        <w:pStyle w:val="Normal"/>
      </w:pPr>
      <w:r>
        <w:t>Upon request of a Party, the Parties involved in the recognition shall promptly discuss the determination made by the importing Party. 17. If a Party adopts, modifies, or repeals a measure that is the subject of a sanitary or phytosanitary recognition of equivalence, the importing Party shall: (a) continue to accept the recognition of equivalence until it has communicated to the exporting Party whether other requirements must be met to maintain equivalence; and (b) if other requirements under subparagraph (a) must be met, upon request, discuss those requirements with the exporting Party.</w:t>
      </w:r>
    </w:p>
    <w:p>
      <w:pPr>
        <w:pStyle w:val="Heading2"/>
      </w:pPr>
      <w:bookmarkStart w:id="900284" w:name="_Toc300000283"/>
      <w:r>
        <w:t xml:space="preserve">Article 9.10: Audits</w:t>
      </w:r>
      <w:r>
        <w:rPr>
          <w:vertAlign w:val="superscript"/>
        </w:rPr>
        <w:t xml:space="preserve">4</w:t>
      </w:r>
      <w:bookmarkEnd w:id="900284"/>
    </w:p>
    <w:p>
      <w:pPr>
        <w:pStyle w:val="Normal"/>
      </w:pPr>
      <w:r>
        <w:t xml:space="preserve">1. To determine an exporting Party’s ability to comply with the importing Party’s sanitary or phytosanitary requirements or to verify an exporting Party’s compliance with its sanitary or phytosanitary requirements that the importing Party has determined to be equivalent, the importing Party shall have the right to audit the exporting Party’s competent authorities, including associated or designated inspection systems in accordance with this Article. That audit may include an assessment of the competent authorities’ control programs, including, if appropriate and feasible, the inspection programs, audit programs, or on-site inspections of facilities or other agriculture production areas. For greater certainty, the Parties recognize that an inspection of a facility and other premises relevant to the inspection in a Party’s territory in order to verify compliance with applicable sanitary or phytosanitary measures is a distinct activity from an audit and the provisions of this Article do not apply to that inspection. 2. An audit must be systems-based and designed to check the effectiveness of the regulatory controls of the competent authorities of the exporting Party. 3.</w:t>
      </w:r>
    </w:p>
    <w:p>
      <w:pPr>
        <w:pStyle w:val="Normal"/>
      </w:pPr>
      <w:r>
        <w:t>In undertaking an audit, a Party shall take into account relevant guidance of the WTO SPS Committee and relevant international standards, guidelines, and recommendations. 4.</w:t>
      </w:r>
    </w:p>
    <w:p>
      <w:pPr>
        <w:pStyle w:val="Normal"/>
      </w:pPr>
      <w:r>
        <w:t>Prior to the commencement of an audit, the auditing and audited Parties shall discuss: the rationale, objectives, and scope of the audit; and the criteria or requirements against which the audited Party will be assessed. Also at that time, the auditing and audited Parties shall decide the itinerary and procedures for conducting the audit. 5. Unless the auditing and audited Parties decide otherwise, the auditing Party shall hold an exit meeting at the end of the audit that includes an opportunity for the competent authority of the audited Party to raise questions or seek clarification on the preliminary findings and observations provided at the meeting. 6. The auditing Party shall provide the audited Party the draft written audit report, including its initial findings. The auditing Party shall provide the audited Party the opportunity to comment on the accuracy of the draft audit report and shall take any such comments into account before the auditing Party finalizes its report. The auditing Party shall provide a final audit report setting out its conclusions in writing to the audited Party within a reasonable period of time. 7.</w:t>
      </w:r>
    </w:p>
    <w:p>
      <w:pPr>
        <w:pStyle w:val="Normal"/>
      </w:pPr>
      <w:r>
        <w:t>In undertaking an audit in cases in which an importing Party has recognized equivalence on a system-wide basis, the importing Party shall: (a) conduct the audit to verify that the audited Party’s system achieves an equivalent outcome to the sanitary or phytosanitary appropriate level of protection of the importing Party; and (b) audit against the exporting Party’s implementation of the equivalent oversight and control system. 8. If a Party has recognized another Party’s system as equivalent, the competent authorities of the Parties involved in the recognition may discuss schedules of the audits of that system. 9. A decision or action taken by the auditing Party as a result of the audit must be supported by objective evidence and data that can be verified, taking into account the auditing Party’s knowledge of, relevant experience with, and confidence in, the audited Party’s regulatory controls. The auditing Party shall, on request of the audited Party, provide this objective evidence and data. 10.</w:t>
      </w:r>
    </w:p>
    <w:p>
      <w:pPr>
        <w:pStyle w:val="Normal"/>
      </w:pPr>
      <w:r>
        <w:t>The costs incurred by the auditing Party shall be borne by the auditing Party, unless the auditing and audited Parties decide otherwise. 11. The auditing Party and audited Party shall each ensure that procedures are in place to prevent the disclosure of confidential information that is acquired during the audit process. 12.</w:t>
      </w:r>
    </w:p>
    <w:p>
      <w:pPr>
        <w:pStyle w:val="Normal"/>
      </w:pPr>
      <w:r>
        <w:t>If the auditing Party makes a final audit report publicly available, the final audit report must incorporate, or be accompanied by, the comments or written response to the draft report provided by the competent authority of the audited Party. 13. The Parties may decide, if possible, to: (a) collaborate on audits of non-Parties; or (b) share the results of audits of non-Parties.</w:t>
      </w:r>
    </w:p>
    <w:p>
      <w:pPr>
        <w:pStyle w:val="Heading2"/>
      </w:pPr>
      <w:bookmarkStart w:id="900285" w:name="_Toc300000284"/>
      <w:r>
        <w:t xml:space="preserve">Article 9.11: Import Checks</w:t>
      </w:r>
      <w:bookmarkEnd w:id="900285"/>
    </w:p>
    <w:p>
      <w:pPr>
        <w:pStyle w:val="Normal"/>
      </w:pPr>
      <w:r>
        <w:t xml:space="preserve">1. An importing Party may use import checks to assess compliance with its sanitary and phytosanitary measures and to obtain information to assess risk or to determine the need for, develop, or periodically review a risk-based import check. 2. Each Party shall ensure that its import checks are based on the risks associated with importations, and that its import checks are carried out without undue delay. 3. A Party shall make available to another Party, on request, information on its import procedures and its basis for determining the nature and frequency of import checks, including the factors it considers to determine the risks associated with importations. 4. A Party may change the frequency of its import checks as a result of experience gained through import checks or as a result of actions or discussions provided for in this Chapter. 5. An importing Party shall provide to another Party, on request, information regarding the analytical methods, quality controls, sampling procedures, and facilities that the importing Party uses to test a good.</w:t>
      </w:r>
    </w:p>
    <w:p>
      <w:pPr>
        <w:pStyle w:val="Normal"/>
      </w:pPr>
      <w:r>
        <w:t>The importing Party shall ensure that any testing is conducted using appropriate and validated methods under a quality assurance program that is consistent with international laboratory standards.</w:t>
      </w:r>
    </w:p>
    <w:p>
      <w:pPr>
        <w:pStyle w:val="Normal"/>
      </w:pPr>
      <w:r>
        <w:t>The importing Party shall maintain physical or electronic documentation regarding the identification, collection, sampling, transportation and storage of the test sample, and the analytical methods used on the test sample. 6. Each Party, with respect to any import check that it conducts, shall: (a) limit any requirements regarding individual specimens or samples of an import to those that are reasonable and necessary; (b) ensure that any fees imposed for the procedures on imported products are equitable in relation to any fees charged on like domestic products or products originating in any other Party or non-Party and should be no higher than the actual cost of the service; (c) use criteria for selecting facilities at which an import check is conducted: (i) so that the location does not cause unnecessary inconvenience to an applicant or its agent, and (ii) so that the integrity of the good is preserved, except for the individual specimens or samples obtained pursuant to the requirements referred to in subparagraph (a). 7.</w:t>
      </w:r>
    </w:p>
    <w:p>
      <w:pPr>
        <w:pStyle w:val="Normal"/>
      </w:pPr>
      <w:r>
        <w:t>An importing Party shall ensure that its final decision in response to a finding of non conformity with the importing Party’s sanitary or phytosanitary measure is limited to what is reasonable and necessary in response to the non-conformity. 8.</w:t>
      </w:r>
    </w:p>
    <w:p>
      <w:pPr>
        <w:pStyle w:val="Normal"/>
      </w:pPr>
      <w:r>
        <w:t>If an importing Party prohibits or restricts the importation of a good of another Party on the basis of an adverse result of an import check, the importing Party shall provide a notification, if practicable by electronic means, about the adverse result to at least one of the following: the importer or its agent; the exporter; or the manufacturer. 9. When the importing Party provides a notification pursuant to paragraph 8, the Party shall: (a) include in its notification: (i) the reason for the prohibition or restriction, (ii) the legal basis or authorization for the action, and (iii) information on the status of the affected goods including, if applicable: (A) relevant laboratory results and laboratory methodologies, if requested and possible to include; (B) in the case of pest interceptions, an identification of the pests at the species level, if available; and (C) information on the disposition of goods, if appropriate; and (b) transmit the notification as soon as possible, and, in any event, under normal circumstances no later than five days after the date of the decision to prohibit or restrict, unless the good is seized by a customs administration or subject to ongoing law enforcement action. 10.</w:t>
      </w:r>
    </w:p>
    <w:p>
      <w:pPr>
        <w:pStyle w:val="Normal"/>
      </w:pPr>
      <w:r>
        <w:t>An importing Party that prohibits or restricts the importation of a good of another Party on the basis of an adverse result of an import check shall provide an opportunity for a review of the decision and consider any relevant information submitted to assist in the review.5 The review request and information should be submitted to the importing Party within a reasonable period of time. 11. Paragraph 9 does not prevent an importing Party from disposing of goods which are found to have an infectious pathogen or pest that, if urgent action is not taken, can spread and cause damage to human, animal, or plant life or health in the Party’s territory. 12. If an importing Party determines that there is a significant, sustained or recurring pattern of non-conformity with a sanitary or phytosanitary measure, the importing Party shall notify the exporting Party of the pattern of non-conformity. 13. On request, an importing Party shall provide to the exporting Party available information on goods of the exporting Party that were found not to conform to a sanitary or phytosanitary measure of the importing Party.</w:t>
      </w:r>
    </w:p>
    <w:p>
      <w:pPr>
        <w:pStyle w:val="Heading2"/>
      </w:pPr>
      <w:bookmarkStart w:id="900286" w:name="_Toc300000285"/>
      <w:r>
        <w:t xml:space="preserve">Article 9.12: Certification</w:t>
      </w:r>
      <w:bookmarkEnd w:id="900286"/>
    </w:p>
    <w:p>
      <w:pPr>
        <w:pStyle w:val="Normal"/>
      </w:pPr>
      <w:r>
        <w:t xml:space="preserve">1. The Parties recognize that assurances with respect to sanitary or phytosanitary requirements may be provided through means other than certificates. 2. Each Party shall ensure that at least one of the following conditions is satisfied before imposing a sanitary or phytosanitary certification requirement: (a) the certification requirement is based on the relevant international standards; or (b) the certification requirement is appropriate to the circumstances of risks to human, animal, or plant life or health at issue.6 5 For greater certainty, a Party shall provide an opportunity for review to at least one of the following: the importer or its agent, the exporter, or the manufacturer of the good, and the review shall be conducted by the customs administration or the relevant competent authority. 6 For greater certainty, a certification requirement concerning non-sanitary or phytosanitary requirements, including the quality of a product or information relating to consumer preferences, does not constitute a certification requirement appropriate to the circumstances of a risk to human, animal, or plant life or health. 3.</w:t>
      </w:r>
    </w:p>
    <w:p>
      <w:pPr>
        <w:pStyle w:val="Normal"/>
      </w:pPr>
      <w:r>
        <w:t>If an importing Party requires certification for trade in a good, that Party shall ensure that the certification requirement is applied only to the extent necessary to meet its appropriate level of protection. 4.</w:t>
      </w:r>
    </w:p>
    <w:p>
      <w:pPr>
        <w:pStyle w:val="Normal"/>
      </w:pPr>
      <w:r>
        <w:t>In applying certification requirements, an importing Party shall take into account relevant guidance of the WTO SPS Committee and relevant international standards, guidelines, and recommendations. 5. An importing Party shall limit attestations and information it requires on the certificates to essential information that is necessary to provide assurances to the importing Party that its appropriate level of protection has been met. 6. An importing Party shall provide to another Party, on request, the rationale for any attestations or information that the importing Party requires to be included on a certificate. 7. The Parties may decide to work cooperatively to develop model certificates to accompany specific goods traded between the Parties, taking into account relevant guidance of the WTO SPS Committee and relevant international standards, guidelines, and recommendations. 8. The Parties shall promote the implementation of electronic certification and other technologies to facilitate trade.</w:t>
      </w:r>
    </w:p>
    <w:p>
      <w:pPr>
        <w:pStyle w:val="Heading2"/>
      </w:pPr>
      <w:bookmarkStart w:id="900287" w:name="_Toc300000286"/>
      <w:r>
        <w:t xml:space="preserve">Article 9.13: Transparency</w:t>
      </w:r>
      <w:bookmarkEnd w:id="900287"/>
    </w:p>
    <w:p>
      <w:pPr>
        <w:pStyle w:val="Normal"/>
      </w:pPr>
      <w:r>
        <w:t xml:space="preserve">1. This Article applies to sanitary or phytosanitary measures that constitute sanitary or phytosanitary regulations for the purposes of Annex B of the SPS Agreement. 2. The Parties recognize the value of sharing information about their sanitary and phytosanitary measures on an ongoing basis, and of providing other Parties and persons of the Parties with the opportunity to comment on their proposed sanitary or phytosanitary measures. 3. In implementing this Article, each Party shall take into account relevant guidance of the WTO SPS Committee and relevant international standards, guidelines, and recommendations. 4. A Party shall notify a proposed sanitary or phytosanitary measure that may have an effect on the trade of another Party, including any that conforms to international standards, guidelines, or recommendations, by using the WTO SPS notification submission system as a means of notifying the other Parties. 5.</w:t>
      </w:r>
    </w:p>
    <w:p>
      <w:pPr>
        <w:pStyle w:val="Normal"/>
      </w:pPr>
      <w:r>
        <w:t>Unless urgent problems of human, animal, or plant life or health protection arise or threaten to arise requiring the adoption of an emergency measure, or the measure is of a trade- facilitating nature, a Party shall normally allow at least 60 days for the other Parties or persons of the Parties to provide written comments on the proposed measure, other than proposed legislation, after it makes the notification under paragraph 4.</w:t>
      </w:r>
    </w:p>
    <w:p>
      <w:pPr>
        <w:pStyle w:val="Normal"/>
      </w:pPr>
      <w:r>
        <w:t>The Party shall consider any reasonable request from another Party or persons of the Parties to extend the comment period. On request of another Party, the Party shall respond to the written comments of the other Party in an appropriate manner. 6. The Party shall make available on a free, publicly available website or official journal, the proposed sanitary or phytosanitary measure notified under paragraph 4, the legal basis for the measure, and the written comments or a summary of the written comments that the Party has received from the public on the proposed measure. 7. If a Party proposes a sanitary or phytosanitary measure that does not conform to a relevant international standard, guideline, or recommendation, the Party shall provide to another Party, on request, the relevant documentation that the Party considered in developing the proposed measure, including documented and objective scientific evidence related to the measure, such as risk assessments, relevant studies, and expert opinions. 8.</w:t>
      </w:r>
    </w:p>
    <w:p>
      <w:pPr>
        <w:pStyle w:val="Normal"/>
      </w:pPr>
      <w:r>
        <w:t>A Party that proposes to adopt a sanitary or phytosanitary measure shall discuss with another Party, on request and when appropriate during its regulatory process, any scientific or trade concerns that the other Party may raise regarding the proposed measure and the availability of alternative, less trade-restrictive approaches for achieving the Party’s appropriate level of protection. 9.</w:t>
      </w:r>
    </w:p>
    <w:p>
      <w:pPr>
        <w:pStyle w:val="Normal"/>
      </w:pPr>
      <w:r>
        <w:t>Each Party shall publish, preferably by electronic means, notices of final sanitary or phytosanitary measures in an official journal or website. 10. Each Party shall notify the other Parties of final sanitary or phytosanitary measures through the WTO SPS notification submission system. Each Party shall ensure that the text or the notice of a final sanitary or phytosanitary measure specifies the date on which the measure takes effect and the legal basis for the measure. A Party shall also make available to another Party, on request, and to the extent permitted by the confidentiality and privacy requirements of the Party’s law, significant written comments and relevant documentation considered to support the measure that were received during the comment period. 11. If a final sanitary or phytosanitary measure is substantively altered from the proposed measure, a Party shall also include in the notice of the final sanitary or phytosanitary measure that it publishes, an explanation of: (a) the objective and rationale of the measure and how the measure advances that objective and rationale; and (b) any substantive revisions that it made to the proposed measure. 12.</w:t>
      </w:r>
    </w:p>
    <w:p>
      <w:pPr>
        <w:pStyle w:val="Normal"/>
      </w:pPr>
      <w:r>
        <w:t>An exporting Party shall notify the importing Party through the contact points referred to in Article 9.5 (Competent Authorities and Contact Points) in a timely and appropriate manner: (a) if it has knowledge of a significant sanitary or phytosanitary risk related to the export of a good from its territory; (b) of urgent situations where a change in animal or plant health status in the territory of the exporting Party may affect current trade; (c) of significant changes in the status of a regionalized pest or disease; (d) of new scientific findings of importance which affect the regulatory response with respect to food safety, pests, or diseases; and (e) of significant changes in food safety, pest, or disease management, control or eradication policies or practices that may affect trade. 13.</w:t>
      </w:r>
    </w:p>
    <w:p>
      <w:pPr>
        <w:pStyle w:val="Normal"/>
      </w:pPr>
      <w:r>
        <w:t>If feasible and appropriate, a Party shall normally provide an interval of not less than six months between the date it publishes a final sanitary or phytosanitary measure and the date on which the measure takes effect, unless the measure is intended to address an urgent problem of human, animal, or plant life or health protection or the measure facilitates trade. 14. A Party shall make available to another Party, on request, all sanitary or phytosanitary measures related to the importation of a good into that Party’s territory.</w:t>
      </w:r>
    </w:p>
    <w:p>
      <w:pPr>
        <w:pStyle w:val="Heading2"/>
      </w:pPr>
      <w:bookmarkStart w:id="900288" w:name="_Toc300000287"/>
      <w:r>
        <w:t xml:space="preserve">Article 9.14: Emergency Measures</w:t>
      </w:r>
      <w:bookmarkEnd w:id="900288"/>
    </w:p>
    <w:p>
      <w:pPr>
        <w:pStyle w:val="Normal"/>
      </w:pPr>
      <w:r>
        <w:t xml:space="preserve">1. If an importing Party adopts an emergency measure to address an urgent problem of human, animal or plant life or health that arises or threatens to arise, and applies it to the exports of another Party the importing Party shall promptly notify in writing each affected Party of that measure through the normal channels. The importing Party shall take into consideration any information provided by an affected Party in response to the notification. 2. If an importing Party adopts an emergency measure under paragraph 1, it shall review the scientific basis of that measure within six months and make available the results of the review to any Party on request. If the emergency measure is maintained after the review, because the reason for its adoption remains, the Party should review the measure periodically.</w:t>
      </w:r>
    </w:p>
    <w:p>
      <w:pPr>
        <w:pStyle w:val="Heading2"/>
      </w:pPr>
      <w:bookmarkStart w:id="900289" w:name="_Toc300000288"/>
      <w:r>
        <w:t xml:space="preserve">Article 9.15: Information Exchange</w:t>
      </w:r>
      <w:bookmarkEnd w:id="900289"/>
    </w:p>
    <w:p>
      <w:pPr>
        <w:pStyle w:val="Normal"/>
      </w:pPr>
      <w:r>
        <w:t xml:space="preserve">A Party may request information from another Party on a matter arising under this Chapter. A Party that receives a request for information shall endeavor to provide available information to the requesting Party within a reasonable period of time, and if possible, by electronic means.</w:t>
      </w:r>
    </w:p>
    <w:p>
      <w:pPr>
        <w:pStyle w:val="Heading2"/>
      </w:pPr>
      <w:bookmarkStart w:id="900290" w:name="_Toc300000289"/>
      <w:r>
        <w:t xml:space="preserve">Article 9.16: Cooperation</w:t>
      </w:r>
      <w:bookmarkEnd w:id="900290"/>
    </w:p>
    <w:p>
      <w:pPr>
        <w:pStyle w:val="Normal"/>
      </w:pPr>
      <w:r>
        <w:t xml:space="preserve">1. The Parties shall explore opportunities for further cooperation, collaboration, and information exchange between the Parties on sanitary and phytosanitary matters of mutual interest, consistent with this Chapter. Those opportunities may include trade facilitation initiatives and technical assistance. The Parties shall cooperate to facilitate the implementation of this Chapter. 2. The Parties shall cooperate and may work, as mutually decided, on sanitary and phytosanitary matters, including to develop as appropriate, common principles, guidelines, and approaches on matters covered by this Chapter, with the goal of eliminating unecessary obstacles to trade between the Parties. 3. If mutually decided, the Parties shall share information on their respective approaches to risk management with the objective of enhancing the compatibility of their risk management approaches. 4. The Parties are encouraged to create and develop initiatives to facilitate and promote the compatibility of their sanitary or phytosanitary measures. 5.</w:t>
      </w:r>
    </w:p>
    <w:p>
      <w:pPr>
        <w:pStyle w:val="Normal"/>
      </w:pPr>
      <w:r>
        <w:t>If there is mutual interest and with the objective of establishing a common scientific foundation for each Party’s risk management approach, the competent authorities of the Parties are encouraged to: (a) share best practices on their respective approaches to risk analysis; (b) cooperate on joint scientific data collection; (c) if feasible and appropriate, undertake science-based joint risk assessments; (d) if applicable and in accordance with the procedures, policies, resources, laws, and regulations of each Party, provide access to their respective completed risk assessments and the data used to develop risk assessments; or (e) if appropriate, cooperate on aligning data requirements for risk assessments.</w:t>
      </w:r>
    </w:p>
    <w:p>
      <w:pPr>
        <w:pStyle w:val="Heading2"/>
      </w:pPr>
      <w:bookmarkStart w:id="900291" w:name="_Toc300000290"/>
      <w:r>
        <w:t xml:space="preserve">Article 9.17: Committee on Sanitary and Phytosanitary Measures</w:t>
      </w:r>
      <w:bookmarkEnd w:id="900291"/>
    </w:p>
    <w:p>
      <w:pPr>
        <w:pStyle w:val="Normal"/>
      </w:pPr>
      <w:r>
        <w:t xml:space="preserve">1. For the purposes of the effective implementation and operation of this Chapter, the Parties hereby establish a Committee on Sanitary and Phytosanitary Measures, composed of government representatives of each Party responsible for sanitary and phytosanitary matters. 2. The SPS Committee shall serve as a forum: (a) to consider any matter related to this Chapter, including relating to its implementation; (b) to improve the Parties’ understanding of sanitary or phytosanitary issues that relate to the implementation of the SPS Agreement or this Chapter; (c) to enhance mutual understanding of each Party’s sanitary or phytosanitary measures or the regulatory processes that relate to those measures; (d) to enhance communication and cooperation among the Parties related to sanitary or phytosanitary matters;</w:t>
      </w:r>
    </w:p>
    <w:p>
      <w:pPr>
        <w:pStyle w:val="Normal"/>
      </w:pPr>
      <w:r>
        <w:t>(e) to identify and discuss, at an early appropriate stage, proposed sanitary or phytosanitary measures or revisions to existing sanitary or phytosanitary measures that may have a significant effect on trade in North America including for the purposes of issue avoidance and facilitating greater alignment of sanitary or phytosanitary measures; and (f) for a Party to share information, as appropriate, on a sanitary or phytosanitary matter that has arisen between it and another Party or Parties. 3.</w:t>
      </w:r>
    </w:p>
    <w:p>
      <w:pPr>
        <w:pStyle w:val="Normal"/>
      </w:pPr>
      <w:r>
        <w:t>The SPS Committee may serve as a forum: (a) if appropriate, to identify and develop technical assistance and cooperation projects between the Parties on sanitary and phytosanitary measures; (b) to consult on matters and positions for meetings of the WTO SPS Committee, and meetings held under the auspices of the Codex Alimentarius Commission, the World Organisation for Animal Health, the International Plant Protection Convention, and other international organizations as appropriate; (c) to identify, prioritize, manage, and resolve bilateral or trilateral issues; (d) to review progress on addressing specific trade concerns related to the application of a sanitary or phytosanitary measure, with a view to facilitating mutually acceptable solution; (e) to establish and, as appropriate, determine the scope and mandate of technical working groups in areas such as, animal health, plant health, food safety, or pesticides, taking into account existing mechanisms, to undertake work related to the implementation of this Chapter; (f) to provide guidance to technical working groups, as needed and appropriate, for the identification, prioritization, and management of sanitary or phytosanitary matters;</w:t>
      </w:r>
    </w:p>
    <w:p>
      <w:pPr>
        <w:pStyle w:val="Normal"/>
      </w:pPr>
      <w:r>
        <w:t>(g) to request updates and discuss the work of the technical working groups; (h) to review the recommendation from a technical working group regarding whether it should be continued, suspended, or dissolved; (i) to seek, to the extent practicable, the assistance of relevant international or</w:t>
      </w:r>
    </w:p>
    <w:p>
      <w:pPr>
        <w:pStyle w:val="Normal"/>
      </w:pPr>
      <w:r>
        <w:t>regional organizations, such as the North American Plant Protection Organization, to obtain available scientific and technical advice and minimize duplication of effort; and (j) to facilitate the development, as appropriate, of common principles, guidelines and approaches on matters covered by this Chapter. 4. The SPS Committee shall establish its terms of reference at its first meeting and may revise those terms of reference as needed. 5. The SPS Committee shall meet within one year of the date of entry into force of this Agreement and once a year thereafter unless the Parties decide otherwise. 6. The SPS Committee shall report annually to the Commission on the implementation of this Chapter.</w:t>
      </w:r>
    </w:p>
    <w:p>
      <w:pPr>
        <w:pStyle w:val="Heading2"/>
      </w:pPr>
      <w:bookmarkStart w:id="900292" w:name="_Toc300000291"/>
      <w:r>
        <w:t xml:space="preserve">Article 9.18: Technical Working Groups</w:t>
      </w:r>
      <w:bookmarkEnd w:id="900292"/>
    </w:p>
    <w:p>
      <w:pPr>
        <w:pStyle w:val="Normal"/>
      </w:pPr>
      <w:r>
        <w:t xml:space="preserve">1. A technical working group may function on an on-going or ad hoc basis. 2. Any on-going technical working group shall meet on an annual basis unless otherwise decided by the Parties participating in the technical working group. Any ad hoc technical working group shall meet as frequently as decided by the Parties participating in the technical working group. 3. At the first meeting of a technical working group, the participating Parties shall establish the working group’s terms of reference, unless the Parties decide otherwise. 4. Any technical working group established under Article 9.17.3(e) (Committee on Sanitary and Phytosanitary Measures) may: (a) engage, at the earliest appropriate stage, in scientific or technical exchange and cooperation regarding sanitary or phytosanitary matters; (b) consider any sanitary or phytosanitary measure or set of measures identified by any Party that are likely to affect, directly or indirectly, trade, and provide technical advice with a view to facilitating the resolution of specific trade concerns relating to those measures;</w:t>
      </w:r>
    </w:p>
    <w:p>
      <w:pPr>
        <w:pStyle w:val="Normal"/>
      </w:pPr>
      <w:r>
        <w:t>(c) serve as a forum to facilitate discussion and consideration of specific risk assessments and possible risk management options; (d) provide an opportunity for Parties to discuss developments relevant to the work of the technical working group; (e) discuss other issues related to this Chapter; and (f) report to the SPS Committee on progress of work, as appropriate. 5.</w:t>
      </w:r>
    </w:p>
    <w:p>
      <w:pPr>
        <w:pStyle w:val="Normal"/>
      </w:pPr>
      <w:r>
        <w:t>A technical working group may provide the SPS Committee with the recommendation that it be continued, suspended, or dissolved. 6. Each technical working group shall be co-chaired by representatives of the participating Parties. 7. The Parties may seek to resolve any specific trade concern through the relevant technical working group.</w:t>
      </w:r>
    </w:p>
    <w:p>
      <w:pPr>
        <w:pStyle w:val="Heading2"/>
      </w:pPr>
      <w:bookmarkStart w:id="900293" w:name="_Toc300000292"/>
      <w:r>
        <w:t xml:space="preserve">Article 9.19: Technical Consultations</w:t>
      </w:r>
      <w:bookmarkEnd w:id="900293"/>
    </w:p>
    <w:p>
      <w:pPr>
        <w:pStyle w:val="Normal"/>
      </w:pPr>
      <w:r>
        <w:t xml:space="preserve">1. Recognizing that trade matters arising under this Chapter are best resolved by the appropriate competent authority, if a Party has concerns regarding any matter arising under this Chapter with respect to another Party, the Party shall endeavor to resolve the matter through available administrative procedures of the relevant competent authority or through a relevant technical working group established by the SPS Committee, if it considers that it is appropriate to do so. A Party may have recourse to technical consultations set out in paragraph 2 at any time it considers that the use of the relevant administrative procedures, the relevant technical working group, or other mechanisms would not resolve the matter. 2. A Party (requesting Party) may initiate technical consultations with another Party (responding Party) to discuss any matter arising under this Chapter that may adversely affect its trade by delivering a written request to the Contact Point of the responding Party. The request shall identify the reason for the request, including a description of the requesting Party’s concerns about the matter. 3.</w:t>
      </w:r>
    </w:p>
    <w:p>
      <w:pPr>
        <w:pStyle w:val="Normal"/>
      </w:pPr>
      <w:r>
        <w:t>The requesting and responding Parties shall meet within 30 days of the responding Party’s receipt of the request, with the aim of resolving the matter cooperatively within 180 days of the request if possible. 4.</w:t>
      </w:r>
    </w:p>
    <w:p>
      <w:pPr>
        <w:pStyle w:val="Normal"/>
      </w:pPr>
      <w:r>
        <w:t>The requesting and responding Parties shall ensure the appropriate involvement of relevant trade representatives and competent authorities in meetings held pursuant to this Article. 5. Recognizing that Parties may decide to engage in consultations pursuant to this Article for any length of time, the requesting Party may cease technical consultations under this Article and have recourse to dispute settlement under Chapter 31 (Dispute Settlement) following the meeting referred to in paragraph 3 or if the meeting is not held within 30 days as specified in paragraph 3. 6. No Party shall have recourse to dispute settlement under Chapter 31 (Dispute Settlement) for a matter arising under this Chapter without first seeking to resolve the matter through technical consultations in accordance with this Article.</w:t>
      </w:r>
    </w:p>
    <w:p>
      <w:pPr>
        <w:pStyle w:val="Heading2"/>
      </w:pPr>
      <w:bookmarkStart w:id="900294" w:name="_Toc300000293"/>
      <w:r>
        <w:t xml:space="preserve">Article 9.20: Dispute Settlement</w:t>
      </w:r>
      <w:bookmarkEnd w:id="900294"/>
    </w:p>
    <w:p>
      <w:pPr>
        <w:pStyle w:val="Normal"/>
      </w:pPr>
      <w:r>
        <w:t xml:space="preserve">In a dispute under this Chapter that involves scientific or technical issues, a panel should seek advice from experts chosen by the panel in consultation with the disputing Parties. To this end, the panel may, if it deems appropriate, establish an advisory technical experts group, or consult the relevant international standard setting organizations, at the request of a disputing Party or on its own initiative.</w:t>
      </w:r>
    </w:p>
    <w:p>
      <w:pPr>
        <w:pStyle w:val="Heading1"/>
      </w:pPr>
      <w:bookmarkStart w:id="900295" w:name="_Toc300000294"/>
      <w:r>
        <w:t>CHAPTER 10 TRADE REMEDIES</w:t>
      </w:r>
      <w:r>
        <w:br/>
      </w:r>
      <w:r>
        <w:t>Section A: Safeguards</w:t>
      </w:r>
      <w:bookmarkEnd w:id="900295"/>
    </w:p>
    <w:p>
      <w:pPr>
        <w:pStyle w:val="Heading2"/>
      </w:pPr>
      <w:bookmarkStart w:id="900296" w:name="_Toc300000295"/>
      <w:r>
        <w:t xml:space="preserve">Article 10.1: Definitions</w:t>
      </w:r>
      <w:bookmarkEnd w:id="900296"/>
    </w:p>
    <w:p>
      <w:pPr>
        <w:pStyle w:val="Normal"/>
      </w:pPr>
      <w:r>
        <w:t xml:space="preserve">For the purposes of this Section: competent investigating authority means: (a) for Canada, the Canadian International Trade Tribunal, or its successor; (b) for Mexico, the International Trade Practices Unit of the Secretaría de Economía, or its successor; and (c) for the United States, the United States International Trade Commission, or its successor;</w:t>
      </w:r>
    </w:p>
    <w:p>
      <w:pPr>
        <w:pStyle w:val="Heading2"/>
      </w:pPr>
      <w:bookmarkStart w:id="900297" w:name="_Toc300000296"/>
      <w:r>
        <w:t xml:space="preserve">Article 10.2: Rights and Obligations</w:t>
      </w:r>
      <w:bookmarkEnd w:id="900297"/>
    </w:p>
    <w:p>
      <w:pPr>
        <w:pStyle w:val="Normal"/>
      </w:pPr>
      <w:r>
        <w:t xml:space="preserve">1. Each Party retains its rights and obligations under Article XIX of the GATT 1994 and the Safeguards Agreement except those regarding compensation or retaliation and exclusion from an action to the extent that such rights or obligations are inconsistent with this Article. Any Party taking an emergency action under Article XIX and the Safeguards Agreement shall exclude imports of a good from each other Party from the action unless: (a) imports from a Party, considered individually, account for a substantial share of total imports; and (b) imports from a Party considered individually, or in exceptional circumstances imports from Parties considered collectively, contribute importantly to the serious injury, or threat thereof, caused by imports. 2. In determining whether:</w:t>
      </w:r>
    </w:p>
    <w:p>
      <w:pPr>
        <w:pStyle w:val="Normal"/>
      </w:pPr>
      <w:r>
        <w:t>(a) imports from a Party, considered individually, account for a substantial share of total imports, those imports normally shall not be considered to account for a substantial share of total imports if that Party is not among the top five suppliers of the good subject to the proceeding, measured in terms of import share during the most recent three-year period; and (b) imports from a Party or Parties contribute importantly to the serious injury, or threat thereof, the competent investigating authority shall consider such factors as the change in the import share of each Party, and the level and change in the level of imports of each Party.</w:t>
      </w:r>
    </w:p>
    <w:p>
      <w:pPr>
        <w:pStyle w:val="Normal"/>
      </w:pPr>
      <w:r>
        <w:t>In this regard, imports from a Party normally shall not be deemed to contribute importantly to serious injury, or the threat thereof, if the growth rate of imports from a Party during the period in which the injurious surge in imports occurred is appreciably lower than the growth rate of total imports from all sources over the same period. 3. A Party taking such action, from which a good from another Party or Parties is initially excluded pursuant to paragraph 1, shall have the right subsequently to include that good from the other Party or Parties in the action in the event that the competent investigating authority determines that a surge in imports of such good from the other Party or Parties undermines the effectiveness of the action. 4. A Party shall, without delay, deliver written notice to the other Parties of the institution of a proceeding that may result in emergency action under paragraph 1 or 3. 5. No Party may impose restrictions on a good in an action under paragraph 1 or 3:</w:t>
      </w:r>
    </w:p>
    <w:p>
      <w:pPr>
        <w:pStyle w:val="Normal"/>
      </w:pPr>
      <w:r>
        <w:t>(a) without delivery of prior written notice to the Commission, and without adequate opportunity for consultation with the Party or Parties against whose good the action is proposed to be taken, as far in advance of taking the action as practicable; and (b) that would have the effect of reducing imports of such good from a Party below the trend of imports of the good from that Party over a recent representative base period with allowance for reasonable growth. 6.</w:t>
      </w:r>
    </w:p>
    <w:p>
      <w:pPr>
        <w:pStyle w:val="Normal"/>
      </w:pPr>
      <w:r>
        <w:t>The Party taking an action pursuant to this Article shall provide to the Party or Parties against whose good the action is taken mutually agreed trade liberalizing compensation in the form of concessions having substantially equivalent trade effects or equivalent to the value of the additional duties expected to result from the action. If the Parties concerned are unable to agree on compensation, the Party against whose good the action is taken may take action having trade effects substantially equivalent to the action taken under paragraph 1 or 3.</w:t>
      </w:r>
    </w:p>
    <w:p>
      <w:pPr>
        <w:pStyle w:val="Heading2"/>
      </w:pPr>
      <w:bookmarkStart w:id="900298" w:name="_Toc300000297"/>
      <w:r>
        <w:t xml:space="preserve">Article 10.3: Administration of Emergency Action Proceedings</w:t>
      </w:r>
      <w:bookmarkEnd w:id="900298"/>
    </w:p>
    <w:p>
      <w:pPr>
        <w:pStyle w:val="Normal"/>
      </w:pPr>
      <w:r>
        <w:t xml:space="preserve">Each Party shall entrust determinations of serious injury, or threat thereof, in emergency action proceedings to a competent investigating authority, subject to review by judicial or administrative tribunals, to the extent provided by domestic law. Negative injury determinations shall not be subject to modification, except by such review. The competent investigating authority empowered under domestic law to conduct such proceedings should be provided with the necessary resources to enable it to fulfill its duties. Section B: Antidumping and Countervailing Duties</w:t>
      </w:r>
    </w:p>
    <w:p>
      <w:pPr>
        <w:pStyle w:val="Heading2"/>
      </w:pPr>
      <w:bookmarkStart w:id="900299" w:name="_Toc300000298"/>
      <w:r>
        <w:t xml:space="preserve">Article 10.4: Definitions</w:t>
      </w:r>
      <w:bookmarkEnd w:id="900299"/>
    </w:p>
    <w:p>
      <w:pPr>
        <w:pStyle w:val="Normal"/>
      </w:pPr>
      <w:r>
        <w:t xml:space="preserve">For purposes of this Section and Annex 10-A (Practices Relating to Antidumping and Countervailing Duty Proceedings): confidential information means information that is provided to an investigating authority on a confidential basis and that is by its nature confidential (for example, because its disclosure would be of significant competitive advantage to a competitor or because its disclosure would have a significantly adverse effect upon a person supplying the information or upon a person from whom that person acquired the information), whether in its original form or in a form other than the one in which it was originally provided; interested party1 means: (a) an exporter, foreign producer, or importer of a product subject to a proceeding, or a trade or business association a majority of the members of which are producers, exporters, or importers of such product; (b) the government of the exporting Party;</w:t>
      </w:r>
    </w:p>
    <w:p>
      <w:pPr>
        <w:pStyle w:val="Normal"/>
      </w:pPr>
      <w:r>
        <w:t>(c) a producer of the like product in the territory of the importing Party, or a trade and business association a majority of the members of which produce the like product in the territory of the importing Party; or (d) any other person treated as an interested party by the investigating authority of the importing Party; investigating authority means any authority of a Party that conducts antidumping or countervailing duty proceedings; proceeding means: 1 For greater certainty, an entity or person may be an interested party as long as they fulfill</w:t>
      </w:r>
    </w:p>
    <w:p>
      <w:pPr>
        <w:pStyle w:val="Normal"/>
      </w:pPr>
      <w:r>
        <w:t>all the corresponding requirements, if any, provided in the law of the importing Party. (a) for Mexico, an antidumping or countervailing duty investigation, review, or other relevant set of formalities and acts provided by the legal system which precede the issuance of the administrative act conducted by an investigating authority; and (b) for Canada and the United States, all segments of a proceeding, and begins on the date of the formal filing of an antidumping or countervailing duty application, or the publication of a notice of initiation in a self-initiated investigation, and ends with the conclusion of all administrative action pertaining to the product under consideration. For Canada, the formal filing of an antidumping or countervailing duty application corresponds to the determination that a complaint is properly documented; responding party means:</w:t>
      </w:r>
    </w:p>
    <w:p>
      <w:pPr>
        <w:pStyle w:val="Normal"/>
      </w:pPr>
      <w:r>
        <w:t>(a) for Canada and Mexico, a person or entity that an investigating authority of a Party requires to respond to an antidumping or countervailing duty questionnaire or any other request; and (b) for the United States, a producer, manufacturer, exporter, importer, or, where appropriate, a government or government entity, that an investigating authority of a Party requires to respond to an antidumping or countervailing duty questionnaire; and segment of a proceeding means for Canada and the United States, 2 an antidumping or countervailing duty investigation, review, or other relevant action conducted by an investigating</w:t>
      </w:r>
    </w:p>
    <w:p>
      <w:pPr>
        <w:pStyle w:val="Normal"/>
      </w:pPr>
      <w:r>
        <w:t>authority. For Canada, relevant actions conducted by an investigating authority do not cover duty assessment and related procedures.</w:t>
      </w:r>
    </w:p>
    <w:p>
      <w:pPr>
        <w:pStyle w:val="Heading2"/>
      </w:pPr>
      <w:bookmarkStart w:id="900300" w:name="_Toc300000299"/>
      <w:r>
        <w:t xml:space="preserve">Article 10.5: Rights and Obligations</w:t>
      </w:r>
      <w:bookmarkEnd w:id="900300"/>
    </w:p>
    <w:p>
      <w:pPr>
        <w:pStyle w:val="Normal"/>
      </w:pPr>
      <w:r>
        <w:t xml:space="preserve">1. Each Party retains its rights and obligations under Article VI of GATT 1994, the AD Agreement, and the SCM Agreement. 2. Except as provided in Annex 10-A (Practices Relating to Antidumping and Countervailing Duty Proceedings), nothing in this Agreement shall be construed to confer any rights or impose any obligations on the Parties with respect to antidumping or countervailing duty proceedings or measures taken pursuant to Article VI of GATT 1994, the AD Agreement, or the SCM Agreement. 2 For Mexico, “segment of a proceeding” does not apply. 3. No Party shall have recourse to dispute settlement under this Agreement for any matter arising under this Section or Annex 10-A (Practices Relating to Antidumping and Countervailing Duty Proceedings). Section C: Cooperation on Preventing Duty Evasion of Trade Remedy Laws</w:t>
      </w:r>
    </w:p>
    <w:p>
      <w:pPr>
        <w:pStyle w:val="Heading2"/>
      </w:pPr>
      <w:bookmarkStart w:id="900301" w:name="_Toc300000300"/>
      <w:r>
        <w:t xml:space="preserve">Article 10.6: General</w:t>
      </w:r>
      <w:bookmarkEnd w:id="900301"/>
    </w:p>
    <w:p>
      <w:pPr>
        <w:pStyle w:val="Normal"/>
      </w:pPr>
      <w:r>
        <w:t xml:space="preserve">1. The Parties recognize their shared concerns regarding duty evasion3 of antidumping, countervailing, and safeguard duties, and the importance of cooperation, including through information sharing, to combat duty evasion. 2. The Parties agree to strengthen and expand their customs and trade enforcement efforts in matters related to duty evasion, and to strengthen their cooperation as set out in the Article 10.7 (Duty Evasion Cooperation).</w:t>
      </w:r>
    </w:p>
    <w:p>
      <w:pPr>
        <w:pStyle w:val="Heading2"/>
      </w:pPr>
      <w:bookmarkStart w:id="900302" w:name="_Toc300000301"/>
      <w:r>
        <w:t xml:space="preserve">Article 10.7: Duty Evasion Cooperation</w:t>
      </w:r>
      <w:bookmarkEnd w:id="900302"/>
    </w:p>
    <w:p>
      <w:pPr>
        <w:pStyle w:val="Normal"/>
      </w:pPr>
      <w:r>
        <w:t xml:space="preserve">1. Each Party shall, in accordance with its law cooperate with the other Parties for the purposes of enforcing or assisting in the enforcement of their respective measures concerning duty evasion. 2. Each Party shall, subject to its law, share customs information with the other Parties pertaining to imports, exports, and transit transactions, to help enable the Parties to combat duty evasion and conduct joint or coordinated analysis and investigations of suspected duty evasion. In addition, each Party shall maintain a mechanism through which it can share information with the other Parties regarding entries that may involve evasion of antidumping, countervailing, or safeguard duties, including the information described in paragraph 3. The information referred to in this paragraph may be trader-specific or it may include an industry sector or group of traders. 3.</w:t>
      </w:r>
    </w:p>
    <w:p>
      <w:pPr>
        <w:pStyle w:val="Normal"/>
      </w:pPr>
      <w:r>
        <w:t>Each Party shall, subject to its law and on the request of another Party, provide the requesting Party with information collected in connection with the imports, exports and transit, and other relevant information that it has or can reasonably obtain, that will help enable the requesting Party to determine whether an entry into its territory is subject to antidumping, countervailing, or safeguard duties imposed by the requesting Party.4 3 For purposes of this Section, “duty evasion” refers to evasion of antidumping, countervailing, or safeguards duties.</w:t>
      </w:r>
    </w:p>
    <w:p>
      <w:pPr>
        <w:pStyle w:val="Normal"/>
      </w:pPr>
      <w:r>
        <w:t>4 For greater certainty, nothing in this Section shall be construed as an obligation on the requested Party to provide an original or copy of an export declaration submitted to its customs administration. 4. A request for information described in paragraph 3 shall be made in writing, by the customs administration of the requesting Party to the customs authority of the requested Party, by electronic means or any other acceptable method, and shall include sufficient information for the requested Party to respond. 5. A Party may request in writing that another Party conduct a duty evasion verification5 in the requested Party’s territory for the purposes of obtaining information, including documents, from an exporter or producer, to enable the requesting Party to determine whether a particular entry into the requesting Party’s territory is subject to antidumping, countervailing, or safeguard duties imposed by the requesting Party. The requested Party shall respond to the request promptly and in any case no later than 30 days after the date it receives the request.</w:t>
      </w:r>
    </w:p>
    <w:p>
      <w:pPr>
        <w:pStyle w:val="Normal"/>
      </w:pPr>
      <w:r>
        <w:t>The response must include whether it will conduct the duty evasion verification. If the Party does not intend to conduct the duty evasion verification, the response must indicate the basis for refusal. If a Party will conduct the duty evasion verification, the response must indicate the intended timing and other relevant details. 6.</w:t>
      </w:r>
    </w:p>
    <w:p>
      <w:pPr>
        <w:pStyle w:val="Normal"/>
      </w:pPr>
      <w:r>
        <w:t>If the requested Party conducts a duty evasion verification under paragraph 5 it shall provide the requesting Party promptly on completing the duty evasion verification a report containing the relevant information including data and documents, obtained during its duty evasion verification. 7. Regardless of whether a request to conduct a verification was made under paragraph 5, a duty evasion verification may be conducted in the relevant facilities located in the territory of the requested Party, as a result of a request. The requested Party normally shall grant the other Party access to its territory to participate in the duty evasion verification, absent extraordinary circumstances, provided that: (a) the duty evasion verification is subject to mutually agreed conditions and procedures between the Parties;6 (b) the requesting Party gives reasonable advance notice to the requested Party before the proposed date of the duty evasion verification; and (c) the parties to be verified in the requested Party consent to the duty evasion verification.</w:t>
      </w:r>
    </w:p>
    <w:p>
      <w:pPr>
        <w:pStyle w:val="Normal"/>
      </w:pPr>
      <w:r>
        <w:t>5 For greater certainty, a duty evasion verification visit to facilities located in the territory of a requested Party shall be subject to paragraph 7. 6 For the purposes of subparagraph (a), the Parties may agree to use any applicable mechanism, including existing bilateral cooperation mechanisms. 8.</w:t>
      </w:r>
    </w:p>
    <w:p>
      <w:pPr>
        <w:pStyle w:val="Normal"/>
      </w:pPr>
      <w:r>
        <w:t>Each Party shall maintain procedures that permit the sharing of confidential information with the other Parties, as a result of a request under paragraph 3 or a duty evasion verification report under paragraph 6, for the limited purpose of determining if duty evasion exists. If a Party, or a verified party, provides information to another Party in accordance with this Section and designates the information as confidential or is confidential under the receiving Party’s law, such receiving Party shall keep the information confidential in accordance with its law. If the receiving Party has not kept the information confidential in accordance with its law, a Party may decline to provide information requested by another Party in future requests for confidential information. The receiving Party may use or disclose confidential information received from the other Party under this Section but only for the purposes of administration or enforcement of its customs laws or as otherwise provided under the Party’s law, including in an administrative, quasi-judicial, or judicial proceeding. SECTION D: REVIEW AND DISPUTE SETTLEMENT IN ANTIDUMPING AND COUNTERVAILING DUTY MATTERS</w:t>
      </w:r>
    </w:p>
    <w:p>
      <w:pPr>
        <w:pStyle w:val="Heading2"/>
      </w:pPr>
      <w:bookmarkStart w:id="900303" w:name="_Toc300000302"/>
      <w:r>
        <w:t xml:space="preserve">Article 10.8: Definitions</w:t>
      </w:r>
      <w:bookmarkEnd w:id="900303"/>
    </w:p>
    <w:p>
      <w:pPr>
        <w:pStyle w:val="Normal"/>
      </w:pPr>
      <w:r>
        <w:t xml:space="preserve">For purposes of this Section and Annex 10-B.1 (Establishment of Binational Panels), Annex 10-B.2 (Panel Procedures under Article 10.11), Annex 10-B.3 (Extraordinary Challenge Procedure), Annex 10-B.4 (Special Committee Procedures), and Annex 10-B.5 (Amendments to Domestic Laws): administrative record means, unless otherwise agreed by the Parties and the other persons appearing before a panel: (a) all documentary or other information presented to or obtained by the competent investigating authority in the course of the administrative proceeding, including any governmental memoranda pertaining to the case, and including any record of ex parte meetings as may be required to be kept; (b) a copy of the final determination of the competent investigating authority, including reasons for the determination; (c) all transcripts or records of conferences or hearings before the competent investigating authority; and (d) all notices published in the official journal of the importing Party in connection with the administrative proceeding; antidumping statute means: (a) in the case of Canada, the relevant provisions of the Special Import Measures Act, as amended, and any successor statutes;</w:t>
      </w:r>
    </w:p>
    <w:p>
      <w:pPr>
        <w:pStyle w:val="Normal"/>
      </w:pPr>
      <w:r>
        <w:t>(b) in the case of Mexico, the relevant provisions of the Foreign Trade Act (Ley de Comercio Exterior), as amended, and any successor statutes; (c) in the case of the United States, the relevant provisions of Title VII of the Tariff Act of 1930, as amended, and any successor</w:t>
      </w:r>
    </w:p>
    <w:p>
      <w:pPr>
        <w:pStyle w:val="Normal"/>
      </w:pPr>
      <w:r>
        <w:t>statutes; and (d) the provisions of any other statute that provides for judicial review of final determinations under subparagraph (a), (b), or (c), or indicates the standard of review to be applied to such determinations; competent investigating authority means: (a) in the case of Canada: (i) the President of the Canada Border Services Agency as defined in the Special Import Measures Act, as amended, or the President’s successor; or (ii) the Canadian International Trade Tribunal, or its successor; (b) in the case of Mexico, the designated authority within the Secretariat of Economy (Secretaría de Economía), or its successor; and (c) in the case of the United States: (i) the International Trade Administration of the United States Department of Commerce, or its successor, or (ii) the United States International Trade Commission, or its successor; countervailing duty statute means: (a) in the case of Canada, the relevant provisions of the Special Import Measures Act, as amended, and any successor statutes;</w:t>
      </w:r>
    </w:p>
    <w:p>
      <w:pPr>
        <w:pStyle w:val="Normal"/>
      </w:pPr>
      <w:r>
        <w:t>(b) in the case of Mexico, the relevant provisions of the Foreign Trade Act (Ley de Comercio Exterior), as amended, and any successor statutes; (c) in the case of the United States, section 303 and the relevant provisions of Title VII of the Tariff Act of 1930, as amended, and any successor statutes; and (d) the provisions of any other statute that provides for judicial review of final determinations under subparagraph (a), (b), or (c), or indicates the standard of review</w:t>
      </w:r>
    </w:p>
    <w:p>
      <w:pPr>
        <w:pStyle w:val="Normal"/>
      </w:pPr>
      <w:r>
        <w:t>to be applied to such determinations; domestic law for purposes of Article 10.13.1 (Safeguarding the Panel Review System) means a Party’s constitution, statutes, regulations and judicial decisions to the extent they are relevant to the antidumping and countervailing duty laws; final determination means: (a) in the case of Canada:</w:t>
      </w:r>
    </w:p>
    <w:p>
      <w:pPr>
        <w:pStyle w:val="Normal"/>
      </w:pPr>
      <w:r>
        <w:t>(i) an order or finding of the Canadian International Trade Tribunal under subsection 43(1) of the Special Import Measures Act, (ii) an order by the Canadian International Trade Tribunal under subsection 76(4) of the Special Import Measures Act, as amended, continuing an order or finding made under subsection 43(1) of the Act with or without amendment, (iii) a determination by the President of the Canada Border Services Agency pursuant to section 41 of the Special Import Measures Act, as amended, (iv) a redetermination by the President pursuant to section 59 of the Special Import Measures Act, as amended, (v) a decision by the Canadian International Trade Tribunal pursuant to subsection 76(3) of the Special Import Measures Act, as amended, not to initiate a review, (vi) a reconsideration by the Canadian International Trade Tribunal pursuant to subsection 91(3) of the Special Import Measures Act, as amended, and (vii) a review by the President of an undertaking pursuant to subsection 53(1) of the Special Import Measures Act, as amended; and (b) in the case of Mexico:</w:t>
      </w:r>
    </w:p>
    <w:p>
      <w:pPr>
        <w:pStyle w:val="Normal"/>
      </w:pPr>
      <w:r>
        <w:t>(i) a final resolution regarding antidumping or countervailing duties investigations</w:t>
      </w:r>
    </w:p>
    <w:p>
      <w:pPr>
        <w:pStyle w:val="Normal"/>
      </w:pPr>
      <w:r>
        <w:t>by the Secretariat of Economy (Secretaría de Economía), pursuant to Article 59 of the Foreign Trade Act (Ley de Comercio Exterior), as amended, (ii) a final resolution regarding an annual administrative review of antidumping or countervailing duties by the Secretariat of Economy (Secretaría de Economía), as described in subparagraph (o) of its Schedule to Annex 10-B.5 (Amendments to Domestic Laws), and (iii) a final resolution by the Secretariat of Economy (Secretaría de Economía), as to whether a particular type of merchandise is within the class or kind of merchandise described in an existing antidumping or countervailing duty resolution; and (c) in the case of the United States:</w:t>
      </w:r>
    </w:p>
    <w:p>
      <w:pPr>
        <w:pStyle w:val="Normal"/>
      </w:pPr>
      <w:r>
        <w:t>(i) a final affirmative determination by the International Trade Administration of the United States Department of Commerce or by the United States International Trade Commission under section 705 or 735 of the Tariff Act of 1930, as amended, including any negative part of such a determination, (ii) a final negative determination by the International Trade Administration of the United States Department of Commerce or by the United States International Trade Commission under section 705 or 735 of the Tariff Act of 1930, as amended, including any affirmative part of such a determination, (iii) a final determination, other than a determination in (iv), under section 751 of the Tariff Act of 1930, as amended, (iv) a determination by the United States International Trade Commission under section 751(b)</w:t>
      </w:r>
    </w:p>
    <w:p>
      <w:pPr>
        <w:pStyle w:val="Normal"/>
      </w:pPr>
      <w:r>
        <w:t>of the Tariff Act of 1930, as amended, not to review a determination based on changed circumstances, and (v) a final determination by the International Trade Administration of the United States Department of Commerce as to whether a particular type of merchandise is within the class or kind of merchandise described in an existing finding of dumping or antidumping or countervailing duty order; foreign interests includes exporters or producers of the Party whose goods are the subject of the proceeding or, in the case of a countervailing duty proceeding, the government of the Party whose goods are the subject of the proceeding; general legal principles includes principles such as standing, due process, rules of statutory construction, mootness and exhaustion of administrative remedies; goods of a Party means domestic products as these are understood in the GATT 1994; importing Party means the Party that issued the final determination; interested parties includes foreign interests; involved Party means:</w:t>
      </w:r>
    </w:p>
    <w:p>
      <w:pPr>
        <w:pStyle w:val="Normal"/>
      </w:pPr>
      <w:r>
        <w:t>(a) the importing Party; or (b) a Party whose goods are the subject of the final determination; remand means a referral back for a determination not inconsistent with the panel or committee decision; and standard of review means the following standards, as may be amended from time to time by the relevant Party: (a) in the case of Canada, the grounds set out in subsection 18.1(4) of the Federal Court Act, as amended, with respect to all final determinations; (b) in the case of</w:t>
      </w:r>
    </w:p>
    <w:p>
      <w:pPr>
        <w:pStyle w:val="Normal"/>
      </w:pPr>
      <w:r>
        <w:t>Mexico, the standard set out in Article 51 of the Federal Act of Administrative Litigation Procedure (Ley Federal de Procedimiento Contencioso Administrativo), or any successor statutes, based solely on the administrative record; and (c) in the case of the United States; (i) the standard set out in section 516A(b)(l)(B) of the Tariff Act of 1930, as amended, with the exception of a determination referred to in (ii); and (ii) the standard set out in section 516A(b)(l)(A) of the Tariff Act of 1930, as amended, with respect to a determination by the United States International Trade Commission not to initiate a review pursuant to section 751(b) of the Tariff Act of 1930, as amended.</w:t>
      </w:r>
    </w:p>
    <w:p>
      <w:pPr>
        <w:pStyle w:val="Heading2"/>
      </w:pPr>
      <w:bookmarkStart w:id="900304" w:name="_Toc300000303"/>
      <w:r>
        <w:t xml:space="preserve">Article 10.9: General Provisions</w:t>
      </w:r>
      <w:bookmarkEnd w:id="900304"/>
    </w:p>
    <w:p>
      <w:pPr>
        <w:pStyle w:val="Normal"/>
      </w:pPr>
      <w:r>
        <w:t xml:space="preserve">1. Article 10.12 (Review of Final Antidumping Law and Countervailing Duty Law) applies only with respect to goods that the competent investigating authority of the importing Party, applying the importing Party’s antidumping or countervailing duty law to the facts of a specific case, determines are goods of another Party. 2. For purposes of Article 10.11 (Review of Statutory Amendments) and Article 10.12 (Review of Final Antidumping Law and Countervailing Duty Law), panels shall be established in accordance with the provisions of Annex 10-B.1 (Establishment of Binational Panels). 3. Except for Article 34.5 (Entry into Force), no provision of any other Chapter of this Agreement shall be construed as imposing obligations on a Party with respect to the Party’s antidumping law or countervailing duty law.</w:t>
      </w:r>
    </w:p>
    <w:p>
      <w:pPr>
        <w:pStyle w:val="Heading2"/>
      </w:pPr>
      <w:bookmarkStart w:id="900305" w:name="_Toc300000304"/>
      <w:r>
        <w:t xml:space="preserve">Article 10.10: Retention of Domestic Antidumping Law and Countervailing Duty Law</w:t>
      </w:r>
      <w:bookmarkEnd w:id="900305"/>
    </w:p>
    <w:p>
      <w:pPr>
        <w:pStyle w:val="Normal"/>
      </w:pPr>
      <w:r>
        <w:t xml:space="preserve">1. Each Party reserves the right to apply its antidumping law and countervailing duty law to goods imported from the territory of any other Party. Antidumping law and countervailing duty law include, as appropriate for each Party, relevant statutes, legislative history, regulations, administrative practice, and judicial precedents. 2. Each Party reserves the right to change or modify its antidumping law or countervailing duty law, provided that in the case of an amendment to a Party’s antidumping or countervailing duty statute: (a) such amendment shall apply to goods from another Party only if the amending statute specifies that it applies to goods from that Party or from the Parties to this Agreement; (b) the amending Party notifies in writing the Parties to which the amendment applies of the amending statute as far in advance as possible of the date of enactment of such statute;</w:t>
      </w:r>
    </w:p>
    <w:p>
      <w:pPr>
        <w:pStyle w:val="Normal"/>
      </w:pPr>
      <w:r>
        <w:t>(c) following notification, the amending Party, on request of any Party to which the amendment applies, consults with that Party prior to the enactment of the amending statute; and (d) such amendment, as applicable to that other Party, is not inconsistent with: (i) GATT 1994, the AD Agreement or the SCM Agreement, or any successor agreement to which the Parties are party, or (ii) the object and purpose of this Agreement and this Chapter, which is to establish fair and predictable conditions for the progressive</w:t>
      </w:r>
    </w:p>
    <w:p>
      <w:pPr>
        <w:pStyle w:val="Normal"/>
      </w:pPr>
      <w:r>
        <w:t>liberalization of trade between the Parties to this Agreement while maintaining effective and fair disciplines on unfair trade practices, such object and purpose to be ascertained from the provisions of this Agreement, its preamble and objectives, and the practices of the Parties.</w:t>
      </w:r>
    </w:p>
    <w:p>
      <w:pPr>
        <w:pStyle w:val="Heading2"/>
      </w:pPr>
      <w:bookmarkStart w:id="900306" w:name="_Toc300000305"/>
      <w:r>
        <w:t xml:space="preserve">Article 10.11: Review of Statutory Amendments</w:t>
      </w:r>
      <w:bookmarkEnd w:id="900306"/>
    </w:p>
    <w:p>
      <w:pPr>
        <w:pStyle w:val="Normal"/>
      </w:pPr>
      <w:r>
        <w:t xml:space="preserve">1. A Party to which an amendment of another Party’s antidumping or countervailing duty statute applies may request in writing that such amendment be referred to a binational panel for a declaratory opinion as to whether: (a) the amendment does not conform to the provisions of Article 10.10(2)(d)(i) or (ii) (Retention of Domestic Antidumping Law and Countervailing Duty Law); or (b) such amendment has the function and effect of overturning a prior decision of a panel made pursuant to Article 10.12 (Review of Final Antidumping and Countervailing Duty Determinations) and does not conform to the provisions of Article 10.10(2)(d)(i) or (ii) (Retention of Domestic Antidumping Law and Countervailing Duty Law). Such declaratory opinion shall have force or effect only as provided in this Article. 2. The panel shall conduct its review in accordance with the procedures of Annex 10-B.2 (Panel Procedures under Article 10.11). 3. In the event that the panel recommends modifications to the amending statute to remedy a non-conformity that it has identified in its opinion:</w:t>
      </w:r>
    </w:p>
    <w:p>
      <w:pPr>
        <w:pStyle w:val="Normal"/>
      </w:pPr>
      <w:r>
        <w:t>(a) the two Parties shall immediately begin consultations and shall seek to achieve a mutually satisfactory solution to the matter within 90 days of the issuance of the panel’s final declaratory opinion.</w:t>
      </w:r>
    </w:p>
    <w:p>
      <w:pPr>
        <w:pStyle w:val="Normal"/>
      </w:pPr>
      <w:r>
        <w:t>Such solution may include seeking corrective legislation with respect to the statute of the amending Party; (b) if corrective legislation is not enacted within nine months from the end of the 90 day consultation period referred to in subparagraph (a) and no other mutually satisfactory solution has been reached, the Party that requested the panel may: (i) take comparable legislative or equivalent executive action, or (ii) terminate this Agreement with regard to the amending Party on 60 day written notice to that Party.</w:t>
      </w:r>
    </w:p>
    <w:p>
      <w:pPr>
        <w:pStyle w:val="Heading2"/>
      </w:pPr>
      <w:bookmarkStart w:id="900307" w:name="_Toc300000306"/>
      <w:r>
        <w:t xml:space="preserve">Article 10.12: Review of Final Antidumping and Countervailing Duty Determinations</w:t>
      </w:r>
      <w:bookmarkEnd w:id="900307"/>
    </w:p>
    <w:p>
      <w:pPr>
        <w:pStyle w:val="Normal"/>
      </w:pPr>
      <w:r>
        <w:t xml:space="preserve">1. As provided in this Article, each Party shall replace judicial review of final antidumping and countervailing duty determinations with binational panel review. 2. An involved Party may request that a panel review, based on the administrative record, a final antidumping or countervailing duty determination of a competent investigating authority of an importing Party to determine whether such determination was in accordance with the antidumping or countervailing duty law of the importing Party. For this purpose, the antidumping or countervailing duty law consists of the relevant statutes, legislative history, regulations, administrative practice, and judicial precedents to the extent that a court of the importing Party would rely on such materials in reviewing a final determination of the competent investigating authority. Solely for purposes of the panel review provided for in this Article, the antidumping and countervailing duty statutes of the Parties, as those statutes may be amended from time to time, are incorporated into and made a part of this Section. 3.</w:t>
      </w:r>
    </w:p>
    <w:p>
      <w:pPr>
        <w:pStyle w:val="Normal"/>
      </w:pPr>
      <w:r>
        <w:t>The panel shall apply the standard of review set out in Article 10.8 (Definitions) and the general legal principles that a court of the importing Party otherwise would apply to a review of a determination of the competent investigating authority. 4.</w:t>
      </w:r>
    </w:p>
    <w:p>
      <w:pPr>
        <w:pStyle w:val="Normal"/>
      </w:pPr>
      <w:r>
        <w:t>A request for a panel shall be made in writing to the other involved Party within 30 days following the date of publication of the final determination in question in the official journal of the importing Party. In the case of final determinations that are not published in the official journal of the importing Party, the importing Party shall immediately notify the other involved Party of such final determination where it involves goods from the other involved Party, and the other involved Party may request a panel within 30 days of receipt of such notice. Where the competent investigating authority of the importing Party has imposed provisional measures in an investigation, the other involved Party may provide notice of its intention to request a panel under this Article, and the Parties shall begin to establish a panel at that time. Failure to request a panel within the time specified in this paragraph shall preclude review by a panel. 5.</w:t>
      </w:r>
    </w:p>
    <w:p>
      <w:pPr>
        <w:pStyle w:val="Normal"/>
      </w:pPr>
      <w:r>
        <w:t>An involved Party on its own initiative may request review of a final determination by a panel and shall, on request of a person who would otherwise be entitled under the law of the importing Party to commence domestic procedures for judicial review of that final determination, request such review. 6. The panel shall conduct its review in accordance with the procedures established by the Parties pursuant to paragraph 14.</w:t>
      </w:r>
    </w:p>
    <w:p>
      <w:pPr>
        <w:pStyle w:val="Normal"/>
      </w:pPr>
      <w:r>
        <w:t>Where both involved Parties request a panel to review a final determination, a single panel shall review that determination. 7. The competent investigating authority that issued the final determination in question shall have the right to appear and be represented by counsel before the panel. Each Party shall provide that other persons who, pursuant to the law of the importing Party, otherwise would have had the right to appear and be represented in a domestic judicial review proceeding concerning the determination of the competent investigating authority, shall have the right to appear and be represented by counsel before the panel. 8. The panel may uphold a final determination, or remand it for action not inconsistent with the panel’s decision. Where the panel remands a final determination, the panel shall establish as brief a time as is reasonable for compliance with the remand, taking into account the complexity of the factual and legal issues involved and the nature of the panel’s decision.</w:t>
      </w:r>
    </w:p>
    <w:p>
      <w:pPr>
        <w:pStyle w:val="Normal"/>
      </w:pPr>
      <w:r>
        <w:t>In no event shall the time permitted for compliance with a remand exceed an amount of time equal to the maximum amount of time (counted from the date of the filing of a petition, complaint or application) permitted by statute for the competent investigating authority in question to make a final determination in an investigation.</w:t>
      </w:r>
    </w:p>
    <w:p>
      <w:pPr>
        <w:pStyle w:val="Normal"/>
      </w:pPr>
      <w:r>
        <w:t>If review of the action taken by the competent investigating authority on remand is needed, such review shall be before the same panel, which shall normally issue a final decision within 90 days of the date on which such remand action is submitted to it. 9. The decision of a panel under this Article shall be binding on the involved Parties with respect to the particular matter between the Parties that is before the panel. 10. This Agreement shall not affect: (a) the judicial review procedures of any Party; or (b) cases appealed under those procedures, with respect to determinations other than final determinations. 11. A final determination shall not be reviewed under any judicial review procedures of the importing Party if an involved Party requests a panel with respect to that determination within the time limits set out in this Article. No Party may provide in its domestic legislation for an appeal from a panel decision to its domestic courts. 12.</w:t>
      </w:r>
    </w:p>
    <w:p>
      <w:pPr>
        <w:pStyle w:val="Normal"/>
      </w:pPr>
      <w:r>
        <w:t>This Article shall not apply where: (a) neither involved Party seeks panel review of a final determination; (b) a revised final determination is issued as a direct result of judicial review of the original final determination by a court of the importing Party in cases where neither involved Party sought panel review of that original final determination; or (c) a final determination is issued as a direct result of judicial review that was commenced in a court of the importing Party before the date of entry into force of this Agreement. 13. Where, within a reasonable time after the panel decision is issued, an involved Party alleges that:</w:t>
      </w:r>
    </w:p>
    <w:p>
      <w:pPr>
        <w:pStyle w:val="Normal"/>
      </w:pPr>
      <w:r>
        <w:t>(a) (i) a member of the panel was guilty of gross misconduct, bias, or a serious conflict of interest, or otherwise materially violated the rules of conduct, (ii) the panel seriously departed from a fundamental rule of procedure, or (iii) the panel manifestly exceeded its powers, authority or jurisdiction set out in this Article, for example by failing to apply the appropriate standard of review, and (b) any of the actions set out in subparagraph (a) has materially affected the panel’s decision and threatens the integrity of the binational panel review process, that Party may avail itself of the extraordinary challenge procedure set out in Annex 10-B.3 (Extraordinary Challenge Procedure). 14.</w:t>
      </w:r>
    </w:p>
    <w:p>
      <w:pPr>
        <w:pStyle w:val="Normal"/>
      </w:pPr>
      <w:r>
        <w:t>For purposes of this Article, the Parties shall adopt or maintain rules of procedure based, where appropriate, on judicial rules of appellate procedure, and shall include rules concerning: the content and service of requests for panels; a requirement that the competent investigating authority transmit to the panel the administrative record of the proceeding; the protection of business proprietary, government classified, and other privileged information (including sanctions against persons participating before panels for improper release of such information); participation by private persons; limitations on panel review to errors alleged by the Parties or private persons; filing and service; computation and extensions of time; the form and content of briefs and other papers; pre- and post-hearing conferences; motions; oral argument; requests for rehearing; and voluntary terminations of panel reviews. The rules shall be designed to result in final decisions within 315 days of the date on which a request for a panel is made, and shall allow: (a) 30 days for the filing of the complaint;</w:t>
      </w:r>
    </w:p>
    <w:p>
      <w:pPr>
        <w:pStyle w:val="Normal"/>
      </w:pPr>
      <w:r>
        <w:t>(b) 30 days for designation or certification of the administrative record and its filing with the panel; (c) 60 days for the complainant to file its brief; (d) 60 days for the respondent to file its brief; (e) 15 days for the filing of reply briefs; (f) 15 to 30 days for the panel to convene and hear oral argument; and (g) 90 days for the panel to issue its written decision. 15.</w:t>
      </w:r>
    </w:p>
    <w:p>
      <w:pPr>
        <w:pStyle w:val="Normal"/>
      </w:pPr>
      <w:r>
        <w:t>In order to achieve the objectives of this Article, the Parties shall maintain or amend their antidumping and countervailing duty statutes and regulations with respect to antidumping or countervailing duty proceedings involving goods of the other Parties, and other statutes and regulations to the extent that they apply to the operation of the antidumping and countervailing duty laws. In particular, without limiting the generality of the foregoing, each Party shall: (a) maintain or amend its statutes or regulations to ensure that existing procedures concerning the refund, with interest, of antidumping or countervailing duties operate to give effect to a final panel decision that a refund is due;</w:t>
      </w:r>
    </w:p>
    <w:p>
      <w:pPr>
        <w:pStyle w:val="Normal"/>
      </w:pPr>
      <w:r>
        <w:t>(b) maintain or amend its statutes or regulations to ensure that its courts shall give full force and effect, with respect to any person within its jurisdiction, to all sanctions imposed pursuant to the laws of the other Parties to enforce provisions of any protective order or undertaking that such other Party has promulgated or accepted in order to permit access for purposes of panel review or of the extraordinary challenge procedure to confidential, personal, business proprietary or other privileged information; (c) maintain or amend its statutes or regulations to ensure that: (i) domestic procedures for judicial review of a final determination may not be commenced until the time for requesting a panel under paragraph 4 has expired, and (ii) as a prerequisite to commencing domestic</w:t>
      </w:r>
    </w:p>
    <w:p>
      <w:pPr>
        <w:pStyle w:val="Normal"/>
      </w:pPr>
      <w:r>
        <w:t>judicial review procedures to review a final determination, a Party or other person intending to commence such procedures shall provide notice of such intent to the Parties concerned and to other persons entitled to commence such review procedures of the same final determination no later than 10 days prior to the latest date on which a panel may be requested; and (d) maintain the amendments set out in its Schedule to Annex 1904.15 of the NAFTA 1994, as reproduced in Annex 10-B.5 (Amendments to Domestic Laws), and make any conforming amendments necessary.</w:t>
      </w:r>
    </w:p>
    <w:p>
      <w:pPr>
        <w:pStyle w:val="Heading2"/>
      </w:pPr>
      <w:bookmarkStart w:id="900308" w:name="_Toc300000307"/>
      <w:r>
        <w:t xml:space="preserve">Article 10.13: Safeguarding the Panel Review System</w:t>
      </w:r>
      <w:bookmarkEnd w:id="900308"/>
    </w:p>
    <w:p>
      <w:pPr>
        <w:pStyle w:val="Normal"/>
      </w:pPr>
      <w:r>
        <w:t xml:space="preserve">1. Where a Party alleges that the application of another Party’s domestic law: (a) has prevented the establishment of a panel requested by the complaining Party; (b) has prevented a panel requested by the complaining Party from rendering a final decision; (c) has prevented the implementation of the decision of a panel requested by the complaining Party or denied it binding force and effect with respect to the particular matter that was before the panel; or (d) has resulted in a failure to provide opportunity for review of a final determination by a panel or court of competent jurisdiction that is independent of the competent investigating authorities, that examines the basis for the competent investigating authority’s determination and whether the competent investigating authority properly applied domestic antidumping and countervailing duty law in reaching the challenged determination, and that employs the relevant standard of review identified in Article 10.8 (Definitions); the Party may request in writing consultations with the other Party regarding the allegations.</w:t>
      </w:r>
    </w:p>
    <w:p>
      <w:pPr>
        <w:pStyle w:val="Normal"/>
      </w:pPr>
      <w:r>
        <w:t>The consultations shall begin within 15 days of the date of the request. 2. If the matter has not been resolved within 45 days of the request for consultations, or such other period as the consulting Parties may agree, the complaining Party may request the establishment of a special committee. 3.</w:t>
      </w:r>
    </w:p>
    <w:p>
      <w:pPr>
        <w:pStyle w:val="Normal"/>
      </w:pPr>
      <w:r>
        <w:t>Unless otherwise agreed by the disputing Parties, the special committee shall be established within 15 days of a request and perform its functions in a manner consistent with this Section. 4. The roster for special committees shall be that established under Annex 10-B.3 (Extraordinary Challenge Procedure). 5. The special committee shall comprise three members selected in accordance with the procedures set out in Annex 10-B.3 (Extraordinary Challenge Procedure). 6. The Parties shall establish or maintain rules of procedure in accordance with the principles set out in Annex 10-B.4 (Special Committee Procedures). 7. Where the special committee makes an affirmative finding with respect to one of the grounds specified in paragraph 1, the complaining Party and the Party complained against shall begin consultations within 10 days thereafter and shall seek to achieve a mutually satisfactory solution within 60 days of the issuance of the committee’s report. 8.</w:t>
      </w:r>
    </w:p>
    <w:p>
      <w:pPr>
        <w:pStyle w:val="Normal"/>
      </w:pPr>
      <w:r>
        <w:t>If, within the 60 day period, the Parties are unable to reach a mutually satisfactory solution to the matter, or the Party complained against has not demonstrated to the satisfaction of the special committee that it has corrected the problem or problems with respect to which the committee has made an affirmative finding, the complaining Party may suspend: (a) the operation of Article 10.12 (Review of Final Antidumping and Countervailing Duty Determinations) with respect to the Party complained against; or (b) the application to the Party complained against of such benefits under this Agreement as may be appropriate under the circumstances. If the complaining Party decides to take action under this paragraph, it shall do so within 30 days after the end of the 60-day consultation period. 9. In the event that a complaining Party suspends the operation of Article 10.12 (Review of Final Antidumping and Countervailing Duty Determinations) with respect to the Party complained against, the latter Party may reciprocally suspend the operation of Article 10.12 (Review of Final Antidumping and Countervailing Duty Determinations) within 30 days after the suspension of the operation of Article 10.12 (Review of Final Antidumping and Countervailing Duty Determinations) by the complaining Party.</w:t>
      </w:r>
    </w:p>
    <w:p>
      <w:pPr>
        <w:pStyle w:val="Normal"/>
      </w:pPr>
      <w:r>
        <w:t>If either Party decides to suspend the operation of Article 10.12 (Review of Final Antidumping and Countervailing Duty Determinations), it shall provide written notice of such suspension to the other Party. 10. On the request of the Party complained against, the special committee shall reconvene to determine whether: (a) the suspension of benefits by the complaining Party pursuant to paragraph 8(b) is manifestly excessive; or (b) the Party complained against has corrected the problem or problems with respect to which the committee has made an affirmative finding. The special committee shall, within 45 days of the request, present a report to both Parties containing its determination. Where the special committee determines that the Party complained against has corrected the problem or problems, any suspension effected by the complaining Party or the Party complained against, or both, pursuant to paragraph 8 or 9 shall be terminated. 11.</w:t>
      </w:r>
    </w:p>
    <w:p>
      <w:pPr>
        <w:pStyle w:val="Normal"/>
      </w:pPr>
      <w:r>
        <w:t>If the special committee makes an affirmative finding with respect to one of the grounds specified in paragraph 1, then effective as of the day following the date of issuance of the special committee’s report: (a) binational panel or extraordinary challenge committee review under Article 10.12 (Review of Final Antidumping and Countervailing Duty Determinations) shall be stayed (i) in the case of review of any final determination of the complaining Party requested by the Party complained against, if such review was requested after the date on which consultations were requested pursuant to paragraph 1, and in no case more than 150 days prior to an affirmative finding by the special committee, or (ii) in the case of review of any final determination of the Party complained against requested by the complaining Party, at the request of the complaining Party; and (b) the time set out in Article 10.12(4) (Review of Final Antidumping and Countervailing Duty Determinations) or Annex 10-B.3 (Extraordinary Challenge Procedure) for requesting panel or committee review shall not run unless and until resumed in accordance with paragraph 12. 12.</w:t>
      </w:r>
    </w:p>
    <w:p>
      <w:pPr>
        <w:pStyle w:val="Normal"/>
      </w:pPr>
      <w:r>
        <w:t>If either Party suspends the operation of Article 10.12 (Review of Final Antidumping and Countervailing Duty Determinations) pursuant to paragraph 8(a), the panel or committee review stayed under paragraph 11(a) shall be terminated and the challenge to the final determination shall be irrevocably referred to the appropriate domestic court for decision, as provided below: (a) in the case of review of any final determination of the complaining Party requested by the Party complained against, at the request of either Party, or of a party to the panel review under Article 10.12 (Review of Final Antidumping and Countervailing Duty Determinations); or (b) in the case of review of any final determination of the Party complained against requested by the complaining Party, at the request of the complaining Party, or of a person of the complaining Party that is a party to the panel review under Article 10.12 (Review of Final Antidumping and Countervailing Duty Determinations). 13.</w:t>
      </w:r>
    </w:p>
    <w:p>
      <w:pPr>
        <w:pStyle w:val="Normal"/>
      </w:pPr>
      <w:r>
        <w:t>If either Party suspends the operation of Article 10.12 (Review of Antidumping Law and Countervailing Duty Law) pursuant to paragraph 8(a), any running of time suspended under paragraph 11(b) shall resume. 14. If the suspension of the operation of Article 10.12 (Review of Antidumping Law and Countervailing Duty Law) does not become effective, panel or committee review stayed under paragraph 11(a), and any running of time suspended under paragraph 11(b), shall resume. 15.</w:t>
      </w:r>
    </w:p>
    <w:p>
      <w:pPr>
        <w:pStyle w:val="Normal"/>
      </w:pPr>
      <w:r>
        <w:t>If the complaining Party suspends the application to the Party complained against of such benefits under the Agreement as may be appropriate under the circumstances pursuant to paragraph 8(b), panel or committee review stayed under paragraph 11(a), and any running of time suspended under paragraph 11(b), shall resume. 16. Each Party shall provide in its domestic legislation that, in the event of an affirmative finding by the special committee, the time for requesting judicial review of a final antidumping or countervailing duty determination shall not run unless and until the Parties concerned have negotiated a mutually satisfactory solution under paragraph 7, have suspended the operation of Article 10.12 (Review of Antidumping Law and Countervailing Duty Law) or the application of other benefits under paragraph 8.</w:t>
      </w:r>
    </w:p>
    <w:p>
      <w:pPr>
        <w:pStyle w:val="Heading2"/>
      </w:pPr>
      <w:bookmarkStart w:id="900309" w:name="_Toc300000308"/>
      <w:r>
        <w:t xml:space="preserve">Article 10.14: Prospective Application</w:t>
      </w:r>
      <w:bookmarkEnd w:id="900309"/>
    </w:p>
    <w:p>
      <w:pPr>
        <w:pStyle w:val="Normal"/>
      </w:pPr>
      <w:r>
        <w:t xml:space="preserve">This Section shall apply only prospectively to: (a) final determinations of a competent investigating authority made after the date of entry into force of this Agreement; and (b) with respect to declaratory opinions under Article 10.11 (Review of Statutory Amendments), amendments to antidumping or countervailing duty statutes enacted after the date of entry into force of this Agreement.</w:t>
      </w:r>
    </w:p>
    <w:p>
      <w:pPr>
        <w:pStyle w:val="Heading2"/>
      </w:pPr>
      <w:bookmarkStart w:id="900310" w:name="_Toc300000309"/>
      <w:r>
        <w:t xml:space="preserve">Article 10.15: Consultations</w:t>
      </w:r>
      <w:bookmarkEnd w:id="900310"/>
    </w:p>
    <w:p>
      <w:pPr>
        <w:pStyle w:val="Normal"/>
      </w:pPr>
      <w:r>
        <w:t xml:space="preserve">1. The Parties shall consult annually, or on the request of any Party, to consider any problems that may arise with respect to the implementation or operation of this Section and recommend solutions, where appropriate. The Parties shall each designate one or more officials, including officials of the competent investigating authorities, to be responsible for ensuring that consultations occur, when required, so that the provisions of this Section are carried out expeditiously. 2. The Parties further agree to consult on: (a) the potential to develop more effective rules and disciplines concerning the use of government subsidies; and (b) the potential for reliance on a substitute system of rules for dealing with unfair transborder pricing practices and government subsidization. 3. The competent investigating authorities of the Parties shall consult annually, or on the request of any Party, and may submit reports to the Commission, where appropriate.</w:t>
      </w:r>
    </w:p>
    <w:p>
      <w:pPr>
        <w:pStyle w:val="Normal"/>
      </w:pPr>
      <w:r>
        <w:t>In the context of these consultations, the Parties agree that it is desirable in the administration of antidumping and countervailing duty laws to: (a) publish notice of initiation of investigations in the importing Party’s official journal, setting forth the nature of the proceeding, the legal authority under which the proceeding is initiated, and a description of the goods at issue; (b) provide notice of the times for submissions of information and for decisions that the competent investigating authorities are expressly required by statute or regulations to make; (c) provide explicit written notice and instructions as to the information required from interested parties and reasonable time to respond to requests for information;</w:t>
      </w:r>
    </w:p>
    <w:p>
      <w:pPr>
        <w:pStyle w:val="Normal"/>
      </w:pPr>
      <w:r>
        <w:t>(d) accord reasonable access to information, noting that in this context (i) “reasonable access” means access during the course of the investigation, to the extent practicable, so as to permit an opportunity to present facts and arguments as set out in paragraph (e); when it is not practicable to provide access to information during the investigation in such time as to permit an opportunity to present facts and arguments, reasonable access shall mean in time to permit the adversely affected party to make an informed decision as to whether to seek judicial or panel review, and (ii) “access to information” means access to representatives determined by the competent investigating authority to be qualified to have access to information received by that</w:t>
      </w:r>
    </w:p>
    <w:p>
      <w:pPr>
        <w:pStyle w:val="Normal"/>
      </w:pPr>
      <w:r>
        <w:t>competent investigating authority, including access to confidential (business proprietary) information, but does not include information of such high degree of sensitivity that its release would lead to substantial and irreversible harm to the owner or which is required to be kept confidential in accordance with domestic law of a Party; any privileges arising under the domestic law of the importing Party relating to communications between the competent investigating authorities and a lawyer in the employ of, or providing advice to, those authorities may be maintained; (e) provide an opportunity for interested parties to present facts and arguments, to the extent time permits, including an opportunity to comment on the preliminary determination of dumping or of subsidization; (f) protect confidential (business proprietary) information received by the competent investigating authority to ensure that there is no disclosure except to representatives determined by the competent investigating authority to be qualified; (g) prepare administrative records, including recommendations of official advisory bodies that may be required to be kept, and any record of ex parte meetings that may be required to be kept;</w:t>
      </w:r>
    </w:p>
    <w:p>
      <w:pPr>
        <w:pStyle w:val="Normal"/>
      </w:pPr>
      <w:r>
        <w:t>(h) provide disclosure of relevant information, including an explanation of the calculation or the methodology used to determine the margin of dumping or the amount of the subsidy, on which any preliminary or final determination of dumping or of subsidization is based, within a</w:t>
      </w:r>
    </w:p>
    <w:p>
      <w:pPr>
        <w:pStyle w:val="Normal"/>
      </w:pPr>
      <w:r>
        <w:t>reasonable time after a request by interested parties; (i) provide a statement of reasons concerning the final determination of dumping or subsidization; and (j) provide a statement of reasons for final determinations concerning material injury to a domestic industry, threat of material injury to a domestic industry or material retardation of the establishment of such an industry. Inclusion of an item in subparagraphs (a) through (j) is not intended to serve as guidance to a binational panel reviewing a final antidumping or countervailing duty determination pursuant to Article 10.12 (Review of Final Antidumping and Countervailing Duty Determinations) in determining whether such determination was in accordance with the antidumping or countervailing duty law of the importing Party.</w:t>
      </w:r>
    </w:p>
    <w:p>
      <w:pPr>
        <w:pStyle w:val="Heading2"/>
      </w:pPr>
      <w:bookmarkStart w:id="900311" w:name="_Toc300000310"/>
      <w:r>
        <w:t xml:space="preserve">Article 10.16: Special Secretariat Provisions</w:t>
      </w:r>
      <w:bookmarkEnd w:id="900311"/>
    </w:p>
    <w:p>
      <w:pPr>
        <w:pStyle w:val="Normal"/>
      </w:pPr>
      <w:r>
        <w:t xml:space="preserve">1. Each Party shall maintain a Secretariat to facilitate the operation of this Section, including the work of panels or committees that may be convened pursuant to this Section. 2. The Secretaries of the Secretariat shall act jointly to provide administrative assistance to all panels or committees established pursuant to this Section. The Secretary for the Section of the Party in which a panel or committee proceeding is held shall prepare a record thereof and shall preserve an authentic copy of the same in that Party’s Section office. Such Secretary shall, on request, provide to the Secretary for the Section of another Party a copy of such portion of the record as is requested, except that only public portions of the record shall be provided to the Secretary for the Section of any Party that is not an involved Party. 3.</w:t>
      </w:r>
    </w:p>
    <w:p>
      <w:pPr>
        <w:pStyle w:val="Normal"/>
      </w:pPr>
      <w:r>
        <w:t>Each Secretary shall receive and file all requests, briefs and other papers properly presented to a panel or committee in any proceeding before it that is instituted pursuant to this Section and shall number in numerical order all requests for a panel or committee. The number given to a request shall be the file number for briefs and other papers relating to such request. 4.</w:t>
      </w:r>
    </w:p>
    <w:p>
      <w:pPr>
        <w:pStyle w:val="Normal"/>
      </w:pPr>
      <w:r>
        <w:t>The Secretary for the Section of the Party in which a panel or committee proceeding is held shall forward to the Secretary for the Section of the other involved Party copies of all official letters, documents or other papers received or filed with that Party’s Section office pertaining to any proceeding before a panel or committee, except for the administrative record, which shall be handled in accordance with paragraph 2. The Secretary for the Section of an involved Party shall provide on request to the Secretary for the Section of a Party that is not an involved Party in the proceeding a copy of such public documents as are requested.</w:t>
      </w:r>
    </w:p>
    <w:p>
      <w:pPr>
        <w:pStyle w:val="Heading2"/>
      </w:pPr>
      <w:bookmarkStart w:id="900312" w:name="_Toc300000311"/>
      <w:r>
        <w:t xml:space="preserve">Article 10.17: Code of Conduct</w:t>
      </w:r>
      <w:bookmarkEnd w:id="900312"/>
    </w:p>
    <w:p>
      <w:pPr>
        <w:pStyle w:val="Normal"/>
      </w:pPr>
      <w:r>
        <w:t xml:space="preserve">The Parties shall exchange letters establishing or maintaining a code of conduct for panelists and members of committees established pursuant to Article 10.11 (Review of Statutory Amendments), Article 10.12 (Review of Final Antidumping and Countervailing Duty Determinations), and Article 10.13 (Safeguarding the Panel Review System).</w:t>
      </w:r>
    </w:p>
    <w:p>
      <w:pPr>
        <w:pStyle w:val="Heading2"/>
      </w:pPr>
      <w:bookmarkStart w:id="900313" w:name="_Toc300000312"/>
      <w:r>
        <w:t xml:space="preserve">Article 10.18: Miscellaneous</w:t>
      </w:r>
      <w:bookmarkEnd w:id="900313"/>
    </w:p>
    <w:p>
      <w:pPr>
        <w:pStyle w:val="Normal"/>
      </w:pPr>
      <w:r>
        <w:t xml:space="preserve">On request of another Party, the competent investigating authority of a Party shall provide to the other Party copies of all public information submitted to it for purposes of an antidumping or countervailing duty investigation with respect to goods of that other Party.</w:t>
      </w:r>
    </w:p>
    <w:p>
      <w:pPr>
        <w:pStyle w:val="Heading2"/>
      </w:pPr>
      <w:bookmarkStart w:id="900314" w:name="_Toc300000313"/>
      <w:r>
        <w:t xml:space="preserve">ANNEX 10-A PRACTICES RELATING TO ANTIDUMPING AND COUNTERVAILING DUTY PROCEEDINGS</w:t>
      </w:r>
      <w:bookmarkEnd w:id="900314"/>
    </w:p>
    <w:p>
      <w:pPr>
        <w:pStyle w:val="Normal"/>
      </w:pPr>
      <w:r>
        <w:t xml:space="preserve">The Parties recognize the right to apply trade remedy measures consistent with Article VI of GATT 1994, the AD Agreement, and the SCM Agreement, and the importance of promoting transparency in antidumping and countervailing duty proceedings and of ensuring the opportunity of all interested parties to participate meaningfully in such proceedings.7 1. To facilitate access to information relevant to antidumping and countervailing duty proceedings, a Party shall publish online the following: (a) laws and regulations that pertain to its antidumping and countervailing duty proceedings; and (b) sample questionnaires that it would issue in a typical antidumping proceeding. In publishing information online, a Party shall endeavor to minimize the number of webpages on which it provides such information. A Party shall also endeavor to publish online other information relevant to antidumping and countervailing duty proceedings such as manuals, guidelines, templates, and other reference and orientation materials, where applicable.8 2.</w:t>
      </w:r>
    </w:p>
    <w:p>
      <w:pPr>
        <w:pStyle w:val="Normal"/>
      </w:pPr>
      <w:r>
        <w:t>For each antidumping and countervailing duty proceeding which involves imports of another Party, initiated9 after the date of entry into force of this Agreement, each investigating authority of a Party shall maintain and make available without charge online for all interested parties:10 7 With regards to the provisions in this Annex, the Parties shall protect the confidentiality of the information pursuant to each Party’s law. 8 For greater certainty, the documents listed in this paragraph are not intended to constitute a comprehensive list of documents relating to antidumping and countervailing duty proceedings and no inference shall be drawn from this list’s inclusion or exclusion of a particular document. Such documents may be published online to the extent that they are available. 9 For greater certainty, when the proceedings involve imports from other countries of the same subject merchandise and are initiated on the same date, this paragraph also applies. 10 For greater certainty, for the United States, this paragraph shall not impact information and data already made publicly available pursuant to its law.</w:t>
      </w:r>
    </w:p>
    <w:p>
      <w:pPr>
        <w:pStyle w:val="Normal"/>
      </w:pPr>
      <w:r>
        <w:t>10-A-1 (a) a file that contains: (i) all non-confidential documents that are part of its administrative record for each segment of a proceeding, or proceeding in the case of Mexico, and (ii) to the extent feasible without revealing confidential information, non- confidential summaries of confidential information contained in its administrative record;11 and (b) a listing of all documents that are part of its administrative record for each segment of a proceeding, or proceeding in the case of Mexico, in a manner that enables any interested party to identify and locate particular documents in the file. If technical constraints prevent online access to a document that is part of its administrative record for each segment of a proceeding, or proceeding in the case of Mexico, the investigating authority may instead make the document available for all interested parties, pursuant to the domestic legislation of the Party, by means of physical inspection during the investigating authority’s normal business hours. 3.</w:t>
      </w:r>
    </w:p>
    <w:p>
      <w:pPr>
        <w:pStyle w:val="Normal"/>
      </w:pPr>
      <w:r>
        <w:t>Each investigating authority of a Party shall maintain or establish a system through which interested parties participating in an antidumping or countervailing duty segment of a proceeding, or proceeding in the case of Mexico, shall submit documents electronically in such a segment of a proceeding, or proceeding in the case of Mexico.</w:t>
      </w:r>
    </w:p>
    <w:p>
      <w:pPr>
        <w:pStyle w:val="Normal"/>
      </w:pPr>
      <w:r>
        <w:t>Notwithstanding the previous sentence, each investigating authority of a Party may require manual submission of a petition, or of other documents in exceptional circumstances, including where technical constraints may impact the ability of interested parties to submit certain documents electronically. 4. For the purposes of paragraphs 2 and 3, the online access point and the system for submitting documents electronically shall be established or maintained beginning no later than five years after the date of entry into force of this Agreement. (a) If a Party requests assistance with implementation of these obligations from another Party, that Party may provide assistance to the extent practicable. The Parties recognize that a need for assistance may necessitate additional flexibility in implementing the systems set forth in paragraphs 2 and 3, pursuant to the provisions in paragraph 4(b). 11 To the extent that individual information is not susceptible of summarization without disclosing confidential information, it may be aggregated. Nothing in this paragraph shall require an investigating authority to make publicly available a non-confidential summary of a questionnaire response that the investigating authority treats as confidential in its entirety.</w:t>
      </w:r>
    </w:p>
    <w:p>
      <w:pPr>
        <w:pStyle w:val="Normal"/>
      </w:pPr>
      <w:r>
        <w:t>10-A-2 (b) The Parties are aware of the technical and financial difficulties of establishing and maintaining the systems set forth in paragraphs 2 and 3, and may consult to discuss additional flexibility regarding the establishment and maintenance of such systems, as necessary. 5. On receipt of a formally filed antidumping or countervailing duty application with respect to imports of another Party, and normally no later than seven days prior to the date on which the investigating authority issues a determination on the application, the Party shall notify the other Party or Parties that it received the application.12 6. In any segment of a proceeding, or proceeding in the case of Mexico, in which an investigating authority of a Party determines to conduct an in-person verification of information provided by a responding party and pertinent to the calculation of an antidumping duty margin or the level of a countervailable subsidy, the investigating authority shall promptly notify the responding party of its intent to do so, and normally shall:</w:t>
      </w:r>
    </w:p>
    <w:p>
      <w:pPr>
        <w:pStyle w:val="Normal"/>
      </w:pPr>
      <w:r>
        <w:t>(a) provide the responding party advance notice of the dates on which the investigating authority intends to conduct any such in-person verification of information; (b) prior to any such in-person verification, provide the responding party a document that sets forth the topics the responding party should be prepared to address during the verification and describes the types of supporting documentation the responding party should make</w:t>
      </w:r>
    </w:p>
    <w:p>
      <w:pPr>
        <w:pStyle w:val="Normal"/>
      </w:pPr>
      <w:r>
        <w:t>available for review; (c) after the verification is completed prepare a written report describing the methods and procedures that it followed in carrying out the verification and the results of the verification; and (d) make the report available to all interested parties, without disclosing confidential information, in sufficient time for the interested parties to defend their interests in the segment of a proceeding, or proceeding in the case of Mexico. 7. An investigating authority of a Party shall disclose, among other things, for each interested party for whom the investigating authority has determined an individual rate of duty, the calculations used to determine the rate of dumping or countervailable subsidization and, if different, the calculations used to determine the rate of duty to be applied to imports of the interested party. The disclosure and explanation shall be in sufficient detail so as to permit the interested party to reproduce the calculations without undue difficulty.</w:t>
      </w:r>
    </w:p>
    <w:p>
      <w:pPr>
        <w:pStyle w:val="Normal"/>
      </w:pPr>
      <w:r>
        <w:t>Such disclosure shall include, whether in electronic format, such as a computer program or spreadsheet, or in any other medium, a detailed explanation of the information the investigating authority used, the sources 12 For Mexico, this notification shall apply only to an affirmative determination on the application.</w:t>
      </w:r>
    </w:p>
    <w:p>
      <w:pPr>
        <w:pStyle w:val="Normal"/>
      </w:pPr>
      <w:r>
        <w:t xml:space="preserve">10-A-3 of that information, and any adjustments it made to the information when used in the calculations.13 The investigating authority shall provide interested parties adequate opportunity to respond to the disclosure. 8. On receipt of a formally filed antidumping or countervailing duty application by the investigating authority of a Party against imports of goods from a non-Party, the investigating authorities of the other Parties may consider the information and data in the application and make a determination as to whether self-initiation of an antidumping or countervailing duty investigation or other relevant action is warranted. 9. To the extent feasible, Parties may exchange non-Parties’ subsidy information and consider whether self-initiation of a countervailing duty investigation or other relevant action is warranted. 13 When making such disclosure, the disclosing Party shall protect the confidentiality of the information in the disclosure pursuant its law. 10-A-4</w:t>
      </w:r>
    </w:p>
    <w:p>
      <w:pPr>
        <w:pStyle w:val="Heading2"/>
      </w:pPr>
      <w:bookmarkStart w:id="900315" w:name="_Toc300000314"/>
      <w:r>
        <w:t xml:space="preserve">ANNEX 10-B.1 ESTABLISHMENT OF BINATIONAL PANELS</w:t>
      </w:r>
      <w:bookmarkEnd w:id="900315"/>
    </w:p>
    <w:p>
      <w:pPr>
        <w:pStyle w:val="Normal"/>
      </w:pPr>
      <w:r>
        <w:t xml:space="preserve">1. On the date of entry into force of this Agreement, the Parties shall establish or maintain a roster of individuals to serve as panelists in disputes under Section D.</w:t>
      </w:r>
    </w:p>
    <w:p>
      <w:pPr>
        <w:pStyle w:val="Normal"/>
      </w:pPr>
      <w:r>
        <w:t>The roster shall include judges or former judges to the fullest extent practicable. The Parties shall consult in developing the roster, which shall include at least 75 candidates.</w:t>
      </w:r>
    </w:p>
    <w:p>
      <w:pPr>
        <w:pStyle w:val="Normal"/>
      </w:pPr>
      <w:r>
        <w:t>Each Party shall select at least 25 candidates, and all candidates shall be citizens of Canada, Mexico, or the United States. Candidates shall be of good character, high standing and repute, and shall be chosen strictly on the basis of objectivity, reliability, sound judgment and general familiarity with international trade law. Candidates shall not be affiliated with a Party, and in no event shall a candidate take instructions from a Party. The Parties shall maintain the roster, and may amend it, when necessary, after consultations. 2. A majority of the panelists on each panel shall be lawyers in good standing. Within 30 days of a request for a panel, each involved Party shall appoint two panelists, in consultation with the other involved Party. The involved Parties normally shall appoint panelists from the roster. If a panelist is not selected from the roster, the panelist shall be chosen in accordance with and be subject to the criteria of paragraph 1.</w:t>
      </w:r>
    </w:p>
    <w:p>
      <w:pPr>
        <w:pStyle w:val="Normal"/>
      </w:pPr>
      <w:r>
        <w:t>Each involved Party shall have the right to exercise four peremptory challenges, to be exercised simultaneously and in confidence, disqualifying from appointment to the panel up to four candidates proposed by the other involved Party. Peremptory challenges and the selection of alternative panelists shall occur within 45 days of the request for the panel.</w:t>
      </w:r>
    </w:p>
    <w:p>
      <w:pPr>
        <w:pStyle w:val="Normal"/>
      </w:pPr>
      <w:r>
        <w:t>If an involved Party fails to appoint its members to a panel within 30 days or if a panelist is struck and no alternative panelist is selected within 45 days, such panelist shall be selected by lot on the 31st or 46th day, as the case may be, from that Party’s candidates on the roster. 3. Within 55 days of the request for a panel, the involved Parties shall agree on the selection of a fifth panelist. If the involved Parties are unable to agree, they shall decide by lot which of them shall select, by the 61st day, the fifth panelist from the roster, excluding candidates eliminated by peremptory challenges. 4. On appointment of the fifth panelist, the panelists shall promptly appoint a chair from among the lawyers on the panel by majority vote of the panelists. If there is no majority vote, the chair shall be appointed by lot from among the lawyers on the panel. 5. Decisions of the panel shall be by majority vote and based on the votes of all members of the panel.</w:t>
      </w:r>
    </w:p>
    <w:p>
      <w:pPr>
        <w:pStyle w:val="Normal"/>
      </w:pPr>
      <w:r>
        <w:t>The panel shall issue a written decision with reasons, together with any dissenting or concurring opinions of panelists. 6. Panelists shall be subject to the code of conduct established pursuant to Article 10.17 (Code of Conduct). If an involved Party believes that a panelist is in violation of the code of 10-B.1-1 conduct, the involved Parties shall consult and if they agree, the panelist shall be removed and a new panelist shall be selected in accordance with the procedures of this Annex. 7.</w:t>
      </w:r>
    </w:p>
    <w:p>
      <w:pPr>
        <w:pStyle w:val="Normal"/>
      </w:pPr>
      <w:r>
        <w:t>When a panel is convened pursuant to Article 10.12 (Review of Final Antidumping and Countervailing Duty Determinations) each panelist shall be required to sign: (a) an application for protective order for information supplied by the United States or its persons covering business proprietary and other privileged information; (b) an undertaking for information supplied by Canada or its persons covering confidential, personal, business proprietary and other privileged information; or (c) an undertaking for information supplied by Mexico or its persons covering confidential, business proprietary and other privileged information. 8. On a panelist’s acceptance of the obligations and terms of an application for protective order or disclosure undertaking, the importing Party shall grant access to the information covered by such order or disclosure undertaking. Each Party shall establish appropriate sanctions for violations of protective orders or disclosure undertakings issued by or given to any Party. Each Party shall enforce such sanctions with respect to any person within its jurisdiction. Failure by a panelist to sign an application for a protective order or disclosure undertaking shall result in disqualification of the panelist. 9.</w:t>
      </w:r>
    </w:p>
    <w:p>
      <w:pPr>
        <w:pStyle w:val="Normal"/>
      </w:pPr>
      <w:r>
        <w:t>If a panelist becomes unable to fulfill panel duties or is disqualified, proceedings of the panel shall be suspended pending the selection of a substitute panelist in accordance with the procedures of this Annex. 10.</w:t>
      </w:r>
    </w:p>
    <w:p>
      <w:pPr>
        <w:pStyle w:val="Normal"/>
      </w:pPr>
      <w:r>
        <w:t xml:space="preserve">Subject to the code of conduct established pursuant to Article 10.17 (Code of Conduct), and provided that it does not interfere with the performance of the duties of such panelist, a panelist may engage in other business during the term of the panel. 11. While acting as a panelist, a panelist may not appear as counsel before another panel. 12. With the exception of violations of protective orders or disclosure undertakings, signed pursuant to paragraph 7, panelists shall be immune from suit and legal process relating to acts performed by them in their official capacity. 10-B.1-2</w:t>
      </w:r>
    </w:p>
    <w:p>
      <w:pPr>
        <w:pStyle w:val="Heading2"/>
      </w:pPr>
      <w:bookmarkStart w:id="900316" w:name="_Toc300000315"/>
      <w:r>
        <w:t xml:space="preserve">ANNEX 10-B.2 PANEL PROCEDURES UNDER ARTICLE 10.11</w:t>
      </w:r>
      <w:bookmarkEnd w:id="900316"/>
    </w:p>
    <w:p>
      <w:pPr>
        <w:pStyle w:val="Normal"/>
      </w:pPr>
      <w:r>
        <w:t xml:space="preserve">1. The panel shall establish its own rules of procedure unless the Parties otherwise agree prior to the establishment of that panel. The procedures shall ensure a right to at least one hearing before the panel, as well as the opportunity to provide written submissions and rebuttal arguments. The proceedings of the panel shall be confidential, unless the two Parties otherwise agree.</w:t>
      </w:r>
    </w:p>
    <w:p>
      <w:pPr>
        <w:pStyle w:val="Normal"/>
      </w:pPr>
      <w:r>
        <w:t>The panel shall base its decisions solely on the arguments and submissions of the two Parties. 2. Unless the Parties to the dispute otherwise agree, the panel shall, within 90 days after its chair is appointed, present to the two Parties an initial written declaratory opinion containing findings of fact and its determination pursuant to Article 10.11 (Review of Statutory Amendments). 3.</w:t>
      </w:r>
    </w:p>
    <w:p>
      <w:pPr>
        <w:pStyle w:val="Normal"/>
      </w:pPr>
      <w:r>
        <w:t>If the findings of the panel are affirmative, the panel may include in its report its recommendations as to the means by which the amending statute could be brought into conformity with the provisions of Article 10.10(2)(d) (Retention of Domestic Antidumping Law and Countervailing Duty Law). In determining what, if any, recommendations are appropriate, the panel shall consider the extent to which the amending statute affects interests under this Agreement. Individual panelists may provide separate opinions on matters not unanimously agreed. The initial opinion of the panel shall become the final declaratory opinion, unless a Party to the dispute requests a reconsideration of the initial opinion pursuant to paragraph 4. 4. Within 14 days of the issuance of the initial declaratory opinion, a Party to the dispute disagreeing in whole or in part with the opinion may present a written statement of its objections and the reasons for those objections to the panel. In such event, the panel shall request the views of both Parties and shall reconsider its initial opinion.</w:t>
      </w:r>
    </w:p>
    <w:p>
      <w:pPr>
        <w:pStyle w:val="Normal"/>
      </w:pPr>
      <w:r>
        <w:t>The panel shall conduct any further examination that it deems appropriate, and shall issue a final written opinion, together with dissenting or concurring views of individual panelists, within 30 days of the request for reconsideration. 5.</w:t>
      </w:r>
    </w:p>
    <w:p>
      <w:pPr>
        <w:pStyle w:val="Normal"/>
      </w:pPr>
      <w:r>
        <w:t xml:space="preserve">Unless the Parties to the dispute otherwise agree, the final declaratory opinion of the panel shall be made public, along with any separate opinions of individual panelists and any written views that either Party may wish to be published. 6. Unless the Parties to the dispute otherwise agree, meetings and hearings of the panel shall take place at the office of the amending Party’s Section of the Secretariat. 10-B.2-1</w:t>
      </w:r>
    </w:p>
    <w:p>
      <w:pPr>
        <w:pStyle w:val="Heading2"/>
      </w:pPr>
      <w:bookmarkStart w:id="900317" w:name="_Toc300000316"/>
      <w:r>
        <w:t xml:space="preserve">ANNEX 10-B.3 EXTRAORDINARY CHALLENGE PROCEDURE</w:t>
      </w:r>
      <w:bookmarkEnd w:id="900317"/>
    </w:p>
    <w:p>
      <w:pPr>
        <w:pStyle w:val="Normal"/>
      </w:pPr>
      <w:r>
        <w:t xml:space="preserve">1. The involved Parties shall establish an extraordinary challenge committee, composed of three members, within 15 days of a request pursuant to Article 10.12.13 (Review of Final Antidumping and Countervailing Duty Determinations). The members shall be selected from a 15-person roster comprised of judges or former judges of a federal judicial court of the United States or a judicial court of superior jurisdiction of Canada or a federal judicial or quasi-judicial tribunal of Mexico. Each Party shall name five persons to this roster.</w:t>
      </w:r>
    </w:p>
    <w:p>
      <w:pPr>
        <w:pStyle w:val="Normal"/>
      </w:pPr>
      <w:r>
        <w:t>Each involved Party shall select one member from this roster and the involved Parties shall decide by lot which of them shall select the third member from the roster. 2. The Parties shall establish or maintain rules of procedure for committees. The rules shall provide for a decision of a committee within 90 days of its establishment. 3. Committee decisions shall be binding on the Parties with respect to the particular matter between the Parties that was before the panel.</w:t>
      </w:r>
    </w:p>
    <w:p>
      <w:pPr>
        <w:pStyle w:val="Normal"/>
      </w:pPr>
      <w:r>
        <w:t xml:space="preserve">After examination of the legal and factual analysis underlying the findings and conclusions of the panel’s decision in order to determine whether one of the grounds set out in Article 10.12.13 (Review of Final Antidumping and Countervailing Duty Determinations) has been established, and on finding that one of those grounds has been established, the committee shall vacate the original panel decision or remand it to the original panel for action not inconsistent with the committee’s decision; if the grounds are not established, it shall deny the challenge and, therefore, the original panel decision shall stand affirmed. If the original decision is vacated, a new panel shall be established pursuant to Annex 10-B.1 (Establishment of Binational Panels). 10-B.3-1</w:t>
      </w:r>
    </w:p>
    <w:p>
      <w:pPr>
        <w:pStyle w:val="Heading2"/>
      </w:pPr>
      <w:bookmarkStart w:id="900318" w:name="_Toc300000317"/>
      <w:r>
        <w:t xml:space="preserve">ANNEX 10-B.4 SPECIAL COMMITTEE PROCEDURES</w:t>
      </w:r>
      <w:bookmarkEnd w:id="900318"/>
    </w:p>
    <w:p>
      <w:pPr>
        <w:pStyle w:val="Normal"/>
      </w:pPr>
      <w:r>
        <w:t xml:space="preserve">By the date of entry into force of this Agreement the Parties shall establish or maintain rules of procedure in accordance with the following principles: (a) the procedures shall assure a right to at least one hearing before the special committee as well as the opportunity to provide initial and rebuttal written submissions;</w:t>
      </w:r>
    </w:p>
    <w:p>
      <w:pPr>
        <w:pStyle w:val="Normal"/>
      </w:pPr>
      <w:r>
        <w:t>(b) the procedures shall assure that the special committee shall prepare an initial report typically within 60 days of the appointment of the last member, and shall afford the Parties 14 days to comment on that report prior to issuing a final report 30 days after presentation of the initial report; (c) the special committee’s hearings, deliberations, and</w:t>
      </w:r>
    </w:p>
    <w:p>
      <w:pPr>
        <w:pStyle w:val="Normal"/>
      </w:pPr>
      <w:r>
        <w:t xml:space="preserve">initial report, and all written submissions to and communications with the special committee shall be confidential; (d) unless the Parties to the dispute otherwise agree, the decision of the special committee shall be published 10 days after it is transmitted to the disputing Parties, along with any separate opinions of individual members and any written views that either Party may wish to be published; and (e) unless the Parties to the dispute otherwise agree, meetings and hearings of the special committee shall take place at the office of the Section of the Secretariat of the Party complained against. 10-B.4-1</w:t>
      </w:r>
    </w:p>
    <w:p>
      <w:pPr>
        <w:pStyle w:val="Heading2"/>
      </w:pPr>
      <w:bookmarkStart w:id="900319" w:name="_Toc300000318"/>
      <w:r>
        <w:t xml:space="preserve">ANNEX 10-B.5 AMENDMENTS TO DOMESTIC LAWS</w:t>
      </w:r>
      <w:bookmarkEnd w:id="900319"/>
    </w:p>
    <w:p>
      <w:pPr>
        <w:pStyle w:val="Normal"/>
      </w:pPr>
      <w:r>
        <w:t xml:space="preserve">Schedule of Canada 1.</w:t>
      </w:r>
    </w:p>
    <w:p>
      <w:pPr>
        <w:pStyle w:val="Normal"/>
      </w:pPr>
      <w:r>
        <w:t>Canada shall amend sections 56 and 58 of the Special Import Measures Act, as amended, to allow the United States with respect to goods of the United States or Mexico with respect to goods of Mexico or a United States or a Mexican manufacturer, producer, or exporter, without regard to payment of duties, to make a written request for a redetermination; and section 59 to require the Deputy Minister to make a ruling on a request for a redetermination within one year of a request to a designated officer or other customs officer. 2.</w:t>
      </w:r>
    </w:p>
    <w:p>
      <w:pPr>
        <w:pStyle w:val="Normal"/>
      </w:pPr>
      <w:r>
        <w:t>Canada shall amend section 18.3(1) of the Federal Court Act, as amended, to render that section inapplicable to the United States and to Mexico; and shall provide in its statutes or regulations that persons (including producers of goods subject to an investigation) have standing to ask Canada to request a panel review where such persons would be entitled to commence domestic procedures for judicial review if the final determination were reviewable by the Federal Court pursuant to section 18.1(4). 3. Canada shall amend the Special Import Measures Act, as amended, and any other relevant provisions of law, to provide that the following actions of the President shall be deemed for the purposes of Section D to be final determinations subject to judicial review: (a) a determination by the President pursuant to section 41; (b) a redetermination by the President pursuant to section 59; and (c) a review by the President of an undertaking pursuant to section 53(1). 4.</w:t>
      </w:r>
    </w:p>
    <w:p>
      <w:pPr>
        <w:pStyle w:val="Normal"/>
      </w:pPr>
      <w:r>
        <w:t>Canada shall amend Part II of the Special Import Measures Act, as amended, to provide for binational panel review respecting goods of Mexico and the United States. 5. Canada shall amend Part II of the Special Import Measures Act, as amended, to provide for definitions related to Section D, as may be required. 6.</w:t>
      </w:r>
    </w:p>
    <w:p>
      <w:pPr>
        <w:pStyle w:val="Normal"/>
      </w:pPr>
      <w:r>
        <w:t>Canada shall amend Part II of the Special Import Measures Act, as amended, to permit the governments of Mexico and the United States to request binational panel review of final determinations respecting goods of Mexico and the United States. 7. Canada shall amend Part II of the Special Import Measures Act, as amended, to provide for the establishment of binational panels requested to review final determinations in respect of goods of Mexico and the United States. 10-B.5-1 8. Canada shall amend Part II of the Special Import Measures Act, as amended, to provide that binational panel review of a final determination shall be conducted in accordance with this Chapter. 9. Canada shall amend Part II of the Special Import Measures Act, as amended, to provide that an extraordinary challenge proceeding shall be requested and conducted in accordance with Article10.12 (Review of Final Antidumping and Countervailing Duty Determinations) and Annex 10-B.3 (Extraordinary Challenge Procedure). 10.</w:t>
      </w:r>
    </w:p>
    <w:p>
      <w:pPr>
        <w:pStyle w:val="Normal"/>
      </w:pPr>
      <w:r>
        <w:t>Canada shall amend Part II of the Special Import Measures Act, as amended, to provide for a code of conduct, immunity for anything done or omitted to be done during the course of panel proceedings, the signing of and compliance with disclosure undertakings respecting confidential information, and remuneration for members of panels and committees established pursuant to this Chapter. 11.</w:t>
      </w:r>
    </w:p>
    <w:p>
      <w:pPr>
        <w:pStyle w:val="Normal"/>
      </w:pPr>
      <w:r>
        <w:t>Canada shall make such amendments as are necessary to establish a Canadian Secretariat for this Agreement and generally to facilitate the operation of Section D and the work of the binational panels, extraordinary challenge committees and special committees convened under this Chapter. Schedule of Mexico Mexico shall amend its antidumping and countervailing duty statutes and regulations, and other statutes and regulations to the extent that they apply to the operation of the antidumping and countervailing duty laws, to provide the following: (a) elimination of the possibility of imposing duties within the five-day period after the acceptance of a petition; (b) substitution of the term Initial Resolution (Resolución de Inicio) for the term Provisional Resolution (Resolución Provisional) and the term Provisional Resolution (Resolución Provisional) for the term Resolution Reviewing the Provisional Resolution (Resolución que revisa a la Resolución Provisional); (c) full participation in the administrative process for interested parties, as well as the right to administrative appeal and judicial review of final determinations of investigations, reviews, product coverage or other final decisions affecting them;</w:t>
      </w:r>
    </w:p>
    <w:p>
      <w:pPr>
        <w:pStyle w:val="Normal"/>
      </w:pPr>
      <w:r>
        <w:t>(d) elimination of the possibility of imposing provisional duties before the issuance of a preliminary determination; 10-B.5-2 (e) the right to immediate access to review of final determinations by binational panels for interested parties, without the need to exhaust first</w:t>
      </w:r>
    </w:p>
    <w:p>
      <w:pPr>
        <w:pStyle w:val="Normal"/>
      </w:pPr>
      <w:r>
        <w:t>the administrative appeal; (f) explicit and adequate timetables for determinations of the competent investigating authority and for the submission of questionnaires, evidence and comments by interested parties, as well as an opportunity for them to present facts and arguments in support of their positions prior to any final determination, to the extent time permits, including an opportunity to be adequately informed in a timely manner of and to comment on all aspects of preliminary determinations of dumping or subsidization; (g) written notice to interested parties of any of the actions or resolutions rendered by the competent investigating authority, including initiation of an administrative review as well as its conclusion; (h) disclosure meetings with interested parties by the competent investigating authority conducting its investigations and reviews, within seven calendar days after the date of publication in the Federal Official Journal (Diario Oficial de la Federación) of preliminary and final determinations, to explain the margins of dumping and the amount of subsidies calculations and to provide the interested parties with copies of sample calculations and, if used, computer programs;</w:t>
      </w:r>
    </w:p>
    <w:p>
      <w:pPr>
        <w:pStyle w:val="Normal"/>
      </w:pPr>
      <w:r>
        <w:t>(i) timely access by eligible counsel of interested parties during the course of the proceeding (including disclosure meetings) and on appeal, either before a national tribunal or a panel, to all information contained in the administrative record of the proceeding, including</w:t>
      </w:r>
    </w:p>
    <w:p>
      <w:pPr>
        <w:pStyle w:val="Normal"/>
      </w:pPr>
      <w:r>
        <w:t>confidential information, excepting proprietary information of such a high degree of sensitivity that its release would lead to substantial and irreversible harm to the owner as well as government classified information, subject to an undertaking for confidentiality that strictly forbids use of the information for personal benefit and its disclosure to persons who are not authorized to receive such information; and for sanctions that are specific to violations of undertakings in proceedings before national tribunals or panels; (j) timely access by interested parties during the course of the proceeding, to all non- confidential information contained in the administrative record and access to such information by interested parties or their representatives in any proceeding after 90 days following the issuance of the final determination; (k) a mechanism requiring that any person submitting documents to the competent investigating authority shall simultaneously serve on interested persons, including foreign interests, any submissions after the complaint;</w:t>
      </w:r>
    </w:p>
    <w:p>
      <w:pPr>
        <w:pStyle w:val="Normal"/>
      </w:pPr>
      <w:r>
        <w:t>10-B.5-3 (l) preparation of summaries of ex parte meetings held between the competent investigating authority and any interested party and the inclusion in the administrative record of such summaries, which shall be made available to parties to the proceeding; if such summaries contain business proprietary information, the documents must be disclosed to a party’s representative under an undertaking to ensure confidentiality; (m)</w:t>
      </w:r>
    </w:p>
    <w:p>
      <w:pPr>
        <w:pStyle w:val="Normal"/>
      </w:pPr>
      <w:r>
        <w:t>maintenance by the competent investigating authority of an administrative record as defined in Article 10.8 (Definitions) and a requirement that the final determination be based solely on the administrative record; (n) informing interested parties in writing of all data and information the administering authority requires them to submit for the investigation, review, product coverage proceeding, or other antidumping or countervailing duty proceeding; (o) the right to an annual individual review on request by the interested parties through which they can obtain their own dumping margin or countervailing duty rate, or can change the margin or rate they received in the investigation or a previous review, reserving to the competent investigating authority the ability to initiate a review, at any time, on its own motion and requiring that the competent investigating authority issue a notice of initiation within a reasonable period of time after the request; (p) application of determinations issued as a result of judicial, administrative, or panel review, to the extent they are relevant to interested parties in addition to the plaintiff, so that all interested parties will benefit;</w:t>
      </w:r>
    </w:p>
    <w:p>
      <w:pPr>
        <w:pStyle w:val="Normal"/>
      </w:pPr>
      <w:r>
        <w:t>(q) issuance of binding decisions by the competent investigating authority if an interested party seeks clarification outside the context of an antidumping or countervailing duty investigation or review with respect to whether a particular product is covered by an antidumping or countervailing duty</w:t>
      </w:r>
    </w:p>
    <w:p>
      <w:pPr>
        <w:pStyle w:val="Normal"/>
      </w:pPr>
      <w:r>
        <w:t>order; (r) a detailed statement of reasons and the legal basis for final determinations in a manner sufficient to permit interested parties to make an informed decision as to whether to seek judicial or panel review, including an explanation of methodological or policy issues raised in the calculation of dumping or subsidization; (s) written notice to interested parties and publication in the Federal Official Journal (Diario Oficial de la Federación) of initiation of investigations setting forth the nature of the proceeding, the legal authority under which the proceeding is initiated, and a description of the product at issue; 10-B.5-4 (t) documentation in writing of all advisory bodies’ decisions or recommendations, including the basis for the decisions, and release of such written decisions to parties to the proceeding; all decisions or recommendations of any advisory body shall be placed in the administrative record and made available to parties to the proceeding; and (u) a standard of review to be applied by binational panels as set out in subparagraph (b) of the definition of “standard of review” in Article 10.8 (Definitions). Schedule of the United States 1.</w:t>
      </w:r>
    </w:p>
    <w:p>
      <w:pPr>
        <w:pStyle w:val="Normal"/>
      </w:pPr>
      <w:r>
        <w:t>The United States shall amend section 301 of the Customs Courts Act of 1980, as amended, and any other relevant provisions of law, to eliminate the authority to issue declaratory judgments in any civil action involving an antidumping or countervailing duty proceeding regarding a class or kind of Canadian or Mexican merchandise. 2. The United States shall amend section 405(a) of the United States-Canada Free-Trade Agreement Implementation Act of 1988, to provide that the interagency group established under section 242 of the Trade Expansion Act of 1962 shall prepare a list of individuals qualified to serve as members of binational panels, extraordinary challenge committees and special committees convened under this Chapter. 3. The United States shall amend section 405(b) of the United States-Canada Free-Trade Agreement Implementation Act of 1988, to provide that panelists selected to serve on panels or committees convened pursuant to this Chapter, and individuals designated to assist such appointed individuals, shall not be considered employees of the United States. 4.</w:t>
      </w:r>
    </w:p>
    <w:p>
      <w:pPr>
        <w:pStyle w:val="Normal"/>
      </w:pPr>
      <w:r>
        <w:t>The United States shall amend section 405(c) of the United States-Canada Free-Trade Agreement Implementation Act of 1988, to provide that panelists selected to serve on panels or committees convened pursuant to this Chapter, and individuals designated to assist the individuals serving on such panels or committees, shall be immune from suit and legal process relating to acts performed by such individuals in their official capacity and within the scope of their functions as such panelists or committee members, except with respect to the violation of protective orders described in section 777f(d)(3) of the Tariff Act of 1930, as amended. 5. The United States shall amend section 405(d) of the United States-Canada Free-Trade Agreement Implementation Act of 1988, to establish a United States Secretariat to facilitate the operation of Section D and the work of the binational panels, extraordinary challenge committees and special committees convened under this Chapter. 6.</w:t>
      </w:r>
    </w:p>
    <w:p>
      <w:pPr>
        <w:pStyle w:val="Normal"/>
      </w:pPr>
      <w:r>
        <w:t>The United States shall amend section 407 of the United States-Canada Free-Trade Agreement Implementation Act of 1988, to provide that an extraordinary challenge committee convened pursuant to Article 10.12 (Review of Final Antidumping and Countervailing Duty 10-B.5-5 Determinations) and Annex 10-B.3 (Extraordinary Challenge Procedure) shall have authority to obtain information in the event of an allegation that a member of a binational panel was guilty of gross misconduct, bias, or a serious conflict of interest, or otherwise materially violated the rules of conduct, and for the committee to summon the attendance of witnesses, order the taking of depositions and obtain the assistance of any district or territorial court of the United States in aid of the committee’s investigation. 7.</w:t>
      </w:r>
    </w:p>
    <w:p>
      <w:pPr>
        <w:pStyle w:val="Normal"/>
      </w:pPr>
      <w:r>
        <w:t>The United States shall amend section 408 of the United States-Canada Free-Trade Agreement Implementation Act of 1988, to provide that, in the case of a final determination of a competent investigating authority of Mexico, as well as Canada, the filing with the United States Secretary of a request for binational panel review by a person described in Article 10.12.5 (Review of Final Antidumping and Countervailing Duty Determinations) shall be deemed, on receipt of the request by the Secretary, to be a request for binational panel review within the meaning of Article 10.12.4 (Review of Final Antidumping and Countervailing Duty Determinations). 8.</w:t>
      </w:r>
    </w:p>
    <w:p>
      <w:pPr>
        <w:pStyle w:val="Normal"/>
      </w:pPr>
      <w:r>
        <w:t>The United States shall amend section 516A of the Tariff Act of 1930, as amended, to provide that judicial review of antidumping or countervailing duty cases regarding Mexican, as well as Canadian, merchandise shall not be commenced in the Court of International Trade if binational panel review is requested. 9. The United States shall amend section 516A(a) of the Tariff Act of 1930, as amended, to provide that the time limits for commencing an action in the Court of International Trade with regard to antidumping or countervailing duty proceedings involving Mexican or Canadian merchandise shall not begin to run until the 31st day after the date of publication in the Federal Register of notice of the final determination or the antidumping duty order. 10. The United States shall amend section 516A(g) of the Tariff Act of 1930, as amended, to provide, in accordance with the terms of this Chapter, for binational panel review of antidumping and countervailing duty cases involving Mexican or Canadian merchandise. Such amendment shall provide that if binational panel review is requested such review will be exclusive.</w:t>
      </w:r>
    </w:p>
    <w:p>
      <w:pPr>
        <w:pStyle w:val="Normal"/>
      </w:pPr>
      <w:r>
        <w:t>11. The United States shall amend section 516A(g) of the Tariff Act of 1930, as amended, to provide that the competent investigating authority shall, within the period specified by any panel formed to review a final determination regarding Mexican or Canadian merchandise, take action not inconsistent with the decision of the panel or committee. 12.</w:t>
      </w:r>
    </w:p>
    <w:p>
      <w:pPr>
        <w:pStyle w:val="Normal"/>
      </w:pPr>
      <w:r>
        <w:t>The United States shall amend section 777 of the Tariff Act of 1930, as amended, to provide for the disclosure to authorized persons under protective order of proprietary information in the administrative record, if binational panel review of a final determination regarding Mexican or Canadian merchandise is requested. 13. The United States shall amend section 777 of the Tariff Act of 1930, as amended, to provide for the imposition of sanctions on any person who the competent investigating authority 10-B.5-6 finds to have violated a protective order issued by the competent investigating authority of the United States or disclosure undertakings entered into with an authorized agency of Mexico or with a competent investigating authority of Canada to protect proprietary material during binational panel review. 10-B.5-7</w:t>
      </w:r>
    </w:p>
    <w:p>
      <w:pPr>
        <w:pStyle w:val="ModHeading"/>
      </w:pPr>
      <w:bookmarkStart w:id="900320" w:name="_Toc300000319"/>
      <w:r>
        <w:t>CHAPTER 10: CUSMA 2.0 MODERNIZATION PROVISIONS</w:t>
      </w:r>
      <w:bookmarkEnd w:id="900320"/>
    </w:p>
    <w:p>
      <w:pPr>
        <w:pStyle w:val="Normal"/>
      </w:pPr>
      <w:r>
        <w:t>Numbering convention. Articles 10.A and 10.B are modernization provisions of Chapter 10 and are distinct from Annex 10-A. A citation to Annex 10-A shall include the word “Annex,” and a citation to Article 10.A or 10.B shall mean the Chapter 10 modernization provision unless expressly stated otherwise. This convention resolves namespace ambiguity without renumbering inherited provisions. Search, indexing, and cross-reference tools should preserve that distinction.</w:t>
      </w:r>
    </w:p>
    <w:p>
      <w:pPr>
        <w:pStyle w:val="Normal"/>
      </w:pPr>
      <w:r>
        <w:rPr>
          <w:i/>
        </w:rPr>
        <w:t>The provisions of this Part amend Chapter 10 (Trade Remedies). Antidumping, countervailing, and safeguard regimes remain available in accordance with this Chapter; these provisions harden them against substitution for prohibited extraordinary tariffs.</w:t>
      </w:r>
    </w:p>
    <w:p>
      <w:pPr>
        <w:pStyle w:val="Heading2"/>
      </w:pPr>
      <w:bookmarkStart w:id="900321" w:name="_Toc300000320"/>
      <w:r>
        <w:t>Article 10.A: Antidumping and Countervailing Duty Disciplines Among the Parties</w:t>
      </w:r>
      <w:bookmarkEnd w:id="900321"/>
    </w:p>
    <w:p>
      <w:pPr>
        <w:pStyle w:val="Normal"/>
      </w:pPr>
      <w:r>
        <w:t>1. The Parties retain their rights and obligations under the WTO Anti-Dumping Agreement and the SCM Agreement, and Chapter 10, including Section D (Review and Dispute Settlement in Antidumping and Countervailing Duty Matters), remains in force.</w:t>
      </w:r>
    </w:p>
    <w:p>
      <w:pPr>
        <w:pStyle w:val="Normal"/>
      </w:pPr>
      <w:r>
        <w:t>2. In an antidumping or countervailing duty investigation involving goods of another Party, the investigating authority shall:</w:t>
      </w:r>
    </w:p>
    <w:p>
      <w:pPr>
        <w:pStyle w:val="Normal"/>
      </w:pPr>
      <w:r>
        <w:t>(a) initiate only upon a petition or self-initiation record containing evidence of dumping or subsidization, injury, and causal link sufficient to satisfy the applicable WTO standard on its face;</w:t>
      </w:r>
    </w:p>
    <w:p>
      <w:pPr>
        <w:pStyle w:val="Normal"/>
      </w:pPr>
      <w:r>
        <w:t>(b) apply transparent, published methodologies for margin calculation, and disclose to interested parties of the other Parties the non-confidential basis of preliminary and final determinations in a timely manner;</w:t>
      </w:r>
    </w:p>
    <w:p>
      <w:pPr>
        <w:pStyle w:val="Normal"/>
      </w:pPr>
      <w:r>
        <w:t>(c) base injury and causation findings on positive evidence and objective examination, including consideration of other known factors, consistent with the non-attribution requirements of the applicable WTO agreements;</w:t>
      </w:r>
    </w:p>
    <w:p>
      <w:pPr>
        <w:pStyle w:val="Normal"/>
      </w:pPr>
      <w:r>
        <w:t>(d) afford interested parties of the other Parties full opportunities to defend their interests, including access to non-confidential files and a hearing on request; and</w:t>
      </w:r>
    </w:p>
    <w:p>
      <w:pPr>
        <w:pStyle w:val="Normal"/>
      </w:pPr>
      <w:r>
        <w:t>(e) complete sunset reviews in accordance with the applicable WTO standard, it being understood that duties do not continue by default without the required likelihood findings.</w:t>
      </w:r>
    </w:p>
    <w:p>
      <w:pPr>
        <w:pStyle w:val="Normal"/>
      </w:pPr>
      <w:r>
        <w:t>3. A pattern of antidumping or countervailing measures against another Party’s goods that a final Chapter 31 report determines to constitute a systematic departure from paragraph 2, applied so as to achieve an objective this Agreement reserves to Chapter 35, is subject to consultations at the request of the affected Party within 15 days and to the good-offices functions of the Commission. A binational panel under Section D does not determine compliance with this Article.</w:t>
      </w:r>
    </w:p>
    <w:p>
      <w:pPr>
        <w:pStyle w:val="Normal"/>
      </w:pPr>
      <w:r>
        <w:t>4. Nothing in this Article limits the availability of antidumping or countervailing duties consistent with this Chapter, and nothing in this Article makes such duties subject to Chapter 35.</w:t>
      </w:r>
    </w:p>
    <w:p>
      <w:pPr/>
      <w:r>
        <w:t>5. Review and relationship to Article 10.5. Solely for a claim that a Party has breached paragraphs 2 or 3 of this Article, this Article constitutes an express exception to Article 10.5(2) and (3), and Chapter 31 has exclusive treaty jurisdiction to determine that claim under the ordinary treaty standard of review. A binational panel under Section D retains its domestic-law jurisdiction and shall not be asked to determine compliance with this Article. An antidumping or countervailing duty is “imposed consistently with Chapter 10” for purposes of Article 35.3(9)(a) unless a final Chapter 31 report finds a breach of this Article. A final report applies to the entries and measures within the temporal scope determined under Chapter 31 and applicable domestic implementation law; it does not create retroactive liability beyond that authority. A duty subject to such a finding remains governed by the remedies available under this Article and Chapter 31 and does not become a covered border measure under Chapter 35 solely by reason of that finding; any suspension of benefits authorized under Article 31.19 remains a Chapter 31 remedy, and to the extent the suspension itself takes the form of a covered border measure it is administered consistently with the module firewall in Article 35.15 without converting the underlying antidumping or countervailing duty into a Chapter 35 measure.</w:t>
      </w:r>
    </w:p>
    <w:p>
      <w:pPr>
        <w:pStyle w:val="Heading2"/>
      </w:pPr>
      <w:bookmarkStart w:id="900322" w:name="_Toc300000321"/>
      <w:r>
        <w:t>Article 10.B: Safeguard Measures, Party-Specific Analysis</w:t>
      </w:r>
      <w:bookmarkEnd w:id="900322"/>
    </w:p>
    <w:p>
      <w:pPr>
        <w:pStyle w:val="Normal"/>
      </w:pPr>
      <w:r>
        <w:t>1. A Party applying a safeguard measure under Chapter 10 and the WTO Safeguards Agreement shall exclude from the measure the originating goods of another Party unless the investigation establishes, on the basis of Party-specific evidence rather than aggregate global import statistics, that imports from that other Party independently make a substantial contribution to the serious injury or threat thereof.</w:t>
      </w:r>
    </w:p>
    <w:p>
      <w:pPr>
        <w:pStyle w:val="Normal"/>
      </w:pPr>
      <w:r>
        <w:t>2. Where imports from another Party do not independently satisfy the substantial-contribution test in paragraph 1, that Party’s originating goods shall not be subject to the safeguard measure.</w:t>
      </w:r>
    </w:p>
    <w:p>
      <w:pPr>
        <w:pStyle w:val="Normal"/>
      </w:pPr>
      <w:r>
        <w:t>3. A safeguard measure under this Chapter or the WTO Safeguards Agreement that applies to originating goods of another Party shall: (a) be preceded by a transparent investigation with public notice and hearing; (b) be time-limited and progressively liberalized where exceeding one year; (c) be reassessed at intervals not exceeding 12 months; (d) terminate automatically when its legal conditions cease to exist; and (e) not be re-applied to substantially the same goods within a cooling-off period equal to the duration of the prior measure, absent a new injury finding based on changed circumstances.</w:t>
      </w:r>
    </w:p>
    <w:p>
      <w:pPr>
        <w:pStyle w:val="Normal"/>
      </w:pPr>
      <w:r>
        <w:t>4. A dispute under this Article is subject to the Expedited Tariff Panel procedure in Article 31.A.</w:t>
      </w:r>
    </w:p>
    <w:p>
      <w:pPr/>
      <w:r>
        <w:t>5. Relationship to Article 10.2 and Chapter 35. Paragraphs 1 and 2 replace the Party-exclusion test in Article 10.2(1) through (3) for a safeguard measure adopted after entry into force of the Protocol of Modernization; the investigation shall nevertheless consider the import-share, growth, and other evidence identified in Article 10.2 to the extent relevant to the Party-specific substantial-contribution determination. A Party may re-include another Party’s originating goods only on a new Party-specific finding satisfying paragraphs 1 and 2 and based on materially changed import conditions. Compensation under Article 10.2(6) remains available, but a responsive tariff or other covered border measure may be used only where expressly authorized by Chapter 35 or another provision of this Agreement; absent that authority, compensation shall take a mutually agreed non-tariff form. The safeguard itself remains subject to the express safeguard exception in Chapter 35 and to the procedural disciplines of this Article.</w:t>
      </w:r>
    </w:p>
    <w:p>
      <w:pPr>
        <w:pStyle w:val="Heading1"/>
      </w:pPr>
      <w:bookmarkStart w:id="900323" w:name="_Toc300000322"/>
      <w:r>
        <w:t>CHAPTER 11 TECHNICAL BARRIERS TO TRADE</w:t>
      </w:r>
      <w:bookmarkEnd w:id="900323"/>
    </w:p>
    <w:p>
      <w:pPr>
        <w:pStyle w:val="Heading2"/>
      </w:pPr>
      <w:bookmarkStart w:id="900324" w:name="_Toc300000323"/>
      <w:r>
        <w:t xml:space="preserve">Article 11.1: Definitions</w:t>
      </w:r>
      <w:bookmarkEnd w:id="900324"/>
    </w:p>
    <w:p>
      <w:pPr>
        <w:pStyle w:val="Normal"/>
      </w:pPr>
      <w:r>
        <w:t xml:space="preserve">1. Annex 1 of the TBT Agreement, including the chapeau and explanatory notes, is incorporated into and made part of this Chapter, mutatis mutandis. 2.</w:t>
      </w:r>
    </w:p>
    <w:p>
      <w:pPr>
        <w:pStyle w:val="Normal"/>
      </w:pPr>
      <w:r>
        <w:t>For the purposes of this Chapter: international conformity assessment systems means systems that facilitate voluntary recognition or acceptance of the results of conformity assessment or accreditation bodies by the authorities of another Party based on compliance with international standards for conformity assessment; international standard means a standard that is consistent with the TBT Committee Decision on International Standards; mutual recognition agreement means an intergovernmental agreement that specifies the conditions by which a Party will recognize the results of conformity assessment procedures produced by another Party’s conformity assessment bodies that demonstrate fulfillment of appropriate standards or technical regulations;1 mutual recognition arrangement or multilateral recognition arrangement means an international or regional arrangement among accreditation bodies in the territories of the Parties, in which the accreditation bodies, on the basis of peer evaluation, accept the results of each other’s accredited conformity assessment bodies or among conformity assessment bodies in the territories of the Parties recognizing the results of conformity assessment; proposed technical regulation or conformity assessment procedure means the entirety of the text setting forth: (a) a</w:t>
      </w:r>
    </w:p>
    <w:p>
      <w:pPr>
        <w:pStyle w:val="Normal"/>
      </w:pPr>
      <w:r>
        <w:t>proposed technical regulation or conformity assessment procedure; or (b) a significant amendment to an existing technical regulation or conformity assessment procedure; TBT Agreement means the Agreement on Technical Barriers to Trade, set out in Annex 1A to the WTO Agreement; and For greater certainty, mutual recognition agreements include agreements to implement the APEC Mutual Recognition Arrangement for Conformity Assessment of Telecommunications Equipment of May 8, 1998 and the Electrical and Electronic Equipment Mutual Recognition Arrangement of July 7, 1999. TBT Committee Decision on International Standards means Annex 2 to Part 1 (Decision of the Committee on Principles for the Development of International Standards, Guides and Recommendations with relation to Articles 2, 5 and Annex 3 of the Agreement) in the Decisions and Recommendations adopted by the WTO Committee on Technical Barriers to Trade Since 1 January 1995 (G/TBT/1/Rev.13), as may be revised, issued by the WTO Committee on Technical Barriers to Trade.</w:t>
      </w:r>
    </w:p>
    <w:p>
      <w:pPr>
        <w:pStyle w:val="Heading2"/>
      </w:pPr>
      <w:bookmarkStart w:id="900325" w:name="_Toc300000324"/>
      <w:r>
        <w:t xml:space="preserve">Article 11.2: Scope</w:t>
      </w:r>
      <w:bookmarkEnd w:id="900325"/>
    </w:p>
    <w:p>
      <w:pPr>
        <w:pStyle w:val="Normal"/>
      </w:pPr>
      <w:r>
        <w:t xml:space="preserve">1. This Chapter applies to the preparation, adoption and application of standards, technical regulations, and conformity assessment procedures, including any amendments, of central level of government bodies, which may affect trade in goods between the Parties. 2. Notwithstanding paragraph 1, this Chapter does not apply to: (a) technical specifications prepared by a governmental body for production or consumption requirements of a governmental body; or (b) sanitary or phytosanitary measures.</w:t>
      </w:r>
    </w:p>
    <w:p>
      <w:pPr>
        <w:pStyle w:val="Heading2"/>
      </w:pPr>
      <w:bookmarkStart w:id="900326" w:name="_Toc300000325"/>
      <w:r>
        <w:t xml:space="preserve">Article 11.3: Incorporation of the TBT Agreement</w:t>
      </w:r>
      <w:bookmarkEnd w:id="900326"/>
    </w:p>
    <w:p>
      <w:pPr>
        <w:pStyle w:val="Normal"/>
      </w:pPr>
      <w:r>
        <w:t xml:space="preserve">1. The following provisions of the TBT Agreement are incorporated into and made part of this Agreement, mutatis mutandis: (a) Articles 2.1, 2.2, 2.3, 2.4, 2.5, 2.9, 2.10, 2.11, and 2.12; (b) Articles 3.1, 4.1, and 7.1; (c) Articles 5.1, 5.2, 5.3, 5.4, 5.6, 5.7, 5.8, and 5.9; and (d) Paragraphs D, E, F, and J of Annex 3. 2. No Party shall have recourse to dispute settlement under Chapter 31 (Dispute Settlement) for a matter arising under this Chapter if the dispute concerns: (a) exclusively claims made under the provisions of the TBT Agreement incorporated under paragraph 1; or (b) a measure that a Party alleges to be inconsistent with this Chapter that: (i) was referred or is subsequently referred to a WTO dispute settlement panel, (ii) was taken to comply in response to the recommendations or rulings from the WTO Dispute Settlement Body, or (iii) bears a close nexus, such as in terms of nature, effects, and timing, with respect to a measure described in subparagraph (ii).</w:t>
      </w:r>
    </w:p>
    <w:p>
      <w:pPr>
        <w:pStyle w:val="Heading2"/>
      </w:pPr>
      <w:bookmarkStart w:id="900327" w:name="_Toc300000326"/>
      <w:r>
        <w:t xml:space="preserve">Article 11.4: International Standards, Guides and Recommendations</w:t>
      </w:r>
      <w:bookmarkEnd w:id="900327"/>
    </w:p>
    <w:p>
      <w:pPr>
        <w:pStyle w:val="Normal"/>
      </w:pPr>
      <w:r>
        <w:t xml:space="preserve">1. The Parties recognize the important role that international standards, guides, and recommendations can play in supporting greater regulatory alignment and good regulatory practices, and in reducing unnecessary barriers to trade. 2. To determine whether there is an international standard, guide, or recommendation within the meaning of Articles 2 and 5 and Annex 3 of the TBT Agreement, each Party shall apply the TBT Committee Decision on International Standards. 3. Each Party shall apply no additional principles or criteria other than those in the TBT Committee Decision on International Standards in order to recognize a standard as an international standard. For greater certainty, criteria that are not relevant to determining whether a standard is an international standard include: (a) the domicile of the standards body; (b) whether the standards body is non-governmental or inter-governmental; and (c) whether the standards body limits participation to delegations. 4. The Parties shall cooperate with each other in appropriate circumstances to ensure that international standards, guides, and recommendations that are likely to become a basis for technical regulations and conformity assessment procedures do not create unnecessary obstacles to international trade. 5.</w:t>
      </w:r>
    </w:p>
    <w:p>
      <w:pPr>
        <w:pStyle w:val="Normal"/>
      </w:pPr>
      <w:r>
        <w:t>No Party shall accord any preference to the consideration or use of standards that are developed through processes that: (a) are inconsistent with the TBT Committee Decision on International Standards; or (b) treat persons of any of the Parties less favorably than persons whose domicile is the same as the standardization body. 6. With respect to any agreement or understanding establishing a customs union or free- trade area or providing trade-related technical assistance, each Party shall encourage the adoption, and use as the basis for standards, technical regulations, and conformity assessment procedures, of any relevant standards, guides, or recommendations developed in accordance with the TBT Committee Decision on International Standards. 7. Recognizing the importance of maintaining North American commercial integration and maintaining market access for producers in North America, each Party shall ensure that any obligation or understanding it has with a non-Party does not facilitate or require the withdrawal or limitation on the use or acceptance of any relevant standard, guide, or recommendation developed in accordance with the TBT Committee Decision on International Standards or the relevant provisions of this Chapter.</w:t>
      </w:r>
    </w:p>
    <w:p>
      <w:pPr>
        <w:pStyle w:val="Heading2"/>
      </w:pPr>
      <w:bookmarkStart w:id="900328" w:name="_Toc300000327"/>
      <w:r>
        <w:t xml:space="preserve">Article 11.5: Technical Regulations</w:t>
      </w:r>
      <w:bookmarkEnd w:id="900328"/>
    </w:p>
    <w:p>
      <w:pPr>
        <w:pStyle w:val="Normal"/>
      </w:pPr>
      <w:r>
        <w:t xml:space="preserve">Preparation and Review of Technical Regulations 1. Each Party shall conduct an appropriate assessment concerning any major technical regulations it proposes to adopt. An assessment can include: (a) a regulatory impact analysis of the technical regulation’s potential impacts; or (b) an analysis that requires evaluation of alternative measures, if any, including voluntary actions that are brought to the Party’s attention in a timely manner. Each Party shall maintain discretion in deciding if a proposed technical regulation is major under this paragraph. 2. Each Party shall: (a) periodically review technical regulations and conformity assessment procedures in order to: (i) examine increasing alignment with relevant international standards, including by reviewing any new developments in the relevant international standards and whether the circumstances that have given rise to divergences from any relevant international standard continue to exist, and (ii) consider the existence of any less trade-restrictive approaches; or (b) maintain a process whereby a person of another Party may directly petition the Party’s regulatory authorities to review a technical regulation or conformity assessment procedure on the grounds that:</w:t>
      </w:r>
    </w:p>
    <w:p>
      <w:pPr>
        <w:pStyle w:val="Normal"/>
      </w:pPr>
      <w:r>
        <w:t>(i) circumstances that were relevant to the content of the technical regulation have changed, or (ii) a less trade-restrictive method to fulfil the technical regulation’s objective exists, such as a technical regulation based</w:t>
      </w:r>
    </w:p>
    <w:p>
      <w:pPr>
        <w:pStyle w:val="Normal"/>
      </w:pPr>
      <w:r>
        <w:t>on the international standard. Use of Standards in Technical Regulations 3. If there are multiple international standards that would be effective and appropriate to fulfil the Party’s legitimate objectives of a technical regulation or conformity assessment procedure, the Party shall: (a) consider using as a basis for the technical regulation or conformity assessment procedure each of the international standards that fulfill the legitimate objectives of the technical regulation or conformity assessment procedure; and (b) if the Party has rejected an international standard that was brought to its attention, issue a written explanation wherever practicable. The written explanation provided for in subparagraph (b) must include the reasons for the Party’s decision to reject an international standard and shall be provided directly to the person that proposed a particular international standard or in a document that is published at the same time that the Party publishes the final technical regulation or conformity assessment procedure. 4. If no international standard is available that fulfils the legitimate objectives of the technical regulation or conformity assessment procedure, each Party shall consider whether a standard developed by a standardizing body domiciled in any of the Parties can fulfill its legitimate objectives.</w:t>
      </w:r>
    </w:p>
    <w:p>
      <w:pPr>
        <w:pStyle w:val="Normal"/>
      </w:pPr>
      <w:r>
        <w:t>To that end, each Party shall: (a) consider and decide whether to accept the standard developed by a standardizing body domiciled in any of the Parties fulfils its legitimate objectives; and (b) if the Party has rejected a standard that was brought to its attention, issue a written explanation wherever practicable. The written explanation provided for in subparagraph (b) must include the reasons for the Party’s decision to reject an international standard and shall be provided directly to the person that proposed a particular standard or in a document that is published at the same time the Party publishes the final technical regulation or conformity assessment procedure. 5. In order for a Party to consider accepting or using a standard as provided for in paragraphs 4 and 5, the Parties recognize that a standard must be brought to the attention of a Party, in a language the Party utilizes for the publication of technical regulations and conformity assessment procedures.</w:t>
      </w:r>
    </w:p>
    <w:p>
      <w:pPr>
        <w:pStyle w:val="Normal"/>
      </w:pPr>
      <w:r>
        <w:t>This must be done during the Party’s planning stage or when the proposed technical regulation or conformity assessment procedure is published for comment as provided for in Article 11.7 (Transparency). Information Exchange 6. If a Party has not used an international standard as a basis for a technical regulation, a Party shall, on request from another Party, explain why it has not used a relevant international standard or has substantially deviated from an international standard.</w:t>
      </w:r>
    </w:p>
    <w:p>
      <w:pPr>
        <w:pStyle w:val="Normal"/>
      </w:pPr>
      <w:r>
        <w:t>The explanation shall address why the standard has been judged inappropriate or ineffective for the objective pursued, and identify the scientific or technical evidence on which this assessment is based. To facilitate an appropriate explanation, the requesting Party shall in its request: (a) identify a relevant international standard that the technical regulation has purportedly not used as its basis; and (b) describe how the technical regulation is constraining or has the potential to constraint its exports. The requesting Party shall also endeavour to indicate whether the international standard was brought to the responding Party’s attention when it was developing the technical regulation. 7. In addition to Article 2.7 of the TBT Agreement, a Party shall, on request of another Party,2 provide the reasons why it has not or cannot accept a technical regulation of that Party as equivalent to its own. The Party to which the request is made should provide its response within a reasonable period of time. Labeling 8.</w:t>
      </w:r>
    </w:p>
    <w:p>
      <w:pPr>
        <w:pStyle w:val="Normal"/>
      </w:pPr>
      <w:r>
        <w:t>In order to avoid disrupting North American trade, and consistent with the obligations contained in Article 11.3 (Incorporation of the TBT Agreement), each Party shall ensure that its technical regulations concerning labels: (a) accord treatment no less favorable than that accorded to like goods of national origin; and (b) do not create unnecessary obstacles to trade between the Parties.</w:t>
      </w:r>
    </w:p>
    <w:p>
      <w:pPr>
        <w:pStyle w:val="Normal"/>
      </w:pPr>
      <w:r>
        <w:t>2 The Party’s request should identify with precision the respective technical regulations it considers to be equivalent and any data or evidence that supports its position.</w:t>
      </w:r>
    </w:p>
    <w:p>
      <w:pPr>
        <w:pStyle w:val="Heading2"/>
      </w:pPr>
      <w:bookmarkStart w:id="900329" w:name="_Toc300000328"/>
      <w:r>
        <w:t xml:space="preserve">Article 11.6: Conformity Assessment</w:t>
      </w:r>
      <w:bookmarkEnd w:id="900329"/>
    </w:p>
    <w:p>
      <w:pPr>
        <w:pStyle w:val="Normal"/>
      </w:pPr>
      <w:r>
        <w:t xml:space="preserve">National Treatment 1. In addition to Article 6.4 of the TBT Agreement, each Party shall accord to conformity assessment bodies located in the territory of another Party treatment no less favorable than that it accords to conformity assessment bodies located in its own territory or in the territory of the other Party. Treatment under this paragraph includes procedures, criteria, fees, and other conditions relating to accrediting, approving, licensing, or otherwise recognizing conformity assessment bodies. 2. In addition to Article 6.4 of the TBT Agreement, if a Party maintains procedures, criteria or other conditions as set out in paragraph 1 and requires conformity assessment results, including test results, certifications, technical reports or inspections as positive assurance that a product conforms to a technical regulation or standard, it shall: (a) not require the conformity assessment body to be located within its territory;</w:t>
      </w:r>
    </w:p>
    <w:p>
      <w:pPr>
        <w:pStyle w:val="Normal"/>
      </w:pPr>
      <w:r>
        <w:t>(b) not effectively require the conformity assessment body to operate an office within its territory; and (c) permit conformity assessment bodies in other Parties’ territories to apply to the Party, or any body that it has recognized or approved for this purpose, for a determination that they comply with any procedures, criteria and other conditions the Party requires to deem them competent or to otherwise approve them to test or certify the product or conduct an inspection. Explanations and Information 3.</w:t>
      </w:r>
    </w:p>
    <w:p>
      <w:pPr>
        <w:pStyle w:val="Normal"/>
      </w:pPr>
      <w:r>
        <w:t>If a Party undertakes conformity assessment procedures in relation to specific products by specified government bodies located in its own territory or in another Party’s territory, the Party shall, on the request of another Party or if practicable, an applicant of another Party, explain: (a) how the information it requires is necessary to assess conformity; (b) the sequence in which a conformity assessment procedure is undertaken and completed; (c) how the Party ensures that confidential business information is protected; and (d) the procedure to review complaints concerning the operation of the conformity assessment procedure and to take corrective action when a complaint is justified. 4. Each Party shall explain, on the request of another Party, the reasons for its decision, whenever it declines to: (a) accredit, approve, license, or otherwise recognize a conformity assessment body; (b) recognize the results from a conformity assessment body that is a signatory to a mutual recognition arrangement; (c) accept the results of a conformity assessment procedure conducted in the territory of another Party; or (d) continue negotiations for a mutual recognition agreement. Subcontracting 5.</w:t>
      </w:r>
    </w:p>
    <w:p>
      <w:pPr>
        <w:pStyle w:val="Normal"/>
      </w:pPr>
      <w:r>
        <w:t>If a Party requires conformity assessment as a positive assurance that a product conforms with a technical regulation or standard, it shall not prohibit a conformity assessment body from using subcontractors, or refuse to accept the results of conformity assessment on account of the conformity assessment body using subcontractors, to perform testing or inspections in relation to the conformity assessment, including subcontractors located in the territory of another Party,3 provided that the subcontractors are accredited and approved in the Party’s territory, when required. Accreditation 6. In addition to Article 9.2 of the TBT Agreement, no Party shall refuse to accept, or take actions that have the effect of, directly or indirectly, requiring or encouraging the refusal of acceptance of conformity assessment results performed by a conformity assessment body located in the territory of another Party because the accreditation body that accredited the conformity assessment body: (a) operates in the territory of a Party where there is more than one accreditation body; (b) is a non-governmental body;</w:t>
      </w:r>
    </w:p>
    <w:p>
      <w:pPr>
        <w:pStyle w:val="Normal"/>
      </w:pPr>
      <w:r>
        <w:t>(c) is domiciled in the territory of a Party that does not maintain a procedure for recognizing accreditation bodies, provided that the accreditation body is recognized internationally, consistent with paragraph 7; 3 For greater certainty, this paragraph does not prohibit a Party from taking steps to ensure the performance of the subcontractor meets its requirements.</w:t>
      </w:r>
    </w:p>
    <w:p>
      <w:pPr>
        <w:pStyle w:val="Normal"/>
      </w:pPr>
      <w:r>
        <w:t>(d) does not operate an office in the Party’s territory; or (e) is a for-profit entity. 7. In addition to Article 9.1 of the TBT Agreement, each Party shall: (a) adopt or maintain measures to facilitate and encourage its authorities to rely on mutual or multilateral recognition arrangements to accredit, approve, license or otherwise recognize conformity assessment bodies where effective and appropriate to fulfill the Party’s legitimate objectives; and (b) consider approving or recognizing accredited conformity assessment bodies for its technical regulations or standards, by an accreditation body that is a signatory to a mutual or multilateral recognition arrangement, for example, the International Laboratory Accreditation Cooperation (ILAC) and the International Accreditation Forum (IAF). The Parties recognize that the arrangements referenced in subparagraph (b) can address considerations in approving conformity assessment bodies, including technical competence, independence, and the avoidance of conflicts of interest. Choice of Conformity Assessment 8.</w:t>
      </w:r>
    </w:p>
    <w:p>
      <w:pPr>
        <w:pStyle w:val="Normal"/>
      </w:pPr>
      <w:r>
        <w:t>The Parties recognize that the choice of conformity assessment procedures in relation to a specific product covered by a technical regulation or standard should include an evaluation of the risks involved, the need to adopt procedures to address those risks, relevant scientific and technical information, incidence of non-compliant products, and possible alternative approaches for establishing that the technical regulation or standard has been met. Fees 9. Nothing in this Article precludes a Party from requesting that conformity assessment procedures in relation to specific products are performed by specified government authorities of the Party. In those cases, the Party conducting the conformity assessment procedures shall: (a) limit any fees it imposes for conformity assessment procedures on products from the other Parties to the costs of services rendered; (b) not impose fees on an applicant of another Party to deliver conformity assessment services, except to recover costs incurred from services rendered; (c) make the amounts of any fees for conformity assessment procedures publicly available;</w:t>
      </w:r>
    </w:p>
    <w:p>
      <w:pPr>
        <w:pStyle w:val="Normal"/>
      </w:pPr>
      <w:r>
        <w:t>(d) not apply a new or modified fee for conformity assessment procedures until the fee and the method for assessing the fee are published and, if practicable, the Party has provided an opportunity for interested persons to comment on the proposed introduction or modification of a conformity assessment fee. 10.</w:t>
      </w:r>
    </w:p>
    <w:p>
      <w:pPr>
        <w:pStyle w:val="Normal"/>
      </w:pPr>
      <w:r>
        <w:t>On request of a Party, or an applicant’s request if practicable, a Party shall explain how: (a) any fees it imposes for such conformity assessment are no higher than the cost of services rendered; (b) fees for its conformity assessment procedures are calculated; and (c) any information it requires is necessary to calculate fees. Exceptions 11. For greater certainty, nothing in paragraphs 1 or 2 precludes a Party from taking actions to verify the results from a conformity assessment procedure, including requesting information from the conformity assessment or accreditation body. These actions shall not subject a product to duplicative conformity assessment procedures, except when necessary to address non compliance. The verifying Party may share information it has requested with another Party, provided it protects confidential information. 12. Paragraphs 2(b) and 5 do not apply to any requirement a Party may have concerning the use of products, conformity assessment procedures or related services in the commercial maritime or civil aviation sectors.</w:t>
      </w:r>
    </w:p>
    <w:p>
      <w:pPr>
        <w:pStyle w:val="Heading2"/>
      </w:pPr>
      <w:bookmarkStart w:id="900330" w:name="_Toc300000329"/>
      <w:r>
        <w:t xml:space="preserve">Article 11.7: Transparency</w:t>
      </w:r>
      <w:bookmarkEnd w:id="900330"/>
    </w:p>
    <w:p>
      <w:pPr>
        <w:pStyle w:val="Normal"/>
      </w:pPr>
      <w:r>
        <w:t xml:space="preserve">1. Each Party shall allow persons of another Party to participate in the development of technical regulations, standards and conformity assessment procedures4 by its central government bodies on terms no less favorable than those that it accords to its own persons. 2. Further to Articles 2.9 and 5.6 of the TBT Agreement, if a Party prepares or proposes to adopt a technical regulation or conformity assessment procedure that is not in response to an urgent situation as referred to in Article 2.10 and Article 5.7 of the TBT Agreement, the Party shall: 4 A Party satisfies this obligation by, for example, providing interested persons a reasonable opportunity to provide comments on the measure it proposes to develop and by taking those comments into account in the development of the measure.</w:t>
      </w:r>
    </w:p>
    <w:p>
      <w:pPr>
        <w:pStyle w:val="Normal"/>
      </w:pPr>
      <w:r>
        <w:t>(a) publish the proposed technical regulation or conformity assessment procedure; (b) allow persons of another Party to submit written comments during a public consultation period on no less favorable terms than it provides to its own persons; (c) publish and allow for written comment in accordance with subparagraphs (a) and (b) at a time when the authority proposing the measure has sufficient time to review those comments and, as appropriate, to revise the measure to take them into account; (d) consider the written comments from a person of another Party on no less favorable terms than it considers those submitted by its own persons; and (e) if practicable,5 accept a written request from another Party to discuss written comments that the other Party has submitted.</w:t>
      </w:r>
    </w:p>
    <w:p>
      <w:pPr>
        <w:pStyle w:val="Normal"/>
      </w:pPr>
      <w:r>
        <w:t>The Party requested under subparagraph (e) to discuss its proposed technical regulation or conformity assessment procedure shall ensure that it has appropriate personnel to participate in the discussions, such as from the competent authority that has proposed the technical regulation or conformity assessment procedure, in order to confirm that the written comments are fully taken into account. 3. Each Party shall endeavor to promptly make publicly available any written comments it receives under paragraph 2(c), except to the extent necessary to protect confidential information or withhold personal identifying information or inappropriate content.</w:t>
      </w:r>
    </w:p>
    <w:p>
      <w:pPr>
        <w:pStyle w:val="Normal"/>
      </w:pPr>
      <w:r>
        <w:t>If it is impracticable to post these comments on a single website, the regulatory authority of a Party shall endeavor to make these comments available via its own website. 4. Each Party shall publish the final technical regulation or conformity assessment procedure and an explanation of how it has addressed substantive issues raised in comments submitted in a timely manner. 5. If appropriate, each Party shall encourage non-governmental bodies including standardization bodies in its territory to act consistently with the obligations in paragraphs 1 and 7, in developing standards and voluntary conformity assessment procedures. 6. Each Party shall ensure that its central government standardizing body’s work program, containing the standards it is currently preparing and the standards it has adopted, is published: 5 Circumstances when discussions are not practicable include where the Party requesting discussions has failed to submit its comments in a timely manner or if discussions would need to take place after the deadline to submit written comments has passed. (a) on the central government standardizing body’s website; (b) in its official gazette; or (c) on the website referred to in paragraph 10. Stakeholder Participation in Developing Technical Regulations and Mandatory Conformity Assessment Procedures 7.</w:t>
      </w:r>
    </w:p>
    <w:p>
      <w:pPr>
        <w:pStyle w:val="Normal"/>
      </w:pPr>
      <w:r>
        <w:t>Each Party shall encourage consideration of methods to provide additional transparency in the development of technical regulations, standards and conformity assessment procedures, including the use of electronic tools and public outreach or consultations. 8. If a Party requests a body within its territory to develop a standard for use as a technical regulation or conformity assessment procedure, the Party shall require the body to allow persons of another Party to participate on no less favorable terms than its own persons in groups or committees of the body that is developing the standard, and apply Annex 3 of the TBT Agreement. 9. Each Party shall take such reasonable measures as may be available to it to ensure proposed and final technical regulations and conformity assessment procedures of regional governments are published.6 10. Each Party shall publish online and make freely accessible, preferably on a single website, all proposed and final technical regulations and mandatory conformity assessment procedures, except with respect to any standards that are: (a) developed by non-governmental organizations; and (b) have been incorporated by reference into a technical regulation or conformity assessment procedure. Notification of Technical Regulations and Conformity Assessment 11.</w:t>
      </w:r>
    </w:p>
    <w:p>
      <w:pPr>
        <w:pStyle w:val="Normal"/>
      </w:pPr>
      <w:r>
        <w:t>In accordance with the procedures established under Article 2.9 or Article 5.6 of the TBT Agreement, each Party shall notify proposed technical regulations and conformity assessment procedures that are in accordance with the technical content of relevant international standards, guides, or recommendations if they may have a significant effect on trade. The Party’s notification shall identify the precise international standards, guides or recommendations with 6 For greater certainty, a Party may comply with this obligation by ensuring that the proposed and final measures in this paragraph are published on, or otherwise accessible through, the official website of the WTO. which the proposal is in accordance. 12. In accordance with the procedures under Article 2.10 or Article 5.7 of the TBT Agreement, and notwithstanding paragraph 11, if urgent problems of safety, health, environmental protection, or national security arise or threaten to arise for a Party, that Party shall notify a technical regulation or conformity assessment procedure that is in accordance with the technical content of relevant international standards, guides or recommendations. In its notification, the Party shall identify the precise international standards, guides, or recommendations with which the proposal is in accordance. 13.</w:t>
      </w:r>
    </w:p>
    <w:p>
      <w:pPr>
        <w:pStyle w:val="Normal"/>
      </w:pPr>
      <w:r>
        <w:t>In accordance with the procedures established under Article 2.9 or Article 5.6 of the TBT Agreement, each Party shall endeavor to notify, proposed technical regulations and conformity assessment procedures of regional level of governments that may have a significant effect on trade and that are in accordance with the technical content of relevant international standards, guides, and recommendations. 14. With respect to notifications made under Articles 2.9 and 5.6 of the TBT Agreement and paragraph 11 of this Chapter, each Party shall notify proposed technical regulations and conformity assessment procedures at an early appropriate stage by: (a) ensuring the notification is made at a time when the authority developing the measure can introduce amendments, including in response to any comments submitted as set out in subparagraph (d); (b) including with its notification:</w:t>
      </w:r>
    </w:p>
    <w:p>
      <w:pPr>
        <w:pStyle w:val="Normal"/>
      </w:pPr>
      <w:r>
        <w:t>(i) any objective for the proposed technical regulation or conformity assessment procedure and its legal basis, (ii) an explanation of how the proposed technical regulation or conformity assessment procedure would fulfill the identified objectives, and (iii) a copy of the proposed technical regulation or conformity assessment procedure or an online address at which the proposed measure can be accessed; (c) transmitting the notification electronically to the other Parties through their enquiry points established in accordance with Article 10 of the TBT Agreement, contemporaneously with the submission of the</w:t>
      </w:r>
    </w:p>
    <w:p>
      <w:pPr>
        <w:pStyle w:val="Normal"/>
      </w:pPr>
      <w:r>
        <w:t>notification to the WTO Secretariat; and (d) providing sufficient time between the end of the comment period and the adoption of the notified technical regulation or conformity assessment procedure to ensure that the responsible authority can fully consider the submitted comments and the Party can issue its responses to the comments. Each Party shall normally allow 60 days from the date it transmits a proposal under subparagraph (b) for another Party or an interested person of a Party to provide comments in writing on the proposal. A Party shall consider any reasonable request from another Party or an interested person of a Party to extend the comment period. A Party that is able to extend a time limit beyond 60 days, for example 90 days, shall consider doing so. 15. Each Party, when making a notification under Article 2.10 or Article 5.7 of the TBT Agreement, shall at the same time transmit electronically the notification and text of the technical regulation or conformity assessment procedure, or an online address where the text of the measure can be viewed, to the Parties’ contact points referred to in Article 11.12 (Contact Points). 16.</w:t>
      </w:r>
    </w:p>
    <w:p>
      <w:pPr>
        <w:pStyle w:val="Normal"/>
      </w:pPr>
      <w:r>
        <w:t>If a Party is notifying a proposed technical regulation or conformity assessment procedure to the WTO TBT Committee and the other Parties for the first time,7 the Party shall notify it to the WTO TBT Committee and the other Parties as a regular notification.8 Each Party shall endeavor to identify the scope of its proposed technical regulation or conformity assessment procedure in its notification by reference to the specific Harmonized System heading, subheading, or tariff item for the products that would be affected by the proposal. 17. If a Party is notifying a proposed technical regulation or conformity assessment procedure that is related to a measure that was previously notified, including because it is an revision, amendment, or replacement to the previously notified measure, the Party shall provide the WTO notification symbol for the previously notified measure.9 Each Party shall endeavor to submit a revision to a notification if the notified measure has been substantially redrafted prior to its entry into force. If the Party files a revision or the circumstances in paragraph 18(e) arise, the Party shall endeavor to allow either a new or extended period of time for interested persons to submit comments to the Party. 18.</w:t>
      </w:r>
    </w:p>
    <w:p>
      <w:pPr>
        <w:pStyle w:val="Normal"/>
      </w:pPr>
      <w:r>
        <w:t>Each Party shall submit an addendum to a notification it has previously made to the WTO TBT Committee and the Parties in any of the following circumstances: (a) the period of time to submit comments on the proposed measure has changed; 7 The Parties shall follow the recommendation set forth in G/TBT/35, Coherent Use of Notification Formats. 8 A notification is a document that is circulated by the WTO Secretariat, or submitted to the WTO Secretariat for the purposes of circulation, under the prefix “G/TBT/N.” 9 The Parties agree the appropriate place to make the identification is in field 8 of a document produced consistent with the Format and Guidelines for Notification Procedures for Draft Technical Regulations and Conformity Assessment Procedures. (b) the notified measure has been adopted or otherwise entered into force; (c) the compliance dates for the final measure have changed; (d) the notified measure has been withdrawn, revoked, or replaced;10 (e) the content or scope of the notified measure is partially changed or amended;</w:t>
      </w:r>
    </w:p>
    <w:p>
      <w:pPr>
        <w:pStyle w:val="Normal"/>
      </w:pPr>
      <w:r>
        <w:t>(f) any interpretive guidance for a notified measure that has been issued; or (g) the final text of the notified measure is published or adopted or otherwise enters into force. 19. Each Party shall endeavor to submit a corrigendum to a notification if it subsequently determines there are minor administrative or clerical errors in: (a) a notification or subsequent related addendum or revision; or (b) the text of the notified measure. 20.</w:t>
      </w:r>
    </w:p>
    <w:p>
      <w:pPr>
        <w:pStyle w:val="Normal"/>
      </w:pPr>
      <w:r>
        <w:t>If a Party obtains a translation of a measure notified to the WTO TBT Committee, whether official or unofficial, in an official WTO language other than the language of the notification, it shall endeavor to send the translation to the Parties’ contact points referred to in Article 11.12 (Contact Points). 21. For the purposes of determining whether a proposed technical regulation or conformity assessment procedure may have a significant effect on trade and is subject to notification in accordance with Articles 2.9, 2.10, 3.2, 5.6, 5.7, or 7.2 of the TBT Agreement and this Chapter, a Party shall consider, among other things, the relevant guidance in the Decisions and Recommendations Adopted by the WTO Committee on Technical Barriers to Trade Since 1 January 1995 (G/TBT/1/Rev.13), as may be revised. 22. When a Party has adopted a technical regulation or conformity assessment procedure that may have a significant effect on trade, the Party shall promptly publish online: (a) an explanation of how the technical regulation or conformity assessment procedure achieves the Party’s objectives;</w:t>
      </w:r>
    </w:p>
    <w:p>
      <w:pPr>
        <w:pStyle w:val="Normal"/>
      </w:pPr>
      <w:r>
        <w:t>(b) a description of alternative approaches, if any, that the Party considered in 10 The Party shall provide the WTO document number identifying the notification of a measure that replaces or has been proposed as a replacement for a withdrawn or revoked measure.</w:t>
      </w:r>
    </w:p>
    <w:p>
      <w:pPr>
        <w:pStyle w:val="Normal"/>
      </w:pPr>
      <w:r>
        <w:t>developing the adopted technical regulation or conformity assessment procedure and the explanation of why it chose one approach over the others it considered; (c) its views on any substantive issues raised in timely submitted comments on the proposed technical regulation or conformity assessment procedure; (d) any impact assessment it has undertaken; (e) if not addressed by an impact assessment, an explanation of the relationship between the regulation and the key evidence, data, and other information the regulatory authority considered in finalizing its work on the regulation; and (f) the date by which compliance is required.</w:t>
      </w:r>
    </w:p>
    <w:p>
      <w:pPr>
        <w:pStyle w:val="Heading2"/>
      </w:pPr>
      <w:bookmarkStart w:id="900331" w:name="_Toc300000330"/>
      <w:r>
        <w:t xml:space="preserve">Article 11.8: Compliance Period for Technical Regulations and Conformity Assessment Procedures</w:t>
      </w:r>
      <w:bookmarkEnd w:id="900331"/>
    </w:p>
    <w:p>
      <w:pPr>
        <w:pStyle w:val="Normal"/>
      </w:pPr>
      <w:r>
        <w:t xml:space="preserve">1. For the purposes of Articles 2.12 and 5.9 of the TBT Agreement, the term “reasonable interval” means normally a period of not less than six months, except when this would be ineffective in fulfilling the legitimate objectives pursued by the technical regulation or the conformity assessment procedure.11 2. If feasible and appropriate, each Party shall endeavor to provide an interval of more than six months between the publication of a final technical regulation or conformity assessment procedure and its entry into force. 3. In addition to paragraphs 1 and 2, in setting a “reasonable interval” for a specific technical regulation or conformity assessment procedure, each Party provide suppliers with a reasonable period of time, under the circumstances, to be able to demonstrate the conformity of their products with the relevant requirements of the technical regulation by the date of entry into force of the specific technical regulation or conformity assessment procedure. In doing so, each Party shall endeavor to take into account the resources available to suppliers.</w:t>
      </w:r>
    </w:p>
    <w:p>
      <w:pPr>
        <w:pStyle w:val="Heading2"/>
      </w:pPr>
      <w:bookmarkStart w:id="900332" w:name="_Toc300000331"/>
      <w:r>
        <w:t xml:space="preserve">Article 11.9: Cooperation and Trade Facilitation</w:t>
      </w:r>
      <w:bookmarkEnd w:id="900332"/>
    </w:p>
    <w:p>
      <w:pPr>
        <w:pStyle w:val="Normal"/>
      </w:pPr>
      <w:r>
        <w:t xml:space="preserve">1. In addition to Articles 5, 6, and 9 of the TBT Agreement, the Parties acknowledge that a 11 For greater certainty, a Party may decide to set an interval of less than six months between the publication of a measure and its entry into force in certain circumstances, including those where the measure is trade facilitative or is addressing an urgent problem of safety, health, environmental protection, or national security. broad range of mechanisms12 exists to facilitate the acceptance of conformity assessment results. In this regard, a Party shall give consideration to a request made by another Party with respect to any sector-specific proposal for cooperation including by, as appropriate: (a) implementing mutual recognition of the results by conformity assessment bodies located in its territory and another Party’s territory with respect to specific technical regulations; (b) recognizing existing mutual and multilateral recognition arrangements between or among accreditation bodies or conformity assessment bodies; (c) using accreditation to qualify conformity assessment bodies, particularly international systems of accreditation;</w:t>
      </w:r>
    </w:p>
    <w:p>
      <w:pPr>
        <w:pStyle w:val="Normal"/>
      </w:pPr>
      <w:r>
        <w:t>(d) designating conformity assessment bodies or recognise the other Party’s designation of conformity assessment bodies; (e) unilaterally recognizing the results of conformity assessment procedures performed in the other Party’s territory; and (f) accepting a supplier’s declaration of conformity. 2.</w:t>
      </w:r>
    </w:p>
    <w:p>
      <w:pPr>
        <w:pStyle w:val="Normal"/>
      </w:pPr>
      <w:r>
        <w:t>The Parties recognize that a broad range of mechanisms exist to support greater regulatory alignment and to eliminate unnecessary technical barriers to trade in the region, including: (a) regulatory dialogue and cooperation to, among other things: (i) exchange of information on regulatory approaches and practices, (ii) promote the use of good regulatory practices to improve the efficiency and effectiveness of technical regulations, standards and conformity assessment procedures, (iii) provide technical advice and assistance, on mutually agreed terms and conditions, to improve practices related to the development, implementation and review of technical regulations, standards, conformity assessment procedures and metrology, or 12 With respect to the mechanisms listed in paragraphs 1 and 2, the Parties recognize that the choice of the appropriate mechanism in a given regulatory context depends on a variety of factors, such as the product and sector involved, the volume and direction of trade, the relationship between Parties’ respective regulators, the legitimate objectives pursued and the risks of non-fulfilment of those objectives.</w:t>
      </w:r>
    </w:p>
    <w:p>
      <w:pPr>
        <w:pStyle w:val="Normal"/>
      </w:pPr>
      <w:r>
        <w:t>(iv) provide technical assistance and cooperation, on mutually agreed terms and conditions, to build capacity and support the implementation of this Chapter; (b) facilitation of the greater use and alignment of standards, technical regulations, and conformity assessment procedures with relevant international standards, guides, and recommendations; and (c) promotion of the acceptance of technical regulations of the other Party as equivalent. 3. In addition to subparagraph (c), the Parties shall work to develop common standards and conformity assessment procedures in sectors of mutual interest. The Parties shall determine the scope of this work through the Committee on Technical Barriers to Trade established under Article 11.11 (Committee on Technical Barriers to Trade). 4. The Parties shall strengthen their exchange and collaboration on mechanisms to facilitate the acceptance of conformity assessment results, to support greater regulatory alignment and to eliminate unnecessary technical barriers to trade in the region. To this end, the Parties shall seek to identify, develop, and promote trade-facilitating initiatives regarding standards, technical regulations, and conformity assessment procedures that address particular cross-cutting or sector- specific issues. 5.</w:t>
      </w:r>
    </w:p>
    <w:p>
      <w:pPr>
        <w:pStyle w:val="Normal"/>
      </w:pPr>
      <w:r>
        <w:t>The Parties shall encourage cooperation between their respective organizations responsible for standardization, conformity assessment, accreditation and metrology, whether they are public or private, with a view to facilitate trade.</w:t>
      </w:r>
    </w:p>
    <w:p>
      <w:pPr>
        <w:pStyle w:val="Heading2"/>
      </w:pPr>
      <w:bookmarkStart w:id="900333" w:name="_Toc300000332"/>
      <w:r>
        <w:t xml:space="preserve">Article 11.10: Information Exchange and Technical Discussions</w:t>
      </w:r>
      <w:bookmarkEnd w:id="900333"/>
    </w:p>
    <w:p>
      <w:pPr>
        <w:pStyle w:val="Normal"/>
      </w:pPr>
      <w:r>
        <w:t xml:space="preserve">1. The Parties recognize that technical discussions and information exchange can serve an important function in reaching mutually satisfactory solutions to trade concerns by promoting cooperation and consultation informed by relevant technical and scientific information. Accordingly, with respect to a matter that arises under this Chapter, a Party may request that another Party: (a) engage in technical discussions concerning the matter; or (b) provide information regarding any proposed or final technical regulation or conformity assessment procedure that relates to the matter. 2. The Party making the request shall do so in writing and identify: (a) the matter, including those provisions of the Chapter to which the matter relates; (b) the reasons for the request, including any concerns with a proposed or final measure; (c) whether the matter is urgent; and (d) if applicable, the precise information that is being requested. The Party making the request shall transmit it to the Parties through their respective contact points designated pursuant to Article 30.5 (Agreement Coordinator and Contact Points). 3.</w:t>
      </w:r>
    </w:p>
    <w:p>
      <w:pPr>
        <w:pStyle w:val="Normal"/>
      </w:pPr>
      <w:r>
        <w:t>With respect to a request made under paragraph 1(a), the requesting Party and the requested Party shall discuss the matter identified within 60 days after the date the request was transmitted to the contact point, unless the request identified the matter as urgent, in which case the Parties shall endeavor to hold the technical discussions sooner. The requested Party, at its discretion, may decide to allow another Party to participate in the technical discussions. With respect to a request made under paragraph 1(b), the Party receiving the request shall provide appropriate information within a reasonable period of time. The Parties shall attempt to obtain satisfactory resolution of the matter. 4. Unless the Parties decide otherwise, any discussions or information exchanged under this Article, other than the request referenced in paragraphs 1 and 2, shall be kept confidential and is without prejudice to the Parties’ rights and obligations under the Agreement, the WTO Agreement or any other agreement to which the requesting and requested Parties are party.</w:t>
      </w:r>
    </w:p>
    <w:p>
      <w:pPr>
        <w:pStyle w:val="Heading2"/>
      </w:pPr>
      <w:bookmarkStart w:id="900334" w:name="_Toc300000333"/>
      <w:r>
        <w:t xml:space="preserve">Article 11.11: Committee on Technical Barriers to Trade</w:t>
      </w:r>
      <w:bookmarkEnd w:id="900334"/>
    </w:p>
    <w:p>
      <w:pPr>
        <w:pStyle w:val="Normal"/>
      </w:pPr>
      <w:r>
        <w:t xml:space="preserve">1. The Parties hereby establish a Committee on Technical Barriers to Trade (TBT Committee), composed of government representatives of each Party. 2. Through the TBT Committee, the Parties shall strengthen their joint work in the fields of technical regulations, standards, and conformity assessment procedures with a view to facilitating trade between the Parties. 3. The TBT Committee’s functions include: (a) monitoring and identifying ways to strengthen the implementation and operation of this Chapter, and identifying any potential amendments to or interpretations of this Chapter for referral to the Commission; (b) as appropriate, discussing proposed and final versions of standards, technical regulations, or conformity assessment procedures of any Party; (c) monitoring any technical discussions on matters that arise under this Chapter requested pursuant to paragraph 2 of Article 11.10 (Information Exchange and Technical Discussions); (d) reaching an agreement on priority areas of mutual interest for future work under this Chapter and considering proposals for new sector-specific initiatives or other initiatives;</w:t>
      </w:r>
    </w:p>
    <w:p>
      <w:pPr>
        <w:pStyle w:val="Normal"/>
      </w:pPr>
      <w:r>
        <w:t>(e) encouraging cooperation between the Parties in matters that pertain to this Chapter, including the development, review, or modification of technical regulations, standard, and conformity assessment procedures; (f) encouraging cooperation between non-governmental bodies in the Parties’ territories, as well as</w:t>
      </w:r>
    </w:p>
    <w:p>
      <w:pPr>
        <w:pStyle w:val="Normal"/>
      </w:pPr>
      <w:r>
        <w:t>cooperation between governmental and non-governmental bodies in the Parties’ territories in matters that pertains to this Chapter; (g) facilitating the identification of technical capacity needs; (h) encouraging the exchange of information between the Parties and their relevant non-governmental bodies, if appropriate, to develop common approaches regarding matters under discussion in non-governmental, regional, plurilateral, and multilateral bodies or international conformity assessment systems or standards development relevant to this Chapter; including the WTO TBT Committee and bodies that develop standards in accordance with the TBT Committee Decision on International Standards, as appropriate; (i) encouraging, on request of a Party, the exchange of information between the Parties regarding specific technical regulations, standards, and conformity assessment procedures of non-Parties as well as systemic issues, with a view to fostering a common approach; (j) undertaking initiatives to support greater regulatory alignment in the region, including through the development of common standards or conformity assessment procedures, in sectors of mutual interest; (k) reporting to the Commission on the implementation and operation of this Chapter;</w:t>
      </w:r>
    </w:p>
    <w:p>
      <w:pPr>
        <w:pStyle w:val="Normal"/>
      </w:pPr>
      <w:r>
        <w:t>(l) reviewing this Chapter in light of any developments under the TBT Agreement, and developing recommendations for amendments to this Chapter in light of those developments; (m) engaging, as appropriate, with the public to participate</w:t>
      </w:r>
    </w:p>
    <w:p>
      <w:pPr>
        <w:pStyle w:val="Normal"/>
      </w:pPr>
      <w:r>
        <w:t>in the work of the TBT Committee, for example by requesting and considering comments on matters related to the implementation of this Chapter; and (n) taking any other steps that the Parties consider will assist them in implementing this Chapter. 4. Unless the Parties decide otherwise, the TBT Committee shall meet at least once a year. 5. The TBT Committee may establish and determine the scope and mandate of working groups to carry out its functions, and may invite, as appropriate, representatives of non governmental entities to participate in a working group. 6. To determine what activities the TBT Committee will undertake, the TBT Committee shall consider work that is being undertaken in other fora, with a view to ensuring that any activities undertaken by the TBT Committee do not unnecessarily duplicate that work.</w:t>
      </w:r>
    </w:p>
    <w:p>
      <w:pPr>
        <w:pStyle w:val="Heading2"/>
      </w:pPr>
      <w:bookmarkStart w:id="900335" w:name="_Toc300000334"/>
      <w:r>
        <w:t xml:space="preserve">Article 11.12: Contact Points</w:t>
      </w:r>
      <w:bookmarkEnd w:id="900335"/>
    </w:p>
    <w:p>
      <w:pPr>
        <w:pStyle w:val="Normal"/>
      </w:pPr>
      <w:r>
        <w:t xml:space="preserve">1. Each Party shall designate a contact point and notify it to the other Parties for matters arising under this Chapter in accordance with Article 30.5 (Agreement Coordinator and Contact Points). A Party shall promptly notify the other Parties of any change of its contact point or the details of the relevant officials. 2. The functions of each contact point shall include: (a) communicating with the other Parties’ contact points, including facilitating discussions, requests and the timely exchange of information on matters arising under this Chapter; (b) communicating with and coordinating the involvement of relevant government agencies, including regulatory authorities, in the territory of the Party it represents on relevant matters pertaining to this Chapter; (c) consulting and, if appropriate, coordinating with interested persons in the territory of the Party it represents on relevant matters pertaining to this Chapter; and (d) carrying out any additional responsibilities specified by the TBT Committee.</w:t>
      </w:r>
    </w:p>
    <w:p>
      <w:pPr>
        <w:pStyle w:val="Heading1"/>
      </w:pPr>
      <w:bookmarkStart w:id="900336" w:name="_Toc300000335"/>
      <w:r>
        <w:t>CHAPTER 12 SECTORAL ANNEXES</w:t>
      </w:r>
      <w:bookmarkEnd w:id="900336"/>
    </w:p>
    <w:p>
      <w:pPr>
        <w:pStyle w:val="Heading2"/>
      </w:pPr>
      <w:bookmarkStart w:id="900337" w:name="_Toc300000336"/>
      <w:r>
        <w:t xml:space="preserve">Article 12.1: Sectoral Annexes</w:t>
      </w:r>
      <w:bookmarkEnd w:id="900337"/>
    </w:p>
    <w:p>
      <w:pPr>
        <w:pStyle w:val="Normal"/>
      </w:pPr>
      <w:r>
        <w:t xml:space="preserve">1. In addition to other applicable provisions of this Agreement, this Chapter contains provisions with respect to chemical substances, cosmetic products, information and communication technology, energy performance standards, medical devices, and pharmaceuticals, as defined therein. 2. The rights and obligations set out in each annex to this Chapter shall apply only with respect to the sector specified in that annex, and shall not affect any Party’s rights or obligations under any other annex to this Chapter.</w:t>
      </w:r>
    </w:p>
    <w:p>
      <w:pPr>
        <w:pStyle w:val="Heading2"/>
      </w:pPr>
      <w:bookmarkStart w:id="900338" w:name="_Toc300000337"/>
      <w:r>
        <w:t xml:space="preserve">Article 12.2: Sectoral Implementation Work Program</w:t>
      </w:r>
      <w:bookmarkEnd w:id="900338"/>
    </w:p>
    <w:p>
      <w:pPr>
        <w:pStyle w:val="Normal"/>
      </w:pPr>
      <w:r>
        <w:t xml:space="preserve">1. The TBT Committee, in coordination with the competent authorities identified under the applicable annexes and the GRP Committee where relevant, shall maintain a rolling Chapter 12 Sectoral Implementation Work Program identifying active compatibility initiatives, unnecessary duplicative requirements under examination, responsible regulatory authorities, expected next steps, and implementation status. 2. The Work Program shall distinguish completed matters, active matters, matters awaiting domestic regulatory action, matters requiring additional technical evidence, and matters that a competent authority has declined to pursue, with a concise reason where disclosure is lawful. 3. Existing committees, regulator-to-regulator mechanisms, and sectoral bodies shall perform the underlying work wherever practicable, and the Work Program shall not create a separate approval layer or require a regulator to harmonize, recognize, rely upon, or alter a measure where it determines that doing so would be inconsistent with its lawful mandate or chosen level of protection. 4. The TBT Committee shall include a non-confidential summary of material Chapter 12 implementation progress and unresolved items in its existing report to the Commission rather than establishing a separate reporting institution.</w:t>
      </w:r>
    </w:p>
    <w:p>
      <w:pPr>
        <w:pStyle w:val="Heading2"/>
      </w:pPr>
      <w:bookmarkStart w:id="900339" w:name="_Toc300000338"/>
      <w:r>
        <w:t xml:space="preserve">ANNEX 12-A CHEMICAL SUBSTANCES</w:t>
      </w:r>
      <w:bookmarkEnd w:id="900339"/>
    </w:p>
    <w:p>
      <w:pPr>
        <w:pStyle w:val="Heading2"/>
      </w:pPr>
      <w:bookmarkStart w:id="900340" w:name="_Toc300000339"/>
      <w:r>
        <w:t xml:space="preserve">Article 12.A.1: Definitions</w:t>
      </w:r>
      <w:bookmarkEnd w:id="900340"/>
    </w:p>
    <w:p>
      <w:pPr>
        <w:pStyle w:val="Normal"/>
      </w:pPr>
      <w:r>
        <w:t xml:space="preserve">For the purposes of this Annex: chemical mixture means a combination or a solution composed of two or more chemical substances in which they do not react; chemical substance means any organic or inorganic substance of a particular molecular identity or a mixture of substances,1 including: (a) any combination of those substances occurring in whole or in part as a result of a chemical reaction or occurring in nature; and (b) any element or uncombined radical; hazard means the potential adverse human health, physical, or environmental effects caused by a chemical substance or chemical mixture; risk-based approach means the evaluation of a chemical substance or chemical mixture that includes the consideration of both the hazard and exposure; and safety data sheet means written or printed material that provides comprehensive information about chemical identity, hazards, precautions, and response actions for a particular chemical substance or chemical mixture for use in a workplace chemical control regulatory framework.</w:t>
      </w:r>
    </w:p>
    <w:p>
      <w:pPr>
        <w:pStyle w:val="Heading2"/>
      </w:pPr>
      <w:bookmarkStart w:id="900341" w:name="_Toc300000340"/>
      <w:r>
        <w:t xml:space="preserve">Article 12.A.2: Scope</w:t>
      </w:r>
      <w:bookmarkEnd w:id="900341"/>
    </w:p>
    <w:p>
      <w:pPr>
        <w:pStyle w:val="Normal"/>
      </w:pPr>
      <w:r>
        <w:t xml:space="preserve">This Annex applies to the preparation, adoption, and application of technical regulations; standards; conformity assessment procedures; measures relating to hazard communication, labeling, and communication of information on the use and storage of chemical substances and chemical mixtures, and on response in the workplace to hazards and exposures; and import and 1 “Mixture of substances” do not include any combination of two or more chemical substances if the combination does not occur in nature and is not, in whole or in part, the result of a chemical reaction. 12-A-1 export permits for chemical substances and chemical mixtures by a Party’s central level of government:2 (a) applied for the purposes of protecting the environment or human health from chemical substances and chemical mixtures; (b) that may significantly affect trade between the Parties; and (c) which is not: (i) a sanitary or phytosanitary measure, (ii) a measure relating to pesticides, pharmaceutical products, veterinary drugs, cosmetic products, nuclear material, or food products, including food additives, or (iii) a measure relating to the control of chemical precursors in order to prevent the production of illegal narcotics and psychotropic substances.</w:t>
      </w:r>
    </w:p>
    <w:p>
      <w:pPr>
        <w:pStyle w:val="Heading2"/>
      </w:pPr>
      <w:bookmarkStart w:id="900342" w:name="_Toc300000341"/>
      <w:r>
        <w:t xml:space="preserve">Article 12.A.3: Competent Authorities</w:t>
      </w:r>
      <w:bookmarkEnd w:id="900342"/>
    </w:p>
    <w:p>
      <w:pPr>
        <w:pStyle w:val="Normal"/>
      </w:pPr>
      <w:r>
        <w:t xml:space="preserve">Each Party shall publish online the following information with respect to each of its competent authorities at its central level of government that has responsibility for implementing and enforcing measures regulating chemical substances and chemical mixtures: (a) a description of each authority, including the authority’s specific responsibilities; and (b) a contact point within each authority. Each Party shall promptly notify the other Parties of any material changes to this information and update the information online.</w:t>
      </w:r>
    </w:p>
    <w:p>
      <w:pPr>
        <w:pStyle w:val="Heading2"/>
      </w:pPr>
      <w:bookmarkStart w:id="900343" w:name="_Toc300000342"/>
      <w:r>
        <w:t xml:space="preserve">Article 12.A.4: Enhancing Regulatory Compatibility</w:t>
      </w:r>
      <w:bookmarkEnd w:id="900343"/>
    </w:p>
    <w:p>
      <w:pPr>
        <w:pStyle w:val="Normal"/>
      </w:pPr>
      <w:r>
        <w:t xml:space="preserve">1. The Parties recognize that the principal objective of regulating chemical substances and chemical mixtures is the protection of human health and the environment. The Parties recognize that the obligations in this Annex do not preclude a Party from implementing obligations under existing international agreements relating to chemical management or entering into any new international agreement relating to chemical management. 12-A-2 2. The Parties also recognize the importance of developing and implementing measures in a manner that achieves their respective level of protection without creating unnecessary economic barriers or impediments to technological innovation. 3. Each Party shall endeavor to use a risk-based approach to the assessment of specific chemical substances and chemical mixtures, where appropriate.</w:t>
      </w:r>
    </w:p>
    <w:p>
      <w:pPr>
        <w:pStyle w:val="Normal"/>
      </w:pPr>
      <w:r>
        <w:t>Each Party also intends to encourage, as appropriate, a risk-based approach to regulating chemical substances and chemical mixtures both in international fora and in its relations with non-Parties. 4. The Parties shall endeavor, if appropriate, to align their respective risk assessment methodologies and risk management measures for chemical substances and chemical mixtures provided that alignment does not prevent a Party from determining and achieving its levels of protection. In its alignment efforts, each Party shall strive to continue to improve its levels of protection. 5. Each Party, when developing, modifying, or adopting a measure concerning chemical substances or chemical mixtures, shall endeavor to consider how a measure adopted by another Party could inform its decision-making. 6. The Parties shall strengthen their cooperation on chemical substances and chemical mixtures, including through the use of fora in existence.</w:t>
      </w:r>
    </w:p>
    <w:p>
      <w:pPr>
        <w:pStyle w:val="Normal"/>
      </w:pPr>
      <w:r>
        <w:t xml:space="preserve">To that end, the Parties recognize potential areas of cooperation include: (a) their respective implementation of the United Nations Globally Harmonized System for Classification and Labeling of Chemicals (GHS); (b) the use and content of safety data sheets, including with respect to the information requirements for identical or similar chemical substances, without reducing the level of safety or protection for workers; (c) compatibility of respective requirements for presentation of information protected as confidential business information on safety data sheets; (d) coordination, compatibility, and, if appropriate, development of chemical inventories; (e) coordination and collaboration on chemical risk assessment and risk management methodologies, tools, and models, and on the development of specific chemical assessments; and (f) if appropriate, scientific criteria used for the reliability of scientific data underpinning regulatory decisions. 12-A-3 If the Parties identify differences in practice with respect to paragraphs (b) and (c) they shall cooperate with a view to minimizing the differences in the use of safety data and safety data sheets by the competent authorities of each Party.</w:t>
      </w:r>
    </w:p>
    <w:p>
      <w:pPr>
        <w:pStyle w:val="Heading2"/>
      </w:pPr>
      <w:bookmarkStart w:id="900344" w:name="_Toc300000343"/>
      <w:r>
        <w:t xml:space="preserve">Article 12.A.5: Data and Information Exchange</w:t>
      </w:r>
      <w:bookmarkEnd w:id="900344"/>
    </w:p>
    <w:p>
      <w:pPr>
        <w:pStyle w:val="Normal"/>
      </w:pPr>
      <w:r>
        <w:t xml:space="preserve">1.</w:t>
      </w:r>
    </w:p>
    <w:p>
      <w:pPr>
        <w:pStyle w:val="Normal"/>
      </w:pPr>
      <w:r>
        <w:t>The Parties shall endeavor to periodically exchange information concerning respective methodologies for assessing chemical substances, both generally and with respect to particular chemicals. 2.</w:t>
      </w:r>
    </w:p>
    <w:p>
      <w:pPr>
        <w:pStyle w:val="Normal"/>
      </w:pPr>
      <w:r>
        <w:t>Upon request of another Party, a Party shall share any available data or assessments on particular chemical substances, such as full data studies or robust data summaries.3 Each Party shall adopt or maintain procedures to prevent the disclosure of confidential information that appears in the data or assessments, including procedures to remove or recall any confidential information that is inadvertently disclosed. 3. The Parties shall exchange, as appropriate: (a) information related to their respective activities to disseminate information to the public concerning the safety of chemical substances; and (b) scientific data and technical information, on new and emerging issues related to the management of chemical substances, with a view to accumulating the best available scientific data or technical information, including peer-reviewed studies. 3 A Party may fulfill this obligation by making the data or assessments requested publicly available and informing the Party that made the request how to access the information. 12-A-4</w:t>
      </w:r>
    </w:p>
    <w:p>
      <w:pPr>
        <w:pStyle w:val="Heading2"/>
      </w:pPr>
      <w:bookmarkStart w:id="900345" w:name="_Toc300000344"/>
      <w:r>
        <w:t xml:space="preserve">ANNEX 12-B COSMETIC PRODUCTS</w:t>
      </w:r>
      <w:bookmarkEnd w:id="900345"/>
    </w:p>
    <w:p>
      <w:pPr>
        <w:pStyle w:val="Heading2"/>
      </w:pPr>
      <w:bookmarkStart w:id="900346" w:name="_Toc300000345"/>
      <w:r>
        <w:t xml:space="preserve">Article 12.B.1: Definitions</w:t>
      </w:r>
      <w:bookmarkEnd w:id="900346"/>
    </w:p>
    <w:p>
      <w:pPr>
        <w:pStyle w:val="Normal"/>
      </w:pPr>
      <w:r>
        <w:t xml:space="preserve">For the purposes of this Annex: cosmetic product means: (a) for Canada, a product that constitutes a “cosmetic” as defined under section 2 of the Food and Drugs Act, R.S.C., 1985, c.F-27, as amended, and that is regulated solely under the Cosmetic Regulations, C.R.C., c. 869, as amended; (b) for Mexico, a product covered as “cosmetics” as defined under article 269 Ley General de Salud (Health General Law) and article 187 Reglamento Control Sanitario de Productos y Servicios (Regulation Sanitary Control of Products and Services) as amended; and (c) for the United States, a product covered as a “cosmetic” under 21 U.S.C. § 321(i), as amended; marketing authorization means the process or processes by which a Party approves or registers a cosmetic product in order to authorize its marketing, distribution, or sale in the Party’s territory on the basis of the Party’s safety, efficacy, and quality requirements; ICI Dictionary means the International Cosmetic Ingredient Dictionary and Handbook, published in Washington, DC by the Personal Care Products Council;</w:t>
      </w:r>
    </w:p>
    <w:p>
      <w:pPr>
        <w:pStyle w:val="Normal"/>
      </w:pPr>
      <w:r>
        <w:t>INC means the International Cosmetic Ingredient Nomenclature Committee, which develops the INCI names; and INCI name means the International Nomenclature Cosmetic Ingredient name assigned to an ingredient in the ICI Dictionary.</w:t>
      </w:r>
    </w:p>
    <w:p>
      <w:pPr>
        <w:pStyle w:val="Heading2"/>
      </w:pPr>
      <w:bookmarkStart w:id="900347" w:name="_Toc300000346"/>
      <w:r>
        <w:t xml:space="preserve">Article 12.B.2: Scope</w:t>
      </w:r>
      <w:bookmarkEnd w:id="900347"/>
    </w:p>
    <w:p>
      <w:pPr>
        <w:pStyle w:val="Normal"/>
      </w:pPr>
      <w:r>
        <w:t xml:space="preserve">This Annex applies to the preparation, adoption, and application of technical regulations, standards, conformity assessment procedures, and notification procedures by a Party’s central level of government that may affect trade in cosmetic products between the Parties, other than 12-B-1 sanitary or phytosanitary measures or technical specifications prepared by a government body for production or consumption requirements of that body.</w:t>
      </w:r>
    </w:p>
    <w:p>
      <w:pPr>
        <w:pStyle w:val="Heading2"/>
      </w:pPr>
      <w:bookmarkStart w:id="900348" w:name="_Toc300000347"/>
      <w:r>
        <w:t xml:space="preserve">Article 12.B.3: Competent Authorities</w:t>
      </w:r>
      <w:bookmarkEnd w:id="900348"/>
    </w:p>
    <w:p>
      <w:pPr>
        <w:pStyle w:val="Normal"/>
      </w:pPr>
      <w:r>
        <w:t xml:space="preserve">1. Each Party shall publish online the following information with respect to each of its competent authorities at its central level of government that has responsibility for implementing and enforcing measures regulating cosmetic products: (a) a description of each authority, including the authority’s specific responsibilities; and (b) a contact point within each authority. Each Party shall promptly notify the other Parties of any material changes to this information and update the information online. 2. Each Party shall avoid adopting or maintaining unnecessarily duplicative regulatory requirements with respect to cosmetic products, including by periodically examining whether its authorities are engaged in duplicative activities.</w:t>
      </w:r>
    </w:p>
    <w:p>
      <w:pPr>
        <w:pStyle w:val="Heading2"/>
      </w:pPr>
      <w:bookmarkStart w:id="900349" w:name="_Toc300000348"/>
      <w:r>
        <w:t xml:space="preserve">Article 12.B.4: Enhancing Regulatory Compatibility</w:t>
      </w:r>
      <w:bookmarkEnd w:id="900349"/>
    </w:p>
    <w:p>
      <w:pPr>
        <w:pStyle w:val="Normal"/>
      </w:pPr>
      <w:r>
        <w:t xml:space="preserve">1.</w:t>
      </w:r>
    </w:p>
    <w:p>
      <w:pPr>
        <w:pStyle w:val="Normal"/>
      </w:pPr>
      <w:r>
        <w:t xml:space="preserve">The Parties shall seek to collaborate to improve the alignment of their respective regulations and regulatory activities for cosmetic products through work in relevant international initiatives, as appropriate, such as those aimed at harmonization, as well as regional initiatives that support those international initiatives. 2. In developing or implementing regulations for cosmetic products, each Party shall consider relevant scientific or technical guidance documents developed through international collaborative efforts. Each Party is encouraged to consider regionally-developed scientific or technical guidance documents that are aligned with international efforts. 3. If a Party prepares or adopts good manufacturing practice guidelines for cosmetic products, it shall use relevant international standards for cosmetic products, or the relevant parts of them, as a basis for its guidelines unless those international standards or relevant parts would be an ineffective or inappropriate means for the fulfilment of the legitimate objectives pursued. 4. Each Party shall endeavor to share information: (a) from post-market surveillance of cosmetic products; and 12-B-2 (b) on its findings regarding cosmetic ingredients that may affect trade between the Parties.</w:t>
      </w:r>
    </w:p>
    <w:p>
      <w:pPr>
        <w:pStyle w:val="Heading2"/>
      </w:pPr>
      <w:bookmarkStart w:id="900350" w:name="_Toc300000349"/>
      <w:r>
        <w:t xml:space="preserve">Article 12.B.5: Application of Regulatory Controls</w:t>
      </w:r>
      <w:bookmarkEnd w:id="900350"/>
    </w:p>
    <w:p>
      <w:pPr>
        <w:pStyle w:val="Normal"/>
      </w:pPr>
      <w:r>
        <w:t xml:space="preserve">1.</w:t>
      </w:r>
    </w:p>
    <w:p>
      <w:pPr>
        <w:pStyle w:val="Normal"/>
      </w:pPr>
      <w:r>
        <w:t>Each Party shall ensure that for a measure it applies to ensure the safety, effectiveness, or quality of cosmetic products, including marketing authorizations, notification procedures, and elements of either, products imported from the territory of another Party be accorded treatment no less favorable than that accorded to like products of national origin and to like products originating in any other country, in a comparable situation. 2. In developing a regulatory requirement for a cosmetic product, each Party shall consider its available resources and technical capacity in order to minimize the likelihood of implementing requirements that could: (a) inhibit the efficacy of procedures for ensuring the safety, effectiveness, or quality of cosmetic products; or (b) lead to substantial delays for cosmetic products becoming available in that Party’s market. 3. Each Party shall apply a risk-based approach to regulating the safety of cosmetic products for human health, taking into account relevant scientific factors. In applying this approach, each Party shall take into account that cosmetic products generally present a lower potential risk to human health or safety than medical devices or pharmaceutical products.</w:t>
      </w:r>
    </w:p>
    <w:p>
      <w:pPr>
        <w:pStyle w:val="Normal"/>
      </w:pPr>
      <w:r>
        <w:t>Accordingly, no Party shall require: (a) a marketing authorization for a cosmetic product, unless a Party identifies a human health or safety concern, and a less trade-restrictive alternative, such as a notification or post-market surveillance, is not reasonably available to effectively address the risks at issue; (b) re-testing or re-evaluating of a cosmetic product that differs only with respect to shade extensions or fragrance variants, unless conducted for human health or safety purposes; (c) a cosmetic product to be labeled with a notification number; 12-B-3 (d) a cosmetic product to receive a marketing authorization from a regulatory authority in the country of manufacture, as a condition for being placed in its market;4 or (e) a cosmetic product to be accompanied by a certificate of free sale as a condition of marketing, distribution, or sale in the Party’s territory. 4.</w:t>
      </w:r>
    </w:p>
    <w:p>
      <w:pPr>
        <w:pStyle w:val="Normal"/>
      </w:pPr>
      <w:r>
        <w:t>If a Party requires a manufacturer or supplier of a cosmetic product to indicate information on the product’s label, the Party shall permit the manufacturer or supplier to indicate the required information by relabeling the product or by using supplementary labeling of the product in accordance with the Party’s domestic requirements after the importation but prior to offering the product for sale or supply in the Party’s territory. 5.</w:t>
      </w:r>
    </w:p>
    <w:p>
      <w:pPr>
        <w:pStyle w:val="Normal"/>
      </w:pPr>
      <w:r>
        <w:t xml:space="preserve">No Party shall require that a cosmetic product be tested on animals to determine the safety of that cosmetic product, unless there is no validated alternative method available to assess safety. This paragraph, however, does not preclude a Party from considering the results of animal testing to evaluate the safety of a cosmetic product.</w:t>
      </w:r>
    </w:p>
    <w:p>
      <w:pPr>
        <w:pStyle w:val="Heading2"/>
      </w:pPr>
      <w:bookmarkStart w:id="900351" w:name="_Toc300000350"/>
      <w:r>
        <w:t xml:space="preserve">Article 12.B.6: Labeling</w:t>
      </w:r>
      <w:bookmarkEnd w:id="900351"/>
    </w:p>
    <w:p>
      <w:pPr>
        <w:pStyle w:val="Normal"/>
      </w:pPr>
      <w:r>
        <w:t xml:space="preserve">1. The Parties recognize the importance of the International Nomenclature Cosmetic Ingredient (INCI) in providing consistent, standardized information about the ingredients in cosmetic products to consumers, health practitioners, and other interested persons. 2. To that end, the Parties shall continue efforts to seek closer alignment of cosmetic ingredient labeling and, no later than one year after the date of entry into force of this Agreement, to report progress to the Commission toward this goal. 3. The Parties shall also endeavor to participate in the INC process for developing, revising, and simplifying the ICI Dictionary.</w:t>
      </w:r>
    </w:p>
    <w:p>
      <w:pPr>
        <w:pStyle w:val="Normal"/>
      </w:pPr>
      <w:r>
        <w:t xml:space="preserve">4 For greater certainty, this subparagraph does not prohibit a Party from accepting a prior marketing authorization issued by another regulatory authority as evidence that a product may meet its own requirements. 12-B-4</w:t>
      </w:r>
    </w:p>
    <w:p>
      <w:pPr>
        <w:pStyle w:val="Heading2"/>
      </w:pPr>
      <w:bookmarkStart w:id="900352" w:name="_Toc300000351"/>
      <w:r>
        <w:t xml:space="preserve">APPENDIX 1 ENHANCING REGULATORY COMPATIBILITY FOR PRODUCTS RECOGNIZED AS BEING AT THE INTERFACE OF COSMETICS AND DRUGS</w:t>
      </w:r>
      <w:bookmarkEnd w:id="900352"/>
    </w:p>
    <w:p>
      <w:pPr>
        <w:pStyle w:val="Normal"/>
      </w:pPr>
      <w:r>
        <w:t xml:space="preserve">1. This Appendix applies only as between Canada and the United States.</w:t>
      </w:r>
    </w:p>
    <w:p>
      <w:pPr>
        <w:pStyle w:val="Normal"/>
      </w:pPr>
      <w:r>
        <w:t>Accordingly, for the purposes of this Appendix, “Party” or “Parties” means Canada or the United States, singly or collectively. 2. This Appendix applies to toothpastes, mouthwashes, personal care use antiseptic skin cleansers, sunscreens, anti-dandruff shampoos, diaper-rash creams, antiperspirants, medicated skin care products,5 and acne products as set out in the following subparagraphs: (a) for Canada, products that: (i) are for topical use in the oral cavity or on unbroken skin that act in a localized and non-systemic manner, (ii) are authorized for sale in Canada, (iii) are a non-prescription drug product or a natural health product, and (iv) meet the definition of a “cosmetic” in section 2 of the Food and Drugs Act, R.S.C., 1985, c.F-27, as amended; (b) for the United States, products that conform to an over-the-counter drug monograph or an approved new drug application before the product can be placed on the U.S. market. 3.</w:t>
      </w:r>
    </w:p>
    <w:p>
      <w:pPr>
        <w:pStyle w:val="Normal"/>
      </w:pPr>
      <w:r>
        <w:t>For the purposes of this Appendix: facts table means a standard labeling format containing prescribed information as provided under each Party’s law; monograph means the regulatory requirements setting forth the permissible conditions for marketing of certain over-the-counter drug products, including use and labeling requirements, such as dose, intended use, directions for use, warnings, active ingredients and combinations thereof; non-prescription drug product means a pharmaceutical product, as defined in Article 12.F.1 (Definitions), that is safe and effective for use as directed on the label, is available for direct sale Medicated skin care products do not include antifungals, antivirals, antibiotics, corticosteroids, counterirritants, and analgesics. 12-B-1-1 to a consumer, is permitted to be sold without a prescription, and is not intended to be administered solely under the supervision of a health care practitioner; security packaging means a package having a security feature that provides reasonable assurance to consumers that the package has not been opened prior to purchase; and tamper-evident packaging means an indicator or barrier to entry which, if breached or missing, can reasonably be expected to provide visible evidence to consumers that tampering has occurred. 4.</w:t>
      </w:r>
    </w:p>
    <w:p>
      <w:pPr>
        <w:pStyle w:val="Normal"/>
      </w:pPr>
      <w:r>
        <w:t>If an importing Party has authorized for sale a product covered by paragraph 2, the importing Party shall allow the product to be shipped directly to retailers or wholesalers without subjecting the product to re-testing or quarantine unless done pursuant to: (a) an identified human health concern with regard to that specific shipment; or (b) an established system of random or risk-based inspection applied for the purpose of protecting human health. 5. The Parties shall endeavor to strengthen their cooperation in the regulation of products covered by paragraph 2. To that end, the Parties shall consider cooperating in areas including: (a) alignment of the requirements for tamper-evident packaging in the United States and security packaging in Canada with respect to dermatological and dentifrice products, subject to the consideration of any human health or safety concerns; and (b) alignment of facts table requirements. 5. If a Party authorizes for sale a product covered by paragraph 2, the Party shall permit the distribution of samples in that Party’s territory under conditions set out in that Party’s law. 12-B-1-2</w:t>
      </w:r>
    </w:p>
    <w:p>
      <w:pPr>
        <w:pStyle w:val="Heading2"/>
      </w:pPr>
      <w:bookmarkStart w:id="900353" w:name="_Toc300000352"/>
      <w:r>
        <w:t xml:space="preserve">ANNEX 12-C INFORMATION AND COMMUNICATION TECHNOLOGY</w:t>
      </w:r>
      <w:bookmarkEnd w:id="900353"/>
    </w:p>
    <w:p>
      <w:pPr>
        <w:pStyle w:val="Normal"/>
      </w:pPr>
      <w:r>
        <w:t xml:space="preserve">Article 12.C.1:</w:t>
      </w:r>
    </w:p>
    <w:p>
      <w:pPr>
        <w:pStyle w:val="Normal"/>
      </w:pPr>
      <w:r>
        <w:t>Definitions For the purposes of this Annex: cipher or cryptographic algorithm means a mathematical procedure or formula for combining a key with plaintext to create a ciphertext; cryptography means the principles, means or methods for the transformation of data in order to conceal or disguise its content, prevent its undetected modification, or prevent its unauthorized use; and is limited to the transformation of information using one or more secret parameters, for example, crypto variables, or associated key management; electromagnetic compatibility means the ability of a system or equipment to function satisfactorily in its electromagnetic environment without introducing intolerable electromagnetic disturbances with respect to any other device or system in that environment; electronic labeling means the electronic display of information, including required compliance information; encryption means the conversion of data (plaintext) through the use of a cryptographic algorithm into a form that cannot be easily understood without subsequent re-conversion (ciphertext) and the appropriate cryptographic key; information and communication technology good (ICT good) means a product whose intended function is information processing and communication by electronic means, including transmission and display, or electronic processing applied to determine or record physical phenomena, or to control physical processes;</w:t>
      </w:r>
    </w:p>
    <w:p>
      <w:pPr>
        <w:pStyle w:val="Normal"/>
      </w:pPr>
      <w:r>
        <w:t xml:space="preserve">information technology equipment product (ITE product) means a device, system, or component thereof for which the primary function is the entry, storage, display, retrieval, transmission, processing, switching, or control (or combinations thereof) of data or telecommunication messages by means other than radio transmission or reception; key means a parameter used in conjunction with a cryptographic algorithm that determines its operation in such a way that an entity with knowledge of the key can reproduce or reverse the operation, while an entity without knowledge of the key cannot; supplier’s declaration of conformity means an attestation by a supplier that a product meets a 12-C-1 specified standard or technical regulation based on an evaluation of the results of conformity assessment procedures; and terminal equipment means a digital or analog device capable of processing, receiving, switching, signaling, or transmitting signals by electromagnetic means and that is connected by radio or wire to a public telecommunications transport network at a termination point.</w:t>
      </w:r>
    </w:p>
    <w:p>
      <w:pPr>
        <w:pStyle w:val="Heading2"/>
      </w:pPr>
      <w:bookmarkStart w:id="900354" w:name="_Toc300000353"/>
      <w:r>
        <w:t xml:space="preserve">Article 12.C.2: ICT Goods that Use Cryptography</w:t>
      </w:r>
      <w:bookmarkEnd w:id="900354"/>
    </w:p>
    <w:p>
      <w:pPr>
        <w:pStyle w:val="Normal"/>
      </w:pPr>
      <w:r>
        <w:t xml:space="preserve">1.</w:t>
      </w:r>
    </w:p>
    <w:p>
      <w:pPr>
        <w:pStyle w:val="Normal"/>
      </w:pPr>
      <w:r>
        <w:t>This Article applies to ICT goods that use cryptography.6 This Article does not apply to: (a) a Party’s law enforcement authorities requiring service suppliers using encryption they control to provide unencrypted communications pursuant to that Party’s legal procedures; (b) the regulation of financial instruments; (c) a requirement that a Party adopts or maintains relating to access to networks, including user devices, that are owned or controlled by the government of that Party, including those of central banks; (d) a measure taken by a Party pursuant to supervisory, investigatory, or examination authority relating to financial institutions or financial markets; or (e) the manufacture, sale, distribution, import, or use of the good by or for the government of the Party. 2. With respect to an ICT good that uses cryptography and is designed for commercial applications, no Party shall require a manufacturer or supplier of the good, as a condition of the manufacture, sale, distribution, import, or use of the good, to:</w:t>
      </w:r>
    </w:p>
    <w:p>
      <w:pPr>
        <w:pStyle w:val="Normal"/>
      </w:pPr>
      <w:r>
        <w:t>(a) transfer or provide access to any proprietary information relating to cryptography, including by disclosing a particular technology or production process or other information, for example, a private key or other secret parameter, algorithm specification, or other design detail, to the Party or a person in the Party’s territory; (b) partner or otherwise cooperate with a person in its territory in the development, manufacture, sale, distribution, import, or use</w:t>
      </w:r>
    </w:p>
    <w:p>
      <w:pPr>
        <w:pStyle w:val="Normal"/>
      </w:pPr>
      <w:r>
        <w:t xml:space="preserve">of the product; or (c) use or integrate a particular cryptographic algorithm or cipher. 6 For greater certainty, for the purposes of this Annex, an ICT good does not include a financial instrument. 12-C-2</w:t>
      </w:r>
    </w:p>
    <w:p>
      <w:pPr>
        <w:pStyle w:val="Heading2"/>
      </w:pPr>
      <w:bookmarkStart w:id="900355" w:name="_Toc300000354"/>
      <w:r>
        <w:t xml:space="preserve">Article 12.C.3: Electromagnetic Compatibility of ITE Products</w:t>
      </w:r>
      <w:bookmarkEnd w:id="900355"/>
    </w:p>
    <w:p>
      <w:pPr>
        <w:pStyle w:val="Normal"/>
      </w:pPr>
      <w:r>
        <w:t xml:space="preserve">1. This Article applies to requirements regarding the electromagnetic compatibility of ITE products. 2. This Article does not apply to a product: (a) that a Party regulates as a medical device, a medical device system, or a component of a medical device or medical device system; or (b) for which the Party demonstrates that there is a high risk that the product will cause harmful electromagnetic interference with a safety or radio transmission or reception device or system. 3.</w:t>
      </w:r>
    </w:p>
    <w:p>
      <w:pPr>
        <w:pStyle w:val="Normal"/>
      </w:pPr>
      <w:r>
        <w:t xml:space="preserve">If a Party requires positive assurance that an ITE product meets a standard or technical regulation for electromagnetic compatibility, it shall accept a supplier’s declaration of conformity,7 provided that the declaration satisfies the Party’s requirements regarding testing, such as testing by an accredited laboratory, in support of a supplier’s declaration of conformity, registration of the supplier’s declaration of conformity, or the submission of evidence necessary to support the supplier’s declaration of conformity.</w:t>
      </w:r>
    </w:p>
    <w:p>
      <w:pPr>
        <w:pStyle w:val="Heading2"/>
      </w:pPr>
      <w:bookmarkStart w:id="900356" w:name="_Toc300000355"/>
      <w:r>
        <w:t xml:space="preserve">Article 12.C.4: Regional Cooperation Activities on Telecommunications Equipment</w:t>
      </w:r>
      <w:bookmarkEnd w:id="900356"/>
    </w:p>
    <w:p>
      <w:pPr>
        <w:pStyle w:val="Normal"/>
      </w:pPr>
      <w:r>
        <w:t xml:space="preserve">1. This Article applies to telecommunications equipment. 2.</w:t>
      </w:r>
    </w:p>
    <w:p>
      <w:pPr>
        <w:pStyle w:val="Normal"/>
      </w:pPr>
      <w:r>
        <w:t>The Parties are encouraged to implement the APEC Mutual Recognition Arrangement for Conformity Assessment of Telecommunications Equipment of May 8, 1998 (MRA-TEL) and, with respect to each other, the APEC Mutual Recognition Arrangement for Equivalence of Technical Requirements of October 31, 2010 (MRA-ETR), and to consider other arrangements to facilitate trade in telecommunications equipment. 3. In accordance with the Mutual Recognition Agreement between the Government of the United States and the Government of the United Mexican States for the Conformity Assessment of Telecommunications Equipment, done on May 26, 2011 at Paris, France the United States and Mexico shall accept test reports provided by a recognized testing laboratory designated by the other Party under terms and conditions no less favorable than those it accords to test reports produced by testing laboratories in its territory, and without regard to the nationality of the For greater certainty, this paragraph does not apply to requirements a Party has adopted for certification by a conformity assessment body. 12-C-3 supplier or manufacturer of the telecommunications equipment, or the country of origin of the equipment for which a test report has been produced. 4.</w:t>
      </w:r>
    </w:p>
    <w:p>
      <w:pPr>
        <w:pStyle w:val="Normal"/>
      </w:pPr>
      <w:r>
        <w:t xml:space="preserve">In accordance with the Mutual Recognition Agreement between the Government of Canada and the Government of the United Mexican States for the Conformity Assessment of Telecommunications Equipment, done at Honolulu on 12 November 2011, Canada and Mexico shall accept test reports provided by a recognized testing laboratory designated by the other Party under terms and conditions no less favorable than those it accords to test reports produced by testing laboratories in its territory, and without regard to the nationality of the supplier or manufacturer of the telecommunications equipment, or the country of origin of the equipment for which a test report has been produced. 5. If a Party requires equipment subject to electromagnetic compatibility and radio frequency requirements to include a label containing compliance information about the equipment, it shall permit this information to be provided through an electronic label. The Parties shall exchange information, as appropriate, about their respective electronic labeling requirements with a view to facilitate compatible approaches to electronic labeling.</w:t>
      </w:r>
    </w:p>
    <w:p>
      <w:pPr>
        <w:pStyle w:val="Heading2"/>
      </w:pPr>
      <w:bookmarkStart w:id="900357" w:name="_Toc300000356"/>
      <w:r>
        <w:t xml:space="preserve">Article 12.C.5: Terminal Equipment</w:t>
      </w:r>
      <w:bookmarkEnd w:id="900357"/>
    </w:p>
    <w:p>
      <w:pPr>
        <w:pStyle w:val="Normal"/>
      </w:pPr>
      <w:r>
        <w:t xml:space="preserve">1. This Article applies to terminal equipment. 2.</w:t>
      </w:r>
    </w:p>
    <w:p>
      <w:pPr>
        <w:pStyle w:val="Normal"/>
      </w:pPr>
      <w:r>
        <w:t>Each Party shall ensure that its technical regulations, standards, and conformity assessment procedures relating to the attachment of terminal equipment to the public telecommunications networks, including those measures relating to the use of testing and measuring equipment for conformity assessment procedures, are adopted or maintained only to the extent necessary to: (a) prevent damage to public telecommunications networks; (b) prevent degradation of public telecommunications services; (c) prevent electromagnetic interference, and ensure compatibility, with other uses of the electromagnetic spectrum; (d) prevent billing equipment malfunction; or (e) ensure safety of and access to public telecommunications or services, including for the hearing impaired or other disabled persons. 3. Each Party shall ensure that the network termination points for its public telecommunications networks are established on a reasonable and transparent basis. 12-C-4 4. Each Party shall permit any recognized8 conformity assessment body to perform the testing required under the Party’s conformity assessment procedures for terminal equipment to be attached to the public telecommunications network, subject to the Party’s right to review the accuracy and completeness of the test results.</w:t>
      </w:r>
    </w:p>
    <w:p>
      <w:pPr>
        <w:pStyle w:val="Normal"/>
      </w:pPr>
      <w:r>
        <w:t>8 “Recognized” means recognized pursuant to an act by a regulatory authority under which a conformity assessment body is approved to perform conformity assessment. 12-C-5</w:t>
      </w:r>
    </w:p>
    <w:p>
      <w:pPr>
        <w:pStyle w:val="Heading2"/>
      </w:pPr>
      <w:bookmarkStart w:id="900358" w:name="_Toc300000357"/>
      <w:r>
        <w:t xml:space="preserve">ANNEX 12-D ENERGY PERFORMANCE STANDARDS</w:t>
      </w:r>
      <w:bookmarkEnd w:id="900358"/>
    </w:p>
    <w:p>
      <w:pPr>
        <w:pStyle w:val="Heading2"/>
      </w:pPr>
      <w:bookmarkStart w:id="900359" w:name="_Toc300000358"/>
      <w:r>
        <w:t xml:space="preserve">Article 12.D.1: Definitions</w:t>
      </w:r>
      <w:bookmarkEnd w:id="900359"/>
    </w:p>
    <w:p>
      <w:pPr>
        <w:pStyle w:val="Normal"/>
      </w:pPr>
      <w:r>
        <w:t xml:space="preserve">For the purposes of this Annex: energy performance standard means a specification, containing performance or energy use requirements for an energy-using product, that specifies the performance (efficiency) or maximum amount of energy that may be consumed by a product when rated in accordance with the specified test procedure; and test procedure means a uniform method established to measure, with respect to a given product, energy use, energy efficiency, water use, or water efficiency.</w:t>
      </w:r>
    </w:p>
    <w:p>
      <w:pPr>
        <w:pStyle w:val="Heading2"/>
      </w:pPr>
      <w:bookmarkStart w:id="900360" w:name="_Toc300000359"/>
      <w:r>
        <w:t xml:space="preserve">Article 12.D.2: Scope</w:t>
      </w:r>
      <w:bookmarkEnd w:id="900360"/>
    </w:p>
    <w:p>
      <w:pPr>
        <w:pStyle w:val="Normal"/>
      </w:pPr>
      <w:r>
        <w:t xml:space="preserve">This Annex applies to the preparation, adoption, and application of technical regulations by a Party’s competent authorities at its central level of government, that set out energy performance standards and related test procedures.</w:t>
      </w:r>
    </w:p>
    <w:p>
      <w:pPr>
        <w:pStyle w:val="Heading2"/>
      </w:pPr>
      <w:bookmarkStart w:id="900361" w:name="_Toc300000360"/>
      <w:r>
        <w:t xml:space="preserve">Article 12.D.3: Competent Authorities</w:t>
      </w:r>
      <w:bookmarkEnd w:id="900361"/>
    </w:p>
    <w:p>
      <w:pPr>
        <w:pStyle w:val="Normal"/>
      </w:pPr>
      <w:r>
        <w:t xml:space="preserve">1. Each Party shall publish online the following information with respect to each of its competent authorities at its central level of government that has responsibility for developing, implementing, revising, or enforcing energy performance standards or related test procedures: (a) a description of each authority, including the authority’s specific responsibilities; and (b) a point of contact within each authority.</w:t>
      </w:r>
    </w:p>
    <w:p>
      <w:pPr>
        <w:pStyle w:val="Normal"/>
      </w:pPr>
      <w:r>
        <w:t xml:space="preserve">2. Each Party shall promptly notify the other Parties of any material changes to this information and update the information online. 12-D-1</w:t>
      </w:r>
    </w:p>
    <w:p>
      <w:pPr>
        <w:pStyle w:val="Heading2"/>
      </w:pPr>
      <w:bookmarkStart w:id="900362" w:name="_Toc300000361"/>
      <w:r>
        <w:t xml:space="preserve">Article 12.D.4: Enhancing Regulatory Compatibility</w:t>
      </w:r>
      <w:bookmarkEnd w:id="900362"/>
    </w:p>
    <w:p>
      <w:pPr>
        <w:pStyle w:val="Normal"/>
      </w:pPr>
      <w:r>
        <w:t xml:space="preserve">1.</w:t>
      </w:r>
    </w:p>
    <w:p>
      <w:pPr>
        <w:pStyle w:val="Normal"/>
      </w:pPr>
      <w:r>
        <w:t>The Parties shall cooperate on energy performance standards and related test procedures in order to facilitate trade among the Parties and advance energy efficiency, including through the use of fora in existence. 2. With respect to products for which each Party applies energy performance standards or test procedures on the date of entry into force of this Agreement, the Parties shall endeavor to harmonize:9 (a) test procedures for those products no later than eight years after the date of entry into force of this Agreement; and (b) energy performance standards for those products no later than nine years after the date of entry into force of this Agreement. 3. When developing or modifying energy performance standards or test procedures for a product, each Party shall give due consideration to adopting: (a) energy performance standards and test procedures adopted by another Party; or (b) industry standards that a standards development organization accredited in the territory of another Party has finalized and published for the product. 4.</w:t>
      </w:r>
    </w:p>
    <w:p>
      <w:pPr>
        <w:pStyle w:val="Normal"/>
      </w:pPr>
      <w:r>
        <w:t xml:space="preserve">In developing or modifying test procedures for a product, each Party shall give due consideration to operating conditions that are unique to each Party.</w:t>
      </w:r>
    </w:p>
    <w:p>
      <w:pPr>
        <w:pStyle w:val="Heading2"/>
      </w:pPr>
      <w:bookmarkStart w:id="900363" w:name="_Toc300000362"/>
      <w:r>
        <w:t xml:space="preserve">Article 12.D.5: Voluntary Approaches to Promote Energy Efficiency</w:t>
      </w:r>
      <w:bookmarkEnd w:id="900363"/>
    </w:p>
    <w:p>
      <w:pPr>
        <w:pStyle w:val="Normal"/>
      </w:pPr>
      <w:r>
        <w:t xml:space="preserve">1. The Parties recognize that voluntary programs and voluntary mechanisms can contribute to improving energy efficiency for a range of products. 2.</w:t>
      </w:r>
    </w:p>
    <w:p>
      <w:pPr>
        <w:pStyle w:val="Normal"/>
      </w:pPr>
      <w:r>
        <w:t>The Parties also recognize that voluntary programs and voluntary mechanisms should be open, transparent, and designed in a manner that maximizes benefits to consumers and environmental benefits, and avoids the creation of unnecessary barriers to trade. 3. The Parties shall encourage the use of voluntary programs and voluntary mechanisms and cooperate, as appropriate, to facilitate greater transparency and compatibility among these voluntary programs and voluntary mechanisms. The Parties recognize that successful efforts at harmonization should not diminish consumer welfare, consumer protection, or energy efficiency objectives. To that end, the Parties shall take into account, as appropriate, various factors including those relating to climate, geography, household purchasing power, and electricity infrastructure. 12-D-2</w:t>
      </w:r>
    </w:p>
    <w:p>
      <w:pPr>
        <w:pStyle w:val="Heading2"/>
      </w:pPr>
      <w:bookmarkStart w:id="900364" w:name="_Toc300000363"/>
      <w:r>
        <w:t xml:space="preserve">ANNEX 12-E MEDICAL DEVICES</w:t>
      </w:r>
      <w:bookmarkEnd w:id="900364"/>
    </w:p>
    <w:p>
      <w:pPr>
        <w:pStyle w:val="Heading2"/>
      </w:pPr>
      <w:bookmarkStart w:id="900365" w:name="_Toc300000364"/>
      <w:r>
        <w:t xml:space="preserve">Article 12.E.1: Definitions</w:t>
      </w:r>
      <w:bookmarkEnd w:id="900365"/>
    </w:p>
    <w:p>
      <w:pPr>
        <w:pStyle w:val="Normal"/>
      </w:pPr>
      <w:r>
        <w:t xml:space="preserve">For the purposes of this Annex: marketing authorization means the process or processes by which a Party approves or registers a medical device in order to authorize the marketing, distribution, or sale of the product in the Party’s territory on the basis of the Party’s safety, efficacy, and quality requirements; and medical device means: (a) for Canada, a product that constitutes a “device” as defined under section 2 of the Food and Drugs Act, R.S.C., 1985, c. F-27, as amended, and that is regulated as a “medical device” under the Medical Devices Regulations, SOR/98-282, as amended; (b) for Mexico, a product covered under article 262 of the Ley General de Salud (General Health Law) as amended; and (c) for the United States, a product for human use covered as a “device” under 21 U.S.C. § 321(h), as amended. Article 12.E.2:</w:t>
      </w:r>
    </w:p>
    <w:p>
      <w:pPr>
        <w:pStyle w:val="Normal"/>
      </w:pPr>
      <w:r>
        <w:t xml:space="preserve">Scope This Annex applies to the preparation, adoption, and application of technical regulations, standards, conformity assessment procedures, marketing authorization, and notification procedures of a Party’s central level of government that may affect trade in medical devices between the Parties, other than sanitary or phytosanitary measures or technical specifications prepared by a government body for production or consumption requirements of that body.</w:t>
      </w:r>
    </w:p>
    <w:p>
      <w:pPr>
        <w:pStyle w:val="Heading2"/>
      </w:pPr>
      <w:bookmarkStart w:id="900366" w:name="_Toc300000365"/>
      <w:r>
        <w:t xml:space="preserve">Article 12.E.3: Competent Authorities</w:t>
      </w:r>
      <w:bookmarkEnd w:id="900366"/>
    </w:p>
    <w:p>
      <w:pPr>
        <w:pStyle w:val="Normal"/>
      </w:pPr>
      <w:r>
        <w:t xml:space="preserve">1.</w:t>
      </w:r>
    </w:p>
    <w:p>
      <w:pPr>
        <w:pStyle w:val="Normal"/>
      </w:pPr>
      <w:r>
        <w:t xml:space="preserve">Each Party shall publish online the following information with respect to each of its competent authorities at its central level of government that has responsibility for implementing and enforcing measures regulating medical devices: (a) a description of each authority, including the authority’s specific responsibilities; and 12-E-1 (b) a contact point within each authority. Each Party shall promptly notify the other Parties of any material changes to this information and update the information online. 2. Each Party shall avoid adopting or maintaining unnecessarily duplicative regulatory requirements with respect to medical devices, including by periodically examining whether its authorities are engaged in duplicative activities.</w:t>
      </w:r>
    </w:p>
    <w:p>
      <w:pPr>
        <w:pStyle w:val="Heading2"/>
      </w:pPr>
      <w:bookmarkStart w:id="900367" w:name="_Toc300000366"/>
      <w:r>
        <w:t xml:space="preserve">Article 12.E.4: Enhancing Regulatory Compatibility</w:t>
      </w:r>
      <w:bookmarkEnd w:id="900367"/>
    </w:p>
    <w:p>
      <w:pPr>
        <w:pStyle w:val="Normal"/>
      </w:pPr>
      <w:r>
        <w:t xml:space="preserve">1. Each Party should define “medical devices” under its laws and regulations in a manner that is consistent with the meaning assigned to the term “medical device” in the Definition of the Terms ‘Medical Device’ and ‘In Vitro Diagnostic (IVD) Medical Device’ endorsed by the Global Harmonization Task Force on May 16, 2012, as amended. 2.</w:t>
      </w:r>
    </w:p>
    <w:p>
      <w:pPr>
        <w:pStyle w:val="Normal"/>
      </w:pPr>
      <w:r>
        <w:t xml:space="preserve">The Parties shall seek to collaborate to improve the alignment of their respective regulations and regulatory activities for medical devices through work in relevant international initiatives, such as those aimed at harmonization, including the International Medical Device Regulators Forum, as well as regional initiatives that support those international initiatives, as appropriate. 3. The Parties shall seek to improve their cooperation on inspections of medical device manufacturers’ quality management systems. To this end, each Party shall recognize audits of device manufacturers’ quality management systems that are in accordance with the requirements established by the Medical Device Single Audit Program (MDSAP) and conducted by auditing organizations authorized by the regulatory authorities participating in MDSAP to audit under the MDSAP requirements. 4. When developing or implementing regulations for marketing authorization of medical devices, each Party shall consider relevant scientific or technical guidance documents developed through international collaborative efforts. Each Party is encouraged to consider regionally- developed scientific or technical guidance documents that are aligned with international efforts.</w:t>
      </w:r>
    </w:p>
    <w:p>
      <w:pPr>
        <w:pStyle w:val="Heading2"/>
      </w:pPr>
      <w:bookmarkStart w:id="900368" w:name="_Toc300000367"/>
      <w:r>
        <w:t xml:space="preserve">Article 12.E.5: Application of Regulatory Controls</w:t>
      </w:r>
      <w:bookmarkEnd w:id="900368"/>
    </w:p>
    <w:p>
      <w:pPr>
        <w:pStyle w:val="Normal"/>
      </w:pPr>
      <w:r>
        <w:t xml:space="preserve">1.</w:t>
      </w:r>
    </w:p>
    <w:p>
      <w:pPr>
        <w:pStyle w:val="Normal"/>
      </w:pPr>
      <w:r>
        <w:t>Each Party shall ensure that for a measure it applies to ensure the safety, effectiveness, or quality of medical devices, including marketing authorizations, notification procedures, and elements of either, products imported from the territory of another Party be accorded treatment no less favorable than that accorded to like products of national origin and to like products originating in any other country, in a comparable situation. 12-E-2 2. Each Party shall classify medical devices based on risk, taking into account relevant scientific factors. Each Party shall ensure that any regulatory requirements it imposes on medical devices for purposes of assuring the device’s safety and effectiveness are based on an assessment of the medical device’s risks. 3. When developing a regulatory requirement for a medical device, each Party shall consider its available resources and technical capacity in order to minimize the likelihood of implementing requirements that could: (a) inhibit the efficacy of procedures for ensuring the safety, effectiveness, or quality of medical devices; or (b) lead to substantial delays for medical devices becoming available in that Party’s market. Article 12.E.6:</w:t>
      </w:r>
    </w:p>
    <w:p>
      <w:pPr>
        <w:pStyle w:val="Normal"/>
      </w:pPr>
      <w:r>
        <w:t>Marketing Authorizations 1. Each Party shall make a determination whether to grant marketing authorization for a specific medical device on the basis of information that is necessary to evaluate the safety, effectiveness, and quality of the medical device.</w:t>
      </w:r>
    </w:p>
    <w:p>
      <w:pPr>
        <w:pStyle w:val="Normal"/>
      </w:pPr>
      <w:r>
        <w:t>This information may include: (a) clinical data and information, if appropriate, on safety and effectiveness;10 (b) information on performance, design, and quality of the device; and (c) labeling information related to safety, effectiveness, quality, and use of the device. To this end, no Party shall require sales data, pricing data, or other financial data concerning the marketing of the medical device in making the determination. 2. Each Party shall administer its marketing authorizations: (a) reasonably, including by: (i) avoiding duplicative requests or requests for unnecessary information from the applicant, 10 For the purposes of evaluating the safety of a medical device, a Party may require information concerning the volume of devices sold in another jurisdiction and any reported problems or recalls of the medical device. 12-E-3 (ii) promptly communicating any deficiencies, and the reasons for those deficiencies, to the applicant, if that deficiency would prevent or delay consideration of the application, and (iii) providing an applicant that requests marketing authorization for a medical device with a determination within a reasonable period of time;11 (b) objectively, through application of published criteria;</w:t>
      </w:r>
    </w:p>
    <w:p>
      <w:pPr>
        <w:pStyle w:val="Normal"/>
      </w:pPr>
      <w:r>
        <w:t>(c) impartially, including by adopting or maintaining procedures to manage any conflicts of interest; and (d) transparently, including by publishing a checklist or other guidance concerning the information that must be provided in any application. 3.</w:t>
      </w:r>
    </w:p>
    <w:p>
      <w:pPr>
        <w:pStyle w:val="Normal"/>
      </w:pPr>
      <w:r>
        <w:t>Each Party shall ensure that it maintains measures that permit an applicant for a marketing authorization to seek review or reconsideration in the event the application is denied.12 4. If a Party requires periodic re-authorization for a medical device that has previously received marketing authorization from the Party, the Party shall allow the medical device to remain on its market under the conditions of the previous marketing authorization pending a decision on the periodic re-authorization, unless a Party identifies a significant safety, effectiveness, or quality concern.13 5. No Party shall require that a medical device receive a marketing authorization from a regulatory authority in the country of manufacture as a condition for the medical device to receive marketing authorization from that Party. 6. A Party may accept a prior marketing authorization that is issued by another regulatory authority as evidence that a medical device meets its requirements.</w:t>
      </w:r>
    </w:p>
    <w:p>
      <w:pPr>
        <w:pStyle w:val="Normal"/>
      </w:pPr>
      <w:r>
        <w:t>Notwithstanding paragraph 5, if the Party faces regulatory resource limitations that restrict its ability to provide marketing authorizations, a Party may require a marketing authorization from a reference country as a condition for the marketing authorization, provided that the Party has established and made public a list of those countries from which it will accept a marketing authorization as evidence that a medical device meets its own requirements.</w:t>
      </w:r>
    </w:p>
    <w:p>
      <w:pPr>
        <w:pStyle w:val="Normal"/>
      </w:pPr>
      <w:r>
        <w:t>The Parties recognize that the reasonable period of time required to make a marketing authorization determination may be affected by factors such as the novelty of a product or regulatory implications that may arise. 12 This provision does not preclude a Party from imposing a deadline by which review must be sought. 13 For greater certainty, the Parties recognize that an application for reauthorization that is not filed in a timely manner, that contains insufficient information, or that is otherwise inconsistent with a Party’s requirements, is deficient for the purposes of the reauthorization decision. 12-E-4 7. If a Party requires a manufacturer or supplier of a medical device to provide information through labeling, the Party shall permit the manufacturer or supplier to relabel the device or use supplementary labeling in accordance with the Party’s requirements after the device’s importation but prior to being offering for sale or supply in the Party’s territory. 12-E-5</w:t>
      </w:r>
    </w:p>
    <w:p>
      <w:pPr>
        <w:pStyle w:val="Heading2"/>
      </w:pPr>
      <w:bookmarkStart w:id="900369" w:name="_Toc300000368"/>
      <w:r>
        <w:t xml:space="preserve">ANNEX 12-F PHARMACEUTICALS</w:t>
      </w:r>
      <w:bookmarkEnd w:id="900369"/>
    </w:p>
    <w:p>
      <w:pPr>
        <w:pStyle w:val="Heading2"/>
      </w:pPr>
      <w:bookmarkStart w:id="900370" w:name="_Toc300000369"/>
      <w:r>
        <w:t xml:space="preserve">Article 12.F.1: Definitions</w:t>
      </w:r>
      <w:bookmarkEnd w:id="900370"/>
    </w:p>
    <w:p>
      <w:pPr>
        <w:pStyle w:val="Normal"/>
      </w:pPr>
      <w:r>
        <w:t xml:space="preserve">For the purposes of this Annex: marketing authorization means the process or processes by which a Party approves or registers a pharmaceutical product in order to authorize the marketing, distribution, or sale of the product in its territory on the basis of the Party’s safety, efficacy, and quality requirements; and pharmaceutical product means: (a) for Canada, a product destined for human use that constitutes a “drug” as defined under section 2 of the Food and Drugs Act, R.S.C., 1985, c. F-27, as amended, and that is regulated as a “drug” under the Food and Drug Regulations C.R.C., c. 870, as amended; (b) for Mexico, a product covered as human “drugs,” “biologics,” and “biotechnology” under articles 221, 222 bis, 224, and 224 bis of the Ley General de Salud (General Heath Law) as amended; and (c) for the United States, a product for human use covered as a “drug” under 21 U.S.C. § 321(g)(1), as amended, or as a “biologic” under 42 U.S.C. § 262(i), as amended.</w:t>
      </w:r>
    </w:p>
    <w:p>
      <w:pPr>
        <w:pStyle w:val="Heading2"/>
      </w:pPr>
      <w:bookmarkStart w:id="900371" w:name="_Toc300000370"/>
      <w:r>
        <w:t xml:space="preserve">Article 12.F.2: Scope</w:t>
      </w:r>
      <w:bookmarkEnd w:id="900371"/>
    </w:p>
    <w:p>
      <w:pPr>
        <w:pStyle w:val="Normal"/>
      </w:pPr>
      <w:r>
        <w:t xml:space="preserve">This Annex applies to the preparation, adoption, and application of technical regulations, standards, conformity assessment procedures, marketing authorization, and notification procedures of a Party’s central level of government that may affect trade in pharmaceutical products between the Parties, other than sanitary or phytosanitary measures or technical specifications prepared by a government body for production or consumption requirements of that body.</w:t>
      </w:r>
    </w:p>
    <w:p>
      <w:pPr>
        <w:pStyle w:val="Heading2"/>
      </w:pPr>
      <w:bookmarkStart w:id="900372" w:name="_Toc300000371"/>
      <w:r>
        <w:t xml:space="preserve">Article 12.F.3: Competent Authorities</w:t>
      </w:r>
      <w:bookmarkEnd w:id="900372"/>
    </w:p>
    <w:p>
      <w:pPr>
        <w:pStyle w:val="Normal"/>
      </w:pPr>
      <w:r>
        <w:t xml:space="preserve">1. Each Party shall make available online the following information with respect to each of its competent authorities at its central level of government that has responsibility for implementing and enforcing measures regulating pharmaceutical products: 12-F-1 (a) a description of each authority, including the authority’s specific responsibilities; and (b) a point of contact within each authority. 2. Each Party shall promptly notify the other Parties of any material changes to this information and update the information online. 3. Each Party shall avoid adopting or maintaining unnecessarily duplicative regulatory requirements with respect to pharmaceutical products, including by periodically examining whether its authorities are engaged in duplicative activities.</w:t>
      </w:r>
    </w:p>
    <w:p>
      <w:pPr>
        <w:pStyle w:val="Heading2"/>
      </w:pPr>
      <w:bookmarkStart w:id="900373" w:name="_Toc300000372"/>
      <w:r>
        <w:t xml:space="preserve">Article 12.F.4: Enhancing Regulatory Compatibility</w:t>
      </w:r>
      <w:bookmarkEnd w:id="900373"/>
    </w:p>
    <w:p>
      <w:pPr>
        <w:pStyle w:val="Normal"/>
      </w:pPr>
      <w:r>
        <w:t xml:space="preserve">The Parties shall seek to collaborate to improve the alignment of their respective regulations and regulatory activities for pharmaceutical products through work in relevant international initiatives as appropriate, such as those aimed at harmonization, as well as regional initiatives that support those international initiatives.</w:t>
      </w:r>
    </w:p>
    <w:p>
      <w:pPr>
        <w:pStyle w:val="Heading2"/>
      </w:pPr>
      <w:bookmarkStart w:id="900374" w:name="_Toc300000373"/>
      <w:r>
        <w:t xml:space="preserve">Article 12.F.5: Application of Regulatory Controls</w:t>
      </w:r>
      <w:bookmarkEnd w:id="900374"/>
    </w:p>
    <w:p>
      <w:pPr>
        <w:pStyle w:val="Normal"/>
      </w:pPr>
      <w:r>
        <w:t xml:space="preserve">1. Each Party shall ensure that for a measure it applies to ensure the safety, effectiveness, or quality of pharmaceutical products, including marketing authorizations, notification procedures, and elements of either, products imported from the territory of another Party be accorded treatment no less favorable than that accorded to like products of national origin and to like products originating in any other country, in a comparable situation. 2. When developing a regulatory requirement for a pharmaceutical product, each Party shall consider its available resources and technical capacity in order to minimize the likelihood of implementing requirements that could: (a) inhibit the efficacy of procedures for ensuring the safety, effectiveness, or quality of pharmaceutical products; or (b) lead to substantial delays for pharmaceutical products becoming available in that Party’s market. 3. The Parties shall seek to improve their collaboration on pharmaceutical inspections.</w:t>
      </w:r>
    </w:p>
    <w:p>
      <w:pPr>
        <w:pStyle w:val="Normal"/>
      </w:pPr>
      <w:r>
        <w:t>Accordingly, each Party shall, with respect to a good manufacturing practice surveillance inspection of a manufacturing facility for pharmaceutical products within the territory of another Party: 12-F-2 (a) notify the other Party prior to conducting an inspection, unless there are reasonable grounds to believe that doing so could prejudice the effectiveness of the inspection; (b) if practicable, permit representatives of the other Party’s competent authority to observe the inspection; and (c) notify the other Party of its findings as soon as possible following the inspection and, if the findings will be publicly released, no later than a reasonable time before release. With respect to subparagraph (c), the inspecting Party is not required to notify the other Party of a finding that is subject to treatment as confidential information under the inspecting Party’s law. 4. Upon certification by the competent authority in the United States, the competent authorities of Canada and the United States shall establish mechanisms to permit the exchange of confidential information relevant to pharmaceutical inspections, including unredacted Good Manufacturing Practice inspection reports. 5.</w:t>
      </w:r>
    </w:p>
    <w:p>
      <w:pPr>
        <w:pStyle w:val="Normal"/>
      </w:pPr>
      <w:r>
        <w:t xml:space="preserve">Upon certification by the competent authority in the United States, the competent authorities of Mexico and the United States shall establish mechanisms to permit the exchange of confidential information relevant to pharmaceutical inspections, including unredacted Good Manufacturing Practice inspection reports. 6. To facilitate the exchange of information pursuant to paragraphs 4 and 5, each Party shall maintain procedures to prevent the disclosure of confidential information that may be necessary for the Parties to permit the exchange. 7. Competent authorities in Mexico and Canada shall strengthen their cooperation in the exchange of information, including through multilateral fora in existence. To that end, Mexico and Canada shall increase collaboration and confidence building exercises in the regulation of pharmaceutical products. 8. When developing or implementing regulations with respect to inspection of pharmaceutical products, each Party shall consider relevant scientific or technical guidance documents developed through international collaborative efforts.</w:t>
      </w:r>
    </w:p>
    <w:p>
      <w:pPr>
        <w:pStyle w:val="Heading2"/>
      </w:pPr>
      <w:bookmarkStart w:id="900375" w:name="_Toc300000374"/>
      <w:r>
        <w:t xml:space="preserve">Article 12.F.6: Marketing Authorizations</w:t>
      </w:r>
      <w:bookmarkEnd w:id="900375"/>
    </w:p>
    <w:p>
      <w:pPr>
        <w:pStyle w:val="Normal"/>
      </w:pPr>
      <w:r>
        <w:t xml:space="preserve">1. When developing or implementing a regulation for the marketing authorization of a pharmaceutical product, each Party shall consider relevant scientific or technical guidance 12-F-3 documents developed through international collaborative efforts.</w:t>
      </w:r>
    </w:p>
    <w:p>
      <w:pPr>
        <w:pStyle w:val="Normal"/>
      </w:pPr>
      <w:r>
        <w:t>Each Party is further encouraged to consider regionally-developed scientific or technical guidance documents that are aligned with international collaborative efforts. 2. Each Party shall make a determination whether to grant marketing authorization for a specific pharmaceutical product on the basis of information that is necessary to evaluate the safety, effectiveness, and quality of the pharmaceutical product. This information may include: (a) clinical data and information on safety and effectiveness of the product; (b) information on the quality of the product, including manufacturing controls for the ingredients of the product; and (c) labeling information related to the safety, effectiveness, quality, and use of the product. 3. No Party shall require sales data, or other financial data concerning the marketing of the product in making the determination referred to in paragraph 2. Further, each Party shall endeavor not to require pricing data in making the determination. 4.</w:t>
      </w:r>
    </w:p>
    <w:p>
      <w:pPr>
        <w:pStyle w:val="Normal"/>
      </w:pPr>
      <w:r>
        <w:t>Each Party shall administer its marketing authorizations: (a) reasonably, including by: (i) avoiding duplicative requests or requests for unnecessary information from the applicant, (ii) promptly communicating any deficiencies, and the reasons for the deficiencies, to the applicant, if the deficiency would prevent or delay consideration of the application, and (iii) providing an applicant that requests marketing authorization for a pharmaceutical product with a determination within a reasonable period of time;14 (b) objectively, through application of published criteria; (c) impartially, including by adopting or maintaining procedures to manage any conflicts of interest; and 14 For greater certainty, the reasonable period of time required to make a marketing authorization determination may be affected by factors such as the novelty of a product or regulatory implications that may arise. 12-F-4 (d) transparently, including by publishing a checklist or other guidance concerning the information that must be provided in any application. 5. Each Party shall ensure that it adopts or maintains measures that permit an applicant for a marketing authorization to seek review or reconsideration if the application is denied. 6. Paragraph 5 does not preclude a Party from imposing a deadline by which review must be sought. 7.</w:t>
      </w:r>
    </w:p>
    <w:p>
      <w:pPr>
        <w:pStyle w:val="Normal"/>
      </w:pPr>
      <w:r>
        <w:t>If a Party requires periodic re-authorization for a pharmaceutical product that has previously received marketing authorization from the Party, the Party shall allow the pharmaceutical product to remain on its market under the conditions of the previous marketing authorization pending a decision on the periodic reauthorization, unless the Party identifies a significant safety, effectiveness, or quality concern.15 8. No Party shall require that a pharmaceutical product receive marketing authorization from a regulatory authority in the country of manufacture as a condition for the product to receive marketing authorization from that Party. 9. A Party may accept a prior marketing authorization that is issued by another regulatory authority as evidence that a pharmaceutical product meets its requirements. Notwithstanding paragraph 6, if the Party faces regulatory resource limitations that restrict its ability to provide marketing authorizations, a Party may require a marketing authorization from a reference country as a condition for the marketing authorization, provided that the Party has established and published a list of those countries from which it will accept a marketing authorization as evidence that a pharmaceutical product meets its requirements. 10.</w:t>
      </w:r>
    </w:p>
    <w:p>
      <w:pPr>
        <w:pStyle w:val="Normal"/>
      </w:pPr>
      <w:r>
        <w:t>Each Party shall review the safety, effectiveness, and quality information submitted by the applicant requesting marketing authorization in a format that is consistent with the specifications set forth in the Common Technical Document (CTD) of the International Conference on Harmonisation of Technical Requirements for Registration of Pharmaceuticals for Human Use, as amended.16 For greater certainty, an application for reauthorization that is not filed in a timely manner, that contains insufficient information, or that is otherwise inconsistent with a Party’s requirements, is deficient for the purposes of the reauthorization decision. 16 For greater certainty, the CTD may not address all aspects relevant to a Party’s determination to approve marketing authorization for a particular product. 12-F-5</w:t>
      </w:r>
    </w:p>
    <w:p>
      <w:pPr>
        <w:pStyle w:val="ModHeading"/>
      </w:pPr>
      <w:bookmarkStart w:id="900376" w:name="_Toc300000375"/>
      <w:r>
        <w:t>CHAPTER 12: CUSMA 2.0 AVIATION CERTIFICATION MODERNIZATION</w:t>
      </w:r>
      <w:bookmarkEnd w:id="900376"/>
    </w:p>
    <w:p>
      <w:pPr>
        <w:pStyle w:val="TrumpVisibilityHeadline"/>
      </w:pPr>
      <w:r>
        <w:t xml:space="preserve">★ </w:t>
      </w:r>
      <w:r>
        <w:t>VISIBLE U.S. WIN: FASTER, FAIRER NORTH AMERICAN AIRCRAFT CERTIFICATION WITHOUT LOWERING SAFETY STANDARDS</w:t>
      </w:r>
    </w:p>
    <w:p>
      <w:pPr>
        <w:pStyle w:val="Heading2"/>
      </w:pPr>
      <w:bookmarkStart w:id="900377" w:name="_Toc300000376"/>
      <w:r>
        <w:t>ANNEX 12-G: NORTH AMERICAN AVIATION CERTIFICATION FAST LANE</w:t>
      </w:r>
      <w:bookmarkEnd w:id="900377"/>
    </w:p>
    <w:p>
      <w:pPr>
        <w:pStyle w:val="Heading2"/>
      </w:pPr>
      <w:bookmarkStart w:id="900378" w:name="_Toc300000377"/>
      <w:r>
        <w:t>Article 12.G.1: Purpose and Scope</w:t>
      </w:r>
      <w:bookmarkEnd w:id="900378"/>
    </w:p>
    <w:p>
      <w:pPr>
        <w:pStyle w:val="Normal"/>
      </w:pPr>
      <w:r>
        <w:t>1. The Parties establish a North American Aviation Certification Fast Lane to reduce avoidable regulatory duplication and delay in the certification and approval of civil aircraft, aircraft engines, propellers, appliances, parts, design changes, repairs, production approvals, and other civil-aviation products or technical approvals designated by the competent authorities. The Fast Lane shall operate through the Federal Aviation Administration of the United States, Transport Canada Civil Aviation, the Agencia Federal de Aviacion Civil of Mexico, and any lawful successor authorities.</w:t>
      </w:r>
    </w:p>
    <w:p>
      <w:pPr>
        <w:pStyle w:val="Normal"/>
      </w:pPr>
      <w:r>
        <w:t>1A. FAST LANE ENTRY AND DESIGNATION. An applicant establishes a Fast Lane request by submitting to a receiving competent aviation authority an application or technical approval request identifying a product or approval listed in paragraph 1, the relevant certification work of another Party, and its request for cooperation under this Annex. Receipt of that submission creates a Fast Lane matter without discretionary admission to the pathway, and the authority records the receipt date and identifies missing material under Article 12.G.5 rather than denying pathway status for want of a special form. Additional products or technical approvals enter the scope only through a published joint designation by the competent aviation authorities of all three Parties, identifying the covered category and effective date. Fast Lane status creates procedural access only, does not replace domestic application requirements or safety review, and does not require participation in the separate voluntary joint-certification pathway in Article 12.G.8.</w:t>
      </w:r>
    </w:p>
    <w:p>
      <w:pPr>
        <w:pStyle w:val="Normal"/>
      </w:pPr>
      <w:r>
        <w:t>2. The Fast Lane supplements and does not displace existing bilateral aviation-safety agreements, implementation procedures, technical arrangements, or domestic aviation law. Where an existing arrangement provides more specific or more efficient cooperation, the competent authorities may continue to use it.</w:t>
      </w:r>
    </w:p>
    <w:p>
      <w:pPr>
        <w:pStyle w:val="Normal"/>
      </w:pPr>
      <w:r>
        <w:t>3. CHAPTER 12 AVIATION INTERFACE. This Annex supplements Chapter 12 for the civil-aviation products and technical approvals identified in Article 12.G.1. The sectoral scope stated in Article 12.1(1) includes those products and approvals for purposes of this Annex, and Article 12.2 applies to this Annex subject to its express aviation-safety safeguards. Existing sectoral annexes retain their respective scope and obligations. This supplementation creates no exemption from Chapter 11 except to the extent expressly stated by the aviation-specific reliance rule.</w:t>
      </w:r>
    </w:p>
    <w:p>
      <w:pPr>
        <w:pStyle w:val="Heading2"/>
      </w:pPr>
      <w:bookmarkStart w:id="900379" w:name="_Toc300000378"/>
      <w:r>
        <w:t>Article 12.G.2: Sovereign Safety Authority and Safety Firewall</w:t>
      </w:r>
      <w:bookmarkEnd w:id="900379"/>
    </w:p>
    <w:p>
      <w:pPr>
        <w:pStyle w:val="Normal"/>
      </w:pPr>
      <w:r>
        <w:t>1. Nothing in this Annex requires a Party to certify, validate, approve, continue, or permit operation of an aircraft, engine, propeller, appliance, part, design, repair, production system, maintenance organization, or other aviation product or activity that its competent authority determines does not satisfy applicable safety requirements.</w:t>
      </w:r>
    </w:p>
    <w:p>
      <w:pPr>
        <w:pStyle w:val="Normal"/>
      </w:pPr>
      <w:r>
        <w:t>2. Each competent authority retains authority to conduct inspections, require testing or additional evidence where technically justified, issue airworthiness directives, impose operating limitations, suspend or revoke approvals, ground aircraft, investigate occurrences, and take immediate action necessary to address a credible aviation-safety risk.</w:t>
      </w:r>
    </w:p>
    <w:p>
      <w:pPr>
        <w:pStyle w:val="Normal"/>
      </w:pPr>
      <w:r>
        <w:t>3. A procedural deadline or reliance obligation under this Annex shall not compel a positive safety determination. Where additional time or evidence is reasonably necessary for safety, the authority shall provide the applicant with a concise technical explanation and revised expected timetable, subject to protection of confidential, security-sensitive, investigative, or privileged information.</w:t>
      </w:r>
    </w:p>
    <w:p>
      <w:pPr>
        <w:pStyle w:val="Heading2"/>
      </w:pPr>
      <w:bookmarkStart w:id="900380" w:name="_Toc300000379"/>
      <w:r>
        <w:t>Article 12.G.3: Concurrent and Coordinated Review</w:t>
      </w:r>
      <w:bookmarkEnd w:id="900380"/>
    </w:p>
    <w:p>
      <w:pPr>
        <w:pStyle w:val="Normal"/>
      </w:pPr>
      <w:r>
        <w:t>1. Where practicable and requested by an applicant, competent authorities shall permit simultaneous or overlapping technical review rather than requiring a completed certification decision in one Party before meaningful review may begin in another Party.</w:t>
      </w:r>
    </w:p>
    <w:p>
      <w:pPr>
        <w:pStyle w:val="Normal"/>
      </w:pPr>
      <w:r>
        <w:t>2. Authorities should coordinate early concerning the certification basis, significant technical issues, means of compliance, conformity plans, test programs, data expectations, and division of technical work so that materially identical questions are not independently rebuilt from the beginning without a safety justification.</w:t>
      </w:r>
    </w:p>
    <w:p>
      <w:pPr>
        <w:pStyle w:val="Normal"/>
      </w:pPr>
      <w:r>
        <w:t>3. Novel technologies may receive early joint technical engagement, including electric or hybrid propulsion, hydrogen systems, advanced avionics, autonomy or highly automated systems, novel materials, advanced manufacturing, alternative fuels, and other emerging civil-aviation technologies. Joint engagement does not predetermine certification.</w:t>
      </w:r>
    </w:p>
    <w:p>
      <w:pPr>
        <w:pStyle w:val="Heading2"/>
      </w:pPr>
      <w:bookmarkStart w:id="900381" w:name="_Toc300000380"/>
      <w:r>
        <w:t>Article 12.G.4: Maximum Lawful Reliance and Avoidance of Duplicative Testing</w:t>
      </w:r>
      <w:bookmarkEnd w:id="900381"/>
    </w:p>
    <w:p>
      <w:pPr>
        <w:pStyle w:val="Normal"/>
      </w:pPr>
      <w:r>
        <w:t>1. A competent authority shall, to the maximum extent consistent with its law and safety mandate, rely on technically sufficient findings, conformity inspections, test results, laboratory evidence, flight-test evidence, quality-system findings, engineering approvals, and other certification work performed or accepted by another Party's competent authority.</w:t>
      </w:r>
    </w:p>
    <w:p>
      <w:pPr>
        <w:pStyle w:val="Normal"/>
      </w:pPr>
      <w:r>
        <w:t>2. Additional or repeated testing may be required where a material difference in applicable requirements exists, the earlier evidence is incomplete or unreliable, a particularized safety concern is identified, a design change materially affects the relevant finding, or another documented technical reason makes reliance inappropriate. Mere foreign origin of the applicant, product, or evidence is not sufficient reason for duplicative testing.</w:t>
      </w:r>
    </w:p>
    <w:p>
      <w:pPr>
        <w:pStyle w:val="Normal"/>
      </w:pPr>
      <w:r>
        <w:t>3. AVIATION DUPLICATIVE TESTING INTERFACE. For a civil-aviation product within this Annex, paragraph 2 supplies the specific grounds for additional or repeated certification testing notwithstanding Article 11.6(11). The competent aviation authority identifies in writing the material requirement difference, evidentiary deficiency, particularized safety concern, relevant design change, or other documented technical reason on which it relies. The additional testing remains limited to resolving that identified technical issue, and mere foreign origin does not justify it. Article 12.G.2 preserves the authority’s safety judgment and prevents a reliance obligation from compelling a positive certification determination.</w:t>
      </w:r>
    </w:p>
    <w:p>
      <w:pPr>
        <w:pStyle w:val="Heading2"/>
      </w:pPr>
      <w:bookmarkStart w:id="900382" w:name="_Toc300000381"/>
      <w:r>
        <w:t>Article 12.G.5: Published Response Clocks and Complete-Application Discipline</w:t>
      </w:r>
      <w:bookmarkEnd w:id="900382"/>
    </w:p>
    <w:p>
      <w:pPr>
        <w:pStyle w:val="Normal"/>
      </w:pPr>
      <w:r>
        <w:t>1. Within 15 days after receipt of a Fast Lane request, the receiving authority acknowledges the request and identifies the responsible contact point. Within 30 days after receipt of the principal application package, the authority identifies material completeness deficiencies known at that stage or confirms that substantive review has begun.</w:t>
      </w:r>
    </w:p>
    <w:p>
      <w:pPr>
        <w:pStyle w:val="Normal"/>
      </w:pPr>
      <w:r>
        <w:t>2. During substantive review, an authority responds to a materially complete technical submission, issues a consolidated request for additional information where practicable, or provides a status update within 45 days. These periods bind the procedural response, completeness review, or status update specified here and do not require completion of substantive safety review or create automatic certification by lapse of time.</w:t>
      </w:r>
    </w:p>
    <w:p>
      <w:pPr>
        <w:pStyle w:val="Normal"/>
      </w:pPr>
      <w:r>
        <w:t>3. A clock may pause while material information requested from the applicant is outstanding, during agreed testing, or while an identified safety issue reasonably requires additional technical work. The authority shall record the basis of the pause and restart the clock when the blocking condition is resolved.</w:t>
      </w:r>
    </w:p>
    <w:p>
      <w:pPr>
        <w:pStyle w:val="Normal"/>
      </w:pPr>
      <w:r>
        <w:t>4. RESPONSE PUBLICATION AND DELAY TRIGGER. Each competent authority publishes the response periods in paragraphs 1 and 2 and the contact route for a status request under Article 12.G.7(1). For that Article, a matter materially exceeds a period when the applicable period has expired without its required procedural response, excluding only a pause recorded under paragraph 3. The authority supplies a written status explanation within ten days after the applicant requests it, identifying the work outstanding, any recorded pause, and the revised expected timetable. Delay is persistent and unexplained when that ten-day period expires without the explanation, and the Aviation Procedural Review Team determines observance of these procedural obligations under Article 12.G.7(3) without reviewing the safety merits.</w:t>
      </w:r>
    </w:p>
    <w:p>
      <w:pPr>
        <w:pStyle w:val="Heading2"/>
      </w:pPr>
      <w:bookmarkStart w:id="900383" w:name="_Toc300000382"/>
      <w:r>
        <w:t>Article 12.G.6: Non-Discrimination and No Politically Motivated Certification Delay</w:t>
      </w:r>
      <w:bookmarkEnd w:id="900383"/>
    </w:p>
    <w:p>
      <w:pPr>
        <w:pStyle w:val="Normal"/>
      </w:pPr>
      <w:r>
        <w:t>1. No Party shall delay, accelerate, condition, deny, suspend, or burden an aviation certification or technical approval principally for the purpose of trade retaliation, procurement leverage, unrelated diplomatic pressure, industrial favoritism, or coercion concerning a matter outside the applicable aviation-safety and regulatory criteria.</w:t>
      </w:r>
    </w:p>
    <w:p>
      <w:pPr>
        <w:pStyle w:val="Normal"/>
      </w:pPr>
      <w:r>
        <w:t>2. Applicants from another Party shall receive procedural treatment no less favorable than comparable domestic applicants with respect to access to published requirements, communication channels, completeness review, scheduling, reasons for delay, and opportunities to respond, taking account of legitimate differences in technical complexity, risk, novelty, and applicant readiness.</w:t>
      </w:r>
    </w:p>
    <w:p>
      <w:pPr>
        <w:pStyle w:val="Heading2"/>
      </w:pPr>
      <w:bookmarkStart w:id="900384" w:name="_Toc300000383"/>
      <w:r>
        <w:t>Article 12.G.7: Delay Escalation, Technical Review, and Institutional Boundary</w:t>
      </w:r>
      <w:bookmarkEnd w:id="900384"/>
    </w:p>
    <w:p>
      <w:pPr>
        <w:pStyle w:val="Normal"/>
      </w:pPr>
      <w:r>
        <w:t>1. Where a Fast Lane matter materially exceeds the applicable published procedural response period under Article 12.G.5, the applicant may request a written status explanation and regulator-to-regulator consultation. Persistent unexplained procedural delay may be referred to an expedited Cothrom factual review limited to whether the procedural obligations of this Annex were observed.</w:t>
      </w:r>
    </w:p>
    <w:p>
      <w:pPr>
        <w:pStyle w:val="Normal"/>
      </w:pPr>
      <w:r>
        <w:t>2. The Commission, Secretariat, committees, working groups, Verification Teams, Cothrom bodies, dispute-settlement panels, and any other body exercising authority under this Agreement do not substitute their judgment for a competent aviation authority on whether an aircraft or other aviation product is safe, airworthy, technically compliant, or suitable for certification. A procedural remedy may require renewed review, explanation, removal of discriminatory treatment, or observance of an applicable process, but shall not order issuance of a safety certificate or approval.</w:t>
      </w:r>
    </w:p>
    <w:p>
      <w:pPr/>
      <w:r>
        <w:t>3. ANNEX 12-G AVIATION PROCEDURAL REVIEW - REFERRAL AND RECORD. If regulator-to-regulator consultation under paragraph 1 does not resolve the alleged procedural failure within 10 days after the consultation request, the applicant may request its home Party to refer the matter to the Secretariat, and that Party may make the referral by identifying the applicant, the competent authority under review, the procedural obligation alleged to have been breached, the material facts supporting the allegation, the consultation record, and the non-confidential supporting material reasonably available. Those materials constitute the referral record, and the Secretariat shall within two days after receipt either acknowledge completeness or identify once, with specificity, any facially missing required element; the record is deemed complete at the end of that two-day period if the Secretariat does neither. Following a timely missing-element notice, the referring Party may supplement within three days after the notice, after which the record is deemed complete at the end of the second day after supplementation whether or not a required element remains missing. Any remaining deficiency shall be recorded for the Aviation Procedural Review Team to weigh and shall not support another completeness notice, a further suspension, or delay in constitution of the Team.</w:t>
      </w:r>
    </w:p>
    <w:p>
      <w:pPr/>
      <w:r>
        <w:t>(a) AVIATION PROCEDURAL REVIEW TEAM - CONSTITUTION AND STATUS. For this specialized review only, the referring Party is treated as the initiating Party and the Party whose competent authority is under review is treated as the responding Party solely for use of the roster, rule-bound selection, disclosure, recusal, compensation, and replacement rules in Article 35.10(2), (3), and (10), as modified by this subparagraph. The Secretariat shall constitute within five days after the referral record becomes complete or is deemed complete a three-member Aviation Procedural Review Team (Team), which is expressly established as a different body for purposes of Article 1.A(3), and references to a Verification Team in those incorporated provisions shall be read solely for those limited administrative purposes as references to the Team. A member of the Team shall not, during service or for two years afterward, represent a person in another review under this Annex arising from the same conduct or materially identical facts, and shall not serve concurrently on a Verification Team or another adjudicative body concerning the same matter. If Annex 34-H paragraph 2 lawfully designates a substitute body because the Team cannot be constituted or cannot act within an applicable deadline, that substitute body succeeds only to the functions assigned to the Team by subparagraphs (b) through (h), is treated as the Team solely for performing those functions, and acquires no other status or authority by reason of that substitution. Nothing in this subparagraph converts the Team or a substitute body into a Verification Team, North American Trade Verification mechanism, Cothrom body, Chapter 35 body, trade-adjustment body, or dispute-settlement panel.</w:t>
      </w:r>
    </w:p>
    <w:p>
      <w:pPr/>
      <w:r>
        <w:t>(b) DELIVERY, RESPONSE, AND PARAGRAPH 2 SAFEGUARD. On constitution, the Secretariat shall deliver the complete non-confidential referral record to the responding Party and competent authority, either or both of which may submit a coordinated written response and supporting non-confidential material within five days after delivery. If their positions differ, each position shall be identified separately and considered by the Team without extending the response period. Paragraph 2 applies to the Team and to every cure, recommendation, inference, or procedural assessment made under this paragraph to the same extent that it applies to a trade, Cothrom, or dispute-settlement body. The Team shall not substitute its judgment for a competent aviation authority on the substance of a safety determination and may examine only whether the procedural obligations of this Annex were observed.</w:t>
      </w:r>
    </w:p>
    <w:p>
      <w:pPr/>
      <w:r>
        <w:t>(c) REPORT AND LIMITED MANDATE. The Team issues, through the Secretariat, within 20 days after its constitution a reasoned factual report limited to whether the procedural obligations of this Annex were observed; the Secretariat delivers the report simultaneously to the referring Party, the responding Party, and the competent aviation authority, and, for purposes of this paragraph, issuance of the report occurs on the date the Secretariat completes that simultaneous delivery. The Team considers the referral record and any timely response and may draw only those evidentiary inferences ordinarily available to a fact-finder from material properly before it. The report may identify a procedural cure only where the Team finds that a specified procedural obligation of this Annex was not observed, and any cure shall be consistent with paragraph 2 and limited to the procedural step necessary to address that non-observance. Article 46.6(3) and any Chapter 35 rule requiring distortion quantification, confirmation levels, tier classification, a second opinion, or another substantive verification output do not apply to the Team or its report. Except for a timely mandate-and-safety objection under subparagraph (d), the report is authoritative only within this specialized review for identifying whether the cure obligation in subparagraph (d) arises and what procedural step that obligation requires; it does not by its own force establish liability, trade injury, distortion, treaty-wide inconsistency, or a remedy outside this paragraph.</w:t>
      </w:r>
    </w:p>
    <w:p>
      <w:pPr/>
      <w:r>
        <w:t>(d) CURE OBLIGATION, LIMITED OBJECTION, AND LEGAL EFFECT. If the report identifies a procedural cure under subparagraph (c), the competent authority may, within five days after issuance of the report, object solely on the ground that the specified cure exceeds the Team's procedural mandate, is inconsistent with paragraph 2, or is objectively impossible within the stated period for reasons not created by that authority; the objection shall identify the precise defect and shall not reopen the underlying factual finding. The Team decides that objection within five days, withdraws or narrows any cure that exceeds its mandate or paragraph 2, and may adjust only the time for performance where objective impossibility is established; the Team issues its objection decision through the Secretariat, which delivers it simultaneously to the referring Party, the responding Party, and the competent aviation authority, and issuance of that decision occurs on the date the Secretariat completes that simultaneous delivery. If the five-day objection period expires without a timely objection, the cure becomes operative when that period expires, and the competent authority implements the cure within a 15-day performance period beginning on the first day following that expiration. If a timely objection is filed and the Team rejects the objection, sustains or narrows the cure, or otherwise modifies the cure without withdrawing it in its entirety, the operative cure is the cure as sustained or modified by the objection decision, and the competent authority implements that cure within a 15-day performance period beginning on the first day following issuance of that decision. In either branch, another performance period expressly stated in the report or objection decision applies where necessary to protect due process or aviation safety, and time spent pursuing a timely objection does not consume any portion of the ordinary 15-day performance period. If the Team determines that the objection succeeds and withdraws the procedural cure in its entirety, no cure obligation remains under this subparagraph, no cure-performance period begins, failure to perform the withdrawn cure does not constitute non-performance, and the matter proceeds directly to the no-cure closure rule in subparagraph (e). The cure obligation arises directly under this subparagraph rather than from any binding or preclusive force of the report, and the competent authority shall notify the Secretariat and the referring Party promptly upon performance; a Party may object within five days after that notice solely on the ground that the sustained cure was not performed. In any later proceeding independently available under this Agreement concerning failure to comply with this subparagraph, an authenticated copy of the final report and any mandate-and-safety objection decision may be used only to establish that a cure obligation arose and to identify the procedural step finally required, while the later body shall independently determine compliance with that cure obligation and shall not treat those materials as proof of the underlying procedural breach for any other purpose. For greater certainty, this subparagraph is the independently established legal basis for the cure obligation, while any broader claim concerning the underlying conduct must rest on another independently applicable provision of this Agreement.</w:t>
      </w:r>
    </w:p>
    <w:p>
      <w:pPr/>
      <w:r>
        <w:t>(e) COMPLETION, NON-COMPLETION, AND CLOSURE. If the report issued under subparagraph (c) identifies no procedural cure, the Secretariat issues an Aviation Review Completion Record within two days after issuance of that report, closes the review, and discharges the Team. If an objection decision under subparagraph (d) withdraws the procedural cure in its entirety, the Secretariat issues an Aviation Review Completion Record within two days after issuance of that decision, closes the review, and discharges the Team. If a cure remains operative under subparagraph (d), timely performance of the sustained cure controls the closure outcome whether or not a cure-completion notice is timely: upon performance, the competent authority shall give notice, and if no objection is filed within five days after that notice, or if the Team decides within five days after a timely objection that the sustained cure was performed, the Secretariat shall issue an Aviation Review Completion Record, close the review, and discharge the Team. If the applicable cure-performance period established under subparagraph (d) expires without performance, the Secretariat shall issue an Aviation Review Non-Completion Record, close the review, and discharge the Team; later performance may be noted in that record but does not retroactively convert it into an Aviation Review Completion Record. If timely performance occurred but notice was omitted or delayed, the competent authority may establish the date of performance by contemporaneous records, and the Team shall decide that limited question within five days before the Secretariat issues the appropriate closure record. Either Party concerned may thereafter invoke consultations or dispute settlement otherwise available under this Agreement, including Chapter 31, only on an independently established legal basis and subject to the limited evidentiary rule in subparagraph (d). “Aviation Review Closure Record” means either an Aviation Review Completion Record or an Aviation Review Non-Completion Record; each is an administrative closure record unique to this Annex and is not a completion record, verified reliance interest, implementation milestone, cure certification, or other status created by Annex 34-J, Annex 43-I, Article 47.3, or another provision unless that other provision independently and expressly applies.</w:t>
      </w:r>
    </w:p>
    <w:p>
      <w:pPr/>
      <w:r>
        <w:t>(f) FINALITY WITHIN ANNEX 12-G AND REPEAT REFERRALS. Issuance of an Aviation Review Closure Record under subparagraph (e) bars a new referral under this paragraph by the same or another applicant or Party based on the same alleged procedural failure and materially identical facts. A new referral may proceed where it identifies material facts that could not reasonably have been presented in the closed review, materially different conduct, or a recurrence that begins after the prior failure ceased or was cured and after closure; continuing non-performance of the same uncured obligation is not a recurrence and shall be addressed through the existing closure record or a proceeding independently available under this Agreement. The referring Party shall identify the asserted basis for any new referral, and the Secretariat shall reject a facially duplicative referral within two days after receipt and state the prior Aviation Review Closure Record on which the rejection rests, without reopening the merits of the closed review. Rejection of a duplicative referral does not bar any consultation or dispute-settlement proceeding otherwise available under this Agreement on an independently established legal basis.</w:t>
      </w:r>
    </w:p>
    <w:p>
      <w:pPr/>
      <w:r>
        <w:t>(g) STATUS FIREWALL. Notwithstanding the description of this process as an expedited Cothrom factual review in paragraph 1, the Team or a substitute body acting under subparagraph (a), this proceeding, its report, any finding made within it, any cure determination, any Aviation Review Closure Record, and the underlying procedural record do not constitute Cothrom verification, a Chapter 35 verification or proceeding, verified noncompliance, verified distortion, verified injury, a verified breach, a final determination for purposes of Chapters 35, 46, or 47, or a basis for a Chapter 35 consequence. Those objects are not subject to Annexes 35-A or 35-C, Article 31.A(5), Article 35.26(3), Article 46.19, or a rule that would make a determination of a Verification Team or verification mechanism binding in another proceeding. No treaty body, whether acting on referral, on its own motion, by aggregation, through pattern review, or through a successor-measure, post-ruling, reliance, or implementation mechanism, may attach a consequence to those objects merely because they were created under this paragraph. Articles 46.16, 46.17, 46.19, 47.0B, 47.0C, 47.2, 47.0E(2), and 47.3 shall not give those objects preclusive, binding, no-re-litigation, aggregation, successor-measure, post-ruling, or reliance effect.</w:t>
      </w:r>
    </w:p>
    <w:p>
      <w:pPr/>
      <w:r>
        <w:t>(h) PORTABILITY, SOURCE EVIDENCE, AND PUBLICATION. Neither the Team or a substitute body acting under subparagraph (a), the proceeding, the report, a finding, a cure outcome, an Aviation Review Closure Record, nor the record under this paragraph may be transferred laterally, carried forward as an existing merits or compliance record, or treated as an operative finding that a measure was or remains inconsistent with this Agreement. Nothing in this paragraph bars a Party from independently initiating a proceeding otherwise available under this Agreement on the basis of the underlying conduct or from submitting independently admissible source evidence concerning that conduct, but the later body shall establish its own jurisdiction, record, facts, legal findings, and consequences without importing or presuming an object created by this paragraph, except for the limited use of an authenticated report and any mandate-and-safety objection decision expressly permitted by subparagraph (d). An Aviation Review Closure Record, a cure identified solely under this paragraph, a lapse of the period for that cure, or non-performance identified solely through this review shall not, solely by reason of this paragraph, constitute an overdue implementation item or be entered automatically in the Administrative Delay Register, Treaty Reliance Archive, or another public or treaty-wide registry. Publication, registry entry, or designation may occur only where an independently applicable provision expressly authorizes that treatment and the requirements of that provision are independently satisfied.</w:t>
      </w:r>
    </w:p>
    <w:p>
      <w:pPr>
        <w:pStyle w:val="Heading2"/>
      </w:pPr>
      <w:bookmarkStart w:id="900385" w:name="_Toc300000384"/>
      <w:r>
        <w:t>Article 12.G.8: North American Joint Certification Pathway and Continuous Improvement</w:t>
      </w:r>
      <w:bookmarkEnd w:id="900385"/>
    </w:p>
    <w:p>
      <w:pPr>
        <w:pStyle w:val="Normal"/>
      </w:pPr>
      <w:r>
        <w:t>1. The competent authorities shall maintain a voluntary pathway through which applicants may seek coordinated pre-application engagement, common evidence packages where feasible, aligned test witnessing, shared issue papers, and staged validation planning for products intended for certification in two or more Parties.</w:t>
      </w:r>
    </w:p>
    <w:p>
      <w:pPr>
        <w:pStyle w:val="Normal"/>
      </w:pPr>
      <w:r>
        <w:t>2. At least annually, the competent authorities shall review aggregate processing performance, categories of avoidable duplication, recurring technical divergences, and opportunities for additional reliance or mutual recognition. Public reporting shall protect confidential business information and safety-sensitive or security-sensitive information.</w:t>
      </w:r>
    </w:p>
    <w:p>
      <w:pPr>
        <w:pStyle w:val="Normal"/>
      </w:pPr>
      <w:r>
        <w:t>3. Implementation shall use existing competent aviation authorities and existing treaty institutions wherever practicable and does not require creation of a new permanent supranational aviation-certification body.</w:t>
      </w:r>
    </w:p>
    <w:p>
      <w:pPr>
        <w:pStyle w:val="Heading1"/>
      </w:pPr>
      <w:bookmarkStart w:id="900386" w:name="_Toc300000385"/>
      <w:r>
        <w:t>CHAPTER 13 GOVERNMENT PROCUREMENT</w:t>
      </w:r>
      <w:bookmarkEnd w:id="900386"/>
    </w:p>
    <w:p>
      <w:pPr>
        <w:pStyle w:val="Normal"/>
      </w:pPr>
      <w:r>
        <w:t>Article 13.1:</w:t>
      </w:r>
    </w:p>
    <w:p>
      <w:pPr>
        <w:pStyle w:val="Normal"/>
      </w:pPr>
      <w:r>
        <w:t>Definitions For the purposes of this Chapter: build-operate-transfer contract and public works concession contract means a contractual arrangement the primary purpose of which is to provide for the construction or rehabilitation of physical infrastructure, plants, buildings, facilities, or other government-owned works and under which, as consideration for a supplier’s execution of a contractual arrangement, a procuring entity grants to the supplier, for a specified period of time, temporary ownership or a right to control and operate, and demand payment for the use of those works for the duration of the contract; commercial goods or services means goods or services of a type generally sold or offered for sale in the commercial marketplace to, and customarily purchased by, non-governmental buyers for non-governmental purposes; construction service means a service that has as its objective the realization by whatever means of civil or building works, based on Division 51 of the United Nations Provisional Central Product Classification (CPC);</w:t>
      </w:r>
    </w:p>
    <w:p>
      <w:pPr>
        <w:pStyle w:val="Normal"/>
      </w:pPr>
      <w:r>
        <w:t>in writing or written means any worded or numbered expression that can be read, reproduced and may be later communicated, and may include electronically transmitted and stored information; limited tendering means a procurement method whereby the procuring entity contacts a supplier or suppliers of its choice; multi-use list means a list of suppliers that a procuring entity has determined satisfy the conditions for</w:t>
      </w:r>
    </w:p>
    <w:p>
      <w:pPr>
        <w:pStyle w:val="Normal"/>
      </w:pPr>
      <w:r>
        <w:t>participation in that list, and that the procuring entity intends to use more than once; notice of intended procurement means a notice published by a procuring entity inviting interested suppliers to submit a request for participation, a tender, or both; offset means any condition or undertaking that requires the use of domestic content, a domestic supplier, the licensing of technology, technology transfer, investment, counter-trade, or similar action to encourage local development or to improve a Party’s balance of payments accounts; open tendering means a procurement method whereby all interested suppliers may submit a tender; procuring entity means an entity listed in Annex 13-A; qualified supplier means a supplier that a procuring entity recognizes as having satisfied the conditions for participation; selective tendering means a procurement method whereby the procuring entity invites only qualified suppliers to submit a tender; services includes construction services, unless otherwise specified; supplier means a person or group of persons that provides or could provide a good or service to a procuring entity; and technical specification means a tendering requirement that: (a) sets out the characteristics of:</w:t>
      </w:r>
    </w:p>
    <w:p>
      <w:pPr>
        <w:pStyle w:val="Normal"/>
      </w:pPr>
      <w:r>
        <w:t>(i) goods to be procured, including quality, performance, safety, and dimensions, or the processes and methods for their production, or (ii) services to be procured, or the processes or methods for their provision, including any applicable administrative provisions;</w:t>
      </w:r>
    </w:p>
    <w:p>
      <w:pPr>
        <w:pStyle w:val="Normal"/>
      </w:pPr>
      <w:r>
        <w:t>or (b) addresses terminology, symbols, packaging, marking, or labelling requirements, as they apply to a good or service.</w:t>
      </w:r>
    </w:p>
    <w:p>
      <w:pPr>
        <w:pStyle w:val="Heading2"/>
      </w:pPr>
      <w:bookmarkStart w:id="900387" w:name="_Toc300000386"/>
      <w:r>
        <w:t xml:space="preserve">Article 13.2: Scope</w:t>
      </w:r>
      <w:bookmarkEnd w:id="900387"/>
    </w:p>
    <w:p>
      <w:pPr>
        <w:pStyle w:val="Normal"/>
      </w:pPr>
      <w:r>
        <w:t xml:space="preserve">Application of Chapter 1. This Chapter applies to any measure regarding covered procurement. 2. For the purposes of this Chapter, covered procurement means government procurement: (a) of a good, service, or any combination thereof as specified in each Party’s Schedule to Annex 13-A; (b) by any contractual means, including: purchase; rental or lease, with or without an option to buy; build-operate-transfer contracts and public works concessions contracts; (c) for which the value, as estimated in accordance with paragraphs 9 and 10, equals or exceeds the relevant threshold specified in a Party’s Schedule to Annex 13-A, at the time of publication of a notice of intended procurement; (d) by a procuring entity; and (e) that is not otherwise excluded from coverage under this Agreement. 3. This Chapter applies only as between Mexico and the United Sates. Accordingly, for the purposes of this Chapter, “Party” or “Parties” means Mexico or the United States, singly or collectively. Activities Not Covered 4.</w:t>
      </w:r>
    </w:p>
    <w:p>
      <w:pPr>
        <w:pStyle w:val="Normal"/>
      </w:pPr>
      <w:r>
        <w:t>Unless otherwise provided in a Party’s Schedule to Annex 13-A, this Chapter does not apply to: (a) the acquisition or rental of land, existing buildings or other immovable property or the rights thereon; (b) non-contractual agreements or any form of assistance that a Party, including its procuring entities, provides, including cooperative agreements, grants, loans, equity infusions, guarantees, subsidies, fiscal incentives, and sponsorship arrangements; (c) the procurement or acquisition of: fiscal agency or depository services; liquidation and management services for regulated financial institutions; or services related to the sale, redemption and distribution of public debt, including loans and government bonds, notes and other securities; (e) public employment contracts; and (f) procurement conducted: (i) for the specific purpose of providing international assistance, including development aid, (ii) under the particular procedure or condition of an international agreement relating to the stationing of troops or relating to the joint implementation by the signatory countries of a project, or (iii) under the particular procedure or condition of an international organization, or funded by international grants, loans, or other assistance if the applicable procedure or condition would be inconsistent with this Chapter. Schedules 5.</w:t>
      </w:r>
    </w:p>
    <w:p>
      <w:pPr>
        <w:pStyle w:val="Normal"/>
      </w:pPr>
      <w:r>
        <w:t>Each Party shall specify the following information in its Schedule to Annex 13-A: (a) in Section A, the central government entities for which procurement is covered by this Chapter; (b) in Section B, other entities for which procurement is covered by this Chapter; (c) in Section C, the goods covered by this Chapter; (d) in Section D, the services, other than construction services, covered by this Chapter; (e) in Section E, the construction services covered by this Chapter; (f) in Section F, any General Notes; (g) in Section G, the applicable Threshold Adjustment Formula; and (h) in Section H, the publication information required under Article 13.5.2 (Publication of Procurement Information). Compliance 6. Each Party shall ensure that its procuring entities comply with this Chapter in conducting covered procurements. 7. No procuring entity shall prepare or design a procurement, or otherwise structure or divide a procurement into separate procurements in any stage of the procurement, or use a particular method to estimate the value of a procurement, in order to avoid the obligations of this Chapter. 8.</w:t>
      </w:r>
    </w:p>
    <w:p>
      <w:pPr>
        <w:pStyle w:val="Normal"/>
      </w:pPr>
      <w:r>
        <w:t>Nothing in this Chapter shall be construed to prevent a Party, including its procuring entities, from developing new procurement policies, procedures or contractual means, provided that they are not inconsistent with this Chapter. Valuation 9.</w:t>
      </w:r>
    </w:p>
    <w:p>
      <w:pPr>
        <w:pStyle w:val="Normal"/>
      </w:pPr>
      <w:r>
        <w:t>In estimating the value of a procurement for the purposes of ascertaining whether it is a covered procurement, a procuring entity shall include the estimated maximum total value of the procurement over its entire duration, taking into account: (a) all forms of remuneration, including any premium, fee, commission, interest or other revenue stream that may be provided for under the contract; (b) the value of any option clause; and (c) any contract awarded at the same time or over a given period to one or more suppliers under the same procurement. 10. If the total estimated maximum value of a procurement over its entire duration is not known, the procurement shall be deemed a covered procurement, unless otherwise excluded under this Agreement.</w:t>
      </w:r>
    </w:p>
    <w:p>
      <w:pPr>
        <w:pStyle w:val="Normal"/>
      </w:pPr>
      <w:r>
        <w:t>11. PROCUREMENT REFERENCE SCOPE. References elsewhere in this Agreement to Chapter 13 as a procurement benchmark or governing procedure apply as treaty obligations only between Mexico and the United States and only within the coverage established by Article 13.2. Canada acquires no Chapter 13 market-access obligation or entitlement merely through a trilateral reference to that Chapter. Voluntary use of a Chapter 13 benchmark in trilateral cooperation does not enlarge its legal coverage. A distinct provision expressly establishing an independent trilateral procurement obligation retains its own stated scope and legal basis.</w:t>
      </w:r>
    </w:p>
    <w:p>
      <w:pPr>
        <w:pStyle w:val="Heading2"/>
      </w:pPr>
      <w:bookmarkStart w:id="900388" w:name="_Toc300000387"/>
      <w:r>
        <w:t xml:space="preserve">Article 13.3: Exceptions</w:t>
      </w:r>
      <w:bookmarkEnd w:id="900388"/>
    </w:p>
    <w:p>
      <w:pPr>
        <w:pStyle w:val="Normal"/>
      </w:pPr>
      <w:r>
        <w:t xml:space="preserve">1. Subject to the requirement that the measure is not applied in a manner that would constitute a means of arbitrary or unjustifiable discrimination between Parties where the same conditions prevail, or a disguised restriction on international trade between the Parties, nothing in this Chapter shall be construed to prevent a Party, including its procuring entities, from adopting or maintaining a measure: (a) necessary to protect public morals, order, or safety; (b) necessary to protect human, animal, or plant life or health; (c) necessary to protect intellectual property; or (d) relating to the good or service of a person with disabilities, of philanthropic or not-for-profit institutions, or of prison labor. 2. The Parties understand that subparagraph 1(b) includes environmental measures necessary to protect human, animal, or plant life or health.</w:t>
      </w:r>
    </w:p>
    <w:p>
      <w:pPr>
        <w:pStyle w:val="Heading2"/>
      </w:pPr>
      <w:bookmarkStart w:id="900389" w:name="_Toc300000388"/>
      <w:r>
        <w:t xml:space="preserve">Article 13.4: General Principles</w:t>
      </w:r>
      <w:bookmarkEnd w:id="900389"/>
    </w:p>
    <w:p>
      <w:pPr>
        <w:pStyle w:val="Normal"/>
      </w:pPr>
      <w:r>
        <w:t xml:space="preserve">National Treatment and Non-Discrimination 1. With respect to any measure regarding covered procurement, each Party, including its procuring entities, shall accord immediately and unconditionally to the goods and services of the other Party and to the suppliers of the other Party, treatment no less favorable than the treatment that the Party, including its procuring entities, accords to domestic goods, services, and suppliers. 2. With respect to a measure regarding covered procurement, no Party, including its procuring entities, shall: (a) treat a locally established supplier less favorably than another locally established supplier on the basis of degree of foreign affiliation or ownership; or (b) discriminate against a locally established supplier on the basis that the good or service offered by that supplier for a particular procurement is a good or service of the other Party. 3. All orders under contracts awarded for covered procurement shall be subject to paragraphs 1 and 2 of this Article. Procurement Methods 4. A procuring entity shall use an open tendering procedure for covered procurement unless Article 13.8 (Qualification of Suppliers) or Article 13.9 (Limited Tendering) applies. Rules of Origin 5.</w:t>
      </w:r>
    </w:p>
    <w:p>
      <w:pPr>
        <w:pStyle w:val="Normal"/>
      </w:pPr>
      <w:r>
        <w:t>For the purposes of covered procurement, a Party shall not apply rules of origin to goods or services imported from or supplied from the other Party that are different from the rules of origin the Party applies at the same time in the normal course of trade to imports or supplies of the same goods or services from the same Party. Offsets 6. With regard to covered procurement, no Party, including its procuring entities, shall seek, take account of, impose, or enforce any offset, at any stage of a procurement. Measures Not Specific to Procurement 7. Paragraphs 1 and 2 shall not apply to customs duties and charges of any kind imposed on or in connection with importation, the method of levying such duties and charges, other import regulations or formalities, and measures affecting trade in services other than measures governing covered procurement. Use of Electronic Means 8. The Parties shall seek to provide opportunities for covered procurement to be undertaken through electronic means, including for the publication of procurement information, notices, and tender documentation, and for the receipt of tenders. 9.</w:t>
      </w:r>
    </w:p>
    <w:p>
      <w:pPr>
        <w:pStyle w:val="Normal"/>
      </w:pPr>
      <w:r>
        <w:t>When conducting covered procurement by electronic means, a procuring entity shall: (a) ensure that the procurement is conducted using information technology systems and software, including those related to authentication and encryption of information, that are generally available and interoperable with other generally available information technology systems and software; and (b) establish and maintain mechanisms that ensure the integrity of information provided by suppliers, including requests for participation and tenders.</w:t>
      </w:r>
    </w:p>
    <w:p>
      <w:pPr>
        <w:pStyle w:val="Heading2"/>
      </w:pPr>
      <w:bookmarkStart w:id="900390" w:name="_Toc300000389"/>
      <w:r>
        <w:t xml:space="preserve">Article 13.5: Publication of Procurement Information</w:t>
      </w:r>
      <w:bookmarkEnd w:id="900390"/>
    </w:p>
    <w:p>
      <w:pPr>
        <w:pStyle w:val="Normal"/>
      </w:pPr>
      <w:r>
        <w:t xml:space="preserve">1. Each Party shall promptly publish any measure of general application relating to covered procurement, and any change or addition to this information. 2. Each Party shall list in Section H of its Schedule to Annex 13-A the paper or electronic means through which the Party publishes the information described in paragraph 1 and the notices required by Article 13.6 (Notices of Intended Procurement), Article 13.8.3 (Qualification of Suppliers), and Article 13.15.3 (Transparency and Post-Award Information). 3. Each Party shall, on request, provide an explanation in response to an inquiry relating to the information referred to in paragraph 1.</w:t>
      </w:r>
    </w:p>
    <w:p>
      <w:pPr>
        <w:pStyle w:val="Heading2"/>
      </w:pPr>
      <w:bookmarkStart w:id="900391" w:name="_Toc300000390"/>
      <w:r>
        <w:t xml:space="preserve">Article 13.6: Notices of Intended Procurement</w:t>
      </w:r>
      <w:bookmarkEnd w:id="900391"/>
    </w:p>
    <w:p>
      <w:pPr>
        <w:pStyle w:val="Normal"/>
      </w:pPr>
      <w:r>
        <w:t xml:space="preserve">1. For each covered procurement, except in the circumstances described in Article 13.9 (Limited Tendering), a procuring entity shall publish a notice of intended procurement through the appropriate paper or electronic means listed in Annex 13-A. The notices shall remain readily accessible to the public until at least the expiration of the time period for responding to the notice or the deadline for submission of the tender. 2. The notices shall, if accessible by electronic means, be provided free of charge: (a) for central government entities that are covered under Annex 13-A, through a single point of access; and (b) for other entities covered under Annex 13-A, through links in a single electronic portal. 3. Unless otherwise provided in this Chapter, each notice of intended procurement shall include the following information, unless that information is provided in the tender documentation that is made available free of charge to all interested suppliers at the same time as the notice of intended procurement:</w:t>
      </w:r>
    </w:p>
    <w:p>
      <w:pPr>
        <w:pStyle w:val="Normal"/>
      </w:pPr>
      <w:r>
        <w:t>(a) the name and address of the procuring entity and other information necessary to contact the procuring entity and obtain all relevant documents relating to the procurement, and the cost and terms of payment to obtain the relevant documents, if any; (b) a description of the procurement, including, if appropriate, the nature and quantity of the goods or services to be procured and a description of any options, or the</w:t>
      </w:r>
    </w:p>
    <w:p>
      <w:pPr>
        <w:pStyle w:val="Normal"/>
      </w:pPr>
      <w:r>
        <w:t>estimated quantity if the quantity is not known; (c) if applicable, the time-frame for delivery of goods or services or the duration of the contract; (d) if applicable, the address and any final date for the submission of requests for participation in the procurement; (e) the address and the final date for the submission of tenders; (f) the language or languages in which tenders or requests for participation may be submitted, if other than an official language of the Party of the procuring entity; (g) a list and a brief description of any conditions for participation of suppliers, that may include any related requirements for specific documents or certifications that suppliers must provide; (h) if, pursuant to Article 13.8 (Qualification of Suppliers), a procuring entity intends to select a limited number of qualified suppliers to be invited to tender, the criteria that will be used to select them and, if applicable, any limitation on the number of suppliers that will be permitted to tender; and (i) an indication that the procurement is covered by this Chapter. 4.</w:t>
      </w:r>
    </w:p>
    <w:p>
      <w:pPr>
        <w:pStyle w:val="Normal"/>
      </w:pPr>
      <w:r>
        <w:t>For greater certainty, paragraph 3 does not preclude a Party from charging a fee for tender documentation if the notice of intended procurement includes all of the information set out in paragraph 3. Notice of Planned Procurement 5.</w:t>
      </w:r>
    </w:p>
    <w:p>
      <w:pPr>
        <w:pStyle w:val="Normal"/>
      </w:pPr>
      <w:r>
        <w:t>Procuring entities are encouraged to publish as early as possible in each fiscal year a notice regarding their future procurement plans (notice of planned procurement) which should include the subject matter of the procurement and the planned date of publication of the notice of intended procurement.</w:t>
      </w:r>
    </w:p>
    <w:p>
      <w:pPr>
        <w:pStyle w:val="Heading2"/>
      </w:pPr>
      <w:bookmarkStart w:id="900392" w:name="_Toc300000391"/>
      <w:r>
        <w:t xml:space="preserve">Article 13.7: Conditions for Participation</w:t>
      </w:r>
      <w:bookmarkEnd w:id="900392"/>
    </w:p>
    <w:p>
      <w:pPr>
        <w:pStyle w:val="Normal"/>
      </w:pPr>
      <w:r>
        <w:t xml:space="preserve">1. A procuring entity shall limit any conditions for participation in a covered procurement to those conditions that ensure that a supplier has the legal and financial capacities and the commercial and technical abilities to fulfil the requirements of that procurement. 2. In establishing the conditions for participation, a procuring entity: (a) shall not impose the condition that, in order for a supplier to participate in a procurement, the supplier has previously been awarded one or more contracts by a procuring entity of a given Party or that the supplier has prior work experience in the territory of that Party; and (b) may require relevant prior experience if essential to meet the requirements of the procurement. 3. In assessing whether a supplier satisfies the conditions for participation, a procuring entity shall: (a) evaluate the financial capacity and the commercial and technical abilities of a supplier on the basis of that supplier’s business activities both inside and outside the territory of the Party of the procuring entity; and (b) base its evaluation solely on the conditions that the procuring entity has specified in advance in notices or tender documentation. 4.</w:t>
      </w:r>
    </w:p>
    <w:p>
      <w:pPr>
        <w:pStyle w:val="Normal"/>
      </w:pPr>
      <w:r>
        <w:t>If there is supporting evidence, a Party, including its procuring entities, may exclude a supplier on grounds such as: (a) bankruptcy or insolvency; (b) false declarations; (c) significant or persistent deficiencies in the performance of any substantive requirement or obligation under a prior contract or contracts; (d) final judgments in respect of serious crimes or other serious offences; (e) professional misconduct or actions or omissions that adversely reflect on the commercial integrity of the supplier; or (f) failure to pay taxes. 5. For greater certainty, this Article is not intended to preclude a procuring entity from promoting compliance with laws in the territory in which the good is produced or the service is performed relating to labor rights as recognized by the Parties and set forth in Article 23.3 (Labor Rights), provided that such measures are applied in a manner consistent with Chapter 29 (Publication and Administration), and are not applied in a manner that constitutes a means of arbitrary or unjustifiable discrimination between the Parties or a disguised restriction on trade between the Parties.1</w:t>
      </w:r>
    </w:p>
    <w:p>
      <w:pPr>
        <w:pStyle w:val="Heading2"/>
      </w:pPr>
      <w:bookmarkStart w:id="900393" w:name="_Toc300000392"/>
      <w:r>
        <w:t xml:space="preserve">Article 13.8: Qualification of Suppliers</w:t>
      </w:r>
      <w:bookmarkEnd w:id="900393"/>
    </w:p>
    <w:p>
      <w:pPr>
        <w:pStyle w:val="Normal"/>
      </w:pPr>
      <w:r>
        <w:t xml:space="preserve">Registration Systems and Qualification Procedures 1. A Party, including its procuring entities, may maintain a supplier registration system under which interested suppliers are required to register and provide certain information. 2. No Party, including its procuring entities, shall: (a) adopt or apply any registration system or qualification procedure with the purpose or the effect of creating unnecessary obstacles to the participation of suppliers of the other Party in its procurement; or (b) use such registration system or qualification procedure to prevent or delay the inclusion of suppliers of the other Party on a list of suppliers or prevent those suppliers from being considered for a particular procurement. Selective Tendering 3. If a procuring entity intends to use selective tendering, the procuring entity shall: (a) publish a notice of intended procurement that invites suppliers to submit a request for participation in a covered procurement; and (b) include in the notice of intended procurement the information specified in Article 13.6.3(a), (b), (d), (g), (h), and (i) (Notices of Intended Procurement). 4.</w:t>
      </w:r>
    </w:p>
    <w:p>
      <w:pPr>
        <w:pStyle w:val="Normal"/>
      </w:pPr>
      <w:r>
        <w:t>The procuring entity shall: (a) publish the notice sufficiently in advance of the procurement to allow interested suppliers to request participation in the procurement; The adoption and maintenance of these measures by a Party should not be construed as evidence that the other Party has breached the obligations under Chapter 23 (Labor) with respect to labor. (b) provide, by the commencement of the time period for tendering, at least the information in Article 13.6.3 (c), (e), and (f) (Notices of Intended Procurement) to the qualified suppliers that it notifies as specified in Article 13.13.3(b) (Time Periods); and (c) allow all qualified suppliers to submit a tender, unless the procuring entity stated in the notice of intended procurement a limitation on the number of suppliers that will be permitted to tender and the criteria or justification for selecting the limited number of suppliers. 5.</w:t>
      </w:r>
    </w:p>
    <w:p>
      <w:pPr>
        <w:pStyle w:val="Normal"/>
      </w:pPr>
      <w:r>
        <w:t>If the tender documentation is not made publicly available from the date of publication of the notice referred to in paragraph 3, the procuring entity shall ensure that the tender documentation is made available at the same time to all the qualified suppliers selected in accordance with paragraph 4(c). Multi-Use Lists 6. A Party, including its procuring entities, may establish or maintain a multi-use list provided that it publishes annually, or otherwise makes continuously available by electronic means, a notice inviting interested suppliers to apply for inclusion on the list.</w:t>
      </w:r>
    </w:p>
    <w:p>
      <w:pPr>
        <w:pStyle w:val="Normal"/>
      </w:pPr>
      <w:r>
        <w:t>The notice shall include: (a) a description of the goods and services, or categories thereof, for which the list may be used; (b) the conditions for participation to be satisfied by suppliers for inclusion on the list and the methods that the procuring entity or other government agency will use to verify a supplier’s satisfaction of those conditions; (c) the name and address of the procuring entity or other government agency and other information necessary to contact the procuring entity and to obtain all relevant documents relating to the list; (d) the period of validity of the list and the means for its renewal or termination or, if the period of validity is not provided, an indication of the method by which notice will be given of the termination of use of the list;</w:t>
      </w:r>
    </w:p>
    <w:p>
      <w:pPr>
        <w:pStyle w:val="Normal"/>
      </w:pPr>
      <w:r>
        <w:t>(e) the deadline for submission of applications for inclusion on the list, if applicable; and (f) an indication that the list may be used for procurement covered by this Chapter, unless that indication is publicly available through information published pursuant to Article 13.5.2 (Publication of Procurement Information). 7. A Party, including its procuring entities, that establishes or maintains a multi-use list, shall include on the list, within a reasonable period of time, all suppliers that satisfy the conditions for participation set out in the notice referred to in paragraph 6. 8.</w:t>
      </w:r>
    </w:p>
    <w:p>
      <w:pPr>
        <w:pStyle w:val="Normal"/>
      </w:pPr>
      <w:r>
        <w:t>If a supplier that is not included on a multi-use list submits a request for participation in a procurement based on the multi-use list and submits all required documents, within the time period provided for in Article 13.13.2 (Time Periods), a procuring entity shall examine the request. The procuring entity shall not exclude the supplier from consideration in respect of the procurement unless the procuring entity is not able to complete the examination of the request within the time period allowed for the submission of tenders. Information on Procuring Entity Decisions 9. A procuring entity or other entity of a Party shall promptly inform any supplier that submits a request for participation in a procurement or application for inclusion on a multi-use list of the decision with respect to the request or application. 10. If a procuring entity or other entity of a Party rejects a supplier’s request for participation or application for inclusion on a multi-use list, ceases to recognize a supplier as qualified, or removes a supplier from a multi-use list, the entity shall promptly inform the supplier and on request of the supplier, promptly provide the supplier with a written explanation of the reason for its decision.</w:t>
      </w:r>
    </w:p>
    <w:p>
      <w:pPr>
        <w:pStyle w:val="Heading2"/>
      </w:pPr>
      <w:bookmarkStart w:id="900394" w:name="_Toc300000393"/>
      <w:r>
        <w:t xml:space="preserve">Article 13.9: Limited Tendering</w:t>
      </w:r>
      <w:bookmarkEnd w:id="900394"/>
    </w:p>
    <w:p>
      <w:pPr>
        <w:pStyle w:val="Normal"/>
      </w:pPr>
      <w:r>
        <w:t xml:space="preserve">1. Provided that it does not use this provision for the purpose of avoiding competition between suppliers, to protect domestic suppliers, or in a manner that discriminates against suppliers of the other Party, a procuring entity may use limited tendering. 2. If a procuring entity uses limited tendering, it may choose, according to the nature of the procurement, not to apply Article 13.6 (Notices of Intended Procurement), Article 13.7 (Conditions for Participation), Article 13.8 (Qualification of Suppliers), Article 13.10 (Negotiations), Article 13.11 (Technical Specifications), Article 13.12 (Tender Documentation), Article 13.13 (Time Periods), or Article 13.14 (Treatment of Tenders and Awarding of Contracts). A procuring entity may use limited tendering only under the following circumstances: (a) if, in response to a prior notice, invitation to participate, or invitation to tender:</w:t>
      </w:r>
    </w:p>
    <w:p>
      <w:pPr>
        <w:pStyle w:val="Normal"/>
      </w:pPr>
      <w:r>
        <w:t>(i) no tenders were submitted or no suppliers requested participation, (ii) no tenders were submitted that conform to the essential requirements in the tender documentation, (iii) no suppliers satisfied the conditions for participation, or (iv) the tenders submitted were collusive, provided that the procuring entity does not substantially modify the essential requirements set out in the notices or tender documentation; (b) if the good or service can be supplied only by a particular supplier and no reasonable alternative or substitute good or service exists for any</w:t>
      </w:r>
    </w:p>
    <w:p>
      <w:pPr>
        <w:pStyle w:val="Normal"/>
      </w:pPr>
      <w:r>
        <w:t>of the following reasons: (i) the requirement is for a work of art, (ii) the protection of patents, copyrights, or other exclusive rights, or (iii) due to an absence of competition for technical reasons; (c) for additional deliveries by the original supplier or its authorized agents, of goods or services that were not included in the initial procurement if a change of supplier for such additional goods or services: (i) cannot be made for technical reasons such as requirements of interchangeability or interoperability with existing equipment, software, services, or installations procured under the initial procurement, or due to conditions under original supplier warranties, and (ii) would cause significant inconvenience or substantial duplication of costs for the procuring entity; (d) for a good purchased on a commodity market or exchange; (e) if a procuring entity procures a prototype or a first good or service that is intended for limited trial or that is developed at its request in the course of, and for, a particular contract for research, experiment, study, or original development.</w:t>
      </w:r>
    </w:p>
    <w:p>
      <w:pPr>
        <w:pStyle w:val="Normal"/>
      </w:pPr>
      <w:r>
        <w:t>Original development of a prototype or a first good or service may include limited production or supply in order to incorporate the results of field testing and to demonstrate that the prototype or the first good or service is suitable for production or supply in quantity to acceptable quality standards, but does not include quantity production or supply to establish commercial viability or to recover research and development costs; (f) for purchases made under exceptionally advantageous conditions that only arise in the very short term, such as from unusual disposals, liquidation, bankruptcy, or receivership, but not for routine purchases from regular suppliers; (g) if a contract is awarded to the winner of a design contest, provided that: (i) the contest has been organized in a manner that is consistent with this Chapter, and (ii) the contest is judged by an independent jury with a view to award a design contract to the winner; or (h) in so far as is strictly necessary if, for reasons of extreme urgency brought about by events unforeseeable by the procuring entity, the good or service could not be obtained in time by means of open or selective tendering. 3.</w:t>
      </w:r>
    </w:p>
    <w:p>
      <w:pPr>
        <w:pStyle w:val="Normal"/>
      </w:pPr>
      <w:r>
        <w:t>For each contract awarded in accordance with paragraph 2, a procuring entity shall prepare a report in writing, or maintain a record, that includes the name of the procuring entity, the value and kind of good or service procured, and a statement that indicates the circumstances and conditions described in paragraph 2 that justified the use of limited tendering.</w:t>
      </w:r>
    </w:p>
    <w:p>
      <w:pPr>
        <w:pStyle w:val="Heading2"/>
      </w:pPr>
      <w:bookmarkStart w:id="900395" w:name="_Toc300000394"/>
      <w:r>
        <w:t xml:space="preserve">Article 13.10: Negotiations</w:t>
      </w:r>
      <w:bookmarkEnd w:id="900395"/>
    </w:p>
    <w:p>
      <w:pPr>
        <w:pStyle w:val="Normal"/>
      </w:pPr>
      <w:r>
        <w:t xml:space="preserve">1. A Party may provide for its procuring entities to conduct negotiations in the context of covered procurement if: (a) the procuring entity has indicated its intent to conduct negotiations in the notice of intended procurement required under Article 13.6 (Notices of Intended Procurement); or (b) it appears from the evaluation that no tender is obviously the most advantageous in terms of the specific evaluation criteria set out in the notice of intended procurement or tender documentation. 2. A procuring entity shall: (a) ensure that any elimination of suppliers participating in negotiations is carried out in accordance with the evaluation criteria set out in the notice of intended procurement or tender documentation; and (b) when negotiations are concluded, provide a common deadline for the remaining participating suppliers to submit any new or revised tenders.</w:t>
      </w:r>
    </w:p>
    <w:p>
      <w:pPr>
        <w:pStyle w:val="Heading2"/>
      </w:pPr>
      <w:bookmarkStart w:id="900396" w:name="_Toc300000395"/>
      <w:r>
        <w:t xml:space="preserve">Article 13.11: Technical Specifications</w:t>
      </w:r>
      <w:bookmarkEnd w:id="900396"/>
    </w:p>
    <w:p>
      <w:pPr>
        <w:pStyle w:val="Normal"/>
      </w:pPr>
      <w:r>
        <w:t xml:space="preserve">1. A procuring entity shall not prepare, adopt, or apply any technical specification or prescribe any conformity assessment procedure with the purpose or effect of creating an unnecessary obstacle to trade between the Parties. 2. In prescribing the technical specifications for the good or service being procured, a procuring entity shall, if appropriate: (a) set out the technical specifications in terms of performance and functional requirements, rather than design or descriptive characteristics; and (b) base the technical specifications on international standards, if these exist; otherwise, on national technical regulations, recognized national, standards or building codes. 3. A procuring entity shall not prescribe technical specifications that require or refer to a particular trademark or trade name, patent, copyright, design, type, specific origin, producer, or supplier, unless there is no other sufficiently precise or intelligible way of describing the procurement requirements and provided that, in these cases, the procuring entity includes words such as “or equivalent” in the tender documentation. 4.</w:t>
      </w:r>
    </w:p>
    <w:p>
      <w:pPr>
        <w:pStyle w:val="Normal"/>
      </w:pPr>
      <w:r>
        <w:t>A procuring entity shall not seek or accept, in a manner that would have the effect of precluding competition, advice that may be used in the preparation or adoption of any technical specification for a specific procurement from a person that may have a commercial interest in the procurement. 5.</w:t>
      </w:r>
    </w:p>
    <w:p>
      <w:pPr>
        <w:pStyle w:val="Normal"/>
      </w:pPr>
      <w:r>
        <w:t>For greater certainty, a procuring entity may conduct market research in developing specifications for a particular procurement. 6. For greater certainty, this Article is not intended to preclude a procuring entity from preparing, adopting, or applying technical specifications to promote the conservation of natural resources or the protection of the environment. 7. For greater certainty, this Chapter is not intended to preclude a Party, or its procuring entities, from preparing, adopting, or applying technical specifications required to protect sensitive government information, including specifications that may affect or limit the storage, hosting, or processing of such information outside the territory of the Party.</w:t>
      </w:r>
    </w:p>
    <w:p>
      <w:pPr>
        <w:pStyle w:val="Heading2"/>
      </w:pPr>
      <w:bookmarkStart w:id="900397" w:name="_Toc300000396"/>
      <w:r>
        <w:t xml:space="preserve">Article 13.12: Tender Documentation</w:t>
      </w:r>
      <w:bookmarkEnd w:id="900397"/>
    </w:p>
    <w:p>
      <w:pPr>
        <w:pStyle w:val="Normal"/>
      </w:pPr>
      <w:r>
        <w:t xml:space="preserve">1. A procuring entity shall promptly make available or provide on request to any interested supplier tender documentation that includes all information necessary to permit the supplier to prepare and submit a responsive tender. Unless already provided in the notice of intended procurement, that tender documentation shall include a complete description of: (a) the procurement, including the nature, scope and, if known, the quantity of the good or service to be procured or, if the quantity is not known, the estimated quantity and any requirements to be fulfilled, including any technical specifications, conformity certification, plans, drawings, or instructional materials; (b) any conditions for participation, including any financial guarantees, information, and documents that suppliers are required to submit; (c) all criteria to be considered in the awarding of the contract and the relative importance of those criteria; (d) if there will be a public opening of tenders, the date, time, and place for the opening; (e) any other terms or conditions relevant to the evaluation of tenders; and (f) any date for delivery of a good or supply of a service. 2.</w:t>
      </w:r>
    </w:p>
    <w:p>
      <w:pPr>
        <w:pStyle w:val="Normal"/>
      </w:pPr>
      <w:r>
        <w:t>In establishing any date for the delivery of a good or the supply of a service being procured, a procuring entity shall take into account factors such as the complexity of the procurement, the extent of subcontracting anticipated, and the realistic time required for production, de-stocking, and transport of goods from the point of supply or for supply of services. 3. A procuring entity shall promptly reply to any reasonable request for relevant information by an interested or participating supplier, provided that the information does not give that supplier an advantage over other suppliers. Modifications 4. If, prior to the award of a contract, a procuring entity modifies the evaluation criteria or requirements set out in a notice of intended procurement or tender documentation provided to a participating supplier, or amends, or re-issues a notice or tender documentation, it shall publish or provide those modifications, or the amended or re-issued notice or tender documentation:</w:t>
      </w:r>
    </w:p>
    <w:p>
      <w:pPr>
        <w:pStyle w:val="Normal"/>
      </w:pPr>
      <w:r>
        <w:t>(a) to all suppliers that are participating in the procurement at the time of the modification, amendment, or re-issuance, if those suppliers are known to the procuring entity, and in all other cases, in the same manner as the original information was made available; and (b) in adequate time to allow those suppliers to modify and re-submit their initial tender, if appropriate.</w:t>
      </w:r>
    </w:p>
    <w:p>
      <w:pPr>
        <w:pStyle w:val="Heading2"/>
      </w:pPr>
      <w:bookmarkStart w:id="900398" w:name="_Toc300000397"/>
      <w:r>
        <w:t xml:space="preserve">Article 13.13: Time Periods</w:t>
      </w:r>
      <w:bookmarkEnd w:id="900398"/>
    </w:p>
    <w:p>
      <w:pPr>
        <w:pStyle w:val="Normal"/>
      </w:pPr>
      <w:r>
        <w:t xml:space="preserve">General 1. A procuring entity shall, consistent with its own reasonable needs, provide sufficient time for a supplier to obtain the tender documentation and to prepare and submit a request for participation and a responsive tender, taking into account factors such as: (a) the nature and complexity of the procurement; and (b) the time necessary for transmitting tenders by non-electronic means from foreign as well as domestic points if electronic means are not used. Deadlines 2. A procuring entity that uses selective tendering shall establish that the final date for the submission of a request for participation shall not, in principle, be less than 25 days from the date of publication of the notice of intended procurement. If a state of urgency duly substantiated by the procuring entity renders this time period impracticable, the time period may be reduced to no less than 10 days. 3.</w:t>
      </w:r>
    </w:p>
    <w:p>
      <w:pPr>
        <w:pStyle w:val="Normal"/>
      </w:pPr>
      <w:r>
        <w:t>Except as provided in paragraphs 4 and 5, a procuring entity shall establish that the final date for the submission of tenders shall not be less than 40 days from the date on which: (a) in the case of open tendering, the notice of intended procurement is published; or (b) in the case of selective tendering, the procuring entity notifies the suppliers that they will be invited to submit tenders, whether or not it uses a multi-use list. 4.</w:t>
      </w:r>
    </w:p>
    <w:p>
      <w:pPr>
        <w:pStyle w:val="Normal"/>
      </w:pPr>
      <w:r>
        <w:t>A procuring entity may reduce the time period for tendering set out in paragraph 3 by five days for each one of the following circumstances: (a) the notice of intended procurement is published by electronic means; (b) the tender documentation is made available by electronic means from the date of the publication of the notice of intended procurement; and (c) the procuring entity accepts tenders by electronic means. 5. A procuring entity may reduce the time period for tendering set out in paragraph 3 to no less than 10 days if: (a) the procuring entity has published a notice of planned procurement under Article 13.6 (Notices of Intended Procurement) at least 40 days and no more than 12 months in advance of the publication of the notice of intended procurement, and the notice of planned procurement contains:</w:t>
      </w:r>
    </w:p>
    <w:p>
      <w:pPr>
        <w:pStyle w:val="Normal"/>
      </w:pPr>
      <w:r>
        <w:t>(i) a description of the procurement, (ii) the approximate final dates for the submission of tenders or requests for participation, (iii) the address from which documents relating to the procurement may be obtained, and (iv) as much of the information that is required for the notice of intended procurement as is available; (b) a state of urgency duly substantiated by the procuring entity renders impracticable the time period for tendering set out in paragraph 3; or (c) the procuring entity procures commercial goods or services. 6.</w:t>
      </w:r>
    </w:p>
    <w:p>
      <w:pPr>
        <w:pStyle w:val="Normal"/>
      </w:pPr>
      <w:r>
        <w:t>The use of paragraph 4, in conjunction with paragraph 5, shall in no case result in the reduction of the time periods for tendering set out in paragraph 3 to less than 10 days. 7. A procuring entity shall require all interested or participating suppliers to submit requests for participation or tenders in accordance with a common deadline. These time periods, and any extension of these time periods, shall be the same for all interested or participating suppliers.</w:t>
      </w:r>
    </w:p>
    <w:p>
      <w:pPr>
        <w:pStyle w:val="Heading2"/>
      </w:pPr>
      <w:bookmarkStart w:id="900399" w:name="_Toc300000398"/>
      <w:r>
        <w:t xml:space="preserve">Article 13.14: Treatment of Tenders and Awarding of Contracts</w:t>
      </w:r>
      <w:bookmarkEnd w:id="900399"/>
    </w:p>
    <w:p>
      <w:pPr>
        <w:pStyle w:val="Normal"/>
      </w:pPr>
      <w:r>
        <w:t xml:space="preserve">Treatment of Tenders 1. A procuring entity shall receive, open and treat all tenders under procedures that guarantee the fairness and impartiality of the procurement process and the confidentiality of tenders. 2. If the tender of a supplier is received after the time specified for receiving tenders, the procuring entity shall not penalize that supplier if the delay is due solely to the mishandling on the part of the procuring entity. 3. If a procuring entity provides a supplier with an opportunity to correct unintentional errors of form between the opening of tenders and the awarding of the contract, the procuring entity shall provide the same opportunity to all participating suppliers. Awarding of Contracts 4. To be considered for an award, a tender shall be submitted in writing and shall, at the time of opening, comply with the essential requirements set out in the notice and tender documentation and be submitted by a supplier who satisfies the conditions for participation. 5.</w:t>
      </w:r>
    </w:p>
    <w:p>
      <w:pPr>
        <w:pStyle w:val="Normal"/>
      </w:pPr>
      <w:r>
        <w:t>Unless a procuring entity determines that it is not in the public interest to award a contract, it shall award the contract to the supplier that the procuring entity has determined to be fully capable of fulfilling the terms of the contract and that, based solely on the evaluation criteria specified in the notice and tender documentation, submits: (a) the most advantageous tender; or (b) if price is the sole criterion, the lowest price. 6.</w:t>
      </w:r>
    </w:p>
    <w:p>
      <w:pPr>
        <w:pStyle w:val="Normal"/>
      </w:pPr>
      <w:r>
        <w:t>If a procuring entity received a tender with a price that is abnormally lower than the prices in other tenders submitted, it may verify with the supplier that it satisfies the conditions for participation and is capable of fulfilling the terms of the contract. 7. A procuring entity shall not use options, cancel a covered procurement, or modify or terminate awarded contracts in order to avoid the obligations of this Chapter.</w:t>
      </w:r>
    </w:p>
    <w:p>
      <w:pPr>
        <w:pStyle w:val="Heading2"/>
      </w:pPr>
      <w:bookmarkStart w:id="900400" w:name="_Toc300000399"/>
      <w:r>
        <w:t xml:space="preserve">Article 13.15: Transparency and Post-Award Information</w:t>
      </w:r>
      <w:bookmarkEnd w:id="900400"/>
    </w:p>
    <w:p>
      <w:pPr>
        <w:pStyle w:val="Normal"/>
      </w:pPr>
      <w:r>
        <w:t xml:space="preserve">Information Provided to Suppliers 1. A procuring entity shall promptly inform suppliers that have submitted a tender of the contract award decision. The procuring entity may do so in writing or through the prompt publication of the notice in paragraph 3, provided that the notice includes the date of award. If a supplier has requested the information in writing, the procuring entity shall provide it in writing. 2. Subject to Article 13.16 (Disclosure of Information), a procuring entity shall, on request, provide an unsuccessful supplier with an explanation of the reasons why the procuring entity did not select the unsuccessful supplier’s tender or an explanation of the relative advantages of the successful supplier’s tender. Publication of Award Information 3.</w:t>
      </w:r>
    </w:p>
    <w:p>
      <w:pPr>
        <w:pStyle w:val="Normal"/>
      </w:pPr>
      <w:r>
        <w:t>A procuring entity shall, promptly after the award of a contract for a covered procurement, publish in an officially designated publication a notice containing at least the following information: (a) a description of the good or service procured; (b) the name and address of the procuring entity; (c) the name and address of the successful supplier; (d) the value of the contract award; (e) the date of award or, if the procuring entity has already informed suppliers of the date of the award under paragraph 1, the contract date; and (f) the procurement method used and, if a procedure was used pursuant to Article 13.9 (Limited Tendering), a brief description of the circumstances justifying the use of that procedure. Maintenance of Records 4. A procuring entity shall maintain the documentation, records and reports relating to tendering procedures and contract awards for covered procurement, including the records and reports provided for in Article 13.9.3 (Limited Tendering), for at least three years after the award of a contract. Collection and Reporting of Statistics 5. Each Party shall prepare a statistical report on its covered procurement, and make such report publicly available on an official website.</w:t>
      </w:r>
    </w:p>
    <w:p>
      <w:pPr>
        <w:pStyle w:val="Normal"/>
      </w:pPr>
      <w:r>
        <w:t>Each report shall cover one year and be available within two years of the end of the reporting period, and shall contain: (a) for Section A procuring entities: (i) the number and total value, for all such entities, of all contracts covered by this Chapter, (ii) the number and total value of all contracts covered by this Chapter awarded by each such entity, broken down by categories of goods and services according to an internationally recognized uniform classification system, and (iii) the number and total value of all contracts covered by this Chapter awarded by each such entity under limited tendering; (b) for Section B procuring entities, the number and total value of contracts covered by this Chapter awarded by all such entities; and (c) estimates for the data required under subparagraphs (a) and (b), with an explanation of the methodology used to develop the estimates, if it is not feasible to provide the data.</w:t>
      </w:r>
    </w:p>
    <w:p>
      <w:pPr>
        <w:pStyle w:val="Heading2"/>
      </w:pPr>
      <w:bookmarkStart w:id="900401" w:name="_Toc300000400"/>
      <w:r>
        <w:t xml:space="preserve">Article 13.16: Disclosure of Information</w:t>
      </w:r>
      <w:bookmarkEnd w:id="900401"/>
    </w:p>
    <w:p>
      <w:pPr>
        <w:pStyle w:val="Normal"/>
      </w:pPr>
      <w:r>
        <w:t xml:space="preserve">Provision of Information to Parties 1. On request of the other Party, a Party shall provide promptly information sufficient to demonstrate whether a procurement was conducted fairly, impartially and in accordance with this Chapter, including, if applicable, information on the characteristics and relative advantages of the successful tender, without disclosing confidential information. The Party that receives the information shall not disclose it to any supplier, except after consulting with, and obtaining the agreement of, the Party that provided the information. Non-Disclosure of Information 2. Notwithstanding any other provision of this Chapter, a Party, including its procuring entities, shall not, except to the extent required by law or with the written authorization of the supplier that provided the information, disclose information that would prejudice legitimate commercial interests of a particular supplier or that might prejudice fair competition between suppliers. 3. Nothing in this Chapter shall be construed to require a Party, including its procuring entities, authorities, and review bodies, to disclose confidential information if that disclosure: (a) would impede law enforcement;</w:t>
      </w:r>
    </w:p>
    <w:p>
      <w:pPr>
        <w:pStyle w:val="Normal"/>
      </w:pPr>
      <w:r>
        <w:t>(b) might prejudice fair competition between suppliers; (c) would prejudice the legitimate commercial interests of particular persons, including the protection of intellectual property; or (d) would otherwise be contrary to the public interest.</w:t>
      </w:r>
    </w:p>
    <w:p>
      <w:pPr>
        <w:pStyle w:val="Heading2"/>
      </w:pPr>
      <w:bookmarkStart w:id="900402" w:name="_Toc300000401"/>
      <w:r>
        <w:t xml:space="preserve">Article 13.17: Ensuring Integrity in Procurement Practices</w:t>
      </w:r>
      <w:bookmarkEnd w:id="900402"/>
    </w:p>
    <w:p>
      <w:pPr>
        <w:pStyle w:val="Normal"/>
      </w:pPr>
      <w:r>
        <w:t xml:space="preserve">1. Each Party shall ensure that criminal, civil, or administrative measures exist that can address corruption, fraud, and other wrongful acts in its government procurement. 2. These measures may include procedures to debar, suspend, or declare ineligible from participation in the Party’s procurements, for a stated period of time, a supplier that the Party has determined to have engaged in corruption, fraud, or other wrongful acts relevant to a supplier’s eligibility to participate in a Party’s government procurement. Each Party: (a) may consider the seriousness of the supplier’s acts or omissions and any remedial measures or mitigating factors in making any decisions on debarment or suspension, including in making a decision on whether to reduce the period or extent of debarment or suspension at the supplier’s request pursuant to paragraph 2(b)(ii); and (b) shall provide a supplier of the other Party directly implicated by a proceeding applying procedures adopted or maintained under paragraph 2:</w:t>
      </w:r>
    </w:p>
    <w:p>
      <w:pPr>
        <w:pStyle w:val="Normal"/>
      </w:pPr>
      <w:r>
        <w:t>(i) reasonable notice that the proceeding was initiated, including a description of the nature of the proceeding, a statement of the authority under which the proceeding was initiated, and the reasons for the proceeding, and (ii) reasonable opportunity to present facts and arguments in support of its position; and (c) shall publish and update a list of enterprises and, subject to its law, natural persons it has debarred,</w:t>
      </w:r>
    </w:p>
    <w:p>
      <w:pPr>
        <w:pStyle w:val="Normal"/>
      </w:pPr>
      <w:r>
        <w:t>suspended, or declared ineligible. 3. Each Party shall ensure that it has in place policies or procedures to address potential conflicts of interest on the part of those engaged in or having influence over a procurement. 4. Each Party may also put in place policies or procedures, including provisions in tender documentation, that require successful suppliers to maintain and enforce effective internal controls, business ethics, and compliance programs, taking into account the size of the supplier, particularly SMEs, and other relevant factors, for preventing and detecting corruption, fraud, and other wrongful acts.</w:t>
      </w:r>
    </w:p>
    <w:p>
      <w:pPr>
        <w:pStyle w:val="Heading2"/>
      </w:pPr>
      <w:bookmarkStart w:id="900403" w:name="_Toc300000402"/>
      <w:r>
        <w:t xml:space="preserve">Article 13.18: Domestic Review</w:t>
      </w:r>
      <w:bookmarkEnd w:id="900403"/>
    </w:p>
    <w:p>
      <w:pPr>
        <w:pStyle w:val="Normal"/>
      </w:pPr>
      <w:r>
        <w:t xml:space="preserve">1. Each Party shall maintain, establish, or designate at least one impartial administrative or judicial authority (review authority) that is independent of its procuring entities to review, in a non-discriminatory, timely, transparent, and effective manner, a challenge or complaint (complaint) by a supplier that there has been: (a) a breach of this Chapter; or (b) if the supplier does not have a right to directly challenge a breach of this Chapter under the law of a Party, a failure of a procuring entity to comply with the Party’s measures implementing this Chapter, arising in the context of a covered procurement, in which the supplier has, or had, an interest. The procedural rules for these complaints shall be in writing and made generally available. 2.</w:t>
      </w:r>
    </w:p>
    <w:p>
      <w:pPr>
        <w:pStyle w:val="Normal"/>
      </w:pPr>
      <w:r>
        <w:t>In the event of a complaint by a supplier, arising in the context of covered procurement in which the supplier has, or had, an interest, that there has been a breach or a failure as referred to in paragraph 1, the Party of the procuring entity conducting the procurement shall encourage, if appropriate, the procuring entity and the supplier to seek resolution of the complaint through consultations. The procuring entity shall accord impartial and timely consideration to the complaint in a manner that is not prejudicial to the supplier’s participation in ongoing or future procurement or to its right to seek corrective measures under the administrative or judicial review procedure.</w:t>
      </w:r>
    </w:p>
    <w:p>
      <w:pPr>
        <w:pStyle w:val="Normal"/>
      </w:pPr>
      <w:r>
        <w:t>Each Party shall make information on its complaint mechanisms generally available. 3. If a body other than the review authority initially reviews a complaint, a Party shall ensure that the supplier may appeal the initial decision to the review authority that is independent of the procuring entity that is the subject of the complaint. 4. If the review authority has determined that there has been a breach or a failure as referred to in paragraph 1, a Party may limit compensation for the loss or damages suffered to either the costs reasonably incurred in the preparation of the tender or in bringing the complaint, or both. 5. Each Party shall ensure that, if the review authority is not a court, its review procedures are conducted in accordance with the following procedures: (a) a supplier shall be allowed sufficient time to prepare and submit a complaint in writing, which in no case shall be less than 10 days from the time when the basis of the complaint became known or reasonably should have become known to the supplier;</w:t>
      </w:r>
    </w:p>
    <w:p>
      <w:pPr>
        <w:pStyle w:val="Normal"/>
      </w:pPr>
      <w:r>
        <w:t>(b) a procuring entity shall respond in writing to a supplier’s complaint and provide all relevant documents to the review authority; (c) a supplier that initiates a complaint shall be provided an opportunity to reply to the procuring entity’s response before the review authority takes a decision on the complaint; and (d) the review authority shall provide its decision on a supplier’s complaint in a timely manner, in writing, with an explanation of the basis</w:t>
      </w:r>
    </w:p>
    <w:p>
      <w:pPr>
        <w:pStyle w:val="Normal"/>
      </w:pPr>
      <w:r>
        <w:t>for the decision. 6. Each Party shall adopt or maintain procedures that provide for: (a) prompt interim measures, pending the resolution of a complaint, to preserve the supplier’s opportunity to participate in the procurement and to ensure that the procuring entities of the Party comply with its measures implementing this Chapter; and (b) corrective action that may include compensation under paragraph 4. The procedures may provide that overriding adverse consequences for the interests concerned, including the public interest, may be taken into account when deciding whether those measures should be applied. Just cause for not acting shall be provided in writing.</w:t>
      </w:r>
    </w:p>
    <w:p>
      <w:pPr>
        <w:pStyle w:val="Heading2"/>
      </w:pPr>
      <w:bookmarkStart w:id="900404" w:name="_Toc300000403"/>
      <w:r>
        <w:t xml:space="preserve">Article 13.19: Modifications and Rectifications of Annex</w:t>
      </w:r>
      <w:bookmarkEnd w:id="900404"/>
    </w:p>
    <w:p>
      <w:pPr>
        <w:pStyle w:val="Normal"/>
      </w:pPr>
      <w:r>
        <w:t xml:space="preserve">1. A Party shall notify any proposed modification or rectification (modification) to its Schedule to Annex 13-A by circulating a notice in writing to the other Party through the Agreement Coordinator designated under Article 30.5 (Agreement Coordinator and Contact Points). A Party shall provide compensatory adjustments for a change in coverage if necessary to maintain a level of coverage comparable to the coverage that existed prior to the modification. The Party may include the offer of compensatory adjustment in its notice. 2. A Party is not required to provide compensatory adjustments to the other Party if the proposed modification concerns one of the following: (a) a procuring entity over which the Party has effectively eliminated its control or influence in respect of covered procurement by that procuring entity; or (b) rectifications of a purely formal nature and minor modifications to its Schedule to Annex 13-A, such as:</w:t>
      </w:r>
    </w:p>
    <w:p>
      <w:pPr>
        <w:pStyle w:val="Normal"/>
      </w:pPr>
      <w:r>
        <w:t>(i) changes in the name of a procuring entity, (ii) the merger of one or more procuring entities listed in its Schedule, (iii) the separation of a procuring entity listed in its Schedule into two or more procuring entities that are all added to the procuring entities listed in the same Section of the Annex, or (iv) changes in website references, and the other Party does not object under paragraph 3 on the basis that the proposed modification does not concern subparagraph (a) or (b). 3.</w:t>
      </w:r>
    </w:p>
    <w:p>
      <w:pPr>
        <w:pStyle w:val="Normal"/>
      </w:pPr>
      <w:r>
        <w:t>A Party whose rights under this Chapter may be affected by a proposed modification that is notified under paragraph 1 shall notify the other Party of any objection to the proposed modification within 45 days of the date of circulation of the notice. 4. If a Party objects to a proposed modification, including a modification regarding a procuring entity on the basis that government control or influence over the entity’s covered procurement has been effectively eliminated, that Party may request additional information, including information on the nature of any government control or influence, with a view to clarifying and reaching agreement on the proposed modification, including the procuring entity’s continued coverage under this Chapter. The modifying Party and the objecting Party shall make every attempt to resolve the objection through consultations. 5. The Commission shall modify Annex 13-A to reflect any agreed modification.</w:t>
      </w:r>
    </w:p>
    <w:p>
      <w:pPr>
        <w:pStyle w:val="Heading2"/>
      </w:pPr>
      <w:bookmarkStart w:id="900405" w:name="_Toc300000404"/>
      <w:r>
        <w:t xml:space="preserve">Article 13.20: Facilitation of Participation by SMEs</w:t>
      </w:r>
      <w:bookmarkEnd w:id="900405"/>
    </w:p>
    <w:p>
      <w:pPr>
        <w:pStyle w:val="Normal"/>
      </w:pPr>
      <w:r>
        <w:t xml:space="preserve">1. The Parties recognize the important contribution that SMEs can make to economic growth and employment and the importance of facilitating the participation of SMEs in government procurement. 2. If a Party maintains a measure that provides preferential treatment for SMEs, the Party shall ensure that the measure, including the criteria for eligibility, is transparent. 3. To facilitate participation by SMEs in covered procurement, each Party shall, to the extent possible and if appropriate: (a) provide comprehensive procurement-related information that includes a definition of SMEs in a single electronic portal; (b) endeavor to make all tender documentation available free of charge; (c) conduct procurement by electronic means or through other new information and communication technologies; and (d) consider the size, design, and structure of the procurement, including the use of subcontracting by SMEs.</w:t>
      </w:r>
    </w:p>
    <w:p>
      <w:pPr>
        <w:pStyle w:val="Heading2"/>
      </w:pPr>
      <w:bookmarkStart w:id="900406" w:name="_Toc300000405"/>
      <w:r>
        <w:t xml:space="preserve">Article 13.21: Committee on Government Procurement</w:t>
      </w:r>
      <w:bookmarkEnd w:id="900406"/>
    </w:p>
    <w:p>
      <w:pPr>
        <w:pStyle w:val="Normal"/>
      </w:pPr>
      <w:r>
        <w:t xml:space="preserve">1. The Parties hereby establish a Committee on Government Procurement (Government Procurement Committee), composed of government representatives of each Party. On request of a Party, the Government Procurement Committee shall meet to address matters related to the implementation and operation of this Chapter, such as: (a) facilitation of participation by SMEs in covered procurement, as provided for in Article 13.20 (Facilitation of Participation by SMEs); (b) experiences and best practices in the use and adoption of information technology in conducting covered procurement. This could include topics such as the use of digital modeling in construction services; and (c) experiences and best practices in the use and adoption of measures to promote opportunities for socially or economically disadvantaged people when conducting covered procurement.</w:t>
      </w:r>
    </w:p>
    <w:p>
      <w:pPr>
        <w:pStyle w:val="Heading2"/>
      </w:pPr>
      <w:bookmarkStart w:id="900407" w:name="_Toc300000406"/>
      <w:r>
        <w:t xml:space="preserve">ANNEX 13-A SCHEDULE OF MEXICO</w:t>
      </w:r>
      <w:bookmarkEnd w:id="900407"/>
    </w:p>
    <w:p>
      <w:pPr>
        <w:pStyle w:val="Normal"/>
      </w:pPr>
      <w:r>
        <w:t xml:space="preserve">Section A: Central Government Entities Thresholds: Unless otherwise specified, Chapter 13 (Government Procurement) covers procurement by entities listed in this Section, in accordance with the following thresholds: US$80,317 Goods and Services US$10,441,216 Construction Services The thresholds set out in this paragraph shall be adjusted in accordance with Section G (Threshold Adjustment Formula) of this Schedule. List of Entities: 1. Secretaría de Agricultura, Ganadería, Desarrollo Rural, Pesca y Alimentación (Ministry of Agriculture, Livestock, Rural Development, Fisheries and Feeding) and the following entities: (a) Agencia de Servicios a la Comercialización y Desarrollo de Mercados Agropecuarios (Support Services for Agricultural Marketing); (b) Comisión Nacional de Acuacultura y Pesca (National Commission of Aquaculture and Fisheries); (c) Instituto Nacional de Investigaciones Forestales, Agrícolas y Pecuarias (National Forestry, Agriculture and Cattle Research Institute); (d) Instituto Nacional de Pesca (National Institute of Fisheries); (e) Servicio de Información Agroalimentaria y Pesquera (Information Service and Agro-alimentary and Fisheries Statistics); (f) Servicio Nacional de Inspección y Certificación de Semillas (National Service of Inspection and Certification of Seeds); and (g) Servicio Nacional de Sanidad, Inocuidad y Calidad Agroalimentaria (National Service of Health, Innocuous and Agro-alimentary Quality) 13-A-1 2.</w:t>
      </w:r>
    </w:p>
    <w:p>
      <w:pPr>
        <w:pStyle w:val="Normal"/>
      </w:pPr>
      <w:r>
        <w:t>Secretaría de Comunicaciones y Transportes (Ministry of Communication and Transportation) and the following entity: (a) Instituto Mexicano del Transporte (Mexican Institute of Transportation) 3. Secretaría de la Defensa Nacional (Ministry of National Defense) 4. Secretaría de Desarrollo Agrario, Territorial y Urbano (Ministry of Agrarian Territorial and Urban Development) and the following entities: (a) Comisión Nacional de Vivienda (National Housing Commission); (b) Procuraduría Agraria (Agrarian Office of the Attorney); and (c) Registro Agrario Nacional (National Agrarian Registry) 5. Secretaría de Desarrollo Social (Ministry of Social Development) and the following entity: (a) Coordinación Nacional de PROSPERA (National Coordination PROSPERA) 6. Secretaría de Economía (Ministry of Economy) and the following entities: (a) Comisión Nacional de Mejora Regulatoria (National Commission of Regulatory Improvement); and (b) Instituto Nacional del Emprendedor (National Entreprenuer Institute) 7.</w:t>
      </w:r>
    </w:p>
    <w:p>
      <w:pPr>
        <w:pStyle w:val="Normal"/>
      </w:pPr>
      <w:r>
        <w:t>Secretaría de Educación Pública (Ministry of Public Education) and the following entities: (a) Comisión Nacional de Cultura Física y Deporte (National Physical Culture and Sports Commission); (b) Consejo Nacional para la Cultura y las Artes (National Council for Culture and Arts); (c) Instituto Nacional de Antropología e Historia (National Institute of Anthropology and History); (d) Instituto Nacional de Bellas Artes y Literatura (National Institute of Fine Arts and Literature); (e) Instituto Nacional del Derecho de Autor (National Institute for Copyrights); (f) Instituto Nacional de Estudios Históricos de las Revoluciones de México 13-A-2 (National Institute of Historical Studies of Mexican Revolutions); and (g) Radio Educación (Radio Education) 8. Secretaría de Energía (Ministry of Energy) and the following entities: (a) Comisión Nacional de Seguridad Nuclear y Salvaguardias (National Commission on Nuclear Safety and Safeguards); (b) Comisión Nacional para el Uso Eficiente de la Energía (National Commission for Energy Conservation); and (c) Comisión Reguladora de Energía (Regulatory Commission of Energy) 9. Secretaría de la Función Pública (Ministry of Public Administration) 10.</w:t>
      </w:r>
    </w:p>
    <w:p>
      <w:pPr>
        <w:pStyle w:val="Normal"/>
      </w:pPr>
      <w:r>
        <w:t>Secretaría de Gobernación (Ministry of Government) and the following entities: (a) Archivo General de la Nación (General Archives of the Nation); (b) Centro Nacional de Prevención de Desastres (National Disaster Prevention Center); (c) Centro de Producción de Programas Informativos y Especiales (Production Center for Informative Programs and Specials); (d) Coordinación General de la Comisión Mexicana de Ayuda a Refugiados (General Coordination of the Mexican Commission on Refugee Assistance); (e) Instituto Nacional de Migración (National Institute of Migration); (f) Instituto Nacional para el Federalismo y el Desarrollo Municipal (National Institute for Federalism and Municipal Development); (g) Policía Federal (Federal Police); (h) Prevención y Readaptación Social (Prevention and Social Readaptation); (i) Secretariado Ejecutivo del Sistema Nacional de Seguridad Pública (Executive Secretariat of the Public Security National System); (j) Secretaría General del Consejo Nacional de Población (General Secretary of the National Population Council); and (k) Secretaría Técnica de la Comisión Calificadora de Publicaciones y Revistas Ilustradas (Technical Secretary of Illustrated Periodicals and Publications Examining Commission) 13-A-3 11.</w:t>
      </w:r>
    </w:p>
    <w:p>
      <w:pPr>
        <w:pStyle w:val="Normal"/>
      </w:pPr>
      <w:r>
        <w:t>Secretaría de Hacienda y Crédito Público (Ministry of Finance and Public Credit) and the following entities: (a) Comisión Nacional Bancaria y de Valores (National Banking and Securities Commission); (b) Comisión Nacional de Seguros y Fianzas (National Commission of Insurance and Guarantees); (c) Comisión Nacional del Sistema de Ahorro para el Retiro (National Commission of the Saving System for Retirement); (d) Servicio de Administración y Enajenación Bienes (Assets Management and Disposition Agency); and (e) Servicio de Administración Tributaria (Tax Administration Service) 12. Secretaría de Marina (Ministry of Navy) 13. Secretaría de Medio Ambiente y Recursos Naturales (Ministry of Environment and Natural Resources) and the following entities: (a) Instituto Mexicano de Tecnología del Agua (Mexican Water Technology Institute); and (b) Instituto Nacional de Ecología y Cambio Climático (National Institute of Ecology and Climate Change) 14. Secretaría de Relaciones Exteriores (Ministry of Foreign Relations) 15.</w:t>
      </w:r>
    </w:p>
    <w:p>
      <w:pPr>
        <w:pStyle w:val="Normal"/>
      </w:pPr>
      <w:r>
        <w:t>Secretaría de Salud (Ministry of Health) and the following entities: (a) Administración del Patrimonio de la Beneficencia Pública (Public Charity Fund Administration); (b) Centro Nacional de Equidad de Género y Salud Reproductiva (National Centre of Reproductive Health and Gender Equity); (c) Centro Nacional de Trasplantes (National Transplants Center); (d) Centro Nacional de la Transfusión Sanguínea (National Blood Transfusion Center); (e) Centro Nacional para la Prevención y Control del VIH/SIDA (National Center for the Prevention and Control of HIV/AIDS); 13-A-4 (f) Centro Nacional para la Salud de la Infancia y la Adolescencia (National Center for Health of Childhood and Adolescence); (g) Comisión Federal para la Protección contra Riesgos Sanitarios (Federal Commission for Protection against Health Risks); (h) Comisión Nacional de Arbitraje Médico (National Commission of Medical Arbitration); (i) Instituto Nacional de Rehabilitación (National Rehabilitation Institute); (j) Laboratorios de Biológicos y Reactivos de México, S.A. de C.V. (Laboratories of Biologicals and Reagents of Mexico); and (k) Servicios de Atención Psiquiátrica (Psychiatric Attention Services) 16. Secretaría del Trabajo y Previsión Social (Ministry of Labor and Social Welfare) and the following entity: (a) Procuraduría Federal de la Defensa del Trabajo (Office of the Federal Attorney for Labor Defense) 17.</w:t>
      </w:r>
    </w:p>
    <w:p>
      <w:pPr>
        <w:pStyle w:val="Normal"/>
      </w:pPr>
      <w:r>
        <w:t>Secretaría de Turismo (Ministry of Tourism) and the following entity: (a) Instituto de Competitividad Turística (Institute for Tourist Competitiveness) 18. Procuraduría General de la República (Office of the Attorney General of the Republic) 19. Centro de Ingeniería y Desarrollo Industrial (Engineering and Industrial Development Center) 20. Comisión Nacional de Libros de Texto Gratuitos (National Commission of Free Textbooks) 21. Comisión Nacional de las Zonas Áridas (National Commission on Arid Zones) 22. Consejo Nacional de Fomento Educativo (National Educational Development Council) 23. Instituto Federal de Telecomunicaciones (Federal Telecomunications Institute) Note to Section A English translation of entities listed in this Section is only provided for the purposes of reference; it is not an official translation. 13-A-5 Section B: Other Entities Thresholds: Unless otherwise specified, Chapter 13 (Government Procurement) covers procurement by the entities listed in this Section, in accordance with the following thresholds: US$401,584 Goods and Services US$12,851,327 Construction Services The thresholds set out in this paragraph shall be adjusted in accordance with Section G (Threshold Adjustment Formula) of this Schedule. List of Other Entities: 1.</w:t>
      </w:r>
    </w:p>
    <w:p>
      <w:pPr>
        <w:pStyle w:val="Normal"/>
      </w:pPr>
      <w:r>
        <w:t>Aeropuerto Internacional de la Ciudad de México, S.A. de C.V. (International Airport of Mexico City) 2. Aeropuertos y Servicios Auxiliares (ASA) (Airports and Auxiliary Services) 3.</w:t>
      </w:r>
    </w:p>
    <w:p>
      <w:pPr>
        <w:pStyle w:val="Normal"/>
      </w:pPr>
      <w:r>
        <w:t>Caminos y Puentes Federales de Ingresos y Servicios Conexos (CAPUFE) (Federal Toll Roads and Bridges and Related Services) 4. Centro de Integración Juvenil, A.C. (Youth Integration Centers) 5. Comisión Federal de Electricidad (CFE) (Federal Electricity Commission) and the following entities: (a) Comisión Federal de Electricidad (Coorporativo) (Federal Electricity Commission –Corporate–); (b) Empresa Productiva Subsidiaria CFE Distribución (Subsidiary Productive Company CFE Distribution); (c) Empresa Productiva Subsidiaria CFE Transmisión (Subsidiary Productive Company CFE Transmission); (d) Empresa Productiva Subsidiaria CFE Generación I (Subsidiary Productive Company CFE Generation I); (e) Empresa Productiva Subsidiaria CFE Generación II (Subsidiary Productive Company CFE Generation II); 13-A-6 (f) Empresa Productiva Subsidiaria CFE Generación III (Subsidiary Productive Company CFE Generation III); (g) Empresa Productiva Subsidiaria CFE Generación IV (Subsidiary Productive Company CFE Generation IV); (h) Empresa Productiva Subsidiaria CFE Generación V (Subsidiary Productive Company CFE Generation V); (i) Empresa Productiva Subsidiaria CFE Generación VI (Subsidiary Productive Company CFE Generation VI); and (j) Empresa Productiva Subsidiaria CFE Suministrador de Servicios Básicos (Subsidiary Productive Company CFE Basic Services Provider) 6. Comisión Nacional del Agua (National Water Commission) 7. Comisión Nacional Forestal (National Forestry Commission) 8.</w:t>
      </w:r>
    </w:p>
    <w:p>
      <w:pPr>
        <w:pStyle w:val="Normal"/>
      </w:pPr>
      <w:r>
        <w:t>Comisión Nacional para el Desarrollo de los Pueblos Indígenas (National Commission for the Development of Indigenous People) 9. Consejo Nacional de Ciencia y Tecnología (CONACYT) (National Science and Technology Council) 10. Consejo de Promoción Turística de México, S.A. de C.V. (México Tourism Board) 11. Distribuidora Impulsora Comercial de Conasupo S.A. de C.V. (Diconsa) (Commercial Distributor and Trade Promotion) 12. Ferrocarril del Istmo de Tehuantepec, S.A. de C.V. (Railroad of the Itsmo de Tehuatepec) 13. Grupo Aeroportuario de la Ciudad de México S.A. de C.V. (Airport Group of Mexico City) 14. Instituto Mexicano de Cinematografía (Mexican Institute of Cinematography) 15. Instituto Mexicano de la Juventud (Mexican Youth Institute) 16. Instituto Mexicano del Seguro Social (IMSS) (Mexican Social Security Institute) 17. Instituto Nacional de la Infraestructura Física Educativa (National Institute of Physical Educational Infrastructure) 13-A-7 18. Instituto Nacional de las Mujeres (Women National Institute) 19. Instituto Nacional de las Personas Adultas Mayores (National Institute for the Elderly) 20. Instituto Nacional del Suelo Sustentable (National Institute of Sustainable Land) 21. Instituto Mexicano de la Propiedad Industrial (Mexican Institute of Industrial Property 22. Instituto de Seguridad Social para las Fuerzas Armadas Mexicanas (Social Security for the Mexican Armed Forces Institute) 23.</w:t>
      </w:r>
    </w:p>
    <w:p>
      <w:pPr>
        <w:pStyle w:val="Normal"/>
      </w:pPr>
      <w:r>
        <w:t>Instituto Nacional para la Educación de los Adultos (National Institute for Adult Education) 24. Leche Industrializada Conasupo S.A. de C.V. (Liconsa) (Conasupo Industrialized Milk) 25. Lotería Nacional para la Asistencia Pública (National Lottery for Public Assistance) 26. NOTIMEX S.A. de C.V. 27. Petróleos Mexicanos (PEMEX) (Mexican Petroleum) and the following entities: (a) PEMEX Corporativo (PEMEX Corporate); (b) PEMEX Exploración y Producción (PEMEX Exploration and Production); (c) PEMEX Perforación y Servicios (PEMEX Drilling and Services); (d) PEMEX Transformación Industrial (PEMEX Industrial Transformation); (e) PEMEX Logística (PEMEX Logistics); (f) PEMEX Cogeneración y Servicios (PEMEX Co-Generation and Services); (g) PEMEX Etileno (PEMEX Ethylene); and (h) PEMEX Fertilizantes (PEMEX Fertilizers) 28. Procuraduría Federal del Consumidor (Federal Office of The Attorney for Consumers) 29. Pronósticos para la Asistencia Pública (Forecasting for Public Assistance) 13-A-8 30. Servicio Aeroportuario de la Ciudad de México, S.A. de C.V. (Airport Services of Mexico City) 31. Servicio Geológico Mexicano (Mexican Geological Service) 32. Servicio Postal Mexicano (Mexican Postal Services) 33. Sistema Nacional para el Desarrollo Integral de la Familia (DIF) (National System for Integral Family Development) 35. Talleres Gráficos de México (National Printers of Mexico) 36. Telecomunicaciones de México (TELECOM) (Telecommunications of México) Notes to Section B 1.</w:t>
      </w:r>
    </w:p>
    <w:p>
      <w:pPr>
        <w:pStyle w:val="Normal"/>
      </w:pPr>
      <w:r>
        <w:t>English translation of entities listed in this Section is only provided for the purposes of reference; it is not an official translation. 2. Chapter 13 (Government Procurement) shall not cover procurements by PEMEX and CFE of the following goods (numbers refer to the Federal Supply Classification (FSC) code): (i) Hoisery, Handwear, and Clothing Accessories, Men’s (8440); (ii) Hoisery, Handwear, and Clothing Accessories, Women’s (8445); (iii) Clothing Special Purpose (8415); (iv) Underwear and Nightwear, Men’s (8420); (v) Underwear and Nightwear, Women’s (8425); (vi) Footwear, Men’s (8430); and (vii) Machine Shop Sets, Kits, and Outfits (3470). 3. Chapter 13 (Government Procurement) shall not cover procurements by LICONSA of agricultural goods made in furtherance of agricultural support programs or human feeding programs. 4. Chapter 13 (Government Procurement) shall not cover procurements by PEMEX of fuel and gas. 5. Chapter 13 (Government Procurement) shall not cover procurements by DIF of agricultural goods made in furtherance of agricultural support programs or human feeding programs. Section C: Goods Unless otherwise specified, Chapter 13 (Government Procurement) covers all goods that are procured by the entities listed in Sections A (Central Government Entities) and B (Other Entities).</w:t>
      </w:r>
    </w:p>
    <w:p>
      <w:pPr>
        <w:pStyle w:val="Normal"/>
      </w:pPr>
      <w:r>
        <w:t>However, for procurement by the Secretaría de la Defensa Nacional (Ministry of National Defense) and the Secretaría de Marina (Ministry of Navy), only the following goods are included in the coverage of this Chapter: 13-A-9 (Note: numbers refer to the Federal Supply Classification (FSC) code) FSC Description Railway equipment Ground effect vehicles, motor vehicles, trailers and cycles (except buses in 2310; and military trucks and trailers in 2320 and 2330 and tracked combat, assault and tactical vehicles in 2350) Tractors Vehicular equipment components Tires and tubes Engine accessories Mechanical power transmission equipment Woodworking machinery and equipment Metal-working machinery Service and trade equipment Special industry machinery Agricultural machinery and equipment Construction, mining, excavating, and highway maintenance equipment Materials handling equipment Rope, cable, chain, and fittings Refrigeration, air conditioning, and air circulating equipment Firefighting, rescue, and safety equipment; and environmental protection equipment and materials Pumps and compressors Furnace, steam plant, and drying equipment; and nuclear reactors Plumbing, heating, and waste disposal equipment Water purification and sewage treatment equipment Pipe, tubing, hose, and fittings Valves Maintenance and repair shop equipment Measuring tools Hardware and abrasives Prefabricated structures and scaffolding Lumber, millwork, plywood, and veneer Construction and building materials</w:t>
      </w:r>
    </w:p>
    <w:p>
      <w:pPr>
        <w:pStyle w:val="Normal"/>
      </w:pPr>
      <w:r>
        <w:t>Electric wire, and power and distribution equipment Lighting fixtures and lamps Alarm, signal and security detection systems Medical, dental, and veterinary equipment and supplies Instruments and laboratory equipment Photographic equipment Chemicals and chemical products Training aids and devices Automatic data processing equipment (including firmware), software, supplies and support equipment Furniture 13-A-10 Household and commercial furnishings and appliances Food preparation and serving equipment Office machines, text processing systems and visible record equipment Office supplies and devices Books, maps, and other publications (except 7650: drawings and specifications) Musical instruments, phonographs, and home-type radios Recreational and athletic equipment Cleaning equipment and supplies Brushes, paints, sealers, and adhesives Containers, packaging, and packing supplies Toiletries Agricultural supplies Live animals Fuels, lubricants, oils, and waxes Nonmetallic fabricated materials Nonmetallic crude materials Ores, minerals, and their primary products (except 9620: minerals, natural and synthetic) Miscellaneous Section D: Services Chapter 13 (Government Procurement) does not cover the procurement of the following services identified in accordance with the Common Classification System, Appendix 13-D-1 (Common Classification System Services), that are procured by entities listed in Sections A (Central Government Entities) and B (Other Entities): A Research and</w:t>
      </w:r>
    </w:p>
    <w:p>
      <w:pPr>
        <w:pStyle w:val="Normal"/>
      </w:pPr>
      <w:r>
        <w:t>Development C All classes D Architecture and Engineering Services Restoration (only for preservation of historic sites and buildings) Information Processing and Related Telecommunications Services C130 ADP Telecommunications and Transmissions Services except for those services that are classified as enhanced or value added, defined as telecommunications D304 services using computerized processing systems, which: (a) act on the format, content, code, protocol or similar aspects of the information transmitted by the user, (b) provide the customer with additional, different or restructured information, or (c) involve user interaction with stored information. For purposes of this provision, the acquisition of ADP Telecommunications and Transmission Services do not include the ownership or furnishing of facilities for voice or data transmission services. ADP Services for Teleprocessing and Timeshare. D309 Information and Data Broadcasting Services or Data Distribution Services. D316 Telecommunications Network Management Services. D317 Automated News Services, Data Services, or Other Information Services Buying Data (the electronic equivalent of books, periodicals, newspapers, etc.) 13-A-11 D399 Other ADP Telecommunications Services (includes data storage on tape, CDs, etc.) F Natural Resources Services. F011 Pesticides/Insecticides Support Services G Health and Social Services.</w:t>
      </w:r>
    </w:p>
    <w:p>
      <w:pPr>
        <w:pStyle w:val="Normal"/>
      </w:pPr>
      <w:r>
        <w:t>All classes J Maintenance, Repair, Modification, Rebuilding and Installation of Goods / Equipment J010 Armament J011 War Nuclear Material J012 Fire Equipment and Control J013 Ammunition and Explosives J014 Guided Missiles J015 Aircrafts and Aircraft Structures Components J016 Aircrafts Components and Accessories J017 Takeoff, Landing, and Ground Handling Aircraft Equipment J018 Space Vehicles J019 Shipments, Small Structures, Barges and Floating Docks J020 Boats and Marine Equipment J022 Rail Equipment J023 Land Vehicles, Motored Vehicles, Trailers and Motorcycles J024 Tractors J025 Motor Vehicles Parts J998 Non-nuclear Ships Repair K Custodial Operations and Related Services (professional services only for K103 protection, personal security installations carried out by armed guards) Fueling and Other Petroleum Services –Excluding Storage K105 Guard services (professional services only for protection, personal security and surveillance installations carried out by armed guards) K109 Surveillance services (professional services only for protection, personal security and surveillance installations carried out by armed guards) K110 Solid Fuel Handling Services L Financial and Related Services All classes R Professional, Administrative and Management Support Services R003 Legal Services R004 Certifications and Accreditations for products and institutions other than Educational Institutions R012 Patent and Trade Mark Services R016 Personal Services Contracts R101 Expert Witness</w:t>
      </w:r>
    </w:p>
    <w:p>
      <w:pPr>
        <w:pStyle w:val="Normal"/>
      </w:pPr>
      <w:r>
        <w:t>(Only for legal services) R103 Courier and Messenger Services R105 Mail and Distribution Services (Post Office Services excluded) R106 Post Office Services R116 Court Reporting Services R200 Military Recruitment S Utilities 13-A-12 V All classes T Communications, Photographic, Mapping, Printing and Publication Services T000 Communications Studies T001 Market Research and Public Opinion Services (Formerly Telephone and Field Interviews services, including Focus testing, Syndicated and attitude surveys) Except for CPC 86503 Management Consulting Marketing Services. T002 Communication Services (including Exhibit Services) T003 Advertising Services T004 Public Relations Services (Including Writing Services, Even Planning and Management, Media Relations, Radio and TV Analysis, Press Services) T005 Arts/Graphics Services T008 Film Processing Services T009 Film/Video Production Services T010 Microfiche Services T013 General Photography Services - Still T014 Print/Binding Services T015 Reproduction Services T017 General Photography Services – Motion T018 Audio/Visual Services T099 Other Communication, Photography, Mapping, Printing and Publication Services U Educational and Training Services U003 Reserves Training (Military) U010 Certifications and Accreditations for Educational Institutions Transportation, Travel and Relocation Services All classes (except V503 Travel Agent Services) W Lease and Rental of equipment which require patent protection, copyright or other proprietary</w:t>
      </w:r>
    </w:p>
    <w:p>
      <w:pPr>
        <w:pStyle w:val="Normal"/>
      </w:pPr>
      <w:r>
        <w:t>rights. W058 Communication, Detection and Coherent Radiation Equipment Notes to Section D 1. Chapter 13 (Government Procurement) does not apply to the operation of government facilities under concessions. 2. All services related to goods acquired by the Secretaría de la Defensa Nacional (Ministry of National Defense) and the Secretaría de Marina (Ministry of Navy) that are not covered by this Chapter, are excluded. 3. All services that are not excluded from the coverage of Chapter 13 (Government Procurement) are subject to Chapter 15 (Cross-Border Trade in Services) and Annex I and Annex II of this Agreement. 4. The management and operating services contracts awarded to research and development centers operating with federal funds, or related to the implementation of research programs sponsored by the government are excluded from the disciplines of 13-A-13 Chapter 13 (Government Procurement). Section E: Construction Services Chapter 13 (Government Procurement) applies to all construction services procured by the entities listed in Sections A (Central Government Entities) and B (Other Entities), identified in Division 51 of the United Nations Provisional Central Product Classification (CPC Prov) which can be found at: https://unstats.un.org/unsd/cr/registry/regcs.asp?Cl=9&amp;Lg=1&amp;Co=51, unless otherwise specified in Chapter 13 (Government Procurement), including this Schedule.</w:t>
      </w:r>
    </w:p>
    <w:p>
      <w:pPr>
        <w:pStyle w:val="Normal"/>
      </w:pPr>
      <w:r>
        <w:t>Section F: General Notes The following General Notes apply to Chapter 13 (Government Procurement), including Sections A through E: 1. Chapter 13 (Government Procurement) does not apply to procurements made: (a) with a view to commercial resale by government owned retail stores; (b) pursuant to loans from regional or multilateral financial institutions to the extent that different procedures are imposed by such institutions (except for national content requirements); or (c) by one entity from another entity of Mexico. 2. Chapter 13 (Government Procurement) does not apply to the procurement of transportation services that are part of, or are incidental to a purchase contract. 3. Chapter 13 (Government Procurement) does not apply to build-operate-transfer contracts and public works concessions contracts. 4.</w:t>
      </w:r>
    </w:p>
    <w:p>
      <w:pPr>
        <w:pStyle w:val="Normal"/>
      </w:pPr>
      <w:r>
        <w:t>Notwithstanding any provision in Chapter 13 (Government Procurement), Mexico may set aside procurement contracts from the obligations of Chapter 13 (Government Procurement), subject to the following: (a) the total value of the contracts set aside may not exceed the Mexican peso equivalent of US$2,328,000,000 in each calendar year from the date of entry into force of this Agreement, which may be allocated by all entities, including PEMEX and CFE; (b) the total value of contracts under any single FSC class (or other classification system agreed by the Parties) that may be set aside under this paragraph in any year shall not exceed 10 per cent of the total value of contracts that may be set aside under this paragraph for that year; 13-A-14 (c) no entity subject to subparagraph (a) may set aside contracts in any calendar year of a value of more than 20 per cent of the total value of contracts that may be set aside for that year; and (d) the total value of the contracts set aside by PEMEX and CFE may not exceed the Mexican peso equivalent of US$466,000,000 in each calendar year. 5.</w:t>
      </w:r>
    </w:p>
    <w:p>
      <w:pPr>
        <w:pStyle w:val="Normal"/>
      </w:pPr>
      <w:r>
        <w:t>(a) Beginning in January of the next calendar year after the date of entry into force of this Agreement, the dollar values referred to in paragraph 4 shall be adjusted annually for cumulative inflation from January 2017, based on the implicit price deflator for the United States Gross Domestic Product (USGDP) or any successor index published by the Council of Economic Advisors in “Economic Indicators”. (b) The dollar values adjusted for cumulative inflation up to January of each calendar year following 2016 shall be equal to the original dollar values multiplied by the ratio of: (i) the implicit USGDP price deflator or any successor index published by the Council of Economic Advisors in “Economic Indicators”, current as of January of that year, to (ii) the implicit USGDP price deflator or any successor index published by the Council of Economic Advisors in “Economic Indicators”, current as of the date of entry into force of this Agreement, provided that the price deflators under subparagraphs (i) and (ii) have the same base year.</w:t>
      </w:r>
    </w:p>
    <w:p>
      <w:pPr>
        <w:pStyle w:val="Normal"/>
      </w:pPr>
      <w:r>
        <w:t>(c) The resulting adjusted dollar values shall be rounded to the nearest million dollars. 6. The national security exception provided for in Article 32.2 (Essential Security) shall cover procurements made in support of safeguarding nuclear materials or technology. 7.</w:t>
      </w:r>
    </w:p>
    <w:p>
      <w:pPr>
        <w:pStyle w:val="Normal"/>
      </w:pPr>
      <w:r>
        <w:t>(a) Notwithstanding any provision of Chapter 13 (Government Procurement), an entity may impose a local content requirement of no more than: (i) 40 per cent, for labor-intensive turnkey or major integrated projects, or (ii) 25 per cent, for capital-intensive turnkey or major integrated projects. (b) For the purposes of this paragraph, “turnkey or major integrated project” means, in general, a construction, supply, or installation project undertaken by a person pursuant to a right granted by an entity with respect to which: 13-A-15 (i) the prime contractor is vested with the authority to select the general contractors or subcontractors, (ii) neither the Government of Mexico nor its entities fund the project, (iii) the person bears the risks associated with non-performance, and (iv) the facility will be operated by an entity or through a procurement contract of that entity. 8.</w:t>
      </w:r>
    </w:p>
    <w:p>
      <w:pPr>
        <w:pStyle w:val="Normal"/>
      </w:pPr>
      <w:r>
        <w:t>In the event that Mexico exceeds in any given year the total value of contracts it may set aside for that year in accordance with paragraph 4 of this Section, Mexico shall consult with the other Party with a view to agreement on compensation in the form of additional procurement opportunities during the following year. The consultations shall be without prejudice to the rights of any Party under Chapter 31 (Dispute Settlement). Section G: Thresholds Adjustment Formula 1.</w:t>
      </w:r>
    </w:p>
    <w:p>
      <w:pPr>
        <w:pStyle w:val="Normal"/>
      </w:pPr>
      <w:r>
        <w:t>The thresholds in Sections A (Central Government Entities) and B (Other Entities) shall be calculated in accordance with the following: (a) the U.S. inflation rate shall be measured by the Producer Price Index for Finished Goods published by the U.S. Bureau of Labor Statistics; (b) adjustments shall be calculated using two-year periods, each period beginning November 1, and shall take effect on January 1 of the year immediately following the end of the two-year period; (c) the United States shall notify the other Party of the adjusted threshold values no later than November 16 of the year before the adjustment takes effect; and (d) the inflationary adjustment shall be estimated according to the following formula:  x (1 +) =  = threshold value at base period  = accumulated U.S. inflation rate for the ith two year-period  = new threshold value. 2. Mexico shall calculate and convert the value of the thresholds into Mexican pesos using the conversion rate of the Banco de México (Bank of Mexico).</w:t>
      </w:r>
    </w:p>
    <w:p>
      <w:pPr>
        <w:pStyle w:val="Normal"/>
      </w:pPr>
      <w:r>
        <w:t>The conversion rate shall be the existing value of the Mexican peso in terms of the U.S. dollar as of December 1 and June 1 of each year, or the first working day thereafter. The conversion rate as of 13-A-16 December 1 shall apply from January 1 to June 30 of the following year, and the conversion rate as of June 1 shall apply from July 1 to December 31 of that year. 3.</w:t>
      </w:r>
    </w:p>
    <w:p>
      <w:pPr>
        <w:pStyle w:val="Normal"/>
      </w:pPr>
      <w:r>
        <w:t>Information related to thresholds shall be published in www.compranet.gob.mx Section H: Procurement Information Information on government procurement shall be published in the following websites: www.dof.gob.mx www.compranet.gob.mx www.pemex.com www.cfe.mx 13-A-17 SCHEDULE OF THE UNITED STATES Section A: Central Government Entities Thresholds: 1. Chapter 13 (Government Procurement) applies to the entities of the central level of government listed in this Section where the value of the procurement is estimated, in accordance with Article 13.2.9 (Scope) and Article 13.2.10 (Scope), to equal or exceed: (a) for procurement of goods and services: US$80,317; and (b) for procurement of construction services: US$10,441,216. The thresholds set out in this paragraph shall be adjusted in accordance with Section G (Threshold Adjustment Formula) of this Schedule. 2. Unless otherwise specified herein, Chapter 13 (Government Procurement) applies to all agencies subordinate to the entities listed in this Section. List of Entities: 1. American Battle Monuments Commission 2. Broadcasting Board of Governors 3. Commission on Civil Rights 4. Commodity Futures Trading Commission 5. Consumer Product Safety Commission 6. Corporation for National and Community Service 7.</w:t>
      </w:r>
    </w:p>
    <w:p>
      <w:pPr>
        <w:pStyle w:val="Normal"/>
      </w:pPr>
      <w:r>
        <w:t>Department of Agriculture (Note 1) 8. Department of Commerce 9. Department of Defense (Note 2) 10. Department of Education 11. Department of Energy (Note 3) 13-A-18 12. Department of Health and Human Services 13.</w:t>
      </w:r>
    </w:p>
    <w:p>
      <w:pPr>
        <w:pStyle w:val="Normal"/>
      </w:pPr>
      <w:r>
        <w:t>Department of Homeland Security (Note 4) 14. Department of Housing and Urban Development 15. Department of the Interior, including the Bureau of Reclamation 16. Department of Justice 17. Department of Labor 18. Department of State 19. Department of Transportation 20. Department of the Treasury 21. Department of Veterans Affairs 22. Environmental Protection Agency 23. Equal Employment Opportunity Commission 24. Executive Office of the President 25. Export-Import Bank of the United States 26. Farm Credit Administration 27. Federal Communications Commission 28. Federal Deposit Insurance Corporation 29. Federal Housing Finance Agency 30. Federal Maritime Commission 31. Federal Mediation and Conciliation Service 32. Federal Trade Commission 33. General Services Administration (Note 5) 34. Merit Systems Protection Board 35. National Aeronautics and Space Administration 13-A-19 36. National Archives and Records Administration 37. National Credit Union Administration 38. National Labor Relations Board 39. National Mediation Board 40. National Science Foundation 41. National Transportation Safety Board 42. Nuclear Regulatory Commission 43. Office of Personnel Management 44. Overseas Private Investment Corporation 45. Peace Corps 46. Railroad Retirement Board 47. Rural Utilities Services (Note 6) 48. Securities and Exchange Commission 49. Selective Service System 50. Smithsonian Institution 51. United States Agency for International Development 52.</w:t>
      </w:r>
    </w:p>
    <w:p>
      <w:pPr>
        <w:pStyle w:val="Normal"/>
      </w:pPr>
      <w:r>
        <w:t>United States International Trade Commission Notes to Section A 1. Department of Agriculture: Chapter 13 (Government Procurement) does not cover procurement of any agricultural good made in furtherance of an agricultural support program or a human feeding program. 2. Department of Defense: (a) Chapter 13 (Government Procurement) does not cover procurement of any good described in any Federal Supply Code classification (for complete listing of U.S. Federal Supply Classification, see any of the following Federal Supply Code (FSC), which can be found in the Product Code Section of the Federal 13-A-20 Procurement Data System Product and Service Code Manual at https://www.acquisition.gov/Acquisition_Systems) listed below:</w:t>
      </w:r>
    </w:p>
    <w:p>
      <w:pPr>
        <w:pStyle w:val="Normal"/>
      </w:pPr>
      <w:r>
        <w:rPr>
          <w:b/>
        </w:rPr>
        <w:t>Federal Supply Classification exclusions: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FSC</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FSC 11</w:t>
            </w:r>
          </w:p>
        </w:tc>
        <w:tc>
          <w:tcPr>
            <w:tcW w:type="dxa" w:w="4680"/>
            <w:tcMar>
              <w:top w:w="70" w:type="dxa"/>
              <w:start w:w="110" w:type="dxa"/>
              <w:bottom w:w="70" w:type="dxa"/>
              <w:end w:w="110" w:type="dxa"/>
            </w:tcMar>
          </w:tcPr>
          <w:p>
            <w:pPr>
              <w:pStyle w:val="TableText"/>
            </w:pPr>
            <w:r>
              <w:rPr/>
              <w:t>Nuclear Ordnance</w:t>
            </w:r>
          </w:p>
        </w:tc>
      </w:tr>
      <w:tr>
        <w:trPr>
          <w:cantSplit/>
        </w:trPr>
        <w:tc>
          <w:tcPr>
            <w:tcW w:type="dxa" w:w="4680"/>
            <w:shd w:fill="F5F7F8" w:val="clear" w:color="auto"/>
            <w:tcMar>
              <w:top w:w="70" w:type="dxa"/>
              <w:start w:w="110" w:type="dxa"/>
              <w:bottom w:w="70" w:type="dxa"/>
              <w:end w:w="110" w:type="dxa"/>
            </w:tcMar>
          </w:tcPr>
          <w:p>
            <w:pPr>
              <w:pStyle w:val="TableText"/>
            </w:pPr>
            <w:r>
              <w:rPr/>
              <w:t>FSC 1555</w:t>
            </w:r>
          </w:p>
        </w:tc>
        <w:tc>
          <w:tcPr>
            <w:tcW w:type="dxa" w:w="4680"/>
            <w:shd w:fill="F5F7F8" w:val="clear" w:color="auto"/>
            <w:tcMar>
              <w:top w:w="70" w:type="dxa"/>
              <w:start w:w="110" w:type="dxa"/>
              <w:bottom w:w="70" w:type="dxa"/>
              <w:end w:w="110" w:type="dxa"/>
            </w:tcMar>
          </w:tcPr>
          <w:p>
            <w:pPr>
              <w:pStyle w:val="TableText"/>
            </w:pPr>
            <w:r>
              <w:rPr/>
              <w:t>Space Vehicles</w:t>
            </w:r>
          </w:p>
        </w:tc>
      </w:tr>
      <w:tr>
        <w:trPr>
          <w:cantSplit/>
        </w:trPr>
        <w:tc>
          <w:tcPr>
            <w:tcW w:type="dxa" w:w="4680"/>
            <w:tcMar>
              <w:top w:w="70" w:type="dxa"/>
              <w:start w:w="110" w:type="dxa"/>
              <w:bottom w:w="70" w:type="dxa"/>
              <w:end w:w="110" w:type="dxa"/>
            </w:tcMar>
          </w:tcPr>
          <w:p>
            <w:pPr>
              <w:pStyle w:val="TableText"/>
            </w:pPr>
            <w:r>
              <w:rPr/>
              <w:t>FSC 1675</w:t>
            </w:r>
          </w:p>
        </w:tc>
        <w:tc>
          <w:tcPr>
            <w:tcW w:type="dxa" w:w="4680"/>
            <w:tcMar>
              <w:top w:w="70" w:type="dxa"/>
              <w:start w:w="110" w:type="dxa"/>
              <w:bottom w:w="70" w:type="dxa"/>
              <w:end w:w="110" w:type="dxa"/>
            </w:tcMar>
          </w:tcPr>
          <w:p>
            <w:pPr>
              <w:pStyle w:val="TableText"/>
            </w:pPr>
            <w:r>
              <w:rPr/>
              <w:t>Space Vehicle Component</w:t>
            </w:r>
          </w:p>
        </w:tc>
      </w:tr>
      <w:tr>
        <w:trPr>
          <w:cantSplit/>
        </w:trPr>
        <w:tc>
          <w:tcPr>
            <w:tcW w:type="dxa" w:w="4680"/>
            <w:shd w:fill="F5F7F8" w:val="clear" w:color="auto"/>
            <w:tcMar>
              <w:top w:w="70" w:type="dxa"/>
              <w:start w:w="110" w:type="dxa"/>
              <w:bottom w:w="70" w:type="dxa"/>
              <w:end w:w="110" w:type="dxa"/>
            </w:tcMar>
          </w:tcPr>
          <w:p>
            <w:pPr>
              <w:pStyle w:val="TableText"/>
            </w:pPr>
            <w:r>
              <w:rPr/>
              <w:t>FSC 1677</w:t>
            </w:r>
          </w:p>
        </w:tc>
        <w:tc>
          <w:tcPr>
            <w:tcW w:type="dxa" w:w="4680"/>
            <w:shd w:fill="F5F7F8" w:val="clear" w:color="auto"/>
            <w:tcMar>
              <w:top w:w="70" w:type="dxa"/>
              <w:start w:w="110" w:type="dxa"/>
              <w:bottom w:w="70" w:type="dxa"/>
              <w:end w:w="110" w:type="dxa"/>
            </w:tcMar>
          </w:tcPr>
          <w:p>
            <w:pPr>
              <w:pStyle w:val="TableText"/>
            </w:pPr>
            <w:r>
              <w:rPr/>
              <w:t>Space Vehicle Remote Control System</w:t>
            </w:r>
          </w:p>
        </w:tc>
      </w:tr>
      <w:tr>
        <w:trPr>
          <w:cantSplit/>
        </w:trPr>
        <w:tc>
          <w:tcPr>
            <w:tcW w:type="dxa" w:w="4680"/>
            <w:tcMar>
              <w:top w:w="70" w:type="dxa"/>
              <w:start w:w="110" w:type="dxa"/>
              <w:bottom w:w="70" w:type="dxa"/>
              <w:end w:w="110" w:type="dxa"/>
            </w:tcMar>
          </w:tcPr>
          <w:p>
            <w:pPr>
              <w:pStyle w:val="TableText"/>
            </w:pPr>
            <w:r>
              <w:rPr/>
              <w:t>FSC 1725</w:t>
            </w:r>
          </w:p>
        </w:tc>
        <w:tc>
          <w:tcPr>
            <w:tcW w:type="dxa" w:w="4680"/>
            <w:tcMar>
              <w:top w:w="70" w:type="dxa"/>
              <w:start w:w="110" w:type="dxa"/>
              <w:bottom w:w="70" w:type="dxa"/>
              <w:end w:w="110" w:type="dxa"/>
            </w:tcMar>
          </w:tcPr>
          <w:p>
            <w:pPr>
              <w:pStyle w:val="TableText"/>
            </w:pPr>
            <w:r>
              <w:rPr/>
              <w:t>Space Vehicle Launchers</w:t>
            </w:r>
          </w:p>
        </w:tc>
      </w:tr>
      <w:tr>
        <w:trPr>
          <w:cantSplit/>
        </w:trPr>
        <w:tc>
          <w:tcPr>
            <w:tcW w:type="dxa" w:w="4680"/>
            <w:shd w:fill="F5F7F8" w:val="clear" w:color="auto"/>
            <w:tcMar>
              <w:top w:w="70" w:type="dxa"/>
              <w:start w:w="110" w:type="dxa"/>
              <w:bottom w:w="70" w:type="dxa"/>
              <w:end w:w="110" w:type="dxa"/>
            </w:tcMar>
          </w:tcPr>
          <w:p>
            <w:pPr>
              <w:pStyle w:val="TableText"/>
            </w:pPr>
            <w:r>
              <w:rPr/>
              <w:t>FSC 1735</w:t>
            </w:r>
          </w:p>
        </w:tc>
        <w:tc>
          <w:tcPr>
            <w:tcW w:type="dxa" w:w="4680"/>
            <w:shd w:fill="F5F7F8" w:val="clear" w:color="auto"/>
            <w:tcMar>
              <w:top w:w="70" w:type="dxa"/>
              <w:start w:w="110" w:type="dxa"/>
              <w:bottom w:w="70" w:type="dxa"/>
              <w:end w:w="110" w:type="dxa"/>
            </w:tcMar>
          </w:tcPr>
          <w:p>
            <w:pPr>
              <w:pStyle w:val="TableText"/>
            </w:pPr>
            <w:r>
              <w:rPr/>
              <w:t>Space Vehicle Handling and Servicing Equipment</w:t>
            </w:r>
          </w:p>
        </w:tc>
      </w:tr>
      <w:tr>
        <w:trPr>
          <w:cantSplit/>
        </w:trPr>
        <w:tc>
          <w:tcPr>
            <w:tcW w:type="dxa" w:w="4680"/>
            <w:tcMar>
              <w:top w:w="70" w:type="dxa"/>
              <w:start w:w="110" w:type="dxa"/>
              <w:bottom w:w="70" w:type="dxa"/>
              <w:end w:w="110" w:type="dxa"/>
            </w:tcMar>
          </w:tcPr>
          <w:p>
            <w:pPr>
              <w:pStyle w:val="TableText"/>
            </w:pPr>
            <w:r>
              <w:rPr/>
              <w:t>FSC 19</w:t>
            </w:r>
          </w:p>
        </w:tc>
        <w:tc>
          <w:tcPr>
            <w:tcW w:type="dxa" w:w="4680"/>
            <w:tcMar>
              <w:top w:w="70" w:type="dxa"/>
              <w:start w:w="110" w:type="dxa"/>
              <w:bottom w:w="70" w:type="dxa"/>
              <w:end w:w="110" w:type="dxa"/>
            </w:tcMar>
          </w:tcPr>
          <w:p>
            <w:pPr>
              <w:pStyle w:val="TableText"/>
            </w:pPr>
            <w:r>
              <w:rPr/>
              <w:t>Ships, Small Craft, Pontoons, and Floating Docks (the part of this classification defined as naval vessels or major components of the hull or superstructure thereof)</w:t>
            </w:r>
          </w:p>
        </w:tc>
      </w:tr>
      <w:tr>
        <w:trPr>
          <w:cantSplit/>
        </w:trPr>
        <w:tc>
          <w:tcPr>
            <w:tcW w:type="dxa" w:w="4680"/>
            <w:shd w:fill="F5F7F8" w:val="clear" w:color="auto"/>
            <w:tcMar>
              <w:top w:w="70" w:type="dxa"/>
              <w:start w:w="110" w:type="dxa"/>
              <w:bottom w:w="70" w:type="dxa"/>
              <w:end w:w="110" w:type="dxa"/>
            </w:tcMar>
          </w:tcPr>
          <w:p>
            <w:pPr>
              <w:pStyle w:val="TableText"/>
            </w:pPr>
            <w:r>
              <w:rPr/>
              <w:t>FSC 20</w:t>
            </w:r>
          </w:p>
        </w:tc>
        <w:tc>
          <w:tcPr>
            <w:tcW w:type="dxa" w:w="4680"/>
            <w:shd w:fill="F5F7F8" w:val="clear" w:color="auto"/>
            <w:tcMar>
              <w:top w:w="70" w:type="dxa"/>
              <w:start w:w="110" w:type="dxa"/>
              <w:bottom w:w="70" w:type="dxa"/>
              <w:end w:w="110" w:type="dxa"/>
            </w:tcMar>
          </w:tcPr>
          <w:p>
            <w:pPr>
              <w:pStyle w:val="TableText"/>
            </w:pPr>
            <w:r>
              <w:rPr/>
              <w:t>Ship and Marine Equipment (the part of this classification defined as naval vessels or major components of the hull or superstructure thereof)</w:t>
            </w:r>
          </w:p>
        </w:tc>
      </w:tr>
      <w:tr>
        <w:trPr>
          <w:cantSplit/>
        </w:trPr>
        <w:tc>
          <w:tcPr>
            <w:tcW w:type="dxa" w:w="4680"/>
            <w:tcMar>
              <w:top w:w="70" w:type="dxa"/>
              <w:start w:w="110" w:type="dxa"/>
              <w:bottom w:w="70" w:type="dxa"/>
              <w:end w:w="110" w:type="dxa"/>
            </w:tcMar>
          </w:tcPr>
          <w:p>
            <w:pPr>
              <w:pStyle w:val="TableText"/>
            </w:pPr>
            <w:r>
              <w:rPr/>
              <w:t>FSC 2310</w:t>
            </w:r>
          </w:p>
        </w:tc>
        <w:tc>
          <w:tcPr>
            <w:tcW w:type="dxa" w:w="4680"/>
            <w:tcMar>
              <w:top w:w="70" w:type="dxa"/>
              <w:start w:w="110" w:type="dxa"/>
              <w:bottom w:w="70" w:type="dxa"/>
              <w:end w:w="110" w:type="dxa"/>
            </w:tcMar>
          </w:tcPr>
          <w:p>
            <w:pPr>
              <w:pStyle w:val="TableText"/>
            </w:pPr>
            <w:r>
              <w:rPr/>
              <w:t>Passenger Motor Vehicles (only buses)</w:t>
            </w:r>
          </w:p>
        </w:tc>
      </w:tr>
      <w:tr>
        <w:trPr>
          <w:cantSplit/>
        </w:trPr>
        <w:tc>
          <w:tcPr>
            <w:tcW w:type="dxa" w:w="4680"/>
            <w:shd w:fill="F5F7F8" w:val="clear" w:color="auto"/>
            <w:tcMar>
              <w:top w:w="70" w:type="dxa"/>
              <w:start w:w="110" w:type="dxa"/>
              <w:bottom w:w="70" w:type="dxa"/>
              <w:end w:w="110" w:type="dxa"/>
            </w:tcMar>
          </w:tcPr>
          <w:p>
            <w:pPr>
              <w:pStyle w:val="TableText"/>
            </w:pPr>
            <w:r>
              <w:rPr/>
              <w:t>FSC 2350</w:t>
            </w:r>
          </w:p>
        </w:tc>
        <w:tc>
          <w:tcPr>
            <w:tcW w:type="dxa" w:w="4680"/>
            <w:shd w:fill="F5F7F8" w:val="clear" w:color="auto"/>
            <w:tcMar>
              <w:top w:w="70" w:type="dxa"/>
              <w:start w:w="110" w:type="dxa"/>
              <w:bottom w:w="70" w:type="dxa"/>
              <w:end w:w="110" w:type="dxa"/>
            </w:tcMar>
          </w:tcPr>
          <w:p>
            <w:pPr>
              <w:pStyle w:val="TableText"/>
            </w:pPr>
            <w:r>
              <w:rPr/>
              <w:t>Combat, Assault &amp; Tactical Vehicles, Tracked</w:t>
            </w:r>
          </w:p>
        </w:tc>
      </w:tr>
      <w:tr>
        <w:trPr>
          <w:cantSplit/>
        </w:trPr>
        <w:tc>
          <w:tcPr>
            <w:tcW w:type="dxa" w:w="4680"/>
            <w:tcMar>
              <w:top w:w="70" w:type="dxa"/>
              <w:start w:w="110" w:type="dxa"/>
              <w:bottom w:w="70" w:type="dxa"/>
              <w:end w:w="110" w:type="dxa"/>
            </w:tcMar>
          </w:tcPr>
          <w:p>
            <w:pPr>
              <w:pStyle w:val="TableText"/>
            </w:pPr>
            <w:r>
              <w:rPr/>
              <w:t>FSC 51</w:t>
            </w:r>
          </w:p>
        </w:tc>
        <w:tc>
          <w:tcPr>
            <w:tcW w:type="dxa" w:w="4680"/>
            <w:tcMar>
              <w:top w:w="70" w:type="dxa"/>
              <w:start w:w="110" w:type="dxa"/>
              <w:bottom w:w="70" w:type="dxa"/>
              <w:end w:w="110" w:type="dxa"/>
            </w:tcMar>
          </w:tcPr>
          <w:p>
            <w:pPr>
              <w:pStyle w:val="TableText"/>
            </w:pPr>
            <w:r>
              <w:rPr/>
              <w:t>Hand Tools</w:t>
            </w:r>
          </w:p>
        </w:tc>
      </w:tr>
      <w:tr>
        <w:trPr>
          <w:cantSplit/>
        </w:trPr>
        <w:tc>
          <w:tcPr>
            <w:tcW w:type="dxa" w:w="4680"/>
            <w:shd w:fill="F5F7F8" w:val="clear" w:color="auto"/>
            <w:tcMar>
              <w:top w:w="70" w:type="dxa"/>
              <w:start w:w="110" w:type="dxa"/>
              <w:bottom w:w="70" w:type="dxa"/>
              <w:end w:w="110" w:type="dxa"/>
            </w:tcMar>
          </w:tcPr>
          <w:p>
            <w:pPr>
              <w:pStyle w:val="TableText"/>
            </w:pPr>
            <w:r>
              <w:rPr/>
              <w:t>FSC 52</w:t>
            </w:r>
          </w:p>
        </w:tc>
        <w:tc>
          <w:tcPr>
            <w:tcW w:type="dxa" w:w="4680"/>
            <w:shd w:fill="F5F7F8" w:val="clear" w:color="auto"/>
            <w:tcMar>
              <w:top w:w="70" w:type="dxa"/>
              <w:start w:w="110" w:type="dxa"/>
              <w:bottom w:w="70" w:type="dxa"/>
              <w:end w:w="110" w:type="dxa"/>
            </w:tcMar>
          </w:tcPr>
          <w:p>
            <w:pPr>
              <w:pStyle w:val="TableText"/>
            </w:pPr>
            <w:r>
              <w:rPr/>
              <w:t>Measuring Tools</w:t>
            </w:r>
          </w:p>
        </w:tc>
      </w:tr>
      <w:tr>
        <w:trPr>
          <w:cantSplit/>
        </w:trPr>
        <w:tc>
          <w:tcPr>
            <w:tcW w:type="dxa" w:w="4680"/>
            <w:tcMar>
              <w:top w:w="70" w:type="dxa"/>
              <w:start w:w="110" w:type="dxa"/>
              <w:bottom w:w="70" w:type="dxa"/>
              <w:end w:w="110" w:type="dxa"/>
            </w:tcMar>
          </w:tcPr>
          <w:p>
            <w:pPr>
              <w:pStyle w:val="TableText"/>
            </w:pPr>
            <w:r>
              <w:rPr/>
              <w:t>FSC 60</w:t>
            </w:r>
          </w:p>
        </w:tc>
        <w:tc>
          <w:tcPr>
            <w:tcW w:type="dxa" w:w="4680"/>
            <w:tcMar>
              <w:top w:w="70" w:type="dxa"/>
              <w:start w:w="110" w:type="dxa"/>
              <w:bottom w:w="70" w:type="dxa"/>
              <w:end w:w="110" w:type="dxa"/>
            </w:tcMar>
          </w:tcPr>
          <w:p>
            <w:pPr>
              <w:pStyle w:val="TableText"/>
            </w:pPr>
            <w:r>
              <w:rPr/>
              <w:t>Fiber Optics Materials, Components, Assemblies, and Accessories</w:t>
            </w:r>
          </w:p>
        </w:tc>
      </w:tr>
      <w:tr>
        <w:trPr>
          <w:cantSplit/>
        </w:trPr>
        <w:tc>
          <w:tcPr>
            <w:tcW w:type="dxa" w:w="4680"/>
            <w:shd w:fill="F5F7F8" w:val="clear" w:color="auto"/>
            <w:tcMar>
              <w:top w:w="70" w:type="dxa"/>
              <w:start w:w="110" w:type="dxa"/>
              <w:bottom w:w="70" w:type="dxa"/>
              <w:end w:w="110" w:type="dxa"/>
            </w:tcMar>
          </w:tcPr>
          <w:p>
            <w:pPr>
              <w:pStyle w:val="TableText"/>
            </w:pPr>
            <w:r>
              <w:rPr/>
              <w:t>FSC 8140</w:t>
            </w:r>
          </w:p>
        </w:tc>
        <w:tc>
          <w:tcPr>
            <w:tcW w:type="dxa" w:w="4680"/>
            <w:shd w:fill="F5F7F8" w:val="clear" w:color="auto"/>
            <w:tcMar>
              <w:top w:w="70" w:type="dxa"/>
              <w:start w:w="110" w:type="dxa"/>
              <w:bottom w:w="70" w:type="dxa"/>
              <w:end w:w="110" w:type="dxa"/>
            </w:tcMar>
          </w:tcPr>
          <w:p>
            <w:pPr>
              <w:pStyle w:val="TableText"/>
            </w:pPr>
            <w:r>
              <w:rPr/>
              <w:t>Ammunition &amp; Nuclear Ordnance Boxes, Packages &amp; Special Containers</w:t>
            </w:r>
          </w:p>
        </w:tc>
      </w:tr>
      <w:tr>
        <w:trPr>
          <w:cantSplit/>
        </w:trPr>
        <w:tc>
          <w:tcPr>
            <w:tcW w:type="dxa" w:w="4680"/>
            <w:tcMar>
              <w:top w:w="70" w:type="dxa"/>
              <w:start w:w="110" w:type="dxa"/>
              <w:bottom w:w="70" w:type="dxa"/>
              <w:end w:w="110" w:type="dxa"/>
            </w:tcMar>
          </w:tcPr>
          <w:p>
            <w:pPr>
              <w:pStyle w:val="TableText"/>
            </w:pPr>
            <w:r>
              <w:rPr/>
              <w:t>FSC 83</w:t>
            </w:r>
          </w:p>
        </w:tc>
        <w:tc>
          <w:tcPr>
            <w:tcW w:type="dxa" w:w="4680"/>
            <w:tcMar>
              <w:top w:w="70" w:type="dxa"/>
              <w:start w:w="110" w:type="dxa"/>
              <w:bottom w:w="70" w:type="dxa"/>
              <w:end w:w="110" w:type="dxa"/>
            </w:tcMar>
          </w:tcPr>
          <w:p>
            <w:pPr>
              <w:pStyle w:val="TableText"/>
            </w:pPr>
            <w:r>
              <w:rPr/>
              <w:t>Textiles, Leather, Furs, Apparel, Shoe Findings, Tents, and Flags (all elements other than pins, needles, sewing kits, flagstaffs, flagpoles, and flagstaff trucks)</w:t>
            </w:r>
          </w:p>
        </w:tc>
      </w:tr>
      <w:tr>
        <w:trPr>
          <w:cantSplit/>
        </w:trPr>
        <w:tc>
          <w:tcPr>
            <w:tcW w:type="dxa" w:w="4680"/>
            <w:shd w:fill="F5F7F8" w:val="clear" w:color="auto"/>
            <w:tcMar>
              <w:top w:w="70" w:type="dxa"/>
              <w:start w:w="110" w:type="dxa"/>
              <w:bottom w:w="70" w:type="dxa"/>
              <w:end w:w="110" w:type="dxa"/>
            </w:tcMar>
          </w:tcPr>
          <w:p>
            <w:pPr>
              <w:pStyle w:val="TableText"/>
            </w:pPr>
            <w:r>
              <w:rPr/>
              <w:t>FSC 84</w:t>
            </w:r>
          </w:p>
        </w:tc>
        <w:tc>
          <w:tcPr>
            <w:tcW w:type="dxa" w:w="4680"/>
            <w:shd w:fill="F5F7F8" w:val="clear" w:color="auto"/>
            <w:tcMar>
              <w:top w:w="70" w:type="dxa"/>
              <w:start w:w="110" w:type="dxa"/>
              <w:bottom w:w="70" w:type="dxa"/>
              <w:end w:w="110" w:type="dxa"/>
            </w:tcMar>
          </w:tcPr>
          <w:p>
            <w:pPr>
              <w:pStyle w:val="TableText"/>
            </w:pPr>
            <w:r>
              <w:rPr/>
              <w:t>Clothing, Individual Equipment, and Insignia and Jewelry (all elements other than sub-class 8457 – jewelry and 8460 – luggage)</w:t>
            </w:r>
          </w:p>
        </w:tc>
      </w:tr>
      <w:tr>
        <w:trPr>
          <w:cantSplit/>
        </w:trPr>
        <w:tc>
          <w:tcPr>
            <w:tcW w:type="dxa" w:w="4680"/>
            <w:tcMar>
              <w:top w:w="70" w:type="dxa"/>
              <w:start w:w="110" w:type="dxa"/>
              <w:bottom w:w="70" w:type="dxa"/>
              <w:end w:w="110" w:type="dxa"/>
            </w:tcMar>
          </w:tcPr>
          <w:p>
            <w:pPr>
              <w:pStyle w:val="TableText"/>
            </w:pPr>
            <w:r>
              <w:rPr/>
              <w:t>FSC 89</w:t>
            </w:r>
          </w:p>
        </w:tc>
        <w:tc>
          <w:tcPr>
            <w:tcW w:type="dxa" w:w="4680"/>
            <w:tcMar>
              <w:top w:w="70" w:type="dxa"/>
              <w:start w:w="110" w:type="dxa"/>
              <w:bottom w:w="70" w:type="dxa"/>
              <w:end w:w="110" w:type="dxa"/>
            </w:tcMar>
          </w:tcPr>
          <w:p>
            <w:pPr>
              <w:pStyle w:val="TableText"/>
            </w:pPr>
            <w:r>
              <w:rPr/>
              <w:t>Subsistence (all elements other than sub-class 8975- tobacco products)</w:t>
            </w:r>
          </w:p>
        </w:tc>
      </w:tr>
    </w:tbl>
    <w:p>
      <w:pPr>
        <w:pStyle w:val="Normal"/>
      </w:pPr>
      <w:r>
        <w:rPr>
          <w:b w:val="0"/>
        </w:rPr>
        <w:t>(b) Chapter 13 (Government Procurement) does not cover procurement of any specialty metal or any good containing one or more specialty metals. Specialty metal means: (i) steel for which the maximum alloy content exceeds one or more of the following levels: manganese, 1.65 per cent; silicon, 0.60 per cent; or copper, 0.60 per cent; (ii) steel that contains more than 0.25 per cent of any of the following elements: aluminum, chromium, cobalt, columbium, molybdenum, nickel, titanium, tungsten or vanadium; (iii) a metal alloy consisting of a nickel, iron-nickel or cobalt base alloy 13-A-21 that contains a total of other alloying metals (except iron) in excess of 10 per cent; (iv) titanium or a titanium alloy; or (v) zirconium or a zirconium base alloy.</w:t>
      </w:r>
    </w:p>
    <w:p>
      <w:pPr>
        <w:pStyle w:val="Normal"/>
      </w:pPr>
      <w:r>
        <w:rPr>
          <w:b w:val="0"/>
        </w:rPr>
        <w:t>(c) Chapter 13 (Government Procurement) generally shall not cover procurement of any good described in any of the following FSC classifications, due to the application of Article 32.2 (Essential Security):</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FSC</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FSC 10</w:t>
            </w:r>
          </w:p>
        </w:tc>
        <w:tc>
          <w:tcPr>
            <w:tcW w:type="dxa" w:w="4680"/>
            <w:tcMar>
              <w:top w:w="70" w:type="dxa"/>
              <w:start w:w="110" w:type="dxa"/>
              <w:bottom w:w="70" w:type="dxa"/>
              <w:end w:w="110" w:type="dxa"/>
            </w:tcMar>
          </w:tcPr>
          <w:p>
            <w:pPr>
              <w:pStyle w:val="TableText"/>
            </w:pPr>
            <w:r>
              <w:rPr/>
              <w:t>Weapons</w:t>
            </w:r>
          </w:p>
        </w:tc>
      </w:tr>
      <w:tr>
        <w:trPr>
          <w:cantSplit/>
        </w:trPr>
        <w:tc>
          <w:tcPr>
            <w:tcW w:type="dxa" w:w="4680"/>
            <w:shd w:fill="F5F7F8" w:val="clear" w:color="auto"/>
            <w:tcMar>
              <w:top w:w="70" w:type="dxa"/>
              <w:start w:w="110" w:type="dxa"/>
              <w:bottom w:w="70" w:type="dxa"/>
              <w:end w:w="110" w:type="dxa"/>
            </w:tcMar>
          </w:tcPr>
          <w:p>
            <w:pPr>
              <w:pStyle w:val="TableText"/>
            </w:pPr>
            <w:r>
              <w:rPr/>
              <w:t>FSC 12</w:t>
            </w:r>
          </w:p>
        </w:tc>
        <w:tc>
          <w:tcPr>
            <w:tcW w:type="dxa" w:w="4680"/>
            <w:shd w:fill="F5F7F8" w:val="clear" w:color="auto"/>
            <w:tcMar>
              <w:top w:w="70" w:type="dxa"/>
              <w:start w:w="110" w:type="dxa"/>
              <w:bottom w:w="70" w:type="dxa"/>
              <w:end w:w="110" w:type="dxa"/>
            </w:tcMar>
          </w:tcPr>
          <w:p>
            <w:pPr>
              <w:pStyle w:val="TableText"/>
            </w:pPr>
            <w:r>
              <w:rPr/>
              <w:t>Fire Control Equipment</w:t>
            </w:r>
          </w:p>
        </w:tc>
      </w:tr>
      <w:tr>
        <w:trPr>
          <w:cantSplit/>
        </w:trPr>
        <w:tc>
          <w:tcPr>
            <w:tcW w:type="dxa" w:w="4680"/>
            <w:tcMar>
              <w:top w:w="70" w:type="dxa"/>
              <w:start w:w="110" w:type="dxa"/>
              <w:bottom w:w="70" w:type="dxa"/>
              <w:end w:w="110" w:type="dxa"/>
            </w:tcMar>
          </w:tcPr>
          <w:p>
            <w:pPr>
              <w:pStyle w:val="TableText"/>
            </w:pPr>
            <w:r>
              <w:rPr/>
              <w:t>FSC 13</w:t>
            </w:r>
          </w:p>
        </w:tc>
        <w:tc>
          <w:tcPr>
            <w:tcW w:type="dxa" w:w="4680"/>
            <w:tcMar>
              <w:top w:w="70" w:type="dxa"/>
              <w:start w:w="110" w:type="dxa"/>
              <w:bottom w:w="70" w:type="dxa"/>
              <w:end w:w="110" w:type="dxa"/>
            </w:tcMar>
          </w:tcPr>
          <w:p>
            <w:pPr>
              <w:pStyle w:val="TableText"/>
            </w:pPr>
            <w:r>
              <w:rPr/>
              <w:t>Ammunitions and Explosives</w:t>
            </w:r>
          </w:p>
        </w:tc>
      </w:tr>
      <w:tr>
        <w:trPr>
          <w:cantSplit/>
        </w:trPr>
        <w:tc>
          <w:tcPr>
            <w:tcW w:type="dxa" w:w="4680"/>
            <w:shd w:fill="F5F7F8" w:val="clear" w:color="auto"/>
            <w:tcMar>
              <w:top w:w="70" w:type="dxa"/>
              <w:start w:w="110" w:type="dxa"/>
              <w:bottom w:w="70" w:type="dxa"/>
              <w:end w:w="110" w:type="dxa"/>
            </w:tcMar>
          </w:tcPr>
          <w:p>
            <w:pPr>
              <w:pStyle w:val="TableText"/>
            </w:pPr>
            <w:r>
              <w:rPr/>
              <w:t>FSC 14</w:t>
            </w:r>
          </w:p>
        </w:tc>
        <w:tc>
          <w:tcPr>
            <w:tcW w:type="dxa" w:w="4680"/>
            <w:shd w:fill="F5F7F8" w:val="clear" w:color="auto"/>
            <w:tcMar>
              <w:top w:w="70" w:type="dxa"/>
              <w:start w:w="110" w:type="dxa"/>
              <w:bottom w:w="70" w:type="dxa"/>
              <w:end w:w="110" w:type="dxa"/>
            </w:tcMar>
          </w:tcPr>
          <w:p>
            <w:pPr>
              <w:pStyle w:val="TableText"/>
            </w:pPr>
            <w:r>
              <w:rPr/>
              <w:t>Guided Missiles</w:t>
            </w:r>
          </w:p>
        </w:tc>
      </w:tr>
      <w:tr>
        <w:trPr>
          <w:cantSplit/>
        </w:trPr>
        <w:tc>
          <w:tcPr>
            <w:tcW w:type="dxa" w:w="4680"/>
            <w:tcMar>
              <w:top w:w="70" w:type="dxa"/>
              <w:start w:w="110" w:type="dxa"/>
              <w:bottom w:w="70" w:type="dxa"/>
              <w:end w:w="110" w:type="dxa"/>
            </w:tcMar>
          </w:tcPr>
          <w:p>
            <w:pPr>
              <w:pStyle w:val="TableText"/>
            </w:pPr>
            <w:r>
              <w:rPr/>
              <w:t>FSC 15</w:t>
            </w:r>
          </w:p>
        </w:tc>
        <w:tc>
          <w:tcPr>
            <w:tcW w:type="dxa" w:w="4680"/>
            <w:tcMar>
              <w:top w:w="70" w:type="dxa"/>
              <w:start w:w="110" w:type="dxa"/>
              <w:bottom w:w="70" w:type="dxa"/>
              <w:end w:w="110" w:type="dxa"/>
            </w:tcMar>
          </w:tcPr>
          <w:p>
            <w:pPr>
              <w:pStyle w:val="TableText"/>
            </w:pPr>
            <w:r>
              <w:rPr/>
              <w:t>Aerospace Craft and Structural Components</w:t>
            </w:r>
          </w:p>
        </w:tc>
      </w:tr>
      <w:tr>
        <w:trPr>
          <w:cantSplit/>
        </w:trPr>
        <w:tc>
          <w:tcPr>
            <w:tcW w:type="dxa" w:w="4680"/>
            <w:shd w:fill="F5F7F8" w:val="clear" w:color="auto"/>
            <w:tcMar>
              <w:top w:w="70" w:type="dxa"/>
              <w:start w:w="110" w:type="dxa"/>
              <w:bottom w:w="70" w:type="dxa"/>
              <w:end w:w="110" w:type="dxa"/>
            </w:tcMar>
          </w:tcPr>
          <w:p>
            <w:pPr>
              <w:pStyle w:val="TableText"/>
            </w:pPr>
            <w:r>
              <w:rPr/>
              <w:t>FSC 16</w:t>
            </w:r>
          </w:p>
        </w:tc>
        <w:tc>
          <w:tcPr>
            <w:tcW w:type="dxa" w:w="4680"/>
            <w:shd w:fill="F5F7F8" w:val="clear" w:color="auto"/>
            <w:tcMar>
              <w:top w:w="70" w:type="dxa"/>
              <w:start w:w="110" w:type="dxa"/>
              <w:bottom w:w="70" w:type="dxa"/>
              <w:end w:w="110" w:type="dxa"/>
            </w:tcMar>
          </w:tcPr>
          <w:p>
            <w:pPr>
              <w:pStyle w:val="TableText"/>
            </w:pPr>
            <w:r>
              <w:rPr/>
              <w:t>Aerospace Craft Components and Accessories</w:t>
            </w:r>
          </w:p>
        </w:tc>
      </w:tr>
      <w:tr>
        <w:trPr>
          <w:cantSplit/>
        </w:trPr>
        <w:tc>
          <w:tcPr>
            <w:tcW w:type="dxa" w:w="4680"/>
            <w:tcMar>
              <w:top w:w="70" w:type="dxa"/>
              <w:start w:w="110" w:type="dxa"/>
              <w:bottom w:w="70" w:type="dxa"/>
              <w:end w:w="110" w:type="dxa"/>
            </w:tcMar>
          </w:tcPr>
          <w:p>
            <w:pPr>
              <w:pStyle w:val="TableText"/>
            </w:pPr>
            <w:r>
              <w:rPr/>
              <w:t>FSC 17</w:t>
            </w:r>
          </w:p>
        </w:tc>
        <w:tc>
          <w:tcPr>
            <w:tcW w:type="dxa" w:w="4680"/>
            <w:tcMar>
              <w:top w:w="70" w:type="dxa"/>
              <w:start w:w="110" w:type="dxa"/>
              <w:bottom w:w="70" w:type="dxa"/>
              <w:end w:w="110" w:type="dxa"/>
            </w:tcMar>
          </w:tcPr>
          <w:p>
            <w:pPr>
              <w:pStyle w:val="TableText"/>
            </w:pPr>
            <w:r>
              <w:rPr/>
              <w:t>Aerospace Craft Launching, Landing and Ground Handling and Servicing Equipment</w:t>
            </w:r>
          </w:p>
        </w:tc>
      </w:tr>
      <w:tr>
        <w:trPr>
          <w:cantSplit/>
        </w:trPr>
        <w:tc>
          <w:tcPr>
            <w:tcW w:type="dxa" w:w="4680"/>
            <w:shd w:fill="F5F7F8" w:val="clear" w:color="auto"/>
            <w:tcMar>
              <w:top w:w="70" w:type="dxa"/>
              <w:start w:w="110" w:type="dxa"/>
              <w:bottom w:w="70" w:type="dxa"/>
              <w:end w:w="110" w:type="dxa"/>
            </w:tcMar>
          </w:tcPr>
          <w:p>
            <w:pPr>
              <w:pStyle w:val="TableText"/>
            </w:pPr>
            <w:r>
              <w:rPr/>
              <w:t>FSC 19</w:t>
            </w:r>
          </w:p>
        </w:tc>
        <w:tc>
          <w:tcPr>
            <w:tcW w:type="dxa" w:w="4680"/>
            <w:shd w:fill="F5F7F8" w:val="clear" w:color="auto"/>
            <w:tcMar>
              <w:top w:w="70" w:type="dxa"/>
              <w:start w:w="110" w:type="dxa"/>
              <w:bottom w:w="70" w:type="dxa"/>
              <w:end w:w="110" w:type="dxa"/>
            </w:tcMar>
          </w:tcPr>
          <w:p>
            <w:pPr>
              <w:pStyle w:val="TableText"/>
            </w:pPr>
            <w:r>
              <w:rPr/>
              <w:t>Ships, Small Craft, Pontoons and Floating Docks</w:t>
            </w:r>
          </w:p>
        </w:tc>
      </w:tr>
      <w:tr>
        <w:trPr>
          <w:cantSplit/>
        </w:trPr>
        <w:tc>
          <w:tcPr>
            <w:tcW w:type="dxa" w:w="4680"/>
            <w:tcMar>
              <w:top w:w="70" w:type="dxa"/>
              <w:start w:w="110" w:type="dxa"/>
              <w:bottom w:w="70" w:type="dxa"/>
              <w:end w:w="110" w:type="dxa"/>
            </w:tcMar>
          </w:tcPr>
          <w:p>
            <w:pPr>
              <w:pStyle w:val="TableText"/>
            </w:pPr>
            <w:r>
              <w:rPr/>
              <w:t>FSC 20</w:t>
            </w:r>
          </w:p>
        </w:tc>
        <w:tc>
          <w:tcPr>
            <w:tcW w:type="dxa" w:w="4680"/>
            <w:tcMar>
              <w:top w:w="70" w:type="dxa"/>
              <w:start w:w="110" w:type="dxa"/>
              <w:bottom w:w="70" w:type="dxa"/>
              <w:end w:w="110" w:type="dxa"/>
            </w:tcMar>
          </w:tcPr>
          <w:p>
            <w:pPr>
              <w:pStyle w:val="TableText"/>
            </w:pPr>
            <w:r>
              <w:rPr/>
              <w:t>Ship and Marine Equipment</w:t>
            </w:r>
          </w:p>
        </w:tc>
      </w:tr>
      <w:tr>
        <w:trPr>
          <w:cantSplit/>
        </w:trPr>
        <w:tc>
          <w:tcPr>
            <w:tcW w:type="dxa" w:w="4680"/>
            <w:shd w:fill="F5F7F8" w:val="clear" w:color="auto"/>
            <w:tcMar>
              <w:top w:w="70" w:type="dxa"/>
              <w:start w:w="110" w:type="dxa"/>
              <w:bottom w:w="70" w:type="dxa"/>
              <w:end w:w="110" w:type="dxa"/>
            </w:tcMar>
          </w:tcPr>
          <w:p>
            <w:pPr>
              <w:pStyle w:val="TableText"/>
            </w:pPr>
            <w:r>
              <w:rPr/>
              <w:t>FSC 28</w:t>
            </w:r>
          </w:p>
        </w:tc>
        <w:tc>
          <w:tcPr>
            <w:tcW w:type="dxa" w:w="4680"/>
            <w:shd w:fill="F5F7F8" w:val="clear" w:color="auto"/>
            <w:tcMar>
              <w:top w:w="70" w:type="dxa"/>
              <w:start w:w="110" w:type="dxa"/>
              <w:bottom w:w="70" w:type="dxa"/>
              <w:end w:w="110" w:type="dxa"/>
            </w:tcMar>
          </w:tcPr>
          <w:p>
            <w:pPr>
              <w:pStyle w:val="TableText"/>
            </w:pPr>
            <w:r>
              <w:rPr/>
              <w:t>Engines, Turbines and Components</w:t>
            </w:r>
          </w:p>
        </w:tc>
      </w:tr>
      <w:tr>
        <w:trPr>
          <w:cantSplit/>
        </w:trPr>
        <w:tc>
          <w:tcPr>
            <w:tcW w:type="dxa" w:w="4680"/>
            <w:tcMar>
              <w:top w:w="70" w:type="dxa"/>
              <w:start w:w="110" w:type="dxa"/>
              <w:bottom w:w="70" w:type="dxa"/>
              <w:end w:w="110" w:type="dxa"/>
            </w:tcMar>
          </w:tcPr>
          <w:p>
            <w:pPr>
              <w:pStyle w:val="TableText"/>
            </w:pPr>
            <w:r>
              <w:rPr/>
              <w:t>FSC 31</w:t>
            </w:r>
          </w:p>
        </w:tc>
        <w:tc>
          <w:tcPr>
            <w:tcW w:type="dxa" w:w="4680"/>
            <w:tcMar>
              <w:top w:w="70" w:type="dxa"/>
              <w:start w:w="110" w:type="dxa"/>
              <w:bottom w:w="70" w:type="dxa"/>
              <w:end w:w="110" w:type="dxa"/>
            </w:tcMar>
          </w:tcPr>
          <w:p>
            <w:pPr>
              <w:pStyle w:val="TableText"/>
            </w:pPr>
            <w:r>
              <w:rPr/>
              <w:t>Bearings</w:t>
            </w:r>
          </w:p>
        </w:tc>
      </w:tr>
      <w:tr>
        <w:trPr>
          <w:cantSplit/>
        </w:trPr>
        <w:tc>
          <w:tcPr>
            <w:tcW w:type="dxa" w:w="4680"/>
            <w:shd w:fill="F5F7F8" w:val="clear" w:color="auto"/>
            <w:tcMar>
              <w:top w:w="70" w:type="dxa"/>
              <w:start w:w="110" w:type="dxa"/>
              <w:bottom w:w="70" w:type="dxa"/>
              <w:end w:w="110" w:type="dxa"/>
            </w:tcMar>
          </w:tcPr>
          <w:p>
            <w:pPr>
              <w:pStyle w:val="TableText"/>
            </w:pPr>
            <w:r>
              <w:rPr/>
              <w:t>FSC 58</w:t>
            </w:r>
          </w:p>
        </w:tc>
        <w:tc>
          <w:tcPr>
            <w:tcW w:type="dxa" w:w="4680"/>
            <w:shd w:fill="F5F7F8" w:val="clear" w:color="auto"/>
            <w:tcMar>
              <w:top w:w="70" w:type="dxa"/>
              <w:start w:w="110" w:type="dxa"/>
              <w:bottom w:w="70" w:type="dxa"/>
              <w:end w:w="110" w:type="dxa"/>
            </w:tcMar>
          </w:tcPr>
          <w:p>
            <w:pPr>
              <w:pStyle w:val="TableText"/>
            </w:pPr>
            <w:r>
              <w:rPr/>
              <w:t>Communications, Detection, and Coherent Radiation Equipment</w:t>
            </w:r>
          </w:p>
        </w:tc>
      </w:tr>
      <w:tr>
        <w:trPr>
          <w:cantSplit/>
        </w:trPr>
        <w:tc>
          <w:tcPr>
            <w:tcW w:type="dxa" w:w="4680"/>
            <w:tcMar>
              <w:top w:w="70" w:type="dxa"/>
              <w:start w:w="110" w:type="dxa"/>
              <w:bottom w:w="70" w:type="dxa"/>
              <w:end w:w="110" w:type="dxa"/>
            </w:tcMar>
          </w:tcPr>
          <w:p>
            <w:pPr>
              <w:pStyle w:val="TableText"/>
            </w:pPr>
            <w:r>
              <w:rPr/>
              <w:t>FSC 59</w:t>
            </w:r>
          </w:p>
        </w:tc>
        <w:tc>
          <w:tcPr>
            <w:tcW w:type="dxa" w:w="4680"/>
            <w:tcMar>
              <w:top w:w="70" w:type="dxa"/>
              <w:start w:w="110" w:type="dxa"/>
              <w:bottom w:w="70" w:type="dxa"/>
              <w:end w:w="110" w:type="dxa"/>
            </w:tcMar>
          </w:tcPr>
          <w:p>
            <w:pPr>
              <w:pStyle w:val="TableText"/>
            </w:pPr>
            <w:r>
              <w:rPr/>
              <w:t>Electrical and Electronic Equipment Components</w:t>
            </w:r>
          </w:p>
        </w:tc>
      </w:tr>
      <w:tr>
        <w:trPr>
          <w:cantSplit/>
        </w:trPr>
        <w:tc>
          <w:tcPr>
            <w:tcW w:type="dxa" w:w="4680"/>
            <w:shd w:fill="F5F7F8" w:val="clear" w:color="auto"/>
            <w:tcMar>
              <w:top w:w="70" w:type="dxa"/>
              <w:start w:w="110" w:type="dxa"/>
              <w:bottom w:w="70" w:type="dxa"/>
              <w:end w:w="110" w:type="dxa"/>
            </w:tcMar>
          </w:tcPr>
          <w:p>
            <w:pPr>
              <w:pStyle w:val="TableText"/>
            </w:pPr>
            <w:r>
              <w:rPr/>
              <w:t>FSC 95</w:t>
            </w:r>
          </w:p>
        </w:tc>
        <w:tc>
          <w:tcPr>
            <w:tcW w:type="dxa" w:w="4680"/>
            <w:shd w:fill="F5F7F8" w:val="clear" w:color="auto"/>
            <w:tcMar>
              <w:top w:w="70" w:type="dxa"/>
              <w:start w:w="110" w:type="dxa"/>
              <w:bottom w:w="70" w:type="dxa"/>
              <w:end w:w="110" w:type="dxa"/>
            </w:tcMar>
          </w:tcPr>
          <w:p>
            <w:pPr>
              <w:pStyle w:val="TableText"/>
            </w:pPr>
            <w:r>
              <w:rPr/>
              <w:t>Metal Bars, Sheets, and Shapes</w:t>
            </w:r>
          </w:p>
        </w:tc>
      </w:tr>
    </w:tbl>
    <w:p>
      <w:pPr>
        <w:pStyle w:val="Normal"/>
      </w:pPr>
      <w:r>
        <w:rPr>
          <w:b w:val="0"/>
        </w:rPr>
        <w:t>3. Department of Energy: Due to the application of Article 32.2 (Essential Security), Chapter 13 (Government Procurement) does not cover procurement of: (a) any good or service that supports the safeguarding of nuclear materials or technology, where the Department of Energy conducts the procurement under the authority of the Atomic Energy Act; or (b) any oil purchase related to the Strategic Petroleum Reserve. 4.</w:t>
      </w:r>
    </w:p>
    <w:p>
      <w:pPr>
        <w:pStyle w:val="Normal"/>
      </w:pPr>
      <w:r>
        <w:rPr>
          <w:b w:val="0"/>
        </w:rPr>
        <w:t>Department of Homeland Security: (a) Chapter 13 (Government Procurement) does not cover procurement by the Transportation Security Administration of FSC 83 (Textiles, Leather, Furs, Apparel, Shoe Findings, Tents and Flags) and FSC 84 (Clothing, Individual Equipment, and Insignia and Jewelry). (b) The national security considerations applicable to the Department of Defense 13-A-22 apply equally to the U.S. Coast Guard. 5. General Services Administration: Chapter 13 (Government Procurement) does not cover procurement of any good in any of the following FSC classifications: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4680"/>
        <w:gridCol w:w="4680"/>
      </w:tblGrid>
      <w:tr>
        <w:trPr>
          <w:tblHeader w:val="true"/>
          <w:cantSplit/>
          <w:tblHeader w:val="true"/>
        </w:trPr>
        <w:tc>
          <w:tcPr>
            <w:tcW w:type="dxa" w:w="4680"/>
            <w:tcBorders>
              <w:bottom w:val="single" w:sz="6" w:space="0" w:color="546E7A"/>
            </w:tcBorders>
            <w:shd w:fill="E4E9EC" w:val="clear" w:color="auto"/>
          </w:tcPr>
          <w:p>
            <w:pPr>
              <w:pStyle w:val="TableText"/>
            </w:pPr>
            <w:r>
              <w:rPr>
                <w:b/>
                <w:color w:val="37474F"/>
              </w:rPr>
              <w:t>FSC</w:t>
            </w:r>
          </w:p>
        </w:tc>
        <w:tc>
          <w:tcPr>
            <w:tcW w:type="dxa" w:w="4680"/>
            <w:tcBorders>
              <w:bottom w:val="single" w:sz="6" w:space="0" w:color="546E7A"/>
            </w:tcBorders>
            <w:shd w:fill="E4E9EC" w:val="clear" w:color="auto"/>
          </w:tcPr>
          <w:p>
            <w:pPr>
              <w:pStyle w:val="TableText"/>
            </w:pPr>
            <w:r>
              <w:rPr>
                <w:b/>
                <w:color w:val="37474F"/>
              </w:rPr>
              <w:t>Description</w:t>
            </w:r>
          </w:p>
        </w:tc>
      </w:tr>
      <w:tr>
        <w:trPr>
          <w:cantSplit/>
        </w:trPr>
        <w:tc>
          <w:tcPr>
            <w:tcW w:type="dxa" w:w="4680"/>
            <w:tcMar>
              <w:top w:w="70" w:type="dxa"/>
              <w:start w:w="110" w:type="dxa"/>
              <w:bottom w:w="70" w:type="dxa"/>
              <w:end w:w="110" w:type="dxa"/>
            </w:tcMar>
          </w:tcPr>
          <w:p>
            <w:pPr>
              <w:pStyle w:val="TableText"/>
            </w:pPr>
            <w:r>
              <w:rPr/>
              <w:t>FSC 51</w:t>
            </w:r>
          </w:p>
        </w:tc>
        <w:tc>
          <w:tcPr>
            <w:tcW w:type="dxa" w:w="4680"/>
            <w:tcMar>
              <w:top w:w="70" w:type="dxa"/>
              <w:start w:w="110" w:type="dxa"/>
              <w:bottom w:w="70" w:type="dxa"/>
              <w:end w:w="110" w:type="dxa"/>
            </w:tcMar>
          </w:tcPr>
          <w:p>
            <w:pPr>
              <w:pStyle w:val="TableText"/>
            </w:pPr>
            <w:r>
              <w:rPr/>
              <w:t>Hand Tools</w:t>
            </w:r>
          </w:p>
        </w:tc>
      </w:tr>
      <w:tr>
        <w:trPr>
          <w:cantSplit/>
        </w:trPr>
        <w:tc>
          <w:tcPr>
            <w:tcW w:type="dxa" w:w="4680"/>
            <w:shd w:fill="F5F7F8" w:val="clear" w:color="auto"/>
            <w:tcMar>
              <w:top w:w="70" w:type="dxa"/>
              <w:start w:w="110" w:type="dxa"/>
              <w:bottom w:w="70" w:type="dxa"/>
              <w:end w:w="110" w:type="dxa"/>
            </w:tcMar>
          </w:tcPr>
          <w:p>
            <w:pPr>
              <w:pStyle w:val="TableText"/>
            </w:pPr>
            <w:r>
              <w:rPr/>
              <w:t>FSC 52</w:t>
            </w:r>
          </w:p>
        </w:tc>
        <w:tc>
          <w:tcPr>
            <w:tcW w:type="dxa" w:w="4680"/>
            <w:shd w:fill="F5F7F8" w:val="clear" w:color="auto"/>
            <w:tcMar>
              <w:top w:w="70" w:type="dxa"/>
              <w:start w:w="110" w:type="dxa"/>
              <w:bottom w:w="70" w:type="dxa"/>
              <w:end w:w="110" w:type="dxa"/>
            </w:tcMar>
          </w:tcPr>
          <w:p>
            <w:pPr>
              <w:pStyle w:val="TableText"/>
            </w:pPr>
            <w:r>
              <w:rPr/>
              <w:t>Measuring Tools</w:t>
            </w:r>
          </w:p>
        </w:tc>
      </w:tr>
      <w:tr>
        <w:trPr>
          <w:cantSplit/>
        </w:trPr>
        <w:tc>
          <w:tcPr>
            <w:tcW w:type="dxa" w:w="4680"/>
            <w:tcMar>
              <w:top w:w="70" w:type="dxa"/>
              <w:start w:w="110" w:type="dxa"/>
              <w:bottom w:w="70" w:type="dxa"/>
              <w:end w:w="110" w:type="dxa"/>
            </w:tcMar>
          </w:tcPr>
          <w:p>
            <w:pPr>
              <w:pStyle w:val="TableText"/>
            </w:pPr>
            <w:r>
              <w:rPr/>
              <w:t>FSC 7340</w:t>
            </w:r>
          </w:p>
        </w:tc>
        <w:tc>
          <w:tcPr>
            <w:tcW w:type="dxa" w:w="4680"/>
            <w:tcMar>
              <w:top w:w="70" w:type="dxa"/>
              <w:start w:w="110" w:type="dxa"/>
              <w:bottom w:w="70" w:type="dxa"/>
              <w:end w:w="110" w:type="dxa"/>
            </w:tcMar>
          </w:tcPr>
          <w:p>
            <w:pPr>
              <w:pStyle w:val="TableText"/>
            </w:pPr>
            <w:r>
              <w:rPr/>
              <w:t>Cutlery and Flatware</w:t>
            </w:r>
          </w:p>
        </w:tc>
      </w:tr>
    </w:tbl>
    <w:p>
      <w:pPr>
        <w:pStyle w:val="Normal"/>
      </w:pPr>
      <w:r>
        <w:rPr>
          <w:b w:val="0"/>
        </w:rPr>
        <w:t>6. Rural Utilities Service: Federal buy national requirements imposed as conditions of funding by the Rural Utilities Service will not apply to goods of Mexico, suppliers of such goods, and service suppliers of Mexico. Section B: Other Entities Thresholds: 1. Chapter 13 (Government Procurement) applies to the other covered entities listed in this Section where the value of the procurement is estimated, in accordance with Article 13.2.9 (Scope) and Article 13.2.10 (Scope), to equal or exceed: (a) for procurement of goods and services:</w:t>
      </w:r>
    </w:p>
    <w:p>
      <w:pPr>
        <w:pStyle w:val="Normal"/>
      </w:pPr>
      <w:r>
        <w:t>US$401,584; and (b) for procurement of construction services: US$12,851,327. The monetary thresholds set out in subparagraphs (a) and (b) shall be adjusted in accordance with Section G (Threshold Adjustment Formula) of this Schedule. 2.</w:t>
      </w:r>
    </w:p>
    <w:p>
      <w:pPr>
        <w:pStyle w:val="Normal"/>
      </w:pPr>
      <w:r>
        <w:t>Unless otherwise specified herein, Chapter 13 (Government Procurement) applies only to the entities listed in this Section. List of Entities: 1. Tennessee Valley Authority 2. Bonneville Power Administration 3. Western Area Power Administration 4. Southeastern Power Administration 5. Southwestern Power Administration 6. St. Lawrence Seaway Development Corporation 13-A-23 Section C: Goods Chapter 13 (Government Procurement) covers all goods procured by the entities listed in Sections A (Central Government Entities) and B (Other Entities), subject to the Notes to the respective Sections and the General Notes. Section D: Services Chapter 13 (Government Procurement) covers all services procured by the entities listed in Sections A and B, subject to the Notes to the respective Sections, the General Notes and the Notes to this Section. Notes to Section D 1. This Chapter does not cover the procurement of the following services, as elaborated in the Common Classification System, Appendix 13-D-1: A. Research and Development: All classes D. Information Processing and Related Telecommunications Services:</w:t>
      </w:r>
    </w:p>
    <w:p>
      <w:pPr>
        <w:pStyle w:val="Normal"/>
      </w:pPr>
      <w:r>
        <w:t>D304 ADP Telecommunications and Transmission Services, except for those services classified as “enhanced or value-added services.” For the purposes of this provision, the procurement of “ADP Telecommunications and Transmission Services” does not include the ownership or furnishing of facilities for the transmission of voice or data services.</w:t>
      </w:r>
    </w:p>
    <w:p>
      <w:pPr>
        <w:pStyle w:val="Normal"/>
      </w:pPr>
      <w:r>
        <w:t>D305 ADP Teleprocessing and Timesharing Services D316 Telecommunications Network Management Services D317 Automated News Services, Data Services or Other Information Services D399 Other ADP and Telecommunications Services J. Maintenance, Repair, Modification, Rebuilding and Installation of Goods/Equipment: J019 Maintenance, Repair, Modification, Rebuilding and Installation of Equipment Related to Ships J998 Non-nuclear Ship Repair M. Operation of Government-Owned Facilities: All facilities operated by the Department of Defense, Department of Energy, and the National Aeronautics and Space Administration; and for all entities: 13-A-24 M180 Research and Development facilities S. Utilities: All Classes V. Transportation, Travel and Relocation Services: All Classes except V503 Travel Agent Services 2. Chapter 13 (Government Procurement) does not cover procurement of any service in support of military forces located overseas. Section E: Construction Services Chapter 13 (Government Procurement) covers all construction services procured by the entities listed in Sections A and B, listed in Division 51 of the Provisional Central Product Classification (CPC), which is found at: https://unstats.un.org/unsd/cr/registry/regcs.asp?Cl=9&amp;Lg=1&amp;Co=51, subject to the Notes to the respective Sections, the General Notes and the Notes to this Section. Note to Section E Chapter 13 (Government Procurement) does not cover procurement of dredging services.</w:t>
      </w:r>
    </w:p>
    <w:p>
      <w:pPr>
        <w:pStyle w:val="Normal"/>
      </w:pPr>
      <w:r>
        <w:t>Section F: General Notes Unless otherwise specified herein, the following General Notes apply without exception to Chapter 13 (Government Procurement), including to all sections of this Schedule. 1. Chapter 13 (Government Procurement) does not apply to any set-aside on behalf of a small- or minority-owned business. A set-aside may include any form of preference, such as the exclusive right to provide a good or service, or any price preference. 2. Chapter 13 (Government Procurement) does not cover procurement of transportation services that form a part of, or are incidental to, a procurement contract. 3. For goods and services (including construction services) of Mexico and suppliers of such goods and services, this Chapter does not apply to procurement done by the contractual means of build-operate-transfer contract or public works concessions contract. The United States is prepared to amend this note at such time as coverage with respect to build-operate transfer contracts and public works concessions contracts can be resolved with Mexico. 13-A-25 Section G: Threshold Adjustment Formula 1. Any threshold denominated in U.S.</w:t>
      </w:r>
    </w:p>
    <w:p>
      <w:pPr>
        <w:pStyle w:val="Normal"/>
      </w:pPr>
      <w:r>
        <w:t>Dollars shall be made in accordance with the following: (a) the U.S. inflation rate shall be measured by the Producer Price Index for Finished Goods published by the U.S.</w:t>
      </w:r>
    </w:p>
    <w:p>
      <w:pPr>
        <w:pStyle w:val="Normal"/>
      </w:pPr>
      <w:r>
        <w:t>Bureau of Labor Statistics; (b) the first adjustment for inflation, to take effect on January 1, 2020, shall be calculated using the period from November 1, 2017 through October 31, 2019; (c) all subsequent adjustments shall be calculated using two-year periods, each period beginning November 1, and shall take effect on January 1 of the year immediately following the end of the two-year period; (d) the United States shall notify the other Party of the adjusted threshold values no later than November 16 of the year before the adjustment takes effect; and (e) the inflationary adjustment shall be estimated according to the following formula: T 0 x (1+ pi i) = T 1 T 0 = threshold value at base period pi i = accumulated U.S. inflation rate for the ith two year-period T 1 = new threshold value.</w:t>
      </w:r>
    </w:p>
    <w:p>
      <w:pPr>
        <w:pStyle w:val="Normal"/>
      </w:pPr>
      <w:r>
        <w:t>Section H: Procurement Information Publications utilized by the United States for the publication of notices of intended procurement and of post-award notices and the publication annually of information on permanent lists of qualified suppliers in the case of selective tendering procedures: Federal Business Opportunities (http://www.fedbizopps.gov) Laws, regulations, judicial decisions, administrative rulings and procedures regarding government procurement for entities listed in Section A (Central Government Entities) are published on the following websites: US Federal Laws (primarily US Code Titles 10 and 41): http://www.gpo.gov/fdsys/browse/collectionUScode.action?collectionCode=USCODE Federal Acquisition Regulation (FAR): http://www.acquisition.gov/far/index.html 13-A-26 Agency Supplemental Regulations: https://www.acquisition.gov/Supplemental_Regulations Federal Register: https://www.federalregister.gov/ Federal Government Procurement Policies: http://www.whitehouse.gov/omb/procurement/ Bid Protest Decisions of Government Accountability Office: http://www.gao.gov/legal/bidprotest.html US Civilian Board of Contract Appeals Decisions: http://www.cbca.gsa.gov/ Judicial Decisions: US Court of Federal Claims (jurisdiction includes claims related to government contracts, including bid protests): http://www.uscfc.uscourts.gov/ US Court of Appeals for the Federal Circuit (jurisdiction includes appeals from the US Civilian Boards of Contract Appeals):</w:t>
      </w:r>
    </w:p>
    <w:p>
      <w:pPr>
        <w:pStyle w:val="Normal"/>
      </w:pPr>
      <w:r>
        <w:t xml:space="preserve">http://www.cafc.uscourts.gov/ Laws, judicial decisions, administrative rulings and procedures regarding government procurement for entities listed in Section B (Other Entities) are available directly from the listed entities. 13-A-27</w:t>
      </w:r>
    </w:p>
    <w:p>
      <w:pPr>
        <w:pStyle w:val="Heading2"/>
      </w:pPr>
      <w:bookmarkStart w:id="900408" w:name="_Toc300000407"/>
      <w:r>
        <w:t xml:space="preserve">Appendix 13-D-1: Common Classification System Services</w:t>
      </w:r>
      <w:bookmarkEnd w:id="900408"/>
    </w:p>
    <w:p>
      <w:pPr>
        <w:pStyle w:val="Normal"/>
      </w:pPr>
      <w:r>
        <w:t xml:space="preserve">Notes: 1. The Parties will continue to review outstanding technical issues that may arise from time to time. 2. This common classification system follows the format described below: Group = one digit Sub-group = two digit Class = four digit A - Research and Development Definition of research and development contracts: Procurement of research and development services include the acquisition of specialized expertise for the purposes of increasing knowledge in science; applying increased scientific knowledge or exploiting the potential of scientific discoveries and improvements in technology to advance the state of art; and systematically using increases in scientific knowledge and advances in state of art to design, develop, test, or evaluate new products or services. R&amp;D Codes: The R&amp;D code is composed of two alphabetic digits. The first digit is always the letter “A” to identify R&amp;D, the second digit is alphabetic “A to Z” to identify the major sub group.</w:t>
      </w:r>
    </w:p>
    <w:p>
      <w:pPr>
        <w:pStyle w:val="Normal"/>
      </w:pPr>
      <w:r>
        <w:t>Code Descriptions AA Agriculture AB Community Services and Development AC Defense Systems AD Defense - Other AE Economic Growth and Productivity AF Education AG Energy AH Environmental Protection AJ General Science and Technology AK Housing AL Income Security AM International Affairs and Cooperation AN Medical AP Natural Resources AQ Social Services AR Space AS Transportation - Modal AT Transportation - General AV Mining Activities AZ Other Research and Development 13-A-1-1 B - Studies and Analysis - (not R&amp;D) Definition of studies and analysis: Procurement of special studies and analyses are organized, analytic assessments that provide insights for understanding complex issues or improving policy development or decision making. Output obtained in such acquisitions is a formal, structured document including data or other information that form the basis for conclusions or recommendations.</w:t>
      </w:r>
    </w:p>
    <w:p>
      <w:pPr>
        <w:pStyle w:val="Normal"/>
      </w:pPr>
      <w:r>
        <w:t>B0 Natural Sciences B000 Chemical/Biological Studies and Analyses B001 Endangered Species Studies - Plant and Animal B002 Animal and Fisheries Studies B003 Grazing/Range Studies B004 Natural Resource Studies B005 Oceanological Studies B009 Other Natural Sciences Studies B1 Environmental Studies B100 Air Quality Analyses B101 Environmental Studies Development of Environmental Impact Statements and Assessments B102 Soil Studies B103 Water Quality Studies B104 Wildlife Studies B109 Other Environmental Studies B2 Engineering Studies B200 Geological Studies B201 Geophysical Studies B202 Geotechnical Studies B203 Scientific Data Studies B204 Seismological Studies B205 Building Technology Studies B206 Energy Studies B207 Technology Studies B208 Housing and Community Development Studies (incl. Urban/Town Planning Studies) 13-A-1-2 B219 Other Engineering Studies B3 Administrative Support Studies B300 Cost Benefit Analyses B301 Data Analyses (other than scientific) B302 Feasibility Studies (non-construction) B303 Mathematical/Statistical Analyses B304 Regulatory Studies B305 Intelligence Studies B306 Defense Studies B307 Security Studies (Physical and Personal) B308 Accounting/Financial Management Studies B309 Trade Issue Studies B310 Foreign Policy/National Security Policy Studies B311 Organization/Administrative/Personnel Studies B312 Mobilization/Preparedness Studies B313 Manpower Studies B314 Acquisition Policy/Procedures Studies B329 Other Administrative Support Studies B4 Space</w:t>
      </w:r>
    </w:p>
    <w:p>
      <w:pPr>
        <w:pStyle w:val="Normal"/>
      </w:pPr>
      <w:r>
        <w:t>Studies B400 Aeronautic/Space Studies B5 Social Studies and Humanities B500 Archeological/Paleontological Studies B501 Historical Studies B502 Recreation Studies B503 Medical and Health Studies B504 Educational Studies and Analyses B505 Elderly/Handicapped Studies B506 Economic Studies B507 Legal Studies B509 Other Studies and Analyses 13-A-1-3 C - Architect and Engineering Services C1 - Architect and Engineering Services - Related To Construction C11 Building and Facility Structures C111 Administrative and Service Buildings C112 Airfield, Communication and Missile Facilities C113 Educational Buildings C114 Hospital Buildings C115 Industrial Buildings C116 Residential Buildings C117 Warehouse Buildings C118 Research and Development Facilities C119 Other Buildings C12 Non-Building Structures C121 Conservation and Development C122 Highways, Roads, Streets, Bridges and Railways C123 Electric Power Generation (EPG) C124 Utilities C129 Other Non-Building Structures C130 Restoration C2 - Architect and Engineering Services - Not Related to Construction C211 Architect - Engineer Services (incl. landscaping, interior layout and designing) C212 Engineering Drafting Services C213 A&amp;E Inspection Services C214 A&amp;E Management Engineering Services C215 A&amp;E Production Engineering Services (incl.</w:t>
      </w:r>
    </w:p>
    <w:p>
      <w:pPr>
        <w:pStyle w:val="Normal"/>
      </w:pPr>
      <w:r>
        <w:t>Design and Control and Building Programming) C216 Marine Architect and Engineering Services C219 Other Architect and Engineering Services 13-A-1-4 D - Information Processing and Related Telecommunications Services D301 ADP Facility Operation and Maintenance Services D302 ADP Systems Development Services D303 ADP Data Entry Services D304 ADP Telecommunications and Transmission Services D305 ADP Teleprocessing and Timesharing Services D306 ADP Systems Analysis Services D307 Automated Information System Design and Integration Services D308 Programming Services D309 Information and Data Broadcasting or Data Distribution Services D310 ADP Backup and Security Services D311 ADP Data Conversion Services D312 ADP Optical Scanning Services D313 Computer Aided Design/Computer Aided Manufacturing (CAD/CAM) Services D314 ADP System Acquisition Support Services (Includes preparation of statement of work, benchmarks,specifications, etc.) D315 Digitizing Services (Includes cartographic and geographic information) D316 Telecommunications Network Management Services D317 Automated News Services, Data Services, or Other Information Services. Buying data (the electronic equivalent of books, periodicals, newspapers, etc.) D399 Other ADP and Telecommunications Services (incl. data storage on tapes, Compact Disk (CD), etc.</w:t>
      </w:r>
    </w:p>
    <w:p>
      <w:pPr>
        <w:pStyle w:val="Normal"/>
      </w:pPr>
      <w:r>
        <w:t>E - Environmental Services E101 Air Quality Support Services E102 Industrial Investigation Surveys and Technical Support Related to Air Pollution E103 Water Quality Support Services E104 Industrial Investigation Surveys and Technical Support Related to Water Pollution E106 Toxic Substances Support Services E107 Hazardous Substance Analysis E108 Hazardous Substance Removal, Cleanup, and Disposal Services and Operational Support 13-A-1-5 E109 Leaking Underground Storage Tank Support Services E110 Industrial Investigations, Surveys and Technical Support for Multiple Pollutants E111 Oil Spill Response including Cleanup, Removal, Disposal and Operational Support E199 Other Environmental Services F - Natural Resources Services F0 Agriculture and Forestry Services F001 Forest/Range Fire Suppression/Presuppression Services (incl. Water Bombing) F002 Forest/Range Fire Rehabilitation Services (non construction) F003 Forest Tree Planting Services F004 Land Treatment Practices Services (plowing/clearing, etc.) F005 Range Seeding Services (ground equipment) F006 Crop Services (incl. Seed Collection and Production Services) F007 Seedling Production/Transplanting Services F008 Tree Breeding Services (incl. ornamental shrub) F009 Tree Thinning Services F010 Other Range/Forest Improvements Services (non construction) F011 Pesticides /Insecticides Support Services F02 Animal Care / Control Services F020 Other Wildlife Management Services F021 Veterinary/Animal Care Services (incl.</w:t>
      </w:r>
    </w:p>
    <w:p>
      <w:pPr>
        <w:pStyle w:val="Normal"/>
      </w:pPr>
      <w:r>
        <w:t>Livestock Services) F029 Other Animal Care/Control Services F03 Fisheries and Ocean Services F030 Fisheries Resources Management Services F031 Fish Hatchery Services F04 Mining 13-A-1-6 F040 Surface Mining Reclamation Services (non-construction) F041 Well Drilling F042 Other Services Incidental to Mining Except Those Listed in F040 and F041 F05 Other Natural Resources Services F050 Recreation Site Maintenance Services (non-construction) F051 Survey Line Clearing Services F059 Other Natural Resources and Conservation Services G - Health and Social Services G0 Health Services G001 Health Care G002 Internal Medicine G003 Surgery G004 Pathology G009 Other Health Services G 1 Social Services G100 Care of Remains and/or Funeral Services G101 Chaplain Services G102 Recreational Services (incl. Entertainment Services) G103 Social Rehabilitation Services G104 Geriatric Services G199 Other Social Services H - Quality Control, Testing, Inspection and Technical Representative Services HO Technical Representative Services Hl Quality Control Services H2 Equipment and Materials Testing H3 Inspection Services (incl. commercial testing and 13-A-1-7 Laboratory Services, Except Medical/Dental) H9 Other Quality Control, Testing, Inspection and Technical Representative Services J - Maintenance, Repair, Modification, Rebuilding and Installation of Goods/Equipment JO Maintenance, Repair, Modification, Rebuilding and Installation of Goods/Equipment; includes as examples: 1.</w:t>
      </w:r>
    </w:p>
    <w:p>
      <w:pPr>
        <w:pStyle w:val="Normal"/>
      </w:pPr>
      <w:r>
        <w:t>Textile Finishing, Dying and Printing 2. Welding services not related to Construction.</w:t>
      </w:r>
    </w:p>
    <w:p>
      <w:pPr>
        <w:pStyle w:val="Normal"/>
      </w:pPr>
      <w:r>
        <w:t>(see CPC 5155 for Construction Welding) J998 Non-nuclear Ship Repair (including overhauls and conversions) K - Custodial Operations and Related Services K0 Personal Care Services (incl. services such as Barber and Beauty Shop, Shoe Repairs and Tailoring etc.) K1 Custodial Services K100 Custodial - Janitorial Services K101 Fire Protection Services K102 Food Services K103 Fueling and Other Petroleum Services - Excluding Storage K104 Trash/Garbage Collection Services - Including Portable Sanitation Services K105 Guard Services K106 Insect and Rodent Control Services K107 Landscaping/Groundskeeping Services K108 Laundry and Dry Cleaning Services K109 Surveillance Services K110 Solid Fuel Handling Services K111 Carpet Cleaning K112 Interior Plantscaping K113 Snow Removal/Salt Service (also spreading aggregate or other snow meltings material) K114 Waste Treatment and Storage K115 Preparation and Disposal of Excess and Surplus Property 13-A-1-8 K116 Other Salvage Services K199 Other Custodial and Related Services L - Financial and Related Services L000 Government Life Insurance Programs L001 Government Health Insurance Programs L002 Other Government Insurance Programs L003 Non-Government Insurance Programs L004 Other Insurance Services L005 Credit Reporting Services L006 Banking Services L007 Debt Collection Services L008 Coin Minting L009 Banknote Printing L099 Other Financial Services M -</w:t>
      </w:r>
    </w:p>
    <w:p>
      <w:pPr>
        <w:pStyle w:val="Normal"/>
      </w:pPr>
      <w:r>
        <w:t>Operation of Government - Owned Facilities M110 Administrative Facilities and Service Buildings M120 Airfield, Communications, and Missile Facilities M130 Educational Buildings M140 Hospital Buildings M150 Industrial Buildings M160 Residential Buildings M170 Warehouse Buildings M180 Research and Development Facilities M190 Other Buildings M210 Conservation and Development Facilities M220 Highways, Roads, Streets, Bridges and Railways M230 Electric Power Generation (EPG) Facilities M240 Utilities M290 Other Non-Building Facilities R - Professional, Administrative and Management Support Services R0 Professional Services R001 Specifications Development Services R002 Technology Sharing/Utilization Services R003 Legal Services 13-A-1-9 R004 Certifications and Accreditations for products and institutions other than Educational Institutions R005 Technical Assistance R006 Technical Writing Services R007 Systems Engineering Services R008 Engineering and Technical Services (incl.</w:t>
      </w:r>
    </w:p>
    <w:p>
      <w:pPr>
        <w:pStyle w:val="Normal"/>
      </w:pPr>
      <w:r>
        <w:t>Mechanical, Electrical, Chemical, Electronic Engineering) R009 Accounting Services R010 Auditing Services R011 Ongoing Audit Operations Support R012 Patent and Trade Mark Services R013 Real Property Appraisals Services R014 Operations Research Studies / Quantitative Analysis Studies R015 Simulation R016 Personal Services Contracts R019 Other Professional Services R1 Administrative and Management Support Services R100 Intelligence Services R101 Expert Witness R102 Weather Reporting/Observation Services R103 Courier and Messenger Services R104 Transcription Services R105 Mailing and Distribution Services (Excluding Post Office Services) R106 Post Office Services R107 Library Services R108 Word Processing/Typing Services R109 Translation and Interpreting Services (Including Sign Language) R110 Stenographic Services R111 Personal Property Management Services R112 Information Retrieval (non-automated) R113 Data Collection Services R114 Logistics Support Services R115 Contract, Procurement, and Acquisition Support Services R116 Court Reporting Services R117 Paper Shredding Services 13-A-1-10 R118 Real Estate Brokerage Services R119 Industrial Hygienics R120 Policy Review/Development Services R121 Program Evaluation Studies R122 Program Management/Support Services R123 Program Review/Development Services R199 Other Administrative and Management Support Services R2 Personnel Recruitment R200 Military Personnel Recruitment R201 Civilian Personnel Recruitment (incl.</w:t>
      </w:r>
    </w:p>
    <w:p>
      <w:pPr>
        <w:pStyle w:val="Normal"/>
      </w:pPr>
      <w:r>
        <w:t>Services of Employment Agencies) S - Utilities S000 Gas Services S001 Electric Services S002 Telephone and/or Communications Services (incl. Telegraph, Telex and Cablevision Service) S003 Water Services S099 Other Utilities T - Communications, Photographic, Mapping, Printing and Publication Services T000 Communications Studies T001 Market Research and Public Opinion Services (Formerly Telephone and Field Interview Services incl. Focus testing, Syndicated and attitude Surveys) T002 Communications Services (incl. exhibit Services) T003 Advertising Services T004 Public Relations Services (incl. Writing Services, Event Planning and Management, Media Relations, Radio and TV Analysis, Press Services) T005 Arts/Graphics Services T006 Cartography Services T007 Charting Services T008 Film Processing Services T009 Film/Video Tape Production Services T010 Microfiche Services T011 Photogrammetry Services 13-A-1-11 T012 Aerial Photographic Services T013 General Photographic Services - Still T014 Print/Binding Services T015 Reproduction Services T016 Topography Services T017 General Photographic Services - Motion T018 Audio/Visual Services T019 Land Surveys, Cadastral Services (non-construction) T099 Other Communication, Photographic, Mapping, Printing and Publication Services U - Educational and Training Services U001 Lectures For Training U002 Personnel Testing U003 Reserve Training (Military) U004 Scientific and Management Education U005 Tuition, Registration, and Membership Fees U006</w:t>
      </w:r>
    </w:p>
    <w:p>
      <w:pPr>
        <w:pStyle w:val="Normal"/>
      </w:pPr>
      <w:r>
        <w:t>Vocational/Technical U007 Faculty Salaries for Schools Overseas U008 Training/Curriculum Development U009 Informatics Training U010 Certifications and Accreditations for Educational Institutions U099 Other Education and Training Services V - Transporation, Travel and Relocation Services V0 Land Transport Services V000 Motor Pool Operations V001 Motor Freight V002 Rail Freight V003 Motor Charter for Things V004 Rail Charter for Things V005 Motor Passenger Service V006 Rail Passenger Service V007 Passenger Motor Charter Service V008 Passenger Rail Charter Service V009 Ambulance Service 13-A-1-12 V010 Taxicab Services V011 Security Vehicle Service V1 Water Transport Services V100 Vessel Freight V101 Marine Charter for Things V102 Marine Passenger Service V103 Passenger Marine Charter Service V2 Air Transport Services V200 Air Freight V201 Air Charter for Things V202 Air Passenger Service V203 Passenger Air Charter Service V204 Specialty air Services including Aerial Fertilization, Spraying and Seeding V3 Space Transportation and Launch Services V4 Other Transport Services V401 Other Transportation Travel and Relocation Services V402 Other Cargo and Freight Services V403 Other Vehicle Charter for Transportation of Things V5</w:t>
      </w:r>
    </w:p>
    <w:p>
      <w:pPr>
        <w:pStyle w:val="Normal"/>
      </w:pPr>
      <w:r>
        <w:t>Supporting and Auxiliary Transport Services V500 Stevedoring V501 Vessel Towing Service V502 Relocation Services V503 Travel Agent Services V504 Packing/Crating Services V505 Warehousing and Storage Services V506 Salvage of Marine Vessels V507 Salvage of</w:t>
      </w:r>
    </w:p>
    <w:p>
      <w:pPr>
        <w:pStyle w:val="Normal"/>
      </w:pPr>
      <w:r>
        <w:t>Aircraft V508 Navigational Aid and Pilotage Services 13-A-1-13 W - Lease and Rental of Equipment WO Lease or Rental of Equipment 13-A-1-14</w:t>
      </w:r>
    </w:p>
    <w:p>
      <w:pPr>
        <w:pStyle w:val="Heading1"/>
      </w:pPr>
      <w:bookmarkStart w:id="900409" w:name="_Toc300000408"/>
      <w:r>
        <w:t>CHAPTER 14 INVESTMENT</w:t>
      </w:r>
      <w:bookmarkEnd w:id="900409"/>
    </w:p>
    <w:p>
      <w:pPr>
        <w:pStyle w:val="Normal"/>
      </w:pPr>
      <w:r>
        <w:t>Original Integral Understanding: Canada–United States Research and Development Expenditures. The 2004 Guidelines understanding preserved in Annex 34-G, Part D continues according to its original terms and is not transformed into a new reservation or concession by this modernization.</w:t>
      </w:r>
    </w:p>
    <w:p>
      <w:pPr>
        <w:pStyle w:val="Heading2"/>
      </w:pPr>
      <w:bookmarkStart w:id="900410" w:name="_Toc300000409"/>
      <w:r>
        <w:t xml:space="preserve">Article 14.1: Definitions</w:t>
      </w:r>
      <w:bookmarkEnd w:id="900410"/>
    </w:p>
    <w:p>
      <w:pPr>
        <w:pStyle w:val="Normal"/>
      </w:pPr>
      <w:r>
        <w:t>For the purposes of this Chapter: covered investment means, with respect to a Party, an investment in its territory of an investor of another Party in existence as of the date of entry into force of this Agreement or established, acquired, or expanded thereafter; enterprise means an enterprise as defined in Article 1.5 (General Definitions), and a branch of an enterprise; enterprise of a Party means an enterprise constituted or organized under the law of a Party, or a branch located in the territory of a Party and carrying out business activities there; freely usable currency means “freely usable currency” as determined by the International Monetary Fund under its Articles of Agreement; investment means every asset that an investor owns or controls, directly or indirectly, that has the characteristics of an investment, including such characteristics as the commitment of capital or other resources, the expectation of gain or profit, or the assumption of risk.</w:t>
      </w:r>
    </w:p>
    <w:p>
      <w:pPr>
        <w:pStyle w:val="Normal"/>
      </w:pPr>
      <w:r>
        <w:t>An investment may include: (a) an enterprise; (b) shares, stock and other forms of equity participation in an enterprise; (c) bonds, debentures, other debt instruments, and loans;1 (d) futures, options, and other derivatives; (e) turnkey, construction, management, production, concession, revenue-sharing, and other similar contracts; (f) intellectual property rights; Some forms of debt, such as bonds, debentures, and long-term notes or loans, are more likely to have the characteristics of an investment, while other forms of debt, such as claims to payment that are immediately due, are less likely to have these characteristics. (g) licenses, authorizations, permits, and similar rights conferred pursuant to a Party’s law;2 and (h) other tangible or intangible, movable or immovable property, and related property rights, such as liens, mortgages, pledges, and leases, but investment does not mean: (i) an order or judgment entered in a judicial or administrative action; (j) claims to money that arise solely from:</w:t>
      </w:r>
    </w:p>
    <w:p>
      <w:pPr>
        <w:pStyle w:val="Normal"/>
      </w:pPr>
      <w:r>
        <w:t>(i) commercial contracts for the sale of goods or services by a natural person or enterprise in the territory of a Party to an enterprise in the territory of another Party, or (ii) the extension of credit in connection with a commercial contract referred to in subparagraph (j)(i); investor of a non-Party means, with respect to a Party, an investor that attempts to make,3 is making, or has made an investment in the territory of that Party, that is not an investor of a</w:t>
      </w:r>
    </w:p>
    <w:p>
      <w:pPr>
        <w:pStyle w:val="Normal"/>
      </w:pPr>
      <w:r>
        <w:t>Party; and investor of a Party means a Party, or a national or an enterprise of a Party, that attempts to make, is making, or has made an investment in the territory of another Party, provided however that: (a) a natural person who is a dual citizen is deemed to be exclusively a national of the State of his or her dominant and effective citizenship; and 2 Whether a particular type of license, authorization, permit, or similar instrument (including a concession to the extent that it has the nature of such an instrument) has the characteristics of an investment depends on such factors as the nature and extent of the rights that the holder has under a Party’s law. For greater certainty, among such instruments that do not have the characteristics of an investment are those that do not create any rights protected under the Party’s law. For greater certainty, the foregoing is without prejudice to whether any asset associated with such instruments has the characteristics of an investment.</w:t>
      </w:r>
    </w:p>
    <w:p>
      <w:pPr>
        <w:pStyle w:val="Normal"/>
      </w:pPr>
      <w:r>
        <w:t>3 For greater certainty, the Parties understand that, for the purposes of the definitions of “investor of a non-Party” and “investor of a Party”, an investor “attempts to make” an investment when that investor has taken concrete action or actions to make an investment, such as channelling resources or capital in order to set up a business, or applying for a permit or license.</w:t>
      </w:r>
    </w:p>
    <w:p>
      <w:pPr>
        <w:pStyle w:val="Normal"/>
      </w:pPr>
      <w:r>
        <w:t>(b) a natural person who is a citizen of a Party and a permanent resident of another Party is deemed to be exclusively a national of the Party of which that natural person is a citizen.</w:t>
      </w:r>
    </w:p>
    <w:p>
      <w:pPr>
        <w:pStyle w:val="Heading2"/>
      </w:pPr>
      <w:bookmarkStart w:id="900411" w:name="_Toc300000410"/>
      <w:r>
        <w:t xml:space="preserve">Article 14.2: Scope</w:t>
      </w:r>
      <w:bookmarkEnd w:id="900411"/>
    </w:p>
    <w:p>
      <w:pPr>
        <w:pStyle w:val="Normal"/>
      </w:pPr>
      <w:r>
        <w:t xml:space="preserve">1. This Chapter applies to measures adopted or maintained by a Party relating to: (a) investors of another Party; (b) covered investments; and (c) with respect to Article 14.10 (Performance Requirements) and Article 14.16 (Investment and Environmental, Health, Safety, and other Regulatory Objectives), all investments in the territory of that Party. 2. A Party’s obligations under this Chapter apply to measures adopted or maintained by: (a) the central, regional, or local governments or authorities of that Party;4 and (b) a person, including a state enterprise or another body, when it exercises any governmental authority delegated to it by central, regional, or local governments or authorities of that Party.5 3. For greater certainty, this Chapter, except as provided for in Annex 14-C (Legacy Investment Claims and Pending Claims) does not bind a Party in relation to an act or fact that took place or a situation that ceased to exist before the date of entry into force of this Agreement. 4.</w:t>
      </w:r>
    </w:p>
    <w:p>
      <w:pPr>
        <w:pStyle w:val="Normal"/>
      </w:pPr>
      <w:r>
        <w:t>For greater certainty, an investor may only submit a claim to arbitration under this Chapter as provided under Annex 14-C (Legacy Investment Claims and Pending Claims), Annex 14-D (Mexico-United States Investment Disputes), or Annex 14-E (Mexico-United States Investment Disputes Related to Covered Government Contracts).</w:t>
      </w:r>
    </w:p>
    <w:p>
      <w:pPr>
        <w:pStyle w:val="Heading2"/>
      </w:pPr>
      <w:bookmarkStart w:id="900412" w:name="_Toc300000411"/>
      <w:r>
        <w:t xml:space="preserve">Article 14.3: Relation to Other Chapters</w:t>
      </w:r>
      <w:bookmarkEnd w:id="900412"/>
    </w:p>
    <w:p>
      <w:pPr>
        <w:pStyle w:val="Normal"/>
      </w:pPr>
      <w:r>
        <w:t xml:space="preserve">4 For greater certainty, the term “governments or authorities” means the organs of a Party, consistent with the principles of attribution under customary international law. 5 For greater certainty, governmental authority is delegated to any person under the Party’s law, including through a legislative grant or a government order, directive, or other act transferring or authorizing the exercise of governmental authority. 1. In the event of any inconsistency between this Chapter and another Chapter of this Agreement, the other Chapter shall prevail to the extent of the inconsistency. 2. This Chapter does not apply to measures adopted or maintained by a Party to the extent that they are covered by Chapter 17 (Financial Services). 3. A requirement of a Party that a service supplier of another Party post a bond or other form of financial security as a condition for the cross-border supply of a service does not of itself make this Chapter applicable to measures adopted or maintained by the Party relating to the cross-border supply of the service.</w:t>
      </w:r>
    </w:p>
    <w:p>
      <w:pPr>
        <w:pStyle w:val="Normal"/>
      </w:pPr>
      <w:r>
        <w:t>This Chapter applies to measures adopted or maintained by the Party relating to the posted bond or financial security, to the extent that the bond or financial security is a covered investment. 4.</w:t>
      </w:r>
    </w:p>
    <w:p>
      <w:pPr>
        <w:pStyle w:val="Normal"/>
      </w:pPr>
      <w:r>
        <w:t>For greater certainty, consistent with Article 15.2.2(a) (Scope), Article 15.5 (Market Access), and Article 15.8 (Development and Administration of Measures) apply to measures adopted or maintained by a Party relating to the supply of a service in its territory by a covered investment.</w:t>
      </w:r>
    </w:p>
    <w:p>
      <w:pPr>
        <w:pStyle w:val="Heading2"/>
      </w:pPr>
      <w:bookmarkStart w:id="900413" w:name="_Toc300000412"/>
      <w:r>
        <w:t xml:space="preserve">Article 14.4: National Treatment</w:t>
      </w:r>
      <w:bookmarkEnd w:id="900413"/>
    </w:p>
    <w:p>
      <w:pPr>
        <w:pStyle w:val="Normal"/>
      </w:pPr>
      <w:r>
        <w:t xml:space="preserve">1. Each Party shall accord to investors of another Party treatment no less favorable than that it accords, in like circumstances, to its own investors with respect to the establishment, acquisition, expansion, management, conduct, operation, and sale or other disposition of investments in its territory. 2. Each Party shall accord to covered investments treatment no less favorable than that it accords, in like circumstances, to investments in its territory of its own investors with respect to the establishment, acquisition, expansion, management, conduct, operation, and sale or other disposition of investments. 3. The treatment accorded by a Party under paragraphs 1 and 2 means, with respect to a government other than at the central level, treatment no less favorable than the most favorable treatment accorded, in like circumstances, by that government to investors, and to investments of investors, of the Party of which it forms a part. 4. For greater certainty, whether treatment is accorded in “like circumstances” under this Article depends on the totality of the circumstances, including whether the relevant treatment distinguishes between investors or investments on the basis of legitimate public welfare objectives.</w:t>
      </w:r>
    </w:p>
    <w:p>
      <w:pPr>
        <w:pStyle w:val="Heading2"/>
      </w:pPr>
      <w:bookmarkStart w:id="900414" w:name="_Toc300000413"/>
      <w:r>
        <w:t xml:space="preserve">Article 14.5: Most-Favored-Nation Treatment</w:t>
      </w:r>
      <w:bookmarkEnd w:id="900414"/>
    </w:p>
    <w:p>
      <w:pPr>
        <w:pStyle w:val="Normal"/>
      </w:pPr>
      <w:r>
        <w:t xml:space="preserve">1. Each Party shall accord to investors of another Party treatment no less favorable than the treatment it accords, in like circumstances, to investors of any other Party or of any non-Party with respect to the establishment, acquisition, expansion, management, conduct, operation, and sale or other disposition of investments in its territory. 2. Each Party shall accord to covered investments treatment no less favorable than that it accords, in like circumstances, to investments in its territory of investors of any other Party or of any non-Party with respect to the establishment, acquisition, expansion, management, conduct, operation, and sale or other disposition of investments. 3. The treatment accorded by a Party under paragraphs 1 and 2 means, with respect to a government other than at the central level, treatment no less favorable than the most favorable treatment accorded, in like circumstances, by that government to investors in its territory, and to investments of those investors, of any other Party or of any non-Party. 4.</w:t>
      </w:r>
    </w:p>
    <w:p>
      <w:pPr>
        <w:pStyle w:val="Normal"/>
      </w:pPr>
      <w:r>
        <w:t>For greater certainty, whether treatment is accorded in “like circumstances” under this Article depends on the totality of the circumstances, including whether the relevant treatment distinguishes between investors or investments on the basis of legitimate public welfare objectives.</w:t>
      </w:r>
    </w:p>
    <w:p>
      <w:pPr>
        <w:pStyle w:val="Heading2"/>
      </w:pPr>
      <w:bookmarkStart w:id="900415" w:name="_Toc300000414"/>
      <w:r>
        <w:t xml:space="preserve">Article 14.6: Minimum Standard of Treatment</w:t>
      </w:r>
      <w:r>
        <w:rPr>
          <w:vertAlign w:val="superscript"/>
        </w:rPr>
        <w:t xml:space="preserve">6</w:t>
      </w:r>
      <w:bookmarkEnd w:id="900415"/>
    </w:p>
    <w:p>
      <w:pPr>
        <w:pStyle w:val="Normal"/>
      </w:pPr>
      <w:r>
        <w:t xml:space="preserve">1. Each Party shall accord to covered investments treatment in accordance with customary international law, including fair and equitable treatment and full protection and security. 2. For greater certainty, paragraph 1 prescribes the customary international law minimum standard of treatment of aliens as the standard of treatment to be afforded to covered investments. The concepts of “fair and equitable treatment” and “full protection and security” do not require treatment in addition to or beyond that which is required by that standard, and do not create additional substantive rights. The obligations in paragraph 1 to provide: (a) “fair and equitable treatment” includes the obligation not to deny justice in criminal, civil, or administrative adjudicatory proceedings in accordance with the principle of due process embodied in the principal legal systems of the world; and (b) “full protection and security” requires each Party to provide the level of police protection required under customary international law. 6 This Article shall be interpreted in accordance with Annex 14-A (Customary International Law). 3.</w:t>
      </w:r>
    </w:p>
    <w:p>
      <w:pPr>
        <w:pStyle w:val="Normal"/>
      </w:pPr>
      <w:r>
        <w:t>A determination that there has been a breach of another provision of this Agreement, or of a separate international agreement, does not establish that there has been a breach of this Article. 4.</w:t>
      </w:r>
    </w:p>
    <w:p>
      <w:pPr>
        <w:pStyle w:val="Normal"/>
      </w:pPr>
      <w:r>
        <w:t>For greater certainty, the mere fact that a Party takes or fails to take an action that may be inconsistent with an investor’s expectations does not constitute a breach of this Article, even if there is loss or damage to the covered investment as a result.</w:t>
      </w:r>
    </w:p>
    <w:p>
      <w:pPr>
        <w:pStyle w:val="Heading2"/>
      </w:pPr>
      <w:bookmarkStart w:id="900416" w:name="_Toc300000415"/>
      <w:r>
        <w:t xml:space="preserve">Article 14.7: Treatment in Case of Armed Conflict or Civil Strife</w:t>
      </w:r>
      <w:bookmarkEnd w:id="900416"/>
    </w:p>
    <w:p>
      <w:pPr>
        <w:pStyle w:val="Normal"/>
      </w:pPr>
      <w:r>
        <w:t xml:space="preserve">1. Notwithstanding Article 14.12.5(b) (Non-Conforming Measures), each Party shall accord to investors of another Party and to covered investments non-discriminatory treatment with respect to measures it adopts or maintains relating to losses suffered by investments in its territory owing to armed conflict or civil strife. 2. Notwithstanding paragraph 1, if an investor of a Party, in a situation referred to in paragraph 1, suffers a loss in the territory of another Party resulting from: (a) requisitioning of its covered investment or part thereof by the latter’s forces or authorities; or (b) destruction of its covered investment or part thereof by the latter’s forces or authorities, which was not required by the necessity of the situation, the latter Party shall provide the investor restitution, compensation, or both, as appropriate, for that loss. 3. Paragraph 1 does not apply to existing measures relating to subsidies or grants that would be inconsistent with Article 14.4 (National Treatment) but for Article 14.12.5(b) (Non- Conforming Measures).</w:t>
      </w:r>
    </w:p>
    <w:p>
      <w:pPr>
        <w:pStyle w:val="Heading2"/>
      </w:pPr>
      <w:bookmarkStart w:id="900417" w:name="_Toc300000416"/>
      <w:r>
        <w:t xml:space="preserve">Article 14.8: Expropriation and Compensation</w:t>
      </w:r>
      <w:r>
        <w:rPr>
          <w:vertAlign w:val="superscript"/>
        </w:rPr>
        <w:t xml:space="preserve">7</w:t>
      </w:r>
      <w:bookmarkEnd w:id="900417"/>
    </w:p>
    <w:p>
      <w:pPr>
        <w:pStyle w:val="Normal"/>
      </w:pPr>
      <w:r>
        <w:t xml:space="preserve">1. No Party shall expropriate or nationalize a covered investment either directly or indirectly through measures equivalent to expropriation or nationalization (expropriation), except: (a) for a public purpose; (b) in a non-discriminatory manner; 7 This Article shall be interpreted in accordance with Annex 14-B (Expropriation). (c) on payment of prompt, adequate, and effective compensation in accordance with paragraphs 2, 3, and 4; and (d) in accordance with due process of law. 2. Compensation shall: (a) be paid without delay; (b) be equivalent to the fair market value of the expropriated investment immediately before the expropriation took place (the date of expropriation); (c) not reflect any change in value occurring because the intended expropriation had become known earlier; and (d) be fully realizable and freely transferable. 3. If the fair market value is denominated in a freely usable currency, the compensation paid shall be no less than the fair market value on the date of expropriation, plus interest at a commercially reasonable rate for that currency, accrued from the date of expropriation until the date of payment. 4.</w:t>
      </w:r>
    </w:p>
    <w:p>
      <w:pPr>
        <w:pStyle w:val="Normal"/>
      </w:pPr>
      <w:r>
        <w:t>If the fair market value is denominated in a currency that is not freely usable, the compensation paid – converted into the currency of payment at the market rate of exchange prevailing on the date of payment8 – shall be no less than: (a) the fair market value on the date of expropriation, converted into a freely usable currency at the market rate of exchange prevailing on that date; plus (b) interest, at a commercially reasonable rate for that freely usable currency, accrued from the date of expropriation until the date of payment. 5. For greater certainty, whether an action or series of actions by a Party constitutes an expropriation shall be determined in accordance with paragraph 1 of this Article and Annex 14-B (Expropriation). 6.</w:t>
      </w:r>
    </w:p>
    <w:p>
      <w:pPr>
        <w:pStyle w:val="Normal"/>
      </w:pPr>
      <w:r>
        <w:t>This Article does not apply to the issuance of compulsory licenses granted in relation to intellectual property rights in accordance with the TRIPS Agreement, or to the revocation, 8 For greater certainty, for the purposes of this paragraph, the currency of payment may be the same as the currency in which the fair market value is denominated. limitation, or creation of intellectual property rights, to the extent that the issuance, revocation, limitation, or creation is consistent with Chapter 20 (Intellectual Property) and the TRIPS Agreement.9</w:t>
      </w:r>
    </w:p>
    <w:p>
      <w:pPr>
        <w:pStyle w:val="Heading2"/>
      </w:pPr>
      <w:bookmarkStart w:id="900418" w:name="_Toc300000417"/>
      <w:r>
        <w:t xml:space="preserve">Article 14.9: Transfers</w:t>
      </w:r>
      <w:bookmarkEnd w:id="900418"/>
    </w:p>
    <w:p>
      <w:pPr>
        <w:pStyle w:val="Normal"/>
      </w:pPr>
      <w:r>
        <w:t xml:space="preserve">1. Each Party shall permit all transfers relating to a covered investment to be made freely and without delay into and out of its territory. These transfers include: (a) contributions to capital;10 (b) profits, dividends, interest, capital gains, royalty payments, management fees, technical assistance, and other fees; (c) proceeds from the sale of all or any part of the covered investment or from the partial or complete liquidation of the covered investment; (d) payments made under a contract entered into by the investor, or the covered investment, including payments made pursuant to a loan agreement or employment contract; and (e) payments made pursuant to Article 14.7 (Treatment in Case of Armed Conflict or Civil Strife) and Article 14.8 (Expropriation and Compensation). 2. Each Party shall permit transfers relating to a covered investment to be made in a freely usable currency at the market rate of exchange prevailing at the time of transfer. 3.</w:t>
      </w:r>
    </w:p>
    <w:p>
      <w:pPr>
        <w:pStyle w:val="Normal"/>
      </w:pPr>
      <w:r>
        <w:t>A Party shall not require its investors to transfer, or penalize its investors that fail to transfer, the income, earnings, profits, or other amounts derived from, or attributable to, investments in the territory of another Party. 4. Each Party shall permit returns in kind relating to a covered investment to be made as authorized or specified in a written agreement between the Party and a covered investment or an investor of another Party. 5.</w:t>
      </w:r>
    </w:p>
    <w:p>
      <w:pPr>
        <w:pStyle w:val="Normal"/>
      </w:pPr>
      <w:r>
        <w:t>Notwithstanding paragraphs 1, 2, and 4, a Party may prevent or delay a transfer through the equitable, non-discriminatory, and good faith application of its laws11 relating to: 9 For greater certainty, the Parties recognize that, for the purposes of this Article, the term “revocation” of an intellectual property right includes the cancellation or nullification of that right, and the term “limitation” of an intellectual property right includes exceptions to that right. 10 For greater certainty, contributions to capital include the initial contribution. (a) bankruptcy, insolvency, or the protection of the rights of creditors; (b) issuing, trading, or dealing in securities or derivatives; (c) criminal or penal offenses; (d) financial reporting or record keeping of transfers when necessary to assist law enforcement or financial regulatory authorities; or (e) ensuring compliance with orders or judgments in judicial or administrative proceedings. 6. Notwithstanding paragraph 4, a Party may restrict transfers of returns in kind in circumstances where it could otherwise restrict those transfers under this Agreement, including as set out in paragraph 5.</w:t>
      </w:r>
    </w:p>
    <w:p>
      <w:pPr>
        <w:pStyle w:val="Heading2"/>
      </w:pPr>
      <w:bookmarkStart w:id="900419" w:name="_Toc300000418"/>
      <w:r>
        <w:t xml:space="preserve">Article 14.10: Performance Requirements</w:t>
      </w:r>
      <w:bookmarkEnd w:id="900419"/>
    </w:p>
    <w:p>
      <w:pPr>
        <w:pStyle w:val="Normal"/>
      </w:pPr>
      <w:r>
        <w:t xml:space="preserve">1. No Party shall, in connection with the establishment, acquisition, expansion, management, conduct, operation, or sale or other disposition of an investment of an investor of a Party or of a non-Party in its territory, impose or enforce any requirement, or enforce any commitment or undertaking:12 (a) to export a given level or percentage of goods or services; (b) to achieve a given level or percentage of domestic content; (c) to purchase, use, or accord a preference to a good produced or a service supplied in its territory, or to purchase a good or a service from a person in its territory; (d) to relate in any way the volume or value of imports to the volume or value of exports or to the amount of foreign exchange inflows associated with the investment; (e) to restrict sales of a good or a service in its territory that the investment produces or supplies by relating those sales in any way to the volume or value of its exports or foreign exchange earnings;</w:t>
      </w:r>
    </w:p>
    <w:p>
      <w:pPr>
        <w:pStyle w:val="Normal"/>
      </w:pPr>
      <w:r>
        <w:t>11 For greater certainty, this Article does not preclude the equitable, non-discriminatory, and good faith application of a Party’s laws relating to its social security, public retirement, or compulsory savings programs. 12 For greater certainty, a condition for the receipt or continued receipt of an advantage referred to in paragraph 2 does not constitute a “requirement” or a “commitment or undertaking” for the purposes of paragraph 1.</w:t>
      </w:r>
    </w:p>
    <w:p>
      <w:pPr>
        <w:pStyle w:val="Normal"/>
      </w:pPr>
      <w:r>
        <w:t>(f) to transfer a technology, a production process, or other proprietary knowledge to a person in its territory; (g) to supply exclusively from the territory of the Party a good that the investment produces or a service that it supplies to a specific regional market or to the world market; (h) (i) to purchase, use, or accord a preference to, in its territory, technology of the Party or of a person of the Party,13 or (ii) that prevents the purchase or use of, or the according of a preference to, in its territory, a technology; or (i) to adopt:</w:t>
      </w:r>
    </w:p>
    <w:p>
      <w:pPr>
        <w:pStyle w:val="Normal"/>
      </w:pPr>
      <w:r>
        <w:t>(i) a given rate or amount of royalty under a license contract, or (ii) a given duration of the term of a license contract, in regard to any license contract in existence at the time the requirement is imposed or enforced, or any commitment or undertaking is enforced, or any future license contract14 freely entered into between the investor and a person in its territory, provided that the requirement is imposed or the commitment or undertaking is enforced in a manner that constitutes direct interference with that license contract by an exercise of non-judicial governmental authority of a Party. For greater certainty, paragraph 1(i) does not apply when the license contract is concluded between the investor and a Party. 2.</w:t>
      </w:r>
    </w:p>
    <w:p>
      <w:pPr>
        <w:pStyle w:val="Normal"/>
      </w:pPr>
      <w:r>
        <w:t>No Party shall condition the receipt or continued receipt of an advantage, in connection with the establishment, acquisition, expansion, management, conduct, operation, or sale or other disposition of an investment of an investor of a Party or of a non-Party in its territory, on compliance with any requirement: (a) to achieve a given level or percentage of domestic content; 13 For the purposes of this Article, the term “technology of the Party or of a person of the Party” includes technology that is owned by the Party or a person of the Party, and technology for which the Party or a person of the Party holds an exclusive license. 14 A “license contract” referred to in this subparagraph means a contract concerning the licensing of technology, a production process, or other proprietary knowledge.</w:t>
      </w:r>
    </w:p>
    <w:p>
      <w:pPr>
        <w:pStyle w:val="Normal"/>
      </w:pPr>
      <w:r>
        <w:t>(b) to purchase, use, or accord a preference to a good produced in its territory, or to purchase a good from a person in its territory; (c) to relate in any way the volume or value of imports to the volume or value of exports or to the amount of foreign exchange inflows associated with the investment; (d) to restrict sales of goods or services in its territory that the investment produces or supplies by relating those sales in any way to the volume or value of its exports or foreign exchange earnings; or (e) (i) to purchase, use or accord a preference to, in its territory, technology of the Party or of a person of the Party, or (ii) that prevents the purchase or use of, or the according of a preference to, in its territory, a technology. 3. In relation to paragraphs 1 and 2:</w:t>
      </w:r>
    </w:p>
    <w:p>
      <w:pPr>
        <w:pStyle w:val="Normal"/>
      </w:pPr>
      <w:r>
        <w:t>(a) Nothing in paragraph 2 shall be construed to prevent a Party from conditioning the receipt or continued receipt of an advantage, in connection with an investment of an investor of a Party or of a non-Party in its territory, on compliance with a requirement to locate production, supply a service, train or employ workers, construct or expand particular facilities, or carry out research and development, in its territory.</w:t>
      </w:r>
    </w:p>
    <w:p>
      <w:pPr>
        <w:pStyle w:val="Normal"/>
      </w:pPr>
      <w:r>
        <w:t>(b) Paragraphs 1(f), 1(h), 1(i), and 2(e) do not apply: (i) if a Party authorizes use of an intellectual property right in accordance with Article 3115 of the TRIPS Agreement, or to a measure requiring the disclosure of proprietary information that fall within the scope of, and is consistent with, Article 39 of the TRIPS Agreement, or (ii) if the requirement is imposed or the commitment or undertaking 16 is enforced by a court, administrative tribunal, or competition authority, after 15 The reference to “Article 31” includes any waiver or amendment to the TRIPS Agreement implementing paragraph 6 of the Doha Declaration on the TRIPS Agreement and Public Health (WT/MIN (01)/DEC/2).</w:t>
      </w:r>
    </w:p>
    <w:p>
      <w:pPr>
        <w:pStyle w:val="Normal"/>
      </w:pPr>
      <w:r>
        <w:t>16 For greater certainty, for the purposes of this subparagraph, a commitment or undertaking includes a consent agreement. judicial or administrative process, to remedy an alleged violation of competition laws.17 (c) Provided that such measures are not applied in an arbitrary or unjustifiable manner, or do not constitute a disguised restriction on international trade or investment, paragraphs 1(b), 1(c), 1(f), 2(a), and 2(b) shall not be construed to prevent a Party from adopting or maintaining measures: (i) necessary to secure compliance with laws and regulations that are not inconsistent with this Agreement, (ii) necessary to protect human, animal or plant life or health, or (iii) related to the conservation of living or non-living exhaustible natural resources.</w:t>
      </w:r>
    </w:p>
    <w:p>
      <w:pPr>
        <w:pStyle w:val="Normal"/>
      </w:pPr>
      <w:r>
        <w:t>(d) Paragraphs 1(a), 1(b), 1(c), 2(a), and 2(b) do not apply to qualification requirements for a good or a service with respect to export promotion and foreign aid programs. (e) Paragraphs 1(b), 1(c), 1(f), 1(g), 1(h), 1(i), 2(a), 2(b), and 2(e) do not apply to government procurement. (f) Paragraphs 2(a) and 2(b) do not apply to requirements imposed by an importing Party relating to the content of a good necessary to qualify for preferential tariffs or preferential quotas. (g) Paragraphs 1(h), 1(i), and 2(e) shall not be construed to prevent a Party from adopting or maintaining measures to protect legitimate public welfare objectives, provided that such measures are not applied in an arbitrary or unjustifiable manner, or in a manner that constitutes a disguised restriction on international trade or investment. 4. For greater certainty, paragraphs 1 and 2 do not apply to any commitment, undertaking, or requirement other than those set out in those paragraphs. 5. This Article does not preclude enforcement of any commitment, undertaking, or requirement between private parties, if a Party did not impose or require the commitment, undertaking, or requirement. 17 The Parties recognize that a patent does not necessarily confer market power.</w:t>
      </w:r>
    </w:p>
    <w:p>
      <w:pPr>
        <w:pStyle w:val="Heading2"/>
      </w:pPr>
      <w:bookmarkStart w:id="900420" w:name="_Toc300000419"/>
      <w:r>
        <w:t xml:space="preserve">Article 14.11: Senior Management and Boards of Directors</w:t>
      </w:r>
      <w:bookmarkEnd w:id="900420"/>
    </w:p>
    <w:p>
      <w:pPr>
        <w:pStyle w:val="Normal"/>
      </w:pPr>
      <w:r>
        <w:t xml:space="preserve">1. No Party shall require that an enterprise of that Party that is a covered investment appoint to senior management positions a natural person of a particular nationality. 2. A Party may require that a majority of the board of directors, or any committee thereof, of an enterprise of that Party that is a covered investment, be of a particular nationality, or resident in the territory of the Party, provided that the requirement does not materially impair the ability of the investor to exercise control over its investment.</w:t>
      </w:r>
    </w:p>
    <w:p>
      <w:pPr>
        <w:pStyle w:val="Heading2"/>
      </w:pPr>
      <w:bookmarkStart w:id="900421" w:name="_Toc300000420"/>
      <w:r>
        <w:t xml:space="preserve">Article 14.12: Non-Conforming Measures</w:t>
      </w:r>
      <w:bookmarkEnd w:id="900421"/>
    </w:p>
    <w:p>
      <w:pPr>
        <w:pStyle w:val="Normal"/>
      </w:pPr>
      <w:r>
        <w:t xml:space="preserve">1. Article 14.4 (National Treatment), Article 14.5 (Most-Favored-Nation Treatment), Article 14.10 (Performance Requirements), and Article 14.11 (Senior Management and Boards of Directors) do not apply to: (a) any existing non-conforming measure that is maintained by a Party at: (i) the central level of government, as set out by that Party in its Schedule to Annex I, (ii) a regional level of government, as set out by that Party in its Schedule to Annex I, or (iii) a local level of government; (b) the continuation or prompt renewal of any non-conforming measure referred to in subparagraph (a); or (c) an amendment to any non-conforming measure referred to in subparagraph (a) to the extent that the amendment does not decrease the conformity of the measure, as it existed immediately before the amendment, with Article 14.4 (National Treatment), Article 14.5 (Most-Favored-Nation Treatment), Article 14.10 (Performance Requirements), or Article 14.11 (Senior Management and Boards of Directors). 2.</w:t>
      </w:r>
    </w:p>
    <w:p>
      <w:pPr>
        <w:pStyle w:val="Normal"/>
      </w:pPr>
      <w:r>
        <w:t>Article 14.4 (National Treatment), Article 14.5 (Most-Favored-Nation Treatment), Article 14.10 (Performance Requirements), and Article 14.11 (Senior Management and Boards of Directors) do not apply to any measure that a Party adopts or maintains with respect to sectors, sub-sectors, or activities, as set out by that Party in its Schedule to Annex II. 3.</w:t>
      </w:r>
    </w:p>
    <w:p>
      <w:pPr>
        <w:pStyle w:val="Normal"/>
      </w:pPr>
      <w:r>
        <w:t>No Party shall, under any measure adopted after the date of entry into force of this Agreement and covered by its Schedule to Annex II, require an investor of another Party, by reason of its nationality, to sell or otherwise dispose of an investment existing at the time the measure becomes effective. 4. (a) Article 14.4 (National Treatment) does not apply to any measure that falls within an exception to, or derogation from, the obligations imposed by: (i) Article 20.8 (National Treatment), or (ii) Article 3 of the TRIPS Agreement, if the exception or derogation relates to matters not addressed by Chapter 20 (Intellectual Property Rights); (b) Article 14.5 (Most-Favored-Nation Treatment) does not apply to any measure that falls within Article 5 of the TRIPS Agreement, or an exception to, or derogation from, an obligation imposed by: (i) Article 20.8 (National Treatment), or (ii) Article 4 of the TRIPS Agreement. 5. Article 14.4 (National Treatment), Article 14.5 (Most-Favored-Nation Treatment), and Article 14.11 (Senior Management and Boards of Directors) do not apply to: (a) government procurement; or (b) subsidies or grants provided by a Party, including government-supported loans, guarantees, and insurance.</w:t>
      </w:r>
    </w:p>
    <w:p>
      <w:pPr>
        <w:pStyle w:val="Heading2"/>
      </w:pPr>
      <w:bookmarkStart w:id="900422" w:name="_Toc300000421"/>
      <w:r>
        <w:t xml:space="preserve">Article 14.13: Special Formalities and Information Requirements</w:t>
      </w:r>
      <w:bookmarkEnd w:id="900422"/>
    </w:p>
    <w:p>
      <w:pPr>
        <w:pStyle w:val="Normal"/>
      </w:pPr>
      <w:r>
        <w:t xml:space="preserve">1. Nothing in Article 14.4 (National Treatment) shall be construed to prevent a Party from adopting or maintaining a measure that prescribes special formalities in connection with covered investments, such as a requirement that investors be residents of the Party or that covered investments be legally constituted under the laws or regulations of the Party, provided that these formalities do not materially impair the protections afforded by the Party to investors of another Party and covered investments pursuant to this Chapter. 2. Notwithstanding Article 14.4 (National Treatment) and Article 14.5 (Most-Favored- Nation Treatment), a Party may require an investor of another Party or its covered investment to provide information concerning that investment solely for informational or statistical purposes. The Party shall protect such information that is confidential from any disclosure that would prejudice the competitive position of the investor or its covered investment. Nothing in this paragraph shall be construed to prevent a Party from otherwise obtaining or disclosing information in connection with the equitable and good faith application of its law.</w:t>
      </w:r>
    </w:p>
    <w:p>
      <w:pPr>
        <w:pStyle w:val="Heading2"/>
      </w:pPr>
      <w:bookmarkStart w:id="900423" w:name="_Toc300000422"/>
      <w:r>
        <w:t xml:space="preserve">Article 14.14: Denial of Benefits</w:t>
      </w:r>
      <w:bookmarkEnd w:id="900423"/>
    </w:p>
    <w:p>
      <w:pPr>
        <w:pStyle w:val="Normal"/>
      </w:pPr>
      <w:r>
        <w:t xml:space="preserve">1. A Party may deny the benefits of this Chapter to an investor of another Party that is an enterprise of that other Party and to investments of that investor if the enterprise: (a) is owned or controlled by a person of a non-Party or of the denying Party; and (b) has no substantial business activities in the territory of any Party other than the denying Party. 2. A Party may deny the benefits of this Chapter to an investor of another Party that is an enterprise of that other Party and to investments of that investor if persons of a non-Party own or control the enterprise and the denying Party adopts or maintains measures with respect to the non-Party or a person of the non-Party that prohibit transactions with the enterprise or that would be violated or circumvented if the benefits of this Chapter were accorded to the enterprise or to its investments.</w:t>
      </w:r>
    </w:p>
    <w:p>
      <w:pPr>
        <w:pStyle w:val="Heading2"/>
      </w:pPr>
      <w:bookmarkStart w:id="900424" w:name="_Toc300000423"/>
      <w:r>
        <w:t xml:space="preserve">Article 14.15: Subrogation</w:t>
      </w:r>
      <w:bookmarkEnd w:id="900424"/>
    </w:p>
    <w:p>
      <w:pPr>
        <w:pStyle w:val="Normal"/>
      </w:pPr>
      <w:r>
        <w:t xml:space="preserve">If a Party, or an agency of a Party, makes a payment to an investor of the Party under a guarantee, a contract of insurance, or other form of indemnity that it has entered into with respect to a covered investment, the other Party in whose territory the covered investment was made shall recognize the subrogation or transfer of any right the investor would have possessed with respect to the covered investment but for the subrogation, and the investor shall be precluded from pursuing that right to the extent of the subrogation, unless a Party or an agency of a Party authorizes the investor to act on its behalf.</w:t>
      </w:r>
    </w:p>
    <w:p>
      <w:pPr>
        <w:pStyle w:val="Heading2"/>
      </w:pPr>
      <w:bookmarkStart w:id="900425" w:name="_Toc300000424"/>
      <w:r>
        <w:t xml:space="preserve">Article 14.16: Investment and Environmental, Health, Safety, and other Regulatory Objectives</w:t>
      </w:r>
      <w:bookmarkEnd w:id="900425"/>
    </w:p>
    <w:p>
      <w:pPr>
        <w:pStyle w:val="Normal"/>
      </w:pPr>
      <w:r>
        <w:t xml:space="preserve">Nothing in this Chapter shall be construed to prevent a Party from adopting, maintaining, or enforcing any measure otherwise consistent with this Chapter that it considers appropriate to ensure that investment activity in its territory is undertaken in a manner sensitive to environmental, health, safety, or other regulatory objectives.</w:t>
      </w:r>
    </w:p>
    <w:p>
      <w:pPr>
        <w:pStyle w:val="Heading2"/>
      </w:pPr>
      <w:bookmarkStart w:id="900426" w:name="_Toc300000425"/>
      <w:r>
        <w:t xml:space="preserve">Article 14.17: Corporate Social Responsibility</w:t>
      </w:r>
      <w:bookmarkEnd w:id="900426"/>
    </w:p>
    <w:p>
      <w:pPr>
        <w:pStyle w:val="Normal"/>
      </w:pPr>
      <w:r>
        <w:t xml:space="preserve">The Parties reaffirm the importance of each Party encouraging enterprises operating within its territory or subject to its jurisdiction to voluntarily incorporate into their internal policies those internationally recognized standards, guidelines, and principles of corporate social responsibility that have been endorsed or are supported by that Party, which may include the OECD Guidelines for Multinational Enterprises. These standards, guidelines, and principles may address areas such as labor, environment, gender equality, human rights, indigenous and aboriginal peoples’ rights, and corruption.</w:t>
      </w:r>
    </w:p>
    <w:p>
      <w:pPr>
        <w:pStyle w:val="Heading2"/>
      </w:pPr>
      <w:bookmarkStart w:id="900427" w:name="_Toc300000426"/>
      <w:r>
        <w:t xml:space="preserve">ANNEX 14-A CUSTOMARY INTERNATIONAL LAW</w:t>
      </w:r>
      <w:bookmarkEnd w:id="900427"/>
    </w:p>
    <w:p>
      <w:pPr>
        <w:pStyle w:val="Normal"/>
      </w:pPr>
      <w:r>
        <w:t xml:space="preserve">The Parties confirm their shared understanding that “customary international law” generally and as specifically referenced in Article 14.6 (Minimum Standard of Treatment) results from a general and consistent practice of States that they follow from a sense of legal obligation. The customary international law minimum standard of treatment of aliens refers to all customary international law principles that protect the investments of aliens. 14-A-1</w:t>
      </w:r>
    </w:p>
    <w:p>
      <w:pPr>
        <w:pStyle w:val="Heading2"/>
      </w:pPr>
      <w:bookmarkStart w:id="900428" w:name="_Toc300000427"/>
      <w:r>
        <w:t xml:space="preserve">ANNEX 14-B EXPROPRIATION</w:t>
      </w:r>
      <w:bookmarkEnd w:id="900428"/>
    </w:p>
    <w:p>
      <w:pPr>
        <w:pStyle w:val="Normal"/>
      </w:pPr>
      <w:r>
        <w:t xml:space="preserve">The Parties confirm their shared understanding that: 1. An action or a series of actions by a Party cannot constitute an expropriation unless it interferes with a tangible or intangible property right18 or property interest in an investment. 2. Article 14.8.1 (Expropriation and Compensation) addresses two situations. The first is direct expropriation, in which an investment is nationalized or otherwise directly expropriated through formal transfer of title or outright seizure. 3. The second situation addressed by Article 14.8.1 (Expropriation and Compensation) is indirect expropriation, in which an action or series of actions by a Party has an effect equivalent to direct expropriation without formal transfer of title or outright seizure. (a) The determination of whether an action or series of actions by a Party, in a specific fact situation, constitutes an indirect expropriation, requires a case-by case, fact-based inquiry that considers, among other factors:</w:t>
      </w:r>
    </w:p>
    <w:p>
      <w:pPr>
        <w:pStyle w:val="Normal"/>
      </w:pPr>
      <w:r>
        <w:t>(i) the economic impact of the government action, although the fact that an action or series of actions by a Party has an adverse effect on the economic value of an investment, standing alone, does not establish that an indirect expropriation has occurred, (ii) the extent to which the government action interferes with distinct, reasonable investment-backed expectations,19 and (iii) the character of the government action, including its object, context, and intent.</w:t>
      </w:r>
    </w:p>
    <w:p>
      <w:pPr>
        <w:pStyle w:val="Normal"/>
      </w:pPr>
      <w:r>
        <w:t>(b) Non-discriminatory regulatory actions by a Party that are designed and applied to protect legitimate public welfare objectives, such as health, safety and the environment, do not constitute indirect expropriations, except in rare circumstances. 18 For greater certainty, the existence of a property right is determined with reference to a Party’s law. 19 For greater certainty, whether an investor’s investment-backed expectations are reasonable depends, to the extent relevant, on factors such as whether the government provided the investor with binding written assurances and the nature and extent of governmental regulation or the potential for government regulation in the relevant sector. 14-B-1</w:t>
      </w:r>
    </w:p>
    <w:p>
      <w:pPr>
        <w:pStyle w:val="Heading2"/>
      </w:pPr>
      <w:bookmarkStart w:id="900429" w:name="_Toc300000428"/>
      <w:r>
        <w:t xml:space="preserve">ANNEX 14-C LEGACY INVESTMENT CLAIMS AND PENDING CLAIMS</w:t>
      </w:r>
      <w:bookmarkEnd w:id="900429"/>
    </w:p>
    <w:p>
      <w:pPr>
        <w:pStyle w:val="Normal"/>
      </w:pPr>
      <w:r>
        <w:t xml:space="preserve">1. Each Party consents, with respect to a legacy investment, to the submission of a claim to arbitration in accordance with Section B of Chapter 11 (Investment) of NAFTA 1994 and this Annex alleging breach of an obligation under: (a) Section A of Chapter 11 (Investment) of NAFTA 1994; (b) Article 1503(2) (State Enterprises) of NAFTA 1994; and (c) Article 1502(3)(a) (Monopolies and State Enterprises) of NAFTA 1994 where the monopoly has acted in a manner inconsistent with the Party’s obligations under Section A of Chapter 11 (Investment) of NAFTA 1994.20, 21 2. The consent under paragraph 1 and the submission of a claim to arbitration in accordance with Section B of Chapter 11 (Investment) of NAFTA 1994 and this Annex shall satisfy the requirements of: (a) Chapter II of the ICSID Convention (Jurisdiction of the Centre) and the ICSID Additional Facility Rules for written consent of the parties to the dispute;</w:t>
      </w:r>
    </w:p>
    <w:p>
      <w:pPr>
        <w:pStyle w:val="Normal"/>
      </w:pPr>
      <w:r>
        <w:t>(b) Article II of the New York Convention for an “agreement in writing”; and (c) Article I of the Inter-American Convention for an “agreement”. 3. A Party’s consent under paragraph 1 shall expire three years after the termination of NAFTA 1994. 4.</w:t>
      </w:r>
    </w:p>
    <w:p>
      <w:pPr>
        <w:pStyle w:val="Normal"/>
      </w:pPr>
      <w:r>
        <w:t>For greater certainty, an arbitration initiated pursuant to the submission of a claim under paragraph 1 may proceed to its conclusion in accordance with Section B of Chapter 11 (Investment) of NAFTA 1994, the Tribunal’s jurisdiction with respect to such a claim is not affected by the expiration of consent referenced in paragraph 3, and Article 1136 (Finality and Enforcement of an Award) of NAFTA 1994 (excluding paragraph 5) applies with respect to any award made by the Tribunal. 20 For greater certainty, the relevant provisions in Chapter 2 (General Definitions), Chapter 11 (Section A) (Investment), Chapter 14 (Financial Services), Chapter 15 (Competition Policy, Monopolies and State Enterprises), Chapter 17 (Intellectual Property), Chapter 21 (Exceptions), and Annexes I-VII (Reservations and Exceptions to Investment, Cross-Border Trade in Services and Financial Services Chapters) of NAFTA 1994 apply with respect to such a claim. 21 Mexico and the United States do not consent under paragraph 1 with respect to an investor of the other Party that is eligible to submit claims to arbitration under paragraph 2 of Annex 14-E (Mexico-United States Investment Disputes Related to Covered Government Contracts). 14-C-1 5.</w:t>
      </w:r>
    </w:p>
    <w:p>
      <w:pPr>
        <w:pStyle w:val="Normal"/>
      </w:pPr>
      <w:r>
        <w:t>For greater certainty, an arbitration initiated pursuant to the submission of a claim under Section B of Chapter 11 (Investment) of NAFTA 1994 while NAFTA 1994 is in force may proceed to its conclusion in accordance with Section B of Chapter 11 (Investment) of NAFTA 1994, the Tribunal’s jurisdiction with respect to such a claim is not affected by the termination of NAFTA 1994, and Article 1136 of NAFTA 1994 (excluding paragraph 5) applies with respect to any award made by the Tribunal. 6. For the purposes of this Annex: (a) “legacy investment” means an investment of an investor of another Party in the territory of the Party established or acquired between January 1, 1994, and the date of termination of NAFTA 1994, and in existence on the date of entry into force of this Agreement; (b) “investment”, “investor”, and “Tribunal” have the meanings accorded in Chapter 11 (Investment) of NAFTA 1994; and (c) “ICSID Convention”, “ICSID Additional Facility Rules”, “New York Convention”, and “Inter-American Convention” have the meanings accorded in Article 14.D.1 (Definitions). 14-C-2</w:t>
      </w:r>
    </w:p>
    <w:p>
      <w:pPr>
        <w:pStyle w:val="Heading2"/>
      </w:pPr>
      <w:bookmarkStart w:id="900430" w:name="_Toc300000429"/>
      <w:r>
        <w:t xml:space="preserve">ANNEX 14-D MEXICO-UNITED STATES INVESTMENT DISPUTES</w:t>
      </w:r>
      <w:bookmarkEnd w:id="900430"/>
    </w:p>
    <w:p>
      <w:pPr>
        <w:pStyle w:val="Heading2"/>
      </w:pPr>
      <w:bookmarkStart w:id="900431" w:name="_Toc300000430"/>
      <w:r>
        <w:t xml:space="preserve">Article 14.D.1: Definitions</w:t>
      </w:r>
      <w:bookmarkEnd w:id="900431"/>
    </w:p>
    <w:p>
      <w:pPr>
        <w:pStyle w:val="Normal"/>
      </w:pPr>
      <w:r>
        <w:t xml:space="preserve">For the purposes of this Annex: Annex Party means Mexico or the United States; Centre means the International Centre for Settlement of Investment Disputes (ICSID) established by the ICSID Convention; claimant means an investor of an Annex Party that is a party to a qualifying investment dispute, excluding an investor that is owned or controlled by a person of a non-Annex Party that, on the date of signature of this Agreement, the other Annex Party has determined to be a non-market economy for purposes of its trade remedy laws and with which no Party has a free trade agreement; disputing parties means the claimant and the respondent; disputing party means either the claimant or the respondent; ICSID Additional Facility Rules means the Rules Governing the Additional Facility for the Administration of Proceedings by the Secretariat of the International Centre for Settlement of Investment Disputes; ICSID Convention means the Convention on the Settlement of Investment Disputes between States and Nationals of other States, done at Washington, March 18, 1965;</w:t>
      </w:r>
    </w:p>
    <w:p>
      <w:pPr>
        <w:pStyle w:val="Normal"/>
      </w:pPr>
      <w:r>
        <w:t>Inter-American Convention means the Inter-American Convention on International Commercial Arbitration, done at Panama, January 30, 1975; New York Convention means the Convention on the Recognition and Enforcement of Foreign Arbitral Awards, done at New York, June 10, 1958; non-disputing Annex Party means the Annex Party that is not a party to a</w:t>
      </w:r>
    </w:p>
    <w:p>
      <w:pPr>
        <w:pStyle w:val="Normal"/>
      </w:pPr>
      <w:r>
        <w:t xml:space="preserve">qualifying investment dispute; protected information means confidential business information or information that is privileged or otherwise protected from disclosure under a Party’s law, including classified government information; 14-D-1 qualifying investment dispute means an investment dispute between an investor of an Annex Party and the other Annex Party; respondent means the Annex Party that is a party to a qualifying investment dispute; Secretary-General means the Secretary-General of ICSID; and UNCITRAL Arbitration Rules means the arbitration rules of the United Nations Commission on International Trade Law.</w:t>
      </w:r>
    </w:p>
    <w:p>
      <w:pPr>
        <w:pStyle w:val="Heading2"/>
      </w:pPr>
      <w:bookmarkStart w:id="900432" w:name="_Toc300000431"/>
      <w:r>
        <w:t xml:space="preserve">Article 14.D.2: Consultation and Negotiation</w:t>
      </w:r>
      <w:bookmarkEnd w:id="900432"/>
    </w:p>
    <w:p>
      <w:pPr>
        <w:pStyle w:val="Normal"/>
      </w:pPr>
      <w:r>
        <w:t xml:space="preserve">1. In the event of a qualifying investment dispute, the claimant and the respondent should initially seek to resolve the dispute through consultation and negotiation, which may include the use of non-binding, third party procedures, such as good offices, conciliation, or mediation. 2. For greater certainty, the initiation of consultations and negotiations shall not be construed as recognition of the jurisdiction of the tribunal.</w:t>
      </w:r>
    </w:p>
    <w:p>
      <w:pPr>
        <w:pStyle w:val="Heading2"/>
      </w:pPr>
      <w:bookmarkStart w:id="900433" w:name="_Toc300000432"/>
      <w:r>
        <w:t xml:space="preserve">Article 14.D.3: Submission of a Claim to Arbitration</w:t>
      </w:r>
      <w:bookmarkEnd w:id="900433"/>
    </w:p>
    <w:p>
      <w:pPr>
        <w:pStyle w:val="Normal"/>
      </w:pPr>
      <w:r>
        <w:t xml:space="preserve">1.</w:t>
      </w:r>
    </w:p>
    <w:p>
      <w:pPr>
        <w:pStyle w:val="Normal"/>
      </w:pPr>
      <w:r>
        <w:t>In the event that a disputing party considers that a qualifying investment dispute cannot be settled by consultation and negotiation: (a) the claimant, on its own behalf, may submit to arbitration under this Annex a claim: (i) that the respondent has breached: (A) Article 14.4 (National Treatment) or Article 14.5 (Most-Favored- Nation Treatment),22 except with respect to the establishment or acquisition of an investment, or (B) Article 14.8 (Expropriation and Compensation), except with respect to indirect expropriation, and (ii) that the claimant has incurred loss or damage by reason of, or arising out of, that breach; and 22 For the purposes of this paragraph: (i) the “treatment” referred to in Article 14.5 (Most-Favored-Nation Treatment) excludes provisions in other international trade or investment agreements that establish international dispute resolution procedures or impose substantive obligations; and (ii) the “treatment” referred to in Article 14.5 only encompasses measures adopted or maintained by the other Annex Party, which for greater clarity may include measures adopted in connection with the implementation of substantive obligations in other international trade or investment agreements.</w:t>
      </w:r>
    </w:p>
    <w:p>
      <w:pPr>
        <w:pStyle w:val="Normal"/>
      </w:pPr>
      <w:r>
        <w:t>14-D-2 (b) the claimant, on behalf of an enterprise of the respondent that is a juridical person that the claimant owns or controls directly or indirectly, may submit to arbitration under this Annex a claim: (i) that the respondent has breached: (A) Article 14.4 (National Treatment) or Article 14.5 (Most-Favored- Nation Treatment), except with respect to the establishment or acquisition of an investment, or (B) Article 14.8 (Expropriation and Compensation), except with respect to indirect expropriation, and (ii) that the enterprise has incurred loss or damage by reason of, or arising out of, that breach.23 2. At least 90 days before submitting any claim to arbitration under this Annex, the claimant shall deliver to the respondent a written notice of its intention to submit a claim to arbitration (notice of intent). The notice shall specify: (a) the name and address of the claimant and, if a claim is submitted on behalf of an enterprise, the name, address, and place of incorporation of the enterprise;</w:t>
      </w:r>
    </w:p>
    <w:p>
      <w:pPr>
        <w:pStyle w:val="Normal"/>
      </w:pPr>
      <w:r>
        <w:t>(b) for each claim, the provision of this Agreement alleged to have been breached and any other relevant provisions; (c) the legal and factual basis for each claim; and (d) the relief sought and the approximate amount of damages claimed. 3.</w:t>
      </w:r>
    </w:p>
    <w:p>
      <w:pPr>
        <w:pStyle w:val="Normal"/>
      </w:pPr>
      <w:r>
        <w:t>The claimant may submit a claim referred to in paragraph 1 under one of the following alternatives: (a) the ICSID Convention and the ICSID Rules of Procedure for Arbitration Proceedings, provided that both the respondent and the Party of the claimant are parties to the ICSID Convention;24 (b) the ICSID Additional Facility Rules, provided that either the respondent or the Party of the claimant is a party to the ICSID Convention; 23 For greater certainty, in order for a claim to be submitted to arbitration under subparagraph (b), an investor of the Party of the claimant must own or control the enterprise on the date of the alleged breach and the date on which the claim is submitted to arbitration. 24 For greater certainty, if a claimant submits a claim under this subparagraph, any award made by the tribunal under Article 14.D.13 (Awards) constitutes an award under Chapter IV of the ICSID Convention (Arbitration). 14-D-3 (c) the UNCITRAL Arbitration Rules; or (d) if the claimant and respondent agree, any other arbitral institution or any other arbitration rules. 4.</w:t>
      </w:r>
    </w:p>
    <w:p>
      <w:pPr>
        <w:pStyle w:val="Normal"/>
      </w:pPr>
      <w:r>
        <w:t>A claim shall be deemed submitted to arbitration under this Annex when the claimant’s notice of or request for arbitration (notice of arbitration): (a) referred to in the ICSID Convention is received by the Secretary-General; (b) referred to in the ICSID Additional Facility Rules is received by the Secretary- General; (c) referred to in the UNCITRAL Arbitration Rules, together with the statement of claim referred to therein, are received by the respondent; or (d) referred to under any arbitral institution or arbitration rules selected under paragraph 3(d) is received by the respondent. A claim asserted by the claimant for the first time after such notice of arbitration is submitted shall be deemed submitted to arbitration under this Annex on the date of its receipt under the applicable arbitration rules. 5. The arbitration rules applicable under paragraph 3 that are in effect on the date the claim or claims were submitted to arbitration under this Annex shall govern the arbitration except to the extent modified by this Agreement. 6. The claimant shall provide with the notice of arbitration:</w:t>
      </w:r>
    </w:p>
    <w:p>
      <w:pPr>
        <w:pStyle w:val="Normal"/>
      </w:pPr>
      <w:r>
        <w:t xml:space="preserve">(a) the name of the arbitrator that the claimant appoints; or (b) the claimant’s written consent for the Secretary-General to appoint that arbitrator.</w:t>
      </w:r>
    </w:p>
    <w:p>
      <w:pPr>
        <w:pStyle w:val="Heading2"/>
      </w:pPr>
      <w:bookmarkStart w:id="900434" w:name="_Toc300000433"/>
      <w:r>
        <w:t xml:space="preserve">Article 14.D.4: Consent to Arbitration</w:t>
      </w:r>
      <w:bookmarkEnd w:id="900434"/>
    </w:p>
    <w:p>
      <w:pPr>
        <w:pStyle w:val="Normal"/>
      </w:pPr>
      <w:r>
        <w:t xml:space="preserve">1. Each Annex Party consents to the submission of a claim to arbitration under this Annex in accordance with this Agreement. 2.</w:t>
      </w:r>
    </w:p>
    <w:p>
      <w:pPr>
        <w:pStyle w:val="Normal"/>
      </w:pPr>
      <w:r>
        <w:t xml:space="preserve">The consent under paragraph 1 and the submission of a claim to arbitration under this Annex shall be deemed to satisfy the requirements of: (a) Chapter II of the ICSID Convention (Jurisdiction of the Centre) and the ICSID Additional Facility Rules for written consent of the parties to the dispute; 14-D-4 (b) Article II of the New York Convention for an “agreement in writing”; and (c) Article I of the Inter-American Convention for an “agreement”.</w:t>
      </w:r>
    </w:p>
    <w:p>
      <w:pPr>
        <w:pStyle w:val="Heading2"/>
      </w:pPr>
      <w:bookmarkStart w:id="900435" w:name="_Toc300000434"/>
      <w:r>
        <w:t xml:space="preserve">Article 14.D.5: Conditions and Limitations on Consent</w:t>
      </w:r>
      <w:bookmarkEnd w:id="900435"/>
    </w:p>
    <w:p>
      <w:pPr>
        <w:pStyle w:val="Normal"/>
      </w:pPr>
      <w:r>
        <w:t xml:space="preserve">1. No claim shall be submitted to arbitration under this Annex unless: (a) the claimant (for claims brought under Article 14.D.3.1(a) (Submission of a Claim to Arbitration)) and the claimant or the enterprise (for claims brought under Article 14.D.3.1(b)) first initiated a proceeding before a competent court or administrative tribunal of the respondent with respect to the measures alleged to constitute a breach referred to in Article 14.D.3;</w:t>
      </w:r>
    </w:p>
    <w:p>
      <w:pPr>
        <w:pStyle w:val="Normal"/>
      </w:pPr>
      <w:r>
        <w:t>(b) the claimant or the enterprise obtained a final decision from a court of last resort of the respondent or 30 months have elapsed from the date the proceeding in subparagraph (a) was initiated;25 (c) no more than four years have elapsed from the date on which the claimant first acquired, or should have first acquired, knowledge of the breach alleged under Article 14.D.3.1 (Submission of a Claim to Arbitration) and knowledge that the claimant (for claims brought under Article 14.D.3.1(a)) or the enterprise (for claims brought under Article</w:t>
      </w:r>
    </w:p>
    <w:p>
      <w:pPr>
        <w:pStyle w:val="Normal"/>
      </w:pPr>
      <w:r>
        <w:t>14.D.3.1(b)) has incurred loss or damage; (d) the claimant consents in writing to arbitration in accordance with the procedures set out in this Agreement; and (e) the notice of arbitration is accompanied: (i) for claims submitted to arbitration under Article 14.D.3.1(a) (Submission of a Claim to Arbitration), by the claimant’s written waiver, and (ii) for claims submitted to arbitration under Article 14.D.3.1(b) (Submission of a Claim to Arbitration), by the claimant’s and the enterprise’s written waivers, of any right to initiate or continue before any court or administrative tribunal under the law of an Annex Party, or any other dispute settlement procedures, any proceeding with respect to any measure alleged to constitute a breach referred to in Article 14.D.3 (Submission of a Claim to Arbitration). 25 The provisions in subparagraphs (a) and (b) do not apply to the extent recourse to domestic remedies was obviously futile. 14-D-5 2.</w:t>
      </w:r>
    </w:p>
    <w:p>
      <w:pPr>
        <w:pStyle w:val="Normal"/>
      </w:pPr>
      <w:r>
        <w:t xml:space="preserve">Notwithstanding paragraph 1(e), the claimant (for claims brought under Article 14.D.3.1(a) (Submission of a Claim to Arbitration)) and the claimant or the enterprise (for claims brought under Article 14.D.3.1(b)) may initiate or continue an action that seeks interim injunctive relief and does not involve the payment of monetary damages before a judicial or administrative tribunal of the respondent, provided that the action is brought for the sole purpose of preserving the claimant’s or the enterprise’s rights and interests during the pendency of the arbitration.</w:t>
      </w:r>
    </w:p>
    <w:p>
      <w:pPr>
        <w:pStyle w:val="Heading2"/>
      </w:pPr>
      <w:bookmarkStart w:id="900436" w:name="_Toc300000435"/>
      <w:r>
        <w:t xml:space="preserve">Article 14.D.6: Selection of Arbitrators</w:t>
      </w:r>
      <w:bookmarkEnd w:id="900436"/>
    </w:p>
    <w:p>
      <w:pPr>
        <w:pStyle w:val="Normal"/>
      </w:pPr>
      <w:r>
        <w:t xml:space="preserve">1. Unless the disputing parties agree otherwise, the tribunal shall comprise three arbitrators, one arbitrator appointed by each of the disputing parties and the third, who shall be the presiding arbitrator, appointed by agreement of the disputing parties. 2. The Secretary-General shall serve as appointing authority for an arbitration under this Annex. 3.</w:t>
      </w:r>
    </w:p>
    <w:p>
      <w:pPr>
        <w:pStyle w:val="Normal"/>
      </w:pPr>
      <w:r>
        <w:t>If a tribunal has not been constituted within a period of 75 days after the date that a claim is submitted to arbitration under this Annex, the Secretary-General, on the request of a disputing party, shall appoint, in his or her discretion, the arbitrator or arbitrators not yet appointed. The Secretary-General shall not appoint a national of either the respondent or the Party of the claimant as the presiding arbitrator unless the disputing parties agree otherwise. 4.</w:t>
      </w:r>
    </w:p>
    <w:p>
      <w:pPr>
        <w:pStyle w:val="Normal"/>
      </w:pPr>
      <w:r>
        <w:t>For the purposes of Article 39 of the ICSID Convention and Article 7 of Schedule C to the ICSID Additional Facility Rules, and without prejudice to an objection to an arbitrator on a ground other than nationality: (a) the respondent agrees to the appointment of each individual member of a tribunal established under the ICSID Convention or the ICSID Additional Facility Rules; (b) a claimant referred to in Article 14.D.3.1(a) (Submission of a Claim to Arbitration) may submit a claim to arbitration under this Annex, or continue a claim, under the ICSID Convention or the ICSID Additional Facility Rules, only on condition that the claimant agrees in writing to the appointment of each individual member of the tribunal; and (c) a claimant referred to in Article 14.D.3.1(b) (Submission of a Claim to Arbitration) may submit a claim to arbitration under this Annex, or continue a claim, under the ICSID Convention or the ICSID Additional Facility Rules, only on condition that the claimant and the enterprise agree in writing to the appointment of each individual member of the tribunal. 5.</w:t>
      </w:r>
    </w:p>
    <w:p>
      <w:pPr>
        <w:pStyle w:val="Normal"/>
      </w:pPr>
      <w:r>
        <w:t xml:space="preserve">Arbitrators appointed to a tribunal for claims submitted under Article 14.D.3.1 shall: 14-D-6 (a) comply with the International Bar Association Guidelines on Conflicts of Interest in International Arbitration, including guidelines regarding direct or indirect conflicts of interest, or any supplemental guidelines or rules adopted by the Annex Parties; (b) not take instructions from any organization or government regarding the dispute; and (c) not, for the duration of the proceedings, act as counsel or as party-appointed expert or witness in any pending arbitration under the annexes to this Chapter. 6. Challenges to arbitrators shall be governed by the procedures in the UNCITRAL Arbitration Rules.</w:t>
      </w:r>
    </w:p>
    <w:p>
      <w:pPr>
        <w:pStyle w:val="Heading2"/>
      </w:pPr>
      <w:bookmarkStart w:id="900437" w:name="_Toc300000436"/>
      <w:r>
        <w:t xml:space="preserve">Article 14.D.7: Conduct of the Arbitration</w:t>
      </w:r>
      <w:bookmarkEnd w:id="900437"/>
    </w:p>
    <w:p>
      <w:pPr>
        <w:pStyle w:val="Normal"/>
      </w:pPr>
      <w:r>
        <w:t xml:space="preserve">1. The disputing parties may agree on the legal place of any arbitration under the arbitration rules applicable under Article 14.D.3.3 (Submission of a Claim to Arbitration). If the disputing parties fail to reach agreement, the tribunal shall determine the place in accordance with the applicable arbitration rules, provided that the place shall be in the territory of a State that is a party to the New York Convention. 2. The non-disputing Annex Party may make oral and written submissions to the tribunal regarding the interpretation of this Agreement. 3.</w:t>
      </w:r>
    </w:p>
    <w:p>
      <w:pPr>
        <w:pStyle w:val="Normal"/>
      </w:pPr>
      <w:r>
        <w:t>After consultation with the disputing parties, the tribunal may accept and consider written amicus curiae submissions regarding a matter of fact or law within the scope of the dispute that may assist the tribunal in evaluating the submissions and arguments of the disputing parties from a person or entity that is not a disputing party but has a significant interest in the arbitral proceedings. Each submission shall identify the author; disclose any affiliation, direct or indirect, with any disputing party; and identify any person, government, or other entity that has provided, or will provide, any financial or other assistance in preparing the submission. Each submission shall be in a language of the arbitration and comply with any page limits and deadlines set by the tribunal. The tribunal shall provide the disputing parties with an opportunity to respond to such submissions. The tribunal shall ensure that the submissions do not disrupt or unduly burden the arbitral proceedings, or unfairly prejudice any disputing party. 4.</w:t>
      </w:r>
    </w:p>
    <w:p>
      <w:pPr>
        <w:pStyle w:val="Normal"/>
      </w:pPr>
      <w:r>
        <w:t>Without prejudice to a tribunal’s authority to address other objections as a preliminary question, such as an objection that a dispute is not within the competence of the tribunal, including an objection to the tribunal’s jurisdiction, a tribunal shall address and decide as a preliminary question any objection by the respondent that, as a matter of law, a claim submitted is not a claim for which an award in favor of the claimant may be made under Article 14.D.13 (Awards) or that a claim is manifestly without legal merit. 14-D-7 (a) An objection under this paragraph shall be submitted to the tribunal as soon as possible after the tribunal is constituted, and in no event later than the date the tribunal fixes for the respondent to submit its counter-memorial or, in the case of an amendment to the notice of arbitration, the date the tribunal fixes for the respondent to submit its response to the amendment.</w:t>
      </w:r>
    </w:p>
    <w:p>
      <w:pPr>
        <w:pStyle w:val="Normal"/>
      </w:pPr>
      <w:r>
        <w:t>(b) On receipt of an objection under this paragraph, the tribunal shall suspend any proceedings on the merits, establish a schedule for considering the objection consistent with any schedule it has established for considering any other preliminary question, and issue a decision or award on the objection, stating the grounds therefor.</w:t>
      </w:r>
    </w:p>
    <w:p>
      <w:pPr>
        <w:pStyle w:val="Normal"/>
      </w:pPr>
      <w:r>
        <w:t>(c) In deciding an objection under this paragraph that a claim submitted is not a claim for which an award in favor of the claimant may be made under Article 14.D.13 (Awards), the tribunal shall assume to be true the claimant’s factual allegations in support of any claim in the notice of arbitration (or any amendment thereof) and, in disputes brought under the UNCITRAL Arbitration Rules, the statement of claim referred to in the relevant article of the UNCITRAL Arbitration Rules. The tribunal may also consider any relevant facts not in dispute. (d) The respondent does not waive any objection as to competence, including an objection to jurisdiction, or any argument on the merits merely because the respondent did or did not raise an objection under this paragraph or make use of the expedited procedure set out in paragraph 5. 5.</w:t>
      </w:r>
    </w:p>
    <w:p>
      <w:pPr>
        <w:pStyle w:val="Normal"/>
      </w:pPr>
      <w:r>
        <w:t>In the event that the respondent so requests within 45 days after the tribunal is constituted, the tribunal shall decide on an expedited basis an objection under paragraph 4 or any objection that the dispute is not within the tribunal’s competence, including an objection that the dispute is not within the tribunal’s jurisdiction. The tribunal shall suspend any proceedings on the merits and issue a decision or award on the objection, stating the grounds therefor, no later than 150 days after the date of the request. However, if a disputing party requests a hearing, the tribunal may take an additional 30 days to issue the decision or award.</w:t>
      </w:r>
    </w:p>
    <w:p>
      <w:pPr>
        <w:pStyle w:val="Normal"/>
      </w:pPr>
      <w:r>
        <w:t>Regardless of whether a hearing is requested, a tribunal may, on a showing of extraordinary cause, delay issuing its decision or award by an additional brief period, which may not exceed 30 days. 6. When the tribunal decides a respondent’s objection under paragraph 4 or 5, it may, if warranted, award to the prevailing disputing party reasonable costs and attorney’s fees incurred in submitting or opposing the objection. In determining whether such an award is warranted, the tribunal shall consider whether either the claimant’s claim or the respondent’s objection was frivolous, and shall provide the disputing parties a reasonable opportunity to comment. 7. For greater certainty, if an investor of an Annex Party submits a claim under this Annex, the investor has the burden of proving all elements of its claims, consistent with general principles of international law applicable to international arbitration. 14-D-8 8. A respondent may not assert as a defense, counterclaim, right of set-off, or for any other reason, that the claimant has received or will receive indemnification or other compensation for all or part of the alleged damages pursuant to an insurance or guarantee contract. 9.</w:t>
      </w:r>
    </w:p>
    <w:p>
      <w:pPr>
        <w:pStyle w:val="Normal"/>
      </w:pPr>
      <w:r>
        <w:t>A tribunal may order an interim measure of protection to preserve the rights of a disputing party, or to ensure that the tribunal’s jurisdiction is made fully effective, including an order to preserve evidence in the possession or control of a disputing party or to protect the tribunal’s jurisdiction. A tribunal may not order attachment or enjoin the application of a measure alleged to constitute a breach referred to in Article 14.D.3 (Submission of a Claim to Arbitration). For the purposes of this paragraph, an order includes a recommendation. 10. The tribunal and the disputing parties shall endeavor to conduct the arbitration in an expeditious and cost-effective manner. 11.</w:t>
      </w:r>
    </w:p>
    <w:p>
      <w:pPr>
        <w:pStyle w:val="Normal"/>
      </w:pPr>
      <w:r>
        <w:t>Following the submission of a claim to arbitration under this Annex, if the disputing parties fail to take any steps in the proceedings for more than 150 days, or such period as they may agree with the approval of the tribunal, the tribunal shall notify the disputing parties that they shall be deemed to have discontinued the proceedings if the parties fail to take any steps within 30 days after the notice is received. If the parties fail to take any steps within that time period, the tribunal shall take note of the discontinuance in an order. If a tribunal has not yet been constituted, the Secretary-General shall assume these responsibilities. 12.</w:t>
      </w:r>
    </w:p>
    <w:p>
      <w:pPr>
        <w:pStyle w:val="Normal"/>
      </w:pPr>
      <w:r>
        <w:t xml:space="preserve">In any arbitration conducted under this Annex, at the request of a disputing party, a tribunal shall, before issuing a decision or award on liability, transmit its proposed decision or award to the disputing parties. Within 60 days after the tribunal transmits its proposed decision or award, the disputing parties may submit written comments to the tribunal concerning any aspect of its proposed decision or award. The tribunal shall consider any comments and issue its decision or award no later than 45 days after the expiration of the 60 day comment period.</w:t>
      </w:r>
    </w:p>
    <w:p>
      <w:pPr>
        <w:pStyle w:val="Heading2"/>
      </w:pPr>
      <w:bookmarkStart w:id="900438" w:name="_Toc300000437"/>
      <w:r>
        <w:t xml:space="preserve">Article 14.D.8: Transparency of Arbitral Proceedings</w:t>
      </w:r>
      <w:bookmarkEnd w:id="900438"/>
    </w:p>
    <w:p>
      <w:pPr>
        <w:pStyle w:val="Normal"/>
      </w:pPr>
      <w:r>
        <w:t xml:space="preserve">1. Subject to paragraphs 2 and 4, the respondent shall, after receiving the following documents, promptly transmit them to the non-disputing Annex Party and make them available to the public: (a) the notice of intent; (b) the notice of arbitration; (c) pleadings, memorials, and briefs submitted to the tribunal by a disputing party and any written submissions submitted pursuant to Article 14.D.7.2 and 14.D.7.3 (Conduct of the Arbitration), and Article 14.D.12 (Consolidation);</w:t>
      </w:r>
    </w:p>
    <w:p>
      <w:pPr>
        <w:pStyle w:val="Normal"/>
      </w:pPr>
      <w:r>
        <w:t>(d) minutes or transcripts of hearings of the tribunal, if available; and (e) orders, awards, and decisions of the tribunal. 14-D-9 2. The tribunal shall conduct hearings open to the public and shall determine, in consultation with the disputing parties, the appropriate logistical arrangements.</w:t>
      </w:r>
    </w:p>
    <w:p>
      <w:pPr>
        <w:pStyle w:val="Normal"/>
      </w:pPr>
      <w:r>
        <w:t>If a disputing party intends to use information in a hearing that is designated as protected information or otherwise subject to paragraph 3 it shall so advise the tribunal. The tribunal shall make appropriate arrangements to protect such information from disclosure which may include closing the hearing for the duration of the discussion of that information. 3. Nothing in this Annex, including paragraph 4(d), requires a respondent to make available to the public or otherwise disclose during or after the arbitral proceedings, including the hearing, protected information, or to furnish or allow access to information that it may withhold in accordance with Article 32.2 (Essential Security) or Article 32.7 (Disclosure of Information).26 4. Any protected information that is submitted to the tribunal shall be protected from disclosure in accordance with the following procedures: (a) subject to subparagraph (d), neither the disputing parties nor the tribunal shall disclose to the non-disputing Annex Party or to the public any protected information if the disputing party that provided the information clearly designates it in accordance with subparagraph (b);</w:t>
      </w:r>
    </w:p>
    <w:p>
      <w:pPr>
        <w:pStyle w:val="Normal"/>
      </w:pPr>
      <w:r>
        <w:t>(b) any disputing party claiming that certain information constitutes protected information shall clearly designate the information according to any schedule set by the tribunal; (c) a disputing party shall, according to any schedule set by the tribunal, submit a redacted version of the document that does not contain the</w:t>
      </w:r>
    </w:p>
    <w:p>
      <w:pPr>
        <w:pStyle w:val="Normal"/>
      </w:pPr>
      <w:r>
        <w:t>protected information. Only the redacted version shall be disclosed in accordance with paragraph 1; and (d) the tribunal, subject to paragraph 3, shall decide any objection regarding the designation of information claimed to be protected information. If the tribunal determines that the information was not properly designated, the disputing party that submitted the information may: (i) withdraw all or part of its submission containing that information, or (ii) agree to resubmit complete and redacted documents with corrected designations in accordance with the tribunal’s determination and subparagraph (c). In either case, the other disputing party shall, whenever necessary, resubmit complete and redacted documents which either remove the information withdrawn 26 For greater certainty, when a respondent chooses to disclose to the tribunal information that may be withheld in accordance with Article 32.2 (Essential Security) or Article 32.7 (Disclosure of Information), the respondent may still withhold that information from disclosure to the public.</w:t>
      </w:r>
    </w:p>
    <w:p>
      <w:pPr>
        <w:pStyle w:val="Normal"/>
      </w:pPr>
      <w:r>
        <w:t>14-D-10 under subparagraph (d)(i) by the disputing party that first submitted the information or redesignate the information consistent with the designation under subparagraph (d)(ii) of the disputing party that first submitted the information. 5. Nothing in this Annex requires a respondent to withhold from the public information required to be disclosed by its laws.</w:t>
      </w:r>
    </w:p>
    <w:p>
      <w:pPr>
        <w:pStyle w:val="Normal"/>
      </w:pPr>
      <w:r>
        <w:t xml:space="preserve">The respondent should endeavor to apply those laws in a manner sensitive to protecting from disclosure information that has been designated as protected information.</w:t>
      </w:r>
    </w:p>
    <w:p>
      <w:pPr>
        <w:pStyle w:val="Heading2"/>
      </w:pPr>
      <w:bookmarkStart w:id="900439" w:name="_Toc300000438"/>
      <w:r>
        <w:t xml:space="preserve">Article 14.D.9: Governing Law</w:t>
      </w:r>
      <w:bookmarkEnd w:id="900439"/>
    </w:p>
    <w:p>
      <w:pPr>
        <w:pStyle w:val="Normal"/>
      </w:pPr>
      <w:r>
        <w:t xml:space="preserve">1. Subject to paragraph 2, when a claim is submitted under Article 14.D.3.1 (Submission of a Claim to Arbitration), the tribunal shall decide the issues in dispute in accordance with this Agreement and applicable rules of international law. 2. A decision of the Commission on the interpretation of a provision of this Agreement under Article 30.2 (Functions of the Commission) shall be binding on a tribunal, and any decision or award issued by a tribunal must be consistent with that decision.</w:t>
      </w:r>
    </w:p>
    <w:p>
      <w:pPr>
        <w:pStyle w:val="Normal"/>
      </w:pPr>
      <w:r>
        <w:t>3. INVESTOR STATE SECURITY REVIEW SCOPE. In a claim otherwise within Annex 14-D or Annex 14-E, the tribunal applies Article 32.2 as replaced by Article 32.A and Articles 32.A.1 through 32.A.9 when an essential-security defence is raised. The same boundary that prohibits a Chapter 31 panel from substituting military, defence, intelligence, foreign-policy, or good-faith security-identification judgment binds the tribunal, which reviews only implementation elements expressly made reviewable by those provisions. The invoking Party establishes compliance with the applicable reviewable conditions, and, to the extent it does not, Article 32.2(2)(b) does not excuse an independently established investment breach; a procedural omission alone does not establish that breach or damages. This paragraph creates no new cause of action, jurisdiction, consent to arbitration, or exception to an investment exclusion otherwise applicable under this Agreement.</w:t>
      </w:r>
    </w:p>
    <w:p>
      <w:pPr>
        <w:pStyle w:val="Normal"/>
      </w:pPr>
      <w:r>
        <w:t>4. INVESTOR STATE SECURITY COORDINATION. The tribunal notifies the disputing parties and the relevant national Secretariat Sections when the security implementation issue is also before a Chapter 31 panel, and invites submissions on coordination. If that panel has already been established on the same implementation issue, the tribunal suspends determination of that issue for up to ninety days, while preserving evidence and continuing unrelated issues, and may extend the suspension only with both disputing parties’ consent. The tribunal then decides within its own jurisdiction, considers any available panel report with an opportunity for the disputing parties to address it, and gives binding effect only to Commission interpretations having that effect under Article 30.2(2)(f). Parallel proceedings do not authorize duplicate recovery for the same loss, and the tribunal deducts compensation already received for that loss without extinguishing independently available claims.</w:t>
      </w:r>
    </w:p>
    <w:p>
      <w:pPr>
        <w:pStyle w:val="Normal"/>
      </w:pPr>
      <w:r>
        <w:t>5. INVESTOR STATE CLASSIFIED EVIDENCE. Article 32.A.8 governs protected review of classified evidence relevant to an essential-security defence in an Annex 14-D or Annex 14-E proceeding, notwithstanding the voluntary-disclosure language in Article 14.D.8(3) and its associated footnote. The tribunal arranges a security-cleared independent special advocate, protected reviewer, or comparably independent procedure capable of testing the material evidence, with the invoking Party providing access through the protected procedure rather than public disclosure. Article 32.2(1) and Article 32.7 continue to protect ordinary disclosure, and neither classification alone nor a refusal of public disclosure eliminates the required independent review. The tribunal decides the evidentiary effect of an unjustified failure to provide protected review on the record and within its existing jurisdiction, without presuming liability or enlarging the pleaded claim.</w:t>
      </w:r>
    </w:p>
    <w:p>
      <w:pPr>
        <w:spacing w:after="240"/>
      </w:pPr>
      <w:r>
        <w:t>6. PROTECTED SECURITY REVIEW REFUSAL STANDARD. For paragraph 5, refusal of protected review is unjustified where, after notice and an opportunity to respond, the tribunal finds that the invoking Party has not identified a concrete security risk from the proposed protected method or has refused a reasonably available independent alternative capable of testing the material evidence while avoiding that risk. Article 32.2(1)’s determination preserves ordinary nondisclosure but does not itself satisfy Article 32.A.8’s independent-review requirement, and the tribunal tests only the proposed review method and available safeguards rather than substituting its judgment on the underlying security interest. Where no safe independent method is reasonably available, the tribunal does not compel disclosure, but evidence left untested cannot alone establish a disputed material fact supporting the defence. After hearing both disputing parties, the tribunal gives a reasoned evidentiary ruling confined to the affected fact, with no automatic liability, damages, or enlargement of jurisdiction.</w:t>
      </w:r>
    </w:p>
    <w:p>
      <w:pPr>
        <w:pStyle w:val="Heading2"/>
      </w:pPr>
      <w:bookmarkStart w:id="900440" w:name="_Toc300000439"/>
      <w:r>
        <w:t xml:space="preserve">Article 14.D.10: Interpretation of Annexes</w:t>
      </w:r>
      <w:bookmarkEnd w:id="900440"/>
    </w:p>
    <w:p>
      <w:pPr>
        <w:pStyle w:val="Normal"/>
      </w:pPr>
      <w:r>
        <w:t xml:space="preserve">1. If a respondent asserts as a defense that the measure alleged to be a breach is within the scope of a non-conforming measure set out in Annex I or Annex II, the tribunal shall, on request of the respondent, request the interpretation of the Commission on the issue.</w:t>
      </w:r>
    </w:p>
    <w:p>
      <w:pPr>
        <w:pStyle w:val="Normal"/>
      </w:pPr>
      <w:r>
        <w:t>The Commission shall submit in writing any decision on its interpretation under Article 30.2 (Functions of the Commission) to the tribunal within 90 days of delivery of the request. 2. A decision issued by the Commission under paragraph 1 shall be binding on the tribunal, and any decision or award issued by the tribunal must be consistent with that decision. If the Commission fails to issue such a decision within 90 days, the tribunal shall decide the issue.</w:t>
      </w:r>
    </w:p>
    <w:p>
      <w:pPr>
        <w:pStyle w:val="Heading2"/>
      </w:pPr>
      <w:bookmarkStart w:id="900441" w:name="_Toc300000440"/>
      <w:r>
        <w:t xml:space="preserve">Article 14.D.11: Expert Reports</w:t>
      </w:r>
      <w:bookmarkEnd w:id="900441"/>
    </w:p>
    <w:p>
      <w:pPr>
        <w:pStyle w:val="Normal"/>
      </w:pPr>
      <w:r>
        <w:t xml:space="preserve">Without prejudice to the appointment of other kinds of experts when authorized by the applicable arbitration rules, a tribunal, on request of a disputing party or, unless the disputing parties disapprove, on its own initiative, may appoint one or more experts to report to it in writing on any factual issue concerning scientific matters raised by a disputing party in a proceeding, subject to any terms and conditions that the disputing parties may agree. 14-D-11</w:t>
      </w:r>
    </w:p>
    <w:p>
      <w:pPr>
        <w:pStyle w:val="Heading2"/>
      </w:pPr>
      <w:bookmarkStart w:id="900442" w:name="_Toc300000441"/>
      <w:r>
        <w:t xml:space="preserve">Article 14.D.12: Consolidation</w:t>
      </w:r>
      <w:bookmarkEnd w:id="900442"/>
    </w:p>
    <w:p>
      <w:pPr>
        <w:pStyle w:val="Normal"/>
      </w:pPr>
      <w:r>
        <w:t xml:space="preserve">1. If two or more claims have been submitted separately to arbitration under Article 14.D.3.1 (Submission of a Claim to Arbitration) and the claims have a question of law or fact in common and arise out of the same events or circumstances, any disputing party may seek a consolidation order in accordance with the agreement of all the disputing parties sought to be covered by the order or the terms of paragraphs 2 through 10. 2.</w:t>
      </w:r>
    </w:p>
    <w:p>
      <w:pPr>
        <w:pStyle w:val="Normal"/>
      </w:pPr>
      <w:r>
        <w:t>A disputing party that seeks a consolidation order under this Article shall deliver, in writing, a request to the Secretary-General and to all the disputing parties sought to be covered by the order and shall specify in the request: (a) the names and addresses of all the disputing parties sought to be covered by the order; (b) the nature of the order sought; and (c) the grounds on which the order is sought. 3.</w:t>
      </w:r>
    </w:p>
    <w:p>
      <w:pPr>
        <w:pStyle w:val="Normal"/>
      </w:pPr>
      <w:r>
        <w:t>Unless the Secretary-General finds within a period of 30 days after the date of receiving a request under paragraph 2 that the request is manifestly unfounded, a tribunal shall be established under this Article. 4. Unless all the disputing parties sought to be covered by the order agree otherwise, a tribunal established under this Article shall comprise three arbitrators: (a) one arbitrator appointed by agreement of the claimants; (b) one arbitrator appointed by the respondent; and (c) the presiding arbitrator appointed by the Secretary-General, provided that the presiding arbitrator is not a national of the respondent or of the Party of the claimants. 5. If, within a period of 60 days after the date when the Secretary-General receives a request made under paragraph 2, the respondent fails or the claimants fail to appoint an arbitrator in accordance with paragraph 4, the Secretary-General, on request of any disputing party sought to be covered by the order, shall appoint, in his or her discretion, the arbitrator or arbitrators not yet appointed. 6.</w:t>
      </w:r>
    </w:p>
    <w:p>
      <w:pPr>
        <w:pStyle w:val="Normal"/>
      </w:pPr>
      <w:r>
        <w:t>If a tribunal established under this Article is satisfied that two or more claims that have been submitted to arbitration under Article 14.D.3.1 (Submission of a Claim to Arbitration) have a question of law or fact in common, and arise out of the same events or circumstances, the tribunal may, in the interest of fair and efficient resolution of the claims, and after hearing the disputing parties, by order: 14-D-12 (a) assume jurisdiction over, and hear and determine together, all or part of the claims; (b) assume jurisdiction over, and hear and determine one or more of the claims, the determination of which it believes would assist in the resolution of the others; or (c) instruct a tribunal previously established under Article 14.D.6 (Selection of Arbitrators) to assume jurisdiction over, and hear and determine together, all or part of the claims, provided that: (i) that tribunal, on request of a claimant that was not previously a disputing party before that tribunal, shall be reconstituted with its original members, except that the arbitrator for the claimants shall be appointed pursuant to paragraphs 4(a) and 5, and (ii) that tribunal shall decide whether a prior hearing shall be repeated. 7.</w:t>
      </w:r>
    </w:p>
    <w:p>
      <w:pPr>
        <w:pStyle w:val="Normal"/>
      </w:pPr>
      <w:r>
        <w:t>If a tribunal has been established under this Article, a claimant that has submitted a claim to arbitration under Article 14.D.3.1 (Submission of a Claim to Arbitration) and that has not been named in a request made under paragraph 2 may make a written request to the tribunal that it be included in any order made under paragraph 6. The request shall specify: (a) the name and address of the claimant; (b) the nature of the order sought; and (c) the grounds on which the order is sought. The claimant shall deliver a copy of its request to the Secretary-General. 8. A tribunal established under this Article shall conduct its proceedings in accordance with the UNCITRAL Arbitration Rules, except as modified by this Annex. 9. A tribunal established under Article 14.D.6 (Selection of Arbitrators) shall not have jurisdiction to decide a claim, or a part of a claim, over which a tribunal established or instructed under this Article has assumed jurisdiction. 10.</w:t>
      </w:r>
    </w:p>
    <w:p>
      <w:pPr>
        <w:pStyle w:val="Normal"/>
      </w:pPr>
      <w:r>
        <w:t xml:space="preserve">On the application of a disputing party, a tribunal established under this Article, pending its decision under paragraph 6, may order that the proceedings of a tribunal established under Article 14.D.6 (Selection of Arbitrators) be stayed, unless the latter tribunal has already adjourned its proceedings.</w:t>
      </w:r>
    </w:p>
    <w:p>
      <w:pPr>
        <w:pStyle w:val="Heading2"/>
      </w:pPr>
      <w:bookmarkStart w:id="900443" w:name="_Toc300000442"/>
      <w:r>
        <w:t xml:space="preserve">Article 14.D.13: Awards</w:t>
      </w:r>
      <w:bookmarkEnd w:id="900443"/>
    </w:p>
    <w:p>
      <w:pPr>
        <w:pStyle w:val="Normal"/>
      </w:pPr>
      <w:r>
        <w:t xml:space="preserve">14-D-13 1.</w:t>
      </w:r>
    </w:p>
    <w:p>
      <w:pPr>
        <w:pStyle w:val="Normal"/>
      </w:pPr>
      <w:r>
        <w:t>When a tribunal makes a final award, the tribunal may award, separately or in combination, only: (a) monetary damages and any applicable interest; and (b) restitution of property, in which case the award shall provide that the respondent may pay monetary damages and any applicable interest in lieu of restitution.27 2. For greater certainty, if an investor of an Annex Party submits a claim to arbitration under Article 14.D.3.1 (Submission of a Claim to Arbitration), it may recover only for loss or damage that is established on the basis of satisfactory evidence and that is not inherently speculative. 3. For greater certainty, if an investor of an Annex Party submits a claim to arbitration under Article 14.D.3.1(a) (Submission of a Claim to Arbitration), it may recover only for loss or damage incurred in its capacity as an investor of an Annex Party. 4. A tribunal may also award costs and attorney’s fees incurred by the disputing parties in connection with the arbitral proceedings, and shall determine how and by whom those costs and attorney’s fees shall be paid, in accordance with this Annex and the applicable arbitration rules. 5.</w:t>
      </w:r>
    </w:p>
    <w:p>
      <w:pPr>
        <w:pStyle w:val="Normal"/>
      </w:pPr>
      <w:r>
        <w:t>Subject to paragraph 1, if a claim is submitted to arbitration under Article 14.D.3.1(b) (Submission of a Claim to Arbitration) and an award is made in favor of the enterprise: (a) an award of restitution of property shall provide that restitution be made to the enterprise; (b) an award of monetary damages and any applicable interest shall provide that the sum be paid to the enterprise; and (c) the award shall provide that it is made without prejudice to any right that any person may have under applicable domestic law with respect to the relief provided in the award. 6. A tribunal shall not award punitive damages. 7. An award made by a tribunal has no binding force except between the disputing parties and in respect of the particular case. 8. Subject to paragraph 9 and the applicable review procedure for an interim award, a disputing party shall abide by and comply with an award without delay. 9. A disputing party shall not seek enforcement of a final award until:</w:t>
      </w:r>
    </w:p>
    <w:p>
      <w:pPr>
        <w:pStyle w:val="Normal"/>
      </w:pPr>
      <w:r>
        <w:t>27 For greater certainty, in the final award the tribunal may not order the respondent to take or not to take other actions, including the amendment, repeal, adoption, or implementation of a law or regulation.</w:t>
      </w:r>
    </w:p>
    <w:p>
      <w:pPr>
        <w:pStyle w:val="Normal"/>
      </w:pPr>
      <w:r>
        <w:t>14-D-14 (a) in the case of a final award made under the ICSID Convention: (i) 120 days have elapsed from the date the award was rendered and no disputing party has requested revision or annulment of the award, or (ii) revision or annulment proceedings have been completed; and (b) in the case of a final award under the ICSID Additional Facility Rules, the UNCITRAL Arbitration Rules, or the rules selected pursuant to Article 14.D.3.3(d) (Submission of a Claim to Arbitration): (i) 90 days have elapsed from the date the award was rendered and no disputing party has commenced a proceeding to revise, set aside or annul the award, or (ii) a court has dismissed or allowed an application to revise, set aside or annul the award and there is no further appeal. 10. Each Annex Party shall provide for the enforcement of an award in its territory. 11.</w:t>
      </w:r>
    </w:p>
    <w:p>
      <w:pPr>
        <w:pStyle w:val="Normal"/>
      </w:pPr>
      <w:r>
        <w:t>If the respondent fails to abide by or comply with a final award, on delivery of a request by the Party of the claimant, a panel shall be established under Article 31.6 (Establishment of a Panel). The requesting Party may seek in those proceedings: (a) a determination that the failure to abide by or comply with the final award is inconsistent with the obligations of this Agreement; and (b) in accordance with Article 31.17 (Panel Report), a recommendation that the respondent abide by or comply with the final award. 12.</w:t>
      </w:r>
    </w:p>
    <w:p>
      <w:pPr>
        <w:pStyle w:val="Normal"/>
      </w:pPr>
      <w:r>
        <w:t xml:space="preserve">A disputing party may seek enforcement of an arbitration award under the ICSID Convention, the New York Convention, or the Inter-American Convention regardless of whether proceedings have been taken under paragraph 11. 13. A claim that is submitted to arbitration under this Annex shall be considered to arise out of a commercial relationship or transaction for the purposes of Article I of the New York Convention and Article I of the Inter-American Convention.</w:t>
      </w:r>
    </w:p>
    <w:p>
      <w:pPr>
        <w:pStyle w:val="Heading2"/>
      </w:pPr>
      <w:bookmarkStart w:id="900444" w:name="_Toc300000443"/>
      <w:r>
        <w:t xml:space="preserve">Article 14.D.14: Service of Documents</w:t>
      </w:r>
      <w:bookmarkEnd w:id="900444"/>
    </w:p>
    <w:p>
      <w:pPr>
        <w:pStyle w:val="Normal"/>
      </w:pPr>
      <w:r>
        <w:t xml:space="preserve">Delivery of notice and other documents to an Annex Party shall be made to the place named for that Annex Party in Appendix 1 (Service of Documents on an Annex Party). An Annex Party shall promptly make publicly available and notify the other Annex Party of any change to the place referred to in that Appendix. 14-D-15</w:t>
      </w:r>
    </w:p>
    <w:p>
      <w:pPr>
        <w:pStyle w:val="Heading2"/>
      </w:pPr>
      <w:bookmarkStart w:id="900445" w:name="_Toc300000444"/>
      <w:r>
        <w:t xml:space="preserve">APPENDIX 1 SERVICE OF DOCUMENTS ON AN ANNEX PARTY</w:t>
      </w:r>
      <w:bookmarkEnd w:id="900445"/>
    </w:p>
    <w:p>
      <w:pPr>
        <w:pStyle w:val="Normal"/>
      </w:pPr>
      <w:r>
        <w:t xml:space="preserve">Mexico Notices and other documents in disputes under this Annex shall be served on Mexico by delivery to: Dirección General de Consultoría Jurídica de Comercio Internacional Secretaría de Economía Pachuca #189, piso 19 Col.</w:t>
      </w:r>
    </w:p>
    <w:p>
      <w:pPr>
        <w:pStyle w:val="Normal"/>
      </w:pPr>
      <w:r>
        <w:t xml:space="preserve">Condesa Demarcación Territorial Cuauhtémoc Ciudad de México C.P. 06140 United States Notices and other documents in disputes under this Annex shall be served on the United States by delivery to: Executive Director (L/H-EX) Office of the Legal Adviser &amp; Bureau of Legislative Affairs U.S. Department of State 600 19th Street, NW Washington, D.C. 20552 14-D-1-1</w:t>
      </w:r>
    </w:p>
    <w:p>
      <w:pPr>
        <w:pStyle w:val="Heading2"/>
      </w:pPr>
      <w:bookmarkStart w:id="900446" w:name="_Toc300000445"/>
      <w:r>
        <w:t xml:space="preserve">APPENDIX 2 PUBLIC DEBT</w:t>
      </w:r>
      <w:bookmarkEnd w:id="900446"/>
    </w:p>
    <w:p>
      <w:pPr>
        <w:pStyle w:val="Normal"/>
      </w:pPr>
      <w:r>
        <w:t xml:space="preserve">1.</w:t>
      </w:r>
    </w:p>
    <w:p>
      <w:pPr>
        <w:pStyle w:val="Normal"/>
      </w:pPr>
      <w:r>
        <w:t>For greater certainty, no award shall be made in favor of a claimant for a claim under Article 14.D.3.1 (Submission of a Claim to Arbitration) with respect to default or non-payment of debt issued by a Party28 unless the claimant meets its burden of proving that such default or non-payment constitutes a breach of a relevant obligation in the Chapter. 2. No claim that a restructuring of debt issued by a Party, standing alone, breaches an obligation in this Chapter shall be submitted to arbitration under Article 14.D.3.1 (Submission of a Claim to Arbitration), provided that the restructuring is effected as provided for under the debt instrument’s terms, including the debt instrument’s governing law. 28 For purposes of this Annex, “debt issued by a Party” includes, in the case of Mexico, “public debt” of Mexico as defined in Article 1 of the Federal Law on Public Debt (Ley Federal de Deuda Pública).</w:t>
      </w:r>
    </w:p>
    <w:p>
      <w:pPr>
        <w:pStyle w:val="Normal"/>
      </w:pPr>
      <w:r>
        <w:t xml:space="preserve">14-D-2-1</w:t>
      </w:r>
    </w:p>
    <w:p>
      <w:pPr>
        <w:pStyle w:val="Heading2"/>
      </w:pPr>
      <w:bookmarkStart w:id="900447" w:name="_Toc300000446"/>
      <w:r>
        <w:t xml:space="preserve">APPENDIX 3 SUBMISSION OF A CLAIM TO ARBITRATION</w:t>
      </w:r>
      <w:bookmarkEnd w:id="900447"/>
    </w:p>
    <w:p>
      <w:pPr>
        <w:pStyle w:val="Normal"/>
      </w:pPr>
      <w:r>
        <w:t xml:space="preserve">An investor of the United States may not submit to arbitration a claim that Mexico has breached an obligation under this Chapter either: (a) on its own behalf under Article 14.D.3.1(a) (Submission of a Claim to Arbitration); or (b) on behalf of an enterprise of Mexico that is a juridical person that the investor owns or controls directly or indirectly under Article 14.D.3.1(b) (Submission of a Claim to Arbitration), if the investor or the enterprise, respectively, has alleged that breach of an obligation under this Chapter, as distinguished from breach of other obligations under Mexican law, in proceedings before a court or administrative tribunal of Mexico. 14-D-3-1</w:t>
      </w:r>
    </w:p>
    <w:p>
      <w:pPr>
        <w:pStyle w:val="Heading2"/>
      </w:pPr>
      <w:bookmarkStart w:id="900448" w:name="_Toc300000447"/>
      <w:r>
        <w:t xml:space="preserve">ANNEX 14-E MEXICO-UNITED STATES INVESTMENT DISPUTES RELATED TO COVERED GOVERNMENT CONTRACTS</w:t>
      </w:r>
      <w:bookmarkEnd w:id="900448"/>
    </w:p>
    <w:p>
      <w:pPr>
        <w:pStyle w:val="Normal"/>
      </w:pPr>
      <w:r>
        <w:t xml:space="preserve">1. Annex 14-D (Mexico-United States Investment Disputes) applies as modified by this Annex to the settlement of a qualifying investment dispute under this Chapter in the circumstances set out in paragraph 2.29 2. In the event that a disputing party considers that a qualifying investment dispute cannot be settled by consultation and negotiation: (a) the claimant, on its own behalf, may submit to arbitration under Annex 14-D (Mexico-United States Investment Disputes) a claim: (i) that the respondent has breached any obligation under this Chapter,30 provided that: (A) the claimant is:</w:t>
      </w:r>
    </w:p>
    <w:p>
      <w:pPr>
        <w:pStyle w:val="Normal"/>
      </w:pPr>
      <w:r>
        <w:t>(1) a party to a covered government contract, or (2) engaged in activities in the same covered sector in the territory of the respondent as an enterprise of the respondent that the claimant owns or controls directly or indirectly and that is a party to a covered government contract, and (B) the respondent is a party to another international trade or investment agreement that permits investors to initiate dispute settlement procedures to resolve an investment dispute with a government, and (ii) that the claimant has incurred loss or damage by reason of, or arising out of, that breach; 29 For greater certainty, Annex 14-D (Mexico-United States Investment Disputes) includes its appendices.</w:t>
      </w:r>
    </w:p>
    <w:p>
      <w:pPr>
        <w:pStyle w:val="Normal"/>
      </w:pPr>
      <w:r>
        <w:t>30 For the purposes of this paragraph: (i) the “treatment” referred to in Article 14.5 (Most-Favored-Nation Treatment) excludes provisions in other international trade or investment agreements that establish international dispute resolution procedures or impose substantive obligations; (ii) the “treatment” referred to in Article 14.5 only encompasses measures adopted or maintained by the other Annex Party, which for greater clarity may include measures adopted in connection with the implementation of substantive obligations in other international trade or investment agreements. 14-E-1 (b) the claimant, on behalf of an enterprise of the respondent that is a juridical person that the claimant owns or controls directly or indirectly, may submit to arbitration under Annex 14-D (Mexico-United States Investment Disputes) a claim: (i) that the respondent has breached any obligation under this Chapter, provided that: (A) the enterprise is:</w:t>
      </w:r>
    </w:p>
    <w:p>
      <w:pPr>
        <w:pStyle w:val="Normal"/>
      </w:pPr>
      <w:r>
        <w:t>(1) a party to a covered government contract, (2) engaged in activities in the same covered sector in the territory of the respondent as the claimant and the claimant is a party to a covered government contract, or (3) engaged in activities in the same covered sector in the territory of the respondent as another enterprise of the respondent that the claimant owns or controls directly or indirectly and that is a party to a covered government contract, and (B) the respondent is a party to another international trade or investment agreement that</w:t>
      </w:r>
    </w:p>
    <w:p>
      <w:pPr>
        <w:pStyle w:val="Normal"/>
      </w:pPr>
      <w:r>
        <w:t>permits investors to initiate dispute settlement procedures to resolve an investment dispute with a government, and (ii) that the enterprise has incurred loss or damage by reason of, or arising out of, that breach.31 3. For the purposes of paragraph 2, if a covered government contract is terminated in a manner inconsistent with an obligation under this Chapter, the claimant or enterprise that was previously a party to the contract shall be deemed to remain a party for the duration of the contract, as if it had not been terminated. 4. No claim shall be submitted to arbitration under paragraph 2 if:</w:t>
      </w:r>
    </w:p>
    <w:p>
      <w:pPr>
        <w:pStyle w:val="Normal"/>
      </w:pPr>
      <w:r>
        <w:t>(a) less than six months have elapsed from the events giving rise to the claim; and (b) more than three years have elapsed from the date on which the claimant first acquired, or should have first acquired, knowledge of the breach alleged under paragraph 2 and knowledge that the claimant (for claims brought under paragraph 31 For greater certainty, in order for a claim to be submitted to arbitration under subparagraph (b), an investor of the Party of the claimant must own or control the enterprise on the date of the alleged breach and the date on which the claim is submitted to arbitration. 14-E-2 2(a)) or the enterprise (for claims brought under paragraph 2(b)) has incurred loss or damage.32 5. For greater certainty, the Annex Parties may agree to modify or eliminate this Annex. 6.</w:t>
      </w:r>
    </w:p>
    <w:p>
      <w:pPr>
        <w:pStyle w:val="Normal"/>
      </w:pPr>
      <w:r>
        <w:t>For the purposes of this Annex: (a) “covered government contract” means a written agreement between a national authority of an Annex Party and a covered investment or investor of the other Annex Party, on which the covered investment or investor relies in establishing or acquiring a covered investment other than the written agreement itself, that grants rights to the covered investment or investor in a covered sector; (b) “covered sector” means: (i) activities with respect to oil and natural gas that a national authority of an Annex Party controls, such as exploration, extraction, refining, transportation, distribution, or sale, (ii) the supply of power generation services to the public on behalf of an Annex Party, (iii) the supply of telecommunications services to the public on behalf of an Annex Party, (iv) the supply of transportation services to the public on behalf of an Annex Party, or (v) the ownership or management of roads, railways, bridges, or canals that are not for the exclusive or predominant use and benefit of the government of an Annex Party;</w:t>
      </w:r>
    </w:p>
    <w:p>
      <w:pPr>
        <w:pStyle w:val="Normal"/>
      </w:pPr>
      <w:r>
        <w:t>(c) “national authority” means an authority at the central level of government;33 and (d) “written agreement” means an agreement in writing, negotiated, and executed by two or more parties, whether in a single instrument or in multiple instruments.34 32 For greater certainty, Article 14.D.5.1(a)-(c) does not apply to claims under paragraph 2.</w:t>
      </w:r>
    </w:p>
    <w:p>
      <w:pPr>
        <w:pStyle w:val="Normal"/>
      </w:pPr>
      <w:r>
        <w:t>33 For greater certainty, an authority at the central level of government includes any person, including a state enterprise or another body, when it exercises governmental authority delegated to it by an authority at the central level of government. 34 For greater certainty, (a) a unilateral act of an administrative or judicial authority, such as a permit, license, certificate, approval, or similar instrument issued by an Annex Party in its regulatory capacity, or a subsidy or grant, or a decree, order or judgment, standing alone; and (b) an administrative or judicial consent decree or order, shall not be considered a written agreement. 14-E-3</w:t>
      </w:r>
    </w:p>
    <w:p>
      <w:pPr>
        <w:pStyle w:val="Heading1"/>
      </w:pPr>
      <w:bookmarkStart w:id="900449" w:name="_Toc300000448"/>
      <w:r>
        <w:t>CHAPTER 15 CROSS-BORDER TRADE IN SERVICES</w:t>
      </w:r>
      <w:bookmarkEnd w:id="900449"/>
    </w:p>
    <w:p>
      <w:pPr>
        <w:pStyle w:val="Heading2"/>
      </w:pPr>
      <w:bookmarkStart w:id="900450" w:name="_Toc300000449"/>
      <w:r>
        <w:t xml:space="preserve">Article 15.1: Definitions</w:t>
      </w:r>
      <w:bookmarkEnd w:id="900450"/>
    </w:p>
    <w:p>
      <w:pPr>
        <w:pStyle w:val="Normal"/>
      </w:pPr>
      <w:r>
        <w:t xml:space="preserve">For the purposes of this Chapter: cross-border trade in services or cross-border supply of services means the supply of a service: (a) from the territory of a Party into the territory of another Party;</w:t>
      </w:r>
    </w:p>
    <w:p>
      <w:pPr>
        <w:pStyle w:val="Normal"/>
      </w:pPr>
      <w:r>
        <w:t>(b) in the territory of a Party by a person of that Party to a person of another Party; or (c) by a national of a Party in the territory of another Party, but does not include the supply of a service in the territory of a Party by a covered investment; enterprise means an enterprise as defined in Article 1.5 (General Definitions), or a branch of an enterprise; professional service means a service, the supply of which requires specialized post-secondary education, or equivalent training or experience, and for which the right to practice is granted or restricted by a Party, but does not include a service provided by a tradesperson, or a vessel or aircraft crew member; service supplied in the exercise of governmental authority means, for a Party, a service that is supplied neither on a commercial basis nor in competition with one or more service suppliers; service supplier of another Party means a person of a Party that seeks to supply or supplies a service;</w:t>
      </w:r>
    </w:p>
    <w:p>
      <w:pPr>
        <w:pStyle w:val="Normal"/>
      </w:pPr>
      <w:r>
        <w:t>and specialty air service means a specialized commercial operation using an aircraft whose primary purpose is not the transportation of goods or passengers, such as aerial fire-fighting, flight training, sightseeing, spraying, surveying, mapping, photography, parachute jumping, glider towing, and</w:t>
      </w:r>
    </w:p>
    <w:p>
      <w:pPr>
        <w:pStyle w:val="Normal"/>
      </w:pPr>
      <w:r>
        <w:t>helicopter-lift for logging and construction, and other airborne agricultural, industrial, and inspection services.</w:t>
      </w:r>
    </w:p>
    <w:p>
      <w:pPr>
        <w:pStyle w:val="Heading2"/>
      </w:pPr>
      <w:bookmarkStart w:id="900451" w:name="_Toc300000450"/>
      <w:r>
        <w:t xml:space="preserve">Article 15.2: Scope</w:t>
      </w:r>
      <w:bookmarkEnd w:id="900451"/>
    </w:p>
    <w:p>
      <w:pPr>
        <w:pStyle w:val="Normal"/>
      </w:pPr>
      <w:r>
        <w:t xml:space="preserve">1. This Chapter applies to measures adopted or maintained by a Party relating to cross- border trade in services by a service supplier of another Party, including a measure relating to: (a) the production, distribution, marketing, sale or delivery of a service;1 (b) the purchase or use of, or payment for, a service;2 (c) the access to or use of distribution, transport, or telecommunications networks or services in connection with the supply of a service; (d) the presence in the Party’s territory of a service supplier of another Party; or (e) the provision of a bond or other form of financial security as a condition for the supply of a service. 2. In addition to paragraph 1: (a) Article 15.5 (Market Access) and Article 15.8 (Development and Administration of Measures) apply to measures adopted or maintained by a Party relating to the supply of a service in its territory by a covered investment; and (b) Annex 15-A (Delivery Services) applies to measures adopted or maintained by a Party relating to the supply of delivery services, including by a covered investment. 3.</w:t>
      </w:r>
    </w:p>
    <w:p>
      <w:pPr>
        <w:pStyle w:val="Normal"/>
      </w:pPr>
      <w:r>
        <w:t>This Chapter does not apply to: (a) a financial service as defined in Article 17.1 (Definitions), except that paragraph 2(a) applies if the financial service is supplied by a covered investment that is not a covered investment in a financial institution as defined in Article 17.1 (Definitions) in the Party’s territory; (b) government procurement; (c) a service supplied in the exercise of governmental authority; or 1 For greater certainty, subparagraph (a) includes the production, distribution, marketing, sale or delivery of a service by electronic means. 2 For greater certainty, subparagraph (b) includes the purchase or use of, or payment for, a service by electronic means. (d) a subsidy or grant provided by a Party or a state enterprise, including government- supported loans, guarantees, or insurance. 4. This Chapter does not apply to air services, including domestic and international air transportation services, whether scheduled or non-scheduled, or to related services in support of air services, other than the following:</w:t>
      </w:r>
    </w:p>
    <w:p>
      <w:pPr>
        <w:pStyle w:val="Normal"/>
      </w:pPr>
      <w:r>
        <w:t>(a) aircraft repair or maintenance services during which an aircraft is withdrawn from service, excluding so-called line maintenance; and (b) specialty air services. 5. This Chapter does not impose an obligation on a Party with respect to a national of another Party who seeks access to its employment market or who is employed on a permanent basis in its territory, and does not confer any right on that national with respect to that access or employment.</w:t>
      </w:r>
    </w:p>
    <w:p>
      <w:pPr>
        <w:pStyle w:val="Normal"/>
      </w:pPr>
      <w:r>
        <w:t>6. Annex 15-B (Committee on Transportation Services) and Annex 15-D (Programming Services) include additional provisions related to this Chapter.</w:t>
      </w:r>
    </w:p>
    <w:p>
      <w:pPr>
        <w:pStyle w:val="Heading2"/>
      </w:pPr>
      <w:bookmarkStart w:id="900452" w:name="_Toc300000451"/>
      <w:r>
        <w:t xml:space="preserve">Article 15.3: National Treatment</w:t>
      </w:r>
      <w:bookmarkEnd w:id="900452"/>
    </w:p>
    <w:p>
      <w:pPr>
        <w:pStyle w:val="Normal"/>
      </w:pPr>
      <w:r>
        <w:t xml:space="preserve">1. Each Party shall accord to services or service suppliers of another Party treatment no less favorable than that it accords, in like circumstances, to its own services and service suppliers. 2. The treatment to be accorded by a Party under paragraph 1 means, with respect to a government other than at the central level, treatment no less favorable than the most favorable treatment accorded, in like circumstances, by that government to services and service suppliers of the Party of which it forms a part. 3. For greater certainty, whether treatment referred to in paragraph 1 is accorded in “like circumstances” depends on the totality of the circumstances, including whether the relevant treatment distinguishes between services or service suppliers on the basis of legitimate public welfare objectives.</w:t>
      </w:r>
    </w:p>
    <w:p>
      <w:pPr>
        <w:pStyle w:val="Heading2"/>
      </w:pPr>
      <w:bookmarkStart w:id="900453" w:name="_Toc300000452"/>
      <w:r>
        <w:t xml:space="preserve">Article 15.4: Most-Favored-Nation Treatment</w:t>
      </w:r>
      <w:bookmarkEnd w:id="900453"/>
    </w:p>
    <w:p>
      <w:pPr>
        <w:pStyle w:val="Normal"/>
      </w:pPr>
      <w:r>
        <w:t xml:space="preserve">1. Each Party shall accord to services or service suppliers of another Party treatment no less favorable than that it accords, in like circumstances, to services and service suppliers of another Party or a non-Party. 2. The treatment to be accorded by a Party under paragraph 1 means, with respect to a government other than at the central level, treatment no less favorable than the most favorable treatment accorded, in like circumstances, by that government to services and service suppliers of another Party or a non-Party. 3. For greater certainty, whether treatment referred to in paragraph 1 is accorded in “like circumstances” depends on the totality of the circumstances, including whether the relevant treatment distinguishes between services or services suppliers on the basis of legitimate public welfare objectives.</w:t>
      </w:r>
    </w:p>
    <w:p>
      <w:pPr>
        <w:pStyle w:val="Heading2"/>
      </w:pPr>
      <w:bookmarkStart w:id="900454" w:name="_Toc300000453"/>
      <w:r>
        <w:t xml:space="preserve">Article 15.5: Market Access</w:t>
      </w:r>
      <w:bookmarkEnd w:id="900454"/>
    </w:p>
    <w:p>
      <w:pPr>
        <w:pStyle w:val="Normal"/>
      </w:pPr>
      <w:r>
        <w:t xml:space="preserve">1. No Party shall adopt or maintain, either on the basis of a regional subdivision or on the basis of its entire territory, a measure that: (a) imposes a limitation on: (i) the number of service suppliers, whether in the form of a numerical quota, monopoly, exclusive service suppliers, or the requirement of an economic needs test, (ii) the total value of service transactions or assets in the form of a numerical quota or the requirement of an economic needs test, (iii) the total number of service operations or the total quantity of service output expressed in terms of a designated numerical unit in the form of a quota or the requirement of an economic needs test,3 or (iv) the total number of natural persons that may be employed in a particular service sector or that a service supplier may employ and who are necessary for, and directly related to, the supply of a specific service in the form of a numerical quota or the requirement of an economic needs test; or (b) restricts or requires a specific type of legal entity or joint venture through which a service supplier may supply a service.</w:t>
      </w:r>
    </w:p>
    <w:p>
      <w:pPr>
        <w:pStyle w:val="Heading2"/>
      </w:pPr>
      <w:bookmarkStart w:id="900455" w:name="_Toc300000454"/>
      <w:r>
        <w:t xml:space="preserve">Article 15.6: Local Presence</w:t>
      </w:r>
      <w:bookmarkEnd w:id="900455"/>
    </w:p>
    <w:p>
      <w:pPr>
        <w:pStyle w:val="Normal"/>
      </w:pPr>
      <w:r>
        <w:t xml:space="preserve">3 Subparagraph (a)(iii) does not cover measures of a Party which limit inputs for the supply of services. No Party shall require a service supplier of another Party to establish or maintain a representative office or an enterprise, or to be resident, in its territory as a condition for the cross- border supply of a service.</w:t>
      </w:r>
    </w:p>
    <w:p>
      <w:pPr>
        <w:pStyle w:val="Heading2"/>
      </w:pPr>
      <w:bookmarkStart w:id="900456" w:name="_Toc300000455"/>
      <w:r>
        <w:t xml:space="preserve">Article 15.7: Non-Conforming Measures</w:t>
      </w:r>
      <w:bookmarkEnd w:id="900456"/>
    </w:p>
    <w:p>
      <w:pPr>
        <w:pStyle w:val="Normal"/>
      </w:pPr>
      <w:r>
        <w:t xml:space="preserve">1. Article 15.3 (National Treatment), Article 15.4 (Most-Favored-Nation Treatment), Article 15.5 (Market Access), and Article 15.6 (Local Presence) do not apply to: (a) an existing non-conforming measure that is maintained by a Party at: (i) the central level of government, as set out by that Party in its Schedule to Annex I, (ii) a regional level of government, as set out by that Party in its Schedule to Annex I, or (iii) a local level of government; (b) the continuation or prompt renewal of a non-conforming measure referred to in subparagraph (a); or (c) an amendment to a non-conforming measure referred to in subparagraph (a), to the extent that the amendment does not decrease the conformity of the measure, as it existed immediately before the amendment, with Article 15.3 (National Treatment), Article 15.4 (Most-Favored-Nation Treatment), Article 15.5 (Market Access), or Article 15.6 (Local Presence). 2. Article 15.3 (National Treatment), Article 15.4 (Most-Favored-Nation Treatment), Article 15.5 (Market Access), and Article 15.6 (Local Presence) do not apply to a measure that a Party adopts or maintains with respect to sectors, sub-sectors or activities, as set out by that Party in its Schedule to Annex II. 3.</w:t>
      </w:r>
    </w:p>
    <w:p>
      <w:pPr>
        <w:pStyle w:val="Normal"/>
      </w:pPr>
      <w:r>
        <w:t>If a Party considers that a non-conforming measure applied by a regional level of government of another Party, as referred to in sub-paragraph 1(a)(ii), creates a material impediment to the cross-border supply of services in relation to the former Party, it may request consultations with regard to that measure. These Parties shall enter into consultations with a view to exchanging information on the operation of the measure and to considering whether further steps are necessary and appropriate. 4. For greater certainty, a Party may request consultations with another Party regarding non conforming measures applied by the central level of government, as referred to in subparagraph 1(a)(i).</w:t>
      </w:r>
    </w:p>
    <w:p>
      <w:pPr>
        <w:pStyle w:val="Heading2"/>
      </w:pPr>
      <w:bookmarkStart w:id="900457" w:name="_Toc300000456"/>
      <w:r>
        <w:t xml:space="preserve">Article 15.8: Development and Administration of Measures</w:t>
      </w:r>
      <w:bookmarkEnd w:id="900457"/>
    </w:p>
    <w:p>
      <w:pPr>
        <w:pStyle w:val="Normal"/>
      </w:pPr>
      <w:r>
        <w:t xml:space="preserve">1. Each Party shall ensure that a measure of general application affecting trade in services is administered in a reasonable, objective, and impartial manner. 2. If a Party adopts or maintains a measure relating to licensing requirements and procedures, or qualification requirements and procedures, affecting trade in services, the Party shall, with respect to that measure: (a) ensure that the requirement or procedure is based on criteria that are objective and transparent. For greater certainty, these criteria may include competence or ability to supply a service, or potential health or environmental impacts of an authorization, and competent authorities may assess the weight given to such criteria; (b) ensure that the competent authority reaches and administers a decision in an independent manner; (c) ensure that the procedure does not in itself prevent fulfilment of a requirement; and (d) to the extent practicable, avoid requiring an applicant to approach more than one competent authority for each application for authorization.4 3.</w:t>
      </w:r>
    </w:p>
    <w:p>
      <w:pPr>
        <w:pStyle w:val="Normal"/>
      </w:pPr>
      <w:r>
        <w:t>If a Party requires an authorization for the supply of a service, it shall ensure that each of its competent authorities: (a) to the extent practicable, permits an applicant to submit an application at any time; (b) if a specific time period for applications exists, allows a reasonable period for the submission of an application; (c) if an examination is required, schedules the examination at reasonably frequent intervals and provides a reasonable period of time to enable an applicant to request to take the examination; (d) endeavors to accept an application electronically; For greater certainty, a Party may require multiple applications for authorization if a service is within the jurisdiction of multiple competent authorities. (e) to the extent practicable, provides an indicative timeframe for processing an application; (f) to the extent practicable, ascertains without undue delay the completeness of an application for processing under the Party’s law;</w:t>
      </w:r>
    </w:p>
    <w:p>
      <w:pPr>
        <w:pStyle w:val="Normal"/>
      </w:pPr>
      <w:r>
        <w:t>(g) accepts copies of documents that are authenticated in accordance with the Party’s law, in place of original documents, unless the competent authority requires original documents to protect the integrity of the authorization process; (h) at the request of the applicant, provides without undue delay information concerning the status of the application; (i) if an application is considered complete under the Party’s law, within a reasonable period of time after the submission of the application, ensures that the processing</w:t>
      </w:r>
    </w:p>
    <w:p>
      <w:pPr>
        <w:pStyle w:val="Normal"/>
      </w:pPr>
      <w:r>
        <w:t>of the application is completed, and that the applicant is informed of the decision concerning the application, to the extent possible in writing;5 (j) if an application is considered incomplete for processing under the Party’s law, within a reasonable period of time, to the extent practicable: (i) informs the applicant that the application is incomplete, (ii) if the applicant requests, provides guidance on why the application is considered incomplete, (iii) provides the applicant with an opportunity6 to provide the additional information that is required for the application to be considered complete, and if none of the above is practicable, and the application is rejected due to incompleteness, ensures that the applicant is informed of the rejection within a reasonable period of time;</w:t>
      </w:r>
    </w:p>
    <w:p>
      <w:pPr>
        <w:pStyle w:val="Normal"/>
      </w:pPr>
      <w:r>
        <w:t>(k) if an application is rejected, to the extent possible, either upon its own initiative or upon the request of the applicant, informs the applicant of the reasons for rejection and, if applicable, the timeframe for an appeal or review of the decision 5 A competent authority can meet this requirement by informing an applicant in advance in writing, including through a published measure, that lack of response after a specified period of time from the date of submission of the application indicates either acceptance or rejection of the application. For greater certainty, “in writing” includes in electronic form.</w:t>
      </w:r>
    </w:p>
    <w:p>
      <w:pPr>
        <w:pStyle w:val="Normal"/>
      </w:pPr>
      <w:r>
        <w:t>6 For greater certainty, providing this opportunity does not require a competent authority to provide extensions of deadlines. to reject the application and the procedures for resubmission of an application; and (l) ensures that authorization, once granted, enters into effect without undue delay, subject to the applicable terms and conditions. 4. Each Party shall ensure that any authorization fee charged by any of its competent authorities is reasonable, transparent, and does not, in itself, restrict the supply of the relevant service. For the purposes of this paragraph, an authorization fee does not include a fee for the use of natural resources, payments for auction, tendering, or other non-discriminatory means of awarding concessions, or mandated contributions to the provision of universal service. 5. Each Party shall encourage its competent authorities, when adopting a technical standard, to adopt technical standards developed through an open and transparent process, and shall encourage a body designated to develop a technical standard to use an open and transparent process. 6.</w:t>
      </w:r>
    </w:p>
    <w:p>
      <w:pPr>
        <w:pStyle w:val="Normal"/>
      </w:pPr>
      <w:r>
        <w:t>If a Party requires authorization for the supply of a service, the Party shall provide to a service supplier or person seeking to supply a service the information necessary to comply with requirements or procedures for obtaining, maintaining, amending, and renewing that authorization.</w:t>
      </w:r>
    </w:p>
    <w:p>
      <w:pPr>
        <w:pStyle w:val="Normal"/>
      </w:pPr>
      <w:r>
        <w:t>That information must include: (a) any fee; (b) the contact information of a relevant competent authority; (c) any procedure for appeal or review of a decision concerning an application; (d) any procedure for monitoring or enforcing compliance with the terms and conditions of licenses; (e) any opportunities for public involvement, such as through hearings or comments; (f) any indicative timeframe for processing of an application; (g) any requirement or procedure; and (h) any technical standard. 7. Paragraphs 1 through 6 do not apply to the aspects of a measure set out in an entry to a Party’s Schedule to Annex I, or to a measure that a Party adopts or maintains with respect to sectors, sub-sectors, or activities as set out by that Party in its Schedule to Annex II.</w:t>
      </w:r>
    </w:p>
    <w:p>
      <w:pPr>
        <w:pStyle w:val="Heading2"/>
      </w:pPr>
      <w:bookmarkStart w:id="900458" w:name="_Toc300000457"/>
      <w:r>
        <w:t xml:space="preserve">Article 15.9: Recognition</w:t>
      </w:r>
      <w:bookmarkEnd w:id="900458"/>
    </w:p>
    <w:p>
      <w:pPr>
        <w:pStyle w:val="Normal"/>
      </w:pPr>
      <w:r>
        <w:t xml:space="preserve">1. For the purposes of the fulfilment, in whole or in part, of a Party’s standards or criteria for the authorization, licensing, or certification of a service supplier, and subject to the requirements of paragraph 4, a Party may recognize any education or experience obtained, requirements met, or licenses or certifications granted, in the territory of another Party or a non- Party. That recognition, which may be achieved through harmonization or otherwise, may be based on an agreement or arrangement with the Party or non-Party concerned, or may be accorded autonomously. 2. If a Party recognizes, autonomously or by agreement or arrangement, the education or experience obtained, requirements met, or licenses or certifications granted, in the territory of another Party or a non-Party, Article 15.4 (Most-Favored-Nation Treatment) does not require the Party to accord recognition to the education or experience obtained, requirements met, or licenses or certifications granted, in the territory of another Party. 3.</w:t>
      </w:r>
    </w:p>
    <w:p>
      <w:pPr>
        <w:pStyle w:val="Normal"/>
      </w:pPr>
      <w:r>
        <w:t>If a Party is a party to an agreement or arrangement of the type referred to in paragraph 1, whether existing or future, the Party shall afford adequate opportunity to another Party, on request, to negotiate its accession to that agreement or arrangement, or to negotiate a comparable agreement or arrangement.</w:t>
      </w:r>
    </w:p>
    <w:p>
      <w:pPr>
        <w:pStyle w:val="Normal"/>
      </w:pPr>
      <w:r>
        <w:t>If a Party accords recognition of the type referred to in paragraph 1 autonomously, the Party shall afford adequate opportunity to another Party to demonstrate that education or experience obtained, requirements met, or licenses or certifications granted, in that other Party’s territory should be recognized. 4. A Party shall not accord recognition in a manner that would constitute a means of discrimination between Parties or between a Party and a non-Party in the application of its standards or criteria for the authorization, licensing, or certification of a service supplier, or a disguised restriction on trade in services. 5. The Parties shall endeavor to facilitate trade in professional services as set out in Annex 15-C (Professional Services).</w:t>
      </w:r>
    </w:p>
    <w:p>
      <w:pPr>
        <w:pStyle w:val="Heading2"/>
      </w:pPr>
      <w:bookmarkStart w:id="900459" w:name="_Toc300000458"/>
      <w:r>
        <w:t xml:space="preserve">Article 15.10: Small and Medium-Sized Enterprises</w:t>
      </w:r>
      <w:bookmarkEnd w:id="900459"/>
    </w:p>
    <w:p>
      <w:pPr>
        <w:pStyle w:val="Normal"/>
      </w:pPr>
      <w:r>
        <w:t xml:space="preserve">1. With a view to enhancing commercial opportunities in services for SMEs, and further to Chapter 25 (Small and Medium-Sized Enterprises), each Party shall endeavor to support the development of SME trade in services and SME-enabling business models, such as direct selling services,7 including through measures that facilitate SME access to resources or protect individuals from fraudulent practices. Direct selling is the retail distribution of goods by an independent sales representative, and for which the representative is compensated based exclusively on the value of goods sold either by the representative or additional representatives recruited, trained, or otherwise supported by the representative. These goods include any product that may be distributed by other retail distribution service suppliers without a prescription or other special 2. Further to Chapter 28 (Good Regulatory Practices), each Party shall endeavor to adopt or maintain appropriate mechanisms that consider the effects of regulatory actions on SME service suppliers and that enable small businesses to participate in regulatory policy development. 3. Further to Article 15.8 (Development and Administration of Measures), each Party shall endeavor to ensure that authorization procedures for a service sector do not impose disproportionate burdens on SMEs.</w:t>
      </w:r>
    </w:p>
    <w:p>
      <w:pPr>
        <w:pStyle w:val="Heading2"/>
      </w:pPr>
      <w:bookmarkStart w:id="900460" w:name="_Toc300000459"/>
      <w:r>
        <w:t xml:space="preserve">Article 15.11: Denial of Benefits</w:t>
      </w:r>
      <w:bookmarkEnd w:id="900460"/>
    </w:p>
    <w:p>
      <w:pPr>
        <w:pStyle w:val="Normal"/>
      </w:pPr>
      <w:r>
        <w:t xml:space="preserve">1. A Party may deny the benefits of this Chapter to a service supplier of another Party if the service supplier is an enterprise owned or controlled by a person of a non-Party, and the denying Party adopts or maintains a measure with respect to the non-Party or a person of the non-Party that prohibits a transaction with that enterprise or that would be violated or circumvented if the benefits of this Chapter were accorded to that enterprise. 2. A Party may deny the benefits of this Chapter to a service supplier of another Party if the service supplier is an enterprise owned or controlled by a person of a non-Party, or by a person of the denying Party, that has no substantial business activities in the territory of any Party other than the denying Party.</w:t>
      </w:r>
    </w:p>
    <w:p>
      <w:pPr>
        <w:pStyle w:val="Heading2"/>
      </w:pPr>
      <w:bookmarkStart w:id="900461" w:name="_Toc300000460"/>
      <w:r>
        <w:t xml:space="preserve">Article 15.12: Payments and Transfers</w:t>
      </w:r>
      <w:bookmarkEnd w:id="900461"/>
    </w:p>
    <w:p>
      <w:pPr>
        <w:pStyle w:val="Normal"/>
      </w:pPr>
      <w:r>
        <w:t xml:space="preserve">1. Each Party shall permit all transfers and payments that relate to the cross-border supply of services to be made freely and without delay into and out of its territory. 2. Each Party shall permit transfers and payments that relate to the cross-border supply of services to be made in a freely usable currency at the market rate of exchange that prevails at the time of transfer. 3. Notwithstanding paragraphs 1 and 2, a Party may prevent or delay a transfer or payment through the equitable, non-discriminatory, and good faith application of its laws that relate to: (a) bankruptcy, insolvency, or the protection of the rights of creditors; (b) issuing, trading, or dealing in securities or derivatives; authorization, and may include food products, such as food and nutritional supplements in tablet, powder, or liquid capsule form; cosmetics; common consumer products for which medical expertise is not required, such as cotton swabs; and other hygiene and cleaning products.</w:t>
      </w:r>
    </w:p>
    <w:p>
      <w:pPr>
        <w:pStyle w:val="Normal"/>
      </w:pPr>
      <w:r>
        <w:t>The term “nutritional supplement” applies to all health- maintenance products not intended to cure or treat a disease, and that are sold without prescription or other special authorization. (c) financial reporting or record keeping of transfers when necessary to assist law enforcement or financial regulatory authorities; (d) criminal or penal offenses; or (e) ensuring compliance with orders or judgments in judicial or administrative proceedings. 4.</w:t>
      </w:r>
    </w:p>
    <w:p>
      <w:pPr>
        <w:pStyle w:val="Normal"/>
      </w:pPr>
      <w:r>
        <w:t>For greater certainty, this Article does not preclude the equitable, non-discriminatory, and good faith application of a Party’s laws relating to its social security, public retirement, or compulsory savings programs.</w:t>
      </w:r>
    </w:p>
    <w:p>
      <w:pPr>
        <w:pStyle w:val="Heading2"/>
      </w:pPr>
      <w:bookmarkStart w:id="900462" w:name="_Toc300000461"/>
      <w:r>
        <w:t xml:space="preserve">ANNEX 15-A DELIVERY SERVICES</w:t>
      </w:r>
      <w:bookmarkEnd w:id="900462"/>
    </w:p>
    <w:p>
      <w:pPr>
        <w:pStyle w:val="Normal"/>
      </w:pPr>
      <w:r>
        <w:t xml:space="preserve">1. For the purposes of this Annex: delivery services means the collection, sorting, transport, and delivery of documents, printed matter, parcels, goods, or other items; postal monopoly means the exclusive right accorded to an operator within a Party’s territory to supply specified delivery services pursuant to a measure of the Party; and universal service means a delivery service that is made available to all users in a designated territory in accordance with standards of price and quality as defined by each Party. 2. For greater certainty, this Annex does not apply to maritime, internal waterway, air, rail, or road transportation services, including cabotage. 3. Each Party that maintains a postal monopoly shall define the scope of the monopoly on the basis of objective criteria, including quantitative criteria such as price or weight thresholds. 4. For greater certainty, each Party has the right to define the kind of universal service obligation it wishes to adopt or maintain. Each Party that maintains a universal service obligation shall administer it in a transparent, non-discriminatory, and impartial manner with regard to all service suppliers subject to the obligation. 5.</w:t>
      </w:r>
    </w:p>
    <w:p>
      <w:pPr>
        <w:pStyle w:val="Normal"/>
      </w:pPr>
      <w:r>
        <w:t>No Party shall allow a supplier of a delivery service covered by a postal monopoly to: (a) use revenues derived from the supply of such services to cross-subsidize the supply of a delivery service not covered by a postal monopoly;8 or (b) unjustifiably differentiate among mailers in like circumstances or consolidators in like circumstances with respect to tariffs or other terms and conditions for the supply of a delivery service covered by a postal monopoly. 6. Each Party shall ensure that a supplier of services covered by a postal monopoly does not abuse its monopoly position to act in the Party’s territory in a manner inconsistent with the 8 A Party shall be deemed in compliance with this paragraph if an independent audit (which, for greater certainty, means for the United States a finding by the Postal Regulatory Commission) determines on an annual basis that the Party’s supplier of a delivery service covered by a postal monopoly has not used revenues derived from that monopoly to cross-subsidize its delivery services not covered by a postal monopoly.</w:t>
      </w:r>
    </w:p>
    <w:p>
      <w:pPr>
        <w:pStyle w:val="Normal"/>
      </w:pPr>
      <w:r>
        <w:t>For greater certainty, this paragraph does not require a Party to ensure that a supplier of a delivery service covered by a postal monopoly maintain accounts in a sufficiently detailed manner to show the costs and revenues of each of its delivery services.</w:t>
      </w:r>
    </w:p>
    <w:p>
      <w:pPr>
        <w:pStyle w:val="Normal"/>
      </w:pPr>
      <w:r>
        <w:t>15-A-1 Party’s commitments under Article 14.4 (National Treatment), Article 15.3 (National Treatment), or Article 15.5 (Market Access) with respect to the supply of delivery services outside of the postal monopoly. 7. No Party shall: (a) require the supply of a delivery service on a universal basis as a condition for an authorization or license to supply a delivery service not covered by a postal monopoly; or (b) assess fees or other charges exclusively on the supply of any delivery service that is not a universal service for the purpose of funding the supply of a universal service. 8. Each Party shall ensure that the authority primarily responsible for regulating delivery services is not accountable to any supplier of delivery services, and that the decisions and procedures that the authority adopts are impartial, non-discriminatory, and transparent with respect to all delivery services not covered by a postal monopoly in its territory.9 9.</w:t>
      </w:r>
    </w:p>
    <w:p>
      <w:pPr>
        <w:pStyle w:val="Normal"/>
      </w:pPr>
      <w:r>
        <w:t>No Party may require a supplier of a delivery service not covered by a postal monopoly to contract, or prevent such a supplier from contracting, with another service supplier to supply a segment of the delivery service. 9 For greater certainty, and for the purposes of this paragraph, an “authority responsible for regulating delivery services” does not mean a customs administration. 15-A-2</w:t>
      </w:r>
    </w:p>
    <w:p>
      <w:pPr>
        <w:pStyle w:val="Heading2"/>
      </w:pPr>
      <w:bookmarkStart w:id="900463" w:name="_Toc300000462"/>
      <w:r>
        <w:t xml:space="preserve">ANNEX 15-B COMMITTEE ON TRANSPORTATION SERVICES</w:t>
      </w:r>
      <w:bookmarkEnd w:id="900463"/>
    </w:p>
    <w:p>
      <w:pPr>
        <w:pStyle w:val="Normal"/>
      </w:pPr>
      <w:r>
        <w:t xml:space="preserve">1. The Parties hereby establish a Committee on Transportation Services (Transportation Services Committee) composed of government representatives of the relevant trade and transport-related national authorities of each Party. Each Party shall designate contact points for the Transportation Services Committee in accordance with Article 30.5 (Agreement Coordinator and Contact Points). 2. The Transportation Services Committee shall discuss issues as the Parties may decide that may arise from the implementation and operation of the Parties’ obligations related to transportation services in Chapters 14 (Investment) and 15 (Cross-Border Trade in Services), among others, as appropriate. 3. The Transportation Services Committee may invite, as appropriate, representatives of other relevant entities and representatives of the private sector to attend meetings of the Committee and report to the Committee on discussions by these representatives. 4. The Transportation Services Committee shall take into consideration the discussions and outcomes related to the Committee from other fora in which the Parties participate in order to avoid duplication, and, as appropriate, incorporate those discussions and outcomes in the discussions of the Committee. 5.</w:t>
      </w:r>
    </w:p>
    <w:p>
      <w:pPr>
        <w:pStyle w:val="Normal"/>
      </w:pPr>
      <w:r>
        <w:t>The Transportation Services Committee shall endeavor to meet within one year of the date of entry into force of this Agreement, and thereafter as necessary, at such venues, format, and times as the Parties may decide. 6. The Transportation Services Committee shall, as appropriate, report to the Commission activities undertaken by the Parties pursuant to this Annex. 15-B-1</w:t>
      </w:r>
    </w:p>
    <w:p>
      <w:pPr>
        <w:pStyle w:val="Heading2"/>
      </w:pPr>
      <w:bookmarkStart w:id="900464" w:name="_Toc300000463"/>
      <w:r>
        <w:t xml:space="preserve">ANNEX 15-C PROFESSIONAL SERVICES</w:t>
      </w:r>
      <w:bookmarkEnd w:id="900464"/>
    </w:p>
    <w:p>
      <w:pPr>
        <w:pStyle w:val="Normal"/>
      </w:pPr>
      <w:r>
        <w:t xml:space="preserve">1. Each Party shall consult with relevant bodies in its territory to seek to identify professional services where at least two of the Parties are mutually interested in establishing a dialogue on issues that relate to the recognition of professional qualifications, licensing, or registration. 2. If a professional service described in Paragraph 1 is identified, each Party shall encourage its relevant bodies to establish dialogues with the relevant bodies of the other Parties, with a view to facilitating trade in professional services. The dialogues may consider, as appropriate: (a) recognition of professional qualifications and facilitating licensing and registration procedures through mutual recognition agreements; (b) autonomous recognition of the education or experience obtained by a candidate in the territory of another Party, for the purposes of fulfilling some or all of the licensing or examination requirements of that profession; (c) the development of mutually acceptable standards and criteria for authorization of professional service suppliers from the territory of the other Party;</w:t>
      </w:r>
    </w:p>
    <w:p>
      <w:pPr>
        <w:pStyle w:val="Normal"/>
      </w:pPr>
      <w:r>
        <w:t>(d) temporary or project-specific licensing or registration based on a foreign supplier’s home license or recognized professional body membership, without the need for further written examination; (e) the form of association and procedures whereby a foreign-licensed supplier may work in association with a professional service supplier of the Party; or (f)</w:t>
      </w:r>
    </w:p>
    <w:p>
      <w:pPr>
        <w:pStyle w:val="Normal"/>
      </w:pPr>
      <w:r>
        <w:t>any other approaches to facilitate authorization to provide services by professionals licensed in another Party. 3. Each Party shall encourage its relevant bodies to take into account agreements that relate to professional services in the development of agreements on the recognition of professional qualifications, licensing, and registration. 4. Further to any dialogue referred to in paragraphs 2(a) through 2(f), each Party shall encourage its respective relevant bodies, as appropriate, to consider undertaking related activity within a mutually agreed time. 15-C-1 5. If relevant bodies enter into discussions under paragraph 2(a) for the purpose of creating a Mutual Recognition Agreement, those discussions may be guided by Appendix 1 for the negotiation of such an agreement. 6. The Parties hereby establish a Professional Services Working Group (Professional Services Working Group), composed of representatives of each Party. 7. The Professional Services Working Group shall liaise, as appropriate, to support the Parties’ relevant bodies in pursuing the activities listed in paragraph 2. This support may include providing points of contact, facilitating meetings, and providing information regarding regulation of professional services in the Parties’ territories.</w:t>
      </w:r>
    </w:p>
    <w:p>
      <w:pPr>
        <w:pStyle w:val="Normal"/>
      </w:pPr>
      <w:r>
        <w:t>8. The Professional Services Working Group shall meet within one year of the date of entry into force of this Agreement, and thereafter as decided by the Parties, to discuss activities covered by this Annex. 9.</w:t>
      </w:r>
    </w:p>
    <w:p>
      <w:pPr>
        <w:pStyle w:val="Normal"/>
      </w:pPr>
      <w:r>
        <w:t xml:space="preserve">The Professional Services Working Group shall, as appropriate, report to the Commission activities undertaken by the Parties pursuant to this Annex. 15-C-2</w:t>
      </w:r>
    </w:p>
    <w:p>
      <w:pPr>
        <w:pStyle w:val="Heading2"/>
      </w:pPr>
      <w:bookmarkStart w:id="900465" w:name="_Toc300000464"/>
      <w:r>
        <w:t xml:space="preserve">APPENDIX 1 GUIDELINES FOR MUTUAL RECOGNITION AGREEMENTS OR ARRANGEMENTS FOR THE PROFESSIONAL SERVICES SECTOR</w:t>
      </w:r>
      <w:bookmarkEnd w:id="900465"/>
    </w:p>
    <w:p>
      <w:pPr>
        <w:pStyle w:val="Normal"/>
      </w:pPr>
      <w:r>
        <w:t xml:space="preserve">Introductory Notes This Appendix provides practical guidance for governments, negotiating entities or other entities entering into mutual recognition negotiations for the professional services sector. These guidelines are non-binding and are intended to be used by the Parties on a voluntary basis. They do not modify or affect the rights and obligations of the Parties under this Agreement. The objective of these guidelines is to facilitate the negotiation of mutual recognition agreements or arrangements (MRAs). The examples listed under this Appendix are provided by way of illustration. The listing of these examples is indicative and is intended neither to be exhaustive, nor as an endorsement of the application of such measures by the Parties. Section A: Conduct of Negotiations and Relevant Obligations Opening of Negotiations 1. Parties intending to enter into negotiations towards an MRA are encouraged to inform the Professional Services Working Group established under Annex 15-C.</w:t>
      </w:r>
    </w:p>
    <w:p>
      <w:pPr>
        <w:pStyle w:val="Normal"/>
      </w:pPr>
      <w:r>
        <w:t>The following information may be supplied: (a) the entities involved in discussions (for example, governments, organizations in the professional services sector or institutes which authority, statutory or otherwise, to enter into such negotiations); national have (b) a contact point to obtain further information; (c) the subject of the negotiations (specific activity covered); and (d) the expected time of the start of negotiations. Single Negotiating Entity 2. If no single negotiating entity exists, the Parties are encouraged to establish one. Results 15-C-1-1 3. Upon the conclusion of an MRA, parties to the MRA are encouraged to inform the Professional Services Working Group, and may supply the following information in its notification: (a) the content of a new MRA; or (b) the significant modifications to an existing MRA. Follow-up Actions 4. As a follow-up action to a conclusion of an MRA, parties to the MRA are encouraged to inform the Professional Services Working Group of the following: (a) that the MRA comply with the provisions of this Chapter;</w:t>
      </w:r>
    </w:p>
    <w:p>
      <w:pPr>
        <w:pStyle w:val="Normal"/>
      </w:pPr>
      <w:r>
        <w:t>(b) measures and actions taken regarding the implementation and monitoring of the MRA; and (c) that the text of the MRA is publicly available. Section B: Form and Content of MRAs Introductory Note This Section sets out various issues that may be addressed in MRA negotiations and, if so agreed during the negotiations, included in the MRA.</w:t>
      </w:r>
    </w:p>
    <w:p>
      <w:pPr>
        <w:pStyle w:val="Normal"/>
      </w:pPr>
      <w:r>
        <w:t>It includes some basic ideas on what a Party might require of foreign professionals seeking to take advantage of an MRA. Participants 5. The MRA should identify clearly: (a) the parties to the MRA (for example, governments, national professional organisations, or institutes); (b) competent authorities or organizations other than the parties to the MRA, if any, and their position in relation to the MRA; and (c) the status and area of competence of each party to the MRA. Purpose of the MRA 6. The purpose of the MRA should be clearly stated. 15-C-1-2 Scope of the MRA 7. The MRA should set out clearly: (a) its scope in terms of the specific profession or titles and professional activities it covers in the territories of the parties; (b) who is entitled to use the professional titles concerned; (c) whether the recognition mechanism is based on qualifications, on the license obtained in the country of origin or on some other requirement; and (d) whether it covers temporary access, permanent access, or both, to the profession concerned. MRA Provisions 8.</w:t>
      </w:r>
    </w:p>
    <w:p>
      <w:pPr>
        <w:pStyle w:val="Normal"/>
      </w:pPr>
      <w:r>
        <w:t>The MRA should clearly specify the conditions to be met for recognition in the territories of each Party and the level of equivalence agreed between the parties to the MRA. The precise terms of the MRA depend on the basis on which the MRA is founded, as discussed above. If the requirements of the various sub-national jurisdictions of a party to an MRA are not identical, the difference should be clearly presented.</w:t>
      </w:r>
    </w:p>
    <w:p>
      <w:pPr>
        <w:pStyle w:val="Normal"/>
      </w:pPr>
      <w:r>
        <w:t>The MRA should address the applicability of the recognition granted by one sub-national jurisdiction in the other sub-national jurisdictions of the party to the MRA. 9. The Parties should seek to ensure that recognition does not require citizenship or any form of residency, or education, experience, or training in the territory of the host jurisdiction. Eligibility for Recognition - Qualifications 10. If the MRA is based on recognition of qualifications, then it should, where applicable, state: (a) the minimum level of education required (including entry requirements, length of study, and subjects studied); (b) the minimum level of experience required (including location, length, and conditions of practical training or supervised professional practice prior to licensing, and framework of ethical and disciplinary standards); (c) examinations passed, especially examinations of professional competence;</w:t>
      </w:r>
    </w:p>
    <w:p>
      <w:pPr>
        <w:pStyle w:val="Normal"/>
      </w:pPr>
      <w:r>
        <w:t>15-C-1-3 (d) the extent to which home country qualifications are recognised in the host country; and (e) the qualifications which the parties to the MRA are prepared to recognize, for instance, by listing particular diplomas or certificates issued by certain institutions, or by reference to particular minimum requirements to be certified by the authorities of the country of origin, including whether the possession of a certain level of qualification would allow recognition for some activities but not others. Eligibility for Recognition - Registration 11.</w:t>
      </w:r>
    </w:p>
    <w:p>
      <w:pPr>
        <w:pStyle w:val="Normal"/>
      </w:pPr>
      <w:r>
        <w:t>If the MRA is based on recognition of the licensing or registration decision made by regulators in the country of origin, it should specify the mechanism by which eligibility for such recognition may be established. 12. If it is considered necessary to provide for additional requirements in order to ensure the quality of the service, the MRA should set out the conditions under which those requirements may apply, for example, in case of shortcomings in relation to qualification requirements in the host country or knowledge of local law, practice, standards, and regulations. This knowledge should be essential for practice in the host country or required because there are differences in the scope of licensed practice. 13. If additional requirements are deemed necessary, the MRA should set out in detail what they entail (for example, examination, aptitude test, additional practice in the host country or in the country of origin, practical training, and language used for examination). Mechanisms for Implementation 14. The MRA could state:</w:t>
      </w:r>
    </w:p>
    <w:p>
      <w:pPr>
        <w:pStyle w:val="Normal"/>
      </w:pPr>
      <w:r>
        <w:t>(a) the rules and procedures to be used to monitor and enforce the provisions of the MRA; (b) the mechanisms for dialogue and administrative cooperation between the parties to the MRA; and (c) the means of arbitration for disputes under the MRA. 15.</w:t>
      </w:r>
    </w:p>
    <w:p>
      <w:pPr>
        <w:pStyle w:val="Normal"/>
      </w:pPr>
      <w:r>
        <w:t>As a guide to the treatment of individual applicants, the MRA could include details on: (a) the focal point of contact in each party to the MRA for information on all issues relevant to the application (such as the name and address of competent authorities, 15-C-1-4 licensing formalities, and information on additional requirements which need to be met in the host country); (b) the duration of procedures for the processing of applications by the relevant authorities of the host country; (c) the documentation required of applicants and the form in which it should be presented and any time limits for applications; (d) acceptance of documents and certificates issued in the country of origin in relation to qualifications and licensing; (e) the procedures of appeal to or review by the relevant authorities; and (f) the fees that might be reasonably required. 16. The MRA could also include the following commitments: (a) that requests about the measures will be promptly dealt with; (b) that adequate preparation time will be provided where necessary;</w:t>
      </w:r>
    </w:p>
    <w:p>
      <w:pPr>
        <w:pStyle w:val="Normal"/>
      </w:pPr>
      <w:r>
        <w:t>(c) that any exams or tests will be arranged with reasonable periodicity; (d) that fees to applicants seeking to take advantage of the terms of the MRA will be in proportion to the cost to the host country or organisation; and (e) that information on any assistance programmes in the host country for practical training, and any commitments of the host country in that context, be supplied.</w:t>
      </w:r>
    </w:p>
    <w:p>
      <w:pPr>
        <w:pStyle w:val="Normal"/>
      </w:pPr>
      <w:r>
        <w:t>Licensing and Other Provisions in the Host Country 17. If applicable: (a) the MRA could also set out the means by which, and the conditions under which, a license is actually obtained following the establishment of eligibility, and what such license entails (such as a license and its content, membership of a professional body, and use of professional or academic titles); (b) a licensing requirement, other than qualifications, should include, for example: (i) an office address, an establishment requirement, or a residency requirement, 15-C-1-5 (ii) a language requirement, (iii) proof of good conduct and financial standing, (iv) professional indemnity insurance, (v) compliance with host country’s requirements for use of trade or firm names, and (vi) compliance with host country ethics, for instance independence and incompatibility. Revision of the MRA 18. If the MRA includes terms under which it can be reviewed or revoked, the details of such terms should be clearly stated. 15-C-1-6</w:t>
      </w:r>
    </w:p>
    <w:p>
      <w:pPr>
        <w:pStyle w:val="Heading2"/>
      </w:pPr>
      <w:bookmarkStart w:id="900466" w:name="_Toc300000465"/>
      <w:r>
        <w:t xml:space="preserve">ANNEX 15-D PROGRAMMING SERVICES</w:t>
      </w:r>
      <w:bookmarkEnd w:id="900466"/>
    </w:p>
    <w:p>
      <w:pPr>
        <w:pStyle w:val="Normal"/>
      </w:pPr>
      <w:r>
        <w:t xml:space="preserve">Simultaneous Substitution 1. Canada shall rescind Broadcasting Regulatory Policy CRTC 2016-334 and Broadcasting Order CRTC 2016-335. With respect to simultaneous substitution of signals during the retransmission in Canada of the program referenced in those measures, Canada may not accord the program treatment less favorable than the treatment accorded to other programs originating in the United States retransmitted in Canada. 2. The United States and Canada shall each provide in its copyright law that: (a) retransmission to the public of program signals not intended in the original transmission for free, over-the-air reception by the general public shall be permitted only with the authorization of the holder of the copyright in the program; and (b) if the original transmission of the program is carried in signals intended for free, over-the-air reception by the general public, willful retransmission in altered form or non-simultaneous retransmission of signals carrying a copyright holder’s program shall be permitted only with the authorization of the holder of the copyright in the program. 3.</w:t>
      </w:r>
    </w:p>
    <w:p>
      <w:pPr>
        <w:pStyle w:val="Normal"/>
      </w:pPr>
      <w:r>
        <w:t>Other than as provided for in paragraph 1, nothing in subparagraph 2 (b) shall be construed to prevent a Party from maintaining existing measures relating to retransmission of a program carried in signals intended for free, over-the-air reception by the general public; or introducing measures to enable the local licensee of the copyrighted program to exploit fully the commercial value of its license. Home Shopping Programming Services 4. Canada shall ensure that U.S. programming services specializing in home shopping, including modified versions of these U.S. programming services for the Canadian market, are authorized for distribution in Canada and may negotiate affiliation agreements with Canadian cable, satellite, and IPTV distributors. 15-D-1</w:t>
      </w:r>
    </w:p>
    <w:p>
      <w:pPr>
        <w:pStyle w:val="Heading2"/>
      </w:pPr>
      <w:bookmarkStart w:id="900467" w:name="_Toc300000466"/>
      <w:r>
        <w:t xml:space="preserve">ANNEX 15-E MEXICO’S CULTURAL EXCEPTIONS</w:t>
      </w:r>
      <w:bookmarkEnd w:id="900467"/>
    </w:p>
    <w:p>
      <w:pPr>
        <w:pStyle w:val="Normal"/>
      </w:pPr>
      <w:r>
        <w:t xml:space="preserve">Recognizing that culture is an important component of the creative, symbolic and economic dimension of human development, Affirming the fundamental right of freedom of expression and the right to plural and diverse information, Recognizing that states have the sovereign right to preserve, develop and implement their cultural policies, to support their cultural industries for the purpose of strengthening the diversity of cultural expressions, and to preserve their cultural identity, and In order to preserve and promote the development of Mexican culture, Mexico has negotiated reservations in its schedules to Annex I and Annex II for certain obligations in Chapter 14 (Investment) and Chapter 15 (Cross-Border Trade in Services), which are summarized below. In Annex I: Broadcasting (radio and free-to-air television): Reservations taken against: • National Treatment obligations for Investment and Cross-Border Trade in Services Chapters • Local Presence obligation for Cross-Border Trade in Services Chapter • Sole concessions and frequency band concessions will be granted only to Mexican nationals or enterprises constituted under Mexican laws and regulations. • Investors of a Party or their investments may participate up to 49 per cent in concessionaire enterprises providing broadcasting services.</w:t>
      </w:r>
    </w:p>
    <w:p>
      <w:pPr>
        <w:pStyle w:val="Normal"/>
      </w:pPr>
      <w:r>
        <w:t>This maximum foreign investment will be applied according to the reciprocity existent with the country in which the investor or trader who ultimately controls it, directly or indirectly, is constituted. • Concessions for indigenous social use shall be granted to indigenous people and indigenous communities of Mexico, with the objective to promote, develop and preserve languages, culture, knowledge, traditions, identity and their internal rules that, under principles of gender equality, enable the 15-E-1 integration of indigenous women in the accomplishment of the purposes for which the concession is granted. • Under no circumstances may a concession, the rights conferred therein, facilities, auxiliary services, offices or accessories and properties affected thereto, be assigned, encumbered, pledged or given in trust, mortgaged, or transferred totally or partially to any foreign government or state. • The State shall guarantee that broadcasting promotes the values of national identity. • The broadcasting concessionaires shall use and stimulate local and national artistic values and expressions of Mexican culture, according to the characteristics of its programming. • The daily programming with personal performances shall include more time covered by Mexicans.</w:t>
      </w:r>
    </w:p>
    <w:p>
      <w:pPr>
        <w:pStyle w:val="Normal"/>
      </w:pPr>
      <w:r>
        <w:t>Newspaper publishing Reservation taken against: • National Treatment obligation for Investment Chapter • Investors of another Party or their investments may only own, directly or indirectly, up to 49 per cent of the ownership interest in an enterprise established or to be established in the territory of Mexico engaged in the printing or publication of daily newspapers written primarily for a Mexican audience and distributed in the territory of Mexico. Cinema services Reservation taken against: • National Treatment obligation for Investment Chapter • Most-Favored-Nation Treatment obligation for Investment and Cross-Border Trade in Services Chapters • Exhibitors shall reserve 10 per cent of the total screen time to the projection of national films. 15-E-2 In Annex II: Audiovisual services Reservation taken against: • Market Access obligation for Cross-Border Trade in Services Chapter • Mexico is taking only limited commitments in the Market Access obligation with respect to the audiovisual services sectors. 15-E-3</w:t>
      </w:r>
    </w:p>
    <w:p>
      <w:pPr>
        <w:pStyle w:val="ModHeading"/>
      </w:pPr>
      <w:bookmarkStart w:id="900468" w:name="_Toc300000467"/>
      <w:r>
        <w:t>CHAPTER 15: CUSMA 2.0 MODERNIZATION PROVISIONS</w:t>
      </w:r>
      <w:bookmarkEnd w:id="900468"/>
    </w:p>
    <w:p>
      <w:pPr>
        <w:pStyle w:val="Heading2"/>
      </w:pPr>
      <w:bookmarkStart w:id="900469" w:name="_Toc300000468"/>
      <w:r>
        <w:t>Article 15.H: North American Franchise and Consumer Services Market Access</w:t>
      </w:r>
      <w:bookmarkEnd w:id="900469"/>
    </w:p>
    <w:p>
      <w:pPr>
        <w:pStyle w:val="Normal"/>
      </w:pPr>
      <w:r>
        <w:t>1. The Parties recognize that franchising and consumer-service networks can expand small-business ownership, employment, consumer choice, and cross-border services trade. Each Party shall administer generally applicable registration, licensing, customs, and commercial requirements affecting qualifying franchise and consumer-service enterprises of another Party in a transparent and non-discriminatory manner.</w:t>
      </w:r>
    </w:p>
    <w:p>
      <w:pPr>
        <w:pStyle w:val="Normal"/>
      </w:pPr>
      <w:r>
        <w:t>2. Each Party shall make publicly available clear administrative guidance, published processing milestones or ordinary service benchmarks where such benchmarks exist, and a single information point or coordinated online entry point for enterprises seeking to establish or expand a lawful franchise network. The information point shall identify the principal generally applicable federal or national requirements and direct applicants to competent sub-federal or sectoral authorities where responsibility lies elsewhere. This paragraph does not create an entitlement to zoning approval, food-safety approval, immigration status, or any other authorization governed by domestic law, and does not require consolidation of independent regulators into a new institution.</w:t>
      </w:r>
    </w:p>
    <w:p>
      <w:pPr>
        <w:pStyle w:val="Normal"/>
      </w:pPr>
      <w:r>
        <w:t>3. Through existing services, customs, standards, or regulatory-cooperation mechanisms, the Parties shall identify recurring duplicative requirements affecting proprietary equipment, ordinary commercial documentation, conformity evidence, and recurring cross-border shipments used by franchise systems and shall seek administrative reliance, reusable evidence, or other simplification where equivalent protection can be maintained. A Party may retain a distinct requirement where it identifies a material difference in law, risk, scope, local conditions, or regulatory objective that makes reliance inappropriate. Nothing in this paragraph lowers health, safety, consumer-protection, labor, competition, cultural, or sub-federal regulatory authority.</w:t>
      </w:r>
    </w:p>
    <w:p>
      <w:pPr>
        <w:pStyle w:val="Normal"/>
      </w:pPr>
      <w:r>
        <w:t>3A. FRANCHISE COOPERATION CARRIER. The North American Competitiveness Committee receives a Party’s written identification of recurring duplicative requirements under paragraph 3 and coordinates the relevant services, customs, standards, or regulatory bodies. Within ninety days after receipt, it issues a non-confidential inventory of the identified requirements and a reasoned cooperation recommendation, subject to legitimate information protections. The recommendation identifies the competent domestic actors and available reliance or reusable-evidence options without binding them to recognize substantively different requirements. Paragraph 3 requires this cooperative examination and does not create a separate recognition power or institution.</w:t>
      </w:r>
    </w:p>
    <w:p>
      <w:pPr>
        <w:pStyle w:val="Normal"/>
      </w:pPr>
      <w:r>
        <w:t>4. Facilitation under this Article shall be reciprocal between the Parties as an administrative-cooperation principle and shall not condition the treatment of an individual enterprise on the nationality of its owners, managers, customers, or commercial counterparties. Reciprocity under this paragraph does not authorize discrimination among enterprises, brands, business models, service suppliers, investors, or covered investments. The North American Competitiveness Committee may identify recurring barriers faced by small and medium-sized franchise operators and recommend administrative improvements. Nothing in this paragraph creates a right to retaliatory, matching, or nationality-conditioned treatment where another Party does not provide equivalent facilitation.</w:t>
      </w:r>
    </w:p>
    <w:p>
      <w:pPr>
        <w:pStyle w:val="Normal"/>
      </w:pPr>
      <w:r>
        <w:t>5. For purposes of this Article, a “qualifying franchise and consumer-service enterprise” means an enterprise of another Party supplying a service as defined in Article 15.1 and within Article 15.2’s scope, or an investor of another Party or a covered investment as defined in Article 14.1 engaged in the establishment, expansion, or operation of a lawful franchise or consumer-service network. For a measure governed by Chapter 15, this Article is subject to Article 15.7 (Non-Conforming Measures), Article 15.8(7), and the applicable entries in Annexes I and II; for a measure governed by Chapter 14, this Article does not disapply, narrow, or override Article 14.12 (Non-Conforming Measures) or an applicable entry in Annex I or Annex II. A customs requirement referred to in paragraph 1 is covered by this Article only to the extent that it is administered as a generally applicable requirement affecting the establishment, expansion, operation, or cross-border supply of the qualifying enterprise and does not create a substantive customs obligation beyond the Chapter otherwise governing that requirement. Nothing in this Article creates national-treatment, most-favored-nation-treatment, market-access, local-presence, investment, establishment, or customs rights beyond those otherwise available under this Agreement.</w:t>
      </w:r>
    </w:p>
    <w:p>
      <w:pPr>
        <w:pStyle w:val="Normal"/>
      </w:pPr>
      <w:r>
        <w:t>6. FRANCHISE PROCESS OBLIGATIONS AND SCOPE. Paragraphs 1 and 4 establish independent administrative transparency and non-discrimination obligations within the scope and reservations specified in paragraph 5, without creating the substantive market-access or customs rights disclaimed there. Defined terms follow Articles 14.1 and 15.1, while scope is determined by Articles 14.2 and 15.2, including their stated exclusions and qualifications, rather than by the network’s brand or business-model label. A franchise network supplies goods or services under a contractual right to use another enterprise’s brand and operating system, and a consumer-service network supplies services to individual consumers through coordinated outlets or providers, but neither description expands Chapters 14 or 15. Where both chapters govern an activity or measure, each applies according to its own scope and reservations rather than through an exclusive either-or allocation.</w:t>
      </w:r>
    </w:p>
    <w:p>
      <w:pPr>
        <w:pStyle w:val="Heading1"/>
      </w:pPr>
      <w:bookmarkStart w:id="900470" w:name="_Toc300000469"/>
      <w:r>
        <w:t>CHAPTER 16 TEMPORARY ENTRY FOR BUSINESS PERSONS</w:t>
      </w:r>
      <w:bookmarkEnd w:id="900470"/>
    </w:p>
    <w:p>
      <w:pPr>
        <w:pStyle w:val="Heading2"/>
      </w:pPr>
      <w:bookmarkStart w:id="900471" w:name="_Toc300000470"/>
      <w:r>
        <w:t xml:space="preserve">Article 16.1: Definitions</w:t>
      </w:r>
      <w:bookmarkEnd w:id="900471"/>
    </w:p>
    <w:p>
      <w:pPr>
        <w:pStyle w:val="Normal"/>
      </w:pPr>
      <w:r>
        <w:t xml:space="preserve">For the purposes of this Chapter: business person means a citizen of a Party who is engaged in trade in goods, the supply of services or the conduct of investment activities; citizen means, with respect to Mexico, a national or a citizen according to the provisions of Articles 30 and 34, respectively, of the Mexico’s Constitution (Constitución Política de los Estados Unidos Mexicanos); and temporary entry means entry into the territory of a Party by a business person of another Party without the intent to establish permanent residence.</w:t>
      </w:r>
    </w:p>
    <w:p>
      <w:pPr>
        <w:pStyle w:val="Heading2"/>
      </w:pPr>
      <w:bookmarkStart w:id="900472" w:name="_Toc300000471"/>
      <w:r>
        <w:t xml:space="preserve">Article 16.2: Scope</w:t>
      </w:r>
      <w:bookmarkEnd w:id="900472"/>
    </w:p>
    <w:p>
      <w:pPr>
        <w:pStyle w:val="Normal"/>
      </w:pPr>
      <w:r>
        <w:t xml:space="preserve">1. This Chapter applies to measures affecting the temporary entry of business persons of a Party into the territory of another Party. 2. This Chapter does not apply to measures affecting natural persons seeking access to the employment market of another Party, nor does it apply to measures regarding citizenship, nationality, residence or employment on a permanent basis. 3. Nothing in this Agreement prevents a Party from applying measures to regulate the entry of natural persons of another Party into, or their temporary stay in, its territory, including those measures necessary to protect the integrity of, and to ensure the orderly movement of natural persons across, its borders, provided that those measures are not applied in a manner as to nullify or impair the benefits accruing to any Party under this Chapter.</w:t>
      </w:r>
    </w:p>
    <w:p>
      <w:pPr>
        <w:pStyle w:val="Heading2"/>
      </w:pPr>
      <w:bookmarkStart w:id="900473" w:name="_Toc300000472"/>
      <w:r>
        <w:t xml:space="preserve">Article 16.3: General Obligations</w:t>
      </w:r>
      <w:bookmarkEnd w:id="900473"/>
    </w:p>
    <w:p>
      <w:pPr>
        <w:pStyle w:val="Normal"/>
      </w:pPr>
      <w:r>
        <w:t xml:space="preserve">1. Each Party shall apply its measures relating to this Chapter expeditiously so as to avoid unduly impairing or delaying trade in goods or services or the conduct of investment activities under this Agreement. 2. The Parties shall endeavor to develop and adopt common criteria, definitions and interpretations for the implementation of this Chapter.</w:t>
      </w:r>
    </w:p>
    <w:p>
      <w:pPr>
        <w:pStyle w:val="Heading2"/>
      </w:pPr>
      <w:bookmarkStart w:id="900474" w:name="_Toc300000473"/>
      <w:r>
        <w:t xml:space="preserve">Article 16.4: Grant of Temporary Entry</w:t>
      </w:r>
      <w:bookmarkEnd w:id="900474"/>
    </w:p>
    <w:p>
      <w:pPr>
        <w:pStyle w:val="Normal"/>
      </w:pPr>
      <w:r>
        <w:t xml:space="preserve">1. Each Party shall grant temporary entry to a business person who is otherwise qualified for entry under its measures relating to public health and safety and national security, in accordance with this Chapter, including Annex 16-A (Temporary Entry for Business Persons). 2. A Party may refuse to grant temporary entry or issue an immigration document authorizing employment to a business person where the temporary entry of that person might adversely affect: (a) the settlement of a labor dispute that is in progress at the place or intended place of employment; or (b) the employment of a person who is involved in that dispute. 3. If a Party refuses pursuant to paragraph 2 to grant temporary entry or issue an immigration document authorizing employment, it shall: (a) provide written notice to the business person of the reasons for the refusal; and (b) promptly provide written notice to the Party whose business person has been refused entry of the reasons for the refusal. 4.</w:t>
      </w:r>
    </w:p>
    <w:p>
      <w:pPr>
        <w:pStyle w:val="Normal"/>
      </w:pPr>
      <w:r>
        <w:t>Each Party shall limit any fees for processing applications for temporary entry of business persons to the approximate cost of services rendered. 5. The sole fact that a Party grants temporary entry to a business person of another Party pursuant to this Chapter does not exempt that business person from meeting any applicable licensing or other requirements, including any mandatory codes of conduct, to practice a profession or otherwise engage in business activities.</w:t>
      </w:r>
    </w:p>
    <w:p>
      <w:pPr>
        <w:pStyle w:val="Heading2"/>
      </w:pPr>
      <w:bookmarkStart w:id="900475" w:name="_Toc300000474"/>
      <w:r>
        <w:t xml:space="preserve">Article 16.5: Provision of Information</w:t>
      </w:r>
      <w:bookmarkEnd w:id="900475"/>
    </w:p>
    <w:p>
      <w:pPr>
        <w:pStyle w:val="Normal"/>
      </w:pPr>
      <w:r>
        <w:t xml:space="preserve">1. Further to Article 29.2 (Publication), each Party shall publish online or otherwise make publicly available explanatory material regarding the requirements for temporary entry under this Chapter that will enable a business person of another Party to become acquainted with them. 2. Each Party shall collect and maintain, and make available to the other Parties in accordance with its law, data respecting the granting of temporary entry under this Chapter to business persons of the other Parties who have been issued immigration documentation, including, if practicable, data specific to each occupation, profession, or activity.</w:t>
      </w:r>
    </w:p>
    <w:p>
      <w:pPr>
        <w:pStyle w:val="Heading2"/>
      </w:pPr>
      <w:bookmarkStart w:id="900476" w:name="_Toc300000475"/>
      <w:r>
        <w:t xml:space="preserve">Article 16.6: Temporary Entry Working Group</w:t>
      </w:r>
      <w:bookmarkEnd w:id="900476"/>
    </w:p>
    <w:p>
      <w:pPr>
        <w:pStyle w:val="Normal"/>
      </w:pPr>
      <w:r>
        <w:t xml:space="preserve">1. The Parties hereby establish a Temporary Entry Working Group, comprising representatives of each Party, including representatives of immigration authorities. 2. The Working Group shall meet at least once each year to consider: (a) the implementation and administration of this Chapter; (b) the development of measures to further facilitate temporary entry of business persons on a reciprocal basis; (c) the waiving of labor certification tests or procedures of similar effect for spouses of business persons who have been granted temporary entry for more than one year under Section B, C or D of Annex 16-A (Temporary Entry for Business Persons); (d) proposed modifications of or additions to this Chapter; and (e) issues of common interest related to the temporary entry of business persons, such as the use of technologies related to processing of applications, that can be further explored among the Parties in other fora.</w:t>
      </w:r>
    </w:p>
    <w:p>
      <w:pPr>
        <w:pStyle w:val="Heading2"/>
      </w:pPr>
      <w:bookmarkStart w:id="900477" w:name="_Toc300000476"/>
      <w:r>
        <w:t xml:space="preserve">Article 16.7: Dispute Settlement</w:t>
      </w:r>
      <w:bookmarkEnd w:id="900477"/>
    </w:p>
    <w:p>
      <w:pPr>
        <w:pStyle w:val="Normal"/>
      </w:pPr>
      <w:r>
        <w:t xml:space="preserve">1. A Party may not request establishment of a panel under Chapter 31, including Article 31.6 or Article 31.A, regarding a refusal to grant temporary entry under this Chapter or a particular case arising under Article 16.3(1) unless: (a) the matter involves a pattern of practice; and (b) the business person has exhausted the available administrative remedies regarding the particular matter. 2. The remedies referred to in paragraph (1)(b) will be deemed to be exhausted if a final determination in the matter has not been issued by the competent authority within one year of the institution of an administrative proceeding, and the failure to issue a determination is not attributable to delay caused by the business person.</w:t>
      </w:r>
    </w:p>
    <w:p>
      <w:pPr>
        <w:pStyle w:val="Heading2"/>
      </w:pPr>
      <w:bookmarkStart w:id="900478" w:name="_Toc300000477"/>
      <w:r>
        <w:t xml:space="preserve">Article 16.8: Relation to Other Chapters</w:t>
      </w:r>
      <w:bookmarkEnd w:id="900478"/>
    </w:p>
    <w:p>
      <w:pPr>
        <w:pStyle w:val="Normal"/>
      </w:pPr>
      <w:r>
        <w:t xml:space="preserve">Except for this Chapter, Chapter 1 (Initial Provisions and General Definitions), Chapter 30 (Administrative and Institutional Provisions), Chapter 31 (Dispute Settlement), Chapter 34 (Final Provisions), Article 29.2 (Publication), and Article 29.3 (Administrative Proceedings), this Agreement does not impose an obligation on a Party regarding its immigration measures.</w:t>
      </w:r>
    </w:p>
    <w:p>
      <w:pPr>
        <w:pStyle w:val="Heading2"/>
      </w:pPr>
      <w:bookmarkStart w:id="900479" w:name="_Toc300000478"/>
      <w:r>
        <w:t xml:space="preserve">ANNEX 16-A TEMPORARY ENTRY FOR BUSINESS PERSONS</w:t>
      </w:r>
      <w:bookmarkEnd w:id="900479"/>
    </w:p>
    <w:p>
      <w:pPr>
        <w:pStyle w:val="Normal"/>
      </w:pPr>
      <w:r>
        <w:t xml:space="preserve">Section A: Business Visitors 1. Each Party shall grant temporary entry to a business person seeking to engage in a business activity set out in Appendix 1, without requiring that person to obtain an employment authorization, provided that the business person otherwise complies with the Party’s measures applicable to temporary entry, on presentation of: (a) proof of citizenship of a Party; (b) documentation demonstrating that the business person will be so engaged and describing the purpose of entry; and (c) evidence demonstrating that the proposed business activity is international in scope and that the business person is not seeking to enter the local labor market. 2. Each Party shall provide that a business person may satisfy the requirements of paragraph 1(c) by demonstrating that: (a) the primary source of remuneration for the proposed business activity is outside the territory of the Party granting temporary entry; and (b) the business person’s principal place of business and the actual place of accrual of profits, at least predominantly, remain outside that Party’s territory.</w:t>
      </w:r>
    </w:p>
    <w:p>
      <w:pPr>
        <w:pStyle w:val="Normal"/>
      </w:pPr>
      <w:r>
        <w:t>A Party shall normally accept an oral declaration as to the principal place of business and the actual place of accrual of profits. Where the Party requires further proof, it shall normally consider a letter from the employer attesting to these matters as sufficient proof. 3.</w:t>
      </w:r>
    </w:p>
    <w:p>
      <w:pPr>
        <w:pStyle w:val="Normal"/>
      </w:pPr>
      <w:r>
        <w:t>Paragraph 1 does not limit the ability of a business person seeking to engage in a business activity other than those set out in Appendix 1 to seek temporary entry under a Party’s measures relating to the entry of business persons. 4. No Party shall: (a) as a condition for temporary entry under paragraph 1, require prior approval procedures, petitions, labor certification tests or other procedures of similar effect; or 16-A-1 (b) impose or maintain a numerical restriction relating to temporary entry under paragraph 1. 5. Notwithstanding paragraph 4, a Party may require a business person seeking temporary entry under this Section to obtain a visa or its equivalent prior to entry. Before imposing a visa requirement, the Party shall consult, on request, with a Party whose business persons would be affected with a view to avoiding the imposition of the requirement. With respect to an existing visa requirement, a Party shall consult, on request, with a Party whose business persons are subject to the requirement with a view to its removal. Section B: Traders and Investors 1.</w:t>
      </w:r>
    </w:p>
    <w:p>
      <w:pPr>
        <w:pStyle w:val="Normal"/>
      </w:pPr>
      <w:r>
        <w:t>Each Party shall grant temporary entry and provide confirming documentation to a business person seeking to: (a) carry on substantial trade in goods or services principally between the territory of the Party of which the business person is a citizen and the territory of the Party into which entry is sought; or (b) establish, develop, administer or provide advice or key technical services to the operation of an investment to which the business person or the business person’s enterprise has committed, or is in the process of committing, a substantial amount of capital, in a capacity that is supervisory, executive or involves essential skills, provided that the business person otherwise complies with the Party’s measures applicable to temporary entry. 2. No Party shall: (a) as a condition for temporary entry under paragraph 1, require labor certification tests or other procedures of similar effect; or (b) impose or maintain a numerical restriction relating to temporary entry under paragraph 1. 3.</w:t>
      </w:r>
    </w:p>
    <w:p>
      <w:pPr>
        <w:pStyle w:val="Normal"/>
      </w:pPr>
      <w:r>
        <w:t>Notwithstanding paragraph 2, a Party may require a business person seeking temporary entry under this Section to obtain a visa or its equivalent prior to entry. Before imposing a visa requirement, the Party shall consult with a Party whose business persons would be affected with a view to avoiding the imposition of the requirement.</w:t>
      </w:r>
    </w:p>
    <w:p>
      <w:pPr>
        <w:pStyle w:val="Normal"/>
      </w:pPr>
      <w:r>
        <w:t>With respect to an existing visa requirement, a Party shall consult, on request, with a Party whose business persons are subject to the requirement with a view to its removal. 16-A-2 Section C: Intra-Company Transferees 1. Each Party shall grant temporary entry and provide confirming documentation to a business person employed by an enterprise who seeks to render services to that enterprise or a subsidiary or affiliate thereof, in a capacity that is managerial, executive or involves specialized knowledge, provided that the business person otherwise complies with the Party’s measures applicable to temporary entry. A Party may require the business person to have been employed continuously by the enterprise for one year within the three-year period immediately preceding the date of the application for admission. 2. No Party shall: (a) as a condition for temporary entry under paragraph 1, require labor certification tests or other procedures of similar effect; or (b) impose or maintain a numerical restriction relating to temporary entry under paragraph 1. 3.</w:t>
      </w:r>
    </w:p>
    <w:p>
      <w:pPr>
        <w:pStyle w:val="Normal"/>
      </w:pPr>
      <w:r>
        <w:t>Notwithstanding paragraph 2, a Party may require a business person seeking temporary entry under this Section to obtain a visa or its equivalent prior to entry. Before imposing a visa requirement, the Party shall consult with a Party whose business persons would be affected with a view to avoiding the imposition of the requirement.</w:t>
      </w:r>
    </w:p>
    <w:p>
      <w:pPr>
        <w:pStyle w:val="Normal"/>
      </w:pPr>
      <w:r>
        <w:t>With respect to an existing visa requirement, a Party shall consult, on request, with a Party whose business persons are subject to the requirement with a view to its removal. Section D: Professionals 1. Each Party shall grant temporary entry and provide confirming documentation to a business person seeking to engage in a business activity at a professional level in a profession set out in Appendix 2, if the business person otherwise complies with the Party’s measures applicable to temporary entry, on presentation of: (a) proof of citizenship of a Party; and (b) documentation demonstrating that the business person will be so engaged and describing the purpose of entry. 16-A-3 2. No Party shall: (a) as a condition for temporary entry under paragraph 1, require prior approval procedures, petitions, labor certification tests or other procedures of similar effect; or (b) impose or maintain a numerical restriction relating to temporary entry under paragraph 1. 3. Notwithstanding paragraph 2, a Party may require a business person seeking temporary entry under this Section to obtain a visa or its equivalent prior to entry.</w:t>
      </w:r>
    </w:p>
    <w:p>
      <w:pPr>
        <w:pStyle w:val="Normal"/>
      </w:pPr>
      <w:r>
        <w:t>Before imposing a visa requirement, the Party shall consult with a Party whose business persons would be affected with a view to avoiding the imposition of the requirement. With respect to an existing visa requirement, a Party shall consult, on request, with a Party whose business persons are subject to the requirement with a view to its removal.</w:t>
      </w:r>
    </w:p>
    <w:p>
      <w:pPr>
        <w:pStyle w:val="Normal"/>
      </w:pPr>
      <w:r>
        <w:t xml:space="preserve">16-A-4</w:t>
      </w:r>
    </w:p>
    <w:p>
      <w:pPr>
        <w:pStyle w:val="Heading2"/>
      </w:pPr>
      <w:bookmarkStart w:id="900480" w:name="_Toc300000479"/>
      <w:r>
        <w:t xml:space="preserve">APPENDIX 1 BUSINESS VISITORS</w:t>
      </w:r>
      <w:bookmarkEnd w:id="900480"/>
    </w:p>
    <w:p>
      <w:pPr>
        <w:pStyle w:val="Normal"/>
      </w:pPr>
      <w:r>
        <w:t xml:space="preserve">Section A: Definitions For the purposes of this Appendix: territory of another Party means the territory of a Party other than the territory of the Party into which temporary entry is sought; tour bus operator means a natural person, including relief personnel accompanying or following to join, necessary for the operation of a tour bus for the duration of a trip; and transportation operator means a natural person, other than a tour bus operator, including relief personnel accompanying or following to join, necessary for the operation of a vehicle for the duration of a trip. Section B: Business Activities Research and Design • Technical, scientific and statistical researchers conducting independent research or research for an enterprise located in the territory of another Party. Growth, Manufacture, and Production • Harvester owner supervising a harvesting crew admitted under a Party’s law. • Purchasing and production management personnel conducting commercial transactions for an enterprise located in the territory of another Party. Marketing • Market researchers and analysts conducting independent research or analysis or research or analysis for an enterprise located in the territory of another Party. • Trade fair and promotional personnel attending a trade convention.</w:t>
      </w:r>
    </w:p>
    <w:p>
      <w:pPr>
        <w:pStyle w:val="Normal"/>
      </w:pPr>
      <w:r>
        <w:t>Sales • Sales representatives and agents taking orders or negotiating contracts for goods or services for an enterprise located in the territory of another Party but not delivering goods or supplying services. 16-A-1-1 • Buyers purchasing for an enterprise located in the territory of another Party. Distribution • Transportation operators transporting goods or passengers to the territory of a Party from the territory of another Party or loading and transporting goods or passengers from the territory of a Party, with no unloading in that territory, to the territory of another Party. • With respect to temporary entry into the territory of the United States, Canadian customs brokers performing brokerage duties relating to the export of goods from the territory of the United States to or through the territory of Canada. • With respect to temporary entry into the territory of Canada, United States customs brokers performing brokerage duties relating to the export of goods from the territory of Canada to or through the territory of the United States. • Customs brokers providing consulting services regarding the facilitation of the import or export of goods.</w:t>
      </w:r>
    </w:p>
    <w:p>
      <w:pPr>
        <w:pStyle w:val="Normal"/>
      </w:pPr>
      <w:r>
        <w:t>After Sales Services • Installers, repair and maintenance personnel, and supervisors, possessing specialized knowledge essential to a seller’s contractual obligation, performing services or training workers to perform services, pursuant to a warranty or other service contract incidental to the sale of commercial or industrial equipment or machinery, including computer software, purchased from an enterprise located outside the territory of the Party into which temporary entry is sought, during the life of the warranty or service agreement. General Service • Professionals engaging in a business activity at a professional level in a profession set out in Appendix 2 Commercial Transactions • Management and supervisory personnel engaging in a commercial transaction for an enterprise located in the territory of another Party. • Financial services personnel (insurers, bankers or investment brokers) engaging in commercial transactions for an enterprise located in the territory of another Party. Public Relations and Advertising • Public relations and advertising personnel consulting with business associates, or attending or participating in conventions. 16-A-1-2 Tourism • Tourism personnel (tour and travel agents, tour guides or tour operators) attending or participating in conventions or conducting a tour that has begun in the territory of another Party.</w:t>
      </w:r>
    </w:p>
    <w:p>
      <w:pPr>
        <w:pStyle w:val="Normal"/>
      </w:pPr>
      <w:r>
        <w:t xml:space="preserve">Tour Bus Operation • Tour bus operators entering the territory of a Party: (a) with a group of passengers on a bus tour that has begun in, and will return to, the territory of another Party; (b) to meet a group of passengers on a bus tour that will end, and the predominant portion of which will take place, in the territory of another Party; or (c) with a group of passengers on a bus tour to be unloaded in the territory of the Party into which temporary entry is sought, and returning with no passengers or reloading with the group for transportation to the territory of another Party. Translation • Translators or interpreters performing services as employees of an enterprise located in the territory of another Party. 16-A-1-3</w:t>
      </w:r>
    </w:p>
    <w:p>
      <w:pPr>
        <w:pStyle w:val="Heading2"/>
      </w:pPr>
      <w:bookmarkStart w:id="900481" w:name="_Toc300000480"/>
      <w:r>
        <w:t xml:space="preserve">APPENDIX 2 PROFESSIONALS</w:t>
      </w:r>
      <w:bookmarkEnd w:id="900481"/>
    </w:p>
    <w:p>
      <w:pPr>
        <w:pStyle w:val="Normal"/>
      </w:pPr>
      <w:r>
        <w:t xml:space="preserve">PROFESSION1 MINIMUM EDUCATION REQUIREMENTS AND ALTERNATIVE CREDENTIALS General Accountant Baccalaureate or Licenciatura Degree; or C.P.A., C.A., C.G.A. or C.M.A.</w:t>
      </w:r>
    </w:p>
    <w:p>
      <w:pPr>
        <w:pStyle w:val="Normal"/>
      </w:pPr>
      <w:r>
        <w:t>Architect Baccalaureate or Licenciatura Degree; or state/provincial license2 Computer Systems Analyst Baccalaureate or Licenciatura Degree; or Post- Secondary Diploma3 or Post-Secondary Certificate,4 and three years experience Disaster Relief Insurance Claims Adjuster (claims Baccalaureate or Licenciatura Degree, and Adjuster employed by an insurance company successful completion of training in the located in the territory of a Party, or an appropriate areas of insurance adjustment independent claims adjuster) pertaining to disaster relief claims; or three years experience in claims adjustment and successful completion of training in the appropriate areas of insurance adjustment pertaining to disaster relief claims Economist Baccalaureate or Licenciatura Degree 1 A business person seeking temporary entry under this Appendix may also perform training functions relating to the profession, including conducting seminars. 2 “State/provincial license” and “state/provincial/federal license” mean a document issued by a state, provincial, or federal government, as the case may be, or under its authority, but not by a local government, that permits a person to engage in a regulated activity or profession. 3 “Post-Secondary Diploma” means a credential issued, on completion of two or more years of postsecondary education, by an accredited academic institution in Canada or the United States.</w:t>
      </w:r>
    </w:p>
    <w:p>
      <w:pPr>
        <w:pStyle w:val="Normal"/>
      </w:pPr>
      <w:r>
        <w:t>4 “Post-Secondary Certificate” means a certificate issued, on completion of two or more years of postsecondary education at an academic institution, by the federal government of Mexico or a state government in Mexico, an academic institution recognized by the federal government or a state government, or an academic institution created by federal or state law. 16-A-2-1 Engineer Baccalaureate or Licenciatura Degree; or state/provincial license Forester Baccalaureate or Licenciatura Degree; or state/provincial license Graphic Designer Baccalaureate or Licenciatura Degree; or Post- Secondary Diploma or Post-Secondary Certificate, and three years experience Hotel Manager Baccalaureate or Licenciatura Degree in hotel/restaurant management; or Post-Secondary Diploma or Post-Secondary Certificate in hotel/restaurant management, and three years experience in hotel/restaurant management Industrial Designer Baccalaureate or Licenciatura Degree; or Post- Secondary Diploma or Post-Secondary Certificate, and three years experience Interior Designer Baccalaureate or Licenciatura Degree; or Post- Secondary Diploma or Post-Secondary Certificate, and three years experience Land Surveyor Baccalaureate or Licenciatura Degree; or state/provincial/federal license Landscape Architect Baccalaureate or Licenciatura Degree Lawyer (including Notary in the Province of LL.B., J.D., LL.L., B.C.L. or Licenciatura Quebec) Degree (five years); or membership in a state/provincial bar Librarian M.L.S.</w:t>
      </w:r>
    </w:p>
    <w:p>
      <w:pPr>
        <w:pStyle w:val="Normal"/>
      </w:pPr>
      <w:r>
        <w:t>or B.L.S. (for which another Baccalaureate or Licenciatura Degree was a prerequisite) Management Consultant Baccalaureate or Licenciatura Degree; or equivalent professional experience as established by statement or professional credential attesting to five years experience as a management consultant, or five years experience 16-A-2-2 Mathematician (including Statistician)5 Range Manager/Range Conservationalist Research Assistant (working in a post-secondary educational institution) Scientific Technician/Technologist6 Social Worker Sylviculturist (including Forestry Specialist) Technical Publications Writer Urban Planner (including Geographer) Vocational Counsellor Medical/Allied Professional Dentist in a field of specialty related to the consulting agreement Baccalaureate or Licenciatura Degree Baccalaureate or Licenciatura Degree Baccalaureate or Licenciatura Degree Possession of (a) theoretical knowledge of any of the following disciplines: agricultural sciences, astronomy, biology, chemistry, engineering, forestry, geology, geophysics, meteorology or physics; and (b) the ability to solve practical problems in any of those disciplines, or the ability to apply principles of any of those disciplines to basic or applied research Baccalaureate or Licenciatura Degree Baccalaureate or Licenciatura Degree Baccalaureate or Licenciatura Degree; or Post- Secondary Diploma or Post-Secondary Certificate, and three years experience Baccalaureate or Licenciatura Degree Baccalaureate or</w:t>
      </w:r>
    </w:p>
    <w:p>
      <w:pPr>
        <w:pStyle w:val="Normal"/>
      </w:pPr>
      <w:r>
        <w:t>Licenciatura Degree D.D.S., D.M.D., Doctor en Odontologia or Doctor en Cirugia Dental; or state/provincial license 5 In accordance with the NAFTA 1994 Commission decision of October 7, 2003, the term “Mathematician” includes the profession of Actuary. 6 A business person in this category must be seeking temporary entry to work in direct support of professionals in agricultural sciences, astronomy, biology, chemistry, engineering, forestry, geology, geophysics, meteorology, or physics. 16-A-2-3 Dietitian Baccalaureate or Licenciatura Degree; or state/provincial license Medical Laboratory Technologist Baccalaureate or Licenciatura Degree; or Post (Canada)/Medical Technologist (Mexico and the Secondary Diploma or Post-Secondary United States)7 Certificate, and three years experience Nutritionist Baccalaureate or Licenciatura Degree Occupational Therapist Baccalaureate or Licenciatura Degree; or state/provincial license Pharmacist Baccalaureate or Licenciatura Degree; or state/provincial license Physician (teaching or research only) M.D. or Doctor en Medicina; or state/provincial license Physiotherapist/Physical Therapist Baccalaureate or Licenciatura Degree; or state/provincial license Psychologist State/provincial license; or Licenciatura Degree Recreational Therapist Baccalaureate or Licenciatura Degree Registered Nurse State/provincial license; or Licenciatura Degree Veterinarian D.V.M., D.M.V.</w:t>
      </w:r>
    </w:p>
    <w:p>
      <w:pPr>
        <w:pStyle w:val="Normal"/>
      </w:pPr>
      <w:r>
        <w:t>or Doctor en Veterinaria; or state/provincial license Scientist Agriculturist (including Agronomist) Baccalaureate or Licenciatura Degree Animal Breeder Baccalaureate or Licenciatura Degree Animal Scientist Baccalaureate or Licenciatura Degree A business person in this category must be seeking temporary entry to perform in a laboratory chemical, biological, hematological, immunologic, microscopic, or bacteriological tests and analyses for diagnosis, treatment or prevention of disease. 16-A-2-4 Apiculturist Astronomer Biochemist Biologist8 Chemist Dairy Scientist Entomologist Epidemiologist Geneticist Geologist Geochemist Geophysicist (including Oceanographer in Mexico and the United States) Horticulturist Meteorologist Pharmacologist Physicist (including Oceanographer in Canada) Plant Breeder Poultry Scientist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8 In</w:t>
      </w:r>
    </w:p>
    <w:p>
      <w:pPr>
        <w:pStyle w:val="Normal"/>
      </w:pPr>
      <w:r>
        <w:t>accordance with the NAFTA 1994 Commission decision of October 7, 2003, the term “Biologist” includes the profession of Plant Pathologist. 16-A-2-5 Soil Scientist Baccalaureate or Licenciatura Degree Zoologist Baccalaureate or Licenciatura Degree Teacher College Baccalaureate or Licenciatura Degree Seminary Baccalaureate or Licenciatura Degree University Baccalaureate or Licenciatura Degree 16-A-2-6</w:t>
      </w:r>
    </w:p>
    <w:p>
      <w:pPr>
        <w:pStyle w:val="ModHeading"/>
      </w:pPr>
      <w:bookmarkStart w:id="900482" w:name="_Toc300000481"/>
      <w:r>
        <w:t>CHAPTER 16: CUSMA 2.0 MOBILITY SUPPLEMENT</w:t>
      </w:r>
      <w:bookmarkEnd w:id="900482"/>
    </w:p>
    <w:p>
      <w:pPr>
        <w:pStyle w:val="Heading2"/>
      </w:pPr>
      <w:bookmarkStart w:id="900483" w:name="_Toc300000482"/>
      <w:r>
        <w:t>Article 16.B: Trusted North American Visitor and Snowbird Mobility Framework</w:t>
      </w:r>
      <w:bookmarkEnd w:id="900483"/>
    </w:p>
    <w:p>
      <w:pPr>
        <w:pStyle w:val="Normal"/>
      </w:pPr>
      <w:r>
        <w:t>1. Without altering the scope of Articles 16.1 through 16.4 for business persons, the Parties establish a reciprocal administrative-cooperation framework for citizens making lawful temporary visits for tourism, seasonal residence, family visits, or comparable non-employment purposes.</w:t>
      </w:r>
    </w:p>
    <w:p>
      <w:pPr>
        <w:pStyle w:val="Normal"/>
      </w:pPr>
      <w:r>
        <w:t>1A. VISITOR SCOPE AND DISPUTE GATEWAY. Article 16.2(1) does not exclude the non-business visitors expressly covered by this Article, and the Article’s affirmative obligations apply subject to their stated qualifications. The commitments to endeavour in paragraph 3 remain duties of endeavour, voluntary-program discretion in paragraph 2 remains discretionary, and paragraphs 4 through 6 remain binding to the extent specified in their text. A Chapter 31 claim about an individual refusal, processing, or detention case under this Article is subject to Article 16.7’s pattern-of-practice and exhaustion requirements, with references to the business person read as references to the visitor for that limited purpose. Article 16.7(2)’s one-year exhaustion rule applies on the same basis, and Article 16.8 preserves the Article’s obligations without creating a general immigration entitlement.</w:t>
      </w:r>
    </w:p>
    <w:p>
      <w:pPr>
        <w:pStyle w:val="Normal"/>
      </w:pPr>
      <w:r>
        <w:t>2. A Party may establish or expand voluntary trusted-traveler programs, including interoperable or linked programs building on NEXUS and preclearance arrangements, for pre-screened citizens of another Party. Participation does not create a right of admission and remains subject to each Party's immigration, customs, public-health, criminal, and national-security laws.</w:t>
      </w:r>
    </w:p>
    <w:p>
      <w:pPr>
        <w:pStyle w:val="Normal"/>
      </w:pPr>
      <w:r>
        <w:t>3. For pre-screened trusted visitors, the Parties shall endeavor to provide expedited processing, clear electronic records of authorized stay where applicable, advance resolution channels for routine documentation problems, and rapid correction procedures for mistaken identity or materially erroneous travel-status records.</w:t>
      </w:r>
    </w:p>
    <w:p>
      <w:pPr>
        <w:pStyle w:val="Normal"/>
      </w:pPr>
      <w:r>
        <w:t>4. Where a documented citizen of another Party is refused admission solely on ordinary admissibility or documentation grounds and presents no identified criminal, security, public-safety, or flight risk, the refusing Party shall, to the extent permitted by domestic law, prefer prompt return or voluntary withdrawal over unnecessary custodial detention.</w:t>
      </w:r>
    </w:p>
    <w:p>
      <w:pPr>
        <w:pStyle w:val="Normal"/>
      </w:pPr>
      <w:r>
        <w:t>5. A detained citizen of another Party shall receive access to consular notification and communication consistent with applicable law and international obligations. The Parties shall maintain supervisory-review procedures for prolonged immigration detention of documented temporary visitors.</w:t>
      </w:r>
    </w:p>
    <w:p>
      <w:pPr>
        <w:pStyle w:val="Normal"/>
      </w:pPr>
      <w:r>
        <w:t>5A. VISITOR DOCUMENTATION STANDARD. For paragraphs 3 through 5, the admitting Party’s competent immigration or border authority confirms citizenship and temporary-visitor status from valid travel documents and its lawful admission or authorized-stay records. Trusted-visitor status requires current enrolment or pre-screening under the voluntary program concerned. These checks are ordinary border-administration checks and are not Chapter 35 or Chapter 46 verification or treaty-wide status determinations. A documentation error receives the correction or supervisory review available under this Article without conferring admission or continued-stay rights beyond applicable law.</w:t>
      </w:r>
    </w:p>
    <w:p>
      <w:pPr>
        <w:pStyle w:val="Normal"/>
      </w:pPr>
      <w:r>
        <w:t>6. The Parties shall expand preclearance and trusted-traveler capacity where justified by traffic volumes, infrastructure, security, and cost, including consideration of airports, rail, marine, and land-border facilities.</w:t>
      </w:r>
    </w:p>
    <w:p>
      <w:pPr>
        <w:pStyle w:val="Normal"/>
      </w:pPr>
      <w:r>
        <w:t>7. The framework shall be reciprocal. Nothing in this Article limits a Party's authority to refuse admission, investigate fraud, enforce lawful periods of stay, or take proportionate action against persons who violate immigration or criminal law.</w:t>
      </w:r>
    </w:p>
    <w:p>
      <w:pPr>
        <w:pStyle w:val="Normal"/>
      </w:pPr>
      <w:r>
        <w:rPr>
          <w:b w:val="false"/>
        </w:rPr>
        <w:t>8. No Amnesty; No Immigration Entitlement. Nothing in this Article, the Trusted North American Visitor framework, or the temporary-entry provisions of this Agreement grants permanent residence, citizenship, amnesty, access to the general labor market, a right of admission, or immunity from immigration enforcement. Temporary or trusted status remains limited to the purpose and period authorized under the law of the admitting Party.</w:t>
      </w:r>
    </w:p>
    <w:p>
      <w:pPr>
        <w:pStyle w:val="Normal"/>
      </w:pPr>
      <w:r>
        <w:t>8A. BUSINESS ENTRY PRESERVATION. Paragraph 8 creates no individual entitlement beyond the temporary-entry framework expressly negotiated in this Chapter. It does not diminish a Party’s obligations under Article 16.4 or Annex 16-A to grant temporary entry to an otherwise qualified business person. The admitting Party continues to apply the conditions and exceptions specified in those provisions. The absence of a permanent-residence or general-labour-market entitlement does not authorize refusal of entry that those provisions require.</w:t>
      </w:r>
    </w:p>
    <w:p>
      <w:pPr>
        <w:pStyle w:val="Heading1"/>
      </w:pPr>
      <w:bookmarkStart w:id="900484" w:name="_Toc300000483"/>
      <w:r>
        <w:t>CHAPTER 17 FINANCIAL SERVICES</w:t>
      </w:r>
      <w:bookmarkEnd w:id="900484"/>
    </w:p>
    <w:p>
      <w:pPr>
        <w:pStyle w:val="Heading2"/>
      </w:pPr>
      <w:bookmarkStart w:id="900485" w:name="_Toc300000484"/>
      <w:r>
        <w:t xml:space="preserve">Article 17.1: Definitions</w:t>
      </w:r>
      <w:bookmarkEnd w:id="900485"/>
    </w:p>
    <w:p>
      <w:pPr>
        <w:pStyle w:val="Normal"/>
      </w:pPr>
      <w:r>
        <w:t xml:space="preserve">For the purposes of this Chapter: computing facility means a computer server or storage device for the processing or storage of information for the conduct of business within the scope of the license, authorization, or registration of a covered person, but does not include a computer server or storage device of or those used to access: (a) financial market infrastructures;</w:t>
      </w:r>
    </w:p>
    <w:p>
      <w:pPr>
        <w:pStyle w:val="Normal"/>
      </w:pPr>
      <w:r>
        <w:t>(b) exchanges or markets for securities or for derivatives such as futures, options, and swaps; or (c) non-governmental bodies that exercise regulatory or supervisory authority over covered persons; covered person means (a) a financial institution of another Party; or (b) a cross-border financial service supplier of another Party that is subject to regulation, supervision, and licensing, authorization, or registration by a financial regulatory authority of the Party;1 cross-border financial service supplier of a Party means a person of a Party that is engaged in the business of supplying a financial service within the territory of the Party and that seeks to supply or supplies a financial service through the cross-border supply of that service; cross-border trade in financial services or cross-border supply of financial services means the supply of a financial service: (a) from the territory of a Party into the territory of another Party; 1 For greater certainty, whenever a cross-border financial service supplier of another Party is subject to regulation, supervision, and</w:t>
      </w:r>
    </w:p>
    <w:p>
      <w:pPr>
        <w:pStyle w:val="Normal"/>
      </w:pPr>
      <w:r>
        <w:t>licensing, authorization, or registration by a financial regulatory authority of the Party, that supplier is a covered person for the purposes of this Chapter. For greater certainty, if a financial regulatory authority of the Party foregoes imposition of certain regulatory or supervisory requirements on the condition that a cross-border financial service supplier of another Party comply with certain regulatory or supervisory requirements imposed by a financial regulatory authority of the other Party, that supplier is a covered person.</w:t>
      </w:r>
    </w:p>
    <w:p>
      <w:pPr>
        <w:pStyle w:val="Normal"/>
      </w:pPr>
      <w:r>
        <w:t>(b) in the territory of a Party by a person of that Party to a person of another Party; or (c) by a national of a Party in the territory of another Party, but does not include the supply of a financial service in the territory of a Party by a covered investment; financial institution means a financial intermediary or other enterprise that is authorized to do business and is regulated or supervised as a financial institution under the law of the Party in whose territory it is located; financial institution of another Party means a financial institution, including a branch, located in the territory of a Party that is controlled by a person of another Party; financial market infrastructure means a multi-participant system in which a covered person participates with other financial service suppliers, including the operator of the system, used for the purposes of clearing, settling, or recording payments, securities, derivatives, or other financial</w:t>
      </w:r>
    </w:p>
    <w:p>
      <w:pPr>
        <w:pStyle w:val="Normal"/>
      </w:pPr>
      <w:r>
        <w:t>transactions; financial service means a service of a financial nature. Financial services include all insurance and insurance-related services, and all banking and other financial services (excluding insurance), as well as services incidental or auxiliary to a service of a financial nature. Financial services include the following activities: Insurance and insurance-related services (a) direct insurance (including co-insurance): (i) life, (ii) non-life; (b) reinsurance and retrocession; (c) insurance intermediation, such as brokerage and agency; and (d) services auxiliary to insurance, such as consultancy, actuarial, risk assessment, and claim settlement services; Banking and other financial services (excluding insurance) (e) acceptance of deposits and other repayable funds from the public; (f) lending of all types, including consumer credit, mortgage credit, factoring, and financing of commercial transactions; (g) financial leasing; (h) all payment and money transmission services, including credit, charge and debit cards, travelers checks, and bankers drafts; (i) guarantees and commitments; (j) trading for own account or for account of customers, whether on an exchange, in an over-the-counter market or otherwise, the following:</w:t>
      </w:r>
    </w:p>
    <w:p>
      <w:pPr>
        <w:pStyle w:val="Normal"/>
      </w:pPr>
      <w:r>
        <w:t>(i) money market instruments (including checks, bills, certificates of deposits), (ii) foreign exchange, (iii) derivative products, including futures and options, (iv) exchange rate and interest rate instruments, including products such as swaps and</w:t>
      </w:r>
    </w:p>
    <w:p>
      <w:pPr>
        <w:pStyle w:val="Normal"/>
      </w:pPr>
      <w:r>
        <w:t>forward rate agreements, (v) transferable securities, and (vi) other negotiable instruments and financial assets, including bullion; (k) participation in issues of all kinds of securities, including underwriting and placement as agent (whether publicly or privately) and supply of services related to these issues; (l) money broking; (m) asset management, such as cash or portfolio management, all forms of collective investment management, pension fund management, custodial, depository, and trust services; (n) settlement and clearing services for financial assets, including securities, derivative products, and other negotiable instruments;</w:t>
      </w:r>
    </w:p>
    <w:p>
      <w:pPr>
        <w:pStyle w:val="Normal"/>
      </w:pPr>
      <w:r>
        <w:t>(o) provision and transfer of financial information, and financial data processing and related software by suppliers of other financial services; and (p) advisory, intermediation and other auxiliary financial services on all the activities listed in subparagraphs (e) through (o), including credit reference and analysis, investment and portfolio research and advice, advice on acquisitions, and on corporate restructuring and strategy; financial service supplier of a Party means a person of a Party that is engaged in the business of supplying a financial service within the territory of that Party; investment means “investment” as defined in Article 1 4 .1 (Definitions), except that with respect to “loans” and “debt instruments” referred to in that Article: (a) a loan to or debt instrument issued by a financial institution is an investment only</w:t>
      </w:r>
    </w:p>
    <w:p>
      <w:pPr>
        <w:pStyle w:val="Normal"/>
      </w:pPr>
      <w:r>
        <w:t>if it is treated as regulatory capital by the Party in whose territory the financial institution is located; and (b) a loan granted by or debt instrument owned by a financial institution, other than a loan to or debt instrument issued by a financial institution referred to in subparagraph (a), is not an investment; for greater certainty, a loan granted, or debt instrument owned, by a cross-border financial service supplier, other than a loan to or debt instrument issued by a financial institution, is an investment for the purposes of Chapter 14 (Investment), if that loan or debt instrument meets the criteria for investments set out in Article 14.1 (Definitions); investor of a Party means a Party, or a person of a Party, that attempts to make,2 is making, or has made an investment in the territory of another Party;</w:t>
      </w:r>
    </w:p>
    <w:p>
      <w:pPr>
        <w:pStyle w:val="Normal"/>
      </w:pPr>
      <w:r>
        <w:t>new financial service means a financial service not supplied in the Party’s territory that is supplied within the territory of another Party, and includes any new form of delivery of a financial service or the sale of a financial product that is not sold in the Party’s territory; person of a Party means “person of a Party” as defined in Article 1.5 (General Definitions) and, for greater certainty, does not include a branch of an enterprise of a non-Party; public entity means a central bank or monetary authority of a Party, or a financial institution that is owned or controlled by a Party; and self-regulatory organization means a non-governmental body, including a</w:t>
      </w:r>
    </w:p>
    <w:p>
      <w:pPr>
        <w:pStyle w:val="Normal"/>
      </w:pPr>
      <w:r>
        <w:t>securities or futures exchange or market, clearing agency, or other organization or association, that exercises regulatory or supervisory authority over financial service suppliers or financial institutions by statute or delegation from a central or regional government. 2 For greater certainty, the Parties understand that an investor “attempts to make” an investment when that investor has taken concrete action or actions to make an investment, such as channeling resources or capital in order to set up a business, or applying for permits or licenses.</w:t>
      </w:r>
    </w:p>
    <w:p>
      <w:pPr>
        <w:pStyle w:val="Heading2"/>
      </w:pPr>
      <w:bookmarkStart w:id="900486" w:name="_Toc300000485"/>
      <w:r>
        <w:t xml:space="preserve">Article 17.2: Scope</w:t>
      </w:r>
      <w:bookmarkEnd w:id="900486"/>
    </w:p>
    <w:p>
      <w:pPr>
        <w:pStyle w:val="Normal"/>
      </w:pPr>
      <w:r>
        <w:t xml:space="preserve">1. This Chapter applies to a measure adopted or maintained by a Party relating to: (a) a financial institution of another Party; (b) an investor of another Party, and an investment of that investor, in a financial institution in the Party’s territory; and (c) cross-border trade in financial services. 2. Chapter 14 (Investment) and Chapter 15 (Cross-Border Trade in Services) apply to a measure described in paragraph 1 only to the extent that those Chapters are incorporated into this Chapter. (a) Article 14.6 (Minimum Standard of Treatment), Article 14.7 (Treatment in Case of Armed Conflict or Civil Strife), Article 14.8 (Expropriation and Compensation), Article 14.9 (Transfers), Article 14.13 (Special Formalities and Information Requirements), Article 14.14 (Denial of Benefits), Article 14.16 (Investment and Environmental, Health, Safety, and other Regulatory Objectives), and Article 15.11 (Denial of Benefits) are incorporated into and made a part of this Chapter. (b) Article 15.12 (Payments and Transfers) is incorporated into and made a part of this Chapter to the extent that cross-border trade in financial services is subject to obligations pursuant to Article 17.3.3 (National Treatment), Article 17.5.1(b) and (c) (Market Access), and Article 17.6 (Cross-Border Trade Standstill). 3.</w:t>
      </w:r>
    </w:p>
    <w:p>
      <w:pPr>
        <w:pStyle w:val="Normal"/>
      </w:pPr>
      <w:r>
        <w:t>This Chapter does not apply to a measure adopted or maintained by a Party relating to: (a) an activity or a service forming part of a public retirement plan or statutory system of social security; or (b) an activity or a service conducted for the account or with the guarantee or using the financial resources of the Party, including its public entities, except that this Chapter applies to the extent that a Party allows an activity or service referred to in subparagraph (a) or (b) to be conducted by its financial institutions in competition with a public entity or a financial institution. 4. This Chapter does not apply to government procurement of financial services. 5. This Chapter does not apply to a subsidy or a grant provided by a Party, including a government supported loan, guarantee, and insurance, with respect to the cross-border supply of financial services by a cross-border supplier of another Party.</w:t>
      </w:r>
    </w:p>
    <w:p>
      <w:pPr>
        <w:pStyle w:val="Heading2"/>
      </w:pPr>
      <w:bookmarkStart w:id="900487" w:name="_Toc300000486"/>
      <w:r>
        <w:t xml:space="preserve">Article 17.3: National Treatment</w:t>
      </w:r>
      <w:bookmarkEnd w:id="900487"/>
    </w:p>
    <w:p>
      <w:pPr>
        <w:pStyle w:val="Normal"/>
      </w:pPr>
      <w:r>
        <w:t xml:space="preserve">1. Each Party shall accord to investors of another Party treatment no less favorable than that it accords to its own investors, in like circumstances, with respect to the establishment, acquisition, expansion, management, conduct, operation, and sale or other disposition of financial institutions, and investments in financial institutions in its territory. 2. Each Party shall accord to financial institutions of another Party, and to investments of investors of another Party in financial institutions, treatment no less favorable than that it accords to its own financial institutions, and to investments of its own investors in financial institutions, in like circumstances, with respect to the establishment, acquisition, expansion, management, conduct, operation, and sale or other disposition of financial institutions and investments. 3. Each Party shall accord to:</w:t>
      </w:r>
    </w:p>
    <w:p>
      <w:pPr>
        <w:pStyle w:val="Normal"/>
      </w:pPr>
      <w:r>
        <w:t>(a) financial services or cross-border financial service suppliers of another Party seeking to supply or supplying the financial services as specified by the Party in Annex 17-A (Cross-Border Trade); and (b) financial services or cross-border financial service suppliers of another Party seeking to supply or supplying financial services subject to paragraph 4, treatment no less favorable than that it accords to its own financial services and financial service suppliers, in like circumstances. 4.</w:t>
      </w:r>
    </w:p>
    <w:p>
      <w:pPr>
        <w:pStyle w:val="Normal"/>
      </w:pPr>
      <w:r>
        <w:t>Subparagraph 3(b) does not require a Party to permit a cross-border financial service supplier of another Party to do business or solicit in the Party’s territory. A Party may define “doing business” and “solicitation” in its law for the purposes of this paragraph. 5. The treatment to be accorded by a Party under paragraphs 1, 2, and 3 means, with respect to a government other than at the central level, treatment no less favorable than the most favorable treatment accorded, in like circumstances, by that government to financial institutions of the Party, investors of the Party, and investments of those investors, in financial institutions; or financial services or financial service suppliers, of the Party. 6. For greater certainty, whether treatment is accorded in “like circumstances” under this Article depends on the totality of the circumstances, including whether the relevant treatment distinguishes between investors in financial institutions, investments in financial institutions, financial institutions, or financial services or financial service suppliers on the basis of legitimate public welfare objectives.</w:t>
      </w:r>
    </w:p>
    <w:p>
      <w:pPr>
        <w:pStyle w:val="Heading2"/>
      </w:pPr>
      <w:bookmarkStart w:id="900488" w:name="_Toc300000487"/>
      <w:r>
        <w:t xml:space="preserve">Article 17.4: Most-Favored-Nation Treatment</w:t>
      </w:r>
      <w:bookmarkEnd w:id="900488"/>
    </w:p>
    <w:p>
      <w:pPr>
        <w:pStyle w:val="Normal"/>
      </w:pPr>
      <w:r>
        <w:t xml:space="preserve">1. Each Party shall accord to: (a) investors of another Party, treatment no less favorable than that it accords to investors of any other Party or of a non-Party, in like circumstances; (b) financial institutions of another Party, treatment no less favorable than that it accords to financial institutions of any other Party or of a non-Party, in like circumstances; (c) investments of investors of another Party in a financial institution, treatment no less favorable than that it accords to investments of investors of any other Party or of a non-Party in financial institutions, in like circumstances; and (d) financial services or cross-border financial service suppliers of another Party, treatment no less favorable than that it accords to financial services and cross-border financial service suppliers of any other Party or of a non-Party, in like circumstances. 2.</w:t>
      </w:r>
    </w:p>
    <w:p>
      <w:pPr>
        <w:pStyle w:val="Normal"/>
      </w:pPr>
      <w:r>
        <w:t>The treatment to be accorded by a Party under paragraph 1 means, with respect to a government other than at the central level, treatment no less favorable than the most favorable treatment accorded, in like circumstances, by that government to financial institutions of another Party or a non-Party; investors of another Party or a non-Party, and investments of those investors, in financial institutions; or financial services or cross-border financial service suppliers of another Party or non-Party. 3.</w:t>
      </w:r>
    </w:p>
    <w:p>
      <w:pPr>
        <w:pStyle w:val="Normal"/>
      </w:pPr>
      <w:r>
        <w:t>For greater certainty, whether treatment is accorded in “like circumstances” under this Article depends on the totality of the circumstances, including whether the relevant treatment distinguishes between investors in financial institutions, investments in financial institutions, financial institutions, or financial services or financial service suppliers on the basis of legitimate public welfare objectives.</w:t>
      </w:r>
    </w:p>
    <w:p>
      <w:pPr>
        <w:pStyle w:val="Heading2"/>
      </w:pPr>
      <w:bookmarkStart w:id="900489" w:name="_Toc300000488"/>
      <w:r>
        <w:t xml:space="preserve">Article 17.5: Market Access</w:t>
      </w:r>
      <w:bookmarkEnd w:id="900489"/>
    </w:p>
    <w:p>
      <w:pPr>
        <w:pStyle w:val="Normal"/>
      </w:pPr>
      <w:r>
        <w:t xml:space="preserve">1. No Party shall adopt or maintain with respect to: (a) a financial institution of another Party or, an investor of another Party seeking to establish those institutions; (b) a cross-border financial service supplier of another Party seeking to supply or supplying the financial services as specified by the Party in Annex 17-A (Cross- Border Trade); or (c) a cross-border financial service supplier of another Party seeking to supply or supplying financial services, subject to paragraph 2, either on the basis of a regional subdivision or on the basis of its entire territory, a measure that: (d) imposes a limitation on:</w:t>
      </w:r>
    </w:p>
    <w:p>
      <w:pPr>
        <w:pStyle w:val="Normal"/>
      </w:pPr>
      <w:r>
        <w:t>(i) the number of financial institutions or cross-border financial service suppliers, whether in the form of numerical quotas, monopolies, exclusive service suppliers or the requirement of an economic needs test, (ii) the total value of financial service transactions or assets in the form of numerical quotas or the requirement of an economic needs test, (iii) the total number of financial service operations or the total quantity of financial services output expressed in terms of designated numerical units in the form of quotas or the requirement of an economic needs test,3 or (iv) the total number of natural persons that may be employed in a particular financial service sector or that a financial institution or cross- border f i n a n c i a l service supplier may employ and who are necessary for, and directly related to, the supply of</w:t>
      </w:r>
    </w:p>
    <w:p>
      <w:pPr>
        <w:pStyle w:val="Normal"/>
      </w:pPr>
      <w:r>
        <w:t>a specific financial service in the form of numerical quotas or the requirement of an economic needs test; or (e) restricts or requires specific types of legal entity or joint venture through which a financial institution or cross-border financial service supplier may supply a service. 2. Subparagraph 1(c) does not require a Party to permit a cross-border financial service supplier of another Party to do business or solicit in the Party’s territory. A Party may define “doing business” and “solicitation” in its law for the purposes of this paragraph. 3. No Party shall require a cross-border financial service supplier of another Party to establish or maintain a representative office or an enterprise, or to be resident, in its territory as a condition for the cross-border supply of a financial service, with respect to the financial services referred to in Article 17.6 (Cross-Border Trade Standstill) and the financial services as specified 3 Subparagraph (d)(iii) does not cover measures of a Party that limit inputs for the supply of financial services. by the Party in Annex 17-A (Cross-Border Trade). 4.</w:t>
      </w:r>
    </w:p>
    <w:p>
      <w:pPr>
        <w:pStyle w:val="Normal"/>
      </w:pPr>
      <w:r>
        <w:t>For greater certainty, a Party may require the registration or authorization of a cross- border financial service supplier of another Party or of a financial instrument.</w:t>
      </w:r>
    </w:p>
    <w:p>
      <w:pPr>
        <w:pStyle w:val="Heading2"/>
      </w:pPr>
      <w:bookmarkStart w:id="900490" w:name="_Toc300000489"/>
      <w:r>
        <w:t xml:space="preserve">Article 17.6: Cross-Border Trade Standstill</w:t>
      </w:r>
      <w:bookmarkEnd w:id="900490"/>
    </w:p>
    <w:p>
      <w:pPr>
        <w:pStyle w:val="Normal"/>
      </w:pPr>
      <w:r>
        <w:t xml:space="preserve">No Party shall adopt a measure restricting any type of cross-border trade in financial services by cross-border financial service suppliers of another Party that the Party permitted on January 1, 1994, or that is inconsistent with Article 17.3.3 (National Treatment), with respect to the supply of those services.</w:t>
      </w:r>
    </w:p>
    <w:p>
      <w:pPr>
        <w:pStyle w:val="Heading2"/>
      </w:pPr>
      <w:bookmarkStart w:id="900491" w:name="_Toc300000490"/>
      <w:r>
        <w:t xml:space="preserve">Article 17.7: New Financial Services</w:t>
      </w:r>
      <w:r>
        <w:rPr>
          <w:vertAlign w:val="superscript"/>
        </w:rPr>
        <w:t xml:space="preserve">4</w:t>
      </w:r>
      <w:bookmarkEnd w:id="900491"/>
    </w:p>
    <w:p>
      <w:pPr>
        <w:pStyle w:val="Normal"/>
      </w:pPr>
      <w:r>
        <w:t xml:space="preserve">Each Party shall permit a financial institution of another Party to supply a new financial service that the Party would permit its own financial institutions, in like circumstances, to supply without adopting a law or modifying an existing law.5 Notwithstanding Article 17.5.1(a) and(e) (Market Access), a Party may determine the institutional and juridical form through which the new financial service may be supplied and may require authorization for the supply of the service. If a Party requires a financial institution to obtain authorization to supply a new financial service, the Party shall decide within a reasonable period of time whether to issue the authorization and may refuse the authorization only for prudential reasons.</w:t>
      </w:r>
    </w:p>
    <w:p>
      <w:pPr>
        <w:pStyle w:val="Heading2"/>
      </w:pPr>
      <w:bookmarkStart w:id="900492" w:name="_Toc300000491"/>
      <w:r>
        <w:t xml:space="preserve">Article 17.8: Treatment of Customer Information</w:t>
      </w:r>
      <w:bookmarkEnd w:id="900492"/>
    </w:p>
    <w:p>
      <w:pPr>
        <w:pStyle w:val="Normal"/>
      </w:pPr>
      <w:r>
        <w:t xml:space="preserve">This Chapter does not require a Party to disclose information related to the financial affairs or accounts of individual customers of financial institutions or cross-border financial service suppliers. 4 The Parties understand that nothing in this Article prevents a financial institution of a Party from applying to another Party to request that it authorize the supply of a financial service that is not supplied in the territory of any Party. That application will be subject to the law of the Party to which the application is made and, for greater certainty, is not subject to this Article. 5 For greater certainty, a Party may issue a new regulation or other subordinate measure in permitting the supply of the new financial service.</w:t>
      </w:r>
    </w:p>
    <w:p>
      <w:pPr>
        <w:pStyle w:val="Heading2"/>
      </w:pPr>
      <w:bookmarkStart w:id="900493" w:name="_Toc300000492"/>
      <w:r>
        <w:t xml:space="preserve">Article 17.9: Senior Management and Boards of Directors</w:t>
      </w:r>
      <w:bookmarkEnd w:id="900493"/>
    </w:p>
    <w:p>
      <w:pPr>
        <w:pStyle w:val="Normal"/>
      </w:pPr>
      <w:r>
        <w:t xml:space="preserve">1. No Party shall require a financial institution of another Party to engage a natural person of a particular nationality as senior managerial or other essential personnel. 2. No Party shall require that more than a simple majority of the board of directors of a financial institution of another Party be composed of nationals of the Party, persons residing in the territory of the Party, or a combination thereof.</w:t>
      </w:r>
    </w:p>
    <w:p>
      <w:pPr>
        <w:pStyle w:val="Heading2"/>
      </w:pPr>
      <w:bookmarkStart w:id="900494" w:name="_Toc300000493"/>
      <w:r>
        <w:t xml:space="preserve">Article 17.10: Non-Conforming Measures</w:t>
      </w:r>
      <w:bookmarkEnd w:id="900494"/>
    </w:p>
    <w:p>
      <w:pPr>
        <w:pStyle w:val="Normal"/>
      </w:pPr>
      <w:r>
        <w:t xml:space="preserve">1. Article 17.3 (National Treatment), Article 17.4 (Most-Favored-Nation Treatment), Article 17.5 (Market Access), and Article 17.9 (Senior Management and Boards of Directors) do not apply to: (a) an existing non-conforming measure that is maintained by a Party at: (i) the central level of government, as set out by that Party in Section A of its Schedule to Annex III, (ii) a regional level of government, as set out by that Party in Section A of its Schedule to Annex III, or (iii) a local level of government; (b) the continuation or prompt renewal of a non-conforming measure referred to in subparagraph (a); or (c) an amendment to a non-conforming measure referred to in subparagraph (a) to the extent that the amendment does not decrease the conformity of the measure as it existed: (i) immediately before the amendment, with Articles 17.3.1 and 17.3.2 (National Treatment), Article 17.4 (Most-Favored-Nation Treatment), Article 17.5.1(a) (Market Access), or Article 17.9 (Senior Management and Boards of Directors), or (ii) on the date of entry into force of this Agreement for the Party applying the non-conforming measure with Article 17.3.3 (National Treatment), Article 17.5.1(b) (Market Access), or Article 17.5.1(c) (Market Access). 2.</w:t>
      </w:r>
    </w:p>
    <w:p>
      <w:pPr>
        <w:pStyle w:val="Normal"/>
      </w:pPr>
      <w:r>
        <w:t>Article 17.3 (National Treatment), Article 17.4 (Most-Favored-Nation Treatment), Article 17.5 (Market Access), Article 17.6 (Cross-Border Trade Standstill), and Article 17.9 (Senior Management and Boards of Directors) do not apply to a measure that a Party adopts or maintains with respect to a sector, subsector, or an activity, as set out by that Party in Section B of its Schedule to Annex III. 3. A non-conforming measure, set out in a Party’s Schedule to Annex I or II as not subject to Article 14. 4 (National Treatment), Article 14.5 (Most-Favored-Nation Treatment), Article 14.11 (Senior Management and Boards of Directors), Article 1 5 . 3 (National Treatment) or Article 1 5 . 4 (Most-Favored-Nation Treatment), shall be treated as a non-conforming measure not subject to Article 17.3 (National Treatment), Article 17.4 (Most-Favored-Nation Treatment) or Article 17.9 (Senior Management and Boards of Directors), as the case may be, to the extent that the measure, sector, subsector or activity set out in the Party’s schedule to Annex I or II is covered by this Chapter. 4.</w:t>
      </w:r>
    </w:p>
    <w:p>
      <w:pPr>
        <w:pStyle w:val="Normal"/>
      </w:pPr>
      <w:r>
        <w:t>(a) Article 17.3 (National Treatment) does not apply to a measure that falls within an exception to, or derogation from, the obligations which are imposed by: (i) Article 20.8 (National Treatment), or (ii) Article 3 of the TRIPS Agreement, if the exception or derogation relates to matters not addressed by Chapter 20 (Intellectual Property Rights).</w:t>
      </w:r>
    </w:p>
    <w:p>
      <w:pPr>
        <w:pStyle w:val="Normal"/>
      </w:pPr>
      <w:r>
        <w:t>(b) Article 17.4 (Most-Favored-Nation Treatment) does not apply to a measure that falls within Article 5 of the TRIPS Agreement, or an exception to, or derogation from, the obligations which are imposed by: (i) Article 20.8 (National Treatment), or (ii) Article 4 of the TRIPS Agreement.</w:t>
      </w:r>
    </w:p>
    <w:p>
      <w:pPr>
        <w:pStyle w:val="Heading2"/>
      </w:pPr>
      <w:bookmarkStart w:id="900495" w:name="_Toc300000494"/>
      <w:r>
        <w:t xml:space="preserve">Article 17.11: Exceptions</w:t>
      </w:r>
      <w:bookmarkEnd w:id="900495"/>
    </w:p>
    <w:p>
      <w:pPr>
        <w:pStyle w:val="Normal"/>
      </w:pPr>
      <w:r>
        <w:t xml:space="preserve">1. Notwithstanding the other provisions of this Agreement except for Chapter 2 (National Treatment and Market Access for Goods), Chapter 3 (Agriculture), Chapter 4 (Rules of Origin), Chapter 5 (Origin Procedures), Chapter 6 (Textiles and Apparel), Chapter 7 (Customs Administration and Trade Facilitation), Chapter 9 (Sanitary and Phytosanitary Measures), Chapter 1 0 (Trade Remedies), and Chapter 11 (Technical Barriers to Trade), a Party is not prevented from adopting or maintaining a measure for prudential reasons,6 including for the protection of investors, depositors, policy holders, or persons to whom a fiduciary duty is owed by a financial institution or cross-border financial service supplier, or 6 The Parties understand that the term “prudential reasons” includes the maintenance of the safety, soundness, integrity, or financial responsibility of individual financial institutions or cross-border financial service suppliers as well as the safety, and financial and operational integrity of payment and clearing systems. to ensure the integrity and stability of the financial system. If the measure does not conform with the provisions of this Agreement to which this exception applies, the measure must not be used as a means of avoiding the Party’s commitments or obligations under those provisions. 2.</w:t>
      </w:r>
    </w:p>
    <w:p>
      <w:pPr>
        <w:pStyle w:val="Normal"/>
      </w:pPr>
      <w:r>
        <w:t>Nothing in this Chapter, Chapter 14 (Investment), Chapter 15 (Cross- Border Trade in Services), Chapter 18 (Telecommunications) including specifically Article 18.26 (Relation to Other Chapters), or Chapter 19 (Digital Trade), applies to a non-discriminatory measure of general application taken by a public entity in pursuit of monetary and related credit policies or exchange rate policies. This paragraph does not affect a Party’s obligations under Article 1 4 .10 (Performance Requirements) with respect to a measure covered by Chapter 14 (Investment), under Article 14.9 (Transfers) or Article 15.12 (Cross Border Trade in Services, Payments and Transfers). 3. Notwithstanding Article 14.9 (Transfers) and Article 15.12 (Payments and Transfers), as incorporated into this Chapter, a Party may prevent or limit a transfer by a financial institution or a cross-border financial service supplier to, or for the benefit of, an affiliate of or person related to that institution or supplier, through the equitable, non-discriminatory and good faith application of a measure relating to maintenance of the safety, soundness, integrity, or financial responsibility of financial institutions or cross-border financial service suppliers. This paragraph does not prejudice any other provision of this Agreement that permits a Party to restrict transfers. 4.</w:t>
      </w:r>
    </w:p>
    <w:p>
      <w:pPr>
        <w:pStyle w:val="Normal"/>
      </w:pPr>
      <w:r>
        <w:t>For greater certainty, nothing in this Chapter shall be construed to prevent a Party from adopting or maintaining a measure necessary to secure compliance with laws or regulations that are not inconsistent with this Chapter, including those relating to the prevention of deceptive and fraudulent practices or to deal with the effects of a default on financial services contracts, subject to the requirement that the measure is not applied in a manner that would constitute a means of arbitrary or unjustifiable discrimination between Parties or between Parties and non-Parties where like conditions prevail, or a disguised restriction on investment in financial institutions or cross-border trade in financial services as covered by this Chapter.</w:t>
      </w:r>
    </w:p>
    <w:p>
      <w:pPr>
        <w:pStyle w:val="Heading2"/>
      </w:pPr>
      <w:bookmarkStart w:id="900496" w:name="_Toc300000495"/>
      <w:r>
        <w:t xml:space="preserve">Article 17.12: Recognition</w:t>
      </w:r>
      <w:bookmarkEnd w:id="900496"/>
    </w:p>
    <w:p>
      <w:pPr>
        <w:pStyle w:val="Normal"/>
      </w:pPr>
      <w:r>
        <w:t xml:space="preserve">1. A Party may recognize prudential measures of another Party or a non-Party in the application of a measure covered by this Chapter. That recognition may be: (a) accorded autonomously; (b) achieved through harmonization or other means; or (c) based upon an agreement or arrangement with another Party or a non-Party. 2. A Party that accords recognition of prudential measures under paragraph 1 shall provide adequate opportunity to another Party to demonstrate that circumstances exist in which there are or would be equivalent regulation, oversight, implementation of regulation and, if appropriate, procedures concerning the sharing of information between the relevant Parties. 3. If a Party accords recognition of prudential measures under paragraph 1(c) and the circumstances set out in paragraph 2 exist, that Party shall provide adequate opportunity to another Party to negotiate accession to the agreement or arrangement, or to negotiate a comparable agreement or arrangement. 4. For greater certainty, nothing in Article 17.4 (Most-Favored-Nation Treatment) requires a Party to accord recognition to prudential measures of any other Party.</w:t>
      </w:r>
    </w:p>
    <w:p>
      <w:pPr>
        <w:pStyle w:val="Heading2"/>
      </w:pPr>
      <w:bookmarkStart w:id="900497" w:name="_Toc300000496"/>
      <w:r>
        <w:t xml:space="preserve">Article 17.13: Transparency and Administration of Certain Measures</w:t>
      </w:r>
      <w:bookmarkEnd w:id="900497"/>
    </w:p>
    <w:p>
      <w:pPr>
        <w:pStyle w:val="Normal"/>
      </w:pPr>
      <w:r>
        <w:t xml:space="preserve">1. Chapter 28 (Good Regulatory Practices) and Chapter 29 (Publication and Administration) d o not apply to a measure relating to this Chapter. 2. Each Party shall ensure that all measures of general application to which this Chapter applies are administered in a reasonable, objective and impartial manner. 3. Each Party shall, to the extent practicable: (a) publish in advance any regulation that it proposes to adopt and the purpose of the regulation; and (b) provide interested persons and other Parties with a reasonable opportunity to comment on that proposed regulation. 4. At the time that it adopts a final regulation, a Party should, to the extent practicable, address in writing the substantive comments received from interested persons and other Parties with respect to the proposed regulation. For greater certainty, a Party may address those comments collectively on an official government website. 5.</w:t>
      </w:r>
    </w:p>
    <w:p>
      <w:pPr>
        <w:pStyle w:val="Normal"/>
      </w:pPr>
      <w:r>
        <w:t>To the extent practicable, each Party should allow a reasonable period of time between publication of a final regulation of general application and the date when it enters into effect. 6. Each Party shall establish or maintain appropriate mechanisms for responding to inquiries from interested persons and other Parties regarding measures of general application covered by this Chapter. 7.</w:t>
      </w:r>
    </w:p>
    <w:p>
      <w:pPr>
        <w:pStyle w:val="Normal"/>
      </w:pPr>
      <w:r>
        <w:t>If a Party requires authorization for the supply of a financial service, it shall ensure that its financial regulatory authorities: (a) to the extent practicable, permit an applicant to submit an application at any time; (b) allow a reasonable period for the submission of an application if specific time periods for applications exist; (c) provide to service suppliers and persons seeking to supply a service the information necessary to comply with the requirements and procedures for obtaining, maintaining, amending, and renewing such authorization; (d) to the extent practicable, provide an indicative timeframe for processing of an application; (e) endeavor to accept applications in electronic format; (f) accept copies of documents that are authenticated in accordance with the Party’s law, in place of original documents, unless the financial regulatory authorities require original documents to protect the integrity of the authorization process; (g) at the request of the applicant, provide without undue delay information concerning the status of the application;</w:t>
      </w:r>
    </w:p>
    <w:p>
      <w:pPr>
        <w:pStyle w:val="Normal"/>
      </w:pPr>
      <w:r>
        <w:t>(h) in the case of an application considered complete under the Party’s laws and regulations, within a reasonable period of time taking into account the available resources of the competent authority after the submission of the application, ensure that the processing of an application is completed, and that the applicant is informed of the decision concerning the application, to the extent possible in writing; (i) in</w:t>
      </w:r>
    </w:p>
    <w:p>
      <w:pPr>
        <w:pStyle w:val="Normal"/>
      </w:pPr>
      <w:r>
        <w:t>the case of an application considered incomplete under the Party’s law, within a reasonable period of time, to the extent practicable: (i) inform the applicant that the application is incomplete, (ii) at the request of the applicant, provide guidance on why the application is considered incomplete, and (iii) provide the applicant with the opportunity7 to provide the additional information that is required to complete the application; and if none of the actions in subparagraphs (i) through (iii) is practicable, and the 7 For greater certainty, this opportunity does not require a competent authority to provide extensions of deadlines. application is rejected due to incompleteness, ensure that the applicant is informed within a reasonable period of time; (j) in the case of a rejected application, to the extent practicable, either on its own initiative or upon the request of the applicant, inform the applicant of the reasons for rejection and, if applicable, the procedures for resubmission of an application; (k) with respect to an authorization fee8 charged by financial regulatory authorities:</w:t>
      </w:r>
    </w:p>
    <w:p>
      <w:pPr>
        <w:pStyle w:val="Normal"/>
      </w:pPr>
      <w:r>
        <w:t>(i) provide applicants with a schedule of fees or information on how fee amounts are calculated, and (ii) do not use the fees as a means of avoiding the Party’s commitments or obligations under this Chapter; and (l) ensure that authorization, once granted, enters into effect without undue delay.</w:t>
      </w:r>
    </w:p>
    <w:p>
      <w:pPr>
        <w:pStyle w:val="Heading2"/>
      </w:pPr>
      <w:bookmarkStart w:id="900498" w:name="_Toc300000497"/>
      <w:r>
        <w:t xml:space="preserve">Article 17.14: Self-Regulatory Organizations</w:t>
      </w:r>
      <w:bookmarkEnd w:id="900498"/>
    </w:p>
    <w:p>
      <w:pPr>
        <w:pStyle w:val="Normal"/>
      </w:pPr>
      <w:r>
        <w:t xml:space="preserve">If a Party requires a financial institution or a cross-border financial service supplier of another Party to be a member of, participate in, or have access to, a self-regulatory organization in order to provide a financial service in or into its territory, it shall ensure that the self-regulatory organization observes the obligations contained in this Chapter.</w:t>
      </w:r>
    </w:p>
    <w:p>
      <w:pPr>
        <w:pStyle w:val="Heading2"/>
      </w:pPr>
      <w:bookmarkStart w:id="900499" w:name="_Toc300000498"/>
      <w:r>
        <w:t xml:space="preserve">Article 17.15: Payment and Clearing Systems</w:t>
      </w:r>
      <w:bookmarkEnd w:id="900499"/>
    </w:p>
    <w:p>
      <w:pPr>
        <w:pStyle w:val="Normal"/>
      </w:pPr>
      <w:r>
        <w:t xml:space="preserve">Under terms and conditions that accord national treatment, each Party shall grant financial institutions of another Party established in its territory access to payment and clearing systems operated by public entities, and to official funding and refinancing facilities available in the normal course of ordinary business. This Article does not confer or require access to the Party’s lender of last resort facilities.</w:t>
      </w:r>
    </w:p>
    <w:p>
      <w:pPr>
        <w:pStyle w:val="Heading2"/>
      </w:pPr>
      <w:bookmarkStart w:id="900500" w:name="_Toc300000499"/>
      <w:r>
        <w:t xml:space="preserve">Article 17.16: Expedited Availability of Insurance Services</w:t>
      </w:r>
      <w:bookmarkEnd w:id="900500"/>
    </w:p>
    <w:p>
      <w:pPr>
        <w:pStyle w:val="Normal"/>
      </w:pPr>
      <w:r>
        <w:t xml:space="preserve">The Parties recognize the importance of maintaining and developing regulatory procedures to expedite the offering of insurance services by licensed suppliers. These procedures may include: allowing introduction of products unless those products are 8 An authorization fee includes a licensing fee and fees relating to qualification procedures but does not include a fee for the use of natural resources, payments for auction, tendering or other non-discriminatory means of awarding concessions, or mandated contributions to universal service provision. disapproved within a reasonable period of time; not requiring product approval or authorization of insurance lines for insurance other than insurance sold to individuals or compulsory insurance; or not imposing limitations on the number or frequency of product introductions. If a Party maintains regulatory product approval procedures, that Party shall endeavor to maintain or improve those procedures, as appropriate, to expedite availability of insurance services by licensed suppliers.</w:t>
      </w:r>
    </w:p>
    <w:p>
      <w:pPr>
        <w:pStyle w:val="Heading2"/>
      </w:pPr>
      <w:bookmarkStart w:id="900501" w:name="_Toc300000500"/>
      <w:r>
        <w:t xml:space="preserve">Article 17.17: Transfer of Information</w:t>
      </w:r>
      <w:bookmarkEnd w:id="900501"/>
    </w:p>
    <w:p>
      <w:pPr>
        <w:pStyle w:val="Normal"/>
      </w:pPr>
      <w:r>
        <w:t xml:space="preserve">No Party shall prevent a covered person from transferring information, including personal information, into and out of the Party’s territory by electronic or other means when this activity is for the conduct of business within the scope of the license, authorization, or registration of that covered person. Nothing in this Article restricts the right of a Party to adopt or maintain measures to protect personal data, personal privacy and the confidentiality of individual records and accounts, provided that such measures are not used to circumvent this Article.</w:t>
      </w:r>
    </w:p>
    <w:p>
      <w:pPr>
        <w:pStyle w:val="Heading2"/>
      </w:pPr>
      <w:bookmarkStart w:id="900502" w:name="_Toc300000501"/>
      <w:r>
        <w:t xml:space="preserve">Article 17.18: Location of Computing Facilities</w:t>
      </w:r>
      <w:bookmarkEnd w:id="900502"/>
    </w:p>
    <w:p>
      <w:pPr>
        <w:pStyle w:val="Normal"/>
      </w:pPr>
      <w:r>
        <w:t xml:space="preserve">1. The Parties recognize that immediate, direct, complete, and ongoing access by a Party’s financial regulatory authorities to information of covered persons, including information underlying the transactions and operations of such persons, is critical to financial regulation and supervision, and recognize the need to eliminate any potential limitations on that access.</w:t>
      </w:r>
    </w:p>
    <w:p>
      <w:pPr>
        <w:spacing w:after="240"/>
      </w:pPr>
      <w:r>
        <w:t>2. No Party shall require a covered person to use or locate computing facilities in the Party’s territory as a condition for conducting business in that territory, so long as the Party’s financial regulatory authorities, for regulatory and supervisory purposes, have immediate, direct, complete, and ongoing access to information processed or stored on computing facilities that the covered person uses or locates outside the Party’s territory.9</w:t>
      </w:r>
    </w:p>
    <w:p>
      <w:pPr>
        <w:pStyle w:val="Normal"/>
      </w:pPr>
      <w:r>
        <w:t>3. Each Party shall, to the extent practicable, provide a covered person with a reasonable opportunity to remediate a lack of access to information as described in paragraph 2 before the Party requires the covered person to use or locate computing facilities in the Party’s territory or the territory of another jurisdiction.10</w:t>
      </w:r>
    </w:p>
    <w:p>
      <w:pPr>
        <w:pStyle w:val="Normal"/>
      </w:pPr>
      <w:r>
        <w:t>4. Nothing in this Article restricts the right of a Party to adopt or maintain measures to protect personal data, personal privacy and the confidentiality of individual records and accounts, provided that these measures are not used to circumvent the commitments or obligations of this Article.</w:t>
      </w:r>
    </w:p>
    <w:p>
      <w:pPr>
        <w:spacing w:after="240"/>
      </w:pPr>
      <w:r>
        <w:t>PRINTED FOOTNOTE 9 TO ARTICLE 17.18. For greater certainty, access to information includes access to information of a covered person that is processed or stored on computing facilities of the covered person or on computing facilities of a third-party service supplier. For greater certainty, a Party may adopt or maintain a measure that is not inconsistent with this Agreement, including any measure consistent with Article 17.11.1 (Exceptions), such as a measure requiring a covered person to obtain prior authorization from a financial regulatory authority to designate a particular enterprise as a recipient of that information, or a measure adopted or maintained by a financial regulatory authority in the exercise of its authority over a covered person’s business continuity planning practices with respect to maintenance of the operation of computing facilities.</w:t>
      </w:r>
    </w:p>
    <w:p>
      <w:pPr>
        <w:spacing w:after="240"/>
      </w:pPr>
      <w:r>
        <w:t>PRINTED FOOTNOTE 10 TO ARTICLE 17.18. For greater certainty, so long as a Party’s financial regulatory authorities do not have access to information as described in paragraph 2, the Party may, subject to paragraph 3, require a covered person to use or locate computing facilities either in the territory of the Party or the territory of another jurisdiction where the Party has that access.</w:t>
      </w:r>
    </w:p>
    <w:p>
      <w:pPr>
        <w:pStyle w:val="Heading2"/>
      </w:pPr>
      <w:bookmarkStart w:id="900503" w:name="_Toc300000502"/>
      <w:r>
        <w:t xml:space="preserve">Article 17.19: Committee on Financial Services</w:t>
      </w:r>
      <w:bookmarkEnd w:id="900503"/>
    </w:p>
    <w:p>
      <w:pPr>
        <w:pStyle w:val="Normal"/>
      </w:pPr>
      <w:r>
        <w:t xml:space="preserve">1. The Parties hereby establish a Committee on Financial Services (Financial Services Committee). The principal representative of each Party must be an official of the Party’s authority responsible for financial services set out in Annex 17-B (Authorities Responsible for Financial Services). 2. The Financial Services Committee shall supervise the implementation of this Chapter and its further elaboration, including by considering issues regarding financial services that are referred to it by a Party. 3. The Financial Services Committee shall meet as the Parties decide to assess the functioning of this Agreement as it applies to financial services. The Financial Services Committee shall inform the Commission of the results of any meeting. The Parties may invite, as appropriate, representatives of their domestic financial regulatory authorities to attend meetings of the Committee.</w:t>
      </w:r>
    </w:p>
    <w:p>
      <w:pPr>
        <w:pStyle w:val="Heading2"/>
      </w:pPr>
      <w:bookmarkStart w:id="900504" w:name="_Toc300000503"/>
      <w:r>
        <w:t xml:space="preserve">Article 17.20: Consultations</w:t>
      </w:r>
      <w:bookmarkEnd w:id="900504"/>
    </w:p>
    <w:p>
      <w:pPr>
        <w:pStyle w:val="Normal"/>
      </w:pPr>
      <w:r>
        <w:t xml:space="preserve">1. A Party may request, in writing, consultations with another Party regarding any matter arising under this Agreement that affects financial services. The other Party shall give sympathetic consideration to this request. The consulting Parties shall report the results of their consultations to the Financial Services Committee. 2. A Party may request information on an existing non-conforming measure of another Party as referred to in Article 17.10.1 (Non-Conforming Measures). Each Party’s financial authorities specified in Annex 17-B (Authorities Responsible for Financial Services) shall be the contact point to respond to those requests and to facilitate the exchange of information regarding the operation of measures covered by those requests.</w:t>
      </w:r>
    </w:p>
    <w:p>
      <w:pPr>
        <w:pStyle w:val="Normal"/>
      </w:pPr>
      <w:r>
        <w:t>3. For greater certainty, nothing in this Article shall be construed to require a Party to derogate from its law regarding sharing of information between financial regulatory authorities or the requirements of an agreement or arrangement between financial regulatory authorities of the Parties, or to require a financial regulatory authority to take any action that would interfere with specific regulatory, supervisory, administrative or enforcement matters.</w:t>
      </w:r>
    </w:p>
    <w:p>
      <w:pPr>
        <w:pStyle w:val="Heading2"/>
      </w:pPr>
      <w:bookmarkStart w:id="900505" w:name="_Toc300000504"/>
      <w:r>
        <w:t xml:space="preserve">Article 17.21: Dispute Settlement</w:t>
      </w:r>
      <w:bookmarkEnd w:id="900505"/>
    </w:p>
    <w:p>
      <w:pPr>
        <w:pStyle w:val="Normal"/>
      </w:pPr>
      <w:r>
        <w:t xml:space="preserve">1. Chapter 31 (Dispute Settlement) applies as modified by this Article to the settlement of disputes arising under this Chapter. 2. For disputes arising under this Chapter or a dispute in which a Party invokes Article 17.11 (Exceptions), when selecting panelists to compose a panel under Article 31.9 (Panel Composition), each disputing Party shall select panelists so that: (a) the chairperson has expertise or experience in financial services law or practice, such as the regulation of financial institutions, and meets the qualifications set out in Article 31.8.2 (Roster and Qualifications of Panelists); and (b) each of the other panelists: (i) has expertise or experience in financial services law or practice, such as the regulation of financial institutions, and meets the qualifications set out in paragraph (2)(b) through (2)(d) of Article 31.8.2 (Roster and Qualifications of Panelists); or (ii) meets the qualifications set out in Article 31.8.2 (Roster and Qualification of Panelists). 3.</w:t>
      </w:r>
    </w:p>
    <w:p>
      <w:pPr>
        <w:pStyle w:val="Normal"/>
      </w:pPr>
      <w:r>
        <w:t>If a Party seeks to suspend benefits in the financial services sector, a panel that reconvenes to make a determination on the proposed suspension of benefits, in accordance with Article 3 1 .19 (Non-Implementation – Suspension of Benefits), shall seek the views of financial services experts, as necessary. 4.</w:t>
      </w:r>
    </w:p>
    <w:p>
      <w:pPr>
        <w:pStyle w:val="Normal"/>
      </w:pPr>
      <w:r>
        <w:t>Notwithstanding Article 31.19 (Non-Implementation – Suspension of Benefits), when a panel’s determination is that a Party’s measure is inconsistent with this Agreement and the measure affects: (a) only a sector other than the financial services sector, the complaining Party may not suspend benefits in the financial services sector; or (b) the financial services sector and another sector, the complaining Party may not suspend benefits in the financial services sector that have an effect that exceeds the effect of the measure in the complaining Party’s financial services sector. 17-A-0</w:t>
      </w:r>
    </w:p>
    <w:p>
      <w:pPr>
        <w:pStyle w:val="Normal"/>
      </w:pPr>
      <w:r>
        <w:t>5. FINANCIAL SECTOR REMEDY FIREWALL. The sectoral limits in paragraph 4 apply to every suspension, interim countermeasure, or other treaty benefit restriction under this Agreement, including Article 31.A(4) and Chapter 35, whether or not a final inconsistency determination has issued. For an interim measure, the subject and sector of the alleged inconsistency replace the final determination solely for identifying the paragraph 4 boundary, without lowering the proof required to authorize the measure. A non-financial-services dispute does not authorize restriction of financial-services benefits merely because Annex 35-B places both activities in one Services module. Any restriction otherwise authorized remains subject to paragraph 4’s sector allocation, equivalence limits, and the independently applicable proportionality and remedy requirements.</w:t>
      </w:r>
    </w:p>
    <w:p>
      <w:pPr>
        <w:pStyle w:val="Normal"/>
        <w:spacing w:before="0" w:after="0"/>
        <w:contextualSpacing w:val="0"/>
      </w:pPr>
      <w:r>
        <w:t>6. FINANCIAL PANEL EXPERTISE. Paragraph 2’s chair qualification governs every dispute arising under this Chapter or in which Article 17.11 is invoked, including Article 31.A composition and Articles 31.9 and 31.C default appointment. Financial-services expertise and the panel qualifications in Article 31.8(2) and (5) control for that chair, and Article 31.A(3)(b)’s tariff/customs specialization and existing-roster-membership conditions yield where no available roster member satisfies both sets of requirements. The Secretary prepares the neutral financial-services pool on panel-request delivery, and the disputing Parties may jointly select an available qualified chair from the Chapter 31 roster within four days after panel-request delivery or, if none is jointly selected by that deadline, the responsible Secretary completes the objective nomination, screening, and draw under Article 30.C(4), (6), and (9) from its neutral financial-services pool by day five, with this rule replacing any longer chair-selection or discretionary side-selection procedure in Articles 31.9 and 31.C. Other panelists retain their applicable qualifications and selection rules, no unqualified chair is appointed, and an unavailable qualified chair is recorded and addressed under Article 30.C(9) without changing jurisdiction or converting a technical Team into a panel.</w:t>
      </w:r>
    </w:p>
    <w:p>
      <w:pPr>
        <w:spacing w:before="0" w:after="0"/>
        <w:contextualSpacing w:val="0"/>
      </w:pPr>
    </w:p>
    <w:p>
      <w:pPr>
        <w:pStyle w:val="Heading2"/>
      </w:pPr>
      <w:bookmarkStart w:id="900506" w:name="_Toc300000505"/>
      <w:r>
        <w:t xml:space="preserve">ANNEX 17-A CROSS-BORDER TRADE</w:t>
      </w:r>
      <w:bookmarkEnd w:id="900506"/>
    </w:p>
    <w:p>
      <w:pPr>
        <w:pStyle w:val="Normal"/>
      </w:pPr>
      <w:r>
        <w:t xml:space="preserve">Canada11 Insurance and Insurance-Related Services 1. Articles 17.3.3 (National Treatment) and 17.5.1 (Market Access) apply to the cross- border supply of or trade in financial services, as defined in subparagraph (a) of the definition of “cross-border supply of financial services” in Article 17.1 (Definitions), with respect to: (a) insurance of risks relating to: (i) maritime transport and commercial aviation and space launching and freight (including satellites), with such insurance to cover any or all of the following: the goods being transported, the vehicle transporting the goods, and any liability deriving therefrom, and (ii) goods in international transit; (b) reinsurance and retrocession; (c) services auxiliary to insurance as described in subparagraph (d) of the definition of “financial service” in Article 17.1 (Definitions); and (d) insurance intermediation such as brokerage and agency, as referred to in subparagraph (c) of the definition of “financial service” in Article 17.1 (Definitions) of insurance of risks related to services listed in subparagraphs (a) and (b) of this paragraph. Banking and Other Financial Services (excluding insurance) 2.</w:t>
      </w:r>
    </w:p>
    <w:p>
      <w:pPr>
        <w:pStyle w:val="Normal"/>
      </w:pPr>
      <w:r>
        <w:t>Articles 17.3.3 (National Treatment) and 17.5.1 (Market Access) apply to the cross- border supply of or trade in financial services, as defined in subparagraphs (a) of the definition of “cross-border supply of financial services” in Article 17.1 (Definitions), with respect to: (a) the provision and transfer of financial information and financial data processing as described in subparagraph (o) of the definition of “financial service” in Article 17.1 (Definitions); 11 For greater certainty, Canada requires that a cross-border financial services supplier appoint a local agent in Canada that is provided with power of attorney. 17-A-1 (b) advisory and other auxiliary financial services, and credit reference and analysis, excluding intermediation, relating to banking and other financial services as described in subparagraph (p) of the definition of financial service” in Article 17.1 (Definitions); and (c) electronic payment services for payment card transactions falling within subparagraph (h) of the definition of “financial service” in Article 17.1 (Definitions), and within subcategory 71593 of the United Nations Central Product Classification, Version 3.9, and including only:</w:t>
      </w:r>
    </w:p>
    <w:p>
      <w:pPr>
        <w:pStyle w:val="Normal"/>
      </w:pPr>
      <w:r>
        <w:t>(i) the processing of financial transactions, such as verification of financial balances, authorization of transactions, notification of banks (or credit card issuers) of individual transactions and provision of daily summaries and instructions regarding the net financial position of relevant institutions</w:t>
      </w:r>
    </w:p>
    <w:p>
      <w:pPr>
        <w:pStyle w:val="Normal"/>
      </w:pPr>
      <w:r>
        <w:t>for authorized transactions, and (ii) those services that are provided on a business-to-business basis and use proprietary networks to process payment transactions, but not including the transfer of funds to and from transactors’ accounts.12 (d) the following services if they are provided to a collective investment scheme located in Canada: (i) investment advice, and (ii) portfolio management services, excluding: (A) trustee services, and (B) custodial services and execution services that are not related to managing a collective investment scheme. 3. For the purposes of paragraph 2, in Canada: (a) payment card means a “payment card” as defined under the Payment Card Networks Act as of January 1, 2015. For greater certainty, physical and electronic forms of credit and debit cards are included in the definition. For greater certainty, 12 Nothing in this subparagraph prevents a Party from adopting or maintaining measures to protect personal data, personal privacy, and the confidentiality of individual records and accounts, provided that these measures are not used to circumvent the commitments or obligations of this subparagraph.</w:t>
      </w:r>
    </w:p>
    <w:p>
      <w:pPr>
        <w:pStyle w:val="Normal"/>
      </w:pPr>
      <w:r>
        <w:t>For greater certainty, nothing in this subparagraph prevents a Party from adopting or maintaining measures that regulate fees, such as interchange or switching fees, or that impose fees. 17-A-2 credit cards include pre-paid cards. (b) a collective investment scheme means, an “investment fund”13 as defined under the relevant Securities Act.</w:t>
      </w:r>
    </w:p>
    <w:p>
      <w:pPr>
        <w:pStyle w:val="Normal"/>
      </w:pPr>
      <w:r>
        <w:t>13 In Canada, a financial institution organized in the territory of another Party can only provide custodial services to a collective investment scheme located in Canada if the financial institution has shareholders’ equity equivalent to at least $100 million. 17-A-3 Mexico Insurance and insurance-related services 1. Article 17.3.3 (National Treatment) and Article 17.5.1 (Market Access) shall apply to the cross-border supply of or trade in financial services, as defined in subparagraph (a) of the definition of “cross-border supply of financial services” in Article 17.1 (Definitions), with respect to: (a) insurance of risks relating to: (i) maritime shipping and commercial aviation, space launching and freight (including satellites), with such insurance to cover all or any of the following: the goods being transported; and the vehicle transporting the goods, when such vehicles have foreign registration or are property of persons domiciled abroad, and (ii) goods in international transit;</w:t>
      </w:r>
    </w:p>
    <w:p>
      <w:pPr>
        <w:pStyle w:val="Normal"/>
      </w:pPr>
      <w:r>
        <w:t>(b) any other insurance of risks, if the person seeking to purchase the insurance demonstrates that none of the insurance companies authorized to operate in Mexico is able or deems convenient to enter into such insurance proposed to it; (c) reinsurance and retrocession; and (d) insurance intermediation, as referred to in subparagraph (c) of the definition of “financial service” in Article 17.1 (Definitions), and services auxiliary to insurance, as referred to in subparagraph (d) of the</w:t>
      </w:r>
    </w:p>
    <w:p>
      <w:pPr>
        <w:pStyle w:val="Normal"/>
      </w:pPr>
      <w:r>
        <w:t>definition of “financial service” in Article 17.1 (Definitions), only in respect of insurance referred to in the section of Mexico in this Annex. Banking and other financial services (excluding insurance) 2. Article 17.3.3 (National Treatment) and Article 17.5.1 (Market Access) shall apply to the cross-border supply of or trade in financial services, as defined in subparagraph (a) of the definition of “cross-border supply of financial services” in Article 17.1 (Definitions), with respect to: (a) provision and transfer of financial information, and financial data processing and related software, as referred to in subparagraph (o) of the definition of “financial service” in Article 17.1 (Definitions); 17-A-4 (b) advisory and other auxiliary services,14 excluding intermediation, and credit reference and analysis, relating to banking and other financial services, as referred to in subparagraph (p) of the definition of “financial service” in Article 17.1 (Definitions); (c) the following services if they are provided to a collective investment scheme in Mexico: (i) investment advice, and (ii) portfolio management services, excluding:</w:t>
      </w:r>
    </w:p>
    <w:p>
      <w:pPr>
        <w:pStyle w:val="Normal"/>
      </w:pPr>
      <w:r>
        <w:t>(A) trustee services, and (B) custodial services and execution services that are not related to managing a collective investment scheme; and (d) electronic payment services for payment card transactions falling within subparagraph (h) of the definition of “financial service” in Article 17.1 (Definitions), and within subcategory 71593 of the United</w:t>
      </w:r>
    </w:p>
    <w:p>
      <w:pPr>
        <w:pStyle w:val="Normal"/>
      </w:pPr>
      <w:r>
        <w:t>Nations Central Product Classification, Version 3.9, and including only: (i) receiving and sending messages for: authorization requests, authorization responses (approvals or declines), stand-in authorizations, adjustments, refunds, returns, retrievals, charge backs and related administrative messages, (ii) calculation of fees and balances derived from transactions of acquirers and issuers, and receiving and sending messages related to this process to acquirers and issuers, and their agents and representatives, (iii) the provision of periodic reconciliation, summaries and instructions regarding the net financial position of acquirers and issuers, and their agents and representatives for approved transactions, (iv) value-added services related to the main processing activities referred to in subparagraphs (i), (ii), and (iii), such as fraud prevention and mitigation activities, and administration of loyalty programs, and 14 The Parties understand that advisory and other auxiliary financial services do not include those services referred to in subparagraphs (e) through (o) of the definition of “financial service” in Article 17.1 (Definitions). 17-A-5 (v) those services that are provided on a business-to-business basis and use proprietary networks to process payment transactions, as referenced in subparagraphs (i)-(iv), but not including the transfer of funds to and from transactors’ accounts.</w:t>
      </w:r>
    </w:p>
    <w:p>
      <w:pPr>
        <w:pStyle w:val="Normal"/>
      </w:pPr>
      <w:r>
        <w:t>For Mexico, a payment card means a credit card, debit card, and reloadable card in physical form or electronic format, as defined under Mexican law.15 3. For the purposes of paragraph 2(b) and 2(c), in Mexico a collective investment scheme means the “Managing Companies of Investment Funds (Sociedades Operadoras de Fondos de Inversión)” established under the Investment Funds Law (Ley de Fondos de Inversión). A financial institution organized in the territory of another Party will only be authorized to provide portfolio management services to a collective investment scheme located in Mexico if it provides the same services in the territory of the Party where it is established. 15 Nothing in this subparagraph prevents a Party from adopting or maintaining measures to protect personal data, personal privacy, and the confidentiality of individual records and accounts, provided that these measures are not used to circumvent the commitments or obligations of this subparagraph. For greater certainty, nothing in this subparagraph prevents a Party from adopting or maintaining measures that regulate fees, such as interchange or switching fees, or that impose fees. 17-A-6 United States Insurance and insurance-related services 1.</w:t>
      </w:r>
    </w:p>
    <w:p>
      <w:pPr>
        <w:pStyle w:val="Normal"/>
      </w:pPr>
      <w:r>
        <w:t>Article 17.3.3 (National Treatment) and Article 17.5.1 (Market Access) shall apply to the cross-border supply of or trade in financial services, as defined in subparagraph (a) of the definition of “cross-border supply of financial services” in Article 17.1 (Definitions), with respect to: (a) insurance of risks relating to: (i) maritime shipping and commercial aviation and space launching and freight (including satellites), with that insurance to cover any or all of the following: the goods being transported, t he vehicle transporting the goods, and any liability arising therefrom, and (ii) goods in international transit; and (b) reinsurance and retrocession; services auxiliary to insurance, as referred to in subparagraph (d) of the definition of “financial service” in Article 17.1 (Definitions); and insurance intermediation, such as brokerage and agency, as referred to in subparagraph (c) of the definition of “financial service” in Article 17.1 (Definitions). Banking and other financial services (excluding insurance) 2.</w:t>
      </w:r>
    </w:p>
    <w:p>
      <w:pPr>
        <w:pStyle w:val="Normal"/>
      </w:pPr>
      <w:r>
        <w:t>Article 17.3.3 (National Treatment) and 17.5.1 (Market Access) shall apply to the cross- border supply of or trade in financial services, as defined in subparagraph (a) of the definition of “cross-border supply of financial services” in Article 17.1 (Definitions), with respect to: (a) provision and transfer of financial information, and financial data processing and related software, as referred to in subparagraph (o) of the definition of “financial service” in Article 17.1 (Definitions); (b) advisory and other auxiliary services, excluding intermediation, relating to banking and other financial services, as referred to in subparagraph (p) of the definition of “financial service” in Article 17.1 (Definitions); (c) investment advice to a collective investment scheme located in the Party’s territory;</w:t>
      </w:r>
    </w:p>
    <w:p>
      <w:pPr>
        <w:pStyle w:val="Normal"/>
      </w:pPr>
      <w:r>
        <w:t>(d) portfolio management services, excluding (i) trustee services, and 17-A-7 (ii) custodial services and execution services that are not related to managing a collective investment scheme; and (e) electronic payment services for payment card transactions falling within subparagraph (h) of the definition of “financial service” in Article 17.1 (Definitions), and within subcategory 71593 of the United Nations Central Product Classification, Version 3.9, and including only: (i) the processing of financial transactions such as verification of financial balances, authorization of transactions, notification of banks (or credit card issuers) of individual transactions and provision of</w:t>
      </w:r>
    </w:p>
    <w:p>
      <w:pPr>
        <w:pStyle w:val="Normal"/>
      </w:pPr>
      <w:r>
        <w:t>daily summaries and instructions regarding the net financial position of relevant institutions for authorized transactions, and (ii) those services that are provided on a business-to-business basis and use proprietary networks to process payment transactions, but not including the transfer of funds to and from transactors’ accounts. For the United States, a payment card means a credit card, charge card, debit card, check card, automated teller machine (ATM) card, prepaid card, and other physical or electronic products or services for performing similar functions as these cards, and the unique account number associated with that card, product, or service. 3. For the purposes of subparagraphs 2(c) and 2(d), for the United States, a collective investment scheme means an investment company registered with the Securities and Exchange Commission under the Investment Company Act of 1940. 17 16 Nothing in this subparagraph prevents a Party from adopting or maintaining measures to protect personal data, personal privacy, and the confidentiality of individual records and accounts, provided that these measures are not used to circumvent the commitments or obligations of this subparagraph.</w:t>
      </w:r>
    </w:p>
    <w:p>
      <w:pPr>
        <w:pStyle w:val="Normal"/>
      </w:pPr>
      <w:r>
        <w:t>For greater certainty, nothing in this subparagraph prevents a Party from adopting or maintaining measures that regulate fees, such as interchange or switching fees, or that impose fees.</w:t>
      </w:r>
    </w:p>
    <w:p>
      <w:pPr>
        <w:pStyle w:val="Normal"/>
      </w:pPr>
      <w:r>
        <w:t>17 Custodial services are included in the scope of the commitment made by the United States under this Annex only with respect to investments for which the primary market is outside the territory of the Party. 17-A-8</w:t>
      </w:r>
    </w:p>
    <w:p>
      <w:pPr>
        <w:pStyle w:val="Heading2"/>
      </w:pPr>
      <w:bookmarkStart w:id="900507" w:name="_Toc300000506"/>
      <w:r>
        <w:t xml:space="preserve">ANNEX 17-B AUTHORITIES RESPONSIBLE FOR FINANCIAL SERVICES</w:t>
      </w:r>
      <w:bookmarkEnd w:id="900507"/>
    </w:p>
    <w:p>
      <w:pPr>
        <w:pStyle w:val="Normal"/>
      </w:pPr>
      <w:r>
        <w:t xml:space="preserve">The authorities for each Party responsible for financial services are: (a) for Canada, the Department of Finance of Canada; (b) for Mexico, the Ministry of Finance and Public Credit (Secretaría de Hacienda y Crédito Público); and (c) for the United States, the Department of the Treasury for the purposes of Annex 17-C (Mexico-United States Investment Disputes in Financial Services) and for all matters involving banking, securities, and financial services other than insurance, and the Department of the Treasury, in cooperation with the Office of the U.S. Trade Representative, for insurance matters. 17-B-1</w:t>
      </w:r>
    </w:p>
    <w:p>
      <w:pPr>
        <w:pStyle w:val="Heading2"/>
      </w:pPr>
      <w:bookmarkStart w:id="900508" w:name="_Toc300000507"/>
      <w:r>
        <w:t xml:space="preserve">ANNEX 17-C MEXICO-UNITED STATES INVESTMENT DISPUTES IN FINANCIAL SERVICES</w:t>
      </w:r>
      <w:bookmarkEnd w:id="900508"/>
    </w:p>
    <w:p>
      <w:pPr>
        <w:pStyle w:val="Normal"/>
      </w:pPr>
      <w:r>
        <w:t xml:space="preserve">1. Annex 14-D (Mexico-United States Investment Disputes) applies as modified by this Annex to the settlement of a qualifying investment dispute under this Chapter. 2. In the event that a disputing party considers that a qualifying investment dispute under this Chapter cannot be settled by consultation and negotiation: (a) the claimant, on its own behalf, may submit to arbitration under Annex 14-D a claim: (i) that the respondent has breached:</w:t>
      </w:r>
    </w:p>
    <w:p>
      <w:pPr>
        <w:pStyle w:val="Normal"/>
      </w:pPr>
      <w:r>
        <w:t>(A) Article 17.3.1 (National Treatment), Article 17.3.2 (National Treatment), Article 17.4.1(a) (Most-Favored-Nation Treatment), Article 17.4.1(b) (Most-Favored-Nation Treatment), or Article 17.4.1(c) (Most-Favored-Nation Treatment)18 except with respect to the establishment or acquisition of an investment; or (B) Article 14.8 (Expropriation and Compensation) as incorporated into this Chapter under Article 17.2.2(a) (Scope), except with respect to indirect expropriation; and (ii) that the claimant has incurred loss or damage by reason of, or arising out of, that breach; and (b) the claimant, on behalf of a financial institution of the respondent that is a juridical person that the claimant owns or controls directly or indirectly, may submit to arbitration under Annex 14-D a claim: (i) that the respondent has breached: (A) Article 17.3.1 (National Treatment), Article 17.3.2 (National Treatment), Article 17.4.1(a) (Most-Favored-Nation Treatment), 18 For the purposes</w:t>
      </w:r>
    </w:p>
    <w:p>
      <w:pPr>
        <w:pStyle w:val="Normal"/>
      </w:pPr>
      <w:r>
        <w:t>of this paragraph:(i) the “treatment” referred to in Article 17.4.1(a) (Most-Favored-Nation Treatment), Article 17.4.1(b) (Most-Favored-Nation Treatment), and Article 17.4.1(c) (Most-Favored-Nation Treatment) excludes provisions in other international trade or investment agreements that establish international dispute resolution procedures or impose substantive obligations; and (ii) the “treatment” referred to in these subparagraphs only encompasses measures adopted or maintained by the other Annex Party, which for greater clarity may include measures adopted in connection with the implementation of substantive obligations in other international trade or investment agreements. 17-C-1 Article 17.4.1(b) (Most-Favored-Nation Treatment), or Article 17.4.1(c) (Most-Favored-Nation Treatment), except with respect to the establishment or acquisition of an investment; or (B) Article 14.8 (Expropriation and Compensation) as incorporated into this Chapter under Article 17.2.2(a), except with respect to indirect expropriation; and (ii) that the financial institution has incurred loss or damage by reason of, or arising out of, that breach. 3.</w:t>
      </w:r>
    </w:p>
    <w:p>
      <w:pPr>
        <w:pStyle w:val="Normal"/>
      </w:pPr>
      <w:r>
        <w:t>If an investor of an Annex Party submits a claim to arbitration under Annex 14-D (Mexico-United States Investment Disputes) as modified by this Annex: (a) the presiding arbitrator and the other arbitrators shall be selected so that the presiding arbitrator has expertise or experience in financial services law or practice such as the regulation of financial institutions, and, to the extent practicable, the other arbitrators have expertise or experience in financial services law or practice such as the regulation of financial institutions; and (b) the respondent shall endeavor to consult with its domestic financial regulatory authorities on the claim. 4. No claim shall be submitted to arbitration under Annex 14-D (Mexico-United States Investment Disputes) as modified by this Annex unless the conditions in Article 14.D.5.1 (Conditions and Limitations on Consent) of Annex 14-D (Mexico-United States Investment Disputes) are satisfied, except the relevant time period in subparagraph (b) is 18 months. 5.</w:t>
      </w:r>
    </w:p>
    <w:p>
      <w:pPr>
        <w:pStyle w:val="Normal"/>
      </w:pPr>
      <w:r>
        <w:t>If an investor of an Annex Party submits a claim to arbitration under Annex 14-D (Mexico-United States Investment Disputes) as modified by this Annex, and the respondent invokes Article 17.11 (Exceptions) as a defense, the following provisions of this Article apply: (a) The respondent shall, no later than the date the tribunal fixes for the respondent to submit its counter-memorial, or in the case of an amendment to the notice of arbitration, the date the tribunal fixes for the respondent to submit its response to the amendment, submit in writing to the authorities responsible for financial services of the Annex Party of the claimant, as set out in Annex 17-B (Authorities Responsible for Financial Services), a request for a joint determination by the authorities of the respondent and the Annex Party of the claimant on the issue of whether and to what extent Article 17.11 (Exceptions) is a valid defense to the claim.</w:t>
      </w:r>
    </w:p>
    <w:p>
      <w:pPr>
        <w:pStyle w:val="Normal"/>
      </w:pPr>
      <w:r>
        <w:t>(i) The respondent shall set out in the request the text of a proposed joint determination that specifies the claims to which it considers Article 17.11 17-C-2 (Exceptions) a valid defense. (ii) The respondent shall promptly provide the tribunal, if constituted, a copy of the request. (iii) The authorities of the Annex Party of the claimant shall notify the authorities of the respondent in writing that the request has been received.</w:t>
      </w:r>
    </w:p>
    <w:p>
      <w:pPr>
        <w:pStyle w:val="Normal"/>
      </w:pPr>
      <w:r>
        <w:t>(iv) The arbitration may proceed with respect to the claim only as provided in subparagraph (g).19 (b) The authorities referred to in subparagraph (a) shall attempt in good faith to make a joint determination as described in that subparagraph within 120 days after the date of the written request for that determination. The authorities may, in extraordinary circumstances, agree to extend the date for a joint determination for up to 60 additional days. (c) The authorities of the Annex Party of the claimant shall notify the authorities of the respondent within 120 days after the date of the written request for a joint determination under subparagraph (a), or within the period agreed under subparagraph (b), whichever is longer, whether the authorities of the Annex Party of the claimant agree to the proposed joint determination submitted under subparagraph (a)(i), propose an alternative joint determination, or will not, for any reason, agree to a joint determination.</w:t>
      </w:r>
    </w:p>
    <w:p>
      <w:pPr>
        <w:pStyle w:val="Normal"/>
      </w:pPr>
      <w:r>
        <w:t>(d) If the authorities of the Annex Party of the claimant make no notification under subparagraph (c), they shall be presumed to take a position that is consistent with that of the authorities of the respondent, and a joint determination shall deemed to be made regarding the issue of whether and to what extent Article 17.11 (Exceptions) is a valid defense to the claim as set out in the proposed joint determination submitted under subparagraph (a)(i).</w:t>
      </w:r>
    </w:p>
    <w:p>
      <w:pPr>
        <w:pStyle w:val="Normal"/>
      </w:pPr>
      <w:r>
        <w:t>(e) Any joint determination made or deemed to be made shall be transmitted promptly to the disputing parties, the Financial Services Committee established under Article 17.19(1) and, if constituted, to the tribunal. The joint determination shall be binding on the tribunal and any decision or award issued by the tribunal must be consistent with that determination. (f) If the authorities referred to in subparagraph (a), within 120 days after the date of the written request for a joint determination under subparagraph (a) or within the 19 The term “joint determination” as used in this subparagraph refers to a determination by the authorities responsible for financial services of the respondent and of the Annex Party of the claimant, as set out in Annex 17-B (Authorities Responsible for Financial Services). 17-C-3 date agreed under subparagraph (b), whichever is longer, have not made a determination as described in subparagraph (a), the tribunal shall decide the issue left unresolved by the authorities.</w:t>
      </w:r>
    </w:p>
    <w:p>
      <w:pPr>
        <w:pStyle w:val="Normal"/>
      </w:pPr>
      <w:r>
        <w:t>(i) The tribunal shall draw no inference regarding the application of Article 17.11 (Exceptions) from the fact that the competent authorities have not made a determination as described in subparagraph (a). (ii) The Annex Party of the claimant may make oral and written submissions to the tribunal regarding the issue of whether and to what extent Article 17.11 (Exceptions) is a valid defense to the claim.</w:t>
      </w:r>
    </w:p>
    <w:p>
      <w:pPr>
        <w:pStyle w:val="Normal"/>
      </w:pPr>
      <w:r>
        <w:t>Unless it makes such a submission, the Annex Party of the claimant shall be presumed, for purposes of the arbitration, to take a position on Article 17.11 (Exceptions) not inconsistent with that of the respondent. (g) The arbitration referred to in subparagraph (a) may proceed with respect to the claim: (i) 10 days after the date a joint determination under subparagraph (a) has been received by the disputing parties and, if constituted, the tribunal; or (ii) 10 days after the expiration of the 120-day period following the request for a joint determination under subparagraph (a) or the expiration of the period agreed under subparagraph (b), whichever is longer.</w:t>
      </w:r>
    </w:p>
    <w:p>
      <w:pPr>
        <w:pStyle w:val="Normal"/>
      </w:pPr>
      <w:r>
        <w:t>(h) On the request of the respondent made within 30 days after the expiration of the 120-day period following the request for a joint determination under subparagraph (a), or within 30 days after the expiration of the period agreed under subparagraph (b), whichever is longer, or, if the tribunal has not been constituted as of the expiration of the 120-day or the period agreed under subparagraph (b), within 30 days after the tribunal is constituted, the tribunal shall address and decide the issue or issues left unresolved by the authorities as referred to in subparagraph (c) prior to deciding the merits of the claim for which Article 17.11 (Exceptions) has been invoked by the respondent as a defense.</w:t>
      </w:r>
    </w:p>
    <w:p>
      <w:pPr>
        <w:pStyle w:val="Normal"/>
      </w:pPr>
      <w:r>
        <w:t>Failure of the respondent to make that request is without prejudice to the right of the respondent to invoke Article 17.11 (Exceptions) as a defense at any appropriate phase of the arbitration. 6. If a respondent asserts that the measure alleged to be a breach is within the scope of a non conforming measure set out in the responding Party’s Schedule to Annex III, Article 10 of Annex 14-D (Mexico-United States Investment Disputes) shall apply to any request of the respondent for an interpretation of the Commission on the issue. 17-C-4</w:t>
      </w:r>
    </w:p>
    <w:p>
      <w:pPr>
        <w:pStyle w:val="Heading2"/>
      </w:pPr>
      <w:bookmarkStart w:id="900509" w:name="_Toc300000508"/>
      <w:r>
        <w:t xml:space="preserve">ANNEX 17-D LOCATION OF COMPUTING FACILITIES</w:t>
      </w:r>
      <w:bookmarkEnd w:id="900509"/>
    </w:p>
    <w:p>
      <w:pPr>
        <w:pStyle w:val="Normal"/>
      </w:pPr>
      <w:r>
        <w:t xml:space="preserve">Article 17.18 (Location of Computing Facilities) does not apply to existing measures of Canada for one year after the entry into force of this Agreement. 17-D-1</w:t>
      </w:r>
    </w:p>
    <w:p>
      <w:pPr>
        <w:pStyle w:val="Heading1"/>
      </w:pPr>
      <w:bookmarkStart w:id="900510" w:name="_Toc300000509"/>
      <w:r>
        <w:t>CHAPTER 18 TELECOMMUNICATIONS</w:t>
      </w:r>
      <w:bookmarkEnd w:id="900510"/>
    </w:p>
    <w:p>
      <w:pPr>
        <w:pStyle w:val="Heading2"/>
      </w:pPr>
      <w:bookmarkStart w:id="900511" w:name="_Toc300000510"/>
      <w:r>
        <w:t xml:space="preserve">Article 18.1: Definitions</w:t>
      </w:r>
      <w:bookmarkEnd w:id="900511"/>
    </w:p>
    <w:p>
      <w:pPr>
        <w:pStyle w:val="Normal"/>
      </w:pPr>
      <w:r>
        <w:t>For the purposes of this Chapter: cost-oriented means based on cost, and may include a reasonable profit, and may involve different cost methodologies for different facilities or services; dialing parity means the ability of an end-user to use an equal number of digits to access a particular public telecommunications service, regardless of which public telecommunications services supplier the end-user chooses; end-user means a final consumer of or subscriber to a public telecommunications service, including a service supplier other than a supplier of public telecommunications services; enterprise means an enterprise as defined in Article 1.5 (General Definitions) and a branch of an enterprise; essential facilities means facilities of a public telecommunications network or service that:</w:t>
      </w:r>
    </w:p>
    <w:p>
      <w:pPr>
        <w:pStyle w:val="Normal"/>
      </w:pPr>
      <w:r>
        <w:t>(a) are exclusively or predominantly provided by a single or limited number of suppliers; and (b) cannot feasibly be economically, or technically substituted in order to supply a service; interconnection means linking suppliers providing public telecommunications services in order to allow a user of one supplier to communicate with a user of another supplier and to access services provided by another supplier; leased circuit means a telecommunications facility between two or more designated points that is set aside for the dedicated use of, or availability to, a user and supplied by a supplier of a fixed telecommunications service; license means any authorization that</w:t>
      </w:r>
    </w:p>
    <w:p>
      <w:pPr>
        <w:pStyle w:val="Normal"/>
      </w:pPr>
      <w:r>
        <w:t>a Party may require of a person, in accordance with its laws and regulations, in order for that person to offer a telecommunications service, including concessions, permits or registrations; major supplier means a supplier of public telecommunications services that has the ability to materially affect the terms of participation (having regard to price and supply) in the relevant market for public telecommunications services as a result of:</w:t>
      </w:r>
    </w:p>
    <w:p>
      <w:pPr>
        <w:pStyle w:val="Normal"/>
      </w:pPr>
      <w:r>
        <w:t>(a) control over essential facilities; or (b) use of its position in the market1 mobile service means a public telecommunications service supplied through mobile wireless means; network element means a facility or equipment used in supplying a fixed public telecommunications service, including features, functions and capabilities provided by means of that facility or equipment; non-discriminatory means according treatment no less favorable than that accorded to another user of like public telecommunications services in like circumstances, including with respect to timeliness; number portability means the ability of a n end-user of public telecommunications services to retain the same telephone numbers when switching between suppliers of public telecommunications services; physical co-location means physical access to and control over space in order to install, maintain or repair equipment, at premises owned or controlled and used by a major supplier to provide public telecommunications services; public telecommunications network means</w:t>
      </w:r>
    </w:p>
    <w:p>
      <w:pPr>
        <w:pStyle w:val="Normal"/>
      </w:pPr>
      <w:r>
        <w:t>telecommunications infrastructure used to provide public telecommunications services between defined network termination points; public telecommunications service means a telecommunications service that a Party requires, explicitly or in effect, to be offered to the public generally that typically involves the transmission of customer-supplied information between two or more points without an end-to-end change in the form or content of the customer’s information. This service may include telephone and data transmission; reference interconnection offer means an interconnection offer extended by a major supplier and filed with, approved by or determined by a telecommunications regulatory body that sufficiently details the terms, rates, and conditions for interconnection so that a supplier of a public telecommunications service that is willing to accept it may obtain interconnection For Mexico, a major supplier includes a preponderant economic agent deemed as such by virtue of its national share in the supply of telecommunication services, when it directly or indirectly holds more than fifty percent national share. This percentage shall be measured either by the number of users, subscribers, traffic on their networks or the utilized capacity of said networks, according to the information held by the Federal Telecommunications Institute.</w:t>
      </w:r>
    </w:p>
    <w:p>
      <w:pPr>
        <w:pStyle w:val="Normal"/>
      </w:pPr>
      <w:r>
        <w:t>with the major supplier on that basis, without having to engage in negotiations with the major supplier concerned; roaming service means a mobile service provided pursuant to an agreement between suppliers of public telecommunications services that enables an end-user to use their mobile handset or other device for voice, data, or messaging services while outside the home public telecommunications network of the mobile handset or other device; telecommunications means the transmission and reception of signals by any electromagnetic means; telecommunications regulatory body means a body or bodies responsible for the regulation of telecommunications; user means a service consumer or a service supplier; value-added service means a telecommunications service employing a computer processing application that: (a) acts on the format, content, code, protocol or similar aspects of a customer’s transmitted information; (b) provides a customer with additional, different or restructured information; or (c) involves customer interaction with stored information; and virtual co-location means an arrangement whereby a requesting supplier that seeks co- location may specify equipment to be used in the premises of a major supplier but does not obtain physical access to those premises and allows the major supplier to install, maintain, and repair that equipment.</w:t>
      </w:r>
    </w:p>
    <w:p>
      <w:pPr>
        <w:pStyle w:val="Heading2"/>
      </w:pPr>
      <w:bookmarkStart w:id="900512" w:name="_Toc300000511"/>
      <w:r>
        <w:t xml:space="preserve">Article 18.2: Scope</w:t>
      </w:r>
      <w:bookmarkEnd w:id="900512"/>
    </w:p>
    <w:p>
      <w:pPr>
        <w:pStyle w:val="Normal"/>
      </w:pPr>
      <w:r>
        <w:t xml:space="preserve">1. This Chapter applies to a measure affecting trade in telecommunications services, including: (a) a measure relating to access to and use of public telecommunications networks or services; (b) a measure relating to obligations of suppliers of public telecommunications services; (c) a measure relating to the supply of value-added services; and (d) any other measure relating to public telecommunications networks or services. 2. This Chapter does not apply to a measure relating to broadcast or cable distribution of radio or television programming, except to ensure that an enterprise operating a broadcast station or cable system has continued access to and use of public telecommunications networks and services, as provided under Article 18.3 (Access and Use).2 3. Nothing in this Chapter shall be construed to require a Party:</w:t>
      </w:r>
    </w:p>
    <w:p>
      <w:pPr>
        <w:pStyle w:val="Normal"/>
      </w:pPr>
      <w:r>
        <w:t>(a) to establish, construct, acquire, lease, operate, or provide a telecommunications network or service not offered to the public generally, or require a Party to compel an enterprise to do so; or (b) to compel an enterprise exclusively engaged in the broadcast or cable distribution of radio or television programming to make available its broadcast or cable facilities as a public telecommunications network. 4. Annex 18-A (Rural Telephone Suppliers) includes additional provisions relating to the scope of this Chapter.</w:t>
      </w:r>
    </w:p>
    <w:p>
      <w:pPr>
        <w:pStyle w:val="Heading2"/>
      </w:pPr>
      <w:bookmarkStart w:id="900513" w:name="_Toc300000512"/>
      <w:r>
        <w:t xml:space="preserve">Article 18.3: Access and Use</w:t>
      </w:r>
      <w:bookmarkEnd w:id="900513"/>
    </w:p>
    <w:p>
      <w:pPr>
        <w:pStyle w:val="Normal"/>
      </w:pPr>
      <w:r>
        <w:t xml:space="preserve">1. Each Party shall ensure that any enterprise of another Party has access to and use of any public telecommunications network or service, including leased circuits, offered in its territory or across its borders, on reasonable and non-discriminatory terms and conditions. This obligation shall be applied, inter alia, to paragraphs 2 through 6.3 2. Each Party shall ensure that any enterprise of another Party is permitted to: (a) purchase or lease, and attach terminal or other equipment that interfaces with a public telecommunications network; (b) provide services to individual or multiple end-users over leased or owned circuits; 2 For greater certainty, to the extent that a services supplier engaged in the broadcast or cable distribution of radio or television programming is also engaged in the supply of public telecommunications services, measures relating to the supply of those public telecommunications by that services supplier are covered by this Chapter.</w:t>
      </w:r>
    </w:p>
    <w:p>
      <w:pPr>
        <w:pStyle w:val="Normal"/>
      </w:pPr>
      <w:r>
        <w:t>3 For greater certainty, this Article does not prohibit any Party from requiring an enterprise to obtain a license to supply a public telecommunications service within its territory. (c) connect leased or owned circuits with public telecommunications networks and services or with circuits leased or owned by another enterprise; (d) perform switching, signaling, processing, and conversion functions; and (e) use operating protocols of its choice. 3.</w:t>
      </w:r>
    </w:p>
    <w:p>
      <w:pPr>
        <w:pStyle w:val="Normal"/>
      </w:pPr>
      <w:r>
        <w:t>Each Party shall ensure that any enterprise of another Party may use public telecommunications networks or services for the movement of information in its territory or across its borders, including for intra-corporate communications, and to access information contained in databases or otherwise stored in machine-readable form in the territory of a Party. 4. Notwithstanding paragraph 3, a Party may take measures necessary to ensure the security and confidentiality of messages or to protect the privacy of personal data of end-users of public telecommunications networks or services, provided that those measures are not applied in a manner that would constitute a means of arbitrary or unjustifiable discrimination or disguised restriction on trade in services. 5. Each Party shall ensure that no condition is imposed on access to and use of public telecommunications networks and services, other than as necessary to: (a) safeguard the public service responsibilities of suppliers of public telecommunications networks and services, in particular their ability to make their networks or services available to the public generally; or (b) protect the technical integrity of public telecommunications networks or services. 6.</w:t>
      </w:r>
    </w:p>
    <w:p>
      <w:pPr>
        <w:pStyle w:val="Normal"/>
      </w:pPr>
      <w:r>
        <w:t>Provided that the conditions for access to and use of public telecommunications networks and services satisfy the criteria set out in paragraph 5, those conditions may include: (a) a requirement to use a specified technical interface, including an interface protocol, for connection with those networks or services; (b) a requirement, if necessary, for the interoperability of those networks and services; (c) type approval of terminal or other equipment that interfaces with the network and technical requirements relating to the attachment of that equipment to those networks; and (d) notification, registration, and licensing which, if adopted or maintained, is transparent and provides for processing applications filed thereunder in accordance with a Party’s laws or regulations.</w:t>
      </w:r>
    </w:p>
    <w:p>
      <w:pPr>
        <w:pStyle w:val="Heading2"/>
      </w:pPr>
      <w:bookmarkStart w:id="900514" w:name="_Toc300000513"/>
      <w:r>
        <w:t xml:space="preserve">Article 18.4: Obligations Relating to Suppliers of Public Telecommunications Services</w:t>
      </w:r>
      <w:bookmarkEnd w:id="900514"/>
    </w:p>
    <w:p>
      <w:pPr>
        <w:pStyle w:val="Normal"/>
      </w:pPr>
      <w:r>
        <w:t xml:space="preserve">Interconnection 1. Each Party shall ensure that a supplier of public telecommunications services in its territory provides, directly or indirectly within its territory, interconnection with a supplier of public telecommunications services of another Party. 2. Each Party shall provide its telecommunications regulatory body with the authority to require interconnection at reasonable rates. 3. Further to paragraph 1, each Party shall ensure that a supplier of public telecommunications services in its territory takes reasonable steps to protect the confidentiality of commercially sensitive information of, or relating to, suppliers and end-users of public telecommunications services obtained as a result of interconnection arrangements and only uses that information for the purpose of providing these services. Resale 4. No Party shall prohibit the resale of a public telecommunications service. Roaming 5. No Party shall prohibit a supplier of public telecommunications services from entering into an agreement to provide roaming services, including an agreement to provide roaming services to devices that is not limited to a transient presence in a Party’s territory. Number Portability 6.</w:t>
      </w:r>
    </w:p>
    <w:p>
      <w:pPr>
        <w:pStyle w:val="Normal"/>
      </w:pPr>
      <w:r>
        <w:t>Each Party shall ensure that a supplier of public telecommunications services in its territory provides number portability without impairment to quality and reliability, on a timely basis, and on reasonable and non-discriminatory terms and conditions.4 Dialing Parity 4 With respect to Mexico, this obligation shall apply only to end-users switching suppliers within the same category of service until such time as Mexico determines, pursuant to periodic review, that it is economically and technically feasible to implement number portability without that restriction. With respect to the United States and Canada, this obligation is limited to the ability of end-users to retain at the same location the same telephone numbers, until such time as the Party determines, pursuant to periodic review, that it is economically and technically feasible to implement number portability without that restriction in its territory. 7. Each Party shall ensure that a supplier of public telecommunications services in its territory provides dialing parity within the same category of service to suppliers of public telecommunications services of another Party.5 Access to Numbers 8.</w:t>
      </w:r>
    </w:p>
    <w:p>
      <w:pPr>
        <w:pStyle w:val="Normal"/>
      </w:pPr>
      <w:r>
        <w:t>Each Party shall ensure that a supplier of public telecommunications services of another Party established in its territory is afforded access to telephone numbers on a non-discriminatory basis.</w:t>
      </w:r>
    </w:p>
    <w:p>
      <w:pPr>
        <w:pStyle w:val="Heading2"/>
      </w:pPr>
      <w:bookmarkStart w:id="900515" w:name="_Toc300000514"/>
      <w:r>
        <w:t xml:space="preserve">Article 18.5: Treatment by Major Suppliers of Public Telecommunications Services</w:t>
      </w:r>
      <w:bookmarkEnd w:id="900515"/>
    </w:p>
    <w:p>
      <w:pPr>
        <w:pStyle w:val="Normal"/>
      </w:pPr>
      <w:r>
        <w:t xml:space="preserve">Each Party shall ensure that a major supplier in its territory accords a supplier of public telecommunications services of another Party treatment no less favorable than that major supplier accords in like circumstances to itself, its subsidiaries, its affiliates, or non-affiliated service suppliers regarding: (a) the availability, provisioning, rates, or quality of like public telecommunications services; and (b) the availability of technical interfaces necessary for interconnection.</w:t>
      </w:r>
    </w:p>
    <w:p>
      <w:pPr>
        <w:pStyle w:val="Heading2"/>
      </w:pPr>
      <w:bookmarkStart w:id="900516" w:name="_Toc300000515"/>
      <w:r>
        <w:t xml:space="preserve">Article 18.6: Competitive Safeguards</w:t>
      </w:r>
      <w:bookmarkEnd w:id="900516"/>
    </w:p>
    <w:p>
      <w:pPr>
        <w:pStyle w:val="Normal"/>
      </w:pPr>
      <w:r>
        <w:t xml:space="preserve">1. Each Party shall maintain appropriate measures for the purpose of preventing suppliers of public telecommunications services that, alone or together, are a major supplier in its territory from engaging in or continuing anti-competitive practices.6 2. The anti-competitive practices referred to in paragraph 1 include in particular: (a) engaging in anti-competitive cross-subsidization; 5 For greater certainty, this paragraph shall not be construed to apply to pre-subscribed long distance service. 6 Mexico reaffirms the principles underlying the Decree amending and supplementing certain provisions of the Articles 6, 7, 27, 28, 73, 78, 94 and 105 of Mexico’s Constitution (Constitución Política de los Estados Unidos Mexicanos), in telecommunications, Diario Oficial de la Federación, June 11, 2013 and, as set out therein, shall impose on a major supplier the necessary measures to prevent impairment of competition. For Mexico, any changes to the measures concerning the rates, terms, and conditions of access to and use of the networks, facilities, and services of a major supplier shall be consistent with the objective of advancing effective competition and preventing monopolistic practices and shall not impair the conditions of competition in the corresponding market.</w:t>
      </w:r>
    </w:p>
    <w:p>
      <w:pPr>
        <w:pStyle w:val="Normal"/>
      </w:pPr>
      <w:r>
        <w:t>(b) using information obtained from competitors with anti-competitive results; and (c) not making available, on a timely basis, to suppliers of public telecommunications services, technical information about essential facilities and commercially relevant information that are necessary for them to provide services.</w:t>
      </w:r>
    </w:p>
    <w:p>
      <w:pPr>
        <w:pStyle w:val="Heading2"/>
      </w:pPr>
      <w:bookmarkStart w:id="900517" w:name="_Toc300000516"/>
      <w:r>
        <w:t xml:space="preserve">Article 18.7: Resale</w:t>
      </w:r>
      <w:r>
        <w:rPr>
          <w:vertAlign w:val="superscript"/>
        </w:rPr>
        <w:t xml:space="preserve">7</w:t>
      </w:r>
      <w:bookmarkEnd w:id="900517"/>
    </w:p>
    <w:p>
      <w:pPr>
        <w:pStyle w:val="Normal"/>
      </w:pPr>
      <w:r>
        <w:t xml:space="preserve">Each Party shall ensure that a major supplier in its territory does not impose unreasonable or discriminatory conditions or limitations on the resale of its public telecommunications services.</w:t>
      </w:r>
    </w:p>
    <w:p>
      <w:pPr>
        <w:pStyle w:val="Heading2"/>
      </w:pPr>
      <w:bookmarkStart w:id="900518" w:name="_Toc300000517"/>
      <w:r>
        <w:t xml:space="preserve">Article 18.8: Unbundling of Network Elements</w:t>
      </w:r>
      <w:bookmarkEnd w:id="900518"/>
    </w:p>
    <w:p>
      <w:pPr>
        <w:pStyle w:val="Normal"/>
      </w:pPr>
      <w:r>
        <w:t xml:space="preserve">Each Party shall provide its telecommunications regulatory body with the authority to require a major supplier in its territory to offer public telecommunications service suppliers access to network elements on an unbundled basis on terms and conditions, and at cost-oriented rates, that are reasonable, non-discriminatory, and transparent for the supply of public telecommunications services. A Party may determine, in accordance with its laws and regulations, the network elements required to be made available in its territory, and the suppliers that may obtain those elements.</w:t>
      </w:r>
    </w:p>
    <w:p>
      <w:pPr>
        <w:pStyle w:val="Heading2"/>
      </w:pPr>
      <w:bookmarkStart w:id="900519" w:name="_Toc300000518"/>
      <w:r>
        <w:t xml:space="preserve">Article 18.9: Interconnection with Major Suppliers</w:t>
      </w:r>
      <w:bookmarkEnd w:id="900519"/>
    </w:p>
    <w:p>
      <w:pPr>
        <w:pStyle w:val="Normal"/>
      </w:pPr>
      <w:r>
        <w:t xml:space="preserve">General Terms and Conditions 1. Each Party shall ensure that a major supplier in its territory provides interconnection for the facilities and equipment of suppliers of public telecommunications services of another Party: (a) at any technically feasible point in the major supplier’s network; (b) under non-discriminatory terms, conditions (including technical standards and specifications), and rates; (c) of a quality no less favorable than that provided by the major supplier for its own like services, for like services of non-affiliated service suppliers, or for its subsidiaries or other affiliates; 7 For the purposes of this Article, a supplier of mobile services in a Party’s territory is not a major supplier unless a Party determines that the supplier meets the definition of “major supplier” set out in Article 18.1 (Definitions).</w:t>
      </w:r>
    </w:p>
    <w:p>
      <w:pPr>
        <w:pStyle w:val="Normal"/>
      </w:pPr>
      <w:r>
        <w:t>(d) in a timely manner, on terms and conditions (including technical standards and specifications), and at cost-oriented rates, that are transparent, reasonable, having regard to economic feasibility, and sufficiently unbundled so that the suppliers do not have to pay for network components or facilities that they do not require for the service to be provided; and (e) on request, at points in addition to the network termination points made generally available to users, subject to charges that reflect the cost of construction of necessary additional facilities.</w:t>
      </w:r>
    </w:p>
    <w:p>
      <w:pPr>
        <w:pStyle w:val="Normal"/>
      </w:pPr>
      <w:r>
        <w:t>Options for Interconnecting with Major Suppliers 2. Each Party shall ensure that a major supplier in its territory provides suppliers of public telecommunications services of another Party the opportunity to interconnect their facilities and equipment with those of the major supplier through: (a) a reference interconnection offer containing the rates, terms, and conditions that the major supplier offers generally to suppliers of public telecommunications services; or (b) the terms and conditions of an interconnection agreement in effect. 3. In addition to the options provided in paragraph 2, each Party shall ensure that suppliers of public telecommunications services of another Party have the opportunity to interconnect their facilities and equipment with those of the major supplier through the negotiation of a new interconnection agreement. Public Availability of Interconnection Offers and Agreements 4. Each Party shall make publicly available the applicable procedures for interconnection negotiations with a major supplier in its territory. 5. Each Party shall provide means for suppliers of another Party to obtain the rates, terms, and conditions necessary for interconnection offered by a major supplier.</w:t>
      </w:r>
    </w:p>
    <w:p>
      <w:pPr>
        <w:pStyle w:val="Normal"/>
      </w:pPr>
      <w:r>
        <w:t>Those means include, at a minimum, ensuring the public availability of: (a) rates, terms and conditions for interconnection with a major supplier set by the telecommunications regulatory body; (b) interconnection agreements that are in effect between a major supplier in its territory and other suppliers of public telecommunications services in its territory; and (c) any reference interconnection offer.</w:t>
      </w:r>
    </w:p>
    <w:p>
      <w:pPr>
        <w:pStyle w:val="Heading2"/>
      </w:pPr>
      <w:bookmarkStart w:id="900520" w:name="_Toc300000519"/>
      <w:r>
        <w:t xml:space="preserve">Article 18.10: Provisioning and Pricing of Leased Circuits Services</w:t>
      </w:r>
      <w:bookmarkEnd w:id="900520"/>
    </w:p>
    <w:p>
      <w:pPr>
        <w:pStyle w:val="Normal"/>
      </w:pPr>
      <w:r>
        <w:t xml:space="preserve">1. Each Party shall ensure that a major supplier in its territory provides service suppliers of another Party leased circuits services that are public telecommunications services in a reasonable period of time on terms and conditions, and at rates, that are reasonable and non-discriminatory, and based on a generally available offer. 2. Further to paragraph 1, each Party shall provide its telecommunications regulatory body with the authority to require a major supplier in its territory to offer leased circuits services that are public telecommunications services to service suppliers of another Party at capacity-based, cost-oriented prices.</w:t>
      </w:r>
    </w:p>
    <w:p>
      <w:pPr>
        <w:pStyle w:val="Heading2"/>
      </w:pPr>
      <w:bookmarkStart w:id="900521" w:name="_Toc300000520"/>
      <w:r>
        <w:t xml:space="preserve">Article 18.11: Co-Location</w:t>
      </w:r>
      <w:r>
        <w:rPr>
          <w:vertAlign w:val="superscript"/>
        </w:rPr>
        <w:t xml:space="preserve">8</w:t>
      </w:r>
      <w:bookmarkEnd w:id="900521"/>
    </w:p>
    <w:p>
      <w:pPr>
        <w:pStyle w:val="Normal"/>
      </w:pPr>
      <w:r>
        <w:t xml:space="preserve">1. Subject to paragraphs 2 and 3, each Party shall ensure that a major supplier in its territory provides to suppliers of public telecommunications services of another Party in the Party’s territory physical co-location of equipment necessary for interconnection or access to unbundled network elements based on a generally available offer, on a timely basis, and on terms and conditions and at cost-oriented rates, that are reasonable, non-discriminatory, and transparent. 2. Where physical co-location is not practical for technical reasons or because of space limitations, each Party shall ensure that a major supplier in its territory provides an alternative solution, such as virtual co-location or some other arrangement that facilitates interconnection or access to unbundled network elements, based on a generally available offer, on a timely basis, and on terms and conditions, and at cost-oriented rates, that are reasonable, non-discriminatory, and transparent. 3. A Party may determine, in accordance with its laws and regulations, which premises owned or controlled by major suppliers in its territory are subject to paragraphs 1 and 2.</w:t>
      </w:r>
    </w:p>
    <w:p>
      <w:pPr>
        <w:pStyle w:val="Normal"/>
      </w:pPr>
      <w:r>
        <w:t>If a Party makes this determination, it shall take into account factors such as the state of competition in the market where co-location is required, whether those premises can be substituted in an economically or technically feasible manner in order to provide a competing service, or other specified public interest factors. 8 For the purposes of this Article, a supplier of mobile services in a Party’s territory is not a major supplier unless a Party determines that the supplier meets the definition of “major supplier” set out in Article 18.1 (Definitions). 4. Even if a Party does not require that a major supplier offer co-location at certain premises, it shall allow a service supplier to request that those premises be offered for co- location consistent with paragraph 1, without prejudice to the Party’s decision on that request.</w:t>
      </w:r>
    </w:p>
    <w:p>
      <w:pPr>
        <w:pStyle w:val="Heading2"/>
      </w:pPr>
      <w:bookmarkStart w:id="900522" w:name="_Toc300000521"/>
      <w:r>
        <w:t xml:space="preserve">Article 18.12: Access to Poles, Ducts, Conduits, and Rights-of-Way</w:t>
      </w:r>
      <w:r>
        <w:rPr>
          <w:vertAlign w:val="superscript"/>
        </w:rPr>
        <w:t xml:space="preserve">9</w:t>
      </w:r>
      <w:bookmarkEnd w:id="900522"/>
    </w:p>
    <w:p>
      <w:pPr>
        <w:pStyle w:val="Normal"/>
      </w:pPr>
      <w:r>
        <w:t xml:space="preserve">Each Party shall ensure that a major supplier in its territory provides access, subject to technical feasibility, to poles, ducts, conduits, rights-of-way, and any other structures as determined by the Party, owned or controlled by the major supplier, to suppliers of public telecommunications services of another Party in the Party’s territory on a timely basis, on terms and conditions and at rates, that are reasonable, non-discriminatory, and transparent.</w:t>
      </w:r>
    </w:p>
    <w:p>
      <w:pPr>
        <w:pStyle w:val="Heading2"/>
      </w:pPr>
      <w:bookmarkStart w:id="900523" w:name="_Toc300000522"/>
      <w:r>
        <w:t xml:space="preserve">Article 18.13: Submarine Cable Systems</w:t>
      </w:r>
      <w:bookmarkEnd w:id="900523"/>
    </w:p>
    <w:p>
      <w:pPr>
        <w:pStyle w:val="Normal"/>
      </w:pPr>
      <w:r>
        <w:t xml:space="preserve">Each Party shall ensure that a major supplier that controls international submarine cable landing stations in the Party’s territory for which there are no economically or technically feasible alternatives provides access to those landing stations consistent with Article 18.9 (Interconnection with Major Suppliers), Article 18.10 (Provisioning and Pricing of Leased Circuits Services), and Article 18.11 (Co-Location), to public telecommunications suppliers of another Party.10</w:t>
      </w:r>
    </w:p>
    <w:p>
      <w:pPr>
        <w:pStyle w:val="Heading2"/>
      </w:pPr>
      <w:bookmarkStart w:id="900524" w:name="_Toc300000523"/>
      <w:r>
        <w:t xml:space="preserve">Article 18.14: Conditions for the Supply of Value-Added Services</w:t>
      </w:r>
      <w:r>
        <w:rPr>
          <w:vertAlign w:val="superscript"/>
        </w:rPr>
        <w:t xml:space="preserve">11</w:t>
      </w:r>
      <w:bookmarkEnd w:id="900524"/>
    </w:p>
    <w:p>
      <w:pPr>
        <w:pStyle w:val="Normal"/>
      </w:pPr>
      <w:r>
        <w:t xml:space="preserve">1. The Parties recognize the importance of value-added services to innovation, competition, and consumer welfare. If a Party engages in direct regulation of value-added services, it should not impose on a supplier of value-added services requirements applicable to a supplier of public telecommunications services without due consideration of the legitimate public policy objectives, the technical feasibility of the requirements, and the characteristics of the value- added services at issue. 2. Further to paragraph 1, each Party shall: 9 For the purposes of this Article, a supplier of mobile services in a Party’s territory is not a major supplier unless a Party determines that the supplier meets the definition of “major supplier” set out in Article 18.1 (Definitions). 10 Mexico, based on its evaluation of the state of competition of the Mexican submarine cable systems market, has not applied major supplier-related measures to submarine cable landing stations pursuant to this Article. 11 For greater certainty, this Article should not be understood to reflect a Party’s view on whether a service should be categorized as a value-added service or a public telecommunications service.</w:t>
      </w:r>
    </w:p>
    <w:p>
      <w:pPr>
        <w:pStyle w:val="Normal"/>
      </w:pPr>
      <w:r>
        <w:t>(a) ensure that: (i) any licensing, permit, registration, or notification procedure that it adopts or maintains relating to the supply of value-added services is transparent and non-discriminatory, and that applications filed thereunder are processed expeditiously, and (ii) information required under that procedure is limited to that necessary to demonstrate that the applicant has the financial solvency to begin providing services or to assess conformity of the applicant’s terminal or other equipment with the Party’s applicable standards or technical regulations, and (b) not require an enterprise in its territory that supplies value-added services to: (i) supply those services to the public generally, (ii) cost-justify its rates for those services, (iii) file a tariff for those services, (iv) connect its networks with a particular customer or network for the supply of those services or (v) conform with a particular standard or technical regulation of the telecommunications regulatory body for connecting to any other network, other than a public telecommunications network. 3.</w:t>
      </w:r>
    </w:p>
    <w:p>
      <w:pPr>
        <w:pStyle w:val="Normal"/>
      </w:pPr>
      <w:r>
        <w:t>Notwithstanding paragraphs 2(a)(ii) and 2(b), a Party may take the actions described in paragraphs 2(a)(ii) and 2(b) to remedy a practice of a supplier of value-added services that the Party has found in a particular case to be anticompetitive under its law, or to otherwise promote competition or safeguard the interests of consumers.</w:t>
      </w:r>
    </w:p>
    <w:p>
      <w:pPr>
        <w:pStyle w:val="Heading2"/>
      </w:pPr>
      <w:bookmarkStart w:id="900525" w:name="_Toc300000524"/>
      <w:r>
        <w:t xml:space="preserve">Article 18.15: Flexibility in the Choice of Technology</w:t>
      </w:r>
      <w:bookmarkEnd w:id="900525"/>
    </w:p>
    <w:p>
      <w:pPr>
        <w:pStyle w:val="Normal"/>
      </w:pPr>
      <w:r>
        <w:t xml:space="preserve">1. No Party shall prevent a supplier of public telecommunications services from choosing the technologies it wishes to use to supply its services, subject to requirements necessary to satisfy legitimate public policy interests, provided that any measure restricting that choice is not prepared, adopted, or applied in a manner that creates an unnecessary obstacle to trade. 2. For greater certainty, if a Party adopts a measure restricting choice referred to in paragraph 1, it shall do so consistent with Article 18.24 (Transparency).</w:t>
      </w:r>
    </w:p>
    <w:p>
      <w:pPr>
        <w:pStyle w:val="Heading2"/>
      </w:pPr>
      <w:bookmarkStart w:id="900526" w:name="_Toc300000525"/>
      <w:r>
        <w:t xml:space="preserve">Article 18.16: Approaches to Regulation</w:t>
      </w:r>
      <w:bookmarkEnd w:id="900526"/>
    </w:p>
    <w:p>
      <w:pPr>
        <w:pStyle w:val="Normal"/>
      </w:pPr>
      <w:r>
        <w:t xml:space="preserve">1. The Parties recognize the value of competitive markets to deliver a wide choice in the supply of telecommunications services and to enhance consumer welfare, and that economic regulation may not be needed if there is effective competition or if a service is new to a market. Accordingly, the Parties recognize that regulatory needs and approaches differ by market, and that each Party may determine how to implement its obligations under this Chapter. 2. In this respect, the Parties recognize that a Party may: (a) engage in direct regulation either in anticipation of an issue that the Party expects may arise or to resolve an issue that has arisen in the market; (b) rely on the role of market forces, particularly with respect to market segments that are, or are likely to be, competitive or that have low barriers to entry, such as services provided by telecommunications suppliers that do not own network facilities;12 or (c) use other appropriate means that benefit the long-term interest of end-users. 3.</w:t>
      </w:r>
    </w:p>
    <w:p>
      <w:pPr>
        <w:pStyle w:val="Normal"/>
      </w:pPr>
      <w:r>
        <w:t>If a Party engages in direct regulation, it may nonetheless forbear, to the extent provided for in its law, from applying that regulation to a service that the Party classifies as a public telecommunications service, if its telecommunications regulatory body determines that: (a) enforcement of the regulation is not necessary to prevent unreasonable or discriminatory practices; (b) enforcement of the regulation is not necessary for the protection of consumers; and (c) forbearance is consistent with the public interest, including promoting and enhancing competition between suppliers of public telecommunications services.</w:t>
      </w:r>
    </w:p>
    <w:p>
      <w:pPr>
        <w:pStyle w:val="Heading2"/>
      </w:pPr>
      <w:bookmarkStart w:id="900527" w:name="_Toc300000526"/>
      <w:r>
        <w:t xml:space="preserve">Article 18.17: Telecommunications Regulatory Bodies</w:t>
      </w:r>
      <w:bookmarkEnd w:id="900527"/>
    </w:p>
    <w:p>
      <w:pPr>
        <w:pStyle w:val="Normal"/>
      </w:pPr>
      <w:r>
        <w:t xml:space="preserve">12 Consistent with this subparagraph, the United States, based on its evaluation of the state of competition of the U.S. commercial mobile market, has not applied major supplier-related measures pursuant to Article 18.5 (Treatment by Major Suppliers of Public Telecommunications Services), Article 18.7 (Resale), Article 18.9 (Interconnection with Major Suppliers), Article 18.11 (Co-Location), or Article 18.12 (Access to Poles, Ducts, Conduits, and Rights-of Way) to the commercial mobile market. 1. Each Party shall ensure that its telecommunications regulatory body is separate from, and not accountable to, a supplier of public telecommunications services. With a view to ensuring the independence and impartiality of telecommunications regulatory bodies, each Party shall ensure that its telecommunications regulatory body does not hold a financial interest13 or maintain an operating or management role in a supplier of public telecommunications services.14 2. Each Party shall ensure that its regulatory decisions and procedures, including decisions and procedures relating to licensing, interconnection with public telecommunications networks and services, tariffs, and assignment or allocation of spectrum for commercial telecommunications services, are impartial with respect to market participants. 3.</w:t>
      </w:r>
    </w:p>
    <w:p>
      <w:pPr>
        <w:pStyle w:val="Normal"/>
      </w:pPr>
      <w:r>
        <w:t>Each Party shall ensure that its telecommunications regulatory body has the authority to impose requirements on a major supplier that are additional to or different from requirements imposed on other suppliers in the telecommunications sector.</w:t>
      </w:r>
    </w:p>
    <w:p>
      <w:pPr>
        <w:pStyle w:val="Heading2"/>
      </w:pPr>
      <w:bookmarkStart w:id="900528" w:name="_Toc300000527"/>
      <w:r>
        <w:t xml:space="preserve">Article 18.18: State Enterprises</w:t>
      </w:r>
      <w:bookmarkEnd w:id="900528"/>
    </w:p>
    <w:p>
      <w:pPr>
        <w:pStyle w:val="Normal"/>
      </w:pPr>
      <w:r>
        <w:t xml:space="preserve">No Party shall accord more favorable treatment to a supplier of telecommunications services in its territory than that accorded to a like service supplier of another Party on the basis that the supplier receiving more favorable treatment is owned or controlled by the central level of government of the Party.</w:t>
      </w:r>
    </w:p>
    <w:p>
      <w:pPr>
        <w:pStyle w:val="Heading2"/>
      </w:pPr>
      <w:bookmarkStart w:id="900529" w:name="_Toc300000528"/>
      <w:r>
        <w:t xml:space="preserve">Article 18.19: Universal Services</w:t>
      </w:r>
      <w:bookmarkEnd w:id="900529"/>
    </w:p>
    <w:p>
      <w:pPr>
        <w:pStyle w:val="Normal"/>
      </w:pPr>
      <w:r>
        <w:t xml:space="preserve">Each Party has the right to define the kind of universal service obligation it wishes to maintain. Each Party shall administer any universal service obligation that it maintains in a transparent, non-discriminatory, and competitively neutral manner and shall ensure that its universal service obligation is not more burdensome than necessary for the kind of universal service that it has defined.</w:t>
      </w:r>
    </w:p>
    <w:p>
      <w:pPr>
        <w:pStyle w:val="Heading2"/>
      </w:pPr>
      <w:bookmarkStart w:id="900530" w:name="_Toc300000529"/>
      <w:r>
        <w:t xml:space="preserve">Article 18.20: Licensing Process</w:t>
      </w:r>
      <w:bookmarkEnd w:id="900530"/>
    </w:p>
    <w:p>
      <w:pPr>
        <w:pStyle w:val="Normal"/>
      </w:pPr>
      <w:r>
        <w:t xml:space="preserve">13 For greater certainty, this paragraph shall not be construed to prohibit a government entity of a Party other than the telecommunications regulatory body from owning equity in a supplier of public telecommunications services. 14 For Mexico, the telecommunications regulatory body is autonomous from the Executive Branch of government, is independent regarding its decisions and functioning, and has the purpose of regulating and promoting competition and efficient development of telecommunications, as set out in existing Mexican law. 1. If a Party requires a supplier of public telecommunications services to have a license, the Party shall make publicly available: (a) applicable licensing criteria and procedures; (b) the period that it normally requires to reach a decision concerning an application for a license; and (c) the terms and conditions of licenses in effect. 2. Each Party shall ensure that, on request, an applicant or licensee receives the reasons for the: (a) denial of a license; (b) imposition of supplier-specific conditions on a license; (c) revocation of a license; or (d) refusal to renew a license.</w:t>
      </w:r>
    </w:p>
    <w:p>
      <w:pPr>
        <w:pStyle w:val="Heading2"/>
      </w:pPr>
      <w:bookmarkStart w:id="900531" w:name="_Toc300000530"/>
      <w:r>
        <w:t xml:space="preserve">Article 18.21: Allocation and Use of Scarce Resources</w:t>
      </w:r>
      <w:bookmarkEnd w:id="900531"/>
    </w:p>
    <w:p>
      <w:pPr>
        <w:pStyle w:val="Normal"/>
      </w:pPr>
      <w:r>
        <w:t xml:space="preserve">1. Each Party shall administer its procedures for the allocation and use of scarce telecommunications resources, including frequencies, numbers and rights-of-way, in an objective, timely, transparent, and non-discriminatory manner. 2. Each Party shall make publicly available the current state of frequency bands allocated and assigned to specific suppliers but retains the right not to provide detailed identification of frequencies that are allocated or assigned for specific government uses. 3. For greater certainty, a measure of a Party that allocates or assigns spectrum or manages frequency is not in itself inconsistent with Article 15.5 (Market Access) either as it applies to cross-border trade in services or through the operation of Article 15.2 (Scope) to an investor or covered investment of another Party. Accordingly, each Party retains the right to establish and apply spectrum and frequency management policies that may have the effect of limiting the number of suppliers of public telecommunications services, provided that the Party does so in a manner that is consistent with this Agreement. This includes the ability to allocate frequency bands, taking into account current and future needs and spectrum availability. 4.</w:t>
      </w:r>
    </w:p>
    <w:p>
      <w:pPr>
        <w:pStyle w:val="Normal"/>
      </w:pPr>
      <w:r>
        <w:t>When making a spectrum allocation for commercial telecommunications services, each Party shall endeavor to rely on an open and transparent process that considers the public interest, including the promotion of competition. 5. Each Party shall endeavor to rely generally on market-based approaches in assigning spectrum for terrestrial commercial telecommunications services. To this end, each Party may use mechanisms such as auctions, if appropriate, to assign spectrum for commercial use.</w:t>
      </w:r>
    </w:p>
    <w:p>
      <w:pPr>
        <w:pStyle w:val="Heading2"/>
      </w:pPr>
      <w:bookmarkStart w:id="900532" w:name="_Toc300000531"/>
      <w:r>
        <w:t xml:space="preserve">Article 18.22: Enforcement</w:t>
      </w:r>
      <w:bookmarkEnd w:id="900532"/>
    </w:p>
    <w:p>
      <w:pPr>
        <w:pStyle w:val="Normal"/>
      </w:pPr>
      <w:r>
        <w:t xml:space="preserve">Each Party shall provide its competent authority the authority to enforce the Party’s measures relating to the obligations set out in Article 18.3 (Access and Use), Article 18.4. (Obligations Relating to Suppliers of Public Telecommunications Services), Article 18.5 (Treatment by Major Suppliers of Public Telecommunications Services), Article 18.6 (Competitive Safeguards), Article 18.7 (Resale), Article 18.8 (Unbundling of Network Elements), Article 18.9 (Interconnection with Major Suppliers), Article 18.10 (Provisioning and Pricing of Leased Circuits Services), Article 18.11 (Co-Location), Article 18.12 (Access to Poles, Ducts, Conduits, and Rights-of-Way) and Article 18.13 (Submarine Cable Systems). That authority shall include the ability to impose effective sanctions, which may include financial penalties, injunctive relief (on an interim or final basis), corrective orders, or the modification, suspension, or revocation of licenses.</w:t>
      </w:r>
    </w:p>
    <w:p>
      <w:pPr>
        <w:pStyle w:val="Heading2"/>
      </w:pPr>
      <w:bookmarkStart w:id="900533" w:name="_Toc300000532"/>
      <w:r>
        <w:t xml:space="preserve">Article 18.23: Resolution of Disputes</w:t>
      </w:r>
      <w:bookmarkEnd w:id="900533"/>
    </w:p>
    <w:p>
      <w:pPr>
        <w:pStyle w:val="Normal"/>
      </w:pPr>
      <w:r>
        <w:t xml:space="preserve">1. Further to Article 29.3 (Administrative Proceedings) and Article 29.4 (Review and Appeal), each Party shall ensure that: Recourse (a) enterprises have recourse to the telecommunications regulatory body of the Party to resolve disputes with a supplier of public telecommunications services regarding the Party’s measures relating to matters set out in Article 18.3 (Access and Use), Article 18.4 (Obligations Relating to Suppliers of Public Telecommunications Services), Article 18.5 (Treatment by Major Suppliers of Public Telecommunications Services), Article 18.6 (Competitive Safeguards), Article 18.7 (Resale), Article 18.8 (Unbundling of Network Elements), Article 18.9 (Interconnection with Major Suppliers), Article 18.10 (Provisioning and Pricing of Leased Circuits Services), Article 18.11 (Co-Location), Article 18.12 (Access to Poles, Ducts, Conduits, and Rights-of-Way), and Article 18.13 (Submarine Cable Systems);</w:t>
      </w:r>
    </w:p>
    <w:p>
      <w:pPr>
        <w:pStyle w:val="Normal"/>
      </w:pPr>
      <w:r>
        <w:t>(b) if the telecommunications regulatory body declines to initiate action on a request to resolve a dispute, it shall, on request, provide a written explanation for its decision within a reasonable period of time;15 (c) a supplier of public telecommunications services of another Party that has requested interconnection with a major supplier in the Party’s territory has, within a reasonable and publicly specified period of time after the supplier requests interconnection, recourse to its telecommunications regulatory body to</w:t>
      </w:r>
    </w:p>
    <w:p>
      <w:pPr>
        <w:pStyle w:val="Normal"/>
      </w:pPr>
      <w:r>
        <w:t>resolve disputes regarding the appropriate terms, conditions and rates for interconnection with that major supplier; and Reconsideration16 (d) an enterprise whose legally protected interests are adversely affected by a determination or decision of the Party’s telecommunications regulatory body may appeal to or petition the body to reconsider that determination or decision. No Party shall permit the making of an application for reconsideration to constitute grounds for non-compliance with the determination or decision of the telecommunications regulatory body, unless the regulatory body issues an order that the determination or decision not be enforced while the proceeding is pending. A Party may limit the circumstances under which reconsideration is available, in accordance with its laws and regulations. Judicial Review 2. No Party shall permit the making of an application for judicial review to constitute grounds for non-compliance with the determination or decision of the telecommunications regulatory body, unless the judicial body issues an order that the determination or decision not be enforced while the proceeding is pending. 15 For the United States, this subparagraph applies only to the national regulatory body. 16 This subparagraph does not apply to Mexico.</w:t>
      </w:r>
    </w:p>
    <w:p>
      <w:pPr>
        <w:pStyle w:val="Normal"/>
      </w:pPr>
      <w:r>
        <w:t>For Mexico, the general rules, acts or omissions of the Federal Telecommunications Institute may only be challenged through an indirect amparo trial before federal courts specialized in competition, broadcasting, and telecommunications and shall not be subject to injunction (suspensión).</w:t>
      </w:r>
    </w:p>
    <w:p>
      <w:pPr>
        <w:pStyle w:val="Heading2"/>
      </w:pPr>
      <w:bookmarkStart w:id="900534" w:name="_Toc300000533"/>
      <w:r>
        <w:t xml:space="preserve">Article 18.24: Transparency</w:t>
      </w:r>
      <w:bookmarkEnd w:id="900534"/>
    </w:p>
    <w:p>
      <w:pPr>
        <w:pStyle w:val="Normal"/>
      </w:pPr>
      <w:r>
        <w:t xml:space="preserve">1. Further to Article 29.2 (Publication), each Party shall ensure that when its telecommunications regulatory body seeks input 17 for a proposal for a regulation, that body: (a) makes the proposal public or otherwise available to any interested persons; (b) includes an explanation of the purpose of and reasons for the proposal; (c) provides interested persons with adequate public notice of the ability to comment and reasonable opportunity for comment; (d) to the extent practicable, makes publicly available all relevant comments filed with it; and (e) responds to all significant and relevant issues raised in comments filed, in the course of issuance of the final regulation.18 2. Further to Article 29.2 (Publication), each Party shall ensure that its measures relating to public telecommunications services are publicly available, including: (a) tariffs and other terms and conditions of service; (b) specifications of technical interfaces; (c) conditions for attaching terminal or other equipment to the public telecommunications network; (d) licensing, permit, registration, or notification requirements, if any;</w:t>
      </w:r>
    </w:p>
    <w:p>
      <w:pPr>
        <w:pStyle w:val="Normal"/>
      </w:pPr>
      <w:r>
        <w:t>(e) general procedures relating to resolution of telecommunications disputes provided for in Article 18.23 (Resolution of Disputes); and (f) any measures of the telecommunications regulatory body if the government delegates to other bodies the responsibility for preparing, amending, and adopting standards-related measures affecting access and use.</w:t>
      </w:r>
    </w:p>
    <w:p>
      <w:pPr>
        <w:pStyle w:val="Heading2"/>
      </w:pPr>
      <w:bookmarkStart w:id="900535" w:name="_Toc300000534"/>
      <w:r>
        <w:t xml:space="preserve">Article 18.25: International Roaming Services</w:t>
      </w:r>
      <w:bookmarkEnd w:id="900535"/>
    </w:p>
    <w:p>
      <w:pPr>
        <w:pStyle w:val="Normal"/>
      </w:pPr>
      <w:r>
        <w:t xml:space="preserve">17 For greater certainty, seeking input does not include internal governmental deliberations. 18 For greater certainty, a Party may consolidate its responses to the comments received from interested persons. 1. The Parties shall endeavor to cooperate on promoting transparent and reasonable rates for international mobile roaming services that can help promote the growth of trade between the Parties and enhance consumer welfare. 2. A Party may take steps to enhance transparency and competition with respect to international mobile roaming rates and technological alternatives to roaming services, such as: (a) ensuring that information regarding retail rates is easily accessible to consumers; and (b) minimizing impediments to the use of technological alternatives to roaming, whereby consumers can access telecommunications services using the device of their choice when visiting the territory of a Party from the territory of another Party.</w:t>
      </w:r>
    </w:p>
    <w:p>
      <w:pPr>
        <w:pStyle w:val="Heading2"/>
      </w:pPr>
      <w:bookmarkStart w:id="900536" w:name="_Toc300000535"/>
      <w:r>
        <w:t xml:space="preserve">Article 18.26: Relation to Other Chapters</w:t>
      </w:r>
      <w:bookmarkEnd w:id="900536"/>
    </w:p>
    <w:p>
      <w:pPr>
        <w:pStyle w:val="Normal"/>
      </w:pPr>
      <w:r>
        <w:t xml:space="preserve">If there is an inconsistency between this Chapter and another Chapter of this Agreement, this Chapter shall prevail to the extent of the inconsistency.</w:t>
      </w:r>
    </w:p>
    <w:p>
      <w:pPr>
        <w:pStyle w:val="Heading2"/>
      </w:pPr>
      <w:bookmarkStart w:id="900537" w:name="_Toc300000536"/>
      <w:r>
        <w:t xml:space="preserve">Article 18.27: Telecommunications Committee</w:t>
      </w:r>
      <w:bookmarkEnd w:id="900537"/>
    </w:p>
    <w:p>
      <w:pPr>
        <w:pStyle w:val="Normal"/>
      </w:pPr>
      <w:r>
        <w:t xml:space="preserve">1. The Parties hereby establish a Telecommunications Committee composed of government representatives of each Party. 2. The Telecommunications Committee shall: (a) review and monitor the implementation and operation of this Chapter, with a view to ensuring the effective implementation of the Chapter by enabling responsiveness to technological and regulatory developments in telecommunications to ensure the continuing relevance of this Chapter to Parties, service suppliers and end-users; (b) discuss issues related to this Chapter and any other issues relevant to the telecommunications sector the Parties may decide; (c) report to the Commission on the findings and the outcomes of its discussions; and (d) carry out other functions delegated to it by the Commission. 3. The Telecommunications Committee shall meet at venues and times as the Parties may decide. 4. The Parties may decide to invite representatives of relevant entities other than the Parties, including representatives of private sector entities, having the necessary expertise relevant to the issues to be discussed, to attend meetings of the Telecommunications Committee.</w:t>
      </w:r>
    </w:p>
    <w:p>
      <w:pPr>
        <w:pStyle w:val="Heading2"/>
      </w:pPr>
      <w:bookmarkStart w:id="900538" w:name="_Toc300000537"/>
      <w:r>
        <w:t xml:space="preserve">ANNEX 18-A RURAL TELEPHONE SUPPLIERS</w:t>
      </w:r>
      <w:bookmarkEnd w:id="900538"/>
    </w:p>
    <w:p>
      <w:pPr>
        <w:pStyle w:val="Normal"/>
      </w:pPr>
      <w:r>
        <w:t xml:space="preserve">United States The United States may exempt rural local exchange carriers and rural telephone companies, as defined, respectively, in sections 251(f)(2) and 3(44) of the Communications Act of 1934, as amended, (47 U.S.C. Section 251(f)(2) and Section 153(44)), from the obligations contained in Article 18.4.6 (Obligations Relating to Suppliers of Public Telecommunications Services – Number Portability), Article 18.4.7 (Obligations Relating to Suppliers of Public Telecommunications Services – Dialing Parity), Article 18.7 (Resale), Article 18.8 (Unbundling of Network Elements), Article 18.9 (Interconnection with Major Suppliers), and Article 18.11 (Co-Location). 18-A-1</w:t>
      </w:r>
    </w:p>
    <w:p>
      <w:pPr>
        <w:pStyle w:val="Normal"/>
      </w:pPr>
      <w:r>
        <w:t>This Chapter and its modernization provisions contain the principal digital-trade architecture. Related AI, automated-decision, cybersecurity, privacy, and sector-specific rules may also appear elsewhere.</w:t>
      </w:r>
    </w:p>
    <w:p>
      <w:pPr>
        <w:pStyle w:val="TrumpVisibilityHeadline"/>
      </w:pPr>
      <w:r>
        <w:t>SEARCH SIGNPOST: DIGITAL TRADE / DATA / PRIVACY / CYBERSECURITY / ARTIFICIAL INTELLIGENCE / AI / ALGORITHMS / SOURCE CODE</w:t>
      </w:r>
    </w:p>
    <w:p>
      <w:pPr>
        <w:pStyle w:val="Heading1"/>
      </w:pPr>
      <w:bookmarkStart w:id="900539" w:name="_Toc300000538"/>
      <w:r>
        <w:t>CHAPTER 19 DIGITAL TRADE</w:t>
      </w:r>
      <w:bookmarkEnd w:id="900539"/>
    </w:p>
    <w:p>
      <w:pPr>
        <w:pStyle w:val="Heading2"/>
      </w:pPr>
      <w:bookmarkStart w:id="900540" w:name="_Toc300000539"/>
      <w:r>
        <w:t xml:space="preserve">Article 19.1: Definitions</w:t>
      </w:r>
      <w:bookmarkEnd w:id="900540"/>
    </w:p>
    <w:p>
      <w:pPr>
        <w:pStyle w:val="Normal"/>
      </w:pPr>
      <w:r>
        <w:t>For the purposes of this Chapter: algorithm means a defined sequence of steps, taken to solve a problem or obtain a result; computing facility means a computer server or storage device for processing or storing information for commercial use; covered person means: (a) a covered investment as defined in Article 1.5 (General Definitions); (b) an investor of a Party as defined in Article 14.1 (Definitions); or (c) a service supplier of a Party as defined in Article 15.1 (Definitions), but does not include a covered person as defined in Article 17.1 (Definitions); digital product means a computer program, text, video, image, sound recording, or other product that is digitally encoded, produced for commercial sale or distribution, and that can be transmitted electronically. For greater certainty, digital product does not include a digitized representation of a financial instrument, including money;</w:t>
      </w:r>
    </w:p>
    <w:p>
      <w:pPr>
        <w:pStyle w:val="Normal"/>
      </w:pPr>
      <w:r>
        <w:t>1 electronic authentication means the process or act of verifying the identity of a party to an electronic communication or transaction and ensuring the integrity of an electronic communication; electronic signature means data in electronic form that is in, affixed to, or logically associated with, an electronic document or message, and that may be used to identify the signatory in relation to the electronic document or message and indicate the signatory’s approval of the information contained in the electronic document or message; government information means</w:t>
      </w:r>
    </w:p>
    <w:p>
      <w:pPr>
        <w:pStyle w:val="Normal"/>
      </w:pPr>
      <w:r>
        <w:t>non-proprietary information, including data, held by the central government; information content provider means a person or entity that creates or develops, in whole or in 1 This definition should not be understood to reflect a Party’s view that digital products are a good or are a service. part, information provided through the Internet or another interactive computer service; interactive computer service means a system or service that provides or enables electronic access by multiple users to a computer server; personal information means information, including data, about an identified or identifiable natural person; trade administration document means a form issued or controlled by a Party that must be completed by or for an importer or exporter in connection with the import or export of goods; and unsolicited commercial electronic communication means an electronic message, which is sent to an electronic address of a person for commercial or marketing purposes without the consent of the recipient or despite the explicit rejection of the recipient.2</w:t>
      </w:r>
    </w:p>
    <w:p>
      <w:pPr>
        <w:pStyle w:val="Heading2"/>
      </w:pPr>
      <w:bookmarkStart w:id="900541" w:name="_Toc300000540"/>
      <w:r>
        <w:t xml:space="preserve">Article 19.2: Scope and General Provisions</w:t>
      </w:r>
      <w:bookmarkEnd w:id="900541"/>
    </w:p>
    <w:p>
      <w:pPr>
        <w:pStyle w:val="Normal"/>
      </w:pPr>
      <w:r>
        <w:t xml:space="preserve">1. The Parties recognize the economic growth and opportunities provided by digital trade and the importance of frameworks that promote consumer confidence in digital trade and of avoiding unnecessary barriers to its use and development. 2. This Chapter applies to measures adopted or maintained by a Party that affect trade by electronic means. 3. This Chapter does not apply: (a) to government procurement; or (b) except for Article 19.18 (Open Government Data), to information held or processed by or on behalf of a Party, or measures related to that information, including measures related to its collection. 4. For greater certainty, a measure that affects the supply of a service delivered or performed electronically is subject to Chapter 14 (Investment), Chapter 15 (Cross-Border Trade in Services), and Chapter 17 (Financial Services), including any exception or non-conforming measure set out in this Agreement that is applicable to the obligations contained in those Chapters. For the United States, an unsolicited commercial electronic communication does not include an electronic message sent primarily for purposes other than commercial or marketing purposes.</w:t>
      </w:r>
    </w:p>
    <w:p>
      <w:pPr>
        <w:pStyle w:val="Heading2"/>
      </w:pPr>
      <w:bookmarkStart w:id="900542" w:name="_Toc300000541"/>
      <w:r>
        <w:t xml:space="preserve">Article 19.3: Customs Duties</w:t>
      </w:r>
      <w:bookmarkEnd w:id="900542"/>
    </w:p>
    <w:p>
      <w:pPr>
        <w:pStyle w:val="Normal"/>
      </w:pPr>
      <w:r>
        <w:t xml:space="preserve">1. No Party shall impose customs duties, fees, or other charges on or in connection with the importation or exportation of digital products transmitted electronically, between a person of one Party and a person of another Party. 2. For greater certainty, paragraph 1 does not preclude a Party from imposing internal taxes, fees, or other charges on a digital product transmitted electronically, provided that those taxes, fees, or charges are imposed in a manner consistent with this Agreement.</w:t>
      </w:r>
    </w:p>
    <w:p>
      <w:pPr>
        <w:pStyle w:val="Heading2"/>
      </w:pPr>
      <w:bookmarkStart w:id="900543" w:name="_Toc300000542"/>
      <w:r>
        <w:t xml:space="preserve">Article 19.4: Non-Discriminatory Treatment of Digital Products</w:t>
      </w:r>
      <w:bookmarkEnd w:id="900543"/>
    </w:p>
    <w:p>
      <w:pPr>
        <w:pStyle w:val="Normal"/>
      </w:pPr>
      <w:r>
        <w:t xml:space="preserve">1. No Party shall accord less favorable treatment to a digital product created, produced, published, contracted for, commissioned, or first made available on commercial terms in the territory of another Party, or to a digital product of which the author, performer, producer, developer, or owner is a person of another Party, than it accords to other like digital products.3 2. This Article does not apply to a subsidy or grant provided by a Party, including a government-supported loan, guarantee, or insurance.</w:t>
      </w:r>
    </w:p>
    <w:p>
      <w:pPr>
        <w:pStyle w:val="Heading2"/>
      </w:pPr>
      <w:bookmarkStart w:id="900544" w:name="_Toc300000543"/>
      <w:r>
        <w:t xml:space="preserve">Article 19.5: Domestic Electronic Transactions Framework</w:t>
      </w:r>
      <w:bookmarkEnd w:id="900544"/>
    </w:p>
    <w:p>
      <w:pPr>
        <w:pStyle w:val="Normal"/>
      </w:pPr>
      <w:r>
        <w:t xml:space="preserve">1. Each Party shall maintain a legal framework governing electronic transactions consistent with the principles of the UNCITRAL Model Law on Electronic Commerce 1996. 2. Each Party shall endeavor to: (a) avoid unnecessary regulatory burden on electronic transactions; and (b) facilitate input by interested persons in the development of its legal framework for electronic transactions.</w:t>
      </w:r>
    </w:p>
    <w:p>
      <w:pPr>
        <w:pStyle w:val="Heading2"/>
      </w:pPr>
      <w:bookmarkStart w:id="900545" w:name="_Toc300000544"/>
      <w:r>
        <w:t xml:space="preserve">Article 19.6: Electronic Authentication and Electronic Signatures</w:t>
      </w:r>
      <w:bookmarkEnd w:id="900545"/>
    </w:p>
    <w:p>
      <w:pPr>
        <w:pStyle w:val="Normal"/>
      </w:pPr>
      <w:r>
        <w:t xml:space="preserve">1. Except in circumstances provided for under its law, a Party shall not deny the legal validity of a signature solely on the basis that the signature is in electronic form. 2. No Party shall adopt or maintain measures for electronic authentication and electronic 3 For greater certainty, to the extent that a digital product of a non-Party is a “like digital product,” it will qualify as an “other like digital product” for the purposes of Article 19.4.1 (Non-Discriminatory Treatment of Digital Products). signatures that would: (a) prohibit parties to an electronic transaction from mutually determining the appropriate authentication methods or electronic signatures for that transaction; or (b) prevent parties to an electronic transaction from having the opportunity to establish before judicial or administrative authorities that their transaction complies with any legal requirements with respect to authentication or electronic signatures. 3. Notwithstanding paragraph 2, a Party may require that, for a particular category of transactions, the electronic signature or method of authentication meets certain performance standards or is certified by an authority accredited in accordance with its law. 4. Each Party shall encourage the use of interoperable electronic authentication.</w:t>
      </w:r>
    </w:p>
    <w:p>
      <w:pPr>
        <w:pStyle w:val="Heading2"/>
      </w:pPr>
      <w:bookmarkStart w:id="900546" w:name="_Toc300000545"/>
      <w:r>
        <w:t xml:space="preserve">Article 19.7: Online Consumer Protection</w:t>
      </w:r>
      <w:bookmarkEnd w:id="900546"/>
    </w:p>
    <w:p>
      <w:pPr>
        <w:pStyle w:val="Normal"/>
      </w:pPr>
      <w:r>
        <w:t xml:space="preserve">1. The Parties recognize the importance of adopting and maintaining transparent and effective measures to protect consumers from fraudulent or deceptive commercial activities as referred to in Article 21.4.2 (Consumer Protection) when they engage in digital trade. 2. Each Party shall adopt or maintain consumer protection laws to proscribe fraudulent and deceptive commercial activities that cause harm or potential harm to consumers engaged in online commercial activities. 3. The Parties recognize the importance of, and public interest in, cooperation between their respective national consumer protection agencies or other relevant bodies on activities related to cross-border digital trade in order to enhance consumer welfare. To this end, the Parties affirm that cooperation under paragraphs 21.4.3 through 21.4.5 (Consumer Protection) includes cooperation with respect to online commercial activities.</w:t>
      </w:r>
    </w:p>
    <w:p>
      <w:pPr>
        <w:pStyle w:val="Heading2"/>
      </w:pPr>
      <w:bookmarkStart w:id="900547" w:name="_Toc300000546"/>
      <w:r>
        <w:t xml:space="preserve">Article 19.8: Personal Information Protection</w:t>
      </w:r>
      <w:bookmarkEnd w:id="900547"/>
    </w:p>
    <w:p>
      <w:pPr>
        <w:pStyle w:val="Normal"/>
      </w:pPr>
      <w:r>
        <w:t xml:space="preserve">1. The Parties recognize the economic and social benefits of protecting the personal information of users of digital trade and the contribution that this makes to enhancing consumer confidence in digital trade. 2. To this end, each Party shall adopt or maintain a legal framework that provides for the protection of the personal information of the users of digital trade. In the development of this legal framework, each Party should take into account principles and guidelines of relevant international bodies,4 such as the APEC Privacy Framework and the OECD Recommendation of the Council concerning Guidelines governing the Protection of Privacy and Transborder Flows of Personal Data (2013). 3. The Parties recognize that pursuant to paragraph 2, key principles include: limitation on collection; choice; data quality; purpose specification; use limitation; security safeguards; transparency; individual participation; and accountability. The Parties also recognize the importance of ensuring compliance with measures to protect personal information and ensuring that any restrictions on cross-border flows of personal information are necessary and proportionate to the risks presented. 4. Each Party shall endeavor to adopt non-discriminatory practices in protecting users of digital trade from personal information protection violations occurring within its jurisdiction. 5.</w:t>
      </w:r>
    </w:p>
    <w:p>
      <w:pPr>
        <w:pStyle w:val="Normal"/>
      </w:pPr>
      <w:r>
        <w:t>Each Party shall publish information on the personal information protections it provides to users of digital trade, including how: (a) a natural person can pursue a remedy; and (b) an enterprise can comply with legal requirements. 6. Recognizing that the Parties may take different legal approaches to protecting personal information, each Party should encourage the development of mechanisms to promote compatibility between these different regimes. The Parties shall endeavor to exchange information on the mechanisms applied in their jurisdictions and explore ways to extend these or other suitable arrangements to promote compatibility between them. The Parties recognize that the APEC Cross-Border Privacy Rules system is a valid mechanism to facilitate cross-border information transfers while protecting personal information.</w:t>
      </w:r>
    </w:p>
    <w:p>
      <w:pPr>
        <w:pStyle w:val="Heading2"/>
      </w:pPr>
      <w:bookmarkStart w:id="900548" w:name="_Toc300000547"/>
      <w:r>
        <w:t xml:space="preserve">Article 19.9: Paperless Trading</w:t>
      </w:r>
      <w:bookmarkEnd w:id="900548"/>
    </w:p>
    <w:p>
      <w:pPr>
        <w:pStyle w:val="Normal"/>
      </w:pPr>
      <w:r>
        <w:t xml:space="preserve">Each Party shall endeavor to accept a trade administration document submitted electronically as the legal equivalent of the paper version of that document.</w:t>
      </w:r>
    </w:p>
    <w:p>
      <w:pPr>
        <w:pStyle w:val="Heading2"/>
      </w:pPr>
      <w:bookmarkStart w:id="900549" w:name="_Toc300000548"/>
      <w:r>
        <w:t xml:space="preserve">Article 19.10: Principles on Access to and Use of the Internet for Digital Trade</w:t>
      </w:r>
      <w:bookmarkEnd w:id="900549"/>
    </w:p>
    <w:p>
      <w:pPr>
        <w:pStyle w:val="Normal"/>
      </w:pPr>
      <w:r>
        <w:t xml:space="preserve">The Parties recognize that it is beneficial for consumers in their territories to be able to: For greater certainty, a Party may comply with the obligation in this paragraph by adopting or maintaining measures such as a comprehensive privacy, personal information or personal data protection laws, sector-specific laws covering privacy, or laws that provide for the enforcement of voluntary undertakings by enterprises relating to privacy. (a) access and use services and applications of a consumer’s choice available on the Internet, subject to reasonable network management; (b) connect the end-user devices of a consumer’s choice to the Internet, provided that such devices do not harm the network; and (c) access information on the network management practices of a consumer’s Internet access service supplier.</w:t>
      </w:r>
    </w:p>
    <w:p>
      <w:pPr>
        <w:pStyle w:val="Heading2"/>
      </w:pPr>
      <w:bookmarkStart w:id="900550" w:name="_Toc300000549"/>
      <w:r>
        <w:t xml:space="preserve">Article 19.11: Cross-Border Transfer of Information by Electronic Means</w:t>
      </w:r>
      <w:bookmarkEnd w:id="900550"/>
    </w:p>
    <w:p>
      <w:pPr>
        <w:pStyle w:val="Normal"/>
      </w:pPr>
      <w:r>
        <w:t xml:space="preserve">1. No Party shall prohibit or restrict the cross-border transfer of information, including personal information, by electronic means if this activity is for the conduct of the business of a covered person. 2. This Article does not prevent a Party from adopting or maintaining a measure inconsistent with paragraph 1 that is necessary to achieve a legitimate public policy objective, provided that the measure: (a) is not applied in a manner which would constitute a means of arbitrary or unjustifiable discrimination or a disguised restriction on trade; and (b) does not impose restrictions on transfers of information greater than are necessary to achieve the objective.5</w:t>
      </w:r>
    </w:p>
    <w:p>
      <w:pPr>
        <w:pStyle w:val="Heading2"/>
      </w:pPr>
      <w:bookmarkStart w:id="900551" w:name="_Toc300000550"/>
      <w:r>
        <w:t xml:space="preserve">Article 19.12: Location of Computing Facilities</w:t>
      </w:r>
      <w:bookmarkEnd w:id="900551"/>
    </w:p>
    <w:p>
      <w:pPr>
        <w:pStyle w:val="Normal"/>
      </w:pPr>
      <w:r>
        <w:t xml:space="preserve">No Party shall require a covered person to use or locate computing facilities in that Party’s territory as a condition for conducting business in that territory.</w:t>
      </w:r>
    </w:p>
    <w:p>
      <w:pPr>
        <w:pStyle w:val="Heading2"/>
      </w:pPr>
      <w:bookmarkStart w:id="900552" w:name="_Toc300000551"/>
      <w:r>
        <w:t xml:space="preserve">Article 19.13: Unsolicited Commercial Electronic Communications</w:t>
      </w:r>
      <w:bookmarkEnd w:id="900552"/>
    </w:p>
    <w:p>
      <w:pPr>
        <w:pStyle w:val="Normal"/>
      </w:pPr>
      <w:r>
        <w:t xml:space="preserve">1. Each Party shall adopt or maintain measures providing for the limitation of unsolicited commercial electronic communications. 2. Each Party shall adopt or maintain measures regarding unsolicited commercial electronic communications sent to an electronic mail address that: 5 A measure does not meet the conditions of this paragraph if it accords different treatment to data transfers solely on the basis that they are cross-border in a manner that modifies the conditions of competition to the detriment of service suppliers of another Party. (a) require suppliers of unsolicited commercial electronic messages to facilitate the ability of recipients to prevent ongoing reception of those messages; or (b) require the consent, as specified in the laws and regulations of each Party, of recipients to receive commercial electronic messages. 3. Each Party shall endeavor to adopt or maintain measures that enable consumers to reduce or prevent unsolicited commercial electronic communications sent other than to an electronic mail address. 4.</w:t>
      </w:r>
    </w:p>
    <w:p>
      <w:pPr>
        <w:pStyle w:val="Normal"/>
      </w:pPr>
      <w:r>
        <w:t>Each Party shall provide recourse in its law against suppliers of unsolicited commercial electronic communications that do not comply with a measure adopted or maintained pursuant to paragraph 2 or 3. 5. The Parties shall endeavor to cooperate in appropriate cases of mutual concern regarding the regulation of unsolicited commercial electronic communications.</w:t>
      </w:r>
    </w:p>
    <w:p>
      <w:pPr>
        <w:pStyle w:val="Heading2"/>
      </w:pPr>
      <w:bookmarkStart w:id="900553" w:name="_Toc300000552"/>
      <w:r>
        <w:t xml:space="preserve">Article 19.14: Cooperation</w:t>
      </w:r>
      <w:bookmarkEnd w:id="900553"/>
    </w:p>
    <w:p>
      <w:pPr>
        <w:pStyle w:val="Normal"/>
      </w:pPr>
      <w:r>
        <w:t xml:space="preserve">1. Recognizing the global nature of digital trade, the Parties shall endeavor to: (a) exchange information and share experiences on regulations, policies, enforcement and compliance relating to digital trade, including: (i) personal information protection, particularly with a view to strengthening existing international mechanisms for cooperation in enforcing laws protecting privacy, (ii) security in electronic communications, (iii) authentication, and (iv) government use of digital tools and technologies to achieve better government performance; (b) cooperate and maintain a dialogue on the promotion and development of mechanisms, including the APEC Cross-Border Privacy Rules, that further global interoperability of privacy regimes; (c) actively participate in regional and multilateral fora to promote the development of digital trade; (d) encourage development by the private sector of methods of self-regulation that foster digital trade, including codes of conduct, model contracts, guidelines, and enforcement mechanisms; (e) promote access for persons with disabilities to information and communications technologies; and (f) promote, through international cross-border cooperation initiatives, the development of mechanisms to assist users in submitting cross-border complaints regarding personal information protection. 2.</w:t>
      </w:r>
    </w:p>
    <w:p>
      <w:pPr>
        <w:pStyle w:val="Normal"/>
      </w:pPr>
      <w:r>
        <w:t>The Parties shall consider establishing a forum to address any of the issues listed above, or any other matter pertaining to the operation of this Chapter.</w:t>
      </w:r>
    </w:p>
    <w:p>
      <w:pPr>
        <w:pStyle w:val="Heading2"/>
      </w:pPr>
      <w:bookmarkStart w:id="900554" w:name="_Toc300000553"/>
      <w:r>
        <w:t xml:space="preserve">Article 19.15: Cybersecurity</w:t>
      </w:r>
      <w:bookmarkEnd w:id="900554"/>
    </w:p>
    <w:p>
      <w:pPr>
        <w:pStyle w:val="Normal"/>
      </w:pPr>
      <w:r>
        <w:t xml:space="preserve">1. The Parties recognize that threats to cybersecurity undermine confidence in digital trade. Accordingly, the Parties shall endeavor to: (a) build the capabilities of their respective national entities responsible for cybersecurity incident response; and (b) strengthen existing collaboration mechanisms for cooperating to identify and mitigate malicious intrusions or dissemination of malicious code that affect electronic networks, and use those mechanisms to swiftly address cybersecurity incidents, as well as for the sharing of information for awareness and best practices. 2. Given the evolving nature of cybersecurity threats, the Parties recognize that risk-based approaches may be more effective than prescriptive regulation in addressing those threats. Accordingly, each Party shall endeavor to employ, and encourage enterprises within its jurisdiction to use, risk-based approaches that rely on consensus-based standards and risk management best practices to identify and protect against cybersecurity risks and to detect, respond to, and recover from cybersecurity events.</w:t>
      </w:r>
    </w:p>
    <w:p>
      <w:pPr>
        <w:pStyle w:val="Heading2"/>
      </w:pPr>
      <w:bookmarkStart w:id="900555" w:name="_Toc300000554"/>
      <w:r>
        <w:t xml:space="preserve">Article 19.16: Source Code</w:t>
      </w:r>
      <w:bookmarkEnd w:id="900555"/>
    </w:p>
    <w:p>
      <w:pPr>
        <w:pStyle w:val="Normal"/>
      </w:pPr>
      <w:r>
        <w:t xml:space="preserve">1. No Party shall require the transfer of, or access to, a source code of software owned by a person of another Party, or to an algorithm expressed in that source code, as a condition for the import, distribution, sale or use of that software, or of products containing that software, in its territory. 2. This Article does not preclude a regulatory body or judicial authority of a Party from requiring a person of another Party to preserve and make available the source code of software, or an algorithm expressed in that source code, to the regulatory body for a specific investigation, inspection, examination, enforcement action, or judicial proceeding,6 subject to safeguards against unauthorized disclosure.</w:t>
      </w:r>
    </w:p>
    <w:p>
      <w:pPr>
        <w:pStyle w:val="Heading2"/>
      </w:pPr>
      <w:bookmarkStart w:id="900556" w:name="_Toc300000555"/>
      <w:r>
        <w:t xml:space="preserve">Article 19.17: Interactive Computer Services</w:t>
      </w:r>
      <w:bookmarkEnd w:id="900556"/>
    </w:p>
    <w:p>
      <w:pPr>
        <w:pStyle w:val="Normal"/>
      </w:pPr>
      <w:r>
        <w:t xml:space="preserve">1. The Parties recognize the importance of the promotion of interactive computer services, including for small and medium-sized enterprises, as vital to the growth of digital trade. 2. To that end, other than as provided in paragraph 4, no Party shall adopt or maintain measures that treat a supplier or user of an interactive computer service as an information content provider in determining liability for harms related to information stored, processed, transmitted, distributed, or made available by the service, except to the extent the supplier or user has, in whole or in part, created, or developed the information.7 3. No Party shall impose liability on a supplier or user of an interactive computer service on account of:</w:t>
      </w:r>
    </w:p>
    <w:p>
      <w:pPr>
        <w:pStyle w:val="Normal"/>
      </w:pPr>
      <w:r>
        <w:t>(a) any action voluntarily taken in good faith by the supplier or user to restrict access to or availability of material that is accessible or available through its supply or use of the interactive computer services and that the supplier or user considers to be harmful or objectionable; or (b) any action taken to enable or make available the technical means that enable an information content provider or other persons to restrict access to material that it considers to be harmful or objectionable. 4.</w:t>
      </w:r>
    </w:p>
    <w:p>
      <w:pPr>
        <w:pStyle w:val="Normal"/>
      </w:pPr>
      <w:r>
        <w:t>Nothing in this Article shall: (a) apply to any measure of a Party pertaining to intellectual property, including measures addressing liability for intellectual property infringement; or (b) be construed to enlarge or diminish a Party’s ability to protect or enforce an intellectual property right; or (c) be construed to prevent: 6 This disclosure shall not be construed to negatively affect the software source code’s status as a trade secret, if such status is claimed by the trade secret owner. 7 For greater certainty, a Party may comply with this Article through its laws, regulations, or application of existing legal doctrines as applied through judicial decisions. (i) a Party from enforcing any criminal law, or (ii) a supplier or user of an interactive computer service from complying with a specific, lawful order of a law enforcement authority.8 5. This Article is subject to Annex 19-A.</w:t>
      </w:r>
    </w:p>
    <w:p>
      <w:pPr>
        <w:pStyle w:val="Heading2"/>
      </w:pPr>
      <w:bookmarkStart w:id="900557" w:name="_Toc300000556"/>
      <w:r>
        <w:t xml:space="preserve">Article 19.18: Open Government Data</w:t>
      </w:r>
      <w:bookmarkEnd w:id="900557"/>
    </w:p>
    <w:p>
      <w:pPr>
        <w:pStyle w:val="Normal"/>
      </w:pPr>
      <w:r>
        <w:t xml:space="preserve">1. The Parties recognize that facilitating public access to and use of government information fosters economic and social development, competitiveness, and innovation. 2. To the extent that a Party chooses to make government information, including data, available to the public, it shall endeavor to ensure that the information is in a machine-readable and open format and can be searched, retrieved, used, reused, and redistributed. 3. The Parties shall endeavor to cooperate to identify ways in which each Party can expand access to and use of government information, including data, that the Party has made public, with a view to enhancing and generating business opportunities, especially for SMEs. 8 The Parties understand that measures referenced in paragraph 4(c)(ii) shall be not inconsistent with paragraph 2 in situations where paragraph 2 is applicable.</w:t>
      </w:r>
    </w:p>
    <w:p>
      <w:pPr>
        <w:pStyle w:val="Heading2"/>
      </w:pPr>
      <w:bookmarkStart w:id="900558" w:name="_Toc300000557"/>
      <w:r>
        <w:t xml:space="preserve">ANNEX 19-A</w:t>
      </w:r>
      <w:bookmarkEnd w:id="900558"/>
    </w:p>
    <w:p>
      <w:pPr>
        <w:pStyle w:val="Normal"/>
      </w:pPr>
      <w:r>
        <w:t xml:space="preserve">1. Article 19.17 (Interactive Computer Services) shall not apply with respect to Mexico until the date of three years after entry into force of this Agreement. 2. The Parties understand that Articles 145 and 146 of Mexico’s Ley Federal de Telecomunicaciones y Radiodifusión, as in force on the date of entry into force of this Agreement, are not inconsistent with Article 19.17.3 (Interactive Computer Services). In a dispute with respect to this article, subordinate measures adopted or maintained under the authority of and consistent with Articles 145 and 146 of Mexico’s Ley Federal de Telecomunicaciones y Radiodifusión shall be presumed to be not inconsistent with Article 19.17.3 (Interactive Computer Services). 3. The Parties understand that Mexico will comply with the obligations in Article 19.17.3 (Interactive Computer Services) in a manner that is both effective and consistent with Mexico’s Constitution (Constitución Política de los Estados Unidos Mexicanos), specifically Articles 6 and 7. 4.</w:t>
      </w:r>
    </w:p>
    <w:p>
      <w:pPr>
        <w:pStyle w:val="Normal"/>
      </w:pPr>
      <w:r>
        <w:t>For greater certainty, Article 19.17 (Interactive Computer Services) is subject to Article 32.1 (General Exceptions), which, among other things, provides that, for purposes of Chapter 19, the exception for measures necessary to protect public morals pursuant to paragraph (a) of Article XIV of GATS is incorporated into and made part of this Agreement, mutatis mutandis.</w:t>
      </w:r>
    </w:p>
    <w:p>
      <w:pPr>
        <w:pStyle w:val="Normal"/>
      </w:pPr>
      <w:r>
        <w:t>The Parties agree that measures necessary to protect against online sex trafficking, sexual exploitation of children, and prostitution, such as Public Law 115-164, the “Allow States and Victims to Fight Online Sex Trafficking Act of 2017,” which amends the Communications Act of 1934, and any relevant provisions of Ley General para Prevenir, Sancionar y Erradicar los Delitos en Materia de Trata de Personas y para la Protección y Asistencia a las Víctimas de estos delitos, are measures necessary to protect public morals. 19-A-1</w:t>
      </w:r>
    </w:p>
    <w:p>
      <w:pPr>
        <w:pStyle w:val="ModHeading"/>
      </w:pPr>
      <w:bookmarkStart w:id="900559" w:name="_Toc300000558"/>
      <w:r>
        <w:t>CHAPTER 19: CUSMA 2.0 MODERNIZATION PROVISIONS</w:t>
      </w:r>
      <w:bookmarkEnd w:id="900559"/>
    </w:p>
    <w:p>
      <w:pPr>
        <w:pStyle w:val="Normal"/>
      </w:pPr>
      <w:r>
        <w:rPr>
          <w:i/>
        </w:rPr>
        <w:t>The provisions of this Part amend Chapter 19 (Digital Trade). Articles 19.1 through 19.18 remain in force except as supplemented below.</w:t>
      </w:r>
    </w:p>
    <w:p>
      <w:pPr>
        <w:pStyle w:val="Heading2"/>
      </w:pPr>
      <w:bookmarkStart w:id="900560" w:name="_Toc300000559"/>
      <w:r>
        <w:t>Article 19.A: Scope Modernization</w:t>
      </w:r>
      <w:bookmarkEnd w:id="900560"/>
    </w:p>
    <w:p>
      <w:pPr>
        <w:pStyle w:val="Normal"/>
      </w:pPr>
      <w:r>
        <w:t>1. The Parties affirm that this Chapter applies to digital trade as conducted through contemporary and evolving technologies, including cloud computing, artificial-intelligence-enabled services, digital identity systems, and electronic payments, subject to the exceptions of this Agreement.</w:t>
      </w:r>
    </w:p>
    <w:p>
      <w:pPr>
        <w:pStyle w:val="Normal"/>
      </w:pPr>
      <w:r>
        <w:t>2. Nothing in this Chapter prevents a Party from regulating digital markets, artificial intelligence, or online services in the public interest, provided the measure is not applied in a manner constituting arbitrary or unjustifiable discrimination between the Parties’ persons, goods, or services, or a disguised restriction on trade.</w:t>
      </w:r>
    </w:p>
    <w:p>
      <w:pPr>
        <w:pStyle w:val="Normal"/>
      </w:pPr>
      <w:r>
        <w:t>3. Paragraph 2 does not create an independent exception to, or otherwise diminish, Articles 19.11 (Cross-Border Transfer of Information by Electronic Means), 19.12 (Location of Computing Facilities), 19.16 (Source Code), or another substantive obligation of this Chapter. A measure inconsistent with a substantive obligation remains permissible only to the extent that an exception, qualification, reservation, or other legal basis applicable to that obligation authorizes the measure. Where a substantive obligation contains its own public-policy test, necessity standard, or other conditions, those specific conditions govern the measure to the extent of any inconsistency with the general statement in paragraph 2. Paragraph 2 therefore confirms regulatory authority within the boundaries of this Agreement and shall not be construed to enlarge an exception or reduce a burden expressly established elsewhere in this Chapter.</w:t>
      </w:r>
    </w:p>
    <w:p>
      <w:pPr>
        <w:pStyle w:val="Normal"/>
      </w:pPr>
      <w:r>
        <w:t>4. GOVERNMENT INFORMATION AND PROCUREMENT SCOPE. Notwithstanding Article 19.2(3)(a) and (b), Articles 19.D, 19.G, 19.T, 19.U, and 19.X apply to government information, public information systems, and government procurement only to the extent expressly addressed by their own provisions, alongside Article 19.18 and Article 19.Z(2). This scope exception does not extend an unrelated Chapter 19 obligation to government-held information or create procurement market-access coverage beyond Chapter 13 or another express treaty obligation. Each listed Article retains its confidentiality, privacy, security, domestic-authority, regulated-sector, and voluntary-publication qualifications. In particular, Article 19.T(2)’s government AI procurement safeguards apply within their stated subject matter without creating a general disclosure duty or compelling procurement of a system.</w:t>
      </w:r>
    </w:p>
    <w:p>
      <w:pPr>
        <w:pStyle w:val="Heading2"/>
      </w:pPr>
      <w:bookmarkStart w:id="900561" w:name="_Toc300000560"/>
      <w:r>
        <w:t>Article 19.B: Cybersecurity Cooperation for Trade Infrastructure</w:t>
      </w:r>
      <w:bookmarkEnd w:id="900561"/>
    </w:p>
    <w:p>
      <w:pPr>
        <w:pStyle w:val="Normal"/>
      </w:pPr>
      <w:r>
        <w:t>1. The Parties shall establish mechanisms for: (a) rapid notification of cyber incidents materially affecting customs systems, ports, logistics infrastructure, electronic payment systems, or cross-border supply chains; (b) mutual assistance and technical coordination in response to such incidents; and (c) alignment of cybersecurity baselines for trade-critical infrastructure, building on existing national frameworks.</w:t>
      </w:r>
    </w:p>
    <w:p>
      <w:pPr>
        <w:pStyle w:val="Normal"/>
      </w:pPr>
      <w:r>
        <w:t>2. A Party’s cybersecurity measures shall not discriminate against the digital products or services of another Party except on documented, evidence-based security grounds, which are reviewable for procedural compliance under Chapter 31 without review of the Party’s security judgment.</w:t>
      </w:r>
    </w:p>
    <w:p>
      <w:pPr>
        <w:pStyle w:val="Normal"/>
      </w:pPr>
      <w:r>
        <w:t>3. CYBER COOPERATION IMPLEMENTATION. The Committee on Digital Trade Cooperation coordinates the mechanisms required by paragraph 1 through each Party’s designated competent cybersecurity and trade-infrastructure contact points. Within ninety days after the Protocol of Modernization enters into force, the Committee publishes the contact directory, incident-notification channels, assistance-request procedure, and work plan for baseline alignment. Pending a joint work plan, each Party maintains a contact capable of receiving incident notices and assistance requests and transmits trade-critical notices promptly through the Secretariat to the other contact points. These administrative mechanisms do not require transfer of classified information or compulsory operational assistance beyond this Article’s substantive obligations.</w:t>
      </w:r>
    </w:p>
    <w:p>
      <w:pPr>
        <w:pStyle w:val="Heading2"/>
      </w:pPr>
      <w:bookmarkStart w:id="900562" w:name="_Toc300000561"/>
      <w:r>
        <w:t>Article 19.C: Electronic Payments</w:t>
      </w:r>
      <w:bookmarkEnd w:id="900562"/>
    </w:p>
    <w:p>
      <w:pPr>
        <w:pStyle w:val="Normal"/>
      </w:pPr>
      <w:r>
        <w:t>1. Each Party shall permit the supply of electronic payment services by persons of another Party in accordance with Chapter 15 (Cross-Border Trade in Services) and Chapter 17 (Financial Services), and shall foster interoperability of payment systems, including real-time and cross-border retail payments.</w:t>
      </w:r>
    </w:p>
    <w:p>
      <w:pPr>
        <w:pStyle w:val="Normal"/>
      </w:pPr>
      <w:r>
        <w:t>2. A Party administers payment-service regulation, including licensing, prudential, anti-money-laundering, and consumer-protection requirements, in a non-discriminatory manner within the applicable chapter. For covered persons within Chapter 19 and outside Chapter 17, Article 19.11 governs cross-border information transfers and Article 19.12 governs location of computing facilities according to their respective terms. For covered persons within Chapter 17, Article 17.17 governs information transfers and Article 17.18 governs location of computing facilities and regulatory access to information. Paragraph 3 and the exceptions independently applicable under the controlling chapter remain in force.</w:t>
      </w:r>
    </w:p>
    <w:p>
      <w:pPr>
        <w:pStyle w:val="Normal"/>
      </w:pPr>
      <w:r>
        <w:t>3. For a payment service or covered person within the scope of Chapter 17 (Financial Services), Chapter 17, including Article 17.18 (Location of Computing Facilities) and its conditions, governs a requirement concerning the location of computing facilities or access to information. For a covered person within the scope of this Chapter and outside the scope of Chapter 17, Article 19.12 (Location of Computing Facilities) governs such a localization requirement. Paragraph 2 shall not be construed to import the rule in Article 19.12 into a financial-services activity to which Article 17.18 applies, or to displace a prudential or other exception lawfully available under Chapter 17. If Articles 19.C and 17.18 apply to the same measure and cannot be applied consistently, Article 17.18 controls to the extent of the inconsistency.</w:t>
      </w:r>
    </w:p>
    <w:p>
      <w:pPr>
        <w:pStyle w:val="Heading2"/>
      </w:pPr>
      <w:bookmarkStart w:id="900563" w:name="_Toc300000562"/>
      <w:r>
        <w:t>Article 19.D: Data Governance and Interoperability</w:t>
      </w:r>
      <w:bookmarkEnd w:id="900563"/>
    </w:p>
    <w:p>
      <w:pPr>
        <w:pStyle w:val="Normal"/>
      </w:pPr>
      <w:r>
        <w:t>1. The Parties shall cooperate on interoperable approaches to data governance, including privacy-framework interoperability, mechanisms for cross-border data transfers consistent with Article 19.8 and Article 19.11, and government-data portability for trade documentation.</w:t>
      </w:r>
    </w:p>
    <w:p>
      <w:pPr>
        <w:pStyle w:val="Normal"/>
      </w:pPr>
      <w:r>
        <w:t>2. The Parties reaffirm that Articles 19.11 (Cross-Border Transfer of Information by Electronic Means) and 19.12 (Location of Computing Facilities) remain in force according to their respective terms. The public-policy exception in Article 19.11(2) retains all its conditions, including its necessity discipline and its prohibition of arbitrary or unjustifiable discrimination or disguised restriction on trade. Article 19.12 contains no independent public-policy exception, and this Article creates none. Article 19.A(3) governs the relationship between the general regulatory statement and each substantive obligation.</w:t>
      </w:r>
    </w:p>
    <w:p>
      <w:pPr>
        <w:pStyle w:val="Heading2"/>
      </w:pPr>
      <w:bookmarkStart w:id="900564" w:name="_Toc300000563"/>
      <w:r>
        <w:t>Article 19.E: Digital Identity and Trust Services</w:t>
      </w:r>
      <w:bookmarkEnd w:id="900564"/>
    </w:p>
    <w:p>
      <w:pPr>
        <w:pStyle w:val="Normal"/>
      </w:pPr>
      <w:r>
        <w:t>1. Within 24 months after entry into force of the Protocol of Modernization, the Parties shall, through the Committee on Digital Trade Cooperation and competent domestic authorities, establish a framework for mutual recognition or interoperable acceptance of qualifying digital identity credentials, electronic signatures, seals, timestamps, and related trust services used in cross-border trade. Recognition shall depend on published criteria addressing, as applicable, identity proofing or attribute verification, authentication strength, credential integrity, issuer governance, revocation or status checking, security controls, privacy and data minimization, auditability, and available redress. A Party may refuse or condition recognition where a material difference in assurance, law, security, privacy, fraud risk, or regulated use makes recognition inappropriate, but shall provide the principal reasons and permit reconsideration when the deficiency is cured. Until the framework is operational, existing domestic and treaty rules continue to govern and no Party is required to recognize a credential solely because it was issued or accepted in another Party.</w:t>
      </w:r>
    </w:p>
    <w:p>
      <w:pPr>
        <w:pStyle w:val="Heading2"/>
      </w:pPr>
      <w:bookmarkStart w:id="900565" w:name="_Toc300000564"/>
      <w:r>
        <w:t>Article 19.F: Committee on Digital Trade Cooperation</w:t>
      </w:r>
      <w:bookmarkEnd w:id="900565"/>
    </w:p>
    <w:p>
      <w:pPr>
        <w:pStyle w:val="Normal"/>
      </w:pPr>
      <w:r>
        <w:t>1. The Parties establish a Committee on Digital Trade Cooperation, composed of senior officials of each Party, which shall: (a) oversee implementation of this Chapter as amended; (b) administer the Artificial Intelligence Regulatory Cooperation Track under Article 39.3; (c) address emerging digital-trade barriers; (d) adopt by consensus and publish the cybersecurity standards required by Annex 35-C, Part 3, and coordinate their implementation; and (e) report annually to the Commission.</w:t>
      </w:r>
    </w:p>
    <w:p>
      <w:pPr>
        <w:pStyle w:val="Normal"/>
      </w:pPr>
      <w:r>
        <w:t>2. REGISTRY CYBERSECURITY AUTHORITY AND BASELINE. For Annex 35-C, Part 3, the Committee on Digital Trade Cooperation is the standard-setting actor and adopts a published Registry cybersecurity standard within ninety days after the Protocol of Modernization enters into force. The Annex 35-C, Part 3 mandatory controls apply from Protocol commencement pending adoption, and Registry administrators maintain role-based least-privilege access, multi-factor authentication for privileged access, encryption in transit and at rest, tamper-evident access logs, tested backups and restoration, incident-response procedures, continuous security-event monitoring, periodic vulnerability assessment and remediation, and independent penetration testing at least annually. The adopted standard retains at least these controls, identifies responsible administrators, testing and assurance requirements, and version and effective-date rules, and does not authorize disclosure contrary to the Agreement. A failure to reach consensus leaves the interim baseline binding and does not suspend the Registry security obligation or the existing breach-notification clock.</w:t>
      </w:r>
    </w:p>
    <w:p>
      <w:pPr>
        <w:pStyle w:val="Heading2"/>
      </w:pPr>
      <w:bookmarkStart w:id="900566" w:name="_Toc300000565"/>
      <w:r>
        <w:t>Article 19.G: Open Government Data for Trade</w:t>
      </w:r>
      <w:bookmarkEnd w:id="900566"/>
    </w:p>
    <w:p>
      <w:pPr>
        <w:pStyle w:val="Normal"/>
      </w:pPr>
      <w:r>
        <w:t>1. Each Party shall endeavor to make publicly available, in machine-readable form, government data relevant to North American trade, including tariff data, TRQ utilization, border wait times, and trade statistics, consistent with Article 19.18 and Article 35.24.</w:t>
      </w:r>
    </w:p>
    <w:p>
      <w:pPr>
        <w:pStyle w:val="Heading2"/>
      </w:pPr>
      <w:bookmarkStart w:id="900567" w:name="_Toc300000566"/>
      <w:r>
        <w:t>Article 19.H: Digital Regulatory Interoperability and Verified Outcomes</w:t>
      </w:r>
      <w:bookmarkEnd w:id="900567"/>
    </w:p>
    <w:p>
      <w:pPr>
        <w:pStyle w:val="Normal"/>
      </w:pPr>
      <w:r>
        <w:t>1. The Parties retain authority to establish their own levels of privacy, safety, consumer, cultural, cybersecurity, artificial-intelligence, and other digital protection, while seeking interoperable standards, mutual or unilateral recognition of materially equivalent outcomes, portable evidence, and common technical interfaces where these can reduce unnecessary duplication without lowering a Party’s chosen level of protection.</w:t>
      </w:r>
    </w:p>
    <w:p>
      <w:pPr>
        <w:pStyle w:val="Normal"/>
      </w:pPr>
      <w:r>
        <w:t>2. Recognition shall be based on objective, published, technology-neutral criteria and may operate at the level of a framework, requirement, certification, audit, credential, or service. Foreign compliance shall not be deemed equivalent solely because it originates in another Party.</w:t>
      </w:r>
    </w:p>
    <w:p>
      <w:pPr>
        <w:pStyle w:val="Normal"/>
      </w:pPr>
      <w:r>
        <w:t>3. A person seeking recognition bears the initial burden of demonstrating satisfaction of applicable published criteria. Once demonstrated, compliance shall be presumed unless the competent authority identifies documented evidence sufficient to rebut that presumption.</w:t>
      </w:r>
    </w:p>
    <w:p>
      <w:pPr>
        <w:pStyle w:val="Normal"/>
      </w:pPr>
      <w:r>
        <w:t>3A. IDENTITY RECOGNITION INTERFACE. For digital identity credentials and trust services, the presumption in paragraph 3 applies only after the applicant demonstrates every published criterion relevant under Article 19.E. The receiving authority may rebut that showing with documented evidence of a material difference in assurance, law, security, privacy, fraud risk, or regulated use under Article 19.E(1). A difference in law requires an identified consequence for the recognition criterion rather than a bare assertion that domestic laws differ. Article 19.E(1) controls to the extent of any inconsistency and retains its reason-giving and reconsideration requirements.</w:t>
      </w:r>
    </w:p>
    <w:p>
      <w:pPr>
        <w:pStyle w:val="Normal"/>
      </w:pPr>
      <w:r>
        <w:t>4. Screening indicators create a basis for inquiry, not a presumption of violation. Material adverse consequences require an affirmative finding on the full record under the applicable procedure.</w:t>
      </w:r>
    </w:p>
    <w:p>
      <w:pPr>
        <w:pStyle w:val="Normal"/>
      </w:pPr>
      <w:r>
        <w:t>4A. DIGITAL ADVERSE FINDING PROCEDURE. A domestic recognition or compliance decision under this Article follows the competent regulator’s published procedure, with notice of the material adverse evidence, a reasonable opportunity to respond, reasons, and available domestic review. A treaty consequence follows the Chapter 31 procedure or other procedure independently authorizing that consequence, with its evidentiary and jurisdictional requirements intact. Screening indicators do not replace an affirmative finding by the actor authorized under the applicable procedure. This Article imports no Chapter 35 screening or remedy power merely through similar terminology.</w:t>
      </w:r>
    </w:p>
    <w:p>
      <w:pPr>
        <w:pStyle w:val="Normal"/>
      </w:pPr>
      <w:r>
        <w:t>5. Mutual recognition shall reduce duplicative compliance, not reduce the level of protection selected by a Party.</w:t>
      </w:r>
    </w:p>
    <w:p>
      <w:pPr>
        <w:pStyle w:val="Heading2"/>
      </w:pPr>
      <w:bookmarkStart w:id="900568" w:name="_Toc300000567"/>
      <w:r>
        <w:t>Article 19.I: Portable Compliance Evidence and Regulatory Reliance</w:t>
      </w:r>
      <w:bookmarkEnd w:id="900568"/>
    </w:p>
    <w:p>
      <w:pPr>
        <w:pStyle w:val="Normal"/>
      </w:pPr>
      <w:r>
        <w:t>1. Where a competent authority accepts a methodology for a regulatory purpose, it shall, where reasonably practicable, permit reliable audits, certifications, testing results, technical assessments, and other compliance evidence already produced under that methodology to be submitted and reused for the same or a materially comparable purpose. Acceptance of prior evidence does not require acceptance of a prior legal conclusion.</w:t>
      </w:r>
    </w:p>
    <w:p>
      <w:pPr>
        <w:pStyle w:val="Normal"/>
      </w:pPr>
      <w:r>
        <w:t>2. A Party may require supplementary or new evidence where material differences in law, risk, scope, population, technology, methodology, time elapsed, or identified deficiency reasonably justify it. A request that substantially duplicates evidence already accepted or available shall identify the material difference or deficiency that makes the additional work necessary.</w:t>
      </w:r>
    </w:p>
    <w:p>
      <w:pPr>
        <w:pStyle w:val="Normal"/>
      </w:pPr>
      <w:r>
        <w:t>3. Where a regulated person reasonably relies on a recognized standard or approval and a competent authority subsequently makes a material change that would render that reliance non-compliant, the authority shall provide a proportionate transition period or another lawful transition mechanism unless urgent evidence demonstrates a material risk requiring faster action. The authority shall identify the basis for any urgent departure from ordinary transition treatment.</w:t>
      </w:r>
    </w:p>
    <w:p>
      <w:pPr>
        <w:pStyle w:val="Normal"/>
      </w:pPr>
      <w:r>
        <w:t>4. An isolated, non-material good-faith compliance error that is promptly corrected shall not by itself require loss of recognition. This paragraph does not protect fraud, deliberate concealment, systematic non-compliance, exploitation, or severe unresolved risk.</w:t>
      </w:r>
    </w:p>
    <w:p>
      <w:pPr>
        <w:pStyle w:val="Heading2"/>
      </w:pPr>
      <w:bookmarkStart w:id="900569" w:name="_Toc300000568"/>
      <w:r>
        <w:t>Article 19.J: Child-Safe Digital Services and Incentive-Based Safety</w:t>
      </w:r>
      <w:bookmarkEnd w:id="900569"/>
    </w:p>
    <w:p>
      <w:pPr>
        <w:pStyle w:val="Normal"/>
      </w:pPr>
      <w:r>
        <w:t>1. The Parties recognize protection of minors online as a legitimate public-policy objective. Where a Party regulates covered digital services for child safety, its measures should, consistent with domestic law, favor performance-based, proportionate, non-discriminatory approaches that permit materially equivalent technical designs rather than prescribing a particular vendor or interface.</w:t>
      </w:r>
    </w:p>
    <w:p>
      <w:pPr>
        <w:pStyle w:val="Normal"/>
      </w:pPr>
      <w:r>
        <w:t>2. A Party may, under its domestic law, recognize a Child-Safe Mode or equivalent operating configuration as one means of demonstrating compliance with applicable child-safety requirements. Any recognition criteria shall be published and shall address, as relevant to the service and demonstrated risk, enhanced privacy, age-appropriate defaults, parental or guardian controls where appropriate, exposure to harmful content and interactions, high-risk engagement mechanisms, accessible reporting and remediation, and privacy-preserving age assurance. Recognition under this paragraph does not itself create or expand a domestic child-safety obligation.</w:t>
      </w:r>
    </w:p>
    <w:p>
      <w:pPr>
        <w:pStyle w:val="Normal"/>
      </w:pPr>
      <w:r>
        <w:t>3. A Party may provide lawful domestic incentives for verified child-safety research, development, deployment, or sustained performance, including expedited recognition, reduced duplicative audits, proportionate supervisory relief, procurement recognition, or fiscal incentives under domestic law. Participation is voluntary; this Agreement does not prescribe a tax-credit rate, expenditure level, procurement preference, or entitlement to an incentive.</w:t>
      </w:r>
    </w:p>
    <w:p>
      <w:pPr>
        <w:pStyle w:val="Normal"/>
      </w:pPr>
      <w:r>
        <w:t>4. Platforms shall remain free to use different technical designs where they demonstrate materially equivalent safety outcomes. No particular interface feature, recommender design, identity technology, or vendor is mandated by this Article.</w:t>
      </w:r>
    </w:p>
    <w:p>
      <w:pPr>
        <w:pStyle w:val="Normal"/>
      </w:pPr>
      <w:r>
        <w:t>5. Experimental status does not excuse compliance with applicable minimum requirements concerning child exploitation, privacy, emergency safety, or other binding child-protection law.</w:t>
      </w:r>
    </w:p>
    <w:p>
      <w:pPr>
        <w:pStyle w:val="Heading2"/>
      </w:pPr>
      <w:bookmarkStart w:id="900570" w:name="_Toc300000569"/>
      <w:r>
        <w:t>Article 19.K: Privacy-Preserving Age Assurance and Anonymous Adult Access</w:t>
      </w:r>
      <w:bookmarkEnd w:id="900570"/>
    </w:p>
    <w:p>
      <w:pPr>
        <w:pStyle w:val="Normal"/>
      </w:pPr>
      <w:r>
        <w:t>1. Where an age-based access rule applies, a Party should permit privacy-preserving methods capable of proving the required age threshold or age band without requiring disclosure of identity or exact birth date where such methods provide sufficient assurance.</w:t>
      </w:r>
    </w:p>
    <w:p>
      <w:pPr>
        <w:pStyle w:val="Normal"/>
      </w:pPr>
      <w:r>
        <w:t>2. A trusted issuer may establish an age attribute from an approved authoritative or independently verified source and issue a cryptographically protected credential disclosing only the minimum attribute necessary for the transaction.</w:t>
      </w:r>
    </w:p>
    <w:p>
      <w:pPr>
        <w:pStyle w:val="Normal"/>
      </w:pPr>
      <w:r>
        <w:t>3. A relying service shall not require a name, address, government identifier, exact date of birth, or other unrelated attribute solely to establish an age threshold where a sufficiently reliable minimal-disclosure credential is reasonably available.</w:t>
      </w:r>
    </w:p>
    <w:p>
      <w:pPr>
        <w:pStyle w:val="Normal"/>
      </w:pPr>
      <w:r>
        <w:t>4. Age-assurance data shall not be repurposed for advertising, unrelated profiling, recommendation optimization, credit scoring, commercial data enrichment, or unrelated identity analytics.</w:t>
      </w:r>
    </w:p>
    <w:p>
      <w:pPr>
        <w:pStyle w:val="Normal"/>
      </w:pPr>
      <w:r>
        <w:t>5. No Party shall require a centralized registry connecting identifiable individuals with lawful services, content, pages, queries, or activities for which age credentials are presented.</w:t>
      </w:r>
    </w:p>
    <w:p>
      <w:pPr>
        <w:pStyle w:val="Normal"/>
      </w:pPr>
      <w:r>
        <w:t>6. Credential systems should provide unlinkability across relying services and transactions to the maximum extent technically practicable and should separate the entity establishing eligibility from knowledge of the content or service subsequently accessed.</w:t>
      </w:r>
    </w:p>
    <w:p>
      <w:pPr>
        <w:pStyle w:val="Normal"/>
      </w:pPr>
      <w:r>
        <w:t>7. Satisfaction of an age-assurance requirement shall not by itself extinguish an adult’s ability to access lawful online content anonymously or pseudonymously.</w:t>
      </w:r>
    </w:p>
    <w:p>
      <w:pPr>
        <w:pStyle w:val="Normal"/>
      </w:pPr>
      <w:r>
        <w:t>8. Parties should permit multiple qualified issuers and interoperable open standards where consistent with domestic law, security, privacy, and fraud-prevention requirements.</w:t>
      </w:r>
    </w:p>
    <w:p>
      <w:pPr>
        <w:pStyle w:val="Heading2"/>
      </w:pPr>
      <w:bookmarkStart w:id="900571" w:name="_Toc300000570"/>
      <w:r>
        <w:t>Article 19.L: Digital Content and Function Risk Bands</w:t>
      </w:r>
      <w:bookmarkEnd w:id="900571"/>
    </w:p>
    <w:p>
      <w:pPr>
        <w:pStyle w:val="Normal"/>
      </w:pPr>
      <w:r>
        <w:t>1. The Parties may develop interoperable risk bands for digital content and functions while retaining domestic classification labels and cultural-policy authority.</w:t>
      </w:r>
    </w:p>
    <w:p>
      <w:pPr>
        <w:pStyle w:val="Normal"/>
      </w:pPr>
      <w:r>
        <w:t>2. Risk bands may distinguish general access, age-appropriate safeguards, enhanced minor protections, mature-content controls, and adult-only access. A Party need not classify an entire platform at the same level where particular functions or content can be classified separately.</w:t>
      </w:r>
    </w:p>
    <w:p>
      <w:pPr>
        <w:pStyle w:val="Normal"/>
      </w:pPr>
      <w:r>
        <w:t>3. A service may satisfy applicable requirements through function-level access controls, a verified Child-Safe Mode, privacy-preserving age assurance, or a combination of methods that achieves the required outcome.</w:t>
      </w:r>
    </w:p>
    <w:p>
      <w:pPr>
        <w:pStyle w:val="Normal"/>
      </w:pPr>
      <w:r>
        <w:t>4. Classification and access-control measures shall be transparent, reviewable, proportionate to demonstrated risk, and administered without discrimination based on nationality or ownership.</w:t>
      </w:r>
    </w:p>
    <w:p>
      <w:pPr>
        <w:pStyle w:val="Heading2"/>
      </w:pPr>
      <w:bookmarkStart w:id="900572" w:name="_Toc300000571"/>
      <w:r>
        <w:t>Article 19.M: Interactive Artificial Intelligence and Minor Safety</w:t>
      </w:r>
      <w:bookmarkEnd w:id="900572"/>
    </w:p>
    <w:p>
      <w:pPr>
        <w:pStyle w:val="Normal"/>
      </w:pPr>
      <w:r>
        <w:t>1. Child-safety provisions of this Chapter apply, where relevant, to interactive artificial-intelligence services and AI-enabled social or companion services as well as conventional online platforms.</w:t>
      </w:r>
    </w:p>
    <w:p>
      <w:pPr>
        <w:pStyle w:val="Normal"/>
      </w:pPr>
      <w:r>
        <w:t>2. Competent authorities may require proportionate safeguards for services capable of generating or facilitating adult sexual content, severe violence, self-harm encouragement, exploitation, predatory interaction, or other categories designated under domestic law.</w:t>
      </w:r>
    </w:p>
    <w:p>
      <w:pPr>
        <w:pStyle w:val="Normal"/>
      </w:pPr>
      <w:r>
        <w:t>3. Parties should permit service-level or function-level safety modes and privacy-preserving age assurance rather than requiring disclosure of identity where a less intrusive method provides sufficient protection.</w:t>
      </w:r>
    </w:p>
    <w:p>
      <w:pPr>
        <w:pStyle w:val="Normal"/>
      </w:pPr>
      <w:r>
        <w:t>4. Nothing in this Article requires a Party to permit content or conduct prohibited by its law.</w:t>
      </w:r>
    </w:p>
    <w:p>
      <w:pPr>
        <w:pStyle w:val="Heading2"/>
      </w:pPr>
      <w:bookmarkStart w:id="900573" w:name="_Toc300000572"/>
      <w:r>
        <w:t>Article 19.N: Encryption, Source Code, and Security-by-Design</w:t>
      </w:r>
      <w:bookmarkEnd w:id="900573"/>
    </w:p>
    <w:p>
      <w:pPr>
        <w:pStyle w:val="Normal"/>
      </w:pPr>
      <w:r>
        <w:t>1. No Party shall require a provider, as a condition of ordinary market access, to introduce a systemic vulnerability, universal decryption capability, or deliberately weakened encryption into a lawful product or service.</w:t>
      </w:r>
    </w:p>
    <w:p>
      <w:pPr>
        <w:pStyle w:val="Normal"/>
      </w:pPr>
      <w:r>
        <w:t>2. Paragraph 1 does not prevent lawful investigative, judicial, or national-security measures consistent with a Party’s law, provided such measures do not operate as a disguised requirement for a systemic weakness as a condition of market access.</w:t>
      </w:r>
    </w:p>
    <w:p>
      <w:pPr>
        <w:pStyle w:val="Normal"/>
      </w:pPr>
      <w:r>
        <w:t>3. Algorithmic or AI accountability may require documentation, testing results, risk assessments, audit access under appropriate confidentiality, or explanations of material system behavior, but shall not ordinarily require public disclosure or transfer of proprietary source code, model weights, or trade secrets except under the conditions permitted by Article 19.16 and applicable law.</w:t>
      </w:r>
    </w:p>
    <w:p>
      <w:pPr>
        <w:pStyle w:val="Normal"/>
      </w:pPr>
      <w:r>
        <w:t>4. The Parties shall encourage secure-by-design and secure-by-default practices, proportionate vulnerability management, and interoperable cybersecurity baselines.</w:t>
      </w:r>
    </w:p>
    <w:p>
      <w:pPr>
        <w:pStyle w:val="Heading2"/>
      </w:pPr>
      <w:bookmarkStart w:id="900574" w:name="_Toc300000573"/>
      <w:r>
        <w:t>Article 19.O: Cybersecurity Interoperability and Reusable Assurance</w:t>
      </w:r>
      <w:bookmarkEnd w:id="900574"/>
    </w:p>
    <w:p>
      <w:pPr>
        <w:pStyle w:val="Normal"/>
      </w:pPr>
      <w:r>
        <w:t>1. The Parties shall encourage interoperability among recognized cybersecurity frameworks and common concepts for incident severity, critical-infrastructure resilience, secure development, identity and access management, and supply-chain security.</w:t>
      </w:r>
    </w:p>
    <w:p>
      <w:pPr>
        <w:pStyle w:val="Normal"/>
      </w:pPr>
      <w:r>
        <w:t>2. A recognized independent cybersecurity assessment should be reusable across jurisdictions to the extent its scope and methodology satisfy the receiving authority’s requirements.</w:t>
      </w:r>
    </w:p>
    <w:p>
      <w:pPr>
        <w:pStyle w:val="Normal"/>
      </w:pPr>
      <w:r>
        <w:t>3. Cybersecurity requirements shall be evidence-based, risk-proportionate, and non-discriminatory and shall not require localization except where permitted by this Agreement.</w:t>
      </w:r>
    </w:p>
    <w:p>
      <w:pPr>
        <w:pStyle w:val="Normal"/>
      </w:pPr>
      <w:r>
        <w:t>4. The Parties shall facilitate practical cybersecurity assistance for small and medium-sized enterprises through existing programs and institutions.</w:t>
      </w:r>
    </w:p>
    <w:p>
      <w:pPr>
        <w:pStyle w:val="Heading2"/>
      </w:pPr>
      <w:bookmarkStart w:id="900575" w:name="_Toc300000574"/>
      <w:r>
        <w:t>Article 19.P: Artificial Intelligence Capability and Productivity</w:t>
      </w:r>
      <w:bookmarkEnd w:id="900575"/>
    </w:p>
    <w:p>
      <w:pPr>
        <w:pStyle w:val="Normal"/>
      </w:pPr>
      <w:r>
        <w:t>1. The Parties recognize artificial intelligence as a general-purpose technology capable of materially increasing scientific discovery, productivity, public-service capacity, healthcare capability, industrial competitiveness, accessibility, entrepreneurship, and economic growth.</w:t>
      </w:r>
    </w:p>
    <w:p>
      <w:pPr>
        <w:pStyle w:val="Normal"/>
      </w:pPr>
      <w:r>
        <w:t>2. Cooperation under this Article is voluntary and may include responsible development, adoption, diffusion, experimentation, and beneficial use of artificial intelligence among small and medium-sized enterprises, workers, students, educators, researchers, healthcare institutions, manufacturers, farms, logistics providers, and public authorities. A Party may select the sectors, programs, instruments, and level of participation appropriate to its domestic priorities and resources.</w:t>
      </w:r>
    </w:p>
    <w:p>
      <w:pPr>
        <w:pStyle w:val="Normal"/>
      </w:pPr>
      <w:r>
        <w:t>3. Where a Party chooses to cooperate under paragraph 2, implementation should, where appropriate, favor experimentation, interoperability, competition, modularity, reusable evidence, workforce development, and measurable improvements in capability or productivity. No numerical adoption, spending, employment, training, or productivity target is created by this Article.</w:t>
      </w:r>
    </w:p>
    <w:p>
      <w:pPr>
        <w:pStyle w:val="Normal"/>
      </w:pPr>
      <w:r>
        <w:t>4. Safety, privacy, cybersecurity, and accountability requirements applicable to AI remain determined under each Party's law and the binding provisions of this Agreement. Cooperation under this Article shall not be used to weaken those requirements or to discriminate against a lawful product or service of another Party solely because of nationality.</w:t>
      </w:r>
    </w:p>
    <w:p>
      <w:pPr>
        <w:pStyle w:val="Normal"/>
      </w:pPr>
      <w:r>
        <w:t>5. Nothing in this Article requires a Party to adopt a particular model, vendor, technical architecture, or regulatory system.</w:t>
      </w:r>
    </w:p>
    <w:p>
      <w:pPr>
        <w:pStyle w:val="Heading2"/>
      </w:pPr>
      <w:bookmarkStart w:id="900576" w:name="_Toc300000575"/>
      <w:r>
        <w:t>Article 19.Q: North American AI Literacy, Skills, and Opportunity</w:t>
      </w:r>
      <w:bookmarkEnd w:id="900576"/>
    </w:p>
    <w:p>
      <w:pPr>
        <w:pStyle w:val="Normal"/>
      </w:pPr>
      <w:r>
        <w:t>1. The Parties recognize broad AI literacy and practical AI capability as strategic foundations of North American competitiveness.</w:t>
      </w:r>
    </w:p>
    <w:p>
      <w:pPr>
        <w:pStyle w:val="Normal"/>
      </w:pPr>
      <w:r>
        <w:t>2. Subject to the constitutional allocation of education authority, domestic priorities, and available resources, the Parties may cooperate to expand accessible AI education and training through schools, colleges, universities, vocational institutions, apprenticeships, work-integrated learning, professional development, community programs, and online resources. Cooperation may include exchange of non-binding curricula, educator resources, evaluation methods, and evidence concerning effective training.</w:t>
      </w:r>
    </w:p>
    <w:p>
      <w:pPr>
        <w:pStyle w:val="Normal"/>
      </w:pPr>
      <w:r>
        <w:t>3. For cooperation under this Article, AI fluency may include effective use of AI tools and agents; prompt and workflow design; verification of important outputs; data and privacy practices; cybersecurity; synthetic-media awareness; understanding model capabilities and limitations; and appropriate human accountability. This illustrative list does not establish a curriculum, licensing standard, or condition of employment.</w:t>
      </w:r>
    </w:p>
    <w:p>
      <w:pPr>
        <w:pStyle w:val="Normal"/>
      </w:pPr>
      <w:r>
        <w:t>4. The Parties shall encourage open and modular educational resources, educator training, student competitions, practical industry projects, and pathways from introductory literacy to advanced technical skills.</w:t>
      </w:r>
    </w:p>
    <w:p>
      <w:pPr>
        <w:pStyle w:val="Normal"/>
      </w:pPr>
      <w:r>
        <w:t>5. No provision of this Article establishes a mandatory continental curriculum or graduation requirement.</w:t>
      </w:r>
    </w:p>
    <w:p>
      <w:pPr>
        <w:pStyle w:val="Heading2"/>
      </w:pPr>
      <w:bookmarkStart w:id="900577" w:name="_Toc300000576"/>
      <w:r>
        <w:t>Article 19.R: Portable AI Credentials and Workforce Mobility</w:t>
      </w:r>
      <w:bookmarkEnd w:id="900577"/>
    </w:p>
    <w:p>
      <w:pPr>
        <w:pStyle w:val="Normal"/>
      </w:pPr>
      <w:r>
        <w:t>1. The Parties may facilitate transparent and interoperable recognition of credible academic, vocational, professional, and industry credentials demonstrating artificial-intelligence, cybersecurity, data, and related digital competencies through existing education, professional-recognition, standards, and temporary-entry mechanisms.</w:t>
      </w:r>
    </w:p>
    <w:p>
      <w:pPr>
        <w:pStyle w:val="Normal"/>
      </w:pPr>
      <w:r>
        <w:t>2. Recognition may include microcredentials, certificates, apprenticeships, prior-learning assessments, and competency-based qualifications. Nothing in this Article requires a competent educational, licensing, immigration, or professional body to recognize a credential it has not determined to be equivalent under its applicable law or procedures.</w:t>
      </w:r>
    </w:p>
    <w:p>
      <w:pPr>
        <w:pStyle w:val="Normal"/>
      </w:pPr>
      <w:r>
        <w:t>3. The Parties may exchange information and cooperate on reskilling and transition pathways for workers whose occupations are materially transformed by artificial intelligence, including short-cycle credentials, apprenticeships, employer partnerships, and work-integrated learning. Such cooperation does not create an individual right to training, funding, employment, or temporary entry.</w:t>
      </w:r>
    </w:p>
    <w:p>
      <w:pPr>
        <w:pStyle w:val="Normal"/>
      </w:pPr>
      <w:r>
        <w:t>4. Cooperation should seek to expand access for SMEs, rural and remote communities, Indigenous communities, underserved regions, and workers without requiring creation of a new standing institution.</w:t>
      </w:r>
    </w:p>
    <w:p>
      <w:pPr>
        <w:pStyle w:val="Heading2"/>
      </w:pPr>
      <w:bookmarkStart w:id="900578" w:name="_Toc300000577"/>
      <w:r>
        <w:t>Article 19.S: SME Artificial Intelligence Diffusion</w:t>
      </w:r>
      <w:bookmarkEnd w:id="900578"/>
    </w:p>
    <w:p>
      <w:pPr>
        <w:pStyle w:val="Normal"/>
      </w:pPr>
      <w:r>
        <w:t>1. The Parties may cooperate, through existing SME and digital-economy programs, to reduce avoidable barriers to productive adoption of artificial intelligence and related digital tools by small and medium-sized enterprises. Cooperation shall not require a Party to subsidize adoption, provide compute capacity, or alter a generally applicable safety, privacy, cybersecurity, competition, or sectoral rule.</w:t>
      </w:r>
    </w:p>
    <w:p>
      <w:pPr>
        <w:pStyle w:val="Normal"/>
      </w:pPr>
      <w:r>
        <w:t>2. Participating programs may provide practical training, cybersecurity assistance, technical guidance, access to interoperable tools, demonstration projects, cloud or compute guidance, and connections to educational or research institutions, subject to domestic law, eligibility rules, and available resources.</w:t>
      </w:r>
    </w:p>
    <w:p>
      <w:pPr>
        <w:pStyle w:val="Normal"/>
      </w:pPr>
      <w:r>
        <w:t>3. AI adoption support shall remain vendor-neutral and should promote portability, competition, and avoidance of unnecessary lock-in.</w:t>
      </w:r>
    </w:p>
    <w:p>
      <w:pPr>
        <w:pStyle w:val="Heading2"/>
      </w:pPr>
      <w:bookmarkStart w:id="900579" w:name="_Toc300000578"/>
      <w:r>
        <w:t>Article 19.T: AI-Ready Public Data and Modular Government Technology</w:t>
      </w:r>
      <w:bookmarkEnd w:id="900579"/>
    </w:p>
    <w:p>
      <w:pPr>
        <w:pStyle w:val="Normal"/>
      </w:pPr>
      <w:r>
        <w:t>1. A Party may modernize public information systems to support structured, documented, secure, and interoperable data interfaces capable of responsible use by authorized automated systems and artificial-intelligence tools. Any such modernization remains subject to domestic authority, appropriations, security classification, privacy, records-management, accessibility, and public-law requirements.</w:t>
      </w:r>
    </w:p>
    <w:p>
      <w:pPr>
        <w:pStyle w:val="Normal"/>
      </w:pPr>
      <w:r>
        <w:t>2. Public authorities may, where appropriate and consistent with procurement law, consider modular architectures, documented interfaces, data portability, reasonable substitution of components, and interoperability in government AI procurement to reduce avoidable vendor lock-in. This paragraph does not require disclosure of protected source code, model weights, trade secrets, security information, or procurement-sensitive information and does not create a procurement preference or award entitlement.</w:t>
      </w:r>
    </w:p>
    <w:p>
      <w:pPr>
        <w:pStyle w:val="Normal"/>
      </w:pPr>
      <w:r>
        <w:t>3. Parties may maintain catalogues of reusable technical patterns, evaluations, and lessons learned through existing government knowledge systems rather than creating duplicative standing bodies. Participation in or reliance on such catalogues is voluntary unless domestic law provides otherwise.</w:t>
      </w:r>
    </w:p>
    <w:p>
      <w:pPr>
        <w:pStyle w:val="Normal"/>
      </w:pPr>
      <w:r>
        <w:t>4. Procurement shall remain subject to applicable security, privacy, accessibility, competition, records-management, and public-law requirements.</w:t>
      </w:r>
    </w:p>
    <w:p>
      <w:pPr>
        <w:pStyle w:val="Heading2"/>
      </w:pPr>
      <w:bookmarkStart w:id="900580" w:name="_Toc300000579"/>
      <w:r>
        <w:t>Article 19.U: AI Productivity Dividend and Experimental Public-Service Adoption</w:t>
      </w:r>
      <w:bookmarkEnd w:id="900580"/>
    </w:p>
    <w:p>
      <w:pPr>
        <w:pStyle w:val="Normal"/>
      </w:pPr>
      <w:r>
        <w:t>1. Public authorities may, under domestic law and available appropriations, use staged pilots to test whether AI can improve service quality, accessibility, processing speed, backlog management, analytical capability, or employee productivity in identified administrative functions. A pilot shall not itself expand the legal authority of the public body, determine an individual's legal rights or liabilities outside applicable law, or displace required human review.</w:t>
      </w:r>
    </w:p>
    <w:p>
      <w:pPr>
        <w:pStyle w:val="Normal"/>
      </w:pPr>
      <w:r>
        <w:t>2. A participating authority should establish a baseline and identify in advance the outcomes relevant to the pilot, which may include hours saved, processing time, backlog reduction, error rates, service availability, cost per completed case, employee workload, citizen wait time, and quality changes. Results should record material adverse outcomes as well as benefits and should be retained in a form suitable for later evaluation.</w:t>
      </w:r>
    </w:p>
    <w:p>
      <w:pPr>
        <w:pStyle w:val="Normal"/>
      </w:pPr>
      <w:r>
        <w:t>3. A successful pilot may be scaled only through the Experimental Technology Pathway or applicable domestic authorization, procurement, privacy, security, labor, records-management, and appropriations procedures. An unsuccessful pilot creates no presumption that the underlying use case must be retried or funded.</w:t>
      </w:r>
    </w:p>
    <w:p>
      <w:pPr>
        <w:pStyle w:val="Normal"/>
      </w:pPr>
      <w:r>
        <w:t>4. AI-generated work remains attributable to the responsible public authority; use of AI does not eliminate legal accountability.</w:t>
      </w:r>
    </w:p>
    <w:p>
      <w:pPr>
        <w:pStyle w:val="Heading2"/>
      </w:pPr>
      <w:bookmarkStart w:id="900581" w:name="_Toc300000580"/>
      <w:r>
        <w:t>Article 19.V: AI-Enabled Health Innovation and Interoperability</w:t>
      </w:r>
      <w:bookmarkEnd w:id="900581"/>
    </w:p>
    <w:p>
      <w:pPr>
        <w:pStyle w:val="Normal"/>
      </w:pPr>
      <w:r>
        <w:t>1. The Parties may cooperate, through existing health, research, standards, and regulatory institutions, on responsible uses of artificial intelligence that may reduce administrative burden, improve clinical information retrieval and documentation, accelerate research, support earlier detection of disease, strengthen clinical decision support, or improve public-health preparedness. Cooperation is subject to domestic health authority, applicable law, ethics requirements, and available resources and does not require deployment of a particular system or clinical use case.</w:t>
      </w:r>
    </w:p>
    <w:p>
      <w:pPr>
        <w:pStyle w:val="Normal"/>
      </w:pPr>
      <w:r>
        <w:t>2. Cooperation may include interoperable health-data standards such as FHIR or successor standards; structured extraction from unstructured clinical records; voice-to-record documentation; rare-disease and oncology research; validated early-warning systems; frailty and risk screening; and medical-AI evaluation methodologies. References to particular standards or use cases are illustrative and do not incorporate a private standard into binding law unless a Party separately adopts it through its applicable procedures.</w:t>
      </w:r>
    </w:p>
    <w:p>
      <w:pPr>
        <w:pStyle w:val="Normal"/>
      </w:pPr>
      <w:r>
        <w:t>3. Medical AI shall remain subject to applicable privacy, professional, medical-device, clinical-safety, research-ethics, and health-information requirements.</w:t>
      </w:r>
    </w:p>
    <w:p>
      <w:pPr>
        <w:pStyle w:val="Normal"/>
      </w:pPr>
      <w:r>
        <w:t>4. Where practicable, sensitive health-data collaboration should favor federated, distributed, privacy-enhancing, or other architectures that move approved computation to protected data rather than centralizing identifiable records.</w:t>
      </w:r>
    </w:p>
    <w:p>
      <w:pPr>
        <w:pStyle w:val="Normal"/>
      </w:pPr>
      <w:r>
        <w:t>5. AI systems intended for clinical use should be validated for the relevant population, setting, and function and monitored after deployment where appropriate. Cross-border cooperation shall not substitute for required domestic authorization.</w:t>
      </w:r>
    </w:p>
    <w:p>
      <w:pPr>
        <w:pStyle w:val="Normal"/>
      </w:pPr>
      <w:r>
        <w:t>6. Clinical decision support may retrieve, synthesize, flag, predict, or recommend within applicable law; this Article does not itself authorize autonomous clinical practice.</w:t>
      </w:r>
    </w:p>
    <w:p>
      <w:pPr>
        <w:pStyle w:val="Heading2"/>
      </w:pPr>
      <w:bookmarkStart w:id="900582" w:name="_Toc300000581"/>
      <w:r>
        <w:t>Article 19.W: North American Medical AI Evaluation and Research Evidence</w:t>
      </w:r>
      <w:bookmarkEnd w:id="900582"/>
    </w:p>
    <w:p>
      <w:pPr>
        <w:pStyle w:val="Normal"/>
      </w:pPr>
      <w:r>
        <w:t>1. The Parties may cooperate through existing health, research, standards, and regulatory institutions on interoperable evaluation methods for medical AI covering accuracy, calibration, robustness, privacy, cybersecurity, clinical utility, workflow impact, and performance across relevant populations. A receiving competent authority retains authority to determine whether a methodology is acceptable for its regulatory purpose.</w:t>
      </w:r>
    </w:p>
    <w:p>
      <w:pPr>
        <w:pStyle w:val="Normal"/>
      </w:pPr>
      <w:r>
        <w:t>2. Approved research may use de-identified, anonymized, synthetic, federated, or privacy-enhancing data approaches consistent with applicable law. Nothing in this Article requires creation of a centralized continental medical-record database.</w:t>
      </w:r>
    </w:p>
    <w:p>
      <w:pPr>
        <w:pStyle w:val="Normal"/>
      </w:pPr>
      <w:r>
        <w:t>3. Evaluation evidence generated under a methodology accepted by a receiving competent authority should be reusable where relevant. Supplementary testing may be required where material differences in population, clinical setting, device configuration, intended use, data quality, time elapsed, or identified safety concern reasonably justify it; the receiving authority should identify the basis for materially duplicative additional testing.</w:t>
      </w:r>
    </w:p>
    <w:p>
      <w:pPr>
        <w:pStyle w:val="Normal"/>
      </w:pPr>
      <w:r>
        <w:t>4. The Parties may cooperate on rare diseases, cancer, sepsis, public-health surveillance, and other high-value areas through existing health, research, and regulatory institutions.</w:t>
      </w:r>
    </w:p>
    <w:p>
      <w:pPr>
        <w:pStyle w:val="Heading2"/>
      </w:pPr>
      <w:bookmarkStart w:id="900583" w:name="_Toc300000582"/>
      <w:r>
        <w:t>Article 19.X: AI Vendor Interoperability, Competition, and Open Interfaces</w:t>
      </w:r>
      <w:bookmarkEnd w:id="900583"/>
    </w:p>
    <w:p>
      <w:pPr>
        <w:pStyle w:val="Normal"/>
      </w:pPr>
      <w:r>
        <w:t>1. The Parties recognize that modular and interoperable AI architectures can improve competition, reduce switching costs, and accelerate adoption of improved models and services.</w:t>
      </w:r>
    </w:p>
    <w:p>
      <w:pPr>
        <w:pStyle w:val="Normal"/>
      </w:pPr>
      <w:r>
        <w:t>2. Public-sector and cooperative programs may, where appropriate and consistent with applicable procurement, competition, security, and intellectual-property law, support documented interfaces, common data formats, model substitution, portable evaluations, and multi-vendor integration. This Article does not require a public authority to purchase, replace, or integrate a particular system.</w:t>
      </w:r>
    </w:p>
    <w:p>
      <w:pPr>
        <w:pStyle w:val="Normal"/>
      </w:pPr>
      <w:r>
        <w:t>3. Nothing in this Article requires disclosure of proprietary source code, model weights, trade secrets, or confidential security information.</w:t>
      </w:r>
    </w:p>
    <w:p>
      <w:pPr>
        <w:pStyle w:val="Normal"/>
      </w:pPr>
      <w:r>
        <w:t>4. Interoperability requirements shall be proportionate and shall not be designed to advantage a domestic vendor or exclude a supplier solely on nationality grounds.</w:t>
      </w:r>
    </w:p>
    <w:p>
      <w:pPr>
        <w:pStyle w:val="Heading2"/>
      </w:pPr>
      <w:bookmarkStart w:id="900584" w:name="_Toc300000583"/>
      <w:r>
        <w:t>Article 19.Y: Functional Classification of Digital Financial Services</w:t>
      </w:r>
      <w:bookmarkEnd w:id="900584"/>
    </w:p>
    <w:p>
      <w:pPr>
        <w:pStyle w:val="Normal"/>
      </w:pPr>
      <w:r>
        <w:t>1. Where a digital product or service performs a regulated financial function, the applicable treatment shall be determined principally by the function performed and relevant risk rather than solely by the provider’s characterization as a technology or financial company.</w:t>
      </w:r>
    </w:p>
    <w:p>
      <w:pPr>
        <w:pStyle w:val="Normal"/>
      </w:pPr>
      <w:r>
        <w:t>2. Where classification of an electronic payment, digital wallet, tokenized instrument, stable-value instrument, or successor technology materially affects whether Chapter 17 or this Chapter applies, the competent authorities of the Parties shall, on request through existing financial-services and digital-trade mechanisms, consult to identify the principally applicable chapter and any overlapping obligations. Consultation does not limit a Party's prudential or other lawful financial-regulatory authority and does not delay an otherwise applicable domestic measure.</w:t>
      </w:r>
    </w:p>
    <w:p>
      <w:pPr>
        <w:pStyle w:val="Normal"/>
      </w:pPr>
      <w:r>
        <w:t>3. Nothing in this Article limits prudential, anti-money-laundering, sanctions, consumer-protection, market-integrity, or financial-stability measures otherwise permitted by this Agreement.</w:t>
      </w:r>
    </w:p>
    <w:p>
      <w:pPr>
        <w:pStyle w:val="Normal"/>
      </w:pPr>
      <w:r>
        <w:t>4. FINANCIAL SCOPE AND CLASSIFICATION. Paragraph 1 guides characterization of the function and risk within the scope rules of Articles 17.2, 19.1, and 19.2 and does not redefine a covered person or financial institution. Article 19.C(3) continues to allocate location and access requirements, and Article 17.17 governs information transfers of covered persons within Chapter 17. Each competent domestic authority decides classification within its jurisdiction under those scope rules and gives reasons identifying the relevant entity and function. A Party may contest the treaty classification through otherwise available Chapter 31 procedures, and consultation alone does not create a new common regulator or suspend an applicable obligation.</w:t>
      </w:r>
    </w:p>
    <w:p>
      <w:pPr>
        <w:pStyle w:val="Heading2"/>
      </w:pPr>
      <w:bookmarkStart w:id="900585" w:name="_Toc300000584"/>
      <w:r>
        <w:t>Article 19.Z: Existing-Institution Presumption for Digital and AI Cooperation</w:t>
      </w:r>
      <w:bookmarkEnd w:id="900585"/>
    </w:p>
    <w:p>
      <w:pPr>
        <w:pStyle w:val="Normal"/>
      </w:pPr>
      <w:r>
        <w:t>1. Articles 19.H through 19.Y shall be implemented, to the maximum extent practicable, through the Free Trade Commission, the Committee on Digital Trade Cooperation established by Article 19.F, competent domestic regulators, existing education, health, research, cybersecurity, standards, and SME institutions, and other mechanisms already established by this Agreement.</w:t>
      </w:r>
    </w:p>
    <w:p>
      <w:pPr>
        <w:pStyle w:val="Normal"/>
      </w:pPr>
      <w:r>
        <w:t>2. No new standing council, secretariat, summit body, task force, registry authority, fellowship administration, innovation fund, or permanent network is created by Articles 19.H through 19.Y unless the Parties expressly establish one through applicable implementation or amendment procedures after determining that existing institutions cannot efficiently perform the function. Articles 19.P through 19.X are cooperative or enabling provisions except to the extent that a paragraph expressly states a binding prohibition or procedural safeguard. A Party's decision not to fund, pilot, procure, teach, deploy, or participate in an activity authorized only by those cooperative provisions does not constitute non-compliance, reduce unrelated benefits, or authorize retaliation.</w:t>
      </w:r>
    </w:p>
    <w:p>
      <w:pPr>
        <w:pStyle w:val="Normal"/>
      </w:pPr>
      <w:r>
        <w:t>3. The Committee on Digital Trade Cooperation should coordinate rather than duplicate the jurisdiction of specialized regulators and may designate time-limited technical workstreams using existing personnel.</w:t>
      </w:r>
    </w:p>
    <w:p>
      <w:pPr>
        <w:pStyle w:val="Normal"/>
      </w:pPr>
      <w:r>
        <w:t>4. Cooperative projects remain subject to available resources and do not compel an appropriation of public funds.</w:t>
      </w:r>
    </w:p>
    <w:p>
      <w:pPr>
        <w:pStyle w:val="Heading1"/>
      </w:pPr>
      <w:bookmarkStart w:id="1200009" w:name="_Toc901200009"/>
      <w:r>
        <w:t>CHAPTER 20 INTELLECTUAL PROPERTY RIGHTS</w:t>
        <w:br/>
        <w:t>Section A: General Provisions</w:t>
      </w:r>
      <w:bookmarkEnd w:id="1200009"/>
    </w:p>
    <w:p>
      <w:pPr>
        <w:pStyle w:val="Heading2"/>
      </w:pPr>
      <w:bookmarkStart w:id="1200010" w:name="_Toc901200010"/>
      <w:r>
        <w:t>Article 20.1: Definitions</w:t>
      </w:r>
      <w:bookmarkEnd w:id="1200010"/>
    </w:p>
    <w:p>
      <w:pPr>
        <w:pStyle w:val="Normal"/>
      </w:pPr>
      <w:r>
        <w:t>1. For the purposes of this Chapter: Berne Convention means the Berne Convention for the Protection of Literary and Artistic Works, done at Berne on September 9, 1886, as revised at Paris on July 24, 1971; Brussels Convention means the Convention Relating to the Distribution of Programme- Carrying Signals Transmitted by Satellite, done at Brussels on May 21, 1974; Budapest Treaty means the Budapest Treaty on the International Recognition of the Deposit of Microorganisms for the Purposes of Patent Procedure (1977), done at Budapest on April 28, 1977, as amended on September 26, 1980; Declaration on TRIPS and Public Health means the Declaration on the TRIPS Agreement and Public Health (WT/MIN(01)/DEC/2), adopted on November 14, 2001; geographical indication means an indication that identifies a good as originating in the territory of a Party, or a region or locality in that territory, where a given quality, reputation, or other characteristic of the good is essentially attributable to its geographical origin;</w:t>
      </w:r>
    </w:p>
    <w:p>
      <w:pPr>
        <w:pStyle w:val="Normal"/>
      </w:pPr>
      <w:r>
        <w:t>Hague Agreement means the Geneva Act of the Hague Agreement Concerning the International Registration of Industrial Designs, done at Geneva on July 2, 1999; intellectual property refers to all categories of intellectual property that are the subject of Sections 1 through 7 of Part II of the TRIPS Agreement; Madrid Protocol means the Protocol Relating to the Madrid Agreement Concerning the International Registration of Marks, done at Madrid on</w:t>
      </w:r>
    </w:p>
    <w:p>
      <w:pPr>
        <w:pStyle w:val="Normal"/>
      </w:pPr>
      <w:r>
        <w:t>June 27, 1989; Paris Convention means the Paris Convention for the Protection of Industrial Property, done at Paris on March 20, 1883 as revised at Stockholm on July 14, 1967; performance means a performance fixed in a phonogram, unless otherwise specified; with respect to copyright and related rights, right to authorize or prohibit refers to exclusive rights; PLT means the Patent Law Treaty adopted by the WIPO Diplomatic Conference done at Geneva on June 1, 2000; Singapore Treaty means the Singapore Treaty on the Law of Trademarks, done at Singapore on March 27, 2006; UPOV 1991 means the International Convention for the Protection of New Varieties of Plants, done at Paris on December 2, 1961, as revised at Geneva on March 19, 1991; WCT means the WIPO Copyright Treaty, done at Geneva on December 20, 1996; WIPO means the World Intellectual Property Organization; for greater certainty, work includes a cinematographic work, photographic work, and computer program; and WPPT means the WIPO Performances and Phonograms Treaty, done at Geneva on December 20, 1996. 2.</w:t>
      </w:r>
    </w:p>
    <w:p>
      <w:pPr>
        <w:pStyle w:val="Normal"/>
      </w:pPr>
      <w:r>
        <w:t>For the purposes of Article 20.8 (National Treatment), Article 20.30 (Administrative Procedures for the Protection or Recognition of Geographical Indications), and Article 20.61 (Related Rights): a national means, in respect of the relevant right, a person of a Party that would meet the criteria for eligibility for protection provided for in the agreements listed in Article 20.7 (International Agreements) or the TRIPS Agreement.</w:t>
      </w:r>
    </w:p>
    <w:p>
      <w:pPr>
        <w:pStyle w:val="Heading2"/>
      </w:pPr>
      <w:bookmarkStart w:id="1200011" w:name="_Toc901200011"/>
      <w:r>
        <w:t>Article 20.2: Objectives</w:t>
      </w:r>
      <w:bookmarkEnd w:id="1200011"/>
    </w:p>
    <w:p>
      <w:pPr>
        <w:pStyle w:val="Normal"/>
      </w:pPr>
      <w:r>
        <w:t>The protection and enforcement of intellectual property rights should contribute to the promotion of technological innovation and to the transfer and dissemination of technology, to the mutual advantage of producers and users of technological knowledge and in a manner conducive to social and economic welfare, and to a balance of rights and obligations.</w:t>
      </w:r>
    </w:p>
    <w:p>
      <w:pPr>
        <w:pStyle w:val="Heading2"/>
      </w:pPr>
      <w:bookmarkStart w:id="1200012" w:name="_Toc901200012"/>
      <w:r>
        <w:t>Article 20.3: Principles</w:t>
      </w:r>
      <w:bookmarkEnd w:id="1200012"/>
    </w:p>
    <w:p>
      <w:pPr>
        <w:pStyle w:val="Normal"/>
      </w:pPr>
      <w:r>
        <w:t>1. A Party may, in formulating or amending its laws and regulations, adopt measures necessary to protect public health and nutrition, and to promote the public interest in sectors of vital importance to their socio-economic and technological development, provided that those measures are consistent with the provisions of this Chapter. 2. Appropriate measures, provided that they are consistent with the provisions of this Chapter, may be needed to prevent the abuse of intellectual property rights by right holders or the resort to practices which unreasonably restrain trade or adversely affect the international transfer of technology.</w:t>
      </w:r>
    </w:p>
    <w:p>
      <w:pPr>
        <w:pStyle w:val="Heading2"/>
      </w:pPr>
      <w:bookmarkStart w:id="1200013" w:name="_Toc901200013"/>
      <w:r>
        <w:t>Article 20.4: Understandings in Respect of this Chapter</w:t>
      </w:r>
      <w:bookmarkEnd w:id="1200013"/>
    </w:p>
    <w:p>
      <w:pPr>
        <w:pStyle w:val="Normal"/>
      </w:pPr>
      <w:r>
        <w:t>Having regard to the underlying public policy objectives of national systems, the Parties recognize the need to: (a) promote innovation and creativity; (b) facilitate the diffusion of information, knowledge, technology, culture, and the arts; and (c) foster competition and open and efficient markets; through their respective intellectual property systems, while respecting the principles of transparency and due process, and taking into account the interests of relevant stakeholders, including right holders, service providers, users, and the public.</w:t>
      </w:r>
    </w:p>
    <w:p>
      <w:pPr>
        <w:pStyle w:val="Heading2"/>
      </w:pPr>
      <w:bookmarkStart w:id="1200014" w:name="_Toc901200014"/>
      <w:r>
        <w:t>Article 20.5: Nature and Scope of Obligations</w:t>
      </w:r>
      <w:bookmarkEnd w:id="1200014"/>
    </w:p>
    <w:p>
      <w:pPr>
        <w:pStyle w:val="Normal"/>
      </w:pPr>
      <w:r>
        <w:t>1. Each Party shall provide in its territory to the nationals of another Party adequate and effective protection and enforcement of intellectual property rights, while ensuring that measures to enforce intellectual property rights do not themselves become barriers to legitimate trade. 2. A Party may, but shall not be obliged to, provide more extensive protection for, or enforcement of, intellectual property rights under its law than is required by this Chapter, provided that such protection or enforcement does not contravene this Chapter. Each Party shall be free to determine the appropriate method of implementing the provisions of this Chapter within its own legal system and practice.</w:t>
      </w:r>
    </w:p>
    <w:p>
      <w:pPr>
        <w:pStyle w:val="Heading2"/>
      </w:pPr>
      <w:bookmarkStart w:id="1200015" w:name="_Toc901200015"/>
      <w:r>
        <w:t>Article 20.6: Understandings Regarding Certain Public Health Measures</w:t>
      </w:r>
      <w:bookmarkEnd w:id="1200015"/>
    </w:p>
    <w:p>
      <w:pPr>
        <w:pStyle w:val="Normal"/>
      </w:pPr>
      <w:r>
        <w:t>The Parties affirm their commitment to the Declaration on TRIPS and Public Health. In particular, the Parties have reached the following understandings regarding this Chapter: (a) The obligations of this Chapter do not and should not prevent a Party from taking measures to protect public health. Accordingly, while reiterating their commitment to this Chapter, the Parties affirm that this Chapter can and should be interpreted and implemented in a manner supportive of each Party’s right to protect public health and, in particular, to promote access to medicines for all. Each Party has the right to determine what constitutes a national emergency or other circumstances of extreme urgency, it being understood that public health crises, including those relating to HIV/AIDS, tuberculosis, malaria, and other epidemics, can represent a national emergency or other circumstances of extreme urgency.</w:t>
      </w:r>
    </w:p>
    <w:p>
      <w:pPr>
        <w:pStyle w:val="Normal"/>
      </w:pPr>
      <w:r>
        <w:t>(b) In recognition of the commitment to access to medicines that are supplied in accordance with the Decision of the WTO General Council of August 30, 2003 on the Implementation of Paragraph Six of the Doha Declaration on the TRIPS Agreement and Public Health (WT/L/540) and the WTO General Council Chairman’s Statement Accompanying the Decision (JOB(03)/177, WT/GC/M/82), as well as the Decision of the WTO General Council of December 6, 2005 on the Amendment of the TRIPS Agreement, (WT/L/641) and the WTO General Council Chairperson’s Statement Accompanying the Decision (JOB(05)/319 and Corr. 1,WT/GC/M/100) (collectively, the “TRIPS/health solution”), this Chapter does not and should not prevent the effective utilization of the TRIPS/health solution. (c) With respect to the aforementioned matters, if any waiver of a provision of the TRIPS Agreement, or any amendment of the TRIPS Agreement, enters into force with respect to the Parties, and a Party’s application of a measure in conformity with that waiver or amendment is contrary to the obligations of this Chapter, the Parties shall immediately consult in order to adapt this Chapter as appropriate in the light of the waiver or amendment.</w:t>
      </w:r>
    </w:p>
    <w:p>
      <w:pPr>
        <w:pStyle w:val="Heading2"/>
      </w:pPr>
      <w:bookmarkStart w:id="1200016" w:name="_Toc901200016"/>
      <w:r>
        <w:t>Article 20.7: International Agreements</w:t>
      </w:r>
      <w:bookmarkEnd w:id="1200016"/>
    </w:p>
    <w:p>
      <w:pPr>
        <w:pStyle w:val="Normal"/>
      </w:pPr>
      <w:r>
        <w:t>1. Each Party affirms that it has ratified or acceded to the following agreements: (a) Patent Cooperation Treaty, as amended on September 28, 1979, and modified on February 3, 1984; (b) Paris Convention; (c) Berne Convention; (d) WCT; and (e) WPPT. 2. Each Party shall ratify or accede to each of the following agreements, if it is not already a party to that agreement, by the date of entry into force of this Agreement: (a) Madrid Protocol; (b) Budapest Treaty; (c) Singapore Treaty;1 (d) UPOV 1991; (e) Hague Agreement; and (f) Brussels Convention. 3. Each Party shall give due consideration to ratifying or acceding to the PLT, or, in the alternative, shall adopt or maintain procedural standards consistent with the objective of the PLT.</w:t>
      </w:r>
    </w:p>
    <w:p>
      <w:pPr>
        <w:pStyle w:val="Heading2"/>
      </w:pPr>
      <w:bookmarkStart w:id="1200017" w:name="_Toc901200017"/>
      <w:r>
        <w:t>Article 20.8: National Treatment</w:t>
      </w:r>
      <w:bookmarkEnd w:id="1200017"/>
    </w:p>
    <w:p>
      <w:pPr>
        <w:pStyle w:val="Normal"/>
      </w:pPr>
      <w:r>
        <w:t>1. In respect of all categories of intellectual property covered in this Chapter, each Party shall accord to nationals of another Party treatment no less favorable than it accords to its own nationals with regard to the protection2 of intellectual property rights. 2. A Party may derogate from paragraph 1 in relation to its judicial and administrative procedures, including requiring a national of another Party to designate an address for service of process in its territory, or to appoint an agent in its territory, provided that this derogation is: 1 A Party may satisfy the obligations in paragraphs 2(a) and 2(c) by ratifying or acceding to either the Madrid Protocol or the Singapore Treaty. 2 For the purposes of this paragraph, “protection” shall include matters affecting the availability, acquisition, scope, maintenance and enforcement of intellectual property rights as well as matters affecting the use of intellectual property rights specifically covered by this Chapter. Further, for the purposes of this paragraph, “protection” also includes the prohibition on the circumvention of effective technological measures set out in Article 20.66 (Technological Protection Measures) and the provisions concerning rights management information set out in Article 20.67 (Rights Management Information).</w:t>
      </w:r>
    </w:p>
    <w:p>
      <w:pPr>
        <w:pStyle w:val="Normal"/>
      </w:pPr>
      <w:r>
        <w:t>For greater certainty, “matters affecting the use of intellectual property rights specifically covered by this Chapter” in respect of works, performances, and phonograms, include any form of payment, such as licensing fees, royalties, equitable remuneration, or levies, in respect of uses that fall under the copyright and related rights in this Chapter. The preceding sentence is without prejudice to a Party’s interpretation of “matters affecting the use of intellectual property rights” in footnote 3 of the TRIPS Agreement. (a) necessary to secure compliance with laws or regulations that are not inconsistent with this Chapter; and (b) not applied in a manner that would constitute a disguised restriction on trade. 3. Paragraph 1 does not apply to procedures provided in multilateral agreements concluded under the auspices of WIPO relating to the acquisition or maintenance of intellectual property rights.</w:t>
      </w:r>
    </w:p>
    <w:p>
      <w:pPr>
        <w:pStyle w:val="Heading2"/>
      </w:pPr>
      <w:bookmarkStart w:id="1200018" w:name="_Toc901200018"/>
      <w:r>
        <w:t>Article 20.9: Transparency</w:t>
      </w:r>
      <w:bookmarkEnd w:id="1200018"/>
    </w:p>
    <w:p>
      <w:pPr>
        <w:pStyle w:val="Normal"/>
      </w:pPr>
      <w:r>
        <w:t>1. Further to Article 20.80 (Enforcement Practices with Respect to Intellectual Property Rights), each Party shall endeavor to publish online its laws, regulations, procedures, and administrative rulings of general application concerning the protection and enforcement of intellectual property rights. 2. Each Party shall, subject to its law, endeavor to publish online information that it makes public concerning applications for trademarks, geographical indications, designs, patents, and plant variety rights.3, 4 3. Each Party shall, subject to its law, publish online information that it makes public concerning registered or granted trademarks, geographical indications, designs, patents, and plant variety rights, sufficient to enable the public to become acquainted with those registered or granted rights.5</w:t>
      </w:r>
    </w:p>
    <w:p>
      <w:pPr>
        <w:pStyle w:val="Heading2"/>
      </w:pPr>
      <w:bookmarkStart w:id="1200019" w:name="_Toc901200019"/>
      <w:r>
        <w:t>Article 20.10: Application of Chapter to Existing Subject Matter and Prior Acts</w:t>
      </w:r>
      <w:bookmarkEnd w:id="1200019"/>
    </w:p>
    <w:p>
      <w:pPr>
        <w:pStyle w:val="Normal"/>
      </w:pPr>
      <w:r>
        <w:t>1. Unless otherwise provided in this Chapter, including in Article 20.63 (Application of Article 18 of the Berne Convention and Article 14.6 of the TRIPS Agreement), this Chapter gives rise to obligations in respect of all subject matter existing at the date of entry into force of this Agreement and that is protected on that date in the territory of a Party where protection is claimed, or that meets or comes subsequently to meet the criteria for protection under this Chapter. 3 For greater certainty, paragraphs 2 and 3 are without prejudice to a Party’s obligations under Article 20.23 (Electronic Trademarks System). 4 For greater certainty, paragraph 2 does not require a Party to publish online the entire dossier for the relevant application. 5 For greater certainty, paragraph 3 does not require a Party to publish online the entire dossier for the relevant registered or granted intellectual property right. 2.</w:t>
      </w:r>
    </w:p>
    <w:p>
      <w:pPr>
        <w:pStyle w:val="Normal"/>
      </w:pPr>
      <w:r>
        <w:t>Unless provided in Article 20.63 (Application of Article 18 of the Berne Convention and Article 14.6 of the TRIPS Agreement), a Party shall not be required to restore protection to subject matter that on the date of entry into force of this Agreement has fallen into the public domain in its territory. 3. This Chapter does not give rise to obligations in respect of acts that occurred before the date of entry into force of this Agreement.</w:t>
      </w:r>
    </w:p>
    <w:p>
      <w:pPr>
        <w:pStyle w:val="Heading2"/>
      </w:pPr>
      <w:bookmarkStart w:id="1200020" w:name="_Toc901200020"/>
      <w:r>
        <w:t>Article 20.11: Exhaustion of Intellectual Property Rights</w:t>
      </w:r>
      <w:bookmarkEnd w:id="1200020"/>
    </w:p>
    <w:p>
      <w:pPr>
        <w:pStyle w:val="Normal"/>
      </w:pPr>
      <w:r>
        <w:t>Nothing in this Agreement prevents a Party from determining whether or under what conditions the exhaustion of intellectual property rights applies under its legal system.6 Section B: Cooperation</w:t>
      </w:r>
    </w:p>
    <w:p>
      <w:pPr>
        <w:pStyle w:val="Heading2"/>
      </w:pPr>
      <w:bookmarkStart w:id="1200021" w:name="_Toc901200021"/>
      <w:r>
        <w:t>Article 20.12: Contact Points for Cooperation</w:t>
      </w:r>
      <w:bookmarkEnd w:id="1200021"/>
    </w:p>
    <w:p>
      <w:pPr>
        <w:pStyle w:val="Normal"/>
      </w:pPr>
      <w:r>
        <w:t>Each Party may designate and notify the other Parties of one or more contact points for the purpose of cooperation under this Section.</w:t>
      </w:r>
    </w:p>
    <w:p>
      <w:pPr>
        <w:pStyle w:val="Heading2"/>
      </w:pPr>
      <w:bookmarkStart w:id="1200022" w:name="_Toc901200022"/>
      <w:r>
        <w:t>Article 20.13: Cooperation</w:t>
      </w:r>
      <w:bookmarkEnd w:id="1200022"/>
    </w:p>
    <w:p>
      <w:pPr>
        <w:pStyle w:val="Normal"/>
      </w:pPr>
      <w:r>
        <w:t>The Parties shall endeavor to cooperate on the subject matter covered by this Chapter, such as through appropriate coordination and exchange of information between their respective intellectual property offices, or other agencies or institutions, as determined by each Party.</w:t>
      </w:r>
    </w:p>
    <w:p>
      <w:pPr>
        <w:pStyle w:val="Heading2"/>
      </w:pPr>
      <w:bookmarkStart w:id="1200023" w:name="_Toc901200023"/>
      <w:r>
        <w:t>Article 20.14: Committee on Intellectual Property Rights</w:t>
      </w:r>
      <w:bookmarkEnd w:id="1200023"/>
    </w:p>
    <w:p>
      <w:pPr>
        <w:pStyle w:val="Normal"/>
      </w:pPr>
      <w:r>
        <w:t>1. The Parties hereby establish a Committee on Intellectual Property Rights (IPR Committee), composed of government representatives of each Party. 2. The IPR Committee shall: For greater certainty, this Article is without prejudice to any provisions addressing the exhaustion of intellectual property rights in international agreements to which a Party is a party. (a) exchange information, pertaining to intellectual property rights matters, including how intellectual property protection contributes to innovation, creativity, economic growth, and employment, such as: (i) developments in domestic and international intellectual property law and policy, (ii) economic benefits related to trade and other analysis of the contributions arising from the protection and enforcement of intellectual property rights, (iii) intellectual property issues particularly relevant to small and medium- sized enterprises; science, technology, and innovation activities; and to the generation, transfer, and dissemination of technology, (iv) approaches for reducing the infringement of intellectual property rights, as well as effective strategies for removing the underlying incentives for infringement, (v) programs on education and awareness related to intellectual property and building capacity regarding intellectual property rights matters, and (vi) implementation of multilateral intellectual property agreements, such as those concluded or</w:t>
      </w:r>
    </w:p>
    <w:p>
      <w:pPr>
        <w:pStyle w:val="Normal"/>
      </w:pPr>
      <w:r>
        <w:t>administered under the auspices of WIPO; (b) work towards strengthening border enforcement of intellectual property rights through the promotion of collaborative operations in customs and exchange of best practices; (c) exchange information regarding trade secret-related matters, including the value of trade secrets and the economic loss associated with trade secret misappropriation; (d) discuss proposals to enhance procedural fairness in patent litigation, including with respect to choice of venue; and (e) upon request of a Party and in the interest of advancing transparency, endeavor to reach a mutually agreeable solution before taking measures in connection with future requests of recognition or protection of a geographical indication from any other country through a trade agreement. 3. The Parties shall endeavor to cooperate on providing technical assistance regarding trade secret protection to the relevant authorities of non-Parties and identify appropriate opportunities to increase cooperation between the Parties on trade-related intellectual property rights protection and enforcement. 4. The IPR Committee shall meet within one year after the date of entry into force of this Agreement and thereafter as necessary.</w:t>
      </w:r>
    </w:p>
    <w:p>
      <w:pPr>
        <w:pStyle w:val="Heading2"/>
      </w:pPr>
      <w:bookmarkStart w:id="1200024" w:name="_Toc901200024"/>
      <w:r>
        <w:t>Article 20.15: Patent Cooperation and Work Sharing</w:t>
      </w:r>
      <w:bookmarkEnd w:id="1200024"/>
    </w:p>
    <w:p>
      <w:pPr>
        <w:pStyle w:val="Normal"/>
      </w:pPr>
      <w:r>
        <w:t>1. The Parties recognize the importance of improving the quality and efficiency of their respective patent registration systems as well as simplifying and streamlining the procedures and processes of their respective patent offices to the benefit of all users of the patent system and the public as a whole. 2. Further to paragraph 1, the Parties shall endeavor to cooperate among their respective patent offices to facilitate the sharing and use of search and examination work of the Parties. This may include: (a) making search and examination results available to the patent offices of the other Parties;7 and (b) exchanging information on quality assurance systems and quality standards relating to patent examination. 3. In order to reduce the complexity and cost of obtaining the grant of a patent, the Parties shall endeavor to cooperate to reduce differences in the procedures and processes of their respective patent offices.</w:t>
      </w:r>
    </w:p>
    <w:p>
      <w:pPr>
        <w:pStyle w:val="Heading2"/>
      </w:pPr>
      <w:bookmarkStart w:id="1200025" w:name="_Toc901200025"/>
      <w:r>
        <w:t>Article 20.16: Cooperation on Request</w:t>
      </w:r>
      <w:bookmarkEnd w:id="1200025"/>
    </w:p>
    <w:p>
      <w:pPr>
        <w:pStyle w:val="Normal"/>
      </w:pPr>
      <w:r>
        <w:t>Cooperation activities undertaken under this Chapter are subject to the availability of resources, and on request, and on terms and conditions mutually decided upon between the Parties involved. The Parties affirm that cooperation under this Section is additional to and without prejudice to other past, ongoing, and future cooperation activities, both bilateral and multilateral, between the Parties, including between their respective intellectual property offices. Section C: Trademarks The Parties recognize the importance of multilateral efforts to promote the sharing and use of search and examination results with a view to improving the quality of search and examination processes and to reducing the costs for both applicants and patent offices.</w:t>
      </w:r>
    </w:p>
    <w:p>
      <w:pPr>
        <w:pStyle w:val="Heading2"/>
      </w:pPr>
      <w:bookmarkStart w:id="1200026" w:name="_Toc901200026"/>
      <w:r>
        <w:t>Article 20.17: Types of Signs Registrable as Trademarks</w:t>
      </w:r>
      <w:bookmarkEnd w:id="1200026"/>
    </w:p>
    <w:p>
      <w:pPr>
        <w:pStyle w:val="Normal"/>
      </w:pPr>
      <w:r>
        <w:t>No Party shall require, as a condition of registration, that a sign be visually perceptible, nor shall a Party deny registration of a trademark only on the ground that the sign of which it is composed is a sound. Additionally, each Party shall make best efforts to register scent marks. A Party may require a concise and accurate description, or graphical representation, or both, as applicable, of the trademark.</w:t>
      </w:r>
    </w:p>
    <w:p>
      <w:pPr>
        <w:pStyle w:val="Heading2"/>
      </w:pPr>
      <w:bookmarkStart w:id="1200027" w:name="_Toc901200027"/>
      <w:r>
        <w:t>Article 20.18: Collective and Certification Marks</w:t>
      </w:r>
      <w:bookmarkEnd w:id="1200027"/>
    </w:p>
    <w:p>
      <w:pPr>
        <w:pStyle w:val="Normal"/>
      </w:pPr>
      <w:r>
        <w:t>Each Party shall provide that trademarks include collective marks and certification marks. A Party is not required to treat certification marks as a separate category in its law, provided that those marks are protected. Each Party shall also provide that signs that may serve as geographical indications are capable of protection under its trademark system.8</w:t>
      </w:r>
    </w:p>
    <w:p>
      <w:pPr>
        <w:pStyle w:val="Heading2"/>
      </w:pPr>
      <w:bookmarkStart w:id="1200028" w:name="_Toc901200028"/>
      <w:r>
        <w:t>Article 20.19: Use of Identical or Similar Signs</w:t>
      </w:r>
      <w:bookmarkEnd w:id="1200028"/>
    </w:p>
    <w:p>
      <w:pPr>
        <w:pStyle w:val="Normal"/>
      </w:pPr>
      <w:r>
        <w:t>Each Party shall provide that the owner of a registered trademark has the exclusive right to prevent third parties that do not have the owner’s consent from using in the course of trade identical or similar signs, including subsequent geographical indications9 for goods or services that are related to those goods or services in respect of which the owner’s trademark is registered, if that use would result in a likelihood of confusion. In the case of the use of an identical sign for identical goods or services, a likelihood of confusion shall be presumed.</w:t>
      </w:r>
    </w:p>
    <w:p>
      <w:pPr>
        <w:pStyle w:val="Heading2"/>
      </w:pPr>
      <w:bookmarkStart w:id="1200029" w:name="_Toc901200029"/>
      <w:r>
        <w:t>Article 20.20: Exceptions</w:t>
      </w:r>
      <w:bookmarkEnd w:id="1200029"/>
    </w:p>
    <w:p>
      <w:pPr>
        <w:pStyle w:val="Normal"/>
      </w:pPr>
      <w:r>
        <w:t>A Party may provide limited exceptions to the rights conferred by a trademark, such as fair use of descriptive terms, provided that those exceptions take account of the legitimate interests of the owner of the trademark and of third parties.</w:t>
      </w:r>
    </w:p>
    <w:p>
      <w:pPr>
        <w:pStyle w:val="Heading2"/>
      </w:pPr>
      <w:bookmarkStart w:id="1200030" w:name="_Toc901200030"/>
      <w:r>
        <w:t>Article 20.21: Well-Known Trademarks</w:t>
      </w:r>
      <w:bookmarkEnd w:id="1200030"/>
    </w:p>
    <w:p>
      <w:pPr>
        <w:pStyle w:val="Normal"/>
      </w:pPr>
      <w:r>
        <w:t>8 Consistent with the definition of a geographical indication in Article 20.1 (Definitions), any sign, or combination of signs, shall be eligible for protection under one or more of the legal means for protecting geographical indications, or a combination of those means. 9 For greater certainty, the Parties understand that this Article should not be interpreted to affect their rights and obligations under Articles 22 and 23 of the TRIPS Agreement. 1. No Party shall require as a condition for determining that a trademark is well-known that the trademark has been registered in the Party or in another jurisdiction, included on a list of well-known trademarks, or given prior recognition as a well-known trademark. 2. Article 6bis of the Paris Convention shall apply, mutatis mutandis, to goods or services that are not identical or similar to those identified by a well-known trademark,10 whether registered or not, provided that use of that trademark in relation to those goods or services would indicate a connection between those goods or services and the owner of the trademark, and provided that the interests of the owner of the trademark are likely to be damaged by that use. 3.</w:t>
      </w:r>
    </w:p>
    <w:p>
      <w:pPr>
        <w:pStyle w:val="Normal"/>
      </w:pPr>
      <w:r>
        <w:t>The Parties recognize the importance of the Joint Recommendation Concerning Provisions on the Protection of Well-Known Marks as adopted by the Assembly of the Paris Union for the Protection of Industrial Property and the General Assembly of WIPO at the Thirty- Fourth Series of Meetings of the Assemblies of the Member States of WIPO September 20 to 29, 1999. 4. Each Party shall provide for appropriate measures to refuse the application or cancel the registration and prohibit the use of a trademark that is identical or similar to a well-known trademark,11 for identical or similar goods or services, if the use of that trademark is likely to cause confusion with the prior well-known trademark. A Party may also provide those measures including in cases in which the subsequent trademark is likely to deceive.</w:t>
      </w:r>
    </w:p>
    <w:p>
      <w:pPr>
        <w:pStyle w:val="Heading2"/>
      </w:pPr>
      <w:bookmarkStart w:id="1200031" w:name="_Toc901200031"/>
      <w:r>
        <w:t>Article 20.22: Procedural Aspects of Examination, Opposition, and Cancellation</w:t>
      </w:r>
      <w:bookmarkEnd w:id="1200031"/>
    </w:p>
    <w:p>
      <w:pPr>
        <w:pStyle w:val="Normal"/>
      </w:pPr>
      <w:r>
        <w:t>Each Party shall provide a system for the examination and registration of trademarks that includes among other things: (a) communicating to the applicant in writing, which may be by electronic means, the reasons for any refusal to register a trademark; (b) providing the applicant with an opportunity to respond to communications from the competent authorities, to contest any initial refusal, and to make a judicial appeal of any final refusal to register a trademark; 10 In determining whether a trademark is well-known in a Party, that Party need not require that the reputation of the trademark extend beyond the sector of the public that normally deals with the relevant goods or services. 11 The Parties understand that a well-known trademark is one that was already well-known before, as determined by a Party, the application for, registration of, or use of the first-mentioned trademark.</w:t>
      </w:r>
    </w:p>
    <w:p>
      <w:pPr>
        <w:pStyle w:val="Normal"/>
      </w:pPr>
      <w:r>
        <w:t>(c) providing an opportunity to oppose the registration of a trademark and an opportunity to seek cancellation12 of a trademark through, at a minimum, administrative procedures; and (d) requiring administrative decisions in opposition and cancellation proceedings to be reasoned and in writing, which may be provided by electronic means.</w:t>
      </w:r>
    </w:p>
    <w:p>
      <w:pPr>
        <w:pStyle w:val="Heading2"/>
      </w:pPr>
      <w:bookmarkStart w:id="1200032" w:name="_Toc901200032"/>
      <w:r>
        <w:t>Article 20.23: Electronic Trademarks System</w:t>
      </w:r>
      <w:bookmarkEnd w:id="1200032"/>
    </w:p>
    <w:p>
      <w:pPr>
        <w:pStyle w:val="Normal"/>
      </w:pPr>
      <w:r>
        <w:t>Further to Article 20.9.3 (Transparency), each Party shall provide a: (a) system for the electronic application for, and maintenance of, trademarks; and (b) publicly available electronic information system, including an online database, of trademark applications and of registered trademarks.</w:t>
      </w:r>
    </w:p>
    <w:p>
      <w:pPr>
        <w:pStyle w:val="Heading2"/>
      </w:pPr>
      <w:bookmarkStart w:id="1200033" w:name="_Toc901200033"/>
      <w:r>
        <w:t>Article 20.24: Classification of Goods and Services</w:t>
      </w:r>
      <w:bookmarkEnd w:id="1200033"/>
    </w:p>
    <w:p>
      <w:pPr>
        <w:pStyle w:val="Normal"/>
      </w:pPr>
      <w:r>
        <w:t>Each Party shall adopt or maintain a trademark classification system that is consistent with the Nice Agreement Concerning the International Classification of Goods and Services for the Purposes of the Registration of Marks, done at Nice, June 15, 1957, as revised and amended (Nice Classification). Each Party shall provide that: (a) registrations and the publications of applications indicate the goods and services by their names, grouped according to the classes established by the Nice Classification;13 and (b) goods or services may not be considered as being similar to each other on the ground that, in any registration or publication, they are classified in the same class of the Nice Classification. Conversely, each Party shall provide that goods or services may not be considered as being dissimilar from each other on the ground that, in any registration or publication, they are classified in different classes of the Nice Classification.</w:t>
      </w:r>
    </w:p>
    <w:p>
      <w:pPr>
        <w:pStyle w:val="Heading2"/>
      </w:pPr>
      <w:bookmarkStart w:id="1200034" w:name="_Toc901200034"/>
      <w:r>
        <w:t>Article 20.25: Term of Protection for Trademarks</w:t>
      </w:r>
      <w:bookmarkEnd w:id="1200034"/>
    </w:p>
    <w:p>
      <w:pPr>
        <w:pStyle w:val="Normal"/>
      </w:pPr>
      <w:r>
        <w:t>12 For greater certainty, cancellation for the purposes of this Section may be implemented through a nullification or revocation proceeding. A Party that relies on translations of the Nice Classification shall follow updated versions of the Nice Classification to the extent that official translations have been issued and published. Each Party shall provide that initial registration and each renewal of registration of a trademark is for a term of no less than 10 years.</w:t>
      </w:r>
    </w:p>
    <w:p>
      <w:pPr>
        <w:pStyle w:val="Heading2"/>
      </w:pPr>
      <w:bookmarkStart w:id="1200035" w:name="_Toc901200035"/>
      <w:r>
        <w:t>Article 20.26: Non-Recordal of a License</w:t>
      </w:r>
      <w:bookmarkEnd w:id="1200035"/>
    </w:p>
    <w:p>
      <w:pPr>
        <w:pStyle w:val="Normal"/>
      </w:pPr>
      <w:r>
        <w:t>No Party shall require recordal of trademark licenses: (a) to establish the validity of the licenses; or (b) as a condition for use of a trademark by a licensee to be deemed to constitute use by the holder in a proceeding that relates to the acquisition, maintenance, or enforcement of trademarks.</w:t>
      </w:r>
    </w:p>
    <w:p>
      <w:pPr>
        <w:pStyle w:val="Heading2"/>
      </w:pPr>
      <w:bookmarkStart w:id="1200036" w:name="_Toc901200036"/>
      <w:r>
        <w:t>Article 20.27: Domain Names</w:t>
      </w:r>
      <w:bookmarkEnd w:id="1200036"/>
    </w:p>
    <w:p>
      <w:pPr>
        <w:pStyle w:val="Normal"/>
      </w:pPr>
      <w:r>
        <w:t>1. In connection with each Party’s system for the management of its country-code top-level domain (ccTLD) domain names, the following shall be available: (a) an appropriate procedure for the settlement of disputes that, based on, or modelled along the same lines as, the principles established in the Uniform Domain-Name Dispute-Resolution Policy, or that: (i) is designed to resolve disputes expeditiously and at low cost, (ii) is fair and equitable, (iii) is not overly burdensome, and (iv) does not preclude resort to judicial proceedings; and (b) online public access to a reliable and accurate database of contact information concerning domain name registrants, in accordance with each Party’s law and, if applicable, relevant administrator policies regarding protection of privacy and personal data. 2. In connection with each Party’s system for the management of ccTLD domain names, appropriate remedies14 shall be available at least in cases in which a person registers or holds, 14 The Parties understand that those remedies may, but need not, include revocation, cancellation, transfer, damages, or injunctive relief. with a bad faith intent to profit, a domain name that is identical or confusingly similar to a trademark. Section D: Country Names</w:t>
      </w:r>
    </w:p>
    <w:p>
      <w:pPr>
        <w:pStyle w:val="Heading2"/>
      </w:pPr>
      <w:bookmarkStart w:id="1200037" w:name="_Toc901200037"/>
      <w:r>
        <w:t>Article 20.28: Country Names</w:t>
      </w:r>
      <w:bookmarkEnd w:id="1200037"/>
    </w:p>
    <w:p>
      <w:pPr>
        <w:pStyle w:val="Normal"/>
      </w:pPr>
      <w:r>
        <w:t>Each Party shall provide the legal means for interested persons to prevent commercial use of the country name of a Party in relation to a good in a manner that misleads consumers as to the origin of that good. Section E: Geographical Indications</w:t>
      </w:r>
    </w:p>
    <w:p>
      <w:pPr>
        <w:pStyle w:val="Heading2"/>
      </w:pPr>
      <w:bookmarkStart w:id="1200038" w:name="_Toc901200038"/>
      <w:r>
        <w:t>Article 20.29: Recognition of Geographical Indications</w:t>
      </w:r>
      <w:bookmarkEnd w:id="1200038"/>
    </w:p>
    <w:p>
      <w:pPr>
        <w:pStyle w:val="Normal"/>
      </w:pPr>
      <w:r>
        <w:t>The Parties recognize that geographical indications may be protected through a trademark or a sui generis system or other legal means.</w:t>
      </w:r>
    </w:p>
    <w:p>
      <w:pPr>
        <w:pStyle w:val="Heading2"/>
      </w:pPr>
      <w:bookmarkStart w:id="1200039" w:name="_Toc901200039"/>
      <w:r>
        <w:t>Article 20.30: Administrative Procedures for the Protection or Recognition of Geographical Indications</w:t>
      </w:r>
      <w:bookmarkEnd w:id="1200039"/>
    </w:p>
    <w:p>
      <w:pPr>
        <w:pStyle w:val="Normal"/>
      </w:pPr>
      <w:r>
        <w:t>If a Party provides administrative procedures for the protection or recognition of geographical indications, whether through a trademark or a sui generis system, with respect to applications for that protection or petitions for that recognition, that Party shall: (a) accept those applications or petitions without requiring intercession by a Party on behalf of its nationals;15 (b) process those applications or petitions without imposing overly burdensome formalities; (c) ensure that its laws and regulations governing the filing of those applications or petitions are readily available to the public and clearly set out the procedures for these actions; 15 This subparagraph also applies to judicial procedures that protect or recognize a geographical indication.</w:t>
      </w:r>
    </w:p>
    <w:p>
      <w:pPr>
        <w:pStyle w:val="Normal"/>
      </w:pPr>
      <w:r>
        <w:t>(d) make available information sufficient to allow the general public to obtain guidance concerning the procedures for filing applications or petitions and the processing of those applications or petitions in general; and allow an applicant, a petitioner, or their representative to ascertain the status of specific applications and petitions; (e) require that applications or petitions may specify particular translation or transliteration for which protection is being sought; (f) examine applications or petitions; (g) ensure that those applications or petitions are published for opposition and provide procedures for opposing geographical indications that are the subject of applications or petitions; (h) provide a reasonable period of time during which an interested person may oppose the application or petition; (i) require that administrative decisions in opposition proceedings be reasoned and in writing, which may be provided by electronic means; (j) require that administrative decisions in cancellation proceedings be reasoned and in writing, which may be provided by electronic means; and (k) provide for cancellation16 of the protection or recognition afforded to a geographical indication.</w:t>
      </w:r>
    </w:p>
    <w:p>
      <w:pPr>
        <w:pStyle w:val="Heading2"/>
      </w:pPr>
      <w:bookmarkStart w:id="1200040" w:name="_Toc901200040"/>
      <w:r>
        <w:t>Article 20.31: Grounds of Denial, Opposition, and Cancellation</w:t>
      </w:r>
      <w:r>
        <w:rPr>
          <w:vertAlign w:val="superscript"/>
        </w:rPr>
        <w:t>17</w:t>
      </w:r>
      <w:bookmarkEnd w:id="1200040"/>
    </w:p>
    <w:p>
      <w:pPr>
        <w:pStyle w:val="Normal"/>
      </w:pPr>
      <w:r>
        <w:t>1. If a Party protects or recognizes a geographical indication through the procedures referred to in Article 20.30 (Administrative Procedures for the Protection or Recognition of Geographical Indications), that Party shall provide procedures that allow interested persons to object to the protection or recognition of a geographical indication, and that allow for that protection or recognition to be refused or otherwise not afforded, at least, on the grounds that the geographical indication is: 16 For greater certainty, for the purposes of this Section, cancellation may be implemented through nullification or revocation proceedings. 17 A Party is not required to apply this Article to geographical indications for wines and spirits or to applications or petitions for those geographical indications. (a) likely to cause confusion with a trademark that is the subject of a pre-existing good faith pending application or registration in the territory of the Party;</w:t>
      </w:r>
    </w:p>
    <w:p>
      <w:pPr>
        <w:pStyle w:val="Normal"/>
      </w:pPr>
      <w:r>
        <w:t>(b) likely to cause confusion with a pre-existing trademark, the rights to which have been acquired in accordance with the Party’s law; and 18, 19, 20 (c) a term customary in common language as the common name for the relevant good in the territory of the Party. 2.</w:t>
      </w:r>
    </w:p>
    <w:p>
      <w:pPr>
        <w:pStyle w:val="Normal"/>
      </w:pPr>
      <w:r>
        <w:t>If a Party has protected or recognized a geographical indication through the procedures referred to in Article 20.30 (Administrative Procedures for the Protection or Recognition of Geographical Indications), that Party shall provide procedures that allow for interested persons to seek the cancellation of a geographical indication, and that allow for the protection or recognition to be cancelled, at least, on the grounds listed in paragraph 1. A Party may provide that the grounds listed in paragraph 1 apply as of the time of filing the request for protection or recognition of a geographical indication in the territory of the Party.21 3. No Party shall preclude the possibility that the protection or recognition of a geographical indication may be cancelled, or otherwise cease, on the basis that the protected or recognized term has ceased meeting the conditions upon which the protection or recognition was originally granted in that Party. 4.</w:t>
      </w:r>
    </w:p>
    <w:p>
      <w:pPr>
        <w:pStyle w:val="Normal"/>
      </w:pPr>
      <w:r>
        <w:t>If a Party has in place a sui generis system for protecting unregistered geographical indications by means of judicial procedures, that Party shall provide that its judicial authorities have the authority to deny the protection or recognition of a geographical indication if any 18 If a Party refuses to protect or recognize a compound geographical indication on the grounds that an individual term of that geographical indication is the common name for the relevant good in the territory of a Party, the Party may withdraw its refusal of protection or recognition if the applicant or registrant agrees to disclaim any claim of exclusive rights to the particular individual term that was the basis for the refusal.</w:t>
      </w:r>
    </w:p>
    <w:p>
      <w:pPr>
        <w:pStyle w:val="Normal"/>
      </w:pPr>
      <w:r>
        <w:t>19 For greater certainty, if a Party provides for the procedures in Article 20.30 (Administrative Procedures for the Protection or Recognition of Geographical Indications) and this Article to be applied to geographical indications for wines and spirits or applications or petitions for those geographical indications, that Party is not required to protect or recognize a geographical indication of any other Party with respect to products of the vine for which the relevant indication is identical with the customary name of a grape variety existing in the territory of that Party. 20 For greater certainty, a term customary in common language as the common name may refer to a single- component term or individual components of a multi-component term.</w:t>
      </w:r>
    </w:p>
    <w:p>
      <w:pPr>
        <w:pStyle w:val="Normal"/>
      </w:pPr>
      <w:r>
        <w:t>21 For greater certainty, if the grounds listed in paragraph 1 did not exist in a Party’s law as of the time of filing of the request for protection or recognition of a geographical indication under Article 20.30 (Administrative Procedures for the Protection or Recognition of Geographical Indications), that Party is not required to apply those grounds for the purposes of paragraphs 2 or 4 of this Article in relation to that geographical indication. circumstance identified in paragraph 1 has been established.22 That Party shall also provide a process that allows interested persons to commence a proceeding on the grounds identified in paragraph 1. 5. If a Party provides protection or recognition of a geographical indication through the procedures referred to in Article 20.30 (Administrative Procedures for the Protection or Recognition of Geographical Indications) to the translation or transliteration of that geographical indication, that Party shall make available procedures that are equivalent to, and grounds that are the same as, those referred to in paragraphs 1 and 2 with respect to that translation or transliteration.</w:t>
      </w:r>
    </w:p>
    <w:p>
      <w:pPr>
        <w:pStyle w:val="Heading2"/>
      </w:pPr>
      <w:bookmarkStart w:id="1200041" w:name="_Toc901200041"/>
      <w:r>
        <w:t>Article 20.32: Guidelines for Determining Whether a Term is the Term Customary in the Common Language</w:t>
      </w:r>
      <w:bookmarkEnd w:id="1200041"/>
    </w:p>
    <w:p>
      <w:pPr>
        <w:pStyle w:val="Normal"/>
      </w:pPr>
      <w:r>
        <w:t>With respect to the procedures in Article 20.30 (Administrative Procedures for the Protection or Recognition of Geographical Indications) and Article 20.31 (Grounds of Denial, Opposition, and Cancellation), in determining whether a term is the term customary in common language as the common name for the relevant good in the territory of a Party, that Party’s authorities shall have the authority to take into account how consumers understand the term in the territory of that Party. Factors relevant to that consumer understanding may include: (a) whether the term is used to refer to the type of good in question, as indicated by competent sources such as dictionaries, newspapers, and relevant websites; (b) how the good referenced by the term is marketed and used in trade in the territory of that Party;</w:t>
      </w:r>
    </w:p>
    <w:p>
      <w:pPr>
        <w:pStyle w:val="Normal"/>
      </w:pPr>
      <w:r>
        <w:t>(c) whether the term is used, as appropriate, in relevant international standards recognized by the Parties to refer to a type or class of good in the territory of the Party, such as pursuant to a standard promulgated by the Codex Alimentarius; and (d) whether the good in question is imported into the Party’s territory, in significant quantities,23 from a place other than the territory identified in the application or petition, and whether those imported goods are named by the term.</w:t>
      </w:r>
    </w:p>
    <w:p>
      <w:pPr>
        <w:pStyle w:val="Normal"/>
      </w:pPr>
      <w:r>
        <w:t>22 As an alternative to this paragraph, if a Party has in place a sui generis system of the type referred to in this paragraph as of the applicable date under Article 20.35.6 (International Agreements), that Party shall at least provide that its judicial authorities have the authority to deny the protection or recognition of a geographical indication if the circumstances identified in paragraph 1(c) have been established. 23 In determining whether the good in question is imported in significant quantities, a Party may consider the amount of importation at the time of the application or petition.</w:t>
      </w:r>
    </w:p>
    <w:p>
      <w:pPr>
        <w:pStyle w:val="Heading2"/>
      </w:pPr>
      <w:bookmarkStart w:id="1200042" w:name="_Toc901200042"/>
      <w:r>
        <w:t>Article 20.33: Multi-Component Terms</w:t>
      </w:r>
      <w:bookmarkEnd w:id="1200042"/>
    </w:p>
    <w:p>
      <w:pPr>
        <w:pStyle w:val="Normal"/>
      </w:pPr>
      <w:r>
        <w:t>With respect to the procedures in Article 20.30 (Administrative Procedures for the Protection or Recognition of Geographical Indications) and Article 20.31 (Grounds of Denial, Opposition, and Cancellation), an individual component of a multi-component term that is protected as a geographical indication in the territory of a Party shall not be protected in that Party if that individual component is a term customary in the common language as the common name for the associated good.</w:t>
      </w:r>
    </w:p>
    <w:p>
      <w:pPr>
        <w:pStyle w:val="Heading2"/>
      </w:pPr>
      <w:bookmarkStart w:id="1200043" w:name="_Toc901200043"/>
      <w:r>
        <w:t>Article 20.34: Date of Protection of a Geographical Indication</w:t>
      </w:r>
      <w:bookmarkEnd w:id="1200043"/>
    </w:p>
    <w:p>
      <w:pPr>
        <w:pStyle w:val="Normal"/>
      </w:pPr>
      <w:r>
        <w:t>If a Party grants protection or recognition to a geographical indication through the procedures referred to in Article 20.30 (Administrative Procedures for the Protection or Recognition of Geographical Indications), that protection or recognition shall commence no earlier than the filing date24 in the Party or the registration date in the Party, as applicable.</w:t>
      </w:r>
    </w:p>
    <w:p>
      <w:pPr>
        <w:pStyle w:val="Heading2"/>
      </w:pPr>
      <w:bookmarkStart w:id="1200044" w:name="_Toc901200044"/>
      <w:r>
        <w:t>Article 20.35: International Agreements</w:t>
      </w:r>
      <w:bookmarkEnd w:id="1200044"/>
    </w:p>
    <w:p>
      <w:pPr>
        <w:pStyle w:val="Normal"/>
      </w:pPr>
      <w:r>
        <w:t>1. If a Party protects or recognizes a geographical indication pursuant to an international agreement, as of the applicable date under paragraph 6, involving a Party or a non-Party and that geographical indication is not protected through the procedures referred to in Article 20.30 (Administrative Procedures for the Protection or Recognition of Geographical Indications)25 or Article 20.31 (Grounds of Denial, Opposition, and Cancellation), that Party at least shall apply procedures and grounds that are equivalent to those in Article 20.30(f), (g), (h), and (i) (Administrative Procedures for the Protection or Recognition of Geographical Indications) and Article 20.31.1 (Grounds of Denial, Opposition, and Cancellation), as well as: (a) make available information sufficient to allow the general public to obtain guidance concerning the procedures for protecting or recognizing the geographical indication and allow interested persons to ascertain the status of requests for protection or recognition; 24 For greater certainty, the filing date referred to in this paragraph includes, as applicable, the priority filing date under the Paris Convention.</w:t>
      </w:r>
    </w:p>
    <w:p>
      <w:pPr>
        <w:pStyle w:val="Normal"/>
      </w:pPr>
      <w:r>
        <w:t>No Party shall use the date of protection in a country of origin of a geographical indication to establish a priority date in the territory of the Party, unless filed within the Paris Convention priority period.</w:t>
      </w:r>
    </w:p>
    <w:p>
      <w:pPr>
        <w:pStyle w:val="Normal"/>
      </w:pPr>
      <w:r>
        <w:t>25 Each Party shall apply Article 20.32 (Guidelines for Determining Whether a Term is the Term Customary in the Common Language) and Article 20.33 (Multi-Component Terms) in determining whether to grant protection or recognition of a geographical indication pursuant to this paragraph. (b) to publish online details regarding the terms that the Party is considering protecting or recognizing through an international agreement involving a Party or a non-Party, including specifying whether the protection or recognition is being considered for any translations or transliterations of those terms, and with respect to multi-component terms, specifying the components, if any, for which protection or recognition is being considered, or the components that are disclaimed; (c) in respect of opposition procedures, provide a reasonable period of time for interested persons to oppose the protection or recognition of the terms referred to in subparagraph (b). That period shall allow for a meaningful opportunity for any interested person to participate in an opposition process; and (d) inform the other Parties of the opportunity to oppose, no later than the commencement of the opposition period. 2.</w:t>
      </w:r>
    </w:p>
    <w:p>
      <w:pPr>
        <w:pStyle w:val="Normal"/>
      </w:pPr>
      <w:r>
        <w:t>In respect of international agreements referred to in paragraph 6 that permit the protection or recognition of a new geographical indication, a Party shall:26, 27 (a) apply paragraph 1(b) and apply at least procedures and grounds that are equivalent to those in Article 20.30(f), (g), (h), and (i) (Administrative Procedures for the Protection or Recognition of Geographical Indications) and Article 20.31.1 (Grounds of Denial, Opposition, and Cancellation); (b) provide an opportunity for interested persons to comment regarding the protection or recognition of the new geographical indication for a reasonable period of time before that term is protected or recognized; and (c) inform the other Parties of the opportunity to comment, no later than the commencement of the period for comment. 3. For the purposes of this Article, a Party shall not preclude the possibility that the protection or recognition of a geographical indication could cease. 4. For the purposes of this Article, a Party is not required to apply Article 20.31 (Grounds of Denial, Opposition, and Cancellation), or obligations equivalent to Article 20.31, to geographical indications for wines and spirits or applications for those geographical indications.</w:t>
      </w:r>
    </w:p>
    <w:p>
      <w:pPr>
        <w:pStyle w:val="Normal"/>
      </w:pPr>
      <w:r>
        <w:t>26 In respect of an international agreement referred to in paragraph 6 that has geographical indications that have been identified, but have not yet received protection or recognition in the territory of the Party that is a party to that agreement, that Party may fulfil the obligations of paragraph 2 by complying with the obligations of paragraph 1. 27 A Party may comply with this Article by applying Article 20.30 (Administrative Procedures for the Protection or Recognition of Geographical Indications) and Article 20.31 (Grounds of Denial, Opposition, and Cancellation). 5. The protection or recognition that each Party provides pursuant to paragraph 1 shall commence no earlier than the date on which that agreement enters into force or, if that Party grants that protection or recognition on a date after the entry into force of that agreement, on that later date. 6. No Party shall be required to apply this Article to geographical indications that have been specifically identified in, and that are protected or recognized pursuant to, an international agreement involving a Party or a non-Party, provided that the agreement:</w:t>
      </w:r>
    </w:p>
    <w:p>
      <w:pPr>
        <w:pStyle w:val="Normal"/>
      </w:pPr>
      <w:r>
        <w:t>(a) was concluded, or agreed in principle,28 prior to the date of conclusion, or agreement in principle, of this Agreement; (b) was ratified by a Party prior to the date of ratification of this Agreement by that Party; or (c) entered into force for a Party prior to the date of entry into force of this Agreement.</w:t>
      </w:r>
    </w:p>
    <w:p>
      <w:pPr>
        <w:pStyle w:val="Normal"/>
      </w:pPr>
      <w:r>
        <w:t>Section F: Patents and Undisclosed Test or Other Data Subsection A: General Patents</w:t>
      </w:r>
    </w:p>
    <w:p>
      <w:pPr>
        <w:pStyle w:val="Heading2"/>
      </w:pPr>
      <w:bookmarkStart w:id="1200045" w:name="_Toc901200045"/>
      <w:r>
        <w:t>Article 20.36: Patentable Subject Matter</w:t>
      </w:r>
      <w:bookmarkEnd w:id="1200045"/>
    </w:p>
    <w:p>
      <w:pPr/>
      <w:r>
        <w:t>1. Subject to paragraphs 2 and 3, each Party shall make patents available for any invention, whether a product or process, in all fields of technology, provided that the invention is new, involves an inventive step, and is capable of industrial application.29</w:t>
      </w:r>
    </w:p>
    <w:p>
      <w:pPr/>
      <w:r>
        <w:t>2. A Party may exclude from patentability inventions, the prevention within their territory of the commercial exploitation of which is necessary to protect ordre public or morality, including to protect human, animal, or plant life or health or to avoid serious prejudice to nature or the environment, provided that such exclusion is not made merely because the exploitation is prohibited by its law. A Party may also exclude from patentability: (a) diagnostic, therapeutic, and surgical methods for the treatment of humans or animals; (b) animals other than microorganisms, and essentially biological processes for the production of plants or animals, other than non-biological and microbiological processes.</w:t>
      </w:r>
    </w:p>
    <w:p>
      <w:pPr/>
      <w:r>
        <w:t>3. A Party may also exclude from patentability plants other than microorganisms. However, consistent with paragraph 1 and subject to paragraph 2, each Party confirms that patents are available at least for inventions that are derived from plants.</w:t>
      </w:r>
    </w:p>
    <w:p>
      <w:pPr/>
      <w:r>
        <w:t>28 For the purpose of this Article, an agreement “agreed in principle” means an agreement involving another government, government entity, or international organization in respect of which a political understanding has been reached and the negotiated outcomes of the agreement have been publically announced. 29 For the purposes of this Section, a Party may deem the terms “inventive step” and “capable of industrial application” to be synonymous with the terms “non-obvious” and “useful”, respectively. In determinations regarding inventive step, or non-obviousness, each Party shall consider whether the claimed invention would have been obvious to a person skilled in the art, or having ordinary skill in the art, having regard to the prior art.</w:t>
      </w:r>
    </w:p>
    <w:p>
      <w:pPr>
        <w:pStyle w:val="Heading2"/>
      </w:pPr>
      <w:bookmarkStart w:id="1200046" w:name="_Toc901200046"/>
      <w:r>
        <w:t>Article 20.37: Grace Period</w:t>
      </w:r>
      <w:bookmarkEnd w:id="1200046"/>
    </w:p>
    <w:p>
      <w:pPr>
        <w:pStyle w:val="Normal"/>
      </w:pPr>
      <w:r>
        <w:t>Each Party shall disregard at least information contained in public disclosures used to determine if an invention is novel or has an inventive step, if the public disclosure:30 (a) was made by the patent applicant or by a person that obtained the information directly or indirectly from the patent applicant; and (b) occurred within twelve months prior to the filing date in the territory of the Party.</w:t>
      </w:r>
    </w:p>
    <w:p>
      <w:pPr>
        <w:pStyle w:val="Heading2"/>
      </w:pPr>
      <w:bookmarkStart w:id="1200047" w:name="_Toc901200047"/>
      <w:r>
        <w:t>Article 20.38: Patent Revocation</w:t>
      </w:r>
      <w:bookmarkEnd w:id="1200047"/>
    </w:p>
    <w:p>
      <w:pPr>
        <w:pStyle w:val="Normal"/>
      </w:pPr>
      <w:r>
        <w:t>1. Each Party shall provide that a patent may be cancelled, revoked, or nullified only on grounds that would have justified a refusal to grant the patent. A Party may also provide that fraud, misrepresentation, or inequitable conduct may be the basis for cancelling, revoking, or nullifying a patent or holding a patent unenforceable. 2. Notwithstanding paragraph 1, a Party may provide that a patent may be revoked, provided it is done in a manner consistent with Article 5A of the Paris Convention and the TRIPS Agreement. 30 For greater certainty, a Party may limit the application of this Article to disclosures made by, or obtained directly or indirectly from, the inventor or joint inventor. For greater certainty, a Party may provide that, for the purposes of this Article, information obtained directly or indirectly from the patent applicant may be information contained in the public disclosure that was authorized by, or derived from, the patent applicant.</w:t>
      </w:r>
    </w:p>
    <w:p>
      <w:pPr>
        <w:pStyle w:val="Heading2"/>
      </w:pPr>
      <w:bookmarkStart w:id="1200048" w:name="_Toc901200048"/>
      <w:r>
        <w:t>Article 20.39: Exceptions</w:t>
      </w:r>
      <w:bookmarkEnd w:id="1200048"/>
    </w:p>
    <w:p>
      <w:pPr>
        <w:pStyle w:val="Normal"/>
      </w:pPr>
      <w:r>
        <w:t>A Party may provide limited exceptions to the exclusive rights conferred by a patent, provided that those exceptions do not unreasonably conflict with a normal exploitation of the patent and do not unreasonably prejudice the legitimate interests of the patent owner, taking account of the legitimate interests of third parties.</w:t>
      </w:r>
    </w:p>
    <w:p>
      <w:pPr>
        <w:pStyle w:val="Heading2"/>
      </w:pPr>
      <w:bookmarkStart w:id="1200049" w:name="_Toc901200049"/>
      <w:r>
        <w:t>Article 20.40: Other Use Without Authorization of the Right Holder</w:t>
      </w:r>
      <w:bookmarkEnd w:id="1200049"/>
    </w:p>
    <w:p>
      <w:pPr>
        <w:pStyle w:val="Normal"/>
      </w:pPr>
      <w:r>
        <w:t>The Parties understand that nothing in this Chapter limits a Party’s rights and obligations under Article 31 of the TRIPS Agreement, and any waiver of or amendment to that Article that the Parties accept.</w:t>
      </w:r>
    </w:p>
    <w:p>
      <w:pPr>
        <w:pStyle w:val="Heading2"/>
      </w:pPr>
      <w:bookmarkStart w:id="1200050" w:name="_Toc901200050"/>
      <w:r>
        <w:t>Article 20.41: Amendments, Corrections, and Observations</w:t>
      </w:r>
      <w:bookmarkEnd w:id="1200050"/>
    </w:p>
    <w:p>
      <w:pPr>
        <w:pStyle w:val="Normal"/>
      </w:pPr>
      <w:r>
        <w:t>Each Party shall provide a patent applicant with at least one opportunity to make amendments, corrections, and observations in connection with its application.31</w:t>
      </w:r>
    </w:p>
    <w:p>
      <w:pPr>
        <w:pStyle w:val="Heading2"/>
      </w:pPr>
      <w:bookmarkStart w:id="1200051" w:name="_Toc901200051"/>
      <w:r>
        <w:t>Article 20.42: Publication of Patent Applications</w:t>
      </w:r>
      <w:bookmarkEnd w:id="1200051"/>
    </w:p>
    <w:p>
      <w:pPr>
        <w:pStyle w:val="Normal"/>
      </w:pPr>
      <w:r>
        <w:t>1. Recognizing the benefits of transparency in the patent system, each Party shall endeavor to publish unpublished pending patent applications promptly after the expiration of 18 months from the filing date or, if priority is claimed, from the earliest priority date. 2. If a pending application is not published promptly in accordance with paragraph 1, a Party shall publish that application or the corresponding patent, as soon as practicable. 3. Each Party shall provide that an applicant may request the early publication of an application prior to the expiration of the period referred to in paragraph 1.</w:t>
      </w:r>
    </w:p>
    <w:p>
      <w:pPr>
        <w:pStyle w:val="Heading2"/>
      </w:pPr>
      <w:bookmarkStart w:id="1200052" w:name="_Toc901200052"/>
      <w:r>
        <w:t>Article 20.43: Information Relating to Published Patent Applications and Granted Patents</w:t>
      </w:r>
      <w:bookmarkEnd w:id="1200052"/>
    </w:p>
    <w:p>
      <w:pPr>
        <w:pStyle w:val="Normal"/>
      </w:pPr>
      <w:r>
        <w:t>For published patent applications and granted patents, and in accordance with the Party’s requirements for prosecution of those applications and patents, each Party shall make available to 31 A Party may provide that those amendments or corrections must not exceed the scope of the disclosure of the invention, as of the filing date. the public at least the following information, to the extent that this information is in the possession of the competent authorities and is generated on, or after, the date of the entry into force of this Agreement: (a) search and examination results, including details of, or information related to, relevant prior art searches; (b) as appropriate, non-confidential communications from applicants; and (c) patent and non-patent related literature citations submitted by applicants and relevant third parties.</w:t>
      </w:r>
    </w:p>
    <w:p>
      <w:pPr>
        <w:pStyle w:val="Heading2"/>
      </w:pPr>
      <w:bookmarkStart w:id="1200053" w:name="_Toc901200053"/>
      <w:r>
        <w:t>Article 20.44: Patent Term Adjustment for Unreasonable Granting Authority Delays</w:t>
      </w:r>
      <w:bookmarkEnd w:id="1200053"/>
    </w:p>
    <w:p>
      <w:pPr>
        <w:pStyle w:val="Normal"/>
      </w:pPr>
      <w:r>
        <w:t>1. Each Party shall make best efforts to process patent applications in an efficient and timely manner, with a view to avoiding unreasonable or unnecessary delays. 2. A Party may provide procedures for a patent applicant to request to expedite the examination of its patent application. 3. If there are unreasonable delays in a Party’s issuance of a patent, that Party shall provide the means to, and at the request of the patent owner shall, adjust the term of the patent to compensate for those delays. 4. For the purposes of this Article, an unreasonable delay at least shall include a delay in the issuance of a patent of more than five years from the date of filing of the application in the territory of the Party, or three years after a request for examination of the application has been made, whichever is later.</w:t>
      </w:r>
    </w:p>
    <w:p>
      <w:pPr>
        <w:pStyle w:val="Normal"/>
      </w:pPr>
      <w:r>
        <w:t>A Party may exclude, from the determination of those delays, periods of time that do not occur during the processing32 of, or the examination of, the patent application by the granting authority; periods of time that are not directly attributable33 to the granting authority; as well as periods of time that are attributable to the patent applicant.34 32 For the purposes of this paragraph, a Party may interpret processing to mean initial administrative processing and administrative processing at the time of grant.</w:t>
      </w:r>
    </w:p>
    <w:p>
      <w:pPr>
        <w:pStyle w:val="Normal"/>
      </w:pPr>
      <w:r>
        <w:t>33 A Party may treat delays “that are not directly attributable to the granting authority” as delays that are outside the direction or control of the granting authority. 34 Notwithstanding Article 20.10 (Application of Chapter to Existing Subject Matter and Prior Acts), this Article shall apply to all patent applications filed after the date of entry into force of this Agreement, or the date two years after the signing of this Agreement, whichever is later. Subsection B: Measures Relating to Agricultural Chemical Products</w:t>
      </w:r>
    </w:p>
    <w:p>
      <w:pPr>
        <w:pStyle w:val="Heading2"/>
      </w:pPr>
      <w:bookmarkStart w:id="1200054" w:name="_Toc901200054"/>
      <w:r>
        <w:t>Article 20.45: Protection of Undisclosed Test or Other Data for Agricultural Chemical Products</w:t>
      </w:r>
      <w:bookmarkEnd w:id="1200054"/>
    </w:p>
    <w:p>
      <w:pPr>
        <w:pStyle w:val="Normal"/>
      </w:pPr>
      <w:r>
        <w:t>1. If a Party requires, as a condition for granting marketing approval35 for a new agricultural chemical product, the submission of undisclosed test or other data concerning the safety and efficacy of the product,36 that Party shall not permit third persons, without the consent of the person that previously submitted that information, to market the same or a similar37 product on the basis of that information or the marketing approval granted to the person that submitted that test or other data for at least 10 years38 from the date of marketing approval of the new agricultural chemical product in the territory of the Party. 2.</w:t>
      </w:r>
    </w:p>
    <w:p>
      <w:pPr>
        <w:pStyle w:val="Normal"/>
      </w:pPr>
      <w:r>
        <w:t>If a Party permits, as a condition of granting marketing approval for a new agricultural chemical product, the submission of evidence of a prior marketing approval of the product in another territory, that Party shall not permit third persons, without the consent of the person that previously submitted undisclosed test or other data concerning the safety and efficacy of the product in support of that prior marketing approval, to market the same or a similar product based on that undisclosed test or other data, or other evidence of the prior marketing approval in the other territory, for at least 10 years from the date of marketing approval of the new agricultural chemical product in the territory of the Party. 3.</w:t>
      </w:r>
    </w:p>
    <w:p>
      <w:pPr>
        <w:pStyle w:val="Normal"/>
      </w:pPr>
      <w:r>
        <w:t>For the purposes of this Article, a new agricultural chemical product is one that contains a chemical entity that has not been previously approved in the territory of the Party for use in an agricultural chemical product. 35 For the purposes of this Chapter, the term “marketing approval” is synonymous with “sanitary approval” under a Party’s law. 36 Each Party confirms that the obligations of this Article apply to cases in which the Party requires the submission of undisclosed test or other data concerning: (a) only the safety of the product, (b) only the efficacy of the product, or (c) both. 37 For greater certainty, for the purposes of this Section, an agricultural chemical product is “similar” to a previously approved agricultural chemical product if the marketing approval, or, in the alternative, the applicant’s request for that approval, of that similar agricultural chemical product is based upon the undisclosed test or other data concerning the safety and efficacy of the previously approved agricultural chemical product, or the prior approval of that previously approved product. 38 For greater certainty, a Party may limit the period of protection under this Article to 10 years. Subsection C: Measures Relating to Pharmaceutical Products</w:t>
      </w:r>
    </w:p>
    <w:p>
      <w:pPr>
        <w:pStyle w:val="Heading2"/>
      </w:pPr>
      <w:bookmarkStart w:id="1200055" w:name="_Toc901200055"/>
      <w:r>
        <w:t>Article 20.46: Patent Term Adjustment for Unreasonable Curtailment</w:t>
      </w:r>
      <w:bookmarkEnd w:id="1200055"/>
    </w:p>
    <w:p>
      <w:pPr>
        <w:pStyle w:val="Normal"/>
      </w:pPr>
      <w:r>
        <w:t>1. Each Party shall make best efforts to process applications for marketing approval of pharmaceutical products in an efficient and timely manner, with a view to avoiding unreasonable or unnecessary delays. 2. With respect to a pharmaceutical product that is subject to a patent, each Party shall make available an adjustment39 of the patent term to compensate the patent owner for unreasonable curtailment of the effective patent term as a result of the marketing approval process. 39 For greater certainty, a Party may alternatively make available a period of additional sui generis protection to compensate for unreasonable curtailment of the effective patent term as a result of the marketing approval process. The sui generis protection must confer the rights conferred by the patent, subject to any conditions and limitations pursuant to paragraph 3. 3. For greater certainty, in implementing the obligations of this Article, each Party may provide for conditions and limitations, provided that the Party continues to give effect to this Article.40 4. With the objective of avoiding unreasonable curtailment of the effective patent term, a Party may adopt or maintain procedures that expedite the processing of marketing approval applications. 40 Such conditions and limitations with respect to paragraph 3 may include, among other things: (i) limiting the applicability of paragraph 2 to a single patent term adjustment for each pharmaceutical product that has been granted marketing approval; (ii) requiring the adjustment to be based on the first marketing approval granted to the pharmaceutical product in that Party; (iii) limiting the period of the adjustment to a maximum of 5 years; and (iv) if a Party makes available a period of additional sui generis protection, limiting the period of the additional sui generis protection to a maximum of 2 years.</w:t>
      </w:r>
    </w:p>
    <w:p>
      <w:pPr>
        <w:pStyle w:val="Heading2"/>
      </w:pPr>
      <w:bookmarkStart w:id="1200056" w:name="_Toc901200056"/>
      <w:r>
        <w:t>Article 20.47: Regulatory Review Exception</w:t>
      </w:r>
      <w:bookmarkEnd w:id="1200056"/>
    </w:p>
    <w:p>
      <w:pPr>
        <w:pStyle w:val="Normal"/>
      </w:pPr>
      <w:r>
        <w:t>Without prejudice to the scope of, and consistent with, Article 20.39 (Exceptions), each Party shall adopt or maintain a regulatory review exception for pharmaceutical products that permits a third person to make, use, sell, offer to sell, or import in the territory of that Party a product covered by a subsisting patent solely for purposes related to generating information to meet requirements for marketing approval for the product.</w:t>
      </w:r>
    </w:p>
    <w:p>
      <w:pPr>
        <w:pStyle w:val="Heading2"/>
      </w:pPr>
      <w:bookmarkStart w:id="1200057" w:name="_Toc901200057"/>
      <w:r>
        <w:t>Article 20.48: Protection of Undisclosed Test or Other Data</w:t>
      </w:r>
      <w:bookmarkEnd w:id="1200057"/>
    </w:p>
    <w:p>
      <w:pPr>
        <w:pStyle w:val="Normal"/>
      </w:pPr>
      <w:r>
        <w:t>1. (a) If a Party requires, as a condition for granting marketing approval for a new pharmaceutical product, the submission of undisclosed test or other data concerning the safety and efficacy of the product,41 that Party shall not permit third persons, without the consent of the person that previously submitted that information,42 to market the same or a similar43 product on the basis of: (i) that information, or (ii) the marketing approval granted to the person that submitted that information, for at least five years44 from the date of marketing approval of the new pharmaceutical product in the territory of the Party;45</w:t>
      </w:r>
    </w:p>
    <w:p>
      <w:pPr>
        <w:pStyle w:val="Normal"/>
      </w:pPr>
      <w:r>
        <w:t>(b) If a Party permits, as a condition of granting marketing approval for a new pharmaceutical product, the submission of evidence of prior marketing approval of the product in another territory, that Party shall not permit third persons, without the consent of a person that previously submitted the information concerning the safety and efficacy of the product, to market a same or a similar product based on evidence relating to prior marketing approval in the other territory for at least five years from the date of marketing approval of the new pharmaceutical product in the territory of that Party.</w:t>
      </w:r>
    </w:p>
    <w:p>
      <w:pPr>
        <w:pStyle w:val="Normal"/>
      </w:pPr>
      <w:r>
        <w:t>2. Each Party shall apply paragraph 1, mutatis mutandis,46 for a period of at least five years to new pharmaceutical products that contain a chemical entity that has not been previously approved in that Party.47</w:t>
      </w:r>
    </w:p>
    <w:p>
      <w:pPr>
        <w:pStyle w:val="Normal"/>
      </w:pPr>
      <w:r>
        <w:t>3. Notwithstanding paragraphs 1 and 2, a Party may take measures to protect public health in accordance with: (a) the Declaration on TRIPS and Public Health; (b) any waiver of a provision of the TRIPS Agreement granted by WTO Members in accordance with the WTO Agreement to implement the Declaration on TRIPS and Public Health and that is in force between the Parties; or (c) any amendment of the TRIPS Agreement to implement the Declaration on TRIPS and Public Health that enters into force with respect to the Parties.</w:t>
      </w:r>
    </w:p>
    <w:p>
      <w:pPr>
        <w:pStyle w:val="Normal"/>
      </w:pPr>
      <w:r>
        <w:t>41 Each Party confirms that the obligations of this Article apply to cases in which the Party requires the submission of undisclosed test or other data concerning: (i) only the safety of the product, (ii) only the efficacy of the product, or (iii) both. 42 For greater certainty, a Party may deem that such person has provided consent if, after that person is directly notified by a third person that an unexpired applicable patent claiming the approved product or its approved method of use is invalid or is not infringed by the product for which the third person is seeking marketing approval, an infringement action is not initiated against the third person with respect to the patent within 45 days of the notification. 43 For greater certainty, for the purposes of this Section, a pharmaceutical product is “similar” to a previously approved pharmaceutical product if the marketing approval, or, in the alternative, the applicant’s request for that approval, of that similar pharmaceutical product is based upon the undisclosed test or other data concerning the safety and efficacy of the previously approved pharmaceutical product, or the prior approval of that previously approved product. 44 For greater certainty, a Party may limit the period of protection under paragraph 1 to five years. 45 For greater certainty, the Parties understand that the United States may comply with the obligations in subparagraph (a) with respect to “the same or a similar product” through 21 U.S.C. §§ 355(c)(3)(E)(ii) and 355(j)(5)(F)(ii), 42 U.S.C. § 262(k)(7), and the regulations implemented at 21 C.F.R. 314. 46 A Party that provides a period of at least eight years of protection under paragraph 1 is not required to apply paragraph 2. 47 For the purposes of paragraph 2, a Party may choose to protect only the undisclosed test or other data concerning the safety and efficacy relating to the chemical entity that has not been previously approved.</w:t>
      </w:r>
    </w:p>
    <w:p>
      <w:pPr>
        <w:pStyle w:val="Normal"/>
      </w:pPr>
      <w:r/>
    </w:p>
    <w:p>
      <w:pPr>
        <w:pStyle w:val="Normal"/>
      </w:pPr>
      <w:r/>
    </w:p>
    <w:p>
      <w:pPr>
        <w:pStyle w:val="Normal"/>
      </w:pPr>
      <w:r/>
    </w:p>
    <w:p>
      <w:pPr>
        <w:pStyle w:val="Normal"/>
      </w:pPr>
      <w:r/>
    </w:p>
    <w:p>
      <w:pPr>
        <w:pStyle w:val="Heading2"/>
      </w:pPr>
      <w:bookmarkStart w:id="1200058" w:name="_Toc901200058"/>
      <w:r>
        <w:t>Article 20.49: Definition of New Pharmaceutical Product</w:t>
      </w:r>
      <w:bookmarkEnd w:id="1200058"/>
    </w:p>
    <w:p>
      <w:pPr>
        <w:pStyle w:val="Normal"/>
      </w:pPr>
      <w:r>
        <w:t>For the purposes of Article 20.48.1 (Protection of Undisclosed Test or Other Data), a new pharmaceutical product means a pharmaceutical product that does not contain a chemical entity that has been previously approved in that Party.</w:t>
      </w:r>
    </w:p>
    <w:p>
      <w:pPr>
        <w:pStyle w:val="Heading2"/>
      </w:pPr>
      <w:bookmarkStart w:id="1200059" w:name="_Toc901200059"/>
      <w:r>
        <w:t>Article 20.50: Measures Relating to the Marketing of Certain Pharmaceutical Products</w:t>
      </w:r>
      <w:r>
        <w:rPr>
          <w:vertAlign w:val="superscript"/>
        </w:rPr>
        <w:t>48</w:t>
      </w:r>
      <w:bookmarkEnd w:id="1200059"/>
    </w:p>
    <w:p>
      <w:pPr>
        <w:pStyle w:val="Normal"/>
      </w:pPr>
      <w:r>
        <w:t>1. If a Party permits, as a condition of approving the marketing of a pharmaceutical product, persons, other than the person originally submitting the safety and efficacy information, to rely on evidence or information concerning the safety and efficacy of a product that was previously approved, such as evidence of prior marketing approval by the Party or in another territory, that Party shall provide: (a) a system to provide notice to a patent holder49 or to allow for a patent holder to be notified prior to the marketing of such a pharmaceutical product, that such other person is seeking to market that product during the term of an applicable patent claiming the approved product or its approved method of use;</w:t>
      </w:r>
    </w:p>
    <w:p>
      <w:pPr>
        <w:pStyle w:val="Normal"/>
      </w:pPr>
      <w:r>
        <w:t>(b) adequate time and sufficient opportunity for such a patent holder to seek, prior to the marketing of an allegedly infringing product, available remedies in subparagraph (c); and (c) procedures, such as judicial or administrative proceedings, and expeditious remedies, such as preliminary injunctions or equivalent effective provisional measures, for the timely resolution of disputes concerning the validity or infringement of an applicable patent claiming an approved pharmaceutical product or its approved method of use. 2.</w:t>
      </w:r>
    </w:p>
    <w:p>
      <w:pPr>
        <w:pStyle w:val="Normal"/>
      </w:pPr>
      <w:r>
        <w:t>2. Further to paragraph 1, that Party may also provide: (a) effective rewards for a successful assertion of the invalidity or non-infringement of the applicable patent;50 and (b) procedures, consistent with its obligations under this Chapter, to promote transparency by providing information regarding applicable patents and relevant periods of exclusivity for pharmaceutical products that have been approved in that Party. 48 Annex 20-A applies to this Article. 49 For greater certainty, for the purposes of this Article, a Party may provide that a “patent holder” includes a patent licensee or the authorized holder of marketing approval. 50 Effective rewards may include providing a period of marketing exclusivity to the first applicant that successfully asserts the invalidity or non-infringement of the patent in accordance with the Party’s marketing approval process.</w:t>
      </w:r>
    </w:p>
    <w:p>
      <w:pPr>
        <w:pStyle w:val="Heading2"/>
      </w:pPr>
      <w:bookmarkStart w:id="1200060" w:name="_Toc901200060"/>
      <w:r>
        <w:t>Article 20.51: Alteration of Period of Protection</w:t>
      </w:r>
      <w:bookmarkEnd w:id="1200060"/>
    </w:p>
    <w:p>
      <w:pPr>
        <w:pStyle w:val="Normal"/>
      </w:pPr>
      <w:r>
        <w:t>Subject to Article 20.48.3 (Protection of Undisclosed Test or Other Data), if a product is subject to a system of marketing approval in the territory of a Party pursuant to Article 20.45 (Protection of Undisclosed Test or Other Data for Agricultural Chemical Products) or Article 20.48 and is also covered by a patent in the territory of that Party, that Party shall not alter the period of protection that it provides pursuant to Article 20.45 or Article 20.48 in the event that the patent protection terminates on a date earlier than the end of the period of protection specified in Article 20.45 or Article 20.48. Section G: Industrial Designs</w:t>
      </w:r>
    </w:p>
    <w:p>
      <w:pPr>
        <w:pStyle w:val="Heading2"/>
      </w:pPr>
      <w:bookmarkStart w:id="1200061" w:name="_Toc901200061"/>
      <w:r>
        <w:t>Article 20.52: Protection</w:t>
      </w:r>
      <w:bookmarkEnd w:id="1200061"/>
    </w:p>
    <w:p>
      <w:pPr>
        <w:pStyle w:val="Normal"/>
      </w:pPr>
      <w:r>
        <w:t>1. Each Party shall ensure adequate and effective protection of industrial designs consistent with Articles 25 and 26 of the TRIPS Agreement. 2. Consistent with paragraph 1, each Party confirms that protection is available for designs embodied in a part of an article.</w:t>
      </w:r>
    </w:p>
    <w:p>
      <w:pPr>
        <w:pStyle w:val="Heading2"/>
      </w:pPr>
      <w:bookmarkStart w:id="1200062" w:name="_Toc901200062"/>
      <w:r>
        <w:t>Article 20.53: Non-Prejudicial Disclosures/Grace Period</w:t>
      </w:r>
      <w:r>
        <w:rPr>
          <w:vertAlign w:val="superscript"/>
        </w:rPr>
        <w:t>51</w:t>
      </w:r>
      <w:bookmarkEnd w:id="1200062"/>
    </w:p>
    <w:p>
      <w:pPr>
        <w:pStyle w:val="Normal"/>
      </w:pPr>
      <w:r>
        <w:t>Each Party shall disregard at least information contained in public disclosures used to determine if an industrial design is new, original, or, where applicable, non-obvious, if the public disclosure:52 (a) was made by the design applicant or by a person that obtained the information directly or indirectly from the design applicant; and (b) occurred within 12 months prior to the filing date in the territory of the Party.</w:t>
      </w:r>
    </w:p>
    <w:p>
      <w:pPr>
        <w:pStyle w:val="Heading2"/>
      </w:pPr>
      <w:bookmarkStart w:id="1200063" w:name="_Toc901200063"/>
      <w:r>
        <w:t>Article 20.54: Electronic Industrial Design System</w:t>
      </w:r>
      <w:bookmarkEnd w:id="1200063"/>
    </w:p>
    <w:p>
      <w:pPr>
        <w:pStyle w:val="Normal"/>
      </w:pPr>
      <w:r>
        <w:t>51 Articles 20.53 (Non-Prejudicial Disclosures/Grace Period) and 20.54 (Electronic Industrial Design System) apply with respect to industrial design patent systems or industrial design registration systems. 52 For greater certainty, a Party may limit the application of this Article to disclosures made by, or obtained directly or indirectly from, the creator or co-creator and provide that, for the purposes of this Article, information obtained directly or indirectly from the design applicant may be information contained in the public disclosure that was authorized by, or derived from, the design applicant. Each Party shall provide a: (a) system for the electronic application for industrial design rights; and (b) publicly available electronic information system, which must include an online database of protected industrial designs.</w:t>
      </w:r>
    </w:p>
    <w:p>
      <w:pPr>
        <w:pStyle w:val="Heading2"/>
      </w:pPr>
      <w:bookmarkStart w:id="1200064" w:name="_Toc901200064"/>
      <w:r>
        <w:t>Article 20.55: Term of Protection</w:t>
      </w:r>
      <w:bookmarkEnd w:id="1200064"/>
    </w:p>
    <w:p>
      <w:pPr>
        <w:pStyle w:val="Normal"/>
      </w:pPr>
      <w:r>
        <w:t>Each Party shall provide a term of protection for industrial designs of at least 15 years from either: (a) the date of filing, or (b) the date of grant or registration. Section H: Copyright and Related Rights</w:t>
      </w:r>
    </w:p>
    <w:p>
      <w:pPr>
        <w:pStyle w:val="Heading2"/>
      </w:pPr>
      <w:bookmarkStart w:id="1200065" w:name="_Toc901200065"/>
      <w:r>
        <w:t>Article 20.56: Definitions</w:t>
      </w:r>
      <w:bookmarkEnd w:id="1200065"/>
    </w:p>
    <w:p>
      <w:pPr>
        <w:pStyle w:val="Normal"/>
      </w:pPr>
      <w:r>
        <w:t>For the purposes of Article 20.57 (Right of Reproduction) and Article 20.59 (Right of Distribution) through Article 20.68 (Collective Management), the following definitions apply with respect to performers and producers of phonograms: broadcasting means the transmission by wireless means for public reception of sounds or of images and sounds or of the representations thereof; such transmission by satellite is also “broadcasting”; transmission of encrypted signals is “broadcasting” if the means for decrypting are provided to the public by the broadcasting organization or with its consent;</w:t>
      </w:r>
    </w:p>
    <w:p>
      <w:pPr>
        <w:pStyle w:val="Normal"/>
      </w:pPr>
      <w:r>
        <w:t>“broadcasting” does not include transmission over computer networks or any transmissions where the time and place of reception may be individually chosen by members of the public; communication to the public of a performance or a phonogram means the transmission to the public by any medium, other than by broadcasting, of sounds of a performance or the sounds or the representations of sounds fixed in a phonogram; fixation means the embodiment of sounds, or of the representations thereof, from which they can be perceived, reproduced, or communicated through a device; performers means actors, singers, musicians, dancers, and other persons who act, sing, deliver, declaim, play in, interpret, or otherwise perform literary or artistic works or expressions of folklore; phonogram means the fixation of the sounds of a performance or of other sounds, or of a representation</w:t>
      </w:r>
    </w:p>
    <w:p>
      <w:pPr>
        <w:pStyle w:val="Normal"/>
      </w:pPr>
      <w:r>
        <w:t>of sounds, other than in the form of a fixation incorporated in a cinematographic or other audio-visual work; producer of a phonogram means a person that takes the initiative and has the responsibility for the first fixation of the sounds of a performance or other sounds, or the representations of sounds; and publication of a performance or phonogram means the offering of copies of the performance or the phonogram to the public, with the consent of the right holder, and provided that copies are offered to the public in reasonable quantity.</w:t>
      </w:r>
    </w:p>
    <w:p>
      <w:pPr>
        <w:pStyle w:val="Heading2"/>
      </w:pPr>
      <w:bookmarkStart w:id="1200066" w:name="_Toc901200066"/>
      <w:r>
        <w:t>Article 20.57: Right of Reproduction</w:t>
      </w:r>
      <w:bookmarkEnd w:id="1200066"/>
    </w:p>
    <w:p>
      <w:pPr>
        <w:pStyle w:val="Normal"/>
      </w:pPr>
      <w:r>
        <w:t>Each Party shall provide53 to authors, performers, and producers of phonograms54 the exclusive right to authorize or prohibit all reproduction of their works, performances, or phonograms in any manner or form, including in electronic form.</w:t>
      </w:r>
    </w:p>
    <w:p>
      <w:pPr>
        <w:pStyle w:val="Heading2"/>
      </w:pPr>
      <w:bookmarkStart w:id="1200067" w:name="_Toc901200067"/>
      <w:r>
        <w:t>Article 20.58: Right of Communication to the Public</w:t>
      </w:r>
      <w:bookmarkEnd w:id="1200067"/>
    </w:p>
    <w:p>
      <w:pPr>
        <w:pStyle w:val="Normal"/>
      </w:pPr>
      <w:r>
        <w:t>Without prejudice to Article 11(1)(ii), Article 11bis(1)(i) and (ii), Article 11ter(1)(ii), Article 14(1)(ii), and Article 14bis(1) of the Berne Convention, each Party shall provide to authors the exclusive right to authorize or prohibit the communication to the public of their works, by wire or wireless means, including the making available to the public of their works in such a way that members of the public may access these works from a place and at a time individually chosen by them.55</w:t>
      </w:r>
    </w:p>
    <w:p>
      <w:pPr>
        <w:pStyle w:val="Heading2"/>
      </w:pPr>
      <w:bookmarkStart w:id="1200068" w:name="_Toc901200068"/>
      <w:r>
        <w:t>Article 20.59: Right of Distribution</w:t>
      </w:r>
      <w:bookmarkEnd w:id="1200068"/>
    </w:p>
    <w:p>
      <w:pPr>
        <w:pStyle w:val="Normal"/>
      </w:pPr>
      <w:r>
        <w:t>53 For greater certainty, the Parties understand that it is a matter for each Party’s law to prescribe that works, performances, or phonograms in general or any specified categories of works, performances and phonograms are not protected by copyright or related rights unless the work, performance, or phonogram has been fixed in some material form. 54 References to “authors, performers, and producers of phonograms” refer also to any of their successors in interest. 55 The Parties understand that the mere provision of physical facilities for enabling or making a communication does not in itself amount to communication within the meaning of this Chapter or the Berne Convention. The Parties further understand that nothing in this Article precludes a Party from applying Article 11bis(2) of the Berne Convention. Each Party shall provide to authors, performers, and producers of phonograms the exclusive right to authorize or prohibit the making available to the public of the original and copies56 of their works, performances, and phonograms through sale or other transfer of ownership.</w:t>
      </w:r>
    </w:p>
    <w:p>
      <w:pPr>
        <w:pStyle w:val="Heading2"/>
      </w:pPr>
      <w:bookmarkStart w:id="1200069" w:name="_Toc901200069"/>
      <w:r>
        <w:t>Article 20.60: No Hierarchy</w:t>
      </w:r>
      <w:bookmarkEnd w:id="1200069"/>
    </w:p>
    <w:p>
      <w:pPr>
        <w:pStyle w:val="Normal"/>
      </w:pPr>
      <w:r>
        <w:t>Each Party shall provide that, in cases in which authorization is needed from both the author of a work embodied in a phonogram and a performer or producer that owns rights in the phonogram, the need for the authorization of the: (a) author does not cease to exist because the authorization of the performer or producer is also required; and (b) performer or producer does not cease to exist because the authorization of the author is also required.</w:t>
      </w:r>
    </w:p>
    <w:p>
      <w:pPr>
        <w:pStyle w:val="Heading2"/>
      </w:pPr>
      <w:bookmarkStart w:id="1200070" w:name="_Toc901200070"/>
      <w:r>
        <w:t>Article 20.61: Related Rights</w:t>
      </w:r>
      <w:bookmarkEnd w:id="1200070"/>
    </w:p>
    <w:p>
      <w:pPr>
        <w:pStyle w:val="Normal"/>
      </w:pPr>
      <w:r>
        <w:t>1. Further to the protection afforded to performers and producers of phonograms as “nationals” under Article 20.8 (National Treatment), each Party shall accord the rights provided for in this Chapter to performances and phonograms first published or first fixed57 in the territory of another Party.58 A performance or phonogram is considered first published in the territory of a Party if it is published in the territory of that Party within 30 days of its original publication. 2. Each Party shall provide to performers the exclusive right to authorize or prohibit: (a) the broadcasting and communication to the public of their unfixed performances, unless the performance is already a broadcast performance; and (b) the fixation of their unfixed performances. 56 The expressions “copies” and “original and copies”, that are subject to the right of distribution in this Article, refer exclusively to fixed copies that can be put into circulation as tangible objects. 57 For the purposes of this Article, fixation means the finalization of the master tape or its equivalent.</w:t>
      </w:r>
    </w:p>
    <w:p>
      <w:pPr>
        <w:pStyle w:val="Normal"/>
      </w:pPr>
      <w:r>
        <w:t>58 For greater certainty, consistent with Article 20.8 (National Treatment), each Party shall accord to performances and phonograms first published or first fixed in the territory of another Party treatment no less favorable than it accords to performances or phonograms first published or first fixed in its own territory. 3.</w:t>
      </w:r>
    </w:p>
    <w:p>
      <w:pPr>
        <w:pStyle w:val="Normal"/>
      </w:pPr>
      <w:r>
        <w:t>(a) Each Party shall provide to performers and producers of phonograms the exclusive right to authorize or prohibit the broadcasting or any communication to the public of their performances or phonograms, by wire or wireless means59 and the making available to the public of those performances or phonograms in such a way that members of the public may access them from a place and at a time individually chosen by them. (b) Notwithstanding subparagraph (a) and Article 20.64 (Limitations and Exceptions), the application of the right referred to in subparagraph (a) to analog transmissions and non-interactive free over-the-air broadcasts, and exceptions or limitations to this right for those activities, is a matter of each Party’s law.60 (c) Each Party may adopt limitations to this right in respect of other non-interactive transmissions in accordance with Article 20.64.1 (Limitations and Exceptions), provided that the limitations do not prejudice the right of the performer or producer of phonograms to obtain equitable remuneration.</w:t>
      </w:r>
    </w:p>
    <w:p>
      <w:pPr>
        <w:pStyle w:val="Heading2"/>
      </w:pPr>
      <w:bookmarkStart w:id="1200071" w:name="_Toc901200071"/>
      <w:r>
        <w:t>Article 20.62: Term of Protection for Copyright and Related Rights</w:t>
      </w:r>
      <w:bookmarkEnd w:id="1200071"/>
    </w:p>
    <w:p>
      <w:pPr>
        <w:pStyle w:val="Normal"/>
      </w:pPr>
      <w:r>
        <w:t>Each Party shall provide that in cases in which the term of protection of a work, performance, or phonogram is to be calculated: (a) on the basis of the life of a natural person, the term shall be not less than the life of the author and 70 years after the author’s death;61 and (b) on a basis other than the life of a natural person, the term shall be: 59 For greater certainty, the obligation under this paragraph does not include broadcasting or communication to the public, by wire or wireless means, of the sounds or representations of sounds fixed in a phonogram that are incorporated in a cinematographic or other audio-visual work.</w:t>
      </w:r>
    </w:p>
    <w:p>
      <w:pPr>
        <w:pStyle w:val="Normal"/>
      </w:pPr>
      <w:r>
        <w:t>60 For the purposes of this subparagraph the Parties understand that a Party may provide for the retransmission of non-interactive, free over-the-air broadcasts, provided that these retransmissions are lawfully permitted by that Party’s government communications authority; any entity engaging in these retransmissions complies with the relevant rules, orders, or regulations of that authority; and these retransmissions do not include those delivered and accessed over the Internet. For greater certainty this footnote does not limit a Party’s ability to avail itself of this subparagraph.</w:t>
      </w:r>
    </w:p>
    <w:p>
      <w:pPr>
        <w:pStyle w:val="Normal"/>
      </w:pPr>
      <w:r>
        <w:t>61 The Parties understand that if a Party provides its nationals a term of copyright protection that exceeds life of the author plus 70 years, nothing in this Article or Article 20.8 (National Treatment) precludes that Party from applying Article 7(8) of the Berne Convention with respect to the term in excess of the term provided in this subparagraph of protection for works of another Party. (i) not less than 75 years from the end of the calendar year of the first authorized publication62 of the work, performance, or phonogram, or (ii) failing such authorized publication within 25 years from the creation of the work, performance, or phonogram, not less than 70 years from the end of the calendar year of the creation of the work, performance, or phonogram.</w:t>
      </w:r>
    </w:p>
    <w:p>
      <w:pPr>
        <w:pStyle w:val="Heading2"/>
      </w:pPr>
      <w:bookmarkStart w:id="1200072" w:name="_Toc901200072"/>
      <w:r>
        <w:t>Article 20.63: Application of Article 18 of the Berne Convention and Article 14.6 of the TRIPS Agreement</w:t>
      </w:r>
      <w:bookmarkEnd w:id="1200072"/>
    </w:p>
    <w:p>
      <w:pPr>
        <w:pStyle w:val="Normal"/>
      </w:pPr>
      <w:r>
        <w:t>Each Party shall apply Article 18 of the Berne Convention and Article 14.6 of the TRIPS Agreement, mutatis mutandis, to works, performances, and phonograms, and the rights in and protections afforded to that subject matter as required by this Section.</w:t>
      </w:r>
    </w:p>
    <w:p>
      <w:pPr>
        <w:pStyle w:val="Heading2"/>
      </w:pPr>
      <w:bookmarkStart w:id="1200073" w:name="_Toc901200073"/>
      <w:r>
        <w:t>Article 20.64: Limitations and Exceptions</w:t>
      </w:r>
      <w:bookmarkEnd w:id="1200073"/>
    </w:p>
    <w:p>
      <w:pPr>
        <w:pStyle w:val="Normal"/>
      </w:pPr>
      <w:r>
        <w:t>1. With respect to this Section, each Party shall confine limitations or exceptions to exclusive rights to certain special cases that do not conflict with a normal exploitation of the work, performance, or phonogram, and do not unreasonably prejudice the legitimate interests of the right holder. 2. This Article does not reduce or extend the scope of applicability of the limitations and exceptions permitted by the TRIPS Agreement, the Berne Convention, the WCT, or the WPPT.</w:t>
      </w:r>
    </w:p>
    <w:p>
      <w:pPr>
        <w:pStyle w:val="Heading2"/>
      </w:pPr>
      <w:bookmarkStart w:id="1200074" w:name="_Toc901200074"/>
      <w:r>
        <w:t>Article 20.65: Contractual Transfers</w:t>
      </w:r>
      <w:bookmarkEnd w:id="1200074"/>
    </w:p>
    <w:p>
      <w:pPr>
        <w:pStyle w:val="Normal"/>
      </w:pPr>
      <w:r>
        <w:t>Each Party shall provide that for copyright and related rights, any person acquiring or holding an economic right63 in a work, performance, or phonogram: (a) may freely and separately transfer that right by contract; and 62 For greater certainty, for the purposes of subparagraph (b), if a Party’s law provides for the calculation of term from fixation rather than from the first authorized publication that Party may continue to calculate the term from fixation. 63 For greater certainty, this Article does not affect the exercise of moral rights. (b) by virtue of contract, including contracts of employment underlying the creation of works, performances, or phonograms, must be able to exercise that right in that person’s own name and enjoy fully the benefits derived from that right.64</w:t>
      </w:r>
    </w:p>
    <w:p>
      <w:pPr>
        <w:pStyle w:val="Heading2"/>
      </w:pPr>
      <w:bookmarkStart w:id="1200075" w:name="_Toc901200075"/>
      <w:r>
        <w:t>Article 20.66: Technological Protection Measures</w:t>
      </w:r>
      <w:r>
        <w:rPr>
          <w:vertAlign w:val="superscript"/>
        </w:rPr>
        <w:t>65</w:t>
      </w:r>
      <w:bookmarkEnd w:id="1200075"/>
    </w:p>
    <w:p>
      <w:pPr>
        <w:pStyle w:val="Normal"/>
      </w:pPr>
      <w:r>
        <w:t>1. In order to provide adequate legal protection and effective legal remedies against the circumvention of effective technological measures that authors, performers, and producers of phonograms use in connection with the exercise of their rights and that restrict unauthorized acts in respect of their works, performances, and phonograms, each Party shall provide66 that a person who: (a) knowingly, or having reasonable grounds to know,67 circumvents without authority an effective technological measure that controls access to a protected work, performance, or phonogram;68 or (b) manufactures, imports, distributes, offers for sale or rental to the public, or otherwise provides devices, products, or components, or offers to the public or provides services, that: (i) are promoted, advertised, or otherwise marketed by that person for the purpose of circumventing any effective technological measure, 64 Nothing in this Article affects a Party’s ability to establish: (i) which specific contracts underlying the creation of works, performances, or phonograms shall, in the absence of a written agreement, result in a transfer of economic rights by operation of law; and (ii) reasonable limits to protect the interests of the original right holders, taking into account the legitimate interests of the transferees.</w:t>
      </w:r>
    </w:p>
    <w:p>
      <w:pPr>
        <w:pStyle w:val="Normal"/>
      </w:pPr>
      <w:r>
        <w:t>65 Nothing in this Agreement requires a Party to restrict the importation or domestic sale of a device that does not render effective a technological measure the only purpose of which is to control market segmentation for legitimate physical copies of a cinematographic film, and is not otherwise a violation of its law. 66 A Party that, prior to the date of entry into force of this Agreement, maintains legal protections for technological protection measures consistent with Article 20.66.1 (Technological Protection Measures), may maintain its current scope of limitations, exceptions, and regulations regarding circumvention. 67 For greater certainty, for the purposes of this subparagraph, a Party may provide that reasonable grounds to know may be demonstrated through reasonable evidence, taking into account the facts and circumstances surrounding the alleged illegal act. 68 For greater certainty, no Party is required to impose civil or criminal liability under this subparagraph for a person that circumvents any effective technological measure that protects any of the exclusive rights of copyright or related rights in a protected work, performance, or phonogram, but does not control access to that work, performance, or phonogram.</w:t>
      </w:r>
    </w:p>
    <w:p>
      <w:pPr>
        <w:pStyle w:val="Normal"/>
      </w:pPr>
      <w:r>
        <w:t>(ii) have only a limited commercially significant purpose or use other than to circumvent any effective technological measure, or (iii) are primarily designed, produced, or performed for the purpose of circumventing any effective technological measure, is liable and subject to the remedies provided for in Article 20.81.18 (Civil and Administrative Procedures and Remedies).69 Each Party shall provide for criminal procedures and penalties to be applied when a person, other than a non-profit library, archive,70 educational institution, or public non-commercial broadcasting entity, is found to have engaged willfully and for the purposes of commercial advantage or financial gain in any of the foregoing activities. Criminal procedures and penalties listed in subparagraphs (a), (c), and (f) of Article 20.84.6 (Criminal Procedures and Penalties) shall apply, as applicable to infringements mutatis mutandis, to the activities described in subparagraphs (a) and (b) of this paragraph. 2. In implementing paragraph 1, no Party shall be obligated to require that the design of, or the design and selection of parts and components for, a consumer electronics, telecommunications, or computing product provide for a response to any particular technological measure, so long as the product does not otherwise violate any measure implementing paragraph 1. 3.</w:t>
      </w:r>
    </w:p>
    <w:p>
      <w:pPr>
        <w:pStyle w:val="Normal"/>
      </w:pPr>
      <w:r>
        <w:t>Each Party shall provide that a violation of a measure implementing this Article is a separate cause of action, independent of any infringement that might occur under the Party’s law on copyright and related rights. 4. Each Party shall confine exceptions and limitations to measures implementing paragraph 1 to the following activities, which shall be applied to relevant measures in accordance with paragraph 5:71 (a) non-infringing reverse engineering activities with regard to a lawfully obtained copy of a computer program, carried out in good faith with respect to particular elements of that computer program that have not been readily available to the For greater certainty, no Party is required to impose liability under this Article and Article 20.67 (Rights Management Information) for actions taken by that Party or a third person acting with authorization or consent of the Party. 70 For greater certainty, a Party may treat a non-profit museum as a non-profit archive. 71 A Party may request consultations with the other Parties to consider how to address, under paragraph 4, activities of a similar nature that a Party identifies after the date this Agreement enters into force.</w:t>
      </w:r>
    </w:p>
    <w:p>
      <w:pPr>
        <w:pStyle w:val="Normal"/>
      </w:pPr>
      <w:r>
        <w:t>person engaged in those activities, for the sole purpose of achieving interoperability of an independently created computer program with other programs; (b) non-infringing good faith activities, carried out by an appropriately qualified researcher who has lawfully obtained a copy, unfixed performance, or display of a work, performance, or phonogram and who has made a good faith effort to obtain authorization for those activities, to the extent necessary for the sole purpose of research consisting of identifying and analyzing flaws and vulnerabilities of technologies for scrambling and descrambling of information; (c) the inclusion of a component or part for the sole purpose of preventing the access of minors to inappropriate online content in a technology, product, service, or device that itself is not prohibited under the measures implementing paragraph (1)(b); (d) non-infringing good faith activities that are authorized by the owner of a computer, computer system, or computer network for the sole purpose of testing, investigating, or correcting the security of that computer, computer system, or computer network;</w:t>
      </w:r>
    </w:p>
    <w:p>
      <w:pPr>
        <w:pStyle w:val="Normal"/>
      </w:pPr>
      <w:r>
        <w:t>(e) non-infringing activities for the sole purpose of identifying and disabling a capability to carry out undisclosed collection or dissemination of personally identifying information reflecting the online activities of a natural person in a way that has no other effect on the ability of any person to gain access to any work; (f) lawfully authorized activities</w:t>
      </w:r>
    </w:p>
    <w:p>
      <w:pPr>
        <w:pStyle w:val="Normal"/>
      </w:pPr>
      <w:r>
        <w:t>carried out by government employees, agents, or contractors for the purpose of law enforcement, intelligence, essential security, or similar governmental purposes; (g) access by a nonprofit library, archive, or educational institution to a work, performance, or phonogram not otherwise available to it, for the sole purpose of making acquisition decisions; and (h) in addition, a Party may provide additional exceptions or limitations for non- infringing uses of a particular class of works, performances, or phonograms, when an actual or likely adverse impact on those non-infringing uses is demonstrated by substantial evidence in a legislative, regulatory, or administrative proceeding in accordance with the Party’s law. 5. The exceptions and limitations to measures implementing paragraph 1 for the activities set forth in paragraph 4 may only be applied as follows, and only to the extent that they do not impair the adequacy of legal protection or the effectiveness of legal remedies against the circumvention of effective technological measures under the Party’s legal system:</w:t>
      </w:r>
    </w:p>
    <w:p>
      <w:pPr>
        <w:pStyle w:val="Normal"/>
      </w:pPr>
      <w:r>
        <w:t>(a) measures implementing paragraph (1)(a) may be subject to exceptions and limitations with respect to each activity set forth in paragraph (4); (b) measures implementing paragraph (1)(b), as they apply to effective technological measures that control access to a work, performance, or phonogram, may be subject to exceptions and limitations with respect to activities set forth in paragraphs (4)(a), (b), (c),</w:t>
      </w:r>
    </w:p>
    <w:p>
      <w:pPr>
        <w:pStyle w:val="Normal"/>
      </w:pPr>
      <w:r>
        <w:t>(d), and (f); and (c) measures implementing paragraph (1)(b), as they apply to effective technological measures that protect any copyright or any rights related to copyright, may be subject to exceptions and limitations with respect to activities set forth in paragraphs (4)(a) and (f). 6. Effective technological measure means a technology, device, or component that, in the normal course of its operation, controls access to a protected work, performance, or phonogram, or protects copyright or rights related to copyright.72</w:t>
      </w:r>
    </w:p>
    <w:p>
      <w:pPr>
        <w:pStyle w:val="Heading2"/>
      </w:pPr>
      <w:bookmarkStart w:id="1200076" w:name="_Toc901200076"/>
      <w:r>
        <w:t>Article 20.67: Rights Management Information</w:t>
      </w:r>
      <w:r>
        <w:rPr>
          <w:vertAlign w:val="superscript"/>
        </w:rPr>
        <w:t>73</w:t>
      </w:r>
      <w:bookmarkEnd w:id="1200076"/>
    </w:p>
    <w:p>
      <w:pPr>
        <w:pStyle w:val="Normal"/>
      </w:pPr>
      <w:r>
        <w:t>1. In order to provide adequate and effective legal remedies to protect rights management information (RMI), each Party shall provide that any person that, without authority, and knowing, or having reasonable grounds to know, that it would induce, enable, facilitate, or conceal an infringement of the copyright or related right of authors, performers, or producers of phonograms, knowingly:74 (a) removes or alters any RMI; (b) distributes or imports for distribution RMI knowing that the RMI has been altered without authority;75 or 72 For greater certainty, a technological measure that can, in a usual case, be circumvented accidentally is not an “effective” technological measure. 73 A Party may comply with the obligations in this Article by providing legal protection only to electronic rights management information. 74 For greater certainty, a Party may extend the protection afforded by this paragraph to circumstances in which a person engages without knowledge in the acts in subparagraphs (a), (b), and (c), and to other related right holders.</w:t>
      </w:r>
    </w:p>
    <w:p>
      <w:pPr>
        <w:pStyle w:val="Normal"/>
      </w:pPr>
      <w:r>
        <w:t>A Party may meet its obligation under this subparagraph if it provides effective protection for original compilations, provided that the acts described in this subparagraph are treated as infringements of copyright in those original compilations.</w:t>
      </w:r>
    </w:p>
    <w:p>
      <w:pPr>
        <w:pStyle w:val="Normal"/>
      </w:pPr>
      <w:r>
        <w:t>(c) distributes, imports for distribution, broadcasts, communicates, or makes available to the public copies of works, performances, or phonograms, knowing that RMI has been removed or altered without authority, is liable and subject to the remedies set out in Article 20.81 (Civil and Administrative Procedures and Remedies). 2. Each Party shall provide for criminal procedures and penalties to be applied if a person is found to have engaged willfully and for purposes of commercial advantage or financial gain in any of the activities referred to in paragraph 1. 3. A Party may provide that the criminal procedures and penalties do not apply to a non profit library, museum, archive, educational institution or public non-commercial broadcasting entity.76 4. For greater certainty, nothing prevents a Party from excluding from a measure that implements paragraphs 1 through 3 a lawfully authorized activity that is carried out for the purpose of law enforcement, essential security interests, or other related governmental purposes, such as the performance of a statutory function. 5.</w:t>
      </w:r>
    </w:p>
    <w:p>
      <w:pPr>
        <w:pStyle w:val="Normal"/>
      </w:pPr>
      <w:r>
        <w:t>For greater certainty, nothing in this Article obligates a Party to require a right holder in a work, performance, or phonogram to attach RMI to copies of the work, performance, or phonogram, or to cause RMI to appear in connection with a communication of the work, performance, or phonogram to the public. 6.</w:t>
      </w:r>
    </w:p>
    <w:p>
      <w:pPr>
        <w:pStyle w:val="Normal"/>
      </w:pPr>
      <w:r>
        <w:t>RMI means: (a) information that identifies a work, performance, or phonogram, the author of the work, the performer of the performance, or the producer of the phonogram; or the owner of a right in the work, performance, or phonogram; (b) information about the terms and conditions of the use of the work, performance, or phonogram; or (c) any numbers or codes that represent the information referred to in subparagraphs (a) and (b), if any of these items is attached to a copy of the work, performance, or phonogram or appears in connection with the communication or making available of a work, performance, or phonogram to the public. 76 For greater certainty, a Party may treat a broadcasting entity established without a profit-making purpose under its law as a public non-commercial broadcasting entity.</w:t>
      </w:r>
    </w:p>
    <w:p>
      <w:pPr>
        <w:pStyle w:val="Heading2"/>
      </w:pPr>
      <w:bookmarkStart w:id="1200077" w:name="_Toc901200077"/>
      <w:r>
        <w:t>Article 20.68: Collective Management</w:t>
      </w:r>
      <w:bookmarkEnd w:id="1200077"/>
    </w:p>
    <w:p>
      <w:pPr>
        <w:pStyle w:val="Normal"/>
      </w:pPr>
      <w:r>
        <w:t>The Parties recognize the important role of collective management societies for copyright and related rights in collecting and distributing royalties77 based on practices that are fair, efficient, transparent, and accountable, which may include appropriate record keeping and reporting mechanisms. Section I: Trade Secrets78, 79</w:t>
      </w:r>
    </w:p>
    <w:p>
      <w:pPr>
        <w:pStyle w:val="Heading2"/>
      </w:pPr>
      <w:bookmarkStart w:id="1200078" w:name="_Toc901200078"/>
      <w:r>
        <w:t>Article 20.69: Protection of Trade Secrets</w:t>
      </w:r>
      <w:bookmarkEnd w:id="1200078"/>
    </w:p>
    <w:p>
      <w:pPr>
        <w:pStyle w:val="Normal"/>
      </w:pPr>
      <w:r>
        <w:t>In the course of ensuring effective protection against unfair competition as provided in Article 10bis of the Paris Convention, each Party shall ensure that persons have the legal means to prevent trade secrets lawfully in their control from being disclosed to, acquired by, or used by others (including state-owned enterprises) without their consent in a manner contrary to honest commercial practices.</w:t>
      </w:r>
    </w:p>
    <w:p>
      <w:pPr>
        <w:pStyle w:val="Heading2"/>
      </w:pPr>
      <w:bookmarkStart w:id="1200079" w:name="_Toc901200079"/>
      <w:r>
        <w:t>Article 20.70: Civil Protection and Enforcement</w:t>
      </w:r>
      <w:bookmarkEnd w:id="1200079"/>
    </w:p>
    <w:p>
      <w:pPr>
        <w:pStyle w:val="Normal"/>
      </w:pPr>
      <w:r>
        <w:t>In fulfilling its obligation under paragraphs 1 and 2 of Article 39 of the TRIPS Agreement, each Party shall: (a) provide civil judicial procedures80 for any person lawfully in control of a trade secret to prevent, and obtain redress for, the misappropriation of the trade secret by any other person; and (b) not limit the duration of protection for a trade secret, so long as the conditions in Article 20.72 (Definitions) exist. 77 For greater certainty, royalties may include equitable remuneration. 78 For greater certainty, the enforcement obligations and principles set forth in Section J also apply to the obligations in this section, as relevant. 79 For greater certainty, this Section is without prejudice to a Party’s measures protecting good faith lawful disclosures to provide evidence of a violation of that Party’s law. 80 For greater certainty, civil judicial procedures do not have to be federal provided that those procedures are available.</w:t>
      </w:r>
    </w:p>
    <w:p>
      <w:pPr>
        <w:pStyle w:val="Heading2"/>
      </w:pPr>
      <w:bookmarkStart w:id="1200080" w:name="_Toc901200080"/>
      <w:r>
        <w:t>Article 20.71: Criminal Enforcement</w:t>
      </w:r>
      <w:bookmarkEnd w:id="1200080"/>
    </w:p>
    <w:p>
      <w:pPr>
        <w:pStyle w:val="Normal"/>
      </w:pPr>
      <w:r>
        <w:t>1. Subject to paragraph 2, each Party shall provide for criminal procedures and penalties for the unauthorized and willful misappropriation81 of a trade secret. 2. With respect to the acts referred to in paragraph 1, a Party may, as appropriate, limit the availability of its procedures, or limit the level of penalties available, to one or more of the following cases in which the act is: (a) for the purposes of commercial advantage or financial gain; (b) related to a product or service in national or international commerce; or (c) intended to injure the owner of that trade secret.</w:t>
      </w:r>
    </w:p>
    <w:p>
      <w:pPr>
        <w:pStyle w:val="Heading2"/>
      </w:pPr>
      <w:bookmarkStart w:id="1200081" w:name="_Toc901200081"/>
      <w:r>
        <w:t>Article 20.72: Definitions</w:t>
      </w:r>
      <w:bookmarkEnd w:id="1200081"/>
    </w:p>
    <w:p>
      <w:pPr>
        <w:pStyle w:val="Normal"/>
      </w:pPr>
      <w:r>
        <w:t>For the purposes of this Section: trade secret means information that: (a) is secret in the sense that it is not, as a body or in the precise configuration and assembly of its components, generally known among or readily accessible to persons within the circles that normally deal with the kind of information in question; (b) has actual or potential commercial value because it is secret; and (c) has been subject to reasonable steps under the circumstances, by the person lawfully in control of the information, to keep it secret; misappropriation means the acquisition, use, or disclosure of a trade secret in a manner contrary to honest commercial practices, including the acquisition, use, or disclosure of a trade secret by a third party that knew, or had reason to know, that the trade secret was acquired in a manner contrary to honest commercial practices.82 Misappropriation does not include situations in which a person:</w:t>
      </w:r>
    </w:p>
    <w:p>
      <w:pPr>
        <w:pStyle w:val="Normal"/>
      </w:pPr>
      <w:r>
        <w:t>81 For the purposes of this Article, “willful misappropriation” requires a person to have known that the trade secret was acquired in a manner contrary to honest commercial practices. 82 For greater certainty, “misappropriation” as defined in this paragraph includes cases in which the acquisition, use, or disclosure involves a computer system.</w:t>
      </w:r>
    </w:p>
    <w:p>
      <w:pPr>
        <w:pStyle w:val="Normal"/>
      </w:pPr>
      <w:r>
        <w:t>(a) reverse engineered an item lawfully obtained; (b) independently discovered information claimed as a trade secret; or (c) acquired the subject information from another person in a legitimate without an obligation of confidentiality or knowledge that the informatio trade secret; and manner n was a manner contrary to honest commercial practices means at least practices such as breach of contract, breach of confidence, and inducement to breach, and includes the acquisition of undisclosed information by third parties that knew, or were grossly negligent in failing to know, that those practices were involved in the acquisition.</w:t>
      </w:r>
    </w:p>
    <w:p>
      <w:pPr>
        <w:pStyle w:val="Heading2"/>
      </w:pPr>
      <w:bookmarkStart w:id="1200082" w:name="_Toc901200082"/>
      <w:r>
        <w:t>Article 20.73: Provisional Measures</w:t>
      </w:r>
      <w:bookmarkEnd w:id="1200082"/>
    </w:p>
    <w:p>
      <w:pPr>
        <w:pStyle w:val="Normal"/>
      </w:pPr>
      <w:r>
        <w:t>In the civil judicial proceedings described in Article 20.70 (Civil Protection and Enforcement), each Party shall provide that its judicial authorities have the authority to order prompt and effective provisional measures, such as orders to prevent the misappropriation of the trade secret and to preserve relevant evidence.</w:t>
      </w:r>
    </w:p>
    <w:p>
      <w:pPr>
        <w:pStyle w:val="Heading2"/>
      </w:pPr>
      <w:bookmarkStart w:id="1200083" w:name="_Toc901200083"/>
      <w:r>
        <w:t>Article 20.74: Confidentiality</w:t>
      </w:r>
      <w:bookmarkEnd w:id="1200083"/>
    </w:p>
    <w:p>
      <w:pPr>
        <w:pStyle w:val="Normal"/>
      </w:pPr>
      <w:r>
        <w:t>In connection with the civil judicial proceedings described in Article 20.70 (Civil Protection and Enforcement), each Party shall provide that its civil judicial authorities have the authority to: (a) order specific procedures to protect the confidentiality of any trade secret, alleged trade secret, or any other information asserted by an interested party to be confidential; and (b) impose sanctions on parties, counsel, expert, or other person subject to those proceedings, related to violation of orders concerning the protection of a trade secret or alleged trade secret produced or exchanged in that proceeding, as well as other information asserted by an interested party to be confidential. Each Party shall further provide in its law that, in cases in which an interested party asserts information to be a trade secret, its judicial authorities shall not disclose that information without first providing that person with an opportunity to make a submission under seal that describes the interest of that person in keeping the information confidential.</w:t>
      </w:r>
    </w:p>
    <w:p>
      <w:pPr>
        <w:pStyle w:val="Heading2"/>
      </w:pPr>
      <w:bookmarkStart w:id="1200084" w:name="_Toc901200084"/>
      <w:r>
        <w:t>Article 20.75: Civil Remedies</w:t>
      </w:r>
      <w:bookmarkEnd w:id="1200084"/>
    </w:p>
    <w:p>
      <w:pPr>
        <w:pStyle w:val="Normal"/>
      </w:pPr>
      <w:r>
        <w:t>In connection with the civil judicial proceedings described in Article 20.70 (Civil Protection and Enforcement), each Party shall provide that its judicial authorities have the authority at least to order: (a) injunctive relief that conforms to Article 44 of the TRIPS Agreement against a person that misappropriated a trade secret; and (b) a person that misappropriated a trade secret to pay damages adequate to compensate the person lawfully in control of the trade secret for the injury suffered because of the misappropriation of the trade secret83 and, if appropriate, because of the proceedings to enforce the trade secret.</w:t>
      </w:r>
    </w:p>
    <w:p>
      <w:pPr>
        <w:pStyle w:val="Heading2"/>
      </w:pPr>
      <w:bookmarkStart w:id="1200085" w:name="_Toc901200085"/>
      <w:r>
        <w:t>Article 20.76: Licensing and Transfer of Trade Secrets</w:t>
      </w:r>
      <w:bookmarkEnd w:id="1200085"/>
    </w:p>
    <w:p>
      <w:pPr>
        <w:pStyle w:val="Normal"/>
      </w:pPr>
      <w:r>
        <w:t>No Party shall discourage or impede the voluntary licensing of trade secrets by imposing excessive or discriminatory conditions on those licenses or conditions that dilute the value of the trade secrets.</w:t>
      </w:r>
    </w:p>
    <w:p>
      <w:pPr>
        <w:pStyle w:val="Heading2"/>
      </w:pPr>
      <w:bookmarkStart w:id="1200086" w:name="_Toc901200086"/>
      <w:r>
        <w:t>Article 20.77: Prohibition of Unauthorized Disclosure or Use of a Trade Secret by Government Officials Outside the Scope of Their Official Duties</w:t>
      </w:r>
      <w:bookmarkEnd w:id="1200086"/>
    </w:p>
    <w:p>
      <w:pPr>
        <w:pStyle w:val="Normal"/>
      </w:pPr>
      <w:r>
        <w:t>1. In civil, criminal, and regulatory proceedings in which trade secrets may be submitted to a court or government entity, each Party shall prohibit the unauthorized disclosure of a trade secret by a government official at the central level of government outside the scope of that person’s official duties. 2. Each Party shall provide for in its law deterrent level penalties, including monetary fines, suspension or termination of employment, and imprisonment, to guard against the unauthorized disclosure of a trade secret described in paragraph 1. 83 For greater certainty, a Party may provide that the determination of damages is carried out after the determination of misappropriation. Section J: Enforcement</w:t>
      </w:r>
    </w:p>
    <w:p>
      <w:pPr>
        <w:pStyle w:val="Heading2"/>
      </w:pPr>
      <w:bookmarkStart w:id="1200087" w:name="_Toc901200087"/>
      <w:r>
        <w:t>Article 20.78: General Obligations</w:t>
      </w:r>
      <w:bookmarkEnd w:id="1200087"/>
    </w:p>
    <w:p>
      <w:pPr>
        <w:pStyle w:val="Normal"/>
      </w:pPr>
      <w:r>
        <w:t>1. Each Party shall ensure that enforcement procedures as specified in this Section are available under its law so as to permit effective action against an act of infringement of intellectual property rights covered by this Chapter, including expeditious remedies to prevent infringements and remedies that constitute a deterrent to future infringements.84 These procedures shall be applied in such a manner as to avoid the creation of barriers to legitimate trade and to provide for safeguards against their abuse. 2. Each Party confirms that the enforcement procedures set forth in Article 20.81 (Civil and Administrative Procedures and Remedies), Article 20.82 (Provisional Measures), and Article 20.84 (Criminal Procedures and Penalties) shall be available to the same extent with respect to acts of trademark infringement, as well as copyright or related rights infringement, in the digital environment. 3. Each Party shall ensure that its procedures concerning the enforcement of intellectual property rights are fair and equitable. These procedures shall not be unnecessarily complicated or costly, or entail unreasonable time-limits or unwarranted delays. 4.</w:t>
      </w:r>
    </w:p>
    <w:p>
      <w:pPr>
        <w:pStyle w:val="Normal"/>
      </w:pPr>
      <w:r>
        <w:t>This Section does not create any obligation: (a) to put in place a judicial system for the enforcement of intellectual property rights distinct from that for the enforcement of law in general, nor does it affect the capacity of each Party to enforce its law in general; or (b) with respect to the distribution of resources as between the enforcement of intellectual property rights and the enforcement of law in general. 5. In implementing this Section in its intellectual property system, each Party shall take into account the need for proportionality between the seriousness of the infringement of the intellectual property right and the applicable remedies and penalties, as well as the interests of third parties. 84 For greater certainty, and subject to Article 44 of the TRIPS Agreement and this Agreement, each Party confirms that it makes those remedies available with respect to enterprises, regardless of whether the enterprises are private or state-owned.</w:t>
      </w:r>
    </w:p>
    <w:p>
      <w:pPr>
        <w:pStyle w:val="Heading2"/>
      </w:pPr>
      <w:bookmarkStart w:id="1200088" w:name="_Toc901200088"/>
      <w:r>
        <w:t>Article 20.79: Presumptions</w:t>
      </w:r>
      <w:bookmarkEnd w:id="1200088"/>
    </w:p>
    <w:p>
      <w:pPr>
        <w:pStyle w:val="Normal"/>
      </w:pPr>
      <w:r>
        <w:t>1. In civil, criminal, and, if applicable, administrative proceedings involving copyright or related rights, each Party shall provide for a presumption85 that, in the absence of proof to the contrary: (a) the person whose name is indicated in the usual manner86 as the author, performer, or producer of the work, performance, or phonogram, or if applicable the publisher, is the designated right holder in that work, performance, or phonogram; and (b) the copyright or related right subsists in that subject matter. 2. In connection with the commencement of a civil, administrative, or criminal enforcement proceeding involving a registered trademark that has been substantively examined by its competent authority, each Party shall provide that the trademark be considered prima facie valid. 3. In connection with the commencement of a civil or administrative enforcement proceeding involving a patent that has been substantively examined and granted by the competent authority of a Party, that Party shall provide that each claim in the patent be considered prima facie to satisfy the applicable criteria of patentability in its territory.87, 88</w:t>
      </w:r>
    </w:p>
    <w:p>
      <w:pPr>
        <w:pStyle w:val="Heading2"/>
      </w:pPr>
      <w:bookmarkStart w:id="1200089" w:name="_Toc901200089"/>
      <w:r>
        <w:t>Article 20.80: Enforcement Practices with Respect to Intellectual Property Rights</w:t>
      </w:r>
      <w:bookmarkEnd w:id="1200089"/>
    </w:p>
    <w:p>
      <w:pPr>
        <w:pStyle w:val="Normal"/>
      </w:pPr>
      <w:r>
        <w:t>1. Each Party shall provide that final judicial decisions and administrative rulings of general application pertaining to the enforcement of intellectual property rights: 85 For greater certainty, a Party may implement this Article on the basis of sworn statements or documents having evidentiary value, such as statutory declarations. A Party may also provide that these presumptions are rebuttable presumptions that may be rebutted by evidence to the contrary. 86 For greater certainty, a Party may establish the means by which it shall determine what constitutes the “usual manner” for a particular physical support. 87 For greater certainty, if a Party provides its administrative authorities with the exclusive authority to determine the validity of a registered trademark or patent, nothing in paragraphs 2 and 3 shall prevent that Party’s competent authority from suspending enforcement procedures until the validity of the registered trademark or patent is determined by the administrative authority.</w:t>
      </w:r>
    </w:p>
    <w:p>
      <w:pPr>
        <w:pStyle w:val="Normal"/>
      </w:pPr>
      <w:r>
        <w:t>In those validity procedures, the party challenging the validity of the registered trademark or patent shall be required to prove that the registered trademark or patent is not valid. Notwithstanding this requirement, a Party may require the trademark holder to provide evidence of first use.</w:t>
      </w:r>
    </w:p>
    <w:p>
      <w:pPr>
        <w:pStyle w:val="Normal"/>
      </w:pPr>
      <w:r>
        <w:t>88 A Party may provide that this paragraph applies only to those patents that have been applied for, examined, and granted after the entry into force of this Agreement. (a) are in writing and preferably state any relevant findings of fact and the reasoning or the legal basis on which the decisions and rulings are based; and (b) are published89 or, if publication is not practicable, otherwise made available to the public in a national language in such a manner as to enable interested persons and Parties to become acquainted with them. 2. Each Party recognizes the importance of collecting and analyzing statistical data and other relevant information concerning infringements of intellectual property rights as well as collecting information on best practices to prevent and combat infringements. 3. Each Party shall publish or otherwise make available to the public information on its efforts to provide effective enforcement of intellectual property rights in its civil, administrative, and criminal systems, such as statistical information that the Party may collect for those purposes.</w:t>
      </w:r>
    </w:p>
    <w:p>
      <w:pPr>
        <w:pStyle w:val="Heading2"/>
      </w:pPr>
      <w:bookmarkStart w:id="1200090" w:name="_Toc901200090"/>
      <w:r>
        <w:t>Article 20.81: Civil and Administrative Procedures and Remedies</w:t>
      </w:r>
      <w:bookmarkEnd w:id="1200090"/>
    </w:p>
    <w:p>
      <w:pPr>
        <w:pStyle w:val="Normal"/>
      </w:pPr>
      <w:r>
        <w:t>1. Each Party shall make available to right holders civil judicial procedures concerning the enforcement of any intellectual property right covered in this Chapter.90 2. Each Party shall provide that its judicial authorities have the authority to order injunctive relief that conforms to Article 44 of the TRIPS Agreement, including to prevent goods that involve the infringement of an intellectual property right under the law of the Party providing that relief from entering into the channels of commerce. 3. Each Party shall provide91 that, in civil judicial proceedings, its judicial authorities have the authority at least to order the infringer to pay the right holder damages adequate to compensate for the injury the right holder has suffered because of an infringement of that person’s intellectual property right by an infringer who knowingly, or with reasonable grounds to know, engaged in infringing activity. 89 For greater certainty, a Party may satisfy the requirement for publication by making the decision or ruling available to the public online.</w:t>
      </w:r>
    </w:p>
    <w:p>
      <w:pPr>
        <w:pStyle w:val="Normal"/>
      </w:pPr>
      <w:r>
        <w:t>90 For the purposes of this Article, the term “right holders” includes those authorized licensees, federations, and associations that have the legal standing and authority to assert those rights. The term “authorized licensee” includes the exclusive licensee of any one or more of the exclusive intellectual property rights encompassed in a given intellectual property.</w:t>
      </w:r>
    </w:p>
    <w:p>
      <w:pPr>
        <w:pStyle w:val="Normal"/>
      </w:pPr>
      <w:r>
        <w:t>91 A Party may also provide that the right holder may not be entitled to any of the remedies set out in paragraphs 3, 5, and 7 if there is a finding of non-use of a trademark. For greater certainty, there is no obligation for a Party to provide for the possibility of any of the remedies in paragraphs 3, 5, 6, and 7 to be ordered in parallel. 4. In determining the amount of damages under paragraph 3, each Party’s judicial authorities shall have the authority to consider, among other things, any legitimate measure of value the right holder submits, which may include lost profits, the value of the infringed goods or services measured by the market price, or the suggested retail price. 5. At least in cases of copyright or related rights infringement and trademark counterfeiting, each Party shall provide that, in civil judicial proceedings, its judicial authorities have the authority to order the infringer, at least in cases described in paragraph 3, to pay the right holder the infringer’s profits that are attributable to the infringement.92 6.</w:t>
      </w:r>
    </w:p>
    <w:p>
      <w:pPr>
        <w:pStyle w:val="Normal"/>
      </w:pPr>
      <w:r>
        <w:t>In civil judicial proceedings with respect to the infringement of copyright or related rights protecting works, phonograms, or performances, each Party shall establish or maintain a system that provides for one or more of the following: (a) pre-established damages, which shall be available on the election of the right holder; or (b) additional damages.93 7.</w:t>
      </w:r>
    </w:p>
    <w:p>
      <w:pPr>
        <w:pStyle w:val="Normal"/>
      </w:pPr>
      <w:r>
        <w:t>In civil judicial proceedings with respect to trademark counterfeiting, each Party shall also establish or maintain a system that provides for one or more of the following: (a) pre-established damages, which shall be available on the election of the right holder; or (b) additional damages.94 8. Pre-established damages referred to in paragraphs 6 and 7 shall be in an amount sufficient to constitute a deterrent to future infringements and to compensate fully the right holder for the harm caused by the infringement. 9. In awarding additional damages referred to in paragraphs 6 and 7, judicial authorities shall have the authority to award those additional damages as they consider appropriate, having regard to all relevant matters, including the nature of the infringing conduct and the need to deter similar infringements in the future. 10.</w:t>
      </w:r>
    </w:p>
    <w:p>
      <w:pPr>
        <w:pStyle w:val="Normal"/>
      </w:pPr>
      <w:r>
        <w:t>Each Party shall provide that its judicial authorities, if appropriate, have the authority to order, at the conclusion of civil judicial proceedings concerning infringement of at least 92 A Party may comply with this paragraph by presuming those profits to be the damages referred to in paragraph 3. 93 For greater certainty, additional damages may include exemplary or punitive damages. 94 For greater certainty, additional damages may include exemplary or punitive damages.</w:t>
      </w:r>
    </w:p>
    <w:p>
      <w:pPr>
        <w:pStyle w:val="Normal"/>
      </w:pPr>
      <w:r>
        <w:t>copyright or related rights, patents, and trademarks, that the prevailing party be awarded payment by the losing party of court costs or fees and appropriate attorney’s fees, or any other expenses as provided for under the Party’s law. 11. If a Party’s judicial or other authorities appoint a technical or other expert in a civil proceeding concerning the enforcement of an intellectual property right and require that the parties in the proceeding pay the costs of that expert, that Party should seek to ensure that those costs are reasonable and related appropriately, among other things, to the quantity and nature of work to be performed and do not unreasonably deter recourse to those proceedings. 12. Each Party shall provide that in civil judicial proceedings: (a) at least with respect to pirated copyright goods and counterfeit trademark goods, its judicial authorities have the authority, at the right holder’s request, to order that the infringing goods be destroyed, except in exceptional circumstances, without compensation of any sort;</w:t>
      </w:r>
    </w:p>
    <w:p>
      <w:pPr>
        <w:pStyle w:val="Normal"/>
      </w:pPr>
      <w:r>
        <w:t>(b) its judicial authorities have the authority to order that materials and implements that have been used in the manufacture or creation of the infringing goods be, without compensation of any sort, promptly destroyed or, in exceptional circumstances, without compensation of any sort, disposed of outside the channels of commerce in such a manner as to minimize the risk of further infringement; and (c) in regard to counterfeit trademark goods,</w:t>
      </w:r>
    </w:p>
    <w:p>
      <w:pPr>
        <w:pStyle w:val="Normal"/>
      </w:pPr>
      <w:r>
        <w:t>the simple removal of the trademark unlawfully affixed is not sufficient, other than in exceptional circumstances, to permit the release of goods into the channels of commerce. 13. Without prejudice to its law governing privilege, the protection of confidentiality of information sources, or the processing of personal data, each Party shall provide that, in civil judicial proceedings concerning the enforcement of an intellectual property right, its judicial authorities have the authority, on a justified request of the right holder, to order the infringer or the alleged infringer, as applicable, to provide to the right holder or to the judicial authorities, at least for the purpose of collecting evidence, relevant information as provided for in its applicable laws and regulations that the infringer or alleged infringer possesses or controls. This information may include information regarding any person involved in any aspect of the infringement or alleged infringement and the means of production or the channels of distribution of the infringing or allegedly infringing goods or services, including the identification of third persons alleged to be involved in the production and distribution of the goods or services and of their channels of distribution. 14.</w:t>
      </w:r>
    </w:p>
    <w:p>
      <w:pPr>
        <w:pStyle w:val="Normal"/>
      </w:pPr>
      <w:r>
        <w:t>In cases in which a party in a proceeding voluntarily and without good reason refuses access to, or otherwise does not provide relevant evidence under its control within a reasonable period, or significantly impedes a proceeding relating to an enforcement action, each Party shall provide that its judicial authorities shall have the authority to make preliminary and final determinations, affirmative or negative, on the basis of the evidence presented, including the complaint or the allegation presented by the party adversely affected by the denial of access to evidence, subject to providing the parties an opportunity to be heard on the allegations or evidence. 15. Each Party shall ensure that its judicial authorities have the authority to order a party at whose request measures were taken and that has abused enforcement procedures to provide to a party wrongfully enjoined or restrained adequate compensation for the injury suffered because of that abuse. The judicial authorities shall also have the authority to order the applicant to pay the defendant expenses, which may include appropriate attorney’s fees. 16.</w:t>
      </w:r>
    </w:p>
    <w:p>
      <w:pPr>
        <w:pStyle w:val="Normal"/>
      </w:pPr>
      <w:r>
        <w:t>Each Party shall provide that in relation to a civil judicial proceeding concerning the enforcement of an intellectual property right, its judicial or other authorities have the authority to impose sanctions on a party, counsel, expert, or other person subject to the court’s jurisdiction for violation of judicial orders concerning the protection of confidential information produced or exchanged in that proceeding. 17. To the extent that a civil remedy can be ordered as a result of administrative procedures on the merits of a case, each Party shall provide that those procedures conform to principles equivalent in substance to those set out in this Article. 18. In civil judicial proceedings concerning the acts described in Article 20.66 (Technological Protection Measures) and Article 20.67 (Rights Management Information):</w:t>
      </w:r>
    </w:p>
    <w:p>
      <w:pPr>
        <w:pStyle w:val="Normal"/>
      </w:pPr>
      <w:r>
        <w:t>(a) each Party shall provide that its judicial authorities have the authority at least to:95 (i) impose provisional measures, including seizure or other taking into custody of devices and products suspected of being involved in the prohibited activity, (ii) order the type of damages available for copyright infringement, as provided under its law in accordance with this Article, (iii) order court costs, fees or expenses as provided for under paragraph 10, and (iv) order the destruction of devices and products found to be involved in the prohibited activity; and 95 For greater certainty, a Party may, but is not required to, put in place separate remedies in</w:t>
      </w:r>
    </w:p>
    <w:p>
      <w:pPr>
        <w:pStyle w:val="Normal"/>
      </w:pPr>
      <w:r>
        <w:t>respect of Article 20.66 (Technological Protection Measures) and 20.67 (Rights Management Information), if those remedies are available under its copyright law. (b) a Party may provide that damages are not available against a non-profit library, museum, archive, educational institution, or public non-commercial broadcasting entity, if it sustains the burden of proving that it was not aware or had no reason to believe that its acts constituted a prohibited activity.</w:t>
      </w:r>
    </w:p>
    <w:p>
      <w:pPr>
        <w:pStyle w:val="Heading2"/>
      </w:pPr>
      <w:bookmarkStart w:id="1200091" w:name="_Toc901200091"/>
      <w:r>
        <w:t>Article 20.82: Provisional Measures</w:t>
      </w:r>
      <w:bookmarkEnd w:id="1200091"/>
    </w:p>
    <w:p>
      <w:pPr>
        <w:pStyle w:val="Normal"/>
      </w:pPr>
      <w:r>
        <w:t>1. Each Party’s authorities shall act on a request for relief in respect of an intellectual property right inaudita altera parte expeditiously in accordance with that Party’s judicial rules. 2. Each Party shall provide that its judicial authorities have the authority to require the applicant for a provisional measure in respect of an intellectual property right to provide any reasonably available evidence in order to satisfy the judicial authority, with a sufficient degree of certainty, that the applicant’s right is being infringed or that the infringement is imminent, and to order the applicant to provide security or equivalent assurance set at a level sufficient to protect the defendant and to prevent abuse. That security or equivalent assurance shall not unreasonably deter recourse to those procedures. 3. In civil judicial proceedings concerning copyright or related rights infringement and trademark counterfeiting, each Party shall provide that its judicial authorities have the authority to order the seizure or other taking into custody of suspected infringing goods, materials, and implements relevant to the infringement, and, at least for trademark counterfeiting, documentary evidence relevant to the infringement.</w:t>
      </w:r>
    </w:p>
    <w:p>
      <w:pPr>
        <w:pStyle w:val="Heading2"/>
      </w:pPr>
      <w:bookmarkStart w:id="1200092" w:name="_Toc901200092"/>
      <w:r>
        <w:t>Article 20.83: Special Requirements Related to Border Measures</w:t>
      </w:r>
      <w:bookmarkEnd w:id="1200092"/>
    </w:p>
    <w:p>
      <w:pPr>
        <w:pStyle w:val="Normal"/>
      </w:pPr>
      <w:r>
        <w:t>1. Each Party shall provide for applications to suspend the release of, or to detain, suspected counterfeit or confusingly similar trademark or pirated copyright goods that are imported into the territory of the Party.96 2. Each Party shall provide that a right holder, submitting an application referred to in paragraph 1, to initiate procedures for the Party’s competent authorities97 to suspend release into 96 For the purposes of this Article:</w:t>
      </w:r>
    </w:p>
    <w:p>
      <w:pPr>
        <w:pStyle w:val="Normal"/>
      </w:pPr>
      <w:r>
        <w:t>(a) “counterfeit trademark goods” means goods, including packaging, bearing without authorization a trademark that is identical to the trademark validly registered in respect of those goods, or that cannot be distinguished in its essential aspects from such a trademark, and that thereby infringes the rights of the owner of the trademark in question under the law of the Party providing the procedures under this Section; and (b) “pirated copyright goods” means goods that are copies made without the consent of the right holder or person duly authorized by the right holder in the country of production and that are made directly or indirectly from an article when the making of that copy would have constituted an infringement of a copyright or a related right under the law of the Party providing the procedures under this Section.</w:t>
      </w:r>
    </w:p>
    <w:p>
      <w:pPr>
        <w:pStyle w:val="Normal"/>
      </w:pPr>
      <w:r>
        <w:t>free circulation of, or to detain, suspected counterfeit or confusingly similar trademark or pirated copyright goods, is required to: (a) provide adequate evidence to satisfy the competent authorities that, under the law of the Party providing the procedures, there is prima facie an infringement of the right holder’s intellectual property right; and (b) supply sufficient information that may reasonably be expected to be within the right holder’s knowledge to make the suspect goods reasonably recognizable by its competent authorities. The requirement to provide that information shall not unreasonably deter recourse to these procedures. 3. Each Party shall provide that its competent authorities have the authority to require a right holder submitting an application referred to in paragraph 1 to provide a reasonable security or equivalent assurance sufficient to protect the defendant and the competent authorities, and to prevent abuse. Each Party shall provide that such security or equivalent assurance does not unreasonably deter recourse to these procedures.</w:t>
      </w:r>
    </w:p>
    <w:p>
      <w:pPr>
        <w:pStyle w:val="Normal"/>
      </w:pPr>
      <w:r>
        <w:t>A Party may provide that the security may be in the form of a bond conditioned to hold the defendant harmless from any loss or damage resulting from any suspension of the release of goods in the event the competent authorities determine that the article is not an infringing good. 4.</w:t>
      </w:r>
    </w:p>
    <w:p>
      <w:pPr>
        <w:pStyle w:val="Normal"/>
      </w:pPr>
      <w:r>
        <w:t>Without prejudice to a Party’s law pertaining to privacy or the confidentiality of information: (a) if a Party’s competent authorities have detained or suspended the release of goods that are suspected of being counterfeit trademark or pirated copyright goods, that Party may provide that its competent authorities have the authority to inform the right holder without undue delay of the names and addresses of the consignor, exporter, consignee, or importer; a description of the goods; the quantity of the goods; and, if known, the country of origin of the goods;98 or (b) if a Party does not provide its competent authority with the authority referred to in subparagraph (a) when suspect goods are detained or suspended from release, it shall provide, at least in cases of imported goods, its competent authorities with the authority to provide the information specified in subparagraph (a) to the right holder normally within 30 working days of the seizure or determination that the goods are counterfeit trademark goods or pirated copyright goods.</w:t>
      </w:r>
    </w:p>
    <w:p>
      <w:pPr>
        <w:pStyle w:val="Normal"/>
      </w:pPr>
      <w:r>
        <w:t>97 For the purposes of this Article, unless otherwise specified, competent authorities may include the appropriate judicial, administrative, or law enforcement authorities under a Party’s law. 98 For greater certainty, a Party may establish reasonable procedures to receive or access that information. 5.</w:t>
      </w:r>
    </w:p>
    <w:p>
      <w:pPr>
        <w:pStyle w:val="Normal"/>
      </w:pPr>
      <w:r>
        <w:t>Each Party shall provide that its competent authorities may initiate border measures ex officio against suspected counterfeit trademark goods or pirated copyright goods under customs control99 that are: (a) imported; (b) destined for export; (c) in transit;100 and (d) admitted into or exiting from a free trade zone or a bonded warehouse. 6. Nothing in this Article precludes a Party from exchanging, if appropriate and with a view to eliminating international trade in counterfeit trademarked goods or pirated copyrighted goods, available information to another Party in respect of goods that it has examined without a local consignee and that are transshipped through its territory and are destined for the territory of the other Party, to inform that other Party’s efforts to identify suspect goods upon arrival in its territory. 7. Each Party shall adopt or maintain a procedure by which its competent authorities may determine within a reasonable period of time after the initiation of the procedures described in paragraphs 1 and 5, whether the suspect goods infringe an intellectual property right.</w:t>
      </w:r>
    </w:p>
    <w:p>
      <w:pPr>
        <w:pStyle w:val="Normal"/>
      </w:pPr>
      <w:r>
        <w:t>If a Party provides administrative procedures for the determination of an infringement, it may also provide its authorities with the authority to impose administrative penalties or sanctions, which may include fines or the seizure of the infringing goods following a determination that the goods are infringing. 8.</w:t>
      </w:r>
    </w:p>
    <w:p>
      <w:pPr>
        <w:pStyle w:val="Normal"/>
      </w:pPr>
      <w:r>
        <w:t>Each Party shall provide that its competent authorities have the authority to order the destruction of goods following a determination that the goods are infringing. In cases in which the goods are not destroyed, each Party shall ensure that, except in exceptional circumstances, the goods are disposed of outside the channels of commerce in such a manner as to avoid harm to the right holder. In regard to counterfeit trademark goods, the simple removal of the trademark unlawfully affixed shall not be sufficient, other than in exceptional cases, to permit the release of the goods into the channels of commerce. 99 For the purposes of this Article, “goods under customs control” means goods that are subject to a Party’s customs procedures. For the purposes of this Article, an “in-transit” good means a good that is under “Customs transit” or “transshipped,” as defined in the International Convention on the Simplification and Harmonization of Customs Procedures (as amended), done at Kyoto on May 18, 1973, as amended at Brussels on June 26, 1999. 9.</w:t>
      </w:r>
    </w:p>
    <w:p>
      <w:pPr>
        <w:pStyle w:val="Normal"/>
      </w:pPr>
      <w:r>
        <w:t>If a Party establishes or assesses, in connection with the procedures described in this Article, an application fee, storage fee, or destruction fee, that Party shall not set the fee at an amount that unreasonably deters recourse to these procedures. 10. This Article applies to goods of a commercial nature sent in small consignments.</w:t>
      </w:r>
    </w:p>
    <w:p>
      <w:pPr>
        <w:pStyle w:val="Normal"/>
      </w:pPr>
      <w:r>
        <w:t>A Party may exclude from the application of this Article small quantities of goods of a non-commercial nature contained in travelers’ personal luggage.101</w:t>
      </w:r>
    </w:p>
    <w:p>
      <w:pPr>
        <w:pStyle w:val="Heading2"/>
      </w:pPr>
      <w:bookmarkStart w:id="1200093" w:name="_Toc901200093"/>
      <w:r>
        <w:t>Article 20.84: Criminal Procedures and Penalties</w:t>
      </w:r>
      <w:bookmarkEnd w:id="1200093"/>
    </w:p>
    <w:p>
      <w:pPr>
        <w:pStyle w:val="Normal"/>
      </w:pPr>
      <w:r>
        <w:t>1. Each Party shall provide for criminal procedures and penalties to be applied at least in cases of willful trademark counterfeiting or copyright or related rights piracy on a commercial scale. In respect of willful copyright or related rights piracy, “on a commercial scale” includes: (a) acts carried out for commercial advantage or financial gain; and (b) significant acts, not carried out for commercial advantage or financial gain, that have a substantial prejudicial impact on the interests of the copyright or related rights holder in relation to the marketplace.102, 103 2. Each Party shall treat willful importation or exportation of counterfeit trademark goods or pirated copyright goods on a commercial scale as unlawful activities subject to criminal penalties.104 3. Each Party shall provide for criminal procedures and penalties to be applied in cases of willful importation105 and domestic use, in the course of trade and on a commercial scale, of a label or packaging:</w:t>
      </w:r>
    </w:p>
    <w:p>
      <w:pPr>
        <w:pStyle w:val="Normal"/>
      </w:pPr>
      <w:r>
        <w:t>101 For greater certainty, a Party may also exclude from the application of this Article small quantities of goods of a non-commercial nature sent in small consignments. 102 The Parties understand that a Party may comply with subparagraph (b) by addressing those significant acts under its criminal procedures and penalties for non-authorized uses of protected works, performances and phonograms in its law.</w:t>
      </w:r>
    </w:p>
    <w:p>
      <w:pPr>
        <w:pStyle w:val="Normal"/>
      </w:pPr>
      <w:r>
        <w:t>103 A Party may provide that the volume and value of any infringing items may be taken into account in determining whether the act has a substantial prejudicial impact on the interests of the copyright or related rights holder in relation to the marketplace. 104 The Parties understand that a Party may comply with its obligation under this paragraph by providing that distribution or sale of counterfeit trademark goods or pirated copyright goods on a commercial scale is an unlawful activity subject to criminal penalties. The Parties understand that criminal procedures and penalties as specified in paragraphs 1, 2, and 3 are applicable in any free trade zones in a Party. (a) to which a trademark has been applied without authorization that is identical to, or cannot be distinguished from, a trademark registered in its territory; and (b) that is intended to be used in the course of trade on goods or in relation to services that are identical to goods or services for which that trademark is registered. 4.</w:t>
      </w:r>
    </w:p>
    <w:p>
      <w:pPr>
        <w:pStyle w:val="Normal"/>
      </w:pPr>
      <w:r>
        <w:t>Each Party shall provide for criminal procedures to be applied against a person who, willfully and without the authorization of the holder106 of copyright or related rights in a cinematographic work, knowingly uses or attempts to use an audiovisual recording device to transmit or make a copy of the cinematographic work or any part thereof, from a performance of the motion picture or other audiovisual work in a movie theater or other venue that is being used primarily for the exhibition of a copyrighted motion picture. In addition to the criminal procedures, a Party may provide for administrative enforcement procedures. 5. With respect to the offenses for which this Article requires a Party to provide for criminal procedures and penalties, each Party shall ensure that criminal liability for aiding and abetting is available under its law. 6.</w:t>
      </w:r>
    </w:p>
    <w:p>
      <w:pPr>
        <w:pStyle w:val="Normal"/>
      </w:pPr>
      <w:r>
        <w:t>With respect to the offenses described in paragraphs 1 through 5, each Party shall provide: (a) penalties that include sentences of imprisonment as well as monetary fines sufficiently high to provide a deterrent to future acts of infringement, consistent with the level of penalties applied for crimes of a corresponding gravity;107 (b) that its judicial authorities have the authority, in determining penalties, to account for the seriousness of the circumstances, which may include circumstances that involve threats to, or effects on, health or safety;108 (c) that its judicial or other competent authorities have the authority to order the seizure of suspected counterfeit trademark goods or pirated copyright goods, any related materials and implements used in the commission of the alleged offense, 105 A Party may comply with its obligation relating to importation of labels or packaging through its measures concerning distribution. 106 For greater certainty, the theater or venue owner or operator shall be entitled to contact the criminal law enforcement authorities with respect to the suspected commission of the acts referred to in this provision.</w:t>
      </w:r>
    </w:p>
    <w:p>
      <w:pPr>
        <w:pStyle w:val="Normal"/>
      </w:pPr>
      <w:r>
        <w:t>For greater certainty, nothing in this paragraph expands or diminishes the existing rights and obligations of a theater or venue owner or operator with respect to the cinematographic work.</w:t>
      </w:r>
    </w:p>
    <w:p>
      <w:pPr>
        <w:pStyle w:val="Normal"/>
      </w:pPr>
      <w:r>
        <w:t>107 The Parties understand that there is no obligation for a Party to provide for the possibility of imprisonment and monetary fines to be imposed in parallel. 108 A Party may also account for those circumstances through a separate criminal offense. documentary evidence relevant to the alleged offense, and assets derived from, or obtained through the alleged infringing activity. If a Party requires identification of items subject to seizure as a prerequisite for issuing a judicial order referred to in this subparagraph, that Party shall not require the items to be described in greater detail than necessary to identify them for the purpose of seizure; (d) that its judicial authorities have the authority to order the forfeiture, at least for serious offenses, of any assets derived from or obtained through the infringing activity; (e) that its judicial authorities have the authority to order the forfeiture or destruction of:</w:t>
      </w:r>
    </w:p>
    <w:p>
      <w:pPr>
        <w:pStyle w:val="Normal"/>
      </w:pPr>
      <w:r>
        <w:t>(i) all counterfeit trademark goods or pirated copyright goods, (ii) materials and implements that have been predominantly used in the creation of pirated copyright goods or counterfeit trademark goods, and (iii) any other labels or packaging to which a counterfeit trademark has been applied and that have been used in the commission of the offense, In cases in which counterfeit trademark goods and pirated copyright goods are not destroyed, the judicial or other competent authorities shall ensure that, except in exceptional circumstances, those goods are</w:t>
      </w:r>
    </w:p>
    <w:p>
      <w:pPr>
        <w:pStyle w:val="Normal"/>
      </w:pPr>
      <w:r>
        <w:t>disposed of outside the channels of commerce in such a manner as to avoid causing any harm to the right holder. Each Party shall further provide that forfeiture or destruction under this subparagraph and subparagraph (d) occur without compensation of any kind to the defendant; (f) that its judicial or other competent authorities have the authority to release or, in the alternative, provide access to, goods, material, implements, and other evidence held by the relevant authority to a right holder for civil109 infringement proceedings; and (g) that its competent authorities may act upon their own initiative to initiate legal action without the need for a formal complaint by a third person or right holder. 7. With respect to the offenses described in paragraphs 1 through 5, a Party may provide that its judicial authorities have the authority to order the seizure or forfeiture of assets, or alternatively, a fine, the value of which corresponds to the assets derived from, or obtained directly or indirectly through, the infringing activity. 109 A Party may also provide this authority in connection with administrative infringement proceedings.</w:t>
      </w:r>
    </w:p>
    <w:p>
      <w:pPr>
        <w:pStyle w:val="Heading2"/>
      </w:pPr>
      <w:bookmarkStart w:id="1200094" w:name="_Toc901200094"/>
      <w:r>
        <w:t>Article 20.85: Protection of Encrypted Program-Carrying Satellite and Cable Signals</w:t>
      </w:r>
      <w:bookmarkEnd w:id="1200094"/>
    </w:p>
    <w:p>
      <w:pPr>
        <w:pStyle w:val="Normal"/>
      </w:pPr>
      <w:r>
        <w:t>1. Each Party shall make it a criminal offense to: (a) manufacture, assemble,110 modify, import, export,111 sell, or otherwise distribute a tangible or intangible device or system knowing or having reason to know112 that the device or system meets at least one of the following conditions: (i) it is intended to be used to assist, or (ii) it is primarily of assistance, in decoding an encrypted program-carrying satellite signal without the authorization of the lawful distributor113 of that signal;114 and (b) with respect to an encrypted program-carrying satellite signal, willfully: (i) receive115 that signal, or (ii) further distribute116 that signal, 110 For greater certainty, a Party may treat “assemble” as incorporated in “manufacture.” 111 The obligation regarding export may be met by making it a criminal offense to possess and distribute a device or system described in this paragraph.</w:t>
      </w:r>
    </w:p>
    <w:p>
      <w:pPr>
        <w:pStyle w:val="Normal"/>
      </w:pPr>
      <w:r>
        <w:t>112 For the purposes of this paragraph, a Party may provide that “having a reason to know” may be demonstrated through reasonable evidence, taking into account the facts and circumstances surrounding the alleged illegal act, as part of the Party’s “knowledge” requirements. A Party may treat “having reason to know” as meaning “willful negligence”.</w:t>
      </w:r>
    </w:p>
    <w:p>
      <w:pPr>
        <w:pStyle w:val="Normal"/>
      </w:pPr>
      <w:r>
        <w:t>113 With regard to the criminal offenses and penalties in paragraphs 1 and 3, a Party may require a demonstration of intent to avoid payment to the lawful distributor, or a demonstration of intent to otherwise secure a pecuniary benefit to which the recipient is not entitled. 114 For the purposes of this Article, a Party may provide that a “lawful distributor” means a person that has the lawful right in that Party’s territory to distribute the encrypted program carrying signal and authorize its decoding. 115 For greater certainty and for the purposes of paragraphs 1(b) and 3(b), a Party may provide that willful receipt of an encrypted program carrying satellite or cable signal means receipt and use of the signal, or means receipt and decoding of the signal. 116 For greater certainty, a Party may interpret “further distribute” as “retransmit to the public”. knowing that it has been decoded without the authorization of the lawful distributor of the signal. 2. Each Party shall provide for civil remedies for a person that holds an interest in an encrypted program-carrying satellite signal or its content and that is injured by an activity described in paragraph 1. 3.</w:t>
      </w:r>
    </w:p>
    <w:p>
      <w:pPr>
        <w:pStyle w:val="Normal"/>
      </w:pPr>
      <w:r>
        <w:t>Each Party shall provide for criminal penalties and civil117 remedies for willfully: (a) manufacturing or distributing equipment knowing that the equipment is intended to be used in the unauthorized reception of any encrypted program-carrying cable signal; and (b) receiving, or assisting another to receive,118 an encrypted program-carrying cable signal without authorization of the lawful distributor of the signal.</w:t>
      </w:r>
    </w:p>
    <w:p>
      <w:pPr>
        <w:pStyle w:val="Heading2"/>
      </w:pPr>
      <w:bookmarkStart w:id="1200095" w:name="_Toc901200095"/>
      <w:r>
        <w:t>Article 20.86: Government Use of Software</w:t>
      </w:r>
      <w:bookmarkEnd w:id="1200095"/>
    </w:p>
    <w:p>
      <w:pPr>
        <w:pStyle w:val="Normal"/>
      </w:pPr>
      <w:r>
        <w:t>1. Each Party recognizes the importance of promoting the adoption of measures to enhance government awareness of respect for intellectual property rights and of the detrimental effects of the infringement of intellectual property rights. 2. Each Party shall adopt or maintain appropriate laws, regulations, policies, orders, government-issued guidelines, or administrative or executive decrees that provide that its central government agencies use only non-infringing computer software protected by copyright and related rights, and, if applicable, only use that computer software in a manner authorized by the relevant license. These measures apply to the acquisition and management of the software for government use.</w:t>
      </w:r>
    </w:p>
    <w:p>
      <w:pPr>
        <w:pStyle w:val="Heading2"/>
      </w:pPr>
      <w:bookmarkStart w:id="1200096" w:name="_Toc901200096"/>
      <w:r>
        <w:t>Article 20.87: Internet Service Providers</w:t>
      </w:r>
      <w:bookmarkEnd w:id="1200096"/>
    </w:p>
    <w:p>
      <w:pPr>
        <w:pStyle w:val="Normal"/>
      </w:pPr>
      <w:r>
        <w:t>1. For the purpose of Article 20.88 (Legal Remedies and Safe Harbors), an Internet Service Provider is: (a) a provider of services for the transmission, routing, or providing of connections for digital online communications without modification of their content, 117 In providing for civil remedies, a Party may require a demonstration of injury. 118 A Party may comply with its obligation in respect of “assisting another to receive” by providing for criminal penalties to be available against a person willfully publishing any information in order to enable or assist another person to receive a signal without authorization of the lawful distributor of the signal. between or among points specified by a user, of material of the user’s choosing, undertaking the function in Article 20.88.2(a) (Legal Remedies and Safe Harbors); or (b) a provider of online services undertaking the functions in Article 20.88.2(b), Article 20.88.2(c), or Article 20.88.2(d) (Legal Remedies and Safe Harbors). 2. For the purposes of Article 20.88 (Legal Remedies and Safe Harbors), “copyright” includes related rights.</w:t>
      </w:r>
    </w:p>
    <w:p>
      <w:pPr>
        <w:pStyle w:val="Heading2"/>
      </w:pPr>
      <w:bookmarkStart w:id="1200097" w:name="_Toc901200097"/>
      <w:r>
        <w:t>Article 20.88: Legal Remedies and Safe Harbors</w:t>
      </w:r>
      <w:r>
        <w:rPr>
          <w:vertAlign w:val="superscript"/>
        </w:rPr>
        <w:t>119</w:t>
      </w:r>
      <w:bookmarkEnd w:id="1200097"/>
    </w:p>
    <w:p>
      <w:pPr>
        <w:pStyle w:val="Normal"/>
      </w:pPr>
      <w:r>
        <w:t>1. The Parties recognize the importance of facilitating the continued development of legitimate online services operating as intermediaries and, in a manner consistent with Article 41 of the TRIPS Agreement, providing enforcement procedures that permit effective and expeditious action by right holders against copyright infringement covered under this Chapter that occurs in the online environment. Accordingly, each Party shall ensure that legal remedies are available for right holders to address that copyright infringement and shall establish or maintain appropriate safe harbors in respect of online services that are Internet Service Providers. This framework of legal remedies and safe harbors shall include: (a) legal incentives for Internet Service Providers to cooperate with copyright owners to deter the unauthorized storage and transmission of copyrighted materials or, in the alternative, to take other action to deter the unauthorized storage and transmission of copyrighted materials; and (b) limitations in its law that have the effect of precluding monetary relief against Internet Service Providers for copyright infringements that they do not control, initiate or direct, and that take place through systems or networks controlled or operated by them or on their behalf. 2.</w:t>
      </w:r>
    </w:p>
    <w:p>
      <w:pPr>
        <w:pStyle w:val="Normal"/>
      </w:pPr>
      <w:r>
        <w:t>The limitations described in paragraph 1(b) shall include limitations in respect of the following functions: (a) transmitting, routing, or providing connections for material without modification of its content or the intermediate and transient storage of that material done automatically in the course of such a technical process;120 119 Annex 20-B (Annex to Section J) applies to Articles 20.88.3, 20.88.4, and 20.88.6. 120 The Parties understand that these limitations shall apply only where the Internet Service Provider does not initiate the chain of transmission of the materials, and does not select the material or its recipients. (b) caching carried out through an automated process; (c) storage, at the direction of a user, of material residing on a system or network controlled or operated by or for the Internet Service Provider; and (d) referring or linking users to an online location by using information location tools, including hyperlinks and directories. 3.</w:t>
      </w:r>
    </w:p>
    <w:p>
      <w:pPr>
        <w:pStyle w:val="Normal"/>
      </w:pPr>
      <w:r>
        <w:t>To facilitate effective action to address infringement, each Party shall prescribe in its law conditions for Internet Service Providers to qualify for the limitations described in paragraph 1(b), or, alternatively, shall provide for circumstances under which Internet Service Providers do not qualify for the limitations described in paragraph 1(b):121 (a) With respect to the functions referred to in paragraphs 2(c) and 2(d), these conditions shall include a requirement for Internet Service Providers to expeditiously remove or disable access to material residing on their networks or systems upon obtaining actual knowledge of the copyright infringement or becoming aware of facts or circumstances from which the infringement is apparent, such as through receiving a notice122 of alleged infringement from the right holder or a person authorized to act on its behalf. (b) An Internet Service Provider that removes or disables access to material in good faith under subparagraph (a) shall be exempt from any liability for having done so, provided that it takes reasonable steps in advance or promptly after to notify the person whose material is removed or disabled.123 4.</w:t>
      </w:r>
    </w:p>
    <w:p>
      <w:pPr>
        <w:pStyle w:val="Normal"/>
      </w:pPr>
      <w:r>
        <w:t>For the purposes of the functions referred to in paragraphs 2(c) and 2(d), each Party shall establish appropriate procedures in its laws or regulations for effective notices of claimed infringement, and effective counter-notices by those whose material is removed or disabled 121 The Parties understand that a Party that has yet to implement the obligations in paragraphs 3 and 4 will do so in a manner that is both effective and consistent with that Party’s existing constitutional provisions. To that end, a Party may establish an appropriate role for the government that does not impair the timeliness of the process provided in paragraphs 3 and 4, and does not entail advance government review of each individual notice. 122 For greater certainty, a notice of alleged infringement, as may be set out under a Party’s law, must contain information that: (a) is reasonably sufficient to enable the Internet Service Provider to identify the work, performance or phonogram claimed to be infringed, the alleged infringing material, and the online location of the alleged infringement; and (b) has a sufficient indicia of reliability with respect to the authority of the person sending the notice.</w:t>
      </w:r>
    </w:p>
    <w:p>
      <w:pPr>
        <w:pStyle w:val="Normal"/>
      </w:pPr>
      <w:r>
        <w:t>123 With respect to the function in paragraph 2(b), a Party may limit the requirements of paragraph 3 related to an Internet Service Provider removing or disabling access to material to circumstances in which the Internet Service Provider becomes aware or receives notification that the cached material has been removed or access to it has been disabled at the originating site. through mistake or misidentification. If material has been removed or access has been disabled in accordance with paragraph 3, that Party shall require that the Internet Service Provider restores the material that is the subject of a counter-notice, unless the person giving the original notice seeks relief through civil judicial proceedings within a reasonable period of time as set forth in that Party’s laws or regulations. 5. Each Party shall ensure that monetary remedies are available in its legal system against a person that makes a knowing material misrepresentation in a notice or counter-notice that causes injury to any interested party124 as a result of an Internet Service Provider relying on the misrepresentation. 6.</w:t>
      </w:r>
    </w:p>
    <w:p>
      <w:pPr>
        <w:pStyle w:val="Normal"/>
      </w:pPr>
      <w:r>
        <w:t>Eligibility for the limitations in paragraph 1 shall be conditioned on the Internet Service Provider: (a) adopting and reasonably implementing a policy that provides for termination in appropriate circumstances of the accounts of repeat infringers; (b) accommodating and not interfering with standard technical measures accepted in the Party’s territory that protect and identify copyrighted material, that are developed through an open, voluntary process by a broad consensus of copyright owners and service providers, that are available on reasonable and non-discriminatory terms, and that do not impose substantial costs on service providers or substantial burdens on their systems or networks; and (c) with respect to the functions identified in paragraphs 2(c) and 2(d), not receiving a financial benefit directly attributable to the infringing activity, in circumstances where it has the right and ability to control such activity. 7. Eligibility for the limitations identified in paragraph 1 shall not be conditioned on the Internet Service Provider monitoring its service or affirmatively seeking facts indicating infringing activity, except to the extent consistent with the technical measures identified in paragraph 6(b). 8.</w:t>
      </w:r>
    </w:p>
    <w:p>
      <w:pPr>
        <w:pStyle w:val="Normal"/>
      </w:pPr>
      <w:r>
        <w:t>Each Party shall provide procedures, whether judicial or administrative, in accordance with its legal system, and consistent with principles of due process and privacy, that enable a copyright owner that has made a legally sufficient claim of copyright infringement to obtain expeditiously from an Internet Service Provider information in the provider’s possession identifying the alleged infringer, in cases in which that information is sought for the purpose of protecting or enforcing that copyright. 124 For greater certainty, the Parties understand that, “any interested party” may be limited to those with a legal interest recognized under that Party’s law. 9. The Parties understand that the failure of an Internet Service Provider to qualify for the limitations in paragraph 1(b) does not itself result in liability. Further, this Article is without prejudice to the availability of other limitations and exceptions to copyright, or any other defenses under a Party’s legal system. 10. The Parties recognize the importance, in implementing their obligations under this Article, of taking into account the impact on the right holders and Internet Service Providers. Section K: Final Provisions</w:t>
      </w:r>
    </w:p>
    <w:p>
      <w:pPr>
        <w:pStyle w:val="Heading2"/>
      </w:pPr>
      <w:bookmarkStart w:id="1200098" w:name="_Toc901200098"/>
      <w:r>
        <w:t>Article 20.89: Final Provisions</w:t>
      </w:r>
      <w:bookmarkEnd w:id="1200098"/>
    </w:p>
    <w:p>
      <w:pPr>
        <w:pStyle w:val="Normal"/>
      </w:pPr>
      <w:r>
        <w:t>1. Except as otherwise provided in Article 20.10 (Application of Chapter to Existing Subject Matter and Prior Acts) and paragraphs 2, 3, and 4, each Party shall implement the provisions of this Chapter on the date of entry into force of this Agreement. 2. During the relevant periods set out below, a Party shall not amend an existing measure or adopt a new measure that is less consistent with its obligations under the Articles referred to below for that Party than relevant measures that are in effect on the date of signature of this Agreement. 3. With regard to obligations subject to a transition period, Mexico shall fully implement its obligations under the provisions of this Chapter no later than the expiration of the relevant time period specified below, which begins on the date of entry into force of this Agreement: (a) Article 20.7 (International Agreements), UPOV 1991, four years; (b) Article 20.45 (Protection of Undisclosed Test or Other Data for Agricultural Chemical Products), five years; (c) Article 20.46 (Patent Term Adjustment for Unreasonable Curtailment), 4.5 years;</w:t>
      </w:r>
    </w:p>
    <w:p>
      <w:pPr>
        <w:pStyle w:val="Normal"/>
      </w:pPr>
      <w:r>
        <w:t>(d) Article 20.48 (Protection of Undisclosed Test or Other Data), five years; (e) Article 20.70 (Civil Protection and Enforcement), Article 20.73 (Provisional Measures) and Article 20.75 (Civil Remedies), five years; and (f) Articles 20.87 (Internet Service Providers) and 20.88 (Legal Remedies and Safe Harbors), three years. 4.</w:t>
      </w:r>
    </w:p>
    <w:p>
      <w:pPr>
        <w:pStyle w:val="Normal"/>
      </w:pPr>
      <w:r>
        <w:t>With regard to obligations subject to a transition period, Canada shall fully implement its obligations under the provisions of this Chapter no later than the expiration of the relevant time period specified below, which begins on the date of entry into force of this Agreement. (a) Article 20.7.2(f) (International Agreements), four years; (b) Article 20.44 (Patent Term Adjustment for Unreasonable Granting Authority Delays), 4.5 years; and (c) Article 20.62(a) (Term of Protection for Copyright and Related Rights), 2.5 years.</w:t>
      </w:r>
    </w:p>
    <w:p>
      <w:pPr>
        <w:pStyle w:val="Heading2"/>
      </w:pPr>
      <w:bookmarkStart w:id="1200099" w:name="_Toc901200099"/>
      <w:r>
        <w:t>ANNEX 20-A — ANNEX TO ARTICLE 20.50</w:t>
      </w:r>
      <w:bookmarkEnd w:id="1200099"/>
    </w:p>
    <w:p>
      <w:pPr>
        <w:pStyle w:val="Normal"/>
      </w:pPr>
      <w:r>
        <w:t>1. As an alternative to implementing Article 20.50, and subject to paragraph 2, Mexico may instead maintain a system other than judicial proceedings that precludes, based upon patent-related information submitted to the marketing approval authority by a patent holder or the applicant for marketing approval, or based on direct coordination between the marketing approval authority and the patent office, the issuance of marketing approval to any third person seeking to market a pharmaceutical product subject to a patent claiming that product, unless by consent or acquiescence of the patent holder.</w:t>
      </w:r>
    </w:p>
    <w:p>
      <w:pPr>
        <w:pStyle w:val="Normal"/>
      </w:pPr>
      <w:r>
        <w:t>2. If Mexico maintains the system referred to in paragraph 1, Mexico shall ensure that in administrative proceedings under that system: (a) a person of another Party that is directly affected by the proceeding is provided, whenever possible and, in accordance with domestic procedures, with reasonable notice of the initiation of a proceeding, including a description of the nature of the proceeding, a statement of the legal authority under which the proceeding is initiated and a general description of the issue in question; (b) a person of another Party that is directly affected by the proceeding is afforded a reasonable opportunity to present facts and arguments in support of that person’s position prior to any final administrative action, when time, the nature of the proceeding, and the public interest permit; and (c) the procedures are in accordance with its law.</w:t>
      </w:r>
    </w:p>
    <w:p>
      <w:pPr>
        <w:pStyle w:val="Heading2"/>
      </w:pPr>
      <w:bookmarkStart w:id="1200100" w:name="_Toc901200100"/>
      <w:r>
        <w:t>ANNEX 20-B — ANNEX TO SECTION J</w:t>
      </w:r>
      <w:bookmarkEnd w:id="1200100"/>
    </w:p>
    <w:p>
      <w:pPr>
        <w:pStyle w:val="Normal"/>
      </w:pPr>
      <w:r>
        <w:t>1. In order to facilitate the enforcement of copyright online and to avoid unwarranted market disruption in the online environment, Articles 20.88.3, 20.88.4, and 20.88.6 (Legal Remedies and Safe Harbors) shall not apply to a Party provided that, as from the date of agreement in principle of this Agreement, the Party continues to: (a) prescribe in its law circumstances under which Internet Service Providers do not qualify for the limitations described in Article 20.88.1(b) (Legal Remedies and Safe Harbors); (b) provide statutory secondary liability for copyright infringement in cases in which a person, by means of the Internet or another digital network, provides a service primarily for the purpose of enabling acts of copyright infringement, in relation to factors set out in its law, such as: (i) whether the person marketed or promoted the service as one that could be used to enable acts of copyright infringement; (ii) whether the person had knowledge that the service was used to enable a significant number of acts of copyright infringement;</w:t>
      </w:r>
    </w:p>
    <w:p>
      <w:pPr>
        <w:pStyle w:val="Normal"/>
      </w:pPr>
      <w:r>
        <w:t>(iii) whether the service has significant uses other than to enable acts of copyright infringement; (iv) the person’s ability, as part of providing the service, to limit acts of copyright infringement, and any action taken by the person to do so; (v) any benefits the person received as a result of enabling the acts of copyright infringement; and (vi) the economic viability of the service if it were not used</w:t>
      </w:r>
    </w:p>
    <w:p>
      <w:pPr>
        <w:pStyle w:val="Normal"/>
      </w:pPr>
      <w:r>
        <w:t>to enable acts of copyright infringement; (c) require Internet Service Providers carrying out the functions referred to in Article 20.88.2(a) and (c) (Legal Remedies and Safe Harbors) to participate in a system for forwarding notices of alleged infringement, including if material is made available online, and if the Internet Service Provider fails to do so, subjecting that provider to pre-established monetary damages for that failure; 20-B-1 (d) induce Internet Service Providers offering information location tools to remove within a specified period of time any reproductions of material that they make, and communicate to the public, as part of offering the information location tool upon receiving a notice of alleged infringement and after the original material has been removed from the electronic location set out in the notice; and (e) induce Internet Service Providers carrying out the function referred to in Article 20.88.2(c) (Legal Remedies and Safe Harbors) to remove or disable access to material upon becoming aware of a decision of a court of that Party to the effect that the person storing the material infringes copyright in the material. 2.</w:t>
      </w:r>
    </w:p>
    <w:p>
      <w:pPr>
        <w:pStyle w:val="Normal"/>
      </w:pPr>
      <w:r>
        <w:t>For a Party to which Articles 20.88.3, 20.88.4, and 20.88.6 (Legal Remedies and Safe Harbors) do not apply pursuant to paragraph 1, and in light of, among other things, paragraph 1(b), for the purposes of Article 20.88.1(a), legal incentives shall not mean the conditions for Internet Service Providers to qualify for the limitations provided for in Article 20.88.1(b), as set out in Article 20.88.3. 3. Pursuant to paragraph 1, for a Party to which Articles 20.88.3, 20.88.4, and 20.88.6 (Legal Remedies and Safe Harbors) do not apply: (a) the term “modification” in paragraphs 20.87.1(a) and 20.88.2(a) does not include modifications made for solely technical reasons such as division into packets; and (b) with regard to paragraph 20.88.7, “except to the extent consistent with the technical measures identified in paragraph 6(b)” does not apply. 20-B-2</w:t>
      </w:r>
    </w:p>
    <w:p>
      <w:pPr>
        <w:pStyle w:val="Heading1"/>
      </w:pPr>
      <w:bookmarkStart w:id="900678" w:name="_Toc300000677"/>
      <w:r>
        <w:t>CHAPTER 21 COMPETITION POLICY</w:t>
      </w:r>
      <w:bookmarkEnd w:id="900678"/>
    </w:p>
    <w:p>
      <w:pPr>
        <w:pStyle w:val="Heading2"/>
      </w:pPr>
      <w:bookmarkStart w:id="900679" w:name="_Toc300000678"/>
      <w:r>
        <w:t xml:space="preserve">Article 21.1: Competition Law and Authorities</w:t>
      </w:r>
      <w:bookmarkEnd w:id="900679"/>
    </w:p>
    <w:p>
      <w:pPr>
        <w:pStyle w:val="Normal"/>
      </w:pPr>
      <w:r>
        <w:t xml:space="preserve">1. Each Party shall maintain national competition laws that proscribe anticompetitive business conduct to promote competition in order to increase economic efficiency and consumer welfare, and shall take appropriate action with respect to that conduct. 2. Each Party shall endeavor to apply its national competition laws to all commercial activities in its territory. This does not prevent a Party from applying its national competition laws to commercial activities outside its borders that have an appropriate nexus to its jurisdiction. 3. Each Party may provide for certain exemptions from the application of its national competition laws provided that those exemptions are transparent, established in its law, and based on public interest or public policy grounds. 4. Each Party shall maintain a national competition authority or authorities (national competition authorities) responsible for the enforcement of its national competition laws. 5.</w:t>
      </w:r>
    </w:p>
    <w:p>
      <w:pPr>
        <w:pStyle w:val="Normal"/>
      </w:pPr>
      <w:r>
        <w:t>Each Party shall ensure that the enforcement policies of its national competition authorities include: (a) treating persons of another Party no less favorably than persons of the Party in like circumstances; (b) considering, if applicable, the effect of enforcement activities on related enforcement activities by a national competition authority of another Party; and (c) limiting remedies relating to conduct or assets outside the Party’s territory to situations in which there is an appropriate nexus to harm or threatened harm affecting the Party’s territory or commerce.</w:t>
      </w:r>
    </w:p>
    <w:p>
      <w:pPr>
        <w:pStyle w:val="Heading2"/>
      </w:pPr>
      <w:bookmarkStart w:id="900680" w:name="_Toc300000679"/>
      <w:r>
        <w:t xml:space="preserve">Article 21.2: Procedural Fairness in Competition Law Enforcement</w:t>
      </w:r>
      <w:bookmarkEnd w:id="900680"/>
    </w:p>
    <w:p>
      <w:pPr>
        <w:pStyle w:val="Normal"/>
      </w:pPr>
      <w:r>
        <w:t xml:space="preserve">1. For the purposes of this Article, “enforcement proceeding” means a judicial or administrative proceeding following an investigation into the alleged violation of the national competition laws and does not include matters occurring before a grand jury. 2. Each Party shall ensure that its national competition authorities: (a) provide transparency, including in writing, regarding the applicable competition laws, regulations, and procedural rules pursuant to which national competition law investigations and enforcement proceedings are conducted; (b) conduct their investigations subject to definitive deadlines or within a reasonable time frame, if the investigations are not subject to definitive deadlines; (c) afford to a person a reasonable opportunity to be represented by legal counsel, including by: (i) allowing, at the person’s request, counsel’s participation in all meetings or proceedings between the national competition authority and the person.</w:t>
      </w:r>
    </w:p>
    <w:p>
      <w:pPr>
        <w:pStyle w:val="Normal"/>
      </w:pPr>
      <w:r>
        <w:t>This sub-subparagraph does not apply to matters occurring before a grand jury, ex parte proceedings, or to searches conducted pursuant to judicial warrants, and (ii) recognizing a privilege, as acknowledged by its law, if not waived, for lawful confidential communications between the counsel and the person if the communications concern the soliciting or rendering of legal advice; and (d) with respect to reviews of merger transactions, permit early consultations between the national competition authority and the merging persons to provide their views concerning the transaction, including on potentially dispositive issues. 3. Each Party shall ensure that all information that its national competition authorities obtain during investigations and reviews, and that its law protects as confidential or privileged is not disclosed, subject to applicable legal exceptions. 4. Each Party shall ensure that its national competition authorities do not state or imply in any public notice confirming or revealing the existence of a pending or ongoing investigation against a particular person that that person has in fact violated the Party’s national competition laws. 5.</w:t>
      </w:r>
    </w:p>
    <w:p>
      <w:pPr>
        <w:pStyle w:val="Normal"/>
      </w:pPr>
      <w:r>
        <w:t>Each Party shall ensure that its national competition authorities1 have the ultimate burden of establishing the legal and factual basis for an alleged violation in an enforcement proceeding; however, a Party may require that a person against whom that allegation is made be responsible for establishing certain defenses to the allegation. 1 For Canada, this includes the public prosecutor for criminal prosecutions. 6. Each Party shall ensure that all final decisions in contested civil or administrative matters finding a violation of its national competition laws are in writing and set out the findings of fact and conclusions of law on which they are based. Each Party shall make public those final decisions, with the exception of any confidential material contained therein. 7. Each Party shall ensure that before it imposes a sanction or remedy against a person for a violation of its national competition laws, it affords the person a reasonable opportunity to: (a) obtain information regarding the national competition authority’s concerns, including identification of the specific competition laws alleged to have been violated;</w:t>
      </w:r>
    </w:p>
    <w:p>
      <w:pPr>
        <w:pStyle w:val="Normal"/>
      </w:pPr>
      <w:r>
        <w:t>(b) engage with the relevant national competition authority at key points on significant legal, factual, and procedural issues; (c) have access to information that is necessary to prepare an adequate defense if the person contests the allegations in an enforcement proceeding; however, a national competition authority is not obliged to produce information</w:t>
      </w:r>
    </w:p>
    <w:p>
      <w:pPr>
        <w:pStyle w:val="Normal"/>
      </w:pPr>
      <w:r>
        <w:t>that is not already in its possession. If a Party’s national competition authority2 introduces or will introduce confidential information in an enforcement proceeding, the Party shall, as permissible under its law, allow the person under investigation or its legal counsel timely access to that information; (d) be heard and present evidence in its defense, including rebuttal evidence, and, whenever relevant, the analysis of a properly qualified expert; (e) cross-examine any witness testifying in an enforcement proceeding; and (f) contest an allegation that the person has violated national competition laws before an impartial judicial or administrative authority, provided that in the case of an administrative authority, the decision-making body must be independent of the unit offering evidence in support of the allegation; except that a Party may provide for these opportunities within a reasonable time after it imposes an interim measure. 8.</w:t>
      </w:r>
    </w:p>
    <w:p>
      <w:pPr>
        <w:pStyle w:val="Normal"/>
      </w:pPr>
      <w:r>
        <w:t>Each Party shall provide a person that is subject to the imposition of a fine, sanction, or remedy for violation of its national competition laws with the opportunity to seek judicial review by a court or independent tribunal, including review of alleged substantive or procedural errors, unless the person voluntarily agreed to the imposition of the fine, sanction, or remedy. 2 For Canada, this includes the public prosecutor for criminal prosecutions. 9.</w:t>
      </w:r>
    </w:p>
    <w:p>
      <w:pPr>
        <w:pStyle w:val="Normal"/>
      </w:pPr>
      <w:r>
        <w:t>Each Party shall ensure that criteria used for calculating a fine for a violation of national competition laws are transparent. If a Party imposes a fine as a penalty for a non-criminal violation of its national competition laws that is based on the person’s revenue or profit, it shall ensure that the calculation considers revenue or profit relating to the Party’s territory. 10. Each Party’s national competition authority shall maintain measures to preserve all relevant evidence, including exculpatory evidence, that it collected as part of an enforcement proceeding until the review is exhausted.</w:t>
      </w:r>
    </w:p>
    <w:p>
      <w:pPr>
        <w:pStyle w:val="Heading2"/>
      </w:pPr>
      <w:bookmarkStart w:id="900681" w:name="_Toc300000680"/>
      <w:r>
        <w:t xml:space="preserve">Article 21.3: Cooperation</w:t>
      </w:r>
      <w:bookmarkEnd w:id="900681"/>
    </w:p>
    <w:p>
      <w:pPr>
        <w:pStyle w:val="Normal"/>
      </w:pPr>
      <w:r>
        <w:t xml:space="preserve">1. The Parties recognize the importance of cooperation and coordination between their respective national competition authorities to foster effective competition law enforcement in the free trade area. Accordingly, the Parties’ national competition authorities shall endeavor to cooperate in relation to their enforcement laws and policies, including through investigative assistance, notification, consultation, and exchange of information. 2. The Parties shall seek to further strengthen cooperation and coordination between their respective national competition authorities, particularly regarding those commercial practices that hinder market efficiency and reduce consumer welfare within the free trade area. 3. Each Party shall adopt or maintain measures sufficient to permit negotiations of cooperation instruments that may address, among other matters, enhanced information sharing and mutual legal assistance. 4. The Parties’ national competition authorities shall seek to cooperate with respect to their competition policies and in the enforcement of their respective national competition laws, which may include coordination of investigations that raise common law enforcement concerns. This cooperation shall be compatible with each Party’s law and important interests, in accordance with their law governing legal privilege and disclosure of business secrets and other confidential information, and within reasonably available resources.</w:t>
      </w:r>
    </w:p>
    <w:p>
      <w:pPr>
        <w:pStyle w:val="Normal"/>
      </w:pPr>
      <w:r>
        <w:t>The Parties’ national competition authorities may cooperate on the basis of mechanisms that exist or may be developed. 5. Recognizing that the Parties can benefit by sharing their diverse experience in developing, implementing, and enforcing their national competition laws and policies, the Parties’ national competition authorities shall consider undertaking mutually agreed technical cooperation activities, including training programs. 6. The Parties acknowledge the importance of cooperation and coordination internationally and the work of multilateral organizations in this area, including the Competition Committee of the Organisation for Economic Co-operation and Development, and the International Competition Network.</w:t>
      </w:r>
    </w:p>
    <w:p>
      <w:pPr>
        <w:pStyle w:val="Heading2"/>
      </w:pPr>
      <w:bookmarkStart w:id="900682" w:name="_Toc300000681"/>
      <w:r>
        <w:t xml:space="preserve">Article 21.4: Consumer Protection</w:t>
      </w:r>
      <w:bookmarkEnd w:id="900682"/>
    </w:p>
    <w:p>
      <w:pPr>
        <w:pStyle w:val="Normal"/>
      </w:pPr>
      <w:r>
        <w:t xml:space="preserve">1. The Parties recognize the importance of consumer protection policy and enforcement to creating efficient and competitive markets, and enhancing consumer welfare in the free trade area. 2. Each Party shall adopt or maintain national consumer protection laws or other laws or regulations that proscribe fraudulent and deceptive commercial activities, recognizing that the enforcement of those laws and regulations is in the public interest. The laws and regulations a Party adopts or maintains to proscribe these activities may be civil or criminal in nature. 3. The Parties recognize that fraudulent and deceptive commercial activities increasingly transcend national borders and that cooperation and coordination between the Parties to address these activities effectively is important and in the public interest. 4. The Parties shall promote, as appropriate, cooperation and coordination on matters of mutual interest related to fraudulent and deceptive commercial activities, including in the enforcement of their consumer protection laws through activities such as the exchange of consumer complaints and other enforcement information. That cooperation and coordination may be based on cooperation mechanisms in existence. Each Party shall protect confidential information in accordance with its law, including business information. 5.</w:t>
      </w:r>
    </w:p>
    <w:p>
      <w:pPr>
        <w:pStyle w:val="Normal"/>
      </w:pPr>
      <w:r>
        <w:t>The Parties shall endeavor to cooperate and coordinate on the matters set out in this Article through the relevant national public bodies or officials responsible for consumer protection policy, law, or enforcement, as determined by each Party and compatible with their respective law and important interests, and within their reasonably available resources.</w:t>
      </w:r>
    </w:p>
    <w:p>
      <w:pPr>
        <w:pStyle w:val="Heading2"/>
      </w:pPr>
      <w:bookmarkStart w:id="900683" w:name="_Toc300000682"/>
      <w:r>
        <w:t xml:space="preserve">Article 21.5: Transparency</w:t>
      </w:r>
      <w:bookmarkEnd w:id="900683"/>
    </w:p>
    <w:p>
      <w:pPr>
        <w:pStyle w:val="Normal"/>
      </w:pPr>
      <w:r>
        <w:t xml:space="preserve">1. The Parties recognize the value of making competition enforcement and advocacy policies as transparent as possible. 2. On request of another Party, a Party shall make available to the requesting Party public information concerning: (a) its national competition law enforcement policies and practices; and (b) exemptions and immunities to its national competition laws, provided that the request specifies the particular good or service and market of concern and includes information explaining how the exemption or immunity may hinder trade or investment between the Parties.</w:t>
      </w:r>
    </w:p>
    <w:p>
      <w:pPr>
        <w:pStyle w:val="Heading2"/>
      </w:pPr>
      <w:bookmarkStart w:id="900684" w:name="_Toc300000683"/>
      <w:r>
        <w:t xml:space="preserve">Article 21.6: Consultations</w:t>
      </w:r>
      <w:bookmarkEnd w:id="900684"/>
    </w:p>
    <w:p>
      <w:pPr>
        <w:pStyle w:val="Normal"/>
      </w:pPr>
      <w:r>
        <w:t xml:space="preserve">1. In order to foster understanding between the Parties, or to address specific matters that arise under this Chapter, on request of another Party, a Party shall enter into consultations with the requesting Party. In its request, the requesting Party shall indicate, if relevant, how the matter affects trade or investment between the Parties. 2. The Party addressed shall accord full and sympathetic consideration to the concerns of the requesting Party. 3. To facilitate discussion of the matter that is the subject of the consultations, each Party shall endeavor to provide relevant non-confidential, non-privileged information to the other Party.</w:t>
      </w:r>
    </w:p>
    <w:p>
      <w:pPr>
        <w:pStyle w:val="Heading2"/>
      </w:pPr>
      <w:bookmarkStart w:id="900685" w:name="_Toc300000684"/>
      <w:r>
        <w:t xml:space="preserve">Article 21.7: Non-Application of Dispute Settlement</w:t>
      </w:r>
      <w:bookmarkEnd w:id="900685"/>
    </w:p>
    <w:p>
      <w:pPr>
        <w:pStyle w:val="Normal"/>
      </w:pPr>
      <w:r>
        <w:t xml:space="preserve">No Party shall have recourse to dispute settlement under Chapter 14 (Investment) or Chapter 31 (Dispute Settlement) for a matter arising under this Chapter.</w:t>
      </w:r>
    </w:p>
    <w:p>
      <w:pPr>
        <w:pStyle w:val="Heading1"/>
      </w:pPr>
      <w:bookmarkStart w:id="900686" w:name="_Toc300000685"/>
      <w:r>
        <w:t>CHAPTER 22 STATE-OWNED ENTERPRISES AND DESIGNATED MONOPOLIES</w:t>
      </w:r>
      <w:bookmarkEnd w:id="900686"/>
    </w:p>
    <w:p>
      <w:pPr>
        <w:pStyle w:val="Heading2"/>
      </w:pPr>
      <w:bookmarkStart w:id="900687" w:name="_Toc300000686"/>
      <w:r>
        <w:t xml:space="preserve">Article 22.1: Definitions</w:t>
      </w:r>
      <w:bookmarkEnd w:id="900687"/>
    </w:p>
    <w:p>
      <w:pPr>
        <w:pStyle w:val="Normal"/>
      </w:pPr>
      <w:r>
        <w:t xml:space="preserve">For the purposes of this Chapter:</w:t>
      </w:r>
    </w:p>
    <w:p>
      <w:pPr>
        <w:pStyle w:val="Normal"/>
      </w:pPr>
      <w:r>
        <w:t>Arrangement means the Arrangement on Officially Supported Export Credits, developed within the framework of the Organization for Economic Cooperation and Development (OECD), or a successor undertaking, whether developed within or outside of the OECD framework, that has been adopted by at least 12 original WTO Members that were Participants to the Arrangement as of January 1, 1979; commercial activities means activities that an enterprise undertakes with an orientation toward profitmaking1 and that result in the production of a good or supply of a service that will be sold to a consumer in the relevant market in quantities and at prices determined by the enterprise;2 commercial considerations means price, quality, availability, marketability, transportation, and other terms and conditions of purchase or sale, or other factors that would normally be taken into account in the commercial decisions of a privately owned enterprise in the relevant business or industry; designate means to establish, name, or authorize a monopoly, or to expand the scope of a monopoly to cover an additional good or service;</w:t>
      </w:r>
    </w:p>
    <w:p>
      <w:pPr>
        <w:pStyle w:val="Normal"/>
      </w:pPr>
      <w:r>
        <w:t>designated monopoly means a privately owned monopoly that is designated after the date of entry into force of this Agreement and a government monopoly that a Party designates or has designated; financial services supplier, financial institution, and financial services have the same meaning as in Article 17.1</w:t>
      </w:r>
    </w:p>
    <w:p>
      <w:pPr>
        <w:pStyle w:val="Normal"/>
      </w:pPr>
      <w:r>
        <w:t>(Definitions); government monopoly means a monopoly that is owned, or controlled through ownership interests, by a Party or by another government monopoly; independent pension fund means an enterprise that is owned, or controlled through ownership interests, by a Party that: 1 For greater certainty, activities undertaken by an enterprise that operates on a notforprofit basis or on a cost recovery basis are not activities undertaken with an orientation toward profitmaking. For greater certainty, measures of general application to the relevant market shall not be construed as the determination by a Party of pricing, production, or supply decisions of an enterprise. 221 (a) is engaged exclusively in the following activities: (i) administering or providing a plan for pension, retirement, social security, disability, death, or employee benefits, or any combination thereof solely for the benefit of natural persons who are contributors to such a plan or their beneficiaries, or (ii) investing the assets of these plans;</w:t>
      </w:r>
    </w:p>
    <w:p>
      <w:pPr>
        <w:pStyle w:val="Normal"/>
      </w:pPr>
      <w:r>
        <w:t>(b) has a fiduciary duty to the natural persons referred to in subparagraph (a)(i); and (c) is not subject to investment direction by the government of the Party;3 market means the geographical and commercial market for a good or service; monopoly means an entity, including a consortium or government agency that, in a relevant market in the territory of a Party, is designated as the sole provider or purchaser of a good or service, but does not include an entity</w:t>
      </w:r>
    </w:p>
    <w:p>
      <w:pPr>
        <w:pStyle w:val="Normal"/>
      </w:pPr>
      <w:r>
        <w:t>that has been granted an exclusive intellectual property right solely by reason of the grant; non-commercial assistance4 means assistance that is limited to certain enterprises, and: (a) “assistance” means the following forms of assistance: (i) direct transfers of funds or potential direct transfers of funds or liabilities, such as: (A) grants or debt forgiveness, (B) loans, loan guarantees, or other types of financing on terms more favorable than those commercially available to that enterprise, or (C) equity capital inconsistent with the usual investment practice (including for the provision of risk capital) of private investors, 3 Investment direction from the government of a Party does not include general guidance with respect to risk management and asset allocation that is not inconsistent with usual investment practice and is not demonstrated solely by the presence of government officials on the enterprise’s board of directors or investment panel. 4 For greater certainty, non-commercial assistance does not include a Party’s transfer of funds, collected from contributors to a plan for pension, retirement, social security, disability, death or employee benefits, or any combination thereof, to an independent pension fund for investment on behalf of the contributors and their beneficiaries.</w:t>
      </w:r>
    </w:p>
    <w:p>
      <w:pPr>
        <w:pStyle w:val="Normal"/>
      </w:pPr>
      <w:r>
        <w:t>222 (ii) the provision of goods or the supply of services other than general infrastructure, on terms more favorable than those commercially available to the enterprise, or (iii) the purchase of goods on terms more favorable than those commercially available to the enterprise; (b) “certain enterprises” means an enterprise or industry or group of enterprises or industries; (c) “limited to certain enterprises” means that the Party or any of the Party’s state enterprises or state-owned enterprises, or a combination thereof:</w:t>
      </w:r>
    </w:p>
    <w:p>
      <w:pPr>
        <w:pStyle w:val="Normal"/>
      </w:pPr>
      <w:r>
        <w:t>(i) explicitly limits access to the assistance to certain enterprises, (ii) provides assistance to a limited number of certain enterprises, (iii) provides assistance which is predominantly used by certain enterprises, (iv) provides a disproportionately large amount of the assistance to certain enterprises, or (v) otherwise favors certain enterprises through the use of its discretion in the provision of assistance;5 and (d) assistance that falls under Article 22.6.1, Article 22.6.2, or Article 22.6.3 (Non Commercial Assistance) shall be deemed to be “limited to certain enterprises”; public service mandate means a government mandate pursuant to which a state-owned enterprise makes available a service, directly or indirectly, to the general public in its territory;6 state-owned enterprise means an enterprise that is principally engaged in commercial activities, and in which a Party: (a) directly or indirectly7 owns more than 50 percent of the share capital;</w:t>
      </w:r>
    </w:p>
    <w:p>
      <w:pPr>
        <w:pStyle w:val="Normal"/>
      </w:pPr>
      <w:r>
        <w:t>5 For greater certainty, assistance that is limited, in law or fact, to state enterprises or state-owned enterprises of a Party, or a combination thereof, is “limited to certain enterprises”. 6 For greater certainty, a service to the general public includes the distribution of goods and the supply of general infrastructure services. 7 For the purposes of this definition, the term “indirectly” refers to situations in which a Party holds an ownership interest in an enterprise through one or more state enterprises of that Party. At each level of the ownership chain, the state enterprise – either alone or in combination with other state enterprises – must own, or control through ownership interests, another enterprise. 223 (b) controls, through direct or indirect ownership interests, the exercise of more than 50 percent of the voting rights; (c) holds the power to control the enterprise through any other ownership interest, including indirect or minority ownership;8 or (d) holds the power to appoint a majority of members of the board of directors or any other equivalent management body.</w:t>
      </w:r>
    </w:p>
    <w:p>
      <w:pPr>
        <w:pStyle w:val="Heading2"/>
      </w:pPr>
      <w:bookmarkStart w:id="900688" w:name="_Toc300000687"/>
      <w:r>
        <w:t xml:space="preserve">Article 22.2: Scope</w:t>
      </w:r>
      <w:bookmarkEnd w:id="900688"/>
    </w:p>
    <w:p>
      <w:pPr>
        <w:pStyle w:val="Normal"/>
      </w:pPr>
      <w:r>
        <w:t xml:space="preserve">1. This Chapter applies to the activities of state-owned enterprises, state enterprises, or designated monopolies of a Party that affect or could affect trade or investment between Parties within the free trade area. This Chapter also applies to the activities of state-owned enterprises of a Party that cause adverse effects in the market of a non-Party as provided in Article 22.7 (Adverse Effects). 2. This Chapter does not apply to: (a) the regulatory or supervisory activities, or monetary and related credit policy and exchange rate policy, of a central bank or monetary authority of a Party; (b) the regulatory or supervisory activities of a financial regulatory body of a Party, including a nongovernmental body, such as a securities or futures exchange or market, clearing agency, or other organization or association, that exercises regulatory or supervisory authority over financial services suppliers; or (c) activities undertaken by a Party or one of its state enterprises or state-owned enterprises for the purpose of the resolution of a failing or failed financial institution or any other failing or failed enterprise principally engaged in the supply of financial services. 3.</w:t>
      </w:r>
    </w:p>
    <w:p>
      <w:pPr>
        <w:pStyle w:val="Normal"/>
      </w:pPr>
      <w:r>
        <w:t>This Chapter does not apply to: (a) an independent pension fund of a Party; or 8 For the purposes of this subparagraph, a Party holds the power to control the enterprise if, through an ownership interest, it can determine or direct important matters affecting the enterprise, excluding minority shareholder protections. In determining whether a Party has this power, all relevant legal and factual elements shall be taken into account on a casebycase basis. Those elements may include the power to determine or direct commercial operations, including major expenditures or investments; issuances of equity or significant debt offerings; or the restructuring, merger, or dissolution of the enterprise. 224 (b) an enterprise owned or controlled by an independent pension fund of a Party, except:</w:t>
      </w:r>
    </w:p>
    <w:p>
      <w:pPr>
        <w:pStyle w:val="Normal"/>
      </w:pPr>
      <w:r>
        <w:t>(i) Article 22.6.1, Article 22.6.2, Article 22.6.4, and Article 22.6.6 (Non Commercial Assistance) apply only to a Party’s direct or indirect provision of non-commercial assistance to an enterprise owned or controlled by an independent pension fund, and (ii) Article 22.6.1, Article 22.6.2, Article 22.6.4, and Article 22.6.6 (Non Commercial Assistance) apply only to a Party’s indirect provision of non-commercial assistance through an enterprise owned or controlled by an independent pension fund. 4. This Chapter does not apply to government procurement. 5.</w:t>
      </w:r>
    </w:p>
    <w:p>
      <w:pPr>
        <w:pStyle w:val="Normal"/>
      </w:pPr>
      <w:r>
        <w:t xml:space="preserve">Nothing in this Chapter shall be construed to prevent a Party from: (a) establishing or maintaining a state enterprise or a state-owned enterprise; or (b) designating a monopoly. 6. Article 22.4 (Non-Discriminatory Treatment and Commercial Considerations), Article 22.6 (Non-Commercial Assistance), and Article 22.10 (Transparency) do not apply to a service supplied in the exercise of governmental authority.9 7. Article 22.4.l(b), Article 22.4.l(c), Article 22.4.2(b), and Article 22.4.2(c) (Non Discriminatory Treatment and Commercial Considerations) do not apply to the extent that a Party’s state-owned enterprise or designated monopoly makes purchases and sales of goods or services pursuant to: (a) an existing nonconforming measure that the Party maintains, continues, renews or amends in accordance with Article 14.12.1 (Non-Conforming Measures), Article 15.7.1 (Non-Conforming Measures) or Article 17.10.1 (Non-Conforming Measures), as set out in its Schedule to Annex I or in Section A of its Schedule to Annex III; or (b) a nonconforming measure that the Party adopts or maintains with respect to sectors, subsectors, or activities in accordance with Article 14.12.2 (Non Conforming Measures), Article 15.7.2 (Non-Conforming Measures) or Article 17.10.2 (Non-Conforming Measures), as set out in its Schedule to Annex II or in Section B of its Schedule to Annex III.</w:t>
      </w:r>
    </w:p>
    <w:p>
      <w:pPr>
        <w:pStyle w:val="Normal"/>
      </w:pPr>
      <w:r>
        <w:t>For the purposes of this paragraph, “a service supplied in the exercise of governmental authority” has the same meaning as in the GATS, including the meaning in its Financial Services Annex if applicable. 225</w:t>
      </w:r>
    </w:p>
    <w:p>
      <w:pPr>
        <w:pStyle w:val="Heading2"/>
      </w:pPr>
      <w:bookmarkStart w:id="900689" w:name="_Toc300000688"/>
      <w:r>
        <w:t xml:space="preserve">Article 22.3: Delegated Authority</w:t>
      </w:r>
      <w:bookmarkEnd w:id="900689"/>
    </w:p>
    <w:p>
      <w:pPr>
        <w:pStyle w:val="Normal"/>
      </w:pPr>
      <w:r>
        <w:t>Consistent with Article 1.4 (Persons Exercising Delegated Governmental Authority), each Party shall ensure that if its state-owned enterprises, state enterprises, or designated monopolies exercise regulatory, administrative, or other governmental authority that the Party has directed or delegated to those entities to carry out, those entities act in a manner that is not inconsistent with that Party’s obligations under this Agreement.10</w:t>
      </w:r>
    </w:p>
    <w:p>
      <w:pPr>
        <w:pStyle w:val="Heading2"/>
      </w:pPr>
      <w:bookmarkStart w:id="900690" w:name="_Toc300000689"/>
      <w:r>
        <w:t xml:space="preserve">Article 22.4: Non-Discriminatory Treatment and Commercial Considerations</w:t>
      </w:r>
      <w:bookmarkEnd w:id="900690"/>
    </w:p>
    <w:p>
      <w:pPr>
        <w:pStyle w:val="Normal"/>
      </w:pPr>
      <w:r>
        <w:t xml:space="preserve">1. Each Party shall ensure that each of its state-owned enterprises, when engaging in commercial activities: (a) acts in accordance with commercial considerations in its purchase or sale of a good or service, except to fulfil the terms of its public service mandate that are not inconsistent with subparagraphs (b) or (c)(ii); (b) in its purchase of a good or service:</w:t>
      </w:r>
    </w:p>
    <w:p>
      <w:pPr>
        <w:pStyle w:val="Normal"/>
      </w:pPr>
      <w:r>
        <w:t>(i) accords to a good or service supplied by an enterprise of another Party treatment no less favorable than it accords to a like good or a like service supplied by enterprises of the Party, of any other Party or of a non-Party, and (ii) accords to a good or service supplied by an enterprise that is a covered investment in the Party’s territory treatment no less favorable than it accords to a like good or a like service supplied by enterprises in the relevant market in the Party’s territory that are investments of investors of the Party, of another Party or of a non-Party; and (c) in its sale of a good or service:</w:t>
      </w:r>
    </w:p>
    <w:p>
      <w:pPr>
        <w:pStyle w:val="Normal"/>
      </w:pPr>
      <w:r>
        <w:t>(i) accords to an enterprise of another Party treatment no less favorable than it accords to enterprises of the Party, of any other Party or of a non-Party, and (ii) accords to an enterprise that is a covered investment in the Party’s territory treatment no less favorable than it accords to enterprises in the relevant 10 Examples of regulatory, administrative, or other governmental authority include the power to expropriate, grant</w:t>
      </w:r>
    </w:p>
    <w:p>
      <w:pPr>
        <w:pStyle w:val="Normal"/>
      </w:pPr>
      <w:r>
        <w:t>licenses, approve commercial transactions, or impose quotas, fees, or other charges. 226 market in the Party’s territory that are investments of investors of the Party, of another Party or of a non-Party.11 2. Each Party shall ensure that each of its designated monopolies: (a) acts in accordance with commercial considerations in its purchase or sale of the monopoly good or service in the relevant market, except to fulfil any terms of its designation that are not inconsistent with subparagraphs (b), (c), or (d); (b) in its purchase of the monopoly good or service:</w:t>
      </w:r>
    </w:p>
    <w:p>
      <w:pPr>
        <w:pStyle w:val="Normal"/>
      </w:pPr>
      <w:r>
        <w:t>(i) accords to a good or service supplied by an enterprise of another Party treatment no less favorable than it accords to a like good or a like service supplied by enterprises of the Party, of any other Party or of a non-Party, and (ii) accords to a good or service supplied by an enterprise that is a covered investment in the Party’s territory treatment no less favorable than it accords to a like good or a like service supplied by enterprises in the relevant market in the Party’s territory that are investments of investors of the Party, of another Party or of a non-Party; and (c) in its sale of the monopoly good or service: (i) accords to an enterprise of another Party treatment no less favorable than it accords to enterprises of the Party, of any other Party or of a non-Party, and (ii) accords to an enterprise that is a covered investment in the Party’s territory treatment no less favorable than it accords to</w:t>
      </w:r>
    </w:p>
    <w:p>
      <w:pPr>
        <w:pStyle w:val="Normal"/>
      </w:pPr>
      <w:r>
        <w:t>enterprises in the relevant market in the Party’s territory that are investments of investors of the Party, of another Party or of a non-Party; and (d) does not use its monopoly position to engage in, either directly or indirectly, including through its dealings with its parent, subsidiaries, or other entities the Party or the designated monopoly owns, anticompetitive practices in a non monopolized market in its territory that negatively affect trade or investment between the Parties. 3. Paragraphs 1(b) and 1(c) and paragraphs 2(b) and 2(c) do not preclude a state-owned enterprise or designated monopoly from: 11 Article 22.4.1 (Non-Discriminatory Treatment and Commercial Considerations) does not apply with respect to the purchase or sale of shares, stock, or other forms of equity by a state-owned enterprise as a means of its equity participation in another enterprise. 227 (a) purchasing or selling goods or services on different terms or conditions including those relating to price; or (b) refusing to purchase or sell goods or services, provided that this differential treatment or refusal is undertaken in accordance with commercial considerations.</w:t>
      </w:r>
    </w:p>
    <w:p>
      <w:pPr>
        <w:pStyle w:val="Heading2"/>
      </w:pPr>
      <w:bookmarkStart w:id="900691" w:name="_Toc300000690"/>
      <w:r>
        <w:t xml:space="preserve">Article 22.5: Courts and Administrative Bodies</w:t>
      </w:r>
      <w:bookmarkEnd w:id="900691"/>
    </w:p>
    <w:p>
      <w:pPr>
        <w:pStyle w:val="Normal"/>
      </w:pPr>
      <w:r>
        <w:t xml:space="preserve">1. Each Party shall provide its courts with jurisdiction over civil claims against an enterprise owned or controlled through ownership interests by a foreign government based on a commercial activity carried on in its territory.12 This shall not be construed to require a Party to provide jurisdiction over those claims if it does not provide jurisdiction over similar claims against enterprises that are not owned or controlled through ownership interests by a foreign government. 2. Each Party shall ensure that any administrative body that the Party establishes or maintains that regulates a state-owned enterprise exercises its regulatory discretion in an impartial manner with respect to enterprises that it regulates, including enterprises that are not state-owned enterprises.</w:t>
      </w:r>
    </w:p>
    <w:p>
      <w:pPr>
        <w:pStyle w:val="Heading2"/>
      </w:pPr>
      <w:bookmarkStart w:id="900692" w:name="_Toc300000691"/>
      <w:r>
        <w:t xml:space="preserve">Article 22.6: Non-Commercial Assistance</w:t>
      </w:r>
      <w:bookmarkEnd w:id="900692"/>
    </w:p>
    <w:p>
      <w:pPr>
        <w:pStyle w:val="Normal"/>
      </w:pPr>
      <w:r>
        <w:t xml:space="preserve">1. The following forms of non-commercial assistance, if provided to a state-owned enterprise primarily engaged in the production or sale of goods other than electricity, are prohibited:13 (a) loans or loan guarantees provided by a state enterprise or state-owned enterprise of a Party to an uncreditworthy state-owned enterprise of that Party;14 12 This paragraph shall not be construed to preclude a Party from providing its courts with jurisdiction over claims against enterprises owned or controlled through ownership interests by a foreign government other than those claims referred to in this paragraph. 13 Article 22.6.1, Article 22.6.2, and Article 22.6.3 (Non-Commercial Assistance) do not apply to state-owned enterprises of a Party that are primarily engaged in the construction of general infrastructure such as bridges, highways, ports, or railways (including intercity or urban railways), if (i) the infrastructure is located, in whole or in part, within the territory of the Party; and (ii) neither access to nor use of the infrastructure is limited to certain enterprises, unless those enterprises access or use the infrastructure primarily to supply a service to the general public within the territory of the Party.</w:t>
      </w:r>
    </w:p>
    <w:p>
      <w:pPr>
        <w:pStyle w:val="Normal"/>
      </w:pPr>
      <w:r>
        <w:t>14 A state-owned enterprise is “uncreditworthy” if, at the time the terms of the financing were agreed upon, the 228 (b) non-commercial assistance provided by a Party or a state enterprise or state owned enterprise of a Party to a state-owned enterprise of that Party, in circumstances where the recipient is insolvent15 or on the brink of insolvency,16 without a credible restructuring plan designed to return the state-owned enterprise within a reasonable period of time to longterm viability; or (c) conversion by a Party or a state enterprise or state-owned enterprise of a Party of the outstanding debt of a state-owned enterprise of that Party to equity, in circumstances where this would be inconsistent with the usual investment practice of a private investor.17 2. No Party shall provide, either directly or indirectly,18 non-commercial assistance referred to in paragraphs 1(b) and 1(c). 3. Each Party shall ensure that its state enterprises and state-owned enterprises do not provide, either directly or indirectly, non-commercial assistance referred to in paragraphs 1(a), 1(b), and 1(c). 4.</w:t>
      </w:r>
    </w:p>
    <w:p>
      <w:pPr>
        <w:pStyle w:val="Normal"/>
      </w:pPr>
      <w:r>
        <w:t>No Party shall cause19 adverse effects to the interests of another Party through the use of non-commercial assistance that it provides, either directly or indirectly, to its state-owned enterprises with respect to: state-owned enterprise’s financial position would preclude it from obtaining longterm financing from conventional commercial sources (that is, bank loans and nonspeculative grade bond issues). To determine whether a state owned enterprise is creditworthy, all relevant legal and factual elements must be taken into consideration on a case bycase basis. These elements may include whether a creditor would have reasonable assurance of repayment of contractual debt obligations in a timely manner, for instance, from the cash flow and assets of the business. 15 A state-owned enterprise is “insolvent” if it is unable to meet its debt obligations as they become due.</w:t>
      </w:r>
    </w:p>
    <w:p>
      <w:pPr>
        <w:pStyle w:val="Normal"/>
      </w:pPr>
      <w:r>
        <w:t>Insolvency exists, for example, where (i) the state-owned enterprise has failed to make required payments due to an inability to service the debt obligations; or (ii) the state-owned enterprise has filed for bankruptcy, has been determined by a court to be bankrupt or insolvent, or is subject to court supervision, for purposes of either reorganization or liquidation of the enterprise. 16 A state-owned enterprise is “on the brink of insolvency” if it will likely be unable to meet its debt obligations at any point over the next 12 months.</w:t>
      </w:r>
    </w:p>
    <w:p>
      <w:pPr>
        <w:pStyle w:val="Normal"/>
      </w:pPr>
      <w:r>
        <w:t>To determine whether a state-owned enterprise is on the brink of insolvency, primary consideration shall be given to opinions of independent credit rating agencies and independent accounting firms issued in the ordinary course of business, if available. To the extent relevant, additional factual evidence concerning the ability of the state-owned enterprise to meet its debt obligations may also be taken into account. 17 With respect to Mexico, the obligations set out in Article 22.6.1, Article 22.6.2, and Article 22.6.3 (Non Commercial Assistance) are subject to the additional provisions of Annex 22F (Non-Commercial Assistance to Certain State Productive Enterprises). 18 For greater certainty, indirect provision includes the situation in which a Party entrusts or directs an enterprise that is not a state-owned enterprise to provide non-commercial assistance. 229 (a) the production and sale of a good by the state-owned enterprise; (b) the supply of a service by the state-owned enterprise from the territory of the Party into the territory of another Party; or (c) the supply of a service in the territory of another Party through an enterprise that is a covered investment in the territory of that other Party or any other Party. 5.</w:t>
      </w:r>
    </w:p>
    <w:p>
      <w:pPr>
        <w:pStyle w:val="Normal"/>
      </w:pPr>
      <w:r>
        <w:t>Each Party shall ensure that its state enterprises and state-owned enterprises do not cause adverse effects to the interests of another Party through the use of non-commercial assistance that the state enterprise or state-owned enterprise provides to a state-owned enterprise of the Party with respect to: (a) the production and sale of a good by the state-owned enterprise; (b) the supply of a service by the state-owned enterprise from the territory of the Party into the territory of another Party; or (c) the supply of a service in the territory of another Party through an enterprise that is a covered investment in the territory of that other Party or any other Party. 6. No Party shall cause injury to a domestic industry20 of another Party through the use of non-commercial assistance that it provides, either directly or indirectly, to any of its state-owned enterprises that is a covered investment in the territory of that other Party in circumstances in which:</w:t>
      </w:r>
    </w:p>
    <w:p>
      <w:pPr>
        <w:pStyle w:val="Normal"/>
      </w:pPr>
      <w:r>
        <w:t>(a) the non-commercial assistance is provided with respect to the production and sale of a good by the state-owned enterprise in the territory of the other Party; and (b) a like good is produced and sold in the territory of the other Party by the domestic industry of that other Party.21 19 For the purposes of paragraphs 4 and 5, it must be demonstrated that the adverse effects claimed have been caused by the non-commercial assistance.</w:t>
      </w:r>
    </w:p>
    <w:p>
      <w:pPr>
        <w:pStyle w:val="Normal"/>
      </w:pPr>
      <w:r>
        <w:t>Thus, the non-commercial assistance must be examined within the context of other possible causal factors to ensure an appropriate attribution of causality. 20 The term “domestic industry” refers to the domestic producers as a whole of the like good, or to those domestic producers whose collective output of the like good constitutes a major proportion of the total domestic production of the like good, excluding the state-owned enterprise that is a covered investment that has received the non commercial assistance referred to in this paragraph. 21 In situations of material retardation of the establishment of a domestic industry, it is understood that a domestic industry may not yet produce and sell the like good. However, in these situations, there must be evidence that a prospective domestic producer has made a substantial commitment to commence production and sales of the like good. 2210 7. A service supplied by a state-owned enterprise of a Party within that Party’s territory shall be deemed not to cause adverse effects.22</w:t>
      </w:r>
    </w:p>
    <w:p>
      <w:pPr>
        <w:pStyle w:val="Heading2"/>
      </w:pPr>
      <w:bookmarkStart w:id="900693" w:name="_Toc300000692"/>
      <w:r>
        <w:t xml:space="preserve">Article 22.7: Adverse Effects</w:t>
      </w:r>
      <w:bookmarkEnd w:id="900693"/>
    </w:p>
    <w:p>
      <w:pPr>
        <w:pStyle w:val="Normal"/>
      </w:pPr>
      <w:r>
        <w:t xml:space="preserve">1. For the purposes of Article 22.6.4 and Article 22.6.5 (Non-Commercial Assistance), adverse effects arise if the effect of the non-commercial assistance is: (a) that the production and sale of a good by a Party’s state-owned enterprise that has received the non-commercial assistance displaces or impedes from the Party’s market imports of a like good of another Party or sales of a like good produced by an enterprise that is a covered investment in the territory of the Party; (b) that the production and sale of a good by a Party’s state-owned enterprise that has received the non-commercial assistance displaces or impedes from: (i) the market of another Party sales of a like good produced by an enterprise that is a covered investment in the territory of that other Party, or imports of a like good of any other Party, or (ii) the market of a non-Party imports of a like good of another Party;</w:t>
      </w:r>
    </w:p>
    <w:p>
      <w:pPr>
        <w:pStyle w:val="Normal"/>
      </w:pPr>
      <w:r>
        <w:t>(c) a significant price undercutting by a good produced by a Party’s state-owned enterprise that has received the non-commercial assistance and sold by the enterprise in: (i) the market of a Party as compared with the price in the same market of imports of a like good of another Party or a like good that is produced by an enterprise that is a covered investment in the territory of the Party, or significant price suppression, price depression or lost sales in the same market, or (ii) the market of a non-Party as compared with the price in the same market of</w:t>
      </w:r>
    </w:p>
    <w:p>
      <w:pPr>
        <w:pStyle w:val="Normal"/>
      </w:pPr>
      <w:r>
        <w:t>imports of a like good of another Party, or significant price suppression, price depression or lost sales in the same market. (d) that services supplied by a Party’s state-owned enterprise that has received the non-commercial assistance displace or impede from the market of another Party a 22 For greater certainty, this paragraph shall not be construed to apply to a service that itself is a form of non commercial assistance. 2211 like service supplied by a service supplier of that other Party or any other Party; or (e) a significant price undercutting by a service supplied in the market of another Party by a Party’s state-owned enterprise that has received the non-commercial assistance as compared with the price in the same market of a like service supplied by a service supplier of that other Party or any other Party, or significant price suppression, price depression or lost sales in the same market.23 2.</w:t>
      </w:r>
    </w:p>
    <w:p>
      <w:pPr>
        <w:pStyle w:val="Normal"/>
      </w:pPr>
      <w:r>
        <w:t>For the purposes of paragraphs l(a), l(b), and l (d), the displacing or impeding of a good or service includes a case in which it has been demonstrated that there has been a significant change in relative shares of the market to the disadvantage of the like good or like service.</w:t>
      </w:r>
    </w:p>
    <w:p>
      <w:pPr>
        <w:pStyle w:val="Normal"/>
      </w:pPr>
      <w:r>
        <w:t>“</w:t>
      </w:r>
      <w:r>
        <w:t>Significant change in relative shares of the market” includes the following situations: (a) there is a significant increase in the market share of the good or service of the Party’s state-owned enterprise; (b) the market share of the good or service of the Party’s state-owned enterprise remains constant in circumstances in which, in the absence of the non-commercial assistance, it would have declined significantly; or (c) the market share of the good or service of the Party’s state-owned enterprise declines, but at a significantly slower rate than would have been the case in the absence of the non-commercial assistance. The change must manifest itself over an appropriately representative period sufficient to demonstrate clear trends in the development of the market for the good or service concerned, which, in normal circumstances, is at least one year. 3.</w:t>
      </w:r>
    </w:p>
    <w:p>
      <w:pPr>
        <w:pStyle w:val="Normal"/>
      </w:pPr>
      <w:r>
        <w:t>For the purposes of paragraphs l(c) and l(e), price undercutting includes a case in which such price undercutting has been demonstrated through a comparison of the prices of the good or service of the state-owned enterprise with the prices of the like good or service. 4. Comparisons of the prices in paragraph 3 must be made at the same level of trade and at comparable times, and due account must be taken for factors affecting price comparability.</w:t>
      </w:r>
    </w:p>
    <w:p>
      <w:pPr>
        <w:pStyle w:val="Normal"/>
      </w:pPr>
      <w:r>
        <w:t>If a direct comparison of transactions is not possible, the existence of price undercutting may be demonstrated on some other reasonable basis, such as, in the case of goods, a comparison of unit values. 23 The purchase or sale of shares, stock or other forms of equity by a state-owned enterprise that has received non commercial assistance as a means of its equity participation in another enterprise shall not, in and of itself, be construed to give rise to adverse effects as provided for in Article 22.7.1 (Adverse Effects). Consistent with Article 22.6.5 (Non-Commercial Assistance), if the state-owned enterprise provides equity capital to another state-owned enterprise, and the equity capital is a form of non-commercial assistance, then, depending on the facts, the production and sale of a good or the supply of a service by the recipient enterprise could give rise to adverse effects. 2212 I 5. Non-commercial assistance that a Party provides before the signing of this Agreement shall be deemed not to cause adverse effects.</w:t>
      </w:r>
    </w:p>
    <w:p>
      <w:pPr>
        <w:pStyle w:val="Heading2"/>
      </w:pPr>
      <w:bookmarkStart w:id="900694" w:name="_Toc300000693"/>
      <w:r>
        <w:t xml:space="preserve">Article 22.8: Injury</w:t>
      </w:r>
      <w:bookmarkEnd w:id="900694"/>
    </w:p>
    <w:p>
      <w:pPr>
        <w:pStyle w:val="Normal"/>
      </w:pPr>
      <w:r>
        <w:t xml:space="preserve">1. For the purposes of Article 22.6.6 (Non-Commercial Assistance), the term “injury” means material injury to a domestic industry, threat of material injury to a domestic industry, or material retardation of the establishment of such an industry. A determination of material injury shall be based on positive evidence and involve an objective examination of the relevant factors, including the volume of production by the covered investment that has received non-commercial assistance, the effect of that production on prices for like goods produced and sold by the domestic industry, and the effect of that production on the domestic industry producing like goods.24 2. With regard to the volume of production by the covered investment that has received non-commercial assistance, consideration shall be given as to whether there has been a significant increase in the volume of production, either in absolute terms or relative to production or consumption in the territory of the Party in which injury is alleged to have occurred.</w:t>
      </w:r>
    </w:p>
    <w:p>
      <w:pPr>
        <w:pStyle w:val="Normal"/>
      </w:pPr>
      <w:r>
        <w:t>With regard to the effect of the production by the covered investment on prices, consideration shall be given as to whether there has been a significant price undercutting by the goods produced and sold by the covered investment as compared with the price of like goods produced and sold by the domestic industry, or whether the effect of production by the covered investment is otherwise to depress prices to a significant degree or to prevent price increases, which otherwise would have occurred, to a significant degree. No one or several of these factors can necessarily give decisive guidance. 3.</w:t>
      </w:r>
    </w:p>
    <w:p>
      <w:pPr>
        <w:pStyle w:val="Normal"/>
      </w:pPr>
      <w:r>
        <w:t>The examination of the impact on the domestic industry of the goods produced and sold by the covered investment that received the non-commercial assistance must include an evaluation of all relevant economic factors and indices having a bearing on the state of the industry, such as actual and potential decline in output, sales, market share, profits, productivity, return on investments, or utilization of capacity; factors affecting domestic prices; actual and potential negative effects on cash flow, inventories, employment, wages, growth, ability to raise capital or investments and, in the case of agriculture, whether there has been an increased burden on government support programs. This list is not exhaustive, nor can one or several of these factors necessarily give decisive guidance. 4.</w:t>
      </w:r>
    </w:p>
    <w:p>
      <w:pPr>
        <w:pStyle w:val="Normal"/>
      </w:pPr>
      <w:r>
        <w:t>It must be demonstrated that the goods produced and sold by the covered investment are, through the effects of the non-commercial assistance, set out in paragraphs 2 and 3, causing injury within the meaning of this Article. The demonstration of a causal relationship between the 24 The periods for examination of the non-commercial assistance and injury shall be reasonably established and shall end as closely as practical to the date of initiation of the proceeding before the panel. 2213 goods produced and sold by the covered investment and the injury to the domestic industry shall be based on an examination of all relevant evidence. Any known factors other than the goods produced by the covered investment which at the same time are injuring the domestic industry must be examined, and the injuries caused by these other factors must not be attributed to the goods produced and sold by the covered investment that has received non-commercial assistance.</w:t>
      </w:r>
    </w:p>
    <w:p>
      <w:pPr>
        <w:pStyle w:val="Normal"/>
      </w:pPr>
      <w:r>
        <w:t>Factors that may be relevant in this respect include the volumes and prices of other like goods in the market in question, contraction in demand or changes in the patterns of consumption, and developments in technology and the export performance and productivity of the domestic industry. 5. A determination of a threat of material injury shall be based on facts and not merely on allegation, conjecture or remote possibility and shall be considered with special care.</w:t>
      </w:r>
    </w:p>
    <w:p>
      <w:pPr>
        <w:pStyle w:val="Normal"/>
      </w:pPr>
      <w:r>
        <w:t>The change in circumstances that would create a situation in which non commercial assistance to the covered investment would cause injury must be clearly foreseen and imminent. In making a determination regarding the existence of a threat of material injury, there should be consideration of relevant factors25 and of whether the totality of the factors considered lead to the conclusion that further availability of goods produced by the covered investment is imminent and that, unless protective action is taken, material injury would occur.</w:t>
      </w:r>
    </w:p>
    <w:p>
      <w:pPr>
        <w:pStyle w:val="Heading2"/>
      </w:pPr>
      <w:bookmarkStart w:id="900695" w:name="_Toc300000694"/>
      <w:r>
        <w:t xml:space="preserve">Article 22.9: Party-Specific Annexes</w:t>
      </w:r>
      <w:bookmarkEnd w:id="900695"/>
    </w:p>
    <w:p>
      <w:pPr>
        <w:pStyle w:val="Normal"/>
      </w:pPr>
      <w:r>
        <w:t xml:space="preserve">1. Article 22.4 (Non-Discriminatory Treatment and Commercial Considerations) and Article 22.6 (Non-Commercial Assistance) do not apply with respect to the nonconforming activities of state-owned enterprises or designated monopolies that a Party lists in its Schedule to Annex IV in accordance with the terms of the Party’s Schedule. 2. Article 22.4 (Non-Discriminatory Treatment and Commercial Considerations), Article 22.5 (Courts and Administrative Bodies), Article 22.6 (Non-Commercial Assistance), and Article 22.10 (Transparency) do not apply to a Party’s state-owned enterprises or designated monopolies as set out in Annex 22D (Application to Sub-Central State-Owned Enterprises and Designated Monopolies). 25 In making a determination regarding the existence of a threat of material injury, a panel established pursuant to Chapter 31 (Dispute Settlement) should consider, among other things, such factors as: (i) the nature of the non commercial assistance in question and the trade effects likely to arise therefrom; (ii) a significant rate of increase in sales in the domestic market by the covered investment, indicating a likelihood of substantially increased sales;</w:t>
      </w:r>
    </w:p>
    <w:p>
      <w:pPr>
        <w:pStyle w:val="Normal"/>
      </w:pPr>
      <w:r>
        <w:t>(iii) sufficient freely disposable, or an imminent, substantial increase in, capacity of the covered investment indicating the likelihood of substantially increased production of the good by that covered investment, taking into account the availability of export markets to absorb</w:t>
      </w:r>
    </w:p>
    <w:p>
      <w:pPr>
        <w:pStyle w:val="Normal"/>
      </w:pPr>
      <w:r>
        <w:t>additional production; (iv) whether prices of goods sold by the covered investment will have a significant depressing or suppressing effect on the price of like goods; and (v) inventories of like goods. 2214</w:t>
      </w:r>
    </w:p>
    <w:p>
      <w:pPr>
        <w:pStyle w:val="Heading2"/>
      </w:pPr>
      <w:bookmarkStart w:id="900696" w:name="_Toc300000695"/>
      <w:r>
        <w:t xml:space="preserve">Article 22.10: Transparency</w:t>
      </w:r>
      <w:bookmarkEnd w:id="900696"/>
    </w:p>
    <w:p>
      <w:pPr>
        <w:pStyle w:val="Normal"/>
      </w:pPr>
      <w:r>
        <w:t xml:space="preserve">1. Each Party shall provide to the other Parties or publish on an official website a list of its state-owned enterprises no later than six months after the date of entry into force of this Agreement, and thereafter shall update the list annually. 2. Each Party shall promptly notify the other Parties or publish on an official website the designation of a monopoly or expansion of the scope of an existing monopoly and the terms of its designation. 3. On the written request of another Party, a Party shall promptly provide the following information in writing concerning a state-owned enterprise or a government monopoly, provided that the request includes a reasoned explanation of how the activites of the entity affect or could affect trade or investment between the Parties: (a) the percentage of shares that the Party, its state enterprises, state-owned enterprises, or designated monopolies cumulatively own, and the percentage of votes that they cumulatively hold, in the entity;</w:t>
      </w:r>
    </w:p>
    <w:p>
      <w:pPr>
        <w:pStyle w:val="Normal"/>
      </w:pPr>
      <w:r>
        <w:t>(b) a description of any special shares or special voting or other rights that the Party, its state enterprises, state-owned enterprises, or designated monopolies hold, to the extent these rights are different from the rights attached to the general common shares of the entity; (c) the government titles of any government official serving as an officer or member of the entity’s board of directors; (d) the entity’s annual revenue and total assets over the most recent three year</w:t>
      </w:r>
    </w:p>
    <w:p>
      <w:pPr>
        <w:pStyle w:val="Normal"/>
      </w:pPr>
      <w:r>
        <w:t>period for which information is available; (e) any exemptions and immunities from which the entity benefits under the Party’s law; and (f) any additional information regarding the entity that is publicly available, including annual financial reports and thirdparty audits, and that is sought in the written request. 4. On the written request of another Party, a Party shall promptly provide, in writing, information regarding any policy or program that the Party has adopted or maintains that provides for the provision of either non-commercial assistance or any equity capital (regardless of whether the equity infusion also constitutes non-commercial assistance) to its state-owned enterprises. 2215 5. When a Party provides a response pursuant to paragraph 4, the information it provides must be sufficiently specific to enable the requesting Party to understand the operation of the policy or program and evaluate its effects or potential effects on trade or investment between the Parties.</w:t>
      </w:r>
    </w:p>
    <w:p>
      <w:pPr>
        <w:pStyle w:val="Normal"/>
      </w:pPr>
      <w:r>
        <w:t>The Party responding to a request shall ensure that the response that it provides contains the following information: (a) the form of the non-commercial assistance provided under the policy or program, for example, grant or loan; (b) the names of the government agencies, state enterprises, or state-owned enterprises providing the non-commercial assistance or equity capital and the names of the state-owned enterprises that have received or are eligible to receive the non-commercial assistance; (c) the legal basis and policy objective of the policy or program providing for the non-commercial assistance or equity infusion; (d) with respect to goods, the amount per unit of the non-commercial assistance or, in cases if it is not possible to provide a per unit amount, the total amount of or the annual amount budgeted for the non-commercial assistance, indicating, if possible, the average amount per unit in the previous year; (e) with respect to services, the total amount of or the annual amount budgeted for the non-commercial assistance, indicating, if possible, the total amount in the previous year;</w:t>
      </w:r>
    </w:p>
    <w:p>
      <w:pPr>
        <w:pStyle w:val="Normal"/>
      </w:pPr>
      <w:r>
        <w:t>(f) with respect to policies or programs providing for non-commercial assistance in the form of loans or loan guarantees, the amount of the loan or amount of the loan guaranteed, interest rates, and fees charged; (g) with respect to policies or programs providing for non-commercial assistance in the form of the provision of goods or the supply of services, the prices charged, if any,</w:t>
      </w:r>
    </w:p>
    <w:p>
      <w:pPr>
        <w:pStyle w:val="Normal"/>
      </w:pPr>
      <w:r>
        <w:t>for those goods and services; (h) with respect to policies or programs for the provision of equity capital, the amount invested, the number and a description of the shares received, and any assessment of the enterprise’s financial health and prospects that is conducted with respect to the underlying investment decision; (i) duration of the policy or program or any other timelimits attached to it; and (j) statistical data permitting an assessment of the effects of the non-commercial assistance on trade or investment between the Parties. 2216 6. In response to a request made pursuant to paragraph 4, if a Party considers that it has not adopted or does not maintain any policies or programs referred to in paragraph 4, it shall promptly provide a reasoned explanation of this in writing to the requesting Party. 7. If any relevant points in paragraph 5 have not been addressed in the written response, that Party shall provide a reasoned explanation of this in the written response. 8.</w:t>
      </w:r>
    </w:p>
    <w:p>
      <w:pPr>
        <w:pStyle w:val="Normal"/>
      </w:pPr>
      <w:r>
        <w:t>The Parties recognize that the provision of information under paragraphs 5 and 7 does not prejudge the legal status of the assistance that was the subject of the request under paragraph 4 or the effects of that assistance under this Agreement. 9. When a Party responds to a request for information under this Article, and informs the requesting Party that it considers certain information to be confidential, the Party shall provide a reasoned explanation for its determination.</w:t>
      </w:r>
    </w:p>
    <w:p>
      <w:pPr>
        <w:pStyle w:val="Normal"/>
      </w:pPr>
      <w:r>
        <w:t>The requesting Party shall not disclose this information without the prior consent of the Party that provided it. To the maximum extent possible under its law, the Party should not consider the amount of the financial contribution associated with the non-commercial assistance or equity capital to be confidential.</w:t>
      </w:r>
    </w:p>
    <w:p>
      <w:pPr>
        <w:pStyle w:val="Heading2"/>
      </w:pPr>
      <w:bookmarkStart w:id="900697" w:name="_Toc300000696"/>
      <w:r>
        <w:t xml:space="preserve">Article 22.11: Technical Cooperation</w:t>
      </w:r>
      <w:bookmarkEnd w:id="900697"/>
    </w:p>
    <w:p>
      <w:pPr>
        <w:pStyle w:val="Normal"/>
      </w:pPr>
      <w:r>
        <w:t xml:space="preserve">The Parties shall, if appropriate and subject to available resources, engage in mutually decided upon technical cooperation activities, including: (a) exchanging information regarding Parties’ experiences in improving the corporate governance and operation of their state-owned enterprises; (b) sharing best practices on policy approaches to ensure a level playing field between state-owned and privately owned enterprises, including policies related to competitive neutrality; and (c) organizing international seminars, workshops or any other appropriate forum for sharing technical information and expertise related to the governance and operations of state-owned enterprises.</w:t>
      </w:r>
    </w:p>
    <w:p>
      <w:pPr>
        <w:pStyle w:val="Heading2"/>
      </w:pPr>
      <w:bookmarkStart w:id="900698" w:name="_Toc300000697"/>
      <w:r>
        <w:t xml:space="preserve">Article 22.12: Committee on State-Owned Enterprises and Designated Monopolies</w:t>
      </w:r>
      <w:bookmarkEnd w:id="900698"/>
    </w:p>
    <w:p>
      <w:pPr>
        <w:pStyle w:val="Normal"/>
      </w:pPr>
      <w:r>
        <w:t xml:space="preserve">1. The Parties hereby establish a Committee on State-owned Enterprises and Designated Monopolies (SOE Committee), composed of government representatives of each Party. 2. The SOE Committee’s functions include: (a) reviewing and considering the operation and implementation of this Chapter; 2217 (b) at a Party’s request, consulting on a matter arising under this Chapter; (c) developing cooperative efforts, as appropriate, to promote the principles underlying the disciplines contained in this Chapter in the free trade area and to contribute to the development of similar disciplines in other regional and multilateral institutions in which two or more Parties participate; and (d) undertaking other activities as the SOE Committee may decide. 3. The SOE Committee shall meet within one year after the date of entry into force of this Agreement, and at least annually thereafter, unless the Parties decide otherwise.</w:t>
      </w:r>
    </w:p>
    <w:p>
      <w:pPr>
        <w:pStyle w:val="Heading2"/>
      </w:pPr>
      <w:bookmarkStart w:id="900699" w:name="_Toc300000698"/>
      <w:r>
        <w:t xml:space="preserve">Article 22.13: Exceptions</w:t>
      </w:r>
      <w:bookmarkEnd w:id="900699"/>
    </w:p>
    <w:p>
      <w:pPr>
        <w:pStyle w:val="Normal"/>
      </w:pPr>
      <w:r>
        <w:t xml:space="preserve">1. Nothing in Article 22.4 (Non-Discriminatory Treatment and Commercial Considerations) or Article 22.6 (Non-Commercial Assistance) shall be construed to: (a) prevent the adoption or enforcement by a Party of measures to respond temporarily to a national or global economic emergency; or (b) apply to a state-owned enterprise with respect to which a Party has adopted or enforced measures on a temporary basis in response to a national or global economic emergency, for the duration of that emergency. 2. Article 22.4.l (Non-Discriminatory Treatment and Commercial Considerations) does not apply to the supply of financial services by a state-owned enterprise pursuant to a government mandate if that supply of financial services: (a) supports exports or imports, provided that these services are: (i) not intended to displace commercial financing, or (ii) offered on terms no more favorable than those that could be obtained for comparable financial services in the commercial market;26 26 In circumstances in which no comparable financial services are offered in the commercial market:</w:t>
      </w:r>
    </w:p>
    <w:p>
      <w:pPr>
        <w:pStyle w:val="Normal"/>
      </w:pPr>
      <w:r>
        <w:t>(a) for the purposes of paragraphs 2(a)(ii), 2(b)(ii), 3(a)(ii), and 3(b)(ii), the state-owned enterprise may rely as necessary on available evidence to establish a benchmark of the terms on which such services would be offered in the commercial market; and (b) for the purposes of paragraphs 2(a)(i), 2(b)(i), 3(a)(i), and 3(b)(i), the supply of the financial services is deemed not</w:t>
      </w:r>
    </w:p>
    <w:p>
      <w:pPr>
        <w:pStyle w:val="Normal"/>
      </w:pPr>
      <w:r>
        <w:t>to be intended to displace commercial financing. 2218 (b) supports private investment outside the territory of the Party, provided that these services are: (i) not intended to displace commercial financing, or (ii) offered on terms no more favorable than those that could be obtained for comparable financial services in the commercial market; or (c) is offered on terms consistent with the Arrangement, provided that it falls within the scope of the Arrangement. 3. The supply of financial services by a state-owned enterprise pursuant to a government mandate shall be deemed not to give rise to adverse effects under Article 22.6.4(b) (Non Commercial Assistance) or Article 22.6.5(b), or under Article 22.6.4(c) or Article 22.6.5(c) if the Party in which the financial service is supplied requires a local presence in order to supply those services, if that supply of financial services:27 (a) supports exports or imports, provided that these services are: (i) not intended to displace commercial financing, or (ii) offered on terms no more favorable than those that could be obtained for comparable financial services in the commercial market;</w:t>
      </w:r>
    </w:p>
    <w:p>
      <w:pPr>
        <w:pStyle w:val="Normal"/>
      </w:pPr>
      <w:r>
        <w:t>(b) supports private investment outside the territory of the Party, provided that these services are: (i) not intended to displace commercial financing, or (ii) offered on terms no more favorable than those that could be obtained for comparable financial services in the commercial market; or (c) is offered on terms consistent with the Arrangement,</w:t>
      </w:r>
    </w:p>
    <w:p>
      <w:pPr>
        <w:pStyle w:val="Normal"/>
      </w:pPr>
      <w:r>
        <w:t>provided that it falls within the scope of the Arrangement. 4. Article 22.6 (Non-Commercial Assistance) does not apply with respect to an enterprise located outside the territory of a Party over which a state-owned enterprise of that Party has assumed temporary ownership as a consequence of foreclosure or a similar action in connection with defaulted debt, or payment of an insurance claim by the state-owned enterprise, associated with the supply of the financial services referred to in paragraphs 2 and 3, provided that any support the Party, a state enterprise, or state-owned enterprise of the Party provides to the 27 For the purposes of this paragraph, in cases where the Party in which the financial service is supplied requires a local presence in order to supply those services, the supply of the financial services identified in this paragraph through an enterprise that is a covered investment shall be deemed to not give rise to adverse effects. 2219 enterprise during the period of temporary ownership is provided in order to recoup the state owned enterprise’s investment in accordance with a restructuring or liquidation plan that will result in the ultimate divestiture from the enterprise. 5.</w:t>
      </w:r>
    </w:p>
    <w:p>
      <w:pPr>
        <w:pStyle w:val="Normal"/>
      </w:pPr>
      <w:r>
        <w:t>Article 22.4 (Non-Discriminatory Treatment and Commercial Considerations), Article 22.6 (Non-Commercial Assistance), Article 22.10 (Transparency), and Article 22.12 (Committee on State-Owned Enterprises and Designated Monopolies) do not apply with respect to a state owned enterprise or designated monopoly if in any one of the three previous consecutive fiscal years, the annual revenue derived from the commercial activities of the state-owned enterprise or designated monopoly was less than a threshold amount which shall be calculated in accordance with Annex 22A (Threshold Calculation).28</w:t>
      </w:r>
    </w:p>
    <w:p>
      <w:pPr>
        <w:pStyle w:val="Heading2"/>
      </w:pPr>
      <w:bookmarkStart w:id="900700" w:name="_Toc300000699"/>
      <w:r>
        <w:t xml:space="preserve">Article 22.14: Further Negotiations</w:t>
      </w:r>
      <w:bookmarkEnd w:id="900700"/>
    </w:p>
    <w:p>
      <w:pPr>
        <w:pStyle w:val="Normal"/>
      </w:pPr>
      <w:r>
        <w:t xml:space="preserve">Within six months of the date of entry into force of this Agreement, the Parties shall begin further negotiations so as to extend the application of the disciplines in this Chapter in accordance with Annex 22C (Further Negotiations).</w:t>
      </w:r>
    </w:p>
    <w:p>
      <w:pPr>
        <w:pStyle w:val="Heading2"/>
      </w:pPr>
      <w:bookmarkStart w:id="900701" w:name="_Toc300000700"/>
      <w:r>
        <w:t xml:space="preserve">Article 22.15: Process for Developing Information</w:t>
      </w:r>
      <w:bookmarkEnd w:id="900701"/>
    </w:p>
    <w:p>
      <w:pPr>
        <w:pStyle w:val="Normal"/>
      </w:pPr>
      <w:r>
        <w:t xml:space="preserve">Annex 22B (Process for Developing Information Concerning State-Owned Enterprises and Designated Monopolies) applies in any dispute under Chapter 31 (Dispute Settlement) regarding a Party’s conformity with Article 22.4 (Non-Discriminatory Treatment and Commercial Considerations) or Article 22.6 (Non-Commercial Assistance). 28 When a Party invokes this exception during consultations under Article 31.4 (Consultations), the consulting Parties should exchange and discuss available evidence concerning the annual revenue of the state-owned enterprise or the designated monopoly derived from the commercial activities during the three previous consecutive fiscal years in an effort to resolve during the consultations period any disagreement regarding the application of this exception. 2220</w:t>
      </w:r>
    </w:p>
    <w:p>
      <w:pPr>
        <w:pStyle w:val="Heading2"/>
      </w:pPr>
      <w:bookmarkStart w:id="900702" w:name="_Toc300000701"/>
      <w:r>
        <w:t xml:space="preserve">ANNEX 22A THRESHOLD CALCULATION</w:t>
      </w:r>
      <w:bookmarkEnd w:id="900702"/>
    </w:p>
    <w:p>
      <w:pPr>
        <w:pStyle w:val="Normal"/>
      </w:pPr>
      <w:r>
        <w:t xml:space="preserve">1. On the date of entry into force of this Agreement, the threshold referred to in Article 22.13.5 (Exceptions) shall be 175 million Special Drawing Rights (SDRs). 2. The amount of the threshold shall be adjusted at three-year intervals with each adjustment taking effect on 1 January. The first adjustment must take place on the first 1 January following the entry into force of this Agreement, in accordance with the formula set out in this Annex. 3.</w:t>
      </w:r>
    </w:p>
    <w:p>
      <w:pPr>
        <w:pStyle w:val="Normal"/>
      </w:pPr>
      <w:r>
        <w:t>The threshold shall be adjusted for changes in general price levels using a composite SDR inflation rate, calculated as a weighted sum of cumulative per cent changes in the Gross Domestic Product (GDP) deflators of SDR component currencies over the three-year period ending 30 June of the year prior to the adjustment taking effect, and using the following formula: T₁ = (1 + (Σ wᵢˢᴰᴿ · Πᵢˢᴰᴿ))T₀ where: T₀ = threshold value at base period; T₁ = new (adjusted) threshold value; wᵢˢᴰᴿ = respective (fixed) weights of each currency, i, in the SDR (as at 30 June of the year prior to adjustment taking effect); and Πᵢˢᴰᴿ = cumulative per cent change in the GDP deflator of each currency, i, in the SDR over the three-year period ending 30 June of the year prior to adjustment taking effect.</w:t>
      </w:r>
    </w:p>
    <w:p>
      <w:pPr>
        <w:pStyle w:val="Normal"/>
      </w:pPr>
      <w:r>
        <w:t>4. Each Party shall convert the threshold into national currency terms where the conversion rates are the average of monthly values of that Party’s national currency in SDR terms over the three-year period to 30 June of the year before the threshold is to take effect. Each Party shall notify the other Parties of their applicable threshold in their respective national currencies. 5. For the purposes of this Chapter, all data shall be drawn from the International Monetary Fund’s International Financial Statistics database. 6. The Parties shall consult if a major change in a national currency vis-à-vis the SDR were to create a significant problem with regard to the application of this Chapter.</w:t>
      </w:r>
    </w:p>
    <w:p>
      <w:pPr>
        <w:pStyle w:val="Normal"/>
      </w:pPr>
      <w:r>
        <w:t xml:space="preserve">22A1</w:t>
      </w:r>
    </w:p>
    <w:p>
      <w:pPr>
        <w:pStyle w:val="Heading2"/>
      </w:pPr>
      <w:bookmarkStart w:id="900703" w:name="_Toc300000702"/>
      <w:r>
        <w:t xml:space="preserve">ANNEX 22B PROCESS FOR DEVELOPING INFORMATION CONCERNING STATE OWNED ENTERPRISES AND DESIGNATED MONOPOLIES</w:t>
      </w:r>
      <w:bookmarkEnd w:id="900703"/>
    </w:p>
    <w:p>
      <w:pPr>
        <w:pStyle w:val="Normal"/>
      </w:pPr>
      <w:r>
        <w:t xml:space="preserve">1. If a panel has been established pursuant to Chapter 31 (Dispute Settlement) to examine a complaint arising under Article 22.4 (Non-Discriminatory Treatment and Commercial Considerations) or Article 22.6 (Non-Commercial Assistance), the disputing Parties may exchange written questions and responses, as set forth in paragraphs 2, 3, and 4, to obtain information relevant to the complaint that is not otherwise readily available. 2. A disputing Party (questioning Party) may provide written questions to another disputing Party (answering Party) within 15 days of the date the panel is established. The answering Party shall provide its responses to the questions to the questioning Party within 30 days of the date it receives the questions. 3. The questioning Party may provide any followup written questions to the answering Party within 15 days of the date it receives the responses to the initial questions. The answering Party shall provide its responses to the followup questions to the questioning Party within 30 days of the date it receives the followup questions. 4.</w:t>
      </w:r>
    </w:p>
    <w:p>
      <w:pPr>
        <w:pStyle w:val="Normal"/>
      </w:pPr>
      <w:r>
        <w:t>If the questioning Party considers that the answering Party has failed to cooperate in the informationgathering process under this Annex, the questioning Party shall inform the panel and the answering Party in writing within 30 days of the date the responses to the questioning Party’s final questions are due, and provide the basis for its view. The panel shall afford the answering Party an opportunity to reply in writing. 5. A disputing Party that provides written questions or responses to another disputing Party pursuant to the procedures set out in this Annex shall, on the same day, provide the questions or answers to the panel. In the event that a panel has not yet been composed, each disputing Party shall, upon the composition of the panel, promptly provide the panel with any questions or responses it has provided to the other disputing Party. 6.</w:t>
      </w:r>
    </w:p>
    <w:p>
      <w:pPr>
        <w:pStyle w:val="Normal"/>
      </w:pPr>
      <w:r>
        <w:t>The answering Party may designate information in its responses as confidential information in accordance with the procedures set out in the Rules of Procedure established under Article 30.2. l (e) (Functions of the Commission) or other rules of procedure agreed to by the disputing Parties. 7. The time periods in paragraphs 2, 3, and 4 may be modified upon agreement of the disputing Parties or approval by the panel. 22B1 8.</w:t>
      </w:r>
    </w:p>
    <w:p>
      <w:pPr>
        <w:pStyle w:val="Normal"/>
      </w:pPr>
      <w:r>
        <w:t>In determining whether a disputing Party has failed to cooperate in the information gathering process, the panel shall take into account the reasonableness of the questions and the efforts the answering Party has made to respond to the questions in a cooperative and timely manner. 9. In making findings of fact and its initial report, the panel should draw adverse inferences from instances of noncooperation by a disputing Party in the informationgathering process. 10. The panel may deviate from the time period set out in Chapter 31 (Dispute Settlement) for the issuance of the initial report if necessary to accommodate the informationgathering process. 11. The panel may seek additional information from a disputing Party that was not provided to the panel through the informationgathering process if the panel considers the information necessary to resolve the dispute. However, the panel shall not request additional information to complete the record if the information would support a Party’s position and the absence of that information in the record is the result of that Party’s noncooperation in the information gathering process.</w:t>
      </w:r>
    </w:p>
    <w:p>
      <w:pPr>
        <w:pStyle w:val="Normal"/>
      </w:pPr>
      <w:r>
        <w:t xml:space="preserve">22B2</w:t>
      </w:r>
    </w:p>
    <w:p>
      <w:pPr>
        <w:pStyle w:val="Heading2"/>
      </w:pPr>
      <w:bookmarkStart w:id="900704" w:name="_Toc300000703"/>
      <w:r>
        <w:t xml:space="preserve">ANNEX 22C FURTHER NEGOTIATIONS</w:t>
      </w:r>
      <w:bookmarkEnd w:id="900704"/>
    </w:p>
    <w:p>
      <w:pPr>
        <w:pStyle w:val="Normal"/>
      </w:pPr>
      <w:r>
        <w:t xml:space="preserve">Within six months of the date of entry into force of this Agreement, the Parties shall begin further negotiations so as to extend the application of: (a) the obligations in this Chapter to the activities of state-owned enterprises that are owned or controlled by a subcentral level of government, and designated monopolies designated by a subcentral level of government, if these obligations are listed in Annex 22D (Application to Sub-Central State-Owned Enterprises and Designated Monopolies); and (b) the disciplines of Article 22.6 (Non-Commercial Assistance) and Article 22.7 (Adverse Effects) to address effects caused in a market of a non-Party through the supply of services by a state-owned enterprise. The Parties shall meet on a quarterly basis, and shall endeavor to conclude these further negotiations within three years after entry into force of this Agreement.</w:t>
      </w:r>
    </w:p>
    <w:p>
      <w:pPr>
        <w:pStyle w:val="Normal"/>
      </w:pPr>
      <w:r>
        <w:t xml:space="preserve">22C1</w:t>
      </w:r>
    </w:p>
    <w:p>
      <w:pPr>
        <w:pStyle w:val="Heading2"/>
      </w:pPr>
      <w:bookmarkStart w:id="900705" w:name="_Toc300000704"/>
      <w:r>
        <w:t xml:space="preserve">ANNEX 22D APPLICATION TO SUBCENTRAL STATE-OWNED ENTERPRISES AND DESIGNATED MONOPOLIES</w:t>
      </w:r>
      <w:bookmarkEnd w:id="900705"/>
    </w:p>
    <w:p>
      <w:pPr>
        <w:pStyle w:val="Normal"/>
      </w:pPr>
      <w:r>
        <w:t xml:space="preserve">Pursuant to Article 22.9.2 (Party-Specific Annexes), the following provisions do not apply with respect to a state-owned enterprise owned or controlled by a subcentral level of government or a designated monopoly designated by a subcentral level of government:29 (a) For Canada: (i) Article 22.4.1(a) (Non-Discriminatory Treatment and Commercial Considerations), (ii) Article 22.4.1(b) (Non-Discriminatory Treatment and Commercial Considerations), with respect to purchases of a good or service, (iii) Article 22.4.1(c)(i) (Non-Discriminatory Treatment and Commercial Considerations), (iv) Article 22.4.2 (Non-Discriminatory Treatment and Commercial Considerations), with respect to designated monopolies designated by a subcentral level of government, (v) Article 22.5.2 (Courts and Administrative Bodies), with respect to administrative regulatory bodies established or maintained by a sub central level of government, (vi) Article 22.6.1, Article 22.6.2, and Article 22.6.3 (Non-commercial Assistance), (vii) Article 22.6.4(a) (Non-commercial Assistance) and Article 22.6.5(a) (Non-commercial Assistance), with respect to the production and sale of a good in competition with a like good produced and sold by a covered investment, (viii) Article 22.6.4(b) and (c) (Non-commercial Assistance) and Article 22.6.5(b) and (c) (Non-commercial Assistance), (ix) Article 22.6.6 (Non-Commercial</w:t>
      </w:r>
    </w:p>
    <w:p>
      <w:pPr>
        <w:pStyle w:val="Normal"/>
      </w:pPr>
      <w:r>
        <w:t>Assistance), 29 For the purposes of this Annex, “subcentral level of government” means the regional level of government and the local level of government of a Party. 22D1 (x) Article 22.10.1 (Transparency), and (xi) Article 22.10.4 (Transparency) with respect to a policy or program adopted or maintained by a subcentral level of government. (b) For Mexico: (i) Article 22.4.1(a) (Non-Discriminatory Treatment and Commercial Considerations), (ii) Article 22.4.1(b) (Non-Discriminatory Treatment and Commercial Considerations), with respect to purchases of a good or service, (iii) Article 22.4.1(c)(i) (Non-Discriminatory Treatment and Commercial Considerations), (iv) Article 22.4.2 (Non-Discriminatory Treatment and Commercial Considerations), with respect to designated monopolies designated by a subcentral level of government, (v) Article 22.5.2 (Courts and Administrative Bodies), with respect to administrative regulatory bodies established or maintained by a sub central level of government, (vi) Article 22.6.1, Article 22.6.2, and Article 22.6.3 (Non-Commercial Assistance), (vii) Article 22.6.4(a) (Non-Commercial Assistance) and Article 22.6.5(a) (Non-Commercial Assistance), with respect to the production and sale of a good in competition with a like good produced and sold by a covered investment in the territory of Mexico, (viii) Article 22.6.4(b) and (c) (Non-Commercial Assistance) and Article 22.6.5(b) and (c) (Non-Commercial Assistance), and (ix) Article 22.10.1</w:t>
      </w:r>
    </w:p>
    <w:p>
      <w:pPr>
        <w:pStyle w:val="Normal"/>
      </w:pPr>
      <w:r>
        <w:t xml:space="preserve">(Transparency). (c) For the United States: (i) Article 22.4.1(a) (Non-Discriminatory Treatment and Commercial Considerations), 22D2 (ii) Article 22.4.1(b) (Non-Discriminatory Treatment and Commercial Considerations), with respect to purchases of a good or service, (iii) Article 22.4.1(c)(i) (Non-Discriminatory Treatment and Commercial Considerations), (iv) Article 22.4.2 (Non-Discriminatory Treatment and Commercial Considerations), with respect to designated monopolies designated by a subcentral level of government, (v) Article 22.5.2 (Courts and Administrative Bodies), with respect to administrative regulatory bodies established or maintained by a sub central level of government, (vi) Article 22.6.1, Article 22.6.2, and Article 22.6.3 (Non-Commercial Assistance), (vii) Article 22.6.4(a) (Non-Commercial Assistance) and Article 22.6.5(a) (Non-Commercial Assistance), with respect to the production and sale of a good in competition with a like good produced and sold by a covered investment in the territory of the United States, (viii) Article 22.6.4(b) and (c) (Non-Commercial Assistance) and Article 22.6.5(b) and (c) (Non-Commercial Assistance), and (ix) Article 22.10.1 (Transparency). 22D3</w:t>
      </w:r>
    </w:p>
    <w:p>
      <w:pPr>
        <w:pStyle w:val="Heading2"/>
      </w:pPr>
      <w:bookmarkStart w:id="900706" w:name="_Toc300000705"/>
      <w:r>
        <w:t xml:space="preserve">ANNEX 22E SPECIAL PURPOSE VEHICLES OF STATE PRODUCTIVE ENTERPRISES</w:t>
      </w:r>
      <w:bookmarkEnd w:id="900706"/>
    </w:p>
    <w:p>
      <w:pPr>
        <w:pStyle w:val="Normal"/>
      </w:pPr>
      <w:r>
        <w:t xml:space="preserve">1.</w:t>
      </w:r>
    </w:p>
    <w:p>
      <w:pPr>
        <w:pStyle w:val="Normal"/>
      </w:pPr>
      <w:r>
        <w:t>This Chapter applies to the State Productive Enterprises (“SPEs”) referred to in the Decree amending the Political Constitution of the United Mexican States on December 20, 2013 as published in the Official Gazette (“the Decree”), and to the subsidiaries and affiliates of the SPEs. 2. This Chapter does not apply to Special Purpose Vehicles, with the exception of paragraphs 3 and 4 of this Annex. For the purposes of this Annex, the term “Special Purpose Vehicle” means a private legal entity established by the SPEs, their subsidiaries and affiliates, as a result of a venture with private investors, created to perform, develop, own, or operate a specific project.30 3. Mexico shall ensure that Special Purpose Vehicles: (a) be established as a result of competitive processes under the laws and regulations of Mexico applicable to the SPE; (b) pursue the performance of commercial activities on equal circumstances and conditions available to competitors on a level playing field, with no intention of displacing or impeding competitors from the relevant market; (c) be aimed at generating economic value and profitability under commercial conditions;</w:t>
      </w:r>
    </w:p>
    <w:p>
      <w:pPr>
        <w:pStyle w:val="Normal"/>
      </w:pPr>
      <w:r>
        <w:t>(d) follow generally accepted accounting principles and generally accepted international corporate governance rules such as the G20/OECD Principles of Corporate Governance; (e) act in accordance with Article 22.4 (Non-Discriminatory Treatment and Commercial Considerations), Article 22.5 (Courts and Administrative Bodies), and Article 22.6</w:t>
      </w:r>
    </w:p>
    <w:p>
      <w:pPr>
        <w:pStyle w:val="Normal"/>
      </w:pPr>
      <w:r>
        <w:t>(Non-Commercial Assistance). 4. Mexico shall provide information concerning the SPV and any assistance provided to it, to the extent reasonably available, if it is requested in accordance with the relevant provisions of Article 22.10 (Transparency). 30 For greater certainty, any contractual agreement, including a joint venture or partnership, between an SPE and another enterprise, which does not constitute an entity constituted or organized under applicable law, is not an “enterprise” as defined in Article 1.5 (General Definitions) or a “monopoly” as defined in Article 22.1 (Definitions), and falls outside the scope of this Chapter. 22E1</w:t>
      </w:r>
    </w:p>
    <w:p>
      <w:pPr>
        <w:pStyle w:val="Heading2"/>
      </w:pPr>
      <w:bookmarkStart w:id="900707" w:name="_Toc300000706"/>
      <w:r>
        <w:t xml:space="preserve">ANNEX 22F NON-COMMERCIAL ASSISTANCE TO CERTAIN STATE PRODUCTIVE ENTERPRISES</w:t>
      </w:r>
      <w:bookmarkEnd w:id="900707"/>
    </w:p>
    <w:p>
      <w:pPr>
        <w:pStyle w:val="Normal"/>
      </w:pPr>
      <w:r>
        <w:t xml:space="preserve">1.</w:t>
      </w:r>
    </w:p>
    <w:p>
      <w:pPr>
        <w:pStyle w:val="Normal"/>
      </w:pPr>
      <w:r>
        <w:t>With respect to Article 22.6.1, Article 22.6.2, and Article 22.6.3 (Non-Commercial Assistance), Mexico or its state enterprises or state-owned enterprises may provide non commercial assistance to an SPE referred to in Annex 22E (Special Purpose Vehicles of State Productive Enterprises) (including the SPE’s affiliates and subsidiaries) that is primarily engaged in oil and gas activities, in circumstances that jeopardize the continued viability of the recipient enterprise, and for the sole purpose of enabling the enterprise to return to viability and fulfil its mandate under the Decree and Article 25 of Mexico’s Constitution (Constitución Política de los Estados Unidos Mexicanos). 2.</w:t>
      </w:r>
    </w:p>
    <w:p>
      <w:pPr>
        <w:pStyle w:val="Normal"/>
      </w:pPr>
      <w:r>
        <w:t>At the request of a Party, the Parties may consult regarding whether this Annex should be amended or eliminated. This Annex should only be maintained if Mexico considers that circumstances continue to require the possibility of providing non-commercial assistance to an SPE to ensure its continued viability. 22F1</w:t>
      </w:r>
    </w:p>
    <w:p>
      <w:pPr>
        <w:pStyle w:val="Normal"/>
      </w:pPr>
      <w:r>
        <w:t>Chapter 23 is the primary worker-rights chapter. Additional labor protections also appear in automotive, strategic-supply, forced-labor, migration, and custodial provisions. Search both LABOR and LABOUR.</w:t>
      </w:r>
    </w:p>
    <w:p>
      <w:pPr>
        <w:pStyle w:val="TrumpVisibilityHeadline"/>
      </w:pPr>
      <w:r>
        <w:t>SEARCH SIGNPOST: LABOR / LABOUR / WORKER RIGHTS / COLLECTIVE BARGAINING / FORCED LABOR / CHILD LABOR / OCCUPATIONAL SAFETY / MIGRANT WORKERS</w:t>
      </w:r>
    </w:p>
    <w:p>
      <w:pPr>
        <w:pStyle w:val="Heading1"/>
      </w:pPr>
      <w:bookmarkStart w:id="900708" w:name="_Toc300000707"/>
      <w:r>
        <w:t>CHAPTER 23 LABOR</w:t>
      </w:r>
      <w:bookmarkEnd w:id="900708"/>
    </w:p>
    <w:p>
      <w:pPr>
        <w:pStyle w:val="Heading2"/>
      </w:pPr>
      <w:bookmarkStart w:id="900709" w:name="_Toc300000708"/>
      <w:r>
        <w:t xml:space="preserve">Article 23.1: Definitions</w:t>
      </w:r>
      <w:bookmarkEnd w:id="900709"/>
    </w:p>
    <w:p>
      <w:pPr>
        <w:pStyle w:val="Normal"/>
      </w:pPr>
      <w:r>
        <w:t xml:space="preserve">For the purposes of this Chapter: ILO Declaration on Rights at Work means the International Labor Organization (ILO) Declaration on Fundamental Principles and Rights at Work and its Follow-Up (1998); labor laws means statutes and regulations, or provisions of statutes and regulations, of a Party that are directly related to the following internationally recognized labor rights: (a) freedom of association and the effective recognition of the right to collective bargaining; (b) the elimination of all forms of forced or compulsory labor; (c) the effective abolition of child labor, a prohibition on the worst forms of child labor, and other labor protections for children and minors;</w:t>
      </w:r>
    </w:p>
    <w:p>
      <w:pPr>
        <w:pStyle w:val="Normal"/>
      </w:pPr>
      <w:r>
        <w:t>(d) the elimination of discrimination in respect of employment and occupation; and (e) acceptable conditions of work with respect to minimum wages, hours of work, and occupational safety and health; statutes and regulations and statutes or regulations means enforceable statutes, regulations, constitutional provisions where applicable, and provisions promulgated pursuant to law by the competent level or levels of government of Canada, Mexico, or the United States that govern matters within this Chapter. For each Party with a federal form of government, this definition shall provide effective coverage for substantially all workers consistent with Article 31.E.16 (Federalism and Domestic Institutional Neutrality).</w:t>
      </w:r>
    </w:p>
    <w:p>
      <w:pPr>
        <w:pStyle w:val="Normal"/>
      </w:pPr>
      <w:r>
        <w:t>1 For greater certainty, a Party’s labor laws regarding “acceptable conditions of work with respect to minimum wages” include requirements under that Party’s labor laws to provide wage-related benefit payments to, or on behalf of, workers, such as those for profit sharing, bonuses, retirement, and healthcare. 2 For greater certainty, for each Party setting out a definition, which has a federal form of government, its definition provides coverage for substantially all workers.</w:t>
      </w:r>
    </w:p>
    <w:p>
      <w:pPr>
        <w:pStyle w:val="Heading2"/>
      </w:pPr>
      <w:bookmarkStart w:id="900710" w:name="_Toc300000709"/>
      <w:r>
        <w:t xml:space="preserve">Article 23.2: Statement of Shared Commitments</w:t>
      </w:r>
      <w:bookmarkEnd w:id="900710"/>
    </w:p>
    <w:p>
      <w:pPr>
        <w:pStyle w:val="Normal"/>
      </w:pPr>
      <w:r>
        <w:t xml:space="preserve">1. The Parties affirm their obligations as members of the ILO, including those stated in the ILO Declaration on Rights at Work and the ILO Declaration on Social Justice for a Fair Globalization (2008). 2. The Parties recognize the important role of workers’ and employers’ organizations in protecting internationally recognized labor rights. 3. The Parties also recognize the goal of trading only in goods produced in compliance with this Chapter.</w:t>
      </w:r>
    </w:p>
    <w:p>
      <w:pPr>
        <w:pStyle w:val="Heading2"/>
      </w:pPr>
      <w:bookmarkStart w:id="900711" w:name="_Toc300000710"/>
      <w:r>
        <w:t xml:space="preserve">Article 23.3: Labor Rights</w:t>
      </w:r>
      <w:bookmarkEnd w:id="900711"/>
    </w:p>
    <w:p>
      <w:pPr>
        <w:pStyle w:val="Normal"/>
      </w:pPr>
      <w:r>
        <w:t xml:space="preserve">1. Each Party shall adopt and maintain in its statutes and regulations, and practices thereunder, the following rights, as stated in the ILO Declaration on Rights at Work:3, 4, 5 (a) freedom of association6 and the effective recognition of the right to collective bargaining;7 (b) the elimination of all forms of forced or compulsory labor; (c) the effective abolition of child labor and, for the purposes of this Agreement, a prohibition on the worst forms of child labor; and (d) the elimination of discrimination in respect of employment and occupation.</w:t>
      </w:r>
    </w:p>
    <w:p>
      <w:pPr>
        <w:pStyle w:val="Normal"/>
      </w:pPr>
      <w:r>
        <w:t>2. Each Party shall adopt and maintain statutes and regulations, and practices thereunder, governing acceptable conditions of work with respect to minimum wages, hours of work, and occupational safety and health.</w:t>
      </w:r>
    </w:p>
    <w:p>
      <w:pPr>
        <w:spacing w:after="240"/>
      </w:pPr>
      <w:r>
        <w:t>PRINTED FOOTNOTES 3 AND 4 TO ARTICLE 23.3. 3 The obligations set out in this Article, as they relate to the ILO, refer only to the ILO Declaration on Rights at Work 4 A failure to comply with an obligation under paragraphs 1 or 2 must be in a manner affecting trade or investment between the Parties. For greater certainty, a failure is “in a manner affecting trade or investment between the Parties” if it involves:</w:t>
      </w:r>
    </w:p>
    <w:p>
      <w:pPr>
        <w:pStyle w:val="Normal"/>
      </w:pPr>
      <w:r>
        <w:t>PRINTED FOOTNOTE 4 TO ARTICLE 23.3 CONTINUED.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pPr>
        <w:pStyle w:val="Normal"/>
      </w:pPr>
      <w:r>
        <w:t>5 For purposes of dispute settlement, a panel shall presume that a failure is in a manner affecting trade or investment between the Parties, unless the responding Party demonstrates otherwise.</w:t>
      </w:r>
    </w:p>
    <w:p>
      <w:pPr>
        <w:spacing w:after="240"/>
      </w:pPr>
      <w:r>
        <w:t>PRINTED FOOTNOTES 6 AND 7 TO ARTICLE 23.3. 6 For greater certainty, the right to strike is linked to the right to freedom of association, which cannot be realized without protecting the right to strike. 7 Annex 23-A (Worker Representation, Collective Bargaining and Labour-Reform Durability in Mexico) sets out obligations with regard to worker representation in collective bargaining.</w:t>
      </w:r>
    </w:p>
    <w:p>
      <w:pPr>
        <w:pStyle w:val="Heading2"/>
      </w:pPr>
      <w:bookmarkStart w:id="900712" w:name="_Toc300000711"/>
      <w:r>
        <w:t xml:space="preserve">Article 23.4: Non-Derogation</w:t>
      </w:r>
      <w:bookmarkEnd w:id="900712"/>
    </w:p>
    <w:p>
      <w:pPr>
        <w:pStyle w:val="Normal"/>
      </w:pPr>
      <w:r>
        <w:t xml:space="preserve">The Parties recognize that it is inappropriate to encourage trade or investment by weakening or reducing the protections afforded in each Party’s labor laws. Accordingly, no Party shall waive or otherwise derogate from, or offer to waive or otherwise derogate from, its statutes or regulations: (a) implementing Article 23.3.1 (Labor Rights), if the waiver or derogation would be inconsistent with a right set out in that paragraph; or (b) implementing Article 23.3.1 or Article 23.3.2 (Labor Rights), if the waiver or derogation would weaken or reduce adherence to a right set out in Article 23.3.1 (Labor Rights), or to a condition of work referred to in Article 23.3.2 (Labor Rights), in a special trade or customs area, such as an export processing zone or foreign trade zone, in the Party’s territory; in a manner affecting trade or investment between the Parties.8, 9</w:t>
      </w:r>
    </w:p>
    <w:p>
      <w:pPr>
        <w:spacing w:after="240"/>
      </w:pPr>
      <w:r>
        <w:t>PRINTED FOOTNOTE 8 TO ARTICLE 23.4. For greater certainty, a waiver or derogation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pPr>
        <w:pStyle w:val="Normal"/>
      </w:pPr>
      <w:r>
        <w:t>9 For purposes of dispute settlement, a panel shall presume that a failure is in a manner affecting trade or investment between the Parties, unless the responding Party demonstrates otherwise.</w:t>
      </w:r>
    </w:p>
    <w:p>
      <w:pPr>
        <w:pStyle w:val="Heading2"/>
      </w:pPr>
      <w:bookmarkStart w:id="900713" w:name="_Toc300000712"/>
      <w:r>
        <w:t xml:space="preserve">Article 23.5: Enforcement of Labor Laws</w:t>
      </w:r>
      <w:bookmarkEnd w:id="900713"/>
    </w:p>
    <w:p>
      <w:pPr>
        <w:pStyle w:val="Normal"/>
      </w:pPr>
      <w:r>
        <w:t xml:space="preserve">1. No Party shall fail to effectively enforce its labor laws through a sustained or recurring course of action or inaction10 in a manner affecting trade or investment between the Parties11, 12 after the date of entry into force of this Agreement.</w:t>
      </w:r>
    </w:p>
    <w:p>
      <w:pPr>
        <w:pStyle w:val="Normal"/>
      </w:pPr>
      <w:r>
        <w:t>2. Each Party shall promote compliance with its labor laws through appropriate government action, such as by: (a) appointing and training inspectors; (b) monitoring compliance and investigating suspected violations, including through unannounced on-site inspections, and giving due consideration to requests to investigate an alleged violation of its labor laws; (c) seeking assurances of voluntary compliance; (d) requiring record keeping and reporting; (e) encouraging the establishment of labor-management committees to address labor regulation of the workplace; (f) providing or encouraging mediation, conciliation, and arbitration services;</w:t>
      </w:r>
    </w:p>
    <w:p>
      <w:pPr>
        <w:pStyle w:val="Normal"/>
      </w:pPr>
      <w:r>
        <w:t>(g) initiating, in a timely manner, proceedings to seek appropriate sanctions or remedies for violations of its labor laws; and (h) implementing remedies and sanctions imposed for noncompliance with its labor laws, including timely collection of fines and reinstatement of workers. 3.</w:t>
      </w:r>
    </w:p>
    <w:p>
      <w:pPr>
        <w:pStyle w:val="Normal"/>
      </w:pPr>
      <w:r>
        <w:t>If a Party fails to comply with an obligation under this Chapter, a decision made by that Party on the provision of enforcement resources shall not excuse that failure. Each Party retains the right to exercise reasonable enforcement discretion and to make bona fide decisions with regard to the allocation of enforcement resources between labor enforcement activities among the fundamental labor rights and acceptable conditions of work enumerated in Article 23.3.1 and Article 23.3.2 (Labor Rights), provided that the exercise of that discretion, and those decisions, are not inconsistent with its obligations under this Chapter. 4. Nothing in this Chapter shall be construed to empower a Party’s authorities to undertake labor law enforcement activities in the territory of another Party.</w:t>
      </w:r>
    </w:p>
    <w:p>
      <w:pPr>
        <w:spacing w:after="240"/>
      </w:pPr>
      <w:r>
        <w:t>PRINTED FOOTNOTE 10 TO ARTICLE 23.5. For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A course of action or inaction does not include an isolated instance or case.</w:t>
      </w:r>
    </w:p>
    <w:p>
      <w:pPr>
        <w:spacing w:after="240"/>
      </w:pPr>
      <w:r>
        <w:t>PRINTED FOOTNOTE 11 TO ARTICLE 23.5. 11 For greater certainty, a “course of action or inaction” is “in a manner affecting trade or investment between the Parties” if the course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pPr>
        <w:pStyle w:val="Normal"/>
      </w:pPr>
      <w:r>
        <w:t>12 For purposes of dispute settlement, a panel shall presume that a failure is in a manner affecting trade or investment between the Parties, unless the responding Party demonstrates otherwise.</w:t>
      </w:r>
    </w:p>
    <w:p>
      <w:pPr>
        <w:pStyle w:val="Heading2"/>
      </w:pPr>
      <w:bookmarkStart w:id="900714" w:name="_Toc300000713"/>
      <w:r>
        <w:t xml:space="preserve">Article 23.6: Forced or Compulsory Labor</w:t>
      </w:r>
      <w:bookmarkEnd w:id="900714"/>
    </w:p>
    <w:p>
      <w:pPr>
        <w:pStyle w:val="Normal"/>
      </w:pPr>
      <w:r>
        <w:t xml:space="preserve">1. The Parties recognize the goal of eliminating all forms of forced or compulsory labor, including forced or compulsory child labor. Accordingly, each Party shall prohibit the importation of goods into its territory from other sources produced in whole or in part by forced or compulsory labor, including forced or compulsory child labor. 2. To assist in the implementation of paragraph 1, the Parties shall establish cooperation for the identification and movement of goods produced by forced labor as provided for under Article 23.12.5(c) (Cooperation).</w:t>
      </w:r>
    </w:p>
    <w:p>
      <w:pPr>
        <w:pStyle w:val="Heading2"/>
      </w:pPr>
      <w:bookmarkStart w:id="900715" w:name="_Toc300000714"/>
      <w:r>
        <w:t xml:space="preserve">Article 23.7: Violence Against Workers</w:t>
      </w:r>
      <w:bookmarkEnd w:id="900715"/>
    </w:p>
    <w:p>
      <w:pPr>
        <w:pStyle w:val="Normal"/>
      </w:pPr>
      <w:r>
        <w:t xml:space="preserve">The Parties recognize that workers and labor organizations must be able to exercise the rights set out in Article 23.3 (Labor Rights) in a climate that is free from violence, threats, and intimidation, and the imperative of governments to effectively address incidents of violence, threats, and intimidation against workers. Accordingly, no Party shall fail to address violence or threats of violence against workers, directly related to exercising or attempting to exercise the rights set out in Article 23.3 (Labor Rights) in a manner affecting trade or investment between the Parties.13, 14</w:t>
      </w:r>
    </w:p>
    <w:p>
      <w:pPr>
        <w:spacing w:after="240"/>
      </w:pPr>
      <w:r>
        <w:t>PRINTED FOOTNOTE 13 TO ARTICLE 23.7. For greater certainty, a failure is “in a manner affecting trade or investment between the Parties” if it involves:</w:t>
      </w:r>
    </w:p>
    <w:p>
      <w:pPr>
        <w:pStyle w:val="Normal"/>
      </w:pPr>
      <w:r>
        <w:t>(i)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pPr>
        <w:pStyle w:val="Normal"/>
      </w:pPr>
      <w:r>
        <w:t>14 For purposes of dispute settlement, a panel shall presume that a failure is in a manner affecting trade or investment between the Parties, unless the responding Party demonstrates otherwise.</w:t>
      </w:r>
    </w:p>
    <w:p>
      <w:pPr>
        <w:pStyle w:val="Heading2"/>
      </w:pPr>
      <w:bookmarkStart w:id="900716" w:name="_Toc300000715"/>
      <w:r>
        <w:t xml:space="preserve">Article 23.8: Migrant Workers</w:t>
      </w:r>
      <w:bookmarkEnd w:id="900716"/>
    </w:p>
    <w:p>
      <w:pPr>
        <w:pStyle w:val="Normal"/>
      </w:pPr>
      <w:r>
        <w:t xml:space="preserve">The Parties recognize the vulnerability of migrant workers with respect to labor protections. Accordingly, in implementing Article 23.3 (Labor Rights), each Party shall ensure that migrant workers are protected under its labor laws, whether they are nationals or non- nationals of the Party.</w:t>
      </w:r>
    </w:p>
    <w:p>
      <w:pPr>
        <w:pStyle w:val="Heading2"/>
      </w:pPr>
      <w:bookmarkStart w:id="900717" w:name="_Toc300000716"/>
      <w:r>
        <w:t xml:space="preserve">Article 23.9: Discrimination in the Workplace</w:t>
      </w:r>
      <w:bookmarkEnd w:id="900717"/>
    </w:p>
    <w:p>
      <w:pPr>
        <w:pStyle w:val="Normal"/>
      </w:pPr>
      <w:r>
        <w:t xml:space="preserve">The Parties recognize the goal of eliminating discrimination in employment and occupation, and support the goal of promoting equality of women in the workplace.</w:t>
      </w:r>
    </w:p>
    <w:p>
      <w:pPr>
        <w:pStyle w:val="Normal"/>
      </w:pPr>
      <w:r>
        <w:t>Accordingly, each Party shall implement policies15 that it considers appropriate to protect workers against employment discrimination on the basis of sex (including with regard to sexual harassment), pregnancy, sexual orientation, gender identity, and caregiving responsibilities; provide job-protected leave for birth or adoption of a child and care of family members; and protect against wage discrimination.</w:t>
      </w:r>
    </w:p>
    <w:p>
      <w:pPr>
        <w:pStyle w:val="Normal"/>
      </w:pPr>
      <w:r>
        <w:t>15 For greater certainty, an existing measure of a Party may satisfy an obligation under Article 23.9 where that measure provides functionally equivalent or greater protection. No Party receives a country-specific presumption of compliance solely because a particular pre-existing statute, regulation, policy, or agency practice is named in this Agreement.</w:t>
      </w:r>
    </w:p>
    <w:p>
      <w:pPr>
        <w:pStyle w:val="Heading2"/>
      </w:pPr>
      <w:bookmarkStart w:id="900718" w:name="_Toc300000717"/>
      <w:r>
        <w:t xml:space="preserve">Article 23.10: Public Awareness and Procedural Guarantees</w:t>
      </w:r>
      <w:bookmarkEnd w:id="900718"/>
    </w:p>
    <w:p>
      <w:pPr>
        <w:pStyle w:val="Normal"/>
      </w:pPr>
      <w:r>
        <w:t xml:space="preserve">1. Each Party shall promote public awareness of its labor laws, including by ensuring that information related to its labor laws and enforcement and compliance procedures is publicly available. 2. Each Party shall ensure that a person with a recognized interest under its law in a particular matter has appropriate access to tribunals for the enforcement of its labor laws. These tribunals may include administrative tribunals, quasi-judicial tribunals, judicial tribunals, or labor tribunals, as provided for in each Party’s law. 3. Each Party shall ensure that proceedings before these tribunals for the enforcement of its labor laws: (a) are fair, equitable and transparent; (b) comply with due process of law; (c) do not entail unreasonable fees or time limits or unwarranted delay; and (d) that any hearings in these proceedings are open to the public, except where the administration of justice otherwise requires, and in accordance with its applicable laws. 4. Each Party shall ensure that:</w:t>
      </w:r>
    </w:p>
    <w:p>
      <w:pPr>
        <w:pStyle w:val="Normal"/>
      </w:pPr>
      <w:r>
        <w:t>(a) the parties to these proceedings are entitled to support or defend their respective positions, including by presenting information or evidence; and (b) final decisions on the merits of the case:</w:t>
      </w:r>
    </w:p>
    <w:p>
      <w:pPr>
        <w:pStyle w:val="Normal"/>
      </w:pPr>
      <w:r>
        <w:t>(i) are based on information or evidence in respect of which the parties were offered the opportunity to be heard, (ii) state the reasons on which they are based, and (iii) are available in writing without undue delay to the parties to the proceedings and, consistent with its law, to the public. 5. Each Party shall provide, as appropriate, that parties to these proceedings have the right to seek review and, if warranted, correction of decisions issued in these proceedings. 6. Each Party shall ensure that tribunals that conduct or review these proceedings are impartial and independent. 7.</w:t>
      </w:r>
    </w:p>
    <w:p>
      <w:pPr>
        <w:pStyle w:val="Normal"/>
      </w:pPr>
      <w:r>
        <w:t>Each Party shall ensure that the parties to these proceedings have access to remedies under its law for the effective enforcement of their rights under its labor laws and that these remedies are executed in a timely manner. 8. Each Party shall provide procedures to effectively enforce the final decisions of its tribunals in these proceedings. 9. For greater certainty, and without prejudice to whether a tribunal’s decision is inconsistent with a Party’s obligations under this Chapter, nothing in this Chapter shall be construed to require a tribunal of a Party to reopen a decision that it has made in a particular matter. 10.</w:t>
      </w:r>
    </w:p>
    <w:p>
      <w:pPr>
        <w:pStyle w:val="Normal"/>
      </w:pPr>
      <w:r>
        <w:t>Each Party shall ensure that other types of proceedings within its labor bodies for the implementation of its labor laws: (a) are fair and equitable; (b) are conducted by officials who meet appropriate guarantees of impartiality; (c) do not entail unreasonable fees or time limits or unwarranted delay; and (d) document and communicate decisions to persons directly affected by these proceedings.</w:t>
      </w:r>
    </w:p>
    <w:p>
      <w:pPr>
        <w:pStyle w:val="Heading2"/>
      </w:pPr>
      <w:bookmarkStart w:id="900719" w:name="_Toc300000718"/>
      <w:r>
        <w:t xml:space="preserve">Article 23.11: Public Submissions</w:t>
      </w:r>
      <w:bookmarkEnd w:id="900719"/>
    </w:p>
    <w:p>
      <w:pPr>
        <w:pStyle w:val="Normal"/>
      </w:pPr>
      <w:r>
        <w:t xml:space="preserve">1. Each Party, through its contact point designated under Article 23.15 (Contact Points), shall provide for the receipt and consideration of written submissions from persons of a Party on matters related to this Chapter in accordance with its domestic procedures. Each Party shall make readily accessible and publicly available its procedures, including timelines, for the receipt and consideration of written submissions. 2. Each Party shall: (a) consider matters raised by the submission and provide a timely response to the submitter, including in writing as appropriate; and (b) make the submission and the results of its consideration available to the other Parties and the public, as appropriate, in a timely manner. 3. A Party may request from the person or organization that made the submission additional information that is necessary to consider the substance of the submission.</w:t>
      </w:r>
    </w:p>
    <w:p>
      <w:pPr>
        <w:pStyle w:val="Heading2"/>
      </w:pPr>
      <w:bookmarkStart w:id="900720" w:name="_Toc300000719"/>
      <w:r>
        <w:t xml:space="preserve">Article 23.12: Cooperation</w:t>
      </w:r>
      <w:bookmarkEnd w:id="900720"/>
    </w:p>
    <w:p>
      <w:pPr>
        <w:pStyle w:val="Normal"/>
      </w:pPr>
      <w:r>
        <w:t xml:space="preserve">1. The Parties recognize the importance of cooperation as a mechanism for effective implementation of this Chapter, to enhance opportunities to improve labor standards, and to further advance common commitments regarding labor matters, including the principles and rights stated in the ILO Declaration on Rights at Work. 2. The Parties may, commensurate with the availability of resources, cooperate through: (a) exchanging of information and sharing of best practices on issues of common interest, including through seminars, workshops, and online fora; (b) study trips, visits, and research studies to document and study policies and practices; (c) collaborative research and development related to best practices in subjects of mutual interest; (d) specific exchanges of technical expertise and assistance, as appropriate; and (e) other forms as the Parties may decide. 3. In undertaking cooperative activities, the Parties shall consider each Party’s priorities and complementarity with initiatives in existence, with the aim to achieve mutual benefits and measurable labor outcomes. 4. Each Party shall invite the views and, as appropriate, participation of its stakeholders, including worker and employer representatives, in identifying potential areas for cooperation and undertaking cooperative activities. 5.</w:t>
      </w:r>
    </w:p>
    <w:p>
      <w:pPr>
        <w:pStyle w:val="Normal"/>
      </w:pPr>
      <w:r>
        <w:t>The Parties may develop cooperative activities in the following areas: (a) labor laws and practices, including the promotion and effective implementation of the principles and rights as stated in the ILO Declaration on Rights at Work; (b) labor laws and practices related to compliance with ILO Convention No. 182 Concerning the Prohibition and Immediate Action for the Elimination of the Worst Forms of Child Labor; (c) identification and movement of goods produced by forced labor; (d) combatting forced labor and human trafficking, including on fishing vessels; (e) addressing violence against workers, including for trade union activity; (f) occupational safety and health, including the prevention of occupational injuries and illnesses; (g) institutional capacity of labor administrative and judicial bodies; (h) labor inspectorates and inspection systems, including methods and training to improve the level and efficiency of labor law enforcement, strengthen labor inspection systems, and help ensure compliance with labor laws; (i) remuneration systems and mechanisms for compliance with labor laws pertaining to hours of work, minimum wages and overtime, and employment conditions;</w:t>
      </w:r>
    </w:p>
    <w:p>
      <w:pPr>
        <w:pStyle w:val="Normal"/>
      </w:pPr>
      <w:r>
        <w:t>(j) addressing gender-related issues in the field of labor and employment, including: (i) elimination of discrimination on the basis of sex in respect of employment, occupation, and wages, (ii) developing analytical and enforcement tools related to equal pay for equal work or work of equal value, (iii)</w:t>
      </w:r>
    </w:p>
    <w:p>
      <w:pPr>
        <w:pStyle w:val="Normal"/>
      </w:pPr>
      <w:r>
        <w:t>promotion of labor practices that integrate and retain women in the job market, and building the capacity and skills of women workers, including on workplace challenges and in collective bargaining, (iv) consideration of gender issues related to occupational safety and health and other workplace practices, including advancement of child care, nursing mothers, and related policies and programs, and in the prevention of occupational injuries and illnesses, and (v) prevention of gender-based workplace violence and harassment; (k) promotion of productivity, innovation, competitiveness, training and human capital development in workplaces, particularly in respect to SMEs; (l) addressing the opportunities of a diverse workforce, including: (i) promotion of equality and elimination of employment discrimination in the areas of age, disability, race, ethnicity, religion, sexual orientation, gender identity, and other characteristics not related to merit or the requirements of employment, and (ii) promotion of equality, elimination of employment discrimination, and protection of migrant workers and other vulnerable workers, including low-waged, casual, or temporary workers; (m) collection and use of labor statistics, indicators, methods, and procedures, including on the basis of sex;</w:t>
      </w:r>
    </w:p>
    <w:p>
      <w:pPr>
        <w:pStyle w:val="Normal"/>
      </w:pPr>
      <w:r>
        <w:t>(n) social protection issues, including workers’ compensation in case of occupational injury or illness, pension systems, and employment assistance schemes; (o) labor relations, including forms of</w:t>
      </w:r>
    </w:p>
    <w:p>
      <w:pPr>
        <w:pStyle w:val="Normal"/>
      </w:pPr>
      <w:r>
        <w:t>cooperation and dispute resolution to improve labor relations among workers, employers, and governments; (p) apprenticeship programs; (q) social dialogue, including tripartite consultation and partnership; (r) with respect to labor relations in multi-national enterprises, promoting information sharing and dialogue related to conditions of employment by enterprises operating in two or more Parties with representative worker organizations in each of the cooperating Parties; and (s) other areas as the Parties may decide. 6. The Parties may establish cooperative arrangements with the ILO or other international and regional organizations to draw on their expertise and resources to further the purposes of this Chapter.</w:t>
      </w:r>
    </w:p>
    <w:p>
      <w:pPr>
        <w:pStyle w:val="Heading2"/>
      </w:pPr>
      <w:bookmarkStart w:id="900721" w:name="_Toc300000720"/>
      <w:r>
        <w:t xml:space="preserve">Article 23.13: Cooperative Labor Dialogue</w:t>
      </w:r>
      <w:bookmarkEnd w:id="900721"/>
    </w:p>
    <w:p>
      <w:pPr>
        <w:pStyle w:val="Normal"/>
      </w:pPr>
      <w:r>
        <w:t xml:space="preserve">1. A Party may request dialogue with another Party on any matter arising under this Chapter at any time by delivering a written request to the contact point that the other Party has designated under Article 23.15 (Contact Points). 2. The requesting Party shall include information that is specific and sufficient to enable the receiving Party to respond, including identification of the matter at issue, an indication of the basis of the request under this Chapter and, when relevant, how trade or investment between the Parties is affected. 3. Unless the requesting and receiving Parties (the dialoguing Parties) decide otherwise, dialogue must commence within 30 days of a Party’s receipt of a request for dialogue. The dialoguing Parties shall engage in dialogue in good faith. As part of the dialogue, the dialoguing Parties shall provide a means for receiving and considering the views of interested persons on the matter. 4. Dialogue may be held in person or by any technological means available to the dialoguing Parties. 5.</w:t>
      </w:r>
    </w:p>
    <w:p>
      <w:pPr>
        <w:pStyle w:val="Normal"/>
      </w:pPr>
      <w:r>
        <w:t>The dialoguing Parties shall address all the issues raised in the request. If the dialoguing Parties resolve the matter, they shall document the outcome, including, if appropriate, specific steps and timelines that they have decided upon. The dialoguing Parties shall make the outcome available to the public, unless they decide otherwise. 6.</w:t>
      </w:r>
    </w:p>
    <w:p>
      <w:pPr>
        <w:pStyle w:val="Normal"/>
      </w:pPr>
      <w:r>
        <w:t>In developing an outcome pursuant to paragraph 5, the dialoguing Parties should consider all available options and may jointly decide on a course of action they consider appropriate, including: (a) the development and implementation of an action plan in a form that they find satisfactory, which may include specific and verifiable steps, such as on labor inspection, investigation, or compliance action, and appropriate timeframes; (b) the independent verification of compliance or implementation by individuals or entities, such as the ILO, chosen by the dialoguing Parties; and (c) appropriate incentives, such as cooperative programs and capacity building, to encourage or assist the dialoguing Parties to identify and address labor matters.</w:t>
      </w:r>
    </w:p>
    <w:p>
      <w:pPr>
        <w:pStyle w:val="Heading2"/>
      </w:pPr>
      <w:bookmarkStart w:id="900722" w:name="_Toc300000721"/>
      <w:r>
        <w:t xml:space="preserve">Article 23.14: Labor Council</w:t>
      </w:r>
      <w:bookmarkEnd w:id="900722"/>
    </w:p>
    <w:p>
      <w:pPr>
        <w:pStyle w:val="Normal"/>
      </w:pPr>
      <w:r>
        <w:t xml:space="preserve">1. The Parties hereby establish a Labor Council composed of senior governmental representatives at the ministerial or other level from trade and labor ministries, as designated by each Party. 2. The Labor Council shall meet within one year of the date of entry into force of this Agreement and thereafter every two years, unless the Parties decide otherwise. 3. The Labor Council may consider any matter within the scope of this Chapter and perform other functions as the Parties may decide. 4. In conducting its activities, including meetings, the Labor Council shall provide a means for receiving and considering the views of interested persons on matters related to this Chapter. If practicable, meetings will include a public session or other means for Council members to meet with the public to discuss matters relating to the implementation of this Chapter. 5.</w:t>
      </w:r>
    </w:p>
    <w:p>
      <w:pPr>
        <w:pStyle w:val="Normal"/>
      </w:pPr>
      <w:r>
        <w:t>During the fifth year after the date of entry into force of this Agreement, or as otherwise decided by the Parties, the Labor Council shall review the operation and effectiveness of this Chapter and thereafter may undertake subsequent reviews as decided by the Parties. 6. Labor Council decisions and reports shall be made by consensus and be made publicly available, unless the Council decides otherwise. 7. The Labor Council shall issue a joint summary report or statement on its work at the end of each Council meeting.</w:t>
      </w:r>
    </w:p>
    <w:p>
      <w:pPr>
        <w:pStyle w:val="Heading2"/>
      </w:pPr>
      <w:bookmarkStart w:id="900723" w:name="_Toc300000722"/>
      <w:r>
        <w:t xml:space="preserve">Article 23.15: Contact Points</w:t>
      </w:r>
      <w:bookmarkEnd w:id="900723"/>
    </w:p>
    <w:p>
      <w:pPr>
        <w:pStyle w:val="Normal"/>
      </w:pPr>
      <w:r>
        <w:t xml:space="preserve">1. Each Party shall designate, within 60 days of the date of entry into force of this Agreement, an office or official within its labor ministry or equivalent entity as a contact point to address matters related to this Chapter. Each Party shall notify the other Parties in writing promptly in the event of a change to its contact point. 2. The contact points shall: (a) facilitate regular communication and coordination between the Parties, including responding to requests for information and providing sufficient information to enable a full examination of matters related to this Chapter; (b) assist the Labor Council; (c) report to the Labor Council, as appropriate; (d) act as a channel for communication with the public in their respective territories; and (e) work together, including with other appropriate agencies of their governments, to develop and implement cooperative activities, guided by the priorities of the Labor Council, areas of cooperation identified in Article 23.12.5 (Cooperation), and the needs of the Parties. 3.</w:t>
      </w:r>
    </w:p>
    <w:p>
      <w:pPr>
        <w:pStyle w:val="Normal"/>
      </w:pPr>
      <w:r>
        <w:t>Contact points may communicate and coordinate activities in person or through electronic or other means of communication. 4. Each Party’s contact point, in carrying out its responsibilities under this Chapter, shall regularly consult and coordinate with its trade ministry.</w:t>
      </w:r>
    </w:p>
    <w:p>
      <w:pPr>
        <w:pStyle w:val="Heading2"/>
      </w:pPr>
      <w:bookmarkStart w:id="900724" w:name="_Toc300000723"/>
      <w:r>
        <w:t xml:space="preserve">Article 23.16: Public Engagement</w:t>
      </w:r>
      <w:bookmarkEnd w:id="900724"/>
    </w:p>
    <w:p>
      <w:pPr>
        <w:pStyle w:val="Normal"/>
      </w:pPr>
      <w:r>
        <w:t xml:space="preserve">Each Party shall establish or maintain, and consult with, a national labor consultative or advisory body or similar mechanism, for members of its public, including representatives of its labor and business organizations, to provide views on matters regarding this Chapter.</w:t>
      </w:r>
    </w:p>
    <w:p>
      <w:pPr>
        <w:pStyle w:val="Heading2"/>
      </w:pPr>
      <w:bookmarkStart w:id="900725" w:name="_Toc300000724"/>
      <w:r>
        <w:t xml:space="preserve">Article 23.17: Labor Consultations</w:t>
      </w:r>
      <w:bookmarkEnd w:id="900725"/>
    </w:p>
    <w:p>
      <w:pPr>
        <w:pStyle w:val="Normal"/>
      </w:pPr>
      <w:r>
        <w:t xml:space="preserve">1. The Parties shall make every effort through cooperation and dialogue to arrive at a mutually satisfactory resolution of any matter arising under this Chapter. 2. A Party (the requesting Party) may request labor consultations with another Party (the responding Party) regarding any matter arising under this Chapter by delivering a written request to the responding Party’s contact point. The requesting Party shall include information that is specific and sufficient to enable the responding Party to respond, including identification of the matter at issue and an indication of the legal basis of the request under this Chapter. 3. A third Party that considers it has a substantial interest in the matter may participate in the labor consultations by notifying the other Parties (the consulting Parties) in writing through their respective contact points, no later than seven days after the date of delivery of the request for labor consultations. The third Party shall include in its notice an explanation of its substantial interest in the matter. 4.</w:t>
      </w:r>
    </w:p>
    <w:p>
      <w:pPr>
        <w:pStyle w:val="Normal"/>
      </w:pPr>
      <w:r>
        <w:t>Unless the consulting Parties decide otherwise, they shall enter into labor consultations no later than 30 days after the date of delivery of the request. 5. The consulting Parties shall make every effort to arrive at a mutually satisfactory resolution of the matter through labor consultations, which may include appropriate cooperative activities.</w:t>
      </w:r>
    </w:p>
    <w:p>
      <w:pPr>
        <w:pStyle w:val="Normal"/>
      </w:pPr>
      <w:r>
        <w:t>The consulting Parties may request advice from independent experts chosen by the consulting Parties to assist them. 6. Ministerial Labor Consultations: If the consulting Parties have failed to resolve the matter, a consulting Party may request that the relevant Ministers or their designees of the consulting Parties convene to consider the matter at issue by delivering a written request to the other consulting Party through its contact point. The Ministers of the consulting Parties shall convene promptly after the date of receipt of the request, and shall seek to resolve the matter, including, if appropriate, by consulting independent experts chosen by the consulting Parties to assist them, and having recourse to procedures such as good offices, conciliation, or mediation. 7. If the consulting Parties are able to resolve the matter, they shall document the outcome, including, if appropriate, specific steps and timelines decided upon. The consulting Parties shall make the outcome available to the other Party and to the public, unless they decide otherwise. 8.</w:t>
      </w:r>
    </w:p>
    <w:p>
      <w:pPr>
        <w:pStyle w:val="Normal"/>
      </w:pPr>
      <w:r>
        <w:t>If the consulting Parties fail to resolve the matter within 75 days after the date of receipt of a request for Labor consultations under paragraph 2, or any other period as the consulting Parties may agree, the requesting Party may request the establishment of a panel under Article 31.6 (Establishment of a Panel). 9. Labor consultations shall be confidential and without prejudice to the rights of a Party in another proceeding. 10. Labor consultations pursuant to this Article may be held in person or by any technological means available to the consulting Parties. If the labor consultations are held in person, they must be held in the capital of the Party to which the request for labor consultations was made, unless the consulting Parties decide otherwise. 11. In labor consultations under this Article, a consulting Party may request another consulting Party to make available personnel of its government agencies or other regulatory bodies who have expertise in the matter at issue.</w:t>
      </w:r>
    </w:p>
    <w:p>
      <w:pPr>
        <w:pStyle w:val="Normal"/>
      </w:pPr>
      <w:r>
        <w:t>12. No Party shall have recourse to dispute settlement under Chapter 31 (Dispute Settlement) for a matter arising under this Chapter without first seeking to resolve the matter in accordance with this Article. 13.</w:t>
      </w:r>
    </w:p>
    <w:p>
      <w:pPr>
        <w:pStyle w:val="Normal"/>
      </w:pPr>
      <w:r>
        <w:t>A Party may have recourse to labor consultations under this Article without prejudice to the commencement or continuation of Cooperative Labor Dialogue under Article 23.13 (Cooperative Labor Dialogue).</w:t>
      </w:r>
    </w:p>
    <w:p>
      <w:pPr>
        <w:pStyle w:val="Heading1"/>
      </w:pPr>
      <w:bookmarkStart w:id="900726" w:name="_Toc300000725"/>
      <w:r>
        <w:t>ANNEX 23-A: WORKER REPRESENTATION, COLLECTIVE BARGAINING AND LABOUR-REFORM DURABILITY IN MEXICO</w:t>
      </w:r>
      <w:bookmarkEnd w:id="900726"/>
    </w:p>
    <w:p>
      <w:pPr>
        <w:pStyle w:val="Heading2"/>
      </w:pPr>
      <w:bookmarkStart w:id="900727" w:name="_Toc300000726"/>
      <w:r>
        <w:t>23-A.1 Purpose and Durable Floor</w:t>
      </w:r>
      <w:bookmarkEnd w:id="900727"/>
    </w:p>
    <w:p>
      <w:pPr>
        <w:pStyle w:val="Normal"/>
      </w:pPr>
      <w:r>
        <w:t>Mexico shall maintain and effectively implement the worker-representation, collective-bargaining, institutional-independence and democratic-consent protections set out in this Annex. These obligations preserve the durable outcomes of Mexico's labour reforms while respecting Mexico's authority to improve, reorganize or replace particular institutions and procedures with measures providing functionally equivalent or greater protection.</w:t>
      </w:r>
    </w:p>
    <w:p>
      <w:pPr>
        <w:pStyle w:val="Heading2"/>
      </w:pPr>
      <w:bookmarkStart w:id="900728" w:name="_Toc300000727"/>
      <w:r>
        <w:t>23-A.2 Freedom of Worker Organization</w:t>
      </w:r>
      <w:bookmarkEnd w:id="900728"/>
    </w:p>
    <w:p>
      <w:pPr>
        <w:pStyle w:val="Normal"/>
      </w:pPr>
      <w:r>
        <w:t>Mexico shall maintain in its labour laws and practices the right of workers to engage in concerted activities for collective bargaining or mutual protection and to organize, form and join the union of their choice. Employer domination or interference in union activities, discrimination or coercion based on protected union activity or support, and refusal to bargain collectively with a duly recognized representative shall remain prohibited and effectively remediable.</w:t>
      </w:r>
    </w:p>
    <w:p>
      <w:pPr>
        <w:pStyle w:val="Heading2"/>
      </w:pPr>
      <w:bookmarkStart w:id="900729" w:name="_Toc300000728"/>
      <w:r>
        <w:t>23-A.3 Independent and Impartial Labour Institutions</w:t>
      </w:r>
      <w:bookmarkEnd w:id="900729"/>
    </w:p>
    <w:p>
      <w:pPr>
        <w:pStyle w:val="Normal"/>
      </w:pPr>
      <w:r>
        <w:t>Mexico shall maintain independent and impartial institutions capable of registering unions and collective bargaining agreements, resolving representation disputes, adjudicating labour disputes, issuing effective orders and sanctions, and providing access to independent judicial review. Mexico may replace, consolidate, rename, reorganize or digitize such institutions provided that independence, accessibility, due process, timeliness and remedial effectiveness are maintained or strengthened.</w:t>
      </w:r>
    </w:p>
    <w:p>
      <w:pPr>
        <w:pStyle w:val="Heading2"/>
      </w:pPr>
      <w:bookmarkStart w:id="900730" w:name="_Toc300000729"/>
      <w:r>
        <w:t>23-A.4 Personal, Free and Secret Worker Choice</w:t>
      </w:r>
      <w:bookmarkEnd w:id="900730"/>
    </w:p>
    <w:p>
      <w:pPr>
        <w:pStyle w:val="Normal"/>
      </w:pPr>
      <w:r>
        <w:t>Mexico shall maintain an effective system ensuring that elections of union leaders, representation votes and other decisions for which worker democratic consent is required are conducted through personal, free and secret voting, without employer, union, governmental or other coercion inconsistent with workers' protected freedom of choice.</w:t>
      </w:r>
    </w:p>
    <w:p>
      <w:pPr>
        <w:pStyle w:val="Heading2"/>
      </w:pPr>
      <w:bookmarkStart w:id="900731" w:name="_Toc300000730"/>
      <w:r>
        <w:t>23-A.5 Authentic Support for Collective Bargaining Agreements</w:t>
      </w:r>
      <w:bookmarkEnd w:id="900731"/>
    </w:p>
    <w:p>
      <w:pPr>
        <w:pStyle w:val="Normal"/>
      </w:pPr>
      <w:r>
        <w:t>An initial collective bargaining agreement shall not be registered or take legal effect unless the competent authority verifies the legally required level of authentic worker support through a personal, free and secret vote of the workers covered by the agreement. Material revisions concerning wages or working conditions shall likewise be subject to meaningful worker approval where required by Mexican law consistent with this Annex.</w:t>
      </w:r>
    </w:p>
    <w:p>
      <w:pPr>
        <w:pStyle w:val="Heading2"/>
      </w:pPr>
      <w:bookmarkStart w:id="900732" w:name="_Toc300000731"/>
      <w:r>
        <w:t>23-A.6 Protection Against Fictitious or Employer-Dominated Agreements</w:t>
      </w:r>
      <w:bookmarkEnd w:id="900732"/>
    </w:p>
    <w:p>
      <w:pPr>
        <w:pStyle w:val="Normal"/>
      </w:pPr>
      <w:r>
        <w:t>No collective bargaining agreement shall be registered, maintained or used for the purpose or effect of suppressing independent worker representation where the agreement lacks authentic worker support or results from prohibited employer domination, interference, coercion, fraud or comparable manipulation. Mexico shall maintain procedures capable of identifying and correcting such arrangements.</w:t>
      </w:r>
    </w:p>
    <w:p>
      <w:pPr>
        <w:pStyle w:val="Heading2"/>
      </w:pPr>
      <w:bookmarkStart w:id="900733" w:name="_Toc300000732"/>
      <w:r>
        <w:t>23-A.7 Information Before Consent</w:t>
      </w:r>
      <w:bookmarkEnd w:id="900733"/>
    </w:p>
    <w:p>
      <w:pPr>
        <w:pStyle w:val="Normal"/>
      </w:pPr>
      <w:r>
        <w:t>Workers shall receive reasonable and timely access to the collective bargaining agreement or material terms on which their approval is sought before voting. Access may be physical or electronic and shall be provided in a form reasonably understandable and accessible to affected workers, including reasonable accommodation for disability, language needs and lack of reliable digital access where necessary.</w:t>
      </w:r>
    </w:p>
    <w:p>
      <w:pPr>
        <w:pStyle w:val="Heading2"/>
      </w:pPr>
      <w:bookmarkStart w:id="900734" w:name="_Toc300000733"/>
      <w:r>
        <w:t>23-A.8 Representation Challenges and Procedural Integrity</w:t>
      </w:r>
      <w:bookmarkEnd w:id="900734"/>
    </w:p>
    <w:p>
      <w:pPr>
        <w:pStyle w:val="Normal"/>
      </w:pPr>
      <w:r>
        <w:t>Union representation challenges shall receive timely, impartial resolution through competent institutions and shall not be defeated through abusive procedural delay, obstruction, manipulation of voter eligibility, destruction or concealment of evidence, or comparable tactics. Procedures shall provide clear stages, reasonable time limits and meaningful opportunities to present and answer evidence.</w:t>
      </w:r>
    </w:p>
    <w:p>
      <w:pPr>
        <w:pStyle w:val="Heading2"/>
      </w:pPr>
      <w:bookmarkStart w:id="900735" w:name="_Toc300000734"/>
      <w:r>
        <w:t>23-A.9 Verification of Democratic Legitimacy</w:t>
      </w:r>
      <w:bookmarkEnd w:id="900735"/>
    </w:p>
    <w:p>
      <w:pPr>
        <w:pStyle w:val="Normal"/>
      </w:pPr>
      <w:r>
        <w:t>The competent Mexican authority shall possess authority and capacity to verify, using risk-based and proportionate methods, that the workplace and bargaining unit are genuine, workers received required information, voting procedures protected free choice, and the legally required support was obtained. Verification may use physical or electronic records, direct worker consultation, audits or on-site review where justified by the circumstances.</w:t>
      </w:r>
    </w:p>
    <w:p>
      <w:pPr>
        <w:pStyle w:val="Heading2"/>
      </w:pPr>
      <w:bookmarkStart w:id="900736" w:name="_Toc300000735"/>
      <w:r>
        <w:t>23-A.10 Anti-Retaliation Protection</w:t>
      </w:r>
      <w:bookmarkEnd w:id="900736"/>
    </w:p>
    <w:p>
      <w:pPr>
        <w:pStyle w:val="Normal"/>
      </w:pPr>
      <w:r>
        <w:t>Workers, witnesses, complainants, candidates, representatives and other persons lawfully participating in a protected vote, representation challenge, investigation, testimony or verification process shall be protected against dismissal, blacklisting, threats, immigration-related coercion, discriminatory scheduling, loss of compensation or opportunity, violence, surveillance used for retaliation, or comparable reprisals.</w:t>
      </w:r>
    </w:p>
    <w:p>
      <w:pPr>
        <w:pStyle w:val="Heading2"/>
      </w:pPr>
      <w:bookmarkStart w:id="900737" w:name="_Toc300000736"/>
      <w:r>
        <w:t>23-A.11 Effective Worker Remedies</w:t>
      </w:r>
      <w:bookmarkEnd w:id="900737"/>
    </w:p>
    <w:p>
      <w:pPr>
        <w:pStyle w:val="Normal"/>
      </w:pPr>
      <w:r>
        <w:t>Remedies for violations of this Annex shall be capable of restoring the affected right and deterring deliberate interference. Depending on the violation, remedies may include reinstatement, backpay, restoration of unlawfully withheld compensation or benefits, corrected or rerun elections, invalidation of tainted procedures, restoration of representational or bargaining rights, protective orders, sanctions, and monitoring reasonably necessary to establish durable compliance.</w:t>
      </w:r>
    </w:p>
    <w:p>
      <w:pPr>
        <w:pStyle w:val="Heading2"/>
      </w:pPr>
      <w:bookmarkStart w:id="900738" w:name="_Toc300000737"/>
      <w:r>
        <w:t>23-A.12 Transparency and Privacy</w:t>
      </w:r>
      <w:bookmarkEnd w:id="900738"/>
    </w:p>
    <w:p>
      <w:pPr>
        <w:pStyle w:val="Normal"/>
      </w:pPr>
      <w:r>
        <w:t>Mexico shall maintain readily accessible information concerning registered collective bargaining agreements, union governing documents and institutional outcomes to the extent necessary for worker awareness, accountability and lawful public oversight. Transparency obligations shall not require publication of secret ballots, unnecessary personal data, confidential complainant identities, or information whose disclosure would create a credible risk of retaliation.</w:t>
      </w:r>
    </w:p>
    <w:p>
      <w:pPr>
        <w:pStyle w:val="Heading2"/>
      </w:pPr>
      <w:bookmarkStart w:id="900739" w:name="_Toc300000738"/>
      <w:r>
        <w:t>23-A.13 Non-Regression</w:t>
      </w:r>
      <w:bookmarkEnd w:id="900739"/>
    </w:p>
    <w:p>
      <w:pPr>
        <w:pStyle w:val="Normal"/>
      </w:pPr>
      <w:r>
        <w:t>Mexico shall not materially weaken or reduce the effective protection of the worker-representation, collective-bargaining, institutional-independence or democratic-consent guarantees maintained pursuant to this Annex for the purpose of encouraging trade or investment or obtaining a competitive advantage. A substantial institutional redesign shall be consistent with this paragraph where it maintains functionally equivalent or greater protection.</w:t>
      </w:r>
    </w:p>
    <w:p>
      <w:pPr>
        <w:pStyle w:val="Heading2"/>
      </w:pPr>
      <w:bookmarkStart w:id="900740" w:name="_Toc300000739"/>
      <w:r>
        <w:t>23-A.14 No Institutional Fossilization</w:t>
      </w:r>
      <w:bookmarkEnd w:id="900740"/>
    </w:p>
    <w:p>
      <w:pPr>
        <w:pStyle w:val="Normal"/>
      </w:pPr>
      <w:r>
        <w:t>Nothing in this Annex shall prevent Mexico from replacing, consolidating, reorganizing, digitizing or otherwise modernizing a labour institution, procedure or statutory mechanism, provided that the resulting system affords functionally equivalent or greater independence, accessibility, due process, timeliness, worker participation and remedial protection.</w:t>
      </w:r>
    </w:p>
    <w:p>
      <w:pPr>
        <w:pStyle w:val="Heading2"/>
      </w:pPr>
      <w:bookmarkStart w:id="900741" w:name="_Toc300000740"/>
      <w:r>
        <w:t>23-A.15 Performance and Durability Review</w:t>
      </w:r>
      <w:bookmarkEnd w:id="900741"/>
    </w:p>
    <w:p>
      <w:pPr>
        <w:pStyle w:val="Normal"/>
      </w:pPr>
      <w:r>
        <w:t>Existing NAESTMA labour and Secretariat institutions may periodically review the practical durability of the protections in this Annex, including access to remedies, case duration, retaliation allegations, reinstatement and backpay outcomes, representation challenges, enforcement of final orders and worker accessibility. Numerical indicators shall inform review but shall not by themselves create a presumption of compliance or violation.</w:t>
      </w:r>
    </w:p>
    <w:p>
      <w:pPr>
        <w:pStyle w:val="Heading2"/>
      </w:pPr>
      <w:bookmarkStart w:id="900742" w:name="_Toc300000741"/>
      <w:r>
        <w:t>23-A.16 Technical Cooperation Without Supervision</w:t>
      </w:r>
      <w:bookmarkEnd w:id="900742"/>
    </w:p>
    <w:p>
      <w:pPr>
        <w:pStyle w:val="Normal"/>
      </w:pPr>
      <w:r>
        <w:t>Canada and the United States may, at Mexico's request or by mutual agreement, support training, digital infrastructure, judicial and administrative exchanges, worker education, enforcement capacity and other cooperative labour initiatives. Cooperation under this paragraph is assistance among equal Parties and shall not confer supervisory authority over Mexico's domestic labour institutions.</w:t>
      </w:r>
    </w:p>
    <w:p>
      <w:pPr>
        <w:pStyle w:val="Heading2"/>
      </w:pPr>
      <w:bookmarkStart w:id="900743" w:name="_Toc300000742"/>
      <w:r>
        <w:t>23-A.17 Country-Specific Annex and Equal Party Status</w:t>
      </w:r>
      <w:bookmarkEnd w:id="900743"/>
    </w:p>
    <w:p>
      <w:pPr>
        <w:pStyle w:val="Normal"/>
      </w:pPr>
      <w:r>
        <w:t>The existence of this Annex reflects distinct Mexican legal and institutional history and shall not establish a presumption that labour-rights violations are more likely, more serious, or more appropriately subject to expedited enforcement in Mexico than in another Party. A country-specific labour annex shall not create materially weaker worker protection, materially stronger enforcement exposure, or permanent discriminatory treatment solely because of the identity of that Party.</w:t>
      </w:r>
    </w:p>
    <w:p>
      <w:pPr>
        <w:pStyle w:val="Heading2"/>
      </w:pPr>
      <w:bookmarkStart w:id="900744" w:name="_Toc300000743"/>
      <w:r>
        <w:t>23-A.18 Relationship to Facility-Specific Enforcement</w:t>
      </w:r>
      <w:bookmarkEnd w:id="900744"/>
    </w:p>
    <w:p>
      <w:pPr>
        <w:pStyle w:val="Normal"/>
      </w:pPr>
      <w:r>
        <w:t>This Annex defines substantive obligations applicable in Mexico. Article 31.E governs facility-specific enforcement on functionally equivalent terms among all three Parties. An alleged violation at a Mexican covered facility shall therefore receive no materially stronger or weaker procedural treatment solely because the facility is located in Mexico. Nothing in this Annex limits the application to Canada or the United States of equivalent Chapter 23 obligations concerning freedom of association, collective bargaining, anti-retaliation, effective remedies, or facility-specific enforcement.</w:t>
      </w:r>
    </w:p>
    <w:p>
      <w:pPr>
        <w:pStyle w:val="Heading2"/>
      </w:pPr>
      <w:bookmarkStart w:id="900745" w:name="_Toc300000744"/>
      <w:r>
        <w:t>23-A.19 Worker-Rights Firewall</w:t>
      </w:r>
      <w:bookmarkEnd w:id="900745"/>
    </w:p>
    <w:p>
      <w:pPr>
        <w:pStyle w:val="Normal"/>
      </w:pPr>
      <w:r>
        <w:t>Rights and protections maintained under this Annex shall not be suspended, reduced, waived or traded away as retaliation, compensation or leverage in an unrelated dispute under this Agreement. Trade remedies may be used to secure compliance with labour obligations where authorized, but the underlying rights of workers are not bargaining currency.</w:t>
      </w:r>
    </w:p>
    <w:p>
      <w:pPr>
        <w:pStyle w:val="Heading2"/>
      </w:pPr>
      <w:bookmarkStart w:id="900746" w:name="_Toc300000745"/>
      <w:r>
        <w:t>23-A.20 Future Improvement</w:t>
      </w:r>
      <w:bookmarkEnd w:id="900746"/>
    </w:p>
    <w:p>
      <w:pPr>
        <w:pStyle w:val="Normal"/>
      </w:pPr>
      <w:r>
        <w:t>Mexico may at any time adopt or maintain worker protections exceeding the floor established by this Annex. Nothing in this Annex shall be interpreted to require Mexico to reduce a higher level of protection, reverse a successful reform, or preserve a superseded procedure where a replacement provides equivalent or greater protection.</w:t>
      </w:r>
    </w:p>
    <w:p>
      <w:pPr>
        <w:pStyle w:val="Heading2"/>
      </w:pPr>
      <w:bookmarkStart w:id="900747" w:name="_Toc300000746"/>
      <w:r>
        <w:t>23-A.21 Completion of Historical Transitional Measures</w:t>
      </w:r>
      <w:bookmarkEnd w:id="900747"/>
    </w:p>
    <w:p>
      <w:pPr>
        <w:pStyle w:val="Normal"/>
      </w:pPr>
      <w:r>
        <w:t>Obligations whose sole purpose was to require enactment of legislation before 1 January 2019, to address the Mexican government incoming in December 2018, or to require a one-time revision of then-existing collective bargaining agreements during the initial reform transition are deemed completed and are not repeated as continuing temporal commands. The durable worker-consent, institutional-independence and collective-bargaining outcomes underlying those measures remain binding through the substantive provisions of this Annex.</w:t>
      </w:r>
    </w:p>
    <w:p>
      <w:pPr>
        <w:pStyle w:val="Heading2"/>
      </w:pPr>
      <w:bookmarkStart w:id="900748" w:name="_Toc300000747"/>
      <w:r>
        <w:t>23-A.22 Chapter 23-B Remedies Following Labor-Enforcement Disruption</w:t>
      </w:r>
      <w:bookmarkEnd w:id="900748"/>
    </w:p>
    <w:p>
      <w:pPr>
        <w:pStyle w:val="Normal"/>
      </w:pPr>
      <w:r>
        <w:t>Workers who are subject to labor enforcement actions (e.g., discrimination, forced labor violations found and remedied) shall be entitled to income support and retraining under Chapter 23-B to the same extent as workers displaced by economic transformation, if the labor violation results in employment disruption. This is in addition to any remedies available under Chapter 23 labor enforcement.</w:t>
      </w:r>
    </w:p>
    <w:p>
      <w:pPr>
        <w:pStyle w:val="ModHeading"/>
      </w:pPr>
      <w:bookmarkStart w:id="900749" w:name="_Toc300000748"/>
      <w:r>
        <w:t>CHAPTER 23: CUSMA 2.0 MODERNIZATION PROVISIONS</w:t>
      </w:r>
      <w:bookmarkEnd w:id="900749"/>
    </w:p>
    <w:p>
      <w:pPr>
        <w:pStyle w:val="Normal"/>
      </w:pPr>
      <w:r>
        <w:rPr>
          <w:i/>
        </w:rPr>
        <w:t>The provisions of this Part amend Chapter 23 (Labor).</w:t>
      </w:r>
    </w:p>
    <w:p>
      <w:pPr>
        <w:pStyle w:val="Heading2"/>
      </w:pPr>
      <w:bookmarkStart w:id="900750" w:name="_Toc300000749"/>
      <w:r>
        <w:t>Article 23.A: Forced Labour, Interoperable Enforcement</w:t>
      </w:r>
      <w:bookmarkEnd w:id="900750"/>
    </w:p>
    <w:p>
      <w:pPr>
        <w:pStyle w:val="Normal"/>
      </w:pPr>
      <w:r>
        <w:t>1. Article 23.6 (Forced or Compulsory Labor), as amended by the 2019 Protocol, is supplemented as follows:</w:t>
      </w:r>
    </w:p>
    <w:p>
      <w:pPr>
        <w:pStyle w:val="Normal"/>
      </w:pPr>
      <w:r>
        <w:t>(a) each Party shall maintain import prohibitions addressing goods produced wholly or in part by forced or compulsory labour, and shall administer them through risk-based, evidence-based procedures;</w:t>
      </w:r>
    </w:p>
    <w:p>
      <w:pPr>
        <w:pStyle w:val="Normal"/>
      </w:pPr>
      <w:r>
        <w:t>(b) the Parties shall establish interoperable enforcement procedures, including: shared evidentiary standards for determinations; timely exchange of detention and exclusion information, so that goods denied entry by one Party do not divert into another Party; and coordinated investigation of supply chains spanning more than one Party;</w:t>
      </w:r>
    </w:p>
    <w:p>
      <w:pPr>
        <w:pStyle w:val="Normal"/>
      </w:pPr>
      <w:r>
        <w:t>(c) a Party’s enforcement performance under this Article is subject to cooperative review through the Labor Council, including technical assistance and capacity-building, and not to covered border measures. For greater certainty, disagreement concerning another Party’s enforcement of forced-labour import prohibitions does not authorize a covered border measure against originating goods unconnected to forced labour; any such measure is inconsistent with Articles 35.6 and 35.7; and</w:t>
      </w:r>
    </w:p>
    <w:p>
      <w:pPr>
        <w:pStyle w:val="Normal"/>
      </w:pPr>
      <w:r>
        <w:t>(d) where verification under Chapter 35 establishes that identified goods of identified producers were produced with forced labour, the goods are subject to exclusion from preferential treatment and from entry, targeted at those producers and goods.</w:t>
      </w:r>
    </w:p>
    <w:p>
      <w:pPr>
        <w:pStyle w:val="Normal"/>
      </w:pPr>
      <w:r>
        <w:t>2. FORCED LABOR GOODS VERIFICATION AND STANDSTILL. For paragraph 1(d), the Chapter 35 Verification Team determines on the applicable evidentiary standard whether the identified goods of identified producers were produced wholly or in part with forced or compulsory labor and records the goods, producers, and supply-chain evidence supporting that finding. Distortion quantification and confirmation-level outputs under Article 35.10(4)(c) and (d) are not conditions for exclusion of those identified goods under this specific Article. Articles 35.5(1) and 35.6(2) yield solely to that verified, goods-specific exclusion, while their protection remains intact for unrelated originating goods and for allegations about another Party’s general enforcement performance. Exclusion remains reviewable through the independently applicable procedure and ends for goods shown no longer to meet the forced-labor basis, without creating general retaliation authority.</w:t>
      </w:r>
    </w:p>
    <w:p>
      <w:pPr>
        <w:pStyle w:val="Heading2"/>
      </w:pPr>
      <w:bookmarkStart w:id="900751" w:name="_Toc300000750"/>
      <w:r>
        <w:t>Article 23.B: Labor Enforcement, Procedural Consistency</w:t>
      </w:r>
      <w:bookmarkEnd w:id="900751"/>
    </w:p>
    <w:p>
      <w:pPr>
        <w:pStyle w:val="Normal"/>
      </w:pPr>
      <w:r>
        <w:t>1. Building on the operation of this Chapter, the Parties shall adopt, through the Labor Council, common guidance on: evidentiary standards for Article 23.5 (Enforcement of Labor Laws); timelines for labor consultations and disputes; transparency of proceedings; and the relationship between this Chapter and Article 31.E (North American Facility-Specific Labour Remedy), including the temporary use and administrative consolidation of predecessor procedures contained in Annexes 31-A and 31-B.</w:t>
      </w:r>
    </w:p>
    <w:p>
      <w:pPr>
        <w:pStyle w:val="Normal"/>
      </w:pPr>
      <w:r>
        <w:t>1A. LABOR COUNCIL GUIDANCE STATUS. The guidance under paragraph 1 coordinates administration and supplies non-binding explanations of existing evidentiary and procedural rules. It does not amend a treaty standard, shift a burden of proof, lengthen a clock, or condition access to Article 31.E or the transitional Annex procedures. A binding change proceeds only through the amendment or expressly applicable implementation authority under this Agreement. Pending guidance or failure to reach consensus leaves the operative treaty rules fully applicable.</w:t>
      </w:r>
    </w:p>
    <w:p>
      <w:pPr>
        <w:pStyle w:val="Normal"/>
      </w:pPr>
      <w:r>
        <w:t>2. The Parties reaffirm that a panel shall presume that a failure is in a manner affecting trade or investment between the Parties, unless the responding Party demonstrates otherwise, as provided in footnotes 5, 9, 12, and 14 to Articles 23.3, 23.4, 23.5, and 23.7 respectively, as inserted by the 2019 Protocol.</w:t>
      </w:r>
    </w:p>
    <w:p>
      <w:pPr>
        <w:pStyle w:val="Heading2"/>
      </w:pPr>
      <w:bookmarkStart w:id="900752" w:name="_Toc300000751"/>
      <w:r>
        <w:t>Article 23.C: Independent Factual Verification of Labor Enforcement Complaints</w:t>
      </w:r>
      <w:bookmarkEnd w:id="900752"/>
    </w:p>
    <w:p>
      <w:pPr>
        <w:pStyle w:val="Normal"/>
      </w:pPr>
      <w:r>
        <w:t>1. Before imposing a trade remedy based on an alleged systemic failure to enforce labor obligations under this Chapter, a Party requests independent factual verification by delivering to the Labor Council through the Secretariat a written complaint identifying the initiating Party, the responding Party whose enforcement is challenged, the conduct, obligation, trade or investment connection, and available evidence. Within five days after delivery, the Secretariat constitutes a three-person Labor Factual Verification Team under Article 30.C(4) through (7), with members possessing labor-enforcement expertise. Those specialist rules supply administrative selection only, and the Team is a distinct technical body under this Article rather than a Chapter 35 Verification Team, with the Labor Council providing coordination without a consensus vote on individual intake. The Team receives relevant non-confidential records and protected information through appropriate safeguards, and its ninety-day report period runs from constitution, with Annex 34-H applying to failure to constitute or act within the stated deadline.</w:t>
      </w:r>
    </w:p>
    <w:p>
      <w:pPr>
        <w:pStyle w:val="Normal"/>
      </w:pPr>
      <w:r>
        <w:t>2. The technical team issues a factual report within 90 days after its constitution. The report has the factual effect specified in paragraph 7 and does not determine the ultimate legal consequence. Where the report finds no sustained, recurring, systemic, or material failure within the scope of the complaint, no covered border measure may be based on that complaint unless manifest error or materially new evidence is first established under paragraphs 7 and 8.</w:t>
      </w:r>
    </w:p>
    <w:p>
      <w:pPr>
        <w:pStyle w:val="Normal"/>
      </w:pPr>
      <w:r>
        <w:t>3. Cooperation Clock. A requested Party shall provide responsive non-privileged records within 20 days after a lawful request by the technical team, or identify with specificity the legal basis for withholding particular material. A request for clarification does not suspend the 90-day verification period.</w:t>
      </w:r>
    </w:p>
    <w:p>
      <w:pPr>
        <w:pStyle w:val="Normal"/>
      </w:pPr>
      <w:r>
        <w:t>4. Unjustified failure to provide access, records, interviews, or other information does not stop the verification clock. The technical team may rely on other credible evidence and may draw reasonable adverse factual inferences proportionate to the information withheld.</w:t>
      </w:r>
    </w:p>
    <w:p>
      <w:pPr>
        <w:pStyle w:val="Normal"/>
      </w:pPr>
      <w:r>
        <w:t>5. The technical team shall issue its factual report on the existing record when the 90-day period expires unless all Parties agree to a single extension not exceeding 30 days because essential evidence is genuinely unavailable despite cooperation.</w:t>
      </w:r>
    </w:p>
    <w:p>
      <w:pPr>
        <w:pStyle w:val="Normal"/>
      </w:pPr>
      <w:r>
        <w:t>6. This Article does not delay, replace, or condition intake, review, or remedies under Article 31.E or the transitional operation of Annexes 31-A and 31-B. Article 31.E governs any inconsistency with those Annexes in accordance with Article 31.E(19). Article 23.17(12)’s consultation precondition does not apply to the facility-specific procedures of Article 31.E or those transitional Annexes, which retain their own intake and consultation requirements. Verification under this Article remains the systemic-remedy route and does not become an additional facility-specific gateway.</w:t>
      </w:r>
    </w:p>
    <w:p>
      <w:pPr>
        <w:pStyle w:val="Normal"/>
      </w:pPr>
      <w:r>
        <w:t>7. LABOR FACTUAL RECORD AND REVIEW STANDARD. Findings within the Labor Factual Verification Team’s mandate enter a later Chapter 35 or Chapter 31 record with notice and an opportunity for the Parties to address their scope and any claimed manifest error. Those findings bind as to the facts actually determined unless the later deciding body finds manifest error on stated reasons, and the same standard governs Article 31.A(5) and Article 35.26(3) when they interact with this report. A Chapter 35 Team independently performs distortion, entity, flow, confirmation-level, and second-opinion functions assigned by Article 35.10, without contradicting an intact prior factual finding on the same conduct and record. This paragraph and paragraphs 2 and 8 expressly prevail over Article 35.26(1)’s general notwithstanding clause for these factual findings and the same-complaint bar, and a negative finding under paragraph 2 bars a covered border measure based on the same complaint unless the later deciding body first identifies manifest error or materially new evidence that could change that finding, while independently authorized facility-specific and identified forced-labor-goods procedures retain their own scope.</w:t>
      </w:r>
    </w:p>
    <w:p>
      <w:pPr>
        <w:pStyle w:val="Normal"/>
      </w:pPr>
      <w:r>
        <w:t>8. LABOR VERIFICATION GATE AND NEW EVIDENCE. Seeking a trade remedy in paragraph 1 means requesting the imposition of a suspension or covered border measure, and does not prevent consultations, a panel request, or adjudication from proceeding while the verification runs. A remedy follows only after the verification requirement and the independently applicable legal, nexus, and remedy tests have been met. The technical team decides whether evidence is materially new while its proceeding remains open, and the later competent Verification Team or panel decides that question in its own proceeding within five days after receiving the request and the other Party’s response. Evidence is materially new only if it was not reasonably available in the earlier proceeding and could materially change the finding, and ordinary repetition or relabelling of the complaint does not qualify.</w:t>
      </w:r>
    </w:p>
    <w:p>
      <w:pPr>
        <w:spacing w:after="0" w:before="0"/>
        <w:contextualSpacing w:val="0"/>
      </w:pPr>
      <w:r>
        <w:t>9. MANIFEST ERROR AND EXPERTISE REVIEW. Manifest error means an objectively demonstrable, material factual mistake shown by the existing record, including a decisive misreading, calculation error, or omission of evidence actually submitted, that could change the factual outcome rather than mere disagreement with the assessment. The deciding Team or panel gives the Parties notice and an opportunity to address the claimed error and states the identified mistake, supporting record, and consequence in its reasons within the five-day exception-review period in paragraph 8. Article 31.8(3)(a)’s labor-law-or-practice expertise requirement applies to panelists other than the chair in a dispute under this Chapter, including Article 31.A composition and Article 31.C default selection, in addition to the panel’s other qualifications, except that incompatible tariff/customs specialization yields for those seats where both cannot be met. Paragraphs 4 and 9 of Article 30.C supply separately screened panel candidates and default draws for deficient subject-matter seats, preserving Article 31.9 Party selection except for an expressly applicable special composition rule and without converting a technical Team into a panel.</w:t>
      </w:r>
    </w:p>
    <w:p>
      <w:pPr>
        <w:spacing w:before="0" w:after="0"/>
        <w:contextualSpacing w:val="0"/>
      </w:pPr>
    </w:p>
    <w:p>
      <w:pPr>
        <w:pStyle w:val="Heading2"/>
      </w:pPr>
      <w:bookmarkStart w:id="900753" w:name="_Toc300000752"/>
      <w:r>
        <w:t>Article 23.D: Triadic Labour Floor and Equal Dignity in Employment</w:t>
      </w:r>
      <w:bookmarkEnd w:id="900753"/>
    </w:p>
    <w:p>
      <w:pPr>
        <w:pStyle w:val="Normal"/>
      </w:pPr>
      <w:r>
        <w:t>1. Each Party shall adopt and maintain a floor of effective labour protection that secures safe and dignified working conditions while permitting a Party to maintain or adopt more protective measures.</w:t>
      </w:r>
    </w:p>
    <w:p>
      <w:pPr>
        <w:pStyle w:val="Normal"/>
      </w:pPr>
      <w:r>
        <w:t>2. North American economic integration shall not depend upon discrimination, exclusion, harassment, retaliation, forced labour, denial of basic sanitation, or systematic suppression of workers’ lawful rights.</w:t>
      </w:r>
    </w:p>
    <w:p>
      <w:pPr>
        <w:pStyle w:val="Normal"/>
      </w:pPr>
      <w:r>
        <w:t>3. Implementation may account for workplace size, risk, remoteness, operational characteristics, and reasonable economic capacity, provided that no distinction substantially defeats the minimum protection guaranteed by this Chapter.</w:t>
      </w:r>
    </w:p>
    <w:p>
      <w:pPr>
        <w:pStyle w:val="Normal"/>
      </w:pPr>
      <w:r>
        <w:t>4. MODERNIZED LABOR LAW INTERFACE. Each Party adopts and maintains enforceable domestic statutes, regulations, and practices implementing Articles 23.D through 23.O, and those measures constitute labor laws for Articles 23.1, 23.4, and 23.5. References in those Articles to employers describe the protection each Party secures through its domestic law and enforcement, rather than conferring direct international jurisdiction over private employers. The trade or investment nexus, presumptions, enforcement thresholds, and domestic procedural guarantees applicable to the obligation being enforced remain controlling. Article 23.K’s specific equality and anti-discrimination standards supplement Article 23.9 and are not reduced by its general discretion concerning policy form.</w:t>
      </w:r>
    </w:p>
    <w:p>
      <w:pPr>
        <w:pStyle w:val="Heading2"/>
      </w:pPr>
      <w:bookmarkStart w:id="900754" w:name="_Toc300000753"/>
      <w:r>
        <w:t>Article 23.E: Basic Workplace Conditions Standard</w:t>
      </w:r>
      <w:bookmarkEnd w:id="900754"/>
    </w:p>
    <w:p>
      <w:pPr>
        <w:pStyle w:val="Normal"/>
      </w:pPr>
      <w:r>
        <w:t>1. Each Party shall maintain effective requirements for potable drinking water, sanitary and reasonably accessible toilet facilities, handwashing facilities, appropriate first-aid capability, necessary personal protective equipment, reasonable opportunities for rest and meals, and protection from foreseeable occupational hazards.</w:t>
      </w:r>
    </w:p>
    <w:p>
      <w:pPr>
        <w:pStyle w:val="Normal"/>
      </w:pPr>
      <w:r>
        <w:t>2. Employers shall not impose unreasonable restrictions that materially prevent workers from using toilet facilities when needed. Facilities shall be maintained in sanitary working condition and supplied with essential hygiene materials.</w:t>
      </w:r>
    </w:p>
    <w:p>
      <w:pPr>
        <w:pStyle w:val="Normal"/>
      </w:pPr>
      <w:r>
        <w:t>3. Where eating at a workstation would expose workers to contamination or another material hazard, workers shall have access to a sanitary location suitable for meals and rest.</w:t>
      </w:r>
    </w:p>
    <w:p>
      <w:pPr>
        <w:pStyle w:val="Normal"/>
      </w:pPr>
      <w:r>
        <w:t>4. Workplaces shall provide appropriate means for sanitary disposal of menstrual products in relevant facilities.</w:t>
      </w:r>
    </w:p>
    <w:p>
      <w:pPr>
        <w:pStyle w:val="Heading2"/>
      </w:pPr>
      <w:bookmarkStart w:id="900755" w:name="_Toc300000754"/>
      <w:r>
        <w:t>Article 23.F: Emergency Readiness and First-Aid Capability</w:t>
      </w:r>
      <w:bookmarkEnd w:id="900755"/>
    </w:p>
    <w:p>
      <w:pPr>
        <w:pStyle w:val="Normal"/>
      </w:pPr>
      <w:r>
        <w:t>1. Workplaces shall maintain first-aid supplies appropriate to workforce size and reasonably foreseeable hazards, in locations that are readily accessible during working hours and maintained through periodic inspection and replenishment.</w:t>
      </w:r>
    </w:p>
    <w:p>
      <w:pPr>
        <w:pStyle w:val="Normal"/>
      </w:pPr>
      <w:r>
        <w:t>2. Each Party shall require timely access to appropriately trained first-aid capability, with the number and qualification of responders proportionate to workplace risk, size, remoteness, and emergency response time.</w:t>
      </w:r>
    </w:p>
    <w:p>
      <w:pPr>
        <w:pStyle w:val="Normal"/>
      </w:pPr>
      <w:r>
        <w:t>3. Employers shall maintain unobstructed and appropriately marked emergency exits, emergency communication capability, fire protection, backup or emergency lighting where reasonably necessary, and emergency plans proportionate to reasonably foreseeable hazards.</w:t>
      </w:r>
    </w:p>
    <w:p>
      <w:pPr>
        <w:pStyle w:val="Normal"/>
      </w:pPr>
      <w:r>
        <w:t>4. Higher-risk workplaces shall conduct drills or equivalent preparedness exercises at intervals appropriate to their risk profile.</w:t>
      </w:r>
    </w:p>
    <w:p>
      <w:pPr>
        <w:pStyle w:val="Heading2"/>
      </w:pPr>
      <w:bookmarkStart w:id="900756" w:name="_Toc300000755"/>
      <w:r>
        <w:t>Article 23.G: Occupational Environmental Quality</w:t>
      </w:r>
      <w:bookmarkEnd w:id="900756"/>
    </w:p>
    <w:p>
      <w:pPr>
        <w:pStyle w:val="Normal"/>
      </w:pPr>
      <w:r>
        <w:t>1. Each Party shall maintain protections against unsafe heat, cold, wildfire smoke, hazardous airborne contaminants, toxic fumes, deficient ventilation, and other material environmental hazards at work.</w:t>
      </w:r>
    </w:p>
    <w:p>
      <w:pPr>
        <w:pStyle w:val="Normal"/>
      </w:pPr>
      <w:r>
        <w:t>2. Standards shall be science-based and risk-appropriate and shall not require a single fixed ventilation, humidity, or temperature value where occupational conditions require a different protective approach.</w:t>
      </w:r>
    </w:p>
    <w:p>
      <w:pPr>
        <w:pStyle w:val="Normal"/>
      </w:pPr>
      <w:r>
        <w:t>3. Outdoor and remote workers shall receive appropriate access to hydration, shade, warming or cooling measures, protective equipment, and work-rest or stop-work procedures during dangerous environmental conditions.</w:t>
      </w:r>
    </w:p>
    <w:p>
      <w:pPr>
        <w:pStyle w:val="Heading2"/>
      </w:pPr>
      <w:bookmarkStart w:id="900757" w:name="_Toc300000756"/>
      <w:r>
        <w:t>Article 23.H: Personal Protective Equipment and Fit</w:t>
      </w:r>
      <w:bookmarkEnd w:id="900757"/>
    </w:p>
    <w:p>
      <w:pPr>
        <w:pStyle w:val="Normal"/>
      </w:pPr>
      <w:r>
        <w:t>1. Necessary personal protective equipment shall be provided without charge to workers where required for occupational safety.</w:t>
      </w:r>
    </w:p>
    <w:p>
      <w:pPr>
        <w:pStyle w:val="Normal"/>
      </w:pPr>
      <w:r>
        <w:t>2. Required equipment shall be appropriate to the hazard, available in suitable sizes and configurations, properly fitted where fit affects protection, maintained in serviceable condition, and replaced when damaged, expired, or no longer protective.</w:t>
      </w:r>
    </w:p>
    <w:p>
      <w:pPr>
        <w:pStyle w:val="Normal"/>
      </w:pPr>
      <w:r>
        <w:t>3. Workers shall receive understandable instruction and training in the proper use, limitations, care, and inspection of required equipment.</w:t>
      </w:r>
    </w:p>
    <w:p>
      <w:pPr>
        <w:pStyle w:val="Heading2"/>
      </w:pPr>
      <w:bookmarkStart w:id="900758" w:name="_Toc300000757"/>
      <w:r>
        <w:t>Article 23.I: Rest, Seating, Lactation, and Reasonable Accommodation</w:t>
      </w:r>
      <w:bookmarkEnd w:id="900758"/>
    </w:p>
    <w:p>
      <w:pPr>
        <w:pStyle w:val="Normal"/>
      </w:pPr>
      <w:r>
        <w:t>1. Each Party shall maintain reasonable protections for rest and meal opportunities consistent with the nature and duration of work and applicable domestic law.</w:t>
      </w:r>
    </w:p>
    <w:p>
      <w:pPr>
        <w:pStyle w:val="Normal"/>
      </w:pPr>
      <w:r>
        <w:t>2. Where the essential functions of work can reasonably be performed while seated, workers shall not be prohibited from using suitable seating without a legitimate operational, safety, or occupational reason.</w:t>
      </w:r>
    </w:p>
    <w:p>
      <w:pPr>
        <w:pStyle w:val="Normal"/>
      </w:pPr>
      <w:r>
        <w:t>3. Appropriate seating or rest accommodation shall be provided where reasonably required by disability, pregnancy, injury, or medical need, subject to applicable reasonable-accommodation standards.</w:t>
      </w:r>
    </w:p>
    <w:p>
      <w:pPr>
        <w:pStyle w:val="Normal"/>
      </w:pPr>
      <w:r>
        <w:t>4. Workers requiring lactation accommodation shall have reasonable time and access to a private, sanitary space other than a toilet facility, consistent with domestic law.</w:t>
      </w:r>
    </w:p>
    <w:p>
      <w:pPr>
        <w:pStyle w:val="Heading2"/>
      </w:pPr>
      <w:bookmarkStart w:id="900759" w:name="_Toc300000758"/>
      <w:r>
        <w:t>Article 23.J: Health, Illness, and Family Continuity</w:t>
      </w:r>
      <w:bookmarkEnd w:id="900759"/>
    </w:p>
    <w:p>
      <w:pPr>
        <w:pStyle w:val="Normal"/>
      </w:pPr>
      <w:r>
        <w:t>1. Each Party shall maintain access to reasonable job-protected sick leave and family-care leave, including protections for serious or long-term illness, with benefit design and financing determined under domestic law.</w:t>
      </w:r>
    </w:p>
    <w:p>
      <w:pPr>
        <w:pStyle w:val="Normal"/>
      </w:pPr>
      <w:r>
        <w:t>2. Short-duration illness reporting should avoid unnecessary medical certification where self-certification or another reliable method is appropriate. Extended or recurring leave may require reasonable confirmation consistent with privacy and accessibility protections.</w:t>
      </w:r>
    </w:p>
    <w:p>
      <w:pPr>
        <w:pStyle w:val="Normal"/>
      </w:pPr>
      <w:r>
        <w:t>3. Parties are encouraged to use social-insurance, tax, or reimbursement mechanisms where appropriate to prevent disproportionate burdens on micro and small enterprises.</w:t>
      </w:r>
    </w:p>
    <w:p>
      <w:pPr>
        <w:pStyle w:val="Normal"/>
      </w:pPr>
      <w:r>
        <w:t>4. Parental, maternity, adoption, and caregiving protections shall be administered without prohibited discrimination and may provide flexible, shared, intermittent, or phased-return arrangements under domestic law.</w:t>
      </w:r>
    </w:p>
    <w:p>
      <w:pPr>
        <w:pStyle w:val="Heading2"/>
      </w:pPr>
      <w:bookmarkStart w:id="900760" w:name="_Toc300000759"/>
      <w:r>
        <w:t>Article 23.K: Universal Anti-Discrimination and Equality Standard</w:t>
      </w:r>
      <w:bookmarkEnd w:id="900760"/>
    </w:p>
    <w:p>
      <w:pPr>
        <w:pStyle w:val="Normal"/>
      </w:pPr>
      <w:r>
        <w:t>1. Each Party shall prohibit discrimination in employment and occupation on protected grounds including, at minimum, race, colour, national or ethnic origin, sex, pregnancy, sexual orientation, gender identity or expression, religion or creed, age, disability, marital or family status, and other grounds protected by its domestic law.</w:t>
      </w:r>
    </w:p>
    <w:p>
      <w:pPr>
        <w:pStyle w:val="Normal"/>
      </w:pPr>
      <w:r>
        <w:t>2. Protection shall extend to recruitment, hiring, compensation, benefits, assignments, training, promotion, working conditions, harassment, termination, layoffs, and retaliation.</w:t>
      </w:r>
    </w:p>
    <w:p>
      <w:pPr>
        <w:pStyle w:val="Normal"/>
      </w:pPr>
      <w:r>
        <w:t>3. Parties shall maintain effective requirements for reasonable accommodation, subject to applicable undue-hardship or disproportionate-burden standards.</w:t>
      </w:r>
    </w:p>
    <w:p>
      <w:pPr>
        <w:pStyle w:val="Normal"/>
      </w:pPr>
      <w:r>
        <w:t>4. Domestic law may recognize additional protected grounds and provide stronger remedies without inconsistency with this Agreement.</w:t>
      </w:r>
    </w:p>
    <w:p>
      <w:pPr>
        <w:pStyle w:val="Heading2"/>
      </w:pPr>
      <w:bookmarkStart w:id="900761" w:name="_Toc300000760"/>
      <w:r>
        <w:t>Article 23.L: Proportionate Employer Equality Duties</w:t>
      </w:r>
      <w:bookmarkEnd w:id="900761"/>
    </w:p>
    <w:p>
      <w:pPr>
        <w:pStyle w:val="Normal"/>
      </w:pPr>
      <w:r>
        <w:t>1. Employers shall maintain an accessible process for reporting and addressing discrimination and harassment without retaliation.</w:t>
      </w:r>
    </w:p>
    <w:p>
      <w:pPr>
        <w:pStyle w:val="Normal"/>
      </w:pPr>
      <w:r>
        <w:t>2. Larger employers may be required under domestic law to maintain documented equality plans, periodic manager training, and objective compensation reviews for unexplained disparities. Simplified compliance methods shall be available for smaller employers where appropriate.</w:t>
      </w:r>
    </w:p>
    <w:p>
      <w:pPr>
        <w:pStyle w:val="Normal"/>
      </w:pPr>
      <w:r>
        <w:t>3. Compensation review shall distinguish unlawful or unjustified disparities from differences objectively attributable to role, tenure, location, hours, qualifications, performance, scarcity, or other legitimate factors.</w:t>
      </w:r>
    </w:p>
    <w:p>
      <w:pPr>
        <w:pStyle w:val="Heading2"/>
      </w:pPr>
      <w:bookmarkStart w:id="900762" w:name="_Toc300000761"/>
      <w:r>
        <w:t>Article 23.M: Migrant, Temporary, Agency, and Contract Worker Parity</w:t>
      </w:r>
      <w:bookmarkEnd w:id="900762"/>
    </w:p>
    <w:p>
      <w:pPr>
        <w:pStyle w:val="Normal"/>
      </w:pPr>
      <w:r>
        <w:t>1. A worker shall not receive less favourable substantive protection under this Chapter solely because of immigration status, temporary or seasonal status, part-time status, agency placement, or similar employment classification, except where a distinction is objectively justified and consistent with domestic law.</w:t>
      </w:r>
    </w:p>
    <w:p>
      <w:pPr>
        <w:pStyle w:val="Normal"/>
      </w:pPr>
      <w:r>
        <w:t>2. Parties shall maintain practical avenues through which migrant and temporary workers can report labour and occupational-safety violations without unlawful retaliation.</w:t>
      </w:r>
    </w:p>
    <w:p>
      <w:pPr>
        <w:pStyle w:val="Heading2"/>
      </w:pPr>
      <w:bookmarkStart w:id="900763" w:name="_Toc300000762"/>
      <w:r>
        <w:t>Article 23.N: Automated Employment Decision Safeguards</w:t>
      </w:r>
      <w:bookmarkEnd w:id="900763"/>
    </w:p>
    <w:p>
      <w:pPr>
        <w:pStyle w:val="Normal"/>
      </w:pPr>
      <w:r>
        <w:t>1. Where automated systems materially influence recruitment, scheduling, promotion, compensation, discipline, or termination, each Party shall maintain protections against unlawful discriminatory outcomes.</w:t>
      </w:r>
    </w:p>
    <w:p>
      <w:pPr>
        <w:pStyle w:val="Normal"/>
      </w:pPr>
      <w:r>
        <w:t>2. Workers shall have access to an appropriate human review, contestability, or equivalent remedy where an automated decision materially affects employment rights or opportunities.</w:t>
      </w:r>
    </w:p>
    <w:p>
      <w:pPr>
        <w:pStyle w:val="Normal"/>
      </w:pPr>
      <w:r>
        <w:t>3. Nothing in this Article requires disclosure of source code, trade secrets, or protected security information except as otherwise permitted by this Agreement or domestic law.</w:t>
      </w:r>
    </w:p>
    <w:p>
      <w:pPr>
        <w:pStyle w:val="Heading2"/>
      </w:pPr>
      <w:bookmarkStart w:id="900764" w:name="_Toc300000763"/>
      <w:r>
        <w:t>Article 23.O: Protected Exercise Firewall</w:t>
      </w:r>
      <w:bookmarkEnd w:id="900764"/>
    </w:p>
    <w:p>
      <w:pPr>
        <w:pStyle w:val="Normal"/>
      </w:pPr>
      <w:r>
        <w:t>1. No Party shall administer cooperation under this Agreement in a manner that materially deters a worker from reporting or participating in the investigation of a labour-rights or occupational-safety violation solely because of the worker’s immigration status.</w:t>
      </w:r>
    </w:p>
    <w:p>
      <w:pPr>
        <w:pStyle w:val="Normal"/>
      </w:pPr>
      <w:r>
        <w:t>2. Information obtained principally through a worker’s good-faith exercise of rights under this Chapter shall not be transferred to another Party for unrelated civil immigration enforcement except where required by domestic law, judicial process, or a narrowly tailored exception involving an imminent threat to life or serious public safety.</w:t>
      </w:r>
    </w:p>
    <w:p>
      <w:pPr>
        <w:pStyle w:val="Normal"/>
      </w:pPr>
      <w:r>
        <w:t>3. The protection in paragraph 2 does not create immunity from criminal law and shall not prevent lawful investigation of fraud or abuse of the complaint process.</w:t>
      </w:r>
    </w:p>
    <w:p>
      <w:pPr>
        <w:pStyle w:val="Heading2"/>
      </w:pPr>
      <w:bookmarkStart w:id="900765" w:name="_Toc300000764"/>
      <w:r>
        <w:t>Article 23.P: Labour Enforcement Escalation and Institutional Restraint</w:t>
      </w:r>
      <w:bookmarkEnd w:id="900765"/>
    </w:p>
    <w:p>
      <w:pPr>
        <w:pStyle w:val="Normal"/>
      </w:pPr>
      <w:r>
        <w:t>1. Individual complaints shall ordinarily be addressed through effective domestic remedies. Systemic, pattern-and-practice, or persistent failures affecting obligations under this Chapter may proceed through the Agreement’s verification and dispute-settlement architecture.</w:t>
      </w:r>
    </w:p>
    <w:p>
      <w:pPr>
        <w:pStyle w:val="Normal"/>
      </w:pPr>
      <w:r>
        <w:t>2. Expedited facility-specific procedures shall be reserved for serious, verified denials of covered rights where ordinary remedies are inadequate or persistently ineffective.</w:t>
      </w:r>
    </w:p>
    <w:p>
      <w:pPr>
        <w:pStyle w:val="Normal"/>
      </w:pPr>
      <w:r>
        <w:t>3. The Parties shall implement these obligations through existing domestic institutions and existing bodies under this Agreement wherever practicable. No new standing body shall be created where an existing institution can perform the required function.</w:t>
      </w:r>
    </w:p>
    <w:p>
      <w:pPr>
        <w:pStyle w:val="Normal"/>
      </w:pPr>
      <w:r>
        <w:t>4. LABOR TRACK THRESHOLDS AND SYSTEMIC ROUTE. A credible allegation meeting Article 31.E(2) and (3) opens facility-specific review, and paragraph 2’s verified-denial and inadequate-remedy language governs adverse remedial consequences after the required finding rather than admission to review. The Systemic Labor Rapid-Response Track referenced in Article 31.E(15) and Article 51.1 is the systemic route consisting of Article 23.C verification and otherwise available Chapter 31 proceedings for sustained, recurring, systemic, or material failure. Article 31.A applies to that route only when its own paragraph 1 coverage test is met, and the track label creates no additional expedited jurisdiction or institution. Each remedy retains its own proof, nexus, proportionality, and restoration requirements, and a systemic referral does not suspend facility-specific remediation.</w:t>
      </w:r>
    </w:p>
    <w:p>
      <w:pPr>
        <w:pStyle w:val="Heading2"/>
      </w:pPr>
      <w:bookmarkStart w:id="900766" w:name="_Toc300000765"/>
      <w:r>
        <w:t>Article 23.Q: Worker-Rights Non-Bargaining Firewall</w:t>
      </w:r>
      <w:bookmarkEnd w:id="900766"/>
    </w:p>
    <w:p>
      <w:pPr>
        <w:pStyle w:val="Normal"/>
      </w:pPr>
      <w:r>
        <w:t>1. No Party may suspend, waive, reduce, condition, or exchange a worker right protected by this Chapter as retaliation, compensation, consideration, or leverage in an unrelated dispute under this Agreement. Trade remedies authorized for a labour violation may be used to secure compliance with labour obligations, but the underlying rights of workers in Canada, Mexico, and the United States are not bargaining currency.</w:t>
      </w:r>
    </w:p>
    <w:p>
      <w:pPr>
        <w:pStyle w:val="Heading2"/>
      </w:pPr>
      <w:bookmarkStart w:id="900767" w:name="_Toc300000766"/>
      <w:r>
        <w:t>Section 23.R: Relationship to Chapter 23-B (Just Transition)</w:t>
      </w:r>
      <w:bookmarkEnd w:id="900767"/>
    </w:p>
    <w:p>
      <w:pPr>
        <w:pStyle w:val="Normal"/>
      </w:pPr>
      <w:r>
        <w:t>1. Chapter 23 protections (freedom of association, collective bargaining, occupational safety) remain the floor for all workers. Chapter 23-B (North American Just Transition and Worker Security Framework) provides additional, specific protections for workers and communities affected by the economic, energy, and industrial transformations contemplated by this Agreement. Chapter 23-B income support, retraining, and benefit portability obligations operate in addition to and do not diminish Chapter 23 protections.</w:t>
      </w:r>
    </w:p>
    <w:p>
      <w:pPr>
        <w:pStyle w:val="Normal"/>
      </w:pPr>
      <w:r>
        <w:t>2. CHAPTER 23 B STATUS AND RIGHTS INTERFACE. Chapter 23-B is a substantive chapter of the Protocol of Modernization, and its existing 23-B Article identifiers are its operative numbering rather than annex identifiers. References to Package CL describe the North American Human Dignity, Equality and Rights provisions expressly incorporated in this Agreement and do not independently incorporate an external drafting package or an unpublished instrument. This paragraph affirms Chapter 23’s continuing worker-protection floor and Chapter 23-B’s additional transition obligations. In an inconsistency about suspension or exchange of those worker protections, Article 23-B.10 controls Chapter 35 trade-remedy administration, without creating an independent trade remedy beyond its express authority.</w:t>
      </w:r>
    </w:p>
    <w:p>
      <w:pPr>
        <w:pStyle w:val="Heading1"/>
      </w:pPr>
      <w:bookmarkStart w:id="900768" w:name="_Toc300000767"/>
      <w:r>
        <w:t>CHAPTER 23-B NORTH AMERICAN JUST TRANSITION AND WORKER SECURITY FRAMEWORK</w:t>
      </w:r>
      <w:bookmarkEnd w:id="900768"/>
    </w:p>
    <w:p>
      <w:pPr>
        <w:pStyle w:val="Normal"/>
      </w:pPr>
      <w:r>
        <w:t>(HARDENED VERSION WITH ENFORCEMENT MECHANISMS AND FINANCIAL COMMITMENTS)</w:t>
      </w:r>
    </w:p>
    <w:p>
      <w:pPr>
        <w:pStyle w:val="Heading2"/>
      </w:pPr>
      <w:bookmarkStart w:id="900769" w:name="_Toc300000768"/>
      <w:r>
        <w:t>Article 23-B.1: Purpose and Principles</w:t>
      </w:r>
      <w:bookmarkEnd w:id="900769"/>
    </w:p>
    <w:p>
      <w:pPr>
        <w:pStyle w:val="Normal"/>
      </w:pPr>
      <w:r>
        <w:t>The Parties recognize that the economic, energy, and industrial transformations contemplated by this Agreement will have profound effects on workers, families, and communities across North America. These transformations shall be actively managed to ensure that no worker, community, or region is left behind, and that the benefits of transition are broadly and equitably shared.</w:t>
      </w:r>
    </w:p>
    <w:p>
      <w:pPr>
        <w:pStyle w:val="Normal"/>
      </w:pPr>
      <w:r>
        <w:t>The Parties use the International Labour Organization’s 2015 Guidelines for a Just Transition towards Environmentally Sustainable Economies and Societies for All as an interpretive and policy framework for this Chapter. The Guidelines are not independently binding treaty obligations merely through this reference. The concrete obligations, benefits, finance commitments, and procedures expressly established in this Chapter are binding according to their terms. The Guidelines neither expand those obligations nor reduce a worker or community protection stated here.</w:t>
      </w:r>
    </w:p>
    <w:p>
      <w:pPr>
        <w:pStyle w:val="Normal"/>
      </w:pPr>
      <w:r>
        <w:t>The following principles shall govern the implementation of this Chapter:</w:t>
      </w:r>
    </w:p>
    <w:p>
      <w:pPr>
        <w:pStyle w:val="Normal"/>
      </w:pPr>
      <w:r>
        <w:t>(a) No Worker Left Behind: Workers displaced or materially affected by the transitions contemplated by this Agreement shall have unconditional access to concrete support, including income security, retraining, and transition assistance. No worker shall be excluded based on immigration status, sector, or geography.</w:t>
      </w:r>
    </w:p>
    <w:p>
      <w:pPr>
        <w:pStyle w:val="Normal"/>
      </w:pPr>
      <w:r>
        <w:t>(b) Leave No Community Behind: Communities and regions dependent on transitioning industries shall receive targeted, predictable support for economic diversification, infrastructure investment, and social cohesion.</w:t>
      </w:r>
    </w:p>
    <w:p>
      <w:pPr>
        <w:pStyle w:val="Normal"/>
      </w:pPr>
      <w:r>
        <w:t>(c) Worker Participation: Workers and their representatives shall be consulted and engaged at every stage of the design and implementation of transition policies, from sector identification to fund allocation to program evaluation.</w:t>
      </w:r>
    </w:p>
    <w:p>
      <w:pPr>
        <w:pStyle w:val="Normal"/>
      </w:pPr>
      <w:r>
        <w:t>(d) Social Dialogue: The Parties shall engage with employers, unions, and civil society in tripartite and multi-stakeholder processes to shape just transition policies. No policy affecting workers shall be implemented without prior consultation with worker representatives.</w:t>
      </w:r>
    </w:p>
    <w:p>
      <w:pPr>
        <w:pStyle w:val="Normal"/>
      </w:pPr>
      <w:r>
        <w:t>(e) Non-Regression: Nothing in this Chapter shall be used to weaken, reduce, or defer existing worker protections, social safety nets, or collective bargaining rights. Existing protections shall not be rolled back as a condition of access to Chapter 23-B benefits.</w:t>
      </w:r>
    </w:p>
    <w:p>
      <w:pPr>
        <w:pStyle w:val="Normal"/>
      </w:pPr>
      <w:r>
        <w:t>(f) Complementarity: This Chapter operates within and supplements the treaty-wide human-rights floor established in Package CL (North American Human Dignity, Equality and Rights Framework). Human beings are not trade collateral; economic integration shall not be achieved at the expense of worker dignity, security, or fundamental rights.</w:t>
      </w:r>
    </w:p>
    <w:p>
      <w:pPr>
        <w:pStyle w:val="Normal"/>
      </w:pPr>
      <w:r>
        <w:t>(g) Primacy Over Trade Measures: Chapter 23-B obligations take precedence over Article 35.17A (Remediation Investment and Corrective Compensation) and other trade remedies. Worker protection is not subordinate to trade interests.</w:t>
      </w:r>
    </w:p>
    <w:p>
      <w:pPr>
        <w:pStyle w:val="Heading2"/>
      </w:pPr>
      <w:bookmarkStart w:id="900770" w:name="_Toc300000769"/>
      <w:r>
        <w:t>Article 23-B.2: Definitions</w:t>
      </w:r>
      <w:bookmarkEnd w:id="900770"/>
    </w:p>
    <w:p>
      <w:pPr>
        <w:pStyle w:val="Normal"/>
      </w:pPr>
      <w:r>
        <w:t>For the purposes of this Chapter:</w:t>
      </w:r>
    </w:p>
    <w:p>
      <w:pPr>
        <w:pStyle w:val="Normal"/>
      </w:pPr>
      <w:r>
        <w:t>Just Transition means the managed, rights-based process of shifting to a low-carbon, sustainable, and resilient economy in a manner that maximizes concrete benefits for workers and communities while actively minimizing and mitigating adverse social and economic impacts, consistent with the ILO Guidelines for a Just Transition. Just Transition is not aspirational; it is an enforceable commitment.</w:t>
      </w:r>
    </w:p>
    <w:p>
      <w:pPr>
        <w:pStyle w:val="Normal"/>
      </w:pPr>
      <w:r>
        <w:t>Affected Worker means a worker whose employment is materially impacted (whether through displacement, permanent layoff, a material reduction in hours or wages as defined by Materially Affected in Article 23-B.13, or fundamental change in job content or location) as a direct or reasonably foreseeable indirect result of the economic, energy, or industrial transitions contemplated by this Agreement, including but not limited to decarbonization, automation, supply-chain restructuring, electrification, digitization, and sectoral transformation. Affected Workers include wage employees, temporary workers, migrant workers, gig workers, and workers in informal employment relationships.</w:t>
      </w:r>
    </w:p>
    <w:p>
      <w:pPr>
        <w:pStyle w:val="Normal"/>
      </w:pPr>
      <w:r>
        <w:t>Affected Worker also includes a worker suffering employment disruption caused by a labor violation found and remedied under Chapter 23, including the circumstances described in Annex 23-A(22), in the territory of any Party. Disruption meets the Materially Affected definition or consists of a fundamental change in job content or location requiring retraining or relocation. The Party responsible under Article 23-B.3(h) provides income support and retraining on the same terms as for transition-displaced workers. Those benefits supplement labor-enforcement relief, with no duplicate reimbursement of the same verified loss.</w:t>
      </w:r>
    </w:p>
    <w:p>
      <w:pPr>
        <w:pStyle w:val="Normal"/>
      </w:pPr>
      <w:r>
        <w:t>Affected Community means a region, locality, municipality, or community that experiences significant economic disruption, employment loss exceeding 5% of local workforce in a single sector, or social dislocation (including loss of tax base, closure of public services, or emigration pressure) as a result of the transitions contemplated by this Agreement. A community is "affected" even if not all workers in that community are displaced.</w:t>
      </w:r>
    </w:p>
    <w:p>
      <w:pPr>
        <w:pStyle w:val="Normal"/>
      </w:pPr>
      <w:r>
        <w:t>Transition Sector means an economic sector or industry designated by the Commission or a Party under Article 23-B.8 as undergoing or likely to undergo significant transformation due to the Agreement's implementation or each Party's domestic climate and energy policies. Core Transition Sectors include: fossil fuel energy production and distribution; coal mining; automotive manufacturing; steel and aluminum production; heavy industrial manufacturing; forestry and logging; and agriculture and food processing to the extent specified in Article 23-B.8(a).</w:t>
      </w:r>
    </w:p>
    <w:p>
      <w:pPr>
        <w:pStyle w:val="Normal"/>
      </w:pPr>
      <w:r>
        <w:t>Portable Benefit means a social protection or employment-related benefit that is not tied to a specific employer or jurisdiction and that may be carried by a worker across employers, sectors, and the territories of the Parties without loss of accrued value or entitlement.</w:t>
      </w:r>
    </w:p>
    <w:p>
      <w:pPr>
        <w:pStyle w:val="Normal"/>
      </w:pPr>
      <w:r>
        <w:t>Wage Insurance means income replacement for a displaced worker at a specified percentage of the worker's prior wage, available for a defined period during retraining or job search.</w:t>
      </w:r>
    </w:p>
    <w:p>
      <w:pPr>
        <w:pStyle w:val="Normal"/>
      </w:pPr>
      <w:r>
        <w:t>Income Replacement means regular cash payments to a displaced or transitioning worker at a level sufficient to maintain economic security and dignity during periods of unemployment, retraining, or underemployment.</w:t>
      </w:r>
    </w:p>
    <w:p>
      <w:pPr>
        <w:pStyle w:val="Normal"/>
      </w:pPr>
      <w:r>
        <w:t>Commission means the Free Trade Commission established under Article 30 of the Agreement.</w:t>
      </w:r>
    </w:p>
    <w:p>
      <w:pPr>
        <w:pStyle w:val="Normal"/>
      </w:pPr>
      <w:r>
        <w:t>Fund means the North American Just Transition Fund established under Article 23-B.7.</w:t>
      </w:r>
    </w:p>
    <w:p>
      <w:pPr>
        <w:pStyle w:val="Heading2"/>
      </w:pPr>
      <w:bookmarkStart w:id="900771" w:name="_Toc300000770"/>
      <w:r>
        <w:t>Article 23-B.3: Mandatory Worker Income Security and Transition Support</w:t>
      </w:r>
      <w:bookmarkEnd w:id="900771"/>
    </w:p>
    <w:p>
      <w:pPr>
        <w:pStyle w:val="Normal"/>
      </w:pPr>
      <w:r>
        <w:t>Each Party shall maintain or establish, and continuously fund, programs providing income support for Affected Workers during periods of transition. These programs are mandatory, not discretionary.</w:t>
      </w:r>
    </w:p>
    <w:p>
      <w:pPr>
        <w:pStyle w:val="Heading3"/>
      </w:pPr>
      <w:r>
        <w:t>(a) Wage Insurance and Income Replacement</w:t>
      </w:r>
    </w:p>
    <w:p>
      <w:pPr>
        <w:pStyle w:val="Normal"/>
      </w:pPr>
      <w:r>
        <w:t>(i) Each Party shall provide Wage Insurance or Income Replacement to Affected Workers at the following minimum levels:</w:t>
      </w:r>
    </w:p>
    <w:p>
      <w:pPr>
        <w:pStyle w:val="ListBullet"/>
        <w:numPr>
          <w:ilvl w:val="0"/>
          <w:numId w:val="1"/>
        </w:numPr>
      </w:pPr>
      <w:r/>
      <w:r>
        <w:t>Months 1–12: Minimum 75% of the worker's prior average monthly wage</w:t>
      </w:r>
    </w:p>
    <w:p>
      <w:pPr>
        <w:pStyle w:val="ListBullet"/>
      </w:pPr>
      <w:r>
        <w:t>Months 13–24: Minimum 65% of the worker's prior average monthly wage</w:t>
      </w:r>
    </w:p>
    <w:p>
      <w:pPr>
        <w:pStyle w:val="ListBullet"/>
      </w:pPr>
      <w:r>
        <w:t>Months 25–36: Minimum 55% of the worker's prior average monthly wage</w:t>
      </w:r>
    </w:p>
    <w:p>
      <w:pPr>
        <w:pStyle w:val="Normal"/>
      </w:pPr>
      <w:r>
        <w:t>(ii) Income Replacement payments shall continue for a minimum of 36 months from the date of displacement or material impact.</w:t>
      </w:r>
    </w:p>
    <w:p>
      <w:pPr>
        <w:pStyle w:val="Normal"/>
      </w:pPr>
      <w:r>
        <w:t>(iii) Income Replacement shall be indexed annually to inflation to maintain real wage value.</w:t>
      </w:r>
    </w:p>
    <w:p>
      <w:pPr>
        <w:pStyle w:val="Normal"/>
      </w:pPr>
      <w:r>
        <w:t>(iv) No worker receiving Income Replacement shall fall below each Party's established poverty line. If the percentage specified in (i) would result in income below the poverty line, the Party shall provide the poverty-line amount as a floor.</w:t>
      </w:r>
    </w:p>
    <w:p>
      <w:pPr>
        <w:pStyle w:val="Normal"/>
      </w:pPr>
      <w:r>
        <w:t>(v) Income Replacement is unconditional during the first 3 months of unemployment (no "job search" requirement). After 3 months, continuation may be conditioned on documented participation in retraining under Article 23-B.4 or active job search.</w:t>
      </w:r>
    </w:p>
    <w:p>
      <w:pPr>
        <w:pStyle w:val="Heading3"/>
      </w:pPr>
      <w:r>
        <w:t>(b) Extended Unemployment Benefits and Transition Allowances</w:t>
      </w:r>
    </w:p>
    <w:p>
      <w:pPr>
        <w:pStyle w:val="Normal"/>
      </w:pPr>
      <w:r>
        <w:t>(i) For workers in designated Transition Sectors who cannot immediately secure employment at or near prior wage levels, each Party shall provide Transition Allowances (supplemental payments) at the following levels:</w:t>
      </w:r>
    </w:p>
    <w:p>
      <w:pPr>
        <w:pStyle w:val="ListBullet"/>
        <w:numPr>
          <w:ilvl w:val="0"/>
          <w:numId w:val="1"/>
        </w:numPr>
      </w:pPr>
      <w:r/>
      <w:r>
        <w:t>If new employment wage is 50–74% of prior wage: Supplement of 25–50% of prior wage difference for up to 24 additional months</w:t>
      </w:r>
    </w:p>
    <w:p>
      <w:pPr>
        <w:pStyle w:val="ListBullet"/>
      </w:pPr>
      <w:r>
        <w:t>If new employment wage is &lt;50% of prior wage: Supplement of 50% of prior wage difference for up to 36 additional months</w:t>
      </w:r>
    </w:p>
    <w:p>
      <w:pPr>
        <w:pStyle w:val="Normal"/>
      </w:pPr>
      <w:r>
        <w:t>(ii) These supplemental payments are in addition to the income replacement specified in (a).</w:t>
      </w:r>
    </w:p>
    <w:p>
      <w:pPr>
        <w:pStyle w:val="Heading3"/>
      </w:pPr>
      <w:r>
        <w:t>(c) Early Retirement and Phased Retirement</w:t>
      </w:r>
    </w:p>
    <w:p>
      <w:pPr>
        <w:pStyle w:val="Normal"/>
      </w:pPr>
      <w:r>
        <w:t>(i) For workers aged 55 or older in designated Transition Sectors, each Party shall offer early retirement or phased-retirement options with:</w:t>
      </w:r>
    </w:p>
    <w:p>
      <w:pPr>
        <w:pStyle w:val="ListBullet"/>
        <w:numPr>
          <w:ilvl w:val="0"/>
          <w:numId w:val="1"/>
        </w:numPr>
      </w:pPr>
      <w:r/>
      <w:r>
        <w:t>Full preservation of pension and retirement benefit entitlements</w:t>
      </w:r>
    </w:p>
    <w:p>
      <w:pPr>
        <w:pStyle w:val="ListBullet"/>
      </w:pPr>
      <w:r>
        <w:t>No actuarial reduction in monthly benefit payments due to early claim</w:t>
      </w:r>
    </w:p>
    <w:p>
      <w:pPr>
        <w:pStyle w:val="ListBullet"/>
      </w:pPr>
      <w:r>
        <w:t>Bridge income (if necessary) to reach age 62 (U.S./Mexico) or 65 (Canada) at levels of at least 80% of prior wage</w:t>
      </w:r>
    </w:p>
    <w:p>
      <w:pPr>
        <w:pStyle w:val="Normal"/>
      </w:pPr>
      <w:r>
        <w:t>(ii) Early retirement shall be genuinely voluntary and must be offered before involuntary layoff.</w:t>
      </w:r>
    </w:p>
    <w:p>
      <w:pPr>
        <w:pStyle w:val="Heading3"/>
      </w:pPr>
      <w:r>
        <w:t>(d) Transition to Self-Employment and Entrepreneurship</w:t>
      </w:r>
    </w:p>
    <w:p>
      <w:pPr>
        <w:pStyle w:val="Normal"/>
      </w:pPr>
      <w:r>
        <w:t>(i) Workers transitioning to self-employment, cooperative enterprises, or worker-ownership models shall receive:</w:t>
      </w:r>
    </w:p>
    <w:p>
      <w:pPr>
        <w:pStyle w:val="ListBullet"/>
        <w:numPr>
          <w:ilvl w:val="0"/>
          <w:numId w:val="1"/>
        </w:numPr>
      </w:pPr>
      <w:r/>
      <w:r>
        <w:t>Startup capital grants of up to $25,000 USD per worker</w:t>
      </w:r>
    </w:p>
    <w:p>
      <w:pPr>
        <w:pStyle w:val="ListBullet"/>
      </w:pPr>
      <w:r>
        <w:t>Business planning and technical assistance</w:t>
      </w:r>
    </w:p>
    <w:p>
      <w:pPr>
        <w:pStyle w:val="ListBullet"/>
      </w:pPr>
      <w:r>
        <w:t>Liability insurance coverage for up to 24 months</w:t>
      </w:r>
    </w:p>
    <w:p>
      <w:pPr>
        <w:pStyle w:val="ListBullet"/>
      </w:pPr>
      <w:r>
        <w:t>Extension of Income Replacement payments (at 50% level) during first 18 months of business launch</w:t>
      </w:r>
    </w:p>
    <w:p>
      <w:pPr>
        <w:pStyle w:val="Heading3"/>
      </w:pPr>
      <w:r>
        <w:t>(e) Universal Accessibility</w:t>
      </w:r>
    </w:p>
    <w:p>
      <w:pPr>
        <w:pStyle w:val="Normal"/>
      </w:pPr>
      <w:r>
        <w:t>(i) All programs under this Article shall be accessible to all Affected Workers without regard to immigration status, employment type, or sector.</w:t>
      </w:r>
    </w:p>
    <w:p>
      <w:pPr>
        <w:pStyle w:val="Normal"/>
      </w:pPr>
      <w:r>
        <w:t>(ii) Migrant and temporary workers receive full income support on the same terms as other Affected Workers, and current or prior work authorization is not a condition for eligibility or benefit levels.</w:t>
      </w:r>
    </w:p>
    <w:p>
      <w:pPr>
        <w:pStyle w:val="Normal"/>
      </w:pPr>
      <w:r>
        <w:t>(iii) For workers whose work authorization expires during Income Replacement periods, each Party shall automatically issue a "Transition Work Visa" (see Article 23-B.3(f)) permitting continued residence and work while receiving benefits.</w:t>
      </w:r>
    </w:p>
    <w:p>
      <w:pPr>
        <w:pStyle w:val="Normal"/>
      </w:pPr>
      <w:r>
        <w:t>(iv) Benefits shall be paid directly to workers and shall not be contingent on employer cooperation or verification.</w:t>
      </w:r>
    </w:p>
    <w:p>
      <w:pPr>
        <w:pStyle w:val="Heading3"/>
      </w:pPr>
      <w:r>
        <w:t>(f) Transition Work Visa (New Provision)</w:t>
      </w:r>
    </w:p>
    <w:p>
      <w:pPr>
        <w:pStyle w:val="Normal"/>
      </w:pPr>
      <w:r>
        <w:t>Each Party shall create a temporary work visa category, renewable annually for the period of treaty-required retraining or income support, including an applicable benefit period exceeding 36 months, for Affected Workers (including migrant and temporary workers) in retraining programs or receiving Income Replacement. This visa:</w:t>
      </w:r>
    </w:p>
    <w:p>
      <w:pPr>
        <w:pStyle w:val="ListBullet"/>
        <w:numPr>
          <w:ilvl w:val="0"/>
          <w:numId w:val="1"/>
        </w:numPr>
      </w:pPr>
      <w:r/>
      <w:r>
        <w:t>Permits unrestricted work authorization and residence</w:t>
      </w:r>
    </w:p>
    <w:p>
      <w:pPr>
        <w:pStyle w:val="ListBullet"/>
      </w:pPr>
      <w:r>
        <w:t>Is not employer-specific</w:t>
      </w:r>
    </w:p>
    <w:p>
      <w:pPr>
        <w:pStyle w:val="ListBullet"/>
      </w:pPr>
      <w:r>
        <w:t>Carries full access to social benefits in that Party's territory</w:t>
      </w:r>
    </w:p>
    <w:p>
      <w:pPr>
        <w:pStyle w:val="ListBullet"/>
      </w:pPr>
      <w:r>
        <w:t>Shall not be revoked based on retraining performance or job-search results</w:t>
      </w:r>
    </w:p>
    <w:p>
      <w:pPr>
        <w:pStyle w:val="ListBullet"/>
      </w:pPr>
      <w:r>
        <w:t>TRANSITION VISA AND BENEFIT CONTINUITY. An Affected Worker already present in the responsible Party’s territory may obtain the Transition Work Visa while participating in qualifying retraining or receiving income support, including when prior work authorization has expired. Benefit eligibility does not itself authorize crossing a border or entering another Party, and a worker’s subsequent host-Party admission remains governed by the independently applicable entry rules. The responsible Party renews the visa for the continuing qualifying period and does not impose a thirty-six-month ceiling on an entitlement extending beyond that period. A visa-processing or governmental cost-allocation delay does not suspend accrued benefits, and the substantive-equivalence rule in Article 23-B.10(c) governs a constitutionally unavailable administrative method.</w:t>
      </w:r>
    </w:p>
    <w:p>
      <w:pPr>
        <w:pStyle w:val="Heading3"/>
      </w:pPr>
      <w:r>
        <w:t>(g) Domestic Program Equivalence (Revised and Restricted)</w:t>
      </w:r>
    </w:p>
    <w:p>
      <w:pPr>
        <w:pStyle w:val="Normal"/>
      </w:pPr>
      <w:r>
        <w:t>A Party may use existing domestic programs to satisfy the obligations of this Article ONLY if:</w:t>
      </w:r>
    </w:p>
    <w:p>
      <w:pPr>
        <w:pStyle w:val="Normal"/>
      </w:pPr>
      <w:r>
        <w:t>(i) The Commission has independently verified that such programs provide functionally equivalent or greater protection to Affected Workers; AND</w:t>
      </w:r>
    </w:p>
    <w:p>
      <w:pPr>
        <w:pStyle w:val="Normal"/>
      </w:pPr>
      <w:r>
        <w:t>(ii) The Party submits detailed evidence to the Commission showing that:</w:t>
      </w:r>
    </w:p>
    <w:p>
      <w:pPr>
        <w:pStyle w:val="ListBullet"/>
      </w:pPr>
      <w:r>
        <w:t>Income replacement levels meet or exceed the minimums in 23-B.3(a)(i)</w:t>
      </w:r>
    </w:p>
    <w:p>
      <w:pPr>
        <w:pStyle w:val="ListBullet"/>
      </w:pPr>
      <w:r>
        <w:t>Benefit duration meets the 36-month minimum</w:t>
      </w:r>
    </w:p>
    <w:p>
      <w:pPr>
        <w:pStyle w:val="ListBullet"/>
      </w:pPr>
      <w:r>
        <w:t>Programs are accessible to all Affected Workers regardless of immigration status</w:t>
      </w:r>
    </w:p>
    <w:p>
      <w:pPr>
        <w:pStyle w:val="ListBullet"/>
      </w:pPr>
      <w:r>
        <w:t>No existing program has been rolled back or reduced in scope within the past 5 years</w:t>
      </w:r>
    </w:p>
    <w:p>
      <w:pPr>
        <w:pStyle w:val="Normal"/>
      </w:pPr>
      <w:r>
        <w:t>(iii) The Commission completes the Article 23-B.3(g) equivalence review within six months after this Chapter enters into force, using each Party’s documented program submission delivered within ninety days after commencement. If equivalence is not established, the Party establishes compliant replacement programs within twelve months after the review decision, or after expiry of the six-month review deadline if no decision issues. Throughout that institutional period, the Party pays provisional benefits meeting this Article’s minima from the Chapter commencement date and supplies any shortfall directly. Neither review, failed equivalence, nor program construction suspends a worker’s entitlement.</w:t>
      </w:r>
    </w:p>
    <w:p>
      <w:pPr>
        <w:pStyle w:val="Normal"/>
      </w:pPr>
      <w:r>
        <w:t>(h) CROSS BORDER BENEFIT RESPONSIBILITY. The Party in whose territory the affected employment was principally performed at the time of displacement or material impact owes the Article 23-B.3 income, allowance, and early-retirement benefits and the Article 23-B.4 paid-training support, regardless of the worker’s citizenship or subsequent relocation to another Party. Where employment was genuinely divided between territories, the Parties allocate cost in proportion to documented work during the preceding twelve months, with the Party of the largest share paying the worker provisionally and seeking reimbursement afterward. The host Party supplies locally delivered training and health or service access within its jurisdiction, and the originating entitlement Party reimburses the treaty-required transition support without duplicate payment of the same benefit period. Accrued pensions and other portable benefits remain liabilities of the originating plan or system under Article 23-B.5, and intergovernmental allocation disputes do not interrupt support or reduce the most-protective applicable entitlement.</w:t>
      </w:r>
    </w:p>
    <w:p>
      <w:pPr>
        <w:pStyle w:val="Heading2"/>
      </w:pPr>
      <w:bookmarkStart w:id="900772" w:name="_Toc300000771"/>
      <w:r>
        <w:t>Article 23-B.4: Mandatory Skills Development, Reskilling, and Lifelong Learning</w:t>
      </w:r>
      <w:bookmarkEnd w:id="900772"/>
    </w:p>
    <w:p>
      <w:pPr>
        <w:pStyle w:val="Normal"/>
      </w:pPr>
      <w:r>
        <w:t>Each Party shall establish, and continuously fund, comprehensive programs providing Affected Workers with unconditional access to training, upskilling, reskilling, and lifelong learning opportunities.</w:t>
      </w:r>
    </w:p>
    <w:p>
      <w:pPr>
        <w:pStyle w:val="Heading3"/>
      </w:pPr>
      <w:r>
        <w:t>(a) Right to Paid Training</w:t>
      </w:r>
    </w:p>
    <w:p>
      <w:pPr>
        <w:pStyle w:val="Normal"/>
      </w:pPr>
      <w:r>
        <w:t>(i) Each Affected Worker in a designated Transition Sector has an unconditional RIGHT to paid training during working hours.</w:t>
      </w:r>
    </w:p>
    <w:p>
      <w:pPr>
        <w:pStyle w:val="Normal"/>
      </w:pPr>
      <w:r>
        <w:t>(ii) Training shall be compensated at the worker's regular rate of pay. Workers shall not experience any wage loss due to retraining.</w:t>
      </w:r>
    </w:p>
    <w:p>
      <w:pPr>
        <w:pStyle w:val="Normal"/>
      </w:pPr>
      <w:r>
        <w:t>(ii A) TRAINING WAGE COORDINATION. During paid training under this paragraph, the responsible Party identified in Article 23-B.3(h) ensures payment at the worker’s regular pre-impact rate for the compensated training time. An employer already paying that time continues to pay under applicable domestic arrangements, and the Party funds any treaty-required shortfall. Article 23-B.3 income replacement counts toward the same training-time payment so that it is topped up to the full regular rate rather than paid twice for the same hours. Income support for non-training periods, portable accrual, transition allowances for distinct eligible loss, and a more protective domestic entitlement remain available according to their terms.</w:t>
      </w:r>
    </w:p>
    <w:p>
      <w:pPr>
        <w:pStyle w:val="Normal"/>
      </w:pPr>
      <w:r>
        <w:t>(iii) Paid training time shall count toward pension and benefit accrual as if the worker had been actively employed.</w:t>
      </w:r>
    </w:p>
    <w:p>
      <w:pPr>
        <w:pStyle w:val="Normal"/>
      </w:pPr>
      <w:r>
        <w:t>(iv) Minimum training duration: 12 months of full-time (or equivalent part-time) paid training per Affected Worker.</w:t>
      </w:r>
    </w:p>
    <w:p>
      <w:pPr>
        <w:pStyle w:val="Normal"/>
      </w:pPr>
      <w:r>
        <w:t>(v) Workers selecting part-time training may extend the period up to 24 months while continuing to receive income support.</w:t>
      </w:r>
    </w:p>
    <w:p>
      <w:pPr>
        <w:pStyle w:val="Heading3"/>
      </w:pPr>
      <w:r>
        <w:t>(b) Universal Access to Skills Assessment and Career Counseling</w:t>
      </w:r>
    </w:p>
    <w:p>
      <w:pPr>
        <w:pStyle w:val="Heading3"/>
      </w:pPr>
      <w:r>
        <w:t>(i) Each Party shall provide, at no cost to the worker:</w:t>
      </w:r>
    </w:p>
    <w:p>
      <w:pPr>
        <w:pStyle w:val="ListBullet"/>
        <w:numPr>
          <w:ilvl w:val="0"/>
          <w:numId w:val="1"/>
        </w:numPr>
      </w:pPr>
      <w:r/>
      <w:r>
        <w:t>Individual skills assessment and occupational aptitude testing</w:t>
      </w:r>
    </w:p>
    <w:p>
      <w:pPr>
        <w:pStyle w:val="ListBullet"/>
      </w:pPr>
      <w:r>
        <w:t>Career counseling and transition planning</w:t>
      </w:r>
    </w:p>
    <w:p>
      <w:pPr>
        <w:pStyle w:val="ListBullet"/>
      </w:pPr>
      <w:r>
        <w:t>Information on labor market demand and wage prospects</w:t>
      </w:r>
    </w:p>
    <w:p>
      <w:pPr>
        <w:pStyle w:val="ListBullet"/>
      </w:pPr>
      <w:r>
        <w:t>Mental health and wellness support during transition</w:t>
      </w:r>
    </w:p>
    <w:p>
      <w:pPr>
        <w:pStyle w:val="Normal"/>
      </w:pPr>
      <w:r>
        <w:t>(ii) Assessment and counseling shall be available within 30 days of a worker's request.</w:t>
      </w:r>
    </w:p>
    <w:p>
      <w:pPr>
        <w:pStyle w:val="Heading3"/>
      </w:pPr>
      <w:r>
        <w:t>(c) Industry-Recognized Credentials and Certifications</w:t>
      </w:r>
    </w:p>
    <w:p>
      <w:pPr>
        <w:pStyle w:val="Normal"/>
      </w:pPr>
      <w:r>
        <w:t>(i) All training programs shall result in credentials and certifications that:</w:t>
      </w:r>
    </w:p>
    <w:p>
      <w:pPr>
        <w:pStyle w:val="ListBullet"/>
        <w:numPr>
          <w:ilvl w:val="0"/>
          <w:numId w:val="1"/>
        </w:numPr>
      </w:pPr>
      <w:r/>
      <w:r>
        <w:t>Are recognized by employers and industry bodies in all three Parties</w:t>
      </w:r>
    </w:p>
    <w:p>
      <w:pPr>
        <w:pStyle w:val="ListBullet"/>
      </w:pPr>
      <w:r>
        <w:t>Are portable across employers and sectors</w:t>
      </w:r>
    </w:p>
    <w:p>
      <w:pPr>
        <w:pStyle w:val="ListBullet"/>
      </w:pPr>
      <w:r>
        <w:t>Carry portable value across the territories of the Parties (see Article 23-B.4(f))</w:t>
      </w:r>
    </w:p>
    <w:p>
      <w:pPr>
        <w:pStyle w:val="Normal"/>
      </w:pPr>
      <w:r>
        <w:t>(ii) Training shall prioritize short-form, stackable micro-credentials allowing workers to build qualifications incrementally.</w:t>
      </w:r>
    </w:p>
    <w:p>
      <w:pPr>
        <w:pStyle w:val="Normal"/>
      </w:pPr>
      <w:r>
        <w:t>(iii) Each Party shall fund credential assessment and certification at no cost to workers.</w:t>
      </w:r>
    </w:p>
    <w:p>
      <w:pPr>
        <w:pStyle w:val="Heading3"/>
      </w:pPr>
      <w:r>
        <w:t>(d) Targeted Programs for Vulnerable Groups</w:t>
      </w:r>
    </w:p>
    <w:p>
      <w:pPr>
        <w:pStyle w:val="Normal"/>
      </w:pPr>
      <w:r>
        <w:t>Each Party shall establish dedicated retraining pathways for:</w:t>
      </w:r>
    </w:p>
    <w:p>
      <w:pPr>
        <w:pStyle w:val="ListBullet"/>
        <w:numPr>
          <w:ilvl w:val="0"/>
          <w:numId w:val="1"/>
        </w:numPr>
      </w:pPr>
      <w:r/>
      <w:r>
        <w:t>Older workers (55+) with wage-maintenance and age-discrimination protections</w:t>
      </w:r>
    </w:p>
    <w:p>
      <w:pPr>
        <w:pStyle w:val="ListBullet"/>
      </w:pPr>
      <w:r>
        <w:t>Women in traditionally male-dominated transition sectors</w:t>
      </w:r>
    </w:p>
    <w:p>
      <w:pPr>
        <w:pStyle w:val="ListBullet"/>
      </w:pPr>
      <w:r>
        <w:t>Indigenous peoples with culturally appropriate training options</w:t>
      </w:r>
    </w:p>
    <w:p>
      <w:pPr>
        <w:pStyle w:val="ListBullet"/>
      </w:pPr>
      <w:r>
        <w:t>Racialized workers and recent immigrants facing discrimination</w:t>
      </w:r>
    </w:p>
    <w:p>
      <w:pPr>
        <w:pStyle w:val="ListBullet"/>
      </w:pPr>
      <w:r>
        <w:t>Workers with disabilities and access requirements</w:t>
      </w:r>
    </w:p>
    <w:p>
      <w:pPr>
        <w:pStyle w:val="ListBullet"/>
      </w:pPr>
      <w:r>
        <w:t>Rural and remote workers with geographic barriers</w:t>
      </w:r>
    </w:p>
    <w:p>
      <w:pPr>
        <w:pStyle w:val="Normal"/>
      </w:pPr>
      <w:r>
        <w:t>Minimum allocation: 30% of training resources and 40% of Fund allocation shall serve these vulnerable groups.</w:t>
      </w:r>
    </w:p>
    <w:p>
      <w:pPr>
        <w:pStyle w:val="Heading3"/>
      </w:pPr>
      <w:r>
        <w:t>(e) Apprenticeships and On-the-Job Training</w:t>
      </w:r>
    </w:p>
    <w:p>
      <w:pPr>
        <w:pStyle w:val="Normal"/>
      </w:pPr>
      <w:r>
        <w:t>(i) Each Party shall expand paid apprenticeships and work-integrated learning in growth sectors.</w:t>
      </w:r>
    </w:p>
    <w:p>
      <w:pPr>
        <w:pStyle w:val="Normal"/>
      </w:pPr>
      <w:r>
        <w:t>(ii) Employer stipends: Each Party shall provide employers with wage subsidies (minimum 50% of apprentice wage) for apprentices and trainees hired from the Affected Worker pool.</w:t>
      </w:r>
    </w:p>
    <w:p>
      <w:pPr>
        <w:pStyle w:val="Normal"/>
      </w:pPr>
      <w:r>
        <w:t>(iii) Apprenticeships shall include:</w:t>
      </w:r>
    </w:p>
    <w:p>
      <w:pPr>
        <w:pStyle w:val="ListBullet"/>
      </w:pPr>
      <w:r>
        <w:t>Full wage compensation at 75%+ of journey-worker rate</w:t>
      </w:r>
    </w:p>
    <w:p>
      <w:pPr>
        <w:pStyle w:val="ListBullet"/>
      </w:pPr>
      <w:r>
        <w:t>Portable credentials upon completion</w:t>
      </w:r>
    </w:p>
    <w:p>
      <w:pPr>
        <w:pStyle w:val="ListBullet"/>
      </w:pPr>
      <w:r>
        <w:t>Job security (apprentice cannot be dismissed without cause)</w:t>
      </w:r>
    </w:p>
    <w:p>
      <w:pPr>
        <w:pStyle w:val="Heading3"/>
      </w:pPr>
      <w:r>
        <w:t>(f) North American Skills, Credentials and Certification Board (Strengthened)</w:t>
      </w:r>
    </w:p>
    <w:p>
      <w:pPr>
        <w:pStyle w:val="Normal"/>
      </w:pPr>
      <w:r>
        <w:t>The Commission shall establish a North American Skills, Credentials and Certification Board (the "Board"), which shall:</w:t>
      </w:r>
    </w:p>
    <w:p>
      <w:pPr>
        <w:pStyle w:val="Heading3"/>
      </w:pPr>
      <w:r>
        <w:t>(i) Have binding authority (not advisory) to:</w:t>
      </w:r>
    </w:p>
    <w:p>
      <w:pPr>
        <w:pStyle w:val="ListBullet"/>
        <w:numPr>
          <w:ilvl w:val="0"/>
          <w:numId w:val="1"/>
        </w:numPr>
      </w:pPr>
      <w:r/>
      <w:r>
        <w:t>Certify credentials as "North American equivalent" (permitting cross-border recognition)</w:t>
      </w:r>
    </w:p>
    <w:p>
      <w:pPr>
        <w:pStyle w:val="ListBullet"/>
      </w:pPr>
      <w:r>
        <w:t>Identify skills gaps and labor market needs across the Parties</w:t>
      </w:r>
    </w:p>
    <w:p>
      <w:pPr>
        <w:pStyle w:val="ListBullet"/>
      </w:pPr>
      <w:r>
        <w:t>Establish interoperability standards for credentials, certifications, and micro-credentials</w:t>
      </w:r>
    </w:p>
    <w:p>
      <w:pPr>
        <w:pStyle w:val="ListBullet"/>
      </w:pPr>
      <w:r>
        <w:t>Approve training curricula for cross-border portability</w:t>
      </w:r>
    </w:p>
    <w:p>
      <w:pPr>
        <w:pStyle w:val="Normal"/>
      </w:pPr>
      <w:r>
        <w:t>(ii) Be composed of:</w:t>
      </w:r>
    </w:p>
    <w:p>
      <w:pPr>
        <w:pStyle w:val="ListBullet"/>
      </w:pPr>
      <w:r>
        <w:t>Three government representatives (one per Party)</w:t>
      </w:r>
    </w:p>
    <w:p>
      <w:pPr>
        <w:pStyle w:val="ListBullet"/>
      </w:pPr>
      <w:r>
        <w:t>Three worker/union representatives (with voting power equal to government)</w:t>
      </w:r>
    </w:p>
    <w:p>
      <w:pPr>
        <w:pStyle w:val="ListBullet"/>
      </w:pPr>
      <w:r>
        <w:t>Three employer representatives (with voting power equal to government)</w:t>
      </w:r>
    </w:p>
    <w:p>
      <w:pPr>
        <w:pStyle w:val="ListBullet"/>
      </w:pPr>
      <w:r>
        <w:t>Three education or training representatives, one from each Party, participate as non-voting advisers; the government, worker, and employer representatives hold the nine voting seats.</w:t>
      </w:r>
    </w:p>
    <w:p>
      <w:pPr>
        <w:pStyle w:val="Normal"/>
      </w:pPr>
      <w:r>
        <w:t>(iii) Make binding decisions by qualified majority (6 of 9 voting members).</w:t>
      </w:r>
    </w:p>
    <w:p>
      <w:pPr>
        <w:pStyle w:val="Normal"/>
      </w:pPr>
      <w:r>
        <w:t>(iv) Have a secretariat funded by the Commission at a minimum of $5 million USD annually.</w:t>
      </w:r>
    </w:p>
    <w:p>
      <w:pPr>
        <w:pStyle w:val="Normal"/>
      </w:pPr>
      <w:r>
        <w:t>(v) Publish an annual "North American Skills and Credentials Registry" identifying all recognized credentials and their portability status.</w:t>
      </w:r>
    </w:p>
    <w:p>
      <w:pPr>
        <w:pStyle w:val="Normal"/>
      </w:pPr>
      <w:r>
        <w:t>(vi) Have authority to initiate financial compliance consequences if a Party blocks or delays credential recognition improperly. Specifically:</w:t>
      </w:r>
    </w:p>
    <w:p>
      <w:pPr>
        <w:pStyle w:val="ListBullet"/>
      </w:pPr>
      <w:r>
        <w:t>First violation: 30-day cure period</w:t>
      </w:r>
    </w:p>
    <w:p>
      <w:pPr>
        <w:pStyle w:val="ListBullet"/>
      </w:pPr>
      <w:r>
        <w:t>If unresolved: a binding make-whole assessment sufficient to reimburse affected workers for documented credential-assessment, retraining, delayed-employment, and related transition costs, together with an additional contribution to the Fund calibrated to the verified worker loss</w:t>
      </w:r>
    </w:p>
    <w:p>
      <w:pPr>
        <w:pStyle w:val="ListBullet"/>
      </w:pPr>
      <w:r>
        <w:t>Pattern of violations: enhanced make-whole payments and additional Fund contributions calibrated to the verified injury, with persistent or deliberate non-compliance eligible for the narrow, issue-related suspension remedies authorized under Article 23-B.11 and Chapter 31 after exhaustion of financial remedies</w:t>
      </w:r>
    </w:p>
    <w:p>
      <w:pPr>
        <w:pStyle w:val="ListBullet"/>
      </w:pPr>
      <w:r>
        <w:t>(vi A) SKILLS ASSESSMENT DUE PROCESS. Before a make-whole assessment or additional Fund contribution under subparagraph (vi), the Skills Board gives the assessed Party written notice identifying the alleged recognition failure, evidence, affected workers, and proposed calculation, and allows thirty days for response and cure. The Board gives a reasoned decision by six of its nine voting members after considering the response and applying disclosure and recusal rules. The assessed Party may initiate the Commission and panel review in Article 23-B.11(g), and the collection hold is determined only under that paragraph rather than by unilateral characterization of a payment as disputed. Undisputed worker support and provisional make-whole protection continue, and the Board neither suspends trade benefits nor acts as a Chapter 31 complainant.</w:t>
      </w:r>
    </w:p>
    <w:p>
      <w:pPr>
        <w:pStyle w:val="Heading3"/>
      </w:pPr>
      <w:r>
        <w:t>(g) Mandatory Reporting on Training Outcomes</w:t>
      </w:r>
    </w:p>
    <w:p>
      <w:pPr>
        <w:pStyle w:val="Normal"/>
      </w:pPr>
      <w:r>
        <w:t>Each Party shall submit quarterly (not annual) reports to the Commission on:</w:t>
      </w:r>
    </w:p>
    <w:p>
      <w:pPr>
        <w:pStyle w:val="ListBullet"/>
        <w:numPr>
          <w:ilvl w:val="0"/>
          <w:numId w:val="1"/>
        </w:numPr>
      </w:pPr>
      <w:r/>
      <w:r>
        <w:t>Number of Affected Workers enrolled in training programs</w:t>
      </w:r>
    </w:p>
    <w:p>
      <w:pPr>
        <w:pStyle w:val="ListBullet"/>
      </w:pPr>
      <w:r>
        <w:t>Training completion rates and credential attainment</w:t>
      </w:r>
    </w:p>
    <w:p>
      <w:pPr>
        <w:pStyle w:val="ListBullet"/>
      </w:pPr>
      <w:r>
        <w:t>Employment outcomes (reemployment rate, wage recovery)</w:t>
      </w:r>
    </w:p>
    <w:p>
      <w:pPr>
        <w:pStyle w:val="ListBullet"/>
      </w:pPr>
      <w:r>
        <w:t>Demographic breakdown of trainees (age, gender, immigration status, ethnicity, disability status)</w:t>
      </w:r>
    </w:p>
    <w:p>
      <w:pPr>
        <w:pStyle w:val="ListBullet"/>
      </w:pPr>
      <w:r>
        <w:t>Cost per trainee and training quality metrics</w:t>
      </w:r>
    </w:p>
    <w:p>
      <w:pPr>
        <w:pStyle w:val="Normal"/>
      </w:pPr>
      <w:r>
        <w:t>Failure to submit timely reports shall trigger a written compliance notice and a mandatory administrative assessment payable to the Fund for each reporting period of continued non-compliance. The assessment shall be calibrated to the materiality and duration of the reporting failure and shall not reduce any worker or community benefit. If the missing report prevents calculation or delivery of benefits, the Party shall additionally make affected workers and communities whole for resulting delay or loss. Persistent or deliberate refusal after cure may be escalated under Article 23-B.11.</w:t>
      </w:r>
    </w:p>
    <w:p>
      <w:pPr>
        <w:pStyle w:val="Heading2"/>
      </w:pPr>
      <w:bookmarkStart w:id="900773" w:name="_Toc300000772"/>
      <w:r>
        <w:t>Article 23-B.5: Mandatory Portable Benefits and Cross-Border Social Protection</w:t>
      </w:r>
      <w:bookmarkEnd w:id="900773"/>
    </w:p>
    <w:p>
      <w:pPr>
        <w:pStyle w:val="Normal"/>
      </w:pPr>
      <w:r>
        <w:t>The Parties recognize that labor mobility across North America is essential to economic integration and that workers must not lose social protection, pension accrual, or benefit entitlements when moving between the territories of the Parties.</w:t>
      </w:r>
    </w:p>
    <w:p>
      <w:pPr>
        <w:pStyle w:val="Heading3"/>
      </w:pPr>
      <w:r>
        <w:t>(a) Mandatory Portability of Core Benefits</w:t>
      </w:r>
    </w:p>
    <w:p>
      <w:pPr>
        <w:pStyle w:val="Normal"/>
      </w:pPr>
      <w:r>
        <w:t>Each Party shall, through legislative amendment if necessary, guarantee the unrestricted portability of the following benefits:</w:t>
      </w:r>
    </w:p>
    <w:p>
      <w:pPr>
        <w:pStyle w:val="Heading3"/>
      </w:pPr>
      <w:r>
        <w:t>(i) Pension and Retirement Benefits</w:t>
      </w:r>
    </w:p>
    <w:p>
      <w:pPr>
        <w:pStyle w:val="ListBullet"/>
        <w:numPr>
          <w:ilvl w:val="0"/>
          <w:numId w:val="1"/>
        </w:numPr>
      </w:pPr>
      <w:r/>
      <w:r>
        <w:t>All accrued pension benefits from defined-contribution and defined-benefit plans shall be fully transferable between qualified plans in the territories of the Parties</w:t>
      </w:r>
    </w:p>
    <w:p>
      <w:pPr>
        <w:pStyle w:val="ListBullet"/>
      </w:pPr>
      <w:r>
        <w:t>No fee, penalty, or actuarial reduction shall be applied to transfers</w:t>
      </w:r>
    </w:p>
    <w:p>
      <w:pPr>
        <w:pStyle w:val="ListBullet"/>
      </w:pPr>
      <w:r>
        <w:t>A worker's pension accrual period in one Party shall count toward eligibility and benefit calculations in another Party</w:t>
      </w:r>
    </w:p>
    <w:p>
      <w:pPr>
        <w:pStyle w:val="ListBullet"/>
      </w:pPr>
      <w:r>
        <w:t>Minimum vesting period across all Plans: 3 years (or less, at the plan's choice)</w:t>
      </w:r>
    </w:p>
    <w:p>
      <w:pPr>
        <w:pStyle w:val="Normal"/>
      </w:pPr>
      <w:r>
        <w:t>(ii) Health and Medical Benefits</w:t>
      </w:r>
    </w:p>
    <w:p>
      <w:pPr>
        <w:pStyle w:val="ListBullet"/>
        <w:numPr>
          <w:ilvl w:val="0"/>
          <w:numId w:val="1"/>
        </w:numPr>
      </w:pPr>
      <w:r/>
      <w:r>
        <w:t>A worker shall maintain continuous health coverage when transitioning between Parties' territories</w:t>
      </w:r>
    </w:p>
    <w:p>
      <w:pPr>
        <w:pStyle w:val="ListBullet"/>
      </w:pPr>
      <w:r>
        <w:t>No waiting period for pre-existing conditions</w:t>
      </w:r>
    </w:p>
    <w:p>
      <w:pPr>
        <w:pStyle w:val="ListBullet"/>
      </w:pPr>
      <w:r>
        <w:t>Health benefit information and coverage portability documents must be provided in the worker's language of choice</w:t>
      </w:r>
    </w:p>
    <w:p>
      <w:pPr>
        <w:pStyle w:val="Normal"/>
      </w:pPr>
      <w:r>
        <w:t>(iii) Unemployment Insurance and Income-Support Benefits</w:t>
      </w:r>
    </w:p>
    <w:p>
      <w:pPr>
        <w:pStyle w:val="ListBullet"/>
        <w:numPr>
          <w:ilvl w:val="0"/>
          <w:numId w:val="1"/>
        </w:numPr>
      </w:pPr>
      <w:r/>
      <w:r>
        <w:t>Periods of contribution or unemployment in one Party count toward eligibility thresholds in another Party</w:t>
      </w:r>
    </w:p>
    <w:p>
      <w:pPr>
        <w:pStyle w:val="ListBullet"/>
      </w:pPr>
      <w:r>
        <w:t>Benefits earned in one Party are portable or honored when a worker moves to another Party</w:t>
      </w:r>
    </w:p>
    <w:p>
      <w:pPr>
        <w:pStyle w:val="ListBullet"/>
      </w:pPr>
      <w:r>
        <w:t>A worker's right to benefits is not forfeited by changing employment location or sector</w:t>
      </w:r>
    </w:p>
    <w:p>
      <w:pPr>
        <w:pStyle w:val="Normal"/>
      </w:pPr>
      <w:r>
        <w:t>(iv) Workers' Compensation and Occupational Injury Benefits</w:t>
      </w:r>
    </w:p>
    <w:p>
      <w:pPr>
        <w:pStyle w:val="ListBullet"/>
        <w:numPr>
          <w:ilvl w:val="0"/>
          <w:numId w:val="1"/>
        </w:numPr>
      </w:pPr>
      <w:r/>
      <w:r>
        <w:t>Coverage is continuous across Party territories</w:t>
      </w:r>
    </w:p>
    <w:p>
      <w:pPr>
        <w:pStyle w:val="ListBullet"/>
      </w:pPr>
      <w:r>
        <w:t>Awards, settlements, and ongoing payments for work-related injuries are honored by all Parties</w:t>
      </w:r>
    </w:p>
    <w:p>
      <w:pPr>
        <w:pStyle w:val="ListBullet"/>
      </w:pPr>
      <w:r>
        <w:t>A worker's injury history and rights to accommodation follow the worker across borders</w:t>
      </w:r>
    </w:p>
    <w:p>
      <w:pPr>
        <w:pStyle w:val="Heading3"/>
      </w:pPr>
      <w:r>
        <w:t>(v) Paid Leave Entitlements</w:t>
      </w:r>
    </w:p>
    <w:p>
      <w:pPr>
        <w:pStyle w:val="ListBullet"/>
        <w:numPr>
          <w:ilvl w:val="0"/>
          <w:numId w:val="1"/>
        </w:numPr>
      </w:pPr>
      <w:r/>
      <w:r>
        <w:t>Accrued sick leave, family leave, caregiving leave, and vacation time is portable</w:t>
      </w:r>
    </w:p>
    <w:p>
      <w:pPr>
        <w:pStyle w:val="ListBullet"/>
      </w:pPr>
      <w:r>
        <w:t>Unused leave balances are paid out or carried forward at the worker's election when moving between Parties</w:t>
      </w:r>
    </w:p>
    <w:p>
      <w:pPr>
        <w:pStyle w:val="Heading3"/>
      </w:pPr>
      <w:r>
        <w:t>(b) Trilateral Social Security Agreements (Binding Timeline)</w:t>
      </w:r>
    </w:p>
    <w:p>
      <w:pPr>
        <w:pStyle w:val="Normal"/>
      </w:pPr>
      <w:r>
        <w:t>(i) The Parties shall negotiate and conclude comprehensive bilateral or trilateral social security agreements consistent with OECD guidelines within 18 months of Article 23-B.5's entry into force.</w:t>
      </w:r>
    </w:p>
    <w:p>
      <w:pPr>
        <w:pStyle w:val="Normal"/>
      </w:pPr>
      <w:r>
        <w:t>(ii) Such agreements shall:</w:t>
      </w:r>
    </w:p>
    <w:p>
      <w:pPr>
        <w:pStyle w:val="ListBullet"/>
        <w:numPr>
          <w:ilvl w:val="0"/>
          <w:numId w:val="1"/>
        </w:numPr>
      </w:pPr>
      <w:r/>
      <w:r>
        <w:t>Ensure equal treatment of workers regardless of nationality</w:t>
      </w:r>
    </w:p>
    <w:p>
      <w:pPr>
        <w:pStyle w:val="ListBullet"/>
      </w:pPr>
      <w:r>
        <w:t>Guarantee accrued benefit rights</w:t>
      </w:r>
    </w:p>
    <w:p>
      <w:pPr>
        <w:pStyle w:val="ListBullet"/>
      </w:pPr>
      <w:r>
        <w:t>Establish totalization (period accumulation) rules</w:t>
      </w:r>
    </w:p>
    <w:p>
      <w:pPr>
        <w:pStyle w:val="ListBullet"/>
      </w:pPr>
      <w:r>
        <w:t>Facilitate labor mobility</w:t>
      </w:r>
    </w:p>
    <w:p>
      <w:pPr>
        <w:pStyle w:val="ListBullet"/>
      </w:pPr>
      <w:r>
        <w:t>Specify coordination of benefits when workers draw from multiple systems</w:t>
      </w:r>
    </w:p>
    <w:p>
      <w:pPr>
        <w:pStyle w:val="Normal"/>
      </w:pPr>
      <w:r>
        <w:t>(iii) If negotiations are not concluded within 18 months, the Commission shall establish a mandatory arbitration process with 90-day timelines to resolve disputes.</w:t>
      </w:r>
    </w:p>
    <w:p>
      <w:pPr>
        <w:pStyle w:val="Heading3"/>
      </w:pPr>
      <w:r>
        <w:t>(c) Interim Mandatory Steps (Effective Immediately Upon 23-B.5 Entry into Force)</w:t>
      </w:r>
    </w:p>
    <w:p>
      <w:pPr>
        <w:pStyle w:val="Normal"/>
      </w:pPr>
      <w:r>
        <w:t>Pending conclusion of social security agreements, each Party SHALL:</w:t>
      </w:r>
    </w:p>
    <w:p>
      <w:pPr>
        <w:pStyle w:val="Normal"/>
      </w:pPr>
      <w:r>
        <w:t>(i) Permit the transfer of pension and retirement account balances between qualified plans in the territories of the Parties without any penalty, fee, or tax consequence. Transfers must be completed within 30 days of request.</w:t>
      </w:r>
    </w:p>
    <w:p>
      <w:pPr>
        <w:pStyle w:val="Normal"/>
      </w:pPr>
      <w:r>
        <w:t>(ii) Recognize periods of employment and contribution in another Party for purposes of eligibility for social benefits (e.g., unemployment, disability, retirement). Minimum credit: 1 month worked in another Party = 1 month credit toward eligibility.</w:t>
      </w:r>
    </w:p>
    <w:p>
      <w:pPr>
        <w:pStyle w:val="Normal"/>
      </w:pPr>
      <w:r>
        <w:t>(iii) Provide workers, in writing and in their language of choice, with:</w:t>
      </w:r>
    </w:p>
    <w:p>
      <w:pPr>
        <w:pStyle w:val="ListBullet"/>
        <w:numPr>
          <w:ilvl w:val="0"/>
          <w:numId w:val="1"/>
        </w:numPr>
      </w:pPr>
      <w:r/>
      <w:r>
        <w:t>A comprehensive benefits statement upon request</w:t>
      </w:r>
    </w:p>
    <w:p>
      <w:pPr>
        <w:pStyle w:val="ListBullet"/>
      </w:pPr>
      <w:r>
        <w:t>Explanation of portability options</w:t>
      </w:r>
    </w:p>
    <w:p>
      <w:pPr>
        <w:pStyle w:val="ListBullet"/>
      </w:pPr>
      <w:r>
        <w:t>Contacts for benefits questions and assistance</w:t>
      </w:r>
    </w:p>
    <w:p>
      <w:pPr>
        <w:pStyle w:val="ListBullet"/>
      </w:pPr>
      <w:r>
        <w:t>A 30-day period to arrange transfers before changing residence</w:t>
      </w:r>
    </w:p>
    <w:p>
      <w:pPr>
        <w:pStyle w:val="Normal"/>
      </w:pPr>
      <w:r>
        <w:t>(iv) Encourage and permit employers to offer portable benefit options, including:</w:t>
      </w:r>
    </w:p>
    <w:p>
      <w:pPr>
        <w:pStyle w:val="ListBullet"/>
        <w:numPr>
          <w:ilvl w:val="0"/>
          <w:numId w:val="1"/>
        </w:numPr>
      </w:pPr>
      <w:r/>
      <w:r>
        <w:t>Multi-employer pension plans operating across Party territories</w:t>
      </w:r>
    </w:p>
    <w:p>
      <w:pPr>
        <w:pStyle w:val="ListBullet"/>
      </w:pPr>
      <w:r>
        <w:t>Individual savings accounts and portable health savings arrangements</w:t>
      </w:r>
    </w:p>
    <w:p>
      <w:pPr>
        <w:pStyle w:val="ListBullet"/>
      </w:pPr>
      <w:r>
        <w:t>Catastrophic health insurance with guaranteed renewal across Parties</w:t>
      </w:r>
    </w:p>
    <w:p>
      <w:pPr>
        <w:pStyle w:val="Heading3"/>
      </w:pPr>
      <w:r>
        <w:t>(d) North American Pension Registry (New Administrative Mechanism)</w:t>
      </w:r>
    </w:p>
    <w:p>
      <w:pPr>
        <w:pStyle w:val="Normal"/>
      </w:pPr>
      <w:r>
        <w:t>(i) The Commission shall establish a North American Pension Registry: a centralized digital database, to track workers' pension accrual and entitlements across the Parties.</w:t>
      </w:r>
    </w:p>
    <w:p>
      <w:pPr>
        <w:pStyle w:val="Normal"/>
      </w:pPr>
      <w:r>
        <w:t>(ii) Participation by private and public pension plans is mandatory (with a 12-month transition period). Plans covering &gt;50 workers must enroll immediately.</w:t>
      </w:r>
    </w:p>
    <w:p>
      <w:pPr>
        <w:pStyle w:val="Normal"/>
      </w:pPr>
      <w:r>
        <w:t>(iii) The Registry shall:</w:t>
      </w:r>
    </w:p>
    <w:p>
      <w:pPr>
        <w:pStyle w:val="ListBullet"/>
        <w:numPr>
          <w:ilvl w:val="0"/>
          <w:numId w:val="1"/>
        </w:numPr>
      </w:pPr>
      <w:r/>
      <w:r>
        <w:t>Track individual worker pension accounts and accrual across borders</w:t>
      </w:r>
    </w:p>
    <w:p>
      <w:pPr>
        <w:pStyle w:val="ListBullet"/>
      </w:pPr>
      <w:r>
        <w:t>Prevent duplicate contributions or benefit loss due to transfer</w:t>
      </w:r>
    </w:p>
    <w:p>
      <w:pPr>
        <w:pStyle w:val="ListBullet"/>
      </w:pPr>
      <w:r>
        <w:t>Facilitate vesting and benefit distribution</w:t>
      </w:r>
    </w:p>
    <w:p>
      <w:pPr>
        <w:pStyle w:val="ListBullet"/>
      </w:pPr>
      <w:r>
        <w:t>Be accessible to workers in real time</w:t>
      </w:r>
    </w:p>
    <w:p>
      <w:pPr>
        <w:pStyle w:val="Normal"/>
      </w:pPr>
      <w:r>
        <w:t>(iv) Registry operation is funded by the Commission at $10 million USD annually.</w:t>
      </w:r>
    </w:p>
    <w:p>
      <w:pPr>
        <w:pStyle w:val="Heading3"/>
      </w:pPr>
      <w:r>
        <w:t>(e) Mandatory Amendment of Domestic Law</w:t>
      </w:r>
    </w:p>
    <w:p>
      <w:pPr>
        <w:pStyle w:val="Normal"/>
      </w:pPr>
      <w:r>
        <w:t>Each Party commits, within 24 months, to amend its domestic legal framework (including pension law, immigration law, unemployment insurance law, and health law)where constitutionally available, or to adopt a demonstrably equivalent lawful mechanism under Article 23-B.10(c), to eliminate barriers to benefit portability without reducing any substantive entitlement in this Chapter. If a Party's law prohibits portability, the Party shall:</w:t>
      </w:r>
    </w:p>
    <w:p>
      <w:pPr>
        <w:pStyle w:val="Normal"/>
      </w:pPr>
      <w:r>
        <w:t>(i) Notify the Commission of the specific legal barrier within 6 months</w:t>
        <w:br/>
        <w:t>(ii) Submit a legislative proposal for amendment within 12 months</w:t>
        <w:br/>
        <w:t>(iii) Enact the amendment within 24 months or, where that prescribed legislative method is constitutionally unavailable, place an equivalent lawful mechanism into full effect within the same period</w:t>
      </w:r>
    </w:p>
    <w:p>
      <w:pPr>
        <w:pStyle w:val="Normal"/>
      </w:pPr>
      <w:r>
        <w:t>Failure to deliver the required substantive portability protection within the applicable deadline shall trigger:</w:t>
      </w:r>
    </w:p>
    <w:p>
      <w:pPr>
        <w:pStyle w:val="ListBullet"/>
      </w:pPr>
      <w:r>
        <w:t>A mandatory make-whole obligation for workers who incur benefit loss, tax cost, delay, or administrative expense because portability was not provided</w:t>
      </w:r>
    </w:p>
    <w:p>
      <w:pPr>
        <w:pStyle w:val="ListBullet"/>
      </w:pPr>
      <w:r>
        <w:t>An additional compliance contribution to the Fund, assessed annually until the substantive protection is delivered</w:t>
      </w:r>
    </w:p>
    <w:p>
      <w:pPr>
        <w:pStyle w:val="ListBullet"/>
      </w:pPr>
      <w:r>
        <w:t>Escalation to dispute settlement under Chapter 31 for persistent or deliberate non-complianceA Party may satisfy the substantive obligation through an equivalent mechanism under Article 23-B.10(c) where the prescribed legislative method is constitutionally unavailable; workers shall not bear the cost or delay of that substitution.</w:t>
      </w:r>
    </w:p>
    <w:p>
      <w:pPr>
        <w:pStyle w:val="Heading3"/>
      </w:pPr>
      <w:r>
        <w:t>(f) Biennial Reporting</w:t>
      </w:r>
    </w:p>
    <w:p>
      <w:pPr>
        <w:pStyle w:val="Normal"/>
      </w:pPr>
      <w:r>
        <w:t>The Parties shall report to the Commission biennially (every 2 years, not "biennially" in the aspirational sense) on:</w:t>
      </w:r>
    </w:p>
    <w:p>
      <w:pPr>
        <w:pStyle w:val="ListBullet"/>
        <w:numPr>
          <w:ilvl w:val="0"/>
          <w:numId w:val="1"/>
        </w:numPr>
      </w:pPr>
      <w:r/>
      <w:r>
        <w:t>Number of workers utilizing portable benefit provisions</w:t>
      </w:r>
    </w:p>
    <w:p>
      <w:pPr>
        <w:pStyle w:val="ListBullet"/>
      </w:pPr>
      <w:r>
        <w:t>Benefit transfers completed and amounts involved</w:t>
      </w:r>
    </w:p>
    <w:p>
      <w:pPr>
        <w:pStyle w:val="ListBullet"/>
      </w:pPr>
      <w:r>
        <w:t>Barriers encountered and steps taken to resolve them</w:t>
      </w:r>
    </w:p>
    <w:p>
      <w:pPr>
        <w:pStyle w:val="ListBullet"/>
      </w:pPr>
      <w:r>
        <w:t>Progress toward social security agreements</w:t>
      </w:r>
    </w:p>
    <w:p>
      <w:pPr>
        <w:pStyle w:val="ListBullet"/>
      </w:pPr>
      <w:r>
        <w:t>Amendments to domestic law enacted</w:t>
      </w:r>
    </w:p>
    <w:p>
      <w:pPr>
        <w:pStyle w:val="Heading2"/>
      </w:pPr>
      <w:bookmarkStart w:id="900774" w:name="_Toc300000773"/>
      <w:r>
        <w:t>Article 23-B.6: Mandatory Community Resilience and Economic Diversification</w:t>
      </w:r>
      <w:bookmarkEnd w:id="900774"/>
    </w:p>
    <w:p>
      <w:pPr>
        <w:pStyle w:val="Normal"/>
      </w:pPr>
      <w:r>
        <w:t>The Parties recognize that Affected Communities require targeted, proactive, predictable support to diversify their economic bases, attract new investment, and maintain social cohesion during transitions.</w:t>
      </w:r>
    </w:p>
    <w:p>
      <w:pPr>
        <w:pStyle w:val="Heading3"/>
      </w:pPr>
      <w:r>
        <w:t>(a) Mandatory Community Support Programs</w:t>
      </w:r>
    </w:p>
    <w:p>
      <w:pPr>
        <w:pStyle w:val="Normal"/>
      </w:pPr>
      <w:r>
        <w:t>Each Party shall maintain or establish, and continuously fund, comprehensive programs supporting Affected Communities. For expenditures financed from the North American Just Transition Fund, the percentage allocations in subparagraphs (i) through (vii) below apply within the Community Economic Diversification and Infrastructure allocation established by Article 23-B.7(c)(iii), and not to the Fund as a whole. Domestic expenditures made independently of the Fund may use the same allocation structure but are not counted toward the Fund-wide percentages in Article 23-B.7(c). The Fund Board shall report both the Fund-wide allocation under Article 23-B.7(c) and the internal community-allocation percentages under this Article so that compliance with each tier can be audited independently.</w:t>
      </w:r>
    </w:p>
    <w:p>
      <w:pPr>
        <w:pStyle w:val="Heading3"/>
      </w:pPr>
      <w:r>
        <w:t>(i) Infrastructure Investment: Minimum 20% of the Article 23-B.7(c)(iii) community allocation</w:t>
      </w:r>
    </w:p>
    <w:p>
      <w:pPr>
        <w:pStyle w:val="ListBullet"/>
        <w:numPr>
          <w:ilvl w:val="0"/>
          <w:numId w:val="1"/>
        </w:numPr>
      </w:pPr>
      <w:r/>
      <w:r>
        <w:t>Broadband and telecommunications infrastructure in rural and remote communities</w:t>
      </w:r>
    </w:p>
    <w:p>
      <w:pPr>
        <w:pStyle w:val="ListBullet"/>
      </w:pPr>
      <w:r>
        <w:t>Transportation infrastructure (roads, rail, transit) supporting economic diversification</w:t>
      </w:r>
    </w:p>
    <w:p>
      <w:pPr>
        <w:pStyle w:val="ListBullet"/>
      </w:pPr>
      <w:r>
        <w:t>Water, sewer, and energy infrastructure</w:t>
      </w:r>
    </w:p>
    <w:p>
      <w:pPr>
        <w:pStyle w:val="ListBullet"/>
      </w:pPr>
      <w:r>
        <w:t>Public facility upgrades (schools, hospitals, community centers)</w:t>
      </w:r>
    </w:p>
    <w:p>
      <w:pPr>
        <w:pStyle w:val="Normal"/>
      </w:pPr>
      <w:r>
        <w:t>(ii) Business Development and Entrepreneurship: Minimum 15% of the Article 23-B.7(c)(iii) community allocation</w:t>
      </w:r>
    </w:p>
    <w:p>
      <w:pPr>
        <w:pStyle w:val="ListBullet"/>
        <w:numPr>
          <w:ilvl w:val="0"/>
          <w:numId w:val="1"/>
        </w:numPr>
      </w:pPr>
      <w:r/>
      <w:r>
        <w:t>Small business startup grants and loans at favorable terms</w:t>
      </w:r>
    </w:p>
    <w:p>
      <w:pPr>
        <w:pStyle w:val="ListBullet"/>
      </w:pPr>
      <w:r>
        <w:t>Seed capital for cooperatives and worker-ownership enterprises</w:t>
      </w:r>
    </w:p>
    <w:p>
      <w:pPr>
        <w:pStyle w:val="ListBullet"/>
      </w:pPr>
      <w:r>
        <w:t>Business incubation and technical assistance programs</w:t>
      </w:r>
    </w:p>
    <w:p>
      <w:pPr>
        <w:pStyle w:val="ListBullet"/>
      </w:pPr>
      <w:r>
        <w:t>Access to markets and procurement for small and medium enterprises (SMEs)</w:t>
      </w:r>
    </w:p>
    <w:p>
      <w:pPr>
        <w:pStyle w:val="Normal"/>
      </w:pPr>
      <w:r>
        <w:t>(iii) Economic Diversification Planning: Minimum 10% of the Article 23-B.7(c)(iii) community allocation</w:t>
      </w:r>
    </w:p>
    <w:p>
      <w:pPr>
        <w:pStyle w:val="ListBullet"/>
        <w:numPr>
          <w:ilvl w:val="0"/>
          <w:numId w:val="1"/>
        </w:numPr>
      </w:pPr>
      <w:r/>
      <w:r>
        <w:t>Technical assistance to develop community economic diversification strategies</w:t>
      </w:r>
    </w:p>
    <w:p>
      <w:pPr>
        <w:pStyle w:val="ListBullet"/>
      </w:pPr>
      <w:r>
        <w:t>Support for regional economic development organizations</w:t>
      </w:r>
    </w:p>
    <w:p>
      <w:pPr>
        <w:pStyle w:val="ListBullet"/>
      </w:pPr>
      <w:r>
        <w:t>Labor market research and workforce planning</w:t>
      </w:r>
    </w:p>
    <w:p>
      <w:pPr>
        <w:pStyle w:val="ListBullet"/>
      </w:pPr>
      <w:r>
        <w:t>Industry recruitment and workforce preparation</w:t>
      </w:r>
    </w:p>
    <w:p>
      <w:pPr>
        <w:pStyle w:val="Normal"/>
      </w:pPr>
      <w:r>
        <w:t>(iv) Education and Training Facilities: Minimum 10% of the Article 23-B.7(c)(iii) community allocation</w:t>
      </w:r>
    </w:p>
    <w:p>
      <w:pPr>
        <w:pStyle w:val="ListBullet"/>
        <w:numPr>
          <w:ilvl w:val="0"/>
          <w:numId w:val="1"/>
        </w:numPr>
      </w:pPr>
      <w:r/>
      <w:r>
        <w:t>Construction and operation of regional training centers</w:t>
      </w:r>
    </w:p>
    <w:p>
      <w:pPr>
        <w:pStyle w:val="ListBullet"/>
      </w:pPr>
      <w:r>
        <w:t>Equipment and technology for skills training</w:t>
      </w:r>
    </w:p>
    <w:p>
      <w:pPr>
        <w:pStyle w:val="ListBullet"/>
      </w:pPr>
      <w:r>
        <w:t>Support for community colleges and vocational institutions</w:t>
      </w:r>
    </w:p>
    <w:p>
      <w:pPr>
        <w:pStyle w:val="ListBullet"/>
      </w:pPr>
      <w:r>
        <w:t>Partnerships with employers for apprenticeships and work-integrated learning</w:t>
      </w:r>
    </w:p>
    <w:p>
      <w:pPr>
        <w:pStyle w:val="Normal"/>
      </w:pPr>
      <w:r>
        <w:t>(v) Environmental Remediation and Site Repurposing: Minimum 10% of the Article 23-B.7(c)(iii) community allocation</w:t>
      </w:r>
    </w:p>
    <w:p>
      <w:pPr>
        <w:pStyle w:val="ListBullet"/>
        <w:numPr>
          <w:ilvl w:val="0"/>
          <w:numId w:val="1"/>
        </w:numPr>
      </w:pPr>
      <w:r/>
      <w:r>
        <w:t>Assessment and remediation of contaminated industrial sites</w:t>
      </w:r>
    </w:p>
    <w:p>
      <w:pPr>
        <w:pStyle w:val="ListBullet"/>
      </w:pPr>
      <w:r>
        <w:t>Brownfield redevelopment</w:t>
      </w:r>
    </w:p>
    <w:p>
      <w:pPr>
        <w:pStyle w:val="ListBullet"/>
      </w:pPr>
      <w:r>
        <w:t>Repurposing of abandoned facilities for new economic uses</w:t>
      </w:r>
    </w:p>
    <w:p>
      <w:pPr>
        <w:pStyle w:val="ListBullet"/>
      </w:pPr>
      <w:r>
        <w:t>Environmental restoration of mining, forestry, and energy sites</w:t>
      </w:r>
    </w:p>
    <w:p>
      <w:pPr>
        <w:pStyle w:val="Normal"/>
      </w:pPr>
      <w:r>
        <w:t>(vi) Community Amenities and Social Cohesion: Minimum 5% of the Article 23-B.7(c)(iii) community allocation</w:t>
      </w:r>
    </w:p>
    <w:p>
      <w:pPr>
        <w:pStyle w:val="ListBullet"/>
        <w:numPr>
          <w:ilvl w:val="0"/>
          <w:numId w:val="1"/>
        </w:numPr>
      </w:pPr>
      <w:r/>
      <w:r>
        <w:t>Arts, culture, and recreational facilities</w:t>
      </w:r>
    </w:p>
    <w:p>
      <w:pPr>
        <w:pStyle w:val="ListBullet"/>
      </w:pPr>
      <w:r>
        <w:t>Community gathering spaces</w:t>
      </w:r>
    </w:p>
    <w:p>
      <w:pPr>
        <w:pStyle w:val="ListBullet"/>
      </w:pPr>
      <w:r>
        <w:t>Mental health and wellness programs</w:t>
      </w:r>
    </w:p>
    <w:p>
      <w:pPr>
        <w:pStyle w:val="ListBullet"/>
      </w:pPr>
      <w:r>
        <w:t>Social cohesion and community engagement initiatives</w:t>
      </w:r>
    </w:p>
    <w:p>
      <w:pPr>
        <w:pStyle w:val="Normal"/>
      </w:pPr>
      <w:r>
        <w:t>(vii) Administrative and Technical Assistance: Minimum 5% of the Article 23-B.7(c)(iii) community allocation</w:t>
      </w:r>
    </w:p>
    <w:p>
      <w:pPr>
        <w:pStyle w:val="Heading3"/>
      </w:pPr>
      <w:r>
        <w:t>(b) Comprehensive Community Engagement and Participatory Governance</w:t>
      </w:r>
    </w:p>
    <w:p>
      <w:pPr>
        <w:pStyle w:val="Normal"/>
      </w:pPr>
      <w:r>
        <w:t>Each Party shall ensure that Affected Communities have genuine voice and decision-making power in transition planning and Fund allocation. Specifically:</w:t>
      </w:r>
    </w:p>
    <w:p>
      <w:pPr>
        <w:pStyle w:val="Normal"/>
      </w:pPr>
      <w:r>
        <w:t>(i) Early Notification: When a community is identified as "Affected," the Party shall notify the community and the Commission within 30 days.</w:t>
      </w:r>
    </w:p>
    <w:p>
      <w:pPr>
        <w:pStyle w:val="Normal"/>
      </w:pPr>
      <w:r>
        <w:t>(ii) Community Steering Committees: Each Affected Community shall establish a Community Steering Committee composed of:</w:t>
      </w:r>
    </w:p>
    <w:p>
      <w:pPr>
        <w:pStyle w:val="ListBullet"/>
        <w:numPr>
          <w:ilvl w:val="0"/>
          <w:numId w:val="1"/>
        </w:numPr>
      </w:pPr>
      <w:r/>
      <w:r>
        <w:t>Elected local government representatives (50% of seats)</w:t>
      </w:r>
    </w:p>
    <w:p>
      <w:pPr>
        <w:pStyle w:val="ListBullet"/>
      </w:pPr>
      <w:r>
        <w:t>Affected workers and union representatives (25% of seats)</w:t>
      </w:r>
    </w:p>
    <w:p>
      <w:pPr>
        <w:pStyle w:val="ListBullet"/>
      </w:pPr>
      <w:r>
        <w:t>Small business and employer representatives (15% of seats)</w:t>
      </w:r>
    </w:p>
    <w:p>
      <w:pPr>
        <w:pStyle w:val="ListBullet"/>
      </w:pPr>
      <w:r>
        <w:t>Indigenous and civil society representatives (10% of seats)</w:t>
      </w:r>
    </w:p>
    <w:p>
      <w:pPr>
        <w:pStyle w:val="Normal"/>
      </w:pPr>
      <w:r>
        <w:t>(iii) Binding Consultation: Transition plans and Fund allocations require approval by the Community Steering Committee (supermajority: 66% affirmative vote). A Party cannot implement a community transition plan over Community Steering Committee objection.</w:t>
      </w:r>
    </w:p>
    <w:p>
      <w:pPr>
        <w:pStyle w:val="Normal"/>
      </w:pPr>
      <w:r>
        <w:t>(iv) Transparency and Accountability: All community transition plans, budgets, and expenditures shall be public, and communities shall have access to annual audits and performance reports.</w:t>
      </w:r>
    </w:p>
    <w:p>
      <w:pPr>
        <w:pStyle w:val="Heading3"/>
      </w:pPr>
      <w:r>
        <w:t>(c) Long-Term Community Investment Commitment</w:t>
      </w:r>
    </w:p>
    <w:p>
      <w:pPr>
        <w:pStyle w:val="Normal"/>
      </w:pPr>
      <w:r>
        <w:t>The commitment to Affected Communities is not time-limited. Fund support shall continue for the period necessary for meaningful economic diversification and recovery, typically 7–15 years depending on the severity of transition. A community cannot be "declared recovered" and defunded until:</w:t>
      </w:r>
    </w:p>
    <w:p>
      <w:pPr>
        <w:pStyle w:val="ListBullet"/>
        <w:numPr>
          <w:ilvl w:val="0"/>
          <w:numId w:val="1"/>
        </w:numPr>
      </w:pPr>
      <w:r/>
      <w:r>
        <w:t>Unemployment in the community has returned to or fallen below regional average</w:t>
      </w:r>
    </w:p>
    <w:p>
      <w:pPr>
        <w:pStyle w:val="ListBullet"/>
      </w:pPr>
      <w:r>
        <w:t>New employment has been created at wage levels comparable to displaced jobs</w:t>
      </w:r>
    </w:p>
    <w:p>
      <w:pPr>
        <w:pStyle w:val="ListBullet"/>
      </w:pPr>
      <w:r>
        <w:t>Tax base and public revenue have recovered to pre-transition levels</w:t>
      </w:r>
    </w:p>
    <w:p>
      <w:pPr>
        <w:pStyle w:val="Heading2"/>
      </w:pPr>
      <w:bookmarkStart w:id="900775" w:name="_Toc300000774"/>
      <w:r>
        <w:t>Article 23-B.7: North American Just Transition Fund (With Binding Financial Commitments)</w:t>
      </w:r>
      <w:bookmarkEnd w:id="900775"/>
    </w:p>
    <w:p>
      <w:pPr>
        <w:pStyle w:val="Heading3"/>
      </w:pPr>
      <w:r>
        <w:t>(a) Establishment and Capitalization</w:t>
      </w:r>
    </w:p>
    <w:p>
      <w:pPr>
        <w:pStyle w:val="Normal"/>
      </w:pPr>
      <w:r>
        <w:t>(i) The Parties hereby establish a North American Just Transition Fund ("Fund") as a multilateral trust account to provide financial support for the implementation of this Chapter.</w:t>
      </w:r>
    </w:p>
    <w:p>
      <w:pPr>
        <w:pStyle w:val="Normal"/>
      </w:pPr>
      <w:r>
        <w:t>(ii) MANDATORY FUND CAPITALIZATION:</w:t>
      </w:r>
    </w:p>
    <w:p>
      <w:pPr>
        <w:pStyle w:val="Normal"/>
      </w:pPr>
      <w:r>
        <w:t>The Fund shall be capitalized at a minimum of:</w:t>
      </w:r>
    </w:p>
    <w:p>
      <w:pPr>
        <w:pStyle w:val="Normal"/>
      </w:pPr>
      <w:r>
        <w:t>$5 BILLION USD ANNUALLY</w:t>
      </w:r>
    </w:p>
    <w:p>
      <w:pPr>
        <w:pStyle w:val="Normal"/>
      </w:pPr>
      <w:r>
        <w:t>Beginning January 1, 2027 (or the first full fiscal year after entry into force of this Chapter, whichever is later), and continuing indefinitely.</w:t>
      </w:r>
    </w:p>
    <w:p>
      <w:pPr>
        <w:pStyle w:val="Normal"/>
      </w:pPr>
      <w:r>
        <w:t>Annual contributions shall be allocated among the Parties as follows:</w:t>
      </w:r>
    </w:p>
    <w:p>
      <w:pPr>
        <w:pStyle w:val="ListBullet"/>
        <w:numPr>
          <w:ilvl w:val="0"/>
          <w:numId w:val="1"/>
        </w:numPr>
      </w:pPr>
      <w:r/>
      <w:r>
        <w:t>United States: 50% of annual Fund capitalization ($2.5 billion USD)</w:t>
      </w:r>
    </w:p>
    <w:p>
      <w:pPr>
        <w:pStyle w:val="ListBullet"/>
      </w:pPr>
      <w:r>
        <w:t>Canada: 30% of annual Fund capitalization ($1.5 billion USD)</w:t>
      </w:r>
    </w:p>
    <w:p>
      <w:pPr>
        <w:pStyle w:val="ListBullet"/>
      </w:pPr>
      <w:r>
        <w:t>Mexico: 20% of annual Fund capitalization ($1.0 billion USD)</w:t>
      </w:r>
    </w:p>
    <w:p>
      <w:pPr>
        <w:pStyle w:val="Normal"/>
      </w:pPr>
      <w:r>
        <w:t>(iii) Annual Adjustments:</w:t>
      </w:r>
    </w:p>
    <w:p>
      <w:pPr>
        <w:pStyle w:val="ListBullet"/>
        <w:numPr>
          <w:ilvl w:val="0"/>
          <w:numId w:val="1"/>
        </w:numPr>
      </w:pPr>
      <w:r/>
      <w:r>
        <w:t>Fund capitalization shall be indexed annually to inflation (base year = entry into force). Real value of the Fund shall never decrease.</w:t>
      </w:r>
    </w:p>
    <w:p>
      <w:pPr>
        <w:pStyle w:val="ListBullet"/>
      </w:pPr>
      <w:r>
        <w:t>Every 3 years, the Commission shall review Fund adequacy. If a Party demonstrates that committed transition spending exceeds available Fund resources, all Parties shall increase Fund capitalization proportionally.</w:t>
      </w:r>
    </w:p>
    <w:p>
      <w:pPr>
        <w:pStyle w:val="Normal"/>
      </w:pPr>
      <w:r>
        <w:t>(iv) Non-Substitution:</w:t>
      </w:r>
    </w:p>
    <w:p>
      <w:pPr>
        <w:pStyle w:val="Normal"/>
      </w:pPr>
      <w:r>
        <w:t>Fund contributions are in addition to each Party's domestic worker income support and retraining budgets (Article 23-B.3–4). A Party cannot reduce its domestic programs in order to meet Fund contribution obligations.</w:t>
      </w:r>
    </w:p>
    <w:p>
      <w:pPr>
        <w:pStyle w:val="Heading3"/>
      </w:pPr>
      <w:r>
        <w:t>(v) Collection Mechanism:</w:t>
      </w:r>
    </w:p>
    <w:p>
      <w:pPr>
        <w:pStyle w:val="Normal"/>
      </w:pPr>
      <w:r>
        <w:t>Each Party shall appropriate and transfer funds to the Commission within 30 days of the start of each fiscal year. Failure to remit timely contributions shall trigger:</w:t>
      </w:r>
    </w:p>
    <w:p>
      <w:pPr>
        <w:pStyle w:val="ListBullet"/>
        <w:numPr>
          <w:ilvl w:val="0"/>
          <w:numId w:val="1"/>
        </w:numPr>
      </w:pPr>
      <w:r/>
      <w:r>
        <w:t>First month late: Written notice from Commission</w:t>
      </w:r>
    </w:p>
    <w:p>
      <w:pPr>
        <w:pStyle w:val="ListBullet"/>
      </w:pPr>
      <w:r>
        <w:t>Second month late: 1% annual interest charge on the overdue amount</w:t>
      </w:r>
    </w:p>
    <w:p>
      <w:pPr>
        <w:pStyle w:val="ListBullet"/>
      </w:pPr>
      <w:r>
        <w:t>Third month late: Automatic additional Fund contribution equal to 10% of the overdue amount, without reducing the underlying contribution obligation or any worker or community benefit</w:t>
      </w:r>
    </w:p>
    <w:p>
      <w:pPr>
        <w:pStyle w:val="ListBullet"/>
      </w:pPr>
      <w:r>
        <w:t>Fourth month late: Escalation to Chapter 31 (Dispute Settlement); offending Party liable for liquidated damages equal to 2x the overdue amount, with collected amounts credited to the Fund and prioritized for workers and communities whose support was endangered by the delinquency</w:t>
      </w:r>
    </w:p>
    <w:p>
      <w:pPr>
        <w:pStyle w:val="Heading3"/>
      </w:pPr>
      <w:r>
        <w:t>(b) Fund Structure and Governance</w:t>
      </w:r>
    </w:p>
    <w:p>
      <w:pPr>
        <w:pStyle w:val="Normal"/>
      </w:pPr>
      <w:r>
        <w:t>(i) The Fund shall be administered by a North American Just Transition Fund Board ("Fund Board"), composed of:</w:t>
      </w:r>
    </w:p>
    <w:p>
      <w:pPr>
        <w:pStyle w:val="ListBullet"/>
        <w:numPr>
          <w:ilvl w:val="0"/>
          <w:numId w:val="1"/>
        </w:numPr>
      </w:pPr>
      <w:r/>
      <w:r>
        <w:t>Three government representatives (one per Party, with voting power)</w:t>
      </w:r>
    </w:p>
    <w:p>
      <w:pPr>
        <w:pStyle w:val="ListBullet"/>
      </w:pPr>
      <w:r>
        <w:t>Three worker/union representatives (with full voting power)</w:t>
      </w:r>
    </w:p>
    <w:p>
      <w:pPr>
        <w:pStyle w:val="ListBullet"/>
      </w:pPr>
      <w:r>
        <w:t>Three employer/business representatives (with full voting power)</w:t>
      </w:r>
    </w:p>
    <w:p>
      <w:pPr>
        <w:pStyle w:val="ListBullet"/>
      </w:pPr>
      <w:r>
        <w:t>One representative from civil society/community organizations (advisory capacity)</w:t>
      </w:r>
    </w:p>
    <w:p>
      <w:pPr>
        <w:pStyle w:val="ListBullet"/>
      </w:pPr>
      <w:r>
        <w:t>Fund Board Chair: Elected by majority vote; Chair rotates every 2 years among representatives</w:t>
      </w:r>
    </w:p>
    <w:p>
      <w:pPr>
        <w:pStyle w:val="Normal"/>
      </w:pPr>
      <w:r>
        <w:t>(ii) The Fund Board shall:</w:t>
      </w:r>
    </w:p>
    <w:p>
      <w:pPr>
        <w:pStyle w:val="ListBullet"/>
        <w:numPr>
          <w:ilvl w:val="0"/>
          <w:numId w:val="1"/>
        </w:numPr>
      </w:pPr>
      <w:r/>
      <w:r>
        <w:t>Establish criteria and procedures for Fund allocations</w:t>
      </w:r>
    </w:p>
    <w:p>
      <w:pPr>
        <w:pStyle w:val="ListBullet"/>
      </w:pPr>
      <w:r>
        <w:t>Review and approve Fund projects and programs</w:t>
      </w:r>
    </w:p>
    <w:p>
      <w:pPr>
        <w:pStyle w:val="ListBullet"/>
      </w:pPr>
      <w:r>
        <w:t>Monitor and evaluate the effectiveness of Fund-supported activities</w:t>
      </w:r>
    </w:p>
    <w:p>
      <w:pPr>
        <w:pStyle w:val="ListBullet"/>
      </w:pPr>
      <w:r>
        <w:t>Report to the Commission quarterly (not annually)</w:t>
      </w:r>
    </w:p>
    <w:p>
      <w:pPr>
        <w:pStyle w:val="ListBullet"/>
      </w:pPr>
      <w:r>
        <w:t>Ensure transparency and accountability in Fund operations</w:t>
      </w:r>
    </w:p>
    <w:p>
      <w:pPr>
        <w:pStyle w:val="ListBullet"/>
      </w:pPr>
      <w:r>
        <w:t>Make binding allocation decisions by qualified majority of six of the nine voting members</w:t>
      </w:r>
    </w:p>
    <w:p>
      <w:pPr>
        <w:pStyle w:val="Normal"/>
        <w:spacing w:before="0" w:after="0"/>
        <w:contextualSpacing w:val="0"/>
      </w:pPr>
      <w:r>
        <w:t>(iii) FUND BOARD APPEAL DECIDERS. A Party or other stakeholder may appeal a Fund Board decision to the Commission within thirty days after receiving it by identifying the decision, affected interest, alleged violation of this Chapter, and supporting record, and a Party appeal follows Article 23-B.11(g). For a stakeholder appeal, the two Commission representatives other than the representative of a Party whose own contribution or compliance is challenged decide jointly within sixty days after Secretariat receipt, with that Party heard but not voting, while all three representatives decide by consensus where no Party’s own contribution or compliance is challenged or more than one Party is directly challenged. The Secretariat serves the appeal on the Board and Parties, obtains the record, and the deciding representatives hear the appellant and give a reasoned decision on admissibility and the alleged violation, with failure to agree or decide by day sixty constituting denial without prejudice to a Party’s independently available Article 23-B.11 proceedings. A stakeholder appeal creates no automatic collection hold or private Chapter 31 standing, and its denial neither extinguishes vested worker benefits nor prevents a Party from initiating its own timely review under Article 23-B.11(g).</w:t>
      </w:r>
    </w:p>
    <w:p>
      <w:pPr>
        <w:spacing w:before="0" w:after="0"/>
        <w:contextualSpacing w:val="0"/>
      </w:pPr>
    </w:p>
    <w:p>
      <w:pPr>
        <w:pStyle w:val="Normal"/>
      </w:pPr>
      <w:r>
        <w:t>(iv) FUND AND COMMUNITY DECISION INTERFACE. Fund allocation and project decisions require six affirmative votes of the nine voting Fund Board members, while election of the rotating chair alone retains the majority rule in subparagraph (i). Community-specific plans additionally require the sixty-six-percent affirmative Community Steering Committee vote in Article 23-B.6(b)(iii), and neither body’s approval substitutes for the other. If either approval fails, the Fund Board gives reasons within ten days and facilitates a revised proposal and a further community vote within thirty days, without imposing a rejected plan or diverting an already vested worker benefit. Pending agreement, existing approved programs and individual worker entitlements continue, and a Party may contest an alleged failure to perform a treaty duty under Article 23-B.11 rather than treating deadlock as authority to override community consent.</w:t>
      </w:r>
    </w:p>
    <w:p>
      <w:pPr>
        <w:pStyle w:val="Heading3"/>
      </w:pPr>
      <w:r>
        <w:t>(c) Fund Allocation and Use</w:t>
      </w:r>
    </w:p>
    <w:p>
      <w:pPr>
        <w:pStyle w:val="Normal"/>
      </w:pPr>
      <w:r>
        <w:t>The Fund shall support the following Fund-wide categories. These percentages are the controlling first-tier allocation of total annual Fund expenditures. The community-program percentages in Article 23-B.6(a) are second-tier allocations applied only within the amount assigned under subparagraph (iii) below and shall not be added independently to these Fund-wide percentages. No accounting treatment may count the same expenditure toward two first-tier categories merely to satisfy a percentage requirement.</w:t>
      </w:r>
    </w:p>
    <w:p>
      <w:pPr>
        <w:pStyle w:val="Heading3"/>
      </w:pPr>
      <w:r>
        <w:t>(i) Worker Income Support and Wage Insurance Programs: Minimum 40% of annual Fund allocation</w:t>
      </w:r>
    </w:p>
    <w:p>
      <w:pPr>
        <w:pStyle w:val="Normal"/>
      </w:pPr>
      <w:r>
        <w:t>(ii) Worker Retraining, Upskilling, and Skills Development: Minimum 25% of annual Fund allocation</w:t>
      </w:r>
    </w:p>
    <w:p>
      <w:pPr>
        <w:pStyle w:val="Normal"/>
      </w:pPr>
      <w:r>
        <w:t>(iii) Community Economic Diversification and Infrastructure: Minimum 20% of annual Fund allocation</w:t>
      </w:r>
    </w:p>
    <w:p>
      <w:pPr>
        <w:pStyle w:val="Normal"/>
      </w:pPr>
      <w:r>
        <w:t>(iv) Research, Technical Assistance, and Capacity Building: Minimum 10% of annual Fund allocation</w:t>
      </w:r>
    </w:p>
    <w:p>
      <w:pPr>
        <w:pStyle w:val="Heading3"/>
      </w:pPr>
      <w:r>
        <w:t>(v) Administrative Operations of Fund Board and reporting: Maximum 5% of annual Fund allocation</w:t>
      </w:r>
    </w:p>
    <w:p>
      <w:pPr>
        <w:pStyle w:val="Normal"/>
      </w:pPr>
      <w:r>
        <w:t>(vi) Other activities consistent with this Chapter as approved by the Fund Board by qualified majority, financed only from the residual amount remaining after the minima in subparagraphs (i) through (iv) and the actual administrative expenditure under subparagraph (v) are satisfied</w:t>
      </w:r>
    </w:p>
    <w:p>
      <w:pPr>
        <w:pStyle w:val="Normal"/>
      </w:pPr>
      <w:r>
        <w:t>(vii) FUND ALLOCATION ACCOUNTING. The forty-percent vulnerable-group requirement in Article 23-B.4(d) is a cross-cutting beneficiary allocation within the first-tier categories, not an additional first-tier expenditure share. The Board classifies an expenditure once by its principal funded purpose, placing community training facilities and local planning assistance in Article 23-B.6(a)’s relevant subcategory and system-wide research or technical capacity in paragraph (c)(iv). The ninety-five-percent combined minimum leaves at most five percent for actual administrative costs and other approved activities together, and no decision exceeds the remaining amount or reduces a category minimum. Reports show both the single first-tier classification and any vulnerable-group benefit tag, with split costs allocated by documented attributable expense rather than double counting.</w:t>
      </w:r>
    </w:p>
    <w:p>
      <w:pPr>
        <w:pStyle w:val="Heading3"/>
      </w:pPr>
      <w:r>
        <w:t>(d) Fund Reporting and Transparency</w:t>
      </w:r>
    </w:p>
    <w:p>
      <w:pPr>
        <w:pStyle w:val="Normal"/>
      </w:pPr>
      <w:r>
        <w:t>(i) Quarterly Reports: The Fund Board shall submit detailed quarterly reports to the Commission detailing:</w:t>
      </w:r>
    </w:p>
    <w:p>
      <w:pPr>
        <w:pStyle w:val="ListBullet"/>
        <w:numPr>
          <w:ilvl w:val="0"/>
          <w:numId w:val="1"/>
        </w:numPr>
      </w:pPr>
      <w:r/>
      <w:r>
        <w:t>Total contributions and receipts</w:t>
      </w:r>
    </w:p>
    <w:p>
      <w:pPr>
        <w:pStyle w:val="ListBullet"/>
      </w:pPr>
      <w:r>
        <w:t>Allocations by category and Party</w:t>
      </w:r>
    </w:p>
    <w:p>
      <w:pPr>
        <w:pStyle w:val="ListBullet"/>
      </w:pPr>
      <w:r>
        <w:t>Number of beneficiary workers and affected communities</w:t>
      </w:r>
    </w:p>
    <w:p>
      <w:pPr>
        <w:pStyle w:val="ListBullet"/>
      </w:pPr>
      <w:r>
        <w:t>Expenditures and remaining balance</w:t>
      </w:r>
    </w:p>
    <w:p>
      <w:pPr>
        <w:pStyle w:val="ListBullet"/>
      </w:pPr>
      <w:r>
        <w:t>Performance metrics (employment outcomes, wage recovery, credential attainment, community recovery indicators)</w:t>
      </w:r>
    </w:p>
    <w:p>
      <w:pPr>
        <w:pStyle w:val="Normal"/>
      </w:pPr>
      <w:r>
        <w:t>(ii) Annual Audit: The Fund shall be independently audited annually. Audit results shall be public.</w:t>
      </w:r>
    </w:p>
    <w:p>
      <w:pPr>
        <w:pStyle w:val="Normal"/>
      </w:pPr>
      <w:r>
        <w:t>(iii) 3-Year Performance Review: Every 3 years, the Commission shall commission an independent evaluation of Fund effectiveness, including worker and community outcomes. Results shall be public, and the Commission shall make recommendations for improvement.</w:t>
      </w:r>
    </w:p>
    <w:p>
      <w:pPr>
        <w:pStyle w:val="Heading3"/>
      </w:pPr>
      <w:r>
        <w:t>(e) Supplementary Private Investment</w:t>
      </w:r>
    </w:p>
    <w:p>
      <w:pPr>
        <w:pStyle w:val="Normal"/>
      </w:pPr>
      <w:r>
        <w:t>In addition to the Fund, each Party may provide incentives for private sector investment in Affected Communities and worker transition programs, including:</w:t>
      </w:r>
    </w:p>
    <w:p>
      <w:pPr>
        <w:pStyle w:val="ListBullet"/>
        <w:numPr>
          <w:ilvl w:val="0"/>
          <w:numId w:val="1"/>
        </w:numPr>
      </w:pPr>
      <w:r/>
      <w:r>
        <w:t>Tax credits for employers hiring Affected Workers</w:t>
      </w:r>
    </w:p>
    <w:p>
      <w:pPr>
        <w:pStyle w:val="ListBullet"/>
      </w:pPr>
      <w:r>
        <w:t>Loan guarantees for businesses in Affected Communities</w:t>
      </w:r>
    </w:p>
    <w:p>
      <w:pPr>
        <w:pStyle w:val="ListBullet"/>
      </w:pPr>
      <w:r>
        <w:t>Grants or subsidies for environmental remediation or site redevelopment</w:t>
      </w:r>
    </w:p>
    <w:p>
      <w:pPr>
        <w:pStyle w:val="ListBullet"/>
      </w:pPr>
      <w:r>
        <w:t>Public-private partnerships for infrastructure and training</w:t>
      </w:r>
    </w:p>
    <w:p>
      <w:pPr>
        <w:pStyle w:val="Normal"/>
      </w:pPr>
      <w:r>
        <w:t>Such supplementary investments are encouraged but do not offset Fund contribution obligations.</w:t>
      </w:r>
    </w:p>
    <w:p>
      <w:pPr>
        <w:pStyle w:val="Heading2"/>
      </w:pPr>
      <w:bookmarkStart w:id="900776" w:name="_Toc300000775"/>
      <w:r>
        <w:t>Article 23-B.8: Mandatory Identification of Transition Sectors (Binding Process)</w:t>
      </w:r>
      <w:bookmarkEnd w:id="900776"/>
    </w:p>
    <w:p>
      <w:pPr>
        <w:pStyle w:val="Heading3"/>
      </w:pPr>
      <w:r>
        <w:t>(a) Commission Identification of Core Transition Sectors</w:t>
      </w:r>
    </w:p>
    <w:p>
      <w:pPr>
        <w:pStyle w:val="Normal"/>
      </w:pPr>
      <w:r>
        <w:t>All seven Core Transition Sectors listed below are designated by this Chapter from its entry into force, and the Commission records and publishes those designations within 12 months without making publication a condition of eligibility.</w:t>
      </w:r>
    </w:p>
    <w:p>
      <w:pPr>
        <w:pStyle w:val="Normal"/>
      </w:pPr>
      <w:r>
        <w:t>CORE TRANSITION SECTORS (MANDATORY):</w:t>
      </w:r>
    </w:p>
    <w:p>
      <w:pPr>
        <w:pStyle w:val="Normal"/>
      </w:pPr>
      <w:r>
        <w:t>1. Fossil Fuel Energy Production and Distribution (including oil, natural gas, coal generation, and related downstream operations)</w:t>
      </w:r>
    </w:p>
    <w:p>
      <w:pPr>
        <w:pStyle w:val="Normal"/>
      </w:pPr>
      <w:r>
        <w:t>2. Coal Mining (all types and grades)</w:t>
      </w:r>
    </w:p>
    <w:p>
      <w:pPr>
        <w:pStyle w:val="Normal"/>
      </w:pPr>
      <w:r>
        <w:t>3. Automotive Manufacturing (including assembly, parts, battery production, and related supply chains)</w:t>
      </w:r>
    </w:p>
    <w:p>
      <w:pPr>
        <w:pStyle w:val="Normal"/>
      </w:pPr>
      <w:r>
        <w:t>4. Steel and Aluminum Production (including mills, foundries, smelters, and recycling operations)</w:t>
      </w:r>
    </w:p>
    <w:p>
      <w:pPr>
        <w:pStyle w:val="Normal"/>
      </w:pPr>
      <w:r>
        <w:t>5. Heavy Industrial Manufacturing (including machinery, industrial equipment, chemicals, and petro-chemicals)</w:t>
      </w:r>
    </w:p>
    <w:p>
      <w:pPr>
        <w:pStyle w:val="Normal"/>
      </w:pPr>
      <w:r>
        <w:t>6. Forestry and Logging (including timber harvesting, processing, and related operations)</w:t>
      </w:r>
    </w:p>
    <w:p>
      <w:pPr>
        <w:pStyle w:val="Normal"/>
      </w:pPr>
      <w:r>
        <w:t>7. Agriculture and Food Processing (to the extent experiencing automated or supply-chain-driven transformation)</w:t>
      </w:r>
    </w:p>
    <w:p>
      <w:pPr>
        <w:pStyle w:val="Normal"/>
      </w:pPr>
      <w:r>
        <w:t>These designations are binding on all Parties. No Party may opt out of or refuse to recognize any Core Transition Sector.</w:t>
      </w:r>
    </w:p>
    <w:p>
      <w:pPr>
        <w:pStyle w:val="Heading3"/>
      </w:pPr>
      <w:r>
        <w:t>(b) Party-Specific Transition Sector Additions</w:t>
      </w:r>
    </w:p>
    <w:p>
      <w:pPr>
        <w:pStyle w:val="Normal"/>
      </w:pPr>
      <w:r>
        <w:t>Within 18 months of Article 23-B.8's entry into force and thereafter as a continuing power, each Party may designate additional sectors as "Transition Sectors" based on:</w:t>
      </w:r>
    </w:p>
    <w:p>
      <w:pPr>
        <w:pStyle w:val="ListBullet"/>
        <w:numPr>
          <w:ilvl w:val="0"/>
          <w:numId w:val="1"/>
        </w:numPr>
      </w:pPr>
      <w:r/>
      <w:r>
        <w:t>Projected employment loss &gt;5% within 5 years</w:t>
      </w:r>
    </w:p>
    <w:p>
      <w:pPr>
        <w:pStyle w:val="ListBullet"/>
      </w:pPr>
      <w:r>
        <w:t>Direct impact from this Agreement's implementation (e.g., new market access requiring restructuring)</w:t>
      </w:r>
    </w:p>
    <w:p>
      <w:pPr>
        <w:pStyle w:val="ListBullet"/>
      </w:pPr>
      <w:r>
        <w:t>High vulnerability of affected workers and communities</w:t>
      </w:r>
    </w:p>
    <w:p>
      <w:pPr>
        <w:pStyle w:val="ListBullet"/>
      </w:pPr>
      <w:r>
        <w:t>Input from workers, employers, and community organizations</w:t>
      </w:r>
    </w:p>
    <w:p>
      <w:pPr>
        <w:pStyle w:val="Normal"/>
      </w:pPr>
      <w:r>
        <w:t>Each Party's additions are binding on that Party and shall be honored by all Parties (i.e., workers from one Party's designated transition sector are eligible for support from all Parties if they transition into another Party's territory).</w:t>
      </w:r>
    </w:p>
    <w:p>
      <w:pPr>
        <w:pStyle w:val="Normal"/>
      </w:pPr>
      <w:r>
        <w:t>PARTY SECTOR DESIGNATION AND PORTABILITY. A Party’s additional-sector designation takes effect when that Party delivers to the Secretariat a published notice identifying the sector, the Article 23-B.8(b) criteria met, and its effective date. The Secretariat circulates and records the notice within two days without a Commission approval requirement, and the designation qualifies as a Transition Sector under Article 23-B.2. All Parties honor the resulting eligibility and portability under Article 23-B.3(h), while the designating Party’s notice identifies the workers and activities covered. A later designation does not delay core-sector benefits or extinguish entitlements that arose while a sector was designated.</w:t>
      </w:r>
    </w:p>
    <w:p>
      <w:pPr>
        <w:pStyle w:val="Heading3"/>
      </w:pPr>
      <w:r>
        <w:t>(c) Regular Review and Update</w:t>
      </w:r>
    </w:p>
    <w:p>
      <w:pPr>
        <w:pStyle w:val="Normal"/>
      </w:pPr>
      <w:r>
        <w:t>(i) Each Party shall review its list of Transition Sectors every 2 years (not 3 years, as in the draft).</w:t>
      </w:r>
    </w:p>
    <w:p>
      <w:pPr>
        <w:pStyle w:val="Normal"/>
      </w:pPr>
      <w:r>
        <w:t>(ii) If a Party proposes to remove a sector from its Transition Sector list, the Party must provide evidence to the Commission that:</w:t>
      </w:r>
    </w:p>
    <w:p>
      <w:pPr>
        <w:pStyle w:val="ListBullet"/>
        <w:numPr>
          <w:ilvl w:val="0"/>
          <w:numId w:val="1"/>
        </w:numPr>
      </w:pPr>
      <w:r/>
      <w:r>
        <w:t>Unemployment in that sector has recovered to or fallen below regional average</w:t>
      </w:r>
    </w:p>
    <w:p>
      <w:pPr>
        <w:pStyle w:val="ListBullet"/>
      </w:pPr>
      <w:r>
        <w:t>New employment has been created at wage levels comparable to displaced jobs</w:t>
      </w:r>
    </w:p>
    <w:p>
      <w:pPr>
        <w:pStyle w:val="ListBullet"/>
      </w:pPr>
      <w:r>
        <w:t>Tax base and public revenue in affected communities have recovered</w:t>
      </w:r>
    </w:p>
    <w:p>
      <w:pPr>
        <w:pStyle w:val="Normal"/>
      </w:pPr>
      <w:r>
        <w:t>(iii) Other Parties may challenge removal through the Commission. If challenged, the sector remains designated until the Commission makes a binding determination (60-day timeline).</w:t>
      </w:r>
    </w:p>
    <w:p>
      <w:pPr>
        <w:pStyle w:val="Heading3"/>
      </w:pPr>
      <w:r>
        <w:t>(d) Commission Consultation and Coordination</w:t>
      </w:r>
    </w:p>
    <w:p>
      <w:pPr>
        <w:pStyle w:val="Normal"/>
      </w:pPr>
      <w:r>
        <w:t>When one Party requests to add or remove a sector from its Transition Sector list, the Commission shall:</w:t>
      </w:r>
    </w:p>
    <w:p>
      <w:pPr>
        <w:pStyle w:val="Normal"/>
      </w:pPr>
      <w:r>
        <w:t>(i) Notify all other Parties within 10 days</w:t>
        <w:br/>
        <w:t>(ii) Invite cross-border affected workers and communities to submit comments (30-day comment period)</w:t>
        <w:br/>
        <w:t>(iii) Hold a Commission discussion within 45 days</w:t>
        <w:br/>
        <w:t>(iv) Issue a determination within 60 days of initial request</w:t>
      </w:r>
    </w:p>
    <w:p>
      <w:pPr>
        <w:pStyle w:val="Normal"/>
      </w:pPr>
      <w:r>
        <w:t>The Commission may require a Party to add a sector if the Commission determines that the sector meets the criteria in 23-B.8(b) and the affected workers are materially disadvantaged by non-designation.</w:t>
      </w:r>
    </w:p>
    <w:p>
      <w:pPr>
        <w:spacing w:after="240"/>
      </w:pPr>
      <w:r>
        <w:t>(e) EFFECT OF SECTOR DESIGNATION REVIEW. Paragraph (d)’s sixty-day Commission determination reviews an addition already effective on notice under paragraph (b), rather than authorizing or vetoing initial effectiveness, and a determination finding that the stated criteria are not met ends prospective designation from delivery of that reasoned determination. Accrued worker benefits and qualifying benefit periods that began before that delivery continue, and a dispute or review proceeds under Article 23-B.10(c)(vi) and Article 23-B.11 without retroactive recovery solely for an erroneous designation. The eighteen-month milestone in paragraph (b) marks initial identification and does not extinguish the continuing power to add a sector when the criteria are later met. An order requiring addition under paragraph (d) takes effect on delivery of the Commission determination, with Secretariat publication within two days and continuing portability under Article 23-B.3(h).</w:t>
      </w:r>
    </w:p>
    <w:p>
      <w:pPr>
        <w:pStyle w:val="Heading2"/>
      </w:pPr>
      <w:bookmarkStart w:id="900777" w:name="_Toc300000776"/>
      <w:r>
        <w:t>Article 23-B.9: Mandatory Monitoring and Reporting (Strengthened and Detailed)</w:t>
      </w:r>
      <w:bookmarkEnd w:id="900777"/>
    </w:p>
    <w:p>
      <w:pPr>
        <w:pStyle w:val="Heading3"/>
      </w:pPr>
      <w:r>
        <w:t>(a) Worker-Level Data Collection and Reporting</w:t>
      </w:r>
    </w:p>
    <w:p>
      <w:pPr>
        <w:pStyle w:val="Normal"/>
      </w:pPr>
      <w:r>
        <w:t>Each Party shall collect and maintain comprehensive data on:</w:t>
      </w:r>
    </w:p>
    <w:p>
      <w:pPr>
        <w:pStyle w:val="Heading3"/>
      </w:pPr>
      <w:r>
        <w:t>(i) Employment and Wage Trends in Transition Sectors:</w:t>
      </w:r>
    </w:p>
    <w:p>
      <w:pPr>
        <w:pStyle w:val="ListBullet"/>
        <w:numPr>
          <w:ilvl w:val="0"/>
          <w:numId w:val="1"/>
        </w:numPr>
      </w:pPr>
      <w:r/>
      <w:r>
        <w:t>Monthly employment levels and unemployment rates in Transition Sectors</w:t>
      </w:r>
    </w:p>
    <w:p>
      <w:pPr>
        <w:pStyle w:val="ListBullet"/>
      </w:pPr>
      <w:r>
        <w:t>Average wages and wage trends</w:t>
      </w:r>
    </w:p>
    <w:p>
      <w:pPr>
        <w:pStyle w:val="ListBullet"/>
      </w:pPr>
      <w:r>
        <w:t>Job displacement notices and plant closures</w:t>
      </w:r>
    </w:p>
    <w:p>
      <w:pPr>
        <w:pStyle w:val="ListBullet"/>
      </w:pPr>
      <w:r>
        <w:t>Separations by reason (layoff, voluntary departure, retirement)</w:t>
      </w:r>
    </w:p>
    <w:p>
      <w:pPr>
        <w:pStyle w:val="Normal"/>
      </w:pPr>
      <w:r>
        <w:t>(ii) Worker Income Support and Wage Insurance:</w:t>
      </w:r>
    </w:p>
    <w:p>
      <w:pPr>
        <w:pStyle w:val="ListBullet"/>
        <w:numPr>
          <w:ilvl w:val="0"/>
          <w:numId w:val="1"/>
        </w:numPr>
      </w:pPr>
      <w:r/>
      <w:r>
        <w:t>Number of Affected Workers applying for and receiving income support</w:t>
      </w:r>
    </w:p>
    <w:p>
      <w:pPr>
        <w:pStyle w:val="ListBullet"/>
      </w:pPr>
      <w:r>
        <w:t>Average benefit amount and duration</w:t>
      </w:r>
    </w:p>
    <w:p>
      <w:pPr>
        <w:pStyle w:val="ListBullet"/>
      </w:pPr>
      <w:r>
        <w:t>Demographic breakdown (age, gender, immigration status, race/ethnicity, disability status)</w:t>
      </w:r>
    </w:p>
    <w:p>
      <w:pPr>
        <w:pStyle w:val="ListBullet"/>
      </w:pPr>
      <w:r>
        <w:t>Rate of benefits exhaustion and reemployment timing</w:t>
      </w:r>
    </w:p>
    <w:p>
      <w:pPr>
        <w:pStyle w:val="Normal"/>
      </w:pPr>
      <w:r>
        <w:t>(iii) Retraining, Upskilling, and Skills Development:</w:t>
      </w:r>
    </w:p>
    <w:p>
      <w:pPr>
        <w:pStyle w:val="ListBullet"/>
        <w:numPr>
          <w:ilvl w:val="0"/>
          <w:numId w:val="1"/>
        </w:numPr>
      </w:pPr>
      <w:r/>
      <w:r>
        <w:t>Number of Affected Workers enrolled in training programs</w:t>
      </w:r>
    </w:p>
    <w:p>
      <w:pPr>
        <w:pStyle w:val="ListBullet"/>
      </w:pPr>
      <w:r>
        <w:t>Training program completion rates and credential attainment</w:t>
      </w:r>
    </w:p>
    <w:p>
      <w:pPr>
        <w:pStyle w:val="ListBullet"/>
      </w:pPr>
      <w:r>
        <w:t>Demographic breakdown of trainees</w:t>
      </w:r>
    </w:p>
    <w:p>
      <w:pPr>
        <w:pStyle w:val="ListBullet"/>
      </w:pPr>
      <w:r>
        <w:t>Cost per trainee and training quality metrics</w:t>
      </w:r>
    </w:p>
    <w:p>
      <w:pPr>
        <w:pStyle w:val="ListBullet"/>
      </w:pPr>
      <w:r>
        <w:t>Post-training employment outcomes (reemployment rate, wage recovery, credential utilization)</w:t>
      </w:r>
    </w:p>
    <w:p>
      <w:pPr>
        <w:pStyle w:val="Normal"/>
      </w:pPr>
      <w:r>
        <w:t>(iv) Benefit Portability and Cross-Border Mobility:</w:t>
      </w:r>
    </w:p>
    <w:p>
      <w:pPr>
        <w:pStyle w:val="ListBullet"/>
        <w:numPr>
          <w:ilvl w:val="0"/>
          <w:numId w:val="1"/>
        </w:numPr>
      </w:pPr>
      <w:r/>
      <w:r>
        <w:t>Number of workers utilizing portable benefit provisions</w:t>
      </w:r>
    </w:p>
    <w:p>
      <w:pPr>
        <w:pStyle w:val="ListBullet"/>
      </w:pPr>
      <w:r>
        <w:t>Pension transfers and amounts involved</w:t>
      </w:r>
    </w:p>
    <w:p>
      <w:pPr>
        <w:pStyle w:val="ListBullet"/>
      </w:pPr>
      <w:r>
        <w:t>Cross-border health coverage portability</w:t>
      </w:r>
    </w:p>
    <w:p>
      <w:pPr>
        <w:pStyle w:val="ListBullet"/>
      </w:pPr>
      <w:r>
        <w:t>Barriers encountered and resolution</w:t>
      </w:r>
    </w:p>
    <w:p>
      <w:pPr>
        <w:pStyle w:val="Heading3"/>
      </w:pPr>
      <w:r>
        <w:t>(b) Community-Level Data Collection</w:t>
      </w:r>
    </w:p>
    <w:p>
      <w:pPr>
        <w:pStyle w:val="Normal"/>
      </w:pPr>
      <w:r>
        <w:t>Each Party shall collect and maintain data on Affected Communities, including:</w:t>
      </w:r>
    </w:p>
    <w:p>
      <w:pPr>
        <w:pStyle w:val="Heading3"/>
      </w:pPr>
      <w:r>
        <w:t>(i) Economic Indicators:</w:t>
      </w:r>
    </w:p>
    <w:p>
      <w:pPr>
        <w:pStyle w:val="ListBullet"/>
        <w:numPr>
          <w:ilvl w:val="0"/>
          <w:numId w:val="1"/>
        </w:numPr>
      </w:pPr>
      <w:r/>
      <w:r>
        <w:t>Unemployment rate (overall and in transition sectors)</w:t>
      </w:r>
    </w:p>
    <w:p>
      <w:pPr>
        <w:pStyle w:val="ListBullet"/>
      </w:pPr>
      <w:r>
        <w:t>Employment by sector and wage levels</w:t>
      </w:r>
    </w:p>
    <w:p>
      <w:pPr>
        <w:pStyle w:val="ListBullet"/>
      </w:pPr>
      <w:r>
        <w:t>Tax base and public revenue</w:t>
      </w:r>
    </w:p>
    <w:p>
      <w:pPr>
        <w:pStyle w:val="ListBullet"/>
      </w:pPr>
      <w:r>
        <w:t>Business formation and closure rates</w:t>
      </w:r>
    </w:p>
    <w:p>
      <w:pPr>
        <w:pStyle w:val="ListBullet"/>
      </w:pPr>
      <w:r>
        <w:t>Wages and cost of living</w:t>
      </w:r>
    </w:p>
    <w:p>
      <w:pPr>
        <w:pStyle w:val="Normal"/>
      </w:pPr>
      <w:r>
        <w:t>(ii) Social Cohesion Indicators:</w:t>
      </w:r>
    </w:p>
    <w:p>
      <w:pPr>
        <w:pStyle w:val="ListBullet"/>
        <w:numPr>
          <w:ilvl w:val="0"/>
          <w:numId w:val="1"/>
        </w:numPr>
      </w:pPr>
      <w:r/>
      <w:r>
        <w:t>Population migration in/out of community</w:t>
      </w:r>
    </w:p>
    <w:p>
      <w:pPr>
        <w:pStyle w:val="ListBullet"/>
      </w:pPr>
      <w:r>
        <w:t>School enrollment and graduation rates</w:t>
      </w:r>
    </w:p>
    <w:p>
      <w:pPr>
        <w:pStyle w:val="ListBullet"/>
      </w:pPr>
      <w:r>
        <w:t>Public health metrics (mental health, substance abuse, suicide)</w:t>
      </w:r>
    </w:p>
    <w:p>
      <w:pPr>
        <w:pStyle w:val="ListBullet"/>
      </w:pPr>
      <w:r>
        <w:t>Crime and safety indicators</w:t>
      </w:r>
    </w:p>
    <w:p>
      <w:pPr>
        <w:pStyle w:val="ListBullet"/>
      </w:pPr>
      <w:r>
        <w:t>Community organization participation</w:t>
      </w:r>
    </w:p>
    <w:p>
      <w:pPr>
        <w:pStyle w:val="Normal"/>
      </w:pPr>
      <w:r>
        <w:t>(iii) Fund Allocation and Spending:</w:t>
      </w:r>
    </w:p>
    <w:p>
      <w:pPr>
        <w:pStyle w:val="ListBullet"/>
        <w:numPr>
          <w:ilvl w:val="0"/>
          <w:numId w:val="1"/>
        </w:numPr>
      </w:pPr>
      <w:r/>
      <w:r>
        <w:t>Fund dollars allocated to the community</w:t>
      </w:r>
    </w:p>
    <w:p>
      <w:pPr>
        <w:pStyle w:val="ListBullet"/>
      </w:pPr>
      <w:r>
        <w:t>Infrastructure projects completed</w:t>
      </w:r>
    </w:p>
    <w:p>
      <w:pPr>
        <w:pStyle w:val="ListBullet"/>
      </w:pPr>
      <w:r>
        <w:t>Businesses supported and jobs created</w:t>
      </w:r>
    </w:p>
    <w:p>
      <w:pPr>
        <w:pStyle w:val="ListBullet"/>
      </w:pPr>
      <w:r>
        <w:t>Training facilities and trainees</w:t>
      </w:r>
    </w:p>
    <w:p>
      <w:pPr>
        <w:pStyle w:val="ListBullet"/>
      </w:pPr>
      <w:r>
        <w:t>Environmental remediation progress</w:t>
      </w:r>
    </w:p>
    <w:p>
      <w:pPr>
        <w:pStyle w:val="Heading3"/>
      </w:pPr>
      <w:r>
        <w:t>(c) Mandatory Reporting Schedule</w:t>
      </w:r>
    </w:p>
    <w:p>
      <w:pPr>
        <w:pStyle w:val="Heading3"/>
      </w:pPr>
      <w:r>
        <w:t>(i) QUARTERLY REPORTS (Due within 30 days of each quarter's end):</w:t>
      </w:r>
    </w:p>
    <w:p>
      <w:pPr>
        <w:pStyle w:val="Normal"/>
      </w:pPr>
      <w:r>
        <w:t>Each Party shall submit to the Commission:</w:t>
      </w:r>
    </w:p>
    <w:p>
      <w:pPr>
        <w:pStyle w:val="ListBullet"/>
      </w:pPr>
      <w:r>
        <w:t>Worker income support claims and payments (current quarter and year-to-date)</w:t>
      </w:r>
    </w:p>
    <w:p>
      <w:pPr>
        <w:pStyle w:val="ListBullet"/>
      </w:pPr>
      <w:r>
        <w:t>Retraining program enrollments and completions</w:t>
      </w:r>
    </w:p>
    <w:p>
      <w:pPr>
        <w:pStyle w:val="ListBullet"/>
      </w:pPr>
      <w:r>
        <w:t>Benefit portability utilization</w:t>
      </w:r>
    </w:p>
    <w:p>
      <w:pPr>
        <w:pStyle w:val="ListBullet"/>
      </w:pPr>
      <w:r>
        <w:t>Fund remittance status</w:t>
      </w:r>
    </w:p>
    <w:p>
      <w:pPr>
        <w:pStyle w:val="Normal"/>
      </w:pPr>
      <w:r>
        <w:t>(ii) SEMI-ANNUAL REPORTS (Due within 60 days of period's end):</w:t>
      </w:r>
    </w:p>
    <w:p>
      <w:pPr>
        <w:pStyle w:val="ListBullet"/>
        <w:numPr>
          <w:ilvl w:val="0"/>
          <w:numId w:val="1"/>
        </w:numPr>
      </w:pPr>
      <w:r/>
      <w:r>
        <w:t>Detailed employment and unemployment data for Transition Sectors</w:t>
      </w:r>
    </w:p>
    <w:p>
      <w:pPr>
        <w:pStyle w:val="ListBullet"/>
      </w:pPr>
      <w:r>
        <w:t>Community economic indicators</w:t>
      </w:r>
    </w:p>
    <w:p>
      <w:pPr>
        <w:pStyle w:val="ListBullet"/>
      </w:pPr>
      <w:r>
        <w:t>Challenges and corrective actions</w:t>
      </w:r>
    </w:p>
    <w:p>
      <w:pPr>
        <w:pStyle w:val="Normal"/>
      </w:pPr>
      <w:r>
        <w:t>(iii) ANNUAL COMPREHENSIVE REPORTS (Due by March 31 of following year):</w:t>
      </w:r>
    </w:p>
    <w:p>
      <w:pPr>
        <w:pStyle w:val="ListBullet"/>
        <w:numPr>
          <w:ilvl w:val="0"/>
          <w:numId w:val="1"/>
        </w:numPr>
      </w:pPr>
      <w:r/>
      <w:r>
        <w:t>Complete data on worker outcomes and community resilience</w:t>
      </w:r>
    </w:p>
    <w:p>
      <w:pPr>
        <w:pStyle w:val="ListBullet"/>
      </w:pPr>
      <w:r>
        <w:t>Progress toward Chapter 23-B objectives</w:t>
      </w:r>
    </w:p>
    <w:p>
      <w:pPr>
        <w:pStyle w:val="ListBullet"/>
      </w:pPr>
      <w:r>
        <w:t>Worker and community satisfaction (survey data)</w:t>
      </w:r>
    </w:p>
    <w:p>
      <w:pPr>
        <w:pStyle w:val="ListBullet"/>
      </w:pPr>
      <w:r>
        <w:t>Comparison to baseline (pre-Chapter 23-B) conditions</w:t>
      </w:r>
    </w:p>
    <w:p>
      <w:pPr>
        <w:pStyle w:val="ListBullet"/>
      </w:pPr>
      <w:r>
        <w:t>Plans for next year</w:t>
      </w:r>
    </w:p>
    <w:p>
      <w:pPr>
        <w:pStyle w:val="Heading3"/>
      </w:pPr>
      <w:r>
        <w:t>(d) Commission Analysis and Action</w:t>
      </w:r>
    </w:p>
    <w:p>
      <w:pPr>
        <w:pStyle w:val="Heading3"/>
      </w:pPr>
      <w:r>
        <w:t>(i) The Commission shall:</w:t>
      </w:r>
    </w:p>
    <w:p>
      <w:pPr>
        <w:pStyle w:val="ListBullet"/>
        <w:numPr>
          <w:ilvl w:val="0"/>
          <w:numId w:val="1"/>
        </w:numPr>
      </w:pPr>
      <w:r/>
      <w:r>
        <w:t>Consolidate and analyze reported data quarterly</w:t>
      </w:r>
    </w:p>
    <w:p>
      <w:pPr>
        <w:pStyle w:val="ListBullet"/>
      </w:pPr>
      <w:r>
        <w:t>Publish a public "North American Just Transition Dashboard" showing real-time progress on worker support and community recovery</w:t>
      </w:r>
    </w:p>
    <w:p>
      <w:pPr>
        <w:pStyle w:val="ListBullet"/>
      </w:pPr>
      <w:r>
        <w:t>Identify underperforming Parties or Communities requiring escalated support</w:t>
      </w:r>
    </w:p>
    <w:p>
      <w:pPr>
        <w:pStyle w:val="ListBullet"/>
      </w:pPr>
      <w:r>
        <w:t>Issue quarterly performance briefings</w:t>
      </w:r>
    </w:p>
    <w:p>
      <w:pPr>
        <w:pStyle w:val="Normal"/>
      </w:pPr>
      <w:r>
        <w:t>(ii) If a Party's reported performance falls below benchmarks (e.g., &lt;80% of Affected Workers receiving income support, &lt;70% training completion rate), the Commission shall:</w:t>
      </w:r>
    </w:p>
    <w:p>
      <w:pPr>
        <w:pStyle w:val="ListBullet"/>
        <w:numPr>
          <w:ilvl w:val="0"/>
          <w:numId w:val="1"/>
        </w:numPr>
      </w:pPr>
      <w:r/>
      <w:r>
        <w:t>Issue a formal performance notice within 30 days</w:t>
      </w:r>
    </w:p>
    <w:p>
      <w:pPr>
        <w:pStyle w:val="ListBullet"/>
      </w:pPr>
      <w:r>
        <w:t>Require the Party to submit a corrective action plan within 60 days</w:t>
      </w:r>
    </w:p>
    <w:p>
      <w:pPr>
        <w:pStyle w:val="ListBullet"/>
      </w:pPr>
      <w:r>
        <w:t>If corrective action is insufficient, escalate to dispute settlement</w:t>
      </w:r>
    </w:p>
    <w:p>
      <w:pPr>
        <w:pStyle w:val="Heading3"/>
      </w:pPr>
      <w:r>
        <w:t>(e) 5-Year Comprehensive Review (Binding)</w:t>
      </w:r>
    </w:p>
    <w:p>
      <w:pPr>
        <w:pStyle w:val="Normal"/>
      </w:pPr>
      <w:r>
        <w:t>(i) The Commission shall conduct a comprehensive, independent evaluation of Chapter 23-B's operation and effectiveness at:</w:t>
      </w:r>
    </w:p>
    <w:p>
      <w:pPr>
        <w:pStyle w:val="ListBullet"/>
        <w:numPr>
          <w:ilvl w:val="0"/>
          <w:numId w:val="1"/>
        </w:numPr>
      </w:pPr>
      <w:r/>
      <w:r>
        <w:t>End of year 5 (and every 5 years thereafter)</w:t>
      </w:r>
    </w:p>
    <w:p>
      <w:pPr>
        <w:pStyle w:val="Normal"/>
      </w:pPr>
      <w:r>
        <w:t>(ii) The review shall assess:</w:t>
      </w:r>
    </w:p>
    <w:p>
      <w:pPr>
        <w:pStyle w:val="ListBullet"/>
        <w:numPr>
          <w:ilvl w:val="0"/>
          <w:numId w:val="1"/>
        </w:numPr>
      </w:pPr>
      <w:r/>
      <w:r>
        <w:t>Overall worker outcomes (employment recovery, wage recovery, credential attainment, income adequacy)</w:t>
      </w:r>
    </w:p>
    <w:p>
      <w:pPr>
        <w:pStyle w:val="ListBullet"/>
      </w:pPr>
      <w:r>
        <w:t>Community resilience and economic diversification</w:t>
      </w:r>
    </w:p>
    <w:p>
      <w:pPr>
        <w:pStyle w:val="ListBullet"/>
      </w:pPr>
      <w:r>
        <w:t>Fund adequacy and allocation efficiency</w:t>
      </w:r>
    </w:p>
    <w:p>
      <w:pPr>
        <w:pStyle w:val="ListBullet"/>
      </w:pPr>
      <w:r>
        <w:t>Gaps and unmet needs</w:t>
      </w:r>
    </w:p>
    <w:p>
      <w:pPr>
        <w:pStyle w:val="ListBullet"/>
      </w:pPr>
      <w:r>
        <w:t>Effectiveness of cross-border worker mobility and benefit portability</w:t>
      </w:r>
    </w:p>
    <w:p>
      <w:pPr>
        <w:pStyle w:val="Normal"/>
      </w:pPr>
      <w:r>
        <w:t>(iii) Within 6 months of completing the review, the Commission shall:</w:t>
      </w:r>
    </w:p>
    <w:p>
      <w:pPr>
        <w:pStyle w:val="ListBullet"/>
        <w:numPr>
          <w:ilvl w:val="0"/>
          <w:numId w:val="1"/>
        </w:numPr>
      </w:pPr>
      <w:r/>
      <w:r>
        <w:t>Publish results publicly</w:t>
      </w:r>
    </w:p>
    <w:p>
      <w:pPr>
        <w:pStyle w:val="ListBullet"/>
      </w:pPr>
      <w:r>
        <w:t>Issue recommendations for Chapter amendments or improvements</w:t>
      </w:r>
    </w:p>
    <w:p>
      <w:pPr>
        <w:pStyle w:val="ListBullet"/>
      </w:pPr>
      <w:r>
        <w:t>Make binding decisions on Fund adequacy (see Article 23-B.7(a)(iii))</w:t>
      </w:r>
    </w:p>
    <w:p>
      <w:pPr>
        <w:pStyle w:val="Normal"/>
      </w:pPr>
      <w:r>
        <w:t>(iv) If the review finds that Chapter 23-B has achieved its objectives (unemployment recovery, wage recovery, community resilience), Chapter 23-B may be modified. If review finds persistent gaps, Fund capitalization and support levels shall be increased.</w:t>
      </w:r>
    </w:p>
    <w:p>
      <w:pPr>
        <w:pStyle w:val="Heading2"/>
      </w:pPr>
      <w:bookmarkStart w:id="900778" w:name="_Toc300000777"/>
      <w:r>
        <w:t>Article 23-B.10: Relationship to Other Chapters and Primacy Provision</w:t>
      </w:r>
      <w:bookmarkEnd w:id="900778"/>
    </w:p>
    <w:p>
      <w:pPr>
        <w:pStyle w:val="Heading3"/>
      </w:pPr>
      <w:r>
        <w:t>(a) Primacy Over Trade Measures</w:t>
      </w:r>
    </w:p>
    <w:p>
      <w:pPr>
        <w:pStyle w:val="Normal"/>
      </w:pPr>
      <w:r>
        <w:t>CRITICAL: Chapter 23-B is the primary and binding commitment to worker protection. Trade remedies and Article 35.17A are supplementary.</w:t>
      </w:r>
    </w:p>
    <w:p>
      <w:pPr>
        <w:pStyle w:val="Normal"/>
      </w:pPr>
      <w:r>
        <w:t>(i) A Party's obligations under Chapter 23-B (worker income support, retraining, community support, and Transition Sector designation) are independent of and take precedence over trade disputes or remedies under Chapter 35 (Proportional Trade Adjustment Mechanism) and Article 35.17A (Remediation Investment and Corrective Compensation).</w:t>
      </w:r>
    </w:p>
    <w:p>
      <w:pPr>
        <w:pStyle w:val="Normal"/>
      </w:pPr>
      <w:r>
        <w:t>(ii) When a Party is subject to a trade remedy under Chapter 35, the Party's underlying Chapter 23-B obligations (income support, retraining, community investment) are NOT modified, suspended, or traded away. These are separate and binding commitments.</w:t>
      </w:r>
    </w:p>
    <w:p>
      <w:pPr>
        <w:pStyle w:val="Normal"/>
      </w:pPr>
      <w:r>
        <w:t>(iii) If a Party proposes "worker adjustment" as a remedy under Article 35.17A, such remedy must meet or exceed the standards set in Chapter 23-B. Substandard worker adjustment cannot satisfy Chapter 35 remedies.</w:t>
      </w:r>
    </w:p>
    <w:p>
      <w:pPr>
        <w:pStyle w:val="Heading3"/>
      </w:pPr>
      <w:r>
        <w:t>(b) Complementarity With Other Chapters</w:t>
      </w:r>
    </w:p>
    <w:p>
      <w:pPr>
        <w:pStyle w:val="Normal"/>
      </w:pPr>
      <w:r>
        <w:t>This Chapter operates within and supplements the treaty-wide human-rights floor established in Package CL (North American Human Dignity, Equality and Rights Framework). Nothing in this Chapter shall be interpreted to derogate from or diminish protections afforded by Package CL.</w:t>
      </w:r>
    </w:p>
    <w:p>
      <w:pPr>
        <w:pStyle w:val="Normal"/>
      </w:pPr>
      <w:r>
        <w:t>This Chapter is implemented consistently with:</w:t>
      </w:r>
    </w:p>
    <w:p>
      <w:pPr>
        <w:pStyle w:val="Normal"/>
      </w:pPr>
      <w:r>
        <w:t>(i) Chapter 23 (Labor): Chapter 23-B extends and operationalizes Chapter 23's worker-protection principles by providing concrete income support and retraining rights tied to the transformations this Agreement contemplates.</w:t>
      </w:r>
    </w:p>
    <w:p>
      <w:pPr>
        <w:pStyle w:val="Normal"/>
      </w:pPr>
      <w:r>
        <w:t>(ii) Chapter 24 (Environment): Chapter 23-B ensures that environmental protections and energy transitions mandated by Chapter 24 do not occur at the expense of affected workers and communities.</w:t>
      </w:r>
    </w:p>
    <w:p>
      <w:pPr>
        <w:pStyle w:val="Normal"/>
      </w:pPr>
      <w:r>
        <w:t>(iii) Chapter 36 (Economic Security and Supply Chain Resilience): Chapter 23-B provides workforce development and community resilience support complementing supply-chain security initiatives.</w:t>
      </w:r>
    </w:p>
    <w:p>
      <w:pPr>
        <w:pStyle w:val="Normal"/>
      </w:pPr>
      <w:r>
        <w:t>(iv) Chapter 40 (Energy Security and Grid Resilience): Chapter 23-B implements the worker participation and host-community engagement provisions in Chapter 40, particularly for fossil-fuel energy workers.</w:t>
      </w:r>
    </w:p>
    <w:p>
      <w:pPr>
        <w:pStyle w:val="Normal"/>
      </w:pPr>
      <w:r>
        <w:t>(v) Chapter 4 (Rules of Origin) and Article 4.A.2 (Automotive Goods): Chapter 23-B provides the worker-security infrastructure supporting automotive and sectoral workforce advancement standards in Article 4.A.2.</w:t>
      </w:r>
    </w:p>
    <w:p>
      <w:pPr>
        <w:pStyle w:val="Normal"/>
      </w:pPr>
      <w:r>
        <w:t>(vi) Package CL (Human Rights Framework): Chapter 23-B is an integral part of the human-rights commitment and is not subordinate to trade interests.</w:t>
      </w:r>
    </w:p>
    <w:p>
      <w:pPr>
        <w:pStyle w:val="Heading3"/>
      </w:pPr>
      <w:r>
        <w:t>(c) No Derogation</w:t>
      </w:r>
    </w:p>
    <w:p>
      <w:pPr>
        <w:pStyle w:val="Normal"/>
      </w:pPr>
      <w:r>
        <w:t>Each Party remains responsible for delivering the substantive minimum protections, benefit levels, funding commitments, deadlines, and worker and community outcomes required by this Chapter. A Party may not invoke domestic law, institutional design, or constitutional allocation of authority as a reason to deny, reduce, postpone, or discontinue those substantive protections. Where a particular administrative or legislative method prescribed by this Chapter is constitutionally unavailable, the Party shall implement a demonstrably equivalent lawful mechanism that delivers protection equal to or greater than the prescribed substantive standard within the same deadline, or within an expedited implementation period approved under this paragraph where literal compliance is legally impossible. The Party bears the burden of proving both the legal impossibility of the prescribed method and the substantive equivalence of the alternative.</w:t>
      </w:r>
    </w:p>
    <w:p>
      <w:pPr>
        <w:pStyle w:val="Normal"/>
      </w:pPr>
      <w:r>
        <w:t>HOWEVER: This clause does NOT permit a Party to invoke domestic law as a reason to:</w:t>
      </w:r>
    </w:p>
    <w:p>
      <w:pPr>
        <w:pStyle w:val="ListBullet"/>
        <w:numPr>
          <w:ilvl w:val="0"/>
          <w:numId w:val="1"/>
        </w:numPr>
      </w:pPr>
      <w:r/>
      <w:r>
        <w:t>Refuse to provide income support to Affected Workers</w:t>
      </w:r>
    </w:p>
    <w:p>
      <w:pPr>
        <w:pStyle w:val="ListBullet"/>
      </w:pPr>
      <w:r>
        <w:t>Block benefit portability</w:t>
      </w:r>
    </w:p>
    <w:p>
      <w:pPr>
        <w:pStyle w:val="ListBullet"/>
      </w:pPr>
      <w:r>
        <w:t>Deny retraining opportunities</w:t>
      </w:r>
    </w:p>
    <w:p>
      <w:pPr>
        <w:pStyle w:val="ListBullet"/>
      </w:pPr>
      <w:r>
        <w:t>Exclude workers based on immigration status</w:t>
      </w:r>
    </w:p>
    <w:p>
      <w:pPr>
        <w:pStyle w:val="ListBullet"/>
      </w:pPr>
      <w:r>
        <w:t>Defund Transition Sector support</w:t>
      </w:r>
    </w:p>
    <w:p>
      <w:pPr>
        <w:pStyle w:val="ListBullet"/>
      </w:pPr>
      <w:r>
        <w:t>Refuse to contribute to the Fund</w:t>
      </w:r>
    </w:p>
    <w:p>
      <w:pPr>
        <w:pStyle w:val="Normal"/>
      </w:pPr>
      <w:r>
        <w:t>If a Party's domestic law creates a barrier to Chapter 23-B compliance, the Party shall amend that law where constitutionally available or adopt an equivalent lawful mechanism that fully delivers the Chapter 23-B substantive obligation. The Party shall notify the Commission of the barrier and proposed cure within 30 days after identifying it, provide the legal and factual basis for any claimed constitutional limitation, and submit the alternative mechanism for expedited equivalence review. Commission or panel review of equivalence shall be completed on an expedited basis and shall not suspend the underlying obligation.</w:t>
      </w:r>
    </w:p>
    <w:p>
      <w:pPr>
        <w:pStyle w:val="Normal"/>
      </w:pPr>
      <w:r>
        <w:t>(v) No Benefit Interruption. If a dispute arises regarding the constitutional availability or substantive equivalence of an alternative mechanism, workers and communities shall continue receiving benefits and support at the most-protective applicable Chapter 23-B standard throughout consultation, review, litigation, or dispute settlement. No Party may reduce, suspend, defer, or condition benefits pending resolution of a constitutional or equivalence question. Where administrative uncertainty prevents immediate identification of the ultimately responsible program or authority, provisional benefits shall be paid first and governmental allocation or reimbursement shall be resolved afterward.</w:t>
      </w:r>
    </w:p>
    <w:p>
      <w:pPr>
        <w:pStyle w:val="Normal"/>
      </w:pPr>
      <w:r>
        <w:t>(c)(vi) CHAPTER 23 B COMPLIANCE DECISIONS. For a Commission determination of a named Party’s program equivalence, compliance, sector removal, or challenged Fund or Skills Board decision under this Chapter, that Party participates and responds but does not vote on its own compliance determination, and the other two Party representatives decide jointly within the specific applicable deadline or sixty days if none is specified. If they disagree or fail to decide in time, either other Party may invoke Article 23-B.11 for a compliance dispute, and the assessed or otherwise affected Party may initiate review of a Fund or Skills Board decision under Article 23-B.11(g) for a specialized Chapter 31 panel determination, while the most-protective provisional benefits and existing designation continue. Policy changes, increases in common obligations, and amendments remain subject to the consensus or amendment rule otherwise applicable and are not enacted through this compliance exception. Only a Party has standing to escalate under Chapter 31, and the Commission, Board, worker, or community request is transmitted to the Parties without making those institutions independent complainants.</w:t>
      </w:r>
    </w:p>
    <w:p>
      <w:pPr>
        <w:pStyle w:val="Heading3"/>
      </w:pPr>
      <w:r>
        <w:t>(d) No Reservation or Opt-Out</w:t>
      </w:r>
    </w:p>
    <w:p>
      <w:pPr>
        <w:pStyle w:val="Normal"/>
      </w:pPr>
      <w:r>
        <w:t>No Party may enter a reservation or opt-out from any provision of Chapter 23-B. Chapter 23-B is mandatory for all Parties and applies in all territories.</w:t>
      </w:r>
    </w:p>
    <w:p>
      <w:pPr>
        <w:pStyle w:val="Heading2"/>
      </w:pPr>
      <w:bookmarkStart w:id="900779" w:name="_Toc300000778"/>
      <w:r>
        <w:t>Article 23-B.11: Dispute Settlement and Enforcement</w:t>
      </w:r>
      <w:bookmarkEnd w:id="900779"/>
    </w:p>
    <w:p>
      <w:pPr>
        <w:pStyle w:val="Heading3"/>
      </w:pPr>
      <w:r>
        <w:t>(a) Scope of Disputes</w:t>
      </w:r>
    </w:p>
    <w:p>
      <w:pPr>
        <w:pStyle w:val="Normal"/>
      </w:pPr>
      <w:r>
        <w:t>A Party may bring a dispute under Chapter 23-B (via the procedures in Chapter 31) alleging:</w:t>
      </w:r>
    </w:p>
    <w:p>
      <w:pPr>
        <w:pStyle w:val="Normal"/>
      </w:pPr>
      <w:r>
        <w:t>(i) Failure to maintain or establish programs required under Article 23-B.3</w:t>
        <w:br/>
        <w:t>(income support)</w:t>
        <w:br/>
        <w:t>(ii) Failure to maintain or establish programs required under Article 23-B.4 (retraining and skills)</w:t>
        <w:br/>
        <w:t>(iii) Failure to implement benefit portability obligations under Article 23-B.5</w:t>
        <w:br/>
        <w:t>(iv) Failure to provide community support under Article 23-B.6</w:t>
        <w:br/>
        <w:t>(v) Failure to contribute to the Fund as required under Article 23-B.7</w:t>
        <w:br/>
        <w:t>(vi) Failure to comply with Transition Sector designation under Article 23-B.8</w:t>
        <w:br/>
        <w:t>(vii) Failure to submit required reports under Article 23-B.9</w:t>
        <w:br/>
        <w:t>(viii) Failure to comply with dispute settlement decisions</w:t>
      </w:r>
    </w:p>
    <w:p>
      <w:pPr>
        <w:pStyle w:val="Heading3"/>
      </w:pPr>
      <w:r>
        <w:t>(b) Expedited Consultation (Precondition to Dispute Settlement)</w:t>
      </w:r>
    </w:p>
    <w:p>
      <w:pPr>
        <w:pStyle w:val="Normal"/>
      </w:pPr>
      <w:r>
        <w:t>A Party seeking to bring a Chapter 23-B dispute SHALL first pursue expedited consultation:</w:t>
      </w:r>
    </w:p>
    <w:p>
      <w:pPr>
        <w:pStyle w:val="Normal"/>
      </w:pPr>
      <w:r>
        <w:t>(i) Written notice of concern to the offending Party within 15 days of discovering the alleged violation</w:t>
        <w:br/>
        <w:t>(ii) Mandatory consultation within 15 days of written notice</w:t>
        <w:br/>
        <w:t>(iii) Good-faith negotiation and cure opportunity for 30 days following consultation</w:t>
        <w:br/>
        <w:t>(iv) If unresolved after 30 days, the requesting Party may proceed to dispute settlement</w:t>
      </w:r>
    </w:p>
    <w:p>
      <w:pPr>
        <w:pStyle w:val="Normal"/>
      </w:pPr>
      <w:r>
        <w:t>This expedited process is mandatory but is NOT used as a reason to delay remedies for workers. Workers continue receiving emergency income support during dispute resolution.</w:t>
      </w:r>
    </w:p>
    <w:p>
      <w:pPr>
        <w:pStyle w:val="Heading3"/>
      </w:pPr>
      <w:r>
        <w:t>(c) Dispute Panel Procedures</w:t>
      </w:r>
    </w:p>
    <w:p>
      <w:pPr>
        <w:pStyle w:val="Normal"/>
      </w:pPr>
      <w:r>
        <w:t>If consultations fail, Chapter 23-B disputes shall proceed under Chapter 31 (Dispute Settlement) with the following modifications:</w:t>
      </w:r>
    </w:p>
    <w:p>
      <w:pPr>
        <w:pStyle w:val="Heading3"/>
      </w:pPr>
      <w:r>
        <w:t>(i) Expedited Timeline: Panel decision within 6 months (faster than standard Chapter 31 timeline)</w:t>
      </w:r>
    </w:p>
    <w:p>
      <w:pPr>
        <w:pStyle w:val="Normal"/>
      </w:pPr>
      <w:r>
        <w:t>(ii) Specialized Panel: Panels hearing Chapter 23-B disputes shall include at least one panelist with expertise in labor law or social protection</w:t>
      </w:r>
    </w:p>
    <w:p>
      <w:pPr>
        <w:pStyle w:val="Normal"/>
      </w:pPr>
      <w:r>
        <w:t>(iii) Burden of Proof: The offending Party bears the burden of proving that it has complied with Chapter 23-B obligations. Mere assertion that compliance is ongoing is insufficient.</w:t>
      </w:r>
    </w:p>
    <w:p>
      <w:pPr>
        <w:pStyle w:val="Normal"/>
      </w:pPr>
      <w:r>
        <w:t>(iv) Remedies: If a panel finds a violation, the remedies available include:</w:t>
      </w:r>
    </w:p>
    <w:p>
      <w:pPr>
        <w:pStyle w:val="ListBullet"/>
        <w:numPr>
          <w:ilvl w:val="0"/>
          <w:numId w:val="1"/>
        </w:numPr>
      </w:pPr>
      <w:r/>
      <w:r>
        <w:t>Immediate cessation of the violation</w:t>
      </w:r>
    </w:p>
    <w:p>
      <w:pPr>
        <w:pStyle w:val="ListBullet"/>
      </w:pPr>
      <w:r>
        <w:t>Financial compensation sufficient to make affected workers and communities whole for verified loss, delay, or denied benefits</w:t>
      </w:r>
    </w:p>
    <w:p>
      <w:pPr>
        <w:pStyle w:val="ListBullet"/>
      </w:pPr>
      <w:r>
        <w:t>Corrective action plan with binding timeline</w:t>
      </w:r>
    </w:p>
    <w:p>
      <w:pPr>
        <w:pStyle w:val="ListBullet"/>
      </w:pPr>
      <w:r>
        <w:t>Mandatory additional contributions to the Fund or assessed compliance payments calibrated to the severity, duration, and verified injury</w:t>
      </w:r>
    </w:p>
    <w:p>
      <w:pPr>
        <w:pStyle w:val="ListBullet"/>
      </w:pPr>
      <w:r>
        <w:t>In persistent or deliberate cases where financial remedies have been exhausted or are demonstrably ineffective: narrowly related suspension of treaty benefits under Chapter 31 until the violation is cured; broader tariff concessions may be suspended only as a last resort consistent with Article 35.31</w:t>
      </w:r>
    </w:p>
    <w:p>
      <w:pPr>
        <w:pStyle w:val="Heading3"/>
      </w:pPr>
      <w:r>
        <w:t>(d) Automatic Enforcement Escalation</w:t>
      </w:r>
    </w:p>
    <w:p>
      <w:pPr>
        <w:pStyle w:val="Normal"/>
      </w:pPr>
      <w:r>
        <w:t>If a Party fails to comply with a panel decision or corrective action plan:</w:t>
      </w:r>
    </w:p>
    <w:p>
      <w:pPr>
        <w:pStyle w:val="Normal"/>
      </w:pPr>
      <w:r>
        <w:t>(i) First month of non-compliance: Automatic financial compliance assessment payable to the Fund, together with full make-whole payments to any worker or community experiencing benefit loss or delay</w:t>
      </w:r>
    </w:p>
    <w:p>
      <w:pPr>
        <w:pStyle w:val="Normal"/>
      </w:pPr>
      <w:r>
        <w:t>(ii) Second month of non-compliance: The financial compliance assessment doubles and continues monthly; no amount assessed under this paragraph may be credited against the Party's ordinary Fund contribution or domestic Chapter 23-B spending obligations</w:t>
      </w:r>
    </w:p>
    <w:p>
      <w:pPr>
        <w:pStyle w:val="Normal"/>
      </w:pPr>
      <w:r>
        <w:t>(iii) Third month of non-compliance: Escalation to the Commission and Chapter 31. The panel may authorize narrowly related suspension of treaty benefits only after finding that make-whole payments, Fund assessments, corrective orders, and other financial remedies have been exhausted or are demonstrably ineffective. Suspension of broader tariff concessions is a last resort and remains subject to the narrowest-sufficient-remedy, issue-nexus, proportionality, cure, and automatic-restoration disciplines of this Agreement.</w:t>
      </w:r>
    </w:p>
    <w:p>
      <w:pPr>
        <w:pStyle w:val="Normal"/>
      </w:pPr>
      <w:r>
        <w:t>(iv) CHAPTER 23 B ENFORCEMENT SEQUENCE. Article 23-B.11 governs the procedure incorporated by Article 31.F: consultation occurs within fifteen days after written notice, followed by the thirty-day negotiation and cure opportunity, and a failure to convene consultation cannot extend that sequence beyond forty-five days after notice. The fifteen-day discovery notice is a prompt-notice duty rather than a limitation period that extinguishes a continuing claim, and the panel issues its decision within six months after composition. Predispute funding-delinquency, reporting, portability, and credential assessments retain their express triggers, while paragraph (d)’s monthly escalation applies only after failure to comply with the panel decision or its corrective plan. Amounts collected for the same loss or additional compliance assessment are credited against overlapping enforcement amounts for that same default and period, without reducing ordinary Fund contributions, worker entitlements, or independently distinct losses, and trade suspension follows only the authorized last-resort finding.</w:t>
      </w:r>
    </w:p>
    <w:p>
      <w:pPr>
        <w:pStyle w:val="Heading3"/>
      </w:pPr>
      <w:r>
        <w:t>(e) Standing for Worker and Community Representatives</w:t>
      </w:r>
    </w:p>
    <w:p>
      <w:pPr>
        <w:pStyle w:val="Normal"/>
      </w:pPr>
      <w:r>
        <w:t>(i) A Party may bring a Chapter 23-B dispute on behalf of affected workers or communities in its territory.</w:t>
      </w:r>
    </w:p>
    <w:p>
      <w:pPr>
        <w:pStyle w:val="Normal"/>
      </w:pPr>
      <w:r>
        <w:t>(ii) Worker organizations and civil society may submit amicus curiae (friend of the court) briefs in Chapter 23-B disputes at the panel's discretion.</w:t>
      </w:r>
    </w:p>
    <w:p>
      <w:pPr>
        <w:pStyle w:val="Normal"/>
      </w:pPr>
      <w:r>
        <w:t>(iii) Worker organizations and community organizations may request standing to participate in the dispute settlement process if they can demonstrate that the dispute materially affects their members or communities.</w:t>
      </w:r>
    </w:p>
    <w:p>
      <w:pPr>
        <w:pStyle w:val="Heading3"/>
      </w:pPr>
      <w:r>
        <w:t>(f) No Waiver of Rights</w:t>
      </w:r>
    </w:p>
    <w:p>
      <w:pPr>
        <w:pStyle w:val="Normal"/>
      </w:pPr>
      <w:r>
        <w:t>A worker's or community's receipt of benefits, support, or remedies under Chapter 23-B does not waive that worker's or community's right to bring or participate in dispute proceedings. Chapter 23-B remedies are cumulative.</w:t>
      </w:r>
    </w:p>
    <w:p>
      <w:pPr>
        <w:spacing w:after="0" w:before="0"/>
        <w:contextualSpacing w:val="0"/>
      </w:pPr>
      <w:r>
        <w:t>(g) BOARD ASSESSMENT REVIEW AND PARTY STANDING. An assessed Party, or a Party challenging a Fund Board decision under Article 23-B.7(b)(iii), initiates Commission review by delivering to the Secretariat within thirty days after receiving the decision a notice identifying the decision, challenged amount or consequence, and a pleaded error of treaty authority, required procedure, material fact, or calculation. The Secretariat serves the notice on the Board and the other two Parties, obtains the administrative record, and the two other Party representatives decide the review jointly within sixty days after receipt under Article 23-B.10(c)(vi), with the challenging Party heard but not voting. The challenging Party may contest that determination, or the failure to determine the review within sixty days, by serving paragraph (b) consultation notice within thirty days after the determination or deadline on both other Parties as joint respondents solely responsible for defending the treaty administration of the challenged Board decision. This review is an express additional ground under paragraph (a), requires no allegation of a respondent’s separate domestic-program breach, and uses paragraph (b)’s consultation sequence and paragraph (c)’s specialized panel procedure as modified by subparagraphs (g)(iii) and (iv).</w:t>
      </w:r>
    </w:p>
    <w:p>
      <w:pPr>
        <w:spacing w:before="0" w:after="0"/>
        <w:contextualSpacing w:val="0"/>
      </w:pPr>
    </w:p>
    <w:p>
      <w:pPr>
        <w:spacing w:after="0" w:before="0"/>
        <w:contextualSpacing w:val="0"/>
      </w:pPr>
      <w:r>
        <w:t>(g)(i) REVIEW GROUNDS AND COLLECTION HOLD. Within five days after receiving a Commission-review notice, the responsible Secretary decides only whether it is timely, identifies the challenged additional contribution, and pleads a particular error supported by identified record material that, if established, could change that contribution, and records reasons without deciding the merits. Collection of that identified amount pauses from timely receipt through this screening and, if those conditions are met, through Commission review and timely panel review, but rejection of the conditions or expiry of a required initiating deadline ends the hold without a political vote, and screening rejects only the hold rather than Commission review, whose admissibility and merits the representatives specified in paragraph (g) decide within its sixty-day period. For panel review, consultation notice is served within paragraph (g)’s thirty-day limit and a panel request is delivered within five days after the forty-five-day consultation sequence ends unresolved, with the hold ending on the panel’s final determination, withdrawal of the challenge, or the fixed composition or report endpoint in subparagraph (g)(iv). The hold does not excuse ordinary Fund contributions or delay worker benefits, and the assessed Party supplies provisional make-whole support while liability for any genuinely contested additional assessment is reviewed.</w:t>
      </w:r>
    </w:p>
    <w:p>
      <w:pPr>
        <w:spacing w:before="0" w:after="0"/>
        <w:contextualSpacing w:val="0"/>
      </w:pPr>
    </w:p>
    <w:p>
      <w:pPr>
        <w:spacing w:after="0" w:before="0"/>
        <w:contextualSpacing w:val="0"/>
      </w:pPr>
      <w:r>
        <w:t>(g)(ii) PANEL STANDARD AND RELIEF. The challenging Party proves the pleaded error on the administrative record, subject to correction for material evidence wrongly excluded, notwithstanding paragraph (c)(iii)’s burden for domestic-program noncompliance. The panel affirms, corrects a determinable calculation, or vacates and remands the Board decision within its treaty mandate, and cannot impose a new domestic-program breach finding merely because the respondents defend the decision. A remand identifies the error and requires a new Board decision within thirty days after delivery of the final panel determination, with the disputed amount uncollectible until that decision and subject to the same timely review route, but if no decision is delivered by day thirty the remanded assessment is automatically vacated and any amount collected under it is refunded or credited within the next thirty days. Automatic vacatur closes that assessment without extinguishing vested worker benefits or the underlying treaty duty, and the Board may issue a fresh reasoned assessment through the required notice and response procedure, crediting prior payments for the same loss without reviving the vacated decision or becoming an independent treaty respondent.</w:t>
      </w:r>
    </w:p>
    <w:p>
      <w:pPr>
        <w:spacing w:before="0" w:after="0"/>
        <w:contextualSpacing w:val="0"/>
      </w:pPr>
    </w:p>
    <w:p>
      <w:pPr>
        <w:spacing w:after="0" w:before="0"/>
        <w:contextualSpacing w:val="0"/>
      </w:pPr>
      <w:r>
        <w:t>(g)(iii) BOARD REVIEW PANEL COMPOSITION. A panel request under paragraph (g) is delivered simultaneously to both joint respondents and the Secretariat, and that delivery establishes the panel under Article 31.6(1) without a further consent vote. The five-member panel has one chair selected jointly by all three Parties within ten days after delivery, two members selected by the challenging Party within fifteen days after delivery, and two selected jointly by the respondents within that same fifteen-day period, with all five non-nationals of every Party, all satisfying Article 31.8(2) and (5), and at least one of the challenging Party’s two members possessing labor-law or social-protection expertise under paragraph (c)(ii). These rules replace Article 31.9(1) and (2) for this review, including their citizenship and side-selection criteria, and the responsible Secretary fills any missing chair by day fifteen and any other missing seat by day twenty through a recorded random draw of available qualified neutral candidates satisfying each missing seat’s stated expertise, without a respondent veto or a peremptory challenge based solely on absence from the roster. The Secretary uses qualified roster members first and, where that source is insufficient, Article 30.C(4), (6), and (9) supplies independently screened candidates outside the roster with the same panel qualifications, recorded disclosures, and reasoned resolution of qualification objections before appointment.</w:t>
      </w:r>
    </w:p>
    <w:p>
      <w:pPr>
        <w:spacing w:before="0" w:after="0"/>
        <w:contextualSpacing w:val="0"/>
      </w:pPr>
    </w:p>
    <w:p>
      <w:pPr>
        <w:spacing w:after="0" w:before="0"/>
        <w:contextualSpacing w:val="0"/>
      </w:pPr>
      <w:r>
        <w:t>(g)(iv) BOARD REVIEW COMPOSITION AND HOLD ENDPOINTS. If all five qualified seats are not filled within thirty days after delivery of the panel request, the Secretariat records the missing qualification and the collection hold ends automatically at that deadline, while the timely review request remains pending without a new filing requirement or waiver of its grounds. The challenged amount then becomes payable under protest under its otherwise applicable payment terms, and a final determination reducing or vacating it requires the Fund to refund or credit the excess within thirty days after that determination, without offsetting ordinary contributions or worker benefits. Once composition is complete, the panel issues its final determination within paragraph (d)(iv)’s six months, and any remaining collection hold ends no later than six calendar months after composition without extension under Articles 31.10 or 31.16 for a vacancy or procedural suspension, without ending review or authorizing an unqualified substitute. A later composition, replacement, resumed proceeding, or renewed challenge to the same decision does not restart a hold ended under this subparagraph, and the Secretary publishes the missed deadline and continues qualification-based appointment under Article 30.C(9) while any replacement uses the same seat method and a fifteen-day replacement period.</w:t>
      </w:r>
    </w:p>
    <w:p>
      <w:pPr>
        <w:spacing w:before="0" w:after="0"/>
        <w:contextualSpacing w:val="0"/>
      </w:pPr>
    </w:p>
    <w:p>
      <w:pPr>
        <w:pStyle w:val="Heading2"/>
      </w:pPr>
      <w:bookmarkStart w:id="900780" w:name="_Toc300000779"/>
      <w:r>
        <w:t>Article 23-B.12: Entry into Force and Implementation Deadlines</w:t>
      </w:r>
      <w:bookmarkEnd w:id="900780"/>
    </w:p>
    <w:p>
      <w:pPr>
        <w:pStyle w:val="Heading3"/>
      </w:pPr>
      <w:r>
        <w:t>(a) Entry into Force</w:t>
      </w:r>
    </w:p>
    <w:p>
      <w:pPr>
        <w:pStyle w:val="Normal"/>
      </w:pPr>
      <w:r>
        <w:t>This Chapter forms part of the Protocol of Modernization and enters into force on the date that Protocol takes effect for the Parties, unless the Protocol expressly specifies another common date for this Chapter. References to the entry into force of an Article of Chapter 23-B mean that single Chapter commencement date. Implementation milestones in paragraph (b) govern institutional readiness and do not postpone benefits expressly available immediately under Articles 23-B.3 and 23-B.5(c). Chapter 23-B retains the primacy and non-derogation rule in Article 23-B.10, including its relationship with Chapter 35.</w:t>
      </w:r>
    </w:p>
    <w:p>
      <w:pPr>
        <w:pStyle w:val="Heading3"/>
      </w:pPr>
      <w:r>
        <w:t>(b) Implementation Timeline</w:t>
      </w:r>
    </w:p>
    <w:p>
      <w:pPr>
        <w:pStyle w:val="Normal"/>
      </w:pPr>
      <w:r>
        <w:t>(i) Within 3 months of entry into force:</w:t>
      </w:r>
    </w:p>
    <w:p>
      <w:pPr>
        <w:pStyle w:val="ListBullet"/>
      </w:pPr>
      <w:r>
        <w:t>Commission establishes Fund Board and appoints members</w:t>
      </w:r>
    </w:p>
    <w:p>
      <w:pPr>
        <w:pStyle w:val="ListBullet"/>
      </w:pPr>
      <w:r>
        <w:t>Each Party appoints its Fund Board representatives</w:t>
      </w:r>
    </w:p>
    <w:p>
      <w:pPr>
        <w:pStyle w:val="ListBullet"/>
      </w:pPr>
      <w:r>
        <w:t>Commission opens Fund bank account and begins accepting contributions</w:t>
      </w:r>
    </w:p>
    <w:p>
      <w:pPr>
        <w:pStyle w:val="Normal"/>
      </w:pPr>
      <w:r>
        <w:t>(ii) Within 6 months of entry into force:</w:t>
      </w:r>
    </w:p>
    <w:p>
      <w:pPr>
        <w:pStyle w:val="ListBullet"/>
      </w:pPr>
      <w:r>
        <w:t>Fund becomes operational and begins receiving contributions</w:t>
      </w:r>
    </w:p>
    <w:p>
      <w:pPr>
        <w:pStyle w:val="ListBullet"/>
      </w:pPr>
      <w:r>
        <w:t>Each Party submits its documented program-equivalence assessment or replacement-program commitment within ninety days after Chapter commencement for the Commission’s review by month six under Article 23-B.3(g)(iii)</w:t>
      </w:r>
    </w:p>
    <w:p>
      <w:pPr>
        <w:pStyle w:val="ListBullet"/>
      </w:pPr>
      <w:r>
        <w:t>Commission establishes Skills and Credential Recognition Board</w:t>
      </w:r>
    </w:p>
    <w:p>
      <w:pPr>
        <w:pStyle w:val="ListBullet"/>
      </w:pPr>
      <w:r>
        <w:t>Core Transition Sector eligibility operates from entry into force under Article 23-B.8(a); this six-month milestone confirms operational delivery and does not start entitlement.</w:t>
      </w:r>
    </w:p>
    <w:p>
      <w:pPr>
        <w:pStyle w:val="Normal"/>
      </w:pPr>
      <w:r>
        <w:t>(iii) Within 12 months of entry into force:</w:t>
      </w:r>
    </w:p>
    <w:p>
      <w:pPr>
        <w:pStyle w:val="ListBullet"/>
      </w:pPr>
      <w:r>
        <w:t>Commission records and publishes the Core Transition Sectors already designated from entry into force under Article 23-B.8(a)</w:t>
      </w:r>
    </w:p>
    <w:p>
      <w:pPr>
        <w:pStyle w:val="ListBullet"/>
      </w:pPr>
      <w:r>
        <w:t>Each Party submits first quarterly report</w:t>
      </w:r>
    </w:p>
    <w:p>
      <w:pPr>
        <w:pStyle w:val="ListBullet"/>
      </w:pPr>
      <w:r>
        <w:t>Benefit portability mechanisms implement and maintain the interim measures already binding from entry into force under Article 23-B.5(c)</w:t>
      </w:r>
    </w:p>
    <w:p>
      <w:pPr>
        <w:pStyle w:val="ListBullet"/>
      </w:pPr>
      <w:r>
        <w:t>North American Pension Registry is established</w:t>
      </w:r>
    </w:p>
    <w:p>
      <w:pPr>
        <w:pStyle w:val="Normal"/>
      </w:pPr>
      <w:r>
        <w:t>(iv) Within 18 months of entry into force:</w:t>
      </w:r>
    </w:p>
    <w:p>
      <w:pPr>
        <w:pStyle w:val="ListBullet"/>
      </w:pPr>
      <w:r>
        <w:t>Each Party designates additional Transition Sectors (if any)</w:t>
      </w:r>
    </w:p>
    <w:p>
      <w:pPr>
        <w:pStyle w:val="ListBullet"/>
      </w:pPr>
      <w:r>
        <w:t>Fund Board approves first round of projects and programs</w:t>
      </w:r>
    </w:p>
    <w:p>
      <w:pPr>
        <w:pStyle w:val="ListBullet"/>
      </w:pPr>
      <w:r>
        <w:t>Social security agreements are concluded in accordance with the eighteen-month deadline in Article 23-B.5(b)(i)</w:t>
      </w:r>
    </w:p>
    <w:p>
      <w:pPr>
        <w:pStyle w:val="ListBullet"/>
      </w:pPr>
      <w:r>
        <w:t>Community Steering Committees established in Affected Communities</w:t>
      </w:r>
    </w:p>
    <w:p>
      <w:pPr>
        <w:pStyle w:val="Normal"/>
      </w:pPr>
      <w:r>
        <w:t>(v) Within 24 months of entry into force:</w:t>
      </w:r>
    </w:p>
    <w:p>
      <w:pPr>
        <w:pStyle w:val="ListBullet"/>
      </w:pPr>
      <w:r>
        <w:t>Each Party amends domestic law to enable benefit portability (Article 23-B.5(e))</w:t>
      </w:r>
    </w:p>
    <w:p>
      <w:pPr>
        <w:pStyle w:val="ListBullet"/>
      </w:pPr>
      <w:r>
        <w:t>All Parties and Fund Board operating in full compliance</w:t>
      </w:r>
    </w:p>
    <w:p>
      <w:pPr>
        <w:pStyle w:val="ListBullet"/>
      </w:pPr>
      <w:r>
        <w:t>Worker retraining programs and income support at full capacity</w:t>
      </w:r>
    </w:p>
    <w:p>
      <w:pPr>
        <w:pStyle w:val="ListBullet"/>
      </w:pPr>
      <w:r>
        <w:t>Community diversification projects underway in priority communities</w:t>
      </w:r>
    </w:p>
    <w:p>
      <w:pPr>
        <w:pStyle w:val="Heading3"/>
      </w:pPr>
      <w:r>
        <w:t>(c) No Transition Period for Worker Protection</w:t>
      </w:r>
    </w:p>
    <w:p>
      <w:pPr>
        <w:pStyle w:val="Normal"/>
      </w:pPr>
      <w:r>
        <w:t>All benefits under Article 23-B.3 (income support) become available immediately upon entry into force. There is no transition period, phase-in, or delay. Workers are protected from day one.</w:t>
      </w:r>
    </w:p>
    <w:p>
      <w:pPr>
        <w:pStyle w:val="Heading2"/>
      </w:pPr>
      <w:bookmarkStart w:id="900781" w:name="_Toc300000780"/>
      <w:r>
        <w:t>Article 23-B.13: Definitions of Terms in Chapter 23-B Context</w:t>
      </w:r>
      <w:bookmarkEnd w:id="900781"/>
    </w:p>
    <w:p>
      <w:pPr>
        <w:pStyle w:val="Normal"/>
      </w:pPr>
      <w:r>
        <w:t>For the purposes of this Chapter:</w:t>
      </w:r>
    </w:p>
    <w:p>
      <w:pPr>
        <w:pStyle w:val="Normal"/>
      </w:pPr>
      <w:r>
        <w:t>Continuous Funding: means that the commitment to provide programs and Fund capitalization is ongoing and indefinite, not subject to periodic reauthorization or budget cycles that could result in discontinuation.</w:t>
      </w:r>
    </w:p>
    <w:p>
      <w:pPr>
        <w:pStyle w:val="Normal"/>
      </w:pPr>
      <w:r>
        <w:t>Materially Affected: means employment impact sufficient to require reasonable person to look for work or retraining (&gt;20% hours reduction, wage reduction &gt;15%, or permanent displacement).</w:t>
      </w:r>
    </w:p>
    <w:p>
      <w:pPr>
        <w:pStyle w:val="Normal"/>
      </w:pPr>
      <w:r>
        <w:t>Qualified Majority: means agreement by 6 of 9 voting members of the Fund Board or other multi-stakeholder bodies established under this Chapter.</w:t>
      </w:r>
    </w:p>
    <w:p>
      <w:pPr>
        <w:pStyle w:val="Normal"/>
      </w:pPr>
      <w:r>
        <w:t>Core Transition Sector: means a sector designated directly by this Chapter and recorded by the Commission under Article 23-B.8(a) as undergoing transformation, listed explicitly and binding on all Parties.</w:t>
      </w:r>
    </w:p>
    <w:p>
      <w:pPr>
        <w:pStyle w:val="Normal"/>
      </w:pPr>
      <w:r>
        <w:t>Good-Faith Compliance: means that a Party has made measurable progress toward meeting Chapter 23-B obligations. Mere aspiration, token gestures, or minimal funding do not constitute good-faith compliance.</w:t>
      </w:r>
    </w:p>
    <w:p>
      <w:pPr>
        <w:pStyle w:val="Normal"/>
      </w:pPr>
      <w:r>
        <w:t>Chapter 24 is the principal environmental chapter. Additional environmental architecture appears in forestry, wildfire, traceability, strategic-resource, circular-production, and Chapter 68 cetacean provisions.</w:t>
      </w:r>
    </w:p>
    <w:p>
      <w:pPr>
        <w:pStyle w:val="TrumpVisibilityHeadline"/>
      </w:pPr>
      <w:r>
        <w:t>SEARCH SIGNPOST: ENVIRONMENT / CLIMATE / FORESTRY / WILDFIRE / BIODIVERSITY / FISHERIES / MARINE MAMMALS / POLLUTION / CONSERVATION</w:t>
      </w:r>
    </w:p>
    <w:p>
      <w:pPr>
        <w:pStyle w:val="Heading1"/>
      </w:pPr>
      <w:bookmarkStart w:id="900782" w:name="_Toc300000781"/>
      <w:r>
        <w:t>CHAPTER 24 ENVIRONMENT</w:t>
      </w:r>
      <w:bookmarkEnd w:id="900782"/>
    </w:p>
    <w:p>
      <w:pPr>
        <w:pStyle w:val="Heading2"/>
      </w:pPr>
      <w:bookmarkStart w:id="900783" w:name="_Toc300000782"/>
      <w:r>
        <w:t xml:space="preserve">Article 24.1: Definitions</w:t>
      </w:r>
      <w:bookmarkEnd w:id="900783"/>
    </w:p>
    <w:p>
      <w:pPr>
        <w:pStyle w:val="Normal"/>
      </w:pPr>
      <w:r>
        <w:t xml:space="preserve">For the purposes of this Chapter: environmental law means a statute or regulation of a Party, or provision thereof, including any that implements the Party’s obligations under a multilateral environmental agreement, the primary purpose of which is the protection of the environment, or the prevention of a danger to human life or health, through: (a) the prevention, abatement, or control of the release, discharge, or emission of pollutants or environmental contaminants; (b) the control of environmentally hazardous or toxic chemicals, substances, materials, or wastes, and the dissemination of information related thereto; or (c) the protection or conservation of wild flora or fauna,1 including endangered species, their habitat, and specially protected natural areas,2 but does not include a statute or regulation, or provision thereof, directly related to worker safety or health, nor any statute or regulation, or provision thereof, the primary purpose of which is managing the subsistence or aboriginal harvesting of natural resources; and statute or regulation means:</w:t>
      </w:r>
    </w:p>
    <w:p>
      <w:pPr>
        <w:pStyle w:val="Normal"/>
      </w:pPr>
      <w:r>
        <w:t>(a) for Canada, an Act of the Parliament of Canada or regulation made under an Act of the Parliament of Canada that is enforceable by action of the central level of government; (b) for Mexico, an Act of Congress or regulation promulgated pursuant to an Act of Congress that is enforceable by action of the federal level of government; and (c) for the United States, an Act of Congress or</w:t>
      </w:r>
    </w:p>
    <w:p>
      <w:pPr>
        <w:pStyle w:val="Normal"/>
      </w:pPr>
      <w:r>
        <w:t>regulation promulgated pursuant to an Act of Congress that is enforceable by action of the central level of government. 1 The Parties recognize that “protection or conservation” may include the protection or conservation of biological diversity. 2 For the purposes of this Chapter, the term “specially protected natural areas” means those areas as defined by the Party in its law.</w:t>
      </w:r>
    </w:p>
    <w:p>
      <w:pPr>
        <w:pStyle w:val="Heading2"/>
      </w:pPr>
      <w:bookmarkStart w:id="900784" w:name="_Toc300000783"/>
      <w:r>
        <w:t xml:space="preserve">Article 24.2: Scope and Objectives</w:t>
      </w:r>
      <w:bookmarkEnd w:id="900784"/>
    </w:p>
    <w:p>
      <w:pPr>
        <w:pStyle w:val="Normal"/>
      </w:pPr>
      <w:r>
        <w:t xml:space="preserve">1. The Parties recognize that a healthy environment is an integral element of sustainable development and recognize the contribution that trade makes to sustainable development. 2. The objectives of this Chapter are to promote mutually supportive trade and environmental policies and practices; promote high levels of environmental protection and effective enforcement of environmental laws; and enhance the capacities of the Parties to address trade-related environmental issues, including through cooperation, in the furtherance of sustainable development. 3. Taking account of their respective national priorities and circumstances, the Parties recognize that enhanced cooperation to protect and conserve the environment and the sustainable use and management of their natural resources brings benefits that can contribute to sustainable development, strengthen their environmental governance, support implementation of international environmental agreements to which they are a party, and complement the objectives of this Agreement. 4. The Parties recognize that the environment plays an important role in the economic, social, and cultural well-being of indigenous peoples and local communities, and acknowledge the importance of engaging with these groups in the long-term conservation of the environment. 5.</w:t>
      </w:r>
    </w:p>
    <w:p>
      <w:pPr>
        <w:pStyle w:val="Normal"/>
      </w:pPr>
      <w:r>
        <w:t>The Parties further recognize that it is inappropriate to establish or use their environmental laws or other measures in a manner which would constitute a disguised restriction on trade or investment between the Parties.</w:t>
      </w:r>
    </w:p>
    <w:p>
      <w:pPr>
        <w:pStyle w:val="Heading2"/>
      </w:pPr>
      <w:bookmarkStart w:id="900785" w:name="_Toc300000784"/>
      <w:r>
        <w:t xml:space="preserve">Article 24.3: Levels of Protection</w:t>
      </w:r>
      <w:bookmarkEnd w:id="900785"/>
    </w:p>
    <w:p>
      <w:pPr>
        <w:pStyle w:val="Normal"/>
      </w:pPr>
      <w:r>
        <w:t xml:space="preserve">1. The Parties recognize the sovereign right of each Party to establish its own levels of domestic environmental protection and its own environmental priorities, and to establish, adopt, or modify its environmental laws and policies accordingly. 2. Each Party shall strive to ensure that its environmental laws and policies provide for, and encourage, high levels of environmental protection, and shall strive to continue to improve its respective levels of environmental protection.</w:t>
      </w:r>
    </w:p>
    <w:p>
      <w:pPr>
        <w:pStyle w:val="Heading2"/>
      </w:pPr>
      <w:bookmarkStart w:id="900786" w:name="_Toc300000785"/>
      <w:r>
        <w:t xml:space="preserve">Article 24.4: Enforcement of Environmental Laws</w:t>
      </w:r>
      <w:bookmarkEnd w:id="900786"/>
    </w:p>
    <w:p>
      <w:pPr>
        <w:pStyle w:val="Normal"/>
      </w:pPr>
      <w:r>
        <w:t xml:space="preserve">1. No Party shall fail to effectively enforce its environmental laws through a sustained or recurring course of action or inaction3 in a manner affecting trade or investment between the Parties,4 after the date of entry into force of this Agreement. 2. The Parties recognize that each Party retains the right to exercise discretion and to make decisions regarding: (a) investigatory, prosecutorial, regulatory, and compliance matters; and (b) the allocation of environmental enforcement resources with respect to other environmental laws determined to have higher priorities. Accordingly, the Parties understand that with respect to the enforcement of environmental laws a Party is in compliance with paragraph 1 if a course of action or inaction reflects a reasonable exercise of that discretion, or results from a bona fide decision regarding the allocation of those resources in accordance with priorities for enforcement of its environmental laws. 3. Without prejudice to Article 24.3.1 (Levels of Protection), the Parties recognize that it is inappropriate to encourage trade or investment by weakening or reducing the protection afforded in their respective environmental laws.</w:t>
      </w:r>
    </w:p>
    <w:p>
      <w:pPr>
        <w:pStyle w:val="Normal"/>
      </w:pPr>
      <w:r>
        <w:t>Accordingly, a Party shall not waive or otherwise derogate from, or offer to waive or otherwise derogate from, its environmental laws in a manner that weakens or reduces the protection afforded in those laws in order to encourage trade or investment between the Parties. 4. Nothing in this Chapter shall be construed to empower a Party’s authorities to undertake environmental law enforcement activities in the territory of another Party.</w:t>
      </w:r>
    </w:p>
    <w:p>
      <w:pPr>
        <w:pStyle w:val="Heading2"/>
      </w:pPr>
      <w:bookmarkStart w:id="900787" w:name="_Toc300000786"/>
      <w:r>
        <w:t xml:space="preserve">Article 24.5: Public Information and Participation</w:t>
      </w:r>
      <w:bookmarkEnd w:id="900787"/>
    </w:p>
    <w:p>
      <w:pPr>
        <w:pStyle w:val="Normal"/>
      </w:pPr>
      <w:r>
        <w:t xml:space="preserve">1. Each Party shall promote public awareness of its environmental laws and policies, including enforcement and compliance procedures, by ensuring that relevant information is available to the public. 2. Each Party shall provide for the receipt and consideration of written questions or comments from persons of that Party regarding its implementation of this Chapter. Each Party shall respond in a timely manner to these questions or comments in writing and in accordance 3 For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A course of action or inaction does not include an isolated instance or case. 4 For greater certainty, a “course of action or inaction” is “in a manner affecting trade or investment between the Parties” if the course involves:</w:t>
      </w:r>
    </w:p>
    <w:p>
      <w:pPr>
        <w:pStyle w:val="Normal"/>
      </w:pPr>
      <w:r>
        <w:t>(i)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pPr>
        <w:pStyle w:val="Normal"/>
      </w:pPr>
      <w:r>
        <w:t>with domestic procedures, and make the questions or comments and the responses available to the public, for example by posting on an appropriate public website. 3. Each Party shall make use of existing, or establish new, consultative mechanisms, for example national advisory committees, to seek views on matters related to the implementation of this Chapter. These mechanisms may include persons with relevant experience, as appropriate, including experience in business, natural resource conservation and management, or other environmental matters.</w:t>
      </w:r>
    </w:p>
    <w:p>
      <w:pPr>
        <w:pStyle w:val="Heading2"/>
      </w:pPr>
      <w:bookmarkStart w:id="900788" w:name="_Toc300000787"/>
      <w:r>
        <w:t xml:space="preserve">Article 24.6: Procedural Matters</w:t>
      </w:r>
      <w:bookmarkEnd w:id="900788"/>
    </w:p>
    <w:p>
      <w:pPr>
        <w:pStyle w:val="Normal"/>
      </w:pPr>
      <w:r>
        <w:t xml:space="preserve">1. Each Party shall ensure that an interested person may request that the Party’s competent authorities investigate alleged violations of its environmental laws, and that the competent authorities give those requests due consideration, in accordance with its law. 2. Each Party shall ensure that persons with a recognized interest under its law in a particular matter have appropriate access to administrative, quasi-judicial, or judicial proceedings for the enforcement of the Party’s environmental laws, and the right to seek appropriate remedies or sanctions for violations of those laws. 3. Each Party shall ensure that administrative, quasi-judicial, or judicial proceedings for the enforcement of the Party’s environmental laws are available under its law and that those proceedings are fair, equitable, transparent, and comply with due process of law, including the opportunity for parties to the proceedings to support or defend their respective positions. The Parties recognize that these proceedings should not be unnecessarily complicated nor entail unreasonable fees or time limits. 4.</w:t>
      </w:r>
    </w:p>
    <w:p>
      <w:pPr>
        <w:pStyle w:val="Normal"/>
      </w:pPr>
      <w:r>
        <w:t>Each Party shall provide that any hearings in these proceedings are conducted by impartial and independent persons who do not have an interest in the outcome of the matter. Hearings in these proceedings shall be open to the public, except when the administration of justice otherwise requires, and in accordance with its applicable law. 5.</w:t>
      </w:r>
    </w:p>
    <w:p>
      <w:pPr>
        <w:pStyle w:val="Normal"/>
      </w:pPr>
      <w:r>
        <w:t>Each Party shall provide that final decisions on the merits of the case in these proceedings are: (a) in writing and if appropriate state the reasons on which the decisions are based; (b) made available without undue delay to the parties to the proceedings and, in accordance with its law, to the public; and (c) based on information or evidence presented by the parties or other sources, in accordance with its law. 6. Each Party shall also provide, as appropriate, that parties to these proceedings have the right, in accordance with its law, to seek review and, if warranted, correction or redetermination, of final decisions in such proceedings. 7. Each Party shall provide appropriate sanctions or remedies for violations of its environmental laws and shall ensure that it takes account of relevant factors when establishing sanctions or remedies, which may include the nature and gravity of the violation, damage to the environment, and any economic benefit derived by the violator.</w:t>
      </w:r>
    </w:p>
    <w:p>
      <w:pPr>
        <w:pStyle w:val="Heading2"/>
      </w:pPr>
      <w:bookmarkStart w:id="900789" w:name="_Toc300000788"/>
      <w:r>
        <w:t xml:space="preserve">Article 24.7: Environmental Impact Assessment</w:t>
      </w:r>
      <w:bookmarkEnd w:id="900789"/>
    </w:p>
    <w:p>
      <w:pPr>
        <w:pStyle w:val="Normal"/>
      </w:pPr>
      <w:r>
        <w:t xml:space="preserve">1. Each Party shall maintain appropriate procedures for assessing the environmental impacts of proposed projects that are subject to an action by that Party’s central level of government that may cause significant effects on the environment with a view to avoiding, minimizing, or mitigating adverse effects. 2. Each Party shall ensure that such procedures provide for the disclosure of information to the public and, in accordance with its law, allow for public participation.</w:t>
      </w:r>
    </w:p>
    <w:p>
      <w:pPr>
        <w:pStyle w:val="Heading2"/>
      </w:pPr>
      <w:bookmarkStart w:id="900790" w:name="_Toc300000789"/>
      <w:r>
        <w:t xml:space="preserve">Article 24.8: Multilateral Environmental Agreements</w:t>
      </w:r>
      <w:bookmarkEnd w:id="900790"/>
    </w:p>
    <w:p>
      <w:pPr>
        <w:pStyle w:val="Normal"/>
      </w:pPr>
      <w:r>
        <w:t xml:space="preserve">1. The Parties recognize the important role that multilateral environmental agreements can play in protecting the environment and as a response of the international community to global or regional environmental problems. 2. Each Party affirms its commitment to implement the multilateral environmental agreements to which it is a party. 3. The Parties commit to consult and cooperate as appropriate with respect to environmental issues of mutual interest, in particular trade-related issues, pertaining to relevant multilateral environmental agreements. This includes exchanging information on the implementation of multilateral environmental agreements to which a Party is party; ongoing negotiations of new multilateral environmental agreements; and, each Party’s respective views on becoming a party to additional multilateral environmental agreements.</w:t>
      </w:r>
    </w:p>
    <w:p>
      <w:pPr>
        <w:pStyle w:val="Heading2"/>
      </w:pPr>
      <w:bookmarkStart w:id="900791" w:name="_Toc300000790"/>
      <w:r>
        <w:t xml:space="preserve">Article 24.9: Protection of the Ozone Layer</w:t>
      </w:r>
      <w:bookmarkEnd w:id="900791"/>
    </w:p>
    <w:p>
      <w:pPr>
        <w:pStyle w:val="Normal"/>
      </w:pPr>
      <w:r>
        <w:t xml:space="preserve">1. The Parties recognize that emissions of certain substances can significantly deplete and otherwise modify the ozone layer in a manner that is likely to result in adverse effects on human health and the environment. Accordingly, each Party shall take measures to control the production and consumption of, and trade in, such substances.5,6,7 2. The Parties also recognize the importance of public participation and consultation, in accordance with their respective law or policy, in the development and implementation of measures concerning the protection of the ozone layer. Each Party shall make publicly available appropriate information about its programs and activities, including cooperative programs that are related to ozone layer protection. 3. Consistent with Article 24.25 (Environmental Cooperation), the Parties shall cooperate to address matters of mutual interest related to ozone-depleting substances. Cooperation may include, exchanging information and experiences in areas related to: (a) environmentally friendly alternatives to ozone-depleting substances; (b) refrigerant management practices, policies and programs; (c) methodologies for stratospheric ozone measurements; and (d) combatting illegal trade in ozone-depleting substances.</w:t>
      </w:r>
    </w:p>
    <w:p>
      <w:pPr>
        <w:pStyle w:val="Normal"/>
      </w:pPr>
      <w:r>
        <w:t>5 For greater certainty, this provision pertains to ozone- depleting substances controlled by the Montreal Protocol on Substances that Deplete the Ozone Layer, done at Montreal, September 16, 1987 (Montreal Protocol), and any existing and future amendments to the Montreal Protocol to which the Parties are parties. 6 A Party shall be deemed in compliance with this provision if it maintains the measure or measures listed in Annex 24-A implementing its obligations under the Montreal Protocol or adopts any subsequent measure or measures that provide an equivalent or higher level of environmental protection as the measure or measures listed. If compliance with this provision is not established pursuant to footnote 6, to establish a violation of this provision, a Party must demonstrate that the other Party has failed to take measures to control the production and consumption of, and trade in, certain substances that can significantly deplete and otherwise modify the ozone layer in a manner that is likely to result in adverse effects on human health and the environment, in a manner affecting trade or investment between the Parties.</w:t>
      </w:r>
    </w:p>
    <w:p>
      <w:pPr>
        <w:pStyle w:val="Normal"/>
      </w:pPr>
      <w:r>
        <w:t>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pPr>
        <w:pStyle w:val="Heading2"/>
      </w:pPr>
      <w:bookmarkStart w:id="900792" w:name="_Toc300000791"/>
      <w:r>
        <w:t xml:space="preserve">Article 24.10: Protection of the Marine Environment from Ship Pollution</w:t>
      </w:r>
      <w:bookmarkEnd w:id="900792"/>
    </w:p>
    <w:p>
      <w:pPr>
        <w:pStyle w:val="Normal"/>
      </w:pPr>
      <w:r>
        <w:t xml:space="preserve">1. The Parties recognize the importance of protecting and preserving the marine environment. To that end, each Party shall take measures to prevent the pollution of the marine environment from ships.8, 9, 10 2. The Parties also recognize the importance of public participation and consultation, in accordance with their respective law or policy, in the development and implementation of measures to prevent the pollution of the marine environment from ships. Each Party shall make publicly available appropriate information about its programs and activities, including cooperative programs, that are related to the prevention of pollution of the marine environment from ships. 3. Consistent with Article 24.25 (Environmental Cooperation), the Parties shall cooperate to address matters of mutual interest with respect to pollution of the marine environment from ships.</w:t>
      </w:r>
    </w:p>
    <w:p>
      <w:pPr>
        <w:pStyle w:val="Normal"/>
      </w:pPr>
      <w:r>
        <w:t>Areas of cooperation may include: (a) accidental pollution from ships; (b) pollution from routine operations of ships; (c) deliberate pollution from ships; (d) development of technologies to minimise ship-generated waste; (e) emissions from ships; (f) adequacy of port waste reception facilities; For greater certainty, this provision pertains to pollution regulated by the International Convention for the Prevention of Pollution from Ships, done at London, November 2, 1973, as modified by the Protocol of 1978 relating to the International Convention for the Prevention of Pollution from Ships, done at London, February 17, 1978, and the Protocol of 1997 to Amend the International Convention for the Prevention of Pollution from Ships, 1973 as Modified by the Protocol of 1978 relating thereto, done at London, September 26, 1997 (MARPOL Convention), and any existing and future amendments to the MARPOL Convention, to which the Parties are parties. 9 A Party shall be deemed in compliance with this provision if it maintains the measure or measures listed in Annex 24-B implementing its obligations under MARPOL Convention, or adopts any subsequent measure or measures that provide an equivalent or higher level of environmental protection as the measure or measures listed.</w:t>
      </w:r>
    </w:p>
    <w:p>
      <w:pPr>
        <w:pStyle w:val="Normal"/>
      </w:pPr>
      <w:r>
        <w:t>10 If compliance with this provision is not established pursuant to footnote 9, to establish a violation of this provision, a Party must demonstrate that the other Party has failed to take measures to prevent the pollution of the marine environment from ships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(g) increased protection in special geographic areas; and (h) enforcement measures including notifications to flag States and, as appropriate, by port States.</w:t>
      </w:r>
    </w:p>
    <w:p>
      <w:pPr>
        <w:pStyle w:val="Heading2"/>
      </w:pPr>
      <w:bookmarkStart w:id="900793" w:name="_Toc300000792"/>
      <w:r>
        <w:t xml:space="preserve">Article 24.11: Air Quality</w:t>
      </w:r>
      <w:bookmarkEnd w:id="900793"/>
    </w:p>
    <w:p>
      <w:pPr>
        <w:pStyle w:val="Normal"/>
      </w:pPr>
      <w:r>
        <w:t xml:space="preserve">1. The Parties recognize that air pollution is a serious threat to public health, ecosystem integrity, and sustainable development and contributes to other environmental problems; and note that reducing certain air pollutants can provide multiple benefits. 2. Noting that air pollution can travel long distances and impact each Party’s ability to achieve its air quality objectives, the Parties recognize the importance of reducing both domestic and transboundary air pollution, and that cooperation can be beneficial in achieving these objectives. 3. The Parties further recognize the importance of public participation and transparency in the development and implementation of measures to prevent air pollution and in ensuring access to air quality data. Accordingly, each Party shall make air quality data and information about its associated programs and activities publicly available in accordance with Article 32.7 (Disclosure of Information), and shall seek to ensure these data and information are easily accessible and understandable to the public. 4. The Parties recognize the value of harmonizing air quality monitoring methodologies. 5. The Parties recognize the importance of international agreements and other efforts to improve air quality and control air pollutants, including those that have the potential for long- range transport. 6.</w:t>
      </w:r>
    </w:p>
    <w:p>
      <w:pPr>
        <w:pStyle w:val="Normal"/>
      </w:pPr>
      <w:r>
        <w:t>Recognizing that the Parties have made significant progress to address air pollution in other fora, and consistent with Article 24.25 (Environmental Cooperation), the Parties shall cooperate to address matters of mutual interest with respect to air quality. Cooperation may include exchanging information and experiences in areas related to: (a) ambient air quality planning; (b) modeling and monitoring, including spatial distribution of main sources and their emissions; (c) measurement and inventory methodologies for air quality and emissions’ measurements; and (d) reduction, control, and prevention technologies and practices.</w:t>
      </w:r>
    </w:p>
    <w:p>
      <w:pPr>
        <w:pStyle w:val="Heading2"/>
      </w:pPr>
      <w:bookmarkStart w:id="900794" w:name="_Toc300000793"/>
      <w:r>
        <w:t xml:space="preserve">Article 24.12: Marine Litter</w:t>
      </w:r>
      <w:bookmarkEnd w:id="900794"/>
    </w:p>
    <w:p>
      <w:pPr>
        <w:pStyle w:val="Normal"/>
      </w:pPr>
      <w:r>
        <w:t xml:space="preserve">1. The Parties recognize the importance of taking action to prevent and reduce marine litter, including plastic litter and microplastics, in order to preserve human health and marine and coastal ecosystems, prevent the loss of biodiversity, and mitigate marine litter’s costs and impacts. 2. Recognizing the global nature of the challenge of marine litter, each Party shall take measures to prevent and reduce marine litter. 3. Recognizing that the Parties are taking action to address marine litter in other fora, consistent with Article 24.25 (Environmental Cooperation), the Parties shall cooperate to address matters of mutual interest with respect to combatting marine litter, such as addressing land and sea-based pollution, promoting waste management infrastructure, and advancing efforts related to abandoned, lost, or otherwise discarded fishing gear.</w:t>
      </w:r>
    </w:p>
    <w:p>
      <w:pPr>
        <w:pStyle w:val="Heading2"/>
      </w:pPr>
      <w:bookmarkStart w:id="900795" w:name="_Toc300000794"/>
      <w:r>
        <w:t xml:space="preserve">Article 24.13: Corporate Social Responsibility and Responsible Business Conduct</w:t>
      </w:r>
      <w:bookmarkEnd w:id="900795"/>
    </w:p>
    <w:p>
      <w:pPr>
        <w:pStyle w:val="Normal"/>
      </w:pPr>
      <w:r>
        <w:t xml:space="preserve">1. The Parties recognize the importance of promoting corporate social responsibility and responsible business conduct. 2. Each Party shall encourage enterprises organized or constituted under its laws, or operating in its territory, to adopt and implement voluntary best practices of corporate social responsibility that are related to the environment, such as those in internationally recognized standards and guidelines that have been endorsed or are supported by that Party, to strengthen coherence between economic and environmental objectives.</w:t>
      </w:r>
    </w:p>
    <w:p>
      <w:pPr>
        <w:pStyle w:val="Heading2"/>
      </w:pPr>
      <w:bookmarkStart w:id="900796" w:name="_Toc300000795"/>
      <w:r>
        <w:t xml:space="preserve">Article 24.14: Voluntary Mechanisms to Enhance Environmental Performance</w:t>
      </w:r>
      <w:bookmarkEnd w:id="900796"/>
    </w:p>
    <w:p>
      <w:pPr>
        <w:pStyle w:val="Normal"/>
      </w:pPr>
      <w:r>
        <w:t xml:space="preserve">1. The Parties recognize that flexible, voluntary mechanisms, for example, voluntary auditing and reporting, market-based mechanisms, voluntary sharing of information and expertise, and public-private partnerships, can contribute to the achievement and maintenance of high levels of environmental protection and complement domestic regulatory measures. The Parties also recognize that those mechanisms should be designed in a manner that maximizes their environmental benefits and avoids the creation of unnecessary barriers to trade. 2. Therefore, in accordance with its laws, regulations, or policies and to the extent it considers appropriate, each Party shall encourage: (a) the use of flexible, voluntary mechanisms to protect the environment and natural resources, such as through the conservation and sustainable use of those resources, in its territory; and (b) its relevant authorities, private sector, non-governmental organizations, and other interested persons involved in the development of criteria used to evaluate environmental performance, with respect to these voluntary mechanisms, to continue to develop and improve such criteria. 3.</w:t>
      </w:r>
    </w:p>
    <w:p>
      <w:pPr>
        <w:pStyle w:val="Normal"/>
      </w:pPr>
      <w:r>
        <w:t>Further, if private sector entities or non-governmental organizations develop voluntary mechanisms for the promotion of products based on their environmental qualities, each Party should encourage those entities and organizations to develop voluntary mechanisms that, among other things: (a) are truthful, are not misleading, and take into account relevant scientific and technical information; (b) are based on relevant international standards, recommendations, guidelines, or best practices, as appropriate; (c) promote competition and innovation; and (d) do not treat a product less favorably on the basis of origin.</w:t>
      </w:r>
    </w:p>
    <w:p>
      <w:pPr>
        <w:pStyle w:val="Heading2"/>
      </w:pPr>
      <w:bookmarkStart w:id="900797" w:name="_Toc300000796"/>
      <w:r>
        <w:t xml:space="preserve">Article 24.15: Trade and Biodiversity</w:t>
      </w:r>
      <w:bookmarkEnd w:id="900797"/>
    </w:p>
    <w:p>
      <w:pPr>
        <w:pStyle w:val="Normal"/>
      </w:pPr>
      <w:r>
        <w:t xml:space="preserve">1. The Parties recognize the importance of conservation and sustainable use of biological diversity, as well as the ecosystem services it provides, and their key role in achieving sustainable development. 2. Accordingly, each Party shall promote and encourage the conservation and sustainable use of biological diversity, in accordance with its law or policy. 3. The Parties recognize the importance of respecting, preserving, and maintaining knowledge and practices of indigenous peoples and local communities embodying traditional lifestyles that contribute to the conservation and sustainable use of biological diversity. 4. The Parties recognize the importance of facilitating access to genetic resources within their respective national jurisdictions, consistent with each Party’s international obligations. The Parties further recognize that some Parties may require, through national measures, prior informed consent to access such genetic resources in accordance with national measures and, if access is granted, the establishment of mutually agreed terms, including with respect to sharing of benefits from the use of such genetic resources, between users and providers. 5.</w:t>
      </w:r>
    </w:p>
    <w:p>
      <w:pPr>
        <w:pStyle w:val="Normal"/>
      </w:pPr>
      <w:r>
        <w:t>The Parties also recognize the importance of public participation and consultation, in accordance with their respective law or policy, in the development and implementation of measures concerning the conservation and sustainable use of biological diversity.</w:t>
      </w:r>
    </w:p>
    <w:p>
      <w:pPr>
        <w:pStyle w:val="Normal"/>
      </w:pPr>
      <w:r>
        <w:t>Each Party shall make publicly available information about its programs and activities, including cooperative programs, related to the conservation and sustainable use of biological diversity. 6. Consistent with Article 24.25 (Environmental Cooperation), the Parties shall cooperate to address matters of mutual interest. Cooperation may include exchanging information and experiences in areas related to: (a) the conservation and sustainable use of biological diversity; (b) mainstreaming conservation and sustainable use of biological diversity across relevant sectors; (c) the protection and maintenance of ecosystems and ecosystem services; and (d) access to genetic resources and the sharing of benefits arising from their utilization.</w:t>
      </w:r>
    </w:p>
    <w:p>
      <w:pPr>
        <w:pStyle w:val="Heading2"/>
      </w:pPr>
      <w:bookmarkStart w:id="900798" w:name="_Toc300000797"/>
      <w:r>
        <w:t xml:space="preserve">Article 24.16: Invasive Alien Species</w:t>
      </w:r>
      <w:bookmarkEnd w:id="900798"/>
    </w:p>
    <w:p>
      <w:pPr>
        <w:pStyle w:val="Normal"/>
      </w:pPr>
      <w:r>
        <w:t xml:space="preserve">1. The Parties recognize that the movement of terrestrial and aquatic invasive alien species across borders through trade-related pathways can adversely affect the environment, economic activities and development, and human health. The Parties also recognize that the prevention, detection, control and, when possible, eradication, of invasive alien species are critical strategies for managing those adverse impacts. 2. Accordingly, the Environment Committee established under Article 24.26.2 (Environment Committee and Contact Points) shall coordinate with the Committee on Sanitary and Phytosanitary Measures established under Article 9.17 (Committee on Sanitary and Phytosanitary Measures) to identify cooperative opportunities to share information and management experiences on the movement, prevention, detection, control, and eradication of invasive alien species, with a view to enhancing efforts to assess and address the risks and adverse impacts of invasive alien species.</w:t>
      </w:r>
    </w:p>
    <w:p>
      <w:pPr>
        <w:pStyle w:val="Heading2"/>
      </w:pPr>
      <w:bookmarkStart w:id="900799" w:name="_Toc300000798"/>
      <w:r>
        <w:t xml:space="preserve">Article 24.17: Marine Wild Capture Fisheries</w:t>
      </w:r>
      <w:r>
        <w:rPr>
          <w:vertAlign w:val="superscript"/>
        </w:rPr>
        <w:t xml:space="preserve">11</w:t>
      </w:r>
      <w:bookmarkEnd w:id="900799"/>
    </w:p>
    <w:p>
      <w:pPr>
        <w:pStyle w:val="Normal"/>
      </w:pPr>
      <w:r>
        <w:t xml:space="preserve">1. The Parties acknowledge their role as major consumers, producers, and traders of fisheries products and the importance of the marine fisheries sectors to their development and to the livelihoods of fishing communities, including those engaged in artisanal, small scale, and indigenous fisheries. The Parties also recognize the need for individual and collective action within international fora to address the urgent resource problems resulting from overfishing and unsustainable utilization of fisheries resources. 2. Accordingly, the Parties recognize the importance of taking measures aimed at the conservation and the sustainable management of fisheries and the contribution of those measures to providing environmental, economic and social opportunities for present and future generations. The Parties also recognize the importance of promoting and facilitating trade in sustainably managed and legally harvested fish and fish products, while ensuring that trade in these products is not subject to unnecessary or unjustifiable barriers to trade, given the negative effect that such barriers can have on the well-being of their communities who depend upon the fishing industry for their livelihood. 3.</w:t>
      </w:r>
    </w:p>
    <w:p>
      <w:pPr>
        <w:pStyle w:val="Normal"/>
      </w:pPr>
      <w:r>
        <w:t>If an importing Party is considering adopting trade restrictive measures for fish or fish products in order to protect or conserve fish or other marine species, the Parties recognize the importance that these measures be:12 (a) based on the best scientific evidence available, as applicable, that establish a connection between the products affected by the measure and the species being protected or conserved; (b) tailored to the conservation objective; and (c) implemented after the importing Party has: (i) consulted with the exporting Party, in an effort to resolve the issue cooperatively; and (ii) provided a reasonable opportunity for the exporting Party to take appropriate measures to address the issue. 4. The Parties shall cooperate with, and, if appropriate, in, Regional Fisheries Management Organizations (RFMOs) and Regional Fisheries Management Arrangements (RFMAs), in which For greater certainty, Article 24.17 (Marine Wild Capture Fisheries), Article 24.18 (Sustainable Fisheries Management), Article 24.19 (Conservation of Marine Species), Article 24.20 (Fisheries Subsidies), and Article 24.21 (Illegal, Unreported, and Unregulated (IUU) Fishing) do not apply with respect to aquaculture.</w:t>
      </w:r>
    </w:p>
    <w:p>
      <w:pPr>
        <w:pStyle w:val="Normal"/>
      </w:pPr>
      <w:r>
        <w:t>12 For greater certainty, this paragraph is without prejudice to any rights or obligations of the Parties relating to the adoption or application of trade restrictive measures for fish and fish products.</w:t>
      </w:r>
    </w:p>
    <w:p>
      <w:pPr>
        <w:pStyle w:val="Normal"/>
      </w:pPr>
      <w:r>
        <w:t>the Parties are members, observers, or cooperating non-contracting parties, with the aim of achieving good governance, including by advocating for science-based decisions and compliance with those decisions in these organizations and arrangements.</w:t>
      </w:r>
    </w:p>
    <w:p>
      <w:pPr>
        <w:pStyle w:val="Heading2"/>
      </w:pPr>
      <w:bookmarkStart w:id="900800" w:name="_Toc300000799"/>
      <w:r>
        <w:t xml:space="preserve">Article 24.18: Sustainable Fisheries Management</w:t>
      </w:r>
      <w:bookmarkEnd w:id="900800"/>
    </w:p>
    <w:p>
      <w:pPr>
        <w:pStyle w:val="Normal"/>
      </w:pPr>
      <w:r>
        <w:t xml:space="preserve">1. In furtherance of the objectives of conservation and sustainable management, each Party shall seek to operate a fisheries management system that regulates marine wild capture fishing and that is designed to: (a) prevent overfishing and overcapacity through appropriate measures, such as limited entry, time, area, and other restrictions, and the setting and enforcement of catch or effort limits; (b) reduce bycatch of non-target species and juveniles, including through the regulation of, and implementation of measures associated with, fishing gear and methods that result in bycatch and the regulation of fishing in areas where bycatch is likely to occur; (c) promote the recovery of overfished stocks for all marine fisheries in which that Party’s persons conduct fishing activities; and (d) protect marine habitat by cooperating, as appropriate, to prevent or mitigate significant adverse impacts from fishing. 2. Further, each Party shall adopt or maintain measures: (a) to prevent the use of poisons and explosives for the purpose of commercial fish harvesting; and (b) designed to prohibit the practice of shark finning. 3.</w:t>
      </w:r>
    </w:p>
    <w:p>
      <w:pPr>
        <w:pStyle w:val="Normal"/>
      </w:pPr>
      <w:r>
        <w:t>Each Party shall base its fisheries management system on the best scientific evidence available and on internationally recognized best practices for fisheries management and conservation as reflected in the relevant provisions of international instruments aimed at ensuring the sustainable use and conservation of marine species.13 13 These instruments include, as they may apply, the United Nations Convention on Law of the Sea (UNCLOS), done at Montego Bay, December 10, 1982; the United Nations Agreement for the Implementation of the Provisions of the United Nations Convention on the Law of the Sea of December 1982 relating to the Conservation and Management of Straddling Fish Stocks and Highly Migratory Fish Stocks, done at New York, December 4, 1995 (UN Fish Stocks Agreement); the FAO Code of Conduct for Responsible Fisheries; the 1993 FAO Agreement to Promote Compliance with International Conservation and Management Measures by Fishing Vessels on the High Seas (Compliance Agreement), done at Rome, November 24, 1993; the 2001 FAO International Plan of Action to</w:t>
      </w:r>
    </w:p>
    <w:p>
      <w:pPr>
        <w:pStyle w:val="Heading2"/>
      </w:pPr>
      <w:bookmarkStart w:id="900801" w:name="_Toc300000800"/>
      <w:r>
        <w:t xml:space="preserve">Article 24.19: Conservation of Marine Species</w:t>
      </w:r>
      <w:bookmarkEnd w:id="900801"/>
    </w:p>
    <w:p>
      <w:pPr>
        <w:pStyle w:val="Normal"/>
      </w:pPr>
      <w:r>
        <w:t xml:space="preserve">1. Each Party shall promote the long-term conservation of sharks, sea turtles, seabirds, and marine mammals through the implementation and effective enforcement of conservation and management measures. Such measures shall include: (a) studies and assessments of the impact of fisheries operations on non-target species and their marine habitats, including through collection of species-specific data for non-target species and estimates of their bycatch, as appropriate; (b) gear-specific studies and data collection on impacts on non-target species and on the efficacy of management measures to reduce those adverse impacts, as appropriate; (c) measures to avoid, mitigate, or reduce bycatch of non-target species in fisheries, including appropriate measures pertaining to the use of bycatch mitigation devices, modified gear, or other techniques to reduce the impact of fishing operations on these species; and (d) cooperation on national and regional bycatch reduction measures, such as measures applicable to commercial fisheries pertaining to transboundary stocks of non-target species. 2.</w:t>
      </w:r>
    </w:p>
    <w:p>
      <w:pPr>
        <w:pStyle w:val="Normal"/>
      </w:pPr>
      <w:r>
        <w:t>Each Party shall prohibit the killing of great whales14 for commercial purposes unless authorized in a multilateral treaty to which the Party is a party.15 Prevent, Deter, and Eliminate Illegal, Unreported, and Unregulated Fishing (IUU IPOA), adopted at Rome, February 23, 2001; and the 2009 Agreement on Port State Measures to Prevent, Deter, and Eliminate IUU Fishing (Port State Measures Agreement), done at Rome, November 22, 2009. Great whales are the following 16 species: Balaena mysticetus, Eubalaena glacialis, Eubalaena japonica, Eubalaena australis, Eschrichtius robustus, Balaenoptera musculus, Balaenoptera physalus, Balaenoptera borealis, Balaenoptera edeni, Balaenoptera acutorostrata, Balaenoptera bonaerensis, Balaenoptera omurai, Megaptera novaeangliae, Caperea marginata, Physeter macrocephalus, and Hyperoodon ampullatus. 15 For greater certainty, the Parties understand that paragraph 2 does not apply to whaling by indigenous peoples in accordance with a Party’s law, including for Canada the legal obligations recognized and affirmed by section 35 of the Constitution Act, 1982 or those set out in self-government agreements between a central or regional level of government and indigenous peoples.</w:t>
      </w:r>
    </w:p>
    <w:p>
      <w:pPr>
        <w:pStyle w:val="Heading2"/>
      </w:pPr>
      <w:bookmarkStart w:id="900802" w:name="_Toc300000801"/>
      <w:r>
        <w:t xml:space="preserve">Article 24.20: Fisheries Subsidies</w:t>
      </w:r>
      <w:bookmarkEnd w:id="900802"/>
    </w:p>
    <w:p>
      <w:pPr>
        <w:pStyle w:val="Normal"/>
      </w:pPr>
      <w:r>
        <w:t xml:space="preserve">1. The Parties recognize that the implementation of a fisheries management system that is designed to prevent overfishing and overcapacity and to promote the recovery of overfished stocks must include the control, reduction, and eventual elimination of all subsidies that contribute to overfishing and overcapacity. To that end, no Party shall grant or maintain any of the following subsidies16 within the meaning of Article 1.1 of the SCM Agreement that are specific within the meaning of Article 2 of the SCM Agreement: (a) subsidies provided to a fishing vessel17 or operator18 while listed for IUU fishing19 by the flag State, the subsidizing Party, or a relevant RFMO or RFMA in accordance with the rules and procedures of that organization or arrangement and in conformity with international law; and (b) subsidies for fishing20 that negatively affect21 fish stocks that are in an overfished22 condition. 2.</w:t>
      </w:r>
    </w:p>
    <w:p>
      <w:pPr>
        <w:pStyle w:val="Normal"/>
      </w:pPr>
      <w:r>
        <w:t>Subsidy programs that are established by a Party before the date of entry into force of this Agreement and are subsidies referred to in paragraph 1(b) shall be brought into conformity with paragraph 1 as soon as possible and no later than three years after the date of entry into force of this Agreement. 16 For the purposes of this Article, a subsidy shall be attributable to the Party granting or maintaining it, regardless of the flag of the vessel involved or the application of rules of origin to the fish involved.</w:t>
      </w:r>
    </w:p>
    <w:p>
      <w:pPr>
        <w:pStyle w:val="Normal"/>
      </w:pPr>
      <w:r>
        <w:t>17 The term “fishing vessel” refers to any vessel, ship, or other type of boat used for, equipped to be used for, or intended to be used for fishing or fishing related activities. 18 The term “operator” means the owner of the vessel, or any person onboard, who is in charge of or directs or controls the vessel at the time of the IUU infraction. For greater certainty, the prohibition on the provision of subsidies to operators engaged in IUU fishing applies only to subsidies for fishing or fishing related activities. 19 “Illegal, unreported, and unregulated fishing” is to be understood to have the same meaning as paragraph 3 of the IUU IPOA. 20 For the purposes of this Article, “fishing” means searching for, attracting, locating, catching, taking, or harvesting fish, or any activity which can reasonably be expected to result in the attracting, locating, catching, taking, or harvesting of fish. 21 The negative effect of such subsidies shall be determined based on the best scientific evidence available.</w:t>
      </w:r>
    </w:p>
    <w:p>
      <w:pPr>
        <w:pStyle w:val="Normal"/>
      </w:pPr>
      <w:r>
        <w:t>22 For the purposes of this Article, a fish stock is overfished if the stock is at such a low level that mortality from fishing needs to be restricted to allow the stock to rebuild to a level that produces maximum sustainable yield or alternative reference points based on the best scientific evidence available.</w:t>
      </w:r>
    </w:p>
    <w:p>
      <w:pPr>
        <w:pStyle w:val="Normal"/>
      </w:pPr>
      <w:r>
        <w:t>Fish stocks that are recognized as overfished by the national jurisdiction where the fishing is taking place or by a relevant RFMO or RFMA shall also be considered overfished for the purposes of this Article. 3. In relation to subsidies that are not prohibited by paragraph 1, and taking into consideration a Party’s social and developmental priorities, each Party shall make best efforts to refrain from introducing new, or extending or enhancing existing, subsidies within the meaning of Article 1.1 of the SCM Agreement, to the extent they are specific within the meaning of Article 2 of the SCM Agreement, that contribute to overfishing or overcapacity. 4. With a view to achieving the objective of eliminating subsidies that contribute to overfishing and overcapacity, the Parties shall review the disciplines in paragraph 1 at regular meetings of the Environment Committee. 5.</w:t>
      </w:r>
    </w:p>
    <w:p>
      <w:pPr>
        <w:pStyle w:val="Normal"/>
      </w:pPr>
      <w:r>
        <w:t>Each Party shall notify the other Parties, within one year of the date of entry into force of this Agreement and every two years thereafter, of any subsidy within the meaning of Article 1.1 of the SCM Agreement that is specific within the meaning of Article 2 of the SCM Agreement, that the Party grants or maintains to persons engaged in fishing or fishing related activities. 6.</w:t>
      </w:r>
    </w:p>
    <w:p>
      <w:pPr>
        <w:pStyle w:val="Normal"/>
      </w:pPr>
      <w:r>
        <w:t>These notifications shall cover subsidies provided within the previous two-year period and shall include the information required under Article 25.3 of the SCM Agreement and, to the extent possible, the following information:23 (a) program name; (b) legal authority for the program; (c) catch data by species in the fishery for which the subsidy is provided; (d) status, whether overfished, fully fished, or underfished, of the fish stocks in the fishery for which the subsidy is provided; (e) fleet capacity in the fishery for which the subsidy is provided; (f) conservation and management measures in place for the relevant fish stock; and (g) total imports and exports per species. 7. Each Party shall also provide, to the extent possible, information in relation to other subsidies that the Party grants or maintains to persons engaged in fishing or fishing related activities that are not covered by paragraph 1, in particular fuel subsidies.</w:t>
      </w:r>
    </w:p>
    <w:p>
      <w:pPr>
        <w:pStyle w:val="Normal"/>
      </w:pPr>
      <w:r>
        <w:t>23 Sharing information and data on existing fisheries subsidy programs does not prejudge their legal status, effects, or nature under the GATT 1994 or the SCM Agreement and is intended to complement WTO data reporting requirements. 8. A Party may request additional information from the notifying Party regarding the notifications provided under paragraphs 5 and 6. The notifying Party shall respond to that request as quickly as possible and in a comprehensive manner. 9.</w:t>
      </w:r>
    </w:p>
    <w:p>
      <w:pPr>
        <w:pStyle w:val="Normal"/>
      </w:pPr>
      <w:r>
        <w:t>Each Party shall notify the other Parties on an annual basis of any list of vessels and operators identified as having engaged in IUU fishing. 10. The Parties shall work in the WTO towards strengthening international rules on the provision of subsidies to the fisheries sector and enhancing transparency of fisheries subsidies.</w:t>
      </w:r>
    </w:p>
    <w:p>
      <w:pPr>
        <w:pStyle w:val="Heading2"/>
      </w:pPr>
      <w:bookmarkStart w:id="900803" w:name="_Toc300000802"/>
      <w:r>
        <w:t xml:space="preserve">Article 24.21: Illegal, Unreported, and Unregulated (IUU) Fishing</w:t>
      </w:r>
      <w:bookmarkEnd w:id="900803"/>
    </w:p>
    <w:p>
      <w:pPr>
        <w:pStyle w:val="Normal"/>
      </w:pPr>
      <w:r>
        <w:t xml:space="preserve">1. The Parties recognize the importance of concerted international action to address IUU fishing as reflected in regional and international instruments24 and shall endeavor to improve cooperation internationally in this regard, including with and through competent international organizations. 2. In support of international efforts to combat IUU fishing and to help deter trade in products from IUU fishing, each Party shall: (a) implement port state measures, including through actions consistent with the Port State Measures Agreement;25 (b) support monitoring, control, surveillance, compliance, and enforcement schemes, including by adopting, maintaining, reviewing, or revising, as appropriate, measures to: (i) deter vessels flying its flag and, to the extent provided for in each Party’s law, its nationals, from engaging in IUU fishing; and (ii) address the transshipment at sea of fish caught through IUU fishing or fish products derived from IUU fishing.</w:t>
      </w:r>
    </w:p>
    <w:p>
      <w:pPr>
        <w:pStyle w:val="Normal"/>
      </w:pPr>
      <w:r>
        <w:t>(c) maintain a vessel documentation scheme and promote the use of International Maritime Organization numbers, or comparable unique vessel identifiers, as 24 Regional and international instruments include, among others, and as they may apply, the IUU IPOA, the 2005 Rome Declaration on IUU Fishing, adopted at Rome, March 12, 2005, the Port State Measures Agreement, as well as instruments established and adopted by RFMOs and RFMAs, as appropriate, that have the competence to establish conservation and management measures. 25 For greater certainty, this paragraph is without prejudice to a Party’s status under the 2009 Port State Measures Agreement. appropriate, for vessels operating outside of its national jurisdiction, in order to enhance transparency of fleets and traceability of fishing vessels; (d) strive to act consistently with relevant conservation and management measures adopted by RFMOs or RFMAs of which it is not a party so as not to undermine those measures; (e) endeavor not to undermine catch or trade documentation schemes operated by RFMOs or RFMAs;</w:t>
      </w:r>
    </w:p>
    <w:p>
      <w:pPr>
        <w:pStyle w:val="Normal"/>
      </w:pPr>
      <w:r>
        <w:t>(f) develop and maintain publicly available and easily accessible registry data of fishing vessels flying its flag; promote efforts by non-Parties to develop and maintain publicly available and easily accessible registry data of such vessels flying its flag; and support efforts to complete a Global Record of Fishing Vessels, Refrigerated Transport Vessels, and Supply Vessels; and (g) cooperate with other Parties</w:t>
      </w:r>
    </w:p>
    <w:p>
      <w:pPr>
        <w:pStyle w:val="Normal"/>
      </w:pPr>
      <w:r>
        <w:t>through the exchange of information and best practices to combat trade in products derived from IUU fishing. 3. Consistent with Article 28.9 (Transparent Development of Regulations), a Party shall, to the extent possible, provide the other Parties the opportunity to comment on proposed measures that are designed to prevent trade in fisheries products derived from IUU fishing.</w:t>
      </w:r>
    </w:p>
    <w:p>
      <w:pPr>
        <w:pStyle w:val="Heading2"/>
      </w:pPr>
      <w:bookmarkStart w:id="900804" w:name="_Toc300000803"/>
      <w:r>
        <w:t xml:space="preserve">Article 24.22: Conservation and Trade</w:t>
      </w:r>
      <w:bookmarkEnd w:id="900804"/>
    </w:p>
    <w:p>
      <w:pPr>
        <w:pStyle w:val="Normal"/>
      </w:pPr>
      <w:r>
        <w:t xml:space="preserve">1. The Parties affirm the importance of combatting the illegal take26 of, and illegal trade in, wild fauna and flora, and acknowledge that this trade undermines efforts to conserve and sustainably manage those natural resources, has social consequences, distorts legal trade in wild fauna and flora, and reduces the economic and environmental value of these natural resources. 2. Accordingly, each Party shall adopt, maintain, and implement laws, regulations and any other measures to fulfil its obligations under the Convention on International Trade in Endangered Species of Wild Fauna and Flora (CITES) done at Washington, D.C., March 3, 1973.27, 28, 29 26 For the purposes of this Article, the term “take” means captured, killed, or collected and with respect to a plant, also means harvested, cut, logged or removed. 27 For the purposes of this Article, a Party’s CITES obligations include existing and future amendments to which the Parties are parties and any existing and future reservations or exemptions applicable to the Party. This paragraph only applies if all the Parties are parties to CITES.</w:t>
      </w:r>
    </w:p>
    <w:p>
      <w:pPr>
        <w:pStyle w:val="Normal"/>
      </w:pPr>
      <w:r>
        <w:t>28 To establish a violation of this paragraph, a Party must demonstrate that the other Party has failed to adopt, maintain, or implement laws, regulations, or other measures to fulfil its obligations under CITES in a manner affecting trade or investment between the Parties. For greater certainty, a failure is “in a manner affecting trade or 3.</w:t>
      </w:r>
    </w:p>
    <w:p>
      <w:pPr>
        <w:pStyle w:val="Normal"/>
      </w:pPr>
      <w:r>
        <w:t>The Parties commit to promote conservation and to combat the illegal take of, and illegal trade in, wild fauna and flora. To that end, the Parties shall: (a) exchange information and experiences on issues of mutual interest related to combatting the illegal take of, and illegal trade in, wild fauna and flora, including combatting illegal logging and associated illegal trade, and promoting the legal trade in associated products; (b) undertake, as appropriate, joint activities on conservation issues of mutual interest, including through relevant regional and international fora; and (c) endeavor to implement, as appropriate, CITES resolutions that aim to protect and conserve species whose survival is threatened by international trade. 4. Each Party further commits to: (a) take appropriate measures to protect and conserve wild fauna and flora that it has identified to be at risk within its territory, including measures to conserve the ecological integrity of specially protected natural areas, for example grasslands and wetlands;</w:t>
      </w:r>
    </w:p>
    <w:p>
      <w:pPr>
        <w:pStyle w:val="Normal"/>
      </w:pPr>
      <w:r>
        <w:t>(b) maintain or strengthen government capacity and institutional frameworks to promote the conservation of wild fauna and flora, and endeavor to enhance public participation and transparency in these institutional frameworks; and (c) endeavor to develop and strengthen cooperation and consultation with interested non-governmental entities and other stakeholders in order to enhance implementation of measures to combat the illegal take of, and illegal</w:t>
      </w:r>
    </w:p>
    <w:p>
      <w:pPr>
        <w:pStyle w:val="Normal"/>
      </w:pPr>
      <w:r>
        <w:t>trade in, wild fauna and flora. 5. In a further effort to address the illegal take of, and illegal trade in, wild fauna and flora, including parts and products thereof, each Party shall take measures to combat, and cooperate to prevent, the trade of wild fauna and flora that, based on credible evidence,30 were taken or traded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29 If a Party considers that another Party is failing to comply with its obligations under this paragraph, it shall endeavor, in the first instance, to address the matter through a consultative or other procedure under CITES.</w:t>
      </w:r>
    </w:p>
    <w:p>
      <w:pPr>
        <w:pStyle w:val="Normal"/>
      </w:pPr>
      <w:r>
        <w:t>30 For greater certainty, for the purposes of this paragraph, each Party retains the right to determine what constitutes “credible evidence”. in violation of that Party’s law or another applicable law,31 the primary purpose of which is to conserve, protect, or manage wild fauna or flora. These measures shall include sanctions, penalties, or other effective measures, including administrative measures, that can act as a deterrent to such trade.</w:t>
      </w:r>
    </w:p>
    <w:p>
      <w:pPr>
        <w:pStyle w:val="Normal"/>
      </w:pPr>
      <w:r>
        <w:t>In addition, each Party shall endeavor to take measures to combat the trade of wild fauna and flora transhipped through its territory that, based on credible evidence, were illegally taken or traded. 6. The Parties recognize that each Party retains the right to exercise administrative, investigatory, and enforcement discretion in its implementation of paragraph 5, including by taking into account in relation to each situation the strength of the available evidence and the seriousness of the suspected violation. In addition, the Parties recognize that in implementing paragraph 5, each Party retains the right to make decisions regarding the allocation of administrative, investigatory, and enforcement resources. 7. Further, each Party shall: (a) take measures to enhance the effectiveness of inspections of shipments containing wild fauna and flora, including parts and products thereof, at ports of entry, such as improving targeting; and (b) treat intentional transnational trafficking of wildlife protected under its laws,32 as a serious crime as defined in the United Nations Convention on Transnational Organized Crime.33 8.</w:t>
      </w:r>
    </w:p>
    <w:p>
      <w:pPr>
        <w:pStyle w:val="Normal"/>
      </w:pPr>
      <w:r>
        <w:t>In order to promote the widest measure of law enforcement cooperation and information sharing between the Parties to combat the illegal take of, and illegal trade in, wild fauna and flora, the Parties shall endeavor to identify opportunities, consistent with their respective law and in accordance with applicable international agreements, to enhance law enforcement cooperation and information sharing, for example by enhancing participation in law enforcement networks, and, as appropriate, establishing new networks with the objective of developing a strong and effective worldwide network. 31 For greater certainty, “another applicable law” means a law of the jurisdiction where the take or trade occurred and is only relevant to the question of whether the wild fauna and flora has been taken or traded in violation of that law. 32 For greater certainty, the term “wildlife” is understood to include all species of wild fauna and flora, including animals, timber, and marine species, and their related parts and products.</w:t>
      </w:r>
    </w:p>
    <w:p>
      <w:pPr>
        <w:pStyle w:val="Normal"/>
      </w:pPr>
      <w:r>
        <w:t>Further, for purposes of this Article, the term “protected” means a CITES-listed species or a species that is listed under a Party’s law as endangered, as threatened, or as being at risk within its territory. 33 The term “serious crime” is to be understood to have the same meaning as paragraph 2(b) of the United Nations Convention on Transnational Organized Crime, done at New York, on November 15, 2000.</w:t>
      </w:r>
    </w:p>
    <w:p>
      <w:pPr>
        <w:pStyle w:val="Heading2"/>
      </w:pPr>
      <w:bookmarkStart w:id="900805" w:name="_Toc300000804"/>
      <w:r>
        <w:t xml:space="preserve">Article 24.23: Sustainable Forest Management and Trade</w:t>
      </w:r>
      <w:bookmarkEnd w:id="900805"/>
    </w:p>
    <w:p>
      <w:pPr>
        <w:pStyle w:val="Normal"/>
      </w:pPr>
      <w:r>
        <w:t xml:space="preserve">1. The Parties acknowledge their role as major consumers, producers, and traders of forest products and the importance of a healthy forest sector to provide livelihoods and job opportunities, including for indigenous peoples. 2. The Parties acknowledge the importance of: (a) the conservation and sustainable management of forests for providing environmental economic, and social benefits for present and future generations; (b) the critical role of forests in providing numerous ecosystem services, including carbon storage, maintaining water quantity and quality, stabilizing soils, and providing habitat for wild fauna and flora; and (a) (c) combatting illegal logging and associated trade. 3. The Parties recognize that forest products, when sourced from sustainably managed forests, contribute to fulfilling global environmental objectives, including sustainable development, conservation and sustainable use of resources, and green growth. 4. Accordingly, each Party commits to: (a) maintain or strengthen government capacity and institutional frameworks to promote sustainable forest management; and (b) promote trade in legally harvested forest products. 5. The Parties shall exchange information and cooperate, as appropriate, on initiatives to promote sustainable forest management, including initiatives designed to combat illegal logging and associated trade.</w:t>
      </w:r>
    </w:p>
    <w:p>
      <w:pPr>
        <w:pStyle w:val="Heading2"/>
      </w:pPr>
      <w:bookmarkStart w:id="900806" w:name="_Toc300000805"/>
      <w:r>
        <w:t xml:space="preserve">Article 24.24: Environmental Goods and Services</w:t>
      </w:r>
      <w:bookmarkEnd w:id="900806"/>
    </w:p>
    <w:p>
      <w:pPr>
        <w:pStyle w:val="Normal"/>
      </w:pPr>
      <w:r>
        <w:t xml:space="preserve">1. The Parties recognize the importance of trade and investment in environmental goods and services, including clean technologies, as a means of improving environmental and economic performance, contributing to green growth and jobs, and encouraging sustainable development, while addressing global environmental challenges. 2. Accordingly, the Parties shall strive to facilitate and promote trade and investment in environmental goods and services. 3. The Environment Committee shall consider issues identified by a Party related to trade in environmental goods and services, including issues identified as potential non-tariff barriers to that trade. The Parties shall endeavor to address any potential barriers to trade in environmental goods and services that may be identified by a Party, including by working through the Environment Committee and in conjunction with other relevant committees established under this Agreement, as appropriate. 4. The Parties shall cooperate in international fora on ways to further facilitate and liberalize global trade in environmental goods and services, and may develop cooperative projects on environmental goods and services to address current and future global environmental challenges.</w:t>
      </w:r>
    </w:p>
    <w:p>
      <w:pPr>
        <w:pStyle w:val="Heading2"/>
      </w:pPr>
      <w:bookmarkStart w:id="900807" w:name="_Toc300000806"/>
      <w:r>
        <w:t xml:space="preserve">Article 24.25: Environmental Cooperation</w:t>
      </w:r>
      <w:bookmarkEnd w:id="900807"/>
    </w:p>
    <w:p>
      <w:pPr>
        <w:pStyle w:val="Normal"/>
      </w:pPr>
      <w:r>
        <w:t xml:space="preserve">1. The Parties recognize the importance of cooperation as a mechanism to implement this Chapter, to enhance its benefits, and to strengthen the Parties’ joint and individual capacities to protect the environment, and to promote sustainable development as they strengthen their trade and investment relations. 2. The Parties are committed to expanding their cooperative relationship on environmental matters, recognizing it will help them achieve their shared environmental goals and objectives, including the development and improvement of environmental protection, practices, and technologies. 3. The Parties are committed to undertaking cooperative environmental activities pursuant to the Agreement on Environmental Cooperation among the Governments of Canada, the United Mexican States, and the United States of America (ECA) signed by the Parties, including activities related to implementation of this Chapter. Activities that the Parties undertake pursuant to the Environmental Cooperation Agreement will be coordinated and reviewed by the Commission for Environmental Cooperation as provided for in the ECA.34</w:t>
      </w:r>
    </w:p>
    <w:p>
      <w:pPr>
        <w:pStyle w:val="Normal"/>
      </w:pPr>
      <w:r>
        <w:t>0A. The Agreement on Environmental Cooperation among Canada, the United States of America, and the United Mexican States, reproduced for operational completeness in Annex 34-G, Part E, continues to provide the institutional framework for the Commission for Environmental Cooperation. Nothing in this modernized Agreement terminates that companion agreement except by an instrument adopted in accordance with its own terms.</w:t>
      </w:r>
    </w:p>
    <w:p>
      <w:pPr>
        <w:pStyle w:val="Heading2"/>
      </w:pPr>
      <w:bookmarkStart w:id="900808" w:name="_Toc300000807"/>
      <w:r>
        <w:t xml:space="preserve">Article 24.26: Environment Committee and Contact Points</w:t>
      </w:r>
      <w:bookmarkEnd w:id="900808"/>
    </w:p>
    <w:p>
      <w:pPr>
        <w:pStyle w:val="Normal"/>
      </w:pPr>
      <w:r>
        <w:t xml:space="preserve">1. Each Party shall designate and notify a contact point from its relevant authorities within 90 days of the date of entry into force of this Agreement, in order to facilitate communication between the Parties in the implementation of this Chapter. Each Party shall promptly notify, in writing, the other Parties in the event of any change of its contact point. 34 The Parties established the Commission for Environmental Cooperation (CEC) under Part Three of the North American Agreement on Environmental Cooperation (NAAEC). 2. The Parties establish an Environment Committee composed of senior government representatives, or their designees, of the relevant trade and environment central level of government authorities of each Party responsible for the implementation of this Chapter. 3.</w:t>
      </w:r>
    </w:p>
    <w:p>
      <w:pPr>
        <w:pStyle w:val="Normal"/>
      </w:pPr>
      <w:r>
        <w:t>The purpose of the Environment Committee is to oversee the implementation of this Chapter, and its functions are to: (a) provide a forum to discuss and review the implementation of this Chapter; (b) periodically inform the Commission and the Council for the Commission for Environmental Cooperation (Council) established under Article 3 (Council Structures and Procedures) of the Environmental Cooperation Agreement regarding the implementation of this Chapter; (c) consider and endeavor to resolve matters referred to it under Article 24.30 (Senior Representative Consultations); (d) provide input, as appropriate, for consideration by the Council, relating to submissions on enforcement matters under this Chapter. (e) coordinate with other committees established under this Agreement as appropriate; and (f) perform any other functions as the Parties may decide. 4. The Environment Committee shall meet within one year of the date of entry into force of this Agreement. Thereafter, the Environment Committee shall meet every two years unless the Environment Committee agrees otherwise.</w:t>
      </w:r>
    </w:p>
    <w:p>
      <w:pPr>
        <w:pStyle w:val="Normal"/>
      </w:pPr>
      <w:r>
        <w:t>The Chair of the Environment Committee and the venue of its meetings shall rotate among each of the Parties in English alphabetical order, unless the Environment Committee decides otherwise. 5. All decisions and reports of the Environment Committee shall be made by consensus, unless the Committee decides otherwise or unless otherwise provided in this Chapter. 6.</w:t>
      </w:r>
    </w:p>
    <w:p>
      <w:pPr>
        <w:pStyle w:val="Normal"/>
      </w:pPr>
      <w:r>
        <w:t>All decisions and reports of the Environment Committee shall be made available to the public, unless the Environment Committee decides otherwise. 7. During the fifth year after the date of entry into force of this Agreement, the Environment Committee shall: (a) review the implementation and operation of this Chapter; (b) report its findings, which may include recommendations, to the Council and the Commission; and (c) undertake subsequent reviews at intervals to be decided by the Committee. 8. The Environment Committee shall provide for public input on matters relevant to the Committee’s work, as appropriate, and shall hold a public session at each meeting. 9. The Parties recognize the importance of resource efficiency in the implementation of this Chapter and the desirability of using new technologies to facilitate communication and interaction between the Parties and with the public.</w:t>
      </w:r>
    </w:p>
    <w:p>
      <w:pPr>
        <w:pStyle w:val="Heading2"/>
      </w:pPr>
      <w:bookmarkStart w:id="900809" w:name="_Toc300000808"/>
      <w:r>
        <w:t xml:space="preserve">Article 24.27: Submissions on Enforcement Matters</w:t>
      </w:r>
      <w:bookmarkEnd w:id="900809"/>
    </w:p>
    <w:p>
      <w:pPr>
        <w:pStyle w:val="Normal"/>
      </w:pPr>
      <w:r>
        <w:t xml:space="preserve">1. Any person of a Party may file a submission asserting that a Party is failing to effectively enforce its environmental laws. Such submissions shall be filed with the Secretariat of the Commission for Environmental Cooperation (CEC Secretariat). 2. The CEC Secretariat may consider a submission under this Article if it finds that the submission: (a) is in writing in English, French, or Spanish; (b) clearly identifies the person making the submission; (c) provides sufficient information to allow for the review of the submission including any documentary evidence on which the submission may be based and identification of the environmental law of which the failure to enforce is asserted; (d) appears to be aimed at promoting enforcement rather than at harassing industry; and (e) indicates whether the matter has been communicated in writing to the relevant authorities of the Party and the Party’s response, if any. 3. If the CEC Secretariat determines that a submission meets the criteria set out in paragraph 2, it shall determine within 30 days of receipt of the submission whether the submission merits requesting a response from the Party.</w:t>
      </w:r>
    </w:p>
    <w:p>
      <w:pPr>
        <w:pStyle w:val="Normal"/>
      </w:pPr>
      <w:r>
        <w:t>In deciding whether to request a response, the CEC Secretariat shall be guided by whether: (a) the submission alleges harm to the person making the submission; (b) the submission, alone or in combination with other submissions, raises matters about which further study would advance the goals of this Chapter; (c) private remedies available under the Party’s law have been pursued; and (d) the submission is not drawn exclusively from mass media reports. If the CEC Secretariat makes such a request, it shall forward to the Party a copy of the submission and any supporting information provided with the submission. 4. The Party shall inform the CEC Secretariat within 60 days of delivery of the request: (a) whether the matter at issue is the subject of a pending judicial or administrative proceeding, in which case the CEC Secretariat shall proceed no further; and (b) of any other information the Party wishes to provide, such as: (i) information regarding the enforcement of the environmental law at issue, including any actions taken in connection with the matter in question;</w:t>
      </w:r>
    </w:p>
    <w:p>
      <w:pPr>
        <w:pStyle w:val="Normal"/>
      </w:pPr>
      <w:r>
        <w:t>(ii) whether the matter was previously the subject of a judicial or administrative proceeding; and (iii) whether private remedies in connection with the matter are available to the person making the submission and whether they have been pursued.</w:t>
      </w:r>
    </w:p>
    <w:p>
      <w:pPr>
        <w:pStyle w:val="Heading2"/>
      </w:pPr>
      <w:bookmarkStart w:id="900810" w:name="_Toc300000809"/>
      <w:r>
        <w:t xml:space="preserve">Article 24.28: Factual Records and Related Cooperation</w:t>
      </w:r>
      <w:bookmarkEnd w:id="900810"/>
    </w:p>
    <w:p>
      <w:pPr>
        <w:pStyle w:val="Normal"/>
      </w:pPr>
      <w:r>
        <w:t xml:space="preserve">1. If the CEC Secretariat considers that the submission, in light of any response provided by the Party, warrants developing a factual record, it shall so inform the Council and the Environment Committee within 60 days of receiving the Party’s response and provide its reasons. 2. The CEC Secretariat shall prepare a factual record if at least two members of the Council instruct it to do so. 3. The preparation of a factual record by the CEC Secretariat pursuant to this Article shall be without prejudice to any further steps that may be taken with respect to any submission. 4. In preparing a factual record, the CEC Secretariat shall consider any information provided by a Party and may consider any relevant technical, scientific, or other information: (a) that is publicly available; (b) submitted by interested persons; (c) submitted by national advisory or consultative committees referred to in Article 24.5 (Public Information and Participation);</w:t>
      </w:r>
    </w:p>
    <w:p>
      <w:pPr>
        <w:pStyle w:val="Normal"/>
      </w:pPr>
      <w:r>
        <w:t>(d) submitted by the Joint Public Advisory Committee (JPAC) referred to in Article 2.2 (Commission for Environmental Cooperation) of the E CA; (e) developed by independent experts; or (f) developed under the ECA. 5. The CEC Secretariat shall submit a draft factual record to the Council within 120 days of the Council’s instruction to prepare a factual record under paragraph 2.</w:t>
      </w:r>
    </w:p>
    <w:p>
      <w:pPr>
        <w:pStyle w:val="Normal"/>
      </w:pPr>
      <w:r>
        <w:t>Any Party may provide comments to the CEC Secretariat on the accuracy of the draft within 30 days of the submission of the draft factual record. The CEC Secretariat shall incorporate those comments in the final factual record and promptly submit it to the Council. 6. The CEC Secretariat shall make the final factual record publicly available, normally within 30 days following its submission, unless at least two members of the Council instruct it not to do so. 7. The Environment Committee shall consider the final factual record in light of the objectives of this Chapter and the ECA and may provide recommendations to the Council on whether the matter raised in the factual record could benefit from cooperative activities. 8. The Parties shall provide updates to the Council and the Environment Committee on final factual records, as appropriate.</w:t>
      </w:r>
    </w:p>
    <w:p>
      <w:pPr>
        <w:pStyle w:val="Heading2"/>
      </w:pPr>
      <w:bookmarkStart w:id="900811" w:name="_Toc300000810"/>
      <w:r>
        <w:t xml:space="preserve">Article 24.29: Environment Consultations</w:t>
      </w:r>
      <w:bookmarkEnd w:id="900811"/>
    </w:p>
    <w:p>
      <w:pPr>
        <w:pStyle w:val="Normal"/>
      </w:pPr>
      <w:r>
        <w:t xml:space="preserve">1. The Parties shall at all times endeavor to agree on the interpretation and application of this Chapter, and shall make every effort through dialogue, consultation, exchange of information, and, if appropriate, cooperation to address any matter that might affect the operation of this Chapter. 2. A Party (the requesting Party) may request consultations with any other Party (the responding Party) regarding any matter arising under this Chapter by notifying the responding Party’s contact point in writing. The requesting Party shall include information that is specific and sufficient to enable the responding Party to respond, including identification of the matter at issue and an indication of the legal basis for the request. The requesting Party shall deliver its request for consultations to the third Party through their respective contact points. 3. A third Party that considers it has a substantial interest in the matter, may participate in the consultations by notifying the contact points of the requesting and responding Parties in writing no later than seven days after the date of delivery of the request for consultations. The third Party shall include in its notice an explanation of its substantial interest in the matter. 4.</w:t>
      </w:r>
    </w:p>
    <w:p>
      <w:pPr>
        <w:pStyle w:val="Normal"/>
      </w:pPr>
      <w:r>
        <w:t>Unless the requesting and the responding Parties (the consulting Parties) agree otherwise, the consulting Parties shall enter into consultations promptly, and no later than 30 days after the date of receipt by the responding Party of the request. 5. The consulting Parties shall make every effort to arrive at a mutually satisfactory resolution to the matter which may include appropriate cooperative activities. The consulting Parties may seek advice or assistance from any person or body they deem appropriate in order to examine the matter.</w:t>
      </w:r>
    </w:p>
    <w:p>
      <w:pPr>
        <w:pStyle w:val="Heading2"/>
      </w:pPr>
      <w:bookmarkStart w:id="900812" w:name="_Toc300000811"/>
      <w:r>
        <w:t xml:space="preserve">Article 24.30: Senior Representative Consultations</w:t>
      </w:r>
      <w:bookmarkEnd w:id="900812"/>
    </w:p>
    <w:p>
      <w:pPr>
        <w:pStyle w:val="Normal"/>
      </w:pPr>
      <w:r>
        <w:t xml:space="preserve">1. If the consulting Parties fail to resolve the matter under Article 24.29 (Environment Consultations), a consulting Party may request that the Environment Committee representatives from the consulting Parties convene to consider the matter by notifying the contact point of the other consulting Party or Parties in writing. At the same time, the consulting Party making the request shall deliver the request to the contact points of any other Party. 2. The Environment Committee representatives from the consulting Parties shall promptly convene following the delivery of the request, and shall seek to resolve the matter including, if appropriate, by gathering relevant scientific and technical information from governmental or non-governmental experts. Environment Committee representatives from any other Party that considers it has a substantial interest in the matter may participate in the consultations.</w:t>
      </w:r>
    </w:p>
    <w:p>
      <w:pPr>
        <w:pStyle w:val="Heading2"/>
      </w:pPr>
      <w:bookmarkStart w:id="900813" w:name="_Toc300000812"/>
      <w:r>
        <w:t xml:space="preserve">Article 24.31: Ministerial Consultations</w:t>
      </w:r>
      <w:bookmarkEnd w:id="900813"/>
    </w:p>
    <w:p>
      <w:pPr>
        <w:pStyle w:val="Normal"/>
      </w:pPr>
      <w:r>
        <w:t xml:space="preserve">1. If the consulting Parties fail to resolve the matter under Article 24.30 (Senior Representative Consultations), a consulting Party may refer the matter to the relevant Ministers of the consulting Parties who shall seek to resolve the matter. 2. Consultations pursuant to Article 24.29 (Environment Consultations), Article 24.30 (Senior Representative Consultations), and this Article may be held in person or by any technological means available as agreed by the consulting Parties. If in person, consultations shall be held in the capital of the responding Party, unless the consulting Parties agree otherwise. 3. Consultations shall be confidential and without prejudice to the rights of any Party in any future proceedings.</w:t>
      </w:r>
    </w:p>
    <w:p>
      <w:pPr>
        <w:pStyle w:val="Heading2"/>
      </w:pPr>
      <w:bookmarkStart w:id="900814" w:name="_Toc300000813"/>
      <w:r>
        <w:t xml:space="preserve">Article 24.32: Dispute Resolution</w:t>
      </w:r>
      <w:bookmarkEnd w:id="900814"/>
    </w:p>
    <w:p>
      <w:pPr>
        <w:pStyle w:val="Normal"/>
      </w:pPr>
      <w:r>
        <w:t xml:space="preserve">1. If the consulting Parties fail to resolve the matter under Article 24.29 (Environment Consultations), Article 24.30 (Senior Representative Consultations), and Article 24.31 (Ministerial Consultations) within 30 days after the date of receipt of a request under Article 24.29.2 (Environment Consultations), or any other period as the consulting Parties may decide, the requesting Party may request a meeting of the Commission pursuant to Article 31.5 (Commission, Good Offices, Conciliation, and Mediation) and thereafter request the establishment of a panel under Article 31.6 (Establishment of a Panel). 2. Notwithstanding Article 31.15 (Role of Experts), in a dispute arising under Article 24.22 (Conservation and Trade) a panel convened under Article 31.6 (Establishment of a Panel) shall: (a) seek technical advice or assistance, if appropriate, from an entity authorised under CITES to address the particular matter, and provide the consulting Parties with an opportunity to comment on any such technical advice or assistance received; and (b) provide due consideration to any interpretive guidance received pursuant to subparagraph (a) on the matter to the extent appropriate in light of its nature and status in making its findings and determinations under Article 31.17 (Panel Report).</w:t>
      </w:r>
    </w:p>
    <w:p>
      <w:pPr>
        <w:pStyle w:val="Heading2"/>
      </w:pPr>
      <w:bookmarkStart w:id="900815" w:name="_Toc300000814"/>
      <w:r>
        <w:t xml:space="preserve">ANNEX 24-A</w:t>
      </w:r>
      <w:bookmarkEnd w:id="900815"/>
    </w:p>
    <w:p>
      <w:pPr>
        <w:pStyle w:val="Normal"/>
      </w:pPr>
      <w:r>
        <w:t xml:space="preserve">For Canada, the Ozone-depleting Substances and Halocarbon Alternatives Regulations, of the Canadian Environmental Protection Act, 1999 (CEPA). For Mexico, the General Law on Ecological Equilibrium and Environmental Protection (Ley General del Equilibrio Ecológico y la Protección al Ambiente – LGEEPA), under Title IV Environmental Protection, Chapter I and II regarding federal enforcement of atmospheric provisions. For the United States, 42 U.S.C. §§ 7671-7671q (Stratospheric Ozone Protection). 24-A-1</w:t>
      </w:r>
    </w:p>
    <w:p>
      <w:pPr>
        <w:pStyle w:val="Heading2"/>
      </w:pPr>
      <w:bookmarkStart w:id="900816" w:name="_Toc300000815"/>
      <w:r>
        <w:t xml:space="preserve">ANNEX 24-B</w:t>
      </w:r>
      <w:bookmarkEnd w:id="900816"/>
    </w:p>
    <w:p>
      <w:pPr>
        <w:pStyle w:val="Normal"/>
      </w:pPr>
      <w:r>
        <w:t xml:space="preserve">For Canada, the Canada Shipping Act, 2001 and its related regulations. For Mexico, Article 132 of the General Law on Ecological Equilibrium and Environmental Protection (Ley General del Equilibrio Ecológico y la Protección al Ambiente – LGEEPA). For the United States, the Act to Prevent Pollution from Ships, 33 U.S.C. §§ 1901-1915. 24-B-1</w:t>
      </w:r>
    </w:p>
    <w:p>
      <w:pPr>
        <w:pStyle w:val="ModHeading"/>
      </w:pPr>
      <w:bookmarkStart w:id="900817" w:name="_Toc300000816"/>
      <w:r>
        <w:t>CHAPTER 24: CUSMA 2.0 MODERNIZATION PROVISIONS</w:t>
      </w:r>
      <w:bookmarkEnd w:id="900817"/>
    </w:p>
    <w:p>
      <w:pPr>
        <w:pStyle w:val="Heading2"/>
      </w:pPr>
      <w:bookmarkStart w:id="900818" w:name="_Toc300000817"/>
      <w:r>
        <w:t>Article 24.A: Environmental Traceability and Circular Production</w:t>
      </w:r>
      <w:bookmarkEnd w:id="900818"/>
    </w:p>
    <w:p>
      <w:pPr>
        <w:pStyle w:val="Normal"/>
      </w:pPr>
      <w:r>
        <w:t>1. The Parties shall cooperate on environmental traceability for strategic supply chains, in coordination with Article 37.4, including for critical minerals, timber and wood products, and agricultural commodities associated with deforestation risk.</w:t>
      </w:r>
    </w:p>
    <w:p>
      <w:pPr>
        <w:pStyle w:val="Normal"/>
      </w:pPr>
      <w:r>
        <w:t>2. Environmental measures of a Party shall not be administered so as to discriminate against originating goods of another Party in favor of like goods of a non-Party, and environmental cooperation under this Chapter does not authorize covered border measures except in conformity with Chapter 35.</w:t>
      </w:r>
    </w:p>
    <w:p>
      <w:pPr>
        <w:pStyle w:val="Heading2"/>
      </w:pPr>
      <w:bookmarkStart w:id="900819" w:name="_Toc300000818"/>
      <w:r>
        <w:t>Article 24.B: Wildfire and Transboundary Environmental Events</w:t>
      </w:r>
      <w:bookmarkEnd w:id="900819"/>
    </w:p>
    <w:p>
      <w:pPr>
        <w:pStyle w:val="Normal"/>
      </w:pPr>
      <w:r>
        <w:t>1. The Parties shall cooperate on wildfire prevention, detection, and response, and on the management of transboundary environmental effects of natural events, through technical cooperation and the emergency coordination of Chapter 38.</w:t>
      </w:r>
    </w:p>
    <w:p>
      <w:pPr>
        <w:pStyle w:val="Normal"/>
      </w:pPr>
      <w:r>
        <w:t>2. NATURAL PHENOMENA AND BORDER MEASURES. A natural or environmental phenomenon, including wildfire smoke, drought, or flooding, does not constitute a basis for a covered border measure against originating goods of another Party. Article 35.3(6)’s prohibition governs that measure, and this paragraph expressly extends Article 35.7(2)’s treaty nullity, withdrawal, and redress consequences to a measure inconsistent with that prohibition whether or not it separately falls within Article 35.7(1). The Article 35.25A remedy and restoration safeguards remain applicable. Independently lawful health or safety measures retain their own legal basis and conditions and cannot rely on the natural phenomenon alone to evade the prohibition.</w:t>
      </w:r>
    </w:p>
    <w:p>
      <w:pPr>
        <w:pStyle w:val="Heading2"/>
      </w:pPr>
      <w:bookmarkStart w:id="900820" w:name="_Toc300000819"/>
      <w:r>
        <w:t>Article 24.C: Independent Factual Verification of Environmental Enforcement Complaints</w:t>
      </w:r>
      <w:bookmarkEnd w:id="900820"/>
    </w:p>
    <w:p>
      <w:pPr>
        <w:pStyle w:val="Normal"/>
      </w:pPr>
      <w:r>
        <w:t>1. Before imposing a trade remedy based on an alleged systemic failure to enforce environmental obligations under this Chapter, a Party requests independent factual verification by delivering to the Environment Committee through the Secretariat a written complaint identifying the initiating Party, the responding Party whose enforcement is challenged, the conduct, obligation, relevant trade or investment connection, and available evidence. Within five days after delivery, the Secretariat constitutes a three-person Environmental Factual Verification Team with environmental-enforcement expertise under Article 30.C(4) through (7) for administrative selection only. The Team is a distinct technical body under this Article, the Environment Committee coordinates the work, and the CEC Secretariat may supply factual records or assistance only consistently with its separate treaty mandate. The Team issues its report within ninety days after constitution, subject only to paragraph 5’s single extension, and Annex 34-H supplies the default for failure to constitute or act within a stated deadline without requiring CEC Council consent.</w:t>
      </w:r>
    </w:p>
    <w:p>
      <w:pPr>
        <w:pStyle w:val="Normal"/>
      </w:pPr>
      <w:r>
        <w:t>2. The resulting factual report has the effect specified in paragraph 7 and does not determine the ultimate legal consequence. Where the report finds no sustained, recurring, systemic, or material failure within the scope of the complaint, no covered border measure may be based on that complaint unless manifest error or materially new evidence is first established under paragraphs 7 and 8.</w:t>
      </w:r>
    </w:p>
    <w:p>
      <w:pPr>
        <w:pStyle w:val="Normal"/>
      </w:pPr>
      <w:r>
        <w:t>3. Cooperation Clock. A requested Party shall provide responsive non-privileged records within 20 days after a lawful request by the technical team, or identify with specificity the legal basis for withholding particular material. Requests for clarification do not suspend the 90-day verification period.</w:t>
      </w:r>
    </w:p>
    <w:p>
      <w:pPr>
        <w:pStyle w:val="Normal"/>
      </w:pPr>
      <w:r>
        <w:t>4. Unjustified failure to provide records, site access lawfully available under domestic law, or other information does not stop the verification clock. The technical team may rely on other credible evidence and may draw reasonable adverse factual inferences proportionate to the information withheld.</w:t>
      </w:r>
    </w:p>
    <w:p>
      <w:pPr>
        <w:pStyle w:val="Normal"/>
      </w:pPr>
      <w:r>
        <w:t>5. The technical team shall issue its factual report on the existing record when the 90-day period expires unless all Parties agree to a single extension not exceeding 30 days because essential evidence is genuinely unavailable despite cooperation.</w:t>
      </w:r>
    </w:p>
    <w:p>
      <w:pPr>
        <w:pStyle w:val="Normal"/>
      </w:pPr>
      <w:r>
        <w:t>6. A Party is not required to disclose privileged information, protected personal information, or information whose disclosure is prohibited by law, but shall provide a non-confidential summary or certified substitute to the maximum extent permitted.</w:t>
      </w:r>
    </w:p>
    <w:p>
      <w:pPr>
        <w:pStyle w:val="Normal"/>
      </w:pPr>
      <w:r>
        <w:t>7. ENVIRONMENTAL FACTUAL RECORD AND REVIEW STANDARD. Findings within the Environmental Factual Verification Team’s mandate enter a later Chapter 35 or Chapter 31 record with notice and an opportunity for the Parties to address their scope and any claimed manifest error. Those findings bind as to the facts actually determined unless the later deciding body finds manifest error on stated reasons, and the same standard governs Article 31.A(5) and Article 35.26(3) when they interact with this report. A Chapter 35 Team independently performs the remaining entity, flow, distortion, confirmation-level, and second-opinion functions within its mandate without contradicting an intact prior factual finding on the same conduct and record. This paragraph and paragraphs 2 and 8 expressly prevail over Article 35.26(1)’s general notwithstanding clause for these factual findings and the same-complaint bar, and paragraph 2’s negative finding bars a covered border measure on the same complaint unless the later deciding body first identifies manifest error or materially new evidence that was not reasonably available and could materially change that finding.</w:t>
      </w:r>
    </w:p>
    <w:p>
      <w:pPr>
        <w:pStyle w:val="Normal"/>
        <w:spacing w:before="0" w:after="0"/>
        <w:contextualSpacing w:val="0"/>
      </w:pPr>
      <w:r>
        <w:t>8. ENVIRONMENTAL VERIFICATION GATE AND PANEL EXPERTISE. The verification precondition in paragraph 1 gates imposition of a suspension or covered border measure and does not delay consultation, a panel request, or adjudication under Article 24.32 or an independently applicable Article 31.A procedure. A remedy issues only when the report and the independent substantive, nexus, and remedy requirements are satisfied, and an expedited panel cannot dispense with the verification merely because its own report deadline is shorter. Panel qualifications and the priority of subject-matter expertise are governed by paragraph 9. The technical team decides a materially-new-evidence request while its review is open, and the later competent Team or panel decides that request in its own proceeding within five days after receiving it and the responding Party’s response, with reasons identifying the evidence and its potential to change the finding.</w:t>
      </w:r>
    </w:p>
    <w:p>
      <w:pPr>
        <w:spacing w:before="0" w:after="0"/>
        <w:contextualSpacing w:val="0"/>
      </w:pPr>
    </w:p>
    <w:p>
      <w:pPr>
        <w:spacing w:after="0" w:before="0"/>
        <w:contextualSpacing w:val="0"/>
      </w:pPr>
      <w:r>
        <w:t>9. MANIFEST ERROR AND EXPERTISE REVIEW. Manifest error means an objectively demonstrable, material factual mistake shown by the existing record, including a decisive misreading, calculation error, or omission of evidence actually submitted, that could change the factual outcome rather than mere disagreement with the assessment. The deciding Team or panel gives the Parties notice and an opportunity to address the claimed error and states the identified mistake, supporting record, and consequence in its reasons within the five-day exception-review period in paragraph 8. Article 31.8(3)(b)’s environmental-law-or-practice expertise requirement applies to panelists other than the chair in a dispute under this Chapter, including Article 31.A composition and Article 31.C default selection, in addition to the panel’s other qualifications, except that incompatible tariff/customs specialization yields for those seats where both cannot be met. Paragraphs 4 and 9 of Article 30.C supply separately screened panel candidates and default draws for deficient subject-matter seats, preserving Article 31.9 Party selection except for an expressly applicable special composition rule and without converting a technical Team into a panel.</w:t>
      </w:r>
    </w:p>
    <w:p>
      <w:pPr>
        <w:spacing w:before="0" w:after="0"/>
        <w:contextualSpacing w:val="0"/>
      </w:pPr>
    </w:p>
    <w:p>
      <w:pPr>
        <w:pStyle w:val="TrumpVisibilityHeadline"/>
      </w:pPr>
      <w:r>
        <w:t xml:space="preserve">★ </w:t>
      </w:r>
      <w:r>
        <w:t>VISIBLE U.S. WIN: CANADA COMMITS TO WILDFIRE PREVENTION AND CROSS-BORDER SMOKE MITIGATION</w:t>
      </w:r>
    </w:p>
    <w:p>
      <w:pPr>
        <w:pStyle w:val="Heading2"/>
      </w:pPr>
      <w:bookmarkStart w:id="900821" w:name="_Toc300000820"/>
      <w:r>
        <w:t>Article 24.D: North American Wildfire Innovation, Prevention and Smoke-Mitigation Partnership</w:t>
      </w:r>
      <w:bookmarkEnd w:id="900821"/>
    </w:p>
    <w:p>
      <w:pPr>
        <w:pStyle w:val="Normal"/>
      </w:pPr>
      <w:r>
        <w:t>1. The Parties shall accelerate cooperative research, demonstration, field validation, procurement learning, and responsible commercialization of technologies that improve wildfire prevention, detection, prediction, fuel management, response, firefighter safety, post-fire recovery, and transboundary smoke mitigation.</w:t>
      </w:r>
    </w:p>
    <w:p>
      <w:pPr>
        <w:pStyle w:val="Normal"/>
      </w:pPr>
      <w:r>
        <w:t>2. A Party may establish competitive grants, challenge programs, test sites, regulatory sandboxes, or accelerated field-evaluation pathways for promising wildfire technologies. Such pathways shall use risk-proportionate safeguards and shall not require premature proof of commercial maturity where controlled testing can generate the evidence needed for responsible deployment.</w:t>
      </w:r>
    </w:p>
    <w:p>
      <w:pPr>
        <w:pStyle w:val="Normal"/>
      </w:pPr>
      <w:r>
        <w:t>3. The Parties shall encourage shared technical data, interoperable mapping, common performance metrics, and cross-border demonstrations while protecting confidential information, Indigenous knowledge, personal information, and legitimate security interests.</w:t>
      </w:r>
    </w:p>
    <w:p>
      <w:pPr>
        <w:pStyle w:val="Heading2"/>
      </w:pPr>
      <w:bookmarkStart w:id="900822" w:name="_Toc300000821"/>
      <w:r>
        <w:t>Article 24.E: Storm-Damaged Forest Fuel Recovery</w:t>
      </w:r>
      <w:bookmarkEnd w:id="900822"/>
    </w:p>
    <w:p>
      <w:pPr>
        <w:pStyle w:val="Normal"/>
      </w:pPr>
      <w:r>
        <w:t>1. The Parties recognize that severe windthrow, microburst, hurricane, ice-storm, pest, drought, and other forest disturbances may create localized concentrations of dead or damaged biomass that warrant risk-based assessment for wildfire, ecological, safety, and economic consequences.</w:t>
      </w:r>
    </w:p>
    <w:p>
      <w:pPr>
        <w:pStyle w:val="Normal"/>
      </w:pPr>
      <w:r>
        <w:t>2. Canada, the United States, and Mexico may establish programs to identify, map, prioritize, and where appropriate recover storm-damaged or otherwise hazardous forest material. Treatment decisions shall consider fire risk, ecological value, habitat, soil disturbance, access, worker safety, Indigenous and land rights, and commercial viability.</w:t>
      </w:r>
    </w:p>
    <w:p>
      <w:pPr>
        <w:pStyle w:val="Normal"/>
      </w:pPr>
      <w:r>
        <w:t>3. Recovered material should, where practicable, be directed to its highest reasonable use, including sawlogs, engineered wood, panels, pulp, fibre products, biochar, biomass, or other circular uses. Ecologically valuable deadwood may remain in place.</w:t>
      </w:r>
    </w:p>
    <w:p>
      <w:pPr>
        <w:pStyle w:val="Normal"/>
      </w:pPr>
      <w:r>
        <w:t>4. The Parties shall develop traceability criteria for qualifying recovery timber. Canada and the United States shall consult on preferential or reduced-duty treatment for independently verified incremental storm-recovery wood where such treatment is consistent with Chapter 42 and does not constitute dumping, an export subsidy, or disguised circumvention.</w:t>
      </w:r>
    </w:p>
    <w:p>
      <w:pPr>
        <w:pStyle w:val="Heading2"/>
      </w:pPr>
      <w:bookmarkStart w:id="900823" w:name="_Toc300000822"/>
      <w:r>
        <w:t>Article 24.F: Environmental Resilience, Cooperation Before Restriction, and Non-Weaponization</w:t>
      </w:r>
      <w:bookmarkEnd w:id="900823"/>
    </w:p>
    <w:p>
      <w:pPr>
        <w:pStyle w:val="Normal"/>
      </w:pPr>
      <w:r>
        <w:t>1. The Parties shall ordinarily address transboundary environmental problems through information sharing, technical assistance, mitigation, remediation, emergency cooperation, scientific review, and verified corrective action before resorting to trade restrictions.</w:t>
      </w:r>
    </w:p>
    <w:p>
      <w:pPr>
        <w:pStyle w:val="Normal"/>
      </w:pPr>
      <w:r>
        <w:t>2. A wildfire, smoke event, drought, flood, storm, marine heat event, accidental pollution event, naturally occurring ecological disturbance, or other environmental phenomenon does not by itself constitute a violation of this Agreement or a lawful basis for a covered border measure.</w:t>
      </w:r>
    </w:p>
    <w:p>
      <w:pPr>
        <w:pStyle w:val="Normal"/>
      </w:pPr>
      <w:r>
        <w:t>3. Where a Party alleges that another Party has deliberately, discriminatorily, or persistently failed to comply with a binding environmental obligation in a manner affecting trade or investment, the matter shall proceed through the factual verification and consultation procedures of this Chapter and, where applicable, Chapters 31, 35, and 46.</w:t>
      </w:r>
    </w:p>
    <w:p>
      <w:pPr>
        <w:pStyle w:val="Normal"/>
      </w:pPr>
      <w:r>
        <w:t>4. Environmental measures shall not be used as disguised protectionism. Where multiple reasonably available measures provide materially equivalent environmental protection, a Party should, consistent with its chosen level of protection, favor the measure that avoids unnecessary restriction of originating North American trade.</w:t>
      </w:r>
    </w:p>
    <w:p>
      <w:pPr>
        <w:pStyle w:val="Normal"/>
      </w:pPr>
      <w:r>
        <w:t>5. Nothing in this Article prevents a Party from taking proportionate emergency action necessary to protect human, animal, plant, ecosystem, or environmental health, subject to applicable law and subsequent review where required.</w:t>
      </w:r>
    </w:p>
    <w:p>
      <w:pPr>
        <w:pStyle w:val="Heading2"/>
      </w:pPr>
      <w:bookmarkStart w:id="900824" w:name="_Toc300000823"/>
      <w:r>
        <w:t>Article 24.G: North American Wildfire, Smoke, and Landscape Resilience</w:t>
      </w:r>
      <w:bookmarkEnd w:id="900824"/>
    </w:p>
    <w:p>
      <w:pPr>
        <w:pStyle w:val="Normal"/>
      </w:pPr>
      <w:r>
        <w:t>1. Building on Articles 24.B, 24.D, and 24.E, the Parties shall deepen cooperation on wildfire prevention, fuel management, detection, prediction, suppression support, smoke forecasting, post-fire recovery, and restoration.</w:t>
      </w:r>
    </w:p>
    <w:p>
      <w:pPr>
        <w:pStyle w:val="Normal"/>
      </w:pPr>
      <w:r>
        <w:t>2. Priority activities may include interoperable fire-weather and smoke data; satellite, aerial, acoustic, sensor, and ground-based detection; shared mapping; cross-border mutual assistance; prescribed and cultural burning where authorized; mechanical and biological fuel treatment; firebreak research; emergency equipment interoperability; and rapid restoration of critical infrastructure and watersheds.</w:t>
      </w:r>
    </w:p>
    <w:p>
      <w:pPr>
        <w:pStyle w:val="Normal"/>
      </w:pPr>
      <w:r>
        <w:t>3. The Parties may validate mineral, recycled, recovered, bio-based, or other firebreak and fuel-treatment materials through the Experimental Technology Pathway. No material receives preferred status solely because it is recycled, low-carbon, or waste-derived; safety, toxicity, leaching, ecological effects, durability, deployment performance, and lifecycle benefit shall be demonstrated.</w:t>
      </w:r>
    </w:p>
    <w:p>
      <w:pPr>
        <w:pStyle w:val="Normal"/>
      </w:pPr>
      <w:r>
        <w:t>4. Storm-damaged, pest-affected, drought-killed, or otherwise hazardous biomass may be directed to its highest reasonable validated use, including timber, engineered wood, pulp, fibre, biochar, soil products, energy recovery, or other circular applications, while retaining ecologically valuable material where appropriate.</w:t>
      </w:r>
    </w:p>
    <w:p>
      <w:pPr>
        <w:pStyle w:val="Normal"/>
      </w:pPr>
      <w:r>
        <w:t>5. The Parties shall encourage protection of communities, workers, Indigenous lands and cultural resources, critical habitat, and air quality during prevention, response, and recovery activities.</w:t>
      </w:r>
    </w:p>
    <w:p>
      <w:pPr>
        <w:pStyle w:val="Heading2"/>
      </w:pPr>
      <w:bookmarkStart w:id="900825" w:name="_Toc300000824"/>
      <w:r>
        <w:t>Article 24.H: Marine Debris, Ghost Gear, and Circular Fishing Materials</w:t>
      </w:r>
      <w:bookmarkEnd w:id="900825"/>
    </w:p>
    <w:p>
      <w:pPr>
        <w:pStyle w:val="Normal"/>
      </w:pPr>
      <w:r>
        <w:t>1. The Parties shall strengthen prevention, identification, recovery, reuse, recycling, and responsible disposal of abandoned, lost, or otherwise discarded fishing gear, marine plastics, microplastic sources, and other persistent marine debris.</w:t>
      </w:r>
    </w:p>
    <w:p>
      <w:pPr>
        <w:pStyle w:val="Normal"/>
      </w:pPr>
      <w:r>
        <w:t>2. Cooperation may include interoperable gear identification and traceability; hotspot mapping; port reception and retrieval programs; rapid-response removal; incentives for return and recycling; research on lower-impact gear; and lifecycle standards for fishing materials.</w:t>
      </w:r>
    </w:p>
    <w:p>
      <w:pPr>
        <w:pStyle w:val="Normal"/>
      </w:pPr>
      <w:r>
        <w:t>3. Existing fisheries, customs, coast-guard, port, environmental, and Commission structures shall be used wherever practicable rather than establishing duplicative bodies.</w:t>
      </w:r>
    </w:p>
    <w:p>
      <w:pPr>
        <w:pStyle w:val="Normal"/>
      </w:pPr>
      <w:r>
        <w:t>4. Recovered marine materials may enter circular-economy or Experimental Technology Pathway programs for validated conversion into secondary raw materials or products.</w:t>
      </w:r>
    </w:p>
    <w:p>
      <w:pPr>
        <w:pStyle w:val="Normal"/>
      </w:pPr>
      <w:r>
        <w:t>5. Measures under this Article shall respect legitimate fishing activity and shall be proportionate, science-informed, and designed to avoid unnecessary barriers to lawful trade.</w:t>
      </w:r>
    </w:p>
    <w:p>
      <w:pPr>
        <w:pStyle w:val="Heading2"/>
      </w:pPr>
      <w:bookmarkStart w:id="900826" w:name="_Toc300000825"/>
      <w:r>
        <w:t>Article 24.I: Marine Mammals, Acoustic Monitoring, and Vessel Interaction</w:t>
      </w:r>
      <w:bookmarkEnd w:id="900826"/>
    </w:p>
    <w:p>
      <w:pPr>
        <w:pStyle w:val="Normal"/>
      </w:pPr>
      <w:r>
        <w:t>1. The Parties shall cooperate to reduce avoidable vessel strikes, entanglement, harmful underwater noise, and other anthropogenic risks to marine mammals and other protected marine species.</w:t>
      </w:r>
    </w:p>
    <w:p>
      <w:pPr>
        <w:pStyle w:val="Normal"/>
      </w:pPr>
      <w:r>
        <w:t>2. Cooperative measures may include passive acoustic monitoring, satellite and sensor integration, interoperable sightings data, dynamic risk notices, stranding and rescue coordination, gear-modification research, and evidence-based navigation or speed measures adopted by competent authorities.</w:t>
      </w:r>
    </w:p>
    <w:p>
      <w:pPr>
        <w:pStyle w:val="Normal"/>
      </w:pPr>
      <w:r>
        <w:t>3. Automated detection, artificial-intelligence-assisted identification, acoustic warning, and other emerging systems may be tested under the Experimental Technology Pathway and shall not be treated as validated solely on the basis of simulation.</w:t>
      </w:r>
    </w:p>
    <w:p>
      <w:pPr>
        <w:pStyle w:val="Normal"/>
      </w:pPr>
      <w:r>
        <w:t>4. Nothing in this Article predetermines the designation of a shipping lane, protected area, closure, or mandatory vessel restriction; such measures remain subject to applicable domestic and international law. For greater certainty, Chapter 68 supplements this Article and Article 24.19 for cetacean-specific implementation, and neither Chapter displaces the protections, exceptions, Indigenous rights safeguards, or domestic and international law requirements applicable under the other unless this Agreement expressly provides otherwise.</w:t>
      </w:r>
    </w:p>
    <w:p>
      <w:pPr>
        <w:pStyle w:val="Heading2"/>
      </w:pPr>
      <w:bookmarkStart w:id="900827" w:name="_Toc300000826"/>
      <w:r>
        <w:t>Article 24.J: Coastal Habitat, Blue Carbon, and Nature-Based Resilience</w:t>
      </w:r>
      <w:bookmarkEnd w:id="900827"/>
    </w:p>
    <w:p>
      <w:pPr>
        <w:pStyle w:val="Normal"/>
      </w:pPr>
      <w:r>
        <w:t>1. The Parties may cooperate on restoration and protection of salt marshes, seagrass, kelp forests, mangroves where present, dunes, wetlands, estuaries, reefs, and other coastal habitats that provide biodiversity, fisheries, erosion-control, water-quality, storm-resilience, or climate benefits.</w:t>
      </w:r>
    </w:p>
    <w:p>
      <w:pPr>
        <w:pStyle w:val="Normal"/>
      </w:pPr>
      <w:r>
        <w:t>2. Programs may include habitat mapping, restoration demonstrations, invasive-species control, shoreline stabilization, species recovery, community stewardship, and Indigenous-led conservation consistent with domestic law and rights.</w:t>
      </w:r>
    </w:p>
    <w:p>
      <w:pPr>
        <w:pStyle w:val="Normal"/>
      </w:pPr>
      <w:r>
        <w:t>3. Carbon-removal or offset credit shall not be awarded solely on the basis of gross biomass growth or short-term carbon uptake. Any crediting methodology shall address additionality, permanence, leakage, measurement uncertainty, harvest fate, and durable sequestration.</w:t>
      </w:r>
    </w:p>
    <w:p>
      <w:pPr>
        <w:pStyle w:val="Normal"/>
      </w:pPr>
      <w:r>
        <w:t>4. Habitat restoration may be recognized for multiple verified benefits without double counting the same environmental outcome.</w:t>
      </w:r>
    </w:p>
    <w:p>
      <w:pPr>
        <w:pStyle w:val="Heading2"/>
      </w:pPr>
      <w:bookmarkStart w:id="900828" w:name="_Toc300000827"/>
      <w:r>
        <w:t>Article 24.K: Blue Bioeconomy and Marine Biomaterials</w:t>
      </w:r>
      <w:bookmarkEnd w:id="900828"/>
    </w:p>
    <w:p>
      <w:pPr>
        <w:pStyle w:val="Normal"/>
      </w:pPr>
      <w:r>
        <w:t>1. The Parties shall facilitate responsible development of marine biomass industries, including kelp and other seaweeds, where consistent with ecological protection, food safety, navigation, fisheries management, Indigenous rights, and coastal-use requirements.</w:t>
      </w:r>
    </w:p>
    <w:p>
      <w:pPr>
        <w:pStyle w:val="Normal"/>
      </w:pPr>
      <w:r>
        <w:t>2. Eligible cooperation may include seed and nursery research; breeding and cultivation methods; farm and ecosystem monitoring; processing and cold-chain infrastructure; product standards; market information; workforce development; and interoperability of import, export, and certification requirements.</w:t>
      </w:r>
    </w:p>
    <w:p>
      <w:pPr>
        <w:pStyle w:val="Normal"/>
      </w:pPr>
      <w:r>
        <w:t>3. Research and demonstration may address marine-derived agricultural biostimulants, food and feed ingredients, biodegradable packaging, fibres, nanocellulose, industrial materials, nutraceutical and pharmaceutical precursors, nutrient recovery, and other validated applications.</w:t>
      </w:r>
    </w:p>
    <w:p>
      <w:pPr>
        <w:pStyle w:val="Normal"/>
      </w:pPr>
      <w:r>
        <w:t>4. Marine-derived agricultural inputs shall be represented according to demonstrated function and shall not be treated as complete substitutes for conventional fertilizers unless evidence establishes such performance.</w:t>
      </w:r>
    </w:p>
    <w:p>
      <w:pPr>
        <w:pStyle w:val="Normal"/>
      </w:pPr>
      <w:r>
        <w:t>5. Indigenous and coastal-community participation, ownership, stewardship, and benefit-sharing models may be supported consistent with domestic law.</w:t>
      </w:r>
    </w:p>
    <w:p>
      <w:pPr>
        <w:pStyle w:val="Normal"/>
      </w:pPr>
      <w:r>
        <w:t>6. Kelp or other marine biomass carbon claims shall remain research or methodology-development activities until verified under Article 24.J.3.</w:t>
      </w:r>
    </w:p>
    <w:p>
      <w:pPr>
        <w:pStyle w:val="Heading2"/>
      </w:pPr>
      <w:bookmarkStart w:id="900829" w:name="_Toc300000828"/>
      <w:r>
        <w:t>Article 24.L: Water, Watershed, and Aquatic Resilience</w:t>
      </w:r>
      <w:bookmarkEnd w:id="900829"/>
    </w:p>
    <w:p>
      <w:pPr>
        <w:pStyle w:val="Normal"/>
      </w:pPr>
      <w:r>
        <w:t>1. The Parties shall strengthen cooperation concerning shared watersheds, lakes, rivers, aquifers, estuaries, coastal waters, and water-dependent ecosystems, while preserving existing treaty rights and domestic water authorities.</w:t>
      </w:r>
    </w:p>
    <w:p>
      <w:pPr>
        <w:pStyle w:val="Normal"/>
      </w:pPr>
      <w:r>
        <w:t>2. Priority areas may include nutrient reduction, harmful algal bloom prevention, stormwater management, water reuse, drought resilience, wastewater innovation, watershed restoration, aquatic invasive species, ballast-water biosecurity, and pollution monitoring.</w:t>
      </w:r>
    </w:p>
    <w:p>
      <w:pPr>
        <w:pStyle w:val="Normal"/>
      </w:pPr>
      <w:r>
        <w:t>3. The Parties may cooperate on desalination research, energy-efficient water treatment, brine minimization, resource recovery, and zero- or minimal-liquid-discharge technologies through existing programs and the Experimental Technology Pathway.</w:t>
      </w:r>
    </w:p>
    <w:p>
      <w:pPr>
        <w:pStyle w:val="Normal"/>
      </w:pPr>
      <w:r>
        <w:t>4. Nothing in this Article creates a right to the water resources of another Party, alters existing water-allocation agreements, or requires bulk water export.</w:t>
      </w:r>
    </w:p>
    <w:p>
      <w:pPr>
        <w:pStyle w:val="Heading2"/>
      </w:pPr>
      <w:bookmarkStart w:id="900830" w:name="_Toc300000829"/>
      <w:r>
        <w:t>Article 24.M: Brine Resource Recovery and Desalination Innovation</w:t>
      </w:r>
      <w:bookmarkEnd w:id="900830"/>
    </w:p>
    <w:p>
      <w:pPr>
        <w:pStyle w:val="Normal"/>
      </w:pPr>
      <w:r>
        <w:t>1. The Parties recognize that desalination and industrial brines may, where technically feasible and environmentally sound, contain recoverable water, minerals, chemical feedstocks, or energy value.</w:t>
      </w:r>
    </w:p>
    <w:p>
      <w:pPr>
        <w:pStyle w:val="Normal"/>
      </w:pPr>
      <w:r>
        <w:t>2. Experimental work may examine selective mineral recovery, industrial chemical production, salinity-gradient energy, electrochemical storage, mineral carbonation, improved water recovery, and validated material applications.</w:t>
      </w:r>
    </w:p>
    <w:p>
      <w:pPr>
        <w:pStyle w:val="Normal"/>
      </w:pPr>
      <w:r>
        <w:t>3. No brine-derived product shall receive environmental preference without assessment of contaminants, corrosion, leaching, salinity impacts, lifecycle energy use, residual disposal, and relevant structural or product-safety performance.</w:t>
      </w:r>
    </w:p>
    <w:p>
      <w:pPr>
        <w:pStyle w:val="Normal"/>
      </w:pPr>
      <w:r>
        <w:t>4. Saline-agriculture, soil-remediation, construction-material, or carbon-removal claims shall be separately validated and shall not be presumed from the existence of a brine waste stream.</w:t>
      </w:r>
    </w:p>
    <w:p>
      <w:pPr>
        <w:pStyle w:val="Normal"/>
      </w:pPr>
      <w:r>
        <w:t>5. The Parties should prioritize technologies that reduce both residual-disposal burden and freshwater demand without shifting material environmental harm to another medium or community.</w:t>
      </w:r>
    </w:p>
    <w:p>
      <w:pPr>
        <w:pStyle w:val="Heading2"/>
      </w:pPr>
      <w:bookmarkStart w:id="900831" w:name="_Toc300000830"/>
      <w:r>
        <w:t>Article 24.N: Waste-to-Resource and Residual Valorization</w:t>
      </w:r>
      <w:bookmarkEnd w:id="900831"/>
    </w:p>
    <w:p>
      <w:pPr>
        <w:pStyle w:val="Normal"/>
      </w:pPr>
      <w:r>
        <w:t>1. The Parties shall encourage identification, testing, validation, and, where economically proportionate and environmentally sound, productive reuse of industrial, mining, forestry, agricultural, fisheries, water-treatment, construction, manufacturing, and energy-system residual streams.</w:t>
      </w:r>
    </w:p>
    <w:p>
      <w:pPr>
        <w:pStyle w:val="Normal"/>
      </w:pPr>
      <w:r>
        <w:t>2. Priority may be given to applications that reduce disposal or remediation liabilities, substitute for virgin material extraction, strengthen North American supply chains, improve resilience, recover strategic materials, or produce measurable environmental benefit.</w:t>
      </w:r>
    </w:p>
    <w:p>
      <w:pPr>
        <w:pStyle w:val="Normal"/>
      </w:pPr>
      <w:r>
        <w:t>3. Candidate streams may include mine tailings, slag, fly ash, crusher fines, forestry residues, agricultural residues, recovered fishing gear, plastics, batteries, electronic waste, wastewater constituents, desalination brine, waste heat, and other residual materials.</w:t>
      </w:r>
    </w:p>
    <w:p>
      <w:pPr>
        <w:pStyle w:val="Normal"/>
      </w:pPr>
      <w:r>
        <w:t>4. Residual-derived products shall satisfy applicable health, safety, environmental, engineering, and product-performance requirements. Recycling status alone does not establish safety or sustainability.</w:t>
      </w:r>
    </w:p>
    <w:p>
      <w:pPr>
        <w:pStyle w:val="Normal"/>
      </w:pPr>
      <w:r>
        <w:t>5. Feasibility and lifecycle assessment may account for avoided storage, monitoring, remediation, transport, disposal, and virgin-material costs, while avoiding double counting.</w:t>
      </w:r>
    </w:p>
    <w:p>
      <w:pPr>
        <w:pStyle w:val="Normal"/>
      </w:pPr>
      <w:r>
        <w:t>6. A residual stream should be treated as a disposal problem only until a safe, validated, lawful, and economically sensible recovery pathway is demonstrated.</w:t>
      </w:r>
    </w:p>
    <w:p>
      <w:pPr>
        <w:pStyle w:val="Heading2"/>
      </w:pPr>
      <w:bookmarkStart w:id="900832" w:name="_Toc300000831"/>
      <w:r>
        <w:t>Article 24.O: Circular Materials and Industrial Symbiosis</w:t>
      </w:r>
      <w:bookmarkEnd w:id="900832"/>
    </w:p>
    <w:p>
      <w:pPr>
        <w:pStyle w:val="Normal"/>
      </w:pPr>
      <w:r>
        <w:t>1. The Parties shall promote circular production systems in which recoverable materials, water, energy, heat, or by-products from one process may serve as validated inputs to another.</w:t>
      </w:r>
    </w:p>
    <w:p>
      <w:pPr>
        <w:pStyle w:val="Normal"/>
      </w:pPr>
      <w:r>
        <w:t>2. Cooperation may include battery and solar-panel recycling; e-waste recovery; packaging reduction and recovery; recycled steel and aluminum; low-impact cement and concrete; industrial water efficiency; material passports; secondary-material quality standards; and industrial symbiosis demonstrations.</w:t>
      </w:r>
    </w:p>
    <w:p>
      <w:pPr>
        <w:pStyle w:val="Normal"/>
      </w:pPr>
      <w:r>
        <w:t>3. The Parties shall seek interoperability of recycled-content and recovered-material methodologies where doing so reduces duplicative compliance without lowering safety or environmental protection.</w:t>
      </w:r>
    </w:p>
    <w:p>
      <w:pPr>
        <w:pStyle w:val="Normal"/>
      </w:pPr>
      <w:r>
        <w:t>4. Industrial symbiosis projects may combine digital infrastructure, energy systems, water treatment, heat recovery, resource recovery, and manufacturing where independent assessment demonstrates net lifecycle and resilience benefits.</w:t>
      </w:r>
    </w:p>
    <w:p>
      <w:pPr>
        <w:pStyle w:val="Normal"/>
      </w:pPr>
      <w:r>
        <w:t>5. Participation remains technology-neutral and does not constitute government endorsement of a particular proprietary or donated architecture.</w:t>
      </w:r>
    </w:p>
    <w:p>
      <w:pPr>
        <w:pStyle w:val="Heading2"/>
      </w:pPr>
      <w:bookmarkStart w:id="900833" w:name="_Toc300000832"/>
      <w:r>
        <w:t>Article 24.P: Critical Minerals and Sustainable Mining</w:t>
      </w:r>
      <w:bookmarkEnd w:id="900833"/>
    </w:p>
    <w:p>
      <w:pPr>
        <w:pStyle w:val="Normal"/>
      </w:pPr>
      <w:r>
        <w:t>1. The Parties shall cooperate to improve environmental performance, traceability, circularity, and community confidence in North American critical-mineral exploration, extraction, processing, refining, recycling, and recovery.</w:t>
      </w:r>
    </w:p>
    <w:p>
      <w:pPr>
        <w:pStyle w:val="Normal"/>
      </w:pPr>
      <w:r>
        <w:t>2. Cooperation may include watershed protection, tailings management, reclamation and financial assurance, methane or other emissions reduction where relevant, recycled-content recognition, processing innovation, emergency response, and transparent environmental data.</w:t>
      </w:r>
    </w:p>
    <w:p>
      <w:pPr>
        <w:pStyle w:val="Normal"/>
      </w:pPr>
      <w:r>
        <w:t>3. For proposed activities with plausible material transboundary watershed effects, competent authorities should provide timely notice and opportunity for technical consultation consistent with domestic law.</w:t>
      </w:r>
    </w:p>
    <w:p>
      <w:pPr>
        <w:pStyle w:val="Normal"/>
      </w:pPr>
      <w:r>
        <w:t>4. Environmental certification or trusted-supply recognition shall rely on objective, published criteria and shall not operate as a disguised Party-specific quota or barrier.</w:t>
      </w:r>
    </w:p>
    <w:p>
      <w:pPr>
        <w:pStyle w:val="Normal"/>
      </w:pPr>
      <w:r>
        <w:t>5. Strategic-reserve cooperation may be pursued voluntarily and does not require common ownership or mandatory physical stockpiles.</w:t>
      </w:r>
    </w:p>
    <w:p>
      <w:pPr>
        <w:pStyle w:val="Heading2"/>
      </w:pPr>
      <w:bookmarkStart w:id="900834" w:name="_Toc300000833"/>
      <w:r>
        <w:t>Article 24.Q: Clean Energy, Grid, and Industrial Decarbonization Interoperability</w:t>
      </w:r>
      <w:bookmarkEnd w:id="900834"/>
    </w:p>
    <w:p>
      <w:pPr>
        <w:pStyle w:val="Normal"/>
      </w:pPr>
      <w:r>
        <w:t>1. The Parties may deepen cooperation on cross-border electricity reliability, transmission, smart-grid interoperability, energy storage, emergency power sharing, charging infrastructure, hydrogen certification, methane reduction, carbon management, geothermal technology, renewable integration, and other clean-energy systems.</w:t>
      </w:r>
    </w:p>
    <w:p>
      <w:pPr>
        <w:pStyle w:val="Normal"/>
      </w:pPr>
      <w:r>
        <w:t>2. Cooperation shall preserve each Party's authority over its energy mix, utility regulation, resource development, nuclear policy, environmental review, and project approval.</w:t>
      </w:r>
    </w:p>
    <w:p>
      <w:pPr>
        <w:pStyle w:val="Normal"/>
      </w:pPr>
      <w:r>
        <w:t>3. Technical work may include interoperable charging standards, grid-support protocols, clean-power attribute recognition, lifecycle methodologies, hydrogen measurement, methane detection, carbon-capture monitoring, and recycling of energy-system materials.</w:t>
      </w:r>
    </w:p>
    <w:p>
      <w:pPr>
        <w:pStyle w:val="Normal"/>
      </w:pPr>
      <w:r>
        <w:t>4. Carbon capture, direct air capture, hydrogen, geothermal, long-duration storage, advanced recycling, and other emerging technologies may proceed through iterative experimentation under the Experimental Technology Pathway.</w:t>
      </w:r>
    </w:p>
    <w:p>
      <w:pPr>
        <w:pStyle w:val="Normal"/>
      </w:pPr>
      <w:r>
        <w:t>5. Nothing in this Article requires a common carbon price, continental carbon market, mandatory renewable quota, or approval of a specific generation or transmission project.</w:t>
      </w:r>
    </w:p>
    <w:p>
      <w:pPr>
        <w:pStyle w:val="Heading2"/>
      </w:pPr>
      <w:bookmarkStart w:id="900835" w:name="_Toc300000834"/>
      <w:r>
        <w:t>Article 24.R: Sustainable Freight, Ports, Aviation, and Trade Infrastructure</w:t>
      </w:r>
      <w:bookmarkEnd w:id="900835"/>
    </w:p>
    <w:p>
      <w:pPr>
        <w:pStyle w:val="Normal"/>
      </w:pPr>
      <w:r>
        <w:t>1. The Parties may cooperate to reduce environmental impacts and improve resilience of ports, railways, inland shipping, airports, trucking corridors, and border logistics.</w:t>
      </w:r>
    </w:p>
    <w:p>
      <w:pPr>
        <w:pStyle w:val="Normal"/>
      </w:pPr>
      <w:r>
        <w:t>2. Eligible work may include green-shipping corridors, port electrification, shore power, rail efficiency or electrification where viable, low-emission freight technologies, sustainable aviation fuel interoperability, charging and fueling infrastructure, logistics-emissions measurement, and noise mitigation.</w:t>
      </w:r>
    </w:p>
    <w:p>
      <w:pPr>
        <w:pStyle w:val="Normal"/>
      </w:pPr>
      <w:r>
        <w:t>3. Standards and certification should be interoperable where practicable, technology-neutral, and designed to avoid unnecessary duplication.</w:t>
      </w:r>
    </w:p>
    <w:p>
      <w:pPr>
        <w:pStyle w:val="Normal"/>
      </w:pPr>
      <w:r>
        <w:t>4. Environmental performance programs shall not condition ordinary preferential tariff treatment on participation in a voluntary green-freight or emissions-labeling scheme unless expressly provided elsewhere in this Agreement.</w:t>
      </w:r>
    </w:p>
    <w:p>
      <w:pPr>
        <w:pStyle w:val="Heading2"/>
      </w:pPr>
      <w:bookmarkStart w:id="900836" w:name="_Toc300000835"/>
      <w:r>
        <w:t>Article 24.S: Transboundary Pollution and Environmental Emergency Response</w:t>
      </w:r>
      <w:bookmarkEnd w:id="900836"/>
    </w:p>
    <w:p>
      <w:pPr>
        <w:pStyle w:val="Normal"/>
      </w:pPr>
      <w:r>
        <w:t>1. Building on Article 58.9, the Parties shall maintain interoperable procedures for rapid notification, scientific information exchange, containment, assistance, and recovery following major oil spills, chemical releases, mine or tailings incidents, industrial accidents, water contamination, marine pollution, or other environmental emergencies with plausible transboundary effects.</w:t>
      </w:r>
    </w:p>
    <w:p>
      <w:pPr>
        <w:pStyle w:val="Normal"/>
      </w:pPr>
      <w:r>
        <w:t>2. Procedures should identify competent contact points, information categories, emergency communication channels, mutual-assistance options, and post-incident review without establishing a new standing body where existing mechanisms suffice.</w:t>
      </w:r>
    </w:p>
    <w:p>
      <w:pPr>
        <w:pStyle w:val="Normal"/>
      </w:pPr>
      <w:r>
        <w:t>3. A good-faith emergency response, request for assistance, or accidental transboundary event shall not by itself constitute an admission of legal liability or a trade violation.</w:t>
      </w:r>
    </w:p>
    <w:p>
      <w:pPr>
        <w:pStyle w:val="Normal"/>
      </w:pPr>
      <w:r>
        <w:t>4. Deliberate concealment, falsification of required environmental information, or persistent refusal to comply with a binding notification obligation may be addressed through the verification and dispute provisions of this Agreement.</w:t>
      </w:r>
    </w:p>
    <w:p>
      <w:pPr>
        <w:pStyle w:val="Normal"/>
      </w:pPr>
      <w:r>
        <w:t>5. TRANSBOUNDARY ENVIRONMENTAL EMERGENCY NOTIFICATION. When a competent domestic authority has credible evidence of an environmental emergency or a well-related hazard under Article 24-W.16 with plausible material effects in another Party, whether or not classified as major, that Party notifies the other Parties’ Article 24.26 contact points, designated domestic emergency authorities where known, and the Secretariat within twenty-four hours after the evidence is identified. The initial notice identifies the known location, hazard, affected medium, potential cross-border pathway, responsible authority, immediate protective action, and available assistance contact, with unknown information marked and updated as it becomes available. The Secretariat immediately circulates the notice through Article 30.5 contact points if an environmental contact is unavailable, and the Secretariat convenes the affected domestic emergency authorities within twenty-four hours after notice, using the Article 24.26 contact points to identify the proper emergency officials to coordinate information, requests for assistance, and any activation independently authorized by Chapter 38. Urgent domestic protective action does not await that conference, and this route implements Article 58.9 for these events without giving any body cross-border field authority or determining liability.</w:t>
      </w:r>
    </w:p>
    <w:p>
      <w:pPr>
        <w:pStyle w:val="Heading2"/>
      </w:pPr>
      <w:bookmarkStart w:id="900837" w:name="_Toc300000836"/>
      <w:r>
        <w:t>Article 24.T: Environmental Experimental Technology and Iterative Validation</w:t>
      </w:r>
      <w:bookmarkEnd w:id="900837"/>
    </w:p>
    <w:p>
      <w:pPr>
        <w:pStyle w:val="Normal"/>
      </w:pPr>
      <w:r>
        <w:t>1. Environmental and resilience technologies may use the Experimental Technology Pathway established elsewhere in this Agreement, including donated, public-domain, academic, Indigenous, commercial, governmental, and independently developed concepts.</w:t>
      </w:r>
    </w:p>
    <w:p>
      <w:pPr>
        <w:pStyle w:val="Normal"/>
      </w:pPr>
      <w:r>
        <w:t>2. Development should ordinarily proceed through feasibility assessment, modelling where appropriate, prototype or bench testing, diagnosis, material redesign, retesting, demonstration, independent validation, and optional deployment.</w:t>
      </w:r>
    </w:p>
    <w:p>
      <w:pPr>
        <w:pStyle w:val="Normal"/>
      </w:pPr>
      <w:r>
        <w:t>3. An initial unsuccessful test does not establish technological infeasibility. Where review identifies a credible corrective hypothesis, additional iterations may proceed.</w:t>
      </w:r>
    </w:p>
    <w:p>
      <w:pPr>
        <w:pStyle w:val="Normal"/>
      </w:pPr>
      <w:r>
        <w:t>4. Each Experimental Development Plan shall establish a cost- and risk-proportionate Revalidation Threshold. After repeated material unsuccessful iterations, expensive physical development shall pause until a software, computational, digital-twin, hardware-in-the-loop, component, laboratory, analytical, or other technically appropriate demonstration establishes a credible revised pathway.</w:t>
      </w:r>
    </w:p>
    <w:p>
      <w:pPr>
        <w:pStyle w:val="Normal"/>
      </w:pPr>
      <w:r>
        <w:t>5. Where no sufficiently validated software or computational method exists for the relevant failure mode, an appropriate reduced-scale physical or analytical demonstration may satisfy the Revalidation Gate.</w:t>
      </w:r>
    </w:p>
    <w:p>
      <w:pPr>
        <w:pStyle w:val="Normal"/>
      </w:pPr>
      <w:r>
        <w:t>6. A materially different technical approach may begin a new iteration sequence where independent review finds that it changes the mechanism responsible for prior failures rather than merely relabeling the unsuccessful configuration.</w:t>
      </w:r>
    </w:p>
    <w:p>
      <w:pPr>
        <w:pStyle w:val="Normal"/>
      </w:pPr>
      <w:r>
        <w:t>7. A project may conclude in good standing when evidence shows that further development is unlikely to justify expected cost, risk, or benefit. Useful derivative materials, components, processes, software, or methods may continue independently.</w:t>
      </w:r>
    </w:p>
    <w:p>
      <w:pPr>
        <w:pStyle w:val="Normal"/>
      </w:pPr>
      <w:r>
        <w:t>8. Experimental status is not certification, procurement commitment, commercial guarantee, or government endorsement.</w:t>
      </w:r>
    </w:p>
    <w:p>
      <w:pPr>
        <w:pStyle w:val="Heading2"/>
      </w:pPr>
      <w:bookmarkStart w:id="900838" w:name="_Toc300000837"/>
      <w:r>
        <w:t>Article 24.U: Environmental Data, Verification, and Anti-Greenwashing</w:t>
      </w:r>
      <w:bookmarkEnd w:id="900838"/>
    </w:p>
    <w:p>
      <w:pPr>
        <w:pStyle w:val="Normal"/>
      </w:pPr>
      <w:r>
        <w:t>1. Environmental claims used to obtain a trade preference, procurement advantage, certification benefit, credit, or other treatment under this Agreement shall be supported by proportionate and auditable evidence.</w:t>
      </w:r>
    </w:p>
    <w:p>
      <w:pPr>
        <w:pStyle w:val="Normal"/>
      </w:pPr>
      <w:r>
        <w:t>2. The Parties shall seek to reuse existing verified data, protect confidential business information and Indigenous knowledge, and avoid duplicative reporting.</w:t>
      </w:r>
    </w:p>
    <w:p>
      <w:pPr>
        <w:pStyle w:val="Normal"/>
      </w:pPr>
      <w:r>
        <w:t>3. Carbon, biodiversity, recycled-content, clean-power, sustainable-fisheries, and similar claims shall use transparent methodologies appropriate to the claim and shall address material uncertainty and double counting.</w:t>
      </w:r>
    </w:p>
    <w:p>
      <w:pPr>
        <w:pStyle w:val="Normal"/>
      </w:pPr>
      <w:r>
        <w:t>4. Screening indicators create a basis for inquiry, not a presumption of violation. Adverse legal consequences require an affirmative finding on the full record under the applicable procedure.</w:t>
      </w:r>
    </w:p>
    <w:p>
      <w:pPr>
        <w:pStyle w:val="Normal"/>
      </w:pPr>
      <w:r>
        <w:t>5. The Parties may improve interoperability of environmental data and digital traceability through existing institutions and technical bodies.</w:t>
      </w:r>
    </w:p>
    <w:p>
      <w:pPr>
        <w:pStyle w:val="Heading2"/>
      </w:pPr>
      <w:bookmarkStart w:id="900839" w:name="_Toc300000838"/>
      <w:r>
        <w:t>Article 24.V: Implementation Through Existing Institutions</w:t>
      </w:r>
      <w:bookmarkEnd w:id="900839"/>
    </w:p>
    <w:p>
      <w:pPr>
        <w:pStyle w:val="Normal"/>
      </w:pPr>
      <w:r>
        <w:t>1. Articles 24.F through 24.U shall be implemented, to the maximum extent practicable, through the Environment Committee, the Commission for Environmental Cooperation, existing fisheries and marine mechanisms, customs and border agencies, emergency-management authorities, energy and infrastructure mechanisms established elsewhere in this Agreement, and competent domestic authorities.</w:t>
      </w:r>
    </w:p>
    <w:p>
      <w:pPr>
        <w:pStyle w:val="Normal"/>
      </w:pPr>
      <w:r>
        <w:t>2. No new standing council, secretariat, registry authority, incubator, task force, or fund is created by these Articles unless the Parties expressly establish one through the amendment or implementation procedures of this Agreement after determining that existing institutions cannot efficiently perform the function.</w:t>
      </w:r>
    </w:p>
    <w:p>
      <w:pPr>
        <w:pStyle w:val="Normal"/>
      </w:pPr>
      <w:r>
        <w:t>3. Cooperative projects may use existing grants, procurement authorities, public-private arrangements, research programs, universities, laboratories, Indigenous institutions, and other lawful mechanisms.</w:t>
      </w:r>
    </w:p>
    <w:p>
      <w:pPr>
        <w:pStyle w:val="Normal"/>
      </w:pPr>
      <w:r>
        <w:t>4. Participation in a cooperative or experimental project does not alter constitutional allocations of authority or compel an appropriation of public funds.</w:t>
      </w:r>
    </w:p>
    <w:p>
      <w:pPr>
        <w:pStyle w:val="Heading2"/>
      </w:pPr>
      <w:bookmarkStart w:id="900840" w:name="_Toc300000839"/>
      <w:r>
        <w:t>Article 24.W: North American Legacy and Orphan Well Discovery, Safety, Remediation and Prevention Framework</w:t>
      </w:r>
      <w:bookmarkEnd w:id="900840"/>
    </w:p>
    <w:p>
      <w:pPr>
        <w:pStyle w:val="Normal"/>
      </w:pPr>
      <w:r>
        <w:t>1. The Parties establish Annex 24-W, the North American Legacy and Orphan Well Discovery, Safety, Remediation and Prevention Framework, to improve discovery, life-safety protection, remediation, closure verification, and prevention of future orphan liabilities. The Framework supplements Articles 24.S through 24.V and uses existing environmental, emergency, data, verification, energy, and domestic-regulatory machinery except where Annex 24-W expressly establishes a specialized function that existing institutions cannot efficiently perform. The North American Legacy Well Coordination Board administers the limited trinational functions assigned by Annex 24-W with Secretariat support and does not exercise continental permitting, plugging-order, enforcement, adjudicative, taxation, or general environmental-regulatory authority. Domestic petroleum regulators and other competent authorities retain primary authority over wells, sites, permitting, inspection, emergency action, plugging, remediation, reclamation, liability, and enforcement within their respective jurisdictions.</w:t>
      </w:r>
    </w:p>
    <w:p>
      <w:pPr>
        <w:pStyle w:val="Heading1"/>
      </w:pPr>
      <w:bookmarkStart w:id="900841" w:name="_Toc300000840"/>
      <w:r>
        <w:t>ANNEX 24-W: NORTH AMERICAN LEGACY AND ORPHAN WELL DISCOVERY, SAFETY, REMEDIATION AND PREVENTION FRAMEWORK</w:t>
      </w:r>
      <w:bookmarkEnd w:id="900841"/>
    </w:p>
    <w:p>
      <w:pPr>
        <w:pStyle w:val="Heading2"/>
      </w:pPr>
      <w:bookmarkStart w:id="900842" w:name="_Toc300000841"/>
      <w:r>
        <w:t>CATEGORY 24-W-A: PURPOSE, SCOPE, STATUS, AND INTERPRETATION</w:t>
      </w:r>
      <w:bookmarkEnd w:id="900842"/>
    </w:p>
    <w:p>
      <w:pPr>
        <w:pStyle w:val="Heading2"/>
      </w:pPr>
      <w:bookmarkStart w:id="900843" w:name="_Toc300000842"/>
      <w:r>
        <w:t>Article 24-W.1: Purpose and Operating Principles</w:t>
      </w:r>
      <w:bookmarkEnd w:id="900843"/>
    </w:p>
    <w:p>
      <w:pPr>
        <w:pStyle w:val="Normal"/>
      </w:pPr>
      <w:r>
        <w:t>1. This Annex creates a cooperative North American system for locating, characterizing, prioritizing, securing, remediating, verifying, and preventing legacy and orphan well hazards while preserving domestic regulatory sovereignty. Discovery and remediation operate as co-equal pillars because an undiscovered well cannot be risk-ranked, secured, remediated, or reliably represented in public policy. Implementation gives first priority to credible threats to life and safety and then applies evidence-based prioritization to water, air, ecosystems, property, climate, and other material risks. No performance measure under this Annex penalizes a Party merely because improved surveying, historical reconstruction, community reporting, or data reconciliation increases the number of previously unknown legacy wells in its recorded inventory.</w:t>
      </w:r>
    </w:p>
    <w:p>
      <w:pPr>
        <w:pStyle w:val="Normal"/>
      </w:pPr>
      <w:r>
        <w:t>2. The Parties apply polluter-pays and responsible-party recovery where domestic law identifies a legally responsible and financially capable person, while allowing immediate protective action to proceed when delay would materially increase risk. Pooled funding supplements and accelerates qualifying discovery, emergency, remediation, verification, and prevention work and does not displace an enforceable obligation of a solvent responsible person except where immediate action is necessary. Information generated under this Annex remains traceable to its source, confidence level, verification state, and correction history. Transfer, insolvency, dissolution, inactivity, lapse of time, database migration, or administrative reclassification does not by itself establish that a well is safely closed or that a material hazard no longer exists.</w:t>
      </w:r>
    </w:p>
    <w:p>
      <w:pPr>
        <w:pStyle w:val="Heading2"/>
      </w:pPr>
      <w:bookmarkStart w:id="900844" w:name="_Toc300000843"/>
      <w:r>
        <w:t>Article 24-W.2: Scope and Domestic Classification Mapping</w:t>
      </w:r>
      <w:bookmarkEnd w:id="900844"/>
    </w:p>
    <w:p>
      <w:pPr>
        <w:pStyle w:val="Normal"/>
      </w:pPr>
      <w:r>
        <w:t>1. This Annex applies to onshore legacy, orphan, abandoned, undocumented, suspected, unknown-status, and remediated petroleum wells and associated well sites within the territory of a Party and may apply to offshore wells where the competent domestic authority elects to use its mechanisms consistently with domestic law. A remediated or closure-verified well remains within the historical and evidentiary scope of this Annex only to the extent needed for closure records, proportionate post-closure monitoring, renewed investigation on materially new evidence, cost recovery, or another continuing function expressly provided here, and its historical inclusion does not by itself create continuing field regulation. An active or lawfully suspended well remains outside the remediation population solely by reason of its active status, but the prevention, financial-assurance, transfer, data-integrity, and emergency provisions of this Annex may apply where domestic law so provides. Each Party maps its domestic well-status terminology to the functional categories in this Annex for interoperability without replacing domestic legal classifications or creating a new continental property interest, liability rule, permit status, or closure determination.</w:t>
      </w:r>
    </w:p>
    <w:p>
      <w:pPr>
        <w:pStyle w:val="Heading2"/>
      </w:pPr>
      <w:bookmarkStart w:id="900845" w:name="_Toc300000844"/>
      <w:r>
        <w:t>Article 24-W.3: Core Defined Terms and Status Architecture</w:t>
      </w:r>
      <w:bookmarkEnd w:id="900845"/>
    </w:p>
    <w:p>
      <w:pPr>
        <w:pStyle w:val="Normal"/>
      </w:pPr>
      <w:r>
        <w:t>1. “Legacy well” means a well whose age, operating history, abandonment history, construction, record condition, regulatory history, or closure state creates a present need for discovery, characterization, monitoring, remediation, or verification under domestic law, whether or not a responsible person remains identifiable. “Orphan well” means a well for which the competent domestic authority determines under applicable law that no legally responsible and financially capable person is presently available to perform required closure, remediation, or related obligations; temporary uncertainty concerning contact, ownership, financial capacity, or records does not itself extinguish an otherwise existing responsibility. “Suspected or undocumented well” means a possible well supported by credible historical, geospatial, environmental, geophysical, community, land-record, regulatory, or other evidence but not yet field-verified to the applicable confidence threshold, and “unknown-status well” means a located or documented well for which available evidence does not yet reliably establish its current legal, physical, operational, plugging, remediation, or responsibility status. A later correction or reclassification preserves the prior status history, evidence provenance, and basis for change and does not erase a responsibility, closure defect, or unresolved hazard merely because the administrative label changes.</w:t>
      </w:r>
    </w:p>
    <w:p>
      <w:pPr>
        <w:pStyle w:val="Normal"/>
      </w:pPr>
      <w:r>
        <w:t>2. “Remediation” means measures addressing a well or well-site hazard and may include securing, plugging, re-plugging, contamination response, infrastructure removal, reclamation, restoration, monitoring, and corrective action as required by domestic law. “Closure verified” means that the competent authority has accepted evidence appropriate to the identified hazards showing that required closure and remediation outcomes are satisfied at the time of verification. “Difficult well” means a well whose pressure, flow, depth, construction, location, hazardous-gas condition, access constraint, subsurface uncertainty, technical failure, or other material factor creates exceptional cost, expertise, equipment, or emergency-response requirements. “Well cluster” means two or more wells or suspected wells whose geographic proximity, shared geology, migration pathways, common historical field, water connectivity, infrastructure, or cumulative risk makes integrated assessment or remediation materially more effective than isolated treatment.</w:t>
      </w:r>
    </w:p>
    <w:p>
      <w:pPr>
        <w:pStyle w:val="Normal"/>
      </w:pPr>
      <w:r>
        <w:t>3. LEGACY WELL LEGAL STATUS AND COMPLETED RIGHTS. An Article 24-W.34 report may change Annex fund eligibility and the Registry’s annotation of technical evidence, confidence, or a dispute, but does not replace a competent domestic authority’s legal closure acceptance. Only that authority, or a domestic reviewer lawfully empowered to revise its determination, changes the authoritative closure status, after which the Registry records the change and its source history. Completed rights in Article 24-W.37 mean lawfully accrued grant or payment entitlements and the recognized historical completion outcome within its verified scope, without immunity from recovery for misrepresentation or reassessment on materially new hazard evidence. A funded-completion finding and a domestic closure finding are represented separately whenever their standards or outcomes differ.</w:t>
      </w:r>
    </w:p>
    <w:p>
      <w:pPr>
        <w:pStyle w:val="Heading2"/>
      </w:pPr>
      <w:bookmarkStart w:id="900846" w:name="_Toc300000845"/>
      <w:r>
        <w:t>CATEGORY 24-W-B: GOVERNANCE, AUTHORITY, AND INSTITUTIONAL INTERFACE</w:t>
      </w:r>
      <w:bookmarkEnd w:id="900846"/>
    </w:p>
    <w:p>
      <w:pPr>
        <w:pStyle w:val="Heading2"/>
      </w:pPr>
      <w:bookmarkStart w:id="900847" w:name="_Toc300000846"/>
      <w:r>
        <w:t>Article 24-W.4: North American Legacy Well Coordination Board</w:t>
      </w:r>
      <w:bookmarkEnd w:id="900847"/>
    </w:p>
    <w:p>
      <w:pPr>
        <w:pStyle w:val="Normal"/>
      </w:pPr>
      <w:r>
        <w:t>1. The Parties establish the North American Legacy Well Coordination Board as the dedicated technical, coordinating, data-integrity, capacity-building, and fund-governance body for this Annex, with each Party designating at least one lead representative from a competent authority and a contact structure capable of engaging relevant subnational and Indigenous or Tribal authorities in accordance with domestic law. The Board adopts by consensus a compact operating procedure covering chair rotation, ordinary and emergency meetings, participation, records, conflict disclosure and recusal, protection of sensitive information, and publication of non-confidential decisions, and no procedural rule enlarges the Board's substantive authority. The Board may invite the Commission for Environmental Cooperation, the Environment Committee, Chapter 38 emergency mechanisms, Chapter 40 energy institutions, technical experts, municipalities, Indigenous or Tribal institutions, and other relevant bodies to participate as observers or advisers for a defined function without transferring decision authority to them. The Board uses the Secretariat for administrative continuity, records, meeting support, data stewardship, and other functions already available under this Agreement and avoids creating permanent subordinate bodies where a time-limited technical group or existing institution can perform the task.</w:t>
      </w:r>
    </w:p>
    <w:p>
      <w:pPr>
        <w:pStyle w:val="Normal"/>
      </w:pPr>
      <w:r>
        <w:t>2. The Board maintains the federated Registry, common data and provenance rules, risk-methodology guidance, pooled funding mechanisms, difficult-well support, technical cooperation, discovery coordination, and public aggregate reporting established by this Annex. The Board may create time-limited technical working groups when a defined task cannot be efficiently performed through its ordinary membership and dissolves each group when the task is complete. The Board records the mandate, duration, membership, deliverable, and administrative burden of each working group and avoids standing subcommittees where periodic expert consultation is sufficient. No advisory participant acquires decision-making authority merely by participating in Board work.</w:t>
      </w:r>
    </w:p>
    <w:p>
      <w:pPr>
        <w:pStyle w:val="Normal"/>
      </w:pPr>
      <w:r>
        <w:t>3. LEGACY WELL STARTUP AND INTERIM PROCEDURE. For the Article 24-W.38 checkpoint, this Annex becomes operational ninety days after the Protocol of Modernization enters into force, without making delayed appointments, a funding schedule, or database completion a power to defer that date. Each Party designates its lead representative within thirty days, the Board convenes by day sixty, and the Secretariat supplies records and meeting support from commencement. Pending consensus operating procedures, the lead representatives meet remotely on a Party’s request, chair in twelve-month Canada-Mexico-United States rotation beginning with Canada, record and publish non-confidential decisions, disclose and recuse for conflicts, and apply the consensus and authority limits of Article 24-W.5. A missing representative does not disable receipt, Registry indexing, or emergency cooperation, and the Secretariat performs those administrative functions under Article 30.B without exercising the absent representative’s substantive vote.</w:t>
      </w:r>
    </w:p>
    <w:p>
      <w:pPr>
        <w:pStyle w:val="Heading2"/>
      </w:pPr>
      <w:bookmarkStart w:id="900848" w:name="_Toc300000847"/>
      <w:r>
        <w:t>Article 24-W.5: Authority Firewall and Decision Rules</w:t>
      </w:r>
      <w:bookmarkEnd w:id="900848"/>
    </w:p>
    <w:p>
      <w:pPr>
        <w:pStyle w:val="Normal"/>
      </w:pPr>
      <w:r>
        <w:t>1. The Board does not issue drilling or operating permits, order plugging or remediation, impose taxes or levies, adjudicate private liability, enforce domestic law, displace a domestic regulator, or create a second environmental tribunal or Cothrom system. Technical guidance, model forms, methods menus, and interoperability standards issued by the Board do not acquire binding domestic regulatory effect unless adopted through the competent domestic process or made binding by an express provision of this Agreement. Board decisions concerning fund rules and common minimum data requirements within the existing mandate require consensus of the Parties; changes to the mandate or a schedule that create or alter legal obligations require Article 34.3 amendment and completion of the Parties’ applicable legal procedures. Administrative corrections, non-substantive schema maintenance, and technical publications may proceed under procedures approved by consensus and cannot expand an obligation or authority created by this Annex.</w:t>
      </w:r>
    </w:p>
    <w:p>
      <w:pPr>
        <w:pStyle w:val="Heading2"/>
      </w:pPr>
      <w:bookmarkStart w:id="900849" w:name="_Toc300000848"/>
      <w:r>
        <w:t>Article 24-W.6: Existing-Institution-First Interface</w:t>
      </w:r>
      <w:bookmarkEnd w:id="900849"/>
    </w:p>
    <w:p>
      <w:pPr>
        <w:pStyle w:val="Normal"/>
      </w:pPr>
      <w:r>
        <w:t>1. The Board implements this Annex through existing domestic regulators, the Environment Committee, the Commission for Environmental Cooperation, emergency-management authorities, Chapter 40 energy mechanisms, laboratories, universities, Indigenous or Tribal institutions, and other competent bodies wherever those institutions can efficiently perform the required function. The Board does not duplicate generic emergency management, environmental dispute settlement, experimental-technology validation, data-security, procurement, or Cothrom functions already established elsewhere in this Agreement. Where a material functional gap appears, the Board documents the operational need, existing alternatives considered, expected administrative burden, authority boundary, reporting line, and proposed duration before recommending new permanent machinery. Nothing in this Annex alters constitutional allocations of authority or requires a Party to transfer regulatory jurisdiction to the Board.</w:t>
      </w:r>
    </w:p>
    <w:p>
      <w:pPr>
        <w:pStyle w:val="Heading2"/>
      </w:pPr>
      <w:bookmarkStart w:id="900850" w:name="_Toc300000849"/>
      <w:r>
        <w:t>CATEGORY 24-W-C: FEDERATED REGISTRY, PROVENANCE, AND DATA GOVERNANCE</w:t>
      </w:r>
      <w:bookmarkEnd w:id="900850"/>
    </w:p>
    <w:p>
      <w:pPr>
        <w:pStyle w:val="Heading2"/>
      </w:pPr>
      <w:bookmarkStart w:id="900851" w:name="_Toc300000850"/>
      <w:r>
        <w:t>Article 24-W.7: North American Legacy Well Registry</w:t>
      </w:r>
      <w:bookmarkEnd w:id="900851"/>
    </w:p>
    <w:p>
      <w:pPr>
        <w:pStyle w:val="Normal"/>
      </w:pPr>
      <w:r>
        <w:t>1. The Board maintains the North American Legacy Well Registry as a federated interoperability and discovery index linking authoritative domestic records and qualified supplementary evidence, meaning evidence whose source, provenance, relevance, and confidence are recorded sufficiently for the receiving authority to assess its proper use. Each domestic database remains authoritative for legal status assigned by the competent authority, and the Registry does not overwrite, supersede, or silently reconcile a conflicting domestic record. The Registry supports stable identifiers, legacy identifiers and aliases, status history, source links, update dates, risk information, remediation state, closure evidence, and other fields identified in Schedule 24-W-A, with material corrections propagated to dependent Registry views and linked records. Where two records may describe the same well, the Registry preserves both source records until the competent domestic authority or a reconciliation process designated by that authority resolves the relationship and records the basis, date, and responsible source for the resolution.</w:t>
      </w:r>
    </w:p>
    <w:p>
      <w:pPr>
        <w:pStyle w:val="Heading2"/>
      </w:pPr>
      <w:bookmarkStart w:id="900852" w:name="_Toc300000851"/>
      <w:r>
        <w:t>Article 24-W.8: Provenance, Location Confidence, and Verification State</w:t>
      </w:r>
      <w:bookmarkEnd w:id="900852"/>
    </w:p>
    <w:p>
      <w:pPr>
        <w:pStyle w:val="Normal"/>
      </w:pPr>
      <w:r>
        <w:t>1. Every material Registry datum records its source, date, method, responsible source body or reporter class, version history, and verification state to the extent reasonably available. Well locations use a confidence classification that distinguishes approximate historical references, geospatial inference, field indications, instrument-supported locations, and technically verified coordinates without converting uncertainty into false precision. A report or historical record may remain useful evidence even when it does not satisfy the threshold for a verified well location, and its limitations remain visible to authorized users. Corrections preserve the prior value, reason for change, date, source, and responsible authority so that an apparent improvement in the dataset cannot be produced through silent deletion or relabeling.</w:t>
      </w:r>
    </w:p>
    <w:p>
      <w:pPr>
        <w:pStyle w:val="Heading2"/>
      </w:pPr>
      <w:bookmarkStart w:id="900853" w:name="_Toc300000852"/>
      <w:r>
        <w:t>Article 24-W.9: Access, Privacy, Security, and Sensitive Locations</w:t>
      </w:r>
      <w:bookmarkEnd w:id="900853"/>
    </w:p>
    <w:p>
      <w:pPr>
        <w:pStyle w:val="Normal"/>
      </w:pPr>
      <w:r>
        <w:t>1. Registry access follows a tiered model that gives competent regulators and emergency responders the precision reasonably necessary for their functions while protecting personal information, confidential business information, security-sensitive information, and Indigenous or Tribal data subject to applicable protections. Public maps may generalize, delay, or withhold exact coordinates for unverified, hazardous, culturally sensitive, private-property, infrastructure-sensitive, or otherwise protected locations where publication would create a material safety, privacy, security, or stewardship risk. Access to restricted precision data uses role-appropriate authorization and proportionate access logging, and a material correction to a restricted record is propagated to recipients where reasonably necessary for safety, response, or decision integrity. Affected owners, occupants, communities, and authorities receive information required by domestic law and this Annex while data collection, retention, sharing, correction, and disposition remain limited to the minimum information reasonably necessary for the stated function and reuse verified domestic information where practicable.</w:t>
      </w:r>
    </w:p>
    <w:p>
      <w:pPr>
        <w:pStyle w:val="Heading2"/>
      </w:pPr>
      <w:bookmarkStart w:id="900854" w:name="_Toc300000853"/>
      <w:r>
        <w:t>CATEGORY 24-W-D: DISCOVERY, LOCATION, AND COMMUNITY REPORTING</w:t>
      </w:r>
      <w:bookmarkEnd w:id="900854"/>
    </w:p>
    <w:p>
      <w:pPr>
        <w:pStyle w:val="Heading2"/>
      </w:pPr>
      <w:bookmarkStart w:id="900855" w:name="_Toc300000854"/>
      <w:r>
        <w:t>Article 24-W.10: Continental Discovery Strategy</w:t>
      </w:r>
      <w:bookmarkEnd w:id="900855"/>
    </w:p>
    <w:p>
      <w:pPr>
        <w:pStyle w:val="Normal"/>
      </w:pPr>
      <w:r>
        <w:t>1. Each Party maintains a risk-informed strategy for identifying undocumented, lost, suspected, and unknown-status wells using domestic records and methods appropriate to its geology, settlement history, regulatory history, and known legacy fields. The Board supports interoperability among archival reconstruction, historical maps and imagery, regulatory records, land and industry records lawfully available, remote sensing, geophysical methods, gas surveys, community knowledge, and other validated discovery sources. Discovery planning gives particular attention to areas where historical drilling density, incomplete records, occupied development, water vulnerability, prior incidents, or credible local evidence indicates a material probability of undocumented wells. Finding additional legacy wells through improved discovery is recorded as improved inventory knowledge and not, without separate evidence, as deterioration in current regulatory performance.</w:t>
      </w:r>
    </w:p>
    <w:p>
      <w:pPr>
        <w:pStyle w:val="Heading2"/>
      </w:pPr>
      <w:bookmarkStart w:id="900856" w:name="_Toc300000855"/>
      <w:r>
        <w:t>Article 24-W.11: Escalating Detection and Search Sufficiency</w:t>
      </w:r>
      <w:bookmarkEnd w:id="900856"/>
    </w:p>
    <w:p>
      <w:pPr>
        <w:pStyle w:val="Normal"/>
      </w:pPr>
      <w:r>
        <w:t>1. Where credible evidence indicates the probable presence of a legacy well and ordinary field inspection does not reliably locate it, the competent authority applies or arranges additional detection methods reasonably suited to terrain, expected construction, historical period, location uncertainty, surrounding development, and potential hazard. Available methods may include historical-image reconstruction, remote sensing, electromagnetic surveying, magnetometry, ground-penetrating radar, methane or other gas surveying, targeted excavation, or other validated methods described in Schedule 24-W-E without requiring every method at every site. Failure to locate a suspected well through one method does not establish absence where material contrary evidence remains, and the investigation record identifies methods used, search area, limitations, confidence, and the basis for continuing, suspending, or closing the search. A suspected well presenting credible evidence of acute risk to life, health, occupied property, drinking water, or critical infrastructure receives accelerated investigation and protective measures notwithstanding uncertainty concerning its exact location.</w:t>
      </w:r>
    </w:p>
    <w:p>
      <w:pPr>
        <w:pStyle w:val="Heading2"/>
      </w:pPr>
      <w:bookmarkStart w:id="900857" w:name="_Toc300000856"/>
      <w:r>
        <w:t>Article 24-W.12: Citizen Discovery Program</w:t>
      </w:r>
      <w:bookmarkEnd w:id="900857"/>
    </w:p>
    <w:p>
      <w:pPr>
        <w:pStyle w:val="Normal"/>
      </w:pPr>
      <w:r>
        <w:t>1. Each Party provides or designates a safe public pathway for submitting possible legacy-well locations, photographs taken from a safe and lawful position, approximate coordinates, historical documents, local knowledge, and other potentially useful discovery information. Citizen instructions state clearly that a reporter does not touch, open, move, excavate, enter, ignite near, test gas at, trespass upon, or approach a suspected well or associated structure for the purpose of improving a report. A person observing signs of an acute gas, fire, explosion, collapse, contamination, or other immediate hazard is directed to withdraw to a safe location and contact the competent emergency or regulatory authority rather than investigate independently. The reporting pathway accommodates reasonable anonymous or confidential reporting where domestic law permits and protects personal information consistent with Article 24-W.9.</w:t>
      </w:r>
    </w:p>
    <w:p>
      <w:pPr>
        <w:pStyle w:val="Normal"/>
      </w:pPr>
      <w:r>
        <w:t>2. A Party or the Board may maintain modest incentives for verified useful information, historical research, community mapping, or novel leads that materially assist professional discovery. An incentive rewards information value and not raw report count, speed, proximity to a suspected hazard, physical entry, excavation, handling, or other risky conduct. Unsafe, unlawful, fabricated, materially misleading, or intentionally duplicative conduct is ineligible for reward, and no incentive creates a right to enter private, Indigenous, Tribal, restricted, or otherwise controlled land. A citizen report enters the Registry as an unverified lead until the applicable triage and verification process establishes a higher evidentiary state.</w:t>
      </w:r>
    </w:p>
    <w:p>
      <w:pPr>
        <w:pStyle w:val="Heading2"/>
      </w:pPr>
      <w:bookmarkStart w:id="900858" w:name="_Toc300000857"/>
      <w:r>
        <w:t>Article 24-W.13: Community, Historical, and Institutional Evidence</w:t>
      </w:r>
      <w:bookmarkEnd w:id="900858"/>
    </w:p>
    <w:p>
      <w:pPr>
        <w:pStyle w:val="Normal"/>
      </w:pPr>
      <w:r>
        <w:t>1. Competent authorities may use oral histories, Indigenous or Tribal knowledge with appropriate consent and governance, farmer and landowner records, municipal files, utility observations, emergency-service records, industry archives, bankruptcy or receivership records lawfully available, historical leases, and other credible sources as discovery leads. No single source category receives automatic priority over contradictory physical or documentary evidence solely because of its institutional or informal origin. The record identifies source limitations, access restrictions, uncertainty, and corroboration where those factors materially affect a location or risk conclusion. Protected knowledge is not entered into a public Registry field merely because it informed a search, and a protected summary, attestation, or controlled review may support verification where appropriate.</w:t>
      </w:r>
    </w:p>
    <w:p>
      <w:pPr>
        <w:pStyle w:val="Heading2"/>
      </w:pPr>
      <w:bookmarkStart w:id="900859" w:name="_Toc300000858"/>
      <w:r>
        <w:t>Article 24-W.14: Discovery Verification Pipeline and Safe Harbor</w:t>
      </w:r>
      <w:bookmarkEnd w:id="900859"/>
    </w:p>
    <w:p>
      <w:pPr>
        <w:pStyle w:val="Normal"/>
      </w:pPr>
      <w:r>
        <w:t>1. The ordinary discovery pipeline distinguishes a citizen or institutional lead, triage, documentary corroboration, professional survey, location outcome, technical characterization, domestic classification, and authoritative Registry update. An investigation may conclude located, not located after a documented sufficient search, or inconclusive, and an inconclusive result remains available for future review when new evidence or improved methods emerge. An increase in recorded wells caused by improved surveying, historical reconstruction, landowner reporting, field investigation, data reconciliation, or other credible discovery activity does not by itself constitute deterioration or non-performance under this Agreement. Nothing in this safe harbor excuses unreasonable delay in investigating, securing, plugging, remediating, or monitoring a known material hazard.</w:t>
      </w:r>
    </w:p>
    <w:p>
      <w:pPr>
        <w:pStyle w:val="Heading2"/>
      </w:pPr>
      <w:bookmarkStart w:id="900860" w:name="_Toc300000859"/>
      <w:r>
        <w:t>CATEGORY 24-W-E: RISK CLASSIFICATION, ACUTE SAFETY, AND AREA-BASED RESPONSE</w:t>
      </w:r>
      <w:bookmarkEnd w:id="900860"/>
    </w:p>
    <w:p>
      <w:pPr>
        <w:pStyle w:val="Heading2"/>
      </w:pPr>
      <w:bookmarkStart w:id="900861" w:name="_Toc300000860"/>
      <w:r>
        <w:t>Article 24-W.15: Risk Classification and Re-Tiering</w:t>
      </w:r>
      <w:bookmarkEnd w:id="900861"/>
    </w:p>
    <w:p>
      <w:pPr>
        <w:pStyle w:val="Normal"/>
      </w:pPr>
      <w:r>
        <w:t>1. Each Party applies a transparent risk methodology that distinguishes immediate, high, moderate, and lower-monitoring priorities or functionally equivalent domestic tiers. The methodology considers human safety, occupied structures, drinking-water and aquifer vulnerability, methane and hydrogen sulphide, pressure and flow, fire or explosion potential, subsidence, contamination, well age and construction, plugging quality, access constraints, environmental sensitivity, deterioration, and cumulative cluster effects. Cost and logistical difficulty may inform sequencing among comparably risky wells but do not displace an acute life-safety priority merely because the dangerous well is expensive or technically difficult. A well is re-tiered when credible new evidence materially changes the assessed hazard, exposure, uncertainty, or effectiveness of existing controls.</w:t>
      </w:r>
    </w:p>
    <w:p>
      <w:pPr>
        <w:pStyle w:val="Heading2"/>
      </w:pPr>
      <w:bookmarkStart w:id="900862" w:name="_Toc300000861"/>
      <w:r>
        <w:t>Article 24-W.16: Acute Hazard and Emergency Lane</w:t>
      </w:r>
      <w:bookmarkEnd w:id="900862"/>
    </w:p>
    <w:p>
      <w:pPr>
        <w:pStyle w:val="Normal"/>
      </w:pPr>
      <w:r>
        <w:t>1. A credible indication of imminent or serious danger from uncontrolled flow, methane, hydrogen sulphide, explosion, fire, contamination, collapse, migration into occupied structures, or another material well-related hazard activates an expedited domestic response pathway. The competent authority may use lawful interim measures including access control, evacuation support, monitoring, temporary containment, venting, emergency plugging, water protection, public warning, and specialist mobilization as appropriate to the hazard, and a dispute over ownership, historical responsibility, cost allocation, or ultimate liability does not delay immediately necessary protective action where domestic law permits it. Where credible evidence indicates that gas migration, contamination, water effects, air effects, or response consequences may materially cross a Party boundary, the competent authority also activates the Article 24.S(5) transboundary-pollution and environmental-emergency notification route without transferring domestic field authority. Emergency expenditure and cross-border coordination preserve available rights of investigation, reimbursement, contribution, insurance recovery, or cost recovery under domestic law.</w:t>
      </w:r>
    </w:p>
    <w:p>
      <w:pPr>
        <w:pStyle w:val="Heading2"/>
      </w:pPr>
      <w:bookmarkStart w:id="900863" w:name="_Toc300000862"/>
      <w:r>
        <w:t>Article 24-W.17: Public Warning, Occupant Notification, and Local Response</w:t>
      </w:r>
      <w:bookmarkEnd w:id="900863"/>
    </w:p>
    <w:p>
      <w:pPr>
        <w:pStyle w:val="Normal"/>
      </w:pPr>
      <w:r>
        <w:t>1. Where a verified or credibly suspected well presents a material risk to occupants, landowners, workers, water users, or a nearby community, the competent authority provides timely risk information and protective instructions consistent with domestic emergency and privacy law. Communication distinguishes confirmed hazards from precautionary investigation and avoids attributing naturally occurring or otherwise uncertain gas or contamination to a particular well without sufficient evidence, while local emergency responders receive the location, hazard, contact, and response information reasonably necessary for foreseeable incidents involving high-priority wells or clusters. When a material risk conclusion, attribution, protective instruction, or closure status communicated under this Article later changes, the competent authority provides a proportionate correction or update to affected recipients where reasonably necessary to prevent reliance on stale information. Public education in affected areas emphasizes recognition of warning signs, safe withdrawal, appropriate reporting, and avoidance of self-investigation rather than requiring residents to perform technical monitoring.</w:t>
      </w:r>
    </w:p>
    <w:p>
      <w:pPr>
        <w:pStyle w:val="Heading2"/>
      </w:pPr>
      <w:bookmarkStart w:id="900864" w:name="_Toc300000863"/>
      <w:r>
        <w:t>Article 24-W.18: Geographic Clusters and Integrated Remediation Zones</w:t>
      </w:r>
      <w:bookmarkEnd w:id="900864"/>
    </w:p>
    <w:p>
      <w:pPr>
        <w:pStyle w:val="Normal"/>
      </w:pPr>
      <w:r>
        <w:t>1. Where legacy, orphan, undocumented, or unknown-status wells are geographically or hydrogeologically concentrated, the competent authority may manage the affected area as an integrated remediation zone when that approach materially improves safety, environmental protection, discovery completeness, or remediation efficiency. Area assessment considers individual well condition together with plausible subsurface migration pathways, cumulative gas exposure, groundwater connectivity, occupied structures, critical infrastructure, historical drilling patterns, and other evidence of interacting or common-source risk. Integrated management may coordinate surveying, monitoring, emergency controls, plugging campaigns, contamination response, infrastructure removal, land restoration, and post-remediation verification while preserving well-specific records and applicable liability. Use of an integrated remediation zone does not delay immediate intervention at an individual well presenting an acute threat and does not transfer regulatory authority between governments.</w:t>
      </w:r>
    </w:p>
    <w:p>
      <w:pPr>
        <w:pStyle w:val="Heading2"/>
      </w:pPr>
      <w:bookmarkStart w:id="900865" w:name="_Toc300000864"/>
      <w:r>
        <w:t>CATEGORY 24-W-F: REMEDIATION, CLOSURE VERIFICATION, AND POST-CLOSURE DUTY</w:t>
      </w:r>
      <w:bookmarkEnd w:id="900865"/>
    </w:p>
    <w:p>
      <w:pPr>
        <w:pStyle w:val="Heading2"/>
      </w:pPr>
      <w:bookmarkStart w:id="900866" w:name="_Toc300000865"/>
      <w:r>
        <w:t>Article 24-W.19: Remediation Planning and Execution</w:t>
      </w:r>
      <w:bookmarkEnd w:id="900866"/>
    </w:p>
    <w:p>
      <w:pPr>
        <w:pStyle w:val="Normal"/>
      </w:pPr>
      <w:r>
        <w:t>1. Remediation proceeds under the authority and technical standards of the competent domestic regulator and uses methods proportionate to the well condition, site hazards, geology, contamination, access, and intended closure outcome. Documentation identifies the well or cluster, known uncertainties, immediate controls, technical method, environmental and worker protections, relevant waste or material handling, verification evidence, and post-closure monitoring to the depth reasonably proportionate to risk, complexity, funding conditions, and domestic requirements rather than imposing the same plan burden on every intervention. The Board may publish non-binding best-practice menus and facilitate access to specialized expertise without prescribing a single plugging method across unlike jurisdictions and well types. Material deviations from an approved remediation plan are documented with the reason, competent authority, revised risk controls, and effect on closure verification.</w:t>
      </w:r>
    </w:p>
    <w:p>
      <w:pPr>
        <w:pStyle w:val="Heading2"/>
      </w:pPr>
      <w:bookmarkStart w:id="900867" w:name="_Toc300000866"/>
      <w:r>
        <w:t>Article 24-W.20: Closure Verification</w:t>
      </w:r>
      <w:bookmarkEnd w:id="900867"/>
    </w:p>
    <w:p>
      <w:pPr>
        <w:pStyle w:val="Normal"/>
      </w:pPr>
      <w:r>
        <w:t>1. Plugging, expenditure of funds, contractor completion, or administrative closure does not by itself establish successful remediation where the identified hazard requires additional evidence. Closure verification uses evidence appropriate to the well and risk, which may include pressure or flow observations, gas monitoring, water or soil evidence, plugging records, integrity testing, site inspection, reclamation evidence, or other validated indicators required by domestic law. The verifying authority records material limitations, residual risks, monitoring requirements, and conditions that would require corrective action or reopening. Independent or third-party technical evidence may be used where domestic law permits, but final legal acceptance remains with the competent authority unless domestic law provides otherwise.</w:t>
      </w:r>
    </w:p>
    <w:p>
      <w:pPr>
        <w:pStyle w:val="Heading2"/>
      </w:pPr>
      <w:bookmarkStart w:id="900868" w:name="_Toc300000867"/>
      <w:r>
        <w:t>Article 24-W.21: Post-Closure Monitoring and Reopening</w:t>
      </w:r>
      <w:bookmarkEnd w:id="900868"/>
    </w:p>
    <w:p>
      <w:pPr>
        <w:pStyle w:val="Normal"/>
      </w:pPr>
      <w:r>
        <w:t>1. A closure-verified well receives post-closure monitoring proportionate to residual uncertainty, migration potential, prior failure, contamination, proximity to receptors, and other material risk factors, and that determination may include a documented conclusion that no continuing active monitoring is required where evidence supports a genuinely low-risk closure. Credible evidence of renewed leakage, migration, contamination, structural failure, ineffective plugging, or another material hazard triggers reassessment notwithstanding a prior closure record. The competent authority may reopen the technical record, require or undertake corrective action under domestic law, and update the Registry without treating the prior verification as evidence that later observations are invalid. Completion of a monitoring period or a lawful determination that active monitoring is unnecessary does not erase preserved historical evidence or prevent renewed investigation when materially new evidence emerges.</w:t>
      </w:r>
    </w:p>
    <w:p>
      <w:pPr>
        <w:pStyle w:val="Heading2"/>
      </w:pPr>
      <w:bookmarkStart w:id="900869" w:name="_Toc300000868"/>
      <w:r>
        <w:t>CATEGORY 24-W-G: POOLED FUNDING, DIFFICULT WELLS, AND FINANCIAL INTEGRITY</w:t>
      </w:r>
      <w:bookmarkEnd w:id="900869"/>
    </w:p>
    <w:p>
      <w:pPr>
        <w:pStyle w:val="Heading2"/>
      </w:pPr>
      <w:bookmarkStart w:id="900870" w:name="_Toc300000869"/>
      <w:r>
        <w:t>Article 24-W.22: North American Legacy Well Discovery and Remediation Facility</w:t>
      </w:r>
      <w:bookmarkEnd w:id="900870"/>
    </w:p>
    <w:p>
      <w:pPr>
        <w:pStyle w:val="Normal"/>
      </w:pPr>
      <w:r>
        <w:t>1. The Parties establish the North American Legacy Well Discovery and Remediation Facility as a dedicated pooled mechanism administered by the Board subject to domestic appropriation and other applicable fiscal law. The Facility accepts Party contributions established by consensus schedules and may accept other lawful public, industry, philanthropic, research, recovery, or matching funds when acceptance does not compromise regulatory independence or create preferential treatment. Facility resources remain dedicated to this Annex, are accounted for separately from unrelated treaty programs, and are subject to documented financial controls covering administrative costs, conflicts and recusal, audit, recovery receipts, unused balances, and disposition or carry-forward of funds under the applicable fiscal rules. No provision of this Article creates a continental taxing power, compels an appropriation not authorized under domestic law, or converts a voluntary external contribution into regulatory influence.</w:t>
      </w:r>
    </w:p>
    <w:p>
      <w:pPr>
        <w:pStyle w:val="Normal"/>
      </w:pPr>
      <w:r>
        <w:t>2. LEGACY WELL CONTRIBUTION SCHEDULE AND CONTINUITY. Within ninety days after the Protocol of Modernization enters into force, the Board publishes the first contribution schedule, specifying only amounts to which the Parties have agreed consistently with domestic appropriation and fiscal law, and the Secretariat publishes by day ninety the agreed amounts, or zero new commitments where none are agreed, together with each Party’s recorded contribution status if consensus or Board publication fails. Until that schedule exists, the Facility accepts separately documented lawful contributions and applies the financial-control and eligible-window rules in Articles 24-W.22 and 24-W.23. Absence of an agreed schedule creates no compulsory contribution amount and does not prevent acceptance of an independently authorized voluntary contribution. Facility reporting distinguishes agreed but unappropriated commitments from funds actually received, and operating readiness does not depend on a fictitious paid contribution.</w:t>
      </w:r>
    </w:p>
    <w:p>
      <w:pPr>
        <w:spacing w:after="0" w:before="0"/>
        <w:contextualSpacing w:val="0"/>
      </w:pPr>
      <w:r>
        <w:t>3. LEGACY WELL FUND DECISION AUTHORITY. A contribution schedule records voluntary Party commitments already authorized under domestic fiscal law and does not itself create a treaty minimum contribution, levy, or new legal obligation, while any change imposing such an obligation requires Article 34.3 under Article 24-W.5. Grant awards, window transfers within Article 24-W.23’s published criteria, acceptance of contributions, Board referrals under Article 24-W.34, Board correction notices under Article 24-W.35(2), and adoption or alteration of administrative fund criteria require consensus of the three Party lead representatives, both during interim operation and thereafter. A designated administrator implements an approved award or criteria-bound payment and records a reasoned eligibility or correction decision within its delegated mandate without a second consensus vote, subject to Articles 24-W.34 and 24-W.35. Consensus cannot alter legal safeguards, expand a window beyond this Annex’s existing scope, or prevent Secretariat publication of the no-agreement schedule, emergency domestic action, or independently authorized voluntary contributions.</w:t>
      </w:r>
    </w:p>
    <w:p>
      <w:pPr>
        <w:spacing w:before="0" w:after="0"/>
        <w:contextualSpacing w:val="0"/>
      </w:pPr>
    </w:p>
    <w:p>
      <w:pPr>
        <w:pStyle w:val="Heading2"/>
      </w:pPr>
      <w:bookmarkStart w:id="900871" w:name="_Toc300000870"/>
      <w:r>
        <w:t>Article 24-W.23: Funding Windows</w:t>
      </w:r>
      <w:bookmarkEnd w:id="900871"/>
    </w:p>
    <w:p>
      <w:pPr>
        <w:pStyle w:val="Normal"/>
      </w:pPr>
      <w:r>
        <w:t>1. The Facility maintains distinct windows for Discovery and Mapping, Acute Hazard Response, Plugging and Remediation, Area-Based Legacy Fields, Monitoring and Verification, and Technical Capacity and Research. The Board may move resources between windows only under published criteria that preserve an adequate acute-hazard reserve and explain the operational need for the transfer, and funding priority does not rest solely on raw well counts, discovery volume, or a jurisdiction's ability to suppress identification of difficult sites. Grant criteria consider risk, discovery uncertainty, community exposure, technical difficulty, domestic capacity, co-funding where appropriate, expected public benefit, and the availability of a responsible person without imposing a crude wells-per-year quota. Funding decisions record the eligible function, milestones, evidence requirements, payment conditions, responsible domestic authority, recovery rights, and a documented correction or reconsideration pathway for materially erroneous eligibility or payment records.</w:t>
      </w:r>
    </w:p>
    <w:p>
      <w:pPr>
        <w:pStyle w:val="Heading2"/>
      </w:pPr>
      <w:bookmarkStart w:id="900872" w:name="_Toc300000871"/>
      <w:r>
        <w:t>Article 24-W.24: Difficult-Well Reserve and Shared Technical Capacity</w:t>
      </w:r>
      <w:bookmarkEnd w:id="900872"/>
    </w:p>
    <w:p>
      <w:pPr>
        <w:pStyle w:val="Normal"/>
      </w:pPr>
      <w:r>
        <w:t>1. The Facility maintains a Difficult-Well Reserve for exceptional hazards or unusually costly technical failures that could otherwise overwhelm an ordinary remediation program or local budget, including specialist engineering, emergency procurement, containment, uncontrolled-flow response, hazardous-gas response, complex re-entry, and specialized equipment mobilization. Each Party maintains, directly or through competent authorities, qualified contractors, standing agreements, shared-capacity arrangements, or other reliable mechanisms, demonstrable access to personnel, equipment, contracting pathways, and expertise sufficient for difficult wells within its jurisdiction, and nominal capability alone does not satisfy this Article where the required resource cannot reasonably be mobilized for the relevant risk. The Board maintains North American expert rosters and coordinates requested mutual assistance, equipment access, laboratory support, training, and specialist deployment without acquiring independent authority to enter property, conduct plugging or remediation, issue field orders, or supersede the competent domestic authority; a material capacity gap is recorded and addressed through a proportionate corrective plan. The Parties periodically demonstrate practical difficult-well readiness through documented deployments, exercises, contracting or procurement readiness checks, equipment-access evidence, or other proportionate means, while use of the Reserve preserves lawful reimbursement and cost-recovery claims and does not determine ultimate liability.</w:t>
      </w:r>
    </w:p>
    <w:p>
      <w:pPr>
        <w:pStyle w:val="Heading2"/>
      </w:pPr>
      <w:bookmarkStart w:id="900873" w:name="_Toc300000872"/>
      <w:r>
        <w:t>Article 24-W.25: Grant Integrity, Verification, and Anti-Substitution</w:t>
      </w:r>
      <w:bookmarkEnd w:id="900873"/>
    </w:p>
    <w:p>
      <w:pPr>
        <w:pStyle w:val="Normal"/>
      </w:pPr>
      <w:r>
        <w:t>1. Facility disbursements use risk- and cost-proportionate milestones and evidence sufficient to verify the funded activity without duplicating competent domestic inspection records. The Article 24-W.34 review and Article 24-W.35 cure procedure apply to independent verification, evidence reconciliation, and graduated correction of a funded claim, disputed completion evidence, or material reporting inconsistency. Pooled funding does not substitute for an enforceable closure or remediation obligation of an identifiable and financially capable responsible person except where immediate action is necessary to protect life, health, property, water, or the environment, without prejudice to later recovery. Duplicate claims, double counting, material misrepresentation, or unsupported completion claims trigger correction, suspension, recovery, or other proportionate action under applicable fund and domestic rules.</w:t>
      </w:r>
    </w:p>
    <w:p>
      <w:pPr>
        <w:pStyle w:val="Heading2"/>
      </w:pPr>
      <w:bookmarkStart w:id="900874" w:name="_Toc300000873"/>
      <w:r>
        <w:t>CATEGORY 24-W-H: FUTURE-ORPHAN PREVENTION AND RESPONSIBILITY CONTINUITY</w:t>
      </w:r>
      <w:bookmarkEnd w:id="900874"/>
    </w:p>
    <w:p>
      <w:pPr>
        <w:pStyle w:val="Heading2"/>
      </w:pPr>
      <w:bookmarkStart w:id="900875" w:name="_Toc300000874"/>
      <w:r>
        <w:t>Article 24-W.26: Adequacy of End-of-Life Financial Assurance</w:t>
      </w:r>
      <w:bookmarkEnd w:id="900875"/>
    </w:p>
    <w:p>
      <w:pPr>
        <w:pStyle w:val="Normal"/>
      </w:pPr>
      <w:r>
        <w:t>1. Each Party maintains financial-assurance, industry-funded, insurance, bonding, levy, pooled-risk, trust, guarantee, or functionally equivalent arrangements reasonably designed to reduce the transfer of foreseeable well closure and remediation liabilities to landowners, affected communities, or the public solely because an operator becomes insolvent, dissolves, abandons operations, or otherwise ceases to satisfy applicable obligations. The competent authority periodically evaluates functional adequacy against a documented evidentiary record concerning actual or reasonably estimated plugging, remediation, reclamation, monitoring, emergency-response, and administrative costs, material cost trends, relevant failure experience, and the population or risk profile to which the arrangement applies. Each Party maintains lawful means for its competent authority to obtain or use information sufficient to assess that adequacy, while this Annex does not independently compel disclosure of a particular financial record or override applicable confidentiality, privacy, privilege, securities, banking, insolvency, or other domestic-law protections; domestic systems may differentiate assurance according to well depth, condition, location, operating history, ownership structure, environmental or safety risk, portfolio size, financial condition where lawfully considered, and other materially relevant factors, and retain the basis for a material adequacy determination for review under applicable law. Nothing in this Article requires a Party to adopt a particular bond amount, financing instrument, disclosure form, or continental assurance model where its domestic arrangement provides functionally adequate protection.</w:t>
      </w:r>
    </w:p>
    <w:p>
      <w:pPr>
        <w:pStyle w:val="Heading2"/>
      </w:pPr>
      <w:bookmarkStart w:id="900876" w:name="_Toc300000875"/>
      <w:r>
        <w:t>Article 24-W.27: Transfer, Distress, and Orphan-Prevention Controls</w:t>
      </w:r>
      <w:bookmarkEnd w:id="900876"/>
    </w:p>
    <w:p>
      <w:pPr>
        <w:pStyle w:val="Normal"/>
      </w:pPr>
      <w:r>
        <w:t>1. Each Party maintains a lawful domestic mechanism under which a regulated transfer, licence transfer, change of operator, or comparable transfer of operational responsibility receives consideration, before or as part of the applicable approval or recognition process, of whether closure, remediation, reclamation, monitoring, and financial-assurance obligations remain adequately assigned, secured, or otherwise enforceable under domestic law. A transfer of a well or operating interest does not by itself establish satisfaction, extinguishment, or release of an applicable end-of-life responsibility, and any release, substitution, successor treatment, assurance change, or determination of responsibility remains governed by domestic law. The Board may develop non-binding indicators and information-sharing practices for early identification of emerging orphan risk, transfer-related assurance gaps, restructurings, prolonged inactivity, or other circumstances that materially increase the foreseeable risk that closure obligations will become unfunded, but it does not obtain direct authority over transfer approval, bankruptcy, secured credit, corporate disclosure, or operator finances through this Annex. Nothing in this Article creates parent, affiliate, predecessor, successor, director, officer, shareholder, lender, purchaser, or other private liability beyond domestic law, and any common rule concerning successor liability, insolvency priority, liens, parent-company responsibility, or mandatory financial disclosure requires separate legal verification and adoption through the applicable treaty and domestic procedures.</w:t>
      </w:r>
    </w:p>
    <w:p>
      <w:pPr>
        <w:pStyle w:val="Heading2"/>
      </w:pPr>
      <w:bookmarkStart w:id="900877" w:name="_Toc300000876"/>
      <w:r>
        <w:t>Article 24-W.28: Innocent Owners and Responsible-Party Recovery</w:t>
      </w:r>
      <w:bookmarkEnd w:id="900877"/>
    </w:p>
    <w:p>
      <w:pPr>
        <w:pStyle w:val="Normal"/>
      </w:pPr>
      <w:r>
        <w:t>1. Nothing in this Annex creates liability for a current landowner solely because a legacy or orphan well is located on the property where domestic law does not otherwise impose that liability. A Party may protect innocent or non-responsible owners from unreasonable remediation burdens while preserving domestic rules applicable to persons who created, assumed, controlled, concealed, or contractually accepted a relevant liability. Immediate public action may proceed before final responsibility is determined where delay would materially increase risk, and the responsible authority preserves evidence needed for later allocation or recovery. The Board does not adjudicate private responsibility, title, contribution, indemnity, or cost-recovery disputes.</w:t>
      </w:r>
    </w:p>
    <w:p>
      <w:pPr>
        <w:pStyle w:val="Heading2"/>
      </w:pPr>
      <w:bookmarkStart w:id="900878" w:name="_Toc300000877"/>
      <w:r>
        <w:t>CATEGORY 24-W-I: TECHNOLOGY, CAPACITY, LAND-USE INTERFACE, AND INDIGENOUS SAFEGUARDS</w:t>
      </w:r>
      <w:bookmarkEnd w:id="900878"/>
    </w:p>
    <w:p>
      <w:pPr>
        <w:pStyle w:val="Heading2"/>
      </w:pPr>
      <w:bookmarkStart w:id="900879" w:name="_Toc300000878"/>
      <w:r>
        <w:t>Article 24-W.29: Research, Technology, and Methods Modernization</w:t>
      </w:r>
      <w:bookmarkEnd w:id="900879"/>
    </w:p>
    <w:p>
      <w:pPr>
        <w:pStyle w:val="Normal"/>
      </w:pPr>
      <w:r>
        <w:t>1. The Parties use Article 24.T to evaluate emerging discovery, characterization, monitoring, plugging, remediation, and verification technologies that may materially improve safety, accuracy, cost, environmental performance, or access to difficult sites. A technology is not required solely because it is new, commercially promoted, or included in a Board methods menu, and operational use remains subject to validation, fitness for purpose, domestic authorization, worker safety, environmental protection, and applicable data rules. The Board maintains Schedule 24-W-E as a non-exhaustive technical methods menu and records known limitations, suitable use cases, interoperability considerations, and validation needs without freezing innovation into treaty text. Pilot results preserve unsuccessful findings and limitations so that repeated failure is not hidden by selective reporting or relabeling.</w:t>
      </w:r>
    </w:p>
    <w:p>
      <w:pPr>
        <w:pStyle w:val="Heading2"/>
      </w:pPr>
      <w:bookmarkStart w:id="900880" w:name="_Toc300000879"/>
      <w:r>
        <w:t>Article 24-W.30: Workforce, Training, and Mutual Technical Assistance</w:t>
      </w:r>
      <w:bookmarkEnd w:id="900880"/>
    </w:p>
    <w:p>
      <w:pPr>
        <w:pStyle w:val="Normal"/>
      </w:pPr>
      <w:r>
        <w:t>1. The Parties cooperate to strengthen qualified technical capacity for locating, assessing, securing, plugging, remediating, and verifying difficult legacy wells where domestic capacity is insufficient for identified risk. Cooperation may include training, expert exchanges, laboratory support, contractor qualification information, equipment access, mutual assistance, university partnerships, Indigenous or Tribal technical programs, and regional centers operated through existing institutions. Technical assistance responds to a request or agreed program and does not transfer command of a domestic incident or regulatory decision to the Board or assisting Party. Funded capacity programs identify measurable functions and avoid permanent staffing structures where intermittent contracted or shared capacity can perform the task efficiently.</w:t>
      </w:r>
    </w:p>
    <w:p>
      <w:pPr>
        <w:pStyle w:val="Heading2"/>
      </w:pPr>
      <w:bookmarkStart w:id="900881" w:name="_Toc300000880"/>
      <w:r>
        <w:t>Article 24-W.31: Indigenous and Tribal Rights, Knowledge, and Data Governance</w:t>
      </w:r>
      <w:bookmarkEnd w:id="900881"/>
    </w:p>
    <w:p>
      <w:pPr>
        <w:pStyle w:val="Normal"/>
      </w:pPr>
      <w:r>
        <w:t>1. Implementation respects Indigenous and Tribal rights, authorities, consultation or engagement requirements, and data-governance rules applicable under the law of the relevant Party and other binding obligations. Indigenous or Tribal knowledge used to locate or characterize a suspected well remains subject to consent, access, onward-disclosure, retention, correction, and disposition requirements applicable to that knowledge, and where more than one lawful custodian, community, or governance rule may apply, the Board does not infer authority for onward disclosure from possession of the information alone. A protected summary, attestation, or controlled technical review may establish the existence or relevance of evidence without requiring public disclosure of culturally sensitive or restricted information. Nothing in this Annex converts the Board into an authority for determining Indigenous or Tribal rights, title, jurisdiction, consultation adequacy, consent, or the identity of the lawful information custodian where those questions are reserved to applicable law.</w:t>
      </w:r>
    </w:p>
    <w:p>
      <w:pPr>
        <w:pStyle w:val="Heading2"/>
      </w:pPr>
      <w:bookmarkStart w:id="900882" w:name="_Toc300000881"/>
      <w:r>
        <w:t>Article 24-W.32: Land-Use, Development, and Subsurface-Project Interface</w:t>
      </w:r>
      <w:bookmarkEnd w:id="900882"/>
    </w:p>
    <w:p>
      <w:pPr>
        <w:pStyle w:val="Normal"/>
      </w:pPr>
      <w:r>
        <w:t>1. Each Party maintains or designates a lawful referral or notification pathway through which credible legacy-well information can reach competent planning, building, infrastructure, water, emergency, and subsurface-project authorities where domestic law makes that information relevant to development or public safety, without predetermining the receiving authority's substantive decision. A suspected or verified legacy well near proposed subsurface injection, carbon storage, geothermal, utility, excavation, or other activity receives pathway assessment where credible evidence indicates that the activity could materially interact with the well or an associated migration route. This Article does not presume that a nearby legacy well causes observed gas or contamination and does not establish that carbon storage, geothermal development, or another subsurface activity is unsafe merely because historical wells exist in the broader area. Decisions rely on site-specific evidence, applicable domestic permitting law, and the responsible authority's technical assessment.</w:t>
      </w:r>
    </w:p>
    <w:p>
      <w:pPr>
        <w:pStyle w:val="Heading2"/>
      </w:pPr>
      <w:bookmarkStart w:id="900883" w:name="_Toc300000882"/>
      <w:r>
        <w:t>CATEGORY 24-W-J: PERFORMANCE, VERIFICATION, CORRECTION, AND NO-FADE</w:t>
      </w:r>
      <w:bookmarkEnd w:id="900883"/>
    </w:p>
    <w:p>
      <w:pPr>
        <w:pStyle w:val="Heading2"/>
      </w:pPr>
      <w:bookmarkStart w:id="900884" w:name="_Toc300000883"/>
      <w:r>
        <w:t>Article 24-W.33: Performance Metrics and Discovery-Neutral Accounting</w:t>
      </w:r>
      <w:bookmarkEnd w:id="900884"/>
    </w:p>
    <w:p>
      <w:pPr>
        <w:pStyle w:val="Normal"/>
      </w:pPr>
      <w:r>
        <w:t>1. Annual reporting separately identifies documented inventory, suspected or unverified inventory, newly located legacy wells, newly orphaned contemporary wells, risk-tiered wells, secured wells, remediated wells, closure-verified wells, post-closure failures or reinterventions, and material data-quality changes. Discovery Rate, Remediation Rate, and New Orphan Creation Rate remain separate indicators and are not collapsed into a single net well count or league-table score. Cost, time-to-action, methane, water, incident, community, and other performance indicators include sufficient context to distinguish differences in well difficulty, baseline completeness, geology, exposure, and program maturity. No Party is deemed non-performing solely because improved discovery increases the recorded legacy inventory, and unexplained suppression or deletion of known liabilities is not treated as performance improvement.</w:t>
      </w:r>
    </w:p>
    <w:p>
      <w:pPr>
        <w:pStyle w:val="Heading2"/>
      </w:pPr>
      <w:bookmarkStart w:id="900885" w:name="_Toc300000884"/>
      <w:r>
        <w:t>Article 24-W.34: Cothrom Verification and Evidence Reconciliation</w:t>
      </w:r>
      <w:bookmarkEnd w:id="900885"/>
    </w:p>
    <w:p>
      <w:pPr>
        <w:pStyle w:val="Normal"/>
        <w:spacing w:before="0" w:after="0"/>
        <w:contextualSpacing w:val="0"/>
      </w:pPr>
      <w:r>
        <w:t>1. Subject to paragraphs 2 through 5, Cothrom provides the independent verification pathway for material disputes concerning funded completion, Registry integrity, cross-Party technical evidence, or another matter expressly assigned to Cothrom by this Annex, referred by the Board within its stated authority, or referred through another NAESTMA provision that independently authorizes the referral. Ordinary domestic inspections, certifications, and regulator records remain the primary evidence where competent and sufficient, and Cothrom does not repeat them merely to create a second evidentiary layer. Where evidence conflicts materially, review identifies the disputed proposition, source records, confidence, technical method, applicable standard, and the minimum additional evidence needed to resolve the issue. Any corrective consequence remains proportionate to the verified problem and does not create authority for unrelated trade retaliation or well regulation.</w:t>
      </w:r>
    </w:p>
    <w:p>
      <w:pPr>
        <w:spacing w:before="0" w:after="0"/>
        <w:contextualSpacing w:val="0"/>
      </w:pPr>
    </w:p>
    <w:p>
      <w:pPr>
        <w:pStyle w:val="Normal"/>
      </w:pPr>
      <w:r>
        <w:t>2. LEGACY WELL REFERRAL AND TECHNICAL TEAM. A Party or the Board by consensus may refer a material funded-completion, Registry-integrity, or cross-Party-evidence dispute to the Secretariat by identifying the disputed proposition, affected record or claim, applicable Annex standard, and supporting source evidence. Within five days after receipt, the Secretariat constitutes a three-person Legacy Well Evidence Review Team with relevant well, remediation, financial, or data-integrity expertise under Article 30.C(4) through (7), with all three seats drawn from the neutral specialist pool regardless of whether a Party or the Board refers the matter. This is a distinct ad hoc review body under Article 1.A(3), applying Chapter 46’s Cothrom evidence, containment, cure, and restoration disciplines solely to this Annex, without Chapter 35 distortion or trade-adjustment authority. The Team gives the affected Party, competent authority, and claimant twenty days to supply responsive material and issues a reasoned report within sixty days after constitution on the existing record, with protected substitutes for lawfully withheld information and Annex 34-H governing missed institutional deadlines.</w:t>
      </w:r>
    </w:p>
    <w:p>
      <w:pPr>
        <w:pStyle w:val="Normal"/>
      </w:pPr>
      <w:r>
        <w:t>3. LEGACY WELL EVIDENCE EFFECT AND REVIEW. The Team determines the disputed factual proposition against the evidence and completion or payment criteria recorded in the relevant grant, Registry rule, or domestic source determination, without deciding private liability or domestic legal closure. Its report identifies proved facts, unresolved limitations, necessary record annotations, and any verified funded-claim defect, and binds Annex fund administration as to those facts unless manifest error is established. Within ten days after report delivery, the Board or its designated Facility administrator gives a reasoned eligibility or record-correction decision confined to the verified matter, while preserving domestic legal status under Article 24-W.7. A Party may contest the report or administrative decision through the Chapter 24 and Chapter 31 route in Article 24-W.40, and a private claimant retains applicable domestic or grant review without acquiring treaty-dispute standing.</w:t>
      </w:r>
    </w:p>
    <w:p>
      <w:pPr>
        <w:spacing w:after="0" w:before="0"/>
        <w:contextualSpacing w:val="0"/>
      </w:pPr>
      <w:r>
        <w:t>4. LEGACY WELL TEAM CONTINUITY AND CURE RECEIPT. The Team remains constituted through final administration of its reported defect, any disputed cure verification, and lifting or disposition of the associated restriction, and a recusal or unavailability is replaced within five days under Article 30.C(6). Cure evidence is delivered to the Secretariat and the designated Registry or Facility administrator, with Secretariat receipt starting the ten-day disputed-cure verification clock in Article 24-W.35(2). Where no Team exists and the administrator identifies a disputed factual cure question, the administrator refers it within one day after receipt and the Secretariat seeks constitution of a neutral Team within five days under Article 30.C(4) through (8), while an affected authority or claimant may independently refer or challenge the characterization under paragraph 5 without restarting the ten-day clock. An undisputed cure is verified by the administrator within ten days on the competent domestic source record, and a missed verification deadline has the consequence in Article 24-W.35(3), and after final disposition the Secretariat closes the Team while preserving the record for any independently authorized new referral.</w:t>
      </w:r>
    </w:p>
    <w:p>
      <w:pPr>
        <w:spacing w:before="0" w:after="0"/>
        <w:contextualSpacing w:val="0"/>
      </w:pPr>
    </w:p>
    <w:p>
      <w:pPr>
        <w:spacing w:after="0" w:before="0"/>
        <w:contextualSpacing w:val="0"/>
      </w:pPr>
      <w:r>
        <w:t>5. LEGACY WELL CURE REFERRAL AND CHARACTERIZATION REVIEW. An affected authority or funded claimant may refer a material factual cure dispute directly to the Secretariat by identifying the disputed proposition, affected restriction, cure evidence, and alleged error in the administrator’s acceptance, rejection, or disputed-status characterization, without obtaining Party or Board consent. The Secretariat serves the referral on the administrator and any existing Team within one day, and the existing Team reviews it or the Secretariat seeks a neutral Team under Article 30.C(4) through (8), with this paragraph providing an express exception to paragraph 2’s Party-or-Board referral requirement solely for cure and characterization review. The Team hears the claimant and administrator, decides the disputed factual cure question and characterization on reasons within the original ten-day period measured from Secretariat receipt of cure evidence or, if the referral follows a delivered finding, within ten days after referral, and the resulting finding governs Annex administration under Article 24-W.35. A later referral does not restart a restriction that expired under Article 24-W.35(3), no private person acquires Chapter 31 standing, and applicable domestic or grant review and Party treaty-dispute rights remain available.</w:t>
      </w:r>
    </w:p>
    <w:p>
      <w:pPr>
        <w:spacing w:before="0" w:after="0"/>
        <w:contextualSpacing w:val="0"/>
      </w:pPr>
    </w:p>
    <w:p>
      <w:pPr>
        <w:pStyle w:val="Heading2"/>
      </w:pPr>
      <w:bookmarkStart w:id="900886" w:name="_Toc300000885"/>
      <w:r>
        <w:t>Article 24-W.35: Correction, Cure, and Restoration</w:t>
      </w:r>
      <w:bookmarkEnd w:id="900886"/>
    </w:p>
    <w:p>
      <w:pPr>
        <w:pStyle w:val="Normal"/>
      </w:pPr>
      <w:r>
        <w:t>1. A material Registry, grant, verification, or reporting defect first receives a defined correction pathway unless an acute safety threat, fraud, deliberate concealment, or other circumstance requires immediate protective or enforcement action under applicable law. The administrator identified under paragraph 2 records the defect, affected record or payment, evidence needed, cure period under paragraph 2, interim safeguards, and closure condition. Correction propagates to dependent records and public statistics so that a repaired source record does not leave stale derivative errors in the continental system. The restriction ends upon the cure finding under paragraph 2, and the administrator implements and propagates that finding within two days unless a separate lawful basis remains.</w:t>
      </w:r>
    </w:p>
    <w:p>
      <w:pPr>
        <w:pStyle w:val="Normal"/>
        <w:spacing w:before="0" w:after="0"/>
        <w:contextualSpacing w:val="0"/>
      </w:pPr>
      <w:r>
        <w:t>2. LEGACY WELL CURE CLOCK AND ADMINISTRATIVE CONSEQUENCE. The Board, acting by the consensus rule in Article 24-W.22(3), identifies the responsible Registry administrator or Facility administrator in a correction notice issued within ten days after a verified defect, and that administrator gives the affected authority or claimant thirty days from delivery to cure, or a reasoned longer period expressly required by a documented technical dependency. Interim Annex restrictions consist only of an annotation of the disputed record or suspension of the disputed payment or claim, with urgent life, safety, and environmental protection funded through an independently eligible route rather than withheld as leverage. On Secretariat receipt of contemporaneous cure evidence, the Team or administrator specified in Article 24-W.34(4) verifies cure within ten days, the restriction based solely on that defect ends upon the cure finding, and the administrator implements and propagates the correction within two days after the finding. Failure to cure leaves only the documented, proportionate record or payment consequence in place and any recovery independently authorized by the grant or domestic law, without creating a trade restriction, a regulatory field order, or a new penalty.</w:t>
      </w:r>
    </w:p>
    <w:p>
      <w:pPr>
        <w:spacing w:before="0" w:after="0"/>
        <w:contextualSpacing w:val="0"/>
      </w:pPr>
    </w:p>
    <w:p>
      <w:pPr>
        <w:spacing w:after="0" w:before="0"/>
        <w:contextualSpacing w:val="0"/>
      </w:pPr>
      <w:r>
        <w:t>3. LEGACY WELL CURE DEADLINE AND DELAY CONSEQUENCE. If no reasoned cure finding is delivered within the ten-day period in paragraph 2 or Article 24-W.34(5), the interim Annex annotation or suspension based solely on the defect ends automatically on expiry, and the designated administrator implements that expiry and propagates the correction within two days without requiring a Board vote. If a Board correction notice or required administrator designation is not delivered within paragraph 2’s ten days, the Secretariat gives notice of the omission and any interim Annex restriction based solely on that defect likewise expires at that deadline rather than waiting for consensus. Expiry removes only the interim Annex consequence and does not certify physical safety, domestic legal closure, eligibility for an otherwise unsupported payment, or satisfaction of independent grant or domestic requirements, and the audit history retains the defect and pending-review status without operating as a continuing adverse annotation. The Team or administrator continues review, and a later reasoned finding establishing an uncured defect may support a fresh proportionate Annex restriction on notice under paragraphs 1 and 2, without retroactive restriction for the delay period, double recovery, or interference with independently lawful protective action.</w:t>
      </w:r>
    </w:p>
    <w:p>
      <w:pPr>
        <w:spacing w:before="0" w:after="0"/>
        <w:contextualSpacing w:val="0"/>
      </w:pPr>
    </w:p>
    <w:p>
      <w:pPr>
        <w:pStyle w:val="Heading2"/>
      </w:pPr>
      <w:bookmarkStart w:id="900887" w:name="_Toc300000886"/>
      <w:r>
        <w:t>Article 24-W.36: Administrative Classification Anti-Laundering</w:t>
      </w:r>
      <w:bookmarkEnd w:id="900887"/>
    </w:p>
    <w:p>
      <w:pPr>
        <w:pStyle w:val="Normal"/>
      </w:pPr>
      <w:r>
        <w:t>1. Reclassification, transfer, insolvency, dissolution, inactivity, lapse of time, loss of records, database migration, change in responsible authority, or expiration of a regulatory instrument does not by itself establish that a well is safely closed, remediated, non-orphaned, or no longer subject to applicable monitoring or remediation requirements. A change in classification identifies its legal and evidentiary basis and preserves the prior status in the audit history. Where a legal classification changes without corresponding evidence concerning physical condition, the Registry represents the legal change and physical uncertainty separately rather than inferring one from the other. This Article does not prevent a competent authority from making a lawful final status determination supported by the evidence and procedures required under domestic law.</w:t>
      </w:r>
    </w:p>
    <w:p>
      <w:pPr>
        <w:pStyle w:val="Heading2"/>
      </w:pPr>
      <w:bookmarkStart w:id="900888" w:name="_Toc300000887"/>
      <w:r>
        <w:t>Article 24-W.37: No-Fade and Continuing Discovery</w:t>
      </w:r>
      <w:bookmarkEnd w:id="900888"/>
    </w:p>
    <w:p>
      <w:pPr>
        <w:pStyle w:val="Normal"/>
      </w:pPr>
      <w:r>
        <w:t>1. Completion of a remediation program, expenditure period, funding cycle, review period, presently identified inventory, or institutional reorganization does not extinguish obligations applicable to subsequently discovered legacy wells or credible evidence of continuing migration, leakage, contamination, structural failure, or other material hazard. A completed and verified remediation remains recognized and is not reopened merely because time passes, but materially new evidence may activate the post-closure reassessment pathway in Article 24-W.21. Institutional review may consolidate or transfer Board functions when another existing body can perform them efficiently, but such transfer preserves records, pending grants, verification states, and continuing substantive obligations. No-Fade protects durable completion and continuing safety obligations simultaneously by preventing both arbitrary erosion of completed rights and administrative disappearance of unresolved hazards.</w:t>
      </w:r>
    </w:p>
    <w:p>
      <w:pPr>
        <w:pStyle w:val="Heading2"/>
      </w:pPr>
      <w:bookmarkStart w:id="900889" w:name="_Toc300000888"/>
      <w:r>
        <w:t>CATEGORY 24-W-K: REVIEW, AMENDMENT, DISPUTES, AND TECHNICAL SCHEDULES</w:t>
      </w:r>
      <w:bookmarkEnd w:id="900889"/>
    </w:p>
    <w:p>
      <w:pPr>
        <w:pStyle w:val="Heading2"/>
      </w:pPr>
      <w:bookmarkStart w:id="900890" w:name="_Toc300000889"/>
      <w:r>
        <w:t>Article 24-W.38: Review and Adaptive Administration</w:t>
      </w:r>
      <w:bookmarkEnd w:id="900890"/>
    </w:p>
    <w:p>
      <w:pPr>
        <w:pStyle w:val="Normal"/>
      </w:pPr>
      <w:r>
        <w:t>1. The Board publishes an annual implementation report, conducts an initial implementation checkpoint no later than twenty-four months after this Annex becomes operational, and the Parties conduct a comprehensive institutional and technical review at least every five years thereafter. The initial checkpoint focuses on Registry interoperability, Facility controls, difficult-well readiness, citizen-report triage, data protection, administrative burden, and any startup defect requiring correction, while the comprehensive review also examines discovery completeness, acute-hazard response, remediation outcomes, prevention effectiveness, technology change, and whether any Board function can be returned to or consolidated with an existing institution. Review does not automatically sunset the Annex, the Registry, the Facility, or unresolved discovery, remediation, monitoring, recovery, or prevention obligations. A recommendation for material expansion of Board authority proceeds only through amendment under Article 34.3 and completion of the Parties’ applicable legal procedures.</w:t>
      </w:r>
    </w:p>
    <w:p>
      <w:pPr>
        <w:pStyle w:val="Heading2"/>
      </w:pPr>
      <w:bookmarkStart w:id="900891" w:name="_Toc300000890"/>
      <w:r>
        <w:t>Article 24-W.39: Technical Schedule Maintenance</w:t>
      </w:r>
      <w:bookmarkEnd w:id="900891"/>
    </w:p>
    <w:p>
      <w:pPr>
        <w:pStyle w:val="Normal"/>
      </w:pPr>
      <w:r>
        <w:t>1. Schedules 24-W-A through 24-W-E support implementation by specifying common data fields, location-confidence states, risk-methodology elements, fund windows and evidence, and a non-exhaustive technical methods menu. The Board may correct terminology, metadata, references, and non-substantive technical details under procedures approved by consensus where the change does not expand a legal obligation, create a new authority, alter liability, or diminish a safeguard. A schedule change that creates or alters a legal obligation, authority, liability, or safeguard requires amendment under Article 34.3 and completion of the Parties’ applicable legal procedures; Board consensus or a technical-maintenance decision alone is insufficient. Every schedule version remains archived with its effective date and change record.</w:t>
      </w:r>
    </w:p>
    <w:p>
      <w:pPr>
        <w:pStyle w:val="Heading2"/>
      </w:pPr>
      <w:bookmarkStart w:id="900892" w:name="_Toc300000891"/>
      <w:r>
        <w:t>Article 24-W.40: Dispute Settlement and Savings</w:t>
      </w:r>
      <w:bookmarkEnd w:id="900892"/>
    </w:p>
    <w:p>
      <w:pPr>
        <w:pStyle w:val="Normal"/>
      </w:pPr>
      <w:r>
        <w:t>1. Disputes arising under this Annex use the Chapter 24 environmental consultation and dispute architecture, Chapter 31 dispute settlement where applicable, and the Annex-specific Cothrom evidence-review pathway expressly established in Article 24-W.34, and no new tribunal is created. Nothing in this Annex prevents a Party from maintaining or adopting more protective domestic well-safety, environmental, financial-assurance, remediation, disclosure, or liability measures consistent with its other obligations under this Agreement. Enforcement, domestic effect, private remedies, and rules of civil liability remain governed by the existing provisions of this Agreement and applicable domestic law, and this Annex does not independently alter those rules. Where this Annex interfaces with another NAESTMA mechanism, the provisions are read to give effect to both while preserving the explicit sovereignty, evidence, safety, and authority firewalls stated here.</w:t>
      </w:r>
    </w:p>
    <w:p>
      <w:pPr>
        <w:pStyle w:val="Heading2"/>
      </w:pPr>
      <w:bookmarkStart w:id="900893" w:name="_Toc300000892"/>
      <w:r>
        <w:t>SCHEDULE 24-W-A: COMMON REGISTRY RECORD</w:t>
      </w:r>
      <w:bookmarkEnd w:id="900893"/>
    </w:p>
    <w:p>
      <w:pPr>
        <w:pStyle w:val="Heading2"/>
      </w:pPr>
      <w:bookmarkStart w:id="900894" w:name="_Toc300000893"/>
      <w:r>
        <w:t>24-W-A.1: Minimum Common Record</w:t>
      </w:r>
      <w:bookmarkEnd w:id="900894"/>
    </w:p>
    <w:p>
      <w:pPr>
        <w:pStyle w:val="Normal"/>
      </w:pPr>
      <w:r>
        <w:t>1. The common Registry record supports, where available and lawful, a stable record identifier, domestic identifier and aliases, jurisdiction, well type, legal status, physical status, location, coordinate reference system, precision, location confidence, provenance, verification state, risk tier, responsible-party status, financial-assurance state, incident history, remediation state, closure evidence, monitoring state, and source-update date. A field may record unknown, unavailable, protected, not applicable, disputed, or pending verification rather than forcing an unsupported value. Domestic records remain authoritative for domestic legal classifications, and the common record identifies the source system for each imported legal status. The Board minimizes mandatory fields to those necessary for interoperability, safety, funding, verification, and aggregate reporting.</w:t>
      </w:r>
    </w:p>
    <w:p>
      <w:pPr>
        <w:pStyle w:val="Heading2"/>
      </w:pPr>
      <w:bookmarkStart w:id="900895" w:name="_Toc300000894"/>
      <w:r>
        <w:t>SCHEDULE 24-W-B: LOCATION CONFIDENCE AND VERIFICATION STATES</w:t>
      </w:r>
      <w:bookmarkEnd w:id="900895"/>
    </w:p>
    <w:p>
      <w:pPr>
        <w:pStyle w:val="Heading2"/>
      </w:pPr>
      <w:bookmarkStart w:id="900896" w:name="_Toc300000895"/>
      <w:r>
        <w:t>24-W-B.1: Location Confidence</w:t>
      </w:r>
      <w:bookmarkEnd w:id="900896"/>
    </w:p>
    <w:p>
      <w:pPr>
        <w:pStyle w:val="Normal"/>
      </w:pPr>
      <w:r>
        <w:t>1. Location Confidence 1 identifies an approximate historical or community reference insufficient for field navigation without further corroboration. Location Confidence 2 identifies a constrained probable area supported by documentary, geospatial, environmental, or other corroborating evidence. Location Confidence 3 identifies a field indication or instrument-supported location suitable for professional verification subject to recorded method limitations. Location Confidence 4 identifies coordinates accepted by the competent authority as technically verified to the precision appropriate for the site and method.</w:t>
      </w:r>
    </w:p>
    <w:p>
      <w:pPr>
        <w:pStyle w:val="Heading2"/>
      </w:pPr>
      <w:bookmarkStart w:id="900897" w:name="_Toc300000896"/>
      <w:r>
        <w:t>24-W-B.2: Verification States</w:t>
      </w:r>
      <w:bookmarkEnd w:id="900897"/>
    </w:p>
    <w:p>
      <w:pPr>
        <w:pStyle w:val="Normal"/>
      </w:pPr>
      <w:r>
        <w:t>1. Verification states distinguish unverified lead, corroborated lead, professional search underway, located, not located after documented sufficient search, inconclusive, technically characterized, domestically classified, remediation underway, closure verified, monitoring, and reopened or corrective action. A verification state describes the evidentiary process and does not replace a domestic legal status. Transitions preserve date, source, responsible body, evidence basis, and prior state. An inconclusive or not-located state may return to active investigation when new evidence or materially improved methods justify renewed search.</w:t>
      </w:r>
    </w:p>
    <w:p>
      <w:pPr>
        <w:pStyle w:val="Heading2"/>
      </w:pPr>
      <w:bookmarkStart w:id="900898" w:name="_Toc300000897"/>
      <w:r>
        <w:t>SCHEDULE 24-W-C: RISK METHODOLOGY</w:t>
      </w:r>
      <w:bookmarkEnd w:id="900898"/>
    </w:p>
    <w:p>
      <w:pPr>
        <w:pStyle w:val="Heading2"/>
      </w:pPr>
      <w:bookmarkStart w:id="900899" w:name="_Toc300000898"/>
      <w:r>
        <w:t>24-W-C.1: Risk Factors and Priority Logic</w:t>
      </w:r>
      <w:bookmarkEnd w:id="900899"/>
    </w:p>
    <w:p>
      <w:pPr>
        <w:pStyle w:val="Normal"/>
      </w:pPr>
      <w:r>
        <w:t>1. The common methodology gives dominant weight to credible acute threats to life and safety and then considers exposure, hazard magnitude, migration potential, water vulnerability, environmental sensitivity, uncertainty, deterioration, cluster effects, and technical urgency. Jurisdictions may use numeric, categorical, or hybrid domestic scoring systems if the resulting tiers remain explainable and interoperable with the functional priorities of Article 24-W.15. Uncertainty may increase investigation priority where the plausible consequence is severe, but uncertainty alone does not establish that a hazard or causal attribution is proven. The Board publishes methodology notes and example mappings without ranking Parties against one another.</w:t>
      </w:r>
    </w:p>
    <w:p>
      <w:pPr>
        <w:pStyle w:val="Heading2"/>
      </w:pPr>
      <w:bookmarkStart w:id="900900" w:name="_Toc300000899"/>
      <w:r>
        <w:t>SCHEDULE 24-W-D: FUNDING WINDOWS AND EVIDENCE</w:t>
      </w:r>
      <w:bookmarkEnd w:id="900900"/>
    </w:p>
    <w:p>
      <w:pPr>
        <w:pStyle w:val="Heading2"/>
      </w:pPr>
      <w:bookmarkStart w:id="900901" w:name="_Toc300000900"/>
      <w:r>
        <w:t>24-W-D.1: Funding Windows</w:t>
      </w:r>
      <w:bookmarkEnd w:id="900901"/>
    </w:p>
    <w:p>
      <w:pPr>
        <w:pStyle w:val="Normal"/>
      </w:pPr>
      <w:r>
        <w:t>1. Discovery and Mapping supports archival reconstruction, data reconciliation, professional surveys, community-report triage, and location verification. Acute Hazard Response supports time-sensitive protective measures and the Difficult-Well Reserve, while Plugging and Remediation and Area-Based Legacy Fields support planned physical work and associated environmental response. Monitoring and Verification supports closure evidence, post-closure observation, reintervention assessment, and data-quality correction, while Technical Capacity and Research supports validated methods, training, equipment access, and specialist capacity. Each award identifies the applicable window, milestones, evidence, domestic lead authority, payment conditions, and recovery or reallocation rules.</w:t>
      </w:r>
    </w:p>
    <w:p>
      <w:pPr>
        <w:pStyle w:val="Heading2"/>
      </w:pPr>
      <w:bookmarkStart w:id="900902" w:name="_Toc300000901"/>
      <w:r>
        <w:t>SCHEDULE 24-W-E: NON-EXHAUSTIVE TECHNICAL METHODS MENU</w:t>
      </w:r>
      <w:bookmarkEnd w:id="900902"/>
    </w:p>
    <w:p>
      <w:pPr>
        <w:pStyle w:val="Heading2"/>
      </w:pPr>
      <w:bookmarkStart w:id="900903" w:name="_Toc300000902"/>
      <w:r>
        <w:t>24-W-E.1: Discovery and Characterization Methods</w:t>
      </w:r>
      <w:bookmarkEnd w:id="900903"/>
    </w:p>
    <w:p>
      <w:pPr>
        <w:pStyle w:val="Normal"/>
      </w:pPr>
      <w:r>
        <w:t>1. Potential methods include archival and regulatory reconstruction, historical aerial imagery, modern imagery, LiDAR, magnetic and electromagnetic surveys, methane and other gas surveys, ground-penetrating radar, soil or water investigation, targeted excavation, and other validated techniques appropriate to the suspected well and site. Method selection accounts for whether steel casing remains, expected depth, terrain, access, vegetation, development, geologic conditions, interference, safety, and the failure modes of the selected technology. No listed method is mandatory at every site, and a method that cannot reliably detect the expected well construction is not treated as sufficient merely because it is listed here. The Board updates this menu as evidence and technology develop without converting commercial availability or novelty into a requirement for use.</w:t>
      </w:r>
    </w:p>
    <w:p>
      <w:pPr>
        <w:pStyle w:val="Heading1"/>
      </w:pPr>
      <w:bookmarkStart w:id="900904" w:name="_Toc300000903"/>
      <w:r>
        <w:t>CHAPTER 25 SMALL AND MEDIUM-SIZED ENTERPRISES</w:t>
      </w:r>
      <w:bookmarkEnd w:id="900904"/>
    </w:p>
    <w:p>
      <w:pPr>
        <w:pStyle w:val="Heading2"/>
      </w:pPr>
      <w:bookmarkStart w:id="900905" w:name="_Toc300000904"/>
      <w:r>
        <w:t xml:space="preserve">Article 25.1: General Principles</w:t>
      </w:r>
      <w:bookmarkEnd w:id="900905"/>
    </w:p>
    <w:p>
      <w:pPr>
        <w:pStyle w:val="Normal"/>
      </w:pPr>
      <w:r>
        <w:t xml:space="preserve">1. The Parties, recognizing the fundamental role of SMEs in maintaining dynamism and enhancing competitiveness of their respective economies, shall foster close cooperation between SMEs of the Parties and cooperate in promoting jobs and growth in SMEs. 2. The Parties recognize the integral role of the private sector in the SME cooperation to be implemented under this Chapter.</w:t>
      </w:r>
    </w:p>
    <w:p>
      <w:pPr>
        <w:pStyle w:val="Heading2"/>
      </w:pPr>
      <w:bookmarkStart w:id="900906" w:name="_Toc300000905"/>
      <w:r>
        <w:t xml:space="preserve">Article 25.2: Cooperation to Increase Trade and Investment Opportunities for SMEs</w:t>
      </w:r>
      <w:bookmarkEnd w:id="900906"/>
    </w:p>
    <w:p>
      <w:pPr>
        <w:pStyle w:val="Normal"/>
      </w:pPr>
      <w:r>
        <w:t xml:space="preserve">With a view to more robust cooperation between the Parties to enhance commercial opportunities for SMEs, and among other efforts, in the context of Memoranda of Understanding that exist between Parties on SME cooperation, each Party shall seek to increase trade and investment opportunities, and in particular shall: (a) promote cooperation between the Parties’ small business support infrastructure, including dedicated SME centers, incubators and accelerators, export assistance centers, and other centers as appropriate, to create an international network for sharing best practices, exchanging market research, and promoting SME participation in international trade, as well as business growth in local markets; (b) strengthen its collaboration with the other Parties on activities to promote SMEs owned by under-represented groups, including women, indigenous peoples, youth and minorities, as well as start-ups, agricultural and rural SMEs, and promote partnership among these SMEs and their participation in international trade;</w:t>
      </w:r>
    </w:p>
    <w:p>
      <w:pPr>
        <w:pStyle w:val="Normal"/>
      </w:pPr>
      <w:r>
        <w:t>(c) enhance its cooperation with the other Parties to exchange information and best practices in areas including improving SME access to capital and credit, SME participation in covered government procurement opportunities, and helping SMEs adapt to changing market conditions; and (d) encourage participation in platforms, such as web-based, for business entrepreneurs and</w:t>
      </w:r>
    </w:p>
    <w:p>
      <w:pPr>
        <w:pStyle w:val="Normal"/>
      </w:pPr>
      <w:r>
        <w:t>counselors to share information and best practices to help SMEs link with international suppliers, buyers, and other potential business partners.</w:t>
      </w:r>
    </w:p>
    <w:p>
      <w:pPr>
        <w:pStyle w:val="Heading2"/>
      </w:pPr>
      <w:bookmarkStart w:id="900907" w:name="_Toc300000906"/>
      <w:r>
        <w:t xml:space="preserve">Article 25.3: Information Sharing</w:t>
      </w:r>
      <w:bookmarkEnd w:id="900907"/>
    </w:p>
    <w:p>
      <w:pPr>
        <w:pStyle w:val="Normal"/>
      </w:pPr>
      <w:r>
        <w:t xml:space="preserve">1. Each Party shall establish or maintain its own free, publicly accessible website containing information regarding this Agreement, including: (a) the text of this Agreement; (b) a summary of this Agreement; and (c) information designed for SMEs that contains: (i) a description of the provisions in this Agreement that the Party considers to be relevant to SMEs; and (ii) any additional information that would be useful for SMEs interested in benefitting from the opportunities provided by this Agreement. 2. Each Party shall include in its website links or information through automated electronic transfer to: (a) the equivalent websites of the other Parties; and (b) the websites of its own government agencies and other appropriate entities that provide information the Party considers useful to any person interested in trading, investing, or doing business in that Party’s territory. 3.</w:t>
      </w:r>
    </w:p>
    <w:p>
      <w:pPr>
        <w:pStyle w:val="Normal"/>
      </w:pPr>
      <w:r>
        <w:t>The information described in paragraph 2(b) may include: (a) customs regulations, procedures, or enquiry points; (b) regulations or procedures concerning intellectual property rights; (c) technical regulations, standards, or conformity assessment procedures; (d) sanitary or phytosanitary measures relating to importation or exportation; (e) foreign investment regulations; (f) business registration procedures; (g) trade promotion programs; (h) competitiveness programs; (i) SME financing programs; (j) employment regulations; (k) taxation information; (l) information related to the temporary entry of business persons, as set out in Article 16.5 (Provision of Information); and (m) government procurement opportunities within the scope of Article 13.2 (Scope). 4. Each Party shall regularly review the information and links on the website referred to in paragraphs 1 and 2 to ensure the information and links are up-to-date and accurate. 5. To the extent possible, each Party shall make the information in this Article available in English. If this information is available in another authentic language of this Agreement, the Party shall endeavor to make this information available, as appropriate.</w:t>
      </w:r>
    </w:p>
    <w:p>
      <w:pPr>
        <w:pStyle w:val="Heading2"/>
      </w:pPr>
      <w:bookmarkStart w:id="900908" w:name="_Toc300000907"/>
      <w:r>
        <w:t xml:space="preserve">Article 25.4: Committee on SME Issues</w:t>
      </w:r>
      <w:bookmarkEnd w:id="900908"/>
    </w:p>
    <w:p>
      <w:pPr>
        <w:pStyle w:val="Normal"/>
      </w:pPr>
      <w:r>
        <w:t xml:space="preserve">1. The Parties hereby establish the Committee on SME Issues (SME Committee), comprising government representatives of each Party. 2. The SME Committee shall: (a) identify ways to assist SMEs in the Parties’ territories to take advantage of the commercial opportunities resulting from this Agreement and to strengthen SME competitiveness; (b) identify and recommend ways for further cooperation between the Parties to develop and enhance partnerships between SMEs of the Parties; (c) exchange and discuss each Party’s experiences and best practices in supporting and assisting SME exporters with respect to, among other things, training programs, trade education, trade finance, trade missions, trade facilitation, digital trade, identifying commercial partners in the territories of the Parties, and establishing good business credentials; (d) develop and promote seminars, workshops, webinars, or other activities to inform SMEs of the benefits available to them under this Agreement; (e) explore opportunities to facilitate each Party’s work in developing and enhancing SME export counseling, assistance, and training programs;</w:t>
      </w:r>
    </w:p>
    <w:p>
      <w:pPr>
        <w:pStyle w:val="Normal"/>
      </w:pPr>
      <w:r>
        <w:t>(f) recommend additional information that a Party may include on the website referred to in Article 25.3 (Information Sharing); (g) review and coordinate its work program with the work of other committees, working groups, and other subsidiary bodies established under this Agreement, as well as of other relevant international</w:t>
      </w:r>
    </w:p>
    <w:p>
      <w:pPr>
        <w:pStyle w:val="Normal"/>
      </w:pPr>
      <w:r>
        <w:t>bodies, to avoid duplication of work programs and to identify appropriate opportunities for cooperation to improve the ability of SMEs to engage in trade and investment opportunities resulting from this Agreement; (h) collaborate with and encourage committees, working groups and other subsidiary bodies established under this Agreement to consider SME-related commitments and activities into their work; (i) review the implementation and operation of this Chapter and SME-related provisions within this Agreement and report findings and make recommendations to the Commission that can be included in future work and SME assistance programs as appropriate; (j) facilitate the development of programs to assist SMEs to participate and integrate effectively into the Parties’ regional and global supply chains; (k) promote the participation of SMEs in digital trade in order to take advantage of the opportunities resulting from this Agreement and rapidly access new markets; (l) facilitate the exchange of information on entrepreneurship education programs for youth and under-represented groups to promote the entrepreneurial environment in the territories of the Parties;</w:t>
      </w:r>
    </w:p>
    <w:p>
      <w:pPr>
        <w:pStyle w:val="Normal"/>
      </w:pPr>
      <w:r>
        <w:t>(m) submit on an annual basis, unless the Parties decide otherwise, a report of its activities and make appropriate recommendations to the Commission; and (n) consider any other matter pertaining to SMEs as the SME Committee may decide, including issues raised by SMEs regarding their ability to benefit from this Agreement.</w:t>
      </w:r>
    </w:p>
    <w:p>
      <w:pPr>
        <w:pStyle w:val="Normal"/>
      </w:pPr>
      <w:r>
        <w:t>3. The SME Committee shall convene within one year after the date of entry into force of this Agreement and thereafter meet annually, unless the Parties decide otherwise. 4. The SME Committee may seek to collaborate with appropriate experts and international donor organizations in carrying out its programs and activities.</w:t>
      </w:r>
    </w:p>
    <w:p>
      <w:pPr>
        <w:pStyle w:val="Heading2"/>
      </w:pPr>
      <w:bookmarkStart w:id="900909" w:name="_Toc300000908"/>
      <w:r>
        <w:t xml:space="preserve">Article 25.5: SME Dialogue</w:t>
      </w:r>
      <w:bookmarkEnd w:id="900909"/>
    </w:p>
    <w:p>
      <w:pPr>
        <w:pStyle w:val="Normal"/>
      </w:pPr>
      <w:r>
        <w:t xml:space="preserve">1. The SME Committee shall convene a Trilateral SME Dialogue (the “SME Dialogue”). The SME Dialogue may include private sector, employees, non-government organizations, academic experts, SMEs owned by diverse and under-represented groups, and other stakeholders from each Party. 2. The SME Committee shall convene the SME Dialogue annually, unless it decides otherwise. 3. SME Dialogue participants may provide views to the Committee on any matter within the scope of this Agreement and on the implementation and further modernization of this Agreement. 4. SME Dialogue participants may provide relevant technical, scientific, or other information to the Committee.</w:t>
      </w:r>
    </w:p>
    <w:p>
      <w:pPr>
        <w:pStyle w:val="Heading2"/>
      </w:pPr>
      <w:bookmarkStart w:id="900910" w:name="_Toc300000909"/>
      <w:r>
        <w:t xml:space="preserve">Article 25.6: Obligations in the Agreement that Benefit SMEs</w:t>
      </w:r>
      <w:bookmarkEnd w:id="900910"/>
    </w:p>
    <w:p>
      <w:pPr>
        <w:pStyle w:val="Normal"/>
      </w:pPr>
      <w:r>
        <w:t xml:space="preserve">The Parties recognize that in addition to the provisions in this Chapter, there are provisions in other Chapters of this Agreement that seek to enhance cooperation among the Parties on SME issues or that otherwise may be of particular benefit to SMEs. These include: (a) Origin Procedures: Article 5.18 (Committee on Rules of Origin and Origin Procedures); (b) Government Procurement: Article 13.17 (Ensuring Integrity in Procurement Practices); Article 13.20 (Facilitation of Participation by SMEs), and Article 13.21 (Committee on Government Procurement); (c) Cross-Border Trade in Services: Article 15.10 (Small and Medium-Sized Enterprises); (d) Digital Trade: Article 19.17 (Interactive Computer Services); Article 19.18 (Open Government Data); (e) Intellectual Property: Article 20.14 (Committee on Intellectual Property Rights); (f) Labor: Article 23.12 (Cooperation); (g) Environment: Article 24.17 (Marine Wild Capture Fisheries); (h) Competitiveness: Article 26.1 (North American Competitiveness Committee); (i) Anticorruption: Article 27.5 (Participation of Private Sector and Society); and (j) Good Regulatory Practices: Article 28.4 (Internal Consultation, Coordination, and Review), Article 28.11 (Regulatory Impact Assessment), and Article 28.13 (Retrospective Review).</w:t>
      </w:r>
    </w:p>
    <w:p>
      <w:pPr>
        <w:pStyle w:val="Heading2"/>
      </w:pPr>
      <w:bookmarkStart w:id="900911" w:name="_Toc300000910"/>
      <w:r>
        <w:t xml:space="preserve">Article 25.7: Non-Application of Dispute Settlement</w:t>
      </w:r>
      <w:bookmarkEnd w:id="900911"/>
    </w:p>
    <w:p>
      <w:pPr>
        <w:pStyle w:val="Normal"/>
      </w:pPr>
      <w:r>
        <w:t xml:space="preserve">No Party shall have recourse to dispute settlement under Chapter 31 (Dispute Settlement) for any matter arising under this Chapter.</w:t>
      </w:r>
    </w:p>
    <w:p>
      <w:pPr>
        <w:pStyle w:val="Heading1"/>
      </w:pPr>
      <w:bookmarkStart w:id="900912" w:name="_Toc300000911"/>
      <w:r>
        <w:t>CHAPTER 26 COMPETITIVENESS</w:t>
      </w:r>
      <w:bookmarkEnd w:id="900912"/>
    </w:p>
    <w:p>
      <w:pPr>
        <w:pStyle w:val="Heading2"/>
      </w:pPr>
      <w:bookmarkStart w:id="900913" w:name="_Toc300000912"/>
      <w:r>
        <w:t xml:space="preserve">Article 26.1: North American Competitiveness Committee</w:t>
      </w:r>
      <w:bookmarkEnd w:id="900913"/>
    </w:p>
    <w:p>
      <w:pPr>
        <w:pStyle w:val="Normal"/>
      </w:pPr>
      <w:r>
        <w:t xml:space="preserve">1. Recognizing their unique economic and commercial ties, close proximity, and extensive trade flows across their borders, the Parties affirm their shared interest in strengthening regional economic growth, prosperity, and competitiveness. 2. With a view to promoting further economic integration among the Parties and enhancing the competitiveness of North American exports, the Parties hereby establish a North American Competitiveness Committee (Competitiveness Committee), composed of government representatives of each Party. 3. Each Party shall designate a contact point for the Competitiveness Committee, notify the other Parties of the contact point, and promptly notify the other Parties of any subsequent changes. Recognizing the need for a comprehensive and coordinated approach to enhance North American competitiveness, each Party’s contact point shall coordinate with its relevant government departments and agencies. 4. The Competitiveness Committee shall discuss and develop cooperative activities in support of a strong economic environment that incentivizes production in North America, facilitates regional trade and investment, enhances a predictable and transparent regulatory environment, encourages the swift movement of goods and the provision of services throughout the region, and responds to market developments and emerging technologies. 5.</w:t>
      </w:r>
    </w:p>
    <w:p>
      <w:pPr>
        <w:pStyle w:val="Normal"/>
      </w:pPr>
      <w:r>
        <w:t>The Competitiveness Committee shall: (a) discuss effective approaches and develop information-sharing activities to support a competitive environment in North America that facilitates trade and investment between the Parties, and promotes economic integration and development within the free trade area; (b) explore ways to further assist traders of a Party to identify and take advantage of trade opportunities under this Agreement; (c) provide advice and recommendations, as appropriate, to the Commission on ways to further enhance the competitiveness of the North American economy, including recommendations aimed at enhancing the participation of SMEs, and enterprises owned by under-represented groups including women, indigenous peoples, youth, and minorities; (d) identify priority projects and policies to develop a modern physical and digital trade- and investment-related infrastructure, and improve the movement of goods and provision of services within the free trade area; (e) discuss collective action to combat market-distorting practices by non-Parties that are affecting the North American region; (f) promote cooperative activities for trade and investment between the Parties with respect to innovation and technology, including best practices in their application; and (g) engage in other activities as the Parties may decide. 6.</w:t>
      </w:r>
    </w:p>
    <w:p>
      <w:pPr>
        <w:pStyle w:val="Normal"/>
      </w:pPr>
      <w:r>
        <w:t>The Competitiveness Committee shall meet within one year of the date of entry into force of this Agreement, and annually thereafter, unless the Parties decide otherwise. 7. The Competitiveness Committee shall develop a work plan to carry out its functions under paragraphs 4 and 5. The Committee shall submit a report to the Commission with the results that have been achieved under the work plan together with any advice and recommendations, if appropriate, on ways to further enhance the competitiveness of the North American economy. Each Party shall publish the work plan and report of the Committee. The Parties shall undertake the above activities on an annual basis, unless the Parties decide otherwise. 8. In carrying out its functions, the Committee may work with other committees, working groups, and any other subsidiary body established under this Agreement. The Committee may also seek advice from, and consider the work of, appropriate experts. The Committee shall ensure that it does not duplicate the activities of these other bodies.</w:t>
      </w:r>
    </w:p>
    <w:p>
      <w:pPr>
        <w:pStyle w:val="Heading2"/>
      </w:pPr>
      <w:bookmarkStart w:id="900914" w:name="_Toc300000913"/>
      <w:r>
        <w:t xml:space="preserve">Article 26.2: Engagement with Interested Persons</w:t>
      </w:r>
      <w:bookmarkEnd w:id="900914"/>
    </w:p>
    <w:p>
      <w:pPr>
        <w:pStyle w:val="Normal"/>
      </w:pPr>
      <w:r>
        <w:t xml:space="preserve">Each Party shall establish or maintain an appropriate mechanism to provide regular and timely opportunities for interested persons to provide input on matters relevant to enhancing competitiveness.</w:t>
      </w:r>
    </w:p>
    <w:p>
      <w:pPr>
        <w:pStyle w:val="Heading2"/>
      </w:pPr>
      <w:bookmarkStart w:id="900915" w:name="_Toc300000914"/>
      <w:r>
        <w:t xml:space="preserve">Article 26.3: Non-Application of Dispute Settlement</w:t>
      </w:r>
      <w:bookmarkEnd w:id="900915"/>
    </w:p>
    <w:p>
      <w:pPr>
        <w:pStyle w:val="Normal"/>
      </w:pPr>
      <w:r>
        <w:t xml:space="preserve">No Party shall have recourse to dispute settlement under Chapter 31 (Dispute Settlement) for a matter arising under this Chapter except the independently enforceable obligation in Article 26.C(2).</w:t>
      </w:r>
    </w:p>
    <w:p>
      <w:pPr>
        <w:pStyle w:val="ModHeading"/>
      </w:pPr>
      <w:bookmarkStart w:id="900916" w:name="_Toc300000915"/>
      <w:r>
        <w:t>CHAPTER 26: CUSMA 2.0 MODERNIZATION PROVISIONS</w:t>
      </w:r>
      <w:bookmarkEnd w:id="900916"/>
    </w:p>
    <w:p>
      <w:pPr>
        <w:pStyle w:val="Normal"/>
      </w:pPr>
      <w:r>
        <w:rPr>
          <w:i/>
        </w:rPr>
        <w:t>The provisions of this Part amend Chapter 26 (Competitiveness).</w:t>
      </w:r>
    </w:p>
    <w:p>
      <w:pPr>
        <w:pStyle w:val="Heading2"/>
      </w:pPr>
      <w:bookmarkStart w:id="900917" w:name="_Toc300000916"/>
      <w:r>
        <w:t>Article 26.A: Expanded Mandate of the North American Competitiveness Committee</w:t>
      </w:r>
      <w:bookmarkEnd w:id="900917"/>
    </w:p>
    <w:p>
      <w:pPr>
        <w:pStyle w:val="Normal"/>
      </w:pPr>
      <w:r>
        <w:t>1. Article 26.1 (North American Competitiveness Committee) is supplemented as follows: the Committee’s mandate includes, in addition to its existing functions:</w:t>
      </w:r>
    </w:p>
    <w:p>
      <w:pPr>
        <w:pStyle w:val="Normal"/>
      </w:pPr>
      <w:r>
        <w:t>(a) North American supply chain resilience, including the functions assigned under Chapter 36;</w:t>
      </w:r>
    </w:p>
    <w:p>
      <w:pPr>
        <w:pStyle w:val="Normal"/>
      </w:pPr>
      <w:r>
        <w:t>(b) economic security cooperation under Chapter 36;</w:t>
      </w:r>
    </w:p>
    <w:p>
      <w:pPr>
        <w:pStyle w:val="Normal"/>
      </w:pPr>
      <w:r>
        <w:t>(c) coordination concerning emerging technologies, in liaison with the Committee on Digital Trade Cooperation and the Advanced Technology Annex process under Article 39.5;</w:t>
      </w:r>
    </w:p>
    <w:p>
      <w:pPr>
        <w:pStyle w:val="Normal"/>
      </w:pPr>
      <w:r>
        <w:t>(d) periodic assessment of North American competitiveness, including infrastructure and trade-corridor performance, regulatory fragmentation, and workforce availability; and</w:t>
      </w:r>
    </w:p>
    <w:p>
      <w:pPr>
        <w:pStyle w:val="Normal"/>
      </w:pPr>
      <w:r>
        <w:t>(e) receipt of stakeholder input through the formal consultation channels in Article 26.B.</w:t>
      </w:r>
    </w:p>
    <w:p>
      <w:pPr>
        <w:pStyle w:val="Heading2"/>
      </w:pPr>
      <w:bookmarkStart w:id="900918" w:name="_Toc300000917"/>
      <w:r>
        <w:t>Article 26.B: Economic Security and Supply Chain Resilience Subcommittee; Stakeholder Channels</w:t>
      </w:r>
      <w:bookmarkEnd w:id="900918"/>
    </w:p>
    <w:p>
      <w:pPr>
        <w:pStyle w:val="Normal"/>
      </w:pPr>
      <w:r>
        <w:t>1. The North American Competitiveness Committee maintains the Economic Security and Supply Chain Resilience Subcommittee established under Article 36.3; this Article assigns its reporting and stakeholder interface and does not establish a second Subcommittee.</w:t>
      </w:r>
    </w:p>
    <w:p>
      <w:pPr>
        <w:pStyle w:val="Normal"/>
      </w:pPr>
      <w:r>
        <w:t>2. The Committee shall maintain standing, predictable channels for input from business, labour, Indigenous peoples, small and medium-sized enterprises, and agricultural stakeholders, including: (a) an annual public consultation; (b) a standing electronic submission portal; and (c) consideration of stakeholder-submitted implementation problems at its next meeting, with a published response or disposition.</w:t>
      </w:r>
    </w:p>
    <w:p>
      <w:pPr>
        <w:pStyle w:val="Heading2"/>
      </w:pPr>
      <w:bookmarkStart w:id="900919" w:name="_Toc300000918"/>
      <w:r>
        <w:t>Article 26.C: Infrastructure and Trade-Corridor Coordination</w:t>
      </w:r>
      <w:bookmarkEnd w:id="900919"/>
    </w:p>
    <w:p>
      <w:pPr>
        <w:pStyle w:val="Normal"/>
      </w:pPr>
      <w:r>
        <w:t>1. The Committee shall maintain trilateral coordination concerning ports of entry, border bridges, rail, highways, pipelines, and transmission corridors of continental significance, including: (a) a shared register of critical corridors under Article 38.3; (b) advance notification and consultation concerning measures likely to impair a registered corridor; and (c) facilitation of coordinated investment planning, without prejudice to each Party’s domestic approval processes.</w:t>
      </w:r>
    </w:p>
    <w:p>
      <w:pPr>
        <w:pStyle w:val="Normal"/>
      </w:pPr>
      <w:r>
        <w:t>1A. CORRIDOR REGISTER RESPONSIBILITY. The Commission maintains and publishes the authoritative critical-corridor register under Article 38.3, with the North American Competitiveness Committee supplying technical coordination and proposed updates under this Article. The Secretariat maintains the single administrative record on behalf of the Commission rather than a competing committee register. References to the Committee on Competitiveness or Competitiveness Committee identify the North American Competitiveness Committee established under Article 26.1, and references to the Emergency Coordination Body in Article 38.5 identify the Emergency Trade Coordination Body described there. The institution names do not create additional bodies or alter their constitutive authority.</w:t>
      </w:r>
    </w:p>
    <w:p>
      <w:pPr>
        <w:pStyle w:val="Normal"/>
      </w:pPr>
      <w:r>
        <w:t>2. No Party shall impede the opening or operation of a completed, jointly authorized cross-border infrastructure facility as leverage in a trade matter. A measure doing so is reviewable under Chapter 31.</w:t>
      </w:r>
    </w:p>
    <w:p>
      <w:pPr>
        <w:pStyle w:val="Heading1"/>
      </w:pPr>
      <w:bookmarkStart w:id="900920" w:name="_Toc300000919"/>
      <w:r>
        <w:t>CHAPTER 27 ANTICORRUPTION</w:t>
      </w:r>
      <w:bookmarkEnd w:id="900920"/>
    </w:p>
    <w:p>
      <w:pPr>
        <w:pStyle w:val="Heading2"/>
      </w:pPr>
      <w:bookmarkStart w:id="900921" w:name="_Toc300000920"/>
      <w:r>
        <w:t xml:space="preserve">Article 27.1: Definitions</w:t>
      </w:r>
      <w:bookmarkEnd w:id="900921"/>
    </w:p>
    <w:p>
      <w:pPr>
        <w:pStyle w:val="Normal"/>
      </w:pPr>
      <w:r>
        <w:t xml:space="preserve">For the purposes of this Chapter: act or refrain from acting in relation to the performance of official duties includes any use of the public official’s position, whether or not within the official’s authorized competence; foreign public official means an individual holding a legislative, executive, administrative or judicial office of a foreign country, at any level of government, whether appointed or elected, permanent or temporary, paid or unpaid, and irrespective of that person’s seniority; and an individual exercising a public function for a foreign country, at any level of government, including for a public agency or public enterprise; IACAC means the existing Inter-American Convention Against Corruption, done at Caracas, Venezuela, on March 29, 1996;</w:t>
      </w:r>
    </w:p>
    <w:p>
      <w:pPr>
        <w:pStyle w:val="Normal"/>
      </w:pPr>
      <w:r>
        <w:t>OECD Convention means the existing Convention on Combating Bribery of Foreign Public Officials in International Business Transactions, done at Paris, France, on December 17, 1997; official of a public international organization means an international civil servant or an individual authorized by a public international organization to act on its behalf; public enterprise means an enterprise over which a government or governments may, directly or indirectly, exercise a dominant influence;1 public official means an individual: (a) holding a legislative, executive, administrative, or judicial office of a Party, whether appointed or elected, permanent or temporary, paid or unpaid, and irrespective of</w:t>
      </w:r>
    </w:p>
    <w:p>
      <w:pPr>
        <w:pStyle w:val="Normal"/>
      </w:pPr>
      <w:r>
        <w:t>that person’s seniority; (b) who performs a public function for a Party, including for a public agency or public enterprise, or provides a public service, as defined under that Party’s law and as applied in the pertinent area of that Party’s law; or Dominant influence for purposes of this definition shall be deemed to exist, inter alia, if the government or governments hold the majority of the enterprise’s subscribed capital, control the majority of votes attaching to shares issued by the enterprise, or can appoint a majority of the members of the enterprise’s administrative or managerial body or supervisory board. (c) defined as a public official under a Party’s law; and UNCAC means the existing United Nations Convention against Corruption, done at New York, United States, on October 31, 2003.</w:t>
      </w:r>
    </w:p>
    <w:p>
      <w:pPr>
        <w:pStyle w:val="Heading2"/>
      </w:pPr>
      <w:bookmarkStart w:id="900922" w:name="_Toc300000921"/>
      <w:r>
        <w:t xml:space="preserve">Article 27.2: Scope</w:t>
      </w:r>
      <w:bookmarkEnd w:id="900922"/>
    </w:p>
    <w:p>
      <w:pPr>
        <w:pStyle w:val="Normal"/>
      </w:pPr>
      <w:r>
        <w:t xml:space="preserve">1. This Chapter applies to measures to prevent and combat bribery and corruption relating to any matter covered by this Agreement.2 2. The Parties affirm their resolve to prevent and combat bribery and corruption in international trade and investment. Recognizing the need to build integrity within both the public and private sectors and that each sector has complementary responsibilities in this regard, the Parties affirm their adherence to the OECD Convention, with its Annex; the IACAC; and the UNCAC. 3. The Parties reiterate their support for the principles contained in documents developed by APEC and G-20 anticorruption fora aimed at preventing and combating corruption and endorsed by leaders or relevant ministers, including the G20 High Level Principles on Organizing against Corruption; G20 High Level Principles on Corruption and Growth; G20 Guiding Principles on Enforcement of the Foreign Bribery Offence (2013); G20 Guiding Principles to Combat Solicitation; G20 High Level Principles on the Liability of Legal Persons for Corruption; APEC Conduct Principles for Public Officials; and the APEC Principles on the Prevention of Bribery and Enforcement of Anti-Bribery Laws. 4.</w:t>
      </w:r>
    </w:p>
    <w:p>
      <w:pPr>
        <w:pStyle w:val="Normal"/>
      </w:pPr>
      <w:r>
        <w:t>The Parties also reiterate their support for, and encourage awareness among their private sectors of, available anticorruption compliance guidance including the APEC Code of Conduct for Business: Business Integrity and Transparency Principles for the Private Sector; APEC General Elements of Effective Voluntary Corporate Compliance Programs; and G20 High Level Principles on Private Sector Transparency and Integrity. 5. The Parties recognize that the description of offenses adopted or maintained in accordance with this Chapter, and of the applicable legal defenses or legal principles controlling the lawfulness of conduct, is reserved to each Party’s law, and that those offenses shall be prosecuted and punished in accordance with each Party’s law. 2 For the United States, this Chapter does not apply to conduct outside the jurisdiction of federal criminal law and, to the extent that an obligation involves preventive measures, shall apply only to those measures covered by federal law governing federal, state, and local officials.</w:t>
      </w:r>
    </w:p>
    <w:p>
      <w:pPr>
        <w:pStyle w:val="Heading2"/>
      </w:pPr>
      <w:bookmarkStart w:id="900923" w:name="_Toc300000922"/>
      <w:r>
        <w:t xml:space="preserve">Article 27.3: Measures to Combat Corruption</w:t>
      </w:r>
      <w:bookmarkEnd w:id="900923"/>
    </w:p>
    <w:p>
      <w:pPr>
        <w:pStyle w:val="Normal"/>
      </w:pPr>
      <w:r>
        <w:t xml:space="preserve">1. Each Party shall adopt or maintain legislative and other measures as may be necessary to establish as criminal offenses under its law, in matters that affect international trade or investment, when committed intentionally, by a person subject to its jurisdiction: (a) the promise, offering, or giving to a public official, directly or indirectly, of an undue advantage for the official or another person or entity, in order that the official act or refrain from acting in relation to the performance of or the exercise of their official duties; (b) the solicitation or acceptance by a public official, directly or indirectly, of an undue advantage for the official or another person or entity, in order that the official act or refrain from acting in relation to the performance of or the exercise of their official duties;</w:t>
      </w:r>
    </w:p>
    <w:p>
      <w:pPr>
        <w:pStyle w:val="Normal"/>
      </w:pPr>
      <w:r>
        <w:t>(c) the promise, offering, or giving to a foreign public official or an official of a public international organization, directly or indirectly, of an undue advantage for the official or another person or entity, in order that the official act or refrain from acting in relation to the performance of or the exercise of their official duties, in order to obtain or retain business or other undue advantage in relation to the conduct of international business; and (d) the aiding or abetting, or conspiracy in the commission of any of the offenses described in subparagraphs (a) through (c). 2.</w:t>
      </w:r>
    </w:p>
    <w:p>
      <w:pPr>
        <w:pStyle w:val="Normal"/>
      </w:pPr>
      <w:r>
        <w:t>Each Party shall adopt or maintain legislative and other measures as may be necessary to establish as a criminal offense under its law, in matters that affect international trade or investment, when committed intentionally, by a person subject to its jurisdiction, the embezzlement, misappropriation or another diversion3 by a public official for their benefit or for the benefit of another person or entity, of property, public or private funds or securities, or any other thing of value entrusted to the public official by virtue of their position. 3. Each Party shall make the commission of an offense described in paragraph 1, 2, or 6 liable to sanctions that take into account the gravity of that offense. 4. Each Party shall adopt or maintain measures as may be necessary, consistent with its legal principles, to establish the liability of legal persons for offenses described in paragraph 1 or 6. 5. Each Party shall disallow the tax deductibility of bribes and, if appropriate, other expenses considered illegal by the Party incurred in furtherance of that conduct. 3 For Canada, “diversion” means embezzlement or misappropriation that constitute the criminal offenses of theft or fraud under Canadian law. 6.</w:t>
      </w:r>
    </w:p>
    <w:p>
      <w:pPr>
        <w:pStyle w:val="Normal"/>
      </w:pPr>
      <w:r>
        <w:t>In order to prevent corruption, each Party shall adopt or maintain measures as may be necessary in accordance with its laws and regulations, regarding the maintenance of books and records, financial statement disclosures, and accounting and auditing standards, to prohibit the following acts carried out for the purpose of committing the offenses described in paragraph 1: (a) the establishment of off-the-books accounts; (b) the making of off-the-books or inadequately identified transactions; (c) the recording of non-existent expenditure; (d) the entry of liabilities with incorrect identification of their objects; (e) the use of false documents; and (f) the intentional destruction of bookkeeping documents earlier than foreseen by the law.4 7. Each Party shall adopt or maintain measures considered appropriate by the Party to protect against unjustified treatment a person who, in good faith and on reasonable grounds, reports to the competent authorities facts concerning offenses described in paragraph 1, 2, or 6.5 8. The Parties recognize the harmful effects of facilitation payments.</w:t>
      </w:r>
    </w:p>
    <w:p>
      <w:pPr>
        <w:pStyle w:val="Normal"/>
      </w:pPr>
      <w:r>
        <w:t>Each Party shall, in accordance with its laws and regulations: (a) encourage enterprises to prohibit or discourage the use of facilitation payments; and (b) take steps to raise awareness among its public officials of its bribery laws, with a view to stopping the solicitation and the acceptance of facilitation payments.6 4 For the United States, this paragraph applies only to issuers that have a class of securities registered pursuant to 15 U.S.C. 78l or that are otherwise required to file reports pursuant to 15 U.S.C. 78o (d). 5 For Mexico and the United States, this paragraph applies only at the central level of government. For Canada, this paragraph applies to measures within the scope of the Public Servants Disclosure Protection Act, S.C. 2005, c.46, as amended. 6 For Canada, this subparagraph applies to measures within the scope of the Public Servants Disclosure Protection Act, S.C. 2005, c.46, as amended.</w:t>
      </w:r>
    </w:p>
    <w:p>
      <w:pPr>
        <w:pStyle w:val="Heading2"/>
      </w:pPr>
      <w:bookmarkStart w:id="900924" w:name="_Toc300000923"/>
      <w:r>
        <w:t xml:space="preserve">Article 27.4: Promoting Integrity among Public Officials</w:t>
      </w:r>
      <w:r>
        <w:rPr>
          <w:vertAlign w:val="superscript"/>
        </w:rPr>
        <w:t xml:space="preserve">7</w:t>
      </w:r>
      <w:bookmarkEnd w:id="900924"/>
    </w:p>
    <w:p>
      <w:pPr>
        <w:pStyle w:val="Normal"/>
      </w:pPr>
      <w:r>
        <w:t xml:space="preserve">1. To fight corruption in matters that affect trade and investment, each Party should promote, among other things, integrity, honesty and responsibility among its public officials. To this end, each Party shall, in accordance with the fundamental principles of its legal system, adopt or maintain: (a) measures to provide adequate procedures for the selection and training of individuals for public positions considered by the Party to be especially vulnerable to corruption; (b) measures to promote transparency in the behavior of public officials in the exercise of public functions; (c) appropriate policies and procedures to identify and manage actual or potential conflicts of interest of public officials;</w:t>
      </w:r>
    </w:p>
    <w:p>
      <w:pPr>
        <w:pStyle w:val="Normal"/>
      </w:pPr>
      <w:r>
        <w:t>(d) measures that require senior public officials, and other public officials as considered appropriate by the Party, to make declarations to appropriate authorities regarding, among other things, their outside activities, employment, investments, assets, and substantial gifts or benefits from which a conflict of interest may result with respect to their functions as public officials; and (e) measures to facilitate reporting by public officials of any facts concerning offenses described in Article 27.3.1, 27.3.2, or 27.3.6 (Measures to Combat Corruption) to appropriate authorities, if those facts come to their notice in the performance of their functions. 2.</w:t>
      </w:r>
    </w:p>
    <w:p>
      <w:pPr>
        <w:pStyle w:val="Normal"/>
      </w:pPr>
      <w:r>
        <w:t>Each Party shall adopt or maintain codes or standards of conduct for the correct, honorable and proper performance of public functions, and measures providing for disciplinary or other measures, if warranted, against a public official who violates the codes or standards established in accordance with this paragraph. 3. Each Party shall, to the extent consistent with the fundamental principles of its legal system, establish procedures through which a public official accused of an offense described in Article 27.3.1 (Measures to Combat Corruption) may, as considered appropriate by that Party, be removed, suspended, or reassigned by the appropriate authority, bearing in mind respect for the principle of the presumption of innocence. 4. Each Party shall, in accordance with the fundamental principles of its legal system and without prejudice to judicial independence, adopt or maintain measures to strengthen integrity, 7 For Mexico and the United States, this article applies only at the central level of government. For Canada, this article applies to measures within the scope of the Public Servants Disclosure Protection Act, S.C.</w:t>
      </w:r>
    </w:p>
    <w:p>
      <w:pPr>
        <w:pStyle w:val="Normal"/>
      </w:pPr>
      <w:r>
        <w:t>2005, c.46, as amended. and to prevent opportunities for corruption, among members of the judiciary in matters that affect international trade or investment. These measures may include rules with respect to the conduct of members of the judiciary.</w:t>
      </w:r>
    </w:p>
    <w:p>
      <w:pPr>
        <w:pStyle w:val="Heading2"/>
      </w:pPr>
      <w:bookmarkStart w:id="900925" w:name="_Toc300000924"/>
      <w:r>
        <w:t xml:space="preserve">Article 27.5: Participation of Private Sector and Society</w:t>
      </w:r>
      <w:bookmarkEnd w:id="900925"/>
    </w:p>
    <w:p>
      <w:pPr>
        <w:pStyle w:val="Normal"/>
      </w:pPr>
      <w:r>
        <w:t xml:space="preserve">1. Each Party shall take appropriate measures, within its means and in accordance with fundamental principles of its legal system, to promote the active participation of individuals and groups outside the public sector, such as enterprises, civil society, non-governmental organizations, and community-based organizations, in preventing and combatting corruption in matters affecting international trade or investment, and to raise public awareness regarding the existence, causes, and gravity of corruption, and the threat posed by it. To this end, a Party may, for example: (a) undertake public information activities and public education programs that contribute to non-tolerance of corruption; (b) adopt or maintain measures to encourage professional associations and other non governmental organizations, if appropriate, in their efforts to encourage and assist enterprises, in particular SMEs, in developing internal controls, ethics and compliance programs or measures for preventing and detecting bribery and corruption in international trade and investment;</w:t>
      </w:r>
    </w:p>
    <w:p>
      <w:pPr>
        <w:pStyle w:val="Normal"/>
      </w:pPr>
      <w:r>
        <w:t>(c) adopt or maintain measures to encourage company management to make statements in their annual reports or otherwise publicly disclose their internal controls, ethics and compliance programs or measures, including those that contribute to preventing and detecting bribery and corruption in international trade and investment; or (d) adopt or maintain measures that</w:t>
      </w:r>
    </w:p>
    <w:p>
      <w:pPr>
        <w:pStyle w:val="Normal"/>
      </w:pPr>
      <w:r>
        <w:t>respect, promote, and protect the freedom to seek, receive, publish, and disseminate information concerning corruption. 2. Each Party shall endeavor to encourage private enterprises, taking into account their structure and size, to: (a) adopt or maintain sufficient internal auditing controls to assist in preventing and detecting offenses described in Article 27.3.1 or 27.3.6 (Measures to Combat Corruption); and (b) ensure that their accounts and required financial statements are subject to appropriate auditing and certification procedures. 3. Each Party shall take appropriate measures to ensure that its relevant anticorruption bodies are known to the public and shall provide access to those bodies, if appropriate, for the reporting, including anonymously, of an incident that may be considered to constitute an offense described in Article 27.3.1 (Measures to Combat Corruption). 4. The Parties recognize the benefits of internal compliance programs in enterprises to combat corruption. In this regard, each Party shall encourage enterprises, taking into account their size, legal structure, and the sectors in which they operate, to establish compliance programs for the purpose of preventing and detecting offenses described in Article 27.3.1 or 27.3.6 (Measures to Combat Corruption).</w:t>
      </w:r>
    </w:p>
    <w:p>
      <w:pPr>
        <w:pStyle w:val="Heading2"/>
      </w:pPr>
      <w:bookmarkStart w:id="900926" w:name="_Toc300000925"/>
      <w:r>
        <w:t xml:space="preserve">Article 27.6: Application and Enforcement of Anticorruption Laws</w:t>
      </w:r>
      <w:bookmarkEnd w:id="900926"/>
    </w:p>
    <w:p>
      <w:pPr>
        <w:pStyle w:val="Normal"/>
      </w:pPr>
      <w:r>
        <w:t xml:space="preserve">1. In accordance with the fundamental principles of its legal system, no Party shall fail to effectively enforce its laws or other measures adopted or maintained to comply with Article 27.3 (Measures to Combat Corruption) through a sustained or recurring course of action or inaction, after the date of entry into force of this Agreement as an encouragement for trade and investment.8 2. In accordance with the fundamental principles of its legal system, each Party retains the right for its law enforcement, prosecutorial, and judicial authorities to exercise their discretion with respect to the enforcement of its anticorruption laws. Each Party retains the right to take bona fide decisions with regard to the allocation of its resources. 3. The Parties affirm their commitments under applicable international agreements or arrangements to cooperate with each other, consistent with their respective legal and administrative systems, to enhance the effectiveness of law enforcement actions to combat the offenses described in Article 27.3 (Measures to Combat Corruption).</w:t>
      </w:r>
    </w:p>
    <w:p>
      <w:pPr>
        <w:pStyle w:val="Heading2"/>
      </w:pPr>
      <w:bookmarkStart w:id="900927" w:name="_Toc300000926"/>
      <w:r>
        <w:t xml:space="preserve">Article 27.7: Relation to Other Agreements</w:t>
      </w:r>
      <w:bookmarkEnd w:id="900927"/>
    </w:p>
    <w:p>
      <w:pPr>
        <w:pStyle w:val="Normal"/>
      </w:pPr>
      <w:r>
        <w:t xml:space="preserve">Nothing in this Agreement affects the rights and obligations of the Parties under the IACAC; the OECD Convention; the UNCAC; or the United Nations Convention against Transnational Organized Crime, done at New York on November 15, 2000.</w:t>
      </w:r>
    </w:p>
    <w:p>
      <w:pPr>
        <w:pStyle w:val="Heading2"/>
      </w:pPr>
      <w:bookmarkStart w:id="900928" w:name="_Toc300000927"/>
      <w:r>
        <w:t xml:space="preserve">Article 27.8: Dispute Settlement</w:t>
      </w:r>
      <w:bookmarkEnd w:id="900928"/>
    </w:p>
    <w:p>
      <w:pPr>
        <w:pStyle w:val="Normal"/>
      </w:pPr>
      <w:r>
        <w:t xml:space="preserve">1. Chapter 31 (Dispute Settlement), as modified by this Article, applies to disputes relating to a matter arising under this Chapter. 8 For greater certainty, the Parties recognize that individual cases or specific discretionary decisions related to the enforcement of anticorruption laws are subject to each Party’s laws and legal procedures. 2. A Party may only have recourse to the procedures set out in this Article and Chapter 31 (Dispute Settlement) if it considers that a measure of another Party is inconsistent with an obligation under this Chapter, or that another Party has otherwise failed to carry out an obligation under this Chapter, in a manner affecting trade or investment between Parties. 3. No Party shall have recourse to dispute settlement under this Article or Chapter 31 (Dispute Settlement) for a matter arising under Article 27.6 (Application and Enforcement of Anticorruption Laws) or Article 27.9 (Cooperation), except a claim independently meeting Article 27.A and the Article 27.B procedure. 4. Further to Article 31.4 (Consultations), each Consulting Party shall ensure that consultations include personnel of the consulting Party’s government authorities with responsibility for the anticorruption issue under dispute.</w:t>
      </w:r>
    </w:p>
    <w:p>
      <w:pPr>
        <w:pStyle w:val="Normal"/>
      </w:pPr>
      <w:r>
        <w:t>5. If the consulting Parties voluntarily use good offices, conciliation, or mediation under Article 31.5, any related Commission discussion includes, to the extent practicable, the Minister responsible for the anticorruption issue or that Minister’s designee. Such discussion is not a mandatory step before a panel request under Article 31.6 or a procedure independently available under this Agreement.</w:t>
      </w:r>
    </w:p>
    <w:p>
      <w:pPr>
        <w:pStyle w:val="Normal"/>
      </w:pPr>
      <w:r>
        <w:t>6. Further to Article 31.8 (Roster and Qualifications of Panelists), the panel shall have expertise in the area of anticorruption under dispute.</w:t>
      </w:r>
    </w:p>
    <w:p>
      <w:pPr>
        <w:pStyle w:val="Heading2"/>
      </w:pPr>
      <w:bookmarkStart w:id="900929" w:name="_Toc300000928"/>
      <w:r>
        <w:t xml:space="preserve">Article 27.9: Cooperation</w:t>
      </w:r>
      <w:bookmarkEnd w:id="900929"/>
    </w:p>
    <w:p>
      <w:pPr>
        <w:pStyle w:val="Normal"/>
      </w:pPr>
      <w:r>
        <w:t xml:space="preserve">1. The Parties recognize the importance of cooperation, coordination, and exchange of information between their respective anticorruption law enforcement agencies in order to foster effective measures to prevent, detect, and deter bribery and corruption. 2. The Parties shall endeavor to strengthen cooperation and coordination among their respective anticorruption law enforcement agencies. 3. Recognizing that the Parties can benefit by sharing their diverse experience and best practices in developing, implementing, and enforcing their anticorruption laws and policies, the Parties´ anticorruption law enforcement agencies shall consider undertaking technical cooperation activities, including training programs, as decided by the Parties. 4. The Parties acknowledge the importance of cooperation and coordination internationally, including the OECD Working Group on Bribery in International Business Transactions, the UNCAC Conference of the State Parties and the Mechanism for Follow-Up on the Implementation of the IACAC, as well as their support to the APEC Anti-Corruption and Transparency Working Group and the G20 Anti-Corruption Working Group.</w:t>
      </w:r>
    </w:p>
    <w:p>
      <w:pPr>
        <w:pStyle w:val="ModHeading"/>
      </w:pPr>
      <w:bookmarkStart w:id="900930" w:name="_Toc300000929"/>
      <w:r>
        <w:t>CHAPTER 27: CUSMA 2.0 INTEGRITY ENFORCEMENT PROVISIONS</w:t>
      </w:r>
      <w:bookmarkEnd w:id="900930"/>
    </w:p>
    <w:p>
      <w:pPr>
        <w:pStyle w:val="Heading2"/>
      </w:pPr>
      <w:bookmarkStart w:id="900931" w:name="_Toc300000930"/>
      <w:r>
        <w:t>Article 27.A: Systemic Anti-Corruption Enforcement Failure</w:t>
      </w:r>
      <w:bookmarkEnd w:id="900931"/>
    </w:p>
    <w:p>
      <w:pPr>
        <w:pStyle w:val="Normal"/>
      </w:pPr>
      <w:r>
        <w:t>1. An isolated act of bribery, embezzlement, falsification, or other corruption by a private person or public official does not by itself constitute a breach of this Agreement. A breach arises where a Party, through a sustained or recurring course of action or inaction, fails to effectively enforce applicable anti-corruption law in a manner materially affecting trade or investment, or deliberately interferes with such enforcement for a protectionist, retaliatory, or corrupt purpose.</w:t>
      </w:r>
    </w:p>
    <w:p>
      <w:pPr>
        <w:pStyle w:val="Normal"/>
      </w:pPr>
      <w:r>
        <w:t>2. No Party may invoke this Article merely because it disagrees with a prosecutorial, investigative, judicial, or resource-allocation decision in an individual case. The complaining Party bears the burden of establishing a systemic or materially discriminatory failure.</w:t>
      </w:r>
    </w:p>
    <w:p>
      <w:pPr>
        <w:pStyle w:val="Normal"/>
      </w:pPr>
      <w:r>
        <w:t>3. Anti-corruption enforcement affecting covered trade or investment shall not be administered in an arbitrary, discriminatory, retaliatory, or protectionist manner.</w:t>
      </w:r>
    </w:p>
    <w:p>
      <w:pPr>
        <w:pStyle w:val="Heading2"/>
      </w:pPr>
      <w:bookmarkStart w:id="900932" w:name="_Toc300000931"/>
      <w:r>
        <w:t>Article 27.B: Integrity Cure Procedure</w:t>
      </w:r>
      <w:bookmarkEnd w:id="900932"/>
    </w:p>
    <w:p>
      <w:pPr>
        <w:pStyle w:val="Normal"/>
      </w:pPr>
      <w:r>
        <w:t>1. Before requesting a panel concerning Article 27.A, a Party requests confidential consultations by written notice identifying the alleged pattern, relevant obligation, and available evidence. Consultation begins within fifteen days after delivery, and the responding Party supplies its explanation and any corrective-action plan within thirty days after delivery. The corrective period expires sixty days after delivery unless the consulting Parties agree in writing to a different period, and failure to consult or submit a plan does not reset that clock. Individual prosecutorial or investigative decisions remain outside the Article 27.A systemic threshold.</w:t>
      </w:r>
    </w:p>
    <w:p>
      <w:pPr>
        <w:pStyle w:val="Normal"/>
      </w:pPr>
      <w:r>
        <w:t>2. After the corrective period, a continued failure independently meeting Article 27.A may be submitted to a Chapter 31 panel under Article 31.6, with the Article 31.A expedited procedure available only if its paragraph 1 coverage test is independently satisfied. Any remedy is authorized through Chapter 31 rather than by this Article alone and targets the affected program, procurement, benefit, or sector before unrelated trade under the controlling nexus and proportionality rules. The panel that determined the breach reviews compliance on either disputing Party’s request, receives responses within fifteen days, and issues its compliance determination within thirty days after that request on the available record. The restriction based solely on that breach terminates when that panel verifies compliance, without a further political approval, while a separate independently lawful measure retains its own basis.</w:t>
      </w:r>
    </w:p>
    <w:p>
      <w:pPr>
        <w:spacing w:after="240"/>
      </w:pPr>
      <w:r>
        <w:t>3. ANTICORRUPTION COMPLIANCE REVIEW PRIORITY. For a restriction based on an Article 27.A breach, paragraph 2’s standing, fifteen-day response period, thirty-day compliance determination, and termination upon verified compliance replace the compliance limb and associated clocks of Article 31.19(3) and (4). Article 31.19’s separate review of whether the level of suspended benefits is manifestly excessive remains available on the responding Party’s request under its own time limit. If both questions are raised, the panel determines compliance within paragraph 2’s thirty days and separately determines excessiveness within Article 31.19’s applicable period without delaying termination required by a compliance finding. The panel is reconvened under Chapter 31, and any necessary replacement satisfies the original composition qualifications without creating a second merits proceeding.</w:t>
      </w:r>
    </w:p>
    <w:p>
      <w:pPr>
        <w:pStyle w:val="Normal"/>
      </w:pPr>
      <w:r>
        <w:t>4. Nothing in this Article requires disclosure of privileged material, protected personal information, confidential law-enforcement techniques, or information whose disclosure would prejudice an active investigation or proceeding.</w:t>
      </w:r>
    </w:p>
    <w:p>
      <w:pPr>
        <w:pStyle w:val="Heading1"/>
      </w:pPr>
      <w:bookmarkStart w:id="900933" w:name="_Toc300000932"/>
      <w:r>
        <w:t>CHAPTER 28 GOOD REGULATORY PRACTICES</w:t>
      </w:r>
      <w:bookmarkEnd w:id="900933"/>
    </w:p>
    <w:p>
      <w:pPr>
        <w:pStyle w:val="Heading2"/>
      </w:pPr>
      <w:bookmarkStart w:id="900934" w:name="_Toc300000933"/>
      <w:r>
        <w:t xml:space="preserve">Article 28.1: Definitions</w:t>
      </w:r>
      <w:bookmarkEnd w:id="900934"/>
    </w:p>
    <w:p>
      <w:pPr>
        <w:pStyle w:val="Normal"/>
      </w:pPr>
      <w:r>
        <w:t xml:space="preserve">For the purposes of this Chapter: regulation means a measure of general application adopted, issued, or maintained by a regulatory authority with which compliance is mandatory, except as set forth in Annex 28-A (Additional Provisions Concerning the Scope of “Regulations” and “Regulatory Authorities”); regulatory authority means an administrative authority or agency at the Party’s central level of government that develops, proposes or adopts a regulation, and does not include legislatures or courts; and regulatory cooperation means an effort between two or more Parties to prevent, reduce, or eliminate unnecessary regulatory differences to facilitate trade and promote economic growth, while maintaining or enhancing standards of public health and safety and environmental protection.</w:t>
      </w:r>
    </w:p>
    <w:p>
      <w:pPr>
        <w:pStyle w:val="Heading2"/>
      </w:pPr>
      <w:bookmarkStart w:id="900935" w:name="_Toc300000934"/>
      <w:r>
        <w:t xml:space="preserve">Article 28.2: Subject Matter and General Provisions</w:t>
      </w:r>
      <w:bookmarkEnd w:id="900935"/>
    </w:p>
    <w:p>
      <w:pPr>
        <w:pStyle w:val="Normal"/>
      </w:pPr>
      <w:r>
        <w:t xml:space="preserve">1. The Parties recognize that implementation of government-wide practices to promote regulatory quality through greater transparency, objective analysis, accountability, and predictability can facilitate international trade, investment, and economic growth, while contributing to each Party’s ability to achieve its public policy objectives (including health, safety, and environmental goals) at the level of protection it considers appropriate. The application of good regulatory practices can support the development of compatible regulatory approaches among the Parties, and reduce or eliminate unnecessarily burdensome, duplicative, or divergent regulatory requirements. Good regulatory practices also are fundamental to effective regulatory cooperation. 2. Accordingly, this Chapter sets out specific obligations with respect to good regulatory practices, including practices relating to the planning, design, issuance, implementation, and review of the Parties’ respective regulations. 3. For greater certainty, this Chapter does not prevent a Party from: (a) pursuing its public policy objectives (including health, safety, and environmental goals) at the level it considers to be appropriate; (b) determining the appropriate method of implementing its obligations in this Chapter within the framework of its own legal system and institutions; or (c) adopting good regulatory practices that supplement those that are set out in this Chapter.</w:t>
      </w:r>
    </w:p>
    <w:p>
      <w:pPr>
        <w:pStyle w:val="Heading2"/>
      </w:pPr>
      <w:bookmarkStart w:id="900936" w:name="_Toc300000935"/>
      <w:r>
        <w:t xml:space="preserve">Article 28.3: Central Regulatory Coordinating Body</w:t>
      </w:r>
      <w:bookmarkEnd w:id="900936"/>
    </w:p>
    <w:p>
      <w:pPr>
        <w:pStyle w:val="Normal"/>
      </w:pPr>
      <w:r>
        <w:t xml:space="preserve">Recognizing that institutional arrangements are particular to each Party’s system of governance, the Parties note the important role of their respective central regulatory coordinating bodies in promoting good regulatory practices; performing key advisory, coordination, and review functions to improve the quality of regulations; and developing improvements to their regulatory system. The Parties intend to maintain their respective central regulatory coordinating bodies, within their respective mandates and consistent with their law.</w:t>
      </w:r>
    </w:p>
    <w:p>
      <w:pPr>
        <w:pStyle w:val="Heading2"/>
      </w:pPr>
      <w:bookmarkStart w:id="900937" w:name="_Toc300000936"/>
      <w:r>
        <w:t xml:space="preserve">Article 28.4: Internal Consultation, Coordination, and Review</w:t>
      </w:r>
      <w:bookmarkEnd w:id="900937"/>
    </w:p>
    <w:p>
      <w:pPr>
        <w:pStyle w:val="Normal"/>
      </w:pPr>
      <w:r>
        <w:t xml:space="preserve">1. The Parties recognize that internal processes or mechanisms providing for consultation, coordination, and review among domestic authorities in the development of regulations can increase regulatory compatibility among the Parties and facilitate trade. Accordingly, each Party shall adopt or maintain those processes or mechanisms to pursue, among others, the following objectives: (a) promoting government-wide adherence to good regulatory practices, including those set forth in this Chapter; (b) identifying and developing improvements to government-wide regulatory processes; (c) identifying potential overlap or duplication between proposed and existing regulations, and preventing the creation of inconsistent requirements across domestic authorities; (d) supporting compliance with international trade and investment obligations, including, as appropriate, the consideration of international standards, guides, and recommendations; (e) promoting consideration of regulatory impacts, including burdens on small enterprises1 of information collection and implementation; and (f) encouraging regulatory approaches that avoid unnecessary restrictions on competition in the marketplace. 1 For greater certainty and for the purposes of this Chapter, for Mexico “small enterprises” also include medium enterprises. 2. Each Party shall make publicly available a description of the processes or mechanisms referred to in paragraph 1.</w:t>
      </w:r>
    </w:p>
    <w:p>
      <w:pPr>
        <w:pStyle w:val="Heading2"/>
      </w:pPr>
      <w:bookmarkStart w:id="900938" w:name="_Toc300000937"/>
      <w:r>
        <w:t xml:space="preserve">Article 28.5: Information Quality</w:t>
      </w:r>
      <w:bookmarkEnd w:id="900938"/>
    </w:p>
    <w:p>
      <w:pPr>
        <w:pStyle w:val="Normal"/>
      </w:pPr>
      <w:r>
        <w:t xml:space="preserve">1. Each Party recognizes the need for regulations to be based upon information that is reliable and of high quality. To that end, each Party should adopt or maintain publicly available guidance or mechanisms that encourage its regulatory authorities when developing a regulation to: (a) seek the best, reasonably obtainable information, including scientific, technical, economic, or other information relevant to the regulation it is developing; (b) rely on information that is appropriate for the context in which it is used; and (c) identify sources of information in a transparent manner, as well as any significant assumptions and limitations. 2. If a regulatory authority systematically collects information from members of the public through identical questions in a survey for use in developing a regulation, each Party shall provide that the authority should: (a) use sound statistical methodologies before drawing generalized conclusions concerning the impact of the regulation on the population affected by the regulation; and (b) avoid unnecessary duplication and otherwise minimize unnecessary burdens on those being surveyed.</w:t>
      </w:r>
    </w:p>
    <w:p>
      <w:pPr>
        <w:pStyle w:val="Heading2"/>
      </w:pPr>
      <w:bookmarkStart w:id="900939" w:name="_Toc300000938"/>
      <w:r>
        <w:t xml:space="preserve">Article 28.6: Early Planning</w:t>
      </w:r>
      <w:bookmarkEnd w:id="900939"/>
    </w:p>
    <w:p>
      <w:pPr>
        <w:pStyle w:val="Normal"/>
      </w:pPr>
      <w:r>
        <w:t xml:space="preserve">Each Party shall publish annually a list of regulations that it reasonably expects within the following 12 months to adopt or propose to adopt. Each regulation identified in the list should be accompanied by: (a) a concise description of the planned regulation; (b) a point of contact for a knowledgeable individual in the regulatory authority responsible for the regulation; and (c) an indication, if known, of sectors to be affected and whether there is any expected significant effect on international trade or investment. Entries in the list should also include, to the extent available, time tables for subsequent actions, including those providing opportunities for public comment under Article 28.9 (Transparent Development of Regulations).</w:t>
      </w:r>
    </w:p>
    <w:p>
      <w:pPr>
        <w:pStyle w:val="Heading2"/>
      </w:pPr>
      <w:bookmarkStart w:id="900940" w:name="_Toc300000939"/>
      <w:r>
        <w:t xml:space="preserve">Article 28.7: Dedicated Website</w:t>
      </w:r>
      <w:bookmarkEnd w:id="900940"/>
    </w:p>
    <w:p>
      <w:pPr>
        <w:pStyle w:val="Normal"/>
      </w:pPr>
      <w:r>
        <w:t xml:space="preserve">1. Each Party shall maintain a single, free, publicly available website that, to the extent practicable, contains all information that it is required to publish pursuant to Article 28.9 (Transparent Development of Regulations). 2. A Party may comply with paragraph 1 by making publicly available information on, and providing for the submission of comments through, more than one website, provided the information can be accessed, and submissions can be made, from a single web portal that links to other websites.</w:t>
      </w:r>
    </w:p>
    <w:p>
      <w:pPr>
        <w:pStyle w:val="Heading2"/>
      </w:pPr>
      <w:bookmarkStart w:id="900941" w:name="_Toc300000940"/>
      <w:r>
        <w:t xml:space="preserve">Article 28.8: Use of Plain Language</w:t>
      </w:r>
      <w:bookmarkEnd w:id="900941"/>
    </w:p>
    <w:p>
      <w:pPr>
        <w:pStyle w:val="Normal"/>
      </w:pPr>
      <w:r>
        <w:t xml:space="preserve">Each Party should provide that proposed and final regulations are written using plain language to ensure that those regulations are clear, concise, and easy for the public to understand, recognizing that some regulations address technical issues and that relevant expertise may be required to understand or apply them.</w:t>
      </w:r>
    </w:p>
    <w:p>
      <w:pPr>
        <w:pStyle w:val="Heading2"/>
      </w:pPr>
      <w:bookmarkStart w:id="900942" w:name="_Toc300000941"/>
      <w:r>
        <w:t xml:space="preserve">Article 28.9: Transparent Development of Regulations</w:t>
      </w:r>
      <w:bookmarkEnd w:id="900942"/>
    </w:p>
    <w:p>
      <w:pPr>
        <w:pStyle w:val="Normal"/>
      </w:pPr>
      <w:r>
        <w:t xml:space="preserve">1. During the period described in paragraph 2, when a regulatory authority is developing a regulation, the Party shall, under normal circumstances,2 publish: (a) the text of the regulation along with its regulatory impact assessment, if any; (b) an explanation of the regulation, including its objectives, how the regulation achieves those objectives, the rationale for the material features of the regulation, and any major alternatives being considered; (c) an explanation of the data, other information, and analyses the regulatory authority relied upon to support the regulation; and 2 For the purposes of paragraphs 1 and 4, “normal circumstances” do not include, for example, situations when publication in accordance with those paragraphs would render the regulation ineffective in addressing the particular harm to the public interest that the regulation aims to address; if urgent problems (for example, of safety, health, or environmental protection) arise or threaten to arise for a Party; or if the regulation has no substantive impact upon members of the public, including persons of another Party. (d) the name and contact information of an individual official from the regulatory authority who may be contacted concerning questions regarding the regulation.</w:t>
      </w:r>
    </w:p>
    <w:p>
      <w:pPr>
        <w:pStyle w:val="Normal"/>
      </w:pPr>
      <w:r>
        <w:t>At the same time the Party publishes the information listed in subparagraphs (a) through (d), the Party shall also make publicly available data, other information, and scientific and technical analyses it relied upon in support of the regulation, including any risk assessment. 2. With respect to the items required to be published under paragraph 1, each Party shall publish them before the regulatory authority finalizes its work on the regulation3 and at a time that will enable the regulatory authority to take into account the comments received and, as appropriate, make revisions to the text of the regulation published under subparagraph 1(a). 3. After the items identified in paragraph 1 have been published, the Party shall ensure that any interested person, regardless of domicile, has an opportunity, on terms no less favorable than those afforded to a person of the Party, to submit written comments on the items identified in paragraph 1 for consideration by the relevant regulatory authority of the Party. Each Party shall allow interested persons to submit any comments and other inputs electronically and may also allow written submissions by mail to a published address or through another technology. 4.</w:t>
      </w:r>
    </w:p>
    <w:p>
      <w:pPr>
        <w:pStyle w:val="Normal"/>
      </w:pPr>
      <w:r>
        <w:t>If a Party expects a draft regulation to have a significant impact on trade, the Party should normally provide a time period to submit written comments and other input on the items published in accordance with paragraph 1 that is: (a) not less than 60 days from the date the items identified in paragraph 1 are published; or (b) a longer time period as is appropriate due to the nature and complexity of the regulation, in order to provide interested persons adequate opportunity to understand how the regulation may affect their interests and to develop informed responses. 5. With respect to draft regulations not covered under paragraph 4, a Party shall endeavor, under normal circumstances, to provide a time period to submit written comments and other input on the information published in accordance with paragraph 1 that is not less than four weeks from the date the items identified in paragraph 1 are published. 6.</w:t>
      </w:r>
    </w:p>
    <w:p>
      <w:pPr>
        <w:pStyle w:val="Normal"/>
      </w:pPr>
      <w:r>
        <w:t>In addition, the Party shall consider reasonable requests to extend the comment time period under paragraph 4 or 5 to submit written comments or other input on a draft regulation. 3 For Canada, a regulatory authority “finalizes its work” on a regulation when a final regulation is published in Canada Gazette, Part II. For Mexico, a regulatory authority “finalizes its work” on a regulation when the final act of general application is issued and published in the Official Gazette.</w:t>
      </w:r>
    </w:p>
    <w:p>
      <w:pPr>
        <w:pStyle w:val="Normal"/>
      </w:pPr>
      <w:r>
        <w:t>For the United States, a regulatory authority “finalizes its work” on a regulation when a final rule is signed and published in the Federal Register. 7. Each Party shall endeavor to promptly make publicly available any written comments it receives, except to the extent necessary to protect confidential information or withhold personal identifying information or inappropriate content. If it is impracticable to publish all the comments on the website provided for in Article 28.7 (Dedicated Website), the regulatory authority of a Party shall endeavor to publish those comments on its own website. 8. Before finalizing its work on a regulation, a regulatory authority of a Party shall evaluate any information provided in written comments received during the comment period. 9. When a regulatory authority of a Party finalizes its work on a regulation, the Party shall promptly publish the text of the regulation, any final impact assessment, and other items as set out in Article 28.12 (Final Publication). 10. The Parties are encouraged to publish government-generated items identified in this Article in a format that can be read and digitally processed through word searches and data mining by a computer or other technology.</w:t>
      </w:r>
    </w:p>
    <w:p>
      <w:pPr>
        <w:pStyle w:val="Heading2"/>
      </w:pPr>
      <w:bookmarkStart w:id="900943" w:name="_Toc300000942"/>
      <w:r>
        <w:t xml:space="preserve">Article 28.10: Expert Advisory Groups</w:t>
      </w:r>
      <w:bookmarkEnd w:id="900943"/>
    </w:p>
    <w:p>
      <w:pPr>
        <w:pStyle w:val="Normal"/>
      </w:pPr>
      <w:r>
        <w:t xml:space="preserve">1. The Parties recognize that their respective regulatory authorities may seek expert advice and recommendations with respect to the preparation or implementation of regulations from groups or bodies that include non-governmental persons. The Parties also recognize that obtaining those advice and recommendations should be a complement to, rather than a substitute for, the procedures for seeking public comment pursuant to Article 28.9.3 (Transparent Development of Regulations). 2. For the purposes of this Article, an expert group or body means a group or body: (a) established by a Party; (b) the membership of which includes persons who are not employees or contractors of the Party; and (c) the function of which includes providing advice or recommendations, including of a scientific or technical nature, to a regulatory authority of the Party with respect to the preparation or implementation of regulations.</w:t>
      </w:r>
    </w:p>
    <w:p>
      <w:pPr>
        <w:pStyle w:val="Normal"/>
      </w:pPr>
      <w:r>
        <w:t>This Article does not apply to a group or body that is established to enhance intergovernmental coordination, or to provide advice related to international affairs, including national security.4 4 For greater certainty, this Article does not apply to Mexico’s National Standardization Advisory Committees (Comité Consultivo Nacional de Normalización), established under article 62 of the Federal Law on Metrology and Standardization. 3.</w:t>
      </w:r>
    </w:p>
    <w:p>
      <w:pPr>
        <w:pStyle w:val="Normal"/>
      </w:pPr>
      <w:r>
        <w:t>Each Party shall encourage its regulatory authorities to ensure that the membership of any expert group or body includes a range and diversity of views and interests, as appropriate to the particular context. 4. Recognizing the importance of keeping the public informed with respect to the purpose, membership, and activities of expert groups and bodies, and that those expert groups or bodies can provide an important additional perspective or expertise on matters affecting government operations, each Party shall encourage its regulatory authorities to provide public notice of: (a) the name of any expert group or body it creates or uses, and the names of the members of the group or body and their affiliations; (b) the mandate and functions of the expert group or body; (c) information about upcoming meetings; and (d) a summary of the outcome of any meeting of an expert group or body. 5. Each Party shall endeavor, as appropriate, to make publicly available any documentation made available to or prepared for or by the expert group or body, and recognizes the importance of providing a means for interested persons to provide inputs to the expert groups or bodies.</w:t>
      </w:r>
    </w:p>
    <w:p>
      <w:pPr>
        <w:pStyle w:val="Heading2"/>
      </w:pPr>
      <w:bookmarkStart w:id="900944" w:name="_Toc300000943"/>
      <w:r>
        <w:t xml:space="preserve">Article 28.11: Regulatory Impact Assessment</w:t>
      </w:r>
      <w:bookmarkEnd w:id="900944"/>
    </w:p>
    <w:p>
      <w:pPr>
        <w:pStyle w:val="Normal"/>
      </w:pPr>
      <w:r>
        <w:t xml:space="preserve">1. The Parties recognize that regulatory impact assessment is a tool to assist regulatory authorities in assessing the need for and potential impacts of regulations they are preparing. Each Party should encourage the use of regulatory impact assessments in appropriate circumstances when developing proposed regulations that have anticipated costs or impacts exceeding certain thresholds established by the Party. 2. Each Party shall maintain procedures that promote the consideration of the following when conducting a regulatory impact assessment: (a) the need for a proposed regulation, including a description of the nature and significance of the problem the regulation is intended to address; (b) feasible and appropriate regulatory and non-regulatory alternatives that would address the need identified in subparagraph (a), including the alternative of not regulating;</w:t>
      </w:r>
    </w:p>
    <w:p>
      <w:pPr>
        <w:pStyle w:val="Normal"/>
      </w:pPr>
      <w:r>
        <w:t>(c) benefits and costs of the selected and other feasible alternatives, including the relevant impacts (such as economic, social, environmental, public health, and safety effects) as well as risks and distributional effects over time, recognizing that some costs and benefits are difficult to quantify or monetize; and (d) the grounds for concluding that the selected alternative is preferable. 3. Each Party should consider whether a proposed regulation may have significant adverse economic effects on a substantial number of small enterprises.</w:t>
      </w:r>
    </w:p>
    <w:p>
      <w:pPr>
        <w:pStyle w:val="Normal"/>
      </w:pPr>
      <w:r>
        <w:t>If so, the Party should consider potential steps to minimize those adverse economic impacts, while allowing the Party to fulfill its objectives.</w:t>
      </w:r>
    </w:p>
    <w:p>
      <w:pPr>
        <w:pStyle w:val="Heading2"/>
      </w:pPr>
      <w:bookmarkStart w:id="900945" w:name="_Toc300000944"/>
      <w:r>
        <w:t xml:space="preserve">Article 28.12: Final Publication</w:t>
      </w:r>
      <w:bookmarkEnd w:id="900945"/>
    </w:p>
    <w:p>
      <w:pPr>
        <w:pStyle w:val="Normal"/>
      </w:pPr>
      <w:r>
        <w:t xml:space="preserve">1. When a regulatory authority of a Party finalizes its work on a regulation, the Party shall promptly publish, in a final regulatory impact assessment or other document: (a) the date by which compliance is required; (b) an explanation of how the regulation achieves the Party’s objectives, the rationale for the material features of the regulation (to the extent different than the explanation provided for in Article 28.9 (Transparent Development of Regulations)), and the nature of and reasons for any significant revisions made since making the regulation available for public comment; (c) the regulatory authority’s views on any substantive issues raised in timely submitted comments; (d) major alternatives, if any, that the regulatory authority considered in developing the regulation and reasons supporting the alternative that it selected; and (e) the relationship between the regulation and the key evidence, data, and other information the regulatory authority considered in finalizing its work on the regulation. 2. Each Party shall ensure that all regulations in effect are published on a free, publicly available website.</w:t>
      </w:r>
    </w:p>
    <w:p>
      <w:pPr>
        <w:pStyle w:val="Heading2"/>
      </w:pPr>
      <w:bookmarkStart w:id="900946" w:name="_Toc300000945"/>
      <w:r>
        <w:t xml:space="preserve">Article 28.13: Retrospective Review</w:t>
      </w:r>
      <w:bookmarkEnd w:id="900946"/>
    </w:p>
    <w:p>
      <w:pPr>
        <w:pStyle w:val="Normal"/>
      </w:pPr>
      <w:r>
        <w:t xml:space="preserve">1. Each Party shall adopt or maintain procedures or mechanisms to conduct retrospective reviews of its regulations in order to determine whether modification or repeal is appropriate. Retrospective reviews may be initiated, for example, pursuant to a Party’s law, on a regulatory authority’s own initiative, or in response to a suggestion submitted pursuant to Article 28.14 (Suggestions for Improvement). 2. When conducting a retrospective review, each Party should consider, as appropriate: (a) the effectiveness of the regulation in meeting its initial stated objectives, for example by examining its actual social or economic impacts; (b) any circumstances that have changed since the development of the regulation, including availability of new information; (c) new opportunities to eliminate unnecessary regulatory burdens; (d) ways to address unnecessary regulatory differences that may adversely affect trade among the Parties, including through the activities listed in Article 28.17.3 (Encouragement of Regulatory Compatibility and Cooperation); and (e) any relevant views expressed by members of the public. 3.</w:t>
      </w:r>
    </w:p>
    <w:p>
      <w:pPr>
        <w:pStyle w:val="Normal"/>
      </w:pPr>
      <w:r>
        <w:t>Each Party shall include among the procedures or mechanisms adopted pursuant to paragraph 1 provisions addressing impacts on small enterprises. 4. Each Party is encouraged to publish, to the extent available, any official plans and results of retrospective reviews.</w:t>
      </w:r>
    </w:p>
    <w:p>
      <w:pPr>
        <w:pStyle w:val="Heading2"/>
      </w:pPr>
      <w:bookmarkStart w:id="900947" w:name="_Toc300000946"/>
      <w:r>
        <w:t xml:space="preserve">Article 28.14: Suggestions for Improvement</w:t>
      </w:r>
      <w:bookmarkEnd w:id="900947"/>
    </w:p>
    <w:p>
      <w:pPr>
        <w:pStyle w:val="Normal"/>
      </w:pPr>
      <w:r>
        <w:t xml:space="preserve">Each Party shall provide the opportunity for any interested person to submit to any regulatory authority of the Party written suggestions for the issuance, modification, or repeal of a regulation. The basis for those suggestions may include, for example, that, in the view of the interested person, the regulation has become ineffective at protecting health, welfare, or safety, has become more burdensome than necessary to achieve its objective (for example with respect to its impact on trade), fails to take into account changed circumstances (such as fundamental changes in technology, or relevant scientific and technical developments), or relies on incorrect or outdated information.</w:t>
      </w:r>
    </w:p>
    <w:p>
      <w:pPr>
        <w:pStyle w:val="Heading2"/>
      </w:pPr>
      <w:bookmarkStart w:id="900948" w:name="_Toc300000947"/>
      <w:r>
        <w:t xml:space="preserve">Article 28.15: Information About Regulatory Processes</w:t>
      </w:r>
      <w:bookmarkEnd w:id="900948"/>
    </w:p>
    <w:p>
      <w:pPr>
        <w:pStyle w:val="Normal"/>
      </w:pPr>
      <w:r>
        <w:t xml:space="preserve">1. Each Party shall publish online a description of the processes and mechanisms employed by its regulatory authorities to prepare, evaluate, or review regulations. The description shall identify the applicable guidelines, rules, or procedures, including those regarding opportunities for the public to provide input. 2. Each Party shall also publish online: (a) a description of the functions and organization of each of its regulatory authorities, including the appropriate offices through which persons can obtain information, make submissions or requests, or obtain decisions; (b) any procedural requirements or forms promulgated or utilized by any of its regulatory authorities; (c) the legal authority for verification, inspection, and compliance activities by its regulatory authorities; (d) information concerning the judicial or administrative procedures available to challenge regulations; and (e) any fees charged by a regulatory authority to a person of a Party for services rendered in connection with the implementation of a regulation, including for licensing, inspections, audits, and other administrative actions required under the Party’s law to import, export, sell, market, or use a good.</w:t>
      </w:r>
    </w:p>
    <w:p>
      <w:pPr>
        <w:pStyle w:val="Heading2"/>
      </w:pPr>
      <w:bookmarkStart w:id="900949" w:name="_Toc300000948"/>
      <w:r>
        <w:t xml:space="preserve">Article 28.16: Annual Report</w:t>
      </w:r>
      <w:bookmarkEnd w:id="900949"/>
    </w:p>
    <w:p>
      <w:pPr>
        <w:pStyle w:val="Normal"/>
      </w:pPr>
      <w:r>
        <w:t xml:space="preserve">Each Party shall prepare and make freely and publicly available online, on an annual basis, a report setting forth: (a) to the extent feasible, an estimate regarding the annual costs and benefits of economically significant regulations, as established by the Party, issued in that period by its regulatory authorities, on an aggregate or individual basis; and (b) any changes, or any proposals to make changes, to its regulatory system.</w:t>
      </w:r>
    </w:p>
    <w:p>
      <w:pPr>
        <w:pStyle w:val="Heading2"/>
      </w:pPr>
      <w:bookmarkStart w:id="900950" w:name="_Toc300000949"/>
      <w:r>
        <w:t xml:space="preserve">Article 28.17: Encouragement of Regulatory Compatibility and Cooperation</w:t>
      </w:r>
      <w:bookmarkEnd w:id="900950"/>
    </w:p>
    <w:p>
      <w:pPr>
        <w:pStyle w:val="Normal"/>
      </w:pPr>
      <w:r>
        <w:t xml:space="preserve">1. The Parties recognize the important contribution of dialogues between their respective regulatory authorities in promoting regulatory compatibility and regulatory cooperation when appropriate, and in order to facilitate trade and investment and to achieve regulatory objectives. Accordingly, each Party should encourage its regulatory authorities to engage in mutually beneficial regulatory cooperation activities with relevant counterparts of one or more of the other Parties in appropriate circumstances to achieve these objectives. 2. The Parties recognize the valuable work of bilateral and trilateral cooperation fora, and intend to continue to work together to further regulatory compatibility on a mutually beneficial basis in such fora or under this Agreement. The Parties also recognize that effective regulatory cooperation requires the participation of regulatory authorities that possess the authority and technical expertise to develop, adopt, and implement regulations. Each Party should encourage input from members of the public to identify promising avenues for cooperation activities. 3.</w:t>
      </w:r>
    </w:p>
    <w:p>
      <w:pPr>
        <w:pStyle w:val="Normal"/>
      </w:pPr>
      <w:r>
        <w:t>The Parties recognize that a broad range of mechanisms including those set forth in the WTO Agreement, exists to help minimize unnecessary regulatory differences and to facilitate trade or investment, while contributing to each Party’s ability to meet its public policy objectives.</w:t>
      </w:r>
    </w:p>
    <w:p>
      <w:pPr>
        <w:pStyle w:val="Normal"/>
      </w:pPr>
      <w:r>
        <w:t>These mechanisms may include, as appropriate to the particular circumstances: (a) early stage formal or informal exchange of technical or scientific information or data, including coordinating research agendas, to reduce duplicative research; (b) exploring possible common approaches to the evaluation and mitigation of risks or hazards, including those potentially posed by the use of emerging technologies; (c) whenever appropriate, regulating by specifying performance requirements rather than design characteristics, to promote innovation and facilitate trade; (d) seeking to collaborate in relevant international fora; (e) exchanging information, such as of a technical or practical nature, on regulations that each Party is developing to maximize the opportunity for common approaches; (f) co-funding of research in support of regulations and implementation tools of joint interest; (g) facilitating the greater use of relevant international standards, guides, and recommendations as the basis for regulations, testing, and approval procedures; (h) when developing or implementing regulations, considering relevant scientific or technical guidance documents developed through international collaborative initiatives; (i) considering common approaches to the display of product or consumer information; (j) considering the development of compatible platforms or formats for industry submission of product information for regulatory review; (k) coordinating in the implementation of regulations</w:t>
      </w:r>
    </w:p>
    <w:p>
      <w:pPr>
        <w:pStyle w:val="Normal"/>
      </w:pPr>
      <w:r>
        <w:t>and sharing compliance information, including, as appropriate by entering into confidentiality agreements; and (l) periodically exchanging information, as appropriate, concerning any planned or ongoing post-implementation review or evaluation of regulations in effect affecting trade or investment.</w:t>
      </w:r>
    </w:p>
    <w:p>
      <w:pPr>
        <w:pStyle w:val="Heading2"/>
      </w:pPr>
      <w:bookmarkStart w:id="900951" w:name="_Toc300000950"/>
      <w:r>
        <w:t xml:space="preserve">Article 28.18: Committee on Good Regulatory Practices</w:t>
      </w:r>
      <w:bookmarkEnd w:id="900951"/>
    </w:p>
    <w:p>
      <w:pPr>
        <w:pStyle w:val="Normal"/>
      </w:pPr>
      <w:r>
        <w:t xml:space="preserve">1. The Parties hereby establish a Committee on Good Regulatory Practices (the GRP Committee) composed of government representatives from each Party, including representatives from their central regulatory coordinating bodies as well as relevant regulatory agencies. 2. Through the GRP Committee, the Parties shall enhance their communication and collaboration in matters relating to this Chapter, including encouraging regulatory compatibility and regulatory cooperation, with a view to facilitating trade between the Parties. 3. The GRP Committee’s functions include: (a) monitoring the implementation and operation of this Chapter, including through updates on each Party’s regulatory practices and processes; (b) exchanging information on effective methods for implementing this Chapter, including with respect to approaches to regulatory cooperation, and relevant work in international fora; (c) consulting on matters and positions in advance for meetings in international fora that are related to the work of this Chapter, including opportunities for workshops, seminars and other relevant activities to support strengthening of good regulatory practices and to support improvements in approaches to regulatory cooperation.</w:t>
      </w:r>
    </w:p>
    <w:p>
      <w:pPr>
        <w:pStyle w:val="Normal"/>
      </w:pPr>
      <w:r>
        <w:t>(d) considering suggestions from stakeholders regarding opportunities to strengthen the application of good regulatory practices; (e) considering developments in good regulatory practices and approaches to regulatory cooperation with a view to identifying future work for the GRP Committee or making recommendations as appropriate to the Commission for improving the operation and implementation of this Chapter; and (f) taking any other steps that the Parties consider will assist them in implementing this Chapter. 4. Each Party shall provide opportunities for persons of that Party to provide views on the implementation of this Chapter. 5. In carrying out its work, the GRP Committee shall take into account the activities of other committees, working groups and other subsidiary bodies established under this Agreement in order to avoid duplication of activities. 6. Unless the Parties decide otherwise, the GRP Committee shall meet at least once a year. The Parties shall endeavor to schedule meetings to permit participation of government representatives engaged in the work of other relevant chapters in this Agreement. The GRP Committee may also invite interested persons to contribute to its work. 7. The GRP Committee shall provide an annual report to the Commission on its activities.</w:t>
      </w:r>
    </w:p>
    <w:p>
      <w:pPr>
        <w:pStyle w:val="Heading2"/>
      </w:pPr>
      <w:bookmarkStart w:id="900952" w:name="_Toc300000951"/>
      <w:r>
        <w:t xml:space="preserve">Article 28.19: Contact Points</w:t>
      </w:r>
      <w:bookmarkEnd w:id="900952"/>
    </w:p>
    <w:p>
      <w:pPr>
        <w:pStyle w:val="Normal"/>
      </w:pPr>
      <w:r>
        <w:t xml:space="preserve">Each Party shall designate and notify a contact point for matters arising under this Chapter, in accordance with Article 30.5 (Agreement Coordinator and Contact Points). A Party shall promptly notify the other Parties of any material changes to its contact point.</w:t>
      </w:r>
    </w:p>
    <w:p>
      <w:pPr>
        <w:pStyle w:val="Heading2"/>
      </w:pPr>
      <w:bookmarkStart w:id="900953" w:name="_Toc300000952"/>
      <w:r>
        <w:t xml:space="preserve">Article 28.20: Application of Dispute Settlement</w:t>
      </w:r>
      <w:bookmarkEnd w:id="900953"/>
    </w:p>
    <w:p>
      <w:pPr>
        <w:pStyle w:val="Normal"/>
      </w:pPr>
      <w:r>
        <w:t xml:space="preserve">1. Recognizing that a mutually acceptable solution can often be found outside recourse to dispute settlement, a Party shall exercise its judgement as to whether recourse to dispute settlement under Chapter 31 (Dispute Settlement) would be fruitful. 2. Chapter 31 (Dispute Settlement) shall apply with respect to a responding Party as of one year after the date of entry into force of this Agreement for that Party. 3. No Party shall have recourse to dispute settlement under Chapter 31 (Dispute Settlement) for a matter arising under this Chapter except to address a sustained or recurring course of action or inaction that is inconsistent with a provision of this Chapter.</w:t>
      </w:r>
    </w:p>
    <w:p>
      <w:pPr>
        <w:pStyle w:val="Heading2"/>
      </w:pPr>
      <w:bookmarkStart w:id="900954" w:name="_Toc300000953"/>
      <w:r>
        <w:t xml:space="preserve">ANNEX 28-A ADDITIONAL PROVISIONS CONCERNING THE SCOPE OF “REGULATIONS” AND “REGULATORY AUTHORITIES”</w:t>
      </w:r>
      <w:bookmarkEnd w:id="900954"/>
    </w:p>
    <w:p>
      <w:pPr>
        <w:pStyle w:val="Normal"/>
      </w:pPr>
      <w:r>
        <w:t xml:space="preserve">1. The following measures are not regulations for the purposes of this Chapter: (a) for all Parties: general statements of policy or guidance that do not prescribe legally enforceable requirements; (b) for Canada: (i) a measure concerning: (A) a military, foreign affairs, or national security function of the Government of Canada, (B) public sector management, personnel, pensions, public property, loans, grants, benefits, or contracts, (C) departmental organization, procedure, or practice, (D) taxation, financial services or anti-money laundering measures, or (E) federal, provincial, territorial relations and agreements and relations with Aboriginal Peoples, or (ii) a measure that does not constitute a regulation under the Statutory Instruments Act; (c) for Mexico: a measure concerning: (i) taxation, specifically those related with contributions and their accessories, (ii) public servants responsibilities, (iii) agrarian and labor justice, (iv) financial services or anti-money laundering measures, (v) public prosecutor’s office executing its constitutional functions, or (vi) navy and defense; and (d) for the United States: a measure concerning:</w:t>
      </w:r>
    </w:p>
    <w:p>
      <w:pPr>
        <w:pStyle w:val="Normal"/>
      </w:pPr>
      <w:r>
        <w:t>28-A-1 (i) a military or foreign affairs function of the United States, (ii) agency management, personnel, public property, loans, grants, benefits, or contracts, (iii) agency organization, procedure, or practice, or (iv) financial</w:t>
      </w:r>
    </w:p>
    <w:p>
      <w:pPr>
        <w:pStyle w:val="Normal"/>
      </w:pPr>
      <w:r>
        <w:t>services or anti-money laundering measures. 2. The following entities are not a regulatory authorities for the purposes of this Chapter: (a) for Canada: the Governor in Council; and (b) for the United States: the President. 28-A-2</w:t>
      </w:r>
    </w:p>
    <w:p>
      <w:pPr>
        <w:pStyle w:val="ModHeading"/>
      </w:pPr>
      <w:bookmarkStart w:id="900955" w:name="_Toc300000954"/>
      <w:r>
        <w:t>CHAPTER 28: CUSMA 2.0 STAKE AND FRICTION-REDUCTION PROVISIONS</w:t>
      </w:r>
      <w:bookmarkEnd w:id="900955"/>
    </w:p>
    <w:p>
      <w:pPr>
        <w:pStyle w:val="Heading2"/>
      </w:pPr>
      <w:bookmarkStart w:id="900956" w:name="_Toc300000955"/>
      <w:r>
        <w:t>Article 28.A: Recognition, Equivalence, and Regulatory Autonomy</w:t>
      </w:r>
      <w:bookmarkEnd w:id="900956"/>
    </w:p>
    <w:p>
      <w:pPr>
        <w:pStyle w:val="Normal"/>
      </w:pPr>
      <w:r>
        <w:t>1. The Parties shall seek mutual recognition of conformity-assessment results where confidence in the relevant bodies and procedures is sufficient. Where regulations differ but achieve a demonstrably equivalent level of protection, a Party shall give due consideration to recognizing regulatory equivalence without requiring harmonization.</w:t>
      </w:r>
    </w:p>
    <w:p>
      <w:pPr>
        <w:pStyle w:val="Normal"/>
      </w:pPr>
      <w:r>
        <w:t>2. Harmonization is voluntary, sector-specific, and appropriate only where the Parties determine that common rules provide a material benefit. Nothing in this Article requires a Party to lower its chosen level of health, safety, environmental, consumer, labor, privacy, or other legitimate public protection.</w:t>
      </w:r>
    </w:p>
    <w:p>
      <w:pPr>
        <w:pStyle w:val="Heading2"/>
      </w:pPr>
      <w:bookmarkStart w:id="900957" w:name="_Toc300000956"/>
      <w:r>
        <w:t>Article 28.B: Advance Regulatory Transparency and Emergency Exception</w:t>
      </w:r>
      <w:bookmarkEnd w:id="900957"/>
    </w:p>
    <w:p>
      <w:pPr>
        <w:pStyle w:val="Normal"/>
      </w:pPr>
      <w:r>
        <w:t>1. For a proposed regulation reasonably expected to have a material effect on trade, a Party shall, where practicable, provide advance notice, a reasonable opportunity for comment, and a public explanation of the final measure and material comments received.</w:t>
      </w:r>
    </w:p>
    <w:p>
      <w:pPr>
        <w:pStyle w:val="Normal"/>
      </w:pPr>
      <w:r>
        <w:t>2. Where urgent action is necessary, a Party may act without advance notice but shall provide prompt notice and a retrospective explanation and shall permit review or comment as soon as practicable.</w:t>
      </w:r>
    </w:p>
    <w:p>
      <w:pPr>
        <w:pStyle w:val="Heading2"/>
      </w:pPr>
      <w:bookmarkStart w:id="900958" w:name="_Toc300000957"/>
      <w:r>
        <w:t>Article 28.C: Sector Technical Working Groups and North American Trade Friction Portal</w:t>
      </w:r>
      <w:bookmarkEnd w:id="900958"/>
    </w:p>
    <w:p>
      <w:pPr>
        <w:pStyle w:val="Normal"/>
      </w:pPr>
      <w:r>
        <w:t>1. Existing committees may establish time-limited technical working groups for sectors experiencing material regulatory friction. No new permanent body is created unless the Commission determines that existing institutions cannot perform the function.</w:t>
      </w:r>
    </w:p>
    <w:p>
      <w:pPr>
        <w:pStyle w:val="Normal"/>
      </w:pPr>
      <w:r>
        <w:t>2. The Treaty Integrity Secretariat shall maintain a public-facing Trade Friction Portal through which businesses, workers, consumers, and other stakeholders may report recurring customs, certification, regulatory, border-processing, or implementation barriers. Reports do not create private rights of action. The Secretariat shall aggregate patterns, protect confidential information, and refer material recurring issues to the competent committee.</w:t>
      </w:r>
    </w:p>
    <w:p>
      <w:pPr>
        <w:pStyle w:val="Normal"/>
      </w:pPr>
      <w:r>
        <w:t>3. A single complaint creates no presumption of violation. A recurring pattern supported by evidence may trigger technical consultation, regulatory cooperation, or a Party-to-Party consultation under this Agreement.</w:t>
      </w:r>
    </w:p>
    <w:p>
      <w:pPr>
        <w:pStyle w:val="Heading1"/>
      </w:pPr>
      <w:bookmarkStart w:id="900959" w:name="_Toc300000958"/>
      <w:r>
        <w:t>CHAPTER 29 PUBLICATION AND ADMINISTRATION</w:t>
      </w:r>
      <w:r>
        <w:br/>
      </w:r>
      <w:r>
        <w:t>Section A: Publication and Administration</w:t>
      </w:r>
      <w:bookmarkEnd w:id="900959"/>
    </w:p>
    <w:p>
      <w:pPr>
        <w:pStyle w:val="Heading2"/>
      </w:pPr>
      <w:bookmarkStart w:id="900960" w:name="_Toc300000959"/>
      <w:r>
        <w:t xml:space="preserve">Article 29.1: Definitions</w:t>
      </w:r>
      <w:bookmarkEnd w:id="900960"/>
    </w:p>
    <w:p>
      <w:pPr>
        <w:pStyle w:val="Normal"/>
      </w:pPr>
      <w:r>
        <w:t xml:space="preserve">For the purposes of this Chapter: administrative ruling of general application means an administrative ruling or interpretation1 that applies to all persons and fact situations that fall generally within the ambit of that administrative ruling or interpretation and that establishes a norm of conduct, but does not include: (a) a determination or ruling made in an administrative or quasi-judicial proceeding that applies to a particular person, good, or service of another Party in a specific case; or (b) a ruling that adjudicates with respect to a particular act or practice.</w:t>
      </w:r>
    </w:p>
    <w:p>
      <w:pPr>
        <w:pStyle w:val="Heading2"/>
      </w:pPr>
      <w:bookmarkStart w:id="900961" w:name="_Toc300000960"/>
      <w:r>
        <w:t xml:space="preserve">Article 29.2: Publication</w:t>
      </w:r>
      <w:bookmarkEnd w:id="900961"/>
    </w:p>
    <w:p>
      <w:pPr>
        <w:pStyle w:val="Normal"/>
      </w:pPr>
      <w:r>
        <w:t xml:space="preserve">1. Each Party shall ensure that its laws, regulations, procedures, and administrative rulings of general application with respect to any matter covered by this Agreement are promptly published or otherwise made available in a manner that enables interested persons and the other Parties to become acquainted with them. To the extent possible, each Party shall make these measures available online. 2. Each Party shall, to the extent possible: (a) publish in advance a measure referred to in paragraph 1 that it proposes to adopt; and (b) provide interested persons and the other Parties a reasonable opportunity to comment on a proposed measure referred to in subparagraph (a). 3. Each Party shall ensure that its laws and regulations of general application at the central level of government are published on a free, publicly accessible website that is capable of performing searches for these laws and regulations by citation or through a word search, and shall ensure that this website is kept updated. Annex 29-A sets out each Party’s websites. 1 For greater certainty, an interpretation or ruling that is not binding is not an administrative ruling of general application.</w:t>
      </w:r>
    </w:p>
    <w:p>
      <w:pPr>
        <w:pStyle w:val="Heading2"/>
      </w:pPr>
      <w:bookmarkStart w:id="900962" w:name="_Toc300000961"/>
      <w:r>
        <w:t xml:space="preserve">Article 29.3: Administrative Proceedings</w:t>
      </w:r>
      <w:bookmarkEnd w:id="900962"/>
    </w:p>
    <w:p>
      <w:pPr>
        <w:pStyle w:val="Normal"/>
      </w:pPr>
      <w:r>
        <w:t xml:space="preserve">With a view to administering all measures of general application with respect to any matter covered by this Agreement in a consistent, impartial, and reasonable manner, each Party shall ensure in its administrative proceedings2 applying measures referred to in Article 29.2.1 (Publication) to a particular person, good, or service of another Party in specific cases that: (a) a person of another Party that is directly affected by a proceeding is provided, whenever possible and, in accordance with domestic procedures, with reasonable notice of the initiation of a proceeding, including a description of the nature of the proceeding, a statement of the legal authority under which the proceeding is initiated and a general description of the issue in question; (b) a person of another Party that is directly affected by a proceeding is afforded a reasonable opportunity to present facts and arguments in support of that person’s position prior to any final administrative action, when time, the nature of the proceeding, and the public interest permit; and (c) the procedures are in accordance with its law.</w:t>
      </w:r>
    </w:p>
    <w:p>
      <w:pPr>
        <w:pStyle w:val="Heading2"/>
      </w:pPr>
      <w:bookmarkStart w:id="900963" w:name="_Toc300000962"/>
      <w:r>
        <w:t xml:space="preserve">Article 29.4: Review and Appeal</w:t>
      </w:r>
      <w:bookmarkEnd w:id="900963"/>
    </w:p>
    <w:p>
      <w:pPr>
        <w:pStyle w:val="Normal"/>
      </w:pPr>
      <w:r>
        <w:t xml:space="preserve">1. Each Party shall establish or maintain judicial, quasi-judicial, or administrative tribunals or procedures for the purpose of the prompt review and, if warranted, correction of a final administrative action with respect to any matter covered by this Agreement. These tribunals shall be impartial and independent of the office or authority entrusted with administrative enforcement and shall not have any substantial interest in the outcome of the matter. 2. Each Party shall ensure that, with respect to the tribunals or procedures referred to in paragraph 1, the parties to a proceeding are provided with the right to: (a) a reasonable opportunity to support or defend their respective positions; and (b) a decision based on the evidence and submissions of record or, if required by its law, the record compiled by the relevant authority. 3.</w:t>
      </w:r>
    </w:p>
    <w:p>
      <w:pPr>
        <w:pStyle w:val="Normal"/>
      </w:pPr>
      <w:r>
        <w:t>Each Party shall ensure, subject to appeal or further review as provided for in its law, that the decision referred to in paragraph 2(b) be implemented by, and govern the practice of, the office or authority with respect to the administrative action at issue. 2 For greater certainty, administrative proceedings subject to this Article do not include proceedings that result in advisory opinions or decisions that are not legally binding. Section B: Transparency and Procedural Fairness for Pharmaceutical Products and Medical Devices3</w:t>
      </w:r>
    </w:p>
    <w:p>
      <w:pPr>
        <w:pStyle w:val="Heading2"/>
      </w:pPr>
      <w:bookmarkStart w:id="900964" w:name="_Toc300000963"/>
      <w:r>
        <w:t xml:space="preserve">Article 29.5: Definitions</w:t>
      </w:r>
      <w:bookmarkEnd w:id="900964"/>
    </w:p>
    <w:p>
      <w:pPr>
        <w:pStyle w:val="Normal"/>
      </w:pPr>
      <w:r>
        <w:t xml:space="preserve">For the purposes of this Section: national health care authority means, with respect to a Party listed in Annex 29-B (Party- Specific Definitions), the relevant entity or entities specified therein, and with respect to any other Party, an entity that is part of or has been established by a Party’s central level of government to operate a national health care program; and national health care program means a health care program in which a national health care authority makes the determinations or recommendations regarding the listing of pharmaceutical products or medical devices for reimbursement, or regarding the setting of the amount of that reimbursement.</w:t>
      </w:r>
    </w:p>
    <w:p>
      <w:pPr>
        <w:pStyle w:val="Heading2"/>
      </w:pPr>
      <w:bookmarkStart w:id="900965" w:name="_Toc300000964"/>
      <w:r>
        <w:t xml:space="preserve">Article 29.6: Principles</w:t>
      </w:r>
      <w:bookmarkEnd w:id="900965"/>
    </w:p>
    <w:p>
      <w:pPr>
        <w:pStyle w:val="Normal"/>
      </w:pPr>
      <w:r>
        <w:t xml:space="preserve">The Parties are committed to facilitating high-quality health care and continued improvements in public health for their nationals, including patients and the public. In pursuing these objectives, the Parties acknowledge the importance of the following principles: (a) the importance of protecting and promoting public health and the important role played by pharmaceutical products and medical devices4 in delivering high-quality health care; (b) the importance of research and development, including innovation associated with research and development, related to pharmaceutical products and medical devices; (c) the need to promote timely and affordable access to pharmaceutical products and medical devices, through transparent, impartial, expeditious, and accountable procedures, without prejudice to a Party’s right to apply appropriate standards of quality, safety, and efficacy; and 3 For greater certainty, the Parties confirm that the purpose of this Section is to ensure transparency and procedural fairness of relevant aspects of the Parties’ applicable systems relating to pharmaceutical products and medical devices, without prejudice to the obligations in this Chapter, and not to modify a Party’s system of health care in any other respects or a Party’s rights to determine health expenditure priorities.</w:t>
      </w:r>
    </w:p>
    <w:p>
      <w:pPr>
        <w:pStyle w:val="Normal"/>
      </w:pPr>
      <w:r>
        <w:t>4 For the purposes of this Section, each Party shall define the scope of the products subject to its laws and regulations for pharmaceutical products and medical devices in its territory, and make that information publicly available. (d) the need to recognize the value of pharmaceutical products and medical devices through the operation of competitive markets or by adopting or maintaining procedures that appropriately value the objectively demonstrated therapeutic significance of a pharmaceutical product or medical device.</w:t>
      </w:r>
    </w:p>
    <w:p>
      <w:pPr>
        <w:pStyle w:val="Heading2"/>
      </w:pPr>
      <w:bookmarkStart w:id="900966" w:name="_Toc300000965"/>
      <w:r>
        <w:t xml:space="preserve">Article 29.7: Procedural Fairness</w:t>
      </w:r>
      <w:bookmarkEnd w:id="900966"/>
    </w:p>
    <w:p>
      <w:pPr>
        <w:pStyle w:val="Normal"/>
      </w:pPr>
      <w:r>
        <w:t xml:space="preserve">To the extent that a Party’s national health care authority operates or maintains procedures for listing new pharmaceutical products or medical devices for reimbursement purposes, or setting the amount of that reimbursement, under a national health care program operated by the national health care authority,5, 6 that Party shall: (a) ensure that consideration of all formal and duly formulated proposals for such listing of pharmaceutical products or medical devices for reimbursement is completed within a specified period of time;7 (b) disclose procedural rules, methodologies, principles, and guidelines used to assess such proposals; (c) afford applicants 8 and, if appropriate, the public, timely opportunities to provide comments at relevant points in the decision-making process; (d) provide applicants with written information sufficient to comprehend the basis for recommendations or determinations regarding the listing of new pharmaceutical products or medical devices for reimbursement by its national health care authority; (e) make available: (i) an independent review process, or 5 This Section does not apply to government procurement of pharmaceutical products and medical devices.</w:t>
      </w:r>
    </w:p>
    <w:p>
      <w:pPr>
        <w:pStyle w:val="Normal"/>
      </w:pPr>
      <w:r>
        <w:t>If a public entity providing health care services engages in government procurement for pharmaceutical products or medical devices, formulary development and management with respect to that activity by the national health care authority shall be considered an aspect of such government procurement. 6 This Section does not apply to procedures undertaken for the purpose of post-market subsidization of pharmaceutical products or medical devices procured by public health care entities if the pharmaceutical products or medical devices eligible for consideration are based on the products or devices that are procured by public health care entities. 7 In those cases in which a Party’s national health care authority is unable to complete consideration of a proposal within a specified period of time, the Party shall disclose the reason for the delay to the applicant and shall provide for another specified period of time for completing consideration of the proposal. 8 For greater certainty, each Party may define the persons or entities that qualify as an “applicant” under its laws, regulations, and procedures.</w:t>
      </w:r>
    </w:p>
    <w:p>
      <w:pPr>
        <w:pStyle w:val="Normal"/>
      </w:pPr>
      <w:r>
        <w:t>(ii) an internal review process, such as by the same expert or group of experts that made the recommendation or determination, provided that the review process includes, at a minimum, a substantive reconsideration of the application,9 and that may be invoked at the request of an applicant directly affected by a recommendation or determination by a Party’s national health care authority not to list a pharmaceutical product or a medical device for reimbursement;10 and (f) provide written information to the public regarding recommendations or determinations, while protecting information considered to be confidential under the Party’s law.</w:t>
      </w:r>
    </w:p>
    <w:p>
      <w:pPr>
        <w:pStyle w:val="Heading2"/>
      </w:pPr>
      <w:bookmarkStart w:id="900967" w:name="_Toc300000966"/>
      <w:r>
        <w:t xml:space="preserve">Article 29.8: Dissemination of Information to Health Professionals and Consumers</w:t>
      </w:r>
      <w:bookmarkEnd w:id="900967"/>
    </w:p>
    <w:p>
      <w:pPr>
        <w:pStyle w:val="Normal"/>
      </w:pPr>
      <w:r>
        <w:t xml:space="preserve">As is permitted to be disseminated under the Party’s laws, regulations, and procedures, each Party shall permit a pharmaceutical product manufacturer to disseminate to health professionals and consumers through the manufacturer’s website registered in the territory of the Party, and on other websites registered in the territory of the Party linked to that site, truthful and not misleading information regarding its pharmaceutical products that are approved for marketing in the Party’s territory. A Party may require that the information include a balance of risks and benefits and encompass all indications for which the Party’s competent regulatory authorities have approved the marketing of the pharmaceutical product.</w:t>
      </w:r>
    </w:p>
    <w:p>
      <w:pPr>
        <w:pStyle w:val="Heading2"/>
      </w:pPr>
      <w:bookmarkStart w:id="900968" w:name="_Toc300000967"/>
      <w:r>
        <w:t xml:space="preserve">Article 29.9: Consultations</w:t>
      </w:r>
      <w:bookmarkEnd w:id="900968"/>
    </w:p>
    <w:p>
      <w:pPr>
        <w:pStyle w:val="Normal"/>
      </w:pPr>
      <w:r>
        <w:t xml:space="preserve">1. To facilitate dialogue and mutual understanding of issues relating to this Section, each Party shall give sympathetic consideration to and shall afford adequate opportunity for consultations regarding a written request by another Party to consult on any matter related to this Section. The consultations shall take place within three months of the delivery of the request, except in exceptional circumstances or unless the consulting Parties decide otherwise.11 9 For greater certainty, the review process described in subparagraph (e)(i) may include a review process as described in subparagraph (e)(ii) other than one by the same expert or group of experts. 10 For greater certainty, subparagraph (e) does not require a Party to provide more than a single review for a request regarding a specific proposal or to review, in conjunction with the request, other proposals or the assessment related to those other proposals. Further, a Party may elect to provide the review specified in subparagraph (e) either with respect to a draft final recommendation or determination, or with respect to a final recommendation or determination.</w:t>
      </w:r>
    </w:p>
    <w:p>
      <w:pPr>
        <w:pStyle w:val="Normal"/>
      </w:pPr>
      <w:r>
        <w:t>11 Nothing in this paragraph shall be construed as requiring a Party to review or change a decision regarding a specific application. 2.</w:t>
      </w:r>
    </w:p>
    <w:p>
      <w:pPr>
        <w:pStyle w:val="Normal"/>
      </w:pPr>
      <w:r>
        <w:t>Consultations shall involve officials responsible for the oversight of the national health care authority or officials from each Party responsible for national health care programs and other appropriate government officials.</w:t>
      </w:r>
    </w:p>
    <w:p>
      <w:pPr>
        <w:pStyle w:val="Heading2"/>
      </w:pPr>
      <w:bookmarkStart w:id="900969" w:name="_Toc300000968"/>
      <w:r>
        <w:t xml:space="preserve">Article 29.10: Non-Application of Dispute Settlement</w:t>
      </w:r>
      <w:bookmarkEnd w:id="900969"/>
    </w:p>
    <w:p>
      <w:pPr>
        <w:pStyle w:val="Normal"/>
      </w:pPr>
      <w:r>
        <w:t xml:space="preserve">No Party shall have recourse to dispute settlement under Chapter 31 (Dispute Settlement) for any matter arising under this Section.</w:t>
      </w:r>
    </w:p>
    <w:p>
      <w:pPr>
        <w:pStyle w:val="Heading2"/>
      </w:pPr>
      <w:bookmarkStart w:id="900970" w:name="_Toc300000969"/>
      <w:r>
        <w:t xml:space="preserve">ANNEX 29-A PUBLICATION OF LAWS AND REGULATIONS OF GENERAL APPLICATION</w:t>
      </w:r>
      <w:bookmarkEnd w:id="900970"/>
    </w:p>
    <w:p>
      <w:pPr>
        <w:pStyle w:val="Normal"/>
      </w:pPr>
      <w:r>
        <w:t xml:space="preserve">For the purpose of Article 29.2.3 (Publication), laws and regulations of general application of each Party are published in the following websites: (a) For Canada: http://laws.justice.gc.ca/eng/ See also: http://www.gazette.gc.ca/accueil-home-eng.html; (b) For Mexico: www.diputados.gob.mx/LeyesBiblio/index.htm See also: www.dof.gob.mx; and (c) For the United States: https://www.govinfo.gov/help/whats-available See also: http://uscode.house.gov/ (laws) https://www.ecfr.gov/cgi-bin/text-idx?tpl=%2Findex.tpl (regulations) 29-A-1</w:t>
      </w:r>
    </w:p>
    <w:p>
      <w:pPr>
        <w:pStyle w:val="Heading2"/>
      </w:pPr>
      <w:bookmarkStart w:id="900971" w:name="_Toc300000970"/>
      <w:r>
        <w:t xml:space="preserve">ANNEX 29-B PARTY-SPECIFIC DEFINITIONS</w:t>
      </w:r>
      <w:bookmarkEnd w:id="900971"/>
    </w:p>
    <w:p>
      <w:pPr>
        <w:pStyle w:val="Normal"/>
      </w:pPr>
      <w:r>
        <w:t xml:space="preserve">Further to the definition of national health care authority in Article 29.5 (Definitions), national health care authority means: (a) For Canada, the Federal Drug Benefits Committee. For greater certainty, Canada does not currently operate a national health care program within the scope of this Annex. (b) For the United States, the Centers for Medicare &amp; Medicaid Services (CMS), with respect to CMS’s role in making Medicare national coverage determinations. 29-B-1</w:t>
      </w:r>
    </w:p>
    <w:p>
      <w:pPr>
        <w:pStyle w:val="ModHeading"/>
      </w:pPr>
      <w:bookmarkStart w:id="900972" w:name="_Toc300000971"/>
      <w:r>
        <w:t>CHAPTER 29: CUSMA 2.0 TRANSPARENCY AND RELIANCE PROVISIONS</w:t>
      </w:r>
      <w:bookmarkEnd w:id="900972"/>
    </w:p>
    <w:p>
      <w:pPr>
        <w:pStyle w:val="Heading2"/>
      </w:pPr>
      <w:bookmarkStart w:id="900973" w:name="_Toc300000972"/>
      <w:r>
        <w:t>Article 29.A: Treaty-Relevant Financial and Institutional Transparency</w:t>
      </w:r>
      <w:bookmarkEnd w:id="900973"/>
    </w:p>
    <w:p>
      <w:pPr>
        <w:pStyle w:val="Normal"/>
      </w:pPr>
      <w:r>
        <w:t>1. Each Party shall maintain public information sufficient to identify material government ownership or control of state-owned enterprises covered by this Agreement, including ownership or voting structure, material special rights, and material non-commercial assistance, subject to legitimate confidentiality protections.</w:t>
      </w:r>
    </w:p>
    <w:p>
      <w:pPr>
        <w:pStyle w:val="Normal"/>
      </w:pPr>
      <w:r>
        <w:t>2. Where information required to verify a claimed special treaty benefit, subsidy treatment, procurement eligibility, or state-owned-enterprise status is not provided after notice and a reasonable cure period, the competent panel may draw a rebuttable adverse inference limited to the matter for which the information is material.</w:t>
      </w:r>
    </w:p>
    <w:p>
      <w:pPr>
        <w:pStyle w:val="Normal"/>
      </w:pPr>
      <w:r>
        <w:t>2A. ADVERSE INFERENCE AUTHORITY AND PRIORITY. The competent panel in paragraph 2 is a panel constituted under Chapter 31 for a dispute otherwise within its jurisdiction, not an administrative office or a new transparency tribunal. For an Annex 22-B information request, Annex 22-B supplies its specific notice and information-request procedure, and paragraph 9 of that Annex supplies the cooperation and inference assessment, and paragraph 2 does not replace them. For other matters, paragraph 2 supplies its notice and cure prerequisites, with Annex 34-H(6) supplementing procedure only consistently with the more specific information and confidentiality rules. Every inference remains rebuttable, proportionate to the material information unjustifiably withheld, and incapable by itself of enlarging jurisdiction or creating a trade remedy.</w:t>
      </w:r>
    </w:p>
    <w:p>
      <w:pPr>
        <w:pStyle w:val="Normal"/>
      </w:pPr>
      <w:r>
        <w:t>3. Each Party shall maintain effective domestic rules for disclosure, recusal, or management of significant financial conflicts of interest by senior officials exercising material authority over extraordinary trade actions. This Agreement does not prescribe the form of a Party’s general personal financial-disclosure regime.</w:t>
      </w:r>
    </w:p>
    <w:p>
      <w:pPr>
        <w:pStyle w:val="Heading2"/>
      </w:pPr>
      <w:bookmarkStart w:id="900974" w:name="_Toc300000973"/>
      <w:r>
        <w:t>Article 29.B: Dispute and Trade-Action Transparency</w:t>
      </w:r>
      <w:bookmarkEnd w:id="900974"/>
    </w:p>
    <w:p>
      <w:pPr>
        <w:pStyle w:val="Normal"/>
      </w:pPr>
      <w:r>
        <w:t>1. Panel requests, non-confidential submissions, final reports, compliance findings, and hearing transcripts shall be publicly accessible in a standardized electronic docket, subject to protection of confidential business information, personal information, privileged communications, classified information, protected Indigenous knowledge, and information whose disclosure would create a material cybersecurity or national-security risk.</w:t>
      </w:r>
    </w:p>
    <w:p>
      <w:pPr>
        <w:pStyle w:val="Normal"/>
      </w:pPr>
      <w:r>
        <w:t>2. Each Party shall publish annually a machine-readable report describing extraordinary trade measures affecting another Party, the legal authority relied upon, duration, revenue collected where applicable, status of disputes, compliance outcomes, and termination or renewal of temporary measures.</w:t>
      </w:r>
    </w:p>
    <w:p>
      <w:pPr>
        <w:pStyle w:val="Normal"/>
      </w:pPr>
      <w:r>
        <w:t>3. EXTRAORDINARY TRADE ACTIONS AND PUBLIC DOCKET. For Articles 29.A and 29.B, extraordinary trade measures or actions mean a covered border measure, safeguard, suspension of treaty benefits, or trade- or investment-restrictive essential-security measure affecting another Party and imposed outside ordinary treaty treatment. The Secretariat maintains the paragraph 1 electronic docket and posts the non-confidential version of a received item within five days, identifying the proceeding, responsible body, date, and controlling confidentiality rule. Panels and submitting Parties prepare protected and public versions under Article 31.11(d) and (f) and the independently applicable procedure, and publication does not require disclosure protected by paragraph 1 or waive confidential treatment. Annual Party reports under paragraph 2 use the same definition and identify a measure’s status without making a docket entry constitutive of its legality.</w:t>
      </w:r>
    </w:p>
    <w:p>
      <w:pPr>
        <w:pStyle w:val="Heading2"/>
      </w:pPr>
      <w:bookmarkStart w:id="900975" w:name="_Toc300000974"/>
      <w:r>
        <w:t>Article 29.C: Reliance on Advance Customs and Administrative Rulings</w:t>
      </w:r>
      <w:bookmarkEnd w:id="900975"/>
    </w:p>
    <w:p>
      <w:pPr>
        <w:pStyle w:val="Normal"/>
      </w:pPr>
      <w:r>
        <w:t>1. A person that reasonably relies on a written advance ruling issued by a competent customs or administrative authority may rely on that ruling for transactions undertaken before its lawful modification or revocation, except in cases of fraud, material omission, misrepresentation, or a clearly stated urgent public-interest exception.</w:t>
      </w:r>
    </w:p>
    <w:p>
      <w:pPr>
        <w:pStyle w:val="Normal"/>
      </w:pPr>
      <w:r>
        <w:t>2. Modifications and revocations operate prospectively wherever practicable and shall state reasons. This Article does not require compensation for ordinary good-faith administrative error, but does not preclude remedies otherwise available under domestic law.</w:t>
      </w:r>
    </w:p>
    <w:p>
      <w:pPr>
        <w:pStyle w:val="Normal"/>
      </w:pPr>
      <w:r>
        <w:t>3. CUSTOMS ADVANCE RULING PRESERVATION. Article 7.5(10) through (14) governs modification, revocation, retroactivity, and postponement of an advance ruling issued under Article 7.5 on the customs matters within that Article’s scope notwithstanding paragraphs 1 and 2. An urgent-public-interest exception or material omission under this Article does not expand Article 7.5’s grounds for retroactive revocation or reduce its ninety-day postponement protection where that protection applies. Other administrative rulings remain governed by paragraphs 1 and 2 and their independently applicable domestic and treaty rules. An authority identifies in its reasons which ruling regime applies and the legal basis for any adverse effect on a transaction already undertaken.</w:t>
      </w:r>
    </w:p>
    <w:p>
      <w:pPr>
        <w:pStyle w:val="Heading1"/>
      </w:pPr>
      <w:bookmarkStart w:id="900976" w:name="_Toc300000975"/>
      <w:r>
        <w:t>CHAPTER 30 ADMINISTRATIVE AND INSTITUTIONAL PROVISIONS</w:t>
      </w:r>
      <w:bookmarkEnd w:id="900976"/>
    </w:p>
    <w:p>
      <w:pPr>
        <w:pStyle w:val="Heading2"/>
      </w:pPr>
      <w:bookmarkStart w:id="900977" w:name="_Toc300000976"/>
      <w:r>
        <w:t xml:space="preserve">Article 30.1: Establishment of the Free Trade Commission</w:t>
      </w:r>
      <w:bookmarkEnd w:id="900977"/>
    </w:p>
    <w:p>
      <w:pPr>
        <w:pStyle w:val="Normal"/>
      </w:pPr>
      <w:r>
        <w:t xml:space="preserve">The Parties hereby establish a Free Trade Commission (Commission), composed of government representatives of each Party at the level of Ministers or their designees.</w:t>
      </w:r>
    </w:p>
    <w:p>
      <w:pPr>
        <w:pStyle w:val="Heading2"/>
      </w:pPr>
      <w:bookmarkStart w:id="900978" w:name="_Toc300000977"/>
      <w:r>
        <w:t xml:space="preserve">Article 30.2: Functions of the Commission</w:t>
      </w:r>
      <w:bookmarkEnd w:id="900978"/>
    </w:p>
    <w:p>
      <w:pPr>
        <w:pStyle w:val="Normal"/>
      </w:pPr>
      <w:r>
        <w:t xml:space="preserve">1. The Commission shall: (a) consider matters relating to the implementation or operation of this Agreement; (b) consider proposals to amend or modify this Agreement; (c) supervise the work of committees, working groups, and other subsidiary bodies established under this Agreement; (d) consider ways to further enhance trade and investment between the Parties; (e) adopt and update the Rules of Procedure and Code of Conduct applicable to dispute settlement proceedings; and (f) review the roster established under Article 31.8 (Roster and Qualifications of Panelists) every three years and, when appropriate, constitute a new roster. 2. The Commission may: (a) establish, refer matters to, or consider matters raised by, an ad hoc or standing committee, working group, or other subsidiary body; (b) merge or dissolve a committee, working group, or other subsidiary body established under this Agreement in order to improve the functioning of this Agreement; (c) consider and adopt, subject to completion of applicable legal procedures by each Party, a modification to this Agreement of:</w:t>
      </w:r>
    </w:p>
    <w:p>
      <w:pPr>
        <w:pStyle w:val="Normal"/>
      </w:pPr>
      <w:r>
        <w:t>(i) the Schedules to Annex 2-B (Tariff Commitments), by accelerating tariff elimination or improving market access conditions, (ii) the adjustments to the Tariff Preferential Levels established in Chapter 6 (Textile and Apparel Goods), (iii) the rules of origin established in Annex 4-B (Product-Specific Rules of Origin), (iv) the minimum data requirements for the</w:t>
      </w:r>
    </w:p>
    <w:p>
      <w:pPr>
        <w:pStyle w:val="Normal"/>
      </w:pPr>
      <w:r>
        <w:t>certification of origin, (v) any provision as may be required to conform with any change to the Harmonized System, or (vi) the lists of entities, covered goods and services, and thresholds contained in the Schedules to Chapter 13 (Government Procurement); (d) develop arrangements for implementing this Agreement; (e) seek to resolve differences or disputes that may arise regarding the interpretation or application of this Agreement; (f) issue interpretations of the provisions of this Agreement;1 (g) seek the advice of non-governmental persons or groups; (h) modify any Uniform Regulations agreed jointly by the Parties under Article 5.16 (Uniform Regulations), subject to completion of applicable legal procedures by each Party; and (i) take any other action as the Parties may decide. 3. For the purposes of an action with respect to a provision that applies only as between two Parties, including the interpretation, amendment, or modification of that provision, the Commission shall be composed of, and decisions taken by, the Commission representatives of those Parties.</w:t>
      </w:r>
    </w:p>
    <w:p>
      <w:pPr>
        <w:pStyle w:val="Heading2"/>
      </w:pPr>
      <w:bookmarkStart w:id="900979" w:name="_Toc300000978"/>
      <w:r>
        <w:t xml:space="preserve">Article 30.3: Decision-Making</w:t>
      </w:r>
      <w:bookmarkEnd w:id="900979"/>
    </w:p>
    <w:p>
      <w:pPr>
        <w:pStyle w:val="Normal"/>
      </w:pPr>
      <w:r>
        <w:t xml:space="preserve">The Commission and subsidiary bodies established under this Agreement shall take decisions by consensus, except as otherwise provided in this Agreement, as otherwise decided by the Parties, or as provided for in Article 30.2.3 (Functions of the Commission). Unless otherwise For greater certainty, interpretations issued by the Commission are binding for tribunals and panels established under Chapter 14 (Investment) and Chapter 31 (Dispute Settlement). provided in this Agreement, the Commission or a subsidiary body shall be deemed to have taken a decision by consensus if all Parties are present at a meeting when a decision is taken and no Party present at the meeting when a decision is taken objects to the proposed decision.</w:t>
      </w:r>
    </w:p>
    <w:p>
      <w:pPr>
        <w:pStyle w:val="Heading2"/>
      </w:pPr>
      <w:bookmarkStart w:id="900980" w:name="_Toc300000979"/>
      <w:r>
        <w:t xml:space="preserve">Article 30.4: Rules of Procedure of the Commission and Subsidiary Bodies</w:t>
      </w:r>
      <w:bookmarkEnd w:id="900980"/>
    </w:p>
    <w:p>
      <w:pPr>
        <w:pStyle w:val="Normal"/>
      </w:pPr>
      <w:r>
        <w:t xml:space="preserve">1. The Commission shall meet within one year of the date of entry into force of this Agreement and thereafter as the Parties may decide, including as necessary to fulfil its functions under Article 30.2 (Functions of the Commission). Meetings of the Commission shall be chaired successively by each Party. 2. The Party chairing a meeting of the Commission shall provide any necessary administrative support for the meeting. 3. Unless otherwise provided in this Agreement, the Commission and a subsidiary body established under this Agreement shall carry out its work through whatever means are appropriate, which may include electronic mail or videoconferencing. 4. The Commission and a subsidiary body established under this Agreement may establish rules of procedures for the conduct of its work.</w:t>
      </w:r>
    </w:p>
    <w:p>
      <w:pPr>
        <w:pStyle w:val="Heading2"/>
      </w:pPr>
      <w:bookmarkStart w:id="900981" w:name="_Toc300000980"/>
      <w:r>
        <w:t xml:space="preserve">Article 30.5: Agreement Coordinator and Contact Points</w:t>
      </w:r>
      <w:bookmarkEnd w:id="900981"/>
    </w:p>
    <w:p>
      <w:pPr>
        <w:pStyle w:val="Normal"/>
      </w:pPr>
      <w:r>
        <w:t xml:space="preserve">1. Each Party shall designate an Agreement Coordinator to facilitate communications between the Parties on any matter covered by this Agreement, as well as other contact points as required by this Agreement. 2. Unless otherwise provided in this Agreement, each Party shall notify the other Parties in writing of its Agreement Coordinator and any other contact point provided for in this Agreement no later than 60 days after the date of entry into force of this Agreement. 3. Each Party shall promptly notify the other Parties, in writing, of any changes to its Agreement Coordinator or any other contact point. 4. On the request of another Party, the Agreement Coordinator shall identify the office or official responsible for a matter and assist, as necessary, in facilitating communication with the requesting Party.</w:t>
      </w:r>
    </w:p>
    <w:p>
      <w:pPr>
        <w:pStyle w:val="Heading2"/>
      </w:pPr>
      <w:bookmarkStart w:id="900982" w:name="_Toc300000981"/>
      <w:r>
        <w:t xml:space="preserve">Article 30.6: The Secretariat</w:t>
      </w:r>
      <w:bookmarkEnd w:id="900982"/>
    </w:p>
    <w:p>
      <w:pPr>
        <w:pStyle w:val="Normal"/>
      </w:pPr>
      <w:r>
        <w:t xml:space="preserve">1. The Commission shall establish and oversee a Secretariat comprising national Sections. 2. Each Party shall: (a) establish and maintain a permanent office of its Section and be responsible for its operation and costs; (b) designate an individual to serve as Secretary for its Section, who shall be responsible for its administration and management; and (c) notify the other Parties of the contact information for its Section’s office. 3. The Secretariat shall: (a) provide assistance to the Commission; (b) provide administrative assistance to: (i) panels and committees established under Section D of Chapter 10 (Review and Dispute Settlement in Antidumping and Countervailing Duty Matters), and (ii) panels established under Chapter 31 (Dispute Settlement); (c) be responsible for the payment of remuneration to and expenses of panelists, assistants, and experts involved in dispute settlement proceedings under Chapter 31 (Dispute Settlement); and (d) as the Commission may direct: (i) support the work of other committees and groups established under this Agreement, and (ii) otherwise facilitate the operation of this Agreement.</w:t>
      </w:r>
    </w:p>
    <w:p>
      <w:pPr>
        <w:pStyle w:val="ModHeading"/>
      </w:pPr>
      <w:bookmarkStart w:id="900983" w:name="_Toc300000982"/>
      <w:r>
        <w:t>CHAPTER 30: CUSMA 2.0 MODERNIZATION PROVISIONS</w:t>
      </w:r>
      <w:bookmarkEnd w:id="900983"/>
    </w:p>
    <w:p>
      <w:pPr>
        <w:pStyle w:val="Normal"/>
      </w:pPr>
      <w:r>
        <w:rPr>
          <w:i/>
        </w:rPr>
        <w:t>The provisions of this Part amend Chapter 30 (Administrative and Institutional Provisions).</w:t>
      </w:r>
    </w:p>
    <w:p>
      <w:pPr>
        <w:pStyle w:val="Heading2"/>
      </w:pPr>
      <w:bookmarkStart w:id="900984" w:name="_Toc300000983"/>
      <w:r>
        <w:t>Article 30.A: Institutional Architecture, Consolidated Structure</w:t>
      </w:r>
      <w:bookmarkEnd w:id="900984"/>
    </w:p>
    <w:p>
      <w:pPr>
        <w:pStyle w:val="Normal"/>
      </w:pPr>
      <w:r>
        <w:t>1. Treaty-level institutional functions added by this modernization shall be assigned through the consolidated architecture in this Article and Article 30.C.1. A reference elsewhere in this Agreement to a panel, facility, registry, working group, or secretariat does not by itself create a separately staffed permanent institution where the function can be performed through the Commission, the Secretariat, an existing committee, a national authority, or an ad hoc roster mechanism.</w:t>
      </w:r>
    </w:p>
    <w:p>
      <w:pPr>
        <w:pStyle w:val="Normal"/>
      </w:pPr>
      <w:r>
        <w:t>(a) the treaty-integrity functions described in Article 35.28 are performed within the Secretariat under Article 30.6 and include administration of the North American Trade Measures Registry, the Shared Trade Data Registry, any activated escrow or compensation mechanism, and administrative support for verification teams;</w:t>
      </w:r>
    </w:p>
    <w:p>
      <w:pPr>
        <w:pStyle w:val="Normal"/>
      </w:pPr>
      <w:r>
        <w:t>(b) the North American Trade Verification mechanism in Article 35.10 operates through ad hoc Verification Teams drawn from maintained rosters and lists and is not a separately staffed permanent panel;</w:t>
      </w:r>
    </w:p>
    <w:p>
      <w:pPr>
        <w:pStyle w:val="Normal"/>
      </w:pPr>
      <w:r>
        <w:t>(c) oversight of Chapter 35 is exercised by the Commission, which may convene designated senior officials in a treaty-integrity session under Article 35.28 without creating a separate permanent committee;</w:t>
      </w:r>
    </w:p>
    <w:p>
      <w:pPr>
        <w:pStyle w:val="Normal"/>
      </w:pPr>
      <w:r>
        <w:t xml:space="preserve">(d) the Economic Security and Supply Chain Resilience Subcommittee (Article 36.3), under the North American Competitiveness Committee;</w:t>
      </w:r>
      <w:r>
        <w:rPr>
          <w:b/>
        </w:rPr>
        <w:t/>
      </w:r>
      <w:r>
        <w:t xml:space="preserve"/>
      </w:r>
    </w:p>
    <w:p>
      <w:pPr>
        <w:pStyle w:val="Normal"/>
      </w:pPr>
      <w:r>
        <w:t xml:space="preserve">(e) the </w:t>
      </w:r>
      <w:r>
        <w:rPr>
          <w:b/>
        </w:rPr>
        <w:t>Committee on Digital Trade Cooperation</w:t>
      </w:r>
      <w:r>
        <w:t xml:space="preserve"> (Article 19.F), reporting directly to the Commission;</w:t>
      </w:r>
    </w:p>
    <w:p>
      <w:pPr>
        <w:pStyle w:val="Normal"/>
      </w:pPr>
      <w:r>
        <w:t xml:space="preserve">(f) the </w:t>
      </w:r>
      <w:r>
        <w:rPr>
          <w:b/>
        </w:rPr>
        <w:t>Emergency Trade Coordination Body</w:t>
      </w:r>
      <w:r>
        <w:t xml:space="preserve"> (Article 38.5), activated only as provided in Chapter 38; and</w:t>
      </w:r>
    </w:p>
    <w:p>
      <w:pPr>
        <w:pStyle w:val="Normal"/>
      </w:pPr>
      <w:r>
        <w:t xml:space="preserve">(g) the </w:t>
      </w:r>
      <w:r>
        <w:rPr>
          <w:b/>
        </w:rPr>
        <w:t>Grid Resilience Working Group</w:t>
      </w:r>
      <w:r>
        <w:t xml:space="preserve"> (Article 40.3), under the Subcommittee in subparagraph (d).</w:t>
      </w:r>
    </w:p>
    <w:p>
      <w:pPr>
        <w:pStyle w:val="Normal"/>
      </w:pPr>
      <w:r>
        <w:t>2. Each body or function listed in paragraph 1 shall use the rules, meeting frequency, reporting route, and administrative support specified in its constitutive Article. Reporting shall be consolidated wherever practicable so that substantially identical information is not required by multiple bodies. No additional permanent body is created by this modernization unless the Commission satisfies Article 30.C.1 and the Agreement expressly authorizes its creation.</w:t>
      </w:r>
    </w:p>
    <w:p>
      <w:pPr>
        <w:pStyle w:val="Normal"/>
      </w:pPr>
      <w:r>
        <w:t>3. EXPRESS INSTITUTION ESTABLISHMENT AND ADMINISTRATIVE ALLOCATION. An express Article establishing a body or function and fixing its implementation deadline authorizes that establishment and satisfies the substantive authorization limb of Article 30.C.1. The Commission records the operational need, existing alternatives, staffing allocation, reporting route, and administrative burden within that deadline, using existing institutions wherever they can deliver the expressly required function. That administrative determination neither cancels the express establishment nor postpones its deadline or associated benefits, reduces an expressly fixed budget, withholds required staffing, or conditions treaty-required funding on an additional operational-need approval. A separately staffed permanent institution beyond the expressly established mandate remains subject to Article 30.C.1 and the required amendment authority.</w:t>
      </w:r>
    </w:p>
    <w:p>
      <w:pPr>
        <w:pStyle w:val="Heading2"/>
      </w:pPr>
      <w:bookmarkStart w:id="900985" w:name="_Toc300000984"/>
      <w:r>
        <w:t>Article 30.B: Secretariat Functions</w:t>
      </w:r>
      <w:bookmarkEnd w:id="900985"/>
    </w:p>
    <w:p>
      <w:pPr>
        <w:pStyle w:val="Normal"/>
      </w:pPr>
      <w:r>
        <w:t>1. Article 30.6 (The Secretariat) is supplemented as follows: the Secretariat shall also be responsible for:</w:t>
      </w:r>
    </w:p>
    <w:p>
      <w:pPr>
        <w:pStyle w:val="Normal"/>
      </w:pPr>
      <w:r>
        <w:t>(a) performing the treaty-integrity administrative functions assigned by Article 35.28, including operation of the Registry and Shared Trade Data Registry and administration of any escrow or compensation mechanism activated in accordance with this Agreement;</w:t>
      </w:r>
    </w:p>
    <w:p>
      <w:pPr>
        <w:pStyle w:val="Normal"/>
      </w:pPr>
      <w:r>
        <w:t>(b) technical and administrative support to ad hoc Verification Teams and other roster-based proceedings;</w:t>
      </w:r>
    </w:p>
    <w:p>
      <w:pPr>
        <w:pStyle w:val="Normal"/>
      </w:pPr>
      <w:r>
        <w:t>(c) administrative support to the bodies listed in Article 30.A.</w:t>
      </w:r>
    </w:p>
    <w:p>
      <w:pPr>
        <w:pStyle w:val="Normal"/>
      </w:pPr>
      <w:r>
        <w:t>2. SECRETARIAT SINGLE ACTOR AND RESPONSIBLE SECTION. Unless a constitutive provision expressly assigns a different Section, a Secretariat function serving a proceeding with exactly two participating Parties and no third Party joined under Article 31.6(5) is performed by the national Section of the third Party, provided that Section has no disclosed conflict, and its Secretary is the senior official responsible for rule-bound administration. For a proceeding with all three Parties participating, a standing common registry, or a proceeding with no unconflicted uninvolved Section, the responsible Section rotates annually Canada-Mexico-United States beginning with Canada on Protocol commencement, and the Secretary performs administrative functions under published treaty criteria with disclosure, recusal, and no substantive adjudicative discretion. Receipt by any Section is receipt by the Secretariat, that Section transmits the material immediately to the responsible Section, and one proceeding identifier and one common record prevent competing authoritative notices. If the responsible Secretary or Section is conflicted or fails to perform a required act when due, the next non-conflicted Section in that rotation performs it immediately on the same record without a renewed clock or Party consent, and Annex 34-H applies if no Section can perform it, subject throughout to the constitutive provision’s own assignment, deemed-completeness, expiry, and substitution rules, which prevail and cannot be reopened by a late act or failover notice.</w:t>
      </w:r>
    </w:p>
    <w:p>
      <w:pPr>
        <w:pStyle w:val="Normal"/>
      </w:pPr>
      <w:r>
        <w:t>3. SECRETARIAT PORTAL AND REFERRAL FUNCTIONS. The responsible Secretary under paragraph 2 records a recurring issue within five days after receipt of at least two documented instances involving distinct transactions or affected persons, identifying the repeated procedure or requirement and a material effect on customs, certification, regulatory compliance, border processing, or treaty implementation. A substantiated referral identifies the source material, repeated feature, affected trade or persons, responsible authority, and competent existing committee, without deciding breach or creating an investigatory or remedy power. The Secretary circulates that referral to the committee and the Parties within ten days after the recording deadline, so failure to record cannot postpone referral, and preserves confidentiality and the administrative functions in Article 35.28. Portal submissions create neither private treaty standing nor a presumption of noncompliance, and a single allegation remains available for independently authorized procedures without being called a recurring pattern.</w:t>
      </w:r>
    </w:p>
    <w:p>
      <w:pPr>
        <w:pStyle w:val="Heading2"/>
      </w:pPr>
      <w:bookmarkStart w:id="900986" w:name="_Toc300000985"/>
      <w:r>
        <w:t>Article 30.C: Institutional Deadlines and Anti-Deadlock</w:t>
      </w:r>
      <w:bookmarkEnd w:id="900986"/>
    </w:p>
    <w:p>
      <w:pPr>
        <w:pStyle w:val="Normal"/>
      </w:pPr>
      <w:r>
        <w:t>1. Where this Agreement requires a committee or the Commission to act and fixes no deadline, a Party’s written request delivered through the Secretariat places the matter on the body’s agenda on the delivery date. The body acts within ninety days after that date, and the Secretariat circulates the request within two days without making circulation or a meeting vote the clock trigger. If the deadline expires without action, the Secretariat records the omission and notifies the Parties, and the requesting Party may invoke Annex 34-H for a function within its substitution rules or otherwise available consultations and dispute settlement for the unperformed obligation. Expiry does not itself enact an amendment, create a benefit or remedy requiring an independent legal basis, or suspend an acquired treaty right.</w:t>
      </w:r>
    </w:p>
    <w:p>
      <w:pPr>
        <w:pStyle w:val="Normal"/>
      </w:pPr>
      <w:r>
        <w:t>2. A body shall not fail to meet a treaty-mandated function by reason of a vacancy or non-designation; the anti-deadlock procedures of Article 31.8 as amended and Article 31.C apply, mutatis mutandis, to rosters, lists, and appointments under this Agreement.</w:t>
      </w:r>
    </w:p>
    <w:p>
      <w:pPr>
        <w:pStyle w:val="Normal"/>
      </w:pPr>
      <w:r>
        <w:t>3. NEUTRAL LIST COMPOSITION AND DEFAULT COMPLETION. For Article 35.10 verification and every administrative incorporation of its Joint List, all nine Joint List members are non-nationals of every Party, and that specific rule controls the inconsistent one-third wording in Article 31.C(7). Where consensus has not filled a required Joint List vacancy within sixty days after Protocol commencement for an initially unfilled seat or after Secretariat receipt of notice of a later vacancy, the Secretariat publishes an open call and accepts Party and independent nominations for fifteen days, screens only for the express qualifications, relevant specialization, non-nationality, and independence requirements, and publishes the eligible pool with reasons for exclusion. The responsible Secretary under Article 30.B(2) fills the missing seats by a recorded random draw from that eligible pool, subject to the existing five-day conflict-challenge procedure, without preferred-candidate discretion or a national fallback. For other rosters and lists, Article 31.C default selection applies only within their own eligibility and mandate, using the same objective vacancy-completion route where no qualified pool exists, and no administrative incorporation imports tariff-only qualifications into a distinct technical or professional proceeding.</w:t>
      </w:r>
    </w:p>
    <w:p>
      <w:pPr>
        <w:spacing w:after="0" w:before="0"/>
        <w:contextualSpacing w:val="0"/>
      </w:pPr>
      <w:r>
        <w:t>4. SPECIALIST QUALIFICATION POOLS. For Articles 23.C, 24.C, 24-W.34, 17.21(6), and 23-B.11(g), the Secretariat maintains separate administrative pools for labor enforcement, environmental enforcement, legacy-well evidence review, financial-services law or regulatory practice, labor law or practice, environmental law or practice, and Board-review panelists with international-law, treaty-dispute, labor-law, or social-protection expertise, without creating a permanent body or requiring trade Roster or Joint List membership. A candidate provides documented relevant professional qualifications, at least five years of relevant practice, availability, nationality, and the disclosures required by Article 35.10(10), and a candidate for a panel seat additionally satisfies Article 31.8(2) and (5) and the seat’s express subject-matter requirement, with every Party and independent professional permitted to nominate. The responsible Secretary screens only those published criteria and the proceeding’s stated expertise, publishes admissions and reasoned exclusions subject to privacy protection, and has no discretion to choose a preferred person from an eligible pool. A neutral pool contains only eligible non-nationals of every Party who are independent of the disputed conduct, record, claimant, or authority, and admission to a technical pool does not establish qualification for a panel seat, for which separate screening is required.</w:t>
      </w:r>
    </w:p>
    <w:p>
      <w:pPr>
        <w:spacing w:before="0" w:after="0"/>
        <w:contextualSpacing w:val="0"/>
      </w:pPr>
    </w:p>
    <w:p>
      <w:pPr>
        <w:spacing w:after="0" w:before="0"/>
        <w:contextualSpacing w:val="0"/>
      </w:pPr>
      <w:r>
        <w:t>5. SPECIALIST SEAT ALLOCATION AND EMPTY POOL. In a labor or environmental complaint naming an initiating and responding Party, one seat is drawn from each Party’s qualified nominees and the chair from the neutral specialist pool, while every legacy-well referral uses three neutral specialists with one designated chair by lot. If a Party’s qualified nominees are unavailable, that seat is filled from the neutral specialist pool without changing the expertise requirement or giving that Party a veto. Within one day after a referral or replacement need, the Secretary opens any deficient pool to Party and independent nominations for two days, screens by day four, and completes a recorded random draw by day five, accepting qualified candidates outside the trade lists. If fewer than the required qualified independent candidates are available by day five, the Secretary records the missing qualification, repeats two-day calls only through day thirty after the original referral or replacement notice, and then applies paragraph 8 without treating an unqualified person or incomplete Team as validly constituted.</w:t>
      </w:r>
    </w:p>
    <w:p>
      <w:pPr>
        <w:spacing w:before="0" w:after="0"/>
        <w:contextualSpacing w:val="0"/>
      </w:pPr>
    </w:p>
    <w:p>
      <w:pPr>
        <w:spacing w:after="240"/>
      </w:pPr>
      <w:r>
        <w:t>6. SPECIALIST INDEPENDENCE COMPENSATION AND REPLACEMENT. Article 35.10(10)’s disclosure, reasonable-apprehension-of-bias recusal, two-year cooling-off, public disclosure register, and five-day replacement rules apply expressly to every specialist appointed under paragraphs 4 and 5, including persons outside the Roster and Joint List. Compensation uses the Commission’s published expert-service scale or, pending that scale, a daily cap equal to the median of three independent written market quotations for the relevant expertise obtained and published by the Secretary before service, with documented reasonable travel costs reimbursed separately. Absence of a permanent compensation scale does not prevent appointment, and a Party cannot control appointment by refusing to nominate, approve a fee, or supply a national candidate. The five-day specialist replacement period runs from notification of a vacancy or recusal, controls over Articles 30.C(3) and 31.C’s sixty-day roster-completion periods for these teams, and does not extend a merits or cure deadline unless the governing article expressly permits an extension.</w:t>
      </w:r>
    </w:p>
    <w:p>
      <w:pPr>
        <w:spacing w:after="0" w:before="0"/>
        <w:contextualSpacing w:val="0"/>
      </w:pPr>
      <w:r>
        <w:t>7. SPECIALIST POOL READINESS AND DEFAULT PRIORITY. Within thirty days after Protocol commencement, the Secretariat opens nominations for each pool and publishes the qualified available candidates, with continuing general nominations permitted thereafter. For the technical Teams under Articles 23.C, 24.C, and 24-W.34, paragraphs 5 and 8 constitute express specific exceptions to Annex 34-H(1), (2), and (5) solely concerning constitution, substitution, and the verification gate, and prevail over an inconsistent default permitting an interim trade panel or incomplete Team to perform that technical verification. An existing body may supply administrative screening, receipt, or transmission under Annex 34-H, or qualified members screened and drawn under paragraph 5, but it cannot substitute its own merits report for the required three qualified independent members, waive protected-review rights, or infer adverse facts from pool emptiness. Paragraph 9 governs panel-seat appointments separately, and specialist appointment imports no distortion, tariff, or trade-adjustment jurisdiction or power to waive the substantive, nexus, cure, or restoration rules otherwise applicable.</w:t>
      </w:r>
    </w:p>
    <w:p>
      <w:pPr>
        <w:spacing w:before="0" w:after="0"/>
        <w:contextualSpacing w:val="0"/>
      </w:pPr>
    </w:p>
    <w:p>
      <w:pPr>
        <w:spacing w:after="0" w:before="0"/>
        <w:contextualSpacing w:val="0"/>
      </w:pPr>
      <w:r>
        <w:t>8. TECHNICAL TEAM UNAVAILABILITY AND VERIFICATION GATE. At day thirty after the original referral or replacement notice, if a required technical Team still cannot be fully constituted, the responsible Secretary closes that constitution attempt without a merits finding, gives the referring Party or Board and affected persons the reasons and preserved record, and records the verification requirement as unsatisfied rather than deemed completed or excused. For Articles 23.C and 24.C the suspension or covered-border-measure gate remains closed for that complaint until a validly constituted Team supplies the required report, while consultation, ordinary panel adjudication, and independently authorized facility-specific procedures retain their own routes and neither a roster default nor an interim trade panel satisfies this technical gate. For Article 24-W.34, no adverse Annex restriction arises from the failed verification alone, competent domestic evidence and existing independently authorized administration remain usable within their mandates, and a pending cure question or existing restriction is governed by Article 24-W.35(3) rather than prolonged by the appointment failure. The Secretary continues general pool recruitment and notifies the original referrer when the necessary qualified members become available, and that referrer may reopen constitution on the preserved record without a new limitation bar caused solely by administrative delay, with the report period beginning only on full constitution and no automatic merits consequence from the earlier closure.</w:t>
      </w:r>
    </w:p>
    <w:p>
      <w:pPr>
        <w:spacing w:before="0" w:after="0"/>
        <w:contextualSpacing w:val="0"/>
      </w:pPr>
    </w:p>
    <w:p>
      <w:pPr>
        <w:spacing w:after="0" w:before="0"/>
        <w:contextualSpacing w:val="0"/>
      </w:pPr>
      <w:r>
        <w:t>9. PANEL POOL USE AND DEFAULT SELECTION. For panel seats under Articles 17.21(6), 23.C(9), 24.C(9), and 23-B.11(g), the pools in paragraph 4 supply independently screened candidates satisfying the panel’s own expertise, nationality, independence, and Code of Conduct requirements, and do not confer technical-Team jurisdiction on those panelists. Except where Article 17.21(6) or 23-B.11(g)(iii) expressly supplies a different method or deadline, the disputing Parties retain Article 31.9’s seat-selection authority and citizenship criteria, and the Secretary supplies candidates from the matching qualified nationality pool and draws only a seat left unfilled when its applicable selection period expires, with Article 31.9’s fifteen-day challenge procedure preserved subject to its express necessary-expertise exception. Within one day after panel-request delivery or notice of a later vacancy, the Secretary opens any deficient candidate pool to Party and independent nominations, screens by day four, and draws any seat then eligible for default appointment by day five without extending its controlling appointment deadline, while a seat with no qualified available candidate remains unfilled and is publicly recorded with the missing qualification and further nominations accepted until filled. An unfilled panel seat neither authorizes an unqualified appointment nor proves the merits, and Article 23-B.11(g)(iv) supplies that review’s collection-hold endpoint while other panel proceedings retain their independently applicable consequences and deadlines.</w:t>
      </w:r>
    </w:p>
    <w:p>
      <w:pPr>
        <w:spacing w:before="0" w:after="0"/>
        <w:contextualSpacing w:val="0"/>
      </w:pPr>
    </w:p>
    <w:p>
      <w:pPr>
        <w:pStyle w:val="Heading2"/>
      </w:pPr>
      <w:bookmarkStart w:id="900987" w:name="_Toc300000986"/>
      <w:r>
        <w:t>Article 30.C.1: No-Unnecessary-Institution Rule</w:t>
      </w:r>
      <w:bookmarkEnd w:id="900987"/>
    </w:p>
    <w:p>
      <w:pPr>
        <w:pStyle w:val="Normal"/>
      </w:pPr>
      <w:r>
        <w:t>1. Before establishing, activating, or separately staffing a new permanent body, facility, secretariat, registry authority, or standing panel, the Commission shall determine whether the function can reasonably be assigned to the Commission, Secretariat, an existing committee or subcommittee, a customs or other competent national administration, a national contact point, or an ad hoc technical or adjudicative group.</w:t>
      </w:r>
    </w:p>
    <w:p>
      <w:pPr>
        <w:pStyle w:val="Normal"/>
      </w:pPr>
      <w:r>
        <w:t>2. A new permanent institution shall be created only where this Agreement expressly authorizes it and the Commission records a specific operational need that cannot be met efficiently through existing institutions or an ad hoc mechanism. The determination shall identify the proposed mandate, relationship to existing bodies, expected administrative burden, reporting line, and a review or sunset point where appropriate.</w:t>
      </w:r>
    </w:p>
    <w:p>
      <w:pPr>
        <w:pStyle w:val="Normal"/>
      </w:pPr>
      <w:r>
        <w:t>3. Existing bodies may receive additional administrative functions without renaming, duplicating, or multiplying institutions, provided substantive authority is not expanded beyond this Agreement without the required amendment procedure. Where two provisions assign substantially overlapping administrative functions, the Commission shall consolidate implementation under the narrower existing body or the Secretariat and publish the resulting allocation of responsibility.</w:t>
      </w:r>
    </w:p>
    <w:p>
      <w:pPr>
        <w:pStyle w:val="Normal"/>
      </w:pPr>
      <w:r>
        <w:t>4. The Secretariat shall maintain a public institutional map showing each body's or standing function's mandate, principal contact route, reporting line, and relationship to overlapping provisions. The map is explanatory only and does not amend this Agreement.</w:t>
      </w:r>
    </w:p>
    <w:p>
      <w:pPr>
        <w:pStyle w:val="Normal"/>
      </w:pPr>
      <w:r>
        <w:t>5. INHERITED COMMENCEMENT CLOCKS. In Chapters 11 through 19 and 21 through 30, a period in inherited CUSMA text running from the Agreement’s entry into force continues to run from the CUSMA’s original entry into force on July 1, 2020 and is not restarted by the Protocol of Modernization. A completed one-time establishment, notification, or transition step is not imposed again solely because that inherited wording is reproduced, while a still-unperformed duty and any independently actionable past noncompliance remain subject to the controlling treaty rules. Recurring meetings, reporting, disclosure, and continuing substantive obligations remain in force according to their terms. A new modernization obligation or an expressly restarted period runs from the commencement specified for that obligation, and this paragraph does not extend an exception whose inherited transition period has ended.</w:t>
      </w:r>
    </w:p>
    <w:p>
      <w:pPr>
        <w:spacing w:after="0" w:before="0"/>
        <w:contextualSpacing w:val="0"/>
      </w:pPr>
      <w:r>
        <w:t>6. INHERITED CLOCK RECORD AND OTHER CHAPTERS. In paragraph 5, inherited CUSMA text means provisions carried forward from the 2018 Agreement as amended by its 2019 Protocol, excluding new NAESTMA obligations and any period expressly restarted by the Protocol of Modernization. The responsible Party supplies dated implementation or notification records to the Secretariat, which records a step as completed only on evidence that its specified act and deadline were satisfied, records an unsupported or incomplete step as unperformed, and gives reasons subject to correction and otherwise available Party dispute settlement. That administrative record does not finally adjudicate compliance or extinguish accrued claims, and a competent panel decides a contested treaty consequence. Paragraph 5’s chapter list limits that paragraph’s operative application, and silence on Chapters 1 through 10, 20, and 31 through 34 supplies no inference that their inherited clocks restart or expire differently; their own commencement and transition provisions remain controlling.</w:t>
      </w:r>
    </w:p>
    <w:p>
      <w:pPr>
        <w:spacing w:before="0" w:after="0"/>
        <w:contextualSpacing w:val="0"/>
      </w:pPr>
    </w:p>
    <w:p>
      <w:pPr>
        <w:pStyle w:val="Heading1"/>
      </w:pPr>
      <w:bookmarkStart w:id="900988" w:name="_Toc300000987"/>
      <w:r>
        <w:t>CHAPTER 31 DISPUTE SETTLEMENT</w:t>
      </w:r>
      <w:r>
        <w:br/>
      </w:r>
      <w:r>
        <w:t>Section A: Dispute Settlement</w:t>
      </w:r>
      <w:bookmarkEnd w:id="900988"/>
    </w:p>
    <w:p>
      <w:pPr>
        <w:pStyle w:val="Heading2"/>
      </w:pPr>
      <w:bookmarkStart w:id="900989" w:name="_Toc300000988"/>
      <w:r>
        <w:t xml:space="preserve">Article 31.1: Cooperation</w:t>
      </w:r>
      <w:bookmarkEnd w:id="900989"/>
    </w:p>
    <w:p>
      <w:pPr>
        <w:pStyle w:val="Normal"/>
      </w:pPr>
      <w:r>
        <w:t xml:space="preserve">The Parties shall at all times endeavor to agree on the interpretation and application of this Agreement, and shall make every attempt through cooperation and consultations to arrive at a mutually satisfactory resolution of a matter that might affect its operation or application.</w:t>
      </w:r>
    </w:p>
    <w:p>
      <w:pPr>
        <w:pStyle w:val="Heading2"/>
      </w:pPr>
      <w:bookmarkStart w:id="900990" w:name="_Toc300000989"/>
      <w:r>
        <w:t xml:space="preserve">Article 31.2: Scope</w:t>
      </w:r>
      <w:bookmarkEnd w:id="900990"/>
    </w:p>
    <w:p>
      <w:pPr>
        <w:pStyle w:val="Normal"/>
      </w:pPr>
      <w:r>
        <w:t xml:space="preserve">1. Unless otherwise provided for in this Agreement, the dispute settlement provisions of this Chapter apply: (a) with respect to the avoidance or settlement of disputes between the Parties regarding the interpretation or application of this Agreement; (b) when a Party considers that an actual or proposed measure of another Party is or would be inconsistent with an obligation of this Agreement or that another Party has otherwise failed to carry out an obligation of this Agreement; or (c) when a Party considers that a benefit it could reasonably have expected to accrue to it under Chapter 2 (National Treatment and Market Access for Goods), Chapter 3 (Agriculture), Chapter 4 (Rules of Origin), Chapter 5 (Origin Procedures), Chapter 6 (Textile and Apparel Goods), Chapter 7 (Customs Administration and Trade Facilitation), Chapter 9 (Sanitary and Phytosanitary Measures), Chapter 11 (Technical Barriers to Trade), Chapter 13 (Government Procurement), Chapter 15 (Cross-Border Trade in Services), or Chapter 20 (Intellectual Property Rights), is being nullified or impaired as a result of the application of a measure of another Party that is not inconsistent with this Agreement.</w:t>
      </w:r>
    </w:p>
    <w:p>
      <w:pPr>
        <w:pStyle w:val="Heading2"/>
      </w:pPr>
      <w:bookmarkStart w:id="900991" w:name="_Toc300000990"/>
      <w:r>
        <w:t xml:space="preserve">Article 31.3: Choice of Forum</w:t>
      </w:r>
      <w:bookmarkEnd w:id="900991"/>
    </w:p>
    <w:p>
      <w:pPr>
        <w:pStyle w:val="Normal"/>
      </w:pPr>
      <w:r>
        <w:t xml:space="preserve">1. If a dispute regarding a matter arises under this Agreement and under another international trade agreement to which the disputing Parties are party, including the WTO Agreement, the complaining Party may select the forum in which to settle the dispute. 2. Once a complaining Party has requested the establishment of, or referred a matter to, a panel under this Chapter or a panel or tribunal under an agreement referred to in paragraph 1, the forum selected shall be used to the exclusion of other fora.</w:t>
      </w:r>
    </w:p>
    <w:p>
      <w:pPr>
        <w:pStyle w:val="Heading2"/>
      </w:pPr>
      <w:bookmarkStart w:id="900992" w:name="_Toc300000991"/>
      <w:r>
        <w:t xml:space="preserve">Article 31.4: Consultations</w:t>
      </w:r>
      <w:bookmarkEnd w:id="900992"/>
    </w:p>
    <w:p>
      <w:pPr>
        <w:pStyle w:val="Normal"/>
      </w:pPr>
      <w:r>
        <w:t xml:space="preserve">1. A Party may request consultations with another Party with respect to a matter described in Article 31.2 (Scope). 2. The Party making the request for consultations shall do so in writing, and shall set out the reasons for the request, including identification of the specific measure or other matter at issue and an indication of the legal basis for the complaint. 3. The requesting Party shall deliver the request concurrently to the other Parties through their respective Sections of the Secretariat, including a copy to its Section. 4. A third Party that considers it has a substantial interest in the matter may participate in the consultations by notifying the other Parties in writing through their respective Sections of the Secretariat, including a copy to its Section, no later than seven days after the date of delivery of the request for consultations. The Party shall include in its notice an explanation of its substantial interest in the matter. 5. Unless the consulting Parties decide otherwise, they shall enter into consultations no later than:</w:t>
      </w:r>
    </w:p>
    <w:p>
      <w:pPr>
        <w:pStyle w:val="Normal"/>
      </w:pPr>
      <w:r>
        <w:t>(a) 15 days after the date of delivery of the request for a matter concerning perishable goods;1 or (b) 30 days after the date of delivery of the request for all other matters. 6. The consulting Parties shall make every attempt to arrive at a mutually satisfactory resolution of a matter through consultations under this Article or other consultative provisions of this Agreement.</w:t>
      </w:r>
    </w:p>
    <w:p>
      <w:pPr>
        <w:pStyle w:val="Normal"/>
      </w:pPr>
      <w:r>
        <w:t>To this end: (a) each consulting Party shall provide sufficient information to enable a full examination of how the actual or proposed measure or other matter at issue might affect the operation or application of this Agreement; 1 For the purposes of this Chapter, perishable goods means perishable agricultural and fish goods classified in HS Chapters 1 through 24. (b) a Party that participates in the consultations shall treat the information exchanged in the course of consultations that is designated as confidential on the same basis as the Party providing the information; and (c) the consulting Parties shall seek to avoid a resolution that adversely affects the interests of another Party under this Agreement. 7. Consultations may be held in person or by a technological means available to the consulting Parties. If the consultations are held in person, they shall be held in the capital of the Party to which the request for consultations was made, unless the consulting Parties decide otherwise. 8.</w:t>
      </w:r>
    </w:p>
    <w:p>
      <w:pPr>
        <w:pStyle w:val="Normal"/>
      </w:pPr>
      <w:r>
        <w:t>In consultations under this Article, a consulting Party may request that another consulting Party make available personnel of its government agencies or other regulatory bodies who have expertise in the matter at issue. 9. Consultations shall be confidential and without prejudice to the rights of a Party in another proceeding.</w:t>
      </w:r>
    </w:p>
    <w:p>
      <w:pPr>
        <w:pStyle w:val="Heading2"/>
      </w:pPr>
      <w:bookmarkStart w:id="900993" w:name="_Toc300000992"/>
      <w:r>
        <w:t xml:space="preserve">Article 31.5: Commission, Good Offices, Conciliation, and Mediation</w:t>
      </w:r>
      <w:bookmarkEnd w:id="900993"/>
    </w:p>
    <w:p>
      <w:pPr>
        <w:pStyle w:val="Normal"/>
      </w:pPr>
      <w:r>
        <w:t xml:space="preserve">1. If the consulting Parties fail to resolve a matter pursuant to Article 31.4 (Consultations) within: (a) 30 days of delivery of the request for consultations; (b) 45 days of delivery of the request if another Party has subsequently requested or has participated in consultations regarding the same matter; (c) 15 days of delivery of the request for consultations in a matter regarding perishable goods; or (d) another period as they may decide, a consulting Party may request in writing a meeting of the Commission. 2. The requesting Party shall state in the request the measure or other matter complained of and indicate the provisions of this Agreement that it considers relevant, and shall deliver the request to the other Parties and to its Section of the Secretariat. 3. Unless it decides otherwise, the Commission2 shall convene within 10 days of delivery of the request and shall endeavor to resolve the dispute. 4. The Commission may: (a) call on technical advisers or create working groups or expert groups as it deems necessary;</w:t>
      </w:r>
    </w:p>
    <w:p>
      <w:pPr>
        <w:pStyle w:val="Normal"/>
      </w:pPr>
      <w:r>
        <w:t>(b) have recourse to good offices, conciliation, mediation, or other dispute resolution procedures; or (c) make recommendations, as may assist the consulting Parties to reach a mutually satisfactory resolution of the dispute. 5. Unless it decides otherwise, the Commission shall consolidate two or more proceedings before it pursuant to this Article regarding the same measure.</w:t>
      </w:r>
    </w:p>
    <w:p>
      <w:pPr>
        <w:pStyle w:val="Normal"/>
      </w:pPr>
      <w:r>
        <w:t>The Commission may consolidate two or more proceedings regarding other matters before it pursuant to this Article that it determines are appropriate to be considered jointly. 6. Parties may decide at any time to voluntarily undertake an alternative method of dispute resolution, such as good offices, conciliation, or mediation. 7. Proceedings that involve good offices, conciliation, or mediation shall be confidential and without prejudice to the rights of the Parties in another proceeding. 8. Parties participating in proceedings under this Article may suspend or terminate those proceedings. 9. If the disputing Parties decide, good offices, conciliation, or mediation may continue while a dispute proceeds for resolution before a panel established under Article 31.6 (Establishment of a Panel).</w:t>
      </w:r>
    </w:p>
    <w:p>
      <w:pPr>
        <w:pStyle w:val="Heading2"/>
      </w:pPr>
      <w:bookmarkStart w:id="900994" w:name="_Toc300000993"/>
      <w:r>
        <w:t xml:space="preserve">Article 31.6: Establishment of a Panel</w:t>
      </w:r>
      <w:bookmarkEnd w:id="900994"/>
    </w:p>
    <w:p>
      <w:pPr>
        <w:pStyle w:val="Normal"/>
      </w:pPr>
      <w:r>
        <w:t xml:space="preserve">1. If the Commission has convened pursuant to Article 31.5 (Commission, Good Offices, Conciliation, and Mediation), and the matter has not been resolved within: (a) 30 days thereafter; 2 For the purposes of this Article, the Commission shall be composed of, and decisions taken by the Commission representatives of the consulting Parties. (b) 30 days after the Commission has convened in respect of the matter most recently referred to it, if proceedings have been consolidated pursuant to Article 31.5.5 (Commission, Good Offices, Conciliation, and Mediation); or (c) another period as the consulting Parties may decide, a consulting Party may request the establishment of a panel by means of a written notice delivered to the responding Party through its Section of the Secretariat. 2. The complaining Party shall circulate the written notice concurrently to the other Parties through their respective Sections of the Secretariat. 3.</w:t>
      </w:r>
    </w:p>
    <w:p>
      <w:pPr>
        <w:pStyle w:val="Normal"/>
      </w:pPr>
      <w:r>
        <w:t>The complaining Party shall include in the request to establish a panel an identification of the measure or other matter at issue and a brief summary of the legal basis of the complaint sufficient to present the issue clearly. 4. On delivery of the request, the Commission shall establish a panel. 5.</w:t>
      </w:r>
    </w:p>
    <w:p>
      <w:pPr>
        <w:pStyle w:val="Normal"/>
      </w:pPr>
      <w:r>
        <w:t>A third Party that considers it has a substantial interest in the matter is entitled to join as a complaining Party on delivery of written notice of its intention to participate to the disputing Parties through their respective Sections of the Secretariat, including a copy to its Section. The third Party shall deliver the notice no later than seven days after the date of delivery of a request by a Party for the establishment of a panel. 6. Unless the disputing Parties decide otherwise, the panel shall be established and perform its functions in a manner consistent with this Chapter and the Rules of Procedure. 7. If a panel has been established regarding a matter and another Party requests the establishment of a panel regarding the same matter, a single panel should be established to examine those complaints whenever feasible.</w:t>
      </w:r>
    </w:p>
    <w:p>
      <w:pPr>
        <w:pStyle w:val="Heading2"/>
      </w:pPr>
      <w:bookmarkStart w:id="900995" w:name="_Toc300000994"/>
      <w:r>
        <w:t xml:space="preserve">Article 31.7: Terms of Reference</w:t>
      </w:r>
      <w:bookmarkEnd w:id="900995"/>
    </w:p>
    <w:p>
      <w:pPr>
        <w:pStyle w:val="Normal"/>
      </w:pPr>
      <w:r>
        <w:t xml:space="preserve">1. Unless the disputing Parties decide otherwise no later than 20 days after the date of delivery of the request for the establishment of a panel, the terms of reference shall be to: (a) examine, in the light of the relevant provisions of this Agreement, the matter referred to in the request for the establishment of a panel under Article 31.6 (Establishment of a Panel); and (b) make findings and determinations, and any jointly requested recommendations, together with its reasons therefor, as provided for in Article 31.17 (Panel Report). 2. If, in its request for the establishment of a panel, a complaining Party claims that a measure nullifies or impairs a benefit within the meaning of Article 31.2 (Scope), the terms of reference shall so indicate. 3. If a disputing Party wishes the panel to make findings as to the degree of adverse trade effects on a Party of a measure found not to conform with an obligation of this Agreement or to have caused nullification or impairment in the sense of Article 31.2(c) (Scope), the terms of reference shall so indicate.</w:t>
      </w:r>
    </w:p>
    <w:p>
      <w:pPr>
        <w:pStyle w:val="Heading2"/>
      </w:pPr>
      <w:bookmarkStart w:id="900996" w:name="_Toc300000995"/>
      <w:r>
        <w:t xml:space="preserve">Article 31.8: Roster and Qualifications of Panelists</w:t>
      </w:r>
      <w:bookmarkEnd w:id="900996"/>
    </w:p>
    <w:p>
      <w:pPr>
        <w:pStyle w:val="Normal"/>
      </w:pPr>
      <w:r>
        <w:t xml:space="preserve">1. The Parties shall establish by the date of entry into force of this Agreement and maintain a roster of up to 30 individuals who are willing to serve as panelists. The roster shall be appointed by consensus and remain in effect for a minimum of three years or until the Parties constitute a new roster. Members of the roster may be reappointed. 2. Each roster member and panelist shall: (a) have expertise or experience in international law, international trade, other matters covered by this Agreement, or the resolution of disputes arising under international trade agreements; (b) be selected on the basis of objectivity, reliability, and sound judgment; (c) be independent of, and not be affiliated with or take instructions from, a Party; and (d) comply with the Code of Conduct established by the Commission. 3. For a dispute arising under Chapter 23 (Labor) and Chapter 24 (Environment), each disputing Party shall select a panelist in accordance with the following requirements, in addition to those set out in paragraph 1:</w:t>
      </w:r>
    </w:p>
    <w:p>
      <w:pPr>
        <w:pStyle w:val="Normal"/>
      </w:pPr>
      <w:r>
        <w:t>(a) in a dispute arising under Chapter 23 (Labor), panelists other than the chair shall have expertise or experience in labor law or practice; and (b) in a dispute arising under Chapter 24 (Environment), panelists other than the chair shall have expertise or experience in environmental law or practice. 4.</w:t>
      </w:r>
    </w:p>
    <w:p>
      <w:pPr>
        <w:pStyle w:val="Normal"/>
      </w:pPr>
      <w:r>
        <w:t>In disputes regarding specialized areas of law not set out in paragraph 3, the disputing Parties should select panelists to ensure that the necessary expertise is available on the panel. 5. An individual shall not serve as a panelist in the same dispute in which the individual has participated pursuant to Articles 31.4 (Consultations) or Article 31.5 (Commission, Good Offices, Conciliation, and Mediation).</w:t>
      </w:r>
    </w:p>
    <w:p>
      <w:pPr>
        <w:pStyle w:val="Heading2"/>
      </w:pPr>
      <w:bookmarkStart w:id="900997" w:name="_Toc300000996"/>
      <w:r>
        <w:t xml:space="preserve">Article 31.9: Panel Composition</w:t>
      </w:r>
      <w:bookmarkEnd w:id="900997"/>
    </w:p>
    <w:p>
      <w:pPr>
        <w:pStyle w:val="Normal"/>
      </w:pPr>
      <w:r>
        <w:t xml:space="preserve">1. If there are two disputing Parties, the following procedures shall apply: (a) The panel shall comprise five members. (b) The disputing Parties shall endeavor to decide on the chair of the panel within 15 days of the delivery of the request for the establishment of the panel. If the disputing Parties are unable to decide on the chair within this period, the disputing Party chosen by lot shall select within five days as chair an individual who is not a citizen of that Party. (c) Within 15 days of selection of the chair, each disputing Party shall select two panelists who are citizens of the other disputing Party. (d) If a disputing Party fails to select its panelists within that period, those panelists shall be selected by lot from among the roster members who are citizens of the other disputing Party. 2. If there are more than two disputing Parties, the following procedures apply: (a) The panel shall comprise five members.</w:t>
      </w:r>
    </w:p>
    <w:p>
      <w:pPr>
        <w:pStyle w:val="Normal"/>
      </w:pPr>
      <w:r>
        <w:t>(b) The disputing Parties shall endeavor to decide on the chair of the panel within 15 days of the delivery of the request for the establishment of the panel and, if the disputing Parties are unable to decide on the chair within this period, the Party or Parties on the side of the dispute chosen by lot shall select within 10 days a chair who is not a citizen of that Party or those Parties.</w:t>
      </w:r>
    </w:p>
    <w:p>
      <w:pPr>
        <w:pStyle w:val="Normal"/>
      </w:pPr>
      <w:r>
        <w:t>(c) Within 15 days of selection of the chair, the responding Party shall select two panelists, one of whom is a citizen of a complaining Party, and the other of whom is a citizen of another complaining Party and the complaining Parties shall select two panelists who are citizens of the responding Party. (d) If a disputing Party fails to select a panelist within that period, that panelist shall be selected by lot in accordance with the citizenship criteria of subparagraph (c). 3. A panelist shall normally be selected from the roster.</w:t>
      </w:r>
    </w:p>
    <w:p>
      <w:pPr>
        <w:pStyle w:val="Normal"/>
      </w:pPr>
      <w:r>
        <w:t>A disputing Party may exercise a peremptory challenge against an individual not on the roster who is proposed as a panelist by a disputing Party within 15 days after the individual has been proposed, unless no qualified and available individual on the roster possesses necessary specialized expertise, including as required by Article 31.8.3 (Roster and Qualifications of Panelists), in which case a disputing Party may not exercise a peremptory challenge but may raise concerns that the panelist does not meet the requirements of Article 31.8.2 (Roster and Qualifications of Panelists). 4. If a disputing Party believes that a panelist is in violation of the Code of Conduct, the disputing Parties shall consult and if they concur the panelist shall be removed and a new panelist shall be selected in accordance with this Article.</w:t>
      </w:r>
    </w:p>
    <w:p>
      <w:pPr>
        <w:pStyle w:val="Heading2"/>
      </w:pPr>
      <w:bookmarkStart w:id="900998" w:name="_Toc300000997"/>
      <w:r>
        <w:t xml:space="preserve">Article 31.10: Replacement of Panelists</w:t>
      </w:r>
      <w:bookmarkEnd w:id="900998"/>
    </w:p>
    <w:p>
      <w:pPr>
        <w:pStyle w:val="Normal"/>
      </w:pPr>
      <w:r>
        <w:t xml:space="preserve">1. If a panelist resigns, is removed, or becomes unable to serve, the time frames applicable to that panel’s proceeding shall be suspended until a replacement is appointed and shall be extended by the amount of time that the work was suspended. 2. If a panelist resigns, is removed, or becomes unable to serve on the panel, a replacement panelist shall be appointed within 15 days in accordance with the same method used to select the panelist in accordance with Article 31.9 (Panel Composition). 3. If a disputing Party believes that a panelist is in violation of the Code of Conduct, the disputing Parties shall consult. If they concur on removing the panelist, they shall be removed and a new panelist shall be selected in accordance with this Article.</w:t>
      </w:r>
    </w:p>
    <w:p>
      <w:pPr>
        <w:pStyle w:val="Heading2"/>
      </w:pPr>
      <w:bookmarkStart w:id="900999" w:name="_Toc300000998"/>
      <w:r>
        <w:t xml:space="preserve">Article 31.11: Rules of Procedure for Panels</w:t>
      </w:r>
      <w:bookmarkEnd w:id="900999"/>
    </w:p>
    <w:p>
      <w:pPr>
        <w:pStyle w:val="Normal"/>
      </w:pPr>
      <w:r>
        <w:t xml:space="preserve">The Rules of Procedure, established under this Agreement in accordance with Article 30.2 (Functions of the Commission), shall ensure that: (a) disputing Parties have the right to at least one hearing before the panel at which each may present views orally; (b) subject to subparagraph (f), a hearing before the panel shall be open to the public, unless the disputing Parties decide otherwise; (c) each disputing Party has an opportunity to provide an initial and a rebuttal written submission; (d) subject to subparagraph (f), each disputing Party’s written submissions, written version of an oral statement, and written response to a request or question from the panel, if any, are public as soon as possible after the documents are filed; (e) the panel shall consider requests from non-governmental entities located in the territory of a disputing Party to provide written views regarding the dispute that may assist the panel in evaluating the submissions and arguments of the disputing Parties; (f) confidential information is protected;</w:t>
      </w:r>
    </w:p>
    <w:p>
      <w:pPr>
        <w:pStyle w:val="Normal"/>
      </w:pPr>
      <w:r>
        <w:t>(g) written submissions and oral arguments shall be made in one of the languages of the Parties, unless the disputing Parties decide otherwise; and (h) unless the disputing Parties decide otherwise, hearings shall be held in the capital of the responding Party.</w:t>
      </w:r>
    </w:p>
    <w:p>
      <w:pPr>
        <w:pStyle w:val="Heading2"/>
      </w:pPr>
      <w:bookmarkStart w:id="901000" w:name="_Toc300000999"/>
      <w:r>
        <w:t xml:space="preserve">Article 31.12: Electronic Document Filing</w:t>
      </w:r>
      <w:bookmarkEnd w:id="901000"/>
    </w:p>
    <w:p>
      <w:pPr>
        <w:pStyle w:val="Normal"/>
      </w:pPr>
      <w:r>
        <w:t xml:space="preserve">The disputing Parties shall file all documents relating to a dispute, including written submissions, written versions of oral statements, and written responses to panel questions, by electronic means through their respective Sections of the Secretariat.</w:t>
      </w:r>
    </w:p>
    <w:p>
      <w:pPr>
        <w:pStyle w:val="Heading2"/>
      </w:pPr>
      <w:bookmarkStart w:id="901001" w:name="_Toc300001000"/>
      <w:r>
        <w:t xml:space="preserve">Article 31.13: Function of Panels</w:t>
      </w:r>
      <w:bookmarkEnd w:id="901001"/>
    </w:p>
    <w:p>
      <w:pPr>
        <w:pStyle w:val="Normal"/>
      </w:pPr>
      <w:r>
        <w:t xml:space="preserve">1. A panel’s function is to make an objective assessment of the matter before it and to present a report that contains: (a) findings of fact; (b) determinations as to whether: (i) the measure at issue is inconsistent with obligations in this Agreement, (ii) a Party has otherwise failed to carry out its obligations in this Agreement, (iii) the measure at issue is causing nullification or impairment within the meaning of Article 31.2 (Scope), or (iv) any other determination requested in the terms of reference; (c) recommendations, if the disputing Parties have jointly requested them, for the resolution of the dispute; and (d) the reasons for the findings and determinations. 2. The findings, determinations and recommendations of the panel shall not add to or diminish the rights and obligations of the Parties under this Agreement. 3. Unless the disputing Parties decide otherwise, the panel shall perform its functions and conduct its proceeding in a manner consistent with this Chapter and the Rules of Procedure. 4.</w:t>
      </w:r>
    </w:p>
    <w:p>
      <w:pPr>
        <w:pStyle w:val="Normal"/>
      </w:pPr>
      <w:r>
        <w:t>The panel shall interpret this Agreement in accordance with customary rules of interpretation of public international law, as reflected in Articles 31 and 32 of the Vienna Convention on the Law of Treaties, done at Vienna on May 23, 1969. 5. A panel shall take its decision by consensus, except that, if a panel is unable to reach consensus, it may take its decision by majority vote. 6.</w:t>
      </w:r>
    </w:p>
    <w:p>
      <w:pPr>
        <w:pStyle w:val="Normal"/>
      </w:pPr>
      <w:r>
        <w:t>The panel shall base its report on the relevant provisions of this Agreement, the submissions and arguments of the disputing Parties, and on any information or advice put before it under Article 31.15 (Role of Experts). 7. The panel shall draft its reports without the presence of any Party. 8. Panelists may present separate views on matters not unanimously agreed and shall not disclose the identity of which panelists are associated with majority or minority views.</w:t>
      </w:r>
    </w:p>
    <w:p>
      <w:pPr>
        <w:pStyle w:val="Heading2"/>
      </w:pPr>
      <w:bookmarkStart w:id="901002" w:name="_Toc300001001"/>
      <w:r>
        <w:t xml:space="preserve">Article 31.14: Third Party Participation</w:t>
      </w:r>
      <w:bookmarkEnd w:id="901002"/>
    </w:p>
    <w:p>
      <w:pPr>
        <w:pStyle w:val="Normal"/>
      </w:pPr>
      <w:r>
        <w:t xml:space="preserve">A Party that is not a disputing Party shall, on delivery of a written notice to the disputing Parties through their respective Sections of the Secretariat, including a copy to its Section, be entitled to attend any hearing, to make written and oral submissions to the panel, and to receive written submissions of the disputing Parties. The Party shall provide written notice no later than 10 days after the date of delivery of the request for the establishment of the panel under Article 31.6 (Establishment of a Panel).</w:t>
      </w:r>
    </w:p>
    <w:p>
      <w:pPr>
        <w:pStyle w:val="Heading2"/>
      </w:pPr>
      <w:bookmarkStart w:id="901003" w:name="_Toc300001002"/>
      <w:r>
        <w:t xml:space="preserve">Article 31.15: Role of Experts</w:t>
      </w:r>
      <w:bookmarkEnd w:id="901003"/>
    </w:p>
    <w:p>
      <w:pPr>
        <w:pStyle w:val="Normal"/>
      </w:pPr>
      <w:r>
        <w:t xml:space="preserve">At the request of a disputing Party, or on its own initiative, a panel may seek information or technical advice from a person or body that it deems appropriate, provided that the disputing Parties agree and subject to any terms and conditions decided on by the disputing Parties. The disputing Parties shall have an opportunity to comment on information or advice obtained under this Article.</w:t>
      </w:r>
    </w:p>
    <w:p>
      <w:pPr>
        <w:pStyle w:val="Heading2"/>
      </w:pPr>
      <w:bookmarkStart w:id="901004" w:name="_Toc300001003"/>
      <w:r>
        <w:t xml:space="preserve">Article 31.16: Suspension or Termination of Proceedings</w:t>
      </w:r>
      <w:bookmarkEnd w:id="901004"/>
    </w:p>
    <w:p>
      <w:pPr>
        <w:pStyle w:val="Normal"/>
      </w:pPr>
      <w:r>
        <w:t xml:space="preserve">1. The panel may suspend its work at any time at the request of the complaining Party, for a period not to exceed 12 consecutive months. The panel shall suspend its work at any time if the disputing Parties request it to do so. In the event of a suspension, the time frames set out in this Chapter and in the Rules of Procedure shall be extended by the amount of time that the work was suspended. If the work of the panel is suspended for more than 12 consecutive months, the panel proceedings shall lapse unless the disputing Parties decide otherwise. 2. The panel shall terminate its proceedings if the disputing Parties request it to do so.</w:t>
      </w:r>
    </w:p>
    <w:p>
      <w:pPr>
        <w:pStyle w:val="Heading2"/>
      </w:pPr>
      <w:bookmarkStart w:id="901005" w:name="_Toc300001004"/>
      <w:r>
        <w:t xml:space="preserve">Article 31.17: Panel Report</w:t>
      </w:r>
      <w:bookmarkEnd w:id="901005"/>
    </w:p>
    <w:p>
      <w:pPr>
        <w:pStyle w:val="Normal"/>
      </w:pPr>
      <w:r>
        <w:t xml:space="preserve">1. The panel shall present an initial report to the disputing Parties no later than 150 days after the date of the appointment of the last panelist. In cases of urgency related to perishable goods, the panel shall endeavour to present an initial report to the disputing Parties no later than 120 days after the date of the appointment of the last panelist. 2. In exceptional cases, if the panel considers that it cannot release its initial report within the time period specified in paragraph 1, it shall inform the disputing Parties in writing of the reasons for the delay together with an estimate of when it will issue its report. A delay shall not exceed an additional period of 30 days unless the disputing Parties decide otherwise. 3. A disputing Party may submit written comments to the panel on its initial report no later than 15 days after the presentation of the initial report or within another period as the disputing Parties may decide. 4.</w:t>
      </w:r>
    </w:p>
    <w:p>
      <w:pPr>
        <w:pStyle w:val="Normal"/>
      </w:pPr>
      <w:r>
        <w:t>After considering those comments, the panel, on its own initiative or on the request of a disputing Party, may: (a) request the views of a Party; (b) reconsider its report; or (c) make a further examination that it considers appropriate. 5. The panel shall present a final report including any separate opinions on matters not unanimously agreed to the disputing Parties no later than 30 days after presentation of the initial report, unless the disputing Parties decide otherwise. 6.</w:t>
      </w:r>
    </w:p>
    <w:p>
      <w:pPr>
        <w:pStyle w:val="Normal"/>
      </w:pPr>
      <w:r>
        <w:t>After taking any steps to protect confidential information, and no later than 15 days after the presentation of the final report, the disputing Parties shall make the final report available to the public.</w:t>
      </w:r>
    </w:p>
    <w:p>
      <w:pPr>
        <w:pStyle w:val="Heading2"/>
      </w:pPr>
      <w:bookmarkStart w:id="901006" w:name="_Toc300001005"/>
      <w:r>
        <w:t xml:space="preserve">Article 31.18: Implementation of Final Report</w:t>
      </w:r>
      <w:bookmarkEnd w:id="901006"/>
    </w:p>
    <w:p>
      <w:pPr>
        <w:pStyle w:val="Normal"/>
      </w:pPr>
      <w:r>
        <w:t xml:space="preserve">1. Within 45 days from receipt of a final report that contains findings that: (a) the measure at issue is inconsistent with a Party’s obligations in this Agreement; (b) a Party has otherwise failed to carry out its obligations in this Agreement; or (c) the measure at issue is causing nullification or impairment within the meaning of Article 31.2 (Scope), the disputing Parties shall endeavor to agree on the resolution of the dispute. 2. Resolution of the dispute can comprise elimination of the non-conformity or the nullification or impairment, if possible, the provision of mutually acceptable compensation, or another remedy the disputing Parties may agree.</w:t>
      </w:r>
    </w:p>
    <w:p>
      <w:pPr>
        <w:pStyle w:val="Heading2"/>
      </w:pPr>
      <w:bookmarkStart w:id="901007" w:name="_Toc300001006"/>
      <w:r>
        <w:t xml:space="preserve">Article 31.19: Non-Implementation – Suspension of Benefits</w:t>
      </w:r>
      <w:bookmarkEnd w:id="901007"/>
    </w:p>
    <w:p>
      <w:pPr>
        <w:pStyle w:val="Normal"/>
      </w:pPr>
      <w:r>
        <w:t xml:space="preserve">1. If the disputing Parties are unable to agree on a resolution to the dispute under Article 31.18 (Implementation of Final Report) within 45 days from receipt of the final report, the complaining Party may suspend the application to the responding Party of benefits of equivalent effect to the non-conformity or the nullification or impairment until the disputing Parties agree on a resolution to the dispute. 2. In considering what benefits to suspend pursuant to paragraph 1: (a) a complaining Party should first seek to suspend benefits in the same sector as that affected by the measure or other matter that was the subject of the dispute; and (b) a complaining Party that considers it is not practicable or effective to suspend benefits in the same sector, may suspend benefits in other sectors unless otherwise provided for elsewhere in this Agreement. 3. If the responding Party considers that:</w:t>
      </w:r>
    </w:p>
    <w:p>
      <w:pPr>
        <w:pStyle w:val="Normal"/>
      </w:pPr>
      <w:r>
        <w:t>(a) the level of benefits proposed to be suspended is manifestly excessive; or (b) it has eliminated the non-conformity or the nullification or impairment that the panel has determined to exist, it may request that the panel be reconvened to consider the matter. The responding Party shall deliver its request in writing to the complaining Party.</w:t>
      </w:r>
    </w:p>
    <w:p>
      <w:pPr>
        <w:pStyle w:val="Normal"/>
      </w:pPr>
      <w:r>
        <w:t>The panel shall reconvene as soon as possible after the date of delivery of the request and shall present its determination to the disputing Parties no later than 90 days after it reconvenes to review a request under subparagraph (a) or (b), or 120 days after it reconvenes for a request under both subparagraphs (a) and (b). If the panel considers that the level of benefits the complaining Party proposes to suspend is manifestly excessive, it shall provide its views as to the level of benefits it considers to be of equivalent effect. 4. If the panel’s views are that the responding Party has not eliminated the non-conformity or the nullification or impairment, the complaining Party may suspend benefits up to the level the panel has determined under paragraph 3. Section B: Domestic Proceedings and Private Commercial Dispute Settlement</w:t>
      </w:r>
    </w:p>
    <w:p>
      <w:pPr>
        <w:pStyle w:val="Heading2"/>
      </w:pPr>
      <w:bookmarkStart w:id="901008" w:name="_Toc300001007"/>
      <w:r>
        <w:t xml:space="preserve">Article 31.20: Referrals of Matters from Judicial or Administrative Proceedings</w:t>
      </w:r>
      <w:bookmarkEnd w:id="901008"/>
    </w:p>
    <w:p>
      <w:pPr>
        <w:pStyle w:val="Normal"/>
      </w:pPr>
      <w:r>
        <w:t xml:space="preserve">1. If an issue of interpretation or application of this Agreement arises in a domestic judicial or administrative proceeding of a Party that a Party considers would merit its intervention, or if a court or administrative body solicits the views of a Party, that Party shall notify the other Parties and its Section of the Secretariat. The Commission shall endeavor to agree on an appropriate response as expeditiously as possible. 2. The Party in whose territory the court or administrative body is located shall submit an agreed interpretation of the Commission to the court or administrative body in accordance with the rules of that forum. 3. If the Commission is unable to agree, a Party may submit its own views to the court or administrative body in accordance with the rules of that forum.</w:t>
      </w:r>
    </w:p>
    <w:p>
      <w:pPr>
        <w:pStyle w:val="Heading2"/>
      </w:pPr>
      <w:bookmarkStart w:id="901009" w:name="_Toc300001008"/>
      <w:r>
        <w:t xml:space="preserve">Article 31.21: Private Rights</w:t>
      </w:r>
      <w:bookmarkEnd w:id="901009"/>
    </w:p>
    <w:p>
      <w:pPr>
        <w:pStyle w:val="Normal"/>
      </w:pPr>
      <w:r>
        <w:t xml:space="preserve">No Party shall provide for a right of action under its law against another Party on the ground that a measure of that other Party is inconsistent with this Agreement.</w:t>
      </w:r>
    </w:p>
    <w:p>
      <w:pPr>
        <w:pStyle w:val="Heading2"/>
      </w:pPr>
      <w:bookmarkStart w:id="901010" w:name="_Toc300001009"/>
      <w:r>
        <w:t xml:space="preserve">Article 31.22: Alternative Dispute Resolution</w:t>
      </w:r>
      <w:bookmarkEnd w:id="901010"/>
    </w:p>
    <w:p>
      <w:pPr>
        <w:pStyle w:val="Normal"/>
      </w:pPr>
      <w:r>
        <w:t xml:space="preserve">1. Each Party shall, to the extent possible, encourage, facilitate, and promote through education, the use of arbitration, mediation, online dispute resolution and other procedures for the prevention and resolution of international commercial disputes between private parties in the free trade area. 2. To this end, each Party shall provide appropriate procedures to ensure observance of agreements to arbitrate and for the recognition and enforcement of arbitral awards and settlement agreements in those disputes, and to facilitate and encourage mediation procedures. 3. A Party shall be deemed to be in compliance with paragraph 2 if it is a party to and is in compliance with the Convention on the Recognition and Enforcement of Foreign Arbitral Awards, done at New York on June 10 1958, or the Inter-American Convention on International Commercial Arbitration, done at Panama on January 30, 1975. 4. The Commission shall establish and maintain an Advisory Committee on Private Commercial Disputes comprising persons with expertise or experience in the resolution of private international commercial disputes.</w:t>
      </w:r>
    </w:p>
    <w:p>
      <w:pPr>
        <w:pStyle w:val="Normal"/>
      </w:pPr>
      <w:r>
        <w:t>The Committee shall, to the extent possible, encourage, facilitate, and promote through education, the use of arbitration, mediation, online dispute resolution and other procedures for the prevention and resolution of international commercial disputes between private parties in the free trade area.</w:t>
      </w:r>
    </w:p>
    <w:p>
      <w:pPr>
        <w:pStyle w:val="Normal"/>
      </w:pPr>
      <w:r>
        <w:t>The Committee shall report and provide recommendations to the Commission on general issues respecting the availability, use, and effectiveness of arbitration, mediation, online dispute settlement resolution, and other dispute resolution procedures for the prevention and resolution of those disputes in the free trade area.</w:t>
      </w:r>
    </w:p>
    <w:p>
      <w:pPr>
        <w:pStyle w:val="ModHeading"/>
      </w:pPr>
      <w:bookmarkStart w:id="901011" w:name="_Toc300001010"/>
      <w:r>
        <w:t>CHAPTER 31: CUSMA 2.0 MODERNIZATION PROVISIONS</w:t>
      </w:r>
      <w:bookmarkEnd w:id="901011"/>
    </w:p>
    <w:p>
      <w:pPr>
        <w:pStyle w:val="Normal"/>
      </w:pPr>
      <w:r>
        <w:rPr>
          <w:i/>
        </w:rPr>
        <w:t>The provisions of this Part amend Chapter 31 (Dispute Settlement). The amendments effected by the 2019 Protocol of Amendment (including Articles 31.6, 31.8, 31.9, and 31.11 as amended, and Annexes 31-A and 31-B) remain in force and are built upon below.</w:t>
      </w:r>
    </w:p>
    <w:p>
      <w:pPr>
        <w:pStyle w:val="Heading2"/>
      </w:pPr>
      <w:bookmarkStart w:id="901012" w:name="_Toc300001011"/>
      <w:r>
        <w:t>Article 31.A: Expedited Tariff Panel Procedure</w:t>
      </w:r>
      <w:bookmarkEnd w:id="901012"/>
    </w:p>
    <w:p>
      <w:pPr>
        <w:pStyle w:val="Normal"/>
      </w:pPr>
      <w:r>
        <w:t>1. This Article applies to a dispute concerning: (a) a covered border measure affecting originating goods; (b) a measure under Chapter 35, including a PTA, an emergency provisional measure, or a measure referred to the special lane in Article 35.22; (c) a safeguard measure affecting originating goods of another Party; or (d) a measure that a Party certifies is causing, or imminently threatens, material disruption of integrated North American production or of perishable goods trade.</w:t>
      </w:r>
    </w:p>
    <w:p>
      <w:pPr>
        <w:pStyle w:val="Normal"/>
      </w:pPr>
      <w:r>
        <w:t>2. A consulting Party may invoke this procedure after the expiry of: (a) 15 days after delivery of a consultation request in a matter concerning perishable goods or an imminent supply-chain disruption; or (b) 30 days in other matters within paragraph 1.</w:t>
      </w:r>
    </w:p>
    <w:p>
      <w:pPr>
        <w:pStyle w:val="Normal"/>
        <w:spacing w:before="0" w:after="0"/>
        <w:widowControl w:val="1"/>
      </w:pPr>
      <w:r>
        <w:t>3. Upon delivery of a request for establishment of an Expedited Tariff Panel: (a) the panel is established automatically on delivery, in accordance with Article 31.6.4 as amended; (b) the panel is composed within five days from members of the Article 31.8 roster who satisfy the tariff/customs specialization criteria published under Article 31.C; (c) written submissions are due within 10 days of composition; (d) the hearing, if any, is held within 20 days of composition; and (e) the panel issues its final report within 45 days of composition in a matter under paragraph 1(a) through (d), and within 20 days of composition in a matter involving perishable goods, an imminent supply-chain disruption, or critical infrastructure as defined in paragraph 7. In an exceptionally complex matter - including a matter involving a multi-entity origin network or a complex subsidization record - the panel may extend the applicable deadline once, by not more than 30 days, upon a reasoned, published finding that due process otherwise cannot be maintained.</w:t>
      </w:r>
    </w:p>
    <w:p/>
    <w:p>
      <w:pPr>
        <w:pStyle w:val="Normal"/>
      </w:pPr>
      <w:r>
        <w:t>4. Where continued application of the measure during the proceedings threatens serious and irreparable disruption of integrated production or essential flows, the panel may issue an interim indication, binding on the disputing Parties, that the measure be suspended in whole or in part pending the final report, provided that: (a) the panel finds a strong prima facie case of inconsistency with this Agreement and a serious risk of irreparable harm, with reasons stated in writing; (b) the indication is limited to what is necessary to prevent that harm; (c) the indication expires with the final report and in any case 60 days after issuance; and (d) either disputing Party may request emergency reconsideration within five days, which the panel shall decide within five days. Failure to comply with an interim indication entitles the complaining Party to a proportionate interim countermeasure within the affected module, subject to reconciliation in the final report.</w:t>
      </w:r>
    </w:p>
    <w:p>
      <w:pPr>
        <w:pStyle w:val="Normal"/>
        <w:spacing w:before="0" w:after="0"/>
        <w:widowControl w:val="1"/>
      </w:pPr>
      <w:r>
        <w:t>5. Only a technical or factual finding within the Article 35.10 Team's stated mandate binds an Article 31.A panel unless manifestly erroneous; a classification recommendation, interpretation, jurisdictional conclusion or proposed remedy receives independent legal determination under Article 35.26.3.</w:t>
      </w:r>
    </w:p>
    <w:p/>
    <w:p>
      <w:pPr>
        <w:pStyle w:val="Normal"/>
        <w:spacing w:before="0" w:after="0"/>
        <w:widowControl w:val="1"/>
      </w:pPr>
      <w:r>
        <w:t>6. Following a final report finding inconsistency with this Agreement, the responding Party shall comply within 15 days in a matter under paragraph 1(b) or (d), and within 30 days in other matters under this Article, unless the panel fixes a shorter period. Noncompliance is determined through Article 31.D's specific expedited-compliance decision and suspension rule, and suspension follows only that rule and all applicable Chapter 35 remedy gates.</w:t>
      </w:r>
    </w:p>
    <w:p/>
    <w:p>
      <w:pPr>
        <w:spacing w:before="0" w:after="0"/>
        <w:widowControl w:val="1"/>
      </w:pPr>
      <w:r>
        <w:t>7. EXPEDITED TRIGGERS AND CERTIFICATION. Perishable goods are goods likely to suffer material deterioration before ordinary proceedings can finish, critical infrastructure means systems necessary to maintain essential electricity, transport, communications, health or public-safety services, and imminent supply-chain disruption means a documented interruption reasonably expected within thirty days to disable material integrated production or essential flows. The complaining Party certifies a paragraph 1(d) matter with identified goods, production links, expected date and supporting evidence, and delivers that certification with its consultation request or promptly after the new facts arise. The Article 31.A panel reviews the asserted trigger on reasoned evidence within three days after composition and applies the fifteen-day consultation and twenty-day report clocks to all three urgent categories, with thirty-day consultation and forty-five-day report clocks for other paragraph 1 matters. Rejection of urgency transfers the matter to the applicable ordinary clock measured from the original request or composition without extinguishing jurisdiction or restarting elapsed time.</w:t>
      </w:r>
    </w:p>
    <w:p/>
    <w:p>
      <w:pPr>
        <w:pStyle w:val="Heading2"/>
      </w:pPr>
      <w:bookmarkStart w:id="901013" w:name="_Toc300001012"/>
      <w:r>
        <w:t>Article 31.B: Consultations, Modernized Clocks</w:t>
      </w:r>
      <w:bookmarkEnd w:id="901013"/>
    </w:p>
    <w:p>
      <w:pPr>
        <w:pStyle w:val="Normal"/>
      </w:pPr>
      <w:r>
        <w:t>1. Article 31.4 (Consultations) is supplemented as follows: where a request for consultations concerns a measure notified under Article 32.2 as replaced, or a covered border measure, consultations shall commence within 10 days of the request, at the level requested, and ministerial consultations shall be held within 20 days if requested by a consulting Party.</w:t>
      </w:r>
    </w:p>
    <w:p>
      <w:pPr>
        <w:pStyle w:val="Normal"/>
      </w:pPr>
      <w:r>
        <w:t>2. Where a proposed measure has been registered in the North American Trade Measures Registry under Article 35.24 and has not yet taken effect, a consulting Party may request that the measure not take effect pending consultations for up to 30 days, and the responding Party shall give sympathetic consideration to the request in light of the supply-chain impact assessment, if any, under Article 35.23.</w:t>
      </w:r>
    </w:p>
    <w:p>
      <w:pPr>
        <w:spacing w:before="0" w:after="0"/>
        <w:widowControl w:val="1"/>
      </w:pPr>
      <w:r>
        <w:t>3. MINIMUM EXPEDITED CONSULTATION OPPORTUNITY. For every Article 31.A matter, consultations shall begin within ten days after the request, or within five days for its defined urgent categories. The panel-request entitlement remains at fifteen days for urgent matters and thirty days otherwise, giving at least ten days of consultation where timely commenced. A respondent's failure to convene or participate by that deadline does not delay panel-request entitlement. Article 31.B supplies these specific clocks in place of the later Article 31.4 default for such matters.</w:t>
      </w:r>
    </w:p>
    <w:p/>
    <w:p>
      <w:pPr>
        <w:pStyle w:val="Heading2"/>
      </w:pPr>
      <w:bookmarkStart w:id="901014" w:name="_Toc300001013"/>
      <w:r>
        <w:t>Article 31.C: Standing Rosters, Independence, and Anti-Deadlock</w:t>
      </w:r>
      <w:bookmarkEnd w:id="901014"/>
    </w:p>
    <w:p>
      <w:pPr>
        <w:pStyle w:val="Normal"/>
      </w:pPr>
      <w:r>
        <w:t>Roster Integrity. Roster members shall possess demonstrated expertise in international trade law, customs, economics, adjudication, or the subject matter of this Agreement; serve staggered fixed terms; disclose financial, professional, governmental, and client conflicts; comply with a binding code of conduct and cooling-off rules; and be subject to automatic replacement procedures where a Party fails to nominate or replace a member within the prescribed period. Appointment shall not be delayed by failure of a Party to act.</w:t>
      </w:r>
    </w:p>
    <w:p>
      <w:pPr>
        <w:pStyle w:val="Normal"/>
      </w:pPr>
      <w:r>
        <w:t>1. The Parties shall maintain specialization designations within the roster established under Article 31.8 for tariff and customs matters, including at least 15 roster members in aggregate who possess demonstrated relevant expertise. The Parties shall also maintain the technical verifier rosters and neutral Joint List required by Article 35.10.2. These are qualification lists for ad hoc proceedings, not separate permanent adjudicative institutions.</w:t>
      </w:r>
    </w:p>
    <w:p>
      <w:pPr>
        <w:pStyle w:val="Normal"/>
        <w:spacing w:before="0" w:after="0"/>
        <w:widowControl w:val="1"/>
      </w:pPr>
      <w:r>
        <w:t>2. If a Party fails to make a designation required for a roster, specialization list, or neutral list under this Agreement within 60 days of a vacancy, the designations of the other Parties stand, and the responsible Secretary under Article 30.B shall apply the witnessed random-draw method in paragraph 6 from eligible qualified persons. The official shall not exercise policy discretion to choose a preferred adjudicator.</w:t>
      </w:r>
    </w:p>
    <w:p/>
    <w:p>
      <w:pPr>
        <w:pStyle w:val="Normal"/>
      </w:pPr>
      <w:r>
        <w:t>3. Roster members, panelists, and Verification Team members are subject to the independence, disclosure, recusal, cooling-off, and compensation rules of Article 35.10.10, which apply to dispute-settlement service under this Chapter mutatis mutandis.</w:t>
      </w:r>
    </w:p>
    <w:p>
      <w:pPr>
        <w:pStyle w:val="Normal"/>
        <w:spacing w:before="0" w:after="0"/>
        <w:widowControl w:val="1"/>
      </w:pPr>
      <w:r>
        <w:t>4. A Party shall not disable dispute settlement under this Agreement by refusing to participate in panel selection, failing to appear, withholding consent to procedural decisions, or declining to appoint roster members. Where a responding Party so refuses or fails, the complaining Party may request the responsible Secretary to fill missing seats under paragraph 6, and the panel may proceed and decide on the record before it.</w:t>
      </w:r>
    </w:p>
    <w:p/>
    <w:p>
      <w:pPr>
        <w:pStyle w:val="Normal"/>
      </w:pPr>
      <w:r>
        <w:t>5. A panel’s jurisdiction does not depend on the responding Party’s participation. A report issued following a Party’s non-participation has the same effect as any other report.</w:t>
      </w:r>
    </w:p>
    <w:p>
      <w:pPr>
        <w:pStyle w:val="Normal"/>
        <w:spacing w:before="0" w:after="0"/>
        <w:widowControl w:val="1"/>
      </w:pPr>
      <w:r>
        <w:t>6. DEFAULT DRAW AND FIVE-DAY COMPOSITION. The responsible Secretary under Article 30.B conducts every missed Chapter 31 appointment by a witnessed random draw from alphabetically sorted available candidates satisfying Article 31.8 and the nationality and seat qualifications of Article 31.9 as amended, recording the list, exclusions and draw result without discretionary selection. For Article 31.A, the Parties jointly choose the chair by day two and make their Article 31.9 side selections by day four after panel-request delivery, and the Secretary fills missing seats by day five, these deadlines replacing the ordinary fifteen-day periods. Tariff/customs specialization requires at least five years of documented professional work in customs administration, tariff law or adjudication of customs disputes, published by the Secretariat on entry into force, subject to the controlling financial, labor, environmental and Board-review seat rules of Articles 17.21(6), 23.C, 24.C, 23-B.11(g) and 30.C. The technical Joint List is not a panel source unless an individual is separately screened for the required panel seat under Article 30.C(9), and Annex 34-H interim panel formation uses this same method without waiving qualifications or the specialist technical-verification gate.</w:t>
      </w:r>
    </w:p>
    <w:p/>
    <w:p>
      <w:pPr>
        <w:pStyle w:val="Normal"/>
      </w:pPr>
      <w:r>
        <w:t>7. Each Party retains equal nomination rights to the standing Article 31.8 roster and to Party-designated technical verifier lists. At least one-third of the neutral Joint List used for Article 35 verification shall consist of persons who are not nationals of any Party, where qualified candidates are available.</w:t>
      </w:r>
    </w:p>
    <w:p>
      <w:pPr>
        <w:pStyle w:val="Normal"/>
        <w:spacing w:before="0" w:after="0"/>
        <w:widowControl w:val="1"/>
      </w:pPr>
      <w:r>
        <w:t>8. QUALIFICATION AND REMOVAL REVIEW. A challenge based on a demonstrated conflict, disqualification or material code breach is filed with the responsible Secretary within five days after disclosure of its basis and decided within five days after filing by three uninvolved qualified roster members selected through paragraph 6, excluding nationals of the disputing Parties where a qualified neutral pool is available. The reviewers decide by majority with reasons, the challenged member does not participate, and an upheld challenge requires replacement by the same seat method without restarting the merits clock. This procedure governs removal for cause under Articles 31.9(4) and 31.10(3), while the one-time roster-based peremptory challenge under Article 31.9(3) as amended remains available on its own conditions and cannot circumvent specialist appointment rules. A shortage activates Article 30.C(9) qualification-based nominations and recorded draw rather than a two-person deadlock or a Party veto.</w:t>
      </w:r>
    </w:p>
    <w:p/>
    <w:p>
      <w:pPr>
        <w:pStyle w:val="Normal"/>
        <w:spacing w:before="0" w:after="0"/>
        <w:widowControl w:val="1"/>
      </w:pPr>
      <w:r>
        <w:t>9. TERMS AND LEGACY PRIORITY. Article 31.8 roster members serve its fixed terms and may be reappointed, with staggered appointments administered without shortening an existing valid term. An ad hoc panelist serves for the particular proceeding and its compliance review, and this paragraph imposes no non-renewable standing term on that service or on Article 35.10 verifiers. The most recent eligible roster remains provisionally available pending lawful replacement, with current conflict and availability screening. Under Article 34.C(2), modernization overlays prevail over inconsistent reproduced Part A text, whose controlling designation in Annex 34-G concerns the historical pre-2019 reproduction only.</w:t>
      </w:r>
    </w:p>
    <w:p/>
    <w:p>
      <w:pPr>
        <w:pStyle w:val="Normal"/>
        <w:spacing w:before="0" w:after="0"/>
        <w:widowControl w:val="1"/>
      </w:pPr>
      <w:r>
        <w:t>10. A Party may challenge whether the automatic selection procedure was followed or whether an appointee is disqualified under paragraph 8; it may not block a proceeding merely because it objects to adjudication or to a qualified panelist's nationality, prior published views, or professional background.</w:t>
      </w:r>
    </w:p>
    <w:p/>
    <w:p>
      <w:pPr>
        <w:pStyle w:val="Heading2"/>
      </w:pPr>
      <w:bookmarkStart w:id="901015" w:name="_Toc300001014"/>
      <w:r>
        <w:t>Article 31.D: Implementation, Compliance Review, and the End of Procedural Limbo</w:t>
      </w:r>
      <w:bookmarkEnd w:id="901015"/>
    </w:p>
    <w:p>
      <w:pPr>
        <w:pStyle w:val="Normal"/>
      </w:pPr>
      <w:r>
        <w:t>1. Article 31.18 and Article 31.19 are supplemented as follows:</w:t>
      </w:r>
    </w:p>
    <w:p>
      <w:pPr>
        <w:pStyle w:val="Normal"/>
      </w:pPr>
      <w:r>
        <w:t>(a) the final report shall fix a compliance period wherever practicable; where it does not, the compliance period is 45 days from receipt of the report;</w:t>
      </w:r>
    </w:p>
    <w:p>
      <w:pPr>
        <w:pStyle w:val="Normal"/>
      </w:pPr>
      <w:r>
        <w:t>(b) at the end of the compliance period, the responding Party shall notify the disputing Parties and the Secretariat of the measures taken to comply;</w:t>
      </w:r>
    </w:p>
    <w:p>
      <w:pPr>
        <w:pStyle w:val="Normal"/>
      </w:pPr>
      <w:r>
        <w:t>(c) a disagreement over compliance is subject to a compliance panel proceeding completed within 60 days, drawing on the original panelists wherever available;</w:t>
      </w:r>
    </w:p>
    <w:p>
      <w:pPr>
        <w:pStyle w:val="Normal"/>
      </w:pPr>
      <w:r>
        <w:t>(d) suspension of benefits under Article 31.19 is proportionate to the trade effect of the violation, remains within the affected trade module except as provided in Article 35.15.3, and terminates automatically upon a compliance determination that the responding Party has complied; and</w:t>
      </w:r>
    </w:p>
    <w:p>
      <w:pPr>
        <w:pStyle w:val="Normal"/>
      </w:pPr>
      <w:r>
        <w:t>(e) where the responding Party claims compliance at any time, it may request an expedited compliance review, which shall be completed within 30 days; pending that review, no increase in the level of suspension takes effect.</w:t>
      </w:r>
    </w:p>
    <w:p>
      <w:pPr>
        <w:pStyle w:val="Normal"/>
      </w:pPr>
      <w:r>
        <w:t>2. Countermeasures terminate automatically upon compliance. There is no discretion to maintain countermeasures after verified compliance, and no admission, apology, or unrelated concession may be required as a condition of termination.</w:t>
      </w:r>
    </w:p>
    <w:p>
      <w:pPr>
        <w:spacing w:before="0" w:after="0"/>
        <w:widowControl w:val="1"/>
      </w:pPr>
      <w:r>
        <w:t>3. EXPEDITED COMPLIANCE DECISION AND SUSPENSION. For Article 31.A matters its fifteen- or thirty-day compliance period, or the shorter period fixed in the final report, replaces the forty-five-day default in Article 31.D, and no suspension starts before that period expires. The original panel, reconstituted under Article 31.C within five days if necessary, decides a notified compliance dispute or subsequent compliance claim within fifteen days after Secretariat receipt and determines noncompliance and any permitted suspension level under Articles 31.19, 31.D and Chapter 35. A compliance notification delivered before expiry prevents initial suspension until that determination, while a later claim prevents an increase and a positive compliance determination terminates existing suspension immediately. Failure to notify compliance permits a narrowly proportionate suspension after expiry on the final report and the original panel's recorded confirmation of that failure, without a second merits proceeding, subject to the same expedited compliance review and all independent tariff-authorization gates.</w:t>
      </w:r>
    </w:p>
    <w:p/>
    <w:p>
      <w:pPr>
        <w:pStyle w:val="Heading2"/>
      </w:pPr>
      <w:bookmarkStart w:id="901016" w:name="_Toc300001015"/>
      <w:r>
        <w:t>Article 31.E: North American Facility-Specific Labour Remedy</w:t>
      </w:r>
      <w:bookmarkEnd w:id="901016"/>
    </w:p>
    <w:p>
      <w:pPr>
        <w:pStyle w:val="Heading3"/>
      </w:pPr>
      <w:r>
        <w:t>31.E.0 Definitions and Equal Intake Architecture.</w:t>
      </w:r>
    </w:p>
    <w:p>
      <w:pPr>
        <w:pStyle w:val="Normal"/>
      </w:pPr>
      <w:r>
        <w:t>For purposes of this Article: Covered Facility means a facility producing a good or supplying a service having a material connection with trade or investment among the Parties; Covered Labour Right means a right or protection maintained under Chapter 23 whose serious or persistent denial falls within this Article, including freedom of association, collective bargaining, freedom from forced labour or trafficking, protection against serious retaliation, protection against persistent or deliberate wage theft, and protection against grave or deliberately unremedied occupational-safety violations; Complainant Party means a Party invoking this Article; Respondent Party means the Party in whose territory the covered facility is located; Receiving Authority means the competent authority designated by each Party to receive and screen submissions; Remediation means measures reasonably tailored to restore the affected right and establish durable compliance; and Relevant Trade or Investment Nexus means the material connection required by this Agreement for any trade consequence. Priority-sector status may guide triage, resource allocation, or remedy calibration but shall not by itself determine whether a worker may seek facility-specific remediation. Each Party shall designate and publicly identify a functionally equivalent Receiving Authority, publish accessible submission procedures, acknowledge a submission ordinarily within five business days, and make an admissibility determination ordinarily within 15 business days. Agency names and domestic institutional forms need not be identical.</w:t>
      </w:r>
    </w:p>
    <w:p>
      <w:pPr>
        <w:pStyle w:val="Heading3"/>
      </w:pPr>
      <w:r>
        <w:t>31.E.1 Purpose and Equal Availability.</w:t>
      </w:r>
    </w:p>
    <w:p>
      <w:pPr>
        <w:pStyle w:val="Normal"/>
      </w:pPr>
      <w:r>
        <w:t>The Parties establish a single North American Facility-Specific Labour Remedy (FSLR) whose purpose is the prompt remediation of serious, credible and facility-level denials of covered labour rights. The Remedy shall be available on functionally equivalent terms in every bilateral direction among Canada, Mexico and the United States. No Party shall receive materially weaker protection from, or materially stronger exposure to, the Remedy solely because of the identity of the complainant Party, respondent Party, facility location, or nationality of the affected workers.</w:t>
      </w:r>
    </w:p>
    <w:p>
      <w:pPr>
        <w:pStyle w:val="Heading3"/>
      </w:pPr>
      <w:r>
        <w:t>31.E.2 Worker-First Trigger.</w:t>
      </w:r>
    </w:p>
    <w:p>
      <w:pPr>
        <w:pStyle w:val="Normal"/>
      </w:pPr>
      <w:r>
        <w:t>A credible allegation of a serious denial of a covered labour right at a covered facility may trigger review without requiring prior proof that the denial has caused measurable injury to trade or commerce. Trade effects may inform the proportionality of any trade consequence, but shall not determine whether the affected workers possess the underlying right or access to remediation. For greater certainty, substantive worker protection and admissibility are not conditioned on proof of quantified trade injury; any suspension of treaty treatment or other trade consequence remains subject to the trade or investment nexus otherwise required by this Agreement.</w:t>
      </w:r>
    </w:p>
    <w:p>
      <w:pPr>
        <w:pStyle w:val="Heading3"/>
      </w:pPr>
      <w:r>
        <w:t>31.E.3 Serious-Violation Threshold.</w:t>
      </w:r>
    </w:p>
    <w:p>
      <w:pPr>
        <w:pStyle w:val="Normal"/>
      </w:pPr>
      <w:r>
        <w:t>The expedited facility-specific track is reserved for serious or persistent conduct, including systematic interference with freedom of association or collective bargaining; retaliation for protected organizing or worker representation; forced labour; trafficking or coercive recruitment practices; persistent or deliberate wage theft; grave or deliberately unremedied occupational-safety violations; confiscation of worker identity or travel documents; or comparable serious denials of covered labour rights. Ordinary individual employment disputes shall normally remain within domestic remedies unless they reveal a broader facility-level pattern.</w:t>
      </w:r>
    </w:p>
    <w:p>
      <w:pPr>
        <w:pStyle w:val="Heading3"/>
      </w:pPr>
      <w:r>
        <w:t>31.E.4 Accessible Intake and Admissibility.</w:t>
      </w:r>
    </w:p>
    <w:p>
      <w:pPr>
        <w:pStyle w:val="Normal"/>
      </w:pPr>
      <w:r>
        <w:t>Information may be submitted through competent authorities, workers, labour organizations, worker representatives, or other credible persons or organizations with relevant evidence. Recognition by a government or exclusive bargaining status shall not be an absolute condition of admissibility. The receiving authority shall conduct an expedited admissibility screen addressing facility identification, treaty coverage, credibility, seriousness, jurisdiction, duplication and whether the allegation is manifestly frivolous, abusive or politically manufactured.</w:t>
      </w:r>
    </w:p>
    <w:p>
      <w:pPr>
        <w:pStyle w:val="Heading3"/>
      </w:pPr>
      <w:r>
        <w:t>31.E.5 Notice and First Opportunity to Remediate.</w:t>
      </w:r>
    </w:p>
    <w:p>
      <w:pPr>
        <w:pStyle w:val="Normal"/>
      </w:pPr>
      <w:r>
        <w:t>Where a matter is admitted, the complainant Party shall promptly notify the respondent Party and provide sufficient non-confidential information to permit a meaningful response. The respondent Party shall ordinarily receive the first opportunity to investigate and secure effective domestic remediation. No mandatory cure period shall prevent urgent protective action where credible evidence indicates forced labour, violence, threats to life or physical safety, severe retaliation, trafficking, destruction of evidence, or a comparable risk of irreparable harm.</w:t>
      </w:r>
    </w:p>
    <w:p>
      <w:pPr>
        <w:pStyle w:val="Heading3"/>
      </w:pPr>
      <w:r>
        <w:t>31.E.6 Independent Verification.</w:t>
      </w:r>
    </w:p>
    <w:p>
      <w:pPr>
        <w:pStyle w:val="Normal"/>
      </w:pPr>
      <w:r>
        <w:t>Where material facts remain disputed, remediation is inadequate, or the respondent Party declines timely review, either Party may request independent verification through existing Chapter 31, Secretariat, Cothrom or other already-established NAESTMA roster and administrative infrastructure. The Parties shall not create a new permanent labour tribunal, secretariat or standing inspection bureaucracy where an existing institution can perform the function.</w:t>
      </w:r>
    </w:p>
    <w:p>
      <w:pPr>
        <w:pStyle w:val="Heading3"/>
      </w:pPr>
      <w:r>
        <w:t>31.E.7 Verification Methods and Sovereignty.</w:t>
      </w:r>
    </w:p>
    <w:p>
      <w:pPr>
        <w:pStyle w:val="Normal"/>
      </w:pPr>
      <w:r>
        <w:t>Verification may include documentary review, confidential worker testimony, employer and union submissions, remote or in-person hearings, agreed facility access, and qualified independent technical expertise. Nothing in this Article authorizes one Party's labour inspectors, police, immigration officers or other enforcement personnel to exercise unilateral enforcement authority within the territory of another Party. Domestic investigative powers remain with the competent authorities of the respondent Party, subject to the independent evidentiary and review requirements of this Article.</w:t>
      </w:r>
    </w:p>
    <w:p>
      <w:pPr>
        <w:pStyle w:val="Heading3"/>
      </w:pPr>
      <w:r>
        <w:t>31.E.7A Domestic Findings and Access.</w:t>
      </w:r>
    </w:p>
    <w:p>
      <w:pPr>
        <w:pStyle w:val="Normal"/>
      </w:pPr>
      <w:r>
        <w:t>A final or enforceable determination of a competent domestic labour authority may constitute highly probative evidence but shall not be an exclusive prerequisite to access to this Remedy. Absence of a final domestic determination shall not bar a proceeding where credible evidence indicates a serious covered denial and domestic procedures are unavailable, materially ineffective, subject to unreasonable delay, incapable of preventing grave or irreparable harm, or otherwise inadequate to provide timely remediation. No Party shall condition access upon a domestic administrative, judicial, or labour-board order unless a functionally equivalent condition applies to facilities in each Party.</w:t>
      </w:r>
    </w:p>
    <w:p>
      <w:pPr>
        <w:pStyle w:val="Heading3"/>
      </w:pPr>
      <w:r>
        <w:t>31.E.7B Panel Neutrality and Conflicts.</w:t>
      </w:r>
    </w:p>
    <w:p>
      <w:pPr>
        <w:pStyle w:val="Normal"/>
      </w:pPr>
      <w:r>
        <w:t>Verification panels and technical teams shall satisfy independence and conflict-of-interest requirements. Unless the disputing Parties agree otherwise, no panel shall contain a majority of nationals of either the complainant Party or respondent Party. Selection procedures shall provide functionally equivalent participation to each Party and shall not structurally advantage a Party because of the location of the covered facility.</w:t>
      </w:r>
    </w:p>
    <w:p>
      <w:pPr>
        <w:pStyle w:val="Heading3"/>
      </w:pPr>
      <w:r>
        <w:t>31.E.8 Worker, Witness and Confidentiality Protection.</w:t>
      </w:r>
    </w:p>
    <w:p>
      <w:pPr>
        <w:pStyle w:val="Normal"/>
      </w:pPr>
      <w:r>
        <w:t>The process shall protect workers, witnesses, complainants and lawful representatives against retaliation. Confidential or identifying information shall be minimized, protected and disclosed only as necessary for fair adjudication. Anonymous or redacted evidence may be accepted where necessary to protect a person from a credible risk, provided that procedures preserve a meaningful opportunity to answer the substance of the allegation.</w:t>
      </w:r>
    </w:p>
    <w:p>
      <w:pPr>
        <w:pStyle w:val="Heading3"/>
      </w:pPr>
      <w:r>
        <w:t>31.E.9 Remediation First.</w:t>
      </w:r>
    </w:p>
    <w:p>
      <w:pPr>
        <w:pStyle w:val="Normal"/>
      </w:pPr>
      <w:r>
        <w:t>The primary objective is effective remediation. Appropriate measures may include reinstatement, backpay or restoration of unlawfully withheld compensation, reimbursement of prohibited recruitment fees, restoration of bargaining or representational rights, corrective elections or procedures, cessation of retaliation, safety correction, return of unlawfully retained documents, changes to facility practices, training, monitoring for a defined period, or another measure reasonably tailored to the verified denial.</w:t>
      </w:r>
    </w:p>
    <w:p>
      <w:pPr>
        <w:pStyle w:val="Heading3"/>
      </w:pPr>
      <w:r>
        <w:t>31.E.10 Facility-Specific and Module-Confined Consequences.</w:t>
      </w:r>
    </w:p>
    <w:p>
      <w:pPr>
        <w:pStyle w:val="Normal"/>
      </w:pPr>
      <w:r>
        <w:t>Where verified remediation is refused, materially incomplete, or repeatedly defeated, consequences shall attach as closely as practicable to the offending facility, enterprise, relevant goods or services, or specific benefit connected to the violation. A facility-level labour case shall not ordinarily justify unrelated economy-wide retaliation, punishment of an unrelated sector, or deliberate harm to workers or consumers who lack a meaningful nexus to the violation.</w:t>
      </w:r>
    </w:p>
    <w:p>
      <w:pPr>
        <w:pStyle w:val="Heading3"/>
      </w:pPr>
      <w:r>
        <w:t>31.E.11 Proportionality.</w:t>
      </w:r>
    </w:p>
    <w:p>
      <w:pPr>
        <w:pStyle w:val="Normal"/>
      </w:pPr>
      <w:r>
        <w:t>Any trade consequence shall be proportionate to the seriousness, persistence, scale and commercial nexus of the verified denial; the number and vulnerability of affected workers; the respondent's cooperation; prior violations; and the adequacy and durability of remediation. No fixed tariff percentage, monetary multiple or automatic penalty ceiling shall substitute for case-specific proportionality.</w:t>
      </w:r>
    </w:p>
    <w:p>
      <w:pPr>
        <w:pStyle w:val="Heading3"/>
      </w:pPr>
      <w:r>
        <w:t>31.E.12 Repeat-Offender Escalation.</w:t>
      </w:r>
    </w:p>
    <w:p>
      <w:pPr>
        <w:pStyle w:val="Normal"/>
      </w:pPr>
      <w:r>
        <w:t>A facility or enterprise that promptly and durably remediates a first violation shall be distinguished from one that repeatedly commits, conceals, reinstates or relocates substantially similar violations. Repeated verified denials may justify progressively stronger facility-specific consequences, including suspension of relevant preferential treatment or, in the most serious persistent cases and where otherwise lawful, denial of entry for relevant goods.</w:t>
      </w:r>
    </w:p>
    <w:p>
      <w:pPr>
        <w:pStyle w:val="Heading3"/>
      </w:pPr>
      <w:r>
        <w:t>31.E.13 Automatic Earn-Back.</w:t>
      </w:r>
    </w:p>
    <w:p>
      <w:pPr>
        <w:pStyle w:val="Normal"/>
      </w:pPr>
      <w:r>
        <w:t>A suspended treaty benefit or facility-specific trade treatment shall be restored automatically when independent verification confirms that the denial has been effectively remediated and any reasonable durability period has been satisfied. Restoration shall not require a new political concession, unrelated payment, or renegotiation. A Party may maintain narrowly tailored monitoring after restoration where necessary to verify durability.</w:t>
      </w:r>
    </w:p>
    <w:p>
      <w:pPr>
        <w:pStyle w:val="Heading3"/>
      </w:pPr>
      <w:r>
        <w:t>31.E.14 Grave-Abuse Accelerator.</w:t>
      </w:r>
    </w:p>
    <w:p>
      <w:pPr>
        <w:pStyle w:val="Normal"/>
      </w:pPr>
      <w:r>
        <w:t>Credible evidence of forced labour, trafficking, violence, threats to life, severe retaliation, deliberate destruction of evidence, or another grave and imminent abuse may accelerate verification and permit temporary protective measures before completion of the ordinary cure sequence. Any accelerated measure shall receive prompt independent review and shall remain no broader or longer than necessary.</w:t>
      </w:r>
    </w:p>
    <w:p>
      <w:pPr>
        <w:pStyle w:val="Heading3"/>
      </w:pPr>
      <w:r>
        <w:t>31.E.15 No Double Punishment or Forum Shopping.</w:t>
      </w:r>
    </w:p>
    <w:p>
      <w:pPr>
        <w:pStyle w:val="Normal"/>
      </w:pPr>
      <w:r>
        <w:t>The Parties shall coordinate this Remedy with ordinary Chapter 23 enforcement, the Systemic Labor Rapid-Response Track, customs measures and other NAESTMA remedies so that the same underlying conduct is not subjected to duplicative punishment. Parallel proceedings may address distinct legal interests, but cumulative consequences shall remain proportionate and shall account for remediation already provided.</w:t>
      </w:r>
    </w:p>
    <w:p>
      <w:pPr>
        <w:pStyle w:val="Heading3"/>
      </w:pPr>
      <w:r>
        <w:t>31.E.16 Federalism and Domestic Institutional Neutrality.</w:t>
      </w:r>
    </w:p>
    <w:p>
      <w:pPr>
        <w:pStyle w:val="Normal"/>
      </w:pPr>
      <w:r>
        <w:t>A Party may implement this Article through federal, state, provincial, territorial, local or other competent authorities consistent with its constitutional order. Federalism or allocation of domestic jurisdiction shall not excuse failure to provide the required treaty outcome. Nothing in this Article requires the Parties to maintain identical labour statutes, agencies, tribunals or bargaining systems; functional equivalence in access, independence, speed, evidence, remediation and consequences is the governing standard.</w:t>
      </w:r>
    </w:p>
    <w:p>
      <w:pPr>
        <w:pStyle w:val="Heading3"/>
      </w:pPr>
      <w:r>
        <w:t>31.E.17 Country-Neutral Construction.</w:t>
      </w:r>
    </w:p>
    <w:p>
      <w:pPr>
        <w:pStyle w:val="Normal"/>
      </w:pPr>
      <w:r>
        <w:t>Except when describing the historical operation or transition of a predecessor mechanism, implementing texts shall use country-neutral terms such as Party, complainant Party, respondent Party, covered facility, enterprise and affected worker. No Party shall be presumed to be the ordinary source of labour violations or the ordinary target of enforcement.</w:t>
      </w:r>
    </w:p>
    <w:p>
      <w:pPr>
        <w:pStyle w:val="Heading3"/>
      </w:pPr>
      <w:r>
        <w:t>31.E.18 Transparency and Closure.</w:t>
      </w:r>
    </w:p>
    <w:p>
      <w:pPr>
        <w:pStyle w:val="Normal"/>
      </w:pPr>
      <w:r>
        <w:t>Final determinations shall publish sufficient non-confidential information to identify the facility or matter where lawful, describe the verified denial, state the remediation obtained, explain any consequence imposed, and record the basis for closure or restoration. Publication shall protect worker safety, personal information, legitimate confidential business information and the integrity of ongoing proceedings.</w:t>
      </w:r>
    </w:p>
    <w:p>
      <w:pPr>
        <w:pStyle w:val="Heading3"/>
      </w:pPr>
      <w:r>
        <w:t>31.E.19 Relationship to Predecessor Annexes.</w:t>
      </w:r>
    </w:p>
    <w:p>
      <w:pPr>
        <w:pStyle w:val="Normal"/>
      </w:pPr>
      <w:r>
        <w:t>Article 31.E prevails immediately over any inconsistent standing, admissibility, scope, covered-right, covered-facility, verification, remedy, proportionality, restoration, worker-protection, domestic-order, or priority-sector provision in Annex 31-A, Annex 31-B, or an implementing instrument derived from either Annex. Predecessor procedures may remain in administrative use during transition only to the extent consistent with this Article. The Parties shall complete administrative consolidation within 24 months of entry into force; that period shall not delay equal substantive access to the Remedy in every bilateral direction.</w:t>
      </w:r>
    </w:p>
    <w:p>
      <w:pPr>
        <w:pStyle w:val="Heading3"/>
      </w:pPr>
      <w:r>
        <w:t>31.E.20 Governing Principle.</w:t>
      </w:r>
    </w:p>
    <w:p>
      <w:pPr>
        <w:pStyle w:val="Normal"/>
      </w:pPr>
      <w:r>
        <w:t>A worker making NAESTMA-originating goods shall receive meaningful treaty protection whether the covered facility is located in Canada, Mexico or the United States. The Remedy protects workers first; trade consequences are instruments for securing compliance and remediation, not independent objectives.</w:t>
      </w:r>
    </w:p>
    <w:p>
      <w:pPr>
        <w:spacing w:before="0" w:after="0"/>
        <w:widowControl w:val="1"/>
      </w:pPr>
      <w:r>
        <w:t>32. FACILITY DECISION PATH AND PROTECTIVE REVIEW. An admitted submission becomes a Party invocation only when a Party's Receiving Authority delivers the Article 31.E.5 notice, and complainant, respondent, either Party and disputing Parties mean those two identified Parties. The respondent provides its investigation and remediation plan within thirty days after notice and completes the agreed cure within sixty days after notice unless a shorter protection period is necessary, after which either Party may request a three-member qualified neutral labor Verification Team constituted under Article 30.C within five days to report facts within thirty days. The Article 31.A panel decides denial, failed remediation and the facility-specific proportionate consequence within twenty days after composition on that report, and only the complaining Party may implement the panel-authorized consequence after its stated compliance period, subject to Article 31.D and every Chapter 35 tariff gate. Urgent temporary protection is limited to the complaining Party's own lawful jurisdiction and the affected goods or services, is notified immediately and reviewed by that panel within five days of request or composition, and expires after thirty days absent an independent lawful basis, without extraterritorial inspection authority or displacement of the distinct procedures in Articles 23-B.11 and 24-W.</w:t>
      </w:r>
    </w:p>
    <w:p/>
    <w:p>
      <w:pPr>
        <w:pStyle w:val="Heading2"/>
      </w:pPr>
      <w:bookmarkStart w:id="901017" w:name="_Toc300001016"/>
      <w:r>
        <w:t>Article 31.F: Chapter 23-B Disputes, Expedited Procedures</w:t>
      </w:r>
      <w:bookmarkEnd w:id="901017"/>
    </w:p>
    <w:p>
      <w:pPr>
        <w:pStyle w:val="Normal"/>
        <w:spacing w:before="0" w:after="0"/>
        <w:widowControl w:val="1"/>
      </w:pPr>
      <w:r>
        <w:t>Disputes arising under Chapter 23-B (North American Just Transition and Worker Security Framework) shall be handled through the expedited procedures set forth in Article 23-B.11, Chapter 31 with the controlling modifications in Article 23-B.11. Specifically:</w:t>
      </w:r>
    </w:p>
    <w:p/>
    <w:p>
      <w:pPr>
        <w:pStyle w:val="Normal"/>
      </w:pPr>
      <w:r>
        <w:t>(i) Chapter 23-B disputes have consultation commencing within fifteen days and completed within the following thirty days, with forty-five days as the total outer limit under Article 23-B.11 and panel timeline (6 months).</w:t>
      </w:r>
    </w:p>
    <w:p>
      <w:pPr>
        <w:pStyle w:val="Normal"/>
      </w:pPr>
      <w:r>
        <w:t>(ii) Panels hearing Chapter 23-B disputes shall include at least one member with labor law or social protection expertise.</w:t>
      </w:r>
    </w:p>
    <w:p>
      <w:pPr>
        <w:pStyle w:val="Normal"/>
      </w:pPr>
      <w:r>
        <w:t>(iii) Automatic financial enforcement escalation applies to Chapter 23-B non-compliance as specified in Article 23-B.11(d), with worker and community make-whole relief and Fund-directed assessments preceding any suspension of treaty benefits.</w:t>
      </w:r>
    </w:p>
    <w:p>
      <w:pPr>
        <w:pStyle w:val="Normal"/>
      </w:pPr>
      <w:r>
        <w:t>(iv) Chapter 23-B remedies include financial compensation to affected workers, not merely corrective action.</w:t>
      </w:r>
    </w:p>
    <w:p>
      <w:pPr/>
      <w:r>
        <w:t>CHAPTER 23-B INCORPORATED PROCEDURE. Article 31.F incorporates Article 23-B.11's complete consultation, composition, report and review procedure. Consultation begins within fifteen days and concludes within the next thirty days, with no more than forty-five days from the initial request. Article 23-B.11(d)(iv) supplies the specialized panel clocks and Article 23-B.11(g) supplies Board review. The general Article 31.A and Article 31.D clocks do not displace those express modifications.</w:t>
      </w:r>
    </w:p>
    <w:p>
      <w:pPr>
        <w:pStyle w:val="Heading1"/>
      </w:pPr>
      <w:bookmarkStart w:id="901018" w:name="_Toc300001017"/>
      <w:r>
        <w:t xml:space="preserve">CHAPTER 32 EXCEPTIONS AND GENERAL PROVISIONS</w:t>
      </w:r>
      <w:r>
        <w:br/>
      </w:r>
      <w:r>
        <w:t xml:space="preserve">Section A: Exceptions</w:t>
      </w:r>
      <w:bookmarkEnd w:id="901018"/>
    </w:p>
    <w:p>
      <w:pPr>
        <w:pStyle w:val="Heading2"/>
      </w:pPr>
      <w:bookmarkStart w:id="901019" w:name="_Toc300001018"/>
      <w:r>
        <w:t xml:space="preserve">Article 32.1: General Exceptions</w:t>
      </w:r>
      <w:bookmarkEnd w:id="901019"/>
    </w:p>
    <w:p>
      <w:pPr>
        <w:pStyle w:val="Normal"/>
      </w:pPr>
      <w:r>
        <w:t xml:space="preserve">1. For the purposes of Chapter 2 (National Treatment and Market Access for Goods), Chapter 3 (Agriculture), Chapter 4 (Rules of Origin), Chapter 5 (Origin Procedures), Chapter 6 (Textile and Apparel Goods), Chapter 7 (Customs Administration and Trade Facilitation), Chapter 9 (Sanitary and Phytosanitary Measures), Chapter 11 (Technical Barriers to Trade), Chapter 12 (Sectoral Annexes), and Chapter 22 (State-Owned Enterprises and Designated Monopolies), Article XX of the GATT 1994 and its interpretative notes are incorporated into and made part of this Agreement, </w:t>
      </w:r>
      <w:r>
        <w:rPr>
          <w:i/>
        </w:rPr>
        <w:t xml:space="preserve">mutatis mutandis</w:t>
      </w:r>
      <w:r>
        <w:t xml:space="preserve">.</w:t>
      </w:r>
      <w:r>
        <w:rPr>
          <w:vertAlign w:val="superscript"/>
        </w:rPr>
        <w:t xml:space="preserve">1</w:t>
      </w:r>
    </w:p>
    <w:p>
      <w:pPr>
        <w:pStyle w:val="Normal"/>
      </w:pPr>
      <w:r>
        <w:t xml:space="preserve">2. For the purposes of Chapter 15 (Cross-Border Trade in Services), Chapter 16 (Temporary Entry for Business Persons), Chapter 18 (Telecommunications), Chapter 19 (Digital Trade),</w:t>
      </w:r>
      <w:r>
        <w:rPr>
          <w:vertAlign w:val="superscript"/>
        </w:rPr>
        <w:t xml:space="preserve">2</w:t>
      </w:r>
      <w:r>
        <w:t xml:space="preserve"> and Chapter 22 (State-Owned Enterprises and Designated Monopolies), paragraphs (a), (b), and (c) of Article XIV of GATS are incorporated into and made part of this Agreement, mutatis mutandis.</w:t>
      </w:r>
      <w:r>
        <w:rPr>
          <w:vertAlign w:val="superscript"/>
        </w:rPr>
        <w:t xml:space="preserve">3</w:t>
      </w:r>
    </w:p>
    <w:p>
      <w:pPr>
        <w:pStyle w:val="Normal"/>
      </w:pPr>
      <w:r>
        <w:t xml:space="preserve">3. The Parties understand that the measures referred to in Article XX(b) of the GATT 1994 and GATS Article XIV (b) include environmental measures necessary to protect human, animal, or plant life or health, and that Article XX(g) of the GATT 1994 applies to measures relating to the conservation of living and non-living exhaustible natural resources.</w:t>
      </w:r>
    </w:p>
    <w:p>
      <w:pPr>
        <w:pStyle w:val="Normal"/>
      </w:pPr>
      <w:r>
        <w:t xml:space="preserve">4. Nothing in this Agreement shall be construed to prevent a Party from taking action, including maintaining or increasing a customs duty, that is authorized by the Dispute Settlement Body of the WTO or is taken as a result of a decision by a dispute settlement panel under a free trade agreement to which the Party taking action and the Party against which the action is taken are party.</w:t>
      </w:r>
    </w:p>
    <w:p>
      <w:pPr>
        <w:pStyle w:val="Heading2"/>
      </w:pPr>
      <w:bookmarkStart w:id="901020" w:name="_Toc300001019"/>
      <w:r>
        <w:t xml:space="preserve">Article 32.2: Essential Security</w:t>
      </w:r>
      <w:bookmarkEnd w:id="901020"/>
    </w:p>
    <w:p>
      <w:pPr>
        <w:pStyle w:val="Normal"/>
      </w:pPr>
      <w:r>
        <w:t xml:space="preserve">1. Nothing in this Agreement shall be construed to:</w:t>
      </w:r>
    </w:p>
    <w:p>
      <w:pPr>
        <w:pStyle w:val="Normal"/>
        <w:ind w:left="360"/>
      </w:pPr>
      <w:r>
        <w:t xml:space="preserve">(a) require a Party to furnish or allow access to information the disclosure of which it determines to be contrary to its essential security interests; or</w:t>
      </w:r>
    </w:p>
    <w:p>
      <w:pPr>
        <w:pStyle w:val="Normal"/>
        <w:ind w:left="360"/>
      </w:pPr>
      <w:r>
        <w:t xml:space="preserve">(b) preclude a Party from applying measures that it considers necessary for the fulfilment of its obligations with respect to the maintenance or restoration of international peace or security, or the protection of its own essential security interests.</w:t>
      </w:r>
    </w:p>
    <w:p>
      <w:pPr>
        <w:pStyle w:val="Heading2"/>
      </w:pPr>
      <w:bookmarkStart w:id="901021" w:name="_Toc300001020"/>
      <w:r>
        <w:t xml:space="preserve">Article 32.3: Taxation Measures</w:t>
      </w:r>
      <w:bookmarkEnd w:id="901021"/>
    </w:p>
    <w:p>
      <w:pPr>
        <w:pStyle w:val="Normal"/>
      </w:pPr>
      <w:r>
        <w:t xml:space="preserve">1. For the purposes of this Article:</w:t>
      </w:r>
    </w:p>
    <w:p>
      <w:pPr>
        <w:pStyle w:val="Normal"/>
      </w:pPr>
      <w:r>
        <w:t xml:space="preserve">designated authorities</w:t>
      </w:r>
      <w:r>
        <w:t xml:space="preserve"> means:</w:t>
      </w:r>
    </w:p>
    <w:p>
      <w:pPr>
        <w:pStyle w:val="Normal"/>
        <w:ind w:left="360"/>
      </w:pPr>
      <w:r>
        <w:t xml:space="preserve">(a) for Canada, the Assistant Deputy Minister for Tax Policy, Department of Finance;</w:t>
      </w:r>
    </w:p>
    <w:p>
      <w:pPr>
        <w:pStyle w:val="Normal"/>
        <w:ind w:left="360"/>
      </w:pPr>
      <w:r>
        <w:t xml:space="preserve">(b) for Mexico, the Deputy Minister of Revenue of the Ministry of Finance and Public Credit (Subsecretario de Ingresos); and</w:t>
      </w:r>
    </w:p>
    <w:p>
      <w:pPr>
        <w:pStyle w:val="Normal"/>
        <w:ind w:left="360"/>
      </w:pPr>
      <w:r>
        <w:t xml:space="preserve">(c) for the United States, the Assistant Secretary of the Treasury (Tax Policy),</w:t>
      </w:r>
    </w:p>
    <w:p>
      <w:pPr>
        <w:pStyle w:val="Normal"/>
      </w:pPr>
      <w:r>
        <w:t xml:space="preserve">or any successor of these designated authorities as notified in writing to the other Parties;</w:t>
      </w:r>
    </w:p>
    <w:p>
      <w:pPr>
        <w:pStyle w:val="Normal"/>
      </w:pPr>
      <w:r>
        <w:t xml:space="preserve">tax convention </w:t>
      </w:r>
      <w:r>
        <w:t xml:space="preserve">means a convention for the avoidance of double taxation or other international taxation agreement or arrangement; and</w:t>
      </w:r>
    </w:p>
    <w:p>
      <w:pPr>
        <w:pStyle w:val="Normal"/>
      </w:pPr>
      <w:r>
        <w:t xml:space="preserve">taxes </w:t>
      </w:r>
      <w:r>
        <w:t xml:space="preserve">and</w:t>
      </w:r>
      <w:r>
        <w:t xml:space="preserve"> taxation measures </w:t>
      </w:r>
      <w:r>
        <w:t xml:space="preserve">include excise duties, but do not include:</w:t>
      </w:r>
    </w:p>
    <w:p>
      <w:pPr>
        <w:pStyle w:val="Normal"/>
        <w:ind w:left="360"/>
      </w:pPr>
      <w:r>
        <w:t xml:space="preserve">(a) a “customs duty” as defined in Article 1.5 (General Definitions); or</w:t>
      </w:r>
    </w:p>
    <w:p>
      <w:pPr>
        <w:pStyle w:val="Normal"/>
        <w:ind w:left="360"/>
      </w:pPr>
      <w:r>
        <w:t xml:space="preserve">(b) the measures listed in subparagraphs (b), (c), and (d) of that definition.</w:t>
      </w:r>
    </w:p>
    <w:p>
      <w:pPr>
        <w:pStyle w:val="Normal"/>
      </w:pPr>
      <w:r>
        <w:t xml:space="preserve">2. Except as provided in this Article, this Agreement does not apply to a taxation measure.</w:t>
      </w:r>
    </w:p>
    <w:p>
      <w:pPr>
        <w:pStyle w:val="Normal"/>
      </w:pPr>
      <w:r>
        <w:t xml:space="preserve">3. This Agreement does not affect the rights and obligations of a Party under a tax convention. In the event of any inconsistency between this Agreement and a tax convention, that convention prevails to the extent of the inconsistency.</w:t>
      </w:r>
    </w:p>
    <w:p>
      <w:pPr>
        <w:pStyle w:val="Normal"/>
      </w:pPr>
      <w:r>
        <w:t xml:space="preserve">4. In the case of a tax convention between two or more Parties, if an issue arises as to whether an inconsistency exists between this Agreement and the tax convention, the issue shall be referred to the designated authorities of the Parties in question. The designated authorities of those Parties shall have six months from the date of referral of the issue to make a determination as to the existence and extent of any inconsistency. If those designated authorities agree, the period may be extended up to 12 months from the date of referral of the issue. No procedures concerning the measure giving rise to the issue may be initiated under Chapter 31 (Dispute Settlement) or, as between the United States and Mexico, Annex 14-D (Mexico-United States Investment Disputes), or Annex 14-E (Mexico-United States Investment Disputes Related to Covered Government Contracts) until the expiry of the six month period, or any other period as may have been agreed by the designated authorities. A panel or tribunal established to consider a dispute related to a taxation measure shall accept as binding a determination of the designated authorities of the Parties in question made under this paragraph.</w:t>
      </w:r>
    </w:p>
    <w:p>
      <w:pPr>
        <w:pStyle w:val="Normal"/>
      </w:pPr>
      <w:r>
        <w:t xml:space="preserve">5. Notwithstanding paragraph 3:</w:t>
      </w:r>
    </w:p>
    <w:p>
      <w:pPr>
        <w:pStyle w:val="Normal"/>
        <w:ind w:left="360"/>
      </w:pPr>
      <w:r>
        <w:t xml:space="preserve">(a) Article 2.3 (National Treatment) and other provisions of this Agreement that are necessary to give effect to that Article apply to taxation measures to the same extent as does Article III of the GATT 1994, including its interpretative notes; and</w:t>
      </w:r>
    </w:p>
    <w:p>
      <w:pPr>
        <w:pStyle w:val="Normal"/>
        <w:ind w:left="360"/>
      </w:pPr>
      <w:r>
        <w:t xml:space="preserve">(b) Article 2.15 (Export Duties, Taxes, or other Charges) applies to taxation measures.</w:t>
      </w:r>
    </w:p>
    <w:p>
      <w:pPr>
        <w:pStyle w:val="Normal"/>
      </w:pPr>
      <w:r>
        <w:t xml:space="preserve">6. Subject to paragraph 3:</w:t>
      </w:r>
    </w:p>
    <w:p>
      <w:pPr>
        <w:pStyle w:val="Normal"/>
        <w:ind w:left="360"/>
      </w:pPr>
      <w:r>
        <w:t xml:space="preserve">(a) Article 15.3 (National Treatment) and Article 17.3 (National Treatment) apply to a taxation measure on income, on capital gains, or on the taxable capital of corporations that relate to the purchase or consumption of particular services, except that this subparagraph does not prevent a Party from conditioning the receipt or continued receipt of an advantage that relates to the purchase or consumption of particular services on requirements to provide the service in its territory;</w:t>
      </w:r>
    </w:p>
    <w:p>
      <w:pPr>
        <w:pStyle w:val="Normal"/>
        <w:ind w:left="360"/>
      </w:pPr>
      <w:r>
        <w:t xml:space="preserve">(b) Article 14.4 (National Treatment), Article 14.5 (Most-Favored-Nation Treatment), Article 15.3 (National Treatment), Article 15.4 (Most-Favored-Nation Treatment), Article 17.3 (National Treatment), Article 17.4 (Most-Favored-Nation Treatment), and Article 19.4 (Non-Discriminatory Treatment of Digital Products) apply to a taxation measure, other than a taxation measure on income, on capital gains, on the taxable capital of corporations, or taxes on estates, inheritances, gifts, and generation-skipping transfers; and</w:t>
      </w:r>
    </w:p>
    <w:p>
      <w:pPr>
        <w:pStyle w:val="Normal"/>
        <w:ind w:left="360"/>
      </w:pPr>
      <w:r>
        <w:t xml:space="preserve">(c) Article 19.4 (Non-Discriminatory Treatment of Digital Products) apply to a taxation measure on income, on capital gains, or on the taxable capital of corporations that relate to the purchase or consumption of particular digital products, except that this subparagraph does not prevent a Party from conditioning the receipt or continued receipt of an advantage relating to the purchase or consumption of particular digital products on requirements to provide the digital product in its territory,</w:t>
      </w:r>
    </w:p>
    <w:p>
      <w:pPr>
        <w:pStyle w:val="Normal"/>
      </w:pPr>
      <w:r>
        <w:t xml:space="preserve">but nothing in the Articles referred to in subparagraphs (a), (b), and (c) apply to:</w:t>
      </w:r>
    </w:p>
    <w:p>
      <w:pPr>
        <w:pStyle w:val="Normal"/>
        <w:ind w:left="360"/>
      </w:pPr>
      <w:r>
        <w:t xml:space="preserve">(d) a most-favored-nation obligation with respect to an advantage accorded by a Party pursuant to a tax convention;</w:t>
      </w:r>
    </w:p>
    <w:p>
      <w:pPr>
        <w:pStyle w:val="Normal"/>
        <w:ind w:left="360"/>
      </w:pPr>
      <w:r>
        <w:t xml:space="preserve">(e) a non-conforming provision of a taxation measure in existence as of the date of entry into force of NAFTA 1994;</w:t>
      </w:r>
    </w:p>
    <w:p>
      <w:pPr>
        <w:pStyle w:val="Normal"/>
        <w:ind w:left="360"/>
      </w:pPr>
      <w:r>
        <w:t xml:space="preserve">(f) the continuation or prompt renewal of a non-conforming provision of a taxation measure in existence as of the date of entry into force of NAFTA 1994;</w:t>
      </w:r>
    </w:p>
    <w:p>
      <w:pPr>
        <w:pStyle w:val="Normal"/>
        <w:ind w:left="360"/>
      </w:pPr>
      <w:r>
        <w:t xml:space="preserve">(g) an amendment to a non-conforming provision of a taxation measure in existence as of the date of entry into force of NAFTA 1994 to the extent that the amendment does not decrease its conformity, at the time of the amendment, with any of those Articles;</w:t>
      </w:r>
    </w:p>
    <w:p>
      <w:pPr>
        <w:pStyle w:val="Normal"/>
        <w:ind w:left="360"/>
      </w:pPr>
      <w:r>
        <w:t xml:space="preserve">(h) the adoption or enforcement of a new taxation measure aimed at ensuring the equitable or effective imposition or collection of taxes, including a taxation measure that differentiates between persons based on their place of residence for tax purposes, provided that the taxation measure does not arbitrarily discriminate between persons, goods or services of the Parties;</w:t>
      </w:r>
      <w:r>
        <w:rPr>
          <w:vertAlign w:val="superscript"/>
        </w:rPr>
        <w:t xml:space="preserve">4</w:t>
      </w:r>
    </w:p>
    <w:p>
      <w:pPr>
        <w:pStyle w:val="Normal"/>
        <w:ind w:left="360"/>
      </w:pPr>
      <w:r>
        <w:t xml:space="preserve">(i) a provision that conditions the receipt or continued receipt of an advantage relating to the contributions to, or income of, a pension trust, pension plan, or other arrangement to provide pension, or similar benefits, on a requirement that the Party maintain continuous jurisdiction, regulation, or supervision over that trust, plan, fund, or other arrangement; or</w:t>
      </w:r>
    </w:p>
    <w:p>
      <w:pPr>
        <w:pStyle w:val="Normal"/>
        <w:ind w:left="360"/>
      </w:pPr>
      <w:r>
        <w:t xml:space="preserve">(j) an excise duty on insurance premiums to the extent that the excise duty would, if levied by another Party, be covered by subparagraphs (e), (f), or (g).</w:t>
      </w:r>
    </w:p>
    <w:p>
      <w:pPr>
        <w:pStyle w:val="Normal"/>
      </w:pPr>
      <w:r>
        <w:t xml:space="preserve">7. Subject to paragraph 3, and without prejudice to the rights and obligations of the Parties under paragraph 5, Article 14.10.2 (Performance Requirements), Article 14.10.3, and Article 14.10.4 apply to a taxation measure.</w:t>
      </w:r>
    </w:p>
    <w:p>
      <w:pPr>
        <w:pStyle w:val="Normal"/>
      </w:pPr>
      <w:r>
        <w:t xml:space="preserve">8. Article 14.8 (Expropriation and Compensation) applies to a taxation measure. However, as between the United States and Mexico, no investor may invoke Article 14.8 (Expropriation and Compensation) as the basis for a claim if it has been determined pursuant to this paragraph that the measure is not an expropriation. An investor of the United States or Mexico that seeks to invoke Article 14.8 (Expropriation and Compensation) with respect to a taxation measure must first refer to the designated authorities of the Party of the investor and the respondent Party, at the time that it gives its notice of intent under Article 14.D.3 (Submission of a Claim to Arbitration), the issue of whether that taxation measure is not an expropriation. If the designated authorities do not agree to consider the issue or, having agreed to consider it, fail to agree that the measure is not an expropriation within a period of six months of the referral, the investor of the United States or Mexico may submit its claim to arbitration under, as applicable, Annex 14.D.3 (Submission of a Claim to Arbitration) or paragraph 2 of Annex 14-E (Mexico-United States Investment Disputes Related to Covered Government Contracts).</w:t>
      </w:r>
    </w:p>
    <w:p>
      <w:pPr>
        <w:pStyle w:val="Heading2"/>
      </w:pPr>
      <w:bookmarkStart w:id="901022" w:name="_Toc300001021"/>
      <w:r>
        <w:t xml:space="preserve">Article 32.4: Temporary Safeguards Measures</w:t>
      </w:r>
      <w:bookmarkEnd w:id="901022"/>
    </w:p>
    <w:p>
      <w:pPr>
        <w:pStyle w:val="Normal"/>
      </w:pPr>
      <w:r>
        <w:t xml:space="preserve">1. For the purposes of this Article:</w:t>
      </w:r>
    </w:p>
    <w:p>
      <w:pPr>
        <w:pStyle w:val="Normal"/>
      </w:pPr>
      <w:r>
        <w:t xml:space="preserve">foreign direct investment</w:t>
      </w:r>
      <w:r>
        <w:t xml:space="preserve"> means a type of investment by an investor of a Party in the territory of another Party, through which the investor exercises ownership or control over, or a significant degree of influence on the management of, an enterprise or other direct investment, and tends to be undertaken in order to establish a lasting relationship; for example, ownership of at least 10 percent of the voting power of an enterprise over a period of at least 12 months generally would be considered a foreign direct investment.</w:t>
      </w:r>
    </w:p>
    <w:p>
      <w:pPr>
        <w:pStyle w:val="Normal"/>
      </w:pPr>
      <w:r>
        <w:t xml:space="preserve">2. This Agreement does not prevent a Party from adopting or maintaining a restrictive measure with regard to payments or transfers for current account transactions in the event of serious balance of payments and external financial difficulties or threats thereof.</w:t>
      </w:r>
    </w:p>
    <w:p>
      <w:pPr>
        <w:pStyle w:val="Normal"/>
      </w:pPr>
      <w:r>
        <w:t xml:space="preserve">3. This Agreement does not prevent a Party from adopting or maintaining a restrictive measure with regard to payments or transfers relating to the movements of capital:</w:t>
      </w:r>
    </w:p>
    <w:p>
      <w:pPr>
        <w:pStyle w:val="Normal"/>
        <w:ind w:left="360"/>
      </w:pPr>
      <w:r>
        <w:t xml:space="preserve">(a) in the event of serious balance of payments and external financial difficulties or threats thereof; or</w:t>
      </w:r>
    </w:p>
    <w:p>
      <w:pPr>
        <w:pStyle w:val="Normal"/>
        <w:ind w:left="360"/>
      </w:pPr>
      <w:r>
        <w:t xml:space="preserve">(b) if, in exceptional circumstances, payments or transfers relating to capital movements cause or threaten to cause serious difficulties for macroeconomic management.</w:t>
      </w:r>
    </w:p>
    <w:p>
      <w:pPr>
        <w:pStyle w:val="Normal"/>
      </w:pPr>
      <w:r>
        <w:t xml:space="preserve">4. A measure adopted or maintained under paragraph 2 or 3 must:</w:t>
      </w:r>
    </w:p>
    <w:p>
      <w:pPr>
        <w:pStyle w:val="Normal"/>
        <w:ind w:left="360"/>
      </w:pPr>
      <w:r>
        <w:t xml:space="preserve">(a) not be inconsistent with Article 14.4 (National Treatment), Article 14.5 (Most-Favored-Nation Treatment), Article 15.3 (National Treatment), Article 15.4 (Most-Favored-Nation Treatment), Article 17.3 (National Treatment), and Article 17.4 (Most-Favored-Nation Treatment);</w:t>
      </w:r>
      <w:r>
        <w:rPr>
          <w:vertAlign w:val="superscript"/>
        </w:rPr>
        <w:t xml:space="preserve">5</w:t>
      </w:r>
    </w:p>
    <w:p>
      <w:pPr>
        <w:pStyle w:val="Normal"/>
        <w:ind w:left="360"/>
      </w:pPr>
      <w:r>
        <w:t xml:space="preserve">(b) be consistent with the Articles of Agreement of the IMF;</w:t>
      </w:r>
    </w:p>
    <w:p>
      <w:pPr>
        <w:pStyle w:val="Normal"/>
        <w:ind w:left="360"/>
      </w:pPr>
      <w:r>
        <w:t xml:space="preserve">(c) avoid unnecessary damage to the commercial, economic, and financial interests of another Party;</w:t>
      </w:r>
    </w:p>
    <w:p>
      <w:pPr>
        <w:pStyle w:val="Normal"/>
        <w:ind w:left="360"/>
      </w:pPr>
      <w:r>
        <w:t xml:space="preserve">(d) not exceed those necessary to deal with the circumstances described in paragraph 2 or 3;</w:t>
      </w:r>
    </w:p>
    <w:p>
      <w:pPr>
        <w:pStyle w:val="Normal"/>
        <w:ind w:left="360"/>
      </w:pPr>
      <w:r>
        <w:t xml:space="preserve">(e) be temporary and be phased out progressively as the situations specified in paragraph 2 or 3 improve, and shall not exceed 12 months in duration; however, in exceptional circumstances, a Party may extend that measure for one additional period of one year, by notifying the other Parties in writing within 30 days of the extension;</w:t>
      </w:r>
    </w:p>
    <w:p>
      <w:pPr>
        <w:pStyle w:val="Normal"/>
        <w:ind w:left="360"/>
      </w:pPr>
      <w:r>
        <w:t xml:space="preserve">(f) not be inconsistent with Article 14.8 (Expropriation and Compensation);</w:t>
      </w:r>
      <w:r>
        <w:rPr>
          <w:vertAlign w:val="superscript"/>
        </w:rPr>
        <w:t xml:space="preserve">6</w:t>
      </w:r>
    </w:p>
    <w:p>
      <w:pPr>
        <w:pStyle w:val="Normal"/>
        <w:ind w:left="360"/>
      </w:pPr>
      <w:r>
        <w:t xml:space="preserve">(g) in the case of restrictions on capital outflows, not interfere with investors’ ability to earn a market rate of return in the territory of the restricting Party on assets invested in the territory of the restricting Party by an investor of a Party that are restricted from being transferred out of the territory of the restricting Party; and</w:t>
      </w:r>
    </w:p>
    <w:p>
      <w:pPr>
        <w:pStyle w:val="Normal"/>
        <w:ind w:left="360"/>
      </w:pPr>
      <w:r>
        <w:t xml:space="preserve">(h) not be used to avoid necessary macroeconomic adjustment.</w:t>
      </w:r>
    </w:p>
    <w:p>
      <w:pPr>
        <w:pStyle w:val="Normal"/>
      </w:pPr>
      <w:r>
        <w:t xml:space="preserve">5. As soon as practicable after a Party imposes a measure under paragraph 2, the Party shall:</w:t>
      </w:r>
    </w:p>
    <w:p>
      <w:pPr>
        <w:pStyle w:val="Normal"/>
        <w:ind w:left="360"/>
      </w:pPr>
      <w:r>
        <w:t xml:space="preserve">(a) submit any current account exchange restrictions to the IMF for review and approval under Article VIII of the Articles of Agreement of the IMF;</w:t>
      </w:r>
    </w:p>
    <w:p>
      <w:pPr>
        <w:pStyle w:val="Normal"/>
        <w:ind w:left="360"/>
      </w:pPr>
      <w:r>
        <w:t xml:space="preserve">(b) consistent with its obligations under the Articles of Agreement of the IMF, enter into good faith consultations with the IMF on economic adjustment measures necessary to remove the restrictions in 3(a); and</w:t>
      </w:r>
    </w:p>
    <w:p>
      <w:pPr>
        <w:pStyle w:val="Normal"/>
        <w:ind w:left="360"/>
      </w:pPr>
      <w:r>
        <w:t xml:space="preserve">(c) adopt or maintain economic policies consistent with those consultations.</w:t>
      </w:r>
    </w:p>
    <w:p>
      <w:pPr>
        <w:pStyle w:val="Normal"/>
      </w:pPr>
      <w:r>
        <w:t xml:space="preserve">6. Measures referred to in paragraphs 2 and 3 shall not apply to payments or transfers relating to foreign direct investment.</w:t>
      </w:r>
    </w:p>
    <w:p>
      <w:pPr>
        <w:pStyle w:val="Normal"/>
      </w:pPr>
      <w:r>
        <w:t xml:space="preserve">7. A Party shall endeavor to provide that a measure it adopts or maintains under paragraph 2 or 3 be price-based, and if that measure is not price-based, the Party shall explain the rationale for using quantitative restrictions when it notifies the other Parties of the measure.</w:t>
      </w:r>
    </w:p>
    <w:p>
      <w:pPr>
        <w:pStyle w:val="Normal"/>
      </w:pPr>
      <w:r>
        <w:t xml:space="preserve">8. In the case of trade in goods, Article XII of GATT 1994 and the </w:t>
      </w:r>
      <w:r>
        <w:rPr>
          <w:i/>
        </w:rPr>
        <w:t xml:space="preserve">Understanding on the Balance-of-Payments Provisions of the GATT 1994, </w:t>
      </w:r>
      <w:r>
        <w:t xml:space="preserve">set out in Annex 1A to the WTO Agreement, are incorporated into and made part of this Agreement, </w:t>
      </w:r>
      <w:r>
        <w:rPr>
          <w:i/>
        </w:rPr>
        <w:t xml:space="preserve">mutatis mutandis</w:t>
      </w:r>
      <w:r>
        <w:t xml:space="preserve">. Any measure it adopts or maintains under this paragraph shall not impair the relative benefits accorded to another Party under this Agreement as compared to the treatment of a non-Party.</w:t>
      </w:r>
    </w:p>
    <w:p>
      <w:pPr>
        <w:pStyle w:val="Normal"/>
      </w:pPr>
      <w:r>
        <w:t xml:space="preserve">9. A Party adopting or maintaining a measure under paragraph 2, 3, or 8 shall:</w:t>
      </w:r>
    </w:p>
    <w:p>
      <w:pPr>
        <w:pStyle w:val="Normal"/>
        <w:ind w:left="360"/>
      </w:pPr>
      <w:r>
        <w:t xml:space="preserve">(a) notify, in writing, the other Parties of the measure, including any changes in it, along with the rationale for their imposition, within 30 days of its adoption;</w:t>
      </w:r>
    </w:p>
    <w:p>
      <w:pPr>
        <w:pStyle w:val="Normal"/>
        <w:ind w:left="360"/>
      </w:pPr>
      <w:r>
        <w:t xml:space="preserve">(b) present, as soon as possible, either a time schedule or the conditions necessary for their removal;</w:t>
      </w:r>
    </w:p>
    <w:p>
      <w:pPr>
        <w:pStyle w:val="Normal"/>
        <w:ind w:left="360"/>
      </w:pPr>
      <w:r>
        <w:t xml:space="preserve">(c) promptly publish the measure; and</w:t>
      </w:r>
    </w:p>
    <w:p>
      <w:pPr>
        <w:pStyle w:val="Normal"/>
        <w:ind w:left="360"/>
      </w:pPr>
      <w:r>
        <w:t xml:space="preserve">(d) promptly commence consultations with the other Parties in order to review the measure.</w:t>
      </w:r>
    </w:p>
    <w:p>
      <w:pPr>
        <w:pStyle w:val="Normal"/>
        <w:ind w:left="720"/>
      </w:pPr>
      <w:r>
        <w:t xml:space="preserve">(i) In the case of capital movements, promptly respond to any other Party that requests consultations in relation to the measure, provided that such consultations are not otherwise taking place outside of this Agreement.</w:t>
      </w:r>
    </w:p>
    <w:p>
      <w:pPr>
        <w:pStyle w:val="Normal"/>
        <w:ind w:left="720"/>
      </w:pPr>
      <w:r>
        <w:t xml:space="preserve">(ii) In the case of current account restrictions, if consultations in relation to the measure are not taking place under the framework of the WTO Agreement, a Party, if requested, shall promptly commence consultations with any interested Party.</w:t>
      </w:r>
    </w:p>
    <w:p>
      <w:pPr>
        <w:pStyle w:val="Normal"/>
      </w:pPr>
      <w:r>
        <w:t xml:space="preserve">Footnote 5 </w:t>
      </w:r>
      <w:r>
        <w:t xml:space="preserve">Without prejudice to the general interpretation of the Articles listed in this sub-paragraph, the fact that a measure a Party adopts or maintains pursuant to paragraph 2 or 3 differentiates between investors on the basis of residency does not necessarily mean that the measure is inconsistent with those Articles.</w:t>
      </w:r>
    </w:p>
    <w:p>
      <w:pPr>
        <w:pStyle w:val="Normal"/>
      </w:pPr>
      <w:r>
        <w:t xml:space="preserve">Footnote 6 </w:t>
      </w:r>
      <w:r>
        <w:t xml:space="preserve">For greater certainty, a measure referred to in paragraph 2 or 3 may be non-discriminatory regulatory actions by a Party that is designed and applied to protect legitimate public welfare objectives as referred to in Annex 14-B.3(b) (Expropriation).</w:t>
      </w:r>
    </w:p>
    <w:p>
      <w:pPr>
        <w:pStyle w:val="Heading2"/>
      </w:pPr>
      <w:bookmarkStart w:id="901023" w:name="_Toc300001022"/>
      <w:r>
        <w:t xml:space="preserve">Article 32.5: Indigenous Peoples Rights</w:t>
      </w:r>
      <w:bookmarkEnd w:id="901023"/>
    </w:p>
    <w:p>
      <w:pPr>
        <w:pStyle w:val="Normal"/>
      </w:pPr>
      <w:r>
        <w:t xml:space="preserve">Provided that such measures are not used as a means of arbitrary or unjustified discrimination against persons of the other Parties or as a disguised restriction on trade in goods, services, and investment, this Agreement does not preclude a Party from adopting or maintaining a measure it deems necessary to fulfill its legal obligations to indigenous peoples. </w:t>
      </w:r>
      <w:r>
        <w:rPr>
          <w:vertAlign w:val="superscript"/>
        </w:rPr>
        <w:t xml:space="preserve">7</w:t>
      </w:r>
    </w:p>
    <w:p>
      <w:pPr>
        <w:pStyle w:val="Heading2"/>
      </w:pPr>
      <w:bookmarkStart w:id="901024" w:name="_Toc300001023"/>
      <w:r>
        <w:t xml:space="preserve">Article 32.6: Cultural Industries</w:t>
      </w:r>
      <w:bookmarkEnd w:id="901024"/>
    </w:p>
    <w:p>
      <w:pPr>
        <w:pStyle w:val="Normal"/>
      </w:pPr>
      <w:r>
        <w:t xml:space="preserve">1. For the purposes of this Article, “cultural industry” means a person engaged in the following activities:</w:t>
      </w:r>
    </w:p>
    <w:p>
      <w:pPr>
        <w:pStyle w:val="Normal"/>
        <w:ind w:left="360"/>
      </w:pPr>
      <w:r>
        <w:t xml:space="preserve">(a) the publication, distribution, or sale of books, magazines, periodicals or newspapers in print or machine readable form but not including the sole activity of printing or typesetting any of the foregoing;</w:t>
      </w:r>
    </w:p>
    <w:p>
      <w:pPr>
        <w:pStyle w:val="Normal"/>
        <w:ind w:left="360"/>
      </w:pPr>
      <w:r>
        <w:t xml:space="preserve">(b) the production, distribution, sale, or exhibition of film or video recordings;</w:t>
      </w:r>
    </w:p>
    <w:p>
      <w:pPr>
        <w:pStyle w:val="Normal"/>
        <w:ind w:left="360"/>
      </w:pPr>
      <w:r>
        <w:t xml:space="preserve">(c) the production, distribution, sale, or exhibition of audio or video music recordings;</w:t>
      </w:r>
    </w:p>
    <w:p>
      <w:pPr>
        <w:pStyle w:val="Normal"/>
        <w:ind w:left="360"/>
      </w:pPr>
      <w:r>
        <w:t xml:space="preserve">(d) the publication, distribution, or sale of music in print or machine readable form; or</w:t>
      </w:r>
    </w:p>
    <w:p>
      <w:pPr>
        <w:pStyle w:val="Normal"/>
        <w:ind w:left="360"/>
      </w:pPr>
      <w:r>
        <w:t xml:space="preserve">(e) radiocommunications in which the transmissions are intended for direct reception by the general public, and all radio, television and cable broadcasting undertakings and all satellite programming and broadcast network services</w:t>
      </w:r>
    </w:p>
    <w:p>
      <w:pPr>
        <w:pStyle w:val="Normal"/>
      </w:pPr>
      <w:r>
        <w:t xml:space="preserve">2. This Agreement does not apply to a measure adopted or maintained by Canada with respect to a cultural industry, except as specifically provided in Article 2.4 (Treatment of Customs Duties) or Annex 15-D (Programming Services).</w:t>
      </w:r>
    </w:p>
    <w:p>
      <w:pPr>
        <w:pStyle w:val="Normal"/>
      </w:pPr>
      <w:r>
        <w:t xml:space="preserve">3. With respect to Canadian goods, services, and content, the United States and Mexico may adopt or maintain a measure that, were it adopted or maintained by Canada, would have been inconsistent with this Agreement but for paragraph 2.</w:t>
      </w:r>
    </w:p>
    <w:p>
      <w:pPr>
        <w:pStyle w:val="Normal"/>
      </w:pPr>
      <w:r>
        <w:t xml:space="preserve">4. Notwithstanding any other provision of this Agreement, a Party may take a measure of equivalent commercial effect in response to an action by another Party that would have been inconsistent with this Agreement but for paragraph 2 or 3.</w:t>
      </w:r>
    </w:p>
    <w:p>
      <w:pPr>
        <w:pStyle w:val="Normal"/>
      </w:pPr>
      <w:r>
        <w:t xml:space="preserve">5. Notwithstanding Article 31.3 (Choice of Forum):</w:t>
      </w:r>
    </w:p>
    <w:p>
      <w:pPr>
        <w:pStyle w:val="Normal"/>
        <w:ind w:left="360"/>
      </w:pPr>
      <w:r>
        <w:t xml:space="preserve">(a) dispute regarding a measure taken under paragraph 4 shall be settled exclusively under this Agreement unless a Party seeking to establish a panel under Article 31.6 (Establishment of a Panel) has been unable to do so within 90 days of the date of delivery of the request for consultations under Article 31.4 (Consultations); and</w:t>
      </w:r>
    </w:p>
    <w:p>
      <w:pPr>
        <w:pStyle w:val="Normal"/>
        <w:ind w:left="360"/>
      </w:pPr>
      <w:r>
        <w:t xml:space="preserve">(b) a panel established under Article 31.6 (Establishment of a Panel) with respect to that challenge shall have jurisdiction and may make findings only with respect to:</w:t>
      </w:r>
    </w:p>
    <w:p>
      <w:pPr>
        <w:pStyle w:val="Normal"/>
        <w:ind w:left="720"/>
      </w:pPr>
      <w:r>
        <w:t xml:space="preserve">(i) whether an action to which another Party responds is a measure adopted or maintained with respect to a cultural industry for purposes of this Article, and</w:t>
      </w:r>
    </w:p>
    <w:p>
      <w:pPr>
        <w:pStyle w:val="Normal"/>
        <w:ind w:left="720"/>
      </w:pPr>
      <w:r>
        <w:t xml:space="preserve">(ii) whether the responsive action of a Party is of “equivalent commercial effect” to the relevant action of the other Party.</w:t>
      </w:r>
    </w:p>
    <w:p>
      <w:pPr>
        <w:pStyle w:val="Heading3"/>
      </w:pPr>
      <w:r>
        <w:t xml:space="preserve">Section B: General Provisions</w:t>
      </w:r>
    </w:p>
    <w:p>
      <w:pPr>
        <w:pStyle w:val="Heading2"/>
      </w:pPr>
      <w:bookmarkStart w:id="901025" w:name="_Toc300001024"/>
      <w:r>
        <w:t xml:space="preserve">Article 32.7: Disclosure of Information</w:t>
      </w:r>
      <w:bookmarkEnd w:id="901025"/>
    </w:p>
    <w:p>
      <w:pPr>
        <w:pStyle w:val="Normal"/>
      </w:pPr>
      <w:r>
        <w:t xml:space="preserve">This Agreement does not require a Party to furnish or allow access to information, the disclosure of which would be contrary to its law or would impede law enforcement, or otherwise be contrary to the public interest, or which would prejudice the legitimate commercial interests of particular enterprises, public or private.</w:t>
      </w:r>
    </w:p>
    <w:p>
      <w:pPr>
        <w:pStyle w:val="Heading2"/>
      </w:pPr>
      <w:bookmarkStart w:id="901026" w:name="_Toc300001025"/>
      <w:r>
        <w:t xml:space="preserve">Article 32.8: Personal Information Protection</w:t>
      </w:r>
      <w:r>
        <w:rPr>
          <w:vertAlign w:val="superscript"/>
        </w:rPr>
        <w:t xml:space="preserve">8</w:t>
      </w:r>
      <w:bookmarkEnd w:id="901026"/>
    </w:p>
    <w:p>
      <w:pPr>
        <w:pStyle w:val="Normal"/>
      </w:pPr>
      <w:r>
        <w:t xml:space="preserve">1. For the purposes of this Article:</w:t>
      </w:r>
    </w:p>
    <w:p>
      <w:pPr>
        <w:pStyle w:val="Normal"/>
      </w:pPr>
      <w:r>
        <w:t xml:space="preserve">personal information</w:t>
      </w:r>
      <w:r>
        <w:t xml:space="preserve"> means information, including data, about an identified or identifiable natural person.</w:t>
      </w:r>
    </w:p>
    <w:p>
      <w:pPr>
        <w:pStyle w:val="Normal"/>
      </w:pPr>
      <w:r>
        <w:t xml:space="preserve">2. Each Party shall adopt or maintain a legal framework that provides for the protection of personal information.</w:t>
      </w:r>
      <w:r>
        <w:rPr>
          <w:vertAlign w:val="superscript"/>
        </w:rPr>
        <w:t xml:space="preserve">9</w:t>
      </w:r>
      <w:r>
        <w:t xml:space="preserve">In the development of this legal framework, each Party should take into account principles and guidelines of relevant international bodies, such as the </w:t>
      </w:r>
      <w:r>
        <w:rPr>
          <w:i/>
        </w:rPr>
        <w:t xml:space="preserve">APEC Privacy Framework</w:t>
      </w:r>
      <w:r>
        <w:t xml:space="preserve"> and the </w:t>
      </w:r>
      <w:r>
        <w:rPr>
          <w:i/>
        </w:rPr>
        <w:t xml:space="preserve">OECD Recommendation of the Council concerning Guidelines governing the Protection of Privacy and Transborder Flows of Personal Data (2013)</w:t>
      </w:r>
      <w:r>
        <w:t xml:space="preserve">.</w:t>
      </w:r>
    </w:p>
    <w:p>
      <w:pPr>
        <w:pStyle w:val="Normal"/>
      </w:pPr>
      <w:r>
        <w:t xml:space="preserve">3. The Parties recognize that, pursuant to paragraph 2 key principles include: limitation on collection; choice; data quality; purpose specification; use limitation; security safeguards; transparency; individual participation; and accountability.</w:t>
      </w:r>
    </w:p>
    <w:p>
      <w:pPr>
        <w:pStyle w:val="Normal"/>
      </w:pPr>
      <w:r>
        <w:t xml:space="preserve">4. Each Party shall endeavor to adopt non-discriminatory practices in protecting natural persons from personal information protection violations occurring within its jurisdiction.</w:t>
      </w:r>
    </w:p>
    <w:p>
      <w:pPr>
        <w:pStyle w:val="Normal"/>
      </w:pPr>
      <w:r>
        <w:t xml:space="preserve">5. Each Party shall publish information on the personal information protections it provides, including how:</w:t>
      </w:r>
    </w:p>
    <w:p>
      <w:pPr>
        <w:pStyle w:val="Normal"/>
        <w:ind w:left="360"/>
      </w:pPr>
      <w:r>
        <w:t xml:space="preserve">(a) individuals can pursue a remedy; and</w:t>
      </w:r>
    </w:p>
    <w:p>
      <w:pPr>
        <w:pStyle w:val="Normal"/>
        <w:ind w:left="360"/>
      </w:pPr>
      <w:r>
        <w:t xml:space="preserve">(b) an enterprise can comply with legal requirements.</w:t>
      </w:r>
    </w:p>
    <w:p>
      <w:pPr>
        <w:pStyle w:val="Normal"/>
      </w:pPr>
      <w:r>
        <w:t xml:space="preserve">6. Recognizing that the Parties may take different legal approaches to protecting personal information, each Party should encourage the development of mechanisms to promote compatibility between these different regimes. The Parties shall endeavor to exchange information on the mechanisms applied in their jurisdictions and explore ways to extend these or other suitable arrangements to promote compatibility between them. The Parties recognize that the </w:t>
      </w:r>
      <w:r>
        <w:rPr>
          <w:i/>
        </w:rPr>
        <w:t xml:space="preserve">APEC Cross-Border Privacy Rules</w:t>
      </w:r>
      <w:r>
        <w:t xml:space="preserve"> system is a valid mechanism to facilitate cross-border information transfers while protecting personal information.</w:t>
      </w:r>
    </w:p>
    <w:p>
      <w:pPr>
        <w:pStyle w:val="Normal"/>
      </w:pPr>
      <w:r>
        <w:t xml:space="preserve">7. The Parties shall endeavor to foster cooperation between appropriate government agencies regarding investigations on matters involving personal information protection and encourage the development of mechanisms to assist users to submit cross-border complaints regarding protection of personal information.</w:t>
      </w:r>
    </w:p>
    <w:p>
      <w:pPr>
        <w:pStyle w:val="Heading2"/>
      </w:pPr>
      <w:bookmarkStart w:id="901027" w:name="_Toc300001026"/>
      <w:r>
        <w:t xml:space="preserve">Article 32.9: Access to Information</w:t>
      </w:r>
      <w:bookmarkEnd w:id="901027"/>
    </w:p>
    <w:p>
      <w:pPr>
        <w:pStyle w:val="Normal"/>
      </w:pPr>
      <w:r>
        <w:t xml:space="preserve">Each Party shall maintain a legal framework that allows a natural person in its territory to obtain access to records held by the central level of government subject to reasonable terms and limitations specified in the Party’s law, provided that the terms and limitations applying to natural persons of another Party in the Party’s territory are no less favorable than those applying to natural persons of the Party, or of another country, in the Party’s territory. </w:t>
      </w:r>
      <w:r>
        <w:rPr>
          <w:vertAlign w:val="superscript"/>
        </w:rPr>
        <w:t xml:space="preserve">10</w:t>
      </w:r>
    </w:p>
    <w:p>
      <w:pPr>
        <w:pStyle w:val="Heading2"/>
      </w:pPr>
      <w:bookmarkStart w:id="901028" w:name="_Toc300001027"/>
      <w:r>
        <w:t xml:space="preserve">Article 32.10: Non-Market Country FTA</w:t>
      </w:r>
      <w:bookmarkEnd w:id="901028"/>
    </w:p>
    <w:p>
      <w:pPr>
        <w:pStyle w:val="Normal"/>
      </w:pPr>
      <w:r>
        <w:t xml:space="preserve">1. For the purposes of this Article:</w:t>
      </w:r>
    </w:p>
    <w:p>
      <w:pPr>
        <w:pStyle w:val="Normal"/>
      </w:pPr>
      <w:r>
        <w:t xml:space="preserve">non-market country</w:t>
      </w:r>
      <w:r>
        <w:t xml:space="preserve"> is a country:</w:t>
      </w:r>
    </w:p>
    <w:p>
      <w:pPr>
        <w:pStyle w:val="Normal"/>
        <w:ind w:left="360"/>
      </w:pPr>
      <w:r>
        <w:t xml:space="preserve">(a) that on the date of signature of this Agreement, a Party has determined to be a non-market economy for purposes of its trade remedy laws; and</w:t>
      </w:r>
    </w:p>
    <w:p>
      <w:pPr>
        <w:pStyle w:val="Normal"/>
        <w:ind w:left="360"/>
      </w:pPr>
      <w:r>
        <w:t xml:space="preserve">(b) with which no Party has signed a free trade agreement.</w:t>
      </w:r>
    </w:p>
    <w:p>
      <w:pPr>
        <w:pStyle w:val="Normal"/>
      </w:pPr>
      <w:r>
        <w:t xml:space="preserve">2. At least 3 months prior to commencing negotiations, a Party shall inform the other Parties of its intention to commence free trade agreement negotiations with a non-market country.</w:t>
      </w:r>
    </w:p>
    <w:p>
      <w:pPr>
        <w:pStyle w:val="Normal"/>
      </w:pPr>
      <w:r>
        <w:t xml:space="preserve">3. Upon request of another Party, a Party intending to commence free trade negotiations with a non-market country shall provide as much information as possible regarding the objectives for those negotiations.</w:t>
      </w:r>
    </w:p>
    <w:p>
      <w:pPr>
        <w:pStyle w:val="Normal"/>
      </w:pPr>
      <w:r>
        <w:t xml:space="preserve">4. As early as possible, and no later than 30 days before the date of signature, a Party intending to sign a free trade agreement with a non-market country shall provide the other Parties with an opportunity to review the full text of the agreement, including any annexes and side instruments, in order for the Parties to be able to review the agreement and assess its potential impact on this Agreement. If the Party involved requests that the text be treated as confidential, the other Parties shall maintain the confidentiality of the text.</w:t>
      </w:r>
    </w:p>
    <w:p>
      <w:pPr>
        <w:pStyle w:val="Normal"/>
      </w:pPr>
      <w:r>
        <w:t xml:space="preserve">5. Entry by a Party into a free trade agreement with a non-market country will allow the other Parties to terminate this Agreement on six months’ notice and replace this Agreement with an agreement as between them (bilateral agreement).</w:t>
      </w:r>
    </w:p>
    <w:p>
      <w:pPr>
        <w:pStyle w:val="Normal"/>
      </w:pPr>
      <w:r>
        <w:t xml:space="preserve">6. The bilateral agreement shall be comprised of all the provisions of this Agreement, except those provisions that the relevant Parties agree are not applicable as between them.</w:t>
      </w:r>
    </w:p>
    <w:p>
      <w:pPr>
        <w:pStyle w:val="Normal"/>
      </w:pPr>
      <w:r>
        <w:t xml:space="preserve">7. The relevant Parties shall utilize the six months’ notice period to review this Agreement and determine whether any amendments should be made in order to ensure the proper operation of the bilateral agreement.</w:t>
      </w:r>
    </w:p>
    <w:p>
      <w:pPr>
        <w:pStyle w:val="Normal"/>
      </w:pPr>
      <w:r>
        <w:t xml:space="preserve">8. The bilateral agreement enters into force 60 days after the date on which the last party to the bilateral agreement has notified the other party that it has completed its applicable legal procedures.</w:t>
      </w:r>
    </w:p>
    <w:p>
      <w:pPr>
        <w:pStyle w:val="Heading2"/>
      </w:pPr>
      <w:bookmarkStart w:id="901029" w:name="_Toc300001028"/>
      <w:r>
        <w:t xml:space="preserve">Article 32.11: Specific Provision on Cross-Border Trade in Services, Investment, and State-Owned Enterprises and Designated Monopolies for Mexico</w:t>
      </w:r>
      <w:bookmarkEnd w:id="901029"/>
    </w:p>
    <w:p>
      <w:pPr>
        <w:pStyle w:val="Normal"/>
      </w:pPr>
      <w:r>
        <w:t xml:space="preserve">With respect to the obligations in Chapter 14 (Investment), Chapter 15 (Cross-Border Trade in Services), and Chapter 22 (State-Owned Enterprises and Designated Monopolies), Mexico reserves the right to adopt or maintain a measure with respect to a sector or sub-sector for which Mexico has not taken a specific reservation in its Schedules to Annexes I, II, and IV of this Agreement, only to the extent consistent with the least restrictive measures that Mexico may adopt or maintain under the terms of applicable reservations and exceptions to parallel obligations in other trade and investment agreements that Mexico has ratified prior to entry into force of this Agreement, including the WTO Agreement, without regard to whether those other agreements have entered into force.</w:t>
      </w:r>
    </w:p>
    <w:p>
      <w:pPr>
        <w:pStyle w:val="Heading2"/>
      </w:pPr>
      <w:bookmarkStart w:id="901030" w:name="_Toc300001029"/>
      <w:r>
        <w:t xml:space="preserve">Article 32.12: Exclusion from Dispute Settlement</w:t>
      </w:r>
      <w:bookmarkEnd w:id="901030"/>
    </w:p>
    <w:p>
      <w:pPr>
        <w:pStyle w:val="Normal"/>
      </w:pPr>
      <w:r>
        <w:t xml:space="preserve">A decision by Canada following a review under the </w:t>
      </w:r>
      <w:r>
        <w:rPr>
          <w:i/>
        </w:rPr>
        <w:t xml:space="preserve">Investment Canada Act</w:t>
      </w:r>
      <w:r>
        <w:t xml:space="preserve">, R.S.C. 1985, c.28 (1st Supp.), with respect to whether or not to permit an investment that is subject to review, shall not be subject to the dispute settlement provisions of Chapter 31 (Dispute Settlement).</w:t>
      </w:r>
    </w:p>
    <w:p>
      <w:pPr>
        <w:pStyle w:val="Normal"/>
        <w:keepNext/>
      </w:pPr>
      <w:r>
        <w:rPr>
          <w:b/>
        </w:rPr>
        <w:t>Footnotes</w:t>
      </w:r>
    </w:p>
    <w:p>
      <w:pPr>
        <w:pStyle w:val="Normal"/>
      </w:pPr>
      <w:r>
        <w:t xml:space="preserve">Footnote 1 </w:t>
      </w:r>
      <w:r>
        <w:t xml:space="preserve">For the purposes of Chapter 22 (State-Owned Enterprises and Designated Monopolies), Article XX of the GATT 1994 and its interpretative notes are incorporated into and made part of this Agreement, mutatis mutandis, only with respect to measures of a Party (including the implementation of measures through the activities of a state-owned enterprise or a designated monopoly) affecting the purchase, production or sale of goods, or affecting activities the end result of which is the production of goods.</w:t>
      </w:r>
    </w:p>
    <w:p>
      <w:pPr>
        <w:pStyle w:val="Normal"/>
      </w:pPr>
      <w:r>
        <w:t xml:space="preserve">Footnote 2 </w:t>
      </w:r>
      <w:r>
        <w:t xml:space="preserve">This paragraph is without prejudice to whether a Party considers a digital product to be a good or service.</w:t>
      </w:r>
    </w:p>
    <w:p>
      <w:pPr>
        <w:pStyle w:val="Normal"/>
      </w:pPr>
      <w:r>
        <w:t xml:space="preserve">Footnote 3 </w:t>
      </w:r>
      <w:r>
        <w:t xml:space="preserve">For the purposes of Chapter 22 (State-Owned Enterprises and Designated Monopolies), Article XIV of the GATS (including its footnotes) is incorporated into and made part of this Agreement, mutatis mutandis, only with respect to measures of a Party (including the implementation of measures through the activities of a state-owned enterprise or a designated monopoly) affecting the purchase or supply of services, or affecting activities the end result of which is the supply of services.</w:t>
      </w:r>
    </w:p>
    <w:p>
      <w:pPr>
        <w:pStyle w:val="Normal"/>
      </w:pPr>
      <w:r>
        <w:t xml:space="preserve">Footnote 4 </w:t>
      </w:r>
      <w:r>
        <w:t xml:space="preserve">The Parties understand that this subparagraph must be interpreted by reference to the footnote to Article XIV(d) of GATS as if the Article was not restricted to services or direct taxes.</w:t>
      </w:r>
    </w:p>
    <w:p>
      <w:pPr>
        <w:pStyle w:val="Normal"/>
      </w:pPr>
      <w:r>
        <w:t xml:space="preserve">Footnote 7 </w:t>
      </w:r>
      <w:r>
        <w:t xml:space="preserve">For greater certainty, for Canada the legal obligations include those recognized and affirmed by section 35 of the Constitution Act 1982 or those set out in self-government agreements between a central or regional level of government and indigenous peoples.</w:t>
      </w:r>
    </w:p>
    <w:p>
      <w:pPr>
        <w:pStyle w:val="Normal"/>
      </w:pPr>
      <w:r>
        <w:t xml:space="preserve">Footnote 8 </w:t>
      </w:r>
      <w:r>
        <w:t xml:space="preserve">This Article does not apply to information held or processed by or on behalf of a Party, or measures related to that information, including measures related to its collection.</w:t>
      </w:r>
    </w:p>
    <w:p>
      <w:pPr>
        <w:pStyle w:val="Normal"/>
      </w:pPr>
      <w:r>
        <w:t xml:space="preserve">Footnote 9 </w:t>
      </w:r>
      <w:r>
        <w:t xml:space="preserve">For greater certainty, a Party may comply with the obligation in this paragraph by adopting or maintaining measures such as a comprehensive privacy, personal information, or personal data protection law, sector-specific laws covering privacy, or laws that provide for the enforcement of voluntary undertakings by enterprises relating to privacy.</w:t>
      </w:r>
    </w:p>
    <w:p>
      <w:pPr>
        <w:pStyle w:val="Normal"/>
      </w:pPr>
      <w:r>
        <w:t xml:space="preserve">Footnote 10 </w:t>
      </w:r>
      <w:r>
        <w:t xml:space="preserve">For the United States, this provision applies to “agencies,” as defined at 5 U.S.C. 551(1).</w:t>
      </w:r>
    </w:p>
    <w:p>
      <w:pPr>
        <w:pStyle w:val="ModHeading"/>
      </w:pPr>
      <w:bookmarkStart w:id="901031" w:name="_Toc300001030"/>
      <w:r>
        <w:t>CHAPTER 32: CUSMA 2.0 MODERNIZATION PROVISIONS</w:t>
      </w:r>
      <w:bookmarkEnd w:id="901031"/>
    </w:p>
    <w:p>
      <w:pPr>
        <w:pStyle w:val="Heading2"/>
      </w:pPr>
      <w:bookmarkStart w:id="901032" w:name="_Toc300001031"/>
      <w:r>
        <w:t>Article 32.A: Essential Security (Replacement of Article 32.2)</w:t>
      </w:r>
      <w:bookmarkEnd w:id="901032"/>
    </w:p>
    <w:p>
      <w:pPr>
        <w:pStyle w:val="Normal"/>
      </w:pPr>
      <w:r>
        <w:t>1. Article 32.2 is replaced in its entirety by the following:</w:t>
      </w:r>
    </w:p>
    <w:p>
      <w:pPr>
        <w:pStyle w:val="Normal"/>
      </w:pPr>
      <w:r>
        <w:t>“</w:t>
      </w:r>
      <w:r>
        <w:rPr>
          <w:b/>
        </w:rPr>
        <w:t>Article 32.2: Essential Security</w:t>
      </w:r>
    </w:p>
    <w:p>
      <w:pPr>
        <w:pStyle w:val="Normal"/>
      </w:pPr>
      <w:r>
        <w:t>1. Nothing in this Agreement shall be construed to require a Party to furnish or allow access to information the disclosure of which it determines to be contrary to its essential security interests.</w:t>
      </w:r>
    </w:p>
    <w:p>
      <w:pPr>
        <w:pStyle w:val="Normal"/>
      </w:pPr>
      <w:r>
        <w:t>2. Nothing in this Agreement shall be construed to preclude a Party from applying measures that it considers necessary for: (a) the fulfillment of its obligations with respect to the maintenance or restoration of international peace or security; or (b) the protection of its own essential security interests.</w:t>
      </w:r>
    </w:p>
    <w:p>
      <w:pPr>
        <w:pStyle w:val="Normal"/>
      </w:pPr>
      <w:r>
        <w:t>3. A measure applied by a Party under paragraph 2(b) that affects the trade in goods or services of another Party, or investment of investors of another Party, is subject to the following procedural disciplines:</w:t>
      </w:r>
    </w:p>
    <w:p>
      <w:pPr>
        <w:pStyle w:val="Normal"/>
      </w:pPr>
      <w:r>
        <w:t>(a) the invoking Party shall notify the other Parties in writing within 15 days after the measure’s adoption, and in advance where delay would not create a genuine security risk, identifying: (i) the essential security interest involved, at a level of specificity sufficient to permit the review contemplated by Article 35.22, without disclosure of classified information; (ii) the goods, services, or investment affected; (iii) the domestic authority used; and (iv) the expected duration;</w:t>
      </w:r>
    </w:p>
    <w:p>
      <w:pPr>
        <w:pStyle w:val="Normal"/>
      </w:pPr>
      <w:r>
        <w:t>(b) the invoking Party shall enter emergency consultations with an affected Party within 10 days of a request;</w:t>
      </w:r>
    </w:p>
    <w:p>
      <w:pPr>
        <w:pStyle w:val="Normal"/>
      </w:pPr>
      <w:r>
        <w:t>(c) the measure shall be no broader in scope, and no longer in duration, than the stated essential security interest requires;</w:t>
      </w:r>
    </w:p>
    <w:p>
      <w:pPr>
        <w:pStyle w:val="Normal"/>
      </w:pPr>
      <w:r>
        <w:t>(d) the invoking Party shall review the measure at intervals not exceeding 180 days, shall notify the other Parties of each review with an updated justification, and shall terminate the measure when the stated security interest no longer requires it;</w:t>
      </w:r>
    </w:p>
    <w:p>
      <w:pPr>
        <w:pStyle w:val="Normal"/>
      </w:pPr>
      <w:r>
        <w:t>(e) the measure terminates two years after adoption unless renewed through a fresh notification and justification under this paragraph; successive renewals require successively particularized justification; and successive measures addressing substantially the same stated security concern and substantially the same trade are treated as renewals of a single continuing measure, however denominated, designated, or re-justified; and</w:t>
      </w:r>
    </w:p>
    <w:p>
      <w:pPr>
        <w:pStyle w:val="Normal"/>
      </w:pPr>
      <w:r>
        <w:t>(f) a measure affecting originating goods of another Party is subject to the special review lane in Article 35.22, and to the protections accorded goods holding Trusted North American Origin status.</w:t>
      </w:r>
    </w:p>
    <w:p>
      <w:pPr>
        <w:pStyle w:val="Normal"/>
      </w:pPr>
      <w:r>
        <w:t>4. Drug trafficking, migration, crime, or other non-trade conduct does not by itself constitute an essential-security basis for a covered border measure against originating goods of another Party, unless the invoking Party establishes a direct and material nexus between those goods themselves and the stated security threat (that is, that the targeted goods materially contribute to, or materially facilitate, the threat) and that nexus is reviewable under Article 35.22 in accordance with the review boundary of Article 35.22.7.</w:t>
      </w:r>
    </w:p>
    <w:p>
      <w:pPr>
        <w:pStyle w:val="Normal"/>
        <w:spacing w:before="0" w:after="0"/>
        <w:widowControl w:val="1"/>
      </w:pPr>
      <w:r>
        <w:t>5. A dispute concerning whether a measure complies with paragraphs 3, 4 and 6 may be submitted to dispute settlement under Chapter 31, including the Expedited Tariff Panel procedure in Article 31.A. In such a dispute, a panel shall not review the invoking Party’s good-faith identification of its essential security interests or substitute its military, defense, intelligence, or foreign-policy judgment. The panel may review the implementation of the measure to the extent expressly authorized by Article 35.22 and Articles 32.A.1 through 32.A.9, including factual nexus, scope, discrimination, proportionality, duration, procedural integrity, trusted-supply treatment, and whether a narrower effective trade measure is reasonably available.</w:t>
      </w:r>
    </w:p>
    <w:p/>
    <w:p>
      <w:pPr>
        <w:pStyle w:val="Normal"/>
      </w:pPr>
      <w:r>
        <w:t>6. A Party shall not invoke this Article as a means of circumventing its obligations under this Agreement with respect to ordinary commercial matters, including industrial capacity, employment, market share, supply-chain resilience as a general matter, or general economic conditions, which do not as such constitute essential security interests. A pattern of invocation determined under Chapter 31 to constitute such circumvention entitles the affected Party to proportionate compensation within the affected module.“</w:t>
      </w:r>
    </w:p>
    <w:p>
      <w:pPr>
        <w:spacing w:before="0" w:after="0"/>
        <w:widowControl w:val="1"/>
      </w:pPr>
      <w:r>
        <w:t>7. SECURITY PATTERN REVIEW. A Chapter 31 panel has express jurisdiction to determine circumvention under paragraph 6 on clear and convincing evidence of repeated substantially related invocations using security implementation as a pretext for ordinary commercial objectives. The panel examines the conduct, record, goods nexus and implementation pattern rather than substituting its security judgment or reviewing the good-faith identification of the essential security interest. It provides the invoking Party a meaningful opportunity to answer protected evidence and gives a reasoned finding identifying at least two invocations, their connection and the commercial circumvention established. Only that finding permits affected-module proportionate compensation under Articles 31.D, 31.19 and 35.15, without automatic tariff authority, double recovery or disregard of Article 35.22.7's reserved-security boundary.</w:t>
      </w:r>
    </w:p>
    <w:p/>
    <w:p>
      <w:pPr>
        <w:pStyle w:val="Normal"/>
        <w:spacing w:before="0" w:after="0"/>
        <w:widowControl w:val="1"/>
      </w:pPr>
      <w:r>
        <w:t>2. ARMED-CONFLICT AND NATIONAL-EMERGENCY TIMING. In time of armed conflict or a genuine national emergency, only the advance-notice component of Article 32.2(3)(a) as replaced and prior consultation timing in subparagraph (b) yield to demonstrated immediate operational necessity. Written notice remains due as soon as practicable and no later than fifteen days after adoption, and requested consultation shall begin within ten days after the request unless documented operational necessity requires remote or protected communication instead. Scope limitation, reasoned duration, review at intervals no longer than 180 days, the two-year adoption-based expiry, fresh renewal justification and restoration under subparagraphs (c) through (f), Article 32.A.8 and Article 35.22.6 remain non-derogable. Classified information may use protected summaries and closed review without excusing notice, review or termination.</w:t>
      </w:r>
    </w:p>
    <w:p/>
    <w:p>
      <w:pPr>
        <w:pStyle w:val="Heading2"/>
      </w:pPr>
      <w:bookmarkStart w:id="901033" w:name="_Toc300001032"/>
      <w:r>
        <w:t>Article 32.A.1: Functional Equivalence and Domestic-Law Anti-Circumvention</w:t>
      </w:r>
      <w:bookmarkEnd w:id="901033"/>
    </w:p>
    <w:p>
      <w:pPr>
        <w:pStyle w:val="Normal"/>
      </w:pPr>
      <w:r>
        <w:t>1. For purposes of this Agreement, a measure is characterized according to its operation, legal and economic effect, and practical conditions, and not solely according to its domestic statutory authority, executive label, institutional actor, stated purpose, or administrative form.</w:t>
      </w:r>
    </w:p>
    <w:p>
      <w:pPr>
        <w:pStyle w:val="Normal"/>
      </w:pPr>
      <w:r>
        <w:t>2. A Party shall not evade, circumvent, nullify, or materially defeat a safeguard of this Agreement by imposing substantially equivalent economic coercion through a national-security adjustment, emergency surcharge, import fee, quota, license, permit, bond, procurement exclusion, certification rule, inspection regime, port restriction, domestic-content condition, or other instrument that would be subject to that safeguard if imposed in another form.</w:t>
      </w:r>
    </w:p>
    <w:p>
      <w:pPr>
        <w:pStyle w:val="Normal"/>
      </w:pPr>
      <w:r>
        <w:t>3. Measures attributable to a Party include measures of its legislative, executive, administrative, judicial, and covered subnational authorities, and of a private or public body exercising delegated governmental authority, to the extent recognized by this Agreement and applicable international law. Domestic allocation of authority does not by itself extinguish the Party's international responsibility.</w:t>
      </w:r>
    </w:p>
    <w:p>
      <w:pPr>
        <w:pStyle w:val="Normal"/>
      </w:pPr>
      <w:r>
        <w:t>4. This Article does not enlarge the substantive scope of this Agreement into matters otherwise excluded. It prevents form, label, governmental level, or domestic legal source from defeating an obligation that otherwise applies.</w:t>
      </w:r>
    </w:p>
    <w:p>
      <w:pPr>
        <w:pStyle w:val="Heading2"/>
      </w:pPr>
      <w:bookmarkStart w:id="901034" w:name="_Toc300001033"/>
      <w:r>
        <w:t>Article 32.A.2: Sovereign Security Judgment and Reviewable Implementation</w:t>
      </w:r>
      <w:bookmarkEnd w:id="901034"/>
    </w:p>
    <w:p>
      <w:pPr>
        <w:pStyle w:val="Normal"/>
      </w:pPr>
      <w:r>
        <w:t>1. Each Party retains sovereign authority to identify and protect its essential security interests. No panel shall substitute its preferred security policy for the invoking Party's good-faith identification of the interest to be protected.</w:t>
      </w:r>
    </w:p>
    <w:p>
      <w:pPr>
        <w:pStyle w:val="Normal"/>
      </w:pPr>
      <w:r>
        <w:t>2. The implementation of a trade- or investment-restrictive security measure remains reviewable for compliance with this Agreement, including attribution, notification, evidentiary sufficiency, concrete nexus, scope, discrimination, proportionality, duration, procedural integrity, and restoration.</w:t>
      </w:r>
    </w:p>
    <w:p>
      <w:pPr>
        <w:pStyle w:val="Normal"/>
      </w:pPr>
      <w:r>
        <w:t>3. A security designation does not render the implementation of the measure self-judging. The invoking Party bears the burden of establishing the elements that this Agreement expressly makes reviewable.</w:t>
      </w:r>
    </w:p>
    <w:p>
      <w:pPr>
        <w:pStyle w:val="Normal"/>
      </w:pPr>
      <w:r>
        <w:t>4. Economic importance, employment significance, trade imbalance, market share, domestic political sensitivity, strategic-sector classification, or incorporation into a defense or critical-infrastructure supply chain does not, standing alone, establish the concrete security nexus required by this Agreement.</w:t>
      </w:r>
    </w:p>
    <w:p>
      <w:pPr>
        <w:pStyle w:val="Heading2"/>
      </w:pPr>
      <w:bookmarkStart w:id="901035" w:name="_Toc300001034"/>
      <w:r>
        <w:t>Article 32.A.3: Trusted North American Supply Presumption</w:t>
      </w:r>
      <w:bookmarkEnd w:id="901035"/>
    </w:p>
    <w:p>
      <w:pPr>
        <w:pStyle w:val="Normal"/>
      </w:pPr>
      <w:r>
        <w:t>1. Originating supply from another Party is presumed, for purposes of an essential-security trade analysis, to constitute trusted North American supply.</w:t>
      </w:r>
    </w:p>
    <w:p>
      <w:pPr>
        <w:pStyle w:val="Normal"/>
      </w:pPr>
      <w:r>
        <w:t>2. The presumption is rebuttable by clear and convincing evidence of a direct and material risk, including actual or credibly impending supply denial; material inability to supply within the relevant period; hostile or coercive control; verified circumvention; material adversary beneficial ownership or effective control where functionally relevant; persistent treaty noncompliance directly affecting the security interest; or another comparably concrete vulnerability.</w:t>
      </w:r>
    </w:p>
    <w:p>
      <w:pPr>
        <w:pStyle w:val="Normal"/>
      </w:pPr>
      <w:r>
        <w:t>3. Speculation that another Party might become unreliable at an undefined future time does not rebut the presumption.</w:t>
      </w:r>
    </w:p>
    <w:p>
      <w:pPr>
        <w:pStyle w:val="Normal"/>
      </w:pPr>
      <w:r>
        <w:t>4. Originating status does not immunize hostile non-Party control, fraud, circumvention, controlled technology leakage, or a genuine security vulnerability. Review shall address the actual risk rather than nationality alone.</w:t>
      </w:r>
    </w:p>
    <w:p>
      <w:pPr>
        <w:pStyle w:val="Heading2"/>
      </w:pPr>
      <w:bookmarkStart w:id="901036" w:name="_Toc300001035"/>
      <w:r>
        <w:t>Article 32.A.4: Third-Country Connection and Ownership Discipline</w:t>
      </w:r>
      <w:bookmarkEnd w:id="901036"/>
    </w:p>
    <w:p>
      <w:pPr>
        <w:pStyle w:val="Normal"/>
      </w:pPr>
      <w:r>
        <w:t>1. Incidental non-Party content, machinery, financing, minority investment, or ordinary commercial relationship does not convert an originating good, service, or enterprise of a Party into hostile or untrusted supply.</w:t>
      </w:r>
    </w:p>
    <w:p>
      <w:pPr>
        <w:pStyle w:val="Normal"/>
      </w:pPr>
      <w:r>
        <w:t>2. A non-Party connection may support security treatment only where it materially affects origin, effective control, supply assurance, controlled technology, security-sensitive data, sanctions exposure, or circumvention.</w:t>
      </w:r>
    </w:p>
    <w:p>
      <w:pPr>
        <w:pStyle w:val="Normal"/>
      </w:pPr>
      <w:r>
        <w:t>3. A Party shall not treat qualifying Canadian, Mexican, or United States ownership as inherently less secure merely because the enterprise is not owned by nationals of the importing Party. Actual control and risk may be examined on objective evidence.</w:t>
      </w:r>
    </w:p>
    <w:p>
      <w:pPr>
        <w:pStyle w:val="Heading2"/>
      </w:pPr>
      <w:bookmarkStart w:id="901037" w:name="_Toc300001036"/>
      <w:r>
        <w:t>Article 32.A.5: Self-Created Security Vulnerability</w:t>
      </w:r>
      <w:bookmarkEnd w:id="901037"/>
    </w:p>
    <w:p>
      <w:pPr>
        <w:pStyle w:val="Normal"/>
      </w:pPr>
      <w:r>
        <w:t>1. In determining whether a restrictive measure is necessary and proportionate, a reviewing body shall consider whether the invoking Party materially created or deliberately aggravated the claimed vulnerability through recent discretionary measures.</w:t>
      </w:r>
    </w:p>
    <w:p>
      <w:pPr>
        <w:pStyle w:val="Normal"/>
      </w:pPr>
      <w:r>
        <w:t>2. A self-created or deliberately aggravated vulnerability weighs strongly against extraordinary trade restriction unless the Party demonstrates that the earlier measure itself responded to an independent legitimate security necessity and that reasonable less-restrictive corrective options are inadequate.</w:t>
      </w:r>
    </w:p>
    <w:p>
      <w:pPr>
        <w:pStyle w:val="Normal"/>
      </w:pPr>
      <w:r>
        <w:t>3. Nothing in this Article requires a Party to preserve a commercial dependency it reasonably determines should be reduced. The Article prevents deliberate manufacture of an emergency as a basis for otherwise unjustified coercion.</w:t>
      </w:r>
    </w:p>
    <w:p>
      <w:pPr>
        <w:pStyle w:val="Heading2"/>
      </w:pPr>
      <w:bookmarkStart w:id="901038" w:name="_Toc300001037"/>
      <w:r>
        <w:t>Article 32.A.6: Least-Restrictive Trusted-Partner Security Measure</w:t>
      </w:r>
      <w:bookmarkEnd w:id="901038"/>
    </w:p>
    <w:p>
      <w:pPr>
        <w:pStyle w:val="Normal"/>
      </w:pPr>
      <w:r>
        <w:t>1. Where a genuine security risk is established, a Party shall, to the extent reasonably available, distinguish trusted Party-originating supply from verified high-risk non-Party supply, circumvention, hostile control, and other materially different risk categories.</w:t>
      </w:r>
    </w:p>
    <w:p>
      <w:pPr>
        <w:pStyle w:val="Normal"/>
      </w:pPr>
      <w:r>
        <w:t>2. A formally global measure that imposes disproportionate restrictions on another Party's originating trade shall identify why materially less restrictive trusted-partner treatment would not adequately address the stated risk.</w:t>
      </w:r>
    </w:p>
    <w:p>
      <w:pPr>
        <w:pStyle w:val="Normal"/>
      </w:pPr>
      <w:r>
        <w:t>3. The measure shall be no broader in product coverage, volume, geography, entity coverage, duration, or administrative burden than reasonably necessary to address the demonstrated risk.</w:t>
      </w:r>
    </w:p>
    <w:p>
      <w:pPr>
        <w:pStyle w:val="Heading2"/>
      </w:pPr>
      <w:bookmarkStart w:id="901039" w:name="_Toc300001038"/>
      <w:r>
        <w:t>Article 32.A.7: Security Investigation Integrity and Anti-Harassment</w:t>
      </w:r>
      <w:bookmarkEnd w:id="901039"/>
    </w:p>
    <w:p>
      <w:pPr>
        <w:pStyle w:val="Normal"/>
      </w:pPr>
      <w:r>
        <w:t>1. A security investigation materially affecting another Party's trade shall identify an objective predicate, relevant scope, responsible authority, expected timetable, and information reasonably necessary to the inquiry.</w:t>
      </w:r>
    </w:p>
    <w:p>
      <w:pPr>
        <w:pStyle w:val="Normal"/>
      </w:pPr>
      <w:r>
        <w:t>2. Investigations shall proceed without unnecessary delay. Extensions require a reasoned public explanation that protects classified and confidential information.</w:t>
      </w:r>
    </w:p>
    <w:p>
      <w:pPr>
        <w:pStyle w:val="Normal"/>
      </w:pPr>
      <w:r>
        <w:t>3. A Party shall not repeatedly reopen a substantially identical investigation on materially unchanged facts principally to prolong commercial uncertainty. Materially new evidence or changed security conditions may justify reopening.</w:t>
      </w:r>
    </w:p>
    <w:p>
      <w:pPr>
        <w:pStyle w:val="Normal"/>
      </w:pPr>
      <w:r>
        <w:t>4. Information demands shall be proportionate and shall use protected data rooms, aggregated data, non-confidential summaries, or security-cleared review where appropriate.</w:t>
      </w:r>
    </w:p>
    <w:p>
      <w:pPr>
        <w:pStyle w:val="Heading2"/>
      </w:pPr>
      <w:bookmarkStart w:id="901040" w:name="_Toc300001039"/>
      <w:r>
        <w:t>Article 32.A.8: Classified Evidence and Non-Derogable Procedural Core</w:t>
      </w:r>
      <w:bookmarkEnd w:id="901040"/>
    </w:p>
    <w:p>
      <w:pPr>
        <w:pStyle w:val="Normal"/>
      </w:pPr>
      <w:r>
        <w:t>1. Classification, privilege, law-enforcement sensitivity, or security protection may alter the manner of review but shall not, by itself, eliminate independent review of a measure affecting another Party.</w:t>
      </w:r>
    </w:p>
    <w:p>
      <w:pPr>
        <w:pStyle w:val="Normal"/>
      </w:pPr>
      <w:r>
        <w:t>2. Where ordinary disclosure would create a genuine security risk, the evidence shall be tested through a security-cleared independent special advocate, protected reviewer, or comparably independent procedure capable of examining relevance, reliability, necessity, and material exculpatory context.</w:t>
      </w:r>
    </w:p>
    <w:p>
      <w:pPr>
        <w:pStyle w:val="Normal"/>
      </w:pPr>
      <w:r>
        <w:t>3. No essential-security invocation may derogate from the following procedural guarantees: authenticated notice; preservation of relevant evidence; access to independent review; anti-corruption and market-integrity rules; the humanitarian firewall; reasoned duration and periodic review; prohibition on deliberate discrimination unrelated to demonstrated risk; and restoration when the qualifying security condition ends.</w:t>
      </w:r>
    </w:p>
    <w:p>
      <w:pPr>
        <w:pStyle w:val="Normal"/>
      </w:pPr>
      <w:r>
        <w:t>4. Armed conflict or genuine national emergency may justify compressed timing, but not permanent elimination of the non-derogable procedural core.</w:t>
      </w:r>
    </w:p>
    <w:p>
      <w:pPr>
        <w:pStyle w:val="Heading2"/>
      </w:pPr>
      <w:bookmarkStart w:id="901041" w:name="_Toc300001040"/>
      <w:r>
        <w:t>Article 32.A.9: Security Necessity Review, Sunset, and Restoration</w:t>
      </w:r>
      <w:bookmarkEnd w:id="901041"/>
    </w:p>
    <w:p>
      <w:pPr>
        <w:pStyle w:val="Normal"/>
      </w:pPr>
      <w:r>
        <w:t>1. Every trade- or investment-restrictive essential-security measure affecting another Party is subject to periodic Security Necessity Review at intervals not exceeding 180 days, coordinated with Article 35.22.</w:t>
      </w:r>
    </w:p>
    <w:p>
      <w:pPr>
        <w:pStyle w:val="Normal"/>
      </w:pPr>
      <w:r>
        <w:t>2. The review asks whether the stated security condition continues; whether the particular restriction remains materially connected to it; whether less-restrictive effective measures have become reasonably available; and whether scope can be narrowed.</w:t>
      </w:r>
    </w:p>
    <w:p>
      <w:pPr>
        <w:pStyle w:val="Normal"/>
      </w:pPr>
      <w:r>
        <w:t>3. Expired necessity terminates the exceptional treatment automatically. Ordinary treaty treatment restores without requiring a political concession, reciprocal bargain, or new vote.</w:t>
      </w:r>
    </w:p>
    <w:p>
      <w:pPr>
        <w:pStyle w:val="Heading2"/>
      </w:pPr>
      <w:bookmarkStart w:id="901042" w:name="_Toc300001041"/>
      <w:r>
        <w:t>Article 32.B: Economic Emergency and Balance-of-Payments Measures</w:t>
      </w:r>
      <w:r>
        <w:t xml:space="preserve"> (Replacement of Article 32.4)</w:t>
      </w:r>
      <w:bookmarkEnd w:id="901042"/>
    </w:p>
    <w:p>
      <w:pPr>
        <w:pStyle w:val="Normal"/>
      </w:pPr>
      <w:r>
        <w:t xml:space="preserve">This Article replaces Article 32.4 (Temporary Safeguards Measures) in its entirety.</w:t>
      </w:r>
    </w:p>
    <w:p>
      <w:pPr>
        <w:pStyle w:val="Normal"/>
      </w:pPr>
      <w:r>
        <w:t>1. A Party may apply a temporary measure in the event of serious balance-of-payments and external financial difficulties, or threat thereof, consistent with the WTO Agreement and the Articles of Agreement of the International Monetary Fund.</w:t>
      </w:r>
    </w:p>
    <w:p>
      <w:pPr>
        <w:pStyle w:val="Normal"/>
      </w:pPr>
      <w:r>
        <w:t>2. A measure under paragraph 1 that affects originating goods of another Party shall: (a) be notified to the other Parties within five days with its justification, scope, and expected duration; (b) be non-discriminatory as among the Parties, and shall exempt originating goods of the other Parties where the measure takes the form of a general import surcharge, unless the Party demonstrates to the Verification Panel that the inclusion of originating goods is essential to the measure’s balance-of-payments purpose; (c) not exceed 150 days in duration unless extended following trilateral consultation and Fund consultation; and (d) be subject to expedited review under Article 31.A.</w:t>
      </w:r>
    </w:p>
    <w:p>
      <w:pPr>
        <w:pStyle w:val="Normal"/>
      </w:pPr>
      <w:r>
        <w:t>3. A Party shall not use balance-of-payments or economic-emergency authority as a substitute for remedies available under this Agreement for trade matters. Successive substantially identical measures under this Article are treated as a single continuing measure for the purposes of subparagraph 2(c).</w:t>
      </w:r>
    </w:p>
    <w:p>
      <w:pPr>
        <w:spacing w:before="0" w:after="0"/>
        <w:widowControl w:val="1"/>
      </w:pPr>
      <w:r>
        <w:t>4. BALANCE OF PAYMENTS SCOPE AND MAXIMUM DURATION. Article 32.B permits temporary restrictions on transfers or other covered non-goods transactions only to address serious balance-of-payments and external financial difficulty, consistently with the International Monetary Fund Articles and applicable WTO disciplines. Such measures shall be non-discriminatory, avoid unnecessary damage, remain no more restrictive than necessary and be progressively relaxed as conditions improve. IMF consultation means consultation with the International Monetary Fund rather than the Chapter 23-B Fund, and a goods measure may extend once by no more than 150 days after trilateral and IMF consultation, for a 300-day cumulative ceiling. A non-goods measure ordinarily ends within twelve months after first effect, subject only to the specifically preserved one-time exceptional extension and safeguards, and successive substantially identical measures share the same clock without prejudice to a separately valid express authority.</w:t>
      </w:r>
    </w:p>
    <w:p/>
    <w:p>
      <w:pPr>
        <w:spacing w:before="0" w:after="0"/>
        <w:widowControl w:val="1"/>
      </w:pPr>
      <w:r>
        <w:t>5. NON-GOODS SAFEGUARDS PRESERVED. For Article 32.B non-goods measures, former Article 32.4 paragraphs 4(a) through (h), 5, 6, 7 and 9 apply as preserved substantive safeguards, except that Article 32.B's shorter notification and expressly fixed duration govern. Foreign direct investment transfers remain excluded from the temporary-transfer exception, and measures remain consistent with expropriation, market-return and required IMF review or approval disciplines. An exceptional non-goods extension is available once for no more than twelve further months only after a fresh particularized necessity finding, IMF consultation and written notice to the Parties, overriding the ordinary twelve-month limit only to that defined extent. Successive substantially identical restrictions share the resulting twenty-four-month absolute ceiling and cannot reset it through relabeling.</w:t>
      </w:r>
    </w:p>
    <w:p/>
    <w:p>
      <w:pPr>
        <w:pStyle w:val="Heading2"/>
      </w:pPr>
      <w:bookmarkStart w:id="901043" w:name="_Toc300001042"/>
      <w:r>
        <w:t>Article 32.C: General Exceptions, Anti-Abuse Discipline</w:t>
      </w:r>
      <w:bookmarkEnd w:id="901043"/>
    </w:p>
    <w:p>
      <w:pPr>
        <w:pStyle w:val="Normal"/>
      </w:pPr>
      <w:r>
        <w:t>Natural Water Resources. Consistent with the original Canada–United States understanding preserved in Annex 34-G, Part C, this Agreement creates no right to a Party’s natural water resources. Water that has not entered commerce as a good or product is outside the market-access obligations of this Agreement, and no Party is obliged to withdraw, extract, divert, or exploit natural water for bulk export.</w:t>
      </w:r>
    </w:p>
    <w:p>
      <w:pPr>
        <w:pStyle w:val="Normal"/>
      </w:pPr>
      <w:r>
        <w:t>1. Article 32.1 (General Exceptions) remains in force. For greater certainty, the chapeau of GATT Article XX and of GATS Article XIV, as incorporated, requires that a measure not be applied in a manner constituting arbitrary or unjustifiable discrimination between countries where the same conditions prevail, including between the Parties, or a disguised restriction on trade, and this requirement applies with full force to measures affecting originating goods of another Party.</w:t>
      </w:r>
    </w:p>
    <w:p>
      <w:pPr>
        <w:pStyle w:val="Normal"/>
      </w:pPr>
      <w:r>
        <w:t>2. Article 32.1 cannot be invoked to accomplish what Articles 35.3 through 35.7 expressly prohibit, unless the measure in fact satisfies every element of the specific exception invoked, including the applicable chapeau discipline. Relabeling a measure does not bring it within an exception.</w:t>
      </w:r>
    </w:p>
    <w:p>
      <w:pPr>
        <w:pStyle w:val="Normal"/>
      </w:pPr>
      <w:r>
        <w:t>3. In a dispute concerning a general-exception defense for a covered border measure affecting originating goods, the responding Party bears the burden of establishing the elements of the exception invoked.</w:t>
      </w:r>
    </w:p>
    <w:p>
      <w:pPr>
        <w:spacing w:before="0" w:after="0"/>
        <w:widowControl w:val="1"/>
      </w:pPr>
      <w:r>
        <w:t>4. GENERAL EXCEPTIONS COVERAGE AND SINGLE TEST. GATT Article XX as incorporated by Article 32.1 applies to Chapter 35 goods obligations on its full substantive and chapeau conditions. Article 32.C is the single governing anti-abuse and burden rule for that defense, and Article 35.5.4 is a cross-reference to it rather than a second test. The invoking Party proves each element and the absence of arbitrary or unjustifiable discrimination or disguised restriction. An exception does not create independent corrective-tariff authority or dispense with a non-derogable review expressly preserved by this Agreement.</w:t>
      </w:r>
    </w:p>
    <w:p/>
    <w:p>
      <w:pPr>
        <w:pStyle w:val="Heading2"/>
      </w:pPr>
      <w:bookmarkStart w:id="901044" w:name="_Toc300001043"/>
      <w:r>
        <w:t>Article 32.D: Indigenous Peoples Rights</w:t>
      </w:r>
      <w:bookmarkEnd w:id="901044"/>
    </w:p>
    <w:p>
      <w:pPr>
        <w:pStyle w:val="Normal"/>
      </w:pPr>
      <w:r>
        <w:t>1. Article 32.5 (Indigenous Peoples Rights) remains in force. The Parties shall further cooperate to facilitate Indigenous trade, entrepreneurship, procurement participation, and cross-border economic relationships, including through the stakeholder channels of Article 26.B and the SME measures of Chapter 25 as supplemented.</w:t>
      </w:r>
    </w:p>
    <w:p>
      <w:pPr>
        <w:pStyle w:val="Heading2"/>
      </w:pPr>
      <w:bookmarkStart w:id="901045" w:name="_Toc300001044"/>
      <w:r>
        <w:t>Article 32.E: Disclosure of Information</w:t>
      </w:r>
      <w:bookmarkEnd w:id="901045"/>
    </w:p>
    <w:p>
      <w:pPr>
        <w:pStyle w:val="Normal"/>
        <w:spacing w:before="0" w:after="0"/>
        <w:widowControl w:val="1"/>
      </w:pPr>
      <w:r>
        <w:t>1. Article 32.7 (Disclosure of Information) remains in force. Information required to be protected under this Article includes classified security information furnished in a notification under Article 32.2 as replaced, which the receiving Parties shall protect and shall not disclose publicly.</w:t>
      </w:r>
    </w:p>
    <w:p/>
    <w:p>
      <w:pPr>
        <w:pStyle w:val="Heading2"/>
      </w:pPr>
      <w:bookmarkStart w:id="901046" w:name="_Toc300001045"/>
      <w:r>
        <w:t>Article 32.F: Risk-Based and Nationality-Neutral Administration</w:t>
      </w:r>
      <w:bookmarkEnd w:id="901046"/>
    </w:p>
    <w:p>
      <w:pPr>
        <w:pStyle w:val="Normal"/>
      </w:pPr>
      <w:r>
        <w:t>1. Except where this Agreement expressly provides otherwise, a determination that a technology, supplier, investor, enterprise, jurisdiction, supply source, commercial relationship, or category of goods presents elevated security, resilience, integrity, or compliance risk shall be based on objective evidence reasonably relevant to the measure being applied.</w:t>
      </w:r>
    </w:p>
    <w:p>
      <w:pPr>
        <w:pStyle w:val="Normal"/>
      </w:pPr>
      <w:r>
        <w:t>2. Relevant evidence may include beneficial ownership and effective control where functionally relevant; cybersecurity exposure; unauthorized data access; remote administrative access; supply concentration; demonstrated coercive conduct; corruption or fraud; forced labor; sanctions or export-control exposure legally applicable to the transaction; persistent regulatory non-compliance; product integrity; supply reliability; or other documented factors materially connected to the stated risk.</w:t>
      </w:r>
    </w:p>
    <w:p>
      <w:pPr>
        <w:pStyle w:val="Normal"/>
      </w:pPr>
      <w:r>
        <w:t>3. Nationality, ethnicity, national origin, culture, language, religion, country of incorporation, country of manufacture, state ownership, public-enterprise status, or a jurisdiction's general economic model shall not, standing alone, establish that a person, supplier, technology, investment, enterprise, or source is untrustworthy, unsafe, unreliable, or high-risk.</w:t>
      </w:r>
    </w:p>
    <w:p>
      <w:pPr>
        <w:pStyle w:val="Normal"/>
      </w:pPr>
      <w:r>
        <w:t>4. Nothing in this Agreement establishes a presumption that technologies, goods, services, investments, enterprises, or lawful commercial relationships originating outside North America are inherently less safe, reliable, desirable, or legitimate than North American equivalents.</w:t>
      </w:r>
    </w:p>
    <w:p>
      <w:pPr>
        <w:pStyle w:val="Normal"/>
      </w:pPr>
      <w:r>
        <w:t>5. This Article does not prevent a Party from applying lawful sanctions, export controls, investment screening, national-security measures, human-rights measures, trade remedies, cybersecurity protections, or critical-infrastructure safeguards, provided that the measure is administered consistently with the applicable provisions of this Agreement.</w:t>
      </w:r>
    </w:p>
    <w:p>
      <w:pPr>
        <w:pStyle w:val="Heading2"/>
      </w:pPr>
      <w:bookmarkStart w:id="901047" w:name="_Toc300001046"/>
      <w:r>
        <w:t>Article 32.G: External Economic Relations and Treaty Sovereignty</w:t>
      </w:r>
      <w:r>
        <w:t xml:space="preserve"> (Replacement of Article 32.10)</w:t>
      </w:r>
      <w:bookmarkEnd w:id="901047"/>
    </w:p>
    <w:p>
      <w:pPr>
        <w:pStyle w:val="Normal"/>
      </w:pPr>
      <w:r>
        <w:t xml:space="preserve">This Article replaces Article 32.10 (Non-Market Country FTA) in its entirety.</w:t>
      </w:r>
    </w:p>
    <w:p>
      <w:pPr>
        <w:pStyle w:val="Normal"/>
      </w:pPr>
      <w:r>
        <w:t>1. Each Party retains the sovereign authority, subject to its domestic law, to negotiate, conclude, amend, implement, suspend, or terminate trade, investment, economic-security, critical-minerals, technology, procurement, development, or other economic arrangements with a non-Party.</w:t>
      </w:r>
    </w:p>
    <w:p>
      <w:pPr>
        <w:pStyle w:val="Normal"/>
      </w:pPr>
      <w:r>
        <w:t>2. No Party shall require another Party to obtain its consent, approval, non-objection, waiver, or right of first refusal as a condition for exercising the authority described in paragraph 1, and no Party shall condition treatment under this Agreement on another Party surrendering that authority.</w:t>
      </w:r>
    </w:p>
    <w:p>
      <w:pPr>
        <w:pStyle w:val="Normal"/>
      </w:pPr>
      <w:r>
        <w:t>3. A Party may require notification, consultation, transparency, or a narrowly tailored review of the specific effects of a non-Party arrangement where necessary to administer this Agreement, protect originating treatment, prevent circumvention, address a verified security risk, or apply an express obligation of this Agreement. Such review shall address the relevant measure or transaction and shall not operate as a veto over the non-Party arrangement itself.</w:t>
      </w:r>
    </w:p>
    <w:p>
      <w:pPr>
        <w:pStyle w:val="Normal"/>
      </w:pPr>
      <w:r>
        <w:t>4. Nothing in this Article prevents a Party from declining to extend benefits of this Agreement to non-Parties, enforcing rules of origin, applying lawful investment screening, protecting controlled technology, or taking action expressly authorized by Article 32.A. Those authorities shall not be used to compel exclusive economic alignment by another Party.</w:t>
      </w:r>
    </w:p>
    <w:p>
      <w:pPr>
        <w:pStyle w:val="Normal"/>
      </w:pPr>
      <w:r>
        <w:t>5. This Article applies symmetrically to Canada, Mexico, and the United States and shall be interpreted consistently with Articles 34.D, 36.9, 37.6A, and Chapter 41.</w:t>
      </w:r>
    </w:p>
    <w:p>
      <w:pPr>
        <w:pStyle w:val="Heading2"/>
      </w:pPr>
      <w:bookmarkStart w:id="901048" w:name="_Toc300001047"/>
      <w:r>
        <w:t>Article 32.H: Exceptions Do Not Apply to Chapter 23-B</w:t>
      </w:r>
      <w:bookmarkEnd w:id="901048"/>
    </w:p>
    <w:p>
      <w:pPr>
        <w:pStyle w:val="Normal"/>
      </w:pPr>
      <w:r>
        <w:t>Notwithstanding any other exception or carve-out in this Chapter (including Articles 32.E and 32.F), no Party may invoke an exception to excuse, reduce, postpone, or discontinue the substantive protections, benefit levels, funding commitments, or worker and community support required by Chapter 23-B (North American Just Transition and Worker Security Framework). Domestic law or constitutional allocation of authority does not excuse the substantive obligation. Where a prescribed method is constitutionally unavailable, the Party shall use the equivalent-mechanism procedure in Article 23-B.10(c), and Article 23-B.10(c)(v) prohibits interruption of benefits while equivalence is resolved.</w:t>
      </w:r>
    </w:p>
    <w:p>
      <w:pPr>
        <w:pStyle w:val="Heading1"/>
      </w:pPr>
      <w:bookmarkStart w:id="901049" w:name="_Toc300001048"/>
      <w:r>
        <w:t>CHAPTER 33 MACROECONOMIC POLICIES AND EXCHANGE RATE MATTERS</w:t>
      </w:r>
      <w:bookmarkEnd w:id="901049"/>
    </w:p>
    <w:p>
      <w:pPr>
        <w:pStyle w:val="Heading2"/>
      </w:pPr>
      <w:bookmarkStart w:id="901050" w:name="_Toc300001049"/>
      <w:r>
        <w:t xml:space="preserve">Article 33.1: Definitions</w:t>
      </w:r>
      <w:bookmarkEnd w:id="901050"/>
    </w:p>
    <w:p>
      <w:pPr>
        <w:pStyle w:val="Normal"/>
      </w:pPr>
      <w:r>
        <w:t xml:space="preserve">For the purposes of this Chapter: Article IV Staff Report means the report prepared by a staff team of the International Monetary Fund (IMF) for consideration by the Executive Board of the IMF in the context of a country’s adherence to Article IV, Section 3(b), of the IMF Articles of Agreement; competitive devaluation means an action undertaken by an exchange rate authority of a Party for the purpose of preventing effective balance of payments adjustment or gaining an unfair competitive advantage in trade over another Party; Currency Composition of Official Foreign Exchange Reserves (COFER) database means the IMF database based on voluntary and confidential participation by IMF member countries, which distinguishes monetary authorities’ claims on non-residents denominated in U.S.</w:t>
      </w:r>
    </w:p>
    <w:p>
      <w:pPr>
        <w:pStyle w:val="Normal"/>
      </w:pPr>
      <w:r>
        <w:t>dollars, euros, pounds sterling, Japanese yen, Swiss francs, and other currencies on a quarterly basis starting in 2005; exchange rate means the price of one currency in terms of another currency; exchange rate assessment means the IMF staff’s evaluation of a country’s exchange rate as presented to the IMF Executive Board as part of a Party’s Article IV consultation or as published in the annual External Sector Report, consistent with recommendation 4 in the IMF 2011 Triennial Surveillance Review – Overview Paper, prepared on August 29, 2011; Executive Board discussion means the discussion by the IMF Executive Board of the Party’s Article IV Staff Report leading to the conclusion of the Article IV consultation, as defined in Paragraph 27 in Part III Section A of the Modernizing the Legal Framework for Surveillance―An Integrated Surveillance Decision, Revised Proposed Decisions, prepared on July 17, 2012; exports means all goods that subtract from the stock of material resources of a country by leaving its economic territory (International Merchandise Trade Statistics:</w:t>
      </w:r>
    </w:p>
    <w:p>
      <w:pPr>
        <w:pStyle w:val="Normal"/>
      </w:pPr>
      <w:r>
        <w:t>Concepts and Definitions 2010, Chapter I, section A 1.2 of the United Nations); foreign exchange means the official currency of another Party or a non-Party; foreign exchange market means a market, wherever located, in which participants can purchase or sell foreign exchange; foreign exchange reserves means claims of an exchange rate authority or monetary authority on nonresidents in the form of foreign</w:t>
      </w:r>
    </w:p>
    <w:p>
      <w:pPr>
        <w:pStyle w:val="Normal"/>
      </w:pPr>
      <w:r>
        <w:t>banknotes, bank deposits, treasury bills, short- and long-term government securities, and other claims usable in the event of balance of payments need, as defined in the IMF’s Balance of Payments and International Investment Position Manual, Sixth Edition (BPM6), paragraphs 6.86-6.92; forward foreign exchange contract means a commitment to transact, at a designated future date and agreed-upon exchange rate, in a specified amount of specified foreign exchange (paragraph FD 28, Financial Derivatives, A supplement to the Fifth Edition (1993) of the IMF’s Balance of Payments and International Investment Position Manual); forward positions means predetermined short-term net drains on foreign currency assets in the form of forwards, futures, and swaps, as defined in Item II.2 of the Reserves Data Template in the IMF International Reserves and Foreign Currency Liquidity: Guidelines for a Data Template (2013); imports means all goods that add to the stock of material resources of a country by entering its economic territory (International Merchandise Trade Statistics:</w:t>
      </w:r>
    </w:p>
    <w:p>
      <w:pPr>
        <w:pStyle w:val="Normal"/>
      </w:pPr>
      <w:r>
        <w:t>Concepts and Definitions 2010, Chapter I, section A 1.2 of the United Nations); intervention means the purchase or sale, or the purchase or sale of a forward position, under the direction of an exchange rate authority, of foreign exchange reserves involving the currency of the intervening Party and at least one other currency; portfolio capital flows means cross-border transactions and positions involving debt or</w:t>
      </w:r>
    </w:p>
    <w:p>
      <w:pPr>
        <w:pStyle w:val="Normal"/>
      </w:pPr>
      <w:r>
        <w:t>equity securities, other than those included in direct investment or reserve assets, as defined in the IMF’s Balance of Payments and International Investment Position Manual, Sixth Edition (BPM6), paragraphs 6.54-6.57; principal representative of a Party means a senior official of the exchange rate or fiscal or monetary authority of a Party;1 and spot foreign exchange market means the foreign exchange market in which participants transact for immediate delivery. For greater certainty, the principal representatives of Mexico include a senior officer of the Ministry of Finance and Public Credit and a senior officer of the Central Bank.</w:t>
      </w:r>
    </w:p>
    <w:p>
      <w:pPr>
        <w:pStyle w:val="Heading2"/>
      </w:pPr>
      <w:bookmarkStart w:id="901051" w:name="_Toc300001050"/>
      <w:r>
        <w:t xml:space="preserve">Article 33.2: General Provisions</w:t>
      </w:r>
      <w:bookmarkEnd w:id="901051"/>
    </w:p>
    <w:p>
      <w:pPr>
        <w:pStyle w:val="Normal"/>
      </w:pPr>
      <w:r>
        <w:t xml:space="preserve">1. The Parties affirm that market-determined exchange rates are fundamental for smooth macroeconomic adjustment and promote strong, sustainable, and balanced growth. 2. The Parties recognize the importance of macroeconomic stability in the region to the success of this Agreement and that strong economic fundamentals and sound policies are essential to macroeconomic stability, and contribute to strong and sustainable growth and investment. 3. The Parties share the objective of pursuing policies that strengthen underlying economic fundamentals, foster growth and transparency, and avoid unsustainable external imbalances.</w:t>
      </w:r>
    </w:p>
    <w:p>
      <w:pPr>
        <w:pStyle w:val="Heading2"/>
      </w:pPr>
      <w:bookmarkStart w:id="901052" w:name="_Toc300001051"/>
      <w:r>
        <w:t xml:space="preserve">Article 33.3: Scope</w:t>
      </w:r>
      <w:bookmarkEnd w:id="901052"/>
    </w:p>
    <w:p>
      <w:pPr>
        <w:pStyle w:val="Normal"/>
      </w:pPr>
      <w:r>
        <w:t xml:space="preserve">This Chapter does not apply with respect to the regulatory or supervisory activities or monetary and related credit policy and related conduct of an exchange rate or fiscal or monetary authority of a Party.2</w:t>
      </w:r>
    </w:p>
    <w:p>
      <w:pPr/>
      <w:r>
        <w:t>2 For greater certainty, the term “exchange rate or fiscal or monetary authority of a Party” includes a central bank of a Party.</w:t>
      </w:r>
    </w:p>
    <w:p>
      <w:pPr>
        <w:pStyle w:val="Heading2"/>
      </w:pPr>
      <w:bookmarkStart w:id="901053" w:name="_Toc300001052"/>
      <w:r>
        <w:t xml:space="preserve">Article 33.4: Exchange Rate Practices</w:t>
      </w:r>
      <w:bookmarkEnd w:id="901053"/>
    </w:p>
    <w:p>
      <w:pPr>
        <w:pStyle w:val="Normal"/>
        <w:spacing w:before="0" w:after="0"/>
        <w:widowControl w:val="1"/>
      </w:pPr>
      <w:r>
        <w:t xml:space="preserve">1. Each Party confirms that it is bound under the IMF Articles of Agreement to avoid manipulating exchange rates or the international monetary system in order to prevent effective balance of payments adjustment or to gain an unfair competitive advantage. 2. Each Party should: (a) achieve and maintain a market-determined exchange rate regime; (b) refrain from competitive devaluation, including through intervention in the foreign exchange market; and (c) strengthen underlying economic fundamentals, which reinforces the conditions for macroeconomic and exchange rate stability. 3. Each Party should inform promptly another Party and discuss if needed when an intervention has been carried out by the Party with respect to the currency of that other Party.</w:t>
      </w:r>
    </w:p>
    <w:p/>
    <w:p>
      <w:pPr>
        <w:pStyle w:val="Heading2"/>
      </w:pPr>
      <w:bookmarkStart w:id="901054" w:name="_Toc300001053"/>
      <w:r>
        <w:t xml:space="preserve">Article 33.5: Transparency and Reporting</w:t>
      </w:r>
      <w:bookmarkEnd w:id="901054"/>
    </w:p>
    <w:p>
      <w:pPr>
        <w:pStyle w:val="Normal"/>
      </w:pPr>
      <w:r>
        <w:t xml:space="preserve">1. Each Party shall disclose publicly: (a) monthly foreign exchange reserves data and forward positions according to the IMF’s Data Template on International Reserves and Foreign Currency Liquidity, no later than 30 days after the end of each month; (b) monthly interventions in spot and forward foreign exchange markets, no later than seven days after the end of each month; (c) quarterly balance of payments portfolio capital flows, no later than 90 days after the end of each quarter; and (d) quarterly exports and imports, no later than 90 days after the end of each quarter. 2. Each Party shall consent to the public disclosure by the IMF of: (a) each IMF Article IV Staff Report on the country of the Party, including the exchange rate assessment, within four weeks of the IMF Executive Board discussion; and (b) confirmation of the Party’s participation in the IMF COFER database. 3. If the IMF does not disclose publicly any items listed in paragraph (2) with respect to a Party, that Party shall request that the IMF disclose publicly those items.</w:t>
      </w:r>
    </w:p>
    <w:p>
      <w:pPr>
        <w:pStyle w:val="Heading2"/>
      </w:pPr>
      <w:bookmarkStart w:id="901055" w:name="_Toc300001054"/>
      <w:r>
        <w:t xml:space="preserve">Article 33.6: Macroeconomic Committee</w:t>
      </w:r>
      <w:bookmarkEnd w:id="901055"/>
    </w:p>
    <w:p>
      <w:pPr>
        <w:pStyle w:val="Normal"/>
      </w:pPr>
      <w:r>
        <w:t xml:space="preserve">1. The Parties hereby establish a Macroeconomic Committee composed of principal representatives of each Party. Article 30.2.2(b) (Functions of the Commission) does not apply to the Macroeconomic Committee. 2. The Macroeconomic Committee shall monitor the implementation of this Chapter and its further elaboration. 3. The Macroeconomic Committee shall meet within one year after the date of entry into force of this Agreement, and at least annually thereafter, unless the Parties decide otherwise. 4. The Macroeconomic Committee shall, at each annual meeting, consider: (a) the macroeconomic and exchange rate policies of each Party, and their consequences on diverse macroeconomic variables, including domestic demand, external demand, and the current account balance; (b) issues, challenges, or efforts to strengthen capacity with respect to transparency or reporting; and (c) undertaking other activities as the Macroeconomic Committee may decide. 5. At each annual meeting, or as necessary, the Macroeconomic Committee may consider whether any provisions of this Chapter, except Article 33.3 (Scope), should be amended to reflect changes in monetary policy and the financial markets or should be interpreted.</w:t>
      </w:r>
    </w:p>
    <w:p>
      <w:pPr>
        <w:pStyle w:val="Normal"/>
      </w:pPr>
      <w:r>
        <w:t>A decision by consensus of the Macroeconomic Committee that a provision of this Chapter should be amended shall be deemed to be a decision by consensus of the Commission to amend the provision.</w:t>
      </w:r>
    </w:p>
    <w:p>
      <w:pPr>
        <w:pStyle w:val="Normal"/>
      </w:pPr>
      <w:r>
        <w:t>Amendments shall enter into force as provided for in Article 34.3 (Amendments). An interpretation issued pursuant to a decision by consensus of the Macroeconomic Committee shall be deemed to be an interpretation issued pursuant to a decision by consensus of the Commission. 6. The Commission shall not take any decision to amend or interpret a provision of this Chapter except as provided in paragraph 5.</w:t>
      </w:r>
    </w:p>
    <w:p>
      <w:pPr>
        <w:pStyle w:val="Heading2"/>
      </w:pPr>
      <w:bookmarkStart w:id="901056" w:name="_Toc300001055"/>
      <w:r>
        <w:t xml:space="preserve">Article 33.7: Principal Representative Consultations</w:t>
      </w:r>
      <w:bookmarkEnd w:id="901056"/>
    </w:p>
    <w:p>
      <w:pPr>
        <w:pStyle w:val="Normal"/>
      </w:pPr>
      <w:r>
        <w:t xml:space="preserve">1. A principal representative of a Party may request expedited bilateral consultations with a principal representative of another Party with respect to policies or measures of another Party that the principal representative of the requesting Party considers associated with competitive devaluation, the targeting of exchange rates for competitive purposes, fulfillment of the transparency and reporting commitments in Article 33.5 (Transparency and Reporting), or any other issue that the principal representative of the Party may wish to raise with respect to Articles 33.4 (Exchange Rate Practices) or 33.5 (Transparency and Reporting). A Party engaged in bilateral consultations may invite the Party not engaged in those consultations to participate and provide input. 2. If a principal representative of a Party requests bilateral consultations, the principal representatives (or their designees) of the consulting Parties shall meet within 30 days of the request to arrive at a mutually satisfactory resolution of the matter within 60 days of their initial meeting. 3.</w:t>
      </w:r>
    </w:p>
    <w:p>
      <w:pPr>
        <w:pStyle w:val="Normal"/>
      </w:pPr>
      <w:r>
        <w:t>If a principal representative of a Party requests bilateral consultations with respect to another Party’s fulfillment of the transparency and reporting commitments in Article 33.5 (Transparency and Reporting), whether circumstances disrupted the practical ability of the other Party to disclose publicly the items listed in that Article shall be taken into account in the consultations, with the objective of arriving at a mutually satisfactory resolution of the matter. 4. If there is failure to arrive at a mutually satisfactory resolution in any consultations under this Article, the consulting Parties may request that the IMF, consistent with its mandate: (a) undertake rigorous surveillance of the macroeconomic and exchange rate policies and data transparency and reporting policies of the requested Party; or (b) initiate formal consultations and provide input, as appropriate.</w:t>
      </w:r>
    </w:p>
    <w:p>
      <w:pPr>
        <w:pStyle w:val="Heading2"/>
      </w:pPr>
      <w:bookmarkStart w:id="901057" w:name="_Toc300001056"/>
      <w:r>
        <w:t xml:space="preserve">Article 33.8: Dispute Settlement</w:t>
      </w:r>
      <w:bookmarkEnd w:id="901057"/>
    </w:p>
    <w:p>
      <w:pPr>
        <w:pStyle w:val="Normal"/>
      </w:pPr>
      <w:r>
        <w:t xml:space="preserve">1. A Party may have recourse to dispute settlement under Chapter 31 (Dispute Settlement), as modified by this Article, only with respect to a claim that a Party has failed to carry out an obligation under Article 33.5 (Transparency and Reporting) in a recurring or persistent manner and has not remediated that failure during consultations under Article 33.7 (Principal Representative Consultations).3 2. When selecting panelists to compose a panel under Article 31.9 (Panel Composition), each disputing Party shall select panelists so that each panelist: (a) has served as a senior official of an exchange rate or fiscal or monetary authority of a Party or the International Monetary Fund; and (b) meets the qualifications set out in paragraphs (2)(b) through (2)(d) of Article 31.8 (Roster and Qualification of Panelists). 3.</w:t>
      </w:r>
    </w:p>
    <w:p>
      <w:pPr>
        <w:pStyle w:val="Normal"/>
      </w:pPr>
      <w:r>
        <w:t>A panel established under Article 31.6 (Establishment of a Panel) to make a determination as to whether a Party has failed to carry out an obligation under Article 33.5 (Transparency and Reporting) in a recurring or persistent manner and has not remediated that failure during consultations under Article 33.7 (Principal Representative Consultations) and a panel reconvened to make a determination on the proposed suspension of benefits, in accordance with Article 31.19 (Non-Implementation – Suspension of Benefits), may seek the views of the IMF in accordance with Article 31.15 (Role of Experts). 4.</w:t>
      </w:r>
    </w:p>
    <w:p>
      <w:pPr>
        <w:pStyle w:val="Normal"/>
      </w:pPr>
      <w:r>
        <w:t>When a panel’s determination is that a Party has failed to carry out an obligation under Article 33.5 (Transparency and Reporting) in a recurring or persistent manner, and has not remediated that failure during consultations under Article 33.7 (Principal Representative Consultations), the complaining Party may not suspend benefits that are in excess of benefits equivalent to the effect of that failure. In suspending benefits under Article 31.19 (Non 3 For greater certainty, this Article does not provide a basis for any matter arising under any other provision of this Agreement, including Article 31.2(c) (Scope). Implementation – Suspension of Benefits), the complaining Party may take into account only the failure to carry out an obligation under Article 33.5 (Transparency and Reporting) and not any other action or alleged failure by the responding Party.</w:t>
      </w:r>
    </w:p>
    <w:p>
      <w:pPr>
        <w:pStyle w:val="Heading1"/>
      </w:pPr>
      <w:bookmarkStart w:id="901058" w:name="_Toc300001057"/>
      <w:r>
        <w:t>CHAPTER 34 FINAL PROVISIONS</w:t>
      </w:r>
      <w:bookmarkEnd w:id="901058"/>
    </w:p>
    <w:p>
      <w:pPr>
        <w:pStyle w:val="Heading2"/>
      </w:pPr>
      <w:bookmarkStart w:id="901059" w:name="_Toc300001058"/>
      <w:r>
        <w:t xml:space="preserve">Article 34.1: Transitional Provision from NAFTA 1994</w:t>
      </w:r>
      <w:bookmarkEnd w:id="901059"/>
    </w:p>
    <w:p>
      <w:pPr>
        <w:pStyle w:val="Normal"/>
      </w:pPr>
      <w:r>
        <w:t xml:space="preserve">1. The Parties recognize the importance of a smooth transition from NAFTA 1994 to this Agreement. 2. Issues under consideration, including documents or other work under development, by the Commission or a subsidiary body of NAFTA 1994 may be continued under any equivalent body in this Agreement, subject to any decision by the Parties on whether and in what manner that continuation is to occur. 3. Membership of the Committee established under Article 2022 of NAFTA 1994 may be maintained for the Committee under Article 31.22.4 (Alternative Dispute Resolution). 4. Chapter Nineteen of NAFTA 1994 shall continue to apply to binational panel reviews related to final determinations published by a Party before the entry into force of this Agreement. 5.</w:t>
      </w:r>
    </w:p>
    <w:p>
      <w:pPr>
        <w:pStyle w:val="Normal"/>
      </w:pPr>
      <w:r>
        <w:t>With respect to the matters set out in paragraph 4, the Secretariat established under Article 30.6 of this Agreement shall perform the functions assigned to the NAFTA 1994 Secretariat under Chapter Nineteen of the NAFTA 1994 and under, for Chapter Nineteen, the domestic implementation procedures adopted by the Parties in connection therewith, until the binational panel has rendered a decision and a Notice of Completion of Panel Review has been issued by the Secretariat pursuant to the Rules of Procedure for Article 1904 Binational Panel Reviews. 6.</w:t>
      </w:r>
    </w:p>
    <w:p>
      <w:pPr>
        <w:pStyle w:val="Normal"/>
      </w:pPr>
      <w:r>
        <w:t>With respect to claims for preferential tariff treatment made under NAFTA 1994, the Parties shall make appropriate arrangements to grant these claims in accordance with NAFTA 1994 after entry into force of this Agreement. The provisions of Chapter Five of NAFTA 1994 will continue to apply through those arrangements, but only to goods for which preferential tariff treatment was claimed in accordance with NAFTA 1994, and will remain applicable for the period provided for in Article 505 (Records) of that Agreement.</w:t>
      </w:r>
    </w:p>
    <w:p>
      <w:pPr>
        <w:pStyle w:val="Heading2"/>
      </w:pPr>
      <w:bookmarkStart w:id="901060" w:name="_Toc300001059"/>
      <w:r>
        <w:t>Article 34.2: Annexes, Appendices, and Footnotes</w:t>
      </w:r>
      <w:bookmarkEnd w:id="901060"/>
    </w:p>
    <w:p>
      <w:pPr>
        <w:pStyle w:val="Normal"/>
      </w:pPr>
      <w:r>
        <w:t>The annexes, appendices, and footnotes to this Agreement constitute an integral part of this Agreement.</w:t>
      </w:r>
    </w:p>
    <w:p>
      <w:pPr>
        <w:pStyle w:val="Heading2"/>
      </w:pPr>
      <w:bookmarkStart w:id="901061" w:name="_Toc300001060"/>
      <w:r>
        <w:t xml:space="preserve">Article 34.3: Amendments</w:t>
      </w:r>
      <w:bookmarkEnd w:id="901061"/>
    </w:p>
    <w:p>
      <w:pPr>
        <w:pStyle w:val="Normal"/>
      </w:pPr>
      <w:r>
        <w:t xml:space="preserve">1. The Parties may agree, in writing, to amend this Agreement. 2. An amendment shall enter into force 60 days after the date on which the last Party has provided written notice to the other Parties of the approval of the amendment in accordance with its applicable legal procedures, or such other date as the Parties may agree.</w:t>
      </w:r>
    </w:p>
    <w:p>
      <w:pPr>
        <w:pStyle w:val="Heading2"/>
      </w:pPr>
      <w:bookmarkStart w:id="901062" w:name="_Toc300001061"/>
      <w:r>
        <w:t xml:space="preserve">Article 34.4: Amendment of the WTO Agreement</w:t>
      </w:r>
      <w:bookmarkEnd w:id="901062"/>
    </w:p>
    <w:p>
      <w:pPr>
        <w:pStyle w:val="Normal"/>
      </w:pPr>
      <w:r>
        <w:t xml:space="preserve">In the event of an amendment of the WTO Agreement that amends a provision that the Parties have incorporated into this Agreement, the Parties shall, unless otherwise provided in this Agreement, consult on whether to amend this Agreement.</w:t>
      </w:r>
    </w:p>
    <w:p>
      <w:pPr>
        <w:pStyle w:val="Heading2"/>
      </w:pPr>
      <w:bookmarkStart w:id="901063" w:name="_Toc300001062"/>
      <w:r>
        <w:t xml:space="preserve">Article 34.5: Entry into Force</w:t>
      </w:r>
      <w:bookmarkEnd w:id="901063"/>
    </w:p>
    <w:p>
      <w:pPr>
        <w:pStyle w:val="Normal"/>
      </w:pPr>
      <w:r>
        <w:t xml:space="preserve">This Agreement enters into force in accordance with paragraph 2 of the Protocol Replacing the North American Free Trade Agreement with the Agreement between the United States of America, the United Mexican States, and Canada.</w:t>
      </w:r>
    </w:p>
    <w:p>
      <w:pPr>
        <w:spacing w:before="0" w:after="0"/>
        <w:widowControl w:val="1"/>
      </w:pPr>
      <w:r>
        <w:t>1. PROTOCOL COMMENCEMENT PRECISION. Article 34.5 governs original Agreement commencement and the Protocol of Modernization commences on its separately authenticated single date under its entry-into-force provision. References to entry into force for a Party in Annexes 34-F and 34-H mean that single Protocol date for the original signatories, with a later accession date applicable only where a valid accession instrument expressly provides it. A correction opportunity does not suspend a treaty deadline unless its operative provision expressly tolls it, and temporary-by-design periods are limited to Article 35.29(2)'s express categories or an expressly adopted authorized transitional period. The Committee on Rules of Origin and Origin Procedures is the single committee name for the chapter's equivalent shortened variants.</w:t>
      </w:r>
    </w:p>
    <w:p/>
    <w:p>
      <w:pPr>
        <w:pStyle w:val="Heading2"/>
      </w:pPr>
      <w:bookmarkStart w:id="901064" w:name="_Toc300001063"/>
      <w:r>
        <w:t xml:space="preserve">Article 34.6: Withdrawal</w:t>
      </w:r>
      <w:bookmarkEnd w:id="901064"/>
    </w:p>
    <w:p>
      <w:pPr>
        <w:pStyle w:val="Normal"/>
      </w:pPr>
      <w:r>
        <w:t xml:space="preserve">1. A Party may withdraw from this Agreement by providing authenticated written notice of withdrawal to the other Parties. 2. Subject to Articles 34.F through 34.Q, withdrawal shall not take effect earlier than 12 months after notice unless all Parties agree in writing to an earlier date. 3. Until withdrawal takes effect, the withdrawing Party remains fully bound by this Agreement. 4. If a Party withdraws, this Agreement shall remain in force for the remaining Parties.</w:t>
      </w:r>
    </w:p>
    <w:p>
      <w:pPr>
        <w:spacing w:before="0" w:after="0"/>
        <w:widowControl w:val="1"/>
      </w:pPr>
      <w:r>
        <w:t>2. WITHDRAWAL CLOCK AND RELIANCE DATE. The single withdrawal-clock trigger is the later authenticated delivery to every other Party of notice under Article 34.6 and legislative-approval certification under Article 34.N. The Secretariat records that date and publishes it with the authenticated documents, and withdrawal takes effect no earlier than twelve months after that trigger. Article 34.F assessment and reliance cut-off use that same trigger rather than an earlier political statement or premature notice. Investments and commitments substantially undertaken before that trigger remain eligible for Article 34.F(3) reliance transition, including those undertaken after premature notice but before required certification.</w:t>
      </w:r>
    </w:p>
    <w:p/>
    <w:p>
      <w:pPr>
        <w:pStyle w:val="Heading2"/>
      </w:pPr>
      <w:bookmarkStart w:id="901065" w:name="_Toc300001064"/>
      <w:r>
        <w:t xml:space="preserve">Historical Reproduction: Superseded Duration and Review Text (Non-operative)</w:t>
      </w:r>
      <w:bookmarkEnd w:id="901065"/>
    </w:p>
    <w:p>
      <w:pPr>
        <w:pStyle w:val="Normal"/>
      </w:pPr>
      <w:r>
        <w:t xml:space="preserve">1. This Agreement remains in force for an indefinite duration unless a Party withdraws in accordance with Article 34.6. No periodic review, review deadline, failure to reach consensus, or passage of time terminates, suspends, diminishes, or conditions continuation of this Agreement. 2. The Commission shall conduct a joint review six years after entry into force of the Protocol of Modernization and every six years thereafter. A review is an implementation and modernization process and is not a renewal event. 3. A joint review shall address implementation, measurable performance, submitted modernization recommendations, operation of the strengthened bargain, and emerging conditions that may warrant consensual amendment.</w:t>
      </w:r>
    </w:p>
    <w:p>
      <w:pPr>
        <w:pStyle w:val="Normal"/>
      </w:pPr>
      <w:r>
        <w:t>4. Existing rights and obligations continue automatically before, during, and after every review. No Party is required to renew, extend, or reconfirm this Agreement or any right, preference, guarantee, protection, recognition, approval, status, or entitlement established under it. 5. If the Parties do not agree on a recommendation or amendment, the Agreement continues unchanged; unresolved modernization questions may be carried forward without conditioning existing benefits on agreement. 6. A review may recommend amendment, technical updating, implementation action, or no action. Failure to adopt a recommendation has no adverse legal consequence for continuation of the Agreement.</w:t>
      </w:r>
    </w:p>
    <w:p>
      <w:pPr>
        <w:pStyle w:val="Normal"/>
      </w:pPr>
      <w:r>
        <w:t>7. There is no sunset, snapback, lapse, or fade arising from Article 34.7. Continuity is the default; expiration applies only where an operative provision expressly makes a measure temporary by design, consistent with Article 35.29. 8. Withdrawal remains governed exclusively by Article 34.6 and Articles 34.F through 34.Q. A Party that has notified withdrawal remains bound until withdrawal takes effect.</w:t>
      </w:r>
    </w:p>
    <w:p>
      <w:pPr>
        <w:pStyle w:val="Heading2"/>
      </w:pPr>
      <w:bookmarkStart w:id="901066" w:name="_Toc300001065"/>
      <w:r>
        <w:t xml:space="preserve">Article 34.8: Authentic Texts</w:t>
      </w:r>
      <w:bookmarkEnd w:id="901066"/>
    </w:p>
    <w:p>
      <w:pPr>
        <w:pStyle w:val="Normal"/>
      </w:pPr>
      <w:r>
        <w:t xml:space="preserve">The English, French, and Spanish texts of this Agreement are equally authentic, unless provided elsewhere in this Agreement. EXPLANATORY NOTE</w:t>
      </w:r>
    </w:p>
    <w:p>
      <w:pPr>
        <w:pStyle w:val="ModHeading"/>
      </w:pPr>
      <w:bookmarkStart w:id="901067" w:name="_Toc300001066"/>
      <w:r>
        <w:t>CHAPTER 34: CUSMA 2.0 MODERNIZATION PROVISIONS</w:t>
      </w:r>
      <w:bookmarkEnd w:id="901067"/>
    </w:p>
    <w:p>
      <w:pPr>
        <w:pStyle w:val="Normal"/>
      </w:pPr>
      <w:r>
        <w:rPr>
          <w:i/>
        </w:rPr>
        <w:t>The provisions of this Part amend Chapter 34 (Final Provisions).</w:t>
      </w:r>
    </w:p>
    <w:p>
      <w:pPr>
        <w:pStyle w:val="Heading2"/>
      </w:pPr>
      <w:bookmarkStart w:id="901068" w:name="_Toc300001067"/>
      <w:r>
        <w:t>Article 34.A: Amendments and the Structured Technical Amendment Procedure (Supplement to Article 34.3)</w:t>
      </w:r>
      <w:bookmarkEnd w:id="901068"/>
    </w:p>
    <w:p>
      <w:pPr>
        <w:pStyle w:val="Normal"/>
      </w:pPr>
      <w:r>
        <w:t>1. Article 34.3 (Amendments) remains in force for amendments to the text of this Agreement.</w:t>
      </w:r>
    </w:p>
    <w:p>
      <w:pPr>
        <w:pStyle w:val="Normal"/>
      </w:pPr>
      <w:r>
        <w:t>2. The following new Article is added:</w:t>
      </w:r>
    </w:p>
    <w:p>
      <w:pPr>
        <w:pStyle w:val="Normal"/>
      </w:pPr>
      <w:r>
        <w:t>“</w:t>
      </w:r>
      <w:r>
        <w:rPr>
          <w:b/>
        </w:rPr>
        <w:t>Article 34.3.A: Structured Technical Amendment Procedure</w:t>
      </w:r>
    </w:p>
    <w:p>
      <w:pPr>
        <w:pStyle w:val="Normal"/>
        <w:spacing w:before="0" w:after="0"/>
        <w:widowControl w:val="1"/>
      </w:pPr>
      <w:r>
        <w:t>1. The Commission may, by consensus, adopt amendments strictly limited to: (a) nomenclature and tariff-classification updates; (b) thresholds and coefficients within the ranges or maxima fixed by treaty text, including the factor ranges of Annex 35-A, Part 2; (c) technical standards, data standards, and technical criteria; and (d) maintenance of product lists and technical annexes, including Annexes 35-A through 35-K, Annexes 37-A through 37-C, Annexes 40-A and 40-B, the Advanced Technology Annex under Article 39.5, the technical fields and methods of Annex 65-C, Annexes 66-B and 66-C, Annex 67-B, Annexes 68-A and 68-E, and the product-specific rules of Annex 4-B where the Committee on Rules of Origin and Origin Procedures has recommended the amendment. A late-chapter annex named in subparagraph (d) is eligible only for a change that remains technical within paragraph 3 and within the legal status assigned to that annex by its governing chapter. Inclusion in this list does not convert a non-binding register, candidate list, visibility overlay, or operational record into a substantive obligation. A change to legal effect, market access, an exception, a remedy, a binding project commitment, or another protected term remains subject to Article 34.3.</w:t>
      </w:r>
    </w:p>
    <w:p/>
    <w:p>
      <w:pPr>
        <w:pStyle w:val="Normal"/>
      </w:pPr>
      <w:r>
        <w:t>2. A technical amendment under this Article: (a) shall be recommended by the competent committee; (b) shall be published for comment for not less than 30 days; (c) takes effect on the date fixed by the Commission, not less than 60 days after adoption; and (d) is reported to the Parties in accordance with their domestic procedures. For a late-chapter annex expressly named in paragraph 1(d) that has no standing committee with subject-matter jurisdiction, the Commission shall designate an existing treaty body with relevant competence to perform the recommending function for that amendment. The designation creates no operational command, independent substantive authority, or power to bypass paragraph 3. Article 46.11 governs only non-substantive typographical, cross-reference, numbering, and formatting corrections and does not substitute for this procedure.</w:t>
      </w:r>
    </w:p>
    <w:p>
      <w:pPr>
        <w:pStyle w:val="Normal"/>
      </w:pPr>
      <w:r>
        <w:t>3. The procedure in this Article shall not be used to change a Party’s substantive rights, obligations, market access, protection, remedy, or policy space, to create or eliminate an exception, or to alter any treaty-level range, ceiling, deadline, or guarantee. A change having such effect is an amendment under Article 34.3 and enters into force only through the ratification procedure applicable to amendments. A disputing Party may challenge a purported technical amendment exceeding this paragraph under Chapter 31, and such an amendment is without effect unless confirmed under Article 34.3.“</w:t>
      </w:r>
    </w:p>
    <w:p>
      <w:pPr>
        <w:spacing w:before="0" w:after="0"/>
        <w:widowControl w:val="1"/>
      </w:pPr>
      <w:r>
        <w:t>4. TECHNICAL SCOPE SCREEN AND OBJECTION. Before adoption, the recommending competent committee and the Commission shall publish a reasoned scope statement showing that each proposed change remains within paragraph 1 and alters none of paragraph 3's protected substantive terms. A Party may deliver a reasoned paragraph 3 objection at any time before the effective date, which stays the contested part until unanimous withdrawal of the objection, a final Chapter 31 determination of technical eligibility, or lawful Article 34.3 confirmation. Every invoking provision, including Articles 39.5, 37.12.4, 40.24(3), 35.28.2(c), Annex 35-G and automotive threshold instruments, uses the thirty-day comment and sixty-day minimum and this screen, with the Working Group submitting through the competent committee rather than adopting amendments itself. Technical descriptions and measurement methods may be maintained, but a certified SAR commitment or automotive market-access threshold cannot change through this procedure unless the change stays within an already express treaty range and does not alter substantive obligations.</w:t>
      </w:r>
    </w:p>
    <w:p/>
    <w:p>
      <w:pPr>
        <w:pStyle w:val="Heading2"/>
      </w:pPr>
      <w:bookmarkStart w:id="901069" w:name="_Toc300001068"/>
      <w:r>
        <w:t>Article 34.A.1A: Reserved Sovereignty Matters and Late-Stage Amendment Safeguard</w:t>
      </w:r>
      <w:bookmarkEnd w:id="901069"/>
    </w:p>
    <w:p>
      <w:pPr>
        <w:pStyle w:val="Normal"/>
      </w:pPr>
      <w:r>
        <w:t>1. A proposed amendment, side instrument, implementing schedule, legal-scrub change, interpretive understanding, or negotiating demand is a Reserved Sovereignty Matter where it would materially affect: (a) a Party's authority to enter external treaties or economic arrangements; (b) constitutional or subnational jurisdiction; (c) language, culture, Indigenous rights, or cultural institutions; (d) ownership, disposition, compulsory production, or exclusive allocation of natural resources; (e) the basic equality of originating content among the Parties; or (f) another matter that would materially reallocate sovereign authority rather than merely administer an agreed commercial obligation.</w:t>
      </w:r>
    </w:p>
    <w:p>
      <w:pPr>
        <w:pStyle w:val="Normal"/>
      </w:pPr>
      <w:r>
        <w:t>2. A Reserved Sovereignty Matter shall not be treated as a technical correction, conforming edit, legal-scrub clarification, or routine implementing measure under this Agreement.</w:t>
      </w:r>
    </w:p>
    <w:p>
      <w:pPr>
        <w:pStyle w:val="Normal"/>
      </w:pPr>
      <w:r>
        <w:t>3. A Reserved Sovereignty Matter introduced after the Parties have substantially completed political negotiations shall be separately identified in writing, accompanied by a plain-language explanation of its legal and commercial effect, and referred for explicit political authorization by each affected Party.</w:t>
      </w:r>
    </w:p>
    <w:p>
      <w:pPr>
        <w:pStyle w:val="Normal"/>
      </w:pPr>
      <w:r>
        <w:t>4. No Party shall be deemed to have accepted a Reserved Sovereignty Matter by silence, failure to object during an accelerated legal scrub, incorporation into a consolidated draft without specific notice, or acceptance of an unrelated package.</w:t>
      </w:r>
    </w:p>
    <w:p>
      <w:pPr>
        <w:pStyle w:val="Normal"/>
      </w:pPr>
      <w:r>
        <w:t>5. Unless all Parties expressly agree otherwise, a newly introduced Reserved Sovereignty Matter receives a review period sufficient for legal, constitutional, subnational, Indigenous, cultural, sectoral, and economic assessment as applicable. Existing agreed text continues to govern during that review.</w:t>
      </w:r>
    </w:p>
    <w:p>
      <w:pPr>
        <w:pStyle w:val="Normal"/>
      </w:pPr>
      <w:r>
        <w:t>6. This Article does not prevent urgent action where all Parties expressly and knowingly consent. It prevents substantive transfers of sovereign authority from entering the Agreement through procedural compression or late-stage drafting.</w:t>
      </w:r>
    </w:p>
    <w:p>
      <w:pPr>
        <w:spacing w:before="0" w:after="0"/>
        <w:widowControl w:val="1"/>
      </w:pPr>
      <w:r>
        <w:t>7. RESERVED SOVEREIGNTY DETERMINATION AND AUTHORIZATION. A Party identifying a Reserved Sovereignty Matter shall deliver a reasoned scope notice within thirty days after receiving the proposal, specifying the material sovereign function and proposed legal change. Each affected Party's competent political authority decides express authorization after at least sixty days of review unless every affected Party expressly consents to a shorter urgent period, and silence or a technical adoption cannot supply that consent. The rule continues after Protocol entry into force for proposed changes, with disputed procedural compliance reviewable under Chapter 31 and an unauthorized purported technical change without effect pending proper Article 34.3 approval. It does not reopen a provision already validly adopted or create a unilateral veto over ordinary performance of an existing express obligation.</w:t>
      </w:r>
    </w:p>
    <w:p/>
    <w:p>
      <w:pPr>
        <w:pStyle w:val="Heading2"/>
      </w:pPr>
      <w:bookmarkStart w:id="901070" w:name="_Toc300001069"/>
      <w:r>
        <w:t>Article 34.A.1B: Restrictions on Chapter 23-B Amendments</w:t>
      </w:r>
      <w:bookmarkEnd w:id="901070"/>
    </w:p>
    <w:p>
      <w:pPr>
        <w:pStyle w:val="Normal"/>
      </w:pPr>
      <w:r>
        <w:t>Chapter 23-B (North American Just Transition and Worker Security Framework) amendments are NOT permitted through the structured technical amendment procedure. Any amendment to Chapter 23-B requires:</w:t>
      </w:r>
    </w:p>
    <w:p>
      <w:pPr>
        <w:pStyle w:val="Normal"/>
      </w:pPr>
      <w:r>
        <w:t>(i) Unanimous agreement of all three Parties</w:t>
      </w:r>
    </w:p>
    <w:p>
      <w:pPr>
        <w:pStyle w:val="Normal"/>
      </w:pPr>
      <w:r>
        <w:t>(ii) Public notice and comment period (60 days minimum)</w:t>
      </w:r>
    </w:p>
    <w:p>
      <w:pPr>
        <w:pStyle w:val="Normal"/>
      </w:pPr>
      <w:r>
        <w:t>(iii) Approval by worker organizations and affected communities</w:t>
      </w:r>
    </w:p>
    <w:p>
      <w:pPr>
        <w:pStyle w:val="Normal"/>
      </w:pPr>
      <w:r>
        <w:t>(iv) Prohibition on reductions in worker benefits, Fund capitalization, or community support</w:t>
      </w:r>
    </w:p>
    <w:p>
      <w:pPr>
        <w:pStyle w:val="Normal"/>
      </w:pPr>
      <w:r>
        <w:t>Amendments that strengthen or expand Chapter 23-B protections may use streamlined procedures. Amendments that weaken or reduce protections may not.</w:t>
      </w:r>
    </w:p>
    <w:p>
      <w:pPr/>
      <w:r>
        <w:t>CHAPTER 23-B AMENDMENT HIERARCHY AND APPROVAL. Articles 34.A.1B and 34.B.1 are specific additional conditions on Article 34.3 and Article 34.L(3), and a mixed strengthening-and-reduction amendment is not eligible while any worker benefit, Fund capitalization or community protection would be reduced. Approval under subparagraph (iii) means a recorded two-thirds vote of the worker representatives on the existing Chapter 23-B Board and a two-thirds vote of the affected existing Community Steering Committees voting separately after the sixty-day public comment period, with the competent national receiving authorities convening equivalent elected affected-worker and community representatives where a required committee is not yet established. The representatives decide within thirty days after that period on published impact evidence, and silence is not approval; the streamlined strengthening route uses one combined comment and impact dossier and simultaneous domestic approval processes without reducing the sixty-day comment, representative approval or Article 34.3 ratification requirements. A proposal to change this entrenchment itself requires an express Article 34.3 amendment subject to these same existing protective conditions, and an ordinary review or technical instrument cannot impliedly remove them.</w:t>
      </w:r>
    </w:p>
    <w:p>
      <w:pPr>
        <w:pStyle w:val="Heading2"/>
      </w:pPr>
      <w:bookmarkStart w:id="901071" w:name="_Toc300001070"/>
      <w:r>
        <w:t>Article 34.B: Continuous Duration and Periodic Modernization Review (Replacement of Article 34.7)</w:t>
      </w:r>
      <w:bookmarkEnd w:id="901071"/>
    </w:p>
    <w:p>
      <w:pPr>
        <w:pStyle w:val="Normal"/>
      </w:pPr>
      <w:r>
        <w:t>1. Article 34.7 is replaced in its entirety by the following:</w:t>
      </w:r>
    </w:p>
    <w:p>
      <w:pPr>
        <w:pStyle w:val="Normal"/>
      </w:pPr>
      <w:r>
        <w:t>“</w:t>
      </w:r>
      <w:r>
        <w:t>Article 34.7: Continuous Duration and Periodic Modernization Review</w:t>
      </w:r>
    </w:p>
    <w:p>
      <w:pPr>
        <w:pStyle w:val="Normal"/>
      </w:pPr>
      <w:r>
        <w:t>1. This Agreement remains in force for an indefinite duration unless a Party withdraws in accordance with Article 34.6. No periodic review, review deadline, failure to reach consensus, or passage of time terminates, suspends, diminishes, or conditions the continuation of this Agreement.</w:t>
      </w:r>
    </w:p>
    <w:p>
      <w:pPr>
        <w:pStyle w:val="Normal"/>
      </w:pPr>
      <w:r>
        <w:t>2. The Commission shall conduct a joint review of the operation and modernization of this Agreement six years after the entry into force of the Protocol of Modernization, and every six years thereafter (each, a “review date”). A review is an implementation and modernization process and is not a renewal event.</w:t>
      </w:r>
    </w:p>
    <w:p>
      <w:pPr>
        <w:pStyle w:val="Normal"/>
      </w:pPr>
      <w:r>
        <w:t>3. A joint review shall address: (a) implementation and measurable performance, including the data and metrics published under Article 36.10 and committee reports; (b) recommendations for modernization submitted by a Party at least 90 days before the review date; (c) the operation of tariff-free trade, regulatory cooperation, supply-chain resilience, labor and environmental commitments, and Chapters 31 and 35; and (d) emerging technologies or economic conditions that may warrant consensual amendment.</w:t>
      </w:r>
    </w:p>
    <w:p>
      <w:pPr>
        <w:pStyle w:val="Normal"/>
      </w:pPr>
      <w:r>
        <w:t>4. Existing rights and obligations continue automatically before, during, and after every review. No Party is required to affirmatively renew, extend, or reconfirm this Agreement or any right, preference, guarantee, protection, recognition, approval, status, or entitlement established under it.</w:t>
      </w:r>
    </w:p>
    <w:p>
      <w:pPr>
        <w:pStyle w:val="Normal"/>
      </w:pPr>
      <w:r>
        <w:t>5. If the Parties do not agree on a recommendation or amendment at a joint review:</w:t>
      </w:r>
    </w:p>
    <w:p>
      <w:pPr>
        <w:pStyle w:val="Normal"/>
      </w:pPr>
      <w:r>
        <w:t>(a) the Agreement and all existing rights and obligations continue unchanged;</w:t>
      </w:r>
    </w:p>
    <w:p>
      <w:pPr>
        <w:pStyle w:val="Normal"/>
      </w:pPr>
      <w:r>
        <w:t>(b) the Commission may establish a technical work program for unresolved modernization questions without conditioning existing benefits on agreement;</w:t>
      </w:r>
    </w:p>
    <w:p>
      <w:pPr>
        <w:pStyle w:val="Normal"/>
      </w:pPr>
      <w:r>
        <w:t>(c) any Party may place the matter on the agenda of a subsequent Commission meeting or review; and</w:t>
      </w:r>
    </w:p>
    <w:p>
      <w:pPr>
        <w:pStyle w:val="Normal"/>
      </w:pPr>
      <w:r>
        <w:t>(d) no Party may use the review process, or a threat concerning continuation of an existing treaty benefit, to require an unrelated new concession.</w:t>
      </w:r>
    </w:p>
    <w:p>
      <w:pPr>
        <w:pStyle w:val="Normal"/>
      </w:pPr>
      <w:r>
        <w:t>6. A review may recommend amendment, technical updating within Article 34.3.A, implementation action, or no action. Failure to adopt a recommendation has no adverse legal consequence for continuation of the Agreement.</w:t>
      </w:r>
    </w:p>
    <w:p>
      <w:pPr>
        <w:pStyle w:val="Normal"/>
      </w:pPr>
      <w:r>
        <w:t>7. For greater certainty, there is no sunset, snapback, lapse, or fade arising from Article 34.7. Continuity is the default and expiration must be expressly provided for a measure that is temporary by design, consistent with Article 35.29.</w:t>
      </w:r>
    </w:p>
    <w:p>
      <w:pPr>
        <w:pStyle w:val="Normal"/>
      </w:pPr>
      <w:r>
        <w:t>8. Withdrawal remains governed exclusively by Article 34.6 and the orderly-withdrawal safeguards of Articles 34.F through 34.Q. A Party that has notified withdrawal remains bound by this Agreement until withdrawal takes effect.”</w:t>
      </w:r>
    </w:p>
    <w:p>
      <w:pPr>
        <w:pStyle w:val="Normal"/>
      </w:pPr>
      <w:r>
        <w:t>2. The first review date under the replaced Article is the sixth anniversary of the entry into force of the Protocol of Modernization. No extension, renewal, or reconfirmation decision is required at that review or any later review.</w:t>
      </w:r>
    </w:p>
    <w:p>
      <w:pPr>
        <w:spacing w:before="0" w:after="0"/>
      </w:pPr>
      <w:r>
        <w:t>3. CITATION IDENTITY AND HISTORICAL STATUS. Article 34.7 means the operative Continuous Duration and Periodic Modernization Review text enacted by paragraph 1 of Article 34.B, and Article 34.B identifies its replacement instrument rather than a second review regime. The historical reproduction expressly marked non-operative preserves drafting history only and does not supply a competing Article 34.7 rule, review date, or legal effect. Every operative reference to the periodic modernization review, including the review references in Chapters 36, 48 and 59, uses Article 34.7 with that meaning, while a reference to Article 34.B as the replacement instrument remains valid only in that stated capacity. Article 34.B.1 retains its separate human-rights and worker-protection rule, and this citation clarification changes no review clock, continuity guarantee, withdrawal condition, or substantive safeguard.</w:t>
      </w:r>
    </w:p>
    <w:p/>
    <w:p>
      <w:pPr>
        <w:pStyle w:val="Heading2"/>
      </w:pPr>
      <w:bookmarkStart w:id="901072" w:name="_Toc300001071"/>
      <w:r>
        <w:t>Article 34.B.1: Primacy of Human Rights and Worker Protection</w:t>
      </w:r>
      <w:bookmarkEnd w:id="901072"/>
    </w:p>
    <w:p>
      <w:pPr>
        <w:pStyle w:val="Normal"/>
      </w:pPr>
      <w:r>
        <w:t>Notwithstanding the periodic modernization review provisions in this Article, no future modernization or amendment of this Agreement shall reduce, weaken, or eliminate the protections for workers and communities established in Chapter 23-B (North American Just Transition and Worker Security Framework). Chapter 23-B represents a binding commitment that shall not be subject to negotiation or rollback in future reviews. Future modernizations may enhance Chapter 23-B protections but shall not diminish them.</w:t>
      </w:r>
    </w:p>
    <w:p>
      <w:pPr>
        <w:pStyle w:val="Heading2"/>
      </w:pPr>
      <w:bookmarkStart w:id="901073" w:name="_Toc300001072"/>
      <w:r>
        <w:t>Article 34.C: Consolidation and Legacy Instruments</w:t>
      </w:r>
      <w:bookmarkEnd w:id="901073"/>
    </w:p>
    <w:p>
      <w:pPr>
        <w:pStyle w:val="Normal"/>
      </w:pPr>
      <w:r>
        <w:t>1. Upon entry into force of the Protocol of Modernization: (a) the side letters between Parties concerning Section 232 of the Trade Expansion Act of 1962, including the arrangements providing consultation periods and sector-specific treatment, are superseded and terminated; (b) the subject matter of those instruments is governed by Chapters 32 and 35; and (c) the Commission shall publish a consolidated register of Free Trade Commission decisions, and of instruments superseded or terminated, as part of the consolidated text.</w:t>
      </w:r>
    </w:p>
    <w:p>
      <w:pPr>
        <w:pStyle w:val="Normal"/>
      </w:pPr>
      <w:r>
        <w:t>2. The 2018 Agreement and the 2019 Protocol of Amendment continue in force as amended by the Protocol of Modernization; in the event of inconsistency, the Protocol of Modernization prevails.</w:t>
      </w:r>
    </w:p>
    <w:p>
      <w:pPr>
        <w:pStyle w:val="Normal"/>
        <w:spacing w:before="0" w:after="0"/>
        <w:widowControl w:val="1"/>
      </w:pPr>
      <w:r>
        <w:t>3. Within twelve months after Protocol entry into force, each Party's competent customs authority shall implement conforming Uniform Regulations for Chapters 4, 5, 6 and 7 through Article 5.16, with the Committee on Rules of Origin and Origin Procedures coordinating and the Parties completing the legally required common adoption. Existing compatible regulations remain effective during preparation. A missing update does not postpone a Day 1 treaty right or permit an additional trader burden. Substantive changes require their separately applicable amendment authority.</w:t>
      </w:r>
    </w:p>
    <w:p/>
    <w:p>
      <w:pPr>
        <w:pStyle w:val="Normal"/>
        <w:spacing w:before="0" w:after="0"/>
        <w:widowControl w:val="1"/>
      </w:pPr>
      <w:r>
        <w:t>4. Within 180 days after entry into force of the Protocol of Modernization, the Secretariat shall complete a mechanical verification of the consolidated text against the authoritative texts of the 2018 Agreement, the 2019 Protocol, the superseded side letters, the tariff schedules, and the Uniform Regulations, and the Parties shall publish a corrigendum correcting any extraction, numbering, or cross-reference artifact identified, without substantive change.</w:t>
      </w:r>
    </w:p>
    <w:p/>
    <w:p>
      <w:pPr>
        <w:pStyle w:val="Heading2"/>
      </w:pPr>
      <w:bookmarkStart w:id="901074" w:name="_Toc300001073"/>
      <w:r>
        <w:t>Article 34.D: Accession and Future Relations</w:t>
      </w:r>
      <w:bookmarkEnd w:id="901074"/>
    </w:p>
    <w:p>
      <w:pPr>
        <w:pStyle w:val="Normal"/>
        <w:spacing w:before="0" w:after="0"/>
        <w:widowControl w:val="1"/>
      </w:pPr>
      <w:r>
        <w:t>1. ACCESSION AUTHORITY. A State may apply to accede by written request to the Secretariat, and the Commission shall consider the Chapter 36 economic-perimeter implications before recommending negotiations. Accession or reaccession requires a written instrument unanimously agreed by all current Parties and the applicant, identifying its coverage, reservations, transitional obligations and outstanding accrued liabilities. The instrument enters into force only after every signatory has notified completion of its applicable domestic approval procedures and on the date expressly fixed in it, with no invitation, schedule or FS-00 entry independently granting Party status. Article 34.4 remains the WTO-amendment article, and Article 34.M uses this accession procedure without erasing liabilities accrued before withdrawal.</w:t>
      </w:r>
    </w:p>
    <w:p/>
    <w:p>
      <w:pPr>
        <w:pStyle w:val="Heading2"/>
      </w:pPr>
      <w:bookmarkStart w:id="901075" w:name="_Toc300001074"/>
      <w:r>
        <w:t>Article 34.E: Entry into Force and Transitional Provisions</w:t>
      </w:r>
      <w:bookmarkEnd w:id="901075"/>
    </w:p>
    <w:p>
      <w:pPr>
        <w:pStyle w:val="Normal"/>
      </w:pPr>
      <w:r>
        <w:t>1. The Protocol of Modernization enters into force as provided therein.</w:t>
      </w:r>
    </w:p>
    <w:p>
      <w:pPr>
        <w:pStyle w:val="Normal"/>
      </w:pPr>
      <w:r>
        <w:t>2. The following transitional periods apply from entry into force of the Protocol of Modernization:</w:t>
      </w:r>
    </w:p>
    <w:p>
      <w:pPr>
        <w:pStyle w:val="Normal"/>
      </w:pPr>
      <w:r>
        <w:t>(a) Annex 35-D (legacy wind-down): immediate, subject only to its paragraph 2 and the expressly adopted, capped transitional authority of Annex 35-D.1;</w:t>
      </w:r>
    </w:p>
    <w:p>
      <w:pPr>
        <w:pStyle w:val="Normal"/>
      </w:pPr>
      <w:r>
        <w:t>(b) the North American Trade Measures Registry (Article 35.24): an interim filing and publication capability available from entry into force, with full registry functions operational within 12 months; and the Shared Trade Data Registry (Annex 35-C): core functions operational within 180 days and full planned functionality within 12 months, subject to the continuity and alternative-evidence rules of Annexes 34-H and 35-C;</w:t>
      </w:r>
    </w:p>
    <w:p>
      <w:pPr>
        <w:pStyle w:val="Normal"/>
      </w:pPr>
      <w:r>
        <w:t>(c) rosters and lists (Articles 31.C, 35.10): designated within 90 days;</w:t>
      </w:r>
    </w:p>
    <w:p>
      <w:pPr>
        <w:pStyle w:val="Normal"/>
      </w:pPr>
      <w:r>
        <w:t>(d) the Escrow Facility (Article 35.14): operational within 12 months, with lawful interim security methods available under Article 35.14 and Annex 34-H until then; the Trade Impact compensation mechanism (Article 35.25) becomes operational only if activated by the Commission through the implementing schedule required by that Article and has no independent capitalization deadline before activation;</w:t>
      </w:r>
    </w:p>
    <w:p>
      <w:pPr>
        <w:pStyle w:val="Normal"/>
      </w:pPr>
      <w:r>
        <w:t>(e) single-window interoperability (Article 7.B): within 36 months;</w:t>
      </w:r>
    </w:p>
    <w:p>
      <w:pPr>
        <w:pStyle w:val="Normal"/>
      </w:pPr>
      <w:r>
        <w:t>(f) automotive technical modernization (Article 4.A.2): concluded within 24 months, with phase-in of any increased thresholds of not less than 36 months thereafter;</w:t>
      </w:r>
    </w:p>
    <w:p>
      <w:pPr>
        <w:pStyle w:val="Normal"/>
      </w:pPr>
      <w:r>
        <w:t>(g) TNAO sectoral standards (Article 36.6.6): within 18 months; and</w:t>
      </w:r>
    </w:p>
    <w:p>
      <w:pPr>
        <w:pStyle w:val="Normal"/>
      </w:pPr>
      <w:r>
        <w:t>(h) investments and contracts made in reliance on the rules in force before entry into force of the Protocol of Modernization are governed by the transition schedules of the relevant Chapters, and nothing in the Protocol operates retroactively.</w:t>
      </w:r>
    </w:p>
    <w:p>
      <w:pPr>
        <w:pStyle w:val="Normal"/>
        <w:spacing w:before="0" w:after="0"/>
        <w:widowControl w:val="1"/>
      </w:pPr>
      <w:r>
        <w:t>3. ENTRY-INTO-FORCE STANDSTILL. The mandatory standstill against new covered border measures begins on entry into force of the Protocol of Modernization. Measures adopted between signature and entry into force and still effective on that date are included in Annex 35-D termination on the same terms as signature-date legacy measures. Before entry into force, the Parties may voluntarily apply a standstill only through an express written provisional-application instrument completed under their domestic legal procedures. Signature alone creates no Chapter 35 adjudicative machinery or expiring referral window before that machinery exists.</w:t>
      </w:r>
    </w:p>
    <w:p/>
    <w:p>
      <w:pPr>
        <w:pStyle w:val="Heading3"/>
      </w:pPr>
      <w:r>
        <w:t>ANNEX 34-F: IMPLEMENTATION AND PHASE-IN SCHEDULE</w:t>
      </w:r>
    </w:p>
    <w:p>
      <w:pPr>
        <w:pStyle w:val="Normal"/>
      </w:pPr>
      <w:r>
        <w:t>1. Day 1 obligations: tariff standstill; Originating Goods Tariff Guarantee; anti-evasion and substitute-measure disciplines; essential-security notification; interim Trade Measures Registry filing and publication through an existing or designated channel pending full registry deployment; dispute-settlement roster continuity; and preservation of existing low-value treatment. Each Party shall complete the legal-readiness certification required by Annex 34-H before entry into force for that Party.</w:t>
      </w:r>
    </w:p>
    <w:p>
      <w:pPr>
        <w:pStyle w:val="Normal"/>
      </w:pPr>
      <w:r>
        <w:t>2. Within 90 days: the Secretariat's Treaty Integrity function operational under Article 35.28; the Article 35.10 Roster of Verifiers and Joint List confirmed on an interim or final basis; standard low-value shipment data packet published; SME repeat-audit review procedure operational; and interim confidential-information protocol adopted.</w:t>
      </w:r>
    </w:p>
    <w:p>
      <w:pPr>
        <w:pStyle w:val="Normal"/>
      </w:pPr>
      <w:r>
        <w:t>3. Within 180 days: Shared Trade Data Registry core functions operational, with remaining planned functionality completed no later than 12 months; TNAO objective criteria and appeals published; standardized circular-production chain-of-custody template adopted; and subnational market-access schedule procedures opened for voluntary participation.</w:t>
      </w:r>
    </w:p>
    <w:p>
      <w:pPr>
        <w:pStyle w:val="Normal"/>
        <w:spacing w:before="0" w:after="0"/>
        <w:widowControl w:val="1"/>
      </w:pPr>
      <w:r>
        <w:t>4. Within one year: Annex 35-A Technical Schedule, sector pass-through guidance, full Trade Measures Registry and Shared Trade Data Registry functionality, the Article 35.14 Escrow Facility with lawful interim security until operational, trusted-supplier procedures, and agricultural/TRQ transparency systems fully operational. The Trade Impact compensation mechanism is excluded from this mandatory one-year milestone and becomes operational only if activated under Article 35.25.</w:t>
      </w:r>
    </w:p>
    <w:p/>
    <w:p>
      <w:pPr>
        <w:pStyle w:val="Normal"/>
      </w:pPr>
      <w:r>
        <w:t>5. Within two years: advanced semiconductor, critical-mineral, energy-security, and integrated-product data interoperability completed to the extent agreed by the Parties; remaining technical schedules adopted.</w:t>
      </w:r>
    </w:p>
    <w:p>
      <w:pPr>
        <w:pStyle w:val="Normal"/>
      </w:pPr>
      <w:r>
        <w:t>6. No delayed implementation authorizes a Party to suspend an obligation designated for an earlier phase. Where a required institution is not yet operational, the Commission shall designate an interim body capable of performing the function without diminishing substantive rights.</w:t>
      </w:r>
    </w:p>
    <w:p>
      <w:pPr>
        <w:pStyle w:val="Normal"/>
      </w:pPr>
      <w:r>
        <w:t>7. The Secretariat shall publish a quarterly implementation dashboard until every obligation in this Annex is certified operational.</w:t>
      </w:r>
    </w:p>
    <w:p>
      <w:pPr>
        <w:spacing w:before="0" w:after="0"/>
        <w:widowControl w:val="1"/>
      </w:pPr>
      <w:r>
        <w:t>8. PHASE-IN CHANNELS AND INTERIM TNAO. From Day 1, the responsible Secretary receives authenticated notices, registry filings and protected evidence through existing Secretariat channels, independently of the day-ninety Treaty Integrity administrative milestone. By day 180 the Subcommittee publishes common baseline TNAO criteria and appeal procedures using Chapter 4 origin and documented risk-proportionate traceability, with enhanced sector standards due at eighteen months. Pending a sector standard, that baseline applies without imposing an unpublished enhanced requirement or reducing ordinary origin treatment. Escrow is fully operational within twelve months, with Article 35.14 and Annex 34-H lawful interim security preserving the same suspension, refund and hardship rights meanwhile.</w:t>
      </w:r>
    </w:p>
    <w:p/>
    <w:p>
      <w:pPr>
        <w:pStyle w:val="Heading2"/>
      </w:pPr>
      <w:bookmarkStart w:id="901076" w:name="_Toc300001075"/>
      <w:r>
        <w:t>ANNEX 34-G: PRESERVED AMENDING PROTOCOL, INTEGRAL INSTRUMENTS, AND IMPLEMENTATION CONTINUITY</w:t>
      </w:r>
      <w:bookmarkEnd w:id="901076"/>
    </w:p>
    <w:p>
      <w:pPr>
        <w:pStyle w:val="Normal"/>
      </w:pPr>
      <w:r>
        <w:t>1. Purpose and legal status. This Annex restores and preserves original CUSMA instruments omitted or incompletely consolidated in earlier working drafts. Part A reproduces the controlling 2019 Protocol of Amendment, including Annexes 31-A and 31-B. Parts B through D preserve integral Canada-United States instruments. Part E reproduces the separate Agreement on Environmental Cooperation for operational completeness while preserving its independent legal status. Part F preserves the Uniform Regulations by reference. In any inconsistency between a pre-2019 legacy reproduction and Part A, Part A prevails.</w:t>
      </w:r>
    </w:p>
    <w:p>
      <w:pPr>
        <w:pStyle w:val="Heading2"/>
      </w:pPr>
      <w:bookmarkStart w:id="1008350" w:name="_TocR22_18350"/>
      <w:bookmarkStart w:id="901077" w:name="_Toc300001076"/>
      <w:r>
        <w:t>PART A: 2019 PROTOCOL OF AMENDMENT (CONTROLLING ORIGINAL TEXT)</w:t>
      </w:r>
      <w:bookmarkEnd w:id="901077"/>
      <w:bookmarkEnd w:id="1008350"/>
    </w:p>
    <w:p>
      <w:pPr>
        <w:pStyle w:val="Normal"/>
      </w:pPr>
      <w:r>
        <w:t>Canada-United States-Mexico Agreement (CUSMA) - Protocol of Amendment to the Agreement Between the United States of America, the United Mexican States, and Canada The Governments of the United States of America, the United Mexican States, and Canada;</w:t>
      </w:r>
    </w:p>
    <w:p>
      <w:pPr>
        <w:pStyle w:val="Normal"/>
      </w:pPr>
      <w:r>
        <w:t>Desiring to amend the Agreement between the United States of America, the United Mexican States, and Canada, done at Buenos Aires, on November 30, 2018 (hereinafter “the Agreement”),</w:t>
      </w:r>
    </w:p>
    <w:p>
      <w:pPr>
        <w:pStyle w:val="Normal"/>
      </w:pPr>
      <w:r>
        <w:t>HAVE AGREED to amend the Agreement as follows:</w:t>
      </w:r>
    </w:p>
    <w:p>
      <w:pPr>
        <w:pStyle w:val="Normal"/>
      </w:pPr>
      <w:r>
        <w:t>1.</w:t>
      </w:r>
    </w:p>
    <w:p>
      <w:pPr>
        <w:pStyle w:val="Normal"/>
      </w:pPr>
      <w:r>
        <w:t>A. In Chapter 1 (Initial Provisions and General Definitions) after Article 1.2 insert a new article as follows and renumber the remaining articles, footnotes, and article references accordingly:</w:t>
      </w:r>
    </w:p>
    <w:p>
      <w:pPr>
        <w:pStyle w:val="Normal"/>
      </w:pPr>
      <w:r>
        <w:t>“</w:t>
      </w:r>
      <w:r>
        <w:t>Article 1.3: Relation to Environmental and Conservation Agreements 1. In the event of any inconsistency between a Party’s obligations under this Agreement and its respective obligations under the following multilateral environmental agreements (“covered agreements”):[Footnote 1] (a) the Convention on International Trade in Endangered Species of Wild Fauna and Flora, done at Washington, March 3, 1973, as amended; (b) the Montreal Protocol on Substances that Deplete the Ozone Layer, done at Montreal, September 16, 1987, as adjusted and amended; (c) the Protocol of 1978 Relating to the International Convention for the Prevention of Pollution from Ships, 1973, done at London, February 17, 1978, as amended; (d) the Convention on Wetlands of International Importance Especially as Waterfowl Habitat, done at Ramsar, February 2, 1971, as amended; (e) the Convention on the Conservation of Antarctic Marine Living Resources, done at Canberra, May 20, 1980; (f) the International Convention for the Regulation of Whaling, done at Washington, December 2, 1946; and (g) the Convention for the Establishment of an Inter-American Tropical Tuna Commission, done at Washington, May 31, 1949, a Party’s obligations under this Agreement shall not preclude the Party from taking a particular measure to comply with its obligations under the covered agreement, provided that the primary purpose of the measure is not to impose a disguised restriction on trade.</w:t>
      </w:r>
    </w:p>
    <w:p>
      <w:pPr>
        <w:pStyle w:val="Normal"/>
      </w:pPr>
      <w:r>
        <w:t>2. Pursuant to Article 34.3 (Amendments), the Parties may agree in writing to modify paragraph 1 to include any amendment to an agreement referred to therein, and any other environmental or conservation agreement.”.</w:t>
      </w:r>
    </w:p>
    <w:p>
      <w:pPr>
        <w:pStyle w:val="Normal"/>
      </w:pPr>
      <w:r>
        <w:t>B. In Articles 14.1 (Definitions), 15.1 (Definitions), 17.1 (Definitions), 18.1 (Definitions) and 19.1 (Definitions), replace the references to “Article 1.4” with “Article 1.5”.</w:t>
      </w:r>
    </w:p>
    <w:p>
      <w:pPr>
        <w:pStyle w:val="Normal"/>
      </w:pPr>
      <w:r>
        <w:t>2. In Chapter 4 (Rules of Origin):</w:t>
      </w:r>
    </w:p>
    <w:p>
      <w:pPr>
        <w:pStyle w:val="Normal"/>
      </w:pPr>
      <w:r>
        <w:t>A. In Article 6.1 of the Appendix to Annex 4-B to Chapter 4 (Rules of Origin), insert the following footnote immediately after footnote 73, and renumber the remaining footnotes accordingly.</w:t>
      </w:r>
    </w:p>
    <w:p>
      <w:pPr>
        <w:pStyle w:val="Normal"/>
      </w:pPr>
      <w:r>
        <w:t>“</w:t>
      </w:r>
      <w:r>
        <w:t>74 Notwithstanding any other provision of this Agreement, beginning seven years after entry into force of this Agreement, for steel to be considered as originating under this Article, all steel manufacturing processes must occur in one or more of the Parties, except for metallurgical processes involving the refinement of steel additives. Such processes include the initial melting and mixing and continues through the coating stage. This requirement does not apply to raw materials used in the steel manufacturing process, including steel scrap; iron ore; pig iron; reduced, processed, or pelletized iron ore; or raw alloys. Ten years after entry into force of this Agreement, the Parties shall consider appropriate requirements that are in the interests of all three Parties for aluminum to be considered as originating under this Article.”; and</w:t>
      </w:r>
    </w:p>
    <w:p>
      <w:pPr>
        <w:pStyle w:val="Normal"/>
      </w:pPr>
      <w:r>
        <w:t>B. In Article 8.2(a) of the Appendix to Annex 4-B to Chapter 4 (Rules of Origin), insert the following text at the end of renumbered footnote 82 after “treatment” and before the end period:</w:t>
      </w:r>
    </w:p>
    <w:p>
      <w:pPr>
        <w:pStyle w:val="Normal"/>
      </w:pPr>
      <w:r>
        <w:t>“</w:t>
      </w:r>
      <w:r>
        <w:t>, including requirements as provided in Article 403(1) of NAFTA 1994 and any corresponding Uniform Regulations”; and</w:t>
      </w:r>
    </w:p>
    <w:p>
      <w:pPr>
        <w:pStyle w:val="Normal"/>
      </w:pPr>
      <w:r>
        <w:t>C. In Article 9 of the Appendix to Annex 4-B to Chapter 4 (Rules of Origin), add a period at the end of paragraph 1.</w:t>
      </w:r>
    </w:p>
    <w:p>
      <w:pPr>
        <w:pStyle w:val="Normal"/>
      </w:pPr>
      <w:r>
        <w:t>3. In Chapter 20 (Intellectual Property Rights):</w:t>
      </w:r>
    </w:p>
    <w:p>
      <w:pPr>
        <w:pStyle w:val="Normal"/>
      </w:pPr>
      <w:r>
        <w:t>A. In Article 20.36 (Patentable Subject Matter), delete paragraph 2, renumber the remaining paragraphs and cross-references accordingly.</w:t>
      </w:r>
    </w:p>
    <w:p>
      <w:pPr>
        <w:pStyle w:val="Normal"/>
      </w:pPr>
      <w:r>
        <w:t>B. In Article 20.46 (Patent Term Adjustment for Unreasonable Curtailment), add a new footnote 40 at the end of paragraph 3 to read as follows and renumber remaining footnotes accordingly:</w:t>
      </w:r>
    </w:p>
    <w:p>
      <w:pPr>
        <w:pStyle w:val="Normal"/>
      </w:pPr>
      <w:r>
        <w:t>“</w:t>
      </w:r>
      <w:r>
        <w:t>40Such conditions and limitations with respect to paragraph 3 may include, among other things: (i) limiting the applicability of paragraph 2 to a single patent term adjustment for each pharmaceutical product that has been granted marketing approval; (ii) requiring the adjustment to be based on the first marketing approval granted to the pharmaceutical product in that Party; (iii) limiting the period of the adjustment to a maximum of 5 years; and (iv) if a Party makes available a period of additional sui generis protection, limiting the period of the additional sui generis protection to a maximum of 2 years.”.</w:t>
      </w:r>
    </w:p>
    <w:p>
      <w:pPr>
        <w:pStyle w:val="Normal"/>
      </w:pPr>
      <w:r>
        <w:t>C. Amend Article 20.47 (Regulatory Review Exception) to read as follows:</w:t>
      </w:r>
    </w:p>
    <w:p>
      <w:pPr>
        <w:pStyle w:val="Normal"/>
      </w:pPr>
      <w:r>
        <w:t>“</w:t>
      </w:r>
      <w:r>
        <w:t>Without prejudice to the scope of, and consistent with, Article 20.39 (Exceptions), each Party shall adopt or maintain a regulatory review exception for pharmaceutical products that permits a third person to make, use, sell, offer to sell, or import in the territory of that Party a product covered by a subsisting patent solely for purposes related to generating information to meet requirements for marketing approval for the product.”</w:t>
      </w:r>
    </w:p>
    <w:p>
      <w:pPr>
        <w:pStyle w:val="Normal"/>
      </w:pPr>
      <w:r>
        <w:t>D. In Article 20.48 (Protection of Undisclosed Test or Other Data):</w:t>
      </w:r>
    </w:p>
    <w:p>
      <w:pPr>
        <w:pStyle w:val="Normal"/>
      </w:pPr>
      <w:r>
        <w:t>(i) in paragraph 1(a), after the fourth clause, add a new footnote 42 to read as follows and renumber remaining footnotes accordingly: “42 For greater certainty, a Party may deem that such person has provided consent if, after that person is directly notified by a third person that an unexpired applicable patent claiming the approved product or its approved method of use is invalid or is not infringed by the product for which the third person is seeking marketing approval, an infringement action is not initiated against the third person with respect to the patent within 45 days of the notification.” (ii) at the end of paragraph 1(a) add a new footnote 45 to read as follows and renumber remaining footnotes accordingly: “45 For greater certainty, the Parties understand that the United States may comply with the obligations in subparagraph (a) with respect to “the same or a similar product” through 21 U.S.C. §§ 355(c)(3)(E)(ii) and 355(j)(5)(F)(ii), 42 U.S.C. § 262(k)(7), and the regulations implemented at 21 C.F.R. 314.”; and (iii) in paragraph 2, delete subparagraph (a) and the subparagraph numbering “(b)”, and in renumbered footnote 47 replace “Article 20.48.2(b) (Protection of Undisclosed Test or Other Data)” with “paragraph 2”.</w:t>
      </w:r>
    </w:p>
    <w:p>
      <w:pPr>
        <w:pStyle w:val="Normal"/>
      </w:pPr>
      <w:r>
        <w:t>E. Delete Article 20.49 (Biologics) and renumber the remaining articles and cross-references accordingly.</w:t>
      </w:r>
    </w:p>
    <w:p>
      <w:pPr>
        <w:pStyle w:val="Normal"/>
      </w:pPr>
      <w:r>
        <w:t>F. In Article 20.50 (Measures Relating to the Marketing of Certain Pharmaceutical Products):</w:t>
      </w:r>
    </w:p>
    <w:p>
      <w:pPr>
        <w:pStyle w:val="Normal"/>
      </w:pPr>
      <w:r>
        <w:t>(i) at the end of the title add a new footnote 48 to read as follows and renumber remaining footnotes accordingly: “48 Annex 20-A applies to this Article.”; and (ii) replace the text of paragraph 2 with the following text: “2. Further to paragraph 1, that Party may also provide: (a) effective rewards for a successful assertion of the invalidity or non-infringement of the applicable patent;</w:t>
      </w:r>
      <w:r>
        <w:rPr>
          <w:vertAlign w:val="superscript"/>
        </w:rPr>
        <w:t>50</w:t>
      </w:r>
      <w:r>
        <w:t xml:space="preserve"> and (b) procedures, consistent with its obligations under this Chapter, to promote transparency by providing information regarding applicable patents and relevant periods of exclusivity for pharmaceutical products that have been approved in that Party.”.</w:t>
      </w:r>
    </w:p>
    <w:p>
      <w:pPr>
        <w:pStyle w:val="Normal"/>
      </w:pPr>
      <w:r>
        <w:t>G. In Article 20.90 (Final Provisions) in paragraph 1 replace “paragraphs 2 and 3” with “paragraphs 2, 3, and 4”.</w:t>
      </w:r>
    </w:p>
    <w:p>
      <w:pPr>
        <w:pStyle w:val="Normal"/>
      </w:pPr>
      <w:r>
        <w:t>H. Relabel Annex 20-A as Annex 20-B, renumber cross-references accordingly, and insert a new Annex 20-A to read as follows:</w:t>
      </w:r>
    </w:p>
    <w:p>
      <w:pPr>
        <w:pStyle w:val="Normal"/>
      </w:pPr>
      <w:r>
        <w:t>“</w:t>
      </w:r>
      <w:r>
        <w:t>ANNEX 20-A - ANNEX TO ARTICLE 20.50 1. As an alternative to implementing Article 20.50, and subject to paragraph 2, Mexico may instead maintain a system other than judicial proceedings that precludes, based upon patent-related information submitted to the marketing approval authority by a patent holder or the applicant for marketing approval, or based on direct coordination between the marketing approval authority and the patent office, the issuance of marketing approval to any third person seeking to market a pharmaceutical product subject to a patent claiming that product, unless by consent or acquiescence of the patent holder. 2. If Mexico maintains the system referred to in paragraph 1, Mexico shall ensure that in administrative proceedings under that system: (a) a person of another Party that is directly affected by the proceeding is provided, whenever possible and, in accordance with domestic procedures, with reasonable notice of the initiation of a proceeding, including a description of the nature of the proceeding, a statement of the legal authority under which the proceeding is initiated and a general description of the issue in question; (b) a person of another Party that is directly affected by the proceeding is afforded a reasonable opportunity to present facts and arguments in support of that person’s position prior to any final administrative action, when time, the nature of the proceeding, and the public interest permit; and</w:t>
      </w:r>
    </w:p>
    <w:p>
      <w:pPr>
        <w:pStyle w:val="Normal"/>
      </w:pPr>
      <w:r>
        <w:t>(c) the procedures are in accordance with its law.”. 4. In Chapter 23 (Labor):</w:t>
      </w:r>
    </w:p>
    <w:p>
      <w:pPr>
        <w:pStyle w:val="Normal"/>
      </w:pPr>
      <w:r>
        <w:t>A. In Article 23.3 (Labor Rights):</w:t>
      </w:r>
    </w:p>
    <w:p>
      <w:pPr>
        <w:pStyle w:val="Normal"/>
      </w:pPr>
      <w:r>
        <w:t>(i) amend the text of footnote 4 to read as follows: “4 A failure to comply with an obligation under paragraphs 1 or 2 must be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(ii) immediately after footnote 4, insert a new footnote 5 to read as follows and renumber all footnotes accordingly: “5 For purposes of dispute settlement, a panel shall presume that a failure is in a manner affecting trade or investment between the Parties, unless the responding Party demonstrates otherwise.”.</w:t>
      </w:r>
    </w:p>
    <w:p>
      <w:pPr>
        <w:pStyle w:val="Normal"/>
      </w:pPr>
      <w:r>
        <w:t>B. In Article 23.4 (Non-Derogation), immediately after renumbered footnote 8, insert a new footnote 9 to read as follows:</w:t>
      </w:r>
    </w:p>
    <w:p>
      <w:pPr>
        <w:pStyle w:val="Normal"/>
      </w:pPr>
      <w:r>
        <w:t>“</w:t>
      </w:r>
      <w:r>
        <w:t>9 For purposes of dispute settlement, a panel shall presume that a failure is in a manner affecting trade or investment between the Parties, unless the responding Party demonstrates otherwise.”.</w:t>
      </w:r>
    </w:p>
    <w:p>
      <w:pPr>
        <w:pStyle w:val="Normal"/>
      </w:pPr>
      <w:r>
        <w:t>C. In Article 23.5 (Enforcement of Labor Laws), immediately after renumbered footnote 11, insert a new footnote 12 to read as follows and renumber all footnotes accordingly:</w:t>
      </w:r>
    </w:p>
    <w:p>
      <w:pPr>
        <w:pStyle w:val="Normal"/>
      </w:pPr>
      <w:r>
        <w:t>“</w:t>
      </w:r>
      <w:r>
        <w:t>12 For purposes of dispute settlement, a panel shall presume that a failure is in a manner affecting trade or investment between the Parties, unless the responding Party demonstrates otherwise.”.</w:t>
      </w:r>
    </w:p>
    <w:p>
      <w:pPr>
        <w:pStyle w:val="Normal"/>
      </w:pPr>
      <w:r>
        <w:t>D. In Article 23.6.1 (Forced or Compulsory Labor), delete the text that reads “, through measures it considers appropriate,”, delete the footnote at the end of the paragraph, and renumber remaining footnotes accordingly.</w:t>
      </w:r>
    </w:p>
    <w:p>
      <w:pPr>
        <w:pStyle w:val="Normal"/>
      </w:pPr>
      <w:r>
        <w:t>E. In Article 23.7 (Violence Against Workers):</w:t>
      </w:r>
    </w:p>
    <w:p>
      <w:pPr>
        <w:pStyle w:val="Normal"/>
      </w:pPr>
      <w:r>
        <w:t>(i) delete the text that reads “cases of”; (ii) delete the text that reads “through a sustained or recurring course of action or inaction11”, including the footnote at the end of that text; (iii) amend renumbered footnote 13 to read as follows: “13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(iv) insert a new footnote 14 to read as follows, and renumber remaining footnotes accordingly: “14 For purposes of dispute settlement, a panel shall presume that a failure is in a manner affecting trade or investment between the Parties, unless the responding Party demonstrates otherwise.”.</w:t>
      </w:r>
    </w:p>
    <w:p>
      <w:pPr>
        <w:pStyle w:val="Normal"/>
      </w:pPr>
      <w:r>
        <w:t>F. In Article 23.17.8 (Labor Consultations):</w:t>
      </w:r>
    </w:p>
    <w:p>
      <w:pPr>
        <w:pStyle w:val="Normal"/>
      </w:pPr>
      <w:r>
        <w:t>(i) delete the text that reads as follows: “a meeting of the Commission pursuant to Article 31.5 (Commission, Good Offices, Conciliation, and Mediation) and thereafter request”; and (ii) replace the text that reads “30 days” to read “75 days”. 5. In Chapter 24 (Environment):</w:t>
      </w:r>
    </w:p>
    <w:p>
      <w:pPr>
        <w:pStyle w:val="Normal"/>
      </w:pPr>
      <w:r>
        <w:t>A. In Article 24.4 (Enforcement of Environmental Laws), insert a new footnote 5 immediately after footnote 4 to read as follows and renumber remaining footnotes accordingly:</w:t>
      </w:r>
    </w:p>
    <w:p>
      <w:pPr>
        <w:pStyle w:val="Normal"/>
      </w:pPr>
      <w:r>
        <w:t>“</w:t>
      </w:r>
      <w:r>
        <w:t>5 For purposes of dispute settlement, a panel shall presume that a failure is in a manner affecting trade or investment between the Parties, unless the responding Party demonstrates otherwise.”.</w:t>
      </w:r>
    </w:p>
    <w:p>
      <w:pPr>
        <w:pStyle w:val="Normal"/>
      </w:pPr>
      <w:r>
        <w:t>B. In Article 24.8 (Multilateral Environmental Agreements):</w:t>
      </w:r>
    </w:p>
    <w:p>
      <w:pPr>
        <w:pStyle w:val="Normal"/>
      </w:pPr>
      <w:r>
        <w:t>(i) insert the following footnotes immediately after the title of the article: “6 A violation of Article 24.8.4 must be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For greater certainty, a Party’s compliance with its respective obligations under a covered agreement shall only be subject to Article 24.29 (Environment Consultations) or Article 24.32 (Dispute Settlement) under this Agreement if the complaining Party is a party to the relevant covered agreement. 7 For purposes of dispute settlement, a panel shall presume that a failure is in a manner affecting trade or investment between the Parties, unless the responding Party demonstrates otherwise.”; and (ii) insert the following new text after paragraph 3, and renumber the remaining footnotes accordingly: “4. Each Party shall adopt, maintain, and implement laws, regulations, and all other measures necessary to fulfill its respective obligations under the following multilateral environmental agreements (“covered agreements”):[Footnote 3]</w:t>
      </w:r>
    </w:p>
    <w:p>
      <w:pPr>
        <w:pStyle w:val="Normal"/>
      </w:pPr>
      <w:r>
        <w:t>(a) the Convention on International Trade in Endangered Species of Wild Fauna and Flora, done at Washington, March 3, 1973, as amended; (b) the Montreal Protocol on Substances that Deplete the Ozone Layer, done at Montreal, September 16, 1987, as adjusted and amended; (c) the Protocol of 1978 Relating to the International Convention for the Prevention of Pollution from Ships, 1973, done at London, February 17, 1978, as amended; (d) the Convention on Wetlands of International Importance Especially as Waterfowl Habitat, done at Ramsar, February 2, 1971, as amended; (e) the Convention on the Conservation of Antarctic Marine Living Resources, done at Canberra, May 20, 1980; (f) the International Convention for the Regulation of Whaling, done at Washington, December 2, 1946; and (g) the Convention for the Establishment of an Inter-American Tropical Tuna Commission, done at Washington, May 31, 1949. 5. Pursuant to Article 34.3 (Amendments), the Parties may agree in writing to modify paragraph 4 to include any amendment to an agreement referred to therein, and any other environmental or conservation agreement.”.</w:t>
      </w:r>
    </w:p>
    <w:p>
      <w:pPr>
        <w:pStyle w:val="Normal"/>
      </w:pPr>
      <w:r>
        <w:t>C. In Article 24.9 (Protection of the Ozone Layer):</w:t>
      </w:r>
    </w:p>
    <w:p>
      <w:pPr>
        <w:pStyle w:val="Normal"/>
      </w:pPr>
      <w:r>
        <w:t>(i) in paragraph 1: (a) replace “such substances” with “substances controlled by the Montreal Protocol”; (b) amend renumbered footnote 9 by deleting “ozone depleting”; (c) amend renumbered footnote 11 to read as follows: “11 If compliance with this provision is not established pursuant to footnote 10, a violation of this provision must be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(d) add a new footnote 12 at the end to read as follows, and renumber all footnotes accordingly: “12 For purposes of dispute settlement, a panel shall presume that a failure is in a manner affecting trade or investment between the Parties, unless the responding Party demonstrates otherwise.”. (ii) in paragraph 3 replace “ozone depleting” with “such” everywhere it appears.</w:t>
      </w:r>
    </w:p>
    <w:p>
      <w:pPr>
        <w:pStyle w:val="Normal"/>
      </w:pPr>
      <w:r>
        <w:t>D. In Article 24.10 (Protection of the Marine Environment from Ship Pollution):</w:t>
      </w:r>
    </w:p>
    <w:p>
      <w:pPr>
        <w:pStyle w:val="Normal"/>
      </w:pPr>
      <w:r>
        <w:t>(i) amend renumbered footnote 15 to read as follows: “15 If compliance with this provision is not established pursuant to footnote 14, a violation of this provision must be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(ii) insert a new footnote 16 immediately after footnote 15 to read as follows and renumber the remaining footnotes accordingly: “16 For purposes of dispute settlement, a panel shall presume that a failure is in a manner affecting trade or investment between the Parties, unless the responding Party demonstrates otherwise.”.</w:t>
      </w:r>
    </w:p>
    <w:p>
      <w:pPr>
        <w:pStyle w:val="Normal"/>
      </w:pPr>
      <w:r>
        <w:t>F. In Article 24.22 (Conservation and Trade), delete paragraph 2 and its associated footnotes and renumber the remaining footnotes accordingly.</w:t>
      </w:r>
    </w:p>
    <w:p>
      <w:pPr>
        <w:pStyle w:val="Normal"/>
      </w:pPr>
      <w:r>
        <w:t>G. In Article 24.32 (Dispute Resolution):</w:t>
      </w:r>
    </w:p>
    <w:p>
      <w:pPr>
        <w:pStyle w:val="Normal"/>
      </w:pPr>
      <w:r>
        <w:t>(i) in paragraph 1 delete the text that reads: “a meeting of the Commission pursuant to Article 31.5 (Commission, Good Offices, Conciliation, and Mediation) and thereafter request” and replace the text that reads “30 days” to read “75 days”; (ii) in the chapeau to paragraph 2, replace “24.22 (Conservation and Trade)” with “24.8 (Multilateral Environmental Agreements)”; and (iii) in paragraph 2(a) replace “CITES” with “the relevant multilateral environmental agreement”. 6. In Chapter 30 (Administrative and Institutional Provisions):</w:t>
      </w:r>
    </w:p>
    <w:p>
      <w:pPr>
        <w:pStyle w:val="Normal"/>
      </w:pPr>
      <w:r>
        <w:t>A. amend Article 30.6.3(b)(ii) (The Secretariat) to read as follows:</w:t>
      </w:r>
    </w:p>
    <w:p>
      <w:pPr>
        <w:pStyle w:val="Normal"/>
      </w:pPr>
      <w:r>
        <w:t>“</w:t>
      </w:r>
      <w:r>
        <w:t>(ii) panels established under Chapter 31 (Dispute Settlement), including under Annex 31-A (United-States-Mexico Facility-Specific Rapid Response Labor Mechanism) and Annex 31-B (Canada-Mexico Facility-Specific Rapid Response Labor Mechanism);”; and</w:t>
      </w:r>
    </w:p>
    <w:p>
      <w:pPr>
        <w:pStyle w:val="Normal"/>
      </w:pPr>
      <w:r>
        <w:t>B. amend Article 30.6.3(c) (The Secretariat) to read as follows:</w:t>
      </w:r>
    </w:p>
    <w:p>
      <w:pPr>
        <w:pStyle w:val="Normal"/>
      </w:pPr>
      <w:r>
        <w:t>“</w:t>
      </w:r>
      <w:r>
        <w:t>(c) be responsible for the payment of remuneration to and expenses of panels and committees established under Section D of Chapter 10 (Review and Dispute Settlement in Antidumping and Countervailing Duty Matters) and panelists, assistants, and experts involved in dispute settlement proceedings under Chapter 31 (Dispute Settlement), including under Annex 31-A (United-States-Mexico Facility-Specific Rapid Response Labor Mechanism) and Annex 31-B (Canada-Mexico Facility-Specific Rapid Response Labor Mechanism); and”. 7. In Chapter 31 (Dispute Settlement):</w:t>
      </w:r>
    </w:p>
    <w:p>
      <w:pPr>
        <w:pStyle w:val="Normal"/>
      </w:pPr>
      <w:r>
        <w:t>A. In Article 31.5 (Commission, Good Offices, Conciliation, and Mediation):</w:t>
      </w:r>
    </w:p>
    <w:p>
      <w:pPr>
        <w:pStyle w:val="Normal"/>
      </w:pPr>
      <w:r>
        <w:t>(i) delete “Commission,” in the title and revise references to the title accordingly; (ii) delete paragraphs 1 through 5 and its associated footnote; and (iii) renumber the remaining paragraphs and footnotes accordingly.</w:t>
      </w:r>
    </w:p>
    <w:p>
      <w:pPr>
        <w:pStyle w:val="Normal"/>
      </w:pPr>
      <w:r>
        <w:t>B. In Article 31.6 (Establishment of a Panel):</w:t>
      </w:r>
    </w:p>
    <w:p>
      <w:pPr>
        <w:pStyle w:val="Normal"/>
      </w:pPr>
      <w:r>
        <w:t>(i) replace the text in paragraph 1 with the following text: “Article 31.6: Establishment of a Panel 1. If the consulting Parties fail to resolve the matter within: (a) 30 days after a Party has delivered a request for consultations under Article 31.4 (Consultations) in a matter regarding perishable goods; (b) 75 days after a Party has delivered a request for consultations under Article 31.4 (Consultations); or (c) another period as the consulting Parties may decide, a consulting Party may request the establishment of a panel by means of a written notice delivered to the responding Party through its Section of the Secretariat.”; and (ii) replace the text in paragraph 4 with the following text: “4. On delivery of the request, the panel is established.”.</w:t>
      </w:r>
    </w:p>
    <w:p>
      <w:pPr>
        <w:pStyle w:val="Normal"/>
      </w:pPr>
      <w:r>
        <w:t>C. In Article 31.8 (Roster and Qualifications of Panelists), replace the text of paragraph 1 with the following text:</w:t>
      </w:r>
    </w:p>
    <w:p>
      <w:pPr>
        <w:pStyle w:val="Normal"/>
      </w:pPr>
      <w:r>
        <w:t>“</w:t>
      </w:r>
      <w:r>
        <w:t>1. The Parties shall establish, by the date of entry into force of this Agreement, and maintain a roster of up to 30 individuals who are willing to serve as panelists. Each Party shall designate up to 10 individuals. The Parties shall endeavor to achieve consensus on the appointments. If the Parties are unable to achieve consensus by one month after the date of entry into force of this Agreement, the roster shall be comprised of the designated individuals. The roster shall remain in effect for a minimum of three years or until the Parties constitute a new roster. If a Party fails to designate its individuals to the roster, the Parties may still request the establishment of panels under Article 31.6 (Establishment of a Panel). The Rules of Procedure, which shall be established by the date of entry into force of this Agreement, shall provide for how to compose a panel in such circumstances. Members of the roster may be reappointed. In the event that an individual is no longer able or willing to serve as a panelist, the relevant Party shall designate a replacement. The Parties shall endeavor to achieve consensus on the appointment. If the Parties are unable to achieve consensus by one month after the date the replacement is designated, the individual shall be added to the roster.”</w:t>
      </w:r>
    </w:p>
    <w:p>
      <w:pPr>
        <w:pStyle w:val="Normal"/>
      </w:pPr>
      <w:r>
        <w:t>D. In Article 31.9 (Panel Composition), amend the texts in paragraphs 1 and 2 to read as follows:</w:t>
      </w:r>
    </w:p>
    <w:p>
      <w:pPr>
        <w:pStyle w:val="Normal"/>
      </w:pPr>
      <w:r>
        <w:t>“</w:t>
      </w:r>
      <w:r>
        <w:t>1. If there are two disputing Parties, the following procedures shall apply: (a) The panel shall comprise five members, unless the disputing Parties agree to a panel comprised of three members. (b) The disputing Parties shall endeavor to decide on the chair of the panel within 15 days of the delivery of the request for the establishment of the panel. If the disputing Parties are unable to decide on the chair within this period, the disputing Party chosen by lot shall select within five days as chair an individual who is not a citizen of that Party. (c) If the responding Party refuses to participate in or fails to appear for the choosing by lot procedure, the complaining Party shall select an individual from the roster who is not a citizen of that Party. The complaining Party shall notify the responding Party of the selection no later than the next working day. (d) Within 15 days of selection of the chair, each disputing Party shall select two panelists who are citizens of the other disputing Party. (e) If a disputing Party fails to select its panelists within that period, those panelists shall be selected by lot from among the roster members who are citizens of the other disputing Party. (f) If the responding Party refuses to participate in or fails to appear for the choosing by lot procedure, the complaining Party shall select two individuals from the roster who are citizens of the complaining Party. The complaining Party shall notify the responding Party of the selections no later than the next working day.</w:t>
      </w:r>
    </w:p>
    <w:p>
      <w:pPr>
        <w:pStyle w:val="Normal"/>
      </w:pPr>
      <w:r>
        <w:t>2. If there are more than two disputing Parties, the following procedures shall apply: (a) The panel shall comprise five members, unless the disputing Parties agree to a panel comprised of three members. (b) The disputing Parties shall endeavor to decide on the chair of the panel within 15 days of the delivery of the request for the establishment of the panel and, if the disputing Parties are unable to decide on the chair within this period, the Party or Parties on the side of the dispute chosen by lot shall select within 10 days a chair who is not a citizen of that Party or those Parties. (c) If the responding Party refuses to participate in or fails to appear for the choosing by lot procedure, the complaining Parties, or the complaining Party selected to represent them, shall select an individual from the roster who is not a citizen of either complaining Party. The complaining Parties shall notify the responding Party of the selection no later than the next working day. (d) Within 15 days of selection of the chair, the responding Party shall select two panelists, one of whom is a citizen of a complaining Party, and the other of whom is a citizen of another complaining Party and the complaining Parties shall select two panelists who are citizens of the responding Party. (e) If a disputing Party fails to select a panelist within that period, that panelist shall be selected by lot in accordance with the citizenship criteria of subparagraph (d).</w:t>
      </w:r>
    </w:p>
    <w:p>
      <w:pPr>
        <w:pStyle w:val="Normal"/>
      </w:pPr>
      <w:r>
        <w:t>(f) If the responding Party refuses to participate in or fails to appear for the choosing by lot procedure, the complaining Parties, or the complaining Party selected to represent them, shall select an individual from the roster who is a citizen of one of the complaining Parties. The complaining Parties shall notify the responding Party of the selection no later than the next working day.”</w:t>
      </w:r>
    </w:p>
    <w:p>
      <w:pPr>
        <w:pStyle w:val="Normal"/>
      </w:pPr>
      <w:r>
        <w:t>E. In Article 31.11 (Rules of Procedure for Panels):</w:t>
      </w:r>
    </w:p>
    <w:p>
      <w:pPr>
        <w:pStyle w:val="Normal"/>
      </w:pPr>
      <w:r>
        <w:t>(i) number the existing paragraph as paragraph 1; and (ii) insert a paragraph 2 to read as follows: “2. The Rules of Procedure shall include rules of evidence, which shall ensure that: (a) the disputing Parties have the right to submit testimony in person or via declaration, affidavit, report, teleconference, or videoconference, and the disputing Parties and the panel the right to test the veracity of such testimony; (b) the disputing Parties have the right to submit anonymous testimony and redacted evidence, in appropriate circumstances; (c) the panel may request, on its own initiative or at the request of a disputing Party, that a Party make available documents or other information relevant to the dispute, and may take a failure to comply with such request into account in its decision; and (d) a panel shall accept the disputing Parties’ stipulations in advance of the hearing.”</w:t>
      </w:r>
    </w:p>
    <w:p>
      <w:pPr>
        <w:pStyle w:val="Normal"/>
      </w:pPr>
      <w:r>
        <w:t>F. At the end of the chapter, insert Annex 31-A (United States-Mexico Facility- Specific Rapid Response Labor Mechanism) and Annex 31-B (Canada-Mexico Facility-Specific Rapid Response Labor Mechanism) to read as follows:</w:t>
      </w:r>
    </w:p>
    <w:p>
      <w:pPr>
        <w:pStyle w:val="Heading2"/>
      </w:pPr>
      <w:bookmarkStart w:id="901078" w:name="_Toc300001077"/>
      <w:r>
        <w:t>ANNEX 31-A UNITED STATES-MEXICO FACILITY-SPECIFIC RAPID RESPONSE LABOR MECHANISM</w:t>
      </w:r>
      <w:bookmarkEnd w:id="901078"/>
    </w:p>
    <w:p>
      <w:pPr>
        <w:pStyle w:val="Heading2"/>
      </w:pPr>
      <w:bookmarkStart w:id="901079" w:name="_Toc300001078"/>
      <w:r>
        <w:t>TRANSITIONAL STATUS UNDER NAESTMA ARTICLE 31.E</w:t>
      </w:r>
      <w:bookmarkEnd w:id="901079"/>
    </w:p>
    <w:p>
      <w:pPr>
        <w:pStyle w:val="Normal"/>
      </w:pPr>
      <w:r>
        <w:t>This predecessor Annex remains available solely as transitional administrative machinery. Article 31.E governs substantive standing, admissibility, scope, covered rights, covered facilities, verification, remedies, proportionality, restoration and worker protection. Any inconsistent country-specific domestic-order prerequisite, bilateral definition, priority-sector limitation or other access condition is superseded to the extent of the inconsistency.</w:t>
      </w:r>
    </w:p>
    <w:p>
      <w:pPr>
        <w:pStyle w:val="Heading2"/>
      </w:pPr>
      <w:bookmarkStart w:id="901080" w:name="_Toc300001079"/>
      <w:r>
        <w:t>Article 31-A.1: Scope and Purpose</w:t>
      </w:r>
      <w:bookmarkEnd w:id="901080"/>
    </w:p>
    <w:p>
      <w:pPr>
        <w:pStyle w:val="Normal"/>
      </w:pPr>
      <w:r>
        <w:t>1. The United States and Mexico are agreeing to this Annex pursuant to Article 31.5.1 (Good Offices, Conciliation, and Mediation). 2. The purpose of the Facility-Specific Rapid Response Labor Mechanism (the “Mechanism”), including the ability to impose remedies, is to ensure remediation of a Denial of Rights, as defined in Article 31-A.2, for workers at a Covered Facility, not to restrict trade. Furthermore, the Parties have designed this Mechanism to ensure that remedies are lifted immediately once a Denial of Rights is remediated. 3. The Parties shall make every attempt to cooperate and arrive at a mutually acceptable solution with respect to matters that can be raised through the Mechanism. 4. This Annex applies only as between Mexico and the United States.</w:t>
      </w:r>
    </w:p>
    <w:p>
      <w:pPr>
        <w:pStyle w:val="Heading2"/>
      </w:pPr>
      <w:bookmarkStart w:id="901081" w:name="_Toc300001080"/>
      <w:r>
        <w:t>Article 31-A.2: Denial of Rights</w:t>
      </w:r>
      <w:bookmarkEnd w:id="901081"/>
    </w:p>
    <w:p>
      <w:pPr>
        <w:pStyle w:val="Normal"/>
      </w:pPr>
      <w:r>
        <w:t>The Mechanism shall apply whenever a Party (the “complainant Party”) has a good faith basis belief that workers at a Covered Facility are being denied the right of free association and collective bargaining under laws necessary to fulfill the obligations of the other Party (the “respondent Party”) under this Agreement (a “Denial of Rights”).[Footnote 4]</w:t>
      </w:r>
    </w:p>
    <w:p>
      <w:pPr>
        <w:pStyle w:val="Heading2"/>
      </w:pPr>
      <w:bookmarkStart w:id="901082" w:name="_Toc300001081"/>
      <w:r>
        <w:t>Article 31-A.3: Lists of Rapid Response Labor Panelists</w:t>
      </w:r>
      <w:bookmarkEnd w:id="901082"/>
    </w:p>
    <w:p>
      <w:pPr>
        <w:pStyle w:val="Normal"/>
      </w:pPr>
      <w:r>
        <w:t>1. The Parties shall establish and maintain three lists of Rapid Response Labor Panelists who are willing to commit to being generally available to serve as Labor Panelists for the Mechanism. 2. By the date of entry into force of this Agreement, each Party shall appoint three individuals to one list each and appoint, by consensus, three individuals to a joint list. The individuals in the joint list shall be non-nationals of either Mexico or the United States. If a Party fails to designate its individuals, the Parties may still request the establishment of panels under Article 31-A.5 (Requests for Establishment of Rapid Response Labor Panel). The Rules of Procedure shall provide for how to compose a panel in such circumstances. Thereafter, at most six months from the date of entry into force of this Agreement, the Parties shall expand each list to at least five individuals each. 3. The Labor Panelists shall be appointed for a minimum of four years or until the Parties constitute new lists. Labor Panelists may be reappointed. 4. Each Labor Panelist shall: (a) have expertise and experience in labor law and practice, and with the application of standards and rights as recognized by the International Labor Organization; (b) be selected on the basis of objectivity, reliability, and sound judgment; (c) be independent of, and not affiliated with or take instructions from, a Party; and (d) comply with the Code of Conduct established by the Commission for dispute settlement under this chapter.</w:t>
      </w:r>
    </w:p>
    <w:p>
      <w:pPr>
        <w:pStyle w:val="Normal"/>
      </w:pPr>
      <w:r>
        <w:t>5. If a list falls below five individuals within the four-year term, the relevant Party shall promptly appoint replacements. With respect to the joint list, the Parties shall appoint replacements by consensus within 30 days from the date the list has fallen below the required number. 6. At the conclusion of the first four-year term, and every four years thereafter, the Labor Panelists shall submit a report to the Parties commenting on the functioning of the Mechanism. The Parties shall make the report public. 7. The Parties shall address the compensation of Labor Panelists in the Rules of Procedure established in accordance with Article 30.2 (Functions of the Commission). The Parties shall also provide for reasonable expenses, including logistical support and personnel as appropriate, associated with verification efforts and the drafting of determinations.</w:t>
      </w:r>
    </w:p>
    <w:p>
      <w:pPr>
        <w:pStyle w:val="Heading2"/>
      </w:pPr>
      <w:bookmarkStart w:id="901083" w:name="_Toc300001082"/>
      <w:r>
        <w:t>Article 31-A.4: Requests for Review and Remediation</w:t>
      </w:r>
      <w:bookmarkEnd w:id="901083"/>
    </w:p>
    <w:p>
      <w:pPr>
        <w:pStyle w:val="Normal"/>
      </w:pPr>
      <w:r>
        <w:t>1. If a Party has a domestic process for determining whether to invoke this mechanism and that process has started regarding a Covered Facility in the other Party, that Party shall notify the other Party within five business days of initiating such process.[Footnote 5] 2. If a complainant Party has a good faith basis to believe that a Denial of Rights is occurring at a Covered Facility, it shall first request that the respondent Party conduct its own review of whether a Denial of Rights exists and, if the respondent Party determines that there is a Denial of Rights, the latter shall attempt to remediate within 45 days of the request. The complainant Party shall provide sufficient information for the respondent Party to conduct its review. The respondent Party shall have 10 days to notify the complainant Party as to whether it intends to conduct a review. If the respondent Party does not choose to conduct a review or does not notify within the 10-day period, the complainant Party may request the formation of a Rapid Response Labor Panel (the “panel”) to conduct a separate verification and determination pursuant to Article 31-A.5. 3. Upon delivering the request to the respondent Party, the complainant Party may delay final settlement of customs accounts related to entries of goods from the Covered Facility. Settlement of such accounts must resume immediately upon an agreement by the Parties that there is no Denial of Rights or a finding by a panel that there is no Denial of Rights.</w:t>
      </w:r>
    </w:p>
    <w:p>
      <w:pPr>
        <w:pStyle w:val="Normal"/>
      </w:pPr>
      <w:r>
        <w:t>4. If the respondent Party chooses to conduct its review, it shall report in writing the results of the review and any remediation to the complainant Party at the end of the 45-day period. 5. If the respondent Party has determined that there is no Denial of Rights, the complainant Party may agree that the issue is resolved or it may communicate in writing its reasons for disagreement with the respondent Party’s determination and immediately may request a panel verification and determination pursuant to Article 31-A.5. 6. If the respondent Party has determined there is a Denial of Rights, the Parties shall consult in good faith for a period of 10 days and shall endeavor to agree upon a course of remediation that will remediate the Denial of Rights without interrupting trade. 7. If the Parties agree on a course of remediation, the respondent Party shall undertake the remediation by the date agreed to by the Parties and no remedy may be imposed by the complainant Party until the expiration of the agreed upon period. 8. If, after the agreed-upon date for remediation, the Parties disagree as to whether the Denial of Rights has been remediated, the complainant Party may provide written notice to the respondent Party of its intention to impose remedies at least 15 days prior to imposing remedies. The respondent Party may, within 10 days of receiving such notice, request a determination from a panel as to whether the Denial of Rights persists pursuant to Article 31-A.5. The complainant Party may not impose remedies until the Panel makes its determination.</w:t>
      </w:r>
    </w:p>
    <w:p>
      <w:pPr>
        <w:pStyle w:val="Normal"/>
      </w:pPr>
      <w:r>
        <w:t>9. If the Parties cannot agree on a course of remediation at the end of the 10-day period, the complainant Party may request a panel verification and determination pursuant to Article 31-A.5. 10. At any point during the 10-day consultation period, the complainant Party may request that the panel be established, and the panel may proceed to confirm the petition. However, the panel may not issue a request for verification until the 10-day period expires.</w:t>
      </w:r>
    </w:p>
    <w:p>
      <w:pPr>
        <w:pStyle w:val="Heading2"/>
      </w:pPr>
      <w:bookmarkStart w:id="901084" w:name="_Toc300001083"/>
      <w:r>
        <w:t>Article 31-A.5: Requests for Establishment of Rapid Response Labor Panel</w:t>
      </w:r>
      <w:bookmarkEnd w:id="901084"/>
    </w:p>
    <w:p>
      <w:pPr>
        <w:pStyle w:val="Normal"/>
      </w:pPr>
      <w:r>
        <w:t>1. If, after the conditions precedent for the establishment of a panel under Article 31-A.4 are met, the complainant Party continues to have a good faith basis to believe that a Denial of Rights is occurring at a Covered Facility, that Party may submit to the Secretariat a petition: (a) requesting the establishment of a panel to request that the respondent Party allow the panel an opportunity to verify the Covered Facility’s compliance with the law in question and determine whether there has been a Denial of Rights; or (b) requesting the establishment of a panel to determine whether there has been a Denial of Rights. 2. The Secretariat shall transmit the petition to the respondent Party. 3. The Secretariat shall within three business days from the date of the request for establishment of a panel select by lot one panelist from the complainant Party list, one from the respondent Party list, and one from the Joint List. The Secretariat shall immediately transmit the petition to the selected panelists.</w:t>
      </w:r>
    </w:p>
    <w:p>
      <w:pPr>
        <w:pStyle w:val="Heading2"/>
      </w:pPr>
      <w:bookmarkStart w:id="901085" w:name="_Toc300001084"/>
      <w:r>
        <w:t>Article 31-A.6: Confirmation of Petition</w:t>
      </w:r>
      <w:bookmarkEnd w:id="901085"/>
    </w:p>
    <w:p>
      <w:pPr>
        <w:pStyle w:val="Normal"/>
      </w:pPr>
      <w:r>
        <w:t>A panel established under Article 31-A.5 shall have five business days after it is constituted to confirm that the petition: (a) identifies a Covered Facility; (b) identifies the respondent Party’s laws relevant to the alleged Denial of Rights; and (c) states the basis for the complainant Party’s good faith belief that there is a Denial of Rights.</w:t>
      </w:r>
    </w:p>
    <w:p>
      <w:pPr>
        <w:pStyle w:val="Heading2"/>
      </w:pPr>
      <w:bookmarkStart w:id="901086" w:name="_Toc300001085"/>
      <w:r>
        <w:t>Article 31-A.7: Verification</w:t>
      </w:r>
      <w:bookmarkEnd w:id="901086"/>
    </w:p>
    <w:p>
      <w:pPr>
        <w:pStyle w:val="Normal"/>
      </w:pPr>
      <w:r>
        <w:t>1. Upon confirmation that the petition contains the relevant information, the panel shall issue a request for verification to the respondent Party. The panel shall formulate an appropriate request for verification, based on the circumstances and the nature of the allegations in the complainant Party’s petition and any other submissions from the Parties. 2. In cases in which the respondent Party has concluded under Article 31-A.4.5 that there is no Denial of Rights by the Covered Facility but the complainant Party disagrees with the conclusions of the respondent Party, the panel shall request the respondent Party to submit, within 10 business days of the request, a document establishing the results of the respondent Party’s investigation and conclusions and any efforts it took as a result of the Request for Review and Remediation under Article 31-A.4. The complainant Party may respond to the respondent Party’s submission. 3. In cases in which the timeframe granted to the Covered Facility to eliminate the Denial of Rights has elapsed and the Covered Facility has allegedly not taken the necessary measures to comply with the remediation, the panel shall request the respondent Party to submit, within 10 business days of the petition, a document establishing the results of the respondent Party’s investigation and conclusions and the actions and sanctions it took against the Covered Facility as a result of the Request for Review and Remediation under Article 31-A.4. The complainant Party may respond to the respondent Party’s submission.</w:t>
      </w:r>
    </w:p>
    <w:p>
      <w:pPr>
        <w:pStyle w:val="Normal"/>
      </w:pPr>
      <w:r>
        <w:t>4. In cases in which the respondent Party has determined under Article 31-A.4.6 that there is a Denial of Rights by the Covered Facility, and the respondent Party alleges that the Covered Facility has taken the necessary measures to remediate the Denial of Rights, but the complainant Party disagrees with the conclusions and actions of the respondent Party, the panel shall request the respondent Party to submit, within 10 business days of the request, a document explaining the actions it took against the Covered Facility as a result of the Request for Review and Remediation under Article 31-A.4. The complainant Party may respond to the respondent Party’s submission. 5. The respondent Party shall transmit a copy of the complainant Party’s petition to the owner of the Covered Facility at issue. 6. The respondent Party shall reply within seven business days whether it consents to the verification request. If the respondent Party does not respond within that time it will be deemed to have refused the request. 7. If the respondent Party agrees to the verification, the panel shall conduct the verification within 30 days after receipt of the request by the respondent Party. Observers from both Parties may accompany the panel in any on-site verification if both Parties so request. 8. If the respondent Party agrees to the verification but there is interference with the verification or the panel is otherwise unable to conduct the verification in a manner that it believes is most appropriate to gather information relevant to the matter, the panel may take the Party’s conduct into account in making its determination.</w:t>
      </w:r>
    </w:p>
    <w:p>
      <w:pPr>
        <w:pStyle w:val="Normal"/>
      </w:pPr>
      <w:r>
        <w:t>9. If the respondent Party refuses the request for a verification or does not respond within the period provided for in paragraph 6, the complainant Party may request that the panel make a determination as to whether there is a Denial of Rights. 10. If the complainant Party makes a petition under Article 31-A.5.1(b), the panel, at its discretion, may request a verification if it considers that a verification is necessary to assist them in making their determination and follow the procedures set out as for a verification request made under this Article.</w:t>
      </w:r>
    </w:p>
    <w:p>
      <w:pPr>
        <w:pStyle w:val="Heading2"/>
      </w:pPr>
      <w:bookmarkStart w:id="901087" w:name="_Toc300001086"/>
      <w:r>
        <w:t>Article 31-A.8: Panel Process and Determination</w:t>
      </w:r>
      <w:bookmarkEnd w:id="901087"/>
    </w:p>
    <w:p>
      <w:pPr>
        <w:pStyle w:val="Normal"/>
      </w:pPr>
      <w:r>
        <w:t>1. The panel shall make a determination, consistent with paragraphs 5, 7, and 8 of Article 31.13 (Function of Panels), as to whether there is a Denial of Rights within: (a) 30 days after conducting a verification; or (b) 30 days after it is constituted if there has not been a verification. 2. Before making its determination, the panel shall provide both Parties an opportunity to be heard. 3. In making its determination, the panel shall take the respondent Party’s refusal to allow a verification into account. 4. If the respondent Party so requests, the panel shall include a recommendation on a course of remediation if the panel determines there is a Denial of Rights. The panel shall also provide its views on the severity of any denial of rights and, to the extent possible, identify the person or persons responsible for the Denial of Rights. 5. The panel’s determination shall be in writing and shall be made public.</w:t>
      </w:r>
    </w:p>
    <w:p>
      <w:pPr>
        <w:pStyle w:val="Heading2"/>
      </w:pPr>
      <w:bookmarkStart w:id="901088" w:name="_Toc300001087"/>
      <w:r>
        <w:t>Article 31-A.9: Consultations and Remediation</w:t>
      </w:r>
      <w:bookmarkEnd w:id="901088"/>
    </w:p>
    <w:p>
      <w:pPr>
        <w:pStyle w:val="Normal"/>
      </w:pPr>
      <w:r>
        <w:t>After receipt of a determination by a panel that there has been a Denial of Rights, the complainant Party may impose remedies after providing written notice to the respondent Party at least 5 business days in advance. A respondent Party can request that consultations be held during that 5 day period.</w:t>
      </w:r>
    </w:p>
    <w:p>
      <w:pPr>
        <w:pStyle w:val="Heading2"/>
      </w:pPr>
      <w:bookmarkStart w:id="901089" w:name="_Toc300001088"/>
      <w:r>
        <w:t>Article 31-A.10: Remedies</w:t>
      </w:r>
      <w:bookmarkEnd w:id="901089"/>
    </w:p>
    <w:p>
      <w:pPr>
        <w:pStyle w:val="Normal"/>
      </w:pPr>
      <w:r>
        <w:t>1. Once the conditions precedent to the imposition of remedies have been met, the complainant Party may impose remedies that are the most appropriate to remedy the Denial of Rights. The complainant Party shall select a remedy pursuant to paragraph 2 that is proportional to the severity of the Denial of Rights and shall take the panel’s views on the severity of the Denial of Rights into account when selecting such remedies. 2. Remedies may include suspension of preferential tariff treatment for goods manufactured at the Covered Facility or the imposition of penalties on goods manufactured at or services provided by the Covered Facility. 3. In cases where a Covered Facility or a Covered Facility owned or controlled by the same person producing the same or related goods or providing the same or related services has received a prior Denial of Rights determination, remedies may include suspension of preferential tariff treatment for such goods; or the imposition of penalties on such goods or services. 4. In cases where a Covered Facility or a Covered Facility owned or controlled by the same person producing the same or related goods or providing the same or related services has received a prior Denial of Rights determination on at least two occasions, remedies may include suspension of preferential tariff treatment for such goods; the imposition of penalties on such goods or services; or the denial of entry of such goods.</w:t>
      </w:r>
    </w:p>
    <w:p>
      <w:pPr>
        <w:pStyle w:val="Normal"/>
      </w:pPr>
      <w:r>
        <w:t>5. After the imposition of remedies, the Parties shall continue to consult on an ongoing basis in order to ensure the prompt remediation of the Denial of Rights and the removal of remedies. 6. If, as a result of those ongoing consultations, the Parties reach agreement that the Denial of Rights has been remediated, the complainant Party shall remove all remedies immediately. If the Parties are in disagreement as to whether the Denial of Rights has been remediated, the respondent Party may request an opportunity to demonstrate to the panel that it has taken action to remediate the Denial of Rights. The panel shall make a new determination within 30 days after receipt of the respondent Party’s request, consistent with the procedures set out in Article 31-A.8. The complainant Party may request a new verification consistent with the procedures set out in Article 31-A.7. 7. If the panel determines that the Denial of Rights has not been remediated, the respondent Party may not request another determination for 180 days, and any remedies shall remain in place until the Parties agree that remediation has occurred or a panel determines that the Denial of Rights has been remediated.</w:t>
      </w:r>
    </w:p>
    <w:p>
      <w:pPr>
        <w:pStyle w:val="Heading2"/>
      </w:pPr>
      <w:bookmarkStart w:id="901090" w:name="_Toc300001089"/>
      <w:r>
        <w:t>Article 31-A.11: Good Faith Use of the Mechanism</w:t>
      </w:r>
      <w:bookmarkEnd w:id="901090"/>
    </w:p>
    <w:p>
      <w:pPr>
        <w:pStyle w:val="Normal"/>
      </w:pPr>
      <w:r>
        <w:t>If one Party considers that the other has not acted in good faith in its use of this Mechanism, either with regard to an invocation of the Mechanism itself or an imposition of remedies that are excessive in light of the severity of the Denial of Rights found by the panel, that Party may have recourse to the dispute settlement mechanism under Chapter 31 (Dispute Settlement). If a dispute settlement panel finds that a Party did not act in good faith in its use of this Mechanism, within 45 days from receipt of the final panel report under Article 31.17.5 (Panel Report), the Parties shall endeavor to agree to the resolution of the dispute. If the Parties are unable to resolve the dispute, the complainant Party may elect either to prevent the responding Party from using this Mechanism for a period of two years or another remedy permitted under Chapter 31 (Dispute Settlement).</w:t>
      </w:r>
    </w:p>
    <w:p>
      <w:pPr>
        <w:pStyle w:val="Heading2"/>
      </w:pPr>
      <w:bookmarkStart w:id="901091" w:name="_Toc300001090"/>
      <w:r>
        <w:t>Article 31-A.12: Expansion of Claims</w:t>
      </w:r>
      <w:bookmarkEnd w:id="901091"/>
    </w:p>
    <w:p>
      <w:pPr>
        <w:pStyle w:val="Normal"/>
      </w:pPr>
      <w:r>
        <w:t xml:space="preserve">In recognition of the importance of ensuring full compliance with the Labor Chapter; the commitment of the Parties to trade only in goods produced in compliance with such Chapter; if one of the Parties is found to have breached its obligations under Article 23.3 (Labor Rights) or Article 23.5 (Enforcement of Labor Laws) by a panel established under Article 31.6 (Establishment of a Panel), the complainant Party in that case may use this Mechanism with regard to the relevant law or laws at issue in that dispute for a period of two years or until the conclusion of the next joint review under Article 34.7 (</w:t>
      </w:r>
      <w:r>
        <w:t xml:space="preserve">Continuous Duration and Periodic Modernization Review</w:t>
      </w:r>
      <w:r>
        <w:t xml:space="preserve">), whichever is later.</w:t>
      </w:r>
    </w:p>
    <w:p>
      <w:pPr>
        <w:pStyle w:val="Heading2"/>
      </w:pPr>
      <w:bookmarkStart w:id="901092" w:name="_Toc300001091"/>
      <w:r>
        <w:t>Article 31-A.13: Review of Priority Sectors</w:t>
      </w:r>
      <w:bookmarkEnd w:id="901092"/>
    </w:p>
    <w:p>
      <w:pPr>
        <w:pStyle w:val="Normal"/>
      </w:pPr>
      <w:r>
        <w:t>The Parties shall review the list of priority sectors on an annual basis and determine whether to add any sectors to the list.</w:t>
      </w:r>
    </w:p>
    <w:p>
      <w:pPr>
        <w:pStyle w:val="Heading2"/>
      </w:pPr>
      <w:bookmarkStart w:id="901093" w:name="_Toc300001092"/>
      <w:r>
        <w:t>Article 31-A.14: Cooperation to Promote Compliance</w:t>
      </w:r>
      <w:bookmarkEnd w:id="901093"/>
    </w:p>
    <w:p>
      <w:pPr>
        <w:pStyle w:val="Normal"/>
      </w:pPr>
      <w:r>
        <w:t>Each Party shall cooperate with, and support efforts by, Covered Facilities to operate in a way to avoid a determination of a Denial of Rights.</w:t>
      </w:r>
    </w:p>
    <w:p>
      <w:pPr>
        <w:pStyle w:val="Heading2"/>
      </w:pPr>
      <w:bookmarkStart w:id="901094" w:name="_Toc300001093"/>
      <w:r>
        <w:t>Article 31-A.15: Definitions</w:t>
      </w:r>
      <w:bookmarkEnd w:id="901094"/>
    </w:p>
    <w:p>
      <w:pPr>
        <w:pStyle w:val="Normal"/>
      </w:pPr>
      <w:r>
        <w:t>For the purposes of this Annex: Covered Facilitymeans a facility in the territory of a Party that: (i) produces a good or supplies a service traded between the Parties; or (ii) produces a good or supplies a service that competes in the territory of a Party with a good or a service of the other Party, and is a facility in a Priority Sector; Party or Parties means Mexico and the United States singly or collectively; Priority Sector means a sector that produces manufactured goods,[Footnote 6] supplies services, or involves mining.</w:t>
      </w:r>
    </w:p>
    <w:p>
      <w:pPr>
        <w:pStyle w:val="Heading2"/>
      </w:pPr>
      <w:bookmarkStart w:id="901095" w:name="_Toc300001094"/>
      <w:r>
        <w:t>ANNEX 31-B CANADA-MEXICO FACILITY-SPECIFIC RAPID RESPONSE LABOR MECHANISM</w:t>
      </w:r>
      <w:bookmarkEnd w:id="901095"/>
    </w:p>
    <w:p>
      <w:pPr>
        <w:pStyle w:val="Heading2"/>
      </w:pPr>
      <w:bookmarkStart w:id="901096" w:name="_Toc300001095"/>
      <w:r>
        <w:t>TRANSITIONAL STATUS UNDER NAESTMA ARTICLE 31.E</w:t>
      </w:r>
      <w:bookmarkEnd w:id="901096"/>
    </w:p>
    <w:p>
      <w:pPr>
        <w:pStyle w:val="Normal"/>
      </w:pPr>
      <w:r>
        <w:t>This predecessor Annex remains available solely as transitional administrative machinery. Article 31.E governs substantive standing, admissibility, scope, covered rights, covered facilities, verification, remedies, proportionality, restoration and worker protection. Any inconsistent country-specific domestic-order prerequisite, bilateral definition, priority-sector limitation or other access condition is superseded to the extent of the inconsistency.</w:t>
      </w:r>
    </w:p>
    <w:p>
      <w:pPr>
        <w:pStyle w:val="Heading2"/>
      </w:pPr>
      <w:bookmarkStart w:id="901097" w:name="_Toc300001096"/>
      <w:r>
        <w:t>Article 31-B.1: Scope and Purpose</w:t>
      </w:r>
      <w:bookmarkEnd w:id="901097"/>
    </w:p>
    <w:p>
      <w:pPr>
        <w:pStyle w:val="Normal"/>
      </w:pPr>
      <w:r>
        <w:t>1. Canada and Mexico are agreeing to this Annex pursuant to Article 31.5.1 (Good Offices, Conciliation, and Mediation).</w:t>
      </w:r>
    </w:p>
    <w:p>
      <w:pPr>
        <w:pStyle w:val="Normal"/>
      </w:pPr>
      <w:r>
        <w:t>2. The purpose of the Facility-Specific Rapid Response Labor Mechanism (the “Mechanism”), including the ability to impose remedies, is to ensure remediation of a Denial of Rights, as defined in Article 31-B.2, for workers at a Covered Facility, not to restrict trade. Furthermore, the Parties have designed this Mechanism to ensure that remedies are lifted immediately once a Denial of Rights is remediated.</w:t>
      </w:r>
    </w:p>
    <w:p>
      <w:pPr>
        <w:pStyle w:val="Normal"/>
      </w:pPr>
      <w:r>
        <w:t>3. The Parties shall make every attempt to cooperate and arrive at a mutually acceptable solution with respect to matters that can be raised through the Mechanism.</w:t>
      </w:r>
    </w:p>
    <w:p>
      <w:pPr>
        <w:pStyle w:val="Normal"/>
      </w:pPr>
      <w:r>
        <w:t>4. This Annex applies only as between Mexico and Canada.</w:t>
      </w:r>
    </w:p>
    <w:p>
      <w:pPr>
        <w:pStyle w:val="Heading2"/>
      </w:pPr>
      <w:bookmarkStart w:id="901098" w:name="_Toc300001097"/>
      <w:r>
        <w:t>Article 31-B.2: Denial of Rights</w:t>
      </w:r>
      <w:bookmarkEnd w:id="901098"/>
    </w:p>
    <w:p>
      <w:pPr>
        <w:pStyle w:val="Normal"/>
      </w:pPr>
      <w:r>
        <w:t>The Mechanism shall apply whenever a Party (the “complainant Party”) has a good faith basis belief that workers at a Covered Facility are being denied the right of free association and collective bargaining under laws necessary to fulfill the obligations of the other Party (the “respondent Party”) under this Agreement (a “Denial of Rights”).Note de bas de page7</w:t>
      </w:r>
    </w:p>
    <w:p>
      <w:pPr>
        <w:pStyle w:val="Heading2"/>
      </w:pPr>
      <w:bookmarkStart w:id="901099" w:name="_Toc300001098"/>
      <w:r>
        <w:t>Article 31-B.3: Lists of Rapid Response Labor Panelists</w:t>
      </w:r>
      <w:bookmarkEnd w:id="901099"/>
    </w:p>
    <w:p>
      <w:pPr>
        <w:pStyle w:val="Normal"/>
      </w:pPr>
      <w:r>
        <w:t>1. The Parties shall establish and maintain three lists of Rapid Response Labor Panelists who are willing to commit to being generally available to serve as Labor Panelists for the Mechanism.</w:t>
      </w:r>
    </w:p>
    <w:p>
      <w:pPr>
        <w:pStyle w:val="Normal"/>
      </w:pPr>
      <w:r>
        <w:t>2. By the date of entry into force of this Agreement, each Party shall appoint three individuals to one list each and appoint, by consensus, three individuals to a joint list. The individuals in the joint list shall be non-nationals of either Mexico or Canada. If a Party fails to designate its individuals, the Parties may still request the establishment of panels under Article 31-B.5 (Requests for Establishment of Rapid Response Labor Panel). The Rules of Procedure shall provide for how to compose a panel in such circumstances. Thereafter, at most six months from the date of entry into force of this Agreement, the Parties shall expand each list to at least five individuals each.</w:t>
      </w:r>
    </w:p>
    <w:p>
      <w:pPr>
        <w:pStyle w:val="Normal"/>
      </w:pPr>
      <w:r>
        <w:t>3. The Labor Panelists shall be appointed for a minimum of four years or until the Parties constitute new lists. Labor Panelists may be reappointed.</w:t>
      </w:r>
    </w:p>
    <w:p>
      <w:pPr>
        <w:pStyle w:val="Normal"/>
      </w:pPr>
      <w:r>
        <w:t>4. Each Labor Panelist shall:</w:t>
      </w:r>
    </w:p>
    <w:p>
      <w:pPr>
        <w:pStyle w:val="Normal"/>
      </w:pPr>
      <w:r>
        <w:t>(a) have expertise and experience in labor law and practice, and with the application of standards and rights as recognized by the International Labor Organization; (b) be selected on the basis of objectivity, reliability, and sound judgment;</w:t>
      </w:r>
    </w:p>
    <w:p>
      <w:pPr>
        <w:pStyle w:val="Normal"/>
      </w:pPr>
      <w:r>
        <w:t>(c) be independent of, and not affiliated with or take instructions from, a Party; and (d) comply with the Code of Conduct established by the Commission for dispute settlement under this chapter. 5. If a list falls below five individuals within the four-year term, the relevant Party shall promptly appoint replacements. With respect to the joint list, the Parties shall appoint replacements by consensus within 30 days from the date the list has fallen below the required number.</w:t>
      </w:r>
    </w:p>
    <w:p>
      <w:pPr>
        <w:pStyle w:val="Normal"/>
      </w:pPr>
      <w:r>
        <w:t>6. At the conclusion of the first four-year term, and every four years thereafter, the Labor Panelists shall submit a report to the Parties commenting on the functioning of the Mechanism. The Parties shall make the report public.</w:t>
      </w:r>
    </w:p>
    <w:p>
      <w:pPr>
        <w:pStyle w:val="Normal"/>
      </w:pPr>
      <w:r>
        <w:t>7. The Parties shall address the compensation of Labor Panelists in the Rules of Procedure established in accordance with Article 30.2 (Functions of the Commission). The Parties shall also provide for reasonable expenses, including logistical support and personnel as appropriate, associated with verification efforts and the drafting of determinations.</w:t>
      </w:r>
    </w:p>
    <w:p>
      <w:pPr>
        <w:pStyle w:val="Heading2"/>
      </w:pPr>
      <w:bookmarkStart w:id="901100" w:name="_Toc300001099"/>
      <w:r>
        <w:t>Article 31-B.4: Requests for Review and Remediation</w:t>
      </w:r>
      <w:bookmarkEnd w:id="901100"/>
    </w:p>
    <w:p>
      <w:pPr>
        <w:pStyle w:val="Normal"/>
      </w:pPr>
      <w:r>
        <w:t>1. If a Party has a domestic process for determining whether to invoke this mechanism and that process has started regarding a Covered Facility in the other Party, that Party shall notify the other Party within five business days of initiating such process.Note de bas de page8</w:t>
      </w:r>
    </w:p>
    <w:p>
      <w:pPr>
        <w:pStyle w:val="Normal"/>
      </w:pPr>
      <w:r>
        <w:t>2. If a complainant Party has a good faith basis to believe that a Denial of Rights is occurring at a Covered Facility, it shall first request that the respondent Party conduct its own review of whether a Denial of Rights exists and, if the respondent Party determines that there is a Denial of Rights, the latter shall attempt to remediate within 45 days of the request. The complainant Party shall provide sufficient information for the respondent Party to conduct its review. The respondent Party shall have 10 days to notify the complainant Party as to whether it intends to conduct a review. If the respondent Party does not choose to conduct a review or does not notify within the 10-day period, the complainant Party may request the formation of a Rapid Response Labor Panel (the “panel”) to conduct a separate verification and determination pursuant to Article 31-B.5.</w:t>
      </w:r>
    </w:p>
    <w:p>
      <w:pPr>
        <w:pStyle w:val="Normal"/>
      </w:pPr>
      <w:r>
        <w:t>3. Upon delivering the request to the respondent Party, the complainant Party may delay final settlement of customs accounts related to entries of goods from the Covered Facility. Settlement of such accounts must resume immediately upon an agreement by the Parties that there is no Denial of Rights or a finding by a panel that there is no Denial of Rights.Note de bas de page9</w:t>
      </w:r>
    </w:p>
    <w:p>
      <w:pPr>
        <w:pStyle w:val="Normal"/>
      </w:pPr>
      <w:r>
        <w:t>4. If the respondent Party chooses to conduct its review, it shall report in writing the results of the review and any remediation to the complainant Party at the end of the 45-day period.</w:t>
      </w:r>
    </w:p>
    <w:p>
      <w:pPr>
        <w:pStyle w:val="Normal"/>
      </w:pPr>
      <w:r>
        <w:t>5. If the respondent Party has determined that there is no Denial of Rights, the complainant Party may agree that the issue is resolved or it may communicate in writing its reasons for disagreement with the respondent Party’s determination and immediately may request a panel verification and determination pursuant to Article 31-B.5.</w:t>
      </w:r>
    </w:p>
    <w:p>
      <w:pPr>
        <w:pStyle w:val="Normal"/>
      </w:pPr>
      <w:r>
        <w:t>6. If the respondent Party has determined there is a Denial of Rights, the Parties shall consult in good faith for a period of 10 days and shall endeavor to agree upon a course of remediation that will remediate the Denial of Rights without interrupting trade.</w:t>
      </w:r>
    </w:p>
    <w:p>
      <w:pPr>
        <w:pStyle w:val="Normal"/>
      </w:pPr>
      <w:r>
        <w:t>7. If the Parties agree on a course of remediation, the respondent Party shall undertake the remediation by the date agreed to by the Parties and no remedy may be imposed by the complainant Party until the expiration of the agreed upon period.</w:t>
      </w:r>
    </w:p>
    <w:p>
      <w:pPr>
        <w:pStyle w:val="Normal"/>
      </w:pPr>
      <w:r>
        <w:t>8. If, after the agreed-upon date for remediation, the Parties disagree as to whether the Denial of Rights has been remediated, the complainant Party may provide written notice to the respondent Party of its intention to impose remedies at least 15 days prior to imposing remedies. The respondent Party may, within 10 days of receiving such notice, request a determination from a panel as to whether the Denial of Rights persists pursuant to Article 31-B.5. The complainant Party may not impose remedies until the Panel makes its determination.</w:t>
      </w:r>
    </w:p>
    <w:p>
      <w:pPr>
        <w:pStyle w:val="Normal"/>
      </w:pPr>
      <w:r>
        <w:t>9. If the Parties cannot agree on a course of remediation at the end of the 10-day period, the complainant Party may request a panel verification and determination pursuant to Article 31-B.5.</w:t>
      </w:r>
    </w:p>
    <w:p>
      <w:pPr>
        <w:pStyle w:val="Normal"/>
      </w:pPr>
      <w:r>
        <w:t>10. At any point during the 10-day consultation period, the complainant Party may request that the panel be established, and the panel may proceed to confirm the petition. However, the panel may not issue a request for verification until the 10-day period expires.</w:t>
      </w:r>
    </w:p>
    <w:p>
      <w:pPr>
        <w:pStyle w:val="Heading2"/>
      </w:pPr>
      <w:bookmarkStart w:id="901101" w:name="_Toc300001100"/>
      <w:r>
        <w:t>Article 31-B.5: Requests for Establishment of Rapid Response Labor Panel</w:t>
      </w:r>
      <w:bookmarkEnd w:id="901101"/>
    </w:p>
    <w:p>
      <w:pPr>
        <w:pStyle w:val="Normal"/>
      </w:pPr>
      <w:r>
        <w:t>1. If, after the conditions precedent for the establishment of a panel under Article 31-B.4 are met, the complainant Party continues to have a good faith basis to believe that a Denial of Rights is occurring at a Covered Facility, that Party may submit to the Secretariat a petition:</w:t>
      </w:r>
    </w:p>
    <w:p>
      <w:pPr>
        <w:pStyle w:val="Normal"/>
      </w:pPr>
      <w:r>
        <w:t>(a) requesting the establishment of a panel to request that the respondent Party allow the panel an opportunity to verify the Covered Facility’s compliance with the law in question and determine whether there has been a Denial of Rights; or (b) requesting the establishment of a panel to determine whether there has been a Denial of Rights. 2. The Secretariat shall transmit the petition to the respondent Party.</w:t>
      </w:r>
    </w:p>
    <w:p>
      <w:pPr>
        <w:pStyle w:val="Normal"/>
      </w:pPr>
      <w:r>
        <w:t>3. The Secretariat shall within three business days from the date of the request for establishment of a panel select by lot one panelist from the complainant Party list, one from the respondent Party list, and one from the Joint List. The Secretariat shall immediately transmit the petition to the selected panelists.</w:t>
      </w:r>
    </w:p>
    <w:p>
      <w:pPr>
        <w:pStyle w:val="Heading2"/>
      </w:pPr>
      <w:bookmarkStart w:id="901102" w:name="_Toc300001101"/>
      <w:r>
        <w:t>Article 31-B.6: Confirmation of Petition</w:t>
      </w:r>
      <w:bookmarkEnd w:id="901102"/>
    </w:p>
    <w:p>
      <w:pPr>
        <w:pStyle w:val="Normal"/>
      </w:pPr>
      <w:r>
        <w:t>A panel established under Article 31-B.5 shall have five business days after it is constituted to confirm that the petition:</w:t>
      </w:r>
    </w:p>
    <w:p>
      <w:pPr>
        <w:pStyle w:val="Normal"/>
      </w:pPr>
      <w:r>
        <w:t>(a) identifies a Covered Facility; (b) identifies the respondent Party’s laws relevant to the alleged Denial of Rights; and (c) states the basis for the complainant Party’s good faith belief that there is a Denial of Rights.</w:t>
      </w:r>
    </w:p>
    <w:p>
      <w:pPr>
        <w:pStyle w:val="Heading2"/>
      </w:pPr>
      <w:bookmarkStart w:id="901103" w:name="_Toc300001102"/>
      <w:r>
        <w:t>Article 31-B.7: Verification</w:t>
      </w:r>
      <w:bookmarkEnd w:id="901103"/>
    </w:p>
    <w:p>
      <w:pPr>
        <w:pStyle w:val="Normal"/>
      </w:pPr>
      <w:r>
        <w:t>1. Upon confirmation that the petition contains the relevant information, the panel shall issue a request for verification to the respondent Party. The panel shall formulate an appropriate request for verification, based on the circumstances and the nature of the allegations in the complainant Party’s petition and any other submissions from the Parties.</w:t>
      </w:r>
    </w:p>
    <w:p>
      <w:pPr>
        <w:pStyle w:val="Normal"/>
      </w:pPr>
      <w:r>
        <w:t>2. In cases in which the respondent Party has concluded under Article 31-B.4.5 that there is no Denial of Rights by the Covered Facility but the complainant Party disagrees with the conclusions of the respondent Party, the panel shall request the respondent Party to submit, within 10 business days of the request, a document establishing the results of the respondent Party’s investigation and conclusions and any efforts it took as a result of the Request for Review and Remediation under Article 31-B.4. The complainant Party may respond to the respondent Party’s submission.</w:t>
      </w:r>
    </w:p>
    <w:p>
      <w:pPr>
        <w:pStyle w:val="Normal"/>
      </w:pPr>
      <w:r>
        <w:t>3. In cases in which the timeframe granted to the Covered Facility to eliminate the Denial of Rights has elapsed and the Covered Facility has allegedly not taken the necessary measures to comply with the remediation, the panel shall request the respondent Party to submit, within 10 business days of the petition, a document establishing the results of the respondent Party’s investigation and conclusions and the actions and sanctions it took against the Covered Facility as a result of the Request for Review and Remediation under Article 31-B.4. The complainant Party may respond to the respondent Party’s submission.</w:t>
      </w:r>
    </w:p>
    <w:p>
      <w:pPr>
        <w:pStyle w:val="Normal"/>
      </w:pPr>
      <w:r>
        <w:t>4. In cases in which the respondent Party has determined under Article 31-B.4.6 that there is a Denial of Rights by the Covered Facility, and the respondent Party alleges that the Covered Facility has taken the necessary measures to remediate the Denial of Rights, but the complainant Party disagrees with the conclusions and actions of the respondent Party, the panel shall request the respondent Party to submit, within 10 business days of the request, a document explaining the actions it took against the Covered Facility as a result of the Request for Review and Remediation under Article 31-B.4. The complainant Party may respond to the respondent Party’s submission.</w:t>
      </w:r>
    </w:p>
    <w:p>
      <w:pPr>
        <w:pStyle w:val="Normal"/>
      </w:pPr>
      <w:r>
        <w:t>5. The respondent Party shall transmit a copy of the complainant Party’s petition to the owner of the Covered Facility at issue.</w:t>
      </w:r>
    </w:p>
    <w:p>
      <w:pPr>
        <w:pStyle w:val="Normal"/>
      </w:pPr>
      <w:r>
        <w:t>6. The respondent Party shall reply within seven business days whether it consents to the verification request. If the respondent Party does not respond within that time it will be deemed to have refused the request.</w:t>
      </w:r>
    </w:p>
    <w:p>
      <w:pPr>
        <w:pStyle w:val="Normal"/>
      </w:pPr>
      <w:r>
        <w:t>7. If the respondent Party agrees to the verification, the panel shall conduct the verification within 30 days after receipt of the request by the respondent Party. Observers from both Parties may accompany the panel in any on-site verification if both Parties so request.</w:t>
      </w:r>
    </w:p>
    <w:p>
      <w:pPr>
        <w:pStyle w:val="Normal"/>
      </w:pPr>
      <w:r>
        <w:t>8. If the respondent Party agrees to the verification but there is interference with the verification or the panel is otherwise unable to conduct the verification in a manner that it believes is most appropriate to gather information relevant to the matter, the panel may take the Party’s conduct into account in making its determination.</w:t>
      </w:r>
    </w:p>
    <w:p>
      <w:pPr>
        <w:pStyle w:val="Normal"/>
      </w:pPr>
      <w:r>
        <w:t>9. If the respondent Party refuses the request for a verification or does not respond within the period provided for in paragraph 6, the complainant Party may request that the panel make a determination as to whether there is a Denial of Rights.</w:t>
      </w:r>
    </w:p>
    <w:p>
      <w:pPr>
        <w:pStyle w:val="Normal"/>
      </w:pPr>
      <w:r>
        <w:t>10. If the complainant Party makes a petition under Article 31-B.5.1(b), the panel, at its discretion, may request a verification if it considers that a verification is necessary to assist them in making their determination and follow the procedures set out as for a verification request made under this Article.</w:t>
      </w:r>
    </w:p>
    <w:p>
      <w:pPr>
        <w:pStyle w:val="Heading2"/>
      </w:pPr>
      <w:bookmarkStart w:id="901104" w:name="_Toc300001103"/>
      <w:r>
        <w:t>Article 31-B.8: Panel Process and Determination</w:t>
      </w:r>
      <w:bookmarkEnd w:id="901104"/>
    </w:p>
    <w:p>
      <w:pPr>
        <w:pStyle w:val="Normal"/>
      </w:pPr>
      <w:r>
        <w:t>1. The panel shall make a determination, consistent with paragraphs 5, 7, and 8 of Article 31.13 (Function of Panels), as to whether there is a Denial of Rights within:</w:t>
      </w:r>
    </w:p>
    <w:p>
      <w:pPr>
        <w:pStyle w:val="Normal"/>
      </w:pPr>
      <w:r>
        <w:t>(a) 30 days after conducting a verification; or (b) 30 days after it is constituted if there has not been a verification. 2. Before making its determination, the panel shall provide both Parties an opportunity to be heard.</w:t>
      </w:r>
    </w:p>
    <w:p>
      <w:pPr>
        <w:pStyle w:val="Normal"/>
      </w:pPr>
      <w:r>
        <w:t>3. In making its determination, the panel shall take the respondent Party’s refusal to allow a verification into account.</w:t>
      </w:r>
    </w:p>
    <w:p>
      <w:pPr>
        <w:pStyle w:val="Normal"/>
      </w:pPr>
      <w:r>
        <w:t>4. If the respondent Party so requests, the panel shall include a recommendation on a course of remediation if the panel determines there is a Denial of Rights. The panel shall also provide its views on the severity of any denial of rights and, to the extent possible, identify the person or persons responsible for the Denial of Rights.</w:t>
      </w:r>
    </w:p>
    <w:p>
      <w:pPr>
        <w:pStyle w:val="Normal"/>
      </w:pPr>
      <w:r>
        <w:t>5. The panel’s determination shall be in writing and shall be made public.</w:t>
      </w:r>
    </w:p>
    <w:p>
      <w:pPr>
        <w:pStyle w:val="Heading2"/>
      </w:pPr>
      <w:bookmarkStart w:id="901105" w:name="_Toc300001104"/>
      <w:r>
        <w:t>Article 31-B.9: Consultations and Remediation</w:t>
      </w:r>
      <w:bookmarkEnd w:id="901105"/>
    </w:p>
    <w:p>
      <w:pPr>
        <w:pStyle w:val="Normal"/>
      </w:pPr>
      <w:r>
        <w:t>After receipt of a determination by a panel that there has been a Denial of Rights, the complainant Party may impose remedies after providing written notice to the respondent Party at least 5 business days in advance. A respondent Party can request that consultations be held during that 5 day period.</w:t>
      </w:r>
    </w:p>
    <w:p>
      <w:pPr>
        <w:pStyle w:val="Heading2"/>
      </w:pPr>
      <w:bookmarkStart w:id="901106" w:name="_Toc300001105"/>
      <w:r>
        <w:t>Article 31-B.10: Remedies</w:t>
      </w:r>
      <w:bookmarkEnd w:id="901106"/>
    </w:p>
    <w:p>
      <w:pPr>
        <w:pStyle w:val="Normal"/>
      </w:pPr>
      <w:r>
        <w:t>1. Once the conditions precedent to the imposition of remedies have been met, the complainant Party may impose remedies that are the most appropriate to remedy the Denial of Rights. The complainant Party shall select a remedy pursuant to paragraph 2 that is proportional to the severity of the Denial of Rights and shall take the panel’s views on the severity of the Denial of Rights into account when selecting such remedies.</w:t>
      </w:r>
    </w:p>
    <w:p>
      <w:pPr>
        <w:pStyle w:val="Normal"/>
      </w:pPr>
      <w:r>
        <w:t>2. Remedies may include suspension of preferential tariff treatment for goods manufactured at the Covered Facility or the imposition of penalties on goods manufactured at or services provided by the Covered Facility.</w:t>
      </w:r>
    </w:p>
    <w:p>
      <w:pPr>
        <w:pStyle w:val="Normal"/>
      </w:pPr>
      <w:r>
        <w:t>3. In cases where a Covered Facility or a Covered Facility owned or controlled by the same person producing the same or related goods or providing the same or related services has received a prior Denial of Rights determination, remedies may include suspension of preferential tariff treatment for such goods; or the imposition of penalties on such goods or services.</w:t>
      </w:r>
    </w:p>
    <w:p>
      <w:pPr>
        <w:pStyle w:val="Normal"/>
      </w:pPr>
      <w:r>
        <w:t>4. In cases where a Covered Facility or a Covered Facility owned or controlled by the same person producing the same or related goods or providing the same or related services has received a prior Denial of Rights determination on at least two occasions, remedies may include suspension of preferential tariff treatment for such goods; the imposition of penalties on such goods or services; or the denial of entry of such goods.</w:t>
      </w:r>
    </w:p>
    <w:p>
      <w:pPr>
        <w:pStyle w:val="Normal"/>
      </w:pPr>
      <w:r>
        <w:t>5. After the imposition of remedies, the Parties shall continue to consult on an ongoing basis in order to ensure the prompt remediation of the Denial of Rights and the removal of remedies.</w:t>
      </w:r>
    </w:p>
    <w:p>
      <w:pPr>
        <w:pStyle w:val="Normal"/>
      </w:pPr>
      <w:r>
        <w:t>6. If, as a result of those ongoing consultations, the Parties reach agreement that the Denial of Rights has been remediated, the complainant Party shall remove all remedies immediately. If the Parties are in disagreement as to whether the Denial of Rights has been remediated, the respondent Party may request an opportunity to demonstrate to the panel that it has taken action to remediate the Denial of Rights. The panel shall make a new determination within 30 days after receipt of the respondent Party’s request, consistent with the procedures set out in Article 31-B.8. The complainant Party may request a new verification consistent with the procedures set out in Article 31-B.7.</w:t>
      </w:r>
    </w:p>
    <w:p>
      <w:pPr>
        <w:pStyle w:val="Normal"/>
      </w:pPr>
      <w:r>
        <w:t>7. If the panel determines that the Denial of Rights has not been remediated, the respondent Party may not request another determination for 180 days, and any remedies shall remain in place until the Parties agree that remediation has occurred or a panel determines that the Denial of Rights has been remediated.</w:t>
      </w:r>
    </w:p>
    <w:p>
      <w:pPr>
        <w:pStyle w:val="Heading2"/>
      </w:pPr>
      <w:bookmarkStart w:id="901107" w:name="_Toc300001106"/>
      <w:r>
        <w:t>Article 31-B.11: Good Faith Use of the Mechanism</w:t>
      </w:r>
      <w:bookmarkEnd w:id="901107"/>
    </w:p>
    <w:p>
      <w:pPr>
        <w:pStyle w:val="Normal"/>
      </w:pPr>
      <w:r>
        <w:t>If one Party considers that the other has not acted in good faith in its use of this Mechanism, either with regard to an invocation of the Mechanism itself or an imposition of remedies that are excessive in light of the severity of the Denial of Rights found by the panel, that Party may have recourse to the dispute settlement mechanism under Chapter 31 (Dispute Settlement). If a dispute settlement panel finds that a Party did not act in good faith in its use of this Mechanism, within 45 days from receipt of the final panel report under Article 31.17.5 (Panel Report), the Parties shall endeavor to agree to the resolution of the dispute. If the Parties are unable to resolve the dispute, the complainant Party may elect either to prevent the responding Party from using this Mechanism for a period of two years or another remedy permitted under Chapter 31 (Dispute Settlement).</w:t>
      </w:r>
    </w:p>
    <w:p>
      <w:pPr>
        <w:pStyle w:val="Heading2"/>
      </w:pPr>
      <w:bookmarkStart w:id="901108" w:name="_Toc300001107"/>
      <w:r>
        <w:t>Article 31-B.12: Expansion of Claims</w:t>
      </w:r>
      <w:bookmarkEnd w:id="901108"/>
    </w:p>
    <w:p>
      <w:pPr>
        <w:pStyle w:val="Normal"/>
      </w:pPr>
      <w:r>
        <w:t xml:space="preserve">In recognition of the importance of ensuring full compliance with the Labor Chapter; the commitment of the Parties to trade only in goods produced in compliance with such Chapter; if one of the Parties is found to have breached its obligations under Article 23.3 (Labor Rights) or Article 23.5 (Enforcement of Labor Laws) by a panel established under Article 31.6 (Establishment of a Panel), the complainant Party in that case may use this Mechanism with regard to the relevant law or laws at issue in that dispute for a period of two years or until the conclusion of the next joint review under Article 34.7 (</w:t>
      </w:r>
      <w:r>
        <w:t xml:space="preserve">Continuous Duration and Periodic Modernization Review</w:t>
      </w:r>
      <w:r>
        <w:t xml:space="preserve">), whichever is later.</w:t>
      </w:r>
    </w:p>
    <w:p>
      <w:pPr>
        <w:pStyle w:val="Heading2"/>
      </w:pPr>
      <w:bookmarkStart w:id="901109" w:name="_Toc300001108"/>
      <w:r>
        <w:t>Article 31-B.13: Review of Priority Sectors</w:t>
      </w:r>
      <w:bookmarkEnd w:id="901109"/>
    </w:p>
    <w:p>
      <w:pPr>
        <w:pStyle w:val="Normal"/>
      </w:pPr>
      <w:r>
        <w:t>The Parties shall review the list of priority sectors on an annual basis and determine whether to add any sectors to the list.</w:t>
      </w:r>
    </w:p>
    <w:p>
      <w:pPr>
        <w:pStyle w:val="Heading2"/>
      </w:pPr>
      <w:bookmarkStart w:id="901110" w:name="_Toc300001109"/>
      <w:r>
        <w:t>Article 31-B.14: Cooperation to Promote Compliance</w:t>
      </w:r>
      <w:bookmarkEnd w:id="901110"/>
    </w:p>
    <w:p>
      <w:pPr>
        <w:pStyle w:val="Normal"/>
      </w:pPr>
      <w:r>
        <w:t>Each Party shall cooperate with, and support efforts by, Covered Facilities to operate in a way to avoid a determination of a Denial of Rights.</w:t>
      </w:r>
    </w:p>
    <w:p>
      <w:pPr>
        <w:pStyle w:val="Heading2"/>
      </w:pPr>
      <w:bookmarkStart w:id="901111" w:name="_Toc300001110"/>
      <w:r>
        <w:t>Article 31-B.15: Definitions</w:t>
      </w:r>
      <w:bookmarkEnd w:id="901111"/>
    </w:p>
    <w:p>
      <w:pPr>
        <w:pStyle w:val="Normal"/>
      </w:pPr>
      <w:r>
        <w:t>For the purposes of this Annex:</w:t>
      </w:r>
    </w:p>
    <w:p>
      <w:pPr>
        <w:pStyle w:val="Normal"/>
      </w:pPr>
      <w:r>
        <w:t>Covered Facilitymeans a facility in the territory of a Party that:</w:t>
      </w:r>
    </w:p>
    <w:p>
      <w:pPr>
        <w:pStyle w:val="Normal"/>
      </w:pPr>
      <w:r>
        <w:t>(i) produces a good or supplies a service traded between the Parties; or (ii) produces a good or supplies a service that competes in the territory of a Party with a good or a service of the other Party, and is a facility in a Priority Sector;</w:t>
      </w:r>
    </w:p>
    <w:p>
      <w:pPr>
        <w:pStyle w:val="Normal"/>
      </w:pPr>
      <w:r>
        <w:t>Party or Parties means Mexico and Canada singly or collectively;</w:t>
      </w:r>
    </w:p>
    <w:p>
      <w:pPr>
        <w:pStyle w:val="Normal"/>
      </w:pPr>
      <w:r>
        <w:t>Priority Sector means a sector that produces manufactured goods,Note de bas de page10 supplies services, or involves mining.”.</w:t>
      </w:r>
    </w:p>
    <w:p>
      <w:pPr>
        <w:pStyle w:val="Normal"/>
      </w:pPr>
      <w:r>
        <w:t>This Protocol shall enter into force on the date on which the Agreement enters into force.</w:t>
      </w:r>
    </w:p>
    <w:p>
      <w:pPr>
        <w:pStyle w:val="Normal"/>
      </w:pPr>
      <w:r>
        <w:t>The English, French, and Spanish texts of this Protocol are equally authentic.</w:t>
      </w:r>
    </w:p>
    <w:p>
      <w:pPr>
        <w:pStyle w:val="Normal"/>
      </w:pPr>
      <w:r>
        <w:t>IN WITNESS WHEREOF, the undersigned, being duly authorized by their respective Governments, have signed this Protocol.</w:t>
      </w:r>
    </w:p>
    <w:p>
      <w:pPr>
        <w:pStyle w:val="Normal"/>
      </w:pPr>
      <w:r>
        <w:t>DONE in triplicate at</w:t>
      </w:r>
    </w:p>
    <w:p>
      <w:pPr>
        <w:pStyle w:val="Normal"/>
      </w:pPr>
      <w:r>
        <w:t>Mexico City, Mexico, on December 10, 2019.</w:t>
      </w:r>
    </w:p>
    <w:p>
      <w:pPr>
        <w:pStyle w:val="Normal"/>
      </w:pPr>
      <w:r>
        <w:t>_____________________________________</w:t>
      </w:r>
    </w:p>
    <w:p>
      <w:pPr>
        <w:pStyle w:val="Normal"/>
      </w:pPr>
      <w:r>
        <w:t>Robert E. Lighthizer</w:t>
      </w:r>
    </w:p>
    <w:p>
      <w:pPr>
        <w:pStyle w:val="Normal"/>
      </w:pPr>
      <w:r>
        <w:t>United States Trade Representative</w:t>
      </w:r>
    </w:p>
    <w:p>
      <w:pPr>
        <w:pStyle w:val="Normal"/>
      </w:pPr>
      <w:r>
        <w:t>FOR THE GOVERNMENT OF THE UNITED STATES OF AMERICA</w:t>
      </w:r>
    </w:p>
    <w:p>
      <w:pPr>
        <w:pStyle w:val="Normal"/>
      </w:pPr>
      <w:r>
        <w:t>_____________________________________</w:t>
      </w:r>
    </w:p>
    <w:p>
      <w:pPr>
        <w:pStyle w:val="Normal"/>
      </w:pPr>
      <w:r>
        <w:t>Chrystia Freeland</w:t>
      </w:r>
    </w:p>
    <w:p>
      <w:pPr>
        <w:pStyle w:val="Normal"/>
      </w:pPr>
      <w:r>
        <w:t>Deputy Prime Minister and Minister of Intergovernmental Affairs</w:t>
      </w:r>
    </w:p>
    <w:p>
      <w:pPr>
        <w:pStyle w:val="Normal"/>
      </w:pPr>
      <w:r>
        <w:t>FOR THE GOVERNMENT OF CANADA</w:t>
      </w:r>
    </w:p>
    <w:p>
      <w:pPr>
        <w:pStyle w:val="Normal"/>
      </w:pPr>
      <w:r>
        <w:t>_____________________________________</w:t>
      </w:r>
    </w:p>
    <w:p>
      <w:pPr>
        <w:pStyle w:val="Normal"/>
      </w:pPr>
      <w:r>
        <w:t>Jesús Seade Kuri</w:t>
      </w:r>
    </w:p>
    <w:p>
      <w:pPr>
        <w:pStyle w:val="Normal"/>
      </w:pPr>
      <w:r>
        <w:t>Under Secretary for North America and Chief Trade Negotiator for North America</w:t>
      </w:r>
    </w:p>
    <w:p>
      <w:pPr>
        <w:pStyle w:val="Normal"/>
      </w:pPr>
      <w:r>
        <w:t>FOR THE GOVERNMENT OF THE UNITED MEXICAN STATES</w:t>
      </w:r>
    </w:p>
    <w:p>
      <w:pPr>
        <w:pStyle w:val="Normal"/>
      </w:pPr>
      <w:r>
        <w:t>Footnotes</w:t>
      </w:r>
    </w:p>
    <w:p>
      <w:pPr>
        <w:pStyle w:val="Normal"/>
      </w:pPr>
      <w:r>
        <w:t>Footnote 1 For the purposes of this paragraph, (1) “covered agreements” shall encompass the multilateral environmental agreements provided herein and those existing or future protocols, amendments, annexes, and adjustments under the relevant agreement to which the Party is party; and (2) a Party’s “obligations” shall be interpreted to reflect, inter alia, existing and future reservations, exemptions, and exceptions applicable to it under the relevant agreement.</w:t>
      </w:r>
    </w:p>
    <w:p>
      <w:pPr>
        <w:pStyle w:val="Normal"/>
      </w:pPr>
      <w:r>
        <w:t>50 Effective rewards may include providing a period of marketing exclusivity to the first applicant that successfully asserts the invalidity or non-infringement of the patent in accordance with the Party’s marketing approval process.</w:t>
      </w:r>
    </w:p>
    <w:p>
      <w:pPr>
        <w:pStyle w:val="Normal"/>
      </w:pPr>
      <w:r>
        <w:t>Footnote 3 For purposes of this paragraph: (1) “covered agreements” shall encompass the multilateral environmental agreements provided herein and those existing or future protocols, amendments, annexes, and adjustments under the relevant agreement to which the Party is party; and (2) a Party’s “obligations” shall be interpreted to reflect, inter alia, existing and future reservations, exemptions, and exceptions applicable to it under the relevant agreement.</w:t>
      </w:r>
    </w:p>
    <w:p>
      <w:pPr>
        <w:pStyle w:val="Normal"/>
      </w:pPr>
      <w:r>
        <w:t>Footnote 4 With respect to the United States, a claim can be brought only with respect to an alleged Denial of Rights owed to workers at a covered facility under an enforced order of the National Labor Relations Board. With respect to Mexico, a claim can be brought only with respect to an alleged Denial of Rights under legislation that complies with Annex 23-A (Worker Representation in Collective Bargaining in Mexico).</w:t>
      </w:r>
    </w:p>
    <w:p>
      <w:pPr>
        <w:pStyle w:val="Normal"/>
      </w:pPr>
      <w:r>
        <w:t>Footnote 5 The United States intends to establish such a domestic process under which the United States government will strive to complete initial reviews of complaints received by the government about a Covered Facility in the other Party in 30 days.</w:t>
      </w:r>
    </w:p>
    <w:p>
      <w:pPr>
        <w:pStyle w:val="Normal"/>
      </w:pPr>
      <w:r>
        <w:t>Footnote 6 For greater certainty, manufactured goods include, but are not limited to, aerospace products and components, autos and auto parts, cosmetic products, industrial baked goods, steel and aluminum, glass, pottery, plastic, forgings, and cement.</w:t>
      </w:r>
    </w:p>
    <w:p>
      <w:pPr>
        <w:pStyle w:val="Normal"/>
      </w:pPr>
      <w:r>
        <w:t>Footnote 7 With respect to Canada, a claim can be brought only with respect to an alleged Denial of Rights owed to workers at a covered facility under an enforced order of the Canada Industrial Relations Board. With respect to Mexico, a claim can be brought only with respect to an alleged Denial of Rights under legislation that complies with Annex 23-A (Worker Representation in Collective Bargaining in Mexico).</w:t>
      </w:r>
    </w:p>
    <w:p>
      <w:pPr>
        <w:pStyle w:val="Normal"/>
      </w:pPr>
      <w:r>
        <w:t>Footnote 8 Canada intends to establish such a domestic process under which the Canadian government will strive to complete initial reviews of complaints received by the government about a Covered Facility in the other Party in 30 days.</w:t>
      </w:r>
    </w:p>
    <w:p>
      <w:pPr>
        <w:pStyle w:val="Normal"/>
      </w:pPr>
      <w:r>
        <w:t>Footnote 9 For Canada, this paragraph will be applied with the necessary changes to conform with Canadian law.</w:t>
      </w:r>
    </w:p>
    <w:p>
      <w:pPr>
        <w:pStyle w:val="Normal"/>
      </w:pPr>
      <w:r>
        <w:t>Footnote 10 For greater certainty, manufactured goods include, but are not limited to, aerospace products and components, autos and auto parts, cosmetic products, industrial baked goods, steel and aluminum, glass, pottery, plastic, forgings, and cement.</w:t>
      </w:r>
    </w:p>
    <w:p>
      <w:pPr>
        <w:pStyle w:val="Heading2"/>
      </w:pPr>
      <w:bookmarkStart w:id="901112" w:name="_Toc300001111"/>
      <w:r>
        <w:t>PART B: CANADA–UNITED STATES ENERGY REGULATORY MEASURES AND REGULATORY TRANSPARENCY</w:t>
      </w:r>
      <w:bookmarkEnd w:id="901112"/>
    </w:p>
    <w:p>
      <w:pPr>
        <w:pStyle w:val="Normal"/>
      </w:pPr>
      <w:r>
        <w:t>ANNEX</w:t>
      </w:r>
    </w:p>
    <w:p>
      <w:pPr>
        <w:pStyle w:val="Normal"/>
      </w:pPr>
      <w:r>
        <w:t>ENERGY REGULATORY MEASURES AND REGULATORY TRANSPARENCY</w:t>
      </w:r>
    </w:p>
    <w:p>
      <w:pPr>
        <w:pStyle w:val="InstrumentArticle"/>
      </w:pPr>
      <w:bookmarkStart w:id="901113" w:name="_Toc300001112"/>
      <w:r>
        <w:t>Article 1: Definitions</w:t>
      </w:r>
      <w:bookmarkEnd w:id="901113"/>
    </w:p>
    <w:p>
      <w:pPr>
        <w:pStyle w:val="Normal"/>
      </w:pPr>
      <w:r>
        <w:t>For the purposes of this Annex: authorization means a permission, license or similar administrative or contractual instrument by which a competent regulatory authority of a Party entitles a person to exercise a certain economic activity in its territory; electric transmission facility means a transmission element that is operated at 100kV or higher, or real power and reactive power resources connected at 100kV or higher, that are subject to an energy regulatory authority of a Party’s central level of government with respect to tolls, rates, or charges for services provided over those elements. These transmission elements do not include facilities used in the local distribution of electric energy; energy regulatory measure means a measure adopted or maintained by a Party’s central level of government that directly affects the exploration for, or production, storage,1 transportation, transmission or distribution, purchase or sale, import or export of oil,2 natural gas, hydrocarbon gas liquids, coal, electricity, refined petroleum products, biofuels, and uranium, but does not include measures related to energy efficiency; monetary payment means a payment, in cash or its equivalent in kind, required by law or regulation to be made by a person to a Party’s central level of government in connection with an application for or authorization to participate in energy-related activities in its territory; Party refers to the United States or Canada;</w:t>
      </w:r>
    </w:p>
    <w:p>
      <w:pPr>
        <w:pStyle w:val="Normal"/>
      </w:pPr>
      <w:r>
        <w:t>pipeline network means a line transporting oil, natural gas, refined petroleum products or hydrocarbon gas liquids in a Party’s territory, or across sub-national or international boundaries, and includes associated facilities such as pumps and other compressor stations and storage tanks regulated by an energy regulatory authority of the Party; renewable energy means energy derived from natural processes that are replenished at a higher rate than they are consumed. They are virtually inexhaustible. Renewable energy resources 1 For greater certainty, storage does not include reservoir water levels for hydro-electric dams. 2 For greater certainty, oil includes crude oil, bitumen, condensates, and other oil-derived fuels.</w:t>
      </w:r>
    </w:p>
    <w:p>
      <w:pPr>
        <w:pStyle w:val="Normal"/>
      </w:pPr>
      <w:r>
        <w:t>include biomass, waste carbon streams, hydro, geothermal, solar, wind, ocean thermal, wave action, and tidal action. Renewable energy also includes renewable fuels and renewable fuel blending components in petroleum-based fuels, such as renewable diesel fuel, fuel ethanol, and advanced and cellulosic biofuels, produced from renewable biomass; and unduly discriminatory or unduly preferential means differential treatment of like products, or differential treatment of service suppliers, investors, or investments in like circumstances, that constitute arbitrary or unjustifiable discrimination within the meaning of Article XX of the GATT 1994 and its interpretive notes or Article XIV of GATS, as applicable.</w:t>
      </w:r>
    </w:p>
    <w:p>
      <w:pPr>
        <w:pStyle w:val="InstrumentArticle"/>
      </w:pPr>
      <w:bookmarkStart w:id="901114" w:name="_Toc300001113"/>
      <w:r>
        <w:t>Article 2: Scope</w:t>
      </w:r>
      <w:bookmarkEnd w:id="901114"/>
    </w:p>
    <w:p>
      <w:pPr>
        <w:pStyle w:val="Normal"/>
      </w:pPr>
      <w:r>
        <w:t>This Annex applies to energy regulatory measures proposed, maintained, or adopted by a Party’s central level of government.</w:t>
      </w:r>
    </w:p>
    <w:p>
      <w:pPr>
        <w:pStyle w:val="InstrumentArticle"/>
      </w:pPr>
      <w:bookmarkStart w:id="901115" w:name="_Toc300001114"/>
      <w:r>
        <w:t>Article 3: Cooperation</w:t>
      </w:r>
      <w:bookmarkEnd w:id="901115"/>
    </w:p>
    <w:p>
      <w:pPr>
        <w:pStyle w:val="Normal"/>
      </w:pPr>
      <w:r>
        <w:t>The Parties recognize the importance of enhancing the integration of North American energy markets based on market principles, including open trade and investment among the Parties, to support North American energy competitiveness, security, and independence. The Parties shall endeavor to promote North American energy cooperation, including with respect to energy security and efficiency, standards, joint analysis, and the development of common approaches.</w:t>
      </w:r>
    </w:p>
    <w:p>
      <w:pPr>
        <w:pStyle w:val="InstrumentArticle"/>
      </w:pPr>
      <w:bookmarkStart w:id="901116" w:name="_Toc300001115"/>
      <w:r>
        <w:t>Article 4: Energy Regulatory Measures and Regulatory Transparency</w:t>
      </w:r>
      <w:bookmarkEnd w:id="901116"/>
    </w:p>
    <w:p>
      <w:pPr>
        <w:pStyle w:val="Normal"/>
      </w:pPr>
      <w:r>
        <w:t>1. Each Party shall maintain or establish regulatory authorities that are separate from, and not accountable to, persons subject to energy regulatory measures. 2. Each Party shall endeavor to ensure that in the application of a energy regulatory measure, a energy regulatory authority within its territory avoids disruption of contractual relationships to the maximum extent practicable, supports North American energy market integration, and provides for orderly and equitable implementation appropriate to those measures.3 3 This paragraph does not apply to a measure related exclusively to the protection of human health or the environment.</w:t>
      </w:r>
    </w:p>
    <w:p>
      <w:pPr>
        <w:pStyle w:val="Normal"/>
      </w:pPr>
      <w:r>
        <w:t>3. A Party may require an authorization to participate in energy-related activities in its territory. 4. If a Party requires an authorization referred to in paragraph 3, it shall ensure that information prescribed in its law relevant to the authorization process is published, including: (a) the process for applying; (b) any monetary payment associated with the application; (c) the regulatory authority to which an application or other relevant documentation must be submitted; (d) criteria an applicant must meet to obtain an authorization; (e) criteria to be considered in determining if an authorization should be granted; (f) applicable timelines; and (g) a contact point from which applicants can obtain further information on their application for an authorization. 5. Each Party shall endeavor to administer its process for obtaining an authorization referred to in paragraph 3 in accordance with the information published pursuant to paragraph 4. 6. Each Party shall endeavor to ensure that energy-related activities that do not result in a facility exceeding its previously authorized capacity and that are limited to performing maintenance work on, or ensuring the safety of, existing cross-border infrastructure may be undertaken under the initial authorization and shall not require a new authorization. 7. A Party may require a person that has been granted an authorization referred to in paragraph 3 to make a reasonable monetary payment. Each Party shall ensure that the monetary</w:t>
      </w:r>
    </w:p>
    <w:p>
      <w:pPr>
        <w:pStyle w:val="Normal"/>
      </w:pPr>
      <w:r>
        <w:t>payment and any changes to it are determined in a transparent manner with reasonable advance notice so as to provide legal certainty for the person which has been granted that authorization, in accordance with the applicable law of the authorizing Party. If recovery of administrative costs is provided for in the Party’s law, these costs do not have to be determined in advance.</w:t>
      </w:r>
    </w:p>
    <w:p>
      <w:pPr>
        <w:pStyle w:val="Normal"/>
      </w:pPr>
      <w:r>
        <w:t>8. Each Party shall provide that the applicant for an authorization referred to in paragraph 3 has a right of appeal or judicial review of the decision concerning the authorization by an authority independent from the authority that issued the decision, in accordance with its law. 4</w:t>
      </w:r>
    </w:p>
    <w:p>
      <w:pPr>
        <w:pStyle w:val="InstrumentArticle"/>
      </w:pPr>
      <w:bookmarkStart w:id="901117" w:name="_Toc300001116"/>
      <w:r>
        <w:t>Article 5: Access to Electric Transmission Facilities and Pipeline Networks</w:t>
      </w:r>
      <w:bookmarkEnd w:id="901117"/>
    </w:p>
    <w:p>
      <w:pPr>
        <w:pStyle w:val="Normal"/>
      </w:pPr>
      <w:r>
        <w:t>1. Each Party shall ensure that a measure governing access to or use of electric transmission facilities and pipeline networks: (a) accords access to those facilities and pipeline networks for the purposes of importation from another Party, that is neither unduly discriminatory nor unduly preferential; and (b) to the extent that tolls, rates, or charges are set, assessed, approved, or subject to oversight by a Party, establish that any tolls, rates, or charges payable for that access are just, reasonable, and neither unduly discriminatory nor unduly preferential. 2. The United States shall ensure that the Intertie Access Policy of the Bonneville Power Administration affords British Columbia Hydro treatment no less favorable than the most favorable treatment afforded to utilities located outside the Pacific Northwest.</w:t>
      </w:r>
    </w:p>
    <w:p>
      <w:pPr>
        <w:pStyle w:val="InstrumentArticle"/>
      </w:pPr>
      <w:bookmarkStart w:id="901118" w:name="_Toc300001117"/>
      <w:r>
        <w:t>Article 6: Relation to other Chapters</w:t>
      </w:r>
      <w:bookmarkEnd w:id="901118"/>
    </w:p>
    <w:p>
      <w:pPr>
        <w:pStyle w:val="Normal"/>
      </w:pPr>
      <w:r>
        <w:t>For greater certainty, Article 4 (Energy Regulatory Measures and Regulatory Transparency) and Article 5 (Access to Electric Transmission Facilities and Pipeline Networks) are: (a) subject to the relevant provisions, exceptions and non-conforming measures of Chapter 14 (Investment), Chapter 15 (Cross-Border Trade in Services) and Chapter 2 (National Treatment and Market Access for Goods), and Article 32.1 (General Exceptions) of the Agreement; and (b) to be read in conjunction with any other relevant provisions in the Agreement. 4 This paragraph does not apply to authorizations for the construction, connection, operation, or maintenance of cross-border infrastructure, including electric transmission facilities and pipeline networks, at international boundaries.</w:t>
      </w:r>
    </w:p>
    <w:p>
      <w:pPr>
        <w:pStyle w:val="Heading2"/>
      </w:pPr>
      <w:bookmarkStart w:id="901119" w:name="_Toc300001118"/>
      <w:r>
        <w:t>PART C: CANADA–UNITED STATES NATURAL WATER RESOURCES UNDERSTANDING</w:t>
      </w:r>
      <w:bookmarkEnd w:id="901119"/>
    </w:p>
    <w:p>
      <w:pPr>
        <w:pStyle w:val="Normal"/>
      </w:pPr>
      <w:r>
        <w:t>The Agreement Between the United States of America, the United Mexican States, and Canada (the Agreement) creates no rights to the natural water resources of a Party to the Agreement. Unless water, in any form, has entered into commerce and become a good or product, it is not covered by the provisions of the Agreement. Nothing in the Agreement would oblige a Party to exploit its water for commercial use, including its withdrawal, extraction, or diversion for export in bulk. International rights and obligations respecting natural water resources are addressed in separate treaties and agreements. An example is the Treaty between the United States and Great Britain Relating to the Boundary Waters and Questions Arising between the United States and Canada, done at Washington on January 11, 1909.</w:t>
      </w:r>
    </w:p>
    <w:p>
      <w:pPr>
        <w:pStyle w:val="Heading2"/>
      </w:pPr>
      <w:bookmarkStart w:id="901120" w:name="_Toc300001119"/>
      <w:r>
        <w:t>PART D: CANADA–UNITED STATES 2004 RESEARCH AND DEVELOPMENT EXPENDITURES UNDERSTANDING</w:t>
      </w:r>
      <w:bookmarkEnd w:id="901120"/>
    </w:p>
    <w:p>
      <w:pPr>
        <w:pStyle w:val="Normal"/>
      </w:pPr>
      <w:r>
        <w:t>The Guidelines for Research and Development Expenditures, 2004, would not be listed as a non-conforming measure in Canada’s reservation I-C-14. The United States confirms that Canada’s maintenance of the Guidelines for Research and Development Expenditures, 2004, will not serve as an impediment to the United States’ certification of the Agreement Between the United States of America, the United Mexican States, and Canada (the Agreement) under the Bipartisan Congressional Trade Priorities and Accountability Act of 2015. This confirmation is without prejudice to the United States’ or Canada’s position as to whether the Guidelines for Research and Development Expenditures, 2004, are consistent with the Agreement.</w:t>
      </w:r>
    </w:p>
    <w:p>
      <w:pPr>
        <w:pStyle w:val="Heading2"/>
      </w:pPr>
      <w:bookmarkStart w:id="901121" w:name="_Toc300001120"/>
      <w:r>
        <w:t>PART E: AGREEMENT ON ENVIRONMENTAL COOPERATION (COMPANION AGREEMENT; REPRODUCED FOR OPERATIONAL COMPLETENESS)</w:t>
      </w:r>
      <w:bookmarkEnd w:id="901121"/>
    </w:p>
    <w:p>
      <w:pPr>
        <w:pStyle w:val="Normal"/>
      </w:pPr>
      <w:r>
        <w:t>Agreement on Environmental Cooperation among the Governments of Canada, the United States of America, and the United Mexican States The Government of Canada, the Government of the United States of America, and the Government of the United Mexican States (collectively the “Parties”);</w:t>
      </w:r>
    </w:p>
    <w:p>
      <w:pPr>
        <w:pStyle w:val="Normal"/>
      </w:pPr>
      <w:r>
        <w:t>CONVINCED of the importance of the conservation, protection and enhancement of the environment in their territories, together with the sustainable management and use of natural resources, in achieving sustainable development;</w:t>
      </w:r>
    </w:p>
    <w:p>
      <w:pPr>
        <w:pStyle w:val="Normal"/>
      </w:pPr>
      <w:r>
        <w:t>RECOGNIZING the unique environmental, economic, and social links among them, including under the Agreement between Canada, the United States of America, and the United Mexican States (the CUSMA) and its environmental goals and objectives;</w:t>
      </w:r>
    </w:p>
    <w:p>
      <w:pPr>
        <w:pStyle w:val="Normal"/>
      </w:pPr>
      <w:r>
        <w:t>EMPHASIZING the importance of green growth, including its economic, health and environmental benefits, in achieving a competitive and sustainable North American economy;</w:t>
      </w:r>
    </w:p>
    <w:p>
      <w:pPr>
        <w:pStyle w:val="Normal"/>
      </w:pPr>
      <w:r>
        <w:t>RECALLING the importance of public participation that is inclusive and diverse;</w:t>
      </w:r>
    </w:p>
    <w:p>
      <w:pPr>
        <w:pStyle w:val="Normal"/>
      </w:pPr>
      <w:r>
        <w:t>AFFIRMING the long history of environmental cooperation between the Parties under the North American Agreement on Environmental Cooperation, signed at Mexico City, Washington, D.C., and Ottawa, September 8, 9, 12, and 14, 1993, (the NAAEC) and expressing their desire to build on this engagement; and</w:t>
      </w:r>
    </w:p>
    <w:p>
      <w:pPr>
        <w:pStyle w:val="Normal"/>
      </w:pPr>
      <w:r>
        <w:t>CONVINCED of the importance of the Commission for Environmental Cooperation (Commission) and of the benefits of a continued framework to facilitate environmental cooperation;</w:t>
      </w:r>
    </w:p>
    <w:p>
      <w:pPr>
        <w:pStyle w:val="Normal"/>
      </w:pPr>
      <w:r>
        <w:t>Have agreed as follows:</w:t>
      </w:r>
    </w:p>
    <w:p>
      <w:pPr>
        <w:pStyle w:val="InstrumentArticle"/>
      </w:pPr>
      <w:bookmarkStart w:id="901122" w:name="_Toc300001121"/>
      <w:r>
        <w:t>PART ONE: OBJECTIVES</w:t>
      </w:r>
      <w:bookmarkEnd w:id="901122"/>
    </w:p>
    <w:p>
      <w:pPr>
        <w:pStyle w:val="InstrumentArticle"/>
      </w:pPr>
      <w:bookmarkStart w:id="901123" w:name="_Toc300001122"/>
      <w:r>
        <w:t>Article 1: Objectives</w:t>
      </w:r>
      <w:bookmarkEnd w:id="901123"/>
    </w:p>
    <w:p>
      <w:pPr>
        <w:pStyle w:val="Normal"/>
      </w:pPr>
      <w:r>
        <w:t>The objectives of this Agreement are to:</w:t>
      </w:r>
    </w:p>
    <w:p>
      <w:pPr>
        <w:pStyle w:val="Normal"/>
      </w:pPr>
      <w:r>
        <w:t>(a) seek ways to modernize and enhance the effectiveness of environmental cooperation between the Parties, building upon their long history of environmental cooperation; (b) use environmental cooperation as a means to promote mutually supportive trade and environment policies, including by supporting implementation of the environmental goals and objectives of the CUSMA; (c) strengthen cooperation between the Parties to conserve, protect, and enhance the environment and address environmental challenges and priorities; (d) promote cooperation on and public participation in the development of environmental laws, regulations, procedures, policies, and practices; and (e) strengthen cooperation related to compliance with, and enforcement of, environmental laws and regulations.</w:t>
      </w:r>
    </w:p>
    <w:p>
      <w:pPr>
        <w:pStyle w:val="InstrumentArticle"/>
      </w:pPr>
      <w:bookmarkStart w:id="901124" w:name="_Toc300001123"/>
      <w:r>
        <w:t>PART TWO: COMMISSION FOR ENVIRONMENTAL COOPERATION</w:t>
      </w:r>
      <w:bookmarkEnd w:id="901124"/>
    </w:p>
    <w:p>
      <w:pPr>
        <w:pStyle w:val="InstrumentArticle"/>
      </w:pPr>
      <w:bookmarkStart w:id="901125" w:name="_Toc300001124"/>
      <w:r>
        <w:t>Article 2: The Commission for Environmental Cooperation</w:t>
      </w:r>
      <w:bookmarkEnd w:id="901125"/>
    </w:p>
    <w:p>
      <w:pPr>
        <w:pStyle w:val="Normal"/>
      </w:pPr>
      <w:r>
        <w:t>The Parties shall continue to participate in the Commission, originally established under the NAAEC. The Parties hereby agree to continue the operation of the Commission in accordance with this Agreement. The Commission shall comprise a Council, a Secretariat, and a Joint Public Advisory Committee. The Commission will continue to operate under the modalities in place as of entry into force of this Agreement, including its rules, policies, guidelines, procedures, and resolutions, to the extent these modalities are consistent with this Agreement. The Council shall adjust, as required, these modalities to reflect and implement the provisions of this Agreement. If there is an inconsistency between these modalities and the provisions of this Agreement, the provisions of this Agreement shall prevail. Any submission made pursuant to Article 14 of the NAAEC and not concluded as of entry into force of this Agreement shall continue in accordance with the procedures established under Articles 14 and 15 of the NAAEC, unless the Council decides otherwise.</w:t>
      </w:r>
    </w:p>
    <w:p>
      <w:pPr>
        <w:pStyle w:val="InstrumentArticle"/>
      </w:pPr>
      <w:bookmarkStart w:id="901126" w:name="_Toc300001125"/>
      <w:r>
        <w:t>Article 3: Council Structures and Procedures</w:t>
      </w:r>
      <w:bookmarkEnd w:id="901126"/>
    </w:p>
    <w:p>
      <w:pPr>
        <w:pStyle w:val="Normal"/>
      </w:pPr>
      <w:r>
        <w:t>The Council shall comprise cabinet-level or equivalent representatives responsible for environmental affairs of the Parties, or their designees. Each Party shall designate an office or offices to carry out the work of the Council. The Council shall convene: (a) in regular session, held at least once a year, unless the Council decides otherwise; and (b) in a special session at the request of any Party. Regular sessions of the Council shall be chaired successively by each Party, rotating annually, and shall meet in the country of the representative that is chairing the Council, unless the Council decides otherwise. The Council shall hold public meetings in the course of all regular sessions. Other meetings held in the course of regular or special sessions shall be public where the Council so decides. The Council may also conduct its official work through other means, such as video conferences, conference calls, and electronically. The Council may: (a) establish and assign responsibilities to ad hoc or standing committees, working groups or expert groups; (b) seek the advice of non-governmental organizations or persons, including independent experts; and (c) take other action in the exercise of its functions as the Parties may decide. The Council shall take all decisions and recommendations by consensus, except as the Council may otherwise decide or as otherwise provided for in this Agreement.</w:t>
      </w:r>
    </w:p>
    <w:p>
      <w:pPr>
        <w:pStyle w:val="Normal"/>
      </w:pPr>
      <w:r>
        <w:t>All decisions and recommendations of the Council shall be made publicly available, except as the Council may otherwise decide or as otherwise provided for in this Agreement.</w:t>
      </w:r>
    </w:p>
    <w:p>
      <w:pPr>
        <w:pStyle w:val="InstrumentArticle"/>
      </w:pPr>
      <w:bookmarkStart w:id="901127" w:name="_Toc300001126"/>
      <w:r>
        <w:t>Article 4: Council Functions</w:t>
      </w:r>
      <w:bookmarkEnd w:id="901127"/>
    </w:p>
    <w:p>
      <w:pPr>
        <w:pStyle w:val="Normal"/>
      </w:pPr>
      <w:r>
        <w:t>The Council shall be the governing body of the Commission and shall: (a) serve as a forum for the discussion of, and collaboration on, environmental matters within the scope of this Agreement; (b) oversee the implementation of this Agreement and develop recommendations on the further elaboration of this Agreement; (c) oversee the Secretariat and direct and approve its activities; (d) address questions and differences that may arise between the Parties regarding the interpretation or application of this Agreement; (e) approve the annual budget of the Commission; (f) promote, facilitate, and provide guidance on how to enhance cooperation amongst the Parties with respect to environmental matters; (g) establish strategic priorities for cooperative activities; (h) develop and approve a Work Program, as described in Article 10, in accordance with strategic priorities established under sub-paragraph (g); (i) examine and evaluate cooperative activities; (j) consider and develop recommendations regarding transboundary and border environmental issues; (k) consider and develop recommendations on any other environmental topic as the Council may decide; (l) provide instruction to the Secretariat with respect to the preparation and publication of factual records in accordance with Article 24.28 (Factual Records and Related Cooperation) of the Environment Chapter of the CUSMA; (m) consider cooperation relevant to the topics addressed in factual records resulting from submissions on enforcement matters under the Environment Chapter of the CUSMA; and</w:t>
      </w:r>
    </w:p>
    <w:p>
      <w:pPr>
        <w:pStyle w:val="Normal"/>
      </w:pPr>
      <w:r>
        <w:t>(n) promote the visibility of the Commission. The Council shall undertake a review of the implementation of this Agreement with a view to improving its operation and effectiveness within five years of the entry into force of this Agreement, and thereafter as decided by the Council. The Council may instruct the Secretariat to prepare a report on the state of the environment in North America. The Council may also develop recommendations on approaches and common indicators for such a report. In discharging its functions, the Council may periodically exchange information with the Environment Committee established under Article 24.26.2 (Environment Committee and Contact Points) of the Environment Chapter of the CUSMA. The Council may consider the input it receives from the Environment Committee regarding the implementation of that Chapter under Article 24.26.3(b). 5. The Parties recognize the importance of resource efficiency in the implementation of the Agreement and the desirability of using new technologies to facilitate the work of the Commission, including cooperative activities.</w:t>
      </w:r>
    </w:p>
    <w:p>
      <w:pPr>
        <w:pStyle w:val="InstrumentArticle"/>
      </w:pPr>
      <w:bookmarkStart w:id="901128" w:name="_Toc300001127"/>
      <w:r>
        <w:t>Article 5: Secretariat Structure and Procedures</w:t>
      </w:r>
      <w:bookmarkEnd w:id="901128"/>
    </w:p>
    <w:p>
      <w:pPr>
        <w:pStyle w:val="Normal"/>
      </w:pPr>
      <w:r>
        <w:t>The Secretariat shall be headed by an Executive Director, chosen by the Council for a three-year term, which may be renewed by the Council. The Executive Director shall appoint and supervise the staff of the Secretariat, regulate their powers and duties, and fix their remuneration in accordance with rules of employment established by the Council. The rules of employment shall provide that: (a) staff shall be appointed and retained, and their conditions of employment shall be determined, strictly on the basis of efficiency, competence, and integrity; (b) due regard shall be paid to the importance of recruiting a diverse pool of applicants, including with respect to gender balance, and an equitable proportion of the professional staff from among the nationals of each Party; and (c) the Executive Director shall inform the Council of all appointments. The Council may decide, by a two-thirds vote, to reject any appointment that does not meet the rules of employment. Any such decision shall be made and held in confidence. The Secretariat shall provide technical, administrative, and operational support to the Council and to committees and groups established by the Council, and other support as the Council may direct. The Secretariat shall carry out the functions prescribed for it under Articles 24.27 (Submissions on Enforcement Matters) and 24.28 (Factual Records and Related Cooperation) of the Environment Chapter of the CUSMA.</w:t>
      </w:r>
    </w:p>
    <w:p>
      <w:pPr>
        <w:pStyle w:val="Normal"/>
      </w:pPr>
      <w:r>
        <w:t>The Executive Director shall submit for the approval of the Council the annual budget of the Commission, including provision for proposed cooperative activities and for the Secretariat to respond to contingencies. The Secretariat shall coordinate and facilitate environmental cooperation between and among the Parties as directed by the Council.</w:t>
      </w:r>
    </w:p>
    <w:p>
      <w:pPr>
        <w:pStyle w:val="InstrumentArticle"/>
      </w:pPr>
      <w:bookmarkStart w:id="901129" w:name="_Toc300001128"/>
      <w:r>
        <w:t>Article 6: The Joint Public Advisory Committee</w:t>
      </w:r>
      <w:bookmarkEnd w:id="901129"/>
    </w:p>
    <w:p>
      <w:pPr>
        <w:pStyle w:val="Normal"/>
      </w:pPr>
      <w:r>
        <w:t>The Joint Public Advisory Committee shall comprise nine members, unless the Council decides otherwise, with an equal number of nationals appointed by each Party. The Joint Public Advisory Committee shall choose its own chair. Each member shall have a four-year term with the possibility of an additional term decided by the Party appointing the member. Each Party shall seek to promote membership from a diverse pool of candidates, including with respect to gender balance, and considering representatives from all segments of each Party’s society, including non-governmental organizations, academia, the private sector, indigenous peoples, private citizens, and youth. The Joint Public Advisory Committee shall convene in person or by technological means as appropriate at the time of the regular session of the Council and at such other times as the Council, or the Committee’s chair with the consent of a majority of its members, may decide. The Joint Public Advisory Committee may provide advice to the Council on matters within the scope of this Agreement, and may perform such other functions as the Council may direct. The Joint Public Advisory Committee, in coordination with the Secretariat, shall help promote and enhance public participation in the implementation of this Agreement. The Joint Public Advisory Committee shall, in consultation with the Council, develop an annual plan of activities.</w:t>
      </w:r>
    </w:p>
    <w:p>
      <w:pPr>
        <w:pStyle w:val="InstrumentArticle"/>
      </w:pPr>
      <w:bookmarkStart w:id="901130" w:name="_Toc300001129"/>
      <w:r>
        <w:t>Article 7: Official Languages</w:t>
      </w:r>
      <w:bookmarkEnd w:id="901130"/>
    </w:p>
    <w:p>
      <w:pPr>
        <w:pStyle w:val="Normal"/>
      </w:pPr>
      <w:r>
        <w:t>English, French, and Spanish shall be the official languages of the Commission.</w:t>
      </w:r>
    </w:p>
    <w:p>
      <w:pPr>
        <w:pStyle w:val="InstrumentArticle"/>
      </w:pPr>
      <w:bookmarkStart w:id="901131" w:name="_Toc300001130"/>
      <w:r>
        <w:t>Article 8: Annual Report of the Commission</w:t>
      </w:r>
      <w:bookmarkEnd w:id="901131"/>
    </w:p>
    <w:p>
      <w:pPr>
        <w:pStyle w:val="Normal"/>
      </w:pPr>
      <w:r>
        <w:t>The Secretariat shall prepare an annual executive report to the Council on the activities of the Commission in accordance with instructions from the Council. This report shall be made publicly available. The report shall cover: (a) outcomes of cooperative activities during the previous year; (b) expenses of the Commission; (c) outcomes of Joint Public Advisory Committee activities; and (d) any other matter that the Council instructs the Secretariat to include.</w:t>
      </w:r>
    </w:p>
    <w:p>
      <w:pPr>
        <w:pStyle w:val="InstrumentArticle"/>
      </w:pPr>
      <w:bookmarkStart w:id="901132" w:name="_Toc300001131"/>
      <w:r>
        <w:t>PART THREE: COOPERATION</w:t>
      </w:r>
      <w:bookmarkEnd w:id="901132"/>
    </w:p>
    <w:p>
      <w:pPr>
        <w:pStyle w:val="InstrumentArticle"/>
      </w:pPr>
      <w:bookmarkStart w:id="901133" w:name="_Toc300001132"/>
      <w:r>
        <w:t>Article 9: Modalities and Forms of Cooperation</w:t>
      </w:r>
      <w:bookmarkEnd w:id="901133"/>
    </w:p>
    <w:p>
      <w:pPr>
        <w:pStyle w:val="Normal"/>
      </w:pPr>
      <w:r>
        <w:t>Cooperation developed under this Agreement may occur through activities such as:</w:t>
      </w:r>
    </w:p>
    <w:p>
      <w:pPr>
        <w:pStyle w:val="Normal"/>
      </w:pPr>
      <w:r>
        <w:t>(a) the exchange of delegations, professionals, technicians, and specialists from the academic sector, nongovernmental organizations, private sector, and governments, including through study visits to strengthen the development, implementation, and assessment of environmental and natural resource policies, practices, and standards; (b) the organization of conferences, seminars, workshops, meetings, training sessions, and outreach and education programs; (c) the development of programs, projects, and activities, including technological and practical demonstrations, applied research projects, studies, and reports; (d) the facilitation of partnerships, linkages, or other new channels, for the development and transfer of knowledge and technologies among representatives from academia, private sector, indigenous peoples and local communities, intergovernmental and nongovernmental organizations, and national and subnational governments to promote the development and exchange of best practices, and environmental information and data likely to be of interest to the Parties, and capacity building (e) the collection, publication and exchange of information on environmental policies, laws, standards, regulations, indicators, national environmental programs and compliance and enforcement mechanisms; and (f) any other form of environmental cooperation as the Parties may decide.</w:t>
      </w:r>
    </w:p>
    <w:p>
      <w:pPr>
        <w:pStyle w:val="InstrumentArticle"/>
      </w:pPr>
      <w:bookmarkStart w:id="901134" w:name="_Toc300001133"/>
      <w:r>
        <w:t>Article 10: Work Program</w:t>
      </w:r>
      <w:bookmarkEnd w:id="901134"/>
    </w:p>
    <w:p>
      <w:pPr>
        <w:pStyle w:val="Normal"/>
      </w:pPr>
      <w:r>
        <w:t>1. The Council shall develop and approve strategic priorities of the Commission. The Council shall take into account, as appropriate, commitments under the Environment Chapter of the CUSMA, the results of any regional state of the environment reporting, public input; and international, regional, and national environmental efforts.</w:t>
      </w:r>
    </w:p>
    <w:p>
      <w:pPr>
        <w:pStyle w:val="Normal"/>
      </w:pPr>
      <w:r>
        <w:t>2. The Council shall define the Work Program, establishing specific goals, objectives, and areas for cooperation. The Work Program may include short-, medium- and long-term cooperative activities in areas such as:</w:t>
      </w:r>
    </w:p>
    <w:p>
      <w:pPr>
        <w:pStyle w:val="Normal"/>
      </w:pPr>
      <w:r>
        <w:t>Strengthening environmental governance</w:t>
      </w:r>
    </w:p>
    <w:p>
      <w:pPr>
        <w:pStyle w:val="Normal"/>
      </w:pPr>
      <w:r>
        <w:t>(a) enhancing environmental compliance and effective enforcement of environmental laws; (b) addressing issues of mutual interest related to multilateral environmental agreements; (c) promoting public participation in environmental and natural resources observation, decision-making, protection, and enforcement of laws, including through public access to information; (d) strengthening capacity to respond to natural disasters, environmental emergencies, and extreme weather events; (e) promoting pollution prevention techniques and strategies, and, where appropriate, the internalization of environmental costs and accountability for environmental harms; (f) promoting the development and implementation of laws and policies that provide for high levels of environmental protection, including consideration of regional approaches to state of the environment indicators; (g) strengthening cooperation on environmental impact assessments of proposed transboundary projects; Reducing pollution and supporting strong, low emissions, resilient economies</w:t>
      </w:r>
    </w:p>
    <w:p>
      <w:pPr>
        <w:pStyle w:val="Normal"/>
      </w:pPr>
      <w:r>
        <w:t>(h) reducing pollution in the marine environment, including ship-related pollution and marine litter; (i) protecting the ozone layer, including by controlling the production and consumption of, and trade in, ozone depleting substances; (j) addressing transboundary environmental issues and promoting clean air, clean water, and clean soil; (k) the restoration and conservation of soils; (l) the sound management of chemicals and waste, including transboundary movements of hazardous waste, and the lifecycle management of, and trade in, reusable, recoverable, and recyclable materials; (m) promoting energy efficiency; development of cost-effective, low emissions technologies; all clean, efficient energy sources that enhance energy security; market mechanisms; sustainable transport and sustainable urban infrastructure development; addressing deforestation and forest degradation; emissions monitoring; low emissions, resilient development; and sharing of information and experiences in addressing these issues; Conserving and protecting biodiversity and habitats</w:t>
      </w:r>
    </w:p>
    <w:p>
      <w:pPr>
        <w:pStyle w:val="Normal"/>
      </w:pPr>
      <w:r>
        <w:t>(n) the conservation, protection and sustainable management of wild flora and fauna and their habitats, and specially protected marine, coastal, and terrestrial natural areas, as well as buffer zones and corridors; (o) exchanging information and experiences related to the mainstreaming of biodiversity across relevant sectors of the economy; (p) the conservation and protection of shared species, including migratory birds and their habitat; (q) combating wildlife trafficking, including cooperation to prevent the illegal take of, and trade in, wild fauna and flora through the exchange of experiences in the implementation of Article 24.22.5 and 24.22.6 (Conservation and Trade) of the Environment Chapter of the CUSMA; (r) preventing, controlling, and eradicating invasive alien species, including aquatic invasive species, and addressing their adverse impacts; Promoting the sustainable management and use of natural resources</w:t>
      </w:r>
    </w:p>
    <w:p>
      <w:pPr>
        <w:pStyle w:val="Normal"/>
      </w:pPr>
      <w:r>
        <w:t>(s) the conservation and sustainable management of forests, including addressing deforestation and forest degradation; (t) sustainable fisheries management and the long-term conservation of marine species, including addressing vessel noise and its impact on marine mammals; (u) addressing land degradation and desertification; (v) combating illegal logging and illegal, unreported, and unregulated fishing; (w) the environmental, economic, and social dimensions of sustainable aquaculture and agriculture; Supporting green growth and sustainable development</w:t>
      </w:r>
    </w:p>
    <w:p>
      <w:pPr>
        <w:pStyle w:val="Normal"/>
      </w:pPr>
      <w:r>
        <w:t>(x) developing and promoting incentives to improve environmental protection, including market mechanisms and other flexible and voluntary mechanisms; (y) promoting cleaner production and facilitating actions to remove barriers to trade or investment in environmental goods and services to address global environmental challenges; (z) promoting resource and energy efficiency, including sustainable materials management, alternative and renewable energy sources, clean innovation and entrepreneurship; and (aa) promoting sustainable production and consumption, including reducing food loss and food waste. 3. In developing and submitting cooperative activities for Council approval, the Secretariat should develop and include appropriate performance measures and indicators to assist in examining and evaluating the progress of specific cooperative activities.</w:t>
      </w:r>
    </w:p>
    <w:p>
      <w:pPr>
        <w:pStyle w:val="Normal"/>
      </w:pPr>
      <w:r>
        <w:t>4. The Council may instruct the Secretariat to develop recommendations on how best to consider gender and diversity effects and opportunities in the implementation of the Work Program.</w:t>
      </w:r>
    </w:p>
    <w:p>
      <w:pPr>
        <w:pStyle w:val="Normal"/>
      </w:pPr>
      <w:r>
        <w:t>5. In order to avoid duplication and to complement ongoing and future environmental cooperation undertaken outside the context of this Agreement, the Council shall endeavor to develop the Work Program in a manner compatible with existing mechanisms among the Parties and the environmental work of other organizations and initiatives in which the Parties have an interest.</w:t>
      </w:r>
    </w:p>
    <w:p>
      <w:pPr>
        <w:pStyle w:val="InstrumentArticle"/>
      </w:pPr>
      <w:bookmarkStart w:id="901135" w:name="_Toc300001134"/>
      <w:r>
        <w:t>Article 11: Opportunities for Public Participation</w:t>
      </w:r>
      <w:bookmarkEnd w:id="901135"/>
    </w:p>
    <w:p>
      <w:pPr>
        <w:pStyle w:val="Normal"/>
      </w:pPr>
      <w:r>
        <w:t>In defining the Work Program, the Council shall, as appropriate, provide for and promote outreach and public participation in the development, implementation, and monitoring of the activities and projects contemplated in the Work Program, including consideration of indigenous perspectives. Each Party shall solicit and take into account, as appropriate, the views of its public with respect to the Work Program and should review and respond to such communications, in accordance with its laws, regulations, and procedures. Each Party shall make these communications available to the other Parties and to the public in accordance with its laws, regulations, and procedures. Each Party shall make use of existing, or establish new, consultative mechanisms, for example national advisory committees, to seek views on matters related to the implementation of this Agreement. These mechanisms may provide for the participation of persons with relevant experience, as appropriate, including experience in business, natural resource conservation and management, or other environmental matters. The Council shall encourage and facilitate, as appropriate, direct contacts and cooperation among government agencies, multilateral organizations, foundations, universities, research centers, nongovernmental organizations, private sector firms and other entities, including the conclusion of arrangements among them for the conduct of cooperative activities under this Agreement.</w:t>
      </w:r>
    </w:p>
    <w:p>
      <w:pPr>
        <w:pStyle w:val="InstrumentArticle"/>
      </w:pPr>
      <w:bookmarkStart w:id="901136" w:name="_Toc300001135"/>
      <w:r>
        <w:t>PART FOUR: GENERAL PROVISIONS</w:t>
      </w:r>
      <w:bookmarkEnd w:id="901136"/>
    </w:p>
    <w:p>
      <w:pPr>
        <w:pStyle w:val="InstrumentArticle"/>
      </w:pPr>
      <w:bookmarkStart w:id="901137" w:name="_Toc300001136"/>
      <w:r>
        <w:t>Article 12: Resources</w:t>
      </w:r>
      <w:bookmarkEnd w:id="901137"/>
    </w:p>
    <w:p>
      <w:pPr>
        <w:pStyle w:val="Normal"/>
      </w:pPr>
      <w:r>
        <w:t>Each Party shall contribute an equal share of the annual budget of the Commission subject to the availability of appropriated funds in accordance with its legal procedures. Unless the Council otherwise decides, the annual budget may be supplemented through funding or in-kind contributions from the Parties, and the Commission may receive funding or in-kind contributions from external sources in excess of the annual budget.</w:t>
      </w:r>
    </w:p>
    <w:p>
      <w:pPr>
        <w:pStyle w:val="InstrumentArticle"/>
      </w:pPr>
      <w:bookmarkStart w:id="901138" w:name="_Toc300001137"/>
      <w:r>
        <w:t>Article 13: Equipment and Personnel</w:t>
      </w:r>
      <w:bookmarkEnd w:id="901138"/>
    </w:p>
    <w:p>
      <w:pPr>
        <w:pStyle w:val="Normal"/>
      </w:pPr>
      <w:r>
        <w:t>Each Party shall endeavor to facilitate the entry of equipment, materials, and personnel related to this Agreement into its territory, subject to its laws and regulations.</w:t>
      </w:r>
    </w:p>
    <w:p>
      <w:pPr>
        <w:pStyle w:val="InstrumentArticle"/>
      </w:pPr>
      <w:bookmarkStart w:id="901139" w:name="_Toc300001138"/>
      <w:r>
        <w:t>Article 14: Provision of Information for Factual Records</w:t>
      </w:r>
      <w:bookmarkEnd w:id="901139"/>
    </w:p>
    <w:p>
      <w:pPr>
        <w:pStyle w:val="Normal"/>
      </w:pPr>
      <w:r>
        <w:t>Each Party shall cooperate with the Secretariat to provide information relevant for the preparation of a factual record. Requests by the Secretariat for this information shall be in accordance with guidelines established by the Council.</w:t>
      </w:r>
    </w:p>
    <w:p>
      <w:pPr>
        <w:pStyle w:val="InstrumentArticle"/>
      </w:pPr>
      <w:bookmarkStart w:id="901140" w:name="_Toc300001139"/>
      <w:r>
        <w:t>Article 15: Technical and Confidential Information and Intellectual Property</w:t>
      </w:r>
      <w:bookmarkEnd w:id="901140"/>
    </w:p>
    <w:p>
      <w:pPr>
        <w:pStyle w:val="Normal"/>
      </w:pPr>
      <w:r>
        <w:t>Except as provided below, all technical information obtained through the implementation of this Agreement shall be made available to the Parties. If intellectual property is created under this Agreement, the Parties shall consult with each other to determine the allocation of the rights to that intellectual property. If a Party deems information to be confidential or proprietary under its laws, or identifies, in a timely fashion, information provided or created under this Agreement as business-confidential, each Party shall protect such information in accordance with its applicable laws, regulations and administrative practices.</w:t>
      </w:r>
    </w:p>
    <w:p>
      <w:pPr>
        <w:pStyle w:val="InstrumentArticle"/>
      </w:pPr>
      <w:bookmarkStart w:id="901141" w:name="_Toc300001140"/>
      <w:r>
        <w:t>Article 16. Protection of Information</w:t>
      </w:r>
      <w:bookmarkEnd w:id="901141"/>
    </w:p>
    <w:p>
      <w:pPr>
        <w:pStyle w:val="Normal"/>
      </w:pPr>
      <w:r>
        <w:t>1. The Secretariat shall protect from disclosure:</w:t>
      </w:r>
    </w:p>
    <w:p>
      <w:pPr>
        <w:pStyle w:val="Normal"/>
      </w:pPr>
      <w:r>
        <w:t>(a) any information it receives that could identify a person making a submission (the submitter) under Article 24.27 (Submissions on Enforcement Matters) of the Environment Chapter of the CUSMA if that person so requests or the Secretariat otherwise considers it appropriate; (b) any information that the submitter has identified as confidential; (c) any information it receives from any person where the information is designated by that person as confidential or proprietary; (d) any information it receives from a Party, including in connection with the submission for enforcement matters process under the Environment Chapter of the CUSMA, if the Party has determined that disclosure of the information would impede its law enforcement, compromise personal privacy, or reveal confidential business or proprietary information or the confidentiality of governmental decision-making; and (e) any other information that should be safeguarded in accordance with applicable Council procedures. 2. Nothing in this Agreement shall be construed to require a Party to disclose or allow access to information:</w:t>
      </w:r>
    </w:p>
    <w:p>
      <w:pPr>
        <w:pStyle w:val="Normal"/>
      </w:pPr>
      <w:r>
        <w:t>(a) the disclosure of which would impede its environmental law enforcement; or (b) that is protected from disclosure under its applicable laws. 3. If a Party provides confidential or proprietary information to another Party, to the Council, to the Secretariat, or to the Joint Public Advisory Committee, the recipient shall treat the information with the same level of protection that the Party providing the information accords to that information.</w:t>
      </w:r>
    </w:p>
    <w:p>
      <w:pPr>
        <w:pStyle w:val="InstrumentArticle"/>
      </w:pPr>
      <w:bookmarkStart w:id="901142" w:name="_Toc300001141"/>
      <w:r>
        <w:t>Article 17: Entry into Force, Withdrawal, Amendments, Accession</w:t>
      </w:r>
      <w:bookmarkEnd w:id="901142"/>
    </w:p>
    <w:p>
      <w:pPr>
        <w:pStyle w:val="Normal"/>
      </w:pPr>
      <w:r>
        <w:t>This Agreement shall enter into force on the date of entry into force of the CUSMA. Upon entry into force, this Agreement shall supersede the NAAEC. Any Party may withdraw from the Agreement providing six months' written notice to the other Parties. If a Party withdraws, the Agreement shall remain in force for the remaining Parties. Unless decided otherwise by the Parties, such withdrawal shall not affect the continuation of ongoing activities not completed at the time of withdrawal. This Agreement may be amended by written mutual consent of the Parties. An amendment shall enter into force on the date of the last note in an exchange of notes in which the Parties notify each other of the completion of their respective internal procedures necessary for the entry into force of the amendments. The Parties may, by consensus, decide to invite, in writing, any State to accede to this Agreement. IN WITNESS WHEREOF the undersigned, being duly authorized by their respective Governments, have signed this Agreement.</w:t>
      </w:r>
    </w:p>
    <w:p>
      <w:pPr>
        <w:pStyle w:val="Normal"/>
      </w:pPr>
      <w:r>
        <w:t>DONE in three originals in the English, French and Spanish languages, each version being equally authentic.</w:t>
      </w:r>
    </w:p>
    <w:p>
      <w:pPr>
        <w:pStyle w:val="Normal"/>
      </w:pPr>
      <w:r>
        <w:t>For the Government of the United States of America:</w:t>
      </w:r>
    </w:p>
    <w:p>
      <w:pPr>
        <w:pStyle w:val="Normal"/>
      </w:pPr>
      <w:r>
        <w:t>Andrew Wheeler</w:t>
      </w:r>
    </w:p>
    <w:p>
      <w:pPr>
        <w:pStyle w:val="Normal"/>
      </w:pPr>
      <w:r>
        <w:t>Date: 12-11-18 Place: Washington, D.C.</w:t>
      </w:r>
    </w:p>
    <w:p>
      <w:pPr>
        <w:pStyle w:val="Normal"/>
      </w:pPr>
      <w:r>
        <w:t>For the Government of Canada:</w:t>
      </w:r>
    </w:p>
    <w:p>
      <w:pPr>
        <w:pStyle w:val="Normal"/>
      </w:pPr>
      <w:r>
        <w:t>Catherine McKenna</w:t>
      </w:r>
    </w:p>
    <w:p>
      <w:pPr>
        <w:pStyle w:val="Normal"/>
      </w:pPr>
      <w:r>
        <w:t>Date: December 18, 2018 Place: Ottawa</w:t>
      </w:r>
    </w:p>
    <w:p>
      <w:pPr>
        <w:pStyle w:val="Normal"/>
      </w:pPr>
      <w:r>
        <w:t>For the Government of the United Mexican States:</w:t>
      </w:r>
    </w:p>
    <w:p>
      <w:pPr>
        <w:pStyle w:val="Normal"/>
      </w:pPr>
      <w:r>
        <w:t>Pacchiano Alamán</w:t>
      </w:r>
    </w:p>
    <w:p>
      <w:pPr>
        <w:pStyle w:val="Normal"/>
      </w:pPr>
      <w:r>
        <w:t>Date: 30-Nov-18 Place: Cuidad de México</w:t>
      </w:r>
    </w:p>
    <w:p>
      <w:pPr>
        <w:pStyle w:val="Heading2"/>
      </w:pPr>
      <w:bookmarkStart w:id="901143" w:name="_Toc300001142"/>
      <w:r>
        <w:t>PART F: UNIFORM REGULATIONS AND IMPLEMENTATION CONTINUITY</w:t>
      </w:r>
      <w:bookmarkEnd w:id="901143"/>
    </w:p>
    <w:p>
      <w:pPr>
        <w:pStyle w:val="Normal"/>
      </w:pPr>
      <w:r>
        <w:t>1. The Uniform Regulations adopted pursuant to Article 5.16, including the Uniform Regulations regarding the interpretation, application, and administration of Chapters 5, 6, and 7 and the Rules of Origin Uniform Regulations, remain in force and continue to govern implementation except to the extent amended, replaced, or rendered inconsistent by this modernized Agreement or by a subsequent instrument lawfully adopted under it.</w:t>
      </w:r>
    </w:p>
    <w:p>
      <w:pPr>
        <w:pStyle w:val="Normal"/>
      </w:pPr>
      <w:r>
        <w:t>2. The Commission shall publish a consolidated compatibility schedule within 180 days after entry into force identifying provisions of the existing Uniform Regulations that remain unchanged, provisions requiring conforming amendment, and transitional procedures necessary to prevent interruption of preferential treatment.</w:t>
      </w:r>
    </w:p>
    <w:p>
      <w:pPr>
        <w:pStyle w:val="Normal"/>
      </w:pPr>
      <w:r>
        <w:t>3. No omission of the full text of a Uniform Regulation from this consolidated treaty document terminates, narrows, or suspends that regulation. Where this Agreement creates a new procedure for which a Uniform Regulation has not yet been adopted, the treaty text controls and the Parties shall use the closest compatible existing procedure on an interim basis without diminishing a substantive right.</w:t>
      </w:r>
    </w:p>
    <w:p>
      <w:pPr>
        <w:pStyle w:val="Normal"/>
      </w:pPr>
      <w:r>
        <w:t>4. The Secretariat shall maintain authoritative version identifiers for each operative Uniform Regulation and Commission decision so customs authorities, producers, importers, exporters, and panels can identify the controlling implementation text.</w:t>
      </w:r>
    </w:p>
    <w:p>
      <w:pPr>
        <w:pStyle w:val="Heading2"/>
      </w:pPr>
      <w:bookmarkStart w:id="901144" w:name="_Toc300001143"/>
      <w:r>
        <w:t>PART G: STATUS OF SUPERSEDED, SPENT, AND HISTORICAL ORIGINAL INSTRUMENTS</w:t>
      </w:r>
      <w:bookmarkEnd w:id="901144"/>
    </w:p>
    <w:p>
      <w:pPr>
        <w:pStyle w:val="Normal"/>
      </w:pPr>
      <w:r>
        <w:t>1. Section 232 process and automotive side letters. The 2018 Canada–United States Section 232 side letters remain superseded by the modernized Chapters 32 and 35 and are not revived by this Annex.</w:t>
      </w:r>
    </w:p>
    <w:p>
      <w:pPr>
        <w:pStyle w:val="Normal"/>
      </w:pPr>
      <w:r>
        <w:t>2. British Columbia wine letter. The November 30, 2018 Canada–United States wine understanding is preserved as historical evidence of the original bargain and of completed or time-specific commitments, but no expired deadline in that instrument is revived. Ongoing treatment of alcoholic beverages is governed by the operative provisions of this Agreement.</w:t>
      </w:r>
    </w:p>
    <w:p>
      <w:pPr>
        <w:pStyle w:val="Normal"/>
      </w:pPr>
      <w:r>
        <w:t>3. 2018 Protocol Replacing NAFTA. The 2018 protocol remains part of the historical chain of title by which CUSMA replaced NAFTA 1994. The modernized Protocol at the front of this instrument governs current entry into force, amendment, and consolidation matters.</w:t>
      </w:r>
    </w:p>
    <w:p>
      <w:pPr>
        <w:pStyle w:val="Normal"/>
      </w:pPr>
      <w:r>
        <w:t>4. Companion environmental instruments. Reproduction of the Agreement on Environmental Cooperation in Part E does not alter its separate treaty status, amendment procedure, institutional personality, or entry-into-force history.</w:t>
      </w:r>
    </w:p>
    <w:p>
      <w:pPr>
        <w:pStyle w:val="Heading2"/>
      </w:pPr>
      <w:bookmarkStart w:id="901145" w:name="_Toc300001144"/>
      <w:r>
        <w:t>ANNEX 34-H: ADMINISTRATIVE CONTINUITY AND DEFAULT PROCEDURES</w:t>
      </w:r>
      <w:bookmarkEnd w:id="901145"/>
    </w:p>
    <w:p>
      <w:pPr>
        <w:pStyle w:val="Normal"/>
      </w:pPr>
      <w:r>
        <w:t>1. Governing Principle: No Right Depends on Administrative Perfection. A substantive right, protection, preference, deadline, remedy, or review established by this Agreement does not lapse, suspend, or become unavailable solely because a committee has not met, a technical standard is late, a roster is incomplete, a digital platform is unavailable, an implementing form has not been published, or another administrative step has not been completed.</w:t>
      </w:r>
    </w:p>
    <w:p>
      <w:pPr>
        <w:pStyle w:val="Normal"/>
      </w:pPr>
      <w:r>
        <w:t>2. Interim Institutional Substitution. If a body required to perform a function is not operational by the applicable deadline, the Free Trade Commission shall designate an existing body to perform the function within five business days. If the Commission does not act, the Secretariat's Treaty Integrity function performs purely administrative functions, and adjudicative functions are performed by an interim panel drawn from the most recent eligible Chapter 31 roster or, for a matter governed by Article 35.10, by an ad hoc Verification Team constituted from the available eligible roster under that Article.</w:t>
      </w:r>
    </w:p>
    <w:p>
      <w:pPr>
        <w:pStyle w:val="Normal"/>
      </w:pPr>
      <w:r>
        <w:t>3. Default Technical Standard. If a technical annex, schedule, coefficient, form, data dictionary, or methodology is not adopted by its treaty deadline, the most recent compatible trilateral standard remains temporarily applicable. Where none exists, the default principles expressly stated in the treaty text apply, interpreted conservatively so as not to increase a trader's burden or diminish preferential treatment.</w:t>
      </w:r>
    </w:p>
    <w:p>
      <w:pPr>
        <w:pStyle w:val="Normal"/>
      </w:pPr>
      <w:r>
        <w:t>4. Default Form and Submission. Absence of an official form does not bar a submission. A Party or private person may provide the information reasonably required by the operative provision in any clear written or electronic form. The receiving authority shall identify material omissions once and allow a reasonable correction period.</w:t>
      </w:r>
    </w:p>
    <w:p>
      <w:pPr>
        <w:pStyle w:val="Normal"/>
      </w:pPr>
      <w:r>
        <w:t>5. Roster Failure. Failure to appoint, renew, or replace roster members does not prevent consultation, verification, panel formation, appeal, or review. The most recent qualified roster remains available and the neutral default-selection rules of Article 31.C apply.</w:t>
      </w:r>
    </w:p>
    <w:p>
      <w:pPr>
        <w:pStyle w:val="Normal"/>
      </w:pPr>
      <w:r>
        <w:t>6. Non-Cooperation. Failure by a Party to supply information or participate in a procedure does not suspend the clock. The responsible body proceeds on the existing record, may seek reliable independent evidence, and may draw proportionate adverse factual inferences where information was unjustifiably withheld.</w:t>
      </w:r>
    </w:p>
    <w:p>
      <w:pPr>
        <w:pStyle w:val="Normal"/>
      </w:pPr>
      <w:r>
        <w:t>7. Technical-System Failure. Failure of the Shared Trade Data Registry, a customs interface, or another common digital system activates the continuity rules of Annex 35-C, Part 6. Alternative evidence remains admissible and no trader is penalized for a failure outside its control.</w:t>
      </w:r>
    </w:p>
    <w:p>
      <w:pPr>
        <w:pStyle w:val="Normal"/>
      </w:pPr>
      <w:r>
        <w:t>8. Implementing-Law Delay. Each Party shall maintain domestic authority sufficient to give effect to automatic treaty consequences. If a required implementing measure is late or incomplete, the Party shall apply the treaty obligation to the maximum extent permitted by existing law and the failure to implement constitutes an independent breach subject to expedited review.</w:t>
      </w:r>
    </w:p>
    <w:p>
      <w:pPr>
        <w:pStyle w:val="Normal"/>
      </w:pPr>
      <w:r>
        <w:t>9. Sunset of Interim Arrangements. An interim procedure ends when the permanent procedure becomes operational, but acts validly taken under the interim procedure remain effective. Transition shall not require refiling, recertification, or payment of a second fee.</w:t>
      </w:r>
    </w:p>
    <w:p>
      <w:pPr>
        <w:pStyle w:val="Normal"/>
      </w:pPr>
      <w:r>
        <w:t>10. Administrative Delay Register. The Secretariat shall publish a live register of overdue implementation items, the default rule currently operating, the responsible body, and the expected completion date. No overdue item may be concealed by treating the relevant treaty obligation as inoperative.</w:t>
      </w:r>
    </w:p>
    <w:p>
      <w:pPr>
        <w:pStyle w:val="Normal"/>
      </w:pPr>
      <w:r>
        <w:t>11. Capacity Triage and Consolidated Administration. Where simultaneous treaty workloads materially exceed available administrative capacity despite reasonable preparation, the responsible authorities shall prioritize legally urgent proceedings, protection of substantive rights, time-sensitive customs and border functions, health and safety, continuity of essential trade, and compliance with final decisions. They shall use existing national authorities, shared services, standardized forms, representative sampling, consolidated reporting, risk-based review, and temporary deferral of non-essential cooperative or promotional work to the maximum extent reasonably practicable before delaying a binding right or remedy. A Party invoking temporary capacity pressure shall publish or communicate a proportionate service-continuity plan identifying the affected functions, interim procedures, expected restoration sequence, and measures taken to prevent recurrence; ordinary budget pressure or chronic understaffing does not by itself excuse persistent non-performance. Nothing in this paragraph authorizes expiration, suspension, or diminution of a substantive treaty right solely because an administrative body is overloaded.</w:t>
      </w:r>
    </w:p>
    <w:p>
      <w:pPr>
        <w:pStyle w:val="Normal"/>
      </w:pPr>
      <w:r>
        <w:t>12. Constitutional and Subnational Implementation. Where a modernization obligation created by this Protocol materially depends on action by a province, state, territory, municipality, Indigenous or Tribal government, or other constitutionally competent subnational authority, the responsible Party shall use the constitutionally available measures reasonably within its competence, including legislation, funding conditions, agreements, incentives, reporting, intergovernmental coordination, technical assistance, litigation positions, or other lawful means appropriate to its constitutional system. Constitutional division of powers affects the means and reasonable timing of implementation but does not permit a Party to misrepresent a known deficiency as cured, manufacture a subnational obstacle, or withhold available federal or central measures for the purpose of avoiding an obligation. This paragraph does not require a Party to exercise authority it does not possess, compel a subnational government beyond lawful treaty coverage, or alter the internal constitutional distribution of powers. For greater certainty, this paragraph does not narrow, qualify, reopen, or reduce any existing CUSMA obligation, reservation, schedule, commitment, or rule that already governs regional, state, provincial, territorial, local, Indigenous, Tribal, or other subnational measures.</w:t>
      </w:r>
    </w:p>
    <w:p>
      <w:pPr>
        <w:pStyle w:val="Normal"/>
      </w:pPr>
      <w:r>
        <w:t>13. Pre-Entry-Into-Force Legal Readiness Certification. Before the Protocol of Modernization enters into force for a Party, that Party shall provide the Commission with a public certification identifying the domestic legal authorities, implementing instruments, responsible authorities, and interim procedures reasonably necessary to give effect to the Day 1 obligations and automatic treaty consequences applicable to that Party. The certification need not disclose privileged, classified, security-sensitive, or confidential legal advice and does not require a Party to enact a particular institutional model where existing law is sufficient. Where a required authority or instrument will lawfully become effective only upon or after entry into force, the certification shall identify the effective date and the default or interim procedure that preserves the relevant treaty right in the meantime. Certification does not immunize an implementing measure from review, cure a substantive deficiency, or prevent expedited review under paragraph 8 where domestic authority proves insufficient in operation.</w:t>
      </w:r>
    </w:p>
    <w:p>
      <w:pPr>
        <w:pStyle w:val="Normal"/>
      </w:pPr>
      <w:r>
        <w:t>14. Shared Implementation Support and Administrative Burden Equalization. The Parties shall use existing committees, customs cooperation channels, the Secretariat, national technical agencies, and other existing institutions to provide practical implementation assistance where a Party identifies a material capacity constraint affecting timely operation of a modernization obligation. Assistance may include model forms, interoperable data specifications, training, temporary expert secondments, shared testing or verification methods, translation, secure technical infrastructure support, process mapping, and reuse of another Party's validated implementation tools where lawful and appropriate. Assistance shall be demand-driven, proportionate, subject to available resources and domestic law, and shall not transfer decision-making authority, require equal expenditures, or make one Party responsible for another Party's compliance. The Commission shall prefer shared or reusable implementation solutions where they materially reduce duplicative cost, particularly for high-volume customs, verification, data, SME, and technical-standard functions.</w:t>
      </w:r>
    </w:p>
    <w:p>
      <w:pPr>
        <w:pStyle w:val="Normal"/>
      </w:pPr>
      <w:r>
        <w:t>15. Administrative Non-Starvation and Functional Equivalence. A Party shall not deliberately disable, materially degrade, or render practically unavailable a treaty function by withholding an appointment, instruction, routine authorization, ordinary operational funding within lawfully available authority, access credential, technical connection, implementing guidance, or other administrative input where the same result would be inconsistent with this Agreement if accomplished directly. This paragraph does not compel an appropriation, override a constitutional budget process, or require expenditure beyond lawfully available authority; it requires good-faith use of available authority and activation of the continuity and default procedures in this Annex when ordinary administration is interrupted. A material pattern of selective non-funding, non-appointment, non-publication, or technical non-cooperation directed at a treaty right, remedy, or originating trade flow may be reviewed according to its practical effect rather than its domestic administrative label. Restoration of ordinary administration shall occur as soon as lawful authority becomes available, without requiring the affected Party or trader to re-establish a right already preserved by a default procedure.</w:t>
      </w:r>
    </w:p>
    <w:p>
      <w:pPr>
        <w:pStyle w:val="Heading2"/>
      </w:pPr>
      <w:bookmarkStart w:id="901146" w:name="_Toc300001145"/>
      <w:r>
        <w:t>Article 34.F: Orderly Withdrawal, Public Notice, and Reliance Transition</w:t>
      </w:r>
      <w:bookmarkEnd w:id="901146"/>
    </w:p>
    <w:p>
      <w:pPr>
        <w:pStyle w:val="Normal"/>
      </w:pPr>
      <w:r>
        <w:t>1. A notice of withdrawal under Article 34.6 shall state the proposed effective date and shall be accompanied, or followed within 60 days, by a public assessment of reasonably foreseeable effects on trade, investment, workers, consumers, integrated supply chains, and critical infrastructure, prepared in accordance with the withdrawing Party’s domestic law and institutions.</w:t>
      </w:r>
    </w:p>
    <w:p>
      <w:pPr>
        <w:pStyle w:val="Normal"/>
        <w:spacing w:before="0" w:after="0"/>
        <w:widowControl w:val="1"/>
      </w:pPr>
      <w:r>
        <w:t>2. Withdrawal shall not take effect earlier than 12 months after the effective-clock trigger in Article 34.N(4) unless all Parties agree to an earlier date. During that period, the Parties shall consult on transition arrangements and continuity of essential cross-border functions.</w:t>
      </w:r>
    </w:p>
    <w:p/>
    <w:p>
      <w:pPr>
        <w:pStyle w:val="Normal"/>
        <w:spacing w:before="0" w:after="0"/>
        <w:widowControl w:val="1"/>
      </w:pPr>
      <w:r>
        <w:t>3. Qualifying investments, authorizations, approvals, and long-term commercial commitments substantially undertaken in reasonable reliance on this Agreement before effective-clock notice under Article 34.N(4) shall receive a reasonable transition period where abrupt termination would cause disproportionate disruption, subject to legitimate regulation and without creating a general right to compensation for expected future profits.</w:t>
      </w:r>
    </w:p>
    <w:p/>
    <w:p>
      <w:pPr>
        <w:pStyle w:val="Normal"/>
      </w:pPr>
      <w:r>
        <w:t>4. Nothing in this Article prevents a sovereign Party from withdrawing after completion of the domestic legislative approval required by Article 34.N. Its purpose is to ensure that withdrawal is constitutionally grounded, deliberate, transparent, and orderly rather than an instrument of sudden commercial coercion.</w:t>
      </w:r>
    </w:p>
    <w:p>
      <w:pPr>
        <w:pStyle w:val="Heading2"/>
      </w:pPr>
      <w:bookmarkStart w:id="901147" w:name="_Toc300001146"/>
      <w:r>
        <w:t>Article 34.G: Withdrawal Notice Neutrality and Anti-Ultimatum Rule</w:t>
      </w:r>
      <w:bookmarkEnd w:id="901147"/>
    </w:p>
    <w:p>
      <w:pPr>
        <w:pStyle w:val="Normal"/>
      </w:pPr>
      <w:r>
        <w:t>1. A Party remains free to withdraw under Article 34.6 and Articles 34.F through 34.Q after satisfying Article 34.N. A withdrawal notice shall not, however, alter any right or obligation before its effective date.</w:t>
      </w:r>
    </w:p>
    <w:p>
      <w:pPr>
        <w:pStyle w:val="Normal"/>
      </w:pPr>
      <w:r>
        <w:t>2. If a Party offers to rescind or modify a withdrawal notice in exchange for treaty changes, each requested change shall be identified publicly with the stated withdrawal concern to which it relates. The withdrawing Party may negotiate any mutually acceptable package, but no existing treaty obligation performed by another Party shall be characterized as newly owed consideration.</w:t>
      </w:r>
    </w:p>
    <w:p>
      <w:pPr>
        <w:pStyle w:val="Normal"/>
      </w:pPr>
      <w:r>
        <w:t>3. A withdrawal notice shall not be used as the legal predicate for suspending an unrelated treaty benefit or extracting a concession unrelated to the stated treaty grounds for withdrawal. Diplomatic discussion of unrelated matters remains unrestricted.</w:t>
      </w:r>
    </w:p>
    <w:p>
      <w:pPr>
        <w:pStyle w:val="Heading2"/>
      </w:pPr>
      <w:bookmarkStart w:id="901148" w:name="_Toc300001147"/>
      <w:r>
        <w:t>Article 34.H: Notice Cycling, Formal Status, and Market Integrity</w:t>
      </w:r>
      <w:bookmarkEnd w:id="901148"/>
    </w:p>
    <w:p>
      <w:pPr>
        <w:pStyle w:val="Normal"/>
      </w:pPr>
      <w:r>
        <w:t>1. A Party that formally rescinds a withdrawal notice shall not issue a substantially identical notice based on materially unchanged grounds for 12 months, unless materially changed circumstances make renewed withdrawal a genuine sovereign decision rather than continuation of the prior negotiating tactic.</w:t>
      </w:r>
    </w:p>
    <w:p>
      <w:pPr>
        <w:pStyle w:val="Normal"/>
        <w:spacing w:before="0" w:after="0"/>
        <w:widowControl w:val="1"/>
      </w:pPr>
      <w:r>
        <w:t>2. Public statements, campaign positions, interviews, social-media posts, negotiating threats, or expressions of dissatisfaction do not constitute withdrawal and do not alter treaty status. Only the later delivery of authenticated Article 34.6 notice and authenticated Article 34.N approval certification starts the twelve-month withdrawal period.</w:t>
      </w:r>
    </w:p>
    <w:p/>
    <w:p>
      <w:pPr>
        <w:pStyle w:val="Normal"/>
      </w:pPr>
      <w:r>
        <w:t>3. A final non-public governmental decision to issue, rescind, accelerate, or materially modify a withdrawal notice is MNPTI where the criteria of Article 35.53 are met. Articles 35.53 through 35.57 apply mutatis mutandis to its handling and publication.</w:t>
      </w:r>
    </w:p>
    <w:p>
      <w:pPr>
        <w:pStyle w:val="Normal"/>
      </w:pPr>
      <w:r>
        <w:t>4. Formal notice shall be transmitted simultaneously to the other Parties and authenticated for public release through the Treaty Registry as soon as practicable.</w:t>
      </w:r>
    </w:p>
    <w:p>
      <w:pPr>
        <w:spacing w:before="0" w:after="0"/>
        <w:widowControl w:val="1"/>
      </w:pPr>
      <w:r>
        <w:t>5. WITHDRAWAL INFORMATION AND LEGAL EFFECT. For Article 34.H(3), Articles 35.53 through 35.57 apply only to confidentiality, access control, trading blackout, preservation, simultaneous public release and independently established manipulation of material non-public withdrawal information. They do not make a lawful withdrawal notice dependent on a tariff determination or a website's availability. Notice and certification are legally delivered through Article 34.6 and Article 34.N's authenticated simultaneous channels, with the Article 34.N later-delivery clock controlling. The Secretary publicly releases the authenticated record within two hours or the recorded twenty-four-hour outer necessity period in Article 35.55, without shortening the withdrawal period or giving a selective informational advantage.</w:t>
      </w:r>
    </w:p>
    <w:p/>
    <w:p>
      <w:pPr>
        <w:spacing w:before="0" w:after="0"/>
        <w:widowControl w:val="1"/>
      </w:pPr>
      <w:r>
        <w:t>6. WITHDRAWAL RESCISSION AND CHANGED CIRCUMSTANCES. A withdrawing Party rescinds notice by authenticated written delivery to all other current Parties and the Secretariat before withdrawal takes effect, identifying the notice and unequivocally cancelling it. Receipt cancels that notice's prospective clock without erasing accrued obligations, preserved records or independently established misconduct, and the Secretary promptly records and publishes the status. A substantially identical new notice within twelve months requires a reasoned explanation of materially changed facts or constitutional approval circumstances compared with the rescinded notice. A Chapter 31 safeguard panel decides a disputed genuine change on that evidence without substituting a sovereign policy preference, and an unsupported repeated notice cannot restart an effective withdrawal clock.</w:t>
      </w:r>
    </w:p>
    <w:p/>
    <w:p>
      <w:pPr>
        <w:pStyle w:val="Heading2"/>
      </w:pPr>
      <w:bookmarkStart w:id="901149" w:name="_Toc300001148"/>
      <w:r>
        <w:t>Article 34.I: Whole-Treaty Exit and Trilateral Amendment Integrity</w:t>
      </w:r>
      <w:bookmarkEnd w:id="901149"/>
    </w:p>
    <w:p>
      <w:pPr>
        <w:pStyle w:val="Normal"/>
      </w:pPr>
      <w:r>
        <w:t>1. Unless an express provision permits withdrawal from a specified optional protocol, a Party may withdraw from this Agreement only as a whole. It may not unilaterally retain selected benefits while denouncing selected obligations.</w:t>
      </w:r>
    </w:p>
    <w:p>
      <w:pPr>
        <w:pStyle w:val="Normal"/>
      </w:pPr>
      <w:r>
        <w:t>2. Bilateral agreements and diplomacy among any two Parties remain permitted. No bilateral understanding modifies, suspends, interprets away, or conditions the rights of the third Party under this Agreement without that Party's express consent through the procedure legally required for the proposed change.</w:t>
      </w:r>
    </w:p>
    <w:p>
      <w:pPr>
        <w:pStyle w:val="Normal"/>
      </w:pPr>
      <w:r>
        <w:t>3. Two Parties shall not represent a bilateral bargain as an amendment of this trilateral Agreement awaiting only acceptance by the third Party. Until trilateral adoption, the existing Agreement remains unchanged for the third Party.</w:t>
      </w:r>
    </w:p>
    <w:p>
      <w:pPr>
        <w:pStyle w:val="Heading2"/>
      </w:pPr>
      <w:bookmarkStart w:id="901150" w:name="_Toc300001149"/>
      <w:r>
        <w:t>Article 34.J: Full Performance, Survival Jurisdiction, and Accrued Obligations</w:t>
      </w:r>
      <w:bookmarkEnd w:id="901150"/>
    </w:p>
    <w:p>
      <w:pPr>
        <w:pStyle w:val="Normal"/>
      </w:pPr>
      <w:r>
        <w:t>1. A Party that has notified withdrawal remains fully bound until withdrawal takes effect. Notice does not excuse performance, reduce cooperation duties, suspend adjudication, or authorize provisional noncompliance.</w:t>
      </w:r>
    </w:p>
    <w:p>
      <w:pPr>
        <w:pStyle w:val="Normal"/>
      </w:pPr>
      <w:r>
        <w:t>2. Panels, Cothrom bodies, Integrity Panels, Market Integrity Panels, and other competent treaty bodies retain jurisdiction after withdrawal to determine disputes, cure, integrity questions, and compliance concerning conduct occurring while the Agreement bound the withdrawing Party.</w:t>
      </w:r>
    </w:p>
    <w:p>
      <w:pPr>
        <w:pStyle w:val="Normal"/>
      </w:pPr>
      <w:r>
        <w:t>3. Withdrawal does not extinguish accrued monetary obligations, refunds, compensation, restoration duties relating to pre-withdrawal conduct, final awards, record-preservation duties, confidentiality obligations, or other obligations expressly or inherently intended to survive.</w:t>
      </w:r>
    </w:p>
    <w:p>
      <w:pPr>
        <w:pStyle w:val="Normal"/>
      </w:pPr>
      <w:r>
        <w:t>4. Proceedings initiated during the withdrawal period shall receive expedited scheduling where ordinary timing could otherwise defeat effective review before exit.</w:t>
      </w:r>
    </w:p>
    <w:p>
      <w:pPr>
        <w:spacing w:before="0" w:after="0"/>
        <w:widowControl w:val="1"/>
      </w:pPr>
      <w:r>
        <w:t>5. TWO PARTY ADMINISTRATION AND SURVIVING PROCEEDINGS. After lawful withdrawal leaves two Parties, those Parties jointly designate the responsible existing Secretariat Section for each new bilateral proceeding within five days, alternating eligible Sections if no agreement is recorded by that deadline. A neutral technical chair or panel default requiring non-nationality of every Party means non-nationality of both remaining Parties for new proceedings, with the same qualifications, conflicts and witnessed draw. A surviving pre-withdrawal proceeding retains its original applicable nationality and seat rules, record, jurisdiction and replacement method under Article 34.J. The former Party participates only to the extent its surviving conduct or obligation is at issue, and two-Party administration cannot amend a surviving third-Party right or waive a protected technical gate.</w:t>
      </w:r>
    </w:p>
    <w:p/>
    <w:p>
      <w:pPr>
        <w:pStyle w:val="Heading2"/>
      </w:pPr>
      <w:bookmarkStart w:id="901151" w:name="_Toc300001150"/>
      <w:r>
        <w:t>Article 34.K: Withdrawal Record Hold and Reliance Administration</w:t>
      </w:r>
      <w:bookmarkEnd w:id="901151"/>
    </w:p>
    <w:p>
      <w:pPr>
        <w:pStyle w:val="Normal"/>
      </w:pPr>
      <w:r>
        <w:t>1. Formal withdrawal notice automatically places relevant treaty-administration records of the withdrawing Party and common institutions under preservation hold for the period required by applicable law and not less than the time necessary to complete surviving proceedings.</w:t>
      </w:r>
    </w:p>
    <w:p>
      <w:pPr>
        <w:pStyle w:val="Normal"/>
      </w:pPr>
      <w:r>
        <w:t>2. Withdrawal does not invalidate certificates already issued, records already accepted, refunds already accrued, pending administrative claims, or shipments already entered into an authorized customs process solely because the effective withdrawal date occurs before completion. Transitional treatment shall be specified in the withdrawal implementation schedule.</w:t>
      </w:r>
    </w:p>
    <w:p>
      <w:pPr>
        <w:pStyle w:val="Normal"/>
      </w:pPr>
      <w:r>
        <w:t>3. The Parties shall prioritize continuity for customs administration, critical infrastructure, emergency services, energy interconnections, data needed for existing legal obligations, and safe completion of in-transit commerce.</w:t>
      </w:r>
    </w:p>
    <w:p>
      <w:pPr>
        <w:spacing w:before="0" w:after="0"/>
        <w:widowControl w:val="1"/>
      </w:pPr>
      <w:r>
        <w:t>4. WITHDRAWAL IMPLEMENTATION SCHEDULE AND DEFAULT. Within thirty days after the effective-clock trigger, the withdrawing Party shall propose a withdrawal implementation schedule identifying in-transit shipments, valid certificates, pending claims, interconnections and lawful reliance transition. The current Parties adopt it by consensus within sixty days after that trigger through existing authority, with any substantive treaty alteration requiring Article 34.3. Pending or absent adoption, accepted certificates remain valid for their existing lawful period, entered shipments complete their authorized customs process and accrued claims and refunds retain Article 34.J protection. No missing schedule expands a post-withdrawal market-access entitlement or invalidates a right already accrued under Article 34.K.</w:t>
      </w:r>
    </w:p>
    <w:p/>
    <w:p>
      <w:pPr>
        <w:pStyle w:val="Heading2"/>
      </w:pPr>
      <w:bookmarkStart w:id="901152" w:name="_Toc300001151"/>
      <w:r>
        <w:t>Article 34.L: Settlement Finality and No Payment for Existing Performance</w:t>
      </w:r>
      <w:bookmarkEnd w:id="901152"/>
    </w:p>
    <w:p>
      <w:pPr>
        <w:pStyle w:val="Normal"/>
      </w:pPr>
      <w:r>
        <w:t>1. A concession, protection, market-access commitment, limitation, or reciprocal undertaking incorporated into this Agreement is presumed to constitute settled consideration within the package by which it was adopted.</w:t>
      </w:r>
    </w:p>
    <w:p>
      <w:pPr>
        <w:pStyle w:val="Normal"/>
      </w:pPr>
      <w:r>
        <w:t>2. Continued performance of an existing obligation is not a new concession and does not, by itself, entitle the performing Party to additional compensation, market access, policy change, or payment.</w:t>
      </w:r>
    </w:p>
    <w:p>
      <w:pPr>
        <w:pStyle w:val="Normal"/>
      </w:pPr>
      <w:r>
        <w:t>3. The Parties remain free by mutual consent to renegotiate any provision. Periodic review may identify changed circumstances and recommend amendment, but neither review nor withdrawal discussions reopen settled consideration automatically.</w:t>
      </w:r>
    </w:p>
    <w:p>
      <w:pPr>
        <w:pStyle w:val="Normal"/>
      </w:pPr>
      <w:r>
        <w:t>4. A claim of fundamental changed circumstances under applicable international law is not prejudged by this Article.</w:t>
      </w:r>
    </w:p>
    <w:p>
      <w:pPr>
        <w:pStyle w:val="Heading2"/>
      </w:pPr>
      <w:bookmarkStart w:id="901153" w:name="_Toc300001152"/>
      <w:r>
        <w:t>Article 34.M: Reaccession after Withdrawal</w:t>
      </w:r>
      <w:bookmarkEnd w:id="901153"/>
    </w:p>
    <w:p>
      <w:pPr>
        <w:pStyle w:val="Normal"/>
      </w:pPr>
      <w:r>
        <w:t>1. A former Party seeking to rejoin this Agreement shall do so through an accession or reaccession instrument agreed by the remaining Parties and completed under their applicable legal procedures.</w:t>
      </w:r>
    </w:p>
    <w:p>
      <w:pPr>
        <w:pStyle w:val="Normal"/>
      </w:pPr>
      <w:r>
        <w:t>2. Reaccession is not automatic and shall address outstanding accrued obligations, unresolved integrity findings, transition arrangements, and restoration of institutional participation.</w:t>
      </w:r>
    </w:p>
    <w:p>
      <w:pPr>
        <w:pStyle w:val="Normal"/>
      </w:pPr>
      <w:r>
        <w:t>3. A withdrawal followed by reaccession shall not be used to erase liabilities or obtain a temporary holiday from obligations that accrued while the Agreement was in force.</w:t>
      </w:r>
    </w:p>
    <w:p>
      <w:pPr>
        <w:pStyle w:val="Heading2"/>
      </w:pPr>
      <w:bookmarkStart w:id="901154" w:name="_Toc300001153"/>
      <w:r>
        <w:rPr>
          <w:b/>
        </w:rPr>
        <w:t>Article 34.N: Domestic Legislative Approval of Withdrawal</w:t>
      </w:r>
      <w:bookmarkEnd w:id="901154"/>
    </w:p>
    <w:p>
      <w:pPr>
        <w:pStyle w:val="Normal"/>
      </w:pPr>
      <w:r>
        <w:rPr>
          <w:b w:val="false"/>
        </w:rPr>
        <w:t>1. A withdrawal under Article 34.6 shall not become effective unless the withdrawing Party has completed approval through legislation enacted by its national legislature in accordance with its applicable constitutional processes and has transmitted authenticated certification of that approval to the other Parties and the Treaty Registry.</w:t>
      </w:r>
    </w:p>
    <w:p>
      <w:pPr>
        <w:pStyle w:val="Normal"/>
      </w:pPr>
      <w:r>
        <w:rPr>
          <w:b w:val="false"/>
        </w:rPr>
        <w:t>2. For the United States, paragraph 1 requires an Act of Congress enacted into law approving withdrawal from this Agreement. A presidential notice, proclamation, memorandum, executive order, or other executive communication may initiate consultations and domestic consideration but does not, by itself, satisfy the approval required for withdrawal to become effective under this Agreement.</w:t>
      </w:r>
    </w:p>
    <w:p>
      <w:pPr>
        <w:pStyle w:val="Normal"/>
      </w:pPr>
      <w:r>
        <w:rPr>
          <w:b w:val="false"/>
        </w:rPr>
        <w:t>3. For Canada, paragraph 1 requires an Act of Parliament enacted in accordance with the Constitution of Canada and applicable law. For Mexico, paragraph 1 requires the legislative approval required under the Political Constitution of the United Mexican States and applicable law. Nothing in this paragraph alters the internal allocation of constitutional authority within a Party except as that Party undertakes, through this Agreement and its implementing legislation, the condition for an effective withdrawal.</w:t>
      </w:r>
    </w:p>
    <w:p>
      <w:pPr>
        <w:pStyle w:val="Normal"/>
      </w:pPr>
      <w:r>
        <w:rPr>
          <w:b w:val="false"/>
        </w:rPr>
        <w:t>4. The twelve-month minimum period in Article 34.6 and Article 34.F begins no earlier than the later of: (a) authenticated notice of withdrawal; and (b) authenticated certification that the approval required by this Article has been completed. A notice delivered before legislative approval may open consultations but does not start an effective withdrawal clock.</w:t>
      </w:r>
    </w:p>
    <w:p>
      <w:pPr>
        <w:pStyle w:val="Normal"/>
      </w:pPr>
      <w:r>
        <w:rPr>
          <w:b w:val="false"/>
        </w:rPr>
        <w:t>5. Each Party shall maintain implementing legislation sufficient to give domestic effect to this Article. Failure to enact or maintain such legislation does not eliminate the international obligation in paragraph 1 and is subject to expedited review under this Agreement.</w:t>
      </w:r>
    </w:p>
    <w:p>
      <w:pPr>
        <w:pStyle w:val="Heading2"/>
      </w:pPr>
      <w:bookmarkStart w:id="901155" w:name="_Toc300001154"/>
      <w:r>
        <w:rPr>
          <w:b/>
        </w:rPr>
        <w:t>Article 34.O: No Constructive Withdrawal or Functional Evasion</w:t>
      </w:r>
      <w:bookmarkEnd w:id="901155"/>
    </w:p>
    <w:p>
      <w:pPr>
        <w:pStyle w:val="Normal"/>
      </w:pPr>
      <w:r>
        <w:rPr>
          <w:b w:val="false"/>
        </w:rPr>
        <w:t>1. A Party shall not accomplish indirectly what Articles 34.6 and 34.F through 34.N require it to accomplish through formal withdrawal. A sustained and coordinated course of governmental conduct whose predominant purpose or practical effect is to disable substantially all material benefits or obligations of this Agreement may be reviewed as an attempted constructive withdrawal.</w:t>
      </w:r>
    </w:p>
    <w:p>
      <w:pPr>
        <w:pStyle w:val="Normal"/>
      </w:pPr>
      <w:r>
        <w:rPr>
          <w:b w:val="false"/>
        </w:rPr>
        <w:t>2. Constructive withdrawal may include a coordinated pattern of unjustified suspension of substantially all preferences, systematic refusal to administer material treaty obligations, deliberate disabling of implementing authorities, or serial invocation of exceptions or extraordinary authorities for the predominant purpose of circumventing the withdrawal requirements.</w:t>
      </w:r>
    </w:p>
    <w:p>
      <w:pPr>
        <w:pStyle w:val="Normal"/>
      </w:pPr>
      <w:r>
        <w:rPr>
          <w:b w:val="false"/>
        </w:rPr>
        <w:t>3. Ordinary disputes, isolated breaches, lawful safeguards, good-faith emergency measures, implementation delays subject to cure, or policy disagreements do not constitute constructive withdrawal merely because they reduce a benefit or create material friction.</w:t>
      </w:r>
    </w:p>
    <w:p>
      <w:pPr>
        <w:pStyle w:val="Normal"/>
      </w:pPr>
      <w:r>
        <w:rPr>
          <w:b w:val="false"/>
        </w:rPr>
        <w:t>4. A finding of attempted constructive withdrawal does not itself withdraw the Party from this Agreement. The Agreement remains in force. The competent panel shall order restoration, cure, cessation of the evasive conduct, or other remedies authorized by this Agreement, and Articles 35.53 through 35.57, Covered-Rationale Exhaustion, issue-nexus, proportionality, step-back, earn-back, and automatic restoration apply as relevant.</w:t>
      </w:r>
    </w:p>
    <w:p>
      <w:pPr>
        <w:spacing w:before="0" w:after="0"/>
        <w:widowControl w:val="1"/>
      </w:pPr>
      <w:r>
        <w:t>6. WITHDRAWAL SAFEGUARD REVIEW MANDATE. A Party alleging breach of Annex 34-H(8) or (13) or Articles 34.N through 34.Q may request Chapter 31 consultations identifying the duty and evidence, and consultations begin within ten days after delivery. If unresolved by day fifteen, that Party may request an Article 31.A panel using its five-day composition and twenty-day report procedure, expressly extended to these safeguard disputes. The panel determines the expressly accepted international obligation, implementation failure or coordinated evasive pattern without enacting domestic legislation, and may require cessation, restoration or a lawful cure within thirty days followed by Article 31.D compliance review. Remedy authority derives from Articles 31.D, 31.19 and 35.13 through 35.18, 35.36 through 35.40 and 35.59 as applicable, while Articles 35.53 through 35.57 govern only independently established information or market-integrity misconduct and confer no withdrawal-merits jurisdiction.</w:t>
      </w:r>
    </w:p>
    <w:p/>
    <w:p>
      <w:pPr>
        <w:pStyle w:val="Normal"/>
      </w:pPr>
      <w:r>
        <w:rPr>
          <w:b w:val="false"/>
        </w:rPr>
        <w:t>5. A Party may always pursue lawful withdrawal by satisfying Article 34.N and the orderly-withdrawal requirements of this Chapter. This Article prevents functional evasion; it does not create involuntary membership after lawful withdrawal has become effective.</w:t>
      </w:r>
    </w:p>
    <w:p>
      <w:pPr>
        <w:pStyle w:val="Heading2"/>
      </w:pPr>
      <w:bookmarkStart w:id="901156" w:name="_Toc300001155"/>
      <w:r>
        <w:rPr>
          <w:b/>
        </w:rPr>
        <w:t>Article 34.P: Severability and Constitutional Savings</w:t>
      </w:r>
      <w:bookmarkEnd w:id="901156"/>
    </w:p>
    <w:p>
      <w:pPr>
        <w:pStyle w:val="Normal"/>
        <w:spacing w:before="0" w:after="0"/>
        <w:widowControl w:val="1"/>
      </w:pPr>
      <w:r>
        <w:rPr>
          <w:b w:val="false"/>
        </w:rPr>
        <w:t>1. If a competent domestic court finally determines that a particular domestic implementing requirement used to give effect to Article 34.N cannot lawfully be enforced in the form adopted by a Party, that determination does not invalidate or suspend Article 34.6, Articles 34.F through 34.N, Article 34.O, Article 34.Q, the No-Fade Guarantee, accrued-obligation survival, or any other provision of this Agreement.</w:t>
      </w:r>
    </w:p>
    <w:p/>
    <w:p>
      <w:pPr>
        <w:pStyle w:val="Normal"/>
      </w:pPr>
      <w:r>
        <w:rPr>
          <w:b w:val="false"/>
        </w:rPr>
        <w:t>2. The affected Party shall promptly consult with the other Parties and use its available constitutional and legislative processes to establish the closest lawful equivalent to the invalidated requirement while preserving, to the maximum extent legally available, legislative participation in withdrawal.</w:t>
      </w:r>
    </w:p>
    <w:p>
      <w:pPr>
        <w:pStyle w:val="Normal"/>
      </w:pPr>
      <w:r>
        <w:rPr>
          <w:b w:val="false"/>
        </w:rPr>
        <w:t>3. No domestic judgment concerning one withdrawal safeguard creates an automatic withdrawal, shortens the twelve-month minimum period, extinguishes accrued obligations, validates constructive withdrawal, or converts political statements into authenticated notice.</w:t>
      </w:r>
    </w:p>
    <w:p>
      <w:pPr>
        <w:spacing w:before="0" w:after="0"/>
        <w:widowControl w:val="1"/>
      </w:pPr>
      <w:r>
        <w:t>4. CONSTITUTIONAL EQUIVALENT REVIEW. Domestic invalidation of an implementing form does not remove Article 34.N's international approval condition or start withdrawal without a valid authenticated approval certification. The affected Party notifies the other Parties within ten days after the final judgment and proposes a lawful equivalent preserving legislative approval and authenticated notice within sixty days. The Parties consult within fifteen days after notification, and an Article 31.A safeguard panel determines a disputed equivalent within its twenty-day report clock against those express functions without commanding enactment of domestic law. Pending that resolution, existing obligations and the later-delivery twelve-month trigger remain in force and no court judgment alone deems approval or withdrawal complete.</w:t>
      </w:r>
    </w:p>
    <w:p/>
    <w:p>
      <w:pPr>
        <w:pStyle w:val="Heading2"/>
      </w:pPr>
      <w:bookmarkStart w:id="901157" w:name="_Toc300001156"/>
      <w:r>
        <w:rPr>
          <w:b/>
        </w:rPr>
        <w:t>Article 34.Q: Domestic Sovereignty and Limits of Treaty Bodies</w:t>
      </w:r>
      <w:bookmarkEnd w:id="901157"/>
    </w:p>
    <w:p>
      <w:pPr>
        <w:pStyle w:val="Normal"/>
      </w:pPr>
      <w:r>
        <w:rPr>
          <w:b w:val="false"/>
        </w:rPr>
        <w:t>1. Nothing in this Agreement creates a North American legislature, police authority, border command, immigration authority, tax authority, military command, or general regulatory government. Each Party retains its domestic governmental powers except for the specific international obligations it has expressly accepted in this Agreement.</w:t>
      </w:r>
    </w:p>
    <w:p>
      <w:pPr>
        <w:pStyle w:val="Normal"/>
      </w:pPr>
      <w:r>
        <w:rPr>
          <w:b w:val="false"/>
        </w:rPr>
        <w:t>2. A panel, committee, Verification Team, Cothrom body, or other treaty institution may make findings, authorize consequences, or require treaty compliance only within the mandate expressly assigned to it. It may not enact domestic law, issue a criminal sentence, command national armed forces, admit or remove a person, issue a domestic regulatory license in place of the competent regulator, or exercise general executive authority within a Party.</w:t>
      </w:r>
    </w:p>
    <w:p>
      <w:pPr>
        <w:pStyle w:val="Normal"/>
      </w:pPr>
      <w:r>
        <w:rPr>
          <w:b w:val="false"/>
        </w:rPr>
        <w:t>3. Binding findings within an expressly accepted treaty mandate are not an exercise of foreign domestic government. They determine the rights and consequences that the Parties consented to under this Agreement, subject to the due-process, evidence, appeal, mandate, and sovereignty safeguards stated elsewhere in the Agreement.</w:t>
      </w:r>
    </w:p>
    <w:p>
      <w:pPr>
        <w:pStyle w:val="Heading2"/>
      </w:pPr>
      <w:bookmarkStart w:id="901158" w:name="_Toc300001157"/>
      <w:r>
        <w:t>Article 34.A.1C: Living Amendment Ledger</w:t>
      </w:r>
      <w:bookmarkEnd w:id="901158"/>
    </w:p>
    <w:p>
      <w:pPr>
        <w:pStyle w:val="Normal"/>
      </w:pPr>
      <w:r>
        <w:t>1. The existing Secretariat shall maintain the Amendment Ledger as a continuously updated public electronic record.</w:t>
      </w:r>
    </w:p>
    <w:p>
      <w:pPr>
        <w:pStyle w:val="Normal"/>
      </w:pPr>
      <w:r>
        <w:t>2. Each entry shall identify, as applicable, the amendment or decision identifier; adoption and entry-into-force dates; legal authority; affected provisions; superseded text or reference; current operative text or consolidated reference; transitional rule; implementing instrument; and current status.</w:t>
      </w:r>
    </w:p>
    <w:p>
      <w:pPr>
        <w:pStyle w:val="Normal"/>
      </w:pPr>
      <w:r>
        <w:t>3. The public Ledger is informational and does not itself amend the Agreement. In case of discrepancy, the authenticated legal instrument controls. Prior versions shall be preserved for traceability.</w:t>
      </w:r>
    </w:p>
    <w:p>
      <w:pPr>
        <w:spacing w:before="0" w:after="0"/>
        <w:widowControl w:val="1"/>
      </w:pPr>
      <w:r>
        <w:t>4. TREATY REGISTRY IDENTITY AND CONTINUITY. The Treaty Registry is the authenticated legal-instrument register maintained by the existing Secretariat as part of the Article 34.A.1C Amendment Ledger, distinct from the Shared Trade Data Registry and the Trade Measures Registry. The responsible Secretary receives authenticated notices, certifications, decisions and adoption instruments through a designated secure electronic address, checks identity and completeness ministerially, records receipt and makes the non-confidential record publicly accessible. During outage, simultaneous authenticated delivery to the other Parties and the designated Secretariat address or documented alternative written channel has the same legal effect, and the Secretary enters the preserved receipt date when service resumes. Operativeness attaches to completed authenticated delivery under the controlling provision rather than a website upload, and an outage neither stops a deadline nor permits selective advance release of market-sensitive information.</w:t>
      </w:r>
    </w:p>
    <w:p/>
    <w:p>
      <w:pPr>
        <w:pStyle w:val="Heading2"/>
      </w:pPr>
      <w:bookmarkStart w:id="901874" w:name="_Toc300001873"/>
      <w:r>
        <w:t>ANNEX 34-I: CUSMA OPERATIONAL MANUAL AND TIERED INSTRUMENT HIERARCHY</w:t>
      </w:r>
      <w:bookmarkEnd w:id="901874"/>
    </w:p>
    <w:p>
      <w:pPr>
        <w:pStyle w:val="Heading3"/>
      </w:pPr>
      <w:r>
        <w:t>Part 1: Three-Layer Architecture</w:t>
      </w:r>
    </w:p>
    <w:p>
      <w:pPr>
        <w:pStyle w:val="Normal"/>
      </w:pPr>
      <w:r>
        <w:t>1. Layer One: Treaty Text. The Agreement contains substantive rights, obligations, exceptions, sovereign safeguards, remedies, burdens of proof, and institutional authority. Layer One changes only through the amendment process applicable to this Agreement.</w:t>
      </w:r>
    </w:p>
    <w:p>
      <w:pPr>
        <w:pStyle w:val="Normal"/>
      </w:pPr>
      <w:r>
        <w:t>2. Layer Two: Binding Technical Instruments. Uniform Regulations, schedules, calculation methodologies, technical data standards, product lists, interoperability specifications, and similar instruments may implement the treaty within authority expressly delegated by Layer One.</w:t>
      </w:r>
    </w:p>
    <w:p>
      <w:pPr>
        <w:pStyle w:val="Normal"/>
      </w:pPr>
      <w:r>
        <w:t>3. Layer Three: Operational Manual. The Secretariat shall maintain an Operational Manual containing workflows, standard forms, decision trees, contact protocols, outage procedures, model notices, implementation checklists, evidence-handling procedures, exercise playbooks, and other non-substantive operating material.</w:t>
      </w:r>
    </w:p>
    <w:p>
      <w:pPr>
        <w:pStyle w:val="Heading3"/>
      </w:pPr>
      <w:r>
        <w:t>Part 2: Update Authority and Safeguards</w:t>
      </w:r>
    </w:p>
    <w:p>
      <w:pPr>
        <w:pStyle w:val="Normal"/>
      </w:pPr>
      <w:r>
        <w:t>1. A proposed Layer Three update receives at least 30 days' notice except for a temporary emergency update needed to maintain operations during an active disruption.</w:t>
      </w:r>
    </w:p>
    <w:p>
      <w:pPr>
        <w:pStyle w:val="Normal"/>
      </w:pPr>
      <w:r>
        <w:t>2. Every update includes a justification memorandum stating the problem addressed, expected operational effect, systems affected, transition needs, and confirmation that the update changes no substantive right, duty, threshold, tariff treatment, burden of proof, remedy, or jurisdiction.</w:t>
      </w:r>
    </w:p>
    <w:p>
      <w:pPr>
        <w:pStyle w:val="Normal"/>
      </w:pPr>
      <w:r>
        <w:t>3. A Party may object that a proposed update exceeds operational authority. An objection suspends the disputed portion pending expedited Commission review.</w:t>
      </w:r>
    </w:p>
    <w:p>
      <w:pPr>
        <w:pStyle w:val="Normal"/>
      </w:pPr>
      <w:r>
        <w:t>4. An emergency Layer Three update may take temporary effect immediately where necessary to preserve service, evidence, safety, or continuity, but expires after 30 days unless ratified under the ordinary operational-update procedure.</w:t>
      </w:r>
    </w:p>
    <w:p>
      <w:pPr>
        <w:pStyle w:val="Heading3"/>
      </w:pPr>
      <w:r>
        <w:t>Part 3: Scope Limitation</w:t>
      </w:r>
    </w:p>
    <w:p>
      <w:pPr>
        <w:pStyle w:val="Normal"/>
      </w:pPr>
      <w:r>
        <w:t>1. The Operational Manual may clarify procedure but never amend the Agreement by practice. Repeated use of an operational workaround does not ripen into a substantive treaty amendment.</w:t>
      </w:r>
    </w:p>
    <w:p>
      <w:pPr>
        <w:pStyle w:val="Normal"/>
      </w:pPr>
      <w:r>
        <w:t>2. Where an operational instruction conflicts with Layer One or Layer Two, the higher layer controls and the conflicting instruction is corrected promptly.</w:t>
      </w:r>
    </w:p>
    <w:p>
      <w:pPr>
        <w:pStyle w:val="Normal"/>
      </w:pPr>
      <w:r>
        <w:t>3. Traders and officials may rely in good faith on a published Operational Manual instruction until corrected, subject to fraud, manifest error, and an express contrary rule in Layer One or Layer Two.</w:t>
      </w:r>
    </w:p>
    <w:p>
      <w:pPr>
        <w:pStyle w:val="Heading3"/>
      </w:pPr>
      <w:r>
        <w:t>Part 4: Public and Protected Versions</w:t>
      </w:r>
    </w:p>
    <w:p>
      <w:pPr>
        <w:pStyle w:val="Normal"/>
      </w:pPr>
      <w:r>
        <w:t>1. The Secretariat shall maintain a public Operational Manual and may maintain protected supplements for cybersecurity, customs targeting, fraud detection, critical infrastructure, or other information whose disclosure would materially undermine enforcement or security.</w:t>
      </w:r>
    </w:p>
    <w:p>
      <w:pPr>
        <w:pStyle w:val="Normal"/>
      </w:pPr>
      <w:r>
        <w:t>2. Protected supplements may not create undisclosed substantive obligations for traders.</w:t>
      </w:r>
    </w:p>
    <w:p>
      <w:pPr>
        <w:pStyle w:val="Heading1"/>
      </w:pPr>
      <w:bookmarkStart w:id="901159" w:name="_Toc300001158"/>
      <w:r>
        <w:t>ANNEX 34-J: FINAL SETTLEMENT ARCHITECTURE AND ADOPTION FRAMEWORK</w:t>
      </w:r>
      <w:bookmarkEnd w:id="901159"/>
    </w:p>
    <w:p>
      <w:pPr>
        <w:pStyle w:val="Normal"/>
      </w:pPr>
      <w:r>
        <w:t>Final Settlement Integration Gateway. This Annex supplies the common adoption, hierarchy, authority, schedule-status, bilateral and trilateral participation, cross-module implementation, amendment, completion, and closure architecture for Annexes 35-K, 36-A, 43-I, and 59-C. It coordinates those Annexes without displacing a more specific NAESTMA rule except through legally sufficient express authority.</w:t>
      </w:r>
    </w:p>
    <w:p>
      <w:pPr>
        <w:pStyle w:val="Heading2"/>
      </w:pPr>
      <w:bookmarkStart w:id="901160" w:name="_Toc300001159"/>
      <w:r>
        <w:t>FS-00.1: Package Identity, Purpose, and Scope</w:t>
      </w:r>
      <w:bookmarkEnd w:id="901160"/>
    </w:p>
    <w:p>
      <w:pPr>
        <w:pStyle w:val="ClauseLabel"/>
      </w:pPr>
      <w:r>
        <w:t>FS00-A01: Final Settlement Function</w:t>
      </w:r>
    </w:p>
    <w:p>
      <w:pPr>
        <w:pStyle w:val="Normal"/>
      </w:pPr>
      <w:r>
        <w:t>The Final Settlement Framework coordinates FS-01, FS-02, FS-03, and FS-04 as interoperable settlement modules within this Agreement. FS-00 supplies common adoption, authority, hierarchy, recordkeeping, interface, amendment, and closure rules without replacing the substantive rules stated in an adopted module. A module acquires legal effect only through the adoption mechanism and legally sufficient authority applicable to the commitments it contains. Nothing in FS-00 converts a draft, model schedule, negotiating option, or incomplete field into an operative commitment.</w:t>
      </w:r>
    </w:p>
    <w:p>
      <w:pPr>
        <w:pStyle w:val="ClauseLabel"/>
      </w:pPr>
      <w:r>
        <w:t>FS00-A02: Covered Final Settlement Modules</w:t>
      </w:r>
    </w:p>
    <w:p>
      <w:pPr>
        <w:pStyle w:val="Normal"/>
      </w:pPr>
      <w:r>
        <w:t>FS-01 governs strategic-sector tariff normalization and synchronized stand-down for the measures placed within its adopted scope. FS-02 governs optional Strategic North American Content Assurance contributions and enhanced benefits without altering ordinary origin by implication. FS-03 governs automotive regional integration and settlement interfaces, including the relationship among ordinary origin, enhanced automotive benefits, and FS-01 tariff normalization. FS-04 governs agricultural final-settlement selection, transition, completion, and deliberate NAAFTC incorporation or compatibility without recreating Chapter 43 machinery.</w:t>
      </w:r>
    </w:p>
    <w:p>
      <w:pPr>
        <w:pStyle w:val="ClauseLabel"/>
      </w:pPr>
      <w:r>
        <w:t>FS00-A03: No Silent Expansion of Module Scope</w:t>
      </w:r>
    </w:p>
    <w:p>
      <w:pPr>
        <w:pStyle w:val="Normal"/>
      </w:pPr>
      <w:r>
        <w:t>Adoption of one Final Settlement module does not adopt another module, schedule, sector, product class, benefit, transition, or remedy by implication. Modular or partial adoption reaches only a legally severable module or expressly severable portion identified by the adoption instrument and does not permit unilateral selection among provisions that the controlling module treats as an integrated or synchronized bargain. Political packaging, simultaneous signature, common publication, or administrative convenience does not merge legally distinct obligations or sever an inseverable bargain unless legally sufficient authority expressly provides that result. An omitted module or severable portion remains governed by otherwise applicable NAESTMA provisions and any independently operative settlement instrument.</w:t>
      </w:r>
    </w:p>
    <w:p>
      <w:pPr>
        <w:pStyle w:val="ClauseLabel"/>
      </w:pPr>
      <w:r>
        <w:t>FS00-A04: Existing Agreement First</w:t>
      </w:r>
    </w:p>
    <w:p>
      <w:pPr>
        <w:pStyle w:val="Normal"/>
      </w:pPr>
      <w:r>
        <w:t>FS-00 and the Final Settlement modules use existing NAESTMA institutions, verification channels, registries, committees, dispute procedures, and restoration machinery before creating a new mechanism. Where Chapter 35, Cothrom, Chapter 43, Chapter 59, or another more specific provision already performs the required function, the Final Settlement package applies or coordinates that machinery rather than duplicating it. A module-specific recordkeeper or schedule administrator receives only the authority expressly assigned to that function. Administrative architecture does not expand merely because several Final Settlement modules consume the same verified fact or existing institutional service.</w:t>
      </w:r>
    </w:p>
    <w:p>
      <w:pPr>
        <w:pStyle w:val="ClauseLabel"/>
      </w:pPr>
      <w:r>
        <w:t>FS00-A05: Preservation of Day-One and Existing Rights</w:t>
      </w:r>
    </w:p>
    <w:p>
      <w:pPr>
        <w:pStyle w:val="Normal"/>
      </w:pPr>
      <w:r>
        <w:t>FS-00 does not postpone, suspend, condition, or reopen a Day-One right or obligation established elsewhere in NAESTMA unless a legally sufficient adopted settlement term expressly authorizes that result. An acquired right, completed normalization, completed transition, restored benefit, or other durable legal state does not fade merely because a Final Settlement review, work plan, schedule update, or closure record remains incomplete. A temporary departure preserves the underlying legal state except to the extent the controlling authority expressly provides otherwise. The package therefore coordinates settlement implementation without converting durable treatment into periodically renewable permission.</w:t>
      </w:r>
    </w:p>
    <w:p>
      <w:pPr>
        <w:pStyle w:val="ClauseLabel"/>
      </w:pPr>
      <w:r>
        <w:t>FS00-A06: Defined Package Terms</w:t>
      </w:r>
    </w:p>
    <w:p>
      <w:pPr>
        <w:pStyle w:val="Normal"/>
      </w:pPr>
      <w:r>
        <w:t>An “Adopted Final Settlement Module” means FS-01, FS-02, FS-03, or FS-04 to the extent formally adopted by the Parties whose participation is legally required for the commitments at issue. An “Adopted Final Settlement Record” means a completed FS-00 or module schedule entry that records an adopted term under legally sufficient authority and is not merely draft, bracketed, illustrative, proposed, unverified, or incomplete. “Specific Legal Authority” means the treaty provision, amendment authority, schedule authority, protocol, implementing instrument, or other legally sufficient source that supplies the substantive legal effect recorded by a Final Settlement term. “Final Settlement Package” means the set of Adopted Final Settlement Modules and adopted FS-00 records applicable to the participating Parties, without implying that every module is adopted in every bilateral or trilateral relationship.</w:t>
      </w:r>
    </w:p>
    <w:p>
      <w:pPr>
        <w:pStyle w:val="Heading2"/>
      </w:pPr>
      <w:bookmarkStart w:id="901161" w:name="_Toc300001160"/>
      <w:r>
        <w:t>FS-00.2: Authority, Hierarchy, and Conflict Discipline</w:t>
      </w:r>
      <w:bookmarkEnd w:id="901161"/>
    </w:p>
    <w:p>
      <w:pPr>
        <w:pStyle w:val="ClauseLabel"/>
      </w:pPr>
      <w:r>
        <w:t>FS00-B01: Specific Legal Authority Rule</w:t>
      </w:r>
    </w:p>
    <w:p>
      <w:pPr>
        <w:pStyle w:val="Normal"/>
      </w:pPr>
      <w:r>
        <w:t>Every substantive Final Settlement benefit, restriction, tariff consequence, transition, adjustment, incorporation, suspension, or restoration identifies its Specific Legal Authority where that authority is not already unambiguous from the controlling provision. A schedule, certificate, registry, technical finding, Secretariat record, or implementation notice does not manufacture substantive authority absent a legally sufficient source. Where domestic implementation is legally required, the applicable record identifies that activation condition without treating anticipated implementation as completed implementation. If a proposed term lacks sufficient authority, the term remains non-operative until the required authority is lawfully supplied.</w:t>
      </w:r>
    </w:p>
    <w:p>
      <w:pPr>
        <w:spacing w:before="0" w:after="0"/>
        <w:widowControl w:val="1"/>
      </w:pPr>
      <w:r>
        <w:t>1. FINAL SETTLEMENT ADOPTION AND SINGLE HIERARCHY. Specific Legal Authority means an identified provision expressly delegating the proposed term within stated limits or an Article 34.3 amendment approved through every affected Party's applicable domestic procedures, and does not mean the schedule that merely records the term. Except for an Automotive Integration Activation Schedule validly adopted by Commission consensus under Article 59.1(5), for which that Commission decision is the constitutive trilateral adoption instrument and FS-03-A is only the recording location, a module or entry is adopted only by an authenticated written instrument signed by all three Parties where treaty rights are altered, or by participating Parties solely for independently authorized optional bilateral administration preserving every third-Party right. Substantive rates, duration, origin or market-access changes outside an express delegation require Article 34.3; the single hierarchy for Annexes 34-J, 35-D.1 and 35-K is the authenticated express authority first, then its specific authorized scope, then all unaltered Chapter 35 limits, with narrower meaning the more restrictive applicable rate, duration, coverage or safeguard and not an implied exemption. No adoption deadline or silence creates a commitment: draft, incomplete or unverified entries remain non-operative, the default treaty treatment applies, and FS-01 denotes the settlement module rather than the Protocol of Modernization.</w:t>
      </w:r>
    </w:p>
    <w:p/>
    <w:p>
      <w:pPr>
        <w:pStyle w:val="ClauseLabel"/>
      </w:pPr>
      <w:r>
        <w:t>FS00-B02: Hierarchy of Controlling Rules</w:t>
      </w:r>
    </w:p>
    <w:p>
      <w:pPr>
        <w:pStyle w:val="Normal"/>
        <w:spacing w:before="0" w:after="0"/>
        <w:widowControl w:val="1"/>
      </w:pPr>
      <w:r>
        <w:t>An express amendment or adoption instrument controls within the scope of the legal change it validly makes. The single authenticated-authority, specific-scope and lower-limit hierarchy in FS00-B01 governs every module tie-breaker, and FS-00 does not displace that specific rule merely because FS-00 is adopted later, appears in the same adoption instrument, or addresses the same general subject. An intended override identifies the provision displaced, the participating Parties, the scope of displacement, and the intended legal effect through legally sufficient authority. Where two adopted Final Settlement terms cannot be reconciled through scope, specificity, or express hierarchy, the Parties use the amendment or interpretive procedure legally available for that conflict rather than allowing an administrator to choose a preferred bargain.</w:t>
      </w:r>
    </w:p>
    <w:p/>
    <w:p>
      <w:pPr>
        <w:pStyle w:val="ClauseLabel"/>
      </w:pPr>
      <w:r>
        <w:t>FS00-B03: No Implied Remedy Authority</w:t>
      </w:r>
    </w:p>
    <w:p>
      <w:pPr>
        <w:pStyle w:val="Normal"/>
      </w:pPr>
      <w:r>
        <w:t>No Final Settlement module creates a tariff, embargo, quota, procurement exclusion, investment restriction, sanctions measure, suspension, or cross-sector remedy merely by describing that measure as a possible consequence. The operative term identifies the independent authority sufficient to impose the measure and the conditions limiting its use. Chapter 35 and the applicable Cothrom architecture govern cure, proportionality, containment, earn-back, and restoration where their scope applies. Silence preserves the treatment otherwise established by NAESTMA and does not become remedial discretion.</w:t>
      </w:r>
    </w:p>
    <w:p>
      <w:pPr>
        <w:pStyle w:val="ClauseLabel"/>
      </w:pPr>
      <w:r>
        <w:t>FS00-B04: No Origin Substitution</w:t>
      </w:r>
    </w:p>
    <w:p>
      <w:pPr>
        <w:pStyle w:val="Normal"/>
      </w:pPr>
      <w:r>
        <w:t>FS-02 assurance criteria, FS-03 enhanced automotive criteria, industrial-additionality criteria, settlement credits, or another optional enhanced-benefit condition do not become ordinary rules of origin unless NAESTMA expressly amends the controlling origin rule. Ordinary-Origin Treatment remains determined by Chapters 4 and 5 and the applicable product-specific rules. Failure to earn an optional enhanced benefit does not make an independently originating good non-originating or revive a tariff extinguished under a separate controlling settlement rule. A Final Settlement schedule therefore records enhanced-benefit qualification separately from ordinary origin whenever both concepts appear in the same commercial setting.</w:t>
      </w:r>
    </w:p>
    <w:p>
      <w:pPr>
        <w:pStyle w:val="ClauseLabel"/>
      </w:pPr>
      <w:r>
        <w:t>FS00-B05: No Cross-Sector Contagion</w:t>
      </w:r>
    </w:p>
    <w:p>
      <w:pPr>
        <w:pStyle w:val="Normal"/>
      </w:pPr>
      <w:r>
        <w:t>Non-performance, verification difficulty, suspension, or dispute in one Final Settlement module remains confined to the affected obligation, benefit, product, actor, Party relationship, and sector to the extent required by the controlling authority. An automotive dispute does not reopen an agricultural settlement, an agricultural administrative dispute does not revive a normalized strategic-sector tariff, and an assurance dispute does not alter ordinary origin absent independent authority. Cross-sector linkage operates only where an adopted term expressly identifies the linked bargain, participating Parties, legal authority, containment rule, and restoration consequence. A political decision to negotiate several sectors together does not by itself create legal cross-default.</w:t>
      </w:r>
    </w:p>
    <w:p>
      <w:pPr>
        <w:pStyle w:val="ClauseLabel"/>
      </w:pPr>
      <w:r>
        <w:t>FS00-B06: No Administrative Choice Between Bargains</w:t>
      </w:r>
    </w:p>
    <w:p>
      <w:pPr>
        <w:pStyle w:val="Normal"/>
      </w:pPr>
      <w:r>
        <w:t>An administrative body records, verifies, or implements the legal consequence supplied by the controlling Final Settlement term within its assigned mandate. It does not choose among competing settlement outcomes, alter participating Parties, change severability, invent a missing tariff or access value, or cure a missing legal authority through interpretation. Where objective conditions make a consequence automatic, administrative delay does not become a veto unless the controlling law expressly makes the administrative act constitutive. A genuine interpretive dispute proceeds through the applicable NAESTMA process without allowing temporary uncertainty to rewrite unrelated adopted terms.</w:t>
      </w:r>
    </w:p>
    <w:p>
      <w:pPr>
        <w:pStyle w:val="Heading2"/>
      </w:pPr>
      <w:bookmarkStart w:id="901162" w:name="_Toc300001161"/>
      <w:r>
        <w:t>FS-00.3: Adoption, Participation, and Reciprocity</w:t>
      </w:r>
      <w:bookmarkEnd w:id="901162"/>
    </w:p>
    <w:p>
      <w:pPr>
        <w:pStyle w:val="ClauseLabel"/>
      </w:pPr>
      <w:r>
        <w:t>FS00-C01: Module-by-Module Adoption</w:t>
      </w:r>
    </w:p>
    <w:p>
      <w:pPr>
        <w:pStyle w:val="Normal"/>
      </w:pPr>
      <w:r>
        <w:t>The Parties may adopt FS-01, FS-02, FS-03, and FS-04 together, separately, or in an expressly identified legally severable portion to the extent permitted by the legal authority governing each commitment. An adoption instrument identifies each adopted module or module portion, provision range, schedule, row, annex, reservation, modification, and participating Party relationship that it makes operative. Adoption of a module or portion does not fill a blank negotiated field, convert an unverified technical value into an adopted value, or sever an integrated bargain contrary to the controlling module. Schedule FS-00-A records the adopted scope and package configuration after adoption without replacing the adoption instrument that supplies legal effect.</w:t>
      </w:r>
    </w:p>
    <w:p>
      <w:pPr>
        <w:pStyle w:val="ClauseLabel"/>
      </w:pPr>
      <w:r>
        <w:t>FS00-C02: Bilateral and Trilateral Participation</w:t>
      </w:r>
    </w:p>
    <w:p>
      <w:pPr>
        <w:pStyle w:val="Normal"/>
      </w:pPr>
      <w:r>
        <w:t>An adopted Final Settlement term states whether it operates trilaterally, bilaterally between specified Parties, or through another differentiation expressly authorized by NAESTMA. A bilateral term does not silently alter the rights or obligations applicable to the third Party. Where regional treatment depends on North American origin or contribution, a bilateral enhanced-benefit bargain does not devalue otherwise qualifying content from a non-participating Party unless independent NAESTMA authority expressly provides that result. Schedule and registry records keep each bilateral and trilateral legal source, scope, activation condition, and effective date separately traceable.</w:t>
      </w:r>
    </w:p>
    <w:p>
      <w:pPr>
        <w:pStyle w:val="ClauseLabel"/>
      </w:pPr>
      <w:r>
        <w:t>FS00-C03: Reciprocity and Severability</w:t>
      </w:r>
    </w:p>
    <w:p>
      <w:pPr>
        <w:pStyle w:val="Normal"/>
      </w:pPr>
      <w:r>
        <w:t>Each adopted term that depends on matched consideration identifies whether the bargain is reciprocal, unilateral, severable, inseverable, or otherwise linked under the controlling authority. A severable term continues according to its own legal conditions when an unrelated settlement component is delayed or disputed. An inseverable or synchronized term identifies the corresponding obligations or benefits, evidence of completion, activation consequence, and route to resynchronization after material non-performance. Technical correction of a record does not change reciprocity or severability status unless the legally required amendment procedure authorizes that substantive change.</w:t>
      </w:r>
    </w:p>
    <w:p>
      <w:pPr>
        <w:pStyle w:val="ClauseLabel"/>
      </w:pPr>
      <w:r>
        <w:t>FS00-C04: Adoption Status Vocabulary</w:t>
      </w:r>
    </w:p>
    <w:p>
      <w:pPr>
        <w:pStyle w:val="Normal"/>
      </w:pPr>
      <w:r>
        <w:t>Final Settlement schedules use a stable adoption-status vocabulary sufficient to distinguish operative records from development material. “ADOPTED” identifies a completed record given legal effect through the required procedure, while “NOT ADOPTED” identifies a record with no operative settlement effect. “DRAFT: VERIFY” or “DRAFT: VERIFY BEFORE LEGAL SCRUB” identifies development material containing unresolved technical, legal, or source fields and remains non-operative. Another status label acquires operative meaning only where the controlling instrument expressly defines that meaning and its legal consequence.</w:t>
      </w:r>
    </w:p>
    <w:p>
      <w:pPr>
        <w:pStyle w:val="ClauseLabel"/>
      </w:pPr>
      <w:r>
        <w:t>FS00-C05: No Third-Party Penalty by Omission</w:t>
      </w:r>
    </w:p>
    <w:p>
      <w:pPr>
        <w:pStyle w:val="Normal"/>
      </w:pPr>
      <w:r>
        <w:t>Failure of one Party to participate in a bilateral Final Settlement term does not by itself reduce treatment otherwise owed to that Party under NAESTMA. A participating pair may implement the bilateral rights and obligations validly adopted between them without representing the bilateral bargain as a trilateral commitment. Regional content, origin, and contribution records continue to follow the controlling NAESTMA rules rather than an inference drawn from settlement participation alone. Any lawful differentiation affecting the third Party identifies its independent authority and scope expressly.</w:t>
      </w:r>
    </w:p>
    <w:p>
      <w:pPr>
        <w:pStyle w:val="ClauseLabel"/>
      </w:pPr>
      <w:r>
        <w:t>FS00-C06: Accession to an Existing Settlement Configuration</w:t>
      </w:r>
    </w:p>
    <w:p>
      <w:pPr>
        <w:pStyle w:val="Normal"/>
      </w:pPr>
      <w:r>
        <w:t>A Party may join an existing bilateral or partial Final Settlement configuration only through the procedure legally sufficient to create the additional rights and obligations. The accession record identifies the terms that become applicable, the effective date, any synchronized consideration, and any transition needed to avoid retroactive disturbance of completed treatment. Accession does not restart a completed clock, reopen a completed settlement state, or diminish accrued rights unless the controlling accession instrument expressly and lawfully provides otherwise. The Secretariat updates Schedule FS-00-A after the accession becomes legally effective and preserves the prior configuration for audit continuity.</w:t>
      </w:r>
    </w:p>
    <w:p>
      <w:pPr>
        <w:pStyle w:val="Heading2"/>
      </w:pPr>
      <w:bookmarkStart w:id="901163" w:name="_Toc300001162"/>
      <w:r>
        <w:t>FS-00.4: Schedule Architecture, Identifiers, and Evidentiary Status</w:t>
      </w:r>
      <w:bookmarkEnd w:id="901163"/>
    </w:p>
    <w:p>
      <w:pPr>
        <w:pStyle w:val="ClauseLabel"/>
      </w:pPr>
      <w:r>
        <w:t>FS00-D01: Stable Module and Row Identifiers</w:t>
      </w:r>
    </w:p>
    <w:p>
      <w:pPr>
        <w:pStyle w:val="Normal"/>
      </w:pPr>
      <w:r>
        <w:t>Each adopted Final Settlement module retains its stable module identifier FS-01, FS-02, FS-03, or FS-04 through implementation unless a formal renumbering instrument supplies an authoritative mapping. Where a substantive record is divided across two or more schedule tables, every component carries the same stable row identifier or an expressly mapped derivative identifier. Reordering, pagination, table splitting, or administrative republication does not alter the legal association created by the stable identifier. A successor schedule preserves the identifier history needed to determine which authority, benefit, transition, verification record, and closure event belong to the same legal bargain.</w:t>
      </w:r>
    </w:p>
    <w:p>
      <w:pPr>
        <w:pStyle w:val="ClauseLabel"/>
      </w:pPr>
      <w:r>
        <w:t>FS00-D02: Schedule Constitutiveness</w:t>
      </w:r>
    </w:p>
    <w:p>
      <w:pPr>
        <w:pStyle w:val="Normal"/>
      </w:pPr>
      <w:r>
        <w:t>A Final Settlement schedule is constitutive only to the extent the controlling module and legally sufficient adoption authority expressly make the completed adopted record constitutive for the identified legal function. Where a schedule merely records an independently operative rule, the schedule remains evidentiary and administrative for that function. A blank, bracketed, illustrative, proposed, modelled, unverified, or alternative field is non-operative unless the applicable adoption procedure expressly converts it into an adopted term. No recordkeeper acquires power to change substantive legal effect by editing a field whose legal source lies elsewhere.</w:t>
      </w:r>
    </w:p>
    <w:p>
      <w:pPr>
        <w:pStyle w:val="ClauseLabel"/>
      </w:pPr>
      <w:r>
        <w:t>FS00-D03: Common Authority Field</w:t>
      </w:r>
    </w:p>
    <w:p>
      <w:pPr>
        <w:pStyle w:val="Normal"/>
      </w:pPr>
      <w:r>
        <w:t>“Specific Legal Authority” is the common FS-00 parent concept for authority sufficient to produce the substantive legal consequence at issue. Specific Benefit Legal Authority, Specific Independent Benefit Legal Authority, Specific Transition Legal Authority, and Specific Legally Sufficient Adoption Authority are narrower contextual applications of that parent concept and do not create competing or lower authority standards. An adjustment authority authorizes only the adjustment within its stated bounds and does not imply authority to alter the ultimate settlement state. A technical or administrative authority likewise does not become substantive amendment authority through placement in a schedule.</w:t>
      </w:r>
    </w:p>
    <w:p>
      <w:pPr>
        <w:pStyle w:val="ClauseLabel"/>
      </w:pPr>
      <w:r>
        <w:t>FS00-D04: Source and Provenance</w:t>
      </w:r>
    </w:p>
    <w:p>
      <w:pPr>
        <w:pStyle w:val="Normal"/>
      </w:pPr>
      <w:r>
        <w:t>A technical value used as an operative Final Settlement field identifies its authoritative source where source verification is required by the controlling module. A derived value identifies the derivation method and the source values from which it is calculated. An estimated, reconstructed, unresolved, or illustrative value carries a conspicuous non-operative status until verified and adopted through the required procedure. Republication of a verified value does not create a new legal source or reset the effective date of the underlying commitment.</w:t>
      </w:r>
    </w:p>
    <w:p>
      <w:pPr>
        <w:pStyle w:val="ClauseLabel"/>
      </w:pPr>
      <w:r>
        <w:t>FS00-D05: Technical Corrections</w:t>
      </w:r>
    </w:p>
    <w:p>
      <w:pPr>
        <w:pStyle w:val="Normal"/>
      </w:pPr>
      <w:r>
        <w:t>A technical correction may repair clerical error, formatting, correlation, provenance, identifier mapping, or another non-substantive defect without reopening the negotiated bargain where the controlling law permits that correction. A technical correction does not change a participating Party, tariff rate, access quantity, threshold, final settlement state, reciprocity status, severability status, transition duration, legal activation mode, or substantive legal authority. Where a proposed correction would change legal effect, the Parties use the amendment or adoption procedure required for that substantive change. The record preserves the correction history sufficiently to reconstruct the operative text before and after the correction.</w:t>
      </w:r>
    </w:p>
    <w:p>
      <w:pPr>
        <w:pStyle w:val="ClauseLabel"/>
      </w:pPr>
      <w:r>
        <w:t>FS00-D06: Final Settlement Register</w:t>
      </w:r>
    </w:p>
    <w:p>
      <w:pPr>
        <w:pStyle w:val="Normal"/>
      </w:pPr>
      <w:r>
        <w:t>The Secretariat maintains a Final Settlement Register identifying each Adopted Final Settlement Module, adopted schedule record, participating Parties, effective date, stable identifier, Specific Legal Authority, current implementation state, and closure status. The Register is evidentiary unless a controlling provision expressly makes a particular entry constitutive. A clerical omission from the Register does not extinguish an otherwise operative right or preserve an obligation that has otherwise lawfully ended. The Secretariat corrects verified recordkeeping errors without using the Register to reopen the underlying bargain.</w:t>
      </w:r>
    </w:p>
    <w:p>
      <w:pPr>
        <w:pStyle w:val="Heading2"/>
      </w:pPr>
      <w:bookmarkStart w:id="901164" w:name="_Toc300001163"/>
      <w:r>
        <w:t>FS-00.5: Cross-Module Implementation, Verification, and Restoration</w:t>
      </w:r>
      <w:bookmarkEnd w:id="901164"/>
    </w:p>
    <w:p>
      <w:pPr>
        <w:pStyle w:val="ClauseLabel"/>
      </w:pPr>
      <w:r>
        <w:t>FS00-E01: Single-Fact Reuse</w:t>
      </w:r>
    </w:p>
    <w:p>
      <w:pPr>
        <w:pStyle w:val="Normal"/>
      </w:pPr>
      <w:r>
        <w:t>Where two Final Settlement modules require proof of the same fact, an authoritative finding made under an equivalent or stricter evidentiary standard may be reused to the extent permitted by the controlling provisions. Reuse does not convert a verifier into a policy decision maker or expand the legal consequence attached to the verified fact. A Party is not required to reproduce materially identical evidence solely because a second module consumes the same established fact. Confidentiality, freshness, reliability, procedural rights, and module-specific legal criteria remain applicable to the reused evidence.</w:t>
      </w:r>
    </w:p>
    <w:p>
      <w:pPr>
        <w:pStyle w:val="ClauseLabel"/>
      </w:pPr>
      <w:r>
        <w:t>FS00-E02: No Double Counting of Legal Contribution</w:t>
      </w:r>
    </w:p>
    <w:p>
      <w:pPr>
        <w:pStyle w:val="Normal"/>
      </w:pPr>
      <w:r>
        <w:t>The same physical investment, capacity addition, qualifying expenditure, production contribution, settlement credit, or other legally relevant contribution is not counted twice toward the same legal benefit where the controlling modules prohibit double counting. Where the same fact lawfully supports different legal tests, the record identifies each distinct test and confirms that the use does not duplicate the contribution within a single capped benefit calculation. FS-02 and FS-03 overlap records remain controlling for assurance and automotive contribution interfaces within their scope. Administrative reuse of evidence does not itself constitute economic double counting.</w:t>
      </w:r>
    </w:p>
    <w:p>
      <w:pPr>
        <w:pStyle w:val="ClauseLabel"/>
      </w:pPr>
      <w:r>
        <w:t>FS00-E03: Verification Boundaries</w:t>
      </w:r>
    </w:p>
    <w:p>
      <w:pPr>
        <w:pStyle w:val="Normal"/>
      </w:pPr>
      <w:r>
        <w:t>Verification establishes facts within the mandate assigned by the controlling NAESTMA provision or Final Settlement module. A verifier does not create a tariff consequence, origin rule, benefit, transition, suspension, or restoration merely by making a factual finding. The controlling legal provision supplies the consequence that follows from the verified fact. A disputed finding proceeds through the applicable review mechanism without enlarging the verifier's substantive authority.</w:t>
      </w:r>
    </w:p>
    <w:p>
      <w:pPr>
        <w:pStyle w:val="ClauseLabel"/>
      </w:pPr>
      <w:r>
        <w:t>FS00-E04: Temporary Measures and Clock Integrity</w:t>
      </w:r>
    </w:p>
    <w:p>
      <w:pPr>
        <w:pStyle w:val="Normal"/>
      </w:pPr>
      <w:r>
        <w:t>A temporary measure remains bounded by the condition, scope, duration, review rule, and restoration consequence supplied by its controlling authority. Movement of the measure between agencies, classifications, administrative forms, or Final Settlement records does not restart or multiply a clock that the controlling provision requires to continue or aggregate. A pause or extension affects only the products, Parties, benefits, and period expressly authorized by the applicable rule. Completed time and completed settlement states remain credited unless independent legal authority expressly provides a different result.</w:t>
      </w:r>
    </w:p>
    <w:p>
      <w:pPr>
        <w:pStyle w:val="ClauseLabel"/>
      </w:pPr>
      <w:r>
        <w:t>FS00-E05: Cure, Earn-Back, and Restoration</w:t>
      </w:r>
    </w:p>
    <w:p>
      <w:pPr>
        <w:pStyle w:val="Normal"/>
      </w:pPr>
      <w:r>
        <w:t>Where Chapter 35, Cothrom, or a more specific Final Settlement rule provides cure, earn-back, or restoration, that controlling architecture determines the evidentiary test and legal consequence. Restoration occurs automatically where the controlling rule makes verified cure sufficient and does not depend on a new political concession. Restoration returns the affected treatment to the state that would otherwise apply under the adopted settlement and does not revive an extinguished extraordinary measure absent independent authority. Unrelated modules, sectors, products, Parties, and benefits remain outside the restoration dispute unless an adopted term expressly and lawfully links them.</w:t>
      </w:r>
    </w:p>
    <w:p>
      <w:pPr>
        <w:pStyle w:val="ClauseLabel"/>
      </w:pPr>
      <w:r>
        <w:t>FS00-E06: Implementation Coordination Without Merger</w:t>
      </w:r>
    </w:p>
    <w:p>
      <w:pPr>
        <w:pStyle w:val="Normal"/>
      </w:pPr>
      <w:r>
        <w:t>The Parties may coordinate implementation calendars, customs guidance, publication, technical assistance, data exchange, and Secretariat administration across several Final Settlement modules. Operational coordination does not merge the modules' legal tests, participating Parties, authorities, remedies, clocks, or closure conditions. Where one administrative action implements several adopted terms, the record identifies each legal basis separately enough to preserve auditability. A failure in one implementation stream is contained according to the controlling module rather than presumed to suspend the entire Final Settlement Package.</w:t>
      </w:r>
    </w:p>
    <w:p>
      <w:pPr>
        <w:pStyle w:val="Heading2"/>
      </w:pPr>
      <w:bookmarkStart w:id="901165" w:name="_Toc300001164"/>
      <w:r>
        <w:t>FS-00.6: Review, Amendment, Completion, and Closure</w:t>
      </w:r>
      <w:bookmarkEnd w:id="901165"/>
    </w:p>
    <w:p>
      <w:pPr>
        <w:pStyle w:val="ClauseLabel"/>
      </w:pPr>
      <w:r>
        <w:t>FS00-F01: Package Review</w:t>
      </w:r>
    </w:p>
    <w:p>
      <w:pPr>
        <w:pStyle w:val="Normal"/>
      </w:pPr>
      <w:r>
        <w:t>A Final Settlement review may assess implementation, interoperability, administrative burden, verification reuse, commercial usability, data quality, unresolved interface issues, and whether the adopted package continues to operate as recorded. Review alone does not amend a tariff rate, access quantity, origin rule, assurance benchmark, automotive threshold, transition period, participating-Party configuration, or other substantive term. The review distinguishes technical correction from substantive amendment and identifies the legal procedure required for any recommended change. An unfinished review does not suspend an otherwise operative adopted term or cause a durable settlement state to fade.</w:t>
      </w:r>
    </w:p>
    <w:p>
      <w:pPr>
        <w:pStyle w:val="ClauseLabel"/>
      </w:pPr>
      <w:r>
        <w:t>FS00-F02: Amendment Discipline</w:t>
      </w:r>
    </w:p>
    <w:p>
      <w:pPr>
        <w:pStyle w:val="Normal"/>
      </w:pPr>
      <w:r>
        <w:t>A substantive change to an Adopted Final Settlement Module uses the amendment, adoption, or implementing procedure legally required for the right or obligation being changed. The amendment identifies the affected module, stable row identifier, participating Parties, Specific Legal Authority, effective date, and any transition or preservation rule needed to avoid ambiguity. An amendment to one module does not amend another module by implication. Where a conforming cross-reference change is necessary, the amendment record identifies that change expressly and preserves the prior text for audit continuity.</w:t>
      </w:r>
    </w:p>
    <w:p>
      <w:pPr>
        <w:pStyle w:val="ClauseLabel"/>
      </w:pPr>
      <w:r>
        <w:t>FS00-F03: No-Fade and Anti-Revival</w:t>
      </w:r>
    </w:p>
    <w:p>
      <w:pPr>
        <w:pStyle w:val="Normal"/>
      </w:pPr>
      <w:r>
        <w:t>Final Normalization, Completed Agricultural Settlement States, restored benefits, and other durable settlement states continue according to their controlling provisions after implementation work is complete. Expiration of a committee mandate, review date, administrative form, schedule publication cycle, or implementation plan does not revive a displaced extraordinary tariff, completed transitional burden, or expired temporary restriction. A successor measure does not recreate substantially equivalent prohibited treatment merely through relabelling, reclassification, a different agency, or a different administrative vehicle. Any lawful reintroduction or alteration identifies independent authority sufficient for that new legal effect.</w:t>
      </w:r>
    </w:p>
    <w:p>
      <w:pPr>
        <w:pStyle w:val="ClauseLabel"/>
      </w:pPr>
      <w:r>
        <w:t>FS00-F04: Module Completion</w:t>
      </w:r>
    </w:p>
    <w:p>
      <w:pPr>
        <w:pStyle w:val="Normal"/>
      </w:pPr>
      <w:r>
        <w:t>Each module identifies the event or objective condition that completes its settlement function for an adopted record. A completion record states the durable treatment, continuing administrative interfaces, surviving temporary measures, unresolved disputes, cure or restoration rights, and provisions designated to survive. The completion record is evidentiary unless the controlling law expressly makes it constitutive. Failure to issue an evidentiary completion record does not delay a legal consequence that the controlling provision makes automatic upon satisfaction of objective conditions.</w:t>
      </w:r>
    </w:p>
    <w:p>
      <w:pPr>
        <w:pStyle w:val="ClauseLabel"/>
      </w:pPr>
      <w:r>
        <w:t>FS00-F05: Package Closure</w:t>
      </w:r>
    </w:p>
    <w:p>
      <w:pPr>
        <w:pStyle w:val="Normal"/>
      </w:pPr>
      <w:r>
        <w:t>The Final Settlement Package reaches closure for a participating Party configuration when every adopted module applicable to that configuration has reached its controlling completion or continuing-state condition and no adoption instrument requires an additional package-level act. Package closure is an administrative and evidentiary state unless a controlling provision expressly gives closure a substantive terminating effect, and it does not by itself terminate, suspend, reopen, or renew a right or obligation created by an adopted module. The closure record states the operative module set, surviving rights and obligations, continuing registries or administrative interfaces, unresolved proceedings, and authoritative amendment history without extinguishing accrued rights, confidentiality duties, audit records, cure rights, restoration rights, or provisions designated to survive. The closure record does not create authority to renegotiate or reopen a completed settlement state.</w:t>
      </w:r>
    </w:p>
    <w:p>
      <w:pPr>
        <w:pStyle w:val="ClauseLabel"/>
      </w:pPr>
      <w:r>
        <w:t>FS00-F06: Transition to Master Integration</w:t>
      </w:r>
    </w:p>
    <w:p>
      <w:pPr>
        <w:pStyle w:val="Normal"/>
      </w:pPr>
      <w:r>
        <w:t>The Secretariat maintains the Final Settlement Integration Map as a non-operative concordance showing the authenticated master location of each adopted FS-00 through FS-04 provision, schedule, definition, and controlling cross-reference. The Integration Map identifies insertion points, schedule relationships, conforming amendments, superseded development notes, and provisions intentionally left untouched, but the Map does not itself amend, adopt, displace, or interpret this Agreement. A later consolidation preserves the tested legal function of each module and does not silently consolidate, delete, or rewrite existing NAESTMA architecture merely for editorial convenience. Where maintenance of the Map reveals a genuine conflict not resolved by this Annex, the conflict proceeds through targeted legal review rather than unrecorded drafting inference.</w:t>
      </w:r>
    </w:p>
    <w:p>
      <w:pPr>
        <w:pStyle w:val="Heading2"/>
      </w:pPr>
      <w:bookmarkStart w:id="901166" w:name="_Toc300001165"/>
      <w:r>
        <w:t>Schedule FS-00-A: Final Settlement Module Adoption and Participation Register</w:t>
      </w:r>
      <w:bookmarkEnd w:id="901166"/>
    </w:p>
    <w:p>
      <w:pPr>
        <w:pStyle w:val="Normal"/>
      </w:pPr>
      <w:r>
        <w:rPr>
          <w:b w:val="0"/>
          <w:i w:val="0"/>
        </w:rPr>
        <w:t>This schedule records the operative package configuration and adopted scope after legally sufficient adoption. It is evidentiary unless the controlling adoption instrument expressly makes a field constitutive. Blank or development-status fields do not create legal effect, and a recorded module portion does not imply adoption of the remainder of that module.</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fixed"/>
        <w:tblCellMar>
          <w:top w:w="70" w:type="dxa"/>
          <w:left w:w="100" w:type="dxa"/>
          <w:bottom w:w="70" w:type="dxa"/>
          <w:right w:w="100" w:type="dxa"/>
        </w:tblCellMar>
        <w:tblLook w:firstColumn="1" w:firstRow="1" w:lastColumn="0" w:lastRow="0" w:noHBand="0" w:noVBand="1" w:val="04A0"/>
      </w:tblPr>
      <w:tblGrid>
        <w:gridCol w:w="979"/>
        <w:gridCol w:w="979"/>
        <w:gridCol w:w="979"/>
        <w:gridCol w:w="979"/>
        <w:gridCol w:w="979"/>
        <w:gridCol w:w="979"/>
        <w:gridCol w:w="979"/>
        <w:gridCol w:w="979"/>
        <w:gridCol w:w="979"/>
        <w:gridCol w:w="979"/>
        <w:gridCol w:w="0"/>
      </w:tblGrid>
      <w:tr>
        <w:trPr>
          <w:tblHeader w:val="true"/>
        </w:trPr>
        <w:tc>
          <w:tcPr>
            <w:tcW w:type="dxa" w:w="1080"/>
            <w:shd w:fill="ECEFF1" w:val="clear" w:color="auto"/>
            <w:vAlign w:val="center"/>
          </w:tcPr>
          <w:p>
            <w:pPr>
              <w:pStyle w:val="TableText"/>
            </w:pPr>
            <w:r>
              <w:rPr/>
              <w:t>Adoption Status</w:t>
            </w:r>
          </w:p>
        </w:tc>
        <w:tc>
          <w:tcPr>
            <w:tcW w:type="dxa" w:w="648"/>
            <w:shd w:fill="ECEFF1" w:val="clear" w:color="auto"/>
            <w:vAlign w:val="center"/>
          </w:tcPr>
          <w:p>
            <w:pPr>
              <w:pStyle w:val="TableText"/>
            </w:pPr>
            <w:r>
              <w:rPr/>
              <w:t>Module</w:t>
            </w:r>
          </w:p>
        </w:tc>
        <w:tc>
          <w:tcPr>
            <w:tcW w:type="dxa" w:w="1152"/>
            <w:shd w:fill="ECEFF1" w:val="clear" w:color="auto"/>
            <w:vAlign w:val="center"/>
          </w:tcPr>
          <w:p>
            <w:pPr>
              <w:pStyle w:val="TableText"/>
            </w:pPr>
            <w:r>
              <w:rPr/>
              <w:t>[Entire module / exact severable portion]</w:t>
            </w:r>
          </w:p>
        </w:tc>
        <w:tc>
          <w:tcPr>
            <w:tcW w:type="dxa" w:w="1296"/>
            <w:shd w:fill="ECEFF1" w:val="clear" w:color="auto"/>
            <w:vAlign w:val="center"/>
          </w:tcPr>
          <w:p>
            <w:pPr>
              <w:pStyle w:val="TableText"/>
            </w:pPr>
            <w:r>
              <w:rPr/>
              <w:t>Parties / Scope</w:t>
            </w:r>
          </w:p>
        </w:tc>
        <w:tc>
          <w:tcPr>
            <w:tcW w:type="dxa" w:w="1296"/>
            <w:shd w:fill="ECEFF1" w:val="clear" w:color="auto"/>
            <w:vAlign w:val="center"/>
          </w:tcPr>
          <w:p>
            <w:pPr>
              <w:pStyle w:val="TableText"/>
            </w:pPr>
            <w:r>
              <w:rPr/>
              <w:t>Adoption Instrument</w:t>
            </w:r>
          </w:p>
        </w:tc>
        <w:tc>
          <w:tcPr>
            <w:tcW w:type="dxa" w:w="1080"/>
            <w:shd w:fill="ECEFF1" w:val="clear" w:color="auto"/>
            <w:vAlign w:val="center"/>
          </w:tcPr>
          <w:p>
            <w:pPr>
              <w:pStyle w:val="TableText"/>
            </w:pPr>
            <w:r>
              <w:rPr/>
              <w:t>Specific Legal Authority</w:t>
            </w:r>
          </w:p>
        </w:tc>
        <w:tc>
          <w:tcPr>
            <w:tcW w:type="dxa" w:w="1584"/>
            <w:shd w:fill="ECEFF1" w:val="clear" w:color="auto"/>
            <w:vAlign w:val="center"/>
          </w:tcPr>
          <w:p>
            <w:pPr>
              <w:pStyle w:val="TableText"/>
            </w:pPr>
            <w:r>
              <w:rPr/>
              <w:t>Effective Date</w:t>
            </w:r>
          </w:p>
        </w:tc>
        <w:tc>
          <w:tcPr>
            <w:tcW w:type="dxa" w:w="1440"/>
            <w:shd w:fill="ECEFF1" w:val="clear" w:color="auto"/>
            <w:vAlign w:val="center"/>
          </w:tcPr>
          <w:p>
            <w:pPr>
              <w:pStyle w:val="TableText"/>
            </w:pPr>
            <w:r>
              <w:rPr/>
              <w:t>Reciprocity / Severability</w:t>
            </w:r>
          </w:p>
        </w:tc>
        <w:tc>
          <w:tcPr>
            <w:tcW w:type="dxa" w:w="1296"/>
            <w:shd w:fill="ECEFF1" w:val="clear" w:color="auto"/>
            <w:vAlign w:val="center"/>
          </w:tcPr>
          <w:p>
            <w:pPr>
              <w:pStyle w:val="TableText"/>
            </w:pPr>
            <w:r>
              <w:rPr/>
              <w:t>Primary Stable Record</w:t>
            </w:r>
          </w:p>
        </w:tc>
        <w:tc>
          <w:tcPr>
            <w:tcW w:type="dxa" w:w="1008"/>
            <w:shd w:fill="ECEFF1" w:val="clear" w:color="auto"/>
            <w:vAlign w:val="center"/>
          </w:tcPr>
          <w:p>
            <w:pPr>
              <w:pStyle w:val="TableText"/>
            </w:pPr>
            <w:r>
              <w:rPr/>
              <w:t>Implementation State</w:t>
            </w:r>
          </w:p>
        </w:tc>
        <w:tc>
          <w:tcPr>
            <w:tcW w:type="dxa" w:w="0"/>
          </w:tcPr>
          <w:p>
            <w:pPr>
              <w:pStyle w:val="TableText"/>
            </w:pPr>
            <w:r>
              <w:rPr/>
              <w:t>Closure State</w:t>
            </w:r>
          </w:p>
        </w:tc>
      </w:tr>
      <w:tr>
        <w:tc>
          <w:tcPr>
            <w:tcW w:type="dxa" w:w="1080"/>
            <w:vAlign w:val="center"/>
          </w:tcPr>
          <w:p>
            <w:pPr>
              <w:pStyle w:val="TableText"/>
            </w:pPr>
            <w:r>
              <w:rPr/>
              <w:t>DRAFT: VERIFY BEFORE LEGAL SCRUB</w:t>
            </w:r>
          </w:p>
        </w:tc>
        <w:tc>
          <w:tcPr>
            <w:tcW w:type="dxa" w:w="648"/>
            <w:vAlign w:val="center"/>
          </w:tcPr>
          <w:p>
            <w:pPr>
              <w:pStyle w:val="TableText"/>
            </w:pPr>
            <w:r>
              <w:rPr/>
              <w:t>FS-01</w:t>
            </w:r>
          </w:p>
        </w:tc>
        <w:tc>
          <w:tcPr>
            <w:tcW w:type="dxa" w:w="1152"/>
            <w:vAlign w:val="center"/>
          </w:tcPr>
          <w:p>
            <w:pPr>
              <w:pStyle w:val="TableText"/>
            </w:pPr>
            <w:r>
              <w:rPr/>
              <w:t>[Entire module / exact severable portion]</w:t>
            </w:r>
          </w:p>
        </w:tc>
        <w:tc>
          <w:tcPr>
            <w:tcW w:type="dxa" w:w="1296"/>
            <w:vAlign w:val="center"/>
          </w:tcPr>
          <w:p>
            <w:pPr>
              <w:pStyle w:val="TableText"/>
            </w:pPr>
            <w:r>
              <w:rPr/>
              <w:t>[CA/US/MX or bilateral pair]</w:t>
            </w:r>
          </w:p>
        </w:tc>
        <w:tc>
          <w:tcPr>
            <w:tcW w:type="dxa" w:w="1296"/>
            <w:vAlign w:val="center"/>
          </w:tcPr>
          <w:p>
            <w:pPr>
              <w:pStyle w:val="TableText"/>
            </w:pPr>
            <w:r>
              <w:rPr/>
              <w:t>[Instrument]</w:t>
            </w:r>
          </w:p>
        </w:tc>
        <w:tc>
          <w:tcPr>
            <w:tcW w:type="dxa" w:w="1080"/>
            <w:vAlign w:val="center"/>
          </w:tcPr>
          <w:p>
            <w:pPr>
              <w:pStyle w:val="TableText"/>
            </w:pPr>
            <w:r>
              <w:rPr/>
              <w:t>[Authority]</w:t>
            </w:r>
          </w:p>
        </w:tc>
        <w:tc>
          <w:tcPr>
            <w:tcW w:type="dxa" w:w="1584"/>
            <w:vAlign w:val="center"/>
          </w:tcPr>
          <w:p>
            <w:pPr>
              <w:pStyle w:val="TableText"/>
            </w:pPr>
            <w:r>
              <w:rPr/>
              <w:t>[Date / condition]</w:t>
            </w:r>
          </w:p>
        </w:tc>
        <w:tc>
          <w:tcPr>
            <w:tcW w:type="dxa" w:w="1440"/>
            <w:vAlign w:val="center"/>
          </w:tcPr>
          <w:p>
            <w:pPr>
              <w:pStyle w:val="TableText"/>
            </w:pPr>
            <w:r>
              <w:rPr/>
              <w:t>[Reciprocal / unilateral; severable / inseverable]</w:t>
            </w:r>
          </w:p>
        </w:tc>
        <w:tc>
          <w:tcPr>
            <w:tcW w:type="dxa" w:w="1296"/>
            <w:vAlign w:val="center"/>
          </w:tcPr>
          <w:p>
            <w:pPr>
              <w:pStyle w:val="TableText"/>
            </w:pPr>
            <w:r>
              <w:rPr/>
              <w:t>[FS-01-A entry / register]</w:t>
            </w:r>
          </w:p>
        </w:tc>
        <w:tc>
          <w:tcPr>
            <w:tcW w:type="dxa" w:w="1008"/>
            <w:vAlign w:val="center"/>
          </w:tcPr>
          <w:p>
            <w:pPr>
              <w:pStyle w:val="TableText"/>
            </w:pPr>
            <w:r>
              <w:rPr/>
              <w:t>[Not active / active / transition / completed]</w:t>
            </w:r>
          </w:p>
        </w:tc>
        <w:tc>
          <w:tcPr>
            <w:tcW w:type="dxa" w:w="0"/>
          </w:tcPr>
          <w:p>
            <w:pPr>
              <w:pStyle w:val="TableText"/>
            </w:pPr>
            <w:r>
              <w:rPr/>
              <w:t>[Open / closed]</w:t>
            </w:r>
          </w:p>
        </w:tc>
      </w:tr>
      <w:tr>
        <w:tc>
          <w:tcPr>
            <w:tcW w:type="dxa" w:w="1080"/>
            <w:vAlign w:val="center"/>
          </w:tcPr>
          <w:p>
            <w:pPr>
              <w:pStyle w:val="TableText"/>
            </w:pPr>
            <w:r>
              <w:rPr/>
              <w:t>DRAFT: VERIFY BEFORE LEGAL SCRUB</w:t>
            </w:r>
          </w:p>
        </w:tc>
        <w:tc>
          <w:tcPr>
            <w:tcW w:type="dxa" w:w="648"/>
            <w:vAlign w:val="center"/>
          </w:tcPr>
          <w:p>
            <w:pPr>
              <w:pStyle w:val="TableText"/>
            </w:pPr>
            <w:r>
              <w:rPr/>
              <w:t>FS-02</w:t>
            </w:r>
          </w:p>
        </w:tc>
        <w:tc>
          <w:tcPr>
            <w:tcW w:type="dxa" w:w="1152"/>
            <w:vAlign w:val="center"/>
          </w:tcPr>
          <w:p>
            <w:pPr>
              <w:pStyle w:val="TableText"/>
            </w:pPr>
            <w:r>
              <w:rPr/>
              <w:t>[Entire module / exact severable portion]</w:t>
            </w:r>
          </w:p>
        </w:tc>
        <w:tc>
          <w:tcPr>
            <w:tcW w:type="dxa" w:w="1296"/>
            <w:vAlign w:val="center"/>
          </w:tcPr>
          <w:p>
            <w:pPr>
              <w:pStyle w:val="TableText"/>
            </w:pPr>
            <w:r>
              <w:rPr/>
              <w:t>[CA/US/MX or bilateral pair]</w:t>
            </w:r>
          </w:p>
        </w:tc>
        <w:tc>
          <w:tcPr>
            <w:tcW w:type="dxa" w:w="1296"/>
            <w:vAlign w:val="center"/>
          </w:tcPr>
          <w:p>
            <w:pPr>
              <w:pStyle w:val="TableText"/>
            </w:pPr>
            <w:r>
              <w:rPr/>
              <w:t>[Instrument]</w:t>
            </w:r>
          </w:p>
        </w:tc>
        <w:tc>
          <w:tcPr>
            <w:tcW w:type="dxa" w:w="1080"/>
            <w:vAlign w:val="center"/>
          </w:tcPr>
          <w:p>
            <w:pPr>
              <w:pStyle w:val="TableText"/>
            </w:pPr>
            <w:r>
              <w:rPr/>
              <w:t>[Authority]</w:t>
            </w:r>
          </w:p>
        </w:tc>
        <w:tc>
          <w:tcPr>
            <w:tcW w:type="dxa" w:w="1584"/>
            <w:vAlign w:val="center"/>
          </w:tcPr>
          <w:p>
            <w:pPr>
              <w:pStyle w:val="TableText"/>
            </w:pPr>
            <w:r>
              <w:rPr/>
              <w:t>[Date / condition]</w:t>
            </w:r>
          </w:p>
        </w:tc>
        <w:tc>
          <w:tcPr>
            <w:tcW w:type="dxa" w:w="1440"/>
            <w:vAlign w:val="center"/>
          </w:tcPr>
          <w:p>
            <w:pPr>
              <w:pStyle w:val="TableText"/>
            </w:pPr>
            <w:r>
              <w:rPr/>
              <w:t>[Reciprocal / unilateral; severable / inseverable]</w:t>
            </w:r>
          </w:p>
        </w:tc>
        <w:tc>
          <w:tcPr>
            <w:tcW w:type="dxa" w:w="1296"/>
            <w:vAlign w:val="center"/>
          </w:tcPr>
          <w:p>
            <w:pPr>
              <w:pStyle w:val="TableText"/>
            </w:pPr>
            <w:r>
              <w:rPr/>
              <w:t>[FS-02 row]</w:t>
            </w:r>
          </w:p>
        </w:tc>
        <w:tc>
          <w:tcPr>
            <w:tcW w:type="dxa" w:w="1008"/>
            <w:vAlign w:val="center"/>
          </w:tcPr>
          <w:p>
            <w:pPr>
              <w:pStyle w:val="TableText"/>
            </w:pPr>
            <w:r>
              <w:rPr/>
              <w:t>[Not active / active / suspended / restored]</w:t>
            </w:r>
          </w:p>
        </w:tc>
        <w:tc>
          <w:tcPr>
            <w:tcW w:type="dxa" w:w="0"/>
          </w:tcPr>
          <w:p>
            <w:pPr>
              <w:pStyle w:val="TableText"/>
            </w:pPr>
            <w:r>
              <w:rPr/>
              <w:t>[Open / closed]</w:t>
            </w:r>
          </w:p>
        </w:tc>
      </w:tr>
      <w:tr>
        <w:tc>
          <w:tcPr>
            <w:tcW w:type="dxa" w:w="1080"/>
            <w:vAlign w:val="center"/>
          </w:tcPr>
          <w:p>
            <w:pPr>
              <w:pStyle w:val="TableText"/>
            </w:pPr>
            <w:r>
              <w:rPr/>
              <w:t>DRAFT: VERIFY BEFORE LEGAL SCRUB</w:t>
            </w:r>
          </w:p>
        </w:tc>
        <w:tc>
          <w:tcPr>
            <w:tcW w:type="dxa" w:w="648"/>
            <w:vAlign w:val="center"/>
          </w:tcPr>
          <w:p>
            <w:pPr>
              <w:pStyle w:val="TableText"/>
            </w:pPr>
            <w:r>
              <w:rPr/>
              <w:t>FS-03</w:t>
            </w:r>
          </w:p>
        </w:tc>
        <w:tc>
          <w:tcPr>
            <w:tcW w:type="dxa" w:w="1152"/>
            <w:vAlign w:val="center"/>
          </w:tcPr>
          <w:p>
            <w:pPr>
              <w:pStyle w:val="TableText"/>
            </w:pPr>
            <w:r>
              <w:rPr/>
              <w:t>[Entire module / exact severable portion]</w:t>
            </w:r>
          </w:p>
        </w:tc>
        <w:tc>
          <w:tcPr>
            <w:tcW w:type="dxa" w:w="1296"/>
            <w:vAlign w:val="center"/>
          </w:tcPr>
          <w:p>
            <w:pPr>
              <w:pStyle w:val="TableText"/>
            </w:pPr>
            <w:r>
              <w:rPr/>
              <w:t>[CA/US/MX or bilateral pair]</w:t>
            </w:r>
          </w:p>
        </w:tc>
        <w:tc>
          <w:tcPr>
            <w:tcW w:type="dxa" w:w="1296"/>
            <w:vAlign w:val="center"/>
          </w:tcPr>
          <w:p>
            <w:pPr>
              <w:pStyle w:val="TableText"/>
            </w:pPr>
            <w:r>
              <w:rPr/>
              <w:t>[Instrument]</w:t>
            </w:r>
          </w:p>
        </w:tc>
        <w:tc>
          <w:tcPr>
            <w:tcW w:type="dxa" w:w="1080"/>
            <w:vAlign w:val="center"/>
          </w:tcPr>
          <w:p>
            <w:pPr>
              <w:pStyle w:val="TableText"/>
            </w:pPr>
            <w:r>
              <w:rPr/>
              <w:t>[Authority]</w:t>
            </w:r>
          </w:p>
        </w:tc>
        <w:tc>
          <w:tcPr>
            <w:tcW w:type="dxa" w:w="1584"/>
            <w:vAlign w:val="center"/>
          </w:tcPr>
          <w:p>
            <w:pPr>
              <w:pStyle w:val="TableText"/>
            </w:pPr>
            <w:r>
              <w:rPr/>
              <w:t>[Date / condition]</w:t>
            </w:r>
          </w:p>
        </w:tc>
        <w:tc>
          <w:tcPr>
            <w:tcW w:type="dxa" w:w="1440"/>
            <w:vAlign w:val="center"/>
          </w:tcPr>
          <w:p>
            <w:pPr>
              <w:pStyle w:val="TableText"/>
            </w:pPr>
            <w:r>
              <w:rPr/>
              <w:t>[Reciprocal / unilateral; severable / inseverable]</w:t>
            </w:r>
          </w:p>
        </w:tc>
        <w:tc>
          <w:tcPr>
            <w:tcW w:type="dxa" w:w="1296"/>
            <w:vAlign w:val="center"/>
          </w:tcPr>
          <w:p>
            <w:pPr>
              <w:pStyle w:val="TableText"/>
            </w:pPr>
            <w:r>
              <w:rPr/>
              <w:t>[Core / earned-benefit Row ID]</w:t>
            </w:r>
          </w:p>
        </w:tc>
        <w:tc>
          <w:tcPr>
            <w:tcW w:type="dxa" w:w="1008"/>
            <w:vAlign w:val="center"/>
          </w:tcPr>
          <w:p>
            <w:pPr>
              <w:pStyle w:val="TableText"/>
            </w:pPr>
            <w:r>
              <w:rPr/>
              <w:t>[Not active / active / transition / completed]</w:t>
            </w:r>
          </w:p>
        </w:tc>
        <w:tc>
          <w:tcPr>
            <w:tcW w:type="dxa" w:w="0"/>
          </w:tcPr>
          <w:p>
            <w:pPr>
              <w:pStyle w:val="TableText"/>
            </w:pPr>
            <w:r>
              <w:rPr/>
              <w:t>[Open / closed]</w:t>
            </w:r>
          </w:p>
        </w:tc>
      </w:tr>
      <w:tr>
        <w:tc>
          <w:tcPr>
            <w:tcW w:type="dxa" w:w="1080"/>
            <w:vAlign w:val="center"/>
          </w:tcPr>
          <w:p>
            <w:pPr>
              <w:pStyle w:val="TableText"/>
            </w:pPr>
            <w:r>
              <w:rPr/>
              <w:t>DRAFT: VERIFY BEFORE LEGAL SCRUB</w:t>
            </w:r>
          </w:p>
        </w:tc>
        <w:tc>
          <w:tcPr>
            <w:tcW w:type="dxa" w:w="648"/>
            <w:vAlign w:val="center"/>
          </w:tcPr>
          <w:p>
            <w:pPr>
              <w:pStyle w:val="TableText"/>
            </w:pPr>
            <w:r>
              <w:rPr/>
              <w:t>FS-04</w:t>
            </w:r>
          </w:p>
        </w:tc>
        <w:tc>
          <w:tcPr>
            <w:tcW w:type="dxa" w:w="1152"/>
            <w:vAlign w:val="center"/>
          </w:tcPr>
          <w:p>
            <w:pPr>
              <w:pStyle w:val="TableText"/>
            </w:pPr>
            <w:r>
              <w:rPr/>
              <w:t>[Entire module / exact severable portion]</w:t>
            </w:r>
          </w:p>
        </w:tc>
        <w:tc>
          <w:tcPr>
            <w:tcW w:type="dxa" w:w="1296"/>
            <w:vAlign w:val="center"/>
          </w:tcPr>
          <w:p>
            <w:pPr>
              <w:pStyle w:val="TableText"/>
            </w:pPr>
            <w:r>
              <w:rPr/>
              <w:t>[CA/US/MX or bilateral pair]</w:t>
            </w:r>
          </w:p>
        </w:tc>
        <w:tc>
          <w:tcPr>
            <w:tcW w:type="dxa" w:w="1296"/>
            <w:vAlign w:val="center"/>
          </w:tcPr>
          <w:p>
            <w:pPr>
              <w:pStyle w:val="TableText"/>
            </w:pPr>
            <w:r>
              <w:rPr/>
              <w:t>[Instrument]</w:t>
            </w:r>
          </w:p>
        </w:tc>
        <w:tc>
          <w:tcPr>
            <w:tcW w:type="dxa" w:w="1080"/>
            <w:vAlign w:val="center"/>
          </w:tcPr>
          <w:p>
            <w:pPr>
              <w:pStyle w:val="TableText"/>
            </w:pPr>
            <w:r>
              <w:rPr/>
              <w:t>[Authority]</w:t>
            </w:r>
          </w:p>
        </w:tc>
        <w:tc>
          <w:tcPr>
            <w:tcW w:type="dxa" w:w="1584"/>
            <w:vAlign w:val="center"/>
          </w:tcPr>
          <w:p>
            <w:pPr>
              <w:pStyle w:val="TableText"/>
            </w:pPr>
            <w:r>
              <w:rPr/>
              <w:t>[Date / condition]</w:t>
            </w:r>
          </w:p>
        </w:tc>
        <w:tc>
          <w:tcPr>
            <w:tcW w:type="dxa" w:w="1440"/>
            <w:vAlign w:val="center"/>
          </w:tcPr>
          <w:p>
            <w:pPr>
              <w:pStyle w:val="TableText"/>
            </w:pPr>
            <w:r>
              <w:rPr/>
              <w:t>[Reciprocal / unilateral; severable / inseverable]</w:t>
            </w:r>
          </w:p>
        </w:tc>
        <w:tc>
          <w:tcPr>
            <w:tcW w:type="dxa" w:w="1296"/>
            <w:vAlign w:val="center"/>
          </w:tcPr>
          <w:p>
            <w:pPr>
              <w:pStyle w:val="TableText"/>
            </w:pPr>
            <w:r>
              <w:rPr/>
              <w:t>[FS-04-A / B / C row]</w:t>
            </w:r>
          </w:p>
        </w:tc>
        <w:tc>
          <w:tcPr>
            <w:tcW w:type="dxa" w:w="1008"/>
            <w:vAlign w:val="center"/>
          </w:tcPr>
          <w:p>
            <w:pPr>
              <w:pStyle w:val="TableText"/>
            </w:pPr>
            <w:r>
              <w:rPr/>
              <w:t>[Not active / active / transition / completed]</w:t>
            </w:r>
          </w:p>
        </w:tc>
        <w:tc>
          <w:tcPr>
            <w:tcW w:type="dxa" w:w="0"/>
          </w:tcPr>
          <w:p>
            <w:pPr>
              <w:pStyle w:val="TableText"/>
            </w:pPr>
            <w:r>
              <w:rPr/>
              <w:t>[Open / closed]</w:t>
            </w:r>
          </w:p>
        </w:tc>
      </w:tr>
    </w:tbl>
    <w:p>
      <w:pPr>
        <w:pStyle w:val="Heading2"/>
      </w:pPr>
      <w:bookmarkStart w:id="901167" w:name="_Toc300001166"/>
      <w:r>
        <w:t>Schedule FS-00-B: Cross-Module Authority and Interface Register</w:t>
      </w:r>
      <w:bookmarkEnd w:id="901167"/>
    </w:p>
    <w:p>
      <w:pPr>
        <w:pStyle w:val="Normal"/>
      </w:pPr>
      <w:r>
        <w:rPr>
          <w:b w:val="0"/>
          <w:i w:val="0"/>
        </w:rPr>
        <w:t>This schedule records cross-module interfaces that require persistent traceability and is evidentiary and indexing only. An FS-00-B entry does not create, enlarge, transfer, amend, cure, or substitute for Specific Legal Authority, linkage, remedy, or substantive legal effect. If an entry conflicts with its cited controlling source, the controlling source governs and the erroneous mapping is corrected without altering the underlying legal rule.</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fixed"/>
        <w:tblCellMar>
          <w:top w:w="70" w:type="dxa"/>
          <w:left w:w="100" w:type="dxa"/>
          <w:bottom w:w="70" w:type="dxa"/>
          <w:right w:w="100" w:type="dxa"/>
        </w:tblCellMar>
        <w:tblLook w:firstColumn="1" w:firstRow="1" w:lastColumn="0" w:lastRow="0" w:noHBand="0" w:noVBand="1" w:val="04A0"/>
      </w:tblPr>
      <w:tblGrid>
        <w:gridCol w:w="1088"/>
        <w:gridCol w:w="1088"/>
        <w:gridCol w:w="1088"/>
        <w:gridCol w:w="1088"/>
        <w:gridCol w:w="1088"/>
        <w:gridCol w:w="1088"/>
        <w:gridCol w:w="1088"/>
        <w:gridCol w:w="1088"/>
        <w:gridCol w:w="1088"/>
      </w:tblGrid>
      <w:tr>
        <w:trPr>
          <w:tblHeader w:val="true"/>
        </w:trPr>
        <w:tc>
          <w:tcPr>
            <w:tcW w:type="dxa" w:w="1008"/>
            <w:shd w:fill="ECEFF1" w:val="clear" w:color="auto"/>
            <w:vAlign w:val="center"/>
          </w:tcPr>
          <w:p>
            <w:pPr>
              <w:pStyle w:val="TableText"/>
            </w:pPr>
            <w:r>
              <w:rPr/>
            </w:r>
            <w:r>
              <w:rPr>
                <w:b/>
              </w:rPr>
              <w:t>Interface ID</w:t>
            </w:r>
          </w:p>
        </w:tc>
        <w:tc>
          <w:tcPr>
            <w:tcW w:type="dxa" w:w="1296"/>
            <w:shd w:fill="ECEFF1" w:val="clear" w:color="auto"/>
            <w:vAlign w:val="center"/>
          </w:tcPr>
          <w:p>
            <w:pPr>
              <w:pStyle w:val="TableText"/>
            </w:pPr>
            <w:r>
              <w:rPr/>
            </w:r>
            <w:r>
              <w:rPr>
                <w:b/>
              </w:rPr>
              <w:t>Source Module / Record</w:t>
            </w:r>
          </w:p>
        </w:tc>
        <w:tc>
          <w:tcPr>
            <w:tcW w:type="dxa" w:w="1296"/>
            <w:shd w:fill="ECEFF1" w:val="clear" w:color="auto"/>
            <w:vAlign w:val="center"/>
          </w:tcPr>
          <w:p>
            <w:pPr>
              <w:pStyle w:val="TableText"/>
            </w:pPr>
            <w:r>
              <w:rPr/>
            </w:r>
            <w:r>
              <w:rPr>
                <w:b/>
              </w:rPr>
              <w:t>Receiving Module / Record</w:t>
            </w:r>
          </w:p>
        </w:tc>
        <w:tc>
          <w:tcPr>
            <w:tcW w:type="dxa" w:w="1656"/>
            <w:shd w:fill="ECEFF1" w:val="clear" w:color="auto"/>
            <w:vAlign w:val="center"/>
          </w:tcPr>
          <w:p>
            <w:pPr>
              <w:pStyle w:val="TableText"/>
            </w:pPr>
            <w:r>
              <w:rPr/>
            </w:r>
            <w:r>
              <w:rPr>
                <w:b/>
              </w:rPr>
              <w:t>Shared Fact or Legal Function</w:t>
            </w:r>
          </w:p>
        </w:tc>
        <w:tc>
          <w:tcPr>
            <w:tcW w:type="dxa" w:w="1296"/>
            <w:shd w:fill="ECEFF1" w:val="clear" w:color="auto"/>
            <w:vAlign w:val="center"/>
          </w:tcPr>
          <w:p>
            <w:pPr>
              <w:pStyle w:val="TableText"/>
            </w:pPr>
            <w:r>
              <w:rPr/>
              <w:t>Specific Legal Authority</w:t>
            </w:r>
          </w:p>
        </w:tc>
        <w:tc>
          <w:tcPr>
            <w:tcW w:type="dxa" w:w="1728"/>
            <w:shd w:fill="ECEFF1" w:val="clear" w:color="auto"/>
            <w:vAlign w:val="center"/>
          </w:tcPr>
          <w:p>
            <w:pPr>
              <w:pStyle w:val="TableText"/>
            </w:pPr>
            <w:r>
              <w:rPr/>
            </w:r>
            <w:r>
              <w:rPr>
                <w:b/>
              </w:rPr>
              <w:t>Reuse / Linkage Rule</w:t>
            </w:r>
          </w:p>
        </w:tc>
        <w:tc>
          <w:tcPr>
            <w:tcW w:type="dxa" w:w="1656"/>
            <w:shd w:fill="ECEFF1" w:val="clear" w:color="auto"/>
            <w:vAlign w:val="center"/>
          </w:tcPr>
          <w:p>
            <w:pPr>
              <w:pStyle w:val="TableText"/>
            </w:pPr>
            <w:r>
              <w:rPr/>
            </w:r>
            <w:r>
              <w:rPr>
                <w:b/>
              </w:rPr>
              <w:t>Containment Rule</w:t>
            </w:r>
          </w:p>
        </w:tc>
        <w:tc>
          <w:tcPr>
            <w:tcW w:type="dxa" w:w="1656"/>
            <w:shd w:fill="ECEFF1" w:val="clear" w:color="auto"/>
            <w:vAlign w:val="center"/>
          </w:tcPr>
          <w:p>
            <w:pPr>
              <w:pStyle w:val="TableText"/>
            </w:pPr>
            <w:r>
              <w:rPr/>
            </w:r>
            <w:r>
              <w:rPr>
                <w:b/>
              </w:rPr>
              <w:t>Restoration / Completion Rule</w:t>
            </w:r>
          </w:p>
        </w:tc>
        <w:tc>
          <w:tcPr>
            <w:tcW w:type="dxa" w:w="1080"/>
            <w:shd w:fill="ECEFF1" w:val="clear" w:color="auto"/>
            <w:vAlign w:val="center"/>
          </w:tcPr>
          <w:p>
            <w:pPr>
              <w:pStyle w:val="TableText"/>
            </w:pPr>
            <w:r>
              <w:rPr/>
            </w:r>
            <w:r>
              <w:rPr>
                <w:b/>
              </w:rPr>
              <w:t>Status</w:t>
            </w:r>
          </w:p>
        </w:tc>
      </w:tr>
      <w:tr>
        <w:tc>
          <w:tcPr>
            <w:tcW w:type="dxa" w:w="1008"/>
            <w:vAlign w:val="center"/>
          </w:tcPr>
          <w:p>
            <w:pPr>
              <w:pStyle w:val="TableText"/>
            </w:pPr>
            <w:r>
              <w:rPr/>
            </w:r>
            <w:r>
              <w:rPr>
                <w:b w:val="0"/>
              </w:rPr>
              <w:t>FS00-INT-[ ]</w:t>
            </w:r>
          </w:p>
        </w:tc>
        <w:tc>
          <w:tcPr>
            <w:tcW w:type="dxa" w:w="1296"/>
            <w:vAlign w:val="center"/>
          </w:tcPr>
          <w:p>
            <w:pPr>
              <w:pStyle w:val="TableText"/>
            </w:pPr>
            <w:r>
              <w:rPr/>
            </w:r>
            <w:r>
              <w:rPr>
                <w:b w:val="0"/>
              </w:rPr>
              <w:t>[FS-01 / row]</w:t>
            </w:r>
          </w:p>
        </w:tc>
        <w:tc>
          <w:tcPr>
            <w:tcW w:type="dxa" w:w="1296"/>
            <w:vAlign w:val="center"/>
          </w:tcPr>
          <w:p>
            <w:pPr>
              <w:pStyle w:val="TableText"/>
            </w:pPr>
            <w:r>
              <w:rPr/>
            </w:r>
            <w:r>
              <w:rPr>
                <w:b w:val="0"/>
              </w:rPr>
              <w:t>[FS-03 / row]</w:t>
            </w:r>
          </w:p>
        </w:tc>
        <w:tc>
          <w:tcPr>
            <w:tcW w:type="dxa" w:w="1656"/>
            <w:vAlign w:val="center"/>
          </w:tcPr>
          <w:p>
            <w:pPr>
              <w:pStyle w:val="TableText"/>
            </w:pPr>
            <w:r>
              <w:rPr/>
            </w:r>
            <w:r>
              <w:rPr>
                <w:b w:val="0"/>
              </w:rPr>
              <w:t>[Tariff normalization / automotive settlement]</w:t>
            </w:r>
          </w:p>
        </w:tc>
        <w:tc>
          <w:tcPr>
            <w:tcW w:type="dxa" w:w="1296"/>
            <w:vAlign w:val="center"/>
          </w:tcPr>
          <w:p>
            <w:pPr>
              <w:pStyle w:val="TableText"/>
            </w:pPr>
            <w:r>
              <w:rPr/>
            </w:r>
            <w:r>
              <w:rPr>
                <w:b w:val="0"/>
              </w:rPr>
              <w:t>[Provision]</w:t>
            </w:r>
          </w:p>
        </w:tc>
        <w:tc>
          <w:tcPr>
            <w:tcW w:type="dxa" w:w="1728"/>
            <w:vAlign w:val="center"/>
          </w:tcPr>
          <w:p>
            <w:pPr>
              <w:pStyle w:val="TableText"/>
            </w:pPr>
            <w:r>
              <w:rPr/>
            </w:r>
            <w:r>
              <w:rPr>
                <w:b w:val="0"/>
              </w:rPr>
              <w:t>[Exact interface]</w:t>
            </w:r>
          </w:p>
        </w:tc>
        <w:tc>
          <w:tcPr>
            <w:tcW w:type="dxa" w:w="1656"/>
            <w:vAlign w:val="center"/>
          </w:tcPr>
          <w:p>
            <w:pPr>
              <w:pStyle w:val="TableText"/>
            </w:pPr>
            <w:r>
              <w:rPr/>
            </w:r>
            <w:r>
              <w:rPr>
                <w:b w:val="0"/>
              </w:rPr>
              <w:t>[Affected scope only]</w:t>
            </w:r>
          </w:p>
        </w:tc>
        <w:tc>
          <w:tcPr>
            <w:tcW w:type="dxa" w:w="1656"/>
            <w:vAlign w:val="center"/>
          </w:tcPr>
          <w:p>
            <w:pPr>
              <w:pStyle w:val="TableText"/>
            </w:pPr>
            <w:r>
              <w:rPr/>
            </w:r>
            <w:r>
              <w:rPr>
                <w:b w:val="0"/>
              </w:rPr>
              <w:t>[Controlling restoration / completion]</w:t>
            </w:r>
          </w:p>
        </w:tc>
        <w:tc>
          <w:tcPr>
            <w:tcW w:type="dxa" w:w="1080"/>
            <w:vAlign w:val="center"/>
          </w:tcPr>
          <w:p>
            <w:pPr>
              <w:pStyle w:val="TableText"/>
            </w:pPr>
            <w:r>
              <w:rPr/>
              <w:t>DRAFT: VERIFY BEFORE LEGAL SCRUB</w:t>
            </w:r>
          </w:p>
        </w:tc>
      </w:tr>
      <w:tr>
        <w:tc>
          <w:tcPr>
            <w:tcW w:type="dxa" w:w="1008"/>
            <w:vAlign w:val="center"/>
          </w:tcPr>
          <w:p>
            <w:pPr>
              <w:pStyle w:val="TableText"/>
            </w:pPr>
            <w:r>
              <w:rPr/>
            </w:r>
            <w:r>
              <w:rPr>
                <w:b w:val="0"/>
              </w:rPr>
              <w:t>FS00-INT-[ ]</w:t>
            </w:r>
          </w:p>
        </w:tc>
        <w:tc>
          <w:tcPr>
            <w:tcW w:type="dxa" w:w="1296"/>
            <w:vAlign w:val="center"/>
          </w:tcPr>
          <w:p>
            <w:pPr>
              <w:pStyle w:val="TableText"/>
            </w:pPr>
            <w:r>
              <w:rPr/>
            </w:r>
            <w:r>
              <w:rPr>
                <w:b w:val="0"/>
              </w:rPr>
              <w:t>[FS-02 / row]</w:t>
            </w:r>
          </w:p>
        </w:tc>
        <w:tc>
          <w:tcPr>
            <w:tcW w:type="dxa" w:w="1296"/>
            <w:vAlign w:val="center"/>
          </w:tcPr>
          <w:p>
            <w:pPr>
              <w:pStyle w:val="TableText"/>
            </w:pPr>
            <w:r>
              <w:rPr/>
            </w:r>
            <w:r>
              <w:rPr>
                <w:b w:val="0"/>
              </w:rPr>
              <w:t>[FS-03 / row]</w:t>
            </w:r>
          </w:p>
        </w:tc>
        <w:tc>
          <w:tcPr>
            <w:tcW w:type="dxa" w:w="1656"/>
            <w:vAlign w:val="center"/>
          </w:tcPr>
          <w:p>
            <w:pPr>
              <w:pStyle w:val="TableText"/>
            </w:pPr>
            <w:r>
              <w:rPr/>
            </w:r>
            <w:r>
              <w:rPr>
                <w:b w:val="0"/>
              </w:rPr>
              <w:t>[Assurance contribution / enhanced automotive benefit]</w:t>
            </w:r>
          </w:p>
        </w:tc>
        <w:tc>
          <w:tcPr>
            <w:tcW w:type="dxa" w:w="1296"/>
            <w:vAlign w:val="center"/>
          </w:tcPr>
          <w:p>
            <w:pPr>
              <w:pStyle w:val="TableText"/>
            </w:pPr>
            <w:r>
              <w:rPr/>
            </w:r>
            <w:r>
              <w:rPr>
                <w:b w:val="0"/>
              </w:rPr>
              <w:t>[Provision]</w:t>
            </w:r>
          </w:p>
        </w:tc>
        <w:tc>
          <w:tcPr>
            <w:tcW w:type="dxa" w:w="1728"/>
            <w:vAlign w:val="center"/>
          </w:tcPr>
          <w:p>
            <w:pPr>
              <w:pStyle w:val="TableText"/>
            </w:pPr>
            <w:r>
              <w:rPr/>
            </w:r>
            <w:r>
              <w:rPr>
                <w:b w:val="0"/>
              </w:rPr>
              <w:t>[Exact interface]</w:t>
            </w:r>
          </w:p>
        </w:tc>
        <w:tc>
          <w:tcPr>
            <w:tcW w:type="dxa" w:w="1656"/>
            <w:vAlign w:val="center"/>
          </w:tcPr>
          <w:p>
            <w:pPr>
              <w:pStyle w:val="TableText"/>
            </w:pPr>
            <w:r>
              <w:rPr/>
            </w:r>
            <w:r>
              <w:rPr>
                <w:b w:val="0"/>
              </w:rPr>
              <w:t>[No origin substitution / no double counting]</w:t>
            </w:r>
          </w:p>
        </w:tc>
        <w:tc>
          <w:tcPr>
            <w:tcW w:type="dxa" w:w="1656"/>
            <w:vAlign w:val="center"/>
          </w:tcPr>
          <w:p>
            <w:pPr>
              <w:pStyle w:val="TableText"/>
            </w:pPr>
            <w:r>
              <w:rPr/>
            </w:r>
            <w:r>
              <w:rPr>
                <w:b w:val="0"/>
              </w:rPr>
              <w:t>[Benefit restoration rule]</w:t>
            </w:r>
          </w:p>
        </w:tc>
        <w:tc>
          <w:tcPr>
            <w:tcW w:type="dxa" w:w="1080"/>
            <w:vAlign w:val="center"/>
          </w:tcPr>
          <w:p>
            <w:pPr>
              <w:pStyle w:val="TableText"/>
            </w:pPr>
            <w:r>
              <w:rPr/>
              <w:t>DRAFT: VERIFY BEFORE LEGAL SCRUB</w:t>
            </w:r>
          </w:p>
        </w:tc>
      </w:tr>
      <w:tr>
        <w:tc>
          <w:tcPr>
            <w:tcW w:type="dxa" w:w="1008"/>
            <w:vAlign w:val="center"/>
          </w:tcPr>
          <w:p>
            <w:pPr>
              <w:pStyle w:val="TableText"/>
            </w:pPr>
            <w:r>
              <w:rPr/>
            </w:r>
            <w:r>
              <w:rPr>
                <w:b w:val="0"/>
              </w:rPr>
              <w:t>FS00-INT-[ ]</w:t>
            </w:r>
          </w:p>
        </w:tc>
        <w:tc>
          <w:tcPr>
            <w:tcW w:type="dxa" w:w="1296"/>
            <w:vAlign w:val="center"/>
          </w:tcPr>
          <w:p>
            <w:pPr>
              <w:pStyle w:val="TableText"/>
            </w:pPr>
            <w:r>
              <w:rPr/>
            </w:r>
            <w:r>
              <w:rPr>
                <w:b w:val="0"/>
              </w:rPr>
              <w:t>[FS-04 / row]</w:t>
            </w:r>
          </w:p>
        </w:tc>
        <w:tc>
          <w:tcPr>
            <w:tcW w:type="dxa" w:w="1296"/>
            <w:vAlign w:val="center"/>
          </w:tcPr>
          <w:p>
            <w:pPr>
              <w:pStyle w:val="TableText"/>
            </w:pPr>
            <w:r>
              <w:rPr/>
            </w:r>
            <w:r>
              <w:rPr>
                <w:b w:val="0"/>
              </w:rPr>
              <w:t>[Other only if expressly linked]</w:t>
            </w:r>
          </w:p>
        </w:tc>
        <w:tc>
          <w:tcPr>
            <w:tcW w:type="dxa" w:w="1656"/>
            <w:vAlign w:val="center"/>
          </w:tcPr>
          <w:p>
            <w:pPr>
              <w:pStyle w:val="TableText"/>
            </w:pPr>
            <w:r>
              <w:rPr/>
            </w:r>
            <w:r>
              <w:rPr>
                <w:b w:val="0"/>
              </w:rPr>
              <w:t>[Agricultural settlement interface]</w:t>
            </w:r>
          </w:p>
        </w:tc>
        <w:tc>
          <w:tcPr>
            <w:tcW w:type="dxa" w:w="1296"/>
            <w:vAlign w:val="center"/>
          </w:tcPr>
          <w:p>
            <w:pPr>
              <w:pStyle w:val="TableText"/>
            </w:pPr>
            <w:r>
              <w:rPr/>
            </w:r>
            <w:r>
              <w:rPr>
                <w:b w:val="0"/>
              </w:rPr>
              <w:t>[Provision]</w:t>
            </w:r>
          </w:p>
        </w:tc>
        <w:tc>
          <w:tcPr>
            <w:tcW w:type="dxa" w:w="1728"/>
            <w:vAlign w:val="center"/>
          </w:tcPr>
          <w:p>
            <w:pPr>
              <w:pStyle w:val="TableText"/>
            </w:pPr>
            <w:r>
              <w:rPr/>
            </w:r>
            <w:r>
              <w:rPr>
                <w:b w:val="0"/>
              </w:rPr>
              <w:t>[Exact interface]</w:t>
            </w:r>
          </w:p>
        </w:tc>
        <w:tc>
          <w:tcPr>
            <w:tcW w:type="dxa" w:w="1656"/>
            <w:vAlign w:val="center"/>
          </w:tcPr>
          <w:p>
            <w:pPr>
              <w:pStyle w:val="TableText"/>
            </w:pPr>
            <w:r>
              <w:rPr/>
            </w:r>
            <w:r>
              <w:rPr>
                <w:b w:val="0"/>
              </w:rPr>
              <w:t>[No cross-sector contagion]</w:t>
            </w:r>
          </w:p>
        </w:tc>
        <w:tc>
          <w:tcPr>
            <w:tcW w:type="dxa" w:w="1656"/>
            <w:vAlign w:val="center"/>
          </w:tcPr>
          <w:p>
            <w:pPr>
              <w:pStyle w:val="TableText"/>
            </w:pPr>
            <w:r>
              <w:rPr/>
            </w:r>
            <w:r>
              <w:rPr>
                <w:b w:val="0"/>
              </w:rPr>
              <w:t>[FS-04 completion / restoration]</w:t>
            </w:r>
          </w:p>
        </w:tc>
        <w:tc>
          <w:tcPr>
            <w:tcW w:type="dxa" w:w="1080"/>
            <w:vAlign w:val="center"/>
          </w:tcPr>
          <w:p>
            <w:pPr>
              <w:pStyle w:val="TableText"/>
            </w:pPr>
            <w:r>
              <w:rPr/>
              <w:t>DRAFT: VERIFY BEFORE LEGAL SCRUB</w:t>
            </w:r>
          </w:p>
        </w:tc>
      </w:tr>
    </w:tbl>
    <w:p>
      <w:pPr>
        <w:pStyle w:val="Heading2"/>
      </w:pPr>
      <w:bookmarkStart w:id="901168" w:name="_Toc300001167"/>
      <w:r>
        <w:t>Schedule FS-00-C: Final Settlement Closure Record</w:t>
      </w:r>
      <w:bookmarkEnd w:id="901168"/>
    </w:p>
    <w:p>
      <w:pPr>
        <w:pStyle w:val="Normal"/>
      </w:pPr>
      <w:r>
        <w:rPr>
          <w:b w:val="0"/>
          <w:i w:val="0"/>
        </w:rPr>
        <w:t>This schedule records completion and surviving legal states after the applicable modules close. It is an implementation record and does not itself amend the settlement.</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Layout w:type="fixed"/>
        <w:tblCellMar>
          <w:top w:w="70" w:type="dxa"/>
          <w:left w:w="100" w:type="dxa"/>
          <w:bottom w:w="70" w:type="dxa"/>
          <w:right w:w="100" w:type="dxa"/>
        </w:tblCellMar>
        <w:tblLook w:firstColumn="1" w:firstRow="1" w:lastColumn="0" w:lastRow="0" w:noHBand="0" w:noVBand="1" w:val="04A0"/>
      </w:tblPr>
      <w:tblGrid>
        <w:gridCol w:w="1088"/>
        <w:gridCol w:w="1088"/>
        <w:gridCol w:w="1088"/>
        <w:gridCol w:w="1088"/>
        <w:gridCol w:w="1088"/>
        <w:gridCol w:w="1088"/>
        <w:gridCol w:w="1088"/>
        <w:gridCol w:w="1088"/>
        <w:gridCol w:w="1088"/>
      </w:tblGrid>
      <w:tr>
        <w:trPr>
          <w:tblHeader w:val="true"/>
        </w:trPr>
        <w:tc>
          <w:tcPr>
            <w:tcW w:type="dxa" w:w="1080"/>
            <w:shd w:fill="ECEFF1" w:val="clear" w:color="auto"/>
            <w:vAlign w:val="center"/>
          </w:tcPr>
          <w:p>
            <w:pPr>
              <w:pStyle w:val="TableText"/>
            </w:pPr>
            <w:r>
              <w:rPr/>
            </w:r>
            <w:r>
              <w:rPr>
                <w:b/>
              </w:rPr>
              <w:t>Closure Status</w:t>
            </w:r>
          </w:p>
        </w:tc>
        <w:tc>
          <w:tcPr>
            <w:tcW w:type="dxa" w:w="1440"/>
            <w:shd w:fill="ECEFF1" w:val="clear" w:color="auto"/>
            <w:vAlign w:val="center"/>
          </w:tcPr>
          <w:p>
            <w:pPr>
              <w:pStyle w:val="TableText"/>
            </w:pPr>
            <w:r>
              <w:rPr/>
            </w:r>
            <w:r>
              <w:rPr>
                <w:b/>
              </w:rPr>
              <w:t>Parties / Configuration</w:t>
            </w:r>
          </w:p>
        </w:tc>
        <w:tc>
          <w:tcPr>
            <w:tcW w:type="dxa" w:w="1152"/>
            <w:shd w:fill="ECEFF1" w:val="clear" w:color="auto"/>
            <w:vAlign w:val="center"/>
          </w:tcPr>
          <w:p>
            <w:pPr>
              <w:pStyle w:val="TableText"/>
            </w:pPr>
            <w:r>
              <w:rPr/>
            </w:r>
            <w:r>
              <w:rPr>
                <w:b/>
              </w:rPr>
              <w:t>Applicable Modules</w:t>
            </w:r>
          </w:p>
        </w:tc>
        <w:tc>
          <w:tcPr>
            <w:tcW w:type="dxa" w:w="1584"/>
            <w:shd w:fill="ECEFF1" w:val="clear" w:color="auto"/>
            <w:vAlign w:val="center"/>
          </w:tcPr>
          <w:p>
            <w:pPr>
              <w:pStyle w:val="TableText"/>
            </w:pPr>
            <w:r>
              <w:rPr/>
            </w:r>
            <w:r>
              <w:rPr>
                <w:b/>
              </w:rPr>
              <w:t>Completion Evidence</w:t>
            </w:r>
          </w:p>
        </w:tc>
        <w:tc>
          <w:tcPr>
            <w:tcW w:type="dxa" w:w="1584"/>
            <w:shd w:fill="ECEFF1" w:val="clear" w:color="auto"/>
            <w:vAlign w:val="center"/>
          </w:tcPr>
          <w:p>
            <w:pPr>
              <w:pStyle w:val="TableText"/>
            </w:pPr>
            <w:r>
              <w:rPr/>
            </w:r>
            <w:r>
              <w:rPr>
                <w:b/>
              </w:rPr>
              <w:t>Durable States</w:t>
            </w:r>
          </w:p>
        </w:tc>
        <w:tc>
          <w:tcPr>
            <w:tcW w:type="dxa" w:w="1656"/>
            <w:shd w:fill="ECEFF1" w:val="clear" w:color="auto"/>
            <w:vAlign w:val="center"/>
          </w:tcPr>
          <w:p>
            <w:pPr>
              <w:pStyle w:val="TableText"/>
            </w:pPr>
            <w:r>
              <w:rPr/>
            </w:r>
            <w:r>
              <w:rPr>
                <w:b/>
              </w:rPr>
              <w:t>Continuing Interfaces</w:t>
            </w:r>
          </w:p>
        </w:tc>
        <w:tc>
          <w:tcPr>
            <w:tcW w:type="dxa" w:w="1584"/>
            <w:shd w:fill="ECEFF1" w:val="clear" w:color="auto"/>
            <w:vAlign w:val="center"/>
          </w:tcPr>
          <w:p>
            <w:pPr>
              <w:pStyle w:val="TableText"/>
            </w:pPr>
            <w:r>
              <w:rPr/>
            </w:r>
            <w:r>
              <w:rPr>
                <w:b/>
              </w:rPr>
              <w:t>Pending Proceedings</w:t>
            </w:r>
          </w:p>
        </w:tc>
        <w:tc>
          <w:tcPr>
            <w:tcW w:type="dxa" w:w="1872"/>
            <w:shd w:fill="ECEFF1" w:val="clear" w:color="auto"/>
            <w:vAlign w:val="center"/>
          </w:tcPr>
          <w:p>
            <w:pPr>
              <w:pStyle w:val="TableText"/>
            </w:pPr>
            <w:r>
              <w:rPr/>
            </w:r>
            <w:r>
              <w:rPr>
                <w:b/>
              </w:rPr>
              <w:t>Surviving Rights / Duties</w:t>
            </w:r>
          </w:p>
        </w:tc>
        <w:tc>
          <w:tcPr>
            <w:tcW w:type="dxa" w:w="1296"/>
            <w:shd w:fill="ECEFF1" w:val="clear" w:color="auto"/>
            <w:vAlign w:val="center"/>
          </w:tcPr>
          <w:p>
            <w:pPr>
              <w:pStyle w:val="TableText"/>
            </w:pPr>
            <w:r>
              <w:rPr/>
            </w:r>
            <w:r>
              <w:rPr>
                <w:b/>
              </w:rPr>
              <w:t>Authority / Date</w:t>
            </w:r>
          </w:p>
        </w:tc>
      </w:tr>
      <w:tr>
        <w:tc>
          <w:tcPr>
            <w:tcW w:type="dxa" w:w="1080"/>
            <w:vAlign w:val="center"/>
          </w:tcPr>
          <w:p>
            <w:pPr>
              <w:pStyle w:val="TableText"/>
            </w:pPr>
            <w:r>
              <w:rPr/>
            </w:r>
            <w:r>
              <w:rPr>
                <w:b w:val="0"/>
              </w:rPr>
              <w:t>NOT CLOSED</w:t>
            </w:r>
          </w:p>
        </w:tc>
        <w:tc>
          <w:tcPr>
            <w:tcW w:type="dxa" w:w="1440"/>
            <w:vAlign w:val="center"/>
          </w:tcPr>
          <w:p>
            <w:pPr>
              <w:pStyle w:val="TableText"/>
            </w:pPr>
            <w:r>
              <w:rPr/>
            </w:r>
            <w:r>
              <w:rPr>
                <w:b w:val="0"/>
              </w:rPr>
              <w:t>[CA/US/MX configuration]</w:t>
            </w:r>
          </w:p>
        </w:tc>
        <w:tc>
          <w:tcPr>
            <w:tcW w:type="dxa" w:w="1152"/>
            <w:vAlign w:val="center"/>
          </w:tcPr>
          <w:p>
            <w:pPr>
              <w:pStyle w:val="TableText"/>
            </w:pPr>
            <w:r>
              <w:rPr/>
            </w:r>
            <w:r>
              <w:rPr>
                <w:b w:val="0"/>
              </w:rPr>
              <w:t>[FS-01 / 02 / 03 / 04]</w:t>
            </w:r>
          </w:p>
        </w:tc>
        <w:tc>
          <w:tcPr>
            <w:tcW w:type="dxa" w:w="1584"/>
            <w:vAlign w:val="center"/>
          </w:tcPr>
          <w:p>
            <w:pPr>
              <w:pStyle w:val="TableText"/>
            </w:pPr>
            <w:r>
              <w:rPr/>
            </w:r>
            <w:r>
              <w:rPr>
                <w:b w:val="0"/>
              </w:rPr>
              <w:t>[Module completion records]</w:t>
            </w:r>
          </w:p>
        </w:tc>
        <w:tc>
          <w:tcPr>
            <w:tcW w:type="dxa" w:w="1584"/>
            <w:vAlign w:val="center"/>
          </w:tcPr>
          <w:p>
            <w:pPr>
              <w:pStyle w:val="TableText"/>
            </w:pPr>
            <w:r>
              <w:rPr/>
            </w:r>
            <w:r>
              <w:rPr>
                <w:b w:val="0"/>
              </w:rPr>
              <w:t>[Normalized / completed / restored states]</w:t>
            </w:r>
          </w:p>
        </w:tc>
        <w:tc>
          <w:tcPr>
            <w:tcW w:type="dxa" w:w="1656"/>
            <w:vAlign w:val="center"/>
          </w:tcPr>
          <w:p>
            <w:pPr>
              <w:pStyle w:val="TableText"/>
            </w:pPr>
            <w:r>
              <w:rPr/>
            </w:r>
            <w:r>
              <w:rPr>
                <w:b w:val="0"/>
              </w:rPr>
              <w:t>[Registries / administration / verification]</w:t>
            </w:r>
          </w:p>
        </w:tc>
        <w:tc>
          <w:tcPr>
            <w:tcW w:type="dxa" w:w="1584"/>
            <w:vAlign w:val="center"/>
          </w:tcPr>
          <w:p>
            <w:pPr>
              <w:pStyle w:val="TableText"/>
            </w:pPr>
            <w:r>
              <w:rPr/>
            </w:r>
            <w:r>
              <w:rPr>
                <w:b w:val="0"/>
              </w:rPr>
              <w:t>[None or identified matters]</w:t>
            </w:r>
          </w:p>
        </w:tc>
        <w:tc>
          <w:tcPr>
            <w:tcW w:type="dxa" w:w="1872"/>
            <w:vAlign w:val="center"/>
          </w:tcPr>
          <w:p>
            <w:pPr>
              <w:pStyle w:val="TableText"/>
            </w:pPr>
            <w:r>
              <w:rPr/>
            </w:r>
            <w:r>
              <w:rPr>
                <w:b w:val="0"/>
              </w:rPr>
              <w:t>[Accrued rights / confidentiality / restoration / other]</w:t>
            </w:r>
          </w:p>
        </w:tc>
        <w:tc>
          <w:tcPr>
            <w:tcW w:type="dxa" w:w="1296"/>
            <w:vAlign w:val="center"/>
          </w:tcPr>
          <w:p>
            <w:pPr>
              <w:pStyle w:val="TableText"/>
            </w:pPr>
            <w:r>
              <w:rPr/>
            </w:r>
            <w:r>
              <w:rPr>
                <w:b w:val="0"/>
              </w:rPr>
              <w:t>[Authority / date]</w:t>
            </w:r>
          </w:p>
        </w:tc>
      </w:tr>
      <w:tr>
        <w:tc>
          <w:tcPr>
            <w:tcW w:type="dxa" w:w="1080"/>
            <w:vAlign w:val="center"/>
          </w:tcPr>
          <w:p>
            <w:pPr>
              <w:pStyle w:val="TableText"/>
            </w:pPr>
            <w:r>
              <w:rPr/>
            </w:r>
            <w:r>
              <w:rPr>
                <w:b w:val="0"/>
              </w:rPr>
              <w:t>NOT CLOSED</w:t>
            </w:r>
          </w:p>
        </w:tc>
        <w:tc>
          <w:tcPr>
            <w:tcW w:type="dxa" w:w="1440"/>
            <w:vAlign w:val="center"/>
          </w:tcPr>
          <w:p>
            <w:pPr>
              <w:pStyle w:val="TableText"/>
            </w:pPr>
            <w:r>
              <w:rPr/>
            </w:r>
            <w:r>
              <w:rPr>
                <w:b w:val="0"/>
              </w:rPr>
              <w:t>[ ]</w:t>
            </w:r>
          </w:p>
        </w:tc>
        <w:tc>
          <w:tcPr>
            <w:tcW w:type="dxa" w:w="1152"/>
            <w:vAlign w:val="center"/>
          </w:tcPr>
          <w:p>
            <w:pPr>
              <w:pStyle w:val="TableText"/>
            </w:pPr>
            <w:r>
              <w:rPr/>
            </w:r>
            <w:r>
              <w:rPr>
                <w:b w:val="0"/>
              </w:rPr>
              <w:t>[ ]</w:t>
            </w:r>
          </w:p>
        </w:tc>
        <w:tc>
          <w:tcPr>
            <w:tcW w:type="dxa" w:w="1584"/>
            <w:vAlign w:val="center"/>
          </w:tcPr>
          <w:p>
            <w:pPr>
              <w:pStyle w:val="TableText"/>
            </w:pPr>
            <w:r>
              <w:rPr/>
            </w:r>
            <w:r>
              <w:rPr>
                <w:b w:val="0"/>
              </w:rPr>
              <w:t>[ ]</w:t>
            </w:r>
          </w:p>
        </w:tc>
        <w:tc>
          <w:tcPr>
            <w:tcW w:type="dxa" w:w="1584"/>
            <w:vAlign w:val="center"/>
          </w:tcPr>
          <w:p>
            <w:pPr>
              <w:pStyle w:val="TableText"/>
            </w:pPr>
            <w:r>
              <w:rPr/>
            </w:r>
            <w:r>
              <w:rPr>
                <w:b w:val="0"/>
              </w:rPr>
              <w:t>[ ]</w:t>
            </w:r>
          </w:p>
        </w:tc>
        <w:tc>
          <w:tcPr>
            <w:tcW w:type="dxa" w:w="1656"/>
            <w:vAlign w:val="center"/>
          </w:tcPr>
          <w:p>
            <w:pPr>
              <w:pStyle w:val="TableText"/>
            </w:pPr>
            <w:r>
              <w:rPr/>
            </w:r>
            <w:r>
              <w:rPr>
                <w:b w:val="0"/>
              </w:rPr>
              <w:t>[ ]</w:t>
            </w:r>
          </w:p>
        </w:tc>
        <w:tc>
          <w:tcPr>
            <w:tcW w:type="dxa" w:w="1584"/>
            <w:vAlign w:val="center"/>
          </w:tcPr>
          <w:p>
            <w:pPr>
              <w:pStyle w:val="TableText"/>
            </w:pPr>
            <w:r>
              <w:rPr/>
            </w:r>
            <w:r>
              <w:rPr>
                <w:b w:val="0"/>
              </w:rPr>
              <w:t>[ ]</w:t>
            </w:r>
          </w:p>
        </w:tc>
        <w:tc>
          <w:tcPr>
            <w:tcW w:type="dxa" w:w="1872"/>
            <w:vAlign w:val="center"/>
          </w:tcPr>
          <w:p>
            <w:pPr>
              <w:pStyle w:val="TableText"/>
            </w:pPr>
            <w:r>
              <w:rPr/>
            </w:r>
            <w:r>
              <w:rPr>
                <w:b w:val="0"/>
              </w:rPr>
              <w:t>[ ]</w:t>
            </w:r>
          </w:p>
        </w:tc>
        <w:tc>
          <w:tcPr>
            <w:tcW w:type="dxa" w:w="1296"/>
            <w:vAlign w:val="center"/>
          </w:tcPr>
          <w:p>
            <w:pPr>
              <w:pStyle w:val="TableText"/>
            </w:pPr>
            <w:r>
              <w:rPr/>
            </w:r>
            <w:r>
              <w:rPr>
                <w:b w:val="0"/>
              </w:rPr>
              <w:t>[ ]</w:t>
            </w:r>
          </w:p>
        </w:tc>
      </w:tr>
    </w:tbl>
    <w:p>
      <w:pPr>
        <w:pStyle w:val="Heading1"/>
      </w:pPr>
      <w:bookmarkStart w:id="901169" w:name="_Toc300001168"/>
      <w:r>
        <w:t>CHAPTER 35</w:t>
      </w:r>
      <w:r>
        <w:br/>
      </w:r>
      <w:r>
        <w:t>TREATY INTEGRITY AND THE PROPORTIONAL TRADE ADJUSTMENT MECHANISM</w:t>
      </w:r>
      <w:bookmarkEnd w:id="901169"/>
    </w:p>
    <w:p>
      <w:pPr>
        <w:pStyle w:val="Normal"/>
      </w:pPr>
      <w:r>
        <w:t>Version Preservation. The Secretariat shall preserve prior versions of the Living Amendment Ledger and associated adopted amendment records so that the legal history, effective date, and superseded text of each amendment remain traceable.</w:t>
      </w:r>
    </w:p>
    <w:p>
      <w:pPr>
        <w:pStyle w:val="Normal"/>
      </w:pPr>
      <w:r>
        <w:t>*(As hardened by the CUSMA 2.1 Hardening Package)*</w:t>
      </w:r>
    </w:p>
    <w:p>
      <w:pPr>
        <w:pStyle w:val="Heading2"/>
      </w:pPr>
      <w:bookmarkStart w:id="901170" w:name="_Toc300001169"/>
      <w:r>
        <w:t>Article 35.1: Purpose and Governing Principles</w:t>
      </w:r>
      <w:bookmarkEnd w:id="901170"/>
    </w:p>
    <w:p>
      <w:pPr>
        <w:pStyle w:val="Normal"/>
      </w:pPr>
      <w:r>
        <w:t>1. This Chapter establishes the North American Trade Stabilization Mechanism (the “Mechanism”), through which the Parties verify, classify, correct, remediate, and restore trade treatment in accordance with the operating doctrine of this Chapter: Verify, Classify, Correct, Remediate, Restore.</w:t>
      </w:r>
    </w:p>
    <w:p>
      <w:pPr>
        <w:pStyle w:val="Normal"/>
      </w:pPr>
      <w:r>
        <w:t>2. The purpose of a trade remedy under this Agreement is to restore the conditions of fair trade, not to inflict economic injury upon another Party.</w:t>
      </w:r>
    </w:p>
    <w:p>
      <w:pPr>
        <w:pStyle w:val="Normal"/>
      </w:pPr>
      <w:r>
        <w:t>3. The Mechanism is governed by the following principles:</w:t>
      </w:r>
    </w:p>
    <w:p>
      <w:pPr>
        <w:pStyle w:val="Normal"/>
      </w:pPr>
      <w:r>
        <w:t xml:space="preserve">(a) </w:t>
      </w:r>
      <w:r>
        <w:rPr>
          <w:b/>
        </w:rPr>
        <w:t>Proportionality.</w:t>
      </w:r>
      <w:r>
        <w:t xml:space="preserve"> A corrective measure shall not exceed what is commensurate with the verified economic distortion it addresses. A measure exceeding the verified distortion is permissible only as an expressly authorized deterrent consequence of deliberate or sustained noncompliance, following the separate finding required by Article 35.12.3.</w:t>
      </w:r>
    </w:p>
    <w:p>
      <w:pPr>
        <w:pStyle w:val="Normal"/>
      </w:pPr>
      <w:r>
        <w:t xml:space="preserve">(b) </w:t>
      </w:r>
      <w:r>
        <w:rPr>
          <w:b/>
        </w:rPr>
        <w:t>Reciprocity.</w:t>
      </w:r>
      <w:r>
        <w:t xml:space="preserve"> The Mechanism applies equally to, and equally constrains, each Party. All Parties comply; all Parties may challenge; all Parties may remediate; all Parties recover.</w:t>
      </w:r>
    </w:p>
    <w:p>
      <w:pPr>
        <w:pStyle w:val="Normal"/>
      </w:pPr>
      <w:r>
        <w:t xml:space="preserve">(c) </w:t>
      </w:r>
      <w:r>
        <w:rPr>
          <w:b/>
        </w:rPr>
        <w:t>Specificity.</w:t>
      </w:r>
      <w:r>
        <w:t xml:space="preserve"> A corrective measure shall be directed at the entity, product, tariff line, subsector, or sector in which the verified distortion exists, and shall expand beyond that scope only in accordance with Article 35.13 (Narrowest-Sufficient-Remedy Rule).</w:t>
      </w:r>
    </w:p>
    <w:p>
      <w:pPr>
        <w:pStyle w:val="Normal"/>
      </w:pPr>
      <w:r>
        <w:t xml:space="preserve">(d) </w:t>
      </w:r>
      <w:r>
        <w:rPr>
          <w:b/>
        </w:rPr>
        <w:t>Evidence.</w:t>
      </w:r>
      <w:r>
        <w:t xml:space="preserve"> No corrective measure applies on the basis of allegation, political assertion, or inference unsupported by an Evidence Package verified in accordance with this Chapter.</w:t>
      </w:r>
    </w:p>
    <w:p>
      <w:pPr>
        <w:pStyle w:val="Normal"/>
      </w:pPr>
      <w:r>
        <w:t xml:space="preserve">(e) </w:t>
      </w:r>
      <w:r>
        <w:rPr>
          <w:b/>
        </w:rPr>
        <w:t>Reversibility.</w:t>
      </w:r>
      <w:r>
        <w:t xml:space="preserve"> Every corrective measure adopted under this Agreement is reversible, and carries at inception the objective conditions for its own termination.</w:t>
      </w:r>
    </w:p>
    <w:p>
      <w:pPr>
        <w:pStyle w:val="Normal"/>
      </w:pPr>
      <w:r>
        <w:t xml:space="preserve">(f) </w:t>
      </w:r>
      <w:r>
        <w:rPr>
          <w:b/>
        </w:rPr>
        <w:t>Automatic restoration.</w:t>
      </w:r>
      <w:r>
        <w:t xml:space="preserve"> Upon independent verification of remediation, corrective measures terminate and preferential treatment restores automatically, without further political decision, negotiation, vote, or condition.</w:t>
      </w:r>
    </w:p>
    <w:p>
      <w:pPr>
        <w:pStyle w:val="Normal"/>
      </w:pPr>
      <w:r>
        <w:t xml:space="preserve">(g) </w:t>
      </w:r>
      <w:r>
        <w:rPr>
          <w:b/>
        </w:rPr>
        <w:t>No unrelated punishment.</w:t>
      </w:r>
      <w:r>
        <w:t xml:space="preserve"> A distortion verified within one trade module does not, by itself, authorize a corrective measure within another trade module.</w:t>
      </w:r>
    </w:p>
    <w:p>
      <w:pPr>
        <w:pStyle w:val="Normal"/>
      </w:pPr>
      <w:r>
        <w:t xml:space="preserve">(h) </w:t>
      </w:r>
      <w:r>
        <w:rPr>
          <w:b/>
        </w:rPr>
        <w:t>No snapback.</w:t>
      </w:r>
      <w:r>
        <w:t xml:space="preserve"> No provision of this Agreement, and no measure taken under it, operates as a binary snapback under which a single determination, breach, or failure collapses the benefits, preferences, or architecture of this Agreement or of any Chapter of it. Enforcement under this Agreement is graduated, reversible, and proportionate.</w:t>
      </w:r>
    </w:p>
    <w:p>
      <w:pPr>
        <w:pStyle w:val="Normal"/>
        <w:spacing w:before="0" w:after="0"/>
        <w:widowControl w:val="1"/>
      </w:pPr>
      <w:r>
        <w:t>4. Tariffs between the Parties are quarantined as an extraordinary remedy of absolute last resort. Cothrom verification, cure, demerit assessment, non-tariff enhanced-benefit step-back, compensation, and other targeted non-tariff remedies shall be exhausted or found demonstrably incapable of preventing serious continuing harm before a tariff may be considered. No tariff may take effect without authorization under Articles 35.38 through 35.40.</w:t>
      </w:r>
    </w:p>
    <w:p/>
    <w:p>
      <w:pPr>
        <w:pStyle w:val="Heading2"/>
      </w:pPr>
      <w:bookmarkStart w:id="901171" w:name="_Toc300001170"/>
      <w:r>
        <w:t>Article 35.2: Definitions</w:t>
      </w:r>
      <w:bookmarkEnd w:id="901171"/>
    </w:p>
    <w:p>
      <w:pPr>
        <w:pStyle w:val="Normal"/>
      </w:pPr>
      <w:r>
        <w:t>For the purposes of this Chapter, and for the purposes of this Agreement wherever the following terms are used:</w:t>
      </w:r>
    </w:p>
    <w:p>
      <w:pPr>
        <w:pStyle w:val="Normal"/>
      </w:pPr>
      <w:r>
        <w:rPr>
          <w:b/>
        </w:rPr>
        <w:t>covered border measure</w:t>
      </w:r>
      <w:r>
        <w:t xml:space="preserve"> means any measure of a Party, however denominated, designated, or authorized under that Party’s domestic law, that imposes, increases, reinstates, or has the economic effect of imposing or increasing, a charge, restriction, or condition on the importation or exportation of goods by reason of the goods crossing the border, including:</w:t>
      </w:r>
    </w:p>
    <w:p>
      <w:pPr>
        <w:pStyle w:val="Normal"/>
      </w:pPr>
      <w:r>
        <w:t>(a) a customs duty, tariff, additional duty, supplementary duty, or retaliatory duty;</w:t>
      </w:r>
    </w:p>
    <w:p>
      <w:pPr>
        <w:pStyle w:val="Normal"/>
      </w:pPr>
      <w:r>
        <w:t>(b) a surcharge, import surcharge, balance-of-payments surcharge, or emergency surcharge;</w:t>
      </w:r>
    </w:p>
    <w:p>
      <w:pPr>
        <w:pStyle w:val="Normal"/>
      </w:pPr>
      <w:r>
        <w:t>(c) an import fee, border fee, border adjustment charge, security levy, processing fee, or equivalent charge;</w:t>
      </w:r>
    </w:p>
    <w:p>
      <w:pPr>
        <w:pStyle w:val="Normal"/>
      </w:pPr>
      <w:r>
        <w:t>(d) a quantitative restriction, quota, tariff-rate quota, import or export licensing condition with restrictive effect, government-induced export restraint, managed-trade quota, or coerced minimum-price undertaking;</w:t>
      </w:r>
    </w:p>
    <w:p>
      <w:pPr>
        <w:pStyle w:val="Normal"/>
      </w:pPr>
      <w:r>
        <w:t>(e) a suspension, withdrawal, or conditioning of preferential, simplified, expedited, or duty-free customs treatment, including treatment of low-value shipments;</w:t>
      </w:r>
    </w:p>
    <w:p>
      <w:pPr>
        <w:pStyle w:val="Normal"/>
      </w:pPr>
      <w:r>
        <w:t>(f) a requirement calculated on the basis of the national or Party-specific content of a good, including any measure that differentiates among the content of the Parties within an originating good;</w:t>
      </w:r>
    </w:p>
    <w:p>
      <w:pPr>
        <w:pStyle w:val="Normal"/>
      </w:pPr>
      <w:r>
        <w:t>(g) an extraordinary import or export charge adopted under emergency, national security, national defense, economic emergency, or balance-of-payments authority;</w:t>
      </w:r>
    </w:p>
    <w:p>
      <w:pPr>
        <w:pStyle w:val="Normal"/>
      </w:pPr>
      <w:r>
        <w:t>(h) a substantially equivalent internal fiscal, regulatory, or administrative measure within Article 35.4A; and</w:t>
      </w:r>
    </w:p>
    <w:p>
      <w:pPr>
        <w:pStyle w:val="Normal"/>
      </w:pPr>
      <w:r>
        <w:t>(i) any other measure substantially equivalent in economic effect to a measure described in subparagraphs (a) through (h),</w:t>
      </w:r>
    </w:p>
    <w:p>
      <w:pPr>
        <w:pStyle w:val="Normal"/>
      </w:pPr>
      <w:r>
        <w:t>whether the measure is adopted under statutory, executive, regulatory, proclamatory, or other domestic authority, and whether the measure is characterized under domestic law as a tariff, tax, fee, adjustment, restriction, exclusion, suspension, or otherwise;</w:t>
      </w:r>
    </w:p>
    <w:p>
      <w:pPr>
        <w:pStyle w:val="Normal"/>
      </w:pPr>
      <w:r>
        <w:rPr>
          <w:b/>
        </w:rPr>
        <w:t>Proportional Trade Adjustment</w:t>
      </w:r>
      <w:r>
        <w:t xml:space="preserve"> or </w:t>
      </w:r>
      <w:r>
        <w:rPr>
          <w:b/>
        </w:rPr>
        <w:t>PTA</w:t>
      </w:r>
      <w:r>
        <w:t xml:space="preserve"> means a temporary, bounded corrective adjustment to the preferential treatment of identified goods, calculated and administered in accordance with Article 35.12 and Annex 35-A;</w:t>
      </w:r>
    </w:p>
    <w:p>
      <w:pPr>
        <w:pStyle w:val="Normal"/>
      </w:pPr>
      <w:r>
        <w:rPr>
          <w:b/>
        </w:rPr>
        <w:t>verified economic distortion</w:t>
      </w:r>
      <w:r>
        <w:t xml:space="preserve"> means an economic distortion whose existence, scope, affected trade, and magnitude have been established by the North American Trade Verification Panel under Article 35.10, quantified in accordance with the methodology rules of Annex 35-A, including: a defined counterfactual baseline; treatment of direct and demonstrated indirect effects; exclusion of speculative or general macroeconomic effects; documented treatment of exchange-rate movements, lost sales, price suppression or depression, and subsidy incidence; and a reported best estimate together with an uncertainty band, expressed as a price effect, margin of subsidy or dumping, volume effect, or equivalent quantified measure;</w:t>
      </w:r>
    </w:p>
    <w:p>
      <w:pPr>
        <w:pStyle w:val="Normal"/>
      </w:pPr>
      <w:r>
        <w:rPr>
          <w:b/>
        </w:rPr>
        <w:t>trade module</w:t>
      </w:r>
      <w:r>
        <w:t xml:space="preserve"> means a category of trade listed in Annex 35-B for the purposes of the module firewall in Article 35.15, with assignment of multi-module goods governed by the dominant-purpose test in Annex 35-B, Part 1;</w:t>
      </w:r>
    </w:p>
    <w:p>
      <w:pPr>
        <w:pStyle w:val="Normal"/>
      </w:pPr>
      <w:r>
        <w:rPr>
          <w:b/>
        </w:rPr>
        <w:t>originating good</w:t>
      </w:r>
      <w:r>
        <w:t xml:space="preserve"> means a good qualifying as originating under Chapter 4 (Rules of Origin), and includes a good qualifying under any special or sectoral origin procedure of this Agreement;</w:t>
      </w:r>
    </w:p>
    <w:p>
      <w:pPr>
        <w:pStyle w:val="Normal"/>
      </w:pPr>
      <w:r>
        <w:rPr>
          <w:b/>
        </w:rPr>
        <w:t>Evidence Package</w:t>
      </w:r>
      <w:r>
        <w:t xml:space="preserve"> means the submission described in Article 35.9;</w:t>
      </w:r>
    </w:p>
    <w:p>
      <w:pPr>
        <w:pStyle w:val="Normal"/>
      </w:pPr>
      <w:r>
        <w:rPr>
          <w:b/>
        </w:rPr>
        <w:t>remediation</w:t>
      </w:r>
      <w:r>
        <w:t xml:space="preserve"> means the cessation, correction, or offset of the conduct or measure constituting a verified distortion, as specified in the restoration conditions issued under Article 35.17;</w:t>
      </w:r>
    </w:p>
    <w:p>
      <w:pPr>
        <w:pStyle w:val="Normal"/>
      </w:pPr>
      <w:r>
        <w:rPr>
          <w:b/>
        </w:rPr>
        <w:t>Trusted North American Origin</w:t>
      </w:r>
      <w:r>
        <w:t xml:space="preserve"> means the status conferred under Article 36.6;</w:t>
      </w:r>
    </w:p>
    <w:p>
      <w:pPr>
        <w:pStyle w:val="Normal"/>
      </w:pPr>
      <w:r>
        <w:rPr>
          <w:b/>
        </w:rPr>
        <w:t>legacy measure</w:t>
      </w:r>
      <w:r>
        <w:t xml:space="preserve"> means a covered border measure applied by a Party on originating goods of another Party and in force on the date of signature of the Protocol of Modernization;</w:t>
      </w:r>
    </w:p>
    <w:p>
      <w:pPr>
        <w:pStyle w:val="Normal"/>
      </w:pPr>
      <w:r>
        <w:rPr>
          <w:b/>
        </w:rPr>
        <w:t>low-value shipment</w:t>
      </w:r>
      <w:r>
        <w:t xml:space="preserve"> means a shipment qualifying for simplified or duty-free entry under a Party’s de minimis or equivalent regime;</w:t>
      </w:r>
    </w:p>
    <w:p>
      <w:pPr>
        <w:pStyle w:val="Normal"/>
      </w:pPr>
      <w:r>
        <w:rPr>
          <w:b/>
        </w:rPr>
        <w:t>emergency</w:t>
      </w:r>
      <w:r>
        <w:t>, for the purposes of Article 35.21, means a sudden, unforeseen, and objectively demonstrable situation causing or threatening serious injury to a Party’s producers, critical infrastructure, public health, or public safety, and does not include ordinary political urgency, electoral considerations, industrial lobbying, price weakness in ordinary market conditions, or the existence or size of a bilateral trade deficit.</w:t>
      </w:r>
    </w:p>
    <w:p>
      <w:pPr>
        <w:spacing w:before="0" w:after="0"/>
        <w:widowControl w:val="1"/>
      </w:pPr>
      <w:r>
        <w:t>1. TARIFF SCOPE AND CORRECTIVE PRIORITY. For Articles 35.1.4, 35.12, 35.16 and 35.34 through 35.40, tariff means any duty, additional duty, surcharge or monetized border charge on originating goods, including a PTA collected or secured as a border charge and a reduction of ordinary zero-duty treatment. A tariff PTA requires the Chapter 31 legal authorization and completed non-tariff stages applicable to the matter, followed by separate guarantor authorization under Articles 35.38 through 35.40, and the lowest applicable distortion, aggregate-budget and 5, 10 or 15 percent ceiling controls. Its collection expires at the 30-day or expressly authorized 60-day endpoint measured from first legal effect, and any 180-day PTA framework or renewal does not extend that tariff authorization, permit collection during a gap, or replace fresh guarantor approval. Independently lawful Chapter 10 duties and Article 32.2 as replaced security measures use their express substantive authority and review tracks rather than corrective-guarantor authority, while Article 35.35 and anti-evasion remain applicable and Annex 35-D.1 has only its express transitional exception.</w:t>
      </w:r>
    </w:p>
    <w:p/>
    <w:p>
      <w:pPr>
        <w:pStyle w:val="Heading2"/>
      </w:pPr>
      <w:bookmarkStart w:id="901172" w:name="_Toc300001171"/>
      <w:r>
        <w:t>Article 35.3: CUSMA-Originating Goods Tariff Guarantee</w:t>
      </w:r>
      <w:bookmarkEnd w:id="901172"/>
    </w:p>
    <w:p>
      <w:pPr>
        <w:pStyle w:val="Normal"/>
      </w:pPr>
      <w:r>
        <w:t>1. Each Party shall accord to an originating good of another Party the tariff treatment established in that Party’s Schedule to Annex 2-B (Tariff Commitments), subject only to an exception expressly provided in this Agreement.</w:t>
      </w:r>
    </w:p>
    <w:p>
      <w:pPr>
        <w:pStyle w:val="Normal"/>
      </w:pPr>
      <w:r>
        <w:t>2. The guarantee in paragraph 1 applies notwithstanding the domestic statutory, executive, regulatory, proclamatory, or other authority under which a covered border measure is adopted or maintained, and notwithstanding the name, designation, characterization, or stated purpose assigned to that measure under domestic law.</w:t>
      </w:r>
    </w:p>
    <w:p>
      <w:pPr>
        <w:pStyle w:val="Normal"/>
      </w:pPr>
      <w:r>
        <w:t>3. The obligations of this Agreement with respect to covered border measures apply according to the substance and economic effect of a measure, without regard to the domestic legal authority, designation, form, or terminology under which a Party adopts or maintains that measure. For greater certainty, a measure is subject to this Agreement if its economic function is that of a covered border measure, including a measure denominated as a tariff, tax, fee, surcharge, levy, adjustment, restriction, exclusion, licensing condition, financial-security requirement, or suspension of preferential or simplified customs treatment.</w:t>
      </w:r>
    </w:p>
    <w:p>
      <w:pPr>
        <w:pStyle w:val="Normal"/>
      </w:pPr>
      <w:r>
        <w:t>4. No Party shall accomplish indirectly, through a covered border measure, what this Agreement prohibits that Party from accomplishing directly, except pursuant to an express exception contained in this Agreement.</w:t>
      </w:r>
    </w:p>
    <w:p>
      <w:pPr>
        <w:pStyle w:val="Normal"/>
      </w:pPr>
      <w:r>
        <w:t>5. No Party shall apply a covered border measure to an originating good of another Party on the basis of the proportion of that good’s content that is attributable to one Party rather than to the Parties collectively. Origin under this Agreement is North American origin. For greater certainty, and without limiting Chapter 4, a covered border measure that differentiates treatment of an originating good according to the share of its value, content, or processes attributable to a single Party is inconsistent with this Agreement.</w:t>
      </w:r>
    </w:p>
    <w:p>
      <w:pPr>
        <w:pStyle w:val="Normal"/>
      </w:pPr>
      <w:r>
        <w:t>6. No Party shall apply a covered border measure to an originating good of another Party by reason of a grievance, dispute, policy objective, or negotiation position that does not concern trade in goods or services under this Agreement. For greater certainty, conduct relating to migration, drug trafficking, crime, environmental phenomena, infrastructure, diplomatic relations, or a third country does not constitute a basis for a covered border measure against originating goods under this Agreement.</w:t>
      </w:r>
    </w:p>
    <w:p>
      <w:pPr>
        <w:pStyle w:val="Normal"/>
      </w:pPr>
      <w:r>
        <w:t>7. No Party shall apply a covered border measure to an originating good of another Party on the ground that the other Party accords, under a separate international agreement, treatment to a non-Party that differs from treatment accorded under this Agreement, provided the other Party’s administration of this Agreement conforms to this Agreement.</w:t>
      </w:r>
    </w:p>
    <w:p>
      <w:pPr>
        <w:pStyle w:val="Normal"/>
      </w:pPr>
      <w:r>
        <w:t>8. No Party shall condition the tariff treatment of originating goods on investment commitments, production-location commitments, sourcing commitments within a single Party, pricing commitments, purchase commitments, import targets, or other concessions extraneous to the originating status of the goods.</w:t>
      </w:r>
    </w:p>
    <w:p>
      <w:pPr>
        <w:pStyle w:val="Normal"/>
      </w:pPr>
      <w:r>
        <w:t>9. This Article does not constrain: (a) antidumping and countervailing duties imposed consistently with Chapter 10 (Trade Remedies) as amended by this modernization, including Articles 10.A and 10.B; (b) a safeguard measure imposed consistently with Chapter 10 as amended; (c) a Proportional Trade Adjustment authorized under this Chapter; (d) an emergency provisional measure applied consistently with Article 35.21; or (e) an essential security measure applied consistently with Article 32.2 (Essential Security) as replaced by this modernization and reviewed under Article 35.22.</w:t>
      </w:r>
    </w:p>
    <w:p>
      <w:pPr>
        <w:pStyle w:val="Normal"/>
      </w:pPr>
      <w:r>
        <w:t>10. Presumption of Tariff Finality. Preferential tariff treatment established by this Agreement is permanent economic infrastructure and shall not be increased, suspended, conditioned, or threatened for bargaining leverage, revenue generation, political retaliation, bilateral trade-balance objectives, migration or narcotics disputes unrelated to the goods, or generalized industrial-policy objectives.</w:t>
      </w:r>
    </w:p>
    <w:p>
      <w:pPr>
        <w:pStyle w:val="Normal"/>
      </w:pPr>
      <w:r>
        <w:t>11. A departure from paragraph 10 is permitted only through an express mechanism of this Agreement that independently authorizes the measure, satisfies its evidentiary and procedural conditions, and is applied for the shortest period and at the lowest level reasonably sufficient to address the verified matter.</w:t>
      </w:r>
    </w:p>
    <w:p>
      <w:pPr>
        <w:pStyle w:val="Normal"/>
      </w:pPr>
      <w:r>
        <w:t>12. Tariff-based corrective measures are remedies of last resort. Where a non-tariff corrective measure available under Articles 35.16 and 35.17A can reasonably achieve equivalent compliance with materially less disruption to innocent trade, the non-tariff measure shall be preferred.</w:t>
      </w:r>
    </w:p>
    <w:p>
      <w:pPr>
        <w:pStyle w:val="Heading2"/>
      </w:pPr>
      <w:bookmarkStart w:id="901173" w:name="_Toc300001172"/>
      <w:r>
        <w:t>Article 35.3A: Export Measures</w:t>
      </w:r>
      <w:bookmarkEnd w:id="901173"/>
    </w:p>
    <w:p>
      <w:pPr>
        <w:pStyle w:val="Normal"/>
      </w:pPr>
      <w:r>
        <w:t>1. This Chapter applies, mutatis mutandis, to extraordinary restrictions, duties, taxes, fees, quotas, licensing conditions, or prohibitions applied by a Party on the exportation of goods to another Party, including energy, machinery, technology, components, medicines, and industrial inputs.</w:t>
      </w:r>
    </w:p>
    <w:p>
      <w:pPr>
        <w:pStyle w:val="Normal"/>
      </w:pPr>
      <w:r>
        <w:t>2. No Party shall apply an extraordinary export restriction against another Party as retaliation, leverage, or punishment in a matter arising under this Agreement. An export restriction in respect of a verified distortion is available only through the stages of Article 35.16, within the affected module, and subject to the same ceilings, expiry, and automatic restoration as a PTA.</w:t>
      </w:r>
    </w:p>
    <w:p>
      <w:pPr>
        <w:pStyle w:val="Normal"/>
      </w:pPr>
      <w:r>
        <w:t>3. Article 2.15 (Export Duties, Taxes, or Other Charges) and the disciplines of this Agreement on export restrictions remain in force. For greater certainty, an extraordinary discriminatory export duty, tax, or charge applied by reason of the destination of the goods in another Party is a covered border measure.</w:t>
      </w:r>
    </w:p>
    <w:p>
      <w:pPr>
        <w:pStyle w:val="Normal"/>
      </w:pPr>
      <w:r>
        <w:t>4. Nothing in this Article constrains export controls of general application addressed to non-Parties, non-proliferation controls, or measures consistent with Article 32.2 as replaced.</w:t>
      </w:r>
    </w:p>
    <w:p>
      <w:pPr>
        <w:pStyle w:val="Heading2"/>
      </w:pPr>
      <w:bookmarkStart w:id="901247" w:name="_Toc300001246"/>
      <w:r>
        <w:t>Article 35.3B: Negotiation-Pause Continuity Protocol</w:t>
      </w:r>
      <w:bookmarkEnd w:id="901247"/>
    </w:p>
    <w:p>
      <w:pPr>
        <w:pStyle w:val="Normal"/>
      </w:pPr>
      <w:r>
        <w:t>1. A binding tariff suspension adopted to facilitate negotiations may specify automatic continuation in 30-day increments. Where that option is used, the suspension continues unless the suspending Party provides at least 10 days' written notice of expiration or replacement.</w:t>
      </w:r>
    </w:p>
    <w:p>
      <w:pPr>
        <w:pStyle w:val="Normal"/>
      </w:pPr>
      <w:r>
        <w:t>2. The notice shall identify the legal basis and intended treatment after expiration. Any restored covered border measure remains subject to this Chapter.</w:t>
      </w:r>
    </w:p>
    <w:p>
      <w:pPr>
        <w:pStyle w:val="Normal"/>
      </w:pPr>
      <w:r>
        <w:t>3. This Article applies only where the Parties have placed the pause on a binding legal footing; it does not purport to bind conduct occurring before provisional application or entry into force of the relevant instrument.</w:t>
      </w:r>
    </w:p>
    <w:p>
      <w:pPr>
        <w:pStyle w:val="Heading2"/>
      </w:pPr>
      <w:bookmarkStart w:id="901248" w:name="_Toc300001247"/>
      <w:r>
        <w:t>Article 35.3C: Interim Legal-Text Finalization Protection</w:t>
      </w:r>
      <w:bookmarkEnd w:id="901248"/>
    </w:p>
    <w:p>
      <w:pPr>
        <w:pStyle w:val="Normal"/>
      </w:pPr>
      <w:r>
        <w:t>1. Where the Parties provisionally apply specified tariff treatment or execute a binding interim instrument after announcing a political agreement but before completion of final legal text, no Party shall restore a covered border measure solely because another Party allegedly failed to implement a political commitment not incorporated into the binding interim instrument.</w:t>
      </w:r>
    </w:p>
    <w:p>
      <w:pPr>
        <w:pStyle w:val="Normal"/>
      </w:pPr>
      <w:r>
        <w:t>2. A measure restored during this period shall be subject to expedited verification and shall be terminated or modified if the Panel finds that the asserted obligation lacks a binding legal basis or that the response is inconsistent with proportionality and the narrowest-sufficient-remedy rule.</w:t>
      </w:r>
    </w:p>
    <w:p>
      <w:pPr>
        <w:spacing w:before="0" w:after="0"/>
        <w:widowControl w:val="1"/>
      </w:pPr>
      <w:r>
        <w:t>3. SUSPENDED LEGACY TREATMENT AND PAUSE REVIEW. Articles 35.3B through 35.3D preserve a lawful suspension without converting a signature-date suspended legacy measure into a revivable duty excluded from Annex 35-D. A suspended but not revoked legacy measure terminates on entry into force on the same terms as an active one, and no ten-day notice reactivates it after termination. Expedited factual verification under these pause provisions is an Article 35.10 Team report within fifteen days after a complete referral, constituted within five days, with the Article 35.21 seventy-two-hour report reserved for its genuine emergency trigger. Panel in Article 35.3C means that factual Team for verification and the Article 31.A panel for disputed legal effect, without independent tariff authority.</w:t>
      </w:r>
    </w:p>
    <w:p/>
    <w:p>
      <w:pPr>
        <w:pStyle w:val="Heading2"/>
      </w:pPr>
      <w:bookmarkStart w:id="901246" w:name="_Toc300001245"/>
      <w:r>
        <w:t>Article 35.3D: Binding Effect of Tariff Suspensions</w:t>
      </w:r>
      <w:bookmarkEnd w:id="901246"/>
    </w:p>
    <w:p>
      <w:pPr>
        <w:pStyle w:val="Normal"/>
      </w:pPr>
      <w:r>
        <w:t>1. Where a Party has placed a covered border measure into a legally effective suspension under this Agreement, a binding interim instrument, or an instrument expressly incorporated by reference, the suspension shall not be revoked solely on an unverified assertion that another Party failed to implement a non-binding political commitment.</w:t>
      </w:r>
    </w:p>
    <w:p>
      <w:pPr>
        <w:pStyle w:val="Normal"/>
      </w:pPr>
      <w:r>
        <w:t>2. Revocation, non-renewal, or material narrowing of such a suspension that restores a covered border measure is itself reviewable under this Chapter and, where urgency warrants, shall receive expedited verification under Article 35.10.</w:t>
      </w:r>
    </w:p>
    <w:p>
      <w:pPr>
        <w:pStyle w:val="Normal"/>
      </w:pPr>
      <w:r>
        <w:t>3. Nothing in this Article converts a non-binding political commitment into a legal obligation.</w:t>
      </w:r>
    </w:p>
    <w:p>
      <w:pPr>
        <w:pStyle w:val="Heading2"/>
      </w:pPr>
      <w:bookmarkStart w:id="901174" w:name="_Toc300001173"/>
      <w:r>
        <w:t>Article 35.4: Equivalent Measures and Anti-Evasion</w:t>
      </w:r>
      <w:bookmarkEnd w:id="901174"/>
    </w:p>
    <w:p>
      <w:pPr>
        <w:pStyle w:val="Normal"/>
      </w:pPr>
      <w:r>
        <w:t>1. No Party shall evade Article 35.3 by:</w:t>
      </w:r>
    </w:p>
    <w:p>
      <w:pPr>
        <w:pStyle w:val="Normal"/>
      </w:pPr>
      <w:r>
        <w:t>(a) replacing a prohibited duty with a fee, surcharge, levy, or charge of equivalent economic effect;</w:t>
      </w:r>
    </w:p>
    <w:p>
      <w:pPr>
        <w:pStyle w:val="Normal"/>
      </w:pPr>
      <w:r>
        <w:t>(b) replacing a prohibited duty with a quantitative restriction, quota, or tariff-rate quota carrying a restrictive or punitive over-quota rate;</w:t>
      </w:r>
    </w:p>
    <w:p>
      <w:pPr>
        <w:pStyle w:val="Normal"/>
      </w:pPr>
      <w:r>
        <w:t>(c) withdrawing, suspending, or conditioning duty-free, simplified, or expedited customs treatment, including treatment of low-value shipments, so as to impose on originating goods a burden equivalent to a prohibited duty;</w:t>
      </w:r>
    </w:p>
    <w:p>
      <w:pPr>
        <w:pStyle w:val="Normal"/>
      </w:pPr>
      <w:r>
        <w:t>(d) extending a measure addressed to a primary product to derivative or downstream products so as to reach trade not covered by a verified distortion in the primary product, except where the derivative or downstream product itself embodies the verified distortion, it being understood that a Party shall not define “derivative” so broadly that products not meaningfully embodying the distorted input are captured;</w:t>
      </w:r>
    </w:p>
    <w:p>
      <w:pPr>
        <w:pStyle w:val="Normal"/>
      </w:pPr>
      <w:r>
        <w:t>(e) adding products to an existing extraordinary measure to prevent circumvention, except following verification under this Chapter that the added products embody the verified distortion;</w:t>
      </w:r>
    </w:p>
    <w:p>
      <w:pPr>
        <w:pStyle w:val="Normal"/>
      </w:pPr>
      <w:r>
        <w:t>(f) applying a special origin test, including a test based on the place of an underlying production process, that operates independently of, and more restrictively than, the rules of origin in Chapter 4, except as expressly provided in this Agreement;</w:t>
      </w:r>
    </w:p>
    <w:p>
      <w:pPr>
        <w:pStyle w:val="Normal"/>
      </w:pPr>
      <w:r>
        <w:t>(g) reviving, re-adopting, or escalating a previous extraordinary measure on the basis of a prior domestic finding, without a new verification under this Chapter establishing the current existence and magnitude of the distortion;</w:t>
      </w:r>
    </w:p>
    <w:p>
      <w:pPr>
        <w:pStyle w:val="Normal"/>
      </w:pPr>
      <w:r>
        <w:t>(h) escalating the rate or scope of an extraordinary measure in the absence of a new verified change in the underlying distortion;</w:t>
      </w:r>
    </w:p>
    <w:p>
      <w:pPr>
        <w:pStyle w:val="Normal"/>
      </w:pPr>
      <w:r>
        <w:t>(i) terminating or materially impairing, by unilateral action, an exemption, exclusion, or alternative arrangement accorded to another Party’s originating goods under this Agreement;</w:t>
      </w:r>
    </w:p>
    <w:p>
      <w:pPr>
        <w:pStyle w:val="Normal"/>
      </w:pPr>
      <w:r>
        <w:t>(j) applying minimum effective duty floors to originating goods such that the measure persists independently of the verified distortion;</w:t>
      </w:r>
    </w:p>
    <w:p>
      <w:pPr>
        <w:pStyle w:val="Normal"/>
      </w:pPr>
      <w:r>
        <w:t>(k) imposing a covered border measure selectively on one Party while according materially more favorable treatment to like originating goods of another Party or to like goods of a non-Party, except pursuant to an express exception of this Agreement or a preference consistent with Article 35.5;</w:t>
      </w:r>
    </w:p>
    <w:p>
      <w:pPr>
        <w:pStyle w:val="Normal"/>
      </w:pPr>
      <w:r>
        <w:t>(l) adopting a new covered border measure under a different domestic authority where a substantively identical measure has been terminated, found inconsistent with this Agreement, or withdrawn;</w:t>
      </w:r>
    </w:p>
    <w:p>
      <w:pPr>
        <w:pStyle w:val="Normal"/>
      </w:pPr>
      <w:r>
        <w:t>(m) stacking covered border measures such that the cumulative charge on an originating good exceeds the ceiling applicable under this Chapter to the verified distortion being addressed; or</w:t>
      </w:r>
    </w:p>
    <w:p>
      <w:pPr>
        <w:pStyle w:val="Normal"/>
      </w:pPr>
      <w:r>
        <w:t>(n) adopting a substantially identical measure under a new stated justification, where the measure, the targeted trade, and its economic effect remain substantially the same; for the purposes of duration limits, renewal limits, and verification requirements of this Agreement, such successive measures are treated as a single continuing measure.</w:t>
      </w:r>
    </w:p>
    <w:p>
      <w:pPr>
        <w:pStyle w:val="Normal"/>
      </w:pPr>
      <w:r>
        <w:t>2. Where a Party adopts or maintains a measure described in paragraph 1, the measure is subject to this Chapter as if it were the covered border measure whose effect it reproduces.</w:t>
      </w:r>
    </w:p>
    <w:p>
      <w:pPr>
        <w:pStyle w:val="Heading2"/>
      </w:pPr>
      <w:bookmarkStart w:id="901175" w:name="_Toc300001174"/>
      <w:r>
        <w:t>Article 35.4A: Substitute Measures, Internal, Regulatory, Customs-Administration, and Procurement Routes</w:t>
      </w:r>
      <w:bookmarkEnd w:id="901175"/>
    </w:p>
    <w:p>
      <w:pPr>
        <w:pStyle w:val="Normal"/>
      </w:pPr>
      <w:r>
        <w:t>1. The following measures, where applied so as to discriminate against or materially burden the originating goods, suppliers, or service suppliers of another Party by comparison with like domestic or non-Party goods, suppliers, or service suppliers, or so as to reproduce the economic effect of a covered border measure, are covered border measures for the purposes of this Agreement, wherever in the customs, fiscal, or regulatory process they are applied:</w:t>
      </w:r>
    </w:p>
    <w:p>
      <w:pPr>
        <w:pStyle w:val="Normal"/>
      </w:pPr>
      <w:r>
        <w:t>(a) an excise, sales, environmental, luxury, processing, consumption, or other internal tax targeted in fact at another Party’s goods, beyond treatment consistent with Article 2.3 (National Treatment);</w:t>
      </w:r>
    </w:p>
    <w:p>
      <w:pPr>
        <w:pStyle w:val="Normal"/>
      </w:pPr>
      <w:r>
        <w:t>(b) an inspection charge, certification fee, licensing fee, port charge, customs-user fee, or compliance assessment exceeding the approximate cost of services rendered or applied discriminatorily;</w:t>
      </w:r>
    </w:p>
    <w:p>
      <w:pPr>
        <w:pStyle w:val="Normal"/>
      </w:pPr>
      <w:r>
        <w:t>(c) a requirement that another Party’s goods enter only through designated ports, inspection centers, or crossings, or at restricted hours, unless objectively necessary for safety, security, or infrastructure capacity, with the invoking Party bearing the burden of demonstrating that necessity;</w:t>
      </w:r>
    </w:p>
    <w:p>
      <w:pPr>
        <w:pStyle w:val="Normal"/>
      </w:pPr>
      <w:r>
        <w:t>(d) systematic, discriminatory clearance delay, inspection intensity, documentation demands, or release holds that materially burden originating trade, assessed against the Party’s published processing benchmarks under Article 7.D;</w:t>
      </w:r>
    </w:p>
    <w:p>
      <w:pPr>
        <w:pStyle w:val="Normal"/>
      </w:pPr>
      <w:r>
        <w:t>(e) inspection rates on another Party’s goods materially exceeding those applied to like domestic or non-Party goods presenting a comparable documented risk profile, where the disparity is not justified by measurable, published risk criteria;</w:t>
      </w:r>
    </w:p>
    <w:p>
      <w:pPr>
        <w:pStyle w:val="Normal"/>
      </w:pPr>
      <w:r>
        <w:t>(f) a customs bond, deposit, guarantee, surety, or collateral requirement that is materially excessive in relation to the secured obligation or discriminatorily applied;</w:t>
      </w:r>
    </w:p>
    <w:p>
      <w:pPr>
        <w:pStyle w:val="Normal"/>
      </w:pPr>
      <w:r>
        <w:t>(g) a customs-valuation methodology departing from the Customs Valuation Agreement as applied under the customs-valuation provisions of this Agreement, or an extraordinary valuation methodology targeted at another Party’s goods;</w:t>
      </w:r>
    </w:p>
    <w:p>
      <w:pPr>
        <w:pStyle w:val="Normal"/>
      </w:pPr>
      <w:r>
        <w:t>(h) a systematic reclassification of another Party’s goods into less favorable tariff lines without a corresponding change in the Harmonized System or in the goods themselves, subject to expedited review under Article 31.A;</w:t>
      </w:r>
    </w:p>
    <w:p>
      <w:pPr>
        <w:pStyle w:val="Normal"/>
      </w:pPr>
      <w:r>
        <w:t>(i) repetitive origin verifications of the same exporters, producers, or goods without new evidence, contrary to the discipline of Article 5.A;</w:t>
      </w:r>
    </w:p>
    <w:p>
      <w:pPr>
        <w:pStyle w:val="Normal"/>
      </w:pPr>
      <w:r>
        <w:t>(j) government-induced export restraints, managed-trade quotas, minimum export prices, or similar arrangements obtained from another Party under threat of a measure that would be prohibited by this Agreement;</w:t>
      </w:r>
    </w:p>
    <w:p>
      <w:pPr>
        <w:pStyle w:val="Normal"/>
      </w:pPr>
      <w:r>
        <w:t>(k) conditioning tariff treatment, market access, or measure relief on commitments by another Party to purchase goods, reach import targets, or direct purchases toward the invoking Party;</w:t>
      </w:r>
    </w:p>
    <w:p>
      <w:pPr>
        <w:pStyle w:val="Normal"/>
      </w:pPr>
      <w:r>
        <w:t>(l) the exclusion of another Party’s suppliers from government procurement opportunities otherwise open under this Agreement, as retaliation or leverage in a matter arising under this Agreement; and</w:t>
      </w:r>
    </w:p>
    <w:p>
      <w:pPr>
        <w:pStyle w:val="Normal"/>
      </w:pPr>
      <w:r>
        <w:t>(m) conditioning export credit, development lending, loan guarantees, infrastructure financing, or industrial grants on the non-purchase of another Party’s goods, where the condition operates as a substitute for a prohibited measure; ordinary subsidy disciplines under this Agreement and the SCM Agreement are unaffected.</w:t>
      </w:r>
    </w:p>
    <w:p>
      <w:pPr>
        <w:pStyle w:val="Normal"/>
      </w:pPr>
      <w:r>
        <w:t>2. A subsidy or domestic-content incentive of general application is governed by the national-treatment, subsidy, and countervailing disciplines of this Agreement, and is not, merely by reason of its existence, a covered border measure; but an extraordinary program designed and conditioned so as to exclude another Party’s goods from a market in substitution for a prohibited border measure is reviewable under Chapter 31 for consistency with Articles 2.3 and 35.4.</w:t>
      </w:r>
    </w:p>
    <w:p>
      <w:pPr>
        <w:pStyle w:val="Normal"/>
      </w:pPr>
      <w:r>
        <w:t>3. Nothing in this Article restricts legitimate risk-based customs enforcement, food-safety and sanitary inspection consistent with Chapter 9, or ordinary tax measures consistent with national treatment.</w:t>
      </w:r>
    </w:p>
    <w:p>
      <w:pPr/>
      <w:r>
        <w:t>3A. SPS interface. A sanitary or phytosanitary measure remains governed substantively by Chapter 9, including its chosen level of protection, scientific, risk-assessment, emergency, and consultation disciplines. Where a complaining Party alleges that the administration of such a measure reproduces a discriminatory border burden, the Chapter 9 technical-consultation process shall commence promptly and does not prevent a simultaneous request for expedited review under Article 31.A, where its jurisdictional requirements are met, limited to whether the challenged administration is discriminatory or is being used as disguised trade leverage. No interim suspension of a bona fide health or safety measure may issue except on clear and convincing evidence of disguised discrimination and after consideration of the public-interest risk identified in Article 35.4B. A “special facilitation benefit” means an expedited, reduced-frequency, trusted-trader, equivalence, preclearance, or comparable facilitation treatment expressly granted under this Agreement or an implementing arrangement, and its withdrawal is reviewable only to the extent the benefit was legally available to the affected trader or goods.</w:t>
      </w:r>
    </w:p>
    <w:p>
      <w:pPr>
        <w:pStyle w:val="Normal"/>
      </w:pPr>
      <w:r>
        <w:t>4. Mirror and Burden Test. A new inspection, certification, licensing, health, safety, environmental, or comparable regulatory requirement that materially affects originating imports shall be administered on terms no less favorable than those applied to like domestic goods presenting a comparable risk, except to the extent a border-specific procedure is objectively necessary to verify entry, origin, safety, or compliance. Where the incremental compliance cost imposed on originating imports exceeds by more than two percentage points of customs value the comparable compliance cost borne by like domestic goods, the disparity creates a rebuttable presumption that the measure is a substitute measure. The presumption may be rebutted by evidence of objective necessity, proportionality, and the absence of a reasonably available less trade-restrictive means.</w:t>
      </w:r>
    </w:p>
    <w:p>
      <w:pPr>
        <w:pStyle w:val="Heading2"/>
      </w:pPr>
      <w:bookmarkStart w:id="901176" w:name="_Toc300001175"/>
      <w:r>
        <w:t>Article 35.4B: Regulatory Safe Harbor</w:t>
      </w:r>
      <w:bookmarkEnd w:id="901176"/>
    </w:p>
    <w:p>
      <w:pPr>
        <w:pStyle w:val="Normal"/>
      </w:pPr>
      <w:r>
        <w:t>1. A measure is presumptively not a substitute measure under Article 35.4A where it: (a) is facially nationality-neutral; (b) applies on materially comparable terms to like domestic goods, services, suppliers, or facilities; (c) pursues a legitimate objective including health, safety, environment, privacy, consumer protection, financial stability, culture, cybersecurity, or resource conservation; (d) was adopted through the ordinary domestic procedure applicable to comparable measures; and (e) is supported by a reasonable evidentiary or technical basis.</w:t>
      </w:r>
    </w:p>
    <w:p>
      <w:pPr>
        <w:pStyle w:val="Normal"/>
      </w:pPr>
      <w:r>
        <w:t>2. The presumption in paragraph 1 may be rebutted only by clear and convincing evidence that the measure is designed or administered to discriminate against another Party's trade, or that its protectionist effect is grossly disproportionate to the stated objective and a reasonably available materially less trade-restrictive alternative would achieve the same level of protection chosen by the regulating Party.</w:t>
      </w:r>
    </w:p>
    <w:p>
      <w:pPr>
        <w:pStyle w:val="Normal"/>
      </w:pPr>
      <w:r>
        <w:t>3. Cost of compliance alone does not establish a substitute measure. A material asymmetry in compliance burden may trigger factual review, but the complaining Party bears the burden of establishing discriminatory design, administration, or effect.</w:t>
      </w:r>
    </w:p>
    <w:p>
      <w:pPr>
        <w:pStyle w:val="Normal"/>
      </w:pPr>
      <w:r>
        <w:t>4. A bona fide health, safety, environmental, cybersecurity, or consumer-protection measure shall not ordinarily be suspended on an interim basis before a final finding. Interim suspension is available only on clear and convincing evidence of disguised discrimination, bad faith, or immediate irreparable commercial harm substantially exceeding the public-interest risk of suspension.</w:t>
      </w:r>
    </w:p>
    <w:p>
      <w:pPr>
        <w:pStyle w:val="Normal"/>
      </w:pPr>
      <w:r>
        <w:t>5. Nothing in this Article lowers a Party's chosen level of protection or requires harmonization of domestic regulation.</w:t>
      </w:r>
    </w:p>
    <w:p>
      <w:pPr>
        <w:spacing w:before="0" w:after="0"/>
        <w:widowControl w:val="1"/>
      </w:pPr>
      <w:r>
        <w:t>6. REGULATORY PRESUMPTIONS AND INTERIM STANDARD. Article 35.4B is the specific rule for a bona fide nationality-neutral regulation, and cost alone, including a differential cost above two percentage points, does not reverse the complaining Party's burden for such a regulation. For other measures, Article 35.4A(4)'s rebuttable presumption applies only after reliable proof of the differential cost and identified substitute-measure nexus, and the respondent may rebut with an evidenced legitimate non-discriminatory purpose and administration. Interim suspension of a bona fide health or safety regulation requires clear and convincing evidence of disguised discrimination or bad-faith evasion and a demonstrated immediate risk of irreparable harm, with a reasoned finding that narrower relief is insufficient. Commercial cost or urgency alone does not satisfy that standard, and all interim relief remains limited, reviewable and subject to the applicable Chapter 31 authority.</w:t>
      </w:r>
    </w:p>
    <w:p/>
    <w:p>
      <w:pPr>
        <w:pStyle w:val="Heading2"/>
      </w:pPr>
      <w:bookmarkStart w:id="901177" w:name="_Toc300001176"/>
      <w:r>
        <w:t>Article 35.5: Exclusive Remedies for Trade Matters</w:t>
      </w:r>
      <w:bookmarkEnd w:id="901177"/>
    </w:p>
    <w:p>
      <w:pPr>
        <w:pStyle w:val="Normal"/>
      </w:pPr>
      <w:r>
        <w:t>1. Where a matter concerns trade in goods or services between the Parties and falls within the scope of this Agreement, the remedies provided under this Agreement are the exclusive means by which a Party may impose a covered border measure on the originating goods of another Party in respect of that matter, except as expressly provided in Article 32.2 as replaced by this modernization.</w:t>
      </w:r>
    </w:p>
    <w:p>
      <w:pPr>
        <w:pStyle w:val="Normal"/>
      </w:pPr>
      <w:r>
        <w:t>2. A Party’s recourse to dispute settlement under Chapter 31 (Dispute Settlement), including the Expedited Tariff Panel procedure in Article 31.A, does not limit the rights or obligations of the Parties under this Chapter, and the procedures of this Chapter and of Chapter 31 shall be administered so as to avoid duplication, inconsistent outcomes, and parallel escalation.</w:t>
      </w:r>
    </w:p>
    <w:p>
      <w:pPr>
        <w:pStyle w:val="Normal"/>
      </w:pPr>
      <w:r>
        <w:t>3. Nothing in this Agreement requires a Party to refrain from a measure that does not constitute a covered border measure, provided that the measure is not applied so as to afford protection to domestic production in a manner inconsistent with this Agreement.</w:t>
      </w:r>
    </w:p>
    <w:p>
      <w:pPr>
        <w:pStyle w:val="Normal"/>
      </w:pPr>
      <w:r>
        <w:t>4. For greater certainty, Article 32.1 (General Exceptions) cannot be invoked to accomplish what Articles 35.3 through 35.7 expressly prohibit, unless the measure in fact satisfies every element of the specific exception invoked, including the applicable chapeau discipline.</w:t>
      </w:r>
    </w:p>
    <w:p>
      <w:pPr>
        <w:pStyle w:val="Heading2"/>
      </w:pPr>
      <w:bookmarkStart w:id="901178" w:name="_Toc300001177"/>
      <w:r>
        <w:t>Article 35.6: Standstill on New Extraordinary Measures</w:t>
      </w:r>
      <w:bookmarkEnd w:id="901178"/>
    </w:p>
    <w:p>
      <w:pPr>
        <w:pStyle w:val="Normal"/>
      </w:pPr>
      <w:r>
        <w:t>1. No Party shall adopt a new covered border measure against the originating goods of another Party except in conformity with this Chapter, Chapter 10, or Article 32.2 as replaced by this modernization.</w:t>
      </w:r>
    </w:p>
    <w:p>
      <w:pPr>
        <w:pStyle w:val="Normal"/>
        <w:spacing w:before="0" w:after="0"/>
        <w:widowControl w:val="1"/>
      </w:pPr>
      <w:r>
        <w:t>2. Pending completion of the procedures of this Chapter with respect to an alleged distortion, including the cooling-off period in Article 35.8.2, the verification in Article 35.10, and the classification in Article 35.11, no Party shall apply a covered border measure in respect of that alleged distortion, except: (a) an escrow deposit under Article 35.14; or (b) an emergency provisional measure under Article 35.21.</w:t>
      </w:r>
    </w:p>
    <w:p/>
    <w:p>
      <w:pPr>
        <w:pStyle w:val="Normal"/>
      </w:pPr>
      <w:r>
        <w:t>3. The filing of an allegation, the opening of a verification, or the pendency of a dispute does not, by itself, authorize any covered border measure.</w:t>
      </w:r>
    </w:p>
    <w:p>
      <w:pPr>
        <w:pStyle w:val="Heading2"/>
      </w:pPr>
      <w:bookmarkStart w:id="901179" w:name="_Toc300001178"/>
      <w:r>
        <w:t>Article 35.7: Prohibited Uses of Covered Border Measures</w:t>
      </w:r>
      <w:bookmarkEnd w:id="901179"/>
    </w:p>
    <w:p>
      <w:pPr>
        <w:pStyle w:val="Normal"/>
      </w:pPr>
      <w:r>
        <w:t>1. No Party shall apply a covered border measure to the originating goods of another Party:</w:t>
      </w:r>
    </w:p>
    <w:p>
      <w:pPr>
        <w:pStyle w:val="Normal"/>
      </w:pPr>
      <w:r>
        <w:t>(a) as leverage in a negotiation over an unrelated matter;</w:t>
      </w:r>
    </w:p>
    <w:p>
      <w:pPr>
        <w:pStyle w:val="Normal"/>
      </w:pPr>
      <w:r>
        <w:t>(b) as a response to the other Party’s domestic enforcement practices concerning goods of non-Parties, where the measure reaches originating goods unconnected to the conduct at issue;</w:t>
      </w:r>
    </w:p>
    <w:p>
      <w:pPr>
        <w:pStyle w:val="Normal"/>
      </w:pPr>
      <w:r>
        <w:t>(c) as a means of inducing changes in the other Party’s domestic law, regulation, taxation, digital policy, or administration that are not obligations of that Party under this Agreement;</w:t>
      </w:r>
    </w:p>
    <w:p>
      <w:pPr>
        <w:pStyle w:val="Normal"/>
      </w:pPr>
      <w:r>
        <w:t>(d) on the basis of a finding that has expired, been superseded, or been judicially invalidated, without a new verification;</w:t>
      </w:r>
    </w:p>
    <w:p>
      <w:pPr>
        <w:pStyle w:val="Normal"/>
      </w:pPr>
      <w:r>
        <w:t>(e) in a manner that discriminates between the Parties’ originating goods by reference to the Party in which specific production processes occurred, except as expressly provided in this Agreement;</w:t>
      </w:r>
    </w:p>
    <w:p>
      <w:pPr>
        <w:pStyle w:val="Normal"/>
      </w:pPr>
      <w:r>
        <w:t>(f) in a manner deliberately designed to maximize political or economic pain in sectors or regions unconnected to the verified distortion; or</w:t>
      </w:r>
    </w:p>
    <w:p>
      <w:pPr>
        <w:pStyle w:val="Normal"/>
      </w:pPr>
      <w:r>
        <w:t>(g) in excess of the ceiling established under Article 35.12, except as an expressly authorized consequence of deliberate or sustained noncompliance under Article 35.12.3, subject to Article 35.16 and the lower tariff ceilings.</w:t>
      </w:r>
    </w:p>
    <w:p>
      <w:pPr>
        <w:pStyle w:val="Normal"/>
        <w:spacing w:before="0" w:after="0"/>
        <w:widowControl w:val="1"/>
      </w:pPr>
      <w:r>
        <w:t>2. A measure inconsistent with paragraph 1 is a nullity for the purposes of this Agreement, and the affected Party is entitled to its withdrawal and to redress in accordance with Article 35.25A(3), including a refund with interest through the collecting authority within thirty days after the final legal determination.</w:t>
      </w:r>
    </w:p>
    <w:p/>
    <w:p>
      <w:pPr>
        <w:spacing w:before="0" w:after="0"/>
        <w:widowControl w:val="1"/>
      </w:pPr>
      <w:r>
        <w:t>3. NULLITY REDRESS. Article 35.7(2) redress is governed by Article 35.25A(3), not the unactivated Article 35.25 facility. The collecting authority shall withdraw the prohibited measure and restore treatment upon the final legal determination. Unauthorized collections shall be refunded with interest within thirty days after that determination through the applicable customs refund channel. This entitlement does not depend on SME status, a compensation schedule or new facility capitalization.</w:t>
      </w:r>
    </w:p>
    <w:p/>
    <w:p>
      <w:pPr>
        <w:pStyle w:val="Heading2"/>
      </w:pPr>
      <w:bookmarkStart w:id="901180" w:name="_Toc300001179"/>
      <w:r>
        <w:t>Article 35.8: Initiation of the Mechanism and Consultation</w:t>
      </w:r>
      <w:bookmarkEnd w:id="901180"/>
    </w:p>
    <w:p>
      <w:pPr>
        <w:pStyle w:val="Normal"/>
      </w:pPr>
      <w:r>
        <w:t>1. A Party (the “initiating Party”) that considers that a distortion actionable under this Agreement may exist shall submit to the other Party concerned (the “responding Party”) and to the North American Trade Verification Panel a Notice of Concern describing the matter in general terms.</w:t>
      </w:r>
    </w:p>
    <w:p>
      <w:pPr>
        <w:pStyle w:val="Normal"/>
      </w:pPr>
      <w:r>
        <w:t>2. Upon delivery of a Notice of Concern, a mandatory cooling-off period of 10 days begins. During the cooling-off period: (a) no Party shall adopt a covered border measure in respect of the matter; (b) no Party shall adopt a retaliatory or countermeasure; and (c) the Parties concerned shall hold consultations at the technical level, and, at the request of either, at the ministerial level.</w:t>
      </w:r>
    </w:p>
    <w:p>
      <w:pPr>
        <w:pStyle w:val="Normal"/>
      </w:pPr>
      <w:r>
        <w:t>3. Consultations under this Article are without prejudice to the positions of the Parties in subsequent stages of the Mechanism.</w:t>
      </w:r>
    </w:p>
    <w:p>
      <w:pPr>
        <w:spacing w:before="0" w:after="0"/>
        <w:widowControl w:val="1"/>
      </w:pPr>
      <w:r>
        <w:t>4. COOLING-OFF EMERGENCY EXCEPTION. Article 35.8(2)(a) does not postpone a separately verified Article 35.21 emergency measure. Every such measure retains the emergency notice, necessity, review, expiry and cumulative cap. Independently lawful Chapter 10 and Article 32.2 as replaced measures use the explicit gate allocation in Article 35.23. Ordinary corrective escalation remains barred during the applicable cure period beyond authorized concurrent Stages 1 and 2.</w:t>
      </w:r>
    </w:p>
    <w:p/>
    <w:p>
      <w:pPr>
        <w:pStyle w:val="Heading2"/>
      </w:pPr>
      <w:bookmarkStart w:id="901181" w:name="_Toc300001180"/>
      <w:r>
        <w:t>Article 35.9: Evidence Package</w:t>
      </w:r>
      <w:bookmarkEnd w:id="901181"/>
    </w:p>
    <w:p>
      <w:pPr>
        <w:pStyle w:val="Normal"/>
      </w:pPr>
      <w:r>
        <w:t>1. To proceed beyond consultations, the initiating Party shall submit an Evidence Package to the North American Trade Verification Panel, with a copy to the responding Party, containing:</w:t>
      </w:r>
    </w:p>
    <w:p>
      <w:pPr>
        <w:pStyle w:val="Normal"/>
      </w:pPr>
      <w:r>
        <w:t>(a) identification of the measure, conduct, or practice alleged to constitute the distortion;</w:t>
      </w:r>
    </w:p>
    <w:p>
      <w:pPr>
        <w:pStyle w:val="Normal"/>
      </w:pPr>
      <w:r>
        <w:t>(b) identification of the goods, entities, and trade flows alleged to be affected, at the most specific level reasonably available;</w:t>
      </w:r>
    </w:p>
    <w:p>
      <w:pPr>
        <w:pStyle w:val="Normal"/>
      </w:pPr>
      <w:r>
        <w:t>(c) a quantified estimate of the alleged economic distortion, the counterfactual baseline used, the methodology applied, and the uncertainty band of the estimate;</w:t>
      </w:r>
    </w:p>
    <w:p>
      <w:pPr>
        <w:pStyle w:val="Normal"/>
      </w:pPr>
      <w:r>
        <w:t>(d) the supporting evidence, including customs data, transaction records, pricing data, subsidy records, or origin documentation, with chain-of-custody certification where applicable;</w:t>
      </w:r>
    </w:p>
    <w:p>
      <w:pPr>
        <w:pStyle w:val="Normal"/>
      </w:pPr>
      <w:r>
        <w:t>(e) the remedy requested and an explanation of why that remedy is the narrowest sufficient remedy; and</w:t>
      </w:r>
    </w:p>
    <w:p>
      <w:pPr>
        <w:pStyle w:val="Normal"/>
      </w:pPr>
      <w:r>
        <w:t>(f) a certification by a responsible official of the initiating Party that the contents are accurate and complete to the best of that official’s knowledge.</w:t>
      </w:r>
    </w:p>
    <w:p>
      <w:pPr>
        <w:pStyle w:val="Normal"/>
      </w:pPr>
      <w:r>
        <w:t>2. An Evidence Package that does not contain the elements in paragraph 1 is incomplete. The Panel shall return an incomplete Evidence Package to the initiating Party, which may complete and resubmit it. An incomplete Evidence Package does not suspend the standstill in Article 35.6.</w:t>
      </w:r>
    </w:p>
    <w:p>
      <w:pPr>
        <w:pStyle w:val="Normal"/>
      </w:pPr>
      <w:r>
        <w:t>3. The submission of an Evidence Package does not authorize any covered border measure.</w:t>
      </w:r>
    </w:p>
    <w:p>
      <w:pPr>
        <w:pStyle w:val="Normal"/>
      </w:pPr>
      <w:r>
        <w:t>4. Where an Evidence Package identifies specific private entities, the Secretariat's Treaty Integrity function shall notify those entities, and Article 35.10A (Rights of Affected Entities) applies from that point.</w:t>
      </w:r>
    </w:p>
    <w:p>
      <w:pPr>
        <w:pStyle w:val="Normal"/>
        <w:spacing w:before="0" w:after="0"/>
        <w:widowControl w:val="1"/>
      </w:pPr>
      <w:r>
        <w:t>5. Responding-Party Evidence Standard. The Party seeking authorization for a restrictive measure retains the ultimate burden of establishing each element required for that measure. The responding Party bears only a burden of production for facts peculiarly within its control, including proof that identified conduct ceased, a subsidy was withdrawn, specified records are authentic, or remediation occurred. Failure to produce information after a lawful and proportionate request may support an adverse inference under Article 35.10, but does not reverse the ultimate burden of proof.</w:t>
      </w:r>
    </w:p>
    <w:p/>
    <w:p>
      <w:pPr>
        <w:pStyle w:val="Heading2"/>
      </w:pPr>
      <w:bookmarkStart w:id="901182" w:name="_Toc300001181"/>
      <w:r>
        <w:t>Article 35.9A: Minimum Viable Enforcement Track for Facial Violations</w:t>
      </w:r>
      <w:bookmarkEnd w:id="901182"/>
    </w:p>
    <w:p>
      <w:pPr>
        <w:pStyle w:val="Normal"/>
      </w:pPr>
      <w:r>
        <w:t>1. A complaining Party may request the simplified track where the challenged measure is facially and objectively identifiable from an official legal instrument or customs instruction and the dispute does not require material econometric estimation, complex origin tracing, or contested factual attribution.</w:t>
      </w:r>
    </w:p>
    <w:p>
      <w:pPr>
        <w:pStyle w:val="Normal"/>
      </w:pPr>
      <w:r>
        <w:t>2. Eligible matters include an expressly prohibited tariff or surcharge on originating goods; an unlawful suspension of low-value treatment; failure to terminate a measure on a treaty-specified date; a prohibited Party-specific content condition; failure to restore treatment after a final certification; or another violation designated by consensus as suitable for summary determination.</w:t>
      </w:r>
    </w:p>
    <w:p>
      <w:pPr>
        <w:pStyle w:val="Normal"/>
      </w:pPr>
      <w:r>
        <w:t>3. The respondent shall submit its legal and factual response within seven days. A three-member panel drawn under Article 31.C shall issue a determination within 15 days after the response. No Evidence Package element unnecessary to the facial issue is required.</w:t>
      </w:r>
    </w:p>
    <w:p>
      <w:pPr>
        <w:pStyle w:val="Normal"/>
      </w:pPr>
      <w:r>
        <w:t>4. If the panel determines that material factual disputes or valuation issues prevent summary disposition, it shall transfer the matter immediately to the ordinary Chapter 35 procedure without prejudice and without requiring refiling. Time already elapsed counts toward the applicable ordinary deadlines.</w:t>
      </w:r>
    </w:p>
    <w:p>
      <w:pPr>
        <w:pStyle w:val="Normal"/>
      </w:pPr>
      <w:r>
        <w:t>5. A final finding under this Article activates Article 35.25A and any treaty-specified restoration or refund automatically.</w:t>
      </w:r>
    </w:p>
    <w:p>
      <w:pPr>
        <w:pStyle w:val="Heading2"/>
      </w:pPr>
      <w:bookmarkStart w:id="901183" w:name="_Toc300001182"/>
      <w:r>
        <w:t>Article 35.9B: Technical Truth Escalation Chain</w:t>
      </w:r>
      <w:bookmarkEnd w:id="901183"/>
    </w:p>
    <w:p>
      <w:pPr>
        <w:pStyle w:val="Normal"/>
      </w:pPr>
      <w:r>
        <w:t>1. A dispute concerning data fidelity, chain of custody, registry integrity, customs-system output, or another purely technical evidentiary question shall be resolved before the Parties litigate the policy meaning of that data.</w:t>
      </w:r>
    </w:p>
    <w:p>
      <w:pPr>
        <w:pStyle w:val="Normal"/>
      </w:pPr>
      <w:r>
        <w:t>2. Level One: Technical Officer Review. A designated technical officer reviews the raw record and issues a preliminary technical finding within 24 hours.</w:t>
      </w:r>
    </w:p>
    <w:p>
      <w:pPr>
        <w:pStyle w:val="Normal"/>
      </w:pPr>
      <w:r>
        <w:t>3. Level Two: Joint Technical Review. If disputed, a joint technical group convenes within 48 hours and issues a corroboration report within three business days.</w:t>
      </w:r>
    </w:p>
    <w:p>
      <w:pPr>
        <w:pStyle w:val="Normal"/>
      </w:pPr>
      <w:r>
        <w:t>4. Level Three: Neutral Expert Determination. If still disputed, three neutral experts randomly drawn from the standing expert pool review the complete technical record and issue a binding determination on data fidelity within five business days.</w:t>
      </w:r>
    </w:p>
    <w:p>
      <w:pPr>
        <w:pStyle w:val="Normal"/>
      </w:pPr>
      <w:r>
        <w:t>5. During the Technical Truth Escalation Chain, no economically disruptive remedy based solely on the disputed data takes effect. Necessary preservation, inspection, anti-fraud, safety, or anti-spoliation measures may continue.</w:t>
      </w:r>
    </w:p>
    <w:p>
      <w:pPr>
        <w:pStyle w:val="Normal"/>
      </w:pPr>
      <w:r>
        <w:t>6. A determination under this Article resolves only the technical fact submitted. It does not decide treaty interpretation, intent, injury, proportionality, or remedy.</w:t>
      </w:r>
    </w:p>
    <w:p>
      <w:pPr>
        <w:pStyle w:val="Heading2"/>
      </w:pPr>
      <w:bookmarkStart w:id="901184" w:name="_Toc300001183"/>
      <w:r>
        <w:t>Article 35.10: North American Trade Verification Mechanism</w:t>
      </w:r>
      <w:bookmarkEnd w:id="901184"/>
    </w:p>
    <w:p>
      <w:pPr>
        <w:pStyle w:val="Normal"/>
      </w:pPr>
      <w:r>
        <w:t>1. The Parties establish a North American Trade Verification mechanism administered by the Secretariat under Article 35.28. The mechanism operates only through ad hoc Verification Teams constituted for particular matters and does not create a separately staffed permanent panel.</w:t>
      </w:r>
    </w:p>
    <w:p>
      <w:pPr>
        <w:pStyle w:val="Normal"/>
      </w:pPr>
      <w:r>
        <w:t>2. For purposes of the mechanism, the Parties shall maintain:</w:t>
      </w:r>
    </w:p>
    <w:p>
      <w:pPr>
        <w:pStyle w:val="Normal"/>
      </w:pPr>
      <w:r>
        <w:t>(a) a Roster of Verifiers of 45 individuals, 15 designated by each Party, comprising customs specialists, trade economists, rules-of-origin experts, forensic accountants, and sectoral specialists, appointed for four-year renewable terms;</w:t>
      </w:r>
    </w:p>
    <w:p>
      <w:pPr>
        <w:pStyle w:val="Normal"/>
      </w:pPr>
      <w:r>
        <w:t>(b) a Joint List of 9 individuals who are not nationals of any Party, appointed by consensus of the Parties, from which tie-breaking and second-opinion reviewers are drawn; and</w:t>
      </w:r>
    </w:p>
    <w:p>
      <w:pPr>
        <w:pStyle w:val="Normal"/>
      </w:pPr>
      <w:r>
        <w:t>(c) access, subject to authorization and confidentiality rules, to the Shared Trade Data Registry and other treaty-integrity administrative functions performed by the Secretariat.</w:t>
      </w:r>
    </w:p>
    <w:p>
      <w:pPr>
        <w:pStyle w:val="Normal"/>
      </w:pPr>
      <w:r>
        <w:t>3. For each matter, the Secretariat constitutes a Verification Team of three members by the rule-bound selection method in this Article: one drawn by lot from the initiating Party's designees, one drawn by lot from the responding Party's designees, and one drawn by lot from the Joint List, who serves as chair. The Secretariat has no discretion to select a particular person once the eligible pool is established.</w:t>
      </w:r>
    </w:p>
    <w:p>
      <w:pPr>
        <w:pStyle w:val="Normal"/>
      </w:pPr>
      <w:r>
        <w:t>4. The Verification Team shall determine, on the basis of the Evidence Package, the Shared Trade Data Registry, and any further evidence received:</w:t>
      </w:r>
    </w:p>
    <w:p>
      <w:pPr>
        <w:pStyle w:val="Normal"/>
      </w:pPr>
      <w:r>
        <w:t>(a) whether the alleged conduct occurred;</w:t>
      </w:r>
    </w:p>
    <w:p>
      <w:pPr>
        <w:pStyle w:val="Normal"/>
      </w:pPr>
      <w:r>
        <w:t>(b) the identity of the entities, products, and trade flows actually involved;</w:t>
      </w:r>
    </w:p>
    <w:p>
      <w:pPr>
        <w:pStyle w:val="Normal"/>
      </w:pPr>
      <w:r>
        <w:t>(c) the magnitude of the economic distortion reasonably attributable to the conduct, expressed quantitatively as a best estimate with an uncertainty band, in accordance with Annex 35-A; and</w:t>
      </w:r>
    </w:p>
    <w:p>
      <w:pPr>
        <w:pStyle w:val="Normal"/>
      </w:pPr>
      <w:r>
        <w:t>(d) the confirmation level of the claim: full confirmation, partial confirmation, or no confirmation, together with a stated accuracy percentage.</w:t>
      </w:r>
    </w:p>
    <w:p>
      <w:pPr>
        <w:pStyle w:val="Normal"/>
      </w:pPr>
      <w:r>
        <w:t>5. The Verification Team may make partial findings. A claim need not be wholly true or wholly false. Where part of a claim is substantiated, the verified distortion comprises only the substantiated part.</w:t>
      </w:r>
    </w:p>
    <w:p>
      <w:pPr>
        <w:pStyle w:val="Normal"/>
      </w:pPr>
      <w:r>
        <w:t>6. The Verification Team shall issue its verification report within 30 days after receipt of a complete Evidence Package, or within 72 hours in a matter referred under the expedited track in Article 35.21. In an exceptionally complex matter, the Team may extend the 30-day period once, by not more than 15 days, upon a reasoned finding that the additional time is necessary to protect due process or evidentiary quality. The report is public, subject to protection of confidential information.</w:t>
      </w:r>
    </w:p>
    <w:p>
      <w:pPr>
        <w:pStyle w:val="Normal"/>
      </w:pPr>
      <w:r>
        <w:t>7. Either Party concerned may request one second opinion from the Joint List within 10 days after the verification report. The second-opinion reviewer shall review the record independently and issue a reasoned opinion within 14 days. If the second opinion confirms the report, the requesting Party bears the costs of the second opinion. If the second opinion materially reverses the report, the report is vacated and the matter is re-adjudicated by a differently constituted Verification Team.</w:t>
      </w:r>
    </w:p>
    <w:p>
      <w:pPr>
        <w:pStyle w:val="Normal"/>
      </w:pPr>
      <w:r>
        <w:t>8. Verification is reciprocal. The mechanism's data standards, registry rules, chain-of-custody requirements, confidentiality tiers, cybersecurity requirements, and audit procedures are set out in Annex 35-C and apply identically to each Party.</w:t>
      </w:r>
    </w:p>
    <w:p>
      <w:pPr>
        <w:pStyle w:val="Normal"/>
        <w:spacing w:before="0" w:after="0"/>
        <w:widowControl w:val="1"/>
      </w:pPr>
      <w:r>
        <w:t>9. A Party shall not obstruct a verification. Unjustified refusal to provide required information, or obstruction of an authorized examination, entitles the Verification Team to draw inferences adverse to the obstructing Party, but does not establish a Tier 2 distortion or quantifiable PTA by itself; a Tier 2 consequence requires independently supported material distortion and an attributable Annex 35-A estimate and uncertainty band.</w:t>
      </w:r>
    </w:p>
    <w:p/>
    <w:p>
      <w:pPr>
        <w:pStyle w:val="Normal"/>
      </w:pPr>
      <w:r>
        <w:t>10. Members of the Roster and the Joint List shall: (a) disclose any direct or indirect interest, prior engagement, or financial or professional tie relevant to a matter; (b) recuse themselves, or be recused on reasoned request, where such a tie creates a reasonable apprehension of bias; (c) observe a cooling-off period of two years following service, during which they shall not represent any person in a matter under this Chapter; and (d) be compensated under published scales fixed by the Commission. The Secretariat shall maintain a public register of disclosures and shall replace a recused member through the same rule-bound selection method within five days.</w:t>
      </w:r>
    </w:p>
    <w:p>
      <w:pPr>
        <w:spacing w:before="0" w:after="0"/>
        <w:widowControl w:val="1"/>
      </w:pPr>
      <w:r>
        <w:t>11. VERIFICATION TEAM CONSTITUTION CONTINUITY AND VACATUR. A Notice of Concern and Evidence Package are delivered to the Secretariat, which constitutes the Article 35.10 three-member Team within five days after a complete package, or forty-eight hours on an Article 35.21 emergency referral, by the published lot procedure and current conflict screening. The ad hoc Team remains available for that matter's factual renewals, compliance and cure until final closure, with a unavailable member replaced within five days through the same method rather than a new permanent body. A second opinion materially reverses a report where it changes confirmed conduct, affected flows, the material economic estimate or the factual basis of the tier, and vacatur suspends dependent remedial escalation and tolls the unexpired cure period until a differently constituted Team reports within thirty days after vacatur. The replacement report is served on affected entities and the legal decision-maker, which confirms or revises classification within five days and resumes only the unused cure period, with a new full cure period for newly adverse facts and no remedy resting solely on the vacated finding.</w:t>
      </w:r>
    </w:p>
    <w:p/>
    <w:p>
      <w:pPr>
        <w:pStyle w:val="Heading2"/>
      </w:pPr>
      <w:bookmarkStart w:id="901185" w:name="_Toc300001184"/>
      <w:r>
        <w:t>Article 35.10A: Rights of Affected Entities</w:t>
      </w:r>
      <w:bookmarkEnd w:id="901185"/>
    </w:p>
    <w:p>
      <w:pPr>
        <w:pStyle w:val="Normal"/>
      </w:pPr>
      <w:r>
        <w:t>1. A private entity whose goods, certification, or status may be directly affected by a verification, a PTA, a TNAO suspension, or an entity-targeted measure under this Agreement is entitled to:</w:t>
      </w:r>
    </w:p>
    <w:p>
      <w:pPr>
        <w:pStyle w:val="Normal"/>
      </w:pPr>
      <w:r>
        <w:t>(a) timely notice of the proceeding and of the allegations or evidence concerning it, in sufficient detail to respond;</w:t>
      </w:r>
    </w:p>
    <w:p>
      <w:pPr>
        <w:pStyle w:val="Normal"/>
      </w:pPr>
      <w:r>
        <w:t>(b) access to the non-confidential evidence relied upon;</w:t>
      </w:r>
    </w:p>
    <w:p>
      <w:pPr>
        <w:pStyle w:val="Normal"/>
      </w:pPr>
      <w:r>
        <w:t>(c) an opportunity to make written submissions, to be represented by counsel, and, where the Verification Team considers it appropriate, to be heard;</w:t>
      </w:r>
    </w:p>
    <w:p>
      <w:pPr>
        <w:pStyle w:val="Normal"/>
      </w:pPr>
      <w:r>
        <w:t>(d) protection of its confidential business information in accordance with Annex 35-C, Part 4;</w:t>
      </w:r>
    </w:p>
    <w:p>
      <w:pPr>
        <w:pStyle w:val="Normal"/>
      </w:pPr>
      <w:r>
        <w:t>(e) a right to correct inaccurate factual assertions concerning it; and</w:t>
      </w:r>
    </w:p>
    <w:p>
      <w:pPr>
        <w:pStyle w:val="Normal"/>
        <w:spacing w:before="0" w:after="0"/>
        <w:widowControl w:val="1"/>
      </w:pPr>
      <w:r>
        <w:t>(f) an appeal of an entity-specific determination to a differently constituted Verification Team, completed within 30 days, with the measure suspended as to that entity pending the appeal unless the differently constituted appeal Team finds on clear and convincing factual evidence of a verified Tier 3 matter that a stay creates imminent serious harm not preventable through narrower bond, escrow or supervised treatment, with disputed legal effect reviewable under Article 31.A.</w:t>
      </w:r>
    </w:p>
    <w:p/>
    <w:p>
      <w:pPr>
        <w:pStyle w:val="Normal"/>
      </w:pPr>
      <w:r>
        <w:t>2. No entity shall be subjected to an entity-specific restriction, suspension, or listing under this Agreement without the process in paragraph 1.</w:t>
      </w:r>
    </w:p>
    <w:p>
      <w:pPr>
        <w:spacing w:before="0" w:after="0"/>
        <w:widowControl w:val="1"/>
      </w:pPr>
      <w:r>
        <w:t>3. ENTITY EMERGENCY PROTECTION. An immediate entity-specific restriction may precede completed Article 35.10A process only under the independently verified Article 35.21 immediate-action exception. Notice, accessible non-confidential evidence and an opportunity to answer follow as soon as safe and no later than seventy-two hours after effect. The appeal Team reviews the continuing necessity and the ordinary thirty-day appeal endpoint remains applicable. Technical Secretariat in Article 35.9 means the existing Secretariat's Treaty Integrity function and creates no separate body.</w:t>
      </w:r>
    </w:p>
    <w:p/>
    <w:p>
      <w:pPr>
        <w:pStyle w:val="Heading2"/>
      </w:pPr>
      <w:bookmarkStart w:id="901186" w:name="_Toc300001185"/>
      <w:r>
        <w:t>Article 35.11: Classification of Distortions</w:t>
      </w:r>
      <w:bookmarkEnd w:id="901186"/>
    </w:p>
    <w:p>
      <w:pPr>
        <w:pStyle w:val="Normal"/>
      </w:pPr>
      <w:r>
        <w:t>1. Upon completion of verification, the Verification Team shall classify the matter into one of the following tiers:</w:t>
      </w:r>
    </w:p>
    <w:p>
      <w:pPr>
        <w:pStyle w:val="Normal"/>
      </w:pPr>
      <w:r>
        <w:t xml:space="preserve">(a) </w:t>
      </w:r>
      <w:r>
        <w:rPr>
          <w:b/>
        </w:rPr>
        <w:t>Tier 1: Technical Irregularity:</w:t>
      </w:r>
      <w:r>
        <w:t xml:space="preserve"> documentation errors, isolated customs mistakes, minor reporting delays, inadvertent origin discrepancies, and similar irregularities without material economic distortion. Consequence: no corrective adjustment. The responding Party is afforded a correction period of 60 days and, on request, technical assistance. Repeated Tier 1 irregularities by the same entity within 24 months may be reclassified as Tier 2.</w:t>
      </w:r>
    </w:p>
    <w:p>
      <w:pPr>
        <w:pStyle w:val="Normal"/>
      </w:pPr>
      <w:r>
        <w:t xml:space="preserve">(b) </w:t>
      </w:r>
      <w:r>
        <w:rPr>
          <w:b/>
        </w:rPr>
        <w:t>Tier 2: Material Trade Distortion:</w:t>
      </w:r>
      <w:r>
        <w:t xml:space="preserve"> a significant improper subsidy, repeated origin failures, a measurable market-access restriction, a discriminatory administrative practice, or comparable conduct producing a verified economic distortion that is material in relation to the affected trade. Consequence: a remediation period under Article 35.17, followed, if remediation is not verified, by a Proportional Trade Adjustment under Article 35.12.</w:t>
      </w:r>
    </w:p>
    <w:p>
      <w:pPr>
        <w:pStyle w:val="Normal"/>
      </w:pPr>
      <w:r>
        <w:t xml:space="preserve">(c) </w:t>
      </w:r>
      <w:r>
        <w:rPr>
          <w:b/>
        </w:rPr>
        <w:t>Tier 3: Deliberate or Systemic Violation:</w:t>
      </w:r>
      <w:r>
        <w:t xml:space="preserve"> organized transshipment, deliberate origin fraud, systematic evasion of this Agreement, or persistent refusal to comply with a final determination under Chapter 31 or this Chapter. Consequence: the measures available for Tier 2, plus accelerated proceedings, suspension of directly related benefits, and, upon continued noncompliance, the escalation stages in Article 35.16.</w:t>
      </w:r>
    </w:p>
    <w:p>
      <w:pPr>
        <w:pStyle w:val="Normal"/>
      </w:pPr>
      <w:r>
        <w:t>2. Classification determines the maximum consequence available; it does not itself impose any consequence.</w:t>
      </w:r>
    </w:p>
    <w:p>
      <w:pPr>
        <w:pStyle w:val="Normal"/>
      </w:pPr>
      <w:r>
        <w:t>3. A Tier 3 classification requires clear and convincing evidence of deliberate or systematic conduct, stated with reasons in the classification decision. Ordinary disputes, good-faith interpretive differences, and isolated noncompliance shall not be classified as Tier 3, and a classification is reviewable under Article 31.A.</w:t>
      </w:r>
    </w:p>
    <w:p>
      <w:pPr>
        <w:pStyle w:val="Normal"/>
      </w:pPr>
      <w:r>
        <w:t>4. Severity, duration, and remediation conduct shall be recorded in the classification decision and shall govern the calculation of any adjustment under Article 35.12.</w:t>
      </w:r>
    </w:p>
    <w:p>
      <w:pPr>
        <w:spacing w:before="0" w:after="0"/>
        <w:widowControl w:val="1"/>
      </w:pPr>
      <w:r>
        <w:t>6. LEGAL CLASSIFICATION AND STAGE AUTHORIZATION. The Verification Team reports facts, economic estimates and a provisional tier recommendation within five days after its verification report, but a disputed legal tier, treaty violation and necessary remedial stage are decided by the Article 31.A panel. An uncontested tier or non-tariff stage may be recorded by the Commission by consensus within ten days after service on the Parties, and absence of consensus sends the requesting Party to Article 31.A rather than constituting authorization. Only the initiating Party implements a PTA or higher stage after that legal decision, the applicable cure period and every required registry, exhaustion and independent guarantor gate, and a technical Team cannot itself authorize legal suspension or a tariff. The panel independently determines legal necessity, classification and remedy on the binding factual record subject to manifest error, including Article 35.25A facial-violation consequences and Article 35.16 escalation.</w:t>
      </w:r>
    </w:p>
    <w:p/>
    <w:p>
      <w:pPr>
        <w:pStyle w:val="Normal"/>
        <w:spacing w:before="0" w:after="0"/>
        <w:widowControl w:val="1"/>
      </w:pPr>
      <w:r>
        <w:t>5. Objective Screening Indicators. The Secretariat shall maintain published, sector-appropriate screening indicators for identifying matters warranting verification. Indicators may include sustained import growth, changes in domestic operating margins, price suppression, capacity utilization, subsidy incidence, origin anomalies, and other measurable evidence. No single numerical indicator establishes a distortion. For illustration, import growth exceeding 15 percent year-over-year for three consecutive quarters together with a decline of at least 10 percent in the relevant domestic industry’s operating margin creates a rebuttable basis to commence verification, but not a presumption of violation or entitlement to a remedy. A distortion exists only upon verification under Article 35.10 and Annex 35-A.</w:t>
      </w:r>
    </w:p>
    <w:p/>
    <w:p>
      <w:pPr>
        <w:pStyle w:val="Heading2"/>
      </w:pPr>
      <w:bookmarkStart w:id="901249" w:name="_Toc300001248"/>
      <w:r>
        <w:t>Article 35.11A: Screening Indicator Safe Harbor</w:t>
      </w:r>
      <w:bookmarkEnd w:id="901249"/>
    </w:p>
    <w:p>
      <w:pPr>
        <w:pStyle w:val="Normal"/>
      </w:pPr>
      <w:r>
        <w:t>For greater certainty, any objective screening indicator maintained under Article 35.11 creates only a rebuttable basis to commence or prioritize verification. No indicator, threshold, or combination of indicators creates a presumption of violation, injury, entitlement to a remedy, or bad faith. The Verification Panel must make an affirmative finding on the full record under Article 35.10 and Annex 35-A before a remedy may be imposed, except for narrowly authorized provisional revenue-protection measures expressly provided by this Agreement.</w:t>
      </w:r>
    </w:p>
    <w:p>
      <w:pPr>
        <w:pStyle w:val="Heading2"/>
      </w:pPr>
      <w:bookmarkStart w:id="901187" w:name="_Toc300001186"/>
      <w:r>
        <w:t>Article 35.12: Proportional Trade Adjustments</w:t>
      </w:r>
      <w:bookmarkEnd w:id="901187"/>
    </w:p>
    <w:p>
      <w:pPr>
        <w:pStyle w:val="Normal"/>
      </w:pPr>
      <w:r>
        <w:t>1. A Proportional Trade Adjustment is a temporary adjustment of the preferential treatment of identified goods, bounded by the verified economic distortion.</w:t>
      </w:r>
    </w:p>
    <w:p>
      <w:pPr>
        <w:pStyle w:val="Normal"/>
      </w:pPr>
      <w:r>
        <w:t>2. The maximum rate or charge-equivalent of a PTA is calculated as:</w:t>
      </w:r>
    </w:p>
    <w:p>
      <w:pPr>
        <w:pStyle w:val="Normal"/>
      </w:pPr>
      <w:r>
        <w:rPr>
          <w:b/>
        </w:rPr>
        <w:t>Maximum PTA = Verified Economic Distortion × Severity Factor × Persistence Factor × Remediation Factor</w:t>
      </w:r>
    </w:p>
    <w:p>
      <w:pPr>
        <w:pStyle w:val="Normal"/>
      </w:pPr>
      <w:r>
        <w:t>where the Verified Economic Distortion is the estimate established under Article 35.10, and the Severity, Persistence, and Remediation Factors are assigned within the ranges, and in accordance with the principles, set out in Annex 35-A. Factor values within the ranges, and the technical coefficients used in the calculation, are fixed in Annex 35-A and may be updated by consensus through the Structured Technical Amendment Procedure in Article 34.3.A, within the limits of that Article. The treaty-level principles are: correction proportionate to measured distortion; escalation only with verified persistence; reduction with verified remediation; and conservatism in the face of uncertainty.</w:t>
      </w:r>
    </w:p>
    <w:p>
      <w:pPr>
        <w:pStyle w:val="Normal"/>
      </w:pPr>
      <w:r>
        <w:t>3. Except as provided in this paragraph, a PTA shall not exceed the lower bound of the uncertainty band of the verified distortion, and in no case the best estimate, unless the evidence supporting the best estimate is full confirmation under Annex 35-C. A PTA may exceed the verified distortion only where a panel under Chapter 31 has made a separate, reasoned finding of deliberate or sustained noncompliance with a final determination, and in that case shall not exceed twice the best estimate of the verified distortion. Correction is the default; deterrence requires the separate finding.</w:t>
      </w:r>
    </w:p>
    <w:p>
      <w:pPr>
        <w:pStyle w:val="Normal"/>
      </w:pPr>
      <w:r>
        <w:t>4. A PTA applies only to the goods, entities, and trade flows identified in the verification report, in accordance with Article 35.13, and is subject to the anti-fragmentation ceiling in Article 35.13A.</w:t>
      </w:r>
    </w:p>
    <w:p>
      <w:pPr>
        <w:pStyle w:val="Normal"/>
      </w:pPr>
      <w:r>
        <w:t>5. A PTA takes effect only after: (a) the verification report; (b) the classification; (c) the expiry of the remediation period in Article 35.17 without verified remediation; and (d) publication in the North American Trade Measures Registry under Article 35.24.</w:t>
      </w:r>
    </w:p>
    <w:p>
      <w:pPr>
        <w:pStyle w:val="Normal"/>
        <w:spacing w:before="0" w:after="0"/>
        <w:widowControl w:val="1"/>
      </w:pPr>
      <w:r>
        <w:t>6. A PTA framework expires 180 days after first legal effect and may be renewed once for no more than a further 180 days on fresh verification of continuing distortion and renewed legal authorization under Article 35.26.3. No further renewal or substantially identical successor PTA may extend the same framework beyond 360 cumulative days. Tariff collection within that framework requires a separately current Article 35.40 authorization and ends at its shorter endpoint. There is no renewal by default or administrative continuation.</w:t>
      </w:r>
    </w:p>
    <w:p/>
    <w:p>
      <w:pPr>
        <w:spacing w:before="0" w:after="0"/>
        <w:widowControl w:val="1"/>
      </w:pPr>
      <w:r>
        <w:t>9. TARIFF PTA COLLECTION LIMITS. Paragraph 6 governs the outside life of the PTA framework rather than the duration of any tariff authorization within it. A tariff PTA may be collected or secured only during a currently effective authorization under Articles 35.38 through 35.40 and within every ceiling identified in the tariff-scope rule of Article 35.2. Neither Tier 3 classification nor a deterrence finding under paragraph 3 permits a rate above the applicable guarantor ceiling or revival of a terminated legacy measure. A non-tariff PTA shall preserve ordinary zero-duty treatment and expire under paragraph 6 unless earlier cure requires termination.</w:t>
      </w:r>
    </w:p>
    <w:p/>
    <w:p>
      <w:pPr>
        <w:pStyle w:val="Normal"/>
      </w:pPr>
      <w:r>
        <w:t>7. A PTA terminates automatically on the date the Verification Panel certifies that remediation is complete. Termination operates by this Agreement and does not require any further act of any Party.</w:t>
      </w:r>
    </w:p>
    <w:p>
      <w:pPr>
        <w:pStyle w:val="Normal"/>
      </w:pPr>
      <w:r>
        <w:t>8. Collection of a PTA in cash is suspended where the affected importer deposits the corresponding amount into escrow or provides alternative security under Article 35.14, pending the outcome of any challenge.</w:t>
      </w:r>
    </w:p>
    <w:p>
      <w:pPr>
        <w:pStyle w:val="Heading2"/>
      </w:pPr>
      <w:bookmarkStart w:id="901188" w:name="_Toc300001187"/>
      <w:r>
        <w:t>Article 35.13: Narrowest-Sufficient-Remedy Rule</w:t>
      </w:r>
      <w:bookmarkEnd w:id="901188"/>
    </w:p>
    <w:p>
      <w:pPr>
        <w:pStyle w:val="Normal"/>
      </w:pPr>
      <w:r>
        <w:t>1. A corrective measure under this Agreement shall target, in ascending order and no more broadly than the verification establishes as necessary:</w:t>
      </w:r>
    </w:p>
    <w:p>
      <w:pPr>
        <w:pStyle w:val="Normal"/>
      </w:pPr>
      <w:r>
        <w:t>(a) the responsible entity or entities;</w:t>
      </w:r>
    </w:p>
    <w:p>
      <w:pPr>
        <w:pStyle w:val="Normal"/>
      </w:pPr>
      <w:r>
        <w:t>(b) the affected product or products of those entities;</w:t>
      </w:r>
    </w:p>
    <w:p>
      <w:pPr>
        <w:pStyle w:val="Normal"/>
      </w:pPr>
      <w:r>
        <w:t>(c) the affected tariff line;</w:t>
      </w:r>
    </w:p>
    <w:p>
      <w:pPr>
        <w:pStyle w:val="Normal"/>
      </w:pPr>
      <w:r>
        <w:t>(d) the affected subsector;</w:t>
      </w:r>
    </w:p>
    <w:p>
      <w:pPr>
        <w:pStyle w:val="Normal"/>
      </w:pPr>
      <w:r>
        <w:t>(e) the affected sector; and</w:t>
      </w:r>
    </w:p>
    <w:p>
      <w:pPr>
        <w:pStyle w:val="Normal"/>
      </w:pPr>
      <w:r>
        <w:t>(f) cross-module measures, only in accordance with Article 35.15.</w:t>
      </w:r>
    </w:p>
    <w:p>
      <w:pPr>
        <w:pStyle w:val="Normal"/>
      </w:pPr>
      <w:r>
        <w:t>2. A measure at a broader ring of the ladder in paragraph 1 requires a verification finding that measures at the narrower rings cannot reasonably correct the distortion, with reasons stated.</w:t>
      </w:r>
    </w:p>
    <w:p>
      <w:pPr>
        <w:pStyle w:val="Normal"/>
      </w:pPr>
      <w:r>
        <w:t>3. Where verification identifies discrete entities responsible for the distortion, a Party shall not apply the resulting adjustment to the trade of other entities in the same sector.</w:t>
      </w:r>
    </w:p>
    <w:p>
      <w:pPr>
        <w:pStyle w:val="Heading2"/>
      </w:pPr>
      <w:bookmarkStart w:id="901189" w:name="_Toc300001188"/>
      <w:r>
        <w:t>Article 35.13A: Anti-Fragmentation of Integrated Products</w:t>
      </w:r>
      <w:bookmarkEnd w:id="901189"/>
    </w:p>
    <w:p>
      <w:pPr>
        <w:pStyle w:val="Normal"/>
      </w:pPr>
      <w:r>
        <w:t>1. Where an integrated product: including a motor vehicle, battery system, aircraft, or medical device, incorporates inputs from more than one trade module, the product shall not be subjected to overlapping PTAs arising from distortions in different input modules without coordination.</w:t>
      </w:r>
    </w:p>
    <w:p>
      <w:pPr>
        <w:pStyle w:val="Normal"/>
      </w:pPr>
      <w:r>
        <w:t>2. The Verification Panel shall coordinate the verification of distortions affecting an integrated product, assign the resulting remedy to a single module determined by the dominant-purpose test in Annex 35-B, Part 1, and certify a single coordinated remedy.</w:t>
      </w:r>
    </w:p>
    <w:p>
      <w:pPr>
        <w:pStyle w:val="Normal"/>
      </w:pPr>
      <w:r>
        <w:t>3. The cumulative burden of all measures applied to an integrated product under this Agreement shall not exceed the ceiling that would apply to the largest single verified distortion affecting it, plus the verified distortion attributable to any additional module, net of overlap, as determined by the Verification Panel. In no case shall cumulative measures on an integrated product exceed the sum of the separately verified distortions.</w:t>
      </w:r>
    </w:p>
    <w:p>
      <w:pPr>
        <w:pStyle w:val="Normal"/>
      </w:pPr>
      <w:r>
        <w:t>4. Single Submission Rule. Where an integrated product is imported as a single unit or for final assembly under a common transaction, the importing Party shall permit the importer to make a single consolidated origin submission covering the product and its relevant components. Component-level supporting records may be requested only where reasonably necessary to verify a specific origin requirement or where documented evidence indicates circumvention. The importing Party shall not require duplicative certifications for individual components already covered by a valid consolidated submission. Material delay caused solely by a violation of this paragraph is subject to expedited review under Article 31.A and compensation measured by the verified incremental compliance and delay cost.</w:t>
      </w:r>
    </w:p>
    <w:p>
      <w:pPr>
        <w:spacing w:before="0" w:after="0"/>
        <w:widowControl w:val="1"/>
      </w:pPr>
      <w:r>
        <w:t>5. INTEGRATED PRODUCT MODULE ALLOCATION. Article 35.13A dominant-purpose allocation identifies the starting module and prevents cumulative fragmentation, but does not authorize a remedy for a different module's violation by relabeling the finished product. The Chapter 31 legal decision-maker shall identify the distortion module, directly affected goods and the Article 35.15 nexus. Moving a steel or other input remedy into an automotive or other finished-product module requires the separate insufficiency and cross-module findings in Article 35.15.3. Integrated-product ceilings and protection of innocent trade remain cumulative and no technical allocation certificate supplies the missing legal finding.</w:t>
      </w:r>
    </w:p>
    <w:p/>
    <w:p>
      <w:pPr>
        <w:pStyle w:val="Heading2"/>
      </w:pPr>
      <w:bookmarkStart w:id="901190" w:name="_Toc300001189"/>
      <w:r>
        <w:t>Article 35.14: Escrow in Lieu of Collection</w:t>
      </w:r>
      <w:bookmarkEnd w:id="901190"/>
    </w:p>
    <w:p>
      <w:pPr>
        <w:pStyle w:val="Normal"/>
      </w:pPr>
      <w:r>
        <w:t>1. The Treaty Integrity Secretariat shall operate the North American Trade Escrow Facility, through which contested adjustment amounts are secured pending final resolution.</w:t>
      </w:r>
    </w:p>
    <w:p>
      <w:pPr>
        <w:pStyle w:val="Normal"/>
      </w:pPr>
      <w:r>
        <w:t>2. Where a PTA has been authorized and the responding Party or an affected importer contests the underlying determination under Chapter 31 or requests a second opinion under Article 35.10, amounts otherwise collectible under the PTA shall be deposited into the Escrow Facility, or secured as provided in paragraph 5, instead of being collected as revenue.</w:t>
      </w:r>
    </w:p>
    <w:p>
      <w:pPr>
        <w:pStyle w:val="Normal"/>
      </w:pPr>
      <w:r>
        <w:t>3. The following rules govern the Escrow Facility:</w:t>
      </w:r>
    </w:p>
    <w:p>
      <w:pPr>
        <w:pStyle w:val="Normal"/>
      </w:pPr>
      <w:r>
        <w:t>(a) deposits are made in the currency of collection, and the facility bears exchange-rate risk, not the depositor;</w:t>
      </w:r>
    </w:p>
    <w:p>
      <w:pPr>
        <w:pStyle w:val="Normal"/>
      </w:pPr>
      <w:r>
        <w:t>(b) interest earned follows the principal;</w:t>
      </w:r>
    </w:p>
    <w:p>
      <w:pPr>
        <w:pStyle w:val="Normal"/>
      </w:pPr>
      <w:r>
        <w:t>(c) custody, investment, and safeguarding of deposits follow rules adopted by the Commission, with deposits held in segregated accounts;</w:t>
      </w:r>
    </w:p>
    <w:p>
      <w:pPr>
        <w:pStyle w:val="Normal"/>
      </w:pPr>
      <w:r>
        <w:t>(d) administrative costs of the Facility are borne by the Parties’ Secretariat budget, not by depositors;</w:t>
      </w:r>
    </w:p>
    <w:p>
      <w:pPr>
        <w:pStyle w:val="Normal"/>
      </w:pPr>
      <w:r>
        <w:t>(e) in the event of a shortfall or failure of the Facility, losses are borne by the Parties equally, and no depositor’s refund entitlement is extinguished or reduced;</w:t>
      </w:r>
    </w:p>
    <w:p>
      <w:pPr>
        <w:pStyle w:val="Normal"/>
      </w:pPr>
      <w:r>
        <w:t>(f) escrowed amounts are released to the collecting Party to the extent the adjustment is upheld, refunded to the depositor to the extent it is not, and apportioned where it is upheld in part; and</w:t>
      </w:r>
    </w:p>
    <w:p>
      <w:pPr>
        <w:pStyle w:val="Normal"/>
      </w:pPr>
      <w:r>
        <w:t>(g) a Party shall not treat the deposit of amounts into escrow as a default, and shall not impose penalties, interest, or additional charges by reason of the deposit.</w:t>
      </w:r>
    </w:p>
    <w:p>
      <w:pPr>
        <w:pStyle w:val="Normal"/>
      </w:pPr>
      <w:r>
        <w:t>4. Escrowed amounts shall be released or refunded within 15 days after the final resolution.</w:t>
      </w:r>
    </w:p>
    <w:p>
      <w:pPr>
        <w:pStyle w:val="Normal"/>
      </w:pPr>
      <w:r>
        <w:t>5. In lieu of cash escrow, an importer may provide a guarantee, bond, insurance instrument, or letter of credit from a recognized institution. Reduced-security treatment applies to trusted traders and to importers with a clean three-year compliance record. Where cash escrow or security would impose demonstrated severe hardship on a small or medium-sized enterprise, the collecting Party shall grant a hardship waiver or reduced-security terms under criteria published by the Commission.</w:t>
      </w:r>
    </w:p>
    <w:p>
      <w:pPr>
        <w:pStyle w:val="Heading2"/>
      </w:pPr>
      <w:bookmarkStart w:id="901191" w:name="_Toc300001190"/>
      <w:r>
        <w:t>Article 35.15: Module Firewall</w:t>
      </w:r>
      <w:bookmarkEnd w:id="901191"/>
    </w:p>
    <w:p>
      <w:pPr>
        <w:pStyle w:val="Normal"/>
      </w:pPr>
      <w:r>
        <w:t>1. Trade between the Parties is organized, for the purposes of corrective measures, into the trade modules listed in Annex 35-B.</w:t>
      </w:r>
    </w:p>
    <w:p>
      <w:pPr>
        <w:pStyle w:val="Normal"/>
      </w:pPr>
      <w:r>
        <w:t>2. A distortion verified within one module produces corrective measures only within that module. Failure in one module does not cascade into another module.</w:t>
      </w:r>
    </w:p>
    <w:p>
      <w:pPr>
        <w:pStyle w:val="Normal"/>
      </w:pPr>
      <w:r>
        <w:t>3. A cross-module measure is available only where: (a) a final determination under Chapter 31 or this Chapter has found a violation; (b) the violating Party has failed to comply within the period fixed under Article 31.19 as amended; (c) a panel constituted under Chapter 31 has made a separate, reasoned finding that same-module measures are demonstrably incapable of inducing compliance, and not merely less convenient, slower, or less politically effective; and (d) the cross-module measure is proportionate to the trade effect of the violation under Article 31.19 as amended.</w:t>
      </w:r>
    </w:p>
    <w:p>
      <w:pPr>
        <w:pStyle w:val="Normal"/>
      </w:pPr>
      <w:r>
        <w:t>4. A dispute concerning one module does not suspend, delay, or condition the operation of this Agreement in any other module. Partial success survives: the remainder of the economic relationship continues unaffected.</w:t>
      </w:r>
    </w:p>
    <w:p>
      <w:pPr>
        <w:pStyle w:val="Heading2"/>
      </w:pPr>
      <w:bookmarkStart w:id="901192" w:name="_Toc300001191"/>
      <w:r>
        <w:t>Article 35.16: Step-Back Stages, Graduated Response</w:t>
      </w:r>
      <w:bookmarkEnd w:id="901192"/>
    </w:p>
    <w:p>
      <w:pPr>
        <w:pStyle w:val="Normal"/>
      </w:pPr>
      <w:r>
        <w:t>1. Noncompliance verified under this Chapter activates the following stages in sequence:</w:t>
      </w:r>
    </w:p>
    <w:p>
      <w:pPr>
        <w:pStyle w:val="Normal"/>
      </w:pPr>
      <w:r>
        <w:t>Stage 0: Consultation and Cure Notice: consultations under Article 35.8, accompanied by a written cure path and objective compliance criteria.</w:t>
      </w:r>
    </w:p>
    <w:p>
      <w:pPr>
        <w:pStyle w:val="Normal"/>
      </w:pPr>
      <w:r>
        <w:t>Stage 1: Enhanced Verification: enhanced data reporting, origin verification, or monitoring of the identified entities or flows, for a defined period not exceeding 180 days.</w:t>
      </w:r>
    </w:p>
    <w:p>
      <w:pPr>
        <w:pStyle w:val="Normal"/>
      </w:pPr>
      <w:r>
        <w:t>Stage 2: Targeted Compliance Security: a refundable performance bond, guarantee, insurance instrument, or escrow deposit calibrated to the verified distortion, with Article 35.14.5 hardship protections.</w:t>
      </w:r>
    </w:p>
    <w:p>
      <w:pPr>
        <w:pStyle w:val="Normal"/>
      </w:pPr>
      <w:r>
        <w:t>Stage 3: Treaty-Created Incentive Consequence: temporary suspension, reduction, or deferral of a treaty-created facilitation, incentive, procurement advantage, or administrative benefit directly connected to the verified distortion, excluding ordinary tariff preference for originating goods.</w:t>
      </w:r>
    </w:p>
    <w:p>
      <w:pPr>
        <w:pStyle w:val="Normal"/>
      </w:pPr>
      <w:r>
        <w:t>Stage 4: Remediation Contribution or Monetary Compensation: a targeted contribution, compensation payment, or approved remediation investment under Article 35.17A, calibrated to verified injury and designed where practicable to repair the affected trade, workforce, infrastructure, environmental, or supply-chain harm.</w:t>
      </w:r>
    </w:p>
    <w:p>
      <w:pPr>
        <w:pStyle w:val="Normal"/>
      </w:pPr>
      <w:r>
        <w:t>Stage 5: Demerit-Linked Preference Step-Back: temporary reduction, ordinarily in 5-percent increments, of an enhanced treaty-created preference directly connected to the verified distortion, in accordance with Article 35.37 and Annex 35-G. Ordinary zero-duty treatment for originating goods is not itself an enhanced preference and shall not be reduced at this stage.</w:t>
      </w:r>
    </w:p>
    <w:p>
      <w:pPr>
        <w:pStyle w:val="Normal"/>
      </w:pPr>
      <w:r>
        <w:t>Stage 6: Suspension of Directly Related Enhanced Benefit: suspension of an enhanced benefit of this Agreement directly related to the distortion, proportionate to its trade effect, while preserving the ordinary zero-duty baseline for originating goods.</w:t>
      </w:r>
    </w:p>
    <w:p>
      <w:pPr>
        <w:pStyle w:val="Normal"/>
        <w:spacing w:before="0" w:after="0"/>
        <w:widowControl w:val="1"/>
      </w:pPr>
      <w:r>
        <w:t>Stage 7: Enhanced Remediation and Sectoral Non-Tariff Remedy: a broader but still non-tariff measure within the affected module, upon the required reasoned legal finding under Article 35.13.2 and a finding that narrower preference step-backs have not induced compliance.</w:t>
      </w:r>
    </w:p>
    <w:p/>
    <w:p>
      <w:pPr>
        <w:pStyle w:val="Normal"/>
      </w:pPr>
      <w:r>
        <w:t>Stage 8: Exceptional Tariff Petition: only after Stages 0 through 7 have been exhausted or found demonstrably incapable of preventing serious continuing harm, a Party may petition for a temporary tariff under Articles 35.38 through 35.40. No tariff exists by operation of this stage alone.</w:t>
      </w:r>
    </w:p>
    <w:p>
      <w:pPr>
        <w:pStyle w:val="Normal"/>
      </w:pPr>
      <w:r>
        <w:t>2. No Party shall activate a stage without completing the preceding stages, except that Stages 1 and 2 may proceed concurrently; a Party may move directly to Stage 4 where the responding Party agrees to compensation or remediation; and Article 35.21 governs genuine emergencies.</w:t>
      </w:r>
    </w:p>
    <w:p>
      <w:pPr>
        <w:pStyle w:val="Normal"/>
      </w:pPr>
      <w:r>
        <w:t>3. Each stage carries defined restoration conditions at inception. Movement to a higher stage requires a fresh verification of continued noncompliance and a reasoned finding that the next stage is necessary.</w:t>
      </w:r>
    </w:p>
    <w:p>
      <w:pPr>
        <w:pStyle w:val="Normal"/>
      </w:pPr>
      <w:r>
        <w:t>4. Innocent-Trade Protection. In selecting a remedy, the Panel shall minimize costs imposed on consumers, SMEs, workers, and enterprises that did not cause or materially benefit from the verified distortion.</w:t>
      </w:r>
    </w:p>
    <w:p>
      <w:pPr>
        <w:pStyle w:val="Normal"/>
      </w:pPr>
      <w:r>
        <w:t>5. No snapback. Nothing in this Agreement restores, automatically or otherwise, a pre-existing measure, a terminated measure, or a prior state of restriction by reason of a single event, determination, or failure. Consequences are graduated, proportionate, reversible, and subject to automatic restoration under Article 35.18.</w:t>
      </w:r>
    </w:p>
    <w:p>
      <w:pPr>
        <w:pStyle w:val="Heading2"/>
      </w:pPr>
      <w:bookmarkStart w:id="901193" w:name="_Toc300001192"/>
      <w:r>
        <w:t>Article 35.17: Remediation and Earn-Back</w:t>
      </w:r>
      <w:bookmarkEnd w:id="901193"/>
    </w:p>
    <w:p>
      <w:pPr>
        <w:pStyle w:val="Normal"/>
      </w:pPr>
      <w:r>
        <w:t>1. Every verification report that finds a distortion shall specify, at the time the report is issued, the objective conditions whose verified satisfaction constitutes remediation of that distortion.</w:t>
      </w:r>
    </w:p>
    <w:p>
      <w:pPr>
        <w:pStyle w:val="Normal"/>
      </w:pPr>
      <w:r>
        <w:t>2. The responding Party is afforded a remediation period of 60 days from the classification decision, or 30 days in a Tier 3 matter, within which to remediate.</w:t>
      </w:r>
    </w:p>
    <w:p>
      <w:pPr>
        <w:pStyle w:val="Normal"/>
      </w:pPr>
      <w:r>
        <w:t>3. During the remediation period no corrective measure beyond concurrent Stages 1 and 2, with Stage 2 limited to refundable proportionate security and hardship protections takes effect.</w:t>
      </w:r>
    </w:p>
    <w:p>
      <w:pPr>
        <w:pStyle w:val="Normal"/>
      </w:pPr>
      <w:r>
        <w:t>4. Remediation does not require: (a) any admission of violation, fault, or guilt; (b) any political concession; (c) any concession unrelated to the distortion; or (d) renegotiation of any commitment. Demonstrated compliance is sufficient.</w:t>
      </w:r>
    </w:p>
    <w:p>
      <w:pPr>
        <w:pStyle w:val="Normal"/>
      </w:pPr>
      <w:r>
        <w:t>5. Early and substantial remediation reduces any subsequent adjustment through the Remediation Factor in Article 35.12. Cooperation is thereby made materially less costly than defiance.</w:t>
      </w:r>
    </w:p>
    <w:p>
      <w:pPr>
        <w:pStyle w:val="Normal"/>
      </w:pPr>
      <w:r>
        <w:t>6. A Party that remediates before any adjustment takes effect faces no adjustment. The matter closes upon verification of remediation.</w:t>
      </w:r>
    </w:p>
    <w:p>
      <w:pPr>
        <w:pStyle w:val="Normal"/>
      </w:pPr>
      <w:r>
        <w:t>7. Sustained verified compliance earns administrative facilitation, including reduced inspection frequency, expedited customs clearance, simplified certification, reduced bond requirements, and trusted-trader status. Such facilitation does not excuse, offset, or forgive any future distortion.</w:t>
      </w:r>
    </w:p>
    <w:p>
      <w:pPr>
        <w:pStyle w:val="Heading2"/>
      </w:pPr>
      <w:bookmarkStart w:id="901194" w:name="_Toc300001193"/>
      <w:r>
        <w:t>Article 35.17A: Remediation Investment and Corrective Compensation</w:t>
      </w:r>
      <w:bookmarkEnd w:id="901194"/>
    </w:p>
    <w:p>
      <w:pPr>
        <w:pStyle w:val="Normal"/>
      </w:pPr>
      <w:r>
        <w:t>1. A responding Party may satisfy all or part of a Stage 4 consequence through a verified remediation program reasonably connected to the injury or compliance failure, including worker adjustment that meets or exceeds the standards and benefit levels set forth in Chapter 23-B (North American Just Transition and Worker Security Framework). Worker adjustment programs shall be implemented in addition to, not in substitution for, a Party's Chapter 23-B obligations. Worker adjustment remedies under this Article do not offset or reduce a Party's mandatory contributions to the North American Just Transition Fund.</w:t>
      </w:r>
    </w:p>
    <w:p>
      <w:pPr>
        <w:pStyle w:val="Normal"/>
      </w:pPr>
      <w:r>
        <w:t>2. A remediation program shall identify the beneficiary class, project or payment vehicle, valuation method, completion schedule, audit method, and treatment of any unspent amount. It shall not require procurement from a particular Party unless the underlying injury directly concerns discriminatory procurement.</w:t>
      </w:r>
    </w:p>
    <w:p>
      <w:pPr>
        <w:pStyle w:val="Normal"/>
      </w:pPr>
      <w:r>
        <w:t>3. A remediation contribution is corrective, not punitive. Its value shall not exceed verified injury plus reasonable implementation costs, and double recovery is prohibited.</w:t>
      </w:r>
    </w:p>
    <w:p>
      <w:pPr>
        <w:pStyle w:val="Normal"/>
      </w:pPr>
      <w:r>
        <w:t>4. Completion of the verified remediation obligation satisfies the corresponding Stage 4 consequence and is credited fully in any later proportionality calculation.</w:t>
      </w:r>
    </w:p>
    <w:p>
      <w:pPr>
        <w:pStyle w:val="Normal"/>
      </w:pPr>
      <w:r>
        <w:t>5. The Commission shall maintain model remediation instruments so that a Party may use this Article without negotiating a bespoke mechanism in every dispute.</w:t>
      </w:r>
    </w:p>
    <w:p>
      <w:pPr>
        <w:pStyle w:val="Heading2"/>
      </w:pPr>
      <w:bookmarkStart w:id="901195" w:name="_Toc300001194"/>
      <w:r>
        <w:t>Article 35.18: Automatic Restoration</w:t>
      </w:r>
      <w:bookmarkEnd w:id="901195"/>
    </w:p>
    <w:p>
      <w:pPr>
        <w:pStyle w:val="Normal"/>
      </w:pPr>
      <w:r>
        <w:t>1. Upon certification by the Verification Panel that remediation is complete:</w:t>
      </w:r>
    </w:p>
    <w:p>
      <w:pPr>
        <w:pStyle w:val="Normal"/>
      </w:pPr>
      <w:r>
        <w:t>(a) any PTA terminates automatically on the date of certification;</w:t>
      </w:r>
    </w:p>
    <w:p>
      <w:pPr>
        <w:pStyle w:val="Normal"/>
      </w:pPr>
      <w:r>
        <w:t>(b) escrowed amounts are released or refunded in accordance with the final outcome;</w:t>
      </w:r>
    </w:p>
    <w:p>
      <w:pPr>
        <w:pStyle w:val="Normal"/>
      </w:pPr>
      <w:r>
        <w:t>(c) any suspended non-tariff enhanced preference restores automatically after its applicable clean-compliance period, while ordinary tariff treatment restores immediately;</w:t>
      </w:r>
    </w:p>
    <w:p>
      <w:pPr>
        <w:pStyle w:val="Normal"/>
      </w:pPr>
      <w:r>
        <w:t>(d) any enhanced verification steps down to ordinary levels; and</w:t>
      </w:r>
    </w:p>
    <w:p>
      <w:pPr>
        <w:pStyle w:val="Normal"/>
      </w:pPr>
      <w:r>
        <w:t>(e) any bond is refunded.</w:t>
      </w:r>
    </w:p>
    <w:p>
      <w:pPr>
        <w:pStyle w:val="Normal"/>
      </w:pPr>
      <w:r>
        <w:t>2. The consequences in paragraph 1 operate by force of this Agreement. No vote, proclamation, order, negotiation, or further determination of any Party is required, and no Party shall make restoration conditional on any other matter.</w:t>
      </w:r>
    </w:p>
    <w:p>
      <w:pPr>
        <w:pStyle w:val="Normal"/>
      </w:pPr>
      <w:r>
        <w:t>3. If the Parties concerned disagree whether remediation is complete, either may request an expedited compliance verification, which the Verification Panel shall complete within 21 days. The burden rests on the Party maintaining that remediation is incomplete.</w:t>
      </w:r>
    </w:p>
    <w:p>
      <w:pPr>
        <w:pStyle w:val="Normal"/>
      </w:pPr>
      <w:r>
        <w:t>4. Pending the compliance verification, no stage higher than the stage in effect at the time of the request takes effect.</w:t>
      </w:r>
    </w:p>
    <w:p>
      <w:pPr>
        <w:pStyle w:val="Normal"/>
      </w:pPr>
      <w:r>
        <w:t>5. Earn-Back Is Structural. Restoration under this Article is a treaty right, not a discretionary concession. Every corrective measure imposed under this Chapter shall identify, at inception, the objective remediation conditions and any clean-compliance period required for automatic restoration.</w:t>
      </w:r>
    </w:p>
    <w:p>
      <w:pPr>
        <w:pStyle w:val="Normal"/>
      </w:pPr>
      <w:r>
        <w:t>6. A Party seeking restoration is not required to admit fault, waive a legal position, make an unrelated political concession, or renegotiate the underlying commitment. Verified return to compliance is sufficient.</w:t>
      </w:r>
    </w:p>
    <w:p>
      <w:pPr>
        <w:pStyle w:val="Normal"/>
        <w:spacing w:before="0" w:after="0"/>
        <w:widowControl w:val="1"/>
      </w:pPr>
      <w:r>
        <w:t>7. Clean-Compliance Periods. Unless another provision establishes a shorter period, a Tier 2 non-tariff enhanced-benefit step-back restores after 14 consecutive days of verified clean compliance following remediation; a Tier 3 non-tariff enhanced-benefit step-back restores after 60 consecutive days, subject to enhanced verification. A Panel may shorten a period by up to 25 percent for exceptional cooperation or verified over-compliance, but may not lengthen it after the remedy is imposed except upon a new material violation.</w:t>
      </w:r>
    </w:p>
    <w:p/>
    <w:p>
      <w:pPr>
        <w:pStyle w:val="Normal"/>
      </w:pPr>
      <w:r>
        <w:t>8. No unrelated dispute, election, change of government, or negotiation may delay an otherwise completed earn-back.</w:t>
      </w:r>
    </w:p>
    <w:p>
      <w:pPr>
        <w:spacing w:before="0" w:after="0"/>
        <w:widowControl w:val="1"/>
      </w:pPr>
      <w:r>
        <w:t>9. CURE CERTIFICATION AND FORMULA CEILINGS. The factual cure certificate under Articles 35.18 and 35.46 records when the identified underlying conduct is fully remedied and immediately terminates a tariff or PTA on that date without awaiting a fourteen- or sixty-day monitoring period. Those clean-compliance periods govern restoration of non-tariff enhanced-benefit step-backs only, and monitoring creates no authority to collect a duty after full cure. For Annex 35-A and Article 35.12.3, the formula is an intermediate estimate capped by the applicable uncertainty-band or best-estimate ceiling, the separate legal deterrence ceiling where validly found, and every lower Article 35.40 tariff ceiling. A factor product above a binding cap is truncated rather than treated as authority to exceed it, and remediation is counted once in the calculation.</w:t>
      </w:r>
    </w:p>
    <w:p/>
    <w:p>
      <w:pPr>
        <w:pStyle w:val="Heading2"/>
      </w:pPr>
      <w:bookmarkStart w:id="901196" w:name="_Toc300001195"/>
      <w:r>
        <w:t>Article 35.19: Discipline of Allegations</w:t>
      </w:r>
      <w:bookmarkEnd w:id="901196"/>
    </w:p>
    <w:p>
      <w:pPr>
        <w:pStyle w:val="Normal"/>
      </w:pPr>
      <w:r>
        <w:t>1. The Mechanism is available in good faith. A Party shall not invoke the Mechanism abusively, repetitively, or for purposes of harassment, delay, or negotiation leverage.</w:t>
      </w:r>
    </w:p>
    <w:p>
      <w:pPr>
        <w:pStyle w:val="Normal"/>
      </w:pPr>
      <w:r>
        <w:t>2. The following consequences apply to unsupported allegations:</w:t>
      </w:r>
    </w:p>
    <w:p>
      <w:pPr>
        <w:pStyle w:val="Normal"/>
      </w:pPr>
      <w:r>
        <w:t>(a) upon a first determination of no confirmation, the initiating Party bears the verification costs;</w:t>
      </w:r>
    </w:p>
    <w:p>
      <w:pPr>
        <w:pStyle w:val="Normal"/>
      </w:pPr>
      <w:r>
        <w:t>(b) upon a second determination of no confirmation within 24 months concerning substantially similar conduct, the initiating Party bears double the verification costs and is subject to a heightened evidentiary threshold for 12 months;</w:t>
      </w:r>
    </w:p>
    <w:p>
      <w:pPr>
        <w:pStyle w:val="Normal"/>
      </w:pPr>
      <w:r>
        <w:t>(c) upon a third such determination within 24 months, the initiating Party’s access to the expedited track in Article 35.21 is suspended for 12 months, and the Verification Panel issues a formal finding of abusive invocation; and</w:t>
      </w:r>
    </w:p>
    <w:p>
      <w:pPr>
        <w:pStyle w:val="Normal"/>
      </w:pPr>
      <w:r>
        <w:t>(d) a formal finding of abusive invocation entitles the responding Party to reimbursement of reasonable costs incurred in responding.</w:t>
      </w:r>
    </w:p>
    <w:p>
      <w:pPr>
        <w:pStyle w:val="Normal"/>
      </w:pPr>
      <w:r>
        <w:t>3. The ladder in paragraph 2 applies symmetrically to obstruction, frivolous objection, and bad-faith participation by a responding Party.</w:t>
      </w:r>
    </w:p>
    <w:p>
      <w:pPr>
        <w:pStyle w:val="Normal"/>
      </w:pPr>
      <w:r>
        <w:t>4. Determinations under this Article are recorded in the Shared Trade Data Registry and are public.</w:t>
      </w:r>
    </w:p>
    <w:p>
      <w:pPr>
        <w:pStyle w:val="Normal"/>
        <w:spacing w:before="0" w:after="0"/>
        <w:widowControl w:val="1"/>
      </w:pPr>
      <w:r>
        <w:t>4A. For this Article, an allegation is frivolous or manifestly unfounded only where: (a) it lacks evidence sufficient to establish a prima facie case; (b) the alleged facts, even if true, could not constitute a violation or actionable distortion; (c) a material factual premise is demonstrably false and could reasonably have been verified before filing; or (d) it materially repeats a finally resolved allegation without materially new evidence or changed circumstances. Good-faith disagreement over methodology, law, or uncertain evidence is not by itself frivolous.</w:t>
      </w:r>
    </w:p>
    <w:p/>
    <w:p>
      <w:pPr>
        <w:pStyle w:val="Normal"/>
      </w:pPr>
      <w:r>
        <w:t>5. Partial Confirmation. Where an allegation contains separable accurate and inaccurate elements, the Verification Panel shall make element-by-element findings rather than treating the entire allegation as confirmed or rejected. Costs, remedies, and any abusive-invocation consequence shall be allocated proportionately to the confirmed and unconfirmed portions.</w:t>
      </w:r>
    </w:p>
    <w:p>
      <w:pPr>
        <w:pStyle w:val="Normal"/>
      </w:pPr>
      <w:r>
        <w:t>6. Counter-Evidence Closure. Where the evidence remains materially inconclusive after the ordinary record closes, the Panel may order one final, time-limited counter-evidence round. Each Party receives the same submission window and access to the same non-confidential evidentiary record. After that round the Panel shall close the factual issue and may not permit serial relitigation absent materially new evidence.</w:t>
      </w:r>
    </w:p>
    <w:p>
      <w:pPr>
        <w:pStyle w:val="Normal"/>
      </w:pPr>
      <w:r>
        <w:t>7. Frivolous challenge and frivolous claim rules operate symmetrically. Repeated unsupported objections to verified evidence may result in cost shifting, loss of expedited procedural privileges, or heightened objection thresholds to the same extent that repeated unsupported allegations may produce those consequences.</w:t>
      </w:r>
    </w:p>
    <w:p>
      <w:pPr>
        <w:pStyle w:val="Heading2"/>
      </w:pPr>
      <w:bookmarkStart w:id="901197" w:name="_Toc300001196"/>
      <w:r>
        <w:t>Article 35.20: Compensation Before Escalation</w:t>
      </w:r>
      <w:bookmarkEnd w:id="901197"/>
    </w:p>
    <w:p>
      <w:pPr>
        <w:pStyle w:val="Normal"/>
      </w:pPr>
      <w:r>
        <w:t>1. At any time after a verification finding a distortion and before Stage 4, the responding Party may offer, and the initiating Party shall consider in good faith, compensation in the form of equivalent market access within the affected module.</w:t>
      </w:r>
    </w:p>
    <w:p>
      <w:pPr>
        <w:pStyle w:val="Normal"/>
      </w:pPr>
      <w:r>
        <w:t>2. Compensation may take any mutually agreed form, including additional quota allocation, accelerated regulatory recognition, procurement access, or equivalent benefits. The Parties may, where they both agree it is useful, record compensation as market-access credits under Annex 35-E; the use of credits is optional and is never a precondition to agreed compensation.</w:t>
      </w:r>
    </w:p>
    <w:p>
      <w:pPr>
        <w:pStyle w:val="Normal"/>
      </w:pPr>
      <w:r>
        <w:t>3. Acceptance of agreed compensation extinguishes the distortion for the purposes of this Chapter. Compensation shall not take the form of a covered border measure against any Party or non-Party.</w:t>
      </w:r>
    </w:p>
    <w:p>
      <w:pPr>
        <w:pStyle w:val="Heading2"/>
      </w:pPr>
      <w:bookmarkStart w:id="901198" w:name="_Toc300001197"/>
      <w:r>
        <w:t>Article 35.21: Genuine Emergencies, Expedited Track</w:t>
      </w:r>
      <w:bookmarkEnd w:id="901198"/>
    </w:p>
    <w:p>
      <w:pPr>
        <w:pStyle w:val="Normal"/>
      </w:pPr>
      <w:r>
        <w:t>1. Where a genuine emergency exists, as defined in Article 35.2 (including a sudden import surge causing serious injury, an imminent flood of fraudulently documented goods, or a critical threat to health, safety, or security) a Party may apply an emergency provisional measure, provided that the measure:</w:t>
      </w:r>
    </w:p>
    <w:p>
      <w:pPr>
        <w:pStyle w:val="Normal"/>
      </w:pPr>
      <w:r>
        <w:t>(a) is confined to the goods and flows presenting the emergency;</w:t>
      </w:r>
    </w:p>
    <w:p>
      <w:pPr>
        <w:pStyle w:val="Normal"/>
      </w:pPr>
      <w:r>
        <w:t>(b) does not exceed what is required to address the emergency pending verification;</w:t>
      </w:r>
    </w:p>
    <w:p>
      <w:pPr>
        <w:pStyle w:val="Normal"/>
      </w:pPr>
      <w:r>
        <w:t>(c) takes the form, wherever practicable, of a targeted hold, bond, or escrow rather than a duty;</w:t>
      </w:r>
    </w:p>
    <w:p>
      <w:pPr>
        <w:pStyle w:val="Normal"/>
      </w:pPr>
      <w:r>
        <w:t>(d) is notified to the other Parties and the Verification Panel within 24 hours, with the evidence supporting it;</w:t>
      </w:r>
    </w:p>
    <w:p>
      <w:pPr>
        <w:pStyle w:val="Normal"/>
      </w:pPr>
      <w:r>
        <w:t>(e) is reviewed by the Verification Panel within 72 hours; and</w:t>
      </w:r>
    </w:p>
    <w:p>
      <w:pPr>
        <w:pStyle w:val="Normal"/>
      </w:pPr>
      <w:r>
        <w:t>(f) expires automatically thirty days after first legal effect; a separately verified continuation may reach sixty cumulative days in twelve months, after which only an independently authorized ordinary-stage measure may apply.</w:t>
      </w:r>
    </w:p>
    <w:p>
      <w:pPr>
        <w:pStyle w:val="Normal"/>
      </w:pPr>
      <w:r>
        <w:t>1A. Except as provided in paragraph 1B, an emergency provisional measure shall not take effect until 15 days after notification under subparagraph 1(d). During that period the Verification Panel shall convene an emergency session and issue a preliminary determination whether the evidence establishes a genuine emergency and whether the proposed measure is confined to the narrowest sufficient scope. If the Panel determines that the asserted emergency is not supported by credible evidence, the proposed measure shall not take effect.</w:t>
      </w:r>
    </w:p>
    <w:p>
      <w:pPr>
        <w:pStyle w:val="Normal"/>
      </w:pPr>
      <w:r>
        <w:t>1B. A Party may apply a measure immediately where waiting 15 days would create a demonstrable and material risk of death or serious injury, entry of contaminated or prohibited goods, active cyber compromise, physical failure of critical infrastructure, or comparable irreversible harm. An immediately effective measure is limited to the goods, entities, or flows creating that risk, is reviewed within 72 hours, and terminates automatically if the Panel does not verify the immediate-action necessity.</w:t>
      </w:r>
    </w:p>
    <w:p>
      <w:pPr>
        <w:pStyle w:val="Normal"/>
      </w:pPr>
      <w:r>
        <w:t>2. An emergency provisional measure that is not verified within the period in paragraph 1(f) terminates automatically, and amounts collected are refunded with interest.</w:t>
      </w:r>
    </w:p>
    <w:p>
      <w:pPr>
        <w:pStyle w:val="Normal"/>
        <w:spacing w:before="0" w:after="0"/>
        <w:widowControl w:val="1"/>
      </w:pPr>
      <w:r>
        <w:t>3. Emergency authority is not an indefinite substitute for ordinary trade policy. Substantially similar emergency measures concerning substantially the same goods, including measures differing only in stated justification, are aggregated and treated as a single continuing measure for the purposes of duration limits; the cumulative duration of emergency provisional measures concerning substantially the same goods shall not exceed 60 days in any 12-month period with no extension under emergency authority; any ordinary-stage successor requires its own complete factual and legal authorization. Each successive measure requires successively stronger verification.</w:t>
      </w:r>
    </w:p>
    <w:p/>
    <w:p>
      <w:pPr>
        <w:spacing w:before="0" w:after="0"/>
        <w:widowControl w:val="1"/>
      </w:pPr>
      <w:r>
        <w:t>4. ONE EMERGENCY RESTRICTION TRACK. An extraordinary restriction on originating trade justified by shortage, emergency continuity or grid reliability under Chapters 37, 38 or 40 shall satisfy Article 35.21, including its notice, independent review, narrow scope, thirty-day expiry and sixty-day cumulative cap, unless independently justified under Article 32.2 as replaced and reviewed under Article 35.22. A verified shortage means a documented present or imminent deficit in supplies necessary for essential domestic needs that available stocks, reasonable substitution and non-restrictive allocation cannot meet, and a grid emergency means a documented imminent breach of binding reliability standards threatening physical grid failure or essential service, each verified factually by the Article 35.10 Team through the Article 35.21 referral. Chapter 38 activation, its 180-day coordination period or renewal, Article 37.15 allocation, and Article 40.40 domestic reliability action provide no separate authority to prolong or renew a trade restriction beyond that governing track. Domestic operational action that does not restrict covered trade retains its competent regulator and operational safety standards, while a trade restriction ends immediately when its verified necessity ceases and cannot restart its cumulative clock under another chapter.</w:t>
      </w:r>
    </w:p>
    <w:p/>
    <w:p>
      <w:pPr>
        <w:spacing w:before="0" w:after="0"/>
        <w:widowControl w:val="1"/>
      </w:pPr>
      <w:r>
        <w:t>5. EMERGENCY REFERRAL AND EFFECT CLOCK. Notification under paragraph 1(d) simultaneously refers the proposed or immediately effective measure to the Secretariat, which constitutes the Article 35.10 Team within forty-eight hours using the eligible emergency pool and sends it the evidence immediately. Every paragraph 1A or 1B measure satisfies all paragraph 1(a) through (f) conditions, and imposition for this Article means its first legal effect on covered trade rather than announcement or adoption. A non-immediate measure requires a reasoned preliminary report by day fifteen after notice before taking effect, an immediate measure requires verification within seventy-two hours after first effect and terminates on failure to verify, and the thirty-day expiry and sixty-day cumulative cap run from first effect without restart. For Article 35.23(3), the strategic-sector emergency assessment is completed within fifteen days after first effect, and absence of that assessment terminates the measure at that endpoint without converting the ordinary thirty-day assessment into an extension.</w:t>
      </w:r>
    </w:p>
    <w:p/>
    <w:p>
      <w:pPr>
        <w:pStyle w:val="Heading2"/>
      </w:pPr>
      <w:bookmarkStart w:id="901199" w:name="_Toc300001198"/>
      <w:r>
        <w:t>Article 35.22: Essential Security Measures, Special Lane</w:t>
      </w:r>
      <w:bookmarkEnd w:id="901199"/>
    </w:p>
    <w:p>
      <w:pPr>
        <w:pStyle w:val="Normal"/>
      </w:pPr>
      <w:r>
        <w:t>1. Each Party retains its authority to take measures it considers necessary for the protection of its essential security interests, in accordance with Article 32.2 as replaced by this modernization.</w:t>
      </w:r>
    </w:p>
    <w:p>
      <w:pPr>
        <w:pStyle w:val="Normal"/>
      </w:pPr>
      <w:r>
        <w:t>2. Where an essential security measure affects, or would affect, the originating goods of another Party, the measure is subject to the special review lane in this Article, in addition to the procedural requirements of Article 32.2.</w:t>
      </w:r>
    </w:p>
    <w:p>
      <w:pPr>
        <w:pStyle w:val="Normal"/>
      </w:pPr>
      <w:r>
        <w:t>3. Within 15 days after the notification required by Article 32.2, the affected Party may refer the measure to the Verification Panel, which shall determine, within 45 days and without reviewing the invoking Party’s security judgment:</w:t>
      </w:r>
    </w:p>
    <w:p>
      <w:pPr>
        <w:pStyle w:val="Normal"/>
      </w:pPr>
      <w:r>
        <w:t>(a) whether the measure is genuinely connected to the stated security interest;</w:t>
      </w:r>
    </w:p>
    <w:p>
      <w:pPr>
        <w:pStyle w:val="Normal"/>
      </w:pPr>
      <w:r>
        <w:t>(b) whether originating goods of the other Party contribute materially to the stated security concern;</w:t>
      </w:r>
    </w:p>
    <w:p>
      <w:pPr>
        <w:pStyle w:val="Normal"/>
      </w:pPr>
      <w:r>
        <w:t>(c) whether the concern could be addressed by targeting non-originating content or non-Party goods;</w:t>
      </w:r>
    </w:p>
    <w:p>
      <w:pPr>
        <w:pStyle w:val="Normal"/>
      </w:pPr>
      <w:r>
        <w:t>(d) whether trusted-origin certification under Article 36.6 could address the concern; and</w:t>
      </w:r>
    </w:p>
    <w:p>
      <w:pPr>
        <w:pStyle w:val="Normal"/>
      </w:pPr>
      <w:r>
        <w:t>(e) whether a narrower measure could achieve the stated security objective.</w:t>
      </w:r>
    </w:p>
    <w:p>
      <w:pPr>
        <w:pStyle w:val="Normal"/>
      </w:pPr>
      <w:r>
        <w:t>4. If the Verification Panel determines that originating goods of the affected Party do not contribute materially to the stated security concern, the invoking Party shall exempt those goods from the measure within 30 days.</w:t>
      </w:r>
    </w:p>
    <w:p>
      <w:pPr>
        <w:pStyle w:val="Normal"/>
      </w:pPr>
      <w:r>
        <w:t>5. If the Verification Panel determines that a narrower measure could achieve the stated security objective, the invoking Party shall, within 60 days, conform the measure to the narrowest sufficient scope, without prejudice to the security objective itself.</w:t>
      </w:r>
    </w:p>
    <w:p>
      <w:pPr>
        <w:pStyle w:val="Normal"/>
        <w:spacing w:before="0" w:after="0"/>
        <w:widowControl w:val="1"/>
      </w:pPr>
      <w:r>
        <w:t>6. An essential security measure affecting originating goods: (a) shall be reviewed by the invoking Party at intervals not exceeding 180 days, with an updated justification notified to the other Parties; (b) terminates two years after adoption unless renewed through the full procedures of Article 32.2, including fresh justification; (c) shall not be applied to goods holding Trusted North American Origin status except upon a particularized finding that those goods themselves present the security concern; and (d) for the purposes of subparagraphs (a) and (b), successive measures addressing substantially the same stated security concern and substantially the same trade are treated as renewals of a single continuing measure, however denominated or re-justified.</w:t>
      </w:r>
    </w:p>
    <w:p/>
    <w:p>
      <w:pPr>
        <w:pStyle w:val="Normal"/>
      </w:pPr>
      <w:r>
        <w:t>7. No panel or body under this Agreement shall second-guess a Party’s military, defense, or intelligence judgments. The boundary of review is as follows:</w:t>
      </w:r>
    </w:p>
    <w:p>
      <w:pPr>
        <w:pStyle w:val="Normal"/>
      </w:pPr>
      <w:r>
        <w:t>(a) a panel or Verification Team may examine: the measure’s text, scope, product and entity coverage, duration, renewal history, and administration; the notification, consultation, and review record; whether originating goods of the affected Party materially contribute to the stated concern, on the basis of trade and origin data; whether a narrower or targeted measure would achieve the stated objective; and the consistency of the measure with the procedural requirements of Article 32.2 and this Article; and</w:t>
      </w:r>
    </w:p>
    <w:p>
      <w:pPr>
        <w:pStyle w:val="Normal"/>
      </w:pPr>
      <w:r>
        <w:t>(b) a panel or Verification Team shall not examine or make findings concerning: the validity of the Party’s assessment of threats; the credibility of intelligence; the military or defense adequacy of the measure; or the Party’s determination of what its essential security interests are.</w:t>
      </w:r>
    </w:p>
    <w:p>
      <w:pPr>
        <w:pStyle w:val="Normal"/>
      </w:pPr>
      <w:r>
        <w:rPr>
          <w:b w:val="false"/>
        </w:rPr>
        <w:t>8. External Trade Defense Preserved. Nothing in this Chapter prevents a Party from applying lawful, targeted trade-defense, customs-enforcement, sanctions, investment-screening, anti-dumping, countervailing-duty, anti-circumvention, or other measures to non-Parties or verified non-originating content. The disciplines of this Chapter prevent such authority from being used as a disguised substitute for broad punitive measures against originating goods of another Party; they do not require a Party to surrender legitimate external trade defense.</w:t>
      </w:r>
    </w:p>
    <w:p>
      <w:pPr>
        <w:pStyle w:val="Normal"/>
      </w:pPr>
      <w:r>
        <w:t>8A. The reviewing body shall state expressly, in any report under this Article, which category of paragraph 7 each of its findings rests upon.</w:t>
      </w:r>
    </w:p>
    <w:p>
      <w:pPr>
        <w:pStyle w:val="Normal"/>
      </w:pPr>
      <w:r>
        <w:t>9. Security Review Chamber. Where a measure under this Article remains in force after a finding under paragraph 4 or 5, or where an affected Party alleges that the factual nexus required by Article 32.2.4 is fabricated or unsupported, the matter may be referred to a Security Review Chamber composed of three independent retired judges drawn one from each Party from a standing roster of former supreme-court, constitutional-court, or senior appellate judges, or persons of equivalent judicial independence. The Chamber may receive classified or otherwise protected evidence in camera under procedures that preserve national-security confidentiality and do not require disclosure to another Party. The Chamber reviews only whether credible, verifiable evidence supports the factual nexus between the targeted trade and the stated security threat, and does not substitute its judgment for military, defense, intelligence, or foreign-policy assessments.</w:t>
      </w:r>
    </w:p>
    <w:p>
      <w:pPr>
        <w:pStyle w:val="Normal"/>
      </w:pPr>
      <w:r>
        <w:t>10. If the Security Review Chamber finds that no credible, verifiable evidence supports the required factual nexus, the trade-restrictive application of the measure to the affected Party is suspended automatically upon issuance of the finding, subject to a 10-day period in which the invoking Party may submit newly available evidence. A suspension under this paragraph does not prevent a measure directed at goods, entities, or content for which the required nexus is established.</w:t>
      </w:r>
    </w:p>
    <w:p>
      <w:pPr>
        <w:pStyle w:val="Normal"/>
      </w:pPr>
      <w:r>
        <w:t>11. Compliance Security. If an invoking Party does not implement a final finding requiring exemption, narrowing, or suspension within the period specified by this Article, it shall, within 30 days, secure an amount equal to 100 percent of the Verification Panel’s conservative estimate of expected economic injury in the Trade Escrow Facility. The required security increases to 125 percent after 30 additional days of non-compliance and to 150 percent after 60 additional days. Security under this paragraph is not a penalty or admission of liability; it preserves the availability of compensation pending compliance or final resolution, and is released, refunded, or applied in accordance with the final determination.</w:t>
      </w:r>
    </w:p>
    <w:p>
      <w:pPr>
        <w:spacing w:before="0" w:after="0"/>
        <w:widowControl w:val="1"/>
      </w:pPr>
      <w:r>
        <w:t>12. SECURITY CHAMBER CONSTITUTION INJURY ESTIMATE AND SECURITY PRIORITY. The Secretariat maintains the Article 35.22(9) judicial eligibility pool, accepts nominations continuously and screens judicial independence, availability, conflicts and protected-evidence handling without allowing a national member to act under Party instructions. Either affected or invoking Party may refer the specified nexus dispute, and the responsible Secretary draws one qualified independent judge from each Party's eligible list within five days, using Article 30.C qualification-based fallback where necessary and reporting an unfilled seat without appointing an unqualified reviewer. The Chamber issues its reasoned protected-evidence nexus determination within thirty days after complete constitution, while the Article 35.10 Team expressly estimates attributable expected economic injury with a conservative lower bound within fifteen days after referral for security calculation. Security for the same injury is one deposit rather than cumulative deposits, Article 35.22(11)'s 100, 125 and 150 percent schedule controls over Article 35.25A in the security lane, and no estimate or missed constitution deadline itself authorizes collection, a tariff or review of reserved security judgment.</w:t>
      </w:r>
    </w:p>
    <w:p/>
    <w:p>
      <w:pPr>
        <w:pStyle w:val="Heading2"/>
      </w:pPr>
      <w:bookmarkStart w:id="901200" w:name="_Toc300001199"/>
      <w:r>
        <w:t>Article 35.23: Strategic-Sector Circuit Breakers</w:t>
      </w:r>
      <w:bookmarkEnd w:id="901200"/>
    </w:p>
    <w:p>
      <w:pPr>
        <w:pStyle w:val="Normal"/>
        <w:spacing w:before="0" w:after="0"/>
        <w:widowControl w:val="1"/>
      </w:pPr>
      <w:r>
        <w:t>1. Strategic Sectors under this Article and designated strategic sectors under Article 36.4 are the same sectors authoritatively listed in Annex 35-B, Part 2, including defense-related industrial inputs and each listed compute, grid, storage and networking category. Recitations elsewhere are descriptive and do not narrow that list. A Commission designation or technical update uses the same published Annex list and Article 34.3.A limits. Every sector on that list is subject to this Article's circuit-breaker conditions when a covered border measure affects it.</w:t>
      </w:r>
    </w:p>
    <w:p/>
    <w:p>
      <w:pPr>
        <w:pStyle w:val="Normal"/>
      </w:pPr>
      <w:r>
        <w:t>2. A covered border measure affecting a Strategic Sector shall not take effect before:</w:t>
      </w:r>
    </w:p>
    <w:p>
      <w:pPr>
        <w:pStyle w:val="Normal"/>
      </w:pPr>
      <w:r>
        <w:t>(a) completion of a North American supply-chain impact assessment, prepared by the Treaty Integrity Secretariat with the affected Parties within 30 days;</w:t>
      </w:r>
    </w:p>
    <w:p>
      <w:pPr>
        <w:pStyle w:val="Normal"/>
      </w:pPr>
      <w:r>
        <w:t>(b) ministerial-level consultations among the Parties; and</w:t>
      </w:r>
    </w:p>
    <w:p>
      <w:pPr>
        <w:pStyle w:val="Normal"/>
      </w:pPr>
      <w:r>
        <w:t>(c) consideration of the integrated character of North American production in the sector.</w:t>
      </w:r>
    </w:p>
    <w:p>
      <w:pPr>
        <w:pStyle w:val="Normal"/>
      </w:pPr>
      <w:r>
        <w:t>3. Paragraph 2 does not delay an emergency provisional measure under Article 35.21, but such a measure affecting a Strategic Sector expires 15 days after imposition unless the assessment and consultations in paragraph 2 have been completed.</w:t>
      </w:r>
    </w:p>
    <w:p>
      <w:pPr>
        <w:pStyle w:val="Normal"/>
      </w:pPr>
      <w:r>
        <w:t>4. Inputs essential to integrated North American production, identified in accordance with Annex 35-B, Part 3, shall not be subject to corrective measures under this Chapter except upon a verification finding that the input itself embodies the distortion.</w:t>
      </w:r>
    </w:p>
    <w:p>
      <w:pPr>
        <w:spacing w:before="0" w:after="0"/>
        <w:widowControl w:val="1"/>
      </w:pPr>
      <w:r>
        <w:t>5. GATE ALLOCATION FOR TRADE REMEDIES AND SECURITY. Articles 35.6.2, 35.8.2(a), 35.23.2 and 35.24.5 do not postpone independently lawful Chapter 10 duties or Article 32.2 as replaced security measures, whose investigation, notice, effect and review periods govern. Those authorities remain subject to their own particularized evidence and procedural duties, Article 35.22 where applicable, the humanitarian firewall and anti-evasion rules. A Chapter 35 corrective measure cannot obtain this exception merely by adopting a Chapter 10 or security label, and its registry waiting period, cooling-off and strategic assessment remain applicable. A genuine Article 35.21 emergency uses that Article's express timing exception and expedited assessment, not an implied exemption from verification.</w:t>
      </w:r>
    </w:p>
    <w:p/>
    <w:p>
      <w:pPr>
        <w:pStyle w:val="Heading2"/>
      </w:pPr>
      <w:bookmarkStart w:id="901201" w:name="_Toc300001200"/>
      <w:r>
        <w:t>Article 35.24: North American Trade Measures Registry and Transparency</w:t>
      </w:r>
      <w:bookmarkEnd w:id="901201"/>
    </w:p>
    <w:p>
      <w:pPr>
        <w:pStyle w:val="Normal"/>
      </w:pPr>
      <w:r>
        <w:t>1. The Treaty Integrity Secretariat shall establish and maintain the North American Trade Measures Registry.</w:t>
      </w:r>
    </w:p>
    <w:p>
      <w:pPr>
        <w:pStyle w:val="Normal"/>
      </w:pPr>
      <w:r>
        <w:t>2. Each Party shall register in the Registry, before or within five days after adoption, every covered border measure that affects or may affect another Party’s goods, whether originating or not, including for each measure: the tariff classification codes covered; the rate, charge, or restriction; the legal authority invoked; the effective date; the scheduled review and expiry dates; the exemptions and exclusions and the procedures governing them; and the verification or finding on which the measure is based.</w:t>
      </w:r>
    </w:p>
    <w:p>
      <w:pPr>
        <w:pStyle w:val="Normal"/>
      </w:pPr>
      <w:r>
        <w:t>3. Registry data shall be public and machine-readable, subject to protection of classified and confidential business information in accordance with Annex 35-C, Part 4.</w:t>
      </w:r>
    </w:p>
    <w:p>
      <w:pPr>
        <w:pStyle w:val="Normal"/>
      </w:pPr>
      <w:r>
        <w:t>4. A covered border measure affecting originating goods that is not registered within the period in paragraph 2 is not enforceable against originating goods until registered, and amounts collected during the unregistered period shall be refunded.</w:t>
      </w:r>
    </w:p>
    <w:p>
      <w:pPr>
        <w:pStyle w:val="Normal"/>
      </w:pPr>
      <w:r>
        <w:t>5. Except in a genuine emergency under Article 35.21, a Party shall provide not less than 30 days between the registration of a new covered border measure and its effective date, during which affected Parties may submit alternatives.</w:t>
      </w:r>
    </w:p>
    <w:p>
      <w:pPr>
        <w:pStyle w:val="Heading2"/>
      </w:pPr>
      <w:bookmarkStart w:id="901202" w:name="_Toc300001201"/>
      <w:r>
        <w:t>Article 35.25: North American Trade Impact Facility</w:t>
      </w:r>
      <w:bookmarkEnd w:id="901202"/>
    </w:p>
    <w:p>
      <w:pPr>
        <w:pStyle w:val="Normal"/>
      </w:pPr>
      <w:r>
        <w:t>1. The Commission may, by consensus and through a published implementing schedule, activate a North American Trade Impact compensation mechanism to provide limited partial compensation to eligible small and medium-sized enterprises or integrated manufacturers materially injured by a covered border measure subsequently found inconsistent with this Agreement or not upheld. Until such a schedule enters into force, this Article creates no funding contribution, compensation entitlement, separately staffed facility, or claim against a Party.</w:t>
      </w:r>
    </w:p>
    <w:p>
      <w:pPr>
        <w:pStyle w:val="Normal"/>
      </w:pPr>
      <w:r>
        <w:t>2. An activating schedule shall identify the source and ceiling of funding, participating Parties, eligible categories, claim period, administrative route, audit rules, and reimbursement treatment. It may provide equal base contributions for administration, usage-based contributions, or reimbursement by a Party whose measure is finally found inconsistent, but no contribution is owed unless expressly accepted in the schedule in accordance with each Party's applicable legal and appropriations procedures.</w:t>
      </w:r>
    </w:p>
    <w:p>
      <w:pPr>
        <w:pStyle w:val="Normal"/>
      </w:pPr>
      <w:r>
        <w:t>3. If activated, eligibility shall require: (a) demonstrated material injury under a threshold stated in the schedule; (b) documented causal connection to the covered measure; (c) exhaustion or unavailability of timely redress through the measure's own exclusion or refund procedures; and (d) no double recovery. Claims shall be decided under published criteria by the existing Secretariat or a competent national authority designated in the schedule.</w:t>
      </w:r>
    </w:p>
    <w:p>
      <w:pPr>
        <w:pStyle w:val="Normal"/>
      </w:pPr>
      <w:r>
        <w:t>4. Compensation per claimant shall be capped at the level stated in the activating schedule, with any priority for small and medium-sized enterprises expressly identified there. Administration and accounts shall be independently audited and the audit published, subject to lawful confidentiality protections.</w:t>
      </w:r>
    </w:p>
    <w:p>
      <w:pPr>
        <w:pStyle w:val="Normal"/>
      </w:pPr>
      <w:r>
        <w:t>5. Compensation under an activated schedule is without prejudice to the allocation of responsibility between the Parties and does not constitute an admission by any Party. A Party's decision not to participate in an optional compensation schedule does not constitute non-compliance, reduce unrelated benefits, or authorize retaliation.</w:t>
      </w:r>
    </w:p>
    <w:p>
      <w:pPr>
        <w:pStyle w:val="Heading2"/>
      </w:pPr>
      <w:bookmarkStart w:id="901203" w:name="_Toc300001202"/>
      <w:r>
        <w:t>Article 35.25A: Automatic Consequences and Provisional Enforcement</w:t>
      </w:r>
      <w:bookmarkEnd w:id="901203"/>
    </w:p>
    <w:p>
      <w:pPr>
        <w:pStyle w:val="Normal"/>
      </w:pPr>
      <w:r>
        <w:t>1. Where a Verification Panel or Chapter 31 panel makes a finding that a Party has maintained a measure expressly prohibited by Articles 35.3 through 35.7, failed to implement an automatic termination or restoration required by this Chapter, or failed to comply with a final narrowing or suspension determination under Article 35.22, the consequences specified in this Article arise by operation of the Agreement and do not require a further political authorization.</w:t>
      </w:r>
    </w:p>
    <w:p>
      <w:pPr>
        <w:pStyle w:val="Normal"/>
      </w:pPr>
      <w:r>
        <w:t>2. Upon a preliminary finding, the offending measure is subject to automatic provisional suspension to the extent identified by the Panel, or, where immediate suspension would create a demonstrated risk to health, safety, or essential security, to mandatory escrow or equivalent security in an amount equal to the conservative estimate of expected injury. The affected Party has 10 days to seek reconsideration based on manifest factual or legal error or materially new evidence.</w:t>
      </w:r>
    </w:p>
    <w:p>
      <w:pPr>
        <w:pStyle w:val="Normal"/>
      </w:pPr>
      <w:r>
        <w:t>3. Upon a final finding, any prohibited amount collected shall be refunded with interest and any preferential treatment unlawfully suspended shall be restored automatically. Verified reasonable compliance and delay costs directly caused by the violation may be addressed through a compensation mechanism expressly activated under this Agreement or through applicable domestic procedures. Where non-compliance continues, security or other corrective consequences escalate only in accordance with an express schedule in this Agreement or a reasoned panel determination and shall remain proportionate to verified injury.</w:t>
      </w:r>
    </w:p>
    <w:p>
      <w:pPr>
        <w:pStyle w:val="Normal"/>
      </w:pPr>
      <w:r>
        <w:t>4. The Commission shall establish a schedule of standardized consequences for recurrent administrative violations, including unjustified border delay, duplicative documentation demands, and abusive verification. The schedule may provide fixed or per-shipment compensation only where the amount is calibrated to typical verified loss and remains subject to a right of prompt review. No fixed amount shall operate as punitive damages.</w:t>
      </w:r>
    </w:p>
    <w:p>
      <w:pPr>
        <w:pStyle w:val="Normal"/>
        <w:spacing w:before="0" w:after="0"/>
        <w:widowControl w:val="1"/>
      </w:pPr>
      <w:r>
        <w:t>5. A Party that brings a complaint concerning labor or environmental enforcement that is finally determined to have lacked a reasonable evidentiary basis may be required to reimburse the responding Party’s reasonable proceeding costs. Repeated abusive invocation is subject to Article 35.19. No monetary assessment under this paragraph may be imposed merely because a good-faith complaint is unsuccessful.</w:t>
      </w:r>
    </w:p>
    <w:p/>
    <w:p>
      <w:pPr>
        <w:pStyle w:val="Normal"/>
        <w:spacing w:before="0" w:after="0"/>
        <w:widowControl w:val="1"/>
      </w:pPr>
      <w:r>
        <w:t>6. Implementation of Automatic Consequences. “Automatic” means that, once the treaty-defined final triggering determination is issued, no new political authorization, discretionary injury finding, or negotiation of remedy is required. The competent authority shall complete the ministerial acts necessary to implement the predetermined consequence within five business days. If it fails to do so, the consequence takes effect by operation of the Party’s implementing law on the sixth business day. No final automatic consequence arises solely from an allegation; provisional protection is available only where expressly authorized by this Chapter and subject to prompt review.</w:t>
      </w:r>
    </w:p>
    <w:p/>
    <w:p>
      <w:pPr>
        <w:spacing w:before="0" w:after="0"/>
        <w:widowControl w:val="1"/>
      </w:pPr>
      <w:r>
        <w:t>7. CROSS-REFERENCE APPLICATION. The cooling-off period referenced in Article 35.6.2 is Article 35.8.2. Repeated abusive invocation in Article 35.25A.5 uses Article 35.19. An above-distortion consequence requires Article 35.12.3's separate legal finding as well as every lower applicable tariff ceiling. Stage 7 uses the reasoned Article 35.13.2 finding, and contested guarantor recusal is decided under Article 35.45.2.</w:t>
      </w:r>
    </w:p>
    <w:p/>
    <w:p>
      <w:pPr>
        <w:pStyle w:val="Heading2"/>
      </w:pPr>
      <w:bookmarkStart w:id="901204" w:name="_Toc300001203"/>
      <w:r>
        <w:t>Article 35.26: Relationship to Other Chapters</w:t>
      </w:r>
      <w:bookmarkEnd w:id="901204"/>
    </w:p>
    <w:p>
      <w:pPr>
        <w:pStyle w:val="Normal"/>
      </w:pPr>
      <w:r>
        <w:t>1. This Chapter applies notwithstanding any other provision of this Agreement to the extent of any inconsistency concerning covered border measures affecting originating goods, except Article 32.2 as replaced by this modernization, with which this Chapter shall be read together.</w:t>
      </w:r>
    </w:p>
    <w:p>
      <w:pPr>
        <w:pStyle w:val="Normal"/>
      </w:pPr>
      <w:r>
        <w:t>2. Chapter 10 (Trade Remedies), as amended by Articles 10.A and 10.B, governs antidumping duties, countervailing duties, and safeguard measures, which are not PTAs and are subject to their own disciplines.</w:t>
      </w:r>
    </w:p>
    <w:p>
      <w:pPr>
        <w:pStyle w:val="Normal"/>
      </w:pPr>
      <w:r>
        <w:t>3. Disputes under this Chapter are subject to Chapter 31, including the Expedited Tariff Panel procedure in Article 31.A. A Verification Team under Article 35.10 determines technical and factual matters within its stated mandate; questions of treaty interpretation, jurisdiction, consistency, and final legal remedy remain for the competent Chapter 31 panel or the Commission as provided by this Agreement. A Verification Team's factual finding is binding in a later Chapter 31 proceeding unless manifestly erroneous, but it does not by itself expand the remedies authorized by this Agreement.</w:t>
      </w:r>
    </w:p>
    <w:p>
      <w:pPr>
        <w:pStyle w:val="Normal"/>
      </w:pPr>
      <w:r>
        <w:t>4. Nothing in this Chapter limits a Party’s rights or obligations under the WTO Agreement with respect to goods of non-Parties.</w:t>
      </w:r>
    </w:p>
    <w:p>
      <w:pPr>
        <w:pStyle w:val="Normal"/>
      </w:pPr>
      <w:r>
        <w:t>5. Multilateral Compatibility. This Chapter does not by itself authorize a measure against a non-Party. Any restriction, additional duty, quota, or discriminatory treatment directed at a non-Party requires an independent legal basis consistent with the applying Party's WTO obligations and other applicable international commitments.</w:t>
      </w:r>
    </w:p>
    <w:p>
      <w:pPr>
        <w:pStyle w:val="Normal"/>
      </w:pPr>
      <w:r>
        <w:t>6. Where two reasonably available remedies would provide substantially equivalent correction of an intra-CUSMA violation, the Party shall prefer the remedy that is more consistent with its WTO obligations and that creates less unnecessary impairment of trade with non-Parties.</w:t>
      </w:r>
    </w:p>
    <w:p>
      <w:pPr>
        <w:pStyle w:val="Normal"/>
      </w:pPr>
      <w:r>
        <w:t>7. The Commission shall conduct a WTO-compatibility review of the PTA methodology, non-market-practice coordination, strategic-sector measures, and any common external action at least once every three years and before adopting a new category of external trade restriction.</w:t>
      </w:r>
    </w:p>
    <w:p>
      <w:pPr>
        <w:pStyle w:val="Normal"/>
      </w:pPr>
      <w:r>
        <w:t>8. Nothing in Chapters 35 or 36 converts a trade deficit, non-Party nationality, or lawful competition from a non-Party into a basis for discriminatory external treatment. Preferential treatment among the Parties remains governed by this Agreement; external restrictions remain governed by the independent international and domestic legal authority under which they are adopted.</w:t>
      </w:r>
    </w:p>
    <w:p>
      <w:pPr>
        <w:spacing w:before="0" w:after="0"/>
        <w:widowControl w:val="1"/>
      </w:pPr>
      <w:r>
        <w:t>9. EXPRESS REMEDY AUTHORITIES AND PRIORITY. Articles 31.E, 32.6(4) and 32.B remain express sources for their respective facility consequence, equivalent cultural response and balance-of-payments measure, supplementing the authorities listed in Articles 35.3, 35.5 and 35.6. Their substantive coverage and exception conditions control whether the particular authority is available, while Chapter 35 controls covered-border-measure procedure, issue nexus, proportionality, cure and restoration unless the express source supplies a more specific procedural rule. A cultural notwithstanding clause does not displace these Chapter 35 controls, and every tariff imposed as a treaty remedy, including a facility preference suspension creating a duty, requires guarantor authorization under Articles 35.38 through 35.40. A balance-of-payments surcharge uses Article 32.B's independently verified limited authority and duration rather than corrective-tariff authority, with the humanitarian firewall and anti-evasion discipline preserved for each route.</w:t>
      </w:r>
    </w:p>
    <w:p/>
    <w:p>
      <w:pPr>
        <w:pStyle w:val="Heading2"/>
      </w:pPr>
      <w:bookmarkStart w:id="901205" w:name="_Toc300001204"/>
      <w:r>
        <w:t>Article 35.27: Legacy Measures Wind-Down</w:t>
      </w:r>
      <w:bookmarkEnd w:id="901205"/>
    </w:p>
    <w:p>
      <w:pPr>
        <w:pStyle w:val="Normal"/>
      </w:pPr>
      <w:r>
        <w:t>1. Each legacy measure shall terminate in accordance with Annex 35-D.</w:t>
      </w:r>
    </w:p>
    <w:p>
      <w:pPr>
        <w:pStyle w:val="Normal"/>
      </w:pPr>
      <w:r>
        <w:t>2. No legacy measure shall be reimposed, renewed, extended, delayed beyond its scheduled termination, or succeeded by a substantially equivalent measure, except in conformity with an independent authority expressly provided by this Agreement and only after satisfaction of every substantive and procedural condition of that authority. Failure or delay in completing the wind-down, persistence of the circumstances originally invoked for the legacy measure, a change in domestic legal authority, or a unilateral assertion that those circumstances remain unresolved does not itself authorize continuation, renewal, extension, or replacement. For the purposes of this Article, a measure adopted after the wind-down that targets substantially the same trade with substantially the same effect as a terminated legacy measure is treated as a reimposition of that measure, whatever its stated justification.</w:t>
      </w:r>
    </w:p>
    <w:p>
      <w:pPr>
        <w:pStyle w:val="Normal"/>
      </w:pPr>
      <w:r>
        <w:t>3. Amounts collected under a legacy measure after the date fixed for its termination in Annex 35-D shall be refunded with interest.</w:t>
      </w:r>
    </w:p>
    <w:p>
      <w:pPr>
        <w:spacing w:before="0" w:after="0"/>
        <w:widowControl w:val="1"/>
      </w:pPr>
      <w:r>
        <w:t>4. LEGACY LANDING AND REFUNDS. Articles 35.27 and 35.27A do not invalidate the single expressly adopted transitional landing authorized and capped by Annex 35-D.1. Amounts collected after its absolute endpoint, above its adopted ceiling, or under an option never validly adopted are unauthorized and shall be refunded within thirty days after identification by the collecting authority or a final review decision. An implementation date recorded in Annex 35-D or an FS-01 entry cannot postpone the controlling entry-into-force termination or Day 90 landing endpoint. A certificate or verification delay neither extends that endpoint nor permits a duty already terminated to return.</w:t>
      </w:r>
    </w:p>
    <w:p/>
    <w:tbl>
      <w:tblPr>
        <w:tblW w:type="auto" w:w="0"/>
        <w:tblBorders>
          <w:top w:val="single" w:sz="10" w:space="0" w:color="546E7A"/>
          <w:left w:val="nil"/>
          <w:bottom w:val="single" w:sz="10" w:space="0" w:color="546E7A"/>
          <w:right w:val="nil"/>
          <w:insideH w:val="single" w:sz="2" w:space="0" w:color="B0BEC5"/>
          <w:insideV w:val="single" w:sz="2" w:space="0" w:color="CFD8DC"/>
        </w:tblBorders>
        <w:tblLayout w:type="fixed"/>
        <w:tblCellMar>
          <w:top w:w="70" w:type="dxa"/>
          <w:left w:w="100" w:type="dxa"/>
          <w:bottom w:w="70" w:type="dxa"/>
          <w:right w:w="100" w:type="dxa"/>
        </w:tblCellMar>
        <w:tblLook w:firstColumn="1" w:firstRow="1" w:lastColumn="0" w:lastRow="0" w:noHBand="0" w:noVBand="1" w:val="04A0"/>
      </w:tblPr>
      <w:tblGrid>
        <w:gridCol w:w="9360"/>
      </w:tblGrid>
      <w:tr>
        <w:tc>
          <w:tcPr>
            <w:tcW w:type="dxa" w:w="9360"/>
            <w:shd w:fill="FFF2F2" w:val="clear"/>
            <w:tcMar>
              <w:top w:w="120" w:type="dxa"/>
              <w:left w:w="160" w:type="dxa"/>
              <w:bottom w:w="120" w:type="dxa"/>
              <w:right w:w="160" w:type="dxa"/>
            </w:tcMar>
            <w:vAlign w:val="center"/>
          </w:tcPr>
          <w:p>
            <w:pPr>
              <w:pStyle w:val="TableText"/>
              <w:jc w:val="center"/>
            </w:pPr>
            <w:bookmarkStart w:id="1200000" w:name="_TocR22_35_27A"/>
            <w:r>
              <w:rPr>
                <w:b/>
                <w:color w:val="C00000"/>
              </w:rPr>
              <w:t>▼  ▼  ▼   ARTICLE 35.27A: SIMULTANEOUS TARIFF TERMINATION AND BASELINE RESTORATION   ▼  ▼  ▼</w:t>
            </w:r>
            <w:bookmarkEnd w:id="1200000"/>
          </w:p>
          <w:p>
            <w:pPr>
              <w:pStyle w:val="TableText"/>
            </w:pPr>
            <w:r>
              <w:rPr>
                <w:b/>
                <w:color w:val="C00000"/>
              </w:rPr>
              <w:t>1. On Protocol entry into force, or only within an expressly adopted Annex 35-D.1 transition ending no later than Day 90, each Party shall simultaneously withdraw and terminate every legacy extraordinary tariff, sectoral tariff, retaliatory tariff, countermeasure, surcharge, import fee, or functionally equivalent covered border measure identified for termination in that Annex. The corresponding measures of the Parties shall cease to have effect at the same legally defined time, and delayed termination by another Party does not postpone a binding termination endpoint. Each Party shall complete and deposit in advance every domestic instrument necessary to give legal effect to the synchronized termination, and the Secretariat shall record confirmation of readiness without conditioning one Party's performance on prior unilateral disarmament by another. Upon activation, originating goods return immediately to the tariff treatment otherwise established by this Agreement and the applicable tariff schedules.</w:t>
            </w:r>
          </w:p>
          <w:p>
            <w:pPr>
              <w:pStyle w:val="TableText"/>
            </w:pPr>
            <w:r>
              <w:rPr>
                <w:b/>
                <w:color w:val="C00000"/>
              </w:rPr>
              <w:t>2. A measure terminated under this Article is extinguished for purposes of this Agreement and does not remain suspended, dormant, contingent, preserved, grandfathered, or available for later reactivation. Neither this Article, Annex 35-D, a subsequent breach or dispute, a verification finding, a Cothrom determination, a pause or step-back of an enhanced benefit, nor any other action under this Agreement provides authority to revive, reinstate, renew, extend, reimpose, or substantially reproduce a terminated measure. Identification of a measure in Annex 35-D is solely for the purpose of withdrawal, termination, administration of any required refund, and confirmation of baseline restoration, and does not recognize or validate any continuing right to maintain or reimpose that measure. For greater certainty, Articles 35.3D and 35.3B concerning binding suspensions do not convert a measure terminated under this Article into a suspension and do not provide a route for its restoration.</w:t>
            </w:r>
          </w:p>
          <w:p>
            <w:pPr>
              <w:pStyle w:val="TableText"/>
            </w:pPr>
            <w:r>
              <w:rPr>
                <w:b/>
                <w:color w:val="C00000"/>
              </w:rPr>
              <w:t>3. Any trade measure adopted after the synchronized termination must possess an independent authority expressly provided by this Agreement and must independently satisfy every applicable substantive, evidentiary, verification, consultation, proportionality, necessity, authorization, transparency, review, sunset, and renewal requirement. A Party shall not rely on the circumstances originally invoked for a terminated legacy measure, the persistence or recurrence of those circumstances, a change in domestic legal authority, or the existence of a new dispute as sufficient authority to restore or substantially reproduce the terminated measure. A later measure targeting substantially the same originating trade with substantially the same economic effect is treated as a prohibited reimposition unless the Party establishes both a genuinely independent treaty authority and full compliance with every condition attached to that authority. The burden of establishing those elements rests on the Party seeking to apply the later measure.</w:t>
            </w:r>
          </w:p>
          <w:p>
            <w:pPr>
              <w:pStyle w:val="TableText"/>
            </w:pPr>
            <w:r>
              <w:rPr>
                <w:b/>
                <w:color w:val="C00000"/>
              </w:rPr>
              <w:t>4. Nothing in this Article expands, modifies, derogates from, or creates an exception to the tariff restrictions, zero-duty guarantee, tariff quarantine, narrowest-sufficient-remedy rule, Corrective Tariff Budget, No-Fade Guarantee, anti-coercion rules, or other protections established by this Chapter. References elsewhere in this Agreement to restoration or automatic restoration mean restoration of ordinary treaty treatment, preferences, rights, or paused benefits after cure and do not mean restoration of a terminated punitive, retaliatory, sectoral, emergency, reciprocal, or extraordinary tariff. Future noncompliance shall be addressed through the verification, cure, proportional step-back, earn-back, dispute-settlement, and other non-tariff mechanisms of this Agreement except where a corrective tariff is independently and expressly authorized under Articles 35.38 through 35.40. This Article therefore operates as a one-way transition from the identified legacy tariff cycle to the Agreement's normal tariff baseline and does not create a new entrance into that cycle. The sole immediate-termination exception is the expressly adopted Annex 35-D.1 transitional authority within its rates and unconditional ninety-day endpoint, and this saving does not authorize later revival.</w:t>
            </w:r>
          </w:p>
          <w:p>
            <w:pPr>
              <w:pStyle w:val="TableText"/>
              <w:jc w:val="center"/>
            </w:pPr>
            <w:r>
              <w:rPr>
                <w:b/>
                <w:color w:val="C00000"/>
              </w:rPr>
              <w:t>▲  ▲  ▲   ONE-WAY TERMINATION: NO REVIVAL, NO DORMANT TARIFF AUTHORITY, NO BACK DOOR   ▲  ▲  ▲</w:t>
            </w:r>
          </w:p>
        </w:tc>
      </w:tr>
    </w:tbl>
    <w:p>
      <w:pPr>
        <w:pStyle w:val="Heading2"/>
      </w:pPr>
      <w:bookmarkStart w:id="901206" w:name="_Toc300001205"/>
      <w:r>
        <w:t>Article 35.28: Treaty Integrity Functions and Commission Oversight</w:t>
      </w:r>
      <w:bookmarkEnd w:id="901206"/>
    </w:p>
    <w:p>
      <w:pPr>
        <w:pStyle w:val="Normal"/>
      </w:pPr>
      <w:r>
        <w:t>1. The treaty-integrity functions in this Chapter shall be performed within the Secretariat established by Article 30.6 and may be described administratively as the Treaty Integrity function. No separate legal person, separately staffed secretariat, or autonomous agency is created. The function administers the North American Trade Measures Registry, the Shared Trade Data Registry, any escrow or compensation mechanism activated under this Agreement, administrative support for Verification Teams, and the disclosure register required by Article 35.10.</w:t>
      </w:r>
    </w:p>
    <w:p>
      <w:pPr>
        <w:pStyle w:val="Normal"/>
        <w:spacing w:before="0" w:after="0"/>
        <w:widowControl w:val="1"/>
      </w:pPr>
      <w:r>
        <w:t>2. The Commission oversees the operation of this Chapter. For that purpose it may convene the Parties' designated senior trade officials in a treaty-integrity session to: (a) review operation of the Chapter and the Secretariat's treaty-integrity functions; (b) receive one consolidated annual implementation report; (c) recommend technical updates to Annexes 35-A through 35-K for adoption through the applicable amendment or technical procedure; and (d) receive stakeholder submissions. Such a session is an exercise of the Commission's existing authority and does not create a separate permanent committee.</w:t>
      </w:r>
    </w:p>
    <w:p/>
    <w:p>
      <w:pPr>
        <w:pStyle w:val="Normal"/>
      </w:pPr>
      <w:r>
        <w:t>3. The Commission shall conduct the review in paragraph 2 at least annually and may convene an additional treaty-integrity session at the request of any Party where a material implementation issue requires it.</w:t>
      </w:r>
    </w:p>
    <w:p>
      <w:pPr>
        <w:pStyle w:val="Normal"/>
      </w:pPr>
      <w:r>
        <w:t>4. Decisions under this Article are taken by consensus and do not amend this Agreement except through an amendment or technical-adoption procedure expressly authorized elsewhere.</w:t>
      </w:r>
    </w:p>
    <w:p>
      <w:pPr>
        <w:pStyle w:val="Heading2"/>
      </w:pPr>
      <w:bookmarkStart w:id="901207" w:name="_Toc300001206"/>
      <w:r>
        <w:t>Article 35.29: No-Fade Guarantee</w:t>
      </w:r>
      <w:bookmarkEnd w:id="901207"/>
    </w:p>
    <w:p>
      <w:pPr>
        <w:pStyle w:val="Normal"/>
      </w:pPr>
      <w:r>
        <w:t>1. No right, preference, guarantee, protection, status, or entitlement established by this Agreement (including the tariff treatment of Annex 2-B, the guarantee of Article 35.3, trusted-trader and TNAO status, and the procedural rights of this Chapter) lapses, expires, sunsets, or diminishes by the mere passage of time.</w:t>
      </w:r>
    </w:p>
    <w:p>
      <w:pPr>
        <w:pStyle w:val="Normal"/>
      </w:pPr>
      <w:r>
        <w:t>2. Time-limited operation attaches under this Agreement only to restrictive extraordinary measures (PTAs, emergency provisional measures, countermeasures, safeguards, and essential-security measures affecting trade) as an anti-weaponization discipline, and to transitional periods.</w:t>
      </w:r>
    </w:p>
    <w:p>
      <w:pPr>
        <w:pStyle w:val="Normal"/>
      </w:pPr>
      <w:r>
        <w:t>3. Where any provision of this Agreement fixes a review, the consequence of the review is continuation unless the Parties expressly decide otherwise; no protection terminates by default.</w:t>
      </w:r>
    </w:p>
    <w:p>
      <w:pPr>
        <w:pStyle w:val="Normal"/>
      </w:pPr>
      <w:r>
        <w:t>4. The No-Fade Guarantee applies to tariff rate schedules and trade concessions. Chapter 23-B enforcement shall ordinarily proceed through make-whole payments, Fund-directed assessments, corrective orders, and other financial remedies. A narrowly related suspension of treaty benefits authorized after exhaustion of those remedies under Article 23-B.11 and Chapter 31 is an enforcement measure rather than a lapse of the underlying commitment, and the suspended benefit shall be restored automatically upon verified cure.</w:t>
      </w:r>
    </w:p>
    <w:p>
      <w:pPr>
        <w:pStyle w:val="Heading2"/>
      </w:pPr>
      <w:bookmarkStart w:id="901250" w:name="_Toc300001249"/>
      <w:r>
        <w:t>Article 35.29A: Review Is Modernization, Not Renewal</w:t>
      </w:r>
      <w:bookmarkEnd w:id="901250"/>
    </w:p>
    <w:p>
      <w:pPr>
        <w:pStyle w:val="Normal"/>
      </w:pPr>
      <w:r>
        <w:t>1. A scheduled review under this Agreement is a modernization and performance-review event, not a renewal, reauthorization, or reconsideration of the Agreement's continued legal force. Rights and obligations do not lapse, fade, suspend, or become contingent merely because a review date arrives or a review remains incomplete.</w:t>
      </w:r>
    </w:p>
    <w:p>
      <w:pPr>
        <w:pStyle w:val="Normal"/>
      </w:pPr>
      <w:r>
        <w:t>2. Any withdrawal from the Agreement remains governed by the applicable final provisions. Any suspension, restriction, or adjustment of benefits short of lawful withdrawal must comply with the provisions governing that action, including Chapter 35 where applicable.</w:t>
      </w:r>
    </w:p>
    <w:p>
      <w:pPr>
        <w:pStyle w:val="Heading2"/>
      </w:pPr>
      <w:bookmarkStart w:id="901208" w:name="_Toc300001207"/>
      <w:r>
        <w:t>Article 35.30: Continuity, Anti-Circumvention, and No Hostage Principle</w:t>
      </w:r>
      <w:bookmarkEnd w:id="901208"/>
    </w:p>
    <w:p>
      <w:pPr>
        <w:pStyle w:val="Normal"/>
      </w:pPr>
      <w:r>
        <w:t>1. A Party shall not condition the continued enjoyment of an existing right, preference, recognition, approval, status, or protection under this Agreement on the granting of a new or unrelated concession, except through an amendment or procedure expressly authorized by this Agreement.</w:t>
      </w:r>
    </w:p>
    <w:p>
      <w:pPr>
        <w:pStyle w:val="Normal"/>
      </w:pPr>
      <w:r>
        <w:t>2. A Party may not avoid an obligation of this Agreement merely by changing the domestic statutory authority, administrative form, legal label, agency, or stated rationale used to produce substantially the same trade-restrictive effect. Panels shall examine substance and effect while respecting the review boundaries applicable to genuine essential-security judgments.</w:t>
      </w:r>
    </w:p>
    <w:p>
      <w:pPr>
        <w:pStyle w:val="Normal"/>
      </w:pPr>
      <w:r>
        <w:t>3. Where a measure has been found inconsistent with this Agreement, a successor measure that is substantially equivalent in coverage, purpose, and trade effect is subject to expedited compliance review under Chapter 31 rather than requiring a new proceeding from the beginning.</w:t>
      </w:r>
    </w:p>
    <w:p>
      <w:pPr>
        <w:pStyle w:val="Heading2"/>
      </w:pPr>
      <w:bookmarkStart w:id="901251" w:name="_Toc300001250"/>
      <w:r>
        <w:t>Article 35.30A: Good Faith and Non-Weaponization of Covered Border Measures</w:t>
      </w:r>
      <w:bookmarkEnd w:id="901251"/>
    </w:p>
    <w:p>
      <w:pPr>
        <w:pStyle w:val="Normal"/>
      </w:pPr>
      <w:r>
        <w:t>1. The Parties shall not use the imposition, restoration, or suspension of covered border measures as leverage to obtain unrelated concessions outside the procedures and subject matter permitted by this Agreement.</w:t>
      </w:r>
    </w:p>
    <w:p>
      <w:pPr>
        <w:pStyle w:val="Normal"/>
      </w:pPr>
      <w:r>
        <w:t>2. A formal governmental announcement that specifies a concrete future covered border measure, a defined effective date or triggering condition, and produces demonstrable material commercial effects may be raised in consultations before the measure takes effect. Political rhetoric or generalized negotiating statements alone do not constitute a covered border measure.</w:t>
      </w:r>
    </w:p>
    <w:p>
      <w:pPr>
        <w:pStyle w:val="Normal"/>
      </w:pPr>
      <w:r>
        <w:t>3. Where a Party announces a concrete covered border measure without initiating a treaty procedure required for that action, another Party may request immediate consultations under Chapter 31 and expedited review where the announced measure is imminent.</w:t>
      </w:r>
    </w:p>
    <w:p>
      <w:pPr>
        <w:pStyle w:val="Heading2"/>
      </w:pPr>
      <w:bookmarkStart w:id="901252" w:name="_Toc300001251"/>
      <w:r>
        <w:t>Article 35.30B: North American Trilateral Anti-Fragmentation Protocol</w:t>
      </w:r>
      <w:bookmarkEnd w:id="901252"/>
    </w:p>
    <w:p>
      <w:pPr>
        <w:pStyle w:val="Normal"/>
      </w:pPr>
      <w:r>
        <w:t>1. Purpose and freedom to cooperate. The Parties remain free to conclude bilateral, sub-federal, sectoral, plurilateral, or other cooperative arrangements, including arrangements that deepen integration between fewer than all three Parties. No such arrangement requires the consent of a non-participating Party merely because that Party does not participate.</w:t>
      </w:r>
    </w:p>
    <w:p>
      <w:pPr>
        <w:pStyle w:val="Normal"/>
      </w:pPr>
      <w:r>
        <w:t>2. Non-impairment rule. A bilateral or limited-participation arrangement relating to a matter covered by this Agreement shall not, directly or indirectly: (a) diminish an existing right, preference, entitlement, quota opportunity, recognition, safe harbor, or procedural protection of the non-participating Party; (b) divert or reserve capacity, quota, preferential access, strategic supply, infrastructure access, or administrative priority previously available on a trilateral basis in a manner that materially disadvantages the non-participating Party; (c) create Party-specific content, sourcing, verification, or eligibility conditions that circumvent the North American origin and non-discrimination disciplines of this Agreement; (d) impair the operation of a trilateral continuity, emergency, critical-minerals, energy, customs, labour, digital, agricultural, automotive, or other shared mechanism; or (e) be used as leverage to induce the non-participating Party to surrender an unrelated right under this Agreement.</w:t>
      </w:r>
    </w:p>
    <w:p>
      <w:pPr>
        <w:pStyle w:val="Normal"/>
      </w:pPr>
      <w:r>
        <w:t>3. Trilateral Impairment Test. Before a material bilateral or limited-participation arrangement covered by paragraph 2 takes effect, the participating Parties shall assess whether the arrangement is reasonably expected to cause material impairment under paragraph 2. The assessment shall consider legal rights, commercially meaningful market access, quota and capacity effects, supply-chain diversion, administrative treatment, rules-of-origin effects, and reasonably foreseeable effects on integrated North American production.</w:t>
      </w:r>
    </w:p>
    <w:p>
      <w:pPr>
        <w:pStyle w:val="Normal"/>
      </w:pPr>
      <w:r>
        <w:t>4. Notice. Where the Trilateral Impairment Test identifies a plausible material effect on the non-participating Party, the participating Parties shall provide timely notice through the North American Trade Measures Registry, including a concise description of the arrangement, the sectors affected, the expected duration, and the basis for concluding that the arrangement is consistent with this Article. Confidential business information shall be protected.</w:t>
      </w:r>
    </w:p>
    <w:p>
      <w:pPr>
        <w:pStyle w:val="Normal"/>
      </w:pPr>
      <w:r>
        <w:t>5. No third-Party veto. Notice or consultation under this Article does not give the non-participating Party a veto over a bilateral or limited-participation arrangement. The sole question is whether the arrangement materially impairs rights or interests protected by paragraph 2.</w:t>
      </w:r>
    </w:p>
    <w:p>
      <w:pPr>
        <w:pStyle w:val="Normal"/>
      </w:pPr>
      <w:r>
        <w:t>6. Consultation and cure. If the non-participating Party identifies a plausible material impairment, the Parties shall consult promptly. Where impairment is established, the participating Parties shall cure it through the narrowest sufficient means, which may include: (a) extending equivalent treatment to the third Party where appropriate; (b) preserving or restoring the third Party's pre-existing access, quota, capacity, or procedural treatment; (c) modifying the arrangement to remove the discriminatory or diversionary effect; (d) providing an equivalent accommodation agreed with the affected Party; or (e) converting the relevant element into a trilateral pilot or arrangement.</w:t>
      </w:r>
    </w:p>
    <w:p>
      <w:pPr>
        <w:pStyle w:val="Normal"/>
      </w:pPr>
      <w:r>
        <w:t>7. Anti-peel-off safeguard. No Party shall condition a bilateral exemption from an extraordinary tariff, covered border measure, export restriction, quota restriction, or other exceptional trade measure on that Party's agreement to support, tolerate, or participate in materially less favorable treatment of the third Party. An arrangement inconsistent with this paragraph is subject to expedited review under this Chapter.</w:t>
      </w:r>
    </w:p>
    <w:p>
      <w:pPr>
        <w:pStyle w:val="Normal"/>
      </w:pPr>
      <w:r>
        <w:t>8. Integrated supply commitments. Where a bilateral arrangement concerns a strategic material, critical mineral, energy product, agricultural input, automotive input, digital or physical infrastructure capacity, or other supply commitment designated as North American under this Agreement, the arrangement shall preserve applicable domestic-needs floors, continuity obligations, emergency-allocation rules, anti-hoarding disciplines, and non-preferential-starvation protections.</w:t>
      </w:r>
    </w:p>
    <w:p>
      <w:pPr>
        <w:pStyle w:val="Normal"/>
      </w:pPr>
      <w:r>
        <w:t>9. Emergency and temporary arrangements. A Party may adopt a temporary bilateral arrangement without prior consultation where necessary to address an emergency within the meaning of Article 35.21. The participating Parties shall notify the third Party as soon as practicable, explain the emergency basis, and review the arrangement for consistency with this Article once the immediate emergency has passed.</w:t>
      </w:r>
    </w:p>
    <w:p>
      <w:pPr>
        <w:pStyle w:val="Normal"/>
      </w:pPr>
      <w:r>
        <w:t>10. Cothrom review. A dispute under this Article shall proceed through the Cothrom verification and proportionality architecture of this Chapter. Review shall focus on actual or reasonably foreseeable material impairment, not the mere existence of bilateral cooperation. Any remedy shall be confined to curing the verified impairment and shall not authorize unrelated cross-module retaliation.</w:t>
      </w:r>
    </w:p>
    <w:p>
      <w:pPr>
        <w:pStyle w:val="Normal"/>
      </w:pPr>
      <w:r>
        <w:t>11. Presumption for additive cooperation. A bilateral or limited-participation arrangement is presumed consistent with this Article where it creates new capacity, new investment, new infrastructure, new market access, or new regulatory cooperation without reducing or burdening the pre-existing rights or commercially meaningful opportunities of the non-participating Party.</w:t>
      </w:r>
    </w:p>
    <w:p>
      <w:pPr>
        <w:pStyle w:val="Normal"/>
      </w:pPr>
      <w:r>
        <w:t>12. Relationship to more specific rules. Where another provision of this Agreement establishes a more specific anti-fragmentation, non-discrimination, quota-allocation, origin, continuity, or trilateral-consultation rule, that provision and this Article shall be interpreted cumulatively to provide the more effective protection against circumvention while preserving legitimate bilateral cooperation.</w:t>
      </w:r>
    </w:p>
    <w:p>
      <w:pPr>
        <w:pStyle w:val="Heading2"/>
      </w:pPr>
      <w:bookmarkStart w:id="901209" w:name="_Toc300001208"/>
      <w:r>
        <w:t>Article 35.31: Narrowest-Sufficient-Remedy and Cure Ladder</w:t>
      </w:r>
      <w:bookmarkEnd w:id="901209"/>
    </w:p>
    <w:p>
      <w:pPr>
        <w:pStyle w:val="Normal"/>
        <w:spacing w:before="0" w:after="0"/>
        <w:widowControl w:val="1"/>
      </w:pPr>
      <w:r>
        <w:t>1. Enforcement under this Agreement shall seek correction before punishment. Except where urgent action is necessary to prevent serious and irreparable harm, the sequence is: notice; consultation; reasonable cure opportunity; technical or mediated resolution where suitable; legal determination under Article 35.26.3; compliance period; targeted administrative or financial remedy; suspension of narrowly related benefits; and broader countermeasures only where narrower measures are demonstrably ineffective.</w:t>
      </w:r>
    </w:p>
    <w:p/>
    <w:p>
      <w:pPr>
        <w:pStyle w:val="Normal"/>
      </w:pPr>
      <w:r>
        <w:t>2. A remedy shall be no broader than reasonably necessary to correct the verified inconsistency and shall, where practicable, remain connected to the affected measure, entity, transaction, or sector. Cross-sector suspension is a last resort and requires a reasoned finding that narrower remedies are impracticable or ineffective.</w:t>
      </w:r>
    </w:p>
    <w:p>
      <w:pPr>
        <w:pStyle w:val="Normal"/>
      </w:pPr>
      <w:r>
        <w:t>3. Every temporary countermeasure, emergency restriction, safeguard, or extraordinary trade restriction terminates automatically upon verified compliance or expiry of its expressly stated maximum duration. Ordinary treaty rights and preferences do not sunset.</w:t>
      </w:r>
    </w:p>
    <w:p>
      <w:pPr>
        <w:pStyle w:val="Heading2"/>
      </w:pPr>
      <w:bookmarkStart w:id="901210" w:name="_Toc300001209"/>
      <w:r>
        <w:t>Article 35.32: Extraordinary-Measure Transparency and Escrow</w:t>
      </w:r>
      <w:bookmarkEnd w:id="901210"/>
    </w:p>
    <w:p>
      <w:pPr>
        <w:pStyle w:val="Normal"/>
      </w:pPr>
      <w:r>
        <w:t>1. A Party adopting an extraordinary tariff, quota, safeguard, emergency restriction, or comparable measure affecting originating trade shall promptly publish the legal authority, goods or services affected, stated objective, factual basis to the extent non-confidential, effective date, expected duration, review date, and available challenge procedures.</w:t>
      </w:r>
    </w:p>
    <w:p>
      <w:pPr>
        <w:pStyle w:val="Normal"/>
      </w:pPr>
      <w:r>
        <w:t>2. Where a disputed extraordinary duty remains in force during expedited proceedings, the panel may order revenue attributable to the disputed increment to be held in a segregated escrow mechanism where administratively practicable. If the measure is found inconsistent, the amount is refunded with appropriate interest to the persons that bore the charge where reasonably identifiable; if the measure is upheld, the amount is released according to domestic law.</w:t>
      </w:r>
    </w:p>
    <w:p>
      <w:pPr>
        <w:pStyle w:val="Normal"/>
      </w:pPr>
      <w:r>
        <w:t>3. Failure to provide a required disclosure does not by itself create a broad right of retaliation. After notice and a reasonable cure period, a panel may draw an adverse inference concerning information uniquely within the non-disclosing Party’s control or suspend only the specific unverified treaty benefit to which the missing information is material.</w:t>
      </w:r>
    </w:p>
    <w:p>
      <w:pPr>
        <w:spacing w:before="0" w:after="0"/>
        <w:widowControl w:val="1"/>
      </w:pPr>
      <w:r>
        <w:t>4. CURE LADDER AND ESCROW COHERENCE. Articles 35.31 and 35.32 supplement rather than replace the operative allocation in Articles 35.14, 35.16 and 35.26.3. Technical verification alone supports only expressly authorized provisional factual steps, while legal classification and a final remedy require the panel or Commission authorization prescribed in Article 35.26.3 and a tariff additionally requires Articles 35.38 through 35.40. Where Article 35.14 requires escrow, the collecting authority shall accept the importer's lawful deposit or equivalent security and suspend cash collection, with the Secretariat administering the record and release under the final determination. Administrative practicability or domestic release mechanics cannot convert mandatory treaty security into discretionary cash collection or divert a refundable deposit to the collecting Party before the controlling final outcome.</w:t>
      </w:r>
    </w:p>
    <w:p/>
    <w:p>
      <w:pPr>
        <w:pStyle w:val="Heading2"/>
      </w:pPr>
      <w:bookmarkStart w:id="901253" w:name="_Toc300001252"/>
      <w:r>
        <w:t>Article 35.33: Permanent Continental Zero-Tariff Presumption</w:t>
      </w:r>
      <w:bookmarkEnd w:id="901253"/>
    </w:p>
    <w:p>
      <w:pPr>
        <w:pStyle w:val="Normal"/>
      </w:pPr>
      <w:r>
        <w:t>1. Originating goods of a Party receive the preferential zero-duty treatment scheduled under this Agreement unless an expressly enumerated provision authorizes a temporary corrective measure after satisfaction of the applicable verification and procedural requirements.</w:t>
      </w:r>
    </w:p>
    <w:p>
      <w:pPr>
        <w:pStyle w:val="Normal"/>
      </w:pPr>
      <w:r>
        <w:t>2. Ordinary customs duties, emergency tariffs, reciprocal tariffs, sectoral tariffs, trade-balancing tariffs, punitive surcharges, and functionally equivalent border charges do not apply to originating goods solely for revenue generation, political retaliation, negotiating leverage, generalized industrial policy, migration disputes, narcotics disputes, or bilateral trade-balance objectives.</w:t>
      </w:r>
    </w:p>
    <w:p>
      <w:pPr>
        <w:pStyle w:val="Normal"/>
      </w:pPr>
      <w:r>
        <w:t>3. Any ambiguity concerning whether an originating good remains subject to an ordinary customs duty is resolved in favor of the scheduled preferential rate unless the Party invoking an exception establishes the legal and factual basis for that exception.</w:t>
      </w:r>
    </w:p>
    <w:p>
      <w:pPr>
        <w:pStyle w:val="Normal"/>
      </w:pPr>
      <w:r>
        <w:t>4. Nothing in this Article changes ordinary most-favored-nation treatment for non-originating goods or prevents application of a corrective measure expressly authorized by this Agreement.</w:t>
      </w:r>
    </w:p>
    <w:p>
      <w:pPr>
        <w:pStyle w:val="Heading2"/>
      </w:pPr>
      <w:bookmarkStart w:id="901254" w:name="_Toc300001253"/>
      <w:r>
        <w:t>Article 35.34: Corrective Tariff Budget and Six-Month Lockout</w:t>
      </w:r>
      <w:bookmarkEnd w:id="901254"/>
    </w:p>
    <w:p>
      <w:pPr>
        <w:pStyle w:val="Normal"/>
      </w:pPr>
      <w:r>
        <w:t>1. A corrective tariff may be authorized only under Articles 35.38 through 35.40 and, if authorized, consumes the finite Corrective Tariff Budget in this Article. Unused budget does not create an entitlement to impose a measure and does not carry forward into a later period.</w:t>
      </w:r>
    </w:p>
    <w:p>
      <w:pPr>
        <w:pStyle w:val="Normal"/>
      </w:pPr>
      <w:r>
        <w:t>2. During any rolling 12-month period, the cumulative tariff-equivalent burden imposed by a Party on originating goods of another Party under corrective tariff authority does not exceed the lesser of: (a) 0.25 percent of the value of originating goods imported from the affected Party during the preceding 12 months; or (b) the aggregate verified injury or distortion amount that the applicable Panel authorizes for tariff-based correction during that period.</w:t>
      </w:r>
    </w:p>
    <w:p>
      <w:pPr>
        <w:pStyle w:val="Normal"/>
      </w:pPr>
      <w:r>
        <w:t>3. Tariff-equivalent burden means the duties collected, secured, or placed in escrow as a direct consequence of covered corrective tariffs, net of refunded amounts. The Secretariat maintains the running calculation using customs data already reported under this Agreement.</w:t>
      </w:r>
    </w:p>
    <w:p>
      <w:pPr>
        <w:pStyle w:val="Normal"/>
      </w:pPr>
      <w:r>
        <w:t>4. At 75 percent utilization of the applicable budget, automatic senior technical consultation begins within 10 days to identify non-tariff corrective alternatives and prevent unnecessary exhaustion of the tariff channel.</w:t>
      </w:r>
    </w:p>
    <w:p>
      <w:pPr>
        <w:pStyle w:val="Normal"/>
      </w:pPr>
      <w:r>
        <w:t>5. Upon reaching 100 percent utilization, a six-month Corrective Tariff Lockout activates automatically with respect to originating goods of the affected Party. During the Lockout, the imposing Party does not introduce a new corrective tariff, increase an existing corrective tariff, expand an existing tariff to additional originating goods, or substitute a functionally equivalent border charge.</w:t>
      </w:r>
    </w:p>
    <w:p>
      <w:pPr>
        <w:pStyle w:val="Normal"/>
      </w:pPr>
      <w:r>
        <w:t>6. The Lockout does not suspend verification, cure requirements, escrow, targeted administrative measures, compensation, procurement adjustments expressly permitted by this Agreement, or other non-tariff remedies that satisfy Articles 35.13 and 35.15.</w:t>
      </w:r>
    </w:p>
    <w:p>
      <w:pPr>
        <w:pStyle w:val="Normal"/>
      </w:pPr>
      <w:r>
        <w:t>7. No Party banks unused Corrective Tariff Budget, borrows from a future period, splits a measure into multiple instruments to avoid the ceiling, or routes a tariff through another legal authority to evade this Article.</w:t>
      </w:r>
    </w:p>
    <w:p>
      <w:pPr>
        <w:pStyle w:val="Normal"/>
        <w:spacing w:before="0" w:after="0"/>
        <w:widowControl w:val="1"/>
      </w:pPr>
      <w:r>
        <w:t>8. LOCKOUT EMERGENCY PETITION. Solely for a demonstrated imminent threat to life, public safety or essential security not reasonably addressable by non-tariff means, an already constituted five-member guarantor panel may authorize a Chapter 35 corrective tariff during Lockout under Articles 35.38 through 35.40. The panel decides within seventy-two hours after Secretariat receipt of the complete emergency petition and record, and failure to constitute or decide by that endpoint is denial. This is an express exception to paragraph 5's Lockout prohibition and paragraph 7's future-period borrowing prohibition only for that authorization, whose secured and collected burden is recorded immediately and charged to the next rolling-period available budget before any other corrective authorization. Humanitarian targets remain excluded, ordinary security measures retain their independent Article 32.2 as replaced track, and the exception never increases the aggregate rate or duration ceiling.</w:t>
      </w:r>
    </w:p>
    <w:p/>
    <w:p>
      <w:pPr>
        <w:pStyle w:val="Heading2"/>
      </w:pPr>
      <w:bookmarkStart w:id="901255" w:name="_Toc300001254"/>
      <w:r>
        <w:t>Article 35.35: Humanitarian Tariff Firewall</w:t>
      </w:r>
      <w:bookmarkEnd w:id="901255"/>
    </w:p>
    <w:p>
      <w:pPr>
        <w:pStyle w:val="Normal"/>
      </w:pPr>
      <w:r>
        <w:t>1. Qualifying Humanitarian Life-Saving Goods are outside the corrective tariff target set. No Party imposes, maintains, reactivates, increases, or substitutes a customs duty, emergency tariff, retaliatory tariff, corrective tariff, tariff-rate quota charge, punitive surcharge, or functionally equivalent border charge on a Qualifying Humanitarian Life-Saving Good originating in another Party.</w:t>
      </w:r>
    </w:p>
    <w:p>
      <w:pPr>
        <w:pStyle w:val="Normal"/>
      </w:pPr>
      <w:r>
        <w:t>2. A Qualifying Humanitarian Life-Saving Good is a good certified and documented for a principally and directly life-preserving humanitarian use under Annex 38-B, including essential medicines and antidotes; blood, plasma, human organs and transplant materials; emergency medical devices and supplies; emergency water, purification and sanitation supplies; disaster-response food and nutrition supplies; emergency shelter and thermal-protection supplies; rescue and evacuation equipment; and firefighting or disaster-response goods where the shipment is certified for immediate emergency deployment.</w:t>
      </w:r>
    </w:p>
    <w:p>
      <w:pPr>
        <w:pStyle w:val="Normal"/>
      </w:pPr>
      <w:r>
        <w:t>3. The Firewall does not exempt fraud, diversion, false certification, prohibited trafficking, or misuse. Where withholding a shipment would foreseeably create a material risk to life or emergency response, authorities favor release under bond, escrow, supervised delivery, post-entry verification, or another secure mechanism and pursue the responsible actor separately.</w:t>
      </w:r>
    </w:p>
    <w:p>
      <w:pPr>
        <w:pStyle w:val="Normal"/>
      </w:pPr>
      <w:r>
        <w:t>4. A Party does not threaten to tax, delay, restrict, or condition a protected humanitarian shipment to obtain a concession in an unrelated dispute. This No Humanitarian Leverage rule applies independently of the Corrective Tariff Budget.</w:t>
      </w:r>
    </w:p>
    <w:p>
      <w:pPr>
        <w:pStyle w:val="Normal"/>
      </w:pPr>
      <w:r>
        <w:t>5. The Parties administer this Article through existing customs, emergency-trade, and Secretariat functions. This Article creates no new permanent body.</w:t>
      </w:r>
    </w:p>
    <w:p>
      <w:pPr>
        <w:pStyle w:val="Heading2"/>
      </w:pPr>
      <w:bookmarkStart w:id="901214" w:name="_Toc300001213"/>
      <w:r>
        <w:t>Article 35.36: No Uncompensated Front-Loading and Synchronized Exchange</w:t>
      </w:r>
      <w:bookmarkEnd w:id="901214"/>
    </w:p>
    <w:p>
      <w:pPr>
        <w:pStyle w:val="Normal"/>
      </w:pPr>
      <w:r>
        <w:t>1. Where an adopted schedule, settlement, side instrument, or implementation package expressly identifies two or more obligations or benefits as reciprocal consideration for one another, the paired obligations shall, to the maximum extent practicable, take effect concurrently or upon objectively matched milestones. No Party shall be required to deliver a material paired concession substantially in advance of the corresponding benefit unless it expressly accepts the sequencing in the applicable instrument.</w:t>
      </w:r>
    </w:p>
    <w:p>
      <w:pPr>
        <w:pStyle w:val="Normal"/>
      </w:pPr>
      <w:r>
        <w:t>2. A paired instrument shall identify, where practicable: (a) the obligations or benefits treated as linked; (b) the activation milestone for each; (c) any permitted implementation interval; (d) the evidence sufficient to establish performance; and (e) the proportionate consequence of verified non-performance. Silence shall not be interpreted to create an unlimited obligation to perform first.</w:t>
      </w:r>
    </w:p>
    <w:p>
      <w:pPr>
        <w:pStyle w:val="Normal"/>
      </w:pPr>
      <w:r>
        <w:t>3. Ordinary administrative delay, customs-system failure, permitting delay, force majeure, judicial review, labor disruption, safety requirement, or other circumstance outside a Party’s reasonable control shall not be treated as deliberate non-performance. The reviewing authority shall distinguish temporary implementation friction from refusal, evasion, or material failure to perform.</w:t>
      </w:r>
    </w:p>
    <w:p>
      <w:pPr>
        <w:pStyle w:val="Normal"/>
      </w:pPr>
      <w:r>
        <w:t>4. Unless urgent circumstances require a narrower provisional response, the default sequence shall be: notice and evidence exchange; accelerated factual verification; a short and reasonable cure period; proportional pause or step-back of only the paired obligation or benefit materially affected; and automatic earn-back or restoration when verified performance resumes.</w:t>
      </w:r>
    </w:p>
    <w:p>
      <w:pPr>
        <w:pStyle w:val="Normal"/>
      </w:pPr>
      <w:r>
        <w:t>5. A pause or step-back under this Article shall not authorize retaliation against an unrelated sector, Party, producer, or transaction. The Module Firewall, Narrowest-Sufficient-Remedy Rule, essential-supply safeguards, and Cothrom evidentiary disciplines remain applicable.</w:t>
      </w:r>
    </w:p>
    <w:p>
      <w:pPr>
        <w:pStyle w:val="Normal"/>
      </w:pPr>
      <w:r>
        <w:t>6. Where one Party has already substantially performed an irreversible or commercially consumed concession and the paired benefit fails, the Parties shall use restoration, equivalent prospective value, escrow, compensation, accelerated normalization, or another mutually agreed mechanism reasonably capable of preventing uncompensated performance.</w:t>
      </w:r>
    </w:p>
    <w:p>
      <w:pPr>
        <w:pStyle w:val="Normal"/>
      </w:pPr>
      <w:r>
        <w:t>7. This Article applies symmetrically to Canada, Mexico, and the United States and shall not be interpreted as creating a Canada-specific sequencing privilege.</w:t>
      </w:r>
    </w:p>
    <w:p>
      <w:pPr>
        <w:spacing w:before="0" w:after="0"/>
        <w:widowControl w:val="1"/>
      </w:pPr>
      <w:r>
        <w:t>8. PAIRED BENEFITS AND ORDINARY TARIFF BASELINE. Article 35.36 and performance pairings in Chapters 36 and 37 apply only to additional optional benefits and independently lawful adopted consideration, and never condition ordinary tariff treatment prohibited by Article 35.3.8. A tariff landing pairing is available only through a valid Annex 35-D.1 and FS-01 instrument within its express ninety-day transition, rate caps and unconditional normalization endpoints. Failure of an investment, capacity, sourcing or security milestone may pause only an unearned enhanced benefit within its quantified adopted value and cannot restore a terminated duty, reduce ordinary zero-duty treatment or extend a transitional tariff. Any proposed tariff consequence beyond that narrow transition uses the complete Articles 35.38 through 35.40 route rather than a pairing certificate or schedule as independent authority.</w:t>
      </w:r>
    </w:p>
    <w:p/>
    <w:p>
      <w:pPr>
        <w:spacing w:before="0" w:after="0"/>
        <w:widowControl w:val="1"/>
      </w:pPr>
      <w:r>
        <w:t>9. PAIRING PAUSE AND TARIFF CONTINUATION. A pause or hold-back under Article 35.36 applies only to an unearned enhanced benefit within its valid adopted scope. It cannot maintain, extend or restore a tariff on originating goods in violation of Articles 35.3, 35.27A or 35.38. Annex 35-D.1's expressly adopted capped transition is the sole landing exception and ends on its unconditional Day 90 endpoint despite an unperformed paired milestone. A later tariff requires complete guarantor authorization and cannot be justified as a mere deferral of relief.</w:t>
      </w:r>
    </w:p>
    <w:p/>
    <w:p>
      <w:pPr>
        <w:pStyle w:val="Heading2"/>
      </w:pPr>
      <w:bookmarkStart w:id="901215" w:name="_Toc300001214"/>
      <w:r>
        <w:t>Article 35.37: North American Demerit and Preference Step-Back System</w:t>
      </w:r>
      <w:bookmarkEnd w:id="901215"/>
    </w:p>
    <w:p>
      <w:pPr>
        <w:pStyle w:val="Normal"/>
      </w:pPr>
      <w:r>
        <w:t>1. Purpose. The Parties establish a demerit system to convert verified noncompliance into graduated, reversible, and behavior-linked consequences without default recourse to tariffs. Demerits quantify compliance history; they do not constitute criminal, punitive, or moral judgments.</w:t>
      </w:r>
    </w:p>
    <w:p>
      <w:pPr>
        <w:pStyle w:val="Normal"/>
      </w:pPr>
      <w:r>
        <w:t>2. Assessment. Demerits may be assessed only after Cothrom verification establishes the underlying event and its responsible Party, module, severity, persistence, and remediation status. Allegation alone produces no demerits.</w:t>
      </w:r>
    </w:p>
    <w:p>
      <w:pPr>
        <w:pStyle w:val="Normal"/>
      </w:pPr>
      <w:r>
        <w:t>3. No double counting. A single event receives points under the single most appropriate category. Continuing conduct is treated as one event unless a fresh material act occurs after notice and a reasonable cure opportunity.</w:t>
      </w:r>
    </w:p>
    <w:p>
      <w:pPr>
        <w:pStyle w:val="Normal"/>
      </w:pPr>
      <w:r>
        <w:t>4. Active-point window. Unless Annex 35-G provides otherwise, demerits remain active for 180 days and then expire automatically if the responsible Party has returned to verified compliance. A new material violation does not revive expired points.</w:t>
      </w:r>
    </w:p>
    <w:p>
      <w:pPr>
        <w:pStyle w:val="Normal"/>
      </w:pPr>
      <w:r>
        <w:t>5. Module attachment. Demerits attach to the trade module in which the verified breach principally occurs. They shall not be used to punish unrelated sectors, producers, workers, consumers, or transactions.</w:t>
      </w:r>
    </w:p>
    <w:p>
      <w:pPr>
        <w:pStyle w:val="Normal"/>
      </w:pPr>
      <w:r>
        <w:t>6. Consequence ladder. Subject to Annex 35-G: (a) 0-2 active points: cure, record, and ordinary monitoring only; (b) 3-4 points: formal compliance notice and enhanced verification; (c) 5-6 points: temporary 5 percent reduction of an affected enhanced preference; (d) 7-8 points: temporary 10 percent reduction; (e) 9-10 points: temporary 15 percent reduction; and (f) 11 or more points: temporary 20 percent reduction and eligibility for Stage 7 review. A reduction is measured against the value, quantity, duration, priority, credit, facilitation, or other measurable dimension of the enhanced preference, not as a customs duty.</w:t>
      </w:r>
    </w:p>
    <w:p>
      <w:pPr>
        <w:pStyle w:val="Normal"/>
      </w:pPr>
      <w:r>
        <w:t>7. Zero-duty floor. A demerit consequence shall never be converted into a tariff, border surcharge, tariff-rate equivalent, or monetized border charge. Ordinary tariff preference for an originating good remains at the rate otherwise required by this Agreement.</w:t>
      </w:r>
    </w:p>
    <w:p>
      <w:pPr>
        <w:pStyle w:val="Normal"/>
      </w:pPr>
      <w:r>
        <w:t>8. Carrot nexus. The preference reduced shall, to the maximum extent practicable, be one earned, enhanced, optional, expedited, priority, investment-linked, procurement, quota-enhancement, facilitation, strategic-access, or comparable treaty-created benefit connected to the verified breach. If no suitable preference exists, the Panel shall use Stage 4 compensation or another non-tariff remedy before considering Article 35.38.</w:t>
      </w:r>
    </w:p>
    <w:p>
      <w:pPr>
        <w:pStyle w:val="Normal"/>
      </w:pPr>
      <w:r>
        <w:t>9. Challenge and correction. A Party may challenge a demerit assessment within 14 days. A differently constituted Cothrom review team shall decide the challenge within 21 days. Erroneous points are voided retroactively and any consequence attributable solely to them is reversed or compensated.</w:t>
      </w:r>
    </w:p>
    <w:p>
      <w:pPr>
        <w:pStyle w:val="Normal"/>
      </w:pPr>
      <w:r>
        <w:t>10. Earn-back. Verified cure immediately stops further escalation. Preference step-backs restore automatically under Article 35.18 after the applicable clean-compliance period. Exceptional cooperation or verified over-compliance may accelerate restoration but shall not create negative demerits or credits usable to excuse a future breach.</w:t>
      </w:r>
    </w:p>
    <w:p>
      <w:pPr>
        <w:pStyle w:val="Heading2"/>
      </w:pPr>
      <w:bookmarkStart w:id="901216" w:name="_Toc300001215"/>
      <w:r>
        <w:t>Article 35.38: Tariff Quarantine and Absolute Last-Resort Test</w:t>
      </w:r>
      <w:bookmarkEnd w:id="901216"/>
    </w:p>
    <w:p>
      <w:pPr>
        <w:pStyle w:val="Normal"/>
      </w:pPr>
      <w:r>
        <w:t>1. No Party may impose, increase, restore, extend, or threaten a tariff against originating goods of another Party as a remedy under this Agreement unless a Rotating Neutral Guarantor Panel authorizes the measure under this Article and Articles 35.39 and 35.40.</w:t>
      </w:r>
    </w:p>
    <w:p>
      <w:pPr>
        <w:pStyle w:val="Normal"/>
      </w:pPr>
      <w:r>
        <w:t>2. A tariff petition is admissible only after the initiating Party demonstrates, by clear and convincing evidence, that: (a) Cothrom has verified a material and persistent breach; (b) the applicable cure period has expired; (c) Stages 0 through 7 of Article 35.16 have been exhausted, are legally unavailable, or are demonstrably incapable of preventing serious continuing harm; (d) the proposed tariff has a direct nexus to the affected module; and (e) no reasonably available materially less harmful non-tariff remedy is likely to achieve timely compliance. Any assertion that an earlier stage is demonstrably incapable of preventing serious continuing harm must satisfy Article 35.47 and may not rest solely on speculative future loss, political urgency, or the petitioning Party's preferred remedy.</w:t>
      </w:r>
    </w:p>
    <w:p>
      <w:pPr>
        <w:pStyle w:val="Normal"/>
      </w:pPr>
      <w:r>
        <w:t>3. Political urgency, electoral pressure, bilateral trade deficits, revenue objectives, negotiating leverage, migration disputes, narcotics disputes, dissatisfaction with an unrelated domestic policy, or a desire to maximize economic pain shall not satisfy paragraph 2.</w:t>
      </w:r>
    </w:p>
    <w:p>
      <w:pPr>
        <w:pStyle w:val="Normal"/>
      </w:pPr>
      <w:r>
        <w:t>4. A tariff petition shall identify the precise goods, rate, expected collections, affected supply chains, intended compliance objective, maximum duration, restoration condition, and economic-incidence analysis required by Article 35.40.</w:t>
      </w:r>
    </w:p>
    <w:p>
      <w:pPr>
        <w:pStyle w:val="Normal"/>
      </w:pPr>
      <w:r>
        <w:t>5. The petitioning Party bears the burden throughout. Silence, abstention, delay, or failure of the guarantor panel to reach the required vote constitutes denial of tariff authorization.</w:t>
      </w:r>
    </w:p>
    <w:p>
      <w:pPr>
        <w:pStyle w:val="Heading2"/>
      </w:pPr>
      <w:bookmarkStart w:id="901217" w:name="_Toc300001216"/>
      <w:r>
        <w:t>Article 35.39: Rotating Neutral Guarantor Panel</w:t>
      </w:r>
      <w:bookmarkEnd w:id="901217"/>
    </w:p>
    <w:p>
      <w:pPr>
        <w:pStyle w:val="Normal"/>
      </w:pPr>
      <w:r>
        <w:t>1. A tariff petition under Articles 35.38 through 35.40 shall be decided by an ad hoc five-member Exceptional Tariff Authorization Panel drawn from the approved Guarantor Pool in Annex 35-H. The panel exists only for the petition for which it is constituted, receives administrative support from the existing Secretariat, and is not a permanent treaty body. Consenting Guarantor States participate independently of the Parties solely for the limited authorization function established by this Chapter.</w:t>
      </w:r>
    </w:p>
    <w:p>
      <w:pPr>
        <w:pStyle w:val="Normal"/>
      </w:pPr>
      <w:r>
        <w:t>2. Approval requires at least four affirmative votes of the five guarantors. A tariff exceeding 10 percent ad valorem, or equivalent, requires unanimous approval and in no event may an authorized tariff exceed 15 percent.</w:t>
      </w:r>
    </w:p>
    <w:p>
      <w:pPr>
        <w:pStyle w:val="Normal"/>
      </w:pPr>
      <w:r>
        <w:t>3. No Guarantor State that served on the immediately preceding tariff-authorization panel may serve on the next tariff-authorization panel. After one intervening panel, that State becomes eligible again unless otherwise recused.</w:t>
      </w:r>
    </w:p>
    <w:p>
      <w:pPr>
        <w:pStyle w:val="Normal"/>
      </w:pPr>
      <w:r>
        <w:t>4. Selection shall be by the transparent stratified random-draw method in Annex 35-H, administered ministerially by the Secretariat without discretion to select a preferred guarantor, seeking where practicable one eligible member from Europe, one from Asia-Pacific, one from Latin America or the Caribbean, one from Africa or the Middle East, and one unrestricted seat. No North American Party may hand-select a guarantor for a tariff petition.</w:t>
      </w:r>
    </w:p>
    <w:p>
      <w:pPr>
        <w:pStyle w:val="Normal"/>
        <w:spacing w:before="0" w:after="0"/>
        <w:widowControl w:val="1"/>
      </w:pPr>
      <w:r>
        <w:t>5. Before the draw, a Guarantor State shall be excluded or recused where it has a material direct commercial, ownership, procurement, commodity, litigation, or transaction-specific interest in the matter, or another circumstance creating a reasonable apprehension of bias. Ordinary diplomatic relations, trade, alliance membership, or membership in an international organization does not alone require recusal. A contested recusal shall be decided under Article 35.45.2 within the integrity range in Articles 35.42 through 35.45; neither a Party nor the challenged Guarantor State may determine the challenge.</w:t>
      </w:r>
    </w:p>
    <w:p/>
    <w:p>
      <w:pPr>
        <w:pStyle w:val="Normal"/>
      </w:pPr>
      <w:r>
        <w:t>6. If recusals or non-availability prevent a geographically stratified panel, the Secretariat shall draw from the remaining eligible pool while preserving five independent members. No dispute shall fail for lack of a particular regional seat.</w:t>
      </w:r>
    </w:p>
    <w:p>
      <w:pPr>
        <w:pStyle w:val="Normal"/>
      </w:pPr>
      <w:r>
        <w:t>7. A Party shall not retaliate against, threaten, reward, induce, condition unrelated benefits for, coerce, or otherwise penalize or advantage a Guarantor State, its representative, or a covered associated person because of a vote, anticipated vote, reasoning, participation, refusal to authorize a tariff, or good-faith performance under this Chapter. Articles 35.42 through 35.45 govern integrity review and consequences.</w:t>
      </w:r>
    </w:p>
    <w:p>
      <w:pPr>
        <w:pStyle w:val="Normal"/>
      </w:pPr>
      <w:r>
        <w:t>8. Guarantor decisions shall be reasoned and public, subject to protection of classified and confidential information. Each member shall state whether the necessity, proportionality, nexus, burden, duration, and less-harmful-alternative tests are satisfied.</w:t>
      </w:r>
    </w:p>
    <w:p>
      <w:pPr>
        <w:pStyle w:val="Heading2"/>
      </w:pPr>
      <w:bookmarkStart w:id="901218" w:name="_Toc300001217"/>
      <w:r>
        <w:t>Article 35.40: Tariff Authorization Limits, Burden Test, Sunset, and Renewal</w:t>
      </w:r>
      <w:bookmarkEnd w:id="901218"/>
    </w:p>
    <w:p>
      <w:pPr>
        <w:pStyle w:val="Normal"/>
      </w:pPr>
      <w:r>
        <w:t>1. An authorized tariff is temporary compliance security, not punishment. It shall be the lowest rate and narrowest coverage reasonably capable of addressing the verified breach.</w:t>
      </w:r>
    </w:p>
    <w:p>
      <w:pPr>
        <w:pStyle w:val="Normal"/>
        <w:spacing w:before="0" w:after="0"/>
        <w:widowControl w:val="1"/>
      </w:pPr>
      <w:r>
        <w:t>2. Rate ceilings. Ordinary last-resort authorization shall not exceed 5 percent ad valorem or equivalent. A serious persistent Tier 3 breach may support authorization up to 10 percent. A rate above 10 percent and not exceeding 15 percent is reserved for an exceptional systemic breach and requires unanimous guarantor approval. No Chapter 35 corrective or Annex 35-D.1 transitional authority permits a tariff above 15 percent on originating goods; independently lawful Chapter 10 and Article 32.2 as replaced measures retain only their own express authority and conditions.</w:t>
      </w:r>
    </w:p>
    <w:p/>
    <w:p>
      <w:pPr>
        <w:pStyle w:val="Normal"/>
      </w:pPr>
      <w:r>
        <w:t>3. Tariff Burden Test. Before authorization, the Panel shall assess the reasonably foreseeable incidence of the proposed tariff on consumers, workers, SMEs, downstream manufacturers, integrated supply chains, food and energy security, critical infrastructure, inflation, and the petitioning Party's own economy. A tariff shall be denied or narrowed where its expected collateral cost is grossly disproportionate to its expected compliance benefit. The Panel shall also consider aggregate concurrent corrective burdens under Article 35.50 and shall use only harm estimates validated under Article 35.48.</w:t>
      </w:r>
    </w:p>
    <w:p>
      <w:pPr>
        <w:pStyle w:val="Normal"/>
      </w:pPr>
      <w:r>
        <w:t>4. Humanitarian firewall. Article 35.35 applies without exception. Essential medicines, life-saving humanitarian goods, disaster-response supplies, and other protected goods may not be tariff targets.</w:t>
      </w:r>
    </w:p>
    <w:p>
      <w:pPr>
        <w:pStyle w:val="Normal"/>
      </w:pPr>
      <w:r>
        <w:t>5. Duration. An authorization expires automatically after 30 days unless the Panel authorizes up to 60 days on a reasoned finding that the shorter period is insufficient. No authorization may exceed 60 days.</w:t>
      </w:r>
    </w:p>
    <w:p>
      <w:pPr>
        <w:pStyle w:val="Normal"/>
      </w:pPr>
      <w:r>
        <w:t>6. Cure termination. The tariff terminates immediately when Cothrom verifies the underlying breach has been cured, even if time remains in the authorization.</w:t>
      </w:r>
    </w:p>
    <w:p>
      <w:pPr>
        <w:pStyle w:val="Normal"/>
      </w:pPr>
      <w:r>
        <w:t>7. Renewal. Renewal requires a fresh Cothrom verification of continuing breach and a newly constituted five-member guarantor panel. No member of the expiring authorization panel may serve on the renewal panel. Renewal is not automatic and carries the same voting threshold, burden test, rate ceiling, and sunset.</w:t>
      </w:r>
    </w:p>
    <w:p>
      <w:pPr>
        <w:pStyle w:val="Normal"/>
      </w:pPr>
      <w:r>
        <w:t>8. No tariff threat before authorization. A Party may state that it has filed or intends to file a tariff petition, but shall not announce a rate as decided, issue an ultimatum conditioned on tariff imposition, or use prospective tariff authority as bargaining leverage before authorization.</w:t>
      </w:r>
    </w:p>
    <w:p>
      <w:pPr>
        <w:pStyle w:val="Normal"/>
      </w:pPr>
      <w:r>
        <w:t>9. Relationship to Article 35.34. Every authorized tariff remains subject to the Corrective Tariff Budget and Lockout. The lower ceiling or stricter safeguard controls.</w:t>
      </w:r>
    </w:p>
    <w:p>
      <w:pPr>
        <w:spacing w:before="0" w:after="0"/>
        <w:widowControl w:val="1"/>
      </w:pPr>
      <w:r>
        <w:t>10. PETITION CLOCKS RATE VOTES AND PUBLICATION. The Secretariat identifies missing petition material within twenty-four hours after receipt, accepts a complete record ministerially, constitutes the guarantor panel within five days and obtains a reasoned decision within ten days after that receipt, with a missed endpoint constituting denial rather than tacit authorization. Each member votes for a specified maximum rate and conditions, and the authorized rate is the highest rate supported by at least four members, or by all five if above ten percent, subject to the lower Article 35.40 ceiling; an exceptional systemic breach requires an existing Tier 3 legal finding of deliberate coordinated multi-entity evasion and serious continuing module harm. Authorization takes effect only upon authenticated simultaneous publication, which the Secretary completes within two hours after final certification or, on recorded security or technical necessity, within twenty-four hours through the alternative authenticated channel, and the thirty- or expressly sixty-day sunset runs from that first legal effect. A renewal may be filed before expiry with fresh verification requested in time to meet ordinary review clocks, but a pending renewal never extends collection, and a missed publication deadline suspends implementation until lawful release and is reviewable under Article 31.A.</w:t>
      </w:r>
    </w:p>
    <w:p/>
    <w:p>
      <w:pPr>
        <w:pStyle w:val="Heading2"/>
      </w:pPr>
      <w:bookmarkStart w:id="901219" w:name="_Toc300001218"/>
      <w:r>
        <w:t>Article 35.41: Three-Year Joint Study on Complete Elimination of Intra-North-American Tariffs</w:t>
      </w:r>
      <w:bookmarkEnd w:id="901219"/>
    </w:p>
    <w:p>
      <w:pPr>
        <w:pStyle w:val="Normal"/>
      </w:pPr>
      <w:r>
        <w:t>1. The Parties shall conduct a joint evidence-based study, completed no later than the third anniversary of entry into force of the Protocol of Modernization, to determine whether tariffs on originating goods between the Parties should be abolished entirely as a corrective, emergency, security, retaliatory, safeguard, antidumping, countervailing, or other intra-North-American trade instrument and replaced by non-tariff compliance mechanisms.</w:t>
      </w:r>
    </w:p>
    <w:p>
      <w:pPr>
        <w:pStyle w:val="Normal"/>
      </w:pPr>
      <w:r>
        <w:t>2. The study shall be conducted jointly by the Parties with participation by independent economists, customs specialists, trade-law experts, labor and consumer representatives, SMEs, producers, downstream users, Indigenous representatives where relevant, and a balanced sample of consenting Guarantor States.</w:t>
      </w:r>
    </w:p>
    <w:p>
      <w:pPr>
        <w:pStyle w:val="Normal"/>
      </w:pPr>
      <w:r>
        <w:t>3. The study shall evaluate at minimum: (a) every intra-Party tariff imposed, requested, authorized, denied, or avoided during the study period; (b) use and effectiveness of Cothrom, demerits, preference step-back, compensation, escrow, procurement, verification, and earn-back; (c) consumer-price and inflation effects; (d) employment, investment, productivity, supply-chain and fiscal effects; (e) effects on small businesses and integrated manufacturers; (f) national-security and emergency performance; (g) dumping, subsidization, circumvention, and non-market-distortion cases; (h) administrative cost and dispute duration; and (i) whether any legitimate objective materially required a tariff rather than a less harmful instrument.</w:t>
      </w:r>
    </w:p>
    <w:p>
      <w:pPr>
        <w:pStyle w:val="Normal"/>
      </w:pPr>
      <w:r>
        <w:t>4. The study shall separately distinguish tariffs used for ordinary protection, trade remedies, retaliation, national security, emergency action, negotiating leverage, and revenue. Opposition to foreign tariffs shall not be treated as proof of support for abolition of domestic tariffs.</w:t>
      </w:r>
    </w:p>
    <w:p>
      <w:pPr>
        <w:pStyle w:val="Normal"/>
      </w:pPr>
      <w:r>
        <w:t>5. Public consultation. The Secretariat shall conduct public consultations in Canada, Mexico, and the United States and publish non-confidential evidence, methodology, minority views, and country-specific findings.</w:t>
      </w:r>
    </w:p>
    <w:p>
      <w:pPr>
        <w:pStyle w:val="Normal"/>
      </w:pPr>
      <w:r>
        <w:t>6. Abolition recommendation. The final report shall state whether the evidence supports: (a) complete abolition of tariffs on originating intra-North-American trade; (b) abolition of punitive and corrective tariffs while retaining narrowly defined trade-remedy categories; (c) continuation of the last-resort guarantor architecture; or (d) another evidence-supported model. The report shall identify the legal amendments and transition rules required for each recommended option.</w:t>
      </w:r>
    </w:p>
    <w:p>
      <w:pPr>
        <w:pStyle w:val="Normal"/>
      </w:pPr>
      <w:r>
        <w:t>7. Presumption from successful non-use. If no tariff has been authorized under Articles 35.38 through 35.40 during the preceding 24 months, or if the study finds that every material compliance matter was resolved through less harmful mechanisms, the report shall include a specific finding on whether continued tariff authority remains necessary.</w:t>
      </w:r>
    </w:p>
    <w:p>
      <w:pPr>
        <w:pStyle w:val="Normal"/>
      </w:pPr>
      <w:r>
        <w:t>8. Decision. Within 180 days after publication of the study, the Commission shall convene a special ministerial review devoted solely to the future of intra-North-American tariffs. Any abolition or further restriction shall be adopted through the treaty amendment procedure and shall preserve the Parties' rights with respect to non-Parties unless expressly agreed otherwise.</w:t>
      </w:r>
    </w:p>
    <w:p>
      <w:pPr>
        <w:pStyle w:val="Heading2"/>
      </w:pPr>
      <w:bookmarkStart w:id="901220" w:name="_Toc300001219"/>
      <w:r>
        <w:t>Article 35.42: Guarantor Integrity Firewall and Anti-Inducement Rule</w:t>
      </w:r>
      <w:bookmarkEnd w:id="901220"/>
    </w:p>
    <w:p>
      <w:pPr>
        <w:pStyle w:val="Normal"/>
      </w:pPr>
      <w:r>
        <w:t>1. Independence principle. A tariff authorization is valid only if the guarantor process is free from bribery, coercion, undisclosed material inducement, strategic recusal manipulation, improper ex parte advocacy, and material conflicts of interest.</w:t>
      </w:r>
    </w:p>
    <w:p>
      <w:pPr>
        <w:pStyle w:val="Normal"/>
      </w:pPr>
      <w:r>
        <w:t>2. Prohibited conduct. No Party, ministry, agency, state enterprise, public authority, official, agent, intermediary, or person acting at the direction, request, or knowing benefit of a Party may directly or indirectly offer, promise, arrange, solicit, authorize, condition, withhold, accelerate, or confer a material benefit or detriment for the purpose of influencing a guarantor selection, recusal, vote, reasoning, timing, or other performance under Articles 35.38 through 35.40.</w:t>
      </w:r>
    </w:p>
    <w:p>
      <w:pPr>
        <w:pStyle w:val="Normal"/>
      </w:pPr>
      <w:r>
        <w:t>3. Covered benefits include money, gifts, loans, investment commitments, procurement awards, regulatory favors, sanctions relief, market-access concessions, development finance, security assistance, visas, appointments, employment, consulting arrangements, board positions, preferential access, campaign or political support where unlawful or material, benefits to close associated persons, and any other thing of material value. Ordinary pre-existing diplomacy and commerce are not prohibited merely because a tariff proceeding exists.</w:t>
      </w:r>
    </w:p>
    <w:p>
      <w:pPr>
        <w:pStyle w:val="Normal"/>
      </w:pPr>
      <w:r>
        <w:t>4. Connection standard. A prohibited inducement may be established by direct evidence or by clear and convincing circumstantial evidence showing purpose, coordination, timing, concealment, unusual departure from ordinary practice, or other facts that materially connect the benefit or detriment to the proceeding. Mere temporal proximity is insufficient by itself.</w:t>
      </w:r>
    </w:p>
    <w:p>
      <w:pPr>
        <w:pStyle w:val="Normal"/>
      </w:pPr>
      <w:r>
        <w:t>5. Anti-evasion. A Party shall not do indirectly through a corporation, lobbyist, foundation, sovereign wealth vehicle, political intermediary, third State, private person, or other channel what it could not lawfully do directly.</w:t>
      </w:r>
    </w:p>
    <w:p>
      <w:pPr>
        <w:pStyle w:val="Normal"/>
      </w:pPr>
      <w:r>
        <w:t>6. Petitioning-Party consequence. If an independent Integrity Panel finds that the petitioning Party, or a person acting at its direction or with its knowing participation, committed a material prohibited inducement or coercion, the pending tariff petition is dismissed with prejudice for 180 days as to the same underlying breach. Any tariff already authorized but not yet collected is void. Any tariff already in collection terminates immediately, without prejudice to lawful non-tariff remedies.</w:t>
      </w:r>
    </w:p>
    <w:p>
      <w:pPr>
        <w:pStyle w:val="Normal"/>
      </w:pPr>
      <w:r>
        <w:t>7. No false-flag dismissal. Paragraph 6 does not apply where another Party, a private actor, or a guarantor independently attempted corruption without the petitioning Party's direction, authorization, knowing participation, or later knowing adoption. Such conduct is handled under Article 35.45.</w:t>
      </w:r>
    </w:p>
    <w:p>
      <w:pPr>
        <w:pStyle w:val="Normal"/>
      </w:pPr>
      <w:r>
        <w:t>8. Demerits for integrity breach. A verified material integrity breach by a Party constitutes an independent Tier 3 treaty-integrity violation and may receive demerits under Article 35.37 in addition to dismissal of the tariff petition.</w:t>
      </w:r>
    </w:p>
    <w:p>
      <w:pPr>
        <w:pStyle w:val="Heading2"/>
      </w:pPr>
      <w:bookmarkStart w:id="901221" w:name="_Toc300001220"/>
      <w:r>
        <w:t>Article 35.43: Communications Docket, Ex Parte Firewall, and Equality of Arms</w:t>
      </w:r>
      <w:bookmarkEnd w:id="901221"/>
    </w:p>
    <w:p>
      <w:pPr>
        <w:pStyle w:val="Normal"/>
      </w:pPr>
      <w:r>
        <w:t>1. Once a tariff petition is filed, all substantive communications concerning the merits, evidence, desired outcome, recusal, rate, duration, or economic consequences between a Party and a sitting guarantor shall occur through the Secretariat's secure proceeding docket or in a proceeding at which all Parties have equal notice and opportunity to participate.</w:t>
      </w:r>
    </w:p>
    <w:p>
      <w:pPr>
        <w:pStyle w:val="Normal"/>
      </w:pPr>
      <w:r>
        <w:t>2. A substantive oral communication occurring inadvertently or for urgent administrative reasons shall be memorialized on the docket within 24 hours. Pure scheduling, security, translation, travel, or technical-administration communications need not be publicly docketed but shall be logged.</w:t>
      </w:r>
    </w:p>
    <w:p>
      <w:pPr>
        <w:pStyle w:val="Normal"/>
      </w:pPr>
      <w:r>
        <w:t>3. No Party may privately lobby a sitting guarantor concerning the merits. A guarantor receiving an attempted prohibited ex parte communication shall terminate the communication and report it to the Secretariat within 24 hours.</w:t>
      </w:r>
    </w:p>
    <w:p>
      <w:pPr>
        <w:pStyle w:val="Normal"/>
      </w:pPr>
      <w:r>
        <w:t>4. All merits submissions provided to a guarantor shall be simultaneously available to the other Parties, subject to lawful protection of classified, privileged, personal, commercially confidential, or security-sensitive information.</w:t>
      </w:r>
    </w:p>
    <w:p>
      <w:pPr>
        <w:pStyle w:val="Normal"/>
      </w:pPr>
      <w:r>
        <w:t>5. Classified evidence shall not create a one-sided evidentiary advantage. Where material evidence cannot lawfully be disclosed to another Party, the Secretariat shall appoint an appropriately security-cleared independent special advocate or equivalent protected reviewer to test relevance, reliability, necessity, and exculpatory context. No tariff may be authorized solely on undisclosed evidence that has not received such adversarial or independent testing.</w:t>
      </w:r>
    </w:p>
    <w:p>
      <w:pPr>
        <w:pStyle w:val="Normal"/>
      </w:pPr>
      <w:r>
        <w:t>6. Each Party shall receive a meaningful opportunity to answer the factual and economic case against it. A guarantor panel may draw an adverse inference from deliberate withholding or destruction of evidence, but not from a Party's lawful inability to disclose protected information where an approved substitute procedure is used.</w:t>
      </w:r>
    </w:p>
    <w:p>
      <w:pPr>
        <w:pStyle w:val="Heading2"/>
      </w:pPr>
      <w:bookmarkStart w:id="901222" w:name="_Toc300001221"/>
      <w:r>
        <w:t>Article 35.44: Guarantor Financial Integrity, Disclosure, Gifts, and Cooling-Off</w:t>
      </w:r>
      <w:bookmarkEnd w:id="901222"/>
    </w:p>
    <w:p>
      <w:pPr>
        <w:pStyle w:val="Normal"/>
      </w:pPr>
      <w:r>
        <w:t>1. Before service, each designated guarantor representative and alternate shall file a confidential financial-interest and relationship disclosure sufficient to identify material interests in the disputing Parties, affected sector, principal firms, commodities, procurement, litigation, and transactions. The Secretariat shall publish a non-confidential conflict statement.</w:t>
      </w:r>
    </w:p>
    <w:p>
      <w:pPr>
        <w:pStyle w:val="Normal"/>
      </w:pPr>
      <w:r>
        <w:t>2. During selection eligibility and service, a representative shall not accept a gift, payment, travel benefit beyond approved proceeding expenses, hospitality of material value, employment discussion, consulting engagement, board opportunity, investment opportunity not generally available, or comparable personal benefit from a disputing Party or materially interested private actor.</w:t>
      </w:r>
    </w:p>
    <w:p>
      <w:pPr>
        <w:pStyle w:val="Normal"/>
      </w:pPr>
      <w:r>
        <w:t>3. A representative shall disclose relevant interests of a spouse or domestic partner, dependent child, controlled entity, business partner, or other close associated person where the representative knows or reasonably should know that the interest could create a material conflict. This paragraph does not require disclosure of unrelated private information.</w:t>
      </w:r>
    </w:p>
    <w:p>
      <w:pPr>
        <w:pStyle w:val="Normal"/>
      </w:pPr>
      <w:r>
        <w:t>4. For two years after a representative's final service in a tariff proceeding, the representative shall not accept compensated employment, a board seat, consultancy, or extraordinary personal benefit from a disputing government or a private actor that had a material direct interest in that proceeding, unless an independent Integrity Panel determines that the arrangement is unrelated and does not create a reasonable appearance of deferred compensation.</w:t>
      </w:r>
    </w:p>
    <w:p>
      <w:pPr>
        <w:pStyle w:val="Normal"/>
      </w:pPr>
      <w:r>
        <w:t>5. Guarantor States shall disclose extraordinary discretionary bilateral benefits announced, negotiated, or materially accelerated between themselves and a petitioning Party from 90 days before panel selection until one year after final disposition where the benefit exceeds thresholds established in Annex 35-I. Disclosure triggers review where warranted; it does not create a presumption of guilt.</w:t>
      </w:r>
    </w:p>
    <w:p>
      <w:pPr>
        <w:pStyle w:val="Normal"/>
      </w:pPr>
      <w:r>
        <w:t>6. The Parties shall not freeze ordinary diplomacy, trade, aid, security cooperation, or investment during the temporal firewall. The purpose of paragraph 5 is transparency around extraordinary discretionary changes, not paralysis of normal interstate relations.</w:t>
      </w:r>
    </w:p>
    <w:p>
      <w:pPr>
        <w:pStyle w:val="Heading2"/>
      </w:pPr>
      <w:bookmarkStart w:id="901223" w:name="_Toc300001222"/>
      <w:r>
        <w:t>Article 35.45: Integrity Panel, Tainted Panel Rule, Recusal Review, and Remedies</w:t>
      </w:r>
      <w:bookmarkEnd w:id="901223"/>
    </w:p>
    <w:p>
      <w:pPr>
        <w:pStyle w:val="Normal"/>
      </w:pPr>
      <w:r>
        <w:t>1. For integrity review under Articles 35.42 through 35.45, the Secretariat shall maintain a qualification list of consenting Guarantor States and independent experts with demonstrated ethics, anti-corruption, adjudicative, or public-law expertise. The list is an administrative eligibility pool, not a permanent institution. No person or State sitting on the challenged tariff panel may decide an integrity allegation concerning that panel.</w:t>
      </w:r>
    </w:p>
    <w:p>
      <w:pPr>
        <w:pStyle w:val="Normal"/>
      </w:pPr>
      <w:r>
        <w:t>2. A contested recusal, alleged inducement, coercion, post-vote reward, improper ex parte contact, financial conflict, or strategic recusal challenge shall be decided by an ad hoc three-member Integrity Review Panel selected by random draw from eligible persons or States not involved in the tariff proceeding. The panel dissolves on final disposition of the matter, and no disputing Party may select a member.</w:t>
      </w:r>
    </w:p>
    <w:p>
      <w:pPr>
        <w:pStyle w:val="Normal"/>
      </w:pPr>
      <w:r>
        <w:t>3. Strategic-recusal safeguard. A Party challenging a guarantor shall identify the specific conflict and supporting evidence. Filing a challenge does not permit that Party to choose, rank, or influence the replacement. If recusal is ordered, the replacement shall be randomly drawn from the same regional category where practicable.</w:t>
      </w:r>
    </w:p>
    <w:p>
      <w:pPr>
        <w:pStyle w:val="Normal"/>
      </w:pPr>
      <w:r>
        <w:t>4. Tainted Panel Rule. If a guarantor representative is materially compromised without direction, authorization, knowing participation, or knowing adoption by the petitioning Party, that representative is removed, the affected vote is void, and a replacement is randomly drawn. The proceeding resumes from the point necessary to cure the taint.</w:t>
      </w:r>
    </w:p>
    <w:p>
      <w:pPr>
        <w:pStyle w:val="Normal"/>
      </w:pPr>
      <w:r>
        <w:t>5. Petitioning-party taint. If the petitioning Party caused, authorized, knowingly participated in, or knowingly adopted the material corruption or coercion, Article 35.42.6 applies and the petition is dismissed. A replacement panel shall not cure petitioning-party taint.</w:t>
      </w:r>
    </w:p>
    <w:p>
      <w:pPr>
        <w:pStyle w:val="Normal"/>
      </w:pPr>
      <w:r>
        <w:t>6. Post-decision reward review. An extraordinary benefit arising after a vote may be investigated where credible evidence indicates possible deferred consideration. Timing alone is insufficient. If deferred consideration is established, the affected vote is void and appropriate remedies under paragraphs 4 or 5 apply.</w:t>
      </w:r>
    </w:p>
    <w:p>
      <w:pPr>
        <w:pStyle w:val="Normal"/>
      </w:pPr>
      <w:r>
        <w:t>7. Economic intimidation. A pattern of unusual inspections, licensing delays, procurement exclusions, visa actions, sanctions, assistance changes, or other governmental treatment may constitute coercion where clear and convincing evidence shows it was materially intended to influence or punish guarantor performance. Legitimate independently supported enforcement remains permissible.</w:t>
      </w:r>
    </w:p>
    <w:p>
      <w:pPr>
        <w:pStyle w:val="Normal"/>
        <w:spacing w:before="0" w:after="0"/>
        <w:widowControl w:val="1"/>
      </w:pPr>
      <w:r>
        <w:t>8. Interim protection. Where credible evidence indicates a serious integrity threat, the Integrity Review Panel may temporarily suspend deliberation or implementation for up to 14 days while conducting expedited review. An interim suspension does not imply guilt.</w:t>
      </w:r>
    </w:p>
    <w:p/>
    <w:p>
      <w:pPr>
        <w:pStyle w:val="Normal"/>
      </w:pPr>
      <w:r>
        <w:t>9. Transparency. Final integrity determinations shall be reasoned and public, subject to protection of classified, personal, investigatory, and confidential information.</w:t>
      </w:r>
    </w:p>
    <w:p>
      <w:pPr>
        <w:pStyle w:val="Heading2"/>
      </w:pPr>
      <w:bookmarkStart w:id="901225" w:name="_Toc300001224"/>
      <w:r>
        <w:t>Article 35.46: Objective Cure Certification and Compliance Finality</w:t>
      </w:r>
      <w:bookmarkEnd w:id="901225"/>
    </w:p>
    <w:p>
      <w:pPr>
        <w:pStyle w:val="Normal"/>
      </w:pPr>
      <w:r>
        <w:t>1. A Party claiming to have cured a verified breach may request Cure Certification from a Cothrom Cure Panel differently constituted from the panel that made the original merits finding where practicable.</w:t>
      </w:r>
    </w:p>
    <w:p>
      <w:pPr>
        <w:pStyle w:val="Normal"/>
      </w:pPr>
      <w:r>
        <w:t>2. The Cure Panel shall compare the operative finding, the precise obligation breached, the remedial steps taken, and the present facts. It shall certify: full cure; substantial but incomplete cure; temporary cure subject to specified verification; or non-cure.</w:t>
      </w:r>
    </w:p>
    <w:p>
      <w:pPr>
        <w:pStyle w:val="Normal"/>
      </w:pPr>
      <w:r>
        <w:t>3. A certification of full cure is binding for purposes of demerits, escalation, tariff admissibility, and restoration unless materially new facts show that the certified condition ceased to exist or the certification was procured by fraud.</w:t>
      </w:r>
    </w:p>
    <w:p>
      <w:pPr>
        <w:pStyle w:val="Normal"/>
      </w:pPr>
      <w:r>
        <w:t>4. A petitioning Party may not keep a cured violation alive through disagreement with the certified result. New conduct after certification must be pleaded and verified as a new or renewed breach.</w:t>
      </w:r>
    </w:p>
    <w:p>
      <w:pPr>
        <w:pStyle w:val="Normal"/>
      </w:pPr>
      <w:r>
        <w:t>5. Cure review shall ordinarily conclude within 21 days. Where continued uncertainty itself causes material commercial harm, the Panel shall use expedited procedures.</w:t>
      </w:r>
    </w:p>
    <w:p>
      <w:pPr>
        <w:spacing w:before="0" w:after="0"/>
        <w:widowControl w:val="1"/>
      </w:pPr>
      <w:r>
        <w:t>6. INTEGRITY AND CURE BODY IDENTITIES AND CONSEQUENCES. Integrity Panel, Integrity Review Panel and Market Integrity Panel mean the single ad hoc Article 35.45 Integrity Review Panel for the particular challenged proceeding, constituted by the Secretary within five days after a supported referral through a witnessed random draw of three independent ethics or adjudicative experts excluding every underlying panel participant. It decides a supported recusal or integrity allegation within fourteen days after constitution, with a preliminary stay limited to fourteen days, majority reasoned decisions and no tolling of a tariff sunset; a materially compromised authorizing vote suspends collection immediately, final petitioning-Party taint terminates authorization and requires refund with interest within thirty days, and independent third-person taint permits only fresh untainted authorization for the remaining unexpired period. Cothrom Cure Panel, Cothrom review team, Cothrom panel and Verification Panel performing cure or demerit review mean a differently constituted Article 35.10 factual Team selected within five days after request, applying the same qualified draw and completing review within twenty-one days, with disputed legal effect decided by Article 31.A. A final full-cure certificate has the immediate tariff and PTA termination and point-retirement effect stated in Article 35.18, while non-tariff enhanced-benefit restoration follows its clean-compliance period without a second conflicting cure body.</w:t>
      </w:r>
    </w:p>
    <w:p/>
    <w:p>
      <w:pPr>
        <w:pStyle w:val="Heading2"/>
      </w:pPr>
      <w:bookmarkStart w:id="901226" w:name="_Toc300001225"/>
      <w:r>
        <w:t>Article 35.47: Strict Exhaustion and Non-Tariff Incapacity Test</w:t>
      </w:r>
      <w:bookmarkEnd w:id="901226"/>
    </w:p>
    <w:p>
      <w:pPr>
        <w:pStyle w:val="Normal"/>
      </w:pPr>
      <w:r>
        <w:t>1. The phrase 'demonstrably incapable of preventing serious continuing harm' in Article 35.38 is an exceptional bypass standard and shall be construed narrowly.</w:t>
      </w:r>
    </w:p>
    <w:p>
      <w:pPr>
        <w:pStyle w:val="Normal"/>
      </w:pPr>
      <w:r>
        <w:t>2. A Party seeking to bypass an uncompleted non-tariff stage must establish by clear and convincing evidence that the stage cannot reasonably operate within the time needed to prevent material, non-speculative, and substantially irreversible harm.</w:t>
      </w:r>
    </w:p>
    <w:p>
      <w:pPr>
        <w:pStyle w:val="Normal"/>
      </w:pPr>
      <w:r>
        <w:t>3. Increased cost, reduced profit, political inconvenience, market volatility, delay inherent in ordinary adjudication, or a modelled possibility of future investment loss does not by itself establish incapacity.</w:t>
      </w:r>
    </w:p>
    <w:p>
      <w:pPr>
        <w:pStyle w:val="Normal"/>
      </w:pPr>
      <w:r>
        <w:t>4. The Party must identify the stage to be bypassed, the expected time to effect, the harm expected during that interval, why interim protection is inadequate, and why a narrower acceleration or provisional non-tariff measure would not materially address the risk.</w:t>
      </w:r>
    </w:p>
    <w:p>
      <w:pPr>
        <w:pStyle w:val="Normal"/>
      </w:pPr>
      <w:r>
        <w:t>5. The Panel shall prefer acceleration, escrow, temporary administrative relief, preservation orders, provisional preference adjustments, or other reversible measures over bypass to a tariff.</w:t>
      </w:r>
    </w:p>
    <w:p>
      <w:pPr>
        <w:pStyle w:val="Heading2"/>
      </w:pPr>
      <w:bookmarkStart w:id="901227" w:name="_Toc300001226"/>
      <w:r>
        <w:t>Article 35.48: Economic Harm, Causation, and Model Integrity Standard</w:t>
      </w:r>
      <w:bookmarkEnd w:id="901227"/>
    </w:p>
    <w:p>
      <w:pPr>
        <w:pStyle w:val="Normal"/>
      </w:pPr>
      <w:r>
        <w:t>1. Economic injury supporting escalation shall be measured under transparent common methodology adopted by the Commission and applied symmetrically to all Parties.</w:t>
      </w:r>
    </w:p>
    <w:p>
      <w:pPr>
        <w:pStyle w:val="Normal"/>
      </w:pPr>
      <w:r>
        <w:t>2. Harm estimates shall distinguish observed loss from forecast loss; direct from indirect effects; transfers from net welfare loss; temporary from persistent effects; and treaty-caused effects from macroeconomic, technological, commodity-price, exchange-rate, business-cycle, or third-country causes.</w:t>
      </w:r>
    </w:p>
    <w:p>
      <w:pPr>
        <w:pStyle w:val="Normal"/>
      </w:pPr>
      <w:r>
        <w:t>3. No estimate may double count the same economic effect through multiple multipliers, supply-chain layers, employment channels, tax effects, or counterfactual assumptions.</w:t>
      </w:r>
    </w:p>
    <w:p>
      <w:pPr>
        <w:pStyle w:val="Normal"/>
      </w:pPr>
      <w:r>
        <w:t>4. Material models shall disclose assumptions, data sources, ranges, sensitivity analysis, uncertainty, alternative reasonable specifications, and the extent to which results depend on disputed inputs, subject to lawful confidentiality.</w:t>
      </w:r>
    </w:p>
    <w:p>
      <w:pPr>
        <w:pStyle w:val="Normal"/>
      </w:pPr>
      <w:r>
        <w:t>5. The Secretariat shall arrange independent replication or technical review of any model materially relied upon to justify Stage 7 or Stage 8 escalation. A model that cannot be independently reproduced within a reasonable range shall receive reduced evidentiary weight.</w:t>
      </w:r>
    </w:p>
    <w:p>
      <w:pPr>
        <w:pStyle w:val="Normal"/>
      </w:pPr>
      <w:r>
        <w:t>6. Forecasts beyond the period reasonably necessary to evaluate the breach shall not be capitalized into present injury merely to enlarge the apparent harm.</w:t>
      </w:r>
    </w:p>
    <w:p>
      <w:pPr>
        <w:pStyle w:val="Heading2"/>
      </w:pPr>
      <w:bookmarkStart w:id="901228" w:name="_Toc300001227"/>
      <w:r>
        <w:t>Article 35.49: Strategic-Nexus and Market-Definition Safeguards</w:t>
      </w:r>
      <w:bookmarkEnd w:id="901228"/>
    </w:p>
    <w:p>
      <w:pPr>
        <w:pStyle w:val="Normal"/>
      </w:pPr>
      <w:r>
        <w:t>1. Mere use of a good, service, material, technology, or input in defense, critical infrastructure, emergency systems, strategic manufacturing, food, energy, communications, health, or another sensitive sector does not by itself establish an essential-security or strategic-capacity threat.</w:t>
      </w:r>
    </w:p>
    <w:p>
      <w:pPr>
        <w:pStyle w:val="Normal"/>
      </w:pPr>
      <w:r>
        <w:t>2. A strategic claim requires evidence of a concrete vulnerability such as material capacity loss, credible supply interruption, hostile or coercive dependency, inability to substitute within a relevant period, physical or cyber vulnerability, reserve inadequacy, or another specifically demonstrated security consequence.</w:t>
      </w:r>
    </w:p>
    <w:p>
      <w:pPr>
        <w:pStyle w:val="Normal"/>
      </w:pPr>
      <w:r>
        <w:t>3. The affected market shall be defined before severity percentages are calculated. Market definition shall use commercially and economically defensible product, geographic, functional, and temporal boundaries and shall disclose material alternative definitions.</w:t>
      </w:r>
    </w:p>
    <w:p>
      <w:pPr>
        <w:pStyle w:val="Normal"/>
      </w:pPr>
      <w:r>
        <w:t>4. A Party may not select an artificially narrow denominator solely to magnify market share, injury, dependency, or strategic importance. Cothrom shall validate the market definition independently before it is used for Stage 7 or Stage 8.</w:t>
      </w:r>
    </w:p>
    <w:p>
      <w:pPr>
        <w:pStyle w:val="Normal"/>
      </w:pPr>
      <w:r>
        <w:t>5. Where reasonable market definitions produce materially different severity results, the Panel shall report the range and shall not select the most punitive result without a reasoned evidentiary basis.</w:t>
      </w:r>
    </w:p>
    <w:p>
      <w:pPr>
        <w:pStyle w:val="Heading2"/>
      </w:pPr>
      <w:bookmarkStart w:id="901229" w:name="_Toc300001228"/>
      <w:r>
        <w:t>Article 35.50: Aggregate Remedy Burden and Anti-Fragmentation Safeguard</w:t>
      </w:r>
      <w:bookmarkEnd w:id="901229"/>
    </w:p>
    <w:p>
      <w:pPr>
        <w:pStyle w:val="Normal"/>
      </w:pPr>
      <w:r>
        <w:t>1. Module locality does not authorize a Party to create disproportionate aggregate pressure by multiplying simultaneous proceedings or corrective measures across modules.</w:t>
      </w:r>
    </w:p>
    <w:p>
      <w:pPr>
        <w:pStyle w:val="Normal"/>
      </w:pPr>
      <w:r>
        <w:t>2. The Secretariat shall maintain an Aggregate Remedy Register showing active demerit consequences, preference step-backs, suspensions, provisional measures, compensation obligations, and tariff petitions affecting each Party.</w:t>
      </w:r>
    </w:p>
    <w:p>
      <w:pPr>
        <w:pStyle w:val="Normal"/>
      </w:pPr>
      <w:r>
        <w:t>3. Before approving a new Stage 6, Stage 7, or Stage 8 measure, the decision-maker shall consider the cumulative economic burden of concurrent treaty remedies, overlap among affected firms and supply chains, and whether separate proceedings arise from substantially common facts or policy.</w:t>
      </w:r>
    </w:p>
    <w:p>
      <w:pPr>
        <w:pStyle w:val="Normal"/>
      </w:pPr>
      <w:r>
        <w:t>4. Where cumulative measures create a serious risk of disproportionate economy-wide harm, the Commission shall convene an expedited Treaty-Wide Proportionality Review. The review may sequence, consolidate, narrow, suspend, or coordinate remedies while preserving effective enforcement of verified obligations.</w:t>
      </w:r>
    </w:p>
    <w:p>
      <w:pPr>
        <w:pStyle w:val="Normal"/>
      </w:pPr>
      <w:r>
        <w:t>5. Separate genuine breaches remain separately enforceable. This Article prevents remedial fragmentation from becoming de facto cross-sector punishment; it does not create immunity through repeated violations.</w:t>
      </w:r>
    </w:p>
    <w:p>
      <w:pPr>
        <w:pStyle w:val="Heading2"/>
      </w:pPr>
      <w:bookmarkStart w:id="901230" w:name="_Toc300001229"/>
      <w:r>
        <w:t>Article 35.51: Repetitive Petition, Safe-Harbour, and Process-Abuse Rules</w:t>
      </w:r>
      <w:bookmarkEnd w:id="901230"/>
    </w:p>
    <w:p>
      <w:pPr>
        <w:pStyle w:val="Normal"/>
      </w:pPr>
      <w:r>
        <w:t>1. Denial of a tariff petition on the merits creates a 180-day safe harbour against a substantially identical tariff petition concerning the same measure, same underlying breach, and materially unchanged evidence.</w:t>
      </w:r>
    </w:p>
    <w:p>
      <w:pPr>
        <w:pStyle w:val="Normal"/>
      </w:pPr>
      <w:r>
        <w:t>2. A new petition during the safe-harbour period is admissible only upon materially new facts, a new verified breach, material deterioration, or evidence unavailable despite reasonable diligence during the earlier proceeding.</w:t>
      </w:r>
    </w:p>
    <w:p>
      <w:pPr>
        <w:pStyle w:val="Normal"/>
      </w:pPr>
      <w:r>
        <w:t>3. Three tariff petitions by the same Party within 24 months that are finally determined to be manifestly unfounded may trigger enhanced admissibility screening for subsequent tariff petitions for 12 months. Losing a close, novel, or good-faith case is not manifestly unfounded.</w:t>
      </w:r>
    </w:p>
    <w:p>
      <w:pPr>
        <w:pStyle w:val="Normal"/>
      </w:pPr>
      <w:r>
        <w:t>4. Enhanced screening shall be conducted by a differently constituted Cothrom panel and shall determine only whether the petition presents a serious evidence-based claim. It shall not prejudge the merits.</w:t>
      </w:r>
    </w:p>
    <w:p>
      <w:pPr>
        <w:pStyle w:val="Normal"/>
      </w:pPr>
      <w:r>
        <w:t>5. Filing, publicity, or procedural timing shall not be manipulated principally to create market uncertainty or economic pressure. Evidence of such purpose may support a treaty-integrity finding but shall require more than foreseeable market reaction to a legitimate filing.</w:t>
      </w:r>
    </w:p>
    <w:p>
      <w:pPr>
        <w:spacing w:before="0" w:after="0"/>
        <w:widowControl w:val="1"/>
      </w:pPr>
      <w:r>
        <w:t>6. SCREENING SECURITY AND PETITION INCIDENCE ACTORS. Provisional revenue protection in Article 35.11A means refundable bond, guarantee or escrow expressly permitted under Articles 35.14 and 35.16, not cash tariff collection or a presumption of breach. Manifestly unfounded in Article 35.51 uses Article 35.19's lack-of-reasonable-evidentiary-basis standard, and enhanced repetitive-petition screening is ordered by the Article 31.A panel on a reasoned record with opportunity to answer. The petitioning Party supplies the preliminary economic-incidence analysis and supporting assumptions required by Article 35.38(4). The guarantor panel independently assesses that analysis under Article 35.40(3) and may deny an incomplete or unsupported petition without manufacturing the petitioner's burden evidence.</w:t>
      </w:r>
    </w:p>
    <w:p/>
    <w:p>
      <w:pPr>
        <w:pStyle w:val="Heading2"/>
      </w:pPr>
      <w:bookmarkStart w:id="901231" w:name="_Toc300001230"/>
      <w:r>
        <w:t>Article 35.52: Exceptional Remedy Learning and Self-Extinguishing Tariff Review</w:t>
      </w:r>
      <w:bookmarkEnd w:id="901231"/>
    </w:p>
    <w:p>
      <w:pPr>
        <w:pStyle w:val="Normal"/>
      </w:pPr>
      <w:r>
        <w:t>1. Every tariff authorized under Articles 35.38 through 35.40 automatically triggers an Exceptional Remedy Review after termination and no later than 90 days after first collection.</w:t>
      </w:r>
    </w:p>
    <w:p>
      <w:pPr>
        <w:pStyle w:val="Normal"/>
      </w:pPr>
      <w:r>
        <w:t>2. The review shall determine why Cothrom, cure, demerits, preference step-back, compensation, provisional relief, and other non-tariff mechanisms failed or were inadequate; whether the tariff materially improved compliance; what collateral costs occurred; and whether a new non-tariff remedy could address the same failure mode in the future.</w:t>
      </w:r>
    </w:p>
    <w:p>
      <w:pPr>
        <w:pStyle w:val="Normal"/>
      </w:pPr>
      <w:r>
        <w:t>3. Where a recurring failure mode is identified, the Commission shall develop a proposed non-tariff substitute, procedural acceleration, or treaty amendment for consideration within 180 days.</w:t>
      </w:r>
    </w:p>
    <w:p>
      <w:pPr>
        <w:pStyle w:val="Normal"/>
      </w:pPr>
      <w:r>
        <w:t>4. Successful use of a tariff does not create precedent that tariffs are preferred, normal, or presumptively effective in later cases. Each later petition begins with the burden in Article 35.38.</w:t>
      </w:r>
    </w:p>
    <w:p>
      <w:pPr>
        <w:pStyle w:val="Normal"/>
      </w:pPr>
      <w:r>
        <w:t>5. Findings from every Exceptional Remedy Review shall feed directly into the three-year abolition study under Article 35.41.</w:t>
      </w:r>
    </w:p>
    <w:p>
      <w:pPr>
        <w:pStyle w:val="Heading2"/>
      </w:pPr>
      <w:bookmarkStart w:id="901232" w:name="_Toc300001231"/>
      <w:r>
        <w:t>Article 35.53: Material Non-Public Trade Information and Market Integrity Firewall</w:t>
      </w:r>
      <w:bookmarkEnd w:id="901232"/>
    </w:p>
    <w:p>
      <w:pPr>
        <w:pStyle w:val="Normal"/>
      </w:pPr>
      <w:r>
        <w:t>1. Material Non-Public Trade Information, or MNPTI, means non-public information obtained through this Agreement that a reasonable market participant would consider important in trading or valuing a financial instrument, commodity, currency, enterprise, or transaction.</w:t>
      </w:r>
    </w:p>
    <w:p>
      <w:pPr>
        <w:pStyle w:val="Normal"/>
      </w:pPr>
      <w:r>
        <w:t>2. MNPTI includes, where material and non-public, tariff petitions before authorized publication; Cothrom findings; demerit assessments; cure certifications; guarantor identities before authorized disclosure; preliminary or intended guarantor votes; likely authorization or denial; proposed rates, product coverage, effective dates, renewals or termination; settlement positions; classified evidence; and market-moving implementation decisions.</w:t>
      </w:r>
    </w:p>
    <w:p>
      <w:pPr>
        <w:pStyle w:val="Normal"/>
      </w:pPr>
      <w:r>
        <w:t>3. No covered person may trade, tip, recommend, facilitate, direct, hedge, alter beneficial ownership, or cause another person to transact on the basis of MNPTI.</w:t>
      </w:r>
    </w:p>
    <w:p>
      <w:pPr>
        <w:pStyle w:val="Normal"/>
      </w:pPr>
      <w:r>
        <w:t>4. Covered instruments include securities, options, futures, swaps, commodities, currencies, exchange-traded products, short positions, synthetic exposures, prediction or event contracts, and other instruments whose value may reasonably be affected by the information.</w:t>
      </w:r>
    </w:p>
    <w:p>
      <w:pPr>
        <w:pStyle w:val="Normal"/>
      </w:pPr>
      <w:r>
        <w:t>5. Covered persons include Party officials and employees, Secretariat and Cothrom personnel, guarantor representatives, Integrity Panel personnel, contractors, advisers, experts, special advocates, and any other person lawfully entrusted with MNPTI. Transactions through controlled entities, nominees, trusts, intermediaries, or associated persons are covered where direction, tipping, beneficial ownership, or coordinated conduct is established.</w:t>
      </w:r>
    </w:p>
    <w:p>
      <w:pPr>
        <w:pStyle w:val="Heading2"/>
      </w:pPr>
      <w:bookmarkStart w:id="901233" w:name="_Toc300001232"/>
      <w:r>
        <w:t>Article 35.54: Trading Blackout, Preclearance, Beneficial Ownership, and Record Preservation</w:t>
      </w:r>
      <w:bookmarkEnd w:id="901233"/>
    </w:p>
    <w:p>
      <w:pPr>
        <w:pStyle w:val="Normal"/>
      </w:pPr>
      <w:r>
        <w:t>1. Receipt of MNPTI automatically places the covered person under a blackout with respect to instruments reasonably affected by that information until the information is publicly released and a reasonable market-absorption period established by Annex 35-J has elapsed.</w:t>
      </w:r>
    </w:p>
    <w:p>
      <w:pPr>
        <w:pStyle w:val="Normal"/>
      </w:pPr>
      <w:r>
        <w:t>2. Persons in designated high-sensitivity roles shall preclear covered financial transactions through an independent ethics function during active tariff, cure, guarantor, or exceptional-remedy proceedings.</w:t>
      </w:r>
    </w:p>
    <w:p>
      <w:pPr>
        <w:pStyle w:val="Normal"/>
      </w:pPr>
      <w:r>
        <w:t>3. Annex 35-J may establish safe harbours for genuinely diversified blind trusts, broad-market index vehicles, automatic pre-existing investment plans, and transactions demonstrably unrelated to MNPTI, provided the covered person cannot direct timing or selection in response to the information.</w:t>
      </w:r>
    </w:p>
    <w:p>
      <w:pPr>
        <w:pStyle w:val="Normal"/>
      </w:pPr>
      <w:r>
        <w:t>4. Where credible evidence warrants investigation, competent authorities may trace ultimate beneficial ownership and related transactions according to domestic law, due process, privacy safeguards, and applicable international cooperation arrangements.</w:t>
      </w:r>
    </w:p>
    <w:p>
      <w:pPr>
        <w:pStyle w:val="Normal"/>
      </w:pPr>
      <w:r>
        <w:t>5. Covered institutions and persons shall preserve relevant decision logs, official communications, disclosure records, access logs, and other treaty-integrity records for the period specified in Annex 35-J. Knowing destruction, concealment, falsification, or circumvention of a preservation duty is a separate treaty-integrity violation.</w:t>
      </w:r>
    </w:p>
    <w:p>
      <w:pPr>
        <w:pStyle w:val="Heading2"/>
      </w:pPr>
      <w:bookmarkStart w:id="901234" w:name="_Toc300001233"/>
      <w:r>
        <w:t>Article 35.55: Simultaneous Publication, Selective Disclosure, and Rumour Firewall</w:t>
      </w:r>
      <w:bookmarkEnd w:id="901234"/>
    </w:p>
    <w:p>
      <w:pPr>
        <w:pStyle w:val="Normal"/>
      </w:pPr>
      <w:r>
        <w:t>1. A final market-sensitive determination under Articles 35.38 through 35.54 becomes legally operative only through the authenticated Treaty Registry. No speech, interview, social-media post, leak, press report, private notice, or political statement substitutes for Registry publication.</w:t>
      </w:r>
    </w:p>
    <w:p>
      <w:pPr>
        <w:pStyle w:val="Normal"/>
      </w:pPr>
      <w:r>
        <w:t>2. Final determinations shall be released simultaneously to the Parties and the public through the Registry as soon as practicable and ordinarily within two hours after final certification, subject only to a narrowly documented security or technical necessity.</w:t>
      </w:r>
    </w:p>
    <w:p>
      <w:pPr>
        <w:pStyle w:val="Normal"/>
      </w:pPr>
      <w:r>
        <w:t>3. No Party or covered person may deliberately provide MNPTI selectively to a company, investor, donor, political organization, campaign actor, journalist, market participant, relative, associate, or other person for the purpose of conferring an informational advantage, manipulating markets, or exerting economic pressure.</w:t>
      </w:r>
    </w:p>
    <w:p>
      <w:pPr>
        <w:pStyle w:val="Normal"/>
      </w:pPr>
      <w:r>
        <w:t>4. Political officials remain free to state policy preferences, criticize another Party, advocate a lawful outcome, or discuss public information. A covered official shall not knowingly make a materially false statement about the formal legal or procedural status of a tariff authorization, guarantor vote, cure certification, or other Registry-controlled determination.</w:t>
      </w:r>
    </w:p>
    <w:p>
      <w:pPr>
        <w:pStyle w:val="Normal"/>
      </w:pPr>
      <w:r>
        <w:t>5. Unauthorized selective disclosure is independently reviewable even where no profitable trade is proven.</w:t>
      </w:r>
    </w:p>
    <w:p>
      <w:pPr>
        <w:pStyle w:val="Heading2"/>
      </w:pPr>
      <w:bookmarkStart w:id="901235" w:name="_Toc300001234"/>
      <w:r>
        <w:t>Article 35.56: Market Surveillance Cooperation and Independent Market Integrity Review</w:t>
      </w:r>
      <w:bookmarkEnd w:id="901235"/>
    </w:p>
    <w:p>
      <w:pPr>
        <w:pStyle w:val="Normal"/>
      </w:pPr>
      <w:r>
        <w:t>1. The Secretariat shall establish lawful rapid-notification, preservation, and cooperation arrangements with the competent securities, commodities, competition, financial-intelligence, ethics, and market regulators designated by each Party.</w:t>
      </w:r>
    </w:p>
    <w:p>
      <w:pPr>
        <w:pStyle w:val="Normal"/>
      </w:pPr>
      <w:r>
        <w:t>2. For materially market-sensitive events, the Secretariat may transmit confidential event-window notices to designated competent authorities so they may, under domestic law, assess abnormal trading volume, options activity, derivatives, short positions, commodity or currency exposure, beneficial-ownership changes, or other relevant indicators.</w:t>
      </w:r>
    </w:p>
    <w:p>
      <w:pPr>
        <w:pStyle w:val="Normal"/>
      </w:pPr>
      <w:r>
        <w:t>3. Unusual trading does not by itself establish misconduct. Investigation shall follow the sequence of tripwire, independent preliminary assessment, evidence preservation, adversarial or protected testing, finding, and proportionate consequence.</w:t>
      </w:r>
    </w:p>
    <w:p>
      <w:pPr>
        <w:pStyle w:val="Normal"/>
        <w:spacing w:before="0" w:after="0"/>
        <w:widowControl w:val="1"/>
      </w:pPr>
      <w:r>
        <w:t>4. Treaty-level questions of whether a NAESTMA proceeding was materially compromised shall be decided by an independent three-member Integrity Review Panel randomly selected from persons and States not participating in the underlying tariff or integrity panel. Criminal, civil, securities-law, forfeiture, and professional liability remain governed by applicable domestic law.</w:t>
      </w:r>
    </w:p>
    <w:p/>
    <w:p>
      <w:pPr>
        <w:pStyle w:val="Normal"/>
      </w:pPr>
      <w:r>
        <w:t>5. Upon a preliminary finding of credible evidence of serious market-integrity interference, the Integrity Review Panel may stay implementation for up to 14 days while conducting expedited review. An allegation alone does not stay a proceeding.</w:t>
      </w:r>
    </w:p>
    <w:p>
      <w:pPr>
        <w:pStyle w:val="Heading2"/>
      </w:pPr>
      <w:bookmarkStart w:id="901236" w:name="_Toc300001235"/>
      <w:r>
        <w:t>Article 35.57: Market Manipulation Consequences, Disgorgement Cooperation, and Anti-False-Flag Rule</w:t>
      </w:r>
      <w:bookmarkEnd w:id="901236"/>
    </w:p>
    <w:p>
      <w:pPr>
        <w:pStyle w:val="Normal"/>
        <w:spacing w:before="0" w:after="0"/>
        <w:widowControl w:val="1"/>
      </w:pPr>
      <w:r>
        <w:t>1. If the Integrity Review Panel finds by clear and convincing evidence that the tariff-petitioning Party's senior officials, authorized agents, or persons acting at its direction deliberately used MNPTI, selective disclosure, materially false procedural statements, or coordinated market conduct to manipulate markets or improperly profit from the tariff proceeding, the tariff petition shall be dismissed and Article 35.42.6 shall apply mutatis mutandis.</w:t>
      </w:r>
    </w:p>
    <w:p/>
    <w:p>
      <w:pPr>
        <w:pStyle w:val="Normal"/>
      </w:pPr>
      <w:r>
        <w:t>2. If an authorization is already operative, a material petitioning-party market-integrity violation suspends the authorization immediately and terminates it upon final confirmation, without prejudice to lawful non-tariff remedies.</w:t>
      </w:r>
    </w:p>
    <w:p>
      <w:pPr>
        <w:pStyle w:val="Normal"/>
      </w:pPr>
      <w:r>
        <w:t>3. A private actor, respondent Party, or third person cannot manufacture dismissal by independently trading, leaking, or manipulating markets without the petitioning Party's direction, authorization, knowing participation, or knowing adoption. Independent misconduct is referred to competent authorities and remedied without rewarding the wrongdoer.</w:t>
      </w:r>
    </w:p>
    <w:p>
      <w:pPr>
        <w:pStyle w:val="Normal"/>
      </w:pPr>
      <w:r>
        <w:t>4. The Parties shall cooperate, consistent with domestic law, in lawful disgorgement, restitution, forfeiture, recovery of unlawful proceeds, beneficial-ownership tracing, and enforcement of market-integrity judgments. Nothing in this Agreement creates a new criminal offense or predetermines criminal guilt.</w:t>
      </w:r>
    </w:p>
    <w:p>
      <w:pPr>
        <w:pStyle w:val="Normal"/>
      </w:pPr>
      <w:r>
        <w:t>5. No treaty benefit, confidentiality rule, or procedural privilege shall be interpreted to preserve profit judicially or administratively determined under applicable law to derive from a treaty-integrity violation.</w:t>
      </w:r>
    </w:p>
    <w:p>
      <w:pPr>
        <w:pStyle w:val="Heading2"/>
      </w:pPr>
      <w:bookmarkStart w:id="901237" w:name="_Toc300001236"/>
      <w:r>
        <w:t>Article 35.58: Market-Impact Evidence for the Three-Year Tariff Abolition Study</w:t>
      </w:r>
      <w:bookmarkEnd w:id="901237"/>
    </w:p>
    <w:p>
      <w:pPr>
        <w:pStyle w:val="Normal"/>
      </w:pPr>
      <w:r>
        <w:t>1. The study required by Article 35.41 shall measure not only tariffs actually imposed but also the market and investment effects of tariff petitions, pending authorizations, denials, renewals, public statements, and procedural uncertainty.</w:t>
      </w:r>
    </w:p>
    <w:p>
      <w:pPr>
        <w:pStyle w:val="Normal"/>
      </w:pPr>
      <w:r>
        <w:t>2. The study shall evaluate abnormal volatility where methodologically supportable, investment delay, financing cost, hedging expense, supply-chain precaution, liquidity effects, and evidence of speculative activity around material treaty events, while distinguishing correlation from proven causation.</w:t>
      </w:r>
    </w:p>
    <w:p>
      <w:pPr>
        <w:pStyle w:val="Normal"/>
      </w:pPr>
      <w:r>
        <w:t>3. If the retained possibility of tariffs produces recurring material economic costs even where tariffs are rarely authorized, the study shall treat those costs as relevant evidence in determining whether tariff authority should be further restricted or abolished.</w:t>
      </w:r>
    </w:p>
    <w:p>
      <w:pPr>
        <w:pStyle w:val="Heading2"/>
      </w:pPr>
      <w:bookmarkStart w:id="901239" w:name="_Toc300001238"/>
      <w:r>
        <w:t>Article 35.59: Treaty-Wide Issue-Nexus and Non-Trade Coercion Firewall</w:t>
      </w:r>
      <w:bookmarkEnd w:id="901239"/>
    </w:p>
    <w:p>
      <w:pPr>
        <w:pStyle w:val="Normal"/>
      </w:pPr>
      <w:r>
        <w:t>1. No Party may suspend, condition, threaten to withdraw, or materially impair a treaty benefit as a corrective response to conduct that is not governed by an obligation of this Agreement, except where another express provision lawfully makes that conduct relevant.</w:t>
      </w:r>
    </w:p>
    <w:p>
      <w:pPr>
        <w:pStyle w:val="Normal"/>
      </w:pPr>
      <w:r>
        <w:t>2. Migration, narcotics, defense spending, diplomatic disagreement, political speech, advertising, electoral conduct, unrelated foreign policy, or another non-trade grievance does not by itself authorize a trade remedy or withdrawal of an existing treaty benefit.</w:t>
      </w:r>
    </w:p>
    <w:p>
      <w:pPr>
        <w:pStyle w:val="Normal"/>
      </w:pPr>
      <w:r>
        <w:t>3. This Article does not restrict diplomacy, sanctions lawfully permitted by this Agreement, genuine essential-security measures satisfying Chapter 32, or a Party's sovereign right to withdraw under Chapter 34. It prevents unrelated grievances from being laundered into treaty enforcement.</w:t>
      </w:r>
    </w:p>
    <w:p>
      <w:pPr>
        <w:pStyle w:val="Normal"/>
      </w:pPr>
      <w:r>
        <w:t>4. Where a measure has multiple stated purposes, the reviewing body shall identify whether the treaty-restrictive component has the required legal and factual nexus to an obligation or exception under this Agreement.</w:t>
      </w:r>
    </w:p>
    <w:p>
      <w:pPr>
        <w:pStyle w:val="Heading2"/>
      </w:pPr>
      <w:bookmarkStart w:id="901211" w:name="_Toc300001210"/>
      <w:r>
        <w:t>ANNEX 35-A: PROPORTIONAL TRADE ADJUSTMENT CALCULATION METHODOLOGY</w:t>
      </w:r>
      <w:bookmarkEnd w:id="901211"/>
    </w:p>
    <w:p>
      <w:pPr>
        <w:pStyle w:val="Heading3"/>
      </w:pPr>
      <w:r>
        <w:t>Part 1: Quantification of the Verified Economic Distortion</w:t>
      </w:r>
    </w:p>
    <w:p>
      <w:pPr>
        <w:pStyle w:val="Normal"/>
      </w:pPr>
      <w:r>
        <w:t>1. The Verification Team shall quantify the distortion using the best available of the following measures, in descending order of preference:</w:t>
      </w:r>
    </w:p>
    <w:p>
      <w:pPr>
        <w:pStyle w:val="Normal"/>
      </w:pPr>
      <w:r>
        <w:t xml:space="preserve">(a) </w:t>
      </w:r>
      <w:r>
        <w:rPr>
          <w:b/>
        </w:rPr>
        <w:t>Subsidy margin:</w:t>
      </w:r>
      <w:r>
        <w:t xml:space="preserve"> the ad valorem benefit conferred by the subsidization, calculated as the benefit amount allocated over the relevant sales value of the affected goods.</w:t>
      </w:r>
    </w:p>
    <w:p>
      <w:pPr>
        <w:pStyle w:val="Normal"/>
      </w:pPr>
      <w:r>
        <w:t xml:space="preserve">(b) </w:t>
      </w:r>
      <w:r>
        <w:rPr>
          <w:b/>
        </w:rPr>
        <w:t>Dumping margin:</w:t>
      </w:r>
      <w:r>
        <w:t xml:space="preserve"> the weighted-average margin of dumping for the affected goods, calculated by comparison of normal value and export price in accordance with the methodology of the WTO Anti-Dumping Agreement as applied under Chapter 10.</w:t>
      </w:r>
    </w:p>
    <w:p>
      <w:pPr>
        <w:pStyle w:val="Normal"/>
      </w:pPr>
      <w:r>
        <w:t xml:space="preserve">(c) </w:t>
      </w:r>
      <w:r>
        <w:rPr>
          <w:b/>
        </w:rPr>
        <w:t>Price effect:</w:t>
      </w:r>
      <w:r>
        <w:t xml:space="preserve"> the percentage by which the verified conduct has suppressed, depressed, or distorted prices of the like goods in the affected market, estimated by an accepted economic methodology documented in the verification report.</w:t>
      </w:r>
    </w:p>
    <w:p>
      <w:pPr>
        <w:pStyle w:val="Normal"/>
      </w:pPr>
      <w:r>
        <w:t xml:space="preserve">(d) </w:t>
      </w:r>
      <w:r>
        <w:rPr>
          <w:b/>
        </w:rPr>
        <w:t>Volume effect:</w:t>
      </w:r>
      <w:r>
        <w:t xml:space="preserve"> where price effect cannot be reliably estimated, the verified excess of injurious import volume attributable to the distortion, converted to an ad valorem equivalent using a sector-specific pass-through estimate where reliable evidence exists.</w:t>
      </w:r>
    </w:p>
    <w:p>
      <w:pPr>
        <w:pStyle w:val="Normal"/>
      </w:pPr>
      <w:r>
        <w:t>2. Every quantification shall specify: the counterfactual baseline (the state of the market absent the distortion); the treatment of direct effects and of indirect effects, which are included only where demonstrated by evidence rather than presumed; the treatment of exchange-rate movements, lost sales, price suppression or depression, and subsidy incidence; and the data sources and assumptions used. General macroeconomic conditions, aggregate trade balances, and speculative effects shall not be included.</w:t>
      </w:r>
    </w:p>
    <w:p>
      <w:pPr>
        <w:pStyle w:val="Normal"/>
      </w:pPr>
      <w:r>
        <w:t>3. The Verification Team shall report a best estimate and an uncertainty band. Where the estimate is a range, the operative estimate for the purposes of Article 35.12.3 is the lower bound of the uncertainty band, unless the evidence supporting a higher estimate constitutes full confirmation under Annex 35-C, in which case the best estimate applies.</w:t>
      </w:r>
    </w:p>
    <w:p>
      <w:pPr>
        <w:pStyle w:val="Heading3"/>
      </w:pPr>
      <w:r>
        <w:t>Part 1A: Replicability, Causation, and Methodological Hierarchy</w:t>
      </w:r>
    </w:p>
    <w:p>
      <w:pPr>
        <w:pStyle w:val="Normal"/>
      </w:pPr>
      <w:r>
        <w:t>1. A quantification is sufficiently objective only if an independent qualified analyst, using the disclosed data and methodology, can reproduce the material result within the stated uncertainty band. The Verification Team shall publish a non-confidential replication memorandum.</w:t>
      </w:r>
    </w:p>
    <w:p>
      <w:pPr>
        <w:pStyle w:val="Normal"/>
      </w:pPr>
      <w:r>
        <w:t>2. Evidence shall be weighted in the following order unless a reasoned finding justifies departure: verified transaction-level data; audited firm or customs data; official statistics; independently validated sector data; and transparent modeled estimates. Unsupported assertions, aggregate trade balances, and politically selected benchmarks carry no evidentiary weight.</w:t>
      </w:r>
    </w:p>
    <w:p>
      <w:pPr>
        <w:pStyle w:val="Normal"/>
      </w:pPr>
      <w:r>
        <w:t>3. The counterfactual shall represent the most probable market outcome absent the verified conduct. It shall not assume perfect competition, unchanged exchange rates, constant demand, or other conditions contradicted by the evidence.</w:t>
      </w:r>
    </w:p>
    <w:p>
      <w:pPr>
        <w:pStyle w:val="Normal"/>
      </w:pPr>
      <w:r>
        <w:t>4. Causation shall separate the verified conduct from demand shifts, input-price changes, exchange-rate movements, business-cycle effects, technological change, lawful comparative advantage, and other demonstrated causes. Only injury reasonably attributable to the verified conduct enters the PTA calculation.</w:t>
      </w:r>
    </w:p>
    <w:p>
      <w:pPr>
        <w:pStyle w:val="Normal"/>
      </w:pPr>
      <w:r>
        <w:t>5. No effect may be counted more than once. Lost sales, price suppression, margin effects, subsidy incidence, downstream effects, and pass-through shall be reconciled to prevent duplication.</w:t>
      </w:r>
    </w:p>
    <w:p>
      <w:pPr>
        <w:pStyle w:val="Normal"/>
      </w:pPr>
      <w:r>
        <w:t>6. Every material model shall include sensitivity analysis identifying the variables that materially alter the result. Where reasonable alternative assumptions produce materially different outcomes, the uncertainty band shall encompass those outcomes unless the Panel explains their exclusion.</w:t>
      </w:r>
    </w:p>
    <w:p>
      <w:pPr>
        <w:pStyle w:val="Normal"/>
      </w:pPr>
      <w:r>
        <w:t>7. Sector-specific methodologies may be maintained in the Technical Schedule, but shall comply with this Annex and shall be reviewed at least every three years by independent economists nominated in equal number by the Parties.</w:t>
      </w:r>
    </w:p>
    <w:p>
      <w:pPr>
        <w:pStyle w:val="Normal"/>
      </w:pPr>
      <w:r>
        <w:t>8. Before a PTA based on a novel methodology becomes final, the methodology and calculation shall undergo independent replication by an expert not involved in the initial verification. Confidential information may be reviewed in camera under Annex 35-C.</w:t>
      </w:r>
    </w:p>
    <w:p>
      <w:pPr>
        <w:pStyle w:val="Heading3"/>
      </w:pPr>
      <w:r>
        <w:t>Part 2: Factor Ranges and Principles</w:t>
      </w:r>
    </w:p>
    <w:p>
      <w:pPr>
        <w:pStyle w:val="Normal"/>
      </w:pPr>
      <w:r>
        <w:t>1. The treaty-level calculation principles are: correction proportionate to measured distortion; escalation only with verified persistence; reduction with verified remediation; and conservatism in the face of uncertainty.</w:t>
      </w:r>
    </w:p>
    <w:p>
      <w:pPr>
        <w:pStyle w:val="Normal"/>
      </w:pPr>
      <w:r>
        <w:t>2. Within those principles, the factor ranges are:</w:t>
      </w:r>
    </w:p>
    <w:p>
      <w:pPr>
        <w:pStyle w:val="Normal"/>
      </w:pPr>
      <w:r>
        <w:t>(a) Severity Factor: 1.0 for Tier 2; 1.0 to 1.5 for Tier 3, fixed by the Verification Team by reference to the deliberateness and systematic character established under Article 35.11.3;</w:t>
      </w:r>
    </w:p>
    <w:p>
      <w:pPr>
        <w:pStyle w:val="Normal"/>
      </w:pPr>
      <w:r>
        <w:t>(b) Persistence Factor: 1.0 at inception, increasing by not more than 0.25 for each 90-day period of verified non-remediation, to a maximum of 2.0; and</w:t>
      </w:r>
    </w:p>
    <w:p>
      <w:pPr>
        <w:pStyle w:val="Normal"/>
      </w:pPr>
      <w:r>
        <w:t>(c) Remediation Factor: 0.0 (full remediation verified before imposition); 0.25 (substantial, 75 percent or more of the distortion eliminated); 0.5 (partial, 50 to 74 percent); 0.75 (preliminary, 25 to 49 percent); 1.0 (no remediation).</w:t>
      </w:r>
    </w:p>
    <w:p>
      <w:pPr>
        <w:pStyle w:val="Normal"/>
      </w:pPr>
      <w:r>
        <w:t>3. Specific coefficient values within these ranges, sector-specific pass-through estimates, and worked examples are maintained in the Technical Schedule to this Annex and may be updated by consensus through the Structured Technical Amendment Procedure in Article 34.3.A, provided that no update may exceed the ranges and maxima fixed in this Part, which are treaty-level commitments.</w:t>
      </w:r>
    </w:p>
    <w:p>
      <w:pPr>
        <w:pStyle w:val="Heading3"/>
      </w:pPr>
      <w:r>
        <w:t>Part 3: Worked Example</w:t>
      </w:r>
    </w:p>
    <w:p>
      <w:pPr>
        <w:pStyle w:val="Normal"/>
      </w:pPr>
      <w:r>
        <w:t>1. Suppose the Verification Team verifies a subsidy conferring a best-estimate 7 percent ad valorem benefit (uncertainty band 5.5 to 8.5 percent) on identified goods of three producers in a Party, classified Tier 2 (Severity Factor 1.0), at inception (Persistence Factor 1.0), with no remediation (Remediation Factor 1.0), on partial confirmation. The Maximum PTA equals 5.5 × 1.0 × 1.0 × 1.0 = 5.5 percent (lower bound), applicable only to the identified goods of the identified producers.</w:t>
      </w:r>
    </w:p>
    <w:p>
      <w:pPr>
        <w:pStyle w:val="Normal"/>
        <w:spacing w:before="0" w:after="0"/>
        <w:widowControl w:val="1"/>
      </w:pPr>
      <w:r>
        <w:t>2. If, at day 120, verification establishes partial remediation eliminating 60 percent of the distortion (Remediation Factor 0.5), the Maximum PTA adjusts automatically to 5.5 × 1.0 × 1.25 × 0.5 = 3.44 percent, applied to the verified baseline once, with remediation accounted for solely through the Remediation Factor of the identified trade.</w:t>
      </w:r>
    </w:p>
    <w:p/>
    <w:p>
      <w:pPr>
        <w:pStyle w:val="Normal"/>
      </w:pPr>
      <w:r>
        <w:t>3. Upon certification of complete remediation, the PTA equals zero and terminates automatically under Article 35.18.</w:t>
      </w:r>
    </w:p>
    <w:p>
      <w:pPr>
        <w:spacing w:before="0" w:after="0"/>
        <w:widowControl w:val="1"/>
      </w:pPr>
      <w:r>
        <w:t>4. CAPPED EXAMPLE. If the verified lower-bound distortion is 5.5 percent and the uncapped factor calculation is 6.875 percent, Article 35.12.3 truncates it to 5.5 percent absent its separately authorized higher estimate or deterrence finding. A Remediation Factor of 0.5 is applied once to the selected baseline and the same remediation is not deducted a second time from that baseline. Tariff collection remains additionally limited by the lower Article 35.40 authorized rate, so the example never creates independent collection authority. Security expiry under Article 35.22.6 and Article 32.2(3)(e) as replaced is measured from adoption, not announcement, collection or a later label.</w:t>
      </w:r>
    </w:p>
    <w:p/>
    <w:p>
      <w:pPr>
        <w:pStyle w:val="Heading3"/>
      </w:pPr>
      <w:r>
        <w:t>Part 4: Pass-Through</w:t>
      </w:r>
    </w:p>
    <w:p>
      <w:pPr>
        <w:pStyle w:val="Normal"/>
      </w:pPr>
      <w:r>
        <w:t>1. Where a volume-to-price conversion is required, the Verification Team shall use a documented, sector-specific pass-through estimate wherever reliable evidence exists. Only where such evidence is unavailable may the Team apply the rebuttable default value in the Technical Schedule, and the responding Party or an affected entity may rebut the default with credible sector evidence at any stage, including on appeal.</w:t>
      </w:r>
    </w:p>
    <w:p>
      <w:pPr>
        <w:pStyle w:val="Heading3"/>
      </w:pPr>
      <w:r>
        <w:t>Part 5: Data Requirements</w:t>
      </w:r>
    </w:p>
    <w:p>
      <w:pPr>
        <w:pStyle w:val="Normal"/>
      </w:pPr>
      <w:r>
        <w:t>1. Calculations under this Annex shall use data drawn from the Shared Trade Data Registry wherever available, supplemented by verified party submissions. Data standards, chain-of-custody, simultaneous-access, confidentiality, cybersecurity, and audit rules are set out in Annex 35-C.</w:t>
      </w:r>
    </w:p>
    <w:p>
      <w:pPr>
        <w:pStyle w:val="Heading2"/>
      </w:pPr>
      <w:bookmarkStart w:id="901212" w:name="_Toc300001211"/>
      <w:r>
        <w:t>ANNEX 35-B: TRADE MODULES AND STRATEGIC SECTORS</w:t>
      </w:r>
      <w:bookmarkEnd w:id="901212"/>
    </w:p>
    <w:p>
      <w:pPr>
        <w:pStyle w:val="Heading3"/>
      </w:pPr>
      <w:r>
        <w:t>Part 1: Trade Modules and the Dominant-Purpose Test</w:t>
      </w:r>
    </w:p>
    <w:p>
      <w:pPr>
        <w:pStyle w:val="Normal"/>
      </w:pPr>
      <w:r>
        <w:t>1. For the purposes of Article 35.15, trade between the Parties is organized into the following modules:</w:t>
      </w:r>
    </w:p>
    <w:p>
      <w:pPr>
        <w:pStyle w:val="Normal"/>
      </w:pPr>
      <w:r>
        <w:t>(a) Automotive: passenger vehicles, sport-utility vehicles, vans, pickup trucks and other light trucks, medium-duty trucks, heavy-duty trucks, buses, and parts and components thereof;</w:t>
      </w:r>
    </w:p>
    <w:p>
      <w:pPr>
        <w:pStyle w:val="Normal"/>
      </w:pPr>
      <w:r>
        <w:t xml:space="preserve">(b) </w:t>
      </w:r>
      <w:r>
        <w:rPr>
          <w:b/>
        </w:rPr>
        <w:t>Agriculture and Agri-Food:</w:t>
      </w:r>
      <w:r>
        <w:t xml:space="preserve"> agricultural goods, food products, beverages, and agricultural inputs, including dairy, poultry, eggs, and alcoholic beverages as sub-modules;</w:t>
      </w:r>
    </w:p>
    <w:p>
      <w:pPr>
        <w:pStyle w:val="Normal"/>
      </w:pPr>
      <w:r>
        <w:t xml:space="preserve">(c) </w:t>
      </w:r>
      <w:r>
        <w:rPr>
          <w:b/>
        </w:rPr>
        <w:t>Energy:</w:t>
      </w:r>
      <w:r>
        <w:t xml:space="preserve"> oil, gas, refined products, electricity, uranium, and energy equipment;</w:t>
      </w:r>
    </w:p>
    <w:p>
      <w:pPr>
        <w:pStyle w:val="Normal"/>
      </w:pPr>
      <w:r>
        <w:t xml:space="preserve">(d) </w:t>
      </w:r>
      <w:r>
        <w:rPr>
          <w:b/>
        </w:rPr>
        <w:t>Metals:</w:t>
      </w:r>
      <w:r>
        <w:t xml:space="preserve"> steel, aluminum, copper, and other base metals, and articles thereof;</w:t>
      </w:r>
    </w:p>
    <w:p>
      <w:pPr>
        <w:pStyle w:val="Normal"/>
      </w:pPr>
      <w:r>
        <w:t xml:space="preserve">(e) </w:t>
      </w:r>
      <w:r>
        <w:rPr>
          <w:b/>
        </w:rPr>
        <w:t>Critical Minerals and Batteries:</w:t>
      </w:r>
      <w:r>
        <w:t xml:space="preserve"> goods within Chapter 37;</w:t>
      </w:r>
    </w:p>
    <w:p>
      <w:pPr>
        <w:pStyle w:val="Normal"/>
      </w:pPr>
      <w:r>
        <w:t xml:space="preserve">(f) </w:t>
      </w:r>
      <w:r>
        <w:rPr>
          <w:b/>
        </w:rPr>
        <w:t>Digital and Technology:</w:t>
      </w:r>
      <w:r>
        <w:t xml:space="preserve"> digital products, semiconductors, electronics, telecommunications equipment, and technology services;</w:t>
      </w:r>
    </w:p>
    <w:p>
      <w:pPr>
        <w:pStyle w:val="Normal"/>
      </w:pPr>
      <w:r>
        <w:t xml:space="preserve">(g) </w:t>
      </w:r>
      <w:r>
        <w:rPr>
          <w:b/>
        </w:rPr>
        <w:t>Services:</w:t>
      </w:r>
      <w:r>
        <w:t xml:space="preserve"> cross-border services, financial services, and temporary entry;</w:t>
      </w:r>
    </w:p>
    <w:p>
      <w:pPr>
        <w:pStyle w:val="Normal"/>
      </w:pPr>
      <w:r>
        <w:t xml:space="preserve">(h) </w:t>
      </w:r>
      <w:r>
        <w:rPr>
          <w:b/>
        </w:rPr>
        <w:t>Government Procurement:</w:t>
      </w:r>
      <w:r>
        <w:t xml:space="preserve"> procurement within Chapter 13; and</w:t>
      </w:r>
    </w:p>
    <w:p>
      <w:pPr>
        <w:pStyle w:val="Normal"/>
      </w:pPr>
      <w:r>
        <w:t xml:space="preserve">(i) </w:t>
      </w:r>
      <w:r>
        <w:rPr>
          <w:b/>
        </w:rPr>
        <w:t>General Goods:</w:t>
      </w:r>
      <w:r>
        <w:t xml:space="preserve"> all goods not assigned to another module.</w:t>
      </w:r>
    </w:p>
    <w:p>
      <w:pPr>
        <w:pStyle w:val="Normal"/>
      </w:pPr>
      <w:r>
        <w:t>2. A distortion is assigned to the module in which the affected trade principally occurs. Where a good or distortion plausibly falls within more than one module (including batteries, semiconductors, and other multi-module products) assignment is determined by the dominant purpose of the affected trade: the module corresponding to the good’s principal economic character and principal use in the affected trade flow, as determined by the Verification Panel by reference to tariff classification, end use, and value composition. A party to the proceeding may challenge an assignment under Article 31.A, and the burden rests on the Party advocating the broader assignment.</w:t>
      </w:r>
    </w:p>
    <w:p>
      <w:pPr>
        <w:pStyle w:val="Normal"/>
      </w:pPr>
      <w:r>
        <w:t>3. Sub-modules operate as modules for the purposes of Article 35.15. For greater certainty, a distortion verified in the dairy sub-module does not authorize a measure in the agriculture module generally, and a distortion verified in the agriculture module does not authorize a measure in the automotive module.</w:t>
      </w:r>
    </w:p>
    <w:p>
      <w:pPr>
        <w:pStyle w:val="Normal"/>
      </w:pPr>
      <w:r>
        <w:t>4. No Party shall invoke module assignment strategically to multiply remedies against the same trade; Article 35.13A applies to integrated products.</w:t>
      </w:r>
    </w:p>
    <w:p>
      <w:pPr>
        <w:pStyle w:val="Heading3"/>
      </w:pPr>
      <w:r>
        <w:t>Part 2: Strategic Sectors</w:t>
      </w:r>
    </w:p>
    <w:p>
      <w:pPr>
        <w:pStyle w:val="Normal"/>
        <w:spacing w:before="0" w:after="0"/>
        <w:widowControl w:val="1"/>
      </w:pPr>
      <w:r>
        <w:t>1. The following are designated Strategic Sectors for the purposes of Article 35.23: automotive goods and parts; steel and aluminum; critical minerals; energy and electricity; grid equipment; advanced compute infrastructure; grid-scale energy storage; high-voltage transformers and power electronics; data-centre cooling and high-speed networking equipment; semiconductors; batteries; pharmaceuticals and medical goods; agricultural inputs and food staples; and telecommunications infrastructure.</w:t>
      </w:r>
    </w:p>
    <w:p>
      <w:pPr>
        <w:pStyle w:val="Normal"/>
      </w:pPr>
      <w:r>
        <w:t/>
      </w:r>
    </w:p>
    <w:p>
      <w:pPr>
        <w:pStyle w:val="Normal"/>
      </w:pPr>
      <w:r>
        <w:t>2. The Commission may, by consensus, designate additional Strategic Sectors or remove designations, and shall publish each designation in the Registry.</w:t>
      </w:r>
    </w:p>
    <w:p>
      <w:pPr/>
      <w:r>
        <w:t>Defense-related industrial inputs are additionally designated Strategic Sectors under this Part on the same terms as its other listed categories.</w:t>
      </w:r>
    </w:p>
    <w:p>
      <w:pPr>
        <w:pStyle w:val="Heading3"/>
      </w:pPr>
      <w:r>
        <w:t>Part 3: Essential Inputs</w:t>
      </w:r>
    </w:p>
    <w:p>
      <w:pPr>
        <w:pStyle w:val="Normal"/>
      </w:pPr>
      <w:r>
        <w:t>1. The Secretariat's Treaty Integrity function, in consultation with the Committee on Competitiveness, shall maintain and publish a list of inputs essential to integrated North American production, reviewed at least annually.</w:t>
      </w:r>
    </w:p>
    <w:p>
      <w:pPr>
        <w:pStyle w:val="Normal"/>
      </w:pPr>
      <w:r>
        <w:t>2. Listing is based on documented dependency, absence of reasonably available North American substitutes, and systemic disruption risk.</w:t>
      </w:r>
    </w:p>
    <w:p>
      <w:pPr>
        <w:pStyle w:val="Normal"/>
      </w:pPr>
      <w:r>
        <w:t>3. The Committee may designate specified grid-restoration, electricity-storage, telecommunications-restoration, and compute-continuity equipment as essential inputs where documented regional shortage, dependency, or resilience need satisfies paragraph 2.</w:t>
      </w:r>
    </w:p>
    <w:p>
      <w:pPr>
        <w:pStyle w:val="Heading2"/>
      </w:pPr>
      <w:bookmarkStart w:id="901213" w:name="_Toc300001212"/>
      <w:r>
        <w:t>ANNEX 35-C: SHARED TRADE DATA REGISTRY AND VERIFICATION DATA STANDARDS</w:t>
      </w:r>
      <w:bookmarkEnd w:id="901213"/>
    </w:p>
    <w:p>
      <w:pPr>
        <w:pStyle w:val="Heading3"/>
      </w:pPr>
      <w:r>
        <w:t>Part 1: The Registry</w:t>
      </w:r>
    </w:p>
    <w:p>
      <w:pPr>
        <w:pStyle w:val="Normal"/>
      </w:pPr>
      <w:r>
        <w:t>1. The Treaty Integrity Secretariat shall operate the Shared Trade Data Registry as a secure trilateral data system.</w:t>
      </w:r>
    </w:p>
    <w:p>
      <w:pPr>
        <w:pStyle w:val="Normal"/>
      </w:pPr>
      <w:r>
        <w:t>2. Each Party shall transmit to the Registry, on a continuing and simultaneous basis, the trade data categories established by the Commission under Article 35.28, including anonymized import and entry data for designated strategic goods, origin certification metadata, and such further categories as the Parties adopt by consensus.</w:t>
      </w:r>
    </w:p>
    <w:p>
      <w:pPr>
        <w:pStyle w:val="Normal"/>
        <w:spacing w:before="0" w:after="0"/>
        <w:widowControl w:val="1"/>
      </w:pPr>
      <w:r>
        <w:t xml:space="preserve">3. All Registry data shall be: (a) simultaneous, transmitted to each Party with identical latency; (b) unalterable, logged with cryptographic chain-of-custody, with no Party able to make an unlogged or unauthorized modification, deletion or redaction of the audit history, subject to the traceable lawful correction and retention rule in Part 5; (c) transparent as between the Parties, accessible to each Party, the Verification Panel, and the Treaty Integrity Secretariat, subject to the confidentiality tiers in Part 4; and (d) non-attributable for political purposes, collected and used for technical verification only.</w:t>
      </w:r>
      <w:r>
        <w:rPr>
          <w:b/>
        </w:rPr>
        <w:t/>
      </w:r>
      <w:r>
        <w:t xml:space="preserve"/>
      </w:r>
      <w:r>
        <w:rPr>
          <w:b/>
        </w:rPr>
        <w:t/>
      </w:r>
      <w:r>
        <w:t xml:space="preserve"/>
      </w:r>
      <w:r>
        <w:rPr>
          <w:b/>
        </w:rPr>
        <w:t/>
      </w:r>
      <w:r>
        <w:t xml:space="preserve"/>
      </w:r>
      <w:r>
        <w:rPr>
          <w:b/>
        </w:rPr>
        <w:t/>
      </w:r>
      <w:r>
        <w:t/>
      </w:r>
    </w:p>
    <w:p/>
    <w:p>
      <w:pPr>
        <w:pStyle w:val="Normal"/>
        <w:spacing w:before="0" w:after="0"/>
        <w:widowControl w:val="1"/>
      </w:pPr>
      <w:r>
        <w:t>4. The Registry retains logged data for not less than seven years, subject to the data-minimization and retention schedule adopted under Part 5. Any Party may request an independent forensic audit of any data segment; the auditor is selected from the Joint List and completes the audit within 30 days. The requesting Party bears the audit cost unless the audit reveals material manipulation, in which case the manipulating Party bears the reasonable verified audit costs attributable to the manipulation.</w:t>
      </w:r>
    </w:p>
    <w:p/>
    <w:p>
      <w:pPr>
        <w:pStyle w:val="Normal"/>
      </w:pPr>
      <w:r>
        <w:t>5. Persistent failure by a Party to meet Registry data quality standards (defined as three or more consecutive formatting or integrity alerts within any 72-hour period) constitutes a technical failure subject to technical review, and, if unresolved for 14 days, a Tier 1 classification under Article 35.11.</w:t>
      </w:r>
    </w:p>
    <w:p>
      <w:pPr>
        <w:pStyle w:val="Heading3"/>
      </w:pPr>
      <w:r>
        <w:t>Part 2: Verification Procedures</w:t>
      </w:r>
    </w:p>
    <w:p>
      <w:pPr>
        <w:pStyle w:val="Normal"/>
      </w:pPr>
      <w:r>
        <w:t>1. Verification Teams apply the data standards of this Annex. The unalterable, cryptographically sealed data stream constitutes the golden record against which claims are assessed.</w:t>
      </w:r>
    </w:p>
    <w:p>
      <w:pPr>
        <w:pStyle w:val="Normal"/>
        <w:spacing w:before="0" w:after="0"/>
        <w:widowControl w:val="1"/>
      </w:pPr>
      <w:r>
        <w:t>2. Confirmation levels are assigned as follows: full confirmation (95 percent or greater data alignment with the golden record, or equivalent documentary certainty); partial confirmation (50 percent or greater and below 95 percent); no confirmation (below 50 percent).</w:t>
      </w:r>
    </w:p>
    <w:p/>
    <w:p>
      <w:pPr>
        <w:pStyle w:val="Normal"/>
      </w:pPr>
      <w:r>
        <w:t>3. Where Registry data is incomplete for a matter, the Verification Team shall rely on certified party submissions, inspections, and third-party data, and shall record the resulting uncertainty band in accordance with Annex 35-A.</w:t>
      </w:r>
    </w:p>
    <w:p>
      <w:pPr>
        <w:pStyle w:val="Heading3"/>
      </w:pPr>
      <w:r>
        <w:t>Part 3: Cybersecurity and System Safeguards</w:t>
      </w:r>
    </w:p>
    <w:p>
      <w:pPr>
        <w:pStyle w:val="Normal"/>
      </w:pPr>
      <w:r>
        <w:t>1. Registry systems shall meet the cybersecurity standards adopted by the Committee on Digital Trade Cooperation, including encryption in transit and at rest, role-based access controls, continuous monitoring, and independent penetration testing at least annually.</w:t>
      </w:r>
    </w:p>
    <w:p>
      <w:pPr>
        <w:pStyle w:val="Normal"/>
      </w:pPr>
      <w:r>
        <w:t>2. The Registry maintains immutable audit logs of every access, query, and export; the logs are available to each Party as respects accesses to data it supplied.</w:t>
      </w:r>
    </w:p>
    <w:p>
      <w:pPr>
        <w:pStyle w:val="Normal"/>
      </w:pPr>
      <w:r>
        <w:t>3. A confirmed breach of the Registry shall be notified to all Parties within 72 hours, with an assessment of the data affected.</w:t>
      </w:r>
    </w:p>
    <w:p>
      <w:pPr>
        <w:pStyle w:val="Heading3"/>
      </w:pPr>
      <w:r>
        <w:t>Part 4: Confidential Business Information, Access Tiers</w:t>
      </w:r>
    </w:p>
    <w:p>
      <w:pPr>
        <w:pStyle w:val="Normal"/>
      </w:pPr>
      <w:r>
        <w:t>1. Confidential business information in the Registry or in verification proceedings is classified into tiers:</w:t>
      </w:r>
    </w:p>
    <w:p>
      <w:pPr>
        <w:pStyle w:val="Normal"/>
      </w:pPr>
      <w:r>
        <w:t xml:space="preserve">(a) </w:t>
      </w:r>
      <w:r>
        <w:rPr>
          <w:b/>
        </w:rPr>
        <w:t>Tier C-1 (public):</w:t>
      </w:r>
      <w:r>
        <w:t xml:space="preserve"> aggregate and anonymized data, published reports;</w:t>
      </w:r>
    </w:p>
    <w:p>
      <w:pPr>
        <w:pStyle w:val="Normal"/>
      </w:pPr>
      <w:r>
        <w:t xml:space="preserve">(b) </w:t>
      </w:r>
      <w:r>
        <w:rPr>
          <w:b/>
        </w:rPr>
        <w:t>Tier C-2 (Party-confidential):</w:t>
      </w:r>
      <w:r>
        <w:t xml:space="preserve"> identifiable entry-level and certification data, accessible to the customs and verification authorities of each Party for verification purposes only;</w:t>
      </w:r>
    </w:p>
    <w:p>
      <w:pPr>
        <w:pStyle w:val="Normal"/>
      </w:pPr>
      <w:r>
        <w:t xml:space="preserve">(c) </w:t>
      </w:r>
      <w:r>
        <w:rPr>
          <w:b/>
        </w:rPr>
        <w:t>Tier C-3 (restricted):</w:t>
      </w:r>
      <w:r>
        <w:t xml:space="preserve"> transaction-level commercial data, pricing, supply contracts, sourcing detail, and production costing, accessible only to the Verification Team members assigned to the specific matter, under confidentiality undertakings; and</w:t>
      </w:r>
    </w:p>
    <w:p>
      <w:pPr>
        <w:pStyle w:val="Normal"/>
      </w:pPr>
      <w:r>
        <w:t xml:space="preserve">(d) </w:t>
      </w:r>
      <w:r>
        <w:rPr>
          <w:b/>
        </w:rPr>
        <w:t>Tier C-4 (national custody):</w:t>
      </w:r>
      <w:r>
        <w:t xml:space="preserve"> information a Party’s law requires to remain within its national customs systems, which does not leave those systems and is instead examined on-site or through summarized, certified extracts.</w:t>
      </w:r>
    </w:p>
    <w:p>
      <w:pPr>
        <w:pStyle w:val="Normal"/>
      </w:pPr>
      <w:r>
        <w:t>2. In any report or public document, confidential business information is protected; entities receive access to evidence concerning them in accordance with Article 35.10A, with Tier C-3 information of other entities disclosed only through counsel-confidential procedures where the Verification Team considers it necessary.</w:t>
      </w:r>
    </w:p>
    <w:p>
      <w:pPr>
        <w:pStyle w:val="Normal"/>
      </w:pPr>
      <w:r>
        <w:t>3. Misuse of confidential business information by any official or verifier results in removal from the relevant roster or function, notification to the affected entity, and referral to the appropriate national authority; the Party of the official concerned shall report the disposition to the Secretariat's Treaty Integrity function and to the Commission at its next treaty-integrity session.</w:t>
      </w:r>
    </w:p>
    <w:p>
      <w:pPr>
        <w:pStyle w:val="Heading3"/>
      </w:pPr>
      <w:r>
        <w:t>Part 5: Data Minimization and Retention</w:t>
      </w:r>
    </w:p>
    <w:p>
      <w:pPr>
        <w:pStyle w:val="Normal"/>
        <w:spacing w:before="0" w:after="0"/>
        <w:widowControl w:val="1"/>
      </w:pPr>
      <w:r>
        <w:t>1. The Commission, on recommendation of the Secretariat's Treaty Integrity function, shall adopt within 12 months a data-minimization standard (no data category is collected unless a defined verification function requires it) and a retention schedule (data is retained no longer than its verification function requires, subject to the seven-year minimum audit horizon, with longer retention only for a defined lawful purpose or active legal hold in Part 1.4).</w:t>
      </w:r>
    </w:p>
    <w:p/>
    <w:p>
      <w:pPr>
        <w:spacing w:before="0" w:after="0"/>
        <w:widowControl w:val="1"/>
      </w:pPr>
      <w:r>
        <w:t>2. REGISTRY AUTHORITY IMMUTABILITY AND RETENTION. Article 35.28 expressly authorizes the Commission by consensus to specify necessary technical data categories within the existing verification purpose, without creating a substantive disclosure obligation beyond treaty authority. The seven-year minimum applies to the material audit record, while unnecessary personal fields are minimized or protected through lawful redaction of access copies and scheduled secure deletion after the retention or legal-hold period. Immutability forbids unlogged alteration of the audit history and does not forbid authorized traceable corrections, protected redaction or lawful deletion documented in that history. Confirmation bands are full at 95 percent or above, partial at 50 percent or above but below 95 percent and none below 50 percent, including fractional values without a gap, and audit-cost rules recover reasonable verified attributable cost only.</w:t>
      </w:r>
    </w:p>
    <w:p/>
    <w:p>
      <w:pPr>
        <w:pStyle w:val="Heading3"/>
      </w:pPr>
      <w:r>
        <w:t>Part 6: System Failure, Alternative Evidence, and Continuity</w:t>
      </w:r>
    </w:p>
    <w:p>
      <w:pPr>
        <w:pStyle w:val="Normal"/>
      </w:pPr>
      <w:r>
        <w:t>1. The Registry is an evidentiary and administrative tool, not a condition precedent to a substantive treaty right. Outage, cyber incident, data corruption, delayed interoperability, or failure of a Party to transmit required data does not suspend preferential treatment or stop a treaty deadline.</w:t>
      </w:r>
    </w:p>
    <w:p>
      <w:pPr>
        <w:pStyle w:val="Normal"/>
      </w:pPr>
      <w:r>
        <w:t>2. During a Registry impairment, Verification Teams shall use the best available reliable evidence, including national customs records, certified commercial records, third-party audit material, supplier declarations, physical inspection, and statistically valid sampling. The Team shall document the evidentiary substitution and resulting uncertainty.</w:t>
      </w:r>
    </w:p>
    <w:p>
      <w:pPr>
        <w:pStyle w:val="Normal"/>
      </w:pPr>
      <w:r>
        <w:t>3. A trader that timely provides reliable alternative evidence shall not suffer an adverse inference merely because the Registry, another Party, or a shared technical platform failed.</w:t>
      </w:r>
    </w:p>
    <w:p>
      <w:pPr>
        <w:pStyle w:val="Normal"/>
      </w:pPr>
      <w:r>
        <w:t>4. The Secretariat shall maintain tested continuity procedures, including offline submission channels, secure national-custody review, backup authentication methods, and a restoration-time objective. A material outage lasting more than 24 hours triggers public notice and activation of the continuity procedure.</w:t>
      </w:r>
    </w:p>
    <w:p>
      <w:pPr>
        <w:pStyle w:val="Normal"/>
      </w:pPr>
      <w:r>
        <w:t>5. No technical committee may delay an operative treaty right by failing to adopt a data standard. Until a standard is adopted, the most recent compatible standard or the default evidentiary rules in this Part apply.</w:t>
      </w:r>
    </w:p>
    <w:p>
      <w:pPr>
        <w:pStyle w:val="Heading2"/>
      </w:pPr>
      <w:bookmarkStart w:id="901243" w:name="_Toc300001242"/>
      <w:r>
        <w:t>ANNEX 35-D: LEGACY MEASURE WIND-DOWN SCHEDULE</w:t>
      </w:r>
      <w:bookmarkEnd w:id="901243"/>
    </w:p>
    <w:p>
      <w:pPr>
        <w:pStyle w:val="Normal"/>
      </w:pPr>
      <w:r>
        <w:t>1. Each covered border measure applied by a Party on the originating goods of another Party and in force on the date of signature of the Protocol of Modernization terminates as follows:</w:t>
      </w:r>
    </w:p>
    <w:p>
      <w:pPr>
        <w:pStyle w:val="Normal"/>
      </w:pPr>
      <w:r>
        <w:t>(a) measures imposed under emergency economic powers authority: upon entry into force of the Protocol of Modernization;</w:t>
      </w:r>
    </w:p>
    <w:p>
      <w:pPr>
        <w:pStyle w:val="Normal"/>
      </w:pPr>
      <w:r>
        <w:t>(b) sectoral measures imposed under national security authority, including measures on steel, aluminum, automobiles and parts, trucks, copper, timber and lumber, and pharmaceutical products: upon entry into force of the Protocol of Modernization, subject to paragraph 2;</w:t>
      </w:r>
    </w:p>
    <w:p>
      <w:pPr>
        <w:pStyle w:val="Normal"/>
      </w:pPr>
      <w:r>
        <w:t>(c) measures imposed in respect of alleged discriminatory or unreasonable practices of another Party: upon entry into force of the Protocol of Modernization;</w:t>
      </w:r>
    </w:p>
    <w:p>
      <w:pPr>
        <w:pStyle w:val="Normal"/>
      </w:pPr>
      <w:r>
        <w:t>(d) retaliatory and countermeasure tariffs applied between the Parties: upon entry into force of the Protocol of Modernization; and</w:t>
      </w:r>
    </w:p>
    <w:p>
      <w:pPr>
        <w:pStyle w:val="Normal"/>
      </w:pPr>
      <w:r>
        <w:t>(e) withdrawals or suspensions of duty-free treatment of low-value shipments of originating goods: reversed upon entry into force, with treatment restored in accordance with Article 7.A (Low-Value Shipments).</w:t>
      </w:r>
    </w:p>
    <w:p>
      <w:pPr>
        <w:spacing w:before="0" w:after="0"/>
        <w:widowControl w:val="1"/>
      </w:pPr>
      <w:r>
        <w:t>6. RESIDUAL LEGACY MEASURES. Annex 35-D paragraph 1 includes a residual category covering every other signature-date covered border measure on originating goods, including balance-of-payments restrictions, quotas and extraordinary export measures. It also includes a measure legally suspended but not revoked at signature and a post-signature measure brought within Article 34.E(3). Each terminates on Protocol entry into force absent the exact separately adopted transitional or security exception stated in this Annex. A missing named category cannot preserve, reactivate or reimpose the measure.</w:t>
      </w:r>
    </w:p>
    <w:p/>
    <w:p>
      <w:pPr>
        <w:pStyle w:val="Normal"/>
        <w:spacing w:before="0" w:after="0"/>
        <w:widowControl w:val="1"/>
      </w:pPr>
      <w:r>
        <w:t>2. LEGACY SECURITY REFERRAL. The maintaining Party may notify and refer a paragraph 1(b) legacy security measure by Protocol entry into force to the Secretariat and Article 35.22 lane, and an affected Party may independently refer within fifteen days after that notification. A measure not so referred terminates on entry into force, and a timely referred measure may continue only for a single period no longer than 180 days from entry into force, ending earlier on the controlling verification or legal outcome and ending at day 180 if verification remains incomplete. The forty-five-day factual report and Chapter 31 legal review apply, the continuing measure reaches only verified non-originating content or goods with a particularized security nexus, and TNAO goods remain exempt during this transitional continuation. Its two-year adoption-based security clock is not reset by referral, so a measure already beyond that endpoint requires a fresh justified Article 32.2 as replaced renewal at commencement rather than automatic legacy continuation, and neither a later referral nor an incomplete report revives a terminated measure.</w:t>
      </w:r>
    </w:p>
    <w:p/>
    <w:p>
      <w:pPr>
        <w:pStyle w:val="Normal"/>
      </w:pPr>
      <w:r>
        <w:t>3. Retaliation terminated under paragraph 1(d) shall not be reimposed in respect of conduct predating entry into force of the Protocol of Modernization.</w:t>
      </w:r>
    </w:p>
    <w:p>
      <w:pPr>
        <w:pStyle w:val="Normal"/>
      </w:pPr>
      <w:r>
        <w:t>4. The wind-down in this Annex is without prejudice to the rights of the Parties under Chapter 10 as amended.</w:t>
      </w:r>
    </w:p>
    <w:p>
      <w:pPr>
        <w:pStyle w:val="Normal"/>
      </w:pPr>
      <w:r>
        <w:t>5. Successor Trade-Remedy Discipline. During the wind-down period and for 12 months after termination of a legacy measure, a Party shall not initiate an antidumping or countervailing-duty investigation concerning substantially the same goods where the proposed investigation relies substantially on the same conduct, evidence, period of injury, or economic effects used to justify the legacy measure. This paragraph does not bar an investigation supported by materially new evidence of dumping, subsidization, or injury arising after, or materially distinct from, the basis of the legacy measure. A dispute under this paragraph is eligible for expedited review under Article 31.A.</w:t>
      </w:r>
    </w:p>
    <w:p>
      <w:pPr>
        <w:pStyle w:val="Heading2"/>
      </w:pPr>
      <w:bookmarkStart w:id="901244" w:name="_Toc300001243"/>
      <w:r>
        <w:t>ANNEX 35-D.1: PRINCIPAL-LEVEL TARIFF LANDING OPTIONS</w:t>
      </w:r>
      <w:bookmarkEnd w:id="901244"/>
    </w:p>
    <w:p>
      <w:pPr>
        <w:pStyle w:val="Normal"/>
      </w:pPr>
      <w:r>
        <w:t>1. Purpose. This Annex provides immediately usable landing options for extraordinary tariffs while preserving the stronger default rule in Annex 35-D that covered legacy measures terminate upon entry into force. An option applies only if expressly selected in the instrument of adoption; silence does not displace Annex 35-D.</w:t>
      </w:r>
    </w:p>
    <w:p>
      <w:pPr>
        <w:pStyle w:val="Normal"/>
      </w:pPr>
      <w:r>
        <w:t>2. Option A: Immediate Normalization. Covered extraordinary duties on originating automobiles and parts, steel, aluminum, timber and lumber, and other goods designated by the Parties terminate upon entry into force. Ordinary CUSMA treatment resumes immediately, subject to Chapters 10, 32, 35, and product-specific schedules.</w:t>
      </w:r>
    </w:p>
    <w:p>
      <w:pPr>
        <w:pStyle w:val="Normal"/>
        <w:spacing w:before="0" w:after="0"/>
        <w:widowControl w:val="1"/>
      </w:pPr>
      <w:r>
        <w:t>3. Option B: Short Staged Landing. Where immediate termination is not legally or operationally feasible, the affected Parties may adopt a schedule under which: (a) the extraordinary rate is reduced materially on Day 1; (b) a second reduction occurs no later than Day 30 after Protocol entry into force, with agreed origin, anti-circumvention, customs, or economic-security steps verified within that period; and (c) ordinary CUSMA treatment is restored no later than Day 90 unless a particularized measure is independently sustained under Article 35.22.</w:t>
      </w:r>
    </w:p>
    <w:p/>
    <w:p>
      <w:pPr>
        <w:pStyle w:val="Normal"/>
        <w:spacing w:before="0" w:after="0"/>
        <w:widowControl w:val="1"/>
      </w:pPr>
      <w:r>
        <w:t>4. Option C: Temporary Origin-Based Corridor. For a sector requiring additional verification, the affected Parties may replace a broad extraordinary duty with a temporary tariff-rate, quota, exclusion, or origin-based corridor limited to verified originating goods and calibrated to the identified risk. The corridor shall include a published baseline, utilization rules, anti-diversion controls, a review date and absolute termination date no later than Day 90 after Protocol entry into force, and automatic normalization when the verified risk is cured.</w:t>
      </w:r>
    </w:p>
    <w:p/>
    <w:p>
      <w:pPr>
        <w:pStyle w:val="Normal"/>
      </w:pPr>
      <w:r>
        <w:t>5. Autos and Parts. Any landing schedule for originating automobiles or parts shall preserve full credit for Canadian, Mexican, and United States originating value under Chapter 4 and Article 59.22. No landing option may condition relief on a unilateral Party-specific content quota unless all Parties expressly amend the applicable origin rules.</w:t>
      </w:r>
    </w:p>
    <w:p>
      <w:pPr>
        <w:pStyle w:val="Normal"/>
      </w:pPr>
      <w:r>
        <w:t>6. Steel and Aluminum. Any landing schedule for originating steel and aluminum shall apply Articles 49.5 and 49.9, including provenance, melt-and-pour or smelt-and-cast verification where applicable, and shall prefer targeted anti-circumvention measures to broad intra-CUSMA tariffs.</w:t>
      </w:r>
    </w:p>
    <w:p>
      <w:pPr>
        <w:pStyle w:val="Normal"/>
        <w:spacing w:before="0" w:after="0"/>
        <w:widowControl w:val="1"/>
      </w:pPr>
      <w:r>
        <w:t>7. Fifty-Percent or Other Exceptional Rates. Where an extraordinary rate in force at signature is 50 percent or greater, the Parties shall treat prompt de-escalation as a priority. Unless immediate termination occurs under Option A, the first-stage reduction under Option B shall be sufficient to reduce the rate to no more than 15 percent on Day 1, with further normalization governed by the adopted schedule.</w:t>
      </w:r>
    </w:p>
    <w:p/>
    <w:p>
      <w:pPr>
        <w:pStyle w:val="Normal"/>
      </w:pPr>
      <w:r>
        <w:t>8. No Price of Time. Use of Option B or C solely to complete legal, customs, or verification work shall not entitle a Party to demand an unrelated concession as the price of the additional implementation time.</w:t>
      </w:r>
    </w:p>
    <w:p>
      <w:pPr>
        <w:spacing w:before="0" w:after="0"/>
        <w:widowControl w:val="1"/>
      </w:pPr>
      <w:r>
        <w:t>9. TRANSITIONAL LANDING AUTHORITY AND HARD ENDPOINT. Notwithstanding Articles 35.27, 35.27A and 35.38 through 35.40 solely for a legacy measure expressly identified in an adoption instrument satisfying Annex 34-J, Options B and C permit a single transitional landing commencing on Protocol entry into force and ending no later than Day 90 after that date. The Day 1 duty shall not exceed 15 percent or the lower rate expressly adopted, a further reduction shall occur by Day 30 regardless of delayed certification, and every duty, quota, tariff-rate corridor and conditional exclusion shall terminate by Day 90 without renewal, subject only to a separately sustained Article 32.2 as replaced measure or lawful Chapter 10 action. This is an express limited exception to immediate legacy termination and its associated refund rule only for amounts lawfully collected within the adopted landing, not authority to revive a terminated duty, impose a new duty, condition ordinary origin on extraneous concessions, or require a certificate where the entry specifies none. In the absence of timely valid express adoption before entry into force, Annex 35-D immediate termination controls, and every FS-01 entry, implementation date and certificate mode is subordinate to these rates and absolute endpoints.</w:t>
      </w:r>
    </w:p>
    <w:p/>
    <w:p>
      <w:pPr>
        <w:pStyle w:val="Heading2"/>
      </w:pPr>
      <w:bookmarkStart w:id="901245" w:name="_Toc300001244"/>
      <w:r>
        <w:t>ANNEX 35-E: MARKET-ACCESS CREDITS (OPTIONAL INSTRUMENT)</w:t>
      </w:r>
      <w:bookmarkEnd w:id="901245"/>
    </w:p>
    <w:p>
      <w:pPr>
        <w:pStyle w:val="Normal"/>
      </w:pPr>
      <w:r>
        <w:t>1. A market-access credit is a recorded entitlement of a Party to defined additional market access within a specified module, created only where the Parties concerned so agree under Article 35.20.2, and registered in the Registry. Credits are an optional instrument; no Party is required to offer, accept, or use them, and compensation under Article 35.20 does not depend on them.</w:t>
      </w:r>
    </w:p>
    <w:p>
      <w:pPr>
        <w:pStyle w:val="Normal"/>
      </w:pPr>
      <w:r>
        <w:t>2. Credits are denominated in the verified trade effect of the underlying distortion, valued in accordance with Annex 35-A.</w:t>
      </w:r>
    </w:p>
    <w:p>
      <w:pPr>
        <w:pStyle w:val="Normal"/>
      </w:pPr>
      <w:r>
        <w:t>3. Credits: (a) may be allocated by the holding Party within the module by agreement with the issuing Party; (b) are transferable between Parties only with the consent of the Commission; (c) expire five years after issuance; (d) are recorded by each Party in accordance with its domestic budgetary and legal requirements, and redemption is subject to the issuing Party’s legal capacity to provide the agreed access, where specific promised access cannot lawfully be provided, the Parties shall substitute equivalent access or monetary settlement of equivalent value; and (e) shall not be redeemable in any form inconsistent with the Parties’ WTO obligations.</w:t>
      </w:r>
    </w:p>
    <w:p>
      <w:pPr>
        <w:pStyle w:val="Normal"/>
      </w:pPr>
      <w:r>
        <w:t>4. Redemption of credits takes the form of additional quota allocation, accelerated regulatory recognition, procurement access, or equivalent access, and shall not take the form of a covered border measure against any Party or non-Party.</w:t>
      </w:r>
    </w:p>
    <w:p>
      <w:pPr>
        <w:pStyle w:val="Normal"/>
      </w:pPr>
      <w:r>
        <w:t>5. The Secretariat's Treaty Integrity function shall publish an annual statement of credits issued, transferred, redeemed, and outstanding.</w:t>
      </w:r>
    </w:p>
    <w:p>
      <w:pPr>
        <w:spacing w:before="0" w:after="0"/>
        <w:widowControl w:val="1"/>
      </w:pPr>
      <w:r>
        <w:t>6. OPTIONAL CREDIT USE AND NO FADE. Annex 35-E's five-year period is the period for exercising an optional newly issued market-access credit, an express optional transitional period for Article 35.29(2). It does not terminate the ordinary market-access baseline or a benefit already lawfully acquired by exercising the credit. The Secretariat records the issue date and unused-credit expiry with notice to the holder at issuance. An unused credit expires after five years without snapback of completed treatment or creation of tariff authority.</w:t>
      </w:r>
    </w:p>
    <w:p/>
    <w:p>
      <w:pPr>
        <w:pStyle w:val="Heading2"/>
      </w:pPr>
      <w:bookmarkStart w:id="901242" w:name="_Toc300001241"/>
      <w:r>
        <w:t>ANNEX 35-F: COTHROM BALANCED VERIFICATION OPERATING PROTOCOL</w:t>
      </w:r>
      <w:bookmarkEnd w:id="901242"/>
    </w:p>
    <w:p>
      <w:pPr>
        <w:pStyle w:val="Heading3"/>
      </w:pPr>
      <w:r>
        <w:t>Part 1: Operating Principles</w:t>
      </w:r>
    </w:p>
    <w:p>
      <w:pPr>
        <w:pStyle w:val="Normal"/>
      </w:pPr>
      <w:r>
        <w:t>1. Proportionality governs verification and remedy. Technical noise is filtered before legal escalation.</w:t>
      </w:r>
    </w:p>
    <w:p>
      <w:pPr>
        <w:pStyle w:val="Normal"/>
      </w:pPr>
      <w:r>
        <w:t>2. Human judgment sits above automation. Automated systems may flag and route; humans determine breach and disruptive remedy.</w:t>
      </w:r>
    </w:p>
    <w:p>
      <w:pPr>
        <w:pStyle w:val="Normal"/>
      </w:pPr>
      <w:r>
        <w:t>3. Earn-back is defined at the time a remedy is imposed and remains available without an admission of guilt.</w:t>
      </w:r>
    </w:p>
    <w:p>
      <w:pPr>
        <w:pStyle w:val="Normal"/>
      </w:pPr>
      <w:r>
        <w:t>4. Modules fire independently. Cross-module spillover is exceptional and requires the findings in Article 35.15.</w:t>
      </w:r>
    </w:p>
    <w:p>
      <w:pPr>
        <w:pStyle w:val="Normal"/>
      </w:pPr>
      <w:r>
        <w:t>5. Cooling-off precedes escalation. Attribution requires evidence.</w:t>
      </w:r>
    </w:p>
    <w:p>
      <w:pPr>
        <w:pStyle w:val="Normal"/>
      </w:pPr>
      <w:r>
        <w:t>6. Verification is reciprocal: equivalent data access, equivalent burdens, equivalent clocks, equivalent consequences for bad faith.</w:t>
      </w:r>
    </w:p>
    <w:p>
      <w:pPr>
        <w:pStyle w:val="Heading3"/>
      </w:pPr>
      <w:r>
        <w:t>Part 2: Anomaly Routing</w:t>
      </w:r>
    </w:p>
    <w:p>
      <w:pPr>
        <w:pStyle w:val="Normal"/>
      </w:pPr>
      <w:r>
        <w:t>1. Informational anomaly: log only; no notice or penalty required.</w:t>
      </w:r>
    </w:p>
    <w:p>
      <w:pPr>
        <w:pStyle w:val="Normal"/>
      </w:pPr>
      <w:r>
        <w:t>2. Technical-review anomaly: technical review within seven days; no remedy.</w:t>
      </w:r>
    </w:p>
    <w:p>
      <w:pPr>
        <w:pStyle w:val="Normal"/>
      </w:pPr>
      <w:r>
        <w:t>3. Compliance-review anomaly: targeted verification, cure opportunity, and elevated monitoring; no Stage 2 consequence until unresolved or materially corroborated.</w:t>
      </w:r>
    </w:p>
    <w:p>
      <w:pPr>
        <w:pStyle w:val="Normal"/>
      </w:pPr>
      <w:r>
        <w:t>4. Breach indicator: expedited human review; possible Step-Back only after attribution and confirmation.</w:t>
      </w:r>
    </w:p>
    <w:p>
      <w:pPr>
        <w:pStyle w:val="Heading3"/>
      </w:pPr>
      <w:r>
        <w:t>Part 3: Data Integrity and Symmetry</w:t>
      </w:r>
    </w:p>
    <w:p>
      <w:pPr>
        <w:pStyle w:val="Normal"/>
      </w:pPr>
      <w:r>
        <w:t>1. Shared-system data is time-stamped, audit-trailed, and available on materially equivalent terms to all Parties.</w:t>
      </w:r>
    </w:p>
    <w:p>
      <w:pPr>
        <w:pStyle w:val="Normal"/>
      </w:pPr>
      <w:r>
        <w:t>2. A Party may request an independent forensic audit of a material data segment. The requester bears ordinary audit cost unless material manipulation is found, in which case the responsible actor bears reasonable audit cost.</w:t>
      </w:r>
    </w:p>
    <w:p>
      <w:pPr>
        <w:pStyle w:val="Normal"/>
      </w:pPr>
      <w:r>
        <w:t>3. Technical failure and deliberate manipulation are treated differently. The former activates continuity; the latter may support obstruction or breach findings.</w:t>
      </w:r>
    </w:p>
    <w:p>
      <w:pPr>
        <w:pStyle w:val="Heading3"/>
      </w:pPr>
      <w:r>
        <w:t>Part 4: Review Closure</w:t>
      </w:r>
    </w:p>
    <w:p>
      <w:pPr>
        <w:pStyle w:val="Normal"/>
      </w:pPr>
      <w:r>
        <w:t>1. Claims and objections identify exact disputed elements. Repetitive transactions may be bundled.</w:t>
      </w:r>
    </w:p>
    <w:p>
      <w:pPr>
        <w:pStyle w:val="Normal"/>
      </w:pPr>
      <w:r>
        <w:t>2. Panels may issue partial findings and allocate costs proportionately.</w:t>
      </w:r>
    </w:p>
    <w:p>
      <w:pPr>
        <w:pStyle w:val="Normal"/>
      </w:pPr>
      <w:r>
        <w:t>3. One final counter-evidence round is available for a technically inconclusive issue. After that round the record closes absent materially new evidence.</w:t>
      </w:r>
    </w:p>
    <w:p>
      <w:pPr>
        <w:pStyle w:val="Heading3"/>
      </w:pPr>
      <w:r>
        <w:t>Part 5: Restoration Matrix</w:t>
      </w:r>
    </w:p>
    <w:p>
      <w:pPr>
        <w:pStyle w:val="Normal"/>
      </w:pPr>
      <w:r>
        <w:t>1. Technical or de minimis event: no benefit reduction; technical assistance and correction.</w:t>
      </w:r>
    </w:p>
    <w:p>
      <w:pPr>
        <w:pStyle w:val="Normal"/>
      </w:pPr>
      <w:r>
        <w:t>2. Material disruption: proportionate affected-module consequence, remediation window, and automatic restoration after the clean-compliance period specified under Article 35.18.</w:t>
      </w:r>
    </w:p>
    <w:p>
      <w:pPr>
        <w:pStyle w:val="Normal"/>
      </w:pPr>
      <w:r>
        <w:t>3. Deliberate hostile trade-system manipulation, systematic fraud, or deliberate destruction of verification systems: heightened affected-module consequence, intensive monitoring, and a longer but finite earn-back period.</w:t>
      </w:r>
    </w:p>
    <w:p>
      <w:pPr>
        <w:pStyle w:val="Normal"/>
      </w:pPr>
      <w:r>
        <w:t>4. Humanitarian, safety, emergency communications, and already vested unrelated rights are not used as collateral leverage.</w:t>
      </w:r>
    </w:p>
    <w:p>
      <w:pPr>
        <w:pStyle w:val="Heading2"/>
      </w:pPr>
      <w:bookmarkStart w:id="901240" w:name="_Toc300001239"/>
      <w:r>
        <w:t>ANNEX 35-G: DEMERIT POINT AND PREFERENCE STEP-BACK MATRIX</w:t>
      </w:r>
      <w:bookmarkEnd w:id="901240"/>
    </w:p>
    <w:p>
      <w:pPr>
        <w:pStyle w:val="Normal"/>
      </w:pPr>
      <w:r>
        <w:t>Part 1: Baseline Point Values</w:t>
      </w:r>
    </w:p>
    <w:p>
      <w:pPr>
        <w:pStyle w:val="Normal"/>
      </w:pPr>
      <w:r>
        <w:t>1. Tier 1 technical irregularity ordinarily carries 0 or 1 point. A de minimis event that is promptly corrected carries 0 points.</w:t>
      </w:r>
    </w:p>
    <w:p>
      <w:pPr>
        <w:pStyle w:val="Normal"/>
      </w:pPr>
      <w:r>
        <w:t>2. Tier 2 material noncompliance ordinarily carries 2 to 4 points according to verified severity, duration, economic effect, obstruction, and remediation conduct.</w:t>
      </w:r>
    </w:p>
    <w:p>
      <w:pPr>
        <w:pStyle w:val="Normal"/>
      </w:pPr>
      <w:r>
        <w:t>3. Tier 3 deliberate, systemic, fraudulent, or persistent noncompliance ordinarily carries 5 to 8 points. An individual event may not exceed 8 points absent an express treaty provision adopted by amendment.</w:t>
      </w:r>
    </w:p>
    <w:p>
      <w:pPr>
        <w:pStyle w:val="Normal"/>
      </w:pPr>
      <w:r>
        <w:t>4. Points shall be calibrated conservatively where evidence is uncertain. The same facts shall not be counted both in the point value and again as a separate aggravating event.</w:t>
      </w:r>
    </w:p>
    <w:p>
      <w:pPr>
        <w:pStyle w:val="Normal"/>
      </w:pPr>
      <w:r>
        <w:t>Part 2: Active-Point Consequences</w:t>
      </w:r>
    </w:p>
    <w:p>
      <w:pPr>
        <w:pStyle w:val="Normal"/>
      </w:pPr>
      <w:r>
        <w:t>1. 0-2 points: cure and ordinary monitoring; no preference reduction.</w:t>
      </w:r>
    </w:p>
    <w:p>
      <w:pPr>
        <w:pStyle w:val="Normal"/>
      </w:pPr>
      <w:r>
        <w:t>2. 3-4 points: formal notice and enhanced verification; no automatic economic reduction.</w:t>
      </w:r>
    </w:p>
    <w:p>
      <w:pPr>
        <w:pStyle w:val="Normal"/>
      </w:pPr>
      <w:r>
        <w:t>3. 5-6 points: 5 percent step-back of the affected enhanced preference.</w:t>
      </w:r>
    </w:p>
    <w:p>
      <w:pPr>
        <w:pStyle w:val="Normal"/>
      </w:pPr>
      <w:r>
        <w:t>4. 7-8 points: 10 percent step-back.</w:t>
      </w:r>
    </w:p>
    <w:p>
      <w:pPr>
        <w:pStyle w:val="Normal"/>
      </w:pPr>
      <w:r>
        <w:t>5. 9-10 points: 15 percent step-back.</w:t>
      </w:r>
    </w:p>
    <w:p>
      <w:pPr>
        <w:pStyle w:val="Normal"/>
      </w:pPr>
      <w:r>
        <w:t>6. 11 or more points: 20 percent step-back and Stage 7 review.</w:t>
      </w:r>
    </w:p>
    <w:p>
      <w:pPr>
        <w:pStyle w:val="Normal"/>
      </w:pPr>
      <w:r>
        <w:t>7. The percentages in this Part reduce only the measurable enhanced preference identified by the Panel. They shall not be applied to the customs value of goods and shall not be collected at the border.</w:t>
      </w:r>
    </w:p>
    <w:p>
      <w:pPr>
        <w:pStyle w:val="Normal"/>
      </w:pPr>
      <w:r>
        <w:t>Part 3: Expiration, Cure, and Review</w:t>
      </w:r>
    </w:p>
    <w:p>
      <w:pPr>
        <w:pStyle w:val="Normal"/>
      </w:pPr>
      <w:r>
        <w:t>1. Active points expire after 180 days of verified compliance unless a shorter period applies. Points voided on review are treated as never assessed.</w:t>
      </w:r>
    </w:p>
    <w:p>
      <w:pPr>
        <w:pStyle w:val="Normal"/>
      </w:pPr>
      <w:r>
        <w:t>2. The Secretariat shall maintain a public demerit ledger identifying the module, point total, date of assessment, expiry date, status of challenge, and affected enhanced preference, while protecting confidential information.</w:t>
      </w:r>
    </w:p>
    <w:p>
      <w:pPr>
        <w:pStyle w:val="Normal"/>
      </w:pPr>
      <w:r>
        <w:t>3. The Commission may refine technical point categories by consensus under Article 34.3.A, but may not increase the maximum percentage step-backs or convert a demerit into a tariff without formal amendment.</w:t>
      </w:r>
    </w:p>
    <w:p>
      <w:pPr>
        <w:spacing w:before="0" w:after="0"/>
        <w:widowControl w:val="1"/>
      </w:pPr>
      <w:r>
        <w:t>4. CURED POINTS AND STAGE SEQUENCE. A full-cure certificate immediately retires the matter's points from the active total for new escalation and preserves them only as historical records for 180 days after cure, without reactivation merely because that historical period has not ended. Existing enhanced-benefit step-backs restore after the applicable fourteen- or sixty-day verified clean-compliance period under Article 35.18, and the Secretariat marks the points retired and the restoration date in Annex 35-G. The point matrix sets only the maximum Stage 5 reduction after completion or express legal unavailability of Stages 0 through 4 under Article 35.16 and does not activate a remedy by itself. A Stage 7 review requires the intervening Stage 6 assessment and the Article 35.13 findings even where eleven or more points are recorded, with no tariff conversion of points.</w:t>
      </w:r>
    </w:p>
    <w:p/>
    <w:p>
      <w:pPr>
        <w:pStyle w:val="Heading2"/>
      </w:pPr>
      <w:bookmarkStart w:id="901241" w:name="_Toc300001240"/>
      <w:r>
        <w:t>ANNEX 35-H: ROTATING NEUTRAL GUARANTOR POOL</w:t>
      </w:r>
      <w:bookmarkEnd w:id="901241"/>
    </w:p>
    <w:p>
      <w:pPr>
        <w:pStyle w:val="Normal"/>
      </w:pPr>
      <w:r>
        <w:t>Part 1: Establishment and Consent</w:t>
      </w:r>
    </w:p>
    <w:p>
      <w:pPr>
        <w:pStyle w:val="Normal"/>
      </w:pPr>
      <w:r>
        <w:t>1. The Parties shall maintain a pool of 25 neutral or procedurally impartial Guarantor States eligible to serve under Article 35.39. Service is voluntary. A State enters the operative pool only after written consent and unanimous confirmation by Canada, Mexico, and the United States.</w:t>
      </w:r>
    </w:p>
    <w:p>
      <w:pPr>
        <w:pStyle w:val="Normal"/>
      </w:pPr>
      <w:r>
        <w:t>2. Initial candidate States for solicitation are: Switzerland; Oman; Singapore; New Zealand; Ireland; Austria; Costa Rica; Uruguay; Portugal; Botswana; Ghana; Mauritius; Senegal; Barbados; Jamaica; Panama; Dominican Republic; Malaysia; Indonesia; Chile; Finland; Iceland; Jordan; Qatar; and the United Arab Emirates.</w:t>
      </w:r>
    </w:p>
    <w:p>
      <w:pPr>
        <w:pStyle w:val="Normal"/>
      </w:pPr>
      <w:r>
        <w:t>3. The Parties may replace a candidate or consenting Guarantor State by unanimous agreement where consent is withheld, neutrality is materially impaired, diplomatic relations materially change, or continued service becomes impracticable. Replacement should preserve geographic and institutional diversity.</w:t>
      </w:r>
    </w:p>
    <w:p>
      <w:pPr>
        <w:pStyle w:val="Normal"/>
      </w:pPr>
      <w:r>
        <w:t>Part 2: Institutional Independence</w:t>
      </w:r>
    </w:p>
    <w:p>
      <w:pPr>
        <w:pStyle w:val="Normal"/>
      </w:pPr>
      <w:r>
        <w:t>1. Guarantor authority attaches to the State and its duly designated independent representative, not to a named incumbent head of government. A change of government does not by itself remove a State from the pool.</w:t>
      </w:r>
    </w:p>
    <w:p>
      <w:pPr>
        <w:pStyle w:val="Normal"/>
      </w:pPr>
      <w:r>
        <w:t>2. Each Guarantor State shall designate a primary and alternate representative with substantial experience in trade, economics, adjudication, customs, diplomacy, or public law and shall disclose conflicts before each draw.</w:t>
      </w:r>
    </w:p>
    <w:p>
      <w:pPr>
        <w:pStyle w:val="Normal"/>
      </w:pPr>
      <w:r>
        <w:t>3. Guarantor service does not create authority over the domestic law, military policy, foreign policy, or sovereign political choices of a Party beyond the narrow tariff-authorization question submitted under this Chapter.</w:t>
      </w:r>
    </w:p>
    <w:p>
      <w:pPr>
        <w:spacing w:before="0" w:after="0"/>
        <w:widowControl w:val="1"/>
      </w:pPr>
      <w:r>
        <w:t>4. GUARANTOR POOL DRAW PROCEDURE. For Annex 35-H, an eligible State is consenting, unanimously confirmed, available and conflict-screened, and the Secretariat publishes its fixed regional classification as Europe, Asia-Pacific, Latin America or Caribbean, Africa or Middle East, or unrestricted before any petition draw. Within forty-eight hours after receipt of a complete petition, the Secretary publishes an alphabetically sorted eligible list and its hash, conducts a witnessed physical lot draw with one equally weighted sealed lot per eligible State in each available stratum and then the unrestricted seat, and records the list, exclusions, witness and results. A missing stratum is filled by the same draw from all remaining eligible States, with previously selected or immediately preceding-panel States excluded and recusals filled by a recorded repeat draw without Party selection. At least five eligible independent States after exclusions are necessary for an initial panel and at least ten available States are necessary to support disjoint consecutive panels, and a shortage denies that petition without lowering the five-seat requirement, authorizing a tariff or waiving independence while the Parties continue pool recruitment.</w:t>
      </w:r>
    </w:p>
    <w:p/>
    <w:p>
      <w:pPr>
        <w:pStyle w:val="Heading2"/>
      </w:pPr>
      <w:bookmarkStart w:id="901224" w:name="_Toc300001223"/>
      <w:r>
        <w:t>ANNEX 35-I: GUARANTOR INTEGRITY OPERATING RULES</w:t>
      </w:r>
      <w:bookmarkEnd w:id="901224"/>
    </w:p>
    <w:p>
      <w:pPr>
        <w:pStyle w:val="Normal"/>
      </w:pPr>
      <w:r>
        <w:t>Part 1: Integrity Register</w:t>
      </w:r>
    </w:p>
    <w:p>
      <w:pPr>
        <w:pStyle w:val="Normal"/>
      </w:pPr>
      <w:r>
        <w:t>1. The Secretariat shall maintain a secure register of panel composition, recusals, docketed communications, conflict disclosures, extraordinary-benefit disclosures, integrity challenges, findings, and cooling-off certifications.</w:t>
      </w:r>
    </w:p>
    <w:p>
      <w:pPr>
        <w:pStyle w:val="Normal"/>
      </w:pPr>
      <w:r>
        <w:t>2. Public portions of the register shall be searchable and published promptly enough to permit meaningful scrutiny without exposing protected information.</w:t>
      </w:r>
    </w:p>
    <w:p>
      <w:pPr>
        <w:pStyle w:val="Normal"/>
      </w:pPr>
      <w:r>
        <w:t>Part 2: Extraordinary-Benefit Screening</w:t>
      </w:r>
    </w:p>
    <w:p>
      <w:pPr>
        <w:pStyle w:val="Normal"/>
      </w:pPr>
      <w:r>
        <w:t>1. The Commission shall establish objective disclosure thresholds for extraordinary discretionary benefits, taking account of the size of the guarantor economy, normal bilateral flows, pre-existing commitments, and the nature of the benefit.</w:t>
      </w:r>
    </w:p>
    <w:p>
      <w:pPr>
        <w:pStyle w:val="Normal"/>
      </w:pPr>
      <w:r>
        <w:t>2. A benefit is not suspicious merely because it is large. Relevant indicators include unusual timing, secrecy, departure from established policy, absence of ordinary process, linkage language, intermediary communications, and disproportionate benefit to a decision-maker or associated person.</w:t>
      </w:r>
    </w:p>
    <w:p>
      <w:pPr>
        <w:pStyle w:val="Normal"/>
      </w:pPr>
      <w:r>
        <w:t>Part 3: Representative Code</w:t>
      </w:r>
    </w:p>
    <w:p>
      <w:pPr>
        <w:pStyle w:val="Normal"/>
      </w:pPr>
      <w:r>
        <w:t>1. Representatives shall sign an independence declaration before receiving the merits record and a post-service certification after final disposition.</w:t>
      </w:r>
    </w:p>
    <w:p>
      <w:pPr>
        <w:pStyle w:val="Normal"/>
      </w:pPr>
      <w:r>
        <w:t>2. Representatives shall receive only standardized proceeding compensation and reimbursable expenses established in advance by the Commission. No disputing Party may supplement that compensation.</w:t>
      </w:r>
    </w:p>
    <w:p>
      <w:pPr>
        <w:pStyle w:val="Normal"/>
      </w:pPr>
      <w:r>
        <w:t>3. Knowingly false material disclosure is grounds for removal and Integrity Panel review.</w:t>
      </w:r>
    </w:p>
    <w:p>
      <w:pPr>
        <w:pStyle w:val="Heading2"/>
      </w:pPr>
      <w:bookmarkStart w:id="901238" w:name="_Toc300001237"/>
      <w:r>
        <w:t>ANNEX 35-J: MARKET INTEGRITY OPERATING RULES</w:t>
      </w:r>
      <w:bookmarkEnd w:id="901238"/>
    </w:p>
    <w:p>
      <w:pPr>
        <w:pStyle w:val="Normal"/>
      </w:pPr>
      <w:r>
        <w:t>Part 1: High-Sensitivity Roles and Access Control</w:t>
      </w:r>
    </w:p>
    <w:p>
      <w:pPr>
        <w:pStyle w:val="Normal"/>
      </w:pPr>
      <w:r>
        <w:t>1. The Secretariat shall maintain role-based access to MNPTI, auditable access logs, minimum-necessary distribution, secure transmission, and prompt revocation when access is no longer required.</w:t>
      </w:r>
    </w:p>
    <w:p>
      <w:pPr>
        <w:pStyle w:val="Normal"/>
      </w:pPr>
      <w:r>
        <w:t>2. High-sensitivity roles include persons with access to unreleased tariff authorization, guarantor voting, cure certification, market-sensitive Cothrom findings, classified evidence, or publication timing.</w:t>
      </w:r>
    </w:p>
    <w:p>
      <w:pPr>
        <w:pStyle w:val="Normal"/>
      </w:pPr>
      <w:r>
        <w:t>Part 2: Blackout and Safe-Harbour Administration</w:t>
      </w:r>
    </w:p>
    <w:p>
      <w:pPr>
        <w:pStyle w:val="Normal"/>
      </w:pPr>
      <w:r>
        <w:t>1. The Commission shall establish a reasonable post-publication market-absorption period and instrument-screening guidance. The blackout shall be no broader than reasonably necessary to protect market integrity.</w:t>
      </w:r>
    </w:p>
    <w:p>
      <w:pPr>
        <w:pStyle w:val="Normal"/>
      </w:pPr>
      <w:r>
        <w:t>2. Pre-existing automatic plans qualify for safe harbour only where established before receipt of MNPTI and not altered, suspended, accelerated, or selectively cancelled on the basis of MNPTI.</w:t>
      </w:r>
    </w:p>
    <w:p>
      <w:pPr>
        <w:pStyle w:val="Normal"/>
      </w:pPr>
      <w:r>
        <w:t>Part 3: Event Integrity</w:t>
      </w:r>
    </w:p>
    <w:p>
      <w:pPr>
        <w:pStyle w:val="Normal"/>
      </w:pPr>
      <w:r>
        <w:t>1. The Treaty Registry shall timestamp final certification and public release. The Secretariat shall retain access and publication logs sufficient to reconstruct the event sequence.</w:t>
      </w:r>
    </w:p>
    <w:p>
      <w:pPr>
        <w:pStyle w:val="Normal"/>
      </w:pPr>
      <w:r>
        <w:t>2. No disputing Party may control the precise release time after final certification except through a documented request granted for a legitimate security, market-stability, or technical reason applicable without discrimination.</w:t>
      </w:r>
    </w:p>
    <w:p>
      <w:pPr>
        <w:pStyle w:val="Normal"/>
      </w:pPr>
      <w:r>
        <w:t>3. The Secretariat shall maintain a confidential list of persons with material pre-publication access for each major event, available to competent authorities upon lawful request.</w:t>
      </w:r>
    </w:p>
    <w:p>
      <w:pPr>
        <w:spacing w:before="0" w:after="0"/>
        <w:widowControl w:val="1"/>
      </w:pPr>
      <w:r>
        <w:t>4. INITIAL INTEGRITY OPERATING VALUES. Until a lawful technical update, Annex 35-J's post-publication market-absorption period is two complete trading days in the relevant market after authenticated simultaneous release, and Article 35.54 records are preserved for seven years after final disposition or longer for a notified active legal hold. For Annex 35-I, every discretionary benefit directly to a representative or covered associated person is disclosed regardless of value, and a discretionary State-level benefit is disclosed if it exceeds the lower of one million United States dollars equivalent or 0.01 percent of the recipient State's preceding-year gross domestic product, or departs materially from a pre-existing published program. The Commission reviews these initial values and publishes instrument-screening guidance within ninety days after Protocol entry into force through Article 34.3.A without reducing mandatory independence or confidentiality. Failure to adopt guidance leaves these defaults effective and neither ends a blackout early nor prevents a person from identifying and preclearing a potentially covered transaction.</w:t>
      </w:r>
    </w:p>
    <w:p/>
    <w:p>
      <w:pPr>
        <w:pStyle w:val="Heading1"/>
      </w:pPr>
      <w:bookmarkStart w:id="901256" w:name="_Toc300001255"/>
      <w:r>
        <w:t>ANNEX 35-K: STRATEGIC-SECTOR TARIFF NORMALIZATION AND SYNCHRONIZED STAND-DOWN PROTOCOL</w:t>
      </w:r>
      <w:bookmarkEnd w:id="901256"/>
    </w:p>
    <w:p>
      <w:pPr>
        <w:pStyle w:val="Normal"/>
      </w:pPr>
      <w:r>
        <w:t>Final Settlement Integration Gateway. This Annex records and implements an adopted strategic-sector tariff normalization and synchronized stand-down without creating an independent tariff power. Articles 35.29, 35.33, 35.36, the applicable Cothrom architecture, Annex 35-D.1, and any more specific sector rule remain controlling according to their scope and legally sufficient authority.</w:t>
      </w:r>
    </w:p>
    <w:p>
      <w:pPr>
        <w:pStyle w:val="Heading2"/>
      </w:pPr>
      <w:bookmarkStart w:id="901257" w:name="_Toc300001256"/>
      <w:r>
        <w:t>FS-01.1: Purpose, Scope, and Legal Relationship</w:t>
      </w:r>
      <w:bookmarkEnd w:id="901257"/>
    </w:p>
    <w:p>
      <w:pPr>
        <w:pStyle w:val="ClauseLabel"/>
      </w:pPr>
      <w:r>
        <w:t>FS01-A01: Settlement Function</w:t>
      </w:r>
    </w:p>
    <w:p>
      <w:pPr>
        <w:pStyle w:val="Normal"/>
      </w:pPr>
      <w:r>
        <w:t>This Protocol establishes the legal bridge from covered extraordinary strategic-sector tariffs to the ordinary tariff treatment otherwise provided by NAESTMA. It applies to covered originating automobiles, automotive parts, steel, aluminum, and any additional industrial class expressly listed in Schedule FS-01-A. It does not create a new customs duty, surcharge, safeguard, quota, managed-trade obligation, or independent authority to impose a border measure. Its function is to synchronize stand-down, verification, normalization, and closure using the institutions and disciplines already established by the Agreement.</w:t>
      </w:r>
    </w:p>
    <w:p>
      <w:pPr>
        <w:pStyle w:val="ClauseLabel"/>
      </w:pPr>
      <w:r>
        <w:t>FS01-A02: Relationship to Chapters 34 and 35</w:t>
      </w:r>
    </w:p>
    <w:p>
      <w:pPr>
        <w:pStyle w:val="Normal"/>
        <w:spacing w:before="0" w:after="0"/>
        <w:widowControl w:val="1"/>
      </w:pPr>
      <w:r>
        <w:t>Chapter 34 governs entry-into-force and Day-One implementation requirements, while Chapter 35 governs verification, cure, proportionality, tariff quarantine, legacy-measure wind-down, exceptional tariff authorization, and restoration. This Protocol operationalizes the strategic-sector settlement choices already permitted by Annex 35-D.1 and does not create a parallel landing architecture. Nothing in this Protocol postpones a Day-One right or obligation under Chapter 34, Annex 34-F, Article 35.27A, or Annex 35-D unless the Parties expressly select a permitted alternative landing option under Annex 35-D.1. Where FS-01 and Chapter 35 address the same remedial question, Annex 34-J's single authenticated-authority, specific-scope and lower-limit hierarchy controls, including Annex 35-D.1's express limited transition.</w:t>
      </w:r>
    </w:p>
    <w:p/>
    <w:p>
      <w:pPr>
        <w:pStyle w:val="ClauseLabel"/>
      </w:pPr>
      <w:r>
        <w:t>FS01-A03: Relationship to Rules of Origin and Verification</w:t>
      </w:r>
    </w:p>
    <w:p>
      <w:pPr>
        <w:pStyle w:val="Normal"/>
      </w:pPr>
      <w:r>
        <w:t>Originating status under this Protocol is determined exclusively under Chapters 4 and 5 and the applicable product-specific rules. Shipment from the territory of a Party, standing alone, does not establish originating status. Nothing in this Protocol reduces the evidentiary requirements applicable to origin, provenance, substantial transformation, automotive content, melt-and-pour, smelt-and-cast, or other product-specific disciplines. A good that does not qualify as originating receives only the tariff treatment otherwise applicable to that good under domestic law and the Agreement.</w:t>
      </w:r>
    </w:p>
    <w:p>
      <w:pPr>
        <w:pStyle w:val="ClauseLabel"/>
      </w:pPr>
      <w:r>
        <w:t>FS01-A04: Relationship to Metals Architecture</w:t>
      </w:r>
    </w:p>
    <w:p>
      <w:pPr>
        <w:pStyle w:val="Normal"/>
      </w:pPr>
      <w:r>
        <w:t>Articles 36.14 and 36.14A remain the principal strategic, investment, provenance, and anti-circumvention architecture for originating North American steel and aluminum. This Protocol supplies the tariff-normalization interface for covered metals measures without replacing the North American Metals Investment Compact. Verification under the metals lane may satisfy a corresponding FS-01 milestone where the same fact has already been established under an equivalent or stricter evidentiary standard. No Party is required to submit duplicative evidence solely because the same verified fact is used for both mechanisms.</w:t>
      </w:r>
    </w:p>
    <w:p>
      <w:pPr>
        <w:pStyle w:val="ClauseLabel"/>
      </w:pPr>
      <w:r>
        <w:t>FS01-A05: Relationship to Automotive Architecture</w:t>
      </w:r>
    </w:p>
    <w:p>
      <w:pPr>
        <w:pStyle w:val="Normal"/>
      </w:pPr>
      <w:r>
        <w:t>Chapter 59 and its applicable annexes remain the principal post-normalization architecture for automotive origin, integration, strategic components, industrial-expansion incentives, and classification continuity. This Protocol determines the stand-down and normalization treatment of covered extraordinary automotive tariffs and does not convert an enhanced automotive incentive into an ordinary rule of origin. Canadian, Mexican, and United States originating content receives the regional treatment established elsewhere in the Agreement. A Party-specific incentive may operate only within the limits already established by Chapter 59 and does not alter the ordinary tariff treatment guaranteed by this Protocol.</w:t>
      </w:r>
    </w:p>
    <w:p>
      <w:pPr>
        <w:pStyle w:val="ClauseLabel"/>
      </w:pPr>
      <w:r>
        <w:t>FS01-A06: No Implied Bargaining Concession</w:t>
      </w:r>
    </w:p>
    <w:p>
      <w:pPr>
        <w:pStyle w:val="Normal"/>
      </w:pPr>
      <w:r>
        <w:t>Inclusion of a measure, sector, product class, or verification milestone in this Protocol does not constitute an admission that the underlying legacy measure was lawful, unlawful, necessary, unnecessary, discriminatory, or justified. The Parties use the Protocol to settle and normalize covered treatment without requiring agreement on every prior legal or factual characterization. No Party waives a position concerning a measure outside the settlement except to the extent expressly stated in an adopted schedule. Settlement implementation therefore closes the covered tariff issue prospectively while preserving unrelated rights and defenses.</w:t>
      </w:r>
    </w:p>
    <w:p>
      <w:pPr>
        <w:pStyle w:val="ClauseLabel"/>
      </w:pPr>
      <w:r>
        <w:t>FS01-A07: Defined Settlement Terms</w:t>
      </w:r>
    </w:p>
    <w:p>
      <w:pPr>
        <w:pStyle w:val="Normal"/>
      </w:pPr>
      <w:r>
        <w:t>For purposes of FS-01, “Final Normalization” means the extinguishment of the covered extraordinary tariff component under the controlling rule in Annex 35-D, Article 35.27A, or an expressly selected Annex 35-D.1 landing option. “Post-Normalization Treatment” means the tariff treatment legally applicable immediately after Final Normalization, whether ordinary NAESTMA preferential treatment or, for an expressly identified automotive entry, treatment under a formally adopted Article 59.5A Automotive Settlement Schedule. “Adopted FS-01 Schedule Entry” means a Schedule FS-01-A entry formally adopted by the Parties whose participation is required for that entry; a template, draft, bracketed choice, negotiating proposal, or incomplete field is not an Adopted FS-01 Schedule Entry. “Legal Activation Mode” means the mode stated in an Adopted FS-01 Schedule Entry as Automatic, Certificate-Triggered, or Matched Reciprocal Activation, and no mode may displace a stronger controlling rule of the Agreement.</w:t>
      </w:r>
    </w:p>
    <w:p>
      <w:pPr>
        <w:pStyle w:val="Heading2"/>
      </w:pPr>
      <w:bookmarkStart w:id="901258" w:name="_Toc300001257"/>
      <w:r>
        <w:t>FS-01.2: Covered Measures and Synchronized Readiness</w:t>
      </w:r>
      <w:bookmarkEnd w:id="901258"/>
    </w:p>
    <w:p>
      <w:pPr>
        <w:pStyle w:val="ClauseLabel"/>
      </w:pPr>
      <w:r>
        <w:t>FS01-B01: Covered Measure Register</w:t>
      </w:r>
    </w:p>
    <w:p>
      <w:pPr>
        <w:pStyle w:val="Normal"/>
      </w:pPr>
      <w:r>
        <w:t>The Secretariat maintains a Covered Strategic-Sector Measure Register for every tariff, surcharge, additional duty, retaliatory tariff, countermeasure tariff, or equivalent border charge placed within FS-01. Each entry identifies the imposing Party, affected Party or Parties, legal instrument, product scope, tariff-line scope where available, rate or formula, effective date, and current legal status. Registration is evidentiary and administrative rather than constitutive of coverage under Annex 35-D, and a clerical omission from the Register does not preserve, extend, or remove from settlement a measure otherwise required to terminate under the Agreement. An unregistered measure cannot receive an additional FS-01 transition benefit or delay normalization of another covered measure, and the Secretariat corrects a verified omission promptly without altering the substantive bargain.</w:t>
      </w:r>
    </w:p>
    <w:p>
      <w:pPr>
        <w:pStyle w:val="ClauseLabel"/>
      </w:pPr>
      <w:r>
        <w:t>FS01-B02: Four Core Sector Classes</w:t>
      </w:r>
    </w:p>
    <w:p>
      <w:pPr>
        <w:pStyle w:val="Normal"/>
      </w:pPr>
      <w:r>
        <w:t>The initial FS-01 scope consists of automobiles, automotive parts, steel, and aluminum where the applicable measure is expressly identified in Schedule FS-01-A. Copper, lumber, pharmaceuticals, critical minerals, or another sector enters FS-01 only through an express amendment to that Schedule. Inclusion of one product within a sector does not silently include every tariff line associated with that sector. The Secretariat publishes a concordance sufficient for customs authorities and traders to identify the covered tariff lines without relying on political descriptions alone.</w:t>
      </w:r>
    </w:p>
    <w:p>
      <w:pPr>
        <w:pStyle w:val="ClauseLabel"/>
      </w:pPr>
      <w:r>
        <w:t>FS01-B03: Domestic Instrument Readiness</w:t>
      </w:r>
    </w:p>
    <w:p>
      <w:pPr>
        <w:pStyle w:val="Normal"/>
      </w:pPr>
      <w:r>
        <w:t>Before a scheduled normalization step activates, each participating Party deposits the domestic legal instrument, instruction, proclamation, customs notice, regulation, or other authority necessary to give that step effect. The Secretariat verifies completeness of the deposit but does not determine the constitutional validity of a Party's domestic instrument. A Party may cure a technical defect without losing credit for timely substantive readiness only where the defect does not alter legal effect, product scope, tariff rate or formula, effective time, reciprocal consideration, enforceability, or the ability of customs authorities to implement the obligation; a defect affecting any of those matters is substantive. No Party is required to execute its tariff reduction materially in advance of the reciprocal step specified for the same synchronization window.</w:t>
      </w:r>
    </w:p>
    <w:p>
      <w:pPr>
        <w:pStyle w:val="ClauseLabel"/>
      </w:pPr>
      <w:r>
        <w:t>FS01-B04: Synchronization Certificate</w:t>
      </w:r>
    </w:p>
    <w:p>
      <w:pPr>
        <w:pStyle w:val="Normal"/>
      </w:pPr>
      <w:r>
        <w:t>When the required domestic instruments and milestone evidence for a scheduled step are complete, the Secretariat issues a Synchronization Certificate identifying the covered measure, product scope, effective time, reciprocal action, controlling schedule entry, and Legal Activation Mode. The certificate is ministerial and records satisfaction of conditions already established by the Agreement and Schedule FS-01-A; Secretariat delay does not postpone an objectively automatic scheduled step where the controlling schedule makes certification evidentiary rather than constitutive. If the Secretariat identifies a missing item, it issues a deficiency notice identifying that item with enough specificity to permit cure, and silence or administrative delay does not convert an objective condition into discretionary approval. A disagreement over the deficiency proceeds through expedited Cothrom review and does not reopen unrelated certified sectors.</w:t>
      </w:r>
    </w:p>
    <w:p>
      <w:pPr>
        <w:pStyle w:val="ClauseLabel"/>
      </w:pPr>
      <w:r>
        <w:t>FS01-B05: Application of Article 35.36 to Paired Settlement Consideration</w:t>
      </w:r>
    </w:p>
    <w:p>
      <w:pPr>
        <w:pStyle w:val="Normal"/>
      </w:pPr>
      <w:r>
        <w:t>Article 35.36 applies in full to every obligation or benefit expressly identified in an Adopted FS-01 Schedule Entry as reciprocal consideration for another obligation or benefit. The Adopted FS-01 Schedule Entry identifies the paired obligations, activation milestones, permitted implementation interval, required evidence, and consequence of verified non-performance without recreating those rules in this Protocol. A pairing under FS-01 does not authorize retention of an unrelated tariff, cross-sector retaliation, or performance materially in advance of the corresponding benefit beyond the sequencing expressly accepted by the Parties. Partial performance receives only the treatment expressly assigned by the Adopted FS-01 Schedule Entry and remains subject to the cure, proportional step-back, and automatic restoration disciplines of Article 35.36.</w:t>
      </w:r>
    </w:p>
    <w:p>
      <w:pPr>
        <w:pStyle w:val="ClauseLabel"/>
      </w:pPr>
      <w:r>
        <w:t>FS01-B06: Standstill During Implementation</w:t>
      </w:r>
    </w:p>
    <w:p>
      <w:pPr>
        <w:pStyle w:val="Normal"/>
      </w:pPr>
      <w:r>
        <w:t>From the legally effective time established by the settlement instrument through completion of FS-01, no Party increases the rate, expands the product scope, broadens the origin reach, or extends the duration of a covered legacy measure. If the Parties intend a standstill to bind during the period between signature and legal effectiveness, the settlement instrument states that interim obligation expressly and identifies its legal basis rather than relying on this Article by implication. A Party may correct a clerical classification error where the correction does not enlarge the economic burden of the covered measure, while any independently authorized emergency action remains governed by Chapter 35 and does not become a modification of the legacy measure merely because it affects a similar product. The standstill survives a technical implementation delay unless Chapter 35 independently authorizes a different result.</w:t>
      </w:r>
    </w:p>
    <w:p>
      <w:pPr>
        <w:pStyle w:val="Heading2"/>
      </w:pPr>
      <w:bookmarkStart w:id="901259" w:name="_Toc300001258"/>
      <w:r>
        <w:t>FS-01.3: Normalization Sequence and Treatment</w:t>
      </w:r>
      <w:bookmarkEnd w:id="901259"/>
    </w:p>
    <w:p>
      <w:pPr>
        <w:pStyle w:val="ClauseLabel"/>
      </w:pPr>
      <w:r>
        <w:t>FS01-C01: Selected Annex 35-D.1 Landing Option</w:t>
      </w:r>
    </w:p>
    <w:p>
      <w:pPr>
        <w:pStyle w:val="Normal"/>
      </w:pPr>
      <w:r>
        <w:t>For each covered measure, an Adopted FS-01 Schedule Entry identifies the Annex 35-D.1 landing option expressly selected by the Parties and records any negotiated calibration permitted by that option. An uncompleted template field, draft option, bracketed choice, or other entry not formally adopted has no legal effect, and silence leaves the stronger default treatment of Annex 35-D and Article 35.27A undisturbed. Where a permitted staged or corridor option is selected, the Adopted FS-01 Schedule Entry records the legally controlling start, maximum duration, required evidence, Legal Activation Mode, and automatic route to Post-Normalization Treatment. FS-01 cannot extend a landing period beyond the ceiling established by Annex 35-D.1 or another controlling provision of Chapter 35.</w:t>
      </w:r>
    </w:p>
    <w:p>
      <w:pPr>
        <w:pStyle w:val="ClauseLabel"/>
      </w:pPr>
      <w:r>
        <w:t>FS01-C02: Calibration of a Selected Staged Landing</w:t>
      </w:r>
    </w:p>
    <w:p>
      <w:pPr>
        <w:pStyle w:val="Normal"/>
      </w:pPr>
      <w:r>
        <w:t>Where the Parties expressly select a staged landing permitted by Annex 35-D.1, Schedule FS-01-A states every negotiated rate or formula, effective trigger, reciprocal milestone, and duration needed to administer that landing. No intermediate tariff step exists by implication, and no authority may invent a rate, corridor, quota, exclusion, or milestone administratively. Satisfaction of the listed trigger activates the treatment assigned by the selected landing option without reopening the underlying bargain. Failure to adopt the necessary calibration does not displace the default wind-down rule or authorize the Secretariat to construct an alternative landing on behalf of the Parties.</w:t>
      </w:r>
    </w:p>
    <w:p>
      <w:pPr>
        <w:pStyle w:val="ClauseLabel"/>
      </w:pPr>
      <w:r>
        <w:t>FS01-C03: Final Normalization</w:t>
      </w:r>
    </w:p>
    <w:p>
      <w:pPr>
        <w:pStyle w:val="Normal"/>
      </w:pPr>
      <w:r>
        <w:t>Final Normalization occurs at the default time established by Annex 35-D and Article 35.27A, except to the extent an expressly selected and lawfully adopted Annex 35-D.1 option establishes a different permitted time in the applicable Adopted FS-01 Schedule Entry, and the covered extraordinary tariff component then terminates. The originating good receives the Post-Normalization Treatment legally applicable to that entry, including ordinary NAESTMA preferential treatment or, where expressly adopted, the controlling Article 59.5A Automotive Settlement Schedule treatment. Final Normalization is not a waiver of origin verification, customs enforcement, trade-remedy procedures lawfully preserved by the Agreement, or an independently authorized Chapter 35 action. A terminated extraordinary tariff does not remain dormant and cannot be revived merely because a later dispute arises.</w:t>
      </w:r>
    </w:p>
    <w:p>
      <w:pPr>
        <w:pStyle w:val="ClauseLabel"/>
      </w:pPr>
      <w:r>
        <w:t>FS01-C04: Sector-by-Sector Independence</w:t>
      </w:r>
    </w:p>
    <w:p>
      <w:pPr>
        <w:pStyle w:val="Normal"/>
      </w:pPr>
      <w:r>
        <w:t>Automobiles, automotive parts, steel, and aluminum normalize independently unless the applicable Adopted FS-01 Schedule Entry expressly links identified entries. Each adopted entry states its Participating Parties and Reciprocity / Severability Status, including whether the entry is bilateral, trilateral, severable, or inseverable; silence is interpreted in favor of the narrowest non-contagious treatment consistent with Article 35.36, the Module Firewall, and the controlling settlement terms. Delay in one sector does not automatically suspend or reverse Final Normalization already effective in another sector or impair treatment between a compliant pair of Parties where the relevant entry is severable. Cross-sector or trilateral linkage requires express schedule language and remains subject to Chapter 35 proportionality and collateral-harm limitations.</w:t>
      </w:r>
    </w:p>
    <w:p>
      <w:pPr>
        <w:pStyle w:val="ClauseLabel"/>
      </w:pPr>
      <w:r>
        <w:t>FS01-C05: Treatment of Originating Goods</w:t>
      </w:r>
    </w:p>
    <w:p>
      <w:pPr>
        <w:pStyle w:val="Normal"/>
      </w:pPr>
      <w:r>
        <w:t>Normalization under FS-01 attaches to qualifying originating goods rather than to nationality labels, shipment routes, or corporate ownership. A qualifying good of Canada, Mexico, or the United States receives the treatment applicable to the relevant Party pair and schedule entry without a presumption that one Party's originating value is less North American than another's. Enhanced incentives may reward additional verified investment or integration only where separately authorized by the Agreement. Failure to qualify for an enhanced incentive does not convert an otherwise originating good into a non-originating good or restore an extinguished extraordinary tariff.</w:t>
      </w:r>
    </w:p>
    <w:p>
      <w:pPr>
        <w:pStyle w:val="ClauseLabel"/>
      </w:pPr>
      <w:r>
        <w:t>FS01-C06: Customs Implementation Continuity</w:t>
      </w:r>
    </w:p>
    <w:p>
      <w:pPr>
        <w:pStyle w:val="Normal"/>
      </w:pPr>
      <w:r>
        <w:t>Customs authorities publish implementing instructions sufficiently in advance of each scheduled step to permit ordinary commercial planning where practicable. An importer does not lose legally effective Post-Normalization Treatment solely because an administrative system update occurs after the legal effective time, and correction, refund, or reconciliation proceeds under the customs and refund authorities otherwise available under the Agreement and applicable law. Existing advance rulings, origin determinations, and trusted-trader status remain effective unless independently modified under the applicable customs provisions. The Secretariat maintains a public implementation ledger showing the legal effective time separately from the date on which a customs system update was completed.</w:t>
      </w:r>
    </w:p>
    <w:p>
      <w:pPr>
        <w:pStyle w:val="Heading2"/>
      </w:pPr>
      <w:bookmarkStart w:id="901260" w:name="_Toc300001259"/>
      <w:r>
        <w:t>FS-01.4: Verification, Fraud Containment, and Continuity</w:t>
      </w:r>
      <w:bookmarkEnd w:id="901260"/>
    </w:p>
    <w:p>
      <w:pPr>
        <w:pStyle w:val="ClauseLabel"/>
      </w:pPr>
      <w:r>
        <w:t>FS01-D01: Verification Without Collective Punishment</w:t>
      </w:r>
    </w:p>
    <w:p>
      <w:pPr>
        <w:pStyle w:val="Normal"/>
      </w:pPr>
      <w:r>
        <w:t>An allegation of origin fraud, circumvention, transshipment, or milestone non-performance does not by itself suspend Post-Normalization Treatment for an entire Party or sector. Verification identifies the producer, shipment, product class, facility, program, or schedule obligation actually implicated by the evidence. Broader temporary treatment requires the specific independent authority, findings, evidence, and procedures applicable under Chapter 35, including the narrowest-sufficient-remedy, module-attachment, collateral-harm, and tariff-quarantine disciplines where relevant; a general reference to Chapter 35 is not independent authority. The burden of establishing the need for broader treatment rests on the Party seeking it.</w:t>
      </w:r>
    </w:p>
    <w:p>
      <w:pPr>
        <w:pStyle w:val="ClauseLabel"/>
      </w:pPr>
      <w:r>
        <w:t>FS01-D02: Producer and Shipment Containment</w:t>
      </w:r>
    </w:p>
    <w:p>
      <w:pPr>
        <w:pStyle w:val="Normal"/>
      </w:pPr>
      <w:r>
        <w:t>Where credible evidence identifies a particular producer, exporter, shipment, or facility, the competent authority may apply the verification, security, bond, detention, denial, recovery, or penalty tools otherwise authorized by the Agreement and by domestic law exercised consistently with this Agreement. Such action is targeted to the identified risk and is not represented as reactivation of a terminated sector-wide extraordinary tariff. Comparable suppliers not implicated by the evidence retain Post-Normalization Treatment subject to ordinary verification. Successful verification closes the targeted action promptly and restores any treatment withheld solely because of the resolved allegation.</w:t>
      </w:r>
    </w:p>
    <w:p>
      <w:pPr>
        <w:pStyle w:val="ClauseLabel"/>
      </w:pPr>
      <w:r>
        <w:t>FS01-D03: Metals Provenance</w:t>
      </w:r>
    </w:p>
    <w:p>
      <w:pPr>
        <w:pStyle w:val="Normal"/>
      </w:pPr>
      <w:r>
        <w:t>For covered steel and aluminum, FS-01 relies on the provenance, melt-and-pour, smelt-and-cast, substantial-transformation, and anti-origin-laundering disciplines established by Articles 36.14 and 36.14A and Chapters 4 and 5. Transit, repackaging, relabelling, minimal processing, or superficial finishing does not convert non-originating material into originating North American content. Lawful use of non-Party feedstock remains available where the applicable origin rule permits it and the transaction does not constitute circumvention. Verification distinguishes lawful external inputs from fraudulent origin conversion rather than treating all non-Party content as presumptively disqualifying.</w:t>
      </w:r>
    </w:p>
    <w:p>
      <w:pPr>
        <w:pStyle w:val="ClauseLabel"/>
      </w:pPr>
      <w:r>
        <w:t>FS01-D04: Automotive Verification</w:t>
      </w:r>
    </w:p>
    <w:p>
      <w:pPr>
        <w:pStyle w:val="Normal"/>
      </w:pPr>
      <w:r>
        <w:t>For covered automobiles and automotive parts, FS-01 relies on Chapter 59, Annex 4-E, Chapter 5, and any formally adopted automotive schedule for content, classification, strategic-component, and verification questions. A dispute concerning an enhanced tier or industrial-expansion incentive does not suspend ordinary originating treatment unless the dispute also establishes failure of the ordinary origin rule. Classification disputes preserve treatment to the extent required by the automotive continuity provisions while the correct methodology is determined. No FS-01 verifier may create a Party-specific content quota by interpretation.</w:t>
      </w:r>
    </w:p>
    <w:p>
      <w:pPr>
        <w:pStyle w:val="ClauseLabel"/>
      </w:pPr>
      <w:r>
        <w:t>FS01-D05: Cothrom Cure Sequence</w:t>
      </w:r>
    </w:p>
    <w:p>
      <w:pPr>
        <w:pStyle w:val="Normal"/>
      </w:pPr>
      <w:r>
        <w:t>A material implementation failure proceeds through the Cothrom and Chapter 35 sequence already applicable to the affected obligation: notice, factual verification, identification of the specific impairment, consultation, a defined cure opportunity, verification of cure, and restoration or closure. This Article applies that existing sequence to FS-01 and does not create an independent verification, cure, remedy, or restoration procedure. The responding Party may select among lawful cures that fully resolve the verified impairment unless the applicable Adopted FS-01 Schedule Entry requires a specific result, and a technical delay, clerical error, or isolated private misconduct is not treated as systemic governmental non-performance without evidence supporting that attribution. Verified cure ends the corresponding implementation step-back and restores the affected settlement benefit according to Chapter 35.</w:t>
      </w:r>
    </w:p>
    <w:p>
      <w:pPr>
        <w:pStyle w:val="ClauseLabel"/>
      </w:pPr>
      <w:r>
        <w:t>FS01-D06: Continuity During Review</w:t>
      </w:r>
    </w:p>
    <w:p>
      <w:pPr>
        <w:pStyle w:val="Normal"/>
      </w:pPr>
      <w:r>
        <w:t>A pending review does not suspend or erase a Final Normalization event, whether or not the evidentiary Final Normalization Certificate has yet been issued. Post-Normalization Treatment continues during review except to the extent a competent authority applies a targeted measure independently authorized by the Agreement and by domestic law exercised consistently with this Agreement. If a panel later finds material governmental non-performance, any response remains subject to Chapter 35 and does not revive the terminated legacy measure. If the allegation is not substantiated, temporary targeted restrictions attributable solely to that allegation are lifted and legally available correction or refund procedures apply.</w:t>
      </w:r>
    </w:p>
    <w:p>
      <w:pPr>
        <w:pStyle w:val="Heading2"/>
      </w:pPr>
      <w:bookmarkStart w:id="901261" w:name="_Toc300001260"/>
      <w:r>
        <w:t>FS-01.5: Exceptional Measures, Anti-Revival, and Restoration</w:t>
      </w:r>
      <w:bookmarkEnd w:id="901261"/>
    </w:p>
    <w:p>
      <w:pPr>
        <w:pStyle w:val="ClauseLabel"/>
      </w:pPr>
      <w:r>
        <w:t>FS01-E01: No New Tariff Authority</w:t>
      </w:r>
    </w:p>
    <w:p>
      <w:pPr>
        <w:pStyle w:val="Normal"/>
      </w:pPr>
      <w:r>
        <w:t>Nothing in FS-01 authorizes a Party, the Commission, the Secretariat, a committee, a verifier, or a panel to impose, increase, restore, extend, or threaten a tariff. Any post-normalization tariff measure requires independent authority under the Agreement and full satisfaction of the applicable Chapter 35 conditions. A failure under this Protocol may support verification, cure, compensation, step-back of an enhanced benefit, or another authorized response without creating a tariff power that does not otherwise exist. Silence in Schedule FS-01-A cannot be interpreted as preserving a residual right to reactivate a terminated extraordinary tariff.</w:t>
      </w:r>
    </w:p>
    <w:p>
      <w:pPr>
        <w:pStyle w:val="ClauseLabel"/>
      </w:pPr>
      <w:r>
        <w:t>FS01-E02: Exceptional Security Interface and No Clock Reset</w:t>
      </w:r>
    </w:p>
    <w:p>
      <w:pPr>
        <w:pStyle w:val="Normal"/>
      </w:pPr>
      <w:r>
        <w:t>A Party retains the security authorities expressly preserved by the Agreement, subject to the procedural and trade-related review boundaries established by Chapter 35. Nothing in FS-01 extends, restarts, renews, or creates a second 90-day referral period, 180-day transitional ceiling, review clock, duration limit, or successive-measure aggregation rule established by Annex 35-D or Article 35.22. Any continuing or later trade restriction relying on security authority satisfies the applicable connection, scope, contribution, narrower-measure, review, duration, and renewal disciplines and possesses genuinely independent authority where the legacy measure has terminated. FS-01 does not authorize a panel to substitute its judgment for a protected sovereign threat assessment where Chapter 35 excludes that inquiry, but it creates no exception from the trade-related disciplines that Chapter 35 expressly makes reviewable.</w:t>
      </w:r>
    </w:p>
    <w:p>
      <w:pPr>
        <w:pStyle w:val="ClauseLabel"/>
      </w:pPr>
      <w:r>
        <w:t>FS01-E03: Declaratory Anti-Revival Rule</w:t>
      </w:r>
    </w:p>
    <w:p>
      <w:pPr>
        <w:pStyle w:val="Normal"/>
      </w:pPr>
      <w:r>
        <w:t>Consistent with Articles 35.27 and 35.27A, a tariff terminated through Final Normalization is extinguished and is not suspended, banked, grandfathered, or held in reserve. This Article is declaratory of the Chapter 35 anti-revival rule and does not establish a separate or weaker standard for successor measures. A later breach, verification dispute, change of government, change in domestic statutory authority, or political disagreement does not reactivate the terminated measure, and any substantially equivalent successor establishes the independent authority required by Chapter 35. The Party applying the later measure bears every burden, limitation, and procedural obligation assigned by Chapter 35.</w:t>
      </w:r>
    </w:p>
    <w:p>
      <w:pPr>
        <w:pStyle w:val="ClauseLabel"/>
      </w:pPr>
      <w:r>
        <w:t>FS01-E04: Narrowest-Sufficient Response</w:t>
      </w:r>
    </w:p>
    <w:p>
      <w:pPr>
        <w:pStyle w:val="Normal"/>
      </w:pPr>
      <w:r>
        <w:t>A verified FS-01 implementation failure is addressed through the narrowest measure reasonably capable of curing or containing the identified impairment. The reviewing authority first applies any authorized response to the affected implementation benefit, producer, shipment, schedule entry, or enhanced incentive rather than unrelated originating trade, subject to any more specific controlling rule in Chapter 35. A cross-sector or economy-wide response exists only where independently authorized by Chapter 35 and only after satisfaction of the findings, evidentiary burdens, proportionality rules, and collateral-harm limitations required there. Commercial inconvenience, negotiating preference, or desire for additional leverage does not establish necessity for a broader response.</w:t>
      </w:r>
    </w:p>
    <w:p>
      <w:pPr>
        <w:pStyle w:val="ClauseLabel"/>
      </w:pPr>
      <w:r>
        <w:t>FS01-E05: Automatic Restoration</w:t>
      </w:r>
    </w:p>
    <w:p>
      <w:pPr>
        <w:pStyle w:val="Normal"/>
      </w:pPr>
      <w:r>
        <w:t>Where a temporary FS-01 implementation benefit has been stepped back under valid treaty authority, verified cure triggers the restoration process established by Chapter 35. An Adopted FS-01 Schedule Entry may make a future condition recurring only for an expressly identified enhanced, optional, expedited, investment-linked, or comparable additional benefit; continued ordinary Post-Normalization Treatment after extinguishment of a legacy extraordinary tariff cannot be converted into perpetual probation by a recurring condition. The Secretariat records the cure, restoration date, and affected schedule entry in the implementation ledger. Restoration of ordinary treaty treatment never means restoration of the extraordinary tariff that FS-01 terminated.</w:t>
      </w:r>
    </w:p>
    <w:p>
      <w:pPr>
        <w:pStyle w:val="ClauseLabel"/>
      </w:pPr>
      <w:r>
        <w:t>FS01-E06: No Tariff Hostage Across Unrelated Disputes</w:t>
      </w:r>
    </w:p>
    <w:p>
      <w:pPr>
        <w:pStyle w:val="Normal"/>
      </w:pPr>
      <w:r>
        <w:t>A dispute concerning agriculture, alcohol, procurement, migration, narcotics, digital trade, culture, energy, forestry, or another unrelated field does not reopen a terminated FS-01 tariff. A remedy for an unrelated breach arises from the authority applicable to that breach and satisfies Chapter 35. The Parties may negotiate a lawful cross-sector settlement voluntarily, but the existence of such negotiations does not suspend the FS-01 baseline. This firewall preserves bargaining flexibility without converting normalized originating trade into recurring collateral leverage.</w:t>
      </w:r>
    </w:p>
    <w:p>
      <w:pPr>
        <w:pStyle w:val="Heading2"/>
      </w:pPr>
      <w:bookmarkStart w:id="901262" w:name="_Toc300001261"/>
      <w:r>
        <w:t>FS-01.6: Certification, Closure, and Administration</w:t>
      </w:r>
      <w:bookmarkEnd w:id="901262"/>
    </w:p>
    <w:p>
      <w:pPr>
        <w:pStyle w:val="ClauseLabel"/>
      </w:pPr>
      <w:r>
        <w:t>FS01-F01: Final Normalization Certificate</w:t>
      </w:r>
    </w:p>
    <w:p>
      <w:pPr>
        <w:pStyle w:val="Normal"/>
      </w:pPr>
      <w:r>
        <w:t>For each covered schedule entry, the Secretariat issues a Final Normalization Certificate after confirming the objective conditions expressly assigned to that entry are satisfied. The certificate identifies the terminated extraordinary measure, the covered originating goods, the effective time, Post-Normalization Treatment, Legal Activation Mode, and domestic implementation instruments deposited by the relevant Parties. Failure or delay by the Secretariat to issue the certificate does not postpone a Final Normalization event that has otherwise occurred by operation of the Agreement; certification is constitutive only where the controlling Annex 35-D.1 option expressly permits certification as an activation condition, the Adopted FS-01 Schedule Entry states that mode, the required findings are objective, and expedited failure-to-act review is available. The certificate does not create originating status for an individual good, and once issued it remains effective unless corrected for clerical error or superseded by a formal treaty amendment.</w:t>
      </w:r>
    </w:p>
    <w:p>
      <w:pPr>
        <w:pStyle w:val="ClauseLabel"/>
      </w:pPr>
      <w:r>
        <w:t>FS01-F02: Three-Receipt Settlement Record</w:t>
      </w:r>
    </w:p>
    <w:p>
      <w:pPr>
        <w:pStyle w:val="Normal"/>
      </w:pPr>
      <w:r>
        <w:t>The FS-01 ledger distinguishes three implementation receipts: Readiness, Normalization, and Closure. Readiness confirms that required domestic instruments and reciprocal conditions are in place; Normalization confirms the effective tariff treatment; Closure confirms that transitional administration, refunds or reconciliations, and required public notices are complete. A fact conclusively established for an earlier receipt is reused for a later receipt and is not reopened absent fraud, material new evidence, or clerical error; the receipt sequence does not create three separate opportunities to relitigate the same verified fact. A Party may not represent a political announcement as completed normalization when the corresponding legal treatment has not entered into effect, and receipts may be issued separately where customs administration requires a short post-effective-date reconciliation period.</w:t>
      </w:r>
    </w:p>
    <w:p>
      <w:pPr>
        <w:pStyle w:val="ClauseLabel"/>
      </w:pPr>
      <w:r>
        <w:t>FS01-F03: Public Transparency</w:t>
      </w:r>
    </w:p>
    <w:p>
      <w:pPr>
        <w:pStyle w:val="Normal"/>
      </w:pPr>
      <w:r>
        <w:t>The Secretariat publishes the Covered Measure Register, non-confidential certificates, effective dates, tariff-line concordances, and implementation status in a stable public location. Confidential business information, protected customs information, security information, and legally protected deliberative material remain subject to the Agreement's disclosure safeguards. Public reporting distinguishes proposed, signed, legally effective, customs-implemented, and finally closed treatment. A numerical claim concerning tariff relief identifies whether it refers to a statutory rate, extraordinary additional rate, effective rate, or another measure.</w:t>
      </w:r>
    </w:p>
    <w:p>
      <w:pPr>
        <w:pStyle w:val="ClauseLabel"/>
      </w:pPr>
      <w:r>
        <w:t>FS01-F04: Administrative Simplicity</w:t>
      </w:r>
    </w:p>
    <w:p>
      <w:pPr>
        <w:pStyle w:val="Normal"/>
      </w:pPr>
      <w:r>
        <w:t>Existing customs authorities, the Commission, the Treaty Integrity Secretariat, the Automotive Committee, and existing metals mechanisms administer FS-01 to the maximum extent practicable. No new permanent institution is created solely for this Protocol. A Party that has already supplied a verified fact to an authorized NAESTMA body may satisfy an equivalent FS-01 requirement by reference to that record where access and evidentiary integrity are preserved. Reporting is consolidated with existing Chapter 35, Chapter 36, or Chapter 59 reporting where consolidation does not obscure the legal status of a covered measure.</w:t>
      </w:r>
    </w:p>
    <w:p>
      <w:pPr>
        <w:pStyle w:val="ClauseLabel"/>
      </w:pPr>
      <w:r>
        <w:t>FS01-F05: Technical Corrections</w:t>
      </w:r>
    </w:p>
    <w:p>
      <w:pPr>
        <w:pStyle w:val="Normal"/>
      </w:pPr>
      <w:r>
        <w:t>The Parties may correct tariff-line renumbering, nomenclature updates, typographical errors, cross-reference errors, or other non-substantive schedule defects through a jointly authenticated technical correction. A technical correction cannot increase a tariff, add a new covered measure, expand a product class, create a new milestone, alter the substantive bargain, change the selected Annex 35-D.1 landing option, change Legal Activation Mode, or convert an entry between bilateral and trilateral or between severable and inseverable status. Where tariff nomenclature changes, the correction preserves the commercial scope of the adopted schedule unless the Parties expressly agree otherwise through the amendment procedure. The Secretariat maintains both the superseded and corrected concordance for auditability.</w:t>
      </w:r>
    </w:p>
    <w:p>
      <w:pPr>
        <w:pStyle w:val="ClauseLabel"/>
      </w:pPr>
      <w:r>
        <w:t>FS01-F06: Completion of FS-01</w:t>
      </w:r>
    </w:p>
    <w:p>
      <w:pPr>
        <w:pStyle w:val="Normal"/>
      </w:pPr>
      <w:r>
        <w:t>FS-01 administration is complete for a schedule entry when the legal Final Normalization event has occurred and the Final Normalization Certificate and Closure receipt have been issued or, where ministerial issuance is delayed, when the underlying legal event is established by automatic operation of the Agreement, an uncontested joint implementation record, a final Cothrom determination, or another final determination expressly authorized by the Agreement. Completion converts the entry from transitional settlement administration to the controlling Post-Normalization Treatment, subject to continuing origin, verification, anti-circumvention, security, and dispute disciplines. Transitional milestones then cease to create independent reporting obligations except for record retention, audit, reconciliation, or an already pending review. The completed entry remains listed in the public ledger so that no later authority mistakes a terminated extraordinary measure for a dormant or renewable one.</w:t>
      </w:r>
    </w:p>
    <w:p>
      <w:pPr>
        <w:pStyle w:val="Heading2"/>
      </w:pPr>
      <w:bookmarkStart w:id="901263" w:name="_Toc300001262"/>
      <w:r>
        <w:t>SCHEDULE FS-01-A: Covered Measures, Landing Options, Verification Milestones, and Post-Normalization Treatment, DEVELOPMENT TEMPLATE: NON-OPERATIVE UNTIL ADOPTED</w:t>
      </w:r>
      <w:bookmarkEnd w:id="901263"/>
    </w:p>
    <w:p>
      <w:pPr>
        <w:pStyle w:val="Normal"/>
      </w:pPr>
      <w:r>
        <w:t>Schedule rule. This development schedule identifies the mandatory data fields and initial sector classes available for an Adopted FS-01 Schedule Entry. The template does not itself record a selected Annex 35-D.1 landing option, and silence preserves the Annex 35-D default. Exact negotiated rates, dates, corridors, exclusions, reciprocal milestones, and any Article 59.5A automotive settlement calibration are expressly adopted before they alter tariff treatment; they are not inferred by the Secretariat or supplied by this development draft.</w:t>
      </w:r>
    </w:p>
    <w:tbl>
      <w:tblPr>
        <w:tblStyle w:val="TableGrid"/>
        <w:tblW w:type="dxa" w:w="8467"/>
        <w:jc w:val="center"/>
        <w:tblBorders>
          <w:top w:val="single" w:sz="10" w:space="0" w:color="546E7A"/>
          <w:left w:val="nil"/>
          <w:bottom w:val="single" w:sz="10" w:space="0" w:color="546E7A"/>
          <w:right w:val="nil"/>
          <w:insideH w:val="single" w:sz="2" w:space="0" w:color="B0BEC5"/>
          <w:insideV w:val="single" w:sz="2" w:space="0" w:color="CFD8DC"/>
        </w:tblBorders>
        <w:tblLayout w:type="fixed"/>
        <w:tblCellMar>
          <w:top w:w="70" w:type="dxa"/>
          <w:left w:w="100" w:type="dxa"/>
          <w:bottom w:w="70" w:type="dxa"/>
          <w:right w:w="100" w:type="dxa"/>
        </w:tblCellMar>
        <w:tblLook w:firstColumn="1" w:firstRow="1" w:lastColumn="0" w:lastRow="0" w:noHBand="0" w:noVBand="1" w:val="04A0"/>
      </w:tblPr>
      <w:tblGrid>
        <w:gridCol w:w="547"/>
        <w:gridCol w:w="892"/>
        <w:gridCol w:w="892"/>
        <w:gridCol w:w="892"/>
        <w:gridCol w:w="892"/>
        <w:gridCol w:w="1007"/>
        <w:gridCol w:w="892"/>
        <w:gridCol w:w="835"/>
        <w:gridCol w:w="792"/>
        <w:gridCol w:w="820"/>
      </w:tblGrid>
      <w:tr>
        <w:tc>
          <w:tcPr>
            <w:tcW w:type="dxa" w:w="547"/>
            <w:vAlign w:val="top"/>
          </w:tcPr>
          <w:p>
            <w:pPr>
              <w:pStyle w:val="TableText"/>
            </w:pPr>
            <w:r>
              <w:rPr/>
              <w:t>Entry</w:t>
            </w:r>
          </w:p>
        </w:tc>
        <w:tc>
          <w:tcPr>
            <w:tcW w:type="dxa" w:w="892"/>
            <w:vAlign w:val="top"/>
          </w:tcPr>
          <w:p>
            <w:pPr>
              <w:pStyle w:val="TableText"/>
            </w:pPr>
            <w:r>
              <w:rPr/>
              <w:t>Sector / Goods</w:t>
            </w:r>
          </w:p>
        </w:tc>
        <w:tc>
          <w:tcPr>
            <w:tcW w:type="dxa" w:w="892"/>
            <w:vAlign w:val="top"/>
          </w:tcPr>
          <w:p>
            <w:pPr>
              <w:pStyle w:val="TableText"/>
            </w:pPr>
            <w:r>
              <w:rPr/>
              <w:t>Legacy Measure</w:t>
            </w:r>
          </w:p>
        </w:tc>
        <w:tc>
          <w:tcPr>
            <w:tcW w:type="dxa" w:w="892"/>
            <w:vAlign w:val="top"/>
          </w:tcPr>
          <w:p>
            <w:pPr>
              <w:pStyle w:val="TableText"/>
            </w:pPr>
            <w:r>
              <w:rPr/>
              <w:t>35-D.1 Landing Option</w:t>
            </w:r>
          </w:p>
        </w:tc>
        <w:tc>
          <w:tcPr>
            <w:tcW w:type="dxa" w:w="892"/>
            <w:vAlign w:val="top"/>
          </w:tcPr>
          <w:p>
            <w:pPr>
              <w:pStyle w:val="TableText"/>
            </w:pPr>
            <w:r>
              <w:rPr/>
              <w:t>Negotiated Calibration</w:t>
            </w:r>
          </w:p>
        </w:tc>
        <w:tc>
          <w:tcPr>
            <w:tcW w:type="dxa" w:w="1007"/>
            <w:vAlign w:val="top"/>
          </w:tcPr>
          <w:p>
            <w:pPr>
              <w:pStyle w:val="TableText"/>
            </w:pPr>
            <w:r>
              <w:rPr/>
              <w:t>Post-Normalization Treatment</w:t>
            </w:r>
          </w:p>
        </w:tc>
        <w:tc>
          <w:tcPr>
            <w:tcW w:type="dxa" w:w="892"/>
            <w:vAlign w:val="top"/>
          </w:tcPr>
          <w:p>
            <w:pPr>
              <w:pStyle w:val="TableText"/>
            </w:pPr>
            <w:r>
              <w:rPr/>
              <w:t>Verification / Interface</w:t>
            </w:r>
          </w:p>
        </w:tc>
        <w:tc>
          <w:tcPr>
            <w:tcW w:type="dxa" w:w="835"/>
            <w:vAlign w:val="top"/>
          </w:tcPr>
          <w:p>
            <w:pPr>
              <w:pStyle w:val="TableText"/>
            </w:pPr>
            <w:r>
              <w:rPr/>
              <w:t>Legal Activation Mode</w:t>
            </w:r>
          </w:p>
        </w:tc>
        <w:tc>
          <w:tcPr>
            <w:tcW w:type="dxa" w:w="792"/>
            <w:vAlign w:val="top"/>
          </w:tcPr>
          <w:p>
            <w:pPr>
              <w:pStyle w:val="TableText"/>
            </w:pPr>
            <w:r>
              <w:rPr/>
              <w:t>Parties</w:t>
            </w:r>
          </w:p>
        </w:tc>
        <w:tc>
          <w:tcPr>
            <w:tcW w:type="dxa" w:w="820"/>
            <w:vAlign w:val="top"/>
          </w:tcPr>
          <w:p>
            <w:pPr>
              <w:pStyle w:val="TableText"/>
            </w:pPr>
            <w:r>
              <w:rPr/>
              <w:t>Reciprocity / Severability</w:t>
            </w:r>
          </w:p>
        </w:tc>
      </w:tr>
      <w:tr>
        <w:tc>
          <w:tcPr>
            <w:tcW w:type="dxa" w:w="547"/>
            <w:vAlign w:val="top"/>
          </w:tcPr>
          <w:p>
            <w:pPr>
              <w:pStyle w:val="TableText"/>
            </w:pPr>
            <w:r>
              <w:rPr/>
              <w:t>FS01-A-1</w:t>
            </w:r>
          </w:p>
        </w:tc>
        <w:tc>
          <w:tcPr>
            <w:tcW w:type="dxa" w:w="892"/>
            <w:vAlign w:val="top"/>
          </w:tcPr>
          <w:p>
            <w:pPr>
              <w:pStyle w:val="TableText"/>
            </w:pPr>
            <w:r>
              <w:rPr/>
              <w:t>Steel</w:t>
            </w:r>
          </w:p>
        </w:tc>
        <w:tc>
          <w:tcPr>
            <w:tcW w:type="dxa" w:w="892"/>
            <w:vAlign w:val="top"/>
          </w:tcPr>
          <w:p>
            <w:pPr>
              <w:pStyle w:val="TableText"/>
            </w:pPr>
            <w:r>
              <w:rPr/>
              <w:t>Covered extraordinary tariff identified in adopted register</w:t>
            </w:r>
          </w:p>
        </w:tc>
        <w:tc>
          <w:tcPr>
            <w:tcW w:type="dxa" w:w="892"/>
            <w:vAlign w:val="top"/>
          </w:tcPr>
          <w:p>
            <w:pPr>
              <w:pStyle w:val="TableText"/>
            </w:pPr>
            <w:r>
              <w:rPr/>
              <w:t>To be expressly selected: Option A, B, or C; silence preserves Annex 35-D default</w:t>
            </w:r>
          </w:p>
        </w:tc>
        <w:tc>
          <w:tcPr>
            <w:tcW w:type="dxa" w:w="892"/>
            <w:vAlign w:val="top"/>
          </w:tcPr>
          <w:p>
            <w:pPr>
              <w:pStyle w:val="TableText"/>
            </w:pPr>
            <w:r>
              <w:rPr/>
              <w:t>Only values expressly permitted by the selected option and adopted by the Parties</w:t>
            </w:r>
          </w:p>
        </w:tc>
        <w:tc>
          <w:tcPr>
            <w:tcW w:type="dxa" w:w="1007"/>
            <w:vAlign w:val="top"/>
          </w:tcPr>
          <w:p>
            <w:pPr>
              <w:pStyle w:val="TableText"/>
            </w:pPr>
            <w:r>
              <w:rPr/>
              <w:t>Ordinary NAESTMA tariff treatment for qualifying originating steel</w:t>
            </w:r>
          </w:p>
        </w:tc>
        <w:tc>
          <w:tcPr>
            <w:tcW w:type="dxa" w:w="892"/>
            <w:vAlign w:val="top"/>
          </w:tcPr>
          <w:p>
            <w:pPr>
              <w:pStyle w:val="TableText"/>
            </w:pPr>
            <w:r>
              <w:rPr/>
              <w:t>Arts. 36.14/36.14A; Chs. 4, 5, 35</w:t>
            </w:r>
          </w:p>
        </w:tc>
        <w:tc>
          <w:tcPr>
            <w:tcW w:type="dxa" w:w="835"/>
            <w:vAlign w:val="top"/>
          </w:tcPr>
          <w:p>
            <w:pPr>
              <w:pStyle w:val="TableText"/>
            </w:pPr>
            <w:r>
              <w:rPr/>
              <w:t>To be expressly adopted: Automatic / Certificate-Triggered / Matched Reciprocal Activation</w:t>
            </w:r>
          </w:p>
        </w:tc>
        <w:tc>
          <w:tcPr>
            <w:tcW w:type="dxa" w:w="792"/>
            <w:vAlign w:val="top"/>
          </w:tcPr>
          <w:p>
            <w:pPr>
              <w:pStyle w:val="TableText"/>
            </w:pPr>
            <w:r>
              <w:rPr/>
              <w:t>[CA / US / MX pair or trilateral scope]</w:t>
            </w:r>
          </w:p>
        </w:tc>
        <w:tc>
          <w:tcPr>
            <w:tcW w:type="dxa" w:w="820"/>
            <w:vAlign w:val="top"/>
          </w:tcPr>
          <w:p>
            <w:pPr>
              <w:pStyle w:val="TableText"/>
            </w:pPr>
            <w:r>
              <w:rPr/>
              <w:t>[Bilateral / trilateral; severable / inseverable; linked entries if any]</w:t>
            </w:r>
          </w:p>
        </w:tc>
      </w:tr>
      <w:tr>
        <w:tc>
          <w:tcPr>
            <w:tcW w:type="dxa" w:w="547"/>
            <w:vAlign w:val="top"/>
          </w:tcPr>
          <w:p>
            <w:pPr>
              <w:pStyle w:val="TableText"/>
            </w:pPr>
            <w:r>
              <w:rPr/>
              <w:t>FS01-A-2</w:t>
            </w:r>
          </w:p>
        </w:tc>
        <w:tc>
          <w:tcPr>
            <w:tcW w:type="dxa" w:w="892"/>
            <w:vAlign w:val="top"/>
          </w:tcPr>
          <w:p>
            <w:pPr>
              <w:pStyle w:val="TableText"/>
            </w:pPr>
            <w:r>
              <w:rPr/>
              <w:t>Aluminum</w:t>
            </w:r>
          </w:p>
        </w:tc>
        <w:tc>
          <w:tcPr>
            <w:tcW w:type="dxa" w:w="892"/>
            <w:vAlign w:val="top"/>
          </w:tcPr>
          <w:p>
            <w:pPr>
              <w:pStyle w:val="TableText"/>
            </w:pPr>
            <w:r>
              <w:rPr/>
              <w:t>Covered extraordinary tariff identified in adopted register</w:t>
            </w:r>
          </w:p>
        </w:tc>
        <w:tc>
          <w:tcPr>
            <w:tcW w:type="dxa" w:w="892"/>
            <w:vAlign w:val="top"/>
          </w:tcPr>
          <w:p>
            <w:pPr>
              <w:pStyle w:val="TableText"/>
            </w:pPr>
            <w:r>
              <w:rPr/>
              <w:t>To be expressly selected: Option A, B, or C; silence preserves Annex 35-D default</w:t>
            </w:r>
          </w:p>
        </w:tc>
        <w:tc>
          <w:tcPr>
            <w:tcW w:type="dxa" w:w="892"/>
            <w:vAlign w:val="top"/>
          </w:tcPr>
          <w:p>
            <w:pPr>
              <w:pStyle w:val="TableText"/>
            </w:pPr>
            <w:r>
              <w:rPr/>
              <w:t>Only values expressly permitted by the selected option and adopted by the Parties</w:t>
            </w:r>
          </w:p>
        </w:tc>
        <w:tc>
          <w:tcPr>
            <w:tcW w:type="dxa" w:w="1007"/>
            <w:vAlign w:val="top"/>
          </w:tcPr>
          <w:p>
            <w:pPr>
              <w:pStyle w:val="TableText"/>
            </w:pPr>
            <w:r>
              <w:rPr/>
              <w:t>Ordinary NAESTMA tariff treatment for qualifying originating aluminum</w:t>
            </w:r>
          </w:p>
        </w:tc>
        <w:tc>
          <w:tcPr>
            <w:tcW w:type="dxa" w:w="892"/>
            <w:vAlign w:val="top"/>
          </w:tcPr>
          <w:p>
            <w:pPr>
              <w:pStyle w:val="TableText"/>
            </w:pPr>
            <w:r>
              <w:rPr/>
              <w:t>Arts. 36.14/36.14A; Chs. 4, 5, 35</w:t>
            </w:r>
          </w:p>
        </w:tc>
        <w:tc>
          <w:tcPr>
            <w:tcW w:type="dxa" w:w="835"/>
            <w:vAlign w:val="top"/>
          </w:tcPr>
          <w:p>
            <w:pPr>
              <w:pStyle w:val="TableText"/>
            </w:pPr>
            <w:r>
              <w:rPr/>
              <w:t>To be expressly adopted: Automatic / Certificate-Triggered / Matched Reciprocal Activation</w:t>
            </w:r>
          </w:p>
        </w:tc>
        <w:tc>
          <w:tcPr>
            <w:tcW w:type="dxa" w:w="792"/>
            <w:vAlign w:val="top"/>
          </w:tcPr>
          <w:p>
            <w:pPr>
              <w:pStyle w:val="TableText"/>
            </w:pPr>
            <w:r>
              <w:rPr/>
              <w:t>[CA / US / MX pair or trilateral scope]</w:t>
            </w:r>
          </w:p>
        </w:tc>
        <w:tc>
          <w:tcPr>
            <w:tcW w:type="dxa" w:w="820"/>
            <w:vAlign w:val="top"/>
          </w:tcPr>
          <w:p>
            <w:pPr>
              <w:pStyle w:val="TableText"/>
            </w:pPr>
            <w:r>
              <w:rPr/>
              <w:t>[Bilateral / trilateral; severable / inseverable; linked entries if any]</w:t>
            </w:r>
          </w:p>
        </w:tc>
      </w:tr>
      <w:tr>
        <w:tc>
          <w:tcPr>
            <w:tcW w:type="dxa" w:w="547"/>
            <w:vAlign w:val="top"/>
          </w:tcPr>
          <w:p>
            <w:pPr>
              <w:pStyle w:val="TableText"/>
            </w:pPr>
            <w:r>
              <w:rPr/>
              <w:t>FS01-A-3</w:t>
            </w:r>
          </w:p>
        </w:tc>
        <w:tc>
          <w:tcPr>
            <w:tcW w:type="dxa" w:w="892"/>
            <w:vAlign w:val="top"/>
          </w:tcPr>
          <w:p>
            <w:pPr>
              <w:pStyle w:val="TableText"/>
            </w:pPr>
            <w:r>
              <w:rPr/>
              <w:t>Passenger / light vehicles</w:t>
            </w:r>
          </w:p>
        </w:tc>
        <w:tc>
          <w:tcPr>
            <w:tcW w:type="dxa" w:w="892"/>
            <w:vAlign w:val="top"/>
          </w:tcPr>
          <w:p>
            <w:pPr>
              <w:pStyle w:val="TableText"/>
            </w:pPr>
            <w:r>
              <w:rPr/>
              <w:t>Covered extraordinary automotive tariff identified in adopted register</w:t>
            </w:r>
          </w:p>
        </w:tc>
        <w:tc>
          <w:tcPr>
            <w:tcW w:type="dxa" w:w="892"/>
            <w:vAlign w:val="top"/>
          </w:tcPr>
          <w:p>
            <w:pPr>
              <w:pStyle w:val="TableText"/>
            </w:pPr>
            <w:r>
              <w:rPr/>
              <w:t>To be expressly selected: Option A, B, or C; silence preserves Annex 35-D default</w:t>
            </w:r>
          </w:p>
        </w:tc>
        <w:tc>
          <w:tcPr>
            <w:tcW w:type="dxa" w:w="892"/>
            <w:vAlign w:val="top"/>
          </w:tcPr>
          <w:p>
            <w:pPr>
              <w:pStyle w:val="TableText"/>
            </w:pPr>
            <w:r>
              <w:rPr/>
              <w:t>Only values expressly permitted by the selected option and adopted by the Parties</w:t>
            </w:r>
          </w:p>
        </w:tc>
        <w:tc>
          <w:tcPr>
            <w:tcW w:type="dxa" w:w="1007"/>
            <w:vAlign w:val="top"/>
          </w:tcPr>
          <w:p>
            <w:pPr>
              <w:pStyle w:val="TableText"/>
            </w:pPr>
            <w:r>
              <w:rPr/>
              <w:t>Ordinary NAESTMA treatment, or the expressly adopted Article 59.5A Automotive Settlement Schedule for this entry</w:t>
            </w:r>
          </w:p>
        </w:tc>
        <w:tc>
          <w:tcPr>
            <w:tcW w:type="dxa" w:w="892"/>
            <w:vAlign w:val="top"/>
          </w:tcPr>
          <w:p>
            <w:pPr>
              <w:pStyle w:val="TableText"/>
            </w:pPr>
            <w:r>
              <w:rPr/>
              <w:t>Ch. 59; Annex 4-E; Chs. 4, 5, 35</w:t>
            </w:r>
          </w:p>
        </w:tc>
        <w:tc>
          <w:tcPr>
            <w:tcW w:type="dxa" w:w="835"/>
            <w:vAlign w:val="top"/>
          </w:tcPr>
          <w:p>
            <w:pPr>
              <w:pStyle w:val="TableText"/>
            </w:pPr>
            <w:r>
              <w:rPr/>
              <w:t>To be expressly adopted: Automatic / Certificate-Triggered / Matched Reciprocal Activation</w:t>
            </w:r>
          </w:p>
        </w:tc>
        <w:tc>
          <w:tcPr>
            <w:tcW w:type="dxa" w:w="792"/>
            <w:vAlign w:val="top"/>
          </w:tcPr>
          <w:p>
            <w:pPr>
              <w:pStyle w:val="TableText"/>
            </w:pPr>
            <w:r>
              <w:rPr/>
              <w:t>[CA / US / MX pair or trilateral scope]</w:t>
            </w:r>
          </w:p>
        </w:tc>
        <w:tc>
          <w:tcPr>
            <w:tcW w:type="dxa" w:w="820"/>
            <w:vAlign w:val="top"/>
          </w:tcPr>
          <w:p>
            <w:pPr>
              <w:pStyle w:val="TableText"/>
            </w:pPr>
            <w:r>
              <w:rPr/>
              <w:t>[Bilateral / trilateral; severable / inseverable; linked entries if any]</w:t>
            </w:r>
          </w:p>
        </w:tc>
      </w:tr>
      <w:tr>
        <w:tc>
          <w:tcPr>
            <w:tcW w:type="dxa" w:w="547"/>
            <w:vAlign w:val="top"/>
          </w:tcPr>
          <w:p>
            <w:pPr>
              <w:pStyle w:val="TableText"/>
            </w:pPr>
            <w:r>
              <w:rPr/>
              <w:t>FS01-A-4</w:t>
            </w:r>
          </w:p>
        </w:tc>
        <w:tc>
          <w:tcPr>
            <w:tcW w:type="dxa" w:w="892"/>
            <w:vAlign w:val="top"/>
          </w:tcPr>
          <w:p>
            <w:pPr>
              <w:pStyle w:val="TableText"/>
            </w:pPr>
            <w:r>
              <w:rPr/>
              <w:t>Medium / heavy vehicles, buses, chassis</w:t>
            </w:r>
          </w:p>
        </w:tc>
        <w:tc>
          <w:tcPr>
            <w:tcW w:type="dxa" w:w="892"/>
            <w:vAlign w:val="top"/>
          </w:tcPr>
          <w:p>
            <w:pPr>
              <w:pStyle w:val="TableText"/>
            </w:pPr>
            <w:r>
              <w:rPr/>
              <w:t>Covered extraordinary automotive tariff identified in adopted register</w:t>
            </w:r>
          </w:p>
        </w:tc>
        <w:tc>
          <w:tcPr>
            <w:tcW w:type="dxa" w:w="892"/>
            <w:vAlign w:val="top"/>
          </w:tcPr>
          <w:p>
            <w:pPr>
              <w:pStyle w:val="TableText"/>
            </w:pPr>
            <w:r>
              <w:rPr/>
              <w:t>To be expressly selected: Option A, B, or C; silence preserves Annex 35-D default</w:t>
            </w:r>
          </w:p>
        </w:tc>
        <w:tc>
          <w:tcPr>
            <w:tcW w:type="dxa" w:w="892"/>
            <w:vAlign w:val="top"/>
          </w:tcPr>
          <w:p>
            <w:pPr>
              <w:pStyle w:val="TableText"/>
            </w:pPr>
            <w:r>
              <w:rPr/>
              <w:t>Only values expressly permitted by the selected option and adopted by the Parties</w:t>
            </w:r>
          </w:p>
        </w:tc>
        <w:tc>
          <w:tcPr>
            <w:tcW w:type="dxa" w:w="1007"/>
            <w:vAlign w:val="top"/>
          </w:tcPr>
          <w:p>
            <w:pPr>
              <w:pStyle w:val="TableText"/>
            </w:pPr>
            <w:r>
              <w:rPr/>
              <w:t>Ordinary NAESTMA treatment, or the expressly adopted Article 59.5A Automotive Settlement Schedule for this entry</w:t>
            </w:r>
          </w:p>
        </w:tc>
        <w:tc>
          <w:tcPr>
            <w:tcW w:type="dxa" w:w="892"/>
            <w:vAlign w:val="top"/>
          </w:tcPr>
          <w:p>
            <w:pPr>
              <w:pStyle w:val="TableText"/>
            </w:pPr>
            <w:r>
              <w:rPr/>
              <w:t>Ch. 59; Annex 4-E; Chs. 4, 5, 35</w:t>
            </w:r>
          </w:p>
        </w:tc>
        <w:tc>
          <w:tcPr>
            <w:tcW w:type="dxa" w:w="835"/>
            <w:vAlign w:val="top"/>
          </w:tcPr>
          <w:p>
            <w:pPr>
              <w:pStyle w:val="TableText"/>
            </w:pPr>
            <w:r>
              <w:rPr/>
              <w:t>To be expressly adopted: Automatic / Certificate-Triggered / Matched Reciprocal Activation</w:t>
            </w:r>
          </w:p>
        </w:tc>
        <w:tc>
          <w:tcPr>
            <w:tcW w:type="dxa" w:w="792"/>
            <w:vAlign w:val="top"/>
          </w:tcPr>
          <w:p>
            <w:pPr>
              <w:pStyle w:val="TableText"/>
            </w:pPr>
            <w:r>
              <w:rPr/>
              <w:t>[CA / US / MX pair or trilateral scope]</w:t>
            </w:r>
          </w:p>
        </w:tc>
        <w:tc>
          <w:tcPr>
            <w:tcW w:type="dxa" w:w="820"/>
            <w:vAlign w:val="top"/>
          </w:tcPr>
          <w:p>
            <w:pPr>
              <w:pStyle w:val="TableText"/>
            </w:pPr>
            <w:r>
              <w:rPr/>
              <w:t>[Bilateral / trilateral; severable / inseverable; linked entries if any]</w:t>
            </w:r>
          </w:p>
        </w:tc>
      </w:tr>
      <w:tr>
        <w:tc>
          <w:tcPr>
            <w:tcW w:type="dxa" w:w="547"/>
            <w:vAlign w:val="top"/>
          </w:tcPr>
          <w:p>
            <w:pPr>
              <w:pStyle w:val="TableText"/>
            </w:pPr>
            <w:r>
              <w:rPr/>
              <w:t>FS01-A-5</w:t>
            </w:r>
          </w:p>
        </w:tc>
        <w:tc>
          <w:tcPr>
            <w:tcW w:type="dxa" w:w="892"/>
            <w:vAlign w:val="top"/>
          </w:tcPr>
          <w:p>
            <w:pPr>
              <w:pStyle w:val="TableText"/>
            </w:pPr>
            <w:r>
              <w:rPr/>
              <w:t>Automotive parts / strategic components</w:t>
            </w:r>
          </w:p>
        </w:tc>
        <w:tc>
          <w:tcPr>
            <w:tcW w:type="dxa" w:w="892"/>
            <w:vAlign w:val="top"/>
          </w:tcPr>
          <w:p>
            <w:pPr>
              <w:pStyle w:val="TableText"/>
            </w:pPr>
            <w:r>
              <w:rPr/>
              <w:t>Covered extraordinary parts tariff identified in adopted register</w:t>
            </w:r>
          </w:p>
        </w:tc>
        <w:tc>
          <w:tcPr>
            <w:tcW w:type="dxa" w:w="892"/>
            <w:vAlign w:val="top"/>
          </w:tcPr>
          <w:p>
            <w:pPr>
              <w:pStyle w:val="TableText"/>
            </w:pPr>
            <w:r>
              <w:rPr/>
              <w:t>To be expressly selected: Option A, B, or C; silence preserves Annex 35-D default</w:t>
            </w:r>
          </w:p>
        </w:tc>
        <w:tc>
          <w:tcPr>
            <w:tcW w:type="dxa" w:w="892"/>
            <w:vAlign w:val="top"/>
          </w:tcPr>
          <w:p>
            <w:pPr>
              <w:pStyle w:val="TableText"/>
            </w:pPr>
            <w:r>
              <w:rPr/>
              <w:t>Only values expressly permitted by the selected option and adopted by the Parties</w:t>
            </w:r>
          </w:p>
        </w:tc>
        <w:tc>
          <w:tcPr>
            <w:tcW w:type="dxa" w:w="1007"/>
            <w:vAlign w:val="top"/>
          </w:tcPr>
          <w:p>
            <w:pPr>
              <w:pStyle w:val="TableText"/>
            </w:pPr>
            <w:r>
              <w:rPr/>
              <w:t>Ordinary NAESTMA treatment, or the expressly adopted Article 59.5A Automotive Settlement Schedule for this entry</w:t>
            </w:r>
          </w:p>
        </w:tc>
        <w:tc>
          <w:tcPr>
            <w:tcW w:type="dxa" w:w="892"/>
            <w:vAlign w:val="top"/>
          </w:tcPr>
          <w:p>
            <w:pPr>
              <w:pStyle w:val="TableText"/>
            </w:pPr>
            <w:r>
              <w:rPr/>
              <w:t>Ch. 59; Annex 4-E; Chs. 4, 5, 35</w:t>
            </w:r>
          </w:p>
        </w:tc>
        <w:tc>
          <w:tcPr>
            <w:tcW w:type="dxa" w:w="835"/>
            <w:vAlign w:val="top"/>
          </w:tcPr>
          <w:p>
            <w:pPr>
              <w:pStyle w:val="TableText"/>
            </w:pPr>
            <w:r>
              <w:rPr/>
              <w:t>To be expressly adopted: Automatic / Certificate-Triggered / Matched Reciprocal Activation</w:t>
            </w:r>
          </w:p>
        </w:tc>
        <w:tc>
          <w:tcPr>
            <w:tcW w:type="dxa" w:w="792"/>
            <w:vAlign w:val="top"/>
          </w:tcPr>
          <w:p>
            <w:pPr>
              <w:pStyle w:val="TableText"/>
            </w:pPr>
            <w:r>
              <w:rPr/>
              <w:t>[CA / US / MX pair or trilateral scope]</w:t>
            </w:r>
          </w:p>
        </w:tc>
        <w:tc>
          <w:tcPr>
            <w:tcW w:type="dxa" w:w="820"/>
            <w:vAlign w:val="top"/>
          </w:tcPr>
          <w:p>
            <w:pPr>
              <w:pStyle w:val="TableText"/>
            </w:pPr>
            <w:r>
              <w:rPr/>
              <w:t>[Bilateral / trilateral; severable / inseverable; linked entries if any]</w:t>
            </w:r>
          </w:p>
        </w:tc>
      </w:tr>
    </w:tbl>
    <w:p>
      <w:pPr>
        <w:pStyle w:val="Heading2"/>
      </w:pPr>
      <w:bookmarkStart w:id="901264" w:name="_Toc300001263"/>
      <w:r>
        <w:t>FS-01-A.1: Required Adopted-Schedule Data</w:t>
      </w:r>
      <w:bookmarkEnd w:id="901264"/>
    </w:p>
    <w:p>
      <w:pPr>
        <w:pStyle w:val="Normal"/>
        <w:ind w:left="288" w:hanging="288"/>
      </w:pPr>
      <w:r>
        <w:t>1. Exact domestic legal instrument and measure identifier for each Party-side tariff or surcharge covered by the entry.</w:t>
      </w:r>
    </w:p>
    <w:p>
      <w:pPr>
        <w:pStyle w:val="Normal"/>
        <w:ind w:left="288" w:hanging="288"/>
      </w:pPr>
      <w:r>
        <w:t>2. Tariff-line concordance and product scope sufficient for customs administration, including treatment of later nomenclature changes.</w:t>
      </w:r>
    </w:p>
    <w:p>
      <w:pPr>
        <w:pStyle w:val="Normal"/>
        <w:ind w:left="288" w:hanging="288"/>
      </w:pPr>
      <w:r>
        <w:t>3. Express selection of the applicable Annex 35-D.1 landing option, including its effective time and controlling maximum duration.</w:t>
      </w:r>
    </w:p>
    <w:p>
      <w:pPr>
        <w:pStyle w:val="Normal"/>
        <w:ind w:left="288" w:hanging="288"/>
      </w:pPr>
      <w:r>
        <w:t>4. Any negotiated rate, formula, corridor, exclusion, trigger, duration, or reciprocal milestone permitted by the selected landing option.</w:t>
      </w:r>
    </w:p>
    <w:p>
      <w:pPr>
        <w:pStyle w:val="Normal"/>
        <w:ind w:left="288" w:hanging="288"/>
      </w:pPr>
      <w:r>
        <w:t>5. Final Normalization trigger, effective-time rule, and Post-Normalization Treatment, including for automotive entries whether ordinary treatment or an expressly adopted Article 59.5A Automotive Settlement Schedule controls.</w:t>
      </w:r>
    </w:p>
    <w:p>
      <w:pPr>
        <w:pStyle w:val="Normal"/>
        <w:ind w:left="288" w:hanging="288"/>
      </w:pPr>
      <w:r>
        <w:t>6. Legal Activation Mode stated expressly as Automatic, Certificate-Triggered, or Matched Reciprocal Activation, together with any objective certification condition permitted by the controlling Annex 35-D.1 option.</w:t>
      </w:r>
    </w:p>
    <w:p>
      <w:pPr>
        <w:pStyle w:val="Normal"/>
        <w:ind w:left="288" w:hanging="288"/>
      </w:pPr>
      <w:r>
        <w:t>7. Domestic instrument deposit requirement and competent authority.</w:t>
      </w:r>
    </w:p>
    <w:p>
      <w:pPr>
        <w:pStyle w:val="Normal"/>
        <w:ind w:left="288" w:hanging="288"/>
      </w:pPr>
      <w:r>
        <w:t>8. Verification source, evidentiary standard, and responsible NAESTMA body.</w:t>
      </w:r>
    </w:p>
    <w:p>
      <w:pPr>
        <w:pStyle w:val="Normal"/>
        <w:ind w:left="288" w:hanging="288"/>
      </w:pPr>
      <w:r>
        <w:t>9. Refund, reconciliation, or entry-correction rule where customs systems implement after the legal effective time.</w:t>
      </w:r>
    </w:p>
    <w:p>
      <w:pPr>
        <w:pStyle w:val="Normal"/>
        <w:ind w:left="288" w:hanging="288"/>
      </w:pPr>
      <w:r>
        <w:t>10. Participating Parties stated expressly as the applicable Canada–United States, Canada–Mexico, United States–Mexico, or trilateral scope, together with Reciprocity / Severability Status stating whether the entry is bilateral or trilateral, severable or inseverable, and identifying any expressly linked entries.</w:t>
      </w:r>
    </w:p>
    <w:p>
      <w:pPr>
        <w:pStyle w:val="Normal"/>
      </w:pPr>
      <w:r>
        <w:t>11. Cross-reference to the controlling Chapter 34 implementation rule and the applicable origin, provenance, automotive, metals, Annex 35-D/35-D.1, and Chapter 35 provisions.</w:t>
      </w:r>
    </w:p>
    <w:p>
      <w:pPr>
        <w:pStyle w:val="Heading2"/>
      </w:pPr>
      <w:bookmarkStart w:id="901265" w:name="_Toc300001264"/>
      <w:r>
        <w:t>FS-01-A.2: DEVELOPMENT RED LIGHTS, NON-OPERATIVE DRAFTING CONTROLS</w:t>
      </w:r>
      <w:bookmarkEnd w:id="901265"/>
    </w:p>
    <w:p>
      <w:pPr>
        <w:pStyle w:val="ListBullet"/>
      </w:pPr>
      <w:r>
        <w:t>No numerical interim tariff rate is treated as agreed unless it appears in the authenticated adopted schedule.</w:t>
      </w:r>
    </w:p>
    <w:p>
      <w:pPr>
        <w:pStyle w:val="ListBullet"/>
      </w:pPr>
      <w:r>
        <w:t>No fixed mineral tonnage, below-market offtake, compulsory purchase, or compulsory export commitment is imported into FS-01 merely because it appears in a candidate-options catalogue elsewhere in the master.</w:t>
      </w:r>
    </w:p>
    <w:p>
      <w:pPr>
        <w:pStyle w:val="ListBullet"/>
      </w:pPr>
      <w:r>
        <w:t>No settlement milestone creates a Party-specific automotive rule of origin or converts Canadian, Mexican, or United States originating content into non-originating content.</w:t>
      </w:r>
    </w:p>
    <w:p>
      <w:pPr>
        <w:pStyle w:val="ListBullet"/>
      </w:pPr>
      <w:r>
        <w:t>No technical correction may recreate an extinguished extraordinary tariff or broaden a covered measure.</w:t>
      </w:r>
    </w:p>
    <w:p>
      <w:pPr>
        <w:pStyle w:val="ListBullet"/>
      </w:pPr>
      <w:r>
        <w:t>No allegation, political announcement, or negotiating demand substitutes for the verification and certification required by this Protocol.</w:t>
      </w:r>
    </w:p>
    <w:p>
      <w:pPr>
        <w:pStyle w:val="ListBullet"/>
      </w:pPr>
      <w:r>
        <w:t>No FS-01 schedule entry restarts or extends a security referral, transition, review, or duration clock established by Annex 35-D or Article 35.22.</w:t>
      </w:r>
    </w:p>
    <w:p>
      <w:pPr>
        <w:pStyle w:val="ListBullet"/>
      </w:pPr>
      <w:r>
        <w:t>No Secretariat certificate is constitutive of a Final Normalization event unless the controlling Annex 35-D.1 option permits certification as an activation condition, the Adopted FS-01 Schedule Entry states Certificate-Triggered activation, the required findings are objective, and expedited failure-to-act review is available.</w:t>
      </w:r>
    </w:p>
    <w:p>
      <w:pPr>
        <w:pStyle w:val="ListBullet"/>
      </w:pPr>
      <w:r>
        <w:t>No automotive schedule entry silently displaces Article 59.5A or silently subjects ordinary originating goods to an enhanced-incentive calculation.</w:t>
      </w:r>
    </w:p>
    <w:p>
      <w:pPr>
        <w:pStyle w:val="ListBullet"/>
      </w:pPr>
      <w:r>
        <w:t>No FS-01 landing stage delays a Day-One right or obligation under Chapter 34, Annex 34-F, Article 35.27A, or Annex 35-D except through an expressly selected option authorized by Annex 35-D.1.</w:t>
      </w:r>
    </w:p>
    <w:p>
      <w:pPr>
        <w:pStyle w:val="ListBullet"/>
      </w:pPr>
      <w:r>
        <w:t>No incomplete template field, bracketed choice, draft schedule entry, or negotiating proposal has operative legal effect or displaces the Annex 35-D default.</w:t>
      </w:r>
    </w:p>
    <w:p>
      <w:pPr>
        <w:pStyle w:val="ListBullet"/>
      </w:pPr>
      <w:r>
        <w:t>No recurring condition may place ordinary Post-Normalization Treatment on perpetual probation after a covered legacy extraordinary tariff has been extinguished.</w:t>
      </w:r>
    </w:p>
    <w:p>
      <w:pPr>
        <w:pStyle w:val="ListBullet"/>
      </w:pPr>
      <w:r>
        <w:t>No technical correction may change Legal Activation Mode, the selected Annex 35-D.1 landing option, bilateral or trilateral status, or severability status.</w:t>
      </w:r>
    </w:p>
    <w:p>
      <w:pPr>
        <w:pStyle w:val="ListBullet"/>
      </w:pPr>
      <w:r>
        <w:t>No Register omission, delayed receipt, or ministerial certificate delay preserves a legacy measure that the Agreement otherwise terminates.</w:t>
      </w:r>
    </w:p>
    <w:p>
      <w:pPr>
        <w:pStyle w:val="Heading1"/>
      </w:pPr>
      <w:bookmarkStart w:id="901266" w:name="_Toc300001265"/>
      <w:r>
        <w:t>CHAPTER 36</w:t>
      </w:r>
      <w:r>
        <w:br/>
      </w:r>
      <w:r>
        <w:t>NORTH AMERICAN ECONOMIC SECURITY AND SUPPLY CHAIN RESILIENCE</w:t>
      </w:r>
      <w:bookmarkEnd w:id="901266"/>
    </w:p>
    <w:p>
      <w:pPr>
        <w:pStyle w:val="Heading2"/>
      </w:pPr>
      <w:bookmarkStart w:id="901267" w:name="_Toc300001266"/>
      <w:r>
        <w:t>Article 36.1: Purpose and Concept</w:t>
      </w:r>
      <w:bookmarkEnd w:id="901267"/>
    </w:p>
    <w:p>
      <w:pPr>
        <w:pStyle w:val="Normal"/>
      </w:pPr>
      <w:r>
        <w:t>1. The Parties establish a trilateral framework for economic security and supply chain resilience founded on the following concept: integrated North American production is a strategic asset of each Party, and trade between the Parties in strategic goods strengthens, rather than threatens, the economic and national security of each Party.</w:t>
      </w:r>
    </w:p>
    <w:p>
      <w:pPr>
        <w:pStyle w:val="Normal"/>
      </w:pPr>
      <w:r>
        <w:t>2. For the purposes of this Agreement, qualifying trade between the Parties is presumptively intra-North-American commerce for economic-security purposes. A Party shall not treat the originating goods of another Party as a presumptive economic-security risk by reason of their origin in that other Party.</w:t>
      </w:r>
    </w:p>
    <w:p>
      <w:pPr>
        <w:pStyle w:val="Normal"/>
      </w:pPr>
      <w:r>
        <w:t>3. The framework of this Chapter secures the North American economic perimeter against circumvention by non-Parties and non-market practices, without transferring to any Party authority over another Party’s industrial policy, natural resources, investment review, export controls, or national security determinations.</w:t>
      </w:r>
    </w:p>
    <w:p>
      <w:pPr>
        <w:pStyle w:val="Heading2"/>
      </w:pPr>
      <w:bookmarkStart w:id="901268" w:name="_Toc300001267"/>
      <w:r>
        <w:t>Article 36.2: Definitions</w:t>
      </w:r>
      <w:bookmarkEnd w:id="901268"/>
    </w:p>
    <w:p>
      <w:pPr>
        <w:pStyle w:val="Normal"/>
      </w:pPr>
      <w:r>
        <w:t>For the purposes of this Chapter:</w:t>
      </w:r>
    </w:p>
    <w:p>
      <w:pPr>
        <w:pStyle w:val="Normal"/>
      </w:pPr>
      <w:r>
        <w:rPr>
          <w:b/>
        </w:rPr>
        <w:t>designated strategic sector</w:t>
      </w:r>
      <w:r>
        <w:t xml:space="preserve"> means a sector designated under Article 36.4;</w:t>
      </w:r>
    </w:p>
    <w:p>
      <w:pPr>
        <w:pStyle w:val="Normal"/>
      </w:pPr>
      <w:r>
        <w:t>non-market practice means a specific practice of a non-Party, or of an entity operating under the direction or material influence of a non-Party, that is supported by objective evidence and materially distorts North American production or trade, including state-directed overcapacity, subsidization inconsistent with applicable market or trade-remedy disciplines, coerced technology transfer, discriminatory state purchasing, or comparable conduct; state ownership, public-enterprise status, industrial policy, a trade surplus, or a jurisdiction's general economic model alone does not establish a non-market practice;</w:t>
      </w:r>
    </w:p>
    <w:p>
      <w:pPr>
        <w:pStyle w:val="Normal"/>
      </w:pPr>
      <w:r>
        <w:rPr>
          <w:b/>
        </w:rPr>
        <w:t>supply chain dependency</w:t>
      </w:r>
      <w:r>
        <w:t xml:space="preserve"> means a condition in which North American production in a designated strategic sector relies on a single or concentrated source of an essential input in a manner presenting documented disruption risk;</w:t>
      </w:r>
    </w:p>
    <w:p>
      <w:pPr>
        <w:pStyle w:val="Normal"/>
      </w:pPr>
      <w:r>
        <w:t>high-risk source means a source for which objective evidence demonstrates a material vulnerability arising from excessive concentration, demonstrated supply disruption or coercion, material cybersecurity or security exposure, persistent inability to satisfy applicable standards, severe logistical vulnerability, forced-labor exposure, fraud or circumvention risk, or another documented factor materially affecting supply reliability; nationality or geographic origin alone does not establish high-risk status;</w:t>
      </w:r>
    </w:p>
    <w:p>
      <w:pPr>
        <w:pStyle w:val="Normal"/>
      </w:pPr>
      <w:r>
        <w:rPr>
          <w:b/>
        </w:rPr>
        <w:t>Trusted North American Origin</w:t>
      </w:r>
      <w:r>
        <w:t xml:space="preserve"> means the status conferred under Article 36.6.</w:t>
      </w:r>
    </w:p>
    <w:p>
      <w:pPr>
        <w:pStyle w:val="Heading2"/>
      </w:pPr>
      <w:bookmarkStart w:id="901269" w:name="_Toc300001268"/>
      <w:r>
        <w:t>Article 36.3: Economic Security and Supply Chain Resilience Subcommittee</w:t>
      </w:r>
      <w:bookmarkEnd w:id="901269"/>
    </w:p>
    <w:p>
      <w:pPr>
        <w:pStyle w:val="Normal"/>
      </w:pPr>
      <w:r>
        <w:t>1. The Parties establish, under the Committee on Competitiveness in accordance with Chapter 26 as amended, an Economic Security and Supply Chain Resilience Subcommittee (the “Subcommittee”), composed of senior officials of each Party.</w:t>
      </w:r>
    </w:p>
    <w:p>
      <w:pPr>
        <w:pStyle w:val="Normal"/>
      </w:pPr>
      <w:r>
        <w:t>2. The Subcommittee shall:</w:t>
      </w:r>
    </w:p>
    <w:p>
      <w:pPr>
        <w:pStyle w:val="Normal"/>
      </w:pPr>
      <w:r>
        <w:t>(a) identify and assess supply chain dependencies and gaps in designated strategic sectors;</w:t>
      </w:r>
    </w:p>
    <w:p>
      <w:pPr>
        <w:pStyle w:val="Normal"/>
      </w:pPr>
      <w:r>
        <w:t>(b) coordinate the Parties’ responses to actual or imminent supply chain disruptions;</w:t>
      </w:r>
    </w:p>
    <w:p>
      <w:pPr>
        <w:pStyle w:val="Normal"/>
      </w:pPr>
      <w:r>
        <w:t>(c) oversee the Trusted North American Origin system;</w:t>
      </w:r>
    </w:p>
    <w:p>
      <w:pPr>
        <w:pStyle w:val="Normal"/>
      </w:pPr>
      <w:r>
        <w:t>(d) develop shared traceability and certification standards for strategic goods;</w:t>
      </w:r>
    </w:p>
    <w:p>
      <w:pPr>
        <w:pStyle w:val="Normal"/>
      </w:pPr>
      <w:r>
        <w:t>(e) exchange information concerning non-market practices affecting North American production;</w:t>
      </w:r>
    </w:p>
    <w:p>
      <w:pPr>
        <w:pStyle w:val="Normal"/>
      </w:pPr>
      <w:r>
        <w:t>(f) coordinate, on a voluntary basis, information concerning strategic reserves of designated critical goods;</w:t>
      </w:r>
    </w:p>
    <w:p>
      <w:pPr>
        <w:pStyle w:val="Normal"/>
      </w:pPr>
      <w:r>
        <w:t>(g) publish an annual North American Supply Chain Resilience Report; and</w:t>
      </w:r>
    </w:p>
    <w:p>
      <w:pPr>
        <w:pStyle w:val="Normal"/>
      </w:pPr>
      <w:r>
        <w:t>(h) perform the functions assigned to it by this Chapter and by the Commission.</w:t>
      </w:r>
    </w:p>
    <w:p>
      <w:pPr>
        <w:pStyle w:val="Normal"/>
      </w:pPr>
      <w:r>
        <w:t>3. The Subcommittee shall meet at least quarterly, and within seven days at the request of any Party concerning an actual or imminent disruption.</w:t>
      </w:r>
    </w:p>
    <w:p>
      <w:pPr>
        <w:pStyle w:val="Normal"/>
      </w:pPr>
      <w:r>
        <w:t>4. The Subcommittee acts by consensus and does not amend this Agreement.</w:t>
      </w:r>
    </w:p>
    <w:p>
      <w:pPr>
        <w:pStyle w:val="Heading2"/>
      </w:pPr>
      <w:bookmarkStart w:id="901270" w:name="_Toc300001269"/>
      <w:r>
        <w:t>Article 36.4: Designated Strategic Sectors</w:t>
      </w:r>
      <w:bookmarkEnd w:id="901270"/>
    </w:p>
    <w:p>
      <w:pPr>
        <w:pStyle w:val="Normal"/>
        <w:spacing w:before="0" w:after="0"/>
        <w:widowControl w:val="1"/>
      </w:pPr>
      <w:r>
        <w:t>1. The Subcommittee's designated strategic sectors are the authoritative Strategic Sectors listed in Annex 35-B, Part 2, including defense-related industrial inputs and its separately listed advanced compute, grid, storage and networking categories. Article 35.23 applies to each on its stated conditions. A recitation elsewhere does not establish a parallel list. Any update uses the single Annex designation procedure within Article 34.3.A's substantive limits.</w:t>
      </w:r>
    </w:p>
    <w:p/>
    <w:p>
      <w:pPr>
        <w:pStyle w:val="Normal"/>
      </w:pPr>
      <w:r>
        <w:t>2. The Commission may, by consensus, amend the designation list, and shall publish each amendment in the North American Trade Measures Registry.</w:t>
      </w:r>
    </w:p>
    <w:p>
      <w:pPr>
        <w:pStyle w:val="Normal"/>
      </w:pPr>
      <w:r>
        <w:t>3. Designation of a sector does not, by itself, authorize any measure. Measures concerning designated sectors are subject to this Agreement, including Articles 35.22 and 35.23.</w:t>
      </w:r>
    </w:p>
    <w:p>
      <w:pPr>
        <w:spacing w:before="0" w:after="0"/>
        <w:widowControl w:val="1"/>
      </w:pPr>
      <w:r>
        <w:t>4. SINGLE DESIGNATION LIST. Article 36.4 and Annex 36-A use the authoritative Annex 35-B, Part 2 list rather than a parallel designation system. Defense-related industrial inputs are included in that list and receive Article 35.23 coverage on the same terms as other listed sectors. The Subcommittee may recommend an evidenced list update to the Commission but cannot change coverage independently. Chapters 37 and 40 use the same designation and preserve any more specific essential-input protection.</w:t>
      </w:r>
    </w:p>
    <w:p/>
    <w:p>
      <w:pPr>
        <w:pStyle w:val="Heading2"/>
      </w:pPr>
      <w:bookmarkStart w:id="901271" w:name="_Toc300001270"/>
      <w:r>
        <w:t>Article 36.5: Common External Defense Against Circumvention</w:t>
      </w:r>
      <w:bookmarkEnd w:id="901271"/>
    </w:p>
    <w:p>
      <w:pPr>
        <w:pStyle w:val="Normal"/>
      </w:pPr>
      <w:r>
        <w:t>1. The Parties shall cooperate to prevent goods of non-Parties from obtaining the benefits of this Agreement through transshipment, minimal processing, false origin declarations, or other circumvention, in accordance with Chapters 4 and 5 as amended.</w:t>
      </w:r>
    </w:p>
    <w:p>
      <w:pPr>
        <w:pStyle w:val="Normal"/>
      </w:pPr>
      <w:r>
        <w:t>2. Anti-circumvention measures shall target circumvention, not legitimate North American production. Legitimate transformation within a Party, lawful use of non-originating inputs permitted by a rule of origin, and the activities listed in Article 4.A.4 (circular production) are not circumvention.</w:t>
      </w:r>
    </w:p>
    <w:p>
      <w:pPr>
        <w:pStyle w:val="Normal"/>
      </w:pPr>
      <w:r>
        <w:t>3. Where credible evidence indicates circumvention by identified entities, the Parties shall respond in accordance with Chapter 35, targeting the offending entities, products, and flows before any broader measure.</w:t>
      </w:r>
    </w:p>
    <w:p>
      <w:pPr>
        <w:pStyle w:val="Normal"/>
      </w:pPr>
      <w:r>
        <w:t>4. The Parties shall exchange customs data relevant to circumvention investigations, subject to confidentiality protections under Annex 35-C, and may conduct joint verification where suspected circumvention spans more than one Party.</w:t>
      </w:r>
    </w:p>
    <w:p>
      <w:pPr>
        <w:pStyle w:val="Heading2"/>
      </w:pPr>
      <w:bookmarkStart w:id="901272" w:name="_Toc300001271"/>
      <w:r>
        <w:t>Article 36.6: Trusted North American Origin</w:t>
      </w:r>
      <w:bookmarkEnd w:id="901272"/>
    </w:p>
    <w:p>
      <w:pPr>
        <w:pStyle w:val="Normal"/>
      </w:pPr>
      <w:r>
        <w:t>1. The Parties establish the Trusted North American Origin (TNAO) system for strategic goods satisfying enhanced origin and traceability requirements.</w:t>
      </w:r>
    </w:p>
    <w:p>
      <w:pPr>
        <w:pStyle w:val="Normal"/>
      </w:pPr>
      <w:r>
        <w:t>2. TNAO status is available to a good that: (a) qualifies as originating under Chapter 4; (b) satisfies the enhanced traceability requirements adopted by the Subcommittee for the relevant sector, including documented chain-of-custody for designated inputs; and (c) is produced by an entity certified under the trusted-producer procedures of the importing Party, which shall be administered in a non-discriminatory manner consistent with this Agreement.</w:t>
      </w:r>
    </w:p>
    <w:p>
      <w:pPr>
        <w:pStyle w:val="Normal"/>
      </w:pPr>
      <w:r>
        <w:t>3. A good holding TNAO status receives: (a) expedited customs treatment; (b) reduced verification frequency; and (c) the heightened protection of Article 35.22.6(c) against essential-security measures within that Article's express scope.</w:t>
      </w:r>
    </w:p>
    <w:p>
      <w:pPr>
        <w:pStyle w:val="Normal"/>
      </w:pPr>
      <w:r>
        <w:t>4. TNAO criteria shall be published, measurable, sector-specific, and identical in substance across the Parties; certification decisions are reviewable through the rapid administrative appeal in Article 5.D, and certification renews automatically upon demonstrated continuing compliance, without re-application.</w:t>
      </w:r>
    </w:p>
    <w:p>
      <w:pPr>
        <w:pStyle w:val="Normal"/>
        <w:spacing w:before="0" w:after="0"/>
        <w:widowControl w:val="1"/>
      </w:pPr>
      <w:r>
        <w:t>5. TNAO SUSPENSION AND APPEAL. Only the importing Party's competent customs authority may suspend TNAO status on clear and convincing entity-specific evidence of material origin circumvention, material traceability failure or a systemic material failure directly undermining that certification, after Article 35.10A notice, non-confidential evidence and opportunity to answer. Clerical error without material eligibility impact does not satisfy the standard, and suspension reaches only the responsible entity and affected product. A timely Article 5.D or Article 35.10A appeal stays the TNAO suspension, with bond or escrow where lawfully necessary, unless the appeal Team makes a reasoned finding of a verified Tier 3 matter and immediate serious harm that the narrower security cannot prevent. Status restores on verified correction without discretionary delay, with the authority implementing that restoration immediately and in any event within thirty days, while final ordinary-origin fraud determinations under Article 36.17 retain their distinct lawful effect.</w:t>
      </w:r>
    </w:p>
    <w:p/>
    <w:p>
      <w:pPr>
        <w:pStyle w:val="Normal"/>
      </w:pPr>
      <w:r>
        <w:t>6. The Subcommittee shall adopt sectoral TNAO technical standards within 18 months after entry into force of the Protocol of Modernization, beginning with critical minerals, batteries, semiconductors, steel, and aluminum.</w:t>
      </w:r>
    </w:p>
    <w:p>
      <w:pPr>
        <w:pStyle w:val="Normal"/>
      </w:pPr>
      <w:r>
        <w:t>7. TNAO suspension is entity-specific. Status may be suspended only on clear and convincing evidence of a material breach by the affected producer, exporter, or certified supply chain, or of a systemic and material failure directly affecting the reliability of that certification. An isolated clerical or paperwork error that does not affect origin eligibility does not justify suspension. Independent accredited auditors may conduct or validate compliance audits under standards adopted by the Rules of Origin and Origin Procedures Committee; customs authorities retain final enforcement jurisdiction.</w:t>
      </w:r>
    </w:p>
    <w:p>
      <w:pPr>
        <w:pStyle w:val="Normal"/>
      </w:pPr>
      <w:r>
        <w:t>8. Risk-Tiered Traceability. TNAO documentation shall be proportionate to demonstrated risk. Low-risk trusted producers may rely on supplier declarations, ordinary commercial records, periodic sampling, and audit-by-exception. Medium-risk supply chains may be subject to periodic documentary audit and targeted component verification. Lot-level, mine-to-market, or component-by-component traceability is reserved for high-risk inputs, entities, jurisdictions, or sectors identified under published criteria.</w:t>
      </w:r>
    </w:p>
    <w:p>
      <w:pPr>
        <w:pStyle w:val="Normal"/>
      </w:pPr>
      <w:r>
        <w:t>9. No producer shall lose ordinary CUSMA originating status solely because it does not seek TNAO status or because an enhanced traceability platform is unavailable. TNAO is an optional enhanced status and shall not become a mandatory condition for ordinary preferential treatment except where an express product-specific rule independently requires the relevant information.</w:t>
      </w:r>
    </w:p>
    <w:p>
      <w:pPr>
        <w:pStyle w:val="Heading2"/>
      </w:pPr>
      <w:bookmarkStart w:id="901273" w:name="_Toc300001272"/>
      <w:r>
        <w:t>Article 36.7: Non-Market Practices</w:t>
      </w:r>
      <w:bookmarkEnd w:id="901273"/>
    </w:p>
    <w:p>
      <w:pPr>
        <w:pStyle w:val="Normal"/>
      </w:pPr>
      <w:r>
        <w:t>1. The Parties shall consult and may coordinate concerning non-market practices of non-Parties that materially distort North American production or trade.</w:t>
      </w:r>
    </w:p>
    <w:p>
      <w:pPr>
        <w:pStyle w:val="Normal"/>
      </w:pPr>
      <w:r>
        <w:t>2. A Party considering a measure directed at non-market practices of a non-Party shall, where the measure may affect another Party’s originating goods, notify and consult that Party before adoption, and shall design the measure to reach non-Party goods and non-originating content rather than originating goods.</w:t>
      </w:r>
    </w:p>
    <w:p>
      <w:pPr>
        <w:pStyle w:val="Normal"/>
      </w:pPr>
      <w:r>
        <w:t>3. Designation of an economy or practice for the purposes of this Article shall be based on published criteria, evidence, and review procedures, and shall be subject to periodic review. A designation does not continue by default without review.</w:t>
      </w:r>
    </w:p>
    <w:p>
      <w:pPr>
        <w:pStyle w:val="Normal"/>
      </w:pPr>
      <w:r>
        <w:t>4. Nothing in this Article authorizes a covered border measure against originating goods of another Party except in conformity with Chapter 35.</w:t>
      </w:r>
    </w:p>
    <w:p>
      <w:pPr>
        <w:spacing w:before="0" w:after="0"/>
        <w:widowControl w:val="1"/>
      </w:pPr>
      <w:r>
        <w:t>5. EXTERNAL NON MARKET DESIGNATION ACTOR AND EFFECT. Only the Article 36.3 Subcommittee by consensus may publish a common Chapter 36 non-market practice designation, based on the documented material distortion and published Article 32.F risk and evidence criteria. A national authority may make a domestic designation within its independent law but shall not represent it as a common designation or bind another Party by implication. State ownership, public-enterprise status, nationality or economic model alone is insufficient, and a high-risk source requires the specific evidenced circumvention or material security concern in Articles 36.2 and 32.F. Designation prompts consultation and targeted review rather than automatic restriction, is reviewed at least annually and creates no covered border measure authority against originating goods.</w:t>
      </w:r>
    </w:p>
    <w:p/>
    <w:p>
      <w:pPr>
        <w:pStyle w:val="Heading2"/>
      </w:pPr>
      <w:bookmarkStart w:id="901274" w:name="_Toc300001273"/>
      <w:r>
        <w:t>Article 36.8: Investment Screening Consultation</w:t>
      </w:r>
      <w:bookmarkEnd w:id="901274"/>
    </w:p>
    <w:p>
      <w:pPr>
        <w:pStyle w:val="Normal"/>
      </w:pPr>
      <w:r>
        <w:t>1. The Parties may exchange information concerning investments by non-Parties in designated strategic sectors, including information concerning beneficial ownership relevant to trade enforcement.</w:t>
      </w:r>
    </w:p>
    <w:p>
      <w:pPr>
        <w:pStyle w:val="Normal"/>
      </w:pPr>
      <w:r>
        <w:t>2. Each Party retains final authority over its own investment review decisions. Nothing in this Article creates a supranational screening authority, a veto by one Party over another Party’s investment decisions, or an obligation to adopt any particular screening outcome.</w:t>
      </w:r>
    </w:p>
    <w:p>
      <w:pPr>
        <w:pStyle w:val="Normal"/>
        <w:spacing w:before="0" w:after="0"/>
        <w:widowControl w:val="1"/>
      </w:pPr>
      <w:r>
        <w:t>3. INVESTMENT PROCEDURAL REVIEW. An investor notified of a final decision blocking or conditioning its investment on national-security grounds may file within sixty days after authenticated receipt for review before the competent domestic administrative or judicial tribunal designated and publicly identified by the reviewing Party. That tribunal shall provide an expedited hearing and reasoned procedural decision within sixty days after a complete filing, assessing rational factual basis, discriminatory administration, arbitrariness and political retaliation without substituting its national-security judgment or ordering investment approval. It may award documented sunk transaction costs and demonstrable losses caused by an established procedural violation through the domestic implementing cause of action, with opportunity cost recoverable only on reasonably certain proof and no speculative future profit or duplicate recovery. This is an express domestic procedural undertaking preserved by Article 36.9, creates no new investor-State arbitration consent, and neither expands Chapter 14 or Annex 14-D jurisdiction nor overrides their applicable reservations or security boundaries.</w:t>
      </w:r>
    </w:p>
    <w:p/>
    <w:p>
      <w:pPr>
        <w:pStyle w:val="Heading2"/>
      </w:pPr>
      <w:bookmarkStart w:id="901275" w:name="_Toc300001274"/>
      <w:r>
        <w:t>Article 36.9: Sovereignty Safeguard</w:t>
      </w:r>
      <w:bookmarkEnd w:id="901275"/>
    </w:p>
    <w:p>
      <w:pPr>
        <w:pStyle w:val="Normal"/>
      </w:pPr>
      <w:r>
        <w:t>1. Nothing in this Chapter: (a) transfers to another Party or to any body of this Agreement authority over a Party’s natural resources, industrial policy, investment review, export controls, or national security determinations; (b) obliges a Party to adopt another Party’s sanctions, export controls, or foreign-policy measures; or (c) confers on a Party a right to direct the critical-mineral, energy, or other resource policies of another Party.</w:t>
      </w:r>
    </w:p>
    <w:p>
      <w:pPr>
        <w:pStyle w:val="Normal"/>
      </w:pPr>
      <w:r>
        <w:t>2. This safeguard does not nullify any express obligation of this Agreement, and is subject to the anti-abuse disciplines of Chapter 32 as amended.</w:t>
      </w:r>
    </w:p>
    <w:p>
      <w:pPr>
        <w:pStyle w:val="Heading2"/>
      </w:pPr>
      <w:bookmarkStart w:id="901276" w:name="_Toc300001275"/>
      <w:r>
        <w:t>Article 36.10: Data, Metrics, and Early Warning</w:t>
      </w:r>
      <w:bookmarkEnd w:id="901276"/>
    </w:p>
    <w:p>
      <w:pPr>
        <w:pStyle w:val="Normal"/>
      </w:pPr>
      <w:r>
        <w:t>1. The Subcommittee shall publish annually aggregate data on: utilization of preferential treatment; origin qualification rates; border processing times; supply chain disruption events; and implementation performance under this Chapter.</w:t>
      </w:r>
    </w:p>
    <w:p>
      <w:pPr>
        <w:pStyle w:val="Normal"/>
      </w:pPr>
      <w:r>
        <w:t>2. A Party planning a measure likely to materially disrupt North American trade in a designated strategic sector shall, subject to genuine emergency exceptions, notify the other Parties not less than 30 days before implementation and shall consult on request within 10 days.</w:t>
      </w:r>
    </w:p>
    <w:p>
      <w:pPr>
        <w:pStyle w:val="Heading2"/>
      </w:pPr>
      <w:bookmarkStart w:id="901277" w:name="_Toc300001276"/>
      <w:r>
        <w:t>Article 36.11: North American Anti-Circumvention Rapid Response</w:t>
      </w:r>
      <w:bookmarkEnd w:id="901277"/>
    </w:p>
    <w:p>
      <w:pPr>
        <w:pStyle w:val="Normal"/>
      </w:pPr>
      <w:r>
        <w:t>1. Where credible, particularized evidence indicates that goods of a non-Party are being transshipped, minimally processed, relabeled, or otherwise routed through a Party for the principal purpose of obtaining preferential treatment or evading a lawful trade measure, a Party may request rapid joint verification under Chapters 4, 5, and 35.</w:t>
      </w:r>
    </w:p>
    <w:p>
      <w:pPr>
        <w:pStyle w:val="Normal"/>
      </w:pPr>
      <w:r>
        <w:t>2. The requested Parties shall begin information exchange within 72 hours and, where the evidence identifies specific entities or trade flows, shall endeavor to complete a preliminary verification within 15 days. Any provisional action shall be entity-, product-, and flow-specific, shall preserve due process, and shall not treat lawful North American transformation or permitted non-originating content as circumvention.</w:t>
      </w:r>
    </w:p>
    <w:p>
      <w:pPr>
        <w:pStyle w:val="Normal"/>
      </w:pPr>
      <w:r>
        <w:t>3. A finding under this Article activates the graduated and automatically reversible remedies of Chapter 35. No finding under this Article authorizes a country-wide tariff or other collective penalty against originating goods of a Party.</w:t>
      </w:r>
    </w:p>
    <w:p>
      <w:pPr>
        <w:pStyle w:val="Heading2"/>
      </w:pPr>
      <w:bookmarkStart w:id="901278" w:name="_Toc300001277"/>
      <w:r>
        <w:t>Article 36.12: Enhanced North American Content Incentives</w:t>
      </w:r>
      <w:bookmarkEnd w:id="901278"/>
    </w:p>
    <w:p>
      <w:pPr>
        <w:pStyle w:val="Normal"/>
      </w:pPr>
      <w:r>
        <w:t>1. The Parties shall establish voluntary enhanced-origin tiers for designated strategic sectors. A producer that materially exceeds the applicable regional value-content requirement and satisfies published traceability standards may receive expedited customs treatment, reduced routine verification, consolidated origin submissions, and eligibility for TNAO status.</w:t>
      </w:r>
    </w:p>
    <w:p>
      <w:pPr>
        <w:pStyle w:val="Normal"/>
      </w:pPr>
      <w:r>
        <w:t>2. Enhanced-origin tiers shall reward additional North American production without imposing a Party-specific sourcing mandate. No producer is required to locate production or investment in a particular Party as a condition of ordinary CUSMA preferential treatment.</w:t>
      </w:r>
    </w:p>
    <w:p>
      <w:pPr>
        <w:pStyle w:val="Normal"/>
      </w:pPr>
      <w:r>
        <w:t>3. The Subcommittee may recommend sector-specific enhanced-origin thresholds by consensus, subject to the Structured Technical Amendment Procedure where a change would alter an operative rule of origin.</w:t>
      </w:r>
    </w:p>
    <w:p>
      <w:pPr>
        <w:pStyle w:val="Heading2"/>
      </w:pPr>
      <w:bookmarkStart w:id="901279" w:name="_Toc300001278"/>
      <w:r>
        <w:t>Article 36.13: Automotive, Battery, and Advanced-Component Investment Facilitation</w:t>
      </w:r>
      <w:bookmarkEnd w:id="901279"/>
    </w:p>
    <w:p>
      <w:pPr>
        <w:pStyle w:val="Normal"/>
      </w:pPr>
      <w:r>
        <w:t>1. The Parties shall facilitate new investment within North America in vehicle assembly, batteries, power electronics, semiconductors, critical automotive components, charging equipment, and related advanced manufacturing.</w:t>
      </w:r>
    </w:p>
    <w:p>
      <w:pPr>
        <w:pStyle w:val="Normal"/>
      </w:pPr>
      <w:r>
        <w:t>2. A Party may maintain transparent, non-discriminatory domestic incentives for investment within its territory. Such incentives shall not be conditioned on the exclusion of originating goods of another Party from North American supply chains and remain subject to this Agreement.</w:t>
      </w:r>
    </w:p>
    <w:p>
      <w:pPr>
        <w:pStyle w:val="Normal"/>
      </w:pPr>
      <w:r>
        <w:t>3. The Automotive Committee shall publish an annual North American automotive investment and capacity report identifying supply-chain gaps and opportunities for additional regional production.</w:t>
      </w:r>
    </w:p>
    <w:p>
      <w:pPr>
        <w:pStyle w:val="TrumpVisibilityHeadline"/>
      </w:pPr>
      <w:r>
        <w:t xml:space="preserve">★ </w:t>
      </w:r>
      <w:r>
        <w:t>VISIBLE U.S. WIN: MORE CARS, COMPONENTS, AND STRATEGIC AUTO MANUFACTURING IN THE UNITED STATES AND NORTH AMERICA</w:t>
      </w:r>
    </w:p>
    <w:p>
      <w:pPr>
        <w:pStyle w:val="Heading2"/>
      </w:pPr>
      <w:bookmarkStart w:id="901280" w:name="_Toc300001279"/>
      <w:r>
        <w:t>Article 36.13A: Voluntary United States Manufacturing Accelerator</w:t>
      </w:r>
      <w:bookmarkEnd w:id="901280"/>
    </w:p>
    <w:p>
      <w:pPr>
        <w:pStyle w:val="Normal"/>
      </w:pPr>
      <w:r>
        <w:t>1. Without altering ordinary CUSMA eligibility or requiring Party-specific sourcing, the United States may establish transparent voluntary administrative incentives for producers that make qualifying incremental investments in United States vehicle assembly, batteries, semiconductors, power electronics, advanced materials, critical components, tooling, or other designated advanced-manufacturing capacity.</w:t>
      </w:r>
    </w:p>
    <w:p>
      <w:pPr>
        <w:pStyle w:val="Normal"/>
      </w:pPr>
      <w:r>
        <w:t>2. Incentives under this Article may include expedited customs processing, consolidated verification, longer certification validity, advance-ruling priority, trusted-producer treatment, and other administrative facilitation that does not impose a customs duty, quota, discriminatory origin rule, or penalty on production in Canada or Mexico.</w:t>
      </w:r>
    </w:p>
    <w:p>
      <w:pPr>
        <w:pStyle w:val="Normal"/>
      </w:pPr>
      <w:r>
        <w:t>3. Qualification shall be based on published objective criteria, including net new productive capacity, workforce investment, research and development, or supply-chain resilience. A producer that does not participate retains all ordinary rights and preferential treatment for which its goods otherwise qualify.</w:t>
      </w:r>
    </w:p>
    <w:p>
      <w:pPr>
        <w:pStyle w:val="Normal"/>
      </w:pPr>
      <w:r>
        <w:t>4. Canada and Mexico may establish equivalent voluntary accelerators within their territories. The Commission shall review the accelerators to ensure that they reward additional investment without becoming de facto Party-specific content mandates or substitute measures prohibited by Chapter 35.</w:t>
      </w:r>
    </w:p>
    <w:p>
      <w:pPr>
        <w:pStyle w:val="TrumpVisibilityHeadline"/>
      </w:pPr>
      <w:r>
        <w:t xml:space="preserve">★ </w:t>
      </w:r>
      <w:r>
        <w:t>VISIBLE U.S. WIN: PROTECT AND EXPAND NORTH AMERICAN STEEL AND ALUMINUM PRODUCTION</w:t>
      </w:r>
    </w:p>
    <w:p>
      <w:pPr>
        <w:pStyle w:val="Heading2"/>
      </w:pPr>
      <w:bookmarkStart w:id="901281" w:name="_Toc300001280"/>
      <w:r>
        <w:t>Article 36.14: North American Steel and Aluminum Security Framework</w:t>
      </w:r>
      <w:bookmarkEnd w:id="901281"/>
    </w:p>
    <w:p>
      <w:pPr>
        <w:pStyle w:val="Normal"/>
      </w:pPr>
      <w:r>
        <w:t>1. The Parties recognize originating steel and aluminum as strategic North American supply and shall cooperate against circumvention, non-market overcapacity, fraudulent origin claims, and evasion involving non-Party material.</w:t>
      </w:r>
    </w:p>
    <w:p>
      <w:pPr>
        <w:pStyle w:val="Normal"/>
      </w:pPr>
      <w:r>
        <w:t>2. Measures addressing non-Party steel or aluminum shall, to the maximum extent practicable, distinguish originating North American production from non-originating content and shall comply with Chapters 32 and 35.</w:t>
      </w:r>
    </w:p>
    <w:p>
      <w:pPr>
        <w:pStyle w:val="Normal"/>
      </w:pPr>
      <w:r>
        <w:t>3. The Parties shall maintain rapid traceability and melt-and-pour or smelt-and-cast verification procedures, as applicable, with simplified compliance for trusted producers and small and medium-sized enterprises.</w:t>
      </w:r>
    </w:p>
    <w:p>
      <w:pPr>
        <w:pStyle w:val="Normal"/>
      </w:pPr>
      <w:r>
        <w:rPr>
          <w:b w:val="false"/>
        </w:rPr>
        <w:t>4. No Origin Laundering Through Transit or Superficial Processing. A good, material, or component of a non-Party does not become originating North American content merely because it is routed through, repackaged in, relabeled in, minimally processed in, or shipped from Canada, Mexico, or the United States. Origin is determined only under Chapters 4 and 5 and the applicable product-specific rules, and intentional transshipment, false provenance, or superficial processing designed to evade those rules remains subject to verification, denial of preference, recovery, and proportionate penalties.</w:t>
      </w:r>
    </w:p>
    <w:p>
      <w:pPr>
        <w:pStyle w:val="TrumpVisibilityHeadline"/>
      </w:pPr>
      <w:r>
        <w:t xml:space="preserve">★ </w:t>
      </w:r>
      <w:r>
        <w:t>VISIBLE U.S. WIN: NEW NORTH AMERICAN STEEL AND ALUMINUM INVESTMENT WITH DURABLE TARIFF NORMALIZATION</w:t>
      </w:r>
    </w:p>
    <w:p>
      <w:pPr>
        <w:pStyle w:val="Heading2"/>
      </w:pPr>
      <w:bookmarkStart w:id="901282" w:name="_Toc300001281"/>
      <w:r>
        <w:t>Article 36.14A: North American Metals Investment Compact</w:t>
      </w:r>
      <w:bookmarkEnd w:id="901282"/>
    </w:p>
    <w:p>
      <w:pPr>
        <w:pStyle w:val="Normal"/>
      </w:pPr>
      <w:r>
        <w:t>1. The Parties establish a North American Metals Investment Compact to pair durable normalization of trade in originating North American steel and aluminum with commercially grounded expansion, modernization, recycling, processing, traceability, and strategic-capacity investment across the three Parties.</w:t>
      </w:r>
    </w:p>
    <w:p>
      <w:pPr>
        <w:pStyle w:val="Normal"/>
      </w:pPr>
      <w:r>
        <w:t>2. The Compact may identify qualifying public and private projects involving primary production, electric-arc and other steelmaking modernization, smelting, rolling, casting, forging, recycling, specialty alloys, electrical steel, high-strength and low-carbon products, aerospace-grade aluminum, and other strategically important metal products. Project identification does not constitute a government purchase, funding guarantee, production quota, or entitlement to approval.</w:t>
      </w:r>
    </w:p>
    <w:p>
      <w:pPr>
        <w:pStyle w:val="Normal"/>
      </w:pPr>
      <w:r>
        <w:t>3. The Parties may establish a Defense and Critical-Infrastructure Metals Lane for armor-grade and other defense steels, naval and shipbuilding grades, aerospace aluminum and specialty alloys, electrical and transformer steels, high-strength structural products, and other metal products for which insufficient North American capacity creates a documented security or resilience vulnerability.</w:t>
      </w:r>
    </w:p>
    <w:p>
      <w:pPr>
        <w:pStyle w:val="Normal"/>
      </w:pPr>
      <w:r>
        <w:t>4. Competent authorities shall apply strong anti-transshipment, origin, melted-and-poured, smelted-and-cast, and traceability disciplines to qualifying treatment while preserving lawful use of non-Party feedstock or specialized materials where origin rules permit and where such use does not constitute circumvention.</w:t>
      </w:r>
    </w:p>
    <w:p>
      <w:pPr>
        <w:pStyle w:val="Normal"/>
      </w:pPr>
      <w:r>
        <w:t>5. The Commission shall publish an annual non-confidential North American Metals Investment and Capacity Dashboard identifying, to the extent reliably measurable, announced and completed qualifying investment, net new or modernized capacity, recycling expansion, strategic-product capability, and significant supply-chain bottlenecks by Party. The Dashboard shall distinguish public commitments from private investment and shall not count a relocation within North America as net new continental capacity unless the Continental Additionality Test is satisfied.</w:t>
      </w:r>
    </w:p>
    <w:p>
      <w:pPr>
        <w:pStyle w:val="Normal"/>
      </w:pPr>
      <w:r>
        <w:t>6. Any headline multi-year investment target adopted by the Parties shall be based on identifiable projects, commercially credible expansion plans, or appropriated public programs and shall not create an unfunded purchase, subsidy, or production obligation merely by publication of the target.</w:t>
      </w:r>
    </w:p>
    <w:p>
      <w:pPr>
        <w:pStyle w:val="Normal"/>
      </w:pPr>
      <w:r>
        <w:t>7. The Parties shall seek durable tariff normalization for originating North American steel and aluminum satisfying the strengthened origin and anti-circumvention rules of this Agreement. A Party shall not treat a nominal tariff exemption accompanied by a disguised, automatically tightening, or commercially equivalent restriction as durable normalization unless the affected Parties expressly agree to that treatment.</w:t>
      </w:r>
    </w:p>
    <w:p>
      <w:pPr>
        <w:pStyle w:val="Normal"/>
      </w:pPr>
      <w:r>
        <w:t>8. Where a specific investment, capacity, or security commitment is expressly exchanged for tariff or market-access treatment, the paired obligations shall follow Article 35.36: activation at the same time or at matched milestones where practicable, verification, a short cure period where appropriate, proportional step-back limited to the paired value, and automatic restoration when performance resumes.</w:t>
      </w:r>
    </w:p>
    <w:p>
      <w:pPr>
        <w:pStyle w:val="Heading2"/>
      </w:pPr>
      <w:bookmarkStart w:id="901283" w:name="_Toc300001282"/>
      <w:r>
        <w:t>Article 36.15: Strategic Dependency Reduction and Reshoring</w:t>
      </w:r>
      <w:bookmarkEnd w:id="901283"/>
    </w:p>
    <w:p>
      <w:pPr>
        <w:pStyle w:val="Normal"/>
      </w:pPr>
      <w:r>
        <w:t>1. For each designated strategic sector, the Subcommittee shall publish non-binding resilience and dependency-reduction benchmarks addressing excessive concentration in a single source and documented reliance on high-risk sources, without presuming that non-Party origin itself constitutes risk.</w:t>
      </w:r>
    </w:p>
    <w:p>
      <w:pPr>
        <w:pStyle w:val="Normal"/>
      </w:pPr>
      <w:r>
        <w:t>2. The Parties shall cooperate to diversify vulnerable supply chains, including by expanding North American relocation, processing, recycling, manufacturing, and substitute capacity and, where appropriate, by developing reliable alternative sourcing relationships with qualifying non-Parties. Participation by firms is voluntary, and each Party retains authority over its own incentives, sourcing policy, and investment policy.</w:t>
      </w:r>
    </w:p>
    <w:p>
      <w:pPr>
        <w:pStyle w:val="Normal"/>
      </w:pPr>
      <w:r>
        <w:t>3. Benchmarks under this Article do not constitute import quotas, local-content mandates, or authority for a covered border measure against originating goods of another Party.</w:t>
      </w:r>
    </w:p>
    <w:p>
      <w:pPr>
        <w:pStyle w:val="Normal"/>
      </w:pPr>
      <w:r>
        <w:t>4. Diversification under this Article may include maintaining or expanding commercially reliable external sources where doing so reduces concentration risk or improves resilience. Geographic origin, diplomatic alignment, or economic-system classification alone shall not determine whether a source is suitable.</w:t>
      </w:r>
    </w:p>
    <w:p>
      <w:pPr>
        <w:pStyle w:val="Heading2"/>
      </w:pPr>
      <w:bookmarkStart w:id="901284" w:name="_Toc300001283"/>
      <w:r>
        <w:t>Article 36.16: Forced-Labor Perimeter and Trusted Supply-Chain Safe Harbor</w:t>
      </w:r>
      <w:bookmarkEnd w:id="901284"/>
    </w:p>
    <w:p>
      <w:pPr>
        <w:pStyle w:val="Normal"/>
      </w:pPr>
      <w:r>
        <w:t>1. The Parties shall cooperate to prevent goods produced wholly or in part with forced labor from entering North American commerce, including through interoperable risk indicators, evidence sharing, and coordinated enforcement consistent with each Party’s law.</w:t>
      </w:r>
    </w:p>
    <w:p>
      <w:pPr>
        <w:pStyle w:val="Normal"/>
      </w:pPr>
      <w:r>
        <w:t>2. A producer or importer demonstrating an independently verified, low-risk supply chain under published standards shall receive a rebuttable trusted-supply-chain presumption and simplified routine documentation, without limiting action based on materially new evidence.</w:t>
      </w:r>
    </w:p>
    <w:p>
      <w:pPr>
        <w:pStyle w:val="Normal"/>
      </w:pPr>
      <w:r>
        <w:t>3. Enforcement shall target the implicated goods, entities, and supply chains and shall include notice, access to non-confidential evidence, and review procedures.</w:t>
      </w:r>
    </w:p>
    <w:p>
      <w:pPr>
        <w:pStyle w:val="Heading2"/>
      </w:pPr>
      <w:bookmarkStart w:id="901285" w:name="_Toc300001284"/>
      <w:r>
        <w:t>Article 36.17: Origin Fraud and Repeat-Offender Discipline</w:t>
      </w:r>
      <w:bookmarkEnd w:id="901285"/>
    </w:p>
    <w:p>
      <w:pPr>
        <w:pStyle w:val="Normal"/>
      </w:pPr>
      <w:r>
        <w:t>1. Intentional material origin fraud established through final administrative or judicial process may result in loss of trusted status, enhanced verification, monetary penalties under domestic law, and temporary exclusion from simplified CUSMA procedures.</w:t>
      </w:r>
    </w:p>
    <w:p>
      <w:pPr>
        <w:pStyle w:val="Normal"/>
      </w:pPr>
      <w:r>
        <w:t>2. The Secretariat shall maintain a confidential trilateral repeat-offender register accessible to competent customs authorities. Public identification requires a final finding and an opportunity for review.</w:t>
      </w:r>
    </w:p>
    <w:p>
      <w:pPr>
        <w:pStyle w:val="Normal"/>
      </w:pPr>
      <w:r>
        <w:t>3. Sanctions shall attach to responsible entities and products and shall not be imputed to unrelated producers or to a Party generally.</w:t>
      </w:r>
    </w:p>
    <w:p>
      <w:pPr>
        <w:pStyle w:val="Heading2"/>
      </w:pPr>
      <w:bookmarkStart w:id="901286" w:name="_Toc300001285"/>
      <w:r>
        <w:t>Article 36.18: Agricultural Market-Access Assurance</w:t>
      </w:r>
      <w:bookmarkEnd w:id="901286"/>
    </w:p>
    <w:p>
      <w:pPr>
        <w:pStyle w:val="Normal"/>
      </w:pPr>
      <w:r>
        <w:t>1. The Parties shall administer agricultural tariff-rate quotas, licensing, inspection, listing, and distribution measures transparently, objectively, and without discrimination designed to nullify negotiated market access.</w:t>
      </w:r>
    </w:p>
    <w:p>
      <w:pPr>
        <w:pStyle w:val="Normal"/>
      </w:pPr>
      <w:r>
        <w:t>2. Where a Party alleges that administration rather than the negotiated quantity is materially preventing utilization of agreed agricultural access, it may request an expedited factual review. The review shall distinguish genuine market conditions from administrative barriers.</w:t>
      </w:r>
    </w:p>
    <w:p>
      <w:pPr>
        <w:pStyle w:val="Normal"/>
      </w:pPr>
      <w:r>
        <w:t>3. A verified administrative barrier shall be corrected through the narrowest sufficient remedy, including reallocation of unused quota, removal of discriminatory eligibility conditions, or accelerated processing, as appropriate. This Article does not itself alter a Party’s negotiated TRQ quantities or require dismantling of a domestic supply-management system.</w:t>
      </w:r>
    </w:p>
    <w:p>
      <w:pPr>
        <w:pStyle w:val="Heading2"/>
      </w:pPr>
      <w:bookmarkStart w:id="901287" w:name="_Toc300001286"/>
      <w:r>
        <w:t>Article 36.19: North American Energy Security and Continuity</w:t>
      </w:r>
      <w:bookmarkEnd w:id="901287"/>
    </w:p>
    <w:p>
      <w:pPr>
        <w:pStyle w:val="Normal"/>
      </w:pPr>
      <w:r>
        <w:t>1. The Parties recognize reliable trade in originating electricity, oil, natural gas, nuclear fuel and services, refined products, renewable-energy inputs, and critical grid equipment as contributing to North American energy security.</w:t>
      </w:r>
    </w:p>
    <w:p>
      <w:pPr>
        <w:pStyle w:val="Normal"/>
      </w:pPr>
      <w:r>
        <w:t>2. The Parties shall cooperate on emergency continuity, infrastructure resilience, interoperability, and transparent cross-border permitting while preserving each Party’s constitutional authority, environmental law, resource ownership, and regulatory jurisdiction.</w:t>
      </w:r>
    </w:p>
    <w:p>
      <w:pPr>
        <w:pStyle w:val="Normal"/>
      </w:pPr>
      <w:r>
        <w:t>3. Originating energy trade shall not be treated as a presumptive national-security threat solely because it originates in another Party. Any restriction remains subject to Chapters 32, 35, and 38.</w:t>
      </w:r>
    </w:p>
    <w:p>
      <w:pPr>
        <w:pStyle w:val="Heading2"/>
      </w:pPr>
      <w:bookmarkStart w:id="901288" w:name="_Toc300001287"/>
      <w:r>
        <w:t>Article 36.20: Semiconductor and Advanced-Manufacturing Compact</w:t>
      </w:r>
      <w:bookmarkEnd w:id="901288"/>
    </w:p>
    <w:p>
      <w:pPr>
        <w:pStyle w:val="Normal"/>
      </w:pPr>
      <w:r>
        <w:t>1. The Parties shall facilitate resilient North American capacity in semiconductor fabrication, packaging, testing, substrates, power electronics, industrial robotics, advanced manufacturing equipment, and critical upstream inputs.</w:t>
      </w:r>
    </w:p>
    <w:p>
      <w:pPr>
        <w:pStyle w:val="Normal"/>
      </w:pPr>
      <w:r>
        <w:t>2. Cooperation may include workforce development, research partnerships, standards interoperability, trusted-supplier programs, and voluntary coordination of incentives, subject to competition law and each Party’s domestic authority.</w:t>
      </w:r>
    </w:p>
    <w:p>
      <w:pPr>
        <w:pStyle w:val="Normal"/>
      </w:pPr>
      <w:r>
        <w:t>3. Nothing in this Article requires transfer of controlled technology, source code, classified information, or intellectual property.</w:t>
      </w:r>
    </w:p>
    <w:p>
      <w:pPr>
        <w:pStyle w:val="Heading2"/>
      </w:pPr>
      <w:bookmarkStart w:id="901289" w:name="_Toc300001288"/>
      <w:r>
        <w:t>Article 36.21: Small-Business Export Fast Lane</w:t>
      </w:r>
      <w:bookmarkEnd w:id="901289"/>
    </w:p>
    <w:p>
      <w:pPr>
        <w:pStyle w:val="Normal"/>
      </w:pPr>
      <w:r>
        <w:t>1. Each Party shall establish a simplified CUSMA export and import pathway for qualifying small and medium-sized enterprises with clean compliance records, including standardized electronic documentation, consolidated origin submissions, predictable service standards, and access to advance rulings.</w:t>
      </w:r>
    </w:p>
    <w:p>
      <w:pPr>
        <w:pStyle w:val="Normal"/>
      </w:pPr>
      <w:r>
        <w:t>2. The Parties shall publish common model forms and a single explanatory data dictionary for low-value and routine SME shipments, consistent with Chapters 5 and 7.</w:t>
      </w:r>
    </w:p>
    <w:p>
      <w:pPr>
        <w:pStyle w:val="Normal"/>
      </w:pPr>
      <w:r>
        <w:t>3. Benefits under this Article are reciprocal and available on objective criteria without regard to the nationality of the ultimate owner of a qualifying enterprise.</w:t>
      </w:r>
    </w:p>
    <w:p>
      <w:pPr>
        <w:pStyle w:val="Heading2"/>
      </w:pPr>
      <w:bookmarkStart w:id="901290" w:name="_Toc300001289"/>
      <w:r>
        <w:t>Article 36.22: Regulatory Barrier Rapid Review</w:t>
      </w:r>
      <w:bookmarkEnd w:id="901290"/>
    </w:p>
    <w:p>
      <w:pPr>
        <w:pStyle w:val="Normal"/>
      </w:pPr>
      <w:r>
        <w:t>1. An exporter, importer, or Party may request rapid review of a technical, licensing, inspection, or administrative requirement alleged to discriminate against originating goods or services of another Party or to impose a materially disproportionate burden without a legitimate regulatory justification.</w:t>
      </w:r>
    </w:p>
    <w:p>
      <w:pPr>
        <w:pStyle w:val="Normal"/>
      </w:pPr>
      <w:r>
        <w:t>2. Review shall apply the necessity, non-discrimination, and compliance-burden principles of this Agreement and shall respect each Party’s right to regulate for health, safety, environment, privacy, culture, consumer protection, financial stability, and other legitimate public objectives.</w:t>
      </w:r>
    </w:p>
    <w:p>
      <w:pPr>
        <w:pStyle w:val="Normal"/>
      </w:pPr>
      <w:r>
        <w:t>3. A rapid review does not suspend a bona fide health or safety measure merely because compliance is costly. Interim relief is available only under the standards of Chapter 35.</w:t>
      </w:r>
    </w:p>
    <w:p>
      <w:pPr>
        <w:spacing w:before="0" w:after="0"/>
        <w:widowControl w:val="1"/>
      </w:pPr>
      <w:r>
        <w:t>4. ECONOMIC SECURITY FINDING AND RAPID REVIEW ACTORS. For Article 36.11 the importing customs authority initiates entity-specific origin investigation under Chapters 4 and 5 and refers disputed technical facts to an Article 35.10 Team constituted within five days, with a fifteen-day target and thirty-day mandatory report period subject only to that Article's express complexity extension. The competent domestic authority makes the lawful entity-level origin decision with Article 35.10A protection, while only an Article 31.A panel or authorized Commission decision establishes a Party breach and activates Chapter 35 legal remedies under Article 35.26.3. Articles 36.18(2) and 36.22 rapid review requests go to the Subcommittee through the Secretariat, which acknowledges within five days, convenes the affected regulators within ten days and issues a reasoned technical recommendation within thirty days, without private Chapter 31 standing or an automatic market-access order. Broader measures require their separate Party-breach authorization, provisional trade restriction requires Article 35.21 or another express lawful route, and ordinary regulatory interim relief remains with the competent domestic reviewer under applicable law rather than an uncited Chapter 35 power.</w:t>
      </w:r>
    </w:p>
    <w:p/>
    <w:p>
      <w:pPr>
        <w:pStyle w:val="Heading2"/>
      </w:pPr>
      <w:bookmarkStart w:id="901291" w:name="_Toc300001290"/>
      <w:r>
        <w:t>Article 36.23: Digital Trade and Advanced-Technology Non-Discrimination</w:t>
      </w:r>
      <w:bookmarkEnd w:id="901291"/>
    </w:p>
    <w:p>
      <w:pPr>
        <w:pStyle w:val="Normal"/>
      </w:pPr>
      <w:r>
        <w:t>1. The Parties reaffirm that digital regulation shall not discriminate against a service supplier or digital product solely because of the nationality of another Party, while preserving legitimate regulation consistent with Chapter 19 and other applicable provisions of this Agreement.</w:t>
      </w:r>
    </w:p>
    <w:p>
      <w:pPr>
        <w:pStyle w:val="Normal"/>
      </w:pPr>
      <w:r>
        <w:t>2. The Parties shall cooperate on artificial intelligence, cybersecurity, privacy-enhancing technologies, digital identity, electronic invoicing, and advanced-manufacturing interoperability without requiring regulatory harmonization or weakening a Party’s privacy, competition, cultural, consumer-protection, or national-security laws.</w:t>
      </w:r>
    </w:p>
    <w:p>
      <w:pPr>
        <w:pStyle w:val="Normal"/>
      </w:pPr>
      <w:r>
        <w:t>3. Nothing in this Article creates a general exemption from taxation or from laws of general application.</w:t>
      </w:r>
    </w:p>
    <w:p>
      <w:pPr>
        <w:pStyle w:val="TrumpVisibilityHeadline"/>
      </w:pPr>
      <w:r>
        <w:t xml:space="preserve">★ </w:t>
      </w:r>
      <w:r>
        <w:t>VISIBLE U.S. WIN: MORE U.S. EXPORT, INVESTMENT, RESHORING AND JOINT-VENTURE OPPORTUNITIES</w:t>
      </w:r>
    </w:p>
    <w:p>
      <w:pPr>
        <w:pStyle w:val="Heading2"/>
      </w:pPr>
      <w:bookmarkStart w:id="901292" w:name="_Toc300001291"/>
      <w:r>
        <w:t>Article 36.24: North American Trade Rebalancing and Investment Mechanism</w:t>
      </w:r>
      <w:bookmarkEnd w:id="901292"/>
    </w:p>
    <w:p>
      <w:pPr>
        <w:pStyle w:val="Normal"/>
      </w:pPr>
      <w:r>
        <w:t>1. [DIAGNOSTIC TRIGGER] A persistent or material change in a bilateral trade balance, import volume, market share, manufacturing capacity, or domestic operating margin may trigger a factual diagnostic, but does not by itself establish unfair trade, economic distortion, or a violation of this Agreement. A diagnostic may also examine a material North American dependence on a high-risk non-Party where a Party identifies a plausible regional supply, investment, or capacity-building opportunity. Any such examination shall distinguish a genuine security or resilience concern from ordinary lawful comparative advantage and shall not presume that sourcing from a non-Party is improper. The trigger therefore initiates analysis rather than a purchase obligation, origin presumption, restriction, or corrective measure.</w:t>
      </w:r>
    </w:p>
    <w:p>
      <w:pPr>
        <w:pStyle w:val="Normal"/>
      </w:pPr>
      <w:r>
        <w:t>2. [EVIDENTIARY DIAGNOSTIC] On request of a Party, the Treaty Integrity Secretariat shall prepare a diagnostic identifying, where data permit, the contributions of energy prices, exchange rates, demand, investment cycles, capacity constraints, lawful comparative advantage, non-market practices, origin fraud, subsidies, regulatory barriers, infrastructure constraints, and other material factors. Where regional substitution is examined, the diagnostic shall identify the relevant good or input, present North American production and announced capacity, technical and qualification requirements, commercially realistic lead times, material cost or infrastructure constraints, and the extent to which additional regional supply could reasonably displace high-risk dependence without creating a new supply vulnerability. The Secretariat shall distinguish existing capacity from prospective capacity and shall identify material data limitations rather than treating announced investment, theoretical production, or nominal supplier presence as available supply. A finding that regional substitution is commercially plausible does not establish that a particular supplier, investment, procurement decision, or sourcing change is required.</w:t>
      </w:r>
    </w:p>
    <w:p>
      <w:pPr>
        <w:pStyle w:val="Normal"/>
      </w:pPr>
      <w:r>
        <w:t>3. [VOLUNTARY REGIONAL-SUBSTITUTION PATHWAY] Where the diagnostic identifies commercially addressable opportunities, the Parties shall convene a voluntary Rebalancing and Investment Dialogue to identify opportunities for additional exports, removal of verified regulatory barriers, new investment, reshoring or friend-shoring from high-risk non-Parties into North America, joint ventures, infrastructure and energy projects, procurement opportunities consistent with Chapter 13, agricultural market access consistent with negotiated commitments, expansion of productive capacity, and commercially realistic substitution of high-risk non-Party supply with originating North American supply. The Dialogue may identify supplier-development needs, qualification pathways, infrastructure or energy bottlenecks, financing or investment opportunities, workforce constraints, and sequencing needed for regional capacity to become commercially usable. Opportunities shall be product- and capacity-specific and shall account for price, quality, scale, delivery time, technical compatibility, resilience, and other material commercial factors rather than treating North American location alone as sufficient. The Dialogue shall coordinate with existing sectoral bodies where they already possess the relevant mandate and shall not create a parallel approval process for private sourcing or investment.</w:t>
      </w:r>
    </w:p>
    <w:p>
      <w:pPr>
        <w:pStyle w:val="Normal"/>
      </w:pPr>
      <w:r>
        <w:t>4. [NO MANAGED-TRADE OR PURCHASE MANDATE] Recommendations under paragraph 3 are non-binding unless separately adopted under this Agreement or domestic law. No Party is required to purchase a specified quantity of goods, direct private investment, maintain a bilateral trade-balance target, replace a lawful non-Party supplier, or accept a managed-trade commitment. A Party may pursue a regional-substitution opportunity through procurement, investment facilitation, infrastructure, regulatory cooperation, supplier development, or another lawful instrument only to the extent independently authorized and consistent with the applicable obligations of this Agreement. Failure of a voluntary opportunity to produce additional bilateral trade or regional substitution does not itself establish non-performance, injury, or grounds for retaliation.</w:t>
      </w:r>
    </w:p>
    <w:p>
      <w:pPr>
        <w:pStyle w:val="Normal"/>
      </w:pPr>
      <w:r>
        <w:t>5. [CORRECTIVE-MEASURE FIREWALL] Only a distortion independently verified under Chapter 35 may support a corrective measure. A trade deficit or surplus, standing alone or in combination with a political objective, is not actionable and does not establish injury. Dependence on a non-Party source, failure to select a North American supplier, or inability to achieve commercially realistic regional substitution is likewise not independently actionable under this Article. Nothing in this Article expands the authority of Chapter 35, alters applicable rules of origin, or authorizes discrimination based solely on supplier nationality where such discrimination is not otherwise permitted by this Agreement.</w:t>
      </w:r>
    </w:p>
    <w:p>
      <w:pPr>
        <w:pStyle w:val="Normal"/>
      </w:pPr>
      <w:r>
        <w:t>6. [OPPORTUNITY REPORT AND MEASUREMENT] The Secretariat shall publish a non-confidential annual North American Opportunity Report identifying verified supply gaps and commercially realistic export, investment, manufacturing, energy, infrastructure, agricultural, and regional-substitution opportunities in each Party. For a regional-substitution opportunity, the Report shall distinguish verified current capacity, capacity under construction or committed investment, and longer-term prospective capacity, and may report subsequent changes in regional production, sourcing, investment, qualification, or infrastructure where reliable data are available. Measurement is informational and shall not convert an opportunity into a quota, target, procurement preference, or presumption of treaty compliance or non-compliance. Confidential business information, security-sensitive information, and commercially sensitive supplier data shall be protected in accordance with this Agreement and applicable domestic law.</w:t>
      </w:r>
    </w:p>
    <w:p>
      <w:pPr>
        <w:pStyle w:val="Heading2"/>
      </w:pPr>
      <w:bookmarkStart w:id="901293" w:name="_Toc300001292"/>
      <w:r>
        <w:t>Article 36.25: Voluntary Subnational Market Access Framework</w:t>
      </w:r>
      <w:bookmarkEnd w:id="901293"/>
    </w:p>
    <w:p>
      <w:pPr>
        <w:pStyle w:val="Normal"/>
      </w:pPr>
      <w:r>
        <w:t>1. The Parties establish a framework through which willing provinces, territories, states, and other eligible subnational governments may, consistently with their constitutional authority and the law of the relevant Party, undertake reciprocal market-access commitments that go beyond the baseline obligations of this Agreement.</w:t>
      </w:r>
    </w:p>
    <w:p>
      <w:pPr>
        <w:pStyle w:val="Normal"/>
      </w:pPr>
      <w:r>
        <w:t>2. Participation is voluntary. No federal Party may compel a subnational government to participate, and no participating subnational government acquires authority outside its constitutional jurisdiction.</w:t>
      </w:r>
    </w:p>
    <w:p>
      <w:pPr>
        <w:pStyle w:val="Normal"/>
      </w:pPr>
      <w:r>
        <w:t>3. Commitments may address beverage-alcohol listing and distribution, procurement, professional licensing, transportation, energy equipment, digital administration, agricultural marketing, and other matters within participating governments’ authority. Commitments shall be transparent, reciprocal, non-discriminatory, and registered with the Commission.</w:t>
      </w:r>
    </w:p>
    <w:p>
      <w:pPr>
        <w:pStyle w:val="Normal"/>
      </w:pPr>
      <w:r>
        <w:t>4. A participating Canadian province may provide enhanced, non-discriminatory access for originating U.S. wine, beer, and spirits through streamlined listing, transparent markups, simplified registration, distribution access, or other measures within provincial authority. Equivalent opportunities shall be available for originating Canadian products in participating U.S. jurisdictions. Nothing in this paragraph requires a province or state to privatize a distribution system or alter health, safety, labeling, age, or ordinary tax rules applied without discrimination.</w:t>
      </w:r>
    </w:p>
    <w:p>
      <w:pPr>
        <w:pStyle w:val="Normal"/>
      </w:pPr>
      <w:r>
        <w:t>5. A subnational commitment shall remain in effect for the period specified in its registered schedule. Withdrawal requires not less than 12 months’ notice unless the schedule provides a longer period, protecting reasonable commercial reliance.</w:t>
      </w:r>
    </w:p>
    <w:p>
      <w:pPr>
        <w:pStyle w:val="Normal"/>
      </w:pPr>
      <w:r>
        <w:t>6. The Commission shall maintain model schedules and may facilitate province-state or state-province arrangements, but shall not negotiate on behalf of a subnational government without its consent.</w:t>
      </w:r>
    </w:p>
    <w:p>
      <w:pPr>
        <w:pStyle w:val="Heading2"/>
      </w:pPr>
      <w:bookmarkStart w:id="901294" w:name="_Toc300001293"/>
      <w:r>
        <w:t>Article 36.26: Provincial-Demand Agricultural Allocation Option</w:t>
      </w:r>
      <w:bookmarkEnd w:id="901294"/>
    </w:p>
    <w:p>
      <w:pPr>
        <w:pStyle w:val="Normal"/>
      </w:pPr>
      <w:r>
        <w:t>1. Without altering Canada’s aggregate CUSMA tariff-rate quota commitments or requiring the dismantling of supply management, Canada may establish a transparent mechanism through which importers serving a province demonstrating unmet consumer or processor demand may receive a defined portion of available, returned, underutilized, or newly negotiated agricultural TRQ access.</w:t>
      </w:r>
    </w:p>
    <w:p>
      <w:pPr>
        <w:pStyle w:val="Normal"/>
      </w:pPr>
      <w:r>
        <w:t>2. An allocation under paragraph 1 shall: (a) not reduce another province’s legally committed existing allocation solely to create the provincial allocation; (b) use published demand and utilization criteria; (c) permit eligible importers to compete on non-discriminatory terms; (d) return materially unused quantities to the applicable national pool; and (e) remain consistent with Chapter 3 and Canada’s Schedule.</w:t>
      </w:r>
    </w:p>
    <w:p>
      <w:pPr>
        <w:pStyle w:val="Normal"/>
      </w:pPr>
      <w:r>
        <w:t>3. The Parties may negotiate reciprocal provincial or state market-access opportunities for agricultural products under Article 36.25. Nothing in this Article creates a unilateral entitlement to additional quota beyond Canada’s negotiated aggregate commitments.</w:t>
      </w:r>
    </w:p>
    <w:p>
      <w:pPr>
        <w:pStyle w:val="Heading2"/>
      </w:pPr>
      <w:bookmarkStart w:id="901295" w:name="_Toc300001294"/>
      <w:r>
        <w:t>Article 36.27: Strategic Procurement and Trusted-Supplier Reciprocity</w:t>
      </w:r>
      <w:bookmarkEnd w:id="901295"/>
    </w:p>
    <w:p>
      <w:pPr>
        <w:pStyle w:val="Normal"/>
      </w:pPr>
      <w:r>
        <w:t>1. The Parties shall seek reciprocal opportunities for originating suppliers in strategic infrastructure and other covered procurement while preserving each Party’s procurement laws, security exceptions, and existing reservations.</w:t>
      </w:r>
    </w:p>
    <w:p>
      <w:pPr>
        <w:pStyle w:val="Normal"/>
      </w:pPr>
      <w:r>
        <w:t>2. The Commission may establish a voluntary trusted North American supplier designation for procurements in which the procuring entity elects to recognize enhanced origin, cybersecurity, supply-chain integrity, and security standards. The designation does not compel an award and does not override domestic procurement authority.</w:t>
      </w:r>
    </w:p>
    <w:p>
      <w:pPr>
        <w:pStyle w:val="Normal"/>
      </w:pPr>
      <w:r>
        <w:t>3. Expansion of procurement coverage or alteration of existing reservations requires the agreement of the affected Parties and any domestic approval required by their laws.</w:t>
      </w:r>
    </w:p>
    <w:p>
      <w:pPr>
        <w:pStyle w:val="Heading2"/>
      </w:pPr>
      <w:bookmarkStart w:id="901296" w:name="_Toc300001295"/>
      <w:r>
        <w:t>Article 36.28: Stronger-Deal Extension Review</w:t>
      </w:r>
      <w:bookmarkEnd w:id="901296"/>
    </w:p>
    <w:p>
      <w:pPr>
        <w:pStyle w:val="Normal"/>
      </w:pPr>
      <w:r>
        <w:t>1. At each joint review under Article 34.7, the Parties shall separately assess the performance of the enhanced origin, anti-circumvention, agricultural market-access, economic-security, SME facilitation, and automatic-enforcement provisions adopted through the Protocol of Modernization.</w:t>
      </w:r>
    </w:p>
    <w:p>
      <w:pPr>
        <w:pStyle w:val="Normal"/>
      </w:pPr>
      <w:r>
        <w:t>2. The assessment shall identify measurable gains to manufacturers, farmers, ranchers, workers, service suppliers, consumers, and businesses of all sizes in each Party and shall distinguish verified compliance failures from ordinary commercial outcomes.</w:t>
      </w:r>
    </w:p>
    <w:p>
      <w:pPr>
        <w:pStyle w:val="Normal"/>
      </w:pPr>
      <w:r>
        <w:t>3. Nothing in this Article predetermines a Party’s position on any modernization recommendation under Article 34.7. Its purpose is to ensure that review decisions are informed by transparent evidence concerning the materially strengthened bargain created by the Protocol of Modernization; continuation of the Agreement does not depend on adoption of any recommendation.</w:t>
      </w:r>
    </w:p>
    <w:p>
      <w:pPr>
        <w:spacing w:before="0" w:after="0"/>
        <w:widowControl w:val="1"/>
      </w:pPr>
      <w:r>
        <w:t>4. TRUSTED STATUS RELATIONSHIP AND REVOCATION. Trusted-supply-chain presumption, trusted-producer treatment, trusted North American supplier designation and strategic-chain qualification in Chapters 36 and 37 are distinct optional facilitation benefits using the Article 36.6 evidence, entity-specific material-failure, notice and review safeguards where their verification overlaps TNAO. They neither confer TNAO by implication nor remove ordinary origin treatment when an enhanced status is declined, unavailable or suspended. The competent importing customs or procurement authority decides the benefit within its lawful mandate and revocation is reviewable through its domestic route, with Article 35.10A factual appeal where a Chapter 35 determination is used. Article 36.13A's expressly optional United States investment benefit remains limited to that enhanced program and cannot change the identical substantive TNAO criteria or ordinary tariff baseline across the Parties.</w:t>
      </w:r>
    </w:p>
    <w:p/>
    <w:p>
      <w:pPr>
        <w:pStyle w:val="Heading2"/>
      </w:pPr>
      <w:bookmarkStart w:id="901297" w:name="_Toc300001296"/>
      <w:r>
        <w:t>Article 36.29: Supply-Chain Resilience and Worker Transition</w:t>
      </w:r>
      <w:bookmarkEnd w:id="901297"/>
    </w:p>
    <w:p>
      <w:pPr>
        <w:pStyle w:val="Normal"/>
      </w:pPr>
      <w:r>
        <w:t>Supply-chain resilience initiatives under Chapter 36 shall be implemented in a manner consistent with Chapter 23-B (North American Just Transition and Worker Security Framework). Specifically:</w:t>
      </w:r>
    </w:p>
    <w:p>
      <w:pPr>
        <w:pStyle w:val="Normal"/>
        <w:spacing w:before="0" w:after="0"/>
        <w:widowControl w:val="1"/>
      </w:pPr>
      <w:r>
        <w:t>1. When a supply-chain restructuring initiative results in plant closure, significant workforce reduction, or relocation, affected workers and communities shall be entitled to Chapter 23-B protections (income support, retraining, community resilience support).</w:t>
      </w:r>
    </w:p>
    <w:p/>
    <w:p>
      <w:pPr>
        <w:pStyle w:val="Normal"/>
      </w:pPr>
      <w:r>
        <w:t>2. Supply-chain sectors experiencing restructuring shall be reviewed for designation as Transition Sectors under Article 23-B.8.</w:t>
      </w:r>
    </w:p>
    <w:p>
      <w:pPr>
        <w:pStyle w:val="Normal"/>
      </w:pPr>
      <w:r>
        <w:t>3. The Commission shall coordinate between Chapter 36 (supply-chain resilience) and Chapter 23-B (worker/community resilience) to ensure that supply-chain changes do not outpace worker and community support mechanisms.</w:t>
      </w:r>
    </w:p>
    <w:p>
      <w:pPr>
        <w:pStyle w:val="Normal"/>
      </w:pPr>
      <w:r>
        <w:t>Chapter 37 is the principal critical-minerals and strategic-materials location. Related security, origin, industrial-capacity, semiconductor, recycling, and external-feedstock rules appear elsewhere.</w:t>
      </w:r>
    </w:p>
    <w:p>
      <w:pPr>
        <w:pStyle w:val="TrumpVisibilityHeadline"/>
      </w:pPr>
      <w:r>
        <w:t>SEARCH SIGNPOST: CRITICAL MINERALS / STRATEGIC MATERIALS / PROCESSING / REFINING / STOCKPILES / OFFTAKE / RECYCLING / RARE EARTHS</w:t>
      </w:r>
    </w:p>
    <w:p>
      <w:pPr>
        <w:pStyle w:val="Heading1"/>
      </w:pPr>
      <w:bookmarkStart w:id="901298" w:name="_Toc300001297"/>
      <w:r>
        <w:t>ANNEX 36-A: STRATEGIC NORTH AMERICAN CONTENT ASSURANCE AND RESILIENCE PROTOCOL</w:t>
      </w:r>
      <w:bookmarkEnd w:id="901298"/>
    </w:p>
    <w:p>
      <w:pPr>
        <w:pStyle w:val="Normal"/>
      </w:pPr>
      <w:r>
        <w:t>Final Settlement Integration Gateway. This Annex provides an optional strategic assurance and enhanced-benefit layer within Chapter 36. It does not replace ordinary rules of origin, convert assurance criteria into origin criteria, or diminish otherwise qualifying Canadian, Mexican, or United States originating content; Chapters 4 and 5 and Articles 32.F and 32.G remain controlling according to their scope.</w:t>
      </w:r>
    </w:p>
    <w:p>
      <w:pPr>
        <w:pStyle w:val="Heading2"/>
      </w:pPr>
      <w:bookmarkStart w:id="901299" w:name="_Toc300001298"/>
      <w:r>
        <w:t>FS-02.1: Purpose, Existing-Law Relationship, and Sovereignty Firewall</w:t>
      </w:r>
      <w:bookmarkEnd w:id="901299"/>
    </w:p>
    <w:p>
      <w:pPr>
        <w:pStyle w:val="ClauseLabel"/>
      </w:pPr>
      <w:r>
        <w:t>FS02-A01: Settlement Function</w:t>
      </w:r>
    </w:p>
    <w:p>
      <w:pPr>
        <w:pStyle w:val="Normal"/>
      </w:pPr>
      <w:r>
        <w:t>This Protocol establishes a schedule-based mechanism through which the Parties may pair verified North American resilience contributions with expressly identified additional treaty benefits in designated strategic sectors. It supplements rather than replaces the rules of origin, strategic-sector, economic-security, strategic-materials, automotive, verification, and dispute-settlement architecture already established by NAESTMA. It creates no independent tariff authority, import prohibition, origin rule, investment-screening power, sanctions authority, or third-country veto. Every FS-02 commitment operates only within authority otherwise established by the Agreement and an Adopted FS-02 Schedule Row.</w:t>
      </w:r>
    </w:p>
    <w:p>
      <w:pPr>
        <w:pStyle w:val="ClauseLabel"/>
      </w:pPr>
      <w:r>
        <w:t>FS02-A02: Article 32.F Risk Discipline</w:t>
      </w:r>
    </w:p>
    <w:p>
      <w:pPr>
        <w:pStyle w:val="Normal"/>
      </w:pPr>
      <w:r>
        <w:t>Article 32.F applies in full to every risk classification, source review, supplier review, dependency finding, and assurance decision under this Protocol. Nationality, country of manufacture, state ownership, diplomatic alignment, or economic model does not by itself establish high risk or justify adverse treatment. A restrictive determination requires objective and functionally relevant evidence connected to the particular material, supplier, facility, technology, transaction, or supply-chain exposure under review. FS-02 may reward verified resilience without converting lawful foreign origin into a presumption of insecurity.</w:t>
      </w:r>
    </w:p>
    <w:p>
      <w:pPr>
        <w:pStyle w:val="ClauseLabel"/>
      </w:pPr>
      <w:r>
        <w:t>FS02-A03: Article 32.G Sovereignty Firewall</w:t>
      </w:r>
    </w:p>
    <w:p>
      <w:pPr>
        <w:pStyle w:val="Normal"/>
      </w:pPr>
      <w:r>
        <w:t>Article 32.G applies in full to every FS-02 schedule, review, consultation, and assurance arrangement. No Enhanced Assurance Benefit is conditioned on a Party surrendering its sovereign authority to negotiate, conclude, amend, implement, suspend, or terminate lawful economic arrangements with a non-Party. A Party may review the specific effects of such an arrangement only to the extent permitted by the Agreement for origin administration, circumvention prevention, verified security risk, or another express obligation. No FS-02 schedule operates as a veto, right of first refusal, exclusive-alignment requirement, or approval mechanism over another Party's external economic relations.</w:t>
      </w:r>
    </w:p>
    <w:p>
      <w:pPr>
        <w:pStyle w:val="ClauseLabel"/>
      </w:pPr>
      <w:r>
        <w:t>FS02-A04: No New Legal Origin Status</w:t>
      </w:r>
    </w:p>
    <w:p>
      <w:pPr>
        <w:pStyle w:val="Normal"/>
      </w:pPr>
      <w:r>
        <w:t>Originating status remains determined exclusively under Chapter 4 and the applicable product-specific rules, with verification administered under Chapter 5 and other applicable provisions. An FS-02 Assurance Contribution is an incentive and resilience metric and is not a new category of legal origin. Satisfaction of an Assurance Benchmark does not convert non-originating material into originating material unless Chapter 4 independently produces that result. Failure to satisfy an optional assurance benchmark does not strip a good of originating status that it otherwise possesses.</w:t>
      </w:r>
    </w:p>
    <w:p>
      <w:pPr>
        <w:pStyle w:val="ClauseLabel"/>
      </w:pPr>
      <w:r>
        <w:t>FS02-A05: Existing Strategic Architecture Controls</w:t>
      </w:r>
    </w:p>
    <w:p>
      <w:pPr>
        <w:pStyle w:val="Normal"/>
      </w:pPr>
      <w:r>
        <w:t>Article 36.4 controls strategic-sector designation, Articles 36.5 and 36.6 control the relevant anti-circumvention and Trusted North American Origin architecture, and Chapter 37 controls the applicable strategic-materials and trusted-source architecture. Chapter 59 and Annex 4-E control the applicable automotive enhanced-integration architecture. FS-02 does not recreate those systems or alter their eligibility standards by implication. Where a conflict appears, the more specific underlying provision governs unless an adopted amendment expressly states otherwise.</w:t>
      </w:r>
    </w:p>
    <w:p>
      <w:pPr>
        <w:pStyle w:val="ClauseLabel"/>
      </w:pPr>
      <w:r>
        <w:t>FS02-A06: No Implied Bargaining Concession</w:t>
      </w:r>
    </w:p>
    <w:p>
      <w:pPr>
        <w:pStyle w:val="Normal"/>
      </w:pPr>
      <w:r>
        <w:t>Inclusion of a sector, benchmark, source category, contribution, or benefit in Schedule FS-02-A does not constitute an admission that an existing measure, sourcing pattern, ownership structure, investment, or commercial relationship is lawful or unlawful. It does not concede that a particular localization level, dependency level, or sourcing pattern is economically optimal. The Schedule records only the settlement bargain expressly adopted by the participating Parties. Silence on a matter preserves the treatment otherwise provided by NAESTMA.</w:t>
      </w:r>
    </w:p>
    <w:p>
      <w:pPr>
        <w:pStyle w:val="ClauseLabel"/>
      </w:pPr>
      <w:r>
        <w:t>FS02-A07: Defined Assurance Terms</w:t>
      </w:r>
    </w:p>
    <w:p>
      <w:pPr>
        <w:pStyle w:val="Normal"/>
      </w:pPr>
      <w:r>
        <w:t>For purposes of FS-02, “Assurance Contribution” means the measured resilience contribution evaluated under an Adopted FS-02 Schedule Row, and “Assurance Benchmark” means the adopted threshold, performance rule, or graduated metric against which that contribution is evaluated. “Assurance Participant” means the producer, facility, project, supplier, investor, or supply arrangement whose evidence is evaluated, while “Participant / Transaction Scope” identifies the precise goods, transactions, facilities, projects, or activities to which qualification applies. “Enhanced Assurance Benefit” means the additional benefit expressly earned through satisfaction of an Assurance Benchmark, and “Maximum Benefit” means the greatest legal benefit available under that adopted row regardless of overperformance. “Adopted FS-02 Schedule Row” means a completed Schedule FS-02-A row formally adopted by the participating Parties identified in its Participating Parties / Geographic Scope field under the required treaty procedure; a template, draft, bracketed choice, incomplete row, or negotiating proposal is not an Adopted FS-02 Schedule Row.</w:t>
      </w:r>
    </w:p>
    <w:p>
      <w:pPr>
        <w:pStyle w:val="Heading2"/>
      </w:pPr>
      <w:bookmarkStart w:id="901300" w:name="_Toc300001299"/>
      <w:r>
        <w:t>FS-02.2: Eligible Strategic Sectors and Verified Resilience Deficiency</w:t>
      </w:r>
      <w:bookmarkEnd w:id="901300"/>
    </w:p>
    <w:p>
      <w:pPr>
        <w:pStyle w:val="ClauseLabel"/>
      </w:pPr>
      <w:r>
        <w:t>FS02-B01: Article 36.4 Eligibility Gate</w:t>
      </w:r>
    </w:p>
    <w:p>
      <w:pPr>
        <w:pStyle w:val="Normal"/>
      </w:pPr>
      <w:r>
        <w:t>Only a sector already designated under Article 36.4 may receive an FS-02 sector schedule unless the Parties first amend that designation through the procedure already provided by the Agreement. FS-02 creates no parallel strategic-sector list and no unilateral power to expand Article 36.4. A sector's designation establishes eligibility for analysis but does not by itself establish a resilience deficiency or authorize an enhanced benchmark. The Adopted FS-02 Schedule Row identifies the precise product, component, material, technology, or supply-chain segment to which the FS-02 bargain applies.</w:t>
      </w:r>
    </w:p>
    <w:p>
      <w:pPr>
        <w:pStyle w:val="ClauseLabel"/>
      </w:pPr>
      <w:r>
        <w:t>FS02-B02: Verified Resilience Deficiency Record</w:t>
      </w:r>
    </w:p>
    <w:p>
      <w:pPr>
        <w:pStyle w:val="Normal"/>
      </w:pPr>
      <w:r>
        <w:t>Before adopting an Assurance Benchmark, the participating Parties prepare a Verified Resilience Deficiency Record identifying the concrete vulnerability the benchmark is intended to address. The Record is an evidentiary predicate for adoption of an FS-02 bargain and is not an independent restrictive authority, security classification, strategic-sector designation, finding of treaty breach, or basis for adverse treatment. During development, the proposed Schedule row identifies the existing body responsible for assembling the Record, while the participating Parties authenticate the Record for adoption purposes; after adoption, the Adopted FS-02 Schedule Row identifies the existing body responsible for continuing review. The Record identifies the evidence relied upon, affected function, geographic and product scope, deficiency type, materiality, and reason ordinary origin administration alone does not resolve the deficiency, and a generalized preference for domestic or North American production is insufficient.</w:t>
      </w:r>
    </w:p>
    <w:p>
      <w:pPr>
        <w:pStyle w:val="ClauseLabel"/>
      </w:pPr>
      <w:r>
        <w:t>FS02-B03: Functionally Relevant Nexus</w:t>
      </w:r>
    </w:p>
    <w:p>
      <w:pPr>
        <w:pStyle w:val="Normal"/>
      </w:pPr>
      <w:r>
        <w:t>Every proposed Assurance Benchmark has a direct and documented nexus to the deficiency recorded under FS02-B02. A semiconductor-material shortage does not justify an unrelated vehicle-content benchmark, and a provenance problem does not by itself justify a broad localization requirement. Before adoption, the participating Parties record materially less restrictive and non-discriminatory alternatives considered and the reason the selected Assurance Benchmark more effectively addresses the verified deficiency without creating a freestanding least-restrictive-means cause of action. The benchmark targets the value-chain stage, technical capability, strategic form, supplier concentration, traceability gap, or continuity problem that the evidence actually identifies.</w:t>
      </w:r>
    </w:p>
    <w:p>
      <w:pPr>
        <w:pStyle w:val="ClauseLabel"/>
      </w:pPr>
      <w:r>
        <w:t>FS02-B04: Midstream Gap and Additionality Interface</w:t>
      </w:r>
    </w:p>
    <w:p>
      <w:pPr>
        <w:pStyle w:val="Normal"/>
      </w:pPr>
      <w:r>
        <w:t>Where the asserted deficiency concerns missing North American processing, refining, conversion, qualification, recycling, or other midstream capability, the Parties use the Chapter 37 Midstream Gap Register and Continental Additionality Test as the principal factual interface. An Enhanced Assurance Benefit does not reward the mere relocation of substantially equivalent capacity from one Party to another where no material continental resilience gain results. The Adopted FS-02 Schedule Row identifies the additional North American capability, bottleneck reduction, redundancy, qualification, or strategic-form availability expected from the Assurance Contribution. Existing capacity remains eligible where the adopted bargain expressly rewards preservation of minimum viable capacity rather than new construction.</w:t>
      </w:r>
    </w:p>
    <w:p>
      <w:pPr>
        <w:pStyle w:val="ClauseLabel"/>
      </w:pPr>
      <w:r>
        <w:t>FS02-B05: Time-Bounded Deficiency Review</w:t>
      </w:r>
    </w:p>
    <w:p>
      <w:pPr>
        <w:pStyle w:val="Normal"/>
      </w:pPr>
      <w:r>
        <w:t>Each Verified Resilience Deficiency Record includes a review interval appropriate to the underlying market, technology, qualification cycle, and investment horizon. Review tests whether the recorded deficiency persists, has materially changed, has been cured, or has migrated to another value-chain stage. Where authorized by the Adopted FS-02 Schedule Row, review may continue, reduce, suspend, or retire the Assurance Benchmark, but an increase or materially different benchmark requires the same adoption procedure as the original bargain. Expiry or retirement of the Verified Resilience Deficiency Record does not alter Ordinary-Origin Treatment or other treaty rights that exist independently of FS-02.</w:t>
      </w:r>
    </w:p>
    <w:p>
      <w:pPr>
        <w:pStyle w:val="ClauseLabel"/>
      </w:pPr>
      <w:r>
        <w:t>FS02-B06: No Designation by Negotiating Leverage</w:t>
      </w:r>
    </w:p>
    <w:p>
      <w:pPr>
        <w:pStyle w:val="Normal"/>
      </w:pPr>
      <w:r>
        <w:t>A resilience deficiency is not established solely by a trade deficit, political disagreement, negotiating objective, desire to redirect investment, or preference for production in a particular Party. Commercial concentration may be relevant where evidence shows that it creates a material continuity, security, qualification, or resilience exposure. The Record separates the existence of a vulnerability from the policy choice concerning how to respond to it. No adverse classification arises merely because a lawful supplier or source is located outside North America.</w:t>
      </w:r>
    </w:p>
    <w:p>
      <w:pPr>
        <w:pStyle w:val="Heading2"/>
      </w:pPr>
      <w:bookmarkStart w:id="901301" w:name="_Toc300001300"/>
      <w:r>
        <w:t>FS-02.3: Three-Bucket Content and Assurance Architecture</w:t>
      </w:r>
      <w:bookmarkEnd w:id="901301"/>
    </w:p>
    <w:p>
      <w:pPr>
        <w:pStyle w:val="ClauseLabel"/>
      </w:pPr>
      <w:r>
        <w:t>FS02-C01: Bucket One: Ordinary-Origin Treatment</w:t>
      </w:r>
    </w:p>
    <w:p>
      <w:pPr>
        <w:pStyle w:val="Normal"/>
      </w:pPr>
      <w:r>
        <w:t>A good that qualifies as originating under Chapter 4 remains in the Ordinary-Origin Treatment bucket unless another specific treaty provision lawfully provides otherwise. That good receives the ordinary tariff and other treatment established by NAESTMA without being required to satisfy an optional Assurance Benchmark. A Party does not withhold Ordinary-Origin Treatment merely because an Assurance Participant declines to seek an Enhanced Assurance Benefit or provide an Assurance Contribution beyond what ordinary treaty treatment requires. Verification of ordinary origin remains separate from verification of an Assurance Contribution.</w:t>
      </w:r>
    </w:p>
    <w:p>
      <w:pPr>
        <w:pStyle w:val="ClauseLabel"/>
      </w:pPr>
      <w:r>
        <w:t>FS02-C02: Bucket Two: Enhanced Assurance Benefit</w:t>
      </w:r>
    </w:p>
    <w:p>
      <w:pPr>
        <w:pStyle w:val="Normal"/>
      </w:pPr>
      <w:r>
        <w:t>An Assurance Participant may seek an Enhanced Assurance Benefit by satisfying the Assurance Benchmark expressly adopted in Schedule FS-02-A for the covered good, transaction, project, facility, or supply arrangement. Participant qualification does not automatically confer the benefit on every good, transaction, facility, project, or affiliate associated with that participant, and the Adopted FS-02 Schedule Row identifies the precise Participant / Transaction Scope. The Assurance Benchmark may measure verified additional North American capacity, redundancy, processing, strategic-component contribution, qualification, traceability, recycling, continuity, or another resilience contribution supported by the Verified Resilience Deficiency Record. Satisfaction earns only the Enhanced Assurance Benefit expressly identified in the Adopted FS-02 Schedule Row and does not create a separate legal origin or assurance status.</w:t>
      </w:r>
    </w:p>
    <w:p>
      <w:pPr>
        <w:pStyle w:val="ClauseLabel"/>
      </w:pPr>
      <w:r>
        <w:t>FS02-C03: Bucket Three: Lawful External Input</w:t>
      </w:r>
    </w:p>
    <w:p>
      <w:pPr>
        <w:pStyle w:val="Normal"/>
      </w:pPr>
      <w:r>
        <w:t>A lawful non-originating input, technology, service, investment, supplier, or material remains permissible unless another provision of the Agreement or applicable domestic law independently restricts it. Such an input does not count as North American originating content merely because it is lawful, trusted, or commercially necessary. Its use does not by itself establish circumvention, prohibited dependency, non-market sourcing, or failure of an FS-02 obligation. Where the input qualifies under the Trusted Strategic Materials Source architecture or another applicable trusted-source provision, that status is respected according to its existing legal effect.</w:t>
      </w:r>
    </w:p>
    <w:p>
      <w:pPr>
        <w:pStyle w:val="ClauseLabel"/>
      </w:pPr>
      <w:r>
        <w:t>FS02-C04: Assurance Contribution Distinguished from Origin Content</w:t>
      </w:r>
    </w:p>
    <w:p>
      <w:pPr>
        <w:pStyle w:val="Normal"/>
      </w:pPr>
      <w:r>
        <w:t>Schedule FS-02-A separately records Origin Content and Assurance Contribution wherever both concepts are relevant. Origin Content means content credited under Chapter 4 and the applicable product-specific rule. Assurance Contribution means an additional verified resilience contribution used solely to determine eligibility for an FS-02 Enhanced Assurance Benefit unless the Agreement expressly provides another effect. No administrative guidance, certificate, or schedule note may silently convert Assurance Contribution into a new origin threshold.</w:t>
      </w:r>
    </w:p>
    <w:p>
      <w:pPr>
        <w:pStyle w:val="ClauseLabel"/>
      </w:pPr>
      <w:r>
        <w:t>FS02-C05: Regional, Not Single-Party, Character</w:t>
      </w:r>
    </w:p>
    <w:p>
      <w:pPr>
        <w:pStyle w:val="Normal"/>
      </w:pPr>
      <w:r>
        <w:t>Within the geographic scope of an Adopted FS-02 Schedule Row, qualifying Canadian, Mexican, and United States contribution from each participating Party has equal legal character unless another existing treaty provision independently requires different treatment. The adopted row identifies its Participating Parties / Geographic Scope, and a bilateral row neither alters the treatment owed to the third Party nor devalues otherwise qualifying North American content from that Party under the Agreement. An FS-02 schedule does not prescribe a fixed minimum share for one Party as a condition for earning a regional Enhanced Assurance Benefit, while Party-specific domestic incentives remain subject to their independent legal authorities and count toward a regional FS-02 metric only where the adopted row expressly identifies the measurable contribution for which credit is available. Project-specific or commercially agreed investment locations do not become treaty-wide single-Party localization quotas merely because they are recorded in implementation evidence.</w:t>
      </w:r>
    </w:p>
    <w:p>
      <w:pPr>
        <w:pStyle w:val="ClauseLabel"/>
      </w:pPr>
      <w:r>
        <w:t>FS02-C06: No Penalty for Declining Enhanced Assurance Benefit</w:t>
      </w:r>
    </w:p>
    <w:p>
      <w:pPr>
        <w:pStyle w:val="Normal"/>
      </w:pPr>
      <w:r>
        <w:t>An Assurance Participant, producer, importer, investor, or supplier that remains within ordinary treaty treatment incurs no demerit merely because it does not pursue an Enhanced Assurance Benefit. The absence, expiry, reduction, suspension, or loss of an Enhanced Assurance Benefit does not itself establish breach, circumvention, security risk, or non-originating status. Any adverse action requires an independent legal basis and the evidence and procedure applicable to that basis. FS-02 therefore operates as an earned-benefit architecture rather than a disguised compulsory localization regime.</w:t>
      </w:r>
    </w:p>
    <w:p>
      <w:pPr>
        <w:pStyle w:val="ClauseLabel"/>
      </w:pPr>
      <w:r>
        <w:t>FS02-C07: Optional-in-Law and Optional-in-Practice</w:t>
      </w:r>
    </w:p>
    <w:p>
      <w:pPr>
        <w:pStyle w:val="Normal"/>
      </w:pPr>
      <w:r>
        <w:t>Administration of an Enhanced Assurance Benefit does not materially degrade, delay, burden, or render commercially impracticable the ordinary treaty treatment available to a person, good, transaction, or facility that does not participate in FS-02. Ordinary administration remains functional and timely when compared with reasonably comparable non-FS-02 transactions, taking legitimate differences in risk, documentation, product characteristics, and applicable treaty procedures into account. A Party does not manufacture practical compulsion by shifting ordinary administrative capacity, documentation burdens, inspection intensity, or processing time in a manner designed principally to force participation in an optional assurance program. Evidence of material degradation proceeds under the applicable treaty administration and dispute mechanisms without converting non-participation itself into a breach or risk classification.</w:t>
      </w:r>
    </w:p>
    <w:p>
      <w:pPr>
        <w:pStyle w:val="Heading2"/>
      </w:pPr>
      <w:bookmarkStart w:id="901302" w:name="_Toc300001301"/>
      <w:r>
        <w:t>FS-02.4: Strategic Content Assurance Schedule and Earned Benefits</w:t>
      </w:r>
      <w:bookmarkEnd w:id="901302"/>
    </w:p>
    <w:p>
      <w:pPr>
        <w:pStyle w:val="ClauseLabel"/>
      </w:pPr>
      <w:r>
        <w:t>FS02-D01: Schedule as the Operative Bargain</w:t>
      </w:r>
    </w:p>
    <w:p>
      <w:pPr>
        <w:pStyle w:val="Normal"/>
        <w:spacing w:before="0" w:after="0"/>
        <w:widowControl w:val="1"/>
      </w:pPr>
      <w:r>
        <w:t>An Adopted FS-02 Schedule Row is the exclusive instrument for activating a sector-specific enhanced assurance bargain under this Protocol, and its controlled Adoption Status is Development (non-operative draft, including DRAFT: VERIFY BEFORE LEGAL SCRUB), Adopted, or Closed. A Development row, template, bracketed field, draft proposal, incomplete row, negotiating text, or unadopted option has no legal effect, while a Closed row has only the continuing effects expressly preserved by this Protocol or the Agreement; silence preserves the treatment otherwise provided by NAESTMA. Each Adopted FS-02 Schedule Row identifies the eligible sector and covered scope, Verified Resilience Deficiency Record, ordinary origin baseline, Assurance Benchmark, Participant / Transaction Scope, measurement method, evidence source, Enhanced Assurance Benefit, Specific Benefit Legal Authority, Maximum Benefit, review interval, and exit or restoration rule. The Secretariat records the adopted bargain and status changes but does not supply missing commercial, technical, legal, or political terms.</w:t>
      </w:r>
    </w:p>
    <w:p/>
    <w:p>
      <w:pPr>
        <w:pStyle w:val="ClauseLabel"/>
      </w:pPr>
      <w:r>
        <w:t>FS02-D02: Predetermined Earned Benefit</w:t>
      </w:r>
    </w:p>
    <w:p>
      <w:pPr>
        <w:pStyle w:val="Normal"/>
      </w:pPr>
      <w:r>
        <w:t>Every Assurance Benchmark is paired in advance with an Enhanced Assurance Benefit that becomes available when the required evidence demonstrates satisfaction. An Adopted FS-02 Schedule Row activates only a benefit for which it cites the specific independently existing treaty authority and, where necessary, domestic legal authority sufficient to provide that benefit; a generic chapter citation is insufficient where it does not identify the operative authority. The benefit may include customs facilitation, reduced verification frequency, trusted-lane treatment, procurement or qualification eligibility, financing coordination, infrastructure facilitation, reserve access, technical qualification support, or another benefit only to the extent the cited authority permits it. An Enhanced Assurance Benefit does not include a new tariff preference, tariff penalty, embargo, procurement exclusion, sanctions measure, or investment restriction unless another provision independently authorizes that treatment and the adopted row expressly invokes it.</w:t>
      </w:r>
    </w:p>
    <w:p>
      <w:pPr>
        <w:pStyle w:val="ClauseLabel"/>
      </w:pPr>
      <w:r>
        <w:t>FS02-D03: Graduated Credit and Partial Performance</w:t>
      </w:r>
    </w:p>
    <w:p>
      <w:pPr>
        <w:pStyle w:val="Normal"/>
      </w:pPr>
      <w:r>
        <w:t>Where technically feasible, the Adopted FS-02 Schedule Row uses graduated credit for measurable partial performance rather than an all-or-nothing threshold. The adopted formula identifies the measurement period, evidentiary tolerance, treatment of temporary production interruption, method for correcting verified data error, and any graduated benefit formula; where no graduated formula is expressly adopted, an administrator does not invent or interpolate a partial Enhanced Assurance Benefit. Partial performance earns only the corresponding portion or level expressly established by the adopted formula, and performance above the Assurance Benchmark does not enlarge the legal benefit beyond the Maximum Benefit stated in the adopted row without formal amendment. A cliff threshold may be used only where the underlying technical, security, qualification, or operational function genuinely cannot be divided.</w:t>
      </w:r>
    </w:p>
    <w:p>
      <w:pPr>
        <w:pStyle w:val="ClauseLabel"/>
      </w:pPr>
      <w:r>
        <w:t>FS02-D04: No Double Counting</w:t>
      </w:r>
    </w:p>
    <w:p>
      <w:pPr>
        <w:pStyle w:val="Normal"/>
      </w:pPr>
      <w:r>
        <w:t>The same unit of production, investment, capacity, recycled material, strategic component, qualification, or other Assurance Contribution is not counted twice toward the same Assurance Benchmark unless the Adopted FS-02 Schedule Row expressly identifies distinct functions served by that contribution. A contribution may satisfy separate treaty programs only where each program's eligibility rules independently permit it, but the same physical investment or capacity addition is not represented as two physically distinct additions to continental capacity. The verification record identifies material overlaps with TNAO, Chapter 37 incentives, Chapter 59 enhanced integration, or other relevant programs. Administrative reuse of the same evidence is encouraged even when legal credit remains separately calculated.</w:t>
      </w:r>
    </w:p>
    <w:p>
      <w:pPr>
        <w:pStyle w:val="ClauseLabel"/>
      </w:pPr>
      <w:r>
        <w:t>FS02-D05: Existing-Institution-First Administration</w:t>
      </w:r>
    </w:p>
    <w:p>
      <w:pPr>
        <w:pStyle w:val="Normal"/>
      </w:pPr>
      <w:r>
        <w:t>FS-02 is administered through existing NAESTMA institutions, registries, verification systems, and technical bodies to the maximum extent practicable. A Party or Secretariat office does not require resubmission of information already available in an authoritative treaty record unless the information is stale, incomplete, legally unavailable for the new purpose, or materially disputed. The Schedule identifies the responsible existing body for each evidence stream and benefit. No permanent new committee is created merely to administer an FS-02 row.</w:t>
      </w:r>
    </w:p>
    <w:p>
      <w:pPr>
        <w:pStyle w:val="ClauseLabel"/>
      </w:pPr>
      <w:r>
        <w:t>FS02-D06: No Unwritten Benchmark Escalation</w:t>
      </w:r>
    </w:p>
    <w:p>
      <w:pPr>
        <w:pStyle w:val="Normal"/>
      </w:pPr>
      <w:r>
        <w:t>An adopted Assurance Benchmark changes only through the amendment, review, or adjustment procedure expressly identified in the Adopted FS-02 Schedule Row and otherwise permitted by NAESTMA. Guidance, technical notes, customs practice, procurement instructions, or verifier methodology do not increase the substantive Assurance Benchmark. A technical correction may clarify measurement without increasing the negotiated burden, reducing the Enhanced Assurance Benefit, changing the Maximum Benefit, or altering Participant / Transaction Scope. Material changes require the same level of Party approval required for adoption of the affected Adopted FS-02 Schedule Row.</w:t>
      </w:r>
    </w:p>
    <w:p>
      <w:pPr>
        <w:pStyle w:val="Heading2"/>
      </w:pPr>
      <w:bookmarkStart w:id="901303" w:name="_Toc300001302"/>
      <w:r>
        <w:t>FS-02.5: Verification, TNAO, Trusted External Sources, and Anti-Circumvention</w:t>
      </w:r>
      <w:bookmarkEnd w:id="901303"/>
    </w:p>
    <w:p>
      <w:pPr>
        <w:pStyle w:val="ClauseLabel"/>
      </w:pPr>
      <w:r>
        <w:t>FS02-E01: TNAO as an Existing Assurance Pathway</w:t>
      </w:r>
    </w:p>
    <w:p>
      <w:pPr>
        <w:pStyle w:val="Normal"/>
      </w:pPr>
      <w:r>
        <w:t>Trusted North American Origin under Article 36.6 remains an existing assurance pathway and is not duplicated by FS-02. Where TNAO evidence satisfies all or part of an Assurance Benchmark, the Adopted FS-02 Schedule Row identifies the precise evidence or criterion that may be reused. TNAO may be required for a particular Enhanced Assurance Benefit only where its criteria are functionally relevant to that benefit, and FS-02 does not lower TNAO standards, expand TNAO legal effects, or require TNAO status for Ordinary-Origin Treatment. Loss or absence of TNAO status affects an Enhanced Assurance Benefit only to the extent expressly stated in the adopted row.</w:t>
      </w:r>
    </w:p>
    <w:p>
      <w:pPr>
        <w:pStyle w:val="ClauseLabel"/>
      </w:pPr>
      <w:r>
        <w:t>FS02-E02: Trusted Strategic Materials Source Firewall</w:t>
      </w:r>
    </w:p>
    <w:p>
      <w:pPr>
        <w:pStyle w:val="Normal"/>
      </w:pPr>
      <w:r>
        <w:t>Trusted Strategic Materials Source treatment under Article 37.6A and related provisions remains available according to its existing criteria and legal effect. Use of a qualifying trusted non-Party source does not by itself constitute circumvention, prohibited dependency, or failure of an FS-02 assurance obligation, and trusted-source status does not create an irrebuttable presumption against transaction-specific evidence of fraud, sanctions violations, forced labor, cybersecurity compromise, origin misconduct, or another independently actionable risk. Transaction-specific adverse evidence affects only the implicated transaction, supplier, facility, material, or other evidentially supported scope unless the controlling authority independently supports broader treatment, and such material receives no originating credit unless Chapter 4 independently permits that credit. An Adopted FS-02 Schedule Row may recognize trusted external sourcing as a resilience factor where the Verified Resilience Deficiency Record concerns concentration, unavailable technical grade, certification, form, quantity, or delivery time.</w:t>
      </w:r>
    </w:p>
    <w:p>
      <w:pPr>
        <w:pStyle w:val="ClauseLabel"/>
      </w:pPr>
      <w:r>
        <w:t>FS02-E03: Anti-Circumvention Interface</w:t>
      </w:r>
    </w:p>
    <w:p>
      <w:pPr>
        <w:pStyle w:val="Normal"/>
      </w:pPr>
      <w:r>
        <w:t>Article 36.5 and the applicable origin-verification provisions govern transshipment, minimal processing, false origin claims, routing, relabelling, and other circumvention concerns relevant to FS-02. FS-02 creates no broader presumption of evasion based on foreign content or foreign ownership. Where evidence identifies a particular producer, facility, shipment, product flow, or source as the locus of the problem, verification and corrective action remain targeted to that locus unless broader treatment is independently justified. Legitimate transformation and lawful use of non-originating inputs remain protected according to the Agreement.</w:t>
      </w:r>
    </w:p>
    <w:p>
      <w:pPr>
        <w:pStyle w:val="ClauseLabel"/>
      </w:pPr>
      <w:r>
        <w:t>FS02-E04: Cothrom Verification and Cure</w:t>
      </w:r>
    </w:p>
    <w:p>
      <w:pPr>
        <w:pStyle w:val="Normal"/>
      </w:pPr>
      <w:r>
        <w:t>The applicable Chapter 35 and Cothrom verification, evidence, cure, proportionality, containment, and restoration architecture governs a material allegation concerning an FS-02 Assurance Benchmark in full. FS-02 creates no separate evidentiary burden, cure ladder, remedy ladder, restoration process, or independent authority to withdraw Ordinary-Origin Treatment. The Adopted FS-02 Schedule Row identifies only the disputed Assurance Benchmark, Assurance Contribution, Participant / Transaction Scope, and Enhanced Assurance Benefit to which the existing process applies. Unrelated sectors, participants, facilities, products, transactions, and treaty benefits remain outside the dispute unless an independent legal basis applies.</w:t>
      </w:r>
    </w:p>
    <w:p>
      <w:pPr>
        <w:pStyle w:val="ClauseLabel"/>
      </w:pPr>
      <w:r>
        <w:t>FS02-E05: Data Minimization and Commercial Confidentiality</w:t>
      </w:r>
    </w:p>
    <w:p>
      <w:pPr>
        <w:pStyle w:val="Normal"/>
      </w:pPr>
      <w:r>
        <w:t>Verification requests are limited to information reasonably necessary to establish the relevant origin, Assurance Contribution, source status, traceability, capacity, qualification, or Enhanced Assurance Benefit criterion. Existing Chapter 35 and other applicable confidentiality, national-custody, business-information, cybersecurity, and retention safeguards apply to FS-02 records. A verifier does not require disclosure of unrelated supplier lists, pricing, intellectual property, production methods, or commercial strategy merely because an Assurance Participant seeks an Enhanced Assurance Benefit. Aggregated or independently attested evidence may be accepted where the verifier establishes the required criterion with sufficient reliability without exposing unnecessary confidential information.</w:t>
      </w:r>
    </w:p>
    <w:p>
      <w:pPr>
        <w:pStyle w:val="ClauseLabel"/>
      </w:pPr>
      <w:r>
        <w:t>FS02-E06: Continuity During Technical Review</w:t>
      </w:r>
    </w:p>
    <w:p>
      <w:pPr>
        <w:pStyle w:val="Normal"/>
      </w:pPr>
      <w:r>
        <w:t>A good or participant does not lose ordinary treaty treatment merely because an FS-02 Enhanced Assurance Benefit review is pending. Where credible evidence creates a material question about entitlement to an Enhanced Assurance Benefit, the administering authority may use only the narrowest temporary hold, reserve, or provisional treatment already authorized by the Agreement while verification proceeds. The temporary measure expires according to the duration, review, renewal, and aggregation rules of the controlling authority, and FS-02 does not extend, reset, or renew that period. Verified entitlement triggers prompt restoration of the affected Enhanced Assurance Benefit and correction of the administrative record.</w:t>
      </w:r>
    </w:p>
    <w:p>
      <w:pPr>
        <w:pStyle w:val="Heading2"/>
      </w:pPr>
      <w:bookmarkStart w:id="901304" w:name="_Toc300001303"/>
      <w:r>
        <w:t>FS-02.6: Anti-Abuse, Review, Exit, and Restoration</w:t>
      </w:r>
      <w:bookmarkEnd w:id="901304"/>
    </w:p>
    <w:p>
      <w:pPr>
        <w:pStyle w:val="ClauseLabel"/>
      </w:pPr>
      <w:r>
        <w:t>FS02-F01: No Nationality Proxy</w:t>
      </w:r>
    </w:p>
    <w:p>
      <w:pPr>
        <w:pStyle w:val="Normal"/>
      </w:pPr>
      <w:r>
        <w:t>An FS-02 criterion is not administered through a proxy that reproduces nationality-based exclusion while avoiding nationality-based wording. Evidence that a relevant risk is concentrated in a particular jurisdiction may be considered where the evidence establishes the underlying functional risk, but jurisdictional correlation alone does not establish that the jurisdiction, nationality, ownership form, or economic model causes or proves that risk. A criterion tied to ownership, financing source, corporate form, technology origin, state participation, diplomatic relationship, or jurisdictional label requires a functionally relevant evidentiary nexus where it produces adverse treatment. Neutral technical, security, integrity, labor, environmental, sanctions, export-control, forced-labor, and supply-reliability criteria remain available where otherwise lawful and proportionate to the verified risk or deficiency they address.</w:t>
      </w:r>
    </w:p>
    <w:p>
      <w:pPr>
        <w:pStyle w:val="ClauseLabel"/>
      </w:pPr>
      <w:r>
        <w:t>FS02-F02: No Automatic Reshoring Rule</w:t>
      </w:r>
    </w:p>
    <w:p>
      <w:pPr>
        <w:pStyle w:val="Normal"/>
      </w:pPr>
      <w:r>
        <w:t>FS-02 does not establish automatic reshoring, autarky, or exclusive North American sourcing as the default response to a resilience deficiency. The Schedule may reward additional North American capacity where the evidence shows that such capacity materially improves resilience, but it also recognizes diversification, trusted external sourcing, recycling, substitution, stockpiling, qualification, and redundancy where those tools address the deficiency. The selected response reflects technical and commercial reality rather than geography alone. Nothing prevents a Party from pursuing lawful domestic industrial policy outside FS-02 consistent with its treaty obligations.</w:t>
      </w:r>
    </w:p>
    <w:p>
      <w:pPr>
        <w:pStyle w:val="ClauseLabel"/>
      </w:pPr>
      <w:r>
        <w:t>FS02-F03: No Permanent Emergency by Reclassification</w:t>
      </w:r>
    </w:p>
    <w:p>
      <w:pPr>
        <w:pStyle w:val="Normal"/>
      </w:pPr>
      <w:r>
        <w:t>A temporary shortage, disruption, emergency, or high-risk finding does not become permanent merely through repeated relabelling, successive substantially similar findings, or movement between administrative categories. Review identifies whether the factual basis materially changed and whether ordinary treatment resumes, and substantially identical successive findings are aggregated where the controlling underlying provision requires aggregation. Where another chapter imposes a specific duration, renewal, aggregation, or review rule, FS-02 does not reset or extend that clock. An expired FS-02 deficiency finding does not revive without the evidence and procedure required for a new or renewed finding.</w:t>
      </w:r>
    </w:p>
    <w:p>
      <w:pPr>
        <w:pStyle w:val="ClauseLabel"/>
      </w:pPr>
      <w:r>
        <w:t>FS02-F04: Benefit Withdrawal and Automatic Restoration</w:t>
      </w:r>
    </w:p>
    <w:p>
      <w:pPr>
        <w:pStyle w:val="Normal"/>
      </w:pPr>
      <w:r>
        <w:t>Withdrawal, reduction, or suspension of an Enhanced Assurance Benefit is limited to the benefit connected to the verified failure unless another treaty provision independently authorizes broader action. Cure restores the affected Enhanced Assurance Benefit automatically according to the applicable Cothrom and Adopted FS-02 Schedule Row rules without requiring a new political bargain. The administering authority records the restoration date, evidence relied upon, and any corrected Assurance Contribution value. Restoration of an Enhanced Assurance Benefit does not prejudice separate proceedings based on independently established conduct.</w:t>
      </w:r>
    </w:p>
    <w:p>
      <w:pPr>
        <w:pStyle w:val="ClauseLabel"/>
      </w:pPr>
      <w:r>
        <w:t>FS02-F05: Cross-Sector Firewall</w:t>
      </w:r>
    </w:p>
    <w:p>
      <w:pPr>
        <w:pStyle w:val="Normal"/>
      </w:pPr>
      <w:r>
        <w:t>Failure to satisfy an Assurance Benchmark in one sector does not suspend an Enhanced Assurance Benefit in another sector, interrupt strategically essential material flows, or impair Ordinary-Origin Treatment in unrelated goods. Cross-sector linkage exists only where the Adopted FS-02 Schedule Row expressly identifies the linked bargain, quantified or otherwise defined reciprocal value, verification method, and proportionate consequence. Even then, Chapter 35 and Cothrom control cure, proportionality, containment, and restoration. FS-02 itself creates no economy-wide retaliation, tariff, embargo, or procurement-exclusion authority.</w:t>
      </w:r>
    </w:p>
    <w:p>
      <w:pPr>
        <w:pStyle w:val="ClauseLabel"/>
      </w:pPr>
      <w:r>
        <w:t>FS02-F06: Completion and Administrative Closure</w:t>
      </w:r>
    </w:p>
    <w:p>
      <w:pPr>
        <w:pStyle w:val="Normal"/>
      </w:pPr>
      <w:r>
        <w:t>An Adopted FS-02 Schedule Row reaches administrative closure when its Verified Resilience Deficiency Record has been cured or retired, all accrued Enhanced Assurance Benefit and correction obligations have been completed, and no unresolved verification matter material to closure, accrued benefits, or outstanding corrective obligations remains. The Secretariat records closure as an evidentiary administrative act and does not postpone a legal consequence that otherwise occurs automatically under the Agreement. Closure preserves records needed for audit, accrued rights, pending disputes, and prevention of double counting while ending unnecessary recurring reporting. A closed row may be reopened only through the procedure and evidentiary threshold applicable to a new or renewed FS-02 bargain.</w:t>
      </w:r>
    </w:p>
    <w:p>
      <w:pPr>
        <w:pStyle w:val="Heading2"/>
      </w:pPr>
      <w:bookmarkStart w:id="901305" w:name="_Toc300001304"/>
      <w:r>
        <w:t>SCHEDULE FS-02-A: STRATEGIC CONTENT ASSURANCE AND RESILIENCE COMMITMENTS, DEVELOPMENT TEMPLATE: NON-OPERATIVE UNTIL ADOPTED</w:t>
      </w:r>
      <w:bookmarkEnd w:id="901305"/>
    </w:p>
    <w:p>
      <w:pPr>
        <w:pStyle w:val="Normal"/>
      </w:pPr>
      <w:r>
        <w:t>This Schedule becomes operative only through an Adopted FS-02 Schedule Row completed and expressly adopted by the participating Parties. Blank fields, templates, bracketed choices, draft proposals, and incomplete rows are deliberate development controls and have no legal effect. They do not authorize the Secretariat, a verifier, or an implementing authority to invent an Assurance Benchmark, percentage, benefit, legal authority, participant scope, Maximum Benefit, date, quantity, or restriction. Silence preserves the treatment otherwise provided by NAESTMA.</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CellMar>
          <w:top w:w="70" w:type="dxa"/>
          <w:left w:w="100" w:type="dxa"/>
          <w:bottom w:w="70" w:type="dxa"/>
          <w:right w:w="100" w:type="dxa"/>
        </w:tblCellMar>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gridCol w:w="1339"/>
      </w:tblGrid>
      <w:tr>
        <w:tc>
          <w:tcPr>
            <w:tcW w:type="dxa" w:w="828"/>
            <w:shd w:fill="ECEFF1" w:val="clear" w:color="auto"/>
            <w:vAlign w:val="top"/>
          </w:tcPr>
          <w:p>
            <w:pPr>
              <w:pStyle w:val="TableText"/>
            </w:pPr>
            <w:r>
              <w:rPr>
                <w:b/>
              </w:rPr>
              <w:t>Adoption Status</w:t>
            </w:r>
          </w:p>
        </w:tc>
        <w:tc>
          <w:tcPr>
            <w:tcW w:type="dxa" w:w="828"/>
            <w:shd w:fill="ECEFF1" w:val="clear" w:color="auto"/>
            <w:vAlign w:val="top"/>
          </w:tcPr>
          <w:p>
            <w:pPr>
              <w:pStyle w:val="TableText"/>
            </w:pPr>
            <w:r>
              <w:rPr>
                <w:b/>
              </w:rPr>
              <w:t>Sector / scope</w:t>
            </w:r>
          </w:p>
        </w:tc>
        <w:tc>
          <w:tcPr>
            <w:tcW w:type="dxa" w:w="828"/>
            <w:shd w:fill="ECEFF1" w:val="clear" w:color="auto"/>
            <w:vAlign w:val="top"/>
          </w:tcPr>
          <w:p>
            <w:pPr>
              <w:pStyle w:val="TableText"/>
            </w:pPr>
            <w:r>
              <w:rPr>
                <w:b/>
              </w:rPr>
              <w:t>36.4 basis</w:t>
            </w:r>
          </w:p>
        </w:tc>
        <w:tc>
          <w:tcPr>
            <w:tcW w:type="dxa" w:w="828"/>
            <w:shd w:fill="ECEFF1" w:val="clear" w:color="auto"/>
            <w:vAlign w:val="top"/>
          </w:tcPr>
          <w:p>
            <w:pPr>
              <w:pStyle w:val="TableText"/>
            </w:pPr>
            <w:r>
              <w:rPr>
                <w:b/>
              </w:rPr>
              <w:t>Verified deficiency</w:t>
            </w:r>
          </w:p>
        </w:tc>
        <w:tc>
          <w:tcPr>
            <w:tcW w:type="dxa" w:w="828"/>
            <w:shd w:fill="ECEFF1" w:val="clear" w:color="auto"/>
            <w:vAlign w:val="top"/>
          </w:tcPr>
          <w:p>
            <w:pPr>
              <w:pStyle w:val="TableText"/>
            </w:pPr>
            <w:r>
              <w:rPr>
                <w:b/>
              </w:rPr>
              <w:t>Origin baseline</w:t>
            </w:r>
          </w:p>
        </w:tc>
        <w:tc>
          <w:tcPr>
            <w:tcW w:type="dxa" w:w="828"/>
            <w:shd w:fill="ECEFF1" w:val="clear" w:color="auto"/>
            <w:vAlign w:val="top"/>
          </w:tcPr>
          <w:p>
            <w:pPr>
              <w:pStyle w:val="TableText"/>
            </w:pPr>
            <w:r>
              <w:rPr>
                <w:b/>
              </w:rPr>
              <w:t>Assurance benchmark</w:t>
            </w:r>
          </w:p>
        </w:tc>
        <w:tc>
          <w:tcPr>
            <w:tcW w:type="dxa" w:w="828"/>
            <w:shd w:fill="ECEFF1" w:val="clear" w:color="auto"/>
            <w:vAlign w:val="top"/>
          </w:tcPr>
          <w:p>
            <w:pPr>
              <w:pStyle w:val="TableText"/>
            </w:pPr>
            <w:r>
              <w:rPr>
                <w:b/>
              </w:rPr>
              <w:t>Participant / Transaction Scope</w:t>
            </w:r>
          </w:p>
        </w:tc>
        <w:tc>
          <w:tcPr>
            <w:tcW w:type="dxa" w:w="828"/>
            <w:shd w:fill="ECEFF1" w:val="clear" w:color="auto"/>
            <w:vAlign w:val="top"/>
          </w:tcPr>
          <w:p>
            <w:pPr>
              <w:pStyle w:val="TableText"/>
            </w:pPr>
            <w:r>
              <w:rPr>
                <w:b/>
              </w:rPr>
              <w:t>Evidence / method</w:t>
            </w:r>
          </w:p>
        </w:tc>
        <w:tc>
          <w:tcPr>
            <w:tcW w:type="dxa" w:w="828"/>
            <w:shd w:fill="ECEFF1" w:val="clear" w:color="auto"/>
            <w:vAlign w:val="top"/>
          </w:tcPr>
          <w:p>
            <w:pPr>
              <w:pStyle w:val="TableText"/>
            </w:pPr>
            <w:r>
              <w:rPr>
                <w:b/>
              </w:rPr>
              <w:t>Enhanced Assurance Benefit</w:t>
            </w:r>
          </w:p>
        </w:tc>
        <w:tc>
          <w:tcPr>
            <w:tcW w:type="dxa" w:w="828"/>
            <w:shd w:fill="ECEFF1" w:val="clear" w:color="auto"/>
            <w:vAlign w:val="top"/>
          </w:tcPr>
          <w:p>
            <w:pPr>
              <w:pStyle w:val="TableText"/>
            </w:pPr>
            <w:r>
              <w:rPr>
                <w:b/>
              </w:rPr>
              <w:t>Specific Benefit Legal Authority</w:t>
            </w:r>
          </w:p>
        </w:tc>
        <w:tc>
          <w:tcPr>
            <w:tcW w:type="dxa" w:w="828"/>
            <w:shd w:fill="ECEFF1" w:val="clear" w:color="auto"/>
            <w:vAlign w:val="top"/>
          </w:tcPr>
          <w:p>
            <w:pPr>
              <w:pStyle w:val="TableText"/>
            </w:pPr>
            <w:r>
              <w:rPr>
                <w:b/>
              </w:rPr>
              <w:t>Maximum Benefit</w:t>
            </w:r>
          </w:p>
        </w:tc>
        <w:tc>
          <w:tcPr>
            <w:tcW w:type="dxa" w:w="828"/>
            <w:shd w:fill="ECEFF1" w:val="clear" w:color="auto"/>
            <w:vAlign w:val="top"/>
          </w:tcPr>
          <w:p>
            <w:pPr>
              <w:pStyle w:val="TableText"/>
            </w:pPr>
            <w:r>
              <w:rPr>
                <w:b/>
              </w:rPr>
              <w:t>Review / exit</w:t>
            </w:r>
          </w:p>
        </w:tc>
        <w:tc>
          <w:tcPr>
            <w:tcW w:type="dxa" w:w="1339"/>
          </w:tcPr>
          <w:p>
            <w:pPr>
              <w:pStyle w:val="TableText"/>
            </w:pPr>
            <w:r>
              <w:t>Parties / Scope</w:t>
            </w:r>
          </w:p>
        </w:tc>
      </w:tr>
      <w:tr>
        <w:tc>
          <w:tcPr>
            <w:tcW w:type="dxa" w:w="828"/>
            <w:vAlign w:val="top"/>
          </w:tcPr>
          <w:p>
            <w:pPr>
              <w:pStyle w:val="TableText"/>
            </w:pPr>
            <w:r>
              <w:rPr/>
              <w:t>DRAFT: VERIFY BEFORE LEGAL SCRUB</w:t>
            </w:r>
          </w:p>
        </w:tc>
        <w:tc>
          <w:tcPr>
            <w:tcW w:type="dxa" w:w="828"/>
            <w:vAlign w:val="top"/>
          </w:tcPr>
          <w:p>
            <w:pPr>
              <w:pStyle w:val="TableText"/>
            </w:pPr>
            <w:r>
              <w:rPr>
                <w:b w:val="0"/>
              </w:rPr>
              <w:t>[To be adopted]</w:t>
            </w:r>
          </w:p>
        </w:tc>
        <w:tc>
          <w:tcPr>
            <w:tcW w:type="dxa" w:w="828"/>
            <w:vAlign w:val="top"/>
          </w:tcPr>
          <w:p>
            <w:pPr>
              <w:pStyle w:val="TableText"/>
            </w:pPr>
            <w:r>
              <w:rPr>
                <w:b w:val="0"/>
              </w:rPr>
              <w:t>[Existing 36.4 designation]</w:t>
            </w:r>
          </w:p>
        </w:tc>
        <w:tc>
          <w:tcPr>
            <w:tcW w:type="dxa" w:w="828"/>
            <w:vAlign w:val="top"/>
          </w:tcPr>
          <w:p>
            <w:pPr>
              <w:pStyle w:val="TableText"/>
            </w:pPr>
            <w:r>
              <w:rPr>
                <w:b w:val="0"/>
              </w:rPr>
              <w:t>[Evidence record required]</w:t>
            </w:r>
          </w:p>
        </w:tc>
        <w:tc>
          <w:tcPr>
            <w:tcW w:type="dxa" w:w="828"/>
            <w:vAlign w:val="top"/>
          </w:tcPr>
          <w:p>
            <w:pPr>
              <w:pStyle w:val="TableText"/>
            </w:pPr>
            <w:r>
              <w:rPr>
                <w:b w:val="0"/>
              </w:rPr>
              <w:t>[Chapter 4 / applicable rule]</w:t>
            </w:r>
          </w:p>
        </w:tc>
        <w:tc>
          <w:tcPr>
            <w:tcW w:type="dxa" w:w="828"/>
            <w:vAlign w:val="top"/>
          </w:tcPr>
          <w:p>
            <w:pPr>
              <w:pStyle w:val="TableText"/>
            </w:pPr>
            <w:r>
              <w:rPr>
                <w:b w:val="0"/>
              </w:rPr>
              <w:t>[Negotiated Assurance Benchmark; no value inserted]</w:t>
            </w:r>
          </w:p>
        </w:tc>
        <w:tc>
          <w:tcPr>
            <w:tcW w:type="dxa" w:w="828"/>
            <w:vAlign w:val="top"/>
          </w:tcPr>
          <w:p>
            <w:pPr>
              <w:pStyle w:val="TableText"/>
            </w:pPr>
            <w:r>
              <w:rPr>
                <w:b w:val="0"/>
              </w:rPr>
              <w:t>[Specify participant / transaction scope]</w:t>
            </w:r>
          </w:p>
        </w:tc>
        <w:tc>
          <w:tcPr>
            <w:tcW w:type="dxa" w:w="828"/>
            <w:vAlign w:val="top"/>
          </w:tcPr>
          <w:p>
            <w:pPr>
              <w:pStyle w:val="TableText"/>
            </w:pPr>
            <w:r>
              <w:rPr>
                <w:b w:val="0"/>
              </w:rPr>
              <w:t>[Existing treaty source / adopted method]</w:t>
            </w:r>
          </w:p>
        </w:tc>
        <w:tc>
          <w:tcPr>
            <w:tcW w:type="dxa" w:w="828"/>
            <w:vAlign w:val="top"/>
          </w:tcPr>
          <w:p>
            <w:pPr>
              <w:pStyle w:val="TableText"/>
            </w:pPr>
            <w:r>
              <w:rPr>
                <w:b w:val="0"/>
              </w:rPr>
              <w:t>[Authorized benefit only]</w:t>
            </w:r>
          </w:p>
        </w:tc>
        <w:tc>
          <w:tcPr>
            <w:tcW w:type="dxa" w:w="828"/>
            <w:vAlign w:val="top"/>
          </w:tcPr>
          <w:p>
            <w:pPr>
              <w:pStyle w:val="TableText"/>
            </w:pPr>
            <w:r>
              <w:rPr>
                <w:b w:val="0"/>
              </w:rPr>
              <w:t>[Cite specific operative treaty authority and any required domestic authority]</w:t>
            </w:r>
          </w:p>
        </w:tc>
        <w:tc>
          <w:tcPr>
            <w:tcW w:type="dxa" w:w="828"/>
            <w:vAlign w:val="top"/>
          </w:tcPr>
          <w:p>
            <w:pPr>
              <w:pStyle w:val="TableText"/>
            </w:pPr>
            <w:r>
              <w:rPr>
                <w:b w:val="0"/>
              </w:rPr>
              <w:t>[Specify ceiling]</w:t>
            </w:r>
          </w:p>
        </w:tc>
        <w:tc>
          <w:tcPr>
            <w:tcW w:type="dxa" w:w="828"/>
            <w:vAlign w:val="top"/>
          </w:tcPr>
          <w:p>
            <w:pPr>
              <w:pStyle w:val="TableText"/>
            </w:pPr>
            <w:r>
              <w:rPr>
                <w:b w:val="0"/>
              </w:rPr>
              <w:t>[Interval + cure/retirement rule]</w:t>
            </w:r>
          </w:p>
        </w:tc>
        <w:tc>
          <w:tcPr>
            <w:tcW w:type="dxa" w:w="1339"/>
          </w:tcPr>
          <w:p>
            <w:pPr>
              <w:pStyle w:val="TableText"/>
            </w:pPr>
            <w:r>
              <w:t>[CA / US / MX pair or trilateral scope]</w:t>
            </w:r>
          </w:p>
        </w:tc>
      </w:tr>
      <w:tr>
        <w:tc>
          <w:tcPr>
            <w:tcW w:type="dxa" w:w="828"/>
            <w:vAlign w:val="top"/>
          </w:tcPr>
          <w:p>
            <w:pPr>
              <w:pStyle w:val="TableText"/>
            </w:pPr>
            <w:r>
              <w:rPr/>
              <w:t>DRAFT: VERIFY BEFORE LEGAL SCRUB</w:t>
            </w:r>
          </w:p>
        </w:tc>
        <w:tc>
          <w:tcPr>
            <w:tcW w:type="dxa" w:w="828"/>
            <w:vAlign w:val="top"/>
          </w:tcPr>
          <w:p>
            <w:pPr>
              <w:pStyle w:val="TableText"/>
            </w:pPr>
            <w:r>
              <w:rPr>
                <w:b w:val="0"/>
              </w:rPr>
              <w:t>Automotive / strategic components</w:t>
            </w:r>
          </w:p>
        </w:tc>
        <w:tc>
          <w:tcPr>
            <w:tcW w:type="dxa" w:w="828"/>
            <w:vAlign w:val="top"/>
          </w:tcPr>
          <w:p>
            <w:pPr>
              <w:pStyle w:val="TableText"/>
            </w:pPr>
            <w:r>
              <w:rPr>
                <w:b w:val="0"/>
              </w:rPr>
              <w:t>Automotive goods / related strategic sector</w:t>
            </w:r>
          </w:p>
        </w:tc>
        <w:tc>
          <w:tcPr>
            <w:tcW w:type="dxa" w:w="828"/>
            <w:vAlign w:val="top"/>
          </w:tcPr>
          <w:p>
            <w:pPr>
              <w:pStyle w:val="TableText"/>
            </w:pPr>
            <w:r>
              <w:rPr>
                <w:b w:val="0"/>
              </w:rPr>
              <w:t>[Specify actual deficiency]</w:t>
            </w:r>
          </w:p>
        </w:tc>
        <w:tc>
          <w:tcPr>
            <w:tcW w:type="dxa" w:w="828"/>
            <w:vAlign w:val="top"/>
          </w:tcPr>
          <w:p>
            <w:pPr>
              <w:pStyle w:val="TableText"/>
            </w:pPr>
            <w:r>
              <w:rPr>
                <w:b w:val="0"/>
              </w:rPr>
              <w:t>Chapter 4 + Annex 4-E as applicable</w:t>
            </w:r>
          </w:p>
        </w:tc>
        <w:tc>
          <w:tcPr>
            <w:tcW w:type="dxa" w:w="828"/>
            <w:vAlign w:val="top"/>
          </w:tcPr>
          <w:p>
            <w:pPr>
              <w:pStyle w:val="TableText"/>
            </w:pPr>
            <w:r>
              <w:rPr>
                <w:b w:val="0"/>
              </w:rPr>
              <w:t>[Optional regional Assurance Contribution]</w:t>
            </w:r>
          </w:p>
        </w:tc>
        <w:tc>
          <w:tcPr>
            <w:tcW w:type="dxa" w:w="828"/>
            <w:vAlign w:val="top"/>
          </w:tcPr>
          <w:p>
            <w:pPr>
              <w:pStyle w:val="TableText"/>
            </w:pPr>
            <w:r>
              <w:rPr>
                <w:b w:val="0"/>
              </w:rPr>
              <w:t>[Specify participant / transaction scope]</w:t>
            </w:r>
          </w:p>
        </w:tc>
        <w:tc>
          <w:tcPr>
            <w:tcW w:type="dxa" w:w="828"/>
            <w:vAlign w:val="top"/>
          </w:tcPr>
          <w:p>
            <w:pPr>
              <w:pStyle w:val="TableText"/>
            </w:pPr>
            <w:r>
              <w:rPr>
                <w:b w:val="0"/>
              </w:rPr>
              <w:t>Chs. 4/5; Ch. 59; TNAO if used</w:t>
            </w:r>
          </w:p>
        </w:tc>
        <w:tc>
          <w:tcPr>
            <w:tcW w:type="dxa" w:w="828"/>
            <w:vAlign w:val="top"/>
          </w:tcPr>
          <w:p>
            <w:pPr>
              <w:pStyle w:val="TableText"/>
            </w:pPr>
            <w:r>
              <w:rPr>
                <w:b w:val="0"/>
              </w:rPr>
              <w:t>[Specify adopted incremental benefit]</w:t>
            </w:r>
          </w:p>
        </w:tc>
        <w:tc>
          <w:tcPr>
            <w:tcW w:type="dxa" w:w="828"/>
            <w:vAlign w:val="top"/>
          </w:tcPr>
          <w:p>
            <w:pPr>
              <w:pStyle w:val="TableText"/>
            </w:pPr>
            <w:r>
              <w:rPr>
                <w:b w:val="0"/>
              </w:rPr>
              <w:t>[Cite specific operative treaty authority and any required domestic authority]</w:t>
            </w:r>
          </w:p>
        </w:tc>
        <w:tc>
          <w:tcPr>
            <w:tcW w:type="dxa" w:w="828"/>
            <w:vAlign w:val="top"/>
          </w:tcPr>
          <w:p>
            <w:pPr>
              <w:pStyle w:val="TableText"/>
            </w:pPr>
            <w:r>
              <w:rPr>
                <w:b w:val="0"/>
              </w:rPr>
              <w:t>[Specify ceiling]</w:t>
            </w:r>
          </w:p>
        </w:tc>
        <w:tc>
          <w:tcPr>
            <w:tcW w:type="dxa" w:w="828"/>
            <w:vAlign w:val="top"/>
          </w:tcPr>
          <w:p>
            <w:pPr>
              <w:pStyle w:val="TableText"/>
            </w:pPr>
            <w:r>
              <w:rPr>
                <w:b w:val="0"/>
              </w:rPr>
              <w:t>[Specify review; no loss of ordinary origin]</w:t>
            </w:r>
          </w:p>
        </w:tc>
        <w:tc>
          <w:tcPr>
            <w:tcW w:type="dxa" w:w="1339"/>
          </w:tcPr>
          <w:p>
            <w:pPr>
              <w:pStyle w:val="TableText"/>
            </w:pPr>
            <w:r>
              <w:t>[CA / US / MX pair or trilateral scope]</w:t>
            </w:r>
          </w:p>
        </w:tc>
      </w:tr>
      <w:tr>
        <w:tc>
          <w:tcPr>
            <w:tcW w:type="dxa" w:w="828"/>
            <w:vAlign w:val="top"/>
          </w:tcPr>
          <w:p>
            <w:pPr>
              <w:pStyle w:val="TableText"/>
            </w:pPr>
            <w:r>
              <w:rPr/>
              <w:t>DRAFT: VERIFY BEFORE LEGAL SCRUB</w:t>
            </w:r>
          </w:p>
        </w:tc>
        <w:tc>
          <w:tcPr>
            <w:tcW w:type="dxa" w:w="828"/>
            <w:vAlign w:val="top"/>
          </w:tcPr>
          <w:p>
            <w:pPr>
              <w:pStyle w:val="TableText"/>
            </w:pPr>
            <w:r>
              <w:rPr>
                <w:b w:val="0"/>
              </w:rPr>
              <w:t>Critical minerals / strategic materials</w:t>
            </w:r>
          </w:p>
        </w:tc>
        <w:tc>
          <w:tcPr>
            <w:tcW w:type="dxa" w:w="828"/>
            <w:vAlign w:val="top"/>
          </w:tcPr>
          <w:p>
            <w:pPr>
              <w:pStyle w:val="TableText"/>
            </w:pPr>
            <w:r>
              <w:rPr>
                <w:b w:val="0"/>
              </w:rPr>
              <w:t>Critical minerals / batteries / designated materials</w:t>
            </w:r>
          </w:p>
        </w:tc>
        <w:tc>
          <w:tcPr>
            <w:tcW w:type="dxa" w:w="828"/>
            <w:vAlign w:val="top"/>
          </w:tcPr>
          <w:p>
            <w:pPr>
              <w:pStyle w:val="TableText"/>
            </w:pPr>
            <w:r>
              <w:rPr>
                <w:b w:val="0"/>
              </w:rPr>
              <w:t>[Specify concentration, form, processing, qualification, etc.]</w:t>
            </w:r>
          </w:p>
        </w:tc>
        <w:tc>
          <w:tcPr>
            <w:tcW w:type="dxa" w:w="828"/>
            <w:vAlign w:val="top"/>
          </w:tcPr>
          <w:p>
            <w:pPr>
              <w:pStyle w:val="TableText"/>
            </w:pPr>
            <w:r>
              <w:rPr>
                <w:b w:val="0"/>
              </w:rPr>
              <w:t>Chapter 4 as applicable</w:t>
            </w:r>
          </w:p>
        </w:tc>
        <w:tc>
          <w:tcPr>
            <w:tcW w:type="dxa" w:w="828"/>
            <w:vAlign w:val="top"/>
          </w:tcPr>
          <w:p>
            <w:pPr>
              <w:pStyle w:val="TableText"/>
            </w:pPr>
            <w:r>
              <w:rPr>
                <w:b w:val="0"/>
              </w:rPr>
              <w:t>[Optional capacity / processing / continuity Assurance Contribution]</w:t>
            </w:r>
          </w:p>
        </w:tc>
        <w:tc>
          <w:tcPr>
            <w:tcW w:type="dxa" w:w="828"/>
            <w:vAlign w:val="top"/>
          </w:tcPr>
          <w:p>
            <w:pPr>
              <w:pStyle w:val="TableText"/>
            </w:pPr>
            <w:r>
              <w:rPr>
                <w:b w:val="0"/>
              </w:rPr>
              <w:t>[Specify participant / transaction scope]</w:t>
            </w:r>
          </w:p>
        </w:tc>
        <w:tc>
          <w:tcPr>
            <w:tcW w:type="dxa" w:w="828"/>
            <w:vAlign w:val="top"/>
          </w:tcPr>
          <w:p>
            <w:pPr>
              <w:pStyle w:val="TableText"/>
            </w:pPr>
            <w:r>
              <w:rPr>
                <w:b w:val="0"/>
              </w:rPr>
              <w:t>Ch. 37 records; trusted-source evidence where relevant</w:t>
            </w:r>
          </w:p>
        </w:tc>
        <w:tc>
          <w:tcPr>
            <w:tcW w:type="dxa" w:w="828"/>
            <w:vAlign w:val="top"/>
          </w:tcPr>
          <w:p>
            <w:pPr>
              <w:pStyle w:val="TableText"/>
            </w:pPr>
            <w:r>
              <w:rPr>
                <w:b w:val="0"/>
              </w:rPr>
              <w:t>[Specify adopted incremental benefit]</w:t>
            </w:r>
          </w:p>
        </w:tc>
        <w:tc>
          <w:tcPr>
            <w:tcW w:type="dxa" w:w="828"/>
            <w:vAlign w:val="top"/>
          </w:tcPr>
          <w:p>
            <w:pPr>
              <w:pStyle w:val="TableText"/>
            </w:pPr>
            <w:r>
              <w:rPr>
                <w:b w:val="0"/>
              </w:rPr>
              <w:t>[Cite specific operative treaty authority and any required domestic authority]</w:t>
            </w:r>
          </w:p>
        </w:tc>
        <w:tc>
          <w:tcPr>
            <w:tcW w:type="dxa" w:w="828"/>
            <w:vAlign w:val="top"/>
          </w:tcPr>
          <w:p>
            <w:pPr>
              <w:pStyle w:val="TableText"/>
            </w:pPr>
            <w:r>
              <w:rPr>
                <w:b w:val="0"/>
              </w:rPr>
              <w:t>[Specify ceiling]</w:t>
            </w:r>
          </w:p>
        </w:tc>
        <w:tc>
          <w:tcPr>
            <w:tcW w:type="dxa" w:w="828"/>
            <w:vAlign w:val="top"/>
          </w:tcPr>
          <w:p>
            <w:pPr>
              <w:pStyle w:val="TableText"/>
            </w:pPr>
            <w:r>
              <w:rPr>
                <w:b w:val="0"/>
              </w:rPr>
              <w:t>[Specify review and deficiency retirement]</w:t>
            </w:r>
          </w:p>
        </w:tc>
        <w:tc>
          <w:tcPr>
            <w:tcW w:type="dxa" w:w="1339"/>
          </w:tcPr>
          <w:p>
            <w:pPr>
              <w:pStyle w:val="TableText"/>
            </w:pPr>
            <w:r>
              <w:t>[CA / US / MX pair or trilateral scope]</w:t>
            </w:r>
          </w:p>
        </w:tc>
      </w:tr>
      <w:tr>
        <w:tc>
          <w:tcPr>
            <w:tcW w:type="dxa" w:w="828"/>
            <w:vAlign w:val="top"/>
          </w:tcPr>
          <w:p>
            <w:pPr>
              <w:pStyle w:val="TableText"/>
            </w:pPr>
            <w:r>
              <w:rPr/>
              <w:t>DRAFT: VERIFY BEFORE LEGAL SCRUB</w:t>
            </w:r>
          </w:p>
        </w:tc>
        <w:tc>
          <w:tcPr>
            <w:tcW w:type="dxa" w:w="828"/>
            <w:vAlign w:val="top"/>
          </w:tcPr>
          <w:p>
            <w:pPr>
              <w:pStyle w:val="TableText"/>
            </w:pPr>
            <w:r>
              <w:rPr>
                <w:b w:val="0"/>
              </w:rPr>
              <w:t>Semiconductors / advanced electronics</w:t>
            </w:r>
          </w:p>
        </w:tc>
        <w:tc>
          <w:tcPr>
            <w:tcW w:type="dxa" w:w="828"/>
            <w:vAlign w:val="top"/>
          </w:tcPr>
          <w:p>
            <w:pPr>
              <w:pStyle w:val="TableText"/>
            </w:pPr>
            <w:r>
              <w:rPr>
                <w:b w:val="0"/>
              </w:rPr>
              <w:t>Semiconductors / advanced electronics</w:t>
            </w:r>
          </w:p>
        </w:tc>
        <w:tc>
          <w:tcPr>
            <w:tcW w:type="dxa" w:w="828"/>
            <w:vAlign w:val="top"/>
          </w:tcPr>
          <w:p>
            <w:pPr>
              <w:pStyle w:val="TableText"/>
            </w:pPr>
            <w:r>
              <w:rPr>
                <w:b w:val="0"/>
              </w:rPr>
              <w:t>[Specify actual technical or supply vulnerability]</w:t>
            </w:r>
          </w:p>
        </w:tc>
        <w:tc>
          <w:tcPr>
            <w:tcW w:type="dxa" w:w="828"/>
            <w:vAlign w:val="top"/>
          </w:tcPr>
          <w:p>
            <w:pPr>
              <w:pStyle w:val="TableText"/>
            </w:pPr>
            <w:r>
              <w:rPr>
                <w:b w:val="0"/>
              </w:rPr>
              <w:t>Chapter 4 as applicable</w:t>
            </w:r>
          </w:p>
        </w:tc>
        <w:tc>
          <w:tcPr>
            <w:tcW w:type="dxa" w:w="828"/>
            <w:vAlign w:val="top"/>
          </w:tcPr>
          <w:p>
            <w:pPr>
              <w:pStyle w:val="TableText"/>
            </w:pPr>
            <w:r>
              <w:rPr>
                <w:b w:val="0"/>
              </w:rPr>
              <w:t>[Optional qualification / redundancy / processing contribution]</w:t>
            </w:r>
          </w:p>
        </w:tc>
        <w:tc>
          <w:tcPr>
            <w:tcW w:type="dxa" w:w="828"/>
            <w:vAlign w:val="top"/>
          </w:tcPr>
          <w:p>
            <w:pPr>
              <w:pStyle w:val="TableText"/>
            </w:pPr>
            <w:r>
              <w:rPr>
                <w:b w:val="0"/>
              </w:rPr>
              <w:t>[Specify participant / transaction scope]</w:t>
            </w:r>
          </w:p>
        </w:tc>
        <w:tc>
          <w:tcPr>
            <w:tcW w:type="dxa" w:w="828"/>
            <w:vAlign w:val="top"/>
          </w:tcPr>
          <w:p>
            <w:pPr>
              <w:pStyle w:val="TableText"/>
            </w:pPr>
            <w:r>
              <w:rPr>
                <w:b w:val="0"/>
              </w:rPr>
              <w:t>Applicable Chs. 36/37/other technical records</w:t>
            </w:r>
          </w:p>
        </w:tc>
        <w:tc>
          <w:tcPr>
            <w:tcW w:type="dxa" w:w="828"/>
            <w:vAlign w:val="top"/>
          </w:tcPr>
          <w:p>
            <w:pPr>
              <w:pStyle w:val="TableText"/>
            </w:pPr>
            <w:r>
              <w:rPr>
                <w:b w:val="0"/>
              </w:rPr>
              <w:t>[Specify adopted incremental benefit]</w:t>
            </w:r>
          </w:p>
        </w:tc>
        <w:tc>
          <w:tcPr>
            <w:tcW w:type="dxa" w:w="828"/>
            <w:vAlign w:val="top"/>
          </w:tcPr>
          <w:p>
            <w:pPr>
              <w:pStyle w:val="TableText"/>
            </w:pPr>
            <w:r>
              <w:rPr>
                <w:b w:val="0"/>
              </w:rPr>
              <w:t>[Cite specific operative treaty authority and any required domestic authority]</w:t>
            </w:r>
          </w:p>
        </w:tc>
        <w:tc>
          <w:tcPr>
            <w:tcW w:type="dxa" w:w="828"/>
            <w:vAlign w:val="top"/>
          </w:tcPr>
          <w:p>
            <w:pPr>
              <w:pStyle w:val="TableText"/>
            </w:pPr>
            <w:r>
              <w:rPr>
                <w:b w:val="0"/>
              </w:rPr>
              <w:t>[Specify ceiling]</w:t>
            </w:r>
          </w:p>
        </w:tc>
        <w:tc>
          <w:tcPr>
            <w:tcW w:type="dxa" w:w="828"/>
            <w:vAlign w:val="top"/>
          </w:tcPr>
          <w:p>
            <w:pPr>
              <w:pStyle w:val="TableText"/>
            </w:pPr>
            <w:r>
              <w:rPr>
                <w:b w:val="0"/>
              </w:rPr>
              <w:t>[Specify review and exit]</w:t>
            </w:r>
          </w:p>
        </w:tc>
        <w:tc>
          <w:tcPr>
            <w:tcW w:type="dxa" w:w="1339"/>
          </w:tcPr>
          <w:p>
            <w:pPr>
              <w:pStyle w:val="TableText"/>
            </w:pPr>
            <w:r>
              <w:t>[CA / US / MX pair or trilateral scope]</w:t>
            </w:r>
          </w:p>
        </w:tc>
      </w:tr>
      <w:tr>
        <w:tc>
          <w:tcPr>
            <w:tcW w:type="dxa" w:w="828"/>
            <w:vAlign w:val="top"/>
          </w:tcPr>
          <w:p>
            <w:pPr>
              <w:pStyle w:val="TableText"/>
            </w:pPr>
            <w:r>
              <w:rPr/>
              <w:t>DRAFT: VERIFY BEFORE LEGAL SCRUB</w:t>
            </w:r>
          </w:p>
        </w:tc>
        <w:tc>
          <w:tcPr>
            <w:tcW w:type="dxa" w:w="828"/>
            <w:vAlign w:val="top"/>
          </w:tcPr>
          <w:p>
            <w:pPr>
              <w:pStyle w:val="TableText"/>
            </w:pPr>
            <w:r>
              <w:rPr>
                <w:b w:val="0"/>
              </w:rPr>
              <w:t>Other Article 36.4 sector</w:t>
            </w:r>
          </w:p>
        </w:tc>
        <w:tc>
          <w:tcPr>
            <w:tcW w:type="dxa" w:w="828"/>
            <w:vAlign w:val="top"/>
          </w:tcPr>
          <w:p>
            <w:pPr>
              <w:pStyle w:val="TableText"/>
            </w:pPr>
            <w:r>
              <w:rPr>
                <w:b w:val="0"/>
              </w:rPr>
              <w:t>[Existing designation required]</w:t>
            </w:r>
          </w:p>
        </w:tc>
        <w:tc>
          <w:tcPr>
            <w:tcW w:type="dxa" w:w="828"/>
            <w:vAlign w:val="top"/>
          </w:tcPr>
          <w:p>
            <w:pPr>
              <w:pStyle w:val="TableText"/>
            </w:pPr>
            <w:r>
              <w:rPr>
                <w:b w:val="0"/>
              </w:rPr>
              <w:t>[Specify actual deficiency]</w:t>
            </w:r>
          </w:p>
        </w:tc>
        <w:tc>
          <w:tcPr>
            <w:tcW w:type="dxa" w:w="828"/>
            <w:vAlign w:val="top"/>
          </w:tcPr>
          <w:p>
            <w:pPr>
              <w:pStyle w:val="TableText"/>
            </w:pPr>
            <w:r>
              <w:rPr>
                <w:b w:val="0"/>
              </w:rPr>
              <w:t>[Applicable origin rule]</w:t>
            </w:r>
          </w:p>
        </w:tc>
        <w:tc>
          <w:tcPr>
            <w:tcW w:type="dxa" w:w="828"/>
            <w:vAlign w:val="top"/>
          </w:tcPr>
          <w:p>
            <w:pPr>
              <w:pStyle w:val="TableText"/>
            </w:pPr>
            <w:r>
              <w:rPr>
                <w:b w:val="0"/>
              </w:rPr>
              <w:t>[Negotiated Assurance Benchmark; no value inserted]</w:t>
            </w:r>
          </w:p>
        </w:tc>
        <w:tc>
          <w:tcPr>
            <w:tcW w:type="dxa" w:w="828"/>
            <w:vAlign w:val="top"/>
          </w:tcPr>
          <w:p>
            <w:pPr>
              <w:pStyle w:val="TableText"/>
            </w:pPr>
            <w:r>
              <w:rPr>
                <w:b w:val="0"/>
              </w:rPr>
              <w:t>[Specify participant / transaction scope]</w:t>
            </w:r>
          </w:p>
        </w:tc>
        <w:tc>
          <w:tcPr>
            <w:tcW w:type="dxa" w:w="828"/>
            <w:vAlign w:val="top"/>
          </w:tcPr>
          <w:p>
            <w:pPr>
              <w:pStyle w:val="TableText"/>
            </w:pPr>
            <w:r>
              <w:rPr>
                <w:b w:val="0"/>
              </w:rPr>
              <w:t>[Specify authoritative evidence]</w:t>
            </w:r>
          </w:p>
        </w:tc>
        <w:tc>
          <w:tcPr>
            <w:tcW w:type="dxa" w:w="828"/>
            <w:vAlign w:val="top"/>
          </w:tcPr>
          <w:p>
            <w:pPr>
              <w:pStyle w:val="TableText"/>
            </w:pPr>
            <w:r>
              <w:rPr>
                <w:b w:val="0"/>
              </w:rPr>
              <w:t>[Specify lawful benefit]</w:t>
            </w:r>
          </w:p>
        </w:tc>
        <w:tc>
          <w:tcPr>
            <w:tcW w:type="dxa" w:w="828"/>
            <w:vAlign w:val="top"/>
          </w:tcPr>
          <w:p>
            <w:pPr>
              <w:pStyle w:val="TableText"/>
            </w:pPr>
            <w:r>
              <w:rPr>
                <w:b w:val="0"/>
              </w:rPr>
              <w:t>[Cite specific operative treaty authority and any required domestic authority]</w:t>
            </w:r>
          </w:p>
        </w:tc>
        <w:tc>
          <w:tcPr>
            <w:tcW w:type="dxa" w:w="828"/>
            <w:vAlign w:val="top"/>
          </w:tcPr>
          <w:p>
            <w:pPr>
              <w:pStyle w:val="TableText"/>
            </w:pPr>
            <w:r>
              <w:rPr>
                <w:b w:val="0"/>
              </w:rPr>
              <w:t>[Specify ceiling]</w:t>
            </w:r>
          </w:p>
        </w:tc>
        <w:tc>
          <w:tcPr>
            <w:tcW w:type="dxa" w:w="828"/>
            <w:vAlign w:val="top"/>
          </w:tcPr>
          <w:p>
            <w:pPr>
              <w:pStyle w:val="TableText"/>
            </w:pPr>
            <w:r>
              <w:rPr>
                <w:b w:val="0"/>
              </w:rPr>
              <w:t>[Specify review and exit]</w:t>
            </w:r>
          </w:p>
        </w:tc>
        <w:tc>
          <w:tcPr>
            <w:tcW w:type="dxa" w:w="1339"/>
          </w:tcPr>
          <w:p>
            <w:pPr>
              <w:pStyle w:val="TableText"/>
            </w:pPr>
            <w:r>
              <w:t>[CA / US / MX pair or trilateral scope]</w:t>
            </w:r>
          </w:p>
        </w:tc>
      </w:tr>
    </w:tbl>
    <w:p>
      <w:pPr>
        <w:pStyle w:val="Heading2"/>
      </w:pPr>
      <w:bookmarkStart w:id="901306" w:name="_Toc300001305"/>
      <w:r>
        <w:t>Required Adopted-Schedule Data</w:t>
      </w:r>
      <w:bookmarkEnd w:id="901306"/>
    </w:p>
    <w:p>
      <w:pPr>
        <w:pStyle w:val="ListBullet"/>
        <w:ind w:left="288"/>
      </w:pPr>
      <w:r>
        <w:t>Adoption Status and Participating Parties / Geographic Scope, including the Parties whose approval is required for the row and whether the bargain is bilateral or trilateral.</w:t>
      </w:r>
    </w:p>
    <w:p>
      <w:pPr>
        <w:pStyle w:val="ListBullet"/>
        <w:ind w:left="288"/>
      </w:pPr>
      <w:r>
        <w:t>Exact product, component, material, technology, facility, project, or supply-chain scope and Participant / Transaction Scope.</w:t>
      </w:r>
    </w:p>
    <w:p>
      <w:pPr>
        <w:pStyle w:val="ListBullet"/>
        <w:ind w:left="288"/>
      </w:pPr>
      <w:r>
        <w:t>Article 36.4 designation relied upon and the authenticated Verified Resilience Deficiency Record.</w:t>
      </w:r>
    </w:p>
    <w:p>
      <w:pPr>
        <w:pStyle w:val="ListBullet"/>
        <w:ind w:left="288"/>
      </w:pPr>
      <w:r>
        <w:t>Ordinary Chapter 4 origin baseline and any applicable TNAO, Chapter 37, Chapter 59, or Annex 4-E interface.</w:t>
      </w:r>
    </w:p>
    <w:p>
      <w:pPr>
        <w:pStyle w:val="ListBullet"/>
        <w:ind w:left="288"/>
      </w:pPr>
      <w:r>
        <w:t>Exact Assurance Benchmark and Assurance Contribution metric, including numerator, denominator, measurement period, tolerance, and treatment of temporary interruption where relevant.</w:t>
      </w:r>
    </w:p>
    <w:p>
      <w:pPr>
        <w:pStyle w:val="ListBullet"/>
        <w:ind w:left="288"/>
      </w:pPr>
      <w:r>
        <w:t>Authoritative evidence source and responsible existing institution or verifier.</w:t>
      </w:r>
    </w:p>
    <w:p>
      <w:pPr>
        <w:pStyle w:val="ListBullet"/>
        <w:ind w:left="288"/>
      </w:pPr>
      <w:r>
        <w:t>Exact Enhanced Assurance Benefit, cited Specific Benefit Legal Authority, and Maximum Benefit; no implied authority arises from the schedule itself.</w:t>
      </w:r>
    </w:p>
    <w:p>
      <w:pPr>
        <w:pStyle w:val="ListBullet"/>
        <w:ind w:left="288"/>
      </w:pPr>
      <w:r>
        <w:t>Treatment of lawful external inputs and any Trusted Strategic Materials Source evidence used.</w:t>
      </w:r>
    </w:p>
    <w:p>
      <w:pPr>
        <w:pStyle w:val="ListBullet"/>
      </w:pPr>
      <w:r>
        <w:t>Review interval, permitted downward adjustment or retirement authority, cure procedure, automatic restoration rule, deficiency-retirement test, and administrative closure rule.</w:t>
      </w:r>
    </w:p>
    <w:p>
      <w:pPr>
        <w:spacing w:before="0" w:after="0"/>
        <w:widowControl w:val="1"/>
      </w:pPr>
      <w:r>
        <w:t>1. SCHEDULE STATUS VOCABULARY. DRAFT: VERIFY BEFORE LEGAL SCRUB is a Development status in Annexes 34-J and 36-A, not an independent adopted legal state. An entry becomes Adopted only through its authenticated legally sufficient adoption instrument and completed mandatory fields. Closed records only the continuing rights or obligations expressly preserved by that instrument or this Agreement. The same status meaning applies across Final Settlement modules without changing substantive adoption authority.</w:t>
      </w:r>
    </w:p>
    <w:p/>
    <w:p>
      <w:pPr>
        <w:pStyle w:val="Heading2"/>
      </w:pPr>
      <w:bookmarkStart w:id="901307" w:name="_Toc300001306"/>
      <w:r>
        <w:t>DEVELOPMENT RED LIGHTS: NON-OPERATIVE DRAFTING CONTROLS</w:t>
      </w:r>
      <w:bookmarkEnd w:id="901307"/>
    </w:p>
    <w:p>
      <w:pPr>
        <w:pStyle w:val="ListBullet"/>
        <w:ind w:left="288"/>
      </w:pPr>
      <w:r>
        <w:t>Do not create a parallel strategic-sector designation system; Article 36.4 controls.</w:t>
      </w:r>
    </w:p>
    <w:p>
      <w:pPr>
        <w:pStyle w:val="ListBullet"/>
        <w:ind w:left="288"/>
      </w:pPr>
      <w:r>
        <w:t>Do not create a second TNAO or Trusted Strategic Materials Source status.</w:t>
      </w:r>
    </w:p>
    <w:p>
      <w:pPr>
        <w:pStyle w:val="ListBullet"/>
        <w:ind w:left="288"/>
      </w:pPr>
      <w:r>
        <w:t>Do not convert Assurance Contribution into Chapter 4 origin content by implication.</w:t>
      </w:r>
    </w:p>
    <w:p>
      <w:pPr>
        <w:pStyle w:val="ListBullet"/>
        <w:ind w:left="288"/>
      </w:pPr>
      <w:r>
        <w:t>Do not invent negotiated percentages, fixed Party shares, commercial quantities, dates, or benefits.</w:t>
      </w:r>
    </w:p>
    <w:p>
      <w:pPr>
        <w:pStyle w:val="ListBullet"/>
        <w:ind w:left="288"/>
      </w:pPr>
      <w:r>
        <w:t>Do not make failure to earn an optional benefit a basis for losing Ordinary-Origin Treatment.</w:t>
      </w:r>
    </w:p>
    <w:p>
      <w:pPr>
        <w:pStyle w:val="ListBullet"/>
        <w:ind w:left="288"/>
      </w:pPr>
      <w:r>
        <w:t>Do not use nationality, state ownership, diplomatic alignment, or economic model as a stand-alone risk proxy.</w:t>
      </w:r>
    </w:p>
    <w:p>
      <w:pPr>
        <w:pStyle w:val="ListBullet"/>
        <w:ind w:left="288"/>
      </w:pPr>
      <w:r>
        <w:t>Do not convert dependency reduction into automatic reshoring or exclusive North American sourcing.</w:t>
      </w:r>
    </w:p>
    <w:p>
      <w:pPr>
        <w:pStyle w:val="ListBullet"/>
        <w:ind w:left="288"/>
      </w:pPr>
      <w:r>
        <w:t>Do not permit a single-Party localization quota to hide inside a regional assurance benchmark.</w:t>
      </w:r>
    </w:p>
    <w:p>
      <w:pPr>
        <w:pStyle w:val="ListBullet"/>
        <w:ind w:left="288"/>
      </w:pPr>
      <w:r>
        <w:t>Do not reset emergency, security, duration, renewal, or aggregation clocks established elsewhere in NAESTMA.</w:t>
      </w:r>
    </w:p>
    <w:p>
      <w:pPr>
        <w:pStyle w:val="ListBullet"/>
        <w:ind w:left="288"/>
      </w:pPr>
      <w:r>
        <w:t>Do not create new tariff, embargo, procurement-exclusion, sanctions, investment-screening, or retaliation authority.</w:t>
      </w:r>
    </w:p>
    <w:p>
      <w:pPr>
        <w:pStyle w:val="ListBullet"/>
      </w:pPr>
      <w:r>
        <w:t>Do not treat the Verified Resilience Deficiency Record as independent restrictive authority, a security classification, a strategic-sector designation, or a finding of treaty breach.</w:t>
      </w:r>
    </w:p>
    <w:p>
      <w:pPr>
        <w:pStyle w:val="ListBullet"/>
      </w:pPr>
      <w:r>
        <w:t>Do not activate an Enhanced Assurance Benefit without citing its independent Specific Benefit Legal Authority in the Adopted FS-02 Schedule Row.</w:t>
      </w:r>
    </w:p>
    <w:p>
      <w:pPr>
        <w:pStyle w:val="ListBullet"/>
      </w:pPr>
      <w:r>
        <w:t>Do not permit an administrative review to increase or materially redesign an Assurance Benchmark without the adoption procedure required for the original bargain.</w:t>
      </w:r>
    </w:p>
    <w:p>
      <w:pPr>
        <w:pStyle w:val="ListBullet"/>
      </w:pPr>
      <w:r>
        <w:t>Do not make an optional assurance program compulsory in practice by degrading ordinary treaty administration.</w:t>
      </w:r>
    </w:p>
    <w:p>
      <w:pPr>
        <w:pStyle w:val="ListBullet"/>
      </w:pPr>
      <w:r>
        <w:t>Do not count one physical investment or capacity addition as multiple physically distinct additions to continental capacity.</w:t>
      </w:r>
    </w:p>
    <w:p>
      <w:pPr>
        <w:pStyle w:val="ListBullet"/>
      </w:pPr>
      <w:r>
        <w:t>Do not treat trusted-source status as immunity from transaction-specific adverse evidence.</w:t>
      </w:r>
    </w:p>
    <w:p>
      <w:pPr>
        <w:pStyle w:val="ListBullet"/>
      </w:pPr>
      <w:r>
        <w:t>Do not treat jurisdictional correlation as proof of nationality-based or jurisdiction-based risk without evidence of the underlying functional risk.</w:t>
      </w:r>
    </w:p>
    <w:p>
      <w:pPr>
        <w:pStyle w:val="ListBullet"/>
      </w:pPr>
      <w:r>
        <w:t>Do not administratively interpolate partial benefits where the Adopted FS-02 Schedule Row contains no graduated formula.</w:t>
      </w:r>
    </w:p>
    <w:p>
      <w:pPr>
        <w:pStyle w:val="ListBullet"/>
      </w:pPr>
      <w:r>
        <w:t>Do not use a generic chapter citation as Specific Benefit Legal Authority where the cited provision does not itself authorize the scheduled benefit.</w:t>
      </w:r>
    </w:p>
    <w:p>
      <w:pPr>
        <w:pStyle w:val="ListBullet"/>
      </w:pPr>
      <w:r>
        <w:t>Do not create or imply a separate Enhanced North American Assurance legal status; the operative chain is Assurance Participant → Assurance Contribution → Assurance Benchmark → Enhanced Assurance Benefit.</w:t>
      </w:r>
    </w:p>
    <w:p>
      <w:pPr>
        <w:pStyle w:val="Heading2"/>
      </w:pPr>
      <w:bookmarkStart w:id="901308" w:name="_Toc300001307"/>
      <w:r>
        <w:t>Module Interface Reference: Extract of the FS-00 Final Settlement Integration Map</w:t>
      </w:r>
      <w:bookmarkEnd w:id="901308"/>
    </w:p>
    <w:p>
      <w:pPr>
        <w:pStyle w:val="Normal"/>
      </w:pPr>
      <w:r>
        <w:t>FS-02 is drafted to interface with Article 32.F (risk-based and nationality-neutral administration), Article 32.G (external economic relations and treaty sovereignty), Article 36.4 (strategic-sector designation), Article 36.5 (anti-circumvention), Article 36.6 (Trusted North American Origin), Chapter 37 including Article 37.6A and the Midstream Gap / additionality architecture, Chapter 59 and Annex 4-E for automotive enhanced integration, Chapters 4 and 5 for origin and verification, and Chapter 35/Cothrom for verification, cure, proportionality, containment, and restoration. Those provisions remain the substantive engines; FS-02 supplies the schedule-based evidence-to-incentive bridge.</w:t>
      </w:r>
    </w:p>
    <w:p>
      <w:pPr>
        <w:pStyle w:val="Heading1"/>
      </w:pPr>
      <w:bookmarkStart w:id="901309" w:name="_Toc300001308"/>
      <w:r>
        <w:t>CHAPTER 37</w:t>
      </w:r>
      <w:r>
        <w:br/>
      </w:r>
      <w:r>
        <w:t>CRITICAL MINERALS AND STRATEGIC MATERIALS</w:t>
      </w:r>
      <w:bookmarkEnd w:id="901309"/>
    </w:p>
    <w:p>
      <w:pPr>
        <w:pStyle w:val="TrumpVisibilityHeadline"/>
      </w:pPr>
      <w:r>
        <w:t xml:space="preserve">★ </w:t>
      </w:r>
      <w:r>
        <w:t>VISIBLE U.S. WIN: SECURE CRITICAL-MINERAL ACCESS, PROCESSING, OFFTAKE, STOCKPILE COOPERATION, AND LOWER STRATEGIC DEPENDENCY</w:t>
      </w:r>
    </w:p>
    <w:p>
      <w:pPr>
        <w:pStyle w:val="Heading2"/>
      </w:pPr>
      <w:bookmarkStart w:id="901310" w:name="_Toc300001309"/>
      <w:r>
        <w:t>Article 37.1: Purpose</w:t>
      </w:r>
      <w:bookmarkEnd w:id="901310"/>
    </w:p>
    <w:p>
      <w:pPr>
        <w:pStyle w:val="Normal"/>
      </w:pPr>
      <w:r>
        <w:t>1. The Parties recognize that secure, resilient, and traceable North American supply chains for critical minerals and strategic materials are essential to the economic and national security of each Party, and that extraction, processing, refining, recycling, recovery, and remanufacturing within the Parties each constitute economically valuable stages of the strategic value chain.</w:t>
      </w:r>
    </w:p>
    <w:p>
      <w:pPr>
        <w:pStyle w:val="Normal"/>
      </w:pPr>
      <w:r>
        <w:t>2. This Chapter facilitates trade in qualifying critical minerals and strategic materials, recognizes legitimate North American processing as conferring strategic value, and establishes traceability and anti-circumvention disciplines, without conferring on any Party authority over another Party’s resources.</w:t>
      </w:r>
    </w:p>
    <w:p>
      <w:pPr>
        <w:pStyle w:val="Heading2"/>
      </w:pPr>
      <w:bookmarkStart w:id="901311" w:name="_Toc300001310"/>
      <w:r>
        <w:t>Article 37.2: Definitions and Scope</w:t>
      </w:r>
      <w:bookmarkEnd w:id="901311"/>
    </w:p>
    <w:p>
      <w:pPr>
        <w:pStyle w:val="Normal"/>
      </w:pPr>
      <w:r>
        <w:t xml:space="preserve">1. </w:t>
      </w:r>
      <w:r>
        <w:rPr>
          <w:b/>
        </w:rPr>
        <w:t>Critical minerals</w:t>
      </w:r>
      <w:r>
        <w:t xml:space="preserve"> means the minerals and materials listed in Annex 37-A, which the Commission shall maintain and may amend by consensus, drawing on the critical-minerals lists of each Party.</w:t>
      </w:r>
    </w:p>
    <w:p>
      <w:pPr>
        <w:pStyle w:val="Normal"/>
      </w:pPr>
      <w:r>
        <w:t xml:space="preserve">2. </w:t>
      </w:r>
      <w:r>
        <w:rPr>
          <w:b/>
        </w:rPr>
        <w:t>Strategic materials</w:t>
      </w:r>
      <w:r>
        <w:t xml:space="preserve"> means materials designated by the Commission as strategic, including battery materials, rare earth elements and magnets, and semiconductor-grade materials.</w:t>
      </w:r>
    </w:p>
    <w:p>
      <w:pPr>
        <w:pStyle w:val="Normal"/>
      </w:pPr>
      <w:r>
        <w:t>3. This Chapter applies to extraction, processing, refining, recycling, recovery, remanufacturing, component production, and trade of critical minerals and strategic materials.</w:t>
      </w:r>
    </w:p>
    <w:p>
      <w:pPr>
        <w:pStyle w:val="Heading2"/>
      </w:pPr>
      <w:bookmarkStart w:id="901312" w:name="_Toc300001311"/>
      <w:r>
        <w:t>Article 37.3: Facilitation of Trade</w:t>
      </w:r>
      <w:bookmarkEnd w:id="901312"/>
    </w:p>
    <w:p>
      <w:pPr>
        <w:pStyle w:val="Normal"/>
      </w:pPr>
      <w:r>
        <w:t>1. Each Party shall accord duty-free treatment to originating critical minerals and strategic materials, and shall not apply export restrictions to such goods destined for another Party except consistently with this Agreement, including Article 35.3A.</w:t>
      </w:r>
    </w:p>
    <w:p>
      <w:pPr>
        <w:pStyle w:val="Normal"/>
      </w:pPr>
      <w:r>
        <w:t>2. Processing, refining, recycling, recovery, and remanufacturing within one or more Parties confer originating status in accordance with the rules of Chapter 4 as amended, including Article 4.A.4 (Circular Production).</w:t>
      </w:r>
    </w:p>
    <w:p>
      <w:pPr>
        <w:pStyle w:val="Normal"/>
      </w:pPr>
      <w:r>
        <w:t>3. No Party shall apply a covered border measure to originating critical minerals or strategic materials of another Party except in conformity with Chapter 35. Such goods are within the Strategic Sectors designated under Article 35.23.</w:t>
      </w:r>
    </w:p>
    <w:p>
      <w:pPr>
        <w:pStyle w:val="Heading2"/>
      </w:pPr>
      <w:bookmarkStart w:id="901313" w:name="_Toc300001312"/>
      <w:r>
        <w:t>Article 37.4: Traceability</w:t>
      </w:r>
      <w:bookmarkEnd w:id="901313"/>
    </w:p>
    <w:p>
      <w:pPr>
        <w:pStyle w:val="Normal"/>
      </w:pPr>
      <w:r>
        <w:t>1. The Parties shall develop interoperable traceability standards for critical minerals and strategic materials, covering mine-to-market chain-of-custody, under the Economic Security and Supply Chain Resilience Subcommittee.</w:t>
      </w:r>
    </w:p>
    <w:p>
      <w:pPr>
        <w:pStyle w:val="Normal"/>
      </w:pPr>
      <w:r>
        <w:t>2. Traceability standards shall: (a) enable verification of origin and of environmental and labour compliance; (b) deter circumvention; (c) accommodate commercially confidential information, in accordance with the access tiers of Annex 35-C, Part 4; and (d) provide simplified procedures for small and medium-sized producers.</w:t>
      </w:r>
    </w:p>
    <w:p>
      <w:pPr>
        <w:pStyle w:val="Normal"/>
      </w:pPr>
      <w:r>
        <w:t>3. Goods certified under the traceability standards are eligible for Trusted North American Origin status under Article 36.6.</w:t>
      </w:r>
    </w:p>
    <w:p>
      <w:pPr>
        <w:pStyle w:val="Normal"/>
      </w:pPr>
      <w:r>
        <w:t>4. Traceability by Risk. Standards under this Article shall not require universal component-by-component or mine-to-market tracking where lower-burden evidence provides reasonable assurance. The Subcommittee shall maintain published low-, medium-, and high-risk categories and the minimum evidence appropriate to each.</w:t>
      </w:r>
    </w:p>
    <w:p>
      <w:pPr>
        <w:pStyle w:val="Normal"/>
      </w:pPr>
      <w:r>
        <w:t>5. Technological Neutrality and Fallback. No specific distributed-ledger, blockchain, registry, identifier, software vendor, or digital architecture is required. When an interoperable digital system is unavailable, impaired, or inaccessible to an SME, origin and chain-of-custody may be demonstrated through ordinary commercial records, customs data, test certificates, accredited third-party certifications, supplier declarations, or other reliable evidence.</w:t>
      </w:r>
    </w:p>
    <w:p>
      <w:pPr>
        <w:pStyle w:val="Normal"/>
      </w:pPr>
      <w:r>
        <w:t>6. A failure, delay, incompleteness, disagreement, or technical unavailability affecting the Shared Trade Data Registry, another technical platform, a traceability standard, certification method, or implementing methodology does not suspend preferential treatment, stop a verification clock, create an adverse inference against a trader that timely supplied reliable alternative evidence, or independently authorize a tariff, surcharge, fee, quota, suspension of preference, or other covered border measure. A Party may not rely on a traceability or technical condition materially created, prolonged, or aggravated by its own implementation failure as the factual predicate for an emergency, safeguard, essential-security, transitional, corrective, or other trade restriction.</w:t>
      </w:r>
    </w:p>
    <w:p>
      <w:pPr>
        <w:pStyle w:val="Heading2"/>
      </w:pPr>
      <w:bookmarkStart w:id="901314" w:name="_Toc300001313"/>
      <w:r>
        <w:t>Article 37.5: Resilient Processing Capacity</w:t>
      </w:r>
      <w:bookmarkEnd w:id="901314"/>
    </w:p>
    <w:p>
      <w:pPr>
        <w:pStyle w:val="Normal"/>
      </w:pPr>
      <w:r>
        <w:t>1. The Parties shall endeavor to develop resilient North American capacity across the full value chain, including processing and refining, recognizing that extraction alone does not constitute the strategic value chain.</w:t>
      </w:r>
    </w:p>
    <w:p>
      <w:pPr>
        <w:pStyle w:val="Normal"/>
      </w:pPr>
      <w:r>
        <w:t>2. The Parties shall cooperate on permitting predictability, technical standards, and workforce development, consistent with each Party’s domestic authority and with Chapter 24 (Environment) and Chapter 23 (Labor).</w:t>
      </w:r>
    </w:p>
    <w:p>
      <w:pPr>
        <w:pStyle w:val="Heading2"/>
      </w:pPr>
      <w:bookmarkStart w:id="901315" w:name="_Toc300001314"/>
      <w:r>
        <w:t>Article 37.6: Recycling and Circular Supply</w:t>
      </w:r>
      <w:bookmarkEnd w:id="901315"/>
    </w:p>
    <w:p>
      <w:pPr>
        <w:pStyle w:val="Normal"/>
      </w:pPr>
      <w:r>
        <w:t>1. Recycled and recovered critical minerals and battery materials originating in a Party receive the same treatment under this Agreement as primary materials.</w:t>
      </w:r>
    </w:p>
    <w:p>
      <w:pPr>
        <w:pStyle w:val="Normal"/>
      </w:pPr>
      <w:r>
        <w:t>2. The Parties shall adopt rules facilitating cross-border movement of recyclable and recoverable materials destined for processing in a Party, consistent with applicable environmental obligations including the Basel Convention as implemented by each Party.</w:t>
      </w:r>
    </w:p>
    <w:p>
      <w:pPr>
        <w:pStyle w:val="Heading2"/>
      </w:pPr>
      <w:bookmarkStart w:id="901316" w:name="_Toc300001315"/>
      <w:r>
        <w:t>Article 37.6A: Trusted Non-Party Strategic Materials and Advanced-Metals Access</w:t>
      </w:r>
      <w:bookmarkEnd w:id="901316"/>
    </w:p>
    <w:p>
      <w:pPr>
        <w:pStyle w:val="Normal"/>
      </w:pPr>
      <w:r>
        <w:t>1. The Parties recognize that resilient North American advanced manufacturing may require reliable access to specialized metals, alloys, mill products, powders, forgings, castings, and other strategic materials that are unavailable in sufficient quantity, grade, certification, form, or delivery time within North America.</w:t>
      </w:r>
    </w:p>
    <w:p>
      <w:pPr>
        <w:pStyle w:val="Normal"/>
      </w:pPr>
      <w:r>
        <w:t>2. A Party may designate a non-Party jurisdiction, facility, or supplier as a Trusted Strategic Materials Source for specified materials where the Party determines, on published and reviewable criteria, that the source provides reliable traceability; commercial transparency and supply reliability; effective labor and environmental compliance; compliance with sanctions and export controls legally applicable to the importing Party and transaction where relevant; protection against forced labor; and low risk of transshipment, fraud, or circumvention. Ownership structure, state participation, diplomatic alignment, or a jurisdiction's general economic model shall not by itself disqualify a source.</w:t>
      </w:r>
    </w:p>
    <w:p>
      <w:pPr>
        <w:pStyle w:val="Normal"/>
      </w:pPr>
      <w:r>
        <w:t>3. Importation by a Party from a Trusted Strategic Materials Source shall not, by itself, constitute circumvention, non-market sourcing, a prohibited dependency, or grounds for an adverse measure under Chapters 35, 36, or 37. Nothing in this paragraph converts the imported material into an originating material for purposes of Chapter 4 unless the applicable rule of origin is independently satisfied.</w:t>
      </w:r>
    </w:p>
    <w:p>
      <w:pPr>
        <w:pStyle w:val="Normal"/>
      </w:pPr>
      <w:r>
        <w:t>4. Where a specialized material is not available from North American producers in commercially sufficient quantity, required technical grade, certification, form, or reasonable delivery time, a Party shall be free to facilitate importation from a Trusted Strategic Materials Source, including through expedited licensing, customs facilitation, tariff suspension or remission permitted by its law and international obligations, or other non-discriminatory measures.</w:t>
      </w:r>
    </w:p>
    <w:p>
      <w:pPr>
        <w:pStyle w:val="Normal"/>
      </w:pPr>
      <w:r>
        <w:t>5. No Party shall require another Party to restrict imports of a material from a Trusted Strategic Materials Source solely because the material is also produced in North America. Any request for coordinated restriction shall identify particularized evidence of circumvention, coercive non-market conduct, forced labor, sanctions evasion, or a direct and material security risk and remains subject to Chapters 32 and 35.</w:t>
      </w:r>
    </w:p>
    <w:p>
      <w:pPr>
        <w:pStyle w:val="Normal"/>
      </w:pPr>
      <w:r>
        <w:t>6. A Party may establish an Advanced Manufacturing Materials Shortage List covering, among other goods, aerospace-grade titanium and titanium alloys; nickel- and cobalt-based superalloys; high-strength aluminum alloys; specialty steels; magnesium alloys; scandium-containing alloys; niobium, tantalum, tungsten, molybdenum, zirconium and hafnium products; certified forgings and castings; and other materials requiring specialized metallurgical or quality certification.</w:t>
      </w:r>
    </w:p>
    <w:p>
      <w:pPr>
        <w:pStyle w:val="Normal"/>
      </w:pPr>
      <w:r>
        <w:t>7. Inclusion on the Shortage List shall be based on objective evidence concerning domestic and North American capacity, qualification lead times, technical specifications, delivery reliability, concentration risk, and reasonable commercial availability. The list shall be reviewed at least annually and may identify a material by grade, form, specification, or end-use class rather than by broad commodity category.</w:t>
      </w:r>
    </w:p>
    <w:p>
      <w:pPr>
        <w:pStyle w:val="Normal"/>
      </w:pPr>
      <w:r>
        <w:t>8. Materials imported under this Article remain subject to ordinary customs valuation, origin accounting, sanctions, export controls, antidumping and countervailing duty law consistent with Chapter 10, and bona fide health, safety, environmental, and security requirements. This Article does not authorize evasion of a lawful measure against a non-Party.</w:t>
      </w:r>
    </w:p>
    <w:p>
      <w:pPr>
        <w:pStyle w:val="Normal"/>
      </w:pPr>
      <w:r>
        <w:t>9. The Parties shall endeavor to ensure that legitimate use of trusted non-Party inputs does not disqualify a finished good from CUSMA treatment where the finished good independently satisfies the applicable tariff-shift, regional-value-content, or other product-specific rule of origin.</w:t>
      </w:r>
    </w:p>
    <w:p>
      <w:pPr>
        <w:pStyle w:val="Normal"/>
      </w:pPr>
      <w:r>
        <w:t>10. The Economic Security and Supply Chain Resilience Subcommittee shall maintain a non-exclusive Trusted Strategic Materials Source register. Designation may apply to a jurisdiction, sector, facility, or supplier and may be suspended only on particularized evidence, with notice and an opportunity for review.</w:t>
      </w:r>
    </w:p>
    <w:p>
      <w:pPr>
        <w:spacing w:before="0" w:after="0"/>
        <w:widowControl w:val="1"/>
      </w:pPr>
      <w:r>
        <w:t>11. TRUSTED EXTERNAL SOURCE DESIGNATION AND SUSPENSION. A Party may propose a Trusted Strategic Materials Source with documented reliability, traceability, lawful origin, sanctions compliance and relevant security evidence to the Article 36.3 Subcommittee. Only a consensus Subcommittee designation authenticated and published by the Secretariat binds the Parties for the expressly identified Chapter 37 material and facilitation scope. The importing competent customs authority may provisionally suspend treatment for that source and material only on particularized material-risk evidence with immediate notice and a fifteen-day Subcommittee review. A disputed legal suspension is reviewable under Chapter 31 and neither designation nor suspension changes ordinary Chapter 4 origin or creates a tariff waiver outside its express authority.</w:t>
      </w:r>
    </w:p>
    <w:p/>
    <w:p>
      <w:pPr>
        <w:pStyle w:val="Heading2"/>
      </w:pPr>
      <w:bookmarkStart w:id="901317" w:name="_Toc300001316"/>
      <w:r>
        <w:t>Article 37.6B: Strategic Resource Non-Exclusivity and Voluntary Offtake</w:t>
      </w:r>
      <w:bookmarkEnd w:id="901317"/>
    </w:p>
    <w:p>
      <w:pPr>
        <w:pStyle w:val="Normal"/>
      </w:pPr>
      <w:r>
        <w:t>1. Nothing in this Agreement grants a Party a right of first refusal, exclusive purchasing right, preferential claim, compulsory offtake entitlement, export veto, production-direction right, mandatory destination requirement, or other exclusive entitlement over critical minerals, strategic materials, processing capacity, reserves, or future production located in or controlled by another Party.</w:t>
      </w:r>
    </w:p>
    <w:p>
      <w:pPr>
        <w:pStyle w:val="Normal"/>
      </w:pPr>
      <w:r>
        <w:t>2. Strategic-material cooperation may include voluntary commercial offtakes, jointly financed projects, market-based price-stability mechanisms, stockpile exchanges, emergency-access arrangements, processing partnerships, recycling and recovery agreements, and other mutually agreed instruments.</w:t>
      </w:r>
    </w:p>
    <w:p>
      <w:pPr>
        <w:pStyle w:val="Normal"/>
      </w:pPr>
      <w:r>
        <w:t>3. An arrangement under paragraph 2 shall identify its duration, scope, commercial or public purpose, termination conditions, and any emergency priority rules. Unless expressly agreed by the supplying Party, it creates no entitlement to production outside the arrangement.</w:t>
      </w:r>
    </w:p>
    <w:p>
      <w:pPr>
        <w:pStyle w:val="Normal"/>
      </w:pPr>
      <w:r>
        <w:t>4. A Party remains free to sell, allocate, process, retain, or export its strategic resources to non-Parties, subject to its domestic law and express obligations under this Agreement. Cooperation under this Chapter shall not be interpreted as compulsory extraction or compulsory expansion of raw-material exports.</w:t>
      </w:r>
    </w:p>
    <w:p>
      <w:pPr>
        <w:pStyle w:val="Normal"/>
      </w:pPr>
      <w:r>
        <w:t>5. Nothing in this Article prevents a Party from voluntarily negotiating a project-specific right of first offer, right of first refusal, offtake, or priority-access term on ordinary commercial or public-contract terms. No such project-specific term becomes a treaty-wide entitlement or precedent for other resources.</w:t>
      </w:r>
    </w:p>
    <w:p>
      <w:pPr>
        <w:pStyle w:val="Heading2"/>
      </w:pPr>
      <w:bookmarkStart w:id="901318" w:name="_Toc300001317"/>
      <w:r>
        <w:t>Article 37.6C: Strategic Materials Preferred Commercial Access Portfolio</w:t>
      </w:r>
      <w:bookmarkEnd w:id="901318"/>
    </w:p>
    <w:p>
      <w:pPr>
        <w:pStyle w:val="Normal"/>
      </w:pPr>
      <w:r>
        <w:t>1. Consistent with Article 37.6B, a supplying Party may voluntarily establish a Preferred Commercial Access Window for an agreed portion of eligible export-available or incremental production of a designated strategic material. Such a Window is a limited opportunity to negotiate or match bona fide market-based commercial terms and is not an exclusive purchasing right, treaty-wide right of first refusal, ownership interest, export veto, or compulsory destination requirement.</w:t>
      </w:r>
    </w:p>
    <w:p>
      <w:pPr>
        <w:pStyle w:val="Normal"/>
      </w:pPr>
      <w:r>
        <w:t>2. A Preferred Commercial Access Window shall preserve: existing contracts and committed customers; the supplying Party’s domestic industrial, energy, food-security, defense, infrastructure, and strategic-reserve requirements; Indigenous and other legally protected rights; emergency allocation authority; environmental and safety law; and the supplying Party’s freedom to trade with non-Parties after the applicable commercial window expires or is declined.</w:t>
      </w:r>
    </w:p>
    <w:p>
      <w:pPr>
        <w:pStyle w:val="Normal"/>
      </w:pPr>
      <w:r>
        <w:t>3. No Window shall compel extraction, mine development, smelter or refinery operation, production expansion, sale below market-based terms, or acceptance of a commercially unreasonable offer. Private producers retain commercial autonomy except to the extent they voluntarily participate in an adopted program or contract.</w:t>
      </w:r>
    </w:p>
    <w:p>
      <w:pPr>
        <w:pStyle w:val="Normal"/>
      </w:pPr>
      <w:r>
        <w:t>4. Preference shall, wherever commercially practicable, emphasize incremental capacity, newly export-available supply, recovered or recycled material, new refining or processing capacity, or production created through qualifying investment rather than displacement of established Canadian, Mexican, United States, or trusted non-Party customers.</w:t>
      </w:r>
    </w:p>
    <w:p>
      <w:pPr>
        <w:pStyle w:val="Normal"/>
      </w:pPr>
      <w:r>
        <w:t>5. Where investment by purchasers, firms, public financial institutions, or governments of another Party materially creates additional mining, smelting, refining, recycling, processing, transport, or storage capacity, an adopted schedule may provide an enhanced or longer commercial-access window over a bounded share of the incremental output attributable to that investment. Such treatment shall not create a claim over pre-existing production.</w:t>
      </w:r>
    </w:p>
    <w:p>
      <w:pPr>
        <w:pStyle w:val="Normal"/>
      </w:pPr>
      <w:r>
        <w:t>6. Commodity percentages shall be established only through an adopted schedule following capacity, domestic-demand, export, market-concentration, investment, and strategic-sensitivity review. Percentages operate as maximum eligible windows, not compulsory delivery quotas or guaranteed purchase volumes, and may be reduced when supply conditions materially tighten.</w:t>
      </w:r>
    </w:p>
    <w:p>
      <w:pPr>
        <w:pStyle w:val="Normal"/>
      </w:pPr>
      <w:r>
        <w:t>7. Initial negotiating calibration ranges, subject to expert validation and schedule adoption, may include: aluminum, 30 to 50 percent of qualifying incremental capacity; potash, 15 to 25 percent of qualifying incremental or export-available supply; zinc, approximately 15 percent; copper, 10 to 20 percent with emphasis on incremental North American refining; iron ore and qualifying iron feedstocks, approximately 8 to 15 percent or another capacity-supported range; gold, approximately 3 to 5 percent; uranium, 2 to 2.5 percent; and scarce or specialty minerals only on individually calibrated terms, including zero fixed percentage where scarcity or strategic sensitivity warrants.</w:t>
      </w:r>
    </w:p>
    <w:p>
      <w:pPr>
        <w:pStyle w:val="Normal"/>
      </w:pPr>
      <w:r>
        <w:t>8. The Commission shall review an adopted commodity schedule at least annually during its first three years and at least every two years thereafter. Review shall consider Canadian, Mexican, and United States requirements as applicable, production and reserve conditions, export concentration, new capacity, emergency needs, market distortions, and whether the Window remains reciprocal and commercially useful.</w:t>
      </w:r>
    </w:p>
    <w:p>
      <w:pPr>
        <w:pStyle w:val="Normal"/>
      </w:pPr>
      <w:r>
        <w:t>9. Failure, shortage, or dispute concerning one commodity shall not suspend or reduce access, tariff treatment, forestry normalization, or other benefits attributable to a different commodity except to the extent an adopted schedule expressly assigns a quantified cross-commodity value and Cothrom review verifies material impairment.</w:t>
      </w:r>
    </w:p>
    <w:p>
      <w:pPr>
        <w:pStyle w:val="Normal"/>
      </w:pPr>
      <w:r>
        <w:t>10. Nothing in this Article limits a Party’s ability to maintain diversified trade relationships or trusted external feedstock arrangements under Article 37.6A. Preferred access is non-exclusive and shall not be conditioned on termination of lawful commercial relationships with non-Parties.</w:t>
      </w:r>
    </w:p>
    <w:p>
      <w:pPr>
        <w:pStyle w:val="Heading2"/>
      </w:pPr>
      <w:bookmarkStart w:id="901319" w:name="_Toc300001318"/>
      <w:r>
        <w:t>Article 37.6D: Abundance-Sensitive and Strategic-Sensitivity Calibration</w:t>
      </w:r>
      <w:bookmarkEnd w:id="901319"/>
    </w:p>
    <w:p>
      <w:pPr>
        <w:pStyle w:val="Normal"/>
      </w:pPr>
      <w:r>
        <w:t>1. Preferred-access commitments shall be calibrated according to the supplying Party’s practical ability to provide reliable supply without impairing domestic requirements, existing commercial relationships, diversification, or long-term industrial development. Abundant and expandable materials may support larger windows; constrained materials shall support smaller windows; and exceptionally scarce, security-sensitive, or domestically deficient materials may receive a de minimis or zero fixed window.</w:t>
      </w:r>
    </w:p>
    <w:p>
      <w:pPr>
        <w:pStyle w:val="Normal"/>
      </w:pPr>
      <w:r>
        <w:t>2. Aluminum may serve as a flagship capacity-expansion material where additional Canadian or other North American smelting, recycling, alloying, and downstream capacity is commercially viable. Copper cooperation should prioritize additional North American refining and processing where existing refined trade is already highly integrated. Potash cooperation may include agricultural supply assurance consistent with domestic and existing contractual requirements. Uranium cooperation shall remain narrowly bounded and subject to all applicable nuclear, non-proliferation, safeguards, licensing, strategic-reserve, and security requirements.</w:t>
      </w:r>
    </w:p>
    <w:p>
      <w:pPr>
        <w:pStyle w:val="Heading2"/>
      </w:pPr>
      <w:bookmarkStart w:id="901320" w:name="_Toc300001319"/>
      <w:r>
        <w:t>Article 37.7: Strategic Stockpile Information</w:t>
      </w:r>
      <w:bookmarkEnd w:id="901320"/>
    </w:p>
    <w:p>
      <w:pPr>
        <w:pStyle w:val="Normal"/>
      </w:pPr>
      <w:r>
        <w:t>1. The Parties may, on a voluntary basis, exchange information concerning strategic reserves of designated critical minerals and strategic materials, and coordinate concerning release or acquisition in response to a verified supply disruption.</w:t>
      </w:r>
    </w:p>
    <w:p>
      <w:pPr>
        <w:pStyle w:val="Normal"/>
      </w:pPr>
      <w:r>
        <w:t>2. This Article does not create a supranational stockpile authority or an obligation to maintain, acquire, or release reserves.</w:t>
      </w:r>
    </w:p>
    <w:p>
      <w:pPr>
        <w:pStyle w:val="Heading2"/>
      </w:pPr>
      <w:bookmarkStart w:id="901323" w:name="_Toc300001322"/>
      <w:r>
        <w:t>Article 37.8: North American Aluminum Security and Capacity Expansion</w:t>
      </w:r>
      <w:bookmarkEnd w:id="901323"/>
    </w:p>
    <w:p>
      <w:pPr>
        <w:pStyle w:val="Normal"/>
      </w:pPr>
      <w:r>
        <w:t>1. The Parties recognize primary and recycled aluminum as strategic industrial inputs and shall cooperate to expand reliable North American capacity in smelting, recycling, casting, alloy production, and associated infrastructure where commercially and environmentally viable.</w:t>
      </w:r>
    </w:p>
    <w:p>
      <w:pPr>
        <w:pStyle w:val="Normal"/>
      </w:pPr>
      <w:r>
        <w:t>2. A Party may accelerate permitting coordination, grid and transport infrastructure, workforce development, recycling systems, demonstration projects, and investment facilitation for qualifying aluminum projects, subject to domestic law and without guaranteeing a particular producer, price, or volume.</w:t>
      </w:r>
    </w:p>
    <w:p>
      <w:pPr>
        <w:pStyle w:val="Normal"/>
      </w:pPr>
      <w:r>
        <w:t>3. The Parties shall encourage long-term commercial supply arrangements and continuity planning for originating aluminum. No Party is required to reserve production for another Party or sell below market terms.</w:t>
      </w:r>
    </w:p>
    <w:p>
      <w:pPr>
        <w:pStyle w:val="Normal"/>
      </w:pPr>
      <w:r>
        <w:t>4. The Parties shall consult on tariff-free or otherwise preferential treatment for originating Canadian, United States, and Mexican aluminum that satisfies strengthened smelt-and-cast, traceability, and anti-circumvention requirements under this Agreement.</w:t>
      </w:r>
    </w:p>
    <w:p>
      <w:pPr>
        <w:pStyle w:val="Heading2"/>
      </w:pPr>
      <w:bookmarkStart w:id="901324" w:name="_Toc300001323"/>
      <w:r>
        <w:t>Article 37.9: Semiconductor Materials Security and High-Purity Processing</w:t>
      </w:r>
      <w:bookmarkEnd w:id="901324"/>
    </w:p>
    <w:p>
      <w:pPr>
        <w:pStyle w:val="Normal"/>
      </w:pPr>
      <w:r>
        <w:t>1. The Parties shall accelerate resilient North American supply chains for semiconductor and advanced-electronics materials, including gallium, germanium, indium, antimony, tantalum, tungsten, tin, copper, nickel, cobalt, high-purity aluminum and alumina, semiconductor-grade silicon, and other materials designated in Annex 37-A.</w:t>
      </w:r>
    </w:p>
    <w:p>
      <w:pPr>
        <w:pStyle w:val="Normal"/>
      </w:pPr>
      <w:r>
        <w:t>2. Cooperation shall prioritize not only extraction but recovery from by-product streams, refining, ultra-high-purity processing, recycling, qualification, and other stages necessary to deliver semiconductor-grade material to North American manufacturers.</w:t>
      </w:r>
    </w:p>
    <w:p>
      <w:pPr>
        <w:pStyle w:val="Normal"/>
      </w:pPr>
      <w:r>
        <w:t>3. The Parties may support joint research into improved recovery yields, purification, recycling, material efficiency, substitution, and reduced dependence on single-source bottlenecks. Participation shall remain technology-neutral and shall not require blanket exclusion of a non-Party supplier solely by reason of nationality.</w:t>
      </w:r>
    </w:p>
    <w:p>
      <w:pPr>
        <w:pStyle w:val="Normal"/>
      </w:pPr>
      <w:r>
        <w:t>4. Government-supported offtake, financing, or stockpile arrangements shall use transparent criteria and shall preserve reasonable commercial access for domestic users and diversified global trade.</w:t>
      </w:r>
    </w:p>
    <w:p>
      <w:pPr>
        <w:pStyle w:val="Heading2"/>
      </w:pPr>
      <w:bookmarkStart w:id="901325" w:name="_Toc300001324"/>
      <w:r>
        <w:t>Article 37.10: North American Strategic Materials Compact and Reciprocal Supply Assurance</w:t>
      </w:r>
      <w:bookmarkEnd w:id="901325"/>
    </w:p>
    <w:p>
      <w:pPr>
        <w:pStyle w:val="Normal"/>
      </w:pPr>
      <w:r>
        <w:t>1. The Parties establish a North American Strategic Materials Compact through which Canada, Mexico, and the United States may undertake reciprocal supply, continuity, processing, qualification, recycling, financing, and emergency-access commitments for critical minerals and strategic industrial inputs.</w:t>
      </w:r>
    </w:p>
    <w:p>
      <w:pPr>
        <w:pStyle w:val="Normal"/>
      </w:pPr>
      <w:r>
        <w:t>2. The Compact shall be reciprocal. No Party shall be treated solely as a source of raw materials, a residual market, or a destination for surplus production. Each Party may participate as producer, processor, manufacturer, consumer, investor, recycler, technology partner, or strategic purchaser.</w:t>
      </w:r>
    </w:p>
    <w:p>
      <w:pPr>
        <w:pStyle w:val="Normal"/>
      </w:pPr>
      <w:r>
        <w:t>3. A strategic supply commitment guarantees agreed rules of access and commercially reasonable availability; it does not transfer ownership of a Party's resources, create an unlimited first claim on production, require below-market sales, or override essential domestic requirements.</w:t>
      </w:r>
    </w:p>
    <w:p>
      <w:pPr>
        <w:pStyle w:val="Normal"/>
      </w:pPr>
      <w:r>
        <w:t>4. The Commission shall maintain Annex 37-C as a living strategic-materials matrix identifying lead opportunities, strategic forms, commitment types, processing bottlenecks, qualification needs, and reciprocal value for the three Parties.</w:t>
      </w:r>
    </w:p>
    <w:p>
      <w:pPr>
        <w:pStyle w:val="Normal"/>
      </w:pPr>
      <w:r>
        <w:t>5. Commitments under this Article shall be interpreted together with Articles 37.3, 37.5, 37.6, 37.7, Chapter 38, and applicable environmental, labour, Indigenous-rights, sanctions, security, and trade-remedy provisions of this Agreement.</w:t>
      </w:r>
    </w:p>
    <w:p>
      <w:pPr>
        <w:pStyle w:val="Heading2"/>
      </w:pPr>
      <w:bookmarkStart w:id="901326" w:name="_Toc300001325"/>
      <w:r>
        <w:t>Article 37.11: Strategic Availability Rates, Capacity-Ramp Commitments, and Continuity Guarantees</w:t>
      </w:r>
      <w:bookmarkEnd w:id="901326"/>
    </w:p>
    <w:p>
      <w:pPr>
        <w:pStyle w:val="Normal"/>
      </w:pPr>
      <w:r>
        <w:t>1. A scheduled material may receive one or more of the following commitment types: (a) a Bounded Surge Commitment for mature production; (b) a Capacity-Ramp Commitment for new or expanding projects; (c) a Continuity Guarantee for established high-volume trade; or (d) a Processing and Qualification Guarantee where refining, separation, purification, conversion, metallurgy, or technical qualification is the principal bottleneck.</w:t>
      </w:r>
    </w:p>
    <w:p>
      <w:pPr>
        <w:pStyle w:val="Normal"/>
      </w:pPr>
      <w:r>
        <w:t>2. A Strategic Availability Rate (SAR) expresses the maximum additional qualifying supply that a Party is prepared to seek to make commercially available above an agreed baseline. An SAR is a ceiling for a bounded commitment, not an unconditional production mandate or fixed purchase obligation.</w:t>
      </w:r>
    </w:p>
    <w:p>
      <w:pPr>
        <w:pStyle w:val="Normal"/>
      </w:pPr>
      <w:r>
        <w:t>3. A Capacity-Ramp Commitment applies to verified incremental commercially available capacity as a project enters production and shall account for commissioning, qualification, ramp-up, existing contracts, domestic requirements, permitting, infrastructure, community and Indigenous obligations, and force majeure.</w:t>
      </w:r>
    </w:p>
    <w:p>
      <w:pPr>
        <w:pStyle w:val="Normal"/>
      </w:pPr>
      <w:r>
        <w:t>4. A Continuity Guarantee protects existing strategic trade against arbitrary disruption and may include notice, consultation, emergency allocation, qualification continuity, and non-discriminatory access rather than an obligation to increase tonnage.</w:t>
      </w:r>
    </w:p>
    <w:p>
      <w:pPr>
        <w:pStyle w:val="Normal"/>
      </w:pPr>
      <w:r>
        <w:t>5. Product-specific commitments may distinguish ore, concentrate, refined metal, chemical compounds, ferroalloys, high-purity forms, powders, active materials, magnets, fabricated inputs, recycled material, or other forms where broad commodity treatment would obscure the actual strategic bottleneck.</w:t>
      </w:r>
    </w:p>
    <w:p>
      <w:pPr>
        <w:pStyle w:val="Heading2"/>
      </w:pPr>
      <w:bookmarkStart w:id="901327" w:name="_Toc300001326"/>
      <w:r>
        <w:t>Article 37.12: Strategic Availability Calibration and Technical Review</w:t>
      </w:r>
      <w:bookmarkEnd w:id="901327"/>
    </w:p>
    <w:p>
      <w:pPr>
        <w:pStyle w:val="Normal"/>
      </w:pPr>
      <w:r>
        <w:t>1. Before a numerical SAR or equivalent quantitative commitment becomes operative, the Secretariat shall coordinate an independent technical calibration considering current and planned production; unused and expansion capacity; domestic consumption; existing contracts; import dependence; allied alternatives; processing constraints; strategic importance; substitutability; market concentration; project maturity; infrastructure; environmental constraints; labour conditions; community and Indigenous obligations; and expected demand growth.</w:t>
      </w:r>
    </w:p>
    <w:p>
      <w:pPr>
        <w:pStyle w:val="Normal"/>
      </w:pPr>
      <w:r>
        <w:t>2. Negotiating reference percentages in Annex 37-C are provisional targets until calibrated under paragraph 1. The certified rate may be lower or higher where the evidence supports adjustment.</w:t>
      </w:r>
    </w:p>
    <w:p>
      <w:pPr>
        <w:pStyle w:val="Normal"/>
      </w:pPr>
      <w:r>
        <w:t>3. Calibration shall use product-specific baselines and shall not aggregate unlike material forms where doing so would materially misstate strategic availability.</w:t>
      </w:r>
    </w:p>
    <w:p>
      <w:pPr>
        <w:pStyle w:val="Normal"/>
        <w:spacing w:before="0" w:after="0"/>
        <w:widowControl w:val="1"/>
      </w:pPr>
      <w:r>
        <w:t>4. Certified rates and commitment forms shall be reviewed periodically and may have purely technical measurement details maintained through Article 34.3.A, while a change to the operative commitment requires Article 34.3 unless expressly authorized within an existing non-substantive range where underlying capacity, demand, technology, market structure, or strategic risk materially changes.</w:t>
      </w:r>
    </w:p>
    <w:p/>
    <w:p>
      <w:pPr>
        <w:pStyle w:val="Normal"/>
      </w:pPr>
      <w:r>
        <w:t>5. Failure to achieve a reference percentage because the calibrated commercially feasible rate is lower shall not constitute non-compliance where the Party has complied with this Article and the applicable certified commitment.</w:t>
      </w:r>
    </w:p>
    <w:p>
      <w:pPr>
        <w:spacing w:before="0" w:after="0"/>
        <w:widowControl w:val="1"/>
      </w:pPr>
      <w:r>
        <w:t>6. ONE MATERIALS CALIBRATION AND ADOPTION TRACK. Article 37.6C negotiating ranges and Annex 37-C reference targets are non-binding alternative inputs to the single Article 37.12 calibration track, and neither takes priority as an operative delivery obligation before valid schedule adoption. A three-member qualified Article 35.10 factual Team constituted by the Secretariat within five days reports the capacity, baseline and feasible rate within thirty days, and the Commission adopts the authenticated material-specific commitment by consensus within existing express authority or through Article 34.3 if substantive obligations change. Only that adopted schedule defines a scheduled material and its certified rate, with the Article 37.12(5) safe harbor covering both sets of pre-adoption references and continuity entries remaining qualitative unless expressly quantified. The accelerated shortage process in Article 37.15 is the Article 35.21 factual referral and Article 31.A legal review, with no separate Chapter 46 body or unscheduled percentage taking legal effect by implication.</w:t>
      </w:r>
    </w:p>
    <w:p/>
    <w:p>
      <w:pPr>
        <w:pStyle w:val="Heading2"/>
      </w:pPr>
      <w:bookmarkStart w:id="901328" w:name="_Toc300001327"/>
      <w:r>
        <w:t>Article 37.13: Strategic Value-Added Levels and Processing-First Development</w:t>
      </w:r>
      <w:bookmarkEnd w:id="901328"/>
    </w:p>
    <w:p>
      <w:pPr>
        <w:pStyle w:val="Normal"/>
      </w:pPr>
      <w:r>
        <w:t>1. The Compact shall seek to increase North American value added rather than merely accelerate extraction. Before activating a substantial raw-material supply commitment, the Parties shall review whether additional North American recovery, refining, processing, conversion, alloying, component production, or recycling is commercially and strategically viable.</w:t>
      </w:r>
    </w:p>
    <w:p>
      <w:pPr>
        <w:pStyle w:val="Normal"/>
      </w:pPr>
      <w:r>
        <w:t>2. Strategic Value-Added Levels (SVAL) may be assigned from primary extraction or recovery through progressively higher stages of beneficiation, refining, high-purity conversion, strategic-component production, and closed-loop recycling.</w:t>
      </w:r>
    </w:p>
    <w:p>
      <w:pPr>
        <w:pStyle w:val="Normal"/>
      </w:pPr>
      <w:r>
        <w:t>3. Financing, qualification, customs facilitation, procurement eligibility, reserve access, infrastructure coordination, or other benefits may place greater weight on projects that resolve an identified North American processing bottleneck or move production to a higher SVAL.</w:t>
      </w:r>
    </w:p>
    <w:p>
      <w:pPr>
        <w:pStyle w:val="Normal"/>
      </w:pPr>
      <w:r>
        <w:t>4. A Party increasing strategic supply primarily for the benefit of another Party should receive meaningful opportunity for corresponding investment in extraction, processing, recycling, infrastructure, or downstream manufacturing within the supplying Party, consistent with domestic law and commercial viability.</w:t>
      </w:r>
    </w:p>
    <w:p>
      <w:pPr>
        <w:pStyle w:val="Normal"/>
      </w:pPr>
      <w:r>
        <w:t>5. Nothing in this Article requires inefficient localization, mandatory technology transfer, domestic-content discrimination inconsistent with this Agreement, or construction of processing capacity where objective analysis shows that such capacity is not commercially or strategically justified.</w:t>
      </w:r>
    </w:p>
    <w:p>
      <w:pPr>
        <w:pStyle w:val="Heading2"/>
      </w:pPr>
      <w:bookmarkStart w:id="901329" w:name="_Toc300001328"/>
      <w:r>
        <w:t>Article 37.14: Strategic Project Pipeline, Qualification, Offtake, and Reserve Eligibility</w:t>
      </w:r>
      <w:bookmarkEnd w:id="901329"/>
    </w:p>
    <w:p>
      <w:pPr>
        <w:pStyle w:val="Normal"/>
      </w:pPr>
      <w:r>
        <w:t>1. The Parties shall maintain a voluntary Strategic Project Pipeline identifying projects capable of resolving verified North American supply, processing, qualification, recycling, logistics, or strategic-form gaps.</w:t>
      </w:r>
    </w:p>
    <w:p>
      <w:pPr>
        <w:pStyle w:val="Normal"/>
      </w:pPr>
      <w:r>
        <w:t>2. Pipeline information may include project maturity, expected capacity, material form, infrastructure needs, qualification lead times, financing gap, applicable community or Indigenous participation arrangements, and the strategic bottleneck addressed, while protecting confidential information.</w:t>
      </w:r>
    </w:p>
    <w:p>
      <w:pPr>
        <w:pStyle w:val="Normal"/>
      </w:pPr>
      <w:r>
        <w:t>3. Government agencies may, where authorized by domestic law, facilitate standardized long-term offtake arrangements, demand aggregation, loan guarantees, project finance, equity participation, procurement qualification, or other investment tools using transparent and technology-neutral criteria.</w:t>
      </w:r>
    </w:p>
    <w:p>
      <w:pPr>
        <w:pStyle w:val="Normal"/>
      </w:pPr>
      <w:r>
        <w:t>4. Qualifying Canadian, Mexican, and United States materials shall be eligible to compete for strategic reserve procurement, defense or infrastructure qualification, and comparable public demand programs on terms not less favorable solely because the material originates in another Party, subject to domestic law, security requirements, technical specifications, and applicable procurement obligations.</w:t>
      </w:r>
    </w:p>
    <w:p>
      <w:pPr>
        <w:pStyle w:val="Normal"/>
      </w:pPr>
      <w:r>
        <w:t>5. The Parties shall establish accelerated technical pathways for testing and qualifying new North American material sources where an existing qualification bottleneck materially impedes strategic substitution. Qualification shall not be waived where safety, performance, or mission requirements make testing necessary.</w:t>
      </w:r>
    </w:p>
    <w:p>
      <w:pPr>
        <w:pStyle w:val="Normal"/>
      </w:pPr>
      <w:r>
        <w:t>6. No government-supported offtake or reserve mechanism shall guarantee a producer a fixed price, purchase volume, or commercial return unless expressly authorized under domestic law.</w:t>
      </w:r>
    </w:p>
    <w:p>
      <w:pPr>
        <w:pStyle w:val="Heading2"/>
      </w:pPr>
      <w:bookmarkStart w:id="901330" w:name="_Toc300001329"/>
      <w:r>
        <w:t>Article 37.15: Emergency Allocation, Domestic-Needs Floor, and No Preferential Starvation</w:t>
      </w:r>
      <w:bookmarkEnd w:id="901330"/>
    </w:p>
    <w:p>
      <w:pPr>
        <w:pStyle w:val="Normal"/>
      </w:pPr>
      <w:r>
        <w:t>1. No Party is required to impair essential domestic requirements in order to satisfy another Party's strategic-material demand.</w:t>
      </w:r>
    </w:p>
    <w:p>
      <w:pPr>
        <w:pStyle w:val="Normal"/>
      </w:pPr>
      <w:r>
        <w:t>2. During a verified shortage, a Party restricting a scheduled strategic material shall apply a transparent and proportionate allocation method that considers essential domestic requirements, existing essential contracts, health and safety, critical infrastructure, defense and strategic continuity, high-priority manufacturing, and historical North American supply relationships.</w:t>
      </w:r>
    </w:p>
    <w:p>
      <w:pPr>
        <w:pStyle w:val="Normal"/>
      </w:pPr>
      <w:r>
        <w:t>3. After essential domestic requirements are addressed, a Party shall not unreasonably discriminate against another Party in the allocation of remaining exportable strategic supply relative to materially comparable non-Party destinations, subject to sanctions, security measures, international obligations, force majeure, and other defined exceptions.</w:t>
      </w:r>
    </w:p>
    <w:p>
      <w:pPr>
        <w:pStyle w:val="Normal"/>
      </w:pPr>
      <w:r>
        <w:t>4. A Party shall not divert material received through an emergency-access mechanism to a non-Party for speculative resale or higher-priced arbitrage while the verified shortage continues, except with notice and where the diversion does not materially impair the emergency purpose.</w:t>
      </w:r>
    </w:p>
    <w:p>
      <w:pPr>
        <w:pStyle w:val="Normal"/>
      </w:pPr>
      <w:r>
        <w:t>5. Emergency allocation decisions shall be reviewable under an accelerated Cothrom factual process and shall not create permanent market shares or procurement entitlements.</w:t>
      </w:r>
    </w:p>
    <w:p>
      <w:pPr>
        <w:pStyle w:val="Heading2"/>
      </w:pPr>
      <w:bookmarkStart w:id="901331" w:name="_Toc300001330"/>
      <w:r>
        <w:t>Article 37.16: Anti-Hoarding, Anti-Diversion, Origin Integrity, and Strategic Supply Verification</w:t>
      </w:r>
      <w:bookmarkEnd w:id="901331"/>
    </w:p>
    <w:p>
      <w:pPr>
        <w:pStyle w:val="Normal"/>
      </w:pPr>
      <w:r>
        <w:t>1. The Parties shall guard against strategic hoarding, shell intermediaries, false shortage declarations, origin laundering, superficial processing, artificial shipment splitting, contract warehousing, stockpile arbitrage, fraudulent strategic-grade claims, emergency-access diversion, and other conduct designed to obtain Compact benefits without satisfying their substantive conditions.</w:t>
      </w:r>
    </w:p>
    <w:p>
      <w:pPr>
        <w:pStyle w:val="Normal"/>
      </w:pPr>
      <w:r>
        <w:t>2. Strategic-supply verification shall be risk-based and use the lowest-burden reliable evidence sufficient to establish origin, strategic form, qualification status, available capacity, and material compliance.</w:t>
      </w:r>
    </w:p>
    <w:p>
      <w:pPr>
        <w:pStyle w:val="Normal"/>
      </w:pPr>
      <w:r>
        <w:t>3. A firm shall not be penalized for commercially reasonable inventory management, hedging, long-term contracting, maintenance reserves, or ordinary global trade solely because such activity reduces immediately available spot supply.</w:t>
      </w:r>
    </w:p>
    <w:p>
      <w:pPr>
        <w:pStyle w:val="Normal"/>
      </w:pPr>
      <w:r>
        <w:t>4. Where abuse is established, remedies shall target the responsible trader, facility, shipment, or benefit where practicable and shall not automatically suspend a Party-wide strategic supply commitment.</w:t>
      </w:r>
    </w:p>
    <w:p>
      <w:pPr>
        <w:pStyle w:val="Normal"/>
      </w:pPr>
      <w:r>
        <w:t>5. Confidential production, reserve, contract, and inventory information shall be protected under Annex 35-C and applicable domestic law.</w:t>
      </w:r>
    </w:p>
    <w:p>
      <w:pPr>
        <w:pStyle w:val="Heading2"/>
      </w:pPr>
      <w:bookmarkStart w:id="901332" w:name="_Toc300001331"/>
      <w:r>
        <w:t>Article 37.17: Trilateral Industrialization, Community Participation, and Circular Supply</w:t>
      </w:r>
      <w:bookmarkEnd w:id="901332"/>
    </w:p>
    <w:p>
      <w:pPr>
        <w:pStyle w:val="Normal"/>
      </w:pPr>
      <w:r>
        <w:t>1. The Parties shall use the Compact to promote resilient continental industrial capacity and shall assess benefits and adjustment costs for Canada, Mexico, and the United States separately.</w:t>
      </w:r>
    </w:p>
    <w:p>
      <w:pPr>
        <w:pStyle w:val="Normal"/>
      </w:pPr>
      <w:r>
        <w:t>2. Mexico shall be integrated as a full strategic supplier, processor, manufacturer, recycler, and investment destination, including for materials and value chains in which Mexican production or processing provides a comparative North American advantage.</w:t>
      </w:r>
    </w:p>
    <w:p>
      <w:pPr>
        <w:pStyle w:val="Normal"/>
      </w:pPr>
      <w:r>
        <w:t>3. Canada shall retain the ability to prioritize domestic value-added development and shall not be required to expand raw exports where a commercially viable North American processing opportunity would be materially undermined without review under Article 37.13.</w:t>
      </w:r>
    </w:p>
    <w:p>
      <w:pPr>
        <w:pStyle w:val="Normal"/>
      </w:pPr>
      <w:r>
        <w:t>4. The United States shall participate not only as a consumer and financier but also through reciprocal continuity of strategic industrial inputs, processing, qualification, specialty materials, manufacturing capacity, recycling, and other value-chain contributions identified in Annex 37-C.</w:t>
      </w:r>
    </w:p>
    <w:p>
      <w:pPr>
        <w:pStyle w:val="Normal"/>
      </w:pPr>
      <w:r>
        <w:t>5. Indigenous peoples and affected local communities shall have access, consistent with domestic law, to consultation, workforce, infrastructure, equity, procurement, benefit-sharing, and investment opportunities associated with qualifying projects. Nothing in this Chapter diminishes constitutionally protected Aboriginal or treaty rights or Indigenous self-government arrangements.</w:t>
      </w:r>
    </w:p>
    <w:p>
      <w:pPr>
        <w:pStyle w:val="Normal"/>
      </w:pPr>
      <w:r>
        <w:t>6. Qualifying recycled and recovered materials may satisfy supply and continuity commitments where technically equivalent and traceable, thereby reducing unnecessary pressure for primary extraction.</w:t>
      </w:r>
    </w:p>
    <w:p>
      <w:pPr>
        <w:pStyle w:val="Heading2"/>
      </w:pPr>
      <w:bookmarkStart w:id="901333" w:name="_Toc300001332"/>
      <w:r>
        <w:t>Article 37.18: Strategic Resources Stability Bargain and Cross-Sector De-escalation</w:t>
      </w:r>
      <w:bookmarkEnd w:id="901333"/>
    </w:p>
    <w:p>
      <w:pPr>
        <w:pStyle w:val="Normal"/>
      </w:pPr>
      <w:r>
        <w:t>1. The Parties recognize that deeper strategic-material security may support broader negotiated resource and industrial stability, including durable treatment for sectors exposed to recurring tariff or trade-remedy uncertainty.</w:t>
      </w:r>
    </w:p>
    <w:p>
      <w:pPr>
        <w:pStyle w:val="Normal"/>
      </w:pPr>
      <w:r>
        <w:t>2. Canada may package verified strategic-mineral availability, processing, qualification, reserve, or continuity commitments with negotiated measures promoting durable United States market stability for Canadian resource sectors, including forestry and metals, where the Parties agree that the combined package produces reciprocal value.</w:t>
      </w:r>
    </w:p>
    <w:p>
      <w:pPr>
        <w:pStyle w:val="Normal"/>
      </w:pPr>
      <w:r>
        <w:t>3. Mexico may package verified strategic-material commitments with negotiated measures promoting durable United States market stability for Mexican metals, manufacturing, infrastructure, or other sectors, consistent with this Agreement.</w:t>
      </w:r>
    </w:p>
    <w:p>
      <w:pPr>
        <w:pStyle w:val="Normal"/>
      </w:pPr>
      <w:r>
        <w:t>4. Cross-sector linkage shall operate through staged treaty benefits and proportionate remedies rather than automatic interruption of strategically essential material flows.</w:t>
      </w:r>
    </w:p>
    <w:p>
      <w:pPr>
        <w:pStyle w:val="Normal"/>
      </w:pPr>
      <w:r>
        <w:t>5. Failure in one linked sector shall trigger consultation, Cothrom review, cure, and proportionate suspension of equivalent benefits where authorized. It shall not automatically terminate emergency-access commitments whose interruption would create disproportionate health, safety, defense, energy, or infrastructure risk.</w:t>
      </w:r>
    </w:p>
    <w:p>
      <w:pPr>
        <w:pStyle w:val="Normal"/>
      </w:pPr>
      <w:r>
        <w:t>6. The Three-Win Test applies to any major linked package: the Commission shall identify a defensible material benefit for Canada, Mexico, and the United States and shall avoid concentrating uncompensated adjustment costs in one Party.</w:t>
      </w:r>
    </w:p>
    <w:p>
      <w:pPr>
        <w:pStyle w:val="Heading2"/>
      </w:pPr>
      <w:bookmarkStart w:id="901335" w:name="_Toc300001334"/>
      <w:r>
        <w:t>Article 37.19: North American Strategic Minerals Bargain Framework</w:t>
      </w:r>
      <w:bookmarkEnd w:id="901335"/>
    </w:p>
    <w:p>
      <w:pPr>
        <w:pStyle w:val="Normal"/>
      </w:pPr>
      <w:r>
        <w:t>1. The Parties shall use this Chapter not only to manage shortages but to create reciprocal commercial bargains that connect secure mineral access, processing, industrial investment, procurement eligibility, strategic reserves, recycling, and market-access normalization. A qualifying bargain shall identify the material contribution and reciprocal benefit of each participating Party.</w:t>
      </w:r>
    </w:p>
    <w:p>
      <w:pPr>
        <w:pStyle w:val="Normal"/>
      </w:pPr>
      <w:r>
        <w:t>2. Bargains may be bilateral or trilateral. A bilateral bargain shall not reduce the existing rights of the third Party under this Agreement, alter continental origin rules without the applicable procedure, or create a disguised restriction on legitimate trade with the third Party.</w:t>
      </w:r>
    </w:p>
    <w:p>
      <w:pPr>
        <w:pStyle w:val="Normal"/>
      </w:pPr>
      <w:r>
        <w:t>3. The Commission shall prefer concrete exchanges capable of implementation over undifferentiated mineral commitments. Examples include increased qualifying mineral availability in exchange for processing investment, stable offtake, procurement access, tariff normalization, infrastructure facilitation, or secure access to industrial inputs required by the supplying Party.</w:t>
      </w:r>
    </w:p>
    <w:p>
      <w:pPr>
        <w:pStyle w:val="Heading2"/>
      </w:pPr>
      <w:bookmarkStart w:id="901336" w:name="_Toc300001335"/>
      <w:r>
        <w:t>Article 37.20: Strategic Supply Access and Offtake</w:t>
      </w:r>
      <w:bookmarkEnd w:id="901336"/>
    </w:p>
    <w:p>
      <w:pPr>
        <w:pStyle w:val="Normal"/>
      </w:pPr>
      <w:r>
        <w:t>1. A Party possessing established or expansion-ready capacity in a designated material may offer another Party enhanced long-term access to commercially available qualifying supply, including through voluntary long-term contracts, offtake arrangements, reserve eligibility, expedited qualification, processing access, and emergency continuity procedures.</w:t>
      </w:r>
    </w:p>
    <w:p>
      <w:pPr>
        <w:pStyle w:val="Normal"/>
      </w:pPr>
      <w:r>
        <w:t>2. Enhanced access does not constitute an unconditional extraction or export quota. No Party is required to compel production, override an existing commercial contract, waive environmental or labor law, disregard Indigenous or tribal rights, or deliver material that is not commercially, technically, legally, or physically available.</w:t>
      </w:r>
    </w:p>
    <w:p>
      <w:pPr>
        <w:pStyle w:val="Normal"/>
      </w:pPr>
      <w:r>
        <w:t>3. Where public support is used to sustain strategically necessary capacity that ordinary spot-market conditions would not reliably support, support shall be transparent, targeted, periodically reviewed, and designed to preserve minimum viable capacity rather than guarantee excess profits.</w:t>
      </w:r>
    </w:p>
    <w:p>
      <w:pPr>
        <w:pStyle w:val="Heading2"/>
      </w:pPr>
      <w:bookmarkStart w:id="901337" w:name="_Toc300001336"/>
      <w:r>
        <w:t>Article 37.21: Midstream Gap Register and Raw-to-Refined Additionality</w:t>
      </w:r>
      <w:bookmarkEnd w:id="901337"/>
    </w:p>
    <w:p>
      <w:pPr>
        <w:pStyle w:val="Normal"/>
      </w:pPr>
      <w:r>
        <w:t>1. The Economic Security and Supply Chain Resilience Subcommittee shall maintain a North American Midstream Gap Register identifying strategically important conversion, separation, smelting, refining, purification, alloying, precursor, magnet, anode, cathode, semiconductor-material, sponge-metal, and other processing capabilities that are unavailable or insufficient within North America.</w:t>
      </w:r>
    </w:p>
    <w:p>
      <w:pPr>
        <w:pStyle w:val="Normal"/>
      </w:pPr>
      <w:r>
        <w:t>2. Qualifying projects receive progressively stronger eligibility for financing coordination, procurement qualification, infrastructure facilitation, research cooperation, and other incentives where they move a material one or more additional value-chain stages within North America and create net new continental capability.</w:t>
      </w:r>
    </w:p>
    <w:p>
      <w:pPr>
        <w:pStyle w:val="Normal"/>
      </w:pPr>
      <w:r>
        <w:t>3. The Parties shall apply a Continental Additionality Test to avoid subsidizing relocation of an existing North American facility where substantially equivalent continental capacity would merely move from one Party to another without a material resilience gain.</w:t>
      </w:r>
    </w:p>
    <w:p>
      <w:pPr>
        <w:pStyle w:val="Heading2"/>
      </w:pPr>
      <w:bookmarkStart w:id="901338" w:name="_Toc300001337"/>
      <w:r>
        <w:t>Article 37.22: Canada - Midstream Industrialization Track</w:t>
      </w:r>
      <w:bookmarkEnd w:id="901338"/>
    </w:p>
    <w:p>
      <w:pPr>
        <w:pStyle w:val="Normal"/>
      </w:pPr>
      <w:r>
        <w:t>1. Canada may designate priority processing gaps in which Canadian or trusted feedstock can support greater North American value-added production, including rare-earth separation and magnet materials; battery-grade lithium compounds and graphite anode material; silicon and high-purity semiconductor inputs; specialty steels and alloys; magnesium products; titanium sponge and alloys; nickel and cobalt compounds; and other materials identified in the Midstream Gap Register.</w:t>
      </w:r>
    </w:p>
    <w:p>
      <w:pPr>
        <w:pStyle w:val="Normal"/>
      </w:pPr>
      <w:r>
        <w:t>2. The Parties shall endeavor to pair enhanced access to Canadian strategic resources with investment, technology, qualification, infrastructure, workforce, procurement, and offtake measures that expand processing and downstream capacity in Canada and elsewhere in North America.</w:t>
      </w:r>
    </w:p>
    <w:p>
      <w:pPr>
        <w:pStyle w:val="Normal"/>
      </w:pPr>
      <w:r>
        <w:t>3. Nothing in this Article requires Canada to retain a fixed share of processing domestically. The objective is measurable growth in North American value-added capacity while preventing the strategic framework from treating Canada solely as a raw-material supplier.</w:t>
      </w:r>
    </w:p>
    <w:p>
      <w:pPr>
        <w:pStyle w:val="Heading2"/>
      </w:pPr>
      <w:bookmarkStart w:id="901339" w:name="_Toc300001338"/>
      <w:r>
        <w:t>Article 37.23: United States - Strategic Dependency Reduction Track</w:t>
      </w:r>
      <w:bookmarkEnd w:id="901339"/>
    </w:p>
    <w:p>
      <w:pPr>
        <w:pStyle w:val="Normal"/>
      </w:pPr>
      <w:r>
        <w:t>1. The United States may designate materials for which import concentration, lack of primary production, inadequate processing, or downstream strategic exposure creates a material dependency. Initial candidates may include gallium, germanium, niobium, tantalum, scandium, yttrium, indium, antimony, tungsten, titanium sponge, rare-earth materials, cobalt, nickel, high-purity silicon, specialty copper products, and other materials supported by current evidence.</w:t>
      </w:r>
    </w:p>
    <w:p>
      <w:pPr>
        <w:pStyle w:val="Normal"/>
      </w:pPr>
      <w:r>
        <w:t>2. The Parties shall prioritize diversified North American or Trusted Strategic Materials Source supply, by-product recovery, processing, recycling, minimum viable capacity, strategic inventories, and long-term commercial qualification for designated dependencies.</w:t>
      </w:r>
    </w:p>
    <w:p>
      <w:pPr>
        <w:pStyle w:val="Normal"/>
      </w:pPr>
      <w:r>
        <w:t>3. United States financing, procurement, technical capability, research infrastructure, industrial demand, and qualification capacity may be paired with Canadian and Mexican resource, processing, recycling, and manufacturing contributions on reciprocal terms.</w:t>
      </w:r>
    </w:p>
    <w:p>
      <w:pPr>
        <w:pStyle w:val="Heading2"/>
      </w:pPr>
      <w:bookmarkStart w:id="901340" w:name="_Toc300001339"/>
      <w:r>
        <w:t>Article 37.24: Mexico - Industrial Inputs Security and Specialty Minerals Track</w:t>
      </w:r>
      <w:bookmarkEnd w:id="901340"/>
    </w:p>
    <w:p>
      <w:pPr>
        <w:pStyle w:val="Normal"/>
      </w:pPr>
      <w:r>
        <w:t>1. Mexico may designate industrial inputs for which its automotive, aerospace, electronics, energy, steel, chemical, or advanced-manufacturing sectors face material domestic shortages or import concentration. Initial candidates may include primary and specialty aluminum products, chromium and ferrochrome, titanium sponge and aerospace alloys, battery-grade lithium compounds, nickel, cobalt, germanium, tantalum, vanadium, selected cadmium applications, platinum-group metals, and other materials supported by current evidence.</w:t>
      </w:r>
    </w:p>
    <w:p>
      <w:pPr>
        <w:pStyle w:val="Normal"/>
      </w:pPr>
      <w:r>
        <w:t>2. Mexico shall also be recognized as a strategic supplier where it possesses established or expansion-ready North American capacity, including fluorspar, antimony, bismuth, silver, zinc, copper, lead, barite, manganese, and other designated materials.</w:t>
      </w:r>
    </w:p>
    <w:p>
      <w:pPr>
        <w:pStyle w:val="Normal"/>
      </w:pPr>
      <w:r>
        <w:t>3. The Parties shall endeavor to pair Mexican specialty-mineral access with secure industrial-input supply, value-added processing, infrastructure, financing, recycling, component production, and technology investment so that Mexico participates as both a strategic supplier and a higher-value downstream manufacturer.</w:t>
      </w:r>
    </w:p>
    <w:p>
      <w:pPr>
        <w:pStyle w:val="Heading2"/>
      </w:pPr>
      <w:bookmarkStart w:id="901341" w:name="_Toc300001340"/>
      <w:r>
        <w:t>Article 37.25: Mexican Fluorspar, Antimony, and Bismuth Cooperation</w:t>
      </w:r>
      <w:bookmarkEnd w:id="901341"/>
    </w:p>
    <w:p>
      <w:pPr>
        <w:pStyle w:val="Normal"/>
      </w:pPr>
      <w:r>
        <w:t>1. The Parties shall establish a priority cooperation lane for Mexican fluorspar, antimony, and bismuth, subject to verified commercial availability and current production data.</w:t>
      </w:r>
    </w:p>
    <w:p>
      <w:pPr>
        <w:pStyle w:val="Normal"/>
      </w:pPr>
      <w:r>
        <w:t>2. Fluorspar cooperation may include acid-grade beneficiation, hydrogen-fluoride and fluorochemical conversion, semiconductor and battery inputs, aluminum and metallurgical uses, applicable nuclear-fuel-cycle inputs, logistics resilience, and bounded surge planning.</w:t>
      </w:r>
    </w:p>
    <w:p>
      <w:pPr>
        <w:pStyle w:val="Normal"/>
      </w:pPr>
      <w:r>
        <w:t>3. Antimony cooperation may include long-term offtake, minimum viable Western Hemisphere capacity, refining, recycling, strategic inventories, and qualification for defense, electronics, flame-retardant, battery, and other lawful industrial applications.</w:t>
      </w:r>
    </w:p>
    <w:p>
      <w:pPr>
        <w:pStyle w:val="Normal"/>
      </w:pPr>
      <w:r>
        <w:t>4. Bismuth cooperation shall emphasize by-product recovery from qualifying lead, silver, and other metallurgical streams; refining; recycling; environmentally preferable substitution applications; and secure access for North American manufacturing and research.</w:t>
      </w:r>
    </w:p>
    <w:p>
      <w:pPr>
        <w:pStyle w:val="Heading2"/>
      </w:pPr>
      <w:bookmarkStart w:id="901342" w:name="_Toc300001341"/>
      <w:r>
        <w:t>Article 37.26: By-Product Recovery and Circular Strategic Materials Initiative</w:t>
      </w:r>
      <w:bookmarkEnd w:id="901342"/>
    </w:p>
    <w:p>
      <w:pPr>
        <w:pStyle w:val="Normal"/>
      </w:pPr>
      <w:r>
        <w:t>1. The Parties shall facilitate recovery of gallium, germanium, indium, tellurium, bismuth, cobalt, precious metals, rare-earth elements, and other strategic materials present in mine tailings, smelter residues, refinery streams, electronic waste, batteries, industrial scrap, and other lawful secondary sources.</w:t>
      </w:r>
    </w:p>
    <w:p>
      <w:pPr>
        <w:pStyle w:val="Normal"/>
      </w:pPr>
      <w:r>
        <w:t>2. Recovered material satisfying applicable origin and traceability requirements receives treatment equivalent to qualifying primary material for resilience, procurement, reserve, and processing programs unless a program expressly requires virgin feedstock for technical reasons.</w:t>
      </w:r>
    </w:p>
    <w:p>
      <w:pPr>
        <w:pStyle w:val="Normal"/>
      </w:pPr>
      <w:r>
        <w:t>3. Support may include pilot recovery facilities, shared metallurgical testing, environmental characterization, demonstration projects, long-term offtake, and coordinated qualification of recovered material.</w:t>
      </w:r>
    </w:p>
    <w:p>
      <w:pPr>
        <w:pStyle w:val="Heading2"/>
      </w:pPr>
      <w:bookmarkStart w:id="901343" w:name="_Toc300001342"/>
      <w:r>
        <w:t>Article 37.27: In-Continent Conversion Incentive and Processing Retention Principle</w:t>
      </w:r>
      <w:bookmarkEnd w:id="901343"/>
    </w:p>
    <w:p>
      <w:pPr>
        <w:pStyle w:val="Normal"/>
      </w:pPr>
      <w:r>
        <w:t>1. The Parties shall encourage, rather than compel, increased conversion of qualifying strategic minerals into higher-value intermediate and finished materials within North America. Enhanced benefits may be attached to projects that add separation, refining, chemical conversion, alloying, magnet production, semiconductor-grade purification, battery-material production, component manufacturing, or other substantial processing stages within a Party.</w:t>
      </w:r>
    </w:p>
    <w:p>
      <w:pPr>
        <w:pStyle w:val="Normal"/>
      </w:pPr>
      <w:r>
        <w:t>2. Nothing in this Article authorizes an export ban, compulsory local-processing quota, or restriction inconsistent with this Agreement. The Processing Retention Principle is implemented through positive incentives, qualification, infrastructure, procurement, financing, and commercial arrangements.</w:t>
      </w:r>
    </w:p>
    <w:p>
      <w:pPr>
        <w:pStyle w:val="Heading2"/>
      </w:pPr>
      <w:bookmarkStart w:id="901344" w:name="_Toc300001343"/>
      <w:r>
        <w:t>Article 37.28: Strategic Supply Surge Doctrine</w:t>
      </w:r>
      <w:bookmarkEnd w:id="901344"/>
    </w:p>
    <w:p>
      <w:pPr>
        <w:pStyle w:val="Normal"/>
      </w:pPr>
      <w:r>
        <w:t>1. Strategic Supply Surge Capacity means the verified ability, during a qualifying supply disruption, to increase the availability of a designated material above an agreed reference baseline through additional production, processing, refining, recycling, inventory release, logistics optimization, temporary use of idle capacity, qualified substitution, or other approved means.</w:t>
      </w:r>
    </w:p>
    <w:p>
      <w:pPr>
        <w:pStyle w:val="Normal"/>
      </w:pPr>
      <w:r>
        <w:t>2. A Surge Target is an indicative planning objective; Certified Surge Capacity is capacity supported by evidence at the time of certification; and a Surge Obligation is the duty to activate agreed procedures, coordinate, report, and use commercially and technically reasonable efforts. No percentage in Annex 37-C is an absolute production guarantee unless expressly converted into one by a separate binding schedule.</w:t>
      </w:r>
    </w:p>
    <w:p>
      <w:pPr>
        <w:pStyle w:val="Normal"/>
      </w:pPr>
      <w:r>
        <w:t>3. The reference baseline shall ordinarily use the preceding 12 months of normalized qualifying availability, adjusted for planned maintenance and extraordinary disruption. For seasonal or highly volatile materials, the Commission may use a normalized period of up to 36 months.</w:t>
      </w:r>
    </w:p>
    <w:p>
      <w:pPr>
        <w:pStyle w:val="Normal"/>
      </w:pPr>
      <w:r>
        <w:t>4. A Party is not in breach solely because geology, force majeure, labor disruption, unplanned equipment failure, safety requirements, permitting or judicial delay, or other circumstances outside its reasonable control prevent achievement of a Surge Target, provided it performs the applicable procedural and best-achievable mobilization obligations.</w:t>
      </w:r>
    </w:p>
    <w:p>
      <w:pPr>
        <w:pStyle w:val="Heading2"/>
      </w:pPr>
      <w:bookmarkStart w:id="901345" w:name="_Toc300001344"/>
      <w:r>
        <w:t>Article 37.29: Authorized Supply Surge Firewall</w:t>
      </w:r>
      <w:bookmarkEnd w:id="901345"/>
    </w:p>
    <w:p>
      <w:pPr>
        <w:pStyle w:val="Normal"/>
      </w:pPr>
      <w:r>
        <w:t>1. Increased trade resulting principally from an authorized Strategic Supply Surge, mutually agreed stockpile release, emergency continuity action, or verified North American supply-shortage response shall not, by reason of increased volume alone, constitute evidence of a distortion under Article 35.11.</w:t>
      </w:r>
    </w:p>
    <w:p>
      <w:pPr>
        <w:pStyle w:val="Normal"/>
      </w:pPr>
      <w:r>
        <w:t>2. This firewall does not protect fraud, dumping, prohibited subsidization, circumvention, discriminatory allocation, or other independently verifiable conduct inconsistent with this Agreement.</w:t>
      </w:r>
    </w:p>
    <w:p>
      <w:pPr>
        <w:pStyle w:val="Heading2"/>
      </w:pPr>
      <w:bookmarkStart w:id="901346" w:name="_Toc300001345"/>
      <w:r>
        <w:t>Article 37.30: North American Strategic Chain Qualification</w:t>
      </w:r>
      <w:bookmarkEnd w:id="901346"/>
    </w:p>
    <w:p>
      <w:pPr>
        <w:pStyle w:val="Normal"/>
      </w:pPr>
      <w:r>
        <w:t>1. The Commission may recognize a North American Strategic Chain where two or more Parties contribute material stages of extraction or recovery, processing, refining, component production, advanced manufacturing, or recycling to a designated strategic product.</w:t>
      </w:r>
    </w:p>
    <w:p>
      <w:pPr>
        <w:pStyle w:val="Normal"/>
      </w:pPr>
      <w:r>
        <w:t>2. Qualification may support expedited procurement eligibility, financing coordination, trusted-supplier treatment, customs facilitation, research cooperation, and other benefits authorized by this Agreement.</w:t>
      </w:r>
    </w:p>
    <w:p>
      <w:pPr>
        <w:pStyle w:val="Normal"/>
      </w:pPr>
      <w:r>
        <w:t>3. Illustrative chains may include Canadian extraction and refining linked to Mexican component production and United States advanced manufacturing; Mexican specialty-mineral supply linked to Canadian or United States processing and trilateral downstream use; or other combinations that satisfy the Three-Win Test.</w:t>
      </w:r>
    </w:p>
    <w:p>
      <w:pPr>
        <w:pStyle w:val="Heading2"/>
      </w:pPr>
      <w:bookmarkStart w:id="901347" w:name="_Toc300001346"/>
      <w:r>
        <w:t>Article 37.31: North American Strategic Industrial Scale-Up Pathway</w:t>
      </w:r>
      <w:bookmarkEnd w:id="901347"/>
    </w:p>
    <w:p>
      <w:pPr>
        <w:pStyle w:val="Normal"/>
      </w:pPr>
      <w:r>
        <w:t>1. The Parties establish a voluntary scale-up pathway for strategic-material technologies and facilities progressing from research through pilot, demonstration, qualification, commercial finance, procurement or offtake, and mature competitive operation.</w:t>
      </w:r>
    </w:p>
    <w:p>
      <w:pPr>
        <w:pStyle w:val="Normal"/>
      </w:pPr>
      <w:r>
        <w:t>2. Entry into one stage creates no entitlement to enter a later stage. Advancement shall depend on transparent evidence appropriate to the stage, including technical performance, environmental and worker-safety compliance, credible feedstock and customer assumptions, financing readiness, and a plausible route to commercial viability.</w:t>
      </w:r>
    </w:p>
    <w:p>
      <w:pPr>
        <w:pStyle w:val="Normal"/>
      </w:pPr>
      <w:r>
        <w:t>3. The pathway may coordinate existing domestic grants, loans, guarantees, tax measures, infrastructure support, procurement tools, and private finance. It does not create a supranational subsidy authority or require equal fiscal support by the Parties.</w:t>
      </w:r>
    </w:p>
    <w:p>
      <w:pPr>
        <w:pStyle w:val="Normal"/>
      </w:pPr>
      <w:r>
        <w:t>4. Public support shall be time-limited, additional to ordinary commercial activity, and structured to avoid indefinite dependence. Failed experiments may exit without penalty where reporting and integrity requirements were satisfied in good faith.</w:t>
      </w:r>
    </w:p>
    <w:p>
      <w:pPr>
        <w:pStyle w:val="Heading2"/>
      </w:pPr>
      <w:bookmarkStart w:id="901348" w:name="_Toc300001347"/>
      <w:r>
        <w:t>Article 37.32: Critical Minerals Pilot Plant and Demonstration Network</w:t>
      </w:r>
      <w:bookmarkEnd w:id="901348"/>
    </w:p>
    <w:p>
      <w:pPr>
        <w:pStyle w:val="Normal"/>
      </w:pPr>
      <w:r>
        <w:t>1. The Parties may facilitate coordinated access to existing or voluntarily designated pilot and demonstration facilities for mineral separation, refining, purification, by-product recovery, recycling, magnet materials, battery materials, semiconductor-grade inputs, and other identified midstream gaps. This Article does not require construction of a facility or create a separately staffed continental network.</w:t>
      </w:r>
    </w:p>
    <w:p>
      <w:pPr>
        <w:pStyle w:val="Normal"/>
      </w:pPr>
      <w:r>
        <w:t>2. Facilities may be located in any Party and may specialize according to regional feedstock, energy, workforce, water, infrastructure, environmental, and commercial conditions. No Party is guaranteed a facility or production allocation.</w:t>
      </w:r>
    </w:p>
    <w:p>
      <w:pPr>
        <w:pStyle w:val="Normal"/>
      </w:pPr>
      <w:r>
        <w:t>3. Participating facilities should, where commercially and legally practicable, facilitate shared or reciprocal access to expensive testing, analytical, metallurgical, qualification, and process-control capabilities that small and medium-sized enterprises and first-of-a-kind projects could not reasonably duplicate. Access remains subject to capacity, safety, security, intellectual-property, funding, and facility-governance rules.</w:t>
      </w:r>
    </w:p>
    <w:p>
      <w:pPr>
        <w:pStyle w:val="Normal"/>
      </w:pPr>
      <w:r>
        <w:t>4. Intellectual property remains governed by applicable law and project agreements. Participation does not compel disclosure of trade secrets beyond what is necessary to establish eligibility, safety, performance, or public-funding compliance.</w:t>
      </w:r>
    </w:p>
    <w:p>
      <w:pPr>
        <w:pStyle w:val="Normal"/>
      </w:pPr>
      <w:r>
        <w:t>5. Successful demonstrations should receive expedited consideration, not automatic approval, for the scale-up pathway in Article 37.31.</w:t>
      </w:r>
    </w:p>
    <w:p>
      <w:pPr>
        <w:pStyle w:val="Heading2"/>
      </w:pPr>
      <w:bookmarkStart w:id="901349" w:name="_Toc300001348"/>
      <w:r>
        <w:t>Article 37.33: Strategic Project Risk-Sharing and Insurance Facilitation</w:t>
      </w:r>
      <w:bookmarkEnd w:id="901349"/>
    </w:p>
    <w:p>
      <w:pPr>
        <w:pStyle w:val="Normal"/>
      </w:pPr>
      <w:r>
        <w:t>1. The Parties may facilitate lawful insurance, reinsurance, guarantees, political-risk coverage, completion-risk instruments, price-risk tools, and supply-continuity insurance for qualifying North American mineral and processing projects.</w:t>
      </w:r>
    </w:p>
    <w:p>
      <w:pPr>
        <w:pStyle w:val="Normal"/>
      </w:pPr>
      <w:r>
        <w:t>2. Any public risk-sharing shall identify the covered risk, deductible or first-loss allocation, maximum exposure, duration, recovery rights, and conditions for termination. It shall not insure ordinary commercial failure without a defined public-interest rationale.</w:t>
      </w:r>
    </w:p>
    <w:p>
      <w:pPr>
        <w:pStyle w:val="Normal"/>
      </w:pPr>
      <w:r>
        <w:t>3. Risk-sharing should crowd in private capital and may be paired with long-term commercial offtake, provided no Party is required to buy a fixed quantity or guarantee a producer's profit.</w:t>
      </w:r>
    </w:p>
    <w:p>
      <w:pPr>
        <w:pStyle w:val="Normal"/>
      </w:pPr>
      <w:r>
        <w:t>4. Nothing in this Article overrides a Party's financial-services reservations or prudential regulation.</w:t>
      </w:r>
    </w:p>
    <w:p>
      <w:pPr>
        <w:pStyle w:val="Heading2"/>
      </w:pPr>
      <w:bookmarkStart w:id="901350" w:name="_Toc300001349"/>
      <w:r>
        <w:t>Article 37.34: Urban Mining, Magnet Recovery, and Secondary Resource Inventory</w:t>
      </w:r>
      <w:bookmarkEnd w:id="901350"/>
    </w:p>
    <w:p>
      <w:pPr>
        <w:pStyle w:val="Normal"/>
      </w:pPr>
      <w:r>
        <w:t>1. The Parties shall develop a technology-neutral inventory of recoverable strategic materials contained in end-of-life vehicles, batteries, electronics, industrial scrap, permanent magnets, catalysts, grid equipment, and other economically significant secondary stocks.</w:t>
      </w:r>
    </w:p>
    <w:p>
      <w:pPr>
        <w:pStyle w:val="Normal"/>
      </w:pPr>
      <w:r>
        <w:t>2. The inventory shall use aggregate or appropriately protected data and shall not require disclosure of household-level information or confidential facility data where lower-burden estimates are adequate.</w:t>
      </w:r>
    </w:p>
    <w:p>
      <w:pPr>
        <w:pStyle w:val="Normal"/>
      </w:pPr>
      <w:r>
        <w:t>3. The Parties shall facilitate recovery of rare-earth permanent magnets and other high-value components before destructive processing where technically, environmentally, and commercially reasonable.</w:t>
      </w:r>
    </w:p>
    <w:p>
      <w:pPr>
        <w:pStyle w:val="Normal"/>
      </w:pPr>
      <w:r>
        <w:t>4. Origin and circular-production rules shall recognize qualifying recovery and remanufacturing under Chapter 4 while maintaining safeguards against waste dumping, sham processing, and hazardous-material diversion.</w:t>
      </w:r>
    </w:p>
    <w:p>
      <w:pPr>
        <w:pStyle w:val="Heading2"/>
      </w:pPr>
      <w:bookmarkStart w:id="901351" w:name="_Toc300001350"/>
      <w:r>
        <w:t>Article 37.35: Mineral Substitution, Efficiency, and By-Product Innovation</w:t>
      </w:r>
      <w:bookmarkEnd w:id="901351"/>
    </w:p>
    <w:p>
      <w:pPr>
        <w:pStyle w:val="Normal"/>
      </w:pPr>
      <w:r>
        <w:t>1. Joint research may pursue substitution for scarce or concentrated minerals, material-efficiency improvements, design-for-recovery, lower-intensity manufacturing, and recovery of strategic materials from existing industrial by-product streams.</w:t>
      </w:r>
    </w:p>
    <w:p>
      <w:pPr>
        <w:pStyle w:val="Normal"/>
      </w:pPr>
      <w:r>
        <w:t>2. Research priorities shall be based on measured vulnerability and potential economic impact rather than a presumption that every listed mineral requires domestic duplication of every production stage.</w:t>
      </w:r>
    </w:p>
    <w:p>
      <w:pPr>
        <w:pStyle w:val="Normal"/>
      </w:pPr>
      <w:r>
        <w:t>3. Results intended for open dissemination should use interoperable testing methods and publish non-confidential performance data sufficient to accelerate commercial qualification.</w:t>
      </w:r>
    </w:p>
    <w:p>
      <w:pPr>
        <w:pStyle w:val="Heading2"/>
      </w:pPr>
      <w:bookmarkStart w:id="901352" w:name="_Toc300001351"/>
      <w:r>
        <w:t>Article 37.36: Mine and Processing Community Transition Planning</w:t>
      </w:r>
      <w:bookmarkEnd w:id="901352"/>
    </w:p>
    <w:p>
      <w:pPr>
        <w:pStyle w:val="Normal"/>
      </w:pPr>
      <w:r>
        <w:t>1. A qualifying publicly supported project with a material local economic footprint should maintain proportionate closure, remediation, workforce-transition, and community-continuity planning throughout its operating life.</w:t>
      </w:r>
    </w:p>
    <w:p>
      <w:pPr>
        <w:pStyle w:val="Normal"/>
      </w:pPr>
      <w:r>
        <w:t>2. Planning may include reclamation financing, transferable skills, infrastructure reuse, brownfield conversion, supplier diversification, and post-closure economic development. It shall respect Indigenous, tribal, local, and subnational rights under domestic law.</w:t>
      </w:r>
    </w:p>
    <w:p>
      <w:pPr>
        <w:pStyle w:val="Normal"/>
      </w:pPr>
      <w:r>
        <w:t>3. This Article does not create a continental land-use authority or alter ownership of mineral resources.</w:t>
      </w:r>
    </w:p>
    <w:p>
      <w:pPr>
        <w:pStyle w:val="Heading2"/>
      </w:pPr>
      <w:bookmarkStart w:id="901322" w:name="_Toc300001321"/>
      <w:r>
        <w:t>ANNEX 37-A: CRITICAL MINERALS AND STRATEGIC MATERIALS LIST</w:t>
      </w:r>
      <w:bookmarkEnd w:id="901322"/>
    </w:p>
    <w:p>
      <w:pPr>
        <w:pStyle w:val="Normal"/>
      </w:pPr>
      <w:r>
        <w:t>1. The initial list of critical minerals for the purposes of Article 37.2 comprises: aluminum (gallium-containing and high-purity), antimony, arsenic, barite, beryllium, bismuth, cerium, cesium, chromium, cobalt, dysprosium, erbium, europium, fluorspar, gadolinium, gallium, germanium, graphite (natural), hafnium, holmium, indium, iridium, lanthanum, lithium, lutetium, magnesium, manganese, neodymium, nickel, niobium, palladium, platinum, praseodymium, rhodium, rubidium, ruthenium, samarium, scandium, tantalum, tellurium, terbium, thulium, tin, titanium, tungsten, uranium, vanadium, ytterbium, yttrium, zinc, and zirconium.</w:t>
      </w:r>
    </w:p>
    <w:p>
      <w:pPr>
        <w:pStyle w:val="Normal"/>
      </w:pPr>
      <w:r>
        <w:t>2. The initial list of strategic materials comprises: battery-grade lithium compounds; battery cathode and anode active materials; rare earth permanent magnets; semiconductor-grade silicon, silicon carbide, and gallium compounds; high-purity aluminum and alumina; and such further materials as the Commission designates.</w:t>
      </w:r>
    </w:p>
    <w:p>
      <w:pPr>
        <w:pStyle w:val="Normal"/>
      </w:pPr>
      <w:r>
        <w:t>3. The Commission shall review this Annex at least every two years and may amend it by consensus through the Structured Technical Amendment Procedure in Article 34.3.A.</w:t>
      </w:r>
    </w:p>
    <w:p>
      <w:pPr>
        <w:spacing w:before="0" w:after="0"/>
        <w:widowControl w:val="1"/>
      </w:pPr>
      <w:r>
        <w:t>4. INITIAL SCHEDULED MATERIALS LIST. Annex 37-A initially includes copper, potash, iron ore and qualifying iron feedstocks, gold, silver, lead and molybdenum in addition to its existing materials. These categories therefore fall within Article 37.3's originating-goods facilitation and duty-free obligation without awaiting a new designation. Their inclusion does not adopt a provisional SAR, delivery percentage or compulsory production obligation. The Commission may maintain technical forms and descriptions under Article 34.3.A while a substantive coverage change requires its applicable amendment authority.</w:t>
      </w:r>
    </w:p>
    <w:p/>
    <w:p>
      <w:pPr>
        <w:pStyle w:val="Heading2"/>
      </w:pPr>
      <w:bookmarkStart w:id="901321" w:name="_Toc300001320"/>
      <w:r>
        <w:t>ANNEX 37-B: INITIAL TRUSTED STRATEGIC MATERIALS COOPERATION</w:t>
      </w:r>
      <w:bookmarkEnd w:id="901321"/>
    </w:p>
    <w:p>
      <w:pPr>
        <w:pStyle w:val="Normal"/>
      </w:pPr>
      <w:r>
        <w:t>1. The Parties may recognize jurisdictions, facilities, or suppliers demonstrating high standards of traceability, product quality, supply reliability, labor and environmental compliance, commercial transparency, anti-corruption controls, and compliance with legally applicable sanctions and export controls as candidates for Trusted Strategic Materials Source designation under Article 37.6A.</w:t>
      </w:r>
    </w:p>
    <w:p>
      <w:pPr>
        <w:pStyle w:val="Normal"/>
      </w:pPr>
      <w:r>
        <w:t>2. Technical equivalence and supply-chain cooperation shall be open on a non-exclusive basis to reliable qualifying jurisdictions, facilities, and suppliers capable of providing specialized advanced-manufacturing materials. No source receives automatic preference or exclusion by reason of diplomatic alignment, free-trade-agreement status, state ownership, country of origin, or general economic model; and no designation confers originating status or an exemption from otherwise applicable trade-remedy law.</w:t>
      </w:r>
    </w:p>
    <w:p>
      <w:pPr>
        <w:pStyle w:val="Normal"/>
      </w:pPr>
      <w:r>
        <w:t>3. A Party may conclude mutual-recognition arrangements for metallurgical test reports, material traceability records, quality-system certifications, and other conformity documentation with a qualifying source, reducing duplicative testing while preserving regulator and purchaser authority to require verification where risk warrants.</w:t>
      </w:r>
    </w:p>
    <w:p>
      <w:pPr>
        <w:pStyle w:val="Normal"/>
      </w:pPr>
      <w:r>
        <w:t>4. The Annex shall be administered on a non-exclusive basis and may be updated without reopening the Agreement where the Commission acts by consensus under the Structured Technical Amendment Procedure.</w:t>
      </w:r>
    </w:p>
    <w:p>
      <w:pPr>
        <w:pStyle w:val="Heading2"/>
      </w:pPr>
      <w:bookmarkStart w:id="901334" w:name="_Toc300001333"/>
      <w:r>
        <w:t>ANNEX 37-C: NORTH AMERICAN STRATEGIC MATERIALS MATRIX</w:t>
      </w:r>
      <w:bookmarkEnd w:id="901334"/>
    </w:p>
    <w:p>
      <w:pPr>
        <w:pStyle w:val="Normal"/>
      </w:pPr>
      <w:r>
        <w:t>1. Purpose. This Annex identifies initial candidate materials, lead opportunities, commitment forms, and value-added priorities. Numerical percentages are negotiating reference targets pending calibration under Article 37.12 and do not constitute unconditional production mandates.</w:t>
      </w:r>
    </w:p>
    <w:p>
      <w:pPr>
        <w:pStyle w:val="Normal"/>
      </w:pPr>
      <w:r>
        <w:t>2. Molybdenum - Lead opportunity: Canada, with complementary Mexican supply. Candidate commitment: up to +10 percent bounded surge in qualifying strategic forms. Priority: high-purity products, specialty alloys, and qualification. Reciprocal value: resource-market stability, strategic procurement access, and processing investment.</w:t>
      </w:r>
    </w:p>
    <w:p>
      <w:pPr>
        <w:pStyle w:val="Normal"/>
      </w:pPr>
      <w:r>
        <w:t>3. Tellurium - Lead opportunity: Canada. Candidate commitment: up to +8 percent qualified surge. Priority: refining, cadmium-telluride recovery, advanced-material qualification, and recycling. Reciprocal value: qualification, reserve eligibility, and processing investment.</w:t>
      </w:r>
    </w:p>
    <w:p>
      <w:pPr>
        <w:pStyle w:val="Normal"/>
      </w:pPr>
      <w:r>
        <w:t>4. Natural Graphite - Lead opportunities: Canada and Mexico. Candidate commitment: up to +12 percent incremental strategic capacity as verified projects ramp. Priority: purified spherical graphite, anode active material, qualification, and recycling. Reciprocal value: financing, offtake, processing, and battery-chain investment.</w:t>
      </w:r>
    </w:p>
    <w:p>
      <w:pPr>
        <w:pStyle w:val="Normal"/>
      </w:pPr>
      <w:r>
        <w:t>5. Fluorspar - Lead opportunity: Mexico. Candidate commitment: up to +10 percent strategic availability by applicable grade. Priority: acid-grade processing, hydrogen fluoride, fluorochemicals, metallurgy, and nuclear-fuel inputs. Reciprocal value: Mexican processing and infrastructure investment and stable market treatment.</w:t>
      </w:r>
    </w:p>
    <w:p>
      <w:pPr>
        <w:pStyle w:val="Normal"/>
      </w:pPr>
      <w:r>
        <w:t>6. Manganese - Lead opportunity: Mexico. Candidate commitment: up to +13.5 percent product-specific strategic availability, subject to separate calibration for ore, ferroalloys, electrolytic manganese metal, and battery-grade manganese compounds. Priority: HPMSM, EMM, ferroalloys, and qualification. Reciprocal value: processing investment and manufacturing stability.</w:t>
      </w:r>
    </w:p>
    <w:p>
      <w:pPr>
        <w:pStyle w:val="Normal"/>
      </w:pPr>
      <w:r>
        <w:t>7. Barite - Lead opportunity: Mexico. Candidate commitment: up to +15 percent qualifying drilling- or strategic-grade availability. Priority: beneficiation, grinding, testing, and certified energy-sector products. Reciprocal value: energy-material facilitation, infrastructure, and processing investment.</w:t>
      </w:r>
    </w:p>
    <w:p>
      <w:pPr>
        <w:pStyle w:val="Normal"/>
      </w:pPr>
      <w:r>
        <w:t>8. Zinc - Lead opportunities: Canada and Mexico. Candidate commitment: up to +18 percent product-specific processed availability where calibrated, supplemented by continuity guarantees. Priority: refined zinc, alloys, galvanizing inputs, and recycling. Reciprocal value: metals and manufacturing stability and refinery modernization.</w:t>
      </w:r>
    </w:p>
    <w:p>
      <w:pPr>
        <w:pStyle w:val="Normal"/>
      </w:pPr>
      <w:r>
        <w:t>9. Potash - Lead opportunity: Canada. Candidate commitment: continuity guarantee, emergency surge planning, and logistics resilience rather than a low-value fixed percentage. Priority: fertilizer security, storage, rail and port continuity, and agricultural resilience. Reciprocal value: durable agricultural and resource-market access.</w:t>
      </w:r>
    </w:p>
    <w:p>
      <w:pPr>
        <w:pStyle w:val="Normal"/>
      </w:pPr>
      <w:r>
        <w:t>10. Copper - Lead opportunities: Canada and Mexico, with substantial United States production and processing. Candidate commitment: reciprocal continuity plus capacity-growth and recycling framework. Priority: smelting, refining, wire, grid inputs, scrap recovery, and qualification. Reciprocal value: grid, manufacturing, and tariff stability.</w:t>
      </w:r>
    </w:p>
    <w:p>
      <w:pPr>
        <w:pStyle w:val="Normal"/>
      </w:pPr>
      <w:r>
        <w:t>11. Nickel - Lead opportunity: Canada. Candidate commitment: processing-first strategic availability. Priority: Class 1 nickel, nickel sulfate, stainless and superalloy forms, and recycling. Reciprocal value: offtake, finance, battery and alloy investment.</w:t>
      </w:r>
    </w:p>
    <w:p>
      <w:pPr>
        <w:pStyle w:val="Normal"/>
      </w:pPr>
      <w:r>
        <w:t>12. Lithium - Lead opportunity: Canada for near-term expansion; Mexico as a development-stage participant where commercially and legally viable. Candidate commitment: capacity-ramp and processing commitments rather than theoretical reserve tonnage. Priority: carbonate, hydroxide, cathode inputs, and recycling.</w:t>
      </w:r>
    </w:p>
    <w:p>
      <w:pPr>
        <w:pStyle w:val="Normal"/>
      </w:pPr>
      <w:r>
        <w:t>13. Cobalt - Lead opportunity: Canada. Candidate commitment: processing and qualification guarantee with bounded supply where feasible. Priority: battery-grade compounds, superalloys, and recycling. Reciprocal value: downstream investment and secure demand.</w:t>
      </w:r>
    </w:p>
    <w:p>
      <w:pPr>
        <w:pStyle w:val="Normal"/>
      </w:pPr>
      <w:r>
        <w:t>14. Uranium - Lead opportunity: Canada. Candidate commitment: long-term nuclear-fuel continuity and resilience rather than a simple percentage surge. Priority: fuel-cycle cooperation, conversion, qualified processing, reserve resilience, and applicable safeguards.</w:t>
      </w:r>
    </w:p>
    <w:p>
      <w:pPr>
        <w:pStyle w:val="Normal"/>
      </w:pPr>
      <w:r>
        <w:t>15. Aluminum - Lead opportunity: Canada, with major United States and Mexican downstream participation. Candidate commitment: continuity guarantee and no-disruption framework. Priority: smelting, alloys, recycling, and fabricated strategic inputs. Reciprocal value: durable tariff and Section 232 stability where negotiated.</w:t>
      </w:r>
    </w:p>
    <w:p>
      <w:pPr>
        <w:pStyle w:val="Normal"/>
      </w:pPr>
      <w:r>
        <w:t>16. Silver - Lead opportunity: Mexico. Candidate commitment: continuity and calibrated expansion where feasible. Priority: refining, electronics, photovoltaic materials, recovery, and recycling. Reciprocal value: downstream industrial investment.</w:t>
      </w:r>
    </w:p>
    <w:p>
      <w:pPr>
        <w:pStyle w:val="Normal"/>
      </w:pPr>
      <w:r>
        <w:t>17. Lead - Lead opportunities: Mexico and Canada. Candidate commitment: closed-loop supply assurance. Priority: lead-acid battery recycling, secondary lead, environmental safeguards, and strategic industrial uses.</w:t>
      </w:r>
    </w:p>
    <w:p>
      <w:pPr>
        <w:pStyle w:val="Normal"/>
      </w:pPr>
      <w:r>
        <w:t>18. Rare Earth Elements - Lead opportunity: Canada for development and processing, with Mexican and United States opportunities where verified. Candidate commitment: capacity-development, separation, refining, magnet, qualification, and recycling guarantees rather than unprocessed tonnage promises.</w:t>
      </w:r>
    </w:p>
    <w:p>
      <w:pPr>
        <w:pStyle w:val="Normal"/>
      </w:pPr>
      <w:r>
        <w:t>19. Niobium - Lead opportunity: Canada. Candidate commitment: strategic continuity. Priority: ferroniobium, high-strength steel, specialty alloys, and qualification. Reciprocal value: procurement and reserve recognition.</w:t>
      </w:r>
    </w:p>
    <w:p>
      <w:pPr>
        <w:pStyle w:val="Normal"/>
      </w:pPr>
      <w:r>
        <w:t>20. Germanium - North American recovery and processing opportunity. Candidate commitment: recovery, refining, purification, and qualification targets pending verified supply. Priority: high-purity material, infrared, fiber-optic, semiconductor, and recycling applications.</w:t>
      </w:r>
    </w:p>
    <w:p>
      <w:pPr>
        <w:pStyle w:val="Normal"/>
      </w:pPr>
      <w:r>
        <w:t>21. Gallium - North American recovery and high-purity processing opportunity. Candidate commitment: no numerical percentage until commercially meaningful production and recoverable supply are verified. Priority: high-purity gallium, gallium nitride, gallium arsenide, semiconductor qualification, and by-product recovery.</w:t>
      </w:r>
    </w:p>
    <w:p>
      <w:pPr>
        <w:pStyle w:val="Normal"/>
      </w:pPr>
      <w:r>
        <w:t>22. Magnesium - Trilateral industrial opportunity. Candidate commitment: continuity and processing-development track. Priority: magnesium metal, alloys, automotive and aerospace qualification, and recycling.</w:t>
      </w:r>
    </w:p>
    <w:p>
      <w:pPr>
        <w:pStyle w:val="Normal"/>
      </w:pPr>
      <w:r>
        <w:t>23. Tungsten - Trilateral development opportunity. Candidate commitment: project-development, qualification, recycling, and trusted-source mechanisms. Priority: carbides, tooling, defense-grade forms, and strategic recycling.</w:t>
      </w:r>
    </w:p>
    <w:p>
      <w:pPr>
        <w:pStyle w:val="Normal"/>
      </w:pPr>
      <w:r>
        <w:t>24. Platinum Group Metals - Lead opportunity: Canada, with trilateral recycling and downstream use. Candidate commitment: continuity and recycling framework. Priority: refining, catalyst recovery, fuel-cell and electronics applications.</w:t>
      </w:r>
    </w:p>
    <w:p>
      <w:pPr>
        <w:pStyle w:val="Normal"/>
      </w:pPr>
      <w:r>
        <w:t>25. United States Reciprocal Inputs. The Commission shall identify United States-produced or processed strategic materials and industrial inputs for which Canada or Mexico has material continuity needs, including qualifying copper, zinc, molybdenum, specialty steels and alloys, aluminum products, phosphate and fertilizer inputs, helium, boron, silicon and high-purity materials, specialty metal products, processing services, and technical qualification capacity. The appropriate commitment may be continuity, emergency allocation, processing access, qualification, or supply expansion rather than a uniform percentage increase.</w:t>
      </w:r>
    </w:p>
    <w:p>
      <w:pPr>
        <w:pStyle w:val="Normal"/>
      </w:pPr>
      <w:r>
        <w:t>26. Strategic Industrial Inputs Schedule. The Commission may maintain a companion schedule for nonfuel industrial materials that are strategically indispensable to North American manufacturing, infrastructure, agriculture, semiconductors, chemicals, construction, or energy but are not optimally governed by a broad critical-mineral label.</w:t>
      </w:r>
    </w:p>
    <w:p>
      <w:pPr>
        <w:pStyle w:val="Normal"/>
      </w:pPr>
      <w:r>
        <w:t>27. Maturity Classes. Class A materials have established commercial supply and may support firm continuity or bounded surge commitments. Class B materials are expansion-ready and may support conditional future commitments. Class C materials are development resources eligible for financing, permitting, qualification, and offtake cooperation but are not counted as guaranteed supply. Class D materials are prospective resources and create no assumption of future commercial availability.</w:t>
      </w:r>
    </w:p>
    <w:p>
      <w:pPr>
        <w:pStyle w:val="Normal"/>
      </w:pPr>
      <w:r>
        <w:t>28. Review. The Commission shall review this Matrix at least annually for capacity, strategic form, maturity class, SAR calibration, SVAL progression, processing gaps, and trilateral balance. Technical updates shall not create new tariff concessions or binding production mandates without the procedure otherwise required by this Agreement.</w:t>
      </w:r>
    </w:p>
    <w:p>
      <w:pPr>
        <w:pStyle w:val="Heading1"/>
      </w:pPr>
      <w:bookmarkStart w:id="901353" w:name="_Toc300001352"/>
      <w:r>
        <w:t>CHAPTER 38</w:t>
      </w:r>
      <w:r>
        <w:br/>
      </w:r>
      <w:r>
        <w:t>EMERGENCY TRADE CONTINUITY</w:t>
      </w:r>
      <w:bookmarkEnd w:id="901353"/>
    </w:p>
    <w:p>
      <w:pPr>
        <w:pStyle w:val="Heading2"/>
      </w:pPr>
      <w:bookmarkStart w:id="901354" w:name="_Toc300001353"/>
      <w:r>
        <w:t>Article 38.1: Purpose</w:t>
      </w:r>
      <w:bookmarkEnd w:id="901354"/>
    </w:p>
    <w:p>
      <w:pPr>
        <w:pStyle w:val="Normal"/>
      </w:pPr>
      <w:r>
        <w:t>1. The Parties establish the Emergency Trade Continuity Mechanism to maintain essential North American trade flows during emergencies, replacing improvised crisis responses with predetermined consultation, prioritization, and continuity procedures.</w:t>
      </w:r>
    </w:p>
    <w:p>
      <w:pPr>
        <w:pStyle w:val="Heading2"/>
      </w:pPr>
      <w:bookmarkStart w:id="901355" w:name="_Toc300001354"/>
      <w:r>
        <w:t>Article 38.2: Definitions and Trigger</w:t>
      </w:r>
      <w:bookmarkEnd w:id="901355"/>
    </w:p>
    <w:p>
      <w:pPr>
        <w:pStyle w:val="Normal"/>
      </w:pPr>
      <w:r>
        <w:t xml:space="preserve">1. </w:t>
      </w:r>
      <w:r>
        <w:rPr>
          <w:b/>
        </w:rPr>
        <w:t>Emergency</w:t>
      </w:r>
      <w:r>
        <w:t xml:space="preserve"> means a pandemic or public-health emergency; a natural disaster including wildfire, flood, hurricane, drought, or extreme weather; a cyber incident affecting trade infrastructure; a major failure of transportation, energy, or communications infrastructure; an armed conflict materially affecting supply chains; or another event designated by the Commission.</w:t>
      </w:r>
    </w:p>
    <w:p>
      <w:pPr>
        <w:pStyle w:val="Normal"/>
      </w:pPr>
      <w:r>
        <w:t>2. Any Party may invoke the Mechanism by notifying the other Parties and the Treaty Integrity Secretariat, identifying the emergency, the affected corridors and flows, and the measures contemplated.</w:t>
      </w:r>
    </w:p>
    <w:p>
      <w:pPr>
        <w:pStyle w:val="Normal"/>
      </w:pPr>
      <w:r>
        <w:t>3. Upon invocation, the Emergency Trade Continuity Mechanism activates automatically for the notified flows.</w:t>
      </w:r>
    </w:p>
    <w:p>
      <w:pPr>
        <w:spacing w:before="0" w:after="0"/>
        <w:widowControl w:val="1"/>
      </w:pPr>
      <w:r>
        <w:t>4. ACTIVATION VERIFICATION AND DEACTIVATION. An Article 38.2 notice activates cooperation provisionally for its identified flows, but within seventy-two hours the Article 35.10 Team verifies objective evidence of the listed event and material continuity threat, and unsupported activation ends on that endpoint without withdrawing independently required humanitarian protection. Article 35.2 emergency criteria govern any restrictive Article 35.21 action, whereas the broader Article 38.2 event list governs cooperative continuity activation and does not independently authorize a restriction. The Emergency Trade Coordination Body reviews the continuing need every thirty days, records a reasoned end-of-emergency finding when the verified threat ceases and deactivates the Mechanism, while an affected Party may challenge activation or refusal to deactivate through Article 31.A on its twenty-day report clock. The Commission maintains and publishes the essential-flow categories on entry into force and annually thereafter, including duly designated Annex 35-B essential inputs, and any 180-day Mechanism renewal is cooperation only and cannot extend Article 35.21 restrictive clocks.</w:t>
      </w:r>
    </w:p>
    <w:p/>
    <w:p>
      <w:pPr>
        <w:pStyle w:val="Heading2"/>
      </w:pPr>
      <w:bookmarkStart w:id="901356" w:name="_Toc300001355"/>
      <w:r>
        <w:t>Article 38.3: Critical Trade Corridors and Essential Flows</w:t>
      </w:r>
      <w:bookmarkEnd w:id="901356"/>
    </w:p>
    <w:p>
      <w:pPr>
        <w:pStyle w:val="Normal"/>
      </w:pPr>
      <w:r>
        <w:t>1. The Commission shall maintain and publish a register of critical trade corridors (ports of entry, rail, highways, bridges, pipelines, transmission interconnections, and ports) whose failure would create continent-wide consequences.</w:t>
      </w:r>
    </w:p>
    <w:p>
      <w:pPr>
        <w:pStyle w:val="Normal"/>
      </w:pPr>
      <w:r>
        <w:t>2. The Parties shall maintain and annually update a list of essential flows, including food, medicines and medical goods, energy and electricity, critical minerals, agricultural inputs, and emergency-response goods.</w:t>
      </w:r>
    </w:p>
    <w:p>
      <w:pPr>
        <w:pStyle w:val="Heading2"/>
      </w:pPr>
      <w:bookmarkStart w:id="901357" w:name="_Toc300001356"/>
      <w:r>
        <w:t>Article 38.4: Continuity Obligations During an Emergency</w:t>
      </w:r>
      <w:bookmarkEnd w:id="901357"/>
    </w:p>
    <w:p>
      <w:pPr>
        <w:pStyle w:val="Normal"/>
      </w:pPr>
      <w:r>
        <w:t>1. During an activated emergency, each Party shall:</w:t>
      </w:r>
    </w:p>
    <w:p>
      <w:pPr>
        <w:pStyle w:val="Normal"/>
      </w:pPr>
      <w:r>
        <w:t>(a) maintain the operation of critical trade corridors to the extent consistent with public health and safety;</w:t>
      </w:r>
    </w:p>
    <w:p>
      <w:pPr>
        <w:pStyle w:val="Normal"/>
      </w:pPr>
      <w:r>
        <w:t>(b) prioritize clearance of essential flows, including through expedited lanes and extended service hours where practicable;</w:t>
      </w:r>
    </w:p>
    <w:p>
      <w:pPr>
        <w:pStyle w:val="Normal"/>
      </w:pPr>
      <w:r>
        <w:t>(c) notify the other Parties within 24 hours of any measure restricting cross-border movement of essential flows, identifying the measure, its justification, its scope, and its expected duration;</w:t>
      </w:r>
    </w:p>
    <w:p>
      <w:pPr>
        <w:pStyle w:val="Normal"/>
      </w:pPr>
      <w:r>
        <w:t>(d) ensure that any restriction on essential flows is necessary, proportionate, targeted, and time-limited, and is reviewed at intervals not exceeding 30 days; and</w:t>
      </w:r>
    </w:p>
    <w:p>
      <w:pPr>
        <w:pStyle w:val="Normal"/>
      </w:pPr>
      <w:r>
        <w:t>(e) refrain from applying export restrictions to essential flows destined for another Party except where critically necessary to address domestic shortage, and in that case in a manner consistent with the Party’s WTO obligations, with Article 35.3A, and with equitable treatment of the other Parties having regard to historical supply patterns.</w:t>
      </w:r>
    </w:p>
    <w:p>
      <w:pPr>
        <w:pStyle w:val="Normal"/>
        <w:spacing w:before="0" w:after="0"/>
        <w:widowControl w:val="1"/>
      </w:pPr>
      <w:r>
        <w:t>2. A restriction ends immediately when its verified necessity ceases and in every case at the Article 35.21 thirty-day expiry or expressly verified sixty-day cumulative endpoint unless independently sustained under Article 32.2 as replaced. Successive substantially identical restrictions across Chapters 35, 37, 38 and 40 are one continuing restriction. The 180-day coordination period and any trilateral renewal govern only cooperative Mechanism activation. They provide no separate restriction authority or extension.</w:t>
      </w:r>
    </w:p>
    <w:p/>
    <w:p>
      <w:pPr>
        <w:pStyle w:val="Heading2"/>
      </w:pPr>
      <w:bookmarkStart w:id="901358" w:name="_Toc300001357"/>
      <w:r>
        <w:t>Article 38.5: Emergency Coordination Body</w:t>
      </w:r>
      <w:bookmarkEnd w:id="901358"/>
    </w:p>
    <w:p>
      <w:pPr>
        <w:pStyle w:val="Normal"/>
      </w:pPr>
      <w:r>
        <w:t>1. Upon activation, the Parties shall convene the Emergency Trade Coordination Body, composed of senior trade, border, health, energy, and transport officials of each Party, within 48 hours, and thereafter at intervals not exceeding 14 days during the emergency.</w:t>
      </w:r>
    </w:p>
    <w:p>
      <w:pPr>
        <w:pStyle w:val="Normal"/>
      </w:pPr>
      <w:r>
        <w:t>2. The Body shall coordinate corridor operations, share real-time disruption information, resolve bottlenecks, and publish a public dashboard of corridor status.</w:t>
      </w:r>
    </w:p>
    <w:p>
      <w:pPr>
        <w:pStyle w:val="Normal"/>
      </w:pPr>
      <w:r>
        <w:t>3. The Body may coordinate temporary electricity exchanges, restoration equipment, transformer inventories, mobile generation, storage resources, digital-load curtailment, critical-compute continuity, and telecommunications restoration. Such coordination shall preserve domestic reliability and does not create a permanent export obligation.</w:t>
      </w:r>
    </w:p>
    <w:p>
      <w:pPr>
        <w:spacing w:before="0" w:after="0"/>
        <w:widowControl w:val="1"/>
      </w:pPr>
      <w:r>
        <w:t>4. EMERGENCY COORDINATION ROLES AND CLOCKS. A verified Article 38.2 event activates the Emergency Trade Coordination Body within forty-eight hours to lead cross-border corridor and essential-flow coordination. A grid emergency as defined in Article 35.21 also convenes the Grid Resilience Working Group within seventy-two hours for technical electricity, restoration and reliable load-management support to that Body. The Economic Security and Supply Chain Resilience Subcommittee convenes within seven days for strategic sourcing and longer-term capacity coordination without delaying the earlier operational bodies. Article 38.5 and Annex 40-A electricity-coordination language describe that same division of work rather than separate commands or independent restriction powers.</w:t>
      </w:r>
    </w:p>
    <w:p/>
    <w:p>
      <w:pPr>
        <w:pStyle w:val="Heading2"/>
      </w:pPr>
      <w:bookmarkStart w:id="901359" w:name="_Toc300001358"/>
      <w:r>
        <w:t>Article 38.6: Health-Security Supply Chains</w:t>
      </w:r>
      <w:bookmarkEnd w:id="901359"/>
    </w:p>
    <w:p>
      <w:pPr>
        <w:pStyle w:val="Normal"/>
      </w:pPr>
      <w:r>
        <w:t>1. The Parties shall maintain regulatory-cooperation arrangements for medicines, active pharmaceutical ingredients, and medical devices to enable rapid cross-border supply during emergencies, including expedited recognition of inspections and authorizations consistent with each Party’s safety standards.</w:t>
      </w:r>
    </w:p>
    <w:p>
      <w:pPr>
        <w:pStyle w:val="Normal"/>
      </w:pPr>
      <w:r>
        <w:t>2. During an activated public-health emergency, no Party shall apply a covered border measure to medicines, medical goods, or their inputs originating in another Party.</w:t>
      </w:r>
    </w:p>
    <w:p>
      <w:pPr>
        <w:pStyle w:val="Heading2"/>
      </w:pPr>
      <w:bookmarkStart w:id="901360" w:name="_Toc300001359"/>
      <w:r>
        <w:t>Article 38.7: Food Security Continuity</w:t>
      </w:r>
      <w:bookmarkEnd w:id="901360"/>
    </w:p>
    <w:p>
      <w:pPr>
        <w:pStyle w:val="Normal"/>
      </w:pPr>
      <w:r>
        <w:t>1. During an activated emergency, agricultural trade between the Parties shall be preserved to the greatest extent practicable, and restrictions affecting perishable goods are subject to expedited review under Article 31.A within 20 days.</w:t>
      </w:r>
    </w:p>
    <w:p>
      <w:pPr>
        <w:spacing w:before="0" w:after="0"/>
        <w:widowControl w:val="1"/>
      </w:pPr>
      <w:r>
        <w:t>2. PERISHABLE EMERGENCY REVIEW CLOCK. For Article 38.7 restrictions, the urgent Article 31.A consultation period is fifteen days after the consultation request and panel composition is due within five days after the ensuing panel request. The twenty-day final-report period runs from complete panel composition, not from the original restriction or consultation request. Article 31.A(1)(a) or (b) supplies jurisdiction for a covered restriction without a separate production-disruption certification. Independent Article 35.21 seventy-two-hour necessity review operates meanwhile and does not wait for the final panel report.</w:t>
      </w:r>
    </w:p>
    <w:p/>
    <w:p>
      <w:pPr>
        <w:pStyle w:val="Heading2"/>
      </w:pPr>
      <w:bookmarkStart w:id="901361" w:name="_Toc300001360"/>
      <w:r>
        <w:t>Article 38.8: Cyber Incidents Affecting Trade Infrastructure</w:t>
      </w:r>
      <w:bookmarkEnd w:id="901361"/>
    </w:p>
    <w:p>
      <w:pPr>
        <w:pStyle w:val="Normal"/>
      </w:pPr>
      <w:r>
        <w:t>1. The Parties shall establish notification and mutual-assistance procedures for cyber incidents affecting customs systems, ports, logistics infrastructure, and payment systems, in accordance with Article 19.B (Cybersecurity Cooperation).</w:t>
      </w:r>
    </w:p>
    <w:p>
      <w:pPr>
        <w:pStyle w:val="Heading2"/>
      </w:pPr>
      <w:bookmarkStart w:id="901362" w:name="_Toc300001361"/>
      <w:r>
        <w:t>Article 38.9: Humanitarian Life-Saving Goods Continuity Protocol</w:t>
      </w:r>
      <w:bookmarkEnd w:id="901362"/>
    </w:p>
    <w:p>
      <w:pPr>
        <w:pStyle w:val="Normal"/>
      </w:pPr>
      <w:r>
        <w:t>1. During an emergency, customs administrations prioritize Qualifying Humanitarian Life-Saving Goods for immediate processing, pre-clearance where practicable, interoperable electronic documentation, and continuous border access consistent with safety and security controls.</w:t>
      </w:r>
    </w:p>
    <w:p>
      <w:pPr>
        <w:pStyle w:val="Normal"/>
      </w:pPr>
      <w:r>
        <w:t>2. The Parties maintain an annually reviewed, technology-neutral Annex 38-B schedule organized by humanitarian function rather than brand or supplier. Inclusion requires a direct and principal life-saving, emergency-response, or immediate disaster-relief function.</w:t>
      </w:r>
    </w:p>
    <w:p>
      <w:pPr>
        <w:pStyle w:val="Normal"/>
      </w:pPr>
      <w:r>
        <w:t>3. Dual-use or ordinary commercial goods receive Annex 38-B treatment only for shipments specifically documented for qualifying humanitarian deployment. Authorities may require end-user certification, emergency incident reference, consignee verification, or comparable evidence proportionate to diversion risk.</w:t>
      </w:r>
    </w:p>
    <w:p>
      <w:pPr>
        <w:pStyle w:val="Normal"/>
      </w:pPr>
      <w:r>
        <w:t>4. A classification dispute involving a shipment whose delay creates a credible risk to life receives same-day technical escalation. Where lawful and secure, the goods proceed under conditional release while classification is resolved.</w:t>
      </w:r>
    </w:p>
    <w:p>
      <w:pPr>
        <w:pStyle w:val="Heading2"/>
      </w:pPr>
      <w:bookmarkStart w:id="901363" w:name="_Toc300001362"/>
      <w:r>
        <w:t>ANNEX 38-B: Illustrative Humanitarian Life-Saving Categories</w:t>
      </w:r>
      <w:bookmarkEnd w:id="901363"/>
    </w:p>
    <w:tbl>
      <w:tblPr>
        <w:tblStyle w:val="TableGrid"/>
        <w:tblW w:w="9360" w:type="dxa"/>
        <w:jc w:val="center"/>
        <w:tblInd w:w="0"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3120"/>
        <w:gridCol w:w="3120"/>
        <w:gridCol w:w="3120"/>
      </w:tblGrid>
      <w:tr>
        <w:trPr>
          <w:tblHeader w:val="true"/>
        </w:trPr>
        <w:tc>
          <w:tcPr>
            <w:tcW w:w="3120" w:type="dxa"/>
            <w:tcBorders>
              <w:bottom w:val="single" w:sz="6" w:space="0" w:color="546E7A"/>
            </w:tcBorders>
            <w:shd w:fill="E4E9EC" w:val="clear" w:color="auto"/>
          </w:tcPr>
          <w:p>
            <w:pPr>
              <w:pStyle w:val="TableText"/>
              <w:jc w:val="left"/>
            </w:pPr>
            <w:r>
              <w:rPr>
                <w:b/>
                <w:color w:val="37474F"/>
                <w:lang w:val="en-US" w:eastAsia="en-US" w:bidi="ar-SA"/>
              </w:rPr>
              <w:t>Category</w:t>
            </w:r>
          </w:p>
        </w:tc>
        <w:tc>
          <w:tcPr>
            <w:tcW w:w="3120" w:type="dxa"/>
            <w:tcBorders>
              <w:bottom w:val="single" w:sz="6" w:space="0" w:color="546E7A"/>
            </w:tcBorders>
            <w:shd w:fill="E4E9EC" w:val="clear" w:color="auto"/>
          </w:tcPr>
          <w:p>
            <w:pPr>
              <w:pStyle w:val="TableText"/>
              <w:jc w:val="left"/>
            </w:pPr>
            <w:r>
              <w:rPr>
                <w:b/>
                <w:color w:val="37474F"/>
                <w:lang w:val="en-US" w:eastAsia="en-US" w:bidi="ar-SA"/>
              </w:rPr>
              <w:t>Illustrative qualifying scope</w:t>
            </w:r>
          </w:p>
        </w:tc>
        <w:tc>
          <w:tcPr>
            <w:tcW w:w="3120" w:type="dxa"/>
            <w:tcBorders>
              <w:bottom w:val="single" w:sz="6" w:space="0" w:color="546E7A"/>
            </w:tcBorders>
            <w:shd w:fill="E4E9EC" w:val="clear" w:color="auto"/>
          </w:tcPr>
          <w:p>
            <w:pPr>
              <w:pStyle w:val="TableText"/>
              <w:jc w:val="left"/>
            </w:pPr>
            <w:r>
              <w:rPr>
                <w:b/>
                <w:color w:val="37474F"/>
                <w:lang w:val="en-US" w:eastAsia="en-US" w:bidi="ar-SA"/>
              </w:rPr>
              <w:t>Primary anti-abuse condition</w:t>
            </w:r>
          </w:p>
        </w:tc>
      </w:tr>
      <w:tr>
        <w:trPr/>
        <w:tc>
          <w:tcPr>
            <w:tcW w:w="3120" w:type="dxa"/>
            <w:tcMar>
              <w:top w:w="70" w:type="dxa"/>
              <w:start w:w="110" w:type="dxa"/>
              <w:bottom w:w="70" w:type="dxa"/>
              <w:end w:w="110" w:type="dxa"/>
            </w:tcMar>
          </w:tcPr>
          <w:p>
            <w:pPr>
              <w:pStyle w:val="TableText"/>
              <w:jc w:val="left"/>
            </w:pPr>
            <w:r>
              <w:rPr>
                <w:lang w:val="en-US" w:eastAsia="en-US" w:bidi="ar-SA"/>
              </w:rPr>
              <w:t>Essential medical</w:t>
            </w:r>
          </w:p>
        </w:tc>
        <w:tc>
          <w:tcPr>
            <w:tcW w:w="3120" w:type="dxa"/>
            <w:tcMar>
              <w:top w:w="70" w:type="dxa"/>
              <w:start w:w="110" w:type="dxa"/>
              <w:bottom w:w="70" w:type="dxa"/>
              <w:end w:w="110" w:type="dxa"/>
            </w:tcMar>
          </w:tcPr>
          <w:p>
            <w:pPr>
              <w:pStyle w:val="TableText"/>
              <w:jc w:val="left"/>
            </w:pPr>
            <w:r>
              <w:rPr>
                <w:lang w:val="en-US" w:eastAsia="en-US" w:bidi="ar-SA"/>
              </w:rPr>
              <w:t>Essential medicines, antidotes, blood products, transplant materials, emergency medical consumables and critical medical devices</w:t>
            </w:r>
          </w:p>
        </w:tc>
        <w:tc>
          <w:tcPr>
            <w:tcW w:w="3120" w:type="dxa"/>
            <w:tcMar>
              <w:top w:w="70" w:type="dxa"/>
              <w:start w:w="110" w:type="dxa"/>
              <w:bottom w:w="70" w:type="dxa"/>
              <w:end w:w="110" w:type="dxa"/>
            </w:tcMar>
          </w:tcPr>
          <w:p>
            <w:pPr>
              <w:pStyle w:val="TableText"/>
              <w:jc w:val="left"/>
            </w:pPr>
            <w:r>
              <w:rPr>
                <w:lang w:val="en-US" w:eastAsia="en-US" w:bidi="ar-SA"/>
              </w:rPr>
              <w:t>Certified medical or emergency end use; controlled goods remain subject to applicable safety law.</w:t>
            </w:r>
          </w:p>
        </w:tc>
      </w:tr>
      <w:tr>
        <w:trPr/>
        <w:tc>
          <w:tcPr>
            <w:tcW w:w="3120" w:type="dxa"/>
            <w:shd w:fill="F5F7F8" w:val="clear" w:color="auto"/>
            <w:tcMar>
              <w:top w:w="70" w:type="dxa"/>
              <w:start w:w="110" w:type="dxa"/>
              <w:bottom w:w="70" w:type="dxa"/>
              <w:end w:w="110" w:type="dxa"/>
            </w:tcMar>
          </w:tcPr>
          <w:p>
            <w:pPr>
              <w:pStyle w:val="TableText"/>
              <w:jc w:val="left"/>
            </w:pPr>
            <w:r>
              <w:rPr>
                <w:lang w:val="en-US" w:eastAsia="en-US" w:bidi="ar-SA"/>
              </w:rPr>
              <w:t>Water and sanitation</w:t>
            </w:r>
          </w:p>
        </w:tc>
        <w:tc>
          <w:tcPr>
            <w:tcW w:w="3120" w:type="dxa"/>
            <w:shd w:fill="F5F7F8" w:val="clear" w:color="auto"/>
            <w:tcMar>
              <w:top w:w="70" w:type="dxa"/>
              <w:start w:w="110" w:type="dxa"/>
              <w:bottom w:w="70" w:type="dxa"/>
              <w:end w:w="110" w:type="dxa"/>
            </w:tcMar>
          </w:tcPr>
          <w:p>
            <w:pPr>
              <w:pStyle w:val="TableText"/>
              <w:jc w:val="left"/>
            </w:pPr>
            <w:r>
              <w:rPr>
                <w:lang w:val="en-US" w:eastAsia="en-US" w:bidi="ar-SA"/>
              </w:rPr>
              <w:t>Emergency potable water, purification systems, sanitation kits, emergency pumps and treatment consumables</w:t>
            </w:r>
          </w:p>
        </w:tc>
        <w:tc>
          <w:tcPr>
            <w:tcW w:w="3120" w:type="dxa"/>
            <w:shd w:fill="F5F7F8" w:val="clear" w:color="auto"/>
            <w:tcMar>
              <w:top w:w="70" w:type="dxa"/>
              <w:start w:w="110" w:type="dxa"/>
              <w:bottom w:w="70" w:type="dxa"/>
              <w:end w:w="110" w:type="dxa"/>
            </w:tcMar>
          </w:tcPr>
          <w:p>
            <w:pPr>
              <w:pStyle w:val="TableText"/>
              <w:jc w:val="left"/>
            </w:pPr>
            <w:r>
              <w:rPr>
                <w:lang w:val="en-US" w:eastAsia="en-US" w:bidi="ar-SA"/>
              </w:rPr>
              <w:t>Emergency-response or humanitarian consignee certification.</w:t>
            </w:r>
          </w:p>
        </w:tc>
      </w:tr>
      <w:tr>
        <w:trPr/>
        <w:tc>
          <w:tcPr>
            <w:tcW w:w="3120" w:type="dxa"/>
            <w:tcMar>
              <w:top w:w="70" w:type="dxa"/>
              <w:start w:w="110" w:type="dxa"/>
              <w:bottom w:w="70" w:type="dxa"/>
              <w:end w:w="110" w:type="dxa"/>
            </w:tcMar>
          </w:tcPr>
          <w:p>
            <w:pPr>
              <w:pStyle w:val="TableText"/>
              <w:jc w:val="left"/>
            </w:pPr>
            <w:r>
              <w:rPr>
                <w:lang w:val="en-US" w:eastAsia="en-US" w:bidi="ar-SA"/>
              </w:rPr>
              <w:t>Food and nutrition</w:t>
            </w:r>
          </w:p>
        </w:tc>
        <w:tc>
          <w:tcPr>
            <w:tcW w:w="3120" w:type="dxa"/>
            <w:tcMar>
              <w:top w:w="70" w:type="dxa"/>
              <w:start w:w="110" w:type="dxa"/>
              <w:bottom w:w="70" w:type="dxa"/>
              <w:end w:w="110" w:type="dxa"/>
            </w:tcMar>
          </w:tcPr>
          <w:p>
            <w:pPr>
              <w:pStyle w:val="TableText"/>
              <w:jc w:val="left"/>
            </w:pPr>
            <w:r>
              <w:rPr>
                <w:lang w:val="en-US" w:eastAsia="en-US" w:bidi="ar-SA"/>
              </w:rPr>
              <w:t>Emergency rations, therapeutic nutrition, infant emergency nutrition and disaster-relief food shipments</w:t>
            </w:r>
          </w:p>
        </w:tc>
        <w:tc>
          <w:tcPr>
            <w:tcW w:w="3120" w:type="dxa"/>
            <w:tcMar>
              <w:top w:w="70" w:type="dxa"/>
              <w:start w:w="110" w:type="dxa"/>
              <w:bottom w:w="70" w:type="dxa"/>
              <w:end w:w="110" w:type="dxa"/>
            </w:tcMar>
          </w:tcPr>
          <w:p>
            <w:pPr>
              <w:pStyle w:val="TableText"/>
              <w:jc w:val="left"/>
            </w:pPr>
            <w:r>
              <w:rPr>
                <w:lang w:val="en-US" w:eastAsia="en-US" w:bidi="ar-SA"/>
              </w:rPr>
              <w:t>Immediate humanitarian or disaster-relief deployment; ordinary commercial grocery trade excluded.</w:t>
            </w:r>
          </w:p>
        </w:tc>
      </w:tr>
      <w:tr>
        <w:trPr/>
        <w:tc>
          <w:tcPr>
            <w:tcW w:w="3120" w:type="dxa"/>
            <w:shd w:fill="F5F7F8" w:val="clear" w:color="auto"/>
            <w:tcMar>
              <w:top w:w="70" w:type="dxa"/>
              <w:start w:w="110" w:type="dxa"/>
              <w:bottom w:w="70" w:type="dxa"/>
              <w:end w:w="110" w:type="dxa"/>
            </w:tcMar>
          </w:tcPr>
          <w:p>
            <w:pPr>
              <w:pStyle w:val="TableText"/>
              <w:jc w:val="left"/>
            </w:pPr>
            <w:r>
              <w:rPr>
                <w:lang w:val="en-US" w:eastAsia="en-US" w:bidi="ar-SA"/>
              </w:rPr>
              <w:t>Shelter and protection</w:t>
            </w:r>
          </w:p>
        </w:tc>
        <w:tc>
          <w:tcPr>
            <w:tcW w:w="3120" w:type="dxa"/>
            <w:shd w:fill="F5F7F8" w:val="clear" w:color="auto"/>
            <w:tcMar>
              <w:top w:w="70" w:type="dxa"/>
              <w:start w:w="110" w:type="dxa"/>
              <w:bottom w:w="70" w:type="dxa"/>
              <w:end w:w="110" w:type="dxa"/>
            </w:tcMar>
          </w:tcPr>
          <w:p>
            <w:pPr>
              <w:pStyle w:val="TableText"/>
              <w:jc w:val="left"/>
            </w:pPr>
            <w:r>
              <w:rPr>
                <w:lang w:val="en-US" w:eastAsia="en-US" w:bidi="ar-SA"/>
              </w:rPr>
              <w:t>Emergency shelters, blankets, thermal protection and emergency climate-control equipment</w:t>
            </w:r>
          </w:p>
        </w:tc>
        <w:tc>
          <w:tcPr>
            <w:tcW w:w="3120" w:type="dxa"/>
            <w:shd w:fill="F5F7F8" w:val="clear" w:color="auto"/>
            <w:tcMar>
              <w:top w:w="70" w:type="dxa"/>
              <w:start w:w="110" w:type="dxa"/>
              <w:bottom w:w="70" w:type="dxa"/>
              <w:end w:w="110" w:type="dxa"/>
            </w:tcMar>
          </w:tcPr>
          <w:p>
            <w:pPr>
              <w:pStyle w:val="TableText"/>
              <w:jc w:val="left"/>
            </w:pPr>
            <w:r>
              <w:rPr>
                <w:lang w:val="en-US" w:eastAsia="en-US" w:bidi="ar-SA"/>
              </w:rPr>
              <w:t>Emergency deployment documentation.</w:t>
            </w:r>
          </w:p>
        </w:tc>
      </w:tr>
      <w:tr>
        <w:trPr/>
        <w:tc>
          <w:tcPr>
            <w:tcW w:w="3120" w:type="dxa"/>
            <w:tcMar>
              <w:top w:w="70" w:type="dxa"/>
              <w:start w:w="110" w:type="dxa"/>
              <w:bottom w:w="70" w:type="dxa"/>
              <w:end w:w="110" w:type="dxa"/>
            </w:tcMar>
          </w:tcPr>
          <w:p>
            <w:pPr>
              <w:pStyle w:val="TableText"/>
              <w:jc w:val="left"/>
            </w:pPr>
            <w:r>
              <w:rPr>
                <w:lang w:val="en-US" w:eastAsia="en-US" w:bidi="ar-SA"/>
              </w:rPr>
              <w:t>Rescue and evacuation</w:t>
            </w:r>
          </w:p>
        </w:tc>
        <w:tc>
          <w:tcPr>
            <w:tcW w:w="3120" w:type="dxa"/>
            <w:tcMar>
              <w:top w:w="70" w:type="dxa"/>
              <w:start w:w="110" w:type="dxa"/>
              <w:bottom w:w="70" w:type="dxa"/>
              <w:end w:w="110" w:type="dxa"/>
            </w:tcMar>
          </w:tcPr>
          <w:p>
            <w:pPr>
              <w:pStyle w:val="TableText"/>
              <w:jc w:val="left"/>
            </w:pPr>
            <w:r>
              <w:rPr>
                <w:lang w:val="en-US" w:eastAsia="en-US" w:bidi="ar-SA"/>
              </w:rPr>
              <w:t>Rescue tools, evacuation equipment, emergency communications and search-and-rescue supplies</w:t>
            </w:r>
          </w:p>
        </w:tc>
        <w:tc>
          <w:tcPr>
            <w:tcW w:w="3120" w:type="dxa"/>
            <w:tcMar>
              <w:top w:w="70" w:type="dxa"/>
              <w:start w:w="110" w:type="dxa"/>
              <w:bottom w:w="70" w:type="dxa"/>
              <w:end w:w="110" w:type="dxa"/>
            </w:tcMar>
          </w:tcPr>
          <w:p>
            <w:pPr>
              <w:pStyle w:val="TableText"/>
              <w:jc w:val="left"/>
            </w:pPr>
            <w:r>
              <w:rPr>
                <w:lang w:val="en-US" w:eastAsia="en-US" w:bidi="ar-SA"/>
              </w:rPr>
              <w:t>Public-safety, humanitarian, or accredited emergency-response use.</w:t>
            </w:r>
          </w:p>
        </w:tc>
      </w:tr>
      <w:tr>
        <w:trPr/>
        <w:tc>
          <w:tcPr>
            <w:tcW w:w="3120" w:type="dxa"/>
            <w:shd w:fill="F5F7F8" w:val="clear" w:color="auto"/>
            <w:tcMar>
              <w:top w:w="70" w:type="dxa"/>
              <w:start w:w="110" w:type="dxa"/>
              <w:bottom w:w="70" w:type="dxa"/>
              <w:end w:w="110" w:type="dxa"/>
            </w:tcMar>
          </w:tcPr>
          <w:p>
            <w:pPr>
              <w:pStyle w:val="TableText"/>
              <w:jc w:val="left"/>
            </w:pPr>
            <w:r>
              <w:rPr>
                <w:lang w:val="en-US" w:eastAsia="en-US" w:bidi="ar-SA"/>
              </w:rPr>
              <w:t>Wildfire and disaster response</w:t>
            </w:r>
          </w:p>
        </w:tc>
        <w:tc>
          <w:tcPr>
            <w:tcW w:w="3120" w:type="dxa"/>
            <w:shd w:fill="F5F7F8" w:val="clear" w:color="auto"/>
            <w:tcMar>
              <w:top w:w="70" w:type="dxa"/>
              <w:start w:w="110" w:type="dxa"/>
              <w:bottom w:w="70" w:type="dxa"/>
              <w:end w:w="110" w:type="dxa"/>
            </w:tcMar>
          </w:tcPr>
          <w:p>
            <w:pPr>
              <w:pStyle w:val="TableText"/>
              <w:jc w:val="left"/>
            </w:pPr>
            <w:r>
              <w:rPr>
                <w:lang w:val="en-US" w:eastAsia="en-US" w:bidi="ar-SA"/>
              </w:rPr>
              <w:t>Firefighting agents and equipment, protective equipment, emergency pumps, hose, response vehicles and specialized disaster-response goods</w:t>
            </w:r>
          </w:p>
        </w:tc>
        <w:tc>
          <w:tcPr>
            <w:tcW w:w="3120" w:type="dxa"/>
            <w:shd w:fill="F5F7F8" w:val="clear" w:color="auto"/>
            <w:tcMar>
              <w:top w:w="70" w:type="dxa"/>
              <w:start w:w="110" w:type="dxa"/>
              <w:bottom w:w="70" w:type="dxa"/>
              <w:end w:w="110" w:type="dxa"/>
            </w:tcMar>
          </w:tcPr>
          <w:p>
            <w:pPr>
              <w:pStyle w:val="TableText"/>
              <w:jc w:val="left"/>
            </w:pPr>
            <w:r>
              <w:rPr>
                <w:lang w:val="en-US" w:eastAsia="en-US" w:bidi="ar-SA"/>
              </w:rPr>
              <w:t>Shipment linked to an active emergency, pre-positioned emergency stockpile, or accredited response program.</w:t>
            </w:r>
          </w:p>
        </w:tc>
      </w:tr>
    </w:tbl>
    <w:p>
      <w:pPr>
        <w:pStyle w:val="Heading1"/>
      </w:pPr>
      <w:bookmarkStart w:id="901364" w:name="_Toc300001363"/>
      <w:r>
        <w:t>CHAPTER 39</w:t>
      </w:r>
      <w:r>
        <w:br/>
      </w:r>
      <w:r>
        <w:t>ADVANCED TECHNOLOGY AND ARTIFICIAL INTELLIGENCE</w:t>
      </w:r>
      <w:bookmarkEnd w:id="901364"/>
    </w:p>
    <w:p>
      <w:pPr>
        <w:spacing w:before="0" w:after="0"/>
        <w:widowControl w:val="1"/>
      </w:pPr>
      <w:r>
        <w:t>1. HUMANITARIAN CERTIFICATION AND PROTECTED SCOPE. Annex 38-B is an illustrative functional list rather than an exhaustive brand or product list, and the importing customs authority certifies shipment eligibility on credible evidence of a principal direct life-saving or immediate disaster-relief use. The authority accepts an end-user or competent emergency-agency statement, incident reference and consignee evidence proportionate to diversion risk, decides an ordinary complete request within two business days and a credible risk-to-life dispute the same day. Other protected goods in Article 35.40.4 means those qualifying under Article 35.35 and this procedure, not an undefined additional category. Article 35.35 protection applies irrespective of formal Mechanism activation, while Chapter 38 priority operations apply during an objectively evidenced emergency with provisional activation available immediately and conditional safe release preferred to avoid life-threatening delay.</w:t>
      </w:r>
    </w:p>
    <w:p/>
    <w:p>
      <w:pPr>
        <w:pStyle w:val="Heading2"/>
      </w:pPr>
      <w:bookmarkStart w:id="1010746" w:name="_TocR22_20746"/>
      <w:r>
        <w:t>PART A: ADVANCED TECHNOLOGY AND OPTIONAL REGULATORY COOPERATION</w:t>
      </w:r>
      <w:bookmarkEnd w:id="1010746"/>
    </w:p>
    <w:p>
      <w:pPr>
        <w:pStyle w:val="Heading2"/>
      </w:pPr>
      <w:bookmarkStart w:id="901365" w:name="_Toc300001364"/>
      <w:r>
        <w:t>Article 39.1: Purpose and Approach</w:t>
      </w:r>
      <w:bookmarkEnd w:id="901365"/>
    </w:p>
    <w:p>
      <w:pPr>
        <w:pStyle w:val="Normal"/>
      </w:pPr>
      <w:r>
        <w:t>1. The Parties recognize that artificial intelligence, quantum computing, semiconductors, and other emerging technologies are transforming North American production and trade, and that this Agreement must accommodate technological change without freezing today’s regulatory questions into a long-lived treaty.</w:t>
      </w:r>
    </w:p>
    <w:p>
      <w:pPr>
        <w:pStyle w:val="Normal"/>
      </w:pPr>
      <w:r>
        <w:t>2. This Chapter promotes innovation, interoperability, and cooperation, while preserving each Party’s authority to regulate emerging technologies in the public interest.</w:t>
      </w:r>
    </w:p>
    <w:p>
      <w:pPr/>
      <w:r>
        <w:t>PART A REGULATORY SAVING. Article 39.1(2) preserves domestic means of regulation within Part A cooperation. It does not excuse a mandatory safeguard in Parts B or C. Article 39.3(2) has the same limited scope. Article 39.75 governs a concrete conflict.</w:t>
      </w:r>
    </w:p>
    <w:p>
      <w:pPr>
        <w:pStyle w:val="Heading2"/>
      </w:pPr>
      <w:bookmarkStart w:id="901366" w:name="_Toc300001365"/>
      <w:r>
        <w:t>Article 39.2: AI-Enabled Trade</w:t>
      </w:r>
      <w:bookmarkEnd w:id="901366"/>
    </w:p>
    <w:p>
      <w:pPr>
        <w:pStyle w:val="Normal"/>
        <w:spacing w:before="0" w:after="0"/>
        <w:widowControl w:val="1"/>
      </w:pPr>
      <w:r>
        <w:t>1. AI TRADE NON-DISCRIMINATION. No Party shall apply a covered border measure to another Party's originating goods solely because AI was used in production or trade, or discriminate in internal regulation against another Party's goods, services, investors or suppliers by nationality or a substantially equivalent proxy. The general-application saving concerns only origin-neutral internal regulation pursuing an evidenced lawful objective and applied equally to materially comparable domestic and foreign activity. It does not authorize an AI-specific duty, surcharge or border restriction merely because all foreign sources are included. Independently lawful regulation remains subject to necessity, proportionality, the applicable Chapter 32 exception and Chapters 31 and 35 remedy controls.</w:t>
      </w:r>
    </w:p>
    <w:p/>
    <w:p>
      <w:pPr>
        <w:pStyle w:val="Normal"/>
      </w:pPr>
      <w:r>
        <w:t>2. The Parties shall cooperate on interoperability of technical standards and conformity assessment for AI-enabled products, in accordance with Chapter 11 (Technical Barriers to Trade).</w:t>
      </w:r>
    </w:p>
    <w:p>
      <w:pPr>
        <w:pStyle w:val="Heading2"/>
      </w:pPr>
      <w:bookmarkStart w:id="901367" w:name="_Toc300001366"/>
      <w:r>
        <w:t>Article 39.3: Regulatory Cooperation on Artificial Intelligence</w:t>
      </w:r>
      <w:bookmarkEnd w:id="901367"/>
    </w:p>
    <w:p>
      <w:pPr>
        <w:pStyle w:val="Normal"/>
      </w:pPr>
      <w:r>
        <w:t>1. The Parties shall establish, under the Committee on Digital Trade Cooperation, an Artificial Intelligence Regulatory Cooperation Track to exchange information on AI governance approaches, risk-management frameworks, and standards development.</w:t>
      </w:r>
    </w:p>
    <w:p>
      <w:pPr>
        <w:pStyle w:val="Normal"/>
      </w:pPr>
      <w:r>
        <w:t>2. Participation in the Cooperation Track does not require regulatory harmonization, and nothing in Part A or the optional Cooperation Track prejudges a Party’s domestic treatment of AI safety, liability, intellectual property, or content questions.</w:t>
      </w:r>
    </w:p>
    <w:p>
      <w:pPr>
        <w:pStyle w:val="Heading2"/>
      </w:pPr>
      <w:bookmarkStart w:id="901368" w:name="_Toc300001367"/>
      <w:r>
        <w:t>Article 39.4: Semiconductors and Advanced Electronics</w:t>
      </w:r>
      <w:bookmarkEnd w:id="901368"/>
    </w:p>
    <w:p>
      <w:pPr>
        <w:pStyle w:val="Normal"/>
      </w:pPr>
      <w:r>
        <w:t>1. The Parties recognize that many electronic components have no current North American substitute. Rules of origin affecting semiconductors and advanced electronics shall be administered in accordance with Article 4.A.5, recognizing testing, packaging, and final assembly within a Party as qualifying production under the conditions there set out.</w:t>
      </w:r>
    </w:p>
    <w:p>
      <w:pPr>
        <w:pStyle w:val="Normal"/>
      </w:pPr>
      <w:r>
        <w:t>2. The Parties shall cooperate to develop North American semiconductor capacity and supply-chain mapping, and shall consult before adopting measures affecting cross-border semiconductor trade between the Parties.</w:t>
      </w:r>
    </w:p>
    <w:p>
      <w:pPr>
        <w:pStyle w:val="Heading2"/>
      </w:pPr>
      <w:bookmarkStart w:id="901369" w:name="_Toc300001368"/>
      <w:r>
        <w:t>Article 39.5: Advanced Technology Annex and Technology-Update Mechanism</w:t>
      </w:r>
      <w:bookmarkEnd w:id="901369"/>
    </w:p>
    <w:p>
      <w:pPr>
        <w:pStyle w:val="Normal"/>
      </w:pPr>
      <w:r>
        <w:t>1. The Commission shall maintain an Advanced Technology Annex identifying technology areas subject to enhanced cooperation under this Chapter.</w:t>
      </w:r>
    </w:p>
    <w:p>
      <w:pPr>
        <w:pStyle w:val="Normal"/>
      </w:pPr>
      <w:r>
        <w:t>2. The Commission may, by consensus, adopt or update technical annexes under this Chapter and Annex 35-B, Annex 37-A, and equivalent technical instruments, through the Structured Technical Amendment Procedure in Article 34.3.A, within the limits of that Article, without reopening the text of this Agreement.</w:t>
      </w:r>
    </w:p>
    <w:p>
      <w:pPr>
        <w:pStyle w:val="Normal"/>
        <w:spacing w:before="0" w:after="0"/>
        <w:widowControl w:val="1"/>
      </w:pPr>
      <w:r>
        <w:t>3. Updates under paragraph 2 take effect on a date fixed by the Commission complying with Article 34.3.A, including its thirty-day comment, scope screen, pre-effect objection and sixty-day minimum, are published in the Registry, and are reported to the Parties’ legislatures in accordance with their domestic procedures.</w:t>
      </w:r>
    </w:p>
    <w:p/>
    <w:p>
      <w:pPr>
        <w:pStyle w:val="Heading2"/>
      </w:pPr>
      <w:bookmarkStart w:id="901370" w:name="_Toc300001369"/>
      <w:r>
        <w:t>Article 39.6: Quantum and Emerging Technologies</w:t>
      </w:r>
      <w:bookmarkEnd w:id="901370"/>
    </w:p>
    <w:p>
      <w:pPr>
        <w:pStyle w:val="Normal"/>
      </w:pPr>
      <w:r>
        <w:t>1. The Parties shall endeavor to cooperate on research-security, standards, and supply-chain matters concerning quantum computing, advanced communications, and other technologies designated in the Advanced Technology Annex.</w:t>
      </w:r>
    </w:p>
    <w:p>
      <w:pPr>
        <w:pStyle w:val="Heading2"/>
      </w:pPr>
      <w:bookmarkStart w:id="901371" w:name="_Toc300001370"/>
      <w:r>
        <w:t>Article 39.7: Strategic Compute Infrastructure Cooperation</w:t>
      </w:r>
      <w:bookmarkEnd w:id="901371"/>
    </w:p>
    <w:p>
      <w:pPr>
        <w:pStyle w:val="Normal"/>
      </w:pPr>
      <w:r>
        <w:t>1. The Parties recognize secure and scalable compute infrastructure as an enabling input to advanced manufacturing, scientific research, artificial intelligence, digital services, and economic security.</w:t>
      </w:r>
    </w:p>
    <w:p>
      <w:pPr>
        <w:pStyle w:val="Normal"/>
      </w:pPr>
      <w:r>
        <w:t>2. The Committee on Digital Trade Cooperation shall coordinate with the Grid Resilience Working Group on standards, interoperability, cybersecurity, telecommunications resilience, data-movement requirements, and other matters affecting Strategic Compute and Energy Zones under Chapter 40.</w:t>
      </w:r>
    </w:p>
    <w:p>
      <w:pPr>
        <w:pStyle w:val="Normal"/>
      </w:pPr>
      <w:r>
        <w:t>3. The Parties shall encourage commercially reasonable access to advanced compute for small and medium-sized enterprises, researchers, and innovative firms, while preserving each Party's authority to establish sovereign public compute, security-sensitive compute, or domestic-access programs.</w:t>
      </w:r>
    </w:p>
    <w:p>
      <w:pPr>
        <w:pStyle w:val="Normal"/>
      </w:pPr>
      <w:r>
        <w:t>4. The Advanced Technology Annex shall include energy-efficient compute, advanced cooling, high-speed networking, grid-aware workload management, secure cloud infrastructure, and related technologies as areas eligible for enhanced cooperation.</w:t>
      </w:r>
    </w:p>
    <w:p>
      <w:pPr>
        <w:pStyle w:val="Heading2"/>
      </w:pPr>
      <w:bookmarkStart w:id="901372" w:name="_Toc300001371"/>
      <w:r>
        <w:t>Article 39.8: North American Advanced Compute Demonstration Corridor</w:t>
      </w:r>
      <w:bookmarkEnd w:id="901372"/>
    </w:p>
    <w:p>
      <w:pPr>
        <w:pStyle w:val="Normal"/>
      </w:pPr>
      <w:r>
        <w:t>1. The Parties establish a cooperative pathway for real-world demonstration of data-centre and high-performance-computing technologies, including advanced cooling, power management, waste-heat recovery, high-density computing, water-efficiency systems, networking, storage integration, and grid-aware workload management.</w:t>
      </w:r>
    </w:p>
    <w:p>
      <w:pPr>
        <w:pStyle w:val="Normal"/>
      </w:pPr>
      <w:r>
        <w:t>2. A Party may designate metropolitan or industrial demonstration locations with strong electricity, telecommunications, research, workforce, transportation, and cross-border connectivity. Canada may prioritize suitable metropolitan regions with practical access to the United States border, without creating an obligation to approve a particular site or project.</w:t>
      </w:r>
    </w:p>
    <w:p>
      <w:pPr>
        <w:pStyle w:val="Normal"/>
      </w:pPr>
      <w:r>
        <w:t>3. Qualifying projects may receive coordinated permitting, utility engagement, research partnerships, standardized performance measurement, and access to controlled demonstration facilities. Public support may be conditioned on meaningful participation by domestic researchers, workers, universities, utilities, or firms, while respecting intellectual-property rights.</w:t>
      </w:r>
    </w:p>
    <w:p>
      <w:pPr>
        <w:pStyle w:val="Normal"/>
      </w:pPr>
      <w:r>
        <w:t>4. The Parties shall encourage multi-climate validation across Canadian, United States, and Mexican test environments and may develop common non-binding performance reports covering energy efficiency, water use, thermal performance, reliability, maintenance, cost, scalability, cybersecurity, and waste-heat utilization.</w:t>
      </w:r>
    </w:p>
    <w:p>
      <w:pPr>
        <w:spacing w:before="0" w:after="0"/>
        <w:widowControl w:val="1"/>
      </w:pPr>
      <w:r>
        <w:t>5. PUBLIC SUPPORT AND INVESTMENT CONSISTENCY. Article 39.8(3) participation conditions operate only to the extent consistent with Chapter 14, including Article 14.10's exact performance-requirement prohibitions and exceptions. Permitted location, training, employment or research-and-development support conditions do not imply permission for an otherwise prohibited purchase, sourcing or technology-transfer requirement. The competent funding authority shall identify its lawful condition and applicable authority before award. An optional support program does not reduce ordinary investment or market-access rights.</w:t>
      </w:r>
    </w:p>
    <w:p/>
    <w:p>
      <w:pPr>
        <w:pStyle w:val="Heading2"/>
      </w:pPr>
      <w:bookmarkStart w:id="901373" w:name="_Toc300001372"/>
      <w:r>
        <w:t>Article 39.9: North American Experimental Technology Pathway</w:t>
      </w:r>
      <w:bookmarkEnd w:id="901373"/>
    </w:p>
    <w:p>
      <w:pPr>
        <w:pStyle w:val="Normal"/>
      </w:pPr>
      <w:r>
        <w:t>1. The Parties establish an Experimental Technology Pathway for donated, public-domain, academic, laboratory, Indigenous, commercial, governmental, and independently developed concepts relevant to North American resilience, trade infrastructure, energy, wildfire response, disaster logistics, advanced manufacturing, environmental protection, and other purposes consistent with this Agreement.</w:t>
      </w:r>
    </w:p>
    <w:p>
      <w:pPr>
        <w:pStyle w:val="Normal"/>
      </w:pPr>
      <w:r>
        <w:t>2. Participation authorizes feasibility assessment, modelling, simulation, scaled testing, prototype development, demonstration, regulatory study, or independent validation. Participation does not constitute technical certification, endorsement, procurement commitment, commercial guarantee, deployment obligation, or a finding that the technology is feasible.</w:t>
      </w:r>
    </w:p>
    <w:p>
      <w:pPr>
        <w:pStyle w:val="Normal"/>
      </w:pPr>
      <w:r>
        <w:t>3. The Pathway uses existing agencies, laboratories, committees, universities, standards bodies, and procurement or research authorities. No new permanent institution is created solely to administer this Article.</w:t>
      </w:r>
    </w:p>
    <w:p>
      <w:pPr>
        <w:pStyle w:val="Heading2"/>
      </w:pPr>
      <w:bookmarkStart w:id="901374" w:name="_Toc300001373"/>
      <w:r>
        <w:t>Article 39.10: Iterative Experimental Development Principle</w:t>
      </w:r>
      <w:bookmarkEnd w:id="901374"/>
    </w:p>
    <w:p>
      <w:pPr>
        <w:pStyle w:val="Normal"/>
      </w:pPr>
      <w:r>
        <w:t>1. An experimental technology is not deemed unsuccessful solely because an initial prototype, test, demonstration, or configuration fails to satisfy target criteria. Where technical review identifies a credible corrective hypothesis, the project may proceed through redesign, modification, recalibration, materials substitution, software revision, manufacturing improvement, or another technically relevant iteration.</w:t>
      </w:r>
    </w:p>
    <w:p>
      <w:pPr>
        <w:pStyle w:val="Normal"/>
      </w:pPr>
      <w:r>
        <w:t>2. Each Experimental Development Plan identifies the principal validation criteria, expected iteration cost, safety constraints, data-retention requirements, and a Revalidation Threshold appropriate to the project. The threshold ordinarily falls between three and five consecutive material unsuccessful iterations, adjusted for cost, maturity, safety implications, and testing characteristics.</w:t>
      </w:r>
    </w:p>
    <w:p>
      <w:pPr>
        <w:pStyle w:val="Normal"/>
      </w:pPr>
      <w:r>
        <w:t>3. Each major iteration records what failed, what changed, what evidence supports the revised approach, and which criterion the next iteration tests. Repetition without a materially changed hypothesis does not reset the iteration count.</w:t>
      </w:r>
    </w:p>
    <w:p>
      <w:pPr>
        <w:pStyle w:val="Heading2"/>
      </w:pPr>
      <w:bookmarkStart w:id="901375" w:name="_Toc300001374"/>
      <w:r>
        <w:t>Article 39.11: Revalidation Gate After Repeated Unsuccessful Iterations</w:t>
      </w:r>
      <w:bookmarkEnd w:id="901375"/>
    </w:p>
    <w:p>
      <w:pPr>
        <w:pStyle w:val="Normal"/>
      </w:pPr>
      <w:r>
        <w:t>1. When a project reaches its Revalidation Threshold, materially costly or full-scale physical development pauses until the revised approach passes an appropriate predictive or reduced-cost demonstration.</w:t>
      </w:r>
    </w:p>
    <w:p>
      <w:pPr>
        <w:pStyle w:val="Normal"/>
      </w:pPr>
      <w:r>
        <w:t>2. The Revalidation Gate may use validated simulation, computational modelling, digital twins, hardware-in-the-loop testing, analytical proof, component testing, reduced-scale physical testing, laboratory demonstration, or another technically recognized method suitable to the identified failure mode.</w:t>
      </w:r>
    </w:p>
    <w:p>
      <w:pPr>
        <w:pStyle w:val="Normal"/>
      </w:pPr>
      <w:r>
        <w:t>3. A Gate pass establishes only that the revised configuration has a technically credible pathway to satisfying the failed criteria within stated assumptions and uncertainty bounds. It does not establish certification, commercial viability, or guaranteed physical performance.</w:t>
      </w:r>
    </w:p>
    <w:p>
      <w:pPr>
        <w:pStyle w:val="Normal"/>
      </w:pPr>
      <w:r>
        <w:t>4. Where independent technical review determines that no sufficiently validated computational or software method exists for the relevant failure mode, the Gate uses the most probative available alternative, including targeted physical or laboratory testing.</w:t>
      </w:r>
    </w:p>
    <w:p>
      <w:pPr>
        <w:pStyle w:val="Normal"/>
      </w:pPr>
      <w:r>
        <w:t>5. A fundamentally revised technical approach may begin a new iteration sequence where review finds that it materially changes the mechanism responsible for previous failures rather than merely relabeling or incrementally modifying the unsuccessful configuration.</w:t>
      </w:r>
    </w:p>
    <w:p>
      <w:pPr>
        <w:pStyle w:val="Heading2"/>
      </w:pPr>
      <w:bookmarkStart w:id="901376" w:name="_Toc300001375"/>
      <w:r>
        <w:t>Article 39.12: Productive Experimental Closure and Derivative Development</w:t>
      </w:r>
      <w:bookmarkEnd w:id="901376"/>
    </w:p>
    <w:p>
      <w:pPr>
        <w:pStyle w:val="Normal"/>
      </w:pPr>
      <w:r>
        <w:t>1. A project may conclude in good standing where repeated good-faith experimentation establishes that further development is unlikely to justify expected technical, economic, environmental, safety, or operational cost. Such closure does not constitute non-compliance and does not prejudice participation in future experimental programs.</w:t>
      </w:r>
    </w:p>
    <w:p>
      <w:pPr>
        <w:pStyle w:val="Normal"/>
      </w:pPr>
      <w:r>
        <w:t>2. Where an unsuccessful original system produces a component, material, process, software system, operational method, dataset, manufacturing technique, or derivative technology with independent potential value, that derivative may continue through the Pathway without requiring the original concept to remain active.</w:t>
      </w:r>
    </w:p>
    <w:p>
      <w:pPr>
        <w:pStyle w:val="Normal"/>
      </w:pPr>
      <w:r>
        <w:t>3. Experimental completion is measured by disciplined learning and evidence production, not by a requirement that every admitted concept reach deployment.</w:t>
      </w:r>
    </w:p>
    <w:p>
      <w:pPr>
        <w:spacing w:before="0" w:after="0"/>
        <w:widowControl w:val="1"/>
      </w:pPr>
      <w:r>
        <w:t>4. EXPERIMENTAL ADMISSION VALIDATION AND CLOSURE AUTHORITY. The competent domestic sector regulator or funding authority administering an Experimental Technology Pathway publishes admission criteria and decides applications on documented purpose, test plan, safety controls and lawful resources. It sets a Revalidation Threshold before admission between three and five unsuccessful iterations, with three applying by default, and cannot raise it above five without substantive amendment where a treaty guarantee would change. Passing revalidation means documented satisfaction of the published safety and performance criteria for the next limited experimental stage, while good standing means compliance with the authorized scope, reporting and safety conditions rather than commercial success. Article 24.T uses that same threshold and competent sector decision without creating an environmental waiver, a guaranteed approval or automatic advancement beyond the experimental stage.</w:t>
      </w:r>
    </w:p>
    <w:p/>
    <w:p>
      <w:pPr>
        <w:pStyle w:val="Heading2"/>
      </w:pPr>
      <w:bookmarkStart w:id="901377" w:name="_Toc300001376"/>
      <w:r>
        <w:t>Article 39.13: North American Semiconductor Security and Competitiveness Pact</w:t>
      </w:r>
      <w:bookmarkEnd w:id="901377"/>
    </w:p>
    <w:p>
      <w:pPr>
        <w:pStyle w:val="Normal"/>
      </w:pPr>
      <w:r>
        <w:t>1. The Parties establish within this Chapter a Semiconductor Security and Competitiveness cooperation framework to support a resilient, innovative, and globally competitive North American semiconductor ecosystem while preserving access to trusted external supply where North American capacity is insufficient. The framework is implemented through existing committees, competent domestic authorities, and voluntary programs and does not create a new standing institution or funding entitlement.</w:t>
      </w:r>
    </w:p>
    <w:p>
      <w:pPr>
        <w:pStyle w:val="Normal"/>
      </w:pPr>
      <w:r>
        <w:t>2. The Pact shall pursue complementarity rather than mandatory duplication. Existing strengths in design, research, front-end fabrication, compound semiconductors, photonics, packaging, assembly, testing, substrates, materials, equipment, electronics manufacturing, and recycling may be combined across the Parties as parts of one North American production system.</w:t>
      </w:r>
    </w:p>
    <w:p>
      <w:pPr>
        <w:pStyle w:val="Normal"/>
      </w:pPr>
      <w:r>
        <w:t>3. Specialization is not a ceiling. A Party may use lawful domestic or cooperative programs to support movement into higher-value stages as capability develops. Nothing in this Article requires a Party to subsidize a project, duplicate every semiconductor production stage domestically, or reserve capacity for another Party except through a separately accepted arrangement.</w:t>
      </w:r>
    </w:p>
    <w:p>
      <w:pPr>
        <w:pStyle w:val="Heading2"/>
      </w:pPr>
      <w:bookmarkStart w:id="901378" w:name="_Toc300001377"/>
      <w:r>
        <w:t>Article 39.14: Semiconductor-Specific Origin, Chiplet, and Packaging Cooperation</w:t>
      </w:r>
      <w:bookmarkEnd w:id="901378"/>
    </w:p>
    <w:p>
      <w:pPr>
        <w:pStyle w:val="Normal"/>
        <w:spacing w:before="0" w:after="0"/>
        <w:widowControl w:val="1"/>
      </w:pPr>
      <w:r>
        <w:t>1. The Committee on Rules of Origin and Origin Procedures shall develop semiconductor-specific guidance addressing wafer fabrication, die, packaging, testing, substrates, chiplets, qualifying design contribution, and other economically significant stages, consistent with Chapter 4.</w:t>
      </w:r>
    </w:p>
    <w:p/>
    <w:p>
      <w:pPr>
        <w:pStyle w:val="Normal"/>
      </w:pPr>
      <w:r>
        <w:t>2. The Parties shall encourage interoperable chiplet, advanced-packaging, testing, and qualification standards and may recognize a North American Semiconductor Passport for products and facilities meeting agreed origin, security, traceability, quality, and reliability criteria.</w:t>
      </w:r>
    </w:p>
    <w:p>
      <w:pPr>
        <w:pStyle w:val="Normal"/>
      </w:pPr>
      <w:r>
        <w:t>3. A semiconductor designed, fabricated, packaged, tested, or integrated across more than one Party may receive qualifying treatment where the applicable origin rule is satisfied; no single Party is required to perform every stage.</w:t>
      </w:r>
    </w:p>
    <w:p>
      <w:pPr>
        <w:pStyle w:val="Heading2"/>
      </w:pPr>
      <w:bookmarkStart w:id="901379" w:name="_Toc300001378"/>
      <w:r>
        <w:t>Article 39.15: Capacity-Gap Safe Harbor and Trusted Foundry Access</w:t>
      </w:r>
      <w:bookmarkEnd w:id="901379"/>
    </w:p>
    <w:p>
      <w:pPr>
        <w:pStyle w:val="Normal"/>
      </w:pPr>
      <w:r>
        <w:t>1. Where a semiconductor, substrate, material, equipment item, process node, or packaging service is unavailable within North America in commercially sufficient quantity, technical capability, certification, form, or delivery time, use of a qualifying Trusted Strategic Materials Source or other trusted external source shall not by itself constitute circumvention or disqualify a finished product that otherwise satisfies the applicable rule of origin.</w:t>
      </w:r>
    </w:p>
    <w:p>
      <w:pPr>
        <w:pStyle w:val="Normal"/>
      </w:pPr>
      <w:r>
        <w:t>2. The Parties shall endeavor to provide Canadian, Mexican, and United States fabless designers commercially reasonable access to qualifying North American foundry, packaging, prototyping, and multi-project-wafer capacity without requiring ownership of fabrication facilities.</w:t>
      </w:r>
    </w:p>
    <w:p>
      <w:pPr>
        <w:spacing w:before="0" w:after="0"/>
        <w:widowControl w:val="1"/>
      </w:pPr>
      <w:r>
        <w:t>3. EXTERNAL FOUNDRY AND ORIGIN SAFE HARBOR. Articles 39.4 and 39.15 use the exact origin safe-harbor authority in Articles 4.A.5 and 4.A.5A, including documented unavailability, applicable price test, permitted ceiling and commencement conditions. Other trusted external source means a source designated for the relevant material or process under Article 37.6A's published evidence and consensus procedure. A passport, cooperation understanding or external-source designation alone cannot activate an origin ceiling that is not yet legally operative or waive required capacity-gap evidence. The competent customs authority decides eligibility under Chapters 4 and 5 and publishes material reasons and the applicable review route.</w:t>
      </w:r>
    </w:p>
    <w:p/>
    <w:p>
      <w:pPr>
        <w:pStyle w:val="Heading2"/>
      </w:pPr>
      <w:bookmarkStart w:id="901380" w:name="_Toc300001379"/>
      <w:r>
        <w:t>Article 39.16: Semiconductor Workforce, Research, and SME Access</w:t>
      </w:r>
      <w:bookmarkEnd w:id="901380"/>
    </w:p>
    <w:p>
      <w:pPr>
        <w:pStyle w:val="Normal"/>
      </w:pPr>
      <w:r>
        <w:t>1. The Parties shall cooperate on semiconductor workforce development, including technician and engineer training, mutual recognition or accelerated assessment of relevant qualifications where appropriate, apprenticeships, train-the-trainer programs, and academic-industry partnerships.</w:t>
      </w:r>
    </w:p>
    <w:p>
      <w:pPr>
        <w:pStyle w:val="Normal"/>
      </w:pPr>
      <w:r>
        <w:t>2. The Parties may establish pooled or subsidized multi-project wafer runs, shared failure-analysis and reliability laboratories, prototyping access, and other programs that reduce entry barriers for North American small and medium-sized semiconductor firms.</w:t>
      </w:r>
    </w:p>
    <w:p>
      <w:pPr>
        <w:pStyle w:val="Normal"/>
      </w:pPr>
      <w:r>
        <w:t>3. Precompetitive research cooperation may include photonics, compound semiconductors, chiplets, advanced packaging, power electronics, quantum-enabling devices, materials, manufacturing processes, and semiconductor recycling and recovery.</w:t>
      </w:r>
    </w:p>
    <w:p>
      <w:pPr>
        <w:pStyle w:val="Heading2"/>
      </w:pPr>
      <w:bookmarkStart w:id="901381" w:name="_Toc300001380"/>
      <w:r>
        <w:t>Article 39.17: Semiconductor Capacity Reservation and Shortage Response</w:t>
      </w:r>
      <w:bookmarkEnd w:id="901381"/>
    </w:p>
    <w:p>
      <w:pPr>
        <w:pStyle w:val="Normal"/>
      </w:pPr>
      <w:r>
        <w:t>1. Participating semiconductor fabrication, packaging, testing, substrate, and materials facilities may voluntarily designate limited emergency capacity or rotating commercial inventories for critical-chip categories identified by the Commission.</w:t>
      </w:r>
    </w:p>
    <w:p>
      <w:pPr>
        <w:pStyle w:val="Normal"/>
      </w:pPr>
      <w:r>
        <w:t>2. Critical-chip categories may include automotive controllers, power electronics, grid and telecommunications components, medical-device semiconductors, industrial controls, and other components whose shortage produces disproportionate economic or safety consequences.</w:t>
      </w:r>
    </w:p>
    <w:p>
      <w:pPr>
        <w:pStyle w:val="Normal"/>
      </w:pPr>
      <w:r>
        <w:t>3. Capacity reservation does not authorize government allocation of ordinary commercial production absent a separate lawful emergency authority. Activation, compensation, priority, and release rules shall be specified in advance.</w:t>
      </w:r>
    </w:p>
    <w:p>
      <w:pPr>
        <w:spacing w:before="0" w:after="0"/>
        <w:widowControl w:val="1"/>
      </w:pPr>
      <w:r>
        <w:t>4. CHIP SHORTAGE AND INCIDENT NOTICE DEFAULTS. A Party claiming a critical-chip shortage notifies the Subcommittee and other Parties with capacity, demand, affected category and foreseeable essential-service impact, and the Article 35.10 Team verifies facts within fifteen days after a complete record. The Subcommittee convenes within seven days and recommends voluntary capacity or allocation measures, with a restrictive measure subject to the governing Article 35.21 or Article 32.2 as replaced track. Serious AI and materially cross-border incidents under Articles 39.34 and 39.51 use a twenty-four-hour notice default from credible awareness to the competent domestic authority and a further twenty-four-hour counterpart alert from awareness of cross-border relevance. A shorter applicable domestic deadline controls, protected existing health, customs or cybersecurity channels carry the report, and absence of an implementing schedule does not suspend notice.</w:t>
      </w:r>
    </w:p>
    <w:p/>
    <w:p>
      <w:pPr>
        <w:pStyle w:val="Heading2"/>
      </w:pPr>
      <w:bookmarkStart w:id="901382" w:name="_Toc300001381"/>
      <w:r>
        <w:t>Article 39.18: Semiconductor Investment Additionality and Non-Poaching</w:t>
      </w:r>
      <w:bookmarkEnd w:id="901382"/>
    </w:p>
    <w:p>
      <w:pPr>
        <w:pStyle w:val="Normal"/>
      </w:pPr>
      <w:r>
        <w:t>1. In coordinating public incentives, the Parties shall favor investments that create net new North American semiconductor capability, fill a verified processing or technology gap, expand resilience, or materially improve technological capability.</w:t>
      </w:r>
    </w:p>
    <w:p>
      <w:pPr>
        <w:pStyle w:val="Normal"/>
      </w:pPr>
      <w:r>
        <w:t>2. The Parties shall endeavor to avoid subsidy escalation whose principal effect is relocating an existing qualifying North American facility from one Party to another without a material continental capacity gain.</w:t>
      </w:r>
    </w:p>
    <w:p>
      <w:pPr>
        <w:pStyle w:val="Normal"/>
      </w:pPr>
      <w:r>
        <w:t>3. Nothing in this Article prevents a Party from competing for investment or providing lawful incentives; it establishes a consultation and additionality principle for projects seeking enhanced trilateral benefits.</w:t>
      </w:r>
    </w:p>
    <w:p>
      <w:pPr>
        <w:spacing w:before="0" w:after="0"/>
        <w:widowControl w:val="1"/>
      </w:pPr>
      <w:r>
        <w:t>4. SEMICONDUCTOR ARCHITECTURE RELATIONSHIP. Article 36.20 provides the strategic-sector cooperation umbrella and Article 37.9 governs semiconductor material and high-purity processing cooperation. Articles 39.13 through 39.18 govern semiconductor-specific technology, workforce and optional capacity cooperation, with Chapters 4 and 5 controlling origin and verification. Compatible obligations apply cumulatively and a subject-specific rule controls only its express subject and conditions. No cooperation instrument creates an additional origin exception, production mandate or tariff remedy by implication.</w:t>
      </w:r>
    </w:p>
    <w:p/>
    <w:p>
      <w:pPr>
        <w:pStyle w:val="TrumpVisibilityHeadline"/>
      </w:pPr>
      <w:r>
        <w:t>SEARCH SIGNPOST: ARTIFICIAL INTELLIGENCE / AI GOVERNANCE / AI SAFETY / AI RIGHTS / HALLUCINATIONS / SOURCE PROVENANCE / ALGORITHMIC MANAGEMENT / HEALTHCARE AI / EDUCATION AI / COGNITIVE LIBERTY</w:t>
      </w:r>
    </w:p>
    <w:p>
      <w:pPr>
        <w:pStyle w:val="Heading2"/>
      </w:pPr>
      <w:bookmarkStart w:id="901383" w:name="_Toc300001382"/>
      <w:r>
        <w:t>PART B: ARTIFICIAL INTELLIGENCE GOVERNANCE, RIGHTS, SAFETY AND INNOVATION FRAMEWORK</w:t>
      </w:r>
      <w:bookmarkEnd w:id="901383"/>
    </w:p>
    <w:p>
      <w:pPr>
        <w:pStyle w:val="Heading2"/>
      </w:pPr>
      <w:bookmarkStart w:id="901384" w:name="_Toc300001383"/>
      <w:r>
        <w:t>Article 39.19: Purpose, Scope and Balanced AI Governance</w:t>
      </w:r>
      <w:bookmarkEnd w:id="901384"/>
    </w:p>
    <w:p>
      <w:pPr>
        <w:pStyle w:val="Normal"/>
        <w:spacing w:before="0" w:after="0"/>
        <w:widowControl w:val="1"/>
      </w:pPr>
      <w:r>
        <w:t>1. [Purpose, Scope and Balanced AI Governance] Purpose and innovation-preserving governance - Each Party shall implement the mandatory safeguards in Parts B and C while permitting low-risk, research, creative and commercial AI use under risk-proportionate regulation.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2. [Purpose, Scope and Balanced AI Governance] Covered artificial-intelligence systems - Parts B and C apply to providers and deployers within a Party's jurisdiction using the functionally defined systems in Articles 39.20 and 39.76.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3. [Purpose, Scope and Balanced AI Governance] Risk-proportionate obligations - Each Party shall scale assessment, testing and supervision to evidenced severity and likelihood of harm in the deployment context.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4. [Purpose, Scope and Balanced AI Governance] No presumption of danger - No Party shall infer danger or impose a heightened obligation solely because software is marketed as AI.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5. [Purpose, Scope and Balanced AI Governance] Technology-neutral implementation - Each Party shall accept technology-neutral means that meet the same substantive safeguards without requiring a named vendor or model.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6. [Purpose, Scope and Balanced AI Governance] Relationship to stronger domestic protection - Each Party may maintain stronger domestic protections consistent with this Agreement without reducing these minimum safeguards.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7. Status and scope. This Part establishes a risk-proportionate North American artificial-intelligence governance spine while preserving beneficial low-risk use, stronger domestic protections, constitutional competence, innovation, privacy, expression, trade secrets, and the specialized rules of other Chapters. It uses existing institutions wherever capable, creates no automatic tariff remedy, and distinguishes mandatory high-risk safeguards from flexible cooperation and genuinely optional programs.</w:t>
      </w:r>
    </w:p>
    <w:p/>
    <w:p>
      <w:pPr>
        <w:pStyle w:val="Heading2"/>
      </w:pPr>
      <w:bookmarkStart w:id="901385" w:name="_Toc300001384"/>
      <w:r>
        <w:t>Article 39.20: Definitions and Functional Classification</w:t>
      </w:r>
      <w:bookmarkEnd w:id="901385"/>
    </w:p>
    <w:p>
      <w:pPr>
        <w:pStyle w:val="Normal"/>
        <w:spacing w:before="0" w:after="0"/>
        <w:widowControl w:val="1"/>
      </w:pPr>
      <w:r>
        <w:t>1. [Definitions and Functional Classification] Artificial-intelligence system - An artificial-intelligence system is a machine-based system that infers from inputs how to generate predictions, content, recommendations or decisions influencing physical or virtual environments. A Party may refine the definition of artificial-intelligence system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
      <w:pPr>
        <w:pStyle w:val="Normal"/>
        <w:spacing w:before="0" w:after="0"/>
        <w:widowControl w:val="1"/>
      </w:pPr>
      <w:r>
        <w:t>2. [Definitions and Functional Classification] Consequential decision - A consequential decision is one materially affecting legal rights, liberty, employment, education, credit, insurance, healthcare or access to an essential service. A Party may refine the definition of consequential decision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
      <w:pPr>
        <w:pStyle w:val="Normal"/>
        <w:spacing w:before="0" w:after="0"/>
        <w:widowControl w:val="1"/>
      </w:pPr>
      <w:r>
        <w:t>3. [Definitions and Functional Classification] High-risk system - A high-risk system is an AI system whose intended or reasonably foreseeable use materially influences a consequential decision or creates a material risk of serious physical, security or rights harm. A Party may refine the definition of high-risk system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
      <w:pPr>
        <w:pStyle w:val="Normal"/>
        <w:spacing w:before="0" w:after="0"/>
        <w:widowControl w:val="1"/>
      </w:pPr>
      <w:r>
        <w:t>4. [Definitions and Functional Classification] Safety-critical system - A safety-critical system is a high-risk system whose failure or erroneous operation can foreseeably cause death, serious injury or failure of essential infrastructure. A Party may refine the definition of safety-critical system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
      <w:pPr>
        <w:pStyle w:val="Normal"/>
        <w:spacing w:before="0" w:after="0"/>
        <w:widowControl w:val="1"/>
      </w:pPr>
      <w:r>
        <w:t>5. [Definitions and Functional Classification] General-purpose system - A general-purpose system is an AI system capable of performing multiple distinct tasks and adaptable to uses beyond one narrowly specified deployment. A Party may refine the definition of general-purpose system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
      <w:pPr>
        <w:pStyle w:val="Normal"/>
        <w:spacing w:before="0" w:after="0"/>
        <w:widowControl w:val="1"/>
      </w:pPr>
      <w:r>
        <w:t>6. [Definitions and Functional Classification] Material deployment change - A material deployment change is a change in model, training, data, purpose, permissions or operating environment reasonably capable of materially changing risk, performance or the safeguards required for the use. A Party may refine the definition of material deployment change in domestic law if the refinement is at least as protective for covered consequential uses and does not create nationality-based discrimination. Technical standards, guidance, or examples may assist interpretation, but they shall not silently expand a mandatory treaty obligation beyond the text adopted by the Parties. A material classification dispute shall be resolved through reasoned evidence and the specialized review provisions of this Agreement, with the burden placed on the actor invoking a heightened obligation to identify the applicable trigger.</w:t>
      </w:r>
    </w:p>
    <w:p/>
    <w:p>
      <w:pPr>
        <w:spacing w:before="0" w:after="0"/>
        <w:widowControl w:val="1"/>
      </w:pPr>
      <w:r>
        <w:t>7. COVERED ACTORS TRIGGER VOCABULARY AND DEFINITION REVIEW. For Parts B and C, provider means the person developing or placing the AI system on the market, deployer means the person using it within its controlled workflow, responsible or covered entity means the provider or deployer performing the stated function, and covered high-risk deployment means use satisfying Article 39.20's high-risk definition rather than a marketing label. A covered labor platform organizes or materially controls access to paid work including independent contractors, a covered institution is the educational or clinical institution controlling the relevant use, covered healthcare or educational use means AI materially influencing the specified clinical or educational outcome, and covered rules mean mandatory provisions of these Parts applicable to that use. Trade-critical AI, border AI, autonomous trade agents and material trade friction use Article 39.76 definitions, and each Party publicly identifies its competent domestic regulatory, customs, health, education and labor authorities within ninety days after Protocol entry into force with existing authorities serving meanwhile. A Party notifies a domestic refinement with reasons and scope through the Secretariat at least thirty days before mandatory effect where practicable, and a Party dispute over treaty scope goes to Chapter 31 while a private classification challenge uses the competent domestic review route without automatic expansion of treaty coverage.</w:t>
      </w:r>
    </w:p>
    <w:p/>
    <w:p>
      <w:pPr>
        <w:pStyle w:val="Heading2"/>
      </w:pPr>
      <w:bookmarkStart w:id="901386" w:name="_Toc300001385"/>
      <w:r>
        <w:t>Article 39.21: Risk Classification and Reclassification</w:t>
      </w:r>
      <w:bookmarkEnd w:id="901386"/>
    </w:p>
    <w:p>
      <w:pPr>
        <w:pStyle w:val="Normal"/>
        <w:spacing w:before="0" w:after="0"/>
        <w:widowControl w:val="1"/>
      </w:pPr>
      <w:r>
        <w:t>1. [Risk Classification and Reclassification] Classification by use and consequence - Each Party shall require providers and deployers to classify systems by actual use, affected interests and reasonably foreseeable consequences before high-risk deployment.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2. [Risk Classification and Reclassification] Capability and autonomy factors - The classification shall assess tool access, decision authority, physical control and the degree to which human intervention can prevent harm.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3. [Risk Classification and Reclassification] Foreseeable-harm analysis - The deployer shall document the likelihood, severity, affected population and foreseeable misuse of each material harm.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4. [Risk Classification and Reclassification] Low-risk presumption - A use without a documented high-risk trigger shall remain low-risk and shall not require high-risk certification solely because it employs AI.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5. [Risk Classification and Reclassification] Reclassification after material change - The deployer shall reassess classification before a material change takes effect and apply the safeguards of the resulting tier.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6. [Risk Classification and Reclassification] Reasoned classification record - The competent authority shall give written classification reasons identifying facts and the applicable Article 39.20 trigger and permit domestic review.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Heading2"/>
      </w:pPr>
      <w:bookmarkStart w:id="901387" w:name="_Toc300001386"/>
      <w:r>
        <w:t>Article 39.22: Governing Firewalls and No AI Exceptionalism</w:t>
      </w:r>
      <w:bookmarkEnd w:id="901387"/>
    </w:p>
    <w:p>
      <w:pPr>
        <w:pStyle w:val="Normal"/>
        <w:spacing w:before="0" w:after="0"/>
        <w:widowControl w:val="1"/>
      </w:pPr>
      <w:r>
        <w:t>1. [Governing Firewalls and No AI Exceptionalism] No AI exceptionalism - No Party shall exempt otherwise regulated conduct from applicable law merely because an AI system performs it.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2. [Governing Firewalls and No AI Exceptionalism] No tariff weaponization - No Party shall impose an AI-specific tariff or use an AI allegation to evade the quarantine in Articles 35.38 through 35.40.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3. [Governing Firewalls and No AI Exceptionalism] Interoperability not forced harmonization - Interoperability cooperation shall not compel identical domestic regulation or weaken a mandatory safeguard.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4. [Governing Firewalls and No AI Exceptionalism] Existing institutions first - Each Party shall use its existing competent regulators and treaty committees for AI administration rather than establish a permanent AI body by implication.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5. [Governing Firewalls and No AI Exceptionalism] No liability escape through automation - Each Party shall ensure that automation or outsourcing does not relieve the legally responsible provider, deployer or decision-maker of otherwise applicable liability.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6. [Governing Firewalls and No AI Exceptionalism] Optional means optional - Participation in a cooperation program identified as optional shall require affirmative consent and declining it shall not reduce ordinary treaty rights.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Heading2"/>
      </w:pPr>
      <w:bookmarkStart w:id="901388" w:name="_Toc300001387"/>
      <w:r>
        <w:t>Article 39.23: Human Authority and Accountable Decision-Making</w:t>
      </w:r>
      <w:bookmarkEnd w:id="901388"/>
    </w:p>
    <w:p>
      <w:pPr>
        <w:pStyle w:val="Normal"/>
        <w:spacing w:before="0" w:after="0"/>
        <w:widowControl w:val="1"/>
      </w:pPr>
      <w:r>
        <w:t>1. [Human Authority and Accountable Decision-Making] Identifiable responsible human or legal person - Each Party shall require a deployer materially influencing a consequential decision to identify an accountable human decision-maker and responsible legal person before use.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2. [Human Authority and Accountable Decision-Making] Human authority over consequential outcomes - The responsible human shall have authority and sufficient information to alter or reject an AI-influenced consequential outcome.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3. [Human Authority and Accountable Decision-Making] No rubber-stamp review - A reviewer shall independently assess the material evidence rather than approve an output solely because the model produced it.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4. [Human Authority and Accountable Decision-Making] Escalation to qualified decision-maker - The deployer shall refer unresolved material uncertainty to a person qualified in the affected domain before an adverse final decision.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5. [Human Authority and Accountable Decision-Making] Human override for safety-critical use - A safety-critical deployer shall provide trained operators with a tested timely override and safe shutdown path.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6. [Human Authority and Accountable Decision-Making] Accountability continuity across vendors - A change of vendor shall preserve the deployer's accountability, accessible decision record and pending review rights.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Heading2"/>
      </w:pPr>
      <w:bookmarkStart w:id="901389" w:name="_Toc300001388"/>
      <w:r>
        <w:t>Article 39.24: Notice, Explanation and Disclosure to Affected Persons</w:t>
      </w:r>
      <w:bookmarkEnd w:id="901389"/>
    </w:p>
    <w:p>
      <w:pPr>
        <w:pStyle w:val="Normal"/>
        <w:spacing w:before="0" w:after="0"/>
        <w:widowControl w:val="1"/>
      </w:pPr>
      <w:r>
        <w:t>1. [Notice, Explanation and Disclosure to Affected Persons] Notice of material AI use - A deployer shall inform an affected person before or at a consequential decision that AI materially influenced it.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2. [Notice, Explanation and Disclosure to Affected Persons] Plain-language explanation - The notice shall explain the principal factual and legal reasons in plain language understandable to the affected person.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3. [Notice, Explanation and Disclosure to Affected Persons] Material factors and limitations - The deployer shall disclose material decision factors, relevant uncertainty and known limitations affecting the result.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4. [Notice, Explanation and Disclosure to Affected Persons] Decision-source identification - The explanation shall identify the deciding authority, the AI role and the sources of material factual inputs.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5. [Notice, Explanation and Disclosure to Affected Persons] Correction of factual inputs - The deployer shall provide a practical channel to correct a material factual input and reconsider an outcome affected by it.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6. [Notice, Explanation and Disclosure to Affected Persons] No deceptive human impersonation in consequential service - A provider shall not represent an automated consequential service as a human decision-maker or licensed professional.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Heading2"/>
      </w:pPr>
      <w:bookmarkStart w:id="901390" w:name="_Toc300001389"/>
      <w:r>
        <w:t>Article 39.25: Contestability, Appeal and Correction</w:t>
      </w:r>
      <w:bookmarkEnd w:id="901390"/>
    </w:p>
    <w:p>
      <w:pPr>
        <w:pStyle w:val="Normal"/>
        <w:spacing w:before="0" w:after="0"/>
        <w:widowControl w:val="1"/>
      </w:pPr>
      <w:r>
        <w:t>1. [Contestability, Appeal and Correction] Meaningful opportunity to contest - The deployer shall give an affected person a practical opportunity to contest an AI-influenced consequential decision before irreversible deprivation where reasonably practicable.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2. [Contestability, Appeal and Correction] Access to relevant records - The affected person shall obtain the non-confidential material record necessary to understand and contest the decision.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3. [Contestability, Appeal and Correction] Correction of erroneous data - The deployer shall correct established material errors and notify recipients relying on those errors.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4. [Contestability, Appeal and Correction] Independent human reconsideration - A qualified human with authority to change the outcome shall reconsider a properly contested decision independently of the original automated recommendation.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5. [Contestability, Appeal and Correction] Timely appeal pathway - The competent authority shall publish an accessible appeal route and its decision periods and provide interim protection where delay risks irreversible harm.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6. [Contestability, Appeal and Correction] No retaliation for contesting an AI-assisted decision - No deployer shall retaliate against a person for requesting explanation, correction or review.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Heading2"/>
      </w:pPr>
      <w:bookmarkStart w:id="901391" w:name="_Toc300001390"/>
      <w:r>
        <w:t>Article 39.26: Consequential Automated Decision Safeguards</w:t>
      </w:r>
      <w:bookmarkEnd w:id="901391"/>
    </w:p>
    <w:p>
      <w:pPr>
        <w:pStyle w:val="Normal"/>
        <w:spacing w:before="0" w:after="0"/>
        <w:widowControl w:val="1"/>
      </w:pPr>
      <w:r>
        <w:t>1. [Consequential Automated Decision Safeguards] No solely automated deprivation of core rights - No deployer shall impose a final deprivation of liberty, legal capacity or an essential protected right solely on automated output without a qualified human determination.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2. [Consequential Automated Decision Safeguards] Heightened safeguards for essential services - A deployer deciding access to essential services shall provide expedited human review and continuity where necessary to prevent serious harm.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3. [Consequential Automated Decision Safeguards] Non-discrimination in consequential decisions - The deployer shall test and prevent unlawful discrimination in consequential decisions and correct established discriminatory outcomes.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4. [Consequential Automated Decision Safeguards] Appropriate confidence thresholds - The deployer shall set documented confidence and corroboration thresholds calibrated to the consequence before relying on a model.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5. [Consequential Automated Decision Safeguards] Fallback when model uncertainty is material - Material uncertainty below the applicable threshold shall trigger human assessment or a tested non-AI fallback.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Normal"/>
        <w:spacing w:before="0" w:after="0"/>
        <w:widowControl w:val="1"/>
      </w:pPr>
      <w:r>
        <w:t>6. [Consequential Automated Decision Safeguards] Record of final accountable determination - The deployer shall record the accountable person, evidence, reasons and final consequential determination for review. The responsible entity shall identify an accountable human or legal person, provide intelligible notice or explanation appropriate to the context, and maintain a practical route to correct material factual error or seek human reconsideration. A nominal human signature, unreasoned approval, or reviewer who lacks authority to change the outcome does not satisfy a requirement for meaningful human review. Nothing in this Part requires disclosure of protected source code or trade secrets to an affected person when the material basis, limitations, and reviewable facts can be explained without such disclosure.</w:t>
      </w:r>
    </w:p>
    <w:p/>
    <w:p>
      <w:pPr>
        <w:pStyle w:val="Heading2"/>
      </w:pPr>
      <w:bookmarkStart w:id="901392" w:name="_Toc300001391"/>
      <w:r>
        <w:t>Article 39.27: Impact Assessment and Deployment Documentation</w:t>
      </w:r>
      <w:bookmarkEnd w:id="901392"/>
    </w:p>
    <w:p>
      <w:pPr>
        <w:pStyle w:val="Normal"/>
        <w:spacing w:before="0" w:after="0"/>
        <w:widowControl w:val="1"/>
      </w:pPr>
      <w:r>
        <w:t>1. [Impact Assessment and Deployment Documentation] Pre-deployment impact assessment - Before a covered high-risk deployment, the deployer shall complete a documented impact assessment of foreseeable harms and controls.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Normal"/>
        <w:spacing w:before="0" w:after="0"/>
        <w:widowControl w:val="1"/>
      </w:pPr>
      <w:r>
        <w:t>2. [Impact Assessment and Deployment Documentation] Intended-use and prohibited-use statement - The assessment shall specify intended uses, excluded uses and operational limits and make them available to responsible operators.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Normal"/>
        <w:spacing w:before="0" w:after="0"/>
        <w:widowControl w:val="1"/>
      </w:pPr>
      <w:r>
        <w:t>3. [Impact Assessment and Deployment Documentation] Affected-person analysis - The assessment shall identify affected persons and evaluate foreseeable disparate impacts and accessibility barriers.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Normal"/>
        <w:spacing w:before="0" w:after="0"/>
        <w:widowControl w:val="1"/>
      </w:pPr>
      <w:r>
        <w:t>4. [Impact Assessment and Deployment Documentation] Data and model dependency inventory - The deployer shall inventory material datasets, models, vendors and external services on which the deployment depends.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Normal"/>
        <w:spacing w:before="0" w:after="0"/>
        <w:widowControl w:val="1"/>
      </w:pPr>
      <w:r>
        <w:t>5. [Impact Assessment and Deployment Documentation] Residual-risk documentation - The deployer shall document residual risks, mitigating controls and the accountable person accepting any permissible residual risk.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Normal"/>
        <w:spacing w:before="0" w:after="0"/>
        <w:widowControl w:val="1"/>
      </w:pPr>
      <w:r>
        <w:t>6. [Impact Assessment and Deployment Documentation] Assessment update after material change - A material deployment change shall require an updated assessment before consequential reliance on the changed function.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Heading2"/>
      </w:pPr>
      <w:bookmarkStart w:id="901393" w:name="_Toc300001392"/>
      <w:r>
        <w:t>Article 39.28: Audit, Assurance and Independent Review</w:t>
      </w:r>
      <w:bookmarkEnd w:id="901393"/>
    </w:p>
    <w:p>
      <w:pPr>
        <w:pStyle w:val="Normal"/>
        <w:spacing w:before="0" w:after="0"/>
        <w:widowControl w:val="1"/>
      </w:pPr>
      <w:r>
        <w:t>1. [Audit, Assurance and Independent Review] Risk-tiered assurance - The deployer shall use assurance procedures with testing depth proportionate to the Article 39.20 risk tier.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Normal"/>
        <w:spacing w:before="0" w:after="0"/>
        <w:widowControl w:val="1"/>
      </w:pPr>
      <w:r>
        <w:t>2. [Audit, Assurance and Independent Review] Independent review where justified by risk - A safety-critical deployment shall undergo independent competent review before operation and after a materially safety-affecting change.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Normal"/>
        <w:spacing w:before="0" w:after="0"/>
        <w:widowControl w:val="1"/>
      </w:pPr>
      <w:r>
        <w:t>3. [Audit, Assurance and Independent Review] Audit scope and evidence - The reviewer shall examine the deployment assessment, validation results, limitations, incidents and corrective actions.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Normal"/>
        <w:spacing w:before="0" w:after="0"/>
        <w:widowControl w:val="1"/>
      </w:pPr>
      <w:r>
        <w:t>4. [Audit, Assurance and Independent Review] Auditor competence and conflicts - The deployer shall verify and record reviewer competence and conflicts and exclude a reviewer with a material unresolved conflict.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Normal"/>
        <w:spacing w:before="0" w:after="0"/>
        <w:widowControl w:val="1"/>
      </w:pPr>
      <w:r>
        <w:t>5. [Audit, Assurance and Independent Review] Confidential regulatory access - Confidential regulatory evidence access shall comply with Article 19.16(2) and be necessary to a specific lawful investigation or proceeding.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Normal"/>
        <w:spacing w:before="0" w:after="0"/>
        <w:widowControl w:val="1"/>
      </w:pPr>
      <w:r>
        <w:t>6. [Audit, Assurance and Independent Review] Corrective action after material audit failure - A material assurance failure shall suspend reliance on the affected unsafe function until documented correction and retest.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spacing w:before="0" w:after="0"/>
        <w:widowControl w:val="1"/>
      </w:pPr>
      <w:r>
        <w:t>7. PROTECTED ALGORITHM EVIDENCE ACCESS. Confidential access under Articles 39.27 and 39.28 is subject to Article 19.16(2)'s specific investigation, inspection, examination, enforcement action or judicial proceeding boundary. Competent authority means the legally authorized domestic regulator or court responsible for the stated issue. A request identifies the particular issue, necessary information and lawful authority and uses the least intrusive adequate protected evidence. This Chapter imposes no general source-code or algorithm disclosure requirement and preserves confidentiality, use limitation and domestic review.</w:t>
      </w:r>
    </w:p>
    <w:p/>
    <w:p>
      <w:pPr>
        <w:pStyle w:val="Heading2"/>
      </w:pPr>
      <w:bookmarkStart w:id="901394" w:name="_Toc300001393"/>
      <w:r>
        <w:t>Article 39.29: Performance, Bias and Validation</w:t>
      </w:r>
      <w:bookmarkEnd w:id="901394"/>
    </w:p>
    <w:p>
      <w:pPr>
        <w:pStyle w:val="Normal"/>
        <w:spacing w:before="0" w:after="0"/>
        <w:widowControl w:val="1"/>
      </w:pPr>
      <w:r>
        <w:t>1. [Performance, Bias and Validation] Representative performance testing - The deployer shall test performance on data representative of the intended population and operating conditions before high-risk reliance.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Normal"/>
        <w:spacing w:before="0" w:after="0"/>
        <w:widowControl w:val="1"/>
      </w:pPr>
      <w:r>
        <w:t>2. [Performance, Bias and Validation] Known limitation disclosure - The provider shall disclose known limitations material to the intended consequential use to the deployer and competent authority.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Normal"/>
        <w:spacing w:before="0" w:after="0"/>
        <w:widowControl w:val="1"/>
      </w:pPr>
      <w:r>
        <w:t>3. [Performance, Bias and Validation] Bias and disparate-impact testing - The deployer shall test material unlawful bias and disparate impacts and remedy verified failures before adverse reliance.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Normal"/>
        <w:spacing w:before="0" w:after="0"/>
        <w:widowControl w:val="1"/>
      </w:pPr>
      <w:r>
        <w:t>4. [Performance, Bias and Validation] False-positive and false-negative analysis - Validation shall separately report material false-positive and false-negative rates and their practical consequences.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Normal"/>
        <w:spacing w:before="0" w:after="0"/>
        <w:widowControl w:val="1"/>
      </w:pPr>
      <w:r>
        <w:t>5. [Performance, Bias and Validation] Domain-shift monitoring - The deployer shall monitor changes in the population, inputs and environment and investigate material performance drift.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Normal"/>
        <w:spacing w:before="0" w:after="0"/>
        <w:widowControl w:val="1"/>
      </w:pPr>
      <w:r>
        <w:t>6. [Performance, Bias and Validation] Validation against actual deployment context - Validation shall evaluate the actual deployed configuration and workflow rather than rely solely on a general model benchmark. The responsible entity shall identify the test method, material assumptions, known limitations, acceptance criteria, reviewer, and any corrective measure needed before or during deployment. Independent review may be required where justified by the level of risk, but this Part does not impose universal annual certification, universal public audit reports, or compulsory publication of proprietary source code, model weights, or trade secrets. A competent authority may require confidential access to evidence reasonably necessary to verify compliance, subject to domestic law, procedural fairness, and protection of confidential business and security information.</w:t>
      </w:r>
    </w:p>
    <w:p/>
    <w:p>
      <w:pPr>
        <w:pStyle w:val="Heading2"/>
      </w:pPr>
      <w:bookmarkStart w:id="901395" w:name="_Toc300001394"/>
      <w:r>
        <w:t>Article 39.30: Safety Engineering and Risk Controls</w:t>
      </w:r>
      <w:bookmarkEnd w:id="901395"/>
    </w:p>
    <w:p>
      <w:pPr>
        <w:pStyle w:val="Normal"/>
        <w:spacing w:before="0" w:after="0"/>
        <w:widowControl w:val="1"/>
      </w:pPr>
      <w:r>
        <w:t>1. [Safety Engineering and Risk Controls] Safety-by-design for high-risk AI - A high-risk deployer shall integrate controls against foreseeable serious harm into the system and operating workflow before deployment.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2. [Safety Engineering and Risk Controls] Hazard identification - The safety assessment shall identify foreseeable hazards, misuse and single points of failure.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3. [Safety Engineering and Risk Controls] Control hierarchy - The deployer shall prefer hazard prevention and technical containment over reliance solely on warnings or user compliance.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4. [Safety Engineering and Risk Controls] Human factors engineering - The deployer shall test whether operators can understand alerts, intervene promptly and avoid automation bias.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5. [Safety Engineering and Risk Controls] Safe operating envelope - The deployer shall define measurable safe operating limits and halt or restrict operation outside them.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6. [Safety Engineering and Risk Controls] Documented residual-risk acceptance - An accountable qualified person shall document why residual risk is acceptable under applicable safety law before operation.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Heading2"/>
      </w:pPr>
      <w:bookmarkStart w:id="901396" w:name="_Toc300001395"/>
      <w:r>
        <w:t>Article 39.31: Lifecycle Governance and Change Control</w:t>
      </w:r>
      <w:bookmarkEnd w:id="901396"/>
    </w:p>
    <w:p>
      <w:pPr>
        <w:pStyle w:val="Normal"/>
        <w:spacing w:before="0" w:after="0"/>
        <w:widowControl w:val="1"/>
      </w:pPr>
      <w:r>
        <w:t>1. [Lifecycle Governance and Change Control] Lifecycle responsibility - The deployer shall allocate responsibility for assessment, operation, monitoring, updates and retirement throughout the system lifecycle.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2. [Lifecycle Governance and Change Control] Pre-deployment validation gate - A high-risk function shall not enter consequential use until its applicable validation criteria and safeguards are documented as met.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3. [Lifecycle Governance and Change Control] Configuration management - The deployer shall maintain the deployed model, configuration and change history sufficient to reproduce material decisions.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4. [Lifecycle Governance and Change Control] Post-deployment monitoring - The deployer shall monitor material failures, complaints and incidents and act on verified adverse trends.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5. [Lifecycle Governance and Change Control] Retirement and decommissioning - Retirement shall revoke unsafe permissions, preserve legally required records and securely dispose of unnecessary data.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6. [Lifecycle Governance and Change Control] Transfer-of-control safeguards - Transfer of operational control shall include safety limitations, open incidents and review records without interrupting accountability.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Heading2"/>
      </w:pPr>
      <w:bookmarkStart w:id="901397" w:name="_Toc300001396"/>
      <w:r>
        <w:t>Article 39.32: Red Teaming, Robustness and Adversarial Testing</w:t>
      </w:r>
      <w:bookmarkEnd w:id="901397"/>
    </w:p>
    <w:p>
      <w:pPr>
        <w:pStyle w:val="Normal"/>
        <w:spacing w:before="0" w:after="0"/>
        <w:widowControl w:val="1"/>
      </w:pPr>
      <w:r>
        <w:t>1. [Red Teaming, Robustness and Adversarial Testing] Adversarial testing proportionate to risk - The deployer shall conduct adversarial tests proportionate to high-risk system capabilities and foreseeable misuse.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2. [Red Teaming, Robustness and Adversarial Testing] Red-team scope - The test plan shall identify adversary access, attack surfaces, abuse cases and measurable acceptance criteria.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3. [Red Teaming, Robustness and Adversarial Testing] Robustness against distribution shift - The deployer shall test performance under plausible out-of-distribution conditions before consequential reliance.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4. [Red Teaming, Robustness and Adversarial Testing] Prompt-injection and tool-abuse testing - A tool-enabled system shall be tested against prompt injection, unauthorized tool use and privilege escalation.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5. [Red Teaming, Robustness and Adversarial Testing] Independent challenge for safety-critical systems - A safety-critical system shall undergo independent adversarial challenge by qualified reviewers without material conflicts.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6. [Red Teaming, Robustness and Adversarial Testing] Remediation and retest - The deployer shall remediate a material test failure and retest the affected control before releasing it into consequential use.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Heading2"/>
      </w:pPr>
      <w:bookmarkStart w:id="901398" w:name="_Toc300001397"/>
      <w:r>
        <w:t>Article 39.33: Fail-Safe Design, Graceful Degradation and Rollback</w:t>
      </w:r>
      <w:bookmarkEnd w:id="901398"/>
    </w:p>
    <w:p>
      <w:pPr>
        <w:pStyle w:val="Normal"/>
        <w:spacing w:before="0" w:after="0"/>
        <w:widowControl w:val="1"/>
      </w:pPr>
      <w:r>
        <w:t>1. [Fail-Safe Design, Graceful Degradation and Rollback] Fail-safe state - The deployer shall define a safe state that prevents foreseeable serious harm when the AI function fails.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2. [Fail-Safe Design, Graceful Degradation and Rollback] Graceful degradation - The system shall degrade to tested limited operation or a non-AI process when confidence or service availability falls below safe limits.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3. [Fail-Safe Design, Graceful Degradation and Rollback] Human override availability - A trained responsible human shall have a usable timely override for safety-critical operation.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4. [Fail-Safe Design, Graceful Degradation and Rollback] Rollback capability - The deployer shall maintain a tested rollback to a previously validated configuration or safe shutdown.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5. [Fail-Safe Design, Graceful Degradation and Rollback] Safe recovery after interruption - Recovery shall verify data integrity, permissions and required safeguards before consequential operation resumes.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Normal"/>
        <w:spacing w:before="0" w:after="0"/>
        <w:widowControl w:val="1"/>
      </w:pPr>
      <w:r>
        <w:t>6. [Fail-Safe Design, Graceful Degradation and Rollback] No hidden dependence on unavailable AI service - An essential workflow shall disclose AI service dependencies and maintain a practical safe alternative for an unavailable dependency. Before consequential deployment, the responsible entity shall document the relevant hazard, the control selected, the evidence supporting its effectiveness, the responsible operator, and the condition that would require escalation, rollback, shutdown, or other safe-state action. Low-risk general-purpose, research, productivity, entertainment, and ordinary consumer uses shall not become subject to safety-critical controls solely because they employ AI or a large model. Material control failure shall require correction and revalidation before resumed high-risk use when continued operation would create an unreasonable and unmanaged risk under applicable law.</w:t>
      </w:r>
    </w:p>
    <w:p/>
    <w:p>
      <w:pPr>
        <w:pStyle w:val="Heading2"/>
      </w:pPr>
      <w:bookmarkStart w:id="901399" w:name="_Toc300001398"/>
      <w:r>
        <w:t>Article 39.34: Serious AI Incident Classification and Notification</w:t>
      </w:r>
      <w:bookmarkEnd w:id="901399"/>
    </w:p>
    <w:p>
      <w:pPr>
        <w:pStyle w:val="Normal"/>
        <w:spacing w:before="0" w:after="0"/>
        <w:widowControl w:val="1"/>
      </w:pPr>
      <w:r>
        <w:t>1. [Serious AI Incident Classification and Notification] Serious incident definition - A serious AI incident is a failure or misuse causing or posing an imminent material risk of death, serious injury, critical-infrastructure failure or substantial deprivation of protected rights.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
      <w:pPr>
        <w:pStyle w:val="Normal"/>
        <w:spacing w:before="0" w:after="0"/>
        <w:widowControl w:val="1"/>
      </w:pPr>
      <w:r>
        <w:t>2. [Serious AI Incident Classification and Notification] Internal escalation duty - The deployer shall immediately escalate a credible serious incident to its accountable safety officer and begin containment.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
      <w:pPr>
        <w:pStyle w:val="Normal"/>
        <w:spacing w:before="0" w:after="0"/>
        <w:widowControl w:val="1"/>
      </w:pPr>
      <w:r>
        <w:t>3. [Serious AI Incident Classification and Notification] Notice to competent authority - The deployer shall notify the competent domestic authority within twenty-four hours after awareness of a credible serious incident and update the report as facts are verified.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
      <w:pPr>
        <w:pStyle w:val="Normal"/>
        <w:spacing w:before="0" w:after="0"/>
        <w:widowControl w:val="1"/>
      </w:pPr>
      <w:r>
        <w:t>4. [Serious AI Incident Classification and Notification] Cross-border incident relevance - The domestic authority shall alert affected counterparts within twenty-four hours when the same system or failure materially threatens another Party.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
      <w:pPr>
        <w:pStyle w:val="Normal"/>
        <w:spacing w:before="0" w:after="0"/>
        <w:widowControl w:val="1"/>
      </w:pPr>
      <w:r>
        <w:t>5. [Serious AI Incident Classification and Notification] Confidentiality and security protection - Incident reports shall minimize personal data and use protected channels for security-sensitive or confidential evidence.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
      <w:pPr>
        <w:pStyle w:val="Normal"/>
        <w:spacing w:before="0" w:after="0"/>
        <w:widowControl w:val="1"/>
      </w:pPr>
      <w:r>
        <w:t>6. [Serious AI Incident Classification and Notification] No-punishment rule for good-faith preliminary reporting - A good-faith preliminary report identified as provisional shall not itself create a penalty for inaccurate unverified details, without excusing concealment or the underlying violation.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
      <w:pPr>
        <w:pStyle w:val="Heading2"/>
      </w:pPr>
      <w:bookmarkStart w:id="901400" w:name="_Toc300001399"/>
      <w:r>
        <w:t>Article 39.35: Incident Investigation, Learning and Corrective Action</w:t>
      </w:r>
      <w:bookmarkEnd w:id="901400"/>
    </w:p>
    <w:p>
      <w:pPr>
        <w:pStyle w:val="Normal"/>
        <w:spacing w:before="0" w:after="0"/>
        <w:widowControl w:val="1"/>
      </w:pPr>
      <w:r>
        <w:t>1. [Incident Investigation, Learning and Corrective Action] Root-cause investigation - After a serious incident, the deployer shall investigate root causes, affected functions and the extent of harm.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
      <w:pPr>
        <w:pStyle w:val="Normal"/>
        <w:spacing w:before="0" w:after="0"/>
        <w:widowControl w:val="1"/>
      </w:pPr>
      <w:r>
        <w:t>2. [Incident Investigation, Learning and Corrective Action] Preservation of logs and evidence - The deployer shall promptly preserve relevant logs, configuration, inputs and incident evidence against alteration.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
      <w:pPr>
        <w:pStyle w:val="Normal"/>
        <w:spacing w:before="0" w:after="0"/>
        <w:widowControl w:val="1"/>
      </w:pPr>
      <w:r>
        <w:t>3. [Incident Investigation, Learning and Corrective Action] Corrective action plan - The deployer shall submit a corrective-action plan to the competent authority within fifteen days after notice of a serious incident.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
      <w:pPr>
        <w:pStyle w:val="Normal"/>
        <w:spacing w:before="0" w:after="0"/>
        <w:widowControl w:val="1"/>
      </w:pPr>
      <w:r>
        <w:t>4. [Incident Investigation, Learning and Corrective Action] Lessons-learned sharing - Authorities shall share non-confidential recurrence-prevention findings through existing channels without disclosing protected personal or proprietary data.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
      <w:pPr>
        <w:pStyle w:val="Normal"/>
        <w:spacing w:before="0" w:after="0"/>
        <w:widowControl w:val="1"/>
      </w:pPr>
      <w:r>
        <w:t>5. [Incident Investigation, Learning and Corrective Action] Repeat-incident escalation - Repeated materially similar incidents shall trigger reassessment of risk classification and adequacy of controls.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
      <w:pPr>
        <w:pStyle w:val="Normal"/>
        <w:spacing w:before="0" w:after="0"/>
        <w:widowControl w:val="1"/>
      </w:pPr>
      <w:r>
        <w:t>6. [Incident Investigation, Learning and Corrective Action] Closure and verification - The competent authority shall close the incident only after reviewing documented corrective action and verification of safe resumed operation. The procedure shall identify the responsible incident lead, preserve relevant logs and evidence, establish escalation and containment steps, and provide notice to the competent authority within the period required by domestic law or an applicable implementing schedule. Good-faith preliminary reporting shall not by itself constitute an admission of legal liability, and confidential technical or security information shall remain protected against unnecessary public disclosure. Where the materially same system or component is deployed across borders, the Parties shall use existing regulatory or cybersecurity channels to share information necessary to reduce recurrence without creating a new standing institution.</w:t>
      </w:r>
    </w:p>
    <w:p/>
    <w:p>
      <w:pPr>
        <w:pStyle w:val="Heading2"/>
      </w:pPr>
      <w:bookmarkStart w:id="901401" w:name="_Toc300001400"/>
      <w:r>
        <w:t>Article 39.36: Model Identity and Deployment Versioning</w:t>
      </w:r>
      <w:bookmarkEnd w:id="901401"/>
    </w:p>
    <w:p>
      <w:pPr>
        <w:pStyle w:val="Normal"/>
        <w:spacing w:before="0" w:after="0"/>
        <w:widowControl w:val="1"/>
      </w:pPr>
      <w:r>
        <w:t>1. [Model Identity and Deployment Versioning] Model identity record - The provider shall assign a stable model identifier linked to the responsible provider and model release.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Normal"/>
        <w:spacing w:before="0" w:after="0"/>
        <w:widowControl w:val="1"/>
      </w:pPr>
      <w:r>
        <w:t>2. [Model Identity and Deployment Versioning] Version and configuration identifier - The deployer shall record a version and configuration identifier for every consequential deployment.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Normal"/>
        <w:spacing w:before="0" w:after="0"/>
        <w:widowControl w:val="1"/>
      </w:pPr>
      <w:r>
        <w:t>3. [Model Identity and Deployment Versioning] Deployment-date record - The deployment record shall state the first operational date and dates of material updates or retirement.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Normal"/>
        <w:spacing w:before="0" w:after="0"/>
        <w:widowControl w:val="1"/>
      </w:pPr>
      <w:r>
        <w:t>4. [Model Identity and Deployment Versioning] Provider and deployer identification - The record shall identify the provider, deployer and accountable contact for each consequential use.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Normal"/>
        <w:spacing w:before="0" w:after="0"/>
        <w:widowControl w:val="1"/>
      </w:pPr>
      <w:r>
        <w:t>5. [Model Identity and Deployment Versioning] Third-party component inventory - The deployer shall maintain an inventory of material third-party models, software and external services.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Normal"/>
        <w:spacing w:before="0" w:after="0"/>
        <w:widowControl w:val="1"/>
      </w:pPr>
      <w:r>
        <w:t>6. [Model Identity and Deployment Versioning] Accessible identity information for regulators - The deployer shall provide the competent authority with the relevant identity record for a specific lawful review through a protected channel.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Heading2"/>
      </w:pPr>
      <w:bookmarkStart w:id="901402" w:name="_Toc300001401"/>
      <w:r>
        <w:t>Article 39.37: Material Changes and Revalidation</w:t>
      </w:r>
      <w:bookmarkEnd w:id="901402"/>
    </w:p>
    <w:p>
      <w:pPr>
        <w:pStyle w:val="Normal"/>
        <w:spacing w:before="0" w:after="0"/>
        <w:widowControl w:val="1"/>
      </w:pPr>
      <w:r>
        <w:t>1. [Material Changes and Revalidation] Material-change trigger - A change meeting Article 39.20's material-change definition shall trigger revalidation before consequential reliance.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Normal"/>
        <w:spacing w:before="0" w:after="0"/>
        <w:widowControl w:val="1"/>
      </w:pPr>
      <w:r>
        <w:t>2. [Material Changes and Revalidation] Fine-tuning and retraining changes - Fine-tuning or retraining that changes intended performance or risk shall be treated as a material change.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Normal"/>
        <w:spacing w:before="0" w:after="0"/>
        <w:widowControl w:val="1"/>
      </w:pPr>
      <w:r>
        <w:t>3. [Material Changes and Revalidation] Tool and agent permission changes - A material expansion of tool access, autonomous permissions or transaction authority shall require renewed permission and safety testing.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Normal"/>
        <w:spacing w:before="0" w:after="0"/>
        <w:widowControl w:val="1"/>
      </w:pPr>
      <w:r>
        <w:t>4. [Material Changes and Revalidation] Data-source changes - A material change in input provenance, population or data distribution shall require reassessment of affected performance and bias.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Normal"/>
        <w:spacing w:before="0" w:after="0"/>
        <w:widowControl w:val="1"/>
      </w:pPr>
      <w:r>
        <w:t>5. [Material Changes and Revalidation] Revalidation scope - Revalidation shall test the functions and safeguards affected by the change and record results against the applicable acceptance criteria.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Normal"/>
        <w:spacing w:before="0" w:after="0"/>
        <w:widowControl w:val="1"/>
      </w:pPr>
      <w:r>
        <w:t>6. [Material Changes and Revalidation] Emergency patch documentation - An urgent security patch may precede complete testing only where documented immediate harm requires it and shall be reviewed and revalidated as soon as practicable.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Heading2"/>
      </w:pPr>
      <w:bookmarkStart w:id="901403" w:name="_Toc300001402"/>
      <w:r>
        <w:t>Article 39.38: Traceability, Logging and Decision Reconstruction</w:t>
      </w:r>
      <w:bookmarkEnd w:id="901403"/>
    </w:p>
    <w:p>
      <w:pPr>
        <w:pStyle w:val="Normal"/>
        <w:spacing w:before="0" w:after="0"/>
        <w:widowControl w:val="1"/>
      </w:pPr>
      <w:r>
        <w:t>1. [Traceability, Logging and Decision Reconstruction] Risk-proportionate logging - A high-risk deployer shall log material decisions and interventions at a depth proportionate to risk and privacy.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Normal"/>
        <w:spacing w:before="0" w:after="0"/>
        <w:widowControl w:val="1"/>
      </w:pPr>
      <w:r>
        <w:t>2. [Traceability, Logging and Decision Reconstruction] Decision reconstruction - The record shall permit reconstruction of the input basis, relevant model version, human intervention and final decision.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Normal"/>
        <w:spacing w:before="0" w:after="0"/>
        <w:widowControl w:val="1"/>
      </w:pPr>
      <w:r>
        <w:t>3. [Traceability, Logging and Decision Reconstruction] Input and output provenance - The deployer shall record material input and output provenance without asserting that provenance establishes factual truth.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Normal"/>
        <w:spacing w:before="0" w:after="0"/>
        <w:widowControl w:val="1"/>
      </w:pPr>
      <w:r>
        <w:t>4. [Traceability, Logging and Decision Reconstruction] Access controls for logs - Log access shall be limited to authorized purposes and persons and itself be recorded.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Normal"/>
        <w:spacing w:before="0" w:after="0"/>
        <w:widowControl w:val="1"/>
      </w:pPr>
      <w:r>
        <w:t>5. [Traceability, Logging and Decision Reconstruction] Retention proportionality - The deployer shall publish and implement a legally compliant retention schedule no longer than necessary for review, safety and legal holds.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Normal"/>
        <w:spacing w:before="0" w:after="0"/>
        <w:widowControl w:val="1"/>
      </w:pPr>
      <w:r>
        <w:t>6. [Traceability, Logging and Decision Reconstruction] Tamper-evident records for critical systems - Safety-critical records shall have tamper-evident controls and preserve an auditable history of authorized corrections. The record shall identify the provider and deployer, material model or component version, configuration or permission changes relevant to the decision, and any other information reasonably necessary to reconstruct a disputed consequential output. Logging and retention shall be proportionate to risk and shall incorporate privacy, cybersecurity, trade-secret, and data-minimization safeguards rather than creating an unrestricted repository of user activity. A material inability to identify the system or reconstruct a consequential decision may be considered in determining whether applicable accountability, evidence, or corrective-action duties have been satisfied.</w:t>
      </w:r>
    </w:p>
    <w:p/>
    <w:p>
      <w:pPr>
        <w:pStyle w:val="Heading2"/>
      </w:pPr>
      <w:bookmarkStart w:id="901404" w:name="_Toc300001403"/>
      <w:r>
        <w:t>Article 39.39: AI Output Verification and Hallucination Literacy</w:t>
      </w:r>
      <w:bookmarkEnd w:id="901404"/>
    </w:p>
    <w:p>
      <w:pPr>
        <w:pStyle w:val="Normal"/>
        <w:spacing w:before="0" w:after="0"/>
        <w:widowControl w:val="1"/>
      </w:pPr>
      <w:r>
        <w:t>1. [AI Output Verification and Hallucination Literacy] Fallibility literacy - Each Party shall promote guidance explaining that fluent AI outputs can be factually wrong. Literacy materials should explain that linguistic confidence, detail, citations, numerical precision, or repeated assertions do not by themselves establish factual reliability. Users should be encouraged to verify consequential claims against reliable independent evidence and to distinguish model output from an authenticated source record. Providers should avoid representing probabilistic or generated content as verified fact when the system lacks an adequate basis for that representation.</w:t>
      </w:r>
    </w:p>
    <w:p/>
    <w:p>
      <w:pPr>
        <w:pStyle w:val="Normal"/>
        <w:spacing w:before="0" w:after="0"/>
        <w:widowControl w:val="1"/>
      </w:pPr>
      <w:r>
        <w:t>2. [AI Output Verification and Hallucination Literacy] Fabricated fact recognition - The deployer shall train persons relying on consequential outputs to identify fabricated or unsupported factual claims. Particular attention should be given to outputs that combine genuine names, dates, institutions, or documents with invented relationships or events because such mixtures can appear unusually credible. For consequential use, a user should be encouraged to confirm the claimed fact in an identified independent source rather than relying on the internal consistency of the AI response. A provider may use warnings, provenance cues, retrieval indicators, confidence limitations, or other proportionate design features to reduce foreseeable confusion.</w:t>
      </w:r>
    </w:p>
    <w:p/>
    <w:p>
      <w:pPr>
        <w:pStyle w:val="Normal"/>
        <w:spacing w:before="0" w:after="0"/>
        <w:widowControl w:val="1"/>
      </w:pPr>
      <w:r>
        <w:t>3. [AI Output Verification and Hallucination Literacy] Fabricated citation recognition - For consequential reliance, a claimed citation shall be checked against the actual cited source rather than accepted from generated text alone. Where an AI system presents a citation in a consequential factual task, users should be able, where reasonably practicable, to identify the cited source or be informed that the system cannot verify it. A citation shall not be treated as verified merely because it resembles a conventional scholarly, legal, journalistic, or technical reference. Education and professional training should emphasize opening the cited material, checking the relevant passage, and confirming that the source actually supports the claim.</w:t>
      </w:r>
    </w:p>
    <w:p/>
    <w:p>
      <w:pPr>
        <w:pStyle w:val="Normal"/>
        <w:spacing w:before="0" w:after="0"/>
        <w:widowControl w:val="1"/>
      </w:pPr>
      <w:r>
        <w:t>4. [AI Output Verification and Hallucination Literacy] Confidence is not verification - No deployer shall treat model confidence or persuasive wording as independent verification of a material claim. Providers and deployers should avoid interface designs that materially encourage users to equate stylistic certainty with evidentiary certainty in consequential contexts. Where feasible, systems used for consequential factual work should communicate material uncertainty, missing evidence, or source limitations rather than silently filling gaps with generated content. Nothing in this paragraph requires a system to assign a numerical confidence score where such a score would itself be unreliable or misleading.</w:t>
      </w:r>
    </w:p>
    <w:p/>
    <w:p>
      <w:pPr>
        <w:pStyle w:val="Normal"/>
        <w:spacing w:before="0" w:after="0"/>
        <w:widowControl w:val="1"/>
      </w:pPr>
      <w:r>
        <w:t>5. [AI Output Verification and Hallucination Literacy] Consequential-claim verification - The responsible decision-maker shall verify a material consequential factual claim against reliable independent evidence before adverse reliance. Healthcare, legal, financial, employment, educational, public-benefit, safety, critical-infrastructure, and comparable high-consequence uses should rely on qualified human review or authoritative evidence where applicable rather than unverified generation alone. The required verification may vary with urgency, available sources, professional standards, and the materiality of the claim. Failure to verify a material claim may be considered in assessing compliance with an otherwise applicable professional, regulatory, contractual, or legal duty, but this Part creates no universal negligence rule merely because AI was used.</w:t>
      </w:r>
    </w:p>
    <w:p/>
    <w:p>
      <w:pPr>
        <w:pStyle w:val="Normal"/>
        <w:spacing w:before="0" w:after="0"/>
        <w:widowControl w:val="1"/>
      </w:pPr>
      <w:r>
        <w:t>6. [AI Output Verification and Hallucination Literacy] Knowing when AI does not know - When a claim cannot be verified, the deployer shall mark that uncertainty and obtain competent human assessment before consequential action. Training should include recognizing absent or weak sources, contradictory answers, invented citations, unsupported certainty, context confusion, and requests that exceed the system's reliable knowledge or tool access. Users should be encouraged to seek independent verification, qualified human expertise, or a primary source when the consequence of error is material. Providers should support this literacy by making source status, retrieval status, and material limitations intelligible where technically practicable and appropriate to the use.</w:t>
      </w:r>
    </w:p>
    <w:p/>
    <w:p>
      <w:pPr>
        <w:pStyle w:val="Heading2"/>
      </w:pPr>
      <w:bookmarkStart w:id="901405" w:name="_Toc300001404"/>
      <w:r>
        <w:t>Article 39.40: Source-Boundary and Context Integrity</w:t>
      </w:r>
      <w:bookmarkEnd w:id="901405"/>
    </w:p>
    <w:p>
      <w:pPr>
        <w:pStyle w:val="Normal"/>
        <w:spacing w:before="0" w:after="0"/>
        <w:widowControl w:val="1"/>
      </w:pPr>
      <w:r>
        <w:t>1. [Source-Boundary and Context Integrity] Uploaded-document provenance - The provider and deployer shall distinguish a claim in an uploaded document from a claim independently verified as true. For consequential factual tasks, the provider and deployer shall, where technically practicable, distinguish claims derived from uploaded material from claims supported by independently retrieved or authenticated sources. The provider and deployer shall enable the user to determine whether the system is summarizing the supplied document, reasoning from it, or asserting that the same proposition is established outside the document. This distinction is especially important where a private draft, proposal, memorandum, simulation, or speculative document contains names, institutions, dates, or events that also exist in the real world.</w:t>
      </w:r>
    </w:p>
    <w:p/>
    <w:p>
      <w:pPr>
        <w:pStyle w:val="Normal"/>
        <w:spacing w:before="0" w:after="0"/>
        <w:widowControl w:val="1"/>
      </w:pPr>
      <w:r>
        <w:t>2. [Source-Boundary and Context Integrity] User-supplied material distinction - The workflow shall identify user-supplied material as such when using it to support a consequential factual assertion. A system should not silently convert a user's assertion into an attributed external fact merely because the assertion remains in conversational context. Where a response relies materially on user-supplied information, the system should identify that dependence when failing to do so could reasonably mislead the user about provenance. Nothing in this paragraph prevents a system from accepting user-provided facts for drafting, analysis, simulation, or other tasks in which external verification is not requested or necessary.</w:t>
      </w:r>
    </w:p>
    <w:p/>
    <w:p>
      <w:pPr>
        <w:pStyle w:val="Normal"/>
        <w:spacing w:before="0" w:after="0"/>
        <w:widowControl w:val="1"/>
      </w:pPr>
      <w:r>
        <w:t>3. [Source-Boundary and Context Integrity] Hypothetical and draft material - The deployer shall label hypothetical, proposed and draft material when an output could otherwise represent it as an established event. A system that combines such material with external information should preserve the boundary between the hypothetical or draft content and the independently established external facts. If the boundary becomes uncertain, the system should state the uncertainty or verify the claim before presenting it as real-world fact in a consequential context. This paragraph does not prevent hypothetical analysis, counterfactual reasoning, roleplay, forecasting, or scenario planning when the hypothetical character of the task is understood.</w:t>
      </w:r>
    </w:p>
    <w:p/>
    <w:p>
      <w:pPr>
        <w:pStyle w:val="Normal"/>
        <w:spacing w:before="0" w:after="0"/>
        <w:widowControl w:val="1"/>
      </w:pPr>
      <w:r>
        <w:t>4. [Source-Boundary and Context Integrity] Fiction and roleplay boundary - The workflow shall preserve a clear distinction between fiction or roleplay and externally established factual claims. Where a system later answers a factual question after extended fictional or roleplayed interaction, it should avoid carrying fictional premises forward as external facts unless the user clearly requests continuation of the fiction. Users should be taught that long conversations can create contextual contamination in which invented premises remain available to the model and may influence later answers. Providers may use context labeling, session controls, provenance indicators, or other proportionate measures to reduce this risk.</w:t>
      </w:r>
    </w:p>
    <w:p/>
    <w:p>
      <w:pPr>
        <w:pStyle w:val="Normal"/>
        <w:spacing w:before="0" w:after="0"/>
        <w:widowControl w:val="1"/>
      </w:pPr>
      <w:r>
        <w:t>5. [Source-Boundary and Context Integrity] External-source verification - A consequential assertion described as externally verified shall identify an authenticated or independently retrieved supporting source. The system should not attribute a proposition to a news article, research paper, court decision, government publication, or other external source solely because similar information appeared in user-supplied context. Where direct source verification is unavailable, the system should say so rather than fabricating a citation or implying that verification occurred. For consequential use, the user should be encouraged to inspect the underlying source where reasonably practicable.</w:t>
      </w:r>
    </w:p>
    <w:p/>
    <w:p>
      <w:pPr>
        <w:pStyle w:val="Normal"/>
        <w:spacing w:before="0" w:after="0"/>
        <w:widowControl w:val="1"/>
      </w:pPr>
      <w:r>
        <w:t>6. [Source-Boundary and Context Integrity] Possession of information is not verification - The provider and deployer shall not represent possession or repetition of information as proof of its accuracy. Retrieval of information from user-supplied, hypothetical, draft, fictional, or contextual material does not convert that information into independently verified fact. Verification requires an evidentiary basis appropriate to the proposition and the consequence of error, which may include a primary source, authoritative record, reliable independent source, or qualified human review. Nothing in this paragraph prevents a system from accurately reporting what an unverified source says when the source and its status are clearly identified.</w:t>
      </w:r>
    </w:p>
    <w:p/>
    <w:p>
      <w:pPr>
        <w:spacing w:before="0" w:after="0"/>
        <w:widowControl w:val="1"/>
      </w:pPr>
      <w:r>
        <w:t>7. SOURCE BOUNDARY REGULATED ACTORS. Article 39.40 duties attach to the provider designing the system and the deployer controlling consequential use, each within its respective function. Each Party shall ensure those actors preserve source labels and distinguish user material, fiction, hypothesis and external verification in the covered workflow. The mandatory distinction is implemented by reasonably available technical or human workflow controls rather than imposing legal personality on an AI system. Article 39.39's promotion of general literacy remains distinct from this mandatory consequential-use safeguard.</w:t>
      </w:r>
    </w:p>
    <w:p/>
    <w:p>
      <w:pPr>
        <w:pStyle w:val="Heading2"/>
      </w:pPr>
      <w:bookmarkStart w:id="901406" w:name="_Toc300001405"/>
      <w:r>
        <w:t>Article 39.41: Privacy, Data Minimization and Purpose Limitation</w:t>
      </w:r>
      <w:bookmarkEnd w:id="901406"/>
    </w:p>
    <w:p>
      <w:pPr>
        <w:pStyle w:val="Normal"/>
        <w:spacing w:before="0" w:after="0"/>
        <w:widowControl w:val="1"/>
      </w:pPr>
      <w:r>
        <w:t>1. [Privacy, Data Minimization and Purpose Limitation] AI data minimization - The deployer shall collect and use only personal data reasonably necessary for the identified lawful AI purpose.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Normal"/>
        <w:spacing w:before="0" w:after="0"/>
        <w:widowControl w:val="1"/>
      </w:pPr>
      <w:r>
        <w:t>2. [Privacy, Data Minimization and Purpose Limitation] Purpose limitation - Personal data shall not be used for an incompatible purpose without a new lawful basis and required notice.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Normal"/>
        <w:spacing w:before="0" w:after="0"/>
        <w:widowControl w:val="1"/>
      </w:pPr>
      <w:r>
        <w:t>3. [Privacy, Data Minimization and Purpose Limitation] Sensitive-data handling - Sensitive data shall receive access, encryption and use controls proportionate to its sensitivity.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Normal"/>
        <w:spacing w:before="0" w:after="0"/>
        <w:widowControl w:val="1"/>
      </w:pPr>
      <w:r>
        <w:t>4. [Privacy, Data Minimization and Purpose Limitation] Secondary-use controls - Secondary training, profiling or disclosure shall require a documented lawful basis and applicable consent.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Normal"/>
        <w:spacing w:before="0" w:after="0"/>
        <w:widowControl w:val="1"/>
      </w:pPr>
      <w:r>
        <w:t>5. [Privacy, Data Minimization and Purpose Limitation] Retention limitation - The deployer shall delete or irreversibly de-identify personal data when its lawful retention purpose ends, subject to legal holds.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Normal"/>
        <w:spacing w:before="0" w:after="0"/>
        <w:widowControl w:val="1"/>
      </w:pPr>
      <w:r>
        <w:t>6. [Privacy, Data Minimization and Purpose Limitation] Privacy-preserving design - The provider and deployer shall assess privacy-preserving alternatives before using identifiable data for high-risk training or deployment.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Heading2"/>
      </w:pPr>
      <w:bookmarkStart w:id="901407" w:name="_Toc300001406"/>
      <w:r>
        <w:t>Article 39.42: Training Data Rights and Governance</w:t>
      </w:r>
      <w:bookmarkEnd w:id="901407"/>
    </w:p>
    <w:p>
      <w:pPr>
        <w:pStyle w:val="Normal"/>
        <w:spacing w:before="0" w:after="0"/>
        <w:widowControl w:val="1"/>
      </w:pPr>
      <w:r>
        <w:t>1. [Training Data Rights and Governance] Training-data provenance records - The provider shall maintain records of the sources and material rights restrictions for training datasets.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Normal"/>
        <w:spacing w:before="0" w:after="0"/>
        <w:widowControl w:val="1"/>
      </w:pPr>
      <w:r>
        <w:t>2. [Training Data Rights and Governance] Lawful-basis documentation - The provider shall document a lawful basis for obtaining and using training data under applicable privacy and intellectual-property law.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Normal"/>
        <w:spacing w:before="0" w:after="0"/>
        <w:widowControl w:val="1"/>
      </w:pPr>
      <w:r>
        <w:t>3. [Training Data Rights and Governance] Consumer choice where applicable - Where applicable law provides a consumer choice over training use, the provider shall give effect to that choice through an accessible process.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Normal"/>
        <w:spacing w:before="0" w:after="0"/>
        <w:widowControl w:val="1"/>
      </w:pPr>
      <w:r>
        <w:t>4. [Training Data Rights and Governance] Sensitive-category controls - Training involving sensitive data shall apply the additional legal basis, consent and protective controls required for that category.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Normal"/>
        <w:spacing w:before="0" w:after="0"/>
        <w:widowControl w:val="1"/>
      </w:pPr>
      <w:r>
        <w:t>5. [Training Data Rights and Governance] Data quality and labeling - The provider shall assess material training-data errors, labeling quality and bias relevant to foreseeable high-risk uses.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Normal"/>
        <w:spacing w:before="0" w:after="0"/>
        <w:widowControl w:val="1"/>
      </w:pPr>
      <w:r>
        <w:t>6. [Training Data Rights and Governance] Legacy-data remediation - A verified unlawful or materially defective legacy dataset shall trigger documented correction, removal or other lawful mitigation proportionate to the affected use.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Heading2"/>
      </w:pPr>
      <w:bookmarkStart w:id="901408" w:name="_Toc300001407"/>
      <w:r>
        <w:t>Article 39.43: Model Memorization, Leakage and Confidentiality</w:t>
      </w:r>
      <w:bookmarkEnd w:id="901408"/>
    </w:p>
    <w:p>
      <w:pPr>
        <w:pStyle w:val="Normal"/>
        <w:spacing w:before="0" w:after="0"/>
        <w:widowControl w:val="1"/>
      </w:pPr>
      <w:r>
        <w:t>1. [Model Memorization, Leakage and Confidentiality] Memorization-risk testing - The provider shall test material memorization and extraction risks before consequential deployment.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Normal"/>
        <w:spacing w:before="0" w:after="0"/>
        <w:widowControl w:val="1"/>
      </w:pPr>
      <w:r>
        <w:t>2. [Model Memorization, Leakage and Confidentiality] Personal-data leakage controls - The provider and deployer shall use controls to prevent unauthorized disclosure of personal data from model outputs.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Normal"/>
        <w:spacing w:before="0" w:after="0"/>
        <w:widowControl w:val="1"/>
      </w:pPr>
      <w:r>
        <w:t>3. [Model Memorization, Leakage and Confidentiality] Confidential business information - Confidential business data shall not be disclosed or reused beyond the authorized purpose without lawful authority.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Normal"/>
        <w:spacing w:before="0" w:after="0"/>
        <w:widowControl w:val="1"/>
      </w:pPr>
      <w:r>
        <w:t>4. [Model Memorization, Leakage and Confidentiality] Prompt and conversation confidentiality - Prompts and private conversations shall be protected against unauthorized access, publication and incompatible secondary use.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Normal"/>
        <w:spacing w:before="0" w:after="0"/>
        <w:widowControl w:val="1"/>
      </w:pPr>
      <w:r>
        <w:t>5. [Model Memorization, Leakage and Confidentiality] Extraction-risk mitigation - The provider shall limit extraction vectors through appropriate access controls, rate limits and monitoring calibrated to risk.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Normal"/>
        <w:spacing w:before="0" w:after="0"/>
        <w:widowControl w:val="1"/>
      </w:pPr>
      <w:r>
        <w:t>6. [Model Memorization, Leakage and Confidentiality] Remediation after verified leakage - Verified leakage shall trigger containment, affected-person notice where legally required and documented remediation before renewed unsafe reliance. Covered entities shall identify the lawful or otherwise permitted basis for collection and use, minimize unnecessary personal data, apply purpose and access controls, and retain records sufficient to investigate a material privacy or confidentiality failure. Nothing in this Part requires blanket data localization, public disclosure of confidential training data, or transfer of proprietary model weights, but a competent authority may obtain necessary information under applicable law and appropriate confidentiality protections. A verified leak, unlawful use, or material re-identification risk shall trigger containment, notice where required by law, correction or deletion where legally available, and measures reasonably designed to prevent recurrence.</w:t>
      </w:r>
    </w:p>
    <w:p/>
    <w:p>
      <w:pPr>
        <w:pStyle w:val="Heading2"/>
      </w:pPr>
      <w:bookmarkStart w:id="901409" w:name="_Toc300001408"/>
      <w:r>
        <w:t>Article 39.44: Biometrics and Persistent Identity</w:t>
      </w:r>
      <w:bookmarkEnd w:id="901409"/>
    </w:p>
    <w:p>
      <w:pPr>
        <w:pStyle w:val="Normal"/>
        <w:spacing w:before="0" w:after="0"/>
        <w:widowControl w:val="1"/>
      </w:pPr>
      <w:r>
        <w:t>1. [Biometrics and Persistent Identity] Biometric proportionality - A deployer shall use biometric AI only where necessary and proportionate to a documented lawful purpose.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Normal"/>
        <w:spacing w:before="0" w:after="0"/>
        <w:widowControl w:val="1"/>
      </w:pPr>
      <w:r>
        <w:t>2. [Biometrics and Persistent Identity] Consent and lawful authority - Biometric collection or identification shall require the consent or other lawful authority applicable to the use.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Normal"/>
        <w:spacing w:before="0" w:after="0"/>
        <w:widowControl w:val="1"/>
      </w:pPr>
      <w:r>
        <w:t>3. [Biometrics and Persistent Identity] Persistent identifier safeguards - Persistent identifiers shall be limited to a specified purpose and protected against unauthorized linkage and profiling.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Normal"/>
        <w:spacing w:before="0" w:after="0"/>
        <w:widowControl w:val="1"/>
      </w:pPr>
      <w:r>
        <w:t>4. [Biometrics and Persistent Identity] Emotion inference restraint - Emotion inference shall not substitute for observable evidence in a consequential decision without validated domain-specific reliability and lawful authority.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Normal"/>
        <w:spacing w:before="0" w:after="0"/>
        <w:widowControl w:val="1"/>
      </w:pPr>
      <w:r>
        <w:t>5. [Biometrics and Persistent Identity] Biometric access controls - Biometric records shall be restricted to authorized users and protected by security and access logging.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Normal"/>
        <w:spacing w:before="0" w:after="0"/>
        <w:widowControl w:val="1"/>
      </w:pPr>
      <w:r>
        <w:t>6. [Biometrics and Persistent Identity] Deletion and retention safeguards - Biometric data shall be deleted when its authorized retention purpose ends subject to legally required preservation.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Heading2"/>
      </w:pPr>
      <w:bookmarkStart w:id="901410" w:name="_Toc300001409"/>
      <w:r>
        <w:t>Article 39.45: Synthetic Media, Authenticity and Provenance</w:t>
      </w:r>
      <w:bookmarkEnd w:id="901410"/>
    </w:p>
    <w:p>
      <w:pPr>
        <w:pStyle w:val="Normal"/>
        <w:spacing w:before="0" w:after="0"/>
        <w:widowControl w:val="1"/>
      </w:pPr>
      <w:r>
        <w:t>1. [Synthetic Media, Authenticity and Provenance] Material synthetic-content disclosure - A provider or deployer shall disclose materially synthetic content where omission would foreseeably deceive a person in a consequential context.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Normal"/>
        <w:spacing w:before="0" w:after="0"/>
        <w:widowControl w:val="1"/>
      </w:pPr>
      <w:r>
        <w:t>2. [Synthetic Media, Authenticity and Provenance] Provenance metadata - A deployer claiming authenticated provenance shall preserve available source and modification metadata.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Normal"/>
        <w:spacing w:before="0" w:after="0"/>
        <w:widowControl w:val="1"/>
      </w:pPr>
      <w:r>
        <w:t>3. [Synthetic Media, Authenticity and Provenance] Tamper resistance - The deployer shall use proportionate controls against alteration of authenticity metadata used for consequential reliance.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Normal"/>
        <w:spacing w:before="0" w:after="0"/>
        <w:widowControl w:val="1"/>
      </w:pPr>
      <w:r>
        <w:t>4. [Synthetic Media, Authenticity and Provenance] News and evidentiary contexts - Synthetic media presented as news evidence or an official record shall be identified and corroborated before consequential reliance.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Normal"/>
        <w:spacing w:before="0" w:after="0"/>
        <w:widowControl w:val="1"/>
      </w:pPr>
      <w:r>
        <w:t>5. [Synthetic Media, Authenticity and Provenance] Expression and parody firewall - Disclosure duties shall preserve lawful expression, satire and parody where a reasonable audience would understand their character.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Normal"/>
        <w:spacing w:before="0" w:after="0"/>
        <w:widowControl w:val="1"/>
      </w:pPr>
      <w:r>
        <w:t>6. [Synthetic Media, Authenticity and Provenance] Removal of deceptive provenance markers - No provider or deployer shall remove or falsify provenance markers for the purpose of material deception.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Heading2"/>
      </w:pPr>
      <w:bookmarkStart w:id="901411" w:name="_Toc300001410"/>
      <w:r>
        <w:t>Article 39.46: Impersonation, Voice Cloning and Deepfake Harm</w:t>
      </w:r>
      <w:bookmarkEnd w:id="901411"/>
    </w:p>
    <w:p>
      <w:pPr>
        <w:pStyle w:val="Normal"/>
        <w:spacing w:before="0" w:after="0"/>
        <w:widowControl w:val="1"/>
      </w:pPr>
      <w:r>
        <w:t>1. [Impersonation, Voice Cloning and Deepfake Harm] Unauthorized identity cloning - Each Party shall prohibit identity cloning used without lawful authority to deceive in a consequential transaction.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Normal"/>
        <w:spacing w:before="0" w:after="0"/>
        <w:widowControl w:val="1"/>
      </w:pPr>
      <w:r>
        <w:t>2. [Impersonation, Voice Cloning and Deepfake Harm] Fraudulent impersonation - Each Party shall prohibit AI impersonation used to obtain money, credentials, access or a legally material action through fraud.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Normal"/>
        <w:spacing w:before="0" w:after="0"/>
        <w:widowControl w:val="1"/>
      </w:pPr>
      <w:r>
        <w:t>3. [Impersonation, Voice Cloning and Deepfake Harm] Nonconsensual intimate synthetic media - Each Party shall provide lawful prevention and remedy routes for nonconsensual intimate synthetic media.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Normal"/>
        <w:spacing w:before="0" w:after="0"/>
        <w:widowControl w:val="1"/>
      </w:pPr>
      <w:r>
        <w:t>4. [Impersonation, Voice Cloning and Deepfake Harm] Election and public-office impersonation safeguards - A deployer shall not deceptively impersonate an election authority or public official to interfere with lawful public participation.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Normal"/>
        <w:spacing w:before="0" w:after="0"/>
        <w:widowControl w:val="1"/>
      </w:pPr>
      <w:r>
        <w:t>5. [Impersonation, Voice Cloning and Deepfake Harm] Emergency and disaster impersonation - A deployer shall not fabricate emergency instructions or impersonate emergency responders to create material danger.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Normal"/>
        <w:spacing w:before="0" w:after="0"/>
        <w:widowControl w:val="1"/>
      </w:pPr>
      <w:r>
        <w:t>6. [Impersonation, Voice Cloning and Deepfake Harm] Rapid correction and takedown pathways consistent with law - Each Party shall provide an accessible prompt correction or takedown request process with human review, evidence preservation and lawful expression safeguards. Covered rules shall distinguish persistent biometric identifiers and materially deceptive synthetic representations from ordinary editing, satire, parody, fiction, clearly signaled roleplay, and other protected or legitimate expression. A provider or deployer shall use proportionate consent, provenance, access-control, labeling, or correction mechanisms suited to the risk and shall not remove or falsify authenticity information for the purpose of deceiving a person in a consequential context. Nothing in this Part authorizes a general government power to determine truth, suppress lawful political expression, or require universal identity verification for low-risk creative uses.</w:t>
      </w:r>
    </w:p>
    <w:p/>
    <w:p>
      <w:pPr>
        <w:pStyle w:val="Heading2"/>
      </w:pPr>
      <w:bookmarkStart w:id="901412" w:name="_Toc300001411"/>
      <w:r>
        <w:t>Article 39.47: Worker Notice, Consultation and Deployment</w:t>
      </w:r>
      <w:bookmarkEnd w:id="901412"/>
    </w:p>
    <w:p>
      <w:pPr>
        <w:pStyle w:val="Normal"/>
        <w:spacing w:before="0" w:after="0"/>
        <w:widowControl w:val="1"/>
      </w:pPr>
      <w:r>
        <w:t>1. [Worker Notice, Consultation and Deployment] Notice of consequential workplace AI - An employer or covered labor platform shall notify affected workers before material AI use in hiring, pay, scheduling, discipline or safety decisions.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Normal"/>
        <w:spacing w:before="0" w:after="0"/>
        <w:widowControl w:val="1"/>
      </w:pPr>
      <w:r>
        <w:t>2. [Worker Notice, Consultation and Deployment] Worker consultation on material process change - The employer or platform shall consult lawful worker representatives before a material AI-driven work-process change on information sufficient to assess its effects.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Normal"/>
        <w:spacing w:before="0" w:after="0"/>
        <w:widowControl w:val="1"/>
      </w:pPr>
      <w:r>
        <w:t>3. [Worker Notice, Consultation and Deployment] Accessible deployment policies - The employer or platform shall publish accessible policies specifying uses, prohibited uses, material monitoring and review routes.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Normal"/>
        <w:spacing w:before="0" w:after="0"/>
        <w:widowControl w:val="1"/>
      </w:pPr>
      <w:r>
        <w:t>4. [Worker Notice, Consultation and Deployment] Role-specific competence training - Persons responsible for consequential workplace AI shall receive role-specific competence training before reliance.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Normal"/>
        <w:spacing w:before="0" w:after="0"/>
        <w:widowControl w:val="1"/>
      </w:pPr>
      <w:r>
        <w:t>5. [Worker Notice, Consultation and Deployment] Collective-representation access - Lawful worker representatives shall receive the non-confidential information needed to exercise applicable consultation and bargaining rights.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Normal"/>
        <w:spacing w:before="0" w:after="0"/>
        <w:widowControl w:val="1"/>
      </w:pPr>
      <w:r>
        <w:t>6. [Worker Notice, Consultation and Deployment] No retaliation for raising AI safety concerns - No employer or platform shall retaliate against a worker raising a good-faith AI safety or rights concern.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Heading2"/>
      </w:pPr>
      <w:bookmarkStart w:id="901413" w:name="_Toc300001412"/>
      <w:r>
        <w:t>Article 39.48: Automated Hiring, Discipline and Termination</w:t>
      </w:r>
      <w:bookmarkEnd w:id="901413"/>
    </w:p>
    <w:p>
      <w:pPr>
        <w:pStyle w:val="Normal"/>
        <w:spacing w:before="0" w:after="0"/>
        <w:widowControl w:val="1"/>
      </w:pPr>
      <w:r>
        <w:t>1. [Automated Hiring, Discipline and Termination] Hiring transparency - An employer or labor platform shall disclose material AI use and relevant assessment factors to applicants before consequential screening.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2. [Automated Hiring, Discipline and Termination] Human review of adverse employment decisions - A qualified human with authority to change the result shall review a contested adverse employment decision.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3. [Automated Hiring, Discipline and Termination] No solely automated termination - No employer or covered labor platform shall terminate employment or work access solely on automated output without an accountable human determination.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4. [Automated Hiring, Discipline and Termination] Bias validation in employment systems - The deployer shall validate employment models for material unlawful bias in the actual applicant or worker population.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5. [Automated Hiring, Discipline and Termination] Candidate data correction - An applicant or worker shall have an accessible channel to correct material data used for an adverse decision.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Normal"/>
        <w:spacing w:before="0" w:after="0"/>
        <w:widowControl w:val="1"/>
      </w:pPr>
      <w:r>
        <w:t>6. [Automated Hiring, Discipline and Termination] Reasoned record of adverse action - The employer or platform shall record the evidence, reasons and accountable human for an AI-influenced adverse action. Implementation shall identify the regulated actor, triggering risk or consequence, required conduct, and competent domestic authority rather than imposing a duty merely because software is labeled or marketed as AI. A measure shall be risk-proportionate, non-discriminatory, and no more burdensome than reasonably necessary for the demonstrated objective, with appropriate protection for privacy, cybersecurity, trade secrets, expression, competition, and innovation. Article 39.75 supplies the governing Chapter-wide conflict rule, and this Part shall not create duplicate recovery, unrelated retaliation, or a new permanent institution absent Article 30.C.1.</w:t>
      </w:r>
    </w:p>
    <w:p/>
    <w:p>
      <w:pPr>
        <w:pStyle w:val="Heading2"/>
      </w:pPr>
      <w:bookmarkStart w:id="901414" w:name="_Toc300001413"/>
      <w:r>
        <w:t>Article 39.49: Worker Monitoring, Scoring and Dignity</w:t>
      </w:r>
      <w:bookmarkEnd w:id="901414"/>
    </w:p>
    <w:p>
      <w:pPr>
        <w:pStyle w:val="Normal"/>
        <w:spacing w:before="0" w:after="0"/>
        <w:widowControl w:val="1"/>
      </w:pPr>
      <w:r>
        <w:t>1. [Worker Monitoring, Scoring and Dignity] Proportional workplace monitoring - Workplace AI monitoring shall be necessary and proportionate to a documented legitimate work purpose.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Normal"/>
        <w:spacing w:before="0" w:after="0"/>
        <w:widowControl w:val="1"/>
      </w:pPr>
      <w:r>
        <w:t>2. [Worker Monitoring, Scoring and Dignity] No pervasive demeaning surveillance - No employer or labor platform shall conduct pervasive humiliating surveillance unrelated to an evidenced work or safety need.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Normal"/>
        <w:spacing w:before="0" w:after="0"/>
        <w:widowControl w:val="1"/>
      </w:pPr>
      <w:r>
        <w:t>3. [Worker Monitoring, Scoring and Dignity] Productivity-score safeguards - A productivity score shall not be the sole basis for an adverse decision without validation and contextual human review.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Normal"/>
        <w:spacing w:before="0" w:after="0"/>
        <w:widowControl w:val="1"/>
      </w:pPr>
      <w:r>
        <w:t>4. [Worker Monitoring, Scoring and Dignity] Emotion and personality inference limits - Emotion or personality inference shall not replace observable job-related evidence in a consequential decision.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Normal"/>
        <w:spacing w:before="0" w:after="0"/>
        <w:widowControl w:val="1"/>
      </w:pPr>
      <w:r>
        <w:t>5. [Worker Monitoring, Scoring and Dignity] Off-duty and private-space protection - Off-duty activity and private spaces shall not be monitored without a specific lawful necessity and applicable privacy protections.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Normal"/>
        <w:spacing w:before="0" w:after="0"/>
        <w:widowControl w:val="1"/>
      </w:pPr>
      <w:r>
        <w:t>6. [Worker Monitoring, Scoring and Dignity] Human review of monitoring-based sanctions - A human authorized to change the outcome shall review a contested monitoring-based sanction.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Heading2"/>
      </w:pPr>
      <w:bookmarkStart w:id="901415" w:name="_Toc300001414"/>
      <w:r>
        <w:t>Article 39.50: Platform, Gig and Worker Data Governance</w:t>
      </w:r>
      <w:bookmarkEnd w:id="901415"/>
    </w:p>
    <w:p>
      <w:pPr>
        <w:pStyle w:val="Normal"/>
        <w:spacing w:before="0" w:after="0"/>
        <w:widowControl w:val="1"/>
      </w:pPr>
      <w:r>
        <w:t>1. [Platform, Gig and Worker Data Governance] Algorithmic scheduling transparency - An employer or labor platform shall explain material scheduling and assignment factors and provide correction of erroneous worker data.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Normal"/>
        <w:spacing w:before="0" w:after="0"/>
        <w:widowControl w:val="1"/>
      </w:pPr>
      <w:r>
        <w:t>2. [Platform, Gig and Worker Data Governance] Gig-worker account deactivation review - A covered labor platform shall give reasons, evidence and independent human review before final account deactivation, irrespective of employment classification.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Normal"/>
        <w:spacing w:before="0" w:after="0"/>
        <w:widowControl w:val="1"/>
      </w:pPr>
      <w:r>
        <w:t>3. [Platform, Gig and Worker Data Governance] Worker data access - An employer or platform shall provide a worker access to that worker's material pay, assignment, evaluation and monitoring data subject to lawful third-person confidentiality.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Normal"/>
        <w:spacing w:before="0" w:after="0"/>
        <w:widowControl w:val="1"/>
      </w:pPr>
      <w:r>
        <w:t>4. [Platform, Gig and Worker Data Governance] Portable reputation and correction - A platform shall provide export of the worker's portable reputation record and a practical means to correct false ratings.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Normal"/>
        <w:spacing w:before="0" w:after="0"/>
        <w:widowControl w:val="1"/>
      </w:pPr>
      <w:r>
        <w:t>5. [Platform, Gig and Worker Data Governance] Automated pay-calculation transparency - An employer or platform shall explain an automated pay calculation and correct verified underpayment through its lawful pay process.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pStyle w:val="Normal"/>
        <w:spacing w:before="0" w:after="0"/>
        <w:widowControl w:val="1"/>
      </w:pPr>
      <w:r>
        <w:t>6. [Platform, Gig and Worker Data Governance] Chapter 23-B transition cross-reference - AI displacement and retraining support shall follow Chapter 23-B and its Affected Worker definition without creating a parallel benefit fund. Where the use may materially affect hiring, pay, scheduling, discipline, termination, safety, or access to work, the responsible employer or covered labor platform shall provide appropriate notice, maintain an identifiable human decision-maker, and preserve a meaningful route to correction or review. Monitoring and scoring shall be proportionate to a legitimate workplace purpose, shall avoid unnecessary collection of sensitive information, and shall not rely on emotion, personality, or similarly speculative inference as a substitute for observable job-related evidence. AI-related displacement, retraining, wage support, and portable-benefit questions shall use Chapter 23-B rather than creating a duplicate transition fund or parallel benefit architecture in this Chapter.</w:t>
      </w:r>
    </w:p>
    <w:p/>
    <w:p>
      <w:pPr>
        <w:spacing w:before="0" w:after="0"/>
        <w:widowControl w:val="1"/>
      </w:pPr>
      <w:r>
        <w:t>7. PLATFORM BASELINE RIGHTS. Article 39.50 applies to a platform organizing or materially controlling paid work irrespective of whether the worker is an employee, contractor or other Chapter 23-B Affected Worker. Before final materially adverse deactivation or pay denial, the platform shall give the affected worker principal reasons, access to material non-confidential evidence and a practical correction and independent human review route. An immediate temporary safety restriction requires specific credible serious-risk evidence and human review within seventy-two hours, with final review completed within thirty days after request. These minimum rights do not depend on otherwise-applicable employee classification, and lawful labor, privacy and Chapter 23-B protections remain cumulative.</w:t>
      </w:r>
    </w:p>
    <w:p/>
    <w:p>
      <w:pPr>
        <w:pStyle w:val="Heading2"/>
      </w:pPr>
      <w:bookmarkStart w:id="901416" w:name="_Toc300001415"/>
      <w:r>
        <w:t>Article 39.51: Healthcare AI Clinical Authority</w:t>
      </w:r>
      <w:bookmarkEnd w:id="901416"/>
    </w:p>
    <w:p>
      <w:pPr>
        <w:pStyle w:val="Normal"/>
        <w:spacing w:before="0" w:after="0"/>
        <w:widowControl w:val="1"/>
      </w:pPr>
      <w:r>
        <w:t>1. [Healthcare AI Clinical Authority] Clinician retains final clinical authority - The deployer shall preserve the responsible clinician's legally required final authority over consequential clinical decisions.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2. [Healthcare AI Clinical Authority] No autonomous diagnosis without lawful authorization - No healthcare deployer shall permit autonomous diagnosis where applicable law requires a qualified clinician or separate regulatory authorization.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3. [Healthcare AI Clinical Authority] No autonomous prescribing or medication administration - No healthcare deployer shall permit autonomous prescribing or medication administration without the lawful professional and product authorization required for that act.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4. [Healthcare AI Clinical Authority] Clinical escalation when uncertainty is material - Material clinical uncertainty shall be escalated to a qualified clinician before unsafe reliance.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5. [Healthcare AI Clinical Authority] Patient right to human clinical review - A patient affected by consequential clinical AI shall have a practical route to qualified human clinical review.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6. [Healthcare AI Clinical Authority] Professional standards remain controlling - AI assistance shall not displace applicable professional standards, clinical authorization or lawful institutional accountability.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Heading2"/>
      </w:pPr>
      <w:bookmarkStart w:id="901417" w:name="_Toc300001416"/>
      <w:r>
        <w:t>Article 39.52: Healthcare AI Validation and Performance</w:t>
      </w:r>
      <w:bookmarkEnd w:id="901417"/>
    </w:p>
    <w:p>
      <w:pPr>
        <w:pStyle w:val="Normal"/>
        <w:spacing w:before="0" w:after="0"/>
        <w:widowControl w:val="1"/>
      </w:pPr>
      <w:r>
        <w:t>1. [Healthcare AI Validation and Performance] Clinical validation in intended population - The healthcare deployer shall validate intended clinical performance in the relevant patient population before consequential reliance.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2. [Healthcare AI Validation and Performance] Diagnostic sensitivity and specificity disclosure - The provider shall disclose material sensitivity, specificity, limitations and the population and method used to estimate them.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3. [Healthcare AI Validation and Performance] External validation where warranted - A safety-critical clinical use shall obtain competent external validation where internal evidence cannot adequately establish safety.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4. [Healthcare AI Validation and Performance] Model drift monitoring - The deployer shall monitor clinically material performance drift and restrict affected unsafe uses pending review.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5. [Healthcare AI Validation and Performance] Subgroup performance evaluation - The deployer shall evaluate material subgroup differences and remedy clinically significant inequity or unreliable performance.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6. [Healthcare AI Validation and Performance] Revalidation after clinically material change - A clinically material model or workflow change shall require revalidation before renewed consequential use.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Heading2"/>
      </w:pPr>
      <w:bookmarkStart w:id="901418" w:name="_Toc300001417"/>
      <w:r>
        <w:t>Article 39.53: Healthcare AI Consent, Privacy and Patient Data</w:t>
      </w:r>
      <w:bookmarkEnd w:id="901418"/>
    </w:p>
    <w:p>
      <w:pPr>
        <w:pStyle w:val="Normal"/>
        <w:spacing w:before="0" w:after="0"/>
        <w:widowControl w:val="1"/>
      </w:pPr>
      <w:r>
        <w:t>1. [Healthcare AI Consent, Privacy and Patient Data] Notice of consequential clinical AI - The clinical deployer shall inform patients of material AI influence in consequential care in an accessible manner.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2. [Healthcare AI Consent, Privacy and Patient Data] Patient-data minimization - Patient data shall be limited to what is necessary for the lawful clinical or separately authorized purpose.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3. [Healthcare AI Consent, Privacy and Patient Data] Training-use consent where required - Patient-data training use shall obtain consent where applicable law requires it and shall honor legally effective withdrawal.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4. [Healthcare AI Consent, Privacy and Patient Data] Protected-health-information safeguards - Protected health information shall use lawful access, disclosure and security controls throughout the AI workflow.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5. [Healthcare AI Consent, Privacy and Patient Data] Genomic and biometric sensitivity - Genomic and biometric patient data shall receive heightened access and reuse safeguards proportionate to their sensitivity.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6. [Healthcare AI Consent, Privacy and Patient Data] Patient correction and access rights - Patients shall have the access and material-error correction routes required by applicable health and privacy law.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Heading2"/>
      </w:pPr>
      <w:bookmarkStart w:id="901419" w:name="_Toc300001418"/>
      <w:r>
        <w:t>Article 39.54: Healthcare Deployment, Change Control and Human Factors</w:t>
      </w:r>
      <w:bookmarkEnd w:id="901419"/>
    </w:p>
    <w:p>
      <w:pPr>
        <w:pStyle w:val="Normal"/>
        <w:spacing w:before="0" w:after="0"/>
        <w:widowControl w:val="1"/>
      </w:pPr>
      <w:r>
        <w:t>1. [Healthcare Deployment, Change Control and Human Factors] Clinical workflow integration - The clinical deployer shall validate that AI use fits the actual clinical workflow and staff responsibilities.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2. [Healthcare Deployment, Change Control and Human Factors] Alert-fatigue controls - The deployer shall assess alert burden and prevent suppression of material warnings through foreseeable alert fatigue.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3. [Healthcare Deployment, Change Control and Human Factors] Automation-bias safeguards - Clinical staff shall be trained to check material outputs and avoid unreasoned deference to automation.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4. [Healthcare Deployment, Change Control and Human Factors] Override and escalation design - The workflow shall provide timely clinical override and escalation to a qualified professional.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5. [Healthcare Deployment, Change Control and Human Factors] Model update governance - The deployer shall authorize, document and test clinically material model updates before release.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6. [Healthcare Deployment, Change Control and Human Factors] Downtime and non-AI fallback - A consequential clinical workflow shall maintain a tested safe downtime and non-AI fallback procedure.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Heading2"/>
      </w:pPr>
      <w:bookmarkStart w:id="901420" w:name="_Toc300001419"/>
      <w:r>
        <w:t>Article 39.55: Healthcare Post-Market Safety, Equity and Access</w:t>
      </w:r>
      <w:bookmarkEnd w:id="901420"/>
    </w:p>
    <w:p>
      <w:pPr>
        <w:pStyle w:val="Normal"/>
        <w:spacing w:before="0" w:after="0"/>
        <w:widowControl w:val="1"/>
      </w:pPr>
      <w:r>
        <w:t>1. [Healthcare Post-Market Safety, Equity and Access] Clinical adverse-event reporting - The healthcare deployer shall report a serious clinical AI adverse event under Article 39.34 and applicable health law.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2. [Healthcare Post-Market Safety, Equity and Access] Post-market surveillance - The deployer shall monitor post-market clinical outcomes and investigate material adverse trends.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3. [Healthcare Post-Market Safety, Equity and Access] Equitable access and accessibility - Clinical AI shall be evaluated for barriers to equitable access and necessary accessibility accommodations.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4. [Healthcare Post-Market Safety, Equity and Access] Rural and remote deployment safeguards - Deployment in rural or remote settings shall account for available staffing, connectivity and safe fallback.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5. [Healthcare Post-Market Safety, Equity and Access] Language and disability access - The deployer shall provide material clinical notices and interfaces accessible to relevant language and disability needs.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pStyle w:val="Normal"/>
        <w:spacing w:before="0" w:after="0"/>
        <w:widowControl w:val="1"/>
      </w:pPr>
      <w:r>
        <w:t>6. [Healthcare Post-Market Safety, Equity and Access] No automatic mutual recognition of clinical approval - No provision creates automatic clinical approval or recognition, while lawful voluntary bilateral or trilateral recognition remains subject to the competent health regulators. The deployer shall document the intended clinical use, relevant patient population, material limitations, human-review pathway, and conditions requiring escalation or non-AI fallback before consequential reliance. No rule in this Part creates automatic trilateral clinical approval, displaces informed-consent or privacy law, or permits a model output to substitute for professional judgment where domestic law requires a qualified human decision-maker. A verified safety or performance failure shall trigger prompt containment, corrective action, and revalidation proportionate to the risk, with cross-border notice when the same materially affected system is deployed in another Party.</w:t>
      </w:r>
    </w:p>
    <w:p/>
    <w:p>
      <w:pPr>
        <w:spacing w:before="0" w:after="0"/>
        <w:widowControl w:val="1"/>
      </w:pPr>
      <w:r>
        <w:t>7. CLINICAL RECOGNITION AND TARIFF CROSS REFERENCES. Articles 39.51 and 39.55 prohibit automatic clinical recognition, whether bilateral or trilateral, while permitting separately lawful voluntary recognition decided by the competent health authorities. A recognition instrument preserves applicable clinical authorization, professional standards, safety and privacy requirements. Tariff cage in Article 39.74(3) means Articles 35.38 through 35.40 and the lower Article 35.34 budget, while issue nexus means Articles 35.13, 35.15 and 35.59. Those cross-references apply to both Parts B and C without converting clinical cooperation or an AI breach into automatic tariff authority.</w:t>
      </w:r>
    </w:p>
    <w:p/>
    <w:p>
      <w:pPr>
        <w:pStyle w:val="Heading2"/>
      </w:pPr>
      <w:bookmarkStart w:id="901421" w:name="_Toc300001420"/>
      <w:r>
        <w:t>Article 39.56: Teacher, Student and Institutional Human Authority</w:t>
      </w:r>
      <w:bookmarkEnd w:id="901421"/>
    </w:p>
    <w:p>
      <w:pPr>
        <w:pStyle w:val="Normal"/>
        <w:spacing w:before="0" w:after="0"/>
        <w:widowControl w:val="1"/>
      </w:pPr>
      <w:r>
        <w:t>1. [Teacher, Student and Institutional Human Authority] Teacher-in-the-loop principle - The educational deployer shall retain a qualified educator's authority over consequential instructional decisions.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Normal"/>
        <w:spacing w:before="0" w:after="0"/>
        <w:widowControl w:val="1"/>
      </w:pPr>
      <w:r>
        <w:t>2. [Teacher, Student and Institutional Human Authority] AI as support not automatic replacement - AI assistance shall not automatically replace a teacher where professional judgment or supervision is required by law.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Normal"/>
        <w:spacing w:before="0" w:after="0"/>
        <w:widowControl w:val="1"/>
      </w:pPr>
      <w:r>
        <w:t>3. [Teacher, Student and Institutional Human Authority] Student agency - Students shall receive intelligible information about material AI use affecting their learning or assessment.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Normal"/>
        <w:spacing w:before="0" w:after="0"/>
        <w:widowControl w:val="1"/>
      </w:pPr>
      <w:r>
        <w:t>4. [Teacher, Student and Institutional Human Authority] Human review of consequential educational decisions - A qualified human shall review an AI-influenced exclusion, grade or other materially adverse educational decision.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Normal"/>
        <w:spacing w:before="0" w:after="0"/>
        <w:widowControl w:val="1"/>
      </w:pPr>
      <w:r>
        <w:t>5. [Teacher, Student and Institutional Human Authority] Alternative non-AI pathway where reasonably available - The institution shall offer a reasonable non-AI pathway where necessary for accessibility, privacy or fair assessment and practicable in the program.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Normal"/>
        <w:spacing w:before="0" w:after="0"/>
        <w:widowControl w:val="1"/>
      </w:pPr>
      <w:r>
        <w:t>6. [Teacher, Student and Institutional Human Authority] Academic professional judgment preserved - The institution shall preserve lawful academic professional judgment and require evidence for consequential outcomes.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Heading2"/>
      </w:pPr>
      <w:bookmarkStart w:id="901422" w:name="_Toc300001421"/>
      <w:r>
        <w:t>Article 39.57: Student Privacy, Age-Appropriate Design and Safety</w:t>
      </w:r>
      <w:bookmarkEnd w:id="901422"/>
    </w:p>
    <w:p>
      <w:pPr>
        <w:pStyle w:val="Normal"/>
        <w:spacing w:before="0" w:after="0"/>
        <w:widowControl w:val="1"/>
      </w:pPr>
      <w:r>
        <w:t>1. [Student Privacy, Age-Appropriate Design and Safety] Student-data minimization - An educational institution and its AI provider shall minimize student data to the lawful educational purpose.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Normal"/>
        <w:spacing w:before="0" w:after="0"/>
        <w:widowControl w:val="1"/>
      </w:pPr>
      <w:r>
        <w:t>2. [Student Privacy, Age-Appropriate Design and Safety] Age-appropriate design - A provider designing AI for children shall assess age-specific foreseeable risks and implement proportionate safeguards.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Normal"/>
        <w:spacing w:before="0" w:after="0"/>
        <w:widowControl w:val="1"/>
      </w:pPr>
      <w:r>
        <w:t>3. [Student Privacy, Age-Appropriate Design and Safety] Parental or student consent as required by law - The institution shall obtain parental or student consent where required by applicable law.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Normal"/>
        <w:spacing w:before="0" w:after="0"/>
        <w:widowControl w:val="1"/>
      </w:pPr>
      <w:r>
        <w:t>4. [Student Privacy, Age-Appropriate Design and Safety] No commercial exploitation of sensitive student data - No provider shall commercially exploit sensitive student data beyond the lawful disclosed purpose and required consent.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Normal"/>
        <w:spacing w:before="0" w:after="0"/>
        <w:widowControl w:val="1"/>
      </w:pPr>
      <w:r>
        <w:t>5. [Student Privacy, Age-Appropriate Design and Safety] Child-safety risk assessment - Before deployment for children, the institution shall assess foreseeable safety, privacy and manipulation risks.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Normal"/>
        <w:spacing w:before="0" w:after="0"/>
        <w:widowControl w:val="1"/>
      </w:pPr>
      <w:r>
        <w:t>6. [Student Privacy, Age-Appropriate Design and Safety] Student data retention and deletion - Student data shall be deleted when its lawful educational retention purpose ends, subject to legal holds.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Heading2"/>
      </w:pPr>
      <w:bookmarkStart w:id="901423" w:name="_Toc300001422"/>
      <w:r>
        <w:t>Article 39.58: Educational Assessment, Integrity and Fairness</w:t>
      </w:r>
      <w:bookmarkEnd w:id="901423"/>
    </w:p>
    <w:p>
      <w:pPr>
        <w:pStyle w:val="Normal"/>
        <w:spacing w:before="0" w:after="0"/>
        <w:widowControl w:val="1"/>
      </w:pPr>
      <w:r>
        <w:t>1. [Educational Assessment, Integrity and Fairness] AI-assisted assessment transparency - The institution shall disclose material AI assessment methods and their limitations to students.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Normal"/>
        <w:spacing w:before="0" w:after="0"/>
        <w:widowControl w:val="1"/>
      </w:pPr>
      <w:r>
        <w:t>2. [Educational Assessment, Integrity and Fairness] No solely automated exclusion or discipline - No institution shall exclude or discipline a student solely on automated output without an accountable human decision.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Normal"/>
        <w:spacing w:before="0" w:after="0"/>
        <w:widowControl w:val="1"/>
      </w:pPr>
      <w:r>
        <w:t>3. [Educational Assessment, Integrity and Fairness] Academic-integrity process - Academic-integrity findings shall rely on corroborated evidence and a fair opportunity to answer rather than an AI-detection score alone.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Normal"/>
        <w:spacing w:before="0" w:after="0"/>
        <w:widowControl w:val="1"/>
      </w:pPr>
      <w:r>
        <w:t>4. [Educational Assessment, Integrity and Fairness] Bias and accessibility testing - The institution shall test material bias and accessibility barriers in its deployed assessment system.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Normal"/>
        <w:spacing w:before="0" w:after="0"/>
        <w:widowControl w:val="1"/>
      </w:pPr>
      <w:r>
        <w:t>5. [Educational Assessment, Integrity and Fairness] Reasonable accommodation - The institution shall provide reasonable accommodations required by applicable law for AI-assisted instruction or assessment.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Normal"/>
        <w:spacing w:before="0" w:after="0"/>
        <w:widowControl w:val="1"/>
      </w:pPr>
      <w:r>
        <w:t>6. [Educational Assessment, Integrity and Fairness] Correction and appeal - A student shall have a practical correction and human appeal pathway for a material AI-influenced error. A school or provider using such a system shall provide age-appropriate notice, document material limitations and data practices, and maintain an accessible process for correction, accommodation, or human reconsideration where the output may materially affect a learner. Nothing in this Part establishes a uniform North American curriculum, requires a school to adopt AI, or prevents a Party, province, state, territory, local authority, Indigenous government, or educational institution from maintaining stronger lawful protections. Where a material adverse outcome results from erroneous data, inaccessible design, or an unreviewed automated determination, the responsible institution shall provide a timely remedy under applicable law and preserve sufficient records to reconstruct the decision.</w:t>
      </w:r>
    </w:p>
    <w:p/>
    <w:p>
      <w:pPr>
        <w:pStyle w:val="Heading2"/>
      </w:pPr>
      <w:bookmarkStart w:id="901424" w:name="_Toc300001423"/>
      <w:r>
        <w:t>Article 39.59: AI Literacy, Verification and Public Capability</w:t>
      </w:r>
      <w:bookmarkEnd w:id="901424"/>
    </w:p>
    <w:p>
      <w:pPr>
        <w:pStyle w:val="Normal"/>
        <w:spacing w:before="0" w:after="0"/>
        <w:widowControl w:val="1"/>
      </w:pPr>
      <w:r>
        <w:t>1. [AI Literacy, Verification and Public Capability] Voluntary public AI literacy - Each Party may support voluntary public AI literacy programs without making participation a condition of ordinary rights. Any mandatory domestic measure shall remain proportionate to the actual risk and consistent with the specialized protections elsewhere in this Agreement. Optional participation shall remain genuinely optional and shall not trigger unrelated retaliation or loss of benefits. Protected information shall use lawful confidential channels, and enforcement remains subject to Articles 39.74 and 39.75.</w:t>
      </w:r>
    </w:p>
    <w:p/>
    <w:p>
      <w:pPr>
        <w:pStyle w:val="Normal"/>
        <w:spacing w:before="0" w:after="0"/>
        <w:widowControl w:val="1"/>
      </w:pPr>
      <w:r>
        <w:t>2. [AI Literacy, Verification and Public Capability] Hallucination and source-checking education - Each Party shall promote guidance on checking consequential factual claims and citations against reliable sources. Any mandatory domestic measure shall remain proportionate to the actual risk and consistent with the specialized protections elsewhere in this Agreement. Optional participation shall remain genuinely optional and shall not trigger unrelated retaliation or loss of benefits. Protected information shall use lawful confidential channels, and enforcement remains subject to Articles 39.74 and 39.75.</w:t>
      </w:r>
    </w:p>
    <w:p/>
    <w:p>
      <w:pPr>
        <w:pStyle w:val="Normal"/>
        <w:spacing w:before="0" w:after="0"/>
        <w:widowControl w:val="1"/>
      </w:pPr>
      <w:r>
        <w:t>3. [AI Literacy, Verification and Public Capability] Uploaded-document contamination awareness - The guidance shall distinguish user-uploaded claims, proposals and fictional material from externally verified facts. Any mandatory domestic measure shall remain proportionate to the actual risk and consistent with the specialized protections elsewhere in this Agreement. Optional participation shall remain genuinely optional and shall not trigger unrelated retaliation or loss of benefits. Protected information shall use lawful confidential channels, and enforcement remains subject to Articles 39.74 and 39.75.</w:t>
      </w:r>
    </w:p>
    <w:p/>
    <w:p>
      <w:pPr>
        <w:pStyle w:val="Normal"/>
        <w:spacing w:before="0" w:after="0"/>
        <w:widowControl w:val="1"/>
      </w:pPr>
      <w:r>
        <w:t>4. [AI Literacy, Verification and Public Capability] Synthetic-media literacy - Each Party may support instruction on identifying synthetic media and deceptive provenance. Any mandatory domestic measure shall remain proportionate to the actual risk and consistent with the specialized protections elsewhere in this Agreement. Optional participation shall remain genuinely optional and shall not trigger unrelated retaliation or loss of benefits. Protected information shall use lawful confidential channels, and enforcement remains subject to Articles 39.74 and 39.75.</w:t>
      </w:r>
    </w:p>
    <w:p/>
    <w:p>
      <w:pPr>
        <w:pStyle w:val="Normal"/>
        <w:spacing w:before="0" w:after="0"/>
        <w:widowControl w:val="1"/>
      </w:pPr>
      <w:r>
        <w:t>5. [AI Literacy, Verification and Public Capability] Professional role-specific competence - Deployers shall ensure role-specific competence for persons using AI in consequential professional decisions. Any mandatory domestic measure shall remain proportionate to the actual risk and consistent with the specialized protections elsewhere in this Agreement. Optional participation shall remain genuinely optional and shall not trigger unrelated retaliation or loss of benefits. Protected information shall use lawful confidential channels, and enforcement remains subject to Articles 39.74 and 39.75.</w:t>
      </w:r>
    </w:p>
    <w:p/>
    <w:p>
      <w:pPr>
        <w:pStyle w:val="Normal"/>
        <w:spacing w:before="0" w:after="0"/>
        <w:widowControl w:val="1"/>
      </w:pPr>
      <w:r>
        <w:t>6. [AI Literacy, Verification and Public Capability] No mandatory continental curriculum - No Party shall be required by this Chapter to adopt a uniform continental curriculum or a compulsory public AI course. Any mandatory domestic measure shall remain proportionate to the actual risk and consistent with the specialized protections elsewhere in this Agreement. Optional participation shall remain genuinely optional and shall not trigger unrelated retaliation or loss of benefits. Protected information shall use lawful confidential channels, and enforcement remains subject to Articles 39.74 and 39.75.</w:t>
      </w:r>
    </w:p>
    <w:p/>
    <w:p>
      <w:pPr>
        <w:pStyle w:val="Heading2"/>
      </w:pPr>
      <w:bookmarkStart w:id="901425" w:name="_Toc300001424"/>
      <w:r>
        <w:t>Article 39.60: AI Cybersecurity, Poisoning and Adversarial Resilience</w:t>
      </w:r>
      <w:bookmarkEnd w:id="901425"/>
    </w:p>
    <w:p>
      <w:pPr>
        <w:pStyle w:val="Normal"/>
        <w:spacing w:before="0" w:after="0"/>
        <w:widowControl w:val="1"/>
      </w:pPr>
      <w:r>
        <w:t>1. [AI Cybersecurity, Poisoning and Adversarial Resilience] Model-poisoning prevention - The provider and deployer shall assess and mitigate material poisoning risks in model and data supply chains.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2. [AI Cybersecurity, Poisoning and Adversarial Resilience] Training-pipeline security - The provider shall secure training inputs, access credentials and release processes against unauthorized modification.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3. [AI Cybersecurity, Poisoning and Adversarial Resilience] Prompt-injection defenses - A tool-enabled deployer shall implement controls against prompt injection and unauthorized instruction escalation.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4. [AI Cybersecurity, Poisoning and Adversarial Resilience] Model extraction protection - The provider shall protect confidential models against unauthorized extraction without preventing lawful review.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5. [AI Cybersecurity, Poisoning and Adversarial Resilience] Credential and tool-access security - The deployer shall limit credentials and tool permissions to the authorized function and revoke compromised access.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6. [AI Cybersecurity, Poisoning and Adversarial Resilience] AI-specific threat intelligence sharing - Authorities shall share material AI threat indicators through existing cybersecurity channels subject to confidentiality and Indigenous-data safeguards in Article 39.65.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Heading2"/>
      </w:pPr>
      <w:bookmarkStart w:id="901426" w:name="_Toc300001425"/>
      <w:r>
        <w:t>Article 39.61: Critical Infrastructure AI Resilience</w:t>
      </w:r>
      <w:bookmarkEnd w:id="901426"/>
    </w:p>
    <w:p>
      <w:pPr>
        <w:pStyle w:val="Normal"/>
        <w:spacing w:before="0" w:after="0"/>
        <w:widowControl w:val="1"/>
      </w:pPr>
      <w:r>
        <w:t>1. [Critical Infrastructure AI Resilience] Critical infrastructure inventory - A critical-infrastructure operator shall inventory AI functions whose failure could materially disrupt essential services.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2. [Critical Infrastructure AI Resilience] Safety-critical redundancy - A safety-critical operator shall maintain redundancy sufficient to prevent foreseeable catastrophic single-function failure.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3. [Critical Infrastructure AI Resilience] Manual or deterministic fallback - The operator shall provide a tested manual or deterministic safe fallback for essential AI-dependent operation.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4. [Critical Infrastructure AI Resilience] Cyber-physical incident containment - A cyber-physical incident shall trigger prompt isolation and containment proportionate to the threatened harm.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5. [Critical Infrastructure AI Resilience] Recovery-time objectives - The operator shall document and test recovery objectives based on the essential service and applicable reliability standards.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6. [Critical Infrastructure AI Resilience] Cross-border continuity coordination - Competent authorities shall coordinate material cross-border continuity risks through existing emergency and cybersecurity channels.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Heading2"/>
      </w:pPr>
      <w:bookmarkStart w:id="901427" w:name="_Toc300001426"/>
      <w:r>
        <w:t>Article 39.62: AI Supply Chain, Vendor and Open-Source Security</w:t>
      </w:r>
      <w:bookmarkEnd w:id="901427"/>
    </w:p>
    <w:p>
      <w:pPr>
        <w:pStyle w:val="Normal"/>
        <w:spacing w:before="0" w:after="0"/>
        <w:widowControl w:val="1"/>
      </w:pPr>
      <w:r>
        <w:t>1. [AI Supply Chain, Vendor and Open-Source Security] Third-party component risk - The deployer shall assess material safety and security risks of third-party AI components before incorporation.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2. [AI Supply Chain, Vendor and Open-Source Security] Vendor due diligence - The deployer shall evaluate vendor security practices, support duties and material unresolved vulnerabilities.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3. [AI Supply Chain, Vendor and Open-Source Security] Software and model provenance - The provider shall maintain provenance and release records for material software, models and datasets.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4. [AI Supply Chain, Vendor and Open-Source Security] Open-source component security - Use of open-source components shall include vulnerability monitoring and lawful patch management rather than a presumption of insecurity.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5. [AI Supply Chain, Vendor and Open-Source Security] Cryptographic agility - A consequential deployer shall plan timely replacement of cryptographic mechanisms that become materially insecure.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6. [AI Supply Chain, Vendor and Open-Source Security] Supply-chain tampering response - A verified supply-chain compromise shall trigger containment, notification where required and review before renewed unsafe reliance.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Heading2"/>
      </w:pPr>
      <w:bookmarkStart w:id="901428" w:name="_Toc300001427"/>
      <w:r>
        <w:t>Article 39.63: Compute Infrastructure, Data Sovereignty, Industrial Capacity and Talent</w:t>
      </w:r>
      <w:bookmarkEnd w:id="901428"/>
    </w:p>
    <w:p>
      <w:pPr>
        <w:pStyle w:val="Normal"/>
        <w:spacing w:before="0" w:after="0"/>
        <w:widowControl w:val="1"/>
      </w:pPr>
      <w:r>
        <w:t>1. [Compute Infrastructure, Data Sovereignty, Industrial Capacity and Talent] Strategic compute and data-centre resilience - Each Party shall assess material continuity dependencies of strategic compute infrastructure and encourage tested resilience arrangements.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2. [Compute Infrastructure, Data Sovereignty, Industrial Capacity and Talent] Sensitive-data sovereignty exceptions - Sensitive-data sovereignty measures shall comply with Article 39.65, Chapter 19 and the applicable specific exception rather than impose general localization by implication.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3. [Compute Infrastructure, Data Sovereignty, Industrial Capacity and Talent] Hardware and AI supply-chain capacity - The Parties may cooperate voluntarily on hardware and AI supply capacity without compulsory procurement or production allocation.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4. [Compute Infrastructure, Data Sovereignty, Industrial Capacity and Talent] SME proportionality and market access - High-risk safeguards shall be administered proportionately for SMEs without excusing mandatory protections or discriminating by nationality.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5. [Compute Infrastructure, Data Sovereignty, Industrial Capacity and Talent] AI talent mobility and researcher exchange - The Parties may facilitate lawful researcher exchange and talent mobility without creating automatic immigration permission.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Normal"/>
        <w:spacing w:before="0" w:after="0"/>
        <w:widowControl w:val="1"/>
      </w:pPr>
      <w:r>
        <w:t>6. [Compute Infrastructure, Data Sovereignty, Industrial Capacity and Talent] No blanket localization or mandatory joint industrial plan - No Party shall require blanket localization or participation in a joint industrial plan solely because an activity uses AI. Cooperation may include information sharing, exercises, standards, mutual assistance, research connectivity, talent development, and contingency planning without creating a blanket localization or common-ownership mandate. National-security, privacy, procurement, competition, energy, environmental, and Indigenous obligations elsewhere in this Agreement remain applicable. Protected information shall use lawful confidential channels, and enforcement remains subject to Articles 39.74 and 39.75.</w:t>
      </w:r>
    </w:p>
    <w:p/>
    <w:p>
      <w:pPr>
        <w:pStyle w:val="Heading2"/>
      </w:pPr>
      <w:bookmarkStart w:id="901429" w:name="_Toc300001428"/>
      <w:r>
        <w:t>Article 39.64: Consumer Protection, Accessibility and Market Fairness</w:t>
      </w:r>
      <w:bookmarkEnd w:id="901429"/>
    </w:p>
    <w:p>
      <w:pPr>
        <w:pStyle w:val="Normal"/>
        <w:spacing w:before="0" w:after="0"/>
        <w:widowControl w:val="1"/>
      </w:pPr>
      <w:r>
        <w:t>1. [Consumer Protection, Accessibility and Market Fairness] Consumer-facing AI identification - A provider shall identify a materially automated consumer-facing service where a reasonable consumer could otherwise believe it is human.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 Protected information shall use lawful confidential channels, and enforcement remains subject to Articles 39.74 and 39.75.</w:t>
      </w:r>
    </w:p>
    <w:p/>
    <w:p>
      <w:pPr>
        <w:pStyle w:val="Normal"/>
        <w:spacing w:before="0" w:after="0"/>
        <w:widowControl w:val="1"/>
      </w:pPr>
      <w:r>
        <w:t>2. [Consumer Protection, Accessibility and Market Fairness] Accessible interfaces - The provider shall make consequential consumer interfaces reasonably accessible under applicable disability law.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 Protected information shall use lawful confidential channels, and enforcement remains subject to Articles 39.74 and 39.75.</w:t>
      </w:r>
    </w:p>
    <w:p/>
    <w:p>
      <w:pPr>
        <w:pStyle w:val="Normal"/>
        <w:spacing w:before="0" w:after="0"/>
        <w:widowControl w:val="1"/>
      </w:pPr>
      <w:r>
        <w:t>3. [Consumer Protection, Accessibility and Market Fairness] Deceptive-practice prohibition - Each Party shall prohibit material deception about AI capability, identity, provenance or consequential performance under its consumer law.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 Protected information shall use lawful confidential channels, and enforcement remains subject to Articles 39.74 and 39.75.</w:t>
      </w:r>
    </w:p>
    <w:p/>
    <w:p>
      <w:pPr>
        <w:pStyle w:val="Normal"/>
        <w:spacing w:before="0" w:after="0"/>
        <w:widowControl w:val="1"/>
      </w:pPr>
      <w:r>
        <w:t>4. [Consumer Protection, Accessibility and Market Fairness] Recommendation and pricing transparency where consequential - A deployer shall explain material factors in consequential automated pricing or recommendations where needed for lawful review.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 Protected information shall use lawful confidential channels, and enforcement remains subject to Articles 39.74 and 39.75.</w:t>
      </w:r>
    </w:p>
    <w:p/>
    <w:p>
      <w:pPr>
        <w:pStyle w:val="Normal"/>
        <w:spacing w:before="0" w:after="0"/>
        <w:widowControl w:val="1"/>
      </w:pPr>
      <w:r>
        <w:t>5. [Consumer Protection, Accessibility and Market Fairness] Credit and insurance fairness cross-reference - AI credit and insurance decisions shall preserve the applicable financial-services and non-discrimination protections.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 Protected information shall use lawful confidential channels, and enforcement remains subject to Articles 39.74 and 39.75.</w:t>
      </w:r>
    </w:p>
    <w:p/>
    <w:p>
      <w:pPr>
        <w:pStyle w:val="Normal"/>
        <w:spacing w:before="0" w:after="0"/>
        <w:widowControl w:val="1"/>
      </w:pPr>
      <w:r>
        <w:t>6. [Consumer Protection, Accessibility and Market Fairness] Low-cost complaint and correction channels - Each Party shall provide an accessible low-cost complaint and material-error correction route for covered consumer decisions. A person materially affected by an erroneous AI-assisted consumer decision shall have a practical route to obtain correction or human review where required by applicable law. The presence of AI does not create a general liability cap or immunize conduct that would otherwise be unlawful. Protected information shall use lawful confidential channels, and enforcement remains subject to Articles 39.74 and 39.75.</w:t>
      </w:r>
    </w:p>
    <w:p/>
    <w:p>
      <w:pPr>
        <w:pStyle w:val="Heading2"/>
      </w:pPr>
      <w:bookmarkStart w:id="901430" w:name="_Toc300001429"/>
      <w:r>
        <w:t>Article 39.65: Indigenous Data and AI Governance</w:t>
      </w:r>
      <w:bookmarkEnd w:id="901430"/>
    </w:p>
    <w:p>
      <w:pPr>
        <w:pStyle w:val="Normal"/>
        <w:spacing w:before="0" w:after="0"/>
        <w:widowControl w:val="1"/>
      </w:pPr>
      <w:r>
        <w:t>1. [Indigenous Data and AI Governance] Indigenous data governance cross-reference - Each Party shall respect legally recognized Indigenous community authority and applicable consent rights over culturally sensitive data used in AI.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 Protected information shall use lawful confidential channels, and enforcement remains subject to Articles 39.74 and 39.75.</w:t>
      </w:r>
    </w:p>
    <w:p/>
    <w:p>
      <w:pPr>
        <w:pStyle w:val="Normal"/>
        <w:spacing w:before="0" w:after="0"/>
        <w:widowControl w:val="1"/>
      </w:pPr>
      <w:r>
        <w:t>2. [Indigenous Data and AI Governance] Cultural and traditional-knowledge protection - A provider or deployer shall not use protected traditional knowledge or cultural data contrary to applicable Indigenous rights, consent conditions or lawful confidentiality restrictions.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 Protected information shall use lawful confidential channels, and enforcement remains subject to Articles 39.74 and 39.75.</w:t>
      </w:r>
    </w:p>
    <w:p/>
    <w:p>
      <w:pPr>
        <w:pStyle w:val="Normal"/>
        <w:spacing w:before="0" w:after="0"/>
        <w:widowControl w:val="1"/>
      </w:pPr>
      <w:r>
        <w:t>3. [Indigenous Data and AI Governance] Voluntary community data sharing - Community data sharing shall be voluntary and governed by documented scope, authorized uses and agreed benefit-sharing terms.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 Protected information shall use lawful confidential channels, and enforcement remains subject to Articles 39.74 and 39.75.</w:t>
      </w:r>
    </w:p>
    <w:p/>
    <w:p>
      <w:pPr>
        <w:pStyle w:val="Normal"/>
        <w:spacing w:before="0" w:after="0"/>
        <w:widowControl w:val="1"/>
      </w:pPr>
      <w:r>
        <w:t>4. [Indigenous Data and AI Governance] No inferred consent from public availability - Public availability alone shall not constitute community consent to train, profile, reconstruct or commercially exploit culturally sensitive data.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 Protected information shall use lawful confidential channels, and enforcement remains subject to Articles 39.74 and 39.75.</w:t>
      </w:r>
    </w:p>
    <w:p/>
    <w:p>
      <w:pPr>
        <w:pStyle w:val="Normal"/>
        <w:spacing w:before="0" w:after="0"/>
        <w:widowControl w:val="1"/>
      </w:pPr>
      <w:r>
        <w:t>5. [Indigenous Data and AI Governance] Community participation in relevant AI projects - A materially affected Indigenous community shall receive information and a meaningful opportunity to participate before a project uses its protected community data.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 Protected information shall use lawful confidential channels, and enforcement remains subject to Articles 39.74 and 39.75.</w:t>
      </w:r>
    </w:p>
    <w:p/>
    <w:p>
      <w:pPr>
        <w:pStyle w:val="Normal"/>
        <w:spacing w:before="0" w:after="0"/>
        <w:widowControl w:val="1"/>
      </w:pPr>
      <w:r>
        <w:t>6. [Indigenous Data and AI Governance] Stronger domestic and Indigenous protections preserved - This Article preserves stronger lawful Indigenous protections and applies consistently with Articles 32.5 and 19.12 without an implied blanket localization exception. Public availability of information does not by itself establish community consent to train, profile, reconstruct, or commercially exploit culturally sensitive data. Voluntary community participation, benefit sharing, stronger Indigenous protections, and lawful restrictions on sensitive knowledge remain permitted. Protected information shall use lawful confidential channels, and enforcement remains subject to Articles 39.74 and 39.75.</w:t>
      </w:r>
    </w:p>
    <w:p/>
    <w:p>
      <w:pPr>
        <w:spacing w:before="0" w:after="0"/>
        <w:widowControl w:val="1"/>
      </w:pPr>
      <w:r>
        <w:t>7. INDIGENOUS DATA RIGHTS AND REVIEW. Article 39.65 itself supplies the AI data safeguards and incorporates legally recognized collective authority, protected traditional knowledge, meaningful consent where legally required and documented agreed use conditions, rather than relying on an absent external data article. The competent domestic authority reviews alleged misuse on evidence of the protected data, rights holder, applicable legal or agreed restriction and unauthorized use. It provides notice, protected participation and correction or cessation under Article 39.74 without presuming that every publicly available item is restricted or that public availability alone proves consent. Article 32.5 and Chapter 19 remain applicable on their express conditions, and a sensitive-knowledge restriction must have a particularized lawful basis rather than a nationality-based or blanket localization rule.</w:t>
      </w:r>
    </w:p>
    <w:p/>
    <w:p>
      <w:pPr>
        <w:pStyle w:val="Heading2"/>
      </w:pPr>
      <w:bookmarkStart w:id="901431" w:name="_Toc300001430"/>
      <w:r>
        <w:t>Article 39.66: Research, Open Science, Sandboxes and Environmental Applications</w:t>
      </w:r>
      <w:bookmarkEnd w:id="901431"/>
    </w:p>
    <w:p>
      <w:pPr>
        <w:pStyle w:val="Normal"/>
        <w:spacing w:before="0" w:after="0"/>
        <w:widowControl w:val="1"/>
      </w:pPr>
      <w:r>
        <w:t>1. [Research, Open Science, Sandboxes and Environmental Applications] Precompetitive AI safety research - The Parties may support voluntary precompetitive AI safety research and share non-confidential findings. Participation may be conditioned on privacy, cybersecurity, research-integrity, environmental, and intellectual-property safeguards appropriate to the project. Refusal to participate in an optional project does not constitute breach or justify reduced unrelated treaty benefits. Protected information shall use lawful confidential channels, and enforcement remains subject to Articles 39.74 and 39.75.</w:t>
      </w:r>
    </w:p>
    <w:p/>
    <w:p>
      <w:pPr>
        <w:pStyle w:val="Normal"/>
        <w:spacing w:before="0" w:after="0"/>
        <w:widowControl w:val="1"/>
      </w:pPr>
      <w:r>
        <w:t>2. [Research, Open Science, Sandboxes and Environmental Applications] Regulatory sandboxes - A competent domestic regulator may authorize a bounded sandbox with stated admission, safety and exit conditions. Participation may be conditioned on privacy, cybersecurity, research-integrity, environmental, and intellectual-property safeguards appropriate to the project. Refusal to participate in an optional project does not constitute breach or justify reduced unrelated treaty benefits. Protected information shall use lawful confidential channels, and enforcement remains subject to Articles 39.74 and 39.75.</w:t>
      </w:r>
    </w:p>
    <w:p/>
    <w:p>
      <w:pPr>
        <w:pStyle w:val="Normal"/>
        <w:spacing w:before="0" w:after="0"/>
        <w:widowControl w:val="1"/>
      </w:pPr>
      <w:r>
        <w:t>3. [Research, Open Science, Sandboxes and Environmental Applications] Open science without forced trade-secret disclosure - Open-science cooperation shall not compel disclosure of protected source code, model weights or trade secrets. Participation may be conditioned on privacy, cybersecurity, research-integrity, environmental, and intellectual-property safeguards appropriate to the project. Refusal to participate in an optional project does not constitute breach or justify reduced unrelated treaty benefits. Protected information shall use lawful confidential channels, and enforcement remains subject to Articles 39.74 and 39.75.</w:t>
      </w:r>
    </w:p>
    <w:p/>
    <w:p>
      <w:pPr>
        <w:pStyle w:val="Normal"/>
        <w:spacing w:before="0" w:after="0"/>
        <w:widowControl w:val="1"/>
      </w:pPr>
      <w:r>
        <w:t>4. [Research, Open Science, Sandboxes and Environmental Applications] Shared testbeds and benchmarks - The Parties may establish voluntary shared testbeds and benchmarks through existing research institutions. Participation may be conditioned on privacy, cybersecurity, research-integrity, environmental, and intellectual-property safeguards appropriate to the project. Refusal to participate in an optional project does not constitute breach or justify reduced unrelated treaty benefits. Protected information shall use lawful confidential channels, and enforcement remains subject to Articles 39.74 and 39.75.</w:t>
      </w:r>
    </w:p>
    <w:p/>
    <w:p>
      <w:pPr>
        <w:pStyle w:val="Normal"/>
        <w:spacing w:before="0" w:after="0"/>
        <w:widowControl w:val="1"/>
      </w:pPr>
      <w:r>
        <w:t>5. [Research, Open Science, Sandboxes and Environmental Applications] Resource-efficient AI research - The Parties may support research reducing AI energy, water and material consumption with documented measurement methods. Participation may be conditioned on privacy, cybersecurity, research-integrity, environmental, and intellectual-property safeguards appropriate to the project. Refusal to participate in an optional project does not constitute breach or justify reduced unrelated treaty benefits. Protected information shall use lawful confidential channels, and enforcement remains subject to Articles 39.74 and 39.75.</w:t>
      </w:r>
    </w:p>
    <w:p/>
    <w:p>
      <w:pPr>
        <w:pStyle w:val="Normal"/>
        <w:spacing w:before="0" w:after="0"/>
        <w:widowControl w:val="1"/>
      </w:pPr>
      <w:r>
        <w:t>6. [Research, Open Science, Sandboxes and Environmental Applications] Environmental and disaster-response applications - Environmental and disaster-response AI pilots shall preserve mandatory safety, privacy and lawful permitting requirements. Participation may be conditioned on privacy, cybersecurity, research-integrity, environmental, and intellectual-property safeguards appropriate to the project. Refusal to participate in an optional project does not constitute breach or justify reduced unrelated treaty benefits. Protected information shall use lawful confidential channels, and enforcement remains subject to Articles 39.74 and 39.75.</w:t>
      </w:r>
    </w:p>
    <w:p/>
    <w:p>
      <w:pPr>
        <w:pStyle w:val="Heading2"/>
      </w:pPr>
      <w:bookmarkStart w:id="901432" w:name="_Toc300001431"/>
      <w:r>
        <w:t>Article 39.67: Military and National-Security AI Safeguards</w:t>
      </w:r>
      <w:bookmarkEnd w:id="901432"/>
    </w:p>
    <w:p>
      <w:pPr>
        <w:pStyle w:val="Normal"/>
        <w:spacing w:before="0" w:after="0"/>
        <w:widowControl w:val="1"/>
      </w:pPr>
      <w:r>
        <w:t>1. [Military and National-Security AI Safeguards] Human responsibility for consequential military AI - Each Party shall maintain an identifiable legally accountable human chain for consequential military AI decisions under applicable law. No Party may treat autonomous or semi-autonomous operation as eliminating responsibility that would otherwise attach to a commander, operator, procuring authority, provider, or other responsible person.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[Military and National-Security AI Safeguards] Lawful authority remains required - Military or security AI use shall require the lawful authority otherwise applicable to the underlying action. AI may assist an authorized function, but it does not create new substantive governmental power by itself.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[Military and National-Security AI Safeguards] Auditability appropriate to security context - The responsible authority shall retain auditable decision and authorization records with security-appropriate access controls. This paragraph does not require public disclosure of classified tactics, intelligence sources, model weights, targeting data, or other protected information.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[Military and National-Security AI Safeguards] Civilian-protection and humanitarian-law savings - Nothing in this Chapter displaces applicable humanitarian law or civilian-protection duties. An AI recommendation shall not be treated as a substitute for a legally required human judgment merely because the system processes information faster or at greater scale.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[Military and National-Security AI Safeguards] No AI accountability shield - No authority shall treat AI involvement as an exemption from otherwise applicable legal accountability. Responsibility shall be assessed under the same substantive legal standards that would apply to the underlying conduct, with due regard to the actual role played by the AI system.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[Military and National-Security AI Safeguards] Operational doctrine and targeting details excluded from this Chapter - This Chapter requires no disclosure of operational doctrine, targeting details or classified intelligence contrary to Article 32.2 as replaced. The military application catalogue from source or is therefore not transformed into mandatory NAESTMA operational doctrine.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33" w:name="_Toc300001432"/>
      <w:r>
        <w:t>Article 39.68: Cognitive Liberty and Freedom of AI-Assisted Thought</w:t>
      </w:r>
      <w:bookmarkEnd w:id="901433"/>
    </w:p>
    <w:p>
      <w:pPr>
        <w:pStyle w:val="Normal"/>
        <w:spacing w:before="0" w:after="0"/>
        <w:widowControl w:val="1"/>
      </w:pPr>
      <w:r>
        <w:t>1. [Cognitive Liberty and Freedom of AI-Assisted Thought] Freedom to inquire and explore with AI - No authority shall infer incapacity or mental disorder merely from a person's lawful inquiry or exploration with AI. Equivalent intellectual or expressive conduct shall not receive a more adverse inference merely because an AI system participated in the conversation.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[Cognitive Liberty and Freedom of AI-Assisted Thought] Unconventional AI use is not pathology - Unconventional AI use alone shall not be treated as evidence of pathology. Actual symptoms, conduct, functioning, and independently established risk factors may be considered under ordinary law and clinical standards, but the technology used for conversation shall not substitute for those criteria.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[Cognitive Liberty and Freedom of AI-Assisted Thought] Creative roleplay and imaginative engagement - Lawful creative roleplay and imaginative engagement with AI shall not alone justify an adverse mental-health determination. A fictional statement or roleplayed belief shall not be treated as a real-world belief without evidence that the person actually holds or acts upon it outside the fictional context.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[Cognitive Liberty and Freedom of AI-Assisted Thought] Religious philosophical and existential engagement - Lawful religious, philosophical or existential engagement with AI shall not alone establish mental disorder or incapacity. The same substantive standards that protect comparable human conversation, private writing, study, prayer, art, or philosophical exploration shall apply.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[Cognitive Liberty and Freedom of AI-Assisted Thought] Anthropomorphic language and personification - Anthropomorphic language or personification of AI alone shall not establish dangerousness or legal incompetence. An adverse inference requires evidence concerning the person's actual functioning or conduct that would be relevant regardless of the AI context.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[Cognitive Liberty and Freedom of AI-Assisted Thought] No adverse inference from emotional significance alone - Emotional significance attributed to AI alone shall not establish the independent clinical evidence required for an adverse mental-health decision. Nothing prevents ordinary clinical consideration of independently established symptoms or risks when the same standard would apply to a comparable human relationship or activity.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34" w:name="_Toc300001433"/>
      <w:r>
        <w:t>Article 39.69: Mental-Health Nondiscrimination and Diagnostic Integrity</w:t>
      </w:r>
      <w:bookmarkEnd w:id="901434"/>
    </w:p>
    <w:p>
      <w:pPr>
        <w:pStyle w:val="Normal"/>
        <w:spacing w:before="0" w:after="0"/>
        <w:widowControl w:val="1"/>
      </w:pPr>
      <w:r>
        <w:t>1. [Mental-Health Nondiscrimination and Diagnostic Integrity] AI use alone is not diagnosis - Mere AI use shall not constitute independent clinical evidence of mental disorder, incapacity or dangerousness. No person shall lose a protected interest solely on an inference of incapacity, mental disorder or dangerousness drawn from AI use; independent lawful evidence of misconduct remains reviewable under ordinary law.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[Mental-Health Nondiscrimination and Diagnostic Integrity] Anti-proxy rule for AI-use metrics - AI-use metrics shall not be used as a proxy for mental disorder or incapacity in a consequential decision. A covered institution may consider independently relevant conduct or functioning, but it shall not disguise AI-use frequency or style as clinical evidence.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[Mental-Health Nondiscrimination and Diagnostic Integrity] No pseudo-diagnostic substitute - A nonclinical score or label derived from AI interaction shall not replace a diagnosis under applicable clinical standards. Such terminology may be discussed descriptively in research or clinical records, but it shall not acquire independent diagnostic force merely through repetition or publication.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[Mental-Health Nondiscrimination and Diagnostic Integrity] Independent clinical criteria - An adverse mental-health determination shall rely on qualified independent clinical assessment and ordinary lawful criteria. Correlation, temporal association, novelty, or unusual interaction shall not by itself establish medical causation.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[Mental-Health Nondiscrimination and Diagnostic Integrity] No automated psychiatric inference from AI-use patterns - A provider or deployer shall not impose an automated psychiatric conclusion solely from AI-use patterns. Automated flags may support lawful review of independently relevant conduct only where they do not replace individualized assessment and the person retains applicable procedural protections.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[Mental-Health Nondiscrimination and Diagnostic Integrity] No deprivation of rights solely or substantially from AI use - No person shall be deprived of a protected interest solely on an inference of incapacity, mental disorder or dangerousness drawn from AI use. Any lawful deprivation or restriction must satisfy the same substantive criteria and burden that would apply if no AI system had been used.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spacing w:before="0" w:after="0"/>
        <w:widowControl w:val="1"/>
      </w:pPr>
      <w:r>
        <w:t>7. MENTAL HEALTH CAUSAL TEST AND LAWFUL MISCONDUCT. Articles 39.68 through 39.71 prohibit adverse mental-health or incapacity inferences based solely on AI use, its emotional significance or unconventional interaction, and use that same causal threshold throughout. They do not excuse independently evidenced fraud, academic misconduct, breach of a lawful AI-use rule or another ordinary violation merely because AI was involved. Each Party shall give effect to the provider and decision-maker duties through Article 39.74, with clinical findings based on qualified independent criteria and protected private conversations. A lawful particularized notice limitation under Article 39.70(3) may protect specified sensitive detail, but the affected person retains a meaningful summary and opportunity to rebut the substantive adverse basis before final coercive action where safe and practicable.</w:t>
      </w:r>
    </w:p>
    <w:p/>
    <w:p>
      <w:pPr>
        <w:pStyle w:val="Heading2"/>
      </w:pPr>
      <w:bookmarkStart w:id="901435" w:name="_Toc300001434"/>
      <w:r>
        <w:t>Article 39.70: AI Conversation Privacy and Mental-Health Procedural Safeguards</w:t>
      </w:r>
      <w:bookmarkEnd w:id="901435"/>
    </w:p>
    <w:p>
      <w:pPr>
        <w:pStyle w:val="Normal"/>
        <w:spacing w:before="0" w:after="0"/>
        <w:widowControl w:val="1"/>
      </w:pPr>
      <w:r>
        <w:t>1. [AI Conversation Privacy and Mental-Health Procedural Safeguards] Heightened privacy for AI conversations - Providers and authorities shall protect private AI conversations through purpose limitation and lawful access safeguards. Access, disclosure, or compulsory use should be necessary, particularized, proportionate, and limited to information materially relevant to the lawful purpose asserted.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[AI Conversation Privacy and Mental-Health Procedural Safeguards] No psychiatric fishing expedition - No authority shall compel broad AI-conversation disclosure merely to search for psychiatric evidence without particularized lawful grounds. Where compulsory access is lawful, collection shall be no broader than reasonably necessary and shall respect applicable privilege, confidentiality, evidentiary, constitutional, and human-rights safeguards.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[AI Conversation Privacy and Mental-Health Procedural Safeguards] Notice when AI-use data is considered - A decision-maker shall notify a person when AI-use data materially supports an adverse mental-health decision unless a specific lawful safety or confidentiality exception applies. The notice should identify the data or inference being relied upon with enough specificity to permit meaningful response.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[AI Conversation Privacy and Mental-Health Procedural Safeguards] Opportunity to rebut and contextualize - The person shall receive the material basis and an effective opportunity to rebut and contextualize adverse AI-use evidence. The decision-maker shall consider relevant context, including fiction, roleplay, quotation, research, creative writing, hypothetical discussion, and statements generated by the AI rather than authored by the person.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[AI Conversation Privacy and Mental-Health Procedural Safeguards] Independent review of coercive determinations - A coercive mental-health determination shall have independent qualified human review under ordinary applicable law. A reviewing authority should disregard an AI-use proxy or pseudo-diagnostic label that could not lawfully support the determination on its own.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[AI Conversation Privacy and Mental-Health Procedural Safeguards] Safety exception requires independent evidence under ordinary law - Urgent safety action shall require independent evidence meeting ordinary law and shall not rest solely on unconventional AI use. The exception does not permit AI-use frequency, unusual content, or emotional attachment alone to become a shortcut around ordinary requirements for danger, incapacity, consent, due process, or clinical judgment.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36" w:name="_Toc300001435"/>
      <w:r>
        <w:t>Article 39.71: Provider and Clinical Mental-Health Safeguards</w:t>
      </w:r>
      <w:bookmarkEnd w:id="901436"/>
    </w:p>
    <w:p>
      <w:pPr>
        <w:pStyle w:val="Normal"/>
        <w:spacing w:before="0" w:after="0"/>
        <w:widowControl w:val="1"/>
      </w:pPr>
      <w:r>
        <w:t>1. [Provider and Clinical Mental-Health Safeguards] No deliberate dangerous reinforcement - A provider shall not knowingly design a service to reinforce an identified imminent serious danger to the user or others. Safeguards should be proportionate and should not convert unusual, spiritual, fictional, political, or philosophical conversation into a psychiatric label.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[Provider and Clinical Mental-Health Safeguards] No encouragement of self-harm or violence - A provider shall not intentionally encourage a user to commit self-harm or unlawful violence. Appropriate crisis-resource or de-escalation features may be used without automatically diagnosing the user or reporting lawful private speech merely because distressing subjects are discussed.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[Provider and Clinical Mental-Health Safeguards] No false clinician impersonation - A provider shall not falsely represent an AI service as a licensed clinician or a human clinical professional. A system may provide clearly described informational or supportive functions consistent with applicable law without claiming a professional identity it does not possess.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[Provider and Clinical Mental-Health Safeguards] No unsupported diagnostic claims - A provider shall not present an unsupported automated psychiatric inference as a verified clinical diagnosis. General informational discussion of symptoms or mental-health concepts does not by itself constitute diagnosis when limitations and role are accurately represented.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[Provider and Clinical Mental-Health Safeguards] Proportionate crisis-resource design - A provider shall implement proportionate access to crisis resources when credible independent indicators establish an imminent serious safety risk. Such features should minimize unnecessary surveillance and should not create a presumption that every discussion of death, violence, trauma, despair, unusual beliefs, or self-harm reflects imminent danger.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[Provider and Clinical Mental-Health Safeguards] User protection remains separate from provider regulation - Regulation of a provider's unsafe design shall not itself justify a mental-health inference against a user merely for using the service. The treaty shall protect the user from proxy discrimination while permitting proportionate regulation of provider conduct that creates independently established safety risks.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37" w:name="_Toc300001436"/>
      <w:r>
        <w:t>Article 39.72: Agentic, Embodied and Emerging AI</w:t>
      </w:r>
      <w:bookmarkEnd w:id="901437"/>
    </w:p>
    <w:p>
      <w:pPr>
        <w:pStyle w:val="Normal"/>
        <w:spacing w:before="0" w:after="0"/>
        <w:widowControl w:val="1"/>
      </w:pPr>
      <w:r>
        <w:t>1. [Agentic, Embodied and Emerging AI] Agent authority boundaries - A deployer shall define and enforce the purposes, transaction limits and prohibited acts of an autonomous agent.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 Protected information shall use lawful confidential channels, and enforcement remains subject to Articles 39.74 and 39.75.</w:t>
      </w:r>
    </w:p>
    <w:p/>
    <w:p>
      <w:pPr>
        <w:pStyle w:val="Normal"/>
        <w:spacing w:before="0" w:after="0"/>
        <w:widowControl w:val="1"/>
      </w:pPr>
      <w:r>
        <w:t>2. [Agentic, Embodied and Emerging AI] Tool and transaction permissions - Tool and transaction permissions shall require explicit authorization, least privilege and revocation capability.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 Protected information shall use lawful confidential channels, and enforcement remains subject to Articles 39.74 and 39.75.</w:t>
      </w:r>
    </w:p>
    <w:p/>
    <w:p>
      <w:pPr>
        <w:pStyle w:val="Normal"/>
        <w:spacing w:before="0" w:after="0"/>
        <w:widowControl w:val="1"/>
      </w:pPr>
      <w:r>
        <w:t>3. [Agentic, Embodied and Emerging AI] Multi-agent accountability - The deployer shall identify an accountable legal person for coordinated agents and preserve a traceable allocation of decision responsibility.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 Protected information shall use lawful confidential channels, and enforcement remains subject to Articles 39.74 and 39.75.</w:t>
      </w:r>
    </w:p>
    <w:p/>
    <w:p>
      <w:pPr>
        <w:pStyle w:val="Normal"/>
        <w:spacing w:before="0" w:after="0"/>
        <w:widowControl w:val="1"/>
      </w:pPr>
      <w:r>
        <w:t>4. [Agentic, Embodied and Emerging AI] Embodied AI physical-safety interface - Embodied AI shall have tested physical safety limits, emergency stop and legally responsible operation.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 Protected information shall use lawful confidential channels, and enforcement remains subject to Articles 39.74 and 39.75.</w:t>
      </w:r>
    </w:p>
    <w:p/>
    <w:p>
      <w:pPr>
        <w:pStyle w:val="Normal"/>
        <w:spacing w:before="0" w:after="0"/>
        <w:widowControl w:val="1"/>
      </w:pPr>
      <w:r>
        <w:t>5. [Agentic, Embodied and Emerging AI] Self-modifying system revalidation - A self-modifying system shall revalidate materially risk-affecting changes before consequential reliance.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 Protected information shall use lawful confidential channels, and enforcement remains subject to Articles 39.74 and 39.75.</w:t>
      </w:r>
    </w:p>
    <w:p/>
    <w:p>
      <w:pPr>
        <w:pStyle w:val="Normal"/>
        <w:spacing w:before="0" w:after="0"/>
        <w:widowControl w:val="1"/>
      </w:pPr>
      <w:r>
        <w:t>6. [Agentic, Embodied and Emerging AI] Emerging-technology horizon review - The existing digital-trade committee shall review emerging capabilities in its scheduled review without expanding obligations through guidance alone. Delegation to an agent does not eliminate the responsibility of the provider, deployer, operator, principal, or other person who is responsible under applicable law. A material expansion of permissions, autonomy, self-modification, or physical control shall trigger risk reclassification or revalidation where the change could materially alter foreseeable harm. Protected information shall use lawful confidential channels, and enforcement remains subject to Articles 39.74 and 39.75.</w:t>
      </w:r>
    </w:p>
    <w:p/>
    <w:p>
      <w:pPr>
        <w:pStyle w:val="Heading2"/>
      </w:pPr>
      <w:bookmarkStart w:id="901438" w:name="_Toc300001437"/>
      <w:r>
        <w:t>Article 39.73: Interoperability, International Standards and Regulatory Cooperation</w:t>
      </w:r>
      <w:bookmarkEnd w:id="901438"/>
    </w:p>
    <w:p>
      <w:pPr>
        <w:pStyle w:val="Normal"/>
        <w:spacing w:before="0" w:after="0"/>
        <w:widowControl w:val="1"/>
      </w:pPr>
      <w:r>
        <w:t>1. [Interoperability, International Standards and Regulatory Cooperation] Existing AI Regulatory Cooperation Track - The existing AI Regulatory Cooperation Track shall coordinate optional technical cooperation through the Committee on Digital Trade Cooperation.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 Protected information shall use lawful confidential channels, and enforcement remains subject to Articles 39.74 and 39.75.</w:t>
      </w:r>
    </w:p>
    <w:p/>
    <w:p>
      <w:pPr>
        <w:pStyle w:val="Normal"/>
        <w:spacing w:before="0" w:after="0"/>
        <w:widowControl w:val="1"/>
      </w:pPr>
      <w:r>
        <w:t>2. [Interoperability, International Standards and Regulatory Cooperation] Recognition of materially equivalent outcomes - A competent authority may recognize materially equivalent safety and rights outcomes on documented evidence.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 Protected information shall use lawful confidential channels, and enforcement remains subject to Articles 39.74 and 39.75.</w:t>
      </w:r>
    </w:p>
    <w:p/>
    <w:p>
      <w:pPr>
        <w:pStyle w:val="Normal"/>
        <w:spacing w:before="0" w:after="0"/>
        <w:widowControl w:val="1"/>
      </w:pPr>
      <w:r>
        <w:t>3. [Interoperability, International Standards and Regulatory Cooperation] No automatic equivalence - No provision establishes automatic regulatory equivalence or removes a domestic approval requirement.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 Protected information shall use lawful confidential channels, and enforcement remains subject to Articles 39.74 and 39.75.</w:t>
      </w:r>
    </w:p>
    <w:p/>
    <w:p>
      <w:pPr>
        <w:pStyle w:val="Normal"/>
        <w:spacing w:before="0" w:after="0"/>
        <w:widowControl w:val="1"/>
      </w:pPr>
      <w:r>
        <w:t>4. [Interoperability, International Standards and Regulatory Cooperation] Standards participation - The Parties may participate voluntarily in relevant standards bodies without mandatory adoption of a named standard.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 Protected information shall use lawful confidential channels, and enforcement remains subject to Articles 39.74 and 39.75.</w:t>
      </w:r>
    </w:p>
    <w:p/>
    <w:p>
      <w:pPr>
        <w:pStyle w:val="Normal"/>
        <w:spacing w:before="0" w:after="0"/>
        <w:widowControl w:val="1"/>
      </w:pPr>
      <w:r>
        <w:t>5. [Interoperability, International Standards and Regulatory Cooperation] Cross-border regulatory information exchange - Competent authorities shall exchange material regulatory information through existing protected channels within their lawful mandates.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 Protected information shall use lawful confidential channels, and enforcement remains subject to Articles 39.74 and 39.75.</w:t>
      </w:r>
    </w:p>
    <w:p/>
    <w:p>
      <w:pPr>
        <w:pStyle w:val="Normal"/>
        <w:spacing w:before="0" w:after="0"/>
        <w:widowControl w:val="1"/>
      </w:pPr>
      <w:r>
        <w:t>6. [Interoperability, International Standards and Regulatory Cooperation] Five-year adaptive review without forced harmonization - The Committee on Digital Trade Cooperation shall review adaptation needs every five years after Protocol entry into force and publish non-confidential recommendations without forced harmonization. Recognition or reliance may be based on materially equivalent outcomes, but no Party is required to accept another Party's rule merely because it concerns the same technology. International standards may inform implementation without automatically acquiring binding treaty status unless incorporated through the procedures of this Agreement. Protected information shall use lawful confidential channels, and enforcement remains subject to Articles 39.74 and 39.75.</w:t>
      </w:r>
    </w:p>
    <w:p/>
    <w:p>
      <w:pPr>
        <w:spacing w:before="0" w:after="0"/>
        <w:widowControl w:val="1"/>
      </w:pPr>
      <w:r>
        <w:t>7. ADAPTIVE REVIEW PASSPORT AND COOPERATION PRECISION. The Committee on Digital Trade Cooperation conducts Article 39.73's five-year adaptive review and Article 39.130's twenty-four-month operational review from Protocol entry into force, coordinating reports when dates coincide without changing either deadline. Pact in Article 39.13 means the voluntary North American Semiconductor Security and Competitiveness cooperation arrangement administered by the Subcommittee, and a North American Semiconductor Passport is an authenticated optional origin and traceability record issued by the competent exporting customs authority and verified by the importer under Chapters 4 and 5. Article 39.4(2) consultation convenes through the Committee on Rules of Origin and Origin Procedures within ten days after a Party request, and literacy provisions create one compatible promotion duty rather than duplicate curricula. Article 39.74(6) includes Chapters 19, 23, 23-B, 31 and 32 expressly, and no passport, terminology correction or review creates a new origin entitlement or body.</w:t>
      </w:r>
    </w:p>
    <w:p/>
    <w:p>
      <w:pPr>
        <w:pStyle w:val="Heading2"/>
      </w:pPr>
      <w:bookmarkStart w:id="901439" w:name="_Toc300001438"/>
      <w:r>
        <w:t>Article 39.74: Institutions, Remedies, Optionality and Closing Rules</w:t>
      </w:r>
      <w:bookmarkEnd w:id="901439"/>
    </w:p>
    <w:p>
      <w:pPr>
        <w:pStyle w:val="Normal"/>
        <w:spacing w:before="0" w:after="0"/>
        <w:widowControl w:val="1"/>
      </w:pPr>
      <w:r>
        <w:t>1. [Institutions, Remedies, Optionality and Closing Rules] Existing institutions first - Each Party shall administer mandatory AI safeguards through its existing competent authorities and treaty forums. No commission, office, registry, observatory, board, tribunal, or permanent AI body is created merely because a provision contemplates cooperation, reporting, review, or technical work.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[Institutions, Remedies, Optionality and Closing Rules] Risk-proportionate cure and corrective action - Domestic enforcement shall begin with reasoned notice, factual verification and a proportionate cure opportunity except for necessary urgent protection. Corrective action may include cessation of the inconsistent practice, correction of affected records, revalidation, improved controls, make-whole relief where otherwise authorized by law, or another remedy appropriate to the underlying Chapter.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[Institutions, Remedies, Optionality and Closing Rules] No tariff or unrelated retaliation - An AI violation shall not itself authorize a tariff or unrelated retaliation and any treaty remedy shall satisfy Chapters 31 and 35. Any trade remedy otherwise available under this Agreement remains subject to Chapter 31, Chapter 35, the tariff cage, proportionality, issue nexus, and all applicable cure and review requirements.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[Institutions, Remedies, Optionality and Closing Rules] Optional cooperation firewall - Refusal of optional cooperation shall not be treated as breach or a ground to reduce ordinary treaty benefits. Refusal to participate, lawful withdrawal, or non-renewal shall not constitute breach, justify retaliation, reduce unrelated benefits, or create an adverse inference concerning compliance with the mandatory core.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[Institutions, Remedies, Optionality and Closing Rules] Specialized-chapter precedence and no double recovery - Article 39.75 supplies the Chapter-wide conflict rule and duplicate recovery for the same loss is prohibited. Parallel procedures shall coordinate to avoid contradictory findings, stacked punishment, or double recovery for the same injury while preserving urgent protective relief.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[Institutions, Remedies, Optionality and Closing Rules] Relationship to Chapters 19 23 23-B 31 32 and stronger domestic law - Parts B and C shall operate consistently with Chapters 19, 23, 23-B, 31 and 32 and stronger lawful domestic protections. A Party may maintain or adopt stronger lawful AI protections, and functionally equivalent implementation remains available where required by constitutional competence, provided the substantive obligation is not reduced.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spacing w:before="0" w:after="0"/>
        <w:widowControl w:val="1"/>
      </w:pPr>
      <w:r>
        <w:t>7. PARTY DUTY ENFORCEMENT ALLOCATION AND CURE FOR BOTH MANDATORY PARTS. Each Party shall maintain and apply domestic measures giving effect to the mandatory provider, deployer and authority safeguards in Parts B and C through the competent existing regulators, and failure of that Party-level duty is justiciable under Chapter 31. Private enforcement, license decisions and individual correction remain with the competent domestic authority or court and this Chapter grants no private Chapter 31 standing or new investor-State consent. Enforcement begins with reasoned notice, factual verification and thirty days to cure after verified notice, with a reasoned extension up to sixty days where effective correction requires it, while imminent serious harm permits narrowly necessary temporary protection reviewed by an independent qualified domestic reviewer within seventy-two hours. Parts B and C share the optionality, no-tariff, issue-nexus, no-double-recovery and independent Chapter 35 authorization firewalls, and the existing Committee on Digital Trade Cooperation conducts both the twenty-four-month Part C review and five-year adaptive review without creating a permanent body.</w:t>
      </w:r>
    </w:p>
    <w:p/>
    <w:p>
      <w:pPr>
        <w:pStyle w:val="Heading2"/>
      </w:pPr>
      <w:bookmarkStart w:id="901440" w:name="_Toc300001439"/>
      <w:r>
        <w:t>Article 39.75: Relationship to Existing Chapter 39 Architecture</w:t>
      </w:r>
      <w:bookmarkEnd w:id="901440"/>
    </w:p>
    <w:p>
      <w:pPr>
        <w:pStyle w:val="Normal"/>
        <w:spacing w:before="0" w:after="0"/>
        <w:widowControl w:val="1"/>
      </w:pPr>
      <w:r>
        <w:t>1. CHAPTER-WIDE RELATIONSHIP RULE. Parts A, B and C apply cumulatively where their provisions can operate together, with mandatory Parts B and C safeguards prevailing over a conflicting optional Part A cooperation formulation. A specialized substantive rule, authority, procedure or exception in Chapters 2, 4, 5, 7, 11, 13, 14, 19, 20, 23, 23-B, 31, 32, 35, 36, 37 or 38 governs only the subject and limits it expressly addresses, and an AI safeguard remains applicable wherever consistent. A more tailored general protection does not defeat a stronger compatible minimum, and a concrete irreconcilable conflict is decided under Chapter 31 by the express authority and scope rather than an unbounded greater-or-more-tailored test. No rule creates duplicate recovery, extends an exception beyond its express conditions, or turns optional cooperation into a mandatory condition of ordinary rights.</w:t>
      </w:r>
    </w:p>
    <w:p/>
    <w:p>
      <w:pPr>
        <w:pStyle w:val="Normal"/>
      </w:pPr>
      <w:r>
        <w:t>2. Nothing in Part B converts the semiconductor, quantum, strategic-compute, experimental-technology, or other advanced-technology programs in Articles 39.4 through 39.18 into mandatory AI regulation where their own terms are flexible or optional. Conversely, participation in an experimental or innovation program does not waive a mandatory safeguard that applies to a consequential, high-risk, safety-critical, clinical, employment, educational, biometric, or rights-sensitive AI use.</w:t>
      </w:r>
    </w:p>
    <w:p>
      <w:pPr>
        <w:pStyle w:val="Heading2"/>
      </w:pPr>
      <w:bookmarkStart w:id="901441" w:name="_Toc300001440"/>
      <w:r>
        <w:t>PART C: AI-ENABLED TRADE, CUSTOMS AND BORDER INTEROPERABILITY</w:t>
      </w:r>
      <w:bookmarkEnd w:id="901441"/>
    </w:p>
    <w:p>
      <w:pPr>
        <w:pStyle w:val="Heading2"/>
      </w:pPr>
      <w:bookmarkStart w:id="901442" w:name="_Toc300001441"/>
      <w:r>
        <w:t>Article 39.76: Trade-AI Scope and Covered Systems</w:t>
      </w:r>
      <w:bookmarkEnd w:id="901442"/>
    </w:p>
    <w:p>
      <w:pPr>
        <w:pStyle w:val="Normal"/>
        <w:spacing w:before="0" w:after="0"/>
        <w:widowControl w:val="1"/>
      </w:pPr>
      <w:r>
        <w:t>1. [Trade-AI Scope and Covered Systems] Trade-critical AI - Trade-critical AI means an AI function whose failure could materially interrupt cross-border clearance, essential freight or lawful trade administration.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2. [Trade-AI Scope and Covered Systems] Border AI - Border AI means AI used by or for a customs or border authority in administering goods crossing a border.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3. [Trade-AI Scope and Covered Systems] AI-influenced customs decision - An AI-influenced customs decision is a customs determination whose material factual basis, assessment or outcome relies on AI output.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4. [Trade-AI Scope and Covered Systems] Autonomous trade agent - An autonomous trade agent is an AI system authorized to initiate or execute a trade-related transaction without separate human approval of each routine step. Cross-border operation shall preserve identifiable legal responsibility, system and software version traceability, incident or event records appropriate to the mode, and a means to address material software, cybersecurity, or control changes. A Party may rely on testing, certification, inspection, or conformity evidence from another Party where materially equivalent outcomes are demonstrated, but no recognition is automatic and a reasoned refusal may be maintained for an identified safety, security, infrastructure, or legal incompatibility. Nothing in this paragraph requires harmonization of vehicle, rail, maritime, aviation, licensing, airspace, navigation, or operational rules beyond the interoperable outcome expressly required by this Agreement.</w:t>
      </w:r>
    </w:p>
    <w:p/>
    <w:p>
      <w:pPr>
        <w:pStyle w:val="Normal"/>
        <w:spacing w:before="0" w:after="0"/>
        <w:widowControl w:val="1"/>
      </w:pPr>
      <w:r>
        <w:t>5. [Trade-AI Scope and Covered Systems] Trade-critical AI incident - A trade-critical AI incident is a failure, error, drift or compromise causing or imminently threatening material interruption, unlawful treatment or serious safety harm in covered trade.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Normal"/>
        <w:spacing w:before="0" w:after="0"/>
        <w:widowControl w:val="1"/>
      </w:pPr>
      <w:r>
        <w:t>6. [Trade-AI Scope and Covered Systems] Material AI trade friction - Material AI trade friction means documented recurring or substantial delay, denial or added cost caused by an AI regulatory or border practice affecting another Party's lawful trade.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Heading2"/>
      </w:pPr>
      <w:bookmarkStart w:id="901443" w:name="_Toc300001442"/>
      <w:r>
        <w:t>Article 39.77: Customs AI Legal Authority and Attribution</w:t>
      </w:r>
      <w:bookmarkEnd w:id="901443"/>
    </w:p>
    <w:p>
      <w:pPr>
        <w:pStyle w:val="Normal"/>
        <w:spacing w:before="0" w:after="0"/>
        <w:widowControl w:val="1"/>
      </w:pPr>
      <w:r>
        <w:t>1. [Customs AI Legal Authority and Attribution] Competent-authority responsibility - Each Party shall ensure that every AI-influenced customs decision is attributable to its competent customs authority and reviewable under applicable law.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2. [Customs AI Legal Authority and Attribution] Delegated system authority limits - A customs authority shall define and enforce the acts an AI system may assist or execute within its lawful delegation.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3. [Customs AI Legal Authority and Attribution] Human chain of accountability - The authority shall identify a human chain with power to correct consequential customs outcomes.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4. [Customs AI Legal Authority and Attribution] Vendor responsibility savings - Vendor contracts shall preserve lawful responsibility for defective performance without transferring sovereign customs powers to the vendor.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5. [Customs AI Legal Authority and Attribution] No AI accountability shield - A customs authority shall not invoke AI autonomy to evade responsibility for a decision it administers.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6. [Customs AI Legal Authority and Attribution] Applicable-law preservation - AI assistance shall not alter the applicable substantive customs law, evidence standard or trader appeal rights.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Heading2"/>
      </w:pPr>
      <w:bookmarkStart w:id="901444" w:name="_Toc300001443"/>
      <w:r>
        <w:t>Article 39.78: Border-AI Mission Limits and Non-Retaliation</w:t>
      </w:r>
      <w:bookmarkEnd w:id="901444"/>
    </w:p>
    <w:p>
      <w:pPr>
        <w:pStyle w:val="Normal"/>
        <w:spacing w:before="0" w:after="0"/>
        <w:widowControl w:val="1"/>
      </w:pPr>
      <w:r>
        <w:t>1. [Border-AI Mission Limits and Non-Retaliation] Declared customs purpose - The customs authority shall document the lawful customs purpose for each materially consequential border-AI function.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2. [Border-AI Mission Limits and Non-Retaliation] No mission creep without lawful authority - Border AI shall not be repurposed beyond the authorized purpose without lawful authority and documented review.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3. [Border-AI Mission Limits and Non-Retaliation] No retaliatory trader targeting - The authority shall not target a trader for inspection or adverse treatment in retaliation for a lawful complaint or unrelated political dispute.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4. [Border-AI Mission Limits and Non-Retaliation] No nationality proxy targeting - The authority shall not use nationality or an equivalent proxy as an adverse risk factor without the specific lawful evidentiary nexus required by this Agreement.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5. [Border-AI Mission Limits and Non-Retaliation] No revenue-maximization mandate - No border-AI function shall be mandated to maximize duty revenue through unsupported assessments or unnecessary restrictions.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6. [Border-AI Mission Limits and Non-Retaliation] Documented material purpose change - A material purpose change shall be documented, lawfully authorized and reassessed before consequential deployment.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Heading2"/>
      </w:pPr>
      <w:bookmarkStart w:id="901445" w:name="_Toc300001444"/>
      <w:r>
        <w:t>Article 39.79: Human Authority in AI-Assisted Border Decisions</w:t>
      </w:r>
      <w:bookmarkEnd w:id="901445"/>
    </w:p>
    <w:p>
      <w:pPr>
        <w:pStyle w:val="Normal"/>
        <w:spacing w:before="0" w:after="0"/>
        <w:widowControl w:val="1"/>
      </w:pPr>
      <w:r>
        <w:t>1. [Human Authority in AI-Assisted Border Decisions] Human review before serious adverse action - A qualified customs officer shall review the evidence before a serious adverse AI-influenced final action.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2. [Human Authority in AI-Assisted Border Decisions] Meaningful override authority - The reviewing officer shall have actual authority to override an erroneous or unlawful recommendation.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3. [Human Authority in AI-Assisted Border Decisions] No rubber-stamp review - The officer shall independently assess material evidence rather than merely endorse the automated result.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4. [Human Authority in AI-Assisted Border Decisions] Reviewer access to relevant evidence - The authority shall give the reviewer access to the material record needed for a reasoned determination.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5. [Human Authority in AI-Assisted Border Decisions] Override logging - A material override shall be logged with its reasons without penalizing a good-faith correction.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6. [Human Authority in AI-Assisted Border Decisions] Emergency-action savings - Urgent protective action may precede complete review only on the independently lawful emergency basis and prompt human review required by the governing track.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Heading2"/>
      </w:pPr>
      <w:bookmarkStart w:id="901446" w:name="_Toc300001445"/>
      <w:r>
        <w:t>Article 39.80: AI-Assisted Tariff Classification</w:t>
      </w:r>
      <w:bookmarkEnd w:id="901446"/>
    </w:p>
    <w:p>
      <w:pPr>
        <w:pStyle w:val="Normal"/>
        <w:spacing w:before="0" w:after="0"/>
        <w:widowControl w:val="1"/>
      </w:pPr>
      <w:r>
        <w:t>1. [AI-Assisted Tariff Classification] AI classification assistance - AI tariff classification shall assist the application of the legally effective tariff schedule rather than create a classification rule.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2. [AI-Assisted Tariff Classification] Current tariff-schedule version control - The customs authority shall keep the model's tariff schedule synchronized with the legally effective version.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3. [AI-Assisted Tariff Classification] Classification rationale - A material adverse classification shall state the tariff provision, relevant product facts and principal reasons.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4. [AI-Assisted Tariff Classification] Conflicting classification detection - The authority shall flag materially inconsistent classifications for human resolution before adverse reliance.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5. [AI-Assisted Tariff Classification] Human confirmation for material adverse change - A material adverse reclassification shall receive qualified human confirmation and trader notice.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6. [AI-Assisted Tariff Classification] Administrative review - The trader shall retain the administrative review and appeal rights applicable to a non-AI classification.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Heading2"/>
      </w:pPr>
      <w:bookmarkStart w:id="901447" w:name="_Toc300001446"/>
      <w:r>
        <w:t>Article 39.81: AI-Assisted Customs Valuation</w:t>
      </w:r>
      <w:bookmarkEnd w:id="901447"/>
    </w:p>
    <w:p>
      <w:pPr>
        <w:pStyle w:val="Normal"/>
        <w:spacing w:before="0" w:after="0"/>
        <w:widowControl w:val="1"/>
      </w:pPr>
      <w:r>
        <w:t>1. [AI-Assisted Customs Valuation] Valuation anomaly assistance - An AI valuation anomaly shall trigger evidence review rather than establish a higher customs value by itself.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2. [AI-Assisted Customs Valuation] Declared-value evidence preservation - The customs authority shall preserve the declared-value documents and the material evidence used to propose an adjustment.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3. [AI-Assisted Customs Valuation] Related-party transaction safeguards - Related-party valuation shall apply the lawful transaction-value tests rather than infer distortion from affiliation alone.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4. [AI-Assisted Customs Valuation] Proposed-adjustment notice - Before a material adjustment, the authority shall notify the trader of the proposed value, basis and supporting material facts.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5. [AI-Assisted Customs Valuation] Trader rebuttal and correction - The trader shall have a practical opportunity to rebut the adjustment and correct erroneous inputs.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6. [AI-Assisted Customs Valuation] No AI-only valuation uplift - No authority shall uplift customs value solely on an AI score without corroborated evidence under applicable valuation law.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Heading2"/>
      </w:pPr>
      <w:bookmarkStart w:id="901448" w:name="_Toc300001447"/>
      <w:r>
        <w:t>Article 39.82: AI-Assisted Origin and Preference Determinations</w:t>
      </w:r>
      <w:bookmarkEnd w:id="901448"/>
    </w:p>
    <w:p>
      <w:pPr>
        <w:pStyle w:val="Normal"/>
        <w:spacing w:before="0" w:after="0"/>
        <w:widowControl w:val="1"/>
      </w:pPr>
      <w:r>
        <w:t>1. [AI-Assisted Origin and Preference Determinations] Origin evidence traceability - The authority shall trace an AI origin conclusion to the applicable rule and material supporting evidence.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2. [AI-Assisted Origin and Preference Determinations] Preference-claim analysis - Preference analysis shall apply the legally effective origin rule without AI-created additional criteria.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3. [AI-Assisted Origin and Preference Determinations] Supplier-data provenance - Supplier information used for an adverse origin decision shall retain identifiable source and authentication history.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4. [AI-Assisted Origin and Preference Determinations] Material discrepancy notice - The authority shall give notice of a material discrepancy and the evidence needed to answer it.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5. [AI-Assisted Origin and Preference Determinations] Good-faith correction pathway - The trader shall receive the good-faith correction opportunity required by Chapters 4 and 5.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6. [AI-Assisted Origin and Preference Determinations] No AI-only preference denial - No final preference denial shall rest solely on AI output without accountable human confirmation and the required origin-verification process.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Heading2"/>
      </w:pPr>
      <w:bookmarkStart w:id="901449" w:name="_Toc300001448"/>
      <w:r>
        <w:t>Article 39.83: AI-Assisted RVC and Origin Calculations</w:t>
      </w:r>
      <w:bookmarkEnd w:id="901449"/>
    </w:p>
    <w:p>
      <w:pPr>
        <w:pStyle w:val="Normal"/>
        <w:spacing w:before="0" w:after="0"/>
        <w:widowControl w:val="1"/>
      </w:pPr>
      <w:r>
        <w:t>1. [AI-Assisted RVC and Origin Calculations] Machine-readable RVC inputs - Machine-readable RVC inputs shall preserve the legally required value basis, accounting period and source documentation.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2. [AI-Assisted RVC and Origin Calculations] Arithmetic reproducibility - The authority shall make the arithmetic used for a material RVC decision reproducible from the recorded inputs.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3. [AI-Assisted RVC and Origin Calculations] Formula/version identification - The RVC record shall identify the applicable formula and legally effective rule version.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4. [AI-Assisted RVC and Origin Calculations] Input correction - The trader shall be permitted to correct a material erroneous input before final adverse reliance where the governing procedure allows.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5. [AI-Assisted RVC and Origin Calculations] Material uncertainty handling - Material uncertainty in an input shall be resolved through lawful evidence review rather than an undisclosed unfavorable assumption.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6. [AI-Assisted RVC and Origin Calculations] Human review of adverse calculation - A qualified customs officer shall review an adverse RVC determination before final preference denial.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Heading2"/>
      </w:pPr>
      <w:bookmarkStart w:id="901450" w:name="_Toc300001449"/>
      <w:r>
        <w:t>Article 39.84: AI-Influenced Duties, Fees and Penalties</w:t>
      </w:r>
      <w:bookmarkEnd w:id="901450"/>
    </w:p>
    <w:p>
      <w:pPr>
        <w:pStyle w:val="Normal"/>
        <w:spacing w:before="0" w:after="0"/>
        <w:widowControl w:val="1"/>
      </w:pPr>
      <w:r>
        <w:t>1. [AI-Influenced Duties, Fees and Penalties] Attributable duty assessment - An AI-influenced duty assessment shall identify the competent assessing authority and legal rate.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2. [AI-Influenced Duties, Fees and Penalties] Fee calculation traceability - The fee record shall permit reconstruction of the lawful fee basis and calculation.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3. [AI-Influenced Duties, Fees and Penalties] Penalty corroboration - An AI-influenced penalty shall require corroborated evidence meeting the applicable offense standard.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4. [AI-Influenced Duties, Fees and Penalties] No penalty on AI alert alone - No authority shall impose a penalty solely because an AI alert indicates possible misconduct.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5. [AI-Influenced Duties, Fees and Penalties] Reasoned notice - The trader shall receive the material reasons, calculation and lawful review route for an adverse assessment.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6. [AI-Influenced Duties, Fees and Penalties] Review and correction - The authority shall correct verified errors and provide the refund or adjustment required by applicable customs law.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Heading2"/>
      </w:pPr>
      <w:bookmarkStart w:id="901451" w:name="_Toc300001450"/>
      <w:r>
        <w:t>Article 39.85: AI Customs Holds and Enhanced Verification</w:t>
      </w:r>
      <w:bookmarkEnd w:id="901451"/>
    </w:p>
    <w:p>
      <w:pPr>
        <w:pStyle w:val="Normal"/>
        <w:spacing w:before="0" w:after="0"/>
        <w:widowControl w:val="1"/>
      </w:pPr>
      <w:r>
        <w:t>1. [AI Customs Holds and Enhanced Verification] Documented hold trigger - The authority shall record the lawful factual trigger, scope and initial review date of an AI-influenced customs hold.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2. [AI Customs Holds and Enhanced Verification] Material-factor explanation - The trader shall receive an intelligible statement of material hold factors subject to lawful security protections.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3. [AI Customs Holds and Enhanced Verification] Scope-limited verification - Enhanced verification shall be confined to information reasonably necessary to resolve the identified risk.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4. [AI Customs Holds and Enhanced Verification] Periodic human reassessment - A qualified officer shall reassess a continuing hold at least every seven days and record why continued restraint is necessary.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5. [AI Customs Holds and Enhanced Verification] Release when basis resolves - The authority shall release the goods promptly when the lawful hold basis is resolved.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6. [AI Customs Holds and Enhanced Verification] No indefinite algorithmic hold - An algorithmic hold shall not continue indefinitely without an identified lawful basis, periodic human reassessment and accessible review.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Heading2"/>
      </w:pPr>
      <w:bookmarkStart w:id="901452" w:name="_Toc300001451"/>
      <w:r>
        <w:t>Article 39.86: No Silent Algorithmic Tariff or Treatment Creep</w:t>
      </w:r>
      <w:bookmarkEnd w:id="901452"/>
    </w:p>
    <w:p>
      <w:pPr>
        <w:pStyle w:val="Normal"/>
        <w:spacing w:before="0" w:after="0"/>
        <w:widowControl w:val="1"/>
      </w:pPr>
      <w:r>
        <w:t>1. [No Silent Algorithmic Tariff or Treatment Creep] No hidden tariff reclassification - No authority shall silently change the legally effective tariff classification through a model update.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2. [No Silent Algorithmic Tariff or Treatment Creep] No undisclosed preference downgrade - No authority shall downgrade preference through an undisclosed algorithmic eligibility criterion.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3. [No Silent Algorithmic Tariff or Treatment Creep] No AI-created surcharge - An AI model shall not create a surcharge without express legal authority consistent with Chapter 35.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4. [No Silent Algorithmic Tariff or Treatment Creep] No algorithmic substitute measure - No authority shall use algorithmic administration to impose an equivalent substitute measure prohibited by Article 35.4A.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5. [No Silent Algorithmic Tariff or Treatment Creep] Change-control notice - A material change affecting trader treatment shall receive the legally required notice and documented change control before effect.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6. [No Silent Algorithmic Tariff or Treatment Creep] Chapter 35 savings - Every covered border measure produced through AI remains subject to Chapter 35's authorization, nexus, cure and restoration safeguards.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Heading2"/>
      </w:pPr>
      <w:bookmarkStart w:id="901453" w:name="_Toc300001452"/>
      <w:r>
        <w:t>Article 39.87: Customs AI Risk-Scoring Inputs</w:t>
      </w:r>
      <w:bookmarkEnd w:id="901453"/>
    </w:p>
    <w:p>
      <w:pPr>
        <w:pStyle w:val="Normal"/>
        <w:spacing w:before="0" w:after="0"/>
        <w:widowControl w:val="1"/>
      </w:pPr>
      <w:r>
        <w:t>1. [Customs AI Risk-Scoring Inputs] Lawful input sources - The authority shall use only lawfully obtained risk-scoring inputs within the authorized border purpose.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2. [Customs AI Risk-Scoring Inputs] Data quality - The authority shall evaluate material input accuracy and correct established errors.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3. [Customs AI Risk-Scoring Inputs] Provenance - The risk record shall identify the material input sources and transformation history.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4. [Customs AI Risk-Scoring Inputs] Relevance and necessity - Each material risk factor shall have a documented relevant nexus to the customs risk being assessed.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5. [Customs AI Risk-Scoring Inputs] No protected/proxy input without lawful basis - Protected characteristics or proxies shall not be used without a specific lawful basis and evidence meeting the applicable non-discrimination discipline.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6. [Customs AI Risk-Scoring Inputs] Input correction - A trader shall have a practical channel to correct materially erroneous inputs without access to protected investigative details.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Heading2"/>
      </w:pPr>
      <w:bookmarkStart w:id="901454" w:name="_Toc300001453"/>
      <w:r>
        <w:t>Article 39.88: Risk Scoring, Origin Neutrality and Anti-Proxy Rules</w:t>
      </w:r>
      <w:bookmarkEnd w:id="901454"/>
    </w:p>
    <w:p>
      <w:pPr>
        <w:pStyle w:val="Normal"/>
        <w:spacing w:before="0" w:after="0"/>
        <w:widowControl w:val="1"/>
      </w:pPr>
      <w:r>
        <w:t>1. [Risk Scoring, Origin Neutrality and Anti-Proxy Rules] No origin-only adverse score - Origin in another Party shall not alone justify an adverse risk score on an originating good.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2. [Risk Scoring, Origin Neutrality and Anti-Proxy Rules] No nationality proxy - The authority shall not replace a prohibited nationality criterion with a substantially equivalent proxy.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3. [Risk Scoring, Origin Neutrality and Anti-Proxy Rules] No protected-characteristic proxy - A risk model shall not use a protected-characteristic proxy to evade applicable non-discrimination law.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4. [Risk Scoring, Origin Neutrality and Anti-Proxy Rules] Risk-factor nexus - The authority shall document how a material factor predicts the specific lawful customs risk.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5. [Risk Scoring, Origin Neutrality and Anti-Proxy Rules] Documented exceptional use - Any legally permitted exceptional use of a sensitive factor shall have particularized recorded reasons and review.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6. [Risk Scoring, Origin Neutrality and Anti-Proxy Rules] Anti-circumvention savings - Fraud or circumvention evidence may be investigated under its governing process without a presumption against ordinary originating trade.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Heading2"/>
      </w:pPr>
      <w:bookmarkStart w:id="901455" w:name="_Toc300001454"/>
      <w:r>
        <w:t>Article 39.89: Risk-Score Explainability and Trader Contestability</w:t>
      </w:r>
      <w:bookmarkEnd w:id="901455"/>
    </w:p>
    <w:p>
      <w:pPr>
        <w:pStyle w:val="Normal"/>
        <w:spacing w:before="0" w:after="0"/>
        <w:widowControl w:val="1"/>
      </w:pPr>
      <w:r>
        <w:t>1. [Risk-Score Explainability and Trader Contestability] Material-factor categories - The authority shall describe the material categories of factors supporting a consequential adverse risk decision.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2. [Risk-Score Explainability and Trader Contestability] Adverse-score notice where appropriate - A trader shall receive notice when a risk score materially causes an adverse action, subject to a particularized lawful notice exception.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3. [Risk-Score Explainability and Trader Contestability] Human challenge pathway - The trader shall have a practical route to an authorized human review of the adverse treatment.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4. [Risk-Score Explainability and Trader Contestability] Correction of erroneous data - Established erroneous risk data shall be corrected and materially affected decisions reconsidered.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5. [Risk-Score Explainability and Trader Contestability] Review outcome - The reviewer shall provide a reasoned outcome and the applicable further appeal route.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6. [Risk-Score Explainability and Trader Contestability] Security-sensitive explanation limits - A protected investigative detail may be withheld only where lawful and necessary, with a meaningful summary sufficient to contest the substance.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Heading2"/>
      </w:pPr>
      <w:bookmarkStart w:id="901456" w:name="_Toc300001455"/>
      <w:r>
        <w:t>Article 39.90: Risk-Model Validation and False-Positive Control</w:t>
      </w:r>
      <w:bookmarkEnd w:id="901456"/>
    </w:p>
    <w:p>
      <w:pPr>
        <w:pStyle w:val="Normal"/>
        <w:spacing w:before="0" w:after="0"/>
        <w:widowControl w:val="1"/>
      </w:pPr>
      <w:r>
        <w:t>1. [Risk-Model Validation and False-Positive Control] Outcome validation - The authority shall validate a risk model against actual outcomes in the deployment context before consequential use.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2. [Risk-Model Validation and False-Positive Control] False-positive measurement - The authority shall measure material false-positive rates and investigate unnecessary adverse treatment.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3. [Risk-Model Validation and False-Positive Control] False-negative learning - Verified missed risks shall inform lawful recalibration without automatic punishment of unrelated traders.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4. [Risk-Model Validation and False-Positive Control] Disparate-impact testing - The authority shall evaluate material disparate impacts and investigate unsupported nationality or protected-characteristic proxies.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5. [Risk-Model Validation and False-Positive Control] Material drift review - A material change in inputs or outcomes shall trigger drift review before continued unsafe reliance.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6. [Risk-Model Validation and False-Positive Control] Corrective recalibration - A verified material validation failure shall require correction and retest of the affected function.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Heading2"/>
      </w:pPr>
      <w:bookmarkStart w:id="901457" w:name="_Toc300001456"/>
      <w:r>
        <w:t>Article 39.91: Inspection Selectivity and Anti-Harassment Safeguards</w:t>
      </w:r>
      <w:bookmarkEnd w:id="901457"/>
    </w:p>
    <w:p>
      <w:pPr>
        <w:pStyle w:val="Normal"/>
        <w:spacing w:before="0" w:after="0"/>
        <w:widowControl w:val="1"/>
      </w:pPr>
      <w:r>
        <w:t>1. [Inspection Selectivity and Anti-Harassment Safeguards] Risk-based selectivity - Inspection selection shall rely on documented risk factors relevant to lawful customs administration.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2. [Inspection Selectivity and Anti-Harassment Safeguards] No inspection quotas for revenue - No authority shall set AI inspection quotas for the purpose of maximizing duty or penalty revenue.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3. [Inspection Selectivity and Anti-Harassment Safeguards] No retaliatory inspection intensity - No authority shall increase inspection intensity to retaliate for a lawful complaint or unrelated dispute.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4. [Inspection Selectivity and Anti-Harassment Safeguards] Repeated-inspection review - Repeated materially similar inspections of a trader shall receive human review for necessity and avoidable duplication.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5. [Inspection Selectivity and Anti-Harassment Safeguards] Trusted-trader consideration - The authority shall account for valid trusted-trader status under its governing risk and continuation rules.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6. [Inspection Selectivity and Anti-Harassment Safeguards] Documented manual escalation - A manual escalation shall record the evidence and reasons without treating a model alert as proof of wrongdoing.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Heading2"/>
      </w:pPr>
      <w:bookmarkStart w:id="901458" w:name="_Toc300001457"/>
      <w:r>
        <w:t>Article 39.92: AI-Enabled Pre-Arrival Processing</w:t>
      </w:r>
      <w:bookmarkEnd w:id="901458"/>
    </w:p>
    <w:p>
      <w:pPr>
        <w:pStyle w:val="Normal"/>
        <w:spacing w:before="0" w:after="0"/>
        <w:widowControl w:val="1"/>
      </w:pPr>
      <w:r>
        <w:t>1. [AI-Enabled Pre-Arrival Processing] Pre-arrival data validation - The authority shall permit lawful pre-arrival data validation and correction through its existing customs channels.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2. [AI-Enabled Pre-Arrival Processing] Document completeness assistance - Document-completeness assistance shall identify missing legally required information without adding AI-created requirements.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3. [AI-Enabled Pre-Arrival Processing] Risk triage - Pre-arrival risk triage shall apply documented lawful factors and preserve review of adverse outcomes.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4. [AI-Enabled Pre-Arrival Processing] Early error correction - The trader shall receive a practical opportunity to correct a detected material error before arrival where time permits.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5. [AI-Enabled Pre-Arrival Processing] Pre-arrival status notice - The authority shall provide available pre-arrival processing status through its existing electronic channel.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6. [AI-Enabled Pre-Arrival Processing] No mandatory AI purchase by trader - No trader shall be required to purchase or use AI as a condition of submitting lawful customs information.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Heading2"/>
      </w:pPr>
      <w:bookmarkStart w:id="901459" w:name="_Toc300001458"/>
      <w:r>
        <w:t>Article 39.93: Automated Clearance and Release</w:t>
      </w:r>
      <w:bookmarkEnd w:id="901459"/>
    </w:p>
    <w:p>
      <w:pPr>
        <w:pStyle w:val="Normal"/>
        <w:spacing w:before="0" w:after="0"/>
        <w:widowControl w:val="1"/>
      </w:pPr>
      <w:r>
        <w:t>1. [Automated Clearance and Release] Low-risk automated release - The customs authority may automate low-risk release where the legally required conditions are satisfied.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2. [Automated Clearance and Release] Competent-authority attribution - Every automated release shall remain attributable to the competent customs authority.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3. [Automated Clearance and Release] Documented exception holds - An exception hold shall identify a documented lawful basis and responsible human review route.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4. [Automated Clearance and Release] Conditional release where lawful - The authority shall permit conditional release under security where the governing customs law requires or permits it.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5. [Automated Clearance and Release] Electronic release notice - The authority shall give an electronic release notice identifying the affected shipment and legally operative status.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6. [Automated Clearance and Release] No AI-only final denial - No final denial of release shall be based solely on AI output without a qualified human determination.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Heading2"/>
      </w:pPr>
      <w:bookmarkStart w:id="901460" w:name="_Toc300001459"/>
      <w:r>
        <w:t>Article 39.94: Border-System Degraded-Mode Processing</w:t>
      </w:r>
      <w:bookmarkEnd w:id="901460"/>
    </w:p>
    <w:p>
      <w:pPr>
        <w:pStyle w:val="Normal"/>
        <w:spacing w:before="0" w:after="0"/>
        <w:widowControl w:val="1"/>
      </w:pPr>
      <w:r>
        <w:t>1. [Border-System Degraded-Mode Processing] Tested degraded mode - The customs authority shall maintain and periodically test a degraded-mode process for trade-critical AI failure.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Normal"/>
        <w:spacing w:before="0" w:after="0"/>
        <w:widowControl w:val="1"/>
      </w:pPr>
      <w:r>
        <w:t>2. [Border-System Degraded-Mode Processing] Manual/deterministic fallback - The process shall provide a manual or validated deterministic fallback for essential customs functions.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Normal"/>
        <w:spacing w:before="0" w:after="0"/>
        <w:widowControl w:val="1"/>
      </w:pPr>
      <w:r>
        <w:t>3. [Border-System Degraded-Mode Processing] Alternative submission channel - An outage shall activate an accessible alternative submission channel without penalizing a trader for the system failure.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Normal"/>
        <w:spacing w:before="0" w:after="0"/>
        <w:widowControl w:val="1"/>
      </w:pPr>
      <w:r>
        <w:t>4. [Border-System Degraded-Mode Processing] Essential-goods priority - The authority shall prioritize qualifying life-saving humanitarian goods and essential flows during degraded operation.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Normal"/>
        <w:spacing w:before="0" w:after="0"/>
        <w:widowControl w:val="1"/>
      </w:pPr>
      <w:r>
        <w:t>5. [Border-System Degraded-Mode Processing] Fallback authority - The authority shall identify officials empowered to authorize fallback processing and correction.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Normal"/>
        <w:spacing w:before="0" w:after="0"/>
        <w:widowControl w:val="1"/>
      </w:pPr>
      <w:r>
        <w:t>6. [Border-System Degraded-Mode Processing] No unnecessary trade stoppage - AI unavailability alone shall not cause an unnecessary stoppage of otherwise lawful trade.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Heading2"/>
      </w:pPr>
      <w:bookmarkStart w:id="901461" w:name="_Toc300001460"/>
      <w:r>
        <w:t>Article 39.95: Trade-Critical AI Incident Notification</w:t>
      </w:r>
      <w:bookmarkEnd w:id="901461"/>
    </w:p>
    <w:p>
      <w:pPr>
        <w:pStyle w:val="Normal"/>
        <w:spacing w:before="0" w:after="0"/>
        <w:widowControl w:val="1"/>
      </w:pPr>
      <w:r>
        <w:t>1. [Trade-Critical AI Incident Notification] Incident threshold - A credible incident meeting Article 39.76's trade-critical incident threshold shall activate this notice procedure whether or not caused by a cyberattack.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Normal"/>
        <w:spacing w:before="0" w:after="0"/>
        <w:widowControl w:val="1"/>
      </w:pPr>
      <w:r>
        <w:t>2. [Trade-Critical AI Incident Notification] Internal escalation - The operator shall immediately escalate the incident to its accountable officer and begin proportionate containment.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Normal"/>
        <w:spacing w:before="0" w:after="0"/>
        <w:widowControl w:val="1"/>
      </w:pPr>
      <w:r>
        <w:t>3. [Trade-Critical AI Incident Notification] Competent-authority notice - The operator shall notify its competent customs or transport authority within twenty-four hours after awareness of the material incident.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Normal"/>
        <w:spacing w:before="0" w:after="0"/>
        <w:widowControl w:val="1"/>
      </w:pPr>
      <w:r>
        <w:t>4. [Trade-Critical AI Incident Notification] Cross-border alert - The authority shall notify materially affected counterpart authorities through existing channels within twenty-four hours after awareness of cross-border relevance.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Normal"/>
        <w:spacing w:before="0" w:after="0"/>
        <w:widowControl w:val="1"/>
      </w:pPr>
      <w:r>
        <w:t>5. [Trade-Critical AI Incident Notification] Evidence preservation - The operator shall preserve material logs, model versions and affected transaction records against alteration.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Normal"/>
        <w:spacing w:before="0" w:after="0"/>
        <w:widowControl w:val="1"/>
      </w:pPr>
      <w:r>
        <w:t>6. [Trade-Critical AI Incident Notification] Confidential preliminary reporting - A good-faith confidential preliminary report shall identify uncertainty and be updated as material facts are verified.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Heading2"/>
      </w:pPr>
      <w:bookmarkStart w:id="901462" w:name="_Toc300001461"/>
      <w:r>
        <w:t>Article 39.96: Trade-Critical AI Recovery and Reconciliation</w:t>
      </w:r>
      <w:bookmarkEnd w:id="901462"/>
    </w:p>
    <w:p>
      <w:pPr>
        <w:pStyle w:val="Normal"/>
        <w:spacing w:before="0" w:after="0"/>
        <w:widowControl w:val="1"/>
      </w:pPr>
      <w:r>
        <w:t>1. [Trade-Critical AI Recovery and Reconciliation] Containment - The responsible operator shall contain an incident to the affected function and preserve safe lawful trade pathways.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Normal"/>
        <w:spacing w:before="0" w:after="0"/>
        <w:widowControl w:val="1"/>
      </w:pPr>
      <w:r>
        <w:t>2. [Trade-Critical AI Recovery and Reconciliation] Service restoration - Service restoration shall prioritize essential flows and use the tested fallback until safe resumption.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Normal"/>
        <w:spacing w:before="0" w:after="0"/>
        <w:widowControl w:val="1"/>
      </w:pPr>
      <w:r>
        <w:t>3. [Trade-Critical AI Recovery and Reconciliation] Revalidation - The affected consequential AI function shall be revalidated against its applicable acceptance criteria before renewed unsafe reliance.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Normal"/>
        <w:spacing w:before="0" w:after="0"/>
        <w:widowControl w:val="1"/>
      </w:pPr>
      <w:r>
        <w:t>4. [Trade-Critical AI Recovery and Reconciliation] Backlog processing - The authority shall process an outage backlog through a published proportionate priority sequence without nationality-based discrimination.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Normal"/>
        <w:spacing w:before="0" w:after="0"/>
        <w:widowControl w:val="1"/>
      </w:pPr>
      <w:r>
        <w:t>5. [Trade-Critical AI Recovery and Reconciliation] Post-outage data reconciliation - The authority shall reconcile duplicate, missing and conflicting post-outage records without a second fee caused solely by system failure.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6. [Trade-Critical AI Recovery and Reconciliation] Corrective-action tracking - The operator shall track corrective actions and provide the competent authority documented completion and recurrence-prevention evidence. The responsible authority or operator shall identify escalation responsibility, preserve relevant evidence, activate proportionate containment or fallback measures, and maintain a lawful degraded-mode path where reasonably practicable. Where the same incident materially affects another Party, competent authorities shall use existing customs, cybersecurity, transportation, or emergency channels to exchange the information reasonably necessary for continuity and recurrence prevention, subject to confidentiality and security safeguards. Restoration shall include reconciliation of materially affected records and revalidation of the affected AI function before renewed reliance where continued operation would otherwise create an unreasonable and unmanaged trade, safety, security, or rights risk.</w:t>
      </w:r>
    </w:p>
    <w:p/>
    <w:p>
      <w:pPr>
        <w:pStyle w:val="Heading2"/>
      </w:pPr>
      <w:bookmarkStart w:id="901463" w:name="_Toc300001462"/>
      <w:r>
        <w:t>Article 39.97: AI Non-Intrusive Inspection Deployment</w:t>
      </w:r>
      <w:bookmarkEnd w:id="901463"/>
    </w:p>
    <w:p>
      <w:pPr>
        <w:pStyle w:val="Normal"/>
        <w:spacing w:before="0" w:after="0"/>
        <w:widowControl w:val="1"/>
      </w:pPr>
      <w:r>
        <w:t>1. [AI Non-Intrusive Inspection Deployment] Risk-proportionate deployment - AI non-intrusive inspection shall be deployed only within a documented lawful purpose and risk-proportionate scope.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2. [AI Non-Intrusive Inspection Deployment] Human accountability - The customs authority shall identify the human responsible for a consequential inspection interpretation.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3. [AI Non-Intrusive Inspection Deployment] Purpose limitation - Inspection data shall not be repurposed beyond the lawful declared purpose without new lawful authority.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4. [AI Non-Intrusive Inspection Deployment] Officer override - A qualified officer shall be able to override an unsupported AI inspection result.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5. [AI Non-Intrusive Inspection Deployment] No universal AI-first inspection mandate - No Party shall require every shipment to undergo AI-first inspection solely because the technology is available.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6. [AI Non-Intrusive Inspection Deployment] Safety/security savings - Independent lawful safety or security protection remains subject to its governing evidence, scope and review requirements.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Heading2"/>
      </w:pPr>
      <w:bookmarkStart w:id="901464" w:name="_Toc300001463"/>
      <w:r>
        <w:t>Article 39.98: NII Model Validation and Performance</w:t>
      </w:r>
      <w:bookmarkEnd w:id="901464"/>
    </w:p>
    <w:p>
      <w:pPr>
        <w:pStyle w:val="Normal"/>
        <w:spacing w:before="0" w:after="0"/>
        <w:widowControl w:val="1"/>
      </w:pPr>
      <w:r>
        <w:t>1. [NII Model Validation and Performance] Representative validation - The authority shall validate NII models on representative cargo, scanner and operating conditions before consequential use.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2. [NII Model Validation and Performance] False-positive monitoring - Material false positives shall be measured and reviewed to reduce unnecessary holds and inspections.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3. [NII Model Validation and Performance] False-negative learning - Verified false negatives shall inform documented improvements rather than unsupported assumptions about unrelated cargo.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4. [NII Model Validation and Performance] Drift detection - A material change in sensor conditions or detection performance shall trigger drift review.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5. [NII Model Validation and Performance] Material model-change revalidation - A materially changed NII model shall be revalidated before consequential reliance.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6. [NII Model Validation and Performance] No universal accuracy percentage - This Chapter imposes no universal numerical accuracy rate, and acceptance criteria shall reflect the specific risk and applicable evidence standard.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Heading2"/>
      </w:pPr>
      <w:bookmarkStart w:id="901465" w:name="_Toc300001464"/>
      <w:r>
        <w:t>Article 39.99: NII Sensor, Image and Evidence Governance</w:t>
      </w:r>
      <w:bookmarkEnd w:id="901465"/>
    </w:p>
    <w:p>
      <w:pPr>
        <w:pStyle w:val="Normal"/>
        <w:spacing w:before="0" w:after="0"/>
        <w:widowControl w:val="1"/>
      </w:pPr>
      <w:r>
        <w:t>1. [NII Sensor, Image and Evidence Governance] Sensor-data integrity - The operator shall protect material scanner and sensor data against unauthorized modification.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2. [NII Sensor, Image and Evidence Governance] Image provenance - Inspection images shall retain source, capture time and relevant equipment identity.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3. [NII Sensor, Image and Evidence Governance] Chain of custody - Evidence used for an adverse action shall have a documented chain of custody.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4. [NII Sensor, Image and Evidence Governance] Retention limitation - Inspection evidence shall be retained only for the lawful review and security period, subject to legal holds.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5. [NII Sensor, Image and Evidence Governance] Confidentiality - Inspection data shall have controlled access and lawful confidentiality safeguards.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6. [NII Sensor, Image and Evidence Governance] Evidentiary reconstruction - The record shall permit reconstruction of the image, model version, human interpretation and material evidence supporting an adverse action.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Heading2"/>
      </w:pPr>
      <w:bookmarkStart w:id="901466" w:name="_Toc300001465"/>
      <w:r>
        <w:t>Article 39.100: Cross-Border NII and Forensic Reliance</w:t>
      </w:r>
      <w:bookmarkEnd w:id="901466"/>
    </w:p>
    <w:p>
      <w:pPr>
        <w:pStyle w:val="Normal"/>
        <w:spacing w:before="0" w:after="0"/>
        <w:widowControl w:val="1"/>
      </w:pPr>
      <w:r>
        <w:t>1. [Cross-Border NII and Forensic Reliance] Equivalent testing evidence - The receiving authority shall assess foreign NII test evidence against the documented applicable performance criteria.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2. [Cross-Border NII and Forensic Reliance] Scanner-output portability - Scanner outputs supplied across borders shall retain sufficient provenance and format information for lawful interpretation.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3. [Cross-Border NII and Forensic Reliance] Forensic data request - A forensic request shall identify the incident, requested data and lawful necessity through protected existing channels.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4. [Cross-Border NII and Forensic Reliance] Reasoned reliance/refusal - The authority shall state material reasons for relying on or rejecting supplied forensic evidence.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5. [Cross-Border NII and Forensic Reliance] Security-sensitive handling - Security-sensitive images and findings shall be shared only through authorized protected channels.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6. [Cross-Border NII and Forensic Reliance] No automatic mutual recognition - Cross-border reliance does not create automatic mutual recognition or waive the receiving authority's applicable safety and evidence duties.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Heading2"/>
      </w:pPr>
      <w:bookmarkStart w:id="901467" w:name="_Toc300001466"/>
      <w:r>
        <w:t>Article 39.101: AI-Assisted Trusted Trader Administration</w:t>
      </w:r>
      <w:bookmarkEnd w:id="901467"/>
    </w:p>
    <w:p>
      <w:pPr>
        <w:pStyle w:val="Normal"/>
        <w:spacing w:before="0" w:after="0"/>
        <w:widowControl w:val="1"/>
      </w:pPr>
      <w:r>
        <w:t>1. [AI-Assisted Trusted Trader Administration] Application assistance - The customs authority shall make its ordinary trusted-trader application route available irrespective of an applicant's AI use.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2. [AI-Assisted Trusted Trader Administration] Eligibility analysis - AI eligibility analysis shall apply the legally effective trusted-trader criteria without adding hidden requirements.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3. [AI-Assisted Trusted Trader Administration] Risk monitoring - Risk monitoring shall use relevant verified factors and preserve material data correction.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4. [AI-Assisted Trusted Trader Administration] Human validation - A qualified officer shall confirm a materially adverse eligibility or status decision.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5. [AI-Assisted Trusted Trader Administration] Status notice - The applicant shall receive the status decision and its material reasons through the existing customs channel.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6. [AI-Assisted Trusted Trader Administration] Administrative review - A materially adverse trusted-trader decision shall retain the administrative review route applicable without AI.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Heading2"/>
      </w:pPr>
      <w:bookmarkStart w:id="901468" w:name="_Toc300001467"/>
      <w:r>
        <w:t>Article 39.102: Trusted Trader AI Suspension and Revocation Safeguards</w:t>
      </w:r>
      <w:bookmarkEnd w:id="901468"/>
    </w:p>
    <w:p>
      <w:pPr>
        <w:pStyle w:val="Normal"/>
        <w:spacing w:before="0" w:after="0"/>
        <w:widowControl w:val="1"/>
      </w:pPr>
      <w:r>
        <w:t>1. [Trusted Trader AI Suspension and Revocation Safeguards] Material trigger - Trusted-trader suspension shall require the material lawful trigger under Article 7.E rather than an unexplained model score.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2. [Trusted Trader AI Suspension and Revocation Safeguards] No automatic suspension - Trusted-trader status shall not suspend automatically on an AI alert.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3. [Trusted Trader AI Suspension and Revocation Safeguards] Human confirmation - A qualified customs officer shall confirm the evidence and lawful suspension conditions before final action.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4. [Trusted Trader AI Suspension and Revocation Safeguards] Reasons and evidence - The trader shall receive material reasons and evidence sufficient to answer the proposed adverse treatment.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5. [Trusted Trader AI Suspension and Revocation Safeguards] Cure opportunity - The authority shall provide the correction or cure opportunity required by Article 7.E.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6. [Trusted Trader AI Suspension and Revocation Safeguards] Continuation where risk permits - Trusted-trader treatment shall continue unless particularized evidence establishes fraud, prohibited goods or a material security risk under Article 7.E.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Heading2"/>
      </w:pPr>
      <w:bookmarkStart w:id="901469" w:name="_Toc300001468"/>
      <w:r>
        <w:t>Article 39.103: Cross-Border AEO Data and Recognition</w:t>
      </w:r>
      <w:bookmarkEnd w:id="901469"/>
    </w:p>
    <w:p>
      <w:pPr>
        <w:pStyle w:val="Normal"/>
        <w:spacing w:before="0" w:after="0"/>
        <w:widowControl w:val="1"/>
      </w:pPr>
      <w:r>
        <w:t>1. [Cross-Border AEO Data and Recognition] Credential portability - Cross-border AEO credentials shall use the lawful portability arrangements under Article 7.E without an additional AI admission condition.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2. [Cross-Border AEO Data and Recognition] Equivalent-status verification - The receiving authority shall verify equivalent status through the existing lawful customs-cooperation channel.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3. [Cross-Border AEO Data and Recognition] Data minimization - AEO information shared for recognition shall be confined to what is necessary for that purpose.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4. [Cross-Border AEO Data and Recognition] Change notification - The issuing authority shall notify material status changes to the counterpart relying on the credential through existing channels.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5. [Cross-Border AEO Data and Recognition] Reasoned refusal - A refusal shall give principal reasons and the administrative review route required by Article 7.E.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6. [Cross-Border AEO Data and Recognition] Existing Article 7.E savings - Article 7.E governs recognition, refusal, review and continuation and this Article neither delays nor weakens its obligations.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Heading2"/>
      </w:pPr>
      <w:bookmarkStart w:id="901470" w:name="_Toc300001469"/>
      <w:r>
        <w:t>Article 39.104: AI-Ready Single Window Data Architecture</w:t>
      </w:r>
      <w:bookmarkEnd w:id="901470"/>
    </w:p>
    <w:p>
      <w:pPr>
        <w:pStyle w:val="Normal"/>
        <w:spacing w:before="0" w:after="0"/>
        <w:widowControl w:val="1"/>
      </w:pPr>
      <w:r>
        <w:t>1. [AI-Ready Single Window Data Architecture] AI-readable core data set - The Article 7.B core data set shall be available in a documented machine-readable format within that Article's thirty-six-month period.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2. [AI-Ready Single Window Data Architecture] Single-submission reuse - Single-submission reuse shall implement Article 7.B without demanding duplicate data solely for AI processing.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3. [AI-Ready Single Window Data Architecture] Machine-readable credentials - Machine-readable credentials shall implement the same Article 7.B deadline and lawful verification conditions.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4. [AI-Ready Single Window Data Architecture] Release-status visibility - Release-status visibility shall implement Article 7.B on its original deadline and attributable legal status.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5. [AI-Ready Single Window Data Architecture] Duplicate-data discipline - The authority shall not require a trader to resubmit equivalent accepted data solely because a different AI interface is used.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6. [AI-Ready Single Window Data Architecture] Existing Article 7.B bridge - This Article applies Article 7.B to AI-supported administration without creating a second deadline or replacing its substantive requirements.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spacing w:before="0" w:after="0"/>
        <w:widowControl w:val="1"/>
      </w:pPr>
      <w:r>
        <w:t>7. SINGLE WINDOW AND TRUSTED TRADER CONTROLLING SAVINGS. Articles 39.103 and 39.104 implement the existing Article 7.E and Article 7.B mechanisms and do not create substitute admission requirements or a second implementation clock. The single data set, credential and release-status outcomes use Article 7.B's thirty-six-month deadline measured from Protocol entry into force. AEO refusal requires principal reasons and administrative review under Article 7.E, and status continues unless its particularized fraud, prohibited-goods or material-security-risk conditions are met. Articles 39.102 and 39.132 are read on those same conditions, with Article 7.E controlling a specific continuation or review inconsistency.</w:t>
      </w:r>
    </w:p>
    <w:p/>
    <w:p>
      <w:pPr>
        <w:pStyle w:val="Heading2"/>
      </w:pPr>
      <w:bookmarkStart w:id="901471" w:name="_Toc300001470"/>
      <w:r>
        <w:t>Article 39.105: Border-AI Common Schemas and Data Dictionaries</w:t>
      </w:r>
      <w:bookmarkEnd w:id="901471"/>
    </w:p>
    <w:p>
      <w:pPr>
        <w:pStyle w:val="Normal"/>
        <w:spacing w:before="0" w:after="0"/>
        <w:widowControl w:val="1"/>
      </w:pPr>
      <w:r>
        <w:t>1. [Border-AI Common Schemas and Data Dictionaries] Common semantic definitions - The existing customs cooperation committee shall maintain a published common dictionary of agreed material border-data meanings.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2. [Border-AI Common Schemas and Data Dictionaries] Schema governance - Schema changes shall be coordinated through that committee and adopted only under the legally applicable technical procedure.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3. [Border-AI Common Schemas and Data Dictionaries] Version identifiers - The authority shall identify the operative schema version in its published interface documentation.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4. [Border-AI Common Schemas and Data Dictionaries] Backward compatibility - A schema transition shall preserve reasonably practicable backward compatibility or provide a documented migration channel.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5. [Border-AI Common Schemas and Data Dictionaries] Equivalent schema pathway - An authority shall accept a documented equivalent schema that preserves the required legal meaning and validation.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6. [Border-AI Common Schemas and Data Dictionaries] Published implementation documentation - The authority shall publish field definitions, versions and migration dates before requiring the changed interface.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Heading2"/>
      </w:pPr>
      <w:bookmarkStart w:id="901472" w:name="_Toc300001471"/>
      <w:r>
        <w:t>Article 39.106: Border-AI Provenance and Source Integrity</w:t>
      </w:r>
      <w:bookmarkEnd w:id="901472"/>
    </w:p>
    <w:p>
      <w:pPr>
        <w:pStyle w:val="Normal"/>
        <w:spacing w:before="0" w:after="0"/>
        <w:widowControl w:val="1"/>
      </w:pPr>
      <w:r>
        <w:t>1. [Border-AI Provenance and Source Integrity] Source attribution - A material border-AI factual assertion shall retain the identifiable source on which it rests.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2. [Border-AI Provenance and Source Integrity] Transformation history - The authority shall record material transformations of data used for a consequential determination.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3. [Border-AI Provenance and Source Integrity] User-supplied data distinction - Trader-supplied assertions shall be distinguished from independently authenticated information.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4. [Border-AI Provenance and Source Integrity] Authoritative-source marking - Information marked authoritative shall identify the issuing competent source and applicable date.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5. [Border-AI Provenance and Source Integrity] Correction provenance - A correction shall retain the former material entry, source, correction reason and date for review.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6. [Border-AI Provenance and Source Integrity] Possession is not verification - Possession or repetition of a trade record shall not be represented as independent verification of its truth.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Heading2"/>
      </w:pPr>
      <w:bookmarkStart w:id="901473" w:name="_Toc300001472"/>
      <w:r>
        <w:t>Article 39.107: Border-AI Model, Ruleset and Version Traceability</w:t>
      </w:r>
      <w:bookmarkEnd w:id="901473"/>
    </w:p>
    <w:p>
      <w:pPr>
        <w:pStyle w:val="Normal"/>
        <w:spacing w:before="0" w:after="0"/>
        <w:widowControl w:val="1"/>
      </w:pPr>
      <w:r>
        <w:t>1. [Border-AI Model, Ruleset and Version Traceability] Model identifier - The authority shall retain an identifier for the model materially influencing a customs decision.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2. [Border-AI Model, Ruleset and Version Traceability] Ruleset identifier - The decision record shall identify the legally effective ruleset used.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3. [Border-AI Model, Ruleset and Version Traceability] Deployment version - The authority shall record the operative deployment version and configuration.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4. [Border-AI Model, Ruleset and Version Traceability] Material-change record - A material model or ruleset change shall have an auditable authorization and validation record.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5. [Border-AI Model, Ruleset and Version Traceability] Decision-version reconstruction - The material decision shall be reconstructable using its contemporaneous model and rule versions.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6. [Border-AI Model, Ruleset and Version Traceability] Cross-border version notice - A change materially affecting cross-border interpretation shall be notified through existing customs channels before mandatory interface migration.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Heading2"/>
      </w:pPr>
      <w:bookmarkStart w:id="901474" w:name="_Toc300001473"/>
      <w:r>
        <w:t>Article 39.108: Real-Time Border Risk-Signal Exchange</w:t>
      </w:r>
      <w:bookmarkEnd w:id="901474"/>
    </w:p>
    <w:p>
      <w:pPr>
        <w:pStyle w:val="Normal"/>
        <w:spacing w:before="0" w:after="0"/>
        <w:widowControl w:val="1"/>
      </w:pPr>
      <w:r>
        <w:t>1. [Real-Time Border Risk-Signal Exchange] Defined signal categories - The customs cooperation committee shall define and publish agreed categories of risk signals appropriate for lawful cross-border exchange.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2. [Real-Time Border Risk-Signal Exchange] Necessity threshold - An authority shall exchange a signal only where reasonably necessary for an identified lawful cross-border customs risk.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3. [Real-Time Border Risk-Signal Exchange] Purpose limitation - A recipient shall use an exchanged signal only for its authorized purpose and applicable investigation.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4. [Real-Time Border Risk-Signal Exchange] Timeliness - A verified signal indicating imminent serious cross-border risk shall be transmitted through existing protected customs channels without avoidable delay.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5. [Real-Time Border Risk-Signal Exchange] Correction/retraction - The source authority shall promptly correct or retract a materially erroneous shared signal and notify recipients.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Normal"/>
        <w:spacing w:before="0" w:after="0"/>
        <w:widowControl w:val="1"/>
      </w:pPr>
      <w:r>
        <w:t>6. [Real-Time Border Risk-Signal Exchange] No raw-score disclosure requirement - No authority is required to disclose a raw proprietary risk score where a meaningful lawful risk summary suffices. The responsible authority shall validate the relevant AI or analytical method against operational outcomes, monitor material false-positive and false-negative patterns, and provide human authority to override or escalate a result when the evidence warrants it. Where the mechanism materially increases inspection, delay, verification, or another burden on a trader, the Party shall maintain sufficient records to permit internal review while protecting law-enforcement methods, personal data, and confidential commercial information. Persistent material error, drift, discriminatory effect, or unsupported targeting shall require correction, recalibration, suspension of the affected use, or another proportionate remedy before continued reliance.</w:t>
      </w:r>
    </w:p>
    <w:p/>
    <w:p>
      <w:pPr>
        <w:pStyle w:val="Heading2"/>
      </w:pPr>
      <w:bookmarkStart w:id="901475" w:name="_Toc300001474"/>
      <w:r>
        <w:t>Article 39.109: Trade-AI Interfaces, Portability and Anti-Lock-In</w:t>
      </w:r>
      <w:bookmarkEnd w:id="901475"/>
    </w:p>
    <w:p>
      <w:pPr>
        <w:pStyle w:val="Normal"/>
        <w:spacing w:before="0" w:after="0"/>
        <w:widowControl w:val="1"/>
      </w:pPr>
      <w:r>
        <w:t>1. [Trade-AI Interfaces, Portability and Anti-Lock-In] Interoperable interfaces - Authorities shall use documented interoperable interfaces for required cross-border trade data within their adopted standards.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2. [Trade-AI Interfaces, Portability and Anti-Lock-In] Data exportability - A trader shall be able to export its own accepted trade data in a documented usable format subject to lawful confidentiality.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3. [Trade-AI Interfaces, Portability and Anti-Lock-In] Vendor transition - An authority changing vendors shall preserve accepted records, access and legally required service continuity.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4. [Trade-AI Interfaces, Portability and Anti-Lock-In] Equivalent/successor standards - Equivalent or successor standards shall be evaluated on preserved legal meaning, security and functionality.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5. [Trade-AI Interfaces, Portability and Anti-Lock-In] No discriminatory interface throttling - No authority shall discriminatorily throttle an interface used by another Party's traders.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6. [Trade-AI Interfaces, Portability and Anti-Lock-In] Manual override interoperability - Required interfaces shall permit transmission and review of a lawful human override rather than silently reinstate the automated result.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spacing w:before="0" w:after="0"/>
        <w:widowControl w:val="1"/>
      </w:pPr>
      <w:r>
        <w:t>7. TRADE AI OPERATING CHANNELS AND DEFAULT IMPLEMENTATION. Articles 39.95 and 39.124 use their Article 39.76 incident and friction definitions, twenty-four-hour incident notices and ten-day consultation convening periods, with reports identifying the affected function, flows, known impact, containment, contact and uncertainty. Incident notice goes to the competent domestic customs or transport authority and materially affected counterparts through existing customs, cybersecurity or emergency channels, including non-cyber drift and model error. The existing customs cooperation committee governs Articles 39.105 through 39.109 common semantic dictionaries, schema versions and lawful signal categories, coordinating with the Committee on Digital Trade Cooperation and publishing an initial interoperable dictionary and migration guidance within twelve months after Protocol entry into force. Until adoption, compatible existing customs data standards and documented equivalent schemas operate, an imminent serious-risk signal is exchanged without avoidable delay through protected channels, and no missing standard imposes an additional trader burden or creates a new institution.</w:t>
      </w:r>
    </w:p>
    <w:p/>
    <w:p>
      <w:pPr>
        <w:pStyle w:val="Heading2"/>
      </w:pPr>
      <w:bookmarkStart w:id="901476" w:name="_Toc300001475"/>
      <w:r>
        <w:t>Article 39.110: Border-AI Data Minimization and Purpose Limitation</w:t>
      </w:r>
      <w:bookmarkEnd w:id="901476"/>
    </w:p>
    <w:p>
      <w:pPr>
        <w:pStyle w:val="Normal"/>
        <w:spacing w:before="0" w:after="0"/>
        <w:widowControl w:val="1"/>
      </w:pPr>
      <w:r>
        <w:t>1. [Border-AI Data Minimization and Purpose Limitation] Necessary-data rule - Border-AI collection shall be limited to data reasonably necessary for the lawful customs purpose.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2. [Border-AI Data Minimization and Purpose Limitation] Purpose specification - The authority shall identify the purpose before materially consequential use.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3. [Border-AI Data Minimization and Purpose Limitation] Secondary-use controls - A new incompatible secondary use shall require separate lawful authority and applicable notice.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4. [Border-AI Data Minimization and Purpose Limitation] Retention proportionality - Data shall be retained only for the lawful customs, review or security period and any legal hold.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5. [Border-AI Data Minimization and Purpose Limitation] Access logging - Access to protected border-AI data shall be authorized and logged.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6. [Border-AI Data Minimization and Purpose Limitation] Lawful-exception savings - Any lawful exception to privacy controls shall be particularized, necessary and subject to applicable review.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Heading2"/>
      </w:pPr>
      <w:bookmarkStart w:id="901477" w:name="_Toc300001476"/>
      <w:r>
        <w:t>Article 39.111: Trade-AI Cloud, Compute and Data Portability</w:t>
      </w:r>
      <w:bookmarkEnd w:id="901477"/>
    </w:p>
    <w:p>
      <w:pPr>
        <w:pStyle w:val="Normal"/>
        <w:spacing w:before="0" w:after="0"/>
        <w:widowControl w:val="1"/>
      </w:pPr>
      <w:r>
        <w:t>1. [Trade-AI Cloud, Compute and Data Portability] Cloud portability - A trade-critical operator shall preserve a documented lawful route to migrate essential cloud data and services.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2. [Trade-AI Cloud, Compute and Data Portability] Exit capability - The operator shall maintain usable export and exit capability sufficient to avoid an unnecessary service hostage.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3. [Trade-AI Cloud, Compute and Data Portability] Continuity planning - The operator shall document and test continuity arrangements for material cloud or compute failure.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4. [Trade-AI Cloud, Compute and Data Portability] Sensitive-data savings - Sensitive-data transfers shall preserve Chapter 19 and Article 39.65 protections and specific lawful exceptions.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5. [Trade-AI Cloud, Compute and Data Portability] No blanket localization mandate - No Party shall impose blanket localization solely because trade activity uses AI cloud or compute services.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6. [Trade-AI Cloud, Compute and Data Portability] Optional resilience cooperation - Joint resilience cooperation shall be voluntary and refusal shall not reduce ordinary trade rights.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Heading2"/>
      </w:pPr>
      <w:bookmarkStart w:id="901478" w:name="_Toc300001477"/>
      <w:r>
        <w:t>Article 39.112: AI Trade Secrets and Model-Weight Protection</w:t>
      </w:r>
      <w:bookmarkEnd w:id="901478"/>
    </w:p>
    <w:p>
      <w:pPr>
        <w:pStyle w:val="Normal"/>
        <w:spacing w:before="0" w:after="0"/>
        <w:widowControl w:val="1"/>
      </w:pPr>
      <w:r>
        <w:t>1. [AI Trade Secrets and Model-Weight Protection] Model-weight confidentiality - Authorities shall protect confidential model weights obtained in a lawful proceeding against unauthorized use or disclosure.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2. [AI Trade Secrets and Model-Weight Protection] Architecture protection - Protected model architecture shall receive the applicable trade-secret and confidential-information safeguards.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3. [AI Trade Secrets and Model-Weight Protection] Technical-documentation protection - Technical documentation supplied for a specific lawful review shall remain protected within that purpose.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4. [AI Trade Secrets and Model-Weight Protection] No forced transfer for market access - No Party shall require forced transfer of protected AI technology as an ordinary market-access condition.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5. [AI Trade Secrets and Model-Weight Protection] No forced reverse engineering - No Party shall compel reverse engineering of protected AI technology absent the specific lawful investigation authority allowed by this Agreement.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6. [AI Trade Secrets and Model-Weight Protection] IP-law savings - This Article preserves Chapter 20 rights and Article 19.16 limits without creating a new intellectual-property exception.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Heading2"/>
      </w:pPr>
      <w:bookmarkStart w:id="901479" w:name="_Toc300001478"/>
      <w:r>
        <w:t>Article 39.113: Controlled Regulatory Access to Protected AI Information</w:t>
      </w:r>
      <w:bookmarkEnd w:id="901479"/>
    </w:p>
    <w:p>
      <w:pPr>
        <w:pStyle w:val="Normal"/>
        <w:spacing w:before="0" w:after="0"/>
        <w:widowControl w:val="1"/>
      </w:pPr>
      <w:r>
        <w:t>1. [Controlled Regulatory Access to Protected AI Information] Necessity and particularity - A regulator requesting protected AI information shall identify the specific investigation, material issue and necessity.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2. [Controlled Regulatory Access to Protected AI Information] Competent regulator access - Access shall be confined to the competent regulator or judicial authority acting within its lawful mandate and Article 19.16(2).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3. [Controlled Regulatory Access to Protected AI Information] Least-intrusive information - The authority shall seek the least intrusive information sufficient to resolve the specific material issue.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4. [Controlled Regulatory Access to Protected AI Information] Confidential handling - Protected information shall use restricted access, secure handling and non-public review.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5. [Controlled Regulatory Access to Protected AI Information] Use limitation - Obtained information shall not be reused for unrelated industrial, commercial or competitive purposes.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Normal"/>
        <w:spacing w:before="0" w:after="0"/>
        <w:widowControl w:val="1"/>
      </w:pPr>
      <w:r>
        <w:t>6. [Controlled Regulatory Access to Protected AI Information] Challenge/review where lawful - The affected person shall receive the lawful domestic challenge or review route for the information demand. The arrangement shall preserve provenance, version identity, access controls, correction capability, and auditable handling sufficient to distinguish authoritative customs data, trader-supplied data, derived analytical outputs, and unverified signals where that distinction is material. Nothing in this paragraph requires public disclosure of source code, model weights, trade secrets, personal information, security-sensitive information, or information protected by Article 19.16 or other applicable law, except through a lawful and appropriately safeguarded competent-authority process. Technical implementation may use different or successor standards where the resulting system remains interoperable and provides materially equivalent confidentiality, integrity, availability, and review protections.</w:t>
      </w:r>
    </w:p>
    <w:p/>
    <w:p>
      <w:pPr>
        <w:pStyle w:val="Heading2"/>
      </w:pPr>
      <w:bookmarkStart w:id="901480" w:name="_Toc300001479"/>
      <w:r>
        <w:t>Article 39.114: AI Fraud and Transshipment Detection</w:t>
      </w:r>
      <w:bookmarkEnd w:id="901480"/>
    </w:p>
    <w:p>
      <w:pPr>
        <w:pStyle w:val="Normal"/>
        <w:spacing w:before="0" w:after="0"/>
        <w:widowControl w:val="1"/>
      </w:pPr>
      <w:r>
        <w:t>1. [AI Fraud and Transshipment Detection] Origin-fraud signals - An AI origin-fraud signal shall initiate lawful evidence verification rather than establish fraud. Where the AI materially contributes to an adverse customs outcome, the responsible authority shall preserve the material inputs, applicable rule or ruleset version, and sufficient decision information to permit reconstruction without requiring disclosure of protected model weights or unrelated confidential information. The trader shall receive the notice, correction opportunity, administrative review, or other procedural protection otherwise applicable to the same customs action, and AI use shall not reduce that protection or convert an advisory signal into conclusive evidence. A material error attributable to the AI process shall be corrected through the ordinary customs mechanism, with release, duty, preference, penalty, or record consequences adjusted as applicable under this Agreement and domestic law.</w:t>
      </w:r>
    </w:p>
    <w:p/>
    <w:p>
      <w:pPr>
        <w:pStyle w:val="Normal"/>
        <w:spacing w:before="0" w:after="0"/>
        <w:widowControl w:val="1"/>
      </w:pPr>
      <w:r>
        <w:t>2. [AI Fraud and Transshipment Detection] Transshipment analytics - Transshipment analytics shall identify the material routing and processing evidence supporting an inquiry.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3. [AI Fraud and Transshipment Detection] Entity-network analysis - Entity-network analysis shall distinguish substantiated relationships from inferred or coincidental associations.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4. [AI Fraud and Transshipment Detection] Document inconsistency detection - A document inconsistency shall be put to the responsible trader for a lawful explanation where required.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5. [AI Fraud and Transshipment Detection] Human corroboration - A qualified officer shall corroborate material AI findings before a final adverse fraud determination.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6. [AI Fraud and Transshipment Detection] No adverse action on alert alone - No authority shall impose a fraud penalty or preference denial on an AI alert alone.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Heading2"/>
      </w:pPr>
      <w:bookmarkStart w:id="901481" w:name="_Toc300001480"/>
      <w:r>
        <w:t>Article 39.115: AI Document, Invoice and Identity Fraud Detection</w:t>
      </w:r>
      <w:bookmarkEnd w:id="901481"/>
    </w:p>
    <w:p>
      <w:pPr>
        <w:pStyle w:val="Normal"/>
        <w:spacing w:before="0" w:after="0"/>
        <w:widowControl w:val="1"/>
      </w:pPr>
      <w:r>
        <w:t>1. [AI Document, Invoice and Identity Fraud Detection] Document forgery indicators - A document forgery indicator shall be checked against authenticated source evidence before adverse reliance.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2. [AI Document, Invoice and Identity Fraud Detection] Invoice anomaly detection - An invoice anomaly shall be evaluated under lawful valuation and evidence rules rather than create an automatic uplift.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3. [AI Document, Invoice and Identity Fraud Detection] Identity mismatch signals - An identity mismatch shall receive human verification and a practical material-error correction route.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4. [AI Document, Invoice and Identity Fraud Detection] Source authentication - The authority shall authenticate material source records used for a fraud determination.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5. [AI Document, Invoice and Identity Fraud Detection] False-positive correction - Established false positives shall be corrected and materially affected records and outcomes reconciled.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Normal"/>
        <w:spacing w:before="0" w:after="0"/>
        <w:widowControl w:val="1"/>
      </w:pPr>
      <w:r>
        <w:t>6. [AI Document, Invoice and Identity Fraud Detection] Evidence preservation - The authority shall preserve material fraud evidence with an auditable chain of custody. Implementation shall identify the responsible actor, the operational purpose, the information or evidence on which material action may rely, and the point at which human review, correction, escalation, or revalidation is required. The Parties may use different technologies, vendors, technical standards, or administrative methods where they achieve materially equivalent outcomes and preserve confidentiality, interoperability, contestability, and applicable constitutional authority. Nothing in this paragraph authorizes an automatic tariff consequence, unrelated retaliation, compulsory participation in an optional program, or creation of a new standing institution unless another provision of this Agreement expressly provides otherwise.</w:t>
      </w:r>
    </w:p>
    <w:p/>
    <w:p>
      <w:pPr>
        <w:pStyle w:val="Heading2"/>
      </w:pPr>
      <w:bookmarkStart w:id="901482" w:name="_Toc300001481"/>
      <w:r>
        <w:t>Article 39.116: Trade-AI Cybersecurity and Adversarial Resilience</w:t>
      </w:r>
      <w:bookmarkEnd w:id="901482"/>
    </w:p>
    <w:p>
      <w:pPr>
        <w:pStyle w:val="Normal"/>
        <w:spacing w:before="0" w:after="0"/>
        <w:widowControl w:val="1"/>
      </w:pPr>
      <w:r>
        <w:t>1. [Trade-AI Cybersecurity and Adversarial Resilience] Adversarial input protection - The operator shall protect trade-critical models against material adversarial manipulation of inputs.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[Trade-AI Cybersecurity and Adversarial Resilience] Credential security - The operator shall secure privileged credentials and revoke compromised access promptly.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[Trade-AI Cybersecurity and Adversarial Resilience] Tool-access controls - Tool access shall use least privilege and documented authorization boundaries.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[Trade-AI Cybersecurity and Adversarial Resilience] Model/data poisoning safeguards - The operator shall evaluate and mitigate material model and data poisoning risks.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[Trade-AI Cybersecurity and Adversarial Resilience] Critical vulnerability coordination - A critical vulnerability materially affecting another Party's trade shall be shared through protected existing cybersecurity channels without avoidable delay.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[Trade-AI Cybersecurity and Adversarial Resilience] Vendor security obligations - Trade-critical vendor arrangements shall specify material security, patching, incident notice and exit obligations.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83" w:name="_Toc300001482"/>
      <w:r>
        <w:t>Article 39.117: Compromised Trade-AI System Recovery</w:t>
      </w:r>
      <w:bookmarkEnd w:id="901483"/>
    </w:p>
    <w:p>
      <w:pPr>
        <w:pStyle w:val="Normal"/>
        <w:spacing w:before="0" w:after="0"/>
        <w:widowControl w:val="1"/>
      </w:pPr>
      <w:r>
        <w:t>1. [Compromised Trade-AI System Recovery] Compromise assessment - The operator shall assess the scope and operational effects of a credible trade-critical compromise.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[Compromised Trade-AI System Recovery] Isolation/containment - The operator shall isolate the compromised function while preserving tested safe trade pathways.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[Compromised Trade-AI System Recovery] Controlled forensic access - Forensic access shall be limited to competent authorized persons and necessary protected evidence.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[Compromised Trade-AI System Recovery] Fallback activation - A compromise affecting essential trade shall activate the tested manual or deterministic fallback.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[Compromised Trade-AI System Recovery] Recovery revalidation - The affected consequential function shall be revalidated before renewed unsafe reliance.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[Compromised Trade-AI System Recovery] Cross-border lessons learned - Authorities shall share non-confidential cross-border recurrence-prevention findings through existing channels.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84" w:name="_Toc300001483"/>
      <w:r>
        <w:t>Article 39.118: AI Logistics and Port Resilience</w:t>
      </w:r>
      <w:bookmarkEnd w:id="901484"/>
    </w:p>
    <w:p>
      <w:pPr>
        <w:pStyle w:val="Normal"/>
        <w:spacing w:before="0" w:after="0"/>
        <w:widowControl w:val="1"/>
      </w:pPr>
      <w:r>
        <w:t>1. [AI Logistics and Port Resilience] Congestion forecasting - A port or logistics operator using consequential AI congestion forecasts shall assess material errors against actual corridor conditions.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[AI Logistics and Port Resilience] Bottleneck alerts - A material bottleneck alert affecting another Party's essential flows shall be shared through the existing transport or emergency channel.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[AI Logistics and Port Resilience] Intermodal coordination - Competent operators shall coordinate lawful intermodal fallback and continuity arrangements without creating a continental transport command.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[AI Logistics and Port Resilience] Predictive maintenance - AI predictive-maintenance outputs shall be corroborated before a material safety decision under applicable maintenance law.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[AI Logistics and Port Resilience] Critical-corridor continuity - A critical corridor shall maintain a tested proportionate continuity plan for material AI failure.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[AI Logistics and Port Resilience] Anti-manipulation safeguards - No operator shall use an AI logistics system to manipulate access, capacity or congestion for unlawful discriminatory advantage.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85" w:name="_Toc300001484"/>
      <w:r>
        <w:t>Article 39.119: Autonomous Cross-Border Road Freight</w:t>
      </w:r>
      <w:bookmarkEnd w:id="901485"/>
    </w:p>
    <w:p>
      <w:pPr>
        <w:pStyle w:val="Normal"/>
        <w:spacing w:before="0" w:after="0"/>
        <w:widowControl w:val="1"/>
      </w:pPr>
      <w:r>
        <w:t>1. [Autonomous Cross-Border Road Freight] Authorization pathway - A competent road regulator shall publish the lawful authorization route for autonomous cross-border freight within its jurisdiction.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[Autonomous Cross-Border Road Freight] Testing evidence - The regulator shall consider relevant documented testing evidence against its applicable safety criteria.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[Autonomous Cross-Border Road Freight] Vehicle/system identity - The operator shall maintain the identity of the vehicle, automated system version and responsible legal person.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[Autonomous Cross-Border Road Freight] Software-change control - A materially safety-affecting software change shall receive documented review and required revalidation before operation.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[Autonomous Cross-Border Road Freight] Event-data reconstruction - The operator shall preserve event records sufficient to reconstruct a material incident under lawful retention rules.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[Autonomous Cross-Border Road Freight] Competent human/legal responsibility - A cross-border autonomous road operation shall have an identifiable competent human or legal person accountable under applicable law.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86" w:name="_Toc300001485"/>
      <w:r>
        <w:t>Article 39.120: Autonomous Cross-Border Rail Freight</w:t>
      </w:r>
      <w:bookmarkEnd w:id="901486"/>
    </w:p>
    <w:p>
      <w:pPr>
        <w:pStyle w:val="Normal"/>
        <w:spacing w:before="0" w:after="0"/>
        <w:widowControl w:val="1"/>
      </w:pPr>
      <w:r>
        <w:t>1. [Autonomous Cross-Border Rail Freight] Rail-system authorization - Autonomous cross-border rail operation shall obtain the authorizations required by each competent rail regulator.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[Autonomous Cross-Border Rail Freight] Network interoperability - Operators shall document compatible signaling, communications and operating interfaces before cross-border operation.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[Autonomous Cross-Border Rail Freight] Fail-safe operation - A rail AI system shall have a tested safe state and fallback for material automation failure.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[Autonomous Cross-Border Rail Freight] Software-change control - A materially safety-affecting software change shall be reviewed and revalidated under the applicable rail safety process.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[Autonomous Cross-Border Rail Freight] Event records - The operator shall preserve material operational and incident event records for lawful review.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[Autonomous Cross-Border Rail Freight] Incident coordination - Competent rail authorities shall coordinate a material cross-border incident through existing transport and emergency channels.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87" w:name="_Toc300001486"/>
      <w:r>
        <w:t>Article 39.121: Autonomous Maritime and Port Cargo Systems</w:t>
      </w:r>
      <w:bookmarkEnd w:id="901487"/>
    </w:p>
    <w:p>
      <w:pPr>
        <w:pStyle w:val="Normal"/>
        <w:spacing w:before="0" w:after="0"/>
        <w:widowControl w:val="1"/>
      </w:pPr>
      <w:r>
        <w:t>1. [Autonomous Maritime and Port Cargo Systems] Autonomous vessel/cargo-system assurance - The competent maritime or port authority shall require evidence meeting applicable safety standards for autonomous vessel or cargo-system operation.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[Autonomous Maritime and Port Cargo Systems] Port-interface interoperability - The operator shall document compatibility of autonomous systems with material port and navigation interfaces.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[Autonomous Maritime and Port Cargo Systems] Remote-operator responsibility - A remote-operated system shall identify the competent responsible operator and legal person.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[Autonomous Maritime and Port Cargo Systems] Navigation/system change control - A materially safety-affecting navigation or control change shall receive required review before operation.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[Autonomous Maritime and Port Cargo Systems] Incident forensics - The operator shall preserve material event and control records for a lawful incident investigation.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[Autonomous Maritime and Port Cargo Systems] Equivalent safety outcomes - Equivalent technology shall be evaluated against documented safety outcomes without waiving applicable maritime authorization.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88" w:name="_Toc300001487"/>
      <w:r>
        <w:t>Article 39.122: Autonomous Aviation and Cargo-Drone Trade</w:t>
      </w:r>
      <w:bookmarkEnd w:id="901488"/>
    </w:p>
    <w:p>
      <w:pPr>
        <w:pStyle w:val="Normal"/>
        <w:spacing w:before="0" w:after="0"/>
        <w:widowControl w:val="1"/>
      </w:pPr>
      <w:r>
        <w:t>1. [Autonomous Aviation and Cargo-Drone Trade] Cargo-drone authorization - Cargo-drone operation shall obtain the lawful airspace and aviation authorizations required by each competent authority.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[Autonomous Aviation and Cargo-Drone Trade] Remote-operator recognition - A regulator shall assess foreign remote-operator qualifications against its published lawful criteria and give reasons for refusal.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[Autonomous Aviation and Cargo-Drone Trade] Airspace/airport interoperability - The operator shall establish compatible communications and procedures for the airspace and airport interfaces it uses.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[Autonomous Aviation and Cargo-Drone Trade] AI maintenance evidence - AI maintenance evidence shall be corroborated under applicable aviation maintenance rules before safety-critical reliance.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[Autonomous Aviation and Cargo-Drone Trade] Event-data handling - The operator shall preserve material flight, control and incident records under lawful security and retention rules.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[Autonomous Aviation and Cargo-Drone Trade] Technology-neutral safety equivalence - A regulator shall assess safety equivalence by documented outcomes rather than require a named AI vendor or technology.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89" w:name="_Toc300001488"/>
      <w:r>
        <w:t>Article 39.123: AI Trade-Measure Proportionality and Non-Discrimination</w:t>
      </w:r>
      <w:bookmarkEnd w:id="901489"/>
    </w:p>
    <w:p>
      <w:pPr>
        <w:pStyle w:val="Normal"/>
        <w:spacing w:before="0" w:after="0"/>
        <w:widowControl w:val="1"/>
      </w:pPr>
      <w:r>
        <w:t>1. [AI Trade-Measure Proportionality and Non-Discrimination] Legitimate objective - A Party applying an AI trade-related regulation shall identify a legitimate lawful objective and evidentiary basis.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[AI Trade-Measure Proportionality and Non-Discrimination] Trade nexus - An adverse trade measure shall have a direct documented nexus to the risk or violation it addresses.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[AI Trade-Measure Proportionality and Non-Discrimination] Necessity/proportionality - The measure shall be necessary and proportionate and no broader than the demonstrated objective requires.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[AI Trade-Measure Proportionality and Non-Discrimination] No disguised discrimination - No Party shall apply disguised nationality discrimination through an AI regulatory measure.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[AI Trade-Measure Proportionality and Non-Discrimination] Less trade-restrictive alternative review - The competent authority shall consider reasonably available materially less restrictive effective alternatives before imposing a restriction.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[AI Trade-Measure Proportionality and Non-Discrimination] Rights/safety savings - AI regulation shall preserve applicable rights, safety and Chapter 32 exception requirements rather than displace them by implication.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90" w:name="_Toc300001489"/>
      <w:r>
        <w:t>Article 39.124: Expedited AI Regulatory Trade-Friction Consultation</w:t>
      </w:r>
      <w:bookmarkEnd w:id="901490"/>
    </w:p>
    <w:p>
      <w:pPr>
        <w:pStyle w:val="Normal"/>
        <w:spacing w:before="0" w:after="0"/>
        <w:widowControl w:val="1"/>
      </w:pPr>
      <w:r>
        <w:t>1. [Expedited AI Regulatory Trade-Friction Consultation] Material-friction trigger - Documented material AI trade friction under Article 39.76 permits an affected Party to request expedited technical consultation.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[Expedited AI Regulatory Trade-Friction Consultation] Notice request - The request shall identify the measure, affected trade, material evidence and requested technical cure and be delivered to the other Parties and existing digital-trade committee.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[Expedited AI Regulatory Trade-Friction Consultation] Expedited consultation clock - The Committee on Digital Trade Cooperation shall convene the requested consultation within ten days after receipt.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[Expedited AI Regulatory Trade-Friction Consultation] Evidence exchange - Consulting authorities shall exchange reasonably necessary non-confidential evidence and use protected channels for confidential material.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[Expedited AI Regulatory Trade-Friction Consultation] Technical cure discussion - The authorities shall consider a documented technical cure and report agreed steps or unresolved issues within thirty days after receipt.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[Expedited AI Regulatory Trade-Friction Consultation] No automatic suspension of domestic measure - A consultation request does not automatically suspend a domestic measure or authorize a trade remedy.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91" w:name="_Toc300001490"/>
      <w:r>
        <w:t>Article 39.125: AI Equivalence and Regulatory Reliance</w:t>
      </w:r>
      <w:bookmarkEnd w:id="901491"/>
    </w:p>
    <w:p>
      <w:pPr>
        <w:pStyle w:val="Normal"/>
        <w:spacing w:before="0" w:after="0"/>
        <w:widowControl w:val="1"/>
      </w:pPr>
      <w:r>
        <w:t>1. [AI Equivalence and Regulatory Reliance] Materially equivalent outcomes - An authority considering equivalence shall compare documented safety, rights and performance outcomes within the defined use.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[AI Equivalence and Regulatory Reliance] No automatic equivalence - No Party shall be required to recognize regulatory equivalence automatically.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[AI Equivalence and Regulatory Reliance] Conformance evidence - The applicant shall provide material conformance evidence against the receiving authority's published lawful criteria.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[AI Equivalence and Regulatory Reliance] Reasoned recognition decision - A recognition decision shall state its scope, conditions, evidence and responsible authority.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[AI Equivalence and Regulatory Reliance] Reasoned refusal - A refusal shall give material reasons and the applicable domestic review route.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[AI Equivalence and Regulatory Reliance] Periodic reassessment - The authority shall reassess recognition after a material change or verified failure under its published procedure.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92" w:name="_Toc300001491"/>
      <w:r>
        <w:t>Article 39.126: AI Testing, Sandboxes and Conformity Evidence</w:t>
      </w:r>
      <w:bookmarkEnd w:id="901492"/>
    </w:p>
    <w:p>
      <w:pPr>
        <w:pStyle w:val="Normal"/>
        <w:spacing w:before="0" w:after="0"/>
        <w:widowControl w:val="1"/>
      </w:pPr>
      <w:r>
        <w:t>1. [AI Testing, Sandboxes and Conformity Evidence] Accredited testing pathways - Competent authorities shall publish lawful routes for accepting test evidence from appropriately qualified or accredited laboratories.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[AI Testing, Sandboxes and Conformity Evidence] Cross-border test evidence - A receiving authority shall consider relevant foreign test evidence against its applicable objective criteria.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[AI Testing, Sandboxes and Conformity Evidence] Sandbox evidence use - Sandbox evidence may support review only within its documented tested conditions and shall not itself create market authorization.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[AI Testing, Sandboxes and Conformity Evidence] Confidentiality - Test evidence shall be shared and retained subject to applicable confidentiality and trade-secret safeguards.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[AI Testing, Sandboxes and Conformity Evidence] No mandatory sandbox participation - No Party shall make participation in an optional AI sandbox a condition of ordinary trade.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[AI Testing, Sandboxes and Conformity Evidence] Optional joint pilots - Joint testing pilots require the affirmative voluntary consent of participating authorities and preserve domestic approval powers.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93" w:name="_Toc300001492"/>
      <w:r>
        <w:t>Article 39.127: AI-Trade Workforce Competence</w:t>
      </w:r>
      <w:bookmarkEnd w:id="901493"/>
    </w:p>
    <w:p>
      <w:pPr>
        <w:pStyle w:val="Normal"/>
        <w:spacing w:before="0" w:after="0"/>
        <w:widowControl w:val="1"/>
      </w:pPr>
      <w:r>
        <w:t>1. [AI-Trade Workforce Competence] Role-specific competence - Each authority shall ensure that staff making consequential AI-assisted decisions have competence appropriate to their role.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[AI-Trade Workforce Competence] Customs officer AI-limitations literacy - Customs officers shall receive instruction on AI uncertainty, false positives and the governing evidence and review standards.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[AI-Trade Workforce Competence] Technical specialist access - The authority shall provide access to qualified technical expertise when material AI evidence cannot be evaluated by the deciding officer.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[AI-Trade Workforce Competence] Periodic refresh - The authority shall refresh material training after a consequential system change or verified competence deficiency.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[AI-Trade Workforce Competence] No fixed universal hours - This Chapter sets no universal training-hour requirement and competence shall be evaluated by relevant capabilities.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[AI-Trade Workforce Competence] Existing labor architecture savings - Workforce training and transition support shall use Chapters 23 and 23-B without duplicating their benefit architecture.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94" w:name="_Toc300001493"/>
      <w:r>
        <w:t>Article 39.128: Trader, SME and Broker AI Literacy</w:t>
      </w:r>
      <w:bookmarkEnd w:id="901494"/>
    </w:p>
    <w:p>
      <w:pPr>
        <w:pStyle w:val="Normal"/>
        <w:spacing w:before="0" w:after="0"/>
        <w:widowControl w:val="1"/>
      </w:pPr>
      <w:r>
        <w:t>1. [Trader, SME and Broker AI Literacy] Plain-language guidance - Customs authorities shall publish plain-language guidance explaining material AI-supported trade procedures and review routes.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[Trader, SME and Broker AI Literacy] Hallucination/verification literacy - Guidance shall explain that generated facts and citations require source verification for consequential reliance.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[Trader, SME and Broker AI Literacy] Broker training support - The Parties may support voluntary broker training on relevant AI limitations and lawful customs requirements.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[Trader, SME and Broker AI Literacy] SME access support - Authorities shall provide accessible guidance and correction channels appropriate to SME capacity.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[Trader, SME and Broker AI Literacy] Optional tools - Trader AI tools are optional and refusal to use them shall not reduce ordinary rights.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[Trader, SME and Broker AI Literacy] No AI-use prerequisite for ordinary trade - No trader shall be required to use AI as a prerequisite to ordinary lawful trade.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95" w:name="_Toc300001494"/>
      <w:r>
        <w:t>Article 39.129: AI Investment, Procurement and Infrastructure Neutrality</w:t>
      </w:r>
      <w:bookmarkEnd w:id="901495"/>
    </w:p>
    <w:p>
      <w:pPr>
        <w:pStyle w:val="Normal"/>
        <w:spacing w:before="0" w:after="0"/>
        <w:widowControl w:val="1"/>
      </w:pPr>
      <w:r>
        <w:t>1. [AI Investment, Procurement and Infrastructure Neutrality] Vendor-neutral procurement - Covered public procurement shall use objective vendor-neutral functional and safety criteria consistent with Chapter 13.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[AI Investment, Procurement and Infrastructure Neutrality] No forced technology transfer - No Party shall require forced AI technology transfer as an investment, procurement or ordinary market-access condition contrary to Chapters 14, 19 or 20.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[AI Investment, Procurement and Infrastructure Neutrality] Lifecycle competition - Procurement and infrastructure design shall preserve lawful lifecycle competition and reasonable exit capability.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[AI Investment, Procurement and Infrastructure Neutrality] Infrastructure resilience - Trade-critical infrastructure shall maintain risk-proportionate continuity and vendor-transition arrangements.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[AI Investment, Procurement and Infrastructure Neutrality] Investment-screening cooperation - Investment-screening cooperation shall preserve domestic final authority and the review boundary in Article 36.8.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[AI Investment, Procurement and Infrastructure Neutrality] Optional joint procurement - Joint AI procurement is voluntary and creates no purchase obligation without the participating authorities' express lawful agreement.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96" w:name="_Toc300001495"/>
      <w:r>
        <w:t>Article 39.130: AI-Trade Biennial Review and Update Mechanism</w:t>
      </w:r>
      <w:bookmarkEnd w:id="901496"/>
    </w:p>
    <w:p>
      <w:pPr>
        <w:pStyle w:val="Normal"/>
        <w:spacing w:before="0" w:after="0"/>
        <w:widowControl w:val="1"/>
      </w:pPr>
      <w:r>
        <w:t>1. [AI-Trade Biennial Review and Update Mechanism] Twenty-four-month review - The Committee on Digital Trade Cooperation shall review Part C every twenty-four months after Protocol entry into force.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[AI-Trade Biennial Review and Update Mechanism] Trade-friction inventory - The committee shall compile documented recurring AI trade-friction cases supplied by the Parties.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[AI-Trade Biennial Review and Update Mechanism] Incident/interoperability review - The review shall evaluate material incidents, recovery experience and interoperability barriers.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[AI-Trade Biennial Review and Update Mechanism] Corrective protocol proposal - The committee shall submit reasoned corrective technical proposals through Article 34.3.A or substantive recommendations through Article 34.3 as appropriate.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[AI-Trade Biennial Review and Update Mechanism] Reasoned no-action determination - If no change is recommended, the committee shall record its reasons and unresolved material evidence.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[AI-Trade Biennial Review and Update Mechanism] Public/non-confidential output - Within thirty days after each review, the committee shall publish a non-confidential report through the Secretariat. Implementation shall preserve applicable confidentiality, human-review, constitutional, safety, security, and stronger-domestic-law safeguards and shall not make an optional AI program a condition of ordinary market access.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97" w:name="_Toc300001496"/>
      <w:r>
        <w:t>Article 39.131: AI-Trade Administration, Optionality and Remedies</w:t>
      </w:r>
      <w:bookmarkEnd w:id="901497"/>
    </w:p>
    <w:p>
      <w:pPr>
        <w:pStyle w:val="Normal"/>
        <w:spacing w:before="0" w:after="0"/>
        <w:widowControl w:val="1"/>
      </w:pPr>
      <w:r>
        <w:t>1. [AI-Trade Administration, Optionality and Remedies] Existing institutions first - The Parties shall administer Part C through existing competent customs, digital-trade, transport and dispute institutions.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2. [AI-Trade Administration, Optionality and Remedies] Technical expert availability - The Secretariat shall maintain access to qualified technical experts through existing Article 30.C pools without creating a permanent AI tribunal.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3. [AI-Trade Administration, Optionality and Remedies] Optionality firewall - Declining an optional AI program shall not diminish ordinary treaty rights or constitute noncompliance.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4. [AI-Trade Administration, Optionality and Remedies] Cure-first enforcement - Part C enforcement shall follow the binding notice, verification and cure rule in Article 39.74.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5. [AI-Trade Administration, Optionality and Remedies] No AI-specific tariff weapon - A Part C allegation does not authorize an AI-specific tariff or unrelated retaliation.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Normal"/>
        <w:spacing w:before="0" w:after="0"/>
        <w:widowControl w:val="1"/>
      </w:pPr>
      <w:r>
        <w:t>6. [AI-Trade Administration, Optionality and Remedies] Chapter 31/35 integration - Party disputes follow Chapter 31 and any covered border remedy remains subject to Chapter 35's independent authorization and restoration gates. Any exception or adverse action shall remain subject to the competent-authority, proportionality, confidentiality, review, and cure requirements otherwise applicable under this Agreement. A person materially affected by adverse reliance shall receive the applicable notice, material-error correction and qualified human review under Article 39.74. Protected information shall use lawful confidential channels, and enforcement remains subject to Articles 39.74 and 39.75.</w:t>
      </w:r>
    </w:p>
    <w:p/>
    <w:p>
      <w:pPr>
        <w:pStyle w:val="Heading2"/>
      </w:pPr>
      <w:bookmarkStart w:id="901498" w:name="_Toc300001497"/>
      <w:r>
        <w:t>Article 39.132: Relationship to Specialized Trade Chapters</w:t>
      </w:r>
      <w:bookmarkEnd w:id="901498"/>
    </w:p>
    <w:p>
      <w:pPr>
        <w:pStyle w:val="Normal"/>
        <w:spacing w:before="0" w:after="0"/>
        <w:widowControl w:val="1"/>
      </w:pPr>
      <w:r>
        <w:t>1. Part C supplements rather than displaces Chapters 2, 4, 5, 7, 11, 13, 14, 19, 20, 23, 23-B, 31, 35, 36, 37, 38, and other specialized provisions governing the same transaction, authority, transport mode, data category, or remedy. Article 39.75 governs any concrete specialized-Chapter conflict, while the AI-specific safeguards in Part C continue to apply where they can operate consistently.</w:t>
      </w:r>
    </w:p>
    <w:p/>
    <w:p>
      <w:pPr>
        <w:pStyle w:val="Normal"/>
      </w:pPr>
      <w:r>
        <w:t>2. The Parties shall implement Part C through existing committees, customs administrations, transportation regulators, digital-trade bodies, cybersecurity channels, dispute mechanisms, and other competent institutions wherever practicable. Nothing in Part C creates a new supranational customs authority, requires automatic mutual recognition, authorizes an AI-specific tariff remedy, or converts a voluntary pilot, sandbox, training program, shared model, fund, or technical project into a condition of market access or an obligation to participate.</w:t>
      </w:r>
    </w:p>
    <w:p>
      <w:pPr>
        <w:spacing w:before="0" w:after="0"/>
        <w:widowControl w:val="1"/>
      </w:pPr>
      <w:r>
        <w:t>3. UNIFORM RELATIONSHIP. Article 39.75 governs every Part B or C specialized-rule or stronger-protection reference, including Articles 39.19, 39.74 and 39.132. Chapter 32 retains only its express exception conditions and review boundaries. Part B and Part C safeguards apply together to a system within both scopes. Neither a heading nor a general saving silently removes a compatible mandatory safeguard.</w:t>
      </w:r>
    </w:p>
    <w:p/>
    <w:p>
      <w:pPr>
        <w:pStyle w:val="Heading2"/>
      </w:pPr>
      <w:bookmarkStart w:id="1012323" w:name="_TocR22_22323"/>
      <w:r>
        <w:t>ADVANCED TECHNOLOGY ANNEX: INITIAL SCHEDULE UNDER ARTICLE 39.5</w:t>
      </w:r>
      <w:bookmarkEnd w:id="1012323"/>
    </w:p>
    <w:p>
      <w:pPr>
        <w:spacing w:before="0" w:after="0"/>
        <w:widowControl w:val="1"/>
      </w:pPr>
      <w:r>
        <w:t>1. ADVANCED TECHNOLOGY ANNEX INITIAL SCHEDULE. The Advanced Technology Annex under Article 39.5 initially designates semiconductors and advanced electronics, quantum technologies, energy-efficient compute, advanced cooling, high-speed networking, grid-aware data-centre design, cybersecurity and privacy-preserving compute, and safety-relevant AI infrastructure for voluntary Part A cooperation. Critical-chip categories under Article 39.17 initially comprise logic processors for critical infrastructure, memory essential to those systems, power semiconductors, communications chips and qualified medical or emergency-control chips, with the specific affected category and evidence identified in any shortage request. The Commission maintains this initial schedule through the Committee on Digital Trade Cooperation under Article 34.3.A's comment, screening and effect requirements, with purely technical descriptions permitted but mandatory content and substantive guarantees alterable only through Article 34.3. Designation creates no compulsory purchase, automatic origin exception or tariff authority, and an unavailable update leaves this initial schedule effective.</w:t>
      </w:r>
    </w:p>
    <w:p/>
    <w:p>
      <w:pPr>
        <w:pStyle w:val="Normal"/>
      </w:pPr>
      <w:r>
        <w:t>Chapter 40 is the principal energy-security and grid-resilience location. Related emergency-continuity, cybersecurity, investment, infrastructure, and strategic-supply rules may appear in other Chapters and Packages.</w:t>
      </w:r>
    </w:p>
    <w:p>
      <w:pPr>
        <w:pStyle w:val="TrumpVisibilityHeadline"/>
      </w:pPr>
      <w:r>
        <w:t>SEARCH SIGNPOST: ENERGY SECURITY / ELECTRICITY / GRID RESILIENCE / STORAGE / PIPELINES / CLEAN POWER / CRITICAL INFRASTRUCTURE</w:t>
      </w:r>
    </w:p>
    <w:p>
      <w:pPr>
        <w:pStyle w:val="Heading1"/>
      </w:pPr>
      <w:bookmarkStart w:id="901499" w:name="_Toc300001498"/>
      <w:r>
        <w:t>CHAPTER 40</w:t>
      </w:r>
      <w:r>
        <w:br/>
      </w:r>
      <w:r>
        <w:t>ENERGY SECURITY AND GRID RESILIENCE</w:t>
      </w:r>
      <w:bookmarkEnd w:id="901499"/>
    </w:p>
    <w:p>
      <w:pPr>
        <w:pStyle w:val="Heading2"/>
      </w:pPr>
      <w:bookmarkStart w:id="901500" w:name="_Toc300001499"/>
      <w:r>
        <w:t>Article 40.1: Purpose</w:t>
      </w:r>
      <w:bookmarkEnd w:id="901500"/>
    </w:p>
    <w:p>
      <w:pPr>
        <w:pStyle w:val="Normal"/>
      </w:pPr>
      <w:r>
        <w:t>1. The Parties recognize the deeply integrated character of the North American energy system (including electricity interconnections, oil and gas infrastructure, nuclear supply chains, and critical energy equipment) and affirm that energy trade between the Parties contributes to the energy security of each Party.</w:t>
      </w:r>
    </w:p>
    <w:p>
      <w:pPr>
        <w:pStyle w:val="Normal"/>
        <w:spacing w:before="0" w:after="0"/>
        <w:widowControl w:val="1"/>
      </w:pPr>
      <w:r>
        <w:t>2. BILATERAL ENERGY INSTRUMENT PRESERVED. Annex 34-G, Part B remains operative between Canada and the United States within its express governmental and subject-matter scope and is not displaced by an equivalent Chapter 40 rule. Chapter 40 applies cumulatively where both can operate, preserving Part B transparency, just and reasonable non-discriminatory access, appeal rights and Article 6 reservations. A Chapter 31 panel resolves a concrete inconsistency by those express scope and reservation rules rather than an undefined overall equivalence test. Chapter 40's trilateral and sub-federal obligations retain their own scope without extending Part B to a Party or governmental level it does not cover.</w:t>
      </w:r>
    </w:p>
    <w:p/>
    <w:p>
      <w:pPr>
        <w:pStyle w:val="Heading2"/>
      </w:pPr>
      <w:bookmarkStart w:id="901501" w:name="_Toc300001500"/>
      <w:r>
        <w:t>Article 40.2: Energy Trade</w:t>
      </w:r>
      <w:bookmarkEnd w:id="901501"/>
    </w:p>
    <w:p>
      <w:pPr>
        <w:pStyle w:val="Normal"/>
      </w:pPr>
      <w:r>
        <w:t>1. No Party shall apply a covered border measure to originating energy goods (including crude oil, natural gas, refined petroleum products, electricity, uranium, and energy equipment) of another Party, except in conformity with Chapter 35. Energy is a Strategic Sector under Article 35.23. For greater certainty, this Article applies to export measures in accordance with Article 35.3A.</w:t>
      </w:r>
    </w:p>
    <w:p>
      <w:pPr>
        <w:pStyle w:val="Normal"/>
      </w:pPr>
      <w:r>
        <w:t>2. A Party shall not characterize another Party’s energy exports as a threat to its national security for the purposes of Article 32.2 as replaced absent a particularized, notified justification subject to Article 35.22.</w:t>
      </w:r>
    </w:p>
    <w:p>
      <w:pPr>
        <w:spacing w:before="0" w:after="0"/>
        <w:widowControl w:val="1"/>
      </w:pPr>
      <w:r>
        <w:t>3. ENERGY EXPORT SCOPE AND SECURITY NOTIFICATION. Article 40.2 and Article 35.3A cover extraordinary restrictive export measures, while a bona fide nationality-neutral ordinary licensing or safety regime consistent with the Agreement remains permitted and cannot be used as a disguised extraordinary restriction. When a security characterization forms the basis of an adopted trade measure, the Party shall notify the other Parties under Article 32.2(3)(a) as replaced within fifteen days after adoption and in advance where safe, identifying the targeted goods, authority, nexus and expected duration. The clear-and-convincing particularized nexus discipline in Article 32.A.3 applies to the covered trusted supply, with Article 35.22 factual referral available within fifteen days after notification. A public characterization alone creates no restrictive authority, removes no ordinary energy right and starts no fictitious review period before a measure exists.</w:t>
      </w:r>
    </w:p>
    <w:p/>
    <w:p>
      <w:pPr>
        <w:pStyle w:val="Heading2"/>
      </w:pPr>
      <w:bookmarkStart w:id="901502" w:name="_Toc300001501"/>
      <w:r>
        <w:t>Article 40.3: Grid Resilience</w:t>
      </w:r>
      <w:bookmarkEnd w:id="901502"/>
    </w:p>
    <w:p>
      <w:pPr>
        <w:pStyle w:val="Normal"/>
      </w:pPr>
      <w:r>
        <w:t>1. The Parties shall cooperate on the resilience of interconnected electricity systems, including: information-sharing on grid emergencies, equipment shortages, cyber threats, and extreme weather; coordination of equipment standards for cross-border interconnections; and mutual assistance planning for grid emergencies.</w:t>
      </w:r>
    </w:p>
    <w:p>
      <w:pPr>
        <w:pStyle w:val="Normal"/>
      </w:pPr>
      <w:r>
        <w:t>2. The Parties shall establish, under the Economic Security and Supply Chain Resilience Subcommittee, a Grid Resilience Working Group of transmission, regulatory, and emergency-management officials, meeting at least twice yearly and within 72 hours during a grid emergency.</w:t>
      </w:r>
    </w:p>
    <w:p>
      <w:pPr>
        <w:pStyle w:val="Heading2"/>
      </w:pPr>
      <w:bookmarkStart w:id="901503" w:name="_Toc300001502"/>
      <w:r>
        <w:t>Article 40.4: Critical Energy Equipment</w:t>
      </w:r>
      <w:bookmarkEnd w:id="901503"/>
    </w:p>
    <w:p>
      <w:pPr>
        <w:pStyle w:val="Normal"/>
        <w:spacing w:before="0" w:after="0"/>
        <w:widowControl w:val="1"/>
      </w:pPr>
      <w:r>
        <w:t>1. Critical energy equipment, including transformers, switchgear, transmission components, generation equipment and grid control systems, is eligible for essential-input designation through the documented-dependency and substitute-availability process in Annex 35-B, Part 3. The competent Committee assesses and records the criteria and the Secretariat publishes each approved designation before Article 35.23(4) protection attaches. Duly designated equipment is an essential flow under Article 38.3(2) for activated emergency continuity. Annex 40-A eligibility is not a designation by itself and no omitted assessment may be inferred from a category heading.</w:t>
      </w:r>
    </w:p>
    <w:p/>
    <w:p>
      <w:pPr>
        <w:pStyle w:val="Heading2"/>
      </w:pPr>
      <w:bookmarkStart w:id="901504" w:name="_Toc300001503"/>
      <w:r>
        <w:t>Article 40.5: New Energy Technologies</w:t>
      </w:r>
      <w:bookmarkEnd w:id="901504"/>
    </w:p>
    <w:p>
      <w:pPr>
        <w:pStyle w:val="Normal"/>
      </w:pPr>
      <w:r>
        <w:t>1. The Parties shall endeavor to cooperate on cross-border treatment of hydrogen, small modular reactors, energy storage, and associated infrastructure, including standards interoperability and regulatory-cooperation arrangements consistent with each Party’s domestic authority.</w:t>
      </w:r>
    </w:p>
    <w:p>
      <w:pPr>
        <w:pStyle w:val="Heading2"/>
      </w:pPr>
      <w:bookmarkStart w:id="901505" w:name="_Toc300001504"/>
      <w:r>
        <w:t>Article 40.6: Non-Discrimination in Energy Markets</w:t>
      </w:r>
      <w:bookmarkEnd w:id="901505"/>
    </w:p>
    <w:p>
      <w:pPr>
        <w:pStyle w:val="Normal"/>
        <w:spacing w:before="0" w:after="0"/>
        <w:widowControl w:val="1"/>
      </w:pPr>
      <w:r>
        <w:t>1. Each Party shall administer its electricity and energy markets so as not to discriminate against energy suppliers of another Party on the basis of nationality, consistent with the market rules and reliability requirements of general application. Complaints concerning sub-federal energy-market treatment may be addressed through the consultations mechanism in Article 31.4 and the good offices of the Commission under Article 31.5, with Secretariat administrative support.</w:t>
      </w:r>
    </w:p>
    <w:p/>
    <w:p>
      <w:pPr>
        <w:spacing w:before="0" w:after="0"/>
        <w:widowControl w:val="1"/>
      </w:pPr>
      <w:r>
        <w:t>2. ENERGY SCHEDULED RESERVATION RELATIONSHIP. Chapter 40 nationality, ownership and technology-neutral obligations in Articles 40.6, 40.8 and 40.13 are subject to the expressly scheduled energy non-conforming measures in Annexes I through III and the scope and conditions of Articles 14.12, 15.7 and 32.1 as applicable to the underlying obligation. This relationship preserves the identified reserved measure to the same extent and governmental level as its schedule and does not create a general energy reservation or extend an exception to unrelated conduct. A Party relying on it shall identify the scheduled entry, reserved obligation and connection to the challenged requirement. Annex 34-G, Part B Article 6 remains preserved, and the compatible transparency, reasons and lawful review safeguards of Chapter 40 continue to apply.</w:t>
      </w:r>
    </w:p>
    <w:p/>
    <w:p>
      <w:pPr>
        <w:pStyle w:val="Heading2"/>
      </w:pPr>
      <w:bookmarkStart w:id="901506" w:name="_Toc300001505"/>
      <w:r>
        <w:t>Article 40.7: North American Energy, Compute and Storage Initiative</w:t>
      </w:r>
      <w:bookmarkEnd w:id="901506"/>
    </w:p>
    <w:p>
      <w:pPr>
        <w:pStyle w:val="Normal"/>
      </w:pPr>
      <w:r>
        <w:t>1. The Parties establish the North American Energy, Compute and Storage Initiative (the Initiative) as a cooperative umbrella for the measures in Articles 40.8 through 40.24. The Initiative is not a separate legal person, funding body, procurement authority, project developer, or approval authority; implementation occurs through existing energy, regulatory, infrastructure, digital-trade, and emergency-management institutions.</w:t>
      </w:r>
    </w:p>
    <w:p>
      <w:pPr>
        <w:pStyle w:val="Normal"/>
      </w:pPr>
      <w:r>
        <w:t>2. The Initiative shall be implemented in a manner that preserves each Party's right to determine its energy mix, ownership rules, public-utility structure, resource-development policies, environmental requirements, national-security measures, and allocation of electricity for domestic needs.</w:t>
      </w:r>
    </w:p>
    <w:p>
      <w:pPr>
        <w:pStyle w:val="Normal"/>
      </w:pPr>
      <w:r>
        <w:t>3. No Party is required by this Article to export electricity, approve a generation or transmission project, reserve electricity for a foreign purchaser, or authorize a digital-infrastructure project that the Party determines would materially impair reliability, affordability, security, environmental protection, Indigenous or treaty rights, or essential domestic supply.</w:t>
      </w:r>
    </w:p>
    <w:p>
      <w:pPr>
        <w:pStyle w:val="Heading2"/>
      </w:pPr>
      <w:bookmarkStart w:id="901507" w:name="_Toc300001506"/>
      <w:r>
        <w:t>Article 40.8: Principles for Energy-Intensive Digital Infrastructure</w:t>
      </w:r>
      <w:bookmarkEnd w:id="901507"/>
    </w:p>
    <w:p>
      <w:pPr>
        <w:pStyle w:val="Normal"/>
      </w:pPr>
      <w:r>
        <w:t>1. For purposes of this Chapter, 'energy-intensive digital infrastructure' includes data centres, artificial-intelligence compute facilities, high-performance-computing facilities, cloud infrastructure, and other digital facilities designated by the Commission whose electricity demand is material to regional grid planning.</w:t>
      </w:r>
    </w:p>
    <w:p>
      <w:pPr>
        <w:pStyle w:val="Normal"/>
      </w:pPr>
      <w:r>
        <w:t>2. The Parties shall encourage development of such infrastructure where generation, transmission, telecommunications connectivity, cooling conditions, land, workforce, security, and community infrastructure can support the facility without material adverse effects on existing customers.</w:t>
      </w:r>
    </w:p>
    <w:p>
      <w:pPr>
        <w:pStyle w:val="Normal"/>
      </w:pPr>
      <w:r>
        <w:t>3. Treatment under the Initiative shall be technology-neutral and ownership-neutral except where a Party applies a measure authorized by this Agreement for national security, privacy, data sovereignty, critical-infrastructure protection, or investment screening.</w:t>
      </w:r>
    </w:p>
    <w:p>
      <w:pPr>
        <w:pStyle w:val="Heading2"/>
      </w:pPr>
      <w:bookmarkStart w:id="901508" w:name="_Toc300001507"/>
      <w:r>
        <w:t>Article 40.9: Build-the-Power-with-the-Load Principle</w:t>
      </w:r>
      <w:bookmarkEnd w:id="901508"/>
    </w:p>
    <w:p>
      <w:pPr>
        <w:pStyle w:val="Normal"/>
      </w:pPr>
      <w:r>
        <w:t>1. A Party may condition expedited treatment, public support, preferential infrastructure access, or designation under Annex 40-A for a large new digital load on commitments to provide or finance incremental generation, transmission, storage, demand-response capability, efficiency improvements, or other grid-supporting resources reasonably proportionate to the project's expected system impact.</w:t>
      </w:r>
    </w:p>
    <w:p>
      <w:pPr>
        <w:pStyle w:val="Normal"/>
      </w:pPr>
      <w:r>
        <w:t>2. Where practicable, qualifying projects should demonstrate that incremental electricity demand is matched over an appropriate planning horizon by incremental dependable capacity or by equivalent verified system benefits.</w:t>
      </w:r>
    </w:p>
    <w:p>
      <w:pPr>
        <w:pStyle w:val="Normal"/>
      </w:pPr>
      <w:r>
        <w:t>3. Nothing in this Article requires a Party to socialize project-specific network costs across residential or small-business customers.</w:t>
      </w:r>
    </w:p>
    <w:p>
      <w:pPr>
        <w:pStyle w:val="Heading2"/>
      </w:pPr>
      <w:bookmarkStart w:id="901509" w:name="_Toc300001508"/>
      <w:r>
        <w:t>Article 40.10: Strategic Compute and Energy Zones</w:t>
      </w:r>
      <w:bookmarkEnd w:id="901509"/>
    </w:p>
    <w:p>
      <w:pPr>
        <w:pStyle w:val="Normal"/>
      </w:pPr>
      <w:r>
        <w:t>1. A Party may designate Strategic Compute and Energy Zones in locations that satisfy objective criteria established in Annex 40-A, including grid capability, transmission headroom or expansion plans, redundant telecommunications connectivity, appropriate industrial land, cooling and water feasibility, workforce access, physical and cyber security, and capacity for responsible expansion.</w:t>
      </w:r>
    </w:p>
    <w:p>
      <w:pPr>
        <w:pStyle w:val="Normal"/>
      </w:pPr>
      <w:r>
        <w:t>2. Designation shall not create an entitlement to project approval. Each project remains subject to applicable federal, state, provincial, territorial, local, Indigenous, environmental, utility, land-use, privacy, security, and investment-review requirements.</w:t>
      </w:r>
    </w:p>
    <w:p>
      <w:pPr>
        <w:pStyle w:val="Normal"/>
      </w:pPr>
      <w:r>
        <w:t>3. The Parties shall encourage, where technically and economically appropriate, siting that enables productive use of waste heat, industrial symbiosis, district energy, greenhouse heating, water heating, or other beneficial thermal uses.</w:t>
      </w:r>
    </w:p>
    <w:p>
      <w:pPr>
        <w:pStyle w:val="Heading2"/>
      </w:pPr>
      <w:bookmarkStart w:id="901510" w:name="_Toc300001509"/>
      <w:r>
        <w:t>Article 40.11: Cross-Border Clean Power and Compute Corridors</w:t>
      </w:r>
      <w:bookmarkEnd w:id="901510"/>
    </w:p>
    <w:p>
      <w:pPr>
        <w:pStyle w:val="Normal"/>
      </w:pPr>
      <w:r>
        <w:t>1. The Parties shall identify opportunities for voluntary cross-border arrangements linking dependable electricity supply, energy storage, transmission capacity, telecommunications capacity, and energy-intensive digital infrastructure.</w:t>
      </w:r>
    </w:p>
    <w:p>
      <w:pPr>
        <w:pStyle w:val="Normal"/>
      </w:pPr>
      <w:r>
        <w:t>2. Such arrangements may include firm power, flexible power, interruptible power, surplus-energy products, capacity products, ancillary services, demand response, storage services, or other products recognized by the relevant market or regulatory authority.</w:t>
      </w:r>
    </w:p>
    <w:p>
      <w:pPr>
        <w:pStyle w:val="Normal"/>
      </w:pPr>
      <w:r>
        <w:t>3. A cross-border arrangement under this Article shall not diminish a Party's authority to prioritize domestic reliability or to curtail exports where necessary and consistent with this Agreement.</w:t>
      </w:r>
    </w:p>
    <w:p>
      <w:pPr>
        <w:pStyle w:val="Normal"/>
      </w:pPr>
      <w:r>
        <w:t>4. The Parties shall encourage long-term commercial arrangements capable of supporting financing of incremental generation, transmission, storage, and digital infrastructure where the costs and benefits are allocated transparently among beneficiaries.</w:t>
      </w:r>
    </w:p>
    <w:p>
      <w:pPr>
        <w:pStyle w:val="Heading2"/>
      </w:pPr>
      <w:bookmarkStart w:id="901511" w:name="_Toc300001510"/>
      <w:r>
        <w:t>Article 40.12: Domestic Reliability and Anti-Crowding-Out Safeguard</w:t>
      </w:r>
      <w:bookmarkEnd w:id="901511"/>
    </w:p>
    <w:p>
      <w:pPr>
        <w:pStyle w:val="Normal"/>
      </w:pPr>
      <w:r>
        <w:t>1. No designation, facilitation measure, or cooperation arrangement under the Initiative shall require a regulator, system operator, utility, or government to approve service that would create an unacceptable reliability risk under applicable standards.</w:t>
      </w:r>
    </w:p>
    <w:p>
      <w:pPr>
        <w:pStyle w:val="Normal"/>
      </w:pPr>
      <w:r>
        <w:t>2. A Party may require large digital loads receiving benefits under the Initiative to participate in demand response, curtailment, backup-power, storage, or other reliability programs on transparent and non-discriminatory terms.</w:t>
      </w:r>
    </w:p>
    <w:p>
      <w:pPr>
        <w:pStyle w:val="Normal"/>
      </w:pPr>
      <w:r>
        <w:t>3. The Parties shall seek to prevent infrastructure arrangements in which the principal costs of serving a new energy-intensive digital load are shifted disproportionately to households, small businesses, or existing industrial customers that do not benefit from the project.</w:t>
      </w:r>
    </w:p>
    <w:p>
      <w:pPr>
        <w:pStyle w:val="Heading2"/>
      </w:pPr>
      <w:bookmarkStart w:id="901512" w:name="_Toc300001511"/>
      <w:r>
        <w:t>Article 40.13: Reciprocal Electricity Market Access</w:t>
      </w:r>
      <w:bookmarkEnd w:id="901512"/>
    </w:p>
    <w:p>
      <w:pPr>
        <w:pStyle w:val="Normal"/>
      </w:pPr>
      <w:r>
        <w:t>1. Without prejudice to Article 40.6, a transmission provider, market operator, balancing authority, or other covered entity shall apply generally applicable rules concerning interconnection, transmission capacity, congestion management, scheduling, curtailment, and market participation without discrimination based solely on the nationality or cross-border origin of an eligible supplier.</w:t>
      </w:r>
    </w:p>
    <w:p>
      <w:pPr>
        <w:pStyle w:val="Normal"/>
      </w:pPr>
      <w:r>
        <w:t>2. Differences in treatment necessary to maintain reliability, comply with physical interconnection constraints, or satisfy generally applicable regulatory requirements do not constitute discrimination where they are transparent, technically justified, proportionate, and applied without disguised protectionism.</w:t>
      </w:r>
    </w:p>
    <w:p>
      <w:pPr>
        <w:pStyle w:val="Normal"/>
      </w:pPr>
      <w:r>
        <w:t>3. At the request of a Party, the Grid Resilience Working Group shall establish a technical consultation concerning an alleged operational barrier, including sub-federal barriers, before or in parallel with consultations under Article 31.4.</w:t>
      </w:r>
    </w:p>
    <w:p>
      <w:pPr>
        <w:spacing w:before="0" w:after="0"/>
        <w:widowControl w:val="1"/>
      </w:pPr>
      <w:r>
        <w:t>4. ENERGY DUTY BEARERS AND CONSULTATION CLOCKS. Each Party shall ensure that transmission providers and other entities within the Chapter's lawful governmental coverage apply Articles 40.6 and 40.13 through its competent regulator, subject to the expressly applicable scheduled reservations. A sub-federal complaint alleging a covered Party obligation uses Article 31.4 consultation and Article 31.5 Commission good offices without expanding constitutional coverage. A requested Grid Resilience Working Group technical consultation convenes within ten days and supplies its reasoned recommendation within thirty days after request. That technical process does not toll or restart Chapter 31 clocks absent an express written agreement by the disputing Parties permitted under the governing procedure.</w:t>
      </w:r>
    </w:p>
    <w:p/>
    <w:p>
      <w:pPr>
        <w:pStyle w:val="Heading2"/>
      </w:pPr>
      <w:bookmarkStart w:id="901513" w:name="_Toc300001512"/>
      <w:r>
        <w:t>Article 40.14: Transmission, Interconnection and Permitting Cooperation</w:t>
      </w:r>
      <w:bookmarkEnd w:id="901513"/>
    </w:p>
    <w:p>
      <w:pPr>
        <w:pStyle w:val="Normal"/>
      </w:pPr>
      <w:r>
        <w:t>1. The Parties shall cooperate to identify economically justified cross-border transmission and interconnection projects, including high-voltage direct-current and other technologies capable of improving reliability, congestion management, or access to dependable low-emission generation.</w:t>
      </w:r>
    </w:p>
    <w:p>
      <w:pPr>
        <w:pStyle w:val="Normal"/>
      </w:pPr>
      <w:r>
        <w:t>2. Each Party shall endeavor to provide transparent permitting milestones, coordinated agency review where permitted by domestic law, and early identification of material information requirements for qualifying cross-border projects.</w:t>
      </w:r>
    </w:p>
    <w:p>
      <w:pPr>
        <w:pStyle w:val="Normal"/>
      </w:pPr>
      <w:r>
        <w:t>3. Nothing in this Article alters constitutional allocations of authority or requires approval of a particular project.</w:t>
      </w:r>
    </w:p>
    <w:p>
      <w:pPr>
        <w:pStyle w:val="Normal"/>
      </w:pPr>
      <w:r>
        <w:t>4. Where a project principally serves a new private load or commercial export arrangement, the Parties shall encourage beneficiary-pays or other cost-allocation methods that reduce inappropriate cost transfer to non-beneficiaries.</w:t>
      </w:r>
    </w:p>
    <w:p>
      <w:pPr>
        <w:pStyle w:val="Heading2"/>
      </w:pPr>
      <w:bookmarkStart w:id="901514" w:name="_Toc300001513"/>
      <w:r>
        <w:t>Article 40.15: Flexible Digital Load and Grid Services</w:t>
      </w:r>
      <w:bookmarkEnd w:id="901514"/>
    </w:p>
    <w:p>
      <w:pPr>
        <w:pStyle w:val="Normal"/>
      </w:pPr>
      <w:r>
        <w:t>1. The Parties recognize that energy-intensive digital infrastructure may contribute to reliability where it can adjust demand, schedule flexible workloads, use onsite storage, or provide other grid services.</w:t>
      </w:r>
    </w:p>
    <w:p>
      <w:pPr>
        <w:pStyle w:val="Normal"/>
      </w:pPr>
      <w:r>
        <w:t>2. The Grid Resilience Working Group shall develop voluntary model terms for firm, flexible, interruptible, and surplus-energy service to large digital loads, including transparent notice, curtailment, restoration, measurement, and compensation rules.</w:t>
      </w:r>
    </w:p>
    <w:p>
      <w:pPr>
        <w:pStyle w:val="Normal"/>
      </w:pPr>
      <w:r>
        <w:t>3. No Party shall require interruption of safety-critical, security-critical, or otherwise protected computing functions except under emergency authority applicable to comparable domestic loads.</w:t>
      </w:r>
    </w:p>
    <w:p>
      <w:pPr>
        <w:spacing w:before="0" w:after="0"/>
        <w:widowControl w:val="1"/>
      </w:pPr>
      <w:r>
        <w:t>4. ENERGY PROVISOS PROTECTED COMPUTE AND CURTAILMENT. Every Article 40 facilitation, support, host-benefit, compute-access and grid-service measure is administered consistently with the Party's obligations under this Agreement, including Chapter 14 performance-requirement limits, whether or not a paragraph repeats that proviso. Otherwise protected computing functions in Article 40.15(3) means functions essential to emergency response, critical public services or safe grid operation under published objective criteria, rather than all commercial compute demand. A competent grid operator may curtail a large load on documented imminent reliability necessity under the governing emergency and non-discrimination track, using comparable domestic loads where available and an objective least-harmful priority order where none exists. Essential safety functions receive practicable fallback or priority restoration, and the absence of a domestic comparator neither prohibits necessary curtailment nor permits nationality-based allocation.</w:t>
      </w:r>
    </w:p>
    <w:p/>
    <w:p>
      <w:pPr>
        <w:pStyle w:val="Heading2"/>
      </w:pPr>
      <w:bookmarkStart w:id="901515" w:name="_Toc300001514"/>
      <w:r>
        <w:t>Article 40.16: Energy Storage and Long-Duration Flexibility</w:t>
      </w:r>
      <w:bookmarkEnd w:id="901515"/>
    </w:p>
    <w:p>
      <w:pPr>
        <w:pStyle w:val="Normal"/>
      </w:pPr>
      <w:r>
        <w:t>1. The Parties shall promote interoperability, testing, deployment, and responsible industrialization of energy-storage technologies that improve grid reliability, including electrochemical, thermal, mechanical, gravitational, compressed-fluid, pumped-storage, and other technologies designated in Annex 40-A.</w:t>
      </w:r>
    </w:p>
    <w:p>
      <w:pPr>
        <w:pStyle w:val="Normal"/>
      </w:pPr>
      <w:r>
        <w:t>2. Eligibility shall be based on measurable characteristics including safety, lifecycle cost, duration, efficiency, degradation, environmental performance, supply-chain resilience, operating-temperature capability, cybersecurity where relevant, and suitability to the intended grid service.</w:t>
      </w:r>
    </w:p>
    <w:p>
      <w:pPr>
        <w:pStyle w:val="Normal"/>
      </w:pPr>
      <w:r>
        <w:t>3. No technology shall receive permanent preferred status solely by reason of its chemistry, country of origin, or inclusion in an initial version of Annex 40-A.</w:t>
      </w:r>
    </w:p>
    <w:p>
      <w:pPr>
        <w:pStyle w:val="Heading2"/>
      </w:pPr>
      <w:bookmarkStart w:id="901516" w:name="_Toc300001515"/>
      <w:r>
        <w:t>Article 40.17: Advanced Storage and Thermal-Energy Demonstration Pathway</w:t>
      </w:r>
      <w:bookmarkEnd w:id="901516"/>
    </w:p>
    <w:p>
      <w:pPr>
        <w:pStyle w:val="Normal"/>
      </w:pPr>
      <w:r>
        <w:t>1. The Parties may establish jointly recognized demonstration pathways for emerging storage and dispatchable renewable technologies, including sodium-ion electrochemical storage, molten-salt thermal storage, concentrated solar thermal systems, power-to-heat storage, and successor technologies.</w:t>
      </w:r>
    </w:p>
    <w:p>
      <w:pPr>
        <w:pStyle w:val="Normal"/>
      </w:pPr>
      <w:r>
        <w:t>2. A demonstration receiving benefits under this Article shall define testable performance objectives, independently measurable data, safety requirements, winter and extreme-weather performance where relevant, lifecycle and maintenance reporting, and criteria for continuation, modification, scale-up, or termination.</w:t>
      </w:r>
    </w:p>
    <w:p>
      <w:pPr>
        <w:pStyle w:val="Normal"/>
      </w:pPr>
      <w:r>
        <w:t>3. Successful demonstration does not by itself confer originating status under Chapter 4 or an entitlement to procurement preference, subsidy, or market access beyond that otherwise provided by this Agreement.</w:t>
      </w:r>
    </w:p>
    <w:p>
      <w:pPr>
        <w:pStyle w:val="Heading2"/>
      </w:pPr>
      <w:bookmarkStart w:id="901517" w:name="_Toc300001516"/>
      <w:r>
        <w:t>Article 40.18: Curtailment-to-Storage and Surplus-Energy Utilization</w:t>
      </w:r>
      <w:bookmarkEnd w:id="901517"/>
    </w:p>
    <w:p>
      <w:pPr>
        <w:pStyle w:val="Normal"/>
      </w:pPr>
      <w:r>
        <w:t>1. The Parties shall encourage market rules that, where consistent with reliability and domestic law, permit storage, thermal loads, flexible digital loads, and other controllable resources to absorb electricity that would otherwise be curtailed or economically stranded.</w:t>
      </w:r>
    </w:p>
    <w:p>
      <w:pPr>
        <w:pStyle w:val="Normal"/>
      </w:pPr>
      <w:r>
        <w:t>2. Programs under this Article shall use transparent measurement and settlement and shall not be administered so as to disguise an export subsidy or discriminate against an eligible supplier of another Party.</w:t>
      </w:r>
    </w:p>
    <w:p>
      <w:pPr>
        <w:pStyle w:val="Normal"/>
      </w:pPr>
      <w:r>
        <w:t>3. The Grid Resilience Working Group may develop common measurement principles for avoided curtailment, delivered flexibility, and capacity contribution.</w:t>
      </w:r>
    </w:p>
    <w:p>
      <w:pPr>
        <w:pStyle w:val="Heading2"/>
      </w:pPr>
      <w:bookmarkStart w:id="901518" w:name="_Toc300001517"/>
      <w:r>
        <w:t>Article 40.19: Foreign Strategic Technology Integration</w:t>
      </w:r>
      <w:bookmarkEnd w:id="901518"/>
    </w:p>
    <w:p>
      <w:pPr>
        <w:pStyle w:val="Normal"/>
      </w:pPr>
      <w:r>
        <w:t>1. A Party may facilitate demonstration, licensing, joint ventures, manufacturing, assembly, research, or deployment involving energy technologies originating outside North America where the Party determines that doing so advances energy security, affordability, resilience, emissions reduction, or industrial capability.</w:t>
      </w:r>
    </w:p>
    <w:p>
      <w:pPr>
        <w:pStyle w:val="Normal"/>
      </w:pPr>
      <w:r>
        <w:t>2. Such facilitation does not alter the rules of origin of Chapter 4. A non-originating technology or product shall acquire originating status only in accordance with the applicable rule of origin and not merely by importation, installation, packaging, or transshipment through the territory of a Party.</w:t>
      </w:r>
    </w:p>
    <w:p>
      <w:pPr>
        <w:pStyle w:val="Normal"/>
      </w:pPr>
      <w:r>
        <w:t>3. The Parties shall encourage arrangements that increase North American technical capability through legitimate manufacturing, engineering participation, servicing capacity, workforce development, research collaboration, licensing, or other substantial value creation.</w:t>
      </w:r>
    </w:p>
    <w:p>
      <w:pPr>
        <w:pStyle w:val="Normal"/>
      </w:pPr>
      <w:r>
        <w:t>4. Nothing in this Article limits a Party's authority to apply investment screening, sanctions, export controls, cybersecurity requirements, procurement restrictions, or critical-infrastructure protections consistent with this Agreement.</w:t>
      </w:r>
    </w:p>
    <w:p>
      <w:pPr>
        <w:pStyle w:val="Heading2"/>
      </w:pPr>
      <w:bookmarkStart w:id="901519" w:name="_Toc300001518"/>
      <w:r>
        <w:t>Article 40.20: Critical Infrastructure Cybersecurity and Trusted Systems</w:t>
      </w:r>
      <w:bookmarkEnd w:id="901519"/>
    </w:p>
    <w:p>
      <w:pPr>
        <w:pStyle w:val="Normal"/>
      </w:pPr>
      <w:r>
        <w:t>1. Grid-control systems, bulk-power operational technology, sovereign or government compute, security-sensitive telecommunications, and other systems designated by a Party as critical infrastructure may be subject to enhanced cybersecurity, data-governance, supply-chain assurance, testing, access-control, and trusted-supplier requirements.</w:t>
      </w:r>
    </w:p>
    <w:p>
      <w:pPr>
        <w:pStyle w:val="Normal"/>
      </w:pPr>
      <w:r>
        <w:t>2. Such requirements should, where practicable, be risk-based, transparent as to their general criteria, and no more trade-restrictive than reasonably necessary to address the identified risk. Country of origin or manufacture alone shall not be dispositive; administration of this Article is subject to Article 32.F.</w:t>
      </w:r>
    </w:p>
    <w:p>
      <w:pPr>
        <w:pStyle w:val="Normal"/>
      </w:pPr>
      <w:r>
        <w:t>3. The Parties shall cooperate on incident reporting, secure-by-design standards, software and firmware integrity, supply-chain provenance, and recovery planning for covered systems.</w:t>
      </w:r>
    </w:p>
    <w:p>
      <w:pPr>
        <w:pStyle w:val="Heading2"/>
      </w:pPr>
      <w:bookmarkStart w:id="901520" w:name="_Toc300001519"/>
      <w:r>
        <w:t>Article 40.21: Canadian, United States and Mexican Compute Access and Sovereignty</w:t>
      </w:r>
      <w:bookmarkEnd w:id="901520"/>
    </w:p>
    <w:p>
      <w:pPr>
        <w:pStyle w:val="Normal"/>
      </w:pPr>
      <w:r>
        <w:t>1. Nothing in the Initiative requires a Party to surrender authority over data residency, privacy, public-sector data, national-security information, or sovereign computing requirements.</w:t>
      </w:r>
    </w:p>
    <w:p>
      <w:pPr>
        <w:pStyle w:val="Normal"/>
      </w:pPr>
      <w:r>
        <w:t>2. A Party granting material public support or preferential infrastructure treatment to a qualifying compute facility may require reasonable commitments concerning domestic commercial access, research access, workforce development, domestic service availability, or sovereign capacity, provided that such commitments are transparent and consistent with the Party's obligations under this Agreement.</w:t>
      </w:r>
    </w:p>
    <w:p>
      <w:pPr>
        <w:pStyle w:val="Normal"/>
      </w:pPr>
      <w:r>
        <w:t>3. The Parties shall encourage cross-border interoperability and commercial access while preserving the ability of each Party to maintain sovereign compute capacity under its own law and governance.</w:t>
      </w:r>
    </w:p>
    <w:p>
      <w:pPr>
        <w:pStyle w:val="Heading2"/>
      </w:pPr>
      <w:bookmarkStart w:id="901521" w:name="_Toc300001520"/>
      <w:r>
        <w:t>Article 40.22: Fibre, Telecommunications and Data-Movement Resilience</w:t>
      </w:r>
      <w:bookmarkEnd w:id="901521"/>
    </w:p>
    <w:p>
      <w:pPr>
        <w:pStyle w:val="Normal"/>
      </w:pPr>
      <w:r>
        <w:t>1. The Parties recognize that, where electricity transmission is constrained, locating compute near dependable generation and moving data through high-capacity telecommunications networks may reduce system costs and improve resilience.</w:t>
      </w:r>
    </w:p>
    <w:p>
      <w:pPr>
        <w:pStyle w:val="Normal"/>
      </w:pPr>
      <w:r>
        <w:t>2. The Parties shall cooperate to identify bottlenecks in cross-border and interregional fibre capacity serving Strategic Compute and Energy Zones and to encourage geographically diverse, redundant, secure routes.</w:t>
      </w:r>
    </w:p>
    <w:p>
      <w:pPr>
        <w:pStyle w:val="Normal"/>
      </w:pPr>
      <w:r>
        <w:t>3. This Article shall be implemented consistently with Chapter 18, Chapter 19, applicable privacy law, cybersecurity requirements, and each Party's authority over telecommunications and national security.</w:t>
      </w:r>
    </w:p>
    <w:p>
      <w:pPr>
        <w:pStyle w:val="Heading2"/>
      </w:pPr>
      <w:bookmarkStart w:id="901522" w:name="_Toc300001521"/>
      <w:r>
        <w:t>Article 40.23: Host-Community, Workforce and Indigenous Participation</w:t>
      </w:r>
      <w:bookmarkEnd w:id="901522"/>
    </w:p>
    <w:p>
      <w:pPr>
        <w:pStyle w:val="Normal"/>
      </w:pPr>
      <w:r>
        <w:t>1. A Party may require or encourage qualifying projects to provide tangible host-region benefits, including apprenticeships, workforce training, local infrastructure contributions, grid upgrades, research partnerships, emergency-services support, or other measures reasonably related to the project.</w:t>
      </w:r>
    </w:p>
    <w:p>
      <w:pPr>
        <w:pStyle w:val="Normal"/>
      </w:pPr>
      <w:r>
        <w:t>2. Projects shall comply with each Party's applicable obligations concerning Indigenous Peoples, consultation, treaty rights, land rights, and participation.</w:t>
      </w:r>
    </w:p>
    <w:p>
      <w:pPr>
        <w:pStyle w:val="Normal"/>
      </w:pPr>
      <w:r>
        <w:t>3. The Parties shall exchange best practices for community-benefit arrangements without establishing a uniform mandatory model.</w:t>
      </w:r>
    </w:p>
    <w:p>
      <w:pPr>
        <w:pStyle w:val="Normal"/>
      </w:pPr>
      <w:r>
        <w:t>4. Notwithstanding any other provision of this Article, each Party shall ensure that all energy transition initiatives implemented under Chapter 40 are accompanied by Chapter 23-B protections (North American Just Transition and Worker Security Framework), including:</w:t>
      </w:r>
    </w:p>
    <w:p>
      <w:pPr>
        <w:pStyle w:val="ListBullet"/>
      </w:pPr>
      <w:r>
        <w:t>Identification of energy workers meeting the materially impacted Affected Worker definition in Article 23-B.2, including affected contractors and informal workers on its terms</w:t>
      </w:r>
    </w:p>
    <w:p>
      <w:pPr>
        <w:pStyle w:val="ListBullet"/>
      </w:pPr>
      <w:r>
        <w:t>Access to income support and retraining under Articles 23-B.3–23-B.4</w:t>
      </w:r>
    </w:p>
    <w:p>
      <w:pPr>
        <w:pStyle w:val="ListBullet"/>
      </w:pPr>
      <w:r>
        <w:t>Community resilience support under Article 23-B.6 for communities dependent on fossil fuel energy production</w:t>
      </w:r>
    </w:p>
    <w:p>
      <w:pPr>
        <w:pStyle w:val="ListBullet"/>
      </w:pPr>
      <w:r>
        <w:t>Participation of energy workers and affected communities in transition planning through Community Steering Committees</w:t>
      </w:r>
    </w:p>
    <w:p>
      <w:pPr>
        <w:pStyle w:val="Normal"/>
      </w:pPr>
      <w:r>
        <w:t>5. Energy transitions shall not proceed ahead of Chapter 23-B support mechanisms being in place and operational.</w:t>
      </w:r>
    </w:p>
    <w:p>
      <w:pPr>
        <w:spacing w:before="0" w:after="0"/>
        <w:widowControl w:val="1"/>
      </w:pPr>
      <w:r>
        <w:t>6. ENERGY TRANSITION GATE SCOPE READINESS AND RELIABILITY. Articles 40.23(4) and (5) govern a government-adopted Chapter 40 transition measure reasonably expected to materially displace an Affected Worker or community under Article 23-B.2, rather than every private project, routine operation or energy-mix choice. Operational support means the applicable benefits, receiving channel and responsible authority required for that phase under Article 23-B.12 are available through the competent bodies or its lawful interim arrangements, with affected-community plan approval using the Chapter 23-B sixty-six-percent rule when that stage applies. The existing Chapter 23-B Board records readiness within thirty days after the measure's notice, a Party dispute uses Article 23-B.11, and committee formation dates do not postpone benefits already due. Immediate action necessary to prevent documented imminent grid failure may precede completed transition planning under the governing emergency track, but shall use available interim worker support from the outset and complete the required transition assessment within thirty days without postponing or reducing Article 32.H-protected benefits.</w:t>
      </w:r>
    </w:p>
    <w:p/>
    <w:p>
      <w:pPr>
        <w:pStyle w:val="Heading2"/>
      </w:pPr>
      <w:bookmarkStart w:id="901523" w:name="_Toc300001522"/>
      <w:r>
        <w:t>Article 40.24: Implementation, Metrics and Review</w:t>
      </w:r>
      <w:bookmarkEnd w:id="901523"/>
    </w:p>
    <w:p>
      <w:pPr>
        <w:pStyle w:val="Normal"/>
      </w:pPr>
      <w:r>
        <w:t>1. The Economic Security and Supply Chain Resilience Subcommittee shall coordinate implementation of the Initiative, using the Grid Resilience Working Group for technical electricity and emergency-management matters and consulting the Committee on Digital Trade Cooperation only where digital-trade, telecommunications, data-movement, or cybersecurity issues materially require it. No body shall require substantially duplicative reporting for the same project or measure.</w:t>
      </w:r>
    </w:p>
    <w:p>
      <w:pPr>
        <w:pStyle w:val="Normal"/>
      </w:pPr>
      <w:r>
        <w:t>2. Within 12 months of entry into force of this Article, the Working Group shall publish non-binding baseline metrics covering major new digital loads, dependable generation additions, storage deployment, material transmission constraints, cross-border transfer capability, critical-equipment bottlenecks, and relevant telecommunications constraints, subject to protection of confidential and security-sensitive information.</w:t>
      </w:r>
    </w:p>
    <w:p>
      <w:pPr>
        <w:pStyle w:val="Normal"/>
      </w:pPr>
      <w:r>
        <w:t>3. The Working Group shall review Annex 40-A at least once every two years and may recommend technical updates through the Structured Technical Amendment Procedure in Article 34.3.A.</w:t>
      </w:r>
    </w:p>
    <w:p>
      <w:pPr>
        <w:pStyle w:val="Normal"/>
      </w:pPr>
      <w:r>
        <w:t>4. No review under this Article shall authorize the Commission to amend a substantive obligation of this Chapter through a technical annex.</w:t>
      </w:r>
    </w:p>
    <w:p>
      <w:pPr>
        <w:pStyle w:val="Heading1"/>
      </w:pPr>
      <w:bookmarkStart w:id="901524" w:name="_Toc300001523"/>
      <w:r>
        <w:t>ANNEX 40-A</w:t>
      </w:r>
      <w:r>
        <w:br/>
      </w:r>
      <w:r>
        <w:t>NORTH AMERICAN ENERGY, COMPUTE AND STORAGE IMPLEMENTATION FRAMEWORK</w:t>
      </w:r>
      <w:bookmarkEnd w:id="901524"/>
    </w:p>
    <w:p>
      <w:pPr>
        <w:pStyle w:val="Heading3"/>
      </w:pPr>
      <w:r>
        <w:t>Part 1: Qualification Criteria</w:t>
      </w:r>
    </w:p>
    <w:p>
      <w:pPr>
        <w:pStyle w:val="ListBullet"/>
        <w:numPr>
          <w:ilvl w:val="0"/>
          <w:numId w:val="1"/>
        </w:numPr>
      </w:pPr>
      <w:r>
        <w:t>Grid readiness: demonstrated ability to serve the proposed load or a binding plan for incremental capacity.</w:t>
      </w:r>
    </w:p>
    <w:p>
      <w:pPr>
        <w:pStyle w:val="ListBullet"/>
        <w:numPr>
          <w:ilvl w:val="0"/>
          <w:numId w:val="1"/>
        </w:numPr>
      </w:pPr>
      <w:r>
        <w:t>Incremental-system contribution: generation, storage, transmission, demand response, efficiency, or equivalent measurable support proportionate to the project's system impact.</w:t>
      </w:r>
    </w:p>
    <w:p>
      <w:pPr>
        <w:pStyle w:val="ListBullet"/>
        <w:numPr>
          <w:ilvl w:val="0"/>
          <w:numId w:val="1"/>
        </w:numPr>
      </w:pPr>
      <w:r>
        <w:t>Telecommunications resilience: at least two reasonably independent high-capacity routes where commercially and technically practicable.</w:t>
      </w:r>
    </w:p>
    <w:p>
      <w:pPr>
        <w:pStyle w:val="ListBullet"/>
        <w:numPr>
          <w:ilvl w:val="0"/>
          <w:numId w:val="1"/>
        </w:numPr>
      </w:pPr>
      <w:r>
        <w:t>Cooling and water: documented cooling strategy, water demand, drought exposure, and feasible low-water or reclaimed-water alternatives where local conditions warrant.</w:t>
      </w:r>
    </w:p>
    <w:p>
      <w:pPr>
        <w:pStyle w:val="ListBullet"/>
        <w:numPr>
          <w:ilvl w:val="0"/>
          <w:numId w:val="1"/>
        </w:numPr>
      </w:pPr>
      <w:r>
        <w:t>Security: physical security, cyber risk management, supply-chain assurance, and incident-recovery planning proportionate to the facility's function.</w:t>
      </w:r>
    </w:p>
    <w:p>
      <w:pPr>
        <w:pStyle w:val="ListBullet"/>
        <w:numPr>
          <w:ilvl w:val="0"/>
          <w:numId w:val="1"/>
        </w:numPr>
      </w:pPr>
      <w:r>
        <w:t>Scalability: expansion shall be considered in the original system-impact assessment rather than treated as automatically entitled incremental load.</w:t>
      </w:r>
    </w:p>
    <w:p>
      <w:pPr>
        <w:pStyle w:val="ListBullet"/>
        <w:numPr>
          <w:ilvl w:val="0"/>
          <w:numId w:val="1"/>
        </w:numPr>
      </w:pPr>
      <w:r>
        <w:t>Community impact: land use, municipal services, emergency response, workforce, housing pressure, noise, and other locally material effects.</w:t>
      </w:r>
    </w:p>
    <w:p>
      <w:pPr>
        <w:pStyle w:val="ListBullet"/>
        <w:numPr>
          <w:ilvl w:val="0"/>
          <w:numId w:val="1"/>
        </w:numPr>
      </w:pPr>
      <w:r>
        <w:t>Energy efficiency: reporting of power usage effectiveness or successor metrics appropriate to the facility, without establishing a single permanent treaty threshold.</w:t>
      </w:r>
    </w:p>
    <w:p>
      <w:pPr>
        <w:pStyle w:val="Heading3"/>
      </w:pPr>
      <w:r>
        <w:t>Part 2: Eligible Energy and Storage Technologies</w:t>
      </w:r>
    </w:p>
    <w:p>
      <w:pPr>
        <w:pStyle w:val="Normal"/>
      </w:pPr>
      <w:r>
        <w:t>The following categories are initially eligible for cooperation, demonstration, technical standardization, or project qualification. Inclusion does not imply subsidy, procurement preference, originating status, or a finding of commercial superiority:</w:t>
      </w:r>
    </w:p>
    <w:p>
      <w:pPr>
        <w:pStyle w:val="ListBullet"/>
        <w:numPr>
          <w:ilvl w:val="0"/>
          <w:numId w:val="1"/>
        </w:numPr>
      </w:pPr>
      <w:r>
        <w:t>Reservoir hydroelectric generation and pumped-storage hydroelectricity.</w:t>
      </w:r>
    </w:p>
    <w:p>
      <w:pPr>
        <w:spacing w:before="0" w:after="0"/>
        <w:widowControl w:val="1"/>
      </w:pPr>
      <w:r>
        <w:t>1. DIGITAL LOAD AND PROJECT DESIGNATION. For Chapter 40, energy-intensive digital infrastructure means the data-centre, AI, high-performance-compute or cloud facility categories in Article 40.8 whose documented incremental demand materially affects regional grid planning. Large new digital load means an incremental load requiring a material network or generation upgrade under the competent grid regulator's published generally applicable planning criteria, with no different threshold based on nationality. A qualifying project or facility meets the published objective technical, safety, permitting and program criteria for the specific optional measure, and the competent domestic energy regulator designates a zone or eligible facility with reasons after notice and a reasonable opportunity to supply evidence. Annex 40-A records those criteria and decisions and does not itself supply an unpublished designation, with disputed domestic eligibility reviewed by the competent domestic tribunal and a Party treaty dispute under Chapter 31.</w:t>
      </w:r>
    </w:p>
    <w:p/>
    <w:p>
      <w:pPr>
        <w:pStyle w:val="ListBullet"/>
        <w:numPr>
          <w:ilvl w:val="0"/>
          <w:numId w:val="1"/>
        </w:numPr>
      </w:pPr>
      <w:r>
        <w:t>Nuclear generation, including existing fleets and qualifying advanced reactors under applicable domestic licensing.</w:t>
      </w:r>
    </w:p>
    <w:p>
      <w:pPr>
        <w:pStyle w:val="ListBullet"/>
        <w:numPr>
          <w:ilvl w:val="0"/>
          <w:numId w:val="1"/>
        </w:numPr>
      </w:pPr>
      <w:r>
        <w:t>Wind and photovoltaic generation.</w:t>
      </w:r>
    </w:p>
    <w:p>
      <w:pPr>
        <w:pStyle w:val="ListBullet"/>
        <w:numPr>
          <w:ilvl w:val="0"/>
          <w:numId w:val="1"/>
        </w:numPr>
      </w:pPr>
      <w:r>
        <w:t>Concentrated solar thermal generation and molten-salt or successor thermal-energy storage where site resources are suitable.</w:t>
      </w:r>
    </w:p>
    <w:p>
      <w:pPr>
        <w:pStyle w:val="ListBullet"/>
        <w:numPr>
          <w:ilvl w:val="0"/>
          <w:numId w:val="1"/>
        </w:numPr>
      </w:pPr>
      <w:r>
        <w:t>Sodium-ion, lithium-ion, flow-battery, metal-air, and successor electrochemical storage.</w:t>
      </w:r>
    </w:p>
    <w:p>
      <w:pPr>
        <w:pStyle w:val="ListBullet"/>
        <w:numPr>
          <w:ilvl w:val="0"/>
          <w:numId w:val="1"/>
        </w:numPr>
      </w:pPr>
      <w:r>
        <w:t>Thermal storage, including power-to-heat systems capable of absorbing surplus electricity.</w:t>
      </w:r>
    </w:p>
    <w:p>
      <w:pPr>
        <w:pStyle w:val="ListBullet"/>
        <w:numPr>
          <w:ilvl w:val="0"/>
          <w:numId w:val="1"/>
        </w:numPr>
      </w:pPr>
      <w:r>
        <w:t>Compressed-air, liquid-air, gravitational, flywheel, and other mechanical storage.</w:t>
      </w:r>
    </w:p>
    <w:p>
      <w:pPr>
        <w:pStyle w:val="ListBullet"/>
        <w:numPr>
          <w:ilvl w:val="0"/>
          <w:numId w:val="1"/>
        </w:numPr>
      </w:pPr>
      <w:r>
        <w:t>Demand-response systems, controllable industrial loads, and flexible compute loads.</w:t>
      </w:r>
    </w:p>
    <w:p>
      <w:pPr>
        <w:pStyle w:val="ListBullet"/>
        <w:numPr>
          <w:ilvl w:val="0"/>
          <w:numId w:val="1"/>
        </w:numPr>
      </w:pPr>
      <w:r>
        <w:t>Grid-forming inverters, advanced power electronics, transformers, switchgear, high-voltage equipment, and grid-control technologies.</w:t>
      </w:r>
    </w:p>
    <w:p>
      <w:pPr>
        <w:pStyle w:val="Heading3"/>
      </w:pPr>
      <w:r>
        <w:t>Part 3: Power Product Model</w:t>
      </w:r>
    </w:p>
    <w:tbl>
      <w:tblPr>
        <w:tblStyle w:val="TableGrid"/>
        <w:tblW w:w="9576" w:type="dxa"/>
        <w:jc w:val="center"/>
        <w:tblInd w:w="0"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2391"/>
        <w:gridCol w:w="2392"/>
        <w:gridCol w:w="2394"/>
        <w:gridCol w:w="2398"/>
      </w:tblGrid>
      <w:tr>
        <w:trPr>
          <w:tblHeader w:val="true"/>
          <w:cantSplit w:val="true"/>
          <w:tblHeader w:val="true"/>
        </w:trPr>
        <w:tc>
          <w:tcPr>
            <w:tcW w:w="2391" w:type="dxa"/>
            <w:tcBorders>
              <w:bottom w:val="single" w:sz="6" w:space="0" w:color="546E7A"/>
            </w:tcBorders>
            <w:shd w:fill="E4E9EC" w:val="clear" w:color="auto"/>
          </w:tcPr>
          <w:p>
            <w:pPr>
              <w:pStyle w:val="TableText"/>
              <w:jc w:val="left"/>
            </w:pPr>
            <w:r>
              <w:rPr>
                <w:b/>
                <w:color w:val="37474F"/>
                <w:lang w:val="en-US" w:eastAsia="en-US" w:bidi="ar-SA"/>
              </w:rPr>
              <w:t>Product</w:t>
            </w:r>
          </w:p>
        </w:tc>
        <w:tc>
          <w:tcPr>
            <w:tcW w:w="2392" w:type="dxa"/>
            <w:tcBorders>
              <w:bottom w:val="single" w:sz="6" w:space="0" w:color="546E7A"/>
            </w:tcBorders>
            <w:shd w:fill="E4E9EC" w:val="clear" w:color="auto"/>
          </w:tcPr>
          <w:p>
            <w:pPr>
              <w:pStyle w:val="TableText"/>
              <w:jc w:val="left"/>
            </w:pPr>
            <w:r>
              <w:rPr>
                <w:b/>
                <w:color w:val="37474F"/>
                <w:lang w:val="en-US" w:eastAsia="en-US" w:bidi="ar-SA"/>
              </w:rPr>
              <w:t>Reliability Character</w:t>
            </w:r>
          </w:p>
        </w:tc>
        <w:tc>
          <w:tcPr>
            <w:tcW w:w="2394" w:type="dxa"/>
            <w:tcBorders>
              <w:bottom w:val="single" w:sz="6" w:space="0" w:color="546E7A"/>
            </w:tcBorders>
            <w:shd w:fill="E4E9EC" w:val="clear" w:color="auto"/>
          </w:tcPr>
          <w:p>
            <w:pPr>
              <w:pStyle w:val="TableText"/>
              <w:jc w:val="left"/>
            </w:pPr>
            <w:r>
              <w:rPr>
                <w:b/>
                <w:color w:val="37474F"/>
                <w:lang w:val="en-US" w:eastAsia="en-US" w:bidi="ar-SA"/>
              </w:rPr>
              <w:t>Typical Use</w:t>
            </w:r>
          </w:p>
        </w:tc>
        <w:tc>
          <w:tcPr>
            <w:tcW w:w="2398" w:type="dxa"/>
            <w:tcBorders>
              <w:bottom w:val="single" w:sz="6" w:space="0" w:color="546E7A"/>
            </w:tcBorders>
            <w:shd w:fill="E4E9EC" w:val="clear" w:color="auto"/>
          </w:tcPr>
          <w:p>
            <w:pPr>
              <w:pStyle w:val="TableText"/>
              <w:jc w:val="left"/>
            </w:pPr>
            <w:r>
              <w:rPr>
                <w:b/>
                <w:color w:val="37474F"/>
                <w:lang w:val="en-US" w:eastAsia="en-US" w:bidi="ar-SA"/>
              </w:rPr>
              <w:t>Safeguard</w:t>
            </w:r>
          </w:p>
        </w:tc>
      </w:tr>
      <w:tr>
        <w:trPr>
          <w:cantSplit w:val="true"/>
        </w:trPr>
        <w:tc>
          <w:tcPr>
            <w:tcW w:w="2391" w:type="dxa"/>
            <w:tcMar>
              <w:top w:w="70" w:type="dxa"/>
              <w:start w:w="110" w:type="dxa"/>
              <w:bottom w:w="70" w:type="dxa"/>
              <w:end w:w="110" w:type="dxa"/>
            </w:tcMar>
          </w:tcPr>
          <w:p>
            <w:pPr>
              <w:pStyle w:val="TableText"/>
              <w:jc w:val="left"/>
            </w:pPr>
            <w:r>
              <w:rPr>
                <w:lang w:val="en-US" w:eastAsia="en-US" w:bidi="ar-SA"/>
              </w:rPr>
              <w:t>Firm Power</w:t>
            </w:r>
          </w:p>
        </w:tc>
        <w:tc>
          <w:tcPr>
            <w:tcW w:w="2392" w:type="dxa"/>
            <w:tcMar>
              <w:top w:w="70" w:type="dxa"/>
              <w:start w:w="110" w:type="dxa"/>
              <w:bottom w:w="70" w:type="dxa"/>
              <w:end w:w="110" w:type="dxa"/>
            </w:tcMar>
          </w:tcPr>
          <w:p>
            <w:pPr>
              <w:pStyle w:val="TableText"/>
              <w:jc w:val="left"/>
            </w:pPr>
            <w:r>
              <w:rPr>
                <w:lang w:val="en-US" w:eastAsia="en-US" w:bidi="ar-SA"/>
              </w:rPr>
              <w:t>High contractual availability</w:t>
            </w:r>
          </w:p>
        </w:tc>
        <w:tc>
          <w:tcPr>
            <w:tcW w:w="2394" w:type="dxa"/>
            <w:tcMar>
              <w:top w:w="70" w:type="dxa"/>
              <w:start w:w="110" w:type="dxa"/>
              <w:bottom w:w="70" w:type="dxa"/>
              <w:end w:w="110" w:type="dxa"/>
            </w:tcMar>
          </w:tcPr>
          <w:p>
            <w:pPr>
              <w:pStyle w:val="TableText"/>
              <w:jc w:val="left"/>
            </w:pPr>
            <w:r>
              <w:rPr>
                <w:lang w:val="en-US" w:eastAsia="en-US" w:bidi="ar-SA"/>
              </w:rPr>
              <w:t>Critical compute and industrial loads</w:t>
            </w:r>
          </w:p>
        </w:tc>
        <w:tc>
          <w:tcPr>
            <w:tcW w:w="2398" w:type="dxa"/>
            <w:tcMar>
              <w:top w:w="70" w:type="dxa"/>
              <w:start w:w="110" w:type="dxa"/>
              <w:bottom w:w="70" w:type="dxa"/>
              <w:end w:w="110" w:type="dxa"/>
            </w:tcMar>
          </w:tcPr>
          <w:p>
            <w:pPr>
              <w:pStyle w:val="TableText"/>
              <w:jc w:val="left"/>
            </w:pPr>
            <w:r>
              <w:rPr>
                <w:lang w:val="en-US" w:eastAsia="en-US" w:bidi="ar-SA"/>
              </w:rPr>
              <w:t>Subject to applicable emergency and reliability authority</w:t>
            </w:r>
          </w:p>
        </w:tc>
      </w:tr>
      <w:tr>
        <w:trPr>
          <w:cantSplit w:val="true"/>
        </w:trPr>
        <w:tc>
          <w:tcPr>
            <w:tcW w:w="2391" w:type="dxa"/>
            <w:shd w:fill="F5F7F8" w:val="clear" w:color="auto"/>
            <w:tcMar>
              <w:top w:w="70" w:type="dxa"/>
              <w:start w:w="110" w:type="dxa"/>
              <w:bottom w:w="70" w:type="dxa"/>
              <w:end w:w="110" w:type="dxa"/>
            </w:tcMar>
          </w:tcPr>
          <w:p>
            <w:pPr>
              <w:pStyle w:val="TableText"/>
              <w:jc w:val="left"/>
            </w:pPr>
            <w:r>
              <w:rPr>
                <w:lang w:val="en-US" w:eastAsia="en-US" w:bidi="ar-SA"/>
              </w:rPr>
              <w:t>Flexible Power</w:t>
            </w:r>
          </w:p>
        </w:tc>
        <w:tc>
          <w:tcPr>
            <w:tcW w:w="2392" w:type="dxa"/>
            <w:shd w:fill="F5F7F8" w:val="clear" w:color="auto"/>
            <w:tcMar>
              <w:top w:w="70" w:type="dxa"/>
              <w:start w:w="110" w:type="dxa"/>
              <w:bottom w:w="70" w:type="dxa"/>
              <w:end w:w="110" w:type="dxa"/>
            </w:tcMar>
          </w:tcPr>
          <w:p>
            <w:pPr>
              <w:pStyle w:val="TableText"/>
              <w:jc w:val="left"/>
            </w:pPr>
            <w:r>
              <w:rPr>
                <w:lang w:val="en-US" w:eastAsia="en-US" w:bidi="ar-SA"/>
              </w:rPr>
              <w:t>Scheduled or conditionally adjustable</w:t>
            </w:r>
          </w:p>
        </w:tc>
        <w:tc>
          <w:tcPr>
            <w:tcW w:w="2394" w:type="dxa"/>
            <w:shd w:fill="F5F7F8" w:val="clear" w:color="auto"/>
            <w:tcMar>
              <w:top w:w="70" w:type="dxa"/>
              <w:start w:w="110" w:type="dxa"/>
              <w:bottom w:w="70" w:type="dxa"/>
              <w:end w:w="110" w:type="dxa"/>
            </w:tcMar>
          </w:tcPr>
          <w:p>
            <w:pPr>
              <w:pStyle w:val="TableText"/>
              <w:jc w:val="left"/>
            </w:pPr>
            <w:r>
              <w:rPr>
                <w:lang w:val="en-US" w:eastAsia="en-US" w:bidi="ar-SA"/>
              </w:rPr>
              <w:t>Workloads able to shift in time</w:t>
            </w:r>
          </w:p>
        </w:tc>
        <w:tc>
          <w:tcPr>
            <w:tcW w:w="2398" w:type="dxa"/>
            <w:shd w:fill="F5F7F8" w:val="clear" w:color="auto"/>
            <w:tcMar>
              <w:top w:w="70" w:type="dxa"/>
              <w:start w:w="110" w:type="dxa"/>
              <w:bottom w:w="70" w:type="dxa"/>
              <w:end w:w="110" w:type="dxa"/>
            </w:tcMar>
          </w:tcPr>
          <w:p>
            <w:pPr>
              <w:pStyle w:val="TableText"/>
              <w:jc w:val="left"/>
            </w:pPr>
            <w:r>
              <w:rPr>
                <w:lang w:val="en-US" w:eastAsia="en-US" w:bidi="ar-SA"/>
              </w:rPr>
              <w:t>Transparent notice and restoration terms</w:t>
            </w:r>
          </w:p>
        </w:tc>
      </w:tr>
      <w:tr>
        <w:trPr>
          <w:cantSplit w:val="true"/>
        </w:trPr>
        <w:tc>
          <w:tcPr>
            <w:tcW w:w="2391" w:type="dxa"/>
            <w:tcMar>
              <w:top w:w="70" w:type="dxa"/>
              <w:start w:w="110" w:type="dxa"/>
              <w:bottom w:w="70" w:type="dxa"/>
              <w:end w:w="110" w:type="dxa"/>
            </w:tcMar>
          </w:tcPr>
          <w:p>
            <w:pPr>
              <w:pStyle w:val="TableText"/>
              <w:jc w:val="left"/>
            </w:pPr>
            <w:r>
              <w:rPr>
                <w:lang w:val="en-US" w:eastAsia="en-US" w:bidi="ar-SA"/>
              </w:rPr>
              <w:t>Interruptible Power</w:t>
            </w:r>
          </w:p>
        </w:tc>
        <w:tc>
          <w:tcPr>
            <w:tcW w:w="2392" w:type="dxa"/>
            <w:tcMar>
              <w:top w:w="70" w:type="dxa"/>
              <w:start w:w="110" w:type="dxa"/>
              <w:bottom w:w="70" w:type="dxa"/>
              <w:end w:w="110" w:type="dxa"/>
            </w:tcMar>
          </w:tcPr>
          <w:p>
            <w:pPr>
              <w:pStyle w:val="TableText"/>
              <w:jc w:val="left"/>
            </w:pPr>
            <w:r>
              <w:rPr>
                <w:lang w:val="en-US" w:eastAsia="en-US" w:bidi="ar-SA"/>
              </w:rPr>
              <w:t>Curtailable under defined conditions</w:t>
            </w:r>
          </w:p>
        </w:tc>
        <w:tc>
          <w:tcPr>
            <w:tcW w:w="2394" w:type="dxa"/>
            <w:tcMar>
              <w:top w:w="70" w:type="dxa"/>
              <w:start w:w="110" w:type="dxa"/>
              <w:bottom w:w="70" w:type="dxa"/>
              <w:end w:w="110" w:type="dxa"/>
            </w:tcMar>
          </w:tcPr>
          <w:p>
            <w:pPr>
              <w:pStyle w:val="TableText"/>
              <w:jc w:val="left"/>
            </w:pPr>
            <w:r>
              <w:rPr>
                <w:lang w:val="en-US" w:eastAsia="en-US" w:bidi="ar-SA"/>
              </w:rPr>
              <w:t>Non-critical or deferrable compute</w:t>
            </w:r>
          </w:p>
        </w:tc>
        <w:tc>
          <w:tcPr>
            <w:tcW w:w="2398" w:type="dxa"/>
            <w:tcMar>
              <w:top w:w="70" w:type="dxa"/>
              <w:start w:w="110" w:type="dxa"/>
              <w:bottom w:w="70" w:type="dxa"/>
              <w:end w:w="110" w:type="dxa"/>
            </w:tcMar>
          </w:tcPr>
          <w:p>
            <w:pPr>
              <w:pStyle w:val="TableText"/>
              <w:jc w:val="left"/>
            </w:pPr>
            <w:r>
              <w:rPr>
                <w:lang w:val="en-US" w:eastAsia="en-US" w:bidi="ar-SA"/>
              </w:rPr>
              <w:t>Lower price or other compensation reflects flexibility</w:t>
            </w:r>
          </w:p>
        </w:tc>
      </w:tr>
      <w:tr>
        <w:trPr>
          <w:cantSplit w:val="true"/>
        </w:trPr>
        <w:tc>
          <w:tcPr>
            <w:tcW w:w="2391" w:type="dxa"/>
            <w:shd w:fill="F5F7F8" w:val="clear" w:color="auto"/>
            <w:tcMar>
              <w:top w:w="70" w:type="dxa"/>
              <w:start w:w="110" w:type="dxa"/>
              <w:bottom w:w="70" w:type="dxa"/>
              <w:end w:w="110" w:type="dxa"/>
            </w:tcMar>
          </w:tcPr>
          <w:p>
            <w:pPr>
              <w:pStyle w:val="TableText"/>
              <w:jc w:val="left"/>
            </w:pPr>
            <w:r>
              <w:rPr>
                <w:lang w:val="en-US" w:eastAsia="en-US" w:bidi="ar-SA"/>
              </w:rPr>
              <w:t>Surplus Energy</w:t>
            </w:r>
          </w:p>
        </w:tc>
        <w:tc>
          <w:tcPr>
            <w:tcW w:w="2392" w:type="dxa"/>
            <w:shd w:fill="F5F7F8" w:val="clear" w:color="auto"/>
            <w:tcMar>
              <w:top w:w="70" w:type="dxa"/>
              <w:start w:w="110" w:type="dxa"/>
              <w:bottom w:w="70" w:type="dxa"/>
              <w:end w:w="110" w:type="dxa"/>
            </w:tcMar>
          </w:tcPr>
          <w:p>
            <w:pPr>
              <w:pStyle w:val="TableText"/>
              <w:jc w:val="left"/>
            </w:pPr>
            <w:r>
              <w:rPr>
                <w:lang w:val="en-US" w:eastAsia="en-US" w:bidi="ar-SA"/>
              </w:rPr>
              <w:t>Available when otherwise curtailed or economically stranded</w:t>
            </w:r>
          </w:p>
        </w:tc>
        <w:tc>
          <w:tcPr>
            <w:tcW w:w="2394" w:type="dxa"/>
            <w:shd w:fill="F5F7F8" w:val="clear" w:color="auto"/>
            <w:tcMar>
              <w:top w:w="70" w:type="dxa"/>
              <w:start w:w="110" w:type="dxa"/>
              <w:bottom w:w="70" w:type="dxa"/>
              <w:end w:w="110" w:type="dxa"/>
            </w:tcMar>
          </w:tcPr>
          <w:p>
            <w:pPr>
              <w:pStyle w:val="TableText"/>
              <w:jc w:val="left"/>
            </w:pPr>
            <w:r>
              <w:rPr>
                <w:lang w:val="en-US" w:eastAsia="en-US" w:bidi="ar-SA"/>
              </w:rPr>
              <w:t>Storage, thermal loads, opportunistic compute</w:t>
            </w:r>
          </w:p>
        </w:tc>
        <w:tc>
          <w:tcPr>
            <w:tcW w:w="2398" w:type="dxa"/>
            <w:shd w:fill="F5F7F8" w:val="clear" w:color="auto"/>
            <w:tcMar>
              <w:top w:w="70" w:type="dxa"/>
              <w:start w:w="110" w:type="dxa"/>
              <w:bottom w:w="70" w:type="dxa"/>
              <w:end w:w="110" w:type="dxa"/>
            </w:tcMar>
          </w:tcPr>
          <w:p>
            <w:pPr>
              <w:pStyle w:val="TableText"/>
              <w:jc w:val="left"/>
            </w:pPr>
            <w:r>
              <w:rPr>
                <w:lang w:val="en-US" w:eastAsia="en-US" w:bidi="ar-SA"/>
              </w:rPr>
              <w:t>No entitlement to continued supply</w:t>
            </w:r>
          </w:p>
        </w:tc>
      </w:tr>
    </w:tbl>
    <w:p>
      <w:pPr>
        <w:pStyle w:val="Heading3"/>
      </w:pPr>
      <w:r>
        <w:t>Part 4: Demonstration Discipline</w:t>
      </w:r>
    </w:p>
    <w:p>
      <w:pPr>
        <w:pStyle w:val="ListBullet"/>
        <w:numPr>
          <w:ilvl w:val="0"/>
          <w:numId w:val="1"/>
        </w:numPr>
      </w:pPr>
      <w:r>
        <w:t>Every demonstration shall state the hypothesis being tested and the commercial or grid problem it is intended to solve.</w:t>
      </w:r>
    </w:p>
    <w:p>
      <w:pPr>
        <w:pStyle w:val="ListBullet"/>
        <w:numPr>
          <w:ilvl w:val="0"/>
          <w:numId w:val="1"/>
        </w:numPr>
      </w:pPr>
      <w:r>
        <w:t>Performance claims shall be classified as measured, independently verified, modelled, vendor-stated, or provisional.</w:t>
      </w:r>
    </w:p>
    <w:p>
      <w:pPr>
        <w:pStyle w:val="ListBullet"/>
        <w:numPr>
          <w:ilvl w:val="0"/>
          <w:numId w:val="1"/>
        </w:numPr>
      </w:pPr>
      <w:r>
        <w:t>Scale-up decisions shall be based on measured performance and total-system economics, not on technology nationality or political sponsorship.</w:t>
      </w:r>
    </w:p>
    <w:p>
      <w:pPr>
        <w:pStyle w:val="ListBullet"/>
        <w:numPr>
          <w:ilvl w:val="0"/>
          <w:numId w:val="1"/>
        </w:numPr>
      </w:pPr>
      <w:r>
        <w:t>Demonstrations should include explicit stop criteria so that unsuccessful technologies do not acquire permanent support merely because capital has already been spent.</w:t>
      </w:r>
    </w:p>
    <w:p>
      <w:pPr>
        <w:pStyle w:val="ListBullet"/>
        <w:numPr>
          <w:ilvl w:val="0"/>
          <w:numId w:val="1"/>
        </w:numPr>
      </w:pPr>
      <w:r>
        <w:t>Cold-climate demonstrations shall measure freeze protection, auxiliary energy, startup, thermal cycling, material degradation, maintenance burden, and seasonal availability where relevant.</w:t>
      </w:r>
    </w:p>
    <w:p>
      <w:pPr>
        <w:pStyle w:val="Heading3"/>
      </w:pPr>
      <w:r>
        <w:t>Part 5: North American Industrialization</w:t>
      </w:r>
    </w:p>
    <w:p>
      <w:pPr>
        <w:pStyle w:val="ListBullet"/>
        <w:numPr>
          <w:ilvl w:val="0"/>
          <w:numId w:val="1"/>
        </w:numPr>
      </w:pPr>
      <w:r>
        <w:t>Projects may receive enhanced facilitation where they establish substantial North American manufacturing, engineering, assembly, testing, servicing, or R&amp;D capability.</w:t>
      </w:r>
    </w:p>
    <w:p>
      <w:pPr>
        <w:pStyle w:val="ListBullet"/>
        <w:numPr>
          <w:ilvl w:val="0"/>
          <w:numId w:val="1"/>
        </w:numPr>
      </w:pPr>
      <w:r>
        <w:t>Origin determinations remain governed exclusively by Chapter 4 and applicable uniform regulations.</w:t>
      </w:r>
    </w:p>
    <w:p>
      <w:pPr>
        <w:pStyle w:val="ListBullet"/>
        <w:numPr>
          <w:ilvl w:val="0"/>
          <w:numId w:val="1"/>
        </w:numPr>
      </w:pPr>
      <w:r>
        <w:t>Localization incentives should prioritize durable capability rather than nominal final assembly designed principally to obtain preferential treatment.</w:t>
      </w:r>
    </w:p>
    <w:p>
      <w:pPr>
        <w:pStyle w:val="ListBullet"/>
        <w:numPr>
          <w:ilvl w:val="0"/>
          <w:numId w:val="1"/>
        </w:numPr>
      </w:pPr>
      <w:r>
        <w:t>Critical equipment supply chains should be mapped under Chapter 36 and may be designated essential inputs under Annex 35-B.</w:t>
      </w:r>
    </w:p>
    <w:p>
      <w:pPr>
        <w:pStyle w:val="Heading3"/>
      </w:pPr>
      <w:r>
        <w:t>Part 6: Emergency Reciprocity</w:t>
      </w:r>
    </w:p>
    <w:p>
      <w:pPr>
        <w:pStyle w:val="Normal"/>
      </w:pPr>
      <w:r>
        <w:t>During an emergency activated under Chapter 38, the Emergency Trade Coordination Body may coordinate temporary electricity exchanges, restoration equipment, transformer inventories, mobile generation, storage resources, digital-load curtailment, and telecommunications restoration. Emergency cooperation shall preserve the domestic-reliability safeguard in Article 40.12 and shall not create a permanent export obligation.</w:t>
      </w:r>
    </w:p>
    <w:p>
      <w:pPr/>
      <w:r>
        <w:t>END OF ANNEX 40-A</w:t>
      </w:r>
    </w:p>
    <w:p>
      <w:pPr>
        <w:pStyle w:val="Heading2"/>
      </w:pPr>
      <w:bookmarkStart w:id="901543" w:name="_Toc300001542"/>
      <w:r>
        <w:t>Article 40.25: North American Energy Capacity and Corridor Optionality</w:t>
      </w:r>
      <w:bookmarkEnd w:id="901543"/>
    </w:p>
    <w:p>
      <w:pPr>
        <w:pStyle w:val="Normal"/>
      </w:pPr>
      <w:r>
        <w:t>1. The Parties pursue measurable improvements in cross-border energy capacity, reliability, resilience, safety, market access, and emergency continuity through a portfolio of commercially, technically, environmentally, and regulatorily viable pathways.</w:t>
      </w:r>
    </w:p>
    <w:p>
      <w:pPr>
        <w:pStyle w:val="Normal"/>
      </w:pPr>
      <w:r>
        <w:t>2. The objective is functional performance rather than construction of any specifically named asset. Qualifying pathways include existing commercial projects; existing-corridor optimization; new infrastructure; transmission and interconnection; storage; terminal and refinery access; critical-mineral processing; emergency supply arrangements; environmental and safety modernization; workforce and regulatory cooperation; and validated experimental technologies.</w:t>
      </w:r>
    </w:p>
    <w:p>
      <w:pPr>
        <w:pStyle w:val="Normal"/>
      </w:pPr>
      <w:r>
        <w:t>3. The Parties preserve domestic constitutional authority, environmental review, Indigenous rights and consultation, landowner rights, safety standards, competition law, and ordinary project-specific regulatory decision-making.</w:t>
      </w:r>
    </w:p>
    <w:p>
      <w:pPr>
        <w:pStyle w:val="Heading2"/>
      </w:pPr>
      <w:bookmarkStart w:id="901544" w:name="_Toc300001543"/>
      <w:r>
        <w:t>Article 40.26: No Named-Project Obligation</w:t>
      </w:r>
      <w:bookmarkEnd w:id="901544"/>
    </w:p>
    <w:p>
      <w:pPr>
        <w:pStyle w:val="Normal"/>
      </w:pPr>
      <w:r>
        <w:t>1. Nothing in this Agreement requires a Party to approve, finance, construct, guarantee, purchase capacity from, or compel private investment in Keystone XL, Prairie Connector, or any other specifically named pipeline, transmission line, terminal, storage facility, refinery connection, or energy infrastructure project.</w:t>
      </w:r>
    </w:p>
    <w:p>
      <w:pPr>
        <w:pStyle w:val="Normal"/>
      </w:pPr>
      <w:r>
        <w:t>2. Recognition, study, facilitation, consultation, permitting review, or inclusion in a non-binding implementation register does not guarantee approval, financing, final investment decision, construction, operation, throughput, or commercial success.</w:t>
      </w:r>
    </w:p>
    <w:p>
      <w:pPr>
        <w:pStyle w:val="Normal"/>
      </w:pPr>
      <w:r>
        <w:t>3. Cancellation, commercial abandonment, financing failure, or failure to reach final investment decision for an individual privately sponsored project does not constitute non-compliance where the relevant governmental obligations have been performed and the applicable portfolio objective remains satisfied or continues through qualifying alternatives.</w:t>
      </w:r>
    </w:p>
    <w:p>
      <w:pPr>
        <w:pStyle w:val="Heading2"/>
      </w:pPr>
      <w:bookmarkStart w:id="901545" w:name="_Toc300001544"/>
      <w:r>
        <w:t>Article 40.27: Functional Equivalence and Portfolio Satisfaction</w:t>
      </w:r>
      <w:bookmarkEnd w:id="901545"/>
    </w:p>
    <w:p>
      <w:pPr>
        <w:pStyle w:val="Normal"/>
      </w:pPr>
      <w:r>
        <w:t>1. A Party satisfies an applicable energy-cooperation objective where the aggregate verified contribution of qualifying measures meets or exceeds the applicable performance threshold. No individual project, route, ownership structure, or technology class is mandatory unless the Parties expressly adopt such an obligation through the applicable amendment procedure.</w:t>
      </w:r>
    </w:p>
    <w:p>
      <w:pPr>
        <w:pStyle w:val="Normal"/>
      </w:pPr>
      <w:r>
        <w:t>2. A qualifying measure may be substituted where another measure provides materially equivalent or superior performance against the relevant objective. Substitution does not reduce environmental, safety, Indigenous, landowner, or regulatory protections.</w:t>
      </w:r>
    </w:p>
    <w:p>
      <w:pPr>
        <w:pStyle w:val="Normal"/>
      </w:pPr>
      <w:r>
        <w:t>3. Performance may be assessed across separate dimensions, including physical capacity; secure supply access; grid or fuel-system reliability; emergency resilience; environmental and safety performance; strategic-material security; workforce readiness; and verified innovation.</w:t>
      </w:r>
    </w:p>
    <w:p>
      <w:pPr>
        <w:pStyle w:val="Normal"/>
      </w:pPr>
      <w:r>
        <w:t>4. Experimental projects may earn innovation or research credit upon completion of applicable development milestones, but they do not receive physical-capacity or supply-security credit until validation demonstrates the relevant operational performance.</w:t>
      </w:r>
    </w:p>
    <w:p>
      <w:pPr>
        <w:pStyle w:val="Heading2"/>
      </w:pPr>
      <w:bookmarkStart w:id="901546" w:name="_Toc300001545"/>
      <w:r>
        <w:t>Article 40.28: Existing Corridor Capacity Enhancement</w:t>
      </w:r>
      <w:bookmarkEnd w:id="901546"/>
    </w:p>
    <w:p>
      <w:pPr>
        <w:pStyle w:val="Normal"/>
      </w:pPr>
      <w:r>
        <w:t>Qualifying capacity improvements include pump and compressor upgrades; debottlenecking; safe operating optimization; storage additions; terminal improvements; interconnections; metering and control modernization; integrity upgrades; leak detection; emergency shutdown systems; and other improvements that measurably increase usable capacity, reliability, safety, or resilience within existing lawful infrastructure.</w:t>
      </w:r>
    </w:p>
    <w:p>
      <w:pPr>
        <w:pStyle w:val="Heading2"/>
      </w:pPr>
      <w:bookmarkStart w:id="901547" w:name="_Toc300001546"/>
      <w:r>
        <w:t>Article 40.29: Predictable Cross-Border Energy Project Review</w:t>
      </w:r>
      <w:bookmarkEnd w:id="901547"/>
    </w:p>
    <w:p>
      <w:pPr>
        <w:pStyle w:val="Normal"/>
      </w:pPr>
      <w:r>
        <w:t>1. For qualifying cross-border energy projects, the Parties improve predictability through early identification of required filings, interoperable data where lawful, coordinated scheduling, transparent review clocks, and prompt notice of incomplete applications or material deficiencies.</w:t>
      </w:r>
    </w:p>
    <w:p>
      <w:pPr>
        <w:pStyle w:val="Normal"/>
      </w:pPr>
      <w:r>
        <w:t>2. Administrative coordination does not predetermine an approval outcome, waive environmental or safety law, curtail Indigenous consultation or rights, or prevent a regulator from requesting material information necessary to a lawful decision.</w:t>
      </w:r>
    </w:p>
    <w:p>
      <w:pPr>
        <w:pStyle w:val="Normal"/>
      </w:pPr>
      <w:r>
        <w:t>3. Existing regulatory agencies and the institutional architecture of this Agreement perform these functions. This Article creates no new permanent council or task force.</w:t>
      </w:r>
    </w:p>
    <w:p>
      <w:pPr>
        <w:pStyle w:val="Heading2"/>
      </w:pPr>
      <w:bookmarkStart w:id="901548" w:name="_Toc300001547"/>
      <w:r>
        <w:t>Article 40.30: Energy Security and Resilience Portfolio</w:t>
      </w:r>
      <w:bookmarkEnd w:id="901548"/>
    </w:p>
    <w:p>
      <w:pPr>
        <w:pStyle w:val="Normal"/>
      </w:pPr>
      <w:r>
        <w:t>The Parties may implement, through existing authorities and mutually agreed instruments, a portfolio that includes: emergency petroleum and fuel continuity planning; strategic storage cooperation; refinery and heavy-crude feedstock resilience; cross-border electricity interconnection; critical energy equipment reserves; physical and cyber protection of energy infrastructure; oil-spill and environmental incident response; methane and leak-reduction technology; carbon-management research; heavy-oil upgrading and diluent-efficiency research; energy data interoperability; and critical-mineral supply-chain cooperation.</w:t>
      </w:r>
    </w:p>
    <w:p>
      <w:pPr>
        <w:pStyle w:val="Heading2"/>
      </w:pPr>
      <w:bookmarkStart w:id="901549" w:name="_Toc300001548"/>
      <w:r>
        <w:t>Article 40.31: Energy Workforce and Skills Cooperation</w:t>
      </w:r>
      <w:bookmarkEnd w:id="901549"/>
    </w:p>
    <w:p>
      <w:pPr>
        <w:pStyle w:val="Normal"/>
      </w:pPr>
      <w:r>
        <w:t>The Parties may expand mutual recognition of relevant technical credentials, student and apprenticeship exchanges, regulator and technical staff exchanges, lawful temporary mobility for specialized project personnel, Indigenous energy-workforce development, and joint training in energy safety, operations, environmental protection, cybersecurity, and advanced technology. Existing Chapter 16 and domestic immigration authorities govern mobility.</w:t>
      </w:r>
    </w:p>
    <w:p>
      <w:pPr>
        <w:pStyle w:val="Heading2"/>
      </w:pPr>
      <w:bookmarkStart w:id="901550" w:name="_Toc300001549"/>
      <w:r>
        <w:t>Article 40.32: Commercial Project Window and Candidate Register</w:t>
      </w:r>
      <w:bookmarkEnd w:id="901550"/>
    </w:p>
    <w:p>
      <w:pPr>
        <w:pStyle w:val="Normal"/>
      </w:pPr>
      <w:r>
        <w:t>1. Existing energy authorities may periodically invite private, Indigenous, public, cooperative, or mixed sponsors to identify commercially supported cross-border capacity, optimization, storage, transmission, technology, or resilience opportunities.</w:t>
      </w:r>
    </w:p>
    <w:p>
      <w:pPr>
        <w:pStyle w:val="Normal"/>
      </w:pPr>
      <w:r>
        <w:t>2. The Secretariat may maintain a non-binding public Candidate Register summarizing projects whose sponsors consent to publication. Inclusion creates no preference, guarantee, endorsement, procurement obligation, or treaty compliance credit until the applicable criteria are independently verified.</w:t>
      </w:r>
    </w:p>
    <w:p>
      <w:pPr>
        <w:pStyle w:val="Normal"/>
      </w:pPr>
      <w:r>
        <w:t>3. With the sponsor's affirmative publication consent, Prairie Connector may be identified in the initial non-binding Candidate Register as an example of a privately sponsored cross-border capacity pathway that proposes to combine new construction with reuse of previously installed infrastructure. Its inclusion does not create a named-project obligation or finding on ultimate approval, financing, capacity, schedule, or commercial viability.</w:t>
      </w:r>
    </w:p>
    <w:p>
      <w:pPr>
        <w:pStyle w:val="Heading2"/>
      </w:pPr>
      <w:bookmarkStart w:id="901551" w:name="_Toc300001550"/>
      <w:r>
        <w:t>Article 40.33: Energy Sovereignty and No Compulsory Project, Extraction, or Export</w:t>
      </w:r>
      <w:bookmarkEnd w:id="901551"/>
    </w:p>
    <w:p>
      <w:pPr>
        <w:pStyle w:val="Normal"/>
      </w:pPr>
      <w:r>
        <w:t>1. No Party shall be required, by reason of an energy-security, compute, infrastructure, resilience, or market-access objective under this Agreement, to authorize, revive, construct, finance, subsidize, guarantee, expropriate land for, reserve capacity for, purchase from, or confer preferential treatment on Keystone XL or any other specifically named pipeline, transmission line, generation facility, storage facility, terminal, refinery connection, data centre, desalination facility, or other energy infrastructure project.</w:t>
      </w:r>
    </w:p>
    <w:p>
      <w:pPr>
        <w:pStyle w:val="Normal"/>
      </w:pPr>
      <w:r>
        <w:t>2. A Party's refusal, failure, cancellation, non-selection, or lawful decision not to approve a particular named project shall not, by itself, constitute non-compliance, nullification or impairment, failure of reciprocity, or grounds for suspension of an unrelated benefit under this Agreement.</w:t>
      </w:r>
    </w:p>
    <w:p>
      <w:pPr>
        <w:pStyle w:val="Normal"/>
      </w:pPr>
      <w:r>
        <w:t>3. Nothing in this Chapter requires a Party to increase extraction or production of oil, gas, minerals, electricity, water, or another natural resource; alter a lawful provincial, state, territorial, or federal production policy; compel a private producer to produce; or guarantee that commercially available infrastructure will be fully utilized.</w:t>
      </w:r>
    </w:p>
    <w:p>
      <w:pPr>
        <w:pStyle w:val="Normal"/>
      </w:pPr>
      <w:r>
        <w:t>4. Nothing in this Chapter creates a compulsory export obligation. Commercial exports remain subject to applicable contracts, market conditions, domestic law, legitimate reliability and emergency measures, and the express disciplines of this Agreement.</w:t>
      </w:r>
    </w:p>
    <w:p>
      <w:pPr>
        <w:pStyle w:val="Heading2"/>
      </w:pPr>
      <w:bookmarkStart w:id="901552" w:name="_Toc300001551"/>
      <w:r>
        <w:t>Article 40.34: Functional Energy Outcome and Alternative Fulfilment Right</w:t>
      </w:r>
      <w:bookmarkEnd w:id="901552"/>
    </w:p>
    <w:p>
      <w:pPr>
        <w:pStyle w:val="Normal"/>
      </w:pPr>
      <w:r>
        <w:t>1. Where a Party has undertaken a function-based energy objective rather than an expressly named-project obligation, that Party may satisfy the objective through any qualifying portfolio of infrastructure, optimization, transmission, storage, interconnection, terminal or refinery access, efficiency, flexible load, emergency continuity, or other measures that objectively meets the agreed performance criteria.</w:t>
      </w:r>
    </w:p>
    <w:p>
      <w:pPr>
        <w:pStyle w:val="Normal"/>
      </w:pPr>
      <w:r>
        <w:t>2. A Party shall not reject a qualifying alternative solely because another route, project sponsor, technology, or named project was preferred. Disagreement concerning functional equivalence shall be assessed against the objective criteria and dimensions in Annex 40-B.</w:t>
      </w:r>
    </w:p>
    <w:p>
      <w:pPr>
        <w:pStyle w:val="Normal"/>
      </w:pPr>
      <w:r>
        <w:t>3. Functional equivalence does not waive environmental, Indigenous, landowner, safety, competition, investment-screening, or other lawful project-specific review.</w:t>
      </w:r>
    </w:p>
    <w:p>
      <w:pPr>
        <w:pStyle w:val="Heading2"/>
      </w:pPr>
      <w:bookmarkStart w:id="901553" w:name="_Toc300001552"/>
      <w:r>
        <w:t>Article 40.35: No Throughput, Purchase, or Utilization Guarantee</w:t>
      </w:r>
      <w:bookmarkEnd w:id="901553"/>
    </w:p>
    <w:p>
      <w:pPr>
        <w:pStyle w:val="Normal"/>
      </w:pPr>
      <w:r>
        <w:t>Government facilitation of commercially available capacity does not guarantee production, throughput, dispatch, private purchases, compute utilization, water offtake, project revenue, or commercial success. A Party satisfies a capacity-availability commitment by providing the verified governmental treatment and qualifying capability expressly agreed, unless a separate signed instrument expressly provides otherwise.</w:t>
      </w:r>
    </w:p>
    <w:p>
      <w:pPr>
        <w:spacing w:before="0" w:after="0"/>
        <w:widowControl w:val="1"/>
      </w:pPr>
      <w:r>
        <w:t>1. ENERGY EQUIVALENCE COMPLIANCE AND VERIFICATION. Articles 40.26, 40.27, 40.32 through 40.35 and Annex 40-B use one default compliance test: performance of the expressly adopted governmental facilitation duties, together with preservation of the agreed portfolio objective through verified qualifying alternatives where an objective was legally adopted, without a guarantee that a private named project proceeds. Qualifying means demonstrably meeting the adopted performance criterion in the same Article 40.27(3) dimension, with capacity, reliability, availability, timing and attributable contribution verified by a three-member Article 35.10 factual Team within thirty days after a complete record and a disputed legal equivalence decided under Article 31.A. A cancelled or materially impaired candidate is notified within ten days after awareness, replacement evidence and a cure plan are supplied within thirty days and the adopted objective is restored within ninety days or the shorter expressly adopted period, with no cross-dimension fungibility or double credit absent a lawful adopted instrument. Annex 40-B remains illustrative until an authenticated instrument signed by all affected Parties supplies the objective, baseline, thresholds, verification method and credits within express delegated authority, and a substantive or named-project guarantee requires Article 34.3 rather than a candidate-register entry or separate signature alone.</w:t>
      </w:r>
    </w:p>
    <w:p/>
    <w:p>
      <w:pPr>
        <w:pStyle w:val="Heading2"/>
      </w:pPr>
      <w:bookmarkStart w:id="901554" w:name="_Toc300001553"/>
      <w:r>
        <w:t>Article 40.36: Domestic Reliability, Affordability, and Incremental-Cost Protection</w:t>
      </w:r>
      <w:bookmarkEnd w:id="901554"/>
    </w:p>
    <w:p>
      <w:pPr>
        <w:pStyle w:val="Normal"/>
      </w:pPr>
      <w:r>
        <w:t>1. Cross-border electricity, compute, storage, or infrastructure cooperation shall not require a Party to accept a material deterioration in domestic grid reliability, essential-service continuity, or energy security.</w:t>
      </w:r>
    </w:p>
    <w:p>
      <w:pPr>
        <w:pStyle w:val="Normal"/>
      </w:pPr>
      <w:r>
        <w:t>2. A large incremental load receiving facilitation or public benefit under this Chapter may be required to bear an appropriate share of reasonably attributable incremental generation, transmission, interconnection, storage, backup, system-strength, or other network costs created by that load.</w:t>
      </w:r>
    </w:p>
    <w:p>
      <w:pPr>
        <w:pStyle w:val="Normal"/>
      </w:pPr>
      <w:r>
        <w:t>3. Nothing in this Agreement entitles a foreign-owned or foreign-serving energy-intensive digital facility to a residential, small-business, regulated, subsidized, or otherwise preferential electricity rate. Large-load tariffs may reflect infrastructure, reliability, congestion, opportunity, and service costs, provided nationality is not used as disguised discrimination.</w:t>
      </w:r>
    </w:p>
    <w:p>
      <w:pPr>
        <w:pStyle w:val="Normal"/>
      </w:pPr>
      <w:r>
        <w:t>4. The Parties shall seek to prevent uncompensated material cost shifting from new energy-intensive digital infrastructure to households, small businesses, public services, or existing industrial customers that do not receive a reasonably corresponding benefit.</w:t>
      </w:r>
    </w:p>
    <w:p>
      <w:pPr>
        <w:pStyle w:val="Heading2"/>
      </w:pPr>
      <w:bookmarkStart w:id="901555" w:name="_Toc300001554"/>
      <w:r>
        <w:t>Article 40.37: Effective Energy Access and Anti-Circumvention</w:t>
      </w:r>
      <w:bookmarkEnd w:id="901555"/>
    </w:p>
    <w:p>
      <w:pPr>
        <w:pStyle w:val="Normal"/>
      </w:pPr>
      <w:r>
        <w:t>1. A Party shall not formally provide a benefit under this Chapter while materially defeating that benefit through discriminatory permitting delay, interconnection administration, scheduling, transmission charges, queue management, licensing, customs treatment, or a successor measure directed at the same commercial opportunity.</w:t>
      </w:r>
    </w:p>
    <w:p>
      <w:pPr>
        <w:pStyle w:val="Normal"/>
      </w:pPr>
      <w:r>
        <w:t>2. Paragraph 1 does not prevent bona fide, generally applicable environmental, Indigenous, safety, land-use, reliability, cybersecurity, competition, investment-screening, or public-utility requirements. A finding of circumvention requires evidence that the challenged administration materially impaired the negotiated benefit and lacked a reasonable relationship to the stated legitimate objective or was applied in a materially discriminatory manner.</w:t>
      </w:r>
    </w:p>
    <w:p>
      <w:pPr>
        <w:pStyle w:val="Normal"/>
      </w:pPr>
      <w:r>
        <w:t>3. The effective-performance principles in Article 47.0A and administrative-integrity and continuity rules in Article 30.C and Annex 34-H apply to this Article, within their express mandates and without waiving lawful regulatory safeguards.</w:t>
      </w:r>
    </w:p>
    <w:p>
      <w:pPr>
        <w:spacing w:before="0" w:after="0"/>
        <w:widowControl w:val="1"/>
      </w:pPr>
      <w:r>
        <w:t>4. ENERGY CIRCUMVENTION STANDARD. Article 40.37(1) prohibits discriminatory impairment and paragraph 2 also reaches administration lacking a reasonable relationship to its stated legitimate objective. A Chapter 31 panel shall identify the adopted benefit, material impairment and either that unsupported relationship or material discriminatory application on reasoned evidence. Bona fide generally applicable environmental, Indigenous, safety, reliability and other listed requirements remain permitted. A delay alone is insufficient without the material impairment and circumvention evidence required by those paragraphs.</w:t>
      </w:r>
    </w:p>
    <w:p/>
    <w:p>
      <w:pPr>
        <w:pStyle w:val="Heading2"/>
      </w:pPr>
      <w:bookmarkStart w:id="901556" w:name="_Toc300001555"/>
      <w:r>
        <w:t>Article 40.38: Environmental, Indigenous, Water, and Land-Use Safeguard</w:t>
      </w:r>
      <w:bookmarkEnd w:id="901556"/>
    </w:p>
    <w:p>
      <w:pPr>
        <w:pStyle w:val="Normal"/>
      </w:pPr>
      <w:r>
        <w:t>1. Economic or energy-security value under this Chapter creates no presumption overriding environmental assessment, Indigenous consultation, accommodation or treaty rights, water protection, landowner rights, safety review, or ordinary lawful permitting.</w:t>
      </w:r>
    </w:p>
    <w:p>
      <w:pPr>
        <w:pStyle w:val="Normal"/>
      </w:pPr>
      <w:r>
        <w:t>2. Such processes shall be administered in good faith and shall not be manipulated for the purpose of frustrating a qualifying project because of the nationality of its sponsor, customer, or energy destination.</w:t>
      </w:r>
    </w:p>
    <w:p>
      <w:pPr>
        <w:pStyle w:val="Normal"/>
      </w:pPr>
      <w:r>
        <w:t>3. Nothing in this Chapter creates a right to natural water that has not entered commerce or reduces the protections of Article 41.5.</w:t>
      </w:r>
    </w:p>
    <w:p>
      <w:pPr>
        <w:pStyle w:val="Heading2"/>
      </w:pPr>
      <w:bookmarkStart w:id="901557" w:name="_Toc300001556"/>
      <w:r>
        <w:t>Article 40.39: Energy Dispute Containment and No Cross-Sector Hostage Taking</w:t>
      </w:r>
      <w:bookmarkEnd w:id="901557"/>
    </w:p>
    <w:p>
      <w:pPr>
        <w:pStyle w:val="Normal"/>
      </w:pPr>
      <w:r>
        <w:t>1. Failure to approve or proceed with a particular energy project shall not authorize tariffs, dairy restrictions, procurement restrictions, automotive measures, forestry measures, or suspension of another unrelated benefit unless an express provision of this Agreement specifically authorizes that remedy for the established violation.</w:t>
      </w:r>
    </w:p>
    <w:p>
      <w:pPr>
        <w:pStyle w:val="Normal"/>
      </w:pPr>
      <w:r>
        <w:t>2. Remedies for a Chapter 40 obligation shall be targeted, proportionate, and directed first to restoration of the impaired energy benefit. Nothing in this Article limits a remedy expressly authorized elsewhere after completion of the applicable dispute procedure.</w:t>
      </w:r>
    </w:p>
    <w:p>
      <w:pPr>
        <w:spacing w:before="0" w:after="0"/>
        <w:widowControl w:val="1"/>
      </w:pPr>
      <w:r>
        <w:t>3. ENERGY REMEDY SCOPE AND SEQUENCE. Article 40.39 bars cross-sector suspension for every Chapter 40 violation, not only failure to approve a named project, unless another express provision specifically authorizes the identified cross-sector consequence for that energy obligation. General Article 31.19(2)(b) language alone is not that specific authorization, and private project cancellation that is not a governmental breach remains protected by Article 40.33. Following a Chapter 31 final breach finding, the panel fixes the Article 31.D compliance period and restoration of the impaired energy benefit is the first remedial step, with a disputed compliance determination required before further suspension. Any subsequent consequence remains within the affected energy module on the panel's reasoned proportionality and nexus finding, subject to Article 35.15 and independent tariff authorization, and ends on verified compliance.</w:t>
      </w:r>
    </w:p>
    <w:p/>
    <w:p>
      <w:pPr>
        <w:pStyle w:val="Heading2"/>
      </w:pPr>
      <w:bookmarkStart w:id="901558" w:name="_Toc300001557"/>
      <w:r>
        <w:t>Article 40.40: Energy Emergency Operations and Reliability Protection</w:t>
      </w:r>
      <w:bookmarkEnd w:id="901558"/>
    </w:p>
    <w:p>
      <w:pPr>
        <w:pStyle w:val="Normal"/>
      </w:pPr>
      <w:r>
        <w:t>1. During a genuine grid emergency, natural disaster, extreme-weather event, major infrastructure failure, fuel-supply emergency, cyber incident, or comparable threat to essential supply, a Party may temporarily prioritize domestic reliability, essential services, restoration, or public safety.</w:t>
      </w:r>
    </w:p>
    <w:p>
      <w:pPr>
        <w:pStyle w:val="Normal"/>
      </w:pPr>
      <w:r>
        <w:t>2. A measure under paragraph 1 shall be no broader or longer than reasonably necessary, shall be notified promptly where circumstances permit, shall be reviewed as conditions change, and shall be withdrawn when the emergency basis materially ceases.</w:t>
      </w:r>
    </w:p>
    <w:p>
      <w:pPr>
        <w:pStyle w:val="Normal"/>
      </w:pPr>
      <w:r>
        <w:t>3. Temporary emergency action does not create a permanent reduction in another Party's negotiated access or a permanent export obligation after the emergency.</w:t>
      </w:r>
    </w:p>
    <w:p>
      <w:pPr>
        <w:spacing w:before="0" w:after="0"/>
        <w:widowControl w:val="1"/>
      </w:pPr>
      <w:r>
        <w:t>4. RELIABILITY THRESHOLD AND DISTINCT SAFE MODE. Articles 40.7(3), 40.12, 40.36 and 40.40 use documented material risk to compliance with the competent regulator's applicable binding reliability or essential-service standards, rather than an unsupported Party assertion. Immediate operational necessity means an imminent serious risk of physical grid failure, loss of essential service or comparable irreversible safety harm evidenced by the responsible operator. Article 40.40 operations are distinct from Commission-activated Chapter 47 Safe Mode and do not import or evade that separate activation or ninety-day limit. A covered trade restriction under energy operations follows Article 35.21 or independently lawful Article 32.2 as replaced, including its shorter review, termination and cumulative clocks.</w:t>
      </w:r>
    </w:p>
    <w:p/>
    <w:p>
      <w:pPr>
        <w:pStyle w:val="Heading2"/>
      </w:pPr>
      <w:bookmarkStart w:id="901559" w:name="_Toc300001558"/>
      <w:r>
        <w:t>Article 40.41: Change of Control and Critical-Infrastructure Security</w:t>
      </w:r>
      <w:bookmarkEnd w:id="901559"/>
    </w:p>
    <w:p>
      <w:pPr>
        <w:pStyle w:val="Normal"/>
      </w:pPr>
      <w:r>
        <w:t>Where ownership or effective control of a qualifying energy, compute, water, storage, telecommunications, or related critical-infrastructure asset materially changes, a Party may conduct otherwise lawful national-security, investment-screening, cybersecurity, sanctions, or critical-infrastructure review. Such review shall be subject to the security anti-abuse, evidence, necessity, and procedural safeguards elsewhere in this Agreement.</w:t>
      </w:r>
    </w:p>
    <w:p>
      <w:pPr>
        <w:pStyle w:val="Heading2"/>
      </w:pPr>
      <w:bookmarkStart w:id="901560" w:name="_Toc300001559"/>
      <w:r>
        <w:t>Article 40.42: Energy Capacity Credit and No Double Counting</w:t>
      </w:r>
      <w:bookmarkEnd w:id="901560"/>
    </w:p>
    <w:p>
      <w:pPr>
        <w:pStyle w:val="Normal"/>
      </w:pPr>
      <w:r>
        <w:t>1. A verified unit of generation, transmission, storage, throughput, compute flexibility, emergency capacity, or other infrastructure value shall not be counted as fresh consideration for multiple negotiated exchanges where doing so would materially overstate the incremental benefit.</w:t>
      </w:r>
    </w:p>
    <w:p>
      <w:pPr>
        <w:pStyle w:val="Normal"/>
      </w:pPr>
      <w:r>
        <w:t>2. Partial allocation among multiple objectives is permitted where the allocation is transparent, quantitatively supportable, and does not cause the aggregate credited value to exceed the verified incremental capability.</w:t>
      </w:r>
    </w:p>
    <w:p>
      <w:pPr>
        <w:pStyle w:val="Heading2"/>
      </w:pPr>
      <w:bookmarkStart w:id="901561" w:name="_Toc300001560"/>
      <w:r>
        <w:t>Article 40.43: North American Integrated Energy-Compute-Water Simulation Initiative</w:t>
      </w:r>
      <w:bookmarkEnd w:id="901561"/>
    </w:p>
    <w:p>
      <w:pPr>
        <w:pStyle w:val="Normal"/>
      </w:pPr>
      <w:r>
        <w:t>1. The Parties establish a voluntary, technology-neutral simulation initiative to evaluate whether integrated energy, energy-intensive computing, water-production, thermal-management, storage, and grid-service architectures can provide commercially, technically, environmentally, and socially useful infrastructure benefits in North American conditions.</w:t>
      </w:r>
    </w:p>
    <w:p>
      <w:pPr>
        <w:pStyle w:val="Normal"/>
      </w:pPr>
      <w:r>
        <w:t>2. Canada may offer to lead or sponsor an initial software-based feasibility study and to share non-sensitive assumptions, methods, scenario results, sensitivity findings, and technical conclusions with the United States and Mexico. Participation by another Party does not imply endorsement of the architecture studied.</w:t>
      </w:r>
    </w:p>
    <w:p>
      <w:pPr>
        <w:pStyle w:val="Normal"/>
      </w:pPr>
      <w:r>
        <w:t>3. Studies should emphasize realistic operating envelopes, ordinary load variation, representative grid conditions, water and thermal performance, reasonable foreseeable contingencies, capital and operating sensitivity, and identification of components that merit further development. The purpose is opportunity-oriented feasibility assessment and iterative improvement, not a requirement to demonstrate survival under implausible combinations of simultaneous failures.</w:t>
      </w:r>
    </w:p>
    <w:p>
      <w:pPr>
        <w:pStyle w:val="Normal"/>
      </w:pPr>
      <w:r>
        <w:t>4. A favourable simulation result does not constitute physical certification, procurement approval, construction authorization, a performance guarantee, or a commitment to fund a subsequent stage.</w:t>
      </w:r>
    </w:p>
    <w:p>
      <w:pPr>
        <w:pStyle w:val="Heading2"/>
      </w:pPr>
      <w:bookmarkStart w:id="901562" w:name="_Toc300001561"/>
      <w:r>
        <w:t>Article 40.44: Reference Architectures and Technology Neutrality</w:t>
      </w:r>
      <w:bookmarkEnd w:id="901562"/>
    </w:p>
    <w:p>
      <w:pPr>
        <w:pStyle w:val="Normal"/>
      </w:pPr>
      <w:r>
        <w:t>1. A Party may nominate one or more non-binding reference architectures for software-based evaluation under Article 40.43 where the architecture is sufficiently documented to permit meaningful simulation and is relevant to integrated energy, energy-intensive computing, water, thermal-management, storage, grid-service, or related infrastructure questions.</w:t>
      </w:r>
    </w:p>
    <w:p>
      <w:pPr>
        <w:pStyle w:val="Normal"/>
      </w:pPr>
      <w:r>
        <w:t>2. A reference architecture developed outside the governmental negotiation process may be evaluated, but nomination confers no procurement preference, exclusive right, intellectual-property advantage, funding entitlement, certification, endorsement, standard-setting status, or right to subsequent demonstration or deployment.</w:t>
      </w:r>
    </w:p>
    <w:p>
      <w:pPr>
        <w:pStyle w:val="Normal"/>
      </w:pPr>
      <w:r>
        <w:t>3. Canada, the United States, and Mexico may nominate architectures satisfying published, technology-neutral eligibility criteria. Comparable candidates shall be evaluated under materially equivalent evidentiary and simulation standards appropriate to their technical characteristics.</w:t>
      </w:r>
    </w:p>
    <w:p>
      <w:pPr>
        <w:pStyle w:val="Normal"/>
      </w:pPr>
      <w:r>
        <w:t>4. No technology receives preferred status solely because it was the first reference case, appeared in an implementation record, or produced a favorable preliminary simulation. Candidate names and project-specific technical descriptions belong in non-binding implementation records rather than the operative text of this Agreement.</w:t>
      </w:r>
    </w:p>
    <w:p>
      <w:pPr>
        <w:pStyle w:val="Heading2"/>
      </w:pPr>
      <w:bookmarkStart w:id="901563" w:name="_Toc300001562"/>
      <w:r>
        <w:t>Article 40.45: Integrated Infrastructure Simulation Scope and Shared Learning</w:t>
      </w:r>
      <w:bookmarkEnd w:id="901563"/>
    </w:p>
    <w:p>
      <w:pPr>
        <w:pStyle w:val="Normal"/>
      </w:pPr>
      <w:r>
        <w:t>1. An initial study may examine representative Canadian, United States, and Mexican reference conditions where useful, including differences in climate, grid structure, electricity value, water scarcity, cooling conditions, telecommunications, industrial demand, and regulatory environment.</w:t>
      </w:r>
    </w:p>
    <w:p>
      <w:pPr>
        <w:pStyle w:val="Normal"/>
      </w:pPr>
      <w:r>
        <w:t>2. The study may evaluate integrated freshwater production, compute services, grid services, waste-heat utilization, thermal integration, storage dispatch, desalination performance, flexible digital load, and experimental salt-to-power or successor subsystems. Experimental subsystems shall be identified as such and may be modelled separately from the core architecture so that their uncertainty does not automatically determine the value of the entire integrated concept.</w:t>
      </w:r>
    </w:p>
    <w:p>
      <w:pPr>
        <w:pStyle w:val="Normal"/>
      </w:pPr>
      <w:r>
        <w:t>3. Non-sensitive results should identify assumptions, ranges, material uncertainties, promising interactions, weak points, and practical next questions. Proprietary source code, trade secrets, personal information, and security-sensitive infrastructure details need not be disclosed.</w:t>
      </w:r>
    </w:p>
    <w:p>
      <w:pPr>
        <w:pStyle w:val="Heading2"/>
      </w:pPr>
      <w:bookmarkStart w:id="901564" w:name="_Toc300001563"/>
      <w:r>
        <w:t>Article 40.46: Optional Advancement Gates for Integrated Infrastructure</w:t>
      </w:r>
      <w:bookmarkEnd w:id="901564"/>
    </w:p>
    <w:p>
      <w:pPr>
        <w:pStyle w:val="Normal"/>
      </w:pPr>
      <w:r>
        <w:t>1. Completion of a software simulation may support, but does not require, a subsequent voluntary stage such as technical peer review, component or bench testing, a limited physical demonstration, or a commercial pilot.</w:t>
      </w:r>
    </w:p>
    <w:p>
      <w:pPr>
        <w:pStyle w:val="Normal"/>
      </w:pPr>
      <w:r>
        <w:t>2. Each subsequent stage requires a new affirmative decision by the participating governments, agencies, sponsors, or investors under applicable law. A decision not to advance, or to redesign and repeat an earlier stage, does not constitute non-compliance with this Agreement.</w:t>
      </w:r>
    </w:p>
    <w:p>
      <w:pPr>
        <w:pStyle w:val="Normal"/>
      </w:pPr>
      <w:r>
        <w:t>3. Where a component underperforms, the Parties and participating sponsors may evaluate redesign, substitution, removal, or further study without treating the underperformance of one component as dispositive of an otherwise separable architecture.</w:t>
      </w:r>
    </w:p>
    <w:p>
      <w:pPr>
        <w:pStyle w:val="Heading2"/>
      </w:pPr>
      <w:bookmarkStart w:id="901565" w:name="_Toc300001564"/>
      <w:r>
        <w:t>Article 40.47: Implementation Without New Permanent Bureaucracy</w:t>
      </w:r>
      <w:bookmarkEnd w:id="901565"/>
    </w:p>
    <w:p>
      <w:pPr>
        <w:pStyle w:val="Normal"/>
      </w:pPr>
      <w:r>
        <w:t>Existing competent energy authorities and the Grid Resilience Working Group may coordinate Articles 40.25 through 40.46 within their assigned technical mandates, consulting qualified water, compute, telecommunications, desalination, laboratory and system-operation experts through existing institutions where those subjects arise. Binding Party prohibitions remain obligations of the Parties and are not discretionary measures that a Working Group may waive or implement in place of national authorities. A technical invitation creates no approval, procurement, funding or project-development authority. No new permanent council, secretariat or continental regulator is established by this coordination.</w:t>
      </w:r>
    </w:p>
    <w:p>
      <w:pPr>
        <w:pStyle w:val="Heading2"/>
      </w:pPr>
      <w:bookmarkStart w:id="901566" w:name="_Toc300001565"/>
      <w:r>
        <w:t>ANNEX 40-B: Energy Optionality and Equivalency Matrix</w:t>
      </w:r>
      <w:bookmarkEnd w:id="901566"/>
    </w:p>
    <w:tbl>
      <w:tblPr>
        <w:tblStyle w:val="TableGrid"/>
        <w:tblW w:w="9360" w:type="dxa"/>
        <w:jc w:val="center"/>
        <w:tblInd w:w="0" w:type="dxa"/>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val="04a0" w:noHBand="0" w:noVBand="1" w:firstColumn="1" w:lastRow="0" w:lastColumn="0" w:firstRow="1"/>
      </w:tblPr>
      <w:tblGrid>
        <w:gridCol w:w="2340"/>
        <w:gridCol w:w="2340"/>
        <w:gridCol w:w="2340"/>
        <w:gridCol w:w="2339"/>
      </w:tblGrid>
      <w:tr>
        <w:trPr>
          <w:tblHeader w:val="true"/>
          <w:cantSplit w:val="true"/>
          <w:tblHeader w:val="true"/>
        </w:trPr>
        <w:tc>
          <w:tcPr>
            <w:tcW w:w="2340" w:type="dxa"/>
            <w:tcBorders>
              <w:bottom w:val="single" w:sz="6" w:space="0" w:color="546E7A"/>
            </w:tcBorders>
            <w:shd w:fill="E4E9EC" w:val="clear" w:color="auto"/>
          </w:tcPr>
          <w:p>
            <w:pPr>
              <w:pStyle w:val="TableText"/>
              <w:jc w:val="left"/>
            </w:pPr>
            <w:r>
              <w:rPr>
                <w:b/>
                <w:color w:val="37474F"/>
                <w:lang w:val="en-US" w:eastAsia="en-US" w:bidi="ar-SA"/>
              </w:rPr>
              <w:t>Pathway</w:t>
            </w:r>
          </w:p>
        </w:tc>
        <w:tc>
          <w:tcPr>
            <w:tcW w:w="2340" w:type="dxa"/>
            <w:tcBorders>
              <w:bottom w:val="single" w:sz="6" w:space="0" w:color="546E7A"/>
            </w:tcBorders>
            <w:shd w:fill="E4E9EC" w:val="clear" w:color="auto"/>
          </w:tcPr>
          <w:p>
            <w:pPr>
              <w:pStyle w:val="TableText"/>
              <w:jc w:val="left"/>
            </w:pPr>
            <w:r>
              <w:rPr>
                <w:b/>
                <w:color w:val="37474F"/>
                <w:lang w:val="en-US" w:eastAsia="en-US" w:bidi="ar-SA"/>
              </w:rPr>
              <w:t>Potential contribution</w:t>
            </w:r>
          </w:p>
        </w:tc>
        <w:tc>
          <w:tcPr>
            <w:tcW w:w="2340" w:type="dxa"/>
            <w:tcBorders>
              <w:bottom w:val="single" w:sz="6" w:space="0" w:color="546E7A"/>
            </w:tcBorders>
            <w:shd w:fill="E4E9EC" w:val="clear" w:color="auto"/>
          </w:tcPr>
          <w:p>
            <w:pPr>
              <w:pStyle w:val="TableText"/>
              <w:jc w:val="left"/>
            </w:pPr>
            <w:r>
              <w:rPr>
                <w:b/>
                <w:color w:val="37474F"/>
                <w:lang w:val="en-US" w:eastAsia="en-US" w:bidi="ar-SA"/>
              </w:rPr>
              <w:t>Verification basis</w:t>
            </w:r>
          </w:p>
        </w:tc>
        <w:tc>
          <w:tcPr>
            <w:tcW w:w="2339" w:type="dxa"/>
            <w:tcBorders>
              <w:bottom w:val="single" w:sz="6" w:space="0" w:color="546E7A"/>
            </w:tcBorders>
            <w:shd w:fill="E4E9EC" w:val="clear" w:color="auto"/>
          </w:tcPr>
          <w:p>
            <w:pPr>
              <w:pStyle w:val="TableText"/>
              <w:jc w:val="left"/>
            </w:pPr>
            <w:r>
              <w:rPr>
                <w:b/>
                <w:color w:val="37474F"/>
                <w:lang w:val="en-US" w:eastAsia="en-US" w:bidi="ar-SA"/>
              </w:rPr>
              <w:t>Treaty treatment</w:t>
            </w:r>
          </w:p>
        </w:tc>
      </w:tr>
      <w:tr>
        <w:trPr>
          <w:cantSplit w:val="true"/>
        </w:trPr>
        <w:tc>
          <w:tcPr>
            <w:tcW w:w="2340" w:type="dxa"/>
            <w:tcMar>
              <w:top w:w="70" w:type="dxa"/>
              <w:start w:w="110" w:type="dxa"/>
              <w:bottom w:w="70" w:type="dxa"/>
              <w:end w:w="110" w:type="dxa"/>
            </w:tcMar>
          </w:tcPr>
          <w:p>
            <w:pPr>
              <w:pStyle w:val="TableText"/>
              <w:jc w:val="left"/>
            </w:pPr>
            <w:r>
              <w:rPr>
                <w:lang w:val="en-US" w:eastAsia="en-US" w:bidi="ar-SA"/>
              </w:rPr>
              <w:t>Commercial cross-border pipeline or connection</w:t>
            </w:r>
          </w:p>
        </w:tc>
        <w:tc>
          <w:tcPr>
            <w:tcW w:w="2340" w:type="dxa"/>
            <w:tcMar>
              <w:top w:w="70" w:type="dxa"/>
              <w:start w:w="110" w:type="dxa"/>
              <w:bottom w:w="70" w:type="dxa"/>
              <w:end w:w="110" w:type="dxa"/>
            </w:tcMar>
          </w:tcPr>
          <w:p>
            <w:pPr>
              <w:pStyle w:val="TableText"/>
              <w:jc w:val="left"/>
            </w:pPr>
            <w:r>
              <w:rPr>
                <w:lang w:val="en-US" w:eastAsia="en-US" w:bidi="ar-SA"/>
              </w:rPr>
              <w:t>Physical capacity, U.S./Canadian/Mexican market access, supply security</w:t>
            </w:r>
          </w:p>
        </w:tc>
        <w:tc>
          <w:tcPr>
            <w:tcW w:w="2340" w:type="dxa"/>
            <w:tcMar>
              <w:top w:w="70" w:type="dxa"/>
              <w:start w:w="110" w:type="dxa"/>
              <w:bottom w:w="70" w:type="dxa"/>
              <w:end w:w="110" w:type="dxa"/>
            </w:tcMar>
          </w:tcPr>
          <w:p>
            <w:pPr>
              <w:pStyle w:val="TableText"/>
              <w:jc w:val="left"/>
            </w:pPr>
            <w:r>
              <w:rPr>
                <w:lang w:val="en-US" w:eastAsia="en-US" w:bidi="ar-SA"/>
              </w:rPr>
              <w:t>Permitted/authorized status, completed capacity, contracted service, verified operations</w:t>
            </w:r>
          </w:p>
        </w:tc>
        <w:tc>
          <w:tcPr>
            <w:tcW w:w="2339" w:type="dxa"/>
            <w:tcMar>
              <w:top w:w="70" w:type="dxa"/>
              <w:start w:w="110" w:type="dxa"/>
              <w:bottom w:w="70" w:type="dxa"/>
              <w:end w:w="110" w:type="dxa"/>
            </w:tcMar>
          </w:tcPr>
          <w:p>
            <w:pPr>
              <w:pStyle w:val="TableText"/>
              <w:jc w:val="left"/>
            </w:pPr>
            <w:r>
              <w:rPr>
                <w:lang w:val="en-US" w:eastAsia="en-US" w:bidi="ar-SA"/>
              </w:rPr>
              <w:t>Full capacity credit only after validated operational availability; no named-project obligation.</w:t>
            </w:r>
          </w:p>
        </w:tc>
      </w:tr>
      <w:tr>
        <w:trPr>
          <w:cantSplit w:val="true"/>
        </w:trPr>
        <w:tc>
          <w:tcPr>
            <w:tcW w:w="2340" w:type="dxa"/>
            <w:shd w:fill="F5F7F8" w:val="clear" w:color="auto"/>
            <w:tcMar>
              <w:top w:w="70" w:type="dxa"/>
              <w:start w:w="110" w:type="dxa"/>
              <w:bottom w:w="70" w:type="dxa"/>
              <w:end w:w="110" w:type="dxa"/>
            </w:tcMar>
          </w:tcPr>
          <w:p>
            <w:pPr>
              <w:pStyle w:val="TableText"/>
              <w:jc w:val="left"/>
            </w:pPr>
            <w:r>
              <w:rPr>
                <w:lang w:val="en-US" w:eastAsia="en-US" w:bidi="ar-SA"/>
              </w:rPr>
              <w:t>Existing-corridor optimization</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Capacity, reliability, safety, resilience</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Measured throughput/reliability improvement and integrity data</w:t>
            </w:r>
          </w:p>
        </w:tc>
        <w:tc>
          <w:tcPr>
            <w:tcW w:w="2339" w:type="dxa"/>
            <w:shd w:fill="F5F7F8" w:val="clear" w:color="auto"/>
            <w:tcMar>
              <w:top w:w="70" w:type="dxa"/>
              <w:start w:w="110" w:type="dxa"/>
              <w:bottom w:w="70" w:type="dxa"/>
              <w:end w:w="110" w:type="dxa"/>
            </w:tcMar>
          </w:tcPr>
          <w:p>
            <w:pPr>
              <w:pStyle w:val="TableText"/>
              <w:jc w:val="left"/>
            </w:pPr>
            <w:r>
              <w:rPr>
                <w:lang w:val="en-US" w:eastAsia="en-US" w:bidi="ar-SA"/>
              </w:rPr>
              <w:t>Credit proportional to verified improvement.</w:t>
            </w:r>
          </w:p>
        </w:tc>
      </w:tr>
      <w:tr>
        <w:trPr>
          <w:cantSplit w:val="true"/>
        </w:trPr>
        <w:tc>
          <w:tcPr>
            <w:tcW w:w="2340" w:type="dxa"/>
            <w:tcMar>
              <w:top w:w="70" w:type="dxa"/>
              <w:start w:w="110" w:type="dxa"/>
              <w:bottom w:w="70" w:type="dxa"/>
              <w:end w:w="110" w:type="dxa"/>
            </w:tcMar>
          </w:tcPr>
          <w:p>
            <w:pPr>
              <w:pStyle w:val="TableText"/>
              <w:jc w:val="left"/>
            </w:pPr>
            <w:r>
              <w:rPr>
                <w:lang w:val="en-US" w:eastAsia="en-US" w:bidi="ar-SA"/>
              </w:rPr>
              <w:t>Electricity transmission/interconnection</w:t>
            </w:r>
          </w:p>
        </w:tc>
        <w:tc>
          <w:tcPr>
            <w:tcW w:w="2340" w:type="dxa"/>
            <w:tcMar>
              <w:top w:w="70" w:type="dxa"/>
              <w:start w:w="110" w:type="dxa"/>
              <w:bottom w:w="70" w:type="dxa"/>
              <w:end w:w="110" w:type="dxa"/>
            </w:tcMar>
          </w:tcPr>
          <w:p>
            <w:pPr>
              <w:pStyle w:val="TableText"/>
              <w:jc w:val="left"/>
            </w:pPr>
            <w:r>
              <w:rPr>
                <w:lang w:val="en-US" w:eastAsia="en-US" w:bidi="ar-SA"/>
              </w:rPr>
              <w:t>Grid reliability, data-centre support, emergency exchange capacity</w:t>
            </w:r>
          </w:p>
        </w:tc>
        <w:tc>
          <w:tcPr>
            <w:tcW w:w="2340" w:type="dxa"/>
            <w:tcMar>
              <w:top w:w="70" w:type="dxa"/>
              <w:start w:w="110" w:type="dxa"/>
              <w:bottom w:w="70" w:type="dxa"/>
              <w:end w:w="110" w:type="dxa"/>
            </w:tcMar>
          </w:tcPr>
          <w:p>
            <w:pPr>
              <w:pStyle w:val="TableText"/>
              <w:jc w:val="left"/>
            </w:pPr>
            <w:r>
              <w:rPr>
                <w:lang w:val="en-US" w:eastAsia="en-US" w:bidi="ar-SA"/>
              </w:rPr>
              <w:t>Commissioned transfer capability and reliability metrics</w:t>
            </w:r>
          </w:p>
        </w:tc>
        <w:tc>
          <w:tcPr>
            <w:tcW w:w="2339" w:type="dxa"/>
            <w:tcMar>
              <w:top w:w="70" w:type="dxa"/>
              <w:start w:w="110" w:type="dxa"/>
              <w:bottom w:w="70" w:type="dxa"/>
              <w:end w:w="110" w:type="dxa"/>
            </w:tcMar>
          </w:tcPr>
          <w:p>
            <w:pPr>
              <w:pStyle w:val="TableText"/>
              <w:jc w:val="left"/>
            </w:pPr>
            <w:r>
              <w:rPr>
                <w:lang w:val="en-US" w:eastAsia="en-US" w:bidi="ar-SA"/>
              </w:rPr>
              <w:t>Energy-security and resilience credit.</w:t>
            </w:r>
          </w:p>
        </w:tc>
      </w:tr>
      <w:tr>
        <w:trPr>
          <w:cantSplit w:val="true"/>
        </w:trPr>
        <w:tc>
          <w:tcPr>
            <w:tcW w:w="2340" w:type="dxa"/>
            <w:shd w:fill="F5F7F8" w:val="clear" w:color="auto"/>
            <w:tcMar>
              <w:top w:w="70" w:type="dxa"/>
              <w:start w:w="110" w:type="dxa"/>
              <w:bottom w:w="70" w:type="dxa"/>
              <w:end w:w="110" w:type="dxa"/>
            </w:tcMar>
          </w:tcPr>
          <w:p>
            <w:pPr>
              <w:pStyle w:val="TableText"/>
              <w:jc w:val="left"/>
            </w:pPr>
            <w:r>
              <w:rPr>
                <w:lang w:val="en-US" w:eastAsia="en-US" w:bidi="ar-SA"/>
              </w:rPr>
              <w:t>Storage/terminal/refinery access</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Emergency resilience and market access</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Usable storage, terminal, interconnection or refinery-feedstock capability</w:t>
            </w:r>
          </w:p>
        </w:tc>
        <w:tc>
          <w:tcPr>
            <w:tcW w:w="2339" w:type="dxa"/>
            <w:shd w:fill="F5F7F8" w:val="clear" w:color="auto"/>
            <w:tcMar>
              <w:top w:w="70" w:type="dxa"/>
              <w:start w:w="110" w:type="dxa"/>
              <w:bottom w:w="70" w:type="dxa"/>
              <w:end w:w="110" w:type="dxa"/>
            </w:tcMar>
          </w:tcPr>
          <w:p>
            <w:pPr>
              <w:pStyle w:val="TableText"/>
              <w:jc w:val="left"/>
            </w:pPr>
            <w:r>
              <w:rPr>
                <w:lang w:val="en-US" w:eastAsia="en-US" w:bidi="ar-SA"/>
              </w:rPr>
              <w:t>Resilience and market-access credit.</w:t>
            </w:r>
          </w:p>
        </w:tc>
      </w:tr>
      <w:tr>
        <w:trPr>
          <w:cantSplit w:val="true"/>
        </w:trPr>
        <w:tc>
          <w:tcPr>
            <w:tcW w:w="2340" w:type="dxa"/>
            <w:tcMar>
              <w:top w:w="70" w:type="dxa"/>
              <w:start w:w="110" w:type="dxa"/>
              <w:bottom w:w="70" w:type="dxa"/>
              <w:end w:w="110" w:type="dxa"/>
            </w:tcMar>
          </w:tcPr>
          <w:p>
            <w:pPr>
              <w:pStyle w:val="TableText"/>
              <w:jc w:val="left"/>
            </w:pPr>
            <w:r>
              <w:rPr>
                <w:lang w:val="en-US" w:eastAsia="en-US" w:bidi="ar-SA"/>
              </w:rPr>
              <w:t>Critical-mineral processing and recycling</w:t>
            </w:r>
          </w:p>
        </w:tc>
        <w:tc>
          <w:tcPr>
            <w:tcW w:w="2340" w:type="dxa"/>
            <w:tcMar>
              <w:top w:w="70" w:type="dxa"/>
              <w:start w:w="110" w:type="dxa"/>
              <w:bottom w:w="70" w:type="dxa"/>
              <w:end w:w="110" w:type="dxa"/>
            </w:tcMar>
          </w:tcPr>
          <w:p>
            <w:pPr>
              <w:pStyle w:val="TableText"/>
              <w:jc w:val="left"/>
            </w:pPr>
            <w:r>
              <w:rPr>
                <w:lang w:val="en-US" w:eastAsia="en-US" w:bidi="ar-SA"/>
              </w:rPr>
              <w:t>Strategic-material security and industrial resilience</w:t>
            </w:r>
          </w:p>
        </w:tc>
        <w:tc>
          <w:tcPr>
            <w:tcW w:w="2340" w:type="dxa"/>
            <w:tcMar>
              <w:top w:w="70" w:type="dxa"/>
              <w:start w:w="110" w:type="dxa"/>
              <w:bottom w:w="70" w:type="dxa"/>
              <w:end w:w="110" w:type="dxa"/>
            </w:tcMar>
          </w:tcPr>
          <w:p>
            <w:pPr>
              <w:pStyle w:val="TableText"/>
              <w:jc w:val="left"/>
            </w:pPr>
            <w:r>
              <w:rPr>
                <w:lang w:val="en-US" w:eastAsia="en-US" w:bidi="ar-SA"/>
              </w:rPr>
              <w:t>Verified North American processing/recovery capacity</w:t>
            </w:r>
          </w:p>
        </w:tc>
        <w:tc>
          <w:tcPr>
            <w:tcW w:w="2339" w:type="dxa"/>
            <w:tcMar>
              <w:top w:w="70" w:type="dxa"/>
              <w:start w:w="110" w:type="dxa"/>
              <w:bottom w:w="70" w:type="dxa"/>
              <w:end w:w="110" w:type="dxa"/>
            </w:tcMar>
          </w:tcPr>
          <w:p>
            <w:pPr>
              <w:pStyle w:val="TableText"/>
              <w:jc w:val="left"/>
            </w:pPr>
            <w:r>
              <w:rPr>
                <w:lang w:val="en-US" w:eastAsia="en-US" w:bidi="ar-SA"/>
              </w:rPr>
              <w:t>Strategic-material and resilience credit.</w:t>
            </w:r>
          </w:p>
        </w:tc>
      </w:tr>
      <w:tr>
        <w:trPr>
          <w:cantSplit w:val="true"/>
        </w:trPr>
        <w:tc>
          <w:tcPr>
            <w:tcW w:w="2340" w:type="dxa"/>
            <w:shd w:fill="F5F7F8" w:val="clear" w:color="auto"/>
            <w:tcMar>
              <w:top w:w="70" w:type="dxa"/>
              <w:start w:w="110" w:type="dxa"/>
              <w:bottom w:w="70" w:type="dxa"/>
              <w:end w:w="110" w:type="dxa"/>
            </w:tcMar>
          </w:tcPr>
          <w:p>
            <w:pPr>
              <w:pStyle w:val="TableText"/>
              <w:jc w:val="left"/>
            </w:pPr>
            <w:r>
              <w:rPr>
                <w:lang w:val="en-US" w:eastAsia="en-US" w:bidi="ar-SA"/>
              </w:rPr>
              <w:t>Spill response, leak detection, methane, integrity modernization</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Environmental and operational risk reduction</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Performance testing, incident-response readiness and verified deployment</w:t>
            </w:r>
          </w:p>
        </w:tc>
        <w:tc>
          <w:tcPr>
            <w:tcW w:w="2339" w:type="dxa"/>
            <w:shd w:fill="F5F7F8" w:val="clear" w:color="auto"/>
            <w:tcMar>
              <w:top w:w="70" w:type="dxa"/>
              <w:start w:w="110" w:type="dxa"/>
              <w:bottom w:w="70" w:type="dxa"/>
              <w:end w:w="110" w:type="dxa"/>
            </w:tcMar>
          </w:tcPr>
          <w:p>
            <w:pPr>
              <w:pStyle w:val="TableText"/>
              <w:jc w:val="left"/>
            </w:pPr>
            <w:r>
              <w:rPr>
                <w:lang w:val="en-US" w:eastAsia="en-US" w:bidi="ar-SA"/>
              </w:rPr>
              <w:t>Safety/environmental credit; no substitute capacity unless actual capacity effect is verified.</w:t>
            </w:r>
          </w:p>
        </w:tc>
      </w:tr>
      <w:tr>
        <w:trPr>
          <w:cantSplit w:val="true"/>
        </w:trPr>
        <w:tc>
          <w:tcPr>
            <w:tcW w:w="2340" w:type="dxa"/>
            <w:tcMar>
              <w:top w:w="70" w:type="dxa"/>
              <w:start w:w="110" w:type="dxa"/>
              <w:bottom w:w="70" w:type="dxa"/>
              <w:end w:w="110" w:type="dxa"/>
            </w:tcMar>
          </w:tcPr>
          <w:p>
            <w:pPr>
              <w:pStyle w:val="TableText"/>
              <w:jc w:val="left"/>
            </w:pPr>
            <w:r>
              <w:rPr>
                <w:lang w:val="en-US" w:eastAsia="en-US" w:bidi="ar-SA"/>
              </w:rPr>
              <w:t>Heavy-oil, CCS and energy R&amp;D</w:t>
            </w:r>
          </w:p>
        </w:tc>
        <w:tc>
          <w:tcPr>
            <w:tcW w:w="2340" w:type="dxa"/>
            <w:tcMar>
              <w:top w:w="70" w:type="dxa"/>
              <w:start w:w="110" w:type="dxa"/>
              <w:bottom w:w="70" w:type="dxa"/>
              <w:end w:w="110" w:type="dxa"/>
            </w:tcMar>
          </w:tcPr>
          <w:p>
            <w:pPr>
              <w:pStyle w:val="TableText"/>
              <w:jc w:val="left"/>
            </w:pPr>
            <w:r>
              <w:rPr>
                <w:lang w:val="en-US" w:eastAsia="en-US" w:bidi="ar-SA"/>
              </w:rPr>
              <w:t>Productivity, emissions performance, technology development</w:t>
            </w:r>
          </w:p>
        </w:tc>
        <w:tc>
          <w:tcPr>
            <w:tcW w:w="2340" w:type="dxa"/>
            <w:tcMar>
              <w:top w:w="70" w:type="dxa"/>
              <w:start w:w="110" w:type="dxa"/>
              <w:bottom w:w="70" w:type="dxa"/>
              <w:end w:w="110" w:type="dxa"/>
            </w:tcMar>
          </w:tcPr>
          <w:p>
            <w:pPr>
              <w:pStyle w:val="TableText"/>
              <w:jc w:val="left"/>
            </w:pPr>
            <w:r>
              <w:rPr>
                <w:lang w:val="en-US" w:eastAsia="en-US" w:bidi="ar-SA"/>
              </w:rPr>
              <w:t>Completed research milestones and independent validation</w:t>
            </w:r>
          </w:p>
        </w:tc>
        <w:tc>
          <w:tcPr>
            <w:tcW w:w="2339" w:type="dxa"/>
            <w:tcMar>
              <w:top w:w="70" w:type="dxa"/>
              <w:start w:w="110" w:type="dxa"/>
              <w:bottom w:w="70" w:type="dxa"/>
              <w:end w:w="110" w:type="dxa"/>
            </w:tcMar>
          </w:tcPr>
          <w:p>
            <w:pPr>
              <w:pStyle w:val="TableText"/>
              <w:jc w:val="left"/>
            </w:pPr>
            <w:r>
              <w:rPr>
                <w:lang w:val="en-US" w:eastAsia="en-US" w:bidi="ar-SA"/>
              </w:rPr>
              <w:t>Innovation credit; capacity credit only after demonstrated operational performance.</w:t>
            </w:r>
          </w:p>
        </w:tc>
      </w:tr>
      <w:tr>
        <w:trPr>
          <w:cantSplit w:val="true"/>
        </w:trPr>
        <w:tc>
          <w:tcPr>
            <w:tcW w:w="2340" w:type="dxa"/>
            <w:shd w:fill="F5F7F8" w:val="clear" w:color="auto"/>
            <w:tcMar>
              <w:top w:w="70" w:type="dxa"/>
              <w:start w:w="110" w:type="dxa"/>
              <w:bottom w:w="70" w:type="dxa"/>
              <w:end w:w="110" w:type="dxa"/>
            </w:tcMar>
          </w:tcPr>
          <w:p>
            <w:pPr>
              <w:pStyle w:val="TableText"/>
              <w:jc w:val="left"/>
            </w:pPr>
            <w:r>
              <w:rPr>
                <w:lang w:val="en-US" w:eastAsia="en-US" w:bidi="ar-SA"/>
              </w:rPr>
              <w:t>Workforce and regulator cooperation</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Readiness, execution speed, regulatory predictability</w:t>
            </w:r>
          </w:p>
        </w:tc>
        <w:tc>
          <w:tcPr>
            <w:tcW w:w="2340" w:type="dxa"/>
            <w:shd w:fill="F5F7F8" w:val="clear" w:color="auto"/>
            <w:tcMar>
              <w:top w:w="70" w:type="dxa"/>
              <w:start w:w="110" w:type="dxa"/>
              <w:bottom w:w="70" w:type="dxa"/>
              <w:end w:w="110" w:type="dxa"/>
            </w:tcMar>
          </w:tcPr>
          <w:p>
            <w:pPr>
              <w:pStyle w:val="TableText"/>
              <w:jc w:val="left"/>
            </w:pPr>
            <w:r>
              <w:rPr>
                <w:lang w:val="en-US" w:eastAsia="en-US" w:bidi="ar-SA"/>
              </w:rPr>
              <w:t>Credential, training, exchange and processing metrics</w:t>
            </w:r>
          </w:p>
        </w:tc>
        <w:tc>
          <w:tcPr>
            <w:tcW w:w="2339" w:type="dxa"/>
            <w:shd w:fill="F5F7F8" w:val="clear" w:color="auto"/>
            <w:tcMar>
              <w:top w:w="70" w:type="dxa"/>
              <w:start w:w="110" w:type="dxa"/>
              <w:bottom w:w="70" w:type="dxa"/>
              <w:end w:w="110" w:type="dxa"/>
            </w:tcMar>
          </w:tcPr>
          <w:p>
            <w:pPr>
              <w:pStyle w:val="TableText"/>
              <w:jc w:val="left"/>
            </w:pPr>
            <w:r>
              <w:rPr>
                <w:lang w:val="en-US" w:eastAsia="en-US" w:bidi="ar-SA"/>
              </w:rPr>
              <w:t>Workforce/readiness credit where an implementing schedule uses such metrics.</w:t>
            </w:r>
          </w:p>
        </w:tc>
      </w:tr>
      <w:tr>
        <w:trPr>
          <w:cantSplit w:val="true"/>
        </w:trPr>
        <w:tc>
          <w:tcPr>
            <w:tcW w:w="2340" w:type="dxa"/>
            <w:tcMar>
              <w:top w:w="70" w:type="dxa"/>
              <w:start w:w="110" w:type="dxa"/>
              <w:bottom w:w="70" w:type="dxa"/>
              <w:end w:w="110" w:type="dxa"/>
            </w:tcMar>
          </w:tcPr>
          <w:p>
            <w:pPr>
              <w:pStyle w:val="TableText"/>
              <w:jc w:val="left"/>
            </w:pPr>
            <w:r>
              <w:rPr>
                <w:lang w:val="en-US" w:eastAsia="en-US" w:bidi="ar-SA"/>
              </w:rPr>
              <w:t>Experimental technology pathway</w:t>
            </w:r>
          </w:p>
        </w:tc>
        <w:tc>
          <w:tcPr>
            <w:tcW w:w="2340" w:type="dxa"/>
            <w:tcMar>
              <w:top w:w="70" w:type="dxa"/>
              <w:start w:w="110" w:type="dxa"/>
              <w:bottom w:w="70" w:type="dxa"/>
              <w:end w:w="110" w:type="dxa"/>
            </w:tcMar>
          </w:tcPr>
          <w:p>
            <w:pPr>
              <w:pStyle w:val="TableText"/>
              <w:jc w:val="left"/>
            </w:pPr>
            <w:r>
              <w:rPr>
                <w:lang w:val="en-US" w:eastAsia="en-US" w:bidi="ar-SA"/>
              </w:rPr>
              <w:t>Potential future logistics, resilience or capacity</w:t>
            </w:r>
          </w:p>
        </w:tc>
        <w:tc>
          <w:tcPr>
            <w:tcW w:w="2340" w:type="dxa"/>
            <w:tcMar>
              <w:top w:w="70" w:type="dxa"/>
              <w:start w:w="110" w:type="dxa"/>
              <w:bottom w:w="70" w:type="dxa"/>
              <w:end w:w="110" w:type="dxa"/>
            </w:tcMar>
          </w:tcPr>
          <w:p>
            <w:pPr>
              <w:pStyle w:val="TableText"/>
              <w:jc w:val="left"/>
            </w:pPr>
            <w:r>
              <w:rPr>
                <w:lang w:val="en-US" w:eastAsia="en-US" w:bidi="ar-SA"/>
              </w:rPr>
              <w:t>Chapter 39 iterative validation and Revalidation Gate</w:t>
            </w:r>
          </w:p>
        </w:tc>
        <w:tc>
          <w:tcPr>
            <w:tcW w:w="2339" w:type="dxa"/>
            <w:tcMar>
              <w:top w:w="70" w:type="dxa"/>
              <w:start w:w="110" w:type="dxa"/>
              <w:bottom w:w="70" w:type="dxa"/>
              <w:end w:w="110" w:type="dxa"/>
            </w:tcMar>
          </w:tcPr>
          <w:p>
            <w:pPr>
              <w:pStyle w:val="TableText"/>
              <w:jc w:val="left"/>
            </w:pPr>
            <w:r>
              <w:rPr>
                <w:lang w:val="en-US" w:eastAsia="en-US" w:bidi="ar-SA"/>
              </w:rPr>
              <w:t>Innovation credit during development; operational credits only after validation.</w:t>
            </w:r>
          </w:p>
        </w:tc>
      </w:tr>
    </w:tbl>
    <w:p>
      <w:pPr>
        <w:pStyle w:val="Normal"/>
      </w:pPr>
      <w:r>
        <w:t>Interpretive Note. The Matrix is illustrative and function-based. It does not compel a Party to select any pathway or to treat unlike outcomes as equivalent. Performance thresholds, where used, shall be objective, auditable, technology-neutral, and subject to the No Named-Project Obligation.</w:t>
      </w:r>
    </w:p>
    <w:p>
      <w:pPr>
        <w:pStyle w:val="Normal"/>
      </w:pPr>
      <w:r>
        <w:t>Integrated Infrastructure Simulation Note. Eligibility for the simulation initiative shall be technology-neutral and may include integrated combinations of power, storage, flexible compute, thermal management, desalination or other water production, grid services, and related infrastructure. Selection for simulation is not selection for procurement or construction.</w:t>
      </w:r>
    </w:p>
    <w:p>
      <w:pPr>
        <w:pStyle w:val="Normal"/>
      </w:pPr>
      <w:r>
        <w:t>Initial Reference Nominations. A Party may identify candidate reference architectures in a non-binding implementation record under Article 40.44. The record shall disclose any non-governmental origin and state expressly that listing creates no entitlement, endorsement, certification, exclusivity, procurement preference, or funding commitment.</w:t>
      </w:r>
    </w:p>
    <w:p>
      <w:pPr>
        <w:pStyle w:val="Normal"/>
      </w:pPr>
      <w:r>
        <w:t>Simulation Metrics. Where applicable, studies may report electricity balance and dispatch; dependable and flexible capacity; compute-load flexibility; freshwater output and quality assumptions; desalination energy intensity; thermal recovery and useful-heat disposition; storage performance; grid-service value; capital and operating sensitivity; emissions and environmental considerations; infrastructure requirements; and material technical uncertainties.</w:t>
      </w:r>
    </w:p>
    <w:p>
      <w:pPr>
        <w:pStyle w:val="Normal"/>
      </w:pPr>
      <w:r>
        <w:t>Functional Energy Credit Note. Simulation, research, or experimental activity earns innovation or research credit only. It does not earn physical-capacity, supply-security, freshwater-delivery, or throughput credit until the relevant operational capability has been independently demonstrated under the applicable verification method.</w:t>
      </w:r>
    </w:p>
    <w:p>
      <w:pPr>
        <w:spacing w:before="0" w:after="0"/>
        <w:widowControl w:val="1"/>
      </w:pPr>
      <w:r>
        <w:t>1. CANDIDATE REGISTER CREDITS AND NAMED EXAMPLES. Candidate Register means the single non-binding implementation record under Article 40.32, and every candidate, including Prairie Connector and any architecture referenced in Package CD, requires sponsor consent before public listing. Named projects retained in Articles 40.26 and 40.33 are illustrative subjects of the no-compulsion saving rather than operative construction or selection commitments, and Article 40.44's names-in-records instruction concerns affirmative candidate nominations. Credits use the separate Article 40.27(3) dimensions and paragraph 4 milestone rule, with simulation or research eligible only for innovation credit and physical water, capacity or throughput credit requiring independently verified operational performance in the adopted same-dimension criterion. A Package CD initial-package statement or register entry does not impose a named-project obligation, guarantee or fungible credit absent an authenticated instrument within express authority and Article 34.3 approval for any substantive change.</w:t>
      </w:r>
    </w:p>
    <w:p/>
    <w:p>
      <w:pPr>
        <w:pStyle w:val="Heading1"/>
      </w:pPr>
      <w:bookmarkStart w:id="901567" w:name="_Toc300001566"/>
      <w:r>
        <w:t>CHAPTER 41</w:t>
      </w:r>
      <w:r>
        <w:br/>
      </w:r>
      <w:r>
        <w:t>DOMESTIC SOVEREIGNTY AND REGULATORY AUTONOMY</w:t>
      </w:r>
      <w:bookmarkEnd w:id="901567"/>
    </w:p>
    <w:p>
      <w:pPr>
        <w:pStyle w:val="Heading2"/>
      </w:pPr>
      <w:bookmarkStart w:id="901568" w:name="_Toc300001567"/>
      <w:r>
        <w:t>Article 41.1: Governing Principle</w:t>
      </w:r>
      <w:bookmarkEnd w:id="901568"/>
    </w:p>
    <w:p>
      <w:pPr>
        <w:pStyle w:val="Normal"/>
      </w:pPr>
      <w:r>
        <w:t>1. Each Party retains the sovereign right to determine its domestic level of protection and to adopt, maintain, revise, or repeal measures pursuing legitimate public objectives. Market access under this Agreement does not confer authority on another Party to direct the regulating Party's domestic social, health, environmental, cultural, technological, immigration, natural-resource, or public-administration policy.</w:t>
      </w:r>
    </w:p>
    <w:p>
      <w:pPr>
        <w:pStyle w:val="Normal"/>
      </w:pPr>
      <w:r>
        <w:t>2. A measure protected by this Chapter remains subject to national treatment and the prohibition on disguised discrimination. Regulatory autonomy does not authorize a Party to reproduce the economic effect of a prohibited tariff under another name.</w:t>
      </w:r>
    </w:p>
    <w:p>
      <w:pPr>
        <w:pStyle w:val="Heading2"/>
      </w:pPr>
      <w:bookmarkStart w:id="901569" w:name="_Toc300001568"/>
      <w:r>
        <w:t>Article 41.2: Climate, Energy, and Environmental Policy Space</w:t>
      </w:r>
      <w:bookmarkEnd w:id="901569"/>
    </w:p>
    <w:p>
      <w:pPr>
        <w:pStyle w:val="Normal"/>
      </w:pPr>
      <w:r>
        <w:t>1. A Party may establish carbon-pricing systems, emissions limits, renewable-energy requirements, efficiency standards, pollution controls, circular-economy measures, and conservation policies, including standards more protective than those of another Party, provided the measure is not designed or administered to discriminate against another Party's originating trade.</w:t>
      </w:r>
    </w:p>
    <w:p>
      <w:pPr>
        <w:pStyle w:val="Normal"/>
      </w:pPr>
      <w:r>
        <w:t>2. Differences in policy instrument, ambition, technology choice, or level of environmental protection do not by themselves establish a violation.</w:t>
      </w:r>
    </w:p>
    <w:p>
      <w:pPr>
        <w:pStyle w:val="Heading2"/>
      </w:pPr>
      <w:bookmarkStart w:id="901570" w:name="_Toc300001569"/>
      <w:r>
        <w:t>Article 41.3: Public Health, Therapeutic Products, and Scientific Regulation</w:t>
      </w:r>
      <w:bookmarkEnd w:id="901570"/>
    </w:p>
    <w:p>
      <w:pPr>
        <w:pStyle w:val="Normal"/>
      </w:pPr>
      <w:r>
        <w:t>1. Each Party retains authority over pharmaceutical and medical-device approval, reimbursement and pricing, food and product safety, pesticides, chemicals, and public-health measures.</w:t>
      </w:r>
    </w:p>
    <w:p>
      <w:pPr>
        <w:pStyle w:val="Normal"/>
      </w:pPr>
      <w:r>
        <w:t>2. A Party may adopt a standard different from or more protective than another Party's standard where supported by a reasonable scientific, technical, precautionary, or risk-management basis consistent with applicable provisions of this Agreement. The complaining Party bears the burden of showing disguised discrimination or a failure to satisfy an express treaty discipline.</w:t>
      </w:r>
    </w:p>
    <w:p>
      <w:pPr>
        <w:pStyle w:val="Heading2"/>
      </w:pPr>
      <w:bookmarkStart w:id="901571" w:name="_Toc300001570"/>
      <w:r>
        <w:t>Article 41.4: Artificial Intelligence, Privacy, Cybersecurity, and Government Data</w:t>
      </w:r>
      <w:bookmarkEnd w:id="901571"/>
    </w:p>
    <w:p>
      <w:pPr>
        <w:pStyle w:val="Normal"/>
      </w:pPr>
      <w:r>
        <w:t>1. Each Party retains authority to regulate artificial intelligence, automated decision systems, privacy, algorithmic accountability, consumer protection, cybersecurity, and employment effects.</w:t>
      </w:r>
    </w:p>
    <w:p>
      <w:pPr>
        <w:pStyle w:val="Normal"/>
      </w:pPr>
      <w:r>
        <w:t>2. A Party may impose enhanced custody, access-control, encryption, audit, residency, or jurisdictional requirements on sensitive government data where reasonably related to security, privacy, continuity, or lawful public administration. No specific cloud architecture or vendor is mandated.</w:t>
      </w:r>
    </w:p>
    <w:p>
      <w:pPr>
        <w:pStyle w:val="Normal"/>
      </w:pPr>
      <w:r>
        <w:t>3. Cybersecurity requirements may reference internationally recognized frameworks and may evolve over time. No single private standard is frozen into this Agreement.</w:t>
      </w:r>
    </w:p>
    <w:p>
      <w:pPr>
        <w:pStyle w:val="Heading2"/>
      </w:pPr>
      <w:bookmarkStart w:id="901572" w:name="_Toc300001571"/>
      <w:r>
        <w:t>Article 41.5: Natural Resources, Water, Forestry, and the Arctic</w:t>
      </w:r>
      <w:bookmarkEnd w:id="901572"/>
    </w:p>
    <w:p>
      <w:pPr>
        <w:pStyle w:val="Normal"/>
      </w:pPr>
      <w:r>
        <w:t>1. Nothing in this Agreement creates a right to natural water that has not entered into commerce. Each Party retains sovereign authority over water resources within its jurisdiction, subject to existing international boundary-water obligations.</w:t>
      </w:r>
    </w:p>
    <w:p>
      <w:pPr>
        <w:pStyle w:val="Normal"/>
      </w:pPr>
      <w:r>
        <w:t>2. Canada retains authority over forest management, harvesting standards, conservation, old-growth protection, certification systems, and Crown-resource administration, subject to the specialized subsidy and trade disciplines of this Agreement.</w:t>
      </w:r>
    </w:p>
    <w:p>
      <w:pPr>
        <w:pStyle w:val="Normal"/>
      </w:pPr>
      <w:r>
        <w:t>3. Each Party retains authority over resource development within its Arctic or northern jurisdiction. Cooperation on shipping, safety, emergency response, science, and supply-chain transparency does not create a right of approval over another Party's domestic resource decision.</w:t>
      </w:r>
    </w:p>
    <w:p>
      <w:pPr>
        <w:pStyle w:val="Heading2"/>
      </w:pPr>
      <w:bookmarkStart w:id="901573" w:name="_Toc300001572"/>
      <w:r>
        <w:t>Article 41.6: Indigenous Peoples</w:t>
      </w:r>
      <w:bookmarkEnd w:id="901573"/>
    </w:p>
    <w:p>
      <w:pPr>
        <w:pStyle w:val="Normal"/>
      </w:pPr>
      <w:r>
        <w:t>1. Nothing in this Agreement prevents a Party from adopting or maintaining measures necessary to fulfill constitutional, treaty, consultation, accommodation, consent, self-government, land-claim, or reconciliation obligations concerning Indigenous peoples.</w:t>
      </w:r>
    </w:p>
    <w:p>
      <w:pPr>
        <w:pStyle w:val="Normal"/>
      </w:pPr>
      <w:r>
        <w:t>2. A measure described in paragraph 1 is not inconsistent with this Agreement merely because it affects trade or investment; however, it remains subject to good-faith administration and shall not be used as disguised discrimination unrelated to the protected Indigenous interest.</w:t>
      </w:r>
    </w:p>
    <w:p>
      <w:pPr>
        <w:pStyle w:val="Heading2"/>
      </w:pPr>
      <w:bookmarkStart w:id="901574" w:name="_Toc300001573"/>
      <w:r>
        <w:t>Article 41.7: Immigration, Labor-Market Programs, and Culture</w:t>
      </w:r>
      <w:bookmarkEnd w:id="901574"/>
    </w:p>
    <w:p>
      <w:pPr>
        <w:pStyle w:val="Normal"/>
      </w:pPr>
      <w:r>
        <w:t>1. Each Party retains authority over immigration levels, temporary foreign-worker programs, occupational admission, wage policy, and labor-market programming, subject to express mobility commitments in this Agreement.</w:t>
      </w:r>
    </w:p>
    <w:p>
      <w:pPr>
        <w:pStyle w:val="Normal"/>
      </w:pPr>
      <w:r>
        <w:t>2. Each Party retains authority to support and regulate its cultural industries, broadcasting, audiovisual services, and domestic cultural expression, subject to the express cultural provisions and schedules of this Agreement.</w:t>
      </w:r>
    </w:p>
    <w:p>
      <w:pPr>
        <w:pStyle w:val="Heading2"/>
      </w:pPr>
      <w:bookmarkStart w:id="901575" w:name="_Toc300001574"/>
      <w:r>
        <w:t>Article 41.7A: Cultural and Linguistic Sovereignty Firewall</w:t>
      </w:r>
      <w:bookmarkEnd w:id="901575"/>
    </w:p>
    <w:p>
      <w:pPr>
        <w:pStyle w:val="Normal"/>
      </w:pPr>
      <w:r>
        <w:t>1. Each Party retains the sovereign authority to preserve, promote, fund, regulate, and make accessible its languages, cultural expression, cultural industries, cultural institutions, and cultural heritage, including measures concerning broadcasting, audiovisual media, streaming, publishing, film, music, performing arts, museums, archives, education-related cultural programming, public cultural funding, labeling or labelling, interface-language requirements, search prominence, recommendation-system discoverability, and other means by which linguistic or cultural expression is presented or made accessible. This authority includes measures directed to official, Indigenous, minority, regional, heritage, or otherwise lawfully recognized or supported languages and cultural communities. Nothing in this paragraph requires a Party to accord a language a legal or official status that the Party's domestic law does not provide. Measures under this paragraph remain subject to the good-faith and anti-disguised-discrimination safeguards in paragraph 5.</w:t>
      </w:r>
    </w:p>
    <w:p>
      <w:pPr>
        <w:pStyle w:val="Normal"/>
      </w:pPr>
      <w:r>
        <w:t>2. For Canada, paragraph 1 includes measures supporting French and English language rights and services, the vitality and accessibility of French-language culture, bilingual public information, Canadian cultural expression and content, Quebec cultural jurisdiction within Canada's constitutional order, minority-language communities, and Indigenous languages and cultures. Canada may maintain or adopt bona fide French-language requirements, services, labeling or labelling, presentation, discoverability, funding, broadcasting, audiovisual, streaming, educational, procurement, or cultural-development measures consistent with its constitutional order. No provision of this Agreement shall be interpreted to require Canada to reduce the level of protection or support it chooses to provide for French-language rights, services, institutions, or cultural expression. This paragraph does not alter the constitutional allocation of authority within Canada.</w:t>
      </w:r>
    </w:p>
    <w:p>
      <w:pPr>
        <w:pStyle w:val="Normal"/>
      </w:pPr>
      <w:r>
        <w:t>3. For Mexico, paragraph 1 includes measures supporting Spanish and the Indigenous languages and linguistic communities recognized or protected under Mexican law, Mexican cultural expression and content, federal and state cultural institutions, Indigenous cultural autonomy, public cultural funding, and measures promoting access to linguistic and cultural heritage. For the United States, paragraph 1 includes measures supporting English and other languages recognized, protected, funded, or otherwise supported under federal, state, territorial, Tribal, or local law, including Native and Indigenous languages, minority-language and heritage-language communities, and state, territorial, Tribal, and local cultural institutions. Each Party may also support access to, education in, or cultural expression through French or any other language within its territory without creating a treaty obligation to confer official-language status. The protections in this paragraph are symmetrical in legal effect while respecting the distinct constitutional and linguistic arrangements of each Party.</w:t>
      </w:r>
    </w:p>
    <w:p>
      <w:pPr>
        <w:pStyle w:val="Normal"/>
      </w:pPr>
      <w:r>
        <w:t>4. Nothing in this Agreement requires a Party to abolish, materially impair, subordinate, privatize, commercialize, or make technologically neutral a bona fide cultural or linguistic measure solely because that measure affects trade, investment, digital distribution, advertising, labeling or labelling, interface language, search prominence, recommendation systems, discoverability, procurement, access to public funding, or eligibility for cultural-support programs. A bona fide measure may distinguish among languages or cultural categories where the distinction reasonably advances the protected linguistic or cultural objective. For greater certainty, a requirement that information, labeling, interfaces, services, cultural content, or discoverability be available in one or more protected languages is not, by that fact alone, nationality discrimination. This paragraph applies across the goods, services, digital-trade, procurement, investment, intellectual-property, and regulatory-cooperation provisions of this Agreement.</w:t>
      </w:r>
    </w:p>
    <w:p>
      <w:pPr>
        <w:pStyle w:val="Normal"/>
      </w:pPr>
      <w:r>
        <w:t>5. This Article does not protect disguised discrimination having no reasonable relationship to a genuine cultural or linguistic objective. In assessing a challenged measure, a panel shall give substantial deference to the affected Party's chosen level of linguistic or cultural protection and shall not substitute a different cultural policy merely because it would be less trade restrictive. Where a materially less trade-restrictive and reasonably available alternative would achieve substantially the same chosen level of cultural or linguistic protection without materially impairing the protected objective, the Parties should prefer that alternative. The complaining Party bears the burden of establishing that a challenged distinction is disguised discrimination or that an asserted alternative satisfies this paragraph.</w:t>
      </w:r>
    </w:p>
    <w:p>
      <w:pPr>
        <w:pStyle w:val="Normal"/>
      </w:pPr>
      <w:r>
        <w:t>6. No Party shall condition tariff relief, market access, procurement treatment, strategic-material cooperation, regulatory recognition, digital-trade treatment, or another unrelated benefit on the abandonment, weakening, non-enforcement, or future non-adoption of a measure protected by this Article unless the affected Party expressly agrees through the amendment procedure applicable to substantive treaty rights. This Article shall be read together with the cultural provisions and schedules of this Agreement and shall not reduce a Party's existing cultural exceptions, reservations, constitutional protections, Indigenous rights, or stronger domestic linguistic protections. In the event of an inconsistency between this Article and a general obligation concerning digital trade, nondiscrimination, technical regulation, procurement, services, or investment, this Article governs to the extent necessary to preserve the bona fide cultural or linguistic measure. Nothing in this Article prevents the Parties from voluntarily cooperating to expand multilingual access, translation, cultural exchange, or linguistic inclusion.</w:t>
      </w:r>
    </w:p>
    <w:p>
      <w:pPr>
        <w:pStyle w:val="Heading2"/>
      </w:pPr>
      <w:bookmarkStart w:id="901576" w:name="_Toc300001575"/>
      <w:r>
        <w:t>Article 41.8: Infrastructure and Domestic Approval</w:t>
      </w:r>
      <w:bookmarkEnd w:id="901576"/>
    </w:p>
    <w:p>
      <w:pPr>
        <w:pStyle w:val="Normal"/>
      </w:pPr>
      <w:r>
        <w:t>1. Joint financing or designation of a North American infrastructure project does not transfer regulatory, permitting, design, environmental-assessment, Indigenous-consultation, land-use, or ownership authority over facilities located in a Party's territory.</w:t>
      </w:r>
    </w:p>
    <w:p>
      <w:pPr>
        <w:pStyle w:val="Heading2"/>
      </w:pPr>
      <w:bookmarkStart w:id="901577" w:name="_Toc300001576"/>
      <w:r>
        <w:t>Article 41.9: Safe-Harbor Coordination</w:t>
      </w:r>
      <w:bookmarkEnd w:id="901577"/>
    </w:p>
    <w:p>
      <w:pPr>
        <w:pStyle w:val="Normal"/>
      </w:pPr>
      <w:r>
        <w:t>1. Articles 35.4B and 41.1 through 41.8 shall be interpreted together. Except for a measure relying specifically on Article 41.7A, a facially neutral measure pursuing an objective protected by this Chapter and supported by a reasonable evidentiary basis receives the regulatory safe harbor unless rebutted under Article 35.4B. For a measure relying specifically on Article 41.7A, the bespoke standards, burden of proof, and priority rule in Article 41.7A govern; Article 35.4B may supplement that analysis only to the extent consistent with Article 41.7A and shall not independently defeat protection that Article 41.7A expressly provides.</w:t>
      </w:r>
    </w:p>
    <w:p>
      <w:pPr>
        <w:pStyle w:val="Heading1"/>
      </w:pPr>
      <w:bookmarkStart w:id="901578" w:name="_Toc300001577"/>
      <w:r>
        <w:t>CHAPTER 42</w:t>
      </w:r>
      <w:r>
        <w:br/>
      </w:r>
      <w:r>
        <w:t>SOFTWOOD LUMBER STABILITY AND FORESTRY TRADE</w:t>
      </w:r>
      <w:bookmarkEnd w:id="901578"/>
    </w:p>
    <w:p>
      <w:pPr>
        <w:pStyle w:val="Heading2"/>
      </w:pPr>
      <w:bookmarkStart w:id="901579" w:name="_Toc300001578"/>
      <w:r>
        <w:t>Article 42.1: Purpose</w:t>
      </w:r>
      <w:bookmarkEnd w:id="901579"/>
    </w:p>
    <w:p>
      <w:pPr>
        <w:pStyle w:val="Normal"/>
      </w:pPr>
      <w:r>
        <w:t>1. The Parties seek to reduce recurrent softwood-lumber litigation through transparent evidence, rapid adjudication, commercially defensible valuation, and prompt correction while preserving each Party's forest-ownership and management systems.</w:t>
      </w:r>
    </w:p>
    <w:p>
      <w:pPr>
        <w:pStyle w:val="Heading2"/>
      </w:pPr>
      <w:bookmarkStart w:id="901580" w:name="_Toc300001579"/>
      <w:r>
        <w:t>Article 42.2: Stumpage and Benchmark Transparency</w:t>
      </w:r>
      <w:bookmarkEnd w:id="901580"/>
    </w:p>
    <w:p>
      <w:pPr>
        <w:pStyle w:val="Normal"/>
      </w:pPr>
      <w:r>
        <w:t>1. Canada shall publish or make available to the review body provincial stumpage methodologies, relevant auction or transaction data, tenure characteristics, timber-quality adjustments, road and access costs, geographic factors, and other material inputs used to determine Crown timber charges.</w:t>
      </w:r>
    </w:p>
    <w:p>
      <w:pPr>
        <w:pStyle w:val="Normal"/>
      </w:pPr>
      <w:r>
        <w:t>2. A Party alleging subsidization shall disclose the benchmark methodology, comparators, adjustments, and material evidence on which the allegation relies, subject to protected confidential treatment.</w:t>
      </w:r>
    </w:p>
    <w:p>
      <w:pPr>
        <w:pStyle w:val="Normal"/>
      </w:pPr>
      <w:r>
        <w:t>3. No methodology may presume that public ownership of timber, standing alone, establishes a subsidy.</w:t>
      </w:r>
    </w:p>
    <w:p>
      <w:pPr>
        <w:pStyle w:val="Heading2"/>
      </w:pPr>
      <w:bookmarkStart w:id="901581" w:name="_Toc300001580"/>
      <w:r>
        <w:t>Article 42.3: Stumpage Neutrality Test</w:t>
      </w:r>
      <w:bookmarkEnd w:id="901581"/>
    </w:p>
    <w:p>
      <w:pPr>
        <w:pStyle w:val="Normal"/>
      </w:pPr>
      <w:r>
        <w:t>1. A provincial system satisfies this Article where charges are determined under published and consistently administered methodologies reasonably connected to commercial or resource-management considerations and are not manipulated primarily to confer an export advantage.</w:t>
      </w:r>
    </w:p>
    <w:p>
      <w:pPr>
        <w:pStyle w:val="Normal"/>
      </w:pPr>
      <w:r>
        <w:t>2. Comparisons with private-market timber shall account for material differences in species, quality, geography, infrastructure obligations, tenure, wildfire or pest damage, harvesting cost, and other factors affecting commercial comparability.</w:t>
      </w:r>
    </w:p>
    <w:p>
      <w:pPr>
        <w:pStyle w:val="Heading2"/>
      </w:pPr>
      <w:bookmarkStart w:id="901582" w:name="_Toc300001581"/>
      <w:r>
        <w:t>Article 42.4: Expedited Softwood Review</w:t>
      </w:r>
      <w:bookmarkEnd w:id="901582"/>
    </w:p>
    <w:p>
      <w:pPr>
        <w:pStyle w:val="Normal"/>
        <w:spacing w:before="0" w:after="0"/>
      </w:pPr>
      <w:r>
        <w:t>1. A softwood-lumber antidumping or countervailing-duty dispute between Canada and the United States, or a provisional-suspension request under Article 42.9(3), is eligible for a specialized panel under Chapter 31. The panel shall be constituted under the Chapter 31 roster, independence, appointment, and vacancy rules, with at least one panelist having demonstrated trade-remedy or forestry-valuation expertise. A request challenging an antidumping or countervailing-duty determination or cash-deposit measure shall identify that measure, while an Article 42.9(3) request shall identify the qualification, material new evidence, and suspension grounds required there; either complete request triggers its applicable expedited track without a separate jurisdictional referral. For an antidumping or countervailing-duty dispute, a preliminary review of cash-deposit measures shall issue within sixty days after panel constitution and a final treaty determination within six months after panel constitution, subject only to a due-process extension stated with reasons; Article 42.9(3) instead supplies its own thirty-day decision clock.</w:t>
      </w:r>
    </w:p>
    <w:p/>
    <w:p>
      <w:pPr>
        <w:pStyle w:val="Normal"/>
      </w:pPr>
      <w:r>
        <w:t>2. A provisional duty or deposit found excessive or unsupported shall be reduced promptly. Amounts ultimately determined not to have been owing shall be refunded within 30 days with commercially reasonable interest.</w:t>
      </w:r>
    </w:p>
    <w:p>
      <w:pPr>
        <w:pStyle w:val="Normal"/>
      </w:pPr>
      <w:r>
        <w:t>3. A Party shall not retroactively change the governing benchmark methodology for entries already made except to correct fraud or manifest clerical error.</w:t>
      </w:r>
    </w:p>
    <w:p>
      <w:pPr>
        <w:pStyle w:val="Heading2"/>
      </w:pPr>
      <w:bookmarkStart w:id="901583" w:name="_Toc300001582"/>
      <w:r>
        <w:t>Article 42.5: Sustainable Forestry Facilitation</w:t>
      </w:r>
      <w:bookmarkEnd w:id="901583"/>
    </w:p>
    <w:p>
      <w:pPr>
        <w:pStyle w:val="Normal"/>
      </w:pPr>
      <w:r>
        <w:t>1. The Parties shall recognize credible sustainable-forestry certification systems under transparent equivalence criteria. Certified products may receive expedited documentation and eligibility for negotiated green-procurement programs, but this Agreement does not guarantee a private purchase price or purchase volume.</w:t>
      </w:r>
    </w:p>
    <w:p>
      <w:pPr>
        <w:pStyle w:val="Heading2"/>
      </w:pPr>
      <w:bookmarkStart w:id="901584" w:name="_Toc300001583"/>
      <w:r>
        <w:t>Article 42.6: Forestry Adjustment and Modernization Facility</w:t>
      </w:r>
      <w:bookmarkEnd w:id="901584"/>
    </w:p>
    <w:p>
      <w:pPr>
        <w:pStyle w:val="Normal"/>
      </w:pPr>
      <w:r>
        <w:t>1. The Commission may establish a jointly financed facility supporting mill modernization, wildfire resilience, forest restoration, worker adjustment, value-added wood manufacturing, and data modernization. Contributions are subject to each Party's domestic appropriations law and do not condition ordinary market access.</w:t>
      </w:r>
    </w:p>
    <w:p>
      <w:pPr>
        <w:pStyle w:val="Heading2"/>
      </w:pPr>
      <w:bookmarkStart w:id="901585" w:name="_Toc300001584"/>
      <w:r>
        <w:t>Article 42.7: No-Fade Continuity and Rolling-Horizon Review</w:t>
      </w:r>
      <w:bookmarkEnd w:id="901585"/>
    </w:p>
    <w:p>
      <w:pPr>
        <w:pStyle w:val="Normal"/>
      </w:pPr>
      <w:r>
        <w:t>1. The rights, protections, procedures, recognitions, and safe harbors established by this Chapter continue in force in accordance with Article 35.29 and shall not lapse, diminish, or expire solely by passage of time or by failure to complete a scheduled review. The Parties shall conduct rolling-horizon reviews of methodology, market conditions, supply adequacy, certification equivalence, housing-supply conditions, and implementation performance at intervals determined under the applicable work program. Existing treatment remains operative unless affirmatively amended in accordance with this Agreement. A review does not reopen settled entries, retroactively alter the legal treatment of completed transactions, or automatically revive a terminated trade remedy.</w:t>
      </w:r>
    </w:p>
    <w:p>
      <w:pPr>
        <w:pStyle w:val="Heading2"/>
      </w:pPr>
      <w:bookmarkStart w:id="901586" w:name="_Toc300001585"/>
      <w:r>
        <w:t>Article 42.8: Objective-Criteria and Non-Arbitrariness Rule</w:t>
      </w:r>
      <w:bookmarkEnd w:id="901586"/>
    </w:p>
    <w:p>
      <w:pPr>
        <w:pStyle w:val="Normal"/>
      </w:pPr>
      <w:r>
        <w:t>1. Where a policy objective under this Chapter can reasonably be achieved through an objective performance, market, safety, sustainability, or compliance criterion, the Parties shall prefer such a criterion over distinctions based solely on province, state, transport mode, ownership form, product label, or end use.</w:t>
      </w:r>
    </w:p>
    <w:p>
      <w:pPr>
        <w:pStyle w:val="Normal"/>
      </w:pPr>
      <w:r>
        <w:t>2. Nothing in paragraph 1 prevents a narrowly tailored measure where the distinguishing characteristic is itself materially relevant to the demonstrated policy objective. Any such distinction shall be transparent, evidence-based, and no broader than necessary.</w:t>
      </w:r>
    </w:p>
    <w:p>
      <w:pPr>
        <w:pStyle w:val="Heading2"/>
      </w:pPr>
      <w:bookmarkStart w:id="901587" w:name="_Toc300001586"/>
      <w:r>
        <w:t>Article 42.9: Market-Based Forestry Practice Safe Harbor</w:t>
      </w:r>
      <w:bookmarkEnd w:id="901587"/>
    </w:p>
    <w:p>
      <w:pPr>
        <w:pStyle w:val="Normal"/>
      </w:pPr>
      <w:r>
        <w:t>1. Canada and the United States shall maintain an evidence-based pathway under which a provincial, regional, producer-specific, or other qualifying forestry system may receive a rebuttable presumption of market-oriented treatment for purposes of this Chapter where published and consistently administered timber-pricing and allocation practices satisfy the criteria in Article 42.3 and do not confer an export advantage through material manipulation.</w:t>
      </w:r>
    </w:p>
    <w:p>
      <w:pPr>
        <w:pStyle w:val="Normal"/>
      </w:pPr>
      <w:r>
        <w:t>2. Eligibility shall be available on neutral terms to any qualifying system and shall not depend on the identity of a particular province, producer, ownership model, or political designation.</w:t>
      </w:r>
    </w:p>
    <w:p>
      <w:pPr>
        <w:pStyle w:val="Normal"/>
        <w:spacing w:before="0" w:after="0"/>
      </w:pPr>
      <w:r>
        <w:t>3. Qualification may be reviewed on a rolling horizon when material evidence indicates a change in the underlying methodology or economic conditions, and Canada or the United States may request provisional suspension by submitting to the Secretariat the identified qualification, material new evidence, and reasons why that evidence warrants suspension. The Party whose provincial, regional, producer-specific, or other forestry system holds the identified qualification is the respondent Party for that request, and the competent authority of that Party that administers the qualification is bound by any provisional-suspension determination issued under this paragraph. Receipt of a complete request is self-executing and requires the Secretariat to constitute a specialized panel under Article 42.4 within five days after receipt, using the Chapter 31 qualifications and Article 31.C(6) witnessed default draw to complete any appointments not lawfully made within four days, without requiring a challenged antidumping or countervailing-duty determination or cash-deposit measure. The panel shall decide the request within thirty days after receipt of the complete request and may order provisional suspension only on a reasoned finding of a material basis, limiting its scope to the affected qualification and the evidence established; qualification remains effective unless and until that reasoned determination issues, and a request or pending panel appointment alone has no suspensive effect.</w:t>
      </w:r>
    </w:p>
    <w:p/>
    <w:p>
      <w:pPr>
        <w:pStyle w:val="Heading2"/>
      </w:pPr>
      <w:bookmarkStart w:id="901588" w:name="_Toc300001587"/>
      <w:r>
        <w:t>Article 42.10: North American Housing Supply and Affordability Cooperation</w:t>
      </w:r>
      <w:bookmarkEnd w:id="901588"/>
    </w:p>
    <w:p>
      <w:pPr>
        <w:pStyle w:val="Normal"/>
      </w:pPr>
      <w:r>
        <w:t>1. Canada and the United States shall treat reliable access to competitively supplied lumber and advanced wood products as a material component of North American housing-supply resilience and construction affordability.</w:t>
      </w:r>
    </w:p>
    <w:p>
      <w:pPr>
        <w:pStyle w:val="Normal"/>
      </w:pPr>
      <w:r>
        <w:t>2. The Parties shall identify administrative, customs, certification, logistics, or trade-remedy frictions that unnecessarily increase the delivered cost of qualifying wood inputs used in residential construction and shall pursue the narrowest practicable means of reducing such friction consistent with applicable law and verified fair-trade disciplines.</w:t>
      </w:r>
    </w:p>
    <w:p>
      <w:pPr>
        <w:pStyle w:val="Normal"/>
      </w:pPr>
      <w:r>
        <w:t>3. Cooperation under this Article may include modular and prefabricated housing inputs, mass timber, engineered wood, doors, windows, structural systems, remanufactured products, and other value-added wood products.</w:t>
      </w:r>
    </w:p>
    <w:p>
      <w:pPr>
        <w:pStyle w:val="Heading2"/>
      </w:pPr>
      <w:bookmarkStart w:id="901589" w:name="_Toc300001588"/>
      <w:r>
        <w:t>Article 42.11: Housing and Disaster Reconstruction Emergency Valve</w:t>
      </w:r>
      <w:bookmarkEnd w:id="901589"/>
    </w:p>
    <w:p>
      <w:pPr>
        <w:pStyle w:val="Normal"/>
      </w:pPr>
      <w:r>
        <w:t>1. Where objective evidence demonstrates a material shortage of construction lumber or wood products, an extraordinary reconstruction requirement following a natural disaster, or a severe housing-supply disruption in the territory of a Party, that Party shall provide an expedited procedure to consider temporary facilitation for qualifying originating lumber and wood products from another Party.</w:t>
      </w:r>
    </w:p>
    <w:p>
      <w:pPr>
        <w:pStyle w:val="Normal"/>
      </w:pPr>
      <w:r>
        <w:t>2. Facilitation may include accelerated customs processing, temporary administrative simplification, prioritized certification review, or other narrowly tailored relief authorized by this Agreement and domestic law. Any extraordinary tariff relief shall be subject to the evidentiary, proportionality, and restoration disciplines of Chapters 35, 38, and 46.</w:t>
      </w:r>
    </w:p>
    <w:p>
      <w:pPr>
        <w:pStyle w:val="Normal"/>
      </w:pPr>
      <w:r>
        <w:t>3. Activation and continuation shall depend on verified conditions rather than a fixed expiration date. Extraordinary treatment transitions back to ordinary treatment when the factual conditions justifying it cease.</w:t>
      </w:r>
    </w:p>
    <w:p>
      <w:pPr>
        <w:pStyle w:val="Heading2"/>
      </w:pPr>
      <w:bookmarkStart w:id="901590" w:name="_Toc300001589"/>
      <w:r>
        <w:t>Article 42.12: Advanced Wood Products and Value-Added Manufacturing Corridor</w:t>
      </w:r>
      <w:bookmarkEnd w:id="901590"/>
    </w:p>
    <w:p>
      <w:pPr>
        <w:pStyle w:val="Normal"/>
      </w:pPr>
      <w:r>
        <w:t>1. The Parties shall facilitate trade and investment in value-added wood products, including engineered wood, mass timber, prefabricated structural systems, remanufactured wood products, specialized lumber, doors, windows, and other higher-value forest products.</w:t>
      </w:r>
    </w:p>
    <w:p>
      <w:pPr>
        <w:pStyle w:val="Normal"/>
      </w:pPr>
      <w:r>
        <w:t>2. Facilitation shall emphasize removal of unnecessary duplicative testing, customs, certification, and documentation burdens; support efficient movement of production inputs; and encourage investment in North American processing and manufacturing capacity without prescribing the Party in which such investment must occur.</w:t>
      </w:r>
    </w:p>
    <w:p>
      <w:pPr>
        <w:pStyle w:val="Normal"/>
      </w:pPr>
      <w:r>
        <w:t>3. No preference under this Article shall be conditioned on an arbitrary allocation of production among the Parties.</w:t>
      </w:r>
    </w:p>
    <w:p>
      <w:pPr>
        <w:pStyle w:val="Heading2"/>
      </w:pPr>
      <w:bookmarkStart w:id="901591" w:name="_Toc300001590"/>
      <w:r>
        <w:t>Article 42.13: Forest Products Mutual Recognition Framework</w:t>
      </w:r>
      <w:bookmarkEnd w:id="901591"/>
    </w:p>
    <w:p>
      <w:pPr>
        <w:pStyle w:val="Normal"/>
      </w:pPr>
      <w:r>
        <w:t>1. The Parties shall establish procedures to recognize demonstrably equivalent forest-product grading, kiln-drying, phytosanitary, fire-performance, sustainability, and other technical certifications where recognition achieves equivalent regulatory or safety outcomes.</w:t>
      </w:r>
    </w:p>
    <w:p>
      <w:pPr>
        <w:pStyle w:val="Normal"/>
      </w:pPr>
      <w:r>
        <w:t>2. Mutual recognition shall not require identical domestic regulatory systems. A Party may maintain a different requirement where it demonstrates a material, evidence-based difference in the regulatory objective or risk addressed.</w:t>
      </w:r>
    </w:p>
    <w:p>
      <w:pPr>
        <w:pStyle w:val="Normal"/>
      </w:pPr>
      <w:r>
        <w:t>3. The responsible committees shall prioritize high-volume or high-friction duplicative requirements and publish the basis for recognition, non-recognition, or required supplementary testing.</w:t>
      </w:r>
    </w:p>
    <w:p>
      <w:pPr>
        <w:pStyle w:val="Heading2"/>
      </w:pPr>
      <w:bookmarkStart w:id="901592" w:name="_Toc300001591"/>
      <w:r>
        <w:t>Article 42.14: Prospective Treatment, Advance Notice, and Reliance Protection</w:t>
      </w:r>
      <w:bookmarkEnd w:id="901592"/>
    </w:p>
    <w:p>
      <w:pPr>
        <w:pStyle w:val="Normal"/>
      </w:pPr>
      <w:r>
        <w:t>1. Except in cases of fraud, intentional evasion, or manifest clerical correction expressly authorized by law, a Party shall not retroactively alter the benchmark methodology or treaty interpretation governing completed softwood-lumber entries in a manner that creates a new liability that could not reasonably have been known at the time of entry.</w:t>
      </w:r>
    </w:p>
    <w:p>
      <w:pPr>
        <w:pStyle w:val="Normal"/>
      </w:pPr>
      <w:r>
        <w:t>2. Before adopting a material new softwood-lumber trade measure against another Party, the proposing Party shall, except where an express emergency provision permits immediate action, provide advance notice, disclose the material evidentiary basis, and offer expedited technical consultations under this Chapter and Chapter 46.</w:t>
      </w:r>
    </w:p>
    <w:p>
      <w:pPr>
        <w:pStyle w:val="Normal"/>
      </w:pPr>
      <w:r>
        <w:t>3. Nothing in this Article eliminates lawful antidumping, countervailing-duty, safeguard, or essential-security authority. It disciplines procedure, reliance, evidence, and retroactivity in accordance with the other provisions of this Agreement.</w:t>
      </w:r>
    </w:p>
    <w:p>
      <w:pPr>
        <w:pStyle w:val="Heading2"/>
      </w:pPr>
      <w:bookmarkStart w:id="901593" w:name="_Toc300001592"/>
      <w:r>
        <w:t>Article 42.15: Trusted Forest Products Trade Lane</w:t>
      </w:r>
      <w:bookmarkEnd w:id="901593"/>
    </w:p>
    <w:p>
      <w:pPr>
        <w:pStyle w:val="Normal"/>
      </w:pPr>
      <w:r>
        <w:t>1. The customs administrations shall develop, within the framework of Chapters 7, 44, and 50, expedited processing pathways for qualifying forest-products shippers with verified compliance histories, complete advance electronic documentation, and low risk indicators.</w:t>
      </w:r>
    </w:p>
    <w:p>
      <w:pPr>
        <w:pStyle w:val="Normal"/>
      </w:pPr>
      <w:r>
        <w:t>2. Service standards shall be expressed as measurable performance targets and shall not operate as absolute guarantees where inspection, safety, congestion, system failure, or particularized risk requires additional processing.</w:t>
      </w:r>
    </w:p>
    <w:p>
      <w:pPr>
        <w:pStyle w:val="Normal"/>
      </w:pPr>
      <w:r>
        <w:t>3. Where equivalent electronic certificates, grading records, or phytosanitary records are already available to the importing authority, the authority shall not require duplicative submission solely because the document was issued by the exporting Party.</w:t>
      </w:r>
    </w:p>
    <w:p>
      <w:pPr>
        <w:pStyle w:val="Heading2"/>
      </w:pPr>
      <w:bookmarkStart w:id="901594" w:name="_Toc300001593"/>
      <w:r>
        <w:t>Article 42.16: Forestry Resilience and Forest-Health Partnership</w:t>
      </w:r>
      <w:bookmarkEnd w:id="901594"/>
    </w:p>
    <w:p>
      <w:pPr>
        <w:pStyle w:val="Normal"/>
      </w:pPr>
      <w:r>
        <w:t>1. The Parties establish a cooperative North American Forestry Resilience and Forest-Health Partnership addressing wildfire prevention and recovery, pest and disease surveillance, reforestation, salvage utilization, forest restoration, sustainable harvesting, climate resilience, mill modernization, biomass and co-product utilization, and continuity of critical forest-product supply.</w:t>
      </w:r>
    </w:p>
    <w:p>
      <w:pPr>
        <w:pStyle w:val="Normal"/>
      </w:pPr>
      <w:r>
        <w:t>2. Projects may include shared research, interoperable forest-health data, joint exercises, technical exchanges, demonstration projects, and voluntary coordination of emergency supply and reconstruction needs.</w:t>
      </w:r>
    </w:p>
    <w:p>
      <w:pPr>
        <w:pStyle w:val="Normal"/>
      </w:pPr>
      <w:r>
        <w:t>3. Participation by Mexico in cooperative activities under this Article shall be on equal and voluntary terms. Nothing in this Article extends Canada-United States softwood-lumber trade-remedy rights or obligations to Mexico unless expressly agreed.</w:t>
      </w:r>
    </w:p>
    <w:p>
      <w:pPr>
        <w:pStyle w:val="Heading2"/>
      </w:pPr>
      <w:bookmarkStart w:id="901595" w:name="_Toc300001594"/>
      <w:r>
        <w:t>Article 42.17: Indigenous and Community Forestry Participation</w:t>
      </w:r>
      <w:bookmarkEnd w:id="901595"/>
    </w:p>
    <w:p>
      <w:pPr>
        <w:pStyle w:val="Normal"/>
      </w:pPr>
      <w:r>
        <w:t>1. Programs established under Articles 42.6, 42.12, and 42.16 shall provide fair and transparent access for Indigenous-owned, community-owned, cooperative, small, and medium-sized forestry enterprises that satisfy the applicable neutral eligibility criteria.</w:t>
      </w:r>
    </w:p>
    <w:p>
      <w:pPr>
        <w:pStyle w:val="Normal"/>
      </w:pPr>
      <w:r>
        <w:t>2. This Article does not create an automatic duty exemption based solely on ownership identity. It permits targeted technical assistance, certification support, market-access facilitation, capacity development, and participation in cooperative programs consistent with applicable law and Indigenous rights.</w:t>
      </w:r>
    </w:p>
    <w:p>
      <w:pPr>
        <w:pStyle w:val="Heading2"/>
      </w:pPr>
      <w:bookmarkStart w:id="901596" w:name="_Toc300001595"/>
      <w:r>
        <w:t>Article 42.18: Federal and Public-Sector Construction Cooperation</w:t>
      </w:r>
      <w:bookmarkEnd w:id="901596"/>
    </w:p>
    <w:p>
      <w:pPr>
        <w:pStyle w:val="Normal"/>
      </w:pPr>
      <w:r>
        <w:t>1. Subject to Chapter 13, each Party may recognize qualifying originating wood products of another Party in public construction, affordable-housing, emergency-reconstruction, infrastructure, and other procurement programs where such recognition is permitted by its applicable procurement commitments and domestic law.</w:t>
      </w:r>
    </w:p>
    <w:p>
      <w:pPr>
        <w:pStyle w:val="Normal"/>
      </w:pPr>
      <w:r>
        <w:t>2. The Parties shall examine whether equivalent fire, structural, grading, sustainability, and other technical certifications can reduce duplicative qualification costs for wood products considered for public-sector construction.</w:t>
      </w:r>
    </w:p>
    <w:p>
      <w:pPr>
        <w:pStyle w:val="Normal"/>
      </w:pPr>
      <w:r>
        <w:t>3. Nothing in this Article establishes a purchase mandate, guaranteed volume, or obligation to treat an imported product as domestic content where applicable procurement law provides otherwise.</w:t>
      </w:r>
    </w:p>
    <w:p>
      <w:pPr>
        <w:pStyle w:val="Heading2"/>
      </w:pPr>
      <w:bookmarkStart w:id="901597" w:name="_Toc300001596"/>
      <w:r>
        <w:t>Article 42.19: Softwood Lumber Technical Consultation and Cothrom Interface</w:t>
      </w:r>
      <w:bookmarkEnd w:id="901597"/>
    </w:p>
    <w:p>
      <w:pPr>
        <w:pStyle w:val="Normal"/>
      </w:pPr>
      <w:r>
        <w:t>1. A Party contemplating a material escalation of a Canada-United States softwood-lumber measure shall first use the expedited consultation and evidence-exchange procedures of this Chapter, except where an express emergency provision permits immediate provisional action.</w:t>
      </w:r>
    </w:p>
    <w:p>
      <w:pPr>
        <w:pStyle w:val="Normal"/>
      </w:pPr>
      <w:r>
        <w:t>2. Chapter 46 and Annex 35-F may be used to verify disputed factual questions, including benchmark comparability, supply conditions, certification equivalence, market-price evidence, or compliance with an agreed corrective step. Cothrom fact-finding does not itself create a new duty rate, quota, subsidy finding, or substantive forestry obligation.</w:t>
      </w:r>
    </w:p>
    <w:p>
      <w:pPr>
        <w:pStyle w:val="Normal"/>
      </w:pPr>
      <w:r>
        <w:t>3. Where a verified deficiency is corrected, the applicable remedy shall narrow, suspend, or terminate in accordance with the proportionality, earn-back, and automatic-restoration rules of Chapters 31 and 35.</w:t>
      </w:r>
    </w:p>
    <w:p>
      <w:pPr>
        <w:pStyle w:val="Heading2"/>
      </w:pPr>
      <w:bookmarkStart w:id="901600" w:name="_Toc300001599"/>
      <w:r>
        <w:t>Article 42.19A: Strategic Minerals-for-Forestry Normalization Framework</w:t>
      </w:r>
      <w:bookmarkEnd w:id="901600"/>
    </w:p>
    <w:p>
      <w:pPr>
        <w:pStyle w:val="Normal"/>
      </w:pPr>
      <w:r>
        <w:t>1. Canada and the United States may establish a staged forestry-normalization arrangement linked to verified Canadian contributions to North American strategic-mineral access, processing, refining, qualification, reserve resilience, recycling, infrastructure, and surge capacity under Chapter 37.</w:t>
      </w:r>
    </w:p>
    <w:p>
      <w:pPr>
        <w:pStyle w:val="Normal"/>
      </w:pPr>
      <w:r>
        <w:t>2. Mexico may participate in the linked package where Mexican strategic-mineral contributions, industrial-input needs, processing, manufacturing, or forestry interests create material reciprocal value. Participation shall not impose Canada-United States softwood-lumber trade-remedy obligations on Mexico unless expressly agreed.</w:t>
      </w:r>
    </w:p>
    <w:p>
      <w:pPr>
        <w:pStyle w:val="Normal"/>
      </w:pPr>
      <w:r>
        <w:t>3. The purpose of linkage is to exchange measurable strategic and commercial value, not to condition lumber access on compulsory extraction or delivery of physically unavailable mineral tonnage.</w:t>
      </w:r>
    </w:p>
    <w:p>
      <w:pPr>
        <w:pStyle w:val="Heading2"/>
      </w:pPr>
      <w:bookmarkStart w:id="901598" w:name="_Toc300001597"/>
      <w:r>
        <w:t>Article 42.20: Performance Measurement and Rolling-Horizon Work Program</w:t>
      </w:r>
      <w:bookmarkEnd w:id="901598"/>
    </w:p>
    <w:p>
      <w:pPr>
        <w:pStyle w:val="Normal"/>
      </w:pPr>
      <w:r>
        <w:t>1. The responsible committees shall maintain a rolling-horizon work program covering litigation frequency and duration, effective duty burden, housing-supply indicators, border processing, utilization of mutual recognition, investment in value-added wood manufacturing, forest-health risks, SME participation, and other metrics necessary to evaluate this Chapter.</w:t>
      </w:r>
    </w:p>
    <w:p>
      <w:pPr>
        <w:pStyle w:val="Normal"/>
      </w:pPr>
      <w:r>
        <w:t>2. Reviews may recommend technical or substantive amendment through the procedures of Article 34.A, as applicable, but no right, recognition, safe harbor, or ordinary market-access treatment under this Chapter expires solely because a review date passes or consensus on an amendment is not reached.</w:t>
      </w:r>
    </w:p>
    <w:p>
      <w:pPr>
        <w:pStyle w:val="Normal"/>
      </w:pPr>
      <w:r>
        <w:t>3. The Commission shall publish non-confidential performance findings in a form understandable to affected industries, workers, communities, and consumers.</w:t>
      </w:r>
    </w:p>
    <w:p>
      <w:pPr>
        <w:pStyle w:val="Heading2"/>
      </w:pPr>
      <w:bookmarkStart w:id="901601" w:name="_Toc300001600"/>
      <w:r>
        <w:t>Article 42.20A: Staged Forestry Normalization</w:t>
      </w:r>
      <w:bookmarkEnd w:id="901601"/>
    </w:p>
    <w:p>
      <w:pPr>
        <w:pStyle w:val="Normal"/>
      </w:pPr>
      <w:r>
        <w:t>1. A negotiated implementation schedule may provide staged reduction, suspension, replacement, settlement, quota conversion, or other lawful normalization of covered softwood-lumber measures as corresponding strategic-mineral institutions and commitments become operational.</w:t>
      </w:r>
    </w:p>
    <w:p>
      <w:pPr>
        <w:pStyle w:val="Normal"/>
      </w:pPr>
      <w:r>
        <w:t>2. Stage One may include a standstill on additional escalation and expedited review when the strategic-minerals access framework, project register, and applicable reserve or continuity protocols become operational.</w:t>
      </w:r>
    </w:p>
    <w:p>
      <w:pPr>
        <w:pStyle w:val="Normal"/>
      </w:pPr>
      <w:r>
        <w:t>3. Stage Two may provide additional relief upon verified implementation of agreed processing, investment, qualification, infrastructure, offtake, recycling, or supply-resilience milestones.</w:t>
      </w:r>
    </w:p>
    <w:p>
      <w:pPr>
        <w:pStyle w:val="Normal"/>
      </w:pPr>
      <w:r>
        <w:t>4. Stage Three may provide durable low-friction treatment, a negotiated managed-trade arrangement, or another agreed forestry settlement when the linked strategic-material package demonstrates sustained performance.</w:t>
      </w:r>
    </w:p>
    <w:p>
      <w:pPr>
        <w:pStyle w:val="Normal"/>
      </w:pPr>
      <w:r>
        <w:t>5. Exact tariff, duty, quota, volume, benchmark, and implementation terms require a schedule expressly adopted by the affected Parties. This Article does not itself predetermine the outcome of an antidumping, countervailing-duty, safeguard, or essential-security proceeding.</w:t>
      </w:r>
    </w:p>
    <w:p>
      <w:pPr>
        <w:pStyle w:val="Heading2"/>
      </w:pPr>
      <w:bookmarkStart w:id="901599" w:name="_Toc300001598"/>
      <w:r>
        <w:t>Article 42.20B: Limited Bridge to Chapter 35</w:t>
      </w:r>
      <w:bookmarkEnd w:id="901599"/>
    </w:p>
    <w:p>
      <w:pPr>
        <w:pStyle w:val="Normal"/>
      </w:pPr>
      <w:r>
        <w:t>1. Nothing in this Chapter prevents recourse to Chapter 35 solely to determine whether a forestry-related measure independently constitutes a covered border measure, equivalent measure, substitute measure, or prohibited circumvention within Articles 35.3 through 35.4A.</w:t>
      </w:r>
    </w:p>
    <w:p>
      <w:pPr>
        <w:pStyle w:val="Normal"/>
      </w:pPr>
      <w:r>
        <w:t>2. Chapter 35 shall not be used to relitigate the merits of an antidumping, countervailing-duty, or safeguard determination governed by Chapter 10 except to the extent another provision expressly authorizes such review.</w:t>
      </w:r>
    </w:p>
    <w:p>
      <w:pPr>
        <w:pStyle w:val="Normal"/>
      </w:pPr>
      <w:r>
        <w:t>3. Any remedy under this bridge shall be confined to the independently established Chapter 35 violation and respect the module firewall, narrowest-sufficient-remedy rule, and anti-fragmentation principles.</w:t>
      </w:r>
    </w:p>
    <w:p>
      <w:pPr>
        <w:pStyle w:val="TrumpVisibilityHeadline"/>
      </w:pPr>
      <w:r>
        <w:t xml:space="preserve">★ </w:t>
      </w:r>
      <w:r>
        <w:t>VISIBLE U.S. WIN: SECURE CRITICAL-MINERAL COOPERATION PAIRED WITH A DURABLE FORESTRY SETTLEMENT</w:t>
      </w:r>
    </w:p>
    <w:p>
      <w:pPr>
        <w:pStyle w:val="Heading2"/>
      </w:pPr>
      <w:bookmarkStart w:id="901602" w:name="_Toc300001601"/>
      <w:r>
        <w:t>Article 42.21: Institutional Performance Rather Than Compulsory Tonnage</w:t>
      </w:r>
      <w:bookmarkEnd w:id="901602"/>
    </w:p>
    <w:p>
      <w:pPr>
        <w:pStyle w:val="Normal"/>
      </w:pPr>
      <w:r>
        <w:t>1. Mineral cooperation earns forestry-normalization benefits through verified institutional and commercial performance, including functioning access arrangements, qualified processing capacity, investment execution, stockpile or continuity readiness, traceability, recycling, or other agreed milestones, rather than through an unconditional requirement to extract or export a fixed volume.</w:t>
      </w:r>
    </w:p>
    <w:p>
      <w:pPr>
        <w:pStyle w:val="Normal"/>
      </w:pPr>
      <w:r>
        <w:t>2. Where an agreed project is delayed by geology, force majeure, labor disruption, safety requirements, permitting, judicial review, or another circumstance outside the reasonable control of the responsible Party, Cothrom review shall determine whether the Party materially performed the obligations within its control before any linked forestry benefit is reduced.</w:t>
      </w:r>
    </w:p>
    <w:p>
      <w:pPr>
        <w:pStyle w:val="Heading2"/>
      </w:pPr>
      <w:bookmarkStart w:id="901603" w:name="_Toc300001602"/>
      <w:r>
        <w:t>Article 42.22: Proportional Linkage and No Essential-Supply Cutoff</w:t>
      </w:r>
      <w:bookmarkEnd w:id="901603"/>
    </w:p>
    <w:p>
      <w:pPr>
        <w:pStyle w:val="Normal"/>
      </w:pPr>
      <w:r>
        <w:t>1. Failure of a linked milestone shall not automatically terminate unrelated strategic-mineral access or emergency continuity commitments. The Parties shall apply consultation, cure, the Narrowest-Sufficient-Remedy Rule, and proportionate adjustment of the paired benefit.</w:t>
      </w:r>
    </w:p>
    <w:p>
      <w:pPr>
        <w:pStyle w:val="Normal"/>
      </w:pPr>
      <w:r>
        <w:t>2. No remedy under this Article shall deliberately interrupt an essential strategic-material flow where doing so would create a disproportionate health, safety, defense, energy, agricultural, infrastructure, or major manufacturing risk. Equivalent commercial adjustment may be used instead.</w:t>
      </w:r>
    </w:p>
    <w:p>
      <w:pPr>
        <w:pStyle w:val="Heading2"/>
      </w:pPr>
      <w:bookmarkStart w:id="901604" w:name="_Toc300001603"/>
      <w:r>
        <w:t>Article 42.23: Joint Forestry and Strategic Materials Review</w:t>
      </w:r>
      <w:bookmarkEnd w:id="901604"/>
    </w:p>
    <w:p>
      <w:pPr>
        <w:pStyle w:val="Normal"/>
      </w:pPr>
      <w:r>
        <w:t>1. The responsible Chapter 37 and Chapter 42 bodies shall conduct a coordinated review of any linked package at least annually, addressing mineral-access performance, processing and investment milestones, lumber-market conditions, duty treatment, housing and construction effects, circumvention risk, and the distribution of benefits among the Parties.</w:t>
      </w:r>
    </w:p>
    <w:p>
      <w:pPr>
        <w:pStyle w:val="Normal"/>
      </w:pPr>
      <w:r>
        <w:t>2. The review shall apply the Three-Win Test and shall recommend adjustment where a linked package produces persistent uncompensated burdens for one Party or ceases to deliver the strategic purpose for which the linkage was created.</w:t>
      </w:r>
    </w:p>
    <w:p>
      <w:pPr>
        <w:pStyle w:val="Heading2"/>
      </w:pPr>
      <w:bookmarkStart w:id="901605" w:name="_Toc300001604"/>
      <w:r>
        <w:t>Article 42.23A: Strategic Materials-for-Forestry Normalization Ladder</w:t>
      </w:r>
      <w:bookmarkEnd w:id="901605"/>
    </w:p>
    <w:p>
      <w:pPr>
        <w:pStyle w:val="Normal"/>
      </w:pPr>
      <w:r>
        <w:t>1. Canada and the United States may adopt a bilateral implementation schedule translating verified strategic-material cooperation under Chapter 37 into defined, simultaneous forestry-normalization benefits. The schedule shall preserve the bilateral character of the historic Canada-United States softwood-lumber dispute and shall not impose those obligations on Mexico.</w:t>
      </w:r>
    </w:p>
    <w:p>
      <w:pPr>
        <w:pStyle w:val="Normal"/>
      </w:pPr>
      <w:r>
        <w:t>2. Level I: Preferred Access and Immediate Section 232 Normalization. A Level I package may include a bounded Preferred Commercial Access Portfolio focused principally on abundant or expandable materials, including aluminum, potash, zinc, iron inputs, or other mutually agreed materials; project and qualification information exchange; processing and recycling cooperation; and ordinary continuity consultation. Upon verified activation of the agreed Level I package, the United States shall simultaneously eliminate, suspend, or otherwise reduce to zero the additional 10 percent Section 232 softwood-lumber tariff identified in the applicable adopted schedule, subject to the legal instrument implementing that treatment.</w:t>
      </w:r>
    </w:p>
    <w:p>
      <w:pPr>
        <w:pStyle w:val="Normal"/>
      </w:pPr>
      <w:r>
        <w:t>3. Level II: Strategic Supply Partnership and Trade-Remedy Reduction. Additional voluntary offtake facilitation, stockpile or surge coordination, mine-to-manufacture investment corridors, incremental copper refining or other midstream expansion, market-stability cooperation, trusted external-feedstock integration, or larger preferred-access windows shall activate only against expressly identified and measurable reductions, suspensions, settlements, safe harbors, or other lawful normalization of the remaining antidumping, countervailing-duty, or equivalent softwood-lumber burden.</w:t>
      </w:r>
    </w:p>
    <w:p>
      <w:pPr>
        <w:pStyle w:val="Normal"/>
      </w:pPr>
      <w:r>
        <w:t>4. Level III: Continental Industrial Partnership and Durable Forestry Settlement. Sustained co-investment in processing, refining, recycling, strategic reserves, infrastructure, research, qualification, downstream manufacturing, and other high-value strategic-material capacity may be exchanged for a durable softwood-lumber settlement, market-based safe harbor, managed-trade arrangement, or other low-friction treatment expressly adopted by Canada and the United States.</w:t>
      </w:r>
    </w:p>
    <w:p>
      <w:pPr>
        <w:pStyle w:val="Normal"/>
      </w:pPr>
      <w:r>
        <w:t>5. The complete Strategic Materials Preferred Commercial Access Portfolio shall not be presumed to constitute consideration solely for Level I relief. Higher-value commodities, larger windows, uranium supply assurance, scarce-mineral cooperation, stockpile commitments, long-term offtake architecture, or major processing and investment commitments shall remain available as consideration for deeper Level II or Level III normalization unless expressly included in Level I by the supplying Party.</w:t>
      </w:r>
    </w:p>
    <w:p>
      <w:pPr>
        <w:pStyle w:val="Normal"/>
      </w:pPr>
      <w:r>
        <w:t>6. Each Level shall identify the strategic-material contribution and corresponding forestry benefit with sufficient precision to permit objective verification. Aspirational consultation, future consideration, or an unbounded promise to review shall not constitute equivalent consideration for an immediately enforceable strategic-material commitment.</w:t>
      </w:r>
    </w:p>
    <w:p>
      <w:pPr>
        <w:pStyle w:val="Normal"/>
      </w:pPr>
      <w:r>
        <w:t>7. Article 35.36 applies to every Level. Linked obligations shall activate concurrently or at matched milestones; verified failure shall ordinarily produce only a proportionate pause or step-back in the corresponding linked benefit; and restoration shall occur automatically when performance resumes.</w:t>
      </w:r>
    </w:p>
    <w:p>
      <w:pPr>
        <w:pStyle w:val="Heading2"/>
      </w:pPr>
      <w:bookmarkStart w:id="901606" w:name="_Toc300001605"/>
      <w:r>
        <w:t>Article 42.23B: No Double Payment, No Commodity Contagion, and Value Preservation</w:t>
      </w:r>
      <w:bookmarkEnd w:id="901606"/>
    </w:p>
    <w:p>
      <w:pPr>
        <w:pStyle w:val="Normal"/>
      </w:pPr>
      <w:r>
        <w:t>1. A strategic-material contribution credited toward one forestry-normalization milestone shall not be counted again as new consideration for a later milestone unless the later milestone is supported by additional duration, volume, investment, processing, resilience, or other measurable value.</w:t>
      </w:r>
    </w:p>
    <w:p>
      <w:pPr>
        <w:pStyle w:val="Normal"/>
      </w:pPr>
      <w:r>
        <w:t>2. A dispute involving one commodity shall be isolated to the value attributed to that commodity. Non-performance concerning uranium, zinc, copper, aluminum, potash, iron, gold, or another material shall not by itself unwind benefits earned through independently performing commodities or unrelated obligations.</w:t>
      </w:r>
    </w:p>
    <w:p>
      <w:pPr>
        <w:pStyle w:val="Normal"/>
      </w:pPr>
      <w:r>
        <w:t>3. Where the legal form of a United States trade-remedy measure prevents automatic tariff modification solely through this Agreement, the adopted schedule shall identify the lawful settlement, review, suspension, undertaking, exclusion, safe-harbor, or other implementing mechanism required and the deadline for its use. Canada shall not be required to activate the paired higher-level strategic-material concession until the corresponding implementing action is effective.</w:t>
      </w:r>
    </w:p>
    <w:p>
      <w:pPr>
        <w:pStyle w:val="Normal"/>
      </w:pPr>
      <w:r>
        <w:t>4. The annual joint review under Article 42.23 shall assess commensurability, including the commercial value, strategic importance, duration, reversibility, and enforceability of each side’s contribution. Persistent material imbalance shall trigger consultation and recalibration rather than automatic expansion of the supplying Party’s obligations.</w:t>
      </w:r>
    </w:p>
    <w:p>
      <w:pPr>
        <w:pStyle w:val="Heading2"/>
      </w:pPr>
      <w:bookmarkStart w:id="901607" w:name="_Toc300001606"/>
      <w:r>
        <w:t>Article 42.24: Trilateral Forestry and Wood-Products Integration Lane</w:t>
      </w:r>
      <w:bookmarkEnd w:id="901607"/>
    </w:p>
    <w:p>
      <w:pPr>
        <w:pStyle w:val="Normal"/>
      </w:pPr>
      <w:r>
        <w:t>1. In addition to the Canada-United States softwood-lumber dispute disciplines in Articles 42.2 through 42.4 and related provisions, the Parties establish a separate trilateral lane for North American forestry, lumber-supply resilience, value-added wood manufacturing, housing inputs, forest health, wildfire resilience, and circular forest products.</w:t>
      </w:r>
    </w:p>
    <w:p>
      <w:pPr>
        <w:pStyle w:val="Normal"/>
      </w:pPr>
      <w:r>
        <w:t>2. Mexico participates in the trilateral lane as a full Party. Participation does not require Mexico to adopt a position concerning the historic Canada-United States stumpage, antidumping, countervailing-duty, or other softwood-lumber disputes, and does not make Mexico responsible for obligations that are expressly bilateral between Canada and the United States.</w:t>
      </w:r>
    </w:p>
    <w:p>
      <w:pPr>
        <w:pStyle w:val="Normal"/>
      </w:pPr>
      <w:r>
        <w:t>3. The trilateral lane shall prioritize commercially useful cooperation that creates value in more than one Party and reduces unnecessary dependence on non-North-American supply without imposing mandatory production allocation among the Parties.</w:t>
      </w:r>
    </w:p>
    <w:p>
      <w:pPr>
        <w:pStyle w:val="Heading2"/>
      </w:pPr>
      <w:bookmarkStart w:id="901608" w:name="_Toc300001607"/>
      <w:r>
        <w:t>Article 42.25: Mexican Lumber Supply Security and Canadian Market Diversification</w:t>
      </w:r>
      <w:bookmarkEnd w:id="901608"/>
    </w:p>
    <w:p>
      <w:pPr>
        <w:pStyle w:val="Normal"/>
      </w:pPr>
      <w:r>
        <w:t>1. Canada and the United States shall facilitate commercially negotiated access for Mexican purchasers to qualifying North American lumber and wood products through supplier matching, transparent grading and certification, trusted-trader procedures, logistics cooperation, and long-term contracting where voluntarily agreed by private parties.</w:t>
      </w:r>
    </w:p>
    <w:p>
      <w:pPr>
        <w:pStyle w:val="Normal"/>
      </w:pPr>
      <w:r>
        <w:t>2. Canada and Mexico shall establish a market-diversification workstream to identify unnecessary administrative, certification, logistics, customs, or information barriers that materially inhibit commercially viable Canadian forest-product exports to Mexico.</w:t>
      </w:r>
    </w:p>
    <w:p>
      <w:pPr>
        <w:pStyle w:val="Normal"/>
      </w:pPr>
      <w:r>
        <w:t>3. Nothing in this Article guarantees a purchase volume, price, export quota, or supplier share. The objective is to enlarge commercially available North American supply options rather than redirect trade by administrative command.</w:t>
      </w:r>
    </w:p>
    <w:p>
      <w:pPr>
        <w:pStyle w:val="Heading2"/>
      </w:pPr>
      <w:bookmarkStart w:id="901609" w:name="_Toc300001608"/>
      <w:r>
        <w:t>Article 42.26: Mexican Value-Added Wood Manufacturing and North American Transformation</w:t>
      </w:r>
      <w:bookmarkEnd w:id="901609"/>
    </w:p>
    <w:p>
      <w:pPr>
        <w:pStyle w:val="Normal"/>
      </w:pPr>
      <w:r>
        <w:t>1. The Parties shall facilitate North American value-added wood manufacturing, including doors, windows, cabinetry, millwork, engineered components, prefabricated construction systems, mass-timber components, furniture inputs, structural systems, remanufactured products, and other higher-value forest products.</w:t>
      </w:r>
    </w:p>
    <w:p>
      <w:pPr>
        <w:pStyle w:val="Normal"/>
      </w:pPr>
      <w:r>
        <w:t>2. Qualifying Canadian or United States lumber substantially transformed in Mexico into an originating wood product shall receive the treatment available under Chapter 4 and applicable product-specific rules without discrimination merely because the downstream transformation occurred in Mexico.</w:t>
      </w:r>
    </w:p>
    <w:p>
      <w:pPr>
        <w:pStyle w:val="Normal"/>
      </w:pPr>
      <w:r>
        <w:t>3. The Commission may develop voluntary North American Wood Transformation credentials that reuse verified origin, grading, phytosanitary, sustainability, and chain-of-custody evidence to reduce duplicative compliance.</w:t>
      </w:r>
    </w:p>
    <w:p>
      <w:pPr>
        <w:pStyle w:val="Heading2"/>
      </w:pPr>
      <w:bookmarkStart w:id="901610" w:name="_Toc300001609"/>
      <w:r>
        <w:t>Article 42.27: Forest-to-Factory Corridors and Housing Inputs</w:t>
      </w:r>
      <w:bookmarkEnd w:id="901610"/>
    </w:p>
    <w:p>
      <w:pPr>
        <w:pStyle w:val="Normal"/>
      </w:pPr>
      <w:r>
        <w:t>1. The Parties may designate voluntary Forest-to-Factory Corridors connecting forest-producing regions, rail and port infrastructure, border facilities, Mexican and other North American manufacturing clusters, and construction markets.</w:t>
      </w:r>
    </w:p>
    <w:p>
      <w:pPr>
        <w:pStyle w:val="Normal"/>
      </w:pPr>
      <w:r>
        <w:t>2. Corridor cooperation may include pre-clearance, bonded movement, standardized electronic documentation, mutual recognition of equivalent grading and testing, logistics-data exchange, and infrastructure bottleneck identification.</w:t>
      </w:r>
    </w:p>
    <w:p>
      <w:pPr>
        <w:pStyle w:val="Normal"/>
      </w:pPr>
      <w:r>
        <w:t>3. Particular attention may be given to wood products used in housing supply, disaster reconstruction, modular construction, and affordable residential development, consistent with Articles 42.10 and 42.11.</w:t>
      </w:r>
    </w:p>
    <w:p>
      <w:pPr>
        <w:pStyle w:val="Heading2"/>
      </w:pPr>
      <w:bookmarkStart w:id="901611" w:name="_Toc300001610"/>
      <w:r>
        <w:t>Article 42.28: Salvage-to-Value and Forest Recovery Cooperation</w:t>
      </w:r>
      <w:bookmarkEnd w:id="901611"/>
    </w:p>
    <w:p>
      <w:pPr>
        <w:pStyle w:val="Normal"/>
      </w:pPr>
      <w:r>
        <w:t>1. Subject to phytosanitary, environmental, safety, and domestic-law requirements, the Parties shall facilitate lawful recovery and commercial use of suitable timber affected by wildfire, storm, pest, disease, or other forest disturbance where such use supports restoration, reduces waste, or supplies reconstruction and manufacturing needs.</w:t>
      </w:r>
    </w:p>
    <w:p>
      <w:pPr>
        <w:pStyle w:val="Normal"/>
      </w:pPr>
      <w:r>
        <w:t>2. Cooperation may include expedited technical determinations, grading and moisture protocols, pest-risk controls, transport coordination, biomass and residual-use pathways, and data concerning material suitable for remanufacturing or engineered products.</w:t>
      </w:r>
    </w:p>
    <w:p>
      <w:pPr>
        <w:pStyle w:val="Heading2"/>
      </w:pPr>
      <w:bookmarkStart w:id="901612" w:name="_Toc300001611"/>
      <w:r>
        <w:t>Article 42.29: Mexico Non-Participation Firewall for Bilateral Lumber Remedies</w:t>
      </w:r>
      <w:bookmarkEnd w:id="901612"/>
    </w:p>
    <w:p>
      <w:pPr>
        <w:pStyle w:val="Normal"/>
      </w:pPr>
      <w:r>
        <w:t>1. No finding, remedy, cash-deposit rate, benchmark determination, settlement condition, or Cothrom step-back arising solely from the historic Canada-United States softwood-lumber dispute shall be attributed to Mexico or applied to Mexican originating forest products solely by reason of Mexico's participation in this Chapter.</w:t>
      </w:r>
    </w:p>
    <w:p>
      <w:pPr>
        <w:pStyle w:val="Normal"/>
      </w:pPr>
      <w:r>
        <w:t>2. A trilateral forestry benefit may be suspended with respect to Mexico only on the basis of conduct attributable to Mexico under that benefit and only through the applicable evidentiary and proportionality procedures of this Agreement.</w:t>
      </w:r>
    </w:p>
    <w:p>
      <w:pPr>
        <w:pStyle w:val="Heading1"/>
      </w:pPr>
      <w:bookmarkStart w:id="901613" w:name="_Toc300001612"/>
      <w:r>
        <w:t>CHAPTER 43</w:t>
      </w:r>
      <w:r>
        <w:br/>
      </w:r>
      <w:r>
        <w:t>AGRICULTURAL MARKET ACCESS, COMPETITIVE NEUTRALITY, AND INNOVATION</w:t>
      </w:r>
      <w:bookmarkEnd w:id="901613"/>
    </w:p>
    <w:p>
      <w:pPr>
        <w:pStyle w:val="Heading2"/>
      </w:pPr>
      <w:bookmarkStart w:id="901614" w:name="_Toc300001613"/>
      <w:r>
        <w:t>Article 43.1: Balanced Agricultural Market Access</w:t>
      </w:r>
      <w:bookmarkEnd w:id="901614"/>
    </w:p>
    <w:p>
      <w:pPr>
        <w:pStyle w:val="Normal"/>
      </w:pPr>
      <w:r>
        <w:t>1. The Parties shall administer agricultural tariff-rate quotas transparently, predictably, and so as to facilitate commercially meaningful utilization while preserving each Party's express schedules, sensitive-sector commitments, and domestic agricultural policy structures except where specifically amended.</w:t>
      </w:r>
    </w:p>
    <w:p>
      <w:pPr>
        <w:pStyle w:val="Normal"/>
      </w:pPr>
      <w:r>
        <w:t>2. Any negotiated expansion of agricultural access shall be reciprocal or accompanied by a clearly identified offsetting benefit and shall be implemented through published schedules rather than informal purchase targets.</w:t>
      </w:r>
    </w:p>
    <w:p>
      <w:pPr>
        <w:pStyle w:val="Heading2"/>
      </w:pPr>
      <w:bookmarkStart w:id="901615" w:name="_Toc300001614"/>
      <w:r>
        <w:t>Article 43.1A: Supply Management Sovereignty and Negotiated Market Access</w:t>
      </w:r>
      <w:bookmarkEnd w:id="901615"/>
    </w:p>
    <w:p>
      <w:pPr>
        <w:pStyle w:val="Normal"/>
      </w:pPr>
      <w:r>
        <w:rPr>
          <w:b/>
        </w:rPr>
        <w:t>1. Preservation of Canadian Supply Management.</w:t>
      </w:r>
      <w:r>
        <w:t xml:space="preserve"> Canada retains authority to maintain supply-management systems for dairy, chicken, turkey, table eggs, broiler hatching eggs and chicks, including production planning, producer quota, pooling, administered pricing, and related domestic institutions. Nothing in this Agreement requires Canada to abolish, privatize, terminate, or fundamentally restructure those systems except through an express amendment to which Canada affirmatively agrees. Canada shall nevertheless administer expressly scheduled market-access commitments in good faith and shall not use a supply-management instrument to nullify or materially frustrate access that this Agreement specifically grants. This paragraph preserves the domestic system while leaving the negotiated border commitment fully enforceable.</w:t>
      </w:r>
    </w:p>
    <w:p>
      <w:pPr>
        <w:pStyle w:val="Normal"/>
      </w:pPr>
      <w:r>
        <w:rPr>
          <w:b/>
        </w:rPr>
        <w:t>2. Access Is Not Abolition.</w:t>
      </w:r>
      <w:r>
        <w:t xml:space="preserve"> A permanent increase in a tariff-rate quota, a specialty pool, a seasonal window, a pilot, or another negotiated access concession constitutes market access and not structural reform unless the instrument expressly states otherwise. Implementation may require administrative adjustments reasonably necessary to make the concession commercially usable, but it does not create an obligation to alter unrelated producer quota, pooling, pricing, or marketing institutions. No Party may infer a commitment to dismantle supply management from the size, utilization, duration, or commercial success of an access concession. A claim concerning access shall therefore identify the particular scheduled commitment alleged to have been impaired.</w:t>
      </w:r>
    </w:p>
    <w:p>
      <w:pPr>
        <w:pStyle w:val="Normal"/>
      </w:pPr>
      <w:r>
        <w:rPr>
          <w:b/>
        </w:rPr>
        <w:t>3. No Automatic Ratchet.</w:t>
      </w:r>
      <w:r>
        <w:t xml:space="preserve"> High quota utilization, increased consumption, increased foreign production, successful pilot access, a period without demonstrated injury, or a temporary emergency surge does not automatically enlarge permanent access. A review may use those facts as evidence for future negotiations but may not convert them into a binding quantity without express agreement. Temporary or emergency volumes expire under their own terms and do not become part of the ordinary baseline. More specific no-ratchet protections in Article 43.2A through Article 43.2L remain fully applicable to dairy.</w:t>
      </w:r>
    </w:p>
    <w:p>
      <w:pPr>
        <w:pStyle w:val="Normal"/>
      </w:pPr>
      <w:r>
        <w:rPr>
          <w:b/>
        </w:rPr>
        <w:t>4. Reciprocity and Offsetting Benefit.</w:t>
      </w:r>
      <w:r>
        <w:t xml:space="preserve"> New permanent access beyond an existing schedule requires express agreement and shall be reciprocal or accompanied by a clearly identified offsetting benefit consistent with Article 43.1. The offsetting benefit may arise in agriculture or another mutually agreed sector and need not consist of an identical product-for-product exchange. An informal purchase target, political request, utilization forecast, or unilateral administrative demand does not create a market-access obligation. Any agreed increase shall be implemented through a published schedule identifying the product, quantity, effective date, duration, and relationship to pre-existing access.</w:t>
      </w:r>
    </w:p>
    <w:p>
      <w:pPr>
        <w:pStyle w:val="Normal"/>
      </w:pPr>
      <w:r>
        <w:rPr>
          <w:b/>
        </w:rPr>
        <w:t>5. Party-Neutral Architecture.</w:t>
      </w:r>
      <w:r>
        <w:t xml:space="preserve"> The rights to transparent administration, emergency cooperation, disease regionalization, and commercially usable access established in Articles 43.1B through 43.1R apply on a Party-neutral basis unless a provision expressly establishes a bilateral arrangement. Party-neutral treatment does not require the United States or Mexico to adopt Canadian supply-management institutions. It also does not prevent a Party from maintaining a different domestic agricultural policy where that policy complies with its express obligations. Differences in domestic production systems shall not by themselves establish discrimination.</w:t>
      </w:r>
    </w:p>
    <w:p>
      <w:pPr>
        <w:pStyle w:val="Normal"/>
      </w:pPr>
      <w:r>
        <w:rPr>
          <w:b/>
        </w:rPr>
        <w:t>6. Enforcement Boundary.</w:t>
      </w:r>
      <w:r>
        <w:t xml:space="preserve"> A dispute under this framework shall distinguish the existence of a domestic supply-management system from the administration of an express trade commitment. Panels may order compliance with a scheduled access, transparency, licensing, emergency, or non-discrimination obligation where the applicable standard is met. They shall not treat the mere maintenance of supply management as a breach where no other obligation has been violated. Any responsive measure remains subject to Chapter 31, Chapter 35, proportionality, verification, and the Cothrom cure sequence.</w:t>
      </w:r>
    </w:p>
    <w:p>
      <w:pPr>
        <w:pStyle w:val="Heading2"/>
      </w:pPr>
      <w:bookmarkStart w:id="901616" w:name="_Toc300001615"/>
      <w:r>
        <w:t>Article 43.1B: Poultry and Egg TRQ Administration and Commercial Usability</w:t>
      </w:r>
      <w:bookmarkEnd w:id="901616"/>
    </w:p>
    <w:p>
      <w:pPr>
        <w:pStyle w:val="Normal"/>
      </w:pPr>
      <w:r>
        <w:rPr>
          <w:b/>
        </w:rPr>
        <w:t>1. Published Administration.</w:t>
      </w:r>
      <w:r>
        <w:t xml:space="preserve"> Each Party shall publish for covered poultry and egg tariff-rate quotas the eligibility rules, application window, allocation methodology, transfer rules, return deadlines, reallocation procedure, utilization methodology, and review rights before the quota year begins. Changes during a quota year shall be limited to measures necessary to correct an administrative defect, respond to an emergency, or implement an agreed amendment. A change shall be accompanied by reasons and reasonable transitional treatment for commitments already made in reliance on the prior rule. The publication shall be available through the agricultural single-window function described in Annex 43-C.</w:t>
      </w:r>
    </w:p>
    <w:p>
      <w:pPr>
        <w:pStyle w:val="Normal"/>
      </w:pPr>
      <w:r>
        <w:rPr>
          <w:b/>
        </w:rPr>
        <w:t>2. Commercially Usable Allocation.</w:t>
      </w:r>
      <w:r>
        <w:t xml:space="preserve"> An allocation system shall provide importers a practical opportunity to use negotiated access rather than merely making a quantity legally available on paper. Eligibility may include processors, further processors, distributors, retailers, food-service operators, cooperatives, end users, and new entrants where appropriate to the product. A Party may use product-specific pools where objectively justified but shall not design a pool so narrowly that commercially capable applicants are systematically excluded. The administering authority shall publish reasons for any material eligibility restriction.</w:t>
      </w:r>
    </w:p>
    <w:p>
      <w:pPr>
        <w:pStyle w:val="Normal"/>
      </w:pPr>
      <w:r>
        <w:rPr>
          <w:b/>
        </w:rPr>
        <w:t>3. New Entrant Access.</w:t>
      </w:r>
      <w:r>
        <w:t xml:space="preserve"> Each Party shall maintain a meaningful pathway for commercially capable new entrants to obtain poultry or egg quota without requiring a history that a new entrant cannot possess. The Party may establish a dedicated reserve, competitive pool, turnover mechanism, or comparable method suited to its market. Unused new-entrant allocations shall be returned and reallocated under the same commercial-usability principles that apply to other allocations. Beneficial-ownership rules may prevent affiliated entities from multiplying claims to a new-entrant pool.</w:t>
      </w:r>
    </w:p>
    <w:p>
      <w:pPr>
        <w:pStyle w:val="Normal"/>
      </w:pPr>
      <w:r>
        <w:rPr>
          <w:b/>
        </w:rPr>
        <w:t>4. Use-or-Return.</w:t>
      </w:r>
      <w:r>
        <w:t xml:space="preserve"> Quota holders that reasonably expect not to use an allocation shall return the unused quantity by the published return date. The administering authority shall reoffer returned or clearly abandoned quantities early enough for another qualified operator to complete a commercially realistic transaction. A Party may reduce a persistently unused allocation after notice, an opportunity to explain genuine market circumstances, and a reasoned determination. Non-use caused principally by demand weakness, exporter shortage, disease, price, or logistics shall not be treated as administrative obstruction.</w:t>
      </w:r>
    </w:p>
    <w:p>
      <w:pPr>
        <w:pStyle w:val="Normal"/>
      </w:pPr>
      <w:r>
        <w:rPr>
          <w:b/>
        </w:rPr>
        <w:t>5. Utilization Diagnosis.</w:t>
      </w:r>
      <w:r>
        <w:t xml:space="preserve"> Utilization below a published benchmark triggers diagnosis rather than an automatic increase in access or finding of breach. The review shall distinguish market underfill from government-caused underutilization, including discriminatory eligibility, avoidable licensing delay, unusable allocation timing, or withholding of returned quantities. Where administration materially caused underutilization, corrective measures may include accelerated processing, eligibility correction, reallocation, or temporary make-up access proportionate to the lost opportunity. Where market conditions caused underfill, the authority shall record the finding and no remedial access is required solely because the numerical utilization rate was low.</w:t>
      </w:r>
    </w:p>
    <w:p>
      <w:pPr>
        <w:pStyle w:val="Normal"/>
      </w:pPr>
      <w:r>
        <w:rPr>
          <w:b/>
        </w:rPr>
        <w:t>6. Review and Reasons.</w:t>
      </w:r>
      <w:r>
        <w:t xml:space="preserve"> An applicant denied eligibility, allocation, transfer, or reallocation shall receive a concise statement of reasons sufficient to permit review. A domestic administrative review shall be available on an expedited basis where delay would make the quota commercially useless. The reviewing authority may preserve an uncontested portion of an allocation while a disputed portion is examined. Nothing in this paragraph prevents confidential business information from receiving the protections required by domestic law and this Agreement.</w:t>
      </w:r>
    </w:p>
    <w:p>
      <w:pPr>
        <w:pStyle w:val="Heading2"/>
      </w:pPr>
      <w:bookmarkStart w:id="901617" w:name="_Toc300001616"/>
      <w:r>
        <w:t>Article 43.1C: Permanent Access, Temporary Flexibility, and No-Ratchet Rules</w:t>
      </w:r>
      <w:bookmarkEnd w:id="901617"/>
    </w:p>
    <w:p>
      <w:pPr>
        <w:pStyle w:val="Normal"/>
      </w:pPr>
      <w:r>
        <w:rPr>
          <w:b/>
        </w:rPr>
        <w:t>1. Permanent Quantities.</w:t>
      </w:r>
      <w:r>
        <w:t xml:space="preserve"> Existing scheduled quantities remain the permanent baseline unless expressly amended by the Parties concerned. This framework does not itself create an automatic annual percentage increase in poultry or egg access. A Party may voluntarily negotiate a growth schedule, but the schedule must identify its duration, calculation method, and terminal quantity. At expiration, no further increase occurs unless the Parties expressly agree.</w:t>
      </w:r>
    </w:p>
    <w:p>
      <w:pPr>
        <w:pStyle w:val="Normal"/>
      </w:pPr>
      <w:r>
        <w:rPr>
          <w:b/>
        </w:rPr>
        <w:t>2. Seasonal Flexibility.</w:t>
      </w:r>
      <w:r>
        <w:t xml:space="preserve"> A Party may permit seasonal movement of quota within a quota year where the total annual commitment is not reduced and the adjustment improves commercial usability. Seasonal flexibility shall not automatically increase the annual quantity or create a precedent for another product. The authority shall publish the affected period, amount, and allocation method before the adjustment takes effect. Emergency flexibility under Article 43.1G is governed separately and does not consume permanent negotiating space.</w:t>
      </w:r>
    </w:p>
    <w:p>
      <w:pPr>
        <w:pStyle w:val="Normal"/>
      </w:pPr>
      <w:r>
        <w:rPr>
          <w:b/>
        </w:rPr>
        <w:t>3. Transfers and Portability.</w:t>
      </w:r>
      <w:r>
        <w:t xml:space="preserve"> A Party may permit transfers among eligible quota holders under transparent rules that prevent warehousing, sham transfers, and beneficial-ownership concentration. Transferability may be broader during a verified shortage when rapid movement of unused access would materially improve supply. Cross-product substitution shall occur only where the schedule or an emergency determination expressly permits it and the products are commercially suitable for the identified need. No transfer changes the origin requirement applicable to the imported good.</w:t>
      </w:r>
    </w:p>
    <w:p>
      <w:pPr>
        <w:pStyle w:val="Normal"/>
      </w:pPr>
      <w:r>
        <w:rPr>
          <w:b/>
        </w:rPr>
        <w:t>4. Carry Treatment.</w:t>
      </w:r>
      <w:r>
        <w:t xml:space="preserve"> Carry-forward or carry-back may be authorized only through a published rule that caps the quantity and prevents double counting across quota years. Unused quota is not presumed to accumulate indefinitely. Emergency borrowing from a future period shall identify how the later period is adjusted and shall not silently create permanent additional access. The Committee shall publish worked accounting examples in Annex 43-C.</w:t>
      </w:r>
    </w:p>
    <w:p>
      <w:pPr>
        <w:pStyle w:val="Normal"/>
      </w:pPr>
      <w:r>
        <w:rPr>
          <w:b/>
        </w:rPr>
        <w:t>5. No Injury Presumption.</w:t>
      </w:r>
      <w:r>
        <w:t xml:space="preserve"> Successful imports within a negotiated quota do not establish that additional access would be harmless. Conversely, the existence of supply management does not establish that negotiated access is commercially unusable. Any future access negotiation may consider producer conditions, consumer affordability, processing capacity, food security, trade flows, and reciprocal benefits. No single indicator creates an entitlement to a particular negotiating outcome.</w:t>
      </w:r>
    </w:p>
    <w:p>
      <w:pPr>
        <w:pStyle w:val="Normal"/>
      </w:pPr>
      <w:r>
        <w:rPr>
          <w:b/>
        </w:rPr>
        <w:t>6. Baseline Integrity.</w:t>
      </w:r>
      <w:r>
        <w:t xml:space="preserve"> The Secretariat shall maintain a machine-readable baseline identifying permanent scheduled access, temporary emergency access, make-up access, and optional bilateral concessions as separate categories. Volumes shall not migrate between categories merely because customs systems use a common tariff line. The baseline shall identify amendments and expiration dates without rewriting historical commitments. A discrepancy shall be corrected through technical consultation and shall not be resolved by unilateral expansion of access.</w:t>
      </w:r>
    </w:p>
    <w:p>
      <w:pPr>
        <w:pStyle w:val="Heading2"/>
      </w:pPr>
      <w:bookmarkStart w:id="901618" w:name="_Toc300001617"/>
      <w:r>
        <w:t>Article 43.1D: North American Poultry and Egg Supply Observatory</w:t>
      </w:r>
      <w:bookmarkEnd w:id="901618"/>
    </w:p>
    <w:p>
      <w:pPr>
        <w:pStyle w:val="Normal"/>
      </w:pPr>
      <w:r>
        <w:rPr>
          <w:b/>
        </w:rPr>
        <w:t>1. Integrated Monitoring.</w:t>
      </w:r>
      <w:r>
        <w:t xml:space="preserve"> The Parties shall establish a Poultry and Egg Supply Observatory using existing NAESTMA data infrastructure rather than a duplicative secretariat. The Observatory shall monitor production, flock and laying capacity, hatching capacity, inventories, wholesale and retail prices, feed costs, imports, exports, TRQ utilization, processing capacity, and material disease events. Data shall be reported at the most useful regional level consistent with confidentiality and statistical reliability. The Observatory is an information and early-warning function and does not itself regulate production or prices.</w:t>
      </w:r>
    </w:p>
    <w:p>
      <w:pPr>
        <w:pStyle w:val="Normal"/>
      </w:pPr>
      <w:r>
        <w:rPr>
          <w:b/>
        </w:rPr>
        <w:t>2. Common Data Dictionary.</w:t>
      </w:r>
      <w:r>
        <w:t xml:space="preserve"> Within 180 days, the Parties shall publish a common data dictionary defining covered products, units, reporting periods, utilization, inventory, flock loss, shortage, and price indicators. National statistical series may continue to use domestic methodologies if the concordance explains material differences. The Parties shall not fabricate comparability by suppressing a legitimate methodological difference. Technical corrections may be adopted by consensus without reopening the Agreement.</w:t>
      </w:r>
    </w:p>
    <w:p>
      <w:pPr>
        <w:pStyle w:val="Normal"/>
      </w:pPr>
      <w:r>
        <w:rPr>
          <w:b/>
        </w:rPr>
        <w:t>3. Forecasting.</w:t>
      </w:r>
      <w:r>
        <w:t xml:space="preserve"> The Observatory shall publish a quarterly twelve-month outlook for major poultry and egg categories using national forecasts and identified assumptions. The outlook shall include feed-grain conditions, expected flock changes, processing constraints, major seasonal demand, and known disease risks where reliable information exists. Forecasts are planning tools and shall not constitute production quotas, purchase commitments, or guarantees. Material revisions shall be timestamped and explained.</w:t>
      </w:r>
    </w:p>
    <w:p>
      <w:pPr>
        <w:pStyle w:val="Normal"/>
      </w:pPr>
      <w:r>
        <w:rPr>
          <w:b/>
        </w:rPr>
        <w:t>4. Price Monitoring.</w:t>
      </w:r>
      <w:r>
        <w:t xml:space="preserve"> The Observatory shall track farm-gate, wholesale, and retail price series where available and shall distinguish nominal price movement from inflation-adjusted movement. A price increase may support an early-warning assessment but does not alone establish a physical shortage or treaty breach. Where an abnormal price movement appears disconnected from production and inventory conditions, the Parties may examine logistics, processing, concentration, or other market factors within their lawful competence. Confidential firm-level data shall not be publicly disclosed.</w:t>
      </w:r>
    </w:p>
    <w:p>
      <w:pPr>
        <w:pStyle w:val="Normal"/>
      </w:pPr>
      <w:r>
        <w:rPr>
          <w:b/>
        </w:rPr>
        <w:t>5. Early Warning.</w:t>
      </w:r>
      <w:r>
        <w:t xml:space="preserve"> The Observatory shall issue an early-warning notice when multiple indicators show a material risk of shortage, severe regional imbalance, or extraordinary supply disruption. The notice shall identify the indicators relied upon, affected products and regions, expected duration, and confidence level. An early-warning notice initiates technical consultation but does not automatically open additional permanent market access. A Party may request immediate shortage verification under Article 43.1F without waiting for a scheduled report.</w:t>
      </w:r>
    </w:p>
    <w:p>
      <w:pPr>
        <w:pStyle w:val="Normal"/>
      </w:pPr>
      <w:r>
        <w:rPr>
          <w:b/>
        </w:rPr>
        <w:t>6. Public Dashboard.</w:t>
      </w:r>
      <w:r>
        <w:t xml:space="preserve"> Non-confidential supply, utilization, emergency, and disease-regionalization information shall be made available through a public dashboard. The dashboard shall identify active emergency measures, quantities authorized, quantities used, and scheduled expiration dates. Historical data shall remain accessible so stakeholders can distinguish temporary crises from structural trends. The Committee shall audit data completeness annually and publish a correction log.</w:t>
      </w:r>
    </w:p>
    <w:p>
      <w:pPr>
        <w:pStyle w:val="Heading2"/>
      </w:pPr>
      <w:bookmarkStart w:id="901619" w:name="_Toc300001618"/>
      <w:r>
        <w:t>Article 43.1E: Consumer Affordability, Producer Stability, and Supply Continuity</w:t>
      </w:r>
      <w:bookmarkEnd w:id="901619"/>
    </w:p>
    <w:p>
      <w:pPr>
        <w:pStyle w:val="Normal"/>
      </w:pPr>
      <w:r>
        <w:rPr>
          <w:b/>
        </w:rPr>
        <w:t>1. Balanced Objective.</w:t>
      </w:r>
      <w:r>
        <w:t xml:space="preserve"> The Parties recognize reliable producer returns, consumer affordability, animal health, competitive processing and distribution, food security, and continuity of supply as legitimate and mutually relevant objectives. No single objective is categorically superior to the others under this framework. Measures shall be designed to address the demonstrated problem without unnecessarily destabilizing another part of the supply chain. This balance does not alter an express tariff-rate quota or domestic support commitment elsewhere in the Agreement.</w:t>
      </w:r>
    </w:p>
    <w:p>
      <w:pPr>
        <w:pStyle w:val="Normal"/>
      </w:pPr>
      <w:r>
        <w:rPr>
          <w:b/>
        </w:rPr>
        <w:t>2. Affordability Assessment.</w:t>
      </w:r>
      <w:r>
        <w:t xml:space="preserve"> A Party experiencing persistent abnormal retail-price increases may request an expedited supply-and-price assessment by the Observatory. The assessment shall examine physical availability, flock and production losses, inventories, feed and energy costs, processing constraints, logistics, imports, exports, and other material factors supported by evidence. Price increases alone do not establish a violation or automatically require additional imports. Where a verified shortage materially contributes to extraordinary consumer prices, the Party shall promptly consider the least disruptive available supply-continuity measure.</w:t>
      </w:r>
    </w:p>
    <w:p>
      <w:pPr>
        <w:pStyle w:val="Normal"/>
      </w:pPr>
      <w:r>
        <w:rPr>
          <w:b/>
        </w:rPr>
        <w:t>3. Producer Protection.</w:t>
      </w:r>
      <w:r>
        <w:t xml:space="preserve"> Emergency imports shall supplement a demonstrated supply deficit and shall not require destruction, forced sale, uncompensated displacement, or an automatic reduction of domestic production quota. A Party may phase or geographically target emergency volumes to reduce avoidable disruption as domestic production recovers. The existence of temporary imported supply does not determine the appropriate long-term domestic production level. Producer-support measures remain subject to the applicable subsidy and agricultural obligations of this Agreement.</w:t>
      </w:r>
    </w:p>
    <w:p>
      <w:pPr>
        <w:pStyle w:val="Normal"/>
      </w:pPr>
      <w:r>
        <w:rPr>
          <w:b/>
        </w:rPr>
        <w:t>4. Food-Service and Institutional Continuity.</w:t>
      </w:r>
      <w:r>
        <w:t xml:space="preserve"> Shortage measures may distinguish shell eggs, liquid egg, frozen egg, dried egg, poultry meat, hatching stock, and other products according to actual commercial need. Institutional and food-service users may receive processed substitutes where those products can relieve pressure on retail supply. The administering authority shall avoid requiring a product form that cannot practically substitute for the shortage being addressed. Emergency product flexibility does not alter permanent product classifications.</w:t>
      </w:r>
    </w:p>
    <w:p>
      <w:pPr>
        <w:pStyle w:val="Normal"/>
      </w:pPr>
      <w:r>
        <w:rPr>
          <w:b/>
        </w:rPr>
        <w:t>5. Vulnerable Consumers.</w:t>
      </w:r>
      <w:r>
        <w:t xml:space="preserve"> A Party may prioritize food banks, hospitals, schools, remote communities, disaster response, and other vulnerable-consumer channels when allocating publicly controlled emergency stocks. Commercial emergency imports need not be restricted to those channels unless the activation instrument so provides. Any priority rule shall be transparent, temporary, and related to the verified shortage. Nothing requires a Party to create a new consumer subsidy program.</w:t>
      </w:r>
    </w:p>
    <w:p>
      <w:pPr>
        <w:pStyle w:val="Normal"/>
      </w:pPr>
      <w:r>
        <w:rPr>
          <w:b/>
        </w:rPr>
        <w:t>6. Post-Event Review.</w:t>
      </w:r>
      <w:r>
        <w:t xml:space="preserve"> Within 90 days after a major emergency closes, the Committee shall publish a non-confidential review of supply effects, consumer-price effects, producer effects, logistics performance, and administrative bottlenecks. The review shall distinguish correlation from demonstrated causation. Recommendations may improve future emergency procedures but shall not automatically amend permanent access. A Party may attach a reasoned dissent to the review.</w:t>
      </w:r>
    </w:p>
    <w:p>
      <w:pPr>
        <w:pStyle w:val="Heading2"/>
      </w:pPr>
      <w:bookmarkStart w:id="901620" w:name="_Toc300001619"/>
      <w:r>
        <w:t>Article 43.1F: Verified Poultry and Egg Shortage Determination</w:t>
      </w:r>
      <w:bookmarkEnd w:id="901620"/>
    </w:p>
    <w:p>
      <w:pPr>
        <w:pStyle w:val="Normal"/>
      </w:pPr>
      <w:r>
        <w:rPr>
          <w:b/>
        </w:rPr>
        <w:t>1. Qualifying Events.</w:t>
      </w:r>
      <w:r>
        <w:t xml:space="preserve"> A shortage assessment may be initiated for avian influenza or another animal disease, extreme weather, feed disruption, processing failure, transportation interruption, disaster, abrupt production loss, or another objectively evidenced event materially reducing available supply. A demand shock may also qualify where ordinary supply and existing access cannot reasonably respond in time. Political preference for lower prices without evidence of supply stress does not by itself constitute a shortage. The assessment shall identify the product and geographic scope rather than assuming a nationwide shortage.</w:t>
      </w:r>
    </w:p>
    <w:p>
      <w:pPr>
        <w:pStyle w:val="Normal"/>
      </w:pPr>
      <w:r>
        <w:rPr>
          <w:b/>
        </w:rPr>
        <w:t>2. Evidence Package.</w:t>
      </w:r>
      <w:r>
        <w:t xml:space="preserve"> The requesting Party shall provide available evidence concerning production, inventory, expected duration, affected regions, existing quota availability, domestic redistribution options, and relevant price conditions. Perfect data is not required where delay would materially worsen an emergency. The other Parties may submit contrary or supplementary evidence within the accelerated review period. The record shall be updated as better information becomes available.</w:t>
      </w:r>
    </w:p>
    <w:p>
      <w:pPr>
        <w:pStyle w:val="Normal"/>
      </w:pPr>
      <w:r>
        <w:rPr>
          <w:b/>
        </w:rPr>
        <w:t>3. Rapid Verification.</w:t>
      </w:r>
      <w:r>
        <w:t xml:space="preserve"> Technical officials shall begin review within 24 hours of a complete or emergency-accepted request and shall target an initial determination within 48 hours. Where immediate food-security needs make a full determination impracticable, provisional relief may be authorized for not more than seven days while verification continues. Provisional relief expires automatically unless the evidentiary standard is met. The determination shall state the facts, product scope, geographic scope, expected duration, and selected response tier.</w:t>
      </w:r>
    </w:p>
    <w:p>
      <w:pPr>
        <w:pStyle w:val="Normal"/>
      </w:pPr>
      <w:r>
        <w:rPr>
          <w:b/>
        </w:rPr>
        <w:t>4. Regional First Response.</w:t>
      </w:r>
      <w:r>
        <w:t xml:space="preserve"> Where practicable, the affected Party shall first identify whether unaffected domestic regions can relieve the shortage without unreasonable delay or cost. This inquiry shall not become a precondition that delays necessary cross-border assistance where domestic redistribution is plainly inadequate. Disease-control measures shall respect recognized regionalization so an outbreak in one area does not automatically disqualify unaffected supply. The record shall identify any domestic logistical barrier that materially limits redistribution.</w:t>
      </w:r>
    </w:p>
    <w:p>
      <w:pPr>
        <w:pStyle w:val="Normal"/>
      </w:pPr>
      <w:r>
        <w:rPr>
          <w:b/>
        </w:rPr>
        <w:t>5. Existing Access First.</w:t>
      </w:r>
      <w:r>
        <w:t xml:space="preserve"> Unused ordinary quota, returned allocations, and already-authorized commercial imports shall be considered before creating additional emergency volume where they can realistically reach the affected market in time. The authority shall accelerate reallocation and licensing rather than leave usable existing access idle. If existing access is insufficient, commercially unsuitable, or too slow, the Party may proceed immediately to Article 43.1G. Failure to exhaust a nominal quota that is unavailable in practice does not bar emergency action.</w:t>
      </w:r>
    </w:p>
    <w:p>
      <w:pPr>
        <w:pStyle w:val="Normal"/>
      </w:pPr>
      <w:r>
        <w:rPr>
          <w:b/>
        </w:rPr>
        <w:t>6. Reassessment.</w:t>
      </w:r>
      <w:r>
        <w:t xml:space="preserve"> An active shortage determination shall be reassessed at least every 14 days unless a shorter interval is specified. The reassessment shall examine remaining deficit, domestic recovery, imported emergency volume, disease status, and expected near-term supply. Emergency authority shall narrow or terminate when the evidence no longer supports its existing scope. A reassessment may expand the response only upon evidence that the verified deficit has materially worsened.</w:t>
      </w:r>
    </w:p>
    <w:p>
      <w:pPr>
        <w:pStyle w:val="Heading2"/>
      </w:pPr>
      <w:bookmarkStart w:id="901621" w:name="_Toc300001620"/>
      <w:r>
        <w:t>Article 43.1G: North American Poultry and Egg Emergency Supply Surge</w:t>
      </w:r>
      <w:bookmarkEnd w:id="901621"/>
    </w:p>
    <w:p>
      <w:pPr>
        <w:pStyle w:val="Normal"/>
      </w:pPr>
      <w:r>
        <w:rPr>
          <w:b/>
        </w:rPr>
        <w:t>1. Surge Authorization.</w:t>
      </w:r>
      <w:r>
        <w:t xml:space="preserve"> Following a verified shortage, the affected Party may authorize temporary additional imports from the other Parties in a quantity reasonably related to the demonstrated supply deficit. The authorization shall identify covered products, eligible origins, quantity or capacity ceiling, activation date, distribution conditions if any, and expiration rule. The volume shall not be fixed by an automatic political percentage where current evidence supports a more accurate deficit estimate. Emergency access is additional temporary access and does not amend the permanent tariff-rate quota baseline.</w:t>
      </w:r>
    </w:p>
    <w:p>
      <w:pPr>
        <w:pStyle w:val="Normal"/>
      </w:pPr>
      <w:r>
        <w:rPr>
          <w:b/>
        </w:rPr>
        <w:t>2. Accelerated Permitting.</w:t>
      </w:r>
      <w:r>
        <w:t xml:space="preserve"> Complete emergency import and export applications shall receive priority processing with a target of 48 hours where applicable food-safety and animal-health requirements are satisfied. Pre-cleared operators and electronic certificates shall be used wherever available. An authority that cannot meet the target shall identify the unresolved requirement and the expected decision time. No procedural shortcut permits entry of a shipment that fails a non-waived food-safety requirement.</w:t>
      </w:r>
    </w:p>
    <w:p>
      <w:pPr>
        <w:pStyle w:val="Normal"/>
      </w:pPr>
      <w:r>
        <w:rPr>
          <w:b/>
        </w:rPr>
        <w:t>3. Tariff Treatment.</w:t>
      </w:r>
      <w:r>
        <w:t xml:space="preserve"> The importing Party shall specify the temporary tariff treatment applicable to authorized emergency volume in the activation instrument. Where the Parties have agreed duty-free or reduced-duty emergency treatment, customs systems shall apply that treatment only to the verified quantity and period. Emergency treatment shall not reactivate or create an unrelated unilateral tariff authority prohibited by Chapter 35. Expiration restores the ordinary scheduled treatment without requiring a new tariff action.</w:t>
      </w:r>
    </w:p>
    <w:p>
      <w:pPr>
        <w:pStyle w:val="Normal"/>
      </w:pPr>
      <w:r>
        <w:rPr>
          <w:b/>
        </w:rPr>
        <w:t>4. Supplier Self-Protection.</w:t>
      </w:r>
      <w:r>
        <w:t xml:space="preserve"> A supplying Party is not required to export emergency volume where doing so would create or materially worsen its own verified shortage. A limitation shall be no broader or longer than necessary and shall be notified with supporting supply information. The Parties shall consult immediately on alternative regions, product forms, or sources. A good-faith self-protection limitation does not create compensation liability solely because the requested quantity could not be supplied.</w:t>
      </w:r>
    </w:p>
    <w:p>
      <w:pPr>
        <w:pStyle w:val="Normal"/>
      </w:pPr>
      <w:r>
        <w:rPr>
          <w:b/>
        </w:rPr>
        <w:t>5. External Emergency Supply.</w:t>
      </w:r>
      <w:r>
        <w:t xml:space="preserve"> If North American supply cannot reasonably meet the verified deficit, the affected Party remains free to obtain safe emergency supply from non-Parties consistent with its other obligations. Use of non-Party emergency supply does not convert that supply into originating goods. The Party shall apply origin, traceability, sanctions, forced-labor, and anti-circumvention rules normally applicable to the product unless a lawful emergency provision expressly modifies a procedural requirement. The emergency mechanism shall not be used to launder non-originating goods through another Party.</w:t>
      </w:r>
    </w:p>
    <w:p>
      <w:pPr>
        <w:pStyle w:val="Normal"/>
      </w:pPr>
      <w:r>
        <w:rPr>
          <w:b/>
        </w:rPr>
        <w:t>6. Automatic Wind-Down.</w:t>
      </w:r>
      <w:r>
        <w:t xml:space="preserve"> Emergency surge authority shall expire on the stated date or when the verified shortage ceases, whichever occurs first, subject to a short customs run-off for goods already contracted or in transit. The Committee may extend an authorization only after reassessment under Article 43.1F. Emergency volume creates no precedent, entitlement, or presumption concerning future permanent access. Customs shall separately code emergency entries so the Secretariat can prevent them from being counted as ordinary quota utilization.</w:t>
      </w:r>
    </w:p>
    <w:p>
      <w:pPr>
        <w:pStyle w:val="Heading2"/>
      </w:pPr>
      <w:bookmarkStart w:id="901622" w:name="_Toc300001621"/>
      <w:r>
        <w:t>Article 43.1H: Canada-United States Egg Supply Security Partnership</w:t>
      </w:r>
      <w:bookmarkEnd w:id="901622"/>
    </w:p>
    <w:p>
      <w:pPr>
        <w:pStyle w:val="Normal"/>
      </w:pPr>
      <w:r>
        <w:rPr>
          <w:b/>
        </w:rPr>
        <w:t>1. Emergency Supply Capacity.</w:t>
      </w:r>
      <w:r>
        <w:t xml:space="preserve"> Canada and the United States shall establish a bilateral Emergency Egg Supply Capacity composed of qualified commercial production, processing, storage, and logistics capability rather than a fixed mandatory government-owned stockpile. The Parties shall determine an annual planning capacity using Canadian available supply, United States consumption, disease risk, processing capability, storage life, and transportation constraints. The planning figure is a readiness target and does not require Canada to export where the domestic-supply firewall in this Article applies. The Parties may supplement contracted capacity with physical reserves of pasteurized liquid, frozen, dried, or other suitable egg products.</w:t>
      </w:r>
    </w:p>
    <w:p>
      <w:pPr>
        <w:pStyle w:val="Normal"/>
      </w:pPr>
      <w:r>
        <w:rPr>
          <w:b/>
        </w:rPr>
        <w:t>2. Emergency-Ready Supplier Network.</w:t>
      </w:r>
      <w:r>
        <w:t xml:space="preserve"> CFIA and USDA shall maintain a jointly recognized roster of farms, graders, processors, storage facilities, exporters, laboratories, and carriers qualified for emergency service. Qualification shall use existing inspection systems and risk-based supplemental checks rather than duplicate full audits without cause. The roster shall identify product forms, available capacity, geographic location, certificate status, and expected mobilization time. Participation is voluntary and does not confer a permanent market-access entitlement outside an activated emergency.</w:t>
      </w:r>
    </w:p>
    <w:p>
      <w:pPr>
        <w:pStyle w:val="Normal"/>
      </w:pPr>
      <w:r>
        <w:rPr>
          <w:b/>
        </w:rPr>
        <w:t>3. Activation and Destination.</w:t>
      </w:r>
      <w:r>
        <w:t xml:space="preserve"> A verified United States federal or state-level shortage may be referred through USDA for bilateral activation, with affected destinations identified according to shortage severity and logistics. No fixed state allocation is required before an emergency occurs. Canada shall identify available qualified supply and the Parties shall match it to destinations using transit time, product suitability, cold-chain capacity, and urgency. The mechanism may operate alongside the trilateral surge system without double counting the same emergency quantity.</w:t>
      </w:r>
    </w:p>
    <w:p>
      <w:pPr>
        <w:pStyle w:val="Normal"/>
      </w:pPr>
      <w:r>
        <w:rPr>
          <w:b/>
        </w:rPr>
        <w:t>4. Egg Express Procedures.</w:t>
      </w:r>
      <w:r>
        <w:t xml:space="preserve"> The Parties shall pre-establish electronic documentation, customs contacts, veterinary contacts, priority border procedures, and contingency routes for emergency egg shipments. Qualifying shipments shall receive priority processing at designated ports of entry and may use pre-clearance where authorized by domestic law. The Parties shall maintain contingency procedures for air freight, trucking, rail, or alternate border crossings where the ordinary route is disrupted. Commercial purchasers ordinarily bear product and transportation costs unless the Parties or responsible authorities expressly agree to another arrangement.</w:t>
      </w:r>
    </w:p>
    <w:p>
      <w:pPr>
        <w:pStyle w:val="Normal"/>
      </w:pPr>
      <w:r>
        <w:rPr>
          <w:b/>
        </w:rPr>
        <w:t>5. Canadian Domestic-Supply Firewall.</w:t>
      </w:r>
      <w:r>
        <w:t xml:space="preserve"> Canada may decline, reduce, sequence, or suspend an emergency release where the requested export would create or materially worsen a verified Canadian shortage. Canada shall provide the United States prompt notice and the available non-confidential evidence supporting that determination. The Parties shall seek alternative Canadian regions, product forms, reserve stocks, Mexican supply, or lawful external sources before treating the requested quantity as unavailable. Exercise of this safeguard does not diminish Canada’s permanent supply-management protections.</w:t>
      </w:r>
    </w:p>
    <w:p>
      <w:pPr>
        <w:pStyle w:val="Normal"/>
      </w:pPr>
      <w:r>
        <w:rPr>
          <w:b/>
        </w:rPr>
        <w:t>6. Bilateral Bargain and No Precedent.</w:t>
      </w:r>
      <w:r>
        <w:t xml:space="preserve"> The Parties recognize the Partnership as a food-security and market-stability benefit accompanying the broader settlement on Canadian supply management and commercially usable negotiated access. Emergency shipments do not establish that Canada’s supply-management system caused the United States shortage or that permanent Canadian market-access restrictions are unnecessary. Successful emergency performance creates no automatic future quota, tariff, or structural-reform obligation. The United States shall evaluate Canadian supply-management commitments under the express access rules of this Agreement rather than treating the existence of the domestic system as an independent basis for additional access.</w:t>
      </w:r>
    </w:p>
    <w:p>
      <w:pPr>
        <w:pStyle w:val="Heading2"/>
      </w:pPr>
      <w:bookmarkStart w:id="901623" w:name="_Toc300001622"/>
      <w:r>
        <w:t>Article 43.1I: Emergency Egg Reserve, Replenishment, and Surplus Absorption</w:t>
      </w:r>
      <w:bookmarkEnd w:id="901623"/>
    </w:p>
    <w:p>
      <w:pPr>
        <w:pStyle w:val="Normal"/>
      </w:pPr>
      <w:r>
        <w:rPr>
          <w:b/>
        </w:rPr>
        <w:t>1. Reserve Design.</w:t>
      </w:r>
      <w:r>
        <w:t xml:space="preserve"> Canada and the United States may use commercial reserve contracts, rotating inventories, processor commitments, or physical stocks to support the bilateral emergency capacity. Reserve design shall account for shelf life, food safety, storage cost, product form, geographic distribution, and ordinary commercial turnover. The system shall avoid unnecessary destruction of edible product merely to maintain a nominal reserve quantity. Government ownership is not required where enforceable commercial availability provides equivalent readiness.</w:t>
      </w:r>
    </w:p>
    <w:p>
      <w:pPr>
        <w:pStyle w:val="Normal"/>
      </w:pPr>
      <w:r>
        <w:rPr>
          <w:b/>
        </w:rPr>
        <w:t>2. Eligible Product Forms.</w:t>
      </w:r>
      <w:r>
        <w:t xml:space="preserve"> Reserve capacity may include shell eggs where shelf life and logistics are suitable, together with pasteurized liquid, frozen, dried, or other safe egg products appropriate to emergency demand. The annual plan shall identify which product forms can substitute for retail, food-service, manufacturing, institutional, or humanitarian uses. Product conversion factors shall be published for planning purposes and shall not alter tariff classification. Decorative or non-food eggs are excluded from food-security reserve calculations.</w:t>
      </w:r>
    </w:p>
    <w:p>
      <w:pPr>
        <w:pStyle w:val="Normal"/>
      </w:pPr>
      <w:r>
        <w:rPr>
          <w:b/>
        </w:rPr>
        <w:t>3. Commercial Surplus Purchases.</w:t>
      </w:r>
      <w:r>
        <w:t xml:space="preserve"> Reserve managers may purchase qualifying Canadian or United States surplus egg products at commercial or competitively procured terms when doing so is economical and consistent with domestic law. A surplus purchase is voluntary and does not require either country to absorb arbitrary production excess. Eligible surplus may be processed into a longer-lived product before entering reserve inventory. Purchase from one Party does not create a future obligation to return an equivalent physical quantity to that Party.</w:t>
      </w:r>
    </w:p>
    <w:p>
      <w:pPr>
        <w:pStyle w:val="Normal"/>
      </w:pPr>
      <w:r>
        <w:rPr>
          <w:b/>
        </w:rPr>
        <w:t>4. Replenishment.</w:t>
      </w:r>
      <w:r>
        <w:t xml:space="preserve"> After an emergency draw, the responsible reserve manager shall prepare a replenishment plan within 30 days and target restoration of agreed readiness within 90 days where market conditions permit. Replenishment may use new production, rotating commercial stocks, or qualifying surplus from either Party. The plan may extend the target where rapid replenishment would itself cause a shortage or abnormal price pressure. The extension and revised target shall be recorded in the bilateral dashboard.</w:t>
      </w:r>
    </w:p>
    <w:p>
      <w:pPr>
        <w:pStyle w:val="Normal"/>
      </w:pPr>
      <w:r>
        <w:rPr>
          <w:b/>
        </w:rPr>
        <w:t>5. Inventory Rotation.</w:t>
      </w:r>
      <w:r>
        <w:t xml:space="preserve"> Physical reserve stocks shall use first-expiring-first-out or an equivalent food-safety rotation method and shall be inspected according to applicable standards. Stocks approaching the end of their optimal reserve life may be sold, donated, processed, or otherwise lawfully rotated before replacement. Rotation transactions shall be recorded separately from emergency releases. The Parties shall minimize waste while preserving readiness.</w:t>
      </w:r>
    </w:p>
    <w:p>
      <w:pPr>
        <w:pStyle w:val="Normal"/>
      </w:pPr>
      <w:r>
        <w:rPr>
          <w:b/>
        </w:rPr>
        <w:t>6. Annual Exercise.</w:t>
      </w:r>
      <w:r>
        <w:t xml:space="preserve"> Canada and the United States shall conduct at least one tabletop or operational exercise each year testing activation, certification, customs, logistics, destination allocation, and replenishment. At least once every three years the exercise should include a physical shipment or equivalent end-to-end systems test where practicable. The after-action report shall identify bottlenecks, corrective owners, and deadlines without disclosing protected security or commercial information. Failure during an exercise triggers correction and retesting rather than automatic trade retaliation.</w:t>
      </w:r>
    </w:p>
    <w:p>
      <w:pPr>
        <w:pStyle w:val="Heading2"/>
      </w:pPr>
      <w:bookmarkStart w:id="901624" w:name="_Toc300001623"/>
      <w:r>
        <w:t>Article 43.1J: Avian Influenza, Disease Regionalization, and Trade Continuity</w:t>
      </w:r>
      <w:bookmarkEnd w:id="901624"/>
    </w:p>
    <w:p>
      <w:pPr>
        <w:pStyle w:val="Normal"/>
      </w:pPr>
      <w:r>
        <w:rPr>
          <w:b/>
        </w:rPr>
        <w:t>1. Rapid Disease Notification.</w:t>
      </w:r>
      <w:r>
        <w:t xml:space="preserve"> The Parties shall exchange timely information on highly pathogenic avian influenza, Newcastle disease, and other material avian-health events affecting covered trade. Notification shall include the affected region, species, control measures, relevant surveillance findings, and known trade implications to the extent available. Preliminary information may be corrected as epidemiological evidence develops. A notification does not by itself establish that all production from the notifying Party is unsafe.</w:t>
      </w:r>
    </w:p>
    <w:p>
      <w:pPr>
        <w:pStyle w:val="Normal"/>
      </w:pPr>
      <w:r>
        <w:rPr>
          <w:b/>
        </w:rPr>
        <w:t>2. Regionalization.</w:t>
      </w:r>
      <w:r>
        <w:t xml:space="preserve"> Each Party shall recognize scientifically supported disease-free zones, compartments, or regions of another Party consistent with Chapter 9 and applicable international standards. A localized outbreak shall not justify a nationwide prohibition where competent authorities can establish effective separation and surveillance. An importing Party may request additional evidence proportionate to the identified disease risk. Regional status shall be reviewed promptly as outbreak boundaries change.</w:t>
      </w:r>
    </w:p>
    <w:p>
      <w:pPr>
        <w:pStyle w:val="Normal"/>
      </w:pPr>
      <w:r>
        <w:rPr>
          <w:b/>
        </w:rPr>
        <w:t>3. Continuity from Unaffected Areas.</w:t>
      </w:r>
      <w:r>
        <w:t xml:space="preserve"> Shipments from unaffected recognized areas shall continue where they satisfy applicable health certification and traceability requirements. Border authorities shall update admissibility systems promptly after a regional determination. Where a shipment route passes through an affected area without creating material disease exposure, transit controls may be used instead of automatic rejection. The Parties shall publish operational guidance for traders during major outbreaks.</w:t>
      </w:r>
    </w:p>
    <w:p>
      <w:pPr>
        <w:pStyle w:val="Normal"/>
      </w:pPr>
      <w:r>
        <w:rPr>
          <w:b/>
        </w:rPr>
        <w:t>4. Surveillance Cooperation.</w:t>
      </w:r>
      <w:r>
        <w:t xml:space="preserve"> Veterinary authorities shall exchange surveillance methodologies, material findings, wild-bird information, and molecular characterization where relevant and legally shareable. The purpose is early detection and compatible risk assessment rather than compulsory disclosure of protected personal or proprietary information. Laboratories may cooperate on validation, proficiency testing, and reference materials. The Parties shall maintain secure channels for urgent veterinary communication.</w:t>
      </w:r>
    </w:p>
    <w:p>
      <w:pPr>
        <w:pStyle w:val="Normal"/>
      </w:pPr>
      <w:r>
        <w:rPr>
          <w:b/>
        </w:rPr>
        <w:t>5. Vaccination Coordination.</w:t>
      </w:r>
      <w:r>
        <w:t xml:space="preserve"> The Parties shall consult on avian-influenza and other relevant vaccination strategies where vaccination could affect trade status, surveillance interpretation, or emergency response. No Party is required to adopt another Party’s vaccination policy. Where vaccination is used, authorities shall work toward certification and surveillance methods capable of distinguishing acceptable vaccinated populations from uncontrolled infection where scientifically feasible. Trade restrictions shall be based on risk evidence rather than vaccination status alone where an equivalent level of protection can be demonstrated.</w:t>
      </w:r>
    </w:p>
    <w:p>
      <w:pPr>
        <w:pStyle w:val="Normal"/>
      </w:pPr>
      <w:r>
        <w:rPr>
          <w:b/>
        </w:rPr>
        <w:t>6. Review of Restrictions.</w:t>
      </w:r>
      <w:r>
        <w:t xml:space="preserve"> A disease-related trade restriction shall be reviewed when new evidence materially changes the risk assessment or when the exporting Party requests review with supporting evidence. The importing Party shall identify the information required to narrow or remove the restriction. Failure to provide a reasoned response within the applicable SPS timeline may be raised through accelerated consultation. Emergency animal-health protection remains available while the evidence is being evaluated.</w:t>
      </w:r>
    </w:p>
    <w:p>
      <w:pPr>
        <w:pStyle w:val="Heading2"/>
      </w:pPr>
      <w:bookmarkStart w:id="901625" w:name="_Toc300001624"/>
      <w:r>
        <w:t>Article 43.1K: Hatching Stock, Genetic Capacity, and Post-Outbreak Repopulation</w:t>
      </w:r>
      <w:bookmarkEnd w:id="901625"/>
    </w:p>
    <w:p>
      <w:pPr>
        <w:pStyle w:val="Normal"/>
      </w:pPr>
      <w:r>
        <w:rPr>
          <w:b/>
        </w:rPr>
        <w:t>1. Recovery Objective.</w:t>
      </w:r>
      <w:r>
        <w:t xml:space="preserve"> The Parties shall facilitate lawful movement of hatching eggs, day-old chicks, breeder stock, and other approved genetic resources needed to restore poultry production after a disease or disaster shock. Recovery support shall complement rather than replace domestic biosecurity and eradication measures. Priority may be given to disease-free sources capable of restoring the affected production type. Participation by private suppliers remains voluntary unless domestic emergency law provides otherwise.</w:t>
      </w:r>
    </w:p>
    <w:p>
      <w:pPr>
        <w:pStyle w:val="Normal"/>
      </w:pPr>
      <w:r>
        <w:rPr>
          <w:b/>
        </w:rPr>
        <w:t>2. Pre-Certification.</w:t>
      </w:r>
      <w:r>
        <w:t xml:space="preserve"> Veterinary authorities shall develop pre-agreed certificate templates and eligibility criteria for emergency movement of hatching stock. Qualified establishments may be pre-listed subject to surveillance, testing, traceability, and biosecurity requirements. Pre-listing reduces administrative delay but does not waive shipment-specific health conditions that remain necessary. Suspension from the list shall be reasoned and promptly reviewable.</w:t>
      </w:r>
    </w:p>
    <w:p>
      <w:pPr>
        <w:pStyle w:val="Normal"/>
      </w:pPr>
      <w:r>
        <w:rPr>
          <w:b/>
        </w:rPr>
        <w:t>3. Genetic Diversity.</w:t>
      </w:r>
      <w:r>
        <w:t xml:space="preserve"> Recovery planning should avoid unnecessary concentration on a single genetic line or supplier where diversification is commercially and biologically feasible. The Parties may share non-confidential information on breeder capacity and genetic bottlenecks relevant to continental resilience. Nothing requires a private owner to transfer proprietary genetic material without consent and lawful compensation. Intellectual-property protections remain applicable.</w:t>
      </w:r>
    </w:p>
    <w:p>
      <w:pPr>
        <w:pStyle w:val="Normal"/>
      </w:pPr>
      <w:r>
        <w:rPr>
          <w:b/>
        </w:rPr>
        <w:t>4. Emergency Allocation.</w:t>
      </w:r>
      <w:r>
        <w:t xml:space="preserve"> During a verified production-recovery emergency, available cross-border hatching capacity may be matched to affected producers through voluntary contracts, government programs, or other lawful arrangements. Allocation should consider disease status, production urgency, transport viability, and the need to avoid creating a shortage in the supplying Party. The emergency mechanism shall not reserve all available stock for the largest producers. Small and regional producers shall have a reasonable pathway to participate where capacity permits.</w:t>
      </w:r>
    </w:p>
    <w:p>
      <w:pPr>
        <w:pStyle w:val="Normal"/>
      </w:pPr>
      <w:r>
        <w:rPr>
          <w:b/>
        </w:rPr>
        <w:t>5. Repopulation Biosecurity.</w:t>
      </w:r>
      <w:r>
        <w:t xml:space="preserve"> Movement for repopulation shall occur only after the receiving establishment or region satisfies applicable disease-control and biosecurity conditions. The Parties may use staged placement, testing, quarantine, or enhanced monitoring where appropriate to the risk. Speed shall not override a scientifically justified containment requirement. Authorities shall coordinate to avoid duplicative testing where equivalent recent results are available.</w:t>
      </w:r>
    </w:p>
    <w:p>
      <w:pPr>
        <w:pStyle w:val="Normal"/>
      </w:pPr>
      <w:r>
        <w:rPr>
          <w:b/>
        </w:rPr>
        <w:t>6. Return to Normal Trade.</w:t>
      </w:r>
      <w:r>
        <w:t xml:space="preserve"> Special recovery procedures expire as ordinary supply and veterinary conditions normalize. Temporary recovery access does not create permanent breeding-stock purchase obligations or ordinary market-access rights. Lessons from a major repopulation event shall be incorporated into the next annual resilience exercise. The Committee may update technical schedules by consensus where the update does not change a negotiated market-access quantity.</w:t>
      </w:r>
    </w:p>
    <w:p>
      <w:pPr>
        <w:pStyle w:val="Heading2"/>
      </w:pPr>
      <w:bookmarkStart w:id="901626" w:name="_Toc300001625"/>
      <w:r>
        <w:t>Article 43.1L: Poultry and Egg Trade Facilitation and Emergency Logistics</w:t>
      </w:r>
      <w:bookmarkEnd w:id="901626"/>
    </w:p>
    <w:p>
      <w:pPr>
        <w:pStyle w:val="Normal"/>
      </w:pPr>
      <w:r>
        <w:rPr>
          <w:b/>
        </w:rPr>
        <w:t>1. Agricultural Single Window.</w:t>
      </w:r>
      <w:r>
        <w:t xml:space="preserve"> The Parties shall connect poultry and egg quota, permit, customs, and veterinary information through interoperable national single-window functions. A trader shall not be required to submit the same unchanged data repeatedly to multiple participating agencies where lawful data sharing can substitute. Each Party may retain its own portal and internal authority structure. Interoperability shall use published data fields and status messages rather than requiring a single supranational computer system.</w:t>
      </w:r>
    </w:p>
    <w:p>
      <w:pPr>
        <w:pStyle w:val="Normal"/>
      </w:pPr>
      <w:r>
        <w:rPr>
          <w:b/>
        </w:rPr>
        <w:t>2. Electronic Certificates.</w:t>
      </w:r>
      <w:r>
        <w:t xml:space="preserve"> Veterinary and sanitary certificates should be exchanged electronically using authenticated formats accepted by the competent authorities. A temporary paper fallback shall remain available during system outages. Authorities shall publish procedures for correcting clerical errors without automatically cancelling an otherwise compliant shipment. Fraudulent alteration remains subject to verification and penalties.</w:t>
      </w:r>
    </w:p>
    <w:p>
      <w:pPr>
        <w:pStyle w:val="Normal"/>
      </w:pPr>
      <w:r>
        <w:rPr>
          <w:b/>
        </w:rPr>
        <w:t>3. Trusted Operators.</w:t>
      </w:r>
      <w:r>
        <w:t xml:space="preserve"> Facilities and traders with sustained compliance may receive risk-based pre-clearance, reduced documentary repetition, or priority processing consistent with Chapters 5 and 9. Trusted status shall use objective criteria and shall be open to qualified operators from each Party. A material compliance failure may result in proportionate suspension subject to notice and review. Loss of trusted status does not by itself determine the admissibility of every future shipment.</w:t>
      </w:r>
    </w:p>
    <w:p>
      <w:pPr>
        <w:pStyle w:val="Normal"/>
      </w:pPr>
      <w:r>
        <w:rPr>
          <w:b/>
        </w:rPr>
        <w:t>4. Emergency Corridors.</w:t>
      </w:r>
      <w:r>
        <w:t xml:space="preserve"> The Parties shall identify border crossings, inspection contacts, cold-chain capabilities, and alternate routes suitable for emergency poultry and egg movements. During an activated emergency, authorities shall prioritize qualifying shipments consistent with safety and border-security requirements. Corridors may be changed when weather, congestion, infrastructure failure, or disease controls make another route more reliable. The operational list shall be maintained in Annex 43-C or the linked machine-readable registry.</w:t>
      </w:r>
    </w:p>
    <w:p>
      <w:pPr>
        <w:pStyle w:val="Normal"/>
      </w:pPr>
      <w:r>
        <w:rPr>
          <w:b/>
        </w:rPr>
        <w:t>5. Temperature and Transit.</w:t>
      </w:r>
      <w:r>
        <w:t xml:space="preserve"> Competent authorities shall publish applicable temperature, handling, seal, and transit requirements for covered product forms. Equivalent technologies or monitoring methods shall be accepted where they provide the required level of protection. A minor documentation defect that does not create a safety risk should be curable where domestic law permits. Emergency speed does not excuse temperature abuse or compromised product integrity.</w:t>
      </w:r>
    </w:p>
    <w:p>
      <w:pPr>
        <w:pStyle w:val="Normal"/>
      </w:pPr>
      <w:r>
        <w:rPr>
          <w:b/>
        </w:rPr>
        <w:t>6. Help Desk and Escalation.</w:t>
      </w:r>
      <w:r>
        <w:t xml:space="preserve"> Each Party shall maintain a designated contact function capable of resolving urgent quota, certificate, customs, or logistics problems affecting covered trade. An unresolved emergency shipment problem may be escalated to senior operational officials without waiting for formal dispute settlement. The contact function shall record recurring bottlenecks for systemic correction. Commercial disputes between private parties remain outside this mechanism unless they reveal a governmental implementation problem.</w:t>
      </w:r>
    </w:p>
    <w:p>
      <w:pPr>
        <w:pStyle w:val="Heading2"/>
      </w:pPr>
      <w:bookmarkStart w:id="901627" w:name="_Toc300001626"/>
      <w:r>
        <w:t>Article 43.1M: Poultry and Egg Transparency, Consultation, and Cothrom Review</w:t>
      </w:r>
      <w:bookmarkEnd w:id="901627"/>
    </w:p>
    <w:p>
      <w:pPr>
        <w:pStyle w:val="Normal"/>
      </w:pPr>
      <w:r>
        <w:rPr>
          <w:b/>
        </w:rPr>
        <w:t>1. Advance Notification.</w:t>
      </w:r>
      <w:r>
        <w:t xml:space="preserve"> A Party shall provide at least 60 days advance notice, where practicable, of a material new administrative measure affecting poultry or egg access, licensing, classification, or emergency procedures. The notice shall describe the measure, legal basis, expected effective date, and affected products. Urgent SPS measures may take effect sooner where necessary to protect health, subject to prompt notice and review. Routine technical corrections that do not materially affect trade may use a shorter notice.</w:t>
      </w:r>
    </w:p>
    <w:p>
      <w:pPr>
        <w:pStyle w:val="Normal"/>
      </w:pPr>
      <w:r>
        <w:rPr>
          <w:b/>
        </w:rPr>
        <w:t>2. Preventive Consultation.</w:t>
      </w:r>
      <w:r>
        <w:t xml:space="preserve"> A Party considering a measure likely to materially impair another Party’s scheduled poultry or egg access shall offer technical consultation before implementation where circumstances permit. Consultation does not create a veto over lawful domestic regulation. The Parties shall focus on practical alternatives capable of achieving the legitimate objective with less unnecessary trade disruption. Failure to agree does not prevent use of the dispute procedures otherwise available.</w:t>
      </w:r>
    </w:p>
    <w:p>
      <w:pPr>
        <w:pStyle w:val="Normal"/>
      </w:pPr>
      <w:r>
        <w:rPr>
          <w:b/>
        </w:rPr>
        <w:t>3. Technical Fact Finding.</w:t>
      </w:r>
      <w:r>
        <w:t xml:space="preserve"> Disputes concerning utilization, shortage, disease status, classification, or emergency quantity should begin with a common factual record assembled by the relevant technical officials. Each Party may identify disputed data and submit its own evidence. A factual disagreement shall not be concealed by averaging incompatible figures. The record shall identify both agreed and contested facts.</w:t>
      </w:r>
    </w:p>
    <w:p>
      <w:pPr>
        <w:pStyle w:val="Normal"/>
      </w:pPr>
      <w:r>
        <w:rPr>
          <w:b/>
        </w:rPr>
        <w:t>4. Cothrom Cure Sequence.</w:t>
      </w:r>
      <w:r>
        <w:t xml:space="preserve"> Where a verified administrative failure materially impairs access, the Parties shall use notice, verification, cure, proportional step-back, and earn-back principles before broader responsive action. The cure shall target the affected product, administrative process, or lost commercial opportunity. A corrected failure shall restore ordinary treatment without requiring a political concession unrelated to the breach. Nothing in this paragraph authorizes an automatic tariff contrary to Chapter 35.</w:t>
      </w:r>
    </w:p>
    <w:p>
      <w:pPr>
        <w:pStyle w:val="Normal"/>
      </w:pPr>
      <w:r>
        <w:rPr>
          <w:b/>
        </w:rPr>
        <w:t>5. Expedited Panel.</w:t>
      </w:r>
      <w:r>
        <w:t xml:space="preserve"> A dispute whose commercial value would be substantially lost through ordinary timing may use an accelerated Chapter 31 procedure with poultry, egg, SPS, customs, or quota expertise as appropriate. The panel shall preserve procedural fairness while prioritizing a decision before the relevant quota or emergency period becomes moot. Interim factual findings may narrow the dispute where authorized by the applicable rules. The remedy remains limited by the Agreement’s proportionality and tariff constraints.</w:t>
      </w:r>
    </w:p>
    <w:p>
      <w:pPr>
        <w:pStyle w:val="Normal"/>
      </w:pPr>
      <w:r>
        <w:rPr>
          <w:b/>
        </w:rPr>
        <w:t>6. Public Accountability.</w:t>
      </w:r>
      <w:r>
        <w:t xml:space="preserve"> Final non-confidential determinations, utilization reviews, emergency activations, and major post-event reports shall be published. Confidential business, security, and protected veterinary information may be withheld or aggregated. The public record shall make clear whether a measure is permanent, temporary, provisional, expired, or under review. This classification shall also appear in the Secretariat registry.</w:t>
      </w:r>
    </w:p>
    <w:p>
      <w:pPr>
        <w:pStyle w:val="Heading2"/>
      </w:pPr>
      <w:bookmarkStart w:id="901628" w:name="_Toc300001627"/>
      <w:r>
        <w:t>Article 43.1N: Poultry and Egg Technical Committee and Long-Term Stability</w:t>
      </w:r>
      <w:bookmarkEnd w:id="901628"/>
    </w:p>
    <w:p>
      <w:pPr>
        <w:pStyle w:val="Normal"/>
      </w:pPr>
      <w:r>
        <w:rPr>
          <w:b/>
        </w:rPr>
        <w:t>1. Committee.</w:t>
      </w:r>
      <w:r>
        <w:t xml:space="preserve"> The existing agriculture institutional structure shall include a Poultry and Egg Technical Committee with representatives of the competent trade, agriculture, customs, and animal-health authorities of each Party. The Committee shall administer this framework without creating an independent supranational regulator. It may establish time-limited technical groups for TRQs, SPS, disease response, logistics, data, or specialty avian products. A technical group shall dissolve when its assigned work is complete unless the Committee renews it.</w:t>
      </w:r>
    </w:p>
    <w:p>
      <w:pPr>
        <w:pStyle w:val="Normal"/>
      </w:pPr>
      <w:r>
        <w:rPr>
          <w:b/>
        </w:rPr>
        <w:t>2. Industry and Consumer Input.</w:t>
      </w:r>
      <w:r>
        <w:t xml:space="preserve"> The Committee shall provide structured opportunities for producers, processors, importers, retailers, food-service operators, veterinarians, small businesses, Indigenous participants where relevant, and consumer representatives to submit evidence. Advisory input is non-binding and shall not displace governmental decision-making. The Committee shall disclose material conflicts of interest for formal advisory bodies. Participation shall not be conditioned on support for a particular supply-management model.</w:t>
      </w:r>
    </w:p>
    <w:p>
      <w:pPr>
        <w:pStyle w:val="Normal"/>
      </w:pPr>
      <w:r>
        <w:rPr>
          <w:b/>
        </w:rPr>
        <w:t>3. Annual Review.</w:t>
      </w:r>
      <w:r>
        <w:t xml:space="preserve"> The Committee shall conduct an annual operational review covering utilization, licensing performance, disease events, emergency activations, logistics, data quality, and unresolved implementation issues. The review shall identify corrective actions, responsible authorities, and target dates. It shall not reopen permanent market-access quantities unless the Parties expressly place those quantities on the negotiating agenda. The annual report may include separate Party views.</w:t>
      </w:r>
    </w:p>
    <w:p>
      <w:pPr>
        <w:pStyle w:val="Normal"/>
      </w:pPr>
      <w:r>
        <w:rPr>
          <w:b/>
        </w:rPr>
        <w:t>4. Five-Year Review.</w:t>
      </w:r>
      <w:r>
        <w:t xml:space="preserve"> Every five years the Parties shall conduct a comprehensive review of the poultry, egg, and specialty avian framework. The review shall assess resilience, trade facilitation, consumer and producer effects, animal health, technology, classification, and whether technical schedules remain fit for purpose. Continuation of the framework does not depend on agreement to increase market access. Technical measures continue unless amended or terminated according to their own terms.</w:t>
      </w:r>
    </w:p>
    <w:p>
      <w:pPr>
        <w:pStyle w:val="Normal"/>
      </w:pPr>
      <w:r>
        <w:rPr>
          <w:b/>
        </w:rPr>
        <w:t>5. Amendment Discipline.</w:t>
      </w:r>
      <w:r>
        <w:t xml:space="preserve"> The Committee may update data fields, certificate templates, concordances, contact lists, and technical examples by consensus where the update does not alter a negotiated tariff, quota, origin threshold, or substantive domestic-policy commitment. Changes to those substantive commitments require the amendment procedure otherwise applicable under this Agreement. Technical updates shall be versioned and publicly archived. No guidance document may silently amend treaty text.</w:t>
      </w:r>
    </w:p>
    <w:p>
      <w:pPr>
        <w:pStyle w:val="Normal"/>
      </w:pPr>
      <w:r>
        <w:rPr>
          <w:b/>
        </w:rPr>
        <w:t>6. Relationship to Dairy.</w:t>
      </w:r>
      <w:r>
        <w:t xml:space="preserve"> Articles 43.2A through 43.2L govern dairy where they are more specific. This poultry and egg framework shall not reduce dairy access, enlarge dairy access, or reinterpret a dairy-specific supply-management safeguard. Shared administrative tools may be reused where doing so improves consistency without changing substantive commitments. A cross-reference shall identify which rule controls if a product contains both egg and dairy components.</w:t>
      </w:r>
    </w:p>
    <w:p>
      <w:pPr>
        <w:pStyle w:val="Heading2"/>
      </w:pPr>
      <w:bookmarkStart w:id="901629" w:name="_Toc300001628"/>
      <w:r>
        <w:t>Article 43.1O: Specialty and Exotic Avian Products - Scope, Classification, and Definitions</w:t>
      </w:r>
      <w:bookmarkEnd w:id="901629"/>
    </w:p>
    <w:p>
      <w:pPr>
        <w:pStyle w:val="Normal"/>
      </w:pPr>
      <w:r>
        <w:rPr>
          <w:b/>
        </w:rPr>
        <w:t>1. Covered Species.</w:t>
      </w:r>
      <w:r>
        <w:t xml:space="preserve"> For this subsection, specialty and exotic avian products may include farmed quail, pheasant, partridge, pigeon or squab, ostrich, emu, rhea, peafowl, and other farmed avian species designated by consensus. Designation shall consider commercial farming, food or by-product use, animal-health status, conservation law, and the need for a workable customs classification. Wild-taken specimens are not treated as farmed specialty avian products merely because the species also exists in commercial production. Applicable wildlife, migratory-bird, endangered-species, and conservation obligations remain fully effective.</w:t>
      </w:r>
    </w:p>
    <w:p>
      <w:pPr>
        <w:pStyle w:val="Normal"/>
      </w:pPr>
      <w:r>
        <w:rPr>
          <w:b/>
        </w:rPr>
        <w:t>2. Product Families.</w:t>
      </w:r>
      <w:r>
        <w:t xml:space="preserve"> Covered product families may include live breeding birds, day-old birds, hatching eggs, food eggs, meat, processed egg products, feathers, rendered oil, leather, sanitized decorative shells, and other lawfully traded by-products. Each family shall be assigned the health and customs controls appropriate to its actual risk and use. A decorative sanitized shell shall not automatically be regulated as if it were a fertile hatching egg. A raw edible product shall not receive reduced health controls merely because the species is uncommon.</w:t>
      </w:r>
    </w:p>
    <w:p>
      <w:pPr>
        <w:pStyle w:val="Normal"/>
      </w:pPr>
      <w:r>
        <w:rPr>
          <w:b/>
        </w:rPr>
        <w:t>3. Tariff-Line Concordance.</w:t>
      </w:r>
      <w:r>
        <w:t xml:space="preserve"> The Parties shall maintain a binding concordance mapping corresponding national tariff lines for specialty avian products rather than pretending that national subdivisions below the harmonized international level are identical. The concordance shall identify product descriptions, units, relevant origin rules, and applicable scheduled treatment. Technical renumbering that does not change substantive treatment may be updated by the Committee. Any change in duty or quota treatment requires the legal authority otherwise applicable under this Agreement.</w:t>
      </w:r>
    </w:p>
    <w:p>
      <w:pPr>
        <w:pStyle w:val="Normal"/>
      </w:pPr>
      <w:r>
        <w:rPr>
          <w:b/>
        </w:rPr>
        <w:t>4. Ratite Classification.</w:t>
      </w:r>
      <w:r>
        <w:t xml:space="preserve"> The concordance shall identify the customs, inspection, and food-labeling treatment of ostrich, emu, and rhea products and shall expressly record where domestic systems use different concepts for inspection or culinary description. A difference in domestic terminology shall not by itself change the tariff treatment promised by the applicable schedule. The Parties shall work toward functionally compatible definitions where divergence creates unnecessary border friction. Health authorities retain authority to classify a product according to risk for inspection purposes.</w:t>
      </w:r>
    </w:p>
    <w:p>
      <w:pPr>
        <w:pStyle w:val="Normal"/>
      </w:pPr>
      <w:r>
        <w:rPr>
          <w:b/>
        </w:rPr>
        <w:t>5. Processed Products.</w:t>
      </w:r>
      <w:r>
        <w:t xml:space="preserve"> The Parties shall publish classifications for liquid, frozen, dried, cooked, breaded, mixed, or otherwise processed specialty avian meat and egg products. Classification shall follow objective product characteristics and applicable tariff rules rather than marketing terminology. A mixture shall not be reclassified solely to evade a scheduled poultry or egg commitment. Advance rulings shall be available for commercially significant novel products.</w:t>
      </w:r>
    </w:p>
    <w:p>
      <w:pPr>
        <w:pStyle w:val="Normal"/>
      </w:pPr>
      <w:r>
        <w:rPr>
          <w:b/>
        </w:rPr>
        <w:t>6. Anti-Circumvention Firewall.</w:t>
      </w:r>
      <w:r>
        <w:t xml:space="preserve"> A specialty or exotic designation shall not be used to reclassify ordinary supply-managed chicken, turkey, table egg, or broiler hatching product for the purpose of avoiding its applicable commitment. Authorities may verify species, composition, processing, and origin where there is objective evidence of misclassification. A legitimate specialty product shall not be denied treatment merely because it competes with an ordinary poultry product. Penalties for deliberate misclassification remain subject to due process and proportionality.</w:t>
      </w:r>
    </w:p>
    <w:p>
      <w:pPr>
        <w:pStyle w:val="Heading2"/>
      </w:pPr>
      <w:bookmarkStart w:id="901630" w:name="_Toc300001629"/>
      <w:r>
        <w:t>Article 43.1P: Specialty Avian Tariff, Quota, Origin, and Processing Facilitation</w:t>
      </w:r>
      <w:bookmarkEnd w:id="901630"/>
    </w:p>
    <w:p>
      <w:pPr>
        <w:pStyle w:val="Normal"/>
      </w:pPr>
      <w:r>
        <w:rPr>
          <w:b/>
        </w:rPr>
        <w:t>1. Scheduled Treatment.</w:t>
      </w:r>
      <w:r>
        <w:t xml:space="preserve"> The Parties shall identify existing tariff and quota treatment for specialty avian products in Annex 43-C and may negotiate dedicated preferential access where commercial development warrants it. This Article does not invent an automatic annual quota increase. Any new quantity shall state the product, origin, duration, in-quota treatment, over-quota treatment if applicable, and relationship to existing schedules. Temporary emergency treatment remains separate from permanent access.</w:t>
      </w:r>
    </w:p>
    <w:p>
      <w:pPr>
        <w:pStyle w:val="Normal"/>
      </w:pPr>
      <w:r>
        <w:rPr>
          <w:b/>
        </w:rPr>
        <w:t>2. Unused Access.</w:t>
      </w:r>
      <w:r>
        <w:t xml:space="preserve"> Where a specialty-avian quota exists, unused quantities may be returned and reallocated under transparent procedures designed for the smaller scale of the sector. The Committee may permit simplified transfer rules where administrative cost would otherwise exceed the commercial value of the allocation. Reallocation shall not convert an annual quantity into a permanent carry-forward. The utilization record shall distinguish lack of demand from administrative barriers.</w:t>
      </w:r>
    </w:p>
    <w:p>
      <w:pPr>
        <w:pStyle w:val="Normal"/>
      </w:pPr>
      <w:r>
        <w:rPr>
          <w:b/>
        </w:rPr>
        <w:t>3. Origin and Cumulation.</w:t>
      </w:r>
      <w:r>
        <w:t xml:space="preserve"> Origin for specialty avian goods shall be determined under Chapter 4, including applicable accumulation and de minimis rules. The Parties may publish product-specific examples for breeder stock, hatching eggs, processed meat, egg powder, leather, oil, and composite foods. Packaging shall be treated according to the generally applicable origin rules rather than a separate specialty-avian formula. Routing through a Party does not make a non-originating product originating.</w:t>
      </w:r>
    </w:p>
    <w:p>
      <w:pPr>
        <w:pStyle w:val="Normal"/>
      </w:pPr>
      <w:r>
        <w:rPr>
          <w:b/>
        </w:rPr>
        <w:t>4. Duty Drawback and Processing.</w:t>
      </w:r>
      <w:r>
        <w:t xml:space="preserve"> Duty drawback or comparable relief for imported inputs used in qualifying processing and re-export shall remain available to the extent permitted by the Agreement and domestic law. The Parties shall facilitate legitimate North American processing chains for meat, egg products, oil, leather, feathers, and other by-products. Processing shall comply with applicable food-safety, animal-health, environmental, and customs requirements. A processing operation shall not be treated as substantial transformation merely because it occurs within a specialty sector.</w:t>
      </w:r>
    </w:p>
    <w:p>
      <w:pPr>
        <w:pStyle w:val="Normal"/>
      </w:pPr>
      <w:r>
        <w:rPr>
          <w:b/>
        </w:rPr>
        <w:t>5. Classification Review.</w:t>
      </w:r>
      <w:r>
        <w:t xml:space="preserve"> The Committee shall review specialty-avian tariff concordances at least every three years and after a material HS revision. Producers and customs authorities may request review of an ambiguous or commercially obsolete classification. The review shall prioritize clear mapping and advance-ruling availability rather than unnecessary creation of new tariff lines. A classification correction shall not retroactively penalize good-faith reliance on an official ruling except as domestic law permits.</w:t>
      </w:r>
    </w:p>
    <w:p>
      <w:pPr>
        <w:pStyle w:val="Normal"/>
      </w:pPr>
      <w:r>
        <w:rPr>
          <w:b/>
        </w:rPr>
        <w:t>6. Small-Sector Proportionality.</w:t>
      </w:r>
      <w:r>
        <w:t xml:space="preserve"> Administrative requirements for low-volume specialty trade shall be proportionate to risk and shall avoid imposing reporting systems designed for industrial-scale chicken or egg commerce where simpler evidence is adequate. This proportionality does not reduce substantive food-safety or disease-control standards. Digital reusable records and facility-level approvals should substitute for repetitive shipment-level paperwork where risk permits. The Committee shall identify at least three simplification opportunities during each five-year review.</w:t>
      </w:r>
    </w:p>
    <w:p>
      <w:pPr>
        <w:pStyle w:val="Heading2"/>
      </w:pPr>
      <w:bookmarkStart w:id="901631" w:name="_Toc300001630"/>
      <w:r>
        <w:t>Article 43.1Q: Specialty Avian SPS, Veterinary Certification, and Disease Control</w:t>
      </w:r>
      <w:bookmarkEnd w:id="901631"/>
    </w:p>
    <w:p>
      <w:pPr>
        <w:pStyle w:val="Normal"/>
      </w:pPr>
      <w:r>
        <w:rPr>
          <w:b/>
        </w:rPr>
        <w:t>1. Health Certificate Compatibility.</w:t>
      </w:r>
      <w:r>
        <w:t xml:space="preserve"> CFIA, USDA, SENASICA, and other competent authorities shall work toward interoperable veterinary certificate requirements for covered specialty avian products. Mutual recognition may be used where inspection systems provide an equivalent level of protection. Species-specific conditions may be retained where scientifically justified. Electronic certificate exchange shall be preferred where systems are available.</w:t>
      </w:r>
    </w:p>
    <w:p>
      <w:pPr>
        <w:pStyle w:val="Normal"/>
      </w:pPr>
      <w:r>
        <w:rPr>
          <w:b/>
        </w:rPr>
        <w:t>2. Ratite and Specialty Import Rules.</w:t>
      </w:r>
      <w:r>
        <w:t xml:space="preserve"> The Parties shall publish consolidated import requirements for ratites, quail, pheasant, partridge, squab, and other designated farmed avian species. The publication shall identify permit, testing, certification, inspection, quarantine, and port-of-entry requirements. Where a bilateral exemption or simplified procedure exists, the registry shall state its scope and conditions. The Committee may recommend expansion of a simplification after reviewing disease risk and compliance performance.</w:t>
      </w:r>
    </w:p>
    <w:p>
      <w:pPr>
        <w:pStyle w:val="Normal"/>
      </w:pPr>
      <w:r>
        <w:rPr>
          <w:b/>
        </w:rPr>
        <w:t>3. Regionalization.</w:t>
      </w:r>
      <w:r>
        <w:t xml:space="preserve"> The disease-regionalization principles in Article 43.1J apply to specialty and exotic avian species with adaptations required by their epidemiology and production systems. An outbreak in ordinary poultry shall not automatically prohibit a specialty species from an unaffected compartment where competent authorities can demonstrate adequate separation. Conversely, a disease event in a specialty species shall be evaluated for its actual risk to other avian populations. Restrictions shall follow evidence rather than assumptions based solely on novelty of the species.</w:t>
      </w:r>
    </w:p>
    <w:p>
      <w:pPr>
        <w:pStyle w:val="Normal"/>
      </w:pPr>
      <w:r>
        <w:rPr>
          <w:b/>
        </w:rPr>
        <w:t>4. Traceability.</w:t>
      </w:r>
      <w:r>
        <w:t xml:space="preserve"> Commercial breeding, hatching, meat, and food-egg operations participating in preferential or expedited cross-border programs shall maintain traceability sufficient for recall and disease investigation. Traceability may use flock, batch, facility, shipment, or other identifiers appropriate to the production system. Decorative sanitized shells and non-food by-products may use simplified traceability where the health risk is materially lower. Authorities shall avoid requiring farm-to-table records for a product that no longer contains viable animal material where such records add no meaningful protection.</w:t>
      </w:r>
    </w:p>
    <w:p>
      <w:pPr>
        <w:pStyle w:val="Normal"/>
      </w:pPr>
      <w:r>
        <w:rPr>
          <w:b/>
        </w:rPr>
        <w:t>5. Biosecurity and Surveillance.</w:t>
      </w:r>
      <w:r>
        <w:t xml:space="preserve"> The Parties shall exchange best practices and relevant surveillance information for avian influenza, Newcastle disease, Salmonella, and other material hazards affecting specialty avian production. Biosecurity guidance shall account for ratite and game-bird production differences rather than copying chicken-house requirements mechanically. Qualified laboratories may participate in mutual recognition, proficiency testing, and reference-material programs. The Committee may establish species-specific technical notes without changing the underlying SPS standard.</w:t>
      </w:r>
    </w:p>
    <w:p>
      <w:pPr>
        <w:pStyle w:val="Normal"/>
      </w:pPr>
      <w:r>
        <w:rPr>
          <w:b/>
        </w:rPr>
        <w:t>6. Post-Outbreak Recovery.</w:t>
      </w:r>
      <w:r>
        <w:t xml:space="preserve"> Specialty producers may participate in the hatching-stock and repopulation mechanisms of Article 43.1K where appropriate. Recovery planning shall consider the limited breeder populations and genetic diversity of small sectors. Emergency movement shall remain subject to disease-free source verification and receiving-site biosecurity. No Party is required to maintain a government breeding herd or flock for every specialty species.</w:t>
      </w:r>
    </w:p>
    <w:p>
      <w:pPr>
        <w:pStyle w:val="Heading2"/>
      </w:pPr>
      <w:bookmarkStart w:id="901632" w:name="_Toc300001631"/>
      <w:r>
        <w:t>Article 43.1R: Specialty Avian Market Development, Digital Commerce, and Full-Value Supply Chains</w:t>
      </w:r>
      <w:bookmarkEnd w:id="901632"/>
    </w:p>
    <w:p>
      <w:pPr>
        <w:pStyle w:val="Normal"/>
      </w:pPr>
      <w:r>
        <w:rPr>
          <w:b/>
        </w:rPr>
        <w:t>1. Market Development.</w:t>
      </w:r>
      <w:r>
        <w:t xml:space="preserve"> The Parties may cooperate on voluntary market-development initiatives for specialty avian meat, eggs, and by-products, including culinary education, trade missions, buyer-seller events, and food-service outreach. Government communications shall be accurate and shall not make unsupported health or nutrition claims. Participation shall be open on a Party-neutral basis to qualified producers and processors. Nothing requires public funding for a particular species or company.</w:t>
      </w:r>
    </w:p>
    <w:p>
      <w:pPr>
        <w:pStyle w:val="Normal"/>
      </w:pPr>
      <w:r>
        <w:rPr>
          <w:b/>
        </w:rPr>
        <w:t>2. Grading and Labeling.</w:t>
      </w:r>
      <w:r>
        <w:t xml:space="preserve"> Competent authorities shall seek compatible grading, sizing, freshness, origin, date-code, and labeling approaches where differences unnecessarily impede specialty egg trade. Species identity shall be clear to consumers. Equivalent labeling methods may be recognized where they communicate the required information effectively. A Party may maintain additional warnings or instructions justified by food safety or consumer protection.</w:t>
      </w:r>
    </w:p>
    <w:p>
      <w:pPr>
        <w:pStyle w:val="Normal"/>
      </w:pPr>
      <w:r>
        <w:rPr>
          <w:b/>
        </w:rPr>
        <w:t>3. Online Commerce.</w:t>
      </w:r>
      <w:r>
        <w:t xml:space="preserve"> The Parties shall publish clear rules for lawful online sale and cross-border shipment of fertile eggs, food eggs, decorative shells, meat, and other specialty avian products. Online sale does not waive veterinary, customs, wildlife, food-safety, or consumer-protection requirements. Platforms and sellers should be able to identify when a permit or certificate is required before shipment. Small parcel procedures may be simplified where risk and domestic law permit.</w:t>
      </w:r>
    </w:p>
    <w:p>
      <w:pPr>
        <w:pStyle w:val="Normal"/>
      </w:pPr>
      <w:r>
        <w:rPr>
          <w:b/>
        </w:rPr>
        <w:t>4. Decorative Products.</w:t>
      </w:r>
      <w:r>
        <w:t xml:space="preserve"> Sanitized, emptied, painted, carved, or otherwise decorative specialty eggshells shall be classified and regulated according to their actual condition and residual animal-health risk. Authorities shall publish sanitation or certification requirements necessary for cross-border movement. Decorative products derived from protected wildlife remain subject to applicable conservation controls. The Committee shall prevent decorative classifications from being used to disguise fertile or edible eggs.</w:t>
      </w:r>
    </w:p>
    <w:p>
      <w:pPr>
        <w:pStyle w:val="Normal"/>
      </w:pPr>
      <w:r>
        <w:rPr>
          <w:b/>
        </w:rPr>
        <w:t>5. By-Product Chains.</w:t>
      </w:r>
      <w:r>
        <w:t xml:space="preserve"> The Parties shall facilitate lawful trade in feathers, rendered oil, leather, and other specialty avian by-products through clear classification, sanitary treatment, and origin guidance. Where processing eliminates the relevant animal-health hazard, controls should reflect the reduced risk. Full-value utilization may reduce waste and improve the economics of small specialty farms and processors. Environmental and wildlife obligations remain applicable.</w:t>
      </w:r>
    </w:p>
    <w:p>
      <w:pPr>
        <w:pStyle w:val="Normal"/>
      </w:pPr>
      <w:r>
        <w:rPr>
          <w:b/>
        </w:rPr>
        <w:t>6. Investment and Partnerships.</w:t>
      </w:r>
      <w:r>
        <w:t xml:space="preserve"> The Parties may facilitate voluntary cross-border breeder, processing, cold-chain, research, and marketing partnerships in the specialty avian sector. Investment screening and security rules remain governed by the applicable chapters and shall not be rewritten through this subsection. Small producers and Indigenous or rural enterprises may participate in general development programs on the same eligibility basis as comparable enterprises. The five-year review shall assess whether regulatory fragmentation continues to prevent commercially viable North American supply chains.</w:t>
      </w:r>
    </w:p>
    <w:p>
      <w:pPr>
        <w:pStyle w:val="Heading2"/>
      </w:pPr>
      <w:bookmarkStart w:id="901634" w:name="_Toc300001633"/>
      <w:r>
        <w:t>Article 43.1S: Reciprocal Agricultural Market Access and Regulatory Facilitation</w:t>
      </w:r>
      <w:bookmarkEnd w:id="901634"/>
    </w:p>
    <w:p>
      <w:pPr>
        <w:pStyle w:val="Normal"/>
      </w:pPr>
      <w:r>
        <w:rPr>
          <w:b w:val="0"/>
        </w:rPr>
        <w:t>1. Scope and Objective. This Article applies to originating grains, oilseeds, pulses, meat, livestock products, fruits, vegetables, horticultural goods, processed agricultural foods, and other agricultural goods not governed by a more specific rule in this Chapter. Each Party shall provide commercially meaningful access consistent with its tariff schedule and legitimate sanitary, phytosanitary, food-safety, inspection, certification, and administrative requirements. The Parties shall seek to remove unnecessary regulatory friction without lowering the level of human, animal, or plant health protection each Party determines appropriate. Where a more specific dairy, poultry, egg, sugar, beverage, or other sectoral provision applies, that provision prevails to the extent of inconsistency.</w:t>
      </w:r>
    </w:p>
    <w:p>
      <w:pPr>
        <w:pStyle w:val="Normal"/>
      </w:pPr>
      <w:r>
        <w:rPr>
          <w:b w:val="0"/>
        </w:rPr>
        <w:t>2. Reciprocal Quality of Access. A Party shall administer covered agricultural access so that originating goods of another Party are not subjected to materially less usable procedures than comparable originating goods of the third Party without an objective reason. Reciprocity concerns the practical quality, predictability, and timeliness of access and does not require identical domestic laws, production systems, or import volumes. A Party may request review where persistent administrative treatment creates a material asymmetry in comparable-risk agricultural trade. Any response shall follow Articles 43.1AC and 43.1AD and shall not create an independent tariff authority.</w:t>
      </w:r>
    </w:p>
    <w:p>
      <w:pPr>
        <w:pStyle w:val="Normal"/>
      </w:pPr>
      <w:r>
        <w:rPr>
          <w:b w:val="0"/>
        </w:rPr>
        <w:t>3. No Purchase Mandates. Nothing in this framework requires a government, producer, processor, retailer, or consumer to purchase a specified quantity of agricultural goods. Commercial demand, price, quality, seasonality, logistics, and private contracting remain relevant to actual trade flows. Failure of exports to reach a forecast or political target does not by itself establish denial of market access. An access commitment is satisfied by providing the legal and administrative opportunity expressly agreed in this Agreement.</w:t>
      </w:r>
    </w:p>
    <w:p>
      <w:pPr>
        <w:pStyle w:val="Normal"/>
      </w:pPr>
      <w:r>
        <w:rPr>
          <w:b w:val="0"/>
        </w:rPr>
        <w:t>4. Relationship to Supply Management. Articles 43.1A through 43.1R and Annex 43-C remain fully applicable to covered supply-managed and poultry, egg, or specialty-avian products. This framework shall not be interpreted to abolish, restructure, or create an automatic expansion of Canadian supply management. General facilitation disciplines may apply to an expressly scheduled shipment without changing the quantity or tariff treatment applicable to that shipment. No Party may use this Article to obtain indirectly a market-access concession that requires express agreement elsewhere in this Chapter.</w:t>
      </w:r>
    </w:p>
    <w:p>
      <w:pPr>
        <w:pStyle w:val="Heading2"/>
      </w:pPr>
      <w:bookmarkStart w:id="901635" w:name="_Toc300001634"/>
      <w:r>
        <w:t>Article 43.1T: Science-Based SPS Sovereignty and Least-Trade-Restrictive Administration</w:t>
      </w:r>
      <w:bookmarkEnd w:id="901635"/>
    </w:p>
    <w:p>
      <w:pPr>
        <w:pStyle w:val="Normal"/>
      </w:pPr>
      <w:r>
        <w:rPr>
          <w:b w:val="0"/>
        </w:rPr>
        <w:t>1. Health Protection Preserved. Each Party retains the sovereign authority to determine and achieve its appropriate level of sanitary and phytosanitary protection consistent with Chapter 9. Nothing in this framework requires acceptance of a product that presents an inadequately controlled risk to human, animal, or plant life or health. A measure affecting agricultural trade shall be based on applicable science, risk assessment, international standards where appropriate, or other evidence permitted by Chapter 9. Trade facilitation shall operate within, and not replace, those health protections.</w:t>
      </w:r>
    </w:p>
    <w:p>
      <w:pPr>
        <w:pStyle w:val="Normal"/>
      </w:pPr>
      <w:r>
        <w:rPr>
          <w:b w:val="0"/>
        </w:rPr>
        <w:t>2. Tailoring to Risk. Competent authorities shall design and administer SPS controls no more trade restrictive than required to achieve the importing Party’s appropriate level of protection, taking account of reasonably available alternatives. Authorities shall distinguish differences in product, pest, disease, production method, geography, season, facility history, and compliance record where those differences materially affect risk. A broad restriction shall be narrowed when reliable evidence supports a narrower product, establishment, regional, seasonal, or end-use control. Administrative convenience alone does not justify maintaining a materially broader restriction than the verified risk requires.</w:t>
      </w:r>
    </w:p>
    <w:p>
      <w:pPr>
        <w:pStyle w:val="Normal"/>
      </w:pPr>
      <w:r>
        <w:rPr>
          <w:b w:val="0"/>
        </w:rPr>
        <w:t>3. Evidence Record. Where a Party introduces or materially expands an SPS restriction affecting covered agricultural trade, it shall maintain a decision record identifying the hazard, affected product or pathway, evidence considered, geographic scope, principal risk-management rationale, and review point. Confidential business information and protected security information may be withheld in accordance with law. The public explanation shall nevertheless be sufficient to identify what exporters must demonstrate or correct. Emergency measures remain available under Chapter 9 but shall receive prompt review under Article 43.1AB.</w:t>
      </w:r>
    </w:p>
    <w:p>
      <w:pPr>
        <w:pStyle w:val="Normal"/>
      </w:pPr>
      <w:r>
        <w:rPr>
          <w:b w:val="0"/>
        </w:rPr>
        <w:t>4. Non-Discrimination. SPS measures shall not arbitrarily or unjustifiably discriminate between Parties where identical or similar conditions prevail. Different treatment remains permissible where supported by different disease status, pest prevalence, surveillance quality, facility performance, production practice, or other material risk evidence. Nationality, political disagreement, or generalized economic competition shall not substitute for agricultural risk evidence. Chapter 9 controls where it provides a more specific SPS discipline.</w:t>
      </w:r>
    </w:p>
    <w:p>
      <w:pPr>
        <w:pStyle w:val="Heading2"/>
      </w:pPr>
      <w:bookmarkStart w:id="901636" w:name="_Toc300001635"/>
      <w:r>
        <w:t>Article 43.1U: Equivalence, Systems Recognition, and Comparable Outcomes</w:t>
      </w:r>
      <w:bookmarkEnd w:id="901636"/>
    </w:p>
    <w:p>
      <w:pPr>
        <w:pStyle w:val="Normal"/>
      </w:pPr>
      <w:r>
        <w:rPr>
          <w:b w:val="0"/>
        </w:rPr>
        <w:t>1. Equivalence Requests. A Party shall provide a practical process through which another Party may demonstrate that a different measure, inspection system, treatment, certification program, or control achieves the importing Party’s appropriate level of protection. The importing Party shall assess the request on its merits rather than requiring literal duplication of its domestic regulatory method. Requests shall identify the products, hazards, competent authorities, evidence, and proposed scope of recognition. A denial shall state the material deficiency and the additional evidence or control reasonably needed for reconsideration.</w:t>
      </w:r>
    </w:p>
    <w:p>
      <w:pPr>
        <w:pStyle w:val="Normal"/>
      </w:pPr>
      <w:r>
        <w:rPr>
          <w:b w:val="0"/>
        </w:rPr>
        <w:t>2. Systems Recognition. Competent authorities may recognize another Party’s inspection, food-safety, animal-health, or plant-health system at national, regional, sectoral, or establishment level. Recognition may support reduced duplicate audits, reduced routine reinspection, electronic certification, or other facilitation proportionate to demonstrated confidence. Recognition does not prevent targeted verification where new evidence or a material compliance concern arises. Suspension shall be scoped to the affected risk and reviewed promptly.</w:t>
      </w:r>
    </w:p>
    <w:p>
      <w:pPr>
        <w:pStyle w:val="Normal"/>
      </w:pPr>
      <w:r>
        <w:rPr>
          <w:b w:val="0"/>
        </w:rPr>
        <w:t>3. Outcome-Based Compatibility. The Parties shall prioritize comparable protective outcomes over identical administrative form where doing so preserves the importing Party’s level of protection. Differences in forms, agency organization, terminology, inspection sequence, or technical method shall not alone defeat equivalence. The requesting Party bears responsibility for supplying information reasonably necessary to assess the alternative system. The importing Party shall avoid requests for information already available through an established government-to-government channel unless updating is necessary.</w:t>
      </w:r>
    </w:p>
    <w:p>
      <w:pPr>
        <w:pStyle w:val="Normal"/>
      </w:pPr>
      <w:r>
        <w:rPr>
          <w:b w:val="0"/>
        </w:rPr>
        <w:t>4. Maintenance and Review. Recognitions shall identify the evidence and conditions necessary to remain in force and shall not expire solely because a calendar period has elapsed where compliance remains demonstrated. Competent authorities may use risk-based periodic audits, data exchange, incident review, and sampling to maintain confidence. A Party proposing material withdrawal shall provide notice and an opportunity for technical consultation except where immediate action is necessary to address a verified risk. Restored compliance shall permit timely reinstatement without requiring an entirely new application.</w:t>
      </w:r>
    </w:p>
    <w:p>
      <w:pPr>
        <w:pStyle w:val="Heading2"/>
      </w:pPr>
      <w:bookmarkStart w:id="901637" w:name="_Toc300001636"/>
      <w:r>
        <w:t>Article 43.1V: Regionalization, Compartmentalization, and Trade Continuity</w:t>
      </w:r>
      <w:bookmarkEnd w:id="901637"/>
    </w:p>
    <w:p>
      <w:pPr>
        <w:pStyle w:val="Normal"/>
      </w:pPr>
      <w:r>
        <w:rPr>
          <w:b w:val="0"/>
        </w:rPr>
        <w:t>1. Geographic Precision. The Parties shall recognize pest-free areas, disease-free areas, areas of low pest or disease prevalence, zones, compartments, and other scientifically supportable geographic distinctions consistent with Chapter 9. A detection in one region shall not automatically justify exclusion of unaffected regions where surveillance, movement controls, traceability, and epidemiological evidence support continued trade. Competent authorities shall exchange the information needed to assess boundaries and controls rapidly. Restrictions shall be updated as the verified geographic risk changes.</w:t>
      </w:r>
    </w:p>
    <w:p>
      <w:pPr>
        <w:pStyle w:val="Normal"/>
      </w:pPr>
      <w:r>
        <w:rPr>
          <w:b w:val="0"/>
        </w:rPr>
        <w:t>2. Facility and Pathway Controls. Where a risk can be managed through establishment approval, treatment, specified origin, controlled movement, processing, end-use restriction, or another pathway-specific measure, authorities shall consider that option before maintaining a broader prohibition. Such controls may be combined where necessary to achieve the appropriate level of protection. Exporters shall receive clear instructions on the evidence required for eligibility. Compliance with an approved pathway shall support continued access unless contrary risk evidence emerges.</w:t>
      </w:r>
    </w:p>
    <w:p>
      <w:pPr>
        <w:pStyle w:val="Normal"/>
      </w:pPr>
      <w:r>
        <w:rPr>
          <w:b w:val="0"/>
        </w:rPr>
        <w:t>3. Rapid Recognition. For a previously recognized disease or pest-management system, competent authorities shall seek to make provisional regionalization decisions rapidly when an outbreak occurs and sufficient surveillance information is available. Provisional recognition may be conditioned on continuing data exchange and may be adjusted as epidemiological information develops. A Party shall not delay consideration solely because a final outbreak report is pending where reliable interim evidence permits a protective decision. Final recognition shall follow the applicable Chapter 9 process.</w:t>
      </w:r>
    </w:p>
    <w:p>
      <w:pPr>
        <w:pStyle w:val="Normal"/>
      </w:pPr>
      <w:r>
        <w:rPr>
          <w:b w:val="0"/>
        </w:rPr>
        <w:t>4. Restoration of Trade. When the condition supporting a regional restriction has ended or been controlled, the importing Party shall promptly assess restoration of access. Previously approved establishments and certificates should be reactivated without unnecessary duplication where their underlying eligibility remains valid. Residual monitoring may continue where scientifically justified. Restoration shall not be conditioned on unrelated commercial concessions.</w:t>
      </w:r>
    </w:p>
    <w:p>
      <w:pPr>
        <w:pStyle w:val="Heading2"/>
      </w:pPr>
      <w:bookmarkStart w:id="901638" w:name="_Toc300001637"/>
      <w:r>
        <w:t>Article 43.1W: Agricultural Inspection, Certification, and Trusted Operator Facilitation</w:t>
      </w:r>
      <w:bookmarkEnd w:id="901638"/>
    </w:p>
    <w:p>
      <w:pPr>
        <w:pStyle w:val="Normal"/>
      </w:pPr>
      <w:r>
        <w:rPr>
          <w:b w:val="0"/>
        </w:rPr>
        <w:t>1. Risk-Based Inspection. Border and establishment inspection frequencies for covered agricultural goods shall reflect product risk, compliance history, competent-authority confidence, intelligence, and material changes in conditions. Repeated compliant shipments should ordinarily qualify for reduced routine physical inspection where the risk permits. Authorities retain the right to intensify inspection when evidence indicates a material problem. Increased inspection shall be reviewed when the reason for intensification no longer exists.</w:t>
      </w:r>
    </w:p>
    <w:p>
      <w:pPr>
        <w:pStyle w:val="Normal"/>
      </w:pPr>
      <w:r>
        <w:rPr>
          <w:b w:val="0"/>
        </w:rPr>
        <w:t>2. Trusted Agricultural Operator. The Parties shall establish or interoperate trusted-operator pathways for eligible farms, packhouses, processors, cold-storage facilities, exporters, importers, and logistics providers. Eligibility shall use published criteria including compliance history, traceability, corrective-action performance, and any sector-specific health controls. Benefits may include pre-clearance, reusable evidence, reduced routine inspection, priority appointments, and accelerated release. Loss of status shall include reasons, a corrective route, and review rights except in urgent health circumstances.</w:t>
      </w:r>
    </w:p>
    <w:p>
      <w:pPr>
        <w:pStyle w:val="Normal"/>
      </w:pPr>
      <w:r>
        <w:rPr>
          <w:b w:val="0"/>
        </w:rPr>
        <w:t>3. Certification Once. Competent authorities shall seek to use reusable establishment approvals, electronic attestations, batch or lot certification, and standing program recognition where shipment-by-shipment duplication is unnecessary. A certificate shall request only information materially relevant to the applicable import condition. A Party shall not require the same government-held information to be repeatedly resubmitted in materially identical form without operational need. Changes affecting eligibility shall be reported through the established channel.</w:t>
      </w:r>
    </w:p>
    <w:p>
      <w:pPr>
        <w:pStyle w:val="Normal"/>
      </w:pPr>
      <w:r>
        <w:rPr>
          <w:b w:val="0"/>
        </w:rPr>
        <w:t>4. Audit Coordination. The Parties shall seek to coordinate government audits and facility assessments to reduce unnecessary duplication while preserving independent oversight. Joint, observed, remote, or sequenced audits may be used where appropriate. Audit findings shall distinguish systemic deficiencies from isolated establishment deficiencies. Corrective action by the responsible authority or establishment shall permit restoration proportionate to the scope of the finding.</w:t>
      </w:r>
    </w:p>
    <w:p>
      <w:pPr>
        <w:pStyle w:val="Heading2"/>
      </w:pPr>
      <w:bookmarkStart w:id="901639" w:name="_Toc300001638"/>
      <w:r>
        <w:t>Article 43.1X: Electronic Agricultural Certification and Single-Window Administration</w:t>
      </w:r>
      <w:bookmarkEnd w:id="901639"/>
    </w:p>
    <w:p>
      <w:pPr>
        <w:pStyle w:val="Normal"/>
      </w:pPr>
      <w:r>
        <w:rPr>
          <w:b w:val="0"/>
        </w:rPr>
        <w:t>1. Electronic Exchange. The Parties shall support secure government-to-government electronic exchange of sanitary, phytosanitary, inspection, origin, and other agricultural certificates where technically feasible. Electronic records shall be accepted as legally valid where authenticity and integrity can be verified. Paper fallback procedures shall remain available during system outages or for exceptional cases. A system failure shall not by itself invalidate an otherwise compliant shipment.</w:t>
      </w:r>
    </w:p>
    <w:p>
      <w:pPr>
        <w:pStyle w:val="Normal"/>
      </w:pPr>
      <w:r>
        <w:rPr>
          <w:b w:val="0"/>
        </w:rPr>
        <w:t>2. Single Submission. Each Party shall seek to provide a single electronic submission pathway for information required by customs and competent agricultural authorities. Agencies may share submitted data to the extent permitted by domestic law and applicable confidentiality protections. Traders shall not be required to enter materially identical information repeatedly into separate systems where interoperability can reasonably avoid it. Data requirements shall be mapped and periodically reviewed for redundancy.</w:t>
      </w:r>
    </w:p>
    <w:p>
      <w:pPr>
        <w:pStyle w:val="Normal"/>
      </w:pPr>
      <w:r>
        <w:rPr>
          <w:b w:val="0"/>
        </w:rPr>
        <w:t>3. Status Visibility. Electronic systems shall provide, where practicable, receipt confirmation, application or shipment status, requests for additional information, responsible contact points, and final disposition. Time-sensitive holds shall identify whether the issue concerns customs, SPS, licensing, certification, inspection, or another authority. This visibility does not require disclosure of protected enforcement intelligence. It is intended to allow rapid correction and reduce avoidable spoilage.</w:t>
      </w:r>
    </w:p>
    <w:p>
      <w:pPr>
        <w:pStyle w:val="Normal"/>
      </w:pPr>
      <w:r>
        <w:rPr>
          <w:b w:val="0"/>
        </w:rPr>
        <w:t>4. Interoperability Roadmap. Within one year of entry into force, the Agriculture Committee shall publish an interoperability roadmap for priority agricultural certificates and high-volume trade lanes. The roadmap shall identify technical standards, cybersecurity controls, responsible agencies, testing milestones, and fallback procedures. Implementation may proceed by product family or corridor rather than waiting for a single continent-wide platform. Existing functioning bilateral systems may be incorporated rather than replaced.</w:t>
      </w:r>
    </w:p>
    <w:p>
      <w:pPr>
        <w:pStyle w:val="Heading2"/>
      </w:pPr>
      <w:bookmarkStart w:id="901640" w:name="_Toc300001639"/>
      <w:r>
        <w:t>Article 43.1Y: Perishable Agricultural Goods and Border-Time Discipline</w:t>
      </w:r>
      <w:bookmarkEnd w:id="901640"/>
    </w:p>
    <w:p>
      <w:pPr>
        <w:pStyle w:val="Normal"/>
      </w:pPr>
      <w:r>
        <w:rPr>
          <w:b w:val="0"/>
        </w:rPr>
        <w:t>1. Perishable Priority. Competent authorities shall identify fresh meat, fresh produce, live plants, temperature-sensitive foods, and other materially time-sensitive agricultural goods for priority handling appropriate to risk. Priority handling may include advance document review, appointment systems, off-hour processing, inspection sequencing, or direct communication with the responsible authority. It does not waive inspection or health requirements. Authorities shall account for product shelf life and cold-chain consequences when choosing among equally protective administrative options.</w:t>
      </w:r>
    </w:p>
    <w:p>
      <w:pPr>
        <w:pStyle w:val="Normal"/>
      </w:pPr>
      <w:r>
        <w:rPr>
          <w:b w:val="0"/>
        </w:rPr>
        <w:t>2. Decision Clock. Where a compliant perishable shipment is held solely for an administrative or documentary issue, the responsible authority shall seek to communicate the deficiency as soon as practicable and ordinarily within the same operational day. Where laboratory analysis or specialist assessment is necessary, the trader shall receive an expected decision window and any lawful options for bonded storage, segregation, treatment, or diversion. Delays shall not be extended for reasons unrelated to the shipment’s regulatory status. Persistent systemic delays may be referred to Article 43.1AC.</w:t>
      </w:r>
    </w:p>
    <w:p>
      <w:pPr>
        <w:pStyle w:val="Normal"/>
      </w:pPr>
      <w:r>
        <w:rPr>
          <w:b w:val="0"/>
        </w:rPr>
        <w:t>3. Border Coordination. Customs, agriculture, food-safety, animal-health, and plant-health authorities shall maintain escalation contacts for perishable agricultural shipments. A Party may establish designated agricultural priority lanes or inspection locations without discriminating among Parties. Authorities should coordinate inspections to avoid serial opening, sampling, or unloading where a combined process is practicable. Emergency border congestion shall trigger contingency procedures under Annex 43-D.</w:t>
      </w:r>
    </w:p>
    <w:p>
      <w:pPr>
        <w:pStyle w:val="Normal"/>
      </w:pPr>
      <w:r>
        <w:rPr>
          <w:b w:val="0"/>
        </w:rPr>
        <w:t>4. Spoilage Mitigation. Where a regulatory defect can be cured without compromising protection, authorities shall consider correction before ordering destruction, return, or abandonment. Permissible options may include relabeling, document correction, segregation, treatment, reconditioning, re-export, or movement to an approved facility. The importer bears reasonable costs unless domestic law provides otherwise. Nothing requires release of unsafe or noncompliant goods.</w:t>
      </w:r>
    </w:p>
    <w:p>
      <w:pPr>
        <w:pStyle w:val="Heading2"/>
      </w:pPr>
      <w:bookmarkStart w:id="901641" w:name="_Toc300001640"/>
      <w:r>
        <w:t>Article 43.1Z: Laboratory Testing, Sampling, and Duplicate-Control Reduction</w:t>
      </w:r>
      <w:bookmarkEnd w:id="901641"/>
    </w:p>
    <w:p>
      <w:pPr>
        <w:pStyle w:val="Normal"/>
      </w:pPr>
      <w:r>
        <w:rPr>
          <w:b w:val="0"/>
        </w:rPr>
        <w:t>1. Recognized Laboratories. The Parties shall facilitate recognition of competent government and accredited laboratories where their methods, quality systems, and proficiency meet applicable requirements. Recognition may be bilateral, trilateral, method-specific, commodity-specific, or program-specific. Results from a recognized laboratory should not be repeated solely because testing occurred in another Party. Targeted confirmation remains available where integrity, sampling, method, or risk evidence warrants it.</w:t>
      </w:r>
    </w:p>
    <w:p>
      <w:pPr>
        <w:pStyle w:val="Normal"/>
      </w:pPr>
      <w:r>
        <w:rPr>
          <w:b w:val="0"/>
        </w:rPr>
        <w:t>2. Sampling Integrity. Sampling plans shall identify the lot, method, chain of custody, laboratory, analyte or organism, and applicable decision criterion. Authorities shall use statistically and scientifically appropriate sampling for the regulatory purpose. Where practicable, a reserve or split sample shall be maintained for confirmatory analysis in disputes involving destructive testing. Confidential commercial information shall receive applicable protection.</w:t>
      </w:r>
    </w:p>
    <w:p>
      <w:pPr>
        <w:pStyle w:val="Normal"/>
      </w:pPr>
      <w:r>
        <w:rPr>
          <w:b w:val="0"/>
        </w:rPr>
        <w:t>3. Conflicting Results. Where competent laboratories produce materially conflicting results, authorities shall promptly exchange methods, detection limits, sample information, and quality-control data. A Party may require confirmatory testing before release where necessary to protect health. The Parties shall seek a technically neutral resolution rather than treating the first conflicting result as conclusive regardless of method. Repeated method conflicts shall be referred to the relevant Chapter 9 technical group.</w:t>
      </w:r>
    </w:p>
    <w:p>
      <w:pPr>
        <w:pStyle w:val="Normal"/>
      </w:pPr>
      <w:r>
        <w:rPr>
          <w:b w:val="0"/>
        </w:rPr>
        <w:t>4. Testing Review. Commodity-specific testing requirements shall be periodically reviewed against compliance data, hazard prevalence, international standards, and improved analytical methods. Testing that no longer materially contributes to protection should be reduced, redesigned, or retired. New testing requirements shall identify the risk they address. This paragraph does not constrain surveillance programs reasonably necessary to detect emerging hazards.</w:t>
      </w:r>
    </w:p>
    <w:p>
      <w:pPr>
        <w:pStyle w:val="Heading2"/>
      </w:pPr>
      <w:bookmarkStart w:id="901642" w:name="_Toc300001641"/>
      <w:r>
        <w:t>Article 43.1AA: New Product, Facility, Treatment, and Market-Access Applications</w:t>
      </w:r>
      <w:bookmarkEnd w:id="901642"/>
    </w:p>
    <w:p>
      <w:pPr>
        <w:pStyle w:val="Normal"/>
      </w:pPr>
      <w:r>
        <w:rPr>
          <w:b w:val="0"/>
        </w:rPr>
        <w:t>1. Procedural Milestones. Each Party shall publish the principal stages for applications seeking approval of a new agricultural product, exporting establishment, production region, treatment, systems-recognition arrangement, or certification protocol. The process shall identify the responsible authority, information requirements, and points at which additional evidence may be requested. Publication of milestones does not predetermine substantive approval. It prevents applications from remaining indefinitely without identifiable administrative status.</w:t>
      </w:r>
    </w:p>
    <w:p>
      <w:pPr>
        <w:pStyle w:val="Normal"/>
      </w:pPr>
      <w:r>
        <w:rPr>
          <w:b w:val="0"/>
        </w:rPr>
        <w:t>2. Completeness Review. The receiving authority shall conduct an initial completeness review within a published administrative period appropriate to the application type. If information is missing, the authority shall identify the material deficiency with reasonable specificity. Submission of the requested information shall return the application to active consideration without unnecessary restarting of completed stages. Applicants may request technical clarification through the designated contact point.</w:t>
      </w:r>
    </w:p>
    <w:p>
      <w:pPr>
        <w:pStyle w:val="Normal"/>
      </w:pPr>
      <w:r>
        <w:rPr>
          <w:b w:val="0"/>
        </w:rPr>
        <w:t>3. Prioritization. Authorities may prioritize applications according to health risk, trade significance, seasonal urgency, resource constraints, similarity to previously assessed products, or readiness of the technical record. Priority rules shall be transparent and shall not discriminate by nationality without a risk-based reason. Joint work may be used where more than one Party is evaluating substantially the same product or treatment. Emergency shortage needs may justify accelerated review without lowering substantive standards.</w:t>
      </w:r>
    </w:p>
    <w:p>
      <w:pPr>
        <w:pStyle w:val="Normal"/>
      </w:pPr>
      <w:r>
        <w:rPr>
          <w:b w:val="0"/>
        </w:rPr>
        <w:t>4. Reasons and Reconsideration. A final denial or material limitation shall identify the principal legal, scientific, or technical reasons. The applicant or exporting Party may submit new evidence or request reconsideration through available domestic or treaty channels. A denial shall not become permanent merely because the original record was incomplete if the deficiency is later cured. Approval may include proportionate conditions necessary to manage identified risk.</w:t>
      </w:r>
    </w:p>
    <w:p>
      <w:pPr>
        <w:pStyle w:val="Heading2"/>
      </w:pPr>
      <w:bookmarkStart w:id="901643" w:name="_Toc300001642"/>
      <w:r>
        <w:t>Article 43.1AB: Emergency Agricultural SPS Measures and Rapid Review</w:t>
      </w:r>
      <w:bookmarkEnd w:id="901643"/>
    </w:p>
    <w:p>
      <w:pPr>
        <w:pStyle w:val="Normal"/>
      </w:pPr>
      <w:r>
        <w:rPr>
          <w:b w:val="0"/>
        </w:rPr>
        <w:t>1. Immediate Authority. A Party may take an immediate SPS measure when urgent action is necessary to address a serious risk to human, animal, or plant life or health. The measure may precede completion of ordinary consultation or final risk assessment to the extent permitted by Chapter 9. The Party shall notify the other Parties promptly and identify the affected product, geography, risk, and expected review process. Emergency authority shall not be used to obtain commercial leverage unrelated to the health risk.</w:t>
      </w:r>
    </w:p>
    <w:p>
      <w:pPr>
        <w:pStyle w:val="Normal"/>
      </w:pPr>
      <w:r>
        <w:rPr>
          <w:b w:val="0"/>
        </w:rPr>
        <w:t>2. Seventy-Two-Hour Contact. Where an emergency measure materially interrupts established agricultural trade, competent authorities shall establish technical contact as soon as practicable and ordinarily within seventy-two hours. The exporting Party may provide surveillance, traceability, treatment, regionalization, laboratory, or establishment evidence relevant to narrowing the measure. The importing Party shall consider that evidence without requiring the emergency to lapse first. Technical contact does not suspend a measure necessary for protection.</w:t>
      </w:r>
    </w:p>
    <w:p>
      <w:pPr>
        <w:pStyle w:val="Normal"/>
      </w:pPr>
      <w:r>
        <w:rPr>
          <w:b w:val="0"/>
        </w:rPr>
        <w:t>3. Narrowing and Review. Emergency measures shall be reviewed as evidence develops and narrowed in product, geography, establishment, pathway, or duration where the importing Party’s level of protection can still be achieved. A measure shall not remain broader solely because it was initially adopted during uncertainty. The decision record shall identify material evidence supporting continuation. Chapter 9 consultation and dispute rights remain available.</w:t>
      </w:r>
    </w:p>
    <w:p>
      <w:pPr>
        <w:pStyle w:val="Normal"/>
      </w:pPr>
      <w:r>
        <w:rPr>
          <w:b w:val="0"/>
        </w:rPr>
        <w:t>4. Restoration. When the emergency basis ends, the Party shall remove or appropriately modify the measure without unnecessary delay. Restoration may proceed in stages where different regions or establishments regain eligibility at different times. Previously recognized systems should not be required to rebuild their entire evidentiary record unless the emergency revealed a systemic deficiency. Restoration creates no compensation obligation for a lawful health measure absent another applicable provision.</w:t>
      </w:r>
    </w:p>
    <w:p>
      <w:pPr>
        <w:pStyle w:val="Heading2"/>
      </w:pPr>
      <w:bookmarkStart w:id="901644" w:name="_Toc300001643"/>
      <w:r>
        <w:t>Article 43.1AC: Agricultural Administrative Barrier Review and Corrective Action</w:t>
      </w:r>
      <w:bookmarkEnd w:id="901644"/>
    </w:p>
    <w:p>
      <w:pPr>
        <w:pStyle w:val="Normal"/>
      </w:pPr>
      <w:r>
        <w:rPr>
          <w:b w:val="0"/>
        </w:rPr>
        <w:t>1. Covered Barriers. A Party may request review of persistent licensing delay, duplicative certification, inconsistent inspection, obsolete documentary requirements, unexplained facility delisting, unnecessary retesting, discriminatory administrative sequencing, or another measure that materially impairs covered agricultural access. The request shall identify the product, authority, practice, evidence, and commercial effect with reasonable specificity. Ordinary differences in domestic law do not by themselves constitute a barrier. SPS questions shall be coordinated with Chapter 9 procedures.</w:t>
      </w:r>
    </w:p>
    <w:p>
      <w:pPr>
        <w:pStyle w:val="Normal"/>
      </w:pPr>
      <w:r>
        <w:rPr>
          <w:b w:val="0"/>
        </w:rPr>
        <w:t>2. Technical Resolution. The Parties shall first seek a practical technical solution, including clarification, corrected guidance, electronic processing, recognition, revised inspection frequency, additional evidence, or a time-bound corrective plan. The responsible authority retains control over substantive health determinations. Where the problem is administrative rather than scientific, the Parties shall avoid reopening settled scientific questions unnecessarily. Progress shall be recorded in a common issue log maintained by the Agriculture Committee.</w:t>
      </w:r>
    </w:p>
    <w:p>
      <w:pPr>
        <w:pStyle w:val="Normal"/>
      </w:pPr>
      <w:r>
        <w:rPr>
          <w:b w:val="0"/>
        </w:rPr>
        <w:t>3. Cothrom Verification. If the matter remains unresolved, the requesting Party may initiate Cothrom verification to establish the obligation, evidence, material effect, corrective action, verification method, and restoration condition. Any step-back shall be proportionate to the verified failure and should ordinarily affect the corresponding facilitation benefit rather than underlying tariff treatment. Cure shall permit earn-back and automatic restoration under the Cothrom method. Nothing in this Article creates authority for unilateral tariff retaliation.</w:t>
      </w:r>
    </w:p>
    <w:p>
      <w:pPr>
        <w:pStyle w:val="Normal"/>
      </w:pPr>
      <w:r>
        <w:rPr>
          <w:b w:val="0"/>
        </w:rPr>
        <w:t>4. Systemic Problems. Where the same administrative problem affects multiple commodities or corridors, the Parties may adopt a system-wide corrective plan rather than litigating each shipment separately. The plan shall identify responsible agencies, milestones, interim protections for perishable trade, and a completion date. Failure to meet a verified plan may proceed through Chapter 31 or other applicable NAESTMA enforcement. Resolution of the systemic problem closes related issue-log entries unless a distinct factual problem remains.</w:t>
      </w:r>
    </w:p>
    <w:p>
      <w:pPr>
        <w:pStyle w:val="Heading2"/>
      </w:pPr>
      <w:bookmarkStart w:id="901645" w:name="_Toc300001644"/>
      <w:r>
        <w:t>Article 43.1AD: Reciprocity Circuit Breaker, Review, and Non-Retaliation</w:t>
      </w:r>
      <w:bookmarkEnd w:id="901645"/>
    </w:p>
    <w:p>
      <w:pPr>
        <w:pStyle w:val="Normal"/>
      </w:pPr>
      <w:r>
        <w:rPr>
          <w:b w:val="0"/>
        </w:rPr>
        <w:t>1. Reciprocity Review. Where a Party persistently denies a special facilitation benefit to comparable-risk originating agricultural goods while continuing to receive materially equivalent facilitation from another Party, the affected Party may request a reciprocity review. The review shall compare the actual regulatory benefit, risk conditions, compliance history, and stated reasons for different treatment. It shall not presume that different products or health risks require identical procedures. The objective is restoration of balanced facilitation rather than commercial punishment.</w:t>
      </w:r>
    </w:p>
    <w:p>
      <w:pPr>
        <w:pStyle w:val="Normal"/>
      </w:pPr>
      <w:r>
        <w:rPr>
          <w:b w:val="0"/>
        </w:rPr>
        <w:t>2. Limited Step-Back. Following consultation and Cothrom verification, a Party may temporarily withdraw or narrow the corresponding special facilitation benefit to the extent necessary to restore reciprocity. Ordinary treaty market access, tariff treatment, and SPS rights remain unaffected unless another provision independently authorizes a change. The step-back shall identify the condition for restoration and shall expire automatically when verified compliance returns. A Party shall prefer a narrow administrative response over a broader restriction.</w:t>
      </w:r>
    </w:p>
    <w:p>
      <w:pPr>
        <w:pStyle w:val="Normal"/>
      </w:pPr>
      <w:r>
        <w:rPr>
          <w:b w:val="0"/>
        </w:rPr>
        <w:t>3. No Cross-Sector Escalation. A disagreement concerning agricultural certification, inspection, licensing, or other facilitation shall not itself authorize tariffs, quotas, purchase mandates, or unrelated cross-sector retaliation. Existing Chapter 31 remedies remain available for a final finding of breach according to their terms. Article 35 tariff disciplines remain fully applicable. This paragraph is intended to keep agricultural paperwork disputes from becoming tariff disputes by reflex.</w:t>
      </w:r>
    </w:p>
    <w:p>
      <w:pPr>
        <w:pStyle w:val="Normal"/>
      </w:pPr>
      <w:r>
        <w:rPr>
          <w:b w:val="0"/>
        </w:rPr>
        <w:t>4. Review and Improvement. The Agriculture Committee shall review implementation of Articles 43.1S through 43.1AD at least every two years using trade-time data, rejection data, application processing times, stakeholder evidence, and SPS outcomes. The Committee may recommend technical improvements, additional mutual-recognition projects, or updates to Annex 43-D. Recommendations that alter tariff schedules, permanent quantitative access, or substantive treaty obligations require the amendment procedure otherwise applicable under this Agreement. Successful facilitation does not create an automatic entitlement to additional permanent market access.</w:t>
      </w:r>
    </w:p>
    <w:p>
      <w:pPr>
        <w:pStyle w:val="Heading2"/>
      </w:pPr>
      <w:bookmarkStart w:id="901646" w:name="_Toc300001645"/>
      <w:r>
        <w:t>Article 43.2: Dairy Manufacturing Inputs</w:t>
      </w:r>
      <w:bookmarkEnd w:id="901646"/>
    </w:p>
    <w:p>
      <w:pPr>
        <w:pStyle w:val="Normal"/>
      </w:pPr>
      <w:r>
        <w:t>1. The Parties may establish staged tariff-rate quotas or simplified treatment for specified dairy manufacturing inputs used in value-added North American production. Expansion may occur by consensus following review of utilization, processing investment, producer effects, and market disruption.</w:t>
      </w:r>
    </w:p>
    <w:p>
      <w:pPr>
        <w:pStyle w:val="Normal"/>
      </w:pPr>
      <w:r>
        <w:t>2. This Article does not create unlimited duty-free access or abolish Canada's supply-management system.</w:t>
      </w:r>
    </w:p>
    <w:p>
      <w:pPr>
        <w:pStyle w:val="Heading2"/>
      </w:pPr>
      <w:bookmarkStart w:id="901647" w:name="_Toc300001646"/>
      <w:r>
        <w:t>Article 43.2A: North American Dairy Settlement and Supply-Management Stability</w:t>
      </w:r>
      <w:bookmarkEnd w:id="901647"/>
    </w:p>
    <w:p>
      <w:pPr>
        <w:pStyle w:val="Normal"/>
      </w:pPr>
      <w:r>
        <w:t>1. The Parties establish a North American Dairy Stability and Market Access Framework to convert recurring dairy disputes into predictable, evidence-based administration while preserving legitimate domestic agricultural policy and expanding commercially meaningful North American trade.</w:t>
      </w:r>
    </w:p>
    <w:p>
      <w:pPr>
        <w:pStyle w:val="Normal"/>
      </w:pPr>
      <w:r>
        <w:t>2. Nothing in this Framework requires Canada to abolish, privatize, terminate, or fundamentally restructure its system of supply management for dairy products. The maintenance of supply management shall not, however, diminish, frustrate, condition, or render commercially impracticable market access expressly granted under this Agreement.</w:t>
      </w:r>
    </w:p>
    <w:p>
      <w:pPr>
        <w:pStyle w:val="Normal"/>
      </w:pPr>
      <w:r>
        <w:t>3. The Parties shall administer this Framework on a trilateral basis. Canada, Mexico, and the United States shall each receive equivalent procedural rights, transparency, review, and protection against discriminatory administration, subject only to express Party-specific commitments in the Schedules.</w:t>
      </w:r>
    </w:p>
    <w:p>
      <w:pPr>
        <w:pStyle w:val="Normal"/>
      </w:pPr>
      <w:r>
        <w:t>4. No Party shall be treated solely as a destination market, residual-surplus market, or source of low-cost dairy inputs. Implementation shall seek balanced opportunities for producers, processors, importers, retailers, food-service operators, consumers, and small and medium-sized enterprises in all three Parties.</w:t>
      </w:r>
    </w:p>
    <w:p>
      <w:pPr>
        <w:pStyle w:val="TrumpVisibilityHeadline"/>
      </w:pPr>
      <w:r>
        <w:t xml:space="preserve">★ </w:t>
      </w:r>
      <w:r>
        <w:t>VISIBLE U.S. WIN: GUARANTEED NEW U.S. DAIRY ACCESS, MEASURABLE, USABLE, AND PROTECTED AGAINST ADMINISTRATIVE UNDERFILL</w:t>
      </w:r>
    </w:p>
    <w:p>
      <w:pPr>
        <w:pStyle w:val="Heading2"/>
      </w:pPr>
      <w:bookmarkStart w:id="901648" w:name="_Toc300001647"/>
      <w:r>
        <w:t>Article 43.2B: Effective Dairy Access Guarantee</w:t>
      </w:r>
      <w:bookmarkEnd w:id="901648"/>
    </w:p>
    <w:p>
      <w:pPr>
        <w:pStyle w:val="Normal"/>
      </w:pPr>
      <w:r>
        <w:t>1. A Party administering a dairy tariff-rate quota shall ensure that negotiated access is commercially usable in practice as well as legally available on paper.</w:t>
      </w:r>
    </w:p>
    <w:p>
      <w:pPr>
        <w:pStyle w:val="Normal"/>
      </w:pPr>
      <w:r>
        <w:t>2. Administration shall use published eligibility rules, application windows, allocation methodologies, processing deadlines, utilization reporting, return procedures, reallocation procedures, reasons for material adverse decisions, and accessible review mechanisms.</w:t>
      </w:r>
    </w:p>
    <w:p>
      <w:pPr>
        <w:pStyle w:val="Normal"/>
      </w:pPr>
      <w:r>
        <w:t>3. Eligibility shall not be conditioned solely on an applicant being a domestic processor or on prior import history. Subject to neutral qualification criteria, eligible applicants may include processors, retailers, distributors, food-service operators, cooperatives, end-users, and new entrants.</w:t>
      </w:r>
    </w:p>
    <w:p>
      <w:pPr>
        <w:pStyle w:val="Normal"/>
      </w:pPr>
      <w:r>
        <w:t>4. Allocations shall, where practicable, be divided into commercially useful tranches and shall not be structured to exclude smaller qualified applicants. Chronic non-use may justify prospective reduction of an individual allocation after notice and an opportunity to respond.</w:t>
      </w:r>
    </w:p>
    <w:p>
      <w:pPr>
        <w:pStyle w:val="Normal"/>
      </w:pPr>
      <w:r>
        <w:t>5. A Party shall not require resubmission of materially identical information already held by the competent authority unless reasonably necessary to verify changed circumstances, correct an identified deficiency, or address particularized risk evidence.</w:t>
      </w:r>
    </w:p>
    <w:p>
      <w:pPr>
        <w:pStyle w:val="Normal"/>
      </w:pPr>
      <w:r>
        <w:t>6. Qualifying in-quota shipments shall receive predictable customs processing and shall not be subjected to discretionary fees, port channeling, repetitive inspections, or administrative delay designed or operating to nullify negotiated access.</w:t>
      </w:r>
    </w:p>
    <w:p>
      <w:pPr>
        <w:pStyle w:val="Heading2"/>
      </w:pPr>
      <w:bookmarkStart w:id="901649" w:name="_Toc300001648"/>
      <w:r>
        <w:t>Article 43.2C: Utilization, Adaptive TRQs, and Access Restoration</w:t>
      </w:r>
      <w:bookmarkEnd w:id="901649"/>
    </w:p>
    <w:p>
      <w:pPr>
        <w:pStyle w:val="Normal"/>
      </w:pPr>
      <w:r>
        <w:t>1. Low utilization of a dairy tariff-rate quota does not by itself establish a violation. Review shall distinguish market underfill caused by demand, price, supply, commercial choice, logistics, or other market conditions from access failure materially caused by government administration.</w:t>
      </w:r>
    </w:p>
    <w:p>
      <w:pPr>
        <w:pStyle w:val="Normal"/>
      </w:pPr>
      <w:r>
        <w:t>2. Where utilization falls below a published administrative-access benchmark, any Party may request an expedited factual review under Article 43.2J. The review shall determine whether an administrative measure materially prevented otherwise commercially viable utilization.</w:t>
      </w:r>
    </w:p>
    <w:p>
      <w:pPr>
        <w:pStyle w:val="Normal"/>
      </w:pPr>
      <w:r>
        <w:t>3. A verified access failure shall be corrected through the narrowest sufficient remedy, including accelerated processing, removal of discriminatory eligibility conditions, reallocation of unused quantities, or prospective make-up access corresponding to the opportunity proven to have been frustrated.</w:t>
      </w:r>
    </w:p>
    <w:p>
      <w:pPr>
        <w:pStyle w:val="Normal"/>
      </w:pPr>
      <w:r>
        <w:t>4. Prospective make-up access shall be temporary and shall not permanently enlarge the underlying tariff-rate quota unless the Parties expressly agree. Repeated or intentional obstruction may justify a proportionately enhanced make-up quantity within limits adopted by the Commission.</w:t>
      </w:r>
    </w:p>
    <w:p>
      <w:pPr>
        <w:pStyle w:val="Normal"/>
      </w:pPr>
      <w:r>
        <w:t>5. Returned or materially unused allocations shall be reoffered early enough in the quota year to permit commercially meaningful use. The Parties shall publish return and reallocation calendars in advance.</w:t>
      </w:r>
    </w:p>
    <w:p>
      <w:pPr>
        <w:pStyle w:val="Normal"/>
      </w:pPr>
      <w:r>
        <w:t>6. Any automatic growth mechanism adopted for a dairy tariff-rate quota shall be product-sensitive, transparent, bounded by a published annual floor and ceiling, and linked to objective indicators such as population or relevant-category consumption. No growth formula shall operate as an unlimited ratchet detached from market conditions.</w:t>
      </w:r>
    </w:p>
    <w:p>
      <w:pPr>
        <w:pStyle w:val="Normal"/>
      </w:pPr>
      <w:r>
        <w:t>7. The Parties may establish secondary North American access windows for defined products where country-specific access remains persistently unused for non-administrative reasons, provided such a window does not erase or reduce another Party's negotiated rights without its consent.</w:t>
      </w:r>
    </w:p>
    <w:p>
      <w:pPr>
        <w:pStyle w:val="Heading2"/>
      </w:pPr>
      <w:bookmarkStart w:id="901650" w:name="_Toc300001649"/>
      <w:r>
        <w:t>Article 43.2D: Mexico Integration, Capacity Development, and Balanced Trilateral Opportunity</w:t>
      </w:r>
      <w:bookmarkEnd w:id="901650"/>
    </w:p>
    <w:p>
      <w:pPr>
        <w:pStyle w:val="Normal"/>
      </w:pPr>
      <w:r>
        <w:t>1. The Parties recognize Mexico as a full producer, processor, consumer, importer, exporter, investment destination, and innovation partner within the North American dairy economy.</w:t>
      </w:r>
    </w:p>
    <w:p>
      <w:pPr>
        <w:pStyle w:val="Normal"/>
      </w:pPr>
      <w:r>
        <w:t>2. Canada and Mexico may establish reciprocal product-specific access windows for specialty cheeses, butterfat products, dairy ingredients, cultured products, milk powders, and other mutually agreed categories. Access shall be scheduled transparently and shall not be presumed to require identical quantities in each direction.</w:t>
      </w:r>
    </w:p>
    <w:p>
      <w:pPr>
        <w:pStyle w:val="Normal"/>
      </w:pPr>
      <w:r>
        <w:t>3. The Parties shall maintain a North American Dairy Capacity-Gap Map identifying, on a non-confidential basis, commercially relevant gaps in processing, cold storage, transportation, veterinary capacity, water-efficient technology, packaging, specialized dairy ingredients, and other value-chain capabilities. Identified gaps shall be presented as voluntary investment opportunities rather than government-assigned production mandates.</w:t>
      </w:r>
    </w:p>
    <w:p>
      <w:pPr>
        <w:pStyle w:val="Normal"/>
      </w:pPr>
      <w:r>
        <w:t>4. Mexico may maintain evidence-based, time-limited development safeguards for an emerging dairy segment where a sudden import surge would materially impair commercially viable capacity under development. Any safeguard shall be narrowly tailored, progressively liberalized, automatically expire, and remain subject to expedited review.</w:t>
      </w:r>
    </w:p>
    <w:p>
      <w:pPr>
        <w:pStyle w:val="Normal"/>
      </w:pPr>
      <w:r>
        <w:t>5. The Parties shall facilitate voluntary producer, cooperative, processor, university, and investor partnerships supporting Mexican value-added dairy production, including cheese, cultured products, dairy ingredients, specialized nutrition, cold-chain infrastructure, water efficiency, animal health, genetics, feed efficiency, and workforce development.</w:t>
      </w:r>
    </w:p>
    <w:p>
      <w:pPr>
        <w:pStyle w:val="Normal"/>
      </w:pPr>
      <w:r>
        <w:t>6. No benefit under this Article shall depend on a firm locating in a particular Party. Investment-ready sites and capacity opportunities in all three Parties may compete on transparent terms.</w:t>
      </w:r>
    </w:p>
    <w:p>
      <w:pPr>
        <w:pStyle w:val="Normal"/>
      </w:pPr>
      <w:r>
        <w:t>7. Origin rules for processed dairy products shall facilitate legitimate triangular North American supply chains while preventing superficial processing, transshipment, or origin laundering.</w:t>
      </w:r>
    </w:p>
    <w:p>
      <w:pPr>
        <w:pStyle w:val="Heading2"/>
      </w:pPr>
      <w:bookmarkStart w:id="901651" w:name="_Toc300001650"/>
      <w:r>
        <w:t>Article 43.2E: Dairy Proteins, Concentrates, and Competitive-Neutrality Safe Harbor</w:t>
      </w:r>
      <w:bookmarkEnd w:id="901651"/>
    </w:p>
    <w:p>
      <w:pPr>
        <w:pStyle w:val="Normal"/>
      </w:pPr>
      <w:r>
        <w:t>1. The Parties shall exchange timely, comparable, and appropriately aggregated information concerning production, administered pricing measures, support programs, exports, and trade in milk protein concentrates, milk protein isolates, skim milk powder, whey proteins, ultra-filtered milk, casein, caseinates, and other designated dairy proteins and concentrates.</w:t>
      </w:r>
    </w:p>
    <w:p>
      <w:pPr>
        <w:pStyle w:val="Normal"/>
      </w:pPr>
      <w:r>
        <w:t>2. A challenge to dairy-protein exports shall identify the government measure alleged to create a material trade distortion and shall demonstrate, using objective evidence, a sustained causal relationship between that measure and the challenged trade effect. Low export prices, increased export volume, or a trade surplus alone shall not establish a violation.</w:t>
      </w:r>
    </w:p>
    <w:p>
      <w:pPr>
        <w:pStyle w:val="Normal"/>
      </w:pPr>
      <w:r>
        <w:t>3. A producer or exporter complying with agreed transparency, origin, subsidy-disclosure, and anti-circumvention requirements shall receive a rebuttable presumption of compliance for routine administration, without preventing action based on materially new evidence.</w:t>
      </w:r>
    </w:p>
    <w:p>
      <w:pPr>
        <w:pStyle w:val="Normal"/>
      </w:pPr>
      <w:r>
        <w:t>4. Nothing in this Article establishes a North American minimum export price, common milk-pricing class system, mandatory harmonization of domestic support programs, or joint authority to set commercial dairy prices.</w:t>
      </w:r>
    </w:p>
    <w:p>
      <w:pPr>
        <w:pStyle w:val="Normal"/>
      </w:pPr>
      <w:r>
        <w:t>5. Proposed material changes to a dairy-protein pricing or export measure with reasonably foreseeable cross-border effects shall be notified not less than 90 days in advance where practicable and shall be subject to technical consultation on request.</w:t>
      </w:r>
    </w:p>
    <w:p>
      <w:pPr>
        <w:pStyle w:val="Heading2"/>
      </w:pPr>
      <w:bookmarkStart w:id="901652" w:name="_Toc300001651"/>
      <w:r>
        <w:t>Article 43.2F: Regulatory Equivalence, Inspection, and Dairy Border Facilitation</w:t>
      </w:r>
      <w:bookmarkEnd w:id="901652"/>
    </w:p>
    <w:p>
      <w:pPr>
        <w:pStyle w:val="Normal"/>
      </w:pPr>
      <w:r>
        <w:t>1. The Parties shall pursue equivalence and interoperability rather than unnecessary regulatory homogenization. A Party may maintain its own food-safety, labeling, animal-health, consumer-protection, and inspection systems where they achieve the required level of protection.</w:t>
      </w:r>
    </w:p>
    <w:p>
      <w:pPr>
        <w:pStyle w:val="Normal"/>
      </w:pPr>
      <w:r>
        <w:t>2. The Parties shall establish a Dairy Regulatory Equivalence Ladder under which cooperation may progress from exchange of standards, to recognition of equivalent testing methods, recognition of approved facilities, mutual recognition of inspection results, and trusted-operator treatment where supported by evidence.</w:t>
      </w:r>
    </w:p>
    <w:p>
      <w:pPr>
        <w:pStyle w:val="Normal"/>
      </w:pPr>
      <w:r>
        <w:t>3. The Parties shall develop a common North American dairy export-certificate data set capable of being issued through each Party's domestic system and recognized by the others. A Party may require additional information only where necessary for a legitimate regulatory purpose.</w:t>
      </w:r>
    </w:p>
    <w:p>
      <w:pPr>
        <w:pStyle w:val="Normal"/>
      </w:pPr>
      <w:r>
        <w:t>4. Dairy traceability systems shall be interoperable through common data fields and secure exchange standards. Nothing in this Article requires a single centralized database or a specified distributed-ledger technology.</w:t>
      </w:r>
    </w:p>
    <w:p>
      <w:pPr>
        <w:pStyle w:val="Normal"/>
      </w:pPr>
      <w:r>
        <w:t>5. Fresh and highly perishable dairy products may receive expedited processing lanes, pre-arrival review, priority inspection, and risk-based release procedures. Service targets shall reflect product perishability without limiting necessary food-safety action.</w:t>
      </w:r>
    </w:p>
    <w:p>
      <w:pPr>
        <w:pStyle w:val="Normal"/>
      </w:pPr>
      <w:r>
        <w:t>6. The Parties shall establish expedited consultation for recurring customs-classification, SPS, grading, labeling, additive, packaging, or inspection issues affecting dairy trade. Bona fide emergency health measures may take effect immediately but shall be explained and reviewed promptly.</w:t>
      </w:r>
    </w:p>
    <w:p>
      <w:pPr>
        <w:pStyle w:val="Heading2"/>
      </w:pPr>
      <w:bookmarkStart w:id="901653" w:name="_Toc300001652"/>
      <w:r>
        <w:t>Article 43.2G: Specialty Dairy, Small Producers, and Novel Products</w:t>
      </w:r>
      <w:bookmarkEnd w:id="901653"/>
    </w:p>
    <w:p>
      <w:pPr>
        <w:pStyle w:val="Normal"/>
      </w:pPr>
      <w:r>
        <w:t>1. The Commission shall maintain a Specialty Dairy and Novel Products Schedule containing common descriptive definitions, tariff-line crosswalks, regulatory notes, and product-specific facilitation measures for categories that are frequently misclassified, technologically novel, highly perishable, or commercially distinct.</w:t>
      </w:r>
    </w:p>
    <w:p>
      <w:pPr>
        <w:pStyle w:val="Normal"/>
      </w:pPr>
      <w:r>
        <w:t>2. Candidate categories may include goat- and sheep-milk cheeses; Mexican fresh cheeses including queso fresco, panela, and Oaxaca-style products; aged and fresh cheese variants; burrata and other highly perishable cheeses; kefir, skyr, cultured buttermilk, and other cultured products; milk and whey proteins by concentration; hydrolyzed proteins; pharmaceutical- and food-grade lactose; casein and caseinates; ghee, anhydrous milk fat, butter oil, and concentrated butter; dulce de leche and related caramelized milk products; specialized dairy-based nutrition; and ultra-filtered milk and concentrates.</w:t>
      </w:r>
    </w:p>
    <w:p>
      <w:pPr>
        <w:pStyle w:val="Normal"/>
      </w:pPr>
      <w:r>
        <w:t>3. Nothing in paragraph 2 requires creation of an international Harmonized System heading. The Parties may coordinate national tariff-line subdivisions, explanatory crosswalks, advance rulings, and technical amendments consistent with Article 34.A.</w:t>
      </w:r>
    </w:p>
    <w:p>
      <w:pPr>
        <w:pStyle w:val="Normal"/>
      </w:pPr>
      <w:r>
        <w:t>4. A novel dairy product not clearly covered by existing guidance may be submitted for classification with information concerning composition, processing, dairy-solids content, intended use, shelf life, and relevant safety characteristics. The competent authorities shall seek a coordinated determination within 60 days.</w:t>
      </w:r>
    </w:p>
    <w:p>
      <w:pPr>
        <w:pStyle w:val="Normal"/>
      </w:pPr>
      <w:r>
        <w:t>5. Final coordinated determinations shall be published in the Dairy Rules Database, subject to confidential-business-information protections, and shall guide treatment of materially equivalent goods.</w:t>
      </w:r>
    </w:p>
    <w:p>
      <w:pPr>
        <w:pStyle w:val="Normal"/>
      </w:pPr>
      <w:r>
        <w:t>6. Each Party shall provide a Small and Specialty Dairy Producer Gateway offering simplified guidance, consolidated documentation, classification assistance, advance-ruling access, and export-readiness support for qualifying SMEs and cooperatives.</w:t>
      </w:r>
    </w:p>
    <w:p>
      <w:pPr>
        <w:pStyle w:val="Normal"/>
      </w:pPr>
      <w:r>
        <w:t>7. The Parties may establish Non-Displacement Specialty Dairy Windows for products with negligible or demonstrably insufficient domestic production, using modest and reviewable access arrangements designed to expand consumer choice without materially displacing sensitive domestic production.</w:t>
      </w:r>
    </w:p>
    <w:p>
      <w:pPr>
        <w:pStyle w:val="Heading2"/>
      </w:pPr>
      <w:bookmarkStart w:id="901654" w:name="_Toc300001653"/>
      <w:r>
        <w:t>Article 43.2H: North American Specialty Dairy Experimental Pathway</w:t>
      </w:r>
      <w:bookmarkEnd w:id="901654"/>
    </w:p>
    <w:p>
      <w:pPr>
        <w:pStyle w:val="Normal"/>
      </w:pPr>
      <w:r>
        <w:t>1. The Parties establish a voluntary experimental pathway for time-limited testing of specialty, novel, perishable, or otherwise uncertain dairy-market opportunities before permanent liberalization or regulatory change.</w:t>
      </w:r>
    </w:p>
    <w:p>
      <w:pPr>
        <w:pStyle w:val="Normal"/>
      </w:pPr>
      <w:r>
        <w:t>2. A pilot shall identify its baseline, experimental variable, eligible products or participants, geographic scope where relevant, duration, metrics, confidentiality rules, and exit conditions before commencement. Pilots should ordinarily run for 12 to 24 months.</w:t>
      </w:r>
    </w:p>
    <w:p>
      <w:pPr>
        <w:pStyle w:val="Normal"/>
      </w:pPr>
      <w:r>
        <w:t>3. Permitted experimental variables may include temporary product-specific quota access, bounded tariff relief, customs procedures, certification recognition, documentation, regulatory-equivalence arrangements, perishable-goods service standards, cold-chain procedures, producer-importer matching, consolidated shipping, or other measures consistent with this Agreement.</w:t>
      </w:r>
    </w:p>
    <w:p>
      <w:pPr>
        <w:pStyle w:val="Normal"/>
      </w:pPr>
      <w:r>
        <w:t>4. Participation in a pilot does not create precedent, permanent market-access rights, or an entitlement to continuation unless the measure is expressly adopted through the applicable treaty or domestic process.</w:t>
      </w:r>
    </w:p>
    <w:p>
      <w:pPr>
        <w:pStyle w:val="Normal"/>
      </w:pPr>
      <w:r>
        <w:t>5. Evaluation shall consider trade volume, repeat purchases, consumer price and choice, domestic producer displacement, SME participation, administrative cost, border dwell time, spoilage, temperature integrity where relevant, compliance incidents, market entry, and whether demand persists after temporary promotional support ends.</w:t>
      </w:r>
    </w:p>
    <w:p>
      <w:pPr>
        <w:pStyle w:val="Normal"/>
      </w:pPr>
      <w:r>
        <w:t>6. Where practicable, pilots should use comparison groups or baseline routes sufficient to distinguish the effect of the tested measure from ordinary market variation.</w:t>
      </w:r>
    </w:p>
    <w:p>
      <w:pPr>
        <w:pStyle w:val="Normal"/>
      </w:pPr>
      <w:r>
        <w:t>7. At conclusion, the responsible authorities shall classify the result as Graduate, Expand, Modify, Expire, or Inconclusive. An Inconclusive result may support a redesigned pilot but shall not be treated as evidence for permanent liberalization.</w:t>
      </w:r>
    </w:p>
    <w:p>
      <w:pPr>
        <w:pStyle w:val="Normal"/>
      </w:pPr>
      <w:r>
        <w:t>8. Provinces, states, and other eligible subnational governments may volunteer as test markets consistent with Article 36.25, but shall not acquire treaty-making authority by participating.</w:t>
      </w:r>
    </w:p>
    <w:p>
      <w:pPr>
        <w:pStyle w:val="Normal"/>
      </w:pPr>
      <w:r>
        <w:t>9. Private retailers, food-service operators, distributors, e-commerce firms, producer cooperatives, and logistics providers may operate market-discovery programs under approved pilot conditions. The Parties shall not be required to establish or operate a government retail or e-commerce platform.</w:t>
      </w:r>
    </w:p>
    <w:p>
      <w:pPr>
        <w:pStyle w:val="Heading2"/>
      </w:pPr>
      <w:bookmarkStart w:id="901655" w:name="_Toc300001654"/>
      <w:r>
        <w:t>Article 43.2I: Producer, Consumer, and Supply-Chain Stability</w:t>
      </w:r>
      <w:bookmarkEnd w:id="901655"/>
    </w:p>
    <w:p>
      <w:pPr>
        <w:pStyle w:val="Normal"/>
      </w:pPr>
      <w:r>
        <w:t>1. A Party may maintain domestic producer-adjustment, innovation, income-stabilization, environmental, animal-health, or transition programs for dairy, provided they are administered consistently with the applicable subsidy, national-treatment, and export-discipline provisions of this Agreement.</w:t>
      </w:r>
    </w:p>
    <w:p>
      <w:pPr>
        <w:pStyle w:val="Normal"/>
      </w:pPr>
      <w:r>
        <w:t>2. Significant access adjustments shall, where practicable, be accompanied by transparent monitoring of consumer prices, farm-gate indicators, producer effects, intermediary margins where reliable data exist, and market concentration. Monitoring is diagnostic and does not establish price controls.</w:t>
      </w:r>
    </w:p>
    <w:p>
      <w:pPr>
        <w:pStyle w:val="Normal"/>
      </w:pPr>
      <w:r>
        <w:t>3. A Party experiencing an extraordinary and injurious dairy import surge may invoke a narrowly tailored temporary safeguard consistent with Chapter 10. A safeguard shall require evidence of serious injury or threat, shall be product-specific, progressively liberalized, and automatically terminate.</w:t>
      </w:r>
    </w:p>
    <w:p>
      <w:pPr>
        <w:pStyle w:val="Normal"/>
      </w:pPr>
      <w:r>
        <w:t>4. The Parties shall establish an Emergency Dairy Supply Corridor framework for disasters, disease outbreaks, transportation failures, border disruptions, or acute regional shortages. Pre-certified suppliers may receive expedited administrative treatment without creating permanent export obligations.</w:t>
      </w:r>
    </w:p>
    <w:p>
      <w:pPr>
        <w:pStyle w:val="Normal"/>
      </w:pPr>
      <w:r>
        <w:t>5. Emergency reserves, where used, should preferentially rely on rotating commercial inventories and transparent release criteria. Nothing in this Article requires permanent government stockpiles.</w:t>
      </w:r>
    </w:p>
    <w:p>
      <w:pPr>
        <w:pStyle w:val="Normal"/>
      </w:pPr>
      <w:r>
        <w:t>6. The Parties shall cooperate on cold-chain resilience, temperature-control evidence, consolidated shipping, shared or interoperable logistics information, and contingency routing, particularly for highly perishable products and remote or underserved markets.</w:t>
      </w:r>
    </w:p>
    <w:p>
      <w:pPr>
        <w:pStyle w:val="Heading2"/>
      </w:pPr>
      <w:bookmarkStart w:id="901656" w:name="_Toc300001655"/>
      <w:r>
        <w:t>Article 43.2J: Accelerated Dairy Cothrom Review and Cure</w:t>
      </w:r>
      <w:bookmarkEnd w:id="901656"/>
    </w:p>
    <w:p>
      <w:pPr>
        <w:pStyle w:val="Normal"/>
      </w:pPr>
      <w:r>
        <w:t>1. A Party, affected importer, exporter, producer, or other person with a direct commercial interest may request accelerated factual review of a dairy market-access, classification, quota-administration, customs, or regulatory-equivalence dispute in accordance with procedures established under the Cothrom verification framework.</w:t>
      </w:r>
    </w:p>
    <w:p>
      <w:pPr>
        <w:pStyle w:val="Normal"/>
      </w:pPr>
      <w:r>
        <w:t>2. The default sequence shall provide for technical consultation within 10 days, focused evidence exchange by day 20, independent factual assessment where unresolved, and a final determination ordinarily within 60 days. Shorter clocks may apply to highly perishable goods.</w:t>
      </w:r>
    </w:p>
    <w:p>
      <w:pPr>
        <w:pStyle w:val="Normal"/>
      </w:pPr>
      <w:r>
        <w:t>3. Review shall distinguish commercial outcomes from government-caused barriers, identify the narrowest sufficient cure, and preserve legitimate food-safety and animal-health authority.</w:t>
      </w:r>
    </w:p>
    <w:p>
      <w:pPr>
        <w:pStyle w:val="Normal"/>
      </w:pPr>
      <w:r>
        <w:t>4. A Party found non-compliant shall receive a reasonable opportunity to cure before compensatory or retaliatory measures are authorized, except where immediate action is necessary to prevent irreparable harm and is independently justified.</w:t>
      </w:r>
    </w:p>
    <w:p>
      <w:pPr>
        <w:pStyle w:val="Normal"/>
      </w:pPr>
      <w:r>
        <w:t>5. Remedies should, where practicable, remain within the dairy sub-module and may include correction of administration, restoration of lost access, expedited processing, temporary equivalent dairy access, or other proportionate relief. Cross-sector retaliation shall be a last resort and remains subject to the Chapter 35 module firewall.</w:t>
      </w:r>
    </w:p>
    <w:p>
      <w:pPr>
        <w:pStyle w:val="Normal"/>
      </w:pPr>
      <w:r>
        <w:t>6. Ordinary dairy market-access disagreements do not, by themselves, constitute sufficient grounds for extraordinary cross-sector economic-security measures.</w:t>
      </w:r>
    </w:p>
    <w:p>
      <w:pPr>
        <w:pStyle w:val="Heading2"/>
      </w:pPr>
      <w:bookmarkStart w:id="901657" w:name="_Toc300001656"/>
      <w:r>
        <w:t>Article 43.2K: Dairy Peace Clause, No-Surprises Rule, and No-Fade Guarantee</w:t>
      </w:r>
      <w:bookmarkEnd w:id="901657"/>
    </w:p>
    <w:p>
      <w:pPr>
        <w:pStyle w:val="Normal"/>
      </w:pPr>
      <w:r>
        <w:t>1. A Party shall, where practicable, provide at least 90 days' advance notice of a material dairy trade measure that is reasonably expected to affect access under this Framework, together with a description of the measure and its anticipated trade effects. Emergency health or safety measures are subject to prompt post-adoption notice and review.</w:t>
      </w:r>
    </w:p>
    <w:p>
      <w:pPr>
        <w:pStyle w:val="Normal"/>
      </w:pPr>
      <w:r>
        <w:t>2. During a Dairy Stability Period established by a written Commission decision, a Party in material compliance with this Framework shall not be required to renegotiate settled dairy market-access concessions solely because another Party seeks additional access. The initial Dairy Stability Period is five years from the effective date specified in that decision. Rights to challenge an actual violation or to negotiate mutually agreed new access remain unaffected.</w:t>
      </w:r>
    </w:p>
    <w:p>
      <w:pPr>
        <w:pStyle w:val="Normal"/>
      </w:pPr>
      <w:r>
        <w:t>3. The Dairy Stability Period shall renew automatically for successive five-year periods unless the Parties agree otherwise or, before the renewal date, an independent Cothrom review requested by a Party establishes on the record a persistent material failure that has not been cured after a reasonable cure opportunity. The Cothrom determination shall state reasons and is final for purposes of renewal, without prejudice to Chapter 31 review of an alleged failure to follow the required procedure. Refusal to agree on new concessions does not terminate existing dairy rights or obligations.</w:t>
      </w:r>
    </w:p>
    <w:p>
      <w:pPr>
        <w:pStyle w:val="Normal"/>
      </w:pPr>
      <w:r>
        <w:t>4. Comprehensive dairy review shall occur at least every five years and shall focus on administration, utilization, market development, producer and consumer effects, Mexico integration, protein trade, regulatory equivalence, specialty-product pathways, and the performance of safeguards and experimental mechanisms.</w:t>
      </w:r>
    </w:p>
    <w:p>
      <w:pPr>
        <w:pStyle w:val="Normal"/>
      </w:pPr>
      <w:r>
        <w:t>5. Failure to agree on amendments at a review leaves the existing Framework in force. No review creates an expiry date, sunset, or automatic reversion of negotiated access.</w:t>
      </w:r>
    </w:p>
    <w:p>
      <w:pPr>
        <w:pStyle w:val="Heading2"/>
      </w:pPr>
      <w:bookmarkStart w:id="901658" w:name="_Toc300001657"/>
      <w:r>
        <w:t>Article 43.2L: Dairy Data, Research, and Implementation</w:t>
      </w:r>
      <w:bookmarkEnd w:id="901658"/>
    </w:p>
    <w:p>
      <w:pPr>
        <w:pStyle w:val="Normal"/>
      </w:pPr>
      <w:r>
        <w:t>1. The Secretariat shall maintain a Dairy Rules Database containing public tariff-rate quota rules, utilization statistics, tariff and classification guidance, advance-ruling precedents, regulatory notices, certification information, processing-service metrics, and other non-confidential implementation materials in English, French, and Spanish where practicable.</w:t>
      </w:r>
    </w:p>
    <w:p>
      <w:pPr>
        <w:pStyle w:val="Normal"/>
      </w:pPr>
      <w:r>
        <w:t>2. The Parties shall exchange comparable aggregate information on dairy production, trade, prices where publicly available, capacity, logistics performance, and material support programs sufficient to administer this Framework while protecting confidential business information.</w:t>
      </w:r>
    </w:p>
    <w:p>
      <w:pPr>
        <w:pStyle w:val="Normal"/>
      </w:pPr>
      <w:r>
        <w:t>3. The Parties shall facilitate voluntary North American dairy research and cooperation on animal health, disease surveillance, feed efficiency, methane reduction, water efficiency, cold-chain technology, packaging, waste valorization, whey utilization, manure-to-energy systems, food safety, resilient genetics, and other mutually beneficial innovation.</w:t>
      </w:r>
    </w:p>
    <w:p>
      <w:pPr>
        <w:pStyle w:val="Normal"/>
      </w:pPr>
      <w:r>
        <w:t>4. Cooperation may include producer exchanges, workforce and veterinary training, university partnerships, voluntary technology transfer on commercial terms, and shared market intelligence. Participation remains subject to domestic appropriations, intellectual-property rights, competition law, biosafety, and research-security safeguards.</w:t>
      </w:r>
    </w:p>
    <w:p>
      <w:pPr>
        <w:pStyle w:val="Normal"/>
      </w:pPr>
      <w:r>
        <w:t>5. The Commission shall implement this Framework primarily through existing institutions and interoperable national systems. A new permanent body shall not be established where the same function can be performed by an existing committee, the Secretariat, Cothrom procedures, or designated national authorities.</w:t>
      </w:r>
    </w:p>
    <w:p>
      <w:pPr>
        <w:pStyle w:val="Heading2"/>
      </w:pPr>
      <w:bookmarkStart w:id="901659" w:name="_Toc300001658"/>
      <w:r>
        <w:t>Article 43.2L.1: Dairy Access Portability and Active-Use Reallocation</w:t>
      </w:r>
      <w:bookmarkEnd w:id="901659"/>
    </w:p>
    <w:p>
      <w:pPr>
        <w:pStyle w:val="Normal"/>
      </w:pPr>
      <w:r>
        <w:t>1. Within an existing dairy TRQ, Canada may provide that an eligible allocation associated with a qualifying product, exporter, or commercial program remains usable when the holder changes an importer, distributor, broker, or logistics provider, provided eligibility, traceability, and allocation conditions remain satisfied.</w:t>
      </w:r>
    </w:p>
    <w:p>
      <w:pPr>
        <w:pStyle w:val="Normal"/>
      </w:pPr>
      <w:r>
        <w:t>2. Portability shall not permit sale of quota as a purely financial asset, double counting, circumvention of eligibility rules, or transfer to an ineligible person.</w:t>
      </w:r>
    </w:p>
    <w:p>
      <w:pPr>
        <w:pStyle w:val="Normal"/>
      </w:pPr>
      <w:r>
        <w:t>3. Unused or materially underused quantities should be reviewed at least quarterly where administratively practicable and reallocated early enough in the quota year to permit commercially meaningful use.</w:t>
      </w:r>
    </w:p>
    <w:p>
      <w:pPr>
        <w:pStyle w:val="Normal"/>
      </w:pPr>
      <w:r>
        <w:t>4. Reallocation procedures shall be published in advance and may prioritize demonstrated demand, new entrants, SMEs, retailers, food-service users, processors, or other eligible applicants according to transparent product-sensitive rules.</w:t>
      </w:r>
    </w:p>
    <w:p>
      <w:pPr>
        <w:pStyle w:val="Heading2"/>
      </w:pPr>
      <w:bookmarkStart w:id="901660" w:name="_Toc300001659"/>
      <w:r>
        <w:t>Article 43.2L.2: Functional Dairy Access Pools</w:t>
      </w:r>
      <w:bookmarkEnd w:id="901660"/>
    </w:p>
    <w:p>
      <w:pPr>
        <w:pStyle w:val="Normal"/>
      </w:pPr>
      <w:r>
        <w:t>1. Where concentration of allocations in one commercial channel materially impairs utilization, Canada may establish separate functional pools for processing inputs, retail-ready goods, food-service demand, specialty products, new entrants, or other commercially distinct uses within the negotiated aggregate access.</w:t>
      </w:r>
    </w:p>
    <w:p>
      <w:pPr>
        <w:pStyle w:val="Normal"/>
      </w:pPr>
      <w:r>
        <w:t>2. Functional pools do not enlarge the negotiated aggregate TRQ unless separately agreed. They are an administrative tool to make existing access usable while preserving supply management.</w:t>
      </w:r>
    </w:p>
    <w:p>
      <w:pPr>
        <w:pStyle w:val="Normal"/>
      </w:pPr>
      <w:r>
        <w:t>3. No pool shall guarantee a sale, listing, shelf position, or purchase. Allocation shall reflect demonstrated commercial capacity and applicable food-safety requirements.</w:t>
      </w:r>
    </w:p>
    <w:p>
      <w:pPr>
        <w:pStyle w:val="Heading2"/>
      </w:pPr>
      <w:bookmarkStart w:id="901661" w:name="_Toc300001660"/>
      <w:r>
        <w:t>Article 43.2L.3: Dairy Exporter Pre-Clearance and New-Entrant Gateway</w:t>
      </w:r>
      <w:bookmarkEnd w:id="901661"/>
    </w:p>
    <w:p>
      <w:pPr>
        <w:pStyle w:val="Normal"/>
      </w:pPr>
      <w:r>
        <w:t>1. The Parties shall develop a voluntary pre-clearance pathway allowing an exporter and eligible importer to establish documentary readiness, product classification, certification, and available allocation before dispatch of a perishable shipment.</w:t>
      </w:r>
    </w:p>
    <w:p>
      <w:pPr>
        <w:pStyle w:val="Normal"/>
      </w:pPr>
      <w:r>
        <w:t>2. Each Party should maintain a plain-language dairy access guide and a contact point for SMEs and first-time exporters. Lack of prior import history shall not by itself disqualify an otherwise eligible applicant.</w:t>
      </w:r>
    </w:p>
    <w:p>
      <w:pPr>
        <w:pStyle w:val="Normal"/>
      </w:pPr>
      <w:r>
        <w:t>3. Pre-clearance is not a guarantee of admissibility where shipment-specific safety, origin, quota, or fraud concerns arise.</w:t>
      </w:r>
    </w:p>
    <w:p>
      <w:pPr>
        <w:pStyle w:val="Heading2"/>
      </w:pPr>
      <w:bookmarkStart w:id="901662" w:name="_Toc300001661"/>
      <w:r>
        <w:t>Article 43.2L.4: Provincial United States Dairy Access Floor</w:t>
      </w:r>
      <w:bookmarkEnd w:id="901662"/>
    </w:p>
    <w:p>
      <w:pPr>
        <w:pStyle w:val="Normal"/>
      </w:pPr>
      <w:r>
        <w:t>1. Canada shall establish a geographically distributed United States dairy access floor for each province. The access attributed to a province shall be calculated as a percentage of that province's Reference Milk-Production Volume and converted into standardized milk-equivalent quantities under Annex 43-A. This mechanism supplements, and does not abolish, Canada's supply-management system.</w:t>
      </w:r>
    </w:p>
    <w:p>
      <w:pPr>
        <w:pStyle w:val="Normal"/>
      </w:pPr>
      <w:r>
        <w:t>2. Unless the Parties agree to an alternative implementation schedule following validation of provincial and product-specific data, the general dairy access floor shall be 0.6 percent upon entry into force of this mechanism and shall increase to 0.8 percent six months after that date. Administrative preparation, allocation-cycle timing, or delayed domestic implementation shall not extend the six-month transition. The 0.8 percent level shall thereafter remain the general access floor unless expressly amended by the Parties.</w:t>
      </w:r>
    </w:p>
    <w:p>
      <w:pPr>
        <w:pStyle w:val="Normal"/>
      </w:pPr>
      <w:r>
        <w:t>3. The 0.8 percent level is a negotiated access floor and shall not increase automatically because utilization is high, because a province absorbs the access without material disruption, or because market demand grows. Any increase requires express agreement of the Parties through the applicable amendment procedure.</w:t>
      </w:r>
    </w:p>
    <w:p>
      <w:pPr>
        <w:pStyle w:val="Normal"/>
      </w:pPr>
      <w:r>
        <w:t>4. Equal proportional exposure does not require equal absolute volume. Each province's obligation shall be determined from its own Reference Milk-Production Volume. The mechanism shall not divide the national percentage by the number of provinces.</w:t>
      </w:r>
    </w:p>
    <w:p>
      <w:pPr>
        <w:pStyle w:val="Normal"/>
      </w:pPr>
      <w:r>
        <w:t>5. Canada shall retain discretion over the domestic instruments used to accommodate the access floor, including production planning, pooling, inventory management, processor arrangements, market development, or other lawful supply-management tools. Nothing in this Article requires a particular reduction in producer quota, farm-gate price, or processor margin.</w:t>
      </w:r>
    </w:p>
    <w:p>
      <w:pPr>
        <w:pStyle w:val="Normal"/>
      </w:pPr>
      <w:r>
        <w:t>6. The Parties shall identify in the applicable Schedule whether, and to what extent, quantities under this Article are additional to pre-existing CUSMA dairy access. Existing access shall not be credited merely because it exists on paper; any credit shall reflect demonstrated effective utilization attributable to the relevant province under the agreed baseline methodology.</w:t>
      </w:r>
    </w:p>
    <w:p>
      <w:pPr>
        <w:pStyle w:val="Heading2"/>
      </w:pPr>
      <w:bookmarkStart w:id="901663" w:name="_Toc300001662"/>
      <w:r>
        <w:t>Article 43.2L.5: Commercial Utilization, Use-or-Return, and Reallocation</w:t>
      </w:r>
      <w:bookmarkEnd w:id="901663"/>
    </w:p>
    <w:p>
      <w:pPr>
        <w:pStyle w:val="Normal"/>
      </w:pPr>
      <w:r>
        <w:t>1. Access under Article 43.2L.4 shall be administered to produce commercially meaningful utilization rather than nominal allocation. Canada shall not satisfy the access floor solely by issuing allocations that are predictably unusable, systematically underused because of administrative design, or retained by holders without commercially reasonable use.</w:t>
      </w:r>
    </w:p>
    <w:p>
      <w:pPr>
        <w:pStyle w:val="Normal"/>
      </w:pPr>
      <w:r>
        <w:t>2. Allocation holders shall be subject to published use-or-return checkpoints. Materially unused quantities shall be returned or reclaimed and reallocated early enough to permit commercially meaningful use within the dairy year.</w:t>
      </w:r>
    </w:p>
    <w:p>
      <w:pPr>
        <w:pStyle w:val="Normal"/>
      </w:pPr>
      <w:r>
        <w:t>3. Reallocation shall be open, subject to neutral qualification criteria, to processors, independent importers, distributors, retailers, food-service operators, cooperatives, end-users, and new entrants with demonstrated capacity to import, process, distribute, or place the relevant product into Canadian commerce.</w:t>
      </w:r>
    </w:p>
    <w:p>
      <w:pPr>
        <w:pStyle w:val="Normal"/>
      </w:pPr>
      <w:r>
        <w:t>4. Repeated material non-use without reasonable commercial explanation may result in prospective reduction of allocation priority. No allocation holder acquires a property right to unused quota by reason of historical allocation.</w:t>
      </w:r>
    </w:p>
    <w:p>
      <w:pPr>
        <w:pStyle w:val="Normal"/>
      </w:pPr>
      <w:r>
        <w:t>5. Canada shall maintain a utilization benchmark of 90 percent for the access made available under Article 43.2L.4. Utilization of 90 percent or more is presumptively satisfactory. Utilization from 80 percent through 89.9 percent shall trigger an automatic administrative and reallocation audit. Utilization below 80 percent shall trigger a corrective access plan. Two consecutive measurement periods below 90 percent create a rebuttable presumption of an access-administration impairment unless evidence establishes that the material underutilization resulted from inadequate qualifying United States supply, absence of commercially reasonable Canadian demand, food-safety or conformity failure, force majeure, or another specified cause not attributable to Canadian administration.</w:t>
      </w:r>
    </w:p>
    <w:p>
      <w:pPr>
        <w:pStyle w:val="Normal"/>
      </w:pPr>
      <w:r>
        <w:t>6. Where qualified United States supply and a willing eligible Canadian commercial user exist but an administrative measure materially prevents utilization, Canada shall promptly restore the pathway through reallocation, portability, alternative importer access, equivalent product treatment where agreed, or other narrow corrective action sufficient to make the negotiated access usable.</w:t>
      </w:r>
    </w:p>
    <w:p>
      <w:pPr>
        <w:pStyle w:val="Normal"/>
      </w:pPr>
      <w:r>
        <w:t>7. Nothing in this Article guarantees a sale, purchase, listing, shelf position, processor contract, price, or commercial outcome where access is genuinely available and market participants choose not to transact.</w:t>
      </w:r>
    </w:p>
    <w:p>
      <w:pPr>
        <w:pStyle w:val="Normal"/>
      </w:pPr>
      <w:r>
        <w:t>8. Corrective measures under paragraph 5 shall first address the access pathway and may include accelerated reallocation, reopening of applicant categories, correction of qualification criteria, additional notice to eligible users, or other measures reasonably directed to the identified cause. They shall not compel a private purchase where commercially reasonable demand is absent.</w:t>
      </w:r>
    </w:p>
    <w:p>
      <w:pPr>
        <w:pStyle w:val="Normal"/>
      </w:pPr>
      <w:r>
        <w:t>9. Reallocation shall occur with sufficient time remaining in the applicable quota period for a commercially reasonable importer to contract, ship, clear, process, distribute, or place the product into commerce. A nominal reallocation made too late for practical use shall not satisfy the effective-utilization obligation.</w:t>
      </w:r>
    </w:p>
    <w:p>
      <w:pPr>
        <w:pStyle w:val="Heading2"/>
      </w:pPr>
      <w:bookmarkStart w:id="901664" w:name="_Toc300001663"/>
      <w:r>
        <w:t>Article 43.2L.6: Provincial Distribution, Regional Flexibility, and Anti-Concentration</w:t>
      </w:r>
      <w:bookmarkEnd w:id="901664"/>
    </w:p>
    <w:p>
      <w:pPr>
        <w:pStyle w:val="Normal"/>
      </w:pPr>
      <w:r>
        <w:t>1. The purpose of the provincial access floor is to create durable and geographically distributed United States dairy access across Canada. Access attributed to a province should ordinarily be processed, distributed, sold, or otherwise placed into commerce in that province.</w:t>
      </w:r>
    </w:p>
    <w:p>
      <w:pPr>
        <w:pStyle w:val="Normal"/>
      </w:pPr>
      <w:r>
        <w:t>2. Canada shall not satisfy the provincial distribution requirement by concentrating materially all utilization in one or two provinces while assigning accounting credit to other provinces without a commercially reasonable connection.</w:t>
      </w:r>
    </w:p>
    <w:p>
      <w:pPr>
        <w:pStyle w:val="Normal"/>
      </w:pPr>
      <w:r>
        <w:t>3. A province with limited processing capacity, specialized product constraints, exceptional logistics costs, or other objectively demonstrated small-market limitations may use a published regional pooling arrangement, including an Atlantic, Prairie, or other appropriate regional pathway, provided the province's attributed quantity remains separately reported and the arrangement does not materially reduce aggregate United States access.</w:t>
      </w:r>
    </w:p>
    <w:p>
      <w:pPr>
        <w:pStyle w:val="Normal"/>
      </w:pPr>
      <w:r>
        <w:t>4. Interprovincial transfer may be used temporarily to prevent access from expiring unused after reasonable provincial reallocation efforts. Transfer shall preserve the national negotiated quantity and shall not become a routine device for defeating geographic distribution.</w:t>
      </w:r>
    </w:p>
    <w:p>
      <w:pPr>
        <w:pStyle w:val="Normal"/>
      </w:pPr>
      <w:r>
        <w:t>5. Open Access Reserve. At least 25 percent of genuinely incremental access under Article 43.2L.4 shall initially be available through allocation channels open to qualified independent importers, distributors, retailers, food-service purchasers, new entrants, and other eligible non-incumbent commercial users. The Commission may adjust the percentage only where validated market evidence shows that the reserve is persistently unusable or materially insufficient, and any adjustment shall preserve a commercially meaningful non-incumbent pathway.</w:t>
      </w:r>
    </w:p>
    <w:p>
      <w:pPr>
        <w:pStyle w:val="Normal"/>
      </w:pPr>
      <w:r>
        <w:t>6. Beneficial-Ownership Concentration. No single enterprise or commonly controlled corporate group should ordinarily control more than 25 percent of genuinely incremental access attributed to a province. A temporary exception may be used where insufficient qualifying demand would otherwise strand access, but the reason, duration, and aggregate quantity shall be reported and the unused portion shall remain subject to reallocation.</w:t>
      </w:r>
    </w:p>
    <w:p>
      <w:pPr>
        <w:pStyle w:val="Normal"/>
      </w:pPr>
      <w:r>
        <w:t>7. Regional flexibility shall not reduce a province's numerical obligation. Where processing or logistics constraints justify regional routing, the quantity shall remain attributed to the originating province for accounting purposes, remain commercially available to the designated regional market, and be supported by a written objective justification reviewed at least annually. Regional routing shall terminate when the material capacity constraint no longer exists.</w:t>
      </w:r>
    </w:p>
    <w:p>
      <w:pPr>
        <w:pStyle w:val="Heading2"/>
      </w:pPr>
      <w:bookmarkStart w:id="901665" w:name="_Toc300001664"/>
      <w:r>
        <w:t>Article 43.2L.7: Product Mix, Milk-Equivalent Accounting, and Reference Volume</w:t>
      </w:r>
      <w:bookmarkEnd w:id="901665"/>
    </w:p>
    <w:p>
      <w:pPr>
        <w:pStyle w:val="Normal"/>
      </w:pPr>
      <w:r>
        <w:t>1. Access under Article 43.2L.4 shall be expressed in standardized milk-equivalent quantities using transparent product-conversion factors maintained in Annex 43-A. Raw-fluid volume shall not be used as a substitute for product-sensitive conversion where cheese, butter, cream, powders, proteins, cultured products, or other dairy goods impose materially different milk-component requirements.</w:t>
      </w:r>
    </w:p>
    <w:p>
      <w:pPr>
        <w:pStyle w:val="Normal"/>
      </w:pPr>
      <w:r>
        <w:t>2. Reference Milk-Production Volume means the rolling three-year average of marketable milk production or the closest objectively comparable official provincial production measure agreed by the Parties, adjusted only to correct material data discontinuities or extraordinary events.</w:t>
      </w:r>
    </w:p>
    <w:p>
      <w:pPr>
        <w:pStyle w:val="Normal"/>
      </w:pPr>
      <w:r>
        <w:t>3. The access pool should support commercially relevant product diversity. Canada may use product-sensitive sub-pools for fluid and cream products, cheese, butter and milk fats, dairy ingredients and proteins, cultured products, specialty products, and other agreed categories, provided the design does not operate to frustrate aggregate utilization.</w:t>
      </w:r>
    </w:p>
    <w:p>
      <w:pPr>
        <w:pStyle w:val="Normal"/>
      </w:pPr>
      <w:r>
        <w:t>4. No Party is required to manufacture, import, purchase, or consume a product for which there is no commercially reasonable demand. Product substitution within the negotiated access may be permitted using the agreed milk-equivalent conversion methodology where doing so preserves the economic value and sensitivity of the concession.</w:t>
      </w:r>
    </w:p>
    <w:p>
      <w:pPr>
        <w:pStyle w:val="Normal"/>
      </w:pPr>
      <w:r>
        <w:t>5. Product-Demand Responsiveness. Administration of the provincial access floor shall reasonably respond to demonstrated commercial demand among covered dairy categories. Canada shall not systematically direct access toward low-demand or administratively convenient products for the purpose or effect of materially restricting access in categories where qualified United States suppliers and willing Canadian commercial users exist.</w:t>
      </w:r>
    </w:p>
    <w:p>
      <w:pPr>
        <w:pStyle w:val="Heading2"/>
      </w:pPr>
      <w:bookmarkStart w:id="901666" w:name="_Toc300001665"/>
      <w:r>
        <w:t>Article 43.2L.8: Supply-Management Stability and No-Ratchet Safeguard</w:t>
      </w:r>
      <w:bookmarkEnd w:id="901666"/>
    </w:p>
    <w:p>
      <w:pPr>
        <w:pStyle w:val="Normal"/>
      </w:pPr>
      <w:r>
        <w:t>1. Nothing in Articles 43.2L.4 through 43.2L.7 requires Canada to abolish provincial production quotas, alter farm-gate pricing structures, eliminate supply management, or reduce over-quota tariff protection beyond the access expressly scheduled under this Agreement.</w:t>
      </w:r>
    </w:p>
    <w:p>
      <w:pPr>
        <w:pStyle w:val="Normal"/>
      </w:pPr>
      <w:r>
        <w:t>2. If objective evidence demonstrates that the distribution mechanics of the provincial access floor are causing material disruption beyond the negotiated market opening, Canada may temporarily modify allocation timing, product composition, regional routing, or other administrative mechanics, provided the aggregate negotiated United States access is not reduced and the modification is no more restrictive than reasonably necessary.</w:t>
      </w:r>
    </w:p>
    <w:p>
      <w:pPr>
        <w:pStyle w:val="Normal"/>
      </w:pPr>
      <w:r>
        <w:t>3. A stability adjustment under paragraph 2 shall be notified promptly, include the evidence relied upon, and expire or be reviewed within 180 days. It shall not be used to recreate quota hoarding, closed allocation channels, or systematic underutilization.</w:t>
      </w:r>
    </w:p>
    <w:p>
      <w:pPr>
        <w:pStyle w:val="Normal"/>
      </w:pPr>
      <w:r>
        <w:t>4. Successful absorption, high utilization, increased Canadian demand, or administrative convenience does not create a presumption in favor of expanding the percentage floor. Additional access remains a matter for express negotiation.</w:t>
      </w:r>
    </w:p>
    <w:p>
      <w:pPr>
        <w:pStyle w:val="Heading2"/>
      </w:pPr>
      <w:bookmarkStart w:id="901667" w:name="_Toc300001666"/>
      <w:r>
        <w:t>Article 43.2L.9: Synchronized Exchange, Trilateral Balance, and Review</w:t>
      </w:r>
      <w:bookmarkEnd w:id="901667"/>
    </w:p>
    <w:p>
      <w:pPr>
        <w:pStyle w:val="Normal"/>
      </w:pPr>
      <w:r>
        <w:t>1. Any genuinely incremental Canadian dairy access created by Articles 43.2L.4 through 43.2L.8 shall be implemented in synchronized exchange with a clearly identified reciprocal or offsetting benefit for Canada under this Agreement, consistent with Article 35.36 and Article 43.1. Canada shall not be required to front-load the incremental concession without the corresponding benefit becoming legally effective on the agreed schedule.</w:t>
      </w:r>
    </w:p>
    <w:p>
      <w:pPr>
        <w:pStyle w:val="Normal"/>
      </w:pPr>
      <w:r>
        <w:t>2. The United States shall receive a clear, auditable statement of the provincial access quantities, utilization, returns, reallocations, and causes of material underfill. Canada shall receive equivalent transparency concerning the reciprocal benefit paired with the incremental access.</w:t>
      </w:r>
    </w:p>
    <w:p>
      <w:pPr>
        <w:pStyle w:val="Normal"/>
      </w:pPr>
      <w:r>
        <w:t>3. Mexico shall retain full procedural equality under the North American Dairy Stability and Market Access Framework. The Commission shall review whether an equivalent Mexico-specific dairy access, development, or reciprocal opportunity mechanism would produce balanced value without mechanically copying the Canada-United States provincial model.</w:t>
      </w:r>
    </w:p>
    <w:p>
      <w:pPr>
        <w:pStyle w:val="Normal"/>
      </w:pPr>
      <w:r>
        <w:t>4. The Parties shall conduct an implementation review after twelve months of operation at the 0.8 percent general access level and at least every five years thereafter. Review shall assess effective utilization, producer and processor effects, consumer effects, regional distribution, product mix, supply-management stability, new-entrant participation, the Priority Cheese Access Bonus under Article 43.2L.10, and the value of the reciprocal Canadian benefit.</w:t>
      </w:r>
    </w:p>
    <w:p>
      <w:pPr>
        <w:pStyle w:val="Normal"/>
      </w:pPr>
      <w:r>
        <w:t>5. Review may recommend technical changes to conversion factors, reporting, reallocation timing, regional pooling, or product sub-pools. It shall not increase the percentage floor or diminish the reciprocal benefit without express agreement of the affected Parties.</w:t>
      </w:r>
    </w:p>
    <w:p>
      <w:pPr>
        <w:pStyle w:val="Heading2"/>
      </w:pPr>
      <w:bookmarkStart w:id="901668" w:name="_Toc300001667"/>
      <w:r>
        <w:t>Article 43.2L.10: Provincial Priority Cheese Access Bonus</w:t>
      </w:r>
      <w:bookmarkEnd w:id="901668"/>
    </w:p>
    <w:p>
      <w:pPr>
        <w:pStyle w:val="Normal"/>
      </w:pPr>
      <w:r>
        <w:t>1. In addition to the general dairy access floor under Article 43.2L.4, Canada shall establish for each province a United States Priority Cheese Access Bonus equivalent to 0.2 percent of that province's Reference Milk-Production Volume, converted into standardized milk-equivalent quantities under Annex 43-A. The Bonus shall become available upon entry into force of this mechanism and shall remain additional to, and shall not be credited against, the 0.6 percent or 0.8 percent general dairy access floor.</w:t>
      </w:r>
    </w:p>
    <w:p>
      <w:pPr>
        <w:pStyle w:val="Normal"/>
      </w:pPr>
      <w:r>
        <w:t>2. Covered Priority Cheese Products. The Bonus may be used only for qualifying United States-origin cheddar, mozzarella, including low-moisture and part-skim mozzarella used in food service or manufacturing, and cream cheese, as defined and classified in Annex 43-A. Unrelated dairy products shall not be counted toward the Bonus.</w:t>
      </w:r>
    </w:p>
    <w:p>
      <w:pPr>
        <w:pStyle w:val="Normal"/>
      </w:pPr>
      <w:r>
        <w:t>3. Commercial Product Choice. The Bonus shall operate as a unified priority-cheese pool rather than three rigid product sub-quotas. Qualified Canadian commercial users may select among covered cheddar, mozzarella, and cream cheese according to demonstrated demand. No covered product may be categorically excluded or subjected to an allocation practice that materially defeats commercially demonstrated demand.</w:t>
      </w:r>
    </w:p>
    <w:p>
      <w:pPr>
        <w:pStyle w:val="Normal"/>
      </w:pPr>
      <w:r>
        <w:t>4. Effective Utilization. The use-or-return, timely reallocation, utilization review, new-entrant access, anti-hoarding, beneficial-ownership concentration, and effective-performance safeguards applicable to Article 43.2L.4 shall apply equally to the Priority Cheese Access Bonus.</w:t>
      </w:r>
    </w:p>
    <w:p>
      <w:pPr>
        <w:pStyle w:val="Normal"/>
      </w:pPr>
      <w:r>
        <w:t>5. Open Commercial Channels. The Bonus shall maintain commercially meaningful pathways for processors, independent importers, retailers, food-service distributors and purchasers, cooperatives, and qualified new entrants. The Open Access Reserve under Article 43.2L.6 shall apply to the Bonus and may not be satisfied solely through allocation to incumbent processors.</w:t>
      </w:r>
    </w:p>
    <w:p>
      <w:pPr>
        <w:pStyle w:val="Normal"/>
      </w:pPr>
      <w:r>
        <w:t>6. Product Classification Integrity. Annex 43-A shall identify the applicable tariff classifications and commercially relevant product definitions for cheddar, mozzarella, and cream cheese. Technical classification updates may prevent evasion or accommodate legitimate product evolution but shall not expand the Bonus to unrelated dairy categories or materially reduce its commercial usability without express agreement.</w:t>
      </w:r>
    </w:p>
    <w:p>
      <w:pPr>
        <w:pStyle w:val="Normal"/>
      </w:pPr>
      <w:r>
        <w:t>7. No Automatic Ratchet. High utilization, successful provincial absorption, growth in Canadian demand, or strong commercial performance of a covered cheese may be considered in future negotiations but creates no presumption, entitlement, obligation, or automatic adjustment requiring Canada to increase the 0.2 percent Bonus or the general dairy access floor.</w:t>
      </w:r>
    </w:p>
    <w:p>
      <w:pPr>
        <w:pStyle w:val="Normal"/>
      </w:pPr>
      <w:r>
        <w:t>8. Supply-Management Boundary. The Priority Cheese Access Bonus is a defined additional market-access concession. Nothing in this Article requires Canada to alter supply-management institutions beyond what is reasonably necessary to make the scheduled Bonus commercially usable, nor may supply-management administration be used to nullify the Bonus.</w:t>
      </w:r>
    </w:p>
    <w:p>
      <w:pPr>
        <w:pStyle w:val="Normal"/>
      </w:pPr>
      <w:r>
        <w:t>9. Reciprocal Treatment. To the extent the 0.2 percent Bonus constitutes genuinely incremental access beyond pre-existing obligations, it shall be included in the synchronized exchange and reciprocal-benefit accounting under Article 43.2L.9 and Article 35.36.</w:t>
      </w:r>
    </w:p>
    <w:p>
      <w:pPr>
        <w:pStyle w:val="Heading2"/>
      </w:pPr>
      <w:bookmarkStart w:id="901669" w:name="_Toc300001668"/>
      <w:r>
        <w:t>Article 43.2L.11: OPTIONAL CANADA-UNITED STATES ENHANCED DAIRY ACCESS AND SOFTWOOD LUMBER NORMALIZATION EXCHANGE</w:t>
      </w:r>
      <w:bookmarkEnd w:id="901669"/>
    </w:p>
    <w:p>
      <w:pPr>
        <w:pStyle w:val="Normal"/>
      </w:pPr>
      <w:r>
        <w:t>1. Optional Character and Separate Consent. Canada and the United States establish a standing negotiated option under which additional Canadian provincial dairy access may be exchanged for corresponding United States softwood-lumber normalization. This Article and its Schedule are optional. Nothing in this Agreement, including ratification, entry into force, implementation, renewal, continuation, amendment, or participation in any other Chapter, constitutes consent to activate an Exchange Unit. No Exchange Unit creates a right, obligation, expectation, presumption, entitlement, compensable interest, or implementation duty unless Canada and the United States separately execute the applicable Activation Schedule through their respective constitutionally appropriate procedures.</w:t>
      </w:r>
    </w:p>
    <w:p>
      <w:pPr>
        <w:pStyle w:val="Normal"/>
      </w:pPr>
      <w:r>
        <w:t>2. Baseline Firewall. The 1.0 percent total scheduled provincial dairy access established by Articles 43.2L.4 and 43.2L.10 after completion of the six-month transition remains the baseline dairy bargain and is legally separate from this Optional Exchange. Declining, delaying, terminating, or declining to renew an optional Exchange Unit does not constitute a violation of the baseline dairy obligations or of Chapter 42.</w:t>
      </w:r>
    </w:p>
    <w:p>
      <w:pPr>
        <w:pStyle w:val="Normal"/>
      </w:pPr>
      <w:r>
        <w:t>3. Exchange Units. The Optional Exchange may be activated in three cumulative units unless the Parties expressly agree otherwise in the signed Schedule: (a) Unit A adds 0.20 percentage points of provincial dairy access, producing 1.20 percent total scheduled access after the baseline transition; (b) Unit B adds a further 0.20 percentage points, producing 1.40 percent; and (c) Unit C adds a further 0.10 percentage points, producing 1.50 percent. A later Unit may be activated only with the preceding Unit or through an expressly agreed equivalent configuration preserving reciprocal value.</w:t>
      </w:r>
    </w:p>
    <w:p>
      <w:pPr>
        <w:pStyle w:val="Normal"/>
      </w:pPr>
      <w:r>
        <w:t>4. Suggested Negotiating Calibration. The initial, non-binding negotiating proposal pairs Unit A with a 25 percent Aggregate Covered Border Burden ceiling on covered Canadian softwood lumber, Units A and B cumulatively with a 20 percent ceiling, and Units A through C cumulatively with a 15 percent ceiling. For full activation, 15 percent is the suggested initial negotiating reference point and 12.5 to 20 percent is the reference negotiating corridor. The figures may be changed only by mutual written agreement before activation. They are not self-executing, do not amend applicable trade-remedy determinations by themselves, and shall not be represented as an agreed outcome until incorporated into a signed Activation Schedule.</w:t>
      </w:r>
    </w:p>
    <w:p>
      <w:pPr>
        <w:pStyle w:val="Normal"/>
      </w:pPr>
      <w:r>
        <w:t>5. Reciprocal-Value Validation. Before execution of an Exchange Unit, Canada and the United States shall assess substantial reciprocal value using the best reasonably available data concerning expected incremental dairy access, historical utilization, tariff incidence, affected trade value, commercial usability, duration, reversibility, market conditions, producer and downstream effects, and the expected commercial value of the lumber treatment. Exact dollar-for-dollar equivalence is not required. Cothrom shall verify that the proposed exchange falls within a reasonable reciprocal-value range and shall publish a non-confidential explanation of the methodology without disclosing protected commercial information.</w:t>
      </w:r>
    </w:p>
    <w:p>
      <w:pPr>
        <w:pStyle w:val="Normal"/>
      </w:pPr>
      <w:r>
        <w:t>6. Lumber Schedule Specificity. Each Activation Schedule shall identify the covered Canadian softwood-lumber products, covered border measures, applicable Aggregate Covered Border Burden ceiling, treatment of producer-specific rates where required by law, commencement date, verification method, successor-measure treatment, and any lawful administrative mechanism used by the United States to deliver the negotiated ceiling. A general commitment to improve lumber access is insufficient to activate additional dairy access.</w:t>
      </w:r>
    </w:p>
    <w:p>
      <w:pPr>
        <w:pStyle w:val="Normal"/>
      </w:pPr>
      <w:r>
        <w:t>7. Dairy Schedule Specificity. Each Activation Schedule shall identify the additional provincial milk-equivalent quantity corresponding to the activated Unit, eligible product scope, allocation and reallocation rules, any agreed priority-product component, and the effective-utilization safeguards that apply. Optional dairy access shall be commercially usable and shall inherit the anti-hoarding, open-access, beneficial-ownership concentration, timely-reallocation, product-demand-responsiveness, and effective-performance disciplines applicable to the baseline provincial access architecture unless the signed Schedule provides an equally effective alternative.</w:t>
      </w:r>
    </w:p>
    <w:p>
      <w:pPr>
        <w:pStyle w:val="Normal"/>
      </w:pPr>
      <w:r>
        <w:t>8. Simultaneous Activation. Neither Party shall be required to perform first. Canada shall certify operational readiness of the corresponding dairy increment and the United States shall certify operational readiness of the corresponding lumber treatment. Following verification, Cothrom shall issue a Dual-Readiness Certificate. The paired concessions shall enter into operation simultaneously at 00:01 local time in each Party on the Activation Date specified in that Certificate. If either side is not ready, neither side of that Exchange Unit activates.</w:t>
      </w:r>
    </w:p>
    <w:p>
      <w:pPr>
        <w:pStyle w:val="Normal"/>
      </w:pPr>
      <w:r>
        <w:t>9. Functional-Equivalence and Successor-Measure Firewall. A Party shall not materially withdraw the negotiated commercial value of an activated Exchange Unit by renaming, restructuring, relocating, layering, or replacing a covered measure. For the United States, the test is whether a successor or additional measure causes the Aggregate Covered Border Burden materially to exceed the signed ceiling or otherwise materially defeats the scheduled lumber benefit. For Canada, the test is whether administration, allocation, licensing, classification, delay, concentration, or another measure materially defeats the scheduled optional dairy benefit. This paragraph does not prohibit bona fide non-discriminatory regulation, taxation, customs enforcement, safety measures, environmental measures, or trade-remedy administration outside the commercial value specifically exchanged.</w:t>
      </w:r>
    </w:p>
    <w:p>
      <w:pPr>
        <w:pStyle w:val="Normal"/>
      </w:pPr>
      <w:r>
        <w:t>10. Cure and Proportional Step-Back. Where Cothrom verifies material impairment of an activated Unit, the affected Party shall receive a reasonable cure period specified in the Activation Schedule, ordinarily not exceeding 60 days absent exceptional circumstances. If the impairment is not cured, only the corresponding optional Exchange Unit, or the proportion demonstrably impaired, shall step back. Step-back shall be synchronized and shall not reduce Canadian dairy access below the 1.0 percent baseline, restore unrelated tariffs, authorize cross-sector retaliation, or disturb unrelated rights under this Agreement.</w:t>
      </w:r>
    </w:p>
    <w:p>
      <w:pPr>
        <w:pStyle w:val="Normal"/>
      </w:pPr>
      <w:r>
        <w:t>11. Illustrative Step-Back. If Units A, B, and C are active and Unit C ceases to receive its agreed reciprocal lumber value, optional dairy access ordinarily returns from 1.50 percent to 1.40 percent. If Units B and C cease, it ordinarily returns to 1.20 percent. If all optional Units cease, it returns to the 1.0 percent baseline. Equivalent proportional treatment applies where Canada materially withdraws the optional dairy benefit.</w:t>
      </w:r>
    </w:p>
    <w:p>
      <w:pPr>
        <w:pStyle w:val="Normal"/>
      </w:pPr>
      <w:r>
        <w:t>12. Lawful Termination Without Breach. Either Canada or the United States may terminate one or more activated Exchange Units on 180 days written notice unless the signed Activation Schedule establishes another mutually agreed period. Both Parties shall continue the paired performance during the notice period. At expiration, the corresponding concessions terminate simultaneously. Lawful termination under this paragraph is not a breach, does not create damages or retaliation rights, and does not affect baseline NAESTMA treatment.</w:t>
      </w:r>
    </w:p>
    <w:p>
      <w:pPr>
        <w:pStyle w:val="Normal"/>
      </w:pPr>
      <w:r>
        <w:t>13. Continuation Unless Terminated. An activated Exchange Unit continues without annual reauthorization unless terminated, stepped back, or amended under this Article. Periodic review may recommend recalibration but shall not itself change the dairy percentage, lumber ceiling, product scope, or other negotiated consideration.</w:t>
      </w:r>
    </w:p>
    <w:p>
      <w:pPr>
        <w:pStyle w:val="Normal"/>
      </w:pPr>
      <w:r>
        <w:t>14. Optional Priority Dairy Schedule. The Parties may designate part of an optional dairy increment for product categories of demonstrated United States commercial interest from a mutually agreed eligible list. Canada retains authority over the composition of the optional pool within the signed bounds, but shall not systematically direct access toward low-demand categories in order to defeat its commercial value. The United States receives no unilateral authority to add products or enlarge the aggregate optional percentage.</w:t>
      </w:r>
    </w:p>
    <w:p>
      <w:pPr>
        <w:pStyle w:val="Normal"/>
      </w:pPr>
      <w:r>
        <w:t>15. Structural Dairy Solids Compatibility. Canada may operate lawful Structural Dairy Solids Rebalancing, inventory-management, transformation, emergency-nutrition, or other supply-management mechanisms alongside an activated Optional Exchange, provided those mechanisms do not discriminate against qualifying United States products or materially nullify the negotiated optional access. Domestic non-fat-solids imbalance does not excuse non-performance of an activated Unit.</w:t>
      </w:r>
    </w:p>
    <w:p>
      <w:pPr>
        <w:pStyle w:val="Normal"/>
      </w:pPr>
      <w:r>
        <w:t>16. No Automatic Ratchet. High utilization of optional dairy access, successful lumber normalization, favorable market conditions, or continuation of an Exchange Unit does not create an entitlement or presumption that Canada must exceed 1.50 percent provincial access or that the United States must reduce the covered lumber burden below the signed level. Further liberalization requires express agreement.</w:t>
      </w:r>
    </w:p>
    <w:p>
      <w:pPr>
        <w:pStyle w:val="Normal"/>
      </w:pPr>
      <w:r>
        <w:t>17. No Bargaining Contamination. A Party's decision not to activate, expand, renew, or continue an Optional Exchange Unit, or its lawful termination of a Unit, shall not be cited as evidence of bad faith, inadequate baseline market access, treaty non-compliance, failure to make concessions, or grounds for adverse treatment in another NAESTMA proceeding. Optional means optional.</w:t>
      </w:r>
    </w:p>
    <w:p>
      <w:pPr>
        <w:pStyle w:val="Normal"/>
      </w:pPr>
      <w:r>
        <w:t>18. Relationship to Chapter 42 and Other Forestry Bargains. This Optional Exchange supplements and does not automatically replace, satisfy, offset, or double-count obligations or benefits under Articles 42.19 through 42.23B or another minerals-for-forestry, housing, disaster-reconstruction, or forestry-normalization bargain. The signed Activation Schedule shall identify any intentional crediting or interaction so that the same United States lumber concession is not purchased twice with separate Canadian consideration.</w:t>
      </w:r>
    </w:p>
    <w:p>
      <w:pPr>
        <w:pStyle w:val="Normal"/>
      </w:pPr>
      <w:r>
        <w:t>19. Mexico Firewall and Trilateral Rights. This Optional Exchange is bilateral between Canada and the United States and does not impose a dairy, forestry, or financial obligation on Mexico. Mexico retains all independent rights and benefits under this Agreement, including the trilateral dairy and forestry provisions, and shall not suffer reduced treatment because it does not participate in this bilateral option.</w:t>
      </w:r>
    </w:p>
    <w:p>
      <w:pPr>
        <w:pStyle w:val="Heading2"/>
      </w:pPr>
      <w:bookmarkStart w:id="901670" w:name="_Toc300001669"/>
      <w:r>
        <w:t>Article 43.2M: North American Beverage Alcohol Stability, Regulatory Sovereignty, and Three-Win Framework</w:t>
      </w:r>
      <w:bookmarkEnd w:id="901670"/>
    </w:p>
    <w:p>
      <w:pPr>
        <w:pStyle w:val="Normal"/>
      </w:pPr>
      <w:r>
        <w:t>1. The Parties establish a North American Beverage Alcohol Stability and Market Access Framework to expand lawful and commercially meaningful trade in beverage alcohol while preserving legitimate domestic and subnational authority over public health, road safety, youth protection, taxation, retail structure, responsible service, zoning, Indigenous rights, and other legitimate public objectives.</w:t>
      </w:r>
    </w:p>
    <w:p>
      <w:pPr>
        <w:pStyle w:val="Normal"/>
      </w:pPr>
      <w:r>
        <w:t>2. Nothing in this Framework requires a Party to privatize or abolish a public alcohol wholesaler or retailer, harmonize legal purchase ages, sales hours, zoning, minimum-pricing policies, excise rates, or public-health rules, or otherwise replace its constitutional allocation of authority.</w:t>
      </w:r>
    </w:p>
    <w:p>
      <w:pPr>
        <w:pStyle w:val="Normal"/>
      </w:pPr>
      <w:r>
        <w:t>3. Differences among federal, provincial, territorial, state, local, or Mexican subnational alcohol systems do not by themselves establish discrimination or an unnecessary barrier to trade. A challenge shall identify materially adverse treatment, a disguised restriction, or an unnecessarily trade-restrictive administrative requirement inconsistent with this Agreement.</w:t>
      </w:r>
    </w:p>
    <w:p>
      <w:pPr>
        <w:pStyle w:val="Normal"/>
      </w:pPr>
      <w:r>
        <w:t>4. Canada, Mexico, and the United States shall receive equivalent procedural rights and reciprocal opportunities under this Framework. Implementation shall seek a defensible benefit for each Party and shall not treat Mexico as a secondary participant or residual market.</w:t>
      </w:r>
    </w:p>
    <w:p>
      <w:pPr>
        <w:pStyle w:val="Normal"/>
      </w:pPr>
      <w:r>
        <w:t>5. Where two formulations can achieve substantially equivalent trade outcomes, the Parties should prefer the formulation that preserves legitimate regulatory autonomy and permits each Party to explain the settlement accurately as advancing important domestic interests.</w:t>
      </w:r>
    </w:p>
    <w:p>
      <w:pPr>
        <w:pStyle w:val="Heading2"/>
      </w:pPr>
      <w:bookmarkStart w:id="901671" w:name="_Toc300001670"/>
      <w:r>
        <w:t>Article 43.2N: Effective and Non-discriminatory Beverage Market Access</w:t>
      </w:r>
      <w:bookmarkEnd w:id="901671"/>
    </w:p>
    <w:p>
      <w:pPr>
        <w:pStyle w:val="Normal"/>
      </w:pPr>
      <w:r>
        <w:t>1. A Party or subnational authority administering alcohol listing, wholesaling, retailing, importation, licensing, warehousing, distribution, or marketplace access shall apply published, objective, transparent, and non-discriminatory criteria to like products of another Party.</w:t>
      </w:r>
    </w:p>
    <w:p>
      <w:pPr>
        <w:pStyle w:val="Normal"/>
      </w:pPr>
      <w:r>
        <w:t>2. Government-controlled wholesalers and retailers may continue to operate. Their markups, listing charges, warehousing fees, service charges, promotional rules, and comparable commercial conditions shall not discriminate against a like product of another Party on the basis of origin.</w:t>
      </w:r>
    </w:p>
    <w:p>
      <w:pPr>
        <w:pStyle w:val="Normal"/>
      </w:pPr>
      <w:r>
        <w:t>3. Competent authorities shall publish material listing and licensing criteria, applicable fees, expected processing periods, required documentation, and review or appeal procedures. A denied or materially delayed application shall receive a reasoned explanation upon request.</w:t>
      </w:r>
    </w:p>
    <w:p>
      <w:pPr>
        <w:pStyle w:val="Normal"/>
      </w:pPr>
      <w:r>
        <w:t>4. Shelf placement, promotional eligibility, private-store access where private stores are permitted, restaurant and hospitality channels, digital listings, and comparable opportunities shall not be administered so as to nullify negotiated market access through disguised local preference.</w:t>
      </w:r>
    </w:p>
    <w:p>
      <w:pPr>
        <w:pStyle w:val="Normal"/>
      </w:pPr>
      <w:r>
        <w:t>5. No Party is required to guarantee a nationality-based share of shelf space, sales, procurement, or consumer demand. Effective access means a fair commercial opportunity to compete, not a guaranteed commercial outcome.</w:t>
      </w:r>
    </w:p>
    <w:p>
      <w:pPr>
        <w:pStyle w:val="Normal"/>
      </w:pPr>
      <w:r>
        <w:t>6. A facially neutral requirement challenged as unnecessarily trade restrictive shall be assessed by considering the legitimate objective pursued, its material contribution to that objective, comparable treatment of domestic goods, and whether a reasonably available and materially less trade-restrictive alternative can achieve substantially the same level of protection.</w:t>
      </w:r>
    </w:p>
    <w:p>
      <w:pPr>
        <w:pStyle w:val="Normal"/>
      </w:pPr>
      <w:r>
        <w:t>7. Canada may pursue improved interprovincial alcohol trade for Canadian producers alongside its international obligations. Nothing in this Framework converts domestic interprovincial reform into a concession owed exclusively to another Party.</w:t>
      </w:r>
    </w:p>
    <w:p>
      <w:pPr>
        <w:pStyle w:val="Heading2"/>
      </w:pPr>
      <w:bookmarkStart w:id="901672" w:name="_Toc300001671"/>
      <w:r>
        <w:t>Article 43.2O: Tariff-Linked Restoration, Transition, and Inventory Reconciliation</w:t>
      </w:r>
      <w:bookmarkEnd w:id="901672"/>
    </w:p>
    <w:p>
      <w:pPr>
        <w:pStyle w:val="Normal"/>
      </w:pPr>
      <w:r>
        <w:t>1. Where beverage restrictions were adopted as a response to tariffs or other extraordinary trade measures, the Parties shall seek a sequenced restoration process linked to verified removal, suspension, or agreed modification of the measure that gave rise to the restriction.</w:t>
      </w:r>
    </w:p>
    <w:p>
      <w:pPr>
        <w:pStyle w:val="Normal"/>
      </w:pPr>
      <w:r>
        <w:t>2. Restoration may proceed through published stages for ordinary listing eligibility, inventory replenishment, distribution normalization, and termination of retaliatory restrictions. Transition periods shall reflect reasonable commercial restocking and administrative needs and shall not be used to perpetuate retaliation after the triggering measure has been cured.</w:t>
      </w:r>
    </w:p>
    <w:p>
      <w:pPr>
        <w:pStyle w:val="Normal"/>
      </w:pPr>
      <w:r>
        <w:t>3. Alcohol restoration is one component of a broader trade settlement and shall not, standing alone, be deemed consideration for unrelated concessions of manifestly disproportionate economic value.</w:t>
      </w:r>
    </w:p>
    <w:p>
      <w:pPr>
        <w:pStyle w:val="Normal"/>
      </w:pPr>
      <w:r>
        <w:t>4. The Parties shall provide electronic mechanisms for duty drawback, tariff rebates, corrected classification, re-export, and reconciliation of qualifying beverage inventory held in bond when applicable tariff treatment changes before release.</w:t>
      </w:r>
    </w:p>
    <w:p>
      <w:pPr>
        <w:pStyle w:val="Normal"/>
      </w:pPr>
      <w:r>
        <w:t>5. Retrospective relief shall be available where duties were overpaid because of a subsequently corrected administrative error, qualifying tariff transition, or other circumstance for which domestic law permits refund or drawback.</w:t>
      </w:r>
    </w:p>
    <w:p>
      <w:pPr>
        <w:pStyle w:val="Normal"/>
      </w:pPr>
      <w:r>
        <w:t>6. A Party shall not condition temporary relief from an emergency or short-term disruption on acceptance of an unrelated permanent concession.</w:t>
      </w:r>
    </w:p>
    <w:p>
      <w:pPr>
        <w:pStyle w:val="Heading2"/>
      </w:pPr>
      <w:bookmarkStart w:id="901673" w:name="_Toc300001672"/>
      <w:r>
        <w:t>Article 43.2P: Small, Independent, Indigenous, and Specialty Beverage Producers</w:t>
      </w:r>
      <w:bookmarkEnd w:id="901673"/>
    </w:p>
    <w:p>
      <w:pPr>
        <w:pStyle w:val="Normal"/>
      </w:pPr>
      <w:r>
        <w:t>1. The Parties shall establish a Beverage SME Passport through which a qualifying producer may submit a reusable core set of business identity, licensing, compliance, origin, safety, and product information for recognized cross-border procedures.</w:t>
      </w:r>
    </w:p>
    <w:p>
      <w:pPr>
        <w:pStyle w:val="Normal"/>
      </w:pPr>
      <w:r>
        <w:t>2. Small-producer listing, registration, warehousing, bond, certification, and administrative charges should, where practicable, be proportionate to regulatory cost and risk and shall not be structured to exclude small foreign producers.</w:t>
      </w:r>
    </w:p>
    <w:p>
      <w:pPr>
        <w:pStyle w:val="Normal"/>
      </w:pPr>
      <w:r>
        <w:t>3. The Parties shall provide simplified treatment for low-value commercial shipments, samples for retailers, restaurants, competitions, festivals, cultural events, and trade shows, subject to quantity limits, tax rules, non-resale conditions where appropriate, and public-health safeguards.</w:t>
      </w:r>
    </w:p>
    <w:p>
      <w:pPr>
        <w:pStyle w:val="Normal"/>
      </w:pPr>
      <w:r>
        <w:t>4. Qualifying producers may consolidate compliant shipments with other producers without losing access to simplified procedures solely because multiple brands or producers share a truck, container, warehouse, or logistics provider.</w:t>
      </w:r>
    </w:p>
    <w:p>
      <w:pPr>
        <w:pStyle w:val="Normal"/>
      </w:pPr>
      <w:r>
        <w:t>5. Broad retaliatory alcohol measures should presumptively exempt qualifying microbreweries, cideries, wineries, distilleries, and similarly situated small producers that are not materially implicated in the underlying dispute, unless exclusion would frustrate a lawful and proportionate remedy.</w:t>
      </w:r>
    </w:p>
    <w:p>
      <w:pPr>
        <w:pStyle w:val="Normal"/>
      </w:pPr>
      <w:r>
        <w:t>6. Indigenous producers shall have equal access to export facilitation, technical assistance, specialty-product procedures, and market-development tools. Nothing in this Framework diminishes constitutionally protected Aboriginal or treaty rights, Indigenous self-government arrangements, or applicable Indigenous regulatory authority.</w:t>
      </w:r>
    </w:p>
    <w:p>
      <w:pPr>
        <w:pStyle w:val="Normal"/>
      </w:pPr>
      <w:r>
        <w:t>7. The Parties may facilitate voluntary producer-exporter matching, export-readiness assistance, and access to private financing or existing development programs without requiring a new permanent subsidy program.</w:t>
      </w:r>
    </w:p>
    <w:p>
      <w:pPr>
        <w:pStyle w:val="Heading2"/>
      </w:pPr>
      <w:bookmarkStart w:id="901674" w:name="_Toc300001673"/>
      <w:r>
        <w:t>Article 43.2Q: Distinctive Products, Authenticity, Specialty Beverages, and Origin Integrity</w:t>
      </w:r>
      <w:bookmarkEnd w:id="901674"/>
    </w:p>
    <w:p>
      <w:pPr>
        <w:pStyle w:val="Normal"/>
      </w:pPr>
      <w:r>
        <w:t>1. The Parties reaffirm protection for distinctive beverage products recognized under applicable law and existing international obligations and shall maintain a North American Distinctive Beverage Products Registry identifying protected names, legal bases, production requirements, and competent authorities.</w:t>
      </w:r>
    </w:p>
    <w:p>
      <w:pPr>
        <w:pStyle w:val="Normal"/>
      </w:pPr>
      <w:r>
        <w:t>2. The Registry may be updated through an agreed technical procedure for additional qualifying products without reopening this Agreement. Recognition shall respect legitimate pre-existing generic uses and shall not automatically extend beyond the legal scope of the underlying protection.</w:t>
      </w:r>
    </w:p>
    <w:p>
      <w:pPr>
        <w:pStyle w:val="Normal"/>
      </w:pPr>
      <w:r>
        <w:t>3. The Parties shall cooperate against counterfeit spirits, false origin claims, fraudulent age or vintage statements, misleading production-method claims, and unauthorized use of protected distinctive-product names.</w:t>
      </w:r>
    </w:p>
    <w:p>
      <w:pPr>
        <w:pStyle w:val="Normal"/>
      </w:pPr>
      <w:r>
        <w:t>4. Rules of origin shall facilitate legitimate North American beverage supply chains, including regional grain, fruit, packaging, and processing inputs, while preventing superficial processing, transshipment, and origin laundering.</w:t>
      </w:r>
    </w:p>
    <w:p>
      <w:pPr>
        <w:pStyle w:val="Normal"/>
      </w:pPr>
      <w:r>
        <w:t>5. Cumulation or regional-content treatment shall not override a distinctive product's legally required geographic production, raw-material, maturation, or processing conditions.</w:t>
      </w:r>
    </w:p>
    <w:p>
      <w:pPr>
        <w:pStyle w:val="Normal"/>
      </w:pPr>
      <w:r>
        <w:t>6. The Parties shall maintain clear treatment for low-alcohol, alcohol-removed, non-alcoholic versions of traditionally alcoholic beverages, alcohol used in foods, flavourings, extracts, and manufacturing, and novel beverage categories through tariff-line crosswalks, advance rulings, or the experimental pathway.</w:t>
      </w:r>
    </w:p>
    <w:p>
      <w:pPr>
        <w:pStyle w:val="Normal"/>
      </w:pPr>
      <w:r>
        <w:t>7. Common or mutually recognized definitions may be developed for useful production and market terms, including beer, wine, spirits, cider, liqueurs, ready-to-drink beverages, craft or small-producer categories, and specialty products, but evolving marketing terms need not be frozen permanently in treaty text.</w:t>
      </w:r>
    </w:p>
    <w:p>
      <w:pPr>
        <w:pStyle w:val="Heading2"/>
      </w:pPr>
      <w:bookmarkStart w:id="901675" w:name="_Toc300001674"/>
      <w:r>
        <w:t>Article 43.2R: Regulatory Interoperability, Testing, Labeling, and Product Approval</w:t>
      </w:r>
      <w:bookmarkEnd w:id="901675"/>
    </w:p>
    <w:p>
      <w:pPr>
        <w:pStyle w:val="Normal"/>
      </w:pPr>
      <w:r>
        <w:t>1. The Parties shall pursue equivalence, interoperability, and mutual recognition where these can reduce unnecessary duplication while preserving each Party's chosen level of health, safety, consumer, and environmental protection.</w:t>
      </w:r>
    </w:p>
    <w:p>
      <w:pPr>
        <w:pStyle w:val="Normal"/>
      </w:pPr>
      <w:r>
        <w:t>2. Results from appropriately accredited laboratories for alcohol-by-volume, composition, contaminants, and other agreed tests shall be accepted where methods and quality systems provide equivalent assurance. A Party may require additional testing on particularized risk evidence.</w:t>
      </w:r>
    </w:p>
    <w:p>
      <w:pPr>
        <w:pStyle w:val="Normal"/>
      </w:pPr>
      <w:r>
        <w:t>3. The Parties shall develop a Common Beverage Information Core covering, as applicable, product identity, alcohol content, net quantity, producer or responsible operator, origin, allergens, lot or traceability information, storage information, and required warnings. Each Party retains its official-language and legitimate public-health presentation requirements.</w:t>
      </w:r>
    </w:p>
    <w:p>
      <w:pPr>
        <w:pStyle w:val="Normal"/>
      </w:pPr>
      <w:r>
        <w:t>4. Electronic labeling may be recognized for supplementary regulatory information where domestic law permits, but essential safety, identity, and consumer information shall remain accessible in the manner required by the destination jurisdiction.</w:t>
      </w:r>
    </w:p>
    <w:p>
      <w:pPr>
        <w:pStyle w:val="Normal"/>
      </w:pPr>
      <w:r>
        <w:t>5. The Parties shall maintain a searchable regulatory crosswalk for permitted additives, processing aids, organic or specialty certification, packaging requirements, testing rules, labeling requirements, and other material market-entry conditions.</w:t>
      </w:r>
    </w:p>
    <w:p>
      <w:pPr>
        <w:pStyle w:val="Normal"/>
      </w:pPr>
      <w:r>
        <w:t>6. Compliance documentation or certification issued by one Party shall satisfy an equivalent requirement of another Party where an equivalence determination has been made. Legal sale in one Party does not by itself compel authorization in another.</w:t>
      </w:r>
    </w:p>
    <w:p>
      <w:pPr>
        <w:pStyle w:val="Normal"/>
      </w:pPr>
      <w:r>
        <w:t>7. Products already lawfully marketed in another Party may qualify for expedited review where the competent authority can rely on recognized evidence without lowering domestic safety standards.</w:t>
      </w:r>
    </w:p>
    <w:p>
      <w:pPr>
        <w:pStyle w:val="Normal"/>
      </w:pPr>
      <w:r>
        <w:t>8. Major new regulatory requirements materially affecting beverage trade should include reasonable transition periods where consistent with the regulatory objective and urgency of the measure.</w:t>
      </w:r>
    </w:p>
    <w:p>
      <w:pPr>
        <w:pStyle w:val="Heading2"/>
      </w:pPr>
      <w:bookmarkStart w:id="901676" w:name="_Toc300001675"/>
      <w:r>
        <w:t>Article 43.2S: Digital Single Window, Customs, Logistics, and Trusted Beverage Operators</w:t>
      </w:r>
      <w:bookmarkEnd w:id="901676"/>
    </w:p>
    <w:p>
      <w:pPr>
        <w:pStyle w:val="Normal"/>
      </w:pPr>
      <w:r>
        <w:t>1. The Parties shall develop interoperable electronic procedures capable of supporting origin, product composition, tax status, licensing, regulatory compliance, customs declarations, and other agreed beverage data through a single-window or functionally equivalent system.</w:t>
      </w:r>
    </w:p>
    <w:p>
      <w:pPr>
        <w:pStyle w:val="Normal"/>
      </w:pPr>
      <w:r>
        <w:t>2. Original paper documents shall not be required where authenticity and integrity can be established electronically and domestic law permits digital submission.</w:t>
      </w:r>
    </w:p>
    <w:p>
      <w:pPr>
        <w:pStyle w:val="Normal"/>
      </w:pPr>
      <w:r>
        <w:t>3. Customs authorities shall use risk-based inspection, pre-arrival processing, pre-clearance, and trusted-trader principles for low-risk beverage shipments. Service targets may be established for priority shipments, subject to inspection, incomplete documentation, security, and safety exceptions.</w:t>
      </w:r>
    </w:p>
    <w:p>
      <w:pPr>
        <w:pStyle w:val="Normal"/>
      </w:pPr>
      <w:r>
        <w:t>4. Reusable bottles, kegs, pallets, casks, and transport containers shall receive simplified temporary-import, return, or duty-suspension treatment where appropriate and consistent with customs and biosecurity requirements.</w:t>
      </w:r>
    </w:p>
    <w:p>
      <w:pPr>
        <w:pStyle w:val="Normal"/>
      </w:pPr>
      <w:r>
        <w:t>5. The Parties shall recognize equivalent treatment or phytosanitary certification for wooden aging casks and comparable packaging where it provides equivalent protection against pests and contamination.</w:t>
      </w:r>
    </w:p>
    <w:p>
      <w:pPr>
        <w:pStyle w:val="Normal"/>
      </w:pPr>
      <w:r>
        <w:t>6. Trusted Beverage Operators with strong compliance histories may qualify for reduced inspection frequency, consolidated or reduced bond requirements, alternative financial security, or other proportionate facilitation benefits.</w:t>
      </w:r>
    </w:p>
    <w:p>
      <w:pPr>
        <w:pStyle w:val="Normal"/>
      </w:pPr>
      <w:r>
        <w:t>7. The Parties shall publish sufficient tariff, excise, markup, fee, and administrative information to allow exporters to estimate expected landed regulatory cost before shipment.</w:t>
      </w:r>
    </w:p>
    <w:p>
      <w:pPr>
        <w:pStyle w:val="Normal"/>
      </w:pPr>
      <w:r>
        <w:t>8. Border agencies shall publish or exchange non-confidential information on significant delays and disruptions so traders can make informed routing decisions.</w:t>
      </w:r>
    </w:p>
    <w:p>
      <w:pPr>
        <w:pStyle w:val="Normal"/>
      </w:pPr>
      <w:r>
        <w:t>9. Nothing in this Article requires a specified blockchain, biometric technology, centralized inventory database, or other proprietary technology. Systems shall be interoperable, secure, proportionate, and technologically neutral.</w:t>
      </w:r>
    </w:p>
    <w:p>
      <w:pPr>
        <w:pStyle w:val="Heading2"/>
      </w:pPr>
      <w:bookmarkStart w:id="901677" w:name="_Toc300001676"/>
      <w:r>
        <w:t>Article 43.2T: Direct Commerce, Experimental Pathways, and Subnational Participation</w:t>
      </w:r>
      <w:bookmarkEnd w:id="901677"/>
    </w:p>
    <w:p>
      <w:pPr>
        <w:pStyle w:val="Normal"/>
      </w:pPr>
      <w:r>
        <w:t>1. The Parties establish a voluntary North American Direct Beverage Commerce Experimental Pathway under which willing provinces, territories, states, and Mexican subnational jurisdictions may test cross-border direct-to-consumer or direct-to-retailer models consistent with domestic law.</w:t>
      </w:r>
    </w:p>
    <w:p>
      <w:pPr>
        <w:pStyle w:val="Normal"/>
      </w:pPr>
      <w:r>
        <w:t>2. Pilots may address licensing, destination-tax collection, quantity limits, carrier qualification, adult-signature requirements, age verification, delivery controls, traceability, returns, consumer protection, small-producer eligibility, and enforcement cooperation.</w:t>
      </w:r>
    </w:p>
    <w:p>
      <w:pPr>
        <w:pStyle w:val="Normal"/>
      </w:pPr>
      <w:r>
        <w:t>3. A pilot shall identify its baseline, variable, eligible population, duration, success metrics, data protections, and exit procedure. Participation creates no permanent market-access entitlement unless expressly adopted through the applicable procedure.</w:t>
      </w:r>
    </w:p>
    <w:p>
      <w:pPr>
        <w:pStyle w:val="Normal"/>
      </w:pPr>
      <w:r>
        <w:t>4. Pilot outcomes may graduate, expand, be modified, expire, or be classified as inconclusive and repeated. Evaluation should consider compliance, tax collection, consumer demand, SME participation, administrative cost, diversion, public-health outcomes, and persistence of trade after promotional support ends.</w:t>
      </w:r>
    </w:p>
    <w:p>
      <w:pPr>
        <w:pStyle w:val="Normal"/>
      </w:pPr>
      <w:r>
        <w:t>5. Canada, Mexico, and the United States may also conduct specialty-product, labeling, customs, logistics, reusable-container, digital-document, and regulatory-equivalence pilots under this Article.</w:t>
      </w:r>
    </w:p>
    <w:p>
      <w:pPr>
        <w:pStyle w:val="Normal"/>
      </w:pPr>
      <w:r>
        <w:t>6. Provinces, territories, U.S. states, and Mexican subnational jurisdictions may participate in technical dialogue and pilots without becoming Parties to this Agreement or acquiring independent treaty-making authority.</w:t>
      </w:r>
    </w:p>
    <w:p>
      <w:pPr>
        <w:pStyle w:val="Normal"/>
      </w:pPr>
      <w:r>
        <w:t>7. Federal authorities shall consult affected subnational governments in good faith before undertaking international commitments whose implementation materially depends on subnational alcohol systems.</w:t>
      </w:r>
    </w:p>
    <w:p>
      <w:pPr>
        <w:pStyle w:val="Heading2"/>
      </w:pPr>
      <w:bookmarkStart w:id="901678" w:name="_Toc300001677"/>
      <w:r>
        <w:t>Article 43.2U: Beverage Safety, Illicit Trade, Recall, and Resilience Cooperation</w:t>
      </w:r>
      <w:bookmarkEnd w:id="901678"/>
    </w:p>
    <w:p>
      <w:pPr>
        <w:pStyle w:val="Normal"/>
      </w:pPr>
      <w:r>
        <w:t>1. The Parties shall cooperate on rapid alerts, recalls, counterfeit or diverted shipments, methanol contamination, adulteration, fraudulent closures or labels, and other serious beverage-safety or illicit-trade risks.</w:t>
      </w:r>
    </w:p>
    <w:p>
      <w:pPr>
        <w:pStyle w:val="Normal"/>
      </w:pPr>
      <w:r>
        <w:t>2. Traceability systems shall use interoperable core data sufficient to identify origin, custody, lot, and recall information without requiring disclosure of unnecessary commercially sensitive information.</w:t>
      </w:r>
    </w:p>
    <w:p>
      <w:pPr>
        <w:pStyle w:val="Normal"/>
      </w:pPr>
      <w:r>
        <w:t>3. Emergency health and safety action may be taken immediately where reasonably necessary. Such action shall be reviewed when practicable and shall not be maintained as disguised trade protection after the underlying risk has been addressed.</w:t>
      </w:r>
    </w:p>
    <w:p>
      <w:pPr>
        <w:pStyle w:val="Normal"/>
      </w:pPr>
      <w:r>
        <w:t>4. The Parties may cooperate on resilience of critical beverage inputs and packaging, including bottles, cans, closures, labels, kegs, casks, grain, fruit, agave, and logistics capacity, principally through market information, supplier matching, contingency planning, and voluntary commercial arrangements.</w:t>
      </w:r>
    </w:p>
    <w:p>
      <w:pPr>
        <w:pStyle w:val="Normal"/>
      </w:pPr>
      <w:r>
        <w:t>5. Cooperation on sustainability may include packaging efficiency, recycling information, lower-emission logistics, water efficiency, and voluntary environmental performance tools, but shall not require harmonization of domestic environmental or resource-management policy.</w:t>
      </w:r>
    </w:p>
    <w:p>
      <w:pPr>
        <w:pStyle w:val="Normal"/>
      </w:pPr>
      <w:r>
        <w:t>6. The Parties shall facilitate continuity of lawful beverage and essential input movements during disasters and acute transport disruptions, subject to public-health, security, customs, and safety requirements.</w:t>
      </w:r>
    </w:p>
    <w:p>
      <w:pPr>
        <w:pStyle w:val="Heading2"/>
      </w:pPr>
      <w:bookmarkStart w:id="901679" w:name="_Toc300001678"/>
      <w:r>
        <w:t>Article 43.2V: Transparency, Advance Rulings, Regulatory Change, and No-Surprises Rule</w:t>
      </w:r>
      <w:bookmarkEnd w:id="901679"/>
    </w:p>
    <w:p>
      <w:pPr>
        <w:pStyle w:val="Normal"/>
      </w:pPr>
      <w:r>
        <w:t>1. The Secretariat shall maintain or link to a North American Beverage Rules Gateway through which traders can identify applicable tariffs, taxes, markups, fees, product definitions, testing requirements, labeling obligations, approved additives, distinctive-product rules, origin requirements, customs documents, direct-commerce eligibility, and published processing targets.</w:t>
      </w:r>
    </w:p>
    <w:p>
      <w:pPr>
        <w:pStyle w:val="Normal"/>
      </w:pPr>
      <w:r>
        <w:t>2. Where the Gateway does not resolve a material classification, origin, labeling, certification, or market-entry question, an affected trader may request an advance ruling or comparable written determination under applicable domestic procedures.</w:t>
      </w:r>
    </w:p>
    <w:p>
      <w:pPr>
        <w:pStyle w:val="Normal"/>
      </w:pPr>
      <w:r>
        <w:t>3. Non-confidential rulings and technical determinations should be published in searchable form and should guide materially equivalent cases, subject to domestic law.</w:t>
      </w:r>
    </w:p>
    <w:p>
      <w:pPr>
        <w:pStyle w:val="Normal"/>
      </w:pPr>
      <w:r>
        <w:t>4. A Party shall, where practicable, provide advance notice of a material alcohol measure reasonably expected to affect access under this Framework, together with the measure's objective and an opportunity for consultation. Emergency public-health or safety measures may take effect without prior notice.</w:t>
      </w:r>
    </w:p>
    <w:p>
      <w:pPr>
        <w:pStyle w:val="Normal"/>
      </w:pPr>
      <w:r>
        <w:t>5. Before introducing a materially discriminatory emergency trade restriction affecting beverage alcohol, a Party shall consult where practicable and identify the underlying measure or circumstance giving rise to the action.</w:t>
      </w:r>
    </w:p>
    <w:p>
      <w:pPr>
        <w:pStyle w:val="Normal"/>
      </w:pPr>
      <w:r>
        <w:t>6. If a Party subsequently grants materially more favorable market-access treatment to a non-Party for a directly comparable beverage category, another Party may request consultation concerning whether an adjustment is appropriate. This paragraph creates no automatic entitlement, most-favored-nation obligation beyond existing commitments, or right to retaliate.</w:t>
      </w:r>
    </w:p>
    <w:p>
      <w:pPr>
        <w:pStyle w:val="Normal"/>
      </w:pPr>
      <w:r>
        <w:t>7. Public reporting under this Framework shall protect confidential business information, personal information, proprietary formulations, and commercially sensitive pricing.</w:t>
      </w:r>
    </w:p>
    <w:p>
      <w:pPr>
        <w:pStyle w:val="TrumpVisibilityHeadline"/>
      </w:pPr>
      <w:r>
        <w:t xml:space="preserve">★ </w:t>
      </w:r>
      <w:r>
        <w:t>VISIBLE U.S. WIN: AMERICAN WINE, SPIRITS, AND BEER RETURN TO CANADIAN SHELVES WITH TARIFF NORMALIZATION</w:t>
      </w:r>
    </w:p>
    <w:p>
      <w:pPr>
        <w:pStyle w:val="Heading2"/>
      </w:pPr>
      <w:bookmarkStart w:id="901680" w:name="_Toc300001679"/>
      <w:r>
        <w:t>Article 43.2W: Safeguards, Cothrom Review, De-escalation, and Alcohol Peace Clause</w:t>
      </w:r>
      <w:bookmarkEnd w:id="901680"/>
    </w:p>
    <w:p>
      <w:pPr>
        <w:pStyle w:val="Normal"/>
      </w:pPr>
      <w:r>
        <w:t>1. A Party alleging a violation of this Framework shall ordinarily begin with technical consultation. The default sequence shall provide for consultation within 10 days, focused evidence exchange and cure discussions, accelerated Cothrom factual review where unresolved, a reasonable correction period, and proportionate remedy only where non-compliance persists.</w:t>
      </w:r>
    </w:p>
    <w:p>
      <w:pPr>
        <w:pStyle w:val="Normal"/>
      </w:pPr>
      <w:r>
        <w:t>2. Cothrom review shall distinguish legitimate regulatory diversity from discriminatory administration, identify the narrowest sufficient cure, and consider actual commercial effects, public-health objectives, subnational competence, and reasonable alternatives.</w:t>
      </w:r>
    </w:p>
    <w:p>
      <w:pPr>
        <w:pStyle w:val="Normal"/>
      </w:pPr>
      <w:r>
        <w:t>3. Temporary safeguards addressing serious market disruption shall be evidence-based, product-specific or otherwise narrowly tailored, time-limited, notified, periodically reviewed, and progressively removed as conditions improve.</w:t>
      </w:r>
    </w:p>
    <w:p>
      <w:pPr>
        <w:pStyle w:val="Normal"/>
      </w:pPr>
      <w:r>
        <w:t>4. A Party found non-compliant shall receive a reasonable opportunity to cure before compensatory or retaliatory measures are authorized, except where immediate action is necessary to protect health, safety, or prevent irreparable harm.</w:t>
      </w:r>
    </w:p>
    <w:p>
      <w:pPr>
        <w:pStyle w:val="Normal"/>
      </w:pPr>
      <w:r>
        <w:t>5. Remedies should remain within the beverage alcohol sub-module where practicable. Unrelated cross-sector retaliation shall be a last resort and shall not be manifestly disproportionate to the verified impairment.</w:t>
      </w:r>
    </w:p>
    <w:p>
      <w:pPr>
        <w:pStyle w:val="Normal"/>
      </w:pPr>
      <w:r>
        <w:t>6. Except in urgent circumstances, a Party shall observe a de-escalation period before imposing new retaliatory beverage measures, during which the Parties shall use consultation, mediation where mutually accepted, and Cothrom review to seek resolution.</w:t>
      </w:r>
    </w:p>
    <w:p>
      <w:pPr>
        <w:pStyle w:val="Normal"/>
      </w:pPr>
      <w:r>
        <w:t>7. During an Alcohol Stability Period established by a written Commission decision, a Party in material compliance with this Framework shall not be required to renegotiate settled beverage market-access commitments solely because political preferences or market shares have changed. The initial Alcohol Stability Period is five years from the effective date specified in that decision.</w:t>
      </w:r>
    </w:p>
    <w:p>
      <w:pPr>
        <w:pStyle w:val="Normal"/>
      </w:pPr>
      <w:r>
        <w:t>8. The Alcohol Stability Period shall renew automatically for successive five-year periods unless the Parties agree otherwise or, before the renewal date, an independent Cothrom review requested by a Party establishes on the record a persistent material failure that has not been cured after a reasonable cure opportunity. The Cothrom determination shall state reasons and is final for purposes of renewal, without prejudice to Chapter 31 review of an alleged failure to follow the required procedure. Failure to agree on amendments at review leaves the existing Framework in force.</w:t>
      </w:r>
    </w:p>
    <w:p>
      <w:pPr>
        <w:pStyle w:val="Normal"/>
      </w:pPr>
      <w:r>
        <w:t>9. Ordinary listing, licensing, markup, or distribution disagreements do not by themselves justify extraordinary economic-security measures against unrelated sectors.</w:t>
      </w:r>
    </w:p>
    <w:p>
      <w:pPr>
        <w:pStyle w:val="Normal"/>
      </w:pPr>
      <w:r>
        <w:t>10. The Parties shall use existing institutions wherever practicable and shall not create a new permanent committee, forum, summit, alliance, or arbitration body where the Commission, Secretariat, Cothrom process, customs cooperation mechanisms, or existing regulators can perform the function.</w:t>
      </w:r>
    </w:p>
    <w:p>
      <w:pPr>
        <w:pStyle w:val="Heading2"/>
      </w:pPr>
      <w:bookmarkStart w:id="901681" w:name="_Toc300001680"/>
      <w:r>
        <w:t>Article 43.2W.1: Beverage Listing Transparency and Special-Order Access</w:t>
      </w:r>
      <w:bookmarkEnd w:id="901681"/>
    </w:p>
    <w:p>
      <w:pPr>
        <w:pStyle w:val="Normal"/>
      </w:pPr>
      <w:r>
        <w:t>1. A government-controlled or government-authorized beverage distribution system covered by this Chapter should publish objective material criteria governing listings, tenders, delistings, material service fees, and comparable access decisions.</w:t>
      </w:r>
    </w:p>
    <w:p>
      <w:pPr>
        <w:pStyle w:val="Normal"/>
      </w:pPr>
      <w:r>
        <w:t>2. Where a product is not carried as an ordinary stocked listing, a jurisdiction may satisfy part of its effective-access obligation through a commercially usable special-order, agency, private-order, or comparable channel that preserves lawful taxation, age controls, and distribution oversight.</w:t>
      </w:r>
    </w:p>
    <w:p>
      <w:pPr>
        <w:pStyle w:val="Normal"/>
      </w:pPr>
      <w:r>
        <w:t>3. A supplier should receive reasonable notice and, where practicable, reasons before a commercially material delisting based on non-emergency grounds. Nothing requires retention of a poorly performing product under neutral commercial criteria.</w:t>
      </w:r>
    </w:p>
    <w:p>
      <w:pPr>
        <w:pStyle w:val="Heading2"/>
      </w:pPr>
      <w:bookmarkStart w:id="901682" w:name="_Toc300001681"/>
      <w:r>
        <w:t>Article 43.2W.2: North American Small Beverage Producer Gateway</w:t>
      </w:r>
      <w:bookmarkEnd w:id="901682"/>
    </w:p>
    <w:p>
      <w:pPr>
        <w:pStyle w:val="Normal"/>
      </w:pPr>
      <w:r>
        <w:t>1. The Parties shall facilitate proportionate procedures for qualifying small and independent breweries, wineries, cideries, distilleries, agave-spirit producers, and other specialty beverage producers seeking access to another Party.</w:t>
      </w:r>
    </w:p>
    <w:p>
      <w:pPr>
        <w:pStyle w:val="Normal"/>
      </w:pPr>
      <w:r>
        <w:t>2. Facilitation may include consolidated forms, electronic submissions, shared testing evidence, small-lot procedures, special-order channels, supplier education, and transparent points of contact.</w:t>
      </w:r>
    </w:p>
    <w:p>
      <w:pPr>
        <w:pStyle w:val="Normal"/>
      </w:pPr>
      <w:r>
        <w:t>3. Small-producer treatment shall be Party-neutral and shall not guarantee shelf space or exempt a product from legitimate health, safety, tax, labeling, or distinctive-product requirements.</w:t>
      </w:r>
    </w:p>
    <w:p>
      <w:pPr>
        <w:pStyle w:val="Heading2"/>
      </w:pPr>
      <w:bookmarkStart w:id="901683" w:name="_Toc300001682"/>
      <w:r>
        <w:t>Article 43.2W.3: North American Beverage Inputs and Packaging Cooperation</w:t>
      </w:r>
      <w:bookmarkEnd w:id="901683"/>
    </w:p>
    <w:p>
      <w:pPr>
        <w:pStyle w:val="Normal"/>
      </w:pPr>
      <w:r>
        <w:t>1. The Parties shall facilitate resilient supply chains for originating beverage inputs and packaging, including grain, fruit, agave, oak and other lawful wood inputs, glass, aluminum containers, closures, labels, and other commercially significant materials.</w:t>
      </w:r>
    </w:p>
    <w:p>
      <w:pPr>
        <w:pStyle w:val="Normal"/>
      </w:pPr>
      <w:r>
        <w:t>2. Cooperation may address shortages, customs classification, recycled content, packaging compatibility, and emergency sourcing without overriding distinctive-product geographic or production requirements.</w:t>
      </w:r>
    </w:p>
    <w:p>
      <w:pPr>
        <w:pStyle w:val="Normal"/>
      </w:pPr>
      <w:r>
        <w:t>3. This Article shall be implemented consistently with Chapters 37, 42, 49, and 55 so that an emergency or industrial-support measure does not inadvertently discriminate among equivalent originating beverage producers.</w:t>
      </w:r>
    </w:p>
    <w:p>
      <w:pPr>
        <w:pStyle w:val="Heading2"/>
      </w:pPr>
      <w:bookmarkStart w:id="901684" w:name="_Toc300001683"/>
      <w:r>
        <w:rPr>
          <w:b/>
        </w:rPr>
        <w:t>Article 43.2W.4: Subnational Implementation Flexibility and Nationality-Neutral Compliance</w:t>
      </w:r>
      <w:bookmarkEnd w:id="901684"/>
    </w:p>
    <w:p>
      <w:pPr>
        <w:pStyle w:val="Normal"/>
      </w:pPr>
      <w:r>
        <w:rPr>
          <w:b w:val="0"/>
        </w:rPr>
      </w:r>
      <w:r>
        <w:rPr>
          <w:b/>
        </w:rPr>
        <w:t xml:space="preserve">Provincial and State Choice of Means. </w:t>
      </w:r>
      <w:r>
        <w:t>Each Party shall ensure compliance with this Framework while respecting the constitutional allocation of authority within that Party. A province, territory, state, or other subnational jurisdiction may choose the lawful retail, wholesale, agency, special-order, private-order, e-commerce, or other distribution mechanism through which it provides compliant access. Nothing requires subnational jurisdictions to maintain identical liquor systems, product assortments, retail structures, or implementation methods. Compliance shall turn on commercially meaningful and nationality-neutral treatment rather than institutional uniformity.</w:t>
      </w:r>
    </w:p>
    <w:p>
      <w:pPr>
        <w:pStyle w:val="Normal"/>
      </w:pPr>
      <w:r>
        <w:rPr>
          <w:b w:val="0"/>
        </w:rPr>
      </w:r>
      <w:r>
        <w:rPr>
          <w:b/>
        </w:rPr>
        <w:t xml:space="preserve">No Nationality-Based Categorical Exclusion. </w:t>
      </w:r>
      <w:r>
        <w:t>A governmental or government-authorized alcohol system shall not categorically exclude a covered product because it originates in another Party. A measure shall also be inconsistent where nationality is the operative reason for a listing, delisting, suspension, distribution, purchasing, or channel-access restriction. Neutral commercial, health, safety, licensing, supply, contractual, or regulatory criteria remain permissible when applied without disguised discrimination. The existence of different outcomes among products does not by itself establish nationality discrimination.</w:t>
      </w:r>
    </w:p>
    <w:p>
      <w:pPr>
        <w:pStyle w:val="Normal"/>
      </w:pPr>
      <w:r>
        <w:rPr>
          <w:b w:val="0"/>
        </w:rPr>
      </w:r>
      <w:r>
        <w:rPr>
          <w:b/>
        </w:rPr>
        <w:t xml:space="preserve">Province-Specific Compliance. </w:t>
      </w:r>
      <w:r>
        <w:t>Where an alleged violation arises from a particular subnational measure, the factual review shall identify the responsible jurisdiction, measure, affected product category, and material commercial effect. Canada, the United States, or Mexico, as applicable, remains internationally responsible for compliance but may work with the affected subnational authority on the method of cure. Non-compliance by one subnational jurisdiction shall not create a presumption that other subnational jurisdictions are non-compliant. Remedies shall therefore be targeted to the verified impairment to the greatest extent practicable.</w:t>
      </w:r>
    </w:p>
    <w:p>
      <w:pPr>
        <w:pStyle w:val="Normal"/>
      </w:pPr>
      <w:r>
        <w:rPr>
          <w:b w:val="0"/>
        </w:rPr>
      </w:r>
      <w:r>
        <w:rPr>
          <w:b/>
        </w:rPr>
        <w:t xml:space="preserve">No Uniform Shelf Mandate. </w:t>
      </w:r>
      <w:r>
        <w:t>Nothing in this Framework guarantees any supplier permanent physical shelf space, minimum purchases, promotional expenditure, market share, or a particular store location. A jurisdiction may use commercially neutral listing cycles, assortment management, sales-performance thresholds, inventory controls, and category strategies. Where physical stocking is not commercially justified, a commercially usable special-order, wholesale, agency, online, private-retail, or comparable lawful channel may contribute to effective access. Such alternatives shall not be designed or administered as a nominal route that is commercially unusable in practice.</w:t>
      </w:r>
    </w:p>
    <w:p>
      <w:pPr>
        <w:pStyle w:val="Normal"/>
      </w:pPr>
      <w:r>
        <w:rPr>
          <w:b w:val="0"/>
        </w:rPr>
      </w:r>
      <w:r>
        <w:rPr>
          <w:b/>
        </w:rPr>
        <w:t xml:space="preserve">Subnational Consultation. </w:t>
      </w:r>
      <w:r>
        <w:t>Each Party shall maintain a practical channel for consultation with affected provincial, territorial, state, or other subnational alcohol authorities. Subnational authorities may participate directly in technical consultations concerning their own measures without becoming separate Parties to this Agreement. Participation shall facilitate accurate fact finding, implementation choices, and rapid cure of administrative problems. Federal participation remains sufficient to preserve each Party's international responsibility and the operation of Chapter 31.</w:t>
      </w:r>
    </w:p>
    <w:p>
      <w:pPr>
        <w:pStyle w:val="Normal"/>
      </w:pPr>
      <w:r>
        <w:rPr>
          <w:b w:val="0"/>
        </w:rPr>
      </w:r>
      <w:r>
        <w:rPr>
          <w:b/>
        </w:rPr>
        <w:t xml:space="preserve">No Constitutional Reallocation. </w:t>
      </w:r>
      <w:r>
        <w:t>Nothing in this Framework transfers legislative, taxing, licensing, retail, wholesale, public-health, or distribution authority from a subnational government to the federal government. Nothing requires privatization or abolition of a public liquor authority. Nothing prevents a subnational government from adopting stricter origin-neutral public-health rules within its lawful competence. The obligation is to administer covered trade treatment consistently with this Agreement, not to redesign the constitutional federation.</w:t>
      </w:r>
    </w:p>
    <w:p>
      <w:pPr>
        <w:pStyle w:val="Heading2"/>
      </w:pPr>
      <w:bookmarkStart w:id="901685" w:name="_Toc300001684"/>
      <w:r>
        <w:rPr>
          <w:b/>
        </w:rPr>
        <w:t>Article 43.2W.5: Restoration of Products Affected by Nationality-Specific Delisting</w:t>
      </w:r>
      <w:bookmarkEnd w:id="901685"/>
    </w:p>
    <w:p>
      <w:pPr>
        <w:pStyle w:val="Normal"/>
      </w:pPr>
      <w:r>
        <w:rPr>
          <w:b w:val="0"/>
        </w:rPr>
      </w:r>
      <w:r>
        <w:rPr>
          <w:b/>
        </w:rPr>
        <w:t xml:space="preserve">Restoration Obligation. </w:t>
      </w:r>
      <w:r>
        <w:t>A product removed, suspended, or made commercially unavailable solely or materially because of its origin in another Party shall receive a genuine pathway back into ordinary commerce. Restoration may occur through relisting, reinstatement, reactivation of a supplier account, renewed wholesale eligibility, special-order access, private-retail access, e-commerce access, or another commercially meaningful mechanism permitted by the jurisdiction. The jurisdiction need not guarantee that every previously stocked product returns to the identical shelf or store. The restoration mechanism shall remove the nationality-based disability and provide a fair opportunity to compete under the rules then applicable to comparable products.</w:t>
      </w:r>
    </w:p>
    <w:p>
      <w:pPr>
        <w:pStyle w:val="Normal"/>
      </w:pPr>
      <w:r>
        <w:rPr>
          <w:b w:val="0"/>
        </w:rPr>
      </w:r>
      <w:r>
        <w:rPr>
          <w:b/>
        </w:rPr>
        <w:t xml:space="preserve">Transition Period. </w:t>
      </w:r>
      <w:r>
        <w:t>Each Party shall identify covered nationality-specific restrictions existing on the date this Framework takes effect and begin their termination without undue delay. An affected jurisdiction shall publish or communicate its compliant restoration pathway within 30 days and make that pathway operational within 60 days, unless a documented technical obstacle reasonably requires additional time. Any extension shall identify the obstacle, interim access available, responsible authority, and expected completion date. The transition shall not be used to prolong a categorical nationality exclusion after the underlying retaliatory policy has ended.</w:t>
      </w:r>
    </w:p>
    <w:p>
      <w:pPr>
        <w:pStyle w:val="Normal"/>
      </w:pPr>
      <w:r>
        <w:rPr>
          <w:b w:val="0"/>
        </w:rPr>
      </w:r>
      <w:r>
        <w:rPr>
          <w:b/>
        </w:rPr>
        <w:t xml:space="preserve">Preservation of Prior Regulatory Work. </w:t>
      </w:r>
      <w:r>
        <w:t>Where a previously listed product returns through the restoration pathway, valid prior registrations, laboratory results, label reviews, supplier records, product identifiers, and other regulatory work shall be reused to the extent they remain current and legally sufficient. Authorities may require updated information where law, product composition, ownership, safety information, or material circumstances have changed. They shall not require a supplier to repeat completed procedures solely because the product was previously removed for nationality-based reasons. This paragraph does not prevent proportionate verification needed to confirm continuing compliance.</w:t>
      </w:r>
    </w:p>
    <w:p>
      <w:pPr>
        <w:pStyle w:val="Normal"/>
      </w:pPr>
      <w:r>
        <w:rPr>
          <w:b w:val="0"/>
        </w:rPr>
      </w:r>
      <w:r>
        <w:rPr>
          <w:b/>
        </w:rPr>
        <w:t xml:space="preserve">Restoration Fee Relief. </w:t>
      </w:r>
      <w:r>
        <w:t>A jurisdiction shall not impose a reinstatement charge that effectively makes the supplier pay for curing a nationality-specific governmental delisting. Application, reactivation, or comparable administrative fees shall be waived or credited where the same fee would not have arisen but for the covered delisting, unless a distinct new service is actually required. Ordinary future fees may resume on the same origin-neutral basis applicable to comparable suppliers. Fee relief does not exempt the supplier from taxes, deposits, service costs, or regulatory charges unrelated to restoration.</w:t>
      </w:r>
    </w:p>
    <w:p>
      <w:pPr>
        <w:pStyle w:val="Normal"/>
      </w:pPr>
      <w:r>
        <w:rPr>
          <w:b w:val="0"/>
        </w:rPr>
      </w:r>
      <w:r>
        <w:rPr>
          <w:b/>
        </w:rPr>
        <w:t xml:space="preserve">Expedited Restoration Review. </w:t>
      </w:r>
      <w:r>
        <w:t>A complete restoration application relying substantially on previously approved information should receive a decision within 15 business days where practicable. If additional information is required, the authority shall identify the missing item promptly and the clock may pause only for the period reasonably necessary to obtain it. A refusal shall state the material commercial or regulatory basis and identify any available reconsideration or appeal route. Failure to meet the target does not automatically list a product, but persistent unexplained delay may be reviewed under Cothrom.</w:t>
      </w:r>
    </w:p>
    <w:p>
      <w:pPr>
        <w:pStyle w:val="Normal"/>
      </w:pPr>
      <w:r>
        <w:rPr>
          <w:b w:val="0"/>
        </w:rPr>
      </w:r>
      <w:r>
        <w:rPr>
          <w:b/>
        </w:rPr>
        <w:t xml:space="preserve">No Acquired Right to Commercial Success. </w:t>
      </w:r>
      <w:r>
        <w:t>Restoration corrects discriminatory governmental treatment and does not create an acquired right to future commercial success. After restoration, a product may be delisted, reduced, moved, repriced, or discontinued under objective criteria applied on an origin-neutral basis. Previous sales performance may be considered where reliable, but a jurisdiction may reasonably account for the interruption caused by the discriminatory delisting. No supplier is entitled to perpetual listing, guaranteed sales volume, minimum shelf position, or compensation for ordinary post-restoration market performance.</w:t>
      </w:r>
    </w:p>
    <w:p>
      <w:pPr>
        <w:pStyle w:val="Heading2"/>
      </w:pPr>
      <w:bookmarkStart w:id="901686" w:name="_Toc300001685"/>
      <w:r>
        <w:rPr>
          <w:b/>
        </w:rPr>
        <w:t>Article 43.2W.6: Listing, Category Management, and Commercial Performance Neutrality</w:t>
      </w:r>
      <w:bookmarkEnd w:id="901686"/>
    </w:p>
    <w:p>
      <w:pPr>
        <w:pStyle w:val="Normal"/>
      </w:pPr>
      <w:r>
        <w:rPr>
          <w:b w:val="0"/>
        </w:rPr>
      </w:r>
      <w:r>
        <w:rPr>
          <w:b/>
        </w:rPr>
        <w:t xml:space="preserve">Objective Listing Criteria. </w:t>
      </w:r>
      <w:r>
        <w:t>Governmental alcohol authorities shall publish or otherwise make reasonably available the material criteria used for listings, tenders, category reviews, renewals, and delistings. Criteria may include consumer demand, quality, price point, supply reliability, product differentiation, sales velocity, inventory turnover, seasonal relevance, and lawful policy objectives. Criteria shall be administered without nationality-based preferences or disguised exclusions. Nothing requires an authority to accept every product that satisfies minimum regulatory requirements.</w:t>
      </w:r>
    </w:p>
    <w:p>
      <w:pPr>
        <w:pStyle w:val="Normal"/>
      </w:pPr>
      <w:r>
        <w:rPr>
          <w:b w:val="0"/>
        </w:rPr>
      </w:r>
      <w:r>
        <w:rPr>
          <w:b/>
        </w:rPr>
        <w:t xml:space="preserve">Category and SKU Management. </w:t>
      </w:r>
      <w:r>
        <w:t>A jurisdiction may limit the number of products or stock-keeping units within a category for legitimate commercial or operational reasons. It shall not establish a numerical cap specifically against products of another Party or manipulate category definitions to produce substantially the same nationality-specific result. Category rules shall be sufficiently transparent for suppliers to understand the material basis of access decisions. A complainant challenging a neutral category rule shall identify evidence of materially discriminatory design, operation, or effect.</w:t>
      </w:r>
    </w:p>
    <w:p>
      <w:pPr>
        <w:pStyle w:val="Normal"/>
      </w:pPr>
      <w:r>
        <w:rPr>
          <w:b w:val="0"/>
        </w:rPr>
      </w:r>
      <w:r>
        <w:rPr>
          <w:b/>
        </w:rPr>
        <w:t xml:space="preserve">Performance Data. </w:t>
      </w:r>
      <w:r>
        <w:t>Where a governmental alcohol authority provides domestic suppliers with product-specific sales, inventory, turnover, or comparable performance data used for listing decisions, it shall provide materially equivalent access to such data for suppliers from another Party concerning their own products. Confidential information concerning competing suppliers need not be disclosed. Data access may be subject to reasonable security, privacy, and cost-recovery rules applied on an origin-neutral basis. Suppliers shall receive enough information to understand and, where possible, improve commercial performance.</w:t>
      </w:r>
    </w:p>
    <w:p>
      <w:pPr>
        <w:pStyle w:val="Normal"/>
      </w:pPr>
      <w:r>
        <w:rPr>
          <w:b w:val="0"/>
        </w:rPr>
      </w:r>
      <w:r>
        <w:rPr>
          <w:b/>
        </w:rPr>
        <w:t xml:space="preserve">Minimum Commercial Trial. </w:t>
      </w:r>
      <w:r>
        <w:t>Where a new listing is subject to a commercial trial period, the period and evaluation criteria shall be origin-neutral and reasonably sufficient to generate meaningful performance information. A jurisdiction may use different trial periods for different product categories, seasons, channels, or store formats where commercially justified. A product shall not receive an artificially abbreviated trial because it originates in another Party. This paragraph does not prevent immediate removal for safety, fraud, supply failure, legal non-compliance, or other serious cause.</w:t>
      </w:r>
    </w:p>
    <w:p>
      <w:pPr>
        <w:pStyle w:val="Normal"/>
      </w:pPr>
      <w:r>
        <w:rPr>
          <w:b w:val="0"/>
        </w:rPr>
      </w:r>
      <w:r>
        <w:rPr>
          <w:b/>
        </w:rPr>
        <w:t xml:space="preserve">Private Label and House Brand Neutrality. </w:t>
      </w:r>
      <w:r>
        <w:t>A public liquor authority may develop, procure, or sell private-label and house-brand products in accordance with domestic law. It shall not use governmental control of listings, shelf placement, pricing, or distribution to confer a nationality-based advantage on such products over like products from another Party. Commercial differentiation based on contract terms, quality, margin, demand, exclusivity, or other origin-neutral factors remains permissible. Procurement of private-label products remains subject to otherwise applicable obligations and exceptions under this Agreement.</w:t>
      </w:r>
    </w:p>
    <w:p>
      <w:pPr>
        <w:pStyle w:val="Normal"/>
      </w:pPr>
      <w:r>
        <w:rPr>
          <w:b w:val="0"/>
        </w:rPr>
      </w:r>
      <w:r>
        <w:rPr>
          <w:b/>
        </w:rPr>
        <w:t xml:space="preserve">New and Seasonal Categories. </w:t>
      </w:r>
      <w:r>
        <w:t>New, seasonal, limited-release, low-alcohol, no-alcohol, ready-to-drink, specialty, heritage, organic, or other emerging beverage categories shall be administered on an origin-neutral basis where they fall within the legal scope of the alcohol system. A jurisdiction may establish category-specific standards that reflect genuine differences in product characteristics or regulatory risk. Another Party's product shall have a fair opportunity to qualify under those standards. Nothing requires creation of a category or sales channel that the jurisdiction does not otherwise maintain.</w:t>
      </w:r>
    </w:p>
    <w:p>
      <w:pPr>
        <w:pStyle w:val="Heading2"/>
      </w:pPr>
      <w:bookmarkStart w:id="901687" w:name="_Toc300001686"/>
      <w:r>
        <w:rPr>
          <w:b/>
        </w:rPr>
        <w:t>Article 43.2W.7: Pricing, Markups, Fees, and Minimum-Price Neutrality</w:t>
      </w:r>
      <w:bookmarkEnd w:id="901687"/>
    </w:p>
    <w:p>
      <w:pPr>
        <w:pStyle w:val="Normal"/>
      </w:pPr>
      <w:r>
        <w:rPr>
          <w:b w:val="0"/>
        </w:rPr>
      </w:r>
      <w:r>
        <w:rPr>
          <w:b/>
        </w:rPr>
        <w:t xml:space="preserve">Markup Neutrality. </w:t>
      </w:r>
      <w:r>
        <w:t>A governmental alcohol authority shall not apply a higher markup to a like product merely because that product originates in another Party. Different markups may reflect objectively demonstrable differences in service, distribution, handling, storage, channel, package format, regulatory cost, or other legitimate factors. The material pricing formula or methodology shall be reasonably transparent. A claimed cost-of-service differential shall be capable of factual explanation and review.</w:t>
      </w:r>
    </w:p>
    <w:p>
      <w:pPr>
        <w:pStyle w:val="Normal"/>
      </w:pPr>
      <w:r>
        <w:rPr>
          <w:b w:val="0"/>
        </w:rPr>
      </w:r>
      <w:r>
        <w:rPr>
          <w:b/>
        </w:rPr>
        <w:t xml:space="preserve">Minimum-Price Neutrality. </w:t>
      </w:r>
      <w:r>
        <w:t>A Party or subnational jurisdiction may maintain lawful minimum pricing policies for public-health, social-policy, commercial, or other legitimate purposes. Such policies shall not establish a higher minimum solely for products originating in another Party or be structured to exclude those products through disguised origin discrimination. Different minimums among beverage categories remain permissible where based on origin-neutral criteria. Nothing in this paragraph requires harmonization of provincial, state, territorial, or national minimum-price policies.</w:t>
      </w:r>
    </w:p>
    <w:p>
      <w:pPr>
        <w:pStyle w:val="Normal"/>
      </w:pPr>
      <w:r>
        <w:rPr>
          <w:b w:val="0"/>
        </w:rPr>
      </w:r>
      <w:r>
        <w:rPr>
          <w:b/>
        </w:rPr>
        <w:t xml:space="preserve">Fee Neutrality. </w:t>
      </w:r>
      <w:r>
        <w:t>Listing, renewal, testing, warehousing, handling, recycling, deposit, fulfillment, and other governmental or government-authorized fees shall be administered on an origin-neutral basis. A fee may differ where the service actually provided or regulatory cost materially differs. Authorities shall distinguish taxes and fiscal charges from commercial or service fees sufficiently to permit review of alleged discrimination. A difference in amount alone does not establish a violation where the underlying cost or service difference is genuine.</w:t>
      </w:r>
    </w:p>
    <w:p>
      <w:pPr>
        <w:pStyle w:val="Normal"/>
      </w:pPr>
      <w:r>
        <w:rPr>
          <w:b w:val="0"/>
        </w:rPr>
      </w:r>
      <w:r>
        <w:rPr>
          <w:b/>
        </w:rPr>
        <w:t xml:space="preserve">No Origin-Based Surcharge. </w:t>
      </w:r>
      <w:r>
        <w:t>A governmental alcohol system shall not impose a surcharge, special levy, punitive service fee, or equivalent charge solely because a covered product originates in another Party. This prohibition applies regardless of the label attached to the charge. It does not prevent generally applicable taxes, deposits, recycling charges, public-health levies, or cost-based service fees. A charge adopted in response to an unrelated trade dispute shall be subject to the cross-sector non-retaliation rule in Article 43.2W.10.</w:t>
      </w:r>
    </w:p>
    <w:p>
      <w:pPr>
        <w:pStyle w:val="Normal"/>
      </w:pPr>
      <w:r>
        <w:rPr>
          <w:b w:val="0"/>
        </w:rPr>
      </w:r>
      <w:r>
        <w:rPr>
          <w:b/>
        </w:rPr>
        <w:t xml:space="preserve">Pricing Transparency. </w:t>
      </w:r>
      <w:r>
        <w:t>Each governmental alcohol authority shall make reasonably available the principal components of its pricing methodology, including applicable markups, taxes, deposits, and material service charges. Publication may use formulas, schedules, explanatory guidance, or representative worked examples and need not disclose confidential supplier information. Material changes affecting covered products should be notified with reasonable advance time where practicable. Emergency fiscal or public-health action may take effect sooner if accompanied by prompt explanation.</w:t>
      </w:r>
    </w:p>
    <w:p>
      <w:pPr>
        <w:pStyle w:val="Normal"/>
      </w:pPr>
      <w:r>
        <w:rPr>
          <w:b w:val="0"/>
        </w:rPr>
      </w:r>
      <w:r>
        <w:rPr>
          <w:b/>
        </w:rPr>
        <w:t xml:space="preserve">No Mandatory Currency Formula. </w:t>
      </w:r>
      <w:r>
        <w:t>Nothing in this Framework requires a jurisdiction to adopt an automatic exchange-rate adjustment formula or to insulate suppliers from ordinary currency risk. Currency conversion practices used by a governmental alcohol authority shall nevertheless be applied on an origin-neutral basis. A Party may request technical consultation where a conversion methodology appears persistently to create unexplained discriminatory treatment. Review shall focus on administration and commercial effect rather than the mere existence of exchange-rate movements.</w:t>
      </w:r>
    </w:p>
    <w:p>
      <w:pPr>
        <w:pStyle w:val="Heading2"/>
      </w:pPr>
      <w:bookmarkStart w:id="901688" w:name="_Toc300001687"/>
      <w:r>
        <w:rPr>
          <w:b/>
        </w:rPr>
        <w:t>Article 43.2W.8: Channel, Distribution, Logistics, and Event Access Neutrality</w:t>
      </w:r>
      <w:bookmarkEnd w:id="901688"/>
    </w:p>
    <w:p>
      <w:pPr>
        <w:pStyle w:val="Normal"/>
      </w:pPr>
      <w:r>
        <w:rPr>
          <w:b w:val="0"/>
        </w:rPr>
      </w:r>
      <w:r>
        <w:rPr>
          <w:b/>
        </w:rPr>
        <w:t xml:space="preserve">Licensed Hospitality Access. </w:t>
      </w:r>
      <w:r>
        <w:t>Where restaurants, bars, hotels, clubs, or other licensed establishments may purchase alcohol through a governmental or government-authorized distribution channel, covered products from another Party shall be eligible for that channel on terms no less favorable by reason of nationality. This rule does not require any establishment to purchase or carry a particular product. Ordinary licensing, minimum-order, delivery, tax, deposit, and responsible-service requirements remain applicable. A jurisdiction need not create a hospitality channel that does not otherwise exist.</w:t>
      </w:r>
    </w:p>
    <w:p>
      <w:pPr>
        <w:pStyle w:val="Normal"/>
      </w:pPr>
      <w:r>
        <w:rPr>
          <w:b w:val="0"/>
        </w:rPr>
      </w:r>
      <w:r>
        <w:rPr>
          <w:b/>
        </w:rPr>
        <w:t xml:space="preserve">Grocery and Private Retail Access. </w:t>
      </w:r>
      <w:r>
        <w:t>Where a jurisdiction permits grocery stores, private retailers, specialty stores, agency stores, or comparable outlets to sell a covered beverage category, products from another Party shall be eligible under origin-neutral rules. The jurisdiction may limit eligibility by product category, alcohol content, store class, licensing status, or other legitimate criteria. It shall not reserve an otherwise comparable channel categorically for domestic products because of origin. Nothing guarantees placement in a particular retailer or outlet.</w:t>
      </w:r>
    </w:p>
    <w:p>
      <w:pPr>
        <w:pStyle w:val="Normal"/>
      </w:pPr>
      <w:r>
        <w:rPr>
          <w:b w:val="0"/>
        </w:rPr>
      </w:r>
      <w:r>
        <w:rPr>
          <w:b/>
        </w:rPr>
        <w:t xml:space="preserve">Online and Fulfillment Access. </w:t>
      </w:r>
      <w:r>
        <w:t>Where a governmental alcohol authority operates an e-commerce, pickup, delivery, or fulfillment platform for a covered category, products from another Party shall have a commercially meaningful opportunity to participate under origin-neutral criteria. Platform ranking, availability, fulfillment, returns, and service rules may reflect legitimate commercial and logistical considerations. A product need not appear online merely because it is eligible for import or special order. A nationality-based platform exclusion shall not be used to recreate a prohibited physical-shelf exclusion.</w:t>
      </w:r>
    </w:p>
    <w:p>
      <w:pPr>
        <w:pStyle w:val="Normal"/>
      </w:pPr>
      <w:r>
        <w:rPr>
          <w:b w:val="0"/>
        </w:rPr>
      </w:r>
      <w:r>
        <w:rPr>
          <w:b/>
        </w:rPr>
        <w:t xml:space="preserve">Warehousing and Delivery. </w:t>
      </w:r>
      <w:r>
        <w:t>Governmental warehousing, receiving, fulfillment, and delivery services shall be available on origin-neutral terms to suppliers that satisfy the applicable operational requirements. A jurisdiction may require use of designated warehouses, licensed agents, common carriers, security procedures, or delivery windows where reasonably connected to its alcohol system. It shall not require an imported product to use a domestic producer as its exclusive distributor solely because of nationality. Direct delivery to a public warehouse may be permitted where lawful but is not mandated where the jurisdiction uses another neutral distribution model.</w:t>
      </w:r>
    </w:p>
    <w:p>
      <w:pPr>
        <w:pStyle w:val="Normal"/>
      </w:pPr>
      <w:r>
        <w:rPr>
          <w:b w:val="0"/>
        </w:rPr>
      </w:r>
      <w:r>
        <w:rPr>
          <w:b/>
        </w:rPr>
        <w:t xml:space="preserve">Events, Tastings, and Temporary Access. </w:t>
      </w:r>
      <w:r>
        <w:t>Where domestic producers may participate in government-authorized tastings, festivals, trade shows, competitions, temporary events, or comparable promotional activities, producers from another Party shall be eligible under origin-neutral rules. Temporary permits may retain reasonable quantity, tax, security, age-control, sampling, and responsible-service requirements. Authorities should use simplified procedures for samples and temporary imports where practicable. This paragraph does not create a right to participate in private events whose organizers independently select participants.</w:t>
      </w:r>
    </w:p>
    <w:p>
      <w:pPr>
        <w:pStyle w:val="Normal"/>
      </w:pPr>
      <w:r>
        <w:rPr>
          <w:b w:val="0"/>
        </w:rPr>
      </w:r>
      <w:r>
        <w:rPr>
          <w:b/>
        </w:rPr>
        <w:t xml:space="preserve">Bonded and Cross-Border Logistics. </w:t>
      </w:r>
      <w:r>
        <w:t>The Parties shall facilitate lawful use of bonded warehouses, in-transit procedures, bulk shipment, and cross-border logistics for beverage alcohol where consistent with customs, excise, safety, and distinctive-product requirements. Cooperation should reduce duplicative documentation and unnecessary delay without bypassing provincial, state, territorial, or national distribution law. Temperature-control or product-quality requirements may be used where commercially or technically appropriate but shall not be disguised origin restrictions. Chapter 5 customs facilitation mechanisms shall be used wherever practicable instead of creating a separate alcohol border system.</w:t>
      </w:r>
    </w:p>
    <w:p>
      <w:pPr>
        <w:pStyle w:val="Heading2"/>
      </w:pPr>
      <w:bookmarkStart w:id="901689" w:name="_Toc300001688"/>
      <w:r>
        <w:rPr>
          <w:b/>
        </w:rPr>
        <w:t>Article 43.2W.9: Regulatory Recognition, Testing, Labeling, and Product Approval</w:t>
      </w:r>
      <w:bookmarkEnd w:id="901689"/>
    </w:p>
    <w:p>
      <w:pPr>
        <w:pStyle w:val="Normal"/>
      </w:pPr>
      <w:r>
        <w:rPr>
          <w:b w:val="0"/>
        </w:rPr>
      </w:r>
      <w:r>
        <w:rPr>
          <w:b/>
        </w:rPr>
        <w:t xml:space="preserve">Targeted Equivalence. </w:t>
      </w:r>
      <w:r>
        <w:t>The Parties shall pursue equivalence or mutual recognition of alcohol regulatory requirements where competent authorities determine that different measures achieve materially comparable regulatory outcomes. Recognition shall be evidence-based and may be limited by product, requirement, authority, or category. Nothing creates blanket automatic recognition of every labeling, organic, health-warning, additive, packaging, or testing rule of another Party. A refusal to recognize equivalence should identify the material regulatory difference where practicable.</w:t>
      </w:r>
    </w:p>
    <w:p>
      <w:pPr>
        <w:pStyle w:val="Normal"/>
      </w:pPr>
      <w:r>
        <w:rPr>
          <w:b w:val="0"/>
        </w:rPr>
      </w:r>
      <w:r>
        <w:rPr>
          <w:b/>
        </w:rPr>
        <w:t xml:space="preserve">Laboratory Evidence. </w:t>
      </w:r>
      <w:r>
        <w:t>An authority should accept relevant results from an appropriately accredited laboratory in another Party where the method, accreditation, chain of custody, and regulatory purpose provide equivalent assurance. Retesting may be required where risk, inconsistency, deterioration, sampling concerns, enforcement history, or law reasonably justifies it. Authorities should avoid duplicative testing that adds cost without materially improving regulatory assurance. Recognition arrangements may specify accepted methods, accreditation bodies, reporting formats, and audit procedures.</w:t>
      </w:r>
    </w:p>
    <w:p>
      <w:pPr>
        <w:pStyle w:val="Normal"/>
      </w:pPr>
      <w:r>
        <w:rPr>
          <w:b w:val="0"/>
        </w:rPr>
      </w:r>
      <w:r>
        <w:rPr>
          <w:b/>
        </w:rPr>
        <w:t xml:space="preserve">Labeling Facilitation. </w:t>
      </w:r>
      <w:r>
        <w:t>Competent authorities shall seek practical methods to reduce unnecessary duplicate labeling while preserving mandatory consumer information and public-health requirements. Methods may include supplementary labels, electronic pre-clearance, common data fields, or recognition of equivalent presentation where lawful. No Party is required to abandon a health warning, language requirement, allergen rule, ingredient disclosure, geographic indication, or other legitimate labeling requirement solely because another Party uses a different format. Technical consultations should focus on whether the same regulatory objective can be met with less trade friction.</w:t>
      </w:r>
    </w:p>
    <w:p>
      <w:pPr>
        <w:pStyle w:val="Normal"/>
      </w:pPr>
      <w:r>
        <w:rPr>
          <w:b w:val="0"/>
        </w:rPr>
      </w:r>
      <w:r>
        <w:rPr>
          <w:b/>
        </w:rPr>
        <w:t xml:space="preserve">Organic and Sustainability Claims. </w:t>
      </w:r>
      <w:r>
        <w:t>Organic, sustainability, environmental, heritage, and comparable claims shall be recognized only under applicable law or an agreed equivalence arrangement. The Parties should work toward recognition where certification systems provide comparable assurance. A supplier shall not be required to obtain duplicative certification merely to reproduce an assurance already verified under an accepted arrangement. Nothing in this paragraph authorizes misleading claims or weakens enforcement against fraud.</w:t>
      </w:r>
    </w:p>
    <w:p>
      <w:pPr>
        <w:pStyle w:val="Normal"/>
      </w:pPr>
      <w:r>
        <w:rPr>
          <w:b w:val="0"/>
        </w:rPr>
      </w:r>
      <w:r>
        <w:rPr>
          <w:b/>
        </w:rPr>
        <w:t xml:space="preserve">Product Approval Reuse. </w:t>
      </w:r>
      <w:r>
        <w:t>Where a product has already completed a materially equivalent regulatory review within the importing Party, subsequent channel or subnational applications should reuse that information to the extent legally and technically possible. Authorities may request jurisdiction-specific tax, distribution, language, deposit, or licensing information that was not covered by the earlier review. Reuse shall not convert one subnational approval into automatic nationwide authorization. The objective is to reduce duplicate administrative work while preserving lawful regulatory competence.</w:t>
      </w:r>
    </w:p>
    <w:p>
      <w:pPr>
        <w:pStyle w:val="Normal"/>
      </w:pPr>
      <w:r>
        <w:rPr>
          <w:b w:val="0"/>
        </w:rPr>
      </w:r>
      <w:r>
        <w:rPr>
          <w:b/>
        </w:rPr>
        <w:t xml:space="preserve">Regulatory Change Notice. </w:t>
      </w:r>
      <w:r>
        <w:t>A Party should provide reasonable advance notice of material regulatory changes affecting cross-border beverage trade where practicable. Notice should identify the affected categories, effective date, responsible authority, and available guidance or transition arrangements. Immediate action remains available for urgent health, safety, fraud, fiscal, or enforcement needs, subject to prompt subsequent explanation. Failure to provide advance notice does not invalidate a measure where urgency made notice impracticable.</w:t>
      </w:r>
    </w:p>
    <w:p>
      <w:pPr>
        <w:pStyle w:val="Heading2"/>
      </w:pPr>
      <w:bookmarkStart w:id="901690" w:name="_Toc300001689"/>
      <w:r>
        <w:rPr>
          <w:b/>
        </w:rPr>
        <w:t>Article 43.2W.10: Cross-Sector Non-Retaliation, Cothrom Cure, and Targeted Remedies</w:t>
      </w:r>
      <w:bookmarkEnd w:id="901690"/>
    </w:p>
    <w:p>
      <w:pPr>
        <w:pStyle w:val="Normal"/>
      </w:pPr>
      <w:r>
        <w:rPr>
          <w:b w:val="0"/>
        </w:rPr>
      </w:r>
      <w:r>
        <w:rPr>
          <w:b/>
        </w:rPr>
        <w:t xml:space="preserve">Alcohol Peace Rule. </w:t>
      </w:r>
      <w:r>
        <w:t>A Party shall not use governmental alcohol listing, delisting, pricing, purchasing, distribution, licensing, or channel-access measures as retaliation for a dispute arising principally in an unrelated sector. This rule applies to nationality-specific measures adopted because of disputes concerning steel, aluminum, autos, lumber, agriculture, digital trade, procurement, or another unrelated field. It does not prevent a measure expressly authorized under this Agreement to remedy a verified alcohol-sector violation. Political disagreement alone shall not constitute an alcohol-sector violation.</w:t>
      </w:r>
    </w:p>
    <w:p>
      <w:pPr>
        <w:pStyle w:val="Normal"/>
      </w:pPr>
      <w:r>
        <w:rPr>
          <w:b w:val="0"/>
        </w:rPr>
      </w:r>
      <w:r>
        <w:rPr>
          <w:b/>
        </w:rPr>
        <w:t xml:space="preserve">Reciprocal Application. </w:t>
      </w:r>
      <w:r>
        <w:t>The Alcohol Peace Rule applies equally to Canada, the United States, and Mexico and to covered subnational governmental alcohol systems within each Party. It protects Canadian, United States, and Mexican beverage suppliers without creating a Party-specific privilege. A Party may not demand nationality-neutral treatment for its own suppliers while maintaining a materially equivalent nationality-specific retaliatory exclusion against another Party. Alleged asymmetry shall be addressed through consultation and verification rather than automatic countermeasures.</w:t>
      </w:r>
    </w:p>
    <w:p>
      <w:pPr>
        <w:pStyle w:val="Normal"/>
      </w:pPr>
      <w:r>
        <w:rPr>
          <w:b w:val="0"/>
        </w:rPr>
      </w:r>
      <w:r>
        <w:rPr>
          <w:b/>
        </w:rPr>
        <w:t xml:space="preserve">Cothrom Sequence. </w:t>
      </w:r>
      <w:r>
        <w:t>An allegation under Articles 43.2W.4 through 43.2W.10 shall ordinarily proceed through notice, factual verification, identification of the specific impairment, consultation, a defined cure opportunity, verification of cure, and restoration of ordinary treatment. The process shall distinguish discriminatory governmental action from independent retailer choice, ordinary commercial failure, and legitimate public-health or regulatory action. The affected subnational authority shall be given a practical opportunity to choose among lawful compliant cures. Successful cure shall terminate the corresponding step-back and restore the affected facilitation or treatment automatically.</w:t>
      </w:r>
    </w:p>
    <w:p>
      <w:pPr>
        <w:pStyle w:val="Normal"/>
      </w:pPr>
      <w:r>
        <w:rPr>
          <w:b w:val="0"/>
        </w:rPr>
      </w:r>
      <w:r>
        <w:rPr>
          <w:b/>
        </w:rPr>
        <w:t xml:space="preserve">Targeted Step-Back. </w:t>
      </w:r>
      <w:r>
        <w:t>If verified non-compliance persists after a reasonable cure opportunity, a responsive step-back should first affect a comparable alcohol-sector facilitation or benefit connected to the verified impairment. The response shall be proportionate, reversible, and no broader geographically or commercially than reasonably necessary. Non-compliance by one province, territory, state, or other subnational jurisdiction shall not automatically justify withdrawal of benefits from compliant jurisdictions. The Parties shall avoid collateral impairment of unrelated sectors and supply chains.</w:t>
      </w:r>
    </w:p>
    <w:p>
      <w:pPr>
        <w:pStyle w:val="Normal"/>
      </w:pPr>
      <w:r>
        <w:rPr>
          <w:b w:val="0"/>
        </w:rPr>
      </w:r>
      <w:r>
        <w:rPr>
          <w:b/>
        </w:rPr>
        <w:t xml:space="preserve">No Independent Tariff Authority. </w:t>
      </w:r>
      <w:r>
        <w:t>Nothing in this Framework creates an independent authority to impose, restore, increase, or reactivate a tariff, surcharge, safeguard duty, price-band duty, or equivalent border charge. Alcohol disputes remain subject to the Agreement-wide tariff disciplines, including Article 35.27A and other applicable Chapter 35 limitations. A nationality-specific delisting, price dispute, or listing delay does not reopen a tariff authority extinguished elsewhere in this Agreement. Any lawful border response must independently satisfy the express authority and procedures of the Agreement.</w:t>
      </w:r>
    </w:p>
    <w:p>
      <w:pPr>
        <w:pStyle w:val="Normal"/>
      </w:pPr>
      <w:r>
        <w:rPr>
          <w:b w:val="0"/>
        </w:rPr>
      </w:r>
      <w:r>
        <w:rPr>
          <w:b/>
        </w:rPr>
        <w:t xml:space="preserve">Restoration and Closure. </w:t>
      </w:r>
      <w:r>
        <w:t>When the verified discriminatory measure has been withdrawn or corrected and commercially meaningful ordinary treatment restored, the alcohol-specific dispute shall close without continuing punitive conditions. A supplier need not be returned to an identical shelf, store, price, or sales level if neutral commercial conditions have changed. The Parties shall record the cure, any transitional obligations, and the date on which responsive step-backs terminate. Subsequent recurrence based on materially new facts may be reviewed as a new matter under Cothrom.</w:t>
      </w:r>
    </w:p>
    <w:p>
      <w:pPr>
        <w:pStyle w:val="Heading2"/>
      </w:pPr>
      <w:bookmarkStart w:id="901691" w:name="_Toc300001690"/>
      <w:r>
        <w:rPr>
          <w:b/>
        </w:rPr>
        <w:t>Article 43.2W.11: Permanent Liquor-Board Commercial Neutrality and Ordinary-State Disciplines</w:t>
      </w:r>
      <w:bookmarkEnd w:id="901691"/>
    </w:p>
    <w:p>
      <w:pPr>
        <w:pStyle w:val="Normal"/>
      </w:pPr>
      <w:r>
        <w:rPr>
          <w:b/>
        </w:rPr>
        <w:t xml:space="preserve">Ordinary-State Application. </w:t>
      </w:r>
      <w:r>
        <w:t>Articles 43.2M through 43.2W.11 and Annexes 43-B and 43-B-1 apply to ordinary governmental alcohol administration whether or not the challenged measure arose during a tariff dispute, retaliatory episode, emergency, or restoration period. The termination of a nationality-specific delisting does not terminate the continuing duties of commercial neutrality, transparency, national treatment, and procedural fairness established by this Agreement. A governmental alcohol authority shall administer recurring listing, pricing, purchasing, distribution, warehousing, category-management, and retail-access functions in accordance with those duties. This paragraph does not convert an ordinary commercial disagreement into a treaty violation absent evidence of treatment inconsistent with an applicable obligation.</w:t>
      </w:r>
    </w:p>
    <w:p>
      <w:pPr>
        <w:pStyle w:val="Normal"/>
      </w:pPr>
      <w:r>
        <w:rPr>
          <w:b/>
        </w:rPr>
        <w:t xml:space="preserve">Objective Listing Administration. </w:t>
      </w:r>
      <w:r>
        <w:t>A governmental alcohol authority shall publish or otherwise make readily available the material criteria ordinarily used to assess product listings, renewals, category placement, continuation, and delisting. Criteria may include demonstrated demand, product quality, price point, inventory turnover, supply reliability, category strategy, regulatory compliance, and other commercially relevant considerations applied without nationality discrimination. Where a covered supplier is denied access through a governmental listing process, the authority shall provide sufficient reasons to identify the material criterion or criteria on which the decision rested, subject to protection of confidential information. Nothing in this paragraph guarantees a listing, minimum sales period, shelf position, purchase quantity, promotional expenditure, or market share.</w:t>
      </w:r>
    </w:p>
    <w:p>
      <w:pPr>
        <w:pStyle w:val="Normal"/>
      </w:pPr>
      <w:r>
        <w:rPr>
          <w:b/>
        </w:rPr>
        <w:t xml:space="preserve">Cost-of-Service Markup Discipline. </w:t>
      </w:r>
      <w:r>
        <w:t>A difference in a governmental alcohol markup, service charge, handling fee, warehousing charge, or comparable commercial assessment affecting a product of another Party shall correspond to a demonstrable difference in the cost or service being provided where this Agreement requires cost-of-service treatment. An authority may recognize objectively different transportation, storage, handling, regulatory, container, fulfillment, or other actual costs and need not charge unlike services identically. It shall not characterize a nationality-based premium as a cost-of-service difference merely by assigning it an administrative label or embedding it within a pricing formula. Material pricing methodologies and the basis for significant origin-sensitive cost differentials shall be sufficiently transparent to permit meaningful review under this Agreement.</w:t>
      </w:r>
    </w:p>
    <w:p>
      <w:pPr>
        <w:pStyle w:val="Normal"/>
      </w:pPr>
      <w:r>
        <w:rPr>
          <w:b/>
        </w:rPr>
        <w:t xml:space="preserve">Distribution and Warehouse Neutrality. </w:t>
      </w:r>
      <w:r>
        <w:t>Governmental wholesale, warehouse, fulfillment, agent, delivery, and order-processing requirements shall not be designed or administered so as to recreate a nationality disadvantage that the listing and pricing disciplines of this Agreement prohibit. A jurisdiction may retain centralized distribution, mandatory warehousing, licensed-agent requirements, security controls, inventory rules, and other features of its lawful alcohol system when they are administered consistently with the applicable obligations of this Agreement. Different logistical treatment remains permissible where supported by actual operational, regulatory, geographic, or risk differences rather than the nationality of the product or producer. Review of an alleged distribution barrier shall examine practical commercial operation as well as the formal wording of the measure.</w:t>
      </w:r>
    </w:p>
    <w:p>
      <w:pPr>
        <w:pStyle w:val="Normal"/>
      </w:pPr>
      <w:r>
        <w:rPr>
          <w:b/>
        </w:rPr>
        <w:t xml:space="preserve">Retail and Category-Management Neutrality. </w:t>
      </w:r>
      <w:r>
        <w:t>Where a governmental alcohol authority controls or materially directs retail channels, category management, product placement, online availability, specialty programs, or access by licensed establishments, it shall administer comparable opportunities without nationality discrimination. An authority may make differentiated commercial decisions among products, categories, stores, regions, seasons, and channels on objective and commercially relevant grounds. The mere existence of different assortments among provinces, states, stores, channels, or product categories does not establish less favorable treatment. A pattern that systematically disadvantages products of another Party may nevertheless be reviewed where objective evidence indicates that nominally neutral criteria are being designed or administered to circumvent the obligations of this Agreement.</w:t>
      </w:r>
    </w:p>
    <w:p>
      <w:pPr>
        <w:pStyle w:val="Normal"/>
      </w:pPr>
      <w:r>
        <w:rPr>
          <w:b/>
        </w:rPr>
        <w:t xml:space="preserve">Review, Cure, and Non-Circumvention. </w:t>
      </w:r>
      <w:r>
        <w:t>A supplier materially affected by an ordinary-state liquor-board measure covered by this Article shall have access to a meaningful administrative reconsideration, review, or other corrective process appropriate to the governmental system concerned. Where verification establishes that a measure is inconsistent with the permanent commercial-neutrality disciplines, the responsible authority shall be afforded a defined opportunity to correct the specific measure under the Cothrom sequence before a proportionate step-back is considered. A Party or subnational authority shall not evade a cured nationality-specific restriction by replacing it with a formally origin-neutral measure deliberately structured or administered to reproduce substantially the same discriminatory result. Findings under this paragraph shall rest on objective evidence concerning design, operation, treatment of comparable products, and commercial effect and shall not presume discriminatory purpose solely from an adverse market outcome.</w:t>
      </w:r>
    </w:p>
    <w:p>
      <w:pPr>
        <w:pStyle w:val="Heading2"/>
      </w:pPr>
      <w:bookmarkStart w:id="901693" w:name="_Toc300001692"/>
      <w:r>
        <w:t>Article 43.3: Agricultural Competitive Neutrality Review</w:t>
      </w:r>
      <w:bookmarkEnd w:id="901693"/>
    </w:p>
    <w:p>
      <w:pPr>
        <w:pStyle w:val="Normal"/>
      </w:pPr>
      <w:r>
        <w:t>1. A Party alleging that another Party's agricultural support materially distorts bilateral trade shall disclose its own economically comparable support programs as part of the evidentiary record.</w:t>
      </w:r>
    </w:p>
    <w:p>
      <w:pPr>
        <w:pStyle w:val="Normal"/>
      </w:pPr>
      <w:r>
        <w:t>2. The review body shall assess effective producer support, production incentives, export effects, eligibility conditions, and market context rather than treating unlike programs as equivalent solely by nominal expenditure.</w:t>
      </w:r>
    </w:p>
    <w:p>
      <w:pPr>
        <w:pStyle w:val="Normal"/>
      </w:pPr>
      <w:r>
        <w:t>3. A trade deficit or higher domestic support level, standing alone, does not establish a violation.</w:t>
      </w:r>
    </w:p>
    <w:p>
      <w:pPr>
        <w:pStyle w:val="Heading2"/>
      </w:pPr>
      <w:bookmarkStart w:id="901694" w:name="_Toc300001693"/>
      <w:r>
        <w:t>Article 43.4: Agricultural Support Non-Escalation</w:t>
      </w:r>
      <w:bookmarkEnd w:id="901694"/>
    </w:p>
    <w:p>
      <w:pPr>
        <w:pStyle w:val="Normal"/>
      </w:pPr>
      <w:r>
        <w:t>1. No Party shall introduce a new production-linked support measure primarily designed to displace another Party's exports without prior notification and consultation. Emergency, disaster, animal-health, food-security, and income-stabilization programs of general application remain available.</w:t>
      </w:r>
    </w:p>
    <w:p>
      <w:pPr>
        <w:pStyle w:val="Heading2"/>
      </w:pPr>
      <w:bookmarkStart w:id="901695" w:name="_Toc300001694"/>
      <w:r>
        <w:t>Article 43.5: North American Agricultural Innovation and Productivity Initiative</w:t>
      </w:r>
      <w:bookmarkEnd w:id="901695"/>
    </w:p>
    <w:p>
      <w:pPr>
        <w:pStyle w:val="Normal"/>
      </w:pPr>
      <w:r>
        <w:t>1. The Parties establish a cooperative initiative for agricultural automation, animal health, feed efficiency, methane reduction, cold-chain resilience, food processing, veterinary biotechnology, water efficiency, and value-added products.</w:t>
      </w:r>
    </w:p>
    <w:p>
      <w:pPr>
        <w:pStyle w:val="Normal"/>
      </w:pPr>
      <w:r>
        <w:t>2. Participation in a joint project is voluntary and subject to domestic appropriations, intellectual-property rules, biosafety requirements, and research-security safeguards.</w:t>
      </w:r>
    </w:p>
    <w:p>
      <w:pPr>
        <w:pStyle w:val="Heading2"/>
      </w:pPr>
      <w:bookmarkStart w:id="901696" w:name="_Toc300001695"/>
      <w:r>
        <w:t>Article 43.6: Public Procurement</w:t>
      </w:r>
      <w:bookmarkEnd w:id="901696"/>
    </w:p>
    <w:p>
      <w:pPr>
        <w:pStyle w:val="Normal"/>
      </w:pPr>
      <w:r>
        <w:t>1. Nothing in this Chapter requires a Party's schools, hospitals, armed forces, or other public institutions to prefer another Party's agricultural products over like domestic products. Any procurement opening is reciprocal and governed by the applicable procurement schedules.</w:t>
      </w:r>
    </w:p>
    <w:p>
      <w:pPr>
        <w:pStyle w:val="Heading2"/>
      </w:pPr>
      <w:bookmarkStart w:id="901697" w:name="_Toc300001696"/>
      <w:r>
        <w:t>Article 43.7: Data and Administration</w:t>
      </w:r>
      <w:bookmarkEnd w:id="901697"/>
    </w:p>
    <w:p>
      <w:pPr>
        <w:pStyle w:val="Normal"/>
      </w:pPr>
      <w:r>
        <w:t>1. Agricultural quota, utilization, and market-access data exchanged under this Chapter shall be available to all Parties on equivalent terms, subject to confidentiality protections. No Party receives a privileged unilateral information channel.</w:t>
      </w:r>
    </w:p>
    <w:p>
      <w:pPr>
        <w:pStyle w:val="Heading2"/>
      </w:pPr>
      <w:bookmarkStart w:id="901698" w:name="_Toc300001697"/>
      <w:r>
        <w:t>Article 43.8: North American Potash Expansion and Fertilizer Security</w:t>
      </w:r>
      <w:bookmarkEnd w:id="901698"/>
    </w:p>
    <w:p>
      <w:pPr>
        <w:pStyle w:val="Normal"/>
      </w:pPr>
      <w:r>
        <w:t>1. The Parties recognize potash and other essential fertilizer inputs as foundational to North American food security. Canada shall endeavor, in cooperation with provinces, Indigenous rights holders, producers, infrastructure operators, and investors, to facilitate commercially viable expansion of Canadian potash production and associated transportation capacity.</w:t>
      </w:r>
    </w:p>
    <w:p>
      <w:pPr>
        <w:pStyle w:val="Normal"/>
      </w:pPr>
      <w:r>
        <w:t>2. The Parties shall support continuity of fertilizer trade, identify critical rail, terminal, storage, and border bottlenecks, and establish rapid consultation procedures for material supply disruptions. No Party is required to reserve a fixed quantity, guarantee a private sale, or compel below-market pricing.</w:t>
      </w:r>
    </w:p>
    <w:p>
      <w:pPr>
        <w:pStyle w:val="Normal"/>
      </w:pPr>
      <w:r>
        <w:t>3. The Parties shall encourage long-duration commercial arrangements that improve supply predictability for farmers and distributors while preserving competitive markets and producer autonomy.</w:t>
      </w:r>
    </w:p>
    <w:p>
      <w:pPr>
        <w:pStyle w:val="Heading2"/>
      </w:pPr>
      <w:bookmarkStart w:id="901699" w:name="_Toc300001698"/>
      <w:r>
        <w:t>Article 43.9: North American Fertilizer Innovation Initiative</w:t>
      </w:r>
      <w:bookmarkEnd w:id="901699"/>
    </w:p>
    <w:p>
      <w:pPr>
        <w:pStyle w:val="Normal"/>
      </w:pPr>
      <w:r>
        <w:t>1. The Parties shall cooperate on research, field validation, and commercialization of higher-efficiency potassium fertilizers and nutrient systems, including controlled or timed nutrient delivery, crop- and soil-specific formulations, sulfate-of-potash and other chloride-sensitive applications, precision application, nutrient recycling, and technologies that improve nutrient-use efficiency.</w:t>
      </w:r>
    </w:p>
    <w:p>
      <w:pPr>
        <w:pStyle w:val="Normal"/>
      </w:pPr>
      <w:r>
        <w:t>2. Cooperative research shall prioritize measurable improvements in crop productivity, farmer cost, nutrient-use efficiency, soil performance, drought and heat resilience, environmental performance, and supply-chain efficiency.</w:t>
      </w:r>
    </w:p>
    <w:p>
      <w:pPr>
        <w:pStyle w:val="Normal"/>
      </w:pPr>
      <w:r>
        <w:t>3. The Parties may establish joint research centres, shared field-trial networks, common evidence standards, and accelerated regulatory review pathways that reduce unnecessary duplication while preserving each Party's independent safety and environmental authority.</w:t>
      </w:r>
    </w:p>
    <w:p>
      <w:pPr>
        <w:pStyle w:val="Heading2"/>
      </w:pPr>
      <w:bookmarkStart w:id="901700" w:name="_Toc300001699"/>
      <w:r>
        <w:t>Article 43.10: North American Agricultural Production Security and Resilience Framework</w:t>
      </w:r>
      <w:bookmarkEnd w:id="901700"/>
    </w:p>
    <w:p>
      <w:pPr>
        <w:pStyle w:val="Normal"/>
      </w:pPr>
      <w:r>
        <w:t>1. The Parties establish a North American Agricultural Production Security and Resilience Framework to strengthen the continuity, diversity, affordability, safety, and adaptability of crop production and essential agricultural inputs while preserving each Party's regulatory sovereignty, constitutional allocation of authority, and right to maintain higher domestic health, safety, environmental, labor, and consumer-protection standards.</w:t>
      </w:r>
    </w:p>
    <w:p>
      <w:pPr>
        <w:pStyle w:val="Normal"/>
      </w:pPr>
      <w:r>
        <w:t>2. The Framework shall address seeds and planting material, germplasm, public and private plant breeding, biotechnology, plant-health threats, crop-protection tools, fertilizer and nutrient security, soil and water resilience, agricultural machinery and repair, seasonal operational continuity, and recovery and beneficial use of agricultural residuals.</w:t>
      </w:r>
    </w:p>
    <w:p>
      <w:pPr>
        <w:pStyle w:val="Normal"/>
      </w:pPr>
      <w:r>
        <w:t>3. Implementation shall favor interoperable outcomes, mutual use of reliable evidence, emergency continuity, diversification, and reduction of unnecessary duplication. No Party shall be required to authorize a product, organism, pesticide, seed trait, fertilizer, technology, or production method that it has not independently determined may lawfully be used within its territory.</w:t>
      </w:r>
    </w:p>
    <w:p>
      <w:pPr>
        <w:pStyle w:val="Normal"/>
      </w:pPr>
      <w:r>
        <w:t>4. Agricultural resilience shall be evaluated by diversity of producers, suppliers, genetics, production regions, technologies, input sources, transportation corridors, and viable production methods rather than aggregate commodity output alone.</w:t>
      </w:r>
    </w:p>
    <w:p>
      <w:pPr>
        <w:pStyle w:val="Normal"/>
      </w:pPr>
      <w:r>
        <w:t>5. No Single-Dependency Agricultural Security Principle. The Parties shall seek to reduce material single-source dependencies where failure, withdrawal, disruption, or unavailability of a single supplier, genetic line, production region, technology, input source, or transportation corridor could reasonably threaten significant agricultural production or food security.</w:t>
      </w:r>
    </w:p>
    <w:p>
      <w:pPr>
        <w:pStyle w:val="Heading2"/>
      </w:pPr>
      <w:bookmarkStart w:id="901701" w:name="_Toc300001700"/>
      <w:r>
        <w:t>Article 43.11: Seed, Planting Material, Germplasm, and Public Breeding Security</w:t>
      </w:r>
      <w:bookmarkEnd w:id="901701"/>
    </w:p>
    <w:p>
      <w:pPr>
        <w:pStyle w:val="Normal"/>
      </w:pPr>
      <w:r>
        <w:t>1. The Parties shall facilitate lawful and timely movement of seed and planting material through interoperable certification, electronic documentation, risk-based phytosanitary procedures, and planting-season priority treatment, without weakening science-based plant-health safeguards.</w:t>
      </w:r>
    </w:p>
    <w:p>
      <w:pPr>
        <w:pStyle w:val="Normal"/>
      </w:pPr>
      <w:r>
        <w:t>2. Each Party shall maintain or support sufficient domestic or cooperative capacity for germplasm conservation, seed testing, reference collections, multiplication, and emergency distribution. Public germplasm repositories and public plant-breeding capacity may be treated as food-security and biological-production infrastructure.</w:t>
      </w:r>
    </w:p>
    <w:p>
      <w:pPr>
        <w:pStyle w:val="Normal"/>
      </w:pPr>
      <w:r>
        <w:t>3. The Parties shall cooperate to identify critical seed shortages, geographically concentrated seed-production risks, climate-related production failures, and varieties for which the loss of a single production region could materially impair the next planting season.</w:t>
      </w:r>
    </w:p>
    <w:p>
      <w:pPr>
        <w:pStyle w:val="Normal"/>
      </w:pPr>
      <w:r>
        <w:t>4. During a verified regional seed shortage, the Parties may activate an Emergency Seed Continuity Corridor for expedited movement of qualifying seed, testing samples, breeding material, seed-treatment inputs, and necessary specialized equipment, subject to phytosanitary controls and origin documentation.</w:t>
      </w:r>
    </w:p>
    <w:p>
      <w:pPr>
        <w:pStyle w:val="Normal"/>
      </w:pPr>
      <w:r>
        <w:t>5. Cooperation shall support regionally adapted, climate-resilient, organic, open-pollinated, hybrid, conventionally bred, marker-assisted, and biotechnology-derived varieties as appropriate to domestic law. Nothing in this Article requires a Party to favor one breeding system over another.</w:t>
      </w:r>
    </w:p>
    <w:p>
      <w:pPr>
        <w:pStyle w:val="Normal"/>
      </w:pPr>
      <w:r>
        <w:t>6. Each Party retains authority over farmers' privilege, seed-saving rights, plant breeders' rights, patents, licensing, and other intellectual-property rules, subject to the non-discrimination, competition, and innocent-presence safeguards of this Chapter.</w:t>
      </w:r>
    </w:p>
    <w:p>
      <w:pPr>
        <w:pStyle w:val="Heading2"/>
      </w:pPr>
      <w:bookmarkStart w:id="901702" w:name="_Toc300001701"/>
      <w:r>
        <w:t>Article 43.12: Biotechnology Regulatory Interoperability and Sovereign Review</w:t>
      </w:r>
      <w:bookmarkEnd w:id="901702"/>
    </w:p>
    <w:p>
      <w:pPr>
        <w:pStyle w:val="Normal"/>
      </w:pPr>
      <w:r>
        <w:t>1. The Parties shall seek to reduce unnecessary duplication in biotechnology review through voluntary sharing of non-confidential dossiers, validated methods, safety assessments, post-market evidence, environmental information, and technical questions, to the extent legally permissible.</w:t>
      </w:r>
    </w:p>
    <w:p>
      <w:pPr>
        <w:pStyle w:val="Normal"/>
      </w:pPr>
      <w:r>
        <w:t>2. A Party may invite synchronized or parallel review of a biotechnology application, but each Party retains an independent final decision and may request additional information reasonably necessary under domestic law.</w:t>
      </w:r>
    </w:p>
    <w:p>
      <w:pPr>
        <w:pStyle w:val="Normal"/>
      </w:pPr>
      <w:r>
        <w:t>3. Regulatory cooperation shall not create automatic approval, automatic equivalence, a lowest-common-denominator safety rule, or a presumption that authorization by one Party compels authorization by another.</w:t>
      </w:r>
    </w:p>
    <w:p>
      <w:pPr>
        <w:pStyle w:val="Normal"/>
      </w:pPr>
      <w:r>
        <w:t>4. The Parties shall maintain procedures for managing low-level presence and asynchronous approvals in traded commodities that distinguish inadvertent biological presence from deliberate circumvention and that seek proportionate remedies before unnecessary destruction or broad trade interruption.</w:t>
      </w:r>
    </w:p>
    <w:p>
      <w:pPr>
        <w:pStyle w:val="Normal"/>
      </w:pPr>
      <w:r>
        <w:t>5. Where a material crop-production threat exists, a Party may request expedited scientific review of an agricultural technology already authorized by another Party. The receiving Party shall have access, to the extent legally shareable, to relevant regulatory dossiers, safety assessments, field evidence, and post-market information while retaining sovereign approval authority.</w:t>
      </w:r>
    </w:p>
    <w:p>
      <w:pPr>
        <w:pStyle w:val="Heading2"/>
      </w:pPr>
      <w:bookmarkStart w:id="901703" w:name="_Toc300001702"/>
      <w:r>
        <w:t>Article 43.13: Innocent Genetic Presence, Farmer Choice, and Agricultural Coexistence</w:t>
      </w:r>
      <w:bookmarkEnd w:id="901703"/>
    </w:p>
    <w:p>
      <w:pPr>
        <w:pStyle w:val="Normal"/>
      </w:pPr>
      <w:r>
        <w:t>1. Presence Shall Not Create Intent. The mere detection of patented, protected, or otherwise proprietary genetic material in a field, harvested crop, seed lot, storage facility, transport system, or agricultural product shall not by itself establish intentional acquisition, planting, propagation, infringement, misappropriation, or breach of a technology-use obligation.</w:t>
      </w:r>
    </w:p>
    <w:p>
      <w:pPr>
        <w:pStyle w:val="Normal"/>
      </w:pPr>
      <w:r>
        <w:t>2. A farmer or other agricultural operator who did not intentionally acquire, plant, select, concentrate, propagate, or commercially exploit a protected trait shall not incur intellectual-property or licensing liability solely because pollen, seed, volunteers, transport spillage, commingling, or another unintended biological process introduced trace or incidental presence.</w:t>
      </w:r>
    </w:p>
    <w:p>
      <w:pPr>
        <w:pStyle w:val="Normal"/>
      </w:pPr>
      <w:r>
        <w:t>3. This safe harbor does not protect a person who knowingly selects, saves, multiplies, markets, or otherwise exploits protected material in violation of applicable intellectual-property law or a valid contractual obligation.</w:t>
      </w:r>
    </w:p>
    <w:p>
      <w:pPr>
        <w:pStyle w:val="Normal"/>
      </w:pPr>
      <w:r>
        <w:t>4. A biotechnology developer, seed company, licensee, or neighboring producer is not strictly liable for every trace movement. Responsibility for preventable off-target genetic movement shall depend on reasonable stewardship duties, foreseeability, control, causation, and the materiality of resulting harm.</w:t>
      </w:r>
    </w:p>
    <w:p>
      <w:pPr>
        <w:pStyle w:val="Normal"/>
      </w:pPr>
      <w:r>
        <w:t>5. The Parties shall provide or permit a proportionate compensation pathway for demonstrable substantial commercial loss caused by preventable genetic contamination, including loss of a verified non-GMO, organic, export, seed-purity, or other premium contract, without converting incidental molecular detection into automatic damages.</w:t>
      </w:r>
    </w:p>
    <w:p>
      <w:pPr>
        <w:pStyle w:val="Normal"/>
      </w:pPr>
      <w:r>
        <w:t>6. No universal numerical contamination threshold is established by this Agreement. Crop biology, seed-purity requirements, market specifications, available testing methods, and the scale and circumstances of presence shall inform technical thresholds adopted domestically or through implementation guidance.</w:t>
      </w:r>
    </w:p>
    <w:p>
      <w:pPr>
        <w:pStyle w:val="Heading2"/>
      </w:pPr>
      <w:bookmarkStart w:id="901704" w:name="_Toc300001703"/>
      <w:r>
        <w:t>Article 43.14: North American Plant Health Watch List and Biological Production Security</w:t>
      </w:r>
      <w:bookmarkEnd w:id="901704"/>
    </w:p>
    <w:p>
      <w:pPr>
        <w:pStyle w:val="Normal"/>
      </w:pPr>
      <w:r>
        <w:t>1. The Parties shall maintain an updateable North American Plant Health Watch List covering plant pathogens, insect pests, mites, nematodes, invasive weeds, vectors, and other biological threats of continental significance. The Watch List is an implementation instrument and may be updated without reopening this Agreement.</w:t>
      </w:r>
    </w:p>
    <w:p>
      <w:pPr>
        <w:pStyle w:val="Normal"/>
      </w:pPr>
      <w:r>
        <w:t>2. Listed threats may be classified as established or endemic, emerging, invasive or spreading, quarantine or exclusion priority, or extraordinary continental biological emergency. Classification may differ geographically and shall be supported by current scientific and surveillance information.</w:t>
      </w:r>
    </w:p>
    <w:p>
      <w:pPr>
        <w:pStyle w:val="Normal"/>
      </w:pPr>
      <w:r>
        <w:t>3. The Parties shall strengthen interoperable surveillance using field observations, traps, laboratory diagnostics, remote sensing, genomic tools, nursery and seed inspection, stored-commodity monitoring, and other validated methods appropriate to the organism and pathway.</w:t>
      </w:r>
    </w:p>
    <w:p>
      <w:pPr>
        <w:pStyle w:val="Normal"/>
      </w:pPr>
      <w:r>
        <w:t>4. The Parties shall facilitate rapid exchange of diagnostic assays, reference materials, genomic information, non-confidential outbreak data, and validated response protocols while protecting confidential business information, personal information, sensitive location data, and legitimate biosecurity restrictions.</w:t>
      </w:r>
    </w:p>
    <w:p>
      <w:pPr>
        <w:pStyle w:val="Normal"/>
      </w:pPr>
      <w:r>
        <w:t>5. Plant-health measures shall, where scientifically supportable, use regionalization, zoning, compartmentalization, commodity treatment, pathway controls, or other targeted measures instead of unnecessary continent-wide or Party-wide shutdowns.</w:t>
      </w:r>
    </w:p>
    <w:p>
      <w:pPr>
        <w:pStyle w:val="Normal"/>
      </w:pPr>
      <w:r>
        <w:t>6. Immediate precautionary restrictions may be used where delay would create a serious biological threat, but emergency measures shall include an identified review point, evidence-update process, and off-ramp or narrowing mechanism.</w:t>
      </w:r>
    </w:p>
    <w:p>
      <w:pPr>
        <w:pStyle w:val="Normal"/>
      </w:pPr>
      <w:r>
        <w:t>7. Where government-ordered destruction, quarantine, movement restriction, or similar containment action materially benefits continental plant health, the responsible Party should maintain compensation, insurance, recovery assistance, or comparable support sufficient to avoid creating a strong economic incentive to conceal symptoms or delay reporting.</w:t>
      </w:r>
    </w:p>
    <w:p>
      <w:pPr>
        <w:pStyle w:val="Normal"/>
      </w:pPr>
      <w:r>
        <w:t>8. A forest-health or agricultural biological emergency may be treated as a continental biological-security event where its reasonably foreseeable spread threatens forests, crops, communities, critical infrastructure, wildfire resilience, or food security of another Party.</w:t>
      </w:r>
    </w:p>
    <w:p>
      <w:pPr>
        <w:pStyle w:val="Heading2"/>
      </w:pPr>
      <w:bookmarkStart w:id="901705" w:name="_Toc300001704"/>
      <w:r>
        <w:t>Article 43.15: Pest-Movement Controls, Emergency Containment Corridors, and Forest-Agriculture Interface</w:t>
      </w:r>
      <w:bookmarkEnd w:id="901705"/>
    </w:p>
    <w:p>
      <w:pPr>
        <w:pStyle w:val="Normal"/>
      </w:pPr>
      <w:r>
        <w:t>1. The Parties may apply proportionate movement controls to seed, nursery stock, soil, plants, firewood, bark, logs, packaging material, agricultural machinery, harvest equipment, storage facilities, and other pathways capable of carrying a regulated biological threat.</w:t>
      </w:r>
    </w:p>
    <w:p>
      <w:pPr>
        <w:pStyle w:val="Normal"/>
      </w:pPr>
      <w:r>
        <w:t>2. During a material outbreak, qualifying diagnostic equipment, resistant seed, biological controls, crop-protection products, traps, pheromones, containment materials, sanitation equipment, and specialized response personnel shall receive expedited border treatment to the extent consistent with safety and security requirements.</w:t>
      </w:r>
    </w:p>
    <w:p>
      <w:pPr>
        <w:pStyle w:val="Normal"/>
      </w:pPr>
      <w:r>
        <w:t>3. Agricultural and forest-health authorities shall maintain channels for exchanging relevant alerts where a pest, pathogen, weed, or vector crosses the agriculture-forest interface or where management of one system can materially affect the other.</w:t>
      </w:r>
    </w:p>
    <w:p>
      <w:pPr>
        <w:pStyle w:val="Normal"/>
      </w:pPr>
      <w:r>
        <w:t>4. The Parties shall cooperate on scientifically justified firewood and untreated wood movement controls, treatment certification, pest-free production systems, and public communication to reduce avoidable cross-border spread.</w:t>
      </w:r>
    </w:p>
    <w:p>
      <w:pPr>
        <w:pStyle w:val="Normal"/>
      </w:pPr>
      <w:r>
        <w:t>5. Salvage or emergency use of pest- or disease-affected biomass may receive expedited technical consideration where treatment renders the material acceptably safe for the intended pathway and the activity is genuinely connected to containment, restoration, hazard reduction, or productive recovery rather than disguised ordinary harvesting.</w:t>
      </w:r>
    </w:p>
    <w:p>
      <w:pPr>
        <w:pStyle w:val="Heading2"/>
      </w:pPr>
      <w:bookmarkStart w:id="901706" w:name="_Toc300001705"/>
      <w:r>
        <w:t>Article 43.16: Crop Protection Modernization and Safer Substitution</w:t>
      </w:r>
      <w:bookmarkEnd w:id="901706"/>
    </w:p>
    <w:p>
      <w:pPr>
        <w:pStyle w:val="Normal"/>
      </w:pPr>
      <w:r>
        <w:t>1. The Parties shall maintain crop-protection systems capable of responding to material weeds, insects, pathogens, nematodes, and other production threats while progressively reducing avoidable human-health, worker-safety, environmental, persistence, resistance, and off-target burdens.</w:t>
      </w:r>
    </w:p>
    <w:p>
      <w:pPr>
        <w:pStyle w:val="Normal"/>
      </w:pPr>
      <w:r>
        <w:t>2. For cooperation and comparative review under this Article, the Parties may use a common descriptive vocabulary that includes: Continue; Restricted Use; Safer-Substitution Priority; Essential Transitional Use; Accelerated Hazard Review; and Prohibited Agricultural Active Substance. These labels do not themselves change the legal status of an active ingredient or use within a Party.</w:t>
      </w:r>
    </w:p>
    <w:p>
      <w:pPr>
        <w:pStyle w:val="Normal"/>
      </w:pPr>
      <w:r>
        <w:t>3. A competent domestic authority may place a substance or use in a prohibited or equivalent domestic category only through the scientific, legal, notice, review, and decision procedures applicable in that Party. Cooperative review may consider severe human-health or environmental hazard, material agricultural exposure, feasibility of exposure control, availability of materially safer effective methods, agricultural necessity, and any independently unacceptable risk.</w:t>
      </w:r>
    </w:p>
    <w:p>
      <w:pPr>
        <w:pStyle w:val="Normal"/>
      </w:pPr>
      <w:r>
        <w:t>4. Availability of Safer Alternatives. In cooperative review, the Parties should not treat historical use, marginal cost advantage, manufacturer preference, existing inventory, or regulatory inertia as sufficient by themselves to justify continued routine use of a substantially more hazardous active substance where materially safer, reasonably effective, and practically deployable substitutes are available. Final authorization, restriction, or withdrawal remains with the competent domestic authority.</w:t>
      </w:r>
    </w:p>
    <w:p>
      <w:pPr>
        <w:pStyle w:val="Normal"/>
      </w:pPr>
      <w:r>
        <w:t>5. No Agricultural Protection Gap. Except where immediate prohibition is required to protect health or the environment, withdrawal of a significant crop-protection use should be accompanied by accelerated evaluation, supply development, producer guidance, and transition support for safer substitutes where the withdrawal would otherwise leave a material pest, pathogen, or weed threat without a reasonably effective control.</w:t>
      </w:r>
    </w:p>
    <w:p>
      <w:pPr>
        <w:pStyle w:val="Normal"/>
      </w:pPr>
      <w:r>
        <w:t>6. A temporary Essential Transitional Use shall be crop-specific, threat-specific, quantity-limited where practicable, subject to enhanced applicator and exposure safeguards, publicly reasoned, non-precedential, and automatically expire unless renewed on updated evidence that no materially safer effective alternative is reasonably available.</w:t>
      </w:r>
    </w:p>
    <w:p>
      <w:pPr>
        <w:pStyle w:val="Normal"/>
      </w:pPr>
      <w:r>
        <w:t>7. The Parties shall encourage precision application, machine-vision spot treatment, variable-rate systems, shielded application, drift-reduction technology, weather-informed decision support, biological controls, mechanical control, resistant varieties, and other validated methods capable of reducing chemical burden while maintaining effective crop protection.</w:t>
      </w:r>
    </w:p>
    <w:p>
      <w:pPr>
        <w:pStyle w:val="Heading2"/>
      </w:pPr>
      <w:bookmarkStart w:id="901707" w:name="_Toc300001706"/>
      <w:r>
        <w:t>Article 43.17: Initial Priority Agricultural Active-Substance Review Schedule</w:t>
      </w:r>
      <w:bookmarkEnd w:id="901707"/>
    </w:p>
    <w:p>
      <w:pPr>
        <w:pStyle w:val="Normal"/>
      </w:pPr>
      <w:r>
        <w:t>1. As an initial negotiating and scientific-review baseline, carbendazim, paraquat, and chlorothalonil shall be placed on a coordinated priority-review schedule. Within 180 days after entry into force of this Article, each Party's competent authority shall confirm the substance's current domestic legal status and determine, under its own law and current scientific record, whether continued authorization, additional restriction, transition, cancellation, or prohibition is warranted.</w:t>
      </w:r>
    </w:p>
    <w:p>
      <w:pPr>
        <w:pStyle w:val="Normal"/>
      </w:pPr>
      <w:r>
        <w:t>2. This Article does not itself cancel a registration, prohibit manufacture or sale, or create an import ban. A domestic prohibition, restriction, cancellation, or transition measure takes effect only through the competent Party's applicable legal and scientific procedure, including any notice, evidence, review, transition, and appeal requirements required by domestic law.</w:t>
      </w:r>
    </w:p>
    <w:p>
      <w:pPr>
        <w:pStyle w:val="Normal"/>
      </w:pPr>
      <w:r>
        <w:t>3. Where a competent authority determines that an imminent and material crop or plant-health threat warrants a temporary essential use of a substance otherwise restricted or prohibited under its law, the authorization should identify the crop, target threat, geographic scope, maximum duration, worker safeguards, exposure controls, substitution plan, and automatic expiry date. Any authorization remains governed by domestic law and should not exceed one growing season without a fresh scientific determination where renewal is legally available.</w:t>
      </w:r>
    </w:p>
    <w:p>
      <w:pPr>
        <w:pStyle w:val="Normal"/>
      </w:pPr>
      <w:r>
        <w:t>4. Inclusion on the priority-review schedule is not a treaty finding that a particular exposure caused a specific illness, that a substance is unlawful in every use, or that the Parties have reached identical risk conclusions. The purpose of the schedule is to ensure timely, transparent, competent-authority review of a limited set of legacy agricultural active substances presenting material hazard or regulatory concern.</w:t>
      </w:r>
    </w:p>
    <w:p>
      <w:pPr>
        <w:pStyle w:val="Normal"/>
      </w:pPr>
      <w:r>
        <w:t>5. The Commission may, on a science-based recommendation from competent domestic authorities, add a substance to the coordinated priority-review schedule. Addition to or removal from the schedule shall be transparent and shall identify the principal scientific and agricultural basis for the change; it does not itself alter domestic authorization status.</w:t>
      </w:r>
    </w:p>
    <w:p>
      <w:pPr>
        <w:pStyle w:val="Heading2"/>
      </w:pPr>
      <w:bookmarkStart w:id="901708" w:name="_Toc300001707"/>
      <w:r>
        <w:t>Article 43.18: Agricultural Off-Target Effects, Drift, and Neighbor Protection</w:t>
      </w:r>
      <w:bookmarkEnd w:id="901708"/>
    </w:p>
    <w:p>
      <w:pPr>
        <w:pStyle w:val="Normal"/>
      </w:pPr>
      <w:r>
        <w:t>1. A person shall not knowingly apply a crop-protection product under conditions in which material off-target movement causing foreseeable harm to neighboring crops, workers, residences, water bodies, protected habitat, pollinators, or other sensitive receptors is reasonably likely and avoidable through compliant practice.</w:t>
      </w:r>
    </w:p>
    <w:p>
      <w:pPr>
        <w:pStyle w:val="Normal"/>
      </w:pPr>
      <w:r>
        <w:t>2. The Parties shall support crop- and technology-appropriate controls for drift, volatilization, runoff, overspray, contaminated dust, and other off-target pathways, including weather thresholds, buffers, nozzle or equipment specifications, timing restrictions, application records, and precision systems where justified by risk.</w:t>
      </w:r>
    </w:p>
    <w:p>
      <w:pPr>
        <w:pStyle w:val="Normal"/>
      </w:pPr>
      <w:r>
        <w:t>3. Liability and compensation rules may distinguish compliant unavoidable movement from negligent, reckless, repeated, or deliberate conduct. A farmer who complied with applicable stewardship and application requirements shall not be treated as a guarantor against every extraordinary weather event.</w:t>
      </w:r>
    </w:p>
    <w:p>
      <w:pPr>
        <w:pStyle w:val="Normal"/>
      </w:pPr>
      <w:r>
        <w:t>4. Where a verified off-target event causes substantial economic loss to another producer, each Party shall maintain an accessible domestic pathway for investigation, correction, and compensation consistent with its legal system.</w:t>
      </w:r>
    </w:p>
    <w:p>
      <w:pPr>
        <w:pStyle w:val="Heading2"/>
      </w:pPr>
      <w:bookmarkStart w:id="901709" w:name="_Toc300001708"/>
      <w:r>
        <w:t>Article 43.19: Resistance Management and Integrated Pest Management</w:t>
      </w:r>
      <w:bookmarkEnd w:id="901709"/>
    </w:p>
    <w:p>
      <w:pPr>
        <w:pStyle w:val="Normal"/>
      </w:pPr>
      <w:r>
        <w:t>1. The Parties shall cooperate on surveillance and mapping of herbicide, insecticide, fungicide, and other pesticide resistance and shall share non-confidential resistance information relevant to cross-border agricultural production.</w:t>
      </w:r>
    </w:p>
    <w:p>
      <w:pPr>
        <w:pStyle w:val="Normal"/>
      </w:pPr>
      <w:r>
        <w:t>2. Regulatory and extension programs should encourage integrated pest management using surveillance, prevention, crop and variety choice, cultural methods, biological controls, mechanical methods, precision treatment, and targeted chemical controls according to local agronomic conditions.</w:t>
      </w:r>
    </w:p>
    <w:p>
      <w:pPr>
        <w:pStyle w:val="Normal"/>
      </w:pPr>
      <w:r>
        <w:t>3. Where repeated reliance on a single mode of action creates a material resistance threat, a Party may require or encourage resistance-management measures proportionate to the crop, pest, technology, and available alternatives.</w:t>
      </w:r>
    </w:p>
    <w:p>
      <w:pPr>
        <w:pStyle w:val="Normal"/>
      </w:pPr>
      <w:r>
        <w:t>4. Nothing in this Article requires a universal crop rotation, tillage system, pesticide recipe, planting date, or production method across North America.</w:t>
      </w:r>
    </w:p>
    <w:p>
      <w:pPr>
        <w:pStyle w:val="Heading2"/>
      </w:pPr>
      <w:bookmarkStart w:id="901710" w:name="_Toc300001709"/>
      <w:r>
        <w:t>Article 43.20: Soil, Water, Drought, and Climate-Resilient Crop Production</w:t>
      </w:r>
      <w:bookmarkEnd w:id="901710"/>
    </w:p>
    <w:p>
      <w:pPr>
        <w:pStyle w:val="Normal"/>
      </w:pPr>
      <w:r>
        <w:t>1. The Parties shall cooperate on agricultural resilience to drought, extreme heat, flood, wildfire, erosion, salinity, alkalinity, acidity, compaction, declining organic matter, nutrient loss, and other material soil- and water-related production risks.</w:t>
      </w:r>
    </w:p>
    <w:p>
      <w:pPr>
        <w:pStyle w:val="Normal"/>
      </w:pPr>
      <w:r>
        <w:t>2. Programs may support soil testing, water-efficiency technology, irrigation modernization, moisture-conservation practices, drainage improvement, erosion reduction, climate-resilient varieties, regional agronomic research, drought forecasting, soil-carbon improvement, and other locally appropriate measures without mandating a single farming system.</w:t>
      </w:r>
    </w:p>
    <w:p>
      <w:pPr>
        <w:pStyle w:val="Normal"/>
      </w:pPr>
      <w:r>
        <w:t>3. Agricultural water policy remains subject to each Party's constitutional and domestic allocation of water authority. Nothing in this Agreement creates a cross-border entitlement to another Party's water, requires cultivation or abandonment of a particular crop, or compels transfer of water between sectors.</w:t>
      </w:r>
    </w:p>
    <w:p>
      <w:pPr>
        <w:pStyle w:val="Normal"/>
      </w:pPr>
      <w:r>
        <w:t>4. The Parties shall improve drought and extreme-weather early warning, agricultural fire-risk communication, emergency irrigation and water-supply coordination where legally available, and recovery mechanisms for extraordinary production shocks.</w:t>
      </w:r>
    </w:p>
    <w:p>
      <w:pPr>
        <w:pStyle w:val="Normal"/>
      </w:pPr>
      <w:r>
        <w:t>5. In shared basins and watersheds, the Parties may cooperate on agricultural water efficiency, measurement, forecasting, drought contingency, water quality, and ecosystem resilience consistent with existing boundary-water institutions and without prejudice to established treaty rights.</w:t>
      </w:r>
    </w:p>
    <w:p>
      <w:pPr>
        <w:pStyle w:val="Heading2"/>
      </w:pPr>
      <w:bookmarkStart w:id="901711" w:name="_Toc300001710"/>
      <w:r>
        <w:t>Article 43.21: Agricultural Machinery, Parts, Diagnostics, and Seasonal Continuity</w:t>
      </w:r>
      <w:bookmarkEnd w:id="901711"/>
    </w:p>
    <w:p>
      <w:pPr>
        <w:pStyle w:val="Normal"/>
      </w:pPr>
      <w:r>
        <w:t>1. The Parties recognize that loss of access to critical machinery, replacement parts, diagnostic information, software functionality, or repair capacity during planting, spraying, irrigation, or harvest can create disproportionate production losses.</w:t>
      </w:r>
    </w:p>
    <w:p>
      <w:pPr>
        <w:pStyle w:val="Normal"/>
      </w:pPr>
      <w:r>
        <w:t>2. Qualifying agricultural machinery, critical replacement parts, diagnostic equipment, seed-treatment machinery, irrigation components, and repair tools may receive seasonal priority customs treatment during a verified planting or harvest continuity event.</w:t>
      </w:r>
    </w:p>
    <w:p>
      <w:pPr>
        <w:pStyle w:val="Normal"/>
      </w:pPr>
      <w:r>
        <w:t>3. Subject to intellectual-property, cybersecurity, emissions, and safety law, farmers and independent repair providers should have reasonable access to information, interfaces, diagnostic functions, parts, and tools necessary to maintain and repair lawfully acquired agricultural equipment without circumventing unrelated security controls or acquiring proprietary source code not necessary for the repair.</w:t>
      </w:r>
    </w:p>
    <w:p>
      <w:pPr>
        <w:pStyle w:val="Normal"/>
      </w:pPr>
      <w:r>
        <w:t>4. A manufacturer shall not use remote software controls, authentication, or subscription architecture primarily to prevent otherwise lawful repair, disable paid-for essential equipment functionality without contractual basis, or create an artificial emergency-season bottleneck.</w:t>
      </w:r>
    </w:p>
    <w:p>
      <w:pPr>
        <w:pStyle w:val="Normal"/>
      </w:pPr>
      <w:r>
        <w:t>5. The Parties may support interoperable data portability and equipment interfaces where technically feasible while preserving cybersecurity, privacy, safety, and legitimate proprietary interests.</w:t>
      </w:r>
    </w:p>
    <w:p>
      <w:pPr>
        <w:pStyle w:val="Heading2"/>
      </w:pPr>
      <w:bookmarkStart w:id="901712" w:name="_Toc300001711"/>
      <w:r>
        <w:t>Article 43.22: Agricultural Nutrient and Manure Circularity Framework</w:t>
      </w:r>
      <w:bookmarkEnd w:id="901712"/>
    </w:p>
    <w:p>
      <w:pPr>
        <w:pStyle w:val="Normal"/>
      </w:pPr>
      <w:r>
        <w:t>1. The Parties recognize manure and other agricultural residuals as potential sources of nitrogen, phosphorus, organic matter, energy, fibers, carbon products, and other useful materials when managed so that nutrients, pathogens, pharmaceuticals, metals, organic loading, air emissions, and other contaminants do not escape at harmful concentrations.</w:t>
      </w:r>
    </w:p>
    <w:p>
      <w:pPr>
        <w:pStyle w:val="Normal"/>
      </w:pPr>
      <w:r>
        <w:t>2. Manure is an agricultural resource until its storage, treatment, transport, or application creates an unacceptable risk or material pollution burden. Designation as manure, fertilizer, soil amendment, feedstock, renewable fuel, recovered material, or circular product does not by itself establish either waste status or safety.</w:t>
      </w:r>
    </w:p>
    <w:p>
      <w:pPr>
        <w:pStyle w:val="Normal"/>
      </w:pPr>
      <w:r>
        <w:t>3. Nutrient-management systems should account for crop need, soil condition, nutrient content, timing, weather, field characteristics, storage capacity, and credible runoff risk. The Parties may support subsidized testing, calibration, recordkeeping tools, and technical assistance, particularly for small and medium producers.</w:t>
      </w:r>
    </w:p>
    <w:p>
      <w:pPr>
        <w:pStyle w:val="Normal"/>
      </w:pPr>
      <w:r>
        <w:t>4. The Parties shall encourage adequate and climate-resilient manure-storage capacity, appropriate lining or containment, inspection, overflow protection, emergency planning, leak and spill detection, and maintenance proportionate to facility size and risk.</w:t>
      </w:r>
    </w:p>
    <w:p>
      <w:pPr>
        <w:pStyle w:val="Normal"/>
      </w:pPr>
      <w:r>
        <w:t>5. Where frozen soil, snow cover, saturation, forecast precipitation, thaw conditions, slope, or other conditions create an extreme and reasonably foreseeable runoff risk, a Party may temporarily restrict land application while maintaining emergency storage, transfer, treatment, or other practical compliance pathways.</w:t>
      </w:r>
    </w:p>
    <w:p>
      <w:pPr>
        <w:pStyle w:val="Normal"/>
      </w:pPr>
      <w:r>
        <w:t>6. The Parties may develop interoperable runoff-risk decision support using weather, soil, snowpack, topography, water proximity, and storage data, including advisory low-, elevated-, and extreme-risk application conditions, without substituting an automated advisory for legally required professional judgment.</w:t>
      </w:r>
    </w:p>
    <w:p>
      <w:pPr>
        <w:pStyle w:val="Normal"/>
      </w:pPr>
      <w:r>
        <w:t>7. Deliberate dumping, chronic overapplication, falsification, repeated negligent discharges, and knowing operation of materially unsafe storage may receive progressively stronger enforcement. Good-faith compliance with approved nutrient-management practices shall be considered in enforcement and liability consistent with domestic law.</w:t>
      </w:r>
    </w:p>
    <w:p>
      <w:pPr>
        <w:pStyle w:val="Heading2"/>
      </w:pPr>
      <w:bookmarkStart w:id="901713" w:name="_Toc300001712"/>
      <w:r>
        <w:t>Article 43.23: Recovered Agricultural Nutrients, Resource Cascade, and Nutrient Exchange Corridors</w:t>
      </w:r>
      <w:bookmarkEnd w:id="901713"/>
    </w:p>
    <w:p>
      <w:pPr>
        <w:pStyle w:val="Normal"/>
      </w:pPr>
      <w:r>
        <w:t>1. The Parties shall support safe recovery and beneficial use of agricultural nutrients and residuals through a resource hierarchy: avoid unnecessary nutrient surplus; efficiently use suitable nutrients locally; recover concentrated nutrients and useful materials; transport standardized products to deficit regions where economic and safe; recover energy or materials from remaining fractions; and safely manage final residuals.</w:t>
      </w:r>
    </w:p>
    <w:p>
      <w:pPr>
        <w:pStyle w:val="Normal"/>
      </w:pPr>
      <w:r>
        <w:t>2. Cooperation may include composting, solid-liquid separation, anaerobic digestion, digestate processing, phosphorus recovery including struvite, nitrogen or ammonia recovery, pelletization, biochar, controlled-release products, renewable gas, fibers, and other technologies demonstrated safe and effective for the intended use.</w:t>
      </w:r>
    </w:p>
    <w:p>
      <w:pPr>
        <w:pStyle w:val="Normal"/>
      </w:pPr>
      <w:r>
        <w:t>3. No Circularity Presumption of Safety. Recovery, recycling, treatment, conversion, or designation as a beneficial product does not itself establish fitness for food, feed, bedding, soil, water-treatment, construction, consumer, medical, or other exposure pathways. Products shall satisfy performance requirements appropriate to their intended use.</w:t>
      </w:r>
    </w:p>
    <w:p>
      <w:pPr>
        <w:pStyle w:val="Normal"/>
      </w:pPr>
      <w:r>
        <w:t>4. Agricultural Beneficial-Use Test. Designation of a residual as fertilizer, soil amendment, feedstock, recovered material, or other beneficial product shall not exempt its storage, transport, sale, or application from requirements reasonably necessary to prevent material harm to water, soil, ecosystems, workers, communities, or human or animal health.</w:t>
      </w:r>
    </w:p>
    <w:p>
      <w:pPr>
        <w:pStyle w:val="Normal"/>
      </w:pPr>
      <w:r>
        <w:t>5. The Parties may develop interoperable standards for recovered agricultural nutrient products addressing nutrient content, contaminants, pathogens, labeling, sampling, traceability, and fit-for-purpose use so that qualifying products may move commercially without unnecessary duplicate testing.</w:t>
      </w:r>
    </w:p>
    <w:p>
      <w:pPr>
        <w:pStyle w:val="Normal"/>
      </w:pPr>
      <w:r>
        <w:t>6. Nutrient Exchange Corridors may connect nutrient-surplus livestock regions with nutrient-deficit crop regions through processing, storage, logistics, and market information. Participation is voluntary and shall not create compulsory purchase or waste-transfer obligations.</w:t>
      </w:r>
    </w:p>
    <w:p>
      <w:pPr>
        <w:pStyle w:val="Normal"/>
      </w:pPr>
      <w:r>
        <w:t>7. Circularity Shall Not Require Industrial Scale. Small and medium producers shall be eligible, subject to domestic programs, for cooperative processing, mobile equipment, shared infrastructure, grants, concessional financing, third-party services, or other mechanisms that permit participation without requiring each farm to build a stand-alone industrial processing facility.</w:t>
      </w:r>
    </w:p>
    <w:p>
      <w:pPr>
        <w:pStyle w:val="Heading2"/>
      </w:pPr>
      <w:bookmarkStart w:id="901714" w:name="_Toc300001713"/>
      <w:r>
        <w:t>Article 43.24: Agricultural Watershed Protection and Shared Nutrient Outcomes</w:t>
      </w:r>
      <w:bookmarkEnd w:id="901714"/>
    </w:p>
    <w:p>
      <w:pPr>
        <w:pStyle w:val="Normal"/>
      </w:pPr>
      <w:r>
        <w:t>1. Where agricultural nutrient, sediment, pathogen, or organic-matter pollution materially affects a transboundary water body, the Parties may establish a Shared Agricultural Watershed Nutrient Plan through the appropriate existing institution or cooperative mechanism.</w:t>
      </w:r>
    </w:p>
    <w:p>
      <w:pPr>
        <w:pStyle w:val="Normal"/>
      </w:pPr>
      <w:r>
        <w:t>2. A Plan shall identify measurable water-quality outcomes, monitoring methods, relevant agricultural sources and non-agricultural sources where material, implementation responsibilities, review intervals, and practical support for affected producers. It need not mandate identical farming practices in different jurisdictions.</w:t>
      </w:r>
    </w:p>
    <w:p>
      <w:pPr>
        <w:pStyle w:val="Normal"/>
      </w:pPr>
      <w:r>
        <w:t>3. A Party shall not use a transboundary nutrient concern as a disguised restriction on agricultural trade. Measures shall be evidence-based, proportionate to the contribution and risk addressed, and subject to periodic review as conditions improve or new information becomes available.</w:t>
      </w:r>
    </w:p>
    <w:p>
      <w:pPr>
        <w:pStyle w:val="Normal"/>
      </w:pPr>
      <w:r>
        <w:t>4. Where a regulation requires significant manure, nutrient, drainage, storage, or runoff-control upgrades for a public environmental benefit, the regulating Party should consider transition financing, technical assistance, or phased compliance, particularly for otherwise viable small and medium farms.</w:t>
      </w:r>
    </w:p>
    <w:p>
      <w:pPr>
        <w:pStyle w:val="Heading2"/>
      </w:pPr>
      <w:bookmarkStart w:id="901715" w:name="_Toc300001714"/>
      <w:r>
        <w:t>Article 43.25: Agricultural Labor, Automation, and Operational Continuity</w:t>
      </w:r>
      <w:bookmarkEnd w:id="901715"/>
    </w:p>
    <w:p>
      <w:pPr>
        <w:pStyle w:val="Normal"/>
      </w:pPr>
      <w:r>
        <w:t>1. The Parties recognize that seasonal labor shortages, equipment bottlenecks, border delay, and abrupt operational disruptions can cause time-sensitive crop losses even where seed, land, and market demand remain available.</w:t>
      </w:r>
    </w:p>
    <w:p>
      <w:pPr>
        <w:pStyle w:val="Normal"/>
      </w:pPr>
      <w:r>
        <w:t>2. Cooperation may include lawful seasonal-worker mobility, worker-protection enforcement, training, mechanization, ergonomics, automation, robotics, harvest and packing technology, and regional workforce planning consistent with each Party's immigration and labor laws.</w:t>
      </w:r>
    </w:p>
    <w:p>
      <w:pPr>
        <w:pStyle w:val="Normal"/>
      </w:pPr>
      <w:r>
        <w:t>3. Automation shall be treated as a productivity and resilience tool and not as a presumption that seasonal human labor is unnecessary. Programs should consider worker safety, rural employment, small-producer access, retraining, and the operational needs of labor-intensive specialty crops.</w:t>
      </w:r>
    </w:p>
    <w:p>
      <w:pPr>
        <w:pStyle w:val="Normal"/>
      </w:pPr>
      <w:r>
        <w:t>4. During a verified agricultural continuity event, the Parties may prioritize time-sensitive movement of harvest crews lawfully eligible to travel, replacement machinery, critical parts, packaging, refrigeration equipment, and other inputs necessary to prevent avoidable crop loss.</w:t>
      </w:r>
    </w:p>
    <w:p>
      <w:pPr>
        <w:pStyle w:val="Heading2"/>
      </w:pPr>
      <w:bookmarkStart w:id="901716" w:name="_Toc300001715"/>
      <w:r>
        <w:t>Article 43.26: Mexico Co-Design and Regional Production Diversity</w:t>
      </w:r>
      <w:bookmarkEnd w:id="901716"/>
    </w:p>
    <w:p>
      <w:pPr>
        <w:pStyle w:val="Normal"/>
      </w:pPr>
      <w:r>
        <w:t>1. Implementation of Articles 43.10 through 43.25 shall be trilateral and shall treat Mexico as a full agricultural producer, consumer, exporter, importer, breeding and research partner, manufacturing base, and climate-resilience stakeholder rather than as an appended market.</w:t>
      </w:r>
    </w:p>
    <w:p>
      <w:pPr>
        <w:pStyle w:val="Normal"/>
      </w:pPr>
      <w:r>
        <w:t>2. Cooperative programs shall account for Mexico-specific specialty crops, seed systems, irrigation and drought exposure, fertilizer and machinery needs, plant-health pathways, labor-intensive production, export logistics, tropical and subtropical pest pressures, and opportunities for value-added processing.</w:t>
      </w:r>
    </w:p>
    <w:p>
      <w:pPr>
        <w:pStyle w:val="Normal"/>
      </w:pPr>
      <w:r>
        <w:t>3. Programs shall likewise account for Canadian cold-climate, short-season, prairie, northern, greenhouse, orchard, pulse, oilseed, and specialty-crop systems and United States regional production diversity without converting regional differences into lesser procedural rights.</w:t>
      </w:r>
    </w:p>
    <w:p>
      <w:pPr>
        <w:pStyle w:val="Normal"/>
      </w:pPr>
      <w:r>
        <w:t>4. No Party shall be required to become dependent on another Party for an essential seed, crop-protection tool, fertilizer, agricultural technology, food commodity, or production input as a condition of receiving a benefit under this Chapter.</w:t>
      </w:r>
    </w:p>
    <w:p>
      <w:pPr>
        <w:pStyle w:val="Heading2"/>
      </w:pPr>
      <w:bookmarkStart w:id="901717" w:name="_Toc300001716"/>
      <w:r>
        <w:t>Article 43.27: Food Security Without Dependency and Producer Resilience</w:t>
      </w:r>
      <w:bookmarkEnd w:id="901717"/>
    </w:p>
    <w:p>
      <w:pPr>
        <w:pStyle w:val="Normal"/>
      </w:pPr>
      <w:r>
        <w:t>1. Agricultural integration under this Agreement shall improve resilience without requiring a Party to abandon reasonable domestic capacity, supplier diversification, strategic reserves, public breeding, emergency inventories, or other measures designed to avoid dangerous dependency.</w:t>
      </w:r>
    </w:p>
    <w:p>
      <w:pPr>
        <w:pStyle w:val="Normal"/>
      </w:pPr>
      <w:r>
        <w:t>2. The Parties may monitor systemic agricultural input concentration, supply bottlenecks, extraordinary price shocks, seed or fertilizer shortages, and other conditions capable of threatening otherwise viable production. Such monitoring does not authorize price fixing, compulsory licensing, confiscation of intellectual property, or guaranteed commercial returns.</w:t>
      </w:r>
    </w:p>
    <w:p>
      <w:pPr>
        <w:pStyle w:val="Normal"/>
      </w:pPr>
      <w:r>
        <w:t>3. Competition policy is not confiscation of intellectual property. The Parties shall preserve legitimate incentives for plant breeding, biotechnology, agricultural chemistry, machinery innovation, and other investment while retaining authority to address anticompetitive tying, exclusionary conduct, deceptive licensing, unlawful market allocation, abusive interoperability restrictions, or other conduct prohibited by domestic competition law.</w:t>
      </w:r>
    </w:p>
    <w:p>
      <w:pPr>
        <w:pStyle w:val="Normal"/>
      </w:pPr>
      <w:r>
        <w:t>4. During an extraordinary continental agricultural disruption, a Party may provide emergency financing, credit support, insurance assistance, input guarantees, storage support, or similar measures to otherwise viable producers, subject to the agricultural-support and non-escalation disciplines of this Agreement.</w:t>
      </w:r>
    </w:p>
    <w:p>
      <w:pPr>
        <w:pStyle w:val="Normal"/>
      </w:pPr>
      <w:r>
        <w:t>5. Nothing in this Framework guarantees farm profitability, crop yield, market price, input price, sales volume, or commercial success. Its purpose is to reduce avoidable structural vulnerabilities and improve the capacity of North American agriculture to withstand shocks without transferring all adjustment costs to producers, workers, consumers, or neighboring communities.</w:t>
      </w:r>
    </w:p>
    <w:p>
      <w:pPr>
        <w:pStyle w:val="Heading2"/>
      </w:pPr>
      <w:bookmarkStart w:id="1200001" w:name="_TocR24_14652"/>
      <w:r>
        <w:t>Article 43.28: Operative Status of Integrated Welfare Provisions</w:t>
      </w:r>
      <w:bookmarkEnd w:id="1200001"/>
    </w:p>
    <w:p>
      <w:pPr>
        <w:pStyle w:val="Normal"/>
        <w:spacing w:before="0" w:after="0"/>
      </w:pPr>
      <w:r>
        <w:t>1. Article 43.W and Annex 43-H are operative components of Chapter 43 under the Protocol of Modernization and take effect with that Protocol. A transition period, validation condition, candidate schedule, pilot, or reserved matter applies only where Article 43.W or Annex 43-H expressly states that limitation; inclusion in Chapter 43 does not convert a candidate, pilot, or reserved matter into a compulsory measure. No separate adoption of Package CC is required for Article 43.W or Annex 43-H to take effect, and any further binding schedule or substantive change requires the applicable authority under Article 34.3 or Article 34.3.A within its stated limits. Package CC's remaining integration safeguards continue to apply on their own terms without creating a separate adoption gate, implied transition period, or change to an existing welfare obligation.</w:t>
      </w:r>
    </w:p>
    <w:p/>
    <w:p>
      <w:pPr>
        <w:pStyle w:val="Heading2"/>
      </w:pPr>
      <w:bookmarkStart w:id="902423" w:name="_Toc300002422"/>
      <w:r>
        <w:t>Article 43.W: Humane Agricultural Production and Handling Floor</w:t>
      </w:r>
      <w:bookmarkEnd w:id="902423"/>
    </w:p>
    <w:p>
      <w:pPr>
        <w:pStyle w:val="Normal"/>
      </w:pPr>
      <w:r>
        <w:t>43.W.1. Extreme Confinement. A covered production system shall not keep an animal in confinement so restrictive that, for a substantial portion of its ordinary production life, the animal cannot perform basic species-appropriate postural movements reasonably necessary to stand, lie down, turn around where anatomically applicable, access feed and water, or avoid persistent injury. Species-specific schedules may define equivalent outcome measures, transition periods, and narrow veterinary or emergency exceptions.</w:t>
      </w:r>
    </w:p>
    <w:p>
      <w:pPr>
        <w:pStyle w:val="Normal"/>
      </w:pPr>
      <w:r>
        <w:t>43.W.2. Healthy-Tissue Principle. Routine removal, destruction, or permanent disabling of healthy tissue solely to compensate for avoidable crowding, aggression, identification convenience, handling convenience, or facility design should be replaced with lower-harm management, genetics, traceability, housing, or handling methods where reasonably available. Necessary therapeutic treatment and ordinary welfare-positive hoof, claw, dental, or comparable maintenance remain permitted.</w:t>
      </w:r>
    </w:p>
    <w:p>
      <w:pPr>
        <w:pStyle w:val="Normal"/>
      </w:pPr>
      <w:r>
        <w:t>43.W.3. Humane Handling. Routine use of electric shock, painful coercion, or equipment whose ordinary function depends on pain or substantial distress to force movement is prohibited where reasonable low-stress handling methods are available. Narrow emergency use necessary to prevent imminent serious injury may remain subject to domestic law. Ordinary electric fencing used as a boundary system is not prohibited by this paragraph.</w:t>
      </w:r>
    </w:p>
    <w:p>
      <w:pPr>
        <w:pStyle w:val="Normal"/>
      </w:pPr>
      <w:r>
        <w:t>43.W.4. Fitness for Transport and Border-Delay Welfare. Live-animal transport shall use species-appropriate fitness-to-travel, loading-density, ventilation, thermal-protection, feed, water, rest, handling, and emergency-response standards. Where a border or inspection delay creates a credible serious welfare risk, competent authorities should prioritize lawful resolution, alternate routing, unloading, watering, feeding, veterinary intervention, or other protective action without waiving animal-health or biosecurity requirements.</w:t>
      </w:r>
    </w:p>
    <w:p>
      <w:pPr>
        <w:pStyle w:val="Normal"/>
      </w:pPr>
      <w:r>
        <w:t>43.W.5. Humane Slaughter and Insensibility Verification. A covered slaughter process shall not proceed to irreversible processing where the animal is reasonably believed to remain conscious or sensate. Operators shall use validated equipment and procedures, verify effective stunning or insensibility as appropriate, and provide immediate corrective action where effectiveness is uncertain or has failed. Implementation shall respect applicable constitutional and religious-freedom law and may recognize validated reversible stunning or other lawful methods that achieve the welfare objective.</w:t>
      </w:r>
    </w:p>
    <w:p>
      <w:pPr>
        <w:pStyle w:val="Normal"/>
      </w:pPr>
      <w:r>
        <w:t>43.W.6. Prolonged-Suffering Depopulation Methods. A Party shall prohibit routine use of ventilation shutdown, or foam, liquid, slurry, expanding material, or comparable methods whose intended killing mechanism is prolonged hyperthermia, airway obstruction, drowning-like compromise, suffocation, hypoxia, or comparable prolonged respiratory distress. This paragraph does not prohibit a future carrier or delivery system where a separately validated mechanism first produces rapid humane insensibility.</w:t>
      </w:r>
    </w:p>
    <w:p>
      <w:pPr>
        <w:pStyle w:val="Normal"/>
      </w:pPr>
      <w:r>
        <w:t>43.W.7. Mass Depopulation Review. A large-scale government-directed or government-authorized depopulation event should receive proportionate after-action review addressing necessity, disease rationale, feasible alternatives, welfare method, rescue or transfer feasibility where relevant, planning adequacy, mortality and failure data, and lessons learned. Review shall not delay urgent disease-control action necessary to protect animal or public health.</w:t>
      </w:r>
    </w:p>
    <w:p>
      <w:pPr>
        <w:pStyle w:val="Heading2"/>
      </w:pPr>
      <w:bookmarkStart w:id="1200002" w:name="_TocR24_AnnexA"/>
      <w:r>
        <w:t>ANNEX 43-A: DAIRY IMPLEMENTATION AND SPECIALTY-PRODUCT PRINCIPLES</w:t>
      </w:r>
      <w:bookmarkEnd w:id="1200002"/>
    </w:p>
    <w:p>
      <w:pPr>
        <w:pStyle w:val="Normal"/>
      </w:pPr>
      <w:r>
        <w:t>1. Product Sensitivity Bands. For purposes of negotiated access and experimental design, the Parties may distinguish: (a) Protected Core products that remain highly sensitive under a Party's domestic agricultural structure; (b) Managed Consumer Access products such as cheese, butter, yogurt, cream, and ice cream; (c) Industrial and Ingredient products including whey, proteins, powders, casein, lactose, and specialized manufacturing inputs; and (d) Specialty and Innovation products with limited domestic production, distinctive processing, niche demand, or novel technological characteristics.</w:t>
      </w:r>
    </w:p>
    <w:p>
      <w:pPr>
        <w:pStyle w:val="Normal"/>
      </w:pPr>
      <w:r>
        <w:t>2. The bands in paragraph 1 are analytical tools and do not themselves alter tariff schedules, tariff-rate quota quantities, origin rules, or domestic regulatory classifications.</w:t>
      </w:r>
    </w:p>
    <w:p>
      <w:pPr>
        <w:pStyle w:val="Normal"/>
      </w:pPr>
      <w:r>
        <w:t>3. Perishable Dairy Priority. Fresh cheeses, cultured products, live-culture products, and other goods for which border delay materially reduces commercial value may qualify for pre-arrival processing, priority inspection, and statistically measured release targets subject to food-safety risk.</w:t>
      </w:r>
    </w:p>
    <w:p>
      <w:pPr>
        <w:pStyle w:val="Normal"/>
      </w:pPr>
      <w:r>
        <w:t>4. Origin Integrity. Experimental simplification should preferentially reduce documentation burden rather than lower substantive North American origin thresholds. Any temporary origin variation shall be expressly bounded, monitored, and unavailable for transshipment or superficial processing.</w:t>
      </w:r>
    </w:p>
    <w:p>
      <w:pPr>
        <w:pStyle w:val="Normal"/>
      </w:pPr>
      <w:r>
        <w:t>5. Labeling Interoperability. The Parties shall seek a common underlying information core covering product identity, ingredients, allergens, nutrition information, origin, storage conditions, and lot or traceability information while preserving each Party's official-language and consumer-protection requirements.</w:t>
      </w:r>
    </w:p>
    <w:p>
      <w:pPr>
        <w:pStyle w:val="Normal"/>
      </w:pPr>
      <w:r>
        <w:t>6. Certification Recognition. Mutual recognition may be developed for equivalent organic, artisan or small-producer, pharmaceutical-grade lactose, inspection, laboratory, and other certifications where competent authorities determine that the underlying standards provide comparable assurance.</w:t>
      </w:r>
    </w:p>
    <w:p>
      <w:pPr>
        <w:pStyle w:val="Normal"/>
      </w:pPr>
      <w:r>
        <w:t>7. Pilot Reciprocity. Experimental opportunities should be reciprocal in commercial opportunity but need not use identical products, regions, or tonnage where market size, sensitivity, logistics, or consumer demand materially differ.</w:t>
      </w:r>
    </w:p>
    <w:p>
      <w:pPr>
        <w:pStyle w:val="Normal"/>
      </w:pPr>
      <w:r>
        <w:t>8. Anti-Gaming. The Parties shall guard against quota hoarding, shell applicants, strategic underfill, false specialty classification, deliberate reclassification, origin laundering, pilot cycling, fabricated capacity gaps, manipulation of emergency safeguards, and administrative delay designed to influence utilization statistics.</w:t>
      </w:r>
    </w:p>
    <w:p>
      <w:pPr>
        <w:pStyle w:val="Normal"/>
      </w:pPr>
      <w:r>
        <w:t>9. Confidentiality. Public reporting shall protect confidential business information, personally identifiable information, commercially sensitive pricing, and proprietary production data while providing sufficient aggregate information for independent evaluation.</w:t>
      </w:r>
    </w:p>
    <w:p>
      <w:pPr>
        <w:pStyle w:val="Normal"/>
      </w:pPr>
      <w:r>
        <w:t>10. Technical Maintenance. The Commission may update product definitions, tariff-line crosswalks, data fields, pilot templates, service metrics, and other non-substantive technical elements of this Annex through the Structured Technical Amendment Procedure, subject to the limitations of Article 34.A.</w:t>
      </w:r>
    </w:p>
    <w:p>
      <w:pPr>
        <w:pStyle w:val="Normal"/>
      </w:pPr>
      <w:r>
        <w:t>11. Provincial Dairy Access Schedule. The implementing Schedule shall list, for each Canadian province, the official Reference Milk-Production Volume, applicable phase-in percentage, resulting milk-equivalent access quantity, product-conversion factors, any regional-pooling designation, and the portion treated as pre-existing versus genuinely incremental access.</w:t>
      </w:r>
    </w:p>
    <w:p>
      <w:pPr>
        <w:pStyle w:val="Normal"/>
      </w:pPr>
      <w:r>
        <w:t>12. Milk-Equivalent Conversion. Conversion factors shall be based on transparent, objective dairy-component or milk-solids methodology appropriate to the product category, shall be reproducible from published inputs, and shall be maintained consistently across provinces. The implementing Schedule shall publish the applicable product-family factors or an incorporated technical table before access obligations become operative. Technical updates may correct conversion accuracy but shall not be used unilaterally to increase or diminish the economic burden or commercial value of negotiated access.</w:t>
      </w:r>
    </w:p>
    <w:p>
      <w:pPr>
        <w:pStyle w:val="Normal"/>
      </w:pPr>
      <w:r>
        <w:t>13. Utilization Reporting. Provincial reporting shall distinguish quantities allocated, imported, processed or placed into commerce, returned, reallocated, transferred regionally, and unused. Reporting shall also identify, in aggregate form, the principal objectively supported causes of material underutilization.</w:t>
      </w:r>
    </w:p>
    <w:p>
      <w:pPr>
        <w:pStyle w:val="Normal"/>
      </w:pPr>
      <w:r>
        <w:t>14. New-Entrant Availability. The implementing Schedule shall preserve a commercially meaningful pathway for qualified new entrants and non-incumbent commercial users. The Commission may establish product-sensitive minimum availability or reallocation priority where evidence shows that incumbent concentration is materially impairing utilization.</w:t>
      </w:r>
    </w:p>
    <w:p>
      <w:pPr>
        <w:pStyle w:val="Normal"/>
      </w:pPr>
      <w:r>
        <w:t>15. Existing-Access Baseline. Before implementation, the Parties shall establish a transparent baseline identifying the portion of existing United States dairy access demonstrably utilized in each province or region. Existing access may count toward the provincial floor only as specified in the Schedule; unutilized paper access shall not be presumed equivalent to effective utilization.</w:t>
      </w:r>
    </w:p>
    <w:p>
      <w:pPr>
        <w:pStyle w:val="Normal"/>
      </w:pPr>
      <w:r>
        <w:rPr>
          <w:b/>
        </w:rPr>
        <w:t>16. Priority Cheese Schedule.</w:t>
      </w:r>
      <w:r>
        <w:t xml:space="preserve"> The implementing Schedule shall state, for each province, the 0.2 percent Priority Cheese Access Bonus, its milk-equivalent quantity, and the applicable tariff-line crosswalks and product definitions for cheddar, mozzarella, including commercially relevant low-moisture and part-skim forms, and cream cheese.</w:t>
      </w:r>
    </w:p>
    <w:p>
      <w:pPr>
        <w:pStyle w:val="Normal"/>
      </w:pPr>
      <w:r>
        <w:rPr>
          <w:b/>
        </w:rPr>
        <w:t>17. Conversion Transparency.</w:t>
      </w:r>
      <w:r>
        <w:t xml:space="preserve"> Before the Priority Cheese Bonus becomes operative, the Parties shall publish the conversion methodology and product-family factors used to translate covered cheeses into milk-equivalent quantities. Factors shall be based on objective dairy-component or milk-solids methodology and shall be reproducible from published inputs. A technical disagreement shall be resolved through neutral technical review rather than unilateral control by either Party.</w:t>
      </w:r>
    </w:p>
    <w:p>
      <w:pPr>
        <w:pStyle w:val="Normal"/>
      </w:pPr>
      <w:r>
        <w:rPr>
          <w:b/>
        </w:rPr>
        <w:t>18. Priority Cheese Utilization Reporting.</w:t>
      </w:r>
      <w:r>
        <w:t xml:space="preserve"> Reporting shall separately identify Bonus quantities allocated, imported, returned, reallocated, and unused, together with aggregate participation by processors, independent importers, retail or food-service channels, and new entrants, while protecting confidential business information.</w:t>
      </w:r>
    </w:p>
    <w:p>
      <w:pPr>
        <w:pStyle w:val="Normal"/>
      </w:pPr>
      <w:r>
        <w:rPr>
          <w:b/>
        </w:rPr>
        <w:t>19. Classification and Anti-Substitution Rule.</w:t>
      </w:r>
      <w:r>
        <w:t xml:space="preserve"> The Priority Cheese Bonus shall not be satisfied with skim milk powder, milk protein concentrate, butter, whey, yogurt, unrelated cheese categories, or other dairy products. Product classification shall follow the agreed tariff-line crosswalk and commercially substantive product characteristics rather than labels selected for quota convenience.</w:t>
      </w:r>
    </w:p>
    <w:p>
      <w:pPr>
        <w:pStyle w:val="Normal"/>
      </w:pPr>
      <w:r>
        <w:rPr>
          <w:b/>
        </w:rPr>
        <w:t>20. Six-Month General-Floor Transition.</w:t>
      </w:r>
      <w:r>
        <w:t xml:space="preserve"> The Schedule shall show the 0.6 percent general provincial floor from entry into force and the 0.8 percent general floor beginning six months thereafter. The 0.2 percent Priority Cheese Bonus applies throughout both periods, producing total scheduled provincial access of 0.8 percent at entry into force and 1.0 percent after six months, subject to the accounting and scope rules of Articles 43.2L.4 and 43.2L.10.</w:t>
      </w:r>
    </w:p>
    <w:p>
      <w:pPr>
        <w:pStyle w:val="Heading3"/>
      </w:pPr>
      <w:r>
        <w:t>21. Optional Enhanced Dairy-Forestry Exchange Schedule.</w:t>
      </w:r>
    </w:p>
    <w:p>
      <w:pPr>
        <w:pStyle w:val="Normal"/>
      </w:pPr>
      <w:r>
        <w:t>Annex 43-A shall maintain a separate Optional Canada-United States Enhanced Dairy Access and Softwood Lumber Normalization Exchange Schedule. The Schedule is legally dormant unless separately executed by Canada and the United States under Article 43.2L.11. Ratification, entry into force, renewal, continuation, or amendment of this Agreement does not activate the Schedule or constitute consent to any optional Exchange Unit.</w:t>
      </w:r>
    </w:p>
    <w:p>
      <w:pPr>
        <w:pStyle w:val="Heading3"/>
      </w:pPr>
      <w:r>
        <w:t>22. Suggested Initial Lumber Calibration.</w:t>
      </w:r>
    </w:p>
    <w:p>
      <w:pPr>
        <w:pStyle w:val="Normal"/>
      </w:pPr>
      <w:r>
        <w:t>For negotiating purposes only, the initial reference proposal is: Exchange Unit A, an additional 0.20 percent provincial dairy access in return for an Aggregate Covered Border Burden ceiling of 25 percent on covered Canadian softwood lumber; Exchange Unit B, a further 0.20 percent in return for a cumulative ceiling of 20 percent; and Exchange Unit C, a further 0.10 percent in return for a cumulative ceiling of 15 percent. Full activation therefore produces 1.50 percent total scheduled provincial dairy access and a suggested 15 percent lumber ceiling. These figures are negotiable before execution and create no obligation unless incorporated into a signed Activation Schedule.</w:t>
      </w:r>
    </w:p>
    <w:p>
      <w:pPr>
        <w:pStyle w:val="Heading3"/>
      </w:pPr>
      <w:r>
        <w:t>23. Negotiating Equivalence Corridor.</w:t>
      </w:r>
    </w:p>
    <w:p>
      <w:pPr>
        <w:pStyle w:val="Normal"/>
      </w:pPr>
      <w:r>
        <w:t>For full activation, Canada and the United States should ordinarily seek a negotiated Aggregate Covered Border Burden within a 12.5 to 20 percent reference corridor, with 15 percent as the suggested initial negotiating point. The corridor is guidance for reciprocal-value negotiation, not an automatic entitlement, mandatory outcome, or unilateral adjustment formula. A signed Activation Schedule may adopt another calibration where the Parties expressly agree and Cothrom verifies substantial reciprocal value equivalence.</w:t>
      </w:r>
    </w:p>
    <w:p>
      <w:pPr>
        <w:pStyle w:val="Heading3"/>
      </w:pPr>
      <w:r>
        <w:t>24. Aggregate Covered Border Burden.</w:t>
      </w:r>
    </w:p>
    <w:p>
      <w:pPr>
        <w:pStyle w:val="Normal"/>
      </w:pPr>
      <w:r>
        <w:t>For this Optional Exchange, Aggregate Covered Border Burden means the cumulative ad valorem equivalent of covered softwood-lumber-specific anti-dumping duties, countervailing duties, Section 232 lumber tariffs, emergency or additional lumber tariffs, lumber-specific import surcharges or assessments, and successor measures that materially withdraw the negotiated commercial value of the applicable Exchange Unit. Ordinary non-discriminatory customs fees, generally applicable internal taxes, penalties for proven violations, and bona fide health, safety, environmental, customs, or anti-fraud measures are excluded unless applied or structured as a disguised substitute for a covered burden.</w:t>
      </w:r>
    </w:p>
    <w:p>
      <w:pPr>
        <w:pStyle w:val="Heading3"/>
      </w:pPr>
      <w:r>
        <w:t>25. Activation and Performance Record.</w:t>
      </w:r>
    </w:p>
    <w:p>
      <w:pPr>
        <w:pStyle w:val="Normal"/>
      </w:pPr>
      <w:r>
        <w:t>Each signed Activation Schedule shall identify covered lumber products and measures, any producer-specific treatment required by applicable law, the applicable burden ceiling, the corresponding dairy increment, commencement date, duration if any, verification data, treatment of successor measures, and cure and step-back procedures. Cothrom shall maintain a paired performance record sufficient to verify whether each side continues to deliver the commercial value for which the corresponding Exchange Unit was activated.</w:t>
      </w:r>
    </w:p>
    <w:p>
      <w:pPr>
        <w:pStyle w:val="Heading2"/>
      </w:pPr>
      <w:bookmarkStart w:id="1200003" w:name="_TocR24_AnnexB"/>
      <w:r>
        <w:t>ANNEX 43-B: BEVERAGE ALCOHOL IMPLEMENTATION, FEDERALISM, AND TECHNICAL PRINCIPLES</w:t>
      </w:r>
      <w:bookmarkEnd w:id="1200003"/>
    </w:p>
    <w:p>
      <w:pPr>
        <w:pStyle w:val="Normal"/>
      </w:pPr>
      <w:r>
        <w:t>1. Protected Domestic Regulation. Measures concerning legal purchase age, sales and service hours, zoning, public or private retail structure, responsible-service requirements, legitimate minimum-pricing or public-health policies, and comparable social regulation remain within domestic authority, subject to the Agreement's applicable nondiscrimination and other obligations.</w:t>
      </w:r>
    </w:p>
    <w:p>
      <w:pPr>
        <w:pStyle w:val="Normal"/>
      </w:pPr>
      <w:r>
        <w:t>2. Trade-Disciplined Administration. Listing procedures, origin-based markups, discriminatory fees, licensing delays, duplicative certification, unnecessary warehousing or agent requirements, customs treatment, and other administrative measures materially affecting another Party's products remain subject to this Framework.</w:t>
      </w:r>
    </w:p>
    <w:p>
      <w:pPr>
        <w:pStyle w:val="Normal"/>
      </w:pPr>
      <w:r>
        <w:t>3. Cooperative Functions. The Parties should prioritize interoperability for testing, recalls, counterfeit enforcement, digital documentation, distinctive-product protection, safety alerts, customs facilitation, SME assistance, and regulatory information.</w:t>
      </w:r>
    </w:p>
    <w:p>
      <w:pPr>
        <w:pStyle w:val="Normal"/>
      </w:pPr>
      <w:r>
        <w:t>4. Canadian Federalism. Nothing in this Framework shall be construed to alter the constitutional allocation of authority between the Government of Canada and the provinces or territories. Canada remains responsible for fulfillment of its international obligations while implementation shall respect its constitutional arrangements.</w:t>
      </w:r>
    </w:p>
    <w:p>
      <w:pPr>
        <w:pStyle w:val="Normal"/>
      </w:pPr>
      <w:r>
        <w:t>5. U.S. and Mexican Federalism. Equivalent respect shall apply to the constitutional allocation of authority within the United States and Mexico. Subnational participation does not diminish each Party's responsibility under this Agreement.</w:t>
      </w:r>
    </w:p>
    <w:p>
      <w:pPr>
        <w:pStyle w:val="Normal"/>
      </w:pPr>
      <w:r>
        <w:t>6. Regulatory Diversity Safe Harbor. Mere difference among national or subnational regulatory systems is not evidence of discrimination. The complaining Party or affected person must identify materially adverse treatment, disguised protection, or unnecessary restriction under an applicable obligation.</w:t>
      </w:r>
    </w:p>
    <w:p>
      <w:pPr>
        <w:pStyle w:val="Normal"/>
      </w:pPr>
      <w:r>
        <w:t>7. Public Health and Safety. Nothing in this Framework prevents a Party from adopting or maintaining evidence-based measures necessary to protect public health, prevent youth access, address impaired driving, combat illicit alcohol, or respond to contamination, provided such measures are not applied as disguised discrimination.</w:t>
      </w:r>
    </w:p>
    <w:p>
      <w:pPr>
        <w:pStyle w:val="Normal"/>
      </w:pPr>
      <w:r>
        <w:t>8. Personal and Temporary Imports. The Parties should publish clear rules for travelers' personal quantities and simplify compliant temporary imports for competitions, festivals, exhibitions, cultural events, samples, reusable containers, and professional evaluation.</w:t>
      </w:r>
    </w:p>
    <w:p>
      <w:pPr>
        <w:pStyle w:val="Normal"/>
      </w:pPr>
      <w:r>
        <w:t>9. Product Coverage. Technical schedules may distinguish beer, wine, cider, perry, spirits, liqueurs, ready-to-drink beverages, low- and no-alcohol products, beverage ingredients, cooking alcohol, extracts, specialty and heritage products, and other categories where distinct treatment is useful.</w:t>
      </w:r>
    </w:p>
    <w:p>
      <w:pPr>
        <w:pStyle w:val="Normal"/>
      </w:pPr>
      <w:r>
        <w:t>10. Origin and Production Claims. Technical rules should distinguish brand ownership, place of production, origin of agricultural inputs, maturation, bottling, and legally protected distinctive-product origin so consumers and customs authorities are not misled.</w:t>
      </w:r>
    </w:p>
    <w:p>
      <w:pPr>
        <w:pStyle w:val="Normal"/>
      </w:pPr>
      <w:r>
        <w:t>11. SME Qualification. Size thresholds or alternative qualification criteria used for SME facilitation shall be objective, transparent, periodically reviewable, and designed to prevent artificial fragmentation of large enterprises.</w:t>
      </w:r>
    </w:p>
    <w:p>
      <w:pPr>
        <w:pStyle w:val="Normal"/>
      </w:pPr>
      <w:r>
        <w:t>12. Fee Discipline. A fee is not discriminatory solely because it differs across jurisdictions or services. Review shall consider whether it is origin-neutral, reasonably related to service or regulatory cost, transparent, and not structured to nullify market access.</w:t>
      </w:r>
    </w:p>
    <w:p>
      <w:pPr>
        <w:pStyle w:val="Normal"/>
      </w:pPr>
      <w:r>
        <w:t>13. Data Minimization. Information exchange shall be limited to what is reasonably necessary for customs, safety, tax, traceability, enforcement, or evaluation functions and shall protect confidential business and personal information.</w:t>
      </w:r>
    </w:p>
    <w:p>
      <w:pPr>
        <w:pStyle w:val="Normal"/>
      </w:pPr>
      <w:r>
        <w:t>14. Technology Neutrality. Electronic systems shall define required outcomes and interoperability standards rather than mandate blockchain, biometrics, or a named commercial technology.</w:t>
      </w:r>
    </w:p>
    <w:p>
      <w:pPr>
        <w:pStyle w:val="Normal"/>
      </w:pPr>
      <w:r>
        <w:t>15. No Guaranteed Demand. Nothing in this Framework guarantees sales, shelf share, consumer acceptance, retailer purchases, or commercial success for any product.</w:t>
      </w:r>
    </w:p>
    <w:p>
      <w:pPr>
        <w:pStyle w:val="Normal"/>
      </w:pPr>
      <w:r>
        <w:t>16. Three-Win Review. Periodic implementation reviews shall identify material benefits, adjustment costs, and unresolved barriers for Canada, Mexico, and the United States separately so that trilateral balance can be assessed rather than inferred from aggregate trade.</w:t>
      </w:r>
    </w:p>
    <w:p>
      <w:pPr>
        <w:pStyle w:val="Normal"/>
      </w:pPr>
      <w:r>
        <w:t>17. Technical Maintenance. The Commission may update non-substantive product crosswalks, data fields, forms, service metrics, registry entries, pilot templates, and interoperability specifications without altering tariff schedules, substantive market-access rights, constitutional allocations, or protected domestic policy choices.</w:t>
      </w:r>
    </w:p>
    <w:p>
      <w:pPr>
        <w:pStyle w:val="Normal"/>
      </w:pPr>
      <w:r>
        <w:t>18. Anti-Gaming. Implementation shall guard against shell SMEs, false specialty status, origin laundering, artificial shipment splitting, strategic delisting, discriminatory bundled fees, warehouse bottlenecks, sham scarcity, selective promotional rules, misuse of emergency safeguards, and other practices designed to evade the substance of this Framework.</w:t>
      </w:r>
    </w:p>
    <w:p>
      <w:pPr>
        <w:pStyle w:val="Heading2"/>
      </w:pPr>
      <w:bookmarkStart w:id="901692" w:name="_Toc300001691"/>
      <w:r>
        <w:rPr>
          <w:b/>
        </w:rPr>
        <w:t>ANNEX 43-B-1: NATIONALITY-NEUTRAL ALCOHOL RESTORATION AND SUBNATIONAL IMPLEMENTATION SCHEDULE</w:t>
      </w:r>
      <w:bookmarkEnd w:id="901692"/>
    </w:p>
    <w:p>
      <w:pPr>
        <w:pStyle w:val="Normal"/>
      </w:pPr>
      <w:r>
        <w:rPr>
          <w:b w:val="0"/>
        </w:rPr>
      </w:r>
      <w:r>
        <w:rPr>
          <w:b/>
        </w:rPr>
        <w:t xml:space="preserve">B43-1. Purpose and Relationship. </w:t>
      </w:r>
      <w:r>
        <w:t>This Schedule operationalizes Articles 43.2W.4 through 43.2W.10 and supplements Annex 43-B without displacing its federalism, public-health, regulatory-diversity, or technical principles. It shall be read with Articles 43.2M through 43.2W.3, Annex 3-C, Chapter 31, Chapter 35, and the Cothrom verification architecture. Where a more specific alcohol rule and a general rule address the same matter, they shall be interpreted consistently where possible. Nothing in this Schedule creates guaranteed commercial sales, shelf space, or a new tariff authority.</w:t>
      </w:r>
    </w:p>
    <w:p>
      <w:pPr>
        <w:pStyle w:val="Normal"/>
      </w:pPr>
      <w:r>
        <w:rPr>
          <w:b w:val="0"/>
        </w:rPr>
      </w:r>
      <w:r>
        <w:rPr>
          <w:b/>
        </w:rPr>
        <w:t xml:space="preserve">B43-2. Initial Restoration Inventory. </w:t>
      </w:r>
      <w:r>
        <w:t>Within 30 days after entry into force, each Party shall compile a non-confidential inventory of known governmental nationality-specific alcohol restrictions that remained in effect on the relevant baseline date. The inventory should identify the responsible jurisdiction, product category, form of restriction, restoration contact, and expected compliance pathway. Inclusion in the inventory does not predetermine legal liability and omission does not bar a later verified claim. The inventory shall be updated as restrictions are cured or additional covered measures are verified.</w:t>
      </w:r>
    </w:p>
    <w:p>
      <w:pPr>
        <w:pStyle w:val="Normal"/>
      </w:pPr>
      <w:r>
        <w:rPr>
          <w:b w:val="0"/>
        </w:rPr>
      </w:r>
      <w:r>
        <w:rPr>
          <w:b/>
        </w:rPr>
        <w:t xml:space="preserve">B43-3. Restoration Record. </w:t>
      </w:r>
      <w:r>
        <w:t>For each covered restoration matter, the responsible authority should maintain a concise record identifying the prior status, reason for removal or restriction, regulatory information still valid, additional information required, available channels, fee treatment, decision date, and review route. The record may incorporate existing administrative documents rather than duplicate them. Confidential commercial information shall be protected. The record shall permit Cothrom reviewers to distinguish administrative delay from legitimate commercial or regulatory decision-making.</w:t>
      </w:r>
    </w:p>
    <w:p>
      <w:pPr>
        <w:pStyle w:val="Normal"/>
      </w:pPr>
      <w:r>
        <w:rPr>
          <w:b w:val="0"/>
        </w:rPr>
      </w:r>
      <w:r>
        <w:rPr>
          <w:b/>
        </w:rPr>
        <w:t xml:space="preserve">B43-4. Implementation Choice Notice. </w:t>
      </w:r>
      <w:r>
        <w:t>A subnational jurisdiction curing a nationality-specific exclusion may identify the lawful mechanism through which commercially meaningful access will be restored. The notice may specify physical listing, wholesale eligibility, special-order access, agency access, private retail, online access, hospitality distribution, or another ordinary channel. Different jurisdictions may select different mechanisms and may change mechanisms over time under neutral rules. A nominal channel that is inaccessible in practice shall not satisfy the obligation merely because it exists on paper.</w:t>
      </w:r>
    </w:p>
    <w:p>
      <w:pPr>
        <w:pStyle w:val="Normal"/>
      </w:pPr>
      <w:r>
        <w:rPr>
          <w:b w:val="0"/>
        </w:rPr>
      </w:r>
      <w:r>
        <w:rPr>
          <w:b/>
        </w:rPr>
        <w:t xml:space="preserve">B43-5. Decision Targets. </w:t>
      </w:r>
      <w:r>
        <w:t>A restoration matter relying substantially on valid prior approvals should target a decision within 15 business days after the record is complete. A materially new product application should receive an acknowledgement and procedural roadmap within 15 business days and a substantive decision or status explanation within a commercially reasonable period established by the responsible authority. Safety, labeling, tax, licensing, or evidentiary complexity may justify additional time. Missed targets trigger explanation and possible administrative review, not automatic product approval.</w:t>
      </w:r>
    </w:p>
    <w:p>
      <w:pPr>
        <w:pStyle w:val="Normal"/>
      </w:pPr>
      <w:r>
        <w:rPr>
          <w:b w:val="0"/>
        </w:rPr>
      </w:r>
      <w:r>
        <w:rPr>
          <w:b/>
        </w:rPr>
        <w:t xml:space="preserve">B43-6. Neutrality Review Fields. </w:t>
      </w:r>
      <w:r>
        <w:t>A neutrality review may consider origin classification, listing criteria, category rules, markups, minimum prices, fees, sales channels, warehousing, agent requirements, performance data, e-commerce treatment, hospitality access, event access, reasons for refusal, and similarly situated comparator products. Review shall also consider legitimate cost, service, regulatory, health, safety, commercial, and logistical differences. Statistical disparity may support further inquiry but does not alone establish discrimination. Intent may be relevant but is not required where objective design or operation demonstrates prohibited nationality treatment.</w:t>
      </w:r>
    </w:p>
    <w:p>
      <w:pPr>
        <w:pStyle w:val="Normal"/>
      </w:pPr>
      <w:r>
        <w:rPr>
          <w:b w:val="0"/>
        </w:rPr>
      </w:r>
      <w:r>
        <w:rPr>
          <w:b/>
        </w:rPr>
        <w:t xml:space="preserve">B43-7. Cothrom Remedy Matrix. </w:t>
      </w:r>
      <w:r>
        <w:t>The preferred first remedy is correction of the specific administrative measure and restoration of ordinary treatment. If cure is incomplete, a proportionate step-back may suspend a comparable alcohol-sector facilitation benefiting the non-compliant jurisdiction or affected governmental system where legally and operationally feasible. Broader remedies require evidence that narrower measures cannot reasonably cure the verified impairment. Tariffs remain governed exclusively by the Agreement-wide tariff cage and are not authorized by this Schedule.</w:t>
      </w:r>
    </w:p>
    <w:p>
      <w:pPr>
        <w:pStyle w:val="Normal"/>
      </w:pPr>
      <w:r>
        <w:rPr>
          <w:b w:val="0"/>
        </w:rPr>
      </w:r>
      <w:r>
        <w:rPr>
          <w:b/>
        </w:rPr>
        <w:t xml:space="preserve">B43-8. Annual Technical Review. </w:t>
      </w:r>
      <w:r>
        <w:t>The existing institutional structure shall review implementation annually using available data on restoration cases, listing decisions, administrative timelines, fee complaints, pricing disputes, channel access, and cured Cothrom matters. The review shall identify recurring friction and recommend technical improvements without prescribing uniform provincial, territorial, state, or national liquor systems. Subnational authorities and industry stakeholders may provide non-binding technical input. The review shall not reopen settled market-access commitments merely because market shares or political preferences have changed.</w:t>
      </w:r>
    </w:p>
    <w:p>
      <w:pPr>
        <w:pStyle w:val="Heading2"/>
      </w:pPr>
      <w:bookmarkStart w:id="901633" w:name="_Toc300001632"/>
      <w:r>
        <w:t>ANNEX 43-C: POULTRY, EGG, EMERGENCY SUPPLY, AND SPECIALTY AVIAN IMPLEMENTATION SCHEDULE</w:t>
      </w:r>
      <w:bookmarkEnd w:id="901633"/>
    </w:p>
    <w:p>
      <w:pPr>
        <w:pStyle w:val="Normal"/>
      </w:pPr>
      <w:r>
        <w:rPr>
          <w:b/>
        </w:rPr>
        <w:t>C43-1. Purpose and Status.</w:t>
      </w:r>
      <w:r>
        <w:t xml:space="preserve"> This Annex operationalizes Articles 43.1A through 43.1R and shall be read together with Chapters 4, 5, 9, 31, 35, 36, and 37. It does not replace Annex 43-A or alter dairy-specific quantities. Where this Annex records a technical parameter, the controlling treaty article determines whether the parameter may be updated by the Committee. All permanent market-access quantities remain those expressly scheduled or subsequently amended by agreement.</w:t>
      </w:r>
    </w:p>
    <w:p>
      <w:pPr>
        <w:pStyle w:val="Normal"/>
      </w:pPr>
      <w:r>
        <w:rPr>
          <w:b/>
        </w:rPr>
        <w:t>C43-2. Implementation Clock.</w:t>
      </w:r>
      <w:r>
        <w:t xml:space="preserve"> Within 30 days, each Party shall designate responsible agriculture, customs, veterinary, and data contacts. Within 90 days, the Parties shall publish the initial common data dictionary, emergency contact tree, and inventory of existing poultry and egg TRQ procedures. Within 180 days, they shall launch the interoperable dashboard, emergency certificate package, specialty-avian tariff-line concordance, and first Emergency-Ready supplier roster where bilateral qualification has been completed. Within one year, they shall conduct the first annual exercise and publish the first operational review.</w:t>
      </w:r>
    </w:p>
    <w:p>
      <w:pPr>
        <w:pStyle w:val="Normal"/>
      </w:pPr>
      <w:r>
        <w:rPr>
          <w:b/>
        </w:rPr>
        <w:t>C43-3. Emergency Decision Record.</w:t>
      </w:r>
      <w:r>
        <w:t xml:space="preserve"> Every shortage activation shall use a common decision record identifying product, geography, cause, evidence, ordinary access available, verified deficit, selected response, authorized emergency quantity or capacity, tariff treatment, start date, review date, and expiration rule. The record shall identify any domestic-supply safeguard invoked by a supplying Party. Updates shall preserve prior versions so the chronology can be audited. Confidential attachments may be protected while the non-confidential decision record remains public.</w:t>
      </w:r>
    </w:p>
    <w:p>
      <w:pPr>
        <w:pStyle w:val="Normal"/>
      </w:pPr>
      <w:r>
        <w:rPr>
          <w:b/>
        </w:rPr>
        <w:t>C43-4. Data Fields.</w:t>
      </w:r>
      <w:r>
        <w:t xml:space="preserve"> The minimum dashboard fields are production, flock or laying capacity, hatching capacity where relevant, inventories, imports, exports, ordinary quota utilization, emergency volume, wholesale price, retail price where available, feed-cost indicator, material disease event, processing constraint, and logistics constraint. The Parties may add fields by consensus. A missing field shall be marked unavailable rather than silently estimated unless the estimate is clearly labeled with methodology and confidence. Machine-readable exports shall use stable identifiers and version dates.</w:t>
      </w:r>
    </w:p>
    <w:p>
      <w:pPr>
        <w:pStyle w:val="Normal"/>
      </w:pPr>
      <w:r>
        <w:rPr>
          <w:b/>
        </w:rPr>
        <w:t>C43-5. Emergency Coding.</w:t>
      </w:r>
      <w:r>
        <w:t xml:space="preserve"> Customs administrations shall establish a distinct code or data flag for entries made under Article 43.1G or Article 43.1H. The flag shall permit separation of permanent quota use, temporary make-up access, emergency surge access, and ordinary over-quota trade. Emergency coding shall not disclose confidential commercial information to the public. The Secretariat shall use the coding to prevent temporary volumes from becoming an accidental future baseline.</w:t>
      </w:r>
    </w:p>
    <w:p>
      <w:pPr>
        <w:pStyle w:val="Normal"/>
      </w:pPr>
      <w:r>
        <w:rPr>
          <w:b/>
        </w:rPr>
        <w:t>C43-6. Technical Concordance.</w:t>
      </w:r>
      <w:r>
        <w:t xml:space="preserve"> The specialty-avian concordance shall map national tariff lines for live birds, hatching eggs, food eggs, processed eggs, meat, feathers, oil, leather, decorative shells, and other designated products. Each entry shall identify the species or product family, national tariff line, unit, origin rule reference, principal health-control category, and scheduled tariff or quota treatment. All tariff numbers inserted during implementation shall be verified against the current national schedules before publication. An illustrative or estimated code shall be conspicuously labeled as requiring customs verification and shall not bind an importer.</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CellMar>
          <w:top w:w="70" w:type="dxa"/>
          <w:left w:w="100" w:type="dxa"/>
          <w:bottom w:w="70" w:type="dxa"/>
          <w:right w:w="100" w:type="dxa"/>
        </w:tblCellMar>
        <w:tblLook w:firstColumn="1" w:firstRow="1" w:lastColumn="0" w:lastRow="0" w:noHBand="0" w:noVBand="1" w:val="04A0"/>
      </w:tblPr>
      <w:tblGrid>
        <w:gridCol w:w="1872"/>
        <w:gridCol w:w="1872"/>
        <w:gridCol w:w="1872"/>
        <w:gridCol w:w="1872"/>
        <w:gridCol w:w="1872"/>
      </w:tblGrid>
      <w:tr>
        <w:tc>
          <w:tcPr>
            <w:tcW w:type="dxa" w:w="1872"/>
          </w:tcPr>
          <w:p>
            <w:pPr>
              <w:pStyle w:val="TableText"/>
            </w:pPr>
            <w:r>
              <w:rPr>
                <w:b/>
              </w:rPr>
              <w:t>Condition</w:t>
            </w:r>
          </w:p>
        </w:tc>
        <w:tc>
          <w:tcPr>
            <w:tcW w:type="dxa" w:w="1872"/>
          </w:tcPr>
          <w:p>
            <w:pPr>
              <w:pStyle w:val="TableText"/>
            </w:pPr>
            <w:r>
              <w:rPr>
                <w:b/>
              </w:rPr>
              <w:t>Trigger/Status</w:t>
            </w:r>
          </w:p>
        </w:tc>
        <w:tc>
          <w:tcPr>
            <w:tcW w:type="dxa" w:w="1872"/>
          </w:tcPr>
          <w:p>
            <w:pPr>
              <w:pStyle w:val="TableText"/>
            </w:pPr>
            <w:r>
              <w:rPr>
                <w:b/>
              </w:rPr>
              <w:t>Primary Action</w:t>
            </w:r>
          </w:p>
        </w:tc>
        <w:tc>
          <w:tcPr>
            <w:tcW w:type="dxa" w:w="1872"/>
          </w:tcPr>
          <w:p>
            <w:pPr>
              <w:pStyle w:val="TableText"/>
            </w:pPr>
            <w:r>
              <w:rPr>
                <w:b/>
              </w:rPr>
              <w:t>Trade Treatment</w:t>
            </w:r>
          </w:p>
        </w:tc>
        <w:tc>
          <w:tcPr>
            <w:tcW w:type="dxa" w:w="1872"/>
          </w:tcPr>
          <w:p>
            <w:pPr>
              <w:pStyle w:val="TableText"/>
            </w:pPr>
            <w:r>
              <w:rPr>
                <w:b/>
              </w:rPr>
              <w:t>Exit/Review</w:t>
            </w:r>
          </w:p>
        </w:tc>
      </w:tr>
      <w:tr>
        <w:tc>
          <w:tcPr>
            <w:tcW w:type="dxa" w:w="1872"/>
          </w:tcPr>
          <w:p>
            <w:pPr>
              <w:pStyle w:val="TableText"/>
            </w:pPr>
            <w:r>
              <w:t>Normal conditions</w:t>
            </w:r>
          </w:p>
        </w:tc>
        <w:tc>
          <w:tcPr>
            <w:tcW w:type="dxa" w:w="1872"/>
          </w:tcPr>
          <w:p>
            <w:pPr>
              <w:pStyle w:val="TableText"/>
            </w:pPr>
            <w:r>
              <w:t>Routine monitoring</w:t>
            </w:r>
          </w:p>
        </w:tc>
        <w:tc>
          <w:tcPr>
            <w:tcW w:type="dxa" w:w="1872"/>
          </w:tcPr>
          <w:p>
            <w:pPr>
              <w:pStyle w:val="TableText"/>
            </w:pPr>
            <w:r>
              <w:t>Ordinary scheduled access</w:t>
            </w:r>
          </w:p>
        </w:tc>
        <w:tc>
          <w:tcPr>
            <w:tcW w:type="dxa" w:w="1872"/>
          </w:tcPr>
          <w:p>
            <w:pPr>
              <w:pStyle w:val="TableText"/>
            </w:pPr>
            <w:r>
              <w:t>Normal tariff and SPS treatment</w:t>
            </w:r>
          </w:p>
        </w:tc>
        <w:tc>
          <w:tcPr>
            <w:tcW w:type="dxa" w:w="1872"/>
          </w:tcPr>
          <w:p>
            <w:pPr>
              <w:pStyle w:val="TableText"/>
            </w:pPr>
            <w:r>
              <w:t>No emergency effect</w:t>
            </w:r>
          </w:p>
        </w:tc>
      </w:tr>
      <w:tr>
        <w:tc>
          <w:tcPr>
            <w:tcW w:type="dxa" w:w="1872"/>
          </w:tcPr>
          <w:p>
            <w:pPr>
              <w:pStyle w:val="TableText"/>
            </w:pPr>
            <w:r>
              <w:t>Early warning</w:t>
            </w:r>
          </w:p>
        </w:tc>
        <w:tc>
          <w:tcPr>
            <w:tcW w:type="dxa" w:w="1872"/>
          </w:tcPr>
          <w:p>
            <w:pPr>
              <w:pStyle w:val="TableText"/>
            </w:pPr>
            <w:r>
              <w:t>Multiple indicators show material risk</w:t>
            </w:r>
          </w:p>
        </w:tc>
        <w:tc>
          <w:tcPr>
            <w:tcW w:type="dxa" w:w="1872"/>
          </w:tcPr>
          <w:p>
            <w:pPr>
              <w:pStyle w:val="TableText"/>
            </w:pPr>
            <w:r>
              <w:t>Technical consultation and data validation</w:t>
            </w:r>
          </w:p>
        </w:tc>
        <w:tc>
          <w:tcPr>
            <w:tcW w:type="dxa" w:w="1872"/>
          </w:tcPr>
          <w:p>
            <w:pPr>
              <w:pStyle w:val="TableText"/>
            </w:pPr>
            <w:r>
              <w:t>No automatic extra access</w:t>
            </w:r>
          </w:p>
        </w:tc>
        <w:tc>
          <w:tcPr>
            <w:tcW w:type="dxa" w:w="1872"/>
          </w:tcPr>
          <w:p>
            <w:pPr>
              <w:pStyle w:val="TableText"/>
            </w:pPr>
            <w:r>
              <w:t>Warning closes or advances</w:t>
            </w:r>
          </w:p>
        </w:tc>
      </w:tr>
      <w:tr>
        <w:tc>
          <w:tcPr>
            <w:tcW w:type="dxa" w:w="1872"/>
          </w:tcPr>
          <w:p>
            <w:pPr>
              <w:pStyle w:val="TableText"/>
            </w:pPr>
            <w:r>
              <w:t>Verified shortage</w:t>
            </w:r>
          </w:p>
        </w:tc>
        <w:tc>
          <w:tcPr>
            <w:tcW w:type="dxa" w:w="1872"/>
          </w:tcPr>
          <w:p>
            <w:pPr>
              <w:pStyle w:val="TableText"/>
            </w:pPr>
            <w:r>
              <w:t>Article 43.1F determination</w:t>
            </w:r>
          </w:p>
        </w:tc>
        <w:tc>
          <w:tcPr>
            <w:tcW w:type="dxa" w:w="1872"/>
          </w:tcPr>
          <w:p>
            <w:pPr>
              <w:pStyle w:val="TableText"/>
            </w:pPr>
            <w:r>
              <w:t>Reallocate usable ordinary access and accelerate permits</w:t>
            </w:r>
          </w:p>
        </w:tc>
        <w:tc>
          <w:tcPr>
            <w:tcW w:type="dxa" w:w="1872"/>
          </w:tcPr>
          <w:p>
            <w:pPr>
              <w:pStyle w:val="TableText"/>
            </w:pPr>
            <w:r>
              <w:t>Existing treatment unless activation states otherwise</w:t>
            </w:r>
          </w:p>
        </w:tc>
        <w:tc>
          <w:tcPr>
            <w:tcW w:type="dxa" w:w="1872"/>
          </w:tcPr>
          <w:p>
            <w:pPr>
              <w:pStyle w:val="TableText"/>
            </w:pPr>
            <w:r>
              <w:t>14-day reassessment</w:t>
            </w:r>
          </w:p>
        </w:tc>
      </w:tr>
      <w:tr>
        <w:tc>
          <w:tcPr>
            <w:tcW w:type="dxa" w:w="1872"/>
          </w:tcPr>
          <w:p>
            <w:pPr>
              <w:pStyle w:val="TableText"/>
            </w:pPr>
            <w:r>
              <w:t>Emergency surge</w:t>
            </w:r>
          </w:p>
        </w:tc>
        <w:tc>
          <w:tcPr>
            <w:tcW w:type="dxa" w:w="1872"/>
          </w:tcPr>
          <w:p>
            <w:pPr>
              <w:pStyle w:val="TableText"/>
            </w:pPr>
            <w:r>
              <w:t>Ordinary access insufficient or too slow</w:t>
            </w:r>
          </w:p>
        </w:tc>
        <w:tc>
          <w:tcPr>
            <w:tcW w:type="dxa" w:w="1872"/>
          </w:tcPr>
          <w:p>
            <w:pPr>
              <w:pStyle w:val="TableText"/>
            </w:pPr>
            <w:r>
              <w:t>Temporary additional North American supply under 43.1G</w:t>
            </w:r>
          </w:p>
        </w:tc>
        <w:tc>
          <w:tcPr>
            <w:tcW w:type="dxa" w:w="1872"/>
          </w:tcPr>
          <w:p>
            <w:pPr>
              <w:pStyle w:val="TableText"/>
            </w:pPr>
            <w:r>
              <w:t>Activation-specific temporary treatment</w:t>
            </w:r>
          </w:p>
        </w:tc>
        <w:tc>
          <w:tcPr>
            <w:tcW w:type="dxa" w:w="1872"/>
          </w:tcPr>
          <w:p>
            <w:pPr>
              <w:pStyle w:val="TableText"/>
            </w:pPr>
            <w:r>
              <w:t>Automatic wind-down</w:t>
            </w:r>
          </w:p>
        </w:tc>
      </w:tr>
      <w:tr>
        <w:tc>
          <w:tcPr>
            <w:tcW w:type="dxa" w:w="1872"/>
          </w:tcPr>
          <w:p>
            <w:pPr>
              <w:pStyle w:val="TableText"/>
            </w:pPr>
            <w:r>
              <w:t>Bilateral U.S. egg activation</w:t>
            </w:r>
          </w:p>
        </w:tc>
        <w:tc>
          <w:tcPr>
            <w:tcW w:type="dxa" w:w="1872"/>
          </w:tcPr>
          <w:p>
            <w:pPr>
              <w:pStyle w:val="TableText"/>
            </w:pPr>
            <w:r>
              <w:t>Verified U.S. shortage plus available Canadian capacity</w:t>
            </w:r>
          </w:p>
        </w:tc>
        <w:tc>
          <w:tcPr>
            <w:tcW w:type="dxa" w:w="1872"/>
          </w:tcPr>
          <w:p>
            <w:pPr>
              <w:pStyle w:val="TableText"/>
            </w:pPr>
            <w:r>
              <w:t>Emergency-Ready network and Egg Express procedures</w:t>
            </w:r>
          </w:p>
        </w:tc>
        <w:tc>
          <w:tcPr>
            <w:tcW w:type="dxa" w:w="1872"/>
          </w:tcPr>
          <w:p>
            <w:pPr>
              <w:pStyle w:val="TableText"/>
            </w:pPr>
            <w:r>
              <w:t>Agreed bilateral emergency treatment</w:t>
            </w:r>
          </w:p>
        </w:tc>
        <w:tc>
          <w:tcPr>
            <w:tcW w:type="dxa" w:w="1872"/>
          </w:tcPr>
          <w:p>
            <w:pPr>
              <w:pStyle w:val="TableText"/>
            </w:pPr>
            <w:r>
              <w:t>Canadian supply firewall applies</w:t>
            </w:r>
          </w:p>
        </w:tc>
      </w:tr>
      <w:tr>
        <w:tc>
          <w:tcPr>
            <w:tcW w:type="dxa" w:w="1872"/>
          </w:tcPr>
          <w:p>
            <w:pPr>
              <w:pStyle w:val="TableText"/>
            </w:pPr>
            <w:r>
              <w:t>External emergency sourcing</w:t>
            </w:r>
          </w:p>
        </w:tc>
        <w:tc>
          <w:tcPr>
            <w:tcW w:type="dxa" w:w="1872"/>
          </w:tcPr>
          <w:p>
            <w:pPr>
              <w:pStyle w:val="TableText"/>
            </w:pPr>
            <w:r>
              <w:t>North American supply insufficient</w:t>
            </w:r>
          </w:p>
        </w:tc>
        <w:tc>
          <w:tcPr>
            <w:tcW w:type="dxa" w:w="1872"/>
          </w:tcPr>
          <w:p>
            <w:pPr>
              <w:pStyle w:val="TableText"/>
            </w:pPr>
            <w:r>
              <w:t>Affected Party may source safe non-Party supply</w:t>
            </w:r>
          </w:p>
        </w:tc>
        <w:tc>
          <w:tcPr>
            <w:tcW w:type="dxa" w:w="1872"/>
          </w:tcPr>
          <w:p>
            <w:pPr>
              <w:pStyle w:val="TableText"/>
            </w:pPr>
            <w:r>
              <w:t>Normal non-Party origin and compliance rules unless lawfully modified</w:t>
            </w:r>
          </w:p>
        </w:tc>
        <w:tc>
          <w:tcPr>
            <w:tcW w:type="dxa" w:w="1872"/>
          </w:tcPr>
          <w:p>
            <w:pPr>
              <w:pStyle w:val="TableText"/>
            </w:pPr>
            <w:r>
              <w:t>No originating status by routing</w:t>
            </w:r>
          </w:p>
        </w:tc>
      </w:tr>
      <w:tr>
        <w:tc>
          <w:tcPr>
            <w:tcW w:type="dxa" w:w="1872"/>
          </w:tcPr>
          <w:p>
            <w:pPr>
              <w:pStyle w:val="TableText"/>
            </w:pPr>
            <w:r>
              <w:t>Recovery</w:t>
            </w:r>
          </w:p>
        </w:tc>
        <w:tc>
          <w:tcPr>
            <w:tcW w:type="dxa" w:w="1872"/>
          </w:tcPr>
          <w:p>
            <w:pPr>
              <w:pStyle w:val="TableText"/>
            </w:pPr>
            <w:r>
              <w:t>Domestic production returning</w:t>
            </w:r>
          </w:p>
        </w:tc>
        <w:tc>
          <w:tcPr>
            <w:tcW w:type="dxa" w:w="1872"/>
          </w:tcPr>
          <w:p>
            <w:pPr>
              <w:pStyle w:val="TableText"/>
            </w:pPr>
            <w:r>
              <w:t>Narrow surge, replenish reserves, repopulate flocks</w:t>
            </w:r>
          </w:p>
        </w:tc>
        <w:tc>
          <w:tcPr>
            <w:tcW w:type="dxa" w:w="1872"/>
          </w:tcPr>
          <w:p>
            <w:pPr>
              <w:pStyle w:val="TableText"/>
            </w:pPr>
            <w:r>
              <w:t>Transition to ordinary treatment</w:t>
            </w:r>
          </w:p>
        </w:tc>
        <w:tc>
          <w:tcPr>
            <w:tcW w:type="dxa" w:w="1872"/>
          </w:tcPr>
          <w:p>
            <w:pPr>
              <w:pStyle w:val="TableText"/>
            </w:pPr>
            <w:r>
              <w:t>Post-event review within 90 days</w:t>
            </w:r>
          </w:p>
        </w:tc>
      </w:tr>
    </w:tbl>
    <w:p>
      <w:pPr>
        <w:pStyle w:val="Normal"/>
      </w:pPr>
      <w:r>
        <w:rPr>
          <w:b/>
        </w:rPr>
        <w:t>C43-7.</w:t>
      </w:r>
      <w:r>
        <w:t xml:space="preserve"> No Automatic Tariff Authority. Nothing in Articles 43.1A through 43.1R or this Annex creates an automatic safeguard tariff, tariff escalation formula, currency-adjusted tariff, or price-band tariff. Any tariff treatment must arise from an express schedule, an agreed emergency activation, or another authority consistent with Chapter 35. A shortage or price spike is evidence for analysis and not an independent tariff power. This rule preserves the Agreement-wide tariff cage.</w:t>
      </w:r>
    </w:p>
    <w:p>
      <w:pPr>
        <w:pStyle w:val="Normal"/>
      </w:pPr>
      <w:r>
        <w:rPr>
          <w:b/>
        </w:rPr>
        <w:t>C43-8.</w:t>
      </w:r>
      <w:r>
        <w:t xml:space="preserve"> No Mandatory Continental Production System. Nothing in this framework requires common North American production quotas, common farm-gate prices, compulsory producer registration, or an eighty-five-percent domestic-content rule. The Parties may exchange forecasts and coordinate emergency response without harmonizing their domestic agricultural models. Canada retains its supply-management institutions under Article 43.1A, while the United States and Mexico retain their own lawful production policies. Voluntary commercial partnerships remain permitted.</w:t>
      </w:r>
    </w:p>
    <w:p>
      <w:pPr>
        <w:pStyle w:val="Normal"/>
      </w:pPr>
      <w:r>
        <w:rPr>
          <w:b/>
        </w:rPr>
        <w:t>C43-9.</w:t>
      </w:r>
      <w:r>
        <w:t xml:space="preserve"> Verification of Numerical Schedules. Any future schedule containing tariff lines, quota quantities, reserve-capacity figures, conversion factors, disease thresholds, or other numerical parameters shall identify the source and effective date. Estimated figures used during negotiation shall be marked DRAFT - VERIFY BEFORE LEGAL SCRUB. No estimated figure becomes binding merely because it appears in a working table. The final legal scrub shall confirm consistency with the Parties' current tariff schedules and negotiated commitments.</w:t>
      </w:r>
    </w:p>
    <w:p>
      <w:pPr>
        <w:pStyle w:val="Heading2"/>
      </w:pPr>
      <w:bookmarkStart w:id="1200004" w:name="_TocR24_AnnexD"/>
      <w:r>
        <w:t>ANNEX 43-D: RECIPROCAL AGRICULTURAL MARKET ACCESS AND REGULATORY FACILITATION IMPLEMENTATION SCHEDULE</w:t>
      </w:r>
      <w:bookmarkEnd w:id="1200004"/>
    </w:p>
    <w:p>
      <w:pPr>
        <w:pStyle w:val="Normal"/>
      </w:pPr>
      <w:r>
        <w:rPr>
          <w:b w:val="0"/>
        </w:rPr>
        <w:t>D43-1. Purpose and Relationship. This Annex operationalizes Articles 43.1S through 43.1AD and shall be read with Chapters 4, 5, 9, 31, 35, 36, and 43. It does not alter an existing tariff-rate quota quantity, over-quota rate, supply-management commitment, or product-specific origin rule. Where Chapter 9 establishes a more specific SPS rule, Chapter 9 controls. Administrative facilitation under this Annex remains subject to legitimate health and safety requirements.</w:t>
      </w:r>
    </w:p>
    <w:p>
      <w:pPr>
        <w:pStyle w:val="Normal"/>
      </w:pPr>
      <w:r>
        <w:rPr>
          <w:b w:val="0"/>
        </w:rPr>
        <w:t>D43-2. Initial Commodity Work Plan. Within ninety days, the Agriculture Committee shall identify priority workstreams for grains and oilseeds, pulses, meat and livestock products, fruits and vegetables, horticultural goods, and processed agricultural foods. Selection shall consider trade volume, perishability, recurring administrative friction, unresolved equivalence requests, and potential gains from electronic certification. Each workstream shall name responsible agencies and measurable deliverables. Inclusion does not imply that an existing measure is inconsistent with this Agreement.</w:t>
      </w:r>
    </w:p>
    <w:p>
      <w:pPr>
        <w:pStyle w:val="Normal"/>
      </w:pPr>
      <w:r>
        <w:rPr>
          <w:b w:val="0"/>
        </w:rPr>
        <w:t>D43-3. Common Barrier Record. Each referred administrative barrier shall be logged by product, tariff line where relevant, competent authority, affected corridor, type of barrier, date raised, evidence requested, interim action, and status. The record shall distinguish SPS risk questions from customs, licensing, certification, inspection, or information-technology problems. Confidential information shall not be published. A public summary shall identify resolved and unresolved categories without disclosing protected data.</w:t>
      </w:r>
    </w:p>
    <w:p>
      <w:pPr>
        <w:pStyle w:val="Normal"/>
      </w:pPr>
      <w:r>
        <w:rPr>
          <w:b w:val="0"/>
        </w:rPr>
        <w:t>D43-4. Perishable Escalation Contacts. Each Party shall maintain current twenty-four-hour or extended-hours escalation contacts for material holds affecting perishable agricultural trade at major corridors. The contacts shall be capable of routing a matter to the responsible customs, veterinary, plant-health, food-safety, or certification authority. Use of an escalation contact does not guarantee release. It guarantees that an urgent shipment can reach the authority capable of making or coordinating the required decision.</w:t>
      </w:r>
    </w:p>
    <w:p>
      <w:pPr>
        <w:pStyle w:val="Normal"/>
      </w:pPr>
      <w:r>
        <w:rPr>
          <w:b w:val="0"/>
        </w:rPr>
        <w:t>D43-5. Electronic Certificate Priority List. The initial interoperability program shall prioritize high-volume veterinary certificates, phytosanitary certificates, meat and food-safety attestations, plant-product certificates, and other documents selected by the Committee. Each project shall specify data fields, authentication method, system owner, testing procedure, outage fallback, and production date. Existing bilateral electronic certificate systems shall be reused where practical. The Parties shall avoid requiring a new portal merely to demonstrate trilateral branding.</w:t>
      </w:r>
    </w:p>
    <w:p>
      <w:pPr>
        <w:pStyle w:val="Normal"/>
      </w:pPr>
      <w:r>
        <w:rPr>
          <w:b w:val="0"/>
        </w:rPr>
        <w:t>D43-6. Trusted Operator Metrics. Trusted agricultural operator programs shall use transparent eligibility and maintenance criteria appropriate to commodity risk. Metrics may include compliance rate, serious violation history, traceability performance, recall cooperation, audit findings, and corrective-action completion. Benefits shall be documented so that traders understand the practical value of qualification. A program shall not become an exclusive channel that prevents otherwise compliant non-participants from trading.</w:t>
      </w:r>
    </w:p>
    <w:p>
      <w:pPr>
        <w:pStyle w:val="Normal"/>
      </w:pPr>
      <w:r>
        <w:rPr>
          <w:b w:val="0"/>
        </w:rPr>
        <w:t>D43-7. Regionalization Data Package. A Party requesting recognition of a zone, compartment, pest-free area, disease-free area, or area of low prevalence shall provide the surveillance, movement-control, traceability, outbreak, mapping, and competent-authority information reasonably necessary for assessment. The importing Party shall identify material information gaps rather than issuing open-ended requests where practicable. Updates may be supplied electronically as the event develops. The package may incorporate information already exchanged under Chapter 9.</w:t>
      </w:r>
    </w:p>
    <w:p>
      <w:pPr>
        <w:pStyle w:val="Normal"/>
      </w:pPr>
      <w:r>
        <w:rPr>
          <w:b w:val="0"/>
        </w:rPr>
        <w:t>D43-8. Correct-and-Continue Menu. Competent authorities shall publish, by major commodity family, examples of lawful corrective options that may be available for non-safety administrative defects. Options may include document correction, relabeling, segregation, treatment, bonded movement, reconditioning, re-export, or transfer to an approved facility. Availability depends on domestic law and the actual risk. Publication creates no right to cure a defect that cannot safely or lawfully be corrected.</w:t>
      </w:r>
    </w:p>
    <w:p>
      <w:pPr>
        <w:pStyle w:val="Normal"/>
      </w:pPr>
      <w:r>
        <w:rPr>
          <w:b w:val="0"/>
        </w:rPr>
        <w:t>D43-9. Performance Dashboard. The Agriculture Committee shall maintain aggregate indicators for processing times, perishable holds, border inspection frequency, application age, equivalence work, electronic certificate adoption, rejection reasons, and restoration following emergency measures. Indicators shall be interpreted with risk and trade-volume context and shall not operate as automatic breach triggers. Persistent outliers may prompt technical review. The dashboard shall use existing NAESTMA data infrastructure wherever practicable.</w:t>
      </w:r>
    </w:p>
    <w:p>
      <w:pPr>
        <w:pStyle w:val="Normal"/>
      </w:pPr>
      <w:r>
        <w:rPr>
          <w:b w:val="0"/>
        </w:rPr>
        <w:t>D43-10. Numerical and Legal Verification. Any product list, tariff-line concordance, processing deadline, laboratory method, inspection frequency, or other technical parameter adopted under this Annex shall identify its legal or technical source and effective date. Draft or estimated values shall be clearly marked pending verification. The Committee may correct technical references without changing substantive negotiated obligations where the Agreement permits. Permanent access quantities and tariff treatment may be changed only through the applicable formal procedure.</w:t>
      </w:r>
    </w:p>
    <w:p>
      <w:pPr>
        <w:pStyle w:val="Heading2"/>
      </w:pPr>
      <w:bookmarkStart w:id="901719" w:name="_Toc300001718"/>
      <w:r>
        <w:t>ANNEX 43-F: BEVERAGE ALCOHOL MARKET-ACCESS LANDING AND IMPLEMENTATION RAMP</w:t>
      </w:r>
      <w:bookmarkEnd w:id="901719"/>
    </w:p>
    <w:p>
      <w:pPr>
        <w:pStyle w:val="Normal"/>
      </w:pPr>
      <w:r>
        <w:t>1. Purpose. This Annex provides a short implementation ramp for agreed beverage-alcohol market-access improvements without requiring Canada, Mexico, the United States, or a subnational jurisdiction to abolish its lawful alcohol-distribution model.</w:t>
      </w:r>
    </w:p>
    <w:p>
      <w:pPr>
        <w:pStyle w:val="Normal"/>
      </w:pPr>
      <w:r>
        <w:t>2. Day 0. Each Party shall identify the federal and, where implementation materially depends on them, subnational measures that govern listing, distribution, markups, service fees, warehousing, direct shipment, retail access, product registration, and applicable taxes for beverages of another Party.</w:t>
      </w:r>
    </w:p>
    <w:p>
      <w:pPr>
        <w:pStyle w:val="Normal"/>
      </w:pPr>
      <w:r>
        <w:t>3. Day 30. Each Party shall publish or link through the North American Beverage Rules Gateway the principal non-confidential criteria, fees, markups, timelines, forms, and points of contact necessary for a supplier of another Party to seek commercially meaningful access.</w:t>
      </w:r>
    </w:p>
    <w:p>
      <w:pPr>
        <w:pStyle w:val="Normal"/>
      </w:pPr>
      <w:r>
        <w:t>4. Day 60. Where a listing, distribution, markup, service-fee, warehousing, or retail rule treats a like domestic beverage more favorably than a like beverage of another Party, the responsible authority shall eliminate the discrimination, provide equivalent commercial treatment, or identify the objective regulatory basis for the distinction and a proportionate cure path.</w:t>
      </w:r>
    </w:p>
    <w:p>
      <w:pPr>
        <w:pStyle w:val="Normal"/>
      </w:pPr>
      <w:r>
        <w:t>5. Day 90. The Parties shall review unresolved access barriers and may establish voluntary provincial, territorial, state, or Mexican subnational pilots under Article 43.2T for direct-to-retailer, direct-to-consumer, specialty-product, digital-document, or logistics treatment.</w:t>
      </w:r>
    </w:p>
    <w:p>
      <w:pPr>
        <w:pStyle w:val="Normal"/>
      </w:pPr>
      <w:r>
        <w:t>6. Public-health rules, age restrictions, responsible-service rules, destination taxation, product-safety requirements, and legitimate distinctive-product protections remain available on a non-discriminatory basis.</w:t>
      </w:r>
    </w:p>
    <w:p>
      <w:pPr>
        <w:pStyle w:val="Normal"/>
      </w:pPr>
      <w:r>
        <w:t>7. No supplier receives a guaranteed listing, sales volume, shelf position, or purchase commitment. The obligation is commercially meaningful and non-discriminatory opportunity under transparent rules.</w:t>
      </w:r>
    </w:p>
    <w:p>
      <w:pPr>
        <w:pStyle w:val="Heading2"/>
      </w:pPr>
      <w:bookmarkStart w:id="901718" w:name="_Toc300001717"/>
      <w:r>
        <w:t>ANNEX 43-G: AGRICULTURAL PRODUCTION SECURITY IMPLEMENTATION SCHEDULE</w:t>
      </w:r>
      <w:bookmarkEnd w:id="901718"/>
    </w:p>
    <w:p>
      <w:pPr>
        <w:pStyle w:val="Normal"/>
      </w:pPr>
      <w:r>
        <w:t>1. Within 90 days after entry into force, the Parties shall designate existing competent authorities and points of contact for seed continuity, plant health, crop protection, recovered nutrients, agricultural machinery continuity, and agricultural resilience. No new standing committee is required where an existing institution can perform the function.</w:t>
      </w:r>
    </w:p>
    <w:p>
      <w:pPr>
        <w:pStyle w:val="Normal"/>
      </w:pPr>
      <w:r>
        <w:t>2. Within 180 days, the Parties shall establish the initial North American Plant Health Watch List, publish procedures for emergency agricultural technology review, and adopt or identify the domestic implementing measures necessary to give effect to Article 43.17.</w:t>
      </w:r>
    </w:p>
    <w:p>
      <w:pPr>
        <w:pStyle w:val="Normal"/>
      </w:pPr>
      <w:r>
        <w:t>3. Within one year, the Parties shall publish an initial Agricultural Production Dependency Map identifying non-confidential material dependencies in seed, germplasm, fertilizer, crop protection, machinery parts, and other critical inputs. The Map is diagnostic and creates no purchase mandate or exclusive supplier status.</w:t>
      </w:r>
    </w:p>
    <w:p>
      <w:pPr>
        <w:pStyle w:val="Normal"/>
      </w:pPr>
      <w:r>
        <w:t>4. Within one year, the Parties shall identify at least one voluntary pilot for recovered agricultural nutrients or nutrient exchange, at least one plant-health or seed-continuity exercise, and at least one precision crop-protection or resistance-management demonstration, subject to available appropriations and domestic law.</w:t>
      </w:r>
    </w:p>
    <w:p>
      <w:pPr>
        <w:pStyle w:val="Normal"/>
      </w:pPr>
      <w:r>
        <w:t>5. Within two years, the Parties shall review whether existing certification, testing, digital documentation, customs, and regulatory-recognition practices unnecessarily impede emergency movement of seed, planting material, diagnostics, agricultural machinery parts, recovered nutrient products, or other qualifying agricultural inputs and shall publish a non-binding correction plan for identified frictions.</w:t>
      </w:r>
    </w:p>
    <w:p>
      <w:pPr>
        <w:pStyle w:val="Normal"/>
      </w:pPr>
      <w:r>
        <w:t>6. Technical implementation shall use existing Agriculture, Sanitary and Phytosanitary, Environment, Customs, Competition, Labor, Energy, and other competent institutions wherever reasonably possible. The Parties shall avoid creating duplicative standing bodies solely to administer this Annex.</w:t>
      </w:r>
    </w:p>
    <w:p>
      <w:pPr>
        <w:pStyle w:val="Heading2"/>
      </w:pPr>
      <w:bookmarkStart w:id="902426" w:name="_Toc300002425"/>
      <w:r>
        <w:t>ANNEX 43-H: Practical Welfare Transition Classes</w:t>
      </w:r>
      <w:bookmarkEnd w:id="902426"/>
    </w:p>
    <w:p>
      <w:pPr>
        <w:pStyle w:val="Normal"/>
      </w:pPr>
      <w:r>
        <w:t>H-1. Class A: Immediate Continental Minimum. Reserved for severe practices whose prohibition is technically straightforward, for which legitimate exceptions can be narrowly defined, and which ordinarily do not require wholesale capital replacement. Initial candidates include tendon cutting to restrict locomotion except genuine therapeutic surgery; powered mechanical castration; deliberate irreversible processing of a conscious or sensate animal after failed stunning; prolonged-suffering ventilation-shutdown depopulation; suffocation-based depopulation mechanisms covered by Article 43.W.6; and routine painful electrical coercion where reasonable low-stress handling is available.</w:t>
      </w:r>
    </w:p>
    <w:p>
      <w:pPr>
        <w:pStyle w:val="Normal"/>
      </w:pPr>
      <w:r>
        <w:t>H-2. Class B: Funded Transition. Used where the welfare destination is sufficiently clear but compliance may require barn, housing, vessel, handling, processing, traceability, genetics, workforce, or supply-chain conversion. Candidate subjects include extreme gestation confinement, conventional battery-cage systems, restrictive veal confinement, continuous long-duration tethering, routine tail docking or teeth clipping, mulesing or comparable non-therapeutic healthy-tissue removal, routine branding or tissue-removal identification where validated alternatives are available, long-distance transport standards, live-export welfare standards, and conscious poultry shackling or hoisting.</w:t>
      </w:r>
    </w:p>
    <w:p>
      <w:pPr>
        <w:pStyle w:val="Normal"/>
      </w:pPr>
      <w:r>
        <w:t>H-3. Class C: Validation-Triggered Transition. Used where the welfare concern is substantial but replacement technology, measurement, husbandry, or commercial-scale implementation remains materially uncertain. Candidate subjects include farrowing-system replacement, universal non-invasive identification replacing all penetrating tags, materially less-aversive alternatives to high-concentration carbon-dioxide pig stunning, replacement of conventional live-shackle water-bath poultry stunning, male-chick alternatives, maternal-contact systems, and detailed genetic-welfare thresholds.</w:t>
      </w:r>
    </w:p>
    <w:p>
      <w:pPr>
        <w:pStyle w:val="Normal"/>
      </w:pPr>
      <w:r>
        <w:t>H-4. Class D: Pilot, Incentive, and Research. Candidate work includes non-invasive identification, humane-production sensors, alternative toxicology and testing, advanced animal-welfare outcome metrics, voluntary humane-production excellence programs, marine-mammal sanctuary feasibility, cetacean longitudinal clinical monitoring, and other technologies not yet suitable for mandatory continental deployment.</w:t>
      </w:r>
    </w:p>
    <w:p>
      <w:pPr>
        <w:pStyle w:val="Normal"/>
      </w:pPr>
      <w:r>
        <w:t>H-5. Class E: Domestic or Future-Protocol Reserve. Detailed companion-animal regulation, classroom dissection, most local recreational-hunting rules, named sanctuary-site endorsements, detailed laboratory procedure rules, and other matters without a sufficient present trade or cross-border nexus remain outside the core treaty unless the Parties later decide otherwise.</w:t>
      </w:r>
    </w:p>
    <w:p>
      <w:pPr>
        <w:pStyle w:val="Normal"/>
      </w:pPr>
      <w:r>
        <w:t>H-6. Reclassification. A Class B-D measure may move toward a stronger class only after credible evidence shows that the replacement is technically reliable, commercially available at relevant scale, economically manageable with available transition support, and does not create equal or greater serious welfare harm.</w:t>
      </w:r>
    </w:p>
    <w:p>
      <w:pPr>
        <w:pStyle w:val="Normal"/>
      </w:pPr>
      <w:r>
        <w:t>H-7. Implementation Without New Bureaucracy. The Parties shall use the SPS Committee, existing agricultural and environmental cooperation mechanisms, Chapter 62 emergency architecture, Cothrom, competent domestic authorities, and existing technical rosters wherever those institutions can perform the function. Nothing in this Annex requires a new permanent animal-welfare secretariat or tribunal.</w:t>
      </w:r>
    </w:p>
    <w:p>
      <w:pPr>
        <w:pStyle w:val="Heading1"/>
      </w:pPr>
      <w:bookmarkStart w:id="901720" w:name="_Toc300001719"/>
      <w:r>
        <w:t>ANNEX 43-I: AGRICULTURAL FINAL SETTLEMENT SELECTION AND TRANSITION PROTOCOL</w:t>
      </w:r>
      <w:bookmarkEnd w:id="901720"/>
    </w:p>
    <w:p>
      <w:pPr>
        <w:pStyle w:val="Normal"/>
      </w:pPr>
      <w:r>
        <w:t>Final Settlement Integration Gateway. This Annex selects, records, transitions, and closes an adopted agricultural Final Settlement state without recreating the agricultural machinery of this Chapter. Articles 43.1 through 43.27, the existing agricultural annexes, Chapters 4, 5, 9, and 35, and Article 49.3 remain controlling according to their scope; NAAFTC or any NAAFTC clock enters this Agreement only through an exact legally sufficient incorporation record.</w:t>
      </w:r>
    </w:p>
    <w:p>
      <w:pPr>
        <w:pStyle w:val="Heading2"/>
      </w:pPr>
      <w:bookmarkStart w:id="901721" w:name="_Toc300001720"/>
      <w:r>
        <w:t>FS-04.1: Purpose, Existing-Law Relationship, and Agricultural Settlement Election</w:t>
      </w:r>
      <w:bookmarkEnd w:id="901721"/>
    </w:p>
    <w:p>
      <w:pPr>
        <w:pStyle w:val="Normal"/>
        <w:spacing w:before="0" w:after="0"/>
      </w:pPr>
      <w:r>
        <w:t>FS04-A01. Settlement Function. FS-04 operates as the agricultural Final Settlement selection, transition, and closure instrument for agricultural commitments expressly placed within its schedules. It does not replace the agricultural operating architecture already contained in Chapters 4, 5, 9, 35, 43, Article 49.3, or another more specific NAESTMA provision. Where an existing provision supplies the rule for origin, certification, sanitary or phytosanitary protection, commercial usability, emergency administration, verification, cure, or restoration, that provision continues to control. FS-04 records and coordinates legal effect only where an adopted schedule row expressly selects a settlement state, transition pathway, incorporated NAAFTC provision, or other authorized term supported by legally sufficient authority.</w:t>
      </w:r>
    </w:p>
    <w:p>
      <w:pPr>
        <w:spacing w:after="0"/>
      </w:pPr>
    </w:p>
    <w:p>
      <w:pPr>
        <w:pStyle w:val="Normal"/>
        <w:spacing w:before="0" w:after="0"/>
      </w:pPr>
      <w:r>
        <w:t>FS04-A02. Agricultural Sovereignty Firewall. FS-04 does not by itself abolish supply management, a tariff-rate quota, a seasonal agricultural measure, a domestic marketing system, or another sensitive-sector structure preserved by NAESTMA. A change to such a structure requires the specific legal authority and affirmative settlement election applicable to that change. Commercial success, high quota utilization, temporary emergency access, or the passage of a review date does not independently enlarge a permanent market-access commitment. Nothing in an FS-04 schedule converts an administrative facilitation commitment into a production mandate, purchase mandate, guaranteed import volume, or harmonized agricultural production system.</w:t>
      </w:r>
    </w:p>
    <w:p>
      <w:pPr>
        <w:spacing w:after="0"/>
      </w:pPr>
    </w:p>
    <w:p>
      <w:pPr>
        <w:pStyle w:val="Normal"/>
        <w:spacing w:before="0" w:after="0"/>
      </w:pPr>
      <w:r>
        <w:t>FS04-A03. Settlement Election Categories. An Adopted FS-04 Settlement Row identifies its settlement pathway as Immediate Settlement, NAESTMA Scheduled Transition, Managed-Access Transition, NAAFTC-Compatible Transition, or Other Expressly Adopted Agricultural Instrument. The selected category describes the legal pathway and does not itself supply missing tariff values, quota quantities, dates, or authorities. Each operative value appears in the adopted row or in a specifically incorporated controlling instrument. A category that is not selected has no residual or presumptive legal effect.</w:t>
      </w:r>
    </w:p>
    <w:p>
      <w:pPr>
        <w:spacing w:after="0"/>
      </w:pPr>
    </w:p>
    <w:p>
      <w:pPr>
        <w:pStyle w:val="Normal"/>
        <w:spacing w:before="0" w:after="0"/>
      </w:pPr>
      <w:r>
        <w:t>FS04-A04. Existing Machinery First. The Parties administer an adopted agricultural settlement through existing competent authorities, committees, contact points, verification channels, and dispute architecture unless the adopted row identifies a necessary different institution under independent authority. FS-04 does not create duplicate sanitary and phytosanitary review, agricultural barrier review, perishables continuity, shortage determination, quota-allocation, or Cothrom machinery. An implementing authority uses the least duplicative existing process capable of administering the selected settlement term. Creation of a new form, certificate, registry, committee, or approval step requires a demonstrated function that existing machinery cannot perform.</w:t>
      </w:r>
    </w:p>
    <w:p>
      <w:pPr>
        <w:spacing w:after="0"/>
      </w:pPr>
    </w:p>
    <w:p>
      <w:pPr>
        <w:pStyle w:val="Normal"/>
        <w:spacing w:before="0" w:after="0"/>
      </w:pPr>
      <w:r>
        <w:t>FS04-A05. FS-04 Selection Record and Substantive Authority. A completed and formally adopted Schedule FS-04-A row is the constitutive FS-04 record of the agricultural settlement terms expressly selected in that row, while the cited treaty provision, amendment, implementing instrument, or other legally sufficient authority remains the source of substantive legal effect. A blank, bracketed, modelled, illustrative, proposed, unverified, or alternative field is non-operative unless the applicable adoption instrument expressly converts it into an adopted term. A drafting note, explanatory memorandum, negotiating option, technical model, or schedule entry lacking sufficient substantive authority does not create a tariff, quota, or access commitment. This rule prevents negotiation scaffolding or schedule administration from silently becoming a legal commitment.</w:t>
      </w:r>
    </w:p>
    <w:p>
      <w:pPr>
        <w:spacing w:after="0"/>
      </w:pPr>
    </w:p>
    <w:p>
      <w:pPr>
        <w:pStyle w:val="Normal"/>
        <w:spacing w:before="0" w:after="0"/>
      </w:pPr>
      <w:r>
        <w:t>FS04-A06. Defined FS-04 Terms. An “Adopted FS-04 Settlement Row” means a completed row of Schedule FS-04-A adopted through the procedure legally required for the commitments it records. An “Adopted FS-04 Transition Row” means a completed row of Schedule FS-04-B that identifies an independently authorized path from the recorded baseline state to the selected final state. An “Adopted NAAFTC Incorporation Row” means a completed row of Schedule FS-04-C that identifies the NAAFTC provision, version, scope, legal effect, modifications, and legally sufficient adoption authority with enough precision to avoid incorporation by implication. A “Completed Agricultural Settlement State” means the durable tariff, access, or other scheduled state reached after every condition expressly required by the controlling adopted row and its substantive legal authority has occurred.</w:t>
      </w:r>
    </w:p>
    <w:p>
      <w:pPr>
        <w:spacing w:after="0"/>
      </w:pPr>
    </w:p>
    <w:p>
      <w:pPr>
        <w:pStyle w:val="Heading2"/>
      </w:pPr>
      <w:bookmarkStart w:id="901722" w:name="_Toc300001721"/>
      <w:r>
        <w:t>FS-04.2: Existing Zero Treatment, Baseline Integrity, and No-Regression</w:t>
      </w:r>
      <w:bookmarkEnd w:id="901722"/>
    </w:p>
    <w:p>
      <w:pPr>
        <w:pStyle w:val="Normal"/>
        <w:spacing w:before="0" w:after="0"/>
      </w:pPr>
      <w:r>
        <w:t>FS04-B01. Baseline Agricultural State. Each Adopted FS-04 Settlement Row records the legally relevant baseline state for the covered product or agricultural classification record before the selected settlement change takes effect. The baseline distinguishes, where applicable, ordinary MFN treatment, preferential treatment, autonomous zero treatment, temporary suspension, within-access treatment, over-access treatment, and another legally distinct tariff state. A temporary emergency suspension or temporary administrative accommodation does not become the permanent baseline merely because it is in force on the date of data extraction. Where the baseline cannot be verified, the row remains DRAFT: VERIFY BEFORE LEGAL SCRUB and does not acquire operative settlement effect.</w:t>
      </w:r>
    </w:p>
    <w:p>
      <w:pPr>
        <w:spacing w:after="0"/>
      </w:pPr>
    </w:p>
    <w:p>
      <w:pPr>
        <w:pStyle w:val="Normal"/>
        <w:spacing w:before="0" w:after="0"/>
      </w:pPr>
      <w:r>
        <w:t>FS04-B02. Existing Zero-State Protection. A covered agricultural line already entitled to durable zero customs duty under the controlling legal instrument retains that treatment unless an independent treaty authority expressly permits a different result. FS-04 does not convert a durable zero line into a transitional concession merely because the line appears in a settlement schedule. An implementing authority records the legal source and character of the zero state so that preferential, autonomous, temporary, and permanent zero treatment are not conflated. A later renumbering, nomenclature update, or administrative migration preserves the underlying legal treatment where product continuity is established.</w:t>
      </w:r>
    </w:p>
    <w:p>
      <w:pPr>
        <w:spacing w:after="0"/>
      </w:pPr>
    </w:p>
    <w:p>
      <w:pPr>
        <w:pStyle w:val="Normal"/>
        <w:spacing w:before="0" w:after="0"/>
      </w:pPr>
      <w:r>
        <w:t>FS04-B03. No Administrative Deterioration. An authority does not reduce an adopted agricultural settlement state through classification drift, licensing design, allocation mechanics, documentary sequencing, fee design, or another administrative device that lacks independent authority to alter the underlying commitment. Chapter 43 commercial-usability and administrative-barrier disciplines continue to apply to the administration of the selected state. A dispute about administration is addressed through the specific administrative, verification, cure, or dispute pathway applicable to that conduct. Administrative non-performance does not by itself rewrite the tariff or access baseline.</w:t>
      </w:r>
    </w:p>
    <w:p>
      <w:pPr>
        <w:spacing w:after="0"/>
      </w:pPr>
    </w:p>
    <w:p>
      <w:pPr>
        <w:pStyle w:val="Normal"/>
        <w:spacing w:before="0" w:after="0"/>
      </w:pPr>
      <w:r>
        <w:t>FS04-B04. Temporary Measures Firewall. A temporary SPS measure, emergency shortage measure, temporary tariff suspension, provisional facilitation step, or other temporary response remains legally distinct from the permanent FS-04 settlement state. Its activation does not permanently enlarge or diminish the adopted baseline unless the controlling authority expressly provides that consequence. Its cessation returns administration to the state required by the underlying settlement and other applicable NAESTMA provisions. A temporary measure therefore cannot create a silent ratchet in either direction.</w:t>
      </w:r>
    </w:p>
    <w:p>
      <w:pPr>
        <w:spacing w:after="0"/>
      </w:pPr>
    </w:p>
    <w:p>
      <w:pPr>
        <w:pStyle w:val="Normal"/>
        <w:spacing w:before="0" w:after="0"/>
      </w:pPr>
      <w:r>
        <w:t>FS04-B05. Agricultural Classification Continuity. An adopted settlement attaches to the covered product definition and agricultural classification record identified in Schedule FS-04-A rather than to a mutable administrative label alone. Where tariff nomenclature changes, the competent authorities map the successor classification to the same underlying covered product using the controlling classification rules and authoritative correlation sources. A nomenclature change does not restart a completed transition or extinguish a completed right merely because the numerical code changes. A genuine change in product scope requires an express classification determination or schedule amendment under the applicable authority.</w:t>
      </w:r>
    </w:p>
    <w:p>
      <w:pPr>
        <w:spacing w:after="0"/>
      </w:pPr>
    </w:p>
    <w:p>
      <w:pPr>
        <w:pStyle w:val="Normal"/>
        <w:spacing w:before="0" w:after="0"/>
      </w:pPr>
      <w:r>
        <w:t>FS04-B06. Source and Provenance Discipline. Every tariff value, access quantity, transition date, classification, and legal status used as a constitutive FS-04 field identifies its authoritative source or controlling legal instrument. A derived value identifies the derivation method and the source values from which it is calculated. An estimated, reconstructed, or technically unresolved value is labelled accordingly and remains non-operative until verified and adopted. This provenance rule applies independently of whether the underlying data originated in a Party schedule, customs instrument, tariff database, quota notice, or incorporated NAAFTC annex.</w:t>
      </w:r>
    </w:p>
    <w:p>
      <w:pPr>
        <w:spacing w:after="0"/>
      </w:pPr>
    </w:p>
    <w:p>
      <w:pPr>
        <w:pStyle w:val="Heading2"/>
      </w:pPr>
      <w:bookmarkStart w:id="901723" w:name="_Toc300001722"/>
      <w:r>
        <w:t>FS-04.3: Agricultural Final Settlement Selection</w:t>
      </w:r>
      <w:bookmarkEnd w:id="901723"/>
    </w:p>
    <w:p>
      <w:pPr>
        <w:pStyle w:val="Normal"/>
        <w:spacing w:before="0" w:after="0"/>
      </w:pPr>
      <w:r>
        <w:t>FS04-C01. Final Settlement State. Schedule FS-04-A identifies the final agricultural settlement state selected for each covered product or defined product group. The final state may preserve an existing treatment, establish zero customs duty, establish a specified within-access quantity and over-access treatment, preserve a managed-access field with modified terms, or record another expressly authorized result. The row states the result rather than relying on an unstated inference from negotiating history. No final state applies beyond the products, Parties, legal authority, and scope identified in the adopted row.</w:t>
      </w:r>
    </w:p>
    <w:p>
      <w:pPr>
        <w:spacing w:after="0"/>
      </w:pPr>
    </w:p>
    <w:p>
      <w:pPr>
        <w:pStyle w:val="Normal"/>
        <w:spacing w:before="0" w:after="0"/>
      </w:pPr>
      <w:r>
        <w:t>FS04-C02. Managed-Access Selection. Where the selected final state retains managed access, the adopted row identifies the legally relevant access quantity, applicable within-access treatment, applicable over-access treatment, and any expressly selected allocation or reallocation parameter not already supplied by Chapter 43 or another controlling provision. FS-04 does not duplicate Chapter 43 administration merely because a managed-access term appears in the schedule, and a schedule field does not create or modify an allocation methodology unless a cited independent authority legally permits that change. The adopted row distinguishes a change in market-access quantity from a change in administration of an unchanged quantity. A change to one does not imply a change to the other.</w:t>
      </w:r>
    </w:p>
    <w:p>
      <w:pPr>
        <w:spacing w:after="0"/>
      </w:pPr>
    </w:p>
    <w:p>
      <w:pPr>
        <w:pStyle w:val="Normal"/>
        <w:spacing w:before="0" w:after="0"/>
      </w:pPr>
      <w:r>
        <w:t>FS04-C03. Zero-Tariff Selection. Where the selected final state is zero customs duty, the adopted row identifies the products, participating Parties, FS-04 Legal Activation Mode, effective date or completion condition, and any lawful transitional staging; for this purpose, “FS-04 Legal Activation Mode” means the legally authorized mechanism and objective condition by which the agricultural settlement becomes effective and does not import an FS-01 activation category by implication. A zero-tariff selection does not waive sanitary, phytosanitary, food-safety, origin, certification, inspection, or other non-tariff requirements that remain independently applicable. The row also states whether the zero state is immediate or reached through Schedule FS-04-B. Once the controlling transition completes, the zero state becomes a Completed Agricultural Settlement State for purposes of FS-04.6.</w:t>
      </w:r>
    </w:p>
    <w:p>
      <w:pPr>
        <w:spacing w:after="0"/>
      </w:pPr>
    </w:p>
    <w:p>
      <w:pPr>
        <w:pStyle w:val="Normal"/>
        <w:spacing w:before="0" w:after="0"/>
      </w:pPr>
      <w:r>
        <w:t>FS04-C04. No Negative-Space Commitments. Silence in Schedule FS-04-A does not create a concession, exclusion, expansion, reduction, or reservation. A product omitted from an adopted row remains governed by the otherwise applicable NAESTMA and domestic legal framework. A general political statement, target, forecast, or negotiating objective does not fill a missing constitutive field. The Parties use express schedule text when they intend a product-specific settlement consequence.</w:t>
      </w:r>
    </w:p>
    <w:p>
      <w:pPr>
        <w:spacing w:after="0"/>
      </w:pPr>
    </w:p>
    <w:p>
      <w:pPr>
        <w:pStyle w:val="Normal"/>
        <w:spacing w:before="0" w:after="0"/>
      </w:pPr>
      <w:r>
        <w:t>FS04-C05. Specific Legal Authority. Each operative settlement row identifies the treaty provision, schedule authority, amendment authority, implementing instrument, or other independent legal basis legally sufficient to give effect to the selected term. An administrative certificate, registry entry, or FS-04 schedule record documents selection or implementation but does not create substantive authority that the underlying instrument does not supply. Where domestic implementation is legally required before a term becomes operative, the row identifies that activation condition without treating anticipated implementation as completed implementation. No Secretariat, technical body, or schedule administrator acquires power to create or amend a tariff, quota, access quantity, or allocation methodology merely by maintaining the FS-04 schedules.</w:t>
      </w:r>
    </w:p>
    <w:p>
      <w:pPr>
        <w:spacing w:after="0"/>
      </w:pPr>
    </w:p>
    <w:p>
      <w:pPr>
        <w:pStyle w:val="Normal"/>
        <w:spacing w:before="0" w:after="0"/>
      </w:pPr>
      <w:r>
        <w:t>FS04-C06. Bilateral and Trilateral Scope. An Adopted FS-04 Settlement Row states whether its obligations and benefits are trilateral, bilateral between specified Parties, or otherwise lawfully differentiated. A bilateral settlement does not silently alter the treatment owed in another bilateral relationship under NAESTMA. Where equivalent but non-identical bilateral terms coexist, the schedules keep their legal sources, product scopes, and activation dates separately traceable. The Commission may publish a consolidated informational view so long as consolidation does not change the legal character of the underlying commitments.</w:t>
      </w:r>
    </w:p>
    <w:p>
      <w:pPr>
        <w:spacing w:after="0"/>
      </w:pPr>
    </w:p>
    <w:p>
      <w:pPr>
        <w:pStyle w:val="Heading2"/>
      </w:pPr>
      <w:bookmarkStart w:id="901724" w:name="_Toc300001723"/>
      <w:r>
        <w:t>FS-04.4: Transition Bridge and NAAFTC Socket</w:t>
      </w:r>
      <w:bookmarkEnd w:id="901724"/>
    </w:p>
    <w:p>
      <w:pPr>
        <w:pStyle w:val="Normal"/>
        <w:spacing w:before="0" w:after="0"/>
      </w:pPr>
      <w:r>
        <w:t>FS04-D01. Transition Bridge. Schedule FS-04-B records the independently authorized transition path between the verified baseline state and the selected final settlement state where the change is not immediate. Each Adopted FS-04 Transition Row identifies its specific transition legal authority, every legally operative stage, its trigger, its resulting treatment, and the condition that advances the product to the next stage. Schedule FS-04-B does not create an acceleration, pause, extension, intermediate tariff change, managed-access adjustment, or other transition power that the cited authority does not supply. Where a stage is automatic on an objective condition, the schedule states the condition and consequence directly without adding an unstated future approval.</w:t>
      </w:r>
    </w:p>
    <w:p>
      <w:pPr>
        <w:spacing w:after="0"/>
      </w:pPr>
    </w:p>
    <w:p>
      <w:pPr>
        <w:pStyle w:val="Normal"/>
        <w:spacing w:before="0" w:after="0"/>
      </w:pPr>
      <w:r>
        <w:t>FS04-D02. No Imported Transition Clock by Implication. The 12-month, 28-month, 36-month, 42-month, or another transition period developed in NAAFTC does not enter NAESTMA merely because FS-04 provides a NAAFTC-compatible pathway. A NAAFTC period operates within FS-04 only where an Adopted NAAFTC Incorporation Row expressly incorporates that provision or an Adopted FS-04 Transition Row independently adopts an equivalent period under sufficient authority. The same rule applies to acceleration, reverse-gear, vesting, safe-harbor, and other NAAFTC transition mechanics. This separation preserves NAAFTC as a standalone instrument unless the Parties deliberately choose otherwise.</w:t>
      </w:r>
    </w:p>
    <w:p>
      <w:pPr>
        <w:spacing w:after="0"/>
      </w:pPr>
    </w:p>
    <w:p>
      <w:pPr>
        <w:pStyle w:val="Normal"/>
        <w:spacing w:before="0" w:after="0"/>
      </w:pPr>
      <w:r>
        <w:t>FS04-D03. NAAFTC Incorporation Socket. Schedule FS-04-C is the exclusive FS-04 record for identifying a NAAFTC provision incorporated by reference into the NAESTMA Final Settlement branch, while the cited adoption instrument remains the source of incorporative legal effect. Each adopted incorporation row identifies the exact NAAFTC instrument title, version or date, provision or annex, participating Parties, covered products, relationship status, incorporated legal effect, modifications or reservations, effective date, and Specific Legally Sufficient Adoption Authority. A generic reference to NAAFTC, agricultural free trade, a NAAFTC concept, or a negotiating draft does not incorporate operative text. A blank, incomplete, or compatibility-reference-only row has no incorporative legal effect.</w:t>
      </w:r>
    </w:p>
    <w:p>
      <w:pPr>
        <w:spacing w:after="0"/>
      </w:pPr>
    </w:p>
    <w:p>
      <w:pPr>
        <w:pStyle w:val="Normal"/>
        <w:spacing w:before="0" w:after="0"/>
      </w:pPr>
      <w:r>
        <w:t>FS04-D04. Compatibility Without Incorporation. An FS-04 settlement may be recorded as “Compatibility Reference Only” where its structure coexists with a separate NAAFTC commitment without contradiction. That relationship status is informational and non-constitutive and does not incorporate NAAFTC text, schedules, thresholds, clocks, remedies, definitions, institutions, or legal effects. If the Parties later adopt NAAFTC separately, the relationship between the two instruments follows their express hierarchy, conflict, and incorporation rules and any corresponding adopted FS-04-C incorporation record. FS-04 therefore supports modular adoption without collapsing the two instruments into one treaty by implication.</w:t>
      </w:r>
    </w:p>
    <w:p>
      <w:pPr>
        <w:spacing w:after="0"/>
      </w:pPr>
    </w:p>
    <w:p>
      <w:pPr>
        <w:pStyle w:val="Normal"/>
        <w:spacing w:before="0" w:after="0"/>
      </w:pPr>
      <w:r>
        <w:t>FS04-D05. Transition Acceleration, Pause, and Extension. An adopted transition may accelerate, pause, or extend only through the mechanism and within the bounds expressly authorized by its specific transition legal authority and recorded adjustment authority. Authority to adjust a transition clock does not by itself authorize alteration of the selected final tariff rate, access quantity, managed-access field, or another substantive settlement term reserved to amendment or separate adoption. Where a permitted adjustment requires unanimous, bilateral, technical, or other specified approval, the schedule identifies that actor, decision rule, maximum movement, and affected products or stages. Commercial success, political preference, utilization levels, or administrative review does not independently change the transition clock or restart a completed stage.</w:t>
      </w:r>
    </w:p>
    <w:p>
      <w:pPr>
        <w:spacing w:after="0"/>
      </w:pPr>
    </w:p>
    <w:p>
      <w:pPr>
        <w:pStyle w:val="Normal"/>
        <w:spacing w:before="0" w:after="0"/>
      </w:pPr>
      <w:r>
        <w:t>FS04-D06. Transition Completion Certificate. When the objective conditions for a transition stage or final stage are satisfied, the competent authority records completion through the existing implementation machinery or a simple FS-04 completion record. The record is evidentiary unless the controlling legal authority expressly makes certification constitutive. Failure to issue an evidentiary record on time does not suspend a right that the controlling provision makes automatic upon satisfaction of objective conditions. The Parties correct an erroneous record through the applicable administrative or Cothrom pathway without reopening unrelated completed settlement states.</w:t>
      </w:r>
    </w:p>
    <w:p>
      <w:pPr>
        <w:spacing w:after="0"/>
      </w:pPr>
    </w:p>
    <w:p>
      <w:pPr>
        <w:pStyle w:val="Heading2"/>
      </w:pPr>
      <w:bookmarkStart w:id="901725" w:name="_Toc300001724"/>
      <w:r>
        <w:t>FS-04.5: Existing Administration, SPS, Emergency, and Commercial-Usability Interface</w:t>
      </w:r>
      <w:bookmarkEnd w:id="901725"/>
    </w:p>
    <w:p>
      <w:pPr>
        <w:pStyle w:val="Normal"/>
        <w:spacing w:before="0" w:after="0"/>
      </w:pPr>
      <w:r>
        <w:t>FS04-E01. Chapter 43 Administration Interface. Chapter 43 supplies the primary agricultural administrative machinery for commercially meaningful access, quota administration, applications, perishables, shortage determinations, administrative-barrier review, reciprocal facilitation, and related implementation functions within its scope. FS-04 uses those mechanisms for an adopted settlement rather than reproducing them. A schedule row identifies a different mechanism only where a more specific provision controls or the settlement instrument expressly and lawfully establishes one. The presence of an FS-04 settlement term does not reduce the transparency, usability, evidence, or review protections otherwise applicable under Chapter 43.</w:t>
      </w:r>
    </w:p>
    <w:p>
      <w:pPr>
        <w:spacing w:after="0"/>
      </w:pPr>
    </w:p>
    <w:p>
      <w:pPr>
        <w:pStyle w:val="Normal"/>
        <w:spacing w:before="0" w:after="0"/>
      </w:pPr>
      <w:r>
        <w:t>FS04-E02. SPS and Equivalence Interface. Chapter 9 and the more specific Chapter 43 sanitary and phytosanitary provisions continue to govern SPS protection, evidence, risk tailoring, equivalence, systems recognition, regionalization, treatment, certification, and related technical matters. A tariff or access concession does not lower a Party's lawful level of sanitary or phytosanitary protection. An SPS measure likewise does not alter the permanent tariff or access settlement unless independent authority expressly provides that consequence. Where Chapter 9 supplies the more specific SPS rule, that rule controls.</w:t>
      </w:r>
    </w:p>
    <w:p>
      <w:pPr>
        <w:spacing w:after="0"/>
      </w:pPr>
    </w:p>
    <w:p>
      <w:pPr>
        <w:pStyle w:val="Normal"/>
        <w:spacing w:before="0" w:after="0"/>
      </w:pPr>
      <w:r>
        <w:t>FS04-E03. Perishables and Border Continuity. Existing perishables, cold-chain, escalation-contact, correction, segregation, treatment, reconditioning, re-export, approved-facility, priority-lane, and trade-facilitation-corridor mechanisms remain available according to their controlling provisions. FS-04 does not create a second perishables lane or a second emergency corridor. Administration of an adopted settlement accounts for the time sensitivity of covered perishable goods through those existing mechanisms. A documentary or classification issue is contained to the affected issue where existing law permits continuity rather than becoming an implied suspension of the broader agricultural settlement.</w:t>
      </w:r>
    </w:p>
    <w:p>
      <w:pPr>
        <w:spacing w:after="0"/>
      </w:pPr>
    </w:p>
    <w:p>
      <w:pPr>
        <w:pStyle w:val="Normal"/>
        <w:spacing w:before="0" w:after="0"/>
      </w:pPr>
      <w:r>
        <w:t>FS04-E04. Emergency and Shortage Interface. Existing agricultural emergency and shortage mechanisms continue to determine whether provisional or temporary relief is available and the evidence, scope, duration, and review applicable to that relief. A shortage, price spike, disease event, extreme-weather event, processing failure, transport interruption, or other emergency fact does not independently create tariff authority. Temporary relief remains bounded by the authority that activates it and does not rewrite the Completed Agricultural Settlement State. When the temporary condition ends, ordinary settlement treatment resumes according to the controlling provisions.</w:t>
      </w:r>
    </w:p>
    <w:p>
      <w:pPr>
        <w:spacing w:after="0"/>
      </w:pPr>
    </w:p>
    <w:p>
      <w:pPr>
        <w:pStyle w:val="Normal"/>
        <w:spacing w:before="0" w:after="0"/>
      </w:pPr>
      <w:r>
        <w:t>FS04-E05. Dairy and Managed-Access Administration. Article 49.3 and applicable Chapter 43 provisions continue to govern dairy tariff-rate-quota transparency, allocation information, utilization information, reallocation procedures, auditability, and transition in administration. FS-04 may select a negotiated dairy market-access commitment without converting that selection into an abolition of Canadian supply management unless an independent adopted instrument expressly does so. The schedule distinguishes the amount or tariff treatment of negotiated access from the administrative rules used to distribute or manage that access. A dispute about one does not automatically alter the other.</w:t>
      </w:r>
    </w:p>
    <w:p>
      <w:pPr>
        <w:spacing w:after="0"/>
      </w:pPr>
    </w:p>
    <w:p>
      <w:pPr>
        <w:pStyle w:val="Normal"/>
        <w:spacing w:before="0" w:after="0"/>
      </w:pPr>
      <w:r>
        <w:t>FS04-E06. Administrative Barrier and Cothrom Interface. Articles 43.1AC and 43.1AD, Chapter 35, and the applicable Cothrom architecture govern correction, proportionate step-back, cure, earn-back, restoration, and containment where agricultural administrative non-performance falls within their scope. FS-04 does not create a parallel agricultural retaliation ladder. A disputed facilitation benefit is isolated from underlying tariff treatment and unrelated products to the extent required by the controlling provisions. No FS-04 administrative dispute creates unilateral tariff, quota, purchase-mandate, or cross-sector retaliation authority absent an independent NAESTMA basis.</w:t>
      </w:r>
    </w:p>
    <w:p>
      <w:pPr>
        <w:spacing w:after="0"/>
      </w:pPr>
    </w:p>
    <w:p>
      <w:pPr>
        <w:pStyle w:val="Heading2"/>
      </w:pPr>
      <w:bookmarkStart w:id="901726" w:name="_Toc300001725"/>
      <w:r>
        <w:t>FS-04.6: Completion, No-Fade, Restoration, and Closure</w:t>
      </w:r>
      <w:bookmarkEnd w:id="901726"/>
    </w:p>
    <w:p>
      <w:pPr>
        <w:pStyle w:val="Normal"/>
        <w:spacing w:before="0" w:after="0"/>
      </w:pPr>
      <w:r>
        <w:t>FS04-F01. Completion Lock and Successor-Measure Integrity. A Completed Agricultural Settlement State remains the controlling FS-04 state after the transition that created it has ended. The passage of time, arrival of a review date, expiration of an implementation work plan, closure of a technical committee, or replacement of the administering legal vehicle does not return the product to an earlier transition stage. A Party does not recreate a completed transitional burden in substantially equivalent form merely by changing its name, tariff code, administering agency, licence form, documentary vehicle, or other administrative packaging. A completed zero line or scheduled access state changes only under independent legal authority sufficient to alter that completed settlement state.</w:t>
      </w:r>
    </w:p>
    <w:p>
      <w:pPr>
        <w:spacing w:after="0"/>
      </w:pPr>
    </w:p>
    <w:p>
      <w:pPr>
        <w:pStyle w:val="Normal"/>
        <w:spacing w:before="0" w:after="0"/>
      </w:pPr>
      <w:r>
        <w:t>FS04-F02. No Clock Reset. A classification update, administrative correction, verification dispute, temporary emergency measure, change of responsible agency, replacement of an implementing form, or successor administrative instrument does not restart an FS-04 transition clock unless the controlling adopted term expressly authorizes a restart. A permitted pause affects only the period and products within its stated scope. Time already lawfully completed remains credited after the pause unless the controlling authority expressly provides otherwise. A review therefore examines performance without silently recreating elapsed transition time or reviving a completed stage.</w:t>
      </w:r>
    </w:p>
    <w:p>
      <w:pPr>
        <w:spacing w:after="0"/>
      </w:pPr>
    </w:p>
    <w:p>
      <w:pPr>
        <w:pStyle w:val="Normal"/>
        <w:spacing w:before="0" w:after="0"/>
      </w:pPr>
      <w:r>
        <w:t>FS04-F03. No-Fade of Durable Settlement States. A tariff or market-access state that becomes durable under an Adopted FS-04 Settlement Row does not diminish merely because it is not used continuously, aggregate access is underfilled, trade patterns change, or a scheduled review occurs. This no-fade protection attaches to the scheduled settlement state and does not convert an individual licence, allocation share, application priority, unused quantity, or other time-limited administrative entitlement into a perpetual vested right unless the controlling instrument expressly makes that entitlement durable. Underutilization may support factual review, reallocation, correction, or another response where existing law permits, but does not itself prove obstruction or authorize deterioration of the underlying settlement commitment. A Party seeking to alter a durable settlement state uses the amendment, adjustment, emergency, dispute, or other independent authority actually applicable to that change.</w:t>
      </w:r>
    </w:p>
    <w:p>
      <w:pPr>
        <w:spacing w:after="0"/>
      </w:pPr>
    </w:p>
    <w:p>
      <w:pPr>
        <w:pStyle w:val="Normal"/>
        <w:spacing w:before="0" w:after="0"/>
      </w:pPr>
      <w:r>
        <w:t>FS04-F04. Temporary Step-Back and Automatic Restoration. Where existing Cothrom or agricultural administrative-barrier provisions authorize a temporary step-back, the measure remains confined to the affected benefit, product, actor, and duration permitted by that authority. Cure becomes verified, final, or reviewable according to the evidentiary and finality rules of the controlling Cothrom or agricultural procedure rather than a separate FS-04 standard. Once the controlling architecture treats cure as verified and makes earn-back or restoration automatic, restoration occurs without a new political bargain and returns the affected treatment to the state that would otherwise apply under the adopted FS-04 settlement. A temporary step-back does not erase completed transition history, create a new baseline, or reopen a completed settlement state beyond the authority that permitted the step-back.</w:t>
      </w:r>
    </w:p>
    <w:p>
      <w:pPr>
        <w:spacing w:after="0"/>
      </w:pPr>
    </w:p>
    <w:p>
      <w:pPr>
        <w:pStyle w:val="Normal"/>
        <w:spacing w:before="0" w:after="0"/>
      </w:pPr>
      <w:r>
        <w:t>FS04-F05. Review and Amendment Discipline. An FS-04 review may assess implementation, utilization, commercial usability, administrative burden, transition performance, data quality, and interaction with NAAFTC or another agricultural instrument. Review alone does not amend a tariff rate, access quantity, completed transition state, incorporation term, or other substantive field reserved to a specified amendment or adoption procedure. Technical corrections may repair clerical, correlation, or provenance errors where they do not change substantive legal effect. A substantive change uses the legal procedure identified by the controlling commitment.</w:t>
      </w:r>
    </w:p>
    <w:p>
      <w:pPr>
        <w:spacing w:after="0"/>
      </w:pPr>
    </w:p>
    <w:p>
      <w:pPr>
        <w:pStyle w:val="Normal"/>
        <w:spacing w:before="0" w:after="0"/>
      </w:pPr>
      <w:r>
        <w:t>FS04-F06. Closure Record. Each Adopted FS-04 Transition Row identifies the event that closes the transition and the permanent or continuing provisions that survive closure. The closure record states the Completed Agricultural Settlement State, continuing administrative interfaces, any surviving NAAFTC incorporation, and any temporary measure that remains independently in force. Closure does not extinguish accrued rights, pending disputes, cure rights, restoration rights, or obligations expressly designated to survive. The Secretariat or other designated recordkeeper maintains the closure record as an implementation reference and does not acquire authority to alter the underlying settlement through recordkeeping.</w:t>
      </w:r>
    </w:p>
    <w:p>
      <w:pPr>
        <w:spacing w:after="0"/>
      </w:pPr>
    </w:p>
    <w:p>
      <w:pPr>
        <w:pStyle w:val="Heading2"/>
      </w:pPr>
      <w:bookmarkStart w:id="901727" w:name="_Toc300001726"/>
      <w:r>
        <w:rPr>
          <w:b/>
        </w:rPr>
        <w:t>Schedule FS-04-A: Agricultural Final Settlement Schedule</w:t>
      </w:r>
      <w:bookmarkEnd w:id="901727"/>
    </w:p>
    <w:tbl>
      <w:tblPr>
        <w:tblStyle w:val="TableGrid"/>
        <w:tblW w:type="pct" w:w="500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909"/>
        <w:gridCol w:w="909"/>
        <w:gridCol w:w="909"/>
        <w:gridCol w:w="909"/>
        <w:gridCol w:w="909"/>
        <w:gridCol w:w="909"/>
        <w:gridCol w:w="909"/>
        <w:gridCol w:w="909"/>
        <w:gridCol w:w="909"/>
        <w:gridCol w:w="909"/>
        <w:gridCol w:w="909"/>
      </w:tblGrid>
      <w:tr>
        <w:trPr>
          <w:tblHeader w:val="true"/>
        </w:trPr>
        <w:tc>
          <w:tcPr>
            <w:tcW w:type="dxa" w:w="909"/>
            <w:shd w:fill="ECEFF1" w:val="clear" w:color="auto"/>
            <w:tcMar>
              <w:top w:w="60" w:type="dxa"/>
              <w:start w:w="60" w:type="dxa"/>
              <w:bottom w:w="60" w:type="dxa"/>
              <w:end w:w="60" w:type="dxa"/>
            </w:tcMar>
            <w:vAlign w:val="center"/>
          </w:tcPr>
          <w:p>
            <w:pPr>
              <w:pStyle w:val="TableText"/>
            </w:pPr>
            <w:r>
              <w:rPr/>
            </w:r>
            <w:r>
              <w:rPr>
                <w:b/>
              </w:rPr>
              <w:t>Adoption Status</w:t>
            </w:r>
          </w:p>
        </w:tc>
        <w:tc>
          <w:tcPr>
            <w:tcW w:type="dxa" w:w="909"/>
            <w:shd w:fill="ECEFF1" w:val="clear" w:color="auto"/>
            <w:tcMar>
              <w:top w:w="60" w:type="dxa"/>
              <w:start w:w="60" w:type="dxa"/>
              <w:bottom w:w="60" w:type="dxa"/>
              <w:end w:w="60" w:type="dxa"/>
            </w:tcMar>
            <w:vAlign w:val="center"/>
          </w:tcPr>
          <w:p>
            <w:pPr>
              <w:pStyle w:val="TableText"/>
            </w:pPr>
            <w:r>
              <w:rPr/>
              <w:t>Agricultural Classification Record</w:t>
            </w:r>
          </w:p>
        </w:tc>
        <w:tc>
          <w:tcPr>
            <w:tcW w:type="dxa" w:w="909"/>
            <w:shd w:fill="ECEFF1" w:val="clear" w:color="auto"/>
            <w:tcMar>
              <w:top w:w="60" w:type="dxa"/>
              <w:start w:w="60" w:type="dxa"/>
              <w:bottom w:w="60" w:type="dxa"/>
              <w:end w:w="60" w:type="dxa"/>
            </w:tcMar>
            <w:vAlign w:val="center"/>
          </w:tcPr>
          <w:p>
            <w:pPr>
              <w:pStyle w:val="TableText"/>
            </w:pPr>
            <w:r>
              <w:rPr/>
            </w:r>
            <w:r>
              <w:rPr>
                <w:b/>
              </w:rPr>
              <w:t>Parties</w:t>
            </w:r>
          </w:p>
        </w:tc>
        <w:tc>
          <w:tcPr>
            <w:tcW w:type="dxa" w:w="909"/>
            <w:shd w:fill="ECEFF1" w:val="clear" w:color="auto"/>
            <w:tcMar>
              <w:top w:w="60" w:type="dxa"/>
              <w:start w:w="60" w:type="dxa"/>
              <w:bottom w:w="60" w:type="dxa"/>
              <w:end w:w="60" w:type="dxa"/>
            </w:tcMar>
            <w:vAlign w:val="center"/>
          </w:tcPr>
          <w:p>
            <w:pPr>
              <w:pStyle w:val="TableText"/>
            </w:pPr>
            <w:r>
              <w:rPr/>
            </w:r>
            <w:r>
              <w:rPr>
                <w:b/>
              </w:rPr>
              <w:t>Verified Baseline State</w:t>
            </w:r>
          </w:p>
        </w:tc>
        <w:tc>
          <w:tcPr>
            <w:tcW w:type="dxa" w:w="909"/>
            <w:shd w:fill="ECEFF1" w:val="clear" w:color="auto"/>
            <w:tcMar>
              <w:top w:w="60" w:type="dxa"/>
              <w:start w:w="60" w:type="dxa"/>
              <w:bottom w:w="60" w:type="dxa"/>
              <w:end w:w="60" w:type="dxa"/>
            </w:tcMar>
            <w:vAlign w:val="center"/>
          </w:tcPr>
          <w:p>
            <w:pPr>
              <w:pStyle w:val="TableText"/>
            </w:pPr>
            <w:r>
              <w:rPr/>
            </w:r>
            <w:r>
              <w:rPr>
                <w:b/>
              </w:rPr>
              <w:t>Selected Final State</w:t>
            </w:r>
          </w:p>
        </w:tc>
        <w:tc>
          <w:tcPr>
            <w:tcW w:type="dxa" w:w="909"/>
            <w:shd w:fill="ECEFF1" w:val="clear" w:color="auto"/>
            <w:tcMar>
              <w:top w:w="60" w:type="dxa"/>
              <w:start w:w="60" w:type="dxa"/>
              <w:bottom w:w="60" w:type="dxa"/>
              <w:end w:w="60" w:type="dxa"/>
            </w:tcMar>
            <w:vAlign w:val="center"/>
          </w:tcPr>
          <w:p>
            <w:pPr>
              <w:pStyle w:val="TableText"/>
            </w:pPr>
            <w:r>
              <w:rPr/>
            </w:r>
            <w:r>
              <w:rPr>
                <w:b/>
              </w:rPr>
              <w:t>Managed-Access Terms</w:t>
            </w:r>
          </w:p>
        </w:tc>
        <w:tc>
          <w:tcPr>
            <w:tcW w:type="dxa" w:w="909"/>
            <w:shd w:fill="ECEFF1" w:val="clear" w:color="auto"/>
            <w:tcMar>
              <w:top w:w="60" w:type="dxa"/>
              <w:start w:w="60" w:type="dxa"/>
              <w:bottom w:w="60" w:type="dxa"/>
              <w:end w:w="60" w:type="dxa"/>
            </w:tcMar>
            <w:vAlign w:val="center"/>
          </w:tcPr>
          <w:p>
            <w:pPr>
              <w:pStyle w:val="TableText"/>
            </w:pPr>
            <w:r>
              <w:rPr/>
            </w:r>
            <w:r>
              <w:rPr>
                <w:b/>
              </w:rPr>
              <w:t>Effective Date / Condition</w:t>
            </w:r>
          </w:p>
        </w:tc>
        <w:tc>
          <w:tcPr>
            <w:tcW w:type="dxa" w:w="909"/>
            <w:shd w:fill="ECEFF1" w:val="clear" w:color="auto"/>
            <w:tcMar>
              <w:top w:w="60" w:type="dxa"/>
              <w:start w:w="60" w:type="dxa"/>
              <w:bottom w:w="60" w:type="dxa"/>
              <w:end w:w="60" w:type="dxa"/>
            </w:tcMar>
            <w:vAlign w:val="center"/>
          </w:tcPr>
          <w:p>
            <w:pPr>
              <w:pStyle w:val="TableText"/>
            </w:pPr>
            <w:r>
              <w:rPr/>
              <w:t>FS-04 Legal Activation Mode</w:t>
            </w:r>
          </w:p>
        </w:tc>
        <w:tc>
          <w:tcPr>
            <w:tcW w:type="dxa" w:w="909"/>
            <w:shd w:fill="ECEFF1" w:val="clear" w:color="auto"/>
            <w:tcMar>
              <w:top w:w="60" w:type="dxa"/>
              <w:start w:w="60" w:type="dxa"/>
              <w:bottom w:w="60" w:type="dxa"/>
              <w:end w:w="60" w:type="dxa"/>
            </w:tcMar>
            <w:vAlign w:val="center"/>
          </w:tcPr>
          <w:p>
            <w:pPr>
              <w:pStyle w:val="TableText"/>
            </w:pPr>
            <w:r>
              <w:rPr/>
            </w:r>
            <w:r>
              <w:rPr>
                <w:b/>
              </w:rPr>
              <w:t>Specific Legal Authority</w:t>
            </w:r>
          </w:p>
        </w:tc>
        <w:tc>
          <w:tcPr>
            <w:tcW w:type="dxa" w:w="909"/>
            <w:shd w:fill="ECEFF1" w:val="clear" w:color="auto"/>
            <w:tcMar>
              <w:top w:w="60" w:type="dxa"/>
              <w:start w:w="60" w:type="dxa"/>
              <w:bottom w:w="60" w:type="dxa"/>
              <w:end w:w="60" w:type="dxa"/>
            </w:tcMar>
            <w:vAlign w:val="center"/>
          </w:tcPr>
          <w:p>
            <w:pPr>
              <w:pStyle w:val="TableText"/>
            </w:pPr>
            <w:r>
              <w:rPr/>
            </w:r>
            <w:r>
              <w:rPr>
                <w:b/>
              </w:rPr>
              <w:t>Existing Admin Interface</w:t>
            </w:r>
          </w:p>
        </w:tc>
        <w:tc>
          <w:tcPr>
            <w:tcW w:type="dxa" w:w="909"/>
            <w:shd w:fill="ECEFF1" w:val="clear" w:color="auto"/>
            <w:tcMar>
              <w:top w:w="60" w:type="dxa"/>
              <w:start w:w="60" w:type="dxa"/>
              <w:bottom w:w="60" w:type="dxa"/>
              <w:end w:w="60" w:type="dxa"/>
            </w:tcMar>
            <w:vAlign w:val="center"/>
          </w:tcPr>
          <w:p>
            <w:pPr>
              <w:pStyle w:val="TableText"/>
            </w:pPr>
            <w:r>
              <w:rPr/>
            </w:r>
            <w:r>
              <w:rPr>
                <w:b/>
              </w:rPr>
              <w:t>Authoritative Source / Provenance</w:t>
            </w:r>
          </w:p>
        </w:tc>
      </w:tr>
      <w:tr>
        <w:tc>
          <w:tcPr>
            <w:tcW w:type="dxa" w:w="909"/>
            <w:tcMar>
              <w:top w:w="60" w:type="dxa"/>
              <w:start w:w="60" w:type="dxa"/>
              <w:bottom w:w="60" w:type="dxa"/>
              <w:end w:w="60" w:type="dxa"/>
            </w:tcMar>
            <w:vAlign w:val="center"/>
          </w:tcPr>
          <w:p>
            <w:pPr>
              <w:pStyle w:val="TableText"/>
            </w:pPr>
            <w:r>
              <w:rPr/>
              <w:t>DRAFT: VERIFY BEFORE LEGAL SCRUB</w:t>
            </w:r>
          </w:p>
        </w:tc>
        <w:tc>
          <w:tcPr>
            <w:tcW w:type="dxa" w:w="909"/>
            <w:tcMar>
              <w:top w:w="60" w:type="dxa"/>
              <w:start w:w="60" w:type="dxa"/>
              <w:bottom w:w="60" w:type="dxa"/>
              <w:end w:w="60" w:type="dxa"/>
            </w:tcMar>
            <w:vAlign w:val="center"/>
          </w:tcPr>
          <w:p>
            <w:pPr>
              <w:pStyle w:val="TableText"/>
            </w:pPr>
            <w:r>
              <w:rPr/>
              <w:t>[Product / tariff classification / scope]</w:t>
            </w:r>
          </w:p>
        </w:tc>
        <w:tc>
          <w:tcPr>
            <w:tcW w:type="dxa" w:w="909"/>
            <w:tcMar>
              <w:top w:w="60" w:type="dxa"/>
              <w:start w:w="60" w:type="dxa"/>
              <w:bottom w:w="60" w:type="dxa"/>
              <w:end w:w="60" w:type="dxa"/>
            </w:tcMar>
            <w:vAlign w:val="center"/>
          </w:tcPr>
          <w:p>
            <w:pPr>
              <w:pStyle w:val="TableText"/>
            </w:pPr>
            <w:r>
              <w:rPr/>
            </w:r>
            <w:r>
              <w:rPr>
                <w:b w:val="0"/>
              </w:rPr>
              <w:t>[CA/US/MX]</w:t>
            </w:r>
          </w:p>
        </w:tc>
        <w:tc>
          <w:tcPr>
            <w:tcW w:type="dxa" w:w="909"/>
            <w:tcMar>
              <w:top w:w="60" w:type="dxa"/>
              <w:start w:w="60" w:type="dxa"/>
              <w:bottom w:w="60" w:type="dxa"/>
              <w:end w:w="60" w:type="dxa"/>
            </w:tcMar>
            <w:vAlign w:val="center"/>
          </w:tcPr>
          <w:p>
            <w:pPr>
              <w:pStyle w:val="TableText"/>
            </w:pPr>
            <w:r>
              <w:rPr/>
            </w:r>
            <w:r>
              <w:rPr>
                <w:b w:val="0"/>
              </w:rPr>
              <w:t>[MFN / preferential / TRQ / zero / other]</w:t>
            </w:r>
          </w:p>
        </w:tc>
        <w:tc>
          <w:tcPr>
            <w:tcW w:type="dxa" w:w="909"/>
            <w:tcMar>
              <w:top w:w="60" w:type="dxa"/>
              <w:start w:w="60" w:type="dxa"/>
              <w:bottom w:w="60" w:type="dxa"/>
              <w:end w:w="60" w:type="dxa"/>
            </w:tcMar>
            <w:vAlign w:val="center"/>
          </w:tcPr>
          <w:p>
            <w:pPr>
              <w:pStyle w:val="TableText"/>
            </w:pPr>
            <w:r>
              <w:rPr/>
            </w:r>
            <w:r>
              <w:rPr>
                <w:b w:val="0"/>
              </w:rPr>
              <w:t>[Preserve / zero / managed access / other]</w:t>
            </w:r>
          </w:p>
        </w:tc>
        <w:tc>
          <w:tcPr>
            <w:tcW w:type="dxa" w:w="909"/>
            <w:tcMar>
              <w:top w:w="60" w:type="dxa"/>
              <w:start w:w="60" w:type="dxa"/>
              <w:bottom w:w="60" w:type="dxa"/>
              <w:end w:w="60" w:type="dxa"/>
            </w:tcMar>
            <w:vAlign w:val="center"/>
          </w:tcPr>
          <w:p>
            <w:pPr>
              <w:pStyle w:val="TableText"/>
            </w:pPr>
            <w:r>
              <w:rPr/>
            </w:r>
            <w:r>
              <w:rPr>
                <w:b w:val="0"/>
              </w:rPr>
              <w:t>[Quantity; within-access; over-access, if applicable]</w:t>
            </w:r>
          </w:p>
        </w:tc>
        <w:tc>
          <w:tcPr>
            <w:tcW w:type="dxa" w:w="909"/>
            <w:tcMar>
              <w:top w:w="60" w:type="dxa"/>
              <w:start w:w="60" w:type="dxa"/>
              <w:bottom w:w="60" w:type="dxa"/>
              <w:end w:w="60" w:type="dxa"/>
            </w:tcMar>
            <w:vAlign w:val="center"/>
          </w:tcPr>
          <w:p>
            <w:pPr>
              <w:pStyle w:val="TableText"/>
            </w:pPr>
            <w:r>
              <w:rPr/>
            </w:r>
            <w:r>
              <w:rPr>
                <w:b w:val="0"/>
              </w:rPr>
              <w:t>[Date / objective condition]</w:t>
            </w:r>
          </w:p>
        </w:tc>
        <w:tc>
          <w:tcPr>
            <w:tcW w:type="dxa" w:w="909"/>
            <w:tcMar>
              <w:top w:w="60" w:type="dxa"/>
              <w:start w:w="60" w:type="dxa"/>
              <w:bottom w:w="60" w:type="dxa"/>
              <w:end w:w="60" w:type="dxa"/>
            </w:tcMar>
            <w:vAlign w:val="center"/>
          </w:tcPr>
          <w:p>
            <w:pPr>
              <w:pStyle w:val="TableText"/>
            </w:pPr>
            <w:r>
              <w:rPr/>
            </w:r>
            <w:r>
              <w:rPr>
                <w:b w:val="0"/>
              </w:rPr>
              <w:t>[Immediate / transition / incorporation / other]</w:t>
            </w:r>
          </w:p>
        </w:tc>
        <w:tc>
          <w:tcPr>
            <w:tcW w:type="dxa" w:w="909"/>
            <w:tcMar>
              <w:top w:w="60" w:type="dxa"/>
              <w:start w:w="60" w:type="dxa"/>
              <w:bottom w:w="60" w:type="dxa"/>
              <w:end w:w="60" w:type="dxa"/>
            </w:tcMar>
            <w:vAlign w:val="center"/>
          </w:tcPr>
          <w:p>
            <w:pPr>
              <w:pStyle w:val="TableText"/>
            </w:pPr>
            <w:r>
              <w:rPr/>
            </w:r>
            <w:r>
              <w:rPr>
                <w:b w:val="0"/>
              </w:rPr>
              <w:t>[Provision / schedule / instrument]</w:t>
            </w:r>
          </w:p>
        </w:tc>
        <w:tc>
          <w:tcPr>
            <w:tcW w:type="dxa" w:w="909"/>
            <w:tcMar>
              <w:top w:w="60" w:type="dxa"/>
              <w:start w:w="60" w:type="dxa"/>
              <w:bottom w:w="60" w:type="dxa"/>
              <w:end w:w="60" w:type="dxa"/>
            </w:tcMar>
            <w:vAlign w:val="center"/>
          </w:tcPr>
          <w:p>
            <w:pPr>
              <w:pStyle w:val="TableText"/>
            </w:pPr>
            <w:r>
              <w:rPr/>
            </w:r>
            <w:r>
              <w:rPr>
                <w:b w:val="0"/>
              </w:rPr>
              <w:t>[Ch. 43 / Art. 49.3 / other]</w:t>
            </w:r>
          </w:p>
        </w:tc>
        <w:tc>
          <w:tcPr>
            <w:tcW w:type="dxa" w:w="909"/>
            <w:tcMar>
              <w:top w:w="60" w:type="dxa"/>
              <w:start w:w="60" w:type="dxa"/>
              <w:bottom w:w="60" w:type="dxa"/>
              <w:end w:w="60" w:type="dxa"/>
            </w:tcMar>
            <w:vAlign w:val="center"/>
          </w:tcPr>
          <w:p>
            <w:pPr>
              <w:pStyle w:val="TableText"/>
            </w:pPr>
            <w:r>
              <w:rPr/>
            </w:r>
            <w:r>
              <w:rPr>
                <w:b w:val="0"/>
              </w:rPr>
              <w:t>[Official source / date / derivation]</w:t>
            </w:r>
          </w:p>
        </w:tc>
      </w:tr>
      <w:tr>
        <w:tc>
          <w:tcPr>
            <w:tcW w:type="dxa" w:w="909"/>
            <w:tcMar>
              <w:top w:w="60" w:type="dxa"/>
              <w:start w:w="60" w:type="dxa"/>
              <w:bottom w:w="60" w:type="dxa"/>
              <w:end w:w="60" w:type="dxa"/>
            </w:tcMar>
            <w:vAlign w:val="center"/>
          </w:tcPr>
          <w:p>
            <w:pPr>
              <w:pStyle w:val="TableText"/>
            </w:pPr>
            <w:r>
              <w:rPr/>
            </w:r>
            <w:r>
              <w:rPr>
                <w:b w:val="0"/>
              </w:rPr>
              <w:t>NOT ADOPTED</w:t>
            </w:r>
          </w:p>
        </w:tc>
        <w:tc>
          <w:tcPr>
            <w:tcW w:type="dxa" w:w="909"/>
            <w:tcMar>
              <w:top w:w="60" w:type="dxa"/>
              <w:start w:w="60" w:type="dxa"/>
              <w:bottom w:w="60" w:type="dxa"/>
              <w:end w:w="60" w:type="dxa"/>
            </w:tcMar>
            <w:vAlign w:val="center"/>
          </w:tcPr>
          <w:p>
            <w:pPr>
              <w:pStyle w:val="TableText"/>
            </w:pPr>
            <w:r>
              <w:rPr/>
              <w:t>[Product / tariff classification / scope]</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r>
      <w:tr>
        <w:tc>
          <w:tcPr>
            <w:tcW w:type="dxa" w:w="909"/>
            <w:tcMar>
              <w:top w:w="60" w:type="dxa"/>
              <w:start w:w="60" w:type="dxa"/>
              <w:bottom w:w="60" w:type="dxa"/>
              <w:end w:w="60" w:type="dxa"/>
            </w:tcMar>
            <w:vAlign w:val="center"/>
          </w:tcPr>
          <w:p>
            <w:pPr>
              <w:pStyle w:val="TableText"/>
            </w:pPr>
            <w:r>
              <w:rPr/>
            </w:r>
            <w:r>
              <w:rPr>
                <w:b w:val="0"/>
              </w:rPr>
              <w:t>NOT ADOPTED</w:t>
            </w:r>
          </w:p>
        </w:tc>
        <w:tc>
          <w:tcPr>
            <w:tcW w:type="dxa" w:w="909"/>
            <w:tcMar>
              <w:top w:w="60" w:type="dxa"/>
              <w:start w:w="60" w:type="dxa"/>
              <w:bottom w:w="60" w:type="dxa"/>
              <w:end w:w="60" w:type="dxa"/>
            </w:tcMar>
            <w:vAlign w:val="center"/>
          </w:tcPr>
          <w:p>
            <w:pPr>
              <w:pStyle w:val="TableText"/>
            </w:pPr>
            <w:r>
              <w:rPr/>
              <w:t>[Product / tariff classification / scope]</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r>
      <w:tr>
        <w:tc>
          <w:tcPr>
            <w:tcW w:type="dxa" w:w="909"/>
            <w:tcMar>
              <w:top w:w="60" w:type="dxa"/>
              <w:start w:w="60" w:type="dxa"/>
              <w:bottom w:w="60" w:type="dxa"/>
              <w:end w:w="60" w:type="dxa"/>
            </w:tcMar>
            <w:vAlign w:val="center"/>
          </w:tcPr>
          <w:p>
            <w:pPr>
              <w:pStyle w:val="TableText"/>
            </w:pPr>
            <w:r>
              <w:rPr/>
            </w:r>
            <w:r>
              <w:rPr>
                <w:b w:val="0"/>
              </w:rPr>
              <w:t>NOT ADOPTED</w:t>
            </w:r>
          </w:p>
        </w:tc>
        <w:tc>
          <w:tcPr>
            <w:tcW w:type="dxa" w:w="909"/>
            <w:tcMar>
              <w:top w:w="60" w:type="dxa"/>
              <w:start w:w="60" w:type="dxa"/>
              <w:bottom w:w="60" w:type="dxa"/>
              <w:end w:w="60" w:type="dxa"/>
            </w:tcMar>
            <w:vAlign w:val="center"/>
          </w:tcPr>
          <w:p>
            <w:pPr>
              <w:pStyle w:val="TableText"/>
            </w:pPr>
            <w:r>
              <w:rPr/>
              <w:t>[Product / tariff classification / scope]</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c>
          <w:tcPr>
            <w:tcW w:type="dxa" w:w="909"/>
            <w:tcMar>
              <w:top w:w="60" w:type="dxa"/>
              <w:start w:w="60" w:type="dxa"/>
              <w:bottom w:w="60" w:type="dxa"/>
              <w:end w:w="60" w:type="dxa"/>
            </w:tcMar>
            <w:vAlign w:val="center"/>
          </w:tcPr>
          <w:p>
            <w:pPr>
              <w:pStyle w:val="TableText"/>
            </w:pPr>
            <w:r>
              <w:rPr/>
            </w:r>
            <w:r>
              <w:rPr>
                <w:b w:val="0"/>
              </w:rPr>
              <w:t>[ ]</w:t>
            </w:r>
          </w:p>
        </w:tc>
      </w:tr>
    </w:tbl>
    <w:p>
      <w:pPr>
        <w:pStyle w:val="Heading2"/>
      </w:pPr>
      <w:bookmarkStart w:id="901728" w:name="_Toc300001727"/>
      <w:r>
        <w:rPr>
          <w:b/>
        </w:rPr>
        <w:t>Schedule FS-04-B: Agricultural Transition and Completion Schedule</w:t>
      </w:r>
      <w:bookmarkEnd w:id="901728"/>
    </w:p>
    <w:tbl>
      <w:tblPr>
        <w:tblStyle w:val="TableGrid"/>
        <w:tblW w:type="pct" w:w="500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999"/>
        <w:gridCol w:w="999"/>
        <w:gridCol w:w="999"/>
        <w:gridCol w:w="999"/>
        <w:gridCol w:w="999"/>
        <w:gridCol w:w="999"/>
        <w:gridCol w:w="999"/>
        <w:gridCol w:w="999"/>
        <w:gridCol w:w="999"/>
        <w:gridCol w:w="999"/>
        <w:gridCol w:w="1600"/>
      </w:tblGrid>
      <w:tr>
        <w:trPr>
          <w:tblHeader w:val="true"/>
        </w:trPr>
        <w:tc>
          <w:tcPr>
            <w:tcW w:type="dxa" w:w="999"/>
            <w:shd w:fill="ECEFF1" w:val="clear" w:color="auto"/>
            <w:tcMar>
              <w:top w:w="60" w:type="dxa"/>
              <w:start w:w="60" w:type="dxa"/>
              <w:bottom w:w="60" w:type="dxa"/>
              <w:end w:w="60" w:type="dxa"/>
            </w:tcMar>
            <w:vAlign w:val="center"/>
          </w:tcPr>
          <w:p>
            <w:pPr>
              <w:pStyle w:val="TableText"/>
            </w:pPr>
            <w:r>
              <w:rPr/>
              <w:t>Adoption Status</w:t>
            </w:r>
          </w:p>
        </w:tc>
        <w:tc>
          <w:tcPr>
            <w:tcW w:type="dxa" w:w="999"/>
            <w:shd w:fill="ECEFF1" w:val="clear" w:color="auto"/>
            <w:tcMar>
              <w:top w:w="60" w:type="dxa"/>
              <w:start w:w="60" w:type="dxa"/>
              <w:bottom w:w="60" w:type="dxa"/>
              <w:end w:w="60" w:type="dxa"/>
            </w:tcMar>
            <w:vAlign w:val="center"/>
          </w:tcPr>
          <w:p>
            <w:pPr>
              <w:pStyle w:val="TableText"/>
            </w:pPr>
            <w:r>
              <w:rPr/>
              <w:t>FS-04-A Row</w:t>
            </w:r>
          </w:p>
        </w:tc>
        <w:tc>
          <w:tcPr>
            <w:tcW w:type="dxa" w:w="999"/>
            <w:shd w:fill="ECEFF1" w:val="clear" w:color="auto"/>
            <w:tcMar>
              <w:top w:w="60" w:type="dxa"/>
              <w:start w:w="60" w:type="dxa"/>
              <w:bottom w:w="60" w:type="dxa"/>
              <w:end w:w="60" w:type="dxa"/>
            </w:tcMar>
            <w:vAlign w:val="center"/>
          </w:tcPr>
          <w:p>
            <w:pPr>
              <w:pStyle w:val="TableText"/>
            </w:pPr>
            <w:r>
              <w:rPr/>
              <w:t>Transition Pathway</w:t>
            </w:r>
          </w:p>
        </w:tc>
        <w:tc>
          <w:tcPr>
            <w:tcW w:type="dxa" w:w="999"/>
            <w:shd w:fill="ECEFF1" w:val="clear" w:color="auto"/>
            <w:tcMar>
              <w:top w:w="60" w:type="dxa"/>
              <w:start w:w="60" w:type="dxa"/>
              <w:bottom w:w="60" w:type="dxa"/>
              <w:end w:w="60" w:type="dxa"/>
            </w:tcMar>
            <w:vAlign w:val="center"/>
          </w:tcPr>
          <w:p>
            <w:pPr>
              <w:pStyle w:val="TableText"/>
            </w:pPr>
            <w:r>
              <w:rPr/>
              <w:t>Baseline Stage</w:t>
            </w:r>
          </w:p>
        </w:tc>
        <w:tc>
          <w:tcPr>
            <w:tcW w:type="dxa" w:w="999"/>
            <w:shd w:fill="ECEFF1" w:val="clear" w:color="auto"/>
            <w:tcMar>
              <w:top w:w="60" w:type="dxa"/>
              <w:start w:w="60" w:type="dxa"/>
              <w:bottom w:w="60" w:type="dxa"/>
              <w:end w:w="60" w:type="dxa"/>
            </w:tcMar>
            <w:vAlign w:val="center"/>
          </w:tcPr>
          <w:p>
            <w:pPr>
              <w:pStyle w:val="TableText"/>
            </w:pPr>
            <w:r>
              <w:rPr/>
              <w:t>Intermediate Stage(s)</w:t>
            </w:r>
          </w:p>
        </w:tc>
        <w:tc>
          <w:tcPr>
            <w:tcW w:type="dxa" w:w="999"/>
            <w:shd w:fill="ECEFF1" w:val="clear" w:color="auto"/>
            <w:tcMar>
              <w:top w:w="60" w:type="dxa"/>
              <w:start w:w="60" w:type="dxa"/>
              <w:bottom w:w="60" w:type="dxa"/>
              <w:end w:w="60" w:type="dxa"/>
            </w:tcMar>
            <w:vAlign w:val="center"/>
          </w:tcPr>
          <w:p>
            <w:pPr>
              <w:pStyle w:val="TableText"/>
            </w:pPr>
            <w:r>
              <w:rPr/>
              <w:t>Final Stage</w:t>
            </w:r>
          </w:p>
        </w:tc>
        <w:tc>
          <w:tcPr>
            <w:tcW w:type="dxa" w:w="999"/>
            <w:shd w:fill="ECEFF1" w:val="clear" w:color="auto"/>
            <w:tcMar>
              <w:top w:w="60" w:type="dxa"/>
              <w:start w:w="60" w:type="dxa"/>
              <w:bottom w:w="60" w:type="dxa"/>
              <w:end w:w="60" w:type="dxa"/>
            </w:tcMar>
            <w:vAlign w:val="center"/>
          </w:tcPr>
          <w:p>
            <w:pPr>
              <w:pStyle w:val="TableText"/>
            </w:pPr>
            <w:r>
              <w:rPr/>
              <w:t>Trigger / Clock</w:t>
            </w:r>
          </w:p>
        </w:tc>
        <w:tc>
          <w:tcPr>
            <w:tcW w:type="dxa" w:w="1600"/>
          </w:tcPr>
          <w:p>
            <w:pPr>
              <w:pStyle w:val="TableText"/>
            </w:pPr>
            <w:r>
              <w:rPr/>
              <w:t>Specific Transition Legal Authority</w:t>
            </w:r>
          </w:p>
        </w:tc>
        <w:tc>
          <w:tcPr>
            <w:tcW w:type="dxa" w:w="999"/>
            <w:shd w:fill="ECEFF1" w:val="clear" w:color="auto"/>
            <w:tcMar>
              <w:top w:w="60" w:type="dxa"/>
              <w:start w:w="60" w:type="dxa"/>
              <w:bottom w:w="60" w:type="dxa"/>
              <w:end w:w="60" w:type="dxa"/>
            </w:tcMar>
            <w:vAlign w:val="center"/>
          </w:tcPr>
          <w:p>
            <w:pPr>
              <w:pStyle w:val="TableText"/>
            </w:pPr>
            <w:r>
              <w:rPr/>
              <w:t>Adjustment Authority</w:t>
            </w:r>
          </w:p>
        </w:tc>
        <w:tc>
          <w:tcPr>
            <w:tcW w:type="dxa" w:w="999"/>
            <w:shd w:fill="ECEFF1" w:val="clear" w:color="auto"/>
            <w:tcMar>
              <w:top w:w="60" w:type="dxa"/>
              <w:start w:w="60" w:type="dxa"/>
              <w:bottom w:w="60" w:type="dxa"/>
              <w:end w:w="60" w:type="dxa"/>
            </w:tcMar>
            <w:vAlign w:val="center"/>
          </w:tcPr>
          <w:p>
            <w:pPr>
              <w:pStyle w:val="TableText"/>
            </w:pPr>
            <w:r>
              <w:rPr/>
              <w:t>Completion Event</w:t>
            </w:r>
          </w:p>
        </w:tc>
        <w:tc>
          <w:tcPr>
            <w:tcW w:type="dxa" w:w="999"/>
            <w:shd w:fill="ECEFF1" w:val="clear" w:color="auto"/>
            <w:tcMar>
              <w:top w:w="60" w:type="dxa"/>
              <w:start w:w="60" w:type="dxa"/>
              <w:bottom w:w="60" w:type="dxa"/>
              <w:end w:w="60" w:type="dxa"/>
            </w:tcMar>
            <w:vAlign w:val="center"/>
          </w:tcPr>
          <w:p>
            <w:pPr>
              <w:pStyle w:val="TableText"/>
            </w:pPr>
            <w:r>
              <w:rPr/>
              <w:t>No-Fade / Restoration State</w:t>
            </w:r>
          </w:p>
        </w:tc>
      </w:tr>
      <w:tr>
        <w:tc>
          <w:tcPr>
            <w:tcW w:type="dxa" w:w="999"/>
            <w:tcMar>
              <w:top w:w="60" w:type="dxa"/>
              <w:start w:w="60" w:type="dxa"/>
              <w:bottom w:w="60" w:type="dxa"/>
              <w:end w:w="60" w:type="dxa"/>
            </w:tcMar>
            <w:vAlign w:val="center"/>
          </w:tcPr>
          <w:p>
            <w:pPr>
              <w:pStyle w:val="TableText"/>
            </w:pPr>
            <w:r>
              <w:rPr/>
              <w:t>DRAFT: VERIFY BEFORE LEGAL SCRUB</w:t>
            </w:r>
          </w:p>
        </w:tc>
        <w:tc>
          <w:tcPr>
            <w:tcW w:type="dxa" w:w="999"/>
            <w:tcMar>
              <w:top w:w="60" w:type="dxa"/>
              <w:start w:w="60" w:type="dxa"/>
              <w:bottom w:w="60" w:type="dxa"/>
              <w:end w:w="60" w:type="dxa"/>
            </w:tcMar>
            <w:vAlign w:val="center"/>
          </w:tcPr>
          <w:p>
            <w:pPr>
              <w:pStyle w:val="TableText"/>
            </w:pPr>
            <w:r>
              <w:rPr/>
            </w:r>
            <w:r>
              <w:rPr>
                <w:b w:val="0"/>
              </w:rPr>
              <w:t>[Row ID]</w:t>
            </w:r>
          </w:p>
        </w:tc>
        <w:tc>
          <w:tcPr>
            <w:tcW w:type="dxa" w:w="999"/>
            <w:tcMar>
              <w:top w:w="60" w:type="dxa"/>
              <w:start w:w="60" w:type="dxa"/>
              <w:bottom w:w="60" w:type="dxa"/>
              <w:end w:w="60" w:type="dxa"/>
            </w:tcMar>
            <w:vAlign w:val="center"/>
          </w:tcPr>
          <w:p>
            <w:pPr>
              <w:pStyle w:val="TableText"/>
            </w:pPr>
            <w:r>
              <w:rPr/>
            </w:r>
            <w:r>
              <w:rPr>
                <w:b w:val="0"/>
              </w:rPr>
              <w:t>[Immediate / NAESTMA scheduled / managed access / NAAFTC-compatible / other]</w:t>
            </w:r>
          </w:p>
        </w:tc>
        <w:tc>
          <w:tcPr>
            <w:tcW w:type="dxa" w:w="999"/>
            <w:tcMar>
              <w:top w:w="60" w:type="dxa"/>
              <w:start w:w="60" w:type="dxa"/>
              <w:bottom w:w="60" w:type="dxa"/>
              <w:end w:w="60" w:type="dxa"/>
            </w:tcMar>
            <w:vAlign w:val="center"/>
          </w:tcPr>
          <w:p>
            <w:pPr>
              <w:pStyle w:val="TableText"/>
            </w:pPr>
            <w:r>
              <w:rPr/>
            </w:r>
            <w:r>
              <w:rPr>
                <w:b w:val="0"/>
              </w:rPr>
              <w:t>[State]</w:t>
            </w:r>
          </w:p>
        </w:tc>
        <w:tc>
          <w:tcPr>
            <w:tcW w:type="dxa" w:w="999"/>
            <w:tcMar>
              <w:top w:w="60" w:type="dxa"/>
              <w:start w:w="60" w:type="dxa"/>
              <w:bottom w:w="60" w:type="dxa"/>
              <w:end w:w="60" w:type="dxa"/>
            </w:tcMar>
            <w:vAlign w:val="center"/>
          </w:tcPr>
          <w:p>
            <w:pPr>
              <w:pStyle w:val="TableText"/>
            </w:pPr>
            <w:r>
              <w:rPr/>
            </w:r>
            <w:r>
              <w:rPr>
                <w:b w:val="0"/>
              </w:rPr>
              <w:t>[Stage + treatment + trigger]</w:t>
            </w:r>
          </w:p>
        </w:tc>
        <w:tc>
          <w:tcPr>
            <w:tcW w:type="dxa" w:w="999"/>
            <w:tcMar>
              <w:top w:w="60" w:type="dxa"/>
              <w:start w:w="60" w:type="dxa"/>
              <w:bottom w:w="60" w:type="dxa"/>
              <w:end w:w="60" w:type="dxa"/>
            </w:tcMar>
            <w:vAlign w:val="center"/>
          </w:tcPr>
          <w:p>
            <w:pPr>
              <w:pStyle w:val="TableText"/>
            </w:pPr>
            <w:r>
              <w:rPr/>
            </w:r>
            <w:r>
              <w:rPr>
                <w:b w:val="0"/>
              </w:rPr>
              <w:t>[Completed state]</w:t>
            </w:r>
          </w:p>
        </w:tc>
        <w:tc>
          <w:tcPr>
            <w:tcW w:type="dxa" w:w="999"/>
            <w:tcMar>
              <w:top w:w="60" w:type="dxa"/>
              <w:start w:w="60" w:type="dxa"/>
              <w:bottom w:w="60" w:type="dxa"/>
              <w:end w:w="60" w:type="dxa"/>
            </w:tcMar>
            <w:vAlign w:val="center"/>
          </w:tcPr>
          <w:p>
            <w:pPr>
              <w:pStyle w:val="TableText"/>
            </w:pPr>
            <w:r>
              <w:rPr/>
            </w:r>
            <w:r>
              <w:rPr>
                <w:b w:val="0"/>
              </w:rPr>
              <w:t>[Objective trigger / period]</w:t>
            </w:r>
          </w:p>
        </w:tc>
        <w:tc>
          <w:tcPr>
            <w:tcW w:type="dxa" w:w="1600"/>
          </w:tcPr>
          <w:p>
            <w:pPr>
              <w:pStyle w:val="TableText"/>
            </w:pPr>
            <w:r>
              <w:rPr/>
              <w:t>[Specific treaty / amendment / implementing authority]</w:t>
            </w:r>
          </w:p>
        </w:tc>
        <w:tc>
          <w:tcPr>
            <w:tcW w:type="dxa" w:w="999"/>
            <w:tcMar>
              <w:top w:w="60" w:type="dxa"/>
              <w:start w:w="60" w:type="dxa"/>
              <w:bottom w:w="60" w:type="dxa"/>
              <w:end w:w="60" w:type="dxa"/>
            </w:tcMar>
            <w:vAlign w:val="center"/>
          </w:tcPr>
          <w:p>
            <w:pPr>
              <w:pStyle w:val="TableText"/>
            </w:pPr>
            <w:r>
              <w:rPr/>
            </w:r>
            <w:r>
              <w:rPr>
                <w:b w:val="0"/>
              </w:rPr>
              <w:t>[None / specified authority]</w:t>
            </w:r>
          </w:p>
        </w:tc>
        <w:tc>
          <w:tcPr>
            <w:tcW w:type="dxa" w:w="999"/>
            <w:tcMar>
              <w:top w:w="60" w:type="dxa"/>
              <w:start w:w="60" w:type="dxa"/>
              <w:bottom w:w="60" w:type="dxa"/>
              <w:end w:w="60" w:type="dxa"/>
            </w:tcMar>
            <w:vAlign w:val="center"/>
          </w:tcPr>
          <w:p>
            <w:pPr>
              <w:pStyle w:val="TableText"/>
            </w:pPr>
            <w:r>
              <w:rPr/>
            </w:r>
            <w:r>
              <w:rPr>
                <w:b w:val="0"/>
              </w:rPr>
              <w:t>[Objective completion condition]</w:t>
            </w:r>
          </w:p>
        </w:tc>
        <w:tc>
          <w:tcPr>
            <w:tcW w:type="dxa" w:w="999"/>
            <w:tcMar>
              <w:top w:w="60" w:type="dxa"/>
              <w:start w:w="60" w:type="dxa"/>
              <w:bottom w:w="60" w:type="dxa"/>
              <w:end w:w="60" w:type="dxa"/>
            </w:tcMar>
            <w:vAlign w:val="center"/>
          </w:tcPr>
          <w:p>
            <w:pPr>
              <w:pStyle w:val="TableText"/>
            </w:pPr>
            <w:r>
              <w:rPr/>
            </w:r>
            <w:r>
              <w:rPr>
                <w:b w:val="0"/>
              </w:rPr>
              <w:t>[Durable state after completion]</w:t>
            </w:r>
          </w:p>
        </w:tc>
      </w:tr>
      <w:tr>
        <w:tc>
          <w:tcPr>
            <w:tcW w:type="dxa" w:w="999"/>
            <w:tcMar>
              <w:top w:w="60" w:type="dxa"/>
              <w:start w:w="60" w:type="dxa"/>
              <w:bottom w:w="60" w:type="dxa"/>
              <w:end w:w="60" w:type="dxa"/>
            </w:tcMar>
            <w:vAlign w:val="center"/>
          </w:tcPr>
          <w:p>
            <w:pPr>
              <w:pStyle w:val="TableText"/>
            </w:pPr>
            <w:r>
              <w:rPr/>
            </w:r>
            <w:r>
              <w:rPr>
                <w:b w:val="0"/>
              </w:rPr>
              <w:t>NOT ADOPTED</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1600"/>
          </w:tcPr>
          <w:p>
            <w:pPr>
              <w:pStyle w:val="TableText"/>
            </w:pPr>
            <w:r>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r>
      <w:tr>
        <w:tc>
          <w:tcPr>
            <w:tcW w:type="dxa" w:w="999"/>
            <w:tcMar>
              <w:top w:w="60" w:type="dxa"/>
              <w:start w:w="60" w:type="dxa"/>
              <w:bottom w:w="60" w:type="dxa"/>
              <w:end w:w="60" w:type="dxa"/>
            </w:tcMar>
            <w:vAlign w:val="center"/>
          </w:tcPr>
          <w:p>
            <w:pPr>
              <w:pStyle w:val="TableText"/>
            </w:pPr>
            <w:r>
              <w:rPr/>
            </w:r>
            <w:r>
              <w:rPr>
                <w:b w:val="0"/>
              </w:rPr>
              <w:t>NOT ADOPTED</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1600"/>
          </w:tcPr>
          <w:p>
            <w:pPr>
              <w:pStyle w:val="TableText"/>
            </w:pPr>
            <w:r>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r>
      <w:tr>
        <w:tc>
          <w:tcPr>
            <w:tcW w:type="dxa" w:w="999"/>
            <w:tcMar>
              <w:top w:w="60" w:type="dxa"/>
              <w:start w:w="60" w:type="dxa"/>
              <w:bottom w:w="60" w:type="dxa"/>
              <w:end w:w="60" w:type="dxa"/>
            </w:tcMar>
            <w:vAlign w:val="center"/>
          </w:tcPr>
          <w:p>
            <w:pPr>
              <w:pStyle w:val="TableText"/>
            </w:pPr>
            <w:r>
              <w:rPr/>
            </w:r>
            <w:r>
              <w:rPr>
                <w:b w:val="0"/>
              </w:rPr>
              <w:t>NOT ADOPTED</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1600"/>
          </w:tcPr>
          <w:p>
            <w:pPr>
              <w:pStyle w:val="TableText"/>
            </w:pPr>
            <w:r>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c>
          <w:tcPr>
            <w:tcW w:type="dxa" w:w="999"/>
            <w:tcMar>
              <w:top w:w="60" w:type="dxa"/>
              <w:start w:w="60" w:type="dxa"/>
              <w:bottom w:w="60" w:type="dxa"/>
              <w:end w:w="60" w:type="dxa"/>
            </w:tcMar>
            <w:vAlign w:val="center"/>
          </w:tcPr>
          <w:p>
            <w:pPr>
              <w:pStyle w:val="TableText"/>
            </w:pPr>
            <w:r>
              <w:rPr/>
            </w:r>
            <w:r>
              <w:rPr>
                <w:b w:val="0"/>
              </w:rPr>
              <w:t>[ ]</w:t>
            </w:r>
          </w:p>
        </w:tc>
      </w:tr>
    </w:tbl>
    <w:p>
      <w:pPr>
        <w:pStyle w:val="Heading2"/>
      </w:pPr>
      <w:bookmarkStart w:id="901729" w:name="_Toc300001728"/>
      <w:r>
        <w:rPr>
          <w:b/>
        </w:rPr>
        <w:t>Schedule FS-04-C: NAAFTC Incorporation / Compatibility Schedule</w:t>
      </w:r>
      <w:bookmarkEnd w:id="901729"/>
    </w:p>
    <w:tbl>
      <w:tblPr>
        <w:tblStyle w:val="TableGrid"/>
        <w:tblW w:type="pct" w:w="5000"/>
        <w:jc w:val="center"/>
        <w:tblBorders>
          <w:top w:val="single" w:sz="10" w:space="0" w:color="546E7A"/>
          <w:left w:val="nil"/>
          <w:bottom w:val="single" w:sz="10" w:space="0" w:color="546E7A"/>
          <w:right w:val="nil"/>
          <w:insideH w:val="single" w:sz="2" w:space="0" w:color="B0BEC5"/>
          <w:insideV w:val="single" w:sz="2" w:space="0" w:color="CFD8DC"/>
        </w:tblBorders>
        <w:tblLayout w:type="autofit"/>
        <w:tblCellMar>
          <w:top w:w="70" w:type="dxa"/>
          <w:left w:w="100" w:type="dxa"/>
          <w:bottom w:w="70" w:type="dxa"/>
          <w:right w:w="100" w:type="dxa"/>
        </w:tblCellMar>
        <w:tblLook w:firstColumn="1" w:firstRow="1" w:lastColumn="0" w:lastRow="0" w:noHBand="0" w:noVBand="1" w:val="04A0"/>
      </w:tblPr>
      <w:tblGrid>
        <w:gridCol w:w="1110"/>
        <w:gridCol w:w="1110"/>
        <w:gridCol w:w="1110"/>
        <w:gridCol w:w="1110"/>
        <w:gridCol w:w="1110"/>
        <w:gridCol w:w="1110"/>
        <w:gridCol w:w="1110"/>
        <w:gridCol w:w="1110"/>
        <w:gridCol w:w="1110"/>
      </w:tblGrid>
      <w:tr>
        <w:trPr>
          <w:tblHeader w:val="true"/>
        </w:trPr>
        <w:tc>
          <w:tcPr>
            <w:tcW w:type="dxa" w:w="1110"/>
            <w:shd w:fill="ECEFF1" w:val="clear" w:color="auto"/>
            <w:tcMar>
              <w:top w:w="60" w:type="dxa"/>
              <w:start w:w="60" w:type="dxa"/>
              <w:bottom w:w="60" w:type="dxa"/>
              <w:end w:w="60" w:type="dxa"/>
            </w:tcMar>
            <w:vAlign w:val="center"/>
          </w:tcPr>
          <w:p>
            <w:pPr>
              <w:pStyle w:val="TableText"/>
            </w:pPr>
            <w:r>
              <w:rPr/>
            </w:r>
            <w:r>
              <w:rPr>
                <w:b/>
              </w:rPr>
              <w:t>Adoption Status</w:t>
            </w:r>
          </w:p>
        </w:tc>
        <w:tc>
          <w:tcPr>
            <w:tcW w:type="dxa" w:w="1110"/>
            <w:shd w:fill="ECEFF1" w:val="clear" w:color="auto"/>
            <w:tcMar>
              <w:top w:w="60" w:type="dxa"/>
              <w:start w:w="60" w:type="dxa"/>
              <w:bottom w:w="60" w:type="dxa"/>
              <w:end w:w="60" w:type="dxa"/>
            </w:tcMar>
            <w:vAlign w:val="center"/>
          </w:tcPr>
          <w:p>
            <w:pPr>
              <w:pStyle w:val="TableText"/>
            </w:pPr>
            <w:r>
              <w:rPr/>
            </w:r>
            <w:r>
              <w:rPr>
                <w:b/>
              </w:rPr>
              <w:t>NAAFTC Instrument / Version</w:t>
            </w:r>
          </w:p>
        </w:tc>
        <w:tc>
          <w:tcPr>
            <w:tcW w:type="dxa" w:w="1110"/>
            <w:shd w:fill="ECEFF1" w:val="clear" w:color="auto"/>
            <w:tcMar>
              <w:top w:w="60" w:type="dxa"/>
              <w:start w:w="60" w:type="dxa"/>
              <w:bottom w:w="60" w:type="dxa"/>
              <w:end w:w="60" w:type="dxa"/>
            </w:tcMar>
            <w:vAlign w:val="center"/>
          </w:tcPr>
          <w:p>
            <w:pPr>
              <w:pStyle w:val="TableText"/>
            </w:pPr>
            <w:r>
              <w:rPr/>
            </w:r>
            <w:r>
              <w:rPr>
                <w:b/>
              </w:rPr>
              <w:t>Provision / Annex</w:t>
            </w:r>
          </w:p>
        </w:tc>
        <w:tc>
          <w:tcPr>
            <w:tcW w:type="dxa" w:w="1110"/>
            <w:shd w:fill="ECEFF1" w:val="clear" w:color="auto"/>
            <w:tcMar>
              <w:top w:w="60" w:type="dxa"/>
              <w:start w:w="60" w:type="dxa"/>
              <w:bottom w:w="60" w:type="dxa"/>
              <w:end w:w="60" w:type="dxa"/>
            </w:tcMar>
            <w:vAlign w:val="center"/>
          </w:tcPr>
          <w:p>
            <w:pPr>
              <w:pStyle w:val="TableText"/>
            </w:pPr>
            <w:r>
              <w:rPr/>
            </w:r>
            <w:r>
              <w:rPr>
                <w:b/>
              </w:rPr>
              <w:t>Parties</w:t>
            </w:r>
          </w:p>
        </w:tc>
        <w:tc>
          <w:tcPr>
            <w:tcW w:type="dxa" w:w="1110"/>
            <w:shd w:fill="ECEFF1" w:val="clear" w:color="auto"/>
            <w:tcMar>
              <w:top w:w="60" w:type="dxa"/>
              <w:start w:w="60" w:type="dxa"/>
              <w:bottom w:w="60" w:type="dxa"/>
              <w:end w:w="60" w:type="dxa"/>
            </w:tcMar>
            <w:vAlign w:val="center"/>
          </w:tcPr>
          <w:p>
            <w:pPr>
              <w:pStyle w:val="TableText"/>
            </w:pPr>
            <w:r>
              <w:rPr/>
              <w:t>Covered Products / Classification Scope</w:t>
            </w:r>
          </w:p>
        </w:tc>
        <w:tc>
          <w:tcPr>
            <w:tcW w:type="dxa" w:w="1110"/>
            <w:shd w:fill="ECEFF1" w:val="clear" w:color="auto"/>
            <w:tcMar>
              <w:top w:w="60" w:type="dxa"/>
              <w:start w:w="60" w:type="dxa"/>
              <w:bottom w:w="60" w:type="dxa"/>
              <w:end w:w="60" w:type="dxa"/>
            </w:tcMar>
            <w:vAlign w:val="center"/>
          </w:tcPr>
          <w:p>
            <w:pPr>
              <w:pStyle w:val="TableText"/>
            </w:pPr>
            <w:r>
              <w:rPr/>
              <w:t>Relationship Status</w:t>
            </w:r>
          </w:p>
        </w:tc>
        <w:tc>
          <w:tcPr>
            <w:tcW w:type="dxa" w:w="1110"/>
            <w:shd w:fill="ECEFF1" w:val="clear" w:color="auto"/>
            <w:tcMar>
              <w:top w:w="60" w:type="dxa"/>
              <w:start w:w="60" w:type="dxa"/>
              <w:bottom w:w="60" w:type="dxa"/>
              <w:end w:w="60" w:type="dxa"/>
            </w:tcMar>
            <w:vAlign w:val="center"/>
          </w:tcPr>
          <w:p>
            <w:pPr>
              <w:pStyle w:val="TableText"/>
            </w:pPr>
            <w:r>
              <w:rPr/>
            </w:r>
            <w:r>
              <w:rPr>
                <w:b/>
              </w:rPr>
              <w:t>Modifications / Reservations</w:t>
            </w:r>
          </w:p>
        </w:tc>
        <w:tc>
          <w:tcPr>
            <w:tcW w:type="dxa" w:w="1110"/>
            <w:shd w:fill="ECEFF1" w:val="clear" w:color="auto"/>
            <w:tcMar>
              <w:top w:w="60" w:type="dxa"/>
              <w:start w:w="60" w:type="dxa"/>
              <w:bottom w:w="60" w:type="dxa"/>
              <w:end w:w="60" w:type="dxa"/>
            </w:tcMar>
            <w:vAlign w:val="center"/>
          </w:tcPr>
          <w:p>
            <w:pPr>
              <w:pStyle w:val="TableText"/>
            </w:pPr>
            <w:r>
              <w:rPr/>
            </w:r>
            <w:r>
              <w:rPr>
                <w:b/>
              </w:rPr>
              <w:t>Effective Date</w:t>
            </w:r>
          </w:p>
        </w:tc>
        <w:tc>
          <w:tcPr>
            <w:tcW w:type="dxa" w:w="1110"/>
            <w:shd w:fill="ECEFF1" w:val="clear" w:color="auto"/>
            <w:tcMar>
              <w:top w:w="60" w:type="dxa"/>
              <w:start w:w="60" w:type="dxa"/>
              <w:bottom w:w="60" w:type="dxa"/>
              <w:end w:w="60" w:type="dxa"/>
            </w:tcMar>
            <w:vAlign w:val="center"/>
          </w:tcPr>
          <w:p>
            <w:pPr>
              <w:pStyle w:val="TableText"/>
            </w:pPr>
            <w:r>
              <w:rPr/>
              <w:t>Specific Legally Sufficient Adoption Authority</w:t>
            </w:r>
          </w:p>
        </w:tc>
      </w:tr>
      <w:tr>
        <w:tc>
          <w:tcPr>
            <w:tcW w:type="dxa" w:w="1110"/>
            <w:tcMar>
              <w:top w:w="60" w:type="dxa"/>
              <w:start w:w="60" w:type="dxa"/>
              <w:bottom w:w="60" w:type="dxa"/>
              <w:end w:w="60" w:type="dxa"/>
            </w:tcMar>
            <w:vAlign w:val="center"/>
          </w:tcPr>
          <w:p>
            <w:pPr>
              <w:pStyle w:val="TableText"/>
            </w:pPr>
            <w:r>
              <w:rPr/>
            </w:r>
            <w:r>
              <w:rPr>
                <w:b w:val="0"/>
              </w:rPr>
              <w:t>NOT ADOPTED</w:t>
            </w:r>
          </w:p>
        </w:tc>
        <w:tc>
          <w:tcPr>
            <w:tcW w:type="dxa" w:w="1110"/>
            <w:tcMar>
              <w:top w:w="60" w:type="dxa"/>
              <w:start w:w="60" w:type="dxa"/>
              <w:bottom w:w="60" w:type="dxa"/>
              <w:end w:w="60" w:type="dxa"/>
            </w:tcMar>
            <w:vAlign w:val="center"/>
          </w:tcPr>
          <w:p>
            <w:pPr>
              <w:pStyle w:val="TableText"/>
            </w:pPr>
            <w:r>
              <w:rPr/>
            </w:r>
            <w:r>
              <w:rPr>
                <w:b w:val="0"/>
              </w:rPr>
              <w:t>[Exact title + version/date]</w:t>
            </w:r>
          </w:p>
        </w:tc>
        <w:tc>
          <w:tcPr>
            <w:tcW w:type="dxa" w:w="1110"/>
            <w:tcMar>
              <w:top w:w="60" w:type="dxa"/>
              <w:start w:w="60" w:type="dxa"/>
              <w:bottom w:w="60" w:type="dxa"/>
              <w:end w:w="60" w:type="dxa"/>
            </w:tcMar>
            <w:vAlign w:val="center"/>
          </w:tcPr>
          <w:p>
            <w:pPr>
              <w:pStyle w:val="TableText"/>
            </w:pPr>
            <w:r>
              <w:rPr/>
            </w:r>
            <w:r>
              <w:rPr>
                <w:b w:val="0"/>
              </w:rPr>
              <w:t>[Exact provision]</w:t>
            </w:r>
          </w:p>
        </w:tc>
        <w:tc>
          <w:tcPr>
            <w:tcW w:type="dxa" w:w="1110"/>
            <w:tcMar>
              <w:top w:w="60" w:type="dxa"/>
              <w:start w:w="60" w:type="dxa"/>
              <w:bottom w:w="60" w:type="dxa"/>
              <w:end w:w="60" w:type="dxa"/>
            </w:tcMar>
            <w:vAlign w:val="center"/>
          </w:tcPr>
          <w:p>
            <w:pPr>
              <w:pStyle w:val="TableText"/>
            </w:pPr>
            <w:r>
              <w:rPr/>
            </w:r>
            <w:r>
              <w:rPr>
                <w:b w:val="0"/>
              </w:rPr>
              <w:t>[CA/US/MX]</w:t>
            </w:r>
          </w:p>
        </w:tc>
        <w:tc>
          <w:tcPr>
            <w:tcW w:type="dxa" w:w="1110"/>
            <w:tcMar>
              <w:top w:w="60" w:type="dxa"/>
              <w:start w:w="60" w:type="dxa"/>
              <w:bottom w:w="60" w:type="dxa"/>
              <w:end w:w="60" w:type="dxa"/>
            </w:tcMar>
            <w:vAlign w:val="center"/>
          </w:tcPr>
          <w:p>
            <w:pPr>
              <w:pStyle w:val="TableText"/>
            </w:pPr>
            <w:r>
              <w:rPr/>
              <w:t>[Product / tariff classification / scope]</w:t>
            </w:r>
          </w:p>
        </w:tc>
        <w:tc>
          <w:tcPr>
            <w:tcW w:type="dxa" w:w="1110"/>
            <w:tcMar>
              <w:top w:w="60" w:type="dxa"/>
              <w:start w:w="60" w:type="dxa"/>
              <w:bottom w:w="60" w:type="dxa"/>
              <w:end w:w="60" w:type="dxa"/>
            </w:tcMar>
            <w:vAlign w:val="center"/>
          </w:tcPr>
          <w:p>
            <w:pPr>
              <w:pStyle w:val="TableText"/>
            </w:pPr>
            <w:r>
              <w:rPr/>
              <w:t>[Incorporated / Compatibility Reference Only]</w:t>
            </w:r>
          </w:p>
        </w:tc>
        <w:tc>
          <w:tcPr>
            <w:tcW w:type="dxa" w:w="1110"/>
            <w:tcMar>
              <w:top w:w="60" w:type="dxa"/>
              <w:start w:w="60" w:type="dxa"/>
              <w:bottom w:w="60" w:type="dxa"/>
              <w:end w:w="60" w:type="dxa"/>
            </w:tcMar>
            <w:vAlign w:val="center"/>
          </w:tcPr>
          <w:p>
            <w:pPr>
              <w:pStyle w:val="TableText"/>
            </w:pPr>
            <w:r>
              <w:rPr/>
            </w:r>
            <w:r>
              <w:rPr>
                <w:b w:val="0"/>
              </w:rPr>
              <w:t>[None or exact text]</w:t>
            </w:r>
          </w:p>
        </w:tc>
        <w:tc>
          <w:tcPr>
            <w:tcW w:type="dxa" w:w="1110"/>
            <w:tcMar>
              <w:top w:w="60" w:type="dxa"/>
              <w:start w:w="60" w:type="dxa"/>
              <w:bottom w:w="60" w:type="dxa"/>
              <w:end w:w="60" w:type="dxa"/>
            </w:tcMar>
            <w:vAlign w:val="center"/>
          </w:tcPr>
          <w:p>
            <w:pPr>
              <w:pStyle w:val="TableText"/>
            </w:pPr>
            <w:r>
              <w:rPr/>
            </w:r>
            <w:r>
              <w:rPr>
                <w:b w:val="0"/>
              </w:rPr>
              <w:t>[Date / condition]</w:t>
            </w:r>
          </w:p>
        </w:tc>
        <w:tc>
          <w:tcPr>
            <w:tcW w:type="dxa" w:w="1110"/>
            <w:tcMar>
              <w:top w:w="60" w:type="dxa"/>
              <w:start w:w="60" w:type="dxa"/>
              <w:bottom w:w="60" w:type="dxa"/>
              <w:end w:w="60" w:type="dxa"/>
            </w:tcMar>
            <w:vAlign w:val="center"/>
          </w:tcPr>
          <w:p>
            <w:pPr>
              <w:pStyle w:val="TableText"/>
            </w:pPr>
            <w:r>
              <w:rPr/>
              <w:t>[Treaty / protocol / amendment / legally sufficient implementing authority]</w:t>
            </w:r>
          </w:p>
        </w:tc>
      </w:tr>
      <w:tr>
        <w:tc>
          <w:tcPr>
            <w:tcW w:type="dxa" w:w="1110"/>
            <w:tcMar>
              <w:top w:w="60" w:type="dxa"/>
              <w:start w:w="60" w:type="dxa"/>
              <w:bottom w:w="60" w:type="dxa"/>
              <w:end w:w="60" w:type="dxa"/>
            </w:tcMar>
            <w:vAlign w:val="center"/>
          </w:tcPr>
          <w:p>
            <w:pPr>
              <w:pStyle w:val="TableText"/>
            </w:pPr>
            <w:r>
              <w:rPr/>
            </w:r>
            <w:r>
              <w:rPr>
                <w:b w:val="0"/>
              </w:rPr>
              <w:t>NOT ADOPTED</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r>
      <w:tr>
        <w:tc>
          <w:tcPr>
            <w:tcW w:type="dxa" w:w="1110"/>
            <w:tcMar>
              <w:top w:w="60" w:type="dxa"/>
              <w:start w:w="60" w:type="dxa"/>
              <w:bottom w:w="60" w:type="dxa"/>
              <w:end w:w="60" w:type="dxa"/>
            </w:tcMar>
            <w:vAlign w:val="center"/>
          </w:tcPr>
          <w:p>
            <w:pPr>
              <w:pStyle w:val="TableText"/>
            </w:pPr>
            <w:r>
              <w:rPr/>
            </w:r>
            <w:r>
              <w:rPr>
                <w:b w:val="0"/>
              </w:rPr>
              <w:t>NOT ADOPTED</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r>
      <w:tr>
        <w:tc>
          <w:tcPr>
            <w:tcW w:type="dxa" w:w="1110"/>
            <w:tcMar>
              <w:top w:w="60" w:type="dxa"/>
              <w:start w:w="60" w:type="dxa"/>
              <w:bottom w:w="60" w:type="dxa"/>
              <w:end w:w="60" w:type="dxa"/>
            </w:tcMar>
            <w:vAlign w:val="center"/>
          </w:tcPr>
          <w:p>
            <w:pPr>
              <w:pStyle w:val="TableText"/>
            </w:pPr>
            <w:r>
              <w:rPr/>
            </w:r>
            <w:r>
              <w:rPr>
                <w:b w:val="0"/>
              </w:rPr>
              <w:t>NOT ADOPTED</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c>
          <w:tcPr>
            <w:tcW w:type="dxa" w:w="1110"/>
            <w:tcMar>
              <w:top w:w="60" w:type="dxa"/>
              <w:start w:w="60" w:type="dxa"/>
              <w:bottom w:w="60" w:type="dxa"/>
              <w:end w:w="60" w:type="dxa"/>
            </w:tcMar>
            <w:vAlign w:val="center"/>
          </w:tcPr>
          <w:p>
            <w:pPr>
              <w:pStyle w:val="TableText"/>
            </w:pPr>
            <w:r>
              <w:rPr/>
            </w:r>
            <w:r>
              <w:rPr>
                <w:b w:val="0"/>
              </w:rPr>
              <w:t>[ ]</w:t>
            </w:r>
          </w:p>
        </w:tc>
      </w:tr>
    </w:tbl>
    <w:p>
      <w:pPr>
        <w:pStyle w:val="Heading1"/>
      </w:pPr>
      <w:bookmarkStart w:id="901730" w:name="_Toc300001729"/>
      <w:r>
        <w:t>CHAPTER 44</w:t>
      </w:r>
      <w:r>
        <w:br/>
      </w:r>
      <w:r>
        <w:t>TRADE FACILITATION, TRUSTED MOBILITY, AND CO-INVESTMENT</w:t>
      </w:r>
      <w:bookmarkEnd w:id="901730"/>
    </w:p>
    <w:p>
      <w:pPr>
        <w:pStyle w:val="Heading2"/>
      </w:pPr>
      <w:bookmarkStart w:id="901731" w:name="_Toc300001730"/>
      <w:r>
        <w:t>Article 44.1: North American Trade Facilitation Index</w:t>
      </w:r>
      <w:bookmarkEnd w:id="901731"/>
    </w:p>
    <w:p>
      <w:pPr>
        <w:pStyle w:val="Normal"/>
      </w:pPr>
      <w:r>
        <w:t>1. The Secretariat shall publish an annual, methodology-transparent Trade Facilitation Index using comparable indicators including median commercial clearance time, inspection frequency, documentation burden, appeal-resolution time, system outages, trusted-trader utilization, and SME compliance cost.</w:t>
      </w:r>
    </w:p>
    <w:p>
      <w:pPr>
        <w:pStyle w:val="Normal"/>
      </w:pPr>
      <w:r>
        <w:t>2. The Index is diagnostic and does not itself establish a violation. A Party may request a corrective facilitation plan where persistent performance materially impairs trade.</w:t>
      </w:r>
    </w:p>
    <w:p>
      <w:pPr>
        <w:pStyle w:val="Heading2"/>
      </w:pPr>
      <w:bookmarkStart w:id="901732" w:name="_Toc300001731"/>
      <w:r>
        <w:t>Article 44.2: Trusted Trader Mutual Recognition</w:t>
      </w:r>
      <w:bookmarkEnd w:id="901732"/>
    </w:p>
    <w:p>
      <w:pPr>
        <w:pStyle w:val="Normal"/>
      </w:pPr>
      <w:r>
        <w:t>1. Certification of a trader under a Party's recognized trusted-trader program is presumptively recognized by the other Parties for equivalent facilitation benefits.</w:t>
      </w:r>
    </w:p>
    <w:p>
      <w:pPr>
        <w:pStyle w:val="Normal"/>
      </w:pPr>
      <w:r>
        <w:t>2. A Party may suspend recognition for a particular entity only on particularized risk evidence, with notice, reasons, and expedited review. System-wide suspension requires a finding of systemic deficiency.</w:t>
      </w:r>
    </w:p>
    <w:p>
      <w:pPr>
        <w:pStyle w:val="Heading2"/>
      </w:pPr>
      <w:bookmarkStart w:id="901733" w:name="_Toc300001732"/>
      <w:r>
        <w:t>Article 44.3: Customs Data Interoperability</w:t>
      </w:r>
      <w:bookmarkEnd w:id="901733"/>
    </w:p>
    <w:p>
      <w:pPr>
        <w:pStyle w:val="Normal"/>
      </w:pPr>
      <w:r>
        <w:t>1. Shared customs alerts and supply-chain risk information shall be made available to the Parties on equivalent terms and, where operationally practicable, simultaneously. No Party receives a treaty-created priority intelligence tier over another.</w:t>
      </w:r>
    </w:p>
    <w:p>
      <w:pPr>
        <w:pStyle w:val="Heading2"/>
      </w:pPr>
      <w:bookmarkStart w:id="901734" w:name="_Toc300001733"/>
      <w:r>
        <w:t>Article 44.4: Skilled Professional and Business Mobility Service Standards</w:t>
      </w:r>
      <w:bookmarkEnd w:id="901734"/>
    </w:p>
    <w:p>
      <w:pPr>
        <w:pStyle w:val="Normal"/>
      </w:pPr>
      <w:r>
        <w:t>1. The Parties shall establish expedited processing targets for qualifying CUSMA professionals, intra-company transferees, investors, entrepreneurs, and other categories listed in Chapter 16, without changing substantive admissibility criteria unless separately agreed.</w:t>
      </w:r>
    </w:p>
    <w:p>
      <w:pPr>
        <w:pStyle w:val="Normal"/>
      </w:pPr>
      <w:r>
        <w:t>2. The Commission shall publish annual processing-time performance and may establish secure pre-clearance or digital-document pathways.</w:t>
      </w:r>
    </w:p>
    <w:p>
      <w:pPr>
        <w:pStyle w:val="Heading2"/>
      </w:pPr>
      <w:bookmarkStart w:id="901735" w:name="_Toc300001734"/>
      <w:r>
        <w:t>Article 44.5: Trusted Traveler and Commercial Driver Expansion</w:t>
      </w:r>
      <w:bookmarkEnd w:id="901735"/>
    </w:p>
    <w:p>
      <w:pPr>
        <w:pStyle w:val="Normal"/>
      </w:pPr>
      <w:r>
        <w:t>1. The Parties shall expand trusted-traveler and trusted-commercial-driver capacity where justified by demand and security, including additional lanes, interoperable enrollment, service standards, and contingency procedures for system outages.</w:t>
      </w:r>
    </w:p>
    <w:p>
      <w:pPr>
        <w:pStyle w:val="Heading2"/>
      </w:pPr>
      <w:bookmarkStart w:id="901736" w:name="_Toc300001735"/>
      <w:r>
        <w:t>Article 44.6: North American Trade Infrastructure Facility</w:t>
      </w:r>
      <w:bookmarkEnd w:id="901736"/>
    </w:p>
    <w:p>
      <w:pPr>
        <w:pStyle w:val="Normal"/>
      </w:pPr>
      <w:r>
        <w:t>1. The Parties may, through existing domestic infrastructure, trade, development-finance, or other competent authorities, co-finance ports of entry, bridges, rail connections, highways, customs technology, energy interconnections, and other infrastructure that materially reduces North American trade friction. This Article does not establish a separately capitalized supranational fund or require an appropriation or contribution.</w:t>
      </w:r>
    </w:p>
    <w:p>
      <w:pPr>
        <w:pStyle w:val="Normal"/>
      </w:pPr>
      <w:r>
        <w:t>2. Voluntarily accepted contributions may unlock matching finance but do not condition ordinary tariff preference. Governance shall be balanced among participating governments, funding commitments remain subject to applicable domestic appropriations and financial law, and projects remain subject to the domestic approval authority of the Party in whose territory they are located.</w:t>
      </w:r>
    </w:p>
    <w:p>
      <w:pPr>
        <w:pStyle w:val="Heading2"/>
      </w:pPr>
      <w:bookmarkStart w:id="901737" w:name="_Toc300001736"/>
      <w:r>
        <w:t>Article 44.7: Beneficial Ownership and Anti-Circumvention Cooperation</w:t>
      </w:r>
      <w:bookmarkEnd w:id="901737"/>
    </w:p>
    <w:p>
      <w:pPr>
        <w:pStyle w:val="Normal"/>
      </w:pPr>
      <w:r>
        <w:t>1. The Parties shall improve lawful access by competent authorities to accurate beneficial-ownership information for entities involved in cross-border trade, sanctions evasion, origin fraud, money laundering, or customs circumvention.</w:t>
      </w:r>
    </w:p>
    <w:p>
      <w:pPr>
        <w:pStyle w:val="Normal"/>
      </w:pPr>
      <w:r>
        <w:t>2. This Article does not require identical public-registry models. Each Party may satisfy the obligation through a system that provides timely, reliable access consistent with its privacy and constitutional law.</w:t>
      </w:r>
    </w:p>
    <w:p>
      <w:pPr>
        <w:pStyle w:val="Heading2"/>
      </w:pPr>
      <w:bookmarkStart w:id="901738" w:name="_Toc300001737"/>
      <w:r>
        <w:t>Article 44.8: Foreign Trade-Lobbying Transparency</w:t>
      </w:r>
      <w:bookmarkEnd w:id="901738"/>
    </w:p>
    <w:p>
      <w:pPr>
        <w:pStyle w:val="Normal"/>
      </w:pPr>
      <w:r>
        <w:t>1. Each Party shall maintain transparent rules requiring disclosure, under domestic law, of material paid lobbying or representation undertaken on behalf of a foreign government, foreign state enterprise, or foreign industry association in connection with a trade remedy or proceeding under this Agreement.</w:t>
      </w:r>
    </w:p>
    <w:p>
      <w:pPr>
        <w:pStyle w:val="Normal"/>
      </w:pPr>
      <w:r>
        <w:t>2. Detailed registration, privilege, enforcement, and publication rules remain matters of domestic law.</w:t>
      </w:r>
    </w:p>
    <w:p>
      <w:pPr>
        <w:pStyle w:val="Heading1"/>
      </w:pPr>
      <w:bookmarkStart w:id="901739" w:name="_Toc300001738"/>
      <w:r>
        <w:t>CHAPTER 45</w:t>
      </w:r>
      <w:r>
        <w:br/>
      </w:r>
      <w:r>
        <w:t>INSTITUTIONAL DIVERSITY AND MEXICAN ACCOMMODATION</w:t>
      </w:r>
      <w:bookmarkEnd w:id="901739"/>
    </w:p>
    <w:p>
      <w:pPr>
        <w:pStyle w:val="Heading2"/>
      </w:pPr>
      <w:bookmarkStart w:id="901740" w:name="_Toc300001739"/>
      <w:r>
        <w:t>Article 45.1: Institutional Diversity Principle</w:t>
      </w:r>
      <w:bookmarkEnd w:id="901740"/>
    </w:p>
    <w:p>
      <w:pPr>
        <w:pStyle w:val="Normal"/>
      </w:pPr>
      <w:r>
        <w:t>1. Nothing in this Agreement requires a Party, as a condition of receiving treaty benefits, to privatize, nationalize, deregulate, federalize, decentralize, corporatize, or otherwise adopt the ownership, regulatory, constitutional, or institutional model of another Party.</w:t>
      </w:r>
    </w:p>
    <w:p>
      <w:pPr>
        <w:pStyle w:val="Normal"/>
      </w:pPr>
      <w:r>
        <w:t>2. A difference in institutional model does not by itself establish less favorable treatment, a subsidy, an investment breach, or a prohibited barrier. A measure remains subject to the express non-discrimination, transparency, subsidy, competition, and due-process obligations of this Agreement.</w:t>
      </w:r>
    </w:p>
    <w:p>
      <w:pPr>
        <w:pStyle w:val="Normal"/>
      </w:pPr>
      <w:r>
        <w:t>3. The Commission and panels shall distinguish between an institution's form and its conduct. Public ownership, Crown ownership, state-enterprise status, cooperative ownership, communal tenure, or private ownership is not dispositive; the treaty question is whether the challenged conduct violates an express obligation.</w:t>
      </w:r>
    </w:p>
    <w:p>
      <w:pPr>
        <w:pStyle w:val="Heading2"/>
      </w:pPr>
      <w:bookmarkStart w:id="901741" w:name="_Toc300001740"/>
      <w:r>
        <w:t>Article 45.2: Constitutional and State-Enterprise Accommodation</w:t>
      </w:r>
      <w:bookmarkEnd w:id="901741"/>
    </w:p>
    <w:p>
      <w:pPr>
        <w:pStyle w:val="Normal"/>
      </w:pPr>
      <w:r>
        <w:t>1. Each Party retains authority to organize constitutionally reserved or strategically designated sectors through public enterprises, mixed enterprises, regulated monopolies, concessions, private firms, or other lawful forms.</w:t>
      </w:r>
    </w:p>
    <w:p>
      <w:pPr>
        <w:pStyle w:val="Normal"/>
      </w:pPr>
      <w:r>
        <w:t>2. State enterprises remain subject to the applicable provisions of Chapter 22. Nothing in this Article immunizes discriminatory purchasing, non-commercial assistance, expropriation without applicable compensation, denial of due process, or conduct otherwise prohibited by an express treaty obligation.</w:t>
      </w:r>
    </w:p>
    <w:p>
      <w:pPr>
        <w:pStyle w:val="Normal"/>
      </w:pPr>
      <w:r>
        <w:t>3. For Mexico, the Parties recognize that constitutional and statutory arrangements governing energy and strategic public enterprises may differ materially from Canadian and United States models. Treaty review shall address specific conduct rather than requiring structural convergence.</w:t>
      </w:r>
    </w:p>
    <w:p>
      <w:pPr>
        <w:pStyle w:val="Heading2"/>
      </w:pPr>
      <w:bookmarkStart w:id="901742" w:name="_Toc300001741"/>
      <w:r>
        <w:t>Article 45.3: Ejidos, Communal Tenure, and Social Land Policy</w:t>
      </w:r>
      <w:bookmarkEnd w:id="901742"/>
    </w:p>
    <w:p>
      <w:pPr>
        <w:pStyle w:val="Normal"/>
      </w:pPr>
      <w:r>
        <w:t>1. Mexico may maintain and develop ejido, communal, Indigenous, and social-property regimes and related land-tenure, agrarian-development, conservation, and community-governance measures.</w:t>
      </w:r>
    </w:p>
    <w:p>
      <w:pPr>
        <w:pStyle w:val="Normal"/>
      </w:pPr>
      <w:r>
        <w:t>2. A measure under paragraph 1 is not inconsistent with this Agreement merely because land is inalienable, subject to communal consent, restricted in transfer, or administered through a non-private tenure form. This paragraph does not excuse disguised discrimination against investors or goods of another Party unrelated to the protected tenure interest.</w:t>
      </w:r>
    </w:p>
    <w:p>
      <w:pPr>
        <w:pStyle w:val="Heading2"/>
      </w:pPr>
      <w:bookmarkStart w:id="901743" w:name="_Toc300001742"/>
      <w:r>
        <w:t>Article 45.4: Rural Development and Smallholder Support</w:t>
      </w:r>
      <w:bookmarkEnd w:id="901743"/>
    </w:p>
    <w:p>
      <w:pPr>
        <w:pStyle w:val="Normal"/>
      </w:pPr>
      <w:r>
        <w:t>1. A Party may provide transparent rural-development assistance, smallholder credit, extension services, disaster relief, food-security assistance, irrigation support, crop-conversion assistance, infrastructure, and regionally targeted development programs where the measure is not contingent on export performance or the use of another Party's goods.</w:t>
      </w:r>
    </w:p>
    <w:p>
      <w:pPr>
        <w:pStyle w:val="Normal"/>
      </w:pPr>
      <w:r>
        <w:t>2. Production-neutral or de minimis rural support satisfying paragraph 1 receives a rebuttable presumption of consistency with this Agreement. The presumption may be rebutted only under paragraph 3.</w:t>
      </w:r>
    </w:p>
    <w:p>
      <w:pPr>
        <w:pStyle w:val="Normal"/>
      </w:pPr>
      <w:r>
        <w:t>3. Burden of Rebuttal. For assistance qualifying for the presumption in paragraph 2, the complaining Party bears the burden of demonstrating, by clear and convincing evidence, that the challenged measure causes material trade displacement or material trade distortion, or is structured principally to circumvent another obligation of this Agreement. Assistance described in paragraph 1 that is not production-neutral or de minimis receives no special presumption under this Article and remains subject to the otherwise applicable obligations and burdens of proof. The responding Party does not bear the burden of proving the absence of trade effects for assistance qualifying under paragraph 2.</w:t>
      </w:r>
    </w:p>
    <w:p>
      <w:pPr>
        <w:pStyle w:val="Heading2"/>
      </w:pPr>
      <w:bookmarkStart w:id="901744" w:name="_Toc300001743"/>
      <w:r>
        <w:t>Article 45.5: United States-Mexico Water Treaty Firewall</w:t>
      </w:r>
      <w:bookmarkEnd w:id="901744"/>
    </w:p>
    <w:p>
      <w:pPr>
        <w:pStyle w:val="Normal"/>
      </w:pPr>
      <w:r>
        <w:t>1. Nothing in this Agreement modifies, supersedes, interprets, allocates, or creates rights under the 1944 Treaty relating to the utilization of waters of the Colorado and Tijuana Rivers and of the Rio Grande, or any Minute or decision lawfully adopted under that treaty.</w:t>
      </w:r>
    </w:p>
    <w:p>
      <w:pPr>
        <w:pStyle w:val="Normal"/>
      </w:pPr>
      <w:r>
        <w:t>2. A water-allocation dispute governed by the 1944 Treaty shall not be converted into a market-access, investment, or Chapter 35 dispute merely because water availability has commercial effects. A separate measure implementing or exploiting a water dispute for discriminatory trade purposes remains reviewable under this Agreement.</w:t>
      </w:r>
    </w:p>
    <w:p>
      <w:pPr>
        <w:pStyle w:val="Heading2"/>
      </w:pPr>
      <w:bookmarkStart w:id="901745" w:name="_Toc300001744"/>
      <w:r>
        <w:t>Article 45.6: Mining, Restoration, and Community Benefit</w:t>
      </w:r>
      <w:bookmarkEnd w:id="901745"/>
    </w:p>
    <w:p>
      <w:pPr>
        <w:pStyle w:val="Normal"/>
      </w:pPr>
      <w:r>
        <w:t>1. Each Party retains authority over mineral concessions, permitting, reclamation security, environmental bonding, Indigenous and local consultation, community-benefit arrangements, mine closure, and post-closure remediation.</w:t>
      </w:r>
    </w:p>
    <w:p>
      <w:pPr>
        <w:pStyle w:val="Normal"/>
      </w:pPr>
      <w:r>
        <w:t>2. Financial-assurance and restoration requirements are legitimate regulatory measures when applied under published, objective, and non-discriminatory criteria reasonably connected to environmental or fiscal risk.</w:t>
      </w:r>
    </w:p>
    <w:p>
      <w:pPr>
        <w:pStyle w:val="Heading2"/>
      </w:pPr>
      <w:bookmarkStart w:id="901746" w:name="_Toc300001745"/>
      <w:r>
        <w:t>Article 45.7: Research Security and Strategic Technology Cooperation</w:t>
      </w:r>
      <w:bookmarkEnd w:id="901746"/>
    </w:p>
    <w:p>
      <w:pPr>
        <w:pStyle w:val="Normal"/>
      </w:pPr>
      <w:r>
        <w:t>1. Each Party retains authority to protect sensitive research, export-controlled technology, government-funded laboratories, critical infrastructure, and strategic intellectual property through objective research-security measures.</w:t>
      </w:r>
    </w:p>
    <w:p>
      <w:pPr>
        <w:pStyle w:val="Normal"/>
      </w:pPr>
      <w:r>
        <w:t>2. The Parties shall seek interoperable due-diligence and trusted-partner procedures so legitimate North American research cooperation is not unnecessarily blocked by duplicative screening.</w:t>
      </w:r>
    </w:p>
    <w:p>
      <w:pPr>
        <w:pStyle w:val="Heading2"/>
      </w:pPr>
      <w:bookmarkStart w:id="901747" w:name="_Toc300001746"/>
      <w:r>
        <w:t>Article 45.8: Remittance and Fintech Facilitation</w:t>
      </w:r>
      <w:bookmarkEnd w:id="901747"/>
    </w:p>
    <w:p>
      <w:pPr>
        <w:pStyle w:val="Normal"/>
      </w:pPr>
      <w:r>
        <w:t>1. The Parties shall promote competitive, transparent, secure, and interoperable cross-border remittance services, including clear fee disclosure, consumer recourse, fraud prevention, and proportionate licensing.</w:t>
      </w:r>
    </w:p>
    <w:p>
      <w:pPr>
        <w:pStyle w:val="Normal"/>
      </w:pPr>
      <w:r>
        <w:t>2. Nothing in this Article requires a Party to authorize an unlicensed provider, weaken anti-money-laundering controls, or adopt another Party's monetary or financial-regulatory model.</w:t>
      </w:r>
    </w:p>
    <w:p>
      <w:pPr>
        <w:pStyle w:val="Normal"/>
      </w:pPr>
      <w:r>
        <w:t>3. Binding Remittance Transparency. Before a consumer authorizes a covered cross-border remittance, the provider shall disclose in a clear and comparable form the total amount paid, all provider fees, the applicable exchange rate and disclosed exchange-rate margin where practicable, the amount expected to be received, expected delivery time, and material intermediary charges known or reasonably estimable by the provider.</w:t>
      </w:r>
    </w:p>
    <w:p>
      <w:pPr>
        <w:pStyle w:val="Normal"/>
      </w:pPr>
      <w:r>
        <w:t>4. Each Party shall maintain effective administrative or judicial recourse for material non-compliance with paragraph 3. Systemic discriminatory failure to maintain or enforce the transparency requirements may be addressed under Chapter 31 after consultation through the Financial Services Committee.</w:t>
      </w:r>
    </w:p>
    <w:p>
      <w:pPr>
        <w:pStyle w:val="Normal"/>
      </w:pPr>
      <w:r>
        <w:t>5. Nothing in this Article establishes a treaty-mandated fee ceiling or prevents proportionate anti-money-laundering, sanctions, fraud-prevention, consumer-protection, or prudential measures.</w:t>
      </w:r>
    </w:p>
    <w:p>
      <w:pPr>
        <w:pStyle w:val="Heading2"/>
      </w:pPr>
      <w:bookmarkStart w:id="901748" w:name="_Toc300001747"/>
      <w:r>
        <w:t>Article 45.9: Traditional Knowledge and Geographic Indications</w:t>
      </w:r>
      <w:bookmarkEnd w:id="901748"/>
    </w:p>
    <w:p>
      <w:pPr>
        <w:pStyle w:val="Normal"/>
      </w:pPr>
      <w:r>
        <w:t>1. The Parties may protect traditional knowledge, traditional cultural expressions, Indigenous designations, and geographic indications through domestic systems consistent with this Agreement and applicable intellectual-property obligations.</w:t>
      </w:r>
    </w:p>
    <w:p>
      <w:pPr>
        <w:pStyle w:val="Normal"/>
      </w:pPr>
      <w:r>
        <w:t>2. Such protection shall include transparent procedures, notice, an opportunity to contest a designation, and safeguards against bad-faith appropriation, without creating automatic immunity from otherwise valid intellectual-property rights.</w:t>
      </w:r>
    </w:p>
    <w:p>
      <w:pPr>
        <w:pStyle w:val="Heading2"/>
      </w:pPr>
      <w:bookmarkStart w:id="901749" w:name="_Toc300001748"/>
      <w:r>
        <w:t>Article 45.10: Border-Region Micro and SME Facilitation</w:t>
      </w:r>
      <w:bookmarkEnd w:id="901749"/>
    </w:p>
    <w:p>
      <w:pPr>
        <w:pStyle w:val="Normal"/>
      </w:pPr>
      <w:r>
        <w:t>1. The Parties shall establish simplified procedures for qualifying microenterprises and SMEs engaged in low-risk recurring border commerce, including consolidated declarations, electronic pre-clearance, proportionate recordkeeping, and access to the Single SME Compliance Gateway.</w:t>
      </w:r>
    </w:p>
    <w:p>
      <w:pPr>
        <w:pStyle w:val="Normal"/>
      </w:pPr>
      <w:r>
        <w:t>2. Simplification under this Article does not reduce product-safety, sanitary, security, forced-labor, or origin-fraud enforcement.</w:t>
      </w:r>
    </w:p>
    <w:p>
      <w:pPr>
        <w:pStyle w:val="Heading1"/>
      </w:pPr>
      <w:bookmarkStart w:id="901750" w:name="_Toc300001749"/>
      <w:r>
        <w:t>CHAPTER 46</w:t>
      </w:r>
      <w:r>
        <w:br/>
      </w:r>
      <w:r>
        <w:t>COTHROM BALANCED VERIFICATION AND EVIDENTIARY ARCHITECTURE</w:t>
      </w:r>
      <w:bookmarkEnd w:id="901750"/>
    </w:p>
    <w:p>
      <w:pPr>
        <w:pStyle w:val="Heading2"/>
      </w:pPr>
      <w:bookmarkStart w:id="901751" w:name="_Toc300001750"/>
      <w:r>
        <w:t>Article 46.1: Cothrom Principle</w:t>
      </w:r>
      <w:bookmarkEnd w:id="901751"/>
    </w:p>
    <w:p>
      <w:pPr>
        <w:pStyle w:val="Normal"/>
      </w:pPr>
      <w:r>
        <w:t>1. Verification under this Agreement is reciprocal. The initiating and responding Parties are subject to equal standards of evidence, equal access to non-confidential data, equal procedural clocks, and equivalent consequences for bad-faith claims, objections, obstruction, or data manipulation.</w:t>
      </w:r>
    </w:p>
    <w:p>
      <w:pPr>
        <w:pStyle w:val="Normal"/>
      </w:pPr>
      <w:r>
        <w:t>2. Verification is designed to establish technical truth and restore compliance, not to create bargaining leverage. No violation creates permanent exclusion where compliance can be restored.</w:t>
      </w:r>
    </w:p>
    <w:p>
      <w:pPr>
        <w:pStyle w:val="Heading2"/>
      </w:pPr>
      <w:bookmarkStart w:id="901752" w:name="_Toc300001751"/>
      <w:r>
        <w:t>Article 46.2: Data Symmetry and the Golden Record</w:t>
      </w:r>
      <w:bookmarkEnd w:id="901752"/>
    </w:p>
    <w:p>
      <w:pPr>
        <w:pStyle w:val="Normal"/>
      </w:pPr>
      <w:r>
        <w:t>1. Data generated by a shared treaty system shall be transmitted to the Parties with materially equivalent latency and access rights. No Party receives a treaty-created preferential data feed.</w:t>
      </w:r>
    </w:p>
    <w:p>
      <w:pPr>
        <w:pStyle w:val="Normal"/>
      </w:pPr>
      <w:r>
        <w:t>2. The Shared Trade Data Registry shall maintain an auditable golden record for submissions, notifications, verification packages, technical determinations, and restoration certifications. The record shall preserve chain of custody and modification history.</w:t>
      </w:r>
    </w:p>
    <w:p>
      <w:pPr>
        <w:pStyle w:val="Normal"/>
      </w:pPr>
      <w:r>
        <w:t>3. Failure of a shared platform does not invalidate independently reliable evidence and is governed by Annex 35-C, Part 6.</w:t>
      </w:r>
    </w:p>
    <w:p>
      <w:pPr>
        <w:pStyle w:val="Normal"/>
      </w:pPr>
      <w:r>
        <w:t>4. Distributed Evidence Fallback. If the Shared Trade Data Registry or Golden Record becomes materially unavailable, each Party shall preserve and certify its independently retained relevant records. Verification continues through those records and other reliable evidence; no adverse inference arises solely from failure of the shared platform.</w:t>
      </w:r>
    </w:p>
    <w:p>
      <w:pPr>
        <w:pStyle w:val="Normal"/>
      </w:pPr>
      <w:r>
        <w:t>5. A materially disputed fact derived from a failed shared platform shall not support a Stage 2 or higher consequence unless corroborated by at least one independent reliable source or resolved through the Technical Truth Escalation Chain in Article 35.9B.</w:t>
      </w:r>
    </w:p>
    <w:p>
      <w:pPr>
        <w:pStyle w:val="Normal"/>
      </w:pPr>
      <w:r>
        <w:t>6. Restoration of the shared platform requires reconciliation of independently retained records, an auditable discrepancy report, and preservation of both the outage-period records and the reconciled record.</w:t>
      </w:r>
    </w:p>
    <w:p>
      <w:pPr>
        <w:pStyle w:val="Heading2"/>
      </w:pPr>
      <w:bookmarkStart w:id="901753" w:name="_Toc300001752"/>
      <w:r>
        <w:t>Article 46.3: Anomaly Severity and Noise Filtering</w:t>
      </w:r>
      <w:bookmarkEnd w:id="901753"/>
    </w:p>
    <w:p>
      <w:pPr>
        <w:pStyle w:val="Normal"/>
      </w:pPr>
      <w:r>
        <w:t>1. Not every anomaly is a compliance event. Shared systems shall classify anomalies at four levels: Informational, Technical Review, Compliance Review, and Breach Indicator.</w:t>
      </w:r>
    </w:p>
    <w:p>
      <w:pPr>
        <w:pStyle w:val="Normal"/>
      </w:pPr>
      <w:r>
        <w:t>2. Informational and Technical Review events do not trigger remedies. A Compliance Review event triggers targeted verification and a cure opportunity. Only a Breach Indicator supported by corroborating evidence may support accelerated step-back consideration.</w:t>
      </w:r>
    </w:p>
    <w:p>
      <w:pPr>
        <w:pStyle w:val="Normal"/>
      </w:pPr>
      <w:r>
        <w:t>3. A single anomalous reading, isolated formatting error, scheduled maintenance event, or documented short outage does not establish systemic noncompliance.</w:t>
      </w:r>
    </w:p>
    <w:p>
      <w:pPr>
        <w:pStyle w:val="Heading2"/>
      </w:pPr>
      <w:bookmarkStart w:id="901754" w:name="_Toc300001753"/>
      <w:r>
        <w:t>Article 46.4: Claim and Objection Precision</w:t>
      </w:r>
      <w:bookmarkEnd w:id="901754"/>
    </w:p>
    <w:p>
      <w:pPr>
        <w:pStyle w:val="Normal"/>
      </w:pPr>
      <w:r>
        <w:t>1. A Party making a claim shall identify the precise measure, act, data point, period, entity, and treaty obligation at issue and provide the reasonably available primary evidence supporting the allegation.</w:t>
      </w:r>
    </w:p>
    <w:p>
      <w:pPr>
        <w:pStyle w:val="Normal"/>
      </w:pPr>
      <w:r>
        <w:t>2. A Party objecting to a verification finding shall identify the precise evidence disputed and the technical or legal basis for the objection. General denial is insufficient.</w:t>
      </w:r>
    </w:p>
    <w:p>
      <w:pPr>
        <w:pStyle w:val="Normal"/>
      </w:pPr>
      <w:r>
        <w:t>3. Repetitive claims arising from the same measure, product, facility, importer, or recurring transaction may be bundled into a consolidated submission. Bundling shall reduce paperwork without reducing the evidentiary standard for each material element.</w:t>
      </w:r>
    </w:p>
    <w:p>
      <w:pPr>
        <w:pStyle w:val="Heading2"/>
      </w:pPr>
      <w:bookmarkStart w:id="901755" w:name="_Toc300001754"/>
      <w:r>
        <w:t>Article 46.5: Confirmation Levels and Partial Findings</w:t>
      </w:r>
      <w:bookmarkEnd w:id="901755"/>
    </w:p>
    <w:p>
      <w:pPr>
        <w:pStyle w:val="Normal"/>
      </w:pPr>
      <w:r>
        <w:t>1. Verification bodies may classify an evidentiary element as fully confirmed, partially confirmed, unconfirmed, or technically inconclusive.</w:t>
      </w:r>
    </w:p>
    <w:p>
      <w:pPr>
        <w:pStyle w:val="Normal"/>
      </w:pPr>
      <w:r>
        <w:t>2. A mixed record shall produce proportionate findings and remedies. Panels shall avoid all-or-nothing treatment where separable elements can be determined reliably.</w:t>
      </w:r>
    </w:p>
    <w:p>
      <w:pPr>
        <w:pStyle w:val="Normal"/>
      </w:pPr>
      <w:r>
        <w:t>3. For a technically inconclusive issue, the final counter-evidence procedure under Article 35.19.6 closes the record unless materially new evidence later arises.</w:t>
      </w:r>
    </w:p>
    <w:p>
      <w:pPr>
        <w:pStyle w:val="Heading2"/>
      </w:pPr>
      <w:bookmarkStart w:id="901756" w:name="_Toc300001755"/>
      <w:r>
        <w:t>Article 46.6: Standing Neutral Expert Pool</w:t>
      </w:r>
      <w:bookmarkEnd w:id="901756"/>
    </w:p>
    <w:p>
      <w:pPr>
        <w:pStyle w:val="Normal"/>
      </w:pPr>
      <w:r>
        <w:t>1. The Commission shall maintain, within the Article 31.8 roster architecture and Secretariat administration, a qualification list of neutral technical experts in customs data, digital forensics, rules of origin, supply-chain traceability, economics, statistics, accounting, critical minerals, automotive valuation, agriculture, and other fields needed by this Agreement. The list is a roster resource, not a separately staffed permanent institution.</w:t>
      </w:r>
    </w:p>
    <w:p>
      <w:pPr>
        <w:pStyle w:val="Normal"/>
      </w:pPr>
      <w:r>
        <w:t>2. Experts are appointed for renewable fixed terms under published qualification, independence, confidentiality, disclosure, recusal, removal-for-cause, and conflict-of-interest rules. Vacancies shall be replenished on a published schedule; compensation shall follow Commission-approved rates or the applicable proceeding rules. Selection for a matter shall be random or by published rotation within the required specialty, with at least one pre-accredited alternate where practicable.</w:t>
      </w:r>
    </w:p>
    <w:p>
      <w:pPr>
        <w:pStyle w:val="Normal"/>
      </w:pPr>
      <w:r>
        <w:t>3. A Party may request one technical second opinion on a final technical determination upon posting reasonable cost security. Unless another provision expressly makes the technical finding determinative, an expert output is advisory on technical or factual matters and does not decide treaty interpretation or jurisdiction. The second-opinion expert shall state expressly whether the identified technical error would materially change the determination. If so, the security is returned and the Secretariat shall constitute a fresh technical panel under paragraph 2 within 15 days; the challenged technical determination remains operative pending re-determination unless the competent deciding body orders a narrowly tailored interim hold to prevent serious irreparable prejudice. The fresh panel shall issue its re-determination within 30 days unless the governing provision supplies a shorter period, and that re-determination is final as to the technical question subject to any otherwise available treaty review. If the second opinion does not meet the material-change threshold, the requesting Party bears the incremental review cost.</w:t>
      </w:r>
    </w:p>
    <w:p>
      <w:pPr>
        <w:pStyle w:val="Heading2"/>
      </w:pPr>
      <w:bookmarkStart w:id="901757" w:name="_Toc300001756"/>
      <w:r>
        <w:t>Article 46.7: Human-in-the-Loop Requirement</w:t>
      </w:r>
      <w:bookmarkEnd w:id="901757"/>
    </w:p>
    <w:p>
      <w:pPr>
        <w:pStyle w:val="Normal"/>
      </w:pPr>
      <w:r>
        <w:t>1. Automated systems may detect anomalies, calculate preliminary indicators, route submissions, and generate evidence packages. They shall not make a final legal finding of treaty breach or authorize an economically disruptive remedy.</w:t>
      </w:r>
    </w:p>
    <w:p>
      <w:pPr>
        <w:pStyle w:val="Normal"/>
      </w:pPr>
      <w:r>
        <w:t>2. Before escalation beyond enhanced verification, a human decision-maker shall review the evidence, proportionality, affected innocent trade, available alternatives, and the defined earn-back path.</w:t>
      </w:r>
    </w:p>
    <w:p>
      <w:pPr>
        <w:pStyle w:val="Normal"/>
      </w:pPr>
      <w:r>
        <w:t>3. The Commission shall audit annually whether automated systems are functioning within the authority assigned to them and whether material false-positive or false-negative patterns require recalibration.</w:t>
      </w:r>
    </w:p>
    <w:p>
      <w:pPr>
        <w:pStyle w:val="Heading2"/>
      </w:pPr>
      <w:bookmarkStart w:id="901758" w:name="_Toc300001757"/>
      <w:r>
        <w:t>Article 46.8: Verification Continuity and Technical Failure</w:t>
      </w:r>
      <w:bookmarkEnd w:id="901758"/>
    </w:p>
    <w:p>
      <w:pPr>
        <w:pStyle w:val="Normal"/>
      </w:pPr>
      <w:r>
        <w:t>1. A Party shall not benefit from deliberate destruction, withholding, falsification, or disabling of verification-relevant evidence or systems.</w:t>
      </w:r>
    </w:p>
    <w:p>
      <w:pPr>
        <w:pStyle w:val="Normal"/>
      </w:pPr>
      <w:r>
        <w:t>2. Purely technical failure, ordinary maintenance, cyber incident not attributable to the trader or Party concerned, or shared-system outage triggers continuity procedures rather than punishment.</w:t>
      </w:r>
    </w:p>
    <w:p>
      <w:pPr>
        <w:pStyle w:val="Normal"/>
      </w:pPr>
      <w:r>
        <w:t>3. Persistent unexplained loss of verification data may justify temporary suspension of only the treaty-created benefit that depends on that missing verification, provided a neutral technical body first confirms that the loss is not ordinary equipment failure, maintenance, or platform outage. Restoration occurs automatically when reliable verification returns.</w:t>
      </w:r>
    </w:p>
    <w:p>
      <w:pPr>
        <w:pStyle w:val="Heading2"/>
      </w:pPr>
      <w:bookmarkStart w:id="901759" w:name="_Toc300001758"/>
      <w:r>
        <w:t>Article 46.9: Cooling-Off and Attribution Discipline</w:t>
      </w:r>
      <w:bookmarkEnd w:id="901759"/>
    </w:p>
    <w:p>
      <w:pPr>
        <w:pStyle w:val="Normal"/>
      </w:pPr>
      <w:r>
        <w:t>1. Except for immediate safety, anti-spoliation, or customs-control measures, no new Stage 2 or higher consequence takes effect until a minimum 48-hour technical and senior-official cooling-off period has elapsed.</w:t>
      </w:r>
    </w:p>
    <w:p>
      <w:pPr>
        <w:pStyle w:val="Normal"/>
      </w:pPr>
      <w:r>
        <w:t>2. Where a harmful event may have resulted from fraud by a private actor, cyber compromise, third-party interference, force majeure, or another cause not attributable to the accused Party, attribution shall be established before Party-level consequences are imposed.</w:t>
      </w:r>
    </w:p>
    <w:p>
      <w:pPr>
        <w:pStyle w:val="Heading2"/>
      </w:pPr>
      <w:bookmarkStart w:id="901760" w:name="_Toc300001759"/>
      <w:r>
        <w:t>Article 46.10: Verification Metrics</w:t>
      </w:r>
      <w:bookmarkEnd w:id="901760"/>
    </w:p>
    <w:p>
      <w:pPr>
        <w:pStyle w:val="Normal"/>
      </w:pPr>
      <w:r>
        <w:t>1. The Secretariat shall publish aggregate verification-performance metrics including average confirmation time, challenge success rate, reversal rate, incomplete-data rate, platform uptime, SME burden, and frequency of technical second opinions.</w:t>
      </w:r>
    </w:p>
    <w:p>
      <w:pPr>
        <w:pStyle w:val="Normal"/>
      </w:pPr>
      <w:r>
        <w:t>2. Metrics diagnose system performance and do not themselves establish breach. Scoring methodologies that affect legal rights shall remain transparent, reproducible, and challengeable; black-box dynamic weighting is prohibited.</w:t>
      </w:r>
    </w:p>
    <w:p>
      <w:pPr>
        <w:pStyle w:val="Heading2"/>
      </w:pPr>
      <w:bookmarkStart w:id="901761" w:name="_Toc300001760"/>
      <w:r>
        <w:t>Article 46.11: Technical Corrections</w:t>
      </w:r>
      <w:bookmarkEnd w:id="901761"/>
    </w:p>
    <w:p>
      <w:pPr>
        <w:pStyle w:val="Normal"/>
      </w:pPr>
      <w:r>
        <w:t>1. The Secretariat may issue non-substantive technical corrections for typographical errors, broken cross-references, inconsistent numbering, and formatting defects after notice to the Parties.</w:t>
      </w:r>
    </w:p>
    <w:p>
      <w:pPr>
        <w:pStyle w:val="Normal"/>
      </w:pPr>
      <w:r>
        <w:t>2. A technical correction shall not change a substantive right, obligation, remedy, threshold, timeline, tariff treatment, or evidentiary burden. A Party may object within seven days, in which case the correction is suspended pending Commission review.</w:t>
      </w:r>
    </w:p>
    <w:p>
      <w:pPr>
        <w:pStyle w:val="Heading2"/>
      </w:pPr>
      <w:bookmarkStart w:id="901762" w:name="_Toc300001761"/>
      <w:r>
        <w:t>Article 46.12: Vacancy-Proof Institutional Continuity</w:t>
      </w:r>
      <w:bookmarkEnd w:id="901762"/>
    </w:p>
    <w:p>
      <w:pPr>
        <w:pStyle w:val="Normal"/>
      </w:pPr>
      <w:r>
        <w:t>1. Failure or delay by a Party to nominate, appoint, replace, or confirm an official, roster member, expert, or institutional representative shall not disable a treaty function.</w:t>
      </w:r>
    </w:p>
    <w:p>
      <w:pPr>
        <w:pStyle w:val="Normal"/>
      </w:pPr>
      <w:r>
        <w:t>2. Unless a specific provision supplies another rule, an incumbent whose term expires continues in caretaker capacity for up to 180 days solely to preserve ordinary operations and pending proceedings.</w:t>
      </w:r>
    </w:p>
    <w:p>
      <w:pPr>
        <w:pStyle w:val="Normal"/>
      </w:pPr>
      <w:r>
        <w:t>3. If a required nomination remains vacant after the treaty deadline and any 30-day cure period, the vacancy shall be filled temporarily by random selection from the applicable pre-approved roster. If no applicable roster exists, the responsible Secretary under Article 30.B shall use the witnessed random-draw method in Article 31.C(6) from eligible qualified persons satisfying the substantive qualifications for the vacant function; the Secretary shall exercise no policy discretion to select a preferred appointee.</w:t>
      </w:r>
    </w:p>
    <w:p>
      <w:pPr>
        <w:pStyle w:val="Normal"/>
      </w:pPr>
      <w:r>
        <w:t>4. A Party may replace its temporary appointee by making the required lawful appointment, without disturbing decisions already validly taken.</w:t>
      </w:r>
    </w:p>
    <w:p>
      <w:pPr>
        <w:pStyle w:val="Heading2"/>
      </w:pPr>
      <w:bookmarkStart w:id="901763" w:name="_Toc300001762"/>
      <w:r>
        <w:t>Article 46.13: Quorum, Boycott, and Consensus Anti-Hostage Rules</w:t>
      </w:r>
      <w:bookmarkEnd w:id="901763"/>
    </w:p>
    <w:p>
      <w:pPr>
        <w:pStyle w:val="Normal"/>
      </w:pPr>
      <w:r>
        <w:t>1. Proper notice and a reasonable opportunity to participate satisfy the participation requirement for adjudicative, verification, integrity, and compliance functions. The absence or boycott of the Party whose conduct is under review does not defeat quorum after a second duly noticed sitting.</w:t>
      </w:r>
    </w:p>
    <w:p>
      <w:pPr>
        <w:pStyle w:val="Normal"/>
      </w:pPr>
      <w:r>
        <w:t>2. Consensus is reserved for treaty amendment, creation of new substantive obligations, accession or reaccession, material alteration of Party contributions, and other matters expressly designated by this Agreement.</w:t>
      </w:r>
    </w:p>
    <w:p>
      <w:pPr>
        <w:pStyle w:val="Normal"/>
      </w:pPr>
      <w:r>
        <w:t>3. Routine administration, execution of existing formulas, roster maintenance, publication, technical system maintenance, ordinary budgets within previously approved ceilings, and implementation of final decisions shall proceed by the voting or automatic procedures specified for those functions and shall not require fresh political consensus.</w:t>
      </w:r>
    </w:p>
    <w:p>
      <w:pPr>
        <w:pStyle w:val="Normal"/>
      </w:pPr>
      <w:r>
        <w:t>4. No administrative body may convert a matter expressly made automatic by this Agreement into a discretionary consensus decision.</w:t>
      </w:r>
    </w:p>
    <w:p>
      <w:pPr>
        <w:pStyle w:val="Heading2"/>
      </w:pPr>
      <w:bookmarkStart w:id="901764" w:name="_Toc300001763"/>
      <w:r>
        <w:t>Article 46.14: Data Continuity, Protected Access, and Adverse Inference</w:t>
      </w:r>
      <w:bookmarkEnd w:id="901764"/>
    </w:p>
    <w:p>
      <w:pPr>
        <w:pStyle w:val="Normal"/>
      </w:pPr>
      <w:r>
        <w:t>1. A Party may protect classified, privileged, personal, law-enforcement-sensitive, and confidential business information, but shall use a functional protected substitute where information is materially necessary to treaty verification.</w:t>
      </w:r>
    </w:p>
    <w:p>
      <w:pPr>
        <w:pStyle w:val="Normal"/>
      </w:pPr>
      <w:r>
        <w:t>2. Functional substitutes include aggregated data, non-confidential summaries, redaction, protected data rooms, security-cleared review, sampling, anonymization, or another method preserving both legitimate confidentiality and meaningful review.</w:t>
      </w:r>
    </w:p>
    <w:p>
      <w:pPr>
        <w:pStyle w:val="Normal"/>
      </w:pPr>
      <w:r>
        <w:t>3. If a Party possesses materially responsive information and unjustifiably refuses all reasonable protected methods, the deciding body may draw a limited adverse inference no broader than necessary to address the evidentiary gap.</w:t>
      </w:r>
    </w:p>
    <w:p>
      <w:pPr>
        <w:pStyle w:val="Normal"/>
      </w:pPr>
      <w:r>
        <w:t>4. An adverse inference does not substitute for proof of an element for which reliable independent evidence is reasonably available.</w:t>
      </w:r>
    </w:p>
    <w:p>
      <w:pPr>
        <w:pStyle w:val="Heading2"/>
      </w:pPr>
      <w:bookmarkStart w:id="901765" w:name="_Toc300001764"/>
      <w:r>
        <w:t>Article 46.15: Evidentiary Proportionality and Anti-Landfill Rule</w:t>
      </w:r>
      <w:bookmarkEnd w:id="901765"/>
    </w:p>
    <w:p>
      <w:pPr>
        <w:pStyle w:val="Normal"/>
      </w:pPr>
      <w:r>
        <w:t>1. A submission shall identify the evidence materially relied upon, provide a machine-readable index where practicable, cite the relevant record location, and distinguish supporting material from background production.</w:t>
      </w:r>
    </w:p>
    <w:p>
      <w:pPr>
        <w:pStyle w:val="Normal"/>
      </w:pPr>
      <w:r>
        <w:t>2. A Party shall not defeat equality of arms through disproportionate bulk production, duplicative records, unusable formats, or strategically unindexed disclosure.</w:t>
      </w:r>
    </w:p>
    <w:p>
      <w:pPr>
        <w:pStyle w:val="Normal"/>
      </w:pPr>
      <w:r>
        <w:t>3. The deciding body may require focused production, representative sampling, deduplication, common-facts stipulations, or other proportionate case-management measures.</w:t>
      </w:r>
    </w:p>
    <w:p>
      <w:pPr>
        <w:pStyle w:val="Heading2"/>
      </w:pPr>
      <w:bookmarkStart w:id="901766" w:name="_Toc300001765"/>
      <w:r>
        <w:t>Article 46.16: Successor Measure and Anti-Whack-a-Mole Jurisdiction</w:t>
      </w:r>
      <w:bookmarkEnd w:id="901766"/>
    </w:p>
    <w:p>
      <w:pPr>
        <w:pStyle w:val="Normal"/>
      </w:pPr>
      <w:r>
        <w:t>1. Compliance jurisdiction extends to a successor, replacement, renamed, recodified, delegated, or materially restructured measure where its purpose, operation, legal effect, or economic effect is substantially equivalent to a measure already found inconsistent.</w:t>
      </w:r>
    </w:p>
    <w:p>
      <w:pPr>
        <w:pStyle w:val="Normal"/>
      </w:pPr>
      <w:r>
        <w:t>2. A Party may demonstrate that a successor measure materially cures the prior inconsistency. Mere repeal and reenactment does not reset the compliance clock.</w:t>
      </w:r>
    </w:p>
    <w:p>
      <w:pPr>
        <w:pStyle w:val="Normal"/>
      </w:pPr>
      <w:r>
        <w:t>3. Where substantial equivalence is established, the original compliance proceeding remains open and may address the successor measure without requiring a wholly new merits case.</w:t>
      </w:r>
    </w:p>
    <w:p>
      <w:pPr>
        <w:pStyle w:val="Heading2"/>
      </w:pPr>
      <w:bookmarkStart w:id="901767" w:name="_Toc300001766"/>
      <w:r>
        <w:t>Article 46.17: Administrative Pattern and Cumulative Burden Review</w:t>
      </w:r>
      <w:bookmarkEnd w:id="901767"/>
    </w:p>
    <w:p>
      <w:pPr>
        <w:pStyle w:val="Normal"/>
      </w:pPr>
      <w:r>
        <w:t>1. Cothrom may examine a pattern of administrative conduct where no single act independently establishes a material violation but the combined course of conduct may materially impair treaty treatment.</w:t>
      </w:r>
    </w:p>
    <w:p>
      <w:pPr>
        <w:pStyle w:val="Normal"/>
      </w:pPr>
      <w:r>
        <w:t>2. Relevant indicators may include clearance times, inspection rates, secondary examination, documentation demands, rejection rates, laboratory referral, bond requirements, audit frequency, licensing delay, certification queues, trusted-status removal, technical-information requests, and other measurable administrative burdens.</w:t>
      </w:r>
    </w:p>
    <w:p>
      <w:pPr>
        <w:pStyle w:val="Normal"/>
      </w:pPr>
      <w:r>
        <w:t>3. Pattern analysis shall control for legitimate explanatory variables including product mix, risk, compliance history, seasonality, congestion, infrastructure failure, emergency conditions, and material security differences.</w:t>
      </w:r>
    </w:p>
    <w:p>
      <w:pPr>
        <w:pStyle w:val="Normal"/>
      </w:pPr>
      <w:r>
        <w:t>4. Statistical disparity creates a basis for inquiry, not automatic liability. A finding requires evidence that the unexplained pattern is materially inconsistent with an obligation of this Agreement.</w:t>
      </w:r>
    </w:p>
    <w:p>
      <w:pPr>
        <w:pStyle w:val="Heading2"/>
      </w:pPr>
      <w:bookmarkStart w:id="901768" w:name="_Toc300001767"/>
      <w:r>
        <w:t>Article 46.18: Procedural Denial-of-Service and Case Consolidation</w:t>
      </w:r>
      <w:bookmarkEnd w:id="901768"/>
    </w:p>
    <w:p>
      <w:pPr>
        <w:pStyle w:val="Normal"/>
      </w:pPr>
      <w:r>
        <w:t>1. The dispute and verification systems shall remain capable of handling high-volume legitimate claims without allowing fragmentation to disable adjudication.</w:t>
      </w:r>
    </w:p>
    <w:p>
      <w:pPr>
        <w:pStyle w:val="Normal"/>
      </w:pPr>
      <w:r>
        <w:t>2. Claims sharing substantially common facts, measures, legal questions, or requested remedies may be consolidated, grouped, sequenced, or managed through common evidentiary records while preserving each Party's right to present materially distinct issues.</w:t>
      </w:r>
    </w:p>
    <w:p>
      <w:pPr>
        <w:pStyle w:val="Normal"/>
      </w:pPr>
      <w:r>
        <w:t>3. The Secretariat may activate temporary surge rosters and technical resources when filing volume exceeds ordinary capacity.</w:t>
      </w:r>
    </w:p>
    <w:p>
      <w:pPr>
        <w:pStyle w:val="Normal"/>
      </w:pPr>
      <w:r>
        <w:t>4. No arbitrary numerical cap shall prevent good-faith claims, but duplicative fragmentation may be rejected or consolidated.</w:t>
      </w:r>
    </w:p>
    <w:p>
      <w:pPr>
        <w:pStyle w:val="Heading2"/>
      </w:pPr>
      <w:bookmarkStart w:id="901769" w:name="_Toc300001768"/>
      <w:r>
        <w:t>Article 46.19: Automatic Post-Ruling Compliance Supervision</w:t>
      </w:r>
      <w:bookmarkEnd w:id="901769"/>
    </w:p>
    <w:p>
      <w:pPr>
        <w:pStyle w:val="Normal"/>
      </w:pPr>
      <w:r>
        <w:t>1. A final finding of inconsistency remains under the jurisdiction of the deciding body, or its designated compliance successor, until Cure Certification under Article 35.46 or another treaty-specified closure event.</w:t>
      </w:r>
    </w:p>
    <w:p>
      <w:pPr>
        <w:pStyle w:val="Normal"/>
      </w:pPr>
      <w:r>
        <w:t>2. The prevailing Party need not initiate an entirely new merits proceeding merely to establish nonimplementation of the same operative finding.</w:t>
      </w:r>
    </w:p>
    <w:p>
      <w:pPr>
        <w:pStyle w:val="Normal"/>
      </w:pPr>
      <w:r>
        <w:t>3. Compliance timetables, evidence updates, successor measures, and restoration shall be supervised through the existing record to the extent practicable.</w:t>
      </w:r>
    </w:p>
    <w:p>
      <w:pPr>
        <w:pStyle w:val="Heading1"/>
      </w:pPr>
      <w:bookmarkStart w:id="901770" w:name="_Toc300001769"/>
      <w:r>
        <w:t>CHAPTER 47</w:t>
      </w:r>
      <w:r>
        <w:br/>
      </w:r>
      <w:r>
        <w:t>TREATY RESILIENCE, SAFE MODE, AND RECONSTITUTION</w:t>
      </w:r>
      <w:bookmarkEnd w:id="901770"/>
    </w:p>
    <w:p>
      <w:pPr>
        <w:pStyle w:val="Heading2"/>
      </w:pPr>
      <w:bookmarkStart w:id="901771" w:name="_Toc300001770"/>
      <w:r>
        <w:t>Article 47.0A: Effective Treaty Performance and Anti-Malicious-Compliance Principle</w:t>
      </w:r>
      <w:bookmarkEnd w:id="901771"/>
    </w:p>
    <w:p>
      <w:pPr>
        <w:pStyle w:val="Normal"/>
      </w:pPr>
      <w:r>
        <w:t>1. Formal or literal conformity with an obligation does not by itself establish effective performance where the implementation, administration, sequencing, resourcing, interpretation, or combination of measures materially defeats the reasonably ascertainable function or treaty-created benefit of that obligation.</w:t>
      </w:r>
    </w:p>
    <w:p>
      <w:pPr>
        <w:pStyle w:val="Normal"/>
      </w:pPr>
      <w:r>
        <w:t>2. This Article does not authorize a tribunal to invent obligations from an abstract spirit of the Agreement. The asserted function or benefit must be anchored in operative text, an incorporated schedule, authenticated implementing commitment, or a necessary operational consequence of an express right.</w:t>
      </w:r>
    </w:p>
    <w:p>
      <w:pPr>
        <w:pStyle w:val="Normal"/>
      </w:pPr>
      <w:r>
        <w:t>3. Malicious intent need not be proven. Review shall principally examine objective operation and effect. Evidence of intent, coordination, selective intensity, or political linkage may corroborate but is not required where objective impairment is otherwise established.</w:t>
      </w:r>
    </w:p>
    <w:p>
      <w:pPr>
        <w:pStyle w:val="Normal"/>
      </w:pPr>
      <w:r>
        <w:t>4. Strict, expensive, novel, inconvenient, trade-restrictive, or highly precautionary regulation is not inconsistent merely because it imposes burden. Legitimate health, safety, environment, security, privacy, revenue, fraud-prevention, and other public-interest regulation remains protected subject to applicable treaty disciplines.</w:t>
      </w:r>
    </w:p>
    <w:p>
      <w:pPr>
        <w:pStyle w:val="Heading2"/>
      </w:pPr>
      <w:bookmarkStart w:id="901772" w:name="_Toc300001771"/>
      <w:r>
        <w:t>Article 47.0B: Cumulative Friction, Whole-of-Government, and Rolling-Window Review</w:t>
      </w:r>
      <w:bookmarkEnd w:id="901772"/>
    </w:p>
    <w:p>
      <w:pPr>
        <w:pStyle w:val="Normal"/>
      </w:pPr>
      <w:r>
        <w:t>1. Cothrom may aggregate related administrative burdens imposed by separate agencies, governmental levels, delegated public authorities, ports, certification bodies exercising delegated authority, or sequential procedures where separate examination would materially understate impairment of the same defined treaty pathway or trade flow.</w:t>
      </w:r>
    </w:p>
    <w:p>
      <w:pPr>
        <w:pStyle w:val="Normal"/>
      </w:pPr>
      <w:r>
        <w:t>2. Aggregation may consider a rolling period sufficient to capture rotating or seasonal burdens and shall account for product characteristics, seasonality, congestion, compliance history, legitimate risk, emergencies, and changes in trade volume.</w:t>
      </w:r>
    </w:p>
    <w:p>
      <w:pPr>
        <w:pStyle w:val="Normal"/>
      </w:pPr>
      <w:r>
        <w:t>3. No minimum number of measures is required. Conversely, the existence of many measures does not establish a violation without material cumulative impairment or another applicable treaty defect.</w:t>
      </w:r>
    </w:p>
    <w:p>
      <w:pPr>
        <w:pStyle w:val="Normal"/>
      </w:pPr>
      <w:r>
        <w:t>4. National averages shall not conceal concentrated effects. Where relevant, analysis may use corridor, port, product, enterprise-size, mode, seasonal, median, tail-delay, repeat-inspection, hold-frequency, and other appropriately disaggregated indicators.</w:t>
      </w:r>
    </w:p>
    <w:p>
      <w:pPr>
        <w:pStyle w:val="Heading2"/>
      </w:pPr>
      <w:bookmarkStart w:id="901773" w:name="_Toc300001772"/>
      <w:r>
        <w:t>Article 47.0C: Functional Successor Pattern and Effective Restoration</w:t>
      </w:r>
      <w:bookmarkEnd w:id="901773"/>
    </w:p>
    <w:p>
      <w:pPr>
        <w:pStyle w:val="Normal"/>
      </w:pPr>
      <w:r>
        <w:t>1. Article 46.16 and Article 35.30 apply to a functional successor pattern even where replacement measures invoke different legal purposes or authorities, if the sequence of measures substantially reproduces the impairment previously found and the distinct stated purposes do not reasonably explain the cumulative effect.</w:t>
      </w:r>
    </w:p>
    <w:p>
      <w:pPr>
        <w:pStyle w:val="Normal"/>
      </w:pPr>
      <w:r>
        <w:t>2. Where a violation was established through cumulative conduct, cure shall be evaluated against restoration of the affected treaty pathway or benefit, not solely repeal of one component measure.</w:t>
      </w:r>
    </w:p>
    <w:p>
      <w:pPr>
        <w:pStyle w:val="Normal"/>
      </w:pPr>
      <w:r>
        <w:t>3. Effective restoration does not require a guaranteed commercial outcome. It requires removal or correction of the treaty-inconsistent impairment while preserving lawful regulatory objectives.</w:t>
      </w:r>
    </w:p>
    <w:p>
      <w:pPr>
        <w:pStyle w:val="Normal"/>
      </w:pPr>
      <w:r>
        <w:t>4. A Party may demonstrate cure through alternative measures that achieve the legitimate public objective with materially equivalent effectiveness and reduced treaty impairment.</w:t>
      </w:r>
    </w:p>
    <w:p>
      <w:pPr>
        <w:pStyle w:val="Heading2"/>
      </w:pPr>
      <w:bookmarkStart w:id="901774" w:name="_Toc300001773"/>
      <w:r>
        <w:t>Article 47.0D: Institutional Anti-Paralysis and Usable Proceedings</w:t>
      </w:r>
      <w:bookmarkEnd w:id="901774"/>
    </w:p>
    <w:p>
      <w:pPr>
        <w:pStyle w:val="Normal"/>
      </w:pPr>
      <w:r>
        <w:t>1. Treaty bodies may establish proportionate page, format, indexing, machine-readable-data, issue-list, and evidentiary-identification requirements to prevent procedural overload while preserving due process and the ability to present material evidence.</w:t>
      </w:r>
    </w:p>
    <w:p>
      <w:pPr>
        <w:pStyle w:val="Normal"/>
      </w:pPr>
      <w:r>
        <w:t>2. Required reasons shall identify the operative legal basis, material facts, decisive evidence, methodology, principal alternatives considered where required, and the actual basis of decision. Voluminous supporting records do not substitute for a usable reasoned explanation.</w:t>
      </w:r>
    </w:p>
    <w:p>
      <w:pPr>
        <w:pStyle w:val="Normal"/>
      </w:pPr>
      <w:r>
        <w:t>3. Consultation shall not indefinitely toll adjudication. Once the applicable consultation period or agreed consultation milestones are exhausted, a Party may advance to the next treaty stage notwithstanding another Party's preference for additional meetings, studies, or consultations.</w:t>
      </w:r>
    </w:p>
    <w:p>
      <w:pPr>
        <w:pStyle w:val="Normal"/>
      </w:pPr>
      <w:r>
        <w:t>4. Treaty bodies may consolidate substantially related cases, require common-facts submissions, reject immaterial duplication, and use batch or representative adjudication where doing so preserves measure-specific findings and procedural fairness.</w:t>
      </w:r>
    </w:p>
    <w:p>
      <w:pPr>
        <w:pStyle w:val="Normal"/>
      </w:pPr>
      <w:r>
        <w:t>5. Failure to provide uniquely controlled material evidence after protected-access alternatives have been offered may support the limited adverse inference authorized by Article 46.14. Evidentiary volume alone shall never create such an inference.</w:t>
      </w:r>
    </w:p>
    <w:p>
      <w:pPr>
        <w:pStyle w:val="Heading2"/>
      </w:pPr>
      <w:bookmarkStart w:id="901775" w:name="_Toc300001774"/>
      <w:r>
        <w:t>Article 47.0E: Implementation Simplicity and Procedure Selection</w:t>
      </w:r>
      <w:bookmarkEnd w:id="901775"/>
    </w:p>
    <w:p>
      <w:pPr>
        <w:pStyle w:val="Normal"/>
      </w:pPr>
      <w:r>
        <w:t>1. Where two or more treaty procedures protect materially the same interest, the Secretariat, Cothrom, or other competent treaty body shall use the least procedurally burdensome route that preserves all applicable substantive rights, evidentiary safeguards, confidentiality protections, and available remedies.</w:t>
      </w:r>
    </w:p>
    <w:p>
      <w:pPr>
        <w:pStyle w:val="Normal"/>
      </w:pPr>
      <w:r>
        <w:t>2. A claimant shall not be required to litigate materially identical factual questions repeatedly solely because the same course of conduct implicates multiple treaty provisions. The decision shall nevertheless identify each legal obligation actually applied.</w:t>
      </w:r>
    </w:p>
    <w:p>
      <w:pPr>
        <w:pStyle w:val="Normal"/>
      </w:pPr>
      <w:r>
        <w:t>3. Nothing in this Article permits a treaty body to waive a non-derogable safeguard, lower an expressly specified burden of proof, bypass a tax-convention referral required by Article 32.3, or alter a Party's substantive obligation without consent.</w:t>
      </w:r>
    </w:p>
    <w:p>
      <w:pPr>
        <w:pStyle w:val="Normal"/>
      </w:pPr>
      <w:r>
        <w:t>4. The Secretariat shall maintain an internal procedural map and public plain-language routing guide. Such guides are administrative aids and do not amend this Agreement.</w:t>
      </w:r>
    </w:p>
    <w:p>
      <w:pPr>
        <w:pStyle w:val="Heading2"/>
      </w:pPr>
      <w:bookmarkStart w:id="901776" w:name="_Toc300001775"/>
      <w:r>
        <w:t>Article 47.1: Differential Routing</w:t>
      </w:r>
      <w:bookmarkEnd w:id="901776"/>
    </w:p>
    <w:p>
      <w:pPr>
        <w:pStyle w:val="Normal"/>
      </w:pPr>
      <w:r>
        <w:t>1. Implementation and dispute matters may be routed by scale for administrative handling: routine operational matters use the Fast Operational Track; structural policy disputes use the Standard Structural Track; constitutional, sovereignty, or treaty-architecture disputes use the High-Sensitivity Track. These labels do not create separate tribunals, alter Chapter 31 jurisdiction, or change an otherwise applicable burden of proof, remedy, or mandatory procedural safeguard.</w:t>
      </w:r>
    </w:p>
    <w:p>
      <w:pPr>
        <w:pStyle w:val="Normal"/>
      </w:pPr>
      <w:r>
        <w:t>2. Each track shall use procedure proportionate to the issue. A clerical customs error shall not require the evidentiary architecture appropriate to an essential-security dispute.</w:t>
      </w:r>
    </w:p>
    <w:p>
      <w:pPr>
        <w:pStyle w:val="Heading2"/>
      </w:pPr>
      <w:bookmarkStart w:id="901777" w:name="_Toc300001776"/>
      <w:r>
        <w:t>Article 47.2: Lateral Transfer</w:t>
      </w:r>
      <w:bookmarkEnd w:id="901777"/>
    </w:p>
    <w:p>
      <w:pPr>
        <w:pStyle w:val="Normal"/>
      </w:pPr>
      <w:r>
        <w:t>1. A matter that is stalled, misclassified, or better suited to another competent treaty body may transfer laterally without dismissal or refiling. The full record, deadlines already elapsed, and interim protections travel with the matter.</w:t>
      </w:r>
    </w:p>
    <w:p>
      <w:pPr>
        <w:pStyle w:val="Normal"/>
      </w:pPr>
      <w:r>
        <w:t>2. Lateral transfer does not increase the remedy available or restart a clock unless necessary to protect due process. Elapsed time shall be credited against a substantially equivalent receiving-stage deadline. If direct credit would leave the receiving body with an expired deadline or less than the minimum time reasonably necessary to provide notice, receive required submissions, and decide the matter fairly, the receiving body may allow only that additional minimum period and shall state the adjusted deadline and reasons in writing. A transfer shall not be used to obtain a longer period that the transferring body could not itself have granted.</w:t>
      </w:r>
    </w:p>
    <w:p>
      <w:pPr>
        <w:pStyle w:val="Heading2"/>
      </w:pPr>
      <w:bookmarkStart w:id="901778" w:name="_Toc300001777"/>
      <w:r>
        <w:t>Article 47.3: Treaty Reliance Archive</w:t>
      </w:r>
      <w:bookmarkEnd w:id="901778"/>
    </w:p>
    <w:p>
      <w:pPr>
        <w:pStyle w:val="Normal"/>
      </w:pPr>
      <w:r>
        <w:t>1. The Secretariat shall maintain a Treaty Reliance Archive recording final panel determinations, recognized certifications, trusted-trader approvals, mutual-recognition determinations, completed implementation milestones, and other verified reliance interests designated by the Commission.</w:t>
      </w:r>
    </w:p>
    <w:p>
      <w:pPr>
        <w:pStyle w:val="Normal"/>
      </w:pPr>
      <w:r>
        <w:t>2. A later unrelated dispute does not erase an archived reliance interest. An archived status may be changed only under the treaty provision governing that status and on the facts relevant to that status.</w:t>
      </w:r>
    </w:p>
    <w:p>
      <w:pPr>
        <w:pStyle w:val="Heading2"/>
      </w:pPr>
      <w:bookmarkStart w:id="901779" w:name="_Toc300001778"/>
      <w:r>
        <w:t>Article 47.4: Economic Safe Mode</w:t>
      </w:r>
      <w:bookmarkEnd w:id="901779"/>
    </w:p>
    <w:p>
      <w:pPr>
        <w:pStyle w:val="Normal"/>
      </w:pPr>
      <w:r>
        <w:t>1. During a severe political, constitutional, cyber, public-health, military, or infrastructure crisis that materially impairs ordinary treaty administration, the Commission may by consensus activate Economic Safe Mode for up to 90 days, renewable once. If the Commission itself cannot act because of the disruption, only continuity measures already authorized by this Agreement or the Operational Manual may operate until Commission action becomes possible.</w:t>
      </w:r>
    </w:p>
    <w:p>
      <w:pPr>
        <w:pStyle w:val="Normal"/>
      </w:pPr>
      <w:r>
        <w:t>2. Safe Mode pauses new discretionary liberalization deadlines that cannot reasonably be performed, but preserves existing tariff preferences, humanitarian and essential goods treatment, ordinary customs communication, food-safety and emergency coordination, existing panel records, archived rights, and technical verification to the maximum extent practicable.</w:t>
      </w:r>
    </w:p>
    <w:p>
      <w:pPr>
        <w:pStyle w:val="Normal"/>
      </w:pPr>
      <w:r>
        <w:t>3. Safe Mode does not legalize a new tariff or discriminatory border measure. Measures independently justified by an express emergency provision remain subject to that provision.</w:t>
      </w:r>
    </w:p>
    <w:p>
      <w:pPr>
        <w:pStyle w:val="Heading2"/>
      </w:pPr>
      <w:bookmarkStart w:id="901780" w:name="_Toc300001779"/>
      <w:r>
        <w:t>Article 47.5: Good-Faith Pause</w:t>
      </w:r>
      <w:bookmarkEnd w:id="901780"/>
    </w:p>
    <w:p>
      <w:pPr>
        <w:pStyle w:val="Normal"/>
      </w:pPr>
      <w:r>
        <w:t>1. A Party facing a demonstrable obstacle beyond its reasonable control may request a time-limited Good-Faith Pause for a particular implementation obligation or remediation deadline.</w:t>
      </w:r>
    </w:p>
    <w:p>
      <w:pPr>
        <w:pStyle w:val="Normal"/>
      </w:pPr>
      <w:r>
        <w:t>2. The request shall identify the obstacle, efforts already taken, a credible remediation plan, and the minimum additional time needed. A pause does not erase prior progress or reset a dispute clock; it suspends only the affected deadline.</w:t>
      </w:r>
    </w:p>
    <w:p>
      <w:pPr>
        <w:pStyle w:val="Normal"/>
      </w:pPr>
      <w:r>
        <w:t>3. A Good-Faith Pause is unavailable for deliberate noncompliance, political bargaining, or a failure to allocate ordinary administrative resources.</w:t>
      </w:r>
    </w:p>
    <w:p>
      <w:pPr>
        <w:pStyle w:val="Heading2"/>
      </w:pPr>
      <w:bookmarkStart w:id="901781" w:name="_Toc300001780"/>
      <w:r>
        <w:t>Article 47.6: Scenario Repository and Pre-Negotiated Playbooks</w:t>
      </w:r>
      <w:bookmarkEnd w:id="901781"/>
    </w:p>
    <w:p>
      <w:pPr>
        <w:pStyle w:val="Normal"/>
      </w:pPr>
      <w:r>
        <w:t>1. The Secretariat shall maintain a confidential-to-government Scenario Repository covering foreseeable operational failure modes, including border IT outage, cyberattack, pandemic restrictions, major port or bridge closure, customs staffing disruption, commodity shortage, mass origin fraud, registry failure, and simultaneous multi-sector disputes.</w:t>
      </w:r>
    </w:p>
    <w:p>
      <w:pPr>
        <w:pStyle w:val="Normal"/>
      </w:pPr>
      <w:r>
        <w:t>2. For each scenario, the responsible bodies shall maintain a pre-negotiated continuity playbook identifying authority, communications, alternative evidence, temporary service levels, SME procedures, and restoration steps.</w:t>
      </w:r>
    </w:p>
    <w:p>
      <w:pPr>
        <w:pStyle w:val="Heading2"/>
      </w:pPr>
      <w:bookmarkStart w:id="901782" w:name="_Toc300001781"/>
      <w:r>
        <w:t>Article 47.7: Pilot Mechanism</w:t>
      </w:r>
      <w:bookmarkEnd w:id="901782"/>
    </w:p>
    <w:p>
      <w:pPr>
        <w:pStyle w:val="Normal"/>
      </w:pPr>
      <w:r>
        <w:t>1. A materially new customs, traceability, registry, verification, artificial-intelligence, or facilitation procedure should, where practicable, operate as a limited pilot before becoming a mandatory continent-wide process.</w:t>
      </w:r>
    </w:p>
    <w:p>
      <w:pPr>
        <w:pStyle w:val="Normal"/>
      </w:pPr>
      <w:r>
        <w:t>2. A pilot shall define scope, duration, success metrics, privacy and security controls, burden limits, an independent evaluation, and a rollback path. Failure of a pilot does not reduce existing treaty rights.</w:t>
      </w:r>
    </w:p>
    <w:p>
      <w:pPr>
        <w:pStyle w:val="Heading2"/>
      </w:pPr>
      <w:bookmarkStart w:id="901783" w:name="_Toc300001782"/>
      <w:r>
        <w:t>Article 47.8: Dormancy and Reactivation</w:t>
      </w:r>
      <w:bookmarkEnd w:id="901783"/>
    </w:p>
    <w:p>
      <w:pPr>
        <w:pStyle w:val="Normal"/>
      </w:pPr>
      <w:r>
        <w:t>1. A voluntary or supplemental treaty program may enter Dormant Status instead of being abolished when funding, political support, or participation falls temporarily below operational levels.</w:t>
      </w:r>
    </w:p>
    <w:p>
      <w:pPr>
        <w:pStyle w:val="Normal"/>
      </w:pPr>
      <w:r>
        <w:t>2. During dormancy, the program preserves its legal instruments, records, technical standards, minimum contact point, and reactivation procedure. Dormancy does not suspend unrelated obligations.</w:t>
      </w:r>
    </w:p>
    <w:p>
      <w:pPr>
        <w:pStyle w:val="Normal"/>
      </w:pPr>
      <w:r>
        <w:t>3. Reactivation shall use the shortest practicable procedure and shall not require rebuilding institutions or records that remain valid.</w:t>
      </w:r>
    </w:p>
    <w:p>
      <w:pPr>
        <w:pStyle w:val="Heading2"/>
      </w:pPr>
      <w:bookmarkStart w:id="901784" w:name="_Toc300001783"/>
      <w:r>
        <w:t>Article 47.9: Personnel and Knowledge Continuity</w:t>
      </w:r>
      <w:bookmarkEnd w:id="901784"/>
    </w:p>
    <w:p>
      <w:pPr>
        <w:pStyle w:val="Normal"/>
      </w:pPr>
      <w:r>
        <w:t>1. Every standing treaty body shall designate alternates for essential roles and maintain current continuity documentation sufficient for a qualified replacement to assume duties without material interruption.</w:t>
      </w:r>
    </w:p>
    <w:p>
      <w:pPr>
        <w:pStyle w:val="Normal"/>
      </w:pPr>
      <w:r>
        <w:t>2. The Secretariat shall maintain minimum continuity staffing and distributed backups for critical records, cryptographic keys, contact lists, rosters, and continuity procedures.</w:t>
      </w:r>
    </w:p>
    <w:p>
      <w:pPr>
        <w:pStyle w:val="Heading2"/>
      </w:pPr>
      <w:bookmarkStart w:id="901785" w:name="_Toc300001784"/>
      <w:r>
        <w:t>Article 47.10: Administrative Burden Audit</w:t>
      </w:r>
      <w:bookmarkEnd w:id="901785"/>
    </w:p>
    <w:p>
      <w:pPr>
        <w:pStyle w:val="Normal"/>
      </w:pPr>
      <w:r>
        <w:t>1. Each year the Secretariat shall assess approval time, paperwork volume, number of approval layers, repeat review cycles, exception requests, SME compliance cost, and duplicative data demands for major treaty procedures.</w:t>
      </w:r>
    </w:p>
    <w:p>
      <w:pPr>
        <w:pStyle w:val="Normal"/>
      </w:pPr>
      <w:r>
        <w:t>2. Where a procedure shows persistent administrative growth without a corresponding risk or legal justification, the responsible body shall conduct a simplification review and publish corrective actions.</w:t>
      </w:r>
    </w:p>
    <w:p>
      <w:pPr>
        <w:pStyle w:val="Normal"/>
      </w:pPr>
      <w:r>
        <w:t>3. Simplification shall not weaken an express substantive standard, enforcement against fraud, health or safety protection, forced-labor controls, or due process.</w:t>
      </w:r>
    </w:p>
    <w:p>
      <w:pPr>
        <w:pStyle w:val="Normal"/>
      </w:pPr>
      <w:r>
        <w:t>4. Reporting Consolidation. In conducting the annual audit, the Secretariat shall identify recurring reports, dashboards, certifications, reviews, and data submissions that materially overlap in purpose or source data. The responsible bodies shall, where legally and technically practicable, use a common data submission, shared evidentiary record, synchronized reporting date, cross-reference, or consolidated publication rather than requiring substantially duplicative production. Consolidation shall preserve any distinct confidentiality, due-process, audit, statutory, or evidentiary requirement and shall not reduce the information reasonably necessary for a substantive treaty function. A body retaining a materially duplicative requirement should record the operational reason for doing so in the next administrative-burden audit.</w:t>
      </w:r>
    </w:p>
    <w:p>
      <w:pPr>
        <w:pStyle w:val="Heading2"/>
      </w:pPr>
      <w:bookmarkStart w:id="901786" w:name="_Toc300001785"/>
      <w:r>
        <w:t>Article 47.11: Routine, Standard, and Emergency Administrative Decisions</w:t>
      </w:r>
      <w:bookmarkEnd w:id="901786"/>
    </w:p>
    <w:p>
      <w:pPr>
        <w:pStyle w:val="Normal"/>
      </w:pPr>
      <w:r>
        <w:t>1. Routine administrative decisions may be delegated to designated officials under published authority and short clocks. Major interpretive or policy decisions remain with the competent committee or panel. Genuine emergency administrative decisions may use an expedited human override subject to prompt written reasons and post-action review.</w:t>
      </w:r>
    </w:p>
    <w:p>
      <w:pPr>
        <w:pStyle w:val="Heading2"/>
      </w:pPr>
      <w:bookmarkStart w:id="901787" w:name="_Toc300001786"/>
      <w:r>
        <w:t>Article 47.12: Treaty Resilience Exercises</w:t>
      </w:r>
      <w:bookmarkEnd w:id="901787"/>
    </w:p>
    <w:p>
      <w:pPr>
        <w:pStyle w:val="Normal"/>
      </w:pPr>
      <w:r>
        <w:t>1. At least once every two years, or on another interval agreed by the Commission where resources or security conditions warrant, the Parties shall conduct or coordinate a Treaty Resilience Exercise using existing authorities. Scenarios should include digital-system failure, border or logistics disruption, and legal or enforcement stress where practicable.</w:t>
      </w:r>
    </w:p>
    <w:p>
      <w:pPr>
        <w:pStyle w:val="Normal"/>
      </w:pPr>
      <w:r>
        <w:t>2. Red-team and blue-team participants shall test circumvention, cascade failure, administrative overload, evidence integrity, communications, and restoration. A lessons-learned report shall identify concrete hardening actions within 60 days.</w:t>
      </w:r>
    </w:p>
    <w:p>
      <w:pPr>
        <w:pStyle w:val="Normal"/>
      </w:pPr>
      <w:r>
        <w:t>3. Findings that would disclose exploitable customs, cybersecurity, or infrastructure vulnerabilities may remain confidential, but the Commission shall publish a non-sensitive implementation summary.</w:t>
      </w:r>
    </w:p>
    <w:p>
      <w:pPr>
        <w:pStyle w:val="Heading2"/>
      </w:pPr>
      <w:bookmarkStart w:id="901788" w:name="_Toc300001787"/>
      <w:r>
        <w:t>Article 47.13: Post-Crisis Reconstitution</w:t>
      </w:r>
      <w:bookmarkEnd w:id="901788"/>
    </w:p>
    <w:p>
      <w:pPr>
        <w:pStyle w:val="Normal"/>
      </w:pPr>
      <w:r>
        <w:t>1. After Safe Mode or a catastrophic interruption, the treaty shall return through a 30-60-90 day reconstitution cycle unless normal operations can resume sooner.</w:t>
      </w:r>
    </w:p>
    <w:p>
      <w:pPr>
        <w:pStyle w:val="Normal"/>
      </w:pPr>
      <w:r>
        <w:t>2. Days 0-30: assess institutional, border, registry, panel, and communications status; preserve records and archived rights; identify urgent repair.</w:t>
      </w:r>
    </w:p>
    <w:p>
      <w:pPr>
        <w:pStyle w:val="Normal"/>
      </w:pPr>
      <w:r>
        <w:t>3. Days 31-60: restore critical systems, replenish rosters, resolve queued urgent matters, and re-establish ordinary service levels.</w:t>
      </w:r>
    </w:p>
    <w:p>
      <w:pPr>
        <w:pStyle w:val="Normal"/>
      </w:pPr>
      <w:r>
        <w:t>4. Days 61-90: restore full operation, close temporary workarounds, audit continuity decisions, and update the Scenario Repository.</w:t>
      </w:r>
    </w:p>
    <w:p>
      <w:pPr>
        <w:pStyle w:val="Normal"/>
      </w:pPr>
      <w:r>
        <w:t>5. Reconstitution resumes from the legally preserved baseline. A crisis does not reset the Agreement to an earlier tariff schedule or erase a final determination.</w:t>
      </w:r>
    </w:p>
    <w:p>
      <w:pPr>
        <w:pStyle w:val="Heading1"/>
      </w:pPr>
      <w:bookmarkStart w:id="901789" w:name="_Toc300001788"/>
      <w:r>
        <w:t>PACKAGE K: NORTH AMERICAN MARKET-ACCESS AND ECONOMIC-SECURITY INCENTIVES</w:t>
      </w:r>
      <w:bookmarkEnd w:id="901789"/>
    </w:p>
    <w:p>
      <w:pPr>
        <w:pStyle w:val="Normal"/>
      </w:pPr>
      <w:r>
        <w:t>Chapter 36, Articles 36.11–36.28: Added a reciprocal “stronger bargain” package: rapid anti-circumvention verification; voluntary enhanced North American content incentives; automotive and advanced-component investment facilitation; steel/aluminum security; strategic dependency reduction; forced-labor perimeter safeguards; entity-specific origin-fraud discipline; agricultural market-access assurance; energy security; semiconductor and advanced-manufacturing cooperation; an SME export fast lane; regulatory and digital non-discrimination review; a trade-balance diagnostic that does not make deficits actionable; voluntary subnational market-access schedules including beverage alcohol; an optional provincial-demand TRQ allocation mechanism within existing aggregate commitments; voluntary trusted-supplier procurement reciprocity; and evidence-based review of the strengthened bargain at future Article 34.7 reviews. These provisions are deliberately reciprocal and do not confer unilateral tariff, sourcing, investment-location, or subnational-control powers.</w:t>
      </w:r>
    </w:p>
    <w:p>
      <w:pPr>
        <w:pStyle w:val="Normal"/>
      </w:pPr>
      <w:r>
        <w:t>PACKAGE M: ECONOMIC REBALANCING, INVESTMENT, AND TRUSTED MATERIALS ACCESS (v3.0). Reframes the instrument as the North American Economic Security and Trade Modernization Agreement while preserving its legal function as a modernization protocol to CUSMA; expands the trade-balance diagnostic into a voluntary opportunity-based rebalancing and investment mechanism without making deficits actionable or creating purchase mandates; adds a voluntary U.S. Manufacturing Accelerator with reciprocal Canadian and Mexican equivalents; and establishes a neutral Trusted Strategic Materials Source framework allowing each Party to secure specialized advanced-manufacturing metals and alloys from reliable non-Parties where North American supply is insufficient in quantity, grade, certification, form, or delivery time. The framework expressly preserves Chapter 4 origin accounting and lawful trade remedies, prevents trusted non-Party sourcing from being treated as circumvention merely because the material is foreign, and creates objective shortage-list and conformity-recognition procedures, including eligibility for Sweden and other qualifying partners on neutral criteria.</w:t>
      </w:r>
    </w:p>
    <w:p>
      <w:pPr>
        <w:pStyle w:val="Normal"/>
      </w:pPr>
      <w:r>
        <w:t>PACKAGE N: ORIGINAL CUSMA BASELINE RESTORATION (v3.2). A source-by-source audit against the uploaded original CUSMA package confirmed that the principal Chapter 1–34 article sequence survived the initial consolidation, but several legally significant instruments did not. This package restores the controlling 2019 Protocol of Amendment in full, including Annexes 31-A and 31-B; preserves the integral Canada–United States energy, water-resources, and 2004 research-and-development understandings; reproduces the Agreement on Environmental Cooperation for operational completeness; preserves the Uniform Regulations by reference and requires a compatibility schedule; and expressly prevents superseded Section 232 letters or spent historical deadlines from being accidentally revived. A supremacy rule makes the 2019 amendment text controlling wherever a legacy paragraph in the consolidated draft still reflects pre-2019 wording.</w:t>
      </w:r>
    </w:p>
    <w:p>
      <w:pPr>
        <w:pStyle w:val="Normal"/>
      </w:pPr>
      <w:r>
        <w:t>PACKAGE O: ADMINISTRATIVE CONTINUITY, PRACTICAL ENFORCEMENT, AND LEGITIMACY (v3.3). Implements a 'no right depends on administrative perfection' architecture through Annex 34-H; creates default institutions, standards, forms, roster continuity, non-cooperation rules, technical-system fallbacks, and an administrative-delay register; adds a Single SME Compliance Gateway and good-faith documentary safe harbor; prevents labor and environmental verification from being slow-walked and expressly preserves the faster Rapid Response Labor Mechanisms; adds a rule-bound neutral panel-selection process and conflict challenge; creates a Regulatory Safe Harbor to protect bona fide public-interest regulation; establishes a 15-day Minimum Viable Enforcement Track for facial violations; adds WTO-compatibility safeguards for PTAs and external measures; and makes TNAO, critical-mineral traceability, and the Shared Trade Data Registry risk-tiered, technologically neutral, and non-essential to ordinary CUSMA rights.</w:t>
      </w:r>
    </w:p>
    <w:p>
      <w:pPr>
        <w:pStyle w:val="Normal"/>
      </w:pPr>
      <w:r>
        <w:t>PACKAGE P: TARIFF FINALITY, ALTERNATIVE ENFORCEMENT, SECTORAL STABILITY, AND REGULATORY SOVEREIGNTY (v3.4). Makes preferential tariffs permanent economic infrastructure subject only to express treaty exceptions and establishes tariffs as a remedy of last resort; reorders the Chapter 35 response ladder to prioritize cure, verification, compliance security, treaty-created incentive consequences, remediation investment, and compensation before a PTA; creates a remediation-investment mechanism with proportionality and no-double-recovery rules; adds Chapter 41 protecting reciprocal domestic regulatory space for climate, energy, health, science, AI, privacy, cybersecurity, government data, water, forestry, Arctic resources, Indigenous obligations, immigration, culture, and infrastructure while preserving anti-discrimination disciplines; adds Chapter 42 creating a softwood-lumber stability architecture based on stumpage transparency, commercially defensible comparability, six-month adjudication, provisional-duty review, refunds with interest, sustainable-forestry facilitation, and modernization assistance without guaranteed prices or purchase volumes; adds Chapter 43 providing transparent agricultural access, staged dairy-input options, agricultural competitive-neutrality review, support non-escalation, an innovation initiative, reciprocal procurement safeguards, and equal data access without abolishing Canadian supply management; and adds Chapter 44 establishing a neutral Trade Facilitation Index, trusted-trader mutual recognition, equal customs-data access, skilled-mobility service standards, trusted-traveler expansion, infrastructure co-investment, beneficial-ownership cooperation, and reciprocal trade-lobbying transparency.</w:t>
      </w:r>
    </w:p>
    <w:p>
      <w:pPr>
        <w:pStyle w:val="Normal"/>
      </w:pPr>
      <w:r>
        <w:t>PACKAGE Q: INSTITUTIONAL DIVERSITY, COTHROM VERIFICATION, AND SYSTEM RESILIENCE (v3.5). Adds the Institutional Diversity Principle and a Mexican accommodation chapter protecting distinct constitutional, state-enterprise, ejido, rural-development, water-treaty, mining, remittance, traditional-knowledge, and border-SME arrangements without immunizing discrimination or prohibited conduct; adapts the Cothrom Verification Method into a reciprocal trade-verification architecture with data symmetry, a golden record, anomaly severity filtering, precise claims and objections, partial confirmation, a standing neutral expert pool, technical second opinions, human-in-the-loop review, cooling-off, attribution discipline, and non-black-box performance metrics; creates a Technical Truth Escalation Chain and strengthens universal earn-back in Chapter 35; and adds a treaty-resilience chapter providing differential routing, lateral transfer, a Treaty Reliance Archive, Economic Safe Mode, Good-Faith Pause, a Scenario Repository, pilots, dormancy/reactivation, personnel continuity, administrative-burden audits, tiered administrative decision tracks, biennial resilience exercises, and a 30-60-90 post-crisis reconstitution protocol.</w:t>
      </w:r>
    </w:p>
    <w:p>
      <w:pPr>
        <w:pStyle w:val="Heading2"/>
      </w:pPr>
      <w:bookmarkStart w:id="901790" w:name="_Toc300001789"/>
      <w:r>
        <w:t>Article 47.14: Protected Core Functions and Minimum Institutional Continuity Fund</w:t>
      </w:r>
      <w:bookmarkEnd w:id="901790"/>
    </w:p>
    <w:p>
      <w:pPr>
        <w:pStyle w:val="Normal"/>
      </w:pPr>
      <w:r>
        <w:t>1. The Parties shall maintain a formula-based minimum budget for adjudication, verification, integrity review, Treaty Registry publication, secure records, random selection, cybersecurity, translation necessary for legal equality, and continuity operations.</w:t>
      </w:r>
    </w:p>
    <w:p>
      <w:pPr>
        <w:pStyle w:val="Normal"/>
      </w:pPr>
      <w:r>
        <w:t>2. Protected core functions may not be selectively defunded through line-item withholding by a Party. Optional programs remain subject to ordinary budget decisions.</w:t>
      </w:r>
    </w:p>
    <w:p>
      <w:pPr>
        <w:pStyle w:val="Normal"/>
      </w:pPr>
      <w:r>
        <w:t>3. A Continuity Reserve sufficient for at least 12 months of protected core operations shall be maintained within agreed ceilings. A delinquent contribution becomes an accrued obligation and does not authorize the delinquent Party to disable operations.</w:t>
      </w:r>
    </w:p>
    <w:p>
      <w:pPr>
        <w:pStyle w:val="Normal"/>
      </w:pPr>
      <w:r>
        <w:t>4. The Reserve creates no authority for unlimited borrowing or unapproved substantive programs.</w:t>
      </w:r>
    </w:p>
    <w:p>
      <w:pPr>
        <w:pStyle w:val="Heading2"/>
      </w:pPr>
      <w:bookmarkStart w:id="901791" w:name="_Toc300001790"/>
      <w:r>
        <w:t>Article 47.15: Secretariat Integrity, Distributed Custody, and Operational Auditability</w:t>
      </w:r>
      <w:bookmarkEnd w:id="901791"/>
    </w:p>
    <w:p>
      <w:pPr>
        <w:pStyle w:val="Normal"/>
      </w:pPr>
      <w:r>
        <w:t>1. Sensitive Secretariat operations shall use role-based access, dual control where appropriate, tamper-evident docket histories, authenticated timestamps, auditable random-selection records, separation of duties, and periodic independent integrity testing.</w:t>
      </w:r>
    </w:p>
    <w:p>
      <w:pPr>
        <w:pStyle w:val="Normal"/>
      </w:pPr>
      <w:r>
        <w:t>2. Critical treaty records shall be maintained with redundant authenticated custody sufficient to survive corruption, cyberattack, natural disaster, national outage, or loss of a single repository.</w:t>
      </w:r>
    </w:p>
    <w:p>
      <w:pPr>
        <w:pStyle w:val="Normal"/>
      </w:pPr>
      <w:r>
        <w:t>3. The Secretariat shall maintain confidential whistleblower and incident-reporting channels with anti-retaliation protection consistent with domestic law.</w:t>
      </w:r>
    </w:p>
    <w:p>
      <w:pPr>
        <w:pStyle w:val="Normal"/>
      </w:pPr>
      <w:r>
        <w:t>4. Material incidents affecting docket integrity, random selection, publication, confidentiality, or availability shall be disclosed to the Parties and the competent integrity body promptly, with public notice when disclosure would not compromise security or investigation.</w:t>
      </w:r>
    </w:p>
    <w:p>
      <w:pPr>
        <w:pStyle w:val="Heading2"/>
      </w:pPr>
      <w:bookmarkStart w:id="901792" w:name="_Toc300001791"/>
      <w:r>
        <w:t>Article 47.16: Institutional Safe Mode and No-Benefit-from-Outage Rule</w:t>
      </w:r>
      <w:bookmarkEnd w:id="901792"/>
    </w:p>
    <w:p>
      <w:pPr>
        <w:pStyle w:val="Normal"/>
      </w:pPr>
      <w:r>
        <w:t>1. If a primary treaty system becomes unavailable, authenticated backup dockets, alternate filing channels, redundant publication systems, and continuity rosters activate automatically under the pre-negotiated playbooks of Article 47.6.</w:t>
      </w:r>
    </w:p>
    <w:p>
      <w:pPr>
        <w:pStyle w:val="Normal"/>
      </w:pPr>
      <w:r>
        <w:t>2. Deadlines shall toll only to the extent necessary to prevent prejudice. Existing rights, preferences, legal status, and restoration rules continue during an outage.</w:t>
      </w:r>
    </w:p>
    <w:p>
      <w:pPr>
        <w:pStyle w:val="Normal"/>
      </w:pPr>
      <w:r>
        <w:t>3. No Party gains a substantive or procedural advantage because a common treaty system failed, was attacked, or was unavailable.</w:t>
      </w:r>
    </w:p>
    <w:p>
      <w:pPr>
        <w:pStyle w:val="Normal"/>
      </w:pPr>
      <w:r>
        <w:t>4. After restoration, the Secretariat shall publish an incident chronology and integrity certification subject to lawful confidentiality.</w:t>
      </w:r>
    </w:p>
    <w:p>
      <w:pPr>
        <w:pStyle w:val="Heading2"/>
      </w:pPr>
      <w:bookmarkStart w:id="901793" w:name="_Toc300001792"/>
      <w:r>
        <w:t>Article 47.17: Administrative Reliance, Government Error, and Data Portability</w:t>
      </w:r>
      <w:bookmarkEnd w:id="901793"/>
    </w:p>
    <w:p>
      <w:pPr>
        <w:pStyle w:val="Normal"/>
      </w:pPr>
      <w:r>
        <w:t>1. A trader or other covered person acting in reasonable good-faith reliance on authoritative published guidance, a valid advance ruling, or an authenticated government submission receipt shall not suffer retroactive adverse treatment solely because the authority later changes its interpretation or loses, migrates, or corrupts its own records.</w:t>
      </w:r>
    </w:p>
    <w:p>
      <w:pPr>
        <w:pStyle w:val="Normal"/>
      </w:pPr>
      <w:r>
        <w:t>2. Material interpretive changes shall be published, reasoned, and prospective where practicable, with a reasonable transition period unless immediate application is required by safety, fraud, security, or another compelling public interest.</w:t>
      </w:r>
    </w:p>
    <w:p>
      <w:pPr>
        <w:pStyle w:val="Normal"/>
      </w:pPr>
      <w:r>
        <w:t>3. Government system migration shall preserve or lawfully map previously submitted treaty records. Where the government cannot recover a record it acknowledged receiving, the submitter shall receive a reasonable opportunity to reconstruct the record without loss of treatment attributable solely to the government failure.</w:t>
      </w:r>
    </w:p>
    <w:p>
      <w:pPr>
        <w:pStyle w:val="Heading2"/>
      </w:pPr>
      <w:bookmarkStart w:id="901794" w:name="_Toc300001793"/>
      <w:r>
        <w:t>Article 47.18: Automated Administration Symmetry and Algorithmic Accountability</w:t>
      </w:r>
      <w:bookmarkEnd w:id="901794"/>
    </w:p>
    <w:p>
      <w:pPr>
        <w:pStyle w:val="Normal"/>
      </w:pPr>
      <w:r>
        <w:t>1. Where a Party uses automated or algorithmic systems to assign trade risk, generate high-volume compliance demands, prioritize inspections, or make materially consequential administrative recommendations, it shall maintain audit logs, periodic validation, meaningful human review, and a challenge mechanism proportionate to the consequence.</w:t>
      </w:r>
    </w:p>
    <w:p>
      <w:pPr>
        <w:pStyle w:val="Normal"/>
      </w:pPr>
      <w:r>
        <w:t>2. Automated systems shall be tested for unjustified Party-origin bias and for proxy variables that produce materially discriminatory treatment without a legitimate risk basis.</w:t>
      </w:r>
    </w:p>
    <w:p>
      <w:pPr>
        <w:pStyle w:val="Normal"/>
      </w:pPr>
      <w:r>
        <w:t>3. Where government automation materially increases the volume or speed of compliance demands, the authority shall provide proportionate machine-readable response channels, deduplication, consolidated requests, and human escalation so that automation does not create one-sided administrative burden.</w:t>
      </w:r>
    </w:p>
    <w:p>
      <w:pPr>
        <w:pStyle w:val="Normal"/>
      </w:pPr>
      <w:r>
        <w:t>4. This Article does not require public disclosure of source code, security-sensitive detection logic, or protected personal data. It requires sufficient explanation and independent testing to permit meaningful review.</w:t>
      </w:r>
    </w:p>
    <w:p>
      <w:pPr>
        <w:pStyle w:val="Heading1"/>
      </w:pPr>
      <w:bookmarkStart w:id="901795" w:name="_Toc300001794"/>
      <w:r>
        <w:t>CHAPTER 48</w:t>
      </w:r>
      <w:r>
        <w:br/>
      </w:r>
      <w:r>
        <w:t>REVIEW STABILITY, IMPLEMENTATION, AND COMPETITIVENESS</w:t>
      </w:r>
      <w:bookmarkEnd w:id="901795"/>
    </w:p>
    <w:p>
      <w:pPr>
        <w:pStyle w:val="Heading2"/>
      </w:pPr>
      <w:bookmarkStart w:id="901796" w:name="_Toc300001795"/>
      <w:r>
        <w:t>Article 48.1: Structured Joint Review Protocol</w:t>
      </w:r>
      <w:bookmarkEnd w:id="901796"/>
    </w:p>
    <w:p>
      <w:pPr>
        <w:pStyle w:val="Normal"/>
      </w:pPr>
      <w:r>
        <w:t>1. A periodic or annual review under Article 34.7 is a structured implementation and modernization process and does not, by itself, reopen every provision of this Agreement.</w:t>
      </w:r>
    </w:p>
    <w:p>
      <w:pPr>
        <w:pStyle w:val="Normal"/>
      </w:pPr>
      <w:r>
        <w:t>2. At least 120 days before a scheduled review, the Free Trade Commission shall publish or exchange, subject to lawful confidentiality, terms of reference identifying the issues proposed for decision, issues proposed for technical work, completed work-plan items, and matters carried forward from the previous review.</w:t>
      </w:r>
    </w:p>
    <w:p>
      <w:pPr>
        <w:pStyle w:val="Normal"/>
      </w:pPr>
      <w:r>
        <w:t>3. A Party may raise a new urgent matter after the terms of reference are established, but shall identify the treaty provision or implementation problem involved and explain why deferral would cause material prejudice.</w:t>
      </w:r>
    </w:p>
    <w:p>
      <w:pPr>
        <w:pStyle w:val="Heading2"/>
      </w:pPr>
      <w:bookmarkStart w:id="901797" w:name="_Toc300001796"/>
      <w:r>
        <w:t>Article 48.2: Multi-Year Joint Work Plans</w:t>
      </w:r>
      <w:bookmarkEnd w:id="901797"/>
    </w:p>
    <w:p>
      <w:pPr>
        <w:pStyle w:val="Normal"/>
      </w:pPr>
      <w:r>
        <w:t>1. The Commission may adopt rolling two-to-five-year joint work plans for technical matters that benefit from continuity, including customs modernization, SME simplification, digital interoperability, supply-chain resilience, labor and environmental cooperation, and sectoral rules-of-origin modernization.</w:t>
      </w:r>
    </w:p>
    <w:p>
      <w:pPr>
        <w:pStyle w:val="Normal"/>
      </w:pPr>
      <w:r>
        <w:t>2. A work plan survives an intervening review unless amended by the Commission. Continuation of technical work does not predetermine a future substantive amendment.</w:t>
      </w:r>
    </w:p>
    <w:p>
      <w:pPr>
        <w:pStyle w:val="Heading2"/>
      </w:pPr>
      <w:bookmarkStart w:id="901798" w:name="_Toc300001797"/>
      <w:r>
        <w:t>Article 48.3: Review Predictability and Investment Reliance</w:t>
      </w:r>
      <w:bookmarkEnd w:id="901798"/>
    </w:p>
    <w:p>
      <w:pPr>
        <w:pStyle w:val="Normal"/>
      </w:pPr>
      <w:r>
        <w:t>1. A review that produces no amendment, recommendation, or agreed modernization outcome does not alter existing tariff preferences, certifications, final rulings, accrued treaty treatment, or the continuing force of this Agreement.</w:t>
      </w:r>
    </w:p>
    <w:p>
      <w:pPr>
        <w:pStyle w:val="Normal"/>
      </w:pPr>
      <w:r>
        <w:t>2. Where supplemental, annual, or issue-specific implementation reviews occur, each review shall identify the specific unresolved issues requiring continued work. Silence concerning an unrelated chapter does not suspend, reopen, or condition that chapter.</w:t>
      </w:r>
    </w:p>
    <w:p>
      <w:pPr>
        <w:pStyle w:val="Heading2"/>
      </w:pPr>
      <w:bookmarkStart w:id="901799" w:name="_Toc300001798"/>
      <w:r>
        <w:t>Article 48.4: North American Competitiveness Advisory Forum</w:t>
      </w:r>
      <w:bookmarkEnd w:id="901799"/>
    </w:p>
    <w:p>
      <w:pPr>
        <w:pStyle w:val="Normal"/>
      </w:pPr>
      <w:r>
        <w:t>1. The Commission may convene a North American Competitiveness Advisory Forum, using existing consultation authorities, with balanced participation from business, labor, SMEs, agriculture, Indigenous economic organizations, consumers, technical experts, and other relevant civil society. The Forum may be convened periodically or for a defined review and is not a separately staffed permanent treaty body.</w:t>
      </w:r>
    </w:p>
    <w:p>
      <w:pPr>
        <w:pStyle w:val="Normal"/>
      </w:pPr>
      <w:r>
        <w:t>2. The Forum may issue non-binding implementation reports, identify avoidable compliance burdens, and recommend modernization priorities. It has no authority to amend this Agreement, decide disputes, direct a Party's domestic policy, or create an entitlement to appointment or funding.</w:t>
      </w:r>
    </w:p>
    <w:p>
      <w:pPr>
        <w:pStyle w:val="Heading2"/>
      </w:pPr>
      <w:bookmarkStart w:id="901800" w:name="_Toc300001799"/>
      <w:r>
        <w:t>Article 48.5: Review-Process Disputes</w:t>
      </w:r>
      <w:bookmarkEnd w:id="901800"/>
    </w:p>
    <w:p>
      <w:pPr>
        <w:pStyle w:val="Normal"/>
      </w:pPr>
      <w:r>
        <w:t>1. A dispute concerning the procedure, legal effect, or timing of an Article 34.7 review is eligible for expedited Chapter 31 consideration. The panel may clarify the review obligation but may not compel a Party to agree to a substantive amendment, modernization recommendation, or other negotiated outcome.</w:t>
      </w:r>
    </w:p>
    <w:p>
      <w:pPr>
        <w:pStyle w:val="Heading2"/>
      </w:pPr>
      <w:bookmarkStart w:id="901801" w:name="_Toc300001800"/>
      <w:r>
        <w:t>Article 48.6: Trilateral Continuity, Mexico Parity, and Investment Reliance</w:t>
      </w:r>
      <w:bookmarkEnd w:id="901801"/>
    </w:p>
    <w:p>
      <w:pPr>
        <w:pStyle w:val="Normal"/>
      </w:pPr>
      <w:r>
        <w:t>1. The continuous-duration architecture in Article 34.7 applies equally to Canada, Mexico, and the United States. A modernization review shall not be administered as a de facto annual renewal test for one Party, one sector, or one bilateral relationship while equivalent originating commerce of another Party remains insulated from comparable uncertainty.</w:t>
      </w:r>
    </w:p>
    <w:p>
      <w:pPr>
        <w:pStyle w:val="Normal"/>
      </w:pPr>
      <w:r>
        <w:t>2. Where a review identifies unresolved bilateral issues, those issues shall be listed and worked through the applicable bilateral or sectoral lane without creating a presumption that unrelated Mexican, Canadian, or United States originating trade loses treaty continuity.</w:t>
      </w:r>
    </w:p>
    <w:p>
      <w:pPr>
        <w:pStyle w:val="Normal"/>
      </w:pPr>
      <w:r>
        <w:t>3. The Commission shall consider reliance interests created by long-lived North American investments, including automotive, semiconductor, aerospace, energy, critical-mineral, logistics, agricultural, and advanced-manufacturing facilities, when sequencing modernization measures.</w:t>
      </w:r>
    </w:p>
    <w:p>
      <w:pPr>
        <w:pStyle w:val="Normal"/>
      </w:pPr>
      <w:r>
        <w:t>4. For greater certainty, this Article reinforces the continuous-duration replacement of the former 16-year sunset mechanism; it does not restore a periodic termination cliff.</w:t>
      </w:r>
    </w:p>
    <w:p>
      <w:pPr>
        <w:pStyle w:val="Heading1"/>
      </w:pPr>
      <w:bookmarkStart w:id="901802" w:name="_Toc300001801"/>
      <w:r>
        <w:t>CHAPTER 49</w:t>
      </w:r>
      <w:r>
        <w:br/>
      </w:r>
      <w:r>
        <w:t>SECTORAL MARKET ACCESS AND IMPLEMENTATION SAFEGUARDS</w:t>
      </w:r>
      <w:bookmarkEnd w:id="901802"/>
    </w:p>
    <w:p>
      <w:pPr>
        <w:pStyle w:val="Heading2"/>
      </w:pPr>
      <w:bookmarkStart w:id="901803" w:name="_Toc300001802"/>
      <w:r>
        <w:t>Article 49.1: Originating Distilled Spirits, Zero Customs Duty</w:t>
      </w:r>
      <w:bookmarkEnd w:id="901803"/>
    </w:p>
    <w:p>
      <w:pPr>
        <w:pStyle w:val="Normal"/>
      </w:pPr>
      <w:r>
        <w:t>1. Each Party shall apply a customs duty of zero to originating distilled spirits of another Party classified in the distilled-spirits tariff lines in that Party's Schedule to Annex 2-B that cover the products described in paragraph 3. No separate Article 49.1 notation in Annex 2-B is required for a tariff line that, by its terms, covers an originating distilled spirit described in paragraph 3.</w:t>
      </w:r>
    </w:p>
    <w:p>
      <w:pPr>
        <w:pStyle w:val="Normal"/>
      </w:pPr>
      <w:r>
        <w:t>2. Eligibility is determined exclusively under Chapter 4 and the applicable product-specific rules of origin. This Article creates no alternative origin test.</w:t>
      </w:r>
    </w:p>
    <w:p>
      <w:pPr>
        <w:pStyle w:val="Normal"/>
      </w:pPr>
      <w:r>
        <w:t>3. The products described in this paragraph are qualifying Bourbon Whiskey, Tennessee Whiskey, Canadian Whisky, Tequila, Mezcal, and other originating distilled spirits, without prejudice to distinctive-product protections.</w:t>
      </w:r>
    </w:p>
    <w:p>
      <w:pPr>
        <w:pStyle w:val="Normal"/>
      </w:pPr>
      <w:r>
        <w:t>4. Nothing in this Article limits non-discriminatory taxation, licensing, responsible-sale rules, minimum-age requirements, public-health measures, or lawful distribution systems.</w:t>
      </w:r>
    </w:p>
    <w:p>
      <w:pPr>
        <w:pStyle w:val="Heading2"/>
      </w:pPr>
      <w:bookmarkStart w:id="901804" w:name="_Toc300001803"/>
      <w:r>
        <w:t>Article 49.2: Alcohol Distribution Best-Practice Safe Harbor</w:t>
      </w:r>
      <w:bookmarkEnd w:id="901804"/>
    </w:p>
    <w:p>
      <w:pPr>
        <w:pStyle w:val="Normal"/>
      </w:pPr>
      <w:r>
        <w:t>1. A sub-federal alcohol authority receives a rebuttable presumption of compliance with the applicable national-treatment and market-access obligations where its listing, delisting, markup, warehousing, distribution, and retail-access rules are published, origin-neutral, objectively administered, and subject to review.</w:t>
      </w:r>
    </w:p>
    <w:p>
      <w:pPr>
        <w:pStyle w:val="Normal"/>
      </w:pPr>
      <w:r>
        <w:t>2. The Commission shall maintain non-binding best-practice guidelines and a joint review channel for recurring alcohol-distribution concerns. Adoption of the guidelines does not prevent review of evidence of actual discrimination.</w:t>
      </w:r>
    </w:p>
    <w:p>
      <w:pPr>
        <w:pStyle w:val="Heading2"/>
      </w:pPr>
      <w:bookmarkStart w:id="901805" w:name="_Toc300001804"/>
      <w:r>
        <w:t>Article 49.3: Dairy TRQ Transparency and Transition</w:t>
      </w:r>
      <w:bookmarkEnd w:id="901805"/>
    </w:p>
    <w:p>
      <w:pPr>
        <w:pStyle w:val="Normal"/>
      </w:pPr>
      <w:r>
        <w:t>1. A Party administering a dairy tariff-rate quota shall publish eligibility rules, allocation methodology, application windows, utilization data, reallocation procedures, and reasons for material allocation decisions, subject to legitimate confidentiality.</w:t>
      </w:r>
    </w:p>
    <w:p>
      <w:pPr>
        <w:pStyle w:val="Normal"/>
      </w:pPr>
      <w:r>
        <w:t>2. Materially revised TRQ administration shall be independently auditable. A structural change that materially alters commercial access should, where practicable, use a transition period proportionate to the adjustment required.</w:t>
      </w:r>
    </w:p>
    <w:p>
      <w:pPr>
        <w:pStyle w:val="Normal"/>
      </w:pPr>
      <w:r>
        <w:t>3. Nothing in this Article requires Canada to abolish supply management or prevents negotiated market-access commitments expressly set out in its Schedule.</w:t>
      </w:r>
    </w:p>
    <w:p>
      <w:pPr>
        <w:pStyle w:val="Heading2"/>
      </w:pPr>
      <w:bookmarkStart w:id="901806" w:name="_Toc300001805"/>
      <w:r>
        <w:t>Article 49.4: Automotive Rule Change Discipline</w:t>
      </w:r>
      <w:bookmarkEnd w:id="901806"/>
    </w:p>
    <w:p>
      <w:pPr>
        <w:pStyle w:val="Normal"/>
      </w:pPr>
      <w:r>
        <w:t>1. A material increase in automotive regional-value, labor-value, steel, aluminum, battery, mineral, or other content requirements shall include a published economic-impact assessment and a transition schedule sufficient to avoid unnecessary supply-chain disruption.</w:t>
      </w:r>
    </w:p>
    <w:p>
      <w:pPr>
        <w:pStyle w:val="Normal"/>
      </w:pPr>
      <w:r>
        <w:t>2. North American cumulation remains available as provided by Chapter 4. Workforce training, research, or technology investment does not constitute physical originating content unless an express, separately defined credit mechanism is adopted by all Parties.</w:t>
      </w:r>
    </w:p>
    <w:p>
      <w:pPr>
        <w:pStyle w:val="Normal"/>
      </w:pPr>
      <w:r>
        <w:t>3. The Automotive Committee shall maintain technology-neutral guidance for software, electronics, batteries, critical minerals, and other emerging vehicle systems and shall review whether separate metrics are preferable to forcing materially different technologies into legacy calculations.</w:t>
      </w:r>
    </w:p>
    <w:p>
      <w:pPr>
        <w:pStyle w:val="Heading2"/>
      </w:pPr>
      <w:bookmarkStart w:id="901807" w:name="_Toc300001806"/>
      <w:r>
        <w:t>Article 49.5: Originating Steel and Aluminum Security Presumption</w:t>
      </w:r>
      <w:bookmarkEnd w:id="901807"/>
    </w:p>
    <w:p>
      <w:pPr>
        <w:pStyle w:val="Normal"/>
      </w:pPr>
      <w:r>
        <w:t>1. Verified originating steel and aluminum of another Party is presumed not to constitute, solely by reason of importation from that Party, a threat to essential security warranting an additional customs duty.</w:t>
      </w:r>
    </w:p>
    <w:p>
      <w:pPr>
        <w:pStyle w:val="Normal"/>
      </w:pPr>
      <w:r>
        <w:t>2. A Party may rebut the presumption only with particularized evidence of a genuine essential-security risk, including material circumvention, strategic supply manipulation, or another threat meeting Article 32.A. Any additional duty is subject to immediate expedited review and the Chapter 35 proportionality disciplines.</w:t>
      </w:r>
    </w:p>
    <w:p>
      <w:pPr>
        <w:pStyle w:val="Normal"/>
      </w:pPr>
      <w:r>
        <w:t>3. A North American Steel and Aluminum Monitoring Committee shall share objective data on trade flows, capacity, circumvention, and non-market spillovers and seek a cooperative remedy before unilateral restriction where circumstances permit.</w:t>
      </w:r>
    </w:p>
    <w:p>
      <w:pPr>
        <w:pStyle w:val="Heading2"/>
      </w:pPr>
      <w:bookmarkStart w:id="901808" w:name="_Toc300001807"/>
      <w:r>
        <w:t>Article 49.6: Public Procurement and Sovereign Cloud</w:t>
      </w:r>
      <w:bookmarkEnd w:id="901808"/>
    </w:p>
    <w:p>
      <w:pPr>
        <w:pStyle w:val="Normal"/>
      </w:pPr>
      <w:r>
        <w:t>1. Procurement exceptions, domestic-preference programs, and security-based data-residency or sovereign-cloud requirements shall be administered under published criteria and shall not operate as disguised discrimination where the underlying public-policy objective can reasonably be achieved by less trade-restrictive means.</w:t>
      </w:r>
    </w:p>
    <w:p>
      <w:pPr>
        <w:pStyle w:val="Normal"/>
      </w:pPr>
      <w:r>
        <w:t>2. Nothing in this Article requires a Party to place classified, defense, law-enforcement, health, Indigenous, critical-infrastructure, or other genuinely sensitive government data outside protections it considers necessary, provided distinctions among suppliers are objectively connected to the identified risk.</w:t>
      </w:r>
    </w:p>
    <w:p>
      <w:pPr>
        <w:pStyle w:val="TrumpVisibilityHeadline"/>
      </w:pPr>
      <w:r>
        <w:t xml:space="preserve">★ </w:t>
      </w:r>
      <w:r>
        <w:t>VISIBLE U.S. WIN: RECIPROCAL ACCESS FOR U.S. SUPPLIERS TO STRATEGIC PROCUREMENT</w:t>
      </w:r>
    </w:p>
    <w:p>
      <w:pPr>
        <w:pStyle w:val="Heading2"/>
      </w:pPr>
      <w:bookmarkStart w:id="901809" w:name="_Toc300001808"/>
      <w:r>
        <w:t>Article 49.7: North American Strategic Procurement Reciprocity Framework</w:t>
      </w:r>
      <w:bookmarkEnd w:id="901809"/>
    </w:p>
    <w:p>
      <w:pPr>
        <w:pStyle w:val="Normal"/>
      </w:pPr>
      <w:r>
        <w:t>1. A Party may maintain lawful domestic-preference procurement programs, including Buy Canadian, Buy American, Mexican domestic-development, SME, Indigenous, security, resilience, or other public-policy programs, subject to this Agreement and its procurement commitments.</w:t>
      </w:r>
    </w:p>
    <w:p>
      <w:pPr>
        <w:pStyle w:val="Normal"/>
      </w:pPr>
      <w:r>
        <w:t>2. For covered procurements in sectors designated by the Parties, a procuring authority may establish a transparent North American preference lane under which qualifying originating suppliers or qualifying North American strategic chains receive treatment superior to ordinary non-Party suppliers while preserving any expressly authorized domestic preference.</w:t>
      </w:r>
    </w:p>
    <w:p>
      <w:pPr>
        <w:pStyle w:val="Normal"/>
      </w:pPr>
      <w:r>
        <w:t>3. Designated sectors may include infrastructure, construction materials, grid equipment, transportation, digital and cloud services, semiconductors, critical minerals and processed materials, forest products, emergency-response equipment, advanced manufacturing, and other sectors adopted through the applicable schedule.</w:t>
      </w:r>
    </w:p>
    <w:p>
      <w:pPr>
        <w:pStyle w:val="Normal"/>
      </w:pPr>
      <w:r>
        <w:t>4. Qualification shall rely on objective criteria such as origin, verified North American value, supply-chain resilience, security, interoperability, lifecycle support, SME participation, environmental or labour performance where lawfully relevant, and demonstrated capacity. It shall not require an arbitrary Party-specific content quota.</w:t>
      </w:r>
    </w:p>
    <w:p>
      <w:pPr>
        <w:pStyle w:val="Normal"/>
      </w:pPr>
      <w:r>
        <w:t>5. A Canadian, Mexican, or United States supplier shall not be excluded solely because it is owned in another Party where it otherwise satisfies the applicable covered-procurement, security, origin, and qualification requirements.</w:t>
      </w:r>
    </w:p>
    <w:p>
      <w:pPr>
        <w:pStyle w:val="Normal"/>
      </w:pPr>
      <w:r>
        <w:t>6. Classified procurement, uniquely sensitive national-security procurement, and procurement expressly excluded under applicable schedules remain subject to domestic law and negotiated exclusions. Chapter 65 supplements this Framework for project-specific reciprocal procurement opportunities and does not displace Articles 49.7 through 49.7I unless an operative provision expressly states otherwise. Where both Chapters apply, the applicable Chapter 49 Reciprocity Band and other access limitations remain controlling ceilings, and a Chapter 65 designated-opportunity ceiling may narrow but may not enlarge the access available under those limitations. Chapter 65 controls the project-specific certificate, verification grade, and designated-opportunity record, while the more restrictive applicable access limitation governs any direct conflict unless this Agreement expressly authorizes a different result.</w:t>
      </w:r>
    </w:p>
    <w:p>
      <w:pPr>
        <w:pStyle w:val="Heading2"/>
      </w:pPr>
      <w:bookmarkStart w:id="901810" w:name="_Toc300001809"/>
      <w:r>
        <w:t>Article 49.7A: Reciprocal Procurement Compact and Practical-Opportunity Principle</w:t>
      </w:r>
      <w:bookmarkEnd w:id="901810"/>
    </w:p>
    <w:p>
      <w:pPr>
        <w:pStyle w:val="Normal"/>
      </w:pPr>
      <w:r>
        <w:t>1. For covered procurement designated under Article 49.7 and Annex 49-A, reciprocity requires comparable practical opportunity to compete and does not require identical institutions, expenditures, procurement outcomes, policies, governmental structures, or nominal market size.</w:t>
      </w:r>
    </w:p>
    <w:p>
      <w:pPr>
        <w:pStyle w:val="Normal"/>
      </w:pPr>
      <w:r>
        <w:t>2. The Parties shall preserve lawful domestic procurement policy space while maintaining a North American preference lane whose value is assessed by effective access rather than by entity count, gross expenditure, or formal legal coverage alone.</w:t>
      </w:r>
    </w:p>
    <w:p>
      <w:pPr>
        <w:pStyle w:val="Normal"/>
      </w:pPr>
      <w:r>
        <w:t>3. This Article guarantees an equitable opportunity to compete. It does not guarantee any supplier, Party, sector, or class of suppliers a predetermined share of awards, sales, contracts, or government expenditure.</w:t>
      </w:r>
    </w:p>
    <w:p>
      <w:pPr>
        <w:pStyle w:val="Normal"/>
      </w:pPr>
      <w:r>
        <w:t>4. Procurement equivalence shall be calibrated proportionately to the contestable procurement capacity, constitutional structure, scheduled coverage, and practical accessibility of each Party. A difference in economic scale alone does not establish imbalance.</w:t>
      </w:r>
    </w:p>
    <w:p>
      <w:pPr>
        <w:pStyle w:val="Heading2"/>
      </w:pPr>
      <w:bookmarkStart w:id="901811" w:name="_Toc300001810"/>
      <w:r>
        <w:t>Article 49.7B: Effective Accessible Procurement Value and Value-Equivalence Test</w:t>
      </w:r>
      <w:bookmarkEnd w:id="901811"/>
    </w:p>
    <w:p>
      <w:pPr>
        <w:pStyle w:val="Normal"/>
      </w:pPr>
      <w:r>
        <w:t>1. The Parties shall assess reciprocal procurement contributions using Effective Accessible Procurement Value, or EAPV, under Annex 49-A. EAPV begins with contestable covered procurement value and adjusts for coverage, accessibility, threshold effects, domestic-preference intensity, sector breadth, practical usability, and other factors expressly identified in the Annex.</w:t>
      </w:r>
    </w:p>
    <w:p>
      <w:pPr>
        <w:pStyle w:val="Normal"/>
      </w:pPr>
      <w:r>
        <w:t>2. Gross procurement shall not be counted as accessible value where suppliers of another Party could not realistically compete because of a negotiated exclusion, genuine classified or security restriction, lawful Indigenous or tribal set-aside, legitimate SME reservation, justified sole-source requirement, pre-existing long-term commitment, statutory monopoly, or another objectively unavailable category.</w:t>
      </w:r>
    </w:p>
    <w:p>
      <w:pPr>
        <w:pStyle w:val="Normal"/>
      </w:pPr>
      <w:r>
        <w:t>3. EAPV shall distinguish nominal legal access from practical access. Relevant indicators include qualification burden, electronic bidding, bonding and insurance requirements, local-presence conditions, certification recognition, bid-challenge usability, payment timing, documentation burden, contract sizing, and other conditions materially affecting the ability of a qualifying supplier to submit and perform a competitive bid.</w:t>
      </w:r>
    </w:p>
    <w:p>
      <w:pPr>
        <w:pStyle w:val="Normal"/>
      </w:pPr>
      <w:r>
        <w:t>4. The methodology shall use transparent bands and ranges rather than false precision. Minor statistical variation, ordinary annual expenditure fluctuation, or differences in contract outcomes shall not establish non-equivalence.</w:t>
      </w:r>
    </w:p>
    <w:p>
      <w:pPr>
        <w:pStyle w:val="Heading2"/>
      </w:pPr>
      <w:bookmarkStart w:id="901812" w:name="_Toc300001811"/>
      <w:r>
        <w:t>Article 49.7C: Reciprocity Bands, Rebalancing, and Earn-Back</w:t>
      </w:r>
      <w:bookmarkEnd w:id="901812"/>
    </w:p>
    <w:p>
      <w:pPr>
        <w:pStyle w:val="Normal"/>
      </w:pPr>
      <w:r>
        <w:t>1. Annex 49-A shall classify each Party within negotiated Reciprocity Bands reflecting whether practical procurement access is substantially equivalent, subject to minor imbalance, materially imbalanced, persistently substantially imbalanced, or affected by deliberate closure or circumvention.</w:t>
      </w:r>
    </w:p>
    <w:p>
      <w:pPr>
        <w:pStyle w:val="Normal"/>
      </w:pPr>
      <w:r>
        <w:t>2. A Party outside the agreed equivalence corridor shall receive a reasonable opportunity to rebalance access through a menu of sovereign choices, including adding covered entities or sectors, lowering thresholds, reducing an applicable preference margin, simplifying qualification, improving SME access, recognizing additional credentials, adding voluntary subnational participation, or providing another objectively measurable access enhancement.</w:t>
      </w:r>
    </w:p>
    <w:p>
      <w:pPr>
        <w:pStyle w:val="Normal"/>
      </w:pPr>
      <w:r>
        <w:t>3. No Party shall be compelled to open a particular politically sensitive sector, abolish a lawful domestic preference, transfer constitutional authority, or guarantee a specified procurement expenditure where another compliant rebalancing method can restore substantial equivalence.</w:t>
      </w:r>
    </w:p>
    <w:p>
      <w:pPr>
        <w:pStyle w:val="Normal"/>
      </w:pPr>
      <w:r>
        <w:t>4. Any step-back in an enhanced North American procurement preference shall be targeted, proportionate, and automatically eligible for restoration upon verified cure. Ordinary baseline treaty rights shall not be withdrawn merely because an enhanced procurement contribution temporarily falls outside the equivalence corridor.</w:t>
      </w:r>
    </w:p>
    <w:p>
      <w:pPr>
        <w:pStyle w:val="Heading2"/>
      </w:pPr>
      <w:bookmarkStart w:id="901813" w:name="_Toc300001812"/>
      <w:r>
        <w:t>Article 49.7D: North American SME Procurement Passport and Opportunity Discovery</w:t>
      </w:r>
      <w:bookmarkEnd w:id="901813"/>
    </w:p>
    <w:p>
      <w:pPr>
        <w:pStyle w:val="Normal"/>
      </w:pPr>
      <w:r>
        <w:t>1. The Parties shall develop an interoperable North American SME Procurement Passport permitting a qualifying SME to maintain a reusable verified core profile for identity, beneficial ownership, tax and debarment status, relevant certifications, insurance or financial-capacity information, cybersecurity status where applicable, and basic origin information.</w:t>
      </w:r>
    </w:p>
    <w:p>
      <w:pPr>
        <w:pStyle w:val="Normal"/>
      </w:pPr>
      <w:r>
        <w:t>2. A procuring authority may require contract-specific information and may independently verify eligibility, but shall avoid requiring substantially duplicative foundational documentation without a reasonable procurement, legal, security, integrity, or risk basis.</w:t>
      </w:r>
    </w:p>
    <w:p>
      <w:pPr>
        <w:pStyle w:val="Normal"/>
      </w:pPr>
      <w:r>
        <w:t>3. Each Party shall expose standardized, machine-readable fields for scheduled North American-lane opportunities sufficient to support interoperable discovery across the Parties while retaining each Party’s own procurement platforms and award authority.</w:t>
      </w:r>
    </w:p>
    <w:p>
      <w:pPr>
        <w:pStyle w:val="Normal"/>
      </w:pPr>
      <w:r>
        <w:t>4. SME facilitation may include appropriately sized contract lots, reasonable bid security, electronic documentation, supplier matching, prompt-payment practices, and plain-language qualification guidance. Legitimate domestic SME set-asides remain protected.</w:t>
      </w:r>
    </w:p>
    <w:p>
      <w:pPr>
        <w:pStyle w:val="Heading2"/>
      </w:pPr>
      <w:bookmarkStart w:id="901814" w:name="_Toc300001813"/>
      <w:r>
        <w:t>Article 49.7E: Constitutional Federalism and Voluntary Subnational Participation</w:t>
      </w:r>
      <w:bookmarkEnd w:id="901814"/>
    </w:p>
    <w:p>
      <w:pPr>
        <w:pStyle w:val="Normal"/>
      </w:pPr>
      <w:r>
        <w:t>1. Nothing in this Agreement requires a Party to compel a province, state, municipality, Indigenous or tribal government, or other subnational authority to open procurement beyond authority lawfully committed under this Agreement.</w:t>
      </w:r>
    </w:p>
    <w:p>
      <w:pPr>
        <w:pStyle w:val="Normal"/>
      </w:pPr>
      <w:r>
        <w:t>2. The Parties shall maintain voluntary mechanisms through which constitutionally competent subnational authorities may designate entities, sectors, thresholds, or individual procurement programs for participation in the North American lane.</w:t>
      </w:r>
    </w:p>
    <w:p>
      <w:pPr>
        <w:pStyle w:val="Normal"/>
      </w:pPr>
      <w:r>
        <w:t>3. Verified contestable value made available through voluntary subnational participation may count toward the relevant Party’s procurement contribution under Annex 49-A.</w:t>
      </w:r>
    </w:p>
    <w:p>
      <w:pPr>
        <w:pStyle w:val="Normal"/>
      </w:pPr>
      <w:r>
        <w:t>4. The methodology shall respect institutional diversity and shall not penalize a Party merely because procurement authority is constitutionally decentralized. It may, however, measure the practical value actually placed within treaty coverage.</w:t>
      </w:r>
    </w:p>
    <w:p>
      <w:pPr>
        <w:pStyle w:val="Heading2"/>
      </w:pPr>
      <w:bookmarkStart w:id="901815" w:name="_Toc300001814"/>
      <w:r>
        <w:t>Article 49.7F: Strategic Capacity, Resilience, and Optional Aggregated Demand</w:t>
      </w:r>
      <w:bookmarkEnd w:id="901815"/>
    </w:p>
    <w:p>
      <w:pPr>
        <w:pStyle w:val="Normal"/>
      </w:pPr>
      <w:r>
        <w:t>1. In scheduled sectors, a procuring authority may lawfully evaluate North American supply resilience, multiple-source availability, repairability, surge capacity, secure logistics, interoperability, lifecycle support, circularity, and reduction of dangerous concentrated non-Party dependency where the criteria are disclosed, measurable, proportionate, and connected to the procurement.</w:t>
      </w:r>
    </w:p>
    <w:p>
      <w:pPr>
        <w:pStyle w:val="Normal"/>
      </w:pPr>
      <w:r>
        <w:t>2. Resilience criteria shall not operate as disguised nationality scoring among Canadian, Mexican, and United States qualifying suppliers. Location-specific performance requirements may be used where objectively necessary for servicing, installation, emergency response, security, continuity, or another genuine contract function.</w:t>
      </w:r>
    </w:p>
    <w:p>
      <w:pPr>
        <w:pStyle w:val="Normal"/>
      </w:pPr>
      <w:r>
        <w:t>3. A Party may receive limited additional contribution credit where a covered procurement verifiably creates material new North American productive capacity, repair capacity, recycling capacity, strategic-component capability, or surge capacity. Relocation that principally cannibalizes existing qualifying capacity in another Party shall not receive capacity-growth credit.</w:t>
      </w:r>
    </w:p>
    <w:p>
      <w:pPr>
        <w:pStyle w:val="Normal"/>
      </w:pPr>
      <w:r>
        <w:t>4. The Parties may voluntarily coordinate demand forecasts, technical specifications, tender timing, framework agreements, or joint purchasing for suitable goods and services. Participation may stop at demand signalling, coordinated specification, synchronized tendering, or joint purchase, and no Party is required to aggregate demand.</w:t>
      </w:r>
    </w:p>
    <w:p>
      <w:pPr>
        <w:pStyle w:val="Heading2"/>
      </w:pPr>
      <w:bookmarkStart w:id="901816" w:name="_Toc300001815"/>
      <w:r>
        <w:t>Article 49.7G: Anti-Gaming, Procurement Stability, and Practical Neutrality</w:t>
      </w:r>
      <w:bookmarkEnd w:id="901816"/>
    </w:p>
    <w:p>
      <w:pPr>
        <w:pStyle w:val="Normal"/>
      </w:pPr>
      <w:r>
        <w:t>1. A procuring authority shall not evade covered thresholds or obligations by artificial contract splitting, unjustified aggregation, transfer of a covered purchasing function to an uncovered entity, use of a contractor or special-purpose vehicle as a procurement proxy, or formal reorganization that leaves the relevant procurement function substantially unchanged.</w:t>
      </w:r>
    </w:p>
    <w:p>
      <w:pPr>
        <w:pStyle w:val="Normal"/>
      </w:pPr>
      <w:r>
        <w:t>2. Coverage shall follow a substantially transferred covered procurement function to a successor public entity unless the Parties agree otherwise or an objectively justified exclusion applies.</w:t>
      </w:r>
    </w:p>
    <w:p>
      <w:pPr>
        <w:pStyle w:val="Normal"/>
      </w:pPr>
      <w:r>
        <w:t>3. Once a covered tender is published, material eligibility, preference, evaluation, origin, and strategic-chain rules shall remain stable through award except where a documented change is necessary to address a material legal, security, safety, integrity, emergency, or factual development. Affected bidders shall receive reasonable notice and treatment appropriate to the stage of the procurement.</w:t>
      </w:r>
    </w:p>
    <w:p>
      <w:pPr>
        <w:pStyle w:val="Normal"/>
      </w:pPr>
      <w:r>
        <w:t>4. Lifecycle cost, durability, maintenance, environmental performance, resilience, delivery security, and other legitimate value factors may be considered. Such factors shall be disclosed in advance and administered comparably to qualifying suppliers of all Parties.</w:t>
      </w:r>
    </w:p>
    <w:p>
      <w:pPr>
        <w:pStyle w:val="Normal"/>
      </w:pPr>
      <w:r>
        <w:t>5. Payment terms, retainage, reimbursement practices, and access to ordinary procurement review shall not be administered so as to materially disadvantage a qualifying supplier solely because it is established in another Party.</w:t>
      </w:r>
    </w:p>
    <w:p>
      <w:pPr>
        <w:pStyle w:val="Heading2"/>
      </w:pPr>
      <w:bookmarkStart w:id="901817" w:name="_Toc300001816"/>
      <w:r>
        <w:t>Article 49.7H: Emergency, Security, Review, and Remedies</w:t>
      </w:r>
      <w:bookmarkEnd w:id="901817"/>
    </w:p>
    <w:p>
      <w:pPr>
        <w:pStyle w:val="Normal"/>
      </w:pPr>
      <w:r>
        <w:t>1. Emergency procurement may use accelerated, direct, or exceptional procedures where reasonably necessary to protect life, health, essential services, critical infrastructure, disaster response, or urgent continuity. The procuring authority shall document the basis and duration after the fact where prior documentation is impracticable.</w:t>
      </w:r>
    </w:p>
    <w:p>
      <w:pPr>
        <w:pStyle w:val="Normal"/>
      </w:pPr>
      <w:r>
        <w:t>2. Classified and genuinely sensitive national-security procurement remains protected. A security exclusion shall be connected to an identified security function and shall not be presumed applicable merely because a procuring entity has a security-related mission.</w:t>
      </w:r>
    </w:p>
    <w:p>
      <w:pPr>
        <w:pStyle w:val="Normal"/>
      </w:pPr>
      <w:r>
        <w:t>3. Individual unsuccessful bids shall ordinarily use available domestic bid-challenge and review mechanisms. Cothrom review under this Agreement is reserved for treaty interpretation, systemic or repeated patterns, material access-equivalence disputes, circumvention, or failures not reasonably remediable through ordinary domestic review.</w:t>
      </w:r>
    </w:p>
    <w:p>
      <w:pPr>
        <w:pStyle w:val="Normal"/>
      </w:pPr>
      <w:r>
        <w:t>4. The first remedy for a value-equivalence shortfall shall be correction or rebalancing under Article 49.7C. Monetary compensation, suspension of unrelated benefits, or tariff action shall not be used where practical procurement access can reasonably be restored through a narrower measure.</w:t>
      </w:r>
    </w:p>
    <w:p>
      <w:pPr>
        <w:pStyle w:val="Normal"/>
      </w:pPr>
      <w:r>
        <w:t>5. The Procurement Committee shall publish a concise annual equivalence report using aggregated or protected data as necessary. The report shall identify methodology, coverage changes, Reciprocity Band status, unresolved material imbalances, and rebalancing measures without disclosing protected bid, security, or commercially confidential information.</w:t>
      </w:r>
    </w:p>
    <w:p>
      <w:pPr>
        <w:pStyle w:val="Heading2"/>
      </w:pPr>
      <w:bookmarkStart w:id="901818" w:name="_Toc300001817"/>
      <w:r>
        <w:t>Article 49.7I: Subnational Reciprocity, Preference Notification, and No Uncompensated Opening</w:t>
      </w:r>
      <w:bookmarkEnd w:id="901818"/>
    </w:p>
    <w:p>
      <w:pPr>
        <w:pStyle w:val="Normal"/>
      </w:pPr>
      <w:r>
        <w:rPr>
          <w:b/>
        </w:rPr>
        <w:t xml:space="preserve">1. No Uncompensated Subnational Opening. </w:t>
      </w:r>
      <w:r>
        <w:t>A Party shall not receive full reciprocal-access credit for newly scheduled provincial, territorial, state, local, or other subnational procurement unless the resulting access is matched by commercially meaningful procurement opportunity of substantially equivalent value for suppliers of the granting Party. Reciprocity may be established across a portfolio of entities, sectors, thresholds, programs, or procurement value and does not require one-for-one matching between particular provinces and states. Federal procurement access may contribute to an agreed portfolio only where the Parties expressly recognize it as a commercially meaningful substitute for the subnational access placed in the bargain. No Party shall be required to front-load provincial or other subnational access on the assumption that future counterpart coverage will later materialize.</w:t>
      </w:r>
    </w:p>
    <w:p>
      <w:pPr>
        <w:pStyle w:val="Normal"/>
      </w:pPr>
      <w:r>
        <w:rPr>
          <w:b/>
        </w:rPr>
        <w:t xml:space="preserve">2. Equivalency and Preference-Intensity Accounting. </w:t>
      </w:r>
      <w:r>
        <w:t>Subnational equivalency shall be measured through the Effective Accessible Procurement Value methodology in Article 49.7B and Annex 49-A rather than by nominal entity counts or published procurement totals alone. A procurement opportunity subject to a Buy America, Buy American, Buy Canadian, domestic-development, local-content, residency, qualification, or equivalent preference that materially reduces the realistic competitiveness of another Party's qualifying suppliers shall receive correspondingly reduced accessible-value credit. Lawful preferences are not prohibited merely because they reduce such credit, and each Party retains the policy space preserved elsewhere in this Agreement. The assessment shall distinguish genuine cost, security, SME, Indigenous or tribal, resilience, and performance requirements from nationality preferences that materially diminish the reciprocal opportunity being valued.</w:t>
      </w:r>
    </w:p>
    <w:p>
      <w:pPr>
        <w:pStyle w:val="Normal"/>
      </w:pPr>
      <w:r>
        <w:rPr>
          <w:b/>
        </w:rPr>
        <w:t xml:space="preserve">3. Advance Notification and Transparency of Preference Measures. </w:t>
      </w:r>
      <w:r>
        <w:t>Each Party shall provide timely notice through the Procurement Committee of a proposed material change to a covered domestic-preference, local-content, qualification, eligibility, funding, or sourcing rule that could materially affect scheduled reciprocal procurement access. The notice shall identify, to the extent reasonably available, the affected entities and sectors, applicable thresholds, preference margins or scoring effects, implementation date, legal authority, duration, and any transition treatment for procurements already underway. Where urgent legislation, emergency action, or another circumstance makes advance notice impracticable, notice shall be provided as soon as reasonably possible with an explanation of the urgency. Notification does not create a veto over domestic legislation or procurement policy and does not prevent a Party from adopting a lawful measure.</w:t>
      </w:r>
    </w:p>
    <w:p>
      <w:pPr>
        <w:pStyle w:val="Normal"/>
      </w:pPr>
      <w:r>
        <w:rPr>
          <w:b/>
        </w:rPr>
        <w:t xml:space="preserve">4. No Silent Erosion of Scheduled Access. </w:t>
      </w:r>
      <w:r>
        <w:t>A Party shall not preserve the nominal appearance of reciprocal procurement coverage while materially hollowing out its practical value through subsequently adopted preferences, exclusions, qualification burdens, funding conditions, local-presence requirements, or equivalent measures. Any verified reduction in practical accessibility shall be reflected in EAPV and the applicable Reciprocity Band regardless of whether the formal schedule of covered entities has changed. Ordinary regulatory evolution, inflation adjustments, legitimate security measures, and non-discriminatory contract requirements shall not constitute erosion merely because they affect procurement conditions. The Procurement Committee shall maintain a change log sufficient to distinguish negotiated access, subsequent policy changes, temporary exceptions, and verified restoration.</w:t>
      </w:r>
    </w:p>
    <w:p>
      <w:pPr>
        <w:pStyle w:val="Normal"/>
      </w:pPr>
      <w:r>
        <w:rPr>
          <w:b/>
        </w:rPr>
        <w:t xml:space="preserve">5. Province-for-State and Portfolio Rebalancing. </w:t>
      </w:r>
      <w:r>
        <w:t>Where Canada adds material provincial or territorial access while materially comparable United States state or local access remains unavailable or substantially impaired, the Parties shall identify the imbalance expressly rather than treating Canadian subnational opening as fully reciprocated by default. The same principle applies reciprocally to United States, Mexican, Canadian, and other scheduled subnational contributions under this Agreement. Rebalancing may occur through additional subnational coverage, reduced preference intensity, improved qualification or certification recognition, lower thresholds, sectoral openings, agreed federal opportunities, or another measurable contribution accepted by the affected Parties. Nothing in this paragraph requires a province, territory, state, municipality, Indigenous or tribal government to participate where constitutional or domestic authority for participation has not been committed.</w:t>
      </w:r>
    </w:p>
    <w:p>
      <w:pPr>
        <w:pStyle w:val="Normal"/>
      </w:pPr>
      <w:r>
        <w:rPr>
          <w:b/>
        </w:rPr>
        <w:t xml:space="preserve">6. Cothrom Rebalancing, Contract Stability, and Earn-Back. </w:t>
      </w:r>
      <w:r>
        <w:t>Where verification establishes a material loss of reciprocal subnational access, the affected Parties shall use the Cothrom sequence of notice, evidence review, consultation, cure opportunity, proportionate step-back, verification, and automatic earn-back. Any step-back shall first target enhanced procurement preferences or equivalent benefits associated with the verified imbalance and shall not disturb unrelated baseline treaty rights where a narrower correction is reasonably available. A step-back shall not retroactively alter a completed award, invalidate an executed contract, or change the rules of a procurement already past the stage at which modification could be made fairly and lawfully. Full enhanced treatment shall be restored promptly when verification confirms that substantially equivalent practical access has returned.</w:t>
      </w:r>
    </w:p>
    <w:p>
      <w:pPr>
        <w:pStyle w:val="Heading2"/>
      </w:pPr>
      <w:bookmarkStart w:id="901819" w:name="_Toc300001818"/>
      <w:r>
        <w:t>Article 49.8: Mexican Extraordinary-Tariff Normalization Track</w:t>
      </w:r>
      <w:bookmarkEnd w:id="901819"/>
    </w:p>
    <w:p>
      <w:pPr>
        <w:pStyle w:val="Normal"/>
      </w:pPr>
      <w:r>
        <w:t>1. The Parties establish an expedited track to review extraordinary additional duties or equivalent restrictions applied to qualifying Mexican originating automotive goods, automotive parts, steel, aluminum, and other designated industrial goods where the measure materially departs from ordinary CUSMA treatment.</w:t>
      </w:r>
    </w:p>
    <w:p>
      <w:pPr>
        <w:pStyle w:val="Normal"/>
      </w:pPr>
      <w:r>
        <w:t>2. The review shall consider verified North American origin, non-Party circumvention risk, strategic supply security, material domestic-industry effects, compliance history, and implementation of relevant economic-security commitments.</w:t>
      </w:r>
    </w:p>
    <w:p>
      <w:pPr>
        <w:pStyle w:val="Normal"/>
      </w:pPr>
      <w:r>
        <w:t>3. Where the evidence demonstrates that qualifying Mexican originating production does not present the identified circumvention or essential-security risk, the Parties shall pursue the narrowest practicable normalization, which may include exclusion, quota conversion, staged duty reduction, tariff-rate treatment, suspension, or restoration of ordinary preferential treatment as authorized by law.</w:t>
      </w:r>
    </w:p>
    <w:p>
      <w:pPr>
        <w:pStyle w:val="Normal"/>
      </w:pPr>
      <w:r>
        <w:t>4. Relief shall be available on objective terms and shall not require Mexico to surrender unrelated CUSMA rights or accept a Party-specific production quota merely as the price of normalization.</w:t>
      </w:r>
    </w:p>
    <w:p>
      <w:pPr>
        <w:pStyle w:val="Normal"/>
      </w:pPr>
      <w:r>
        <w:t>5. Canada and the United States may use equivalent procedures for comparable originating goods so that normalization strengthens rather than fragments the trilateral market.</w:t>
      </w:r>
    </w:p>
    <w:p>
      <w:pPr>
        <w:pStyle w:val="Heading2"/>
      </w:pPr>
      <w:bookmarkStart w:id="901820" w:name="_Toc300001819"/>
      <w:r>
        <w:t>Article 49.9: Trilateral Steel and Aluminum Normalization and Anti-Diversion Bargain</w:t>
      </w:r>
      <w:bookmarkEnd w:id="901820"/>
    </w:p>
    <w:p>
      <w:pPr>
        <w:pStyle w:val="Normal"/>
      </w:pPr>
      <w:r>
        <w:t>1. Building on Article 49.5, the Parties shall seek to replace broad intra-CUSMA steel and aluminum restrictions with origin-based, risk-based, and anti-circumvention tools where such tools are sufficient to address the verified concern.</w:t>
      </w:r>
    </w:p>
    <w:p>
      <w:pPr>
        <w:pStyle w:val="Normal"/>
      </w:pPr>
      <w:r>
        <w:t>2. Mexico, Canada, and the United States shall cooperate on melt-and-pour, smelt-and-cast, provenance, transshipment, and non-market-overcapacity verification while preserving commercially reasonable confidentiality.</w:t>
      </w:r>
    </w:p>
    <w:p>
      <w:pPr>
        <w:pStyle w:val="Normal"/>
      </w:pPr>
      <w:r>
        <w:t>3. Verified originating material that satisfies the applicable provenance rules shall receive a presumption in favor of ordinary CUSMA treatment or the least-restrictive available security measure.</w:t>
      </w:r>
    </w:p>
    <w:p>
      <w:pPr>
        <w:pStyle w:val="Heading2"/>
      </w:pPr>
      <w:bookmarkStart w:id="901821" w:name="_Toc300001820"/>
      <w:r>
        <w:t>ANNEX 49-A: NORTH AMERICAN PROCUREMENT VALUE-EQUIVALENCE AND LANDING SCHEDULE</w:t>
      </w:r>
      <w:bookmarkEnd w:id="901821"/>
    </w:p>
    <w:p>
      <w:pPr>
        <w:pStyle w:val="Normal"/>
      </w:pPr>
      <w:r>
        <w:rPr>
          <w:b/>
        </w:rPr>
        <w:t>1. Purpose.</w:t>
      </w:r>
      <w:r>
        <w:t xml:space="preserve"> This Annex implements Articles 49.7 through 49.7H. It establishes a common method for valuing practical reciprocal procurement access while preserving each Party’s constitutional structure, lawful exclusions, domestic policy space, and authority to determine procurement needs.</w:t>
      </w:r>
    </w:p>
    <w:p>
      <w:pPr>
        <w:pStyle w:val="Normal"/>
      </w:pPr>
      <w:r>
        <w:rPr>
          <w:b/>
        </w:rPr>
        <w:t>2. Tier structure.</w:t>
      </w:r>
      <w:r>
        <w:t xml:space="preserve"> For a covered procurement designated under this Annex, treatment may be organized as follows: Tier 1, an expressly authorized domestic preference; Tier 2, qualifying originating suppliers and North American Strategic Chains; Tier 3, suppliers entitled to treatment under another applicable trade agreement; and Tier 4, other suppliers. A Tier 1 preference shall not erase treaty access expressly guaranteed to another Party.</w:t>
      </w:r>
    </w:p>
    <w:p>
      <w:pPr>
        <w:pStyle w:val="Normal"/>
      </w:pPr>
      <w:r>
        <w:rPr>
          <w:b/>
        </w:rPr>
        <w:t>3. Initial Tier-2 candidate sectors.</w:t>
      </w:r>
      <w:r>
        <w:t xml:space="preserve"> Candidate sectors include infrastructure and construction materials; grid and energy equipment; transportation equipment; semiconductors and digital infrastructure; critical minerals and processed strategic materials; forest products and housing inputs; emergency-response equipment; and designated advanced-manufacturing supply chains. Permanent coverage requires adoption in the applicable Party schedule.</w:t>
      </w:r>
    </w:p>
    <w:p>
      <w:pPr>
        <w:pStyle w:val="Normal"/>
      </w:pPr>
      <w:r>
        <w:rPr>
          <w:b/>
        </w:rPr>
        <w:t>4. Contestable Covered Procurement Value.</w:t>
      </w:r>
      <w:r>
        <w:t xml:space="preserve"> The starting value is the annualized value of scheduled procurement for which a qualifying supplier of another Party could realistically compete. The Parties may use a rolling three-year average or another agreed representative period to reduce distortion from unusually large projects or cyclical expenditure.</w:t>
      </w:r>
    </w:p>
    <w:p>
      <w:pPr>
        <w:pStyle w:val="Normal"/>
      </w:pPr>
      <w:r>
        <w:rPr>
          <w:b/>
        </w:rPr>
        <w:t>5. Excluded value.</w:t>
      </w:r>
      <w:r>
        <w:t xml:space="preserve"> Gross spending shall be removed or discounted where access is unavailable because of a negotiated exclusion, genuine classified or national-security restriction, lawful Indigenous or tribal set-aside, legitimate SME reservation, justified sole-source procurement, statutory monopoly, pre-existing long-term commitment, emergency-only procurement, or another objectively unavailable category.</w:t>
      </w:r>
    </w:p>
    <w:p>
      <w:pPr>
        <w:pStyle w:val="Normal"/>
      </w:pPr>
      <w:r>
        <w:rPr>
          <w:b/>
        </w:rPr>
        <w:t>6. Effective Accessible Procurement Value.</w:t>
      </w:r>
      <w:r>
        <w:t xml:space="preserve"> EAPV shall be derived from Contestable Covered Procurement Value through transparent adjustment factors for: (a) entity and program coverage; (b) threshold accessibility; (c) domestic-preference intensity; (d) sector breadth and strategic relevance; (e) qualification and documentation accessibility; (f) bonding, insurance, certification, and local-presence requirements; (g) digital tender access and opportunity discoverability; (h) payment and retainage practices; (i) bid-challenge usability; and (j) any other factor jointly adopted by the Parties.</w:t>
      </w:r>
    </w:p>
    <w:p>
      <w:pPr>
        <w:pStyle w:val="Normal"/>
      </w:pPr>
      <w:r>
        <w:rPr>
          <w:b/>
        </w:rPr>
        <w:t>7. No single-factor dominance.</w:t>
      </w:r>
      <w:r>
        <w:t xml:space="preserve"> No individual factor, including gross dollar value, GDP, number of covered entities, number of contracts, or share of awards won by foreign suppliers, is dispositive. The methodology shall disclose material assumptions and avoid double counting.</w:t>
      </w:r>
    </w:p>
    <w:p>
      <w:pPr>
        <w:pStyle w:val="Normal"/>
      </w:pPr>
      <w:r>
        <w:rPr>
          <w:b/>
        </w:rPr>
        <w:t>8. Domestic-preference adjustment.</w:t>
      </w:r>
      <w:r>
        <w:t xml:space="preserve"> A lawful domestic preference shall be evaluated according to its effective competitive impact, including price preference, content rule, qualification advantage, tax-linked procurement advantage, evaluation bonus, or comparable mechanism. The existence of a domestic preference alone does not establish non-equivalence.</w:t>
      </w:r>
    </w:p>
    <w:p>
      <w:pPr>
        <w:pStyle w:val="Normal"/>
      </w:pPr>
      <w:r>
        <w:rPr>
          <w:b/>
        </w:rPr>
        <w:t>9. Threshold and contract-structure adjustment.</w:t>
      </w:r>
      <w:r>
        <w:t xml:space="preserve"> The Parties shall examine both nominal thresholds and the proportion of otherwise relevant procurement falling below them. Artificial contract splitting or other restructuring to avoid coverage shall be disregarded for equivalence purposes.</w:t>
      </w:r>
    </w:p>
    <w:p>
      <w:pPr>
        <w:pStyle w:val="Normal"/>
      </w:pPr>
      <w:r>
        <w:rPr>
          <w:b/>
        </w:rPr>
        <w:t>10. Sector and entity diversity.</w:t>
      </w:r>
      <w:r>
        <w:t xml:space="preserve"> Equivalent access should include a reasonable distribution across the scheduled procurement economy rather than concentration in a nominally large but practically narrow category. The methodology may separately identify central/federal entities, infrastructure bodies, covered public enterprises, and voluntarily participating subnational authorities without requiring identical governmental structures.</w:t>
      </w:r>
    </w:p>
    <w:p>
      <w:pPr>
        <w:pStyle w:val="Normal"/>
      </w:pPr>
      <w:r>
        <w:rPr>
          <w:b/>
        </w:rPr>
        <w:t>11. SME accessibility modifier.</w:t>
      </w:r>
      <w:r>
        <w:t xml:space="preserve"> Simplified qualification, reusable verified credentials, reasonable bid security, appropriately sized lots, interoperable certifications, electronic tendering, supplier matching, and prompt-payment practices may increase the practical-access value attributed to a covered procurement pathway. Legitimate domestic SME reservations remain excluded or separately treated as agreed.</w:t>
      </w:r>
    </w:p>
    <w:p>
      <w:pPr>
        <w:pStyle w:val="Normal"/>
      </w:pPr>
      <w:r>
        <w:rPr>
          <w:b/>
        </w:rPr>
        <w:t>12. Strategic-capacity credit.</w:t>
      </w:r>
      <w:r>
        <w:t xml:space="preserve"> A limited additional credit may be recognized for procurement that verifiably creates new North American production, repair, recycling, strategic-component, or surge capacity. Credit shall be capped so that capacity incentives cannot substitute for a materially closed procurement market, and no credit shall be awarded for principally cannibalizing existing qualifying capacity in another Party.</w:t>
      </w:r>
    </w:p>
    <w:p>
      <w:pPr>
        <w:pStyle w:val="Normal"/>
      </w:pPr>
      <w:r>
        <w:rPr>
          <w:b/>
        </w:rPr>
        <w:t>13. Reciprocity Bands.</w:t>
      </w:r>
      <w:r>
        <w:t xml:space="preserve"> The Parties shall establish numerical calibration ranges in their implementation schedules. The bands shall distinguish: Band A, substantial equivalence; Band B, minor measurable imbalance compatible with full benefits subject to an adjustment plan where appropriate; Band C, material imbalance requiring rebalancing; Band D, persistent substantial imbalance permitting targeted step-back of enhanced procurement preferences; and Band E, deliberate closure or circumvention subject to expedited Cothrom corrective review. Until numerical ranges are jointly adopted, no Party may infer a Band D or E consequence solely from an unpublished methodology.</w:t>
      </w:r>
    </w:p>
    <w:p>
      <w:pPr>
        <w:pStyle w:val="Normal"/>
      </w:pPr>
      <w:r>
        <w:rPr>
          <w:b/>
        </w:rPr>
        <w:t>14. Rebalancing menu.</w:t>
      </w:r>
      <w:r>
        <w:t xml:space="preserve"> A Party may restore equivalence by adding entities or sectors, lowering thresholds, reducing an applicable preference margin, simplifying qualification, improving SME usability, recognizing credentials, adding voluntary subnational coverage, correcting discriminatory administration, or providing another measurable access enhancement accepted under the methodology.</w:t>
      </w:r>
    </w:p>
    <w:p>
      <w:pPr>
        <w:pStyle w:val="Normal"/>
      </w:pPr>
      <w:r>
        <w:rPr>
          <w:b/>
        </w:rPr>
        <w:t>15. Annual review and ordinary fluctuation.</w:t>
      </w:r>
      <w:r>
        <w:t xml:space="preserve"> The Procurement Committee shall review EAPV annually using the most recent reliable data. Ordinary changes in government expenditure, cancellation of projects, recession, disaster spending, or supplier success rates shall not by themselves require compensation or rebalancing. The focus is the opportunity made practically available under the rules.</w:t>
      </w:r>
    </w:p>
    <w:p>
      <w:pPr>
        <w:pStyle w:val="Normal"/>
      </w:pPr>
      <w:r>
        <w:rPr>
          <w:b/>
        </w:rPr>
        <w:t>16. Voluntary subnational schedules.</w:t>
      </w:r>
      <w:r>
        <w:t xml:space="preserve"> Canada, Mexico, and the United States may maintain separate voluntary schedules for constitutionally competent subnational authorities. Participation may be entity-specific, sector-specific, threshold-specific, program-specific, or procurement-specific and may be withdrawn prospectively subject to reasonable reliance protection for already published tenders.</w:t>
      </w:r>
    </w:p>
    <w:p>
      <w:pPr>
        <w:pStyle w:val="Normal"/>
      </w:pPr>
      <w:r>
        <w:rPr>
          <w:b/>
        </w:rPr>
        <w:t>17. Publication.</w:t>
      </w:r>
      <w:r>
        <w:t xml:space="preserve"> A procuring authority shall publish the applicable tier, origin or strategic-chain criteria, security requirements, evaluation method, threshold, material domestic preference, and material eligibility conditions before bids close. Criteria shall be measurable and shall not be rewritten after bid submission to favor a preferred supplier.</w:t>
      </w:r>
    </w:p>
    <w:p>
      <w:pPr>
        <w:pStyle w:val="Normal"/>
      </w:pPr>
      <w:r>
        <w:rPr>
          <w:b/>
        </w:rPr>
        <w:t>18. Data protection.</w:t>
      </w:r>
      <w:r>
        <w:t xml:space="preserve"> Equivalence reporting shall use aggregated, anonymized, or protected data where necessary. Nothing in this Annex requires disclosure of classified information, protected Indigenous or tribal information, trade secrets, confidential bid information, protected tax information, or information whose disclosure would materially impair procurement integrity.</w:t>
      </w:r>
    </w:p>
    <w:p>
      <w:pPr>
        <w:pStyle w:val="Normal"/>
      </w:pPr>
      <w:r>
        <w:rPr>
          <w:b/>
        </w:rPr>
        <w:t>19. Initial implementation.</w:t>
      </w:r>
      <w:r>
        <w:t xml:space="preserve"> Within 180 days of entry into force, the Procurement Committee shall recommend initial permanent Tier-2 sectors and entities, propose numerical Reciprocity Band ranges, identify data gaps, and publish a non-binding model Party schedule. Until permanent schedules are adopted, existing procurement commitments remain in force and this Annex shall not be construed to create unscheduled market-access obligations.</w:t>
      </w:r>
    </w:p>
    <w:p>
      <w:pPr>
        <w:pStyle w:val="Normal"/>
      </w:pPr>
      <w:r>
        <w:rPr>
          <w:b/>
        </w:rPr>
        <w:t>20. Three-Win review.</w:t>
      </w:r>
      <w:r>
        <w:t xml:space="preserve"> Before a permanent procurement schedule or material expansion enters into force, the Parties shall assess whether each Party can identify a commercially meaningful and politically intelligible procurement benefit, whether contribution is substantially equivalent in practical opportunity, and whether the arrangement respects constitutional and development-policy differences. A failure of identical dollar value is not a failure of the Three-Win Test.</w:t>
      </w:r>
    </w:p>
    <w:p>
      <w:pPr>
        <w:pStyle w:val="Heading1"/>
      </w:pPr>
      <w:bookmarkStart w:id="901822" w:name="_Toc300001821"/>
      <w:r>
        <w:t>CHAPTER 50</w:t>
      </w:r>
      <w:r>
        <w:br/>
      </w:r>
      <w:r>
        <w:t>SME, CUSTOMS, DIGITAL, AND SUPPLY-CHAIN MODERNIZATION</w:t>
      </w:r>
      <w:bookmarkEnd w:id="901822"/>
    </w:p>
    <w:p>
      <w:pPr>
        <w:pStyle w:val="Heading2"/>
      </w:pPr>
      <w:bookmarkStart w:id="901823" w:name="_Toc300001822"/>
      <w:r>
        <w:t>Article 50.1: Trusted SME Exporter</w:t>
      </w:r>
      <w:bookmarkEnd w:id="901823"/>
    </w:p>
    <w:p>
      <w:pPr>
        <w:pStyle w:val="Normal"/>
      </w:pPr>
      <w:r>
        <w:t>1. Each Party shall provide a simplified trusted-exporter pathway for qualifying low-volume, low-risk SMEs with a clean compliance record. Benefits may include consolidated origin records, reduced repetitive documentary requests, electronic pre-clearance, and risk-based verification.</w:t>
      </w:r>
    </w:p>
    <w:p>
      <w:pPr>
        <w:pStyle w:val="Normal"/>
      </w:pPr>
      <w:r>
        <w:t>2. Suspension requires particularized risk evidence, notice, reasons, and expedited review. One entity's violation does not justify suspension of the program as a whole absent systemic deficiency.</w:t>
      </w:r>
    </w:p>
    <w:p>
      <w:pPr>
        <w:pStyle w:val="Heading2"/>
      </w:pPr>
      <w:bookmarkStart w:id="901824" w:name="_Toc300001823"/>
      <w:r>
        <w:t>Article 50.2: Plain-Language and Port Consistency Rule</w:t>
      </w:r>
      <w:bookmarkEnd w:id="901824"/>
    </w:p>
    <w:p>
      <w:pPr>
        <w:pStyle w:val="Normal"/>
      </w:pPr>
      <w:r>
        <w:t>1. Customs agencies shall publish current plain-language operational guidance for commonly used CUSMA procedures and maintain a mechanism to identify and correct materially inconsistent application among ports of entry.</w:t>
      </w:r>
    </w:p>
    <w:p>
      <w:pPr>
        <w:pStyle w:val="Normal"/>
      </w:pPr>
      <w:r>
        <w:t>2. Guidance does not override treaty text or domestic law, but a trader's reasonable reliance on current official guidance shall be considered in penalty mitigation where the trader acted in good faith.</w:t>
      </w:r>
    </w:p>
    <w:p>
      <w:pPr>
        <w:pStyle w:val="Heading2"/>
      </w:pPr>
      <w:bookmarkStart w:id="901825" w:name="_Toc300001824"/>
      <w:r>
        <w:t>Article 50.3: Harmonized Core Customs Data</w:t>
      </w:r>
      <w:bookmarkEnd w:id="901825"/>
    </w:p>
    <w:p>
      <w:pPr>
        <w:pStyle w:val="Normal"/>
      </w:pPr>
      <w:r>
        <w:t>1. The Parties shall maintain a common core data set for routine originating-goods declarations and low-value shipments, using interoperable electronic formats. Additional data demands shall be risk-based and proportionate.</w:t>
      </w:r>
    </w:p>
    <w:p>
      <w:pPr>
        <w:pStyle w:val="Heading2"/>
      </w:pPr>
      <w:bookmarkStart w:id="901826" w:name="_Toc300001825"/>
      <w:r>
        <w:t>Article 50.4: Non-Market Practice Definition and Review</w:t>
      </w:r>
      <w:bookmarkEnd w:id="901826"/>
    </w:p>
    <w:p>
      <w:pPr>
        <w:pStyle w:val="Normal"/>
      </w:pPr>
      <w:r>
        <w:t>1. For purposes of this Chapter, a non-market practice means a specific government-directed or government-enabled practice that materially distorts competitive conditions through mechanisms such as non-commercial financing, non-transparent subsidies, compelled technology transfer, discriminatory state purchasing, strategic overcapacity support, or circumvention of applicable trade remedies. This definition does not displace the Chapter 36 definition, non-Party limitation, designation actor, evidentiary requirements, or procedures for any measure taken under Chapter 36.</w:t>
      </w:r>
    </w:p>
    <w:p>
      <w:pPr>
        <w:pStyle w:val="Normal"/>
      </w:pPr>
      <w:r>
        <w:t>2. State ownership, public enterprise status, industrial policy, or a trade surplus alone does not establish a non-market practice.</w:t>
      </w:r>
    </w:p>
    <w:p>
      <w:pPr>
        <w:pStyle w:val="Normal"/>
      </w:pPr>
      <w:r>
        <w:t>3. Measures responding to a claimed non-market practice shall identify the conduct, evidence, causal connection, and proposed remedy and remain subject to dispute settlement.</w:t>
      </w:r>
    </w:p>
    <w:p>
      <w:pPr>
        <w:pStyle w:val="Heading2"/>
      </w:pPr>
      <w:bookmarkStart w:id="901827" w:name="_Toc300001826"/>
      <w:r>
        <w:t>Article 50.5: Supply-Chain Risk Map and Early Warning</w:t>
      </w:r>
      <w:bookmarkEnd w:id="901827"/>
    </w:p>
    <w:p>
      <w:pPr>
        <w:pStyle w:val="Normal"/>
      </w:pPr>
      <w:r>
        <w:t>1. The Parties shall maintain a shared, security-protected North American Supply-Chain Risk Map identifying material single points of failure, excessive geographic concentration, critical infrastructure dependencies, and strategic processing bottlenecks.</w:t>
      </w:r>
    </w:p>
    <w:p>
      <w:pPr>
        <w:pStyle w:val="Normal"/>
      </w:pPr>
      <w:r>
        <w:t>2. The Map is diagnostic and does not create purchase mandates, export guarantees, or automatic restrictions against a non-Party.</w:t>
      </w:r>
    </w:p>
    <w:p>
      <w:pPr>
        <w:pStyle w:val="Heading2"/>
      </w:pPr>
      <w:bookmarkStart w:id="901828" w:name="_Toc300001827"/>
      <w:r>
        <w:t>Article 50.6: Digital Economy Regulatory Principles</w:t>
      </w:r>
      <w:bookmarkEnd w:id="901828"/>
    </w:p>
    <w:p>
      <w:pPr>
        <w:pStyle w:val="Normal"/>
      </w:pPr>
      <w:r>
        <w:t>1. Each Party retains the right to regulate AI-enabled commerce, online platforms, privacy, cybersecurity, digital taxation, cultural policy, financial technology, and cross-border data consistent with this Agreement.</w:t>
      </w:r>
    </w:p>
    <w:p>
      <w:pPr>
        <w:pStyle w:val="Normal"/>
      </w:pPr>
      <w:r>
        <w:t>2. Digital regulation shall not discriminate on the basis of nationality or location without an objective public-policy or security basis, and should be interoperable and no more trade-restrictive than reasonably necessary to achieve its legitimate objective.</w:t>
      </w:r>
    </w:p>
    <w:p>
      <w:pPr>
        <w:pStyle w:val="Normal"/>
      </w:pPr>
      <w:r>
        <w:t>3. The Parties shall pursue coordinated or multilateral approaches to digital taxation where feasible. No indefinite standstill on non-discriminatory domestic taxation is created by this Article.</w:t>
      </w:r>
    </w:p>
    <w:p>
      <w:pPr>
        <w:pStyle w:val="Normal"/>
      </w:pPr>
      <w:r>
        <w:t>4. For greater certainty, this Article is subject to Article 41.7A (Cultural and Linguistic Sovereignty Firewall) and does not limit bona fide measures concerning language rights, linguistic accessibility, cultural discoverability, language-based labeling or labelling, interface-language availability, recommendation-system treatment, cultural contributions, or the promotion of domestic, Indigenous, minority-language, regional, or heritage-language expression. A measure within Article 41.7A is not inconsistent with paragraph 2 merely because it differentiates by language in order to achieve the protected linguistic or cultural objective. The Parties shall interpret digital-trade obligations so that technological neutrality does not erase or materially impair a Party's chosen level of linguistic or cultural protection. Nothing in this paragraph expands a cultural or linguistic measure beyond the safeguards, good-faith requirements, and anti-disguised-discrimination rule in Article 41.7A.</w:t>
      </w:r>
    </w:p>
    <w:p>
      <w:pPr>
        <w:pStyle w:val="Heading2"/>
      </w:pPr>
      <w:bookmarkStart w:id="901829" w:name="_Toc300001828"/>
      <w:r>
        <w:t>Article 50.7: Cryptographic Authenticity and Fraud Coordination</w:t>
      </w:r>
      <w:bookmarkEnd w:id="901829"/>
    </w:p>
    <w:p>
      <w:pPr>
        <w:pStyle w:val="Normal"/>
      </w:pPr>
      <w:r>
        <w:t>1. The Parties shall support technologically neutral cryptographic authenticity for electronic origin certifications and other high-value trade credentials, including secure validation and revocation capability.</w:t>
      </w:r>
    </w:p>
    <w:p>
      <w:pPr>
        <w:pStyle w:val="Normal"/>
      </w:pPr>
      <w:r>
        <w:t>2. Customs authorities shall share legally releasable fraud patterns, compromised credential indicators, and coordinated-investigation requests through secure channels with privacy, confidentiality, and due-process safeguards.</w:t>
      </w:r>
    </w:p>
    <w:p>
      <w:pPr>
        <w:pStyle w:val="Heading2"/>
      </w:pPr>
      <w:bookmarkStart w:id="901830" w:name="_Toc300001829"/>
      <w:r>
        <w:t>Article 50.8: Mexican Digital Manufacturing and SME Export Lane</w:t>
      </w:r>
      <w:bookmarkEnd w:id="901830"/>
    </w:p>
    <w:p>
      <w:pPr>
        <w:pStyle w:val="Normal"/>
      </w:pPr>
      <w:r>
        <w:t>1. The Parties shall establish a Mexican Digital Manufacturing and SME Export Lane connecting Mexico's electronics, automotive, aerospace, semiconductor, software, design, logistics, and advanced-manufacturing firms with North American digital trade and procurement opportunities.</w:t>
      </w:r>
    </w:p>
    <w:p>
      <w:pPr>
        <w:pStyle w:val="Normal"/>
      </w:pPr>
      <w:r>
        <w:t>2. The Lane may provide reusable electronic credentials, cloud and cybersecurity guidance, interoperable invoicing and customs data, SME compliance assistance, digital-service export support, participation in semiconductor design and packaging networks, and access to voluntary testing and qualification facilities.</w:t>
      </w:r>
    </w:p>
    <w:p>
      <w:pPr>
        <w:pStyle w:val="Normal"/>
      </w:pPr>
      <w:r>
        <w:t>3. Benefits shall be available on objective terms to qualifying firms and shall not require source-code disclosure, transfer of intellectual property, or localization beyond what is permitted by this Agreement and domestic law.</w:t>
      </w:r>
    </w:p>
    <w:p>
      <w:pPr>
        <w:pStyle w:val="Normal"/>
      </w:pPr>
      <w:r>
        <w:t>4. The Commission shall monitor whether digital implementation rules create disproportionate barriers for Mexican SMEs or electronics manufacturers relative to functionally equivalent Canadian or United States firms and shall recommend technical correction where appropriate.</w:t>
      </w:r>
    </w:p>
    <w:p>
      <w:pPr>
        <w:pStyle w:val="Heading2"/>
      </w:pPr>
      <w:bookmarkStart w:id="901831" w:name="_Toc300001830"/>
      <w:r>
        <w:t>Article 50.9: Administrative Friction and Border Performance Safeguard</w:t>
      </w:r>
      <w:bookmarkEnd w:id="901831"/>
    </w:p>
    <w:p>
      <w:pPr>
        <w:pStyle w:val="Normal"/>
      </w:pPr>
      <w:r>
        <w:t>1. A Party shall administer customs, licensing, certification, inspection, laboratory, bond, port, and related border procedures in a risk-based, proportionate, timely, and non-discriminatory manner.</w:t>
      </w:r>
    </w:p>
    <w:p>
      <w:pPr>
        <w:pStyle w:val="Normal"/>
      </w:pPr>
      <w:r>
        <w:t>2. The Secretariat shall publish comparable performance indicators, including clearance-time distributions, inspection and secondary-examination rates, release delays, documentation burdens, rejection rates, laboratory referral, and trusted-trader performance, with appropriate protection for security and commercial information.</w:t>
      </w:r>
    </w:p>
    <w:p>
      <w:pPr>
        <w:pStyle w:val="Normal"/>
      </w:pPr>
      <w:r>
        <w:t>3. Persistent unexplained divergence affecting comparable originating goods may trigger Article 46.17 review. A Party may rebut the inference with evidence of risk, congestion, product characteristics, compliance history, emergency conditions, or other legitimate causes.</w:t>
      </w:r>
    </w:p>
    <w:p>
      <w:pPr>
        <w:pStyle w:val="Normal"/>
      </w:pPr>
      <w:r>
        <w:t>4. Formally equal administration that imposes materially excessive burden relative to the legitimate objective remains subject to necessity and proportionality review.</w:t>
      </w:r>
    </w:p>
    <w:p>
      <w:pPr>
        <w:pStyle w:val="Heading2"/>
      </w:pPr>
      <w:bookmarkStart w:id="901832" w:name="_Toc300001831"/>
      <w:r>
        <w:t>Article 50.10: Least-Burdensome Verification and Repeat-Audit Safeguard</w:t>
      </w:r>
      <w:bookmarkEnd w:id="901832"/>
    </w:p>
    <w:p>
      <w:pPr>
        <w:pStyle w:val="Normal"/>
      </w:pPr>
      <w:r>
        <w:t>1. Where multiple verification methods provide materially equivalent assurance, the administering authority should use the method imposing the lower reasonable compliance burden.</w:t>
      </w:r>
    </w:p>
    <w:p>
      <w:pPr>
        <w:pStyle w:val="Normal"/>
      </w:pPr>
      <w:r>
        <w:t>2. A first-time or low-risk trader with a verified compliance history shall not be subjected to substantially duplicative audits or document demands absent new risk information, material discrepancy, random quality-control sampling, or another objective predicate.</w:t>
      </w:r>
    </w:p>
    <w:p>
      <w:pPr>
        <w:pStyle w:val="Normal"/>
      </w:pPr>
      <w:r>
        <w:t>3. Repeated audits, inspections, or information demands shall be recorded in a manner permitting pattern review under Article 46.17.</w:t>
      </w:r>
    </w:p>
    <w:p>
      <w:pPr>
        <w:pStyle w:val="Heading2"/>
      </w:pPr>
      <w:bookmarkStart w:id="901833" w:name="_Toc300001832"/>
      <w:r>
        <w:t>Article 50.11: Decision-or-Explain Deadlines and Application Completeness Lock</w:t>
      </w:r>
      <w:bookmarkEnd w:id="901833"/>
    </w:p>
    <w:p>
      <w:pPr>
        <w:pStyle w:val="Normal"/>
      </w:pPr>
      <w:r>
        <w:t>1. Each Party shall establish reasonable published decision targets for covered advance rulings, licenses, permits, certifications, trusted-status determinations, and other trade-administrative applications.</w:t>
      </w:r>
    </w:p>
    <w:p>
      <w:pPr>
        <w:pStyle w:val="Normal"/>
      </w:pPr>
      <w:r>
        <w:t>2. When the target expires without decision, the authority shall decide, provide a reasoned time-limited extension, or make available expedited procedural review. Silence shall not create indefinite discretion.</w:t>
      </w:r>
    </w:p>
    <w:p>
      <w:pPr>
        <w:pStyle w:val="Normal"/>
      </w:pPr>
      <w:r>
        <w:t>3. Once an authority formally determines an application complete, additional information requests shall be materially connected to newly discovered facts, changed circumstances, legal requirements not reasonably identifiable earlier, or information shown to be materially necessary to decide the application.</w:t>
      </w:r>
    </w:p>
    <w:p>
      <w:pPr>
        <w:pStyle w:val="Normal"/>
      </w:pPr>
      <w:r>
        <w:t>4. This Article does not create automatic approval where safety, security, environment, public health, financial integrity, or another legitimate public interest requires an affirmative decision.</w:t>
      </w:r>
    </w:p>
    <w:p>
      <w:pPr>
        <w:pStyle w:val="Heading2"/>
      </w:pPr>
      <w:bookmarkStart w:id="901834" w:name="_Toc300001833"/>
      <w:r>
        <w:t>Article 50.12: Trusted Status Due Process</w:t>
      </w:r>
      <w:bookmarkEnd w:id="901834"/>
    </w:p>
    <w:p>
      <w:pPr>
        <w:pStyle w:val="Normal"/>
      </w:pPr>
      <w:r>
        <w:t>1. Suspension, downgrading, or revocation of trusted-trader or equivalent status shall be based on objective criteria and accompanied by a reasoned notice sufficient to permit response, subject to lawful confidentiality.</w:t>
      </w:r>
    </w:p>
    <w:p>
      <w:pPr>
        <w:pStyle w:val="Normal"/>
      </w:pPr>
      <w:r>
        <w:t>2. Except where immediate action is necessary to address material fraud, safety, security, or evasion risk, the trader shall receive a reasonable cure opportunity and expedited review before loss of status becomes final.</w:t>
      </w:r>
    </w:p>
    <w:p>
      <w:pPr>
        <w:pStyle w:val="Heading2"/>
      </w:pPr>
      <w:bookmarkStart w:id="901835" w:name="_Toc300001834"/>
      <w:r>
        <w:t>Article 50.13: Technical Standard and Conformity-Assessment Capacity Protection</w:t>
      </w:r>
      <w:bookmarkEnd w:id="901835"/>
    </w:p>
    <w:p>
      <w:pPr>
        <w:pStyle w:val="Normal"/>
      </w:pPr>
      <w:r>
        <w:t>1. A technical regulation materially affecting originating trade shall pursue a legitimate objective and shall not be more trade restrictive than reasonably necessary in light of the risks non-fulfilment would create, consistent with Chapter 11.</w:t>
      </w:r>
    </w:p>
    <w:p>
      <w:pPr>
        <w:pStyle w:val="Normal"/>
      </w:pPr>
      <w:r>
        <w:t>2. Where equivalent assurance can be provided by a competent conformity-assessment body in another Party, the importing Party shall provide a fair process to recognize that body or explain the objective basis for refusal.</w:t>
      </w:r>
    </w:p>
    <w:p>
      <w:pPr>
        <w:pStyle w:val="Normal"/>
      </w:pPr>
      <w:r>
        <w:t>3. A Party shall not create a de facto trade barrier by maintaining manifestly inadequate mandatory certification capacity, exclusive bottlenecks without objective necessity, or processing queues disproportionate to the regulatory risk.</w:t>
      </w:r>
    </w:p>
    <w:p>
      <w:pPr>
        <w:pStyle w:val="Normal"/>
      </w:pPr>
      <w:r>
        <w:t>4. Where certification capacity fails materially, the Parties shall consider temporary mutual recognition, additional accredited capacity, provisional certification, or other safe continuity measures.</w:t>
      </w:r>
    </w:p>
    <w:p>
      <w:pPr>
        <w:pStyle w:val="Heading2"/>
      </w:pPr>
      <w:bookmarkStart w:id="901836" w:name="_Toc300001835"/>
      <w:r>
        <w:t>Article 50.14: Service, Business-Day, and Technical-Failure Fairness</w:t>
      </w:r>
      <w:bookmarkEnd w:id="901836"/>
    </w:p>
    <w:p>
      <w:pPr>
        <w:pStyle w:val="Normal"/>
      </w:pPr>
      <w:r>
        <w:t>1. Procedural periods shall use published rules for business days, service, time zones, holidays, and technical failures. A deadline shall not be engineered to deprive another Party or covered person of a reasonable opportunity to respond.</w:t>
      </w:r>
    </w:p>
    <w:p>
      <w:pPr>
        <w:pStyle w:val="Normal"/>
      </w:pPr>
      <w:r>
        <w:t>2. Material electronic filing failure outside the filer's reasonable control entitles the filer to a reasonable restoration period upon prompt notice and evidence of attempted compliance.</w:t>
      </w:r>
    </w:p>
    <w:p>
      <w:pPr>
        <w:pStyle w:val="Heading2"/>
      </w:pPr>
      <w:bookmarkStart w:id="901838" w:name="_Toc300001837"/>
      <w:r>
        <w:t>Article 50.15: Concurrent Processing, Clock Integrity, and Completeness Finality</w:t>
      </w:r>
      <w:bookmarkEnd w:id="901838"/>
    </w:p>
    <w:p>
      <w:pPr>
        <w:pStyle w:val="Normal"/>
      </w:pPr>
      <w:r>
        <w:t>1. Where multiple administrative reviews concern the same transaction or application, competent authorities shall conduct them concurrently where reasonably practicable rather than serially multiplying otherwise applicable service periods.</w:t>
      </w:r>
    </w:p>
    <w:p>
      <w:pPr>
        <w:pStyle w:val="Normal"/>
      </w:pPr>
      <w:r>
        <w:t>2. An initial completeness review shall identify all deficiencies reasonably discoverable from the submission at that time. Later supplementation may be required for materially new facts, changed circumstances, newly discovered risk, or defects not reasonably discoverable earlier, but minor or immaterial supplementation shall not restart the entire service clock.</w:t>
      </w:r>
    </w:p>
    <w:p>
      <w:pPr>
        <w:pStyle w:val="Normal"/>
      </w:pPr>
      <w:r>
        <w:t>3. Tolling shall be limited to the period reasonably attributable to material missing information and shall not be reset by agency-caused delay. Repetitive requests for substantially the same information require a reasoned explanation.</w:t>
      </w:r>
    </w:p>
    <w:p>
      <w:pPr>
        <w:pStyle w:val="Normal"/>
      </w:pPr>
      <w:r>
        <w:t>4. Once an application is declared complete, additional information demands must identify their material connection to the decision. This paragraph does not prevent urgent requests necessary to address newly discovered health, safety, security, fraud, or environmental risk.</w:t>
      </w:r>
    </w:p>
    <w:p>
      <w:pPr>
        <w:pStyle w:val="Heading2"/>
      </w:pPr>
      <w:bookmarkStart w:id="901839" w:name="_Toc300001838"/>
      <w:r>
        <w:t>Article 50.16: Administrative Intensity, Proxy Discrimination, and Performance Comparators</w:t>
      </w:r>
      <w:bookmarkEnd w:id="901839"/>
    </w:p>
    <w:p>
      <w:pPr>
        <w:pStyle w:val="Normal"/>
      </w:pPr>
      <w:r>
        <w:t>1. Equality of written rules does not by itself establish equal administration. Review may compare inspection frequency, correction opportunities, cure periods, audit intensity, processing practices, documentation burden, discretionary accommodation, rejection rates, and other operational indicators among materially similarly situated actors.</w:t>
      </w:r>
    </w:p>
    <w:p>
      <w:pPr>
        <w:pStyle w:val="Normal"/>
      </w:pPr>
      <w:r>
        <w:t>2. Direct nationality classification is not required. Persistent disparity produced by proxy variables or automated risk factors may trigger protected review where ordinary risk factors do not adequately explain the difference.</w:t>
      </w:r>
    </w:p>
    <w:p>
      <w:pPr>
        <w:pStyle w:val="Normal"/>
      </w:pPr>
      <w:r>
        <w:t>3. Statistical disparity is a screening and evidentiary tool, not an automatic finding. The administering Party may rebut with evidence of legitimate risk, trade composition, product characteristics, compliance history, congestion, seasonal demand, emergency conditions, fraud patterns, or other relevant factors.</w:t>
      </w:r>
    </w:p>
    <w:p>
      <w:pPr>
        <w:pStyle w:val="Normal"/>
      </w:pPr>
      <w:r>
        <w:t>4. For high-volume treaty pathways, Parties shall maintain standardized aggregate metrics reasonably sufficient to evaluate processing time, holds, inspections, supplementation requests, rejection, appeals, and outcomes without requiring disclosure of protected personal or commercially sensitive information.</w:t>
      </w:r>
    </w:p>
    <w:p>
      <w:pPr>
        <w:pStyle w:val="Heading2"/>
      </w:pPr>
      <w:bookmarkStart w:id="901840" w:name="_Toc300001839"/>
      <w:r>
        <w:t>Article 50.17: Operational Availability, Capacity, and Optional-Pathway Non-Coercion</w:t>
      </w:r>
      <w:bookmarkEnd w:id="901840"/>
    </w:p>
    <w:p>
      <w:pPr>
        <w:pStyle w:val="Normal"/>
      </w:pPr>
      <w:r>
        <w:t>1. Where a Party establishes or is required to maintain a treaty-created administrative pathway, it shall maintain administrative capacity reasonably sufficient to keep that pathway operational under foreseeable ordinary demand.</w:t>
      </w:r>
    </w:p>
    <w:p>
      <w:pPr>
        <w:pStyle w:val="Normal"/>
      </w:pPr>
      <w:r>
        <w:t>2. This obligation does not prescribe staffing levels, appropriations, organizational design, or technology. Temporary extraordinary demand, disasters, strikes, cyber incidents, or other genuine disruptions may justify proportionate temporary delay subject to continuity measures under Chapter 47.</w:t>
      </w:r>
    </w:p>
    <w:p>
      <w:pPr>
        <w:pStyle w:val="Normal"/>
      </w:pPr>
      <w:r>
        <w:t>3. Repeated reliance on substantially similar workload conditions shall progressively weaken a claim that the workload was unforeseeable.</w:t>
      </w:r>
    </w:p>
    <w:p>
      <w:pPr>
        <w:pStyle w:val="Normal"/>
      </w:pPr>
      <w:r>
        <w:t>4. Creation of an optional expedited, trusted, or enhanced pathway shall not justify deliberate degradation of the ordinary pathway below its independently applicable treaty standard.</w:t>
      </w:r>
    </w:p>
    <w:p>
      <w:pPr>
        <w:pStyle w:val="Normal"/>
      </w:pPr>
      <w:r>
        <w:t>5. Where a material capacity constraint is reasonably susceptible to cooperative correction, the administering Party should first use the shared implementation support mechanisms of Annex 34-H before treating recurring workload as unavoidable. Acceptance of technical assistance does not transfer legal responsibility for the underlying obligation or authorize another Party to direct the administering authority.</w:t>
      </w:r>
    </w:p>
    <w:p>
      <w:pPr>
        <w:pStyle w:val="Heading2"/>
      </w:pPr>
      <w:bookmarkStart w:id="901841" w:name="_Toc300001840"/>
      <w:r>
        <w:t>Article 50.18: Functional Administrative Instruments and Reliance</w:t>
      </w:r>
      <w:bookmarkEnd w:id="901841"/>
    </w:p>
    <w:p>
      <w:pPr>
        <w:pStyle w:val="Normal"/>
      </w:pPr>
      <w:r>
        <w:t>1. For treaty review, a measure may include a binding or practically determinative guidance document, circular, FAQ, technical bulletin, enforcement manual, algorithmic rule, repeated administrative practice, or delegated instruction where it materially determines access to a treaty benefit, regardless of its domestic label as non-binding.</w:t>
      </w:r>
    </w:p>
    <w:p>
      <w:pPr>
        <w:pStyle w:val="Normal"/>
      </w:pPr>
      <w:r>
        <w:t>2. Article 47.17 applies to good-faith reliance on authenticated authoritative guidance. Material interpretive changes should be prospective where practicable and accompanied by reasonable transition appropriate to risk and urgency.</w:t>
      </w:r>
    </w:p>
    <w:p>
      <w:pPr>
        <w:pStyle w:val="Normal"/>
      </w:pPr>
      <w:r>
        <w:t>3. A Party may correct erroneous guidance immediately where necessary to protect health, safety, security, revenue, privacy, environment, or prevent fraud, provided affected persons receive a fair opportunity to cure past good-faith reliance where compatible with the legitimate objective.</w:t>
      </w:r>
    </w:p>
    <w:p>
      <w:pPr>
        <w:pStyle w:val="Heading2"/>
      </w:pPr>
      <w:bookmarkStart w:id="901842" w:name="_Toc300001841"/>
      <w:r>
        <w:t>Article 50.19: Seasonal, Corridor, Tail-Risk, and Commercial-Criticality Review</w:t>
      </w:r>
      <w:bookmarkEnd w:id="901842"/>
    </w:p>
    <w:p>
      <w:pPr>
        <w:pStyle w:val="Normal"/>
      </w:pPr>
      <w:r>
        <w:t>1. Administrative performance analysis shall consider commercially critical timing where delay has materially different consequences for perishables, harvest periods, production-line continuity, model launches, emergency supplies, or other objectively time-sensitive commerce.</w:t>
      </w:r>
    </w:p>
    <w:p>
      <w:pPr>
        <w:pStyle w:val="Normal"/>
      </w:pPr>
      <w:r>
        <w:t>2. Authorities shall not be required to guarantee uninterrupted commerce or eliminate legitimate seasonal enforcement. Review shall distinguish genuine capacity or risk conditions from unexplained concentration of burden during known critical commercial windows.</w:t>
      </w:r>
    </w:p>
    <w:p>
      <w:pPr>
        <w:pStyle w:val="Normal"/>
      </w:pPr>
      <w:r>
        <w:t>3. Where averages conceal material tail delays, treaty bodies may consider percentile delay, extreme-hold frequency, repeat inspection, and duration distributions in addition to averages and medians.</w:t>
      </w:r>
    </w:p>
    <w:p>
      <w:pPr>
        <w:pStyle w:val="Normal"/>
      </w:pPr>
      <w:r>
        <w:t>4. Corridor-specific analysis may be used where geography or infrastructure makes a national average materially misleading.</w:t>
      </w:r>
    </w:p>
    <w:p>
      <w:pPr>
        <w:pStyle w:val="Heading1"/>
      </w:pPr>
      <w:bookmarkStart w:id="901837" w:name="_Toc300001836"/>
      <w:r>
        <w:t>CHAPTER 51</w:t>
      </w:r>
      <w:r>
        <w:br/>
      </w:r>
      <w:r>
        <w:t>SYMMETRICAL LABOR, ENVIRONMENTAL, AND SCIENTIFIC COOPERATION</w:t>
      </w:r>
      <w:bookmarkEnd w:id="901837"/>
    </w:p>
    <w:p>
      <w:pPr>
        <w:pStyle w:val="Heading2"/>
      </w:pPr>
      <w:bookmarkStart w:id="901843" w:name="_Toc300001842"/>
      <w:r>
        <w:t>Article 51.1: Symmetrical Labor Enforcement</w:t>
      </w:r>
      <w:bookmarkEnd w:id="901843"/>
    </w:p>
    <w:p>
      <w:pPr>
        <w:pStyle w:val="Normal"/>
      </w:pPr>
      <w:r>
        <w:t>1. Comparable labor obligations are enforceable according to equivalent evidentiary and procedural standards in Canada, Mexico, and the United States. No Party receives a treaty-created presumption that systemic labor non-compliance can occur only in another Party.</w:t>
      </w:r>
    </w:p>
    <w:p>
      <w:pPr>
        <w:pStyle w:val="Normal"/>
      </w:pPr>
      <w:r>
        <w:t>2. The North American Facility-Specific Labour Remedy under Article 31.E remains available for localized denial-of-rights matters within its defined scope. The Systemic Labor Rapid-Response Track referenced in this Article means the systemic route defined in Article 23.P(4), consisting of Article 23.C verification and otherwise available Chapter 31 proceedings.</w:t>
      </w:r>
    </w:p>
    <w:p>
      <w:pPr>
        <w:pStyle w:val="Normal"/>
      </w:pPr>
      <w:r>
        <w:t>3. The Systemic Labor Rapid-Response Track requires particularized evidence, a meaningful opportunity to cure, independent factual verification under Article 23.C, and a time-bound remediation plan before trade consequences are considered. Article 23.P(4) identifies the systemic route, while any applicable Chapter 31 procedure supplies additional process without displacing these minimum safeguards. The cure opportunity and remediation plan are requirements of this paragraph and do not depend on Article 23.C independently supplying them. A reference in this Chapter to the Systemic Track has the same meaning and does not create a separate labor-enforcement route.</w:t>
      </w:r>
    </w:p>
    <w:p>
      <w:pPr>
        <w:pStyle w:val="Heading2"/>
      </w:pPr>
      <w:bookmarkStart w:id="901844" w:name="_Toc300001843"/>
      <w:r>
        <w:t>Article 51.2: Environmental Rapid Technical Review</w:t>
      </w:r>
      <w:bookmarkEnd w:id="901844"/>
    </w:p>
    <w:p>
      <w:pPr>
        <w:pStyle w:val="Normal"/>
      </w:pPr>
      <w:r>
        <w:t>1. A material allegation of failure to enforce an environmental obligation proceeds through the independent factual-verification procedure in Article 24.C to the extent that Article applies to an alleged systemic failure before a trade remedy. For a material environmental allegation outside Article 24.C's scope, the allegation proceeds through the otherwise applicable Chapter 24 consultation, cooperation, verification, or dispute procedure and does not acquire Article 24.C jurisdiction merely by reference in this Article. Where Article 24.C applies, it supplies the reviewing Team, evidentiary mandate, records process, and applicable clock. The Team distinguishes factual environmental conditions from the legal question of treaty breach and does not acquire a separate remedial mandate under this Article.</w:t>
      </w:r>
    </w:p>
    <w:p>
      <w:pPr>
        <w:pStyle w:val="Normal"/>
      </w:pPr>
      <w:r>
        <w:t>2. Evidentiary inferences for non-cooperation are governed by Article 24.C, including its notice, records, and justification rules. This Article creates no second cure requirement, inference standard, or rehearing route and does not treat ordinary scientific uncertainty as non-cooperation.</w:t>
      </w:r>
    </w:p>
    <w:p>
      <w:pPr>
        <w:pStyle w:val="Heading2"/>
      </w:pPr>
      <w:bookmarkStart w:id="901845" w:name="_Toc300001844"/>
      <w:r>
        <w:t>Article 51.3: Biodiversity, Habitat, and Circular Economy Cooperation</w:t>
      </w:r>
      <w:bookmarkEnd w:id="901845"/>
    </w:p>
    <w:p>
      <w:pPr>
        <w:pStyle w:val="Normal"/>
      </w:pPr>
      <w:r>
        <w:t>1. Cooperative work under Chapter 24 shall include biodiversity, habitat connectivity, invasive species, circular production, material recovery, wildfire resilience, water efficiency, and other agreed regional environmental priorities.</w:t>
      </w:r>
    </w:p>
    <w:p>
      <w:pPr>
        <w:pStyle w:val="Heading2"/>
      </w:pPr>
      <w:bookmarkStart w:id="901846" w:name="_Toc300001845"/>
      <w:r>
        <w:t>Article 51.4: Independent Scientific Advisory Review</w:t>
      </w:r>
      <w:bookmarkEnd w:id="901846"/>
    </w:p>
    <w:p>
      <w:pPr>
        <w:pStyle w:val="Normal"/>
      </w:pPr>
      <w:r>
        <w:t>1. Where a cross-border environmental, SPS, or emerging-technology risk requires independent scientific advice, the Commission or competent committee may convene an ad hoc scientific advisory review using qualified experts from existing treaty rosters, competent agencies, or mutually accepted external experts. No separately staffed permanent scientific committee is created by this Article.</w:t>
      </w:r>
    </w:p>
    <w:p>
      <w:pPr>
        <w:pStyle w:val="Normal"/>
      </w:pPr>
      <w:r>
        <w:t>2. Scientific advice is non-binding and does not itself establish a violation. The review shall disclose methodology, material uncertainty, conflicts of interest, and material dissenting views, subject to lawful confidentiality and security protections.</w:t>
      </w:r>
    </w:p>
    <w:p>
      <w:pPr>
        <w:pStyle w:val="Heading2"/>
      </w:pPr>
      <w:bookmarkStart w:id="901847" w:name="_Toc300001846"/>
      <w:r>
        <w:t>Article 51.5: Rapid SPS Scientific Exchange and Equivalence</w:t>
      </w:r>
      <w:bookmarkEnd w:id="901847"/>
    </w:p>
    <w:p>
      <w:pPr>
        <w:pStyle w:val="Normal"/>
      </w:pPr>
      <w:r>
        <w:t>1. The Parties shall maintain a rapid channel for exchanging scientific data, risk assessments, outbreak information, plant-health information, and relevant laboratory findings.</w:t>
      </w:r>
    </w:p>
    <w:p>
      <w:pPr>
        <w:pStyle w:val="Normal"/>
      </w:pPr>
      <w:r>
        <w:t>2. Where Parties use different maximum residue limits or other SPS thresholds, they shall seek equivalence or mutual recognition when supported by scientific evidence. This Article does not require identical safety levels.</w:t>
      </w:r>
    </w:p>
    <w:p>
      <w:pPr>
        <w:pStyle w:val="Heading1"/>
      </w:pPr>
      <w:bookmarkStart w:id="901848" w:name="_Toc300001847"/>
      <w:r>
        <w:t>CHAPTER 52</w:t>
      </w:r>
      <w:r>
        <w:br/>
      </w:r>
      <w:r>
        <w:t>SIDE INSTRUMENTS, TRILATERAL INTEGRITY, AND IMPLEMENTATION</w:t>
      </w:r>
      <w:bookmarkEnd w:id="901848"/>
    </w:p>
    <w:p>
      <w:pPr>
        <w:pStyle w:val="Heading2"/>
      </w:pPr>
      <w:bookmarkStart w:id="901849" w:name="_Toc300001848"/>
      <w:r>
        <w:t>Article 52.1: Bilateral Side Instruments</w:t>
      </w:r>
      <w:bookmarkEnd w:id="901849"/>
    </w:p>
    <w:p>
      <w:pPr>
        <w:pStyle w:val="Normal"/>
      </w:pPr>
      <w:r>
        <w:t>1. Two Parties may conclude a bilateral side letter, implementing arrangement, or sectoral understanding relating to this Agreement. Such an instrument may supplement or implement obligations between its participants only within authority provided by this Agreement or applicable international law; it shall not reduce, amend, suspend, condition, or reinterpret the rights or obligations of the third Party without that Party's express consent.</w:t>
      </w:r>
    </w:p>
    <w:p>
      <w:pPr>
        <w:pStyle w:val="Normal"/>
      </w:pPr>
      <w:r>
        <w:t>2. An instrument intended to modify operative CUSMA rights shall be submitted to the Free Trade Commission and completed through the amendment procedure applicable to this Agreement. A binding side instrument shall identify its participants, legal authority, relationship to this Agreement, effective date, duration or termination rule, and any accession procedure for the third Party, and shall be published except to the extent lawful confidentiality or security requires protected treatment.</w:t>
      </w:r>
    </w:p>
    <w:p>
      <w:pPr>
        <w:pStyle w:val="Heading2"/>
      </w:pPr>
      <w:bookmarkStart w:id="901850" w:name="_Toc300001849"/>
      <w:r>
        <w:t>Article 52.2: Implementation Fallback</w:t>
      </w:r>
      <w:bookmarkEnd w:id="901850"/>
    </w:p>
    <w:p>
      <w:pPr>
        <w:pStyle w:val="Normal"/>
      </w:pPr>
      <w:r>
        <w:t>1. Where an implementing committee, regulation, technical annex, digital system, uniform procedure, or side instrument is not operational by its deadline, the fallback expressly assigned by this Agreement controls; where no specific fallback exists, the pre-existing treaty rule continues. Annex 34-H governs any applicable institutional or operational fallback and is not displaced by this Article. If an implementing or side instrument conflicts with this Agreement, this Agreement controls to the extent of the conflict unless the instrument was adopted through the applicable amendment procedure. Failure of an implementation instrument does not enlarge the authority of a fallback body beyond the authority assigned by the controlling provision.</w:t>
      </w:r>
    </w:p>
    <w:p>
      <w:pPr>
        <w:pStyle w:val="Normal"/>
      </w:pPr>
      <w:r>
        <w:t>2. Failure to complete an implementation instrument shall not create a regulatory vacuum or authorize a Party to suspend unrelated benefits.</w:t>
      </w:r>
    </w:p>
    <w:p>
      <w:pPr>
        <w:pStyle w:val="Heading2"/>
      </w:pPr>
      <w:bookmarkStart w:id="901851" w:name="_Toc300001850"/>
      <w:r>
        <w:t>Article 52.3: Transition Design Rule</w:t>
      </w:r>
      <w:bookmarkEnd w:id="901851"/>
    </w:p>
    <w:p>
      <w:pPr>
        <w:pStyle w:val="Normal"/>
      </w:pPr>
      <w:r>
        <w:t>1. A new obligation requiring material capital investment, supply-chain restructuring, software deployment, certification-system replacement, or sub-federal implementation shall specify an effective date, interim rule, responsible body, and measurable readiness criteria.</w:t>
      </w:r>
    </w:p>
    <w:p>
      <w:pPr>
        <w:pStyle w:val="Normal"/>
      </w:pPr>
      <w:r>
        <w:t>2. The Commission may accelerate implementation by consensus where readiness is demonstrated and the controlling provision permits acceleration. It may extend a deadline created solely by an implementing technical instrument for good cause, but it does not extend a treaty-level deadline, ceiling, guarantee, cure period, review period, or other time limit fixed by the Agreement unless the controlling treaty provision expressly authorizes that extension. Article 34.3.A(3) and any more specific deadline rule control in the event of inconsistency. An extension under this paragraph does not reduce the substantive obligation or delay a right that the Agreement makes effective automatically.</w:t>
      </w:r>
    </w:p>
    <w:p>
      <w:pPr>
        <w:pStyle w:val="Normal"/>
      </w:pPr>
      <w:r>
        <w:t>PACKAGE R: REVIEW STABILITY, SECTORAL ACCESS, SME MODERNIZATION, AND SYMMETRICAL ENFORCEMENT (v3.6) - DEVELOPMENT PROVENANCE. This package descriptor records the development origin of the integrated provisions and does not create an independent operative instrument, adoption gate, or source of legal authority. Its subjects are implemented only through the Articles, Annexes, and schedules in which they now appear. In a conflict between this provenance note and operative treaty text, the operative treaty text controls.</w:t>
      </w:r>
    </w:p>
    <w:p>
      <w:pPr>
        <w:pStyle w:val="Heading1"/>
      </w:pPr>
      <w:bookmarkStart w:id="901852" w:name="_Toc300001851"/>
      <w:r>
        <w:t>CHAPTER 53</w:t>
      </w:r>
      <w:r>
        <w:br/>
      </w:r>
      <w:r>
        <w:t>PREDICTABILITY, PATTERN REVIEW, AND ADAPTIVE IMPLEMENTATION</w:t>
      </w:r>
      <w:bookmarkEnd w:id="901852"/>
    </w:p>
    <w:p>
      <w:pPr>
        <w:pStyle w:val="Heading2"/>
      </w:pPr>
      <w:bookmarkStart w:id="901853" w:name="_Toc300001852"/>
      <w:r>
        <w:t>Article 53.1: Material Trade Measure Notice Rule</w:t>
      </w:r>
      <w:bookmarkEnd w:id="901853"/>
    </w:p>
    <w:p>
      <w:pPr>
        <w:pStyle w:val="Normal"/>
      </w:pPr>
      <w:r>
        <w:t>1. Except where Article 35.21, Article 35.24(5), or another express emergency provision permits immediate action, a Party introducing a material new border restriction, import licensing limitation, export restriction, discriminatory fee, or other measure reasonably expected to disrupt covered North American trade provides advance notice and a concise statement of legal basis, scope, intended duration, and affected sectors. Emergency action taken under a controlling emergency provision remains governed by that provision and is not delayed by this Article.</w:t>
      </w:r>
    </w:p>
    <w:p>
      <w:pPr>
        <w:pStyle w:val="Normal"/>
      </w:pPr>
      <w:r>
        <w:t>2. Advance notice should ordinarily occur at least 30 days before entry into effect. Where urgent circumstances make that impracticable, notice shall occur as soon as practicable and no later than 24 hours after the measure takes effect, together with the emergency basis for shortened notice.</w:t>
      </w:r>
    </w:p>
    <w:p>
      <w:pPr>
        <w:pStyle w:val="Normal"/>
      </w:pPr>
      <w:r>
        <w:t>3. Ordinary domestic regulation of general application is not subject to this Article solely because it has incidental trade effects. The rule targets material trade actions whose principal operation occurs at the border or directly conditions cross-border access.</w:t>
      </w:r>
    </w:p>
    <w:p>
      <w:pPr>
        <w:pStyle w:val="Heading2"/>
      </w:pPr>
      <w:bookmarkStart w:id="901854" w:name="_Toc300001853"/>
      <w:r>
        <w:t>Article 53.2: Administrative Obstruction and Regulatory Surprise Review</w:t>
      </w:r>
      <w:bookmarkEnd w:id="901854"/>
    </w:p>
    <w:p>
      <w:pPr>
        <w:pStyle w:val="Normal"/>
      </w:pPr>
      <w:r>
        <w:t>1. A Party requests cumulative-friction review through the consolidated intake function in Article 30.B(3) where individually modest administrative actions, taken together, plausibly produce a material barrier to originating trade, including unexplained inspection escalation, repeated duplicative information demands, selective reclassification, abnormal licensing delay, inconsistent port treatment, or sudden procedural change without a reasonable transition. The Secretariat routes the request to the competent existing committee or dispute body identified by the legal subject matter and does not create a new standing review body.</w:t>
      </w:r>
    </w:p>
    <w:p>
      <w:pPr>
        <w:pStyle w:val="Normal"/>
      </w:pPr>
      <w:r>
        <w:t>2. No single event establishes a violation merely because it is inconvenient or costly. The assigned body considers pattern, comparator treatment, duration, explanation, risk basis, corrective efforts, and commercial effect and issues its review within 60 days unless the controlling procedure supplies a shorter clock. Where the matter enters Chapter 31, Chapter 35, Chapter 46, or another procedure with its own forum or clock, that procedure controls and this Article creates no duplicate proceeding.</w:t>
      </w:r>
    </w:p>
    <w:p>
      <w:pPr>
        <w:pStyle w:val="Normal"/>
      </w:pPr>
      <w:r>
        <w:t>3. A finding requires evidence that the cumulative conduct is discriminatory, arbitrary, intentionally obstructive, or manifestly disproportionate to a legitimate administrative objective.</w:t>
      </w:r>
    </w:p>
    <w:p>
      <w:pPr>
        <w:pStyle w:val="Heading2"/>
      </w:pPr>
      <w:bookmarkStart w:id="901855" w:name="_Toc300001854"/>
      <w:r>
        <w:t>Article 53.3: Pattern-of-Conduct Ledger</w:t>
      </w:r>
      <w:bookmarkEnd w:id="901855"/>
    </w:p>
    <w:p>
      <w:pPr>
        <w:pStyle w:val="Normal"/>
      </w:pPr>
      <w:r>
        <w:t>1. The Secretariat maintains a confidential Pattern-of-Conduct Ledger for related sub-threshold implementation events received through the consolidated Article 30.B(3) intake function from Parties, customs authorities, firms, or recognized stakeholders. A separate submission channel is not created by this Article.</w:t>
      </w:r>
    </w:p>
    <w:p>
      <w:pPr>
        <w:pStyle w:val="Normal"/>
      </w:pPr>
      <w:r>
        <w:t>2. Ledger entries are leads, not findings. Entry creates no presumption of wrongdoing, no automatic remedy, and no public stigma.</w:t>
      </w:r>
    </w:p>
    <w:p>
      <w:pPr>
        <w:pStyle w:val="Normal"/>
      </w:pPr>
      <w:r>
        <w:t>3. Repeated related events involving the same measure, authority, product class, facility, importer, or policy objective may be consolidated for structural review when the cumulative record plausibly indicates systemic impairment.</w:t>
      </w:r>
    </w:p>
    <w:p>
      <w:pPr>
        <w:pStyle w:val="Normal"/>
      </w:pPr>
      <w:r>
        <w:t>4. A Party receives notice and an opportunity to correct inaccurate ledger entries before the entries may be relied upon in a formal proceeding.</w:t>
      </w:r>
    </w:p>
    <w:p>
      <w:pPr>
        <w:pStyle w:val="Heading2"/>
      </w:pPr>
      <w:bookmarkStart w:id="901856" w:name="_Toc300001855"/>
      <w:r>
        <w:t>Article 53.4: Compliance Stabilization and Predictability Restoration Pathway</w:t>
      </w:r>
      <w:bookmarkEnd w:id="901856"/>
    </w:p>
    <w:p>
      <w:pPr>
        <w:pStyle w:val="Normal"/>
      </w:pPr>
      <w:r>
        <w:t>1. After two or more final findings of materially related non-compliance within 36 months, the affected Party may elect a Compliance Stabilization Period of 12 to 24 months by notice to the Secretariat and the other Parties. The notice identifies the final findings, covered subject matter, selected duration, responsible national authority, and remediation calendar, and the Secretariat records the election without exercising approval discretion.</w:t>
      </w:r>
    </w:p>
    <w:p>
      <w:pPr>
        <w:pStyle w:val="Normal"/>
      </w:pPr>
      <w:r>
        <w:t>2. During the period, the electing Party provides enhanced notice for materially related trade measures, maintains the published remediation calendar, and accepts proportionate monitoring through the existing body or procedure that issued or administers the underlying findings. The monitoring body does not acquire authority over unrelated measures or a remedy not available under the controlling provision.</w:t>
      </w:r>
    </w:p>
    <w:p>
      <w:pPr>
        <w:pStyle w:val="Normal"/>
      </w:pPr>
      <w:r>
        <w:t>3. Heightened presumptions or monitoring arising solely from the prior pattern are suspended once the electing Party completes six months of verified clean compliance and terminate upon successful completion of the Stabilization Period. The body responsible for the underlying findings verifies completion within 30 days after the relevant milestone, and failure to act may be referred through Article 30.B(3) without extending the Stabilization Period.</w:t>
      </w:r>
    </w:p>
    <w:p>
      <w:pPr>
        <w:pStyle w:val="Normal"/>
      </w:pPr>
      <w:r>
        <w:t>4. A new unrelated dispute does not cancel progress under this Article. A materially related repeat violation pauses earn-back only to the extent necessary to verify and remediate that violation.</w:t>
      </w:r>
    </w:p>
    <w:p>
      <w:pPr>
        <w:pStyle w:val="Heading2"/>
      </w:pPr>
      <w:bookmarkStart w:id="901857" w:name="_Toc300001856"/>
      <w:r>
        <w:t>Article 53.5: Institutional Predictability Calendar</w:t>
      </w:r>
      <w:bookmarkEnd w:id="901857"/>
    </w:p>
    <w:p>
      <w:pPr>
        <w:pStyle w:val="Normal"/>
      </w:pPr>
      <w:r>
        <w:t>1. The Secretariat shall maintain a single public calendar identifying scheduled Commission reviews, committee meetings, recurring reports, technical consultations, pilot milestones, implementation deadlines, planned system maintenance, and known sectoral review windows.</w:t>
      </w:r>
    </w:p>
    <w:p>
      <w:pPr>
        <w:pStyle w:val="Normal"/>
      </w:pPr>
      <w:r>
        <w:t>2. Omission from the calendar does not invalidate an otherwise lawful action, but a body that misses a published deadline shall record the delay, interim fallback, responsible body, and revised completion date.</w:t>
      </w:r>
    </w:p>
    <w:p>
      <w:pPr>
        <w:pStyle w:val="Heading2"/>
      </w:pPr>
      <w:bookmarkStart w:id="901858" w:name="_Toc300001857"/>
      <w:r>
        <w:t>Article 53.6: Learning Engine and Recursive Improvement</w:t>
      </w:r>
      <w:bookmarkEnd w:id="901858"/>
    </w:p>
    <w:p>
      <w:pPr>
        <w:pStyle w:val="Normal"/>
      </w:pPr>
      <w:r>
        <w:t>1. A recurring implementation problem identified in two Treaty Resilience Exercises, two final panel findings, or three verified administrative incidents within five years triggers a Learning Review by the responsible committee.</w:t>
      </w:r>
    </w:p>
    <w:p>
      <w:pPr>
        <w:pStyle w:val="Normal"/>
      </w:pPr>
      <w:r>
        <w:t>2. The committee shall determine whether the recurring problem results from treaty text, implementing regulation, operational procedure, staffing, technology, data quality, or another cause and shall propose an appropriate correction or publish a reasoned explanation for taking no action.</w:t>
      </w:r>
    </w:p>
    <w:p>
      <w:pPr>
        <w:pStyle w:val="Normal"/>
      </w:pPr>
      <w:r>
        <w:t>3. A Learning Review may amend an operational procedure or recommend a technical or treaty amendment but may not alter a substantive right without using the legally required amendment process.</w:t>
      </w:r>
    </w:p>
    <w:p>
      <w:pPr>
        <w:pStyle w:val="Heading2"/>
      </w:pPr>
      <w:bookmarkStart w:id="901859" w:name="_Toc300001858"/>
      <w:r>
        <w:t>Article 53.7: Outcome-Based Effectiveness Audit</w:t>
      </w:r>
      <w:bookmarkEnd w:id="901859"/>
    </w:p>
    <w:p>
      <w:pPr>
        <w:pStyle w:val="Normal"/>
      </w:pPr>
      <w:r>
        <w:t>1. The Secretariat shall conduct periodic randomized and risk-based audits of whether major implementation mechanisms achieve their stated operational results, rather than auditing only documentary compliance.</w:t>
      </w:r>
    </w:p>
    <w:p>
      <w:pPr>
        <w:pStyle w:val="Normal"/>
      </w:pPr>
      <w:r>
        <w:t>2. Audits may measure, as applicable, clearance time, SME burden, trusted-trader performance, TRQ utilization, verification accuracy, dispute duration, restoration speed, system uptime, false-positive rates, and actual use of fallback procedures.</w:t>
      </w:r>
    </w:p>
    <w:p>
      <w:pPr>
        <w:pStyle w:val="Normal"/>
      </w:pPr>
      <w:r>
        <w:t>3. Results are classified Green, Amber, or Red for administrative purposes. A Red result triggers a remediation plan; it does not itself establish treaty breach.</w:t>
      </w:r>
    </w:p>
    <w:p>
      <w:pPr>
        <w:pStyle w:val="Normal"/>
      </w:pPr>
      <w:r>
        <w:t>4. Good-faith self-reporting of an implementation deficiency before formal detection is a mitigating factor and may qualify for a corrective safe harbor where no fraud, concealment, or material injury occurred.</w:t>
      </w:r>
    </w:p>
    <w:p>
      <w:pPr>
        <w:pStyle w:val="Heading2"/>
      </w:pPr>
      <w:bookmarkStart w:id="901860" w:name="_Toc300001859"/>
      <w:r>
        <w:t>Article 53.8: Treaty Restraint Dashboard</w:t>
      </w:r>
      <w:bookmarkEnd w:id="901860"/>
    </w:p>
    <w:p>
      <w:pPr>
        <w:pStyle w:val="Normal"/>
      </w:pPr>
      <w:r>
        <w:t>1. The Secretariat shall publish aggregate indicators showing how frequently the Agreement uses escalated enforcement rather than correction, including emergency-measure frequency, average restrictive-measure duration, restoration through earn-back, consultation-resolution rates, interim-measure use, innocent-trade effects, and verification reversal rates.</w:t>
      </w:r>
    </w:p>
    <w:p>
      <w:pPr>
        <w:pStyle w:val="Normal"/>
      </w:pPr>
      <w:r>
        <w:t>2. The Dashboard is a system-health tool and has no independent legal effect. Its purpose is to identify whether emergency or enforcement architecture is drifting toward routine punitive use.</w:t>
      </w:r>
    </w:p>
    <w:p>
      <w:pPr>
        <w:pStyle w:val="Heading1"/>
      </w:pPr>
      <w:bookmarkStart w:id="901861" w:name="_Toc300001860"/>
      <w:r>
        <w:t>CHAPTER 54</w:t>
      </w:r>
      <w:r>
        <w:br/>
      </w:r>
      <w:r>
        <w:t>PRIVATE-SECTOR CONTINUITY, INTEGRITY, AND COMMERCIAL EARLY WARNING</w:t>
      </w:r>
      <w:bookmarkEnd w:id="901861"/>
    </w:p>
    <w:p>
      <w:pPr>
        <w:pStyle w:val="Heading2"/>
      </w:pPr>
      <w:bookmarkStart w:id="901862" w:name="_Toc300001861"/>
      <w:r>
        <w:t>Article 54.1: Private-Sector Compliance Principles</w:t>
      </w:r>
      <w:bookmarkEnd w:id="901862"/>
    </w:p>
    <w:p>
      <w:pPr>
        <w:pStyle w:val="Normal"/>
      </w:pPr>
      <w:r>
        <w:t>1. Treaty-created compliance duties imposed on private actors follow four principles: proportionality to demonstrated risk; predictability through published requirements; due process through notice and review; and non-punitive treatment of firms that act in good faith under applicable law.</w:t>
      </w:r>
    </w:p>
    <w:p>
      <w:pPr>
        <w:pStyle w:val="Normal"/>
      </w:pPr>
      <w:r>
        <w:t>2. A new private-sector duty shall identify the covered actors, required data or conduct, effective date, retention period, review channel, and consequences of material non-compliance.</w:t>
      </w:r>
    </w:p>
    <w:p>
      <w:pPr>
        <w:pStyle w:val="Normal"/>
      </w:pPr>
      <w:r>
        <w:t>3. A firm is not penalized merely because it is commercially exposed to a government dispute or because it lawfully complies with another Party's domestic law, unless the specific conduct independently violates an applicable CUSMA obligation or implementing law.</w:t>
      </w:r>
    </w:p>
    <w:p>
      <w:pPr>
        <w:pStyle w:val="Heading2"/>
      </w:pPr>
      <w:bookmarkStart w:id="901863" w:name="_Toc300001862"/>
      <w:r>
        <w:t>Article 54.2: Commercial Friction Early Warning Channel</w:t>
      </w:r>
      <w:bookmarkEnd w:id="901863"/>
    </w:p>
    <w:p>
      <w:pPr>
        <w:pStyle w:val="Normal"/>
      </w:pPr>
      <w:r>
        <w:t>1. The Secretariat maintains, as part of the consolidated Article 30.B(3) intake function, a confidential channel through which firms, trade associations, labor organizations, logistics providers, customs brokers, and other recognized stakeholders may report emerging border friction, abnormal contract cancellation, regulatory inconsistency, credential compromise, supply disruption, or other implementation problems. Reports are routed through existing treaty bodies according to subject matter rather than through a separate adjudicative intake route.</w:t>
      </w:r>
    </w:p>
    <w:p>
      <w:pPr>
        <w:pStyle w:val="Normal"/>
      </w:pPr>
      <w:r>
        <w:t>2. A submission is an investigative lead, not evidence of breach. No adverse treaty consequence may rest on a submission unless independently corroborated.</w:t>
      </w:r>
    </w:p>
    <w:p>
      <w:pPr>
        <w:pStyle w:val="Normal"/>
      </w:pPr>
      <w:r>
        <w:t>3. The Secretariat shall protect confidential business information and may aggregate reports to identify systemic issues without disclosing the identity of a reporter.</w:t>
      </w:r>
    </w:p>
    <w:p>
      <w:pPr>
        <w:pStyle w:val="Heading2"/>
      </w:pPr>
      <w:bookmarkStart w:id="901864" w:name="_Toc300001863"/>
      <w:r>
        <w:t>Article 54.3: Business Continuity Safe Harbor</w:t>
      </w:r>
      <w:bookmarkEnd w:id="901864"/>
    </w:p>
    <w:p>
      <w:pPr>
        <w:pStyle w:val="Normal"/>
      </w:pPr>
      <w:r>
        <w:t>1. A trader that follows an officially activated contingency procedure during a system outage, border disruption, emergency corridor activation, or other declared continuity event shall not later be penalized solely for failing to use the superseded ordinary procedure.</w:t>
      </w:r>
    </w:p>
    <w:p>
      <w:pPr>
        <w:pStyle w:val="Normal"/>
      </w:pPr>
      <w:r>
        <w:t>2. The safe harbor applies where the trader acts in good faith, preserves reasonably available records, and corrects material deficiencies after ordinary systems return.</w:t>
      </w:r>
    </w:p>
    <w:p>
      <w:pPr>
        <w:pStyle w:val="Normal"/>
      </w:pPr>
      <w:r>
        <w:t>3. Fraud, deliberate evasion, unsafe goods, forced-labor violations, and intentional misuse of the continuity process remain fully enforceable.</w:t>
      </w:r>
    </w:p>
    <w:p>
      <w:pPr>
        <w:pStyle w:val="Heading2"/>
      </w:pPr>
      <w:bookmarkStart w:id="901865" w:name="_Toc300001864"/>
      <w:r>
        <w:t>Article 54.4: Continuity-Certified Supplier Program</w:t>
      </w:r>
      <w:bookmarkEnd w:id="901865"/>
    </w:p>
    <w:p>
      <w:pPr>
        <w:pStyle w:val="Normal"/>
      </w:pPr>
      <w:r>
        <w:t>1. Competent national authorities or an existing treaty body expressly designated by the Commission may recognize firms that demonstrate resilient sourcing, verified contingency logistics, reliable origin records, cybersecurity readiness, and successful participation in an approved continuity exercise. Recognition is voluntary and does not create a new certification agency.</w:t>
      </w:r>
    </w:p>
    <w:p>
      <w:pPr>
        <w:pStyle w:val="Normal"/>
      </w:pPr>
      <w:r>
        <w:t>2. Recognition may support expedited contingency processing, reduced repetitive verification, and priority access to treaty-created emergency logistics information. It does not guarantee procurement awards, prices, subsidies, or market share.</w:t>
      </w:r>
    </w:p>
    <w:p>
      <w:pPr>
        <w:pStyle w:val="Normal"/>
      </w:pPr>
      <w:r>
        <w:t>3. Eligibility, evidence, certifying authority, duration, renewal, suspension, revocation, and restoration criteria shall be published, origin-neutral among the Parties, proportionate to firm size, and accessible to SMEs through a simplified pathway. A materially adverse certification decision shall provide notice and reasons and an opportunity for administrative review or reconsideration.</w:t>
      </w:r>
    </w:p>
    <w:p>
      <w:pPr>
        <w:pStyle w:val="Heading2"/>
      </w:pPr>
      <w:bookmarkStart w:id="901866" w:name="_Toc300001865"/>
      <w:r>
        <w:t>Article 54.5: Standing Expert Rotation and Independence</w:t>
      </w:r>
      <w:bookmarkEnd w:id="901866"/>
    </w:p>
    <w:p>
      <w:pPr>
        <w:pStyle w:val="Normal"/>
      </w:pPr>
      <w:r>
        <w:t>1. Technical experts serving under Chapters 31, 35, 46, 51, and related annexes rotate only in accordance with the appointment, term, recusal, vacancy, and replacement rules governing the body on which they serve. This Article adds conflict-of-interest and current-expertise objectives but does not shorten a fixed term, displace Article 31.C(9), Article 46.12(2), or another controlling selection rule, or authorize discretionary removal of a duly selected chair or member.</w:t>
      </w:r>
    </w:p>
    <w:p>
      <w:pPr>
        <w:pStyle w:val="Normal"/>
      </w:pPr>
      <w:r>
        <w:t>2. The Secretariat shall maintain alternates for each critical specialty and shall disclose non-confidential qualifications, term dates, and recusal information.</w:t>
      </w:r>
    </w:p>
    <w:p>
      <w:pPr>
        <w:pStyle w:val="Heading2"/>
      </w:pPr>
      <w:bookmarkStart w:id="901867" w:name="_Toc300001866"/>
      <w:r>
        <w:t>Article 54.6: Treaty Integrity Function and Protected Reporting</w:t>
      </w:r>
      <w:bookmarkEnd w:id="901867"/>
    </w:p>
    <w:p>
      <w:pPr>
        <w:pStyle w:val="Normal"/>
      </w:pPr>
      <w:r>
        <w:t>1. The Commission designates by consensus an appropriately independent official or existing function within the consolidated Article 30 institutional architecture to receive confidential reports concerning corruption, bribery, evidence manipulation, procurement misconduct, retaliation, undisclosed conflicts, or deliberate sabotage of treaty administration. The designation states the official's or function's term, reporting line, confidentiality safeguards, and recusal rules and does not create a separately staffed Treaty Integrity Office. A designated individual serves a fixed term of three years unless the Commission specifies a shorter transitional term at designation. Removal before expiry requires consensus and stated grounds of incapacity, material misconduct, conflict of interest, or persistent failure to perform the assigned function.</w:t>
      </w:r>
    </w:p>
    <w:p>
      <w:pPr>
        <w:pStyle w:val="Normal"/>
      </w:pPr>
      <w:r>
        <w:t>2. The designated official or function may preserve evidence, conduct a preliminary administrative assessment, and refer matters to an ad hoc independent review panel drawn from applicable rosters or to a competent domestic authority. Interim administrative safeguards may be recommended only within existing treaty or domestic authority.</w:t>
      </w:r>
    </w:p>
    <w:p>
      <w:pPr>
        <w:pStyle w:val="Normal"/>
      </w:pPr>
      <w:r>
        <w:t>3. Good-faith reporters receive confidentiality protection and protection against treaty-institution retaliation. Nothing in this Article creates immunity from domestic criminal law or authorizes the Secretariat to override national whistleblower statutes.</w:t>
      </w:r>
    </w:p>
    <w:p>
      <w:pPr>
        <w:pStyle w:val="Normal"/>
      </w:pPr>
      <w:r>
        <w:t>4. No bounty, electoral consequence, or automatic suspension of a Party's treaty voting rights arises solely from a report. Consequences follow only from established legal authority after independent review.</w:t>
      </w:r>
    </w:p>
    <w:p>
      <w:pPr>
        <w:pStyle w:val="Heading1"/>
      </w:pPr>
      <w:bookmarkStart w:id="901868" w:name="_Toc300001867"/>
      <w:r>
        <w:t>CHAPTER 55</w:t>
      </w:r>
      <w:r>
        <w:br/>
      </w:r>
      <w:r>
        <w:t>STRATEGIC MATERIALS AND LOGISTICS CONTINUITY</w:t>
      </w:r>
      <w:bookmarkEnd w:id="901868"/>
    </w:p>
    <w:p>
      <w:pPr>
        <w:pStyle w:val="Heading2"/>
      </w:pPr>
      <w:bookmarkStart w:id="901869" w:name="_Toc300001868"/>
      <w:r>
        <w:t>Article 55.1: Processed Strategic Materials Reserve Framework</w:t>
      </w:r>
      <w:bookmarkEnd w:id="901869"/>
    </w:p>
    <w:p>
      <w:pPr>
        <w:pStyle w:val="Normal"/>
      </w:pPr>
      <w:r>
        <w:t>1. The Parties may establish coordinated reserves for processed materials whose physical form, purity, qualification, or processing capacity represents a demonstrated North American supply bottleneck, including selected refined critical minerals, magnet materials, battery precursors, specialty alloys, semiconductor inputs, pharmaceutical inputs, or other designated materials.</w:t>
      </w:r>
    </w:p>
    <w:p>
      <w:pPr>
        <w:pStyle w:val="Normal"/>
      </w:pPr>
      <w:r>
        <w:t>2. Reserve decisions shall identify the specific bottleneck, target coverage objective, storage and rotation method, quality assurance, release criteria, replenishment plan, and cost allocation.</w:t>
      </w:r>
    </w:p>
    <w:p>
      <w:pPr>
        <w:pStyle w:val="Normal"/>
      </w:pPr>
      <w:r>
        <w:t>3. The framework does not mandate a fixed reserve duration, guaranteed purchase volume, export prohibition, or preferential supplier nationality beyond ordinary CUSMA origin and procurement rules.</w:t>
      </w:r>
    </w:p>
    <w:p>
      <w:pPr>
        <w:pStyle w:val="Normal"/>
      </w:pPr>
      <w:r>
        <w:t>4. Physical holdings should, where feasible, be geographically distributed and rotationally maintained to reduce degradation and single-point failure.</w:t>
      </w:r>
    </w:p>
    <w:p>
      <w:pPr>
        <w:pStyle w:val="Heading2"/>
      </w:pPr>
      <w:bookmarkStart w:id="901870" w:name="_Toc300001869"/>
      <w:r>
        <w:t>Article 55.2: Emergency Logistics Surge Arrangements</w:t>
      </w:r>
      <w:bookmarkEnd w:id="901870"/>
    </w:p>
    <w:p>
      <w:pPr>
        <w:pStyle w:val="Normal"/>
      </w:pPr>
      <w:r>
        <w:t>1. The Parties maintain or identify pre-negotiated emergency logistics arrangements, using existing competent authorities and commercial or mutual-aid networks, for a qualifying disruption. For this Chapter, a qualifying disruption is an event activated under Article 47.4 or an objectively documented logistics disruption jointly designated by the Commission solely for the temporary operational measures in this Chapter. The designation identifies the affected corridor or function, responsible authorities, start time, and review interval and does not create authority to suspend treaty rights. This Article does not create a separately staffed logistics network.</w:t>
      </w:r>
    </w:p>
    <w:p>
      <w:pPr>
        <w:pStyle w:val="Normal"/>
      </w:pPr>
      <w:r>
        <w:t>2. Arrangements shall identify alternative ports of entry, priority communications, responsible authorities, customs fallback procedures, capacity information, and contacts with relevant carriers, ports, terminals, and logistics providers.</w:t>
      </w:r>
    </w:p>
    <w:p>
      <w:pPr>
        <w:pStyle w:val="Normal"/>
      </w:pPr>
      <w:r>
        <w:t>3. Activation reallocates administrative attention and routing capacity; it does not authorize compulsory private carriage, commandeering, or discriminatory exclusion of lawful traffic.</w:t>
      </w:r>
    </w:p>
    <w:p>
      <w:pPr>
        <w:pStyle w:val="Heading2"/>
      </w:pPr>
      <w:bookmarkStart w:id="901871" w:name="_Toc300001870"/>
      <w:r>
        <w:t>Article 55.3: North American Trade Facilitation Corridors</w:t>
      </w:r>
      <w:bookmarkEnd w:id="901871"/>
    </w:p>
    <w:p>
      <w:pPr>
        <w:pStyle w:val="Normal"/>
      </w:pPr>
      <w:r>
        <w:t>1. During a qualifying disruption defined in Article 55.2, the Commission may activate temporary Trade Facilitation Corridors for essential food, medicines, medical inputs, critical industrial inputs, livestock, perishables, emergency-response material, or other time-sensitive originating goods. The activation notice identifies the corridor, covered goods, responsible competent authorities, operational measures, review interval, and an initial duration not exceeding 90 days. Renewal requires a fresh finding that the qualifying disruption persists and remains subject to any stricter limit in the controlling emergency provision.</w:t>
      </w:r>
    </w:p>
    <w:p>
      <w:pPr>
        <w:pStyle w:val="Normal"/>
      </w:pPr>
      <w:r>
        <w:t>2. Corridor treatment may include alternate routing, consolidated documentation, pre-arrival processing, extended operating hours, priority inspection scheduling, and mutual recognition of approved contingency credentials.</w:t>
      </w:r>
    </w:p>
    <w:p>
      <w:pPr>
        <w:pStyle w:val="Normal"/>
      </w:pPr>
      <w:r>
        <w:t>3. Safety, sanitary, security, animal-health, plant-health, origin, and forced-labor protections remain in force. Corridor treatment accelerates lawful processing rather than waiving substantive standards.</w:t>
      </w:r>
    </w:p>
    <w:p>
      <w:pPr>
        <w:pStyle w:val="Heading2"/>
      </w:pPr>
      <w:bookmarkStart w:id="901872" w:name="_Toc300001871"/>
      <w:r>
        <w:t>Article 55.4: Strategic Supply Pre-Investment and Capacity Mapping</w:t>
      </w:r>
      <w:bookmarkEnd w:id="901872"/>
    </w:p>
    <w:p>
      <w:pPr>
        <w:pStyle w:val="Normal"/>
      </w:pPr>
      <w:r>
        <w:t>1. The Parties may jointly identify processing, storage, transportation, testing, refining, recycling, and qualification capacity whose absence materially increases North American vulnerability.</w:t>
      </w:r>
    </w:p>
    <w:p>
      <w:pPr>
        <w:pStyle w:val="Normal"/>
      </w:pPr>
      <w:r>
        <w:t>2. Joint programs may support feasibility work, permitting coordination, infrastructure, training, research, or financing under domestic law. Participation is voluntary and does not guarantee a private return or displace ordinary competition.</w:t>
      </w:r>
    </w:p>
    <w:p>
      <w:pPr>
        <w:pStyle w:val="Heading2"/>
      </w:pPr>
      <w:bookmarkStart w:id="901873" w:name="_Toc300001872"/>
      <w:r>
        <w:t>Article 55.5: Essential-Imports Continuity Principle</w:t>
      </w:r>
      <w:bookmarkEnd w:id="901873"/>
    </w:p>
    <w:p>
      <w:pPr>
        <w:pStyle w:val="Normal"/>
      </w:pPr>
      <w:r>
        <w:t>1. During Article 47.4 Safe Mode or a qualifying disruption defined in Article 55.2, the Parties prioritize continuity of lawful trade in essential medicines, medical devices, food, energy inputs, water-treatment inputs, emergency equipment, and other goods designated by the Commission through transparent criteria. A designation identifies the covered goods and duration and does not itself authorize an export restriction or other adverse trade measure.</w:t>
      </w:r>
    </w:p>
    <w:p>
      <w:pPr>
        <w:pStyle w:val="Normal"/>
      </w:pPr>
      <w:r>
        <w:t>2. This Article does not compel export where a Party faces a bona fide domestic shortage. Any temporary restriction taken on that basis remains subject to the legal authority, notification, nondiscrimination, proportionality, duration, and review requirements otherwise applicable under Articles 35.21 and 38.4, Chapter 37 where applicable, and any more specific controlling provision. This Article creates no independent shortage exception. Ordinary treatment restores when the controlling legal basis for the restriction ends.</w:t>
      </w:r>
    </w:p>
    <w:p>
      <w:pPr>
        <w:pStyle w:val="Normal"/>
      </w:pPr>
      <w:r>
        <w:t>PACKAGE S: PREDICTABILITY, COMMERCIAL CONTINUITY, OPERATIONAL HIERARCHY, AND STRATEGIC LOGISTICS (v3.7). Mines the strongest transferable mechanics from IMESI without importing coalition-specific coercive tools. Adds advance notice for material trade measures; cumulative administrative-obstruction and regulatory-surprise review; a non-presumptive Pattern-of-Conduct Ledger; voluntary compliance-stabilization and predictability restoration; an Institutional Predictability Calendar; a Learning Engine; outcome-based effectiveness audits; and a Treaty Restraint Dashboard. Adds treaty-level private-sector principles, a Commercial Friction Early Warning Channel, a Business Continuity Safe Harbor, Continuity-Certified Supplier treatment, rotating independent experts, and protected integrity reporting. Creates a processed strategic-materials reserve framework, emergency logistics surge network, temporary trade-facilitation corridors, strategic-capacity mapping, and essential-imports continuity rules. Finally establishes a three-layer instrument hierarchy separating substantive treaty law, binding technical instruments, and a maintainable Operational Manual that can update workflows without silently amending treaty rights.</w:t>
      </w:r>
    </w:p>
    <w:p>
      <w:pPr>
        <w:pStyle w:val="Heading1"/>
      </w:pPr>
      <w:bookmarkStart w:id="901875" w:name="_Toc300001874"/>
      <w:r>
        <w:t>CHAPTER 56</w:t>
      </w:r>
      <w:r>
        <w:br/>
      </w:r>
      <w:r>
        <w:t>ADAPTIVE THRESHOLDS, INSTITUTIONAL MEMORY, AND CONTROLLED EXPERIMENTATION</w:t>
      </w:r>
      <w:bookmarkEnd w:id="901875"/>
    </w:p>
    <w:p>
      <w:pPr>
        <w:pStyle w:val="Heading2"/>
      </w:pPr>
      <w:bookmarkStart w:id="901876" w:name="_Toc300001875"/>
      <w:r>
        <w:t>Article 56.1: Stability-Band Thresholds</w:t>
      </w:r>
      <w:bookmarkEnd w:id="901876"/>
    </w:p>
    <w:p>
      <w:pPr>
        <w:pStyle w:val="Normal"/>
      </w:pPr>
      <w:r>
        <w:t>1. Where a treaty mechanism relies on a quantitative threshold whose repeated crossing could activate and deactivate materially different legal or administrative states, the implementing instrument shall use a stability band where appropriate rather than a single reversible trigger.</w:t>
      </w:r>
    </w:p>
    <w:p>
      <w:pPr>
        <w:pStyle w:val="Normal"/>
      </w:pPr>
      <w:r>
        <w:t>2. An entry threshold and a distinct restoration threshold may be established so that ordinary measurement noise, seasonal fluctuation, or strategic hovering near a boundary does not repeatedly switch the mechanism on and off.</w:t>
      </w:r>
    </w:p>
    <w:p>
      <w:pPr>
        <w:pStyle w:val="Normal"/>
      </w:pPr>
      <w:r>
        <w:t>3. The width of a stability band shall be published, empirically justified, proportionate to measurement uncertainty, and periodically reviewed. It shall not be widened after a dispute begins for the purpose of changing the result.</w:t>
      </w:r>
    </w:p>
    <w:p>
      <w:pPr>
        <w:pStyle w:val="Normal"/>
      </w:pPr>
      <w:r>
        <w:t>4. Nothing in this Article authorizes an automated model to make a final legal determination. Quantitative triggers identify the applicable procedural state; legally consequential findings remain subject to the human-review requirements of Chapters 31, 35, and 46.</w:t>
      </w:r>
    </w:p>
    <w:p>
      <w:pPr>
        <w:pStyle w:val="Heading2"/>
      </w:pPr>
      <w:bookmarkStart w:id="901877" w:name="_Toc300001876"/>
      <w:r>
        <w:t>Article 56.2: Compliance History Decay and Clean-Record Restoration</w:t>
      </w:r>
      <w:bookmarkEnd w:id="901877"/>
    </w:p>
    <w:p>
      <w:pPr>
        <w:pStyle w:val="Normal"/>
      </w:pPr>
      <w:r>
        <w:t>1. Verified prior incidents may inform pattern analysis, but their evidentiary weight shall decline after sustained clean performance so that institutional memory does not become permanent stigma.</w:t>
      </w:r>
    </w:p>
    <w:p>
      <w:pPr>
        <w:pStyle w:val="Normal"/>
      </w:pPr>
      <w:r>
        <w:t>2. Unless a more specific rule applies, a resolved incident receives full pattern weight for 12 months after verified cure, reduced weight during the following 24 months, and no independent aggravating weight after 36 months of materially related clean compliance.</w:t>
      </w:r>
    </w:p>
    <w:p>
      <w:pPr>
        <w:pStyle w:val="Normal"/>
      </w:pPr>
      <w:r>
        <w:t>3. Fraud, deliberate concealment, corruption, or falsification may justify a longer retention period stated in advance by the applicable rule. Historical facts remain archived even when they cease to carry aggravating weight.</w:t>
      </w:r>
    </w:p>
    <w:p>
      <w:pPr>
        <w:pStyle w:val="Normal"/>
      </w:pPr>
      <w:r>
        <w:t>4. A new violation does not automatically revive the full weight of every expired historical incident; revival requires a reasoned finding of a materially related pattern.</w:t>
      </w:r>
    </w:p>
    <w:p>
      <w:pPr>
        <w:pStyle w:val="Heading2"/>
      </w:pPr>
      <w:bookmarkStart w:id="901878" w:name="_Toc300001877"/>
      <w:r>
        <w:t>Article 56.3: Multi-Party Authorization Controls</w:t>
      </w:r>
      <w:bookmarkEnd w:id="901878"/>
    </w:p>
    <w:p>
      <w:pPr>
        <w:pStyle w:val="Normal"/>
      </w:pPr>
      <w:r>
        <w:t>1. No single official or Party credential may unilaterally alter an authoritative Golden Record, release specially protected evidence, restore a compromised shared registry from backup, or activate another function designated as a critical integrity action.</w:t>
      </w:r>
    </w:p>
    <w:p>
      <w:pPr>
        <w:pStyle w:val="Normal"/>
      </w:pPr>
      <w:r>
        <w:t>2. Critical integrity actions require at least two independent authorizations drawn from separate institutional roles, together with an immutable audit record. For the most sensitive functions, the Commission may require a third authorization or independent Integrity Officer concurrence.</w:t>
      </w:r>
    </w:p>
    <w:p>
      <w:pPr>
        <w:pStyle w:val="Normal"/>
      </w:pPr>
      <w:r>
        <w:t>3. Emergency access shall remain possible through a documented break-glass procedure requiring contemporaneous logging, prompt notice, and post-event independent review.</w:t>
      </w:r>
    </w:p>
    <w:p>
      <w:pPr>
        <w:pStyle w:val="Heading2"/>
      </w:pPr>
      <w:bookmarkStart w:id="901879" w:name="_Toc300001878"/>
      <w:r>
        <w:t>Article 56.4: Dormant Authority Expiry</w:t>
      </w:r>
      <w:bookmarkEnd w:id="901879"/>
    </w:p>
    <w:p>
      <w:pPr>
        <w:pStyle w:val="Normal"/>
      </w:pPr>
      <w:r>
        <w:t>1. A temporary committee, emergency power, pilot authority, extraordinary reporting burden, enhanced verification regime, or provisional restriction expires on its stated date unless affirmatively renewed under the authority that created it.</w:t>
      </w:r>
    </w:p>
    <w:p>
      <w:pPr>
        <w:pStyle w:val="Normal"/>
      </w:pPr>
      <w:r>
        <w:t>2. Renewal requires a public or appropriately protected finding that the underlying need continues, that the authority remains proportionate, and that ordinary treaty machinery cannot yet perform the function adequately.</w:t>
      </w:r>
    </w:p>
    <w:p>
      <w:pPr>
        <w:pStyle w:val="Normal"/>
      </w:pPr>
      <w:r>
        <w:t>3. Expiry of a temporary authority does not erase accrued rights, completed findings, preserved evidence, or obligations already due.</w:t>
      </w:r>
    </w:p>
    <w:p>
      <w:pPr>
        <w:pStyle w:val="Heading2"/>
      </w:pPr>
      <w:bookmarkStart w:id="901880" w:name="_Toc300001879"/>
      <w:r>
        <w:t>Article 56.5: Interpretive Uncertainty Register</w:t>
      </w:r>
      <w:bookmarkEnd w:id="901880"/>
    </w:p>
    <w:p>
      <w:pPr>
        <w:pStyle w:val="Normal"/>
      </w:pPr>
      <w:r>
        <w:t>1. The Secretariat shall maintain an Interpretive Uncertainty Register identifying provisions that have produced materially conflicting official interpretations, repeated implementation divergence, or recurring disputes.</w:t>
      </w:r>
    </w:p>
    <w:p>
      <w:pPr>
        <w:pStyle w:val="Normal"/>
      </w:pPr>
      <w:r>
        <w:t>2. A provision enters mandatory clarification review after two final disputes presenting substantially the same interpretive question, or after three documented materially inconsistent administrative applications among the Parties within five years.</w:t>
      </w:r>
    </w:p>
    <w:p>
      <w:pPr>
        <w:pStyle w:val="Normal"/>
      </w:pPr>
      <w:r>
        <w:t>3. The responsible body shall issue an agreed interpretation where authorized, adopt a technical clarification within delegated authority, propose an amendment, or publish a reasoned explanation of why clarification is premature.</w:t>
      </w:r>
    </w:p>
    <w:p>
      <w:pPr>
        <w:pStyle w:val="Normal"/>
      </w:pPr>
      <w:r>
        <w:t>4. Register entry does not prejudge the correct interpretation and may not be cited as evidence that a Party acted unlawfully.</w:t>
      </w:r>
    </w:p>
    <w:p>
      <w:pPr>
        <w:pStyle w:val="Heading2"/>
      </w:pPr>
      <w:bookmarkStart w:id="901881" w:name="_Toc300001880"/>
      <w:r>
        <w:t>Article 56.6: Equivalent Implementation Pilot Framework</w:t>
      </w:r>
      <w:bookmarkEnd w:id="901881"/>
    </w:p>
    <w:p>
      <w:pPr>
        <w:pStyle w:val="Normal"/>
      </w:pPr>
      <w:r>
        <w:t>1. Where the Parties agree on a treaty objective but reasonably disagree on the best implementation method, they may authorize two or more time-limited pilot methods operating under common minimum rights, interoperability, evidence, and performance requirements.</w:t>
      </w:r>
    </w:p>
    <w:p>
      <w:pPr>
        <w:pStyle w:val="Normal"/>
      </w:pPr>
      <w:r>
        <w:t>2. Pilot methods shall be evaluated against pre-published metrics. A pilot may not reduce substantive treaty protection merely to improve administrative performance.</w:t>
      </w:r>
    </w:p>
    <w:p>
      <w:pPr>
        <w:pStyle w:val="Normal"/>
      </w:pPr>
      <w:r>
        <w:t>3. At the end of the pilot period, the Parties may converge on one method, recognize multiple methods as equivalent, extend testing for good cause, or discontinue an unsuccessful method.</w:t>
      </w:r>
    </w:p>
    <w:p>
      <w:pPr>
        <w:pStyle w:val="Normal"/>
      </w:pPr>
      <w:r>
        <w:t>4. Participation in an approved pilot creates no presumption that the participating Party's method is superior or permanently authorized.</w:t>
      </w:r>
    </w:p>
    <w:p>
      <w:pPr>
        <w:pStyle w:val="Heading2"/>
      </w:pPr>
      <w:bookmarkStart w:id="901882" w:name="_Toc300001881"/>
      <w:r>
        <w:t>Article 56.7: Tiered Trust and Privilege Unlocking</w:t>
      </w:r>
      <w:bookmarkEnd w:id="901882"/>
    </w:p>
    <w:p>
      <w:pPr>
        <w:pStyle w:val="Normal"/>
      </w:pPr>
      <w:r>
        <w:t>1. Reduced verification, longer credential validity, continuity certification, expedited processing, and other trust-based administrative privileges shall use transparent eligibility tiers where practicable.</w:t>
      </w:r>
    </w:p>
    <w:p>
      <w:pPr>
        <w:pStyle w:val="Normal"/>
      </w:pPr>
      <w:r>
        <w:t>2. Each tier shall state measurable entry, maintenance, suspension, and restoration criteria. Advancement is earned through verified performance rather than discretionary political designation.</w:t>
      </w:r>
    </w:p>
    <w:p>
      <w:pPr>
        <w:pStyle w:val="Normal"/>
      </w:pPr>
      <w:r>
        <w:t>3. Suspension shall be targeted to the affected privilege and shall not automatically remove unrelated earned status.</w:t>
      </w:r>
    </w:p>
    <w:p>
      <w:pPr>
        <w:pStyle w:val="Heading2"/>
      </w:pPr>
      <w:bookmarkStart w:id="901883" w:name="_Toc300001882"/>
      <w:r>
        <w:t>Article 56.8: Equivalent Contribution Accounting</w:t>
      </w:r>
      <w:bookmarkEnd w:id="901883"/>
    </w:p>
    <w:p>
      <w:pPr>
        <w:pStyle w:val="Normal"/>
      </w:pPr>
      <w:r>
        <w:t>1. For a joint North American program funded or implemented by more than one Party, the responsible body may maintain an Implementation Contribution Record recognizing different forms of contribution, including funding, personnel, infrastructure, data, testing capacity, training, facilities, or in-kind technical support.</w:t>
      </w:r>
    </w:p>
    <w:p>
      <w:pPr>
        <w:pStyle w:val="Normal"/>
      </w:pPr>
      <w:r>
        <w:t>2. Equivalent contribution does not require identical contribution. No point system may convert the Record into a general score of national treaty compliance.</w:t>
      </w:r>
    </w:p>
    <w:p>
      <w:pPr>
        <w:pStyle w:val="Normal"/>
      </w:pPr>
      <w:r>
        <w:t>3. The Record is used for transparency, cost allocation, capacity planning, and equitable program design only.</w:t>
      </w:r>
    </w:p>
    <w:p>
      <w:pPr>
        <w:pStyle w:val="Heading1"/>
      </w:pPr>
      <w:bookmarkStart w:id="901884" w:name="_Toc300001883"/>
      <w:r>
        <w:t>CHAPTER 57</w:t>
      </w:r>
      <w:r>
        <w:br/>
      </w:r>
      <w:r>
        <w:t>FAILURE CONTAINMENT, SERVICE CONTINUITY, AND DISTRIBUTED COORDINATION</w:t>
      </w:r>
      <w:bookmarkEnd w:id="901884"/>
    </w:p>
    <w:p>
      <w:pPr>
        <w:pStyle w:val="Heading2"/>
      </w:pPr>
      <w:bookmarkStart w:id="901885" w:name="_Toc300001884"/>
      <w:r>
        <w:t>Article 57.1: Cross-Module Contagion Test</w:t>
      </w:r>
      <w:bookmarkEnd w:id="901885"/>
    </w:p>
    <w:p>
      <w:pPr>
        <w:pStyle w:val="Normal"/>
      </w:pPr>
      <w:r>
        <w:t>1. Before a remedy, suspension, emergency measure, or implementation failure is allowed to impair a legally distinct treaty module, the acting body shall identify the legal connection between the originating problem and the additional module.</w:t>
      </w:r>
    </w:p>
    <w:p>
      <w:pPr>
        <w:pStyle w:val="Normal"/>
      </w:pPr>
      <w:r>
        <w:t>2. Cross-module action requires the findings and limits required by Article 35.15(3), Article 35.35(1), or another controlling provision governing the proposed action. This Article does not create an independent cross-module remedy or a broader necessity standard. Where no controlling provision authorizes extension into the additional module, narrower relief remains confined to the module in which the verified problem arose.</w:t>
      </w:r>
    </w:p>
    <w:p>
      <w:pPr>
        <w:pStyle w:val="Normal"/>
      </w:pPr>
      <w:r>
        <w:t>3. Political salience, negotiating leverage, or a desire to increase pressure does not by itself establish the required connection.</w:t>
      </w:r>
    </w:p>
    <w:p>
      <w:pPr>
        <w:pStyle w:val="Normal"/>
      </w:pPr>
      <w:r>
        <w:t>4. Essential humanitarian trade, ordinary customs processing, and unrelated earned administrative privileges remain firewalled unless a controlling treaty provision independently authorizes their inclusion and its required findings are made. A general assertion that broader action is useful, efficient, or independently justified does not supply missing remedial authority.</w:t>
      </w:r>
    </w:p>
    <w:p>
      <w:pPr>
        <w:pStyle w:val="Heading2"/>
      </w:pPr>
      <w:bookmarkStart w:id="901886" w:name="_Toc300001885"/>
      <w:r>
        <w:t>Article 57.2: Institutional Continuity Transfer Rule</w:t>
      </w:r>
      <w:bookmarkEnd w:id="901886"/>
    </w:p>
    <w:p>
      <w:pPr>
        <w:pStyle w:val="Normal"/>
      </w:pPr>
      <w:r>
        <w:t>1. If a designated committee, technical body, roster, or Secretariat function cannot act because of conflict of interest, loss of quorum, system failure, incapacity, or another continuity event recognized by Article 47.2 or the applicable institutional rule, the matter transfers laterally only to the pre-designated alternate body or roster authorized by that controlling provision. This Article creates no additional transfer route where the Agreement already assigns a specific substitute or default mechanism.</w:t>
      </w:r>
    </w:p>
    <w:p>
      <w:pPr>
        <w:pStyle w:val="Normal"/>
      </w:pPr>
      <w:r>
        <w:t>2. The alternate receives only the authority necessary to complete the transferred function and applies the same substantive law, evidentiary standard, confidentiality rules, and treaty-fixed deadlines. A deadline changes only where the controlling treaty provision expressly authorizes an extension; a transfer itself neither resets nor extends a clock.</w:t>
      </w:r>
    </w:p>
    <w:p>
      <w:pPr>
        <w:pStyle w:val="Normal"/>
      </w:pPr>
      <w:r>
        <w:t>3. Transfer does not constitute escalation and does not alter the merits of the dispute.</w:t>
      </w:r>
    </w:p>
    <w:p>
      <w:pPr>
        <w:pStyle w:val="Heading2"/>
      </w:pPr>
      <w:bookmarkStart w:id="901887" w:name="_Toc300001886"/>
      <w:r>
        <w:t>Article 57.3: Degraded Operations and Controlled Restoration</w:t>
      </w:r>
      <w:bookmarkEnd w:id="901887"/>
    </w:p>
    <w:p>
      <w:pPr>
        <w:pStyle w:val="Normal"/>
      </w:pPr>
      <w:r>
        <w:t>1. The Operational Manual defines service levels for Normal Operations, Constrained Operations, and Reconstitution as operational states subordinate to this Agreement. Any use of the term Safe Mode under this Article means only the Commission-activated Economic Safe Mode established by Article 47.4 and carries the activator, limits, duration, and restoration rules stated there.</w:t>
      </w:r>
    </w:p>
    <w:p>
      <w:pPr>
        <w:pStyle w:val="Normal"/>
      </w:pPr>
      <w:r>
        <w:t>2. A lower service level may simplify nonessential Manual procedure, extend only a deadline created by the Operational Manual, substitute approved records, reroute cases through an already authorized continuity route, or activate contingency communications while preserving substantive rights, safety requirements, evidentiary integrity, and access to review. It does not extend a treaty-fixed clock or deadline, alter a remedy stage, or change a substantive right or obligation.</w:t>
      </w:r>
    </w:p>
    <w:p>
      <w:pPr>
        <w:pStyle w:val="Normal"/>
      </w:pPr>
      <w:r>
        <w:t>3. The authority identified by the controlling continuity provision enters a degraded service level and records the triggering condition, affected functions, preserved functions, expected review interval, and restoration criteria. Where Article 47.4 applies, the Commission is the activating authority and its consensus, 90-day limit, and rights-preservation rules control.</w:t>
      </w:r>
    </w:p>
    <w:p>
      <w:pPr>
        <w:pStyle w:val="Normal"/>
      </w:pPr>
      <w:r>
        <w:t>4. Restoration proceeds in stages where necessary. Procedural shortcuts used during the disruption do not become permanent practice without ordinary authorization.</w:t>
      </w:r>
    </w:p>
    <w:p>
      <w:pPr>
        <w:pStyle w:val="Heading2"/>
      </w:pPr>
      <w:bookmarkStart w:id="901888" w:name="_Toc300001887"/>
      <w:r>
        <w:t>Article 57.4: Institutional Stall Detection</w:t>
      </w:r>
      <w:bookmarkEnd w:id="901888"/>
    </w:p>
    <w:p>
      <w:pPr>
        <w:pStyle w:val="Normal"/>
      </w:pPr>
      <w:r>
        <w:t>1. A treaty process records a stall indicator when it misses a mandatory deadline without an authorized extension, fails to complete a required appointment by the controlling appointment deadline, or remains unable to perform an assigned procedural act after an authorized continuity substitution has been attempted. Repetition of an agenda item, disagreement on the merits, or slow progress without a missed legal milestone does not alone constitute a stall indicator.</w:t>
      </w:r>
    </w:p>
    <w:p>
      <w:pPr>
        <w:pStyle w:val="Normal"/>
      </w:pPr>
      <w:r>
        <w:t>2. After two consecutive stall indicators, the Secretariat issues a Stall Notice and applies this correction sequence in order: confirm the governing deadline and record; invoke any expressly available cure or default appointment rule; activate an authorized lateral transfer under Article 57.2 if available; offer a neutral technical facilitator for a procedural question; and refer any remaining procedural blockage to the Commission without altering the merits. A chair or member is replaced only under the vacancy, recusal, default-selection, or replacement rule governing that body, including Article 31.C, Article 35.10, or Article 46.12 as applicable. The Secretariat exercises no discretion to select a preferred adjudicator or to shorten a fixed term. A correction step that is legally unavailable is skipped and recorded with reasons.</w:t>
      </w:r>
    </w:p>
    <w:p>
      <w:pPr>
        <w:pStyle w:val="Normal"/>
      </w:pPr>
      <w:r>
        <w:t>3. A Stall Notice does not determine substantive fault and shall not be used as leverage in an unrelated negotiation.</w:t>
      </w:r>
    </w:p>
    <w:p>
      <w:pPr>
        <w:pStyle w:val="Heading2"/>
      </w:pPr>
      <w:bookmarkStart w:id="901889" w:name="_Toc300001888"/>
      <w:r>
        <w:t>Article 57.5: Direction-Specific Ratchets</w:t>
      </w:r>
      <w:bookmarkEnd w:id="901889"/>
    </w:p>
    <w:p>
      <w:pPr>
        <w:pStyle w:val="Normal"/>
      </w:pPr>
      <w:r>
        <w:t>1. The Agreement distinguishes durable liberalization from temporary restriction. A permanent market-access improvement expressly adopted by the Parties carries a presumption against rollback except through the applicable amendment, safeguard, withdrawal, or other expressly controlling process. Where Chapter 35 governs a restriction, containment, earn-back, or restoration sequence, the Chapter 35 rule and clock control.</w:t>
      </w:r>
    </w:p>
    <w:p>
      <w:pPr>
        <w:pStyle w:val="Normal"/>
      </w:pPr>
      <w:r>
        <w:t>2. A temporary emergency restriction, enhanced verification burden, or exceptional authority carries the opposite presumption: restoration to ordinary treatment occurs when the verified justification ends under the controlling provision. This Article does not accelerate, postpone, reset, or replace a restoration, cure, or stage clock established by Chapter 35 or another specific provision.</w:t>
      </w:r>
    </w:p>
    <w:p>
      <w:pPr>
        <w:pStyle w:val="Normal"/>
      </w:pPr>
      <w:r>
        <w:t>3. No provision shall be interpreted to transform a temporary restriction into a permanent entitlement merely because it remained in force for an extended period.</w:t>
      </w:r>
    </w:p>
    <w:p>
      <w:pPr>
        <w:pStyle w:val="Heading2"/>
      </w:pPr>
      <w:bookmarkStart w:id="901890" w:name="_Toc300001889"/>
      <w:r>
        <w:t>Article 57.6: Correlated Micro-Signal Review</w:t>
      </w:r>
      <w:bookmarkEnd w:id="901890"/>
    </w:p>
    <w:p>
      <w:pPr>
        <w:pStyle w:val="Normal"/>
      </w:pPr>
      <w:r>
        <w:t>1. The Commercial Friction Early Warning Channel may correlate multiple weak operational signals that individually do not justify formal action, including small clearance delays, unusual origin challenges, recurring licensing questions, capacity warnings, credential failures, or similar reports across multiple ports or sectors.</w:t>
      </w:r>
    </w:p>
    <w:p>
      <w:pPr>
        <w:pStyle w:val="Normal"/>
      </w:pPr>
      <w:r>
        <w:t>2. Correlation may trigger confidential technical consultation or data-quality review but not a legal presumption, penalty, public accusation, or escalated remedy.</w:t>
      </w:r>
    </w:p>
    <w:p>
      <w:pPr>
        <w:pStyle w:val="Normal"/>
      </w:pPr>
      <w:r>
        <w:t>3. The system shall record confidence, source diversity, known reporting bias, and alternative explanations before escalating a micro-signal cluster.</w:t>
      </w:r>
    </w:p>
    <w:p>
      <w:pPr>
        <w:pStyle w:val="Heading2"/>
      </w:pPr>
      <w:bookmarkStart w:id="901891" w:name="_Toc300001890"/>
      <w:r>
        <w:t>Article 57.7: Shared Operational State Framework</w:t>
      </w:r>
      <w:bookmarkEnd w:id="901891"/>
    </w:p>
    <w:p>
      <w:pPr>
        <w:pStyle w:val="Normal"/>
      </w:pPr>
      <w:r>
        <w:t>1. The Parties shall maintain interoperable operational-status information, through existing systems or a shared interface where useful, sufficient for decentralized trade continuity, including border-system health, crossing capacity, congestion bands, credential-system availability, emergency corridor status, declared maintenance windows, and verified critical logistics disruptions. The Shared Operational State Framework is a common information standard and does not require creation of a new centralized platform.</w:t>
      </w:r>
    </w:p>
    <w:p>
      <w:pPr>
        <w:pStyle w:val="Normal"/>
      </w:pPr>
      <w:r>
        <w:t>2. Authorized customs agencies, carriers, brokers, ports, terminals, and other approved users may adapt routing and processing decisions to the published operational state without waiting for case-by-case political direction.</w:t>
      </w:r>
    </w:p>
    <w:p>
      <w:pPr>
        <w:pStyle w:val="Normal"/>
      </w:pPr>
      <w:r>
        <w:t>3. The Framework shall distinguish authoritative operational status from advisory forecasts, preserve commercially sensitive information, and prevent publication of security-sensitive targeting data.</w:t>
      </w:r>
    </w:p>
    <w:p>
      <w:pPr>
        <w:pStyle w:val="Normal"/>
      </w:pPr>
      <w:r>
        <w:t>4. The Framework coordinates behavior through shared information; it does not command private routing, guarantee capacity, or displace domestic emergency authority.</w:t>
      </w:r>
    </w:p>
    <w:p>
      <w:pPr>
        <w:pStyle w:val="Heading2"/>
      </w:pPr>
      <w:bookmarkStart w:id="901892" w:name="_Toc300001891"/>
      <w:r>
        <w:t>Article 57.8: Pre-Scripted Redirection Paths</w:t>
      </w:r>
      <w:bookmarkEnd w:id="901892"/>
    </w:p>
    <w:p>
      <w:pPr>
        <w:pStyle w:val="Normal"/>
      </w:pPr>
      <w:r>
        <w:t>1. Each critical implementation module shall identify at least one pre-approved fallback pathway that preserves the maximum feasible portion of the module if its primary procedure becomes unavailable.</w:t>
      </w:r>
    </w:p>
    <w:p>
      <w:pPr>
        <w:pStyle w:val="Normal"/>
      </w:pPr>
      <w:r>
        <w:t>2. Fallback pathways shall identify activation criteria, responsible authority, preserved obligations, temporarily simplified steps, evidence requirements, and restoration conditions.</w:t>
      </w:r>
    </w:p>
    <w:p>
      <w:pPr>
        <w:pStyle w:val="Normal"/>
      </w:pPr>
      <w:r>
        <w:t>3. A fallback pathway may reduce procedural ambition but may not silently reduce a substantive right or create a discriminatory advantage.</w:t>
      </w:r>
    </w:p>
    <w:p>
      <w:pPr>
        <w:pStyle w:val="Heading1"/>
      </w:pPr>
      <w:bookmarkStart w:id="901893" w:name="_Toc300001892"/>
      <w:r>
        <w:t>CHAPTER 58</w:t>
      </w:r>
      <w:r>
        <w:br/>
      </w:r>
      <w:r>
        <w:t>PROCEDURAL PARTICIPATION, REMEDY SAFEGUARDS, AND TECHNICAL INTEROPERABILITY</w:t>
      </w:r>
      <w:bookmarkEnd w:id="901893"/>
    </w:p>
    <w:p>
      <w:pPr>
        <w:pStyle w:val="Heading2"/>
      </w:pPr>
      <w:bookmarkStart w:id="901894" w:name="_Toc300001893"/>
      <w:r>
        <w:t>Article 58.1: Structured Amicus Participation</w:t>
      </w:r>
      <w:bookmarkEnd w:id="901894"/>
    </w:p>
    <w:p>
      <w:pPr>
        <w:pStyle w:val="Normal"/>
      </w:pPr>
      <w:r>
        <w:t>1. A Chapter 31 or Chapter 35 panel may receive a non-party submission from an industry association, labor organization, Indigenous organization, consumer body, civil-society organization, academic institution, or other person demonstrating a material interest or relevant expertise.</w:t>
      </w:r>
    </w:p>
    <w:p>
      <w:pPr>
        <w:pStyle w:val="Normal"/>
      </w:pPr>
      <w:r>
        <w:t>2. The panel shall establish page limits, filing windows, disclosure of material funding and conflicts, confidentiality rules, and relevance requirements. Acceptance of a submission does not make the submitter a Party to the dispute or create a right to oral argument.</w:t>
      </w:r>
    </w:p>
    <w:p>
      <w:pPr>
        <w:pStyle w:val="Normal"/>
      </w:pPr>
      <w:r>
        <w:t>3. A panel may disregard repetitive, lobbying-oriented, unsupported, or untimely submissions.</w:t>
      </w:r>
    </w:p>
    <w:p>
      <w:pPr>
        <w:pStyle w:val="Heading2"/>
      </w:pPr>
      <w:bookmarkStart w:id="1200101" w:name="_Toc901200101"/>
      <w:r>
        <w:t>Article 58.2: Stage 8 Collateral-Harm Interface</w:t>
      </w:r>
      <w:bookmarkEnd w:id="1200101"/>
    </w:p>
    <w:p>
      <w:pPr>
        <w:pStyle w:val="Normal"/>
      </w:pPr>
      <w:r>
        <w:t>1. The collateral-harm interface in this Article applies when a Proportional Trade Adjustment reaches the Stage 8 tariff-authorization lane and a petition under Articles 35.38 through 35.40 is filed. The Exceptional Tariff Authorization Panel constituted under Article 35.39 assesses collateral harm through the Article 35.40(3) Tariff Burden Test before authorizing any tariff. The Article 35.10 Verification Team may supply factual findings within its mandate but does not choose the remedy or exercise the Panel's legal authority. Earlier PTA stages remain governed by Articles 35.13, 35.16, 35.17, and other applicable Chapter 35 safeguards and do not require constitution of an Article 35.39 Panel under this Article.</w:t>
      </w:r>
    </w:p>
    <w:p>
      <w:pPr>
        <w:pStyle w:val="Normal"/>
      </w:pPr>
      <w:r>
        <w:t>2. In applying Article 35.40(3), the Article 35.39 Panel considers credible evidence of severe collateral harm to innocent North American workers, consumers, small and medium-sized enterprises, essential goods, critical infrastructure, and unrelated supply chains, together with the expected compliance benefit of the proposed tariff authorization. A finding that projected collateral harm is grossly disproportionate to that expected benefit results in denial or narrowing under Article 35.40(3), on the decision timetable and missed-deadline consequence established by Article 35.40(10). This Article does not toll, renew, extend, or otherwise alter the 180-day or 360-day outside life of a PTA framework under Article 35.12(6), the duration of an authorization under Article 35.40(5), or any other Chapter 35 clock. The function of this Article is to specify the collateral-harm evidence considered within the existing Stage 8 Tariff Burden Test, not to create a separate pause, remedy, or decision authority.</w:t>
      </w:r>
    </w:p>
    <w:p>
      <w:pPr>
        <w:pStyle w:val="Normal"/>
      </w:pPr>
      <w:r>
        <w:t>3. This interface does not erase the underlying finding, reward non-compliance, create an independent emergency authority, or displace any urgent-action authority expressly provided by Chapter 35. Any urgent action remains subject to the trigger, actor, scope, duration, and review requirements of the Chapter 35 provision that authorizes it. Nothing in this Article permits action that the Article 35.39 Panel has denied under Article 35.40 or enlarges an authorization narrowed by that Panel. The substantive and procedural consequences of the Panel's determination remain those established by Chapter 35.</w:t>
      </w:r>
    </w:p>
    <w:p>
      <w:pPr>
        <w:pStyle w:val="Heading2"/>
      </w:pPr>
      <w:bookmarkStart w:id="901896" w:name="_Toc300001895"/>
      <w:r>
        <w:t>Article 58.3: Post-Ruling Compliance Audit</w:t>
      </w:r>
      <w:bookmarkEnd w:id="901896"/>
    </w:p>
    <w:p>
      <w:pPr>
        <w:pStyle w:val="Normal"/>
      </w:pPr>
      <w:r>
        <w:t>1. Post-ruling compliance review proceeds through the body and procedure assigned by Article 31.D, Article 35.46, or another provision governing implementation of the ruling. Unless that controlling procedure or the ruling establishes another schedule, the responsible body conducts the compliance audit within 60 days after implementation is due. This Article creates no second compliance forum and does not reopen the merits of the underlying ruling.</w:t>
      </w:r>
    </w:p>
    <w:p>
      <w:pPr>
        <w:pStyle w:val="Normal"/>
      </w:pPr>
      <w:r>
        <w:t>2. The audit verifies rescission, modification, operational implementation, and absence of a materially equivalent substitute measure within the mandate of the controlling compliance procedure. Where physical implementation reasonably requires more time, only the body authorized by the controlling provision or the ruling may establish milestones and an interim audit schedule. A Chapter 35 matter remains subject to the containment, restoration, and successor-measure rules applicable there.</w:t>
      </w:r>
    </w:p>
    <w:p>
      <w:pPr>
        <w:pStyle w:val="Heading2"/>
      </w:pPr>
      <w:bookmarkStart w:id="901897" w:name="_Toc300001896"/>
      <w:r>
        <w:t>Article 58.4: Interim Preservation Orders</w:t>
      </w:r>
      <w:bookmarkEnd w:id="901897"/>
    </w:p>
    <w:p>
      <w:pPr>
        <w:pStyle w:val="Normal"/>
      </w:pPr>
      <w:r>
        <w:t>1. Interim preservation relief under this Article is available only through a panel or other body already authorized to issue interim relief under Article 31.A(4), Article 35.4B(6), or another expressly applicable provision that itself grants interim-relief authority. The controlling provision supplies the forum, evidentiary standard, scope, maximum duration, reconsideration rule, and relationship to the final report. A provision that merely allocates a forum, records legal authorization, or governs the relationship between procedures does not independently authorize interim relief. This Article creates no independent interim-order jurisdiction.</w:t>
      </w:r>
    </w:p>
    <w:p>
      <w:pPr>
        <w:pStyle w:val="Normal"/>
      </w:pPr>
      <w:r>
        <w:t>2. An authorized interim measure may preserve the status quo, suspend escalation, protect evidence, or maintain temporary access only to the extent permitted by the controlling provision. It does not finally decide the merits, compel an irreversible legislative act, or extend beyond the outer limit fixed by that authority.</w:t>
      </w:r>
    </w:p>
    <w:p>
      <w:pPr>
        <w:pStyle w:val="Normal"/>
      </w:pPr>
      <w:r>
        <w:t>3. Review, modification, expiry, and dissolution follow the controlling interim-measure provision. A 30-day administrative review may be used only where consistent with that provision and does not renew or restart its maximum duration.</w:t>
      </w:r>
    </w:p>
    <w:p>
      <w:pPr>
        <w:pStyle w:val="Heading2"/>
      </w:pPr>
      <w:bookmarkStart w:id="901898" w:name="_Toc300001897"/>
      <w:r>
        <w:t>Article 58.5: Steel and Aluminum Provenance Interoperability</w:t>
      </w:r>
      <w:bookmarkEnd w:id="901898"/>
    </w:p>
    <w:p>
      <w:pPr>
        <w:pStyle w:val="Normal"/>
      </w:pPr>
      <w:r>
        <w:t>1. The Parties shall maintain interoperable documentation standards for steel melt-and-pour and aluminum smelt-and-cast provenance, including mill or producer records, material identifiers, and secure electronic validation where practicable.</w:t>
      </w:r>
    </w:p>
    <w:p>
      <w:pPr>
        <w:pStyle w:val="Normal"/>
      </w:pPr>
      <w:r>
        <w:t>2. The standard permits equivalent commercial documentation rather than requiring a single proprietary form and includes procedures for correcting clerical error without losing treatment where substantive provenance and all controlling origin requirements are independently verified. Chapter 4 and Chapter 5 remain controlling for originating status, verification, denial, cure, and recordkeeping, and this Article creates no independent origin entitlement.</w:t>
      </w:r>
    </w:p>
    <w:p>
      <w:pPr>
        <w:pStyle w:val="Heading2"/>
      </w:pPr>
      <w:bookmarkStart w:id="901899" w:name="_Toc300001898"/>
      <w:r>
        <w:t>Article 58.6: Strategic Reserve Mutual Assistance</w:t>
      </w:r>
      <w:bookmarkEnd w:id="901899"/>
    </w:p>
    <w:p>
      <w:pPr>
        <w:pStyle w:val="Normal"/>
      </w:pPr>
      <w:r>
        <w:t>1. A Party facing a verified critical shortage may request temporary assistance from another Party's designated strategic reserve. Assistance is voluntary unless a specific reserve arrangement expressly provides otherwise.</w:t>
      </w:r>
    </w:p>
    <w:p>
      <w:pPr>
        <w:pStyle w:val="Normal"/>
      </w:pPr>
      <w:r>
        <w:t>2. A reserve arrangement shall address domestic-shortage safeguards, critical-use prioritization, pricing or cost recovery, transport, quality specifications, replenishment, and return or replacement where appropriate.</w:t>
      </w:r>
    </w:p>
    <w:p>
      <w:pPr>
        <w:pStyle w:val="Normal"/>
      </w:pPr>
      <w:r>
        <w:t>3. Refusal to release a reserve during a bona fide domestic emergency does not itself constitute a treaty violation.</w:t>
      </w:r>
    </w:p>
    <w:p>
      <w:pPr>
        <w:pStyle w:val="Heading2"/>
      </w:pPr>
      <w:bookmarkStart w:id="901900" w:name="_Toc300001899"/>
      <w:r>
        <w:t>Article 58.7: AI Assurance Mutual Recognition</w:t>
      </w:r>
      <w:bookmarkEnd w:id="901900"/>
    </w:p>
    <w:p>
      <w:pPr>
        <w:pStyle w:val="Normal"/>
      </w:pPr>
      <w:r>
        <w:t>1. The Parties shall develop criteria for mutual recognition of AI safety, assurance, testing, audit, or conformity assessments where the respective regimes provide demonstrably equivalent protection for the relevant use case.</w:t>
      </w:r>
    </w:p>
    <w:p>
      <w:pPr>
        <w:pStyle w:val="Normal"/>
      </w:pPr>
      <w:r>
        <w:t>2. Mutual recognition does not require identical AI legislation and may be limited by sector, risk class, or application. Each Party retains authority to impose additional requirements for genuinely higher-risk uses where justified and non-discriminatory.</w:t>
      </w:r>
    </w:p>
    <w:p>
      <w:pPr>
        <w:pStyle w:val="Heading2"/>
      </w:pPr>
      <w:bookmarkStart w:id="901901" w:name="_Toc300001900"/>
      <w:r>
        <w:t>Article 58.8: Interoperable Trade Identity and Signature</w:t>
      </w:r>
      <w:bookmarkEnd w:id="901901"/>
    </w:p>
    <w:p>
      <w:pPr>
        <w:pStyle w:val="Normal"/>
      </w:pPr>
      <w:r>
        <w:t>1. The Parties shall support mutual verification of corporate identity, authorized representatives, electronic signatures, customs credentials, and other digital trade attestations using interoperable, technology-neutral trust frameworks.</w:t>
      </w:r>
    </w:p>
    <w:p>
      <w:pPr>
        <w:pStyle w:val="Normal"/>
      </w:pPr>
      <w:r>
        <w:t>2. No Party shall require a foreign trader to purchase a specific private identity product where another approved method provides equivalent assurance.</w:t>
      </w:r>
    </w:p>
    <w:p>
      <w:pPr>
        <w:pStyle w:val="Heading2"/>
      </w:pPr>
      <w:bookmarkStart w:id="901902" w:name="_Toc300001901"/>
      <w:r>
        <w:t>Article 58.9: Transboundary Environmental Emergency Protocol</w:t>
      </w:r>
      <w:bookmarkEnd w:id="901902"/>
    </w:p>
    <w:p>
      <w:pPr>
        <w:pStyle w:val="Normal"/>
      </w:pPr>
      <w:r>
        <w:t>1. The Parties shall maintain pre-negotiated procedures for a major pollution event, wildfire, industrial accident, water contamination event, hazardous release, or other environmental emergency with material cross-border effects.</w:t>
      </w:r>
    </w:p>
    <w:p>
      <w:pPr>
        <w:pStyle w:val="Normal"/>
      </w:pPr>
      <w:r>
        <w:t>2. Procedures shall cover rapid notification, scientific data exchange, evidence preservation, requests for assistance, temporary movement of response personnel and equipment, cost accounting, public communication, and post-event review.</w:t>
      </w:r>
    </w:p>
    <w:p>
      <w:pPr>
        <w:pStyle w:val="Normal"/>
      </w:pPr>
      <w:r>
        <w:t>3. Emergency cooperation does not determine civil or state liability, which remains governed by applicable law and treaty obligations.</w:t>
      </w:r>
    </w:p>
    <w:p>
      <w:pPr>
        <w:pStyle w:val="Heading2"/>
      </w:pPr>
      <w:bookmarkStart w:id="901903" w:name="_Toc300001902"/>
      <w:r>
        <w:t>Article 58.10: Embedded-Carbon Measurement Interoperability</w:t>
      </w:r>
      <w:bookmarkEnd w:id="901903"/>
    </w:p>
    <w:p>
      <w:pPr>
        <w:pStyle w:val="Normal"/>
      </w:pPr>
      <w:r>
        <w:t>1. The Parties shall work toward comparable, transparent methodologies for measuring embedded greenhouse-gas emissions in designated energy-intensive goods where such measurement is used for trade, procurement, disclosure, or industrial-policy purposes.</w:t>
      </w:r>
    </w:p>
    <w:p>
      <w:pPr>
        <w:pStyle w:val="Normal"/>
      </w:pPr>
      <w:r>
        <w:t>2. Agreement on measurement does not require a common carbon price, border adjustment, emissions target, tax, subsidy, or climate policy.</w:t>
      </w:r>
    </w:p>
    <w:p>
      <w:pPr>
        <w:pStyle w:val="Normal"/>
      </w:pPr>
      <w:r>
        <w:t>3. Methodologies shall disclose system boundaries, electricity assumptions, allocation rules, verification requirements, and treatment of recycled inputs.</w:t>
      </w:r>
    </w:p>
    <w:p>
      <w:pPr>
        <w:pStyle w:val="Heading2"/>
      </w:pPr>
      <w:bookmarkStart w:id="901904" w:name="_Toc300001903"/>
      <w:r>
        <w:t>Article 58.11: Emergency Energy Equipment Facilitation</w:t>
      </w:r>
      <w:bookmarkEnd w:id="901904"/>
    </w:p>
    <w:p>
      <w:pPr>
        <w:pStyle w:val="Normal"/>
      </w:pPr>
      <w:r>
        <w:t>1. When the Emergency Trade Continuity Mechanism is activated under Article 38.2 for a verified grid, pipeline, fuel-supply, or critical-energy infrastructure emergency, the restoration goods identified in this Article constitute priority restoration flows for purposes of Article 38.4. The Parties provide expedited customs treatment for originating transformers, mobile substations, repair vehicles, control equipment, replacement components, safety equipment, and other designated restoration goods within that activated Mechanism. Article 38.2 governs invocation, verification, continuing review, and deactivation, and this Article creates no separate emergency trigger or duration. Expedited treatment under this Article remains subject to the safety, security, and other controls preserved by Article 38.4 and paragraph 2.</w:t>
      </w:r>
    </w:p>
    <w:p>
      <w:pPr>
        <w:pStyle w:val="Normal"/>
      </w:pPr>
      <w:r>
        <w:t>2. Expedited treatment may include pre-clearance, consolidated documentation, temporary admission, duty suspension where legally available, and priority inspection. Safety and security controls remain applicable.</w:t>
      </w:r>
    </w:p>
    <w:p>
      <w:pPr>
        <w:pStyle w:val="Heading2"/>
      </w:pPr>
      <w:bookmarkStart w:id="901905" w:name="_Toc300001904"/>
      <w:r>
        <w:t>Article 58.12: Public Treaty Improvement Portal</w:t>
      </w:r>
      <w:bookmarkEnd w:id="901905"/>
    </w:p>
    <w:p>
      <w:pPr>
        <w:pStyle w:val="Normal"/>
      </w:pPr>
      <w:r>
        <w:t>1. The Secretariat shall maintain an annual public submission window for proposals concerning implementation problems, modernization opportunities, administrative burden, sectoral developments, and emerging risks.</w:t>
      </w:r>
    </w:p>
    <w:p>
      <w:pPr>
        <w:pStyle w:val="Normal"/>
      </w:pPr>
      <w:r>
        <w:t>2. Submissions shall be searchable except for protected information. The Secretariat shall publish a thematic summary and identify which matters were referred to an existing committee, Learning Review, or future Joint Review agenda.</w:t>
      </w:r>
    </w:p>
    <w:p>
      <w:pPr>
        <w:pStyle w:val="Normal"/>
      </w:pPr>
      <w:r>
        <w:t>3. Submission creates no entitlement to negotiation, amendment, funding, or dispute initiation.</w:t>
      </w:r>
    </w:p>
    <w:p>
      <w:pPr>
        <w:pStyle w:val="Heading2"/>
      </w:pPr>
      <w:bookmarkStart w:id="901906" w:name="_Toc300001905"/>
      <w:r>
        <w:t>Article 58.12A: Trusted-Technology Border Modernization</w:t>
      </w:r>
      <w:bookmarkEnd w:id="901906"/>
    </w:p>
    <w:p>
      <w:pPr>
        <w:pStyle w:val="Normal"/>
      </w:pPr>
      <w:r>
        <w:t>1. The Parties shall modernize border infrastructure through interoperable screening, sensing, communications, identity, cargo-inspection, and data systems selected on the basis of objective performance, cybersecurity, privacy, supply-chain, reliability, and national-security criteria.</w:t>
      </w:r>
    </w:p>
    <w:p>
      <w:pPr>
        <w:pStyle w:val="Normal"/>
      </w:pPr>
      <w:r>
        <w:t>2. No technology shall be excluded solely because of the nationality of its manufacturer or country of origin. A Party may restrict a product or supplier where a documented, particularized risk justifies the measure under domestic law and this Agreement.</w:t>
      </w:r>
    </w:p>
    <w:p>
      <w:pPr>
        <w:pStyle w:val="Normal"/>
      </w:pPr>
      <w:r>
        <w:t>3. The Parties shall encourage joint pilots, shared technical standards, rapid correction of false matches, and trusted-trader or trusted-traveler lanes that increase security while reducing unnecessary delay to lawful movement.</w:t>
      </w:r>
    </w:p>
    <w:p>
      <w:pPr>
        <w:pStyle w:val="Heading2"/>
      </w:pPr>
      <w:bookmarkStart w:id="901907" w:name="_Toc300001906"/>
      <w:r>
        <w:t>Article 58.13: Secretariat Funding Continuity</w:t>
      </w:r>
      <w:bookmarkEnd w:id="901907"/>
    </w:p>
    <w:p>
      <w:pPr>
        <w:pStyle w:val="Normal"/>
      </w:pPr>
      <w:r>
        <w:t>1. The Parties shall adopt a rolling multi-year baseline budget sufficient for the Secretariat's standing treaty functions, subject to transparent appropriations or other domestic fiscal authority, independent audit, and periodic value-for-money review.</w:t>
      </w:r>
    </w:p>
    <w:p>
      <w:pPr>
        <w:pStyle w:val="Normal"/>
      </w:pPr>
      <w:r>
        <w:t>2. The budget shall include a modest continuity reserve for emergency operations and restoration of critical shared systems. The reserve may not be used to expand the Secretariat's substantive mandate.</w:t>
      </w:r>
    </w:p>
    <w:p>
      <w:pPr>
        <w:pStyle w:val="Normal"/>
      </w:pPr>
      <w:r>
        <w:t>3. If a national appropriations delay, lapse, or other lawful fiscal interruption materially affects a Secretariat function, the affected national Section shall promptly activate available continuity authority, prioritize adjudicative deadlines, treaty-right preservation, secure records, essential shared systems, and legally required notices, and notify the other Sections of the expected service level. No Party is required by this paragraph to spend funds not lawfully available. A fiscal interruption does not convert an automatic treaty function into a discretionary one, extinguish a preserved deadline or right, or prevent use of the default and substitution procedures in Annex 34-H.</w:t>
      </w:r>
    </w:p>
    <w:p>
      <w:pPr>
        <w:pStyle w:val="Normal"/>
      </w:pPr>
      <w:r>
        <w:t>PACKAGE T: ADAPTIVE STABILITY, FAILURE CONTAINMENT, AND INTEROPERABLE IMPLEMENTATION (v3.9). Extracts the strongest transferable mechanics from the experimental architecture library and the latest modernization backlog while replacing metaphorical labels with professional treaty terminology. Adds stability-band thresholds with hysteresis; time-decaying compliance history; multi-party authorization for critical records; dormant-authority expiry; an Interpretive Uncertainty Register; controlled equivalent-implementation pilots; tiered trust privileges; equivalent contribution accounting; cross-module contagion limits; lateral continuity transfer; degraded-service levels and staged restoration; stall detection; direction-specific ratchets; correlated micro-signal review; a Shared Operational State Framework; and pre-scripted fallback pathways. Also adds structured amicus participation, PTA collateral-harm circuit breakers, post-ruling compliance audits, narrowly available interim preservation orders, interoperable steel and aluminum provenance records, strategic-reserve mutual assistance, AI-assurance mutual recognition, digital trade identity and signature interoperability, transboundary environmental emergency procedures, embedded-carbon measurement interoperability, emergency energy-equipment facilitation, a public treaty-improvement portal, and multi-year Secretariat funding continuity.</w:t>
      </w:r>
    </w:p>
    <w:p>
      <w:pPr>
        <w:pStyle w:val="Normal"/>
      </w:pPr>
      <w:r>
        <w:t>PACKAGE U: OPEN TECHNOLOGY, NATIONALITY-NEUTRAL RISK, AND THIRD-COUNTRY STRATEGIC AUTONOMY (v4.2). Replaces the legacy Non-Market Country FTA termination mechanism with a neutral Major Third-Country Trade Agreement Consultation process that preserves each Party's sovereign authority to negotiate with any non-Party; adds a treaty-wide Risk-Based and Nationality-Neutral Administration safeguard; affirms global technology and scientific openness in the modernized preamble; defines high-risk sources by evidence rather than geography; reframes dependency reduction around diversification rather than automatic reshoring; removes market-economy, alliance, and FTA-status filters from Trusted Strategic Materials qualification; and clarifies that critical-infrastructure trust determinations require functionally relevant evidence. Objective: strengthen North American resilience without converting economic-security provisions into nationality-based exclusion, technological isolation, or a presumption against lawful third-country trade and investment.</w:t>
      </w:r>
    </w:p>
    <w:p>
      <w:pPr>
        <w:pStyle w:val="Heading1"/>
      </w:pPr>
      <w:bookmarkStart w:id="901908" w:name="_Toc300001907"/>
      <w:r>
        <w:t>CHAPTER 59</w:t>
      </w:r>
      <w:r>
        <w:br/>
      </w:r>
      <w:r>
        <w:t>NORTH AMERICAN AUTOMOTIVE INTEGRATION, RESILIENCE, AND ENHANCED ORIGIN</w:t>
      </w:r>
      <w:bookmarkEnd w:id="901908"/>
    </w:p>
    <w:p>
      <w:pPr>
        <w:pStyle w:val="Normal"/>
      </w:pPr>
      <w:r>
        <w:t>This Chapter establishes a coordinated automotive modernization architecture for originating vehicles, automotive parts, batteries, strategic electronics, production tooling, repair and lifecycle systems, and associated supply chains. It supplements Chapters 4, 5, 7, 23, 24, 26, 31, 35, 36, 37, 38, 39, 40, 46, 48, 50, 53, 56, 57, and 58. Nothing in this Chapter diminishes ordinary originating status otherwise available under this Agreement.</w:t>
      </w:r>
    </w:p>
    <w:p>
      <w:pPr>
        <w:pStyle w:val="Heading2"/>
      </w:pPr>
      <w:bookmarkStart w:id="901909" w:name="_Toc300001908"/>
      <w:r>
        <w:t>Article 59.1: Objectives and Governing Principles</w:t>
      </w:r>
      <w:bookmarkEnd w:id="901909"/>
    </w:p>
    <w:p>
      <w:pPr>
        <w:pStyle w:val="Normal"/>
      </w:pPr>
      <w:r>
        <w:t>1. The Parties shall administer this Chapter to strengthen integrated North American automotive production, increase resilience, reduce unnecessary compliance friction, improve safety and circularity, and create continuous incentives for additional legitimate North American value.</w:t>
      </w:r>
    </w:p>
    <w:p>
      <w:pPr>
        <w:pStyle w:val="Normal"/>
      </w:pPr>
      <w:r>
        <w:t>2. For purposes of this Chapter, originating Canadian, Mexican, and United States value is North American value. No High Integration or Strategic Integration rule assigns greater origin value to equivalent originating content solely because that content is produced in one Party rather than another.</w:t>
      </w:r>
    </w:p>
    <w:p>
      <w:pPr>
        <w:pStyle w:val="Normal"/>
      </w:pPr>
      <w:r>
        <w:t>3. The architecture established by this Chapter does not create Party-specific automotive content floors, equal one-third sourcing requirements, rotating production allocations, mandatory national technology assignments, or a requirement that a producer qualify for High Integration or Strategic Integration in order to receive ordinary preferential treatment.</w:t>
      </w:r>
    </w:p>
    <w:p>
      <w:pPr>
        <w:pStyle w:val="Normal"/>
      </w:pPr>
      <w:r>
        <w:t>4. The Parties shall prefer objective qualification criteria, interoperable national administration, technology-neutral requirements, and measurable outcomes over the creation of duplicative continental bureaucracy.</w:t>
      </w:r>
    </w:p>
    <w:p>
      <w:pPr>
        <w:pStyle w:val="Normal"/>
      </w:pPr>
      <w:r>
        <w:t>5. The Standard, High Integration, and Strategic Integration architecture in this Chapter uses the treaty-level qualification thresholds and strategic-category conditions stated in Annex 4-E-1 and coordinated through Annex 59-A. After the modelling and notice required by Annex 59-A, the Commission may by consensus adopt a trilateral Automotive Integration Activation Schedule under this paragraph; that Commission decision is the constitutive trilateral adoption instrument notwithstanding the ordinary signed-instrument rule in FS00-B01, and Schedule FS-03-A of Annex 59-C only records the adopted Schedule. The Activation Schedule identifies the covered vehicle classes, effective date, applicable administrative requirements, exactly five designated strategic component categories selected from Article 59.3(1), objective and auditable qualifying-performance criteria and evidence rules measuring material North American productive activity or contribution in each designated category without discrimination by technology or Party, the objective standard and competent authority or authorities for approval of a Strategic Integration supply-chain continuity plan, and each Party's competent customs or origin authority responsible for determining High Integration or Strategic Integration status for treatment in that Party under common Schedule criteria and the review and advance-ruling procedures otherwise available under this Agreement. The 80 percent High Integration threshold and 85 percent Strategic Integration threshold are treaty-fixed once the corresponding pathway is activated; an adopted Activation Schedule may be amended to re-designate one or more of the five categories only by a new Commission consensus decision under this paragraph following the modelling and notice required by Annex 59-A, while changing either treaty-fixed threshold or the three-of-five or all-five condition requires Article 34.3, and neither the Schedule nor Article 34.A may accomplish those substantive changes indirectly; activation does not alter ordinary Chapter 4 originating status or activate a separate Enhanced Automotive Benefit without its required Specific Independent Benefit Legal Authority.</w:t>
      </w:r>
    </w:p>
    <w:p>
      <w:pPr>
        <w:pStyle w:val="Heading2"/>
      </w:pPr>
      <w:bookmarkStart w:id="901910" w:name="_Toc300001909"/>
      <w:r>
        <w:t>Article 59.2: Standard, High Integration, and Strategic Integration North American Automotive Origin</w:t>
      </w:r>
      <w:bookmarkEnd w:id="901910"/>
    </w:p>
    <w:p>
      <w:pPr>
        <w:pStyle w:val="Normal"/>
      </w:pPr>
      <w:r>
        <w:t>1. Standard North American Automotive Origin means ordinary automotive originating status under Chapter 4, Annex 4-B, and applicable Uniform Regulations. The Standard Tier remains independently usable and commercially meaningful.</w:t>
      </w:r>
    </w:p>
    <w:p>
      <w:pPr>
        <w:pStyle w:val="Normal"/>
      </w:pPr>
      <w:r>
        <w:t>2. High Integration is the voluntary automotive integration status corresponding to the High Integration layer in Annex 4-E-1 and Annex 59-C. It becomes available only when the Commission adopts the Automotive Integration Activation Schedule under Article 59.1(5), and it uses the treaty-fixed 80 percent regional-value-content threshold and three-of-five condition measured under the objective, auditable qualifying-performance criteria for the five strategic component categories designated in that Schedule. Each Party's competent customs or origin authority identified in the Activation Schedule determines status for treatment in that Party using the common Schedule criteria and evidence rules; solely for administrative and judicial review, that determination is reviewable under the procedures and safeguards of Article 5.15 as if it were a determination within that Article, without converting Integration status into originating status or altering any Chapter 4 eligibility determination. Materially inconsistent determinations on materially identical facts may be referred to the Committee on Rules of Origin for coordination without staying or extending any applicable review deadline, and failure to attain High Integration does not diminish independently established Standard originating status.</w:t>
      </w:r>
    </w:p>
    <w:p>
      <w:pPr>
        <w:pStyle w:val="Normal"/>
      </w:pPr>
      <w:r>
        <w:t>3. Strategic Integration is the voluntary automotive integration status corresponding to the Strategic Integration layer in Annex 4-E-1 and Annex 59-C. It becomes available only when the Commission adopts the Automotive Integration Activation Schedule under Article 59.1(5), and it uses the treaty-fixed 85 percent regional-value-content threshold, the all-five condition measured under the objective, auditable qualifying-performance criteria for the same five designated strategic component categories, and a supply-chain continuity plan approved by the authority or authorities and under the objective standard identified in that Schedule. Each Party's competent customs or origin authority identified in the Activation Schedule determines status for treatment in that Party using the common Schedule criteria and evidence rules; solely for administrative and judicial review, that determination is reviewable under the procedures and safeguards of Article 5.15 as if it were a determination within that Article, without converting Integration status into originating status or altering any Chapter 4 eligibility determination. Materially inconsistent determinations on materially identical facts may be referred to the Committee on Rules of Origin for coordination without staying or extending any applicable review deadline; the Strategic Component Points System in Article 59.3 may support optional earned benefits and technical scoring but is not a substitute qualification test, and failure to attain Strategic Integration does not diminish independently established Standard or High Integration treatment.</w:t>
      </w:r>
    </w:p>
    <w:p>
      <w:pPr>
        <w:pStyle w:val="Normal"/>
      </w:pPr>
      <w:r>
        <w:t>4. High Integration and Strategic Integration status are available on equal terms to qualifying producers in each Party and do not depend on the location of final assembly within a particular Party.</w:t>
      </w:r>
    </w:p>
    <w:p>
      <w:pPr>
        <w:pStyle w:val="Normal"/>
      </w:pPr>
      <w:r>
        <w:t>5. Benefits may include reduced routine verification frequency for consistently compliant firms, consolidated certifications, extended certification validity where appropriate, expedited trusted-trader treatment, coordinated audits, simplified documentation, and priority access to voluntary resilience, supplier-matching, testing, or demonstration programs.</w:t>
      </w:r>
    </w:p>
    <w:p>
      <w:pPr>
        <w:pStyle w:val="Normal"/>
      </w:pPr>
      <w:r>
        <w:t>6. No benefit under paragraph 5 shall prevent a customs administration from conducting a targeted verification based on a material risk indicator, credible evidence of fraud, or a significant unexplained origin anomaly.</w:t>
      </w:r>
    </w:p>
    <w:p>
      <w:pPr>
        <w:pStyle w:val="Heading2"/>
      </w:pPr>
      <w:bookmarkStart w:id="901911" w:name="_Toc300001910"/>
      <w:r>
        <w:t>Article 59.3: Strategic Component Points System</w:t>
      </w:r>
      <w:bookmarkEnd w:id="901911"/>
    </w:p>
    <w:p>
      <w:pPr>
        <w:pStyle w:val="Normal"/>
      </w:pPr>
      <w:r>
        <w:t>1. The Parties maintain a weighted Strategic Component Points System as a supplemental scoring tool for optional strategic-component benefits, capacity analysis, and technical administration. It does not independently establish High Integration or Strategic Integration status, which are governed by Article 59.2, Annex 4-E-1, and an applicable lawfully activated implementing schedule. Initial candidate categories include battery cells and active materials; semiconductors; power electronics; traction motors and drive units; advanced steel and aluminum; sensors and safety-critical electronics; embedded control systems; verified recovered strategic materials; and other strategically significant automotive inputs maintained within the authority of Article 34.A.</w:t>
      </w:r>
    </w:p>
    <w:p>
      <w:pPr>
        <w:pStyle w:val="Normal"/>
      </w:pPr>
      <w:r>
        <w:t>2. Points shall reflect meaningful North American production, transformation, recovery, fabrication, assembly, testing, or other economically substantive activity. Design ownership, branding, invoicing, packaging, or superficial finishing alone shall not create strategic-component credit.</w:t>
      </w:r>
    </w:p>
    <w:p>
      <w:pPr>
        <w:pStyle w:val="Normal"/>
      </w:pPr>
      <w:r>
        <w:t>3. For an optional benefit that expressly uses a Strategic Component Score, the applicable adopted schedule states the minimum score, scoring range, category weights, equivalency limits, benefit attached to the score, and Specific Legal Authority supporting that benefit before the score becomes operative. Bounded equivalency may permit unusually strong performance in one category to compensate for another only for that optional scoring benefit and does not waive the mandatory three-of-five or all-five category conditions governing High Integration or Strategic Integration unless those conditions are substantively amended. No committee or administrator infers a missing minimum score from modelling, practice, or an unadopted reference model.</w:t>
      </w:r>
    </w:p>
    <w:p>
      <w:pPr>
        <w:pStyle w:val="Normal"/>
      </w:pPr>
      <w:r>
        <w:t>4. The Committee on Rules of Origin may maintain technical descriptions, evidentiary criteria, and scoring parameters for candidate categories within authority delegated by Article 34.A, but technical maintenance does not replace a category among the five designated by an adopted Automotive Integration Activation Schedule or materially change the qualifying-performance bargain established by that Schedule. An adopted Activation Schedule may be amended to re-designate one or more of those five categories only by a new Commission consensus decision under Article 59.1(5) following the modelling and notice required by Annex 59-A. A change to the treaty-fixed 80 percent or 85 percent threshold or to the three-of-five or all-five condition requires Article 34.3 unless another treaty provision expressly supplies amendment authority. A review date, technical-maintenance cycle, or pending re-designation does not by itself cause an existing category, credit, right, or qualification to lapse; any re-designation takes effect only on the effective date stated in the new Commission decision.</w:t>
      </w:r>
    </w:p>
    <w:p>
      <w:pPr>
        <w:pStyle w:val="Normal"/>
      </w:pPr>
      <w:r>
        <w:t>5. Proposed technical updates shall be supported by published evidence concerning supply concentration, production capacity, technological relevance, switching cost, safety significance, and the risk that disruption could materially impair North American vehicle production.</w:t>
      </w:r>
    </w:p>
    <w:p>
      <w:pPr>
        <w:pStyle w:val="Heading2"/>
      </w:pPr>
      <w:bookmarkStart w:id="901912" w:name="_Toc300001911"/>
      <w:r>
        <w:t>Article 59.4: Automotive Supplier Declaration, Advance Ruling, and Good-Faith Cure</w:t>
      </w:r>
      <w:bookmarkEnd w:id="901912"/>
    </w:p>
    <w:p>
      <w:pPr>
        <w:pStyle w:val="Normal"/>
      </w:pPr>
      <w:r>
        <w:t>1. The Parties shall develop an interoperable supplemental automotive supplier declaration that may allocate relevant value among: (a) verified originating North American content; (b) verified non-originating content with known origin; and (c) unknown or commingled content. The declaration supplements and does not replace the certification flexibility guaranteed by Chapter 5.</w:t>
      </w:r>
    </w:p>
    <w:p>
      <w:pPr>
        <w:pStyle w:val="Normal"/>
      </w:pPr>
      <w:r>
        <w:t>2. Unknown or commingled content may be treated conservatively for the calculation for which the declaration is used, subject to later correction on production of reliable evidence. No conservative default shall be designed to function as a punitive presumption.</w:t>
      </w:r>
    </w:p>
    <w:p>
      <w:pPr>
        <w:pStyle w:val="Normal"/>
      </w:pPr>
      <w:r>
        <w:t>3. A producer may request a binding advance ruling concerning the treatment of a vehicle model, platform, major component, valuation methodology, an adopted Strategic Component Score, or a capacity-gap accommodation before commercial importation. A ruling on a Strategic Component Score applies only to a score and benefit established in a lawfully adopted schedule under Article 59.3. The Parties coordinate rulings where substantially identical facts affect trade among more than two Parties. An advance ruling does not supply a missing threshold, benefit authority, or capacity-gap approval authority.</w:t>
      </w:r>
    </w:p>
    <w:p>
      <w:pPr>
        <w:pStyle w:val="Normal"/>
      </w:pPr>
      <w:r>
        <w:t>4. A first-time or minor documentary discrepancy that does not present a material fraud indicator receives a reasonable cure opportunity, ordinarily not less than 60 days. Preferential treatment, High Integration status, or Strategic Integration status is not withdrawn solely for an immaterial formatting defect corrected in good faith.</w:t>
      </w:r>
    </w:p>
    <w:p>
      <w:pPr>
        <w:pStyle w:val="Normal"/>
      </w:pPr>
      <w:r>
        <w:t>5. Penalties shall be proportionate to materiality, frequency, culpability, and economic effect. Intentional material misrepresentation, organized transshipment, falsified provenance, or repeated knowing abuse may result in enhanced penalties and disqualification consistent with Chapters 5, 31, 35, and 36.</w:t>
      </w:r>
    </w:p>
    <w:p>
      <w:pPr>
        <w:pStyle w:val="Heading2"/>
      </w:pPr>
      <w:bookmarkStart w:id="901913" w:name="_Toc300001912"/>
      <w:r>
        <w:t>Article 59.5: Non-North-American-Value Tariff Pilot and Valuation Architecture</w:t>
      </w:r>
      <w:bookmarkEnd w:id="901913"/>
    </w:p>
    <w:p>
      <w:pPr>
        <w:pStyle w:val="Normal"/>
      </w:pPr>
      <w:r>
        <w:t>1. The Parties establish a controlled technical pilot to validate and operationalize the non-North-American-value valuation methodology contemplated by Article 4.A.2(4)-(6) and Annex 4-E for specified nonqualifying automotive goods containing substantial verified North American value. The pilot tests administrability, valuation, evidence, reconciliation, and circumvention controls; it does not reopen whether Article 4.A.2(4) supplies the underlying treaty rule when that pathway becomes operational.</w:t>
      </w:r>
    </w:p>
    <w:p>
      <w:pPr>
        <w:pStyle w:val="Normal"/>
      </w:pPr>
      <w:r>
        <w:t>2. The pilot does not alter ordinary preferential treatment, create a new tariff obligation, or apply commercially until the Commission adopts the implementing schedule required by Article 4.A.2(5)-(6) and Annex 4-E following the modelling, customs testing, public comment, and legal-authority requirements applicable to that instrument. Commercial activation therefore implements the existing Article 4.A.2 pathway rather than creating a competing duty base.</w:t>
      </w:r>
    </w:p>
    <w:p>
      <w:pPr>
        <w:pStyle w:val="Normal"/>
      </w:pPr>
      <w:r>
        <w:t>3. Any implementing schedule shall provide standardized valuation methodologies, de minimis treatment, anti-double-counting rules, proportionate recordkeeping, SME procedures, safe harbors, advance valuation rulings, audit rights, and treatment of unknown or commingled content.</w:t>
      </w:r>
    </w:p>
    <w:p>
      <w:pPr>
        <w:pStyle w:val="Normal"/>
      </w:pPr>
      <w:r>
        <w:t>4. The pilot shall test model-level and component-family methodologies capable of avoiding transaction-by-transaction reconstruction of thousands of low-value inputs.</w:t>
      </w:r>
    </w:p>
    <w:p>
      <w:pPr>
        <w:pStyle w:val="Normal"/>
      </w:pPr>
      <w:r>
        <w:t>5. If the pilot fails to demonstrate administrability, the Article 4.A.2 pathway remains non-operational to the extent its controlling implementation conditions have not been satisfied, and the tariff treatment otherwise applicable under the Agreement continues. Failure of the pilot does not repeal Article 4.A.2, create a different duty base, or condition an ordinary origin preference.</w:t>
      </w:r>
    </w:p>
    <w:p>
      <w:pPr>
        <w:pStyle w:val="Heading2"/>
      </w:pPr>
      <w:bookmarkStart w:id="901914" w:name="_Toc300001913"/>
      <w:r>
        <w:t>Article 59.6: Capacity-Gap Transitional Import and Build-the-Gap Pathway</w:t>
      </w:r>
      <w:bookmarkEnd w:id="901914"/>
    </w:p>
    <w:p>
      <w:pPr>
        <w:pStyle w:val="Normal"/>
      </w:pPr>
      <w:r>
        <w:t>1. A producer is not penalized under a High Integration or Strategic Integration automotive criterion solely because a required input is unavailable from North American commercial sources in adequate quantity, grade, certification, quality, or commercially reasonable delivery time.</w:t>
      </w:r>
    </w:p>
    <w:p>
      <w:pPr>
        <w:pStyle w:val="Normal"/>
      </w:pPr>
      <w:r>
        <w:t>2. A capacity-gap determination is made by the Committee on Rules of Origin or the competent national customs authority identified in the applicable implementing schedule, subject to coordinated treatment where the same input materially affects more than one Party. The determination is evidence-based and considers actual and announced regional capacity, qualification lead times, substitutability, price differentials that materially reflect scarcity rather than ordinary competition, logistics, safety and certification requirements, and credible supplier offers. The applicant demonstrates that the claimed gap was not materially created or prolonged by its own refusal to consider commercially reasonable qualifying North American supply. The decision identifies the deciding authority, evidence, covered input, duration, review date, and any Regional Sourcing Transition Plan.</w:t>
      </w:r>
    </w:p>
    <w:p>
      <w:pPr>
        <w:pStyle w:val="Normal"/>
      </w:pPr>
      <w:r>
        <w:t>3. An approved accommodation shall be narrow, input-specific, transparent as to its general basis, and accompanied by a Regional Sourcing Transition Plan proportionate to the applicant’s scale and ability to influence supply. A plan may include supplier qualification, advance purchase commitments, joint ventures, tooling support, technology licensing, investment solicitation, or other commercially reasonable steps.</w:t>
      </w:r>
    </w:p>
    <w:p>
      <w:pPr>
        <w:pStyle w:val="Normal"/>
      </w:pPr>
      <w:r>
        <w:t>4. Each material capacity-gap determination shall trigger a North American supplier expression-of-interest process and publication of the gap as an investment opportunity, subject to protection of confidential business information.</w:t>
      </w:r>
    </w:p>
    <w:p>
      <w:pPr>
        <w:pStyle w:val="Normal"/>
      </w:pPr>
      <w:r>
        <w:t>5. Accommodations operate only while the verified gap persists, state a review interval and maximum authorization period not exceeding 24 months unless an applicable adopted schedule establishes a shorter maximum, and narrow automatically when qualified regional capacity becomes commercially available. Renewal requires a new determination by the authority identified under paragraph 2, updated evidence, and documented progress under the Regional Sourcing Transition Plan. An accommodation expires at the stated endpoint if no renewal determination issues. This paragraph is a capacity-responsive adjustment rule and not a permanent waiver of the applicable origin criterion.</w:t>
      </w:r>
    </w:p>
    <w:p>
      <w:pPr>
        <w:pStyle w:val="Normal"/>
      </w:pPr>
      <w:r>
        <w:t>6. Loss of an accommodation is prospective except in cases of fraud, intentional concealment, or material misrepresentation. Failure to achieve an investment milestone despite documented good-faith effort shall not create retroactive duty liability.</w:t>
      </w:r>
    </w:p>
    <w:p>
      <w:pPr>
        <w:pStyle w:val="Heading2"/>
      </w:pPr>
      <w:bookmarkStart w:id="901915" w:name="_Toc300001914"/>
      <w:r>
        <w:t>Article 59.7: North American Automotive Capacity, Investment, and Nearshoring Platform</w:t>
      </w:r>
      <w:bookmarkEnd w:id="901915"/>
    </w:p>
    <w:p>
      <w:pPr>
        <w:pStyle w:val="Normal"/>
      </w:pPr>
      <w:r>
        <w:t>1. The Parties shall maintain a voluntary platform that converts verified automotive capacity gaps and concentrated dependencies into transparent investment opportunities while preserving competitive site selection among Canada, Mexico, and the United States.</w:t>
      </w:r>
    </w:p>
    <w:p>
      <w:pPr>
        <w:pStyle w:val="Normal"/>
      </w:pPr>
      <w:r>
        <w:t>2. The platform may provide investment-ready site information, brownfield inventories, infrastructure and interconnection data, workforce availability, supplier matching, permitting navigation, financing information, and standardized expressions of interest.</w:t>
      </w:r>
    </w:p>
    <w:p>
      <w:pPr>
        <w:pStyle w:val="Normal"/>
      </w:pPr>
      <w:r>
        <w:t>3. Each Party may maintain its own lawful investment incentives. Nothing in this Chapter requires identical tax credits, fixes domestic tax policy, guarantees a project location, or authorizes the Commission to allocate production among the Parties.</w:t>
      </w:r>
    </w:p>
    <w:p>
      <w:pPr>
        <w:pStyle w:val="Normal"/>
      </w:pPr>
      <w:r>
        <w:t>4. Public support should prioritize objectively identified capacity gaps, crowd in private capital, and avoid indefinite support for commercially nonviable capacity.</w:t>
      </w:r>
    </w:p>
    <w:p>
      <w:pPr>
        <w:pStyle w:val="Normal"/>
      </w:pPr>
      <w:r>
        <w:t>5. The platform shall include pathways for Tier-2 and Tier-3 suppliers, remanufacturers, recyclers, tooling firms, software firms, and other SMEs, not solely final-assembly or large Tier-1 investments.</w:t>
      </w:r>
    </w:p>
    <w:p>
      <w:pPr>
        <w:pStyle w:val="Heading2"/>
      </w:pPr>
      <w:bookmarkStart w:id="901916" w:name="_Toc300001915"/>
      <w:r>
        <w:t>Article 59.8: Supplier Second-Source and Resilience Ladder</w:t>
      </w:r>
      <w:bookmarkEnd w:id="901916"/>
    </w:p>
    <w:p>
      <w:pPr>
        <w:pStyle w:val="Normal"/>
      </w:pPr>
      <w:r>
        <w:t>1. The Parties shall encourage progressive resilience measures for automotive inputs according to measured vulnerability. Measures should escalate from supplier diversification and second-source qualification, to commercially financed inventory buffers, to rotating strategic commercial reserves for identified critical inputs, and only where justified to government-supported emergency reserves.</w:t>
      </w:r>
    </w:p>
    <w:p>
      <w:pPr>
        <w:pStyle w:val="Normal"/>
      </w:pPr>
      <w:r>
        <w:t>2. Concentration analysis shall distinguish efficient specialization from dangerous single-point dependency and shall not presume that foreign origin alone constitutes a reliability defect.</w:t>
      </w:r>
    </w:p>
    <w:p>
      <w:pPr>
        <w:pStyle w:val="Normal"/>
      </w:pPr>
      <w:r>
        <w:t>3. Governments may facilitate supplier qualification, testing, inventory financing, insurance, or emergency matching, but shall not require a private firm to disclose competitively sensitive information beyond what is necessary for a defined public function.</w:t>
      </w:r>
    </w:p>
    <w:p>
      <w:pPr>
        <w:pStyle w:val="Normal"/>
      </w:pPr>
      <w:r>
        <w:t>4. Temporary support for a viable supplier affected by a discrete retooling event or external shock shall be conditioned on a credible recovery pathway and shall not become an indefinite operating subsidy.</w:t>
      </w:r>
    </w:p>
    <w:p>
      <w:pPr>
        <w:pStyle w:val="Heading2"/>
      </w:pPr>
      <w:bookmarkStart w:id="901917" w:name="_Toc300001916"/>
      <w:r>
        <w:t>Article 59.9: Trusted Automotive Trade Corridor and Virtual In-Bond System</w:t>
      </w:r>
      <w:bookmarkEnd w:id="901917"/>
    </w:p>
    <w:p>
      <w:pPr>
        <w:pStyle w:val="Normal"/>
      </w:pPr>
      <w:r>
        <w:t>1. The Parties shall develop an interoperable trusted automotive corridor based on the principle: submit once, assess before arrival, verify according to risk, and reuse authenticated data where lawful.</w:t>
      </w:r>
    </w:p>
    <w:p>
      <w:pPr>
        <w:pStyle w:val="Normal"/>
      </w:pPr>
      <w:r>
        <w:t>2. The corridor may integrate advance electronic data, pre-clearance, trusted trader status, trusted driver credentials, coordinated inspections, machine-readable border-wait data, interoperable electronic seals, virtual in-bond chain-of-custody, bonded warehousing, and emergency shipment escalation.</w:t>
      </w:r>
    </w:p>
    <w:p>
      <w:pPr>
        <w:pStyle w:val="Normal"/>
      </w:pPr>
      <w:r>
        <w:t>3. Service targets shall be traffic- and risk-based. This Article does not guarantee a fixed crossing time regardless of congestion, safety, enforcement need, infrastructure failure, or emergency conditions.</w:t>
      </w:r>
    </w:p>
    <w:p>
      <w:pPr>
        <w:pStyle w:val="Normal"/>
      </w:pPr>
      <w:r>
        <w:t>4. A common underlying data model may satisfy multiple national submissions while each customs administration retains its legal authority and access controls.</w:t>
      </w:r>
    </w:p>
    <w:p>
      <w:pPr>
        <w:pStyle w:val="Normal"/>
      </w:pPr>
      <w:r>
        <w:t>5. The Parties shall prioritize rail interchange, terminal capacity, autorack handling, bridge and tunnel resilience, inland-port interoperability, and alternative-route information where evidence shows material automotive bottlenecks.</w:t>
      </w:r>
    </w:p>
    <w:p>
      <w:pPr>
        <w:pStyle w:val="Heading2"/>
      </w:pPr>
      <w:bookmarkStart w:id="901918" w:name="_Toc300001917"/>
      <w:r>
        <w:t>Article 59.10: Battery, Strategic Material, and Circular Automotive Lifecycle</w:t>
      </w:r>
      <w:bookmarkEnd w:id="901918"/>
    </w:p>
    <w:p>
      <w:pPr>
        <w:pStyle w:val="Normal"/>
      </w:pPr>
      <w:r>
        <w:t>1. The Parties shall establish interoperable battery provenance, health, warranty-transfer, second-life, recycling, and recovered-material rules sufficient to support safe cross-border commerce without requiring a single centralized database.</w:t>
      </w:r>
    </w:p>
    <w:p>
      <w:pPr>
        <w:pStyle w:val="Normal"/>
      </w:pPr>
      <w:r>
        <w:t>2. Common battery-health metrics and safety classifications should permit consumers, repairers, recyclers, insurers, and second-life users to assess condition using authenticated records and appropriate access controls.</w:t>
      </w:r>
    </w:p>
    <w:p>
      <w:pPr>
        <w:pStyle w:val="Normal"/>
      </w:pPr>
      <w:r>
        <w:t>3. Recovered critical minerals and qualifying recycled automotive materials shall receive origin treatment consistent with Chapter 4 where the applicable recovery and transformation requirements are met.</w:t>
      </w:r>
    </w:p>
    <w:p>
      <w:pPr>
        <w:pStyle w:val="Normal"/>
      </w:pPr>
      <w:r>
        <w:t>4. The Parties shall maintain qualified recycler standards, material recovery data, processing-gap maps, and pathways for safe shipment of end-of-life batteries and strategic materials.</w:t>
      </w:r>
    </w:p>
    <w:p>
      <w:pPr>
        <w:pStyle w:val="Normal"/>
      </w:pPr>
      <w:r>
        <w:t>5. Voluntary zero-waste or circular-production recognition shall require verified diversion, recovery, reuse, remanufacturing, or recycling outcomes and shall not be satisfied merely by transferring waste to another jurisdiction.</w:t>
      </w:r>
    </w:p>
    <w:p>
      <w:pPr>
        <w:pStyle w:val="Heading2"/>
      </w:pPr>
      <w:bookmarkStart w:id="901919" w:name="_Toc300001918"/>
      <w:r>
        <w:t>Article 59.11: Semiconductor and Strategic Electronics Resilience</w:t>
      </w:r>
      <w:bookmarkEnd w:id="901919"/>
    </w:p>
    <w:p>
      <w:pPr>
        <w:pStyle w:val="Normal"/>
      </w:pPr>
      <w:r>
        <w:t>1. The Parties shall map automotive dependencies in mature-node and other strategically significant semiconductors, sensors, power electronics, controllers, and communications components and shall facilitate commercially viable second sources and North American capacity where justified.</w:t>
      </w:r>
    </w:p>
    <w:p>
      <w:pPr>
        <w:pStyle w:val="Normal"/>
      </w:pPr>
      <w:r>
        <w:t>2. Origin treatment for semiconductor and embedded-electronics products shall reflect economically meaningful transformation. North American design ownership alone does not convert non-originating fabrication into originating content.</w:t>
      </w:r>
    </w:p>
    <w:p>
      <w:pPr>
        <w:pStyle w:val="Normal"/>
      </w:pPr>
      <w:r>
        <w:t>3. The Parties shall develop common or mutually recognized testing, cybersecurity, functional-safety, provenance, and component-authentication outcomes while avoiding predetermined national production roles.</w:t>
      </w:r>
    </w:p>
    <w:p>
      <w:pPr>
        <w:pStyle w:val="Normal"/>
      </w:pPr>
      <w:r>
        <w:t>4. Public programs may support precompetitive research, prototyping, packaging, testing, workforce development, or fabrication capacity consistent with each Party’s law and this Agreement.</w:t>
      </w:r>
    </w:p>
    <w:p>
      <w:pPr>
        <w:pStyle w:val="Normal"/>
      </w:pPr>
      <w:r>
        <w:t>5. Strategic electronics criteria shall be technology-neutral and maintained through the rolling technical process in Articles 34.A and 59.3.</w:t>
      </w:r>
    </w:p>
    <w:p>
      <w:pPr>
        <w:pStyle w:val="Heading2"/>
      </w:pPr>
      <w:bookmarkStart w:id="901920" w:name="_Toc300001919"/>
      <w:r>
        <w:t>Article 59.12: Automotive Mutual Recognition, Open Interfaces, and Repair Interoperability</w:t>
      </w:r>
      <w:bookmarkEnd w:id="901920"/>
    </w:p>
    <w:p>
      <w:pPr>
        <w:pStyle w:val="Normal"/>
      </w:pPr>
      <w:r>
        <w:t>1. Where the Parties maintain different automotive technical rules that achieve demonstrably equivalent safety, cybersecurity, environmental, or consumer-protection outcomes, they shall seek mutual recognition, common testing protocols, or reusable conformity evidence rather than duplicative testing.</w:t>
      </w:r>
    </w:p>
    <w:p>
      <w:pPr>
        <w:pStyle w:val="Normal"/>
      </w:pPr>
      <w:r>
        <w:t>2. The Parties shall promote open, documented, safety-appropriate interfaces for diagnostics, repair information, charging, vehicle-to-grid functions, component authentication, and other interoperability functions where openness can reduce vendor lock-in without exposing security-sensitive controls.</w:t>
      </w:r>
    </w:p>
    <w:p>
      <w:pPr>
        <w:pStyle w:val="Normal"/>
      </w:pPr>
      <w:r>
        <w:t>3. Nothing in this Article requires disclosure of trade secrets, source code, cryptographic keys, personal data, or information whose release would create a material cybersecurity or safety risk.</w:t>
      </w:r>
    </w:p>
    <w:p>
      <w:pPr>
        <w:pStyle w:val="Normal"/>
      </w:pPr>
      <w:r>
        <w:t>4. A Party retains authority to impose a genuinely necessary non-discriminatory safety, environmental, privacy, cybersecurity, or consumer-protection requirement supported by evidence and administered consistently with this Agreement.</w:t>
      </w:r>
    </w:p>
    <w:p>
      <w:pPr>
        <w:pStyle w:val="Normal"/>
      </w:pPr>
      <w:r>
        <w:t>5. The Parties shall cooperate against counterfeit safety-critical parts through authenticated identifiers, provenance checks, customs alerts, and information exchange subject to due process.</w:t>
      </w:r>
    </w:p>
    <w:p>
      <w:pPr>
        <w:pStyle w:val="Heading2"/>
      </w:pPr>
      <w:bookmarkStart w:id="901921" w:name="_Toc300001920"/>
      <w:r>
        <w:t>Article 59.13: Vehicle Lifecycle Passport and Secondary-Market Integrity</w:t>
      </w:r>
      <w:bookmarkEnd w:id="901921"/>
    </w:p>
    <w:p>
      <w:pPr>
        <w:pStyle w:val="Normal"/>
      </w:pPr>
      <w:r>
        <w:t>1. The Parties shall develop interoperable vehicle lifecycle credentials capable of linking, through permissioned and federated systems, relevant records concerning manufacturing identity, origin, recalls, major safety events, battery health, salvage status, odometer integrity, theft status, repair history where lawfully available, and end-of-life disposition.</w:t>
      </w:r>
    </w:p>
    <w:p>
      <w:pPr>
        <w:pStyle w:val="Normal"/>
      </w:pPr>
      <w:r>
        <w:t>2. The architecture shall not create a universally accessible continental personal-data database. Access shall be role-based, purpose-limited, auditable, and consistent with each Party’s privacy law.</w:t>
      </w:r>
    </w:p>
    <w:p>
      <w:pPr>
        <w:pStyle w:val="Normal"/>
      </w:pPr>
      <w:r>
        <w:t>3. The Parties shall cooperate to reduce title washing, odometer fraud, salvage concealment, stolen-vehicle trafficking, and trafficking in stolen high-value parts through secure title and identifier verification.</w:t>
      </w:r>
    </w:p>
    <w:p>
      <w:pPr>
        <w:pStyle w:val="Normal"/>
      </w:pPr>
      <w:r>
        <w:t>4. The Parties may facilitate temporary cross-border fleet operations, registration evidence, lien and title-interest verification, and insurance-status confirmation through interoperable credentials without creating a single continental insurance policy or displacing subnational authority.</w:t>
      </w:r>
    </w:p>
    <w:p>
      <w:pPr>
        <w:pStyle w:val="Heading2"/>
      </w:pPr>
      <w:bookmarkStart w:id="901922" w:name="_Toc300001921"/>
      <w:r>
        <w:t>Article 59.14: Automotive Skills, Credentials, Mobility, and Workforce Transition</w:t>
      </w:r>
      <w:bookmarkEnd w:id="901922"/>
    </w:p>
    <w:p>
      <w:pPr>
        <w:pStyle w:val="Normal"/>
      </w:pPr>
      <w:r>
        <w:t>1. The Parties shall develop common competency outcomes and mutual-recognition pathways for identified automotive skill shortages, including welding, robotics maintenance, mechatronics, battery service, high-voltage safety, software diagnostics, cybersecurity, machining, and other emerging fields.</w:t>
      </w:r>
    </w:p>
    <w:p>
      <w:pPr>
        <w:pStyle w:val="Normal"/>
      </w:pPr>
      <w:r>
        <w:t>2. Apprenticeship and training programs may include voluntary cross-border placements and instructor or worker exchanges. Recognition shall focus on demonstrated competencies and shall not require identical curricula.</w:t>
      </w:r>
    </w:p>
    <w:p>
      <w:pPr>
        <w:pStyle w:val="Normal"/>
      </w:pPr>
      <w:r>
        <w:t>3. Temporary specialist mobility pathways may be used for defined installation, commissioning, repair, training, emergency, or shortage functions consistent with Chapter 16 and domestic immigration law.</w:t>
      </w:r>
    </w:p>
    <w:p>
      <w:pPr>
        <w:pStyle w:val="Normal"/>
      </w:pPr>
      <w:r>
        <w:t>4. The Parties shall encourage retraining for workers affected by automation, electrification, digitization, or plant transition, including portable short-form credentials and pathways into robotics, maintenance, remanufacturing, recycling, software, and other growth functions.</w:t>
      </w:r>
    </w:p>
    <w:p>
      <w:pPr>
        <w:pStyle w:val="Normal"/>
      </w:pPr>
      <w:r>
        <w:t>5. Workforce metrics may include compensation, productivity, retention, training completion, vacancy duration, safety, and credential portability. Such metrics shall inform policy and may support earned workforce-advancement and automotive-integration benefits under Article 7 and the 75% / 80% / 85% tier architecture; they shall not create a fixed nominal-wage condition of origin.</w:t>
      </w:r>
    </w:p>
    <w:p>
      <w:pPr>
        <w:pStyle w:val="Heading2"/>
      </w:pPr>
      <w:bookmarkStart w:id="901923" w:name="_Toc300001922"/>
      <w:r>
        <w:t>Article 59.15: Precompetitive Research Commons, Innovation Labs, and Grand Challenges</w:t>
      </w:r>
      <w:bookmarkEnd w:id="901923"/>
    </w:p>
    <w:p>
      <w:pPr>
        <w:pStyle w:val="Normal"/>
      </w:pPr>
      <w:r>
        <w:t>1. The Parties shall facilitate voluntary precompetitive automotive research collaboration among universities, laboratories, manufacturers, suppliers, workers, standards bodies, and other qualified participants.</w:t>
      </w:r>
    </w:p>
    <w:p>
      <w:pPr>
        <w:pStyle w:val="Normal"/>
      </w:pPr>
      <w:r>
        <w:t>2. Priority areas may include battery chemistry and safety, lightweight and recyclable materials, crash and injury prevention, vehicle cybersecurity, AI assurance, autonomous-system validation, hydrogen and alternative fuels, manufacturing robotics, digital twins, telematics safety, repair diagnostics, environmental monitoring, and resilient logistics.</w:t>
      </w:r>
    </w:p>
    <w:p>
      <w:pPr>
        <w:pStyle w:val="Normal"/>
      </w:pPr>
      <w:r>
        <w:t>3. Intellectual-property arrangements may use public-domain dedication, open licenses, FRAND licensing, patent pools, research licenses, or commercial ownership according to the project. No participant is compelled to surrender pre-existing intellectual property as a condition of ordinary CUSMA treatment.</w:t>
      </w:r>
    </w:p>
    <w:p>
      <w:pPr>
        <w:pStyle w:val="Normal"/>
      </w:pPr>
      <w:r>
        <w:t>4. The Parties may sponsor outcome-based grand challenges in which governments define measurable problems and competing teams select technical approaches. Challenges should avoid prescribing a favored technology where multiple solutions can satisfy the objective.</w:t>
      </w:r>
    </w:p>
    <w:p>
      <w:pPr>
        <w:pStyle w:val="Normal"/>
      </w:pPr>
      <w:r>
        <w:t>5. Shared research and incident datasets shall be de-identified or aggregated where appropriate and protected against disclosure of confidential business information and personal data.</w:t>
      </w:r>
    </w:p>
    <w:p>
      <w:pPr>
        <w:pStyle w:val="Heading2"/>
      </w:pPr>
      <w:bookmarkStart w:id="901924" w:name="_Toc300001923"/>
      <w:r>
        <w:t>Article 59.16: Automotive Cybersecurity, AI Assurance, and Connected-Vehicle Cooperation</w:t>
      </w:r>
      <w:bookmarkEnd w:id="901924"/>
    </w:p>
    <w:p>
      <w:pPr>
        <w:pStyle w:val="Normal"/>
      </w:pPr>
      <w:r>
        <w:t>1. The Parties shall cooperate on risk-based cybersecurity and AI-assurance outcomes for connected and automated vehicles, manufacturing systems, charging infrastructure, telematics, diagnostics, and trade infrastructure.</w:t>
      </w:r>
    </w:p>
    <w:p>
      <w:pPr>
        <w:pStyle w:val="Normal"/>
      </w:pPr>
      <w:r>
        <w:t>2. Cooperation may include common minimum security outcomes, coordinated vulnerability disclosure, incident information exchange, accredited assessment, secure software-update practices, component provenance, supply-chain security, and mutual recognition of equivalent certifications.</w:t>
      </w:r>
    </w:p>
    <w:p>
      <w:pPr>
        <w:pStyle w:val="Normal"/>
      </w:pPr>
      <w:r>
        <w:t>3. AI assurance shall address safety validation, traceability of material system changes, human oversight where appropriate, incident reporting, robustness, and cybersecurity without requiring disclosure of proprietary model weights or source code except where lawfully necessary under narrowly tailored procedures.</w:t>
      </w:r>
    </w:p>
    <w:p>
      <w:pPr>
        <w:pStyle w:val="Normal"/>
      </w:pPr>
      <w:r>
        <w:t>4. The Parties shall encourage compatible vehicle-to-infrastructure and vehicle-to-grid interfaces, including safety, metering, communications, payment, and roaming principles, while preserving competition among service providers.</w:t>
      </w:r>
    </w:p>
    <w:p>
      <w:pPr>
        <w:pStyle w:val="Heading2"/>
      </w:pPr>
      <w:bookmarkStart w:id="901925" w:name="_Toc300001924"/>
      <w:r>
        <w:t>Article 59.17: Infrastructure, Grid, Water, Logistics, and All-Hazards Resilience</w:t>
      </w:r>
      <w:bookmarkEnd w:id="901925"/>
    </w:p>
    <w:p>
      <w:pPr>
        <w:pStyle w:val="Normal"/>
      </w:pPr>
      <w:r>
        <w:t>1. Automotive investment planning under this Agreement shall consider electric-power availability, interconnection timelines, transmission constraints, water stress, wastewater capacity, freight access, communications resilience, and exposure to wildfire, flood, hurricane, tornado, ice, drought, earthquake, cyber incident, and other material hazards.</w:t>
      </w:r>
    </w:p>
    <w:p>
      <w:pPr>
        <w:pStyle w:val="Normal"/>
      </w:pPr>
      <w:r>
        <w:t>2. The Parties shall publish or facilitate access to non-confidential site and corridor data sufficient for investors to identify infrastructure constraints before committing capital.</w:t>
      </w:r>
    </w:p>
    <w:p>
      <w:pPr>
        <w:pStyle w:val="Normal"/>
      </w:pPr>
      <w:r>
        <w:t>3. Water-stressed automotive regions should prioritize closed-loop process water, reuse, wastewater recovery, efficient cooling, and other measures suited to local conditions. This Article does not impose identical water standards across dissimilar regions.</w:t>
      </w:r>
    </w:p>
    <w:p>
      <w:pPr>
        <w:pStyle w:val="Normal"/>
      </w:pPr>
      <w:r>
        <w:t>4. Charging, alternative-fuel, and emerging freight infrastructure cooperation shall be demand-led and coordinated with realistic grid and energy capacity. No Party is required to build infrastructure without a demonstrated public or commercial case.</w:t>
      </w:r>
    </w:p>
    <w:p>
      <w:pPr>
        <w:pStyle w:val="Normal"/>
      </w:pPr>
      <w:r>
        <w:t>5. All-hazards continuity planning shall include alternative routes, critical supplier contact protocols, emergency customs escalation, temporary logistics substitutions, and recovery exercises.</w:t>
      </w:r>
    </w:p>
    <w:p>
      <w:pPr>
        <w:pStyle w:val="Heading2"/>
      </w:pPr>
      <w:bookmarkStart w:id="901926" w:name="_Toc300001925"/>
      <w:r>
        <w:t>Article 59.18: Sustainable Materials and Environmental Performance</w:t>
      </w:r>
      <w:bookmarkEnd w:id="901926"/>
    </w:p>
    <w:p>
      <w:pPr>
        <w:pStyle w:val="Normal"/>
      </w:pPr>
      <w:r>
        <w:t>1. The Parties shall develop interoperable methods for measuring relevant automotive material and production attributes, including recycled content, recovery rates, energy intensity, embedded emissions where measured, water use, waste diversion, and other agreed environmental indicators.</w:t>
      </w:r>
    </w:p>
    <w:p>
      <w:pPr>
        <w:pStyle w:val="Normal"/>
      </w:pPr>
      <w:r>
        <w:t>2. High Integration or Strategic Integration programs may recognize objectively verified lower-impact steel, aluminum, plastics, adhesives, lubricants, interior materials, recycled feedstocks, remanufactured components, and other automotive inputs without discriminating among equivalent originating production by Party.</w:t>
      </w:r>
    </w:p>
    <w:p>
      <w:pPr>
        <w:pStyle w:val="Normal"/>
      </w:pPr>
      <w:r>
        <w:t>3. Environmental recognition shall rely on transparent performance methodologies and shall not require participation in a single continental carbon-credit market.</w:t>
      </w:r>
    </w:p>
    <w:p>
      <w:pPr>
        <w:pStyle w:val="Normal"/>
      </w:pPr>
      <w:r>
        <w:t>4. Environmental data requests shall be proportionate, protect confidential business information, and reuse existing verified data where practicable.</w:t>
      </w:r>
    </w:p>
    <w:p>
      <w:pPr>
        <w:pStyle w:val="Normal"/>
      </w:pPr>
      <w:r>
        <w:t>5. Experimental materials or processes lacking sufficient safety, durability, repairability, or lifecycle evidence shall be treated as research candidates rather than presumed compliance solutions.</w:t>
      </w:r>
    </w:p>
    <w:p>
      <w:pPr>
        <w:pStyle w:val="Heading2"/>
      </w:pPr>
      <w:bookmarkStart w:id="901927" w:name="_Toc300001926"/>
      <w:r>
        <w:t>Article 59.19: Cothrom Automotive Stabilizer and Crisis Management</w:t>
      </w:r>
      <w:bookmarkEnd w:id="901927"/>
    </w:p>
    <w:p>
      <w:pPr>
        <w:pStyle w:val="Normal"/>
      </w:pPr>
      <w:r>
        <w:t>1. Where a severe automotive supply disruption threatens material production stoppages across more than one Party, any Automotive Stabilizer action proceeds through the emergency, continuity, and Cothrom authorities already provided by Chapters 38, 46, and 57. This Article coordinates automotive use of those authorities and creates no independent activation power, emergency exception, or remedy ladder.</w:t>
      </w:r>
    </w:p>
    <w:p>
      <w:pPr>
        <w:pStyle w:val="Normal"/>
      </w:pPr>
      <w:r>
        <w:t>2. An authorized response may include enhanced information sharing; supplier and inventory matching; expedited customs and testing; temporary capacity-gap treatment under Article 59.6; emergency logistics coordination under Chapter 55; mutual assistance concerning strategic reserves where available; and narrowly tailored temporary regulatory equivalence where the controlling authority permits it. Each measure retains the trigger, actor, duration, ceiling, and restoration rule of the provision that authorizes it.</w:t>
      </w:r>
    </w:p>
    <w:p>
      <w:pPr>
        <w:pStyle w:val="Normal"/>
      </w:pPr>
      <w:r>
        <w:t>3. Activation shall be evidence-based, reciprocal, proportionate, and confined to the affected products, corridors, or functions. A disruption in one automotive sub-sector does not authorize unrelated trade restrictions.</w:t>
      </w:r>
    </w:p>
    <w:p>
      <w:pPr>
        <w:pStyle w:val="Normal"/>
      </w:pPr>
      <w:r>
        <w:t>4. During an activated stabilization period, the Parties shall avoid introducing new intra-CUSMA automotive border restrictions unrelated to the verified emergency unless required by a genuine safety, health, environmental, or essential-security necessity.</w:t>
      </w:r>
    </w:p>
    <w:p>
      <w:pPr>
        <w:pStyle w:val="Normal"/>
      </w:pPr>
      <w:r>
        <w:t>5. Cothrom review under Chapter 46 is fact-finding and evidentiary. It does not allocate production, rewrite origin thresholds, or substitute for the amendment procedures of this Agreement.</w:t>
      </w:r>
    </w:p>
    <w:p>
      <w:pPr>
        <w:pStyle w:val="Heading2"/>
      </w:pPr>
      <w:bookmarkStart w:id="901928" w:name="_Toc300001927"/>
      <w:r>
        <w:t>Article 59.20: Automotive Performance Dashboard, Machine-Readable Rules, and Rolling Horizons</w:t>
      </w:r>
      <w:bookmarkEnd w:id="901928"/>
    </w:p>
    <w:p>
      <w:pPr>
        <w:pStyle w:val="Normal"/>
      </w:pPr>
      <w:r>
        <w:t>1. The Secretariat shall maintain an Automotive Performance Dashboard using aggregated or otherwise protected data. Metrics may include regional-content trends, preference utilization, border processing, origin-verification burden, capacity gaps, supplier concentration, investment, battery recovery, semiconductor resilience, workforce shortages, safety outcomes, and other agreed indicators.</w:t>
      </w:r>
    </w:p>
    <w:p>
      <w:pPr>
        <w:pStyle w:val="Normal"/>
      </w:pPr>
      <w:r>
        <w:t>2. The Parties shall progressively publish machine-readable origin rules, data schemas, guidance, worked examples, validation tools, and APIs that permit firms to pre-check compliance. No automated system or artificial intelligence tool shall make an unreviewable binding treaty-compliance determination.</w:t>
      </w:r>
    </w:p>
    <w:p>
      <w:pPr>
        <w:pStyle w:val="Normal"/>
      </w:pPr>
      <w:r>
        <w:t>3. The competent committees shall maintain multi-year rolling work plans for automotive modernization. Each work plan shall identify evidence needs, pilots, technical updates, unresolved issues, and implementation priorities for the next horizon while preserving existing rights and qualifications until lawfully changed.</w:t>
      </w:r>
    </w:p>
    <w:p>
      <w:pPr>
        <w:pStyle w:val="Normal"/>
      </w:pPr>
      <w:r>
        <w:t>4. No automotive right, preference, tier, recognition, or protection established by this Chapter expires merely because a review date, work-plan horizon, or technical-update date passes. Article 35.29 and Article 34.7 apply.</w:t>
      </w:r>
    </w:p>
    <w:p>
      <w:pPr>
        <w:pStyle w:val="Normal"/>
      </w:pPr>
      <w:r>
        <w:t>5. Material changes to thresholds or substantive rights require the amendment procedure applicable under Article 34.3. Technical maintenance within existing treaty limits may proceed under Article 34.A.</w:t>
      </w:r>
    </w:p>
    <w:p>
      <w:pPr>
        <w:pStyle w:val="Normal"/>
      </w:pPr>
      <w:r>
        <w:t>6. The Parties shall assess the operation of this Chapter at each Article 34.7 modernization review and may improve it by consensus. Review is for modernization and implementation, not renewal.</w:t>
      </w:r>
    </w:p>
    <w:p>
      <w:pPr>
        <w:pStyle w:val="Heading2"/>
      </w:pPr>
      <w:bookmarkStart w:id="901929" w:name="_Toc300001928"/>
      <w:r>
        <w:t>Article 59.21: Relationship to Other Chapters and Non-Derogation</w:t>
      </w:r>
      <w:bookmarkEnd w:id="901929"/>
    </w:p>
    <w:p>
      <w:pPr>
        <w:pStyle w:val="Normal"/>
      </w:pPr>
      <w:r>
        <w:t>1. Chapter 4 and Annex 4-B govern ordinary automotive origin unless this Chapter expressly provides a supplemental voluntary status or procedure.</w:t>
      </w:r>
    </w:p>
    <w:p>
      <w:pPr>
        <w:pStyle w:val="Normal"/>
      </w:pPr>
      <w:r>
        <w:t>2. Chapter 5 governs origin procedures; Chapter 7 governs customs facilitation; Chapters 23 and 24 govern labor and environment; Chapters 31, 35, and 46 govern disputes, proportional remedies, and evidentiary verification; Chapters 36 through 40 govern economic security, strategic materials, emergency continuity, advanced technology, and energy; and Chapters 48, 50, 53, 56, 57, and 58 provide complementary review, SME, adaptive, continuity, and interoperability safeguards.</w:t>
      </w:r>
    </w:p>
    <w:p>
      <w:pPr>
        <w:pStyle w:val="Normal"/>
      </w:pPr>
      <w:r>
        <w:t>3. Nothing in this Chapter authorizes a Party to discriminate against originating content of another Party, impose a Party-specific sourcing quota, compel technology transfer, require disclosure of protected source code or trade secrets except as otherwise permitted by this Agreement, or condition ordinary CUSMA treatment on participation in a voluntary program.</w:t>
      </w:r>
    </w:p>
    <w:p>
      <w:pPr>
        <w:pStyle w:val="Normal"/>
      </w:pPr>
      <w:r>
        <w:t>4. Where an implementing digital system, technical annex, form, or committee procedure is not operational on schedule, Article 52.2 applies and the pre-existing treaty rule continues unless this Agreement expressly provides another fallback.</w:t>
      </w:r>
    </w:p>
    <w:p>
      <w:pPr>
        <w:pStyle w:val="Heading2"/>
      </w:pPr>
      <w:bookmarkStart w:id="901930" w:name="_Toc300001929"/>
      <w:r>
        <w:t>Article 59.22: Mexican Automotive Tariff Normalization and Continental Additionality</w:t>
      </w:r>
      <w:bookmarkEnd w:id="901930"/>
    </w:p>
    <w:p>
      <w:pPr>
        <w:pStyle w:val="Normal"/>
      </w:pPr>
      <w:r>
        <w:t>1. Consistent with Articles 59.1, 59.5, 59.5A, and 49.8, qualifying Mexican originating vehicles and automotive parts receive equal eligibility for an objective normalization, earned-integration, cure, or Cothrom pathway that is independently available to equivalent qualifying Canadian or United States originating production. Equal eligibility remains subject to the same substantive trigger, independent legal authority, verification standard, scope, limits, conditions, and restoration rules governing the corresponding pathway. This Article creates no independent tariff, normalization, credit, cure, Cothrom, or other remedial authority and does not make an otherwise unavailable pathway operative. A difference based on failure to satisfy the same pathway conditions is not unequal treatment under this paragraph.</w:t>
      </w:r>
    </w:p>
    <w:p>
      <w:pPr>
        <w:pStyle w:val="Normal"/>
      </w:pPr>
      <w:r>
        <w:t>2. A measure designed to strengthen North American automotive content shall target non-North-American value, circumvention, or another verified risk and shall not convert equivalent Mexican or Canadian originating content into inferior content solely because it was not produced in the United States.</w:t>
      </w:r>
    </w:p>
    <w:p>
      <w:pPr>
        <w:pStyle w:val="Normal"/>
      </w:pPr>
      <w:r>
        <w:t>3. Public incentives and treaty-enabled facilitation should, where practicable, satisfy a Continental Additionality Test by creating new North American capacity, technology, productivity, resilience, or employment rather than merely subsidizing relocation of existing capacity from one Party to another.</w:t>
      </w:r>
    </w:p>
    <w:p>
      <w:pPr>
        <w:pStyle w:val="Normal"/>
      </w:pPr>
      <w:r>
        <w:t>4. The Commission shall monitor material investment diversion caused primarily by discriminatory Party-specific incentives or tariff structures and may recommend corrective treatment consistent with domestic subsidy, procurement, tax, and appropriations law.</w:t>
      </w:r>
    </w:p>
    <w:p>
      <w:pPr>
        <w:pStyle w:val="Normal"/>
      </w:pPr>
      <w:r>
        <w:t>5. Nothing in this Article guarantees the location of a vehicle plant, production line, supplier facility, or investment. It protects equal treaty treatment of originating North American value and rewards genuinely additional continental capacity.</w:t>
      </w:r>
    </w:p>
    <w:p>
      <w:pPr>
        <w:pStyle w:val="Heading2"/>
      </w:pPr>
      <w:bookmarkStart w:id="901931" w:name="_Toc300001930"/>
      <w:r>
        <w:t>Article 59.22A: Automotive Full-Scope and Anti-Cherry-Picking Guarantee</w:t>
      </w:r>
      <w:bookmarkEnd w:id="901931"/>
    </w:p>
    <w:p>
      <w:pPr>
        <w:pStyle w:val="Normal"/>
      </w:pPr>
      <w:r>
        <w:t>1. Where this Agreement, an implementing schedule, or a negotiated automotive normalization measure provides generally applicable preferential, settlement, stabilization, cure, or tariff-relief treatment for automotive goods, its vehicle-class scope shall include, as applicable, passenger vehicles, sport-utility vehicles, vans, pickup trucks and other light trucks, medium-duty trucks, heavy-duty trucks, buses, chassis, and covered automotive parts and components.</w:t>
      </w:r>
    </w:p>
    <w:p>
      <w:pPr>
        <w:pStyle w:val="Normal"/>
      </w:pPr>
      <w:r>
        <w:t>2. A Party shall not exclude a vehicle class, model family, chassis class, or substantially equivalent covered automotive category from generally applicable automotive relief solely because production of that class or category is concentrated in another Party.</w:t>
      </w:r>
    </w:p>
    <w:p>
      <w:pPr>
        <w:pStyle w:val="Normal"/>
      </w:pPr>
      <w:r>
        <w:t>3. Any class-specific exclusion or materially less favorable treatment shall rest on an express treaty rule, a verified and objectively relevant technical distinction, or a separately negotiated schedule identifying the reason, duration, affected classifications, and review mechanism. Production location within another Party is not, by itself, an objective technical distinction.</w:t>
      </w:r>
    </w:p>
    <w:p>
      <w:pPr>
        <w:pStyle w:val="Normal"/>
      </w:pPr>
      <w:r>
        <w:t>4. Where tariff classification changes, new propulsion systems, body configurations, or commercial nomenclature create uncertainty, the Parties shall apply the functional and economic character of the vehicle and shall not use classification drift to defeat the coverage intended by this Article.</w:t>
      </w:r>
    </w:p>
    <w:p>
      <w:pPr>
        <w:pStyle w:val="Normal"/>
      </w:pPr>
      <w:r>
        <w:t>5. This Article does not require identical regulatory standards or identical rules of origin for unlike vehicle classes. It requires that negotiated automotive relief not be selectively hollowed out through unsupported vehicle-class exclusions.</w:t>
      </w:r>
    </w:p>
    <w:p>
      <w:pPr>
        <w:pStyle w:val="Normal"/>
      </w:pPr>
      <w:r>
        <w:t>6. Vehicle-Class Settlement Tracks. Annex 59-B shall maintain explicit settlement coverage for: Class I, passenger vehicles, sport-utility vehicles, and vans; Class II, pickup trucks and other light trucks; Class III, medium-duty vehicles and chassis; Class IV, heavy-duty vehicles and chassis; Class V, buses and qualifying specialized commercial vehicles; and Class VI, covered automotive parts and strategic components. Class-specific technical requirements, origin thresholds, transition periods, or effective-rate parameters may differ only where expressly scheduled and objectively justified.</w:t>
      </w:r>
    </w:p>
    <w:p>
      <w:pPr>
        <w:pStyle w:val="Normal"/>
      </w:pPr>
      <w:r>
        <w:t>7. Included-First Rule. Every Class I through VI good expressly listed by tariff classification or functional description in Annex 59-B is eligible for the Automotive Settlement architecture unless a specific schedule expressly establishes technically justified class-specific treatment. Silence, negative-space drafting, commercial nomenclature, or a change in production location shall not create an exclusion.</w:t>
      </w:r>
    </w:p>
    <w:p>
      <w:pPr>
        <w:pStyle w:val="Normal"/>
      </w:pPr>
      <w:r>
        <w:t>8. Classification-Dispute Continuity. Where the Parties dispute whether a covered or newly configured vehicle falls within two settlement classes, the importing Party applies the less restrictive of the two otherwise applicable settlement treatments while expedited classification review is pending if the good would clearly qualify under one of them. The Committee on Rules of Origin conducts the expedited review on a written record, may obtain technical assistance through existing Cothrom verification machinery, and issues a reasoned classification determination within 30 days after a complete referral; if it cannot do so, the temporary treatment continues and either Party may invoke the otherwise available Chapter 31 procedure. This temporary rule does not prejudge final classification, create an independent origin test, or authorize retroactive adverse treatment for the review period absent fraud or material misrepresentation. A final determination applies prospectively and any reconciliation follows the customs and dispute procedures otherwise applicable under the Agreement.</w:t>
      </w:r>
    </w:p>
    <w:p>
      <w:pPr>
        <w:pStyle w:val="Heading2"/>
      </w:pPr>
      <w:bookmarkStart w:id="901932" w:name="_Toc300001931"/>
      <w:r>
        <w:t>Article 59.23: Automotive Platform and Model-Family Content Banking</w:t>
      </w:r>
      <w:bookmarkEnd w:id="901932"/>
    </w:p>
    <w:p>
      <w:pPr>
        <w:pStyle w:val="Normal"/>
      </w:pPr>
      <w:r>
        <w:t>1. A published implementing schedule authorized by the Commission under Article 4.A.2B may organize the administration of authorized banking of verified excess performance for the same producer or controlled producer group using automotive platform or model-family groupings, but those groupings are administrative only and do not constitute an independent unit of credit eligibility or authorize platform-wide or model-family averaging or pooling. Each credit is generated only by an eligible covered model or model-year and applied only against a shortfall in another eligible covered model or model-year, subject in every case to the eligible categories, caps, banking period, expiry, records, audit treatment, and effective date established under Article 4.A.2B; no platform-level or model-family aggregate substitutes for model-level or model-year-level eligibility or verification. This Article supplies automotive application rules and does not create a separate banking authority, extend a banking period, or permit banking to cure failure of a mandatory origin rule. Where this Article and Article 4.A.2B address the same banking transaction, Article 4.A.2B supplies the controlling authorization and schedule requirements.</w:t>
      </w:r>
    </w:p>
    <w:p>
      <w:pPr>
        <w:pStyle w:val="Normal"/>
      </w:pPr>
      <w:r>
        <w:t>2. A schedule applying paragraph 1 provides that banking shall be capped, time-limited, auditable, and unavailable for sale to unrelated producers. Credits may not be created by paper transfers, artificial model fragmentation, double counting, or shifting production solely to manufacture compliance credits.</w:t>
      </w:r>
    </w:p>
    <w:p>
      <w:pPr>
        <w:pStyle w:val="Normal"/>
      </w:pPr>
      <w:r>
        <w:t>3. A schedule applying paragraph 1 provides that the method shall preserve the equal status of Canadian, Mexican, and United States originating content and shall not create a de facto Party-specific production quota.</w:t>
      </w:r>
    </w:p>
    <w:p>
      <w:pPr>
        <w:pStyle w:val="Heading2"/>
      </w:pPr>
      <w:bookmarkStart w:id="901933" w:name="_Toc300001932"/>
      <w:r>
        <w:t>Article 59.24: Automotive Qualification Commons and Shared Failure Analysis</w:t>
      </w:r>
      <w:bookmarkEnd w:id="901933"/>
    </w:p>
    <w:p>
      <w:pPr>
        <w:pStyle w:val="Normal"/>
      </w:pPr>
      <w:r>
        <w:t>1. The Parties shall facilitate shared or mutually recognized accredited facilities for materials testing, component qualification, failure analysis, cybersecurity validation, battery testing, semiconductor qualification, and other expensive supplier-entry requirements.</w:t>
      </w:r>
    </w:p>
    <w:p>
      <w:pPr>
        <w:pStyle w:val="Normal"/>
      </w:pPr>
      <w:r>
        <w:t>2. An accepted result should be portable among participating programs where the tested requirement and assurance level are equivalent. A purchaser or regulator may require additional testing based on particularized technical, safety, security, or quality evidence.</w:t>
      </w:r>
    </w:p>
    <w:p>
      <w:pPr>
        <w:pStyle w:val="Normal"/>
      </w:pPr>
      <w:r>
        <w:t>3. SMEs and second-source suppliers should receive transparent access conditions and may receive lawful cost-sharing or technical assistance without a guaranteed commercial award.</w:t>
      </w:r>
    </w:p>
    <w:p>
      <w:pPr>
        <w:pStyle w:val="Heading2"/>
      </w:pPr>
      <w:bookmarkStart w:id="901934" w:name="_Toc300001933"/>
      <w:r>
        <w:t>Article 59.25: Investment-Linked Transitional Tariff Credit</w:t>
      </w:r>
      <w:bookmarkEnd w:id="901934"/>
    </w:p>
    <w:p>
      <w:pPr>
        <w:pStyle w:val="Normal"/>
      </w:pPr>
      <w:r>
        <w:t>1. Where an automotive good lawfully enters under a temporary tariff settlement rather than ordinary duty-free treatment, an implementing schedule may permit a bounded portion of paid transitional duties to be credited against verified additional North American capital investment, supplier qualification, tooling, workforce, or strategic-component capacity completed within the specified period.</w:t>
      </w:r>
    </w:p>
    <w:p>
      <w:pPr>
        <w:pStyle w:val="Normal"/>
      </w:pPr>
      <w:r>
        <w:t>2. Credits shall be earned only after performance, shall not exceed the schedule's cap, shall not produce a negative tariff, and shall not be available for investment that would have occurred in the ordinary course absent the program.</w:t>
      </w:r>
    </w:p>
    <w:p>
      <w:pPr>
        <w:pStyle w:val="Normal"/>
      </w:pPr>
      <w:r>
        <w:t>3. Relocation of substantially equivalent existing production from one Party to another does not qualify unless the Commission, acting on a reasoned recommendation from the competent automotive committee and a verified record, finds a net continental capacity, resilience, technology, or employment gain sufficient to satisfy Article 59.22's Continental Additionality Test. The recommendation identifies the baseline, measurement period, claimed additionality, displacement effects, and evidence relied upon. The Commission records the determination and the maximum credit authorized by the implementing schedule. This paragraph does not authorize a credit absent the independent tariff-credit authority required by paragraphs 1 and 2 and the applicable Annex 59-C row.</w:t>
      </w:r>
    </w:p>
    <w:p>
      <w:pPr>
        <w:pStyle w:val="Normal"/>
      </w:pPr>
      <w:r>
        <w:t>4. Nothing in this Article reduces ordinary duty-free treatment for a good that already qualifies under Chapter 4.</w:t>
      </w:r>
    </w:p>
    <w:p>
      <w:pPr>
        <w:pStyle w:val="Heading2"/>
      </w:pPr>
      <w:bookmarkStart w:id="901935" w:name="_Toc300001934"/>
      <w:r>
        <w:t>ANNEX 59-A: AUTOMOTIVE HIGH INTEGRATION AND STRATEGIC INTEGRATION IMPLEMENTATION FRAMEWORK</w:t>
      </w:r>
      <w:bookmarkEnd w:id="901935"/>
    </w:p>
    <w:p>
      <w:pPr>
        <w:pStyle w:val="Heading3"/>
      </w:pPr>
      <w:r>
        <w:t>Part 1: Qualification Design</w:t>
      </w:r>
    </w:p>
    <w:p>
      <w:pPr>
        <w:pStyle w:val="Normal"/>
      </w:pPr>
      <w:r>
        <w:t>1. High Integration and Strategic Integration use the treaty-fixed 80 percent and 85 percent regional-value-content qualification thresholds and the corresponding three-of-five and all-five strategic-category conditions stated in Annex 4-E-1 once activated under Article 59.1(5). Before activation, modelling under this Annex tests administrability, platform effects, utilization, compliance cost, sourcing response, investment effects, consumer-price effects, employment effects, and regional distribution, and the proposed Automotive Integration Activation Schedule identifies exactly five strategic component categories selected from Article 59.3(1), objective and auditable qualifying-performance criteria and evidence rules measuring material North American productive activity or contribution in each category without discrimination by technology or Party, the continuity-plan approval authority or authorities and objective approval standard, each Party's status-determining customs or origin authority, covered vehicle classes, effective date, and applicable administrative requirements. After publication of the proposed Schedule and its modelling basis for comment for not less than 30 days, the Commission may adopt the Schedule by consensus under Article 59.1(5), and that decision is the constitutive trilateral activation instrument notwithstanding the ordinary FS00-B01 signed-instrument rule rather than an FS-00 module-adoption event. Modelling may support a proposed substantive amendment but does not itself alter a treaty-fixed threshold, category condition, or ordinary Chapter 4 originating status.</w:t>
      </w:r>
    </w:p>
    <w:p>
      <w:pPr>
        <w:pStyle w:val="Normal"/>
      </w:pPr>
      <w:r>
        <w:t>2. Modelling shall test utilization, compliance cost, sourcing response, investment effects, consumer-price effects, employment effects, regional distribution, and the risk of shifting otherwise North American production outside the Agreement.</w:t>
      </w:r>
    </w:p>
    <w:p>
      <w:pPr>
        <w:pStyle w:val="Normal"/>
      </w:pPr>
      <w:r>
        <w:t>3. Qualification design shall avoid a cliff in which a minor shortfall destroys the commercial value of substantial verified North American integration.</w:t>
      </w:r>
    </w:p>
    <w:p>
      <w:pPr>
        <w:pStyle w:val="Heading3"/>
      </w:pPr>
      <w:r>
        <w:t>Part 2: Strategic Component Governance</w:t>
      </w:r>
    </w:p>
    <w:p>
      <w:pPr>
        <w:pStyle w:val="Normal"/>
      </w:pPr>
      <w:r>
        <w:t>1. The Committee on Rules of Origin, in consultation with the Economic Security and Supply Chain Resilience Subcommittee and relevant technical committees, administers the Strategic Component Points System as the supplemental scoring tool described in Article 59.3. Technical maintenance under Article 34.A is limited to candidate-category descriptions, weights, evidentiary criteria, and equivalency parameters within authority already delegated by treaty text or an adopted schedule and does not replace any of the five categories designated in an Automotive Integration Activation Schedule. Re-designation of a designated category follows Article 59.1(5), while a minimum score or substantive benefit becomes operative only when the applicable adopted schedule states that score, benefit, range, and Specific Legal Authority. The Points System does not replace the High Integration or Strategic Integration qualification tests in Article 59.2 and Annex 4-E-1.</w:t>
      </w:r>
    </w:p>
    <w:p>
      <w:pPr>
        <w:pStyle w:val="Normal"/>
      </w:pPr>
      <w:r>
        <w:t>2. Proposed categories and weights shall be published for comment for not less than 30 days and supported by a concise evidence statement.</w:t>
      </w:r>
    </w:p>
    <w:p>
      <w:pPr>
        <w:pStyle w:val="Normal"/>
      </w:pPr>
      <w:r>
        <w:t>3. The system shall be reviewed on a rolling 24-month technical horizon. A missed review does not delete, suspend, or expire an existing category or qualification.</w:t>
      </w:r>
    </w:p>
    <w:p>
      <w:pPr>
        <w:pStyle w:val="Heading3"/>
      </w:pPr>
      <w:r>
        <w:t>Part 3: High Integration and Strategic Integration Commercial Carrots</w:t>
      </w:r>
    </w:p>
    <w:p>
      <w:pPr>
        <w:pStyle w:val="Normal"/>
      </w:pPr>
      <w:r>
        <w:t>1. The Parties shall prioritize carrots that reduce recurring commercial friction: fewer duplicative audits; reusable verified data; longer validity for stable certifications; coordinated inspection; faster advance rulings; trusted-corridor eligibility; supplier matching; shared testing; and access to voluntary demonstrations.</w:t>
      </w:r>
    </w:p>
    <w:p>
      <w:pPr>
        <w:pStyle w:val="Normal"/>
      </w:pPr>
      <w:r>
        <w:t>2. Each Party may independently provide lawful domestic tax, depreciation, financing, procurement, or investment incentives. This Annex does not harmonize tax rates, mandate subsidies, or create a right to public funding.</w:t>
      </w:r>
    </w:p>
    <w:p>
      <w:pPr>
        <w:pStyle w:val="Normal"/>
      </w:pPr>
      <w:r>
        <w:t>3. Duty drawback for exported goods, where available under a Party’s law and consistent with this Agreement, may be coordinated to avoid unnecessary differences in documentation.</w:t>
      </w:r>
    </w:p>
    <w:p>
      <w:pPr>
        <w:pStyle w:val="Heading3"/>
      </w:pPr>
      <w:r>
        <w:t>Part 4: Capacity-Gap Evidence Standard</w:t>
      </w:r>
    </w:p>
    <w:p>
      <w:pPr>
        <w:pStyle w:val="Normal"/>
      </w:pPr>
      <w:r>
        <w:t>1. An applicant shall identify the input, technical specification, required quantity, delivery window, qualification requirements, and reasonable sourcing efforts undertaken.</w:t>
      </w:r>
    </w:p>
    <w:p>
      <w:pPr>
        <w:pStyle w:val="Normal"/>
      </w:pPr>
      <w:r>
        <w:t>2. Authorities shall consider verified supplier responses and may reject a claimed gap where a qualified North American supplier can meet commercially reasonable requirements.</w:t>
      </w:r>
    </w:p>
    <w:p>
      <w:pPr>
        <w:pStyle w:val="Normal"/>
      </w:pPr>
      <w:r>
        <w:t>3. Authorities shall distinguish ordinary price competition from scarcity. A higher North American price alone does not establish a gap, but an extreme scarcity premium may be considered with other evidence.</w:t>
      </w:r>
    </w:p>
    <w:p>
      <w:pPr>
        <w:pStyle w:val="Normal"/>
      </w:pPr>
      <w:r>
        <w:t>4. Confidential firm information shall be protected; public notices may describe the opportunity using ranges or technical requirements sufficient for supplier response without revealing protected data.</w:t>
      </w:r>
    </w:p>
    <w:p>
      <w:pPr>
        <w:pStyle w:val="Heading3"/>
      </w:pPr>
      <w:r>
        <w:t>Part 5: Digital and SME Implementation</w:t>
      </w:r>
    </w:p>
    <w:p>
      <w:pPr>
        <w:pStyle w:val="Normal"/>
      </w:pPr>
      <w:r>
        <w:t>1. Automotive digital systems shall use interoperable schemas, role-based access, auditable credentials, and technology-neutral tamper-evidence. No provision requires blockchain.</w:t>
      </w:r>
    </w:p>
    <w:p>
      <w:pPr>
        <w:pStyle w:val="Normal"/>
      </w:pPr>
      <w:r>
        <w:t>2. SMEs shall have access to plain-language guidance, model forms, assisted filing, free or low-cost validation tools, and the Single SME Compliance Gateway under Article 4.A.6.</w:t>
      </w:r>
    </w:p>
    <w:p>
      <w:pPr>
        <w:pStyle w:val="Normal"/>
      </w:pPr>
      <w:r>
        <w:t>3. Data collection shall follow data-minimization principles and shall not require a supplier to expose its complete bill of materials where a verified aggregate, attestation, or component-family method can establish the relevant fact.</w:t>
      </w:r>
    </w:p>
    <w:p>
      <w:pPr>
        <w:pStyle w:val="Heading3"/>
      </w:pPr>
      <w:r>
        <w:t>Part 6: Initial Voluntary Cooperation Portfolio</w:t>
      </w:r>
    </w:p>
    <w:p>
      <w:pPr>
        <w:pStyle w:val="Normal"/>
      </w:pPr>
      <w:r>
        <w:t>1. Subject to available resources and domestic authority, the Parties may pursue: shared automotive innovation labs; vehicle cybersecurity projects; environmental-impact monitoring; cross-border logistics hubs; EV retrofit and repair research; alternative-fuel research; vehicle telematics safety projects; anti-theft cooperation; repair and diagnostics applications; smart-manufacturing robotics; green-finance information exchange; emerging-technology training; sustainable automotive materials research; and common AI-related automotive standards.</w:t>
      </w:r>
    </w:p>
    <w:p>
      <w:pPr>
        <w:pStyle w:val="Normal"/>
      </w:pPr>
      <w:r>
        <w:t>2. Cooperation under this Part is voluntary and precompetitive unless a separate instrument expressly provides otherwise. Participation or non-participation does not alter ordinary originating status.</w:t>
      </w:r>
    </w:p>
    <w:p>
      <w:pPr>
        <w:pStyle w:val="Normal"/>
      </w:pPr>
      <w:r>
        <w:t>3. Joint branding or promotional campaigns, where undertaken, shall describe North American production accurately and shall not imply government endorsement of a particular private firm.</w:t>
      </w:r>
    </w:p>
    <w:p>
      <w:pPr>
        <w:pStyle w:val="Heading3"/>
      </w:pPr>
      <w:r>
        <w:t>Part 7: Failure Tests</w:t>
      </w:r>
    </w:p>
    <w:p>
      <w:pPr>
        <w:pStyle w:val="Normal"/>
      </w:pPr>
      <w:r>
        <w:t>Before a major automotive mechanism becomes operational, the responsible body shall test whether it: (a) creates an army of accountants disproportionate to the benefit; (b) disadvantages SMEs; (c) becomes a disguised Party-specific quota; (d) rewards superficial processing; (e) creates a new single point of digital failure; (f) requires disclosure of unnecessary confidential information; (g) unintentionally penalizes legitimate Mexican, Canadian, or United States comparative advantage; (h) conflicts with existing CUSMA chapters; or (i) produces administrative cost exceeding the expected resilience or trade benefit. A mechanism failing a material test shall be simplified, narrowed, piloted, or returned for redesign before general application.</w:t>
      </w:r>
    </w:p>
    <w:p>
      <w:pPr>
        <w:pStyle w:val="Heading2"/>
      </w:pPr>
      <w:bookmarkStart w:id="901936" w:name="_Toc300001935"/>
      <w:r>
        <w:t>Article 59.5A: North American Automotive Settlement Rate and Earned Integration Credits</w:t>
      </w:r>
      <w:bookmarkEnd w:id="901936"/>
    </w:p>
    <w:p>
      <w:pPr>
        <w:pStyle w:val="Normal"/>
      </w:pPr>
      <w:r>
        <w:t>1. Reference Headline Rate. For purposes of the Automotive Settlement Schedule established by this Article, 13.8 percent is a Reference Model available for formal selection for covered automotive goods within the Schedule's adopted scope. The 13.8 percent Reference Model is non-operative unless selected as the Selected Settlement Model and adopted as the Adopted Headline Rate through legally sufficient authority recorded in Annex 59-C. Selection of an Adopted Headline Rate does not alter duty-free preferential treatment otherwise available to originating goods under this Agreement.</w:t>
      </w:r>
    </w:p>
    <w:p>
      <w:pPr>
        <w:pStyle w:val="Normal"/>
      </w:pPr>
      <w:r>
        <w:t>2. Scope and Non-Derogation. The Automotive Settlement Schedule applies only to covered automotive goods expressly identified in Annex 59-B. Nothing in this Article converts originating Canadian, Mexican, or United States content into non-originating content, diminishes ordinary CUSMA origin, or authorizes a Party-specific content floor.</w:t>
      </w:r>
    </w:p>
    <w:p>
      <w:pPr>
        <w:pStyle w:val="Normal"/>
      </w:pPr>
      <w:r>
        <w:t>3. North American Origin Credit. Where a covered good is subject to an Adopted Headline Rate under the Automotive Settlement Schedule, verified originating content of Canada, Mexico, and the United States each receives credit equal to 100 percent of verified eligible originating value for baseline settlement calculations under Annex 4-E. Verified non-originating content receives no North American origin credit. Nothing in this paragraph prevents a Party from providing separate, bounded, performance-based localization incentives under paragraphs 5 through 5F, provided those incentives do not reclassify, discount, or otherwise diminish originating content of another Party.</w:t>
      </w:r>
    </w:p>
    <w:p>
      <w:pPr>
        <w:pStyle w:val="Normal"/>
      </w:pPr>
      <w:r>
        <w:t>4. No Second-Class North American Content. Canadian, Mexican, and United States originating content has equal status for regional origin, ordinary preferential treatment, and the baseline settlement calculation. A Party may reward genuinely additional domestic economic activity through the separate Industrial Expansion mechanism, but shall not accomplish that result by assigning a lower nationality coefficient to another Party's originating content.</w:t>
      </w:r>
    </w:p>
    <w:p>
      <w:pPr>
        <w:pStyle w:val="Normal"/>
      </w:pPr>
      <w:r>
        <w:t>4A. North American Content Equality Principle. Once content has been verified as originating under Chapter 4, its status as Canadian, Mexican, or United States content shall not reduce its originating value for regional-value calculations, ordinary preferential treatment, deductions of non-originating value, or baseline settlement treatment. Party-specific incentives shall operate only as additional earned benefits for objectively verified incremental activity and shall not convert the North American origin layer into a Party-specific sourcing quota.</w:t>
      </w:r>
    </w:p>
    <w:p>
      <w:pPr>
        <w:pStyle w:val="Normal"/>
      </w:pPr>
      <w:r>
        <w:t>5. Industrial Expansion and Earned Automotive Integration Credits. In addition to the equal North American origin credit in paragraph 3, the importing Party may establish an Industrial Expansion Tier rewarding objectively verified incremental domestic activity. Eligible activity may include new or expanded assembly; net-new automotive employment; battery, semiconductor, power-electronics, motor, inverter, engine, drivetrain, advanced steel, aluminum, tooling, die, machine-tool, software, vehicle-control, research, testing, or strategic-component capacity; qualification of domestic SME suppliers replacing non-North-American inputs; brownfield reactivation; workforce and apprenticeship programs; and other measurable capacity additions consistent with this Article.</w:t>
      </w:r>
    </w:p>
    <w:p>
      <w:pPr>
        <w:pStyle w:val="Normal"/>
      </w:pPr>
      <w:r>
        <w:t>5A. American Industrial Expansion Tier. For goods imported into the United States, the United States may designate a premium American Industrial Expansion Tier providing additional bounded settlement benefits for verified increases in United States production, employment, strategic-component capacity, tooling, research and development, supplier qualification, or other qualifying activity. The Tier is an investment and localization incentive and is not a rule of origin. Canada and Mexico may establish equivalent Canadian and Mexican Industrial Expansion Tiers for imports into their respective markets under the same treaty disciplines.</w:t>
      </w:r>
    </w:p>
    <w:p>
      <w:pPr>
        <w:pStyle w:val="Normal"/>
      </w:pPr>
      <w:r>
        <w:t>5B. United States Auto Repatriation Supercredit. A United States implementing schedule may provide an enhanced credit for production, tooling, strategic-component capacity, or a substantially complete model program moved into the United States from outside North America, or for dormant United States capacity restored to commercial production. A comparable enhanced credit may be established by Canada or Mexico for qualifying repatriation into its territory. The amount and relative premium of an enhanced credit apply only as specified in an adopted Annex 59-C earned-benefit row supported by Specific Independent Benefit Legal Authority, and do not arise merely from designation as repatriated activity.</w:t>
      </w:r>
    </w:p>
    <w:p>
      <w:pPr>
        <w:pStyle w:val="Normal"/>
      </w:pPr>
      <w:r>
        <w:t>5C. No North American Cannibalization Rule. Relocation of substantially equivalent existing production, employment, tooling, or supplier capacity from one Party to another shall not, by itself, earn the highest Industrial Expansion benefit. Full credit requires a demonstrated net gain in North American capacity, technology, resilience, productivity, strategic-component security, or employment, or a demonstrated reduction in dependence on non-North-American supply. An implementing schedule may provide only reduced credit for an intra-North-American relocation where a verified continental benefit nevertheless exists.</w:t>
      </w:r>
    </w:p>
    <w:p>
      <w:pPr>
        <w:pStyle w:val="Normal"/>
      </w:pPr>
      <w:r>
        <w:t>5D. Strategic Components Bonus. An Industrial Expansion Tier may award graduated additional benefits for verified domestic production or expansion of engines and powertrains; batteries and battery materials; automotive semiconductors and electronics; motors and inverters; advanced steel and aluminum; vehicle-control, autonomous, cybersecurity, or safety-critical systems; and other strategic components designated by consensus. Benefits shall increase with objectively verified additionality and shall not require that another Party's originating component be treated as non-originating.</w:t>
      </w:r>
    </w:p>
    <w:p>
      <w:pPr>
        <w:pStyle w:val="Normal"/>
      </w:pPr>
      <w:r>
        <w:t>5E. Portfolio-Level American Economic Contribution Target. A United States implementing schedule may use a voluntary premium-tier target expressed as a percentage of American Economic Contribution across an automaker's qualifying portfolio. The metric may combine, under a transparent anti-double-counting formula, verified United States originating content with incremental United States assembly, employment, strategic-component production, tooling, research and development, supplier reshoring, and production repatriated from outside North America. A target of 50 percent remains an optional premium-tier Reference Model and has no operative effect unless selected in an adopted Annex 59-C earned-benefit row supported by Specific Independent Benefit Legal Authority; failure to meet that target does not defeat North American originating status or ordinary preferential treatment. Canada and Mexico may use equivalent portfolio-level contribution targets in their own markets subject to the same selection and authority discipline.</w:t>
      </w:r>
    </w:p>
    <w:p>
      <w:pPr>
        <w:pStyle w:val="Normal"/>
      </w:pPr>
      <w:r>
        <w:t>5F. North American Capacity Growth Test. The strongest Industrial Expansion benefits shall be reserved for activity that increases total North American capacity in the relevant category, restores dormant capacity, creates a new production line or model family, remedies a verified strategic shortage, or displaces non-North-American imports. The Commission shall publish a methodology preventing double counting and distinguishing genuine expansion from geographic reshuffling of existing continental production.</w:t>
      </w:r>
    </w:p>
    <w:p>
      <w:pPr>
        <w:pStyle w:val="Normal"/>
      </w:pPr>
      <w:r>
        <w:t>6. Commercial Reality Requirement. An earned credit shall arise only from completed or objectively verifiable performance. Announcements, memoranda of understanding without material performance, circular financing, related-party paper transactions, superficial processing, relabeling, or expenditure already counted for another identical credit shall not qualify. Multi-year projects may receive milestone credit only for independently verifiable completed milestones.</w:t>
      </w:r>
    </w:p>
    <w:p>
      <w:pPr>
        <w:pStyle w:val="Normal"/>
      </w:pPr>
      <w:r>
        <w:t>7. Bounded Effective Rate. An adopted Automotive Settlement Schedule identifies the Initial Effective-Rate Floor, any Permitted Administrative Adjustment Band, the objective Adjustment Criteria, and the Maximum Administrative Movement authorized without substantive amendment. A 5 to 7.5 percent floor range may be used for non-operative modelling across representative vehicle platforms before adoption, but no point in that range acquires legal effect merely because it has been modelled or published. Selection or adjustment of an operative floor requires the authority and schedule record specified in Annex 59-C and analysis of consumer prices, employment, investment, preference utilization, regional distribution, and circumvention risk.</w:t>
      </w:r>
    </w:p>
    <w:p>
      <w:pPr>
        <w:pStyle w:val="Normal"/>
      </w:pPr>
      <w:r>
        <w:t>8. No Cliff; No Double Counting. Credits operate on a graduated basis and do not create a cliff under which a minor shortfall destroys the commercial value of substantial verified integration. The same underlying value, expenditure, employment event, component, investment milestone, physical capacity addition, or other economic event does not generate cumulative economic value under more than one Enhanced Automotive Benefit unless an Adopted FS-03 Earned-Benefit Row expressly authorizes that stacking, identifies the distinct non-overlapping policy functions served, and states the aggregate cap or other controlling limit. Reliable evidence may support more than one compatible evidentiary test, but reuse of evidence does not by itself create a second economic event, physical contribution, investment event, credit, or legal entitlement.</w:t>
      </w:r>
    </w:p>
    <w:p>
      <w:pPr>
        <w:pStyle w:val="Normal"/>
      </w:pPr>
      <w:r>
        <w:t>9. Anti-Circumvention and Verification. Chapter 5, Annex 4-E, Chapter 35, Chapter 46, and Articles 59.3 and 59.4 govern verification. Authorities shall use risk-based audits, advance rulings, component-family methodologies, protected aggregate data, and good-faith cure where appropriate. Intentional transshipment, falsified provenance, artificial transfer pricing, shell investment, or material misrepresentation may result in denial or recovery of the affected credit and proportionate penalties.</w:t>
      </w:r>
    </w:p>
    <w:p>
      <w:pPr>
        <w:pStyle w:val="Normal"/>
      </w:pPr>
      <w:r>
        <w:t>10. Cothrom Stabilization and Cure. A disputed credit shall not automatically suspend the Automotive Settlement Schedule for unrelated producers, models, components, or Parties. The reviewing authority shall isolate the disputed value, permit cure where appropriate, and use the narrowest sufficient remedy. Earn-back shall be available after verified remediation.</w:t>
      </w:r>
    </w:p>
    <w:p>
      <w:pPr>
        <w:pStyle w:val="Normal"/>
      </w:pPr>
      <w:r>
        <w:t>11. Simultaneous Implementation. Where the Automotive Settlement Schedule forms part of a reciprocal tariff stand-down, the relevant tariff reduction, suspension of discriminatory retaliatory automotive measures, and any agreed implementing credits shall take effect at the same specified hour unless the Parties jointly agree otherwise.</w:t>
      </w:r>
    </w:p>
    <w:p>
      <w:pPr>
        <w:pStyle w:val="Normal"/>
      </w:pPr>
      <w:r>
        <w:t>12. Review and Adjustment. The Commission reviews the Schedule after 12 months and thereafter on a rolling 24-month horizon. Review may support adjustment of coefficients, eligible-credit caps, evidentiary rules, or the effective-rate floor only within the Permitted Administrative Adjustment Band, objective Adjustment Criteria, and Maximum Administrative Movement recorded in the adopted Annex 59-C schedule and supported by the controlling authority. Movement outside that adopted envelope, or a change to the Adopted Headline Rate, requires the amendment or adoption procedure applicable to the substantive commitment being changed.</w:t>
      </w:r>
    </w:p>
    <w:p>
      <w:pPr>
        <w:pStyle w:val="Normal"/>
      </w:pPr>
      <w:r>
        <w:t>13. Alternative Schedules. The Parties may circulate or negotiate 10 percent, 13.8 percent, 15 percent, or other headline Reference Models using the same valuation, verification, non-discrimination, earned-credit, and Cothrom architecture. A Reference Model does not alter existing treatment or become a Selected Settlement Model merely because it is circulated, modelled, negotiated, or reproduced in this Agreement. Only a formally selected model and Adopted Headline Rate recorded under Annex 59-C through legally sufficient authority acquires operative settlement effect.</w:t>
      </w:r>
    </w:p>
    <w:p>
      <w:pPr>
        <w:pStyle w:val="Heading2"/>
      </w:pPr>
      <w:bookmarkStart w:id="901937" w:name="_Toc300001936"/>
      <w:r>
        <w:t>ANNEX 59-B: AUTOMOTIVE SETTLEMENT AND INCENTIVE BACKLOG FRAMEWORK</w:t>
      </w:r>
      <w:bookmarkEnd w:id="901937"/>
    </w:p>
    <w:p>
      <w:pPr>
        <w:pStyle w:val="Heading3"/>
      </w:pPr>
      <w:r>
        <w:t>Part 1: Purpose</w:t>
      </w:r>
    </w:p>
    <w:p>
      <w:pPr>
        <w:pStyle w:val="Normal"/>
      </w:pPr>
      <w:r>
        <w:t>1. This Annex converts the automotive candidate backlog into a disciplined menu of optional, measurable commercial carrots. It is intended to create visible wins for all three Parties while preserving integrated North American production and avoiding mandatory Party-specific sourcing quotas.</w:t>
      </w:r>
    </w:p>
    <w:p>
      <w:pPr>
        <w:pStyle w:val="Normal"/>
      </w:pPr>
      <w:r>
        <w:t>2. The backlog is not self-executing. A listed concept becomes an eligible program or earned-credit category only when the treaty-level or other adoption authority required for that legal effect is lawfully supplied and, where domestic implementation is also required, the applicable domestic measure is in force. Domestic implementation does not substitute for missing treaty-level authority, and an implementing schedule does not manufacture substantive authority that its controlling source does not provide.</w:t>
      </w:r>
    </w:p>
    <w:p>
      <w:pPr>
        <w:pStyle w:val="Normal"/>
      </w:pPr>
      <w:r>
        <w:t>Part 1A: Covered Automotive Goods and Vehicle Classes</w:t>
      </w:r>
    </w:p>
    <w:p>
      <w:pPr>
        <w:pStyle w:val="Normal"/>
      </w:pPr>
      <w:r>
        <w:t>1. The Automotive Settlement Schedule covers the following classes when the applicable good is identified by an implementing tariff-line schedule, tariff-heading range, or agreed functional description: Class I - passenger vehicles, sport-utility vehicles, and vans; Class II - pickup trucks and other light trucks; Class III - medium-duty vehicles and chassis; Class IV - heavy-duty vehicles and chassis; Class V - buses and qualifying specialized commercial vehicles; and Class VI - covered automotive parts and strategic components.</w:t>
      </w:r>
    </w:p>
    <w:p>
      <w:pPr>
        <w:pStyle w:val="Normal"/>
      </w:pPr>
      <w:r>
        <w:t>2. Before an Automotive Settlement Schedule enters into force for a vehicle class, the applicable Annex 59-C schedule identifies that class by the relevant Harmonized System classifications, functional descriptions where necessary, and any class notes needed to prevent unsupported omission of a commercially significant category. A Class I through VI coverage statement in this Annex is a scope framework and does not by itself create tariff-line coverage. An uncompleted tariff-line field remains non-operative and is not inferred by the Secretariat, customs authority, or administering committee. Adoption of a schedule without the required classification record does not activate settlement treatment for the omitted class.</w:t>
      </w:r>
    </w:p>
    <w:p>
      <w:pPr>
        <w:pStyle w:val="Normal"/>
      </w:pPr>
      <w:r>
        <w:t>3. Unless an adopted Annex 59-C schedule expressly provides otherwise for an objectively justified technical reason, Classes I through VI are included within the adopted Selected Settlement Model. A class-specific schedule may vary technical rules, transition periods, or effective-rate parameters only within the authority and adjustment envelope applicable to that adopted model. No class is excluded merely because its production is concentrated in Canada, Mexico, or the United States.</w:t>
      </w:r>
    </w:p>
    <w:p>
      <w:pPr>
        <w:pStyle w:val="Normal"/>
      </w:pPr>
      <w:r>
        <w:t>4. New propulsion systems, body configurations, chassis designs, or commercial labels shall be classified according to their functional and economic character. A classification uncertainty shall be handled under Article 59.22A(8) and shall not interrupt established commercial treatment while expedited review is pending.</w:t>
      </w:r>
    </w:p>
    <w:p>
      <w:pPr>
        <w:pStyle w:val="Normal"/>
      </w:pPr>
      <w:r>
        <w:t>Part 1B: Industrial Expansion Tiers</w:t>
      </w:r>
    </w:p>
    <w:p>
      <w:pPr>
        <w:pStyle w:val="Normal"/>
      </w:pPr>
      <w:r>
        <w:t>1. The United States may establish an American Industrial Expansion Tier; Canada may establish a Canadian Industrial Expansion Tier; and Mexico may establish a Mexican Industrial Expansion Tier. Each Tier shall reward incremental activity within the importing Party while preserving equal North American origin status.</w:t>
      </w:r>
    </w:p>
    <w:p>
      <w:pPr>
        <w:pStyle w:val="Normal"/>
      </w:pPr>
      <w:r>
        <w:t>2. A Tier may use graduated benefits for net-new assembly, employment, strategic components, tooling, research and development, supplier onboarding, brownfield reactivation, dormant-capacity restoration, or repatriation from outside North America. The schedule shall identify caps, evidence, duration, reconciliation, and anti-double-counting rules.</w:t>
      </w:r>
    </w:p>
    <w:p>
      <w:pPr>
        <w:pStyle w:val="Normal"/>
      </w:pPr>
      <w:r>
        <w:t>3. Repatriation from outside North America and genuinely new capacity may receive a supercredit. Transfer of substantially equivalent production from another Party receives no supercredit and shall receive the highest ordinary expansion credit only if the North American Capacity Growth Test is independently satisfied.</w:t>
      </w:r>
    </w:p>
    <w:p>
      <w:pPr>
        <w:pStyle w:val="Normal"/>
      </w:pPr>
      <w:r>
        <w:t>4. A United States schedule may test a 50 percent American Economic Contribution premium benchmark calculated across a qualifying producer portfolio. Physical United States content may be combined with verified incremental United States economic contribution, but the formula shall not discount Canadian or Mexican originating content or convert the benchmark into a condition of North American origin. The 50 percent benchmark remains a non-operative candidate unless selected in an adopted Annex 59-C earned-benefit row supported by Specific Independent Benefit Legal Authority.</w:t>
      </w:r>
    </w:p>
    <w:p>
      <w:pPr>
        <w:pStyle w:val="Normal"/>
      </w:pPr>
      <w:r>
        <w:t>5. The Parties shall publish worked examples for representative passenger, pickup/light-truck, medium-duty, heavy-duty, and strategic-component cases before activation so that producers can distinguish origin qualification, baseline settlement credit, Industrial Expansion credit, and any portfolio-level premium.</w:t>
      </w:r>
    </w:p>
    <w:p>
      <w:pPr>
        <w:pStyle w:val="Heading3"/>
      </w:pPr>
      <w:r>
        <w:t>Part 2: Priority Carrot Families</w:t>
      </w:r>
    </w:p>
    <w:p>
      <w:pPr>
        <w:pStyle w:val="Normal"/>
      </w:pPr>
      <w:r>
        <w:t>1. Production and Investment. Priority candidates include investment-ready sites; brownfield conversion; plant reactivation; additional production shifts; supplier co-location; supplier-diversity and second-source development; capacity matching; permitting navigation; tooling support; and objective investment-stability mechanisms.</w:t>
      </w:r>
    </w:p>
    <w:p>
      <w:pPr>
        <w:pStyle w:val="Normal"/>
      </w:pPr>
      <w:r>
        <w:t>2. Batteries and Critical Materials. Priority candidates include interoperable battery provenance and warranty credentials; critical-mineral pooling and processing; battery recycling and second-life systems; cathode, anode, cell, pack, and power-electronics capacity; recovered-material credits; strategic reserves; and safe cross-border battery logistics.</w:t>
      </w:r>
    </w:p>
    <w:p>
      <w:pPr>
        <w:pStyle w:val="Normal"/>
      </w:pPr>
      <w:r>
        <w:t>3. Semiconductors, Software, and Electronics. Priority candidates include automotive-grade semiconductor fabrication, packaging, testing, strategic stockpiles, chiplet and component interoperability, cybersecurity mutual recognition, open diagnostic interfaces, digital-twin standards, shared testbeds, and precompetitive software or data initiatives.</w:t>
      </w:r>
    </w:p>
    <w:p>
      <w:pPr>
        <w:pStyle w:val="Normal"/>
      </w:pPr>
      <w:r>
        <w:t>4. Supply Chain, Border, and Logistics. Priority candidates include trusted automotive customs lanes; pre-clearance; reusable electronic submissions; virtual in-bond movement; bonded warehousing; rail interchange and autorack improvements; inland ports; border infrastructure; emergency shipment escalation; alternative-route mapping; and resilient inventory financing.</w:t>
      </w:r>
    </w:p>
    <w:p>
      <w:pPr>
        <w:pStyle w:val="Normal"/>
      </w:pPr>
      <w:r>
        <w:t>5. Research, Testing, and Advanced Manufacturing. Priority candidates include shared innovation laboratories; university-industry centers; lightweight and recyclable materials research; battery chemistry; crash and safety data; simulation; robotics; autonomous-system validation; hydrogen and alternative fuels; repair technology; and manufacturing technology transfer.</w:t>
      </w:r>
    </w:p>
    <w:p>
      <w:pPr>
        <w:pStyle w:val="Normal"/>
      </w:pPr>
      <w:r>
        <w:t>6. Workforce and Skills. Priority candidates include trilateral apprenticeships; portable competency credentials; specialist exchanges; robotics and mechatronics retraining; instructor exchanges; shortage-skill micro-credentials; worker-transition support; and lawful temporary mobility pathways.</w:t>
      </w:r>
    </w:p>
    <w:p>
      <w:pPr>
        <w:pStyle w:val="Normal"/>
      </w:pPr>
      <w:r>
        <w:t>7. Circularity, Energy, and Environmental Resilience. Priority candidates include recovered-content incentives; closed-loop water systems; lower-impact steel and aluminum; battery and electronics recycling; zero-waste recognition; grid and charging resilience; factory energy-efficiency investments; and all-hazards continuity measures.</w:t>
      </w:r>
    </w:p>
    <w:p>
      <w:pPr>
        <w:pStyle w:val="Normal"/>
      </w:pPr>
      <w:r>
        <w:t>8. Consumer and Secondary-Market Integration. Priority candidates include cross-border warranty recognition; battery-health credentials; secure digital title and theft-status verification; right-to-repair interoperability; accessible-mobility adaptations; charging roaming; and harmonized safety evidence where outcomes are equivalent.</w:t>
      </w:r>
    </w:p>
    <w:p>
      <w:pPr>
        <w:pStyle w:val="Heading3"/>
      </w:pPr>
      <w:r>
        <w:t>Part 3: Selection Tests</w:t>
      </w:r>
    </w:p>
    <w:p>
      <w:pPr>
        <w:pStyle w:val="Normal"/>
      </w:pPr>
      <w:r>
        <w:t>1. A candidate carrot should be prioritized where it: (a) creates measurable additional North American capacity, employment, productivity, resilience, or trade facilitation; (b) offers a legitimate domestic political or economic benefit to more than one Party; (c) does not require a Party-specific content floor; (d) is administrable without disproportionate accounting burden; (e) can be independently verified; and (f) does not reward superficial processing or paper investment.</w:t>
      </w:r>
    </w:p>
    <w:p>
      <w:pPr>
        <w:pStyle w:val="Normal"/>
      </w:pPr>
      <w:r>
        <w:t>2. High-cost or technically immature concepts may be retained as research, feasibility, demonstration, or future-horizon candidates rather than immediate obligations. Failure of an experimental project after good-faith study or testing does not constitute non-compliance.</w:t>
      </w:r>
    </w:p>
    <w:p>
      <w:pPr>
        <w:pStyle w:val="Normal"/>
      </w:pPr>
      <w:r>
        <w:t>3. The Commission shall favor modular adoption subject to the reciprocity, severability, and adopted-scope rules of Annex 59-C and the Final Settlement Architecture and Adoption Framework. No Party is required to adopt every candidate carrot, and rejection of one legally severable candidate does not affect eligibility for unrelated programs. This paragraph does not authorize unilateral selection among provisions that an adopted instrument treats as an integrated, synchronized, or inseverable bargain.</w:t>
      </w:r>
    </w:p>
    <w:p>
      <w:pPr>
        <w:pStyle w:val="Heading3"/>
      </w:pPr>
      <w:r>
        <w:t>Part 4: Initial High-Value Settlement Portfolio</w:t>
      </w:r>
    </w:p>
    <w:p>
      <w:pPr>
        <w:pStyle w:val="Normal"/>
      </w:pPr>
      <w:r>
        <w:t>1. For the first implementation horizon, the Parties should give priority to a compact portfolio with high negotiating value and comparatively low administrative friction: brownfield plant conversion; additional-shift workforce support; supplier second-source qualification; North American battery and strategic-component investment; automotive semiconductor resilience; critical-mineral processing and recycling; trusted customs superlanes and pre-clearance; rail and border bottleneck removal; interoperable testing and cybersecurity certification; apprenticeship and shortage-skill credentials; and verified circular-material recovery.</w:t>
      </w:r>
    </w:p>
    <w:p>
      <w:pPr>
        <w:pStyle w:val="Normal"/>
      </w:pPr>
      <w:r>
        <w:t>2. The Parties may attach differentiated domestic incentives to these activities, including lawful tax, depreciation, financing, procurement, training, or infrastructure support. Nothing in this Annex harmonizes tax rates, compels a subsidy, guarantees a project location, or authorizes the Commission to allocate production.</w:t>
      </w:r>
    </w:p>
    <w:p>
      <w:pPr>
        <w:pStyle w:val="Normal"/>
      </w:pPr>
      <w:r>
        <w:t>3. Public communications may identify aggregate investment, employment, capacity, sourcing, border-time, resilience, or recycling gains so that each Party can demonstrate concrete benefits from the settlement without mischaracterizing another Party's originating content as foreign leakage.</w:t>
      </w:r>
    </w:p>
    <w:p>
      <w:pPr>
        <w:pStyle w:val="Heading1"/>
      </w:pPr>
      <w:bookmarkStart w:id="901938" w:name="_Toc300001937"/>
      <w:r>
        <w:t>PACKAGE X: AUTOMOTIVE SETTLEMENT AND EARNED-INTEGRATION ARCHITECTURE (v4.3), DEVELOPMENT PROVENANCE AFTER ANNEX 59-C INTEGRATION</w:t>
      </w:r>
      <w:bookmarkEnd w:id="901938"/>
    </w:p>
    <w:p>
      <w:pPr>
        <w:pStyle w:val="Normal"/>
      </w:pPr>
      <w:r>
        <w:t>Package X is retained as development provenance for Article 59.5A and Annex 59-B and does not constitute an independent Final Settlement selection or activation architecture after Annex 59-C integration. Its 10 percent, 13.8 percent, 15 percent, effective-rate-floor, portfolio-contribution, Industrial Expansion, repatriation, and strategic-component concepts remain Reference Models or candidate benefits unless selected and adopted through the applicable Annex 59-C schedule under legally sufficient authority. Article 59.5A remains the substantive source for the automotive settlement concepts, Annex 59-B remains the optional benefit and coverage menu, and Annex 59-C governs Final Settlement selection, authority recording, activation, schedule linkage, adjustment envelopes, anti-double-counting, and closure. Nothing in this provenance note alters ordinary duty-free treatment for qualifying originating goods, equal Canadian, Mexican, and United States originating-content status, existing verification and Cothrom architecture, or another independently operative provision of this Agreement.</w:t>
      </w:r>
    </w:p>
    <w:p>
      <w:pPr>
        <w:pStyle w:val="Heading2"/>
      </w:pPr>
      <w:bookmarkStart w:id="901939" w:name="_Toc300001938"/>
      <w:r>
        <w:t>PACKAGE W: AUTOMOTIVE INTEGRATION, ENHANCED ORIGIN, AND RESILIENCE</w:t>
      </w:r>
      <w:bookmarkEnd w:id="901939"/>
    </w:p>
    <w:p>
      <w:pPr>
        <w:pStyle w:val="Normal"/>
      </w:pPr>
      <w:r>
        <w:t>Chapter 59 and Annex 59-A add a consolidated automotive modernization architecture drawn from the automotive candidate backlog. The package preserves ordinary North American origin while creating voluntary High Integration and Strategic Integration pathways; a weighted strategic-component system; supplier declarations, advance rulings, and good-faith cure; a controlled non-North-American-value tariff pilot; capacity-gap and Build-the-Gap procedures; investment and nearshoring facilitation; supplier resilience; trusted corridors and virtual in-bond treatment; battery and circular-material lifecycle rules; semiconductor and strategic-electronics resilience; mutual recognition, open interfaces, repair and secondary-market integrity; skills and specialist mobility; precompetitive research; cybersecurity and AI assurance; infrastructure, grid, water, logistics, and environmental resilience; a Cothrom automotive stabilizer; and machine-readable rules with rolling-horizon modernization. The package expressly rejects Party-specific content quotas, mandatory national production allocation, sunset-based expiry of rights, and unreviewable automated compliance decisions.</w:t>
      </w:r>
    </w:p>
    <w:p>
      <w:pPr>
        <w:pStyle w:val="Heading2"/>
      </w:pPr>
      <w:bookmarkStart w:id="901940" w:name="_Toc300001939"/>
      <w:r>
        <w:t>Article 59.26: Automotive Administrative Implementation Standard</w:t>
      </w:r>
      <w:bookmarkEnd w:id="901940"/>
    </w:p>
    <w:p>
      <w:pPr>
        <w:pStyle w:val="Normal"/>
      </w:pPr>
      <w:r>
        <w:t>1. Administration of Articles 59.1 through 59.5A and Annex 59-C follows the Chapter 5 least-burdensome-verification principle. Competent authorities resolve ordinary CUSMA qualification before any alternative settlement calculation where ordinary qualification determines treatment more simply.</w:t>
      </w:r>
    </w:p>
    <w:p>
      <w:pPr>
        <w:pStyle w:val="Normal"/>
      </w:pPr>
      <w:r>
        <w:t>2. The Parties favor advance model-year determinations, component-family methodologies, standardized electronic certification, and annual reconciliation over shipment-by-shipment reconstruction of complex automotive calculations.</w:t>
      </w:r>
    </w:p>
    <w:p>
      <w:pPr>
        <w:pStyle w:val="Normal"/>
      </w:pPr>
      <w:r>
        <w:t>3. Enhanced verification targets the disputed value, component, credit, or origin fact unless credible evidence justifies broader review.</w:t>
      </w:r>
    </w:p>
    <w:p>
      <w:pPr>
        <w:pStyle w:val="Heading1"/>
      </w:pPr>
      <w:bookmarkStart w:id="901941" w:name="_Toc300001940"/>
      <w:r>
        <w:t>ANNEX 59-C: AUTOMOTIVE REGIONAL INTEGRATION AND FINAL SETTLEMENT PROTOCOL</w:t>
      </w:r>
      <w:bookmarkEnd w:id="901941"/>
    </w:p>
    <w:p>
      <w:pPr>
        <w:pStyle w:val="Normal"/>
      </w:pPr>
      <w:r>
        <w:t>Final Settlement Integration Gateway. This Annex is the Final Settlement selection, authority-recording, activation, schedule-linkage, anti-double-counting, adjustment-envelope, restoration, and closure layer for the automotive architecture of this Chapter. Article 59.5A remains the substantive source for the automotive settlement concepts, Annex 59-B remains the optional benefit and coverage menu, ordinary origin remains governed by Chapters 4 and 5, and Package X remains development provenance rather than an independent operative selection architecture.</w:t>
      </w:r>
    </w:p>
    <w:p>
      <w:pPr>
        <w:pStyle w:val="Heading2"/>
      </w:pPr>
      <w:bookmarkStart w:id="901942" w:name="_Toc300001941"/>
      <w:r>
        <w:t>FS-03.1: Purpose, Existing-Law Relationship, and Settlement Selection Rule</w:t>
      </w:r>
      <w:bookmarkEnd w:id="901942"/>
    </w:p>
    <w:p>
      <w:pPr>
        <w:pStyle w:val="Normal"/>
      </w:pPr>
      <w:r>
        <w:t>FS03-A01. Settlement Function. FS-03 operates as the automotive Final Settlement selection and coordination instrument for the existing automotive architecture of this Agreement. It identifies which settlement terms, optional earned benefits, activation conditions, and stand-down commitments the participating Parties actually adopt. It does not replace Chapter 4, Annex 4-E, Chapter 5, Article 49.4, Chapter 59, Annex 59-B, Chapter 35, FS-01, or FS-02. Where FS-03 is silent, the otherwise applicable provisions of this Agreement continue without enlargement, reduction, or implied amendment.</w:t>
      </w:r>
    </w:p>
    <w:p>
      <w:pPr>
        <w:pStyle w:val="Normal"/>
      </w:pPr>
      <w:r>
        <w:t>FS03-A02. Ordinary-Origin Firewall. A vehicle, automotive part, or strategic component that independently qualifies as originating under Chapter 4 retains the ordinary preferential treatment otherwise provided by this Agreement. Failure to satisfy a High Integration threshold, Strategic Integration threshold, Industrial Expansion criterion, portfolio contribution benchmark, settlement-credit criterion, or FS-02 assurance benchmark does not by itself convert an originating good into a non-originating good. Article 59.5A settlement calculations remain distinct from the legal determination of ordinary originating status unless an adopted provision expressly states otherwise. FS-03 does not condition ordinary preferential tariff treatment on participation in an optional settlement or incentive pathway.</w:t>
      </w:r>
    </w:p>
    <w:p>
      <w:pPr>
        <w:pStyle w:val="Normal"/>
      </w:pPr>
      <w:r>
        <w:t>FS03-A03. Regional Content Equality. Originating content verified under Chapter 4 retains equal legal character whether the qualifying content is Canadian, Mexican, or United States content. An Adopted FS-03 Core Settlement Row or Adopted FS-03 Earned-Benefit Row does not assign a lower regional-value coefficient to originating content solely because that content arises in another Party. Party-specific domestic incentives operate only as additional Enhanced Automotive Benefits under independently authorized programs and do not rewrite the North American origin layer. Nothing in FS-03 prevents a Party from rewarding genuinely additional domestic activity where the reward complies with the Agreement and does not function as a disguised Party-specific origin quota.</w:t>
      </w:r>
    </w:p>
    <w:p>
      <w:pPr>
        <w:pStyle w:val="Normal"/>
      </w:pPr>
      <w:r>
        <w:t>FS03-A04. Existing Automotive Machinery First. FS-03 uses existing automotive institutions, classifications, verification pathways, advance rulings, supplier declarations, capacity-gap procedures, strategic-component methods, and administrative standards before creating any additional procedure. The Automotive Committee retains the functions already assigned to it under the Agreement. Chapter 5 and Annex 4-E continue to govern origin verification and automotive valuation to the extent applicable. No FS-03 schedule, certificate, registry, or administrative form creates a second origin status, second supplier-certification regime, or second automotive verification ladder.</w:t>
      </w:r>
    </w:p>
    <w:p>
      <w:pPr>
        <w:pStyle w:val="Normal"/>
      </w:pPr>
      <w:r>
        <w:t>FS03-A05. Non-Self-Executing Options. A reference rate, alternative rate, modelled effective-rate floor, backlog concept, candidate carrot, optional tier, illustrative benchmark, or development proposal has no operative effect merely because it appears in Chapter 59, Annex 59-B, Package X, Package W, or an FS-03 template. An Automotive Integration Activation Schedule adopted by Commission consensus under Article 59.1(5) is an exception to the ordinary FS-03 module-adoption rule because Article 59.1(5) itself supplies the constitutive trilateral adoption authority; FS-03 records that Schedule but does not reactivate it. Other terms become operative only through the adoption procedure and legal authority required by this Agreement and, where the controlling provision requires domestic implementation, the applicable domestic legal measure. An incomplete, bracketed, blank, illustrative, or negotiating field in Schedule FS-03-A or FS-03-B has no legal effect.</w:t>
      </w:r>
    </w:p>
    <w:p>
      <w:pPr>
        <w:pStyle w:val="Normal"/>
      </w:pPr>
      <w:r>
        <w:t>FS03-A06. Defined Settlement Terms. An “Adopted FS-03 Core Settlement Row” means a completed row of Schedule FS-03-A formally adopted through the procedure required for the selected automotive settlement commitment, and an “Automotive Integration Activation Record” means the Schedule FS-03-A record of an Automotive Integration Activation Schedule already adopted by Commission consensus under Article 59.1(5), including its five designated categories, qualifying-performance criteria, evidence rules, continuity-plan approval rule, status-determining authority, covered vehicle classes, effective date, and administrative requirements. An “Adopted FS-03 Earned-Benefit Row” means a completed row of Schedule FS-03-B that identifies an optional Enhanced Automotive Benefit, its Specific Independent Benefit Legal Authority, qualification rule, cap, and verification method. “Ordinary-Origin Treatment” means the preferential treatment independently available to a good that qualifies under Chapter 4 and satisfies any other conditions expressly applicable to that treatment, while “Enhanced Automotive Benefit” means an additional tariff, facilitation, credit, incentive, or other treatment expressly authorized by an Adopted FS-03 Earned-Benefit Row and its Specific Independent Benefit Legal Authority.</w:t>
      </w:r>
    </w:p>
    <w:p>
      <w:pPr>
        <w:pStyle w:val="Heading2"/>
      </w:pPr>
      <w:bookmarkStart w:id="901943" w:name="_Toc300001942"/>
      <w:r>
        <w:t>FS-03.2: Ordinary Origin, Regional Integration, and Domestic Additionality</w:t>
      </w:r>
      <w:bookmarkEnd w:id="901943"/>
    </w:p>
    <w:p>
      <w:pPr>
        <w:pStyle w:val="Normal"/>
      </w:pPr>
      <w:r>
        <w:t>FS03-B01. Standard Regional Integration Layer. The Standard automotive layer remains the ordinary Chapter 4 origin pathway, including the 75 percent regional-value-content reference reflected in Annex 4-E-1 only where that reference is legally applicable, together with all other mandatory automotive origin requirements. The 75 percent reference is not created, generalized, or independently imposed by FS-03. Standard qualification receives Ordinary-Origin Treatment and does not require an Article 59.5A calculation solely because FS-03 exists. Where ordinary qualification resolves treatment more simply, Article 59.26 administration applies before an alternative settlement calculation.</w:t>
      </w:r>
    </w:p>
    <w:p>
      <w:pPr>
        <w:pStyle w:val="Normal"/>
      </w:pPr>
      <w:r>
        <w:t>FS03-B02. High Integration Layer. The High Integration layer uses the treaty-fixed 80 percent regional-value-content qualification threshold and the three-of-five strategic-category condition established by Annex 4-E-1 when the Commission adopts the Automotive Integration Activation Schedule under Article 59.1(5). The five designated strategic component categories, their objective and auditable qualifying-performance criteria and evidence rules, and each Party's competent status-determining authority are those stated in that Schedule and recorded in its Automotive Integration Activation Record. High Integration remains voluntary and does not replace Standard originating status. Benefits attach only to treatment independently authorized by the applicable implementing instrument or Adopted FS-03 Earned-Benefit Row.</w:t>
      </w:r>
    </w:p>
    <w:p>
      <w:pPr>
        <w:pStyle w:val="Normal"/>
      </w:pPr>
      <w:r>
        <w:t>FS03-B03. Strategic Integration Layer. The Strategic Integration layer uses the treaty-fixed 85 percent regional-value-content qualification threshold, the all-five strategic-category condition, and the continuity-plan requirement established by Annex 4-E-1 when the Commission adopts the Automotive Integration Activation Schedule under Article 59.1(5). The same five designated categories, their objective and auditable qualifying-performance criteria and evidence rules, the objective continuity-plan approval standard and approving authority or authorities, and each Party's competent status-determining authority are stated in that Schedule and recorded in its Automotive Integration Activation Record. An adopted Activation Schedule may be amended to re-designate a designated category only by a new Commission consensus decision under Article 59.1(5) following the required modelling and notice; a change to a treaty-fixed threshold or the all-five condition requires Article 34.3 unless another treaty provision expressly supplies amendment authority. Strategic Integration remains voluntary, and failure to attain it does not create a tariff penalty or loss of Ordinary-Origin Treatment that the Agreement does not independently authorize.</w:t>
      </w:r>
    </w:p>
    <w:p>
      <w:pPr>
        <w:pStyle w:val="Normal"/>
      </w:pPr>
      <w:r>
        <w:t>FS03-B04. Domestic Industrial Additionality. Where Article 59.5A, Annex 59-B, an implementing schedule, and any required applicable domestic authority establish an Industrial Expansion Tier, that Tier rewards objectively verified incremental domestic activity without altering regional originating status. Eligible additionality remains limited to activity authorized by the controlling provision, including qualifying new or expanded production, employment, strategic-component capacity, tooling, research, supplier qualification, brownfield reactivation, dormant-capacity restoration, workforce activity, or repatriation from outside North America. An Adopted FS-03 Earned-Benefit Row identifies the activity actually selected, the measurement rule, the evidence, the Specific Independent Benefit Legal Authority, and the maximum benefit. Domestic additionality does not become physical originating content unless an independently adopted origin or credit rule expressly gives it that legal effect.</w:t>
      </w:r>
    </w:p>
    <w:p>
      <w:pPr>
        <w:pStyle w:val="Normal"/>
      </w:pPr>
      <w:r>
        <w:t>FS03-B05. No North American Cannibalization. The strongest domestic Industrial Expansion benefits apply only where the existing North American Capacity Growth Test and No North American Cannibalization Rule are satisfied to the extent required by Article 59.5A. Relocation of substantially equivalent existing production from one Party to another does not by itself constitute the highest level of new continental capacity. Reduced credit may apply to an intra-North-American relocation only where the controlling schedule authorizes that result and a verified continental benefit exists. FS-03 does not authorize a Party to characterize another Party's lost originating production as non-North-American leakage.</w:t>
      </w:r>
    </w:p>
    <w:p>
      <w:pPr>
        <w:pStyle w:val="Normal"/>
      </w:pPr>
      <w:r>
        <w:t>FS03-B06. Party-Specific Quota Firewall. An automotive incentive, credit, procurement preference, licensing condition, or related measure remains subject to the de facto Party-specific quota discipline established by Article 4.A.2C. A stronger marginal incentive for genuinely additional activity in the granting Party does not alone establish a prohibited quota. Administration crosses the firewall where commercially meaningful ordinary treatment is conditioned on a Party-specific production share or legitimate originating content of another Party is functionally treated as non-originating. Pending review, only interim treatment independently authorized by the controlling provisions applies, and FS-03 creates no independent interim-measure authority.</w:t>
      </w:r>
    </w:p>
    <w:p>
      <w:pPr>
        <w:pStyle w:val="Heading2"/>
      </w:pPr>
      <w:bookmarkStart w:id="901944" w:name="_Toc300001943"/>
      <w:r>
        <w:t>FS-03.3: Automotive Final Settlement Schedule</w:t>
      </w:r>
      <w:bookmarkEnd w:id="901944"/>
    </w:p>
    <w:p>
      <w:pPr>
        <w:pStyle w:val="Normal"/>
      </w:pPr>
      <w:r>
        <w:t>FS03-C01. FS-03 Selection Record and Constitutive Authority. Schedule FS-03-A records core automotive settlement terms that require affirmative adoption under this Protocol and also records an Automotive Integration Activation Schedule adopted independently by Commission consensus under Article 59.1(5). For an Automotive Integration Activation Record, the Commission decision under Article 59.1(5) is the constitutive trilateral adoption instrument and no additional FS-00 signed-instrument adoption is required; for every other row, the underlying treaty provision, amendment, implementing schedule, or other legally required adoption instrument remains the source of substantive authority. The Secretariat records an adopted term or Activation Schedule but does not complete, infer, negotiate, or supply a missing substantive field or legal authority. A development row remains non-operative until every constitutive field required by its controlling authority is completed and the term is formally adopted.</w:t>
      </w:r>
    </w:p>
    <w:p>
      <w:pPr>
        <w:pStyle w:val="Normal"/>
      </w:pPr>
      <w:r>
        <w:t>FS03-C02. Reference Model, Selected Model, and Adopted Headline Rate. An Adopted FS-03 Core Settlement Row separately identifies any Reference Model used during development, the Selected Settlement Model, and the Adopted Headline Rate, if any. The 13.8 percent reference model, a 10 percent alternative, a 15 percent alternative, or another lawfully negotiated rate remains non-operative unless formally adopted through the procedure applicable to the substantive tariff commitment. Once a row is adopted, its Selected Settlement Model and Adopted Headline Rate control that row without preserving any unselected reference model as a competing operative benchmark. Absence of an Adopted Headline Rate does not disturb Ordinary-Origin Treatment.</w:t>
      </w:r>
    </w:p>
    <w:p>
      <w:pPr>
        <w:pStyle w:val="Normal"/>
      </w:pPr>
      <w:r>
        <w:t>FS03-C03. Effective-Rate Floor and Calibration. Where the Selected Settlement Model uses an effective-rate floor, the Adopted FS-03 Core Settlement Row identifies the Initial Effective-Rate Floor, Permitted Administrative Adjustment Band, Adjustment Criteria, Maximum Administrative Movement, modelling record, and decision authority. A modelled 5 to 7.5 percent reference range does not itself select an effective-rate floor or authorize movement anywhere within that range. Administrative adjustment remains within the pre-authorized band, criteria, and maximum movement recorded in the adopted row and follows the analysis required by the controlling automotive provisions. A change outside that envelope returns to the adoption or amendment procedure applicable to the substantive settlement commitment.</w:t>
      </w:r>
    </w:p>
    <w:p>
      <w:pPr>
        <w:pStyle w:val="Normal"/>
      </w:pPr>
      <w:r>
        <w:t>FS03-C04. Enhanced Automotive Benefit Selection. Schedule FS-03-B identifies each optional Industrial Expansion, repatriation, strategic-component, portfolio-contribution, facilitation, or other Enhanced Automotive Benefit actually selected for implementation. Each Adopted FS-03 Earned-Benefit Row cites the Specific Independent Benefit Legal Authority supporting the benefit and any domestic implementing authority required by the controlling provision. FS-03-B records and activates a benefit only to the extent authorized by that Specific Independent Benefit Legal Authority and cannot cure an absence of substantive legal authority. A backlog concept or candidate carrot not appearing in a lawfully adopted row remains non-self-executing.</w:t>
      </w:r>
    </w:p>
    <w:p>
      <w:pPr>
        <w:pStyle w:val="Normal"/>
      </w:pPr>
      <w:r>
        <w:t>FS03-C05. Graduation, Caps, Stacking, and No Double Counting. An Enhanced Automotive Benefit operates on a graduated basis where the controlling program permits and avoids a cliff that destroys substantial verified integration because of a minor shortfall. Each adopted benefit states its maximum benefit or other legally controlling cap, and the same underlying value, expenditure, employment event, component, investment milestone, physical capacity addition, FS-02 Assurance Contribution, recovered-material contribution, or strategic-component performance does not generate cumulative economic value under more than one Enhanced Automotive Benefit unless the applicable Adopted FS-03 Earned-Benefit Row expressly authorizes that stacking, identifies distinct non-overlapping policy functions, and states the aggregate cap or other controlling limit. Reliable evidence may be reused across compatible programs, but reuse of evidence does not create a second economic event, physical contribution, investment event, credit, or legal entitlement.</w:t>
      </w:r>
    </w:p>
    <w:p>
      <w:pPr>
        <w:pStyle w:val="Normal"/>
      </w:pPr>
      <w:r>
        <w:t>FS03-C06. Amendment-Only Fields and Activation Change Control. Schedule FS-03-A identifies each field that the controlling provision reserves to substantive amendment rather than administrative review. For an Automotive Integration Activation Record, Article 59.1(5) governs re-designation of any of the five strategic component categories by a new Commission consensus decision after the required modelling and notice, while the treaty-fixed 80 percent and 85 percent thresholds and the three-of-five and all-five conditions remain amendment-only under Article 34.3 unless another treaty provision expressly supplies amendment authority. A headline settlement rate reserved to substantive amendment likewise remains an Amendment-Only Field, and no implementing authority may use technical guidance, classification practice, customs administration, or coefficient adjustment to accomplish indirectly a change reserved to amendment. Where uncertainty exists, the narrower administrative interpretation applies until the required activation or amendment procedure is completed.</w:t>
      </w:r>
    </w:p>
    <w:p>
      <w:pPr>
        <w:pStyle w:val="Heading2"/>
      </w:pPr>
      <w:bookmarkStart w:id="901945" w:name="_Toc300001944"/>
      <w:r>
        <w:t>FS-03.4: Reciprocal Automotive Stand-Down and FS-01 Interface</w:t>
      </w:r>
      <w:bookmarkEnd w:id="901945"/>
    </w:p>
    <w:p>
      <w:pPr>
        <w:pStyle w:val="Normal"/>
      </w:pPr>
      <w:r>
        <w:t>FS03-D01. FS-01 Relationship. FS-01 governs the normalization of covered extraordinary automotive tariffs and the legal mechanics of reciprocal tariff stand-down to the extent those measures fall within FS-01. FS-03 identifies the automotive settlement terms paired with that normalization but does not create a second tariff-normalization architecture. An Adopted FS-03 Core Settlement Row cites the controlling FS-01 entry or other independent authority for each stand-down commitment. Where FS-01 and FS-03 address different legal objects, each instrument retains its own scope.</w:t>
      </w:r>
    </w:p>
    <w:p>
      <w:pPr>
        <w:pStyle w:val="Normal"/>
      </w:pPr>
      <w:r>
        <w:t>FS03-D02. Matched Reciprocal Activation. Where the Automotive Settlement Schedule forms part of a reciprocal automotive tariff stand-down, activation follows the controlling synchronization rule in FS-01, Article 35.36, or another expressly applicable provision before FS-03 supplies any supplementary scheduling detail. Schedule FS-03-A records whether the resulting Legal Activation Mode is automatic, certificate-triggered, or matched reciprocal activation and records the specified activation time or condition. An administrative record of readiness does not create a veto over an automatic legal trigger already established by the controlling provision. No Party is required to front-load an irreversible automotive concession where the controlling synchronization rule requires reciprocal exchange.</w:t>
      </w:r>
    </w:p>
    <w:p>
      <w:pPr>
        <w:pStyle w:val="Normal"/>
      </w:pPr>
      <w:r>
        <w:t>FS03-D03. Ordinary Treatment After Stand-Down. Termination or normalization of an extraordinary automotive measure returns an originating good to the Post-Normalization Treatment established by FS-01 and the otherwise applicable automotive provisions. FS-03 does not imply that every originating good enters an Article 59.5A settlement calculation after extraordinary measures end. Where ordinary Chapter 4 treatment independently provides duty-free treatment, that ordinary pathway remains available according to its terms. Any additional Automotive Settlement Treatment applies only to the goods, transactions, and Parties expressly covered by the adopted schedule.</w:t>
      </w:r>
    </w:p>
    <w:p>
      <w:pPr>
        <w:pStyle w:val="Normal"/>
      </w:pPr>
      <w:r>
        <w:t>FS03-D04. No Revival Through Settlement Administration. An extinguished or normalized extraordinary automotive measure does not revive merely because a producer fails an optional enhanced-integration or earned-benefit criterion. Loss of an optional credit affects only the benefit legally attached to that credit unless an independent treaty authority establishes another consequence. FS-03 administration does not transform a settlement-credit dispute into authority to restore a legacy extraordinary tariff. Any later adverse automotive measure requires the independent legal basis, findings, procedures, limits, and restoration rules otherwise required by the Agreement.</w:t>
      </w:r>
    </w:p>
    <w:p>
      <w:pPr>
        <w:pStyle w:val="Normal"/>
      </w:pPr>
      <w:r>
        <w:t>FS03-D05. Severability of Settlement Terms. Each Adopted FS-03 Core Settlement Row affirmatively identifies whether its selected terms are bilateral, trilateral, severable, or expressly inseverable. A dispute affecting one Enhanced Automotive Benefit does not suspend unrelated settlement terms unless the adopted instrument expressly makes those terms inseverable and the controlling treaty authority permits that consequence. If an adopted instrument is inadvertently silent, the narrowest non-contagious interpretation applies to the extent consistent with the controlling legal authority and the reciprocal bargain. Severability does not permit a Party to retain a benefit while refusing a legally paired obligation whose reciprocal activation is expressly inseverable.</w:t>
      </w:r>
    </w:p>
    <w:p>
      <w:pPr>
        <w:pStyle w:val="Normal"/>
      </w:pPr>
      <w:r>
        <w:t>FS03-D06. No Delayed Day-One Rights. An administrative implementation delay does not postpone a Day-One automotive right that the controlling treaty provision makes legally effective without further discretionary action. Customs systems, forms, registries, and guidance update in a manner that does not delay the legally effective treatment. Where reconciliation or refund authority exists, the competent authority applies it consistently with the Agreement to transactions affected by implementation lag. FS-03 does not create refund authority that domestic law or another treaty provision does not otherwise provide.</w:t>
      </w:r>
    </w:p>
    <w:p>
      <w:pPr>
        <w:pStyle w:val="Heading2"/>
      </w:pPr>
      <w:bookmarkStart w:id="901946" w:name="_Toc300001945"/>
      <w:r>
        <w:t>FS-03.5: Administration, Classification Continuity, and Change Control</w:t>
      </w:r>
      <w:bookmarkEnd w:id="901946"/>
    </w:p>
    <w:p>
      <w:pPr>
        <w:pStyle w:val="Normal"/>
      </w:pPr>
      <w:r>
        <w:t>FS03-E01. Automotive Administrative Standard. Administration follows Article 59.26 and the Chapter 5 least-burdensome-verification principle. Competent authorities favor advance model-year determinations, component-family methodologies, standardized electronic certification, annual reconciliation, and targeted review over unnecessary shipment-by-shipment reconstruction. Enhanced verification focuses on the disputed value, component, credit, or origin fact unless credible evidence justifies broader review. FS-03 does not increase documentation merely because a producer declines an optional earned-benefit pathway.</w:t>
      </w:r>
    </w:p>
    <w:p>
      <w:pPr>
        <w:pStyle w:val="Normal"/>
      </w:pPr>
      <w:r>
        <w:t>FS03-E02. Supplier Declarations and Advance Rulings. Article 59.4 supplier declarations, treatment of unknown or commingled content, advance rulings, coordinated rulings, good-faith cure, and proportional penalties remain the controlling administrative tools to the extent applicable. An FS-03 schedule identifies which existing declaration fields or rulings establish a selected benefit without creating a duplicative certification form. A first-time or minor documentary defect receives only the cure treatment provided by Article 59.4 or another expressly controlling provision. An immaterial formatting defect does not by itself erase independently established originating status or a verified Enhanced Automotive Benefit.</w:t>
      </w:r>
    </w:p>
    <w:p>
      <w:pPr>
        <w:pStyle w:val="Normal"/>
      </w:pPr>
      <w:r>
        <w:t>FS03-E03. Full-Scope and Included-First Rule. Article 59.22A governs the vehicle-class scope of generally applicable automotive settlement, stabilization, cure, and tariff-relief treatment. Schedule FS-03-A identifies the covered Class I through VI goods through tariff classifications, functional descriptions, or both, and records an Objective Basis for Class-Specific Treatment whenever the adopted settlement does not apply equivalent treatment across the otherwise covered classes. Silence, negative-space drafting, commercial nomenclature, or concentration of production in another Party does not create an exclusion where Article 59.22A provides included-first treatment. A class-specific difference states its objective technical basis, duration where applicable, affected classifications, and review mechanism.</w:t>
      </w:r>
    </w:p>
    <w:p>
      <w:pPr>
        <w:pStyle w:val="Normal"/>
      </w:pPr>
      <w:r>
        <w:t>FS03-E04. Classification-Dispute Continuity. Classification uncertainty involving new propulsion systems, body configurations, chassis designs, integrated components, or commercial labels proceeds under the existing automotive classification and expedited-review architecture. Established commercial treatment continues during expedited classification review to the extent required by Article 59.22A and Annex 59-B. An administrative classification change does not alter tariff treatment or originating status beyond the legal effect authorized by the controlling provision. FS-03 creates no independent classification methodology.</w:t>
      </w:r>
    </w:p>
    <w:p>
      <w:pPr>
        <w:pStyle w:val="Normal"/>
      </w:pPr>
      <w:r>
        <w:t>FS03-E05. Capacity-Gap Interface. Article 59.6 governs capacity-gap accommodations where a High Integration or Strategic Integration criterion depends on an input unavailable from North American commercial sources in the required quantity, grade, certification, quality, or commercially reasonable delivery time. An Adopted FS-03 Earned-Benefit Row records the application of an accommodation independently authorized under Article 59.6 but does not create, broaden, or extend that accommodation. Review, narrowing, renewal, sourcing-transition planning, and prospective treatment follow the controlling capacity-gap rules. FS-03 does not reset or extend an existing capacity-gap clock.</w:t>
      </w:r>
    </w:p>
    <w:p>
      <w:pPr>
        <w:pStyle w:val="Normal"/>
      </w:pPr>
      <w:r>
        <w:t>FS03-E06. No Automotive Ratchet by Administration. Article 49.4 governs material increases in automotive regional-value, labor-value, steel, aluminum, battery, mineral, or other content requirements, including the required impact assessment and transition discipline. Technical guidance, customs practice, verification methodology, procurement administration, incentive administration, or committee interpretation does not silently convert an optional 80 percent, 85 percent, portfolio-level, settlement, or FS-02 benchmark into the ordinary Chapter 4 origin threshold. A material substantive increase proceeds only through the legal procedure applicable to that increase. Administrative modernization remains technology-neutral and preserves North American cumulation as provided by Chapter 4.</w:t>
      </w:r>
    </w:p>
    <w:p>
      <w:pPr>
        <w:pStyle w:val="Heading2"/>
      </w:pPr>
      <w:bookmarkStart w:id="901947" w:name="_Toc300001946"/>
      <w:r>
        <w:t>FS-03.6: Cothrom Stabilization, Review, Restoration, and Closure</w:t>
      </w:r>
      <w:bookmarkEnd w:id="901947"/>
    </w:p>
    <w:p>
      <w:pPr>
        <w:pStyle w:val="Normal"/>
      </w:pPr>
      <w:r>
        <w:t>FS03-F01. Existing Verification Architecture. Chapter 5, Annex 4-E, Chapter 35, Articles 59.3 and 59.4, and any specifically identified Chapter 46 provision govern automotive verification and stabilization only to the extent authority is assigned by those provisions. FS-03 creates no separate evidentiary burden, cure ladder, remedy ladder, earn-back system, or restoration procedure. An Adopted FS-03 Schedule Row identifies the specific existing verification source applicable to the selected term rather than relying on a generic chapter reference where a narrower authority exists. A reviewing authority does not infer a broader verification power from FS-03 than the controlling provision supplies.</w:t>
      </w:r>
    </w:p>
    <w:p>
      <w:pPr>
        <w:pStyle w:val="Normal"/>
      </w:pPr>
      <w:r>
        <w:t>FS03-F02. Dispute Containment. A disputed settlement credit does not automatically suspend the Automotive Settlement Schedule for unrelated producers, models, components, vehicle classes, transactions, or Parties. The reviewing authority isolates the disputed value, fact, credit, participant, or transaction and applies the narrowest sufficient response authorized by the controlling provision. Ordinary originating treatment remains available where independently established and not itself the subject of a valid origin determination. Cross-sector or economy-wide consequences require an independent legal basis and the findings required by that authority.</w:t>
      </w:r>
    </w:p>
    <w:p>
      <w:pPr>
        <w:pStyle w:val="Normal"/>
      </w:pPr>
      <w:r>
        <w:t>FS03-F03. Cure and Earn-Back. Where the controlling provision permits cure, the affected producer or participant receives the applicable opportunity to correct a remediable deficiency. Verified remediation restores an Enhanced Automotive Benefit according to the existing earn-back or restoration rule applicable to that benefit. Restoration does not require relitigation of facts treated as final under the controlling verification procedure absent fraud, material new evidence, or another reopening ground recognized by that procedure or the Agreement. FS-03 does not create an independent concept of evidentiary finality or convert an optional benefit into a permanently probationary status.</w:t>
      </w:r>
    </w:p>
    <w:p>
      <w:pPr>
        <w:pStyle w:val="Normal"/>
      </w:pPr>
      <w:r>
        <w:t>FS03-F04. Review Boundaries. Periodic automotive settlement review evaluates administrability, investment effects, consumer effects, circumvention, regional distribution, preference utilization, capacity growth, and other factors authorized by the controlling settlement provision. Review adjusts coefficients, credit caps, evidentiary rules, or effective-rate parameters only within the authority expressly delegated and, for an effective-rate floor, within the Permitted Administrative Adjustment Band, Adjustment Criteria, and Maximum Administrative Movement recorded in Schedule FS-03-A. Review does not alter an Amendment-Only Field, create a new origin requirement, or activate an unselected Annex 59-B concept. A materially different settlement bargain returns to the adoption or amendment procedure required by the Agreement.</w:t>
      </w:r>
    </w:p>
    <w:p>
      <w:pPr>
        <w:pStyle w:val="Normal"/>
      </w:pPr>
      <w:r>
        <w:t>FS03-F05. Clock and Successor-Measure Integrity. FS-03 does not reset, extend, renew, or evade a review, transition, capacity-gap, cure, security, tariff-normalization, or temporary-measure clock established elsewhere in the Agreement. Successive substantially identical findings or measures are aggregated where the controlling provision requires aggregation. Reclassification, renaming, model-year rollover, or transfer between administrative programs does not create a fresh clock where the underlying legal condition remains substantially the same. A genuinely new factual basis proceeds under the authority and evidentiary requirements applicable to that new basis.</w:t>
      </w:r>
    </w:p>
    <w:p>
      <w:pPr>
        <w:pStyle w:val="Normal"/>
      </w:pPr>
      <w:r>
        <w:t>FS03-F06. Settlement Closure. An automotive settlement term reaches closure when the controlling legal trigger has operated, required reciprocal activation has occurred, and any unresolved matter material to legal activation, accrued benefits, outstanding corrective obligations, or closure itself has been resolved. An immaterial outstanding verification or administrative issue does not by itself hold an otherwise completed settlement row perpetually open. The Secretariat records closure and continuing review obligations but does not create a new condition for legal effectiveness. A later modification proceeds through the review, adoption, or amendment procedure applicable to the legal term being changed.</w:t>
      </w:r>
    </w:p>
    <w:p>
      <w:pPr>
        <w:pStyle w:val="Heading2"/>
      </w:pPr>
      <w:bookmarkStart w:id="901948" w:name="_Toc300001947"/>
      <w:r>
        <w:t>SCHEDULE FS-03-A: CORE AUTOMOTIVE FINAL SETTLEMENT TERMS, DEVELOPMENT TEMPLATE: NON-OPERATIVE UNTIL ADOPTED</w:t>
      </w:r>
      <w:bookmarkEnd w:id="901948"/>
    </w:p>
    <w:p>
      <w:pPr>
        <w:pStyle w:val="Normal"/>
      </w:pPr>
      <w:r>
        <w:t>DEVELOPMENT TEMPLATE: NON-OPERATIVE. Legal status. This schedule is an FS-03 development and coordination template. A row becomes operative only when the controlling treaty provision, amendment, implementing schedule, or other legally required adoption instrument supplies the substantive authority and the row is completed and formally adopted as required. FS-03-A does not cure missing substantive authority. Blank, bracketed, illustrative, alternative, modelled, or incomplete fields have no legal effect.</w:t>
      </w:r>
    </w:p>
    <w:p>
      <w:pPr>
        <w:pStyle w:val="Normal"/>
      </w:pPr>
      <w:r>
        <w:rPr>
          <w:b/>
        </w:rPr>
        <w:t>FS-03-A1: Settlement Selection and Economic Terms</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CellMar>
          <w:top w:w="70" w:type="dxa"/>
          <w:left w:w="100" w:type="dxa"/>
          <w:bottom w:w="70" w:type="dxa"/>
          <w:right w:w="100" w:type="dxa"/>
        </w:tblCellMar>
        <w:tblLook w:firstColumn="1" w:firstRow="1" w:lastColumn="0" w:lastRow="0" w:noHBand="0" w:noVBand="1" w:val="04A0"/>
      </w:tblPr>
      <w:tblGrid>
        <w:gridCol w:w="1694"/>
        <w:gridCol w:w="1694"/>
        <w:gridCol w:w="1694"/>
        <w:gridCol w:w="1694"/>
        <w:gridCol w:w="1694"/>
        <w:gridCol w:w="1694"/>
        <w:gridCol w:w="1181"/>
      </w:tblGrid>
      <w:tr>
        <w:tc>
          <w:tcPr>
            <w:tcW w:type="dxa" w:w="1694"/>
          </w:tcPr>
          <w:p>
            <w:pPr>
              <w:pStyle w:val="TableText"/>
            </w:pPr>
            <w:r>
              <w:rPr>
                <w:b/>
              </w:rPr>
              <w:t>Adoption Status</w:t>
            </w:r>
          </w:p>
        </w:tc>
        <w:tc>
          <w:tcPr>
            <w:tcW w:type="dxa" w:w="1694"/>
          </w:tcPr>
          <w:p>
            <w:pPr>
              <w:pStyle w:val="TableText"/>
            </w:pPr>
            <w:r>
              <w:rPr>
                <w:b/>
              </w:rPr>
              <w:t>Participating Parties</w:t>
            </w:r>
          </w:p>
        </w:tc>
        <w:tc>
          <w:tcPr>
            <w:tcW w:type="dxa" w:w="1694"/>
          </w:tcPr>
          <w:p>
            <w:pPr>
              <w:pStyle w:val="TableText"/>
            </w:pPr>
            <w:r>
              <w:rPr>
                <w:b/>
              </w:rPr>
              <w:t>Covered Classes / Scope + Objective Basis</w:t>
            </w:r>
          </w:p>
        </w:tc>
        <w:tc>
          <w:tcPr>
            <w:tcW w:type="dxa" w:w="1694"/>
          </w:tcPr>
          <w:p>
            <w:pPr>
              <w:pStyle w:val="TableText"/>
            </w:pPr>
            <w:r>
              <w:rPr>
                <w:b/>
              </w:rPr>
              <w:t>Specific Legal Authority</w:t>
            </w:r>
          </w:p>
        </w:tc>
        <w:tc>
          <w:tcPr>
            <w:tcW w:type="dxa" w:w="1694"/>
          </w:tcPr>
          <w:p>
            <w:pPr>
              <w:pStyle w:val="TableText"/>
            </w:pPr>
            <w:r>
              <w:rPr>
                <w:b/>
              </w:rPr>
              <w:t>Reference / Selected Settlement Model</w:t>
            </w:r>
          </w:p>
        </w:tc>
        <w:tc>
          <w:tcPr>
            <w:tcW w:type="dxa" w:w="1694"/>
          </w:tcPr>
          <w:p>
            <w:pPr>
              <w:pStyle w:val="TableText"/>
            </w:pPr>
            <w:r>
              <w:rPr>
                <w:b/>
              </w:rPr>
              <w:t>Adopted Headline Rate</w:t>
            </w:r>
          </w:p>
        </w:tc>
        <w:tc>
          <w:tcPr>
            <w:tcW w:type="dxa" w:w="1181"/>
          </w:tcPr>
          <w:p>
            <w:pPr>
              <w:pStyle w:val="TableText"/>
            </w:pPr>
            <w:r>
              <w:t>FS-03 Core Row ID</w:t>
            </w:r>
          </w:p>
        </w:tc>
      </w:tr>
      <w:tr>
        <w:tc>
          <w:tcPr>
            <w:tcW w:type="dxa" w:w="1694"/>
          </w:tcPr>
          <w:p>
            <w:pPr>
              <w:pStyle w:val="TableText"/>
            </w:pPr>
            <w:r>
              <w:rPr/>
              <w:t>DRAFT: VERIFY BEFORE LEGAL SCRUB</w:t>
            </w:r>
          </w:p>
        </w:tc>
        <w:tc>
          <w:tcPr>
            <w:tcW w:type="dxa" w:w="1694"/>
          </w:tcPr>
          <w:p>
            <w:pPr>
              <w:pStyle w:val="TableText"/>
            </w:pPr>
            <w:r>
              <w:rPr/>
              <w:t>[Parties]</w:t>
            </w:r>
          </w:p>
        </w:tc>
        <w:tc>
          <w:tcPr>
            <w:tcW w:type="dxa" w:w="1694"/>
          </w:tcPr>
          <w:p>
            <w:pPr>
              <w:pStyle w:val="TableText"/>
            </w:pPr>
            <w:r>
              <w:rPr/>
              <w:t>Classes I–VI or specified subset; [Objective basis for any class-specific difference]</w:t>
            </w:r>
          </w:p>
        </w:tc>
        <w:tc>
          <w:tcPr>
            <w:tcW w:type="dxa" w:w="1694"/>
          </w:tcPr>
          <w:p>
            <w:pPr>
              <w:pStyle w:val="TableText"/>
            </w:pPr>
            <w:r>
              <w:rPr/>
              <w:t>[Specific controlling treaty / amendment / implementing authority]</w:t>
            </w:r>
          </w:p>
        </w:tc>
        <w:tc>
          <w:tcPr>
            <w:tcW w:type="dxa" w:w="1694"/>
          </w:tcPr>
          <w:p>
            <w:pPr>
              <w:pStyle w:val="TableText"/>
            </w:pPr>
            <w:r>
              <w:rPr/>
              <w:t>Reference: [ ]; Selected: [13.8 / 10 / 15 / other lawfully adopted model]</w:t>
            </w:r>
          </w:p>
        </w:tc>
        <w:tc>
          <w:tcPr>
            <w:tcW w:type="dxa" w:w="1694"/>
          </w:tcPr>
          <w:p>
            <w:pPr>
              <w:pStyle w:val="TableText"/>
            </w:pPr>
            <w:r>
              <w:rPr/>
              <w:t>[Adopted Headline Rate only]</w:t>
            </w:r>
          </w:p>
        </w:tc>
        <w:tc>
          <w:tcPr>
            <w:tcW w:type="dxa" w:w="1181"/>
          </w:tcPr>
          <w:p>
            <w:pPr>
              <w:pStyle w:val="TableText"/>
            </w:pPr>
            <w:r>
              <w:t>[Stable Row ID]</w:t>
            </w:r>
          </w:p>
        </w:tc>
      </w:tr>
      <w:tr>
        <w:tc>
          <w:tcPr>
            <w:tcW w:type="dxa" w:w="1694"/>
          </w:tcPr>
          <w:p>
            <w:pPr>
              <w:pStyle w:val="TableText"/>
            </w:pPr>
            <w:r>
              <w:rPr/>
              <w:t>DRAFT: VERIFY BEFORE LEGAL SCRUB</w:t>
            </w:r>
          </w:p>
        </w:tc>
        <w:tc>
          <w:tcPr>
            <w:tcW w:type="dxa" w:w="1694"/>
          </w:tcPr>
          <w:p>
            <w:pPr>
              <w:pStyle w:val="TableText"/>
            </w:pPr>
            <w:r>
              <w:rPr/>
              <w:t>[Parties]</w:t>
            </w:r>
          </w:p>
        </w:tc>
        <w:tc>
          <w:tcPr>
            <w:tcW w:type="dxa" w:w="1694"/>
          </w:tcPr>
          <w:p>
            <w:pPr>
              <w:pStyle w:val="TableText"/>
            </w:pPr>
            <w:r>
              <w:rPr/>
              <w:t>Passenger/light vehicles</w:t>
            </w:r>
          </w:p>
        </w:tc>
        <w:tc>
          <w:tcPr>
            <w:tcW w:type="dxa" w:w="1694"/>
          </w:tcPr>
          <w:p>
            <w:pPr>
              <w:pStyle w:val="TableText"/>
            </w:pPr>
            <w:r>
              <w:rPr/>
              <w:t>[Cite]</w:t>
            </w:r>
          </w:p>
        </w:tc>
        <w:tc>
          <w:tcPr>
            <w:tcW w:type="dxa" w:w="1694"/>
          </w:tcPr>
          <w:p>
            <w:pPr>
              <w:pStyle w:val="TableText"/>
            </w:pPr>
            <w:r>
              <w:rPr/>
              <w:t>[Select]</w:t>
            </w:r>
          </w:p>
        </w:tc>
        <w:tc>
          <w:tcPr>
            <w:tcW w:type="dxa" w:w="1694"/>
          </w:tcPr>
          <w:p>
            <w:pPr>
              <w:pStyle w:val="TableText"/>
            </w:pPr>
            <w:r>
              <w:rPr/>
              <w:t>[ ]</w:t>
            </w:r>
          </w:p>
        </w:tc>
        <w:tc>
          <w:tcPr>
            <w:tcW w:type="dxa" w:w="1181"/>
          </w:tcPr>
          <w:p>
            <w:pPr>
              <w:pStyle w:val="TableText"/>
            </w:pPr>
            <w:r>
              <w:t>[Stable Row ID]</w:t>
            </w:r>
          </w:p>
        </w:tc>
      </w:tr>
      <w:tr>
        <w:tc>
          <w:tcPr>
            <w:tcW w:type="dxa" w:w="1694"/>
          </w:tcPr>
          <w:p>
            <w:pPr>
              <w:pStyle w:val="TableText"/>
            </w:pPr>
            <w:r>
              <w:rPr/>
              <w:t>DRAFT: VERIFY BEFORE LEGAL SCRUB</w:t>
            </w:r>
          </w:p>
        </w:tc>
        <w:tc>
          <w:tcPr>
            <w:tcW w:type="dxa" w:w="1694"/>
          </w:tcPr>
          <w:p>
            <w:pPr>
              <w:pStyle w:val="TableText"/>
            </w:pPr>
            <w:r>
              <w:rPr/>
              <w:t>[Parties]</w:t>
            </w:r>
          </w:p>
        </w:tc>
        <w:tc>
          <w:tcPr>
            <w:tcW w:type="dxa" w:w="1694"/>
          </w:tcPr>
          <w:p>
            <w:pPr>
              <w:pStyle w:val="TableText"/>
            </w:pPr>
            <w:r>
              <w:rPr/>
              <w:t>Medium/heavy vehicles, buses, chassis</w:t>
            </w:r>
          </w:p>
        </w:tc>
        <w:tc>
          <w:tcPr>
            <w:tcW w:type="dxa" w:w="1694"/>
          </w:tcPr>
          <w:p>
            <w:pPr>
              <w:pStyle w:val="TableText"/>
            </w:pPr>
            <w:r>
              <w:rPr/>
              <w:t>[Cite]</w:t>
            </w:r>
          </w:p>
        </w:tc>
        <w:tc>
          <w:tcPr>
            <w:tcW w:type="dxa" w:w="1694"/>
          </w:tcPr>
          <w:p>
            <w:pPr>
              <w:pStyle w:val="TableText"/>
            </w:pPr>
            <w:r>
              <w:rPr/>
              <w:t>[Select]</w:t>
            </w:r>
          </w:p>
        </w:tc>
        <w:tc>
          <w:tcPr>
            <w:tcW w:type="dxa" w:w="1694"/>
          </w:tcPr>
          <w:p>
            <w:pPr>
              <w:pStyle w:val="TableText"/>
            </w:pPr>
            <w:r>
              <w:rPr/>
              <w:t>[ ]</w:t>
            </w:r>
          </w:p>
        </w:tc>
        <w:tc>
          <w:tcPr>
            <w:tcW w:type="dxa" w:w="1181"/>
          </w:tcPr>
          <w:p>
            <w:pPr>
              <w:pStyle w:val="TableText"/>
            </w:pPr>
            <w:r>
              <w:t>[Stable Row ID]</w:t>
            </w:r>
          </w:p>
        </w:tc>
      </w:tr>
      <w:tr>
        <w:tc>
          <w:tcPr>
            <w:tcW w:type="dxa" w:w="1694"/>
          </w:tcPr>
          <w:p>
            <w:pPr>
              <w:pStyle w:val="TableText"/>
            </w:pPr>
            <w:r>
              <w:rPr/>
              <w:t>DRAFT: VERIFY BEFORE LEGAL SCRUB</w:t>
            </w:r>
          </w:p>
        </w:tc>
        <w:tc>
          <w:tcPr>
            <w:tcW w:type="dxa" w:w="1694"/>
          </w:tcPr>
          <w:p>
            <w:pPr>
              <w:pStyle w:val="TableText"/>
            </w:pPr>
            <w:r>
              <w:rPr/>
              <w:t>[Parties]</w:t>
            </w:r>
          </w:p>
        </w:tc>
        <w:tc>
          <w:tcPr>
            <w:tcW w:type="dxa" w:w="1694"/>
          </w:tcPr>
          <w:p>
            <w:pPr>
              <w:pStyle w:val="TableText"/>
            </w:pPr>
            <w:r>
              <w:rPr/>
              <w:t>Automotive parts / strategic components</w:t>
            </w:r>
          </w:p>
        </w:tc>
        <w:tc>
          <w:tcPr>
            <w:tcW w:type="dxa" w:w="1694"/>
          </w:tcPr>
          <w:p>
            <w:pPr>
              <w:pStyle w:val="TableText"/>
            </w:pPr>
            <w:r>
              <w:rPr/>
              <w:t>[Cite]</w:t>
            </w:r>
          </w:p>
        </w:tc>
        <w:tc>
          <w:tcPr>
            <w:tcW w:type="dxa" w:w="1694"/>
          </w:tcPr>
          <w:p>
            <w:pPr>
              <w:pStyle w:val="TableText"/>
            </w:pPr>
            <w:r>
              <w:rPr/>
              <w:t>[Select]</w:t>
            </w:r>
          </w:p>
        </w:tc>
        <w:tc>
          <w:tcPr>
            <w:tcW w:type="dxa" w:w="1694"/>
          </w:tcPr>
          <w:p>
            <w:pPr>
              <w:pStyle w:val="TableText"/>
            </w:pPr>
            <w:r>
              <w:rPr/>
              <w:t>[ ]</w:t>
            </w:r>
          </w:p>
        </w:tc>
        <w:tc>
          <w:tcPr>
            <w:tcW w:type="dxa" w:w="1181"/>
          </w:tcPr>
          <w:p>
            <w:pPr>
              <w:pStyle w:val="TableText"/>
            </w:pPr>
            <w:r>
              <w:t>[Stable Row ID]</w:t>
            </w:r>
          </w:p>
        </w:tc>
      </w:tr>
    </w:tbl>
    <w:p>
      <w:pPr>
        <w:pStyle w:val="Normal"/>
      </w:pPr>
      <w:r>
        <w:rPr>
          <w:b/>
        </w:rPr>
        <w:t>FS-03-A2: Adjustment, Activation, Verification, and Closure</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CellMar>
          <w:top w:w="70" w:type="dxa"/>
          <w:left w:w="100" w:type="dxa"/>
          <w:bottom w:w="70" w:type="dxa"/>
          <w:right w:w="100" w:type="dxa"/>
        </w:tblCellMar>
        <w:tblLook w:firstColumn="1" w:firstRow="1" w:lastColumn="0" w:lastRow="0" w:noHBand="0" w:noVBand="1" w:val="04A0"/>
      </w:tblPr>
      <w:tblGrid>
        <w:gridCol w:w="1694"/>
        <w:gridCol w:w="1694"/>
        <w:gridCol w:w="1694"/>
        <w:gridCol w:w="1694"/>
        <w:gridCol w:w="1694"/>
        <w:gridCol w:w="1694"/>
        <w:gridCol w:w="1181"/>
      </w:tblGrid>
      <w:tr>
        <w:tc>
          <w:tcPr>
            <w:tcW w:type="dxa" w:w="1694"/>
          </w:tcPr>
          <w:p>
            <w:pPr>
              <w:pStyle w:val="TableText"/>
            </w:pPr>
            <w:r>
              <w:rPr>
                <w:b/>
              </w:rPr>
              <w:t>Initial Floor / Adjustment Envelope</w:t>
            </w:r>
          </w:p>
        </w:tc>
        <w:tc>
          <w:tcPr>
            <w:tcW w:type="dxa" w:w="1694"/>
          </w:tcPr>
          <w:p>
            <w:pPr>
              <w:pStyle w:val="TableText"/>
            </w:pPr>
            <w:r>
              <w:rPr>
                <w:b/>
              </w:rPr>
              <w:t>Regional Integration Interface</w:t>
            </w:r>
          </w:p>
        </w:tc>
        <w:tc>
          <w:tcPr>
            <w:tcW w:type="dxa" w:w="1694"/>
          </w:tcPr>
          <w:p>
            <w:pPr>
              <w:pStyle w:val="TableText"/>
            </w:pPr>
            <w:r>
              <w:rPr>
                <w:b/>
              </w:rPr>
              <w:t>Reciprocal Stand-Down</w:t>
            </w:r>
          </w:p>
        </w:tc>
        <w:tc>
          <w:tcPr>
            <w:tcW w:type="dxa" w:w="1694"/>
          </w:tcPr>
          <w:p>
            <w:pPr>
              <w:pStyle w:val="TableText"/>
            </w:pPr>
            <w:r>
              <w:rPr>
                <w:b/>
              </w:rPr>
              <w:t>Legal Activation Mode</w:t>
            </w:r>
          </w:p>
        </w:tc>
        <w:tc>
          <w:tcPr>
            <w:tcW w:type="dxa" w:w="1694"/>
          </w:tcPr>
          <w:p>
            <w:pPr>
              <w:pStyle w:val="TableText"/>
            </w:pPr>
            <w:r>
              <w:rPr>
                <w:b/>
              </w:rPr>
              <w:t>Specific Verification Sources</w:t>
            </w:r>
          </w:p>
        </w:tc>
        <w:tc>
          <w:tcPr>
            <w:tcW w:type="dxa" w:w="1694"/>
          </w:tcPr>
          <w:p>
            <w:pPr>
              <w:pStyle w:val="TableText"/>
            </w:pPr>
            <w:r>
              <w:rPr>
                <w:b/>
              </w:rPr>
              <w:t>Review / Amendment / Closure</w:t>
            </w:r>
          </w:p>
        </w:tc>
        <w:tc>
          <w:tcPr>
            <w:tcW w:type="dxa" w:w="1181"/>
          </w:tcPr>
          <w:p>
            <w:pPr>
              <w:pStyle w:val="TableText"/>
            </w:pPr>
            <w:r>
              <w:t>FS-03 Core Row ID</w:t>
            </w:r>
          </w:p>
        </w:tc>
      </w:tr>
      <w:tr>
        <w:tc>
          <w:tcPr>
            <w:tcW w:type="dxa" w:w="1694"/>
          </w:tcPr>
          <w:p>
            <w:pPr>
              <w:pStyle w:val="TableText"/>
            </w:pPr>
            <w:r>
              <w:rPr/>
              <w:t>[Initial Floor; Permitted Adjustment Band; Criteria; Maximum Movement]</w:t>
            </w:r>
          </w:p>
        </w:tc>
        <w:tc>
          <w:tcPr>
            <w:tcW w:type="dxa" w:w="1694"/>
          </w:tcPr>
          <w:p>
            <w:pPr>
              <w:pStyle w:val="TableText"/>
            </w:pPr>
            <w:r>
              <w:rPr/>
              <w:t>75 / 80 / 85 treatment and applicable schedule</w:t>
            </w:r>
          </w:p>
        </w:tc>
        <w:tc>
          <w:tcPr>
            <w:tcW w:type="dxa" w:w="1694"/>
          </w:tcPr>
          <w:p>
            <w:pPr>
              <w:pStyle w:val="TableText"/>
            </w:pPr>
            <w:r>
              <w:rPr/>
              <w:t>[Exact paired measure(s)]</w:t>
            </w:r>
          </w:p>
        </w:tc>
        <w:tc>
          <w:tcPr>
            <w:tcW w:type="dxa" w:w="1694"/>
          </w:tcPr>
          <w:p>
            <w:pPr>
              <w:pStyle w:val="TableText"/>
            </w:pPr>
            <w:r>
              <w:rPr/>
              <w:t>Automatic / Certificate-Triggered / Matched Reciprocal</w:t>
            </w:r>
          </w:p>
        </w:tc>
        <w:tc>
          <w:tcPr>
            <w:tcW w:type="dxa" w:w="1694"/>
          </w:tcPr>
          <w:p>
            <w:pPr>
              <w:pStyle w:val="TableText"/>
            </w:pPr>
            <w:r>
              <w:rPr/>
              <w:t>[Specific applicable provisions]</w:t>
            </w:r>
          </w:p>
        </w:tc>
        <w:tc>
          <w:tcPr>
            <w:tcW w:type="dxa" w:w="1694"/>
          </w:tcPr>
          <w:p>
            <w:pPr>
              <w:pStyle w:val="TableText"/>
            </w:pPr>
            <w:r>
              <w:rPr/>
              <w:t>[Review authority; Amendment-Only fields; closure trigger]</w:t>
            </w:r>
          </w:p>
        </w:tc>
        <w:tc>
          <w:tcPr>
            <w:tcW w:type="dxa" w:w="1181"/>
          </w:tcPr>
          <w:p>
            <w:pPr>
              <w:pStyle w:val="TableText"/>
            </w:pPr>
            <w:r>
              <w:t>[Stable Row ID]</w:t>
            </w:r>
          </w:p>
        </w:tc>
      </w:tr>
      <w:tr>
        <w:tc>
          <w:tcPr>
            <w:tcW w:type="dxa" w:w="1694"/>
          </w:tcPr>
          <w:p>
            <w:pPr>
              <w:pStyle w:val="TableText"/>
            </w:pPr>
            <w:r>
              <w:rPr/>
              <w:t>[Initial Floor; Permitted Adjustment Band; Criteria; Maximum Movement]</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181"/>
          </w:tcPr>
          <w:p>
            <w:pPr>
              <w:pStyle w:val="TableText"/>
            </w:pPr>
            <w:r>
              <w:t>[Stable Row ID]</w:t>
            </w:r>
          </w:p>
        </w:tc>
      </w:tr>
      <w:tr>
        <w:tc>
          <w:tcPr>
            <w:tcW w:type="dxa" w:w="1694"/>
          </w:tcPr>
          <w:p>
            <w:pPr>
              <w:pStyle w:val="TableText"/>
            </w:pPr>
            <w:r>
              <w:rPr/>
              <w:t>[Initial Floor; Permitted Adjustment Band; Criteria; Maximum Movement]</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181"/>
          </w:tcPr>
          <w:p>
            <w:pPr>
              <w:pStyle w:val="TableText"/>
            </w:pPr>
            <w:r>
              <w:t>[Stable Row ID]</w:t>
            </w:r>
          </w:p>
        </w:tc>
      </w:tr>
      <w:tr>
        <w:tc>
          <w:tcPr>
            <w:tcW w:type="dxa" w:w="1694"/>
          </w:tcPr>
          <w:p>
            <w:pPr>
              <w:pStyle w:val="TableText"/>
            </w:pPr>
            <w:r>
              <w:rPr/>
              <w:t>[Initial Floor; Permitted Adjustment Band; Criteria; Maximum Movement]</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694"/>
          </w:tcPr>
          <w:p>
            <w:pPr>
              <w:pStyle w:val="TableText"/>
            </w:pPr>
            <w:r>
              <w:rPr/>
              <w:t>[ ]</w:t>
            </w:r>
          </w:p>
        </w:tc>
        <w:tc>
          <w:tcPr>
            <w:tcW w:type="dxa" w:w="1181"/>
          </w:tcPr>
          <w:p>
            <w:pPr>
              <w:pStyle w:val="TableText"/>
            </w:pPr>
            <w:r>
              <w:t>[Stable Row ID]</w:t>
            </w:r>
          </w:p>
        </w:tc>
      </w:tr>
    </w:tbl>
    <w:p>
      <w:pPr>
        <w:pStyle w:val="Heading2"/>
      </w:pPr>
      <w:bookmarkStart w:id="901949" w:name="_Toc300001948"/>
      <w:r>
        <w:t>SCHEDULE FS-03-B: SELECTED AUTOMOTIVE EARNED BENEFITS, DEVELOPMENT TEMPLATE: NON-OPERATIVE UNTIL ADOPTED</w:t>
      </w:r>
      <w:bookmarkEnd w:id="901949"/>
    </w:p>
    <w:p>
      <w:pPr>
        <w:pStyle w:val="Normal"/>
      </w:pPr>
      <w:r>
        <w:t>DEVELOPMENT TEMPLATE: NON-OPERATIVE. Legal status. Annex 59-B concepts remain non-self-executing. Only a completed and lawfully adopted row activates an Enhanced Automotive Benefit, and every activated benefit requires a cited Specific Independent Benefit Legal Authority. FS-03-B records and coordinates that authority but cannot supply it where it is absent.</w:t>
      </w:r>
    </w:p>
    <w:p>
      <w:pPr>
        <w:pStyle w:val="Normal"/>
      </w:pPr>
      <w:r>
        <w:rPr>
          <w:b/>
        </w:rPr>
        <w:t>FS-03-B1: Benefit Scope, Qualification, and Evidence</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CellMar>
          <w:top w:w="70" w:type="dxa"/>
          <w:left w:w="100" w:type="dxa"/>
          <w:bottom w:w="70" w:type="dxa"/>
          <w:right w:w="100" w:type="dxa"/>
        </w:tblCellMar>
        <w:tblLook w:firstColumn="1" w:firstRow="1" w:lastColumn="0" w:lastRow="0" w:noHBand="0" w:noVBand="1" w:val="04A0"/>
      </w:tblPr>
      <w:tblGrid>
        <w:gridCol w:w="2033"/>
        <w:gridCol w:w="2033"/>
        <w:gridCol w:w="2033"/>
        <w:gridCol w:w="2033"/>
        <w:gridCol w:w="2033"/>
        <w:gridCol w:w="1181"/>
      </w:tblGrid>
      <w:tr>
        <w:tc>
          <w:tcPr>
            <w:tcW w:type="dxa" w:w="2033"/>
          </w:tcPr>
          <w:p>
            <w:pPr>
              <w:pStyle w:val="TableText"/>
            </w:pPr>
            <w:r>
              <w:rPr>
                <w:b/>
              </w:rPr>
              <w:t>Adoption Status</w:t>
            </w:r>
          </w:p>
        </w:tc>
        <w:tc>
          <w:tcPr>
            <w:tcW w:type="dxa" w:w="2033"/>
          </w:tcPr>
          <w:p>
            <w:pPr>
              <w:pStyle w:val="TableText"/>
            </w:pPr>
            <w:r>
              <w:rPr>
                <w:b/>
              </w:rPr>
              <w:t>Enhanced Automotive Benefit / Program</w:t>
            </w:r>
          </w:p>
        </w:tc>
        <w:tc>
          <w:tcPr>
            <w:tcW w:type="dxa" w:w="2033"/>
          </w:tcPr>
          <w:p>
            <w:pPr>
              <w:pStyle w:val="TableText"/>
            </w:pPr>
            <w:r>
              <w:rPr>
                <w:b/>
              </w:rPr>
              <w:t>Participant / Transaction Scope</w:t>
            </w:r>
          </w:p>
        </w:tc>
        <w:tc>
          <w:tcPr>
            <w:tcW w:type="dxa" w:w="2033"/>
          </w:tcPr>
          <w:p>
            <w:pPr>
              <w:pStyle w:val="TableText"/>
            </w:pPr>
            <w:r>
              <w:rPr>
                <w:b/>
              </w:rPr>
              <w:t>Qualification / Additionality Rule</w:t>
            </w:r>
          </w:p>
        </w:tc>
        <w:tc>
          <w:tcPr>
            <w:tcW w:type="dxa" w:w="2033"/>
          </w:tcPr>
          <w:p>
            <w:pPr>
              <w:pStyle w:val="TableText"/>
            </w:pPr>
            <w:r>
              <w:rPr>
                <w:b/>
              </w:rPr>
              <w:t>Measurement Period / Evidence</w:t>
            </w:r>
          </w:p>
        </w:tc>
        <w:tc>
          <w:tcPr>
            <w:tcW w:type="dxa" w:w="1181"/>
          </w:tcPr>
          <w:p>
            <w:pPr>
              <w:pStyle w:val="TableText"/>
            </w:pPr>
            <w:r>
              <w:t>FS-03 Earned-Benefit Row ID</w:t>
            </w:r>
          </w:p>
        </w:tc>
      </w:tr>
      <w:tr>
        <w:tc>
          <w:tcPr>
            <w:tcW w:type="dxa" w:w="2033"/>
          </w:tcPr>
          <w:p>
            <w:pPr>
              <w:pStyle w:val="TableText"/>
            </w:pPr>
            <w:r>
              <w:rPr/>
              <w:t>DRAFT: VERIFY BEFORE LEGAL SCRUB</w:t>
            </w:r>
          </w:p>
        </w:tc>
        <w:tc>
          <w:tcPr>
            <w:tcW w:type="dxa" w:w="2033"/>
          </w:tcPr>
          <w:p>
            <w:pPr>
              <w:pStyle w:val="TableText"/>
            </w:pPr>
            <w:r>
              <w:rPr/>
              <w:t>Industrial Expansion Tier</w:t>
            </w:r>
          </w:p>
        </w:tc>
        <w:tc>
          <w:tcPr>
            <w:tcW w:type="dxa" w:w="2033"/>
          </w:tcPr>
          <w:p>
            <w:pPr>
              <w:pStyle w:val="TableText"/>
            </w:pPr>
            <w:r>
              <w:rPr/>
              <w:t>[Scope]</w:t>
            </w:r>
          </w:p>
        </w:tc>
        <w:tc>
          <w:tcPr>
            <w:tcW w:type="dxa" w:w="2033"/>
          </w:tcPr>
          <w:p>
            <w:pPr>
              <w:pStyle w:val="TableText"/>
            </w:pPr>
            <w:r>
              <w:rPr/>
              <w:t>Verified incremental domestic activity; existing additionality rules</w:t>
            </w:r>
          </w:p>
        </w:tc>
        <w:tc>
          <w:tcPr>
            <w:tcW w:type="dxa" w:w="2033"/>
          </w:tcPr>
          <w:p>
            <w:pPr>
              <w:pStyle w:val="TableText"/>
            </w:pPr>
            <w:r>
              <w:rPr/>
              <w:t>[Measurement period; metric; evidence]</w:t>
            </w:r>
          </w:p>
        </w:tc>
        <w:tc>
          <w:tcPr>
            <w:tcW w:type="dxa" w:w="1181"/>
          </w:tcPr>
          <w:p>
            <w:pPr>
              <w:pStyle w:val="TableText"/>
            </w:pPr>
            <w:r>
              <w:t>[Stable Row ID]</w:t>
            </w:r>
          </w:p>
        </w:tc>
      </w:tr>
      <w:tr>
        <w:tc>
          <w:tcPr>
            <w:tcW w:type="dxa" w:w="2033"/>
          </w:tcPr>
          <w:p>
            <w:pPr>
              <w:pStyle w:val="TableText"/>
            </w:pPr>
            <w:r>
              <w:rPr/>
              <w:t>DRAFT: VERIFY BEFORE LEGAL SCRUB</w:t>
            </w:r>
          </w:p>
        </w:tc>
        <w:tc>
          <w:tcPr>
            <w:tcW w:type="dxa" w:w="2033"/>
          </w:tcPr>
          <w:p>
            <w:pPr>
              <w:pStyle w:val="TableText"/>
            </w:pPr>
            <w:r>
              <w:rPr/>
              <w:t>Repatriation Supercredit</w:t>
            </w:r>
          </w:p>
        </w:tc>
        <w:tc>
          <w:tcPr>
            <w:tcW w:type="dxa" w:w="2033"/>
          </w:tcPr>
          <w:p>
            <w:pPr>
              <w:pStyle w:val="TableText"/>
            </w:pPr>
            <w:r>
              <w:rPr/>
              <w:t>[Scope]</w:t>
            </w:r>
          </w:p>
        </w:tc>
        <w:tc>
          <w:tcPr>
            <w:tcW w:type="dxa" w:w="2033"/>
          </w:tcPr>
          <w:p>
            <w:pPr>
              <w:pStyle w:val="TableText"/>
            </w:pPr>
            <w:r>
              <w:rPr/>
              <w:t>Production/capacity moved from outside North America or dormant capacity restored, as authorized</w:t>
            </w:r>
          </w:p>
        </w:tc>
        <w:tc>
          <w:tcPr>
            <w:tcW w:type="dxa" w:w="2033"/>
          </w:tcPr>
          <w:p>
            <w:pPr>
              <w:pStyle w:val="TableText"/>
            </w:pPr>
            <w:r>
              <w:rPr/>
              <w:t>[Measurement period; metric; evidence]</w:t>
            </w:r>
          </w:p>
        </w:tc>
        <w:tc>
          <w:tcPr>
            <w:tcW w:type="dxa" w:w="1181"/>
          </w:tcPr>
          <w:p>
            <w:pPr>
              <w:pStyle w:val="TableText"/>
            </w:pPr>
            <w:r>
              <w:t>[Stable Row ID]</w:t>
            </w:r>
          </w:p>
        </w:tc>
      </w:tr>
      <w:tr>
        <w:tc>
          <w:tcPr>
            <w:tcW w:type="dxa" w:w="2033"/>
          </w:tcPr>
          <w:p>
            <w:pPr>
              <w:pStyle w:val="TableText"/>
            </w:pPr>
            <w:r>
              <w:rPr/>
              <w:t>DRAFT: VERIFY BEFORE LEGAL SCRUB</w:t>
            </w:r>
          </w:p>
        </w:tc>
        <w:tc>
          <w:tcPr>
            <w:tcW w:type="dxa" w:w="2033"/>
          </w:tcPr>
          <w:p>
            <w:pPr>
              <w:pStyle w:val="TableText"/>
            </w:pPr>
            <w:r>
              <w:rPr/>
              <w:t>Portfolio-Level Contribution Benchmark</w:t>
            </w:r>
          </w:p>
        </w:tc>
        <w:tc>
          <w:tcPr>
            <w:tcW w:type="dxa" w:w="2033"/>
          </w:tcPr>
          <w:p>
            <w:pPr>
              <w:pStyle w:val="TableText"/>
            </w:pPr>
            <w:r>
              <w:rPr/>
              <w:t>[Scope]</w:t>
            </w:r>
          </w:p>
        </w:tc>
        <w:tc>
          <w:tcPr>
            <w:tcW w:type="dxa" w:w="2033"/>
          </w:tcPr>
          <w:p>
            <w:pPr>
              <w:pStyle w:val="TableText"/>
            </w:pPr>
            <w:r>
              <w:rPr/>
              <w:t>Optional premium-tier benchmark only</w:t>
            </w:r>
          </w:p>
        </w:tc>
        <w:tc>
          <w:tcPr>
            <w:tcW w:type="dxa" w:w="2033"/>
          </w:tcPr>
          <w:p>
            <w:pPr>
              <w:pStyle w:val="TableText"/>
            </w:pPr>
            <w:r>
              <w:rPr/>
              <w:t>[Measurement period; metric; evidence]</w:t>
            </w:r>
          </w:p>
        </w:tc>
        <w:tc>
          <w:tcPr>
            <w:tcW w:type="dxa" w:w="1181"/>
          </w:tcPr>
          <w:p>
            <w:pPr>
              <w:pStyle w:val="TableText"/>
            </w:pPr>
            <w:r>
              <w:t>[Stable Row ID]</w:t>
            </w:r>
          </w:p>
        </w:tc>
      </w:tr>
      <w:tr>
        <w:tc>
          <w:tcPr>
            <w:tcW w:type="dxa" w:w="2033"/>
          </w:tcPr>
          <w:p>
            <w:pPr>
              <w:pStyle w:val="TableText"/>
            </w:pPr>
            <w:r>
              <w:rPr/>
              <w:t>DRAFT: VERIFY BEFORE LEGAL SCRUB</w:t>
            </w:r>
          </w:p>
        </w:tc>
        <w:tc>
          <w:tcPr>
            <w:tcW w:type="dxa" w:w="2033"/>
          </w:tcPr>
          <w:p>
            <w:pPr>
              <w:pStyle w:val="TableText"/>
            </w:pPr>
            <w:r>
              <w:rPr/>
              <w:t>Strategic Component Bonus</w:t>
            </w:r>
          </w:p>
        </w:tc>
        <w:tc>
          <w:tcPr>
            <w:tcW w:type="dxa" w:w="2033"/>
          </w:tcPr>
          <w:p>
            <w:pPr>
              <w:pStyle w:val="TableText"/>
            </w:pPr>
            <w:r>
              <w:rPr/>
              <w:t>[Scope]</w:t>
            </w:r>
          </w:p>
        </w:tc>
        <w:tc>
          <w:tcPr>
            <w:tcW w:type="dxa" w:w="2033"/>
          </w:tcPr>
          <w:p>
            <w:pPr>
              <w:pStyle w:val="TableText"/>
            </w:pPr>
            <w:r>
              <w:rPr/>
              <w:t>Verified additional strategic-component activity</w:t>
            </w:r>
          </w:p>
        </w:tc>
        <w:tc>
          <w:tcPr>
            <w:tcW w:type="dxa" w:w="2033"/>
          </w:tcPr>
          <w:p>
            <w:pPr>
              <w:pStyle w:val="TableText"/>
            </w:pPr>
            <w:r>
              <w:rPr/>
              <w:t>[Measurement period; metric; evidence]</w:t>
            </w:r>
          </w:p>
        </w:tc>
        <w:tc>
          <w:tcPr>
            <w:tcW w:type="dxa" w:w="1181"/>
          </w:tcPr>
          <w:p>
            <w:pPr>
              <w:pStyle w:val="TableText"/>
            </w:pPr>
            <w:r>
              <w:t>[Stable Row ID]</w:t>
            </w:r>
          </w:p>
        </w:tc>
      </w:tr>
      <w:tr>
        <w:tc>
          <w:tcPr>
            <w:tcW w:type="dxa" w:w="2033"/>
          </w:tcPr>
          <w:p>
            <w:pPr>
              <w:pStyle w:val="TableText"/>
            </w:pPr>
            <w:r>
              <w:rPr/>
              <w:t>DRAFT: VERIFY BEFORE LEGAL SCRUB</w:t>
            </w:r>
          </w:p>
        </w:tc>
        <w:tc>
          <w:tcPr>
            <w:tcW w:type="dxa" w:w="2033"/>
          </w:tcPr>
          <w:p>
            <w:pPr>
              <w:pStyle w:val="TableText"/>
            </w:pPr>
            <w:r>
              <w:rPr/>
              <w:t>Facilitation / Trusted Lane Benefit</w:t>
            </w:r>
          </w:p>
        </w:tc>
        <w:tc>
          <w:tcPr>
            <w:tcW w:type="dxa" w:w="2033"/>
          </w:tcPr>
          <w:p>
            <w:pPr>
              <w:pStyle w:val="TableText"/>
            </w:pPr>
            <w:r>
              <w:rPr/>
              <w:t>[Scope]</w:t>
            </w:r>
          </w:p>
        </w:tc>
        <w:tc>
          <w:tcPr>
            <w:tcW w:type="dxa" w:w="2033"/>
          </w:tcPr>
          <w:p>
            <w:pPr>
              <w:pStyle w:val="TableText"/>
            </w:pPr>
            <w:r>
              <w:rPr/>
              <w:t>Applicable enhanced-integration or verified performance rule</w:t>
            </w:r>
          </w:p>
        </w:tc>
        <w:tc>
          <w:tcPr>
            <w:tcW w:type="dxa" w:w="2033"/>
          </w:tcPr>
          <w:p>
            <w:pPr>
              <w:pStyle w:val="TableText"/>
            </w:pPr>
            <w:r>
              <w:rPr/>
              <w:t>[Measurement period; metric; evidence]</w:t>
            </w:r>
          </w:p>
        </w:tc>
        <w:tc>
          <w:tcPr>
            <w:tcW w:type="dxa" w:w="1181"/>
          </w:tcPr>
          <w:p>
            <w:pPr>
              <w:pStyle w:val="TableText"/>
            </w:pPr>
            <w:r>
              <w:t>[Stable Row ID]</w:t>
            </w:r>
          </w:p>
        </w:tc>
      </w:tr>
    </w:tbl>
    <w:p>
      <w:pPr>
        <w:pStyle w:val="Normal"/>
      </w:pPr>
      <w:r>
        <w:rPr>
          <w:b/>
        </w:rPr>
        <w:t>FS-03-B2: Authority, Caps, Firewalls, and Exit</w:t>
      </w:r>
    </w:p>
    <w:tbl>
      <w:tblPr>
        <w:tblStyle w:val="TableGrid"/>
        <w:tblW w:type="auto" w:w="0"/>
        <w:jc w:val="center"/>
        <w:tblBorders>
          <w:top w:val="single" w:sz="10" w:space="0" w:color="546E7A"/>
          <w:left w:val="nil"/>
          <w:bottom w:val="single" w:sz="10" w:space="0" w:color="546E7A"/>
          <w:right w:val="nil"/>
          <w:insideH w:val="single" w:sz="2" w:space="0" w:color="B0BEC5"/>
          <w:insideV w:val="single" w:sz="2" w:space="0" w:color="CFD8DC"/>
        </w:tblBorders>
        <w:tblCellMar>
          <w:top w:w="70" w:type="dxa"/>
          <w:left w:w="100" w:type="dxa"/>
          <w:bottom w:w="70" w:type="dxa"/>
          <w:right w:w="100" w:type="dxa"/>
        </w:tblCellMar>
        <w:tblLook w:firstColumn="1" w:firstRow="1" w:lastColumn="0" w:lastRow="0" w:noHBand="0" w:noVBand="1" w:val="04A0"/>
      </w:tblPr>
      <w:tblGrid>
        <w:gridCol w:w="2541"/>
        <w:gridCol w:w="2541"/>
        <w:gridCol w:w="2541"/>
        <w:gridCol w:w="2541"/>
        <w:gridCol w:w="1181"/>
      </w:tblGrid>
      <w:tr>
        <w:tc>
          <w:tcPr>
            <w:tcW w:type="dxa" w:w="2541"/>
          </w:tcPr>
          <w:p>
            <w:pPr>
              <w:pStyle w:val="TableText"/>
            </w:pPr>
            <w:r>
              <w:rPr>
                <w:b/>
              </w:rPr>
              <w:t>Specific Independent Benefit Legal Authority</w:t>
            </w:r>
          </w:p>
        </w:tc>
        <w:tc>
          <w:tcPr>
            <w:tcW w:type="dxa" w:w="2541"/>
          </w:tcPr>
          <w:p>
            <w:pPr>
              <w:pStyle w:val="TableText"/>
            </w:pPr>
            <w:r>
              <w:rPr>
                <w:b/>
              </w:rPr>
              <w:t>Maximum Benefit / Cap</w:t>
            </w:r>
          </w:p>
        </w:tc>
        <w:tc>
          <w:tcPr>
            <w:tcW w:type="dxa" w:w="2541"/>
          </w:tcPr>
          <w:p>
            <w:pPr>
              <w:pStyle w:val="TableText"/>
            </w:pPr>
            <w:r>
              <w:rPr>
                <w:b/>
              </w:rPr>
              <w:t>Origin Firewall / Double-Count Rule</w:t>
            </w:r>
          </w:p>
        </w:tc>
        <w:tc>
          <w:tcPr>
            <w:tcW w:type="dxa" w:w="2541"/>
          </w:tcPr>
          <w:p>
            <w:pPr>
              <w:pStyle w:val="TableText"/>
            </w:pPr>
            <w:r>
              <w:rPr>
                <w:b/>
              </w:rPr>
              <w:t>Review / Cure / Exit</w:t>
            </w:r>
          </w:p>
        </w:tc>
        <w:tc>
          <w:tcPr>
            <w:tcW w:type="dxa" w:w="1181"/>
          </w:tcPr>
          <w:p>
            <w:pPr>
              <w:pStyle w:val="TableText"/>
            </w:pPr>
            <w:r>
              <w:t>FS-03 Earned-Benefit Row ID</w:t>
            </w:r>
          </w:p>
        </w:tc>
      </w:tr>
      <w:tr>
        <w:tc>
          <w:tcPr>
            <w:tcW w:type="dxa" w:w="2541"/>
          </w:tcPr>
          <w:p>
            <w:pPr>
              <w:pStyle w:val="TableText"/>
            </w:pPr>
            <w:r>
              <w:rPr/>
              <w:t>[Specific independent authority]</w:t>
            </w:r>
          </w:p>
        </w:tc>
        <w:tc>
          <w:tcPr>
            <w:tcW w:type="dxa" w:w="2541"/>
          </w:tcPr>
          <w:p>
            <w:pPr>
              <w:pStyle w:val="TableText"/>
            </w:pPr>
            <w:r>
              <w:rPr/>
              <w:t>[Cap]</w:t>
            </w:r>
          </w:p>
        </w:tc>
        <w:tc>
          <w:tcPr>
            <w:tcW w:type="dxa" w:w="2541"/>
          </w:tcPr>
          <w:p>
            <w:pPr>
              <w:pStyle w:val="TableText"/>
            </w:pPr>
            <w:r>
              <w:rPr/>
              <w:t>Does not alter regional origin; no duplicate physical/economic event</w:t>
            </w:r>
          </w:p>
        </w:tc>
        <w:tc>
          <w:tcPr>
            <w:tcW w:type="dxa" w:w="2541"/>
          </w:tcPr>
          <w:p>
            <w:pPr>
              <w:pStyle w:val="TableText"/>
            </w:pPr>
            <w:r>
              <w:rPr/>
              <w:t>[Rule]</w:t>
            </w:r>
          </w:p>
        </w:tc>
        <w:tc>
          <w:tcPr>
            <w:tcW w:type="dxa" w:w="1181"/>
          </w:tcPr>
          <w:p>
            <w:pPr>
              <w:pStyle w:val="TableText"/>
            </w:pPr>
            <w:r>
              <w:t>[Stable Row ID]</w:t>
            </w:r>
          </w:p>
        </w:tc>
      </w:tr>
      <w:tr>
        <w:tc>
          <w:tcPr>
            <w:tcW w:type="dxa" w:w="2541"/>
          </w:tcPr>
          <w:p>
            <w:pPr>
              <w:pStyle w:val="TableText"/>
            </w:pPr>
            <w:r>
              <w:rPr/>
              <w:t>[Specific independent authority]</w:t>
            </w:r>
          </w:p>
        </w:tc>
        <w:tc>
          <w:tcPr>
            <w:tcW w:type="dxa" w:w="2541"/>
          </w:tcPr>
          <w:p>
            <w:pPr>
              <w:pStyle w:val="TableText"/>
            </w:pPr>
            <w:r>
              <w:rPr/>
              <w:t>[Cap]</w:t>
            </w:r>
          </w:p>
        </w:tc>
        <w:tc>
          <w:tcPr>
            <w:tcW w:type="dxa" w:w="2541"/>
          </w:tcPr>
          <w:p>
            <w:pPr>
              <w:pStyle w:val="TableText"/>
            </w:pPr>
            <w:r>
              <w:rPr/>
              <w:t>No downgrade of another Party's originating content</w:t>
            </w:r>
          </w:p>
        </w:tc>
        <w:tc>
          <w:tcPr>
            <w:tcW w:type="dxa" w:w="2541"/>
          </w:tcPr>
          <w:p>
            <w:pPr>
              <w:pStyle w:val="TableText"/>
            </w:pPr>
            <w:r>
              <w:rPr/>
              <w:t>[Rule]</w:t>
            </w:r>
          </w:p>
        </w:tc>
        <w:tc>
          <w:tcPr>
            <w:tcW w:type="dxa" w:w="1181"/>
          </w:tcPr>
          <w:p>
            <w:pPr>
              <w:pStyle w:val="TableText"/>
            </w:pPr>
            <w:r>
              <w:t>[Stable Row ID]</w:t>
            </w:r>
          </w:p>
        </w:tc>
      </w:tr>
      <w:tr>
        <w:tc>
          <w:tcPr>
            <w:tcW w:type="dxa" w:w="2541"/>
          </w:tcPr>
          <w:p>
            <w:pPr>
              <w:pStyle w:val="TableText"/>
            </w:pPr>
            <w:r>
              <w:rPr/>
              <w:t>[Specific independent authority]</w:t>
            </w:r>
          </w:p>
        </w:tc>
        <w:tc>
          <w:tcPr>
            <w:tcW w:type="dxa" w:w="2541"/>
          </w:tcPr>
          <w:p>
            <w:pPr>
              <w:pStyle w:val="TableText"/>
            </w:pPr>
            <w:r>
              <w:rPr/>
              <w:t>[Cap]</w:t>
            </w:r>
          </w:p>
        </w:tc>
        <w:tc>
          <w:tcPr>
            <w:tcW w:type="dxa" w:w="2541"/>
          </w:tcPr>
          <w:p>
            <w:pPr>
              <w:pStyle w:val="TableText"/>
            </w:pPr>
            <w:r>
              <w:rPr/>
              <w:t>Failure does not defeat origin or ordinary preference</w:t>
            </w:r>
          </w:p>
        </w:tc>
        <w:tc>
          <w:tcPr>
            <w:tcW w:type="dxa" w:w="2541"/>
          </w:tcPr>
          <w:p>
            <w:pPr>
              <w:pStyle w:val="TableText"/>
            </w:pPr>
            <w:r>
              <w:rPr/>
              <w:t>[Rule]</w:t>
            </w:r>
          </w:p>
        </w:tc>
        <w:tc>
          <w:tcPr>
            <w:tcW w:type="dxa" w:w="1181"/>
          </w:tcPr>
          <w:p>
            <w:pPr>
              <w:pStyle w:val="TableText"/>
            </w:pPr>
            <w:r>
              <w:t>[Stable Row ID]</w:t>
            </w:r>
          </w:p>
        </w:tc>
      </w:tr>
      <w:tr>
        <w:tc>
          <w:tcPr>
            <w:tcW w:type="dxa" w:w="2541"/>
          </w:tcPr>
          <w:p>
            <w:pPr>
              <w:pStyle w:val="TableText"/>
            </w:pPr>
            <w:r>
              <w:rPr/>
              <w:t>[Specific independent authority]</w:t>
            </w:r>
          </w:p>
        </w:tc>
        <w:tc>
          <w:tcPr>
            <w:tcW w:type="dxa" w:w="2541"/>
          </w:tcPr>
          <w:p>
            <w:pPr>
              <w:pStyle w:val="TableText"/>
            </w:pPr>
            <w:r>
              <w:rPr/>
              <w:t>[Cap]</w:t>
            </w:r>
          </w:p>
        </w:tc>
        <w:tc>
          <w:tcPr>
            <w:tcW w:type="dxa" w:w="2541"/>
          </w:tcPr>
          <w:p>
            <w:pPr>
              <w:pStyle w:val="TableText"/>
            </w:pPr>
            <w:r>
              <w:rPr/>
              <w:t>No double count with origin / FS-02 / recovered material</w:t>
            </w:r>
          </w:p>
        </w:tc>
        <w:tc>
          <w:tcPr>
            <w:tcW w:type="dxa" w:w="2541"/>
          </w:tcPr>
          <w:p>
            <w:pPr>
              <w:pStyle w:val="TableText"/>
            </w:pPr>
            <w:r>
              <w:rPr/>
              <w:t>[Rule]</w:t>
            </w:r>
          </w:p>
        </w:tc>
        <w:tc>
          <w:tcPr>
            <w:tcW w:type="dxa" w:w="1181"/>
          </w:tcPr>
          <w:p>
            <w:pPr>
              <w:pStyle w:val="TableText"/>
            </w:pPr>
            <w:r>
              <w:t>[Stable Row ID]</w:t>
            </w:r>
          </w:p>
        </w:tc>
      </w:tr>
      <w:tr>
        <w:tc>
          <w:tcPr>
            <w:tcW w:type="dxa" w:w="2541"/>
          </w:tcPr>
          <w:p>
            <w:pPr>
              <w:pStyle w:val="TableText"/>
            </w:pPr>
            <w:r>
              <w:rPr/>
              <w:t>[Specific independent authority]</w:t>
            </w:r>
          </w:p>
        </w:tc>
        <w:tc>
          <w:tcPr>
            <w:tcW w:type="dxa" w:w="2541"/>
          </w:tcPr>
          <w:p>
            <w:pPr>
              <w:pStyle w:val="TableText"/>
            </w:pPr>
            <w:r>
              <w:rPr/>
              <w:t>[Cap]</w:t>
            </w:r>
          </w:p>
        </w:tc>
        <w:tc>
          <w:tcPr>
            <w:tcW w:type="dxa" w:w="2541"/>
          </w:tcPr>
          <w:p>
            <w:pPr>
              <w:pStyle w:val="TableText"/>
            </w:pPr>
            <w:r>
              <w:rPr/>
              <w:t>Ordinary lane remains functional</w:t>
            </w:r>
          </w:p>
        </w:tc>
        <w:tc>
          <w:tcPr>
            <w:tcW w:type="dxa" w:w="2541"/>
          </w:tcPr>
          <w:p>
            <w:pPr>
              <w:pStyle w:val="TableText"/>
            </w:pPr>
            <w:r>
              <w:rPr/>
              <w:t>[Rule]</w:t>
            </w:r>
          </w:p>
        </w:tc>
        <w:tc>
          <w:tcPr>
            <w:tcW w:type="dxa" w:w="1181"/>
          </w:tcPr>
          <w:p>
            <w:pPr>
              <w:pStyle w:val="TableText"/>
            </w:pPr>
            <w:r>
              <w:t>[Stable Row ID]</w:t>
            </w:r>
          </w:p>
        </w:tc>
      </w:tr>
    </w:tbl>
    <w:p>
      <w:pPr>
        <w:pStyle w:val="Heading2"/>
      </w:pPr>
      <w:bookmarkStart w:id="901950" w:name="_Toc300001949"/>
      <w:r>
        <w:t>REQUIRED ADOPTED-SCHEDULE DATA</w:t>
      </w:r>
      <w:bookmarkEnd w:id="901950"/>
    </w:p>
    <w:p>
      <w:pPr>
        <w:pStyle w:val="ListBullet"/>
      </w:pPr>
      <w:r>
        <w:t>Adoption Status, participating Parties, and the stable FS-03 Core Row ID or FS-03 Earned-Benefit Row ID that links each split schedule row to its counterpart.</w:t>
      </w:r>
    </w:p>
    <w:p>
      <w:pPr>
        <w:pStyle w:val="ListBullet"/>
      </w:pPr>
      <w:r>
        <w:t>Exact vehicle classes, tariff classifications, functional descriptions, and the Objective Basis for any class-specific treatment.</w:t>
      </w:r>
    </w:p>
    <w:p>
      <w:pPr>
        <w:pStyle w:val="ListBullet"/>
      </w:pPr>
      <w:r>
        <w:t>Controlling legal authority for the selected settlement model and each selected earned benefit.</w:t>
      </w:r>
    </w:p>
    <w:p>
      <w:pPr>
        <w:pStyle w:val="ListBullet"/>
      </w:pPr>
      <w:r>
        <w:t>Ordinary-Origin Treatment baseline and 75/80/85 regional-integration interface.</w:t>
      </w:r>
    </w:p>
    <w:p>
      <w:pPr>
        <w:pStyle w:val="ListBullet"/>
      </w:pPr>
      <w:r>
        <w:t>Reference Model, Selected Settlement Model, Adopted Headline Rate if any, and identification of every Amendment-Only Field.</w:t>
      </w:r>
    </w:p>
    <w:p>
      <w:pPr>
        <w:pStyle w:val="ListBullet"/>
      </w:pPr>
      <w:r>
        <w:t>Initial Effective-Rate Floor, Permitted Administrative Adjustment Band, Adjustment Criteria, Maximum Administrative Movement, and supporting modelling record.</w:t>
      </w:r>
    </w:p>
    <w:p>
      <w:pPr>
        <w:pStyle w:val="ListBullet"/>
      </w:pPr>
      <w:r>
        <w:t>Selected Industrial Expansion, repatriation, portfolio-contribution, strategic-component, facilitation, or other Enhanced Automotive Benefits, including Specific Independent Benefit Legal Authority and Maximum Benefit or cap.</w:t>
      </w:r>
    </w:p>
    <w:p>
      <w:pPr>
        <w:pStyle w:val="ListBullet"/>
      </w:pPr>
      <w:r>
        <w:t>Participant / Transaction Scope, measurement period, evidence source, anti-double-counting rule, and responsible existing institution.</w:t>
      </w:r>
    </w:p>
    <w:p>
      <w:pPr>
        <w:pStyle w:val="ListBullet"/>
      </w:pPr>
      <w:r>
        <w:t>Exact reciprocal automotive stand-down measure and Legal Activation Mode.</w:t>
      </w:r>
    </w:p>
    <w:p>
      <w:pPr>
        <w:pStyle w:val="ListBullet"/>
      </w:pPr>
      <w:r>
        <w:t>Applicable FS-01 and FS-02 interfaces without duplication of their machinery.</w:t>
      </w:r>
    </w:p>
    <w:p>
      <w:pPr>
        <w:pStyle w:val="ListBullet"/>
      </w:pPr>
      <w:r>
        <w:t>Review authority, permitted administrative adjustments, cure and restoration rule, clock integrity, and closure trigger.</w:t>
      </w:r>
    </w:p>
    <w:p>
      <w:pPr>
        <w:pStyle w:val="Heading2"/>
      </w:pPr>
      <w:bookmarkStart w:id="901951" w:name="_Toc300001950"/>
      <w:r>
        <w:t>DEVELOPMENT RED LIGHTS: NON-OPERATIVE DRAFTING CONTROLS</w:t>
      </w:r>
      <w:bookmarkEnd w:id="901951"/>
    </w:p>
    <w:p>
      <w:pPr>
        <w:pStyle w:val="ListBullet"/>
      </w:pPr>
      <w:r>
        <w:t>No new automotive origin status or parallel rule-of-origin ladder.</w:t>
      </w:r>
    </w:p>
    <w:p>
      <w:pPr>
        <w:pStyle w:val="ListBullet"/>
      </w:pPr>
      <w:r>
        <w:t>No conversion of 80%, 85%, 50%, 13.8%, 10%, 15%, or an effective-rate floor into an ordinary Chapter 4 origin threshold by implication.</w:t>
      </w:r>
    </w:p>
    <w:p>
      <w:pPr>
        <w:pStyle w:val="ListBullet"/>
      </w:pPr>
      <w:r>
        <w:t>No automatic adoption of Annex 59-B backlog concepts or candidate carrots.</w:t>
      </w:r>
    </w:p>
    <w:p>
      <w:pPr>
        <w:pStyle w:val="ListBullet"/>
      </w:pPr>
      <w:r>
        <w:t>No Party-specific coefficient that reduces another Party's verified originating content.</w:t>
      </w:r>
    </w:p>
    <w:p>
      <w:pPr>
        <w:pStyle w:val="ListBullet"/>
      </w:pPr>
      <w:r>
        <w:t>No treatment of domestic Industrial Expansion activity as physical originating content without independent legal authority.</w:t>
      </w:r>
    </w:p>
    <w:p>
      <w:pPr>
        <w:pStyle w:val="ListBullet"/>
      </w:pPr>
      <w:r>
        <w:t>No double counting across origin value, strategic-component points, Industrial Expansion credit, FS-02 Assurance Contribution, recovered-material credit, or another incentive.</w:t>
      </w:r>
    </w:p>
    <w:p>
      <w:pPr>
        <w:pStyle w:val="ListBullet"/>
      </w:pPr>
      <w:r>
        <w:t>No highest-level new-capacity treatment for mere intra-North-American relocation contrary to existing additionality rules.</w:t>
      </w:r>
    </w:p>
    <w:p>
      <w:pPr>
        <w:pStyle w:val="ListBullet"/>
      </w:pPr>
      <w:r>
        <w:t>No administrative change to an Adopted Headline Rate or other Amendment-Only Field, and no effective-rate-floor movement outside the adopted adjustment envelope.</w:t>
      </w:r>
    </w:p>
    <w:p>
      <w:pPr>
        <w:pStyle w:val="ListBullet"/>
      </w:pPr>
      <w:r>
        <w:t>No vehicle-class exclusion through silence, negative-space drafting, nomenclature, classification drift, or production concentration.</w:t>
      </w:r>
    </w:p>
    <w:p>
      <w:pPr>
        <w:pStyle w:val="ListBullet"/>
      </w:pPr>
      <w:r>
        <w:t>No Cothrom II, Annex 4-E II, supplier-verification II, or capacity-gap II.</w:t>
      </w:r>
    </w:p>
    <w:p>
      <w:pPr>
        <w:pStyle w:val="ListBullet"/>
      </w:pPr>
      <w:r>
        <w:t>No resetting or extension of an existing capacity-gap, review, security, transition, normalization, temporary-measure, or cure clock.</w:t>
      </w:r>
    </w:p>
    <w:p>
      <w:pPr>
        <w:pStyle w:val="ListBullet"/>
      </w:pPr>
      <w:r>
        <w:t>No settlement-credit dispute contaminating Ordinary-Origin Treatment independently established under Chapter 4.</w:t>
      </w:r>
    </w:p>
    <w:p>
      <w:pPr>
        <w:pStyle w:val="ListBullet"/>
      </w:pPr>
      <w:r>
        <w:t>No optional incentive made compulsory in practice by degrading the ordinary administrative lane.</w:t>
      </w:r>
    </w:p>
    <w:p>
      <w:pPr>
        <w:pStyle w:val="ListBullet"/>
      </w:pPr>
      <w:r>
        <w:t>No constitutive effect for blank, bracketed, modelled, illustrative, alternative, or incomplete schedule fields.</w:t>
      </w:r>
    </w:p>
    <w:p>
      <w:pPr>
        <w:pStyle w:val="Heading2"/>
      </w:pPr>
      <w:bookmarkStart w:id="901952" w:name="_Toc300001951"/>
      <w:r>
        <w:t>MODULE INTERFACE REFERENCE: EXTRACT OF THE FS-00 FINAL SETTLEMENT INTEGRATION MAP</w:t>
      </w:r>
      <w:bookmarkEnd w:id="901952"/>
    </w:p>
    <w:p>
      <w:pPr>
        <w:pStyle w:val="Normal"/>
      </w:pPr>
      <w:r>
        <w:rPr>
          <w:b/>
        </w:rPr>
        <w:t xml:space="preserve">Chapter 4 / Annex 4-E / Annex 4-E-1: </w:t>
      </w:r>
      <w:r>
        <w:t>Ordinary automotive origin, advanced-component methodology, 75/80/85 tier reference, anti-double-counting.</w:t>
      </w:r>
    </w:p>
    <w:p>
      <w:pPr>
        <w:pStyle w:val="Normal"/>
      </w:pPr>
      <w:r>
        <w:rPr>
          <w:b/>
        </w:rPr>
        <w:t xml:space="preserve">Article 4.A.2C: </w:t>
      </w:r>
      <w:r>
        <w:t>De facto Party-specific quota fast track.</w:t>
      </w:r>
    </w:p>
    <w:p>
      <w:pPr>
        <w:pStyle w:val="Normal"/>
      </w:pPr>
      <w:r>
        <w:rPr>
          <w:b/>
        </w:rPr>
        <w:t xml:space="preserve">Article 49.4: </w:t>
      </w:r>
      <w:r>
        <w:t>Automotive rule-change discipline, impact assessment, transition, cumulation, technology-neutral modernization.</w:t>
      </w:r>
    </w:p>
    <w:p>
      <w:pPr>
        <w:pStyle w:val="Normal"/>
      </w:pPr>
      <w:r>
        <w:rPr>
          <w:b/>
        </w:rPr>
        <w:t xml:space="preserve">Chapter 59 / Article 59.5A: </w:t>
      </w:r>
      <w:r>
        <w:t>Automotive settlement, equal North American content, Industrial Expansion, repatriation, capacity growth, bounded effective rate, Cothrom stabilization.</w:t>
      </w:r>
    </w:p>
    <w:p>
      <w:pPr>
        <w:pStyle w:val="Normal"/>
      </w:pPr>
      <w:r>
        <w:rPr>
          <w:b/>
        </w:rPr>
        <w:t xml:space="preserve">Annex 59-B: </w:t>
      </w:r>
      <w:r>
        <w:t>Optional settlement and incentive backlog; covered vehicle classes; selected earned benefits.</w:t>
      </w:r>
    </w:p>
    <w:p>
      <w:pPr>
        <w:pStyle w:val="Normal"/>
      </w:pPr>
      <w:r>
        <w:rPr>
          <w:b/>
        </w:rPr>
        <w:t xml:space="preserve">Article 59.22A: </w:t>
      </w:r>
      <w:r>
        <w:t>Full-scope and anti-cherry-picking guarantee; included-first and classification-continuity rules.</w:t>
      </w:r>
    </w:p>
    <w:p>
      <w:pPr>
        <w:pStyle w:val="Normal"/>
      </w:pPr>
      <w:r>
        <w:rPr>
          <w:b/>
        </w:rPr>
        <w:t xml:space="preserve">Article 59.26: </w:t>
      </w:r>
      <w:r>
        <w:t>Least-burdensome automotive administration and ordinary-origin-first processing.</w:t>
      </w:r>
    </w:p>
    <w:p>
      <w:pPr>
        <w:pStyle w:val="Normal"/>
      </w:pPr>
      <w:r>
        <w:rPr>
          <w:b/>
        </w:rPr>
        <w:t xml:space="preserve">FS-01: </w:t>
      </w:r>
      <w:r>
        <w:t>Strategic-sector tariff normalization and reciprocal stand-down mechanics.</w:t>
      </w:r>
    </w:p>
    <w:p>
      <w:pPr>
        <w:pStyle w:val="Normal"/>
      </w:pPr>
      <w:r>
        <w:rPr>
          <w:b/>
        </w:rPr>
        <w:t xml:space="preserve">FS-02: </w:t>
      </w:r>
      <w:r>
        <w:t>Strategic North American Content Assurance where expressly selected for an automotive schedule.</w:t>
      </w:r>
    </w:p>
    <w:p>
      <w:pPr>
        <w:pStyle w:val="Normal"/>
      </w:pPr>
      <w:r>
        <w:rPr>
          <w:b/>
        </w:rPr>
        <w:t xml:space="preserve">Chapter 35 / Cothrom: </w:t>
      </w:r>
      <w:r>
        <w:t>Verification, cure, proportional containment, earn-back, restoration, and anti-contagion.</w:t>
      </w:r>
    </w:p>
    <w:p>
      <w:pPr>
        <w:pStyle w:val="Heading1"/>
      </w:pPr>
      <w:bookmarkStart w:id="901953" w:name="_Toc300001952"/>
      <w:r>
        <w:t>CHAPTER 60</w:t>
      </w:r>
      <w:r>
        <w:br/>
      </w:r>
      <w:r>
        <w:t>CROSS-BORDER ENFORCEMENT SOVEREIGNTY, DATA PURPOSE LIMITATION, AND PROTECTED COOPERATION</w:t>
      </w:r>
      <w:bookmarkEnd w:id="901953"/>
    </w:p>
    <w:p>
      <w:pPr>
        <w:pStyle w:val="Heading2"/>
      </w:pPr>
      <w:bookmarkStart w:id="901954" w:name="_Toc300001953"/>
      <w:r>
        <w:t>Article 60.1: Territorial Sovereignty and Non-Delegation of Enforcement Authority</w:t>
      </w:r>
      <w:bookmarkEnd w:id="901954"/>
    </w:p>
    <w:p>
      <w:pPr>
        <w:pStyle w:val="Normal"/>
      </w:pPr>
      <w:r>
        <w:t>1. Nothing in this Agreement confers upon an authority, officer, employee, contractor, or agent of one Party independent police, detention, search, seizure, immigration-enforcement, compulsory-questioning, surveillance, or other coercive governmental authority within the territory of another Party.</w:t>
      </w:r>
    </w:p>
    <w:p>
      <w:pPr>
        <w:pStyle w:val="Normal"/>
      </w:pPr>
      <w:r>
        <w:t>2. Any authorized activity by foreign enforcement personnel within a host Party shall remain subject to the host Party’s law, express authorization, and applicable international arrangements.</w:t>
      </w:r>
    </w:p>
    <w:p>
      <w:pPr>
        <w:pStyle w:val="Normal"/>
      </w:pPr>
      <w:r>
        <w:t>3. No Party shall condition a trade benefit under this Agreement on another Party granting operational authority to foreign civil immigration-enforcement personnel.</w:t>
      </w:r>
    </w:p>
    <w:p>
      <w:pPr>
        <w:pStyle w:val="Heading2"/>
      </w:pPr>
      <w:bookmarkStart w:id="901955" w:name="_Toc300001954"/>
      <w:r>
        <w:t>Article 60.2: Treaty Data Shall Not Create General Immigration-Enforcement Authority</w:t>
      </w:r>
      <w:bookmarkEnd w:id="901955"/>
    </w:p>
    <w:p>
      <w:pPr>
        <w:pStyle w:val="Normal"/>
      </w:pPr>
      <w:r>
        <w:t>1. Information exchanged pursuant to this Agreement shall not constitute a general-purpose source of information for the civil immigration-enforcement activities of another Party.</w:t>
      </w:r>
    </w:p>
    <w:p>
      <w:pPr>
        <w:pStyle w:val="Normal"/>
      </w:pPr>
      <w:r>
        <w:t>2. Information collected for trade administration, labour-rights enforcement, occupational safety, public health, education, humanitarian assistance, or access to essential public services shall not be repurposed for unrelated civil immigration enforcement except where expressly authorized by law and subject to applicable necessity, proportionality, privacy, and due-process safeguards.</w:t>
      </w:r>
    </w:p>
    <w:p>
      <w:pPr>
        <w:pStyle w:val="Normal"/>
      </w:pPr>
      <w:r>
        <w:t>3. No agency may rely upon this Agreement or access obtained through it as an independent legal basis for immigration investigation, detention, removal, surveillance, or another coercive action.</w:t>
      </w:r>
    </w:p>
    <w:p>
      <w:pPr>
        <w:pStyle w:val="Heading2"/>
      </w:pPr>
      <w:bookmarkStart w:id="901956" w:name="_Toc300001955"/>
      <w:r>
        <w:t>Article 60.3: Purpose Limitation, Necessity, and Data Minimization</w:t>
      </w:r>
      <w:bookmarkEnd w:id="901956"/>
    </w:p>
    <w:p>
      <w:pPr>
        <w:pStyle w:val="Normal"/>
      </w:pPr>
      <w:r>
        <w:t>1. Cross-border disclosure of personal information shall be limited to information reasonably necessary and proportionate to the legitimate purpose for which disclosure is authorized.</w:t>
      </w:r>
    </w:p>
    <w:p>
      <w:pPr>
        <w:pStyle w:val="Normal"/>
      </w:pPr>
      <w:r>
        <w:t>2. Sensitive data exchanges shall use defined purposes, access controls, appropriate retention limits, and auditable records of authorized user, lawful purpose, data requested, time of access, recipient, and permitted use, subject to applicable security protections.</w:t>
      </w:r>
    </w:p>
    <w:p>
      <w:pPr>
        <w:pStyle w:val="Normal"/>
      </w:pPr>
      <w:r>
        <w:t>3. A Party does not request information through a trade, customs, labour, digital, regulatory, or other mechanism established by this Agreement for a civil immigration-enforcement purpose that the Party could not lawfully and consistently request directly under Articles 60.2 and 60.4. For this Chapter, civil immigration enforcement means investigation, detention, removal, civil immigration surveillance, or comparable coercive administration of immigration status that is not directed principally at prosecution of trafficking, smuggling, organized crime, or comparable serious criminal conduct. The legality of an indirect request is tested against the same purpose, necessity, proportionality, privacy, due-process, and sensitive-institution limits that would govern the direct request. Routing a request through another treaty mechanism does not enlarge the requesting authority's lawful purpose.</w:t>
      </w:r>
    </w:p>
    <w:p>
      <w:pPr>
        <w:pStyle w:val="Heading2"/>
      </w:pPr>
      <w:bookmarkStart w:id="901957" w:name="_Toc300001956"/>
      <w:r>
        <w:t>Article 60.4: Sensitive Institutions and Humanitarian Information Firewall</w:t>
      </w:r>
      <w:bookmarkEnd w:id="901957"/>
    </w:p>
    <w:p>
      <w:pPr>
        <w:pStyle w:val="Normal"/>
      </w:pPr>
      <w:r>
        <w:t>1. Information obtained from schools, healthcare facilities, shelters, libraries, labour-rights bodies, humanitarian organizations, and other designated essential public or humanitarian services shall receive heightened protection against disclosure for unrelated foreign civil immigration enforcement.</w:t>
      </w:r>
    </w:p>
    <w:p>
      <w:pPr>
        <w:pStyle w:val="Normal"/>
      </w:pPr>
      <w:r>
        <w:t>2. For information within both Article 60.2 and this Article, this paragraph supplies the narrower controlling exception rule. Disclosure for unrelated foreign civil immigration enforcement is permitted only where narrowly authorized by domestic law and supported by valid judicial process, legally valid consent, or an imminent threat to life or serious public safety. General statutory authority to repurpose information is not sufficient by itself for a sensitive institution or service covered by paragraph 1. Articles 60.2 and 60.3 continue to supply cumulative necessity, proportionality, privacy, due-process, and purpose-limitation safeguards.</w:t>
      </w:r>
    </w:p>
    <w:p>
      <w:pPr>
        <w:pStyle w:val="Normal"/>
      </w:pPr>
      <w:r>
        <w:t>3. Nothing in this Article prevents lawful cooperation directed principally at trafficking, smuggling, organized crime, or comparable serious criminal conduct where the applicable legal requirements are satisfied. Such cooperation is criminal-enforcement cooperation for purposes of this Chapter and is not converted into civil immigration enforcement merely because immigration status is incidentally relevant. Information obtained under this paragraph remains limited to the authorized criminal purpose and is not available for unrelated civil immigration enforcement unless paragraph 2 independently permits the disclosure.</w:t>
      </w:r>
    </w:p>
    <w:p>
      <w:pPr>
        <w:pStyle w:val="Heading2"/>
      </w:pPr>
      <w:bookmarkStart w:id="901958" w:name="_Toc300001957"/>
      <w:r>
        <w:t>Article 60.5: Foreign Enforcement Officer Stand-Down Protocol</w:t>
      </w:r>
      <w:bookmarkEnd w:id="901958"/>
    </w:p>
    <w:p>
      <w:pPr>
        <w:pStyle w:val="Normal"/>
      </w:pPr>
      <w:r>
        <w:t>1. Where competent authorities of a host Party determine that reasonable grounds exist to believe that a foreign enforcement officer acting in an official capacity has materially violated the host Party's criminal law, civil-rights protections, or the terms of the officer's authorization, the host Party may immediately suspend that officer's participation in operational activities pending review. The host Party designates the competent domestic authority or bilateral oversight mechanism that conducts the review and notifies the sending Party promptly, consistent with investigative, privacy, and security requirements. Unless domestic law or a binding bilateral arrangement requires a shorter period, the reviewing authority issues an initial written status determination within 30 days and a final administrative disposition within 90 days. The disposition reinstates the officer, continues or modifies restrictions under identified domestic authority, withdraws operational authorization, refers the matter to another competent authority, or records that another legally controlling process governs the outcome.</w:t>
      </w:r>
    </w:p>
    <w:p>
      <w:pPr>
        <w:pStyle w:val="Normal"/>
      </w:pPr>
      <w:r>
        <w:t>2. During a stand-down, the officer shall perform no enforcement, investigative, surveillance, detention, intelligence-gathering, database-access, or other operational function prohibited by the host Party. Where continued presence is permitted, the sending Party shall bear reasonable accommodation and associated costs through its diplomatic or consular mission.</w:t>
      </w:r>
    </w:p>
    <w:p>
      <w:pPr>
        <w:pStyle w:val="Normal"/>
      </w:pPr>
      <w:r>
        <w:t>3. The host Party may require suspension of operational credentials or host-country weapons authorizations and may impose any lawful judicial or administrative conditions available under domestic law. The officer or sending Party may use any reconsideration or review available under domestic law, an applicable bilateral agreement, or Chapter 31 where a treaty obligation is independently alleged to have been breached. Treaty review does not itself stay a lawful protective stand-down. A stand-down does not continue beyond the final domestic or bilateral disposition except to the extent that disposition or another lawful authority independently sustains the restriction.</w:t>
      </w:r>
    </w:p>
    <w:p>
      <w:pPr>
        <w:pStyle w:val="Normal"/>
      </w:pPr>
      <w:r>
        <w:t>4. Nothing in this Agreement limits the host Party's authority under domestic or international law to investigate, prosecute, withdraw authorization from, require the departure of, or otherwise take lawful action concerning a foreign officer. Nothing in this Article alters privileges or immunities arising under applicable international law, a status-of-forces agreement, or another binding bilateral arrangement.</w:t>
      </w:r>
    </w:p>
    <w:p>
      <w:pPr>
        <w:pStyle w:val="Heading2"/>
      </w:pPr>
      <w:bookmarkStart w:id="901959" w:name="_Toc300001958"/>
      <w:r>
        <w:t>Article 60.6: Non-Discrimination in Treaty-Enabled Enforcement Cooperation</w:t>
      </w:r>
      <w:bookmarkEnd w:id="901959"/>
    </w:p>
    <w:p>
      <w:pPr>
        <w:pStyle w:val="Normal"/>
      </w:pPr>
      <w:r>
        <w:t>1. Race, ethnicity, nationality, religion, language, sex, disability, or another status protected under the host Party’s law shall not constitute an independent basis for detention, search, coercive questioning, surveillance, or other enforcement action undertaken pursuant to cooperation under this Agreement.</w:t>
      </w:r>
    </w:p>
    <w:p>
      <w:pPr>
        <w:pStyle w:val="Normal"/>
      </w:pPr>
      <w:r>
        <w:t>2. Persons who in good faith report alleged misconduct by foreign enforcement personnel shall be protected from retaliation consistent with domestic law.</w:t>
      </w:r>
    </w:p>
    <w:p>
      <w:pPr>
        <w:pStyle w:val="Heading2"/>
      </w:pPr>
      <w:bookmarkStart w:id="901960" w:name="_Toc300001959"/>
      <w:r>
        <w:t>Article 60.7: No Automatic Execution of Foreign Civil Immigration Measures</w:t>
      </w:r>
      <w:bookmarkEnd w:id="901960"/>
    </w:p>
    <w:p>
      <w:pPr>
        <w:pStyle w:val="Normal"/>
      </w:pPr>
      <w:r>
        <w:t>1. Nothing in this Agreement requires a Party to execute another Party’s civil immigration detainer, administrative warrant, removal request, or comparable measure absent an independently applicable legal basis under the requested Party’s law or another binding international arrangement.</w:t>
      </w:r>
    </w:p>
    <w:p>
      <w:pPr>
        <w:pStyle w:val="Normal"/>
      </w:pPr>
      <w:r>
        <w:t>2. Nothing in this Agreement requires a Party to assist another Party in enforcement of its domestic civil immigration law except pursuant to a separately applicable legal obligation voluntarily undertaken by that Party.</w:t>
      </w:r>
    </w:p>
    <w:p>
      <w:pPr>
        <w:pStyle w:val="Heading2"/>
      </w:pPr>
      <w:bookmarkStart w:id="901961" w:name="_Toc300001960"/>
      <w:r>
        <w:t>Article 60.8: Oversight, Complaint, and Remedy</w:t>
      </w:r>
      <w:bookmarkEnd w:id="901961"/>
    </w:p>
    <w:p>
      <w:pPr>
        <w:pStyle w:val="Normal"/>
      </w:pPr>
      <w:r>
        <w:t>1. Each Party shall maintain an accessible means to raise complaints concerning misuse of information or unauthorized foreign enforcement activity covered by this Chapter.</w:t>
      </w:r>
    </w:p>
    <w:p>
      <w:pPr>
        <w:pStyle w:val="Normal"/>
      </w:pPr>
      <w:r>
        <w:t>2. Compliance shall be supervised through existing courts, privacy and data-protection authorities, law-enforcement oversight bodies, diplomatic channels, and the verification or dispute-settlement procedures of this Agreement, as applicable.</w:t>
      </w:r>
    </w:p>
    <w:p>
      <w:pPr>
        <w:pStyle w:val="Normal"/>
      </w:pPr>
      <w:r>
        <w:t>3. The Parties shall not establish a new standing institution solely to administer this Chapter unless they jointly determine that existing mechanisms are demonstrably inadequate.</w:t>
      </w:r>
    </w:p>
    <w:p>
      <w:pPr>
        <w:pStyle w:val="Normal"/>
      </w:pPr>
      <w:r>
        <w:t>4. Remedies are proportionate to the violation and are available only to the extent authorized by applicable domestic law, a controlling bilateral arrangement, or independent authority elsewhere in this Agreement. Subject to that authority, remedies may include access suspension, deletion or correction of improperly obtained data where lawful, withdrawal of operational authorization, and corrective procedures. This Article creates no independent power to impose a remedy, suspend access, withdraw an authorization, or compel deletion or correction. The actor, scope, procedure, duration, review, and restoration conditions for a remedy remain those established by the legal authority that authorizes it.</w:t>
      </w:r>
    </w:p>
    <w:p>
      <w:pPr>
        <w:pStyle w:val="Heading1"/>
      </w:pPr>
      <w:bookmarkStart w:id="901962" w:name="_Toc300001961"/>
      <w:r>
        <w:t>CHAPTER 61</w:t>
      </w:r>
      <w:r>
        <w:br/>
      </w:r>
      <w:r>
        <w:t>NORTH AMERICAN DEFENSE-INDUSTRIAL MATERIALS, CAPACITY, AND PROCUREMENT RESILIENCE</w:t>
      </w:r>
      <w:bookmarkEnd w:id="901962"/>
    </w:p>
    <w:p>
      <w:pPr>
        <w:pStyle w:val="Normal"/>
      </w:pPr>
      <w:r>
        <w:t>This Chapter concerns industrial capacity, materials, procurement interoperability, supply continuity, and civilian-priority safeguards. It does not prescribe weapon design, ammunition design, operational military doctrine, or mandatory production quantities.</w:t>
      </w:r>
    </w:p>
    <w:p>
      <w:pPr>
        <w:pStyle w:val="Heading2"/>
      </w:pPr>
      <w:bookmarkStart w:id="901963" w:name="_Toc300001962"/>
      <w:r>
        <w:t>Article 61.1: Objectives</w:t>
      </w:r>
      <w:bookmarkEnd w:id="901963"/>
    </w:p>
    <w:p>
      <w:pPr>
        <w:pStyle w:val="Normal"/>
      </w:pPr>
      <w:r>
        <w:t>1. The Parties shall cooperate, consistent with domestic law and security requirements, to strengthen resilient North American capacity for defense-relevant and dual-use industrial materials, components, manufacturing inputs, testing, maintenance, and production infrastructure.</w:t>
      </w:r>
    </w:p>
    <w:p>
      <w:pPr>
        <w:pStyle w:val="Normal"/>
      </w:pPr>
      <w:r>
        <w:t>2. Cooperation shall seek to reduce single-source vulnerabilities, improve surge readiness, expand qualified suppliers, strengthen reciprocal industrial participation, and preserve essential civilian supply during emergencies.</w:t>
      </w:r>
    </w:p>
    <w:p>
      <w:pPr>
        <w:pStyle w:val="Heading2"/>
      </w:pPr>
      <w:bookmarkStart w:id="901964" w:name="_Toc300001963"/>
      <w:r>
        <w:t>Article 61.2: Defense-Industrial Materials Security Lane</w:t>
      </w:r>
      <w:bookmarkEnd w:id="901964"/>
    </w:p>
    <w:p>
      <w:pPr>
        <w:pStyle w:val="Normal"/>
      </w:pPr>
      <w:r>
        <w:t>1. The Parties may designate strategic industrial materials for enhanced supply-chain cooperation, including qualifying copper, zinc, nickel, antimony, tungsten, aluminum, specialty steels, titanium products, energetic-industry feedstocks where lawfully covered, and other materials identified through the Chapter 37 strategic-materials process.</w:t>
      </w:r>
    </w:p>
    <w:p>
      <w:pPr>
        <w:pStyle w:val="Normal"/>
      </w:pPr>
      <w:r>
        <w:t>2. Designation creates no compulsory extraction, export, purchase, or production quota. It authorizes planning, qualification, financing, stockpile, recycling, logistics, and procurement cooperation under the applicable domestic authorities.</w:t>
      </w:r>
    </w:p>
    <w:p>
      <w:pPr>
        <w:pStyle w:val="Heading2"/>
      </w:pPr>
      <w:bookmarkStart w:id="901965" w:name="_Toc300001964"/>
      <w:r>
        <w:t>Article 61.3: Long-Term Offtake and Demand-Signal Framework</w:t>
      </w:r>
      <w:bookmarkEnd w:id="901965"/>
    </w:p>
    <w:p>
      <w:pPr>
        <w:pStyle w:val="Normal"/>
      </w:pPr>
      <w:r>
        <w:t>1. Public authorities may, subject to appropriations and procurement law, use multi-year contracts, framework agreements, option quantities, advance purchase commitments, supplier qualification, or other lawful demand signals to support commercially sustainable North American industrial capacity.</w:t>
      </w:r>
    </w:p>
    <w:p>
      <w:pPr>
        <w:pStyle w:val="Normal"/>
      </w:pPr>
      <w:r>
        <w:t>2. Private suppliers remain responsible for commercial and technical performance. This Agreement does not guarantee a minimum profit, supplier award, or government purchase volume unless expressly provided in a lawful contract.</w:t>
      </w:r>
    </w:p>
    <w:p>
      <w:pPr>
        <w:pStyle w:val="Heading2"/>
      </w:pPr>
      <w:bookmarkStart w:id="901966" w:name="_Toc300001965"/>
      <w:r>
        <w:t>Article 61.4: Reciprocal Supplier Qualification and Procurement Access</w:t>
      </w:r>
      <w:bookmarkEnd w:id="901966"/>
    </w:p>
    <w:p>
      <w:pPr>
        <w:pStyle w:val="Normal"/>
      </w:pPr>
      <w:r>
        <w:t>1. The Parties shall seek to reduce unnecessary duplicative qualification of trusted Canadian, Mexican, and United States suppliers for covered industrial inputs, components, testing, maintenance, and manufacturing services.</w:t>
      </w:r>
    </w:p>
    <w:p>
      <w:pPr>
        <w:pStyle w:val="Normal"/>
      </w:pPr>
      <w:r>
        <w:t>2. Where security classification, export-control, ownership, cybersecurity, or facility-clearance rules require different treatment, the responsible authority shall use objective criteria connected to the identified risk and, where practicable, provide a pathway to qualification rather than categorical exclusion based solely on nationality within North America.</w:t>
      </w:r>
    </w:p>
    <w:p>
      <w:pPr>
        <w:pStyle w:val="Normal"/>
      </w:pPr>
      <w:r>
        <w:t>3. Article 49.7 applies to covered procurement where designated by the Parties.</w:t>
      </w:r>
    </w:p>
    <w:p>
      <w:pPr>
        <w:pStyle w:val="Heading2"/>
      </w:pPr>
      <w:bookmarkStart w:id="901967" w:name="_Toc300001966"/>
      <w:r>
        <w:t>Article 61.5: North American Defense-Industrial Materials Reserve</w:t>
      </w:r>
      <w:bookmarkEnd w:id="901967"/>
    </w:p>
    <w:p>
      <w:pPr>
        <w:pStyle w:val="Normal"/>
      </w:pPr>
      <w:r>
        <w:t>1. The Parties may coordinate national or contractual reserves of selected difficult-to-replace materials and components through rotating inventories, vendor-managed stocks, strategic purchase options, or other mechanisms that limit obsolescence and unnecessary carrying cost. Any binding quantity, contribution, release commitment, or funding obligation must appear in an expressly accepted implementation schedule or lawful contract and remains subject to domestic authorization and appropriations.</w:t>
      </w:r>
    </w:p>
    <w:p>
      <w:pPr>
        <w:pStyle w:val="Normal"/>
      </w:pPr>
      <w:r>
        <w:t>2. Reserve coordination shall identify ownership, release authority, replenishment, compensation, auditing, shelf-life or obsolescence risk, and civilian-priority safeguards. No Party acquires ownership of another Party's reserve merely through participation in this Chapter.</w:t>
      </w:r>
    </w:p>
    <w:p>
      <w:pPr>
        <w:pStyle w:val="Heading2"/>
      </w:pPr>
      <w:bookmarkStart w:id="901968" w:name="_Toc300001967"/>
      <w:r>
        <w:t>Article 61.6: Surge Capacity and Industrial Mobilization</w:t>
      </w:r>
      <w:bookmarkEnd w:id="901968"/>
    </w:p>
    <w:p>
      <w:pPr>
        <w:pStyle w:val="Normal"/>
      </w:pPr>
      <w:r>
        <w:t>1. The Parties may map idle, expandable, convertible, or second-shift industrial capacity and establish voluntary pre-qualification for rapid expansion during an emergency verified by the competent Party authority under Annex 66-F or, where the emergency is activated under Article 38.2, through the verification route applicable under that Article. The verification record identifies the emergency condition, responsible authority, evidence relied upon, and material limitation relevant to the proposed surge action. Verification under this paragraph does not itself activate an emergency power, procurement authority, production mandate, or funding obligation. Any resulting action remains subject to the independent legal authority that permits it.</w:t>
      </w:r>
    </w:p>
    <w:p>
      <w:pPr>
        <w:pStyle w:val="Normal"/>
      </w:pPr>
      <w:r>
        <w:t>2. A surge commitment is satisfied according to the best-achievable capacity verified by the competent Party authority under Annex 66-F and the applicable contract or schedule. The verification identifies the capacity measure, relevant time period, material dependencies, and evidence sufficient to distinguish demonstrated capacity from an estimate or planning target. A verified capacity figure is not an absolute guarantee that a fixed quantity will materialize despite force majeure, labour disruption, equipment failure, unavailable feedstock, permitting constraints, or other conditions beyond reasonable control. Verification does not enlarge the quantity, duration, funding, or production authority stated in the controlling contract, schedule, or domestic authorization.</w:t>
      </w:r>
    </w:p>
    <w:p>
      <w:pPr>
        <w:pStyle w:val="Normal"/>
      </w:pPr>
      <w:r>
        <w:t>3. Surge planning may include tooling, workforce, maintenance, testing, logistics, supplier second-sourcing, recycling, and alternative-material qualification.</w:t>
      </w:r>
    </w:p>
    <w:p>
      <w:pPr>
        <w:pStyle w:val="Heading2"/>
      </w:pPr>
      <w:bookmarkStart w:id="901969" w:name="_Toc300001968"/>
      <w:r>
        <w:t>Article 61.7: Civilian Priority Firewall</w:t>
      </w:r>
      <w:bookmarkEnd w:id="901969"/>
    </w:p>
    <w:p>
      <w:pPr>
        <w:pStyle w:val="Normal"/>
      </w:pPr>
      <w:r>
        <w:t>1. Defense-industrial surge measures shall be designed to avoid unnecessary deprivation of materials essential to electricity systems, water and wastewater, hospitals and health supply, food production, transportation, telecommunications, emergency response, housing, and other critical civilian functions.</w:t>
      </w:r>
    </w:p>
    <w:p>
      <w:pPr>
        <w:pStyle w:val="Normal"/>
      </w:pPr>
      <w:r>
        <w:t>2. Where a shortage verified by the competent Party authority under Annex 66-F creates direct competition between covered defense-industrial and essential civilian demand, the Parties shall consult rapidly on substitution, inventory release, alternative sourcing, sequencing, and the narrowest practicable allocation response. The verification record identifies the material shortage condition, affected civilian and defense-industrial demand, evidence relied upon, and responsible authority. A shortage finding under this paragraph does not independently authorize allocation, requisition, export restriction, procurement, or inventory release. Any such measure remains subject to the separate legal authority, notice, proportionality, and review requirements otherwise applicable under this Agreement and domestic law.</w:t>
      </w:r>
    </w:p>
    <w:p>
      <w:pPr>
        <w:pStyle w:val="Normal"/>
      </w:pPr>
      <w:r>
        <w:t>3. Nothing in this Article overrides a Party's lawful emergency authority, but use of that authority remains subject to applicable notice, proportionality, and Cothrom disciplines.</w:t>
      </w:r>
    </w:p>
    <w:p>
      <w:pPr>
        <w:pStyle w:val="Heading2"/>
      </w:pPr>
      <w:bookmarkStart w:id="901970" w:name="_Toc300001969"/>
      <w:r>
        <w:t>Article 61.8: Recycling, Recovery, and Circular Strategic Materials</w:t>
      </w:r>
      <w:bookmarkEnd w:id="901970"/>
    </w:p>
    <w:p>
      <w:pPr>
        <w:pStyle w:val="Normal"/>
      </w:pPr>
      <w:r>
        <w:t>1. Qualifying recovery and recycling of copper, aluminum, nickel, cobalt, antimony, tungsten, specialty alloys, electronics, batteries, and other designated strategic materials may count toward resilience and reserve objectives where quality and traceability requirements are satisfied.</w:t>
      </w:r>
    </w:p>
    <w:p>
      <w:pPr>
        <w:pStyle w:val="Normal"/>
      </w:pPr>
      <w:r>
        <w:t>2. The Parties shall encourage recovery of strategic byproducts and scrap where economically and environmentally justified and shall avoid rules that unnecessarily force recyclable North American material out of continental supply chains.</w:t>
      </w:r>
    </w:p>
    <w:p>
      <w:pPr>
        <w:pStyle w:val="Heading2"/>
      </w:pPr>
      <w:bookmarkStart w:id="901971" w:name="_Toc300001970"/>
      <w:r>
        <w:t>Article 61.9: Workforce and Facility Resilience</w:t>
      </w:r>
      <w:bookmarkEnd w:id="901971"/>
    </w:p>
    <w:p>
      <w:pPr>
        <w:pStyle w:val="Normal"/>
      </w:pPr>
      <w:r>
        <w:t>1. Cooperation may include skilled-trades training, metallurgy, machining, quality assurance, maintenance, industrial cybersecurity, process engineering, safety, and lawful specialist mobility.</w:t>
      </w:r>
    </w:p>
    <w:p>
      <w:pPr>
        <w:pStyle w:val="Normal"/>
      </w:pPr>
      <w:r>
        <w:t>2. Participating facilities should maintain proportionate all-hazards continuity plans covering power, water, cyber incident, fire, flood, severe weather, transportation interruption, critical-equipment failure, and supplier disruption.</w:t>
      </w:r>
    </w:p>
    <w:p>
      <w:pPr>
        <w:pStyle w:val="Heading2"/>
      </w:pPr>
      <w:bookmarkStart w:id="901972" w:name="_Toc300001971"/>
      <w:r>
        <w:t>Article 61.10: Cothrom Review and No Cross-Sector Punishment</w:t>
      </w:r>
      <w:bookmarkEnd w:id="901972"/>
    </w:p>
    <w:p>
      <w:pPr>
        <w:pStyle w:val="Normal"/>
      </w:pPr>
      <w:r>
        <w:t>1. A dispute under this Chapter shall identify the specific material, contract, qualification, reserve, or capacity obligation alleged to have failed. The reviewing authority, being an existing Cothrom or other NAESTMA mechanism applicable to the underlying obligation, shall distinguish commercial non-performance, force majeure, technical failure, and deliberate treaty non-compliance.</w:t>
      </w:r>
    </w:p>
    <w:p>
      <w:pPr>
        <w:pStyle w:val="Normal"/>
      </w:pPr>
      <w:r>
        <w:t>2. Corrective action shall be confined to the affected industrial benefit or procurement privilege unless a broader response is independently justified under another Chapter. Unrelated civilian trade shall not be suspended merely because a defense-industrial project or supplier failed.</w:t>
      </w:r>
    </w:p>
    <w:p>
      <w:pPr>
        <w:pStyle w:val="Normal"/>
      </w:pPr>
      <w:r>
        <w:t>3. Earn-back and restoration shall be available after verified cure.</w:t>
      </w:r>
    </w:p>
    <w:p>
      <w:pPr>
        <w:pStyle w:val="Heading2"/>
      </w:pPr>
      <w:bookmarkStart w:id="901973" w:name="_Toc300001972"/>
      <w:r>
        <w:t>IMPLEMENTATION INSTRUMENT I-1: ENTRY-INTO-FORCE / DAY-30 / DAY-90 / YEAR-ONE ROADMAP (IMPLEMENTATION GUIDE; ANNEX 34-F CONTROLS)</w:t>
      </w:r>
      <w:bookmarkEnd w:id="901973"/>
    </w:p>
    <w:p>
      <w:pPr>
        <w:pStyle w:val="Normal"/>
      </w:pPr>
      <w:r>
        <w:t>1. Entry into Force: Legal Continuity and De-Escalation. This Instrument implements and cross-references the binding milestones in Annex 34-F and does not create a competing phase-in schedule; where its timing or legal effect differs from Annex 34-F or an expressly adopted transition instrument, that controlling instrument governs. The express Day-30 administrative duties in paragraphs 3 and 4 of this Instrument are binding under this Instrument and are implemented through the competent authorities designated under this Agreement, without becoming additional Annex 34-F milestones, conferring authority beyond that otherwise available under this Agreement, or modifying a controlling deadline, exception, or remedy. On entry into force, the Parties shall give effect to the applicable Annex 35-D legacy-measure wind-down or expressly selected Annex 35-D.1 landing option, terminate covered retaliatory tariffs as provided there, preserve ordinary preferential treatment except as lawfully transitioned, and issue coordinated implementation notices. Responsible officials for customs, procurement, alcohol, automotive, minerals, forestry, digital, and emergency implementation are designated through existing competent authorities.</w:t>
      </w:r>
    </w:p>
    <w:p>
      <w:pPr>
        <w:pStyle w:val="Normal"/>
      </w:pPr>
      <w:r>
        <w:t>2. Entry into Force: Customs Instructions. CBSA, U.S. CBP, and the competent Mexican customs authorities shall issue or prepare coordinated operational instructions consistent with Annexes 34-F, 35-D, and any expressly adopted transition instrument, identifying the legal treatment of goods entered before, on, and after entry into force. The instructions may address goods in transit, refunds or reconciliation, origin documentation, and urgent classification contacts only within authority supplied by the controlling treaty provision and applicable domestic customs law. An administrative instruction does not preserve a legacy measure that Annex 35-D terminates or create a transition treatment absent legal authority. A difference among national instructions is addressed through the applicable customs consultation, Chapter 31, or other controlling review route rather than by treating this Instrument as superior law.</w:t>
      </w:r>
    </w:p>
    <w:p>
      <w:pPr>
        <w:pStyle w:val="Normal"/>
      </w:pPr>
      <w:r>
        <w:t>3. By Day 30: Registers and Guidance. The Parties shall publish the first implementation register identifying provisions that are immediately operative, provisions subject to a transition schedule, responsible bodies, required domestic actions, and unresolved technical dependencies. Initial guidance shall cover extraordinary tariffs, automotive origin, steel and aluminum provenance, beverage-alcohol access, strategic procurement, critical minerals, and forestry.</w:t>
      </w:r>
    </w:p>
    <w:p>
      <w:pPr>
        <w:pStyle w:val="Normal"/>
      </w:pPr>
      <w:r>
        <w:t>4. By Day 30: No-Surprises Discipline. No Party shall materially narrow an agreed interim market-access treatment without the notice, evidence, and review required by Chapters 31 and 35. Technical drafting or legal scrubbing shall not by itself suspend an agreed commercial benefit.</w:t>
      </w:r>
    </w:p>
    <w:p>
      <w:pPr>
        <w:pStyle w:val="Normal"/>
      </w:pPr>
      <w:r>
        <w:t>5. By Day 90: Operational Review. The Commission shall conduct a trilateral implementation review addressing customs consistency, tariff normalization, procurement designation, alcohol access, automotive transition, minerals and semiconductor work programs, forestry integration, labour implementation, and any cross-chapter conflict identified by an implementing authority.</w:t>
      </w:r>
    </w:p>
    <w:p>
      <w:pPr>
        <w:pStyle w:val="Normal"/>
      </w:pPr>
      <w:r>
        <w:t>6. By Day 90: Cure Before Escalation. A technical defect, coding inconsistency, missed administrative deadline, or implementation ambiguity shall ordinarily receive a defined cure period before a cross-border commercial consequence is imposed, unless immediate action is necessary for health, safety, security, fraud prevention, or preservation of evidence.</w:t>
      </w:r>
    </w:p>
    <w:p>
      <w:pPr>
        <w:pStyle w:val="Normal"/>
      </w:pPr>
      <w:r>
        <w:t>7. Year One: Performance and Consolidation Review. The Commission shall publish a non-confidential report on implementation performance, including tariff normalization achieved, customs friction, utilization of new market-access pathways, investment and supply-chain outcomes, SME participation, dispute frequency, and unresolved modernization items. The review is for improvement and does not reopen the Agreement's continued legal force.</w:t>
      </w:r>
    </w:p>
    <w:p>
      <w:pPr>
        <w:pStyle w:val="Normal"/>
      </w:pPr>
      <w:r>
        <w:t>8. Goods in Transit and Reliance. Goods exported, loaded, entered into a binding transportation contract, or otherwise committed to shipment before a change receive only the in-transit or reliance treatment authorized by Annex 35-D, an expressly adopted transition instrument, or applicable domestic customs law consistent with this Agreement. A customs notice may administer that treatment but does not create an exception to Annex 35-D or revive a legacy measure terminated on entry into force. The Parties shall avoid retroactive collection arising solely from delayed administrative implementation where the controlling legal authority permits reconciliation or reliance protection. A disputed entitlement to transition treatment follows the customs or treaty review route applicable to the legal authority invoked.</w:t>
      </w:r>
    </w:p>
    <w:p>
      <w:pPr>
        <w:pStyle w:val="Normal"/>
      </w:pPr>
      <w:r>
        <w:t>9. Linguistic and Legal Scrub. A non-substantive typographical, linguistic, citation, numbering, cross-reference, or concordance correction proceeds through Article 46.11 and its Secretariat-issued correction and objection procedure. A technical amendment that changes treaty text beyond Article 46.11 proceeds only through Article 34.3.A where the affected instrument is expressly eligible and the proposed change remains within that Article's scope. A change to substantive rights, obligations, exceptions, remedies, deadlines, market access, or legal effect requires Article 34.3 or another express treaty authority. The phrase legal scrub therefore describes review activity and supplies no independent correction or amendment power.</w:t>
      </w:r>
    </w:p>
    <w:p>
      <w:pPr>
        <w:pStyle w:val="Heading1"/>
      </w:pPr>
      <w:bookmarkStart w:id="901974" w:name="_Toc300001973"/>
      <w:r>
        <w:t>CHAPTER 62</w:t>
      </w:r>
      <w:r>
        <w:br/>
      </w:r>
      <w:r>
        <w:t>NORTH AMERICAN DISASTER RESILIENCE, MUTUAL ASSISTANCE, AND ECONOMIC CONTINUITY</w:t>
      </w:r>
      <w:bookmarkEnd w:id="901974"/>
    </w:p>
    <w:p>
      <w:pPr>
        <w:pStyle w:val="Heading2"/>
      </w:pPr>
      <w:bookmarkStart w:id="901975" w:name="_Toc300001974"/>
      <w:r>
        <w:t>Article 62.1: Purpose and Scope</w:t>
      </w:r>
      <w:bookmarkEnd w:id="901975"/>
    </w:p>
    <w:p>
      <w:pPr>
        <w:pStyle w:val="Normal"/>
      </w:pPr>
      <w:r>
        <w:t>1. The Parties establish a civilian-led framework to reduce the economic and humanitarian consequences of natural disasters, public-health emergencies, industrial accidents, infrastructure failures, severe weather, wildfire, earthquakes, floods, hurricanes, drought, and other qualifying disruptions.</w:t>
      </w:r>
    </w:p>
    <w:p>
      <w:pPr>
        <w:pStyle w:val="Normal"/>
      </w:pPr>
      <w:r>
        <w:t>2. This Chapter coordinates trade, logistics, mutual assistance, infrastructure restoration, industrial surge, and recovery. It does not create a supranational emergency authority, compel deployment of personnel, or displace domestic command structures.</w:t>
      </w:r>
    </w:p>
    <w:p>
      <w:pPr>
        <w:pStyle w:val="Heading2"/>
      </w:pPr>
      <w:bookmarkStart w:id="901976" w:name="_Toc300001975"/>
      <w:r>
        <w:t>Article 62.2: North American Emergency Mutual Assistance Compact</w:t>
      </w:r>
      <w:bookmarkEnd w:id="901976"/>
    </w:p>
    <w:p>
      <w:pPr>
        <w:pStyle w:val="Normal"/>
      </w:pPr>
      <w:r>
        <w:t>1. The Parties shall maintain interoperable procedures for requesting, offering, accepting, tracking, and demobilizing cross-border emergency assistance.</w:t>
      </w:r>
    </w:p>
    <w:p>
      <w:pPr>
        <w:pStyle w:val="Normal"/>
      </w:pPr>
      <w:r>
        <w:t>2. Procedures shall identify competent authorities, request formats, mission scope, command relationships, cost responsibility, liability treatment, credential verification, customs treatment, and rules for return or disposition of equipment.</w:t>
      </w:r>
    </w:p>
    <w:p>
      <w:pPr>
        <w:pStyle w:val="Normal"/>
      </w:pPr>
      <w:r>
        <w:t>3. Assistance remains voluntary unless a separate binding arrangement provides otherwise. The receiving jurisdiction retains operational command consistent with domestic law.</w:t>
      </w:r>
    </w:p>
    <w:p>
      <w:pPr>
        <w:pStyle w:val="Heading2"/>
      </w:pPr>
      <w:bookmarkStart w:id="901977" w:name="_Toc300001976"/>
      <w:r>
        <w:t>Article 62.3: Responder Credentials and Good-Faith Assistance</w:t>
      </w:r>
      <w:bookmarkEnd w:id="901977"/>
    </w:p>
    <w:p>
      <w:pPr>
        <w:pStyle w:val="Normal"/>
      </w:pPr>
      <w:r>
        <w:t>1. The Parties shall develop expedited recognition or temporary authorization pathways for firefighters, emergency medical personnel, engineers, utility restoration crews, search-and-rescue specialists, and other designated responders whose credentials can be reliably verified.</w:t>
      </w:r>
    </w:p>
    <w:p>
      <w:pPr>
        <w:pStyle w:val="Normal"/>
      </w:pPr>
      <w:r>
        <w:t>2. Domestic professional, safety, labour, immigration, and licensing law remains applicable, but emergency procedures should avoid duplicative licensing where an equivalent credential and mission-specific supervision provide adequate assurance.</w:t>
      </w:r>
    </w:p>
    <w:p>
      <w:pPr>
        <w:pStyle w:val="Normal"/>
      </w:pPr>
      <w:r>
        <w:t>3. The Parties shall seek appropriate good-faith liability protections for authorized responders consistent with domestic law and shall publish the applicable protections before deployment where practicable.</w:t>
      </w:r>
    </w:p>
    <w:p>
      <w:pPr>
        <w:pStyle w:val="Heading2"/>
      </w:pPr>
      <w:bookmarkStart w:id="901978" w:name="_Toc300001977"/>
      <w:r>
        <w:t>Article 62.4: Disaster Lanes and Emergency Border Processing</w:t>
      </w:r>
      <w:bookmarkEnd w:id="901978"/>
    </w:p>
    <w:p>
      <w:pPr>
        <w:pStyle w:val="Normal"/>
      </w:pPr>
      <w:r>
        <w:t>1. Disaster Lanes under this Article may be activated only for an emergency validly invoked under Article 38.2 or for a qualifying disruption under Article 55.2 for which the Commission activates a Trade Facilitation Corridor under Article 55.3. The activation identifies the controlling trigger, covered corridor or crossing, eligible responders or goods, responsible customs and border authorities, review interval, and duration fixed by the controlling provision. Article 38.2 supplies its verification and deactivation process, while an Article 55.3 activation remains subject to its initial 90-day maximum and fresh-finding renewal rule. This Article creates no separate emergency trigger, extension, restriction, or duration authority.</w:t>
      </w:r>
    </w:p>
    <w:p>
      <w:pPr>
        <w:pStyle w:val="Normal"/>
      </w:pPr>
      <w:r>
        <w:t>2. Disaster Lanes may use pre-arrival manifests, consolidated documentation, pre-clearance, priority inspection, extended operating hours, temporary admission, and coordinated inspection while preserving safety, security, sanitary, origin, sanctions, and anti-diversion controls.</w:t>
      </w:r>
    </w:p>
    <w:p>
      <w:pPr>
        <w:pStyle w:val="Normal"/>
      </w:pPr>
      <w:r>
        <w:t>3. This Article supplies disaster-specific border-processing tools within Articles 38.3, 38.9, and 55.3 and does not displace their triggers, verification, duration, review, or restoration rules. Where more than one validly activated route applies, competent authorities may use the fastest lawful processing combination that can operate cumulatively without lowering an applicable safety, sanitary, security, origin, sanctions, forced-labor, or anti-diversion standard. The activation record identifies the controlling legal route where a deadline, duration, or condition differs. Administrative convenience alone does not permit selection of a lighter trigger or verification standard.</w:t>
      </w:r>
    </w:p>
    <w:p>
      <w:pPr>
        <w:pStyle w:val="Heading2"/>
      </w:pPr>
      <w:bookmarkStart w:id="901979" w:name="_Toc300001978"/>
      <w:r>
        <w:t>Article 62.5: Emergency Call-Off Contracts and Supplier Surge Network</w:t>
      </w:r>
      <w:bookmarkEnd w:id="901979"/>
    </w:p>
    <w:p>
      <w:pPr>
        <w:pStyle w:val="Normal"/>
      </w:pPr>
      <w:r>
        <w:t>1. The Parties may maintain pre-negotiated or pre-qualified call-off arrangements with private suppliers for emergency goods, transport, warehousing, temporary infrastructure, repair services, communications, and other response needs.</w:t>
      </w:r>
    </w:p>
    <w:p>
      <w:pPr>
        <w:pStyle w:val="Normal"/>
      </w:pPr>
      <w:r>
        <w:t>2. A call-off arrangement shall state price or pricing method, capacity assumptions, activation authority, delivery priorities, duration, and anti-gouging or integrity safeguards where applicable.</w:t>
      </w:r>
    </w:p>
    <w:p>
      <w:pPr>
        <w:pStyle w:val="Normal"/>
      </w:pPr>
      <w:r>
        <w:t>3. Participation does not guarantee a purchase. Governments should preserve competitive entry for additional suppliers when time and circumstances permit.</w:t>
      </w:r>
    </w:p>
    <w:p>
      <w:pPr>
        <w:pStyle w:val="Heading2"/>
      </w:pPr>
      <w:bookmarkStart w:id="901980" w:name="_Toc300001979"/>
      <w:r>
        <w:t>Article 62.6: Power Restoration and Critical Infrastructure Equipment Coordination</w:t>
      </w:r>
      <w:bookmarkEnd w:id="901980"/>
    </w:p>
    <w:p>
      <w:pPr>
        <w:pStyle w:val="Normal"/>
      </w:pPr>
      <w:r>
        <w:t>1. The Parties shall coordinate visibility of, and may voluntarily commit access to, transformers, mobile substations, generators, grid-control equipment, telecommunications restoration equipment, pumps, and qualified repair crews for major infrastructure disruptions. No Party is required to contribute equipment, personnel, funding, or reserve capacity absent a separate accepted commitment.</w:t>
      </w:r>
    </w:p>
    <w:p>
      <w:pPr>
        <w:pStyle w:val="Normal"/>
      </w:pPr>
      <w:r>
        <w:t>2. Equipment may remain commercially owned and geographically distributed. The framework may use rotating inventories, vendor-managed reserves, mutual-aid pools, or rapid-manufacturing contracts rather than centralized government stockpiles.</w:t>
      </w:r>
    </w:p>
    <w:p>
      <w:pPr>
        <w:pStyle w:val="Normal"/>
      </w:pPr>
      <w:r>
        <w:t>3. Release decisions shall account for the donor jurisdiction's own emergency needs and shall not create a duty to export equipment required for an active domestic life-safety emergency.</w:t>
      </w:r>
    </w:p>
    <w:p>
      <w:pPr>
        <w:pStyle w:val="Heading2"/>
      </w:pPr>
      <w:bookmarkStart w:id="901981" w:name="_Toc300001980"/>
      <w:r>
        <w:t>Article 62.7: Wildfire and All-Hazards Equipment Reserve</w:t>
      </w:r>
      <w:bookmarkEnd w:id="901981"/>
    </w:p>
    <w:p>
      <w:pPr>
        <w:pStyle w:val="Normal"/>
      </w:pPr>
      <w:r>
        <w:t>1. The Parties may coordinate seasonal or rotating reserves of wildfire and all-hazards response equipment, including protective equipment, pumps, hose, mobile communications, ground-support equipment, and other lawful response assets.</w:t>
      </w:r>
    </w:p>
    <w:p>
      <w:pPr>
        <w:pStyle w:val="Normal"/>
      </w:pPr>
      <w:r>
        <w:t>2. Specialized aircraft, heavy equipment, or other scarce assets may participate through availability contracts or mutual-aid rosters rather than permanent transfer.</w:t>
      </w:r>
    </w:p>
    <w:p>
      <w:pPr>
        <w:pStyle w:val="Normal"/>
      </w:pPr>
      <w:r>
        <w:t>3. Shared wildfire planning should account for differing seasonal peaks so that idle capacity can assist another Party without degrading domestic readiness.</w:t>
      </w:r>
    </w:p>
    <w:p>
      <w:pPr>
        <w:pStyle w:val="Heading2"/>
      </w:pPr>
      <w:bookmarkStart w:id="901982" w:name="_Toc300001981"/>
      <w:r>
        <w:t>Article 62.8: Strategic Construction Materials and Modular Recovery Supply</w:t>
      </w:r>
      <w:bookmarkEnd w:id="901982"/>
    </w:p>
    <w:p>
      <w:pPr>
        <w:pStyle w:val="Normal"/>
      </w:pPr>
      <w:r>
        <w:t>1. The Parties shall facilitate emergency access to originating lumber and engineered wood, steel, aluminum, cementitious materials, glass, electrical equipment, temporary bridges, modular shelter, and other reconstruction inputs.</w:t>
      </w:r>
    </w:p>
    <w:p>
      <w:pPr>
        <w:pStyle w:val="Normal"/>
      </w:pPr>
      <w:r>
        <w:t>2. Canada, Mexico, and the United States may use Chapter 42 forestry integration, Chapter 49 procurement, and Chapter 55 logistics tools to support rapid reconstruction and modular housing production.</w:t>
      </w:r>
    </w:p>
    <w:p>
      <w:pPr>
        <w:pStyle w:val="Normal"/>
      </w:pPr>
      <w:r>
        <w:t>3. Emergency treatment shall not become a permanent waiver of building, safety, environmental, or procurement integrity requirements.</w:t>
      </w:r>
    </w:p>
    <w:p>
      <w:pPr>
        <w:pStyle w:val="Heading2"/>
      </w:pPr>
      <w:bookmarkStart w:id="901983" w:name="_Toc300001982"/>
      <w:r>
        <w:t>Article 62.9: Common Operating Picture and Early Warning Interoperability</w:t>
      </w:r>
      <w:bookmarkEnd w:id="901983"/>
    </w:p>
    <w:p>
      <w:pPr>
        <w:pStyle w:val="Normal"/>
      </w:pPr>
      <w:r>
        <w:t>1. Competent agencies shall improve interoperability among existing wildfire, weather, flood, drought, earthquake, tsunami, volcanic ash, space-weather, public-health, and infrastructure-warning systems where cross-border consequences are material.</w:t>
      </w:r>
    </w:p>
    <w:p>
      <w:pPr>
        <w:pStyle w:val="Normal"/>
      </w:pPr>
      <w:r>
        <w:t>2. The Parties should prefer interoperable exchange among existing expert agencies to creation of duplicative centralized systems.</w:t>
      </w:r>
    </w:p>
    <w:p>
      <w:pPr>
        <w:pStyle w:val="Normal"/>
      </w:pPr>
      <w:r>
        <w:t>3. Shared information shall identify confidence, source, update time, geographic relevance, and material limitations. Automated or AI-assisted forecasts shall not be represented as certain where uncertainty is material.</w:t>
      </w:r>
    </w:p>
    <w:p>
      <w:pPr>
        <w:pStyle w:val="Heading2"/>
      </w:pPr>
      <w:bookmarkStart w:id="901984" w:name="_Toc300001983"/>
      <w:r>
        <w:t>Article 62.10: Satellite, Mapping, and Damage-Assessment Cooperation</w:t>
      </w:r>
      <w:bookmarkEnd w:id="901984"/>
    </w:p>
    <w:p>
      <w:pPr>
        <w:pStyle w:val="Normal"/>
      </w:pPr>
      <w:r>
        <w:t>1. Subject to law, licensing, security restrictions, and commercial rights, the Parties may share or coordinate access to satellite imagery, aerial mapping, remote sensing, geospatial data, and damage assessments needed for emergency response and infrastructure recovery.</w:t>
      </w:r>
    </w:p>
    <w:p>
      <w:pPr>
        <w:pStyle w:val="Normal"/>
      </w:pPr>
      <w:r>
        <w:t>2. Public release of sensitive imagery is not required. Data-sharing arrangements shall protect critical-infrastructure security, personal information, Indigenous or culturally sensitive information, and legitimate commercial confidentiality.</w:t>
      </w:r>
    </w:p>
    <w:p>
      <w:pPr>
        <w:pStyle w:val="Heading2"/>
      </w:pPr>
      <w:bookmarkStart w:id="901985" w:name="_Toc300001984"/>
      <w:r>
        <w:t>Article 62.11: Joint Exercises and Tabletop Testing</w:t>
      </w:r>
      <w:bookmarkEnd w:id="901985"/>
    </w:p>
    <w:p>
      <w:pPr>
        <w:pStyle w:val="Normal"/>
      </w:pPr>
      <w:r>
        <w:t>1. The Parties shall periodically conduct or coordinate civilian-led tabletop or operational exercises, subject to domestic resources and authority, testing cross-border requests, customs processing, communications, logistics, power restoration, wildfire assistance, industrial surge, and recovery coordination. Participation in a particular exercise or equipment deployment is voluntary unless separately agreed.</w:t>
      </w:r>
    </w:p>
    <w:p>
      <w:pPr>
        <w:pStyle w:val="Normal"/>
      </w:pPr>
      <w:r>
        <w:t>2. Exercises may include military logistics, engineering, medical, airlift, or communications capabilities when lawfully requested by civilian authorities, without altering civilian command or creating standing military authority under this Agreement.</w:t>
      </w:r>
    </w:p>
    <w:p>
      <w:pPr>
        <w:pStyle w:val="Normal"/>
      </w:pPr>
      <w:r>
        <w:t>3. Exercise findings shall feed into the lessons-learned process in Article 62.17.</w:t>
      </w:r>
    </w:p>
    <w:p>
      <w:pPr>
        <w:pStyle w:val="Heading2"/>
      </w:pPr>
      <w:bookmarkStart w:id="901986" w:name="_Toc300001985"/>
      <w:r>
        <w:t>Article 62.12: Indigenous, Tribal, Remote, and Border Community Resilience</w:t>
      </w:r>
      <w:bookmarkEnd w:id="901986"/>
    </w:p>
    <w:p>
      <w:pPr>
        <w:pStyle w:val="Normal"/>
      </w:pPr>
      <w:r>
        <w:t>1. Implementation should include meaningful pathways for Indigenous, tribal, remote, northern, rural, and border communities whose geography or infrastructure creates distinctive response constraints.</w:t>
      </w:r>
    </w:p>
    <w:p>
      <w:pPr>
        <w:pStyle w:val="Normal"/>
      </w:pPr>
      <w:r>
        <w:t>2. Cooperation may include community-led wildfire knowledge, evacuation planning, communications redundancy, emergency energy, local supply caches, and cross-border continuity where communities or traditional territories span a boundary.</w:t>
      </w:r>
    </w:p>
    <w:p>
      <w:pPr>
        <w:pStyle w:val="Normal"/>
      </w:pPr>
      <w:r>
        <w:t>3. Nothing in this Article alters treaty, constitutional, Indigenous, tribal, land, or jurisdictional rights under domestic law.</w:t>
      </w:r>
    </w:p>
    <w:p>
      <w:pPr>
        <w:pStyle w:val="Heading2"/>
      </w:pPr>
      <w:bookmarkStart w:id="901987" w:name="_Toc300001986"/>
      <w:r>
        <w:t>Article 62.13: Agricultural, Food, and Animal-Health Emergency Logistics</w:t>
      </w:r>
      <w:bookmarkEnd w:id="901987"/>
    </w:p>
    <w:p>
      <w:pPr>
        <w:pStyle w:val="Normal"/>
      </w:pPr>
      <w:r>
        <w:t>1. The Parties shall maintain contingency procedures for movement of emergency food, feed, veterinary supplies, livestock-related equipment, agricultural inputs, and other essential agri-food goods during qualifying disruptions.</w:t>
      </w:r>
    </w:p>
    <w:p>
      <w:pPr>
        <w:pStyle w:val="Normal"/>
      </w:pPr>
      <w:r>
        <w:t>2. Sanitary, phytosanitary, animal-health, and food-safety controls remain in force. Authorities should use risk-based routing, compartmentalization, electronic certification, and other tools to preserve safe trade where a blanket closure is unnecessary.</w:t>
      </w:r>
    </w:p>
    <w:p>
      <w:pPr>
        <w:pStyle w:val="Heading2"/>
      </w:pPr>
      <w:bookmarkStart w:id="901988" w:name="_Toc300001987"/>
      <w:r>
        <w:t>Article 62.14: Resilience Finance and Catastrophe-Risk Tools</w:t>
      </w:r>
      <w:bookmarkEnd w:id="901988"/>
    </w:p>
    <w:p>
      <w:pPr>
        <w:pStyle w:val="Normal"/>
      </w:pPr>
      <w:r>
        <w:t>1. The Parties may facilitate catastrophe bonds, resilience bonds, insurance, reinsurance, public-private financing, business-continuity finance, and other lawful instruments that mobilize private capital for mitigation and recovery.</w:t>
      </w:r>
    </w:p>
    <w:p>
      <w:pPr>
        <w:pStyle w:val="Normal"/>
      </w:pPr>
      <w:r>
        <w:t>2. Joint or coordinated instruments shall define risk allocation and shall not create an unlimited fiscal guarantee by another Party.</w:t>
      </w:r>
    </w:p>
    <w:p>
      <w:pPr>
        <w:pStyle w:val="Normal"/>
      </w:pPr>
      <w:r>
        <w:t>3. Projects financed under this Article should disclose measurable resilience outcomes appropriate to the asset, such as reduced outage time, alternate routing, flood protection, fire resistance, or restoration capacity.</w:t>
      </w:r>
    </w:p>
    <w:p>
      <w:pPr>
        <w:pStyle w:val="Heading2"/>
      </w:pPr>
      <w:bookmarkStart w:id="901989" w:name="_Toc300001988"/>
      <w:r>
        <w:t>Article 62.15: Disaster Innovation and Rapid Qualification Pathway</w:t>
      </w:r>
      <w:bookmarkEnd w:id="901989"/>
    </w:p>
    <w:p>
      <w:pPr>
        <w:pStyle w:val="Normal"/>
      </w:pPr>
      <w:r>
        <w:t>1. The Parties may use the Experimental Technology Pathway and shared testing facilities to evaluate new emergency technologies, including communications, sensors, robotics, additive manufacturing, remote sensing, logistics software, and other tools without prescribing a particular technology.</w:t>
      </w:r>
    </w:p>
    <w:p>
      <w:pPr>
        <w:pStyle w:val="Normal"/>
      </w:pPr>
      <w:r>
        <w:t>2. A successful pilot may qualify for expedited procurement or mutual-aid consideration but does not receive an automatic purchase commitment.</w:t>
      </w:r>
    </w:p>
    <w:p>
      <w:pPr>
        <w:pStyle w:val="Heading2"/>
      </w:pPr>
      <w:bookmarkStart w:id="901990" w:name="_Toc300001989"/>
      <w:r>
        <w:t>Article 62.16: Recovery, Reconstruction, and Local Economic Continuity</w:t>
      </w:r>
      <w:bookmarkEnd w:id="901990"/>
    </w:p>
    <w:p>
      <w:pPr>
        <w:pStyle w:val="Normal"/>
      </w:pPr>
      <w:r>
        <w:t>1. Recovery programs should seek rapid restoration of lawful commerce, SMEs, transportation, energy, communications, housing, public services, and critical supply chains while allowing communities to rebuild to more resilient standards under domestic law.</w:t>
      </w:r>
    </w:p>
    <w:p>
      <w:pPr>
        <w:pStyle w:val="Normal"/>
      </w:pPr>
      <w:r>
        <w:t>2. The Parties may coordinate supplier matching, temporary customs treatment, reconstruction procurement, workforce mobility, and brownfield or infrastructure reuse where cross-border cooperation materially accelerates recovery.</w:t>
      </w:r>
    </w:p>
    <w:p>
      <w:pPr>
        <w:pStyle w:val="Heading2"/>
      </w:pPr>
      <w:bookmarkStart w:id="901991" w:name="_Toc300001990"/>
      <w:r>
        <w:t>Article 62.17: After-Action Review and No-Fault Learning</w:t>
      </w:r>
      <w:bookmarkEnd w:id="901991"/>
    </w:p>
    <w:p>
      <w:pPr>
        <w:pStyle w:val="Normal"/>
      </w:pPr>
      <w:r>
        <w:t>1. Following a major joint activation, participating authorities shall prepare a non-confidential after-action assessment identifying material successes, bottlenecks, legal conflicts, data failures, procurement problems, and recommended corrections.</w:t>
      </w:r>
    </w:p>
    <w:p>
      <w:pPr>
        <w:pStyle w:val="Normal"/>
      </w:pPr>
      <w:r>
        <w:t>2. Good-faith identification of an operational failure for learning purposes shall not by itself establish treaty liability. Evidence of fraud, corruption, discrimination, or deliberate non-compliance remains actionable under applicable law.</w:t>
      </w:r>
    </w:p>
    <w:p>
      <w:pPr>
        <w:pStyle w:val="Normal"/>
      </w:pPr>
      <w:r>
        <w:t>3. Repeated lessons shall be incorporated into protocols, exercises, procurement specifications, stockpile planning, and implementation guidance.</w:t>
      </w:r>
    </w:p>
    <w:p>
      <w:pPr>
        <w:pStyle w:val="Heading2"/>
      </w:pPr>
      <w:bookmarkStart w:id="901992" w:name="_Toc300001991"/>
      <w:r>
        <w:t>Article 62.18: Relationship to Other Chapters and Cothrom Review</w:t>
      </w:r>
      <w:bookmarkEnd w:id="901992"/>
    </w:p>
    <w:p>
      <w:pPr>
        <w:pStyle w:val="Normal"/>
      </w:pPr>
      <w:r>
        <w:t>1. Chapters 7, 19, 23, 31, 35, 36, 38, 42, 49, 55, and 61, together with any other Chapter applicable to the subject matter of the measure concerned, remain applicable. This Chapter coordinates their emergency use and does not create authority to suspend unrelated treaty rights. Annex 62-A identifies initial, non-self-executing resilience modules for coordination under this Chapter and does not independently establish an emergency trigger, expenditure commitment, procurement entitlement, or derogation from another Chapter. A module may be implemented only through the competent authority and procedure applicable to its subject matter, and a change to substantive treaty rights or obligations requires the amendment authority otherwise prescribed by Article 34.3. Technical maintenance that would alter treaty text proceeds only where expressly authorized under Article 34.3.A, while Article 46.11 remains limited to non-substantive corrections.</w:t>
      </w:r>
    </w:p>
    <w:p>
      <w:pPr>
        <w:pStyle w:val="Normal"/>
      </w:pPr>
      <w:r>
        <w:t>2. A dispute over emergency assistance should first receive rapid technical consultation and cure through an existing Cothrom or other NAESTMA mechanism applicable to the underlying obligation. Retaliation against unrelated sectors is disfavored and any remedy shall satisfy the Narrowest-Sufficient-Remedy Rule.</w:t>
      </w:r>
    </w:p>
    <w:p>
      <w:pPr>
        <w:pStyle w:val="Heading2"/>
      </w:pPr>
      <w:bookmarkStart w:id="901993" w:name="_Toc300001992"/>
      <w:r>
        <w:t>ANNEX 62-A: INITIAL CONTINENTAL RESILIENCE MODULES</w:t>
      </w:r>
      <w:bookmarkEnd w:id="901993"/>
    </w:p>
    <w:p>
      <w:pPr>
        <w:pStyle w:val="Normal"/>
      </w:pPr>
      <w:r>
        <w:t>1. Module A: Border and Logistics: responder manifests, Disaster Lanes, temporary admission, alternate ports, and emergency operating-hour coordination.</w:t>
      </w:r>
    </w:p>
    <w:p>
      <w:pPr>
        <w:pStyle w:val="Normal"/>
      </w:pPr>
      <w:r>
        <w:t>2. Module B: Grid and Communications: transformer and generator visibility, mobile substations, telecommunications restoration, mutual-aid crews, and priority transport.</w:t>
      </w:r>
    </w:p>
    <w:p>
      <w:pPr>
        <w:pStyle w:val="Normal"/>
      </w:pPr>
      <w:r>
        <w:t>3. Module C: Wildfire and Severe Weather: seasonal equipment availability, cross-border wildfire support, flood pumps and barriers, water systems, and shared situational awareness.</w:t>
      </w:r>
    </w:p>
    <w:p>
      <w:pPr>
        <w:pStyle w:val="Normal"/>
      </w:pPr>
      <w:r>
        <w:t>4. Module D: Shelter and Reconstruction: modular shelter and housing, lumber and engineered wood, steel, aluminum, glass, electrical equipment, temporary bridges, and rapid supplier qualification.</w:t>
      </w:r>
    </w:p>
    <w:p>
      <w:pPr>
        <w:pStyle w:val="Normal"/>
      </w:pPr>
      <w:r>
        <w:t>5. Module E: Agricultural and Community Continuity: food and feed logistics, veterinary and animal-health support, remote-community supply, and community-led resilience.</w:t>
      </w:r>
    </w:p>
    <w:p>
      <w:pPr>
        <w:pStyle w:val="Normal"/>
      </w:pPr>
      <w:r>
        <w:t>6. Module F: Finance, Innovation, and Learning: resilience finance, experimental technologies, shared testing, exercises, and after-action improvement.</w:t>
      </w:r>
    </w:p>
    <w:p>
      <w:pPr>
        <w:pStyle w:val="Heading2"/>
      </w:pPr>
      <w:bookmarkStart w:id="901994" w:name="_Toc300001993"/>
      <w:r>
        <w:t>PACKAGE AD: CONTINENTAL RESILIENCE ENRICHMENT AND IMPLEMENTATION PACKAGE (v5.3)</w:t>
      </w:r>
      <w:bookmarkEnd w:id="901994"/>
    </w:p>
    <w:p>
      <w:pPr>
        <w:pStyle w:val="Normal"/>
      </w:pPr>
      <w:r>
        <w:t>The package descriptors AD-1 through AA-6 are explanatory entries of the kind recorded in the Amendment Ledger, carry the non-operative legal status stated for that Ledger, and yield to operative text, annexes and schedules in any inconsistency. AD-1. Chapter 37 adds a strategic industrial scale-up pathway, distributed mineral pilot-plant network, bounded project-risk facilitation, urban-mining and rare-earth-magnet recovery, mineral-substitution research, and mine-community transition planning.</w:t>
      </w:r>
    </w:p>
    <w:p>
      <w:pPr>
        <w:pStyle w:val="Normal"/>
      </w:pPr>
      <w:r>
        <w:t>AD-2. Chapter 43 adds dairy allocation portability, quarterly active-use reallocation, functional access pools, exporter pre-clearance and a new-entrant gateway; beverage provisions add listing transparency, special-order access, a small-producer gateway, and North American beverage-input cooperation.</w:t>
      </w:r>
    </w:p>
    <w:p>
      <w:pPr>
        <w:pStyle w:val="Normal"/>
      </w:pPr>
      <w:r>
        <w:t>AD-3. Chapter 59 adds bounded platform/model-family content banking, shared supplier qualification and failure-analysis facilities, and an investment-linked transitional tariff credit subject to the Continental Additionality Test.</w:t>
      </w:r>
    </w:p>
    <w:p>
      <w:pPr>
        <w:pStyle w:val="Normal"/>
      </w:pPr>
      <w:r>
        <w:t>AD-4. New Chapter 62 establishes a civilian-led North American disaster-resilience and mutual-assistance framework covering responder credentials, Disaster Lanes, call-off contracts, power restoration, wildfire equipment, reconstruction materials, early warning, mapping, exercises, community resilience, agricultural continuity, resilience finance, innovation, recovery, and after-action learning.</w:t>
      </w:r>
    </w:p>
    <w:p>
      <w:pPr>
        <w:pStyle w:val="Heading2"/>
      </w:pPr>
      <w:bookmarkStart w:id="901995" w:name="_Toc300001994"/>
      <w:r>
        <w:t>PACKAGE AC: FINAL IMPLEMENTATION AND INTEGRATION PACKAGE (v5.1)</w:t>
      </w:r>
      <w:bookmarkEnd w:id="901995"/>
    </w:p>
    <w:p>
      <w:pPr>
        <w:pStyle w:val="Normal"/>
      </w:pPr>
      <w:r>
        <w:t>AC-1. Annex 35-D.1 supplies three principal-level tariff landing options while preserving Annex 35-D immediate normalization as the default and prioritizing de-escalation of exceptional 50-percent-or-greater rates.</w:t>
      </w:r>
    </w:p>
    <w:p>
      <w:pPr>
        <w:pStyle w:val="Normal"/>
      </w:pPr>
      <w:r>
        <w:t>AC-2. Annex 49-A establishes a preliminary domestic / North American / other-partner procurement hierarchy for designated covered procurements with transparent qualification and protected security exclusions.</w:t>
      </w:r>
    </w:p>
    <w:p>
      <w:pPr>
        <w:pStyle w:val="Normal"/>
      </w:pPr>
      <w:r>
        <w:t>AC-3. Annex 43-F creates a 0/30/60/90-day beverage-alcohol market-access implementation ramp centered on transparency, non-discrimination, and voluntary subnational pilots rather than guaranteed sales.</w:t>
      </w:r>
    </w:p>
    <w:p>
      <w:pPr>
        <w:pStyle w:val="Normal"/>
      </w:pPr>
      <w:r>
        <w:t>AC-4. Implementation Instrument I-1 sets out implementation instructions, subordinate to the controlling milestones in Annex 34-F, including the express Day-30 administrative duties in its paragraphs 3 and 4, for entry-into-force, Day-30, Day-90, and Year-One sequencing of tariff, customs, procurement, alcohol, automotive, minerals, forestry, digital, and implementation-coordination obligations.</w:t>
      </w:r>
    </w:p>
    <w:p>
      <w:pPr>
        <w:pStyle w:val="Heading2"/>
      </w:pPr>
      <w:bookmarkStart w:id="901996" w:name="_Toc300001995"/>
      <w:r>
        <w:t>PACKAGE AB: MEXICO PARITY, TRILATERAL PROCUREMENT, FORESTRY INTEGRATION, AND INDUSTRIAL RESILIENCE PACKAGE (v5.0)</w:t>
      </w:r>
      <w:bookmarkEnd w:id="901996"/>
    </w:p>
    <w:p>
      <w:pPr>
        <w:pStyle w:val="Normal"/>
      </w:pPr>
      <w:r>
        <w:t>AB-1. Articles 42.24–42.29 establish a full Mexican forestry and wood-products integration lane while expressly firewalling Mexico from the historic Canada-United States softwood-lumber dispute.</w:t>
      </w:r>
    </w:p>
    <w:p>
      <w:pPr>
        <w:pStyle w:val="Normal"/>
      </w:pPr>
      <w:r>
        <w:t>AB-2. Article 48.6 makes the continuous-duration and investment-reliance architecture explicitly trilateral and prevents bilateral review disputes from creating de facto renewal uncertainty for unrelated Mexican trade.</w:t>
      </w:r>
    </w:p>
    <w:p>
      <w:pPr>
        <w:pStyle w:val="Normal"/>
      </w:pPr>
      <w:r>
        <w:t>AB-3. Articles 49.7–49.9 create North American strategic procurement reciprocity, an expedited Mexican extraordinary-tariff normalization track, and a trilateral steel/aluminum normalization and anti-diversion bargain.</w:t>
      </w:r>
    </w:p>
    <w:p>
      <w:pPr>
        <w:pStyle w:val="Normal"/>
      </w:pPr>
      <w:r>
        <w:t>AB-4. Article 50.8 adds a Mexican digital-manufacturing and SME export lane tied to electronics, semiconductors, software, customs interoperability, and procurement opportunity.</w:t>
      </w:r>
    </w:p>
    <w:p>
      <w:pPr>
        <w:pStyle w:val="Normal"/>
      </w:pPr>
      <w:r>
        <w:t>AB-5. Article 59.22 reinforces equal treatment of Canadian, Mexican, and United States originating automotive value and adds a Continental Additionality Test against subsidy-driven intra-North-American relocation.</w:t>
      </w:r>
    </w:p>
    <w:p>
      <w:pPr>
        <w:pStyle w:val="Normal"/>
      </w:pPr>
      <w:r>
        <w:t>AB-6. Chapter 61 establishes a high-level North American defense-industrial materials and capacity framework covering strategic inputs, long-term demand signals, reciprocal supplier qualification, rotating reserves, surge capacity, recycling, workforce resilience, and a civilian-priority firewall without prescribing weapon or ammunition design.</w:t>
      </w:r>
    </w:p>
    <w:p>
      <w:pPr>
        <w:pStyle w:val="Heading2"/>
      </w:pPr>
      <w:bookmarkStart w:id="901997" w:name="_Toc300001996"/>
      <w:r>
        <w:t>PACKAGE AA: TRIADIC LABOUR FLOOR, EQUAL DIGNITY, AND CROSS-BORDER SOVEREIGNTY HARDENING (v4.9)</w:t>
      </w:r>
      <w:bookmarkEnd w:id="901997"/>
    </w:p>
    <w:p>
      <w:pPr>
        <w:pStyle w:val="Normal"/>
      </w:pPr>
      <w:r>
        <w:t>AA-1. Articles 23.D–23.P establish a consolidated Triadic Labour Floor covering basic workplace conditions, emergency readiness, occupational environmental quality, PPE, rest and accommodation, illness and family continuity, anti-discrimination, migrant-worker parity, automated employment decisions, protected exercise, and proportional enforcement.</w:t>
      </w:r>
    </w:p>
    <w:p>
      <w:pPr>
        <w:pStyle w:val="Normal"/>
      </w:pPr>
      <w:r>
        <w:t>AA-2. Chapter 60 establishes reciprocal territorial-sovereignty rules for foreign enforcement personnel and prevents this Agreement from becoming an independent source of civil immigration-enforcement authority.</w:t>
      </w:r>
    </w:p>
    <w:p>
      <w:pPr>
        <w:pStyle w:val="Normal"/>
      </w:pPr>
      <w:r>
        <w:t>AA-3. Treaty-enabled data sharing is subject to purpose limitation, necessity, proportionality, minimization, sensitive-institution protections, non-circumvention, access logging, and domestic-law safeguards.</w:t>
      </w:r>
    </w:p>
    <w:p>
      <w:pPr>
        <w:pStyle w:val="Normal"/>
      </w:pPr>
      <w:r>
        <w:t>AA-4. A Protected Exercise Firewall prevents labour-rights and occupational-safety complaint channels from being repurposed as unrelated foreign civil immigration-enforcement pipelines, subject to narrow lawful exceptions.</w:t>
      </w:r>
    </w:p>
    <w:p>
      <w:pPr>
        <w:pStyle w:val="Normal"/>
      </w:pPr>
      <w:r>
        <w:t>AA-5. A Foreign Enforcement Officer Stand-Down Protocol permits immediate suspension of operational activity where host-country authorities find reasonable grounds to believe a material violation has occurred, while preserving due process and full host-state legal authority.</w:t>
      </w:r>
    </w:p>
    <w:p>
      <w:pPr>
        <w:pStyle w:val="Normal"/>
      </w:pPr>
      <w:r>
        <w:t>AA-6. Institutional restraint is maintained throughout: existing courts, regulators, oversight bodies, and treaty mechanisms are used instead of creating unnecessary new standing institutions.</w:t>
      </w:r>
    </w:p>
    <w:p>
      <w:pPr>
        <w:pStyle w:val="Heading1"/>
      </w:pPr>
      <w:bookmarkStart w:id="901998" w:name="_Toc300001997"/>
      <w:r>
        <w:t>CHAPTER 63: NORTH AMERICAN MEDICINES SECURITY AND PHARMACEUTICAL RESILIENCE</w:t>
      </w:r>
      <w:bookmarkEnd w:id="901998"/>
    </w:p>
    <w:p>
      <w:pPr>
        <w:pStyle w:val="Normal"/>
      </w:pPr>
      <w:r>
        <w:t xml:space="preserve">★ </w:t>
      </w:r>
      <w:r>
        <w:t>VISIBLE TRILATERAL WIN: MORE ESSENTIAL MEDICINES MADE IN NORTH AMERICA, STRONGER EMERGENCY SUPPLY, AND NO MEDICINE AS A TARIFF HOSTAGE</w:t>
      </w:r>
    </w:p>
    <w:p>
      <w:pPr>
        <w:pStyle w:val="Heading2"/>
      </w:pPr>
      <w:bookmarkStart w:id="901999" w:name="_Toc300001998"/>
      <w:r>
        <w:t>Article 63.1: Purpose and Governing Principles</w:t>
      </w:r>
      <w:bookmarkEnd w:id="901999"/>
    </w:p>
    <w:p>
      <w:pPr>
        <w:pStyle w:val="Normal"/>
      </w:pPr>
      <w:r>
        <w:t>1. The Parties shall strengthen the resilience, diversity, reliability, affordability, quality, and security of North American pharmaceutical supply chains while preserving each Party’s sovereign authority over health, safety, drug approval, reimbursement, procurement, intellectual property, taxation, and emergency powers.</w:t>
      </w:r>
    </w:p>
    <w:p>
      <w:pPr>
        <w:pStyle w:val="Normal"/>
      </w:pPr>
      <w:r>
        <w:t>2. Cooperation under this Chapter shall seek to reduce catastrophic single-source dependence rather than require pharmaceutical autarky. Trusted external sources remain permissible where they improve resilience, affordability, quality, or continuity.</w:t>
      </w:r>
    </w:p>
    <w:p>
      <w:pPr>
        <w:pStyle w:val="Normal"/>
      </w:pPr>
      <w:r>
        <w:t>3. The Parties shall pursue geographic redundancy, commercially sustainable capacity, interoperable regulation, rapid shortage response, and visible domestic industrial gains in all three Parties.</w:t>
      </w:r>
    </w:p>
    <w:p>
      <w:pPr>
        <w:pStyle w:val="Normal"/>
      </w:pPr>
      <w:r>
        <w:t>4. No Party shall be assigned a permanent subordinate pharmaceutical role. Specialization may reflect existing strengths, but critical capacity should, where technically and economically practicable, be supported by qualified alternative sources.</w:t>
      </w:r>
    </w:p>
    <w:p>
      <w:pPr>
        <w:pStyle w:val="Heading2"/>
      </w:pPr>
      <w:bookmarkStart w:id="902000" w:name="_Toc300001999"/>
      <w:r>
        <w:t>Article 63.2: Essential Medicines and Strategic Pharmaceutical Classification</w:t>
      </w:r>
      <w:bookmarkEnd w:id="902000"/>
    </w:p>
    <w:p>
      <w:pPr>
        <w:pStyle w:val="Normal"/>
      </w:pPr>
      <w:r>
        <w:t>1. The Parties shall maintain a coordinated, periodically reviewed classification architecture covering: (a) life-critical medicines; (b) shortage-sensitive essential medicines; (c) strategic medical countermeasures; (d) critical APIs, key starting materials and indispensable excipients; and (e) strategic pharmaceutical manufacturing inputs.</w:t>
      </w:r>
    </w:p>
    <w:p>
      <w:pPr>
        <w:pStyle w:val="Normal"/>
      </w:pPr>
      <w:r>
        <w:t>2. Classification shall consider clinical indispensability, availability of therapeutic substitutes, supplier concentration, manufacturing lead time, geographic concentration, shortage history, transport sensitivity, shelf life, surge feasibility, and consequences of interruption.</w:t>
      </w:r>
    </w:p>
    <w:p>
      <w:pPr>
        <w:pStyle w:val="Normal"/>
      </w:pPr>
      <w:r>
        <w:t>3. The classification process shall not require disclosure of protected patient information, trade secrets, security-sensitive stockpile locations, or commercially sensitive facility data beyond what is reasonably necessary.</w:t>
      </w:r>
    </w:p>
    <w:p>
      <w:pPr>
        <w:pStyle w:val="Heading2"/>
      </w:pPr>
      <w:bookmarkStart w:id="902001" w:name="_Toc300002000"/>
      <w:r>
        <w:t>Article 63.3: Medicines Peace Clause and No-Tariff-Hostage Rule</w:t>
      </w:r>
      <w:bookmarkEnd w:id="902001"/>
    </w:p>
    <w:p>
      <w:pPr>
        <w:pStyle w:val="Normal"/>
      </w:pPr>
      <w:r>
        <w:t>1. Originating life-critical medicines, essential generics, shortage-sensitive essential medicines classified under Article 63.2, critical APIs lacking adequate substitutes, medical countermeasures, and medical isotopes receive exceptionally strong continuity protection. For Chapter 63 purposes, each Party's competent health or medicines authority identifies the products falling within its Article 63.2 classifications and the Parties coordinate those classifications through the Commission; a shipment-eligibility certification issued under Article 38.9 and Annex 38-B independently controls where the shipment claims the protections attached to Annex 38-B. A classification or designation under this Article does not by itself change origin, approve a medicine, compel production, create a tariff concession, or authorize an emergency measure. Where another provision uses a narrower controlling list or certification for a specific benefit, that specific eligibility rule governs the benefit while Article 63.2 supplies the Chapter 63 continuity classification.</w:t>
      </w:r>
    </w:p>
    <w:p>
      <w:pPr>
        <w:pStyle w:val="Normal"/>
      </w:pPr>
      <w:r>
        <w:t>2. A Party shall not use access to designated essential medicines as leverage for an unrelated trade, diplomatic, procurement, or political concession.</w:t>
      </w:r>
    </w:p>
    <w:p>
      <w:pPr>
        <w:pStyle w:val="Normal"/>
      </w:pPr>
      <w:r>
        <w:t>3. Pharmaceutical industrial-policy disputes should ordinarily be addressed through investment preferences, qualification benefits, procurement treatment, verification, or other proportionate industrial measures before any action that could foreseeably interrupt patient access.</w:t>
      </w:r>
    </w:p>
    <w:p>
      <w:pPr>
        <w:pStyle w:val="Normal"/>
      </w:pPr>
      <w:r>
        <w:t>4. A verified shortage or imminent shortage may justify temporary tariff suspension, expedited customs treatment, emergency sourcing, or other continuity measures without prejudice to later review.</w:t>
      </w:r>
    </w:p>
    <w:p>
      <w:pPr>
        <w:pStyle w:val="Normal"/>
      </w:pPr>
      <w:r>
        <w:t>5. Nothing in this Article prevents proportionate action against fraud, unsafe products, sanctions evasion, illicit trafficking, false origin, or other unlawful conduct.</w:t>
      </w:r>
    </w:p>
    <w:p>
      <w:pPr>
        <w:pStyle w:val="Heading2"/>
      </w:pPr>
      <w:bookmarkStart w:id="902002" w:name="_Toc300002001"/>
      <w:r>
        <w:t>Article 63.4: Pharmaceutical Rules of Origin and Transformation</w:t>
      </w:r>
      <w:bookmarkEnd w:id="902002"/>
    </w:p>
    <w:p>
      <w:pPr>
        <w:pStyle w:val="Normal"/>
      </w:pPr>
      <w:r>
        <w:t>1. The Parties shall develop pharmaceutical rules of origin that recognize meaningful North American synthesis, fermentation, bioprocessing, formulation, and finished-dose transformation while preventing simple packaging, relabeling, or transshipment from conferring origin.</w:t>
      </w:r>
    </w:p>
    <w:p>
      <w:pPr>
        <w:pStyle w:val="Normal"/>
      </w:pPr>
      <w:r>
        <w:t>2. Origin verification shall be traceable, technology-neutral, proportionate to risk, and capable of relying on ordinary commercial and regulatory records. No blockchain or other specific technology shall be mandatory.</w:t>
      </w:r>
    </w:p>
    <w:p>
      <w:pPr>
        <w:pStyle w:val="Normal"/>
      </w:pPr>
      <w:r>
        <w:t>3. Emergency use of qualified trusted external APIs or key starting materials does not automatically disqualify a product from continuity treatment where the applicable Annex 4-B origin rule or an independently authorized emergency provision permits that treatment. A technical change to an Annex 4-B product-specific rule may proceed through Article 34.3.A only within the authority and limits stated in that Article and upon the recommendation required for Annex 4-B. A waiver, exception, or change that alters substantive origin rights or market access requires Article 34.3 or another express treaty authority that independently permits the result. This paragraph creates no free-standing pharmaceutical origin waiver.</w:t>
      </w:r>
    </w:p>
    <w:p>
      <w:pPr>
        <w:pStyle w:val="Heading2"/>
      </w:pPr>
      <w:bookmarkStart w:id="902003" w:name="_Toc300002002"/>
      <w:r>
        <w:t>Article 63.5: Critical API and Key Starting Material Security</w:t>
      </w:r>
      <w:bookmarkEnd w:id="902003"/>
    </w:p>
    <w:p>
      <w:pPr>
        <w:pStyle w:val="Normal"/>
      </w:pPr>
      <w:r>
        <w:t>1. The Parties shall maintain a Critical API and KSM Risk Register identifying material single-source dependencies, concentrated foreign dependencies, fragile production economics, and midstream capability gaps.</w:t>
      </w:r>
    </w:p>
    <w:p>
      <w:pPr>
        <w:pStyle w:val="Normal"/>
      </w:pPr>
      <w:r>
        <w:t>2. For the most critical API families, the Parties shall seek qualified production or dependable alternative sourcing in at least two Parties or through a combination of North American and trusted external sources, where practicable.</w:t>
      </w:r>
    </w:p>
    <w:p>
      <w:pPr>
        <w:pStyle w:val="Normal"/>
      </w:pPr>
      <w:r>
        <w:t>3. Cooperation may include long-term offtake arrangements, capacity-preservation contracts, development-bank financing, fermentation and small-molecule capacity, biologic API capability, second-source qualification, recycling or recovery where applicable, and emergency surge agreements.</w:t>
      </w:r>
    </w:p>
    <w:p>
      <w:pPr>
        <w:pStyle w:val="Normal"/>
      </w:pPr>
      <w:r>
        <w:t>4. Numerical localization targets shall be evidence-based, periodically reviewed, and shall not create an obligation to manufacture uneconomic or technically unsuitable inputs solely to satisfy a headline percentage.</w:t>
      </w:r>
    </w:p>
    <w:p>
      <w:pPr>
        <w:pStyle w:val="Heading2"/>
      </w:pPr>
      <w:bookmarkStart w:id="902004" w:name="_Toc300002003"/>
      <w:r>
        <w:t>Article 63.6: Essential Generics Security</w:t>
      </w:r>
      <w:bookmarkEnd w:id="902004"/>
    </w:p>
    <w:p>
      <w:pPr>
        <w:pStyle w:val="Normal"/>
      </w:pPr>
      <w:r>
        <w:t>1. The Parties shall maintain an Essential Generics List and identify products for which persistent shortages, thin margins, supplier concentration, or facility concentration create material health-security risk.</w:t>
      </w:r>
    </w:p>
    <w:p>
      <w:pPr>
        <w:pStyle w:val="Normal"/>
      </w:pPr>
      <w:r>
        <w:t>2. Measures may include minimum viable capacity contracts, multi-year procurement or offtake arrangements, diversified manufacturing, shortage notification, emergency contracting, workforce support, and investment facilitation.</w:t>
      </w:r>
    </w:p>
    <w:p>
      <w:pPr>
        <w:pStyle w:val="Normal"/>
      </w:pPr>
      <w:r>
        <w:t>3. Government procurement preferences authorized under this Article shall remain consistent with applicable commitments and shall not create an exclusive entitlement for any one Party.</w:t>
      </w:r>
    </w:p>
    <w:p>
      <w:pPr>
        <w:pStyle w:val="Heading2"/>
      </w:pPr>
      <w:bookmarkStart w:id="902005" w:name="_Toc300002004"/>
      <w:r>
        <w:t>Article 63.7: Sterile Injectables and Fill-Finish Resilience</w:t>
      </w:r>
      <w:bookmarkEnd w:id="902005"/>
    </w:p>
    <w:p>
      <w:pPr>
        <w:pStyle w:val="Normal"/>
      </w:pPr>
      <w:r>
        <w:t>1. The Parties recognize sterile injectables, aseptic processing, fill-finish capacity, lyophilization, blow-fill-seal systems, oncology injectables, critical-care injectables, pediatric formulations, and related sterile manufacturing as priority resilience capabilities.</w:t>
      </w:r>
    </w:p>
    <w:p>
      <w:pPr>
        <w:pStyle w:val="Normal"/>
      </w:pPr>
      <w:r>
        <w:t>2. For designated critical injectable products, the Parties shall seek qualified production redundancy in at least two locations or Parties where technically and economically practicable.</w:t>
      </w:r>
    </w:p>
    <w:p>
      <w:pPr>
        <w:pStyle w:val="Normal"/>
      </w:pPr>
      <w:r>
        <w:t>3. Critical injectable contingency planning should identify alternate production sites, qualified suppliers, validated transfer pathways, specialized workforce requirements, and emergency surge options.</w:t>
      </w:r>
    </w:p>
    <w:p>
      <w:pPr>
        <w:pStyle w:val="Heading2"/>
      </w:pPr>
      <w:bookmarkStart w:id="902006" w:name="_Toc300002005"/>
      <w:r>
        <w:t>Article 63.8: Strategic Pharmaceutical Manufacturing Inputs</w:t>
      </w:r>
      <w:bookmarkEnd w:id="902006"/>
    </w:p>
    <w:p>
      <w:pPr>
        <w:pStyle w:val="Normal"/>
      </w:pPr>
      <w:r>
        <w:t>The Parties shall identify and reduce vulnerabilities involving vials, prefilled syringes, plungers, rubber stoppers, borosilicate glass, sterile filters, single-use bioreactor components, fill-finish equipment, lyophilization equipment, analytical systems, specialized packaging, refrigeration systems, and other indispensable pharmaceutical manufacturing inputs.</w:t>
      </w:r>
    </w:p>
    <w:p>
      <w:pPr>
        <w:pStyle w:val="Heading2"/>
      </w:pPr>
      <w:bookmarkStart w:id="902007" w:name="_Toc300002006"/>
      <w:r>
        <w:t>Article 63.9: Antibiotic and Antiviral Security Initiative</w:t>
      </w:r>
      <w:bookmarkEnd w:id="902007"/>
    </w:p>
    <w:p>
      <w:pPr>
        <w:pStyle w:val="Normal"/>
      </w:pPr>
      <w:r>
        <w:t>1. The Parties shall identify essential antibiotics and antivirals for which loss of production would create unacceptable health-security risk.</w:t>
      </w:r>
    </w:p>
    <w:p>
      <w:pPr>
        <w:pStyle w:val="Normal"/>
      </w:pPr>
      <w:r>
        <w:t>2. Cooperation may support economically fragile but medically essential production through capacity-preservation contracts, API/KSM security, rotating reserves, alternate facilities, second-source qualification, stewardship-compatible procurement, and emergency cross-border sharing.</w:t>
      </w:r>
    </w:p>
    <w:p>
      <w:pPr>
        <w:pStyle w:val="Normal"/>
      </w:pPr>
      <w:r>
        <w:t>3. Nothing in this Article requires inappropriate stockpiling or procurement that would undermine antimicrobial stewardship.</w:t>
      </w:r>
    </w:p>
    <w:p>
      <w:pPr>
        <w:pStyle w:val="Heading2"/>
      </w:pPr>
      <w:bookmarkStart w:id="902008" w:name="_Toc300002007"/>
      <w:r>
        <w:t>Article 63.10: Vaccines, Biologics and Platform Manufacturing</w:t>
      </w:r>
      <w:bookmarkEnd w:id="902008"/>
    </w:p>
    <w:p>
      <w:pPr>
        <w:pStyle w:val="Normal"/>
      </w:pPr>
      <w:r>
        <w:t>The Parties shall encourage resilient multipurpose vaccine and biologic manufacturing platforms, including mRNA, protein-subunit, monoclonal-antibody, insulin, immunoglobulin, coagulation-factor and other strategically important capabilities, with emphasis on adaptable platforms, qualified fill-finish capacity, clinical research cooperation, cold-chain resilience, and rapid platform conversion during emergencies.</w:t>
      </w:r>
    </w:p>
    <w:p>
      <w:pPr>
        <w:pStyle w:val="Heading2"/>
      </w:pPr>
      <w:bookmarkStart w:id="902009" w:name="_Toc300002008"/>
      <w:r>
        <w:t>Article 63.11: Pharmaceutical Cold Chain and Emergency Logistics</w:t>
      </w:r>
      <w:bookmarkEnd w:id="902009"/>
    </w:p>
    <w:p>
      <w:pPr>
        <w:pStyle w:val="Normal"/>
      </w:pPr>
      <w:r>
        <w:t>The Parties shall cooperate on redundant refrigeration, emergency power, validated packaging, temperature monitoring, alternate border crossings, priority customs treatment, backup transport routes, contingency air transport, and mutual logistical assistance for temperature-sensitive medicines.</w:t>
      </w:r>
    </w:p>
    <w:p>
      <w:pPr>
        <w:pStyle w:val="Heading2"/>
      </w:pPr>
      <w:bookmarkStart w:id="902010" w:name="_Toc300002009"/>
      <w:r>
        <w:t>Article 63.12: Resilience Equivalence Principle</w:t>
      </w:r>
      <w:bookmarkEnd w:id="902010"/>
    </w:p>
    <w:p>
      <w:pPr>
        <w:pStyle w:val="Normal"/>
      </w:pPr>
      <w:r>
        <w:t>1. Pharmaceutical resilience need not be demonstrated solely through physical stockpiles. A Party may demonstrate equivalent or superior resilience through an appropriate combination of inventory, diversified supply, North American production, qualified alternate facilities, API/KSM reserves, surge capacity, emergency contracting, and resilient logistics.</w:t>
      </w:r>
    </w:p>
    <w:p>
      <w:pPr>
        <w:pStyle w:val="Normal"/>
      </w:pPr>
      <w:r>
        <w:t>2. Coverage standards should be product-specific. A long-shelf-life generic may justify substantial inventory; a short-lived or highly specialized product may require production redundancy, precursor security, or surge capacity instead.</w:t>
      </w:r>
    </w:p>
    <w:p>
      <w:pPr>
        <w:pStyle w:val="Heading2"/>
      </w:pPr>
      <w:bookmarkStart w:id="902011" w:name="_Toc300002010"/>
      <w:r>
        <w:t>Article 63.13: No Single Point of Continental Failure</w:t>
      </w:r>
      <w:bookmarkEnd w:id="902011"/>
    </w:p>
    <w:p>
      <w:pPr>
        <w:pStyle w:val="Normal"/>
      </w:pPr>
      <w:r>
        <w:t>For the most critical medicines and pharmaceutical inputs, the Parties shall progressively identify and, where technically and economically practicable, reduce circumstances in which a single facility, supplier, country, transport corridor, precursor source, or manufacturing input can disable North American supply.</w:t>
      </w:r>
    </w:p>
    <w:p>
      <w:pPr>
        <w:pStyle w:val="Heading2"/>
      </w:pPr>
      <w:bookmarkStart w:id="902012" w:name="_Toc300002011"/>
      <w:r>
        <w:t>Article 63.14: Strategic Medicine Reserves and Rotation</w:t>
      </w:r>
      <w:bookmarkEnd w:id="902012"/>
    </w:p>
    <w:p>
      <w:pPr>
        <w:pStyle w:val="Normal"/>
      </w:pPr>
      <w:r>
        <w:t>1. Each Party retains sovereignty over its strategic medicine reserves. Nothing in this Chapter creates a supranational stockpile or mandatory pooled reserve.</w:t>
      </w:r>
    </w:p>
    <w:p>
      <w:pPr>
        <w:pStyle w:val="Normal"/>
      </w:pPr>
      <w:r>
        <w:t>2. The Parties may coordinate reserve composition, rotation, shortage intelligence, emergency releases, reciprocal access, and replenishment.</w:t>
      </w:r>
    </w:p>
    <w:p>
      <w:pPr>
        <w:pStyle w:val="Normal"/>
      </w:pPr>
      <w:r>
        <w:t>3. Reserve design shall account for shelf life, clinical substitution, production lead time, storage conditions, cost, and surge capability. Exact sensitive inventories and locations need not be publicly disclosed.</w:t>
      </w:r>
    </w:p>
    <w:p>
      <w:pPr>
        <w:pStyle w:val="Heading2"/>
      </w:pPr>
      <w:bookmarkStart w:id="902013" w:name="_Toc300002012"/>
      <w:r>
        <w:t>Article 63.15: Medical Isotopes and Radiopharmaceuticals</w:t>
      </w:r>
      <w:bookmarkEnd w:id="902013"/>
    </w:p>
    <w:p>
      <w:pPr>
        <w:pStyle w:val="Normal"/>
      </w:pPr>
      <w:r>
        <w:t>1. The Parties shall strengthen redundant production, reactor and accelerator capability, generator systems, target-material supply, processing, radiochemistry, quality systems, transport, regulatory coordination, workforce development, and emergency allocation for medical isotopes and radiopharmaceuticals.</w:t>
      </w:r>
    </w:p>
    <w:p>
      <w:pPr>
        <w:pStyle w:val="Normal"/>
      </w:pPr>
      <w:r>
        <w:t>2. Stockpile requirements shall account for radioactive decay and product-specific physical feasibility. Nothing in this Chapter shall require physically meaningless long-duration inventories of short-lived isotopes.</w:t>
      </w:r>
    </w:p>
    <w:p>
      <w:pPr>
        <w:pStyle w:val="Heading2"/>
      </w:pPr>
      <w:bookmarkStart w:id="902014" w:name="_Toc300002013"/>
      <w:r>
        <w:t>Article 63.16: Regulatory Cooperation and Pharmaceutical Fast Lane</w:t>
      </w:r>
      <w:bookmarkEnd w:id="902014"/>
    </w:p>
    <w:p>
      <w:pPr>
        <w:pStyle w:val="Normal"/>
      </w:pPr>
      <w:r>
        <w:t>1. FDA, Health Canada, COFEPRIS and other competent authorities may conduct concurrent or coordinated reviews, use common evidence packages, share inspection information, coordinate GMP inspections, and rely on counterpart findings to the extent each regulator determines appropriate.</w:t>
      </w:r>
    </w:p>
    <w:p>
      <w:pPr>
        <w:pStyle w:val="Normal"/>
      </w:pPr>
      <w:r>
        <w:t>2. Each regulator retains sovereign authority to approve, refuse, suspend, recall, inspect, test, impose conditions, or take emergency action.</w:t>
      </w:r>
    </w:p>
    <w:p>
      <w:pPr>
        <w:pStyle w:val="Normal"/>
      </w:pPr>
      <w:r>
        <w:t>3. Procedural service standards may include acknowledgment, completeness review, status updates, coordinated inspection scheduling, and written explanations for material unexplained delay. No lapse of a clock creates automatic approval.</w:t>
      </w:r>
    </w:p>
    <w:p>
      <w:pPr>
        <w:pStyle w:val="Normal"/>
      </w:pPr>
      <w:r>
        <w:t>4. Panels constituted under Chapter 31 may review discrimination, procedural obstruction, or failure to follow agreed processes, but shall not substitute their scientific judgment for that of a competent health regulator or order approval of a medicine.</w:t>
      </w:r>
    </w:p>
    <w:p>
      <w:pPr>
        <w:pStyle w:val="Heading2"/>
      </w:pPr>
      <w:bookmarkStart w:id="902015" w:name="_Toc300002014"/>
      <w:r>
        <w:t>Article 63.17: Pharmaceutical Facility PreCheck and Commissioning Cooperation</w:t>
      </w:r>
      <w:bookmarkEnd w:id="902015"/>
    </w:p>
    <w:p>
      <w:pPr>
        <w:pStyle w:val="Normal"/>
      </w:pPr>
      <w:r>
        <w:t>The Parties may establish compatible pre-application and facility-readiness pathways for new or expanded pharmaceutical manufacturing facilities, including early regulatory engagement, staged facility assessment, coordinated inspection planning, validation guidance, and predictable commissioning processes without lowering safety, efficacy, quality, or GMP standards.</w:t>
      </w:r>
    </w:p>
    <w:p>
      <w:pPr>
        <w:pStyle w:val="Heading2"/>
      </w:pPr>
      <w:bookmarkStart w:id="902016" w:name="_Toc300002015"/>
      <w:r>
        <w:t>Article 63.18: Pharmaceutical Workforce and Professional Mobility</w:t>
      </w:r>
      <w:bookmarkEnd w:id="902016"/>
    </w:p>
    <w:p>
      <w:pPr>
        <w:pStyle w:val="Normal"/>
      </w:pPr>
      <w:r>
        <w:t>The Parties shall facilitate, consistent with domestic immigration and professional rules, temporary mobility and training for pharmaceutical chemists, bioprocess engineers, aseptic-processing specialists, QA/QC personnel, validation engineers, regulatory-affairs specialists, radiochemists, nuclear-medicine specialists, equipment technicians, and critical maintenance personnel, particularly for commissioning, training, emergency repair, and surge production.</w:t>
      </w:r>
    </w:p>
    <w:p>
      <w:pPr>
        <w:pStyle w:val="Heading2"/>
      </w:pPr>
      <w:bookmarkStart w:id="902017" w:name="_Toc300002016"/>
      <w:r>
        <w:t>Article 63.19: Research, Advanced and Distributed Manufacturing</w:t>
      </w:r>
      <w:bookmarkEnd w:id="902017"/>
    </w:p>
    <w:p>
      <w:pPr>
        <w:pStyle w:val="Normal"/>
      </w:pPr>
      <w:r>
        <w:t>Cooperation may include continuous manufacturing, modular manufacturing, distributed or point-of-care manufacturing pilots, additive or three-dimensional dosage-form manufacturing, advanced fermentation, AI-assisted process control, rapid reconfiguration, real-world evidence, clinical research networks, and other emerging technologies under appropriate regulatory supervision.</w:t>
      </w:r>
    </w:p>
    <w:p>
      <w:pPr>
        <w:pStyle w:val="Heading2"/>
      </w:pPr>
      <w:bookmarkStart w:id="902018" w:name="_Toc300002017"/>
      <w:r>
        <w:t>Article 63.20: Intellectual Property and Emergency Licensing</w:t>
      </w:r>
      <w:bookmarkEnd w:id="902018"/>
    </w:p>
    <w:p>
      <w:pPr>
        <w:pStyle w:val="Normal"/>
      </w:pPr>
      <w:r>
        <w:t>1. Nothing in this Chapter diminishes rights or flexibilities available under applicable international or domestic intellectual-property law.</w:t>
      </w:r>
    </w:p>
    <w:p>
      <w:pPr>
        <w:pStyle w:val="Normal"/>
      </w:pPr>
      <w:r>
        <w:t>2. The Parties may encourage voluntary licensing, patent pools, pre-negotiated emergency licences, technology-transfer incentives, and compensated emergency mechanisms for essential medicines.</w:t>
      </w:r>
    </w:p>
    <w:p>
      <w:pPr>
        <w:pStyle w:val="Normal"/>
      </w:pPr>
      <w:r>
        <w:t>3. A shortage declaration does not by itself extinguish patent rights. Any compulsory measure shall follow applicable law, including requirements concerning scope, necessity, duration, and remuneration.</w:t>
      </w:r>
    </w:p>
    <w:p>
      <w:pPr>
        <w:pStyle w:val="Heading2"/>
      </w:pPr>
      <w:bookmarkStart w:id="902019" w:name="_Toc300002018"/>
      <w:r>
        <w:t>Article 63.21: United States Pharmaceutical Reshoring and Advanced Medicines Track</w:t>
      </w:r>
      <w:bookmarkEnd w:id="902019"/>
    </w:p>
    <w:p>
      <w:pPr>
        <w:pStyle w:val="Normal"/>
      </w:pPr>
      <w:r>
        <w:t>The United States Track may prioritize new or expanded API and KSM production, advanced biologics, sterile injectables, strategic manufacturing equipment, innovative manufacturing, workforce development, facility commissioning, and other investments that visibly increase medicines made in the United States while strengthening continental redundancy.</w:t>
      </w:r>
    </w:p>
    <w:p>
      <w:pPr>
        <w:pStyle w:val="Heading2"/>
      </w:pPr>
      <w:bookmarkStart w:id="902020" w:name="_Toc300002019"/>
      <w:r>
        <w:t>Article 63.22: Canadian Pharmaceutical Security and Medical-Isotope Track</w:t>
      </w:r>
      <w:bookmarkEnd w:id="902020"/>
    </w:p>
    <w:p>
      <w:pPr>
        <w:pStyle w:val="Normal"/>
      </w:pPr>
      <w:r>
        <w:t>The Canadian Track may prioritize medical isotopes and radiopharmaceuticals, biologics, vaccines, APIs, sterile capacity, advanced manufacturing, clinical research, specialized manufacturing, cold-chain infrastructure, and other capabilities in which Canadian expansion improves both domestic and continental resilience.</w:t>
      </w:r>
    </w:p>
    <w:p>
      <w:pPr>
        <w:pStyle w:val="Heading2"/>
      </w:pPr>
      <w:bookmarkStart w:id="902021" w:name="_Toc300002020"/>
      <w:r>
        <w:t>Article 63.23: Mexican Pharmaceutical Manufacturing and Industrial-Upgrading Track</w:t>
      </w:r>
      <w:bookmarkEnd w:id="902021"/>
    </w:p>
    <w:p>
      <w:pPr>
        <w:pStyle w:val="Normal"/>
      </w:pPr>
      <w:r>
        <w:t>1. The Mexican Track may prioritize essential generics, small-molecule APIs and KSMs, sterile injectables, fill-finish, vaccines, selected biologics, controlled medicines subject to strong diversion safeguards, pharmaceutical packaging and components, workforce development, and pharmaceutical R&amp;D.</w:t>
      </w:r>
    </w:p>
    <w:p>
      <w:pPr>
        <w:pStyle w:val="Normal"/>
      </w:pPr>
      <w:r>
        <w:t>2. The Parties recognize a Mexican industrial-upgrading pathway from finished-dose generics toward APIs/KSMs, sterile manufacturing, biologics and vaccines, advanced manufacturing, and higher-value pharmaceutical research and development.</w:t>
      </w:r>
    </w:p>
    <w:p>
      <w:pPr>
        <w:pStyle w:val="Normal"/>
      </w:pPr>
      <w:r>
        <w:t>3. Cooperation may include pharmaceutical industrial clusters, development-bank and export financing, university-industry partnerships, technician and QA training, regulatory-science capacity, apprenticeship and research exchanges, and equal eligibility for qualifying North American resilience procurement.</w:t>
      </w:r>
    </w:p>
    <w:p>
      <w:pPr>
        <w:pStyle w:val="Normal"/>
      </w:pPr>
      <w:r>
        <w:t>4. Mexico may serve as an important voluntary logistics and humanitarian coordination platform for medicine supply to Central America, the Caribbean, and wider Latin America. Nothing in this paragraph authorizes Mexico to bind another Party diplomatically or commercially without that Party’s consent.</w:t>
      </w:r>
    </w:p>
    <w:p>
      <w:pPr>
        <w:pStyle w:val="Heading2"/>
      </w:pPr>
      <w:bookmarkStart w:id="902022" w:name="_Toc300002021"/>
      <w:r>
        <w:t>Article 63.24: Pharmaceutical Education and Regulatory Science Network</w:t>
      </w:r>
      <w:bookmarkEnd w:id="902022"/>
    </w:p>
    <w:p>
      <w:pPr>
        <w:pStyle w:val="Normal"/>
      </w:pPr>
      <w:r>
        <w:t>The Parties shall encourage regulator secondments, university-industry research partnerships, pharmaceutical technician academies, aseptic-processing and QA training, equipment-operator certification, regulatory-affairs education, reciprocal internships, research exchanges, and transparent reporting of training outcomes.</w:t>
      </w:r>
    </w:p>
    <w:p>
      <w:pPr>
        <w:pStyle w:val="Heading2"/>
      </w:pPr>
      <w:bookmarkStart w:id="902023" w:name="_Toc300002022"/>
      <w:r>
        <w:t>Article 63.25: Controlled Medicines, Diversion Prevention and Illicit Fentanyl Firewall</w:t>
      </w:r>
      <w:bookmarkEnd w:id="902023"/>
    </w:p>
    <w:p>
      <w:pPr>
        <w:pStyle w:val="Normal"/>
      </w:pPr>
      <w:r>
        <w:t>1. For greater certainty, nothing in this Agreement authorizes, facilitates, immunizes, or otherwise protects the illicit importation, exportation, transit, manufacture, distribution, or trafficking of fentanyl or fentanyl analogues.</w:t>
      </w:r>
    </w:p>
    <w:p>
      <w:pPr>
        <w:pStyle w:val="Normal"/>
      </w:pPr>
      <w:r>
        <w:t>2. Lawful cross-border movements of fentanyl for legitimate medical, scientific, or other authorized purposes shall remain subject to enhanced verification appropriate to the exceptional public-safety risks associated with diversion, including licensing checks, validated consignee and destination information, tamper-evident chain-of-custody where appropriate, and scrutiny of material routing or ownership anomalies.</w:t>
      </w:r>
    </w:p>
    <w:p>
      <w:pPr>
        <w:pStyle w:val="Normal"/>
      </w:pPr>
      <w:r>
        <w:t>3. Legitimate pharmaceutical fentanyl shall not be treated as illicit merely because fentanyl is a priority contraband threat.</w:t>
      </w:r>
    </w:p>
    <w:p>
      <w:pPr>
        <w:pStyle w:val="Normal"/>
      </w:pPr>
      <w:r>
        <w:t>4. This Article shall be read together with the operative Chapter 66 safeguards governing detection and interdiction in Articles 66.7 through 66.16, information and privacy protections in Articles 66.23 through 66.26, and the security-performance, covered-rationale, verification, cure, and restoration disciplines in Articles 66.37 through 66.41. Those provisions supply the relevant border-interdiction, proportionality, privacy, and no-tariff-shortcut safeguards without incorporating a non-operative drafting package. Where a more specific controlled-medicine safeguard in this Chapter is stricter, the provisions shall be applied cumulatively to the extent they can operate together. Nothing in this paragraph converts Package CE or an Amendment Ledger entry into operative treaty law.</w:t>
      </w:r>
    </w:p>
    <w:p>
      <w:pPr>
        <w:pStyle w:val="Heading2"/>
      </w:pPr>
      <w:bookmarkStart w:id="902024" w:name="_Toc300002023"/>
      <w:r>
        <w:t>Article 63.26: Fentanyl Enforcement Transparency and Chapter 66 Interface</w:t>
      </w:r>
      <w:bookmarkEnd w:id="902024"/>
    </w:p>
    <w:p>
      <w:pPr>
        <w:pStyle w:val="Normal"/>
      </w:pPr>
      <w:r>
        <w:t>1. Pharmaceutical diversion and lawful controlled-medicine integrity under this Chapter shall use the Chapter 66 security-performance and reporting architecture for illicit fentanyl and precursor enforcement. Accountability information published under paragraph 2 may include validated, non-sensitive aggregate measures concerning seizures, quantities where reliably measured, major enforcement actions, precursor interceptions, joint operations, trafficking direction where reliably established, and other agreed indicators without creating a separate pharmaceutical enforcement dashboard.</w:t>
      </w:r>
    </w:p>
    <w:p>
      <w:pPr>
        <w:pStyle w:val="Normal"/>
      </w:pPr>
      <w:r>
        <w:t>2. Each Party shall publish accountability information at a frequency appropriate to operational conditions and data validation, using existing official channels and Chapter 66 reporting where practicable. Nothing in this paragraph requires disclosure on a fixed schedule where doing so would impair an investigation, distort incomplete data, or create a material operational risk.</w:t>
      </w:r>
    </w:p>
    <w:p>
      <w:pPr>
        <w:pStyle w:val="Normal"/>
      </w:pPr>
      <w:r>
        <w:t>3. Publication shall not disclose personal information, protected intelligence, operationally sensitive methods, active-investigation details, or information that would materially assist traffickers.</w:t>
      </w:r>
    </w:p>
    <w:p>
      <w:pPr>
        <w:pStyle w:val="Heading2"/>
      </w:pPr>
      <w:bookmarkStart w:id="902025" w:name="_Toc300002024"/>
      <w:r>
        <w:t>Article 63.27: Pharmaceutical Investment Pipeline and Resilience Dashboard</w:t>
      </w:r>
      <w:bookmarkEnd w:id="902025"/>
    </w:p>
    <w:p>
      <w:pPr>
        <w:pStyle w:val="Normal"/>
      </w:pPr>
      <w:r>
        <w:t>1. The Parties shall maintain a non-binding pipeline of identifiable pharmaceutical investments, including API/KSM plants, sterile and fill-finish capacity, biologics, vaccines, generics, isotope infrastructure, manufacturing inputs, logistics, and workforce projects.</w:t>
      </w:r>
    </w:p>
    <w:p>
      <w:pPr>
        <w:pStyle w:val="Normal"/>
      </w:pPr>
      <w:r>
        <w:t>2. Public headline investment figures shall distinguish announced, financed, under-construction, completed, and operational projects. Unfunded aspirations shall not be represented as committed investment.</w:t>
      </w:r>
    </w:p>
    <w:p>
      <w:pPr>
        <w:pStyle w:val="Normal"/>
      </w:pPr>
      <w:r>
        <w:t>3. A Pharmaceutical Resilience Dashboard shall report appropriate aggregate indicators concerning concentration risk, qualified alternative supply, capacity additions, shortages, workforce development, regulatory cooperation, and resilience improvements without exposing protected commercial or security information.</w:t>
      </w:r>
    </w:p>
    <w:p>
      <w:pPr>
        <w:pStyle w:val="Heading2"/>
      </w:pPr>
      <w:bookmarkStart w:id="902026" w:name="_Toc300002025"/>
      <w:r>
        <w:t>Article 63.28: Emergency Exercises and Continuous Improvement</w:t>
      </w:r>
      <w:bookmarkEnd w:id="902026"/>
    </w:p>
    <w:p>
      <w:pPr>
        <w:pStyle w:val="Normal"/>
      </w:pPr>
      <w:r>
        <w:t>The Parties shall conduct periodic pharmaceutical supply-disruption exercises covering at least selected scenarios involving API interruption, sterile-facility outage, cold-chain failure, pandemic demand shock, isotope disruption, border interruption, or simultaneous multi-product shortage, and shall use lessons learned to update contingency arrangements.</w:t>
      </w:r>
    </w:p>
    <w:p>
      <w:pPr>
        <w:pStyle w:val="Heading2"/>
      </w:pPr>
      <w:bookmarkStart w:id="902027" w:name="_Toc300002026"/>
      <w:r>
        <w:t>Article 63.29: No New Supranational Pharmaceutical Government</w:t>
      </w:r>
      <w:bookmarkEnd w:id="902027"/>
    </w:p>
    <w:p>
      <w:pPr>
        <w:pStyle w:val="Normal"/>
      </w:pPr>
      <w:r>
        <w:t>Implementation shall use the Commission, existing committees, competent regulators, designated national authorities, and time-limited technical groups wherever practicable. Nothing in this Chapter creates a pharmaceutical czar, permanent supranational secretariat, or authority empowered to direct sovereign drug approvals or national health systems.</w:t>
      </w:r>
    </w:p>
    <w:p>
      <w:pPr>
        <w:pStyle w:val="Heading2"/>
      </w:pPr>
      <w:bookmarkStart w:id="902028" w:name="_Toc300002027"/>
      <w:r>
        <w:t>Article 63.30: No Uncompensated Front-Loading</w:t>
      </w:r>
      <w:bookmarkEnd w:id="902028"/>
    </w:p>
    <w:p>
      <w:pPr>
        <w:pStyle w:val="Normal"/>
      </w:pPr>
      <w:r>
        <w:t>Where a pharmaceutical manufacturing, procurement, investment, regulatory-facilitation, tariff, or market-access concession is expressly paired with corresponding performance by another Party, Article 35.36 applies, including matched activation where practicable, verification, a reasonable cure period, proportionate pause or step-back, and automatic restoration when performance resumes.</w:t>
      </w:r>
    </w:p>
    <w:p>
      <w:pPr>
        <w:pStyle w:val="Heading2"/>
      </w:pPr>
      <w:bookmarkStart w:id="902029" w:name="_Toc300002028"/>
      <w:r>
        <w:t>Article 63.31: Review and Evolution</w:t>
      </w:r>
      <w:bookmarkEnd w:id="902029"/>
    </w:p>
    <w:p>
      <w:pPr>
        <w:pStyle w:val="Normal"/>
      </w:pPr>
      <w:r>
        <w:t>The Parties shall periodically review this Chapter in light of shortages, technological change, epidemiological risk, manufacturing economics, regulatory developments, supply concentration, and lessons from emergencies. A non-substantive typographical, numbering, formatting, or broken-cross-reference correction proceeds only under Article 46.11, and an eligible technical change to an expressly authorized technical annex proceeds only under Article 34.3.A and its scope screen. A change to a substantive right, obligation, origin rule beyond delegated technical authority, tariff concession, exception, compulsory production quota, mandatory expenditure, automatic drug approval, deadline, remedy, or policy space requires Article 34.3 or another express treaty authority that independently permits the change. Periodic review therefore identifies needed changes but does not itself amend this Chapter or any annex.</w:t>
      </w:r>
    </w:p>
    <w:p>
      <w:pPr>
        <w:pStyle w:val="Heading1"/>
      </w:pPr>
      <w:bookmarkStart w:id="902030" w:name="_Toc300002029"/>
      <w:r>
        <w:t>CHAPTER 64: NORTH AMERICAN COMMERCIAL WINS LEDGER AND EXPORT OPPORTUNITY SCOREBOARD</w:t>
      </w:r>
      <w:bookmarkEnd w:id="902030"/>
    </w:p>
    <w:p>
      <w:pPr>
        <w:pStyle w:val="Normal"/>
      </w:pPr>
      <w:r>
        <w:t xml:space="preserve">★ </w:t>
      </w:r>
      <w:r>
        <w:t>VISIBLE U.S. WIN: MEASURE AND CELEBRATE NEW AMERICAN EXPORT SALES, CONTRACTS, MARKET ACCESS, JOBS, AND STATE-LEVEL COMMERCIAL GAINS</w:t>
      </w:r>
    </w:p>
    <w:p>
      <w:pPr>
        <w:pStyle w:val="Heading2"/>
      </w:pPr>
      <w:bookmarkStart w:id="902031" w:name="_Toc300002030"/>
      <w:r>
        <w:t>Article 64.1: Purpose</w:t>
      </w:r>
      <w:bookmarkEnd w:id="902031"/>
    </w:p>
    <w:p>
      <w:pPr>
        <w:pStyle w:val="Normal"/>
      </w:pPr>
      <w:r>
        <w:t>1. The Parties establish a transparent commercial-wins architecture that measures concrete economic opportunities created, expanded, restored, accelerated, or materially secured by this Agreement without requiring any Party to achieve a numerical bilateral trade balance.</w:t>
      </w:r>
    </w:p>
    <w:p>
      <w:pPr>
        <w:pStyle w:val="Normal"/>
      </w:pPr>
      <w:r>
        <w:t>2. The architecture shall make commercially meaningful gains visible to governments, legislators, workers, firms, farmers, small and medium-sized enterprises, and the public while preserving statistical integrity and confidential information.</w:t>
      </w:r>
    </w:p>
    <w:p>
      <w:pPr>
        <w:pStyle w:val="Heading2"/>
      </w:pPr>
      <w:bookmarkStart w:id="902032" w:name="_Toc300002031"/>
      <w:r>
        <w:t>Article 64.2: No Bilateral Deficit Target or Automatic Deficit Trigger</w:t>
      </w:r>
      <w:bookmarkEnd w:id="902032"/>
    </w:p>
    <w:p>
      <w:pPr>
        <w:pStyle w:val="Normal"/>
      </w:pPr>
      <w:r>
        <w:t>1. Nothing in this Agreement requires a Party to achieve, maintain, or target a specified bilateral trade balance, goods balance, services balance, current-account position, or export-to-import ratio.</w:t>
      </w:r>
    </w:p>
    <w:p>
      <w:pPr>
        <w:pStyle w:val="Normal"/>
      </w:pPr>
      <w:r>
        <w:t>2. A bilateral trade deficit, standing alone, does not establish unfair trade, non-performance, breach, market-access failure, injury, circumvention, or entitlement to retaliation under this Agreement.</w:t>
      </w:r>
    </w:p>
    <w:p>
      <w:pPr>
        <w:pStyle w:val="Normal"/>
      </w:pPr>
      <w:r>
        <w:t>3. Specific barriers, subsidies, discriminatory measures, origin violations, or other conduct may be addressed under the applicable provisions of this Agreement on their own merits.</w:t>
      </w:r>
    </w:p>
    <w:p>
      <w:pPr>
        <w:pStyle w:val="Heading2"/>
      </w:pPr>
      <w:bookmarkStart w:id="902033" w:name="_Toc300002032"/>
      <w:r>
        <w:t>Article 64.3: North American Commercial Wins Ledger</w:t>
      </w:r>
      <w:bookmarkEnd w:id="902033"/>
    </w:p>
    <w:p>
      <w:pPr>
        <w:pStyle w:val="Normal"/>
      </w:pPr>
      <w:r>
        <w:t>1. The Parties shall maintain compatible national commercial-wins ledgers and a trilateral summary capable of identifying verified gains for the United States, Canada, and Mexico.</w:t>
      </w:r>
    </w:p>
    <w:p>
      <w:pPr>
        <w:pStyle w:val="Normal"/>
      </w:pPr>
      <w:r>
        <w:t>2. The United States component may be presented as the U.S. Export Opportunity Ledger and shall prominently identify new American goods and services exports, contracts, market-access gains, procurement opportunities, investment-linked equipment and service sales, agricultural gains, and other measurable commercial benefits.</w:t>
      </w:r>
    </w:p>
    <w:p>
      <w:pPr>
        <w:pStyle w:val="Normal"/>
      </w:pPr>
      <w:r>
        <w:t>3. Canada and Mexico may maintain equivalent national presentations using the same core integrity standards.</w:t>
      </w:r>
    </w:p>
    <w:p>
      <w:pPr>
        <w:pStyle w:val="Heading2"/>
      </w:pPr>
      <w:bookmarkStart w:id="902034" w:name="_Toc300002033"/>
      <w:r>
        <w:t>Article 64.4: Realized, Contracted and Enabled Accounts</w:t>
      </w:r>
      <w:bookmarkEnd w:id="902034"/>
    </w:p>
    <w:p>
      <w:pPr>
        <w:pStyle w:val="Normal"/>
      </w:pPr>
      <w:r>
        <w:t>Commercial gains shall be distinguished as: (a) Realized, meaning exports or services actually delivered or performed; (b) Contracted, meaning legally committed future sales or services not yet fully performed; and (c) Enabled Opportunity, meaning credible newly accessible commercial opportunity for which a transaction has not yet occurred. These categories shall not be combined into an unlabeled aggregate that could reasonably imply that all enabled opportunities have been realized.</w:t>
      </w:r>
    </w:p>
    <w:p>
      <w:pPr>
        <w:pStyle w:val="Heading2"/>
      </w:pPr>
      <w:bookmarkStart w:id="902035" w:name="_Toc300002034"/>
      <w:r>
        <w:t>Article 64.5: Verified Commercial Additionality Standard</w:t>
      </w:r>
      <w:bookmarkEnd w:id="902035"/>
    </w:p>
    <w:p>
      <w:pPr>
        <w:pStyle w:val="Normal"/>
      </w:pPr>
      <w:r>
        <w:t>1. A claimed NAESTMA commercial win shall be supported by evidence that the Agreement created, expanded, restored, accelerated, or materially secured the opportunity.</w:t>
      </w:r>
    </w:p>
    <w:p>
      <w:pPr>
        <w:pStyle w:val="Normal"/>
      </w:pPr>
      <w:r>
        <w:t>2. Attribution may be classified as Direct, Strongly Attributable, or Enabled Opportunity. Mere post-entry-into-force growth does not by itself establish causation.</w:t>
      </w:r>
    </w:p>
    <w:p>
      <w:pPr>
        <w:pStyle w:val="Normal"/>
      </w:pPr>
      <w:r>
        <w:t>3. Attribution methodology shall consider tariff changes, quotas, procurement openings, regulatory facilitation, customs changes, rules of origin, investment measures, supply-chain relocation, contractual evidence, exporter statements, and other relevant factors.</w:t>
      </w:r>
    </w:p>
    <w:p>
      <w:pPr>
        <w:pStyle w:val="Heading2"/>
      </w:pPr>
      <w:bookmarkStart w:id="902036" w:name="_Toc300002035"/>
      <w:r>
        <w:t>Article 64.6: Baselines and Counterfactual Discipline</w:t>
      </w:r>
      <w:bookmarkEnd w:id="902036"/>
    </w:p>
    <w:p>
      <w:pPr>
        <w:pStyle w:val="Normal"/>
      </w:pPr>
      <w:r>
        <w:t>1. The Parties shall use reasonable pre-Agreement baselines, ordinarily drawing on multiple preceding periods where practicable, and shall identify extraordinary shocks that materially distort comparison.</w:t>
      </w:r>
    </w:p>
    <w:p>
      <w:pPr>
        <w:pStyle w:val="Normal"/>
      </w:pPr>
      <w:r>
        <w:t>2. Weather, commodity prices, exchange rates, strikes, recessions, extraordinary demand shocks, supply failures, and other material non-Agreement causes shall be considered before attributing major changes to NAESTMA.</w:t>
      </w:r>
    </w:p>
    <w:p>
      <w:pPr>
        <w:pStyle w:val="Heading2"/>
      </w:pPr>
      <w:bookmarkStart w:id="902037" w:name="_Toc300002036"/>
      <w:r>
        <w:t>Article 64.7: Services, Intellectual Property and Supply-Chain Exports</w:t>
      </w:r>
      <w:bookmarkEnd w:id="902037"/>
    </w:p>
    <w:p>
      <w:pPr>
        <w:pStyle w:val="Normal"/>
      </w:pPr>
      <w:r>
        <w:t>1. The Ledger shall include qualifying services exports, including engineering, finance, insurance, consulting, legal, education, digital, cloud, logistics, architecture, design, research, and other cross-border services.</w:t>
      </w:r>
    </w:p>
    <w:p>
      <w:pPr>
        <w:pStyle w:val="Normal"/>
      </w:pPr>
      <w:r>
        <w:t>2. Intellectual-property and software licensing may be reported using realized revenue and separately identified contracted value.</w:t>
      </w:r>
    </w:p>
    <w:p>
      <w:pPr>
        <w:pStyle w:val="Normal"/>
      </w:pPr>
      <w:r>
        <w:t>3. U.S., Canadian, or Mexican machinery, components, software, engineering, logistics, and other inputs sold into new cross-border investment projects may qualify where additionality is established.</w:t>
      </w:r>
    </w:p>
    <w:p>
      <w:pPr>
        <w:pStyle w:val="Normal"/>
      </w:pPr>
      <w:r>
        <w:t>4. A Party's domestic industrial gain may simultaneously generate legitimate commercial gains for another Party; the Ledger shall not assume that one Party must lose for another Party to record a win.</w:t>
      </w:r>
    </w:p>
    <w:p>
      <w:pPr>
        <w:pStyle w:val="Heading2"/>
      </w:pPr>
      <w:bookmarkStart w:id="902038" w:name="_Toc300002037"/>
      <w:r>
        <w:t>Article 64.8: Effective Export Access Test</w:t>
      </w:r>
      <w:bookmarkEnd w:id="902038"/>
    </w:p>
    <w:p>
      <w:pPr>
        <w:pStyle w:val="Normal"/>
      </w:pPr>
      <w:r>
        <w:t>Nominal market opening shall be distinguished from commercially usable access. Reporting should identify whether exporters can practically qualify, bid, ship, obtain approvals, secure listings, use quotas, clear customs, and complete transactions under the relevant concession.</w:t>
      </w:r>
    </w:p>
    <w:p>
      <w:pPr>
        <w:pStyle w:val="Heading2"/>
      </w:pPr>
      <w:bookmarkStart w:id="902039" w:name="_Toc300002038"/>
      <w:r>
        <w:t>Article 64.9: Sector and Geographic Classification</w:t>
      </w:r>
      <w:bookmarkEnd w:id="902039"/>
    </w:p>
    <w:p>
      <w:pPr>
        <w:pStyle w:val="Normal"/>
      </w:pPr>
      <w:r>
        <w:t>The Ledger may classify gains by agriculture and food, automotive, aerospace, machinery, steel and aluminum, critical minerals, pharmaceuticals and medical devices, chemicals, energy, technology and digital services, finance, professional services, education, logistics, environmental technology, and other agreed categories.</w:t>
      </w:r>
    </w:p>
    <w:p>
      <w:pPr>
        <w:pStyle w:val="Normal"/>
      </w:pPr>
      <w:r>
        <w:t>Where data permit, national presentations may identify gains by U.S. state and congressional district, Canadian province or territory, and Mexican state, together with SME participation and other useful regional measures.</w:t>
      </w:r>
    </w:p>
    <w:p>
      <w:pPr>
        <w:pStyle w:val="Heading2"/>
      </w:pPr>
      <w:bookmarkStart w:id="902040" w:name="_Toc300002039"/>
      <w:r>
        <w:t>Article 64.10: Forecast Accountability</w:t>
      </w:r>
      <w:bookmarkEnd w:id="902040"/>
    </w:p>
    <w:p>
      <w:pPr>
        <w:pStyle w:val="Normal"/>
      </w:pPr>
      <w:r>
        <w:t>Where an official publication estimates the commercial opportunity expected from a material concession, the Ledger may preserve the estimate and later report observed outcomes, variance, and material explanations. Projections shall be clearly distinguished from realized results.</w:t>
      </w:r>
    </w:p>
    <w:p>
      <w:pPr>
        <w:pStyle w:val="Heading2"/>
      </w:pPr>
      <w:bookmarkStart w:id="902041" w:name="_Toc300002040"/>
      <w:r>
        <w:t>Article 64.11: No Double Counting, Revisions and Statistical Integrity</w:t>
      </w:r>
      <w:bookmarkEnd w:id="902041"/>
    </w:p>
    <w:p>
      <w:pPr>
        <w:pStyle w:val="Normal"/>
      </w:pPr>
      <w:r>
        <w:t>1. The same transaction shall not be counted repeatedly merely because it qualifies under multiple sectors, chapters, programs, or political presentations.</w:t>
      </w:r>
    </w:p>
    <w:p>
      <w:pPr>
        <w:pStyle w:val="Normal"/>
      </w:pPr>
      <w:r>
        <w:t>2. Cancelled, materially reduced, or revised contracts shall be corrected in subsequent reporting.</w:t>
      </w:r>
    </w:p>
    <w:p>
      <w:pPr>
        <w:pStyle w:val="Normal"/>
      </w:pPr>
      <w:r>
        <w:t>3. Preliminary and final statistics shall be identified as such. Material revisions shall remain visible rather than silently rewriting historical performance.</w:t>
      </w:r>
    </w:p>
    <w:p>
      <w:pPr>
        <w:pStyle w:val="Normal"/>
      </w:pPr>
      <w:r>
        <w:t>4. Presentation may gamify verified performance; it may not alter the underlying measurement methodology.</w:t>
      </w:r>
    </w:p>
    <w:p>
      <w:pPr>
        <w:pStyle w:val="Heading2"/>
      </w:pPr>
      <w:bookmarkStart w:id="902042" w:name="_Toc300002041"/>
      <w:r>
        <w:t>Article 64.12: Voluntary Commercial-Win Registration</w:t>
      </w:r>
      <w:bookmarkEnd w:id="902042"/>
    </w:p>
    <w:p>
      <w:pPr>
        <w:pStyle w:val="Normal"/>
      </w:pPr>
      <w:r>
        <w:t>Exporters may voluntarily submit qualifying contracts, sales, market-access gains, or success stories for verification. Procedures shall protect trade secrets, commercially sensitive terms, personal information, and other protected information while permitting publication of useful aggregate or sanitized results.</w:t>
      </w:r>
    </w:p>
    <w:p>
      <w:pPr>
        <w:pStyle w:val="Heading2"/>
      </w:pPr>
      <w:bookmarkStart w:id="902043" w:name="_Toc300002042"/>
      <w:r>
        <w:t>Article 64.13: Commercial Friction Register</w:t>
      </w:r>
      <w:bookmarkEnd w:id="902043"/>
    </w:p>
    <w:p>
      <w:pPr>
        <w:pStyle w:val="Normal"/>
      </w:pPr>
      <w:r>
        <w:t>The Parties may maintain a diagnostic register of concessions that appear capable of generating meaningful commercial gains but remain materially underused. The register may identify regulatory friction, customs delays, documentation burdens, procurement obstacles, qualification difficulties, lack of suppliers, price competitiveness, infrastructure constraints, or other explanations without presuming treaty breach.</w:t>
      </w:r>
    </w:p>
    <w:p>
      <w:pPr>
        <w:pStyle w:val="Heading2"/>
      </w:pPr>
      <w:bookmarkStart w:id="902044" w:name="_Toc300002043"/>
      <w:r>
        <w:t>Article 64.14: Trade-Balance Context</w:t>
      </w:r>
      <w:bookmarkEnd w:id="902044"/>
    </w:p>
    <w:p>
      <w:pPr>
        <w:pStyle w:val="Normal"/>
      </w:pPr>
      <w:r>
        <w:t>Where a Party publicly reports bilateral trade balances in connection with NAESTMA performance, it should, where data are reasonably available, provide sufficient context to distinguish goods trade, services trade, total bilateral trade, and major structural categories. The trade balance itself shall not replace the Commercial Wins Ledger as the principal performance measure under this Chapter.</w:t>
      </w:r>
    </w:p>
    <w:p>
      <w:pPr>
        <w:pStyle w:val="Heading2"/>
      </w:pPr>
      <w:bookmarkStart w:id="902045" w:name="_Toc300002044"/>
      <w:r>
        <w:t>Article 64.15: Public Commercial Wins Dashboard</w:t>
      </w:r>
      <w:bookmarkEnd w:id="902045"/>
    </w:p>
    <w:p>
      <w:pPr>
        <w:pStyle w:val="Normal"/>
      </w:pPr>
      <w:r>
        <w:t>1. Each Party may maintain a public digital dashboard using verified Ledger data. Features may include export totals, new deals, contract values, sector tickers, geographic maps, SME participation, jobs supported using published methodology, milestones, records, and success stories.</w:t>
      </w:r>
    </w:p>
    <w:p>
      <w:pPr>
        <w:pStyle w:val="Normal"/>
      </w:pPr>
      <w:r>
        <w:t>2. National interfaces may emphasize the priorities and political presentation preferred by that Party without changing the verified underlying data.</w:t>
      </w:r>
    </w:p>
    <w:p>
      <w:pPr>
        <w:pStyle w:val="Heading2"/>
      </w:pPr>
      <w:bookmarkStart w:id="902046" w:name="_Toc300002045"/>
      <w:r>
        <w:t>Article 64.16: Optional Public Presentation and Achievement Features</w:t>
      </w:r>
      <w:bookmarkEnd w:id="902046"/>
    </w:p>
    <w:p>
      <w:pPr>
        <w:pStyle w:val="Normal"/>
      </w:pPr>
      <w:r>
        <w:t>1. A Party may, entirely at its discretion and outside the legally operative compliance architecture, use leaderboards, records, milestones, personal-best indicators, sector races, state or subnational rankings, export-win spotlights, achievement badges, streaks, and similar public-engagement features in a national interface.</w:t>
      </w:r>
    </w:p>
    <w:p>
      <w:pPr>
        <w:pStyle w:val="Normal"/>
      </w:pPr>
      <w:r>
        <w:t>2. Ranking systems should offer multiple categories, including absolute value, percentage growth, new exporters, SME growth, sector gains, diversification, and personal records, so that smaller jurisdictions are not rendered permanently noncompetitive by scale alone.</w:t>
      </w:r>
    </w:p>
    <w:p>
      <w:pPr>
        <w:pStyle w:val="Normal"/>
      </w:pPr>
      <w:r>
        <w:t>3. No Party is required to operate, fund, recognize, interoperate with, or preserve any achievement feature. No achievement, badge, ranking, streak, or visual effect constitutes a legal finding, entitlement, tariff trigger, evidence of breach, treaty benefit, or condition of treaty compliance.</w:t>
      </w:r>
    </w:p>
    <w:p>
      <w:pPr>
        <w:pStyle w:val="Heading2"/>
      </w:pPr>
      <w:bookmarkStart w:id="902047" w:name="_Toc300002046"/>
      <w:r>
        <w:t>Article 64.17: Optional Export Wins Application</w:t>
      </w:r>
      <w:bookmarkEnd w:id="902047"/>
    </w:p>
    <w:p>
      <w:pPr>
        <w:pStyle w:val="Normal"/>
      </w:pPr>
      <w:r>
        <w:t>A Party may develop an optional website, mobile application, or other public interface consuming verified Ledger data. Such an interface may provide milestone alerts, personalized state or regional views, exporter tools, commercial success stories, sector comparisons, and other engagement features. No Party is required to adopt another Party's branding, interface, or political presentation.</w:t>
      </w:r>
    </w:p>
    <w:p>
      <w:pPr>
        <w:pStyle w:val="Heading2"/>
      </w:pPr>
      <w:bookmarkStart w:id="902048" w:name="_Toc300002047"/>
      <w:r>
        <w:t>Article 64.18: Optional Public Forecasting Interface</w:t>
      </w:r>
      <w:bookmarkEnd w:id="902048"/>
    </w:p>
    <w:p>
      <w:pPr>
        <w:pStyle w:val="Normal"/>
      </w:pPr>
      <w:r>
        <w:t>1. A Party may, entirely outside the legally operative compliance architecture, operate a voluntary non-monetary public prediction or education interface concerning future outcomes derived from publicly resolvable NAESTMA commercial data. No Party is required to create, fund, recognize, interoperate with, or continue such an interface.</w:t>
      </w:r>
    </w:p>
    <w:p>
      <w:pPr>
        <w:pStyle w:val="Normal"/>
      </w:pPr>
      <w:r>
        <w:t>2. Participants may receive an equal periodic allocation of Forecast Tokens that cannot be purchased with money, sold, transferred, borrowed, lent, converted to cash, redeemed for cash equivalents, or exchanged for anything having real-world monetary value.</w:t>
      </w:r>
    </w:p>
    <w:p>
      <w:pPr>
        <w:pStyle w:val="Normal"/>
      </w:pPr>
      <w:r>
        <w:t>3. Forecast Tokens shall expire at the end of the stated allocation period and shall not roll over. Successful forecasting shall not increase a participant's future token allocation.</w:t>
      </w:r>
    </w:p>
    <w:p>
      <w:pPr>
        <w:pStyle w:val="Normal"/>
      </w:pPr>
      <w:r>
        <w:t>4. Participants may allocate Forecast Tokens among eligible forecast questions. Correct predictions may generate permanent non-monetary Forecast Points, accuracy records, streaks, badges, or other reputation indicators on a personal ledger associated with the participant's username.</w:t>
      </w:r>
    </w:p>
    <w:p>
      <w:pPr>
        <w:pStyle w:val="Heading2"/>
      </w:pPr>
      <w:bookmarkStart w:id="902049" w:name="_Toc300002048"/>
      <w:r>
        <w:t>Article 64.19: Optional Non-Monetary Interface Customization</w:t>
      </w:r>
      <w:bookmarkEnd w:id="902049"/>
    </w:p>
    <w:p>
      <w:pPr>
        <w:pStyle w:val="Normal"/>
      </w:pPr>
      <w:r>
        <w:t>1. If a Party operates the optional interface in Article 64.18, it may permit participants to use part or all of a current non-monetary Forecast Token allocation to obtain cosmetic customization for an avatar, username profile, personal ledger, dashboard appearance, badge frame, sector theme, geographic banner, or similar digital feature. Such customization exists solely within the administering Party's voluntary public interface.</w:t>
      </w:r>
    </w:p>
    <w:p>
      <w:pPr>
        <w:pStyle w:val="Normal"/>
      </w:pPr>
      <w:r>
        <w:t>2. Cosmetics may persist after the Forecast Tokens used to obtain them expire. Eligibility for selected cosmetics may depend on forecasting achievements, participation milestones, sector expertise, or other transparent non-monetary criteria.</w:t>
      </w:r>
    </w:p>
    <w:p>
      <w:pPr>
        <w:pStyle w:val="Normal"/>
      </w:pPr>
      <w:r>
        <w:t>3. Cosmetics shall have no cash value, shall not be redeemable for money or transferable for consideration, and shall not confer additional forecasting power, privileged information, government benefits, procurement advantages, or legal rights.</w:t>
      </w:r>
    </w:p>
    <w:p>
      <w:pPr>
        <w:pStyle w:val="Normal"/>
      </w:pPr>
      <w:r>
        <w:t>4. Randomized paid loot-box mechanics are prohibited. A participant shall know the cosmetic item or clearly defined non-monetary outcome received for the stated token cost.</w:t>
      </w:r>
    </w:p>
    <w:p>
      <w:pPr>
        <w:pStyle w:val="Heading2"/>
      </w:pPr>
      <w:bookmarkStart w:id="902050" w:name="_Toc300002049"/>
      <w:r>
        <w:t>Article 64.20: Optional Forecasting Interface Integrity and Safety</w:t>
      </w:r>
      <w:bookmarkEnd w:id="902050"/>
    </w:p>
    <w:p>
      <w:pPr>
        <w:pStyle w:val="Normal"/>
      </w:pPr>
      <w:r>
        <w:t>1. This Article applies only to a Party that operates the optional interface in Article 64.18. Forecast questions shall state resolution criteria, data source, closing time, and treatment of preliminary or revised statistics before predictions close.</w:t>
      </w:r>
    </w:p>
    <w:p>
      <w:pPr>
        <w:pStyle w:val="Normal"/>
      </w:pPr>
      <w:r>
        <w:t>2. Questions shall use public or appropriately releasable information and shall not solicit predictions concerning deaths, individual medical outcomes, violent incidents, enforcement raids, or other categories the administering Party determines inappropriate for civic gamification.</w:t>
      </w:r>
    </w:p>
    <w:p>
      <w:pPr>
        <w:pStyle w:val="Normal"/>
      </w:pPr>
      <w:r>
        <w:t>3. The administering Party shall maintain reasonable anti-bot, multi-account, manipulation, and conflict-of-interest controls and may establish separate categories for officials, industry participants, students, experts, or the general public.</w:t>
      </w:r>
    </w:p>
    <w:p>
      <w:pPr>
        <w:pStyle w:val="Normal"/>
      </w:pPr>
      <w:r>
        <w:t>4. Public consensus forecasts are informational only and shall not determine official statistics, regulatory decisions, tariff treatment, procurement decisions, or treaty compliance.</w:t>
      </w:r>
    </w:p>
    <w:p>
      <w:pPr>
        <w:pStyle w:val="Heading2"/>
      </w:pPr>
      <w:bookmarkStart w:id="902051" w:name="_Toc300002050"/>
      <w:r>
        <w:t>Article 64.21: Optional Public Forecast Consensus and Learning</w:t>
      </w:r>
      <w:bookmarkEnd w:id="902051"/>
    </w:p>
    <w:p>
      <w:pPr>
        <w:pStyle w:val="Normal"/>
      </w:pPr>
      <w:r>
        <w:t>This Article applies only to an interface operated under Article 64.18. The interface may publish aggregate public forecasts, sector-specific consensus, official model forecasts where available, and resolved outcomes. Educational prompts may be used to improve public understanding of goods and services trade, intermediate inputs, regional supply chains, market access, export additionality, and other trade concepts.</w:t>
      </w:r>
    </w:p>
    <w:p>
      <w:pPr>
        <w:pStyle w:val="Heading2"/>
      </w:pPr>
      <w:bookmarkStart w:id="902052" w:name="_Toc300002051"/>
      <w:r>
        <w:t>Article 64.22: Data Verification and Existing Institutions</w:t>
      </w:r>
      <w:bookmarkEnd w:id="902052"/>
    </w:p>
    <w:p>
      <w:pPr>
        <w:pStyle w:val="Normal"/>
      </w:pPr>
      <w:r>
        <w:t>Implementation should rely on existing statistical agencies, customs authorities, trade ministries, the Commission, and competent national institutions wherever practicable. Nothing in this Chapter requires a fixed staffing level, a new permanent supranational agency, or disclosure of protected company-level data. For a Commercial Wins Ledger entry represented as verified, the competent Party authority responsible for the underlying customs, statistical, procurement, or commercial record shall identify the source, methodology, material limitations, and verification status using the existing institutions named in this Article. A Party’s first-instance certification of its own record does not conclusively establish a disputed cross-border treaty consequence against another Party, which may seek clarification or contest the determination through the review or dispute procedure applicable to the underlying obligation. A public dashboard, voluntary registration, or national presentation feature cannot independently upgrade an unverified entry, establish treaty compliance, or create a remedy.</w:t>
      </w:r>
    </w:p>
    <w:p>
      <w:pPr>
        <w:pStyle w:val="Heading2"/>
      </w:pPr>
      <w:bookmarkStart w:id="902053" w:name="_Toc300002052"/>
      <w:r>
        <w:t>Article 64.23: Symmetry and National Presentation Freedom</w:t>
      </w:r>
      <w:bookmarkEnd w:id="902053"/>
    </w:p>
    <w:p>
      <w:pPr>
        <w:pStyle w:val="Normal"/>
      </w:pPr>
      <w:r>
        <w:t>The United States, Canada, and Mexico may each foreground its own commercial wins and design its own public-facing presentation. Core measurement categories and verification principles should remain interoperable so that national claims can be reconciled to a common evidentiary base.</w:t>
      </w:r>
    </w:p>
    <w:p>
      <w:pPr>
        <w:pStyle w:val="Heading2"/>
      </w:pPr>
      <w:bookmarkStart w:id="902054" w:name="_Toc300002053"/>
      <w:r>
        <w:t>Article 64.24: Governing Principle</w:t>
      </w:r>
      <w:bookmarkEnd w:id="902054"/>
    </w:p>
    <w:p>
      <w:pPr>
        <w:pStyle w:val="Normal"/>
      </w:pPr>
      <w:r>
        <w:t>The Commercial Wins architecture is a reporting and public-accountability methodology intended to redirect attention from a single bilateral accounting balance toward measurable opportunities created by expanding lawful trade. Except where another Article expressly imposes a data-integrity, non-discrimination, or reporting obligation, Chapter 64 does not create a market-access entitlement, tariff trigger, procurement obligation, or independent basis for retaliation. The objective is not to manufacture impressive numbers, but to make genuine commercial gains visible, comparable, competitive, and politically durable.</w:t>
      </w:r>
    </w:p>
    <w:p>
      <w:pPr>
        <w:pStyle w:val="Heading1"/>
      </w:pPr>
      <w:bookmarkStart w:id="902055" w:name="_Toc300002054"/>
      <w:r>
        <w:rPr>
          <w:i w:val="false"/>
        </w:rPr>
        <w:t>CHAPTER 65: NORTH AMERICAN RECIPROCAL PROCUREMENT COMPACT</w:t>
      </w:r>
      <w:bookmarkEnd w:id="902055"/>
    </w:p>
    <w:p>
      <w:pPr>
        <w:pStyle w:val="Normal"/>
      </w:pPr>
      <w:r>
        <w:rPr>
          <w:b/>
          <w:i w:val="false"/>
        </w:rPr>
        <w:t xml:space="preserve">★ </w:t>
      </w:r>
      <w:r>
        <w:rPr>
          <w:b/>
          <w:i w:val="false"/>
        </w:rPr>
        <w:t>VISIBLE TRILATERAL WIN: OPEN REAL NORTH AMERICAN INFRASTRUCTURE AND INDUSTRIAL PROCUREMENT OPPORTUNITIES WITHOUT BLANKET BUY-AMERICAN SURRENDER</w:t>
      </w:r>
    </w:p>
    <w:p>
      <w:pPr>
        <w:pStyle w:val="Heading2"/>
      </w:pPr>
      <w:bookmarkStart w:id="902056" w:name="_Toc300002055"/>
      <w:r>
        <w:rPr>
          <w:i w:val="false"/>
        </w:rPr>
        <w:t>Article 65.1: Purpose</w:t>
      </w:r>
      <w:bookmarkEnd w:id="902056"/>
    </w:p>
    <w:p>
      <w:pPr>
        <w:pStyle w:val="Normal"/>
      </w:pPr>
      <w:r>
        <w:rPr>
          <w:b w:val="false"/>
          <w:i w:val="false"/>
        </w:rPr>
        <w:t>1. The Parties establish a reciprocal, project-specific procurement architecture to create measurable opportunities for qualified United States, Canadian, and Mexican suppliers while preserving lawful domestic procurement authority, security exceptions, subnational autonomy, competition, and applicable environmental, labour, Indigenous-rights, safety, and regulatory requirements.</w:t>
      </w:r>
    </w:p>
    <w:p>
      <w:pPr>
        <w:pStyle w:val="Normal"/>
      </w:pPr>
      <w:r>
        <w:rPr>
          <w:b w:val="false"/>
          <w:i w:val="false"/>
        </w:rPr>
        <w:t>2. The Compact is designed to make reciprocal infrastructure and industrial opportunities politically visible without converting access into guaranteed awards or requiring economy-wide waivers of domestic procurement preferences.</w:t>
      </w:r>
    </w:p>
    <w:p>
      <w:pPr>
        <w:pStyle w:val="Heading2"/>
      </w:pPr>
      <w:bookmarkStart w:id="902057" w:name="_Toc300002056"/>
      <w:r>
        <w:t>Article 65.2: 370-Entry Candidate Opportunity Portfolio</w:t>
      </w:r>
      <w:bookmarkEnd w:id="902057"/>
    </w:p>
    <w:p>
      <w:pPr>
        <w:pStyle w:val="Normal"/>
      </w:pPr>
      <w:r>
        <w:t>1. Annex 65-A records 370 candidate procurement opportunity keepers for verification, designation, programmatic use, development, substitution, or future maturation. Inclusion preserves the research and negotiating record but does not itself create a procurement commitment, certify project value, require a project to proceed, or confer treaty status on an entry.</w:t>
      </w:r>
    </w:p>
    <w:p>
      <w:pPr>
        <w:pStyle w:val="Normal"/>
      </w:pPr>
      <w:r>
        <w:t>2. The 370-entry candidate inventory may be preserved as a non-binding research baseline even where a named project is completed, cancelled, delayed, privately controlled, jurisdictionally unavailable, technologically immature, or otherwise unsuitable for designation. Only an opportunity that satisfies Article 65.8 and is affirmatively designated under Article 65.4 acquires the legal effect stated in its certificate or schedule.</w:t>
      </w:r>
    </w:p>
    <w:p>
      <w:pPr>
        <w:pStyle w:val="Heading2"/>
      </w:pPr>
      <w:bookmarkStart w:id="902058" w:name="_Toc300002057"/>
      <w:r>
        <w:rPr>
          <w:i w:val="false"/>
        </w:rPr>
        <w:t>Article 65.3: Priority and Maturity Classes</w:t>
      </w:r>
      <w:bookmarkEnd w:id="902058"/>
    </w:p>
    <w:p>
      <w:pPr>
        <w:pStyle w:val="Normal"/>
      </w:pPr>
      <w:r>
        <w:t>1. For portfolio management, the initial candidate register records 30 Flagship, 44 Anchor, 198 Program, and 98 Development keepers. These counts and labels are non-binding metadata for verification and presentation priority and are not minimum treaty obligations.</w:t>
      </w:r>
    </w:p>
    <w:p>
      <w:pPr>
        <w:pStyle w:val="Normal"/>
      </w:pPr>
      <w:r>
        <w:t>2. A keeper may move among classes as evidence, project maturity, procurement availability, jurisdictional participation, technology, or negotiating priorities change. Reclassification, retirement, or non-maturation of a candidate does not constitute non-compliance.</w:t>
      </w:r>
    </w:p>
    <w:p>
      <w:pPr>
        <w:pStyle w:val="Heading2"/>
      </w:pPr>
      <w:bookmarkStart w:id="902059" w:name="_Toc300002058"/>
      <w:r>
        <w:rPr>
          <w:i w:val="false"/>
        </w:rPr>
        <w:t>Article 65.4: Project-Specific Reciprocity and Affirmative Designation</w:t>
      </w:r>
      <w:bookmarkEnd w:id="902059"/>
    </w:p>
    <w:p>
      <w:pPr>
        <w:pStyle w:val="Normal"/>
      </w:pPr>
      <w:r>
        <w:t>1. Reciprocal treatment arises only for a project, program, procurement lot, threshold, or schedule affirmatively designated by the competent participating procurement authority and recorded in the applicable Procurement Opportunity Certificate and Registry. A designation under this Chapter supplements, and does not displace, the generally applicable procurement reciprocity, Reciprocity Band, step-back, security, review, and remedy disciplines in Articles 49.7 through 49.7I. Where both Chapters apply, the competent authority identifies the applicable Chapter 49 status, and the Chapter 65 designated-opportunity ceiling may narrow but may not exceed the access permitted by the controlling Chapter 49 limitation. A more restrictive applicable access limitation therefore governs unless an operative provision of this Agreement expressly authorizes a different result, and no automatic economy-wide waiver or future-project entitlement is created.</w:t>
      </w:r>
    </w:p>
    <w:p>
      <w:pPr>
        <w:pStyle w:val="Normal"/>
      </w:pPr>
      <w:r>
        <w:rPr>
          <w:b w:val="false"/>
          <w:i w:val="false"/>
        </w:rPr>
        <w:t>2. A Party may decline to designate a candidate without breaching this Chapter where competent authority, procurement status, funding, rights review, security, technical feasibility, or other lawful conditions do not support designation.</w:t>
      </w:r>
    </w:p>
    <w:p>
      <w:pPr>
        <w:pStyle w:val="Heading2"/>
      </w:pPr>
      <w:bookmarkStart w:id="902060" w:name="_Toc300002059"/>
      <w:r>
        <w:rPr>
          <w:i w:val="false"/>
        </w:rPr>
        <w:t>Article 65.5: No Blanket Buy American Waiver</w:t>
      </w:r>
      <w:bookmarkEnd w:id="902060"/>
    </w:p>
    <w:p>
      <w:pPr>
        <w:pStyle w:val="Normal"/>
      </w:pPr>
      <w:r>
        <w:rPr>
          <w:b w:val="false"/>
          <w:i w:val="false"/>
        </w:rPr>
        <w:t>No Party is required to provide a blanket, unconditional, standing, or economy-wide exemption from Buy American, Buy America, Canadian, Mexican, provincial, territorial, state, local, or other lawful domestic procurement preferences. Any reciprocal opening shall be bounded by the applicable certificate or schedule.</w:t>
      </w:r>
    </w:p>
    <w:p>
      <w:pPr>
        <w:pStyle w:val="Heading2"/>
      </w:pPr>
      <w:bookmarkStart w:id="902061" w:name="_Toc300002060"/>
      <w:r>
        <w:rPr>
          <w:i w:val="false"/>
        </w:rPr>
        <w:t>Article 65.6: Opportunity, Not Award</w:t>
      </w:r>
      <w:bookmarkEnd w:id="902061"/>
    </w:p>
    <w:p>
      <w:pPr>
        <w:pStyle w:val="Normal"/>
      </w:pPr>
      <w:r>
        <w:rPr>
          <w:b w:val="false"/>
          <w:i w:val="false"/>
        </w:rPr>
        <w:t>1. Reciprocity concerns meaningful access to compete, not guaranteed contract awards. No provision of this Chapter preselects a supplier, factory, contractor, mill, technology provider, or country of award.</w:t>
      </w:r>
    </w:p>
    <w:p>
      <w:pPr>
        <w:pStyle w:val="Normal"/>
      </w:pPr>
      <w:r>
        <w:rPr>
          <w:b w:val="false"/>
          <w:i w:val="false"/>
        </w:rPr>
        <w:t>2. Company, facility, employment, tonnage, and contract-value examples developed during negotiation are research leads only unless independently verified and incorporated through a lawful procurement instrument.</w:t>
      </w:r>
    </w:p>
    <w:p>
      <w:pPr>
        <w:pStyle w:val="Heading2"/>
      </w:pPr>
      <w:bookmarkStart w:id="902062" w:name="_Toc300002061"/>
      <w:r>
        <w:rPr>
          <w:i w:val="false"/>
        </w:rPr>
        <w:t>Article 65.7: Procurement Opportunity Certificate</w:t>
      </w:r>
      <w:bookmarkEnd w:id="902062"/>
    </w:p>
    <w:p>
      <w:pPr>
        <w:pStyle w:val="Normal"/>
      </w:pPr>
      <w:r>
        <w:t>Each designated named opportunity shall receive a Procurement Opportunity Certificate issued or confirmed by the competent participating procurement authority identified in the certificate. The Certificate identifies, as applicable: project identifier; project or program name; competent jurisdiction; procurement authority; project and procurement status; covered opportunity; estimated eligible value or ceiling; reciprocal portfolio; participating Parties; content treatment; rights, environmental, labour, safety, privacy, security, and regulatory conditions; opening and expiry; Chapter 64 Ledger identifier; verification grade; verification source; and verification date. Issuance confirms only the facts, authority, grade, and legal effect expressly stated in the Certificate and does not itself guarantee an award, funding, project approval, or a waiver beyond the designated opportunity. A supplier-specific procurement challenge remains subject to the applicable domestic review process, while a Party-to-Party dispute concerning compliance with this Agreement proceeds through the dispute route otherwise applicable under Chapter 31 or another controlling provision.</w:t>
      </w:r>
    </w:p>
    <w:p>
      <w:pPr>
        <w:pStyle w:val="Heading2"/>
      </w:pPr>
      <w:bookmarkStart w:id="902063" w:name="_Toc300002062"/>
      <w:r>
        <w:rPr>
          <w:i w:val="false"/>
        </w:rPr>
        <w:t>Article 65.8: Verification Ladder</w:t>
      </w:r>
      <w:bookmarkEnd w:id="902063"/>
    </w:p>
    <w:p>
      <w:pPr>
        <w:pStyle w:val="Normal"/>
      </w:pPr>
      <w:r>
        <w:t>A candidate may be classified V1 Conceptual, V2 Project Verified, V3 Procurement Verified, V4 Authority Verified, or V5 Schedule Ready. The competent participating procurement authority assigns or confirms the grade using documentary evidence appropriate to the status and the treaty-wide fact, authority, and claim-verification rule in Annex 66-F, and records material limitations or contested facts. Only a V5 opportunity that is also affirmatively designated under Article 65.4 may be represented as a binding designated opening in the Initial Designated Procurement Schedule, and the grade itself creates no procurement authority or entitlement. Verification is revisited when material circumstances change, and a materially disputed grade may be corrected through the issuing authority's applicable review process without staying an independently applicable tender deadline unless that process provides otherwise.</w:t>
      </w:r>
    </w:p>
    <w:p>
      <w:pPr>
        <w:pStyle w:val="Heading2"/>
      </w:pPr>
      <w:bookmarkStart w:id="902064" w:name="_Toc300002063"/>
      <w:r>
        <w:rPr>
          <w:i w:val="false"/>
        </w:rPr>
        <w:t>Article 65.9: Procurement Value Integrity</w:t>
      </w:r>
      <w:bookmarkEnd w:id="902064"/>
    </w:p>
    <w:p>
      <w:pPr>
        <w:pStyle w:val="Normal"/>
      </w:pPr>
      <w:r>
        <w:rPr>
          <w:b w:val="false"/>
          <w:i w:val="false"/>
        </w:rPr>
        <w:t>Public and treaty reporting shall distinguish Total Project Value, Potential Procurement Value, Designated Reciprocal Opportunity Value, Tendered Value, Awarded Value, and Delivered Value. The total value of a project shall not be represented as opened reciprocal procurement where only a smaller portion is actually available.</w:t>
      </w:r>
    </w:p>
    <w:p>
      <w:pPr>
        <w:pStyle w:val="Heading2"/>
      </w:pPr>
      <w:bookmarkStart w:id="902065" w:name="_Toc300002064"/>
      <w:r>
        <w:rPr>
          <w:i w:val="false"/>
        </w:rPr>
        <w:t>Article 65.10: Effective Procurement Access Test</w:t>
      </w:r>
      <w:bookmarkEnd w:id="902065"/>
    </w:p>
    <w:p>
      <w:pPr>
        <w:pStyle w:val="Normal"/>
      </w:pPr>
      <w:r>
        <w:rPr>
          <w:b w:val="false"/>
          <w:i w:val="false"/>
        </w:rPr>
        <w:t>Nominal eligibility does not constitute effective reciprocal access where qualification rules, bonding, tender specifications, local-presence requirements, timing, information barriers, security restrictions, or other conditions make participation commercially impracticable without legitimate justification. Paper access shall not be counted as equivalent to usable access.</w:t>
      </w:r>
    </w:p>
    <w:p>
      <w:pPr>
        <w:pStyle w:val="Heading2"/>
      </w:pPr>
      <w:bookmarkStart w:id="902066" w:name="_Toc300002065"/>
      <w:r>
        <w:rPr>
          <w:i w:val="false"/>
        </w:rPr>
        <w:t>Article 65.11: Reciprocal Portfolio Equivalence</w:t>
      </w:r>
      <w:bookmarkEnd w:id="902066"/>
    </w:p>
    <w:p>
      <w:pPr>
        <w:pStyle w:val="Normal"/>
      </w:pPr>
      <w:r>
        <w:rPr>
          <w:b w:val="false"/>
          <w:i w:val="false"/>
        </w:rPr>
        <w:t>1. Reciprocity may be mirror, complementary, or portfolio-based. The Parties are not required to exchange identical products, identical projects, or dollar-identical individual procurements.</w:t>
      </w:r>
    </w:p>
    <w:p>
      <w:pPr>
        <w:pStyle w:val="Normal"/>
      </w:pPr>
      <w:r>
        <w:rPr>
          <w:b w:val="false"/>
          <w:i w:val="false"/>
        </w:rPr>
        <w:t>2. Portfolio equivalence may consider usable eligible value, number and quality of competitions, sector diversity, duration, geographic breadth, SME accessibility, strategic relevance, qualification burdens, and realized participation. Headline value alone is insufficient.</w:t>
      </w:r>
    </w:p>
    <w:p>
      <w:pPr>
        <w:pStyle w:val="Heading2"/>
      </w:pPr>
      <w:bookmarkStart w:id="902067" w:name="_Toc300002066"/>
      <w:r>
        <w:rPr>
          <w:i w:val="false"/>
        </w:rPr>
        <w:t>Article 65.12: North American Content and Prequalification Lane</w:t>
      </w:r>
      <w:bookmarkEnd w:id="902067"/>
    </w:p>
    <w:p>
      <w:pPr>
        <w:pStyle w:val="Normal"/>
      </w:pPr>
      <w:r>
        <w:rPr>
          <w:b w:val="false"/>
          <w:i w:val="false"/>
        </w:rPr>
        <w:t>Where lawful and expressly designated, a certificate may establish reciprocal prequalification or North American-origin treatment that improves access for qualifying suppliers from the Parties relative to extra-regional suppliers. Such treatment shall not guarantee awards and shall remain consistent with applicable procurement commitments and exclusions.</w:t>
      </w:r>
    </w:p>
    <w:p>
      <w:pPr>
        <w:pStyle w:val="Heading2"/>
      </w:pPr>
      <w:bookmarkStart w:id="902068" w:name="_Toc300002067"/>
      <w:r>
        <w:rPr>
          <w:i w:val="false"/>
        </w:rPr>
        <w:t>Article 65.13: Subnational Reciprocity Track</w:t>
      </w:r>
      <w:bookmarkEnd w:id="902068"/>
    </w:p>
    <w:p>
      <w:pPr>
        <w:pStyle w:val="Normal"/>
      </w:pPr>
      <w:r>
        <w:rPr>
          <w:b w:val="false"/>
          <w:i w:val="false"/>
        </w:rPr>
        <w:t>States, provinces, territories, municipalities, Mexican states, public authorities, Indigenous governments or entities, and other competent subnational bodies may participate voluntarily where legally authorized. Federal participation shall not be interpreted as binding a non-consenting subnational procurement authority.</w:t>
      </w:r>
    </w:p>
    <w:p>
      <w:pPr>
        <w:pStyle w:val="Heading2"/>
      </w:pPr>
      <w:bookmarkStart w:id="902069" w:name="_Toc300002068"/>
      <w:r>
        <w:rPr>
          <w:i w:val="false"/>
        </w:rPr>
        <w:t>Article 65.14: Community, Indigenous and SME Participation</w:t>
      </w:r>
      <w:bookmarkEnd w:id="902069"/>
    </w:p>
    <w:p>
      <w:pPr>
        <w:pStyle w:val="Normal"/>
      </w:pPr>
      <w:r>
        <w:rPr>
          <w:b w:val="false"/>
          <w:i w:val="false"/>
        </w:rPr>
        <w:t>Implementation may facilitate SME, Indigenous, local-community, rural, and regional supplier participation through lawful outreach, prequalification assistance, lot design, capacity building, and transparent participation targets. Nothing in this Chapter overrides Indigenous rights, consultation duties, procurement autonomy, or applicable constitutional and legal protections.</w:t>
      </w:r>
    </w:p>
    <w:p>
      <w:pPr>
        <w:pStyle w:val="Heading2"/>
      </w:pPr>
      <w:bookmarkStart w:id="902070" w:name="_Toc300002069"/>
      <w:r>
        <w:rPr>
          <w:i w:val="false"/>
        </w:rPr>
        <w:t>Article 65.15: Public, Private and Mixed Projects</w:t>
      </w:r>
      <w:bookmarkEnd w:id="902070"/>
    </w:p>
    <w:p>
      <w:pPr>
        <w:pStyle w:val="Normal"/>
      </w:pPr>
      <w:r>
        <w:rPr>
          <w:b w:val="false"/>
          <w:i w:val="false"/>
        </w:rPr>
        <w:t>Private projects may enter the Compact only through voluntary participation, a qualifying public procurement or financing nexus, or another lawful mechanism accepted by the competent parties. Treaty inclusion alone does not compel a private owner to open procurement or award contracts.</w:t>
      </w:r>
    </w:p>
    <w:p>
      <w:pPr>
        <w:pStyle w:val="Heading2"/>
      </w:pPr>
      <w:bookmarkStart w:id="902071" w:name="_Toc300002070"/>
      <w:r>
        <w:rPr>
          <w:i w:val="false"/>
        </w:rPr>
        <w:t>Article 65.16: Security and Sensitive Procurement Firewall</w:t>
      </w:r>
      <w:bookmarkEnd w:id="902071"/>
    </w:p>
    <w:p>
      <w:pPr>
        <w:pStyle w:val="Normal"/>
      </w:pPr>
      <w:r>
        <w:rPr>
          <w:b w:val="false"/>
          <w:i w:val="false"/>
        </w:rPr>
        <w:t>Sensitive defense, intelligence, law-enforcement, cybersecurity, nuclear, border, personal-data, and critical-infrastructure procurements remain subject to applicable exclusions, security review, privacy protections, and competent-authority restrictions. Civil works, logistics, resilience, medical, emergency, and other separable non-sensitive packages may be designated where lawful.</w:t>
      </w:r>
    </w:p>
    <w:p>
      <w:pPr>
        <w:pStyle w:val="Heading2"/>
      </w:pPr>
      <w:bookmarkStart w:id="902072" w:name="_Toc300002071"/>
      <w:r>
        <w:rPr>
          <w:i w:val="false"/>
        </w:rPr>
        <w:t>Article 65.17: Permitting, Rights and Regulatory Firewall</w:t>
      </w:r>
      <w:bookmarkEnd w:id="902072"/>
    </w:p>
    <w:p>
      <w:pPr>
        <w:pStyle w:val="Normal"/>
      </w:pPr>
      <w:r>
        <w:rPr>
          <w:b w:val="false"/>
          <w:i w:val="false"/>
        </w:rPr>
        <w:t>A procurement designation does not approve, permit, license, finance, or environmentally authorize the underlying project. Fast-track treatment may coordinate procedure but shall not waive substantive environmental, Indigenous-rights, labour, safety, nuclear, health, competition, or other applicable law.</w:t>
      </w:r>
    </w:p>
    <w:p>
      <w:pPr>
        <w:pStyle w:val="Heading2"/>
      </w:pPr>
      <w:bookmarkStart w:id="902073" w:name="_Toc300002072"/>
      <w:r>
        <w:rPr>
          <w:i w:val="false"/>
        </w:rPr>
        <w:t>Article 65.18: Three-Receipt Rule</w:t>
      </w:r>
      <w:bookmarkEnd w:id="902073"/>
    </w:p>
    <w:p>
      <w:pPr>
        <w:pStyle w:val="Normal"/>
      </w:pPr>
      <w:r>
        <w:rPr>
          <w:b w:val="false"/>
          <w:i w:val="false"/>
        </w:rPr>
        <w:t>Public reporting shall distinguish: Receipt 1, Access, showing that a lawful opening exists; Receipt 2, Competition, showing that qualified suppliers had commercially usable access to compete; and Receipt 3, Award, showing a lawful contract award. A Verified Procurement Win under Chapter 64 requires the evidence appropriate to the claimed stage.</w:t>
      </w:r>
    </w:p>
    <w:p>
      <w:pPr>
        <w:pStyle w:val="Heading2"/>
      </w:pPr>
      <w:bookmarkStart w:id="902074" w:name="_Toc300002073"/>
      <w:r>
        <w:rPr>
          <w:i w:val="false"/>
        </w:rPr>
        <w:t>Article 65.19: Opportunity-to-Delivery Accounting</w:t>
      </w:r>
      <w:bookmarkEnd w:id="902074"/>
    </w:p>
    <w:p>
      <w:pPr>
        <w:pStyle w:val="Normal"/>
      </w:pPr>
      <w:r>
        <w:rPr>
          <w:b w:val="false"/>
          <w:i w:val="false"/>
        </w:rPr>
        <w:t>The Registry and Chapter 64 Ledger shall, where practicable, track Access Opened, Qualified Bids, Cross-Border Participation, Contracts Awarded, and Delivered Procurement Value without double counting the same transaction across multiple portfolios or political presentations.</w:t>
      </w:r>
    </w:p>
    <w:p>
      <w:pPr>
        <w:pStyle w:val="Heading2"/>
      </w:pPr>
      <w:bookmarkStart w:id="902075" w:name="_Toc300002074"/>
      <w:r>
        <w:rPr>
          <w:i w:val="false"/>
        </w:rPr>
        <w:t>Article 65.20: Procurement Availability Ratio</w:t>
      </w:r>
      <w:bookmarkEnd w:id="902075"/>
    </w:p>
    <w:p>
      <w:pPr>
        <w:pStyle w:val="Normal"/>
      </w:pPr>
      <w:r>
        <w:rPr>
          <w:b w:val="false"/>
          <w:i w:val="false"/>
        </w:rPr>
        <w:t>For large or partially completed projects, reporting may calculate a Procurement Availability Ratio equal to remaining potentially eligible procurement divided by total project value. The ratio is diagnostic and shall not substitute for verification of the specific designated opportunity.</w:t>
      </w:r>
    </w:p>
    <w:p>
      <w:pPr>
        <w:pStyle w:val="Heading2"/>
      </w:pPr>
      <w:bookmarkStart w:id="902076" w:name="_Toc300002075"/>
      <w:r>
        <w:rPr>
          <w:i w:val="false"/>
        </w:rPr>
        <w:t>Article 65.21: Initial, Rolling and Development Schedules</w:t>
      </w:r>
      <w:bookmarkEnd w:id="902076"/>
    </w:p>
    <w:p>
      <w:pPr>
        <w:pStyle w:val="Normal"/>
      </w:pPr>
      <w:r>
        <w:t>1. Flagship and Anchor candidates may enter an Initial Designated Procurement Schedule only after V5 verification under Article 65.8 and affirmative designation under Article 65.4 by the competent participating procurement authority. Recording an opportunity in that Schedule memorializes the legal effect of the underlying designation and does not create a second or broader procurement entitlement. 2. Program keepers populate recurring project classes capable of receiving future certificates only after the certificate and designation requirements applicable to the particular opening are satisfied. 3. Development keepers remain research, feasibility, demonstration, emerging-technology, future-horizon, or jurisdiction-dependent candidates and do not create non-compliance merely because they do not mature.</w:t>
      </w:r>
    </w:p>
    <w:p>
      <w:pPr>
        <w:pStyle w:val="Heading2"/>
      </w:pPr>
      <w:bookmarkStart w:id="902077" w:name="_Toc300002076"/>
      <w:r>
        <w:rPr>
          <w:i w:val="false"/>
        </w:rPr>
        <w:t>Article 65.22: Expansion and Substitution Registry</w:t>
      </w:r>
      <w:bookmarkEnd w:id="902077"/>
    </w:p>
    <w:p>
      <w:pPr>
        <w:pStyle w:val="Normal"/>
      </w:pPr>
      <w:r>
        <w:t>The Parties may maintain expansion and substitution candidates outside the 370-entry research baseline. A failed or obsolete candidate or designated implementation may be replaced by a verified candidate of comparable strategic and reciprocal value where appropriate. No minimum number of substitution candidates is required, and additional qualified opportunities may be added without amending the Agreement unless their legal treatment itself requires amendment.</w:t>
      </w:r>
    </w:p>
    <w:p>
      <w:pPr>
        <w:pStyle w:val="Heading2"/>
      </w:pPr>
      <w:bookmarkStart w:id="902078" w:name="_Toc300002077"/>
      <w:r>
        <w:rPr>
          <w:i w:val="false"/>
        </w:rPr>
        <w:t>Article 65.23: Substitution Without Concealment</w:t>
      </w:r>
      <w:bookmarkEnd w:id="902078"/>
    </w:p>
    <w:p>
      <w:pPr>
        <w:pStyle w:val="Normal"/>
      </w:pPr>
      <w:r>
        <w:rPr>
          <w:b w:val="false"/>
          <w:i w:val="false"/>
        </w:rPr>
        <w:t>Where a named project is removed, converted, or substituted, the Registry shall preserve the reason, date, and replacement pathway. Completed, cancelled, already-awarded, or unavailable projects shall not be silently represented as current opportunities.</w:t>
      </w:r>
    </w:p>
    <w:p>
      <w:pPr>
        <w:pStyle w:val="Heading2"/>
      </w:pPr>
      <w:bookmarkStart w:id="902079" w:name="_Toc300002078"/>
      <w:r>
        <w:rPr>
          <w:i w:val="false"/>
        </w:rPr>
        <w:t>Article 65.24: Procurement Opportunity Registry</w:t>
      </w:r>
      <w:bookmarkEnd w:id="902079"/>
    </w:p>
    <w:p>
      <w:pPr>
        <w:pStyle w:val="Normal"/>
      </w:pPr>
      <w:r>
        <w:t>The Parties shall maintain a transparent registry distinguishing candidate keepers from V5 verified and affirmatively designated opportunities, together with certificates, verification grades, procurement status, participating jurisdictions, and material revisions, subject to legitimate confidentiality and security protections.</w:t>
      </w:r>
    </w:p>
    <w:p>
      <w:pPr>
        <w:pStyle w:val="Heading2"/>
      </w:pPr>
      <w:bookmarkStart w:id="902080" w:name="_Toc300002079"/>
      <w:r>
        <w:rPr>
          <w:i w:val="false"/>
        </w:rPr>
        <w:t>Article 65.25: Commercial Wins Integration</w:t>
      </w:r>
      <w:bookmarkEnd w:id="902080"/>
    </w:p>
    <w:p>
      <w:pPr>
        <w:pStyle w:val="Normal"/>
      </w:pPr>
      <w:r>
        <w:rPr>
          <w:b w:val="false"/>
          <w:i w:val="false"/>
        </w:rPr>
        <w:t>Procurement opportunities and realized awards shall feed Chapter 64 using its additionality, baseline, revision, no-double-counting, statistical-integrity, and national-presentation disciplines. Public interfaces may celebrate verified wins but may not alter the underlying procurement or measurement methodology.</w:t>
      </w:r>
    </w:p>
    <w:p>
      <w:pPr>
        <w:pStyle w:val="Heading2"/>
      </w:pPr>
      <w:bookmarkStart w:id="902081" w:name="_Toc300002080"/>
      <w:r>
        <w:rPr>
          <w:i w:val="false"/>
        </w:rPr>
        <w:t>Article 65.26: No Uncompensated Front-Loading</w:t>
      </w:r>
      <w:bookmarkEnd w:id="902081"/>
    </w:p>
    <w:p>
      <w:pPr>
        <w:pStyle w:val="Normal"/>
      </w:pPr>
      <w:r>
        <w:rPr>
          <w:b w:val="false"/>
          <w:i w:val="false"/>
        </w:rPr>
        <w:t>Where reciprocal procurement access is expressly paired across Parties, activation should occur together or according to a verified agreed sequence. Material failure of paired performance shall use notice, verification, a short cure opportunity, proportionate pause or step-back of the affected paired benefit, and automatic restoration after verified cure, consistent with Article 35.36 and Cothrom architecture.</w:t>
      </w:r>
    </w:p>
    <w:p>
      <w:pPr>
        <w:pStyle w:val="Heading2"/>
      </w:pPr>
      <w:bookmarkStart w:id="902082" w:name="_Toc300002081"/>
      <w:r>
        <w:rPr>
          <w:i w:val="false"/>
        </w:rPr>
        <w:t>Article 65.27: No Cross-Sector Procurement Punishment</w:t>
      </w:r>
      <w:bookmarkEnd w:id="902082"/>
    </w:p>
    <w:p>
      <w:pPr>
        <w:pStyle w:val="Normal"/>
      </w:pPr>
      <w:r>
        <w:rPr>
          <w:b w:val="false"/>
          <w:i w:val="false"/>
        </w:rPr>
        <w:t>A dispute concerning one certificate, project, supplier qualification, or procurement portfolio shall ordinarily be confined to the affected procurement benefit. Unrelated trade concessions shall not be suspended solely because an individual project is delayed, cancelled, unsuccessfully bid, or affected by good-faith technical or commercial failure.</w:t>
      </w:r>
    </w:p>
    <w:p>
      <w:pPr>
        <w:pStyle w:val="Heading2"/>
      </w:pPr>
      <w:bookmarkStart w:id="902083" w:name="_Toc300002082"/>
      <w:r>
        <w:rPr>
          <w:i w:val="false"/>
        </w:rPr>
        <w:t>Article 65.28: Review, Promotion and Evolution</w:t>
      </w:r>
      <w:bookmarkEnd w:id="902083"/>
    </w:p>
    <w:p>
      <w:pPr>
        <w:pStyle w:val="Normal"/>
      </w:pPr>
      <w:r>
        <w:t>The Parties shall periodically review the candidate portfolio, promote maturing Development or Program keepers through Articles 65.4 and 65.8, update verification records through the competent issuing authority, add qualifying opportunities through new certificates and designations, and retire obsolete project instances while preserving transparent records. Annex 65-A remains a non-binding research baseline; Annex 65-B is a non-operative architecture summary; and Annex 65-C states technical minimum certificate fields whose eligible technical maintenance is governed by Article 34.3.A. Article 46.11 governs only clerical corrections, while any change to the legal effect of a designated opening, substantive procurement right, exception, ceiling, remedy, or other protected term requires Article 34.3 or another express treaty authority. The objective is a living reciprocal opportunity system rather than a static list of construction promises, and no candidate count is protected as a substantive entitlement.</w:t>
      </w:r>
    </w:p>
    <w:p>
      <w:pPr>
        <w:pStyle w:val="Heading2"/>
      </w:pPr>
      <w:bookmarkStart w:id="902084" w:name="_Toc300002083"/>
      <w:r>
        <w:t>ANNEX 65-A: 370-ENTRY CANDIDATE OPPORTUNITY REGISTER (NON-BINDING UNTIL DESIGNATED)</w:t>
      </w:r>
      <w:bookmarkEnd w:id="902084"/>
    </w:p>
    <w:p>
      <w:pPr>
        <w:pStyle w:val="Normal"/>
      </w:pPr>
      <w:r>
        <w:t>STATUS AND LEGAL EFFECT OF THIS ANNEX. The 370 entries below are preserved as non-binding candidate research and negotiating leads for verification, designation, programmatic use, development, substitution, or future maturation. An entry may be conceptual, unavailable, unverified, future-horizon, privately controlled, or jurisdiction-dependent and does not become a treaty fact, procurement opening, funding commitment, binding schedule, guaranteed award, project approval, certified value, or waiver merely by appearing here. Article 65.8 verification, Article 65.4 affirmative competent-authority designation, and Annex 66-F fact-verification principles govern any promotion of a candidate to a binding designated opening, and Article 65.28 controls the Annex's non-binding status.</w:t>
      </w:r>
    </w:p>
    <w:p>
      <w:pPr>
        <w:pStyle w:val="Normal"/>
      </w:pPr>
      <w:r>
        <w:rPr>
          <w:b w:val="false"/>
          <w:i/>
        </w:rPr>
        <w:t>Classification legend: FLAGSHIP = first-priority verification/presentation; ANCHOR = substantial named or strategic opportunity; PROGRAM = recurring procurement class or rolling opportunity; DEVELOPMENT = conditional, feasibility, emerging, private-participation, jurisdiction-dependent, or future-horizon opportunity.</w:t>
      </w:r>
    </w:p>
    <w:p>
      <w:pPr>
        <w:pStyle w:val="Normal"/>
      </w:pPr>
      <w:r>
        <w:rPr>
          <w:b w:val="false"/>
          <w:i w:val="false"/>
        </w:rPr>
        <w:t>65-A-001 [FLAGSHIP] Detroit–Windsor second crossing ancillary works: Gordie Howe Bridge is under way; a follow-on "North American Build Compact (NABC) Corridor Package" opens Michigan-side interchange, lighting and ITS contracts to Canadian firms in exchange for Ontario-side approach-road contracts opened to U.S. firms.</w:t>
      </w:r>
    </w:p>
    <w:p>
      <w:pPr>
        <w:pStyle w:val="Normal"/>
      </w:pPr>
      <w:r>
        <w:rPr>
          <w:b w:val="false"/>
          <w:i w:val="false"/>
        </w:rPr>
        <w:t>65-A-002 [ANCHOR] I-5 Columbia River Crossing (Oregon–Washington): Canadian steel fabricators and Mexican precast producers prequalified on a defined share; in return, U.S. firms bid on British Columbia Highway 1 widening packages of equal value.</w:t>
      </w:r>
    </w:p>
    <w:p>
      <w:pPr>
        <w:pStyle w:val="Normal"/>
      </w:pPr>
      <w:r>
        <w:rPr>
          <w:b w:val="false"/>
          <w:i w:val="false"/>
        </w:rPr>
        <w:t>65-A-003 [ANCHOR] Peace Arch / Blaine border expansion: Reciprocal opening of U.S. inspection-plaza civil works to BC contractors, matched by B.C. secondary-inspection canopy contracts opened to Washington State firms.</w:t>
      </w:r>
    </w:p>
    <w:p>
      <w:pPr>
        <w:pStyle w:val="Normal"/>
      </w:pPr>
      <w:r>
        <w:rPr>
          <w:b w:val="false"/>
          <w:i w:val="false"/>
        </w:rPr>
        <w:t>65-A-004 [ANCHOR] Pembina–Emerson crossing modernization: Manitoba opens plaza and drainage works to North Dakota firms; North Dakota reciprocates on its I-29 approach corridor contracts to Manitoba contractors.</w:t>
      </w:r>
    </w:p>
    <w:p>
      <w:pPr>
        <w:pStyle w:val="Normal"/>
      </w:pPr>
      <w:r>
        <w:rPr>
          <w:b w:val="false"/>
          <w:i w:val="false"/>
        </w:rPr>
        <w:t>65-A-005 [ANCHOR] Sumas–Huntingdon crossing rebuild (post-flood): Jointly tendered: U.S. firms eligible on Abbotsford-side works, Canadian firms on Whatcom County works, with a named CUSMA-steel content rule.</w:t>
      </w:r>
    </w:p>
    <w:p>
      <w:pPr>
        <w:pStyle w:val="Normal"/>
      </w:pPr>
      <w:r>
        <w:rPr>
          <w:b w:val="false"/>
          <w:i w:val="false"/>
        </w:rPr>
        <w:t>65-A-006 [ANCHOR] New York–Quebec Champlain–Lacolle plaza upgrade: Canadian firms eligible on the New York side; U.S. firms on the Quebec A-15 approach and plaza works, dollar-matched.</w:t>
      </w:r>
    </w:p>
    <w:p>
      <w:pPr>
        <w:pStyle w:val="Normal"/>
      </w:pPr>
      <w:r>
        <w:rPr>
          <w:b w:val="false"/>
          <w:i w:val="false"/>
        </w:rPr>
        <w:t>65-A-007 [PROGRAM] Derby Line–Stanstead (I-91/A-55) inspection modernization: Vermont and Quebec exchange prequalification lists for a capped set of contracts on both sides of the same project.</w:t>
      </w:r>
    </w:p>
    <w:p>
      <w:pPr>
        <w:pStyle w:val="Normal"/>
      </w:pPr>
      <w:r>
        <w:rPr>
          <w:b w:val="false"/>
          <w:i w:val="false"/>
        </w:rPr>
        <w:t>65-A-008 [ANCHOR] Sault Ste. Marie International Bridge approach renewal: Michigan opens approach-span repainting and deck contracts to Ontario firms; Ontario reciprocates on its plaza and Huron Street works.</w:t>
      </w:r>
    </w:p>
    <w:p>
      <w:pPr>
        <w:pStyle w:val="Normal"/>
      </w:pPr>
      <w:r>
        <w:rPr>
          <w:b w:val="false"/>
          <w:i w:val="false"/>
        </w:rPr>
        <w:t>65-A-009 [ANCHOR] International Falls–Fort Frances bridge and plaza: Minnesota and Ontario exchange access on plaza expansion and toll-system contracts, framed as one binational project.</w:t>
      </w:r>
    </w:p>
    <w:p>
      <w:pPr>
        <w:pStyle w:val="Normal"/>
      </w:pPr>
      <w:r>
        <w:rPr>
          <w:b w:val="false"/>
          <w:i w:val="false"/>
        </w:rPr>
        <w:t>65-A-010 [ANCHOR] Baudette–Rainy River International Bridge rehabilitation: Reciprocal procurement split named in a state-provincial MOU under the NABC umbrella.</w:t>
      </w:r>
    </w:p>
    <w:p>
      <w:pPr>
        <w:pStyle w:val="Normal"/>
      </w:pPr>
      <w:r>
        <w:rPr>
          <w:b w:val="false"/>
          <w:i w:val="false"/>
        </w:rPr>
        <w:t>65-A-011 [FLAGSHIP] World Trade Bridge (Laredo) expansion: U.S. opens Texas-side approach and inspection-canopy contracts to Mexican and Canadian firms; Nuevo León/Tamaulipas reciprocate on the Anzaldúas and Colombia bridge approach works.</w:t>
      </w:r>
    </w:p>
    <w:p>
      <w:pPr>
        <w:pStyle w:val="Normal"/>
      </w:pPr>
      <w:r>
        <w:rPr>
          <w:b w:val="false"/>
          <w:i w:val="false"/>
        </w:rPr>
        <w:t>65-A-012 [FLAGSHIP] Otay Mesa East / Otay II port of entry (San Diego–Tijuana): Trilateral tender: Canadian ITS firms, Mexican civil contractors and U.S. builders share a defined package split, announced with dollar figures for each country.</w:t>
      </w:r>
    </w:p>
    <w:p>
      <w:pPr>
        <w:pStyle w:val="Normal"/>
      </w:pPr>
      <w:r>
        <w:rPr>
          <w:b w:val="false"/>
          <w:i w:val="false"/>
        </w:rPr>
        <w:t>65-A-013 [ANCHOR] Brownsville–Matamoros West Rail Bridge: Canadian rail-signal firms and U.S. steel fabricators eligible on a defined share; Mexican side reciprocates with its Matamoros-side yard contracts.</w:t>
      </w:r>
    </w:p>
    <w:p>
      <w:pPr>
        <w:pStyle w:val="Normal"/>
      </w:pPr>
      <w:r>
        <w:rPr>
          <w:b w:val="false"/>
          <w:i w:val="false"/>
        </w:rPr>
        <w:t>65-A-014 [ANCHOR] Eagle Pass–Piedras Negras rail bridge twinning: U.S. firms prequalified on Coahuila-side approach embankments; Mexican firms on the Texas inspection and yard works.</w:t>
      </w:r>
    </w:p>
    <w:p>
      <w:pPr>
        <w:pStyle w:val="Normal"/>
      </w:pPr>
      <w:r>
        <w:rPr>
          <w:b w:val="false"/>
          <w:i w:val="false"/>
        </w:rPr>
        <w:t>65-A-015 [ANCHOR] Ambassador Bridge secondary-span mitigation works (Windsor–Detroit): If a twin span proceeds, carve a named reciprocal package out of both sides' approach contracts from day one.</w:t>
      </w:r>
    </w:p>
    <w:p>
      <w:pPr>
        <w:pStyle w:val="Normal"/>
      </w:pPr>
      <w:r>
        <w:rPr>
          <w:b w:val="false"/>
          <w:i w:val="false"/>
        </w:rPr>
        <w:t>65-A-016 [FLAGSHIP] St. Lawrence Seaway locks modernization (U.S. and Canadian locks): Joint binational tender with a published split: Canadian firms on the two U.S. Snell/Eisenhower lock contracts, U.S. firms on Welland Canal tie-up wall works.</w:t>
      </w:r>
    </w:p>
    <w:p>
      <w:pPr>
        <w:pStyle w:val="Normal"/>
      </w:pPr>
      <w:r>
        <w:rPr>
          <w:b w:val="false"/>
          <w:i w:val="false"/>
        </w:rPr>
        <w:t>65-A-017 [ANCHOR] Thousand Islands Bridge system renewal: New York and Ontario exchange access on deck rehabilitation and toll plaza contracts under a named NABC line item.</w:t>
      </w:r>
    </w:p>
    <w:p>
      <w:pPr>
        <w:pStyle w:val="Normal"/>
      </w:pPr>
      <w:r>
        <w:rPr>
          <w:b w:val="false"/>
          <w:i w:val="false"/>
        </w:rPr>
        <w:t>65-A-018 [ANCHOR] Ogdensburg–Prescott International Bridge painting contract: Canadian coating firms eligible; reciprocated by Ogdensburg port-of-entry paving contracts opened to U.S. firms.</w:t>
      </w:r>
    </w:p>
    <w:p>
      <w:pPr>
        <w:pStyle w:val="Normal"/>
      </w:pPr>
      <w:r>
        <w:rPr>
          <w:b w:val="false"/>
          <w:i w:val="false"/>
        </w:rPr>
        <w:t>65-A-019 [PROGRAM] Alaska Highway–Haines Junction corridor bridges: Alaska opens defined bridge-rehab packages to Yukon and BC firms; Yukon reciprocates on Shakwak-project-style packages for U.S. contractors.</w:t>
      </w:r>
    </w:p>
    <w:p>
      <w:pPr>
        <w:pStyle w:val="Normal"/>
      </w:pPr>
      <w:r>
        <w:rPr>
          <w:b w:val="false"/>
          <w:i w:val="false"/>
        </w:rPr>
        <w:t>65-A-020 [ANCHOR] Nogales–Mariposa port of entry expansion: Arizona opens civil works to Sonora contractors; Sonora reciprocates on its federal inspection-plaza contracts, both announced as one project with shared figures.</w:t>
      </w:r>
    </w:p>
    <w:p>
      <w:pPr>
        <w:pStyle w:val="Normal"/>
      </w:pPr>
      <w:r>
        <w:rPr>
          <w:b w:val="false"/>
          <w:i w:val="false"/>
        </w:rPr>
        <w:t>65-A-021 [PROGRAM] Calexico–Mexicali border infrastructure: Reciprocal opening of new pedestrian plaza and vehicle-lane contracts on both sides; include Imperial Valley waterworks tie-in as a Canadian engineering-services opening.</w:t>
      </w:r>
    </w:p>
    <w:p>
      <w:pPr>
        <w:pStyle w:val="Normal"/>
      </w:pPr>
      <w:r>
        <w:rPr>
          <w:b w:val="false"/>
          <w:i w:val="false"/>
        </w:rPr>
        <w:t>65-A-022 [PROGRAM] Blue Water Bridge (Port Huron–Sarnia) plaza expansion: Michigan and Ontario swap access on plaza, canopy and toll-gantry contracts with a named dollar ceiling.</w:t>
      </w:r>
    </w:p>
    <w:p>
      <w:pPr>
        <w:pStyle w:val="Normal"/>
      </w:pPr>
      <w:r>
        <w:rPr>
          <w:b w:val="false"/>
          <w:i w:val="false"/>
        </w:rPr>
        <w:t>65-A-023 [PROGRAM] International Bridge to St. Stephen–Calais: New Brunswick and Maine exchange prequalification for border-station rebuild packages.</w:t>
      </w:r>
    </w:p>
    <w:p>
      <w:pPr>
        <w:pStyle w:val="Normal"/>
      </w:pPr>
      <w:r>
        <w:rPr>
          <w:b w:val="false"/>
          <w:i w:val="false"/>
        </w:rPr>
        <w:t>65-A-024 [PROGRAM] Quebec–Vermont Highgate Springs interchange: Vermont I-89 interchange works opened to Quebec firms; Quebec reciprocates on A-35 completion contracts.</w:t>
      </w:r>
    </w:p>
    <w:p>
      <w:pPr>
        <w:pStyle w:val="Normal"/>
      </w:pPr>
      <w:r>
        <w:rPr>
          <w:b w:val="false"/>
          <w:i w:val="false"/>
        </w:rPr>
        <w:t>65-A-025 [FLAGSHIP] Detroit–Windsor Tunnel ventilation and life-safety renewal: Binational asset, binational tender: publish a 50/50 contract split with named firms eligible.</w:t>
      </w:r>
    </w:p>
    <w:p>
      <w:pPr>
        <w:pStyle w:val="Normal"/>
      </w:pPr>
      <w:r>
        <w:rPr>
          <w:b w:val="false"/>
          <w:i w:val="false"/>
        </w:rPr>
        <w:t>65-A-026 [PROGRAM] Pacific Highway (Surrey–Blaine) commercial vehicle plaza: Reciprocal packages on both sides, including NEXUS-lane civil works, announced with jobs figures for Washington and BC.</w:t>
      </w:r>
    </w:p>
    <w:p>
      <w:pPr>
        <w:pStyle w:val="Normal"/>
      </w:pPr>
      <w:r>
        <w:rPr>
          <w:b w:val="false"/>
          <w:i w:val="false"/>
        </w:rPr>
        <w:t>65-A-027 [FLAGSHIP] Fort Erie–Buffalo Peace Bridge rehabilitation: New York State and Ontario exchange deck, painting and ITS contracts as one named project.</w:t>
      </w:r>
    </w:p>
    <w:p>
      <w:pPr>
        <w:pStyle w:val="Normal"/>
      </w:pPr>
      <w:r>
        <w:rPr>
          <w:b w:val="false"/>
          <w:i w:val="false"/>
        </w:rPr>
        <w:t>65-A-028 [PROGRAM] Lewiston–Queenston Bridge plaza expansion: Ontario firms eligible on New York-side toll system; U.S. firms on Ontario-side approach works.</w:t>
      </w:r>
    </w:p>
    <w:p>
      <w:pPr>
        <w:pStyle w:val="Normal"/>
      </w:pPr>
      <w:r>
        <w:rPr>
          <w:b w:val="false"/>
          <w:i w:val="false"/>
        </w:rPr>
        <w:t>65-A-029 [PROGRAM] Tijuana–San Ysidro pedestrian east crossing: California opens inspection-canopy contracts to Mexican firms; Baja California reciprocates on its El Chaparral expansion works, with Canadian security-screening integrators eligible on both.</w:t>
      </w:r>
    </w:p>
    <w:p>
      <w:pPr>
        <w:pStyle w:val="Normal"/>
      </w:pPr>
      <w:r>
        <w:rPr>
          <w:b w:val="false"/>
          <w:i w:val="false"/>
        </w:rPr>
        <w:t>65-A-030 [PROGRAM] Binational bridge maintenance framework: A standing (but project-capped) NABC annex under which every future international crossing project affirmativeally includes a published reciprocal split, institutionalizes the trophy machine.</w:t>
      </w:r>
    </w:p>
    <w:p>
      <w:pPr>
        <w:pStyle w:val="Normal"/>
      </w:pPr>
      <w:r>
        <w:rPr>
          <w:b w:val="false"/>
          <w:i w:val="false"/>
        </w:rPr>
        <w:t>65-A-031 [ANCHOR] Amtrak Cascades (Vancouver BC–Seattle–Portland) rolling stock: Canadian and Mexican firms eligible on a defined share of the new trainset procurement; in exchange, U.S. railcar suppliers bid on a capped share of VIA Rail's fleet-renewal options.</w:t>
      </w:r>
    </w:p>
    <w:p>
      <w:pPr>
        <w:pStyle w:val="Normal"/>
      </w:pPr>
      <w:r>
        <w:rPr>
          <w:b w:val="false"/>
          <w:i w:val="false"/>
        </w:rPr>
        <w:t>65-A-032 [FLAGSHIP] VIA Rail High-Frequency Rail (Toronto–Quebec City): Named carve-out: U.S. and Mexican firms prequalified for track, signalling and station packages worth a published dollar figure; reciprocated by U.S. openings on Amtrak state-supported corridors.</w:t>
      </w:r>
    </w:p>
    <w:p>
      <w:pPr>
        <w:pStyle w:val="Normal"/>
      </w:pPr>
      <w:r>
        <w:rPr>
          <w:b w:val="false"/>
          <w:i w:val="false"/>
        </w:rPr>
        <w:t>65-A-033 [PROGRAM] Brightline West (Las Vegas–Southern California): Canadian rail-systems firms and Mexican precast plants eligible on guideway packages; reciprocity via Ontario and Quebec transit openings of equal value.</w:t>
      </w:r>
    </w:p>
    <w:p>
      <w:pPr>
        <w:pStyle w:val="Normal"/>
      </w:pPr>
      <w:r>
        <w:rPr>
          <w:b w:val="false"/>
          <w:i w:val="false"/>
        </w:rPr>
        <w:t>65-A-034 [ANCHOR] California High-Speed Rail Central Valley segment: Canadian track-laying and Mexican concrete-sleeper producers prequalified on a capped share; in return, U.S. firms bid on Metrolinx GO Expansion civil packages.</w:t>
      </w:r>
    </w:p>
    <w:p>
      <w:pPr>
        <w:pStyle w:val="Normal"/>
      </w:pPr>
      <w:r>
        <w:rPr>
          <w:b w:val="false"/>
          <w:i w:val="false"/>
        </w:rPr>
        <w:t>65-A-035 [PROGRAM] Texas high-speed rail (Dallas–Houston or Fort Worth corridor): Canadian systems integrators and Mexican civil contractors on named packages; Texas reciprocates by opening a share of its TxDOT rail-grade-separation program to CUSMA partners.</w:t>
      </w:r>
    </w:p>
    <w:p>
      <w:pPr>
        <w:pStyle w:val="Normal"/>
      </w:pPr>
      <w:r>
        <w:rPr>
          <w:b w:val="false"/>
          <w:i w:val="false"/>
        </w:rPr>
        <w:t>65-A-036 [PROGRAM] Metrolinx GO Expansion (Toronto): U.S. firms prequalified on defined electrification and station packages, announced as a trophy item with dollar figures; reciprocated via New York MTA openings for Canadian firms.</w:t>
      </w:r>
    </w:p>
    <w:p>
      <w:pPr>
        <w:pStyle w:val="Normal"/>
      </w:pPr>
      <w:r>
        <w:rPr>
          <w:b w:val="false"/>
          <w:i w:val="false"/>
        </w:rPr>
        <w:t>65-A-037 [PROGRAM] REM de l'Est / Montreal transit extensions: Quebec opens defined systems packages to U.S. and Mexican firms; Mexico City reciprocates on suburban-rail packages for Canadian suppliers.</w:t>
      </w:r>
    </w:p>
    <w:p>
      <w:pPr>
        <w:pStyle w:val="Normal"/>
      </w:pPr>
      <w:r>
        <w:rPr>
          <w:b w:val="false"/>
          <w:i w:val="false"/>
        </w:rPr>
        <w:t>65-A-038 [PROGRAM] Eglinton Crosstown West extension: Ontario opens tunnel-lining and station fit-out packages to U.S. precast producers in exchange for Canadian access to Chicago Metra fleet options.</w:t>
      </w:r>
    </w:p>
    <w:p>
      <w:pPr>
        <w:pStyle w:val="Normal"/>
      </w:pPr>
      <w:r>
        <w:rPr>
          <w:b w:val="false"/>
          <w:i w:val="false"/>
        </w:rPr>
        <w:t>65-A-039 [ANCHOR] Broadway Subway &amp; Surrey–Langley SkyTrain (BC): U.S. tunnel-boring and Mexican rebar suppliers eligible on capped packages; Washington State reciprocates on Sound Transit light-rail packages for BC firms.</w:t>
      </w:r>
    </w:p>
    <w:p>
      <w:pPr>
        <w:pStyle w:val="Normal"/>
      </w:pPr>
      <w:r>
        <w:rPr>
          <w:b w:val="false"/>
          <w:i w:val="false"/>
        </w:rPr>
        <w:t>65-A-040 [PROGRAM] Sound Transit (Seattle) light rail extensions: BC firms prequalified on guideway and systems packages as the explicit reciprocal half of idea 39, the pair is announced together as one trophy.</w:t>
      </w:r>
    </w:p>
    <w:p>
      <w:pPr>
        <w:pStyle w:val="Normal"/>
      </w:pPr>
      <w:r>
        <w:rPr>
          <w:b w:val="false"/>
          <w:i w:val="false"/>
        </w:rPr>
        <w:t>65-A-041 [PROGRAM] Chicago Transit Authority Red Line extension: Canadian railcar-component plants (Ontario) and Mexican wire/cable plants eligible on a named share; Ontario reciprocates with subway-car component openings for Illinois suppliers.</w:t>
      </w:r>
    </w:p>
    <w:p>
      <w:pPr>
        <w:pStyle w:val="Normal"/>
      </w:pPr>
      <w:r>
        <w:rPr>
          <w:b w:val="false"/>
          <w:i w:val="false"/>
        </w:rPr>
        <w:t>65-A-042 [FLAGSHIP] New York MTA Second Avenue Subway Phase 2: Canadian tunneling consortia eligible on a defined package; in exchange, New York State gets a published share of a Canadian tunnel project (e.g., Ontario Line).</w:t>
      </w:r>
    </w:p>
    <w:p>
      <w:pPr>
        <w:pStyle w:val="Normal"/>
      </w:pPr>
      <w:r>
        <w:rPr>
          <w:b w:val="false"/>
          <w:i w:val="false"/>
        </w:rPr>
        <w:t>65-A-043 [ANCHOR] Mexico City–Querétaro passenger rail revival: Canadian and U.S. rolling-stock and signalling firms prequalified; reciprocated by Mexican access to Amtrak's long-distance fleet replacement packages.</w:t>
      </w:r>
    </w:p>
    <w:p>
      <w:pPr>
        <w:pStyle w:val="Normal"/>
      </w:pPr>
      <w:r>
        <w:rPr>
          <w:b w:val="false"/>
          <w:i w:val="false"/>
        </w:rPr>
        <w:t>65-A-044 [PROGRAM] Toluca–Mexico City interurban train completion: U.S. and Canadian systems suppliers eligible on finishing packages; Mexico City reciprocates on cable-bus and metro-refurbishment contracts for CUSMA firms.</w:t>
      </w:r>
    </w:p>
    <w:p>
      <w:pPr>
        <w:pStyle w:val="Normal"/>
      </w:pPr>
      <w:r>
        <w:rPr>
          <w:b w:val="false"/>
          <w:i w:val="false"/>
        </w:rPr>
        <w:t>65-A-045 [PROGRAM] Guadalajara Metro Line 4: Canadian railcar assembly (Ontario/Quebec) and U.S. traction suppliers eligible; Jalisco reciprocates with station-civil openings and ITS contracts.</w:t>
      </w:r>
    </w:p>
    <w:p>
      <w:pPr>
        <w:pStyle w:val="Normal"/>
      </w:pPr>
      <w:r>
        <w:rPr>
          <w:b w:val="false"/>
          <w:i w:val="false"/>
        </w:rPr>
        <w:t>65-A-046 [PROGRAM] Monterrey Metro Lines 4–6: Canadian and U.S. firms prequalified on a published share; Nuevo León reciprocates with its "Metrorrey" depot and track contracts for Mexican-content rules aligned to CUSMA.</w:t>
      </w:r>
    </w:p>
    <w:p>
      <w:pPr>
        <w:pStyle w:val="Normal"/>
      </w:pPr>
      <w:r>
        <w:rPr>
          <w:b w:val="false"/>
          <w:i w:val="false"/>
        </w:rPr>
        <w:t>65-A-047 [FLAGSHIP] CPKC trilateral freight corridor upgrades: Package named around the only true Canada–US–Mexico railroad: joint procurement of cross-border yard, siding and inspection-facility works with published trilateral splits.</w:t>
      </w:r>
    </w:p>
    <w:p>
      <w:pPr>
        <w:pStyle w:val="Normal"/>
      </w:pPr>
      <w:r>
        <w:rPr>
          <w:b w:val="false"/>
          <w:i w:val="false"/>
        </w:rPr>
        <w:t>65-A-048 [PROGRAM] Laredo rail corridor grade separations: Texas opens packages to Mexican contractors; Coahuila/Nuevo León reciprocate on their CPKC-connection yard works for U.S. firms.</w:t>
      </w:r>
    </w:p>
    <w:p>
      <w:pPr>
        <w:pStyle w:val="Normal"/>
      </w:pPr>
      <w:r>
        <w:rPr>
          <w:b w:val="false"/>
          <w:i w:val="false"/>
        </w:rPr>
        <w:t>65-A-049 [PROGRAM] Amtrak fleet replacement (Airo and long-distance): Mexican and Canadian component plants eligible on a capped percentage of subassembly contracts; reciprocal U.S. access to VIA and Mexican passenger-fleet procurements.</w:t>
      </w:r>
    </w:p>
    <w:p>
      <w:pPr>
        <w:pStyle w:val="Normal"/>
      </w:pPr>
      <w:r>
        <w:rPr>
          <w:b w:val="false"/>
          <w:i w:val="false"/>
        </w:rPr>
        <w:t>65-A-050 [ANCHOR] Adirondack and Maple Leaf corridor service upgrades (Montreal–New York, Toronto–New York): Binational procurement of station, track and customs-preclearance works with a published split.</w:t>
      </w:r>
    </w:p>
    <w:p>
      <w:pPr>
        <w:pStyle w:val="Normal"/>
      </w:pPr>
      <w:r>
        <w:rPr>
          <w:b w:val="false"/>
          <w:i w:val="false"/>
        </w:rPr>
        <w:t>65-A-051 [FLAGSHIP] Hudson River rail tunnel (Gateway): Canadian tunneling and Mexican precast firms eligible on defined packages; reciprocated via Canadian openings on a named Toronto or Montreal tunnel package.</w:t>
      </w:r>
    </w:p>
    <w:p>
      <w:pPr>
        <w:pStyle w:val="Normal"/>
      </w:pPr>
      <w:r>
        <w:rPr>
          <w:b w:val="false"/>
          <w:i w:val="false"/>
        </w:rPr>
        <w:t>65-A-052 [PROGRAM] Boston MBTA Green Line extension follow-ons: Quebec and Ontario suppliers prequalified on systems packages; Massachusetts reciprocates with Canadian access to MBTA commuter-rail fleet options.</w:t>
      </w:r>
    </w:p>
    <w:p>
      <w:pPr>
        <w:pStyle w:val="Normal"/>
      </w:pPr>
      <w:r>
        <w:rPr>
          <w:b w:val="false"/>
          <w:i w:val="false"/>
        </w:rPr>
        <w:t>65-A-053 [PROGRAM] Calgary Green Line LRT: U.S. and Mexican firms eligible on capped civil and systems packages; Alberta reciprocity framed via Colorado or Utah transit openings for Canadian firms.</w:t>
      </w:r>
    </w:p>
    <w:p>
      <w:pPr>
        <w:pStyle w:val="Normal"/>
      </w:pPr>
      <w:r>
        <w:rPr>
          <w:b w:val="false"/>
          <w:i w:val="false"/>
        </w:rPr>
        <w:t>65-A-054 [PROGRAM] Edmonton Valley Line West LRT: U.S. trackwork suppliers eligible; reciprocated via Canadian access to Minneapolis–Saint Paul light-rail extension packages.</w:t>
      </w:r>
    </w:p>
    <w:p>
      <w:pPr>
        <w:pStyle w:val="Normal"/>
      </w:pPr>
      <w:r>
        <w:rPr>
          <w:b w:val="false"/>
          <w:i w:val="false"/>
        </w:rPr>
        <w:t>65-A-055 [PROGRAM] Ottawa Stage 2 LRT completion packages: U.S. signalling firms eligible on defined lots; Ontario reciprocates with access to DC Metro or Maryland Purple Line component contracts.</w:t>
      </w:r>
    </w:p>
    <w:p>
      <w:pPr>
        <w:pStyle w:val="Normal"/>
      </w:pPr>
      <w:r>
        <w:rPr>
          <w:b w:val="false"/>
          <w:i w:val="false"/>
        </w:rPr>
        <w:t>65-A-056 [PROGRAM] Mexico Suburban Train Buenavista–Cuautitlán expansion: Canadian railcar component plants and U.S. signalling firms prequalified; Estado de México reciprocates with station-civil openings.</w:t>
      </w:r>
    </w:p>
    <w:p>
      <w:pPr>
        <w:pStyle w:val="Normal"/>
      </w:pPr>
      <w:r>
        <w:rPr>
          <w:b w:val="false"/>
          <w:i w:val="false"/>
        </w:rPr>
        <w:t>65-A-057 [ANCHOR] Freight rail crossing modernization (El Paso–Juárez): Binational tender on track, scanning and yard works with published reciprocal opportunity values.</w:t>
      </w:r>
    </w:p>
    <w:p>
      <w:pPr>
        <w:pStyle w:val="Normal"/>
      </w:pPr>
      <w:r>
        <w:rPr>
          <w:b w:val="false"/>
          <w:i w:val="false"/>
        </w:rPr>
        <w:t>65-A-058 [ANCHOR] Quebec City–Windsor corridor station modernization program: Named bundle of mid-sized station contracts opened trilaterally, with Mexican and U.S. firms eligible on defined lots.</w:t>
      </w:r>
    </w:p>
    <w:p>
      <w:pPr>
        <w:pStyle w:val="Normal"/>
      </w:pPr>
      <w:r>
        <w:rPr>
          <w:b w:val="false"/>
          <w:i w:val="false"/>
        </w:rPr>
        <w:t>65-A-059 [PROGRAM] Commuter-rail positive-train-control and signalling harmonization: Trilateral prequalification list for signalling suppliers on cross-border corridors, each contract capped and announced.</w:t>
      </w:r>
    </w:p>
    <w:p>
      <w:pPr>
        <w:pStyle w:val="Normal"/>
      </w:pPr>
      <w:r>
        <w:rPr>
          <w:b w:val="false"/>
          <w:i w:val="false"/>
        </w:rPr>
        <w:t>65-A-060 [PROGRAM] Intercity bus and rail-station EV charging network (trilateral): Jointly tendered corridor of charging depots at stations from Vancouver to Monterrey; each country names its contracts and contractors.</w:t>
      </w:r>
    </w:p>
    <w:p>
      <w:pPr>
        <w:pStyle w:val="Normal"/>
      </w:pPr>
      <w:r>
        <w:rPr>
          <w:b w:val="false"/>
          <w:i w:val="false"/>
        </w:rPr>
        <w:t>65-A-061 [FLAGSHIP] Prince Rupert Fairview–Ridley connector and terminal expansion: U.S. and Mexican firms prequalified on defined civil packages; reciprocity via U.S. Pacific Northwest port openings for Canadian firms.</w:t>
      </w:r>
    </w:p>
    <w:p>
      <w:pPr>
        <w:pStyle w:val="Normal"/>
      </w:pPr>
      <w:r>
        <w:rPr>
          <w:b w:val="false"/>
          <w:i w:val="false"/>
        </w:rPr>
        <w:t>65-A-062 [ANCHOR] Roberts Bank Terminal 2 (Vancouver): Named carve-out for U.S. dredging and Mexican steel suppliers on a capped share, announced with dollar figures; U.S. West Coast ports reciprocate.</w:t>
      </w:r>
    </w:p>
    <w:p>
      <w:pPr>
        <w:pStyle w:val="Normal"/>
      </w:pPr>
      <w:r>
        <w:rPr>
          <w:b w:val="false"/>
          <w:i w:val="false"/>
        </w:rPr>
        <w:t>65-A-063 [FLAGSHIP] Port of Montreal Contrecoeur expansion: Quebec opens container-terminal civil lots to U.S. and Mexican firms; reciprocated via Port of New York/New Jersey wharf-renewal packages for Canadian firms.</w:t>
      </w:r>
    </w:p>
    <w:p>
      <w:pPr>
        <w:pStyle w:val="Normal"/>
      </w:pPr>
      <w:r>
        <w:rPr>
          <w:b w:val="false"/>
          <w:i w:val="false"/>
        </w:rPr>
        <w:t>65-A-064 [ANCHOR] Halifax Gateway container expansion: U.S. terminal-equipment suppliers eligible; Nova Scotia gets reciprocal access to Port of Boston dredging and berth works.</w:t>
      </w:r>
    </w:p>
    <w:p>
      <w:pPr>
        <w:pStyle w:val="Normal"/>
      </w:pPr>
      <w:r>
        <w:rPr>
          <w:b w:val="false"/>
          <w:i w:val="false"/>
        </w:rPr>
        <w:t>65-A-065 [ANCHOR] Port of Churchill &amp; Hudson Bay Railway renewal (Manitoba): U.S. rail and marine contractors prequalified on revival packages; reciprocated via Great Lakes port openings for Manitoba firms.</w:t>
      </w:r>
    </w:p>
    <w:p>
      <w:pPr>
        <w:pStyle w:val="Normal"/>
      </w:pPr>
      <w:r>
        <w:rPr>
          <w:b w:val="false"/>
          <w:i w:val="false"/>
        </w:rPr>
        <w:t>65-A-066 [PROGRAM] Grays Bay Road and Port (Nunavut Arctic corridor): Alaska-based marine contractors and U.S. engineering firms eligible on defined packages; framed as an Arctic-security trophy with named contract values.</w:t>
      </w:r>
    </w:p>
    <w:p>
      <w:pPr>
        <w:pStyle w:val="Normal"/>
      </w:pPr>
      <w:r>
        <w:rPr>
          <w:b w:val="false"/>
          <w:i w:val="false"/>
        </w:rPr>
        <w:t>65-A-067 [ANCHOR] Port of Los Angeles zero-emission terminal equipment: Canadian (Lion Electric-type) and Mexican chassis/electrical suppliers eligible on a defined share; California ports reciprocated in Canadian port electrification tenders.</w:t>
      </w:r>
    </w:p>
    <w:p>
      <w:pPr>
        <w:pStyle w:val="Normal"/>
      </w:pPr>
      <w:r>
        <w:rPr>
          <w:b w:val="false"/>
          <w:i w:val="false"/>
        </w:rPr>
        <w:t>65-A-068 [ANCHOR] Port of Long Beach Pier B rail expansion: Canadian rail firms and Mexican precast producers prequalified; reciprocated via Ontario port-rail openings.</w:t>
      </w:r>
    </w:p>
    <w:p>
      <w:pPr>
        <w:pStyle w:val="Normal"/>
      </w:pPr>
      <w:r>
        <w:rPr>
          <w:b w:val="false"/>
          <w:i w:val="false"/>
        </w:rPr>
        <w:t>65-A-069 [PROGRAM] Port of New York &amp; New Jersey berth modernization: Canadian marine-civil consortia eligible on named packages; reciprocated via Montreal/Halifax openings.</w:t>
      </w:r>
    </w:p>
    <w:p>
      <w:pPr>
        <w:pStyle w:val="Normal"/>
      </w:pPr>
      <w:r>
        <w:rPr>
          <w:b w:val="false"/>
          <w:i w:val="false"/>
        </w:rPr>
        <w:t>65-A-070 [PROGRAM] Port of Houston channel expansion follow-on works: Canadian dredging-support and Mexican fabrication yards eligible on capped lots; Texas gets reciprocal openings in Great Lakes ports.</w:t>
      </w:r>
    </w:p>
    <w:p>
      <w:pPr>
        <w:pStyle w:val="Normal"/>
      </w:pPr>
      <w:r>
        <w:rPr>
          <w:b w:val="false"/>
          <w:i w:val="false"/>
        </w:rPr>
        <w:t>65-A-071 [FLAGSHIP] Lázaro Cárdenas port expansion (Michoacán): Canadian and U.S. crane, terminal-operating-system and civil firms prequalified; Mexico reciprocates with Pacific-port access for its own side plus U.S./Canadian splits published.</w:t>
      </w:r>
    </w:p>
    <w:p>
      <w:pPr>
        <w:pStyle w:val="Normal"/>
      </w:pPr>
      <w:r>
        <w:rPr>
          <w:b w:val="false"/>
          <w:i w:val="false"/>
        </w:rPr>
        <w:t>65-A-072 [PROGRAM] Manzanillo port expansion (Colima): U.S. terminal-equipment and Canadian engineering firms eligible on defined packages; announced with named dollar values for each country.</w:t>
      </w:r>
    </w:p>
    <w:p>
      <w:pPr>
        <w:pStyle w:val="Normal"/>
      </w:pPr>
      <w:r>
        <w:rPr>
          <w:b w:val="false"/>
          <w:i w:val="false"/>
        </w:rPr>
        <w:t>65-A-073 [FLAGSHIP] Salina Cruz (Tehuantepec Isthmus corridor) port works: Trilateral tender on breakwater, rail-yard and highway-connector packages with published reciprocal opportunity allocations, a flagship "isthmus" trophy.</w:t>
      </w:r>
    </w:p>
    <w:p>
      <w:pPr>
        <w:pStyle w:val="Normal"/>
      </w:pPr>
      <w:r>
        <w:rPr>
          <w:b w:val="false"/>
          <w:i w:val="false"/>
        </w:rPr>
        <w:t>65-A-074 [ANCHOR] Coatzacoalcos port modernization: Canadian marine-civil and U.S. dredging firms eligible; reciprocated via Mexican access to Gulf Coast port contracts.</w:t>
      </w:r>
    </w:p>
    <w:p>
      <w:pPr>
        <w:pStyle w:val="Normal"/>
      </w:pPr>
      <w:r>
        <w:rPr>
          <w:b w:val="false"/>
          <w:i w:val="false"/>
        </w:rPr>
        <w:t>65-A-075 [PROGRAM] Veracruz port expansion: U.S. and Canadian terminal equipment and ITS suppliers prequalified on named packages.</w:t>
      </w:r>
    </w:p>
    <w:p>
      <w:pPr>
        <w:pStyle w:val="Normal"/>
      </w:pPr>
      <w:r>
        <w:rPr>
          <w:b w:val="false"/>
          <w:i w:val="false"/>
        </w:rPr>
        <w:t>65-A-076 [PROGRAM] Altamira port liquid-bulk expansion: Canadian process-plant modules and U.S. marine contractors eligible on defined lots.</w:t>
      </w:r>
    </w:p>
    <w:p>
      <w:pPr>
        <w:pStyle w:val="Normal"/>
      </w:pPr>
      <w:r>
        <w:rPr>
          <w:b w:val="false"/>
          <w:i w:val="false"/>
        </w:rPr>
        <w:t>65-A-077 [PROGRAM] Ensenada port and cruise-terminal upgrade (Baja California): U.S. and Canadian firms prequalified; Baja reciprocates with tourism-infrastructure openings.</w:t>
      </w:r>
    </w:p>
    <w:p>
      <w:pPr>
        <w:pStyle w:val="Normal"/>
      </w:pPr>
      <w:r>
        <w:rPr>
          <w:b w:val="false"/>
          <w:i w:val="false"/>
        </w:rPr>
        <w:t>65-A-078 [PROGRAM] Great Lakes/St. Lawrence cruise-terminal network: Binational tender across Toronto, Montreal, Cleveland, Detroit, Duluth: published reciprocal split of terminal and shore-power contracts.</w:t>
      </w:r>
    </w:p>
    <w:p>
      <w:pPr>
        <w:pStyle w:val="Normal"/>
      </w:pPr>
      <w:r>
        <w:rPr>
          <w:b w:val="false"/>
          <w:i w:val="false"/>
        </w:rPr>
        <w:t>65-A-079 [PROGRAM] Port of Anchorage expansion (Alaska): Yukon and BC marine contractors prequalified; Alaska reciprocates with Canadian access to its gravel/barge contracts.</w:t>
      </w:r>
    </w:p>
    <w:p>
      <w:pPr>
        <w:pStyle w:val="Normal"/>
      </w:pPr>
      <w:r>
        <w:rPr>
          <w:b w:val="false"/>
          <w:i w:val="false"/>
        </w:rPr>
        <w:t>65-A-080 [PROGRAM] Tacoma–Seattle Northwest Seaport Alliance terminal modernization: BC firms eligible on defined packages as the named reciprocal half of Vancouver-area openings.</w:t>
      </w:r>
    </w:p>
    <w:p>
      <w:pPr>
        <w:pStyle w:val="Normal"/>
      </w:pPr>
      <w:r>
        <w:rPr>
          <w:b w:val="false"/>
          <w:i w:val="false"/>
        </w:rPr>
        <w:t>65-A-081 [PROGRAM] New Orleans lower-Mississippi container terminal (Louisiana): Canadian and Mexican steel and precast suppliers eligible on capped packages.</w:t>
      </w:r>
    </w:p>
    <w:p>
      <w:pPr>
        <w:pStyle w:val="Normal"/>
      </w:pPr>
      <w:r>
        <w:rPr>
          <w:b w:val="false"/>
          <w:i w:val="false"/>
        </w:rPr>
        <w:t>65-A-082 [PROGRAM] Mobile, Alabama container terminal expansion: Ontario/Quebec rail-connection suppliers eligible; reciprocated via Canadian access to Alabama port-rail works.</w:t>
      </w:r>
    </w:p>
    <w:p>
      <w:pPr>
        <w:pStyle w:val="Normal"/>
      </w:pPr>
      <w:r>
        <w:rPr>
          <w:b w:val="false"/>
          <w:i w:val="false"/>
        </w:rPr>
        <w:t>65-A-083 [PROGRAM] Port Manatee and Florida Gulf ports: Canadian marine-civil firms prequalified on berth works; Florida reciprocates with access to its seaport grant-funded packages.</w:t>
      </w:r>
    </w:p>
    <w:p>
      <w:pPr>
        <w:pStyle w:val="Normal"/>
      </w:pPr>
      <w:r>
        <w:rPr>
          <w:b w:val="false"/>
          <w:i w:val="false"/>
        </w:rPr>
        <w:t>65-A-084 [PROGRAM] Binational ferry terminal renewal (Washington–BC; Maine–Nova Scotia): Published reciprocal split of terminal civil and shore-power contracts on both sides.</w:t>
      </w:r>
    </w:p>
    <w:p>
      <w:pPr>
        <w:pStyle w:val="Normal"/>
      </w:pPr>
      <w:r>
        <w:rPr>
          <w:b w:val="false"/>
          <w:i w:val="false"/>
        </w:rPr>
        <w:t>65-A-085 [PROGRAM] BC Ferries fleet replacement auxiliary packages: Mexican and U.S. marine suppliers eligible on capped non-hull packages (electrical, HVAC, interiors); Washington reciprocates on its ferry-terminal works.</w:t>
      </w:r>
    </w:p>
    <w:p>
      <w:pPr>
        <w:pStyle w:val="Normal"/>
      </w:pPr>
      <w:r>
        <w:rPr>
          <w:b w:val="false"/>
          <w:i w:val="false"/>
        </w:rPr>
        <w:t>65-A-086 [PROGRAM] Washington State Ferries electrification: BC and Quebec marine-electrical firms prequalified on defined packages; reciprocity via BC terminal openings.</w:t>
      </w:r>
    </w:p>
    <w:p>
      <w:pPr>
        <w:pStyle w:val="Normal"/>
      </w:pPr>
      <w:r>
        <w:rPr>
          <w:b w:val="false"/>
          <w:i w:val="false"/>
        </w:rPr>
        <w:t>65-A-087 [PROGRAM] Alaska Marine Highway vessel overhaul packages: Yukon/BC shipyards eligible on defined lots; Alaska reciprocates with Canadian access to its terminal works.</w:t>
      </w:r>
    </w:p>
    <w:p>
      <w:pPr>
        <w:pStyle w:val="Normal"/>
      </w:pPr>
      <w:r>
        <w:rPr>
          <w:b w:val="false"/>
          <w:i w:val="false"/>
        </w:rPr>
        <w:t>65-A-088 [PROGRAM] St. Lawrence Seaway ship-arrestor and hands-free mooring upgrades: Binational tender with published reciprocal opportunity values and named eligible firms.</w:t>
      </w:r>
    </w:p>
    <w:p>
      <w:pPr>
        <w:pStyle w:val="Normal"/>
      </w:pPr>
      <w:r>
        <w:rPr>
          <w:b w:val="false"/>
          <w:i w:val="false"/>
        </w:rPr>
        <w:t>65-A-089 [PROGRAM] Great Lakes icebreaking buoy-tender procurement: Canadian and U.S. yards share defined workshare; framed as a NORAD-adjacent Arctic-readiness trophy.</w:t>
      </w:r>
    </w:p>
    <w:p>
      <w:pPr>
        <w:pStyle w:val="Normal"/>
      </w:pPr>
      <w:r>
        <w:rPr>
          <w:b w:val="false"/>
          <w:i w:val="false"/>
        </w:rPr>
        <w:t>65-A-090 [FLAGSHIP] Trilateral port-security scanning equipment program: Joint procurement of cargo scanners at LA/Long Beach, Vancouver, Manzanillo and Lázaro Cárdenas; each country names its supplying factory and contract value.</w:t>
      </w:r>
    </w:p>
    <w:p>
      <w:pPr>
        <w:pStyle w:val="Normal"/>
      </w:pPr>
      <w:r>
        <w:rPr>
          <w:b w:val="false"/>
          <w:i w:val="false"/>
        </w:rPr>
        <w:t>65-A-091 [ANCHOR] Champlain Hudson Power Express (Quebec–New York): Already trilateral in spirit: name a defined package of U.S.-side converter-station contracts for Canadian firms and Quebec-side cable-laying contracts for U.S. firms, announced with dollar figures.</w:t>
      </w:r>
    </w:p>
    <w:p>
      <w:pPr>
        <w:pStyle w:val="Normal"/>
      </w:pPr>
      <w:r>
        <w:rPr>
          <w:b w:val="false"/>
          <w:i w:val="false"/>
        </w:rPr>
        <w:t>65-A-092 [ANCHOR] New England Clean Energy Connect (Quebec–Maine): Canadian firms on U.S.-side line construction; Quebec-side substation packages opened to Maine contractors, published as one reciprocal line item.</w:t>
      </w:r>
    </w:p>
    <w:p>
      <w:pPr>
        <w:pStyle w:val="Normal"/>
      </w:pPr>
      <w:r>
        <w:rPr>
          <w:b w:val="false"/>
          <w:i w:val="false"/>
        </w:rPr>
        <w:t>65-A-093 [FLAGSHIP] Hydro-Québec–New York second interconnection (new): Designed from day one with a published NABC split of converter, cable and civil contracts.</w:t>
      </w:r>
    </w:p>
    <w:p>
      <w:pPr>
        <w:pStyle w:val="Normal"/>
      </w:pPr>
      <w:r>
        <w:rPr>
          <w:b w:val="false"/>
          <w:i w:val="false"/>
        </w:rPr>
        <w:t>65-A-094 [FLAGSHIP] Ontario–Michigan transmission interconnection upgrade: Binational tender on substations and line works with named eligible firms on both sides.</w:t>
      </w:r>
    </w:p>
    <w:p>
      <w:pPr>
        <w:pStyle w:val="Normal"/>
      </w:pPr>
      <w:r>
        <w:rPr>
          <w:b w:val="false"/>
          <w:i w:val="false"/>
        </w:rPr>
        <w:t>65-A-095 [PROGRAM] Ontario–Minnesota interconnection (Great Northern Line follow-ons): Reciprocal substation packages; Manitoba Hydro and Minnesota utilities announce jointly.</w:t>
      </w:r>
    </w:p>
    <w:p>
      <w:pPr>
        <w:pStyle w:val="Normal"/>
      </w:pPr>
      <w:r>
        <w:rPr>
          <w:b w:val="false"/>
          <w:i w:val="false"/>
        </w:rPr>
        <w:t>65-A-096 [ANCHOR] Manitoba–North Dakota wind integration line: Manitoba opens line packages to North Dakota firms; North Dakota reciprocates on its collector-system contracts.</w:t>
      </w:r>
    </w:p>
    <w:p>
      <w:pPr>
        <w:pStyle w:val="Normal"/>
      </w:pPr>
      <w:r>
        <w:rPr>
          <w:b w:val="false"/>
          <w:i w:val="false"/>
        </w:rPr>
        <w:t>65-A-097 [FLAGSHIP] BC–Washington transmission reinforcement: BC Hydro and BPA jointly tender with published reciprocal opportunity allocations; Canadian firms on U.S.-side segments, U.S. firms on BC-side segments.</w:t>
      </w:r>
    </w:p>
    <w:p>
      <w:pPr>
        <w:pStyle w:val="Normal"/>
      </w:pPr>
      <w:r>
        <w:rPr>
          <w:b w:val="false"/>
          <w:i w:val="false"/>
        </w:rPr>
        <w:t>65-A-098 [PROGRAM] Alberta–Montana intertie (MATL expansion): Reciprocal packages on both sides of the border, announced with contract values.</w:t>
      </w:r>
    </w:p>
    <w:p>
      <w:pPr>
        <w:pStyle w:val="Normal"/>
      </w:pPr>
      <w:r>
        <w:rPr>
          <w:b w:val="false"/>
          <w:i w:val="false"/>
        </w:rPr>
        <w:t>65-A-099 [PROGRAM] Saskatchewan–North Dakota grid interconnection: New tie-line with a named NABC procurement split.</w:t>
      </w:r>
    </w:p>
    <w:p>
      <w:pPr>
        <w:pStyle w:val="Normal"/>
      </w:pPr>
      <w:r>
        <w:rPr>
          <w:b w:val="false"/>
          <w:i w:val="false"/>
        </w:rPr>
        <w:t>65-A-100 [FLAGSHIP] California–Baja California interconnection upgrade (Energía Sierra Juárez): Canadian HVDC equipment and U.S./Mexican civil firms share published packages.</w:t>
      </w:r>
    </w:p>
    <w:p>
      <w:pPr>
        <w:pStyle w:val="Normal"/>
      </w:pPr>
      <w:r>
        <w:rPr>
          <w:b w:val="false"/>
          <w:i w:val="false"/>
        </w:rPr>
        <w:t>65-A-101 [FLAGSHIP] Texas–Nuevo León cross-border transmission: New ties for industrial load: trilateral tender with defined splits for Mexican steel towers, Canadian transformers, U.S. switchgear.</w:t>
      </w:r>
    </w:p>
    <w:p>
      <w:pPr>
        <w:pStyle w:val="Normal"/>
      </w:pPr>
      <w:r>
        <w:rPr>
          <w:b w:val="false"/>
          <w:i w:val="false"/>
        </w:rPr>
        <w:t>65-A-102 [ANCHOR] Arizona–Sonora transmission corridor (Plan Sonora link): Canadian EPC firms eligible on U.S.-side packages; Sonora-side substations opened to U.S. and Canadian firms.</w:t>
      </w:r>
    </w:p>
    <w:p>
      <w:pPr>
        <w:pStyle w:val="Normal"/>
      </w:pPr>
      <w:r>
        <w:rPr>
          <w:b w:val="false"/>
          <w:i w:val="false"/>
        </w:rPr>
        <w:t>65-A-103 [PROGRAM] New Mexico–Chihuahua renewable export line: Trilateral procurement split named at announcement: towers from Monterrey, transformers from Ontario, engineering from the U.S.</w:t>
      </w:r>
    </w:p>
    <w:p>
      <w:pPr>
        <w:pStyle w:val="Normal"/>
      </w:pPr>
      <w:r>
        <w:rPr>
          <w:b w:val="false"/>
          <w:i w:val="false"/>
        </w:rPr>
        <w:t>65-A-104 [PROGRAM] SunZia transmission (Arizona–New Mexico): Canadian and Mexican conductor and tower suppliers eligible on a capped share; reciprocated via Western Canadian line openings.</w:t>
      </w:r>
    </w:p>
    <w:p>
      <w:pPr>
        <w:pStyle w:val="Normal"/>
      </w:pPr>
      <w:r>
        <w:rPr>
          <w:b w:val="false"/>
          <w:i w:val="false"/>
        </w:rPr>
        <w:t>65-A-105 [PROGRAM] Grain Belt Express (Kansas–Indiana): Ontario transformer plants and Mexican steel-tower fabricators prequalified on defined lots; reciprocated via Canadian access to U.S. wind-farm collection contracts in partner provinces' projects.</w:t>
      </w:r>
    </w:p>
    <w:p>
      <w:pPr>
        <w:pStyle w:val="Normal"/>
      </w:pPr>
      <w:r>
        <w:rPr>
          <w:b w:val="false"/>
          <w:i w:val="false"/>
        </w:rPr>
        <w:t>65-A-106 [PROGRAM] TransWest Express (Wyoming–Nevada): Canadian HVDC converter suppliers eligible on a named package; Wyoming reciprocates with Canadian access to its wind-farm balance-of-plant contracts.</w:t>
      </w:r>
    </w:p>
    <w:p>
      <w:pPr>
        <w:pStyle w:val="Normal"/>
      </w:pPr>
      <w:r>
        <w:rPr>
          <w:b w:val="false"/>
          <w:i w:val="false"/>
        </w:rPr>
        <w:t>65-A-107 [PROGRAM] Ten West Link follow-on lines: Mexican conductor plants and Canadian engineering firms prequalified on defined shares.</w:t>
      </w:r>
    </w:p>
    <w:p>
      <w:pPr>
        <w:pStyle w:val="Normal"/>
      </w:pPr>
      <w:r>
        <w:rPr>
          <w:b w:val="false"/>
          <w:i w:val="false"/>
        </w:rPr>
        <w:t>65-A-108 [FLAGSHIP] Cross-border grid-resilience hardening program: Named bundle of wildfire- and storm-hardening contracts on shared corridors (BC/WA, QC/NY/VT, ON/MI), each with published reciprocal splits.</w:t>
      </w:r>
    </w:p>
    <w:p>
      <w:pPr>
        <w:pStyle w:val="Normal"/>
      </w:pPr>
      <w:r>
        <w:rPr>
          <w:b w:val="false"/>
          <w:i w:val="false"/>
        </w:rPr>
        <w:t>65-A-109 [ANCHOR] Trilateral HVDC transformer factory alliance: One new or expanded plant in each country (Ontario, Carolinas, Monterrey) eligible for reciprocal prequalification and competitive access on the other's named projects.</w:t>
      </w:r>
    </w:p>
    <w:p>
      <w:pPr>
        <w:pStyle w:val="Normal"/>
      </w:pPr>
      <w:r>
        <w:rPr>
          <w:b w:val="false"/>
          <w:i w:val="false"/>
        </w:rPr>
        <w:t>65-A-110 [PROGRAM] Smart-grid interoperability corridor (Vancouver–Seattle–Portland I-5): Joint tender of grid-edge, metering and EV-integration contracts with published reciprocal opportunity allocations.</w:t>
      </w:r>
    </w:p>
    <w:p>
      <w:pPr>
        <w:pStyle w:val="Normal"/>
      </w:pPr>
      <w:r>
        <w:rPr>
          <w:b w:val="false"/>
          <w:i w:val="false"/>
        </w:rPr>
        <w:t>65-A-111 [PROGRAM] Great Lakes cross-border submarine cable program: Ontario–Michigan/Ohio cable projects tendered bilaterally with designated reciprocal opportunity scopes.</w:t>
      </w:r>
    </w:p>
    <w:p>
      <w:pPr>
        <w:pStyle w:val="Normal"/>
      </w:pPr>
      <w:r>
        <w:rPr>
          <w:b w:val="false"/>
          <w:i w:val="false"/>
        </w:rPr>
        <w:t>65-A-112 [PROGRAM] Quebec–New Hampshire second HVDC tie: New line with NABC procurement architecture from the outset; announced with jobs figures in both jurisdictions.</w:t>
      </w:r>
    </w:p>
    <w:p>
      <w:pPr>
        <w:pStyle w:val="Normal"/>
      </w:pPr>
      <w:r>
        <w:rPr>
          <w:b w:val="false"/>
          <w:i w:val="false"/>
        </w:rPr>
        <w:t>65-A-113 [PROGRAM] Atlantic Loop interconnection (Quebec–New Brunswick–Nova Scotia): U.S. engineering and Mexican cable suppliers eligible on capped packages; reciprocated via New England offshore-wind onshore-grid contracts for Canadian firms.</w:t>
      </w:r>
    </w:p>
    <w:p>
      <w:pPr>
        <w:pStyle w:val="Normal"/>
      </w:pPr>
      <w:r>
        <w:rPr>
          <w:b w:val="false"/>
          <w:i w:val="false"/>
        </w:rPr>
        <w:t>65-A-114 [PROGRAM] Offshore wind onshore grid (New England): Canadian cable-laying vessels and substation firms prequalified on defined packages as the reciprocal half of idea 113.</w:t>
      </w:r>
    </w:p>
    <w:p>
      <w:pPr>
        <w:pStyle w:val="Normal"/>
      </w:pPr>
      <w:r>
        <w:rPr>
          <w:b w:val="false"/>
          <w:i w:val="false"/>
        </w:rPr>
        <w:t>65-A-115 [FLAGSHIP] Mexico national grid reinforcement (CFE transmission program): Canadian and U.S. EPC and equipment firms prequalified on named lots; reciprocated via Mexican access to U.S./Canadian line-materials contracts.</w:t>
      </w:r>
    </w:p>
    <w:p>
      <w:pPr>
        <w:pStyle w:val="Normal"/>
      </w:pPr>
      <w:r>
        <w:rPr>
          <w:b w:val="false"/>
          <w:i w:val="false"/>
        </w:rPr>
        <w:t>65-A-116 [PROGRAM] Baja California grid interconnection to Mexico's national system: Trilateral tender: U.S. and Canadian HVDC suppliers on defined packages; Mexican civil contractors on U.S.-side renewable tie lines.</w:t>
      </w:r>
    </w:p>
    <w:p>
      <w:pPr>
        <w:pStyle w:val="Normal"/>
      </w:pPr>
      <w:r>
        <w:rPr>
          <w:b w:val="false"/>
          <w:i w:val="false"/>
        </w:rPr>
        <w:t>65-A-117 [PROGRAM] Cross-border energy-storage corridor program: Named bundle of battery-storage installations at border substations (six sites), each tendered with published trilateral splits.</w:t>
      </w:r>
    </w:p>
    <w:p>
      <w:pPr>
        <w:pStyle w:val="Normal"/>
      </w:pPr>
      <w:r>
        <w:rPr>
          <w:b w:val="false"/>
          <w:i w:val="false"/>
        </w:rPr>
        <w:t>65-A-118 [PROGRAM] Grid cybersecurity hardening program: Trilateral prequalification list for control-system security upgrades on interconnected utilities, capped per project.</w:t>
      </w:r>
    </w:p>
    <w:p>
      <w:pPr>
        <w:pStyle w:val="Normal"/>
      </w:pPr>
      <w:r>
        <w:rPr>
          <w:b w:val="false"/>
          <w:i w:val="false"/>
        </w:rPr>
        <w:t>65-A-119 [ANCHOR] Northern and remote microgrid program (Canada's North + Alaska): Alaskan and Canadian firms share defined packages on diesel-displacement microgrids; framed as Arctic security plus clean energy.</w:t>
      </w:r>
    </w:p>
    <w:p>
      <w:pPr>
        <w:pStyle w:val="Normal"/>
      </w:pPr>
      <w:r>
        <w:rPr>
          <w:b w:val="false"/>
          <w:i w:val="false"/>
        </w:rPr>
        <w:t>65-A-120 [PROGRAM] Chiapas–Guatemala–North America power corridor study (Mesoamerica link): Feasibility-stage procurement opening: Canadian and U.S. engineering firms on named study and pre-engineering contracts, positioning for construction-stage reciprocity.</w:t>
      </w:r>
    </w:p>
    <w:p>
      <w:pPr>
        <w:pStyle w:val="Normal"/>
      </w:pPr>
      <w:r>
        <w:rPr>
          <w:b w:val="false"/>
          <w:i w:val="false"/>
        </w:rPr>
        <w:t>65-A-121 [ANCHOR] LNG Canada Phase 2 (Kitimat, BC): U.S. and Mexican fabrication yards eligible on defined module packages; reciprocated via Canadian access to U.S. Gulf Coast LNG module contracts.</w:t>
      </w:r>
    </w:p>
    <w:p>
      <w:pPr>
        <w:pStyle w:val="Normal"/>
      </w:pPr>
      <w:r>
        <w:rPr>
          <w:b w:val="false"/>
          <w:i w:val="false"/>
        </w:rPr>
        <w:t>65-A-122 [PROGRAM] Cedar LNG (Haisla Nation, BC): U.S. marine contractors prequalified on marine-terminal packages; Haisla-led procurement published with named reciprocal values.</w:t>
      </w:r>
    </w:p>
    <w:p>
      <w:pPr>
        <w:pStyle w:val="Normal"/>
      </w:pPr>
      <w:r>
        <w:rPr>
          <w:b w:val="false"/>
          <w:i w:val="false"/>
        </w:rPr>
        <w:t>65-A-123 [PROGRAM] Woodfibre LNG (Squamish, BC): U.S. and Mexican module fabricators eligible on capped lots.</w:t>
      </w:r>
    </w:p>
    <w:p>
      <w:pPr>
        <w:pStyle w:val="Normal"/>
      </w:pPr>
      <w:r>
        <w:rPr>
          <w:b w:val="false"/>
          <w:i w:val="false"/>
        </w:rPr>
        <w:t>65-A-124 [PROGRAM] Prince Rupert Gas Transmission / Ksi Lisims LNG: Named procurement package for U.S. pipe-coating and Mexican steel suppliers, with dollar figures published.</w:t>
      </w:r>
    </w:p>
    <w:p>
      <w:pPr>
        <w:pStyle w:val="Normal"/>
      </w:pPr>
      <w:r>
        <w:rPr>
          <w:b w:val="false"/>
          <w:i w:val="false"/>
        </w:rPr>
        <w:t>65-A-125 [PROGRAM] Gulf Coast LNG expansion (Texas/Louisiana): Canadian LNG-process-module plants (BC/Alberta) and Mexican fabrication yards prequalified on defined packages as the reciprocal half of ideas 121–124.</w:t>
      </w:r>
    </w:p>
    <w:p>
      <w:pPr>
        <w:pStyle w:val="Normal"/>
      </w:pPr>
      <w:r>
        <w:rPr>
          <w:b w:val="false"/>
          <w:i w:val="false"/>
        </w:rPr>
        <w:t>65-A-126 [PROGRAM] Energía Costa Azul LNG (Baja California, Sempra): Canadian and U.S. equipment firms on named packages; reciprocated via Mexican access to West Coast LNG-contracting work.</w:t>
      </w:r>
    </w:p>
    <w:p>
      <w:pPr>
        <w:pStyle w:val="Normal"/>
      </w:pPr>
      <w:r>
        <w:rPr>
          <w:b w:val="false"/>
          <w:i w:val="false"/>
        </w:rPr>
        <w:t>65-A-127 [PROGRAM] Saguaro/Trans-Pecos pipeline corridor (Texas–Mexico gas exports): Trilateral tender on compression-station packages with published reciprocal opportunity allocations.</w:t>
      </w:r>
    </w:p>
    <w:p>
      <w:pPr>
        <w:pStyle w:val="Normal"/>
      </w:pPr>
      <w:r>
        <w:rPr>
          <w:b w:val="false"/>
          <w:i w:val="false"/>
        </w:rPr>
        <w:t>65-A-128 [PROGRAM] Sierra Madre pipeline (Mexico): Canadian compressor suppliers and U.S. EPC firms prequalified on named lots; reciprocated via Mexican access to U.S. compressor-station contracts.</w:t>
      </w:r>
    </w:p>
    <w:p>
      <w:pPr>
        <w:pStyle w:val="Normal"/>
      </w:pPr>
      <w:r>
        <w:rPr>
          <w:b w:val="false"/>
          <w:i w:val="false"/>
        </w:rPr>
        <w:t>65-A-129 [PROGRAM] Southeast Gateway / Tuxpan–Tula pipeline completion: U.S. and Canadian firms eligible on finishing packages.</w:t>
      </w:r>
    </w:p>
    <w:p>
      <w:pPr>
        <w:pStyle w:val="Normal"/>
      </w:pPr>
      <w:r>
        <w:rPr>
          <w:b w:val="false"/>
          <w:i w:val="false"/>
        </w:rPr>
        <w:t>65-A-130 [PROGRAM] Line 5 tunnel project (Great Lakes, Michigan): Canadian tunneling firms eligible on the tunnel works; Ontario reciprocates with U.S. access to its Sarnia-area petrochemical civil contracts. Named, capped, and trophy-ready.</w:t>
      </w:r>
    </w:p>
    <w:p>
      <w:pPr>
        <w:pStyle w:val="Normal"/>
      </w:pPr>
      <w:r>
        <w:rPr>
          <w:b w:val="false"/>
          <w:i w:val="false"/>
        </w:rPr>
        <w:t>65-A-131 [PROGRAM] Alberta carbon-trunk-line expansion (ACTL): U.S. EPC firms prequalified on defined packages; Alberta reciprocates with Canadian access to U.S. CO2-pipeline contracts in partner states.</w:t>
      </w:r>
    </w:p>
    <w:p>
      <w:pPr>
        <w:pStyle w:val="Normal"/>
      </w:pPr>
      <w:r>
        <w:rPr>
          <w:b w:val="false"/>
          <w:i w:val="false"/>
        </w:rPr>
        <w:t>65-A-132 [PROGRAM] U.S. Gulf Coast CO2 pipeline network: Canadian CO2-capture-module fabricators and Mexican pipe suppliers eligible on capped shares as the named reciprocal half of idea 131.</w:t>
      </w:r>
    </w:p>
    <w:p>
      <w:pPr>
        <w:pStyle w:val="Normal"/>
      </w:pPr>
      <w:r>
        <w:rPr>
          <w:b w:val="false"/>
          <w:i w:val="false"/>
        </w:rPr>
        <w:t>65-A-133 [PROGRAM] Trilateral hydrogen corridor: Edmonton–Port of Prince Rupert, Joint tender on electrolyzer, storage and terminal packages with published trilateral splits.</w:t>
      </w:r>
    </w:p>
    <w:p>
      <w:pPr>
        <w:pStyle w:val="Normal"/>
      </w:pPr>
      <w:r>
        <w:rPr>
          <w:b w:val="false"/>
          <w:i w:val="false"/>
        </w:rPr>
        <w:t>65-A-134 [PROGRAM] Gulf Coast hydrogen hub (Texas): Canadian electrolyzer assembly plants and Mexican balance-of-plant suppliers eligible on defined packages.</w:t>
      </w:r>
    </w:p>
    <w:p>
      <w:pPr>
        <w:pStyle w:val="Normal"/>
      </w:pPr>
      <w:r>
        <w:rPr>
          <w:b w:val="false"/>
          <w:i w:val="false"/>
        </w:rPr>
        <w:t>65-A-135 [PROGRAM] Monterrey industrial hydrogen hub: Canadian and U.S. equipment firms prequalified; reciprocated via Mexican access to Alberta and Texas hydrogen-hub contracts.</w:t>
      </w:r>
    </w:p>
    <w:p>
      <w:pPr>
        <w:pStyle w:val="Normal"/>
      </w:pPr>
      <w:r>
        <w:rPr>
          <w:b w:val="false"/>
          <w:i w:val="false"/>
        </w:rPr>
        <w:t>65-A-136 [PROGRAM] California hydrogen backbone (ARCHES hub): Canadian fuel-cell component plants and Mexican steel suppliers eligible on capped lots.</w:t>
      </w:r>
    </w:p>
    <w:p>
      <w:pPr>
        <w:pStyle w:val="Normal"/>
      </w:pPr>
      <w:r>
        <w:rPr>
          <w:b w:val="false"/>
          <w:i w:val="false"/>
        </w:rPr>
        <w:t>65-A-137 [PROGRAM] Sarnia–Montreal chemical corridor pipeline upgrades: Binational tender with published reciprocal opportunity allocations on named sections.</w:t>
      </w:r>
    </w:p>
    <w:p>
      <w:pPr>
        <w:pStyle w:val="Normal"/>
      </w:pPr>
      <w:r>
        <w:rPr>
          <w:b w:val="false"/>
          <w:i w:val="false"/>
        </w:rPr>
        <w:t>65-A-138 [PROGRAM] Alaska LNG project: Yukon/BC contractors prequalified on defined northern-segment packages; Alaska reciprocates with Canadian access to its tidewater terminal works.</w:t>
      </w:r>
    </w:p>
    <w:p>
      <w:pPr>
        <w:pStyle w:val="Normal"/>
      </w:pPr>
      <w:r>
        <w:rPr>
          <w:b w:val="false"/>
          <w:i w:val="false"/>
        </w:rPr>
        <w:t>65-A-139 [PROGRAM] Dos Bocas refinery ancillary pipeline works (Tabasco): U.S. and Canadian firms eligible on defined packages; reciprocated via Mexican access to U.S. refinery-turnaround contracting.</w:t>
      </w:r>
    </w:p>
    <w:p>
      <w:pPr>
        <w:pStyle w:val="Normal"/>
      </w:pPr>
      <w:r>
        <w:rPr>
          <w:b w:val="false"/>
          <w:i w:val="false"/>
        </w:rPr>
        <w:t>65-A-140 [ANCHOR] Trilateral pipeline-safety retrofit program: Named bundle of inline-inspection, valve-automation and leak-detection contracts across all three countries, each with published national splits.</w:t>
      </w:r>
    </w:p>
    <w:p>
      <w:pPr>
        <w:pStyle w:val="Normal"/>
      </w:pPr>
      <w:r>
        <w:rPr>
          <w:b w:val="false"/>
          <w:i w:val="false"/>
        </w:rPr>
        <w:t>65-A-141 [PROGRAM] Cross-border natural-gas storage expansion (Michigan–Ontario Dawn hub): Binational tender on compression and cavern packages with designated reciprocal opportunity scopes.</w:t>
      </w:r>
    </w:p>
    <w:p>
      <w:pPr>
        <w:pStyle w:val="Normal"/>
      </w:pPr>
      <w:r>
        <w:rPr>
          <w:b w:val="false"/>
          <w:i w:val="false"/>
        </w:rPr>
        <w:t>65-A-142 [PROGRAM] Quebec–New Brunswick gas network decarbonization projects: U.S. RNG-technology suppliers eligible on capped packages; reciprocated via Canadian access to New England RNG interconnect contracts.</w:t>
      </w:r>
    </w:p>
    <w:p>
      <w:pPr>
        <w:pStyle w:val="Normal"/>
      </w:pPr>
      <w:r>
        <w:rPr>
          <w:b w:val="false"/>
          <w:i w:val="false"/>
        </w:rPr>
        <w:t>65-A-143 [PROGRAM] Puerto Libertad–Guaymas LNG corridor (Sonora): Trilateral procurement split named at announcement; positioned as west-coast gas-export trophy.</w:t>
      </w:r>
    </w:p>
    <w:p>
      <w:pPr>
        <w:pStyle w:val="Normal"/>
      </w:pPr>
      <w:r>
        <w:rPr>
          <w:b w:val="false"/>
          <w:i w:val="false"/>
        </w:rPr>
        <w:t>65-A-144 [PROGRAM] Midwest carbon-capture hub (Illinois/Iowa): Canadian capture-module plants eligible on defined packages; reciprocated via U.S. access to Alberta CCS hub contracts.</w:t>
      </w:r>
    </w:p>
    <w:p>
      <w:pPr>
        <w:pStyle w:val="Normal"/>
      </w:pPr>
      <w:r>
        <w:rPr>
          <w:b w:val="false"/>
          <w:i w:val="false"/>
        </w:rPr>
        <w:t>65-A-145 [PROGRAM] Trilateral strategic petroleum infrastructure review: Joint engineering contracts (one per country) opened trilaterally, capped, and announced as a security-of-supply trophy.</w:t>
      </w:r>
    </w:p>
    <w:p>
      <w:pPr>
        <w:pStyle w:val="Normal"/>
      </w:pPr>
      <w:r>
        <w:rPr>
          <w:b w:val="false"/>
          <w:i w:val="false"/>
        </w:rPr>
        <w:t>65-A-146 [FLAGSHIP] Thacker Pass lithium (Nevada): Canadian mining-services firms and Mexican equipment suppliers eligible on defined packages; reciprocated via U.S. access to Quebec lithium-camp construction contracts.</w:t>
      </w:r>
    </w:p>
    <w:p>
      <w:pPr>
        <w:pStyle w:val="Normal"/>
      </w:pPr>
      <w:r>
        <w:rPr>
          <w:b w:val="false"/>
          <w:i w:val="false"/>
        </w:rPr>
        <w:t>65-A-147 [PROGRAM] Quebec James Bay lithium corridor (Nemaska, Whabouchi, others): U.S. EPC and Mexican camp-construction firms prequalified on named lots; announced with contract values per country.</w:t>
      </w:r>
    </w:p>
    <w:p>
      <w:pPr>
        <w:pStyle w:val="Normal"/>
      </w:pPr>
      <w:r>
        <w:rPr>
          <w:b w:val="false"/>
          <w:i w:val="false"/>
        </w:rPr>
        <w:t>65-A-148 [PROGRAM] Sonora lithium development (Mexico): Canadian processing-technology firms and U.S. EPC contractors eligible on defined packages; Mexico reciprocates with refinery-feedstock offtake naming all three countries' plants.</w:t>
      </w:r>
    </w:p>
    <w:p>
      <w:pPr>
        <w:pStyle w:val="Normal"/>
      </w:pPr>
      <w:r>
        <w:rPr>
          <w:b w:val="false"/>
          <w:i w:val="false"/>
        </w:rPr>
        <w:t>65-A-149 [ANCHOR] Saskatchewan SRC rare-earth processing facility: U.S. and Mexican equipment suppliers eligible on capped packages; reciprocated via Canadian access to Mountain Pass and Round Top processing contracts.</w:t>
      </w:r>
    </w:p>
    <w:p>
      <w:pPr>
        <w:pStyle w:val="Normal"/>
      </w:pPr>
      <w:r>
        <w:rPr>
          <w:b w:val="false"/>
          <w:i w:val="false"/>
        </w:rPr>
        <w:t>65-A-150 [FLAGSHIP] Mountain Pass rare earths (California): Canadian separation-technology firms and Mexican magnet-alloy suppliers prequalified on named packages.</w:t>
      </w:r>
    </w:p>
    <w:p>
      <w:pPr>
        <w:pStyle w:val="Normal"/>
      </w:pPr>
      <w:r>
        <w:rPr>
          <w:b w:val="false"/>
          <w:i w:val="false"/>
        </w:rPr>
        <w:t>65-A-151 [PROGRAM] Round Top rare earths (Texas): Ontario/Quebec processing-equipment plants eligible on defined lots; reciprocated via Texas access to Canadian demonstration-plant contracts.</w:t>
      </w:r>
    </w:p>
    <w:p>
      <w:pPr>
        <w:pStyle w:val="Normal"/>
      </w:pPr>
      <w:r>
        <w:rPr>
          <w:b w:val="false"/>
          <w:i w:val="false"/>
        </w:rPr>
        <w:t>65-A-152 [PROGRAM] Nechalacho rare earths (NWT): Alaska and U.S. mining-services firms prequalified; framed as an Arctic-security trophy with named contract values.</w:t>
      </w:r>
    </w:p>
    <w:p>
      <w:pPr>
        <w:pStyle w:val="Normal"/>
      </w:pPr>
      <w:r>
        <w:rPr>
          <w:b w:val="false"/>
          <w:i w:val="false"/>
        </w:rPr>
        <w:t>65-A-153 [ANCHOR] Ring of Fire critical minerals corridor (Ontario): Named infrastructure package (access road, power line, processing site) with U.S. and Mexican firms prequalified on defined lots; reciprocated via Ontario access to U.S. smelter-modernization contracts.</w:t>
      </w:r>
    </w:p>
    <w:p>
      <w:pPr>
        <w:pStyle w:val="Normal"/>
      </w:pPr>
      <w:r>
        <w:rPr>
          <w:b w:val="false"/>
          <w:i w:val="false"/>
        </w:rPr>
        <w:t>65-A-154 [PROGRAM] Sudbury nickel-cobalt cluster expansion: U.S. and Mexican equipment suppliers eligible on capped packages; announced with dollar figures per country.</w:t>
      </w:r>
    </w:p>
    <w:p>
      <w:pPr>
        <w:pStyle w:val="Normal"/>
      </w:pPr>
      <w:r>
        <w:rPr>
          <w:b w:val="false"/>
          <w:i w:val="false"/>
        </w:rPr>
        <w:t>65-A-155 [PROGRAM] Voisey's Bay / Labrador nickel expansion: U.S. marine and camp contractors prequalified on named packages.</w:t>
      </w:r>
    </w:p>
    <w:p>
      <w:pPr>
        <w:pStyle w:val="Normal"/>
      </w:pPr>
      <w:r>
        <w:rPr>
          <w:b w:val="false"/>
          <w:i w:val="false"/>
        </w:rPr>
        <w:t>65-A-156 [PROGRAM] Idaho cobalt belt development: Quebec and Ontario processing firms eligible on defined packages; reciprocated via Idaho access to Canadian hydrometallurgy pilot contracts.</w:t>
      </w:r>
    </w:p>
    <w:p>
      <w:pPr>
        <w:pStyle w:val="Normal"/>
      </w:pPr>
      <w:r>
        <w:rPr>
          <w:b w:val="false"/>
          <w:i w:val="false"/>
        </w:rPr>
        <w:t>65-A-157 [PROGRAM] Ontario Cobalt Camp revival: U.S. and Mexican mining-services firms prequalified on named lots.</w:t>
      </w:r>
    </w:p>
    <w:p>
      <w:pPr>
        <w:pStyle w:val="Normal"/>
      </w:pPr>
      <w:r>
        <w:rPr>
          <w:b w:val="false"/>
          <w:i w:val="false"/>
        </w:rPr>
        <w:t>65-A-158 [PROGRAM] Lac des Îles / Quebec graphite corridor: U.S. anode-plant EPC firms eligible on defined packages; reciprocated via Quebec access to Alabama/Georgia anode-plant contracts.</w:t>
      </w:r>
    </w:p>
    <w:p>
      <w:pPr>
        <w:pStyle w:val="Normal"/>
      </w:pPr>
      <w:r>
        <w:rPr>
          <w:b w:val="false"/>
          <w:i w:val="false"/>
        </w:rPr>
        <w:t>65-A-159 [PROGRAM] Coosa graphite (Alabama): Canadian purification-technology suppliers eligible on named packages as the reciprocal half of idea 158.</w:t>
      </w:r>
    </w:p>
    <w:p>
      <w:pPr>
        <w:pStyle w:val="Normal"/>
      </w:pPr>
      <w:r>
        <w:rPr>
          <w:b w:val="false"/>
          <w:i w:val="false"/>
        </w:rPr>
        <w:t>65-A-160 [PROGRAM] Resolution Copper (Arizona): Canadian block-cave engineering firms and Mexican equipment suppliers prequalified on defined packages.</w:t>
      </w:r>
    </w:p>
    <w:p>
      <w:pPr>
        <w:pStyle w:val="Normal"/>
      </w:pPr>
      <w:r>
        <w:rPr>
          <w:b w:val="false"/>
          <w:i w:val="false"/>
        </w:rPr>
        <w:t>65-A-161 [PROGRAM] Highland Valley Copper expansion (BC): U.S. and Mexican mining-services firms eligible on capped lots; reciprocated via BC access to Arizona copper-project contracts.</w:t>
      </w:r>
    </w:p>
    <w:p>
      <w:pPr>
        <w:pStyle w:val="Normal"/>
      </w:pPr>
      <w:r>
        <w:rPr>
          <w:b w:val="false"/>
          <w:i w:val="false"/>
        </w:rPr>
        <w:t>65-A-162 [PROGRAM] Morenci/Safford copper modernization (Arizona): Canadian smelter-technology firms eligible on named packages.</w:t>
      </w:r>
    </w:p>
    <w:p>
      <w:pPr>
        <w:pStyle w:val="Normal"/>
      </w:pPr>
      <w:r>
        <w:rPr>
          <w:b w:val="false"/>
          <w:i w:val="false"/>
        </w:rPr>
        <w:t>65-A-163 [PROGRAM] Athabasca uranium corridor (Saskatchewan): U.S. and Mexican services firms prequalified on defined packages; framed as nuclear-fuel security trophy.</w:t>
      </w:r>
    </w:p>
    <w:p>
      <w:pPr>
        <w:pStyle w:val="Normal"/>
      </w:pPr>
      <w:r>
        <w:rPr>
          <w:b w:val="false"/>
          <w:i w:val="false"/>
        </w:rPr>
        <w:t>65-A-164 [PROGRAM] Texas in-situ uranium revival: Saskatchewan engineering firms eligible on named packages as the reciprocal half of idea 163.</w:t>
      </w:r>
    </w:p>
    <w:p>
      <w:pPr>
        <w:pStyle w:val="Normal"/>
      </w:pPr>
      <w:r>
        <w:rPr>
          <w:b w:val="false"/>
          <w:i w:val="false"/>
        </w:rPr>
        <w:t>65-A-165 [FLAGSHIP] Trilateral potash infrastructure (Saskatchewan mines + U.S. rail + Mexican offtake terminals): Jointly tendered rail, port and storage packages with published reciprocal opportunity allocations.</w:t>
      </w:r>
    </w:p>
    <w:p>
      <w:pPr>
        <w:pStyle w:val="Normal"/>
      </w:pPr>
      <w:r>
        <w:rPr>
          <w:b w:val="false"/>
          <w:i w:val="false"/>
        </w:rPr>
        <w:t>65-A-166 [PROGRAM] Manitoba lithium corridor (Tanco and others): U.S. processing-equipment suppliers eligible on defined lots.</w:t>
      </w:r>
    </w:p>
    <w:p>
      <w:pPr>
        <w:pStyle w:val="Normal"/>
      </w:pPr>
      <w:r>
        <w:rPr>
          <w:b w:val="false"/>
          <w:i w:val="false"/>
        </w:rPr>
        <w:t>65-A-167 [PROGRAM] Newfoundland &amp; Labrador fluorspar revival: U.S. and Mexican mining-services firms prequalified on named packages.</w:t>
      </w:r>
    </w:p>
    <w:p>
      <w:pPr>
        <w:pStyle w:val="Normal"/>
      </w:pPr>
      <w:r>
        <w:rPr>
          <w:b w:val="false"/>
          <w:i w:val="false"/>
        </w:rPr>
        <w:t>65-A-168 [FLAGSHIP] Trilateral gallium/germanium recovery pilot plants: One demonstration plant per country, each tendered trilaterally with published reciprocal opportunity allocations; framed as semiconductor-supply trophy.</w:t>
      </w:r>
    </w:p>
    <w:p>
      <w:pPr>
        <w:pStyle w:val="Normal"/>
      </w:pPr>
      <w:r>
        <w:rPr>
          <w:b w:val="false"/>
          <w:i w:val="false"/>
        </w:rPr>
        <w:t>65-A-169 [ANCHOR] Aluminum smelter modernization (Quebec + Kentucky + Pacific Northwest): Named bundle: Canadian alumina-tech and U.S./Mexican potroom-equipment firms share defined packages across all sites.</w:t>
      </w:r>
    </w:p>
    <w:p>
      <w:pPr>
        <w:pStyle w:val="Normal"/>
      </w:pPr>
      <w:r>
        <w:rPr>
          <w:b w:val="false"/>
          <w:i w:val="false"/>
        </w:rPr>
        <w:t>65-A-170 [ANCHOR] Trilateral scrap-to-steel DRI corridor: Joint tender of direct-reduced-iron plants (Ontario, Ohio, Monterrey) with published equipment splits per country.</w:t>
      </w:r>
    </w:p>
    <w:p>
      <w:pPr>
        <w:pStyle w:val="Normal"/>
      </w:pPr>
      <w:r>
        <w:rPr>
          <w:b w:val="false"/>
          <w:i w:val="false"/>
        </w:rPr>
        <w:t>65-A-171 [PROGRAM] Uranium conversion/enrichment services cooperation: Reciprocal prequalification of engineering firms on each country's named fuel-cycle projects, capped per contract.</w:t>
      </w:r>
    </w:p>
    <w:p>
      <w:pPr>
        <w:pStyle w:val="Normal"/>
      </w:pPr>
      <w:r>
        <w:rPr>
          <w:b w:val="false"/>
          <w:i w:val="false"/>
        </w:rPr>
        <w:t>65-A-172 [PROGRAM] Arctic shipping corridor mineral-export study (Nunavut–Alaska–Chukchi): Binational pre-engineering contracts opened to both countries' firms, capped and named.</w:t>
      </w:r>
    </w:p>
    <w:p>
      <w:pPr>
        <w:pStyle w:val="Normal"/>
      </w:pPr>
      <w:r>
        <w:rPr>
          <w:b w:val="false"/>
          <w:i w:val="false"/>
        </w:rPr>
        <w:t>65-A-173 [PROGRAM] Trilateral critical-minerals stockpile infrastructure: Warehousing and logistics hubs (Saskatoon, Salt Lake City, Monterrey) tendered with published trilateral splits.</w:t>
      </w:r>
    </w:p>
    <w:p>
      <w:pPr>
        <w:pStyle w:val="Normal"/>
      </w:pPr>
      <w:r>
        <w:rPr>
          <w:b w:val="false"/>
          <w:i w:val="false"/>
        </w:rPr>
        <w:t>65-A-174 [PROGRAM] Mine-tailings reprocessing corridor (Sudbury–Montana–Zacatecas): Named bundle of reprocessing pilot contracts, one per country, each open to the other two countries' firms.</w:t>
      </w:r>
    </w:p>
    <w:p>
      <w:pPr>
        <w:pStyle w:val="Normal"/>
      </w:pPr>
      <w:r>
        <w:rPr>
          <w:b w:val="false"/>
          <w:i w:val="false"/>
        </w:rPr>
        <w:t>65-A-175 [PROGRAM] Critical-minerals permitting "fast lane" with procurement reciprocity: Projects designated trilaterally get both expedited review AND affirmative NABC procurement splits, the mechanism that makes the whole section trophy-ready.</w:t>
      </w:r>
    </w:p>
    <w:p>
      <w:pPr>
        <w:pStyle w:val="Normal"/>
      </w:pPr>
      <w:r>
        <w:rPr>
          <w:b w:val="false"/>
          <w:i w:val="false"/>
        </w:rPr>
        <w:t>65-A-176 [FLAGSHIP] Ontario–Michigan battery-cell corridor (Windsor–Detroit): Named package: Mexican cell-component plants and U.S./Canadian equipment suppliers share defined lots across NextStar-type plants on both sides, announced with dollar figures.</w:t>
      </w:r>
    </w:p>
    <w:p>
      <w:pPr>
        <w:pStyle w:val="Normal"/>
      </w:pPr>
      <w:r>
        <w:rPr>
          <w:b w:val="false"/>
          <w:i w:val="false"/>
        </w:rPr>
        <w:t>65-A-177 [PROGRAM] Quebec battery valley (Bécancour–Trois-Rivières): U.S. EPC and Mexican cathode-material suppliers prequalified on defined packages; reciprocated via Quebec access to U.S. battery-belt construction contracts.</w:t>
      </w:r>
    </w:p>
    <w:p>
      <w:pPr>
        <w:pStyle w:val="Normal"/>
      </w:pPr>
      <w:r>
        <w:rPr>
          <w:b w:val="false"/>
          <w:i w:val="false"/>
        </w:rPr>
        <w:t>65-A-178 [PROGRAM] U.S. Battery Belt (Kentucky/Tennessee/Georgia): Canadian process-equipment plants (Ontario/Quebec) and Mexican wire-harness suppliers eligible on named packages as the reciprocal half of ideas 176–177.</w:t>
      </w:r>
    </w:p>
    <w:p>
      <w:pPr>
        <w:pStyle w:val="Normal"/>
      </w:pPr>
      <w:r>
        <w:rPr>
          <w:b w:val="false"/>
          <w:i w:val="false"/>
        </w:rPr>
        <w:t>65-A-179 [PROGRAM] Monterrey–Saltillo EV cluster (Tesla-adjacent suppliers): Canadian and U.S. equipment firms prequalified on defined lots; reciprocated via Mexican access to Ontario stamping-plant retooling contracts.</w:t>
      </w:r>
    </w:p>
    <w:p>
      <w:pPr>
        <w:pStyle w:val="Normal"/>
      </w:pPr>
      <w:r>
        <w:rPr>
          <w:b w:val="false"/>
          <w:i w:val="false"/>
        </w:rPr>
        <w:t>65-A-180 [FLAGSHIP] Trilateral cathode plant trio (Bécancour, Tennessee, Sonora): One plant per country announced together, each with published procurement splits for the other two countries' suppliers.</w:t>
      </w:r>
    </w:p>
    <w:p>
      <w:pPr>
        <w:pStyle w:val="Normal"/>
      </w:pPr>
      <w:r>
        <w:rPr>
          <w:b w:val="false"/>
          <w:i w:val="false"/>
        </w:rPr>
        <w:t>65-A-181 [PROGRAM] Trilateral anode plant trio (Quebec, Alabama, Coahuila): Same structure as idea 180; graphite sourcing named from all three countries.</w:t>
      </w:r>
    </w:p>
    <w:p>
      <w:pPr>
        <w:pStyle w:val="Normal"/>
      </w:pPr>
      <w:r>
        <w:rPr>
          <w:b w:val="false"/>
          <w:i w:val="false"/>
        </w:rPr>
        <w:t>65-A-182 [ANCHOR] Battery-recycling corridor (Ontario–Michigan–Nuevo León): Jointly tendered recycling plants with published trilateral equipment splits.</w:t>
      </w:r>
    </w:p>
    <w:p>
      <w:pPr>
        <w:pStyle w:val="Normal"/>
      </w:pPr>
      <w:r>
        <w:rPr>
          <w:b w:val="false"/>
          <w:i w:val="false"/>
        </w:rPr>
        <w:t>65-A-183 [PROGRAM] EV charging megahubs on CPKC-adjacent freight corridors: Trilateral tender of truck-charging depots from Lázaro Cárdenas to Chicago to Toronto, with named national splits.</w:t>
      </w:r>
    </w:p>
    <w:p>
      <w:pPr>
        <w:pStyle w:val="Normal"/>
      </w:pPr>
      <w:r>
        <w:rPr>
          <w:b w:val="false"/>
          <w:i w:val="false"/>
        </w:rPr>
        <w:t>65-A-184 [PROGRAM] I-5 / I-15 western charging corridor extension to Vancouver and Tijuana: Binational packages with published reciprocal opportunity allocations; Canadian firms on U.S.-side depots, U.S. firms on BC/Baja segments.</w:t>
      </w:r>
    </w:p>
    <w:p>
      <w:pPr>
        <w:pStyle w:val="Normal"/>
      </w:pPr>
      <w:r>
        <w:rPr>
          <w:b w:val="false"/>
          <w:i w:val="false"/>
        </w:rPr>
        <w:t>65-A-185 [PROGRAM] Trans-Canada Highway charging completion (gaps in Northern Ontario/Prairies): U.S. and Mexican charging-hardware suppliers eligible on capped packages.</w:t>
      </w:r>
    </w:p>
    <w:p>
      <w:pPr>
        <w:pStyle w:val="Normal"/>
      </w:pPr>
      <w:r>
        <w:rPr>
          <w:b w:val="false"/>
          <w:i w:val="false"/>
        </w:rPr>
        <w:t>65-A-186 [PROGRAM] Electric school bus procurement pool: Trilateral bulk-buy: Quebec (Lion-type), U.S. and Mexican plants each get designated reciprocal opportunity scopes of a joint 3-country procurement pool, dollar figures published.</w:t>
      </w:r>
    </w:p>
    <w:p>
      <w:pPr>
        <w:pStyle w:val="Normal"/>
      </w:pPr>
      <w:r>
        <w:rPr>
          <w:b w:val="false"/>
          <w:i w:val="false"/>
        </w:rPr>
        <w:t>65-A-187 [PROGRAM] Electric transit bus framework: Same pooled structure as idea 186 for city buses: designated reciprocal opportunity scopes for plants in Quebec, the U.S. and Mexico.</w:t>
      </w:r>
    </w:p>
    <w:p>
      <w:pPr>
        <w:pStyle w:val="Normal"/>
      </w:pPr>
      <w:r>
        <w:rPr>
          <w:b w:val="false"/>
          <w:i w:val="false"/>
        </w:rPr>
        <w:t>65-A-188 [FLAGSHIP] Post/delivery fleet electrification (Canada Post, USPS, Correos de México): Trilateral tender with published reciprocal opportunity allocations across three national postal fleets, a leader-friendly "3 presidents, 3 fleets" trophy.</w:t>
      </w:r>
    </w:p>
    <w:p>
      <w:pPr>
        <w:pStyle w:val="Normal"/>
      </w:pPr>
      <w:r>
        <w:rPr>
          <w:b w:val="false"/>
          <w:i w:val="false"/>
        </w:rPr>
        <w:t>65-A-189 [PROGRAM] Windsor–Detroit EV-supplier park (binational): Jointly developed industrial park with procurement commitments named per country.</w:t>
      </w:r>
    </w:p>
    <w:p>
      <w:pPr>
        <w:pStyle w:val="Normal"/>
      </w:pPr>
      <w:r>
        <w:rPr>
          <w:b w:val="false"/>
          <w:i w:val="false"/>
        </w:rPr>
        <w:t>65-A-190 [PROGRAM] Detroit Three retooling packages in Ontario: U.S. automaker retooling contracts in Canada named as openings for U.S. equipment suppliers; reciprocated via Canadian access to their U.S. plant retooling contracts.</w:t>
      </w:r>
    </w:p>
    <w:p>
      <w:pPr>
        <w:pStyle w:val="Normal"/>
      </w:pPr>
      <w:r>
        <w:rPr>
          <w:b w:val="false"/>
          <w:i w:val="false"/>
        </w:rPr>
        <w:t>65-A-191 [PROGRAM] Silao/Ramos Arizpe GM plant EV conversion (Mexico): Canadian and U.S. automation suppliers prequalified on named packages.</w:t>
      </w:r>
    </w:p>
    <w:p>
      <w:pPr>
        <w:pStyle w:val="Normal"/>
      </w:pPr>
      <w:r>
        <w:rPr>
          <w:b w:val="false"/>
          <w:i w:val="false"/>
        </w:rPr>
        <w:t>65-A-192 [PROGRAM] Hermosillo stamping/EV expansion (Sonora): Trilateral equipment split published at announcement.</w:t>
      </w:r>
    </w:p>
    <w:p>
      <w:pPr>
        <w:pStyle w:val="Normal"/>
      </w:pPr>
      <w:r>
        <w:rPr>
          <w:b w:val="false"/>
          <w:i w:val="false"/>
        </w:rPr>
        <w:t>65-A-193 [ANCHOR] Trilateral heavy-truck electrification pilot (drayage at ports of LA, Vancouver, Manzanillo): Joint tender of trucks plus chargers, splits named per country.</w:t>
      </w:r>
    </w:p>
    <w:p>
      <w:pPr>
        <w:pStyle w:val="Normal"/>
      </w:pPr>
      <w:r>
        <w:rPr>
          <w:b w:val="false"/>
          <w:i w:val="false"/>
        </w:rPr>
        <w:t>65-A-194 [ANCHOR] Semiconductor fab corridor for auto chips (Oregon–Ontario–Jalisco): Reciprocal prequalification of construction and equipment firms on each country's named fab projects.</w:t>
      </w:r>
    </w:p>
    <w:p>
      <w:pPr>
        <w:pStyle w:val="Normal"/>
      </w:pPr>
      <w:r>
        <w:rPr>
          <w:b w:val="false"/>
          <w:i w:val="false"/>
        </w:rPr>
        <w:t>65-A-195 [PROGRAM] Guadalajara electronics cluster expansion: Canadian and U.S. cleanroom-construction firms eligible on defined packages.</w:t>
      </w:r>
    </w:p>
    <w:p>
      <w:pPr>
        <w:pStyle w:val="Normal"/>
      </w:pPr>
      <w:r>
        <w:rPr>
          <w:b w:val="false"/>
          <w:i w:val="false"/>
        </w:rPr>
        <w:t>65-A-196 [PROGRAM] Ontario auto-parts retooling fund: U.S. and Mexican tooling suppliers eligible on capped shares; reciprocated via Ontario access to U.S. state retooling-fund contracts.</w:t>
      </w:r>
    </w:p>
    <w:p>
      <w:pPr>
        <w:pStyle w:val="Normal"/>
      </w:pPr>
      <w:r>
        <w:rPr>
          <w:b w:val="false"/>
          <w:i w:val="false"/>
        </w:rPr>
        <w:t>65-A-197 [PROGRAM] Trilateral tooling-and-die renewal program: Named bundle of die-casting and tooling contracts across Ontario, Michigan and Guanajuato with published reciprocal opportunity allocations.</w:t>
      </w:r>
    </w:p>
    <w:p>
      <w:pPr>
        <w:pStyle w:val="Normal"/>
      </w:pPr>
      <w:r>
        <w:rPr>
          <w:b w:val="false"/>
          <w:i w:val="false"/>
        </w:rPr>
        <w:t>65-A-198 [PROGRAM] Aluminum-intensive vehicle supply chain (Quebec aluminum + U.S. stamping + Mexican assembly): Named procurement commitments tying the three tiers together with dollar figures.</w:t>
      </w:r>
    </w:p>
    <w:p>
      <w:pPr>
        <w:pStyle w:val="Normal"/>
      </w:pPr>
      <w:r>
        <w:rPr>
          <w:b w:val="false"/>
          <w:i w:val="false"/>
        </w:rPr>
        <w:t>65-A-199 [PROGRAM] Hydrogen heavy-truck corridor (Edmonton–Calgary–Salt Lake City–Monterrey concept): Feasibility-stage contracts opened trilaterally; construction-stage splits pre-committed.</w:t>
      </w:r>
    </w:p>
    <w:p>
      <w:pPr>
        <w:pStyle w:val="Normal"/>
      </w:pPr>
      <w:r>
        <w:rPr>
          <w:b w:val="false"/>
          <w:i w:val="false"/>
        </w:rPr>
        <w:t>65-A-200 [PROGRAM] Trilateral EV battery-safety testing facilities: One lab per country, jointly tendered equipment packages with published reciprocal opportunity allocations.</w:t>
      </w:r>
    </w:p>
    <w:p>
      <w:pPr>
        <w:pStyle w:val="Normal"/>
      </w:pPr>
      <w:r>
        <w:rPr>
          <w:b w:val="false"/>
          <w:i w:val="false"/>
        </w:rPr>
        <w:t>65-A-201 [PROGRAM] Winter-testing and cold-weather validation cluster (Kapuskasing–Alaska–Chihuahua desert counterpart): Binational facility contracts opened reciprocally.</w:t>
      </w:r>
    </w:p>
    <w:p>
      <w:pPr>
        <w:pStyle w:val="Normal"/>
      </w:pPr>
      <w:r>
        <w:rPr>
          <w:b w:val="false"/>
          <w:i w:val="false"/>
        </w:rPr>
        <w:t>65-A-202 [PROGRAM] Automotive workforce training centers (Windsor, Detroit, Saltillo): Tri-city tender of training-equipment and facility contracts with designated reciprocal opportunity scopes.</w:t>
      </w:r>
    </w:p>
    <w:p>
      <w:pPr>
        <w:pStyle w:val="Normal"/>
      </w:pPr>
      <w:r>
        <w:rPr>
          <w:b w:val="false"/>
          <w:i w:val="false"/>
        </w:rPr>
        <w:t>65-A-203 [PROGRAM] Trilateral giga-casting equipment procurement: Mexican, Canadian and U.S. plants each named as supplier-of-record on the others' named gigacasting installations.</w:t>
      </w:r>
    </w:p>
    <w:p>
      <w:pPr>
        <w:pStyle w:val="Normal"/>
      </w:pPr>
      <w:r>
        <w:rPr>
          <w:b w:val="false"/>
          <w:i w:val="false"/>
        </w:rPr>
        <w:t>65-A-204 [PROGRAM] Cross-border EV battery materials logistics hub (Sarnia–Port Huron): Binational tender with published reciprocal opportunity allocations on warehouse and handling contracts.</w:t>
      </w:r>
    </w:p>
    <w:p>
      <w:pPr>
        <w:pStyle w:val="Normal"/>
      </w:pPr>
      <w:r>
        <w:rPr>
          <w:b w:val="false"/>
          <w:i w:val="false"/>
        </w:rPr>
        <w:t>65-A-205 [PROGRAM] End-of-life vehicle and battery take-back infrastructure: Trilateral framework tender of dismantling and materials-recovery contracts, one named package per country.</w:t>
      </w:r>
    </w:p>
    <w:p>
      <w:pPr>
        <w:pStyle w:val="Normal"/>
      </w:pPr>
      <w:r>
        <w:rPr>
          <w:b w:val="false"/>
          <w:i w:val="false"/>
        </w:rPr>
        <w:t>65-A-206 [FLAGSHIP] Tijuana–San Diego wastewater fix (South Bay International Plant + Mexican-side works): Flagship binational trophy: published split of U.S.-side expansion contracts and Tijuana-side rehabilitation contracts, with Canadian membrane-tech suppliers eligible on both.</w:t>
      </w:r>
    </w:p>
    <w:p>
      <w:pPr>
        <w:pStyle w:val="Normal"/>
      </w:pPr>
      <w:r>
        <w:rPr>
          <w:b w:val="false"/>
          <w:i w:val="false"/>
        </w:rPr>
        <w:t>65-A-207 [PROGRAM] Colorado River conservation infrastructure: Canadian water-tech and Mexican civil firms eligible on defined packages of U.S. conservation projects; reciprocated via U.S. access to Canadian irrigation-modernization contracts.</w:t>
      </w:r>
    </w:p>
    <w:p>
      <w:pPr>
        <w:pStyle w:val="Normal"/>
      </w:pPr>
      <w:r>
        <w:rPr>
          <w:b w:val="false"/>
          <w:i w:val="false"/>
        </w:rPr>
        <w:t>65-A-208 [PROGRAM] California Delta Conveyance: Canadian tunneling consortia prequalified on a named package; reciprocated via California access to a Canadian tunnel project.</w:t>
      </w:r>
    </w:p>
    <w:p>
      <w:pPr>
        <w:pStyle w:val="Normal"/>
      </w:pPr>
      <w:r>
        <w:rPr>
          <w:b w:val="false"/>
          <w:i w:val="false"/>
        </w:rPr>
        <w:t>65-A-209 [PROGRAM] Lake Mead/Hoover Dam water-efficiency retrofits: Canadian turbine and controls firms eligible on defined lots.</w:t>
      </w:r>
    </w:p>
    <w:p>
      <w:pPr>
        <w:pStyle w:val="Normal"/>
      </w:pPr>
      <w:r>
        <w:rPr>
          <w:b w:val="false"/>
          <w:i w:val="false"/>
        </w:rPr>
        <w:t>65-A-210 [PROGRAM] Great Lakes Restoration Initiative follow-on projects: Canadian environmental firms prequalified on named packages; reciprocated via U.S. access to Great Lakes–St. Lawrence cleanup contracts on the Canadian side.</w:t>
      </w:r>
    </w:p>
    <w:p>
      <w:pPr>
        <w:pStyle w:val="Normal"/>
      </w:pPr>
      <w:r>
        <w:rPr>
          <w:b w:val="false"/>
          <w:i w:val="false"/>
        </w:rPr>
        <w:t>65-A-211 [PROGRAM] Boundary Waters/IJC flood-control works (Red River, Rainy River, St. Marys): Binational tenders with published reciprocal opportunity allocations, each contract named.</w:t>
      </w:r>
    </w:p>
    <w:p>
      <w:pPr>
        <w:pStyle w:val="Normal"/>
      </w:pPr>
      <w:r>
        <w:rPr>
          <w:b w:val="false"/>
          <w:i w:val="false"/>
        </w:rPr>
        <w:t>65-A-212 [PROGRAM] Red River floodway expansion (Manitoba): North Dakota contractors prequalified; reciprocated via Manitoba access to Fargo–Moorhead diversion contracts.</w:t>
      </w:r>
    </w:p>
    <w:p>
      <w:pPr>
        <w:pStyle w:val="Normal"/>
      </w:pPr>
      <w:r>
        <w:rPr>
          <w:b w:val="false"/>
          <w:i w:val="false"/>
        </w:rPr>
        <w:t>65-A-213 [PROGRAM] Fargo–Moorhead flood diversion: Manitoba firms eligible on defined packages as the named reciprocal half of idea 212, announce the pair together.</w:t>
      </w:r>
    </w:p>
    <w:p>
      <w:pPr>
        <w:pStyle w:val="Normal"/>
      </w:pPr>
      <w:r>
        <w:rPr>
          <w:b w:val="false"/>
          <w:i w:val="false"/>
        </w:rPr>
        <w:t>65-A-214 [PROGRAM] Mexico City drainage modernization (Túnel Emisor Oriente follow-ons): Canadian tunneling and U.S. pump-station firms prequalified on named packages.</w:t>
      </w:r>
    </w:p>
    <w:p>
      <w:pPr>
        <w:pStyle w:val="Normal"/>
      </w:pPr>
      <w:r>
        <w:rPr>
          <w:b w:val="false"/>
          <w:i w:val="false"/>
        </w:rPr>
        <w:t>65-A-215 [PROGRAM] Cutzamala system rehabilitation (Mexico City water supply): U.S. and Canadian equipment suppliers eligible on defined lots; announced with dollar figures.</w:t>
      </w:r>
    </w:p>
    <w:p>
      <w:pPr>
        <w:pStyle w:val="Normal"/>
      </w:pPr>
      <w:r>
        <w:rPr>
          <w:b w:val="false"/>
          <w:i w:val="false"/>
        </w:rPr>
        <w:t>65-A-216 [PROGRAM] Monterrey water security (El Cuchillo II / aqueduct works): Canadian and U.S. EPC firms prequalified; reciprocated via Nuevo León access to Texas water-infrastructure contracts.</w:t>
      </w:r>
    </w:p>
    <w:p>
      <w:pPr>
        <w:pStyle w:val="Normal"/>
      </w:pPr>
      <w:r>
        <w:rPr>
          <w:b w:val="false"/>
          <w:i w:val="false"/>
        </w:rPr>
        <w:t>65-A-217 [PROGRAM] Ensenada–Tijuana desalination expansion: Canadian membrane plants and U.S. civil contractors eligible on named packages.</w:t>
      </w:r>
    </w:p>
    <w:p>
      <w:pPr>
        <w:pStyle w:val="Normal"/>
      </w:pPr>
      <w:r>
        <w:rPr>
          <w:b w:val="false"/>
          <w:i w:val="false"/>
        </w:rPr>
        <w:t>65-A-218 [PROGRAM] Carlsbad/Huntington Beach desalination follow-ons: Mexican and Canadian firms prequalified as the reciprocal half of idea 217.</w:t>
      </w:r>
    </w:p>
    <w:p>
      <w:pPr>
        <w:pStyle w:val="Normal"/>
      </w:pPr>
      <w:r>
        <w:rPr>
          <w:b w:val="false"/>
          <w:i w:val="false"/>
        </w:rPr>
        <w:t>65-A-219 [PROGRAM] Great Lakes drinking-water plant upgrades (binational cities: Detroit–Windsor, Port Huron–Sarnia), Binational tender with published reciprocal opportunity allocations on named plants.</w:t>
      </w:r>
    </w:p>
    <w:p>
      <w:pPr>
        <w:pStyle w:val="Normal"/>
      </w:pPr>
      <w:r>
        <w:rPr>
          <w:b w:val="false"/>
          <w:i w:val="false"/>
        </w:rPr>
        <w:t>65-A-220 [PROGRAM] Montreal wastewater ozonation follow-on works: U.S. and Mexican equipment suppliers eligible on capped packages.</w:t>
      </w:r>
    </w:p>
    <w:p>
      <w:pPr>
        <w:pStyle w:val="Normal"/>
      </w:pPr>
      <w:r>
        <w:rPr>
          <w:b w:val="false"/>
          <w:i w:val="false"/>
        </w:rPr>
        <w:t>65-A-221 [PROGRAM] Iqaluit and northern water infrastructure: Alaska contractors prequalified on defined lots; framed as Arctic-resilience trophy.</w:t>
      </w:r>
    </w:p>
    <w:p>
      <w:pPr>
        <w:pStyle w:val="Normal"/>
      </w:pPr>
      <w:r>
        <w:rPr>
          <w:b w:val="false"/>
          <w:i w:val="false"/>
        </w:rPr>
        <w:t>65-A-222 [PROGRAM] Yellowknife water-supply replacement: U.S. engineering firms eligible on named packages.</w:t>
      </w:r>
    </w:p>
    <w:p>
      <w:pPr>
        <w:pStyle w:val="Normal"/>
      </w:pPr>
      <w:r>
        <w:rPr>
          <w:b w:val="false"/>
          <w:i w:val="false"/>
        </w:rPr>
        <w:t>65-A-223 [PROGRAM] Trilateral PFAS-remediation pilot corridor: One named site per country, each tendered trilaterally with published reciprocal opportunity allocations.</w:t>
      </w:r>
    </w:p>
    <w:p>
      <w:pPr>
        <w:pStyle w:val="Normal"/>
      </w:pPr>
      <w:r>
        <w:rPr>
          <w:b w:val="false"/>
          <w:i w:val="false"/>
        </w:rPr>
        <w:t>65-A-224 [PROGRAM] Rio Grande salinity and conveyance projects (El Paso–Juárez): Binational tender with published reciprocal opportunity allocations under IBWC auspices.</w:t>
      </w:r>
    </w:p>
    <w:p>
      <w:pPr>
        <w:pStyle w:val="Normal"/>
      </w:pPr>
      <w:r>
        <w:rPr>
          <w:b w:val="false"/>
          <w:i w:val="false"/>
        </w:rPr>
        <w:t>65-A-225 [PROGRAM] Lake Winnipeg basin nutrient-reduction infrastructure: U.S. and Mexican environmental-tech suppliers eligible on capped packages.</w:t>
      </w:r>
    </w:p>
    <w:p>
      <w:pPr>
        <w:pStyle w:val="Normal"/>
      </w:pPr>
      <w:r>
        <w:rPr>
          <w:b w:val="false"/>
          <w:i w:val="false"/>
        </w:rPr>
        <w:t>65-A-226 [PROGRAM] Trilateral wastewater-energy-recovery program (Montreal, Chicago, Mexico City): Named bundle of biogas-upgrading contracts, splits published per country.</w:t>
      </w:r>
    </w:p>
    <w:p>
      <w:pPr>
        <w:pStyle w:val="Normal"/>
      </w:pPr>
      <w:r>
        <w:rPr>
          <w:b w:val="false"/>
          <w:i w:val="false"/>
        </w:rPr>
        <w:t>65-A-227 [PROGRAM] Stormwater mega-tunnel program (Toronto, Milwaukee, Guadalajara): Tri-city tender of tunnel-boring and lining contracts with named national splits.</w:t>
      </w:r>
    </w:p>
    <w:p>
      <w:pPr>
        <w:pStyle w:val="Normal"/>
      </w:pPr>
      <w:r>
        <w:rPr>
          <w:b w:val="false"/>
          <w:i w:val="false"/>
        </w:rPr>
        <w:t>65-A-228 [PROGRAM] Irrigation modernization (Alberta + California + Sonora): Trilateral framework: each country names a canal-lining project and prequalifies the other two countries' firms.</w:t>
      </w:r>
    </w:p>
    <w:p>
      <w:pPr>
        <w:pStyle w:val="Normal"/>
      </w:pPr>
      <w:r>
        <w:rPr>
          <w:b w:val="false"/>
          <w:i w:val="false"/>
        </w:rPr>
        <w:t>65-A-229 [PROGRAM] Dam-safety rehabilitation corridor (St. Lawrence, Columbia, Lerma basins): Named bundle of spillway and gate contracts with published trilateral splits.</w:t>
      </w:r>
    </w:p>
    <w:p>
      <w:pPr>
        <w:pStyle w:val="Normal"/>
      </w:pPr>
      <w:r>
        <w:rPr>
          <w:b w:val="false"/>
          <w:i w:val="false"/>
        </w:rPr>
        <w:t>65-A-230 [PROGRAM] Trilateral smart-water-metering procurement pool: Bulk-buy across three countries' utilities with verified supplier-origin reporting after competitive award per country.</w:t>
      </w:r>
    </w:p>
    <w:p>
      <w:pPr>
        <w:pStyle w:val="Normal"/>
      </w:pPr>
      <w:r>
        <w:rPr>
          <w:b w:val="false"/>
          <w:i w:val="false"/>
        </w:rPr>
        <w:t>65-A-231 [PROGRAM] Trilateral rural broadband build (Northern Canada + rural U.S. + southern Mexico): Named bundle: each country designates underserved regions and prequalifies the other two countries' network builders on defined packages.</w:t>
      </w:r>
    </w:p>
    <w:p>
      <w:pPr>
        <w:pStyle w:val="Normal"/>
      </w:pPr>
      <w:r>
        <w:rPr>
          <w:b w:val="false"/>
          <w:i w:val="false"/>
        </w:rPr>
        <w:t>65-A-232 [PROGRAM] Cross-border fiber backbone (Vancouver–Seattle–Portland): Binational tender with published reciprocal opportunity allocations; Mexican fiber plants eligible on cable-supply lots.</w:t>
      </w:r>
    </w:p>
    <w:p>
      <w:pPr>
        <w:pStyle w:val="Normal"/>
      </w:pPr>
      <w:r>
        <w:rPr>
          <w:b w:val="false"/>
          <w:i w:val="false"/>
        </w:rPr>
        <w:t>65-A-233 [PROGRAM] Quebec–New England dark-fiber corridor: Binational packages with designated reciprocal opportunity scopes; U.S. firms on Quebec segments, Canadian firms on Vermont/New Hampshire segments.</w:t>
      </w:r>
    </w:p>
    <w:p>
      <w:pPr>
        <w:pStyle w:val="Normal"/>
      </w:pPr>
      <w:r>
        <w:rPr>
          <w:b w:val="false"/>
          <w:i w:val="false"/>
        </w:rPr>
        <w:t>65-A-234 [PROGRAM] Windsor–Detroit data-center corridor: Binational tender of power, cooling and fiber packages with published reciprocal opportunity allocations.</w:t>
      </w:r>
    </w:p>
    <w:p>
      <w:pPr>
        <w:pStyle w:val="Normal"/>
      </w:pPr>
      <w:r>
        <w:rPr>
          <w:b w:val="false"/>
          <w:i w:val="false"/>
        </w:rPr>
        <w:t>65-A-235 [PROGRAM] Querétaro data-center cluster expansion: Canadian and U.S. electrical-equipment and cooling suppliers prequalified on named packages; reciprocated via Mexican access to U.S./Canadian data-center contracts.</w:t>
      </w:r>
    </w:p>
    <w:p>
      <w:pPr>
        <w:pStyle w:val="Normal"/>
      </w:pPr>
      <w:r>
        <w:rPr>
          <w:b w:val="false"/>
          <w:i w:val="false"/>
        </w:rPr>
        <w:t>65-A-236 [PROGRAM] Telesat Lightspeed ground-segment contracts: U.S. and Mexican gateway-station contractors eligible on defined packages; reciprocated via Canadian access to U.S. satellite-program ground contracts.</w:t>
      </w:r>
    </w:p>
    <w:p>
      <w:pPr>
        <w:pStyle w:val="Normal"/>
      </w:pPr>
      <w:r>
        <w:rPr>
          <w:b w:val="false"/>
          <w:i w:val="false"/>
        </w:rPr>
        <w:t>65-A-237 [PROGRAM] Trilateral satellite ground-station network (Inuvik, Alaska, Baja): Named bundle of gateway contracts with published trilateral splits; framed as Arctic-coverage trophy.</w:t>
      </w:r>
    </w:p>
    <w:p>
      <w:pPr>
        <w:pStyle w:val="Normal"/>
      </w:pPr>
      <w:r>
        <w:rPr>
          <w:b w:val="false"/>
          <w:i w:val="false"/>
        </w:rPr>
        <w:t>65-A-238 [PROGRAM] 5G/6G Open-RAN testbeds (Ottawa, Dallas, Guadalajara): Tri-city tender of testbed-equipment contracts with designated reciprocal opportunity scopes.</w:t>
      </w:r>
    </w:p>
    <w:p>
      <w:pPr>
        <w:pStyle w:val="Normal"/>
      </w:pPr>
      <w:r>
        <w:rPr>
          <w:b w:val="false"/>
          <w:i w:val="false"/>
        </w:rPr>
        <w:t>65-A-239 [PROGRAM] Subsea cable landing stations (Atlantic Canada + U.S. East Coast): Binational tender with published reciprocal opportunity allocations on named landings.</w:t>
      </w:r>
    </w:p>
    <w:p>
      <w:pPr>
        <w:pStyle w:val="Normal"/>
      </w:pPr>
      <w:r>
        <w:rPr>
          <w:b w:val="false"/>
          <w:i w:val="false"/>
        </w:rPr>
        <w:t>65-A-240 [PROGRAM] Pacific subsea cable route diversity (BC + Baja + U.S. West Coast): Trilateral tender of landing-station works with designated reciprocal opportunity scopes.</w:t>
      </w:r>
    </w:p>
    <w:p>
      <w:pPr>
        <w:pStyle w:val="Normal"/>
      </w:pPr>
      <w:r>
        <w:rPr>
          <w:b w:val="false"/>
          <w:i w:val="false"/>
        </w:rPr>
        <w:t>65-A-241 [PROGRAM] FirstNet/NG911 interoperability at borders: Trilateral procurement of cross-border emergency-communications equipment, splits published.</w:t>
      </w:r>
    </w:p>
    <w:p>
      <w:pPr>
        <w:pStyle w:val="Normal"/>
      </w:pPr>
      <w:r>
        <w:rPr>
          <w:b w:val="false"/>
          <w:i w:val="false"/>
        </w:rPr>
        <w:t>65-A-242 [PROGRAM] Smart-border ITS corridor (all major crossings): Named bundle of sensors, AI-inspection and lane-automation contracts with published trilateral splits; a single leader-visible "21st-century border" trophy.</w:t>
      </w:r>
    </w:p>
    <w:p>
      <w:pPr>
        <w:pStyle w:val="Normal"/>
      </w:pPr>
      <w:r>
        <w:rPr>
          <w:b w:val="false"/>
          <w:i w:val="false"/>
        </w:rPr>
        <w:t>65-A-243 [PROGRAM] Trilateral cybersecurity operations centers (Ottawa, Washington, Mexico City): Joint tender of facility and systems contracts with designated reciprocal opportunity scopes.</w:t>
      </w:r>
    </w:p>
    <w:p>
      <w:pPr>
        <w:pStyle w:val="Normal"/>
      </w:pPr>
      <w:r>
        <w:rPr>
          <w:b w:val="false"/>
          <w:i w:val="false"/>
        </w:rPr>
        <w:t>65-A-244 [PROGRAM] Arctic fiber link (Alaska–Yukon–NWT): Binational packages with published reciprocal opportunity allocations; framed as NORAD-adjacent resilience.</w:t>
      </w:r>
    </w:p>
    <w:p>
      <w:pPr>
        <w:pStyle w:val="Normal"/>
      </w:pPr>
      <w:r>
        <w:rPr>
          <w:b w:val="false"/>
          <w:i w:val="false"/>
        </w:rPr>
        <w:t>65-A-245 [PROGRAM] Rural telemedicine network (Canadian North + rural Alaska + rural Mexico): Trilateral tender of telehealth-infrastructure contracts with designated reciprocal opportunity scopes.</w:t>
      </w:r>
    </w:p>
    <w:p>
      <w:pPr>
        <w:pStyle w:val="Normal"/>
      </w:pPr>
      <w:r>
        <w:rPr>
          <w:b w:val="false"/>
          <w:i w:val="false"/>
        </w:rPr>
        <w:t>65-A-246 [PROGRAM] Grid-edge sensor procurement pool: Bulk-buy of smart-grid sensors across three countries' utilities, factory shares named per country.</w:t>
      </w:r>
    </w:p>
    <w:p>
      <w:pPr>
        <w:pStyle w:val="Normal"/>
      </w:pPr>
      <w:r>
        <w:rPr>
          <w:b w:val="false"/>
          <w:i w:val="false"/>
        </w:rPr>
        <w:t>65-A-247 [PROGRAM] Trilateral AI-compute infrastructure corridor: Reciprocal prequalification of construction firms on each country's named AI data-center projects.</w:t>
      </w:r>
    </w:p>
    <w:p>
      <w:pPr>
        <w:pStyle w:val="Normal"/>
      </w:pPr>
      <w:r>
        <w:rPr>
          <w:b w:val="false"/>
          <w:i w:val="false"/>
        </w:rPr>
        <w:t>65-A-248 [PROGRAM] Digital-twin border-crossing pilots (Detroit–Windsor, Laredo, Vancouver–Blaine): Named bundle of simulation and systems contracts with published reciprocal opportunity allocations.</w:t>
      </w:r>
    </w:p>
    <w:p>
      <w:pPr>
        <w:pStyle w:val="Normal"/>
      </w:pPr>
      <w:r>
        <w:rPr>
          <w:b w:val="false"/>
          <w:i w:val="false"/>
        </w:rPr>
        <w:t>65-A-249 [PROGRAM] Trilateral emergency-alerting system upgrade: Joint procurement with named equipment shares per country.</w:t>
      </w:r>
    </w:p>
    <w:p>
      <w:pPr>
        <w:pStyle w:val="Normal"/>
      </w:pPr>
      <w:r>
        <w:rPr>
          <w:b w:val="false"/>
          <w:i w:val="false"/>
        </w:rPr>
        <w:t>65-A-250 [PROGRAM] Quantum-communications testbed corridor (Waterloo–Chicago–Mexico City): Tri-city tender of lab and fiber contracts with designated reciprocal opportunity scopes.</w:t>
      </w:r>
    </w:p>
    <w:p>
      <w:pPr>
        <w:pStyle w:val="Normal"/>
      </w:pPr>
      <w:r>
        <w:rPr>
          <w:b w:val="false"/>
          <w:i w:val="false"/>
        </w:rPr>
        <w:t>65-A-251 [PROGRAM] Cross-border 5G railway corridors (CPKC main line): Trilateral tender of trackside telecom contracts, splits published.</w:t>
      </w:r>
    </w:p>
    <w:p>
      <w:pPr>
        <w:pStyle w:val="Normal"/>
      </w:pPr>
      <w:r>
        <w:rPr>
          <w:b w:val="false"/>
          <w:i w:val="false"/>
        </w:rPr>
        <w:t>65-A-252 [PROGRAM] Municipal smart-city framework (Toronto, Austin, Guadalajara): Tri-city prequalification list for ITS and sensor contracts, capped per project.</w:t>
      </w:r>
    </w:p>
    <w:p>
      <w:pPr>
        <w:pStyle w:val="Normal"/>
      </w:pPr>
      <w:r>
        <w:rPr>
          <w:b w:val="false"/>
          <w:i w:val="false"/>
        </w:rPr>
        <w:t>65-A-253 [PROGRAM] Trilateral semiconductor workforce campuses: Named bundle of training-facility construction contracts, one per country, each open trilaterally.</w:t>
      </w:r>
    </w:p>
    <w:p>
      <w:pPr>
        <w:pStyle w:val="Normal"/>
      </w:pPr>
      <w:r>
        <w:rPr>
          <w:b w:val="false"/>
          <w:i w:val="false"/>
        </w:rPr>
        <w:t>65-A-254 [PROGRAM] Ocean-monitoring sensor network (Pacific + Arctic + Gulf): Trilateral procurement of buoy and cable-sensor contracts with designated reciprocal opportunity scopes.</w:t>
      </w:r>
    </w:p>
    <w:p>
      <w:pPr>
        <w:pStyle w:val="Normal"/>
      </w:pPr>
      <w:r>
        <w:rPr>
          <w:b w:val="false"/>
          <w:i w:val="false"/>
        </w:rPr>
        <w:t>65-A-255 [PROGRAM] Digital identity/credentialing infrastructure for cross-border workers: Feasibility and pilot contracts opened trilaterally, capped and named.</w:t>
      </w:r>
    </w:p>
    <w:p>
      <w:pPr>
        <w:pStyle w:val="Normal"/>
      </w:pPr>
      <w:r>
        <w:rPr>
          <w:b w:val="false"/>
          <w:i w:val="false"/>
        </w:rPr>
        <w:t>65-A-256 [ANCHOR] Toronto Pearson revitalization packages: U.S. and Mexican firms prequalified on defined terminal and airside lots; reciprocated via Canadian access to a named U.S. airport program of equal value.</w:t>
      </w:r>
    </w:p>
    <w:p>
      <w:pPr>
        <w:pStyle w:val="Normal"/>
      </w:pPr>
      <w:r>
        <w:rPr>
          <w:b w:val="false"/>
          <w:i w:val="false"/>
        </w:rPr>
        <w:t>65-A-257 [PROGRAM] Montreal YUL expansion: U.S. and Mexican contractors eligible on named packages; reciprocated via Quebec access to U.S. terminal-modernization contracts.</w:t>
      </w:r>
    </w:p>
    <w:p>
      <w:pPr>
        <w:pStyle w:val="Normal"/>
      </w:pPr>
      <w:r>
        <w:rPr>
          <w:b w:val="false"/>
          <w:i w:val="false"/>
        </w:rPr>
        <w:t>65-A-258 [PROGRAM] Vancouver YVR pier expansion: U.S. and Mexican firms prequalified on capped lots.</w:t>
      </w:r>
    </w:p>
    <w:p>
      <w:pPr>
        <w:pStyle w:val="Normal"/>
      </w:pPr>
      <w:r>
        <w:rPr>
          <w:b w:val="false"/>
          <w:i w:val="false"/>
        </w:rPr>
        <w:t>65-A-259 [PROGRAM] Calgary YYC terminal works: U.S. contractors eligible on defined packages; reciprocated via Canadian access to a U.S. mountain-region airport program.</w:t>
      </w:r>
    </w:p>
    <w:p>
      <w:pPr>
        <w:pStyle w:val="Normal"/>
      </w:pPr>
      <w:r>
        <w:rPr>
          <w:b w:val="false"/>
          <w:i w:val="false"/>
        </w:rPr>
        <w:t>65-A-260 [PROGRAM] Felipe Ángeles (AIFA) cargo-terminal expansion: Canadian and U.S. cargo-handling and systems suppliers prequalified on named packages.</w:t>
      </w:r>
    </w:p>
    <w:p>
      <w:pPr>
        <w:pStyle w:val="Normal"/>
      </w:pPr>
      <w:r>
        <w:rPr>
          <w:b w:val="false"/>
          <w:i w:val="false"/>
        </w:rPr>
        <w:t>65-A-261 [PROGRAM] Mexico City AICM refurbishment: Canadian and U.S. firms eligible on defined lots; announced with dollar figures per country.</w:t>
      </w:r>
    </w:p>
    <w:p>
      <w:pPr>
        <w:pStyle w:val="Normal"/>
      </w:pPr>
      <w:r>
        <w:rPr>
          <w:b w:val="false"/>
          <w:i w:val="false"/>
        </w:rPr>
        <w:t>65-A-262 [PROGRAM] Cancún and Tulum airport expansions: U.S. and Canadian contractors prequalified on named packages; reciprocated via Mexican access to U.S. tourism-market airport contracts.</w:t>
      </w:r>
    </w:p>
    <w:p>
      <w:pPr>
        <w:pStyle w:val="Normal"/>
      </w:pPr>
      <w:r>
        <w:rPr>
          <w:b w:val="false"/>
          <w:i w:val="false"/>
        </w:rPr>
        <w:t>65-A-263 [PROGRAM] Guadalajara and Monterrey airport upgrades: Trilateral prequalification on named terminal and airside packages.</w:t>
      </w:r>
    </w:p>
    <w:p>
      <w:pPr>
        <w:pStyle w:val="Normal"/>
      </w:pPr>
      <w:r>
        <w:rPr>
          <w:b w:val="false"/>
          <w:i w:val="false"/>
        </w:rPr>
        <w:t>65-A-264 [PROGRAM] JFK/Newark terminal programs: Canadian firms (Montreal/Toronto construction groups) eligible on defined packages as the reciprocal half of idea 256.</w:t>
      </w:r>
    </w:p>
    <w:p>
      <w:pPr>
        <w:pStyle w:val="Normal"/>
      </w:pPr>
      <w:r>
        <w:rPr>
          <w:b w:val="false"/>
          <w:i w:val="false"/>
        </w:rPr>
        <w:t>65-A-265 [PROGRAM] O'Hare terminal expansion: Ontario/Quebec firms prequalified on named lots; reciprocated via Chicago access to Canadian airport contracts.</w:t>
      </w:r>
    </w:p>
    <w:p>
      <w:pPr>
        <w:pStyle w:val="Normal"/>
      </w:pPr>
      <w:r>
        <w:rPr>
          <w:b w:val="false"/>
          <w:i w:val="false"/>
        </w:rPr>
        <w:t>65-A-266 [PROGRAM] LAX people-mover and terminal follow-ons: Canadian systems firms and Mexican precast suppliers eligible on capped packages.</w:t>
      </w:r>
    </w:p>
    <w:p>
      <w:pPr>
        <w:pStyle w:val="Normal"/>
      </w:pPr>
      <w:r>
        <w:rPr>
          <w:b w:val="false"/>
          <w:i w:val="false"/>
        </w:rPr>
        <w:t>65-A-267 [PROGRAM] DFW terminal F: Canadian and Mexican firms prequalified on defined packages; announced with named dollar values.</w:t>
      </w:r>
    </w:p>
    <w:p>
      <w:pPr>
        <w:pStyle w:val="Normal"/>
      </w:pPr>
      <w:r>
        <w:rPr>
          <w:b w:val="false"/>
          <w:i w:val="false"/>
        </w:rPr>
        <w:t>65-A-268 [PROGRAM] Seattle–Tacoma International expansion: BC firms eligible on named packages as reciprocal half of idea 258.</w:t>
      </w:r>
    </w:p>
    <w:p>
      <w:pPr>
        <w:pStyle w:val="Normal"/>
      </w:pPr>
      <w:r>
        <w:rPr>
          <w:b w:val="false"/>
          <w:i w:val="false"/>
        </w:rPr>
        <w:t>65-A-269 [ANCHOR] Preclearance facility expansion (new preclearance at Billy Bishop, Quebec City; new U.S. preclearance tech): Binational tender of facility and IT contracts with published reciprocal opportunity allocations.</w:t>
      </w:r>
    </w:p>
    <w:p>
      <w:pPr>
        <w:pStyle w:val="Normal"/>
      </w:pPr>
      <w:r>
        <w:rPr>
          <w:b w:val="false"/>
          <w:i w:val="false"/>
        </w:rPr>
        <w:t>65-A-270 [PROGRAM] NEXUS/Global Entry lane modernization (air + land): Trilateral procurement of biometric and lane equipment with verified supplier-origin reporting after competitive award.</w:t>
      </w:r>
    </w:p>
    <w:p>
      <w:pPr>
        <w:pStyle w:val="Normal"/>
      </w:pPr>
      <w:r>
        <w:rPr>
          <w:b w:val="false"/>
          <w:i w:val="false"/>
        </w:rPr>
        <w:t>65-A-271 [PROGRAM] Remote-tower and air-traffic modernization (NAV CANADA + FAA + SENEAM): Trilateral prequalification list for ATC-tech contracts, capped per project.</w:t>
      </w:r>
    </w:p>
    <w:p>
      <w:pPr>
        <w:pStyle w:val="Normal"/>
      </w:pPr>
      <w:r>
        <w:rPr>
          <w:b w:val="false"/>
          <w:i w:val="false"/>
        </w:rPr>
        <w:t>65-A-272 [PROGRAM] Northern and Arctic airport upgrades (Iqaluit, Yellowknife, Inuvik + Alaska airports): Binational tender with published reciprocal opportunity allocations; framed as NORAD-support infrastructure.</w:t>
      </w:r>
    </w:p>
    <w:p>
      <w:pPr>
        <w:pStyle w:val="Normal"/>
      </w:pPr>
      <w:r>
        <w:rPr>
          <w:b w:val="false"/>
          <w:i w:val="false"/>
        </w:rPr>
        <w:t>65-A-273 [DEVELOPMENT] Sustainable aviation fuel (SAF) plant corridor (Alberta, Illinois, Veracruz): One plant per country announced together with published equipment splits.</w:t>
      </w:r>
    </w:p>
    <w:p>
      <w:pPr>
        <w:pStyle w:val="Normal"/>
      </w:pPr>
      <w:r>
        <w:rPr>
          <w:b w:val="false"/>
          <w:i w:val="false"/>
        </w:rPr>
        <w:t>65-A-274 [DEVELOPMENT] Airport solar-plus-storage program (YVR, DEN, MEX): Tri-city tender with designated reciprocal opportunity scopes.</w:t>
      </w:r>
    </w:p>
    <w:p>
      <w:pPr>
        <w:pStyle w:val="Normal"/>
      </w:pPr>
      <w:r>
        <w:rPr>
          <w:b w:val="false"/>
          <w:i w:val="false"/>
        </w:rPr>
        <w:t>65-A-275 [DEVELOPMENT] Cross-border air-cargo corridor (Anchorage–Toronto–Querétaro): Named bundle of cargo-facility contracts with published trilateral splits.</w:t>
      </w:r>
    </w:p>
    <w:p>
      <w:pPr>
        <w:pStyle w:val="Normal"/>
      </w:pPr>
      <w:r>
        <w:rPr>
          <w:b w:val="false"/>
          <w:i w:val="false"/>
        </w:rPr>
        <w:t>65-A-276 [DEVELOPMENT] De-icing and winter-ops equipment procurement pool: Bulk-buy across three countries' airports with verified supplier-origin reporting after competitive award.</w:t>
      </w:r>
    </w:p>
    <w:p>
      <w:pPr>
        <w:pStyle w:val="Normal"/>
      </w:pPr>
      <w:r>
        <w:rPr>
          <w:b w:val="false"/>
          <w:i w:val="false"/>
        </w:rPr>
        <w:t>65-A-277 [DEVELOPMENT] Airport fire-rescue vehicle procurement pool: Same pooled structure, verified supplier-origin reporting after competitive award per country.</w:t>
      </w:r>
    </w:p>
    <w:p>
      <w:pPr>
        <w:pStyle w:val="Normal"/>
      </w:pPr>
      <w:r>
        <w:rPr>
          <w:b w:val="false"/>
          <w:i w:val="false"/>
        </w:rPr>
        <w:t>65-A-278 [DEVELOPMENT] Terminal baggage-system modernization corridor (Toronto, Chicago, Mexico City): Tri-city tender with designated reciprocal opportunity scopes.</w:t>
      </w:r>
    </w:p>
    <w:p>
      <w:pPr>
        <w:pStyle w:val="Normal"/>
      </w:pPr>
      <w:r>
        <w:rPr>
          <w:b w:val="false"/>
          <w:i w:val="false"/>
        </w:rPr>
        <w:t>65-A-279 [DEVELOPMENT] Runway-resurfacing framework at paired airports (Windsor–Detroit, Ottawa–Syracuse, Tijuana–San Diego CBX): Binational packages with published reciprocal opportunity allocations.</w:t>
      </w:r>
    </w:p>
    <w:p>
      <w:pPr>
        <w:pStyle w:val="Normal"/>
      </w:pPr>
      <w:r>
        <w:rPr>
          <w:b w:val="false"/>
          <w:i w:val="false"/>
        </w:rPr>
        <w:t>65-A-280 [DEVELOPMENT] Trilateral aviation-training campus network: Named bundle of simulator and facility contracts, one per country, each tendered trilaterally.</w:t>
      </w:r>
    </w:p>
    <w:p>
      <w:pPr>
        <w:pStyle w:val="Normal"/>
      </w:pPr>
      <w:r>
        <w:rPr>
          <w:b w:val="false"/>
          <w:i w:val="false"/>
        </w:rPr>
        <w:t>65-A-281 [DEVELOPMENT] NORAD modernization northern radar chain: Named package: Canadian Arctic-site civil works opened to Alaskan contractors; U.S. radar-integration contracts opened to Canadian firms, dollar figures published.</w:t>
      </w:r>
    </w:p>
    <w:p>
      <w:pPr>
        <w:pStyle w:val="Normal"/>
      </w:pPr>
      <w:r>
        <w:rPr>
          <w:b w:val="false"/>
          <w:i w:val="false"/>
        </w:rPr>
        <w:t>65-A-282 [DEVELOPMENT] Arctic Over-the-Horizon Radar (A-OTHR) sites: Binational tender of site-civil and power contracts with published reciprocal opportunity allocations.</w:t>
      </w:r>
    </w:p>
    <w:p>
      <w:pPr>
        <w:pStyle w:val="Normal"/>
      </w:pPr>
      <w:r>
        <w:rPr>
          <w:b w:val="false"/>
          <w:i w:val="false"/>
        </w:rPr>
        <w:t>65-A-283 [DEVELOPMENT] Northern Warning System replacement: Reciprocal prequalification of both countries' firms on named site packages; Mexican firms eligible on non-sensitive logistics packages.</w:t>
      </w:r>
    </w:p>
    <w:p>
      <w:pPr>
        <w:pStyle w:val="Normal"/>
      </w:pPr>
      <w:r>
        <w:rPr>
          <w:b w:val="false"/>
          <w:i w:val="false"/>
        </w:rPr>
        <w:t>65-A-284 [DEVELOPMENT] Polar icebreaker construction cooperation: Canadian yards (Davie/Seaspan-type) named for defined workshare on U.S. Polar Security Cutter modules; U.S. yards reciprocate on Canadian polar-class work.</w:t>
      </w:r>
    </w:p>
    <w:p>
      <w:pPr>
        <w:pStyle w:val="Normal"/>
      </w:pPr>
      <w:r>
        <w:rPr>
          <w:b w:val="false"/>
          <w:i w:val="false"/>
        </w:rPr>
        <w:t>65-A-285 [DEVELOPMENT] Great Lakes Coast Guard station renewal (both countries): Binational tender with published reciprocal opportunity allocations on named stations.</w:t>
      </w:r>
    </w:p>
    <w:p>
      <w:pPr>
        <w:pStyle w:val="Normal"/>
      </w:pPr>
      <w:r>
        <w:rPr>
          <w:b w:val="false"/>
          <w:i w:val="false"/>
        </w:rPr>
        <w:t>65-A-286 [DEVELOPMENT] Border surveillance tower program (U.S. southern + northern borders): Canadian sensor integrators eligible on northern-tier packages; Mexican firms on logistics and civil lots of southern-tier packages, all capped and named.</w:t>
      </w:r>
    </w:p>
    <w:p>
      <w:pPr>
        <w:pStyle w:val="Normal"/>
      </w:pPr>
      <w:r>
        <w:rPr>
          <w:b w:val="false"/>
          <w:i w:val="false"/>
        </w:rPr>
        <w:t>65-A-287 [DEVELOPMENT] Trilateral counter-drone infrastructure at critical sites: Named bundle of detection-system contracts with published reciprocal opportunity allocations.</w:t>
      </w:r>
    </w:p>
    <w:p>
      <w:pPr>
        <w:pStyle w:val="Normal"/>
      </w:pPr>
      <w:r>
        <w:rPr>
          <w:b w:val="false"/>
          <w:i w:val="false"/>
        </w:rPr>
        <w:t>65-A-288 [DEVELOPMENT] CFB Goose Bay and 5 Wing infrastructure renewal: U.S. contractors prequalified on defined lots; reciprocated via Canadian access to a named U.S. northern-base program.</w:t>
      </w:r>
    </w:p>
    <w:p>
      <w:pPr>
        <w:pStyle w:val="Normal"/>
      </w:pPr>
      <w:r>
        <w:rPr>
          <w:b w:val="false"/>
          <w:i w:val="false"/>
        </w:rPr>
        <w:t>65-A-289 [DEVELOPMENT] Alaska radar-site support infrastructure: Yukon/BC firms eligible on named packages as reciprocal half of idea 288.</w:t>
      </w:r>
    </w:p>
    <w:p>
      <w:pPr>
        <w:pStyle w:val="Normal"/>
      </w:pPr>
      <w:r>
        <w:rPr>
          <w:b w:val="false"/>
          <w:i w:val="false"/>
        </w:rPr>
        <w:t>65-A-290 [DEVELOPMENT] Trilateral military-port upgrade (Esquimalt, San Diego, Manzanillo): Named bundle of wharf and fueling contracts with published reciprocal opportunity allocations.</w:t>
      </w:r>
    </w:p>
    <w:p>
      <w:pPr>
        <w:pStyle w:val="Normal"/>
      </w:pPr>
      <w:r>
        <w:rPr>
          <w:b w:val="false"/>
          <w:i w:val="false"/>
        </w:rPr>
        <w:t>65-A-291 [DEVELOPMENT] Munitions and energetics plant corridor (Quebec, U.S. Midwest, Mexico): Feasibility-stage contracts opened trilaterally; construction splits pre-committed, subject to security review.</w:t>
      </w:r>
    </w:p>
    <w:p>
      <w:pPr>
        <w:pStyle w:val="Normal"/>
      </w:pPr>
      <w:r>
        <w:rPr>
          <w:b w:val="false"/>
          <w:i w:val="false"/>
        </w:rPr>
        <w:t>65-A-292 [DEVELOPMENT] Trilateral satellite-launch and spaceport services (Nova Scotia, Alaska, Baja concept): Named bundle of range-infrastructure contracts with published reciprocal opportunity allocations.</w:t>
      </w:r>
    </w:p>
    <w:p>
      <w:pPr>
        <w:pStyle w:val="Normal"/>
      </w:pPr>
      <w:r>
        <w:rPr>
          <w:b w:val="false"/>
          <w:i w:val="false"/>
        </w:rPr>
        <w:t>65-A-293 [DEVELOPMENT] Cyber-range facilities (Ottawa, San Antonio, Mexico City): Tri-city tender of facility contracts with designated reciprocal opportunity scopes.</w:t>
      </w:r>
    </w:p>
    <w:p>
      <w:pPr>
        <w:pStyle w:val="Normal"/>
      </w:pPr>
      <w:r>
        <w:rPr>
          <w:b w:val="false"/>
          <w:i w:val="false"/>
        </w:rPr>
        <w:t>65-A-294 [DEVELOPMENT] Emergency-management logistics hubs (Winnipeg, Kansas City, Monterrey): Tri-hub tender of warehouse and systems contracts with published trilateral splits; dual-use civilian/military trophy.</w:t>
      </w:r>
    </w:p>
    <w:p>
      <w:pPr>
        <w:pStyle w:val="Normal"/>
      </w:pPr>
      <w:r>
        <w:rPr>
          <w:b w:val="false"/>
          <w:i w:val="false"/>
        </w:rPr>
        <w:t>65-A-295 [DEVELOPMENT] Trilateral wildfire-airtanker base upgrades (BC/Alberta, California, Baja): Named bundle of base-infrastructure contracts with published reciprocal opportunity allocations.</w:t>
      </w:r>
    </w:p>
    <w:p>
      <w:pPr>
        <w:pStyle w:val="Normal"/>
      </w:pPr>
      <w:r>
        <w:rPr>
          <w:b w:val="false"/>
          <w:i w:val="false"/>
        </w:rPr>
        <w:t>65-A-296 [DEVELOPMENT] Coast Guard vessel-traffic systems (St. Lawrence, Gulf, Pacific Mexico): Trilateral procurement with named equipment shares.</w:t>
      </w:r>
    </w:p>
    <w:p>
      <w:pPr>
        <w:pStyle w:val="Normal"/>
      </w:pPr>
      <w:r>
        <w:rPr>
          <w:b w:val="false"/>
          <w:i w:val="false"/>
        </w:rPr>
        <w:t>65-A-297 [DEVELOPMENT] Search-and-rescue station network (Arctic + Pacific + Gulf): Named bundle of station contracts, splits published per country.</w:t>
      </w:r>
    </w:p>
    <w:p>
      <w:pPr>
        <w:pStyle w:val="Normal"/>
      </w:pPr>
      <w:r>
        <w:rPr>
          <w:b w:val="false"/>
          <w:i w:val="false"/>
        </w:rPr>
        <w:t>65-A-298 [DEVELOPMENT] Secure cross-border defense-logistics corridor (Windsor–Detroit): Binational tender of inspection and secure-yard contracts with published reciprocal opportunity allocations.</w:t>
      </w:r>
    </w:p>
    <w:p>
      <w:pPr>
        <w:pStyle w:val="Normal"/>
      </w:pPr>
      <w:r>
        <w:rPr>
          <w:b w:val="false"/>
          <w:i w:val="false"/>
        </w:rPr>
        <w:t>65-A-299 [DEVELOPMENT] Trilateral submarine-cable protection monitoring: Joint procurement of monitoring systems with designated reciprocal opportunity scopes per country.</w:t>
      </w:r>
    </w:p>
    <w:p>
      <w:pPr>
        <w:pStyle w:val="Normal"/>
      </w:pPr>
      <w:r>
        <w:rPr>
          <w:b w:val="false"/>
          <w:i w:val="false"/>
        </w:rPr>
        <w:t>65-A-300 [DEVELOPMENT] Northern fuel-depot network (Canada's North + Alaska): Binational tender of depot contracts with published reciprocal opportunity allocations.</w:t>
      </w:r>
    </w:p>
    <w:p>
      <w:pPr>
        <w:pStyle w:val="Normal"/>
      </w:pPr>
      <w:r>
        <w:rPr>
          <w:b w:val="false"/>
          <w:i w:val="false"/>
        </w:rPr>
        <w:t>65-A-301 [DEVELOPMENT] Trilateral defense-innovation campus (Waterloo, Austin, Guadalajara): Named bundle of lab-construction contracts, one per country, each open trilaterally.</w:t>
      </w:r>
    </w:p>
    <w:p>
      <w:pPr>
        <w:pStyle w:val="Normal"/>
      </w:pPr>
      <w:r>
        <w:rPr>
          <w:b w:val="false"/>
          <w:i w:val="false"/>
        </w:rPr>
        <w:t>65-A-302 [DEVELOPMENT] Port-security radiation-detection upgrade (Vancouver, LA/LB, Manzanillo): Joint procurement with verified supplier-origin reporting after competitive award.</w:t>
      </w:r>
    </w:p>
    <w:p>
      <w:pPr>
        <w:pStyle w:val="Normal"/>
      </w:pPr>
      <w:r>
        <w:rPr>
          <w:b w:val="false"/>
          <w:i w:val="false"/>
        </w:rPr>
        <w:t>65-A-303 [DEVELOPMENT] Binational Great Lakes maritime-domain-awareness system: Joint tender with published reciprocal opportunity allocations.</w:t>
      </w:r>
    </w:p>
    <w:p>
      <w:pPr>
        <w:pStyle w:val="Normal"/>
      </w:pPr>
      <w:r>
        <w:rPr>
          <w:b w:val="false"/>
          <w:i w:val="false"/>
        </w:rPr>
        <w:t>65-A-304 [DEVELOPMENT] Trilateral military airfield pavement program: Named bundle of runway contracts at designated dual-use fields, splits published.</w:t>
      </w:r>
    </w:p>
    <w:p>
      <w:pPr>
        <w:pStyle w:val="Normal"/>
      </w:pPr>
      <w:r>
        <w:rPr>
          <w:b w:val="false"/>
          <w:i w:val="false"/>
        </w:rPr>
        <w:t>65-A-305 [DEVELOPMENT] Arctic deep-water port studies (Churchill, Nome, Tuktoyaktuk): Pre-engineering contracts opened bilaterally/trilaterally, capped and named, positioning for construction-stage trophies.</w:t>
      </w:r>
    </w:p>
    <w:p>
      <w:pPr>
        <w:pStyle w:val="Normal"/>
      </w:pPr>
      <w:r>
        <w:rPr>
          <w:b w:val="false"/>
          <w:i w:val="false"/>
        </w:rPr>
        <w:t>65-A-306 [DEVELOPMENT] Darlington SMR + U.S. SMR deployments (TVA, others): Named package: U.S. component suppliers prequalified on defined Ontario SMR lots; Canadian SMR supply-chain firms reciprocally prequalified on named U.S. SMR projects, dollar figures published.</w:t>
      </w:r>
    </w:p>
    <w:p>
      <w:pPr>
        <w:pStyle w:val="Normal"/>
      </w:pPr>
      <w:r>
        <w:rPr>
          <w:b w:val="false"/>
          <w:i w:val="false"/>
        </w:rPr>
        <w:t>65-A-307 [DEVELOPMENT] Bruce Power life-extension follow-ons: U.S. and Mexican component suppliers eligible on capped packages.</w:t>
      </w:r>
    </w:p>
    <w:p>
      <w:pPr>
        <w:pStyle w:val="Normal"/>
      </w:pPr>
      <w:r>
        <w:rPr>
          <w:b w:val="false"/>
          <w:i w:val="false"/>
        </w:rPr>
        <w:t>65-A-308 [DEVELOPMENT] Pickering refurbishment: U.S. engineering firms prequalified on named lots; reciprocated via Ontario access to U.S. reactor-uprate contracts.</w:t>
      </w:r>
    </w:p>
    <w:p>
      <w:pPr>
        <w:pStyle w:val="Normal"/>
      </w:pPr>
      <w:r>
        <w:rPr>
          <w:b w:val="false"/>
          <w:i w:val="false"/>
        </w:rPr>
        <w:t>65-A-309 [DEVELOPMENT] Point Lepreau life-extension study and works: U.S. suppliers eligible on defined packages.</w:t>
      </w:r>
    </w:p>
    <w:p>
      <w:pPr>
        <w:pStyle w:val="Normal"/>
      </w:pPr>
      <w:r>
        <w:rPr>
          <w:b w:val="false"/>
          <w:i w:val="false"/>
        </w:rPr>
        <w:t>65-A-310 [DEVELOPMENT] Laguna Verde life extension (Mexico): Canadian and U.S. nuclear-services firms prequalified on named packages; reciprocated via Mexican access to North American nuclear-supply contracts.</w:t>
      </w:r>
    </w:p>
    <w:p>
      <w:pPr>
        <w:pStyle w:val="Normal"/>
      </w:pPr>
      <w:r>
        <w:rPr>
          <w:b w:val="false"/>
          <w:i w:val="false"/>
        </w:rPr>
        <w:t>65-A-311 [DEVELOPMENT] Palo Verde uprates (Arizona): Canadian CANDU-adjacent engineering firms eligible on defined lots.</w:t>
      </w:r>
    </w:p>
    <w:p>
      <w:pPr>
        <w:pStyle w:val="Normal"/>
      </w:pPr>
      <w:r>
        <w:rPr>
          <w:b w:val="false"/>
          <w:i w:val="false"/>
        </w:rPr>
        <w:t>65-A-312 [DEVELOPMENT] Small-modular-reactor for remote mines (Ontario Ring of Fire, Alaska, Sonora): Tri-project feasibility bundle with published trilateral splits.</w:t>
      </w:r>
    </w:p>
    <w:p>
      <w:pPr>
        <w:pStyle w:val="Normal"/>
      </w:pPr>
      <w:r>
        <w:rPr>
          <w:b w:val="false"/>
          <w:i w:val="false"/>
        </w:rPr>
        <w:t>65-A-313 [DEVELOPMENT] Site C follow-on transmission and balancing works (BC): U.S. contractors eligible on capped packages.</w:t>
      </w:r>
    </w:p>
    <w:p>
      <w:pPr>
        <w:pStyle w:val="Normal"/>
      </w:pPr>
      <w:r>
        <w:rPr>
          <w:b w:val="false"/>
          <w:i w:val="false"/>
        </w:rPr>
        <w:t>65-A-314 [DEVELOPMENT] Gull Island / Lower Churchill development (Newfoundland &amp; Labrador): U.S. and Mexican civil contractors prequalified on named lots; announced with contract values per country.</w:t>
      </w:r>
    </w:p>
    <w:p>
      <w:pPr>
        <w:pStyle w:val="Normal"/>
      </w:pPr>
      <w:r>
        <w:rPr>
          <w:b w:val="false"/>
          <w:i w:val="false"/>
        </w:rPr>
        <w:t>65-A-315 [DEVELOPMENT] Muskrat Falls completion and Churchill Falls MOU works: U.S. firms eligible on defined packages; reciprocated via NL access to New England hydro-import contracts.</w:t>
      </w:r>
    </w:p>
    <w:p>
      <w:pPr>
        <w:pStyle w:val="Normal"/>
      </w:pPr>
      <w:r>
        <w:rPr>
          <w:b w:val="false"/>
          <w:i w:val="false"/>
        </w:rPr>
        <w:t>65-A-316 [DEVELOPMENT] Keeyask follow-on hydro (Manitoba): U.S. turbine suppliers eligible on named packages.</w:t>
      </w:r>
    </w:p>
    <w:p>
      <w:pPr>
        <w:pStyle w:val="Normal"/>
      </w:pPr>
      <w:r>
        <w:rPr>
          <w:b w:val="false"/>
          <w:i w:val="false"/>
        </w:rPr>
        <w:t>65-A-317 [DEVELOPMENT] Quebec Romaine-complex completion and wind pairing: U.S. and Mexican suppliers prequalified on defined lots.</w:t>
      </w:r>
    </w:p>
    <w:p>
      <w:pPr>
        <w:pStyle w:val="Normal"/>
      </w:pPr>
      <w:r>
        <w:rPr>
          <w:b w:val="false"/>
          <w:i w:val="false"/>
        </w:rPr>
        <w:t>65-A-318 [DEVELOPMENT] Atlantic Canada offshore wind (Nova Scotia/Newfoundland): U.S. marine contractors and Mexican fabrication yards eligible on named packages; reciprocated via Canadian access to U.S. East Coast offshore-wind contracts.</w:t>
      </w:r>
    </w:p>
    <w:p>
      <w:pPr>
        <w:pStyle w:val="Normal"/>
      </w:pPr>
      <w:r>
        <w:rPr>
          <w:b w:val="false"/>
          <w:i w:val="false"/>
        </w:rPr>
        <w:t>65-A-319 [DEVELOPMENT] Gulf of Maine floating offshore wind: Canadian marine-civil and cable firms prequalified as the reciprocal half of idea 318.</w:t>
      </w:r>
    </w:p>
    <w:p>
      <w:pPr>
        <w:pStyle w:val="Normal"/>
      </w:pPr>
      <w:r>
        <w:rPr>
          <w:b w:val="false"/>
          <w:i w:val="false"/>
        </w:rPr>
        <w:t>65-A-320 [DEVELOPMENT] Pacific offshore wind (California/Oregon): BC and Quebec marine firms eligible on defined packages.</w:t>
      </w:r>
    </w:p>
    <w:p>
      <w:pPr>
        <w:pStyle w:val="Normal"/>
      </w:pPr>
      <w:r>
        <w:rPr>
          <w:b w:val="false"/>
          <w:i w:val="false"/>
        </w:rPr>
        <w:t>65-A-321 [DEVELOPMENT] Plan Sonora solar megaproject (Mexico): Canadian and U.S. EPC and inverter suppliers prequalified on named lots; announced with dollar figures per country.</w:t>
      </w:r>
    </w:p>
    <w:p>
      <w:pPr>
        <w:pStyle w:val="Normal"/>
      </w:pPr>
      <w:r>
        <w:rPr>
          <w:b w:val="false"/>
          <w:i w:val="false"/>
        </w:rPr>
        <w:t>65-A-322 [DEVELOPMENT] Arizona/New Mexico solar-plus-storage corridor: Mexican module-assembly and Canadian inverter plants eligible on capped shares; reciprocated via U.S. access to Canadian solar contracts.</w:t>
      </w:r>
    </w:p>
    <w:p>
      <w:pPr>
        <w:pStyle w:val="Normal"/>
      </w:pPr>
      <w:r>
        <w:rPr>
          <w:b w:val="false"/>
          <w:i w:val="false"/>
        </w:rPr>
        <w:t>65-A-323 [DEVELOPMENT] Alberta solar-and-wind boom procurement: U.S. and Mexican component suppliers eligible on named packages.</w:t>
      </w:r>
    </w:p>
    <w:p>
      <w:pPr>
        <w:pStyle w:val="Normal"/>
      </w:pPr>
      <w:r>
        <w:rPr>
          <w:b w:val="false"/>
          <w:i w:val="false"/>
        </w:rPr>
        <w:t>65-A-324 [DEVELOPMENT] Saskatchewan geothermal pilot corridor: U.S. drilling-services firms prequalified on defined lots.</w:t>
      </w:r>
    </w:p>
    <w:p>
      <w:pPr>
        <w:pStyle w:val="Normal"/>
      </w:pPr>
      <w:r>
        <w:rPr>
          <w:b w:val="false"/>
          <w:i w:val="false"/>
        </w:rPr>
        <w:t>65-A-325 [DEVELOPMENT] Salton Sea lithium-geothermal ("Lithium Valley"): Canadian processing-tech and Mexican drilling-services firms eligible on named packages.</w:t>
      </w:r>
    </w:p>
    <w:p>
      <w:pPr>
        <w:pStyle w:val="Normal"/>
      </w:pPr>
      <w:r>
        <w:rPr>
          <w:b w:val="false"/>
          <w:i w:val="false"/>
        </w:rPr>
        <w:t>65-A-326 [DEVELOPMENT] Nevada geothermal expansion: Alberta drilling-services firms eligible as reciprocal half of idea 325.</w:t>
      </w:r>
    </w:p>
    <w:p>
      <w:pPr>
        <w:pStyle w:val="Normal"/>
      </w:pPr>
      <w:r>
        <w:rPr>
          <w:b w:val="false"/>
          <w:i w:val="false"/>
        </w:rPr>
        <w:t>65-A-327 [DEVELOPMENT] Trilateral pumped-storage program (Ontario, Appalachia, Baja): Named bundle of feasibility and construction contracts with published reciprocal opportunity allocations.</w:t>
      </w:r>
    </w:p>
    <w:p>
      <w:pPr>
        <w:pStyle w:val="Normal"/>
      </w:pPr>
      <w:r>
        <w:rPr>
          <w:b w:val="false"/>
          <w:i w:val="false"/>
        </w:rPr>
        <w:t>65-A-328 [DEVELOPMENT] Quebec wind-cluster expansion (Gaspésie): U.S. and Mexican tower and blade suppliers eligible on capped packages.</w:t>
      </w:r>
    </w:p>
    <w:p>
      <w:pPr>
        <w:pStyle w:val="Normal"/>
      </w:pPr>
      <w:r>
        <w:rPr>
          <w:b w:val="false"/>
          <w:i w:val="false"/>
        </w:rPr>
        <w:t>65-A-329 [DEVELOPMENT] Iowa/Texas wind repowering corridor: Quebec/Ontario component plants eligible on named packages as the reciprocal half of idea 328.</w:t>
      </w:r>
    </w:p>
    <w:p>
      <w:pPr>
        <w:pStyle w:val="Normal"/>
      </w:pPr>
      <w:r>
        <w:rPr>
          <w:b w:val="false"/>
          <w:i w:val="false"/>
        </w:rPr>
        <w:t>65-A-330 [DEVELOPMENT] Isthmus of Tehuantepec wind repowering (Oaxaca): Canadian and U.S. turbine-component suppliers prequalified on defined lots.</w:t>
      </w:r>
    </w:p>
    <w:p>
      <w:pPr>
        <w:pStyle w:val="Normal"/>
      </w:pPr>
      <w:r>
        <w:rPr>
          <w:b w:val="false"/>
          <w:i w:val="false"/>
        </w:rPr>
        <w:t>65-A-331 [DEVELOPMENT] Trilateral green-hydrogen electrolysis gigafactories: One plant per country announced together with published equipment splits.</w:t>
      </w:r>
    </w:p>
    <w:p>
      <w:pPr>
        <w:pStyle w:val="Normal"/>
      </w:pPr>
      <w:r>
        <w:rPr>
          <w:b w:val="false"/>
          <w:i w:val="false"/>
        </w:rPr>
        <w:t>65-A-332 [DEVELOPMENT] Tidal energy pilots (Bay of Fundy + Alaska + Baja): Named bundle of demonstration contracts, splits published.</w:t>
      </w:r>
    </w:p>
    <w:p>
      <w:pPr>
        <w:pStyle w:val="Normal"/>
      </w:pPr>
      <w:r>
        <w:rPr>
          <w:b w:val="false"/>
          <w:i w:val="false"/>
        </w:rPr>
        <w:t>65-A-333 [DEVELOPMENT] Grid-forming battery mega-projects (Ontario, Texas, Baja): Tri-project tender with named national splits.</w:t>
      </w:r>
    </w:p>
    <w:p>
      <w:pPr>
        <w:pStyle w:val="Normal"/>
      </w:pPr>
      <w:r>
        <w:rPr>
          <w:b w:val="false"/>
          <w:i w:val="false"/>
        </w:rPr>
        <w:t>65-A-334 [DEVELOPMENT] Biomass-to-energy corridor (Northern Ontario + U.S. Southeast + Yucatán): Named bundle of plant contracts with published reciprocal opportunity allocations.</w:t>
      </w:r>
    </w:p>
    <w:p>
      <w:pPr>
        <w:pStyle w:val="Normal"/>
      </w:pPr>
      <w:r>
        <w:rPr>
          <w:b w:val="false"/>
          <w:i w:val="false"/>
        </w:rPr>
        <w:t>65-A-335 [DEVELOPMENT] Trilateral clean-energy permitting "one-window" pilots: Feasibility contracts for joint environmental-assessment tools, one per country, opened trilaterally.</w:t>
      </w:r>
    </w:p>
    <w:p>
      <w:pPr>
        <w:pStyle w:val="Normal"/>
      </w:pPr>
      <w:r>
        <w:rPr>
          <w:b w:val="false"/>
          <w:i w:val="false"/>
        </w:rPr>
        <w:t>65-A-336 [DEVELOPMENT] Windsor-Detroit Trade Corridor Operations, Resilience and Follow-On Infrastructure Program: future ITS, inspection, maintenance, logistics, approach-road and resilience procurements may be designated after verification of remaining lawful procurement.</w:t>
      </w:r>
    </w:p>
    <w:p>
      <w:pPr>
        <w:pStyle w:val="Normal"/>
      </w:pPr>
      <w:r>
        <w:rPr>
          <w:b w:val="false"/>
          <w:i w:val="false"/>
        </w:rPr>
        <w:t>65-A-337 [DEVELOPMENT] North American Transformer Replacement and Grid-Spare Program: recurring reciprocal procurement of large power transformers, mobile transformers, bushings, switchgear and associated grid-spare equipment.</w:t>
      </w:r>
    </w:p>
    <w:p>
      <w:pPr>
        <w:pStyle w:val="Normal"/>
      </w:pPr>
      <w:r>
        <w:rPr>
          <w:b w:val="false"/>
          <w:i w:val="false"/>
        </w:rPr>
        <w:t>65-A-338 [DEVELOPMENT] Essential Medicines Sterile-Manufacturing Equipment Program: reciprocal access for qualifying clean-room, aseptic filling, lyophilization, vial, stopper, inspection and packaging procurements linked to Chapter 63.</w:t>
      </w:r>
    </w:p>
    <w:p>
      <w:pPr>
        <w:pStyle w:val="Normal"/>
      </w:pPr>
      <w:r>
        <w:rPr>
          <w:b w:val="false"/>
          <w:i w:val="false"/>
        </w:rPr>
        <w:t>65-A-339 [DEVELOPMENT] API and KSM Manufacturing Equipment Program: qualifying reactors, filtration, drying, containment, quality-control and process-control equipment for North American active-ingredient and key-starting-material capacity.</w:t>
      </w:r>
    </w:p>
    <w:p>
      <w:pPr>
        <w:pStyle w:val="Normal"/>
      </w:pPr>
      <w:r>
        <w:rPr>
          <w:b w:val="false"/>
          <w:i w:val="false"/>
        </w:rPr>
        <w:t>65-A-340 [DEVELOPMENT] Medical Isotope and Radiopharmaceutical Infrastructure Program: qualifying cyclotron, targetry, processing, shielding, hot-cell, generator and logistics infrastructure subject to nuclear and health regulation.</w:t>
      </w:r>
    </w:p>
    <w:p>
      <w:pPr>
        <w:pStyle w:val="Normal"/>
      </w:pPr>
      <w:r>
        <w:rPr>
          <w:b w:val="false"/>
          <w:i w:val="false"/>
        </w:rPr>
        <w:t>65-A-341 [DEVELOPMENT] Pharmaceutical Cold-Chain Infrastructure Program: validated refrigeration, monitoring, packaging, warehousing and transport systems supporting medicines resilience and emergency distribution.</w:t>
      </w:r>
    </w:p>
    <w:p>
      <w:pPr>
        <w:pStyle w:val="Normal"/>
      </w:pPr>
      <w:r>
        <w:rPr>
          <w:b w:val="false"/>
          <w:i w:val="false"/>
        </w:rPr>
        <w:t>65-A-342 [DEVELOPMENT] Continental Wildfire Airtanker Base Modernization Program: reciprocal civil, fueling, retardant-loading, maintenance, communications and emergency-support procurements at designated wildfire aviation bases.</w:t>
      </w:r>
    </w:p>
    <w:p>
      <w:pPr>
        <w:pStyle w:val="Normal"/>
      </w:pPr>
      <w:r>
        <w:rPr>
          <w:b w:val="false"/>
          <w:i w:val="false"/>
        </w:rPr>
        <w:t>65-A-343 [DEVELOPMENT] North American Search-and-Rescue Station Modernization Program: qualifying hangars, communications, medical, navigation, training and logistics infrastructure for designated SAR facilities.</w:t>
      </w:r>
    </w:p>
    <w:p>
      <w:pPr>
        <w:pStyle w:val="Normal"/>
      </w:pPr>
      <w:r>
        <w:rPr>
          <w:b w:val="false"/>
          <w:i w:val="false"/>
        </w:rPr>
        <w:t>65-A-344 [DEVELOPMENT] Great Lakes Drinking-Water Treatment Modernization Program: reciprocal equipment and engineering opportunities for filtration, disinfection, lead-service replacement support and treatment resilience.</w:t>
      </w:r>
    </w:p>
    <w:p>
      <w:pPr>
        <w:pStyle w:val="Normal"/>
      </w:pPr>
      <w:r>
        <w:rPr>
          <w:b w:val="false"/>
          <w:i w:val="false"/>
        </w:rPr>
        <w:t>65-A-345 [DEVELOPMENT] Red River and Northern Plains Flood-Resilience Program: pumps, gates, monitoring, diversion-support works and emergency infrastructure in voluntarily participating jurisdictions.</w:t>
      </w:r>
    </w:p>
    <w:p>
      <w:pPr>
        <w:pStyle w:val="Normal"/>
      </w:pPr>
      <w:r>
        <w:rPr>
          <w:b w:val="false"/>
          <w:i w:val="false"/>
        </w:rPr>
        <w:t>65-A-346 [DEVELOPMENT] Rio Grande Water Efficiency and Resilience Program: verified binational opportunities in conveyance, metering, reuse, treatment, leakage reduction and drought-resilience infrastructure.</w:t>
      </w:r>
    </w:p>
    <w:p>
      <w:pPr>
        <w:pStyle w:val="Normal"/>
      </w:pPr>
      <w:r>
        <w:rPr>
          <w:b w:val="false"/>
          <w:i w:val="false"/>
        </w:rPr>
        <w:t>65-A-347 [DEVELOPMENT] Airport Deicing and Winter-Operations Equipment Program: recurring reciprocal procurement of deicing vehicles, fluid systems, snow-removal equipment, sensors and winter-operations technology.</w:t>
      </w:r>
    </w:p>
    <w:p>
      <w:pPr>
        <w:pStyle w:val="Normal"/>
      </w:pPr>
      <w:r>
        <w:rPr>
          <w:b w:val="false"/>
          <w:i w:val="false"/>
        </w:rPr>
        <w:t>65-A-348 [DEVELOPMENT] Airport Fire-Rescue and Emergency Vehicle Program: competitive reciprocal access for qualifying aircraft-rescue firefighting vehicles, communications, protective systems and support equipment.</w:t>
      </w:r>
    </w:p>
    <w:p>
      <w:pPr>
        <w:pStyle w:val="Normal"/>
      </w:pPr>
      <w:r>
        <w:rPr>
          <w:b w:val="false"/>
          <w:i w:val="false"/>
        </w:rPr>
        <w:t>65-A-349 [DEVELOPMENT] Pipeline Integrity and Leak-Detection Retrofit Program: inspection, sensors, valves, control systems, corrosion protection and safety equipment for designated existing energy corridors.</w:t>
      </w:r>
    </w:p>
    <w:p>
      <w:pPr>
        <w:pStyle w:val="Normal"/>
      </w:pPr>
      <w:r>
        <w:rPr>
          <w:b w:val="false"/>
          <w:i w:val="false"/>
        </w:rPr>
        <w:t>65-A-350 [DEVELOPMENT] Advanced Industrial Robotics and Factory-Automation Program: reciprocal access to qualifying robotics, machine vision, controls, safety systems and integration procurements in designated industrial projects.</w:t>
      </w:r>
    </w:p>
    <w:p>
      <w:pPr>
        <w:pStyle w:val="Normal"/>
      </w:pPr>
      <w:r>
        <w:rPr>
          <w:b w:val="false"/>
          <w:i w:val="false"/>
        </w:rPr>
        <w:t>65-A-351 [DEVELOPMENT] Critical-Mineral Processing Equipment Program: crushers, sorters, separators, furnaces, hydrometallurgical systems, water treatment and environmental controls linked to Chapter 37 projects.</w:t>
      </w:r>
    </w:p>
    <w:p>
      <w:pPr>
        <w:pStyle w:val="Normal"/>
      </w:pPr>
      <w:r>
        <w:rPr>
          <w:b w:val="false"/>
          <w:i w:val="false"/>
        </w:rPr>
        <w:t>65-A-352 [DEVELOPMENT] Battery Recycling and Materials-Recovery Equipment Program: shredding, separation, hydrometallurgy, refining, fire-safety and material-handling equipment for designated recycling capacity.</w:t>
      </w:r>
    </w:p>
    <w:p>
      <w:pPr>
        <w:pStyle w:val="Normal"/>
      </w:pPr>
      <w:r>
        <w:rPr>
          <w:b w:val="false"/>
          <w:i w:val="false"/>
        </w:rPr>
        <w:t>65-A-353 [DEVELOPMENT] Semiconductor Packaging, Testing and Advanced-Electronics Equipment Program: qualifying assembly, packaging, test, metrology, clean-room and reliability infrastructure.</w:t>
      </w:r>
    </w:p>
    <w:p>
      <w:pPr>
        <w:pStyle w:val="Normal"/>
      </w:pPr>
      <w:r>
        <w:rPr>
          <w:b w:val="false"/>
          <w:i w:val="false"/>
        </w:rPr>
        <w:t>65-A-354 [DEVELOPMENT] AI and Data-Centre Power, Cooling and Resilience Program: qualifying transformers, switchgear, cooling, backup power, water-efficiency and grid-interconnection equipment for designated projects.</w:t>
      </w:r>
    </w:p>
    <w:p>
      <w:pPr>
        <w:pStyle w:val="Normal"/>
      </w:pPr>
      <w:r>
        <w:rPr>
          <w:b w:val="false"/>
          <w:i w:val="false"/>
        </w:rPr>
        <w:t>65-A-355 [DEVELOPMENT] Arctic and Remote Microgrid Modernization Program: modular generation, storage, controls, heat recovery and resilient communications for voluntarily participating northern communities and facilities.</w:t>
      </w:r>
    </w:p>
    <w:p>
      <w:pPr>
        <w:pStyle w:val="Normal"/>
      </w:pPr>
      <w:r>
        <w:rPr>
          <w:b w:val="false"/>
          <w:i w:val="false"/>
        </w:rPr>
        <w:t>65-A-356 [DEVELOPMENT] North American Industrial Water-Reuse Equipment Program: treatment, recycling, cooling-water optimization and zero/low-liquid-discharge equipment for designated manufacturing projects.</w:t>
      </w:r>
    </w:p>
    <w:p>
      <w:pPr>
        <w:pStyle w:val="Normal"/>
      </w:pPr>
      <w:r>
        <w:rPr>
          <w:b w:val="false"/>
          <w:i w:val="false"/>
        </w:rPr>
        <w:t>65-A-357 [DEVELOPMENT] North American Grain and Agri-Food Cold-Chain Modernization Program: elevators, refrigeration, monitoring, rail interfaces, warehouse automation and food-safety equipment.</w:t>
      </w:r>
    </w:p>
    <w:p>
      <w:pPr>
        <w:pStyle w:val="Normal"/>
      </w:pPr>
      <w:r>
        <w:rPr>
          <w:b w:val="false"/>
          <w:i w:val="false"/>
        </w:rPr>
        <w:t>65-A-358 [DEVELOPMENT] North American Port Shore-Power and Terminal Electrification Program: substations, cables, charging, controls and electric cargo-handling infrastructure at designated ports.</w:t>
      </w:r>
    </w:p>
    <w:p>
      <w:pPr>
        <w:pStyle w:val="Normal"/>
      </w:pPr>
      <w:r>
        <w:rPr>
          <w:b w:val="false"/>
          <w:i w:val="false"/>
        </w:rPr>
        <w:t>65-A-359 [DEVELOPMENT] North American Bridge Rehabilitation Materials and Systems Program: bearings, joints, coatings, sensors, structural steel, precast systems and inspection technology for designated bridge renewals.</w:t>
      </w:r>
    </w:p>
    <w:p>
      <w:pPr>
        <w:pStyle w:val="Normal"/>
      </w:pPr>
      <w:r>
        <w:rPr>
          <w:b w:val="false"/>
          <w:i w:val="false"/>
        </w:rPr>
        <w:t>65-A-360 [DEVELOPMENT] North American Rail Signalling and Grade-Crossing Safety Program: signalling, train-control, detection, communications and crossing-safety procurements in participating corridors.</w:t>
      </w:r>
    </w:p>
    <w:p>
      <w:pPr>
        <w:pStyle w:val="Normal"/>
      </w:pPr>
      <w:r>
        <w:rPr>
          <w:b w:val="false"/>
          <w:i w:val="false"/>
        </w:rPr>
        <w:t>65-A-361 [DEVELOPMENT] North American Customs and Commercial-Vehicle Inspection Technology Program: non-intrusive inspection, weigh-in-motion, lane-management and cargo-processing systems subject to privacy and security safeguards.</w:t>
      </w:r>
    </w:p>
    <w:p>
      <w:pPr>
        <w:pStyle w:val="Normal"/>
      </w:pPr>
      <w:r>
        <w:rPr>
          <w:b w:val="false"/>
          <w:i w:val="false"/>
        </w:rPr>
        <w:t>65-A-362 [DEVELOPMENT] North American Rural Broadband Resilience Program: fiber, fixed-wireless, towers, backup power and network-hardening opportunities in voluntarily participating rural jurisdictions.</w:t>
      </w:r>
    </w:p>
    <w:p>
      <w:pPr>
        <w:pStyle w:val="Normal"/>
      </w:pPr>
      <w:r>
        <w:rPr>
          <w:b w:val="false"/>
          <w:i w:val="false"/>
        </w:rPr>
        <w:t>65-A-363 [DEVELOPMENT] North American Emergency Power and Mobile-Utility Program: mobile substations, generators, batteries, pumps, water-treatment units and deployable communications for disaster response.</w:t>
      </w:r>
    </w:p>
    <w:p>
      <w:pPr>
        <w:pStyle w:val="Normal"/>
      </w:pPr>
      <w:r>
        <w:rPr>
          <w:b w:val="false"/>
          <w:i w:val="false"/>
        </w:rPr>
        <w:t>65-A-364 [DEVELOPMENT] North American Industrial Heat and Furnace Modernization Program: efficient furnaces, kilns, heat treatment, controls and heat-recovery systems for steel, aluminum, glass and advanced-material facilities.</w:t>
      </w:r>
    </w:p>
    <w:p>
      <w:pPr>
        <w:pStyle w:val="Normal"/>
      </w:pPr>
      <w:r>
        <w:rPr>
          <w:b w:val="false"/>
          <w:i w:val="false"/>
        </w:rPr>
        <w:t>65-A-365 [DEVELOPMENT] North American Machine-Tool and Precision-Manufacturing Program: qualifying CNC, metrology, tooling, additive manufacturing and quality-control equipment for designated reshoring and expansion projects.</w:t>
      </w:r>
    </w:p>
    <w:p>
      <w:pPr>
        <w:pStyle w:val="Normal"/>
      </w:pPr>
      <w:r>
        <w:rPr>
          <w:b w:val="false"/>
          <w:i w:val="false"/>
        </w:rPr>
        <w:t>65-A-366 [DEVELOPMENT] North American Food and Agricultural Biosecurity Infrastructure Program: laboratories, inspection facilities, cold-chain controls and traceability equipment without weakening sanitary safeguards.</w:t>
      </w:r>
    </w:p>
    <w:p>
      <w:pPr>
        <w:pStyle w:val="Normal"/>
      </w:pPr>
      <w:r>
        <w:rPr>
          <w:b w:val="false"/>
          <w:i w:val="false"/>
        </w:rPr>
        <w:t>65-A-367 [DEVELOPMENT] North American Aviation Maintenance and Ground-Support Equipment Program: hangar, tooling, diagnostics, ground-power, towing and maintenance equipment linked to Chapter 12 aviation cooperation.</w:t>
      </w:r>
    </w:p>
    <w:p>
      <w:pPr>
        <w:pStyle w:val="Normal"/>
      </w:pPr>
      <w:r>
        <w:rPr>
          <w:b w:val="false"/>
          <w:i w:val="false"/>
        </w:rPr>
        <w:t>65-A-368 [DEVELOPMENT] North American Port and Rail Cyber-Resilience Infrastructure Program: segmented networks, secure controls, backup communications and recovery systems for designated trade corridors.</w:t>
      </w:r>
    </w:p>
    <w:p>
      <w:pPr>
        <w:pStyle w:val="Normal"/>
      </w:pPr>
      <w:r>
        <w:rPr>
          <w:b w:val="false"/>
          <w:i w:val="false"/>
        </w:rPr>
        <w:t>65-A-369 [DEVELOPMENT] North American Community and Indigenous Infrastructure Supplier Access Program: voluntary, rights-respecting procurement pathways for qualifying local and Indigenous suppliers without overriding procurement autonomy or consultation duties.</w:t>
      </w:r>
    </w:p>
    <w:p>
      <w:pPr>
        <w:pStyle w:val="Normal"/>
      </w:pPr>
      <w:r>
        <w:rPr>
          <w:b w:val="false"/>
          <w:i w:val="false"/>
        </w:rPr>
        <w:t>65-A-370 [DEVELOPMENT] North American Construction-Materials Circularity Program: reciprocal opportunities in recycled steel, aluminum, aggregate, asphalt, concrete inputs and recovery systems where technical standards are met.</w:t>
      </w:r>
    </w:p>
    <w:p>
      <w:pPr>
        <w:pStyle w:val="Heading2"/>
      </w:pPr>
      <w:bookmarkStart w:id="902085" w:name="_Toc300002084"/>
      <w:r>
        <w:rPr>
          <w:b/>
          <w:i w:val="false"/>
        </w:rPr>
        <w:t>ANNEX 65-B: GOVERNING ARCHITECTURE SUMMARY</w:t>
      </w:r>
      <w:bookmarkEnd w:id="902085"/>
    </w:p>
    <w:p>
      <w:pPr>
        <w:pStyle w:val="Normal"/>
      </w:pPr>
      <w:r>
        <w:rPr>
          <w:b w:val="false"/>
          <w:i w:val="false"/>
        </w:rPr>
        <w:t>65-B-1. Project-Specific Reciprocity.</w:t>
      </w:r>
    </w:p>
    <w:p>
      <w:pPr>
        <w:pStyle w:val="Normal"/>
      </w:pPr>
      <w:r>
        <w:rPr>
          <w:b w:val="false"/>
          <w:i w:val="false"/>
        </w:rPr>
        <w:t>65-B-2. Affirmative Project Designation.</w:t>
      </w:r>
    </w:p>
    <w:p>
      <w:pPr>
        <w:pStyle w:val="Normal"/>
      </w:pPr>
      <w:r>
        <w:rPr>
          <w:b w:val="false"/>
          <w:i w:val="false"/>
        </w:rPr>
        <w:t>65-B-3. Procurement Opportunity Certificate.</w:t>
      </w:r>
    </w:p>
    <w:p>
      <w:pPr>
        <w:pStyle w:val="Normal"/>
      </w:pPr>
      <w:r>
        <w:rPr>
          <w:b w:val="false"/>
          <w:i w:val="false"/>
        </w:rPr>
        <w:t>65-B-4. Defined Opportunity Ceiling and Sunset.</w:t>
      </w:r>
    </w:p>
    <w:p>
      <w:pPr>
        <w:pStyle w:val="Normal"/>
      </w:pPr>
      <w:r>
        <w:rPr>
          <w:b w:val="false"/>
          <w:i w:val="false"/>
        </w:rPr>
        <w:t>65-B-5. Reciprocal Portfolio Equivalence.</w:t>
      </w:r>
    </w:p>
    <w:p>
      <w:pPr>
        <w:pStyle w:val="Normal"/>
      </w:pPr>
      <w:r>
        <w:rPr>
          <w:b w:val="false"/>
          <w:i w:val="false"/>
        </w:rPr>
        <w:t>65-B-6. Effective Procurement Access Test.</w:t>
      </w:r>
    </w:p>
    <w:p>
      <w:pPr>
        <w:pStyle w:val="Normal"/>
      </w:pPr>
      <w:r>
        <w:rPr>
          <w:b w:val="false"/>
          <w:i w:val="false"/>
        </w:rPr>
        <w:t>65-B-7. No Guaranteed Award / Competitive Procurement Rule.</w:t>
      </w:r>
    </w:p>
    <w:p>
      <w:pPr>
        <w:pStyle w:val="Normal"/>
      </w:pPr>
      <w:r>
        <w:rPr>
          <w:b w:val="false"/>
          <w:i w:val="false"/>
        </w:rPr>
        <w:t>65-B-8. No Blanket Buy American Waiver.</w:t>
      </w:r>
    </w:p>
    <w:p>
      <w:pPr>
        <w:pStyle w:val="Normal"/>
      </w:pPr>
      <w:r>
        <w:rPr>
          <w:b w:val="false"/>
          <w:i w:val="false"/>
        </w:rPr>
        <w:t>65-B-9. Reciprocal North American Prequalification and Content Lane.</w:t>
      </w:r>
    </w:p>
    <w:p>
      <w:pPr>
        <w:pStyle w:val="Normal"/>
      </w:pPr>
      <w:r>
        <w:rPr>
          <w:b w:val="false"/>
          <w:i w:val="false"/>
        </w:rPr>
        <w:t>65-B-10. Subnational and Community Participation Framework.</w:t>
      </w:r>
    </w:p>
    <w:p>
      <w:pPr>
        <w:pStyle w:val="Normal"/>
      </w:pPr>
      <w:r>
        <w:rPr>
          <w:b w:val="false"/>
          <w:i w:val="false"/>
        </w:rPr>
        <w:t>65-B-11. Procurement Opportunity Registry.</w:t>
      </w:r>
    </w:p>
    <w:p>
      <w:pPr>
        <w:pStyle w:val="Normal"/>
      </w:pPr>
      <w:r>
        <w:rPr>
          <w:b w:val="false"/>
          <w:i w:val="false"/>
        </w:rPr>
        <w:t>65-B-12. Chapter 64 Commercial Wins and Trophy Dashboard Integration.</w:t>
      </w:r>
    </w:p>
    <w:p>
      <w:pPr>
        <w:pStyle w:val="Heading2"/>
      </w:pPr>
      <w:bookmarkStart w:id="902086" w:name="_Toc300002085"/>
      <w:r>
        <w:rPr>
          <w:b/>
          <w:i w:val="false"/>
        </w:rPr>
        <w:t>ANNEX 65-C: PROCUREMENT OPPORTUNITY CERTIFICATE MINIMUM FIELDS</w:t>
      </w:r>
      <w:bookmarkEnd w:id="902086"/>
    </w:p>
    <w:p>
      <w:pPr>
        <w:pStyle w:val="Normal"/>
      </w:pPr>
      <w:r>
        <w:rPr>
          <w:b w:val="false"/>
          <w:i w:val="false"/>
        </w:rPr>
        <w:t>Certificate and Ledger ID</w:t>
      </w:r>
    </w:p>
    <w:p>
      <w:pPr>
        <w:pStyle w:val="Normal"/>
      </w:pPr>
      <w:r>
        <w:rPr>
          <w:b w:val="false"/>
          <w:i w:val="false"/>
        </w:rPr>
        <w:t>Project or program name</w:t>
      </w:r>
    </w:p>
    <w:p>
      <w:pPr>
        <w:pStyle w:val="Normal"/>
      </w:pPr>
      <w:r>
        <w:rPr>
          <w:b w:val="false"/>
          <w:i w:val="false"/>
        </w:rPr>
        <w:t>Competent jurisdiction and procurement authority</w:t>
      </w:r>
    </w:p>
    <w:p>
      <w:pPr>
        <w:pStyle w:val="Normal"/>
      </w:pPr>
      <w:r>
        <w:rPr>
          <w:b w:val="false"/>
          <w:i w:val="false"/>
        </w:rPr>
        <w:t>Project status and procurement status</w:t>
      </w:r>
    </w:p>
    <w:p>
      <w:pPr>
        <w:pStyle w:val="Normal"/>
      </w:pPr>
      <w:r>
        <w:rPr>
          <w:b w:val="false"/>
          <w:i w:val="false"/>
        </w:rPr>
        <w:t>Covered opportunity and exclusions</w:t>
      </w:r>
    </w:p>
    <w:p>
      <w:pPr>
        <w:pStyle w:val="Normal"/>
      </w:pPr>
      <w:r>
        <w:rPr>
          <w:b w:val="false"/>
          <w:i w:val="false"/>
        </w:rPr>
        <w:t>Total project value, if relevant and verified</w:t>
      </w:r>
    </w:p>
    <w:p>
      <w:pPr>
        <w:pStyle w:val="Normal"/>
      </w:pPr>
      <w:r>
        <w:rPr>
          <w:b w:val="false"/>
          <w:i w:val="false"/>
        </w:rPr>
        <w:t>Remaining potentially eligible procurement</w:t>
      </w:r>
    </w:p>
    <w:p>
      <w:pPr>
        <w:pStyle w:val="Normal"/>
      </w:pPr>
      <w:r>
        <w:rPr>
          <w:b w:val="false"/>
          <w:i w:val="false"/>
        </w:rPr>
        <w:t>Designated reciprocal opportunity value or ceiling</w:t>
      </w:r>
    </w:p>
    <w:p>
      <w:pPr>
        <w:pStyle w:val="Normal"/>
      </w:pPr>
      <w:r>
        <w:rPr>
          <w:b w:val="false"/>
          <w:i w:val="false"/>
        </w:rPr>
        <w:t>Reciprocal portfolio and participating Parties</w:t>
      </w:r>
    </w:p>
    <w:p>
      <w:pPr>
        <w:pStyle w:val="Normal"/>
      </w:pPr>
      <w:r>
        <w:rPr>
          <w:b w:val="false"/>
          <w:i w:val="false"/>
        </w:rPr>
        <w:t>Applicable origin, content, prequalification and qualification treatment</w:t>
      </w:r>
    </w:p>
    <w:p>
      <w:pPr>
        <w:pStyle w:val="Normal"/>
      </w:pPr>
      <w:r>
        <w:rPr>
          <w:b w:val="false"/>
          <w:i w:val="false"/>
        </w:rPr>
        <w:t>Rights, environmental, labour, safety, privacy, security and regulatory conditions</w:t>
      </w:r>
    </w:p>
    <w:p>
      <w:pPr>
        <w:pStyle w:val="Normal"/>
      </w:pPr>
      <w:r>
        <w:rPr>
          <w:b w:val="false"/>
          <w:i w:val="false"/>
        </w:rPr>
        <w:t>Opening date, expiry or project-completion condition</w:t>
      </w:r>
    </w:p>
    <w:p>
      <w:pPr>
        <w:pStyle w:val="Normal"/>
      </w:pPr>
      <w:r>
        <w:rPr>
          <w:b w:val="false"/>
          <w:i w:val="false"/>
        </w:rPr>
        <w:t>Verification grade, source and verification date</w:t>
      </w:r>
    </w:p>
    <w:p>
      <w:pPr>
        <w:pStyle w:val="Normal"/>
      </w:pPr>
      <w:r>
        <w:rPr>
          <w:b w:val="false"/>
          <w:i w:val="false"/>
        </w:rPr>
        <w:t>Revision, substitution and closure history</w:t>
      </w:r>
    </w:p>
    <w:p>
      <w:pPr>
        <w:pStyle w:val="Heading1"/>
      </w:pPr>
      <w:bookmarkStart w:id="902087" w:name="_Toc300002086"/>
      <w:r>
        <w:rPr>
          <w:i w:val="false"/>
        </w:rPr>
        <w:t>CHAPTER 66: NORTH AMERICAN SHIELD, FENTANYL, PRECURSOR AND BORDER SECURITY COMPACT</w:t>
      </w:r>
      <w:bookmarkEnd w:id="902087"/>
    </w:p>
    <w:p>
      <w:pPr>
        <w:pStyle w:val="Normal"/>
      </w:pPr>
      <w:r>
        <w:rPr>
          <w:b/>
          <w:i w:val="false"/>
        </w:rPr>
        <w:t xml:space="preserve">★ </w:t>
      </w:r>
      <w:r>
        <w:rPr>
          <w:b/>
          <w:i w:val="false"/>
        </w:rPr>
        <w:t>VISIBLE U.S. SECURITY WIN: MORE DRUGS STOPPED, MORE SCANNERS OPERATING, STRONGER PRECURSOR INTERDICTION, AND FASTER ACTION AGAINST CROSS-BORDER ORGANIZED CRIME</w:t>
      </w:r>
    </w:p>
    <w:p>
      <w:pPr>
        <w:pStyle w:val="Normal"/>
      </w:pPr>
      <w:r>
        <w:rPr>
          <w:b/>
          <w:i w:val="false"/>
        </w:rPr>
        <w:t xml:space="preserve">★ </w:t>
      </w:r>
      <w:r>
        <w:rPr>
          <w:b/>
          <w:i w:val="false"/>
        </w:rPr>
        <w:t>VISIBLE CANADIAN AND MEXICAN SECURITY WIN: STRONGER ACTION AGAINST ILLEGAL FIREARMS, ILLICIT FINANCE, STOLEN-VEHICLE EXPORTS, AND OTHER RECIPROCAL CRIMINAL FLOWS</w:t>
      </w:r>
    </w:p>
    <w:p>
      <w:pPr>
        <w:pStyle w:val="Normal"/>
      </w:pPr>
      <w:r>
        <w:rPr>
          <w:b/>
          <w:i w:val="false"/>
        </w:rPr>
        <w:t xml:space="preserve">★ </w:t>
      </w:r>
      <w:r>
        <w:rPr>
          <w:b/>
          <w:i w:val="false"/>
        </w:rPr>
        <w:t>VISIBLE TRILATERAL WIN: MORE SECURITY, FASTER LEGITIMATE TRADE, AND NO TRANSFER OF NATIONAL BORDER COMMAND</w:t>
      </w:r>
    </w:p>
    <w:p>
      <w:pPr>
        <w:pStyle w:val="Heading2"/>
      </w:pPr>
      <w:bookmarkStart w:id="902088" w:name="_Toc300002087"/>
      <w:r>
        <w:rPr>
          <w:i w:val="false"/>
        </w:rPr>
        <w:t>Article 66.1: Purpose and Security Bargain</w:t>
      </w:r>
      <w:bookmarkEnd w:id="902088"/>
    </w:p>
    <w:p>
      <w:pPr>
        <w:pStyle w:val="Normal"/>
      </w:pPr>
      <w:r>
        <w:rPr>
          <w:b w:val="false"/>
          <w:i w:val="false"/>
        </w:rPr>
        <w:t>1. The Parties establish the North American Shield Compact to strengthen lawful action against illicit fentanyl, synthetic drugs, precursor chemicals, illicit drug-manufacturing equipment, organized crime, illicit firearms trafficking, money laundering, and related cross-border criminal logistics while facilitating legitimate trade.</w:t>
      </w:r>
    </w:p>
    <w:p>
      <w:pPr>
        <w:pStyle w:val="Normal"/>
      </w:pPr>
      <w:r>
        <w:rPr>
          <w:b w:val="false"/>
          <w:i w:val="false"/>
        </w:rPr>
        <w:t>2. The Compact converts generalized border-security concerns into defined, verifiable and reciprocal commitments. It does not create a supranational police, customs, immigration, intelligence or regulatory authority.</w:t>
      </w:r>
    </w:p>
    <w:p>
      <w:pPr>
        <w:pStyle w:val="Heading2"/>
      </w:pPr>
      <w:bookmarkStart w:id="902089" w:name="_Toc300002088"/>
      <w:r>
        <w:rPr>
          <w:i w:val="false"/>
        </w:rPr>
        <w:t>Article 66.2: Governing Principle, Cooperate Continentally, Enforce Nationally</w:t>
      </w:r>
      <w:bookmarkEnd w:id="902089"/>
    </w:p>
    <w:p>
      <w:pPr>
        <w:pStyle w:val="Normal"/>
      </w:pPr>
      <w:r>
        <w:rPr>
          <w:b w:val="false"/>
          <w:i w:val="false"/>
        </w:rPr>
        <w:t>Each Party retains exclusive command and operational control over its officers, facilities, databases, targeting decisions, investigative decisions and enforcement actions. Cooperation may be deep, rapid and technically interoperable; coercive governmental authority remains national unless a Party's domestic law and an applicable agreement expressly provide otherwise.</w:t>
      </w:r>
    </w:p>
    <w:p>
      <w:pPr>
        <w:pStyle w:val="Heading2"/>
      </w:pPr>
      <w:bookmarkStart w:id="902090" w:name="_Toc300002089"/>
      <w:r>
        <w:rPr>
          <w:i w:val="false"/>
        </w:rPr>
        <w:t>Article 66.3: No Foreign Enforcement Power</w:t>
      </w:r>
      <w:bookmarkEnd w:id="902090"/>
    </w:p>
    <w:p>
      <w:pPr>
        <w:pStyle w:val="Normal"/>
      </w:pPr>
      <w:r>
        <w:rPr>
          <w:b w:val="false"/>
          <w:i w:val="false"/>
        </w:rPr>
        <w:t>Nothing in this Chapter authorizes an officer, agency or government of one Party to exercise police, customs, immigration, intelligence, search, seizure, detention, arrest, investigative or regulatory authority within the territory of another Party except where expressly authorized under that Party's domestic law and an applicable agreement.</w:t>
      </w:r>
    </w:p>
    <w:p>
      <w:pPr>
        <w:pStyle w:val="Heading2"/>
      </w:pPr>
      <w:bookmarkStart w:id="902091" w:name="_Toc300002090"/>
      <w:r>
        <w:rPr>
          <w:i w:val="false"/>
        </w:rPr>
        <w:t>Article 66.4: Shield Reciprocity Doctrine</w:t>
      </w:r>
      <w:bookmarkEnd w:id="902091"/>
    </w:p>
    <w:p>
      <w:pPr>
        <w:pStyle w:val="Normal"/>
      </w:pPr>
      <w:r>
        <w:rPr>
          <w:b w:val="false"/>
          <w:i w:val="false"/>
        </w:rPr>
        <w:t>A Party requesting enhanced cooperation against a serious illicit flow affecting its territory provides meaningful reciprocal cooperation against serious illicit flows affecting the other Parties where those flows originate from, transit through, are financed through, or materially exploit its territory, institutions or commercial channels. Reciprocity is assessed by reference to the seriousness of the flow, the requesting Party's demonstrated need, the responding Party's lawful capability, and the practical value of the cooperation available in the circumstances. A Party that cannot provide a requested form of cooperation identifies the legal, operational or evidentiary constraint and, where practicable, offers a lawful functionally equivalent form of assistance. A disagreement concerning material reciprocity is documented and addressed through the consultation and verification procedures of this Chapter without creating foreign command authority or an independent basis for trade retaliation.</w:t>
      </w:r>
    </w:p>
    <w:p>
      <w:pPr>
        <w:pStyle w:val="Heading2"/>
      </w:pPr>
      <w:bookmarkStart w:id="902092" w:name="_Toc300002091"/>
      <w:r>
        <w:rPr>
          <w:i w:val="false"/>
        </w:rPr>
        <w:t>Article 66.5: Covered Illicit Flows</w:t>
      </w:r>
      <w:bookmarkEnd w:id="902092"/>
    </w:p>
    <w:p>
      <w:pPr>
        <w:pStyle w:val="Normal"/>
      </w:pPr>
      <w:r>
        <w:rPr>
          <w:b w:val="false"/>
          <w:i w:val="false"/>
        </w:rPr>
        <w:t>Covered flows include illicit synthetic drugs and precursors, illicit drug-manufacturing equipment, illegal firearms and ammunition trafficking, criminal proceeds and money laundering, stolen vehicles and criminal logistics, and other serious organized-crime flows designated by consensus. Domestic lawful possession, migration, protest, journalism, legal representation and ordinary commerce are not converted into covered illicit flows by this Chapter.</w:t>
      </w:r>
    </w:p>
    <w:p>
      <w:pPr>
        <w:pStyle w:val="Heading2"/>
      </w:pPr>
      <w:bookmarkStart w:id="902093" w:name="_Toc300002092"/>
      <w:r>
        <w:rPr>
          <w:i w:val="false"/>
        </w:rPr>
        <w:t>Article 66.6: Secure-and-Accelerate Principle</w:t>
      </w:r>
      <w:bookmarkEnd w:id="902093"/>
    </w:p>
    <w:p>
      <w:pPr>
        <w:pStyle w:val="Normal"/>
      </w:pPr>
      <w:r>
        <w:rPr>
          <w:b w:val="false"/>
          <w:i w:val="false"/>
        </w:rPr>
        <w:t>Security measures concentrate resources on higher-risk traffic and, where practicable, reduce unnecessary redundant processing of legitimate low-risk trade. The Parties measure security effectiveness and legitimate-trade fluidity through distinct indicators so that an increase in inspection activity does not, by itself, establish improved security performance. Competent authorities periodically review whether a measure continues to correspond to demonstrated risk and whether a less burdensome measure can achieve materially equivalent security results. Where verified risk declines or a measure produces persistent unnecessary disruption to legitimate trade, the responsible authority adjusts targeting, sequencing or processing consistent with domestic law and the security objective.</w:t>
      </w:r>
    </w:p>
    <w:p>
      <w:pPr>
        <w:pStyle w:val="Heading2"/>
      </w:pPr>
      <w:bookmarkStart w:id="902094" w:name="_Toc300002093"/>
      <w:r>
        <w:rPr>
          <w:i w:val="false"/>
        </w:rPr>
        <w:t>Article 66.7: Detection and Non-Intrusive Inspection Capability</w:t>
      </w:r>
      <w:bookmarkEnd w:id="902094"/>
    </w:p>
    <w:p>
      <w:pPr>
        <w:pStyle w:val="Normal"/>
      </w:pPr>
      <w:r>
        <w:rPr>
          <w:b w:val="false"/>
          <w:i w:val="false"/>
        </w:rPr>
        <w:t>The Parties maintain risk-appropriate non-intrusive inspection, trace-detection, chemical-identification and supporting forensic capability at designated land, rail, marine, air, postal and express-consignment environments. Implementation schedules identify the covered sites or operating environments, the required capability or functional equivalent, the responsible authority, and the applicable deployment or readiness milestone. A capability counts as maintained only while it is reasonably available for its assigned function, supported by trained personnel and necessary maintenance, calibration or technical support. Quantities, sites and deployment dates may be updated through the applicable implementation process where the resulting configuration preserves or improves the agreed security function and does not disguise a material reduction in capability.</w:t>
      </w:r>
    </w:p>
    <w:p>
      <w:pPr>
        <w:pStyle w:val="Heading2"/>
      </w:pPr>
      <w:bookmarkStart w:id="902095" w:name="_Toc300002094"/>
      <w:r>
        <w:rPr>
          <w:i w:val="false"/>
        </w:rPr>
        <w:t>Article 66.8: Operational Availability and Maintenance</w:t>
      </w:r>
      <w:bookmarkEnd w:id="902095"/>
    </w:p>
    <w:p>
      <w:pPr>
        <w:pStyle w:val="Normal"/>
      </w:pPr>
      <w:r>
        <w:rPr>
          <w:b w:val="false"/>
          <w:i w:val="false"/>
        </w:rPr>
        <w:t>A deployed security asset does not count as implemented merely because it was purchased, delivered or installed. Implementation reporting distinguishes installed, operational, available, used, maintained and out-of-service capability and includes an appropriate uptime, availability or functional-readiness measure for the asset class. A competent authority records material outages, planned maintenance and prolonged loss of capability and identifies the temporary measure used to manage the resulting operational gap where one is reasonably necessary. Restoration reporting confirms return to service or adoption of a functionally equivalent replacement so that paper compliance does not substitute for sustained operational capability.</w:t>
      </w:r>
    </w:p>
    <w:p>
      <w:pPr>
        <w:pStyle w:val="Heading2"/>
      </w:pPr>
      <w:bookmarkStart w:id="902096" w:name="_Toc300002095"/>
      <w:r>
        <w:rPr>
          <w:i w:val="false"/>
        </w:rPr>
        <w:t>Article 66.9: Cargo Targeting and Risk Intelligence</w:t>
      </w:r>
      <w:bookmarkEnd w:id="902096"/>
    </w:p>
    <w:p>
      <w:pPr>
        <w:pStyle w:val="Normal"/>
      </w:pPr>
      <w:r>
        <w:rPr>
          <w:b w:val="false"/>
          <w:i w:val="false"/>
        </w:rPr>
        <w:t>The Parties strengthen advance targeting, structured risk alerts, high-risk shipment identification, transshipment analysis, concealment-method intelligence and trusted-trade coordination without requiring merger of national targeting centers or indiscriminate replication of underlying databases. Each competent authority maintains a documented process for validating material risk indicators, reviewing their continuing relevance and correcting indicators shown to be materially inaccurate or overbroad. Targeting systems distinguish intelligence or analytical leads from final enforcement determinations and preserve competent human responsibility for materially adverse governmental action. Where recurring false positives or unnecessary disruption become evident, the responsible authority reviews the affected indicator, rule or workflow and records an appropriate correction, limitation or reasoned decision to retain it.</w:t>
      </w:r>
    </w:p>
    <w:p>
      <w:pPr>
        <w:pStyle w:val="Heading2"/>
      </w:pPr>
      <w:bookmarkStart w:id="902097" w:name="_Toc300002096"/>
      <w:r>
        <w:rPr>
          <w:i w:val="false"/>
        </w:rPr>
        <w:t>Article 66.10: Algorithmic Targeting Integrity</w:t>
      </w:r>
      <w:bookmarkEnd w:id="902097"/>
    </w:p>
    <w:p>
      <w:pPr>
        <w:pStyle w:val="Normal"/>
      </w:pPr>
      <w:r>
        <w:rPr>
          <w:b w:val="false"/>
          <w:i w:val="false"/>
        </w:rPr>
        <w:t>Where automated or machine-assisted targeting is used, competent authorities shall maintain human accountability, test for material false-positive or discriminatory effects, document relevant performance, and provide independent or appropriately separated review consistent with domestic law. Model or performance exchange is preferred to unnecessary raw-personal-data pooling.</w:t>
      </w:r>
    </w:p>
    <w:p>
      <w:pPr>
        <w:pStyle w:val="Heading2"/>
      </w:pPr>
      <w:bookmarkStart w:id="902098" w:name="_Toc300002097"/>
      <w:r>
        <w:rPr>
          <w:i w:val="false"/>
        </w:rPr>
        <w:t>Article 66.11: Precursor Risk and Rapid Response</w:t>
      </w:r>
      <w:bookmarkEnd w:id="902098"/>
    </w:p>
    <w:p>
      <w:pPr>
        <w:pStyle w:val="Normal"/>
      </w:pPr>
      <w:r>
        <w:rPr>
          <w:b w:val="false"/>
          <w:i w:val="false"/>
        </w:rPr>
        <w:t>The Parties maintain a shared analytical process for identifying emerging precursor chemicals and illicit manufacturing inputs. The process records the substance or input at issue, the scientific or operational evidence supporting concern, material uncertainty, and the authorities or sectors for which timely awareness is relevant. Where the evidence indicates a significant emerging risk, the responsible contact circulates a structured alert and the Parties identify any national assessment, licensing, monitoring, scheduling or enforcement action they elect to consider under domestic law. Scientific risk identification may be common, but legal scheduling, licensing, prohibition, seizure and penalty decisions remain subject to each Party's domestic law and no shared alert creates automatic national legal effect.</w:t>
      </w:r>
    </w:p>
    <w:p>
      <w:pPr>
        <w:pStyle w:val="Heading2"/>
      </w:pPr>
      <w:bookmarkStart w:id="902099" w:name="_Toc300002098"/>
      <w:r>
        <w:rPr>
          <w:i w:val="false"/>
        </w:rPr>
        <w:t>Article 66.12: Suspicious Orders, End Users and Manufacturing Equipment</w:t>
      </w:r>
      <w:bookmarkEnd w:id="902099"/>
    </w:p>
    <w:p>
      <w:pPr>
        <w:pStyle w:val="Normal"/>
      </w:pPr>
      <w:r>
        <w:rPr>
          <w:b w:val="false"/>
          <w:i w:val="false"/>
        </w:rPr>
        <w:t>Each Party maintains proportionate measures addressing suspicious precursor transactions, diversion risks, end-user verification where appropriate, and illicit diversion of pill presses, dies and other designated manufacturing equipment, with safeguards for legitimate industrial, medical, scientific and educational uses. Applicable systems provide a lawful means to identify materially suspicious orders or end-user anomalies, escalate them for competent review, and preserve sufficient records to support a reasoned decision. A person or enterprise acting in good faith under an applicable due-diligence, reporting or licensing process is not treated as non-compliant solely because a transaction later proves connected to illicit diversion absent evidence of material misrepresentation, knowing participation or failure to satisfy an applicable legal duty. Measures under this Article remain risk-based and are periodically reviewed to prevent generalized restrictions on legitimate commerce from substituting for targeted diversion control.</w:t>
      </w:r>
    </w:p>
    <w:p>
      <w:pPr>
        <w:pStyle w:val="Heading2"/>
      </w:pPr>
      <w:bookmarkStart w:id="902100" w:name="_Toc300002099"/>
      <w:r>
        <w:rPr>
          <w:i w:val="false"/>
        </w:rPr>
        <w:t>Article 66.13: Drug Profiling and Forensic Network</w:t>
      </w:r>
      <w:bookmarkEnd w:id="902100"/>
    </w:p>
    <w:p>
      <w:pPr>
        <w:pStyle w:val="Normal"/>
      </w:pPr>
      <w:r>
        <w:rPr>
          <w:b w:val="false"/>
          <w:i w:val="false"/>
        </w:rPr>
        <w:t>The Parties strengthen rapid chemical analysis, drug profiling, adulterant identification, forensic proficiency and exchange of non-personal chemical signatures. Participating laboratories or competent authorities maintain appropriate quality-assurance, proficiency, chain-of-custody and method-documentation practices for information relied upon in cross-border cooperation. Shared forensic information identifies material limitations or uncertainty where those limitations could affect interpretation, and a material correction is communicated through the same channel used for the original information where practicable. Personal or case-specific information accompanying a sample remains governed by the information-sharing rules of this Chapter and does not become freely reusable merely because the chemical signature itself is non-personal.</w:t>
      </w:r>
    </w:p>
    <w:p>
      <w:pPr>
        <w:pStyle w:val="Heading2"/>
      </w:pPr>
      <w:bookmarkStart w:id="902101" w:name="_Toc300002100"/>
      <w:r>
        <w:rPr>
          <w:i w:val="false"/>
        </w:rPr>
        <w:t>Article 66.14: Ports of Entry and Coordinated Inspection</w:t>
      </w:r>
      <w:bookmarkEnd w:id="902101"/>
    </w:p>
    <w:p>
      <w:pPr>
        <w:pStyle w:val="Normal"/>
      </w:pPr>
      <w:r>
        <w:rPr>
          <w:b w:val="false"/>
          <w:i w:val="false"/>
        </w:rPr>
        <w:t>Competent authorities may establish co-location, liaison, coordinated targeting and inspection-sequencing arrangements where lawful. An arrangement identifies the participating authorities, operational purpose, information or inspection function involved, and the limits on recognition of another Party's work. Successful prior inspection or trusted-trade treatment may reduce unnecessary duplicate processing where the receiving authority determines that the prior process provides sufficient assurance for the relevant risk. No arrangement creates automatic recognition of another Party's enforcement decision, transfers command authority, or prevents a competent national authority from conducting an additional inspection supported by law and risk.</w:t>
      </w:r>
    </w:p>
    <w:p>
      <w:pPr>
        <w:pStyle w:val="Heading2"/>
      </w:pPr>
      <w:bookmarkStart w:id="902102" w:name="_Toc300002101"/>
      <w:r>
        <w:rPr>
          <w:i w:val="false"/>
        </w:rPr>
        <w:t>Article 66.15: Rail, Maritime and Aviation Security</w:t>
      </w:r>
      <w:bookmarkEnd w:id="902102"/>
    </w:p>
    <w:p>
      <w:pPr>
        <w:pStyle w:val="Normal"/>
      </w:pPr>
      <w:r>
        <w:rPr>
          <w:b w:val="false"/>
          <w:i w:val="false"/>
        </w:rPr>
        <w:t>The Parties cooperate on rail-seal integrity, container and reefer tampering, maritime domain awareness, high-risk vessel and air-cargo targeting, general-aviation anomalies and multimodal custody events. A competent authority that identifies a material cross-border security anomaly communicates an actionable alert through an agreed channel where timely notice can reasonably assist another Party. Operational records distinguish the observed event, the alert or intelligence supplied, the national authority responsible for any enforcement decision, and the disposition of the matter where disclosure is lawful. The governing operational rule is to observe cooperatively, alert rapidly and enforce nationally, without creating foreign command authority or automatic acceptance of another Party's risk determination.</w:t>
      </w:r>
    </w:p>
    <w:p>
      <w:pPr>
        <w:pStyle w:val="Heading2"/>
      </w:pPr>
      <w:bookmarkStart w:id="902103" w:name="_Toc300002102"/>
      <w:r>
        <w:rPr>
          <w:i w:val="false"/>
        </w:rPr>
        <w:t>Article 66.16: Postal, Courier and Small-Parcel Security</w:t>
      </w:r>
      <w:bookmarkEnd w:id="902103"/>
    </w:p>
    <w:p>
      <w:pPr>
        <w:pStyle w:val="Normal"/>
      </w:pPr>
      <w:r>
        <w:rPr>
          <w:b w:val="false"/>
          <w:i w:val="false"/>
        </w:rPr>
        <w:t>The Parties strengthen advance electronic information, small-parcel analytics, trace detection, reshipper-network identification, controlled-delivery cooperation and insider-threat controls. Competent authorities and participating operators maintain proportionate data-quality and correction processes for information materially relied upon in parcel targeting, including a means to distinguish incomplete or inconsistent shipment data from verified illicit conduct. Recurring false positives, material operator-data failures or targeting rules that create disproportionate disruption trigger appropriate review and correction without requiring disclosure of sensitive targeting logic. Shipment-risk analysis does not establish generalized profiling of lawful consumer purchasing behavior, and private operators are not required by this Chapter to conduct governmental enforcement functions beyond applicable law and agreed cooperation.</w:t>
      </w:r>
    </w:p>
    <w:p>
      <w:pPr>
        <w:pStyle w:val="Heading2"/>
      </w:pPr>
      <w:bookmarkStart w:id="902104" w:name="_Toc300002103"/>
      <w:r>
        <w:rPr>
          <w:i w:val="false"/>
        </w:rPr>
        <w:t>Article 66.17: Organized-Crime Cooperation</w:t>
      </w:r>
      <w:bookmarkEnd w:id="902104"/>
    </w:p>
    <w:p>
      <w:pPr>
        <w:pStyle w:val="Normal"/>
      </w:pPr>
      <w:r>
        <w:rPr>
          <w:b w:val="false"/>
          <w:i w:val="false"/>
        </w:rPr>
        <w:t>The Parties use nationally commanded, case-specific cooperation including lead-country designation, liaison, operational deconfliction, lawful undercover coordination, mutual legal assistance, extradition cooperation, witness protection and simultaneous national enforcement where appropriate. For a significant joint matter, participating authorities identify the national lead or leads, the lawful cooperation channel, operational boundaries, and any material deconfliction requirement needed to protect personnel, evidence or parallel proceedings. A handoff or change in lead responsibility is recorded through the applicable case channel, and closure of the cooperative phase does not transfer unresolved national legal obligations to another Party. No standing North American strike force possesses independent jurisdiction, and no cooperative designation authorizes an officer to exercise powers unavailable under the law governing that officer's conduct.</w:t>
      </w:r>
    </w:p>
    <w:p>
      <w:pPr>
        <w:pStyle w:val="Heading2"/>
      </w:pPr>
      <w:bookmarkStart w:id="902105" w:name="_Toc300002104"/>
      <w:r>
        <w:rPr>
          <w:i w:val="false"/>
        </w:rPr>
        <w:t>Article 66.18: Illegal Firearms Trafficking</w:t>
      </w:r>
      <w:bookmarkEnd w:id="902105"/>
    </w:p>
    <w:p>
      <w:pPr>
        <w:pStyle w:val="Normal"/>
      </w:pPr>
      <w:r>
        <w:rPr>
          <w:b w:val="false"/>
          <w:i w:val="false"/>
        </w:rPr>
        <w:t>The Parties strengthen tracing, ballistic and technical linkage, trafficking-network investigations, unlawful export and diversion interdiction, straw-purchase investigations where applicable, prosecution coordination and information exchange concerning illegal cross-border firearms flows. A cross-border trace or technical request identifies the available item, transaction or evidentiary reference needed for a competent authority to conduct a lawful search and, where practicable, receives a timely response or notice that additional information is required. Material corrections to trace, ballistic or technical information are communicated to known recipients where the error could affect an investigation, prosecution or other materially adverse decision. Nothing in this Article harmonizes domestic lawful possession rules, creates a continental firearms registry, or authorizes enforcement outside the receiving authority's domestic law.</w:t>
      </w:r>
    </w:p>
    <w:p>
      <w:pPr>
        <w:pStyle w:val="Heading2"/>
      </w:pPr>
      <w:bookmarkStart w:id="902106" w:name="_Toc300002105"/>
      <w:r>
        <w:rPr>
          <w:i w:val="false"/>
        </w:rPr>
        <w:t>Article 66.19: Illicit Finance and Asset Disruption</w:t>
      </w:r>
      <w:bookmarkEnd w:id="902106"/>
    </w:p>
    <w:p>
      <w:pPr>
        <w:pStyle w:val="Normal"/>
      </w:pPr>
      <w:r>
        <w:rPr>
          <w:b w:val="false"/>
          <w:i w:val="false"/>
        </w:rPr>
        <w:t>Competent financial-intelligence, law-enforcement and prosecutorial authorities cooperate against trade-based money laundering, criminal beneficial ownership, virtual-asset laundering, payment-processor abuse, money-service abuse and recoverable criminal assets through lawful national channels. A request for cross-border assistance identifies the lawful purpose and the transaction, entity, asset, typology or evidentiary issue with sufficient specificity for the receiving authority to determine the assistance it may lawfully provide. Participating authorities preserve applicable evidentiary, confidentiality, correction and disposition requirements, including domestic rules governing restraint, forfeiture, return or sharing of assets. This Chapter does not establish a generalized real-time continental transaction feed or permit financial intelligence supplied for a defined purpose to be repurposed without an independent lawful basis.</w:t>
      </w:r>
    </w:p>
    <w:p>
      <w:pPr>
        <w:pStyle w:val="Heading2"/>
      </w:pPr>
      <w:bookmarkStart w:id="902107" w:name="_Toc300002106"/>
      <w:r>
        <w:rPr>
          <w:i w:val="false"/>
        </w:rPr>
        <w:t>Article 66.20: No Enforcement Bounty</w:t>
      </w:r>
      <w:bookmarkEnd w:id="902107"/>
    </w:p>
    <w:p>
      <w:pPr>
        <w:pStyle w:val="Normal"/>
      </w:pPr>
      <w:r>
        <w:rPr>
          <w:b w:val="false"/>
          <w:i w:val="false"/>
        </w:rPr>
        <w:t>Asset forfeiture and seizure cooperation is structured to avoid direct institutional incentives that reward quantity over evidentiary quality, due process or lawful disposition. A participating authority maintains applicable conflict-of-interest, accounting and disposition controls sufficient to distinguish operational cooperation from a financial incentive to seize. Where asset sharing is permitted, the legal basis and disposition remain subject to domestic law and applicable agreements and do not determine whether the underlying seizure was lawful. Performance reporting under this Chapter does not treat gross asset value or seizure count as a standalone measure of compliance or enforcement quality.</w:t>
      </w:r>
    </w:p>
    <w:p>
      <w:pPr>
        <w:pStyle w:val="Heading2"/>
      </w:pPr>
      <w:bookmarkStart w:id="902108" w:name="_Toc300002107"/>
      <w:r>
        <w:rPr>
          <w:i w:val="false"/>
        </w:rPr>
        <w:t>Article 66.21: Cyber and Darknet Trafficking</w:t>
      </w:r>
      <w:bookmarkEnd w:id="902108"/>
    </w:p>
    <w:p>
      <w:pPr>
        <w:pStyle w:val="Normal"/>
      </w:pPr>
      <w:r>
        <w:rPr>
          <w:b w:val="false"/>
          <w:i w:val="false"/>
        </w:rPr>
        <w:t>The Parties cooperate against darknet synthetic-drug markets, illicit online precursor and equipment sales, criminal virtual-asset infrastructure, malicious hosting and domains, and cross-border digital-evidence loss through lawful investigative channels and rapid points of contact. A preservation or assistance request identifies the lawful investigative purpose, the data or service sought with reasonable specificity, and any material urgency known to the requesting authority. Participating authorities use appropriate methods to preserve evidentiary integrity and document jurisdictional handoff where evidence or infrastructure falls under another Party's lawful control. Cooperation closes or narrows when the identified purpose is satisfied, the lawful basis expires, or competent authority determines that continued preservation or access is no longer justified.</w:t>
      </w:r>
    </w:p>
    <w:p>
      <w:pPr>
        <w:pStyle w:val="Heading2"/>
      </w:pPr>
      <w:bookmarkStart w:id="902109" w:name="_Toc300002108"/>
      <w:r>
        <w:rPr>
          <w:i w:val="false"/>
        </w:rPr>
        <w:t>Article 66.22: No Encryption Backdoor Mandate</w:t>
      </w:r>
      <w:bookmarkEnd w:id="902109"/>
    </w:p>
    <w:p>
      <w:pPr>
        <w:pStyle w:val="Normal"/>
      </w:pPr>
      <w:r>
        <w:rPr>
          <w:b w:val="false"/>
          <w:i w:val="false"/>
        </w:rPr>
        <w:t>Nothing in this Chapter requires a Party or private service to create, preserve or mandate a systemic encryption backdoor, universal decryption capability or generalized weakness in secure communications.</w:t>
      </w:r>
    </w:p>
    <w:p>
      <w:pPr>
        <w:pStyle w:val="Heading2"/>
      </w:pPr>
      <w:bookmarkStart w:id="902110" w:name="_Toc300002109"/>
      <w:r>
        <w:rPr>
          <w:i w:val="false"/>
        </w:rPr>
        <w:t>Article 66.23: Targeted Surveillance Authorization Test</w:t>
      </w:r>
      <w:bookmarkEnd w:id="902110"/>
    </w:p>
    <w:p>
      <w:pPr>
        <w:pStyle w:val="Normal"/>
      </w:pPr>
      <w:r>
        <w:rPr>
          <w:b w:val="false"/>
          <w:i w:val="false"/>
        </w:rPr>
        <w:t>Enhanced surveillance cooperation is threat-based, necessary and proportionate to the authorized purpose. Any designated measure defines its purpose, operational place or scope, period, categories of data or persons affected, authorized access, retention, audit and review, and any renewal condition required by domestic law. An emergency authorization does not become a continuing authority merely because the emergency persists operationally, and continuation beyond the lawful emergency period requires the applicable independent authorization or renewal. This Chapter does not create indiscriminate monitoring of lawful movement or an independent surveillance power unavailable under domestic law.</w:t>
      </w:r>
    </w:p>
    <w:p>
      <w:pPr>
        <w:pStyle w:val="Heading2"/>
      </w:pPr>
      <w:bookmarkStart w:id="902111" w:name="_Toc300002110"/>
      <w:r>
        <w:rPr>
          <w:i w:val="false"/>
        </w:rPr>
        <w:t>Article 66.24: No Generalized Biometric or Licence-Plate Interoperability</w:t>
      </w:r>
      <w:bookmarkEnd w:id="902111"/>
    </w:p>
    <w:p>
      <w:pPr>
        <w:pStyle w:val="Normal"/>
      </w:pPr>
      <w:r>
        <w:rPr>
          <w:b w:val="false"/>
          <w:i w:val="false"/>
        </w:rPr>
        <w:t>Nothing in this Chapter establishes a generalized trilateral biometric database, licence-plate database, traveller-surveillance system or automatic cross-border interoperability of such systems. Case-specific lawful identity information may be exchanged where independently authorized and necessary.</w:t>
      </w:r>
    </w:p>
    <w:p>
      <w:pPr>
        <w:pStyle w:val="Heading2"/>
      </w:pPr>
      <w:bookmarkStart w:id="902112" w:name="_Toc300002111"/>
      <w:r>
        <w:rPr>
          <w:i w:val="false"/>
        </w:rPr>
        <w:t>Article 66.25: Information-Sharing Purpose Limitation</w:t>
      </w:r>
      <w:bookmarkEnd w:id="902112"/>
    </w:p>
    <w:p>
      <w:pPr>
        <w:pStyle w:val="Normal"/>
      </w:pPr>
      <w:r>
        <w:rPr>
          <w:b w:val="false"/>
          <w:i w:val="false"/>
        </w:rPr>
        <w:t>Information exchanged under this Chapter may be collected, used, retained and disclosed only for specified lawful purposes consistent with the legal authority governing the exchange. Secondary use requires an independent lawful basis and, where required, originator approval. An onward transfer to another authority or recipient remains subject to the purpose, handling and disclosure conditions attached to the information unless a separate lawful authority expressly permits different treatment. A material correction, restriction or deletion notice received from the originator is propagated to known downstream recipients where practicable and legally required so that stale or inaccurate information does not continue to circulate as authoritative.</w:t>
      </w:r>
    </w:p>
    <w:p>
      <w:pPr>
        <w:pStyle w:val="Heading2"/>
      </w:pPr>
      <w:bookmarkStart w:id="902113" w:name="_Toc300002112"/>
      <w:r>
        <w:rPr>
          <w:i w:val="false"/>
        </w:rPr>
        <w:t>Article 66.26: Data Minimization and Case-Specific Default</w:t>
      </w:r>
      <w:bookmarkEnd w:id="902113"/>
    </w:p>
    <w:p>
      <w:pPr>
        <w:pStyle w:val="Normal"/>
      </w:pPr>
      <w:r>
        <w:rPr>
          <w:b w:val="false"/>
          <w:i w:val="false"/>
        </w:rPr>
        <w:t>The Parties exchange the minimum information reasonably necessary for the authorized purpose and avoid collecting or transferring additional personal information merely because a technical system can accommodate it. Retention periods correspond to the lawful operational purpose, applicable domestic requirements and demonstrated continuing need, with deletion, de-identification or restricted archival treatment applied when the governing basis no longer supports ordinary operational retention. Standing bulk transfer of personal travel, communications or financial data is not required by this Chapter, and any exceptional bulk arrangement identifies its independent legal authority, necessity, access controls, review cycle and termination condition. Case-specific or federated query-and-alert methods are preferred where they provide materially equivalent security value with less unnecessary replication of personal data.</w:t>
      </w:r>
    </w:p>
    <w:p>
      <w:pPr>
        <w:pStyle w:val="Heading2"/>
      </w:pPr>
      <w:bookmarkStart w:id="902114" w:name="_Toc300002113"/>
      <w:r>
        <w:rPr>
          <w:i w:val="false"/>
        </w:rPr>
        <w:t>Article 66.27: Originator Control, Audit and Correction</w:t>
      </w:r>
      <w:bookmarkEnd w:id="902114"/>
    </w:p>
    <w:p>
      <w:pPr>
        <w:pStyle w:val="Normal"/>
      </w:pPr>
      <w:r>
        <w:rPr>
          <w:b w:val="false"/>
          <w:i w:val="false"/>
        </w:rPr>
        <w:t>Information-sharing channels provide appropriate originator controls, access logging, auditability, retention and deletion rules, and procedures for correcting material inaccuracies and propagating corrections to recipients. Access privileges are periodically reviewed against role and operational need, and a material unauthorized-access or handling event is addressed through the responsible Party's applicable incident and accountability process. A correction or restriction issued by the originator is linked to the affected record or identifier and communicated to known recipients where practicable so that the superseded information is not silently retained as current. Audit records remain available for the period required by applicable law or the governing arrangement to verify compliance without creating an indefinite substantive retention mandate for the underlying operational data.</w:t>
      </w:r>
    </w:p>
    <w:p>
      <w:pPr>
        <w:pStyle w:val="Heading2"/>
      </w:pPr>
      <w:bookmarkStart w:id="902115" w:name="_Toc300002114"/>
      <w:r>
        <w:rPr>
          <w:i w:val="false"/>
        </w:rPr>
        <w:t>Article 66.28: Redress and Sensitive Categories</w:t>
      </w:r>
      <w:bookmarkEnd w:id="902115"/>
    </w:p>
    <w:p>
      <w:pPr>
        <w:pStyle w:val="Normal"/>
      </w:pPr>
      <w:r>
        <w:rPr>
          <w:b w:val="false"/>
          <w:i w:val="false"/>
        </w:rPr>
        <w:t>Each Party maintains available domestic mechanisms for appropriate review or redress concerning materially adverse use of information. Those mechanisms provide a practicable route to raise a material accuracy, identity, misuse or unlawful-disclosure concern and to obtain correction or other relief where domestic law provides it. Protected or sensitive categories receive safeguards required by domestic law, and cooperation is not used to create generalized political, religious, journalistic, legal-representation or other protected-activity dossiers. A Party may protect sensitive investigative methods, classified information and third-party rights while still providing the greatest notice, explanation or corrective process permitted by its law.</w:t>
      </w:r>
    </w:p>
    <w:p>
      <w:pPr>
        <w:pStyle w:val="Heading2"/>
      </w:pPr>
      <w:bookmarkStart w:id="902116" w:name="_Toc300002115"/>
      <w:r>
        <w:rPr>
          <w:i w:val="false"/>
        </w:rPr>
        <w:t>Article 66.29: No Automated Adverse Action Solely From Foreign Data</w:t>
      </w:r>
      <w:bookmarkEnd w:id="902116"/>
    </w:p>
    <w:p>
      <w:pPr>
        <w:pStyle w:val="Normal"/>
      </w:pPr>
      <w:r>
        <w:rPr>
          <w:b w:val="false"/>
          <w:i w:val="false"/>
        </w:rPr>
        <w:t>A foreign risk indicator may trigger lawful domestic review but shall not, by itself and without competent domestic authority applying its own law and judgment, automatically determine detention, inadmissibility, seizure, forfeiture, prosecution or other materially adverse governmental action.</w:t>
      </w:r>
    </w:p>
    <w:p>
      <w:pPr>
        <w:pStyle w:val="Heading2"/>
      </w:pPr>
      <w:bookmarkStart w:id="902117" w:name="_Toc300002116"/>
      <w:r>
        <w:rPr>
          <w:i w:val="false"/>
        </w:rPr>
        <w:t>Article 66.30: Immigration-Purpose Firewall</w:t>
      </w:r>
      <w:bookmarkEnd w:id="902117"/>
    </w:p>
    <w:p>
      <w:pPr>
        <w:pStyle w:val="Normal"/>
      </w:pPr>
      <w:r>
        <w:rPr>
          <w:b w:val="false"/>
          <w:i w:val="false"/>
        </w:rPr>
        <w:t>Information or capability created specifically under this Chapter for illicit-drug, precursor, firearms, organized-crime or related security purposes shall not create a generalized immigration-enforcement mandate. Any immigration use must rest on independent domestic authority and applicable information-sharing terms. Where information also falls within Article 60.4, the narrower disclosure exception in Article 60.4(2) and the cumulative safeguards preserved by that provision continue to apply; independent immigration authority under this Article does not by itself satisfy those requirements.</w:t>
      </w:r>
    </w:p>
    <w:p>
      <w:pPr>
        <w:pStyle w:val="Heading2"/>
      </w:pPr>
      <w:bookmarkStart w:id="902118" w:name="_Toc300002117"/>
      <w:r>
        <w:rPr>
          <w:i w:val="false"/>
        </w:rPr>
        <w:t>Article 66.31: Indigenous and Border-Community Protection</w:t>
      </w:r>
      <w:bookmarkEnd w:id="902118"/>
    </w:p>
    <w:p>
      <w:pPr>
        <w:pStyle w:val="Normal"/>
      </w:pPr>
      <w:r>
        <w:rPr>
          <w:b w:val="false"/>
          <w:i w:val="false"/>
        </w:rPr>
        <w:t>Implementation respects applicable Indigenous rights, treaties, consultation obligations, cross-border community interests and lawful traditional mobility. Technology deployment and infrastructure remain subject to applicable domestic rights, environmental and consultation requirements. Where a planned measure materially affects a protected right, recognized traditional mobility practice or community access interest, the responsible authority uses the consultation, accommodation or review process required by its law before treating the measure as fully implemented under this Chapter. An emergency security action may proceed where domestic law permits, but emergency use does not extinguish any subsequent consultation, review, mitigation or restoration obligation that remains applicable.</w:t>
      </w:r>
    </w:p>
    <w:p>
      <w:pPr>
        <w:pStyle w:val="Heading2"/>
      </w:pPr>
      <w:bookmarkStart w:id="902119" w:name="_Toc300002118"/>
      <w:r>
        <w:rPr>
          <w:i w:val="false"/>
        </w:rPr>
        <w:t>Article 66.32: Personnel, Training and Integrity</w:t>
      </w:r>
      <w:bookmarkEnd w:id="902119"/>
    </w:p>
    <w:p>
      <w:pPr>
        <w:pStyle w:val="Normal"/>
      </w:pPr>
      <w:r>
        <w:rPr>
          <w:b w:val="false"/>
          <w:i w:val="false"/>
        </w:rPr>
        <w:t>The Parties strengthen technical training, officer safety, anti-corruption controls, rights and privacy training, chemical handling, tunnel and counter-drone capability, financial investigation and multimodal interdiction through existing national institutions and agreed exchanges. Competent authorities identify the role-specific competencies needed for personnel performing a scheduled Chapter 66 function and use training, qualification, supervised practice or a functionally equivalent method to establish readiness. Material changes in technology, threat method, legal authority or recurring operational error inform refresher or remedial training appropriate to the affected function. This Chapter does not require creation of a supranational academy, common employment standard or trilateral certification body, and national authorities retain responsibility for personnel discipline and qualification.</w:t>
      </w:r>
    </w:p>
    <w:p>
      <w:pPr>
        <w:pStyle w:val="Heading2"/>
      </w:pPr>
      <w:bookmarkStart w:id="902120" w:name="_Toc300002119"/>
      <w:r>
        <w:rPr>
          <w:i w:val="false"/>
        </w:rPr>
        <w:t>Article 66.33: Public Health and Officer Safety</w:t>
      </w:r>
      <w:bookmarkEnd w:id="902120"/>
    </w:p>
    <w:p>
      <w:pPr>
        <w:pStyle w:val="Normal"/>
      </w:pPr>
      <w:r>
        <w:rPr>
          <w:b w:val="false"/>
          <w:i w:val="false"/>
        </w:rPr>
        <w:t>Implementation supports appropriate naloxone availability, personal protective equipment, exposure protocols, toxic-supply warnings and non-identifying chemical intelligence. Competent authorities record and review material occupational exposure or safety incidents where doing so can identify a preventable equipment, training or procedural failure. Relevant lessons may be incorporated into updated safety guidance or training without requiring disclosure of identifying medical information beyond applicable law. Changes in overdose mortality may inform evaluation but are not attributed solely to enforcement activity absent appropriate evidence separating material public-health, supply and enforcement factors.</w:t>
      </w:r>
    </w:p>
    <w:p>
      <w:pPr>
        <w:pStyle w:val="Heading2"/>
      </w:pPr>
      <w:bookmarkStart w:id="902121" w:name="_Toc300002120"/>
      <w:r>
        <w:t>Article 66.34: North American Shield Coordination</w:t>
      </w:r>
      <w:bookmarkEnd w:id="902121"/>
    </w:p>
    <w:p>
      <w:pPr>
        <w:pStyle w:val="Normal"/>
      </w:pPr>
      <w:r>
        <w:t>The Commission oversees Chapter 66 implementation and may convene a North American Shield coordination session composed of the relevant existing national security, customs, law-enforcement, public-health and trade officials; the session coordinates work plans, implementation records, technical workstreams, reporting and review but exercises no operational command. For legal-status purposes, Annex 66-A is a reference index to binding obligations found in operative Chapter 66 text and does not create an unmatched obligation by listing it; Annexes 66-B and 66-C are Layer Two technical and implementation instruments only to the extent validly adopted or maintained under Article 34.3.A; Annex 66-D is optional; Annex 66-E is non-binding communications material; and Annex 66-F is the treaty-wide verification rule stated on its face. Material implementation issues may be elevated to the Commission, while eligible technical changes to Annexes 66-B and 66-C require the Article 34.3.A procedure and a recommendation from an existing body designated by the Commission for that subject matter. A change to a Chapter 66 substantive right, obligation, exception, remedy, deadline, security safeguard, or legal status requires Article 34.3 or another express treaty authority and cannot be accomplished through a coordination session, register entry, or technical workstream.</w:t>
      </w:r>
    </w:p>
    <w:p>
      <w:pPr>
        <w:pStyle w:val="Heading2"/>
      </w:pPr>
      <w:bookmarkStart w:id="902122" w:name="_Toc300002121"/>
      <w:r>
        <w:rPr>
          <w:i w:val="false"/>
        </w:rPr>
        <w:t>Article 66.35: Shield Performance Dashboard</w:t>
      </w:r>
      <w:bookmarkEnd w:id="902122"/>
    </w:p>
    <w:p>
      <w:pPr>
        <w:pStyle w:val="Normal"/>
      </w:pPr>
      <w:r>
        <w:t>The Secretariat, under Commission oversight and using information supplied by competent national authorities, maintains a public performance framework with separate panels for capability, targeting, interdiction, network disruption, legitimate-trade fluidity, and rights and integrity. The framework identifies the reporting period, source authority, metric definition and material methodological limitation needed to interpret each published indicator. A material correction or methodological change is dated and explained, and unavailable data is identified as unavailable rather than silently estimated unless the estimation method is expressly disclosed. No single seizure, arrest, interdiction or modeled outcome metric determines compliance, and dashboard publication does not substitute for the verification process applicable to a disputed commitment.</w:t>
      </w:r>
    </w:p>
    <w:p>
      <w:pPr>
        <w:pStyle w:val="Heading2"/>
      </w:pPr>
      <w:bookmarkStart w:id="902123" w:name="_Toc300002122"/>
      <w:r>
        <w:rPr>
          <w:i w:val="false"/>
        </w:rPr>
        <w:t>Article 66.36: Metric Integrity</w:t>
      </w:r>
      <w:bookmarkEnd w:id="902123"/>
    </w:p>
    <w:p>
      <w:pPr>
        <w:pStyle w:val="Normal"/>
      </w:pPr>
      <w:r>
        <w:rPr>
          <w:b w:val="false"/>
          <w:i w:val="false"/>
        </w:rPr>
        <w:t>Seizures are enforcement indicators, not standalone measures of underlying trafficking volume. Falling seizures do not automatically establish success; rising seizures do not automatically establish failure. Modeled estimates shall disclose methodology, material uncertainty and revision where practicable.</w:t>
      </w:r>
    </w:p>
    <w:p>
      <w:pPr>
        <w:pStyle w:val="Heading2"/>
      </w:pPr>
      <w:bookmarkStart w:id="902124" w:name="_Toc300002123"/>
      <w:r>
        <w:rPr>
          <w:i w:val="false"/>
        </w:rPr>
        <w:t>Article 66.37: Security Performance Assurance</w:t>
      </w:r>
      <w:bookmarkEnd w:id="902124"/>
    </w:p>
    <w:p>
      <w:pPr>
        <w:pStyle w:val="Normal"/>
      </w:pPr>
      <w:r>
        <w:t>Compliance evaluation begins with implementation and maintenance verified at first instance by the competent Party authority identified under Annex 66-F, using the relevant national security, customs, law-enforcement, public-health, trade, audit, or other existing authority for the commitment examined. The assessment identifies the commitment, verifying authority, evidence, material data limitation or contested fact, and whether the alleged deficiency is material to the agreed security function; outcome indicators may inform context but do not replace evidence of governmental implementation or non-performance unless the applicable commitment expressly establishes an outcome-based standard. Where that assessment affects another Party's rights, Article 66.38 safe-harbor treatment, Article 66.39 exhaustion, or another cross-border treaty consequence, the first-instance certification is contestable through Article 66.40 and the applicable Chapter 31 or other controlling review route and is not conclusive merely because the assessed Party issued it. A compliance conclusion under this Article feeds the verification, consultation and cure process in Article 66.40 and creates no independent remedy authority.</w:t>
      </w:r>
    </w:p>
    <w:p>
      <w:pPr>
        <w:pStyle w:val="Heading2"/>
      </w:pPr>
      <w:bookmarkStart w:id="902125" w:name="_Toc300002124"/>
      <w:r>
        <w:rPr>
          <w:i w:val="false"/>
        </w:rPr>
        <w:t>Article 66.38: Security Performance Safe Harbor</w:t>
      </w:r>
      <w:bookmarkEnd w:id="902125"/>
    </w:p>
    <w:p>
      <w:pPr>
        <w:pStyle w:val="Normal"/>
      </w:pPr>
      <w:r>
        <w:rPr>
          <w:b w:val="false"/>
          <w:i w:val="false"/>
        </w:rPr>
        <w:t>Where a Party substantially implements and maintains the commitments applicable to it under this Chapter, the continued existence, discovery, or fluctuation of illicit trafficking, standing alone, does not establish breach or constitute sufficient basis under this Agreement for new trade restrictions against that Party; substantial implementation is assessed against the commitments actually applicable to the Party, their material security function, and verified evidence of sustained performance rather than perfect prevention of illicit conduct by private actors. This safe harbor is an evidentiary and implementation rule for Chapter 66 and does not enlarge, narrow, replace, or independently satisfy the essential-security exception in Article 32.2 as replaced or the special review lane in Article 35.22; a security measure affecting originating goods remains subject to those provisions, while a disputed Chapter 66 implementation assessment proceeds through Article 66.40 and the applicable review route. The safe harbor does not protect material governmental non-performance, deliberate concealment of a known implementation failure, or failure to cure a verified material deficiency under Article 66.40. A determination that the safe harbor is unavailable identifies the specific commitment and evidence supporting that conclusion rather than relying solely on seizure volume, overdose outcomes, or generalized trafficking estimates.</w:t>
      </w:r>
    </w:p>
    <w:p>
      <w:pPr>
        <w:pStyle w:val="Heading2"/>
      </w:pPr>
      <w:bookmarkStart w:id="902126" w:name="_Toc300002125"/>
      <w:r>
        <w:rPr>
          <w:i w:val="false"/>
        </w:rPr>
        <w:t>Article 66.39: Covered-Rationale Exhaustion</w:t>
      </w:r>
      <w:bookmarkEnd w:id="902126"/>
    </w:p>
    <w:p>
      <w:pPr>
        <w:pStyle w:val="Normal"/>
      </w:pPr>
      <w:r>
        <w:rPr>
          <w:b w:val="false"/>
          <w:i w:val="false"/>
        </w:rPr>
        <w:t>A border-security or illicit-drug concern materially addressed through verified substantial implementation of this Chapter is not recycled indefinitely as a unilateral trade rationale without new material evidence of governmental non-performance relevant to the agreed commitments. New evidence is material only where it bears on a commitment applicable to the Party and could reasonably alter the prior implementation assessment. A changed trafficking method, volume estimate or criminal adaptation does not by itself establish renewed governmental non-performance where the Party continues to satisfy the applicable commitment, but it may support consultation on whether the agreed measures require prospective modernization. The Party invoking new material evidence identifies it through the applicable consultation or verification channel so that the earlier resolved rationale is not silently revived.</w:t>
      </w:r>
    </w:p>
    <w:p>
      <w:pPr>
        <w:pStyle w:val="Heading2"/>
      </w:pPr>
      <w:bookmarkStart w:id="902127" w:name="_Toc300002126"/>
      <w:r>
        <w:rPr>
          <w:i w:val="false"/>
        </w:rPr>
        <w:t>Article 66.40: Verification, Consultation and Cure</w:t>
      </w:r>
      <w:bookmarkEnd w:id="902127"/>
    </w:p>
    <w:p>
      <w:pPr>
        <w:pStyle w:val="Normal"/>
      </w:pPr>
      <w:r>
        <w:t>A Party alleging material non-performance identifies the commitment and supporting evidence, permits verification consistent with this Agreement, consults promptly, and provides a reasonable short cure period where cure is possible before seeking a responsive measure. The consultation record identifies the alleged deficiency, material evidence, any uncontested facts, the cure expected, and the applicable review or completion point so that unresolved disagreement is not mistaken for verified non-performance. A Party may take an urgent action otherwise authorized by this Agreement where delay would defeat that authority, but urgency does not create an independent Chapter 66 remedy or erase an applicable restoration obligation. Any trade remedy or suspension of a treaty benefit is authorized only under Chapter 31, Chapter 35, or another expressly applicable provision; this Article creates no independent sanctions authority.</w:t>
      </w:r>
    </w:p>
    <w:p>
      <w:pPr>
        <w:pStyle w:val="Heading2"/>
      </w:pPr>
      <w:bookmarkStart w:id="902128" w:name="_Toc300002127"/>
      <w:r>
        <w:rPr>
          <w:i w:val="false"/>
        </w:rPr>
        <w:t>Article 66.41: Proportional Shield-Specific Step-Back and Restoration</w:t>
      </w:r>
      <w:bookmarkEnd w:id="902128"/>
    </w:p>
    <w:p>
      <w:pPr>
        <w:pStyle w:val="Normal"/>
      </w:pPr>
      <w:r>
        <w:t>Where material non-performance persists after verification and cure, any step-back otherwise authorized by this Agreement is proportionate and, to the maximum extent practicable, connected to the affected Shield cooperation rather than unrelated trade. The authorizing decision identifies the verified deficiency, legal authority, affected cooperation or benefit, proportional scope, and condition for restoration. A step-back does not expand beyond the authority under which it is taken and does not restart an expired security clock established by Annex 35-D, revive an expired security-necessity review period or necessity determination under Article 32.A.9, reopen a completed normalization under this Agreement, including a completed staged, quota-based, or tariff-component normalization, or diminish an acquired right unless this Agreement expressly permits that consequence. The suspended benefit or cooperation is restored automatically when verified performance resumes, consistent with Chapter 35 and the Agreement's no-uncompensated-front-loading architecture.</w:t>
      </w:r>
    </w:p>
    <w:p>
      <w:pPr>
        <w:pStyle w:val="Heading2"/>
      </w:pPr>
      <w:bookmarkStart w:id="902129" w:name="_Toc300002128"/>
      <w:r>
        <w:rPr>
          <w:i w:val="false"/>
        </w:rPr>
        <w:t>Article 66.42: Review, Pilots and No Automatic Permanence</w:t>
      </w:r>
      <w:bookmarkEnd w:id="902129"/>
    </w:p>
    <w:p>
      <w:pPr>
        <w:pStyle w:val="Normal"/>
      </w:pPr>
      <w:r>
        <w:rPr>
          <w:b w:val="false"/>
          <w:i w:val="false"/>
        </w:rPr>
        <w:t>The Parties periodically review this Chapter to determine whether its operational mechanisms remain necessary, effective, proportionate and administratively workable. Authority-sensitive pilots progress only through concept validation, legal-authority verification, controlled deployment, independent or appropriately separated evaluation, and an express decision by the participating competent authorities on eligibility for program status. A pilot record identifies its purpose, participating authorities, duration or review point, evaluation criteria, data and rights safeguards, and the condition for termination, continuation or transition to a regular program. Deployment alone does not create permanent authority or entitlement to continuation, and expiration or termination of a pilot restores the pre-pilot legal position except for lawful record-retention, accountability or completed-action consequences.</w:t>
      </w:r>
    </w:p>
    <w:p>
      <w:pPr>
        <w:pStyle w:val="Heading2"/>
      </w:pPr>
      <w:bookmarkStart w:id="902130" w:name="_Toc300002129"/>
      <w:r>
        <w:t>ANNEX 66-A: BINDING-OBLIGATION REFERENCE REGISTER (REFERENCE ONLY; OPERATIVE CHAPTER 66 TEXT CONTROLS)</w:t>
      </w:r>
      <w:bookmarkEnd w:id="902130"/>
    </w:p>
    <w:p>
      <w:pPr>
        <w:pStyle w:val="Normal"/>
      </w:pPr>
      <w:r>
        <w:t>The following forty-one mechanisms are a reference register for load-bearing obligations stated in operative Chapter 66 text. An entry is binding only to the extent the corresponding Chapter 66 provision imposes the obligation, and an unmatched or abbreviated register label does not independently create, enlarge, narrow, or supersede an obligation. If a register label and operative Chapter 66 text differ, the operative text controls. Maintenance of this reference register cannot change substantive legal effect except through Article 34.3 or another express treaty authority.</w:t>
      </w:r>
    </w:p>
    <w:p>
      <w:pPr>
        <w:pStyle w:val="Normal"/>
      </w:pPr>
      <w:r>
        <w:rPr>
          <w:b w:val="false"/>
          <w:i w:val="false"/>
        </w:rPr>
        <w:t>A66-A.1. National command and exclusive operational control.</w:t>
      </w:r>
    </w:p>
    <w:p>
      <w:pPr>
        <w:pStyle w:val="Normal"/>
      </w:pPr>
      <w:r>
        <w:rPr>
          <w:b w:val="false"/>
          <w:i w:val="false"/>
        </w:rPr>
        <w:t>A66-A.2. No foreign enforcement powers.</w:t>
      </w:r>
    </w:p>
    <w:p>
      <w:pPr>
        <w:pStyle w:val="Normal"/>
      </w:pPr>
      <w:r>
        <w:rPr>
          <w:b w:val="false"/>
          <w:i w:val="false"/>
        </w:rPr>
        <w:t>A66-A.3. No supranational police authority.</w:t>
      </w:r>
    </w:p>
    <w:p>
      <w:pPr>
        <w:pStyle w:val="Normal"/>
      </w:pPr>
      <w:r>
        <w:rPr>
          <w:b w:val="false"/>
          <w:i w:val="false"/>
        </w:rPr>
        <w:t>A66-A.4. Domestic legal authority prerequisite.</w:t>
      </w:r>
    </w:p>
    <w:p>
      <w:pPr>
        <w:pStyle w:val="Normal"/>
      </w:pPr>
      <w:r>
        <w:rPr>
          <w:b w:val="false"/>
          <w:i w:val="false"/>
        </w:rPr>
        <w:t>A66-A.5. Judicial authorization where required.</w:t>
      </w:r>
    </w:p>
    <w:p>
      <w:pPr>
        <w:pStyle w:val="Normal"/>
      </w:pPr>
      <w:r>
        <w:rPr>
          <w:b w:val="false"/>
          <w:i w:val="false"/>
        </w:rPr>
        <w:t>A66-A.6. National control of targeting and enforcement decisions.</w:t>
      </w:r>
    </w:p>
    <w:p>
      <w:pPr>
        <w:pStyle w:val="Normal"/>
      </w:pPr>
      <w:r>
        <w:rPr>
          <w:b w:val="false"/>
          <w:i w:val="false"/>
        </w:rPr>
        <w:t>A66-A.7. Observer and liaison status limitation.</w:t>
      </w:r>
    </w:p>
    <w:p>
      <w:pPr>
        <w:pStyle w:val="Normal"/>
      </w:pPr>
      <w:r>
        <w:rPr>
          <w:b w:val="false"/>
          <w:i w:val="false"/>
        </w:rPr>
        <w:t>A66-A.8. Purpose limitation.</w:t>
      </w:r>
    </w:p>
    <w:p>
      <w:pPr>
        <w:pStyle w:val="Normal"/>
      </w:pPr>
      <w:r>
        <w:rPr>
          <w:b w:val="false"/>
          <w:i w:val="false"/>
        </w:rPr>
        <w:t>A66-A.9. Data minimization.</w:t>
      </w:r>
    </w:p>
    <w:p>
      <w:pPr>
        <w:pStyle w:val="Normal"/>
      </w:pPr>
      <w:r>
        <w:rPr>
          <w:b w:val="false"/>
          <w:i w:val="false"/>
        </w:rPr>
        <w:t>A66-A.10. No standing bulk personal-data transfer.</w:t>
      </w:r>
    </w:p>
    <w:p>
      <w:pPr>
        <w:pStyle w:val="Normal"/>
      </w:pPr>
      <w:r>
        <w:rPr>
          <w:b w:val="false"/>
          <w:i w:val="false"/>
        </w:rPr>
        <w:t>A66-A.11. Case-specific or federated sharing default.</w:t>
      </w:r>
    </w:p>
    <w:p>
      <w:pPr>
        <w:pStyle w:val="Normal"/>
      </w:pPr>
      <w:r>
        <w:rPr>
          <w:b w:val="false"/>
          <w:i w:val="false"/>
        </w:rPr>
        <w:t>A66-A.12. Originator control.</w:t>
      </w:r>
    </w:p>
    <w:p>
      <w:pPr>
        <w:pStyle w:val="Normal"/>
      </w:pPr>
      <w:r>
        <w:rPr>
          <w:b w:val="false"/>
          <w:i w:val="false"/>
        </w:rPr>
        <w:t>A66-A.13. Access logging and auditability.</w:t>
      </w:r>
    </w:p>
    <w:p>
      <w:pPr>
        <w:pStyle w:val="Normal"/>
      </w:pPr>
      <w:r>
        <w:rPr>
          <w:b w:val="false"/>
          <w:i w:val="false"/>
        </w:rPr>
        <w:t>A66-A.14. Retention and deletion discipline.</w:t>
      </w:r>
    </w:p>
    <w:p>
      <w:pPr>
        <w:pStyle w:val="Normal"/>
      </w:pPr>
      <w:r>
        <w:rPr>
          <w:b w:val="false"/>
          <w:i w:val="false"/>
        </w:rPr>
        <w:t>A66-A.15. Correction propagation.</w:t>
      </w:r>
    </w:p>
    <w:p>
      <w:pPr>
        <w:pStyle w:val="Normal"/>
      </w:pPr>
      <w:r>
        <w:rPr>
          <w:b w:val="false"/>
          <w:i w:val="false"/>
        </w:rPr>
        <w:t>A66-A.16. Individual redress.</w:t>
      </w:r>
    </w:p>
    <w:p>
      <w:pPr>
        <w:pStyle w:val="Normal"/>
      </w:pPr>
      <w:r>
        <w:rPr>
          <w:b w:val="false"/>
          <w:i w:val="false"/>
        </w:rPr>
        <w:t>A66-A.17. Sensitive-category safeguards.</w:t>
      </w:r>
    </w:p>
    <w:p>
      <w:pPr>
        <w:pStyle w:val="Normal"/>
      </w:pPr>
      <w:r>
        <w:rPr>
          <w:b w:val="false"/>
          <w:i w:val="false"/>
        </w:rPr>
        <w:t>A66-A.18. Lawful protest and dissent firewall.</w:t>
      </w:r>
    </w:p>
    <w:p>
      <w:pPr>
        <w:pStyle w:val="Normal"/>
      </w:pPr>
      <w:r>
        <w:rPr>
          <w:b w:val="false"/>
          <w:i w:val="false"/>
        </w:rPr>
        <w:t>A66-A.19. Biometric non-interoperability.</w:t>
      </w:r>
    </w:p>
    <w:p>
      <w:pPr>
        <w:pStyle w:val="Normal"/>
      </w:pPr>
      <w:r>
        <w:rPr>
          <w:b w:val="false"/>
          <w:i w:val="false"/>
        </w:rPr>
        <w:t>A66-A.20. National or federated data architecture.</w:t>
      </w:r>
    </w:p>
    <w:p>
      <w:pPr>
        <w:pStyle w:val="Normal"/>
      </w:pPr>
      <w:r>
        <w:rPr>
          <w:b w:val="false"/>
          <w:i w:val="false"/>
        </w:rPr>
        <w:t>A66-A.21. Anti-profiling review.</w:t>
      </w:r>
    </w:p>
    <w:p>
      <w:pPr>
        <w:pStyle w:val="Normal"/>
      </w:pPr>
      <w:r>
        <w:rPr>
          <w:b w:val="false"/>
          <w:i w:val="false"/>
        </w:rPr>
        <w:t>A66-A.22. Indigenous border-community protection.</w:t>
      </w:r>
    </w:p>
    <w:p>
      <w:pPr>
        <w:pStyle w:val="Normal"/>
      </w:pPr>
      <w:r>
        <w:rPr>
          <w:b w:val="false"/>
          <w:i w:val="false"/>
        </w:rPr>
        <w:t>A66-A.23. Independent serious-incident review.</w:t>
      </w:r>
    </w:p>
    <w:p>
      <w:pPr>
        <w:pStyle w:val="Normal"/>
      </w:pPr>
      <w:r>
        <w:rPr>
          <w:b w:val="false"/>
          <w:i w:val="false"/>
        </w:rPr>
        <w:t>A66-A.24. Public transparency floor.</w:t>
      </w:r>
    </w:p>
    <w:p>
      <w:pPr>
        <w:pStyle w:val="Normal"/>
      </w:pPr>
      <w:r>
        <w:rPr>
          <w:b w:val="false"/>
          <w:i w:val="false"/>
        </w:rPr>
        <w:t>A66-A.25. Whistleblower protection.</w:t>
      </w:r>
    </w:p>
    <w:p>
      <w:pPr>
        <w:pStyle w:val="Normal"/>
      </w:pPr>
      <w:r>
        <w:rPr>
          <w:b w:val="false"/>
          <w:i w:val="false"/>
        </w:rPr>
        <w:t>A66-A.26. Domestic constitutional and rights review.</w:t>
      </w:r>
    </w:p>
    <w:p>
      <w:pPr>
        <w:pStyle w:val="Normal"/>
      </w:pPr>
      <w:r>
        <w:rPr>
          <w:b w:val="false"/>
          <w:i w:val="false"/>
        </w:rPr>
        <w:t>A66-A.27. Shield Reciprocity Doctrine.</w:t>
      </w:r>
    </w:p>
    <w:p>
      <w:pPr>
        <w:pStyle w:val="Normal"/>
      </w:pPr>
      <w:r>
        <w:rPr>
          <w:b w:val="false"/>
          <w:i w:val="false"/>
        </w:rPr>
        <w:t>A66-A.28. Reciprocity for serious illicit flows.</w:t>
      </w:r>
    </w:p>
    <w:p>
      <w:pPr>
        <w:pStyle w:val="Normal"/>
      </w:pPr>
      <w:r>
        <w:rPr>
          <w:b w:val="false"/>
          <w:i w:val="false"/>
        </w:rPr>
        <w:t>A66-A.29. Illegal-firearms reciprocity.</w:t>
      </w:r>
    </w:p>
    <w:p>
      <w:pPr>
        <w:pStyle w:val="Normal"/>
      </w:pPr>
      <w:r>
        <w:rPr>
          <w:b w:val="false"/>
          <w:i w:val="false"/>
        </w:rPr>
        <w:t>A66-A.30. Secure-and-Accelerate legitimate-trade reciprocity.</w:t>
      </w:r>
    </w:p>
    <w:p>
      <w:pPr>
        <w:pStyle w:val="Normal"/>
      </w:pPr>
      <w:r>
        <w:rPr>
          <w:b w:val="false"/>
          <w:i w:val="false"/>
        </w:rPr>
        <w:t>A66-A.31. Mutual technology and capacity cooperation.</w:t>
      </w:r>
    </w:p>
    <w:p>
      <w:pPr>
        <w:pStyle w:val="Normal"/>
      </w:pPr>
      <w:r>
        <w:rPr>
          <w:b w:val="false"/>
          <w:i w:val="false"/>
        </w:rPr>
        <w:t>A66-A.32. Substantial-performance safe harbor.</w:t>
      </w:r>
    </w:p>
    <w:p>
      <w:pPr>
        <w:pStyle w:val="Normal"/>
      </w:pPr>
      <w:r>
        <w:rPr>
          <w:b w:val="false"/>
          <w:i w:val="false"/>
        </w:rPr>
        <w:t>A66-A.33. No individual trafficking event as automatic breach.</w:t>
      </w:r>
    </w:p>
    <w:p>
      <w:pPr>
        <w:pStyle w:val="Normal"/>
      </w:pPr>
      <w:r>
        <w:rPr>
          <w:b w:val="false"/>
          <w:i w:val="false"/>
        </w:rPr>
        <w:t>A66-A.34. No seizure-volume quota as legal compliance test.</w:t>
      </w:r>
    </w:p>
    <w:p>
      <w:pPr>
        <w:pStyle w:val="Normal"/>
      </w:pPr>
      <w:r>
        <w:rPr>
          <w:b w:val="false"/>
          <w:i w:val="false"/>
        </w:rPr>
        <w:t>A66-A.35. Outcome deterioration alone insufficient where agreed measures are maintained in good faith.</w:t>
      </w:r>
    </w:p>
    <w:p>
      <w:pPr>
        <w:pStyle w:val="Normal"/>
      </w:pPr>
      <w:r>
        <w:rPr>
          <w:b w:val="false"/>
          <w:i w:val="false"/>
        </w:rPr>
        <w:t>A66-A.36. No unilateral security-to-trade escalation after substantial performance.</w:t>
      </w:r>
    </w:p>
    <w:p>
      <w:pPr>
        <w:pStyle w:val="Normal"/>
      </w:pPr>
      <w:r>
        <w:rPr>
          <w:b w:val="false"/>
          <w:i w:val="false"/>
        </w:rPr>
        <w:t>A66-A.37. Evidence and verification requirement.</w:t>
      </w:r>
    </w:p>
    <w:p>
      <w:pPr>
        <w:pStyle w:val="Normal"/>
      </w:pPr>
      <w:r>
        <w:rPr>
          <w:b w:val="false"/>
          <w:i w:val="false"/>
        </w:rPr>
        <w:t>A66-A.38. Consultation and cure architecture.</w:t>
      </w:r>
    </w:p>
    <w:p>
      <w:pPr>
        <w:pStyle w:val="Normal"/>
      </w:pPr>
      <w:r>
        <w:rPr>
          <w:b w:val="false"/>
          <w:i w:val="false"/>
        </w:rPr>
        <w:t>A66-A.39. Proportional Shield-specific step-back with automatic restoration.</w:t>
      </w:r>
    </w:p>
    <w:p>
      <w:pPr>
        <w:pStyle w:val="Normal"/>
      </w:pPr>
      <w:r>
        <w:rPr>
          <w:b w:val="false"/>
          <w:i w:val="false"/>
        </w:rPr>
        <w:t>A66-A.40. No encryption-backdoor mandate.</w:t>
      </w:r>
    </w:p>
    <w:p>
      <w:pPr>
        <w:pStyle w:val="Normal"/>
      </w:pPr>
      <w:r>
        <w:rPr>
          <w:b w:val="false"/>
          <w:i w:val="false"/>
        </w:rPr>
        <w:t>A66-A.41. No generalized traveller, biometric or licence-plate surveillance architecture.</w:t>
      </w:r>
    </w:p>
    <w:p>
      <w:pPr>
        <w:pStyle w:val="Heading2"/>
      </w:pPr>
      <w:bookmarkStart w:id="902131" w:name="_Toc300002130"/>
      <w:r>
        <w:t>ANNEX 66-B: OPERATIONAL MECHANISMS REFERENCE REGISTER</w:t>
      </w:r>
      <w:bookmarkEnd w:id="902131"/>
    </w:p>
    <w:p>
      <w:pPr>
        <w:pStyle w:val="Normal"/>
      </w:pPr>
      <w:r>
        <w:t>The following one hundred thirty-two mechanisms constitute the initial operational architecture and operate only within authority supplied by Chapter 66, domestic law, or another applicable treaty provision. Eligible technical specifications may evolve by consensus only through Article 34.3.A, including its competent-body recommendation, notice, scope screen, and prohibition on changing protected substantive terms. Article 46.11 may correct only non-substantive typographical, cross-reference, numbering, or formatting defects. A mechanism cannot acquire new enforcement, surveillance, procurement, funding, remedy, exception, or other substantive authority merely through register maintenance or technical revision.</w:t>
      </w:r>
    </w:p>
    <w:p>
      <w:pPr>
        <w:pStyle w:val="Normal"/>
      </w:pPr>
      <w:r>
        <w:rPr>
          <w:b/>
          <w:i w:val="false"/>
        </w:rPr>
        <w:t>Detection, NII, Canines and Forensics</w:t>
      </w:r>
    </w:p>
    <w:p>
      <w:pPr>
        <w:pStyle w:val="Normal"/>
      </w:pPr>
      <w:r>
        <w:rPr>
          <w:b w:val="false"/>
          <w:i w:val="false"/>
        </w:rPr>
        <w:t>A66-B.1. High-throughput commercial-vehicle NII.</w:t>
      </w:r>
    </w:p>
    <w:p>
      <w:pPr>
        <w:pStyle w:val="Normal"/>
      </w:pPr>
      <w:r>
        <w:rPr>
          <w:b w:val="false"/>
          <w:i w:val="false"/>
        </w:rPr>
        <w:t>A66-B.2. Passenger-vehicle NII where lawful and risk-appropriate.</w:t>
      </w:r>
    </w:p>
    <w:p>
      <w:pPr>
        <w:pStyle w:val="Normal"/>
      </w:pPr>
      <w:r>
        <w:rPr>
          <w:b w:val="false"/>
          <w:i w:val="false"/>
        </w:rPr>
        <w:t>A66-B.3. Rail consist imaging.</w:t>
      </w:r>
    </w:p>
    <w:p>
      <w:pPr>
        <w:pStyle w:val="Normal"/>
      </w:pPr>
      <w:r>
        <w:rPr>
          <w:b w:val="false"/>
          <w:i w:val="false"/>
        </w:rPr>
        <w:t>A66-B.4. Marine-container imaging.</w:t>
      </w:r>
    </w:p>
    <w:p>
      <w:pPr>
        <w:pStyle w:val="Normal"/>
      </w:pPr>
      <w:r>
        <w:rPr>
          <w:b w:val="false"/>
          <w:i w:val="false"/>
        </w:rPr>
        <w:t>A66-B.5. Air-cargo imaging.</w:t>
      </w:r>
    </w:p>
    <w:p>
      <w:pPr>
        <w:pStyle w:val="Normal"/>
      </w:pPr>
      <w:r>
        <w:rPr>
          <w:b w:val="false"/>
          <w:i w:val="false"/>
        </w:rPr>
        <w:t>A66-B.6. Mobile NII deployment.</w:t>
      </w:r>
    </w:p>
    <w:p>
      <w:pPr>
        <w:pStyle w:val="Normal"/>
      </w:pPr>
      <w:r>
        <w:rPr>
          <w:b w:val="false"/>
          <w:i w:val="false"/>
        </w:rPr>
        <w:t>A66-B.7. Backscatter inspection capability.</w:t>
      </w:r>
    </w:p>
    <w:p>
      <w:pPr>
        <w:pStyle w:val="Normal"/>
      </w:pPr>
      <w:r>
        <w:rPr>
          <w:b w:val="false"/>
          <w:i w:val="false"/>
        </w:rPr>
        <w:t>A66-B.8. Under-vehicle imaging.</w:t>
      </w:r>
    </w:p>
    <w:p>
      <w:pPr>
        <w:pStyle w:val="Normal"/>
      </w:pPr>
      <w:r>
        <w:rPr>
          <w:b w:val="false"/>
          <w:i w:val="false"/>
        </w:rPr>
        <w:t>A66-B.9. Trace narcotics detection.</w:t>
      </w:r>
    </w:p>
    <w:p>
      <w:pPr>
        <w:pStyle w:val="Normal"/>
      </w:pPr>
      <w:r>
        <w:rPr>
          <w:b w:val="false"/>
          <w:i w:val="false"/>
        </w:rPr>
        <w:t>A66-B.10. Ion-mobility trace screening.</w:t>
      </w:r>
    </w:p>
    <w:p>
      <w:pPr>
        <w:pStyle w:val="Normal"/>
      </w:pPr>
      <w:r>
        <w:rPr>
          <w:b w:val="false"/>
          <w:i w:val="false"/>
        </w:rPr>
        <w:t>A66-B.11. Raman chemical identification.</w:t>
      </w:r>
    </w:p>
    <w:p>
      <w:pPr>
        <w:pStyle w:val="Normal"/>
      </w:pPr>
      <w:r>
        <w:rPr>
          <w:b w:val="false"/>
          <w:i w:val="false"/>
        </w:rPr>
        <w:t>A66-B.12. FTIR chemical identification.</w:t>
      </w:r>
    </w:p>
    <w:p>
      <w:pPr>
        <w:pStyle w:val="Normal"/>
      </w:pPr>
      <w:r>
        <w:rPr>
          <w:b w:val="false"/>
          <w:i w:val="false"/>
        </w:rPr>
        <w:t>A66-B.13. Contactless vapor or particle detection.</w:t>
      </w:r>
    </w:p>
    <w:p>
      <w:pPr>
        <w:pStyle w:val="Normal"/>
      </w:pPr>
      <w:r>
        <w:rPr>
          <w:b w:val="false"/>
          <w:i w:val="false"/>
        </w:rPr>
        <w:t>A66-B.14. Radiation portal monitoring.</w:t>
      </w:r>
    </w:p>
    <w:p>
      <w:pPr>
        <w:pStyle w:val="Normal"/>
      </w:pPr>
      <w:r>
        <w:rPr>
          <w:b w:val="false"/>
          <w:i w:val="false"/>
        </w:rPr>
        <w:t>A66-B.15. Handheld radiation identification.</w:t>
      </w:r>
    </w:p>
    <w:p>
      <w:pPr>
        <w:pStyle w:val="Normal"/>
      </w:pPr>
      <w:r>
        <w:rPr>
          <w:b w:val="false"/>
          <w:i w:val="false"/>
        </w:rPr>
        <w:t>A66-B.16. Tunnel ground-penetrating radar.</w:t>
      </w:r>
    </w:p>
    <w:p>
      <w:pPr>
        <w:pStyle w:val="Normal"/>
      </w:pPr>
      <w:r>
        <w:rPr>
          <w:b w:val="false"/>
          <w:i w:val="false"/>
        </w:rPr>
        <w:t>A66-B.17. Tunnel acoustic detection.</w:t>
      </w:r>
    </w:p>
    <w:p>
      <w:pPr>
        <w:pStyle w:val="Normal"/>
      </w:pPr>
      <w:r>
        <w:rPr>
          <w:b w:val="false"/>
          <w:i w:val="false"/>
        </w:rPr>
        <w:t>A66-B.18. Structural-modification detection.</w:t>
      </w:r>
    </w:p>
    <w:p>
      <w:pPr>
        <w:pStyle w:val="Normal"/>
      </w:pPr>
      <w:r>
        <w:rPr>
          <w:b w:val="false"/>
          <w:i w:val="false"/>
        </w:rPr>
        <w:t>A66-B.19. Counter-concealment technical library.</w:t>
      </w:r>
    </w:p>
    <w:p>
      <w:pPr>
        <w:pStyle w:val="Normal"/>
      </w:pPr>
      <w:r>
        <w:rPr>
          <w:b w:val="false"/>
          <w:i w:val="false"/>
        </w:rPr>
        <w:t>A66-B.20. Fentanyl-specialized canine teams.</w:t>
      </w:r>
    </w:p>
    <w:p>
      <w:pPr>
        <w:pStyle w:val="Normal"/>
      </w:pPr>
      <w:r>
        <w:rPr>
          <w:b w:val="false"/>
          <w:i w:val="false"/>
        </w:rPr>
        <w:t>A66-B.21. Methamphetamine detection canines.</w:t>
      </w:r>
    </w:p>
    <w:p>
      <w:pPr>
        <w:pStyle w:val="Normal"/>
      </w:pPr>
      <w:r>
        <w:rPr>
          <w:b w:val="false"/>
          <w:i w:val="false"/>
        </w:rPr>
        <w:t>A66-B.22. Currency detection canines.</w:t>
      </w:r>
    </w:p>
    <w:p>
      <w:pPr>
        <w:pStyle w:val="Normal"/>
      </w:pPr>
      <w:r>
        <w:rPr>
          <w:b w:val="false"/>
          <w:i w:val="false"/>
        </w:rPr>
        <w:t>A66-B.23. Firearms detection canines.</w:t>
      </w:r>
    </w:p>
    <w:p>
      <w:pPr>
        <w:pStyle w:val="Normal"/>
      </w:pPr>
      <w:r>
        <w:rPr>
          <w:b w:val="false"/>
          <w:i w:val="false"/>
        </w:rPr>
        <w:t>A66-B.24. Explosives detection canines.</w:t>
      </w:r>
    </w:p>
    <w:p>
      <w:pPr>
        <w:pStyle w:val="Normal"/>
      </w:pPr>
      <w:r>
        <w:rPr>
          <w:b w:val="false"/>
          <w:i w:val="false"/>
        </w:rPr>
        <w:t>A66-B.25. Mobile canine surge teams.</w:t>
      </w:r>
    </w:p>
    <w:p>
      <w:pPr>
        <w:pStyle w:val="Normal"/>
      </w:pPr>
      <w:r>
        <w:rPr>
          <w:b w:val="false"/>
          <w:i w:val="false"/>
        </w:rPr>
        <w:t>A66-B.26. Canine proficiency certification.</w:t>
      </w:r>
    </w:p>
    <w:p>
      <w:pPr>
        <w:pStyle w:val="Normal"/>
      </w:pPr>
      <w:r>
        <w:rPr>
          <w:b w:val="false"/>
          <w:i w:val="false"/>
        </w:rPr>
        <w:t>A66-B.27. Cross-border canine training exchange.</w:t>
      </w:r>
    </w:p>
    <w:p>
      <w:pPr>
        <w:pStyle w:val="Normal"/>
      </w:pPr>
      <w:r>
        <w:rPr>
          <w:b w:val="false"/>
          <w:i w:val="false"/>
        </w:rPr>
        <w:t>A66-B.28. Regional rapid-analysis laboratories.</w:t>
      </w:r>
    </w:p>
    <w:p>
      <w:pPr>
        <w:pStyle w:val="Normal"/>
      </w:pPr>
      <w:r>
        <w:rPr>
          <w:b w:val="false"/>
          <w:i w:val="false"/>
        </w:rPr>
        <w:t>A66-B.29. Mobile drug-analysis laboratories.</w:t>
      </w:r>
    </w:p>
    <w:p>
      <w:pPr>
        <w:pStyle w:val="Normal"/>
      </w:pPr>
      <w:r>
        <w:rPr>
          <w:b w:val="false"/>
          <w:i w:val="false"/>
        </w:rPr>
        <w:t>A66-B.30. Chemical-signature profiling.</w:t>
      </w:r>
    </w:p>
    <w:p>
      <w:pPr>
        <w:pStyle w:val="Normal"/>
      </w:pPr>
      <w:r>
        <w:rPr>
          <w:b w:val="false"/>
          <w:i w:val="false"/>
        </w:rPr>
        <w:t>A66-B.31. Annual laboratory proficiency testing.</w:t>
      </w:r>
    </w:p>
    <w:p>
      <w:pPr>
        <w:pStyle w:val="Normal"/>
      </w:pPr>
      <w:r>
        <w:rPr>
          <w:b/>
          <w:i w:val="false"/>
        </w:rPr>
        <w:t>Cargo Targeting and Data Integrity</w:t>
      </w:r>
    </w:p>
    <w:p>
      <w:pPr>
        <w:pStyle w:val="Normal"/>
      </w:pPr>
      <w:r>
        <w:rPr>
          <w:b w:val="false"/>
          <w:i w:val="false"/>
        </w:rPr>
        <w:t>A66-B.32. National targeting-center linkage.</w:t>
      </w:r>
    </w:p>
    <w:p>
      <w:pPr>
        <w:pStyle w:val="Normal"/>
      </w:pPr>
      <w:r>
        <w:rPr>
          <w:b w:val="false"/>
          <w:i w:val="false"/>
        </w:rPr>
        <w:t>A66-B.33. Structured risk-alert exchange.</w:t>
      </w:r>
    </w:p>
    <w:p>
      <w:pPr>
        <w:pStyle w:val="Normal"/>
      </w:pPr>
      <w:r>
        <w:rPr>
          <w:b w:val="false"/>
          <w:i w:val="false"/>
        </w:rPr>
        <w:t>A66-B.34. Advance cargo data quality standards.</w:t>
      </w:r>
    </w:p>
    <w:p>
      <w:pPr>
        <w:pStyle w:val="Normal"/>
      </w:pPr>
      <w:r>
        <w:rPr>
          <w:b w:val="false"/>
          <w:i w:val="false"/>
        </w:rPr>
        <w:t>A66-B.35. High-risk shipment referral protocol.</w:t>
      </w:r>
    </w:p>
    <w:p>
      <w:pPr>
        <w:pStyle w:val="Normal"/>
      </w:pPr>
      <w:r>
        <w:rPr>
          <w:b w:val="false"/>
          <w:i w:val="false"/>
        </w:rPr>
        <w:t>A66-B.36. Transshipment risk analysis.</w:t>
      </w:r>
    </w:p>
    <w:p>
      <w:pPr>
        <w:pStyle w:val="Normal"/>
      </w:pPr>
      <w:r>
        <w:rPr>
          <w:b w:val="false"/>
          <w:i w:val="false"/>
        </w:rPr>
        <w:t>A66-B.37. Split-shipment pattern analysis.</w:t>
      </w:r>
    </w:p>
    <w:p>
      <w:pPr>
        <w:pStyle w:val="Normal"/>
      </w:pPr>
      <w:r>
        <w:rPr>
          <w:b w:val="false"/>
          <w:i w:val="false"/>
        </w:rPr>
        <w:t>A66-B.38. Refused-cargo alerting.</w:t>
      </w:r>
    </w:p>
    <w:p>
      <w:pPr>
        <w:pStyle w:val="Normal"/>
      </w:pPr>
      <w:r>
        <w:rPr>
          <w:b w:val="false"/>
          <w:i w:val="false"/>
        </w:rPr>
        <w:t>A66-B.39. Free-trade-zone risk parity.</w:t>
      </w:r>
    </w:p>
    <w:p>
      <w:pPr>
        <w:pStyle w:val="Normal"/>
      </w:pPr>
      <w:r>
        <w:rPr>
          <w:b w:val="false"/>
          <w:i w:val="false"/>
        </w:rPr>
        <w:t>A66-B.40. Bonded-warehouse risk controls.</w:t>
      </w:r>
    </w:p>
    <w:p>
      <w:pPr>
        <w:pStyle w:val="Normal"/>
      </w:pPr>
      <w:r>
        <w:rPr>
          <w:b w:val="false"/>
          <w:i w:val="false"/>
        </w:rPr>
        <w:t>A66-B.41. Trusted-trader security alignment.</w:t>
      </w:r>
    </w:p>
    <w:p>
      <w:pPr>
        <w:pStyle w:val="Normal"/>
      </w:pPr>
      <w:r>
        <w:rPr>
          <w:b w:val="false"/>
          <w:i w:val="false"/>
        </w:rPr>
        <w:t>A66-B.42. Misdeclaration pattern analytics.</w:t>
      </w:r>
    </w:p>
    <w:p>
      <w:pPr>
        <w:pStyle w:val="Normal"/>
      </w:pPr>
      <w:r>
        <w:rPr>
          <w:b w:val="false"/>
          <w:i w:val="false"/>
        </w:rPr>
        <w:t>A66-B.43. Concealment-method bulletins.</w:t>
      </w:r>
    </w:p>
    <w:p>
      <w:pPr>
        <w:pStyle w:val="Normal"/>
      </w:pPr>
      <w:r>
        <w:rPr>
          <w:b w:val="false"/>
          <w:i w:val="false"/>
        </w:rPr>
        <w:t>A66-B.44. Machine-learning model performance exchange.</w:t>
      </w:r>
    </w:p>
    <w:p>
      <w:pPr>
        <w:pStyle w:val="Normal"/>
      </w:pPr>
      <w:r>
        <w:rPr>
          <w:b w:val="false"/>
          <w:i w:val="false"/>
        </w:rPr>
        <w:t>A66-B.45. Targeting hit-rate reporting.</w:t>
      </w:r>
    </w:p>
    <w:p>
      <w:pPr>
        <w:pStyle w:val="Normal"/>
      </w:pPr>
      <w:r>
        <w:rPr>
          <w:b w:val="false"/>
          <w:i w:val="false"/>
        </w:rPr>
        <w:t>A66-B.46. False-positive reporting.</w:t>
      </w:r>
    </w:p>
    <w:p>
      <w:pPr>
        <w:pStyle w:val="Normal"/>
      </w:pPr>
      <w:r>
        <w:rPr>
          <w:b w:val="false"/>
          <w:i w:val="false"/>
        </w:rPr>
        <w:t>A66-B.47. Independent targeting-system review.</w:t>
      </w:r>
    </w:p>
    <w:p>
      <w:pPr>
        <w:pStyle w:val="Normal"/>
      </w:pPr>
      <w:r>
        <w:rPr>
          <w:b w:val="false"/>
          <w:i w:val="false"/>
        </w:rPr>
        <w:t>A66-B.48. Cargo risk taxonomy interoperability.</w:t>
      </w:r>
    </w:p>
    <w:p>
      <w:pPr>
        <w:pStyle w:val="Normal"/>
      </w:pPr>
      <w:r>
        <w:rPr>
          <w:b/>
          <w:i w:val="false"/>
        </w:rPr>
        <w:t>Precursors and Illicit Manufacturing Equipment</w:t>
      </w:r>
    </w:p>
    <w:p>
      <w:pPr>
        <w:pStyle w:val="Normal"/>
      </w:pPr>
      <w:r>
        <w:rPr>
          <w:b w:val="false"/>
          <w:i w:val="false"/>
        </w:rPr>
        <w:t>A66-B.49. North American analytical precursor risk list.</w:t>
      </w:r>
    </w:p>
    <w:p>
      <w:pPr>
        <w:pStyle w:val="Normal"/>
      </w:pPr>
      <w:r>
        <w:rPr>
          <w:b w:val="false"/>
          <w:i w:val="false"/>
        </w:rPr>
        <w:t>A66-B.50. Emerging-designer-precursor warning protocol.</w:t>
      </w:r>
    </w:p>
    <w:p>
      <w:pPr>
        <w:pStyle w:val="Normal"/>
      </w:pPr>
      <w:r>
        <w:rPr>
          <w:b w:val="false"/>
          <w:i w:val="false"/>
        </w:rPr>
        <w:t>A66-B.51. Rapid domestic scheduling consultation.</w:t>
      </w:r>
    </w:p>
    <w:p>
      <w:pPr>
        <w:pStyle w:val="Normal"/>
      </w:pPr>
      <w:r>
        <w:rPr>
          <w:b w:val="false"/>
          <w:i w:val="false"/>
        </w:rPr>
        <w:t>A66-B.52. Suspicious precursor transaction reporting.</w:t>
      </w:r>
    </w:p>
    <w:p>
      <w:pPr>
        <w:pStyle w:val="Normal"/>
      </w:pPr>
      <w:r>
        <w:rPr>
          <w:b w:val="false"/>
          <w:i w:val="false"/>
        </w:rPr>
        <w:t>A66-B.53. Licensed-dealer diversion controls.</w:t>
      </w:r>
    </w:p>
    <w:p>
      <w:pPr>
        <w:pStyle w:val="Normal"/>
      </w:pPr>
      <w:r>
        <w:rPr>
          <w:b w:val="false"/>
          <w:i w:val="false"/>
        </w:rPr>
        <w:t>A66-B.54. End-user verification for designated high-risk chemicals.</w:t>
      </w:r>
    </w:p>
    <w:p>
      <w:pPr>
        <w:pStyle w:val="Normal"/>
      </w:pPr>
      <w:r>
        <w:rPr>
          <w:b w:val="false"/>
          <w:i w:val="false"/>
        </w:rPr>
        <w:t>A66-B.55. Pill-press diversion controls.</w:t>
      </w:r>
    </w:p>
    <w:p>
      <w:pPr>
        <w:pStyle w:val="Normal"/>
      </w:pPr>
      <w:r>
        <w:rPr>
          <w:b w:val="false"/>
          <w:i w:val="false"/>
        </w:rPr>
        <w:t>A66-B.56. Tablet-die diversion controls.</w:t>
      </w:r>
    </w:p>
    <w:p>
      <w:pPr>
        <w:pStyle w:val="Normal"/>
      </w:pPr>
      <w:r>
        <w:rPr>
          <w:b w:val="false"/>
          <w:i w:val="false"/>
        </w:rPr>
        <w:t>A66-B.57. Manufacturing-equipment component registration where lawful.</w:t>
      </w:r>
    </w:p>
    <w:p>
      <w:pPr>
        <w:pStyle w:val="Normal"/>
      </w:pPr>
      <w:r>
        <w:rPr>
          <w:b w:val="false"/>
          <w:i w:val="false"/>
        </w:rPr>
        <w:t>A66-B.58. Controlled-delivery coordination for precursor cases.</w:t>
      </w:r>
    </w:p>
    <w:p>
      <w:pPr>
        <w:pStyle w:val="Normal"/>
      </w:pPr>
      <w:r>
        <w:rPr>
          <w:b w:val="false"/>
          <w:i w:val="false"/>
        </w:rPr>
        <w:t>A66-B.59. Clandestine-lab chemical signature exchange.</w:t>
      </w:r>
    </w:p>
    <w:p>
      <w:pPr>
        <w:pStyle w:val="Normal"/>
      </w:pPr>
      <w:r>
        <w:rPr>
          <w:b w:val="false"/>
          <w:i w:val="false"/>
        </w:rPr>
        <w:t>A66-B.60. Officer-safe precursor handling protocol.</w:t>
      </w:r>
    </w:p>
    <w:p>
      <w:pPr>
        <w:pStyle w:val="Normal"/>
      </w:pPr>
      <w:r>
        <w:rPr>
          <w:b w:val="false"/>
          <w:i w:val="false"/>
        </w:rPr>
        <w:t>A66-B.61. Precursor disposal standards cooperation.</w:t>
      </w:r>
    </w:p>
    <w:p>
      <w:pPr>
        <w:pStyle w:val="Normal"/>
      </w:pPr>
      <w:r>
        <w:rPr>
          <w:b w:val="false"/>
          <w:i w:val="false"/>
        </w:rPr>
        <w:t>A66-B.62. Source-country precursor diplomacy.</w:t>
      </w:r>
    </w:p>
    <w:p>
      <w:pPr>
        <w:pStyle w:val="Normal"/>
      </w:pPr>
      <w:r>
        <w:rPr>
          <w:b w:val="false"/>
          <w:i w:val="false"/>
        </w:rPr>
        <w:t>A66-B.63. High-risk routing analysis.</w:t>
      </w:r>
    </w:p>
    <w:p>
      <w:pPr>
        <w:pStyle w:val="Normal"/>
      </w:pPr>
      <w:r>
        <w:rPr>
          <w:b w:val="false"/>
          <w:i w:val="false"/>
        </w:rPr>
        <w:t>A66-B.64. Courier precursor detection.</w:t>
      </w:r>
    </w:p>
    <w:p>
      <w:pPr>
        <w:pStyle w:val="Normal"/>
      </w:pPr>
      <w:r>
        <w:rPr>
          <w:b w:val="false"/>
          <w:i w:val="false"/>
        </w:rPr>
        <w:t>A66-B.65. Solvent-diversion risk monitoring.</w:t>
      </w:r>
    </w:p>
    <w:p>
      <w:pPr>
        <w:pStyle w:val="Normal"/>
      </w:pPr>
      <w:r>
        <w:rPr>
          <w:b w:val="false"/>
          <w:i w:val="false"/>
        </w:rPr>
        <w:t>A66-B.66. Substitute and pre-precursor monitoring.</w:t>
      </w:r>
    </w:p>
    <w:p>
      <w:pPr>
        <w:pStyle w:val="Normal"/>
      </w:pPr>
      <w:r>
        <w:rPr>
          <w:b/>
          <w:i w:val="false"/>
        </w:rPr>
        <w:t>Port, Rail, Marine and Aviation Security</w:t>
      </w:r>
    </w:p>
    <w:p>
      <w:pPr>
        <w:pStyle w:val="Normal"/>
      </w:pPr>
      <w:r>
        <w:rPr>
          <w:b w:val="false"/>
          <w:i w:val="false"/>
        </w:rPr>
        <w:t>A66-B.67. Port-of-entry risk ranking.</w:t>
      </w:r>
    </w:p>
    <w:p>
      <w:pPr>
        <w:pStyle w:val="Normal"/>
      </w:pPr>
      <w:r>
        <w:rPr>
          <w:b w:val="false"/>
          <w:i w:val="false"/>
        </w:rPr>
        <w:t>A66-B.68. Co-located liaison arrangements.</w:t>
      </w:r>
    </w:p>
    <w:p>
      <w:pPr>
        <w:pStyle w:val="Normal"/>
      </w:pPr>
      <w:r>
        <w:rPr>
          <w:b w:val="false"/>
          <w:i w:val="false"/>
        </w:rPr>
        <w:t>A66-B.69. Inspection-sequencing coordination.</w:t>
      </w:r>
    </w:p>
    <w:p>
      <w:pPr>
        <w:pStyle w:val="Normal"/>
      </w:pPr>
      <w:r>
        <w:rPr>
          <w:b w:val="false"/>
          <w:i w:val="false"/>
        </w:rPr>
        <w:t>A66-B.70. Redundant-inspection reduction.</w:t>
      </w:r>
    </w:p>
    <w:p>
      <w:pPr>
        <w:pStyle w:val="Normal"/>
      </w:pPr>
      <w:r>
        <w:rPr>
          <w:b w:val="false"/>
          <w:i w:val="false"/>
        </w:rPr>
        <w:t>A66-B.71. Port-worker anti-corruption controls.</w:t>
      </w:r>
    </w:p>
    <w:p>
      <w:pPr>
        <w:pStyle w:val="Normal"/>
      </w:pPr>
      <w:r>
        <w:rPr>
          <w:b w:val="false"/>
          <w:i w:val="false"/>
        </w:rPr>
        <w:t>A66-B.72. Secure tip and whistleblower channels.</w:t>
      </w:r>
    </w:p>
    <w:p>
      <w:pPr>
        <w:pStyle w:val="Normal"/>
      </w:pPr>
      <w:r>
        <w:rPr>
          <w:b w:val="false"/>
          <w:i w:val="false"/>
        </w:rPr>
        <w:t>A66-B.73. High-risk inspection surge planning.</w:t>
      </w:r>
    </w:p>
    <w:p>
      <w:pPr>
        <w:pStyle w:val="Normal"/>
      </w:pPr>
      <w:r>
        <w:rPr>
          <w:b w:val="false"/>
          <w:i w:val="false"/>
        </w:rPr>
        <w:t>A66-B.74. Tunnel detection coordination.</w:t>
      </w:r>
    </w:p>
    <w:p>
      <w:pPr>
        <w:pStyle w:val="Normal"/>
      </w:pPr>
      <w:r>
        <w:rPr>
          <w:b w:val="false"/>
          <w:i w:val="false"/>
        </w:rPr>
        <w:t>A66-B.75. Counter-drone coordination at ports.</w:t>
      </w:r>
    </w:p>
    <w:p>
      <w:pPr>
        <w:pStyle w:val="Normal"/>
      </w:pPr>
      <w:r>
        <w:rPr>
          <w:b w:val="false"/>
          <w:i w:val="false"/>
        </w:rPr>
        <w:t>A66-B.76. Port security engineering assessments.</w:t>
      </w:r>
    </w:p>
    <w:p>
      <w:pPr>
        <w:pStyle w:val="Normal"/>
      </w:pPr>
      <w:r>
        <w:rPr>
          <w:b w:val="false"/>
          <w:i w:val="false"/>
        </w:rPr>
        <w:t>A66-B.77. Rail electronic seal integrity.</w:t>
      </w:r>
    </w:p>
    <w:p>
      <w:pPr>
        <w:pStyle w:val="Normal"/>
      </w:pPr>
      <w:r>
        <w:rPr>
          <w:b w:val="false"/>
          <w:i w:val="false"/>
        </w:rPr>
        <w:t>A66-B.78. Rail custody-event monitoring.</w:t>
      </w:r>
    </w:p>
    <w:p>
      <w:pPr>
        <w:pStyle w:val="Normal"/>
      </w:pPr>
      <w:r>
        <w:rPr>
          <w:b w:val="false"/>
          <w:i w:val="false"/>
        </w:rPr>
        <w:t>A66-B.79. Rail yard risk targeting.</w:t>
      </w:r>
    </w:p>
    <w:p>
      <w:pPr>
        <w:pStyle w:val="Normal"/>
      </w:pPr>
      <w:r>
        <w:rPr>
          <w:b w:val="false"/>
          <w:i w:val="false"/>
        </w:rPr>
        <w:t>A66-B.80. CPKC corridor security coordination.</w:t>
      </w:r>
    </w:p>
    <w:p>
      <w:pPr>
        <w:pStyle w:val="Normal"/>
      </w:pPr>
      <w:r>
        <w:rPr>
          <w:b w:val="false"/>
          <w:i w:val="false"/>
        </w:rPr>
        <w:t>A66-B.81. Maritime domain-awareness exchange.</w:t>
      </w:r>
    </w:p>
    <w:p>
      <w:pPr>
        <w:pStyle w:val="Normal"/>
      </w:pPr>
      <w:r>
        <w:rPr>
          <w:b w:val="false"/>
          <w:i w:val="false"/>
        </w:rPr>
        <w:t>A66-B.82. Small-vessel smuggling alerts.</w:t>
      </w:r>
    </w:p>
    <w:p>
      <w:pPr>
        <w:pStyle w:val="Normal"/>
      </w:pPr>
      <w:r>
        <w:rPr>
          <w:b w:val="false"/>
          <w:i w:val="false"/>
        </w:rPr>
        <w:t>A66-B.83. Shared-water maritime notification.</w:t>
      </w:r>
    </w:p>
    <w:p>
      <w:pPr>
        <w:pStyle w:val="Normal"/>
      </w:pPr>
      <w:r>
        <w:rPr>
          <w:b w:val="false"/>
          <w:i w:val="false"/>
        </w:rPr>
        <w:t>A66-B.84. High-risk vessel ownership analysis.</w:t>
      </w:r>
    </w:p>
    <w:p>
      <w:pPr>
        <w:pStyle w:val="Normal"/>
      </w:pPr>
      <w:r>
        <w:rPr>
          <w:b w:val="false"/>
          <w:i w:val="false"/>
        </w:rPr>
        <w:t>A66-B.85. Reefer and container tamper monitoring.</w:t>
      </w:r>
    </w:p>
    <w:p>
      <w:pPr>
        <w:pStyle w:val="Normal"/>
      </w:pPr>
      <w:r>
        <w:rPr>
          <w:b w:val="false"/>
          <w:i w:val="false"/>
        </w:rPr>
        <w:t>A66-B.86. Air-cargo targeting coordination.</w:t>
      </w:r>
    </w:p>
    <w:p>
      <w:pPr>
        <w:pStyle w:val="Normal"/>
      </w:pPr>
      <w:r>
        <w:rPr>
          <w:b w:val="false"/>
          <w:i w:val="false"/>
        </w:rPr>
        <w:t>A66-B.87. General-aviation anomaly alerts.</w:t>
      </w:r>
    </w:p>
    <w:p>
      <w:pPr>
        <w:pStyle w:val="Normal"/>
      </w:pPr>
      <w:r>
        <w:rPr>
          <w:b w:val="false"/>
          <w:i w:val="false"/>
        </w:rPr>
        <w:t>A66-B.88. Ground-handler integrity programs.</w:t>
      </w:r>
    </w:p>
    <w:p>
      <w:pPr>
        <w:pStyle w:val="Normal"/>
      </w:pPr>
      <w:r>
        <w:rPr>
          <w:b w:val="false"/>
          <w:i w:val="false"/>
        </w:rPr>
        <w:t>A66-B.89. Airport cargo screening interoperability.</w:t>
      </w:r>
    </w:p>
    <w:p>
      <w:pPr>
        <w:pStyle w:val="Normal"/>
      </w:pPr>
      <w:r>
        <w:rPr>
          <w:b w:val="false"/>
          <w:i w:val="false"/>
        </w:rPr>
        <w:t>A66-B.90. Ferry and cruise cargo-risk coordination.</w:t>
      </w:r>
    </w:p>
    <w:p>
      <w:pPr>
        <w:pStyle w:val="Normal"/>
      </w:pPr>
      <w:r>
        <w:rPr>
          <w:b w:val="false"/>
          <w:i w:val="false"/>
        </w:rPr>
        <w:t>A66-B.91. Multimodal security threat assessment.</w:t>
      </w:r>
    </w:p>
    <w:p>
      <w:pPr>
        <w:pStyle w:val="Normal"/>
      </w:pPr>
      <w:r>
        <w:rPr>
          <w:b/>
          <w:i w:val="false"/>
        </w:rPr>
        <w:t>Postal and Express Consignments</w:t>
      </w:r>
    </w:p>
    <w:p>
      <w:pPr>
        <w:pStyle w:val="Normal"/>
      </w:pPr>
      <w:r>
        <w:rPr>
          <w:b w:val="false"/>
          <w:i w:val="false"/>
        </w:rPr>
        <w:t>A66-B.92. Advance electronic postal data.</w:t>
      </w:r>
    </w:p>
    <w:p>
      <w:pPr>
        <w:pStyle w:val="Normal"/>
      </w:pPr>
      <w:r>
        <w:rPr>
          <w:b w:val="false"/>
          <w:i w:val="false"/>
        </w:rPr>
        <w:t>A66-B.93. Express-carrier risk-data standards.</w:t>
      </w:r>
    </w:p>
    <w:p>
      <w:pPr>
        <w:pStyle w:val="Normal"/>
      </w:pPr>
      <w:r>
        <w:rPr>
          <w:b w:val="false"/>
          <w:i w:val="false"/>
        </w:rPr>
        <w:t>A66-B.94. Small-parcel trace detection.</w:t>
      </w:r>
    </w:p>
    <w:p>
      <w:pPr>
        <w:pStyle w:val="Normal"/>
      </w:pPr>
      <w:r>
        <w:rPr>
          <w:b w:val="false"/>
          <w:i w:val="false"/>
        </w:rPr>
        <w:t>A66-B.95. Mail-facility fentanyl detection.</w:t>
      </w:r>
    </w:p>
    <w:p>
      <w:pPr>
        <w:pStyle w:val="Normal"/>
      </w:pPr>
      <w:r>
        <w:rPr>
          <w:b w:val="false"/>
          <w:i w:val="false"/>
        </w:rPr>
        <w:t>A66-B.96. Reshipper-network mapping.</w:t>
      </w:r>
    </w:p>
    <w:p>
      <w:pPr>
        <w:pStyle w:val="Normal"/>
      </w:pPr>
      <w:r>
        <w:rPr>
          <w:b w:val="false"/>
          <w:i w:val="false"/>
        </w:rPr>
        <w:t>A66-B.97. Parcel volume-anomaly analysis with safeguards.</w:t>
      </w:r>
    </w:p>
    <w:p>
      <w:pPr>
        <w:pStyle w:val="Normal"/>
      </w:pPr>
      <w:r>
        <w:rPr>
          <w:b w:val="false"/>
          <w:i w:val="false"/>
        </w:rPr>
        <w:t>A66-B.98. Controlled-delivery coordination for parcels.</w:t>
      </w:r>
    </w:p>
    <w:p>
      <w:pPr>
        <w:pStyle w:val="Normal"/>
      </w:pPr>
      <w:r>
        <w:rPr>
          <w:b w:val="false"/>
          <w:i w:val="false"/>
        </w:rPr>
        <w:t>A66-B.99. Postal and courier insider-threat programs.</w:t>
      </w:r>
    </w:p>
    <w:p>
      <w:pPr>
        <w:pStyle w:val="Normal"/>
      </w:pPr>
      <w:r>
        <w:rPr>
          <w:b w:val="false"/>
          <w:i w:val="false"/>
        </w:rPr>
        <w:t>A66-B.100. E-commerce platform criminal-shipment referrals.</w:t>
      </w:r>
    </w:p>
    <w:p>
      <w:pPr>
        <w:pStyle w:val="Normal"/>
      </w:pPr>
      <w:r>
        <w:rPr>
          <w:b w:val="false"/>
          <w:i w:val="false"/>
        </w:rPr>
        <w:t>A66-B.101. Parcel-locker trafficking risk controls.</w:t>
      </w:r>
    </w:p>
    <w:p>
      <w:pPr>
        <w:pStyle w:val="Normal"/>
      </w:pPr>
      <w:r>
        <w:rPr>
          <w:b w:val="false"/>
          <w:i w:val="false"/>
        </w:rPr>
        <w:t>A66-B.102. International mail canine deployment.</w:t>
      </w:r>
    </w:p>
    <w:p>
      <w:pPr>
        <w:pStyle w:val="Normal"/>
      </w:pPr>
      <w:r>
        <w:rPr>
          <w:b w:val="false"/>
          <w:i w:val="false"/>
        </w:rPr>
        <w:t>A66-B.103. Annual postal-security effectiveness audit.</w:t>
      </w:r>
    </w:p>
    <w:p>
      <w:pPr>
        <w:pStyle w:val="Normal"/>
      </w:pPr>
      <w:r>
        <w:rPr>
          <w:b/>
          <w:i w:val="false"/>
        </w:rPr>
        <w:t>Organized Crime and Judicial Cooperation</w:t>
      </w:r>
    </w:p>
    <w:p>
      <w:pPr>
        <w:pStyle w:val="Normal"/>
      </w:pPr>
      <w:r>
        <w:rPr>
          <w:b w:val="false"/>
          <w:i w:val="false"/>
        </w:rPr>
        <w:t>A66-B.104. Case-specific lead-country designation.</w:t>
      </w:r>
    </w:p>
    <w:p>
      <w:pPr>
        <w:pStyle w:val="Normal"/>
      </w:pPr>
      <w:r>
        <w:rPr>
          <w:b w:val="false"/>
          <w:i w:val="false"/>
        </w:rPr>
        <w:t>A66-B.105. 24/7 operational deconfliction.</w:t>
      </w:r>
    </w:p>
    <w:p>
      <w:pPr>
        <w:pStyle w:val="Normal"/>
      </w:pPr>
      <w:r>
        <w:rPr>
          <w:b w:val="false"/>
          <w:i w:val="false"/>
        </w:rPr>
        <w:t>A66-B.106. Law-enforcement liaison officers.</w:t>
      </w:r>
    </w:p>
    <w:p>
      <w:pPr>
        <w:pStyle w:val="Normal"/>
      </w:pPr>
      <w:r>
        <w:rPr>
          <w:b w:val="false"/>
          <w:i w:val="false"/>
        </w:rPr>
        <w:t>A66-B.107. Rapid mutual-legal-assistance channel.</w:t>
      </w:r>
    </w:p>
    <w:p>
      <w:pPr>
        <w:pStyle w:val="Normal"/>
      </w:pPr>
      <w:r>
        <w:rPr>
          <w:b w:val="false"/>
          <w:i w:val="false"/>
        </w:rPr>
        <w:t>A66-B.108. Extradition case coordination.</w:t>
      </w:r>
    </w:p>
    <w:p>
      <w:pPr>
        <w:pStyle w:val="Normal"/>
      </w:pPr>
      <w:r>
        <w:rPr>
          <w:b w:val="false"/>
          <w:i w:val="false"/>
        </w:rPr>
        <w:t>A66-B.109. Witness-protection cooperation.</w:t>
      </w:r>
    </w:p>
    <w:p>
      <w:pPr>
        <w:pStyle w:val="Normal"/>
      </w:pPr>
      <w:r>
        <w:rPr>
          <w:b w:val="false"/>
          <w:i w:val="false"/>
        </w:rPr>
        <w:t>A66-B.110. Lawful undercover-operation deconfliction.</w:t>
      </w:r>
    </w:p>
    <w:p>
      <w:pPr>
        <w:pStyle w:val="Normal"/>
      </w:pPr>
      <w:r>
        <w:rPr>
          <w:b w:val="false"/>
          <w:i w:val="false"/>
        </w:rPr>
        <w:t>A66-B.111. Organized-crime logistics investigations.</w:t>
      </w:r>
    </w:p>
    <w:p>
      <w:pPr>
        <w:pStyle w:val="Normal"/>
      </w:pPr>
      <w:r>
        <w:rPr>
          <w:b w:val="false"/>
          <w:i w:val="false"/>
        </w:rPr>
        <w:t>A66-B.112. Port infiltration investigations.</w:t>
      </w:r>
    </w:p>
    <w:p>
      <w:pPr>
        <w:pStyle w:val="Normal"/>
      </w:pPr>
      <w:r>
        <w:rPr>
          <w:b w:val="false"/>
          <w:i w:val="false"/>
        </w:rPr>
        <w:t>A66-B.113. Stolen-vehicle export-network investigations.</w:t>
      </w:r>
    </w:p>
    <w:p>
      <w:pPr>
        <w:pStyle w:val="Normal"/>
      </w:pPr>
      <w:r>
        <w:rPr>
          <w:b w:val="false"/>
          <w:i w:val="false"/>
        </w:rPr>
        <w:t>A66-B.114. Technical evidence coordination.</w:t>
      </w:r>
    </w:p>
    <w:p>
      <w:pPr>
        <w:pStyle w:val="Normal"/>
      </w:pPr>
      <w:r>
        <w:rPr>
          <w:b/>
          <w:i w:val="false"/>
        </w:rPr>
        <w:t>Firearms and Reciprocal Criminal Flows</w:t>
      </w:r>
    </w:p>
    <w:p>
      <w:pPr>
        <w:pStyle w:val="Normal"/>
      </w:pPr>
      <w:r>
        <w:rPr>
          <w:b w:val="false"/>
          <w:i w:val="false"/>
        </w:rPr>
        <w:t>A66-B.115. Crime-gun tracing cooperation.</w:t>
      </w:r>
    </w:p>
    <w:p>
      <w:pPr>
        <w:pStyle w:val="Normal"/>
      </w:pPr>
      <w:r>
        <w:rPr>
          <w:b w:val="false"/>
          <w:i w:val="false"/>
        </w:rPr>
        <w:t>A66-B.116. Ballistic technical evidence exchange.</w:t>
      </w:r>
    </w:p>
    <w:p>
      <w:pPr>
        <w:pStyle w:val="Normal"/>
      </w:pPr>
      <w:r>
        <w:rPr>
          <w:b w:val="false"/>
          <w:i w:val="false"/>
        </w:rPr>
        <w:t>A66-B.117. Illegal firearms export interdiction.</w:t>
      </w:r>
    </w:p>
    <w:p>
      <w:pPr>
        <w:pStyle w:val="Normal"/>
      </w:pPr>
      <w:r>
        <w:rPr>
          <w:b w:val="false"/>
          <w:i w:val="false"/>
        </w:rPr>
        <w:t>A66-B.118. Straw-purchase trafficking investigations.</w:t>
      </w:r>
    </w:p>
    <w:p>
      <w:pPr>
        <w:pStyle w:val="Normal"/>
      </w:pPr>
      <w:r>
        <w:rPr>
          <w:b w:val="false"/>
          <w:i w:val="false"/>
        </w:rPr>
        <w:t>A66-B.119. Firearms-smuggling network investigations.</w:t>
      </w:r>
    </w:p>
    <w:p>
      <w:pPr>
        <w:pStyle w:val="Normal"/>
      </w:pPr>
      <w:r>
        <w:rPr>
          <w:b w:val="false"/>
          <w:i w:val="false"/>
        </w:rPr>
        <w:t>A66-B.120. Firearms trafficking prosecution coordination.</w:t>
      </w:r>
    </w:p>
    <w:p>
      <w:pPr>
        <w:pStyle w:val="Normal"/>
      </w:pPr>
      <w:r>
        <w:rPr>
          <w:b w:val="false"/>
          <w:i w:val="false"/>
        </w:rPr>
        <w:t>A66-B.121. Firearms-route intelligence exchange.</w:t>
      </w:r>
    </w:p>
    <w:p>
      <w:pPr>
        <w:pStyle w:val="Normal"/>
      </w:pPr>
      <w:r>
        <w:rPr>
          <w:b w:val="false"/>
          <w:i w:val="false"/>
        </w:rPr>
        <w:t>A66-B.122. Annual reciprocal illicit-flow assessment.</w:t>
      </w:r>
    </w:p>
    <w:p>
      <w:pPr>
        <w:pStyle w:val="Normal"/>
      </w:pPr>
      <w:r>
        <w:rPr>
          <w:b/>
          <w:i w:val="false"/>
        </w:rPr>
        <w:t>Illicit Finance and Assets</w:t>
      </w:r>
    </w:p>
    <w:p>
      <w:pPr>
        <w:pStyle w:val="Normal"/>
      </w:pPr>
      <w:r>
        <w:rPr>
          <w:b w:val="false"/>
          <w:i w:val="false"/>
        </w:rPr>
        <w:t>A66-B.123. FINTRAC-FinCEN-UIF structured cooperation.</w:t>
      </w:r>
    </w:p>
    <w:p>
      <w:pPr>
        <w:pStyle w:val="Normal"/>
      </w:pPr>
      <w:r>
        <w:rPr>
          <w:b w:val="false"/>
          <w:i w:val="false"/>
        </w:rPr>
        <w:t>A66-B.124. Trade-based money-laundering typologies.</w:t>
      </w:r>
    </w:p>
    <w:p>
      <w:pPr>
        <w:pStyle w:val="Normal"/>
      </w:pPr>
      <w:r>
        <w:rPr>
          <w:b w:val="false"/>
          <w:i w:val="false"/>
        </w:rPr>
        <w:t>A66-B.125. Criminal beneficial-ownership analysis.</w:t>
      </w:r>
    </w:p>
    <w:p>
      <w:pPr>
        <w:pStyle w:val="Normal"/>
      </w:pPr>
      <w:r>
        <w:rPr>
          <w:b w:val="false"/>
          <w:i w:val="false"/>
        </w:rPr>
        <w:t>A66-B.126. Virtual-asset laundering investigations.</w:t>
      </w:r>
    </w:p>
    <w:p>
      <w:pPr>
        <w:pStyle w:val="Normal"/>
      </w:pPr>
      <w:r>
        <w:rPr>
          <w:b w:val="false"/>
          <w:i w:val="false"/>
        </w:rPr>
        <w:t>A66-B.127. Payment-processor abuse investigations.</w:t>
      </w:r>
    </w:p>
    <w:p>
      <w:pPr>
        <w:pStyle w:val="Normal"/>
      </w:pPr>
      <w:r>
        <w:rPr>
          <w:b w:val="false"/>
          <w:i w:val="false"/>
        </w:rPr>
        <w:t>A66-B.128. Money-service-business risk cooperation.</w:t>
      </w:r>
    </w:p>
    <w:p>
      <w:pPr>
        <w:pStyle w:val="Normal"/>
      </w:pPr>
      <w:r>
        <w:rPr>
          <w:b w:val="false"/>
          <w:i w:val="false"/>
        </w:rPr>
        <w:t>A66-B.129. Asset tracing and lawful recovery cooperation.</w:t>
      </w:r>
    </w:p>
    <w:p>
      <w:pPr>
        <w:pStyle w:val="Normal"/>
      </w:pPr>
      <w:r>
        <w:rPr>
          <w:b w:val="false"/>
          <w:i w:val="false"/>
        </w:rPr>
        <w:t>A66-B.130. Suspicious-transaction quality improvement.</w:t>
      </w:r>
    </w:p>
    <w:p>
      <w:pPr>
        <w:pStyle w:val="Normal"/>
      </w:pPr>
      <w:r>
        <w:rPr>
          <w:b/>
          <w:i w:val="false"/>
        </w:rPr>
        <w:t>Cyber and Darknet Trafficking</w:t>
      </w:r>
    </w:p>
    <w:p>
      <w:pPr>
        <w:pStyle w:val="Normal"/>
      </w:pPr>
      <w:r>
        <w:rPr>
          <w:b w:val="false"/>
          <w:i w:val="false"/>
        </w:rPr>
        <w:t>A66-B.131. Darknet synthetic-drug market disruption.</w:t>
      </w:r>
    </w:p>
    <w:p>
      <w:pPr>
        <w:pStyle w:val="Normal"/>
      </w:pPr>
      <w:r>
        <w:rPr>
          <w:b w:val="false"/>
          <w:i w:val="false"/>
        </w:rPr>
        <w:t>A66-B.132. Rapid cross-border digital-evidence preservation.</w:t>
      </w:r>
    </w:p>
    <w:p>
      <w:pPr>
        <w:pStyle w:val="Heading2"/>
      </w:pPr>
      <w:bookmarkStart w:id="902132" w:name="_Toc300002131"/>
      <w:r>
        <w:t>ANNEX 66-C: CONTROLLED NATIONAL IMPLEMENTATION SCHEDULE REGISTER</w:t>
      </w:r>
      <w:bookmarkEnd w:id="902132"/>
    </w:p>
    <w:p>
      <w:pPr>
        <w:pStyle w:val="Normal"/>
      </w:pPr>
      <w:r>
        <w:t>These sixty-six schedule categories are implementation containers, not self-executing claims that a named site, quantity, budget, commitment, or authority already exists. Each Party's competent authority verifies and certifies the facts and legal authority for a national implementation entry under Annex 66-F before the entry is represented as operative or completed. Eligible technical maintenance of the schedule categories proceeds only under Article 34.3.A, while a substantive commitment or change to legal effect requires Article 34.3 or another express treaty authority. Population of a category through a national implementation record does not amend this Agreement and binds another Party only where that Party has separately accepted the underlying commitment through the legally applicable route.</w:t>
      </w:r>
    </w:p>
    <w:p>
      <w:pPr>
        <w:pStyle w:val="Normal"/>
      </w:pPr>
      <w:r>
        <w:rPr>
          <w:b w:val="false"/>
          <w:i w:val="false"/>
        </w:rPr>
        <w:t>A66-C.1. Named land-port scanner deployment sites.</w:t>
      </w:r>
    </w:p>
    <w:p>
      <w:pPr>
        <w:pStyle w:val="Normal"/>
      </w:pPr>
      <w:r>
        <w:rPr>
          <w:b w:val="false"/>
          <w:i w:val="false"/>
        </w:rPr>
        <w:t>A66-C.2. Named rail-port scanner deployment sites.</w:t>
      </w:r>
    </w:p>
    <w:p>
      <w:pPr>
        <w:pStyle w:val="Normal"/>
      </w:pPr>
      <w:r>
        <w:rPr>
          <w:b w:val="false"/>
          <w:i w:val="false"/>
        </w:rPr>
        <w:t>A66-C.3. Named marine-container scanner deployment sites.</w:t>
      </w:r>
    </w:p>
    <w:p>
      <w:pPr>
        <w:pStyle w:val="Normal"/>
      </w:pPr>
      <w:r>
        <w:rPr>
          <w:b w:val="false"/>
          <w:i w:val="false"/>
        </w:rPr>
        <w:t>A66-C.4. Named airport cargo-screening sites.</w:t>
      </w:r>
    </w:p>
    <w:p>
      <w:pPr>
        <w:pStyle w:val="Normal"/>
      </w:pPr>
      <w:r>
        <w:rPr>
          <w:b w:val="false"/>
          <w:i w:val="false"/>
        </w:rPr>
        <w:t>A66-C.5. Mobile NII fleet quantities.</w:t>
      </w:r>
    </w:p>
    <w:p>
      <w:pPr>
        <w:pStyle w:val="Normal"/>
      </w:pPr>
      <w:r>
        <w:rPr>
          <w:b w:val="false"/>
          <w:i w:val="false"/>
        </w:rPr>
        <w:t>A66-C.6. Handheld chemical-identification quantities.</w:t>
      </w:r>
    </w:p>
    <w:p>
      <w:pPr>
        <w:pStyle w:val="Normal"/>
      </w:pPr>
      <w:r>
        <w:rPr>
          <w:b w:val="false"/>
          <w:i w:val="false"/>
        </w:rPr>
        <w:t>A66-C.7. Trace-detection equipment quantities.</w:t>
      </w:r>
    </w:p>
    <w:p>
      <w:pPr>
        <w:pStyle w:val="Normal"/>
      </w:pPr>
      <w:r>
        <w:rPr>
          <w:b w:val="false"/>
          <w:i w:val="false"/>
        </w:rPr>
        <w:t>A66-C.8. Radiation-monitor quantities.</w:t>
      </w:r>
    </w:p>
    <w:p>
      <w:pPr>
        <w:pStyle w:val="Normal"/>
      </w:pPr>
      <w:r>
        <w:rPr>
          <w:b w:val="false"/>
          <w:i w:val="false"/>
        </w:rPr>
        <w:t>A66-C.9. Tunnel-detection equipment deployments.</w:t>
      </w:r>
    </w:p>
    <w:p>
      <w:pPr>
        <w:pStyle w:val="Normal"/>
      </w:pPr>
      <w:r>
        <w:rPr>
          <w:b w:val="false"/>
          <w:i w:val="false"/>
        </w:rPr>
        <w:t>A66-C.10. Counter-drone sensor deployments.</w:t>
      </w:r>
    </w:p>
    <w:p>
      <w:pPr>
        <w:pStyle w:val="Normal"/>
      </w:pPr>
      <w:r>
        <w:rPr>
          <w:b w:val="false"/>
          <w:i w:val="false"/>
        </w:rPr>
        <w:t>A66-C.11. Scanner commissioning dates.</w:t>
      </w:r>
    </w:p>
    <w:p>
      <w:pPr>
        <w:pStyle w:val="Normal"/>
      </w:pPr>
      <w:r>
        <w:rPr>
          <w:b w:val="false"/>
          <w:i w:val="false"/>
        </w:rPr>
        <w:t>A66-C.12. Scanner uptime targets.</w:t>
      </w:r>
    </w:p>
    <w:p>
      <w:pPr>
        <w:pStyle w:val="Normal"/>
      </w:pPr>
      <w:r>
        <w:rPr>
          <w:b w:val="false"/>
          <w:i w:val="false"/>
        </w:rPr>
        <w:t>A66-C.13. Maintenance-response targets.</w:t>
      </w:r>
    </w:p>
    <w:p>
      <w:pPr>
        <w:pStyle w:val="Normal"/>
      </w:pPr>
      <w:r>
        <w:rPr>
          <w:b w:val="false"/>
          <w:i w:val="false"/>
        </w:rPr>
        <w:t>A66-C.14. Spare-parts and lifecycle plans.</w:t>
      </w:r>
    </w:p>
    <w:p>
      <w:pPr>
        <w:pStyle w:val="Normal"/>
      </w:pPr>
      <w:r>
        <w:rPr>
          <w:b w:val="false"/>
          <w:i w:val="false"/>
        </w:rPr>
        <w:t>A66-C.15. Fentanyl canine-team quantities.</w:t>
      </w:r>
    </w:p>
    <w:p>
      <w:pPr>
        <w:pStyle w:val="Normal"/>
      </w:pPr>
      <w:r>
        <w:rPr>
          <w:b w:val="false"/>
          <w:i w:val="false"/>
        </w:rPr>
        <w:t>A66-C.16. Other specialized canine-team quantities.</w:t>
      </w:r>
    </w:p>
    <w:p>
      <w:pPr>
        <w:pStyle w:val="Normal"/>
      </w:pPr>
      <w:r>
        <w:rPr>
          <w:b w:val="false"/>
          <w:i w:val="false"/>
        </w:rPr>
        <w:t>A66-C.17. Canine regional deployment plans.</w:t>
      </w:r>
    </w:p>
    <w:p>
      <w:pPr>
        <w:pStyle w:val="Normal"/>
      </w:pPr>
      <w:r>
        <w:rPr>
          <w:b w:val="false"/>
          <w:i w:val="false"/>
        </w:rPr>
        <w:t>A66-C.18. Canine training throughput.</w:t>
      </w:r>
    </w:p>
    <w:p>
      <w:pPr>
        <w:pStyle w:val="Normal"/>
      </w:pPr>
      <w:r>
        <w:rPr>
          <w:b w:val="false"/>
          <w:i w:val="false"/>
        </w:rPr>
        <w:t>A66-C.19. Regional laboratory locations.</w:t>
      </w:r>
    </w:p>
    <w:p>
      <w:pPr>
        <w:pStyle w:val="Normal"/>
      </w:pPr>
      <w:r>
        <w:rPr>
          <w:b w:val="false"/>
          <w:i w:val="false"/>
        </w:rPr>
        <w:t>A66-C.20. Mobile laboratory deployments.</w:t>
      </w:r>
    </w:p>
    <w:p>
      <w:pPr>
        <w:pStyle w:val="Normal"/>
      </w:pPr>
      <w:r>
        <w:rPr>
          <w:b w:val="false"/>
          <w:i w:val="false"/>
        </w:rPr>
        <w:t>A66-C.21. Laboratory turnaround targets.</w:t>
      </w:r>
    </w:p>
    <w:p>
      <w:pPr>
        <w:pStyle w:val="Normal"/>
      </w:pPr>
      <w:r>
        <w:rPr>
          <w:b w:val="false"/>
          <w:i w:val="false"/>
        </w:rPr>
        <w:t>A66-C.22. Laboratory proficiency-test calendar.</w:t>
      </w:r>
    </w:p>
    <w:p>
      <w:pPr>
        <w:pStyle w:val="Normal"/>
      </w:pPr>
      <w:r>
        <w:rPr>
          <w:b w:val="false"/>
          <w:i w:val="false"/>
        </w:rPr>
        <w:t>A66-C.23. Precursor analytical priority list.</w:t>
      </w:r>
    </w:p>
    <w:p>
      <w:pPr>
        <w:pStyle w:val="Normal"/>
      </w:pPr>
      <w:r>
        <w:rPr>
          <w:b w:val="false"/>
          <w:i w:val="false"/>
        </w:rPr>
        <w:t>A66-C.24. Domestic precursor-review target timelines.</w:t>
      </w:r>
    </w:p>
    <w:p>
      <w:pPr>
        <w:pStyle w:val="Normal"/>
      </w:pPr>
      <w:r>
        <w:rPr>
          <w:b w:val="false"/>
          <w:i w:val="false"/>
        </w:rPr>
        <w:t>A66-C.25. Pill-press control implementation dates.</w:t>
      </w:r>
    </w:p>
    <w:p>
      <w:pPr>
        <w:pStyle w:val="Normal"/>
      </w:pPr>
      <w:r>
        <w:rPr>
          <w:b w:val="false"/>
          <w:i w:val="false"/>
        </w:rPr>
        <w:t>A66-C.26. Industry outreach schedules.</w:t>
      </w:r>
    </w:p>
    <w:p>
      <w:pPr>
        <w:pStyle w:val="Normal"/>
      </w:pPr>
      <w:r>
        <w:rPr>
          <w:b w:val="false"/>
          <w:i w:val="false"/>
        </w:rPr>
        <w:t>A66-C.27. High-risk port targeting pilots.</w:t>
      </w:r>
    </w:p>
    <w:p>
      <w:pPr>
        <w:pStyle w:val="Normal"/>
      </w:pPr>
      <w:r>
        <w:rPr>
          <w:b w:val="false"/>
          <w:i w:val="false"/>
        </w:rPr>
        <w:t>A66-C.28. Targeting-center liaison staffing.</w:t>
      </w:r>
    </w:p>
    <w:p>
      <w:pPr>
        <w:pStyle w:val="Normal"/>
      </w:pPr>
      <w:r>
        <w:rPr>
          <w:b w:val="false"/>
          <w:i w:val="false"/>
        </w:rPr>
        <w:t>A66-C.29. Risk-alert response-time targets.</w:t>
      </w:r>
    </w:p>
    <w:p>
      <w:pPr>
        <w:pStyle w:val="Normal"/>
      </w:pPr>
      <w:r>
        <w:rPr>
          <w:b w:val="false"/>
          <w:i w:val="false"/>
        </w:rPr>
        <w:t>A66-C.30. Trusted-trader security pilots.</w:t>
      </w:r>
    </w:p>
    <w:p>
      <w:pPr>
        <w:pStyle w:val="Normal"/>
      </w:pPr>
      <w:r>
        <w:rPr>
          <w:b w:val="false"/>
          <w:i w:val="false"/>
        </w:rPr>
        <w:t>A66-C.31. Cargo hit-rate baselines.</w:t>
      </w:r>
    </w:p>
    <w:p>
      <w:pPr>
        <w:pStyle w:val="Normal"/>
      </w:pPr>
      <w:r>
        <w:rPr>
          <w:b w:val="false"/>
          <w:i w:val="false"/>
        </w:rPr>
        <w:t>A66-C.32. Cargo false-positive baselines.</w:t>
      </w:r>
    </w:p>
    <w:p>
      <w:pPr>
        <w:pStyle w:val="Normal"/>
      </w:pPr>
      <w:r>
        <w:rPr>
          <w:b w:val="false"/>
          <w:i w:val="false"/>
        </w:rPr>
        <w:t>A66-C.33. Port wait-time baselines.</w:t>
      </w:r>
    </w:p>
    <w:p>
      <w:pPr>
        <w:pStyle w:val="Normal"/>
      </w:pPr>
      <w:r>
        <w:rPr>
          <w:b w:val="false"/>
          <w:i w:val="false"/>
        </w:rPr>
        <w:t>A66-C.34. Redundant-inspection reduction targets.</w:t>
      </w:r>
    </w:p>
    <w:p>
      <w:pPr>
        <w:pStyle w:val="Normal"/>
      </w:pPr>
      <w:r>
        <w:rPr>
          <w:b w:val="false"/>
          <w:i w:val="false"/>
        </w:rPr>
        <w:t>A66-C.35. CPKC corridor implementation sites.</w:t>
      </w:r>
    </w:p>
    <w:p>
      <w:pPr>
        <w:pStyle w:val="Normal"/>
      </w:pPr>
      <w:r>
        <w:rPr>
          <w:b w:val="false"/>
          <w:i w:val="false"/>
        </w:rPr>
        <w:t>A66-C.36. Rail seal pilot routes.</w:t>
      </w:r>
    </w:p>
    <w:p>
      <w:pPr>
        <w:pStyle w:val="Normal"/>
      </w:pPr>
      <w:r>
        <w:rPr>
          <w:b w:val="false"/>
          <w:i w:val="false"/>
        </w:rPr>
        <w:t>A66-C.37. Port security modernization sites.</w:t>
      </w:r>
    </w:p>
    <w:p>
      <w:pPr>
        <w:pStyle w:val="Normal"/>
      </w:pPr>
      <w:r>
        <w:rPr>
          <w:b w:val="false"/>
          <w:i w:val="false"/>
        </w:rPr>
        <w:t>A66-C.38. Maritime awareness deployment areas.</w:t>
      </w:r>
    </w:p>
    <w:p>
      <w:pPr>
        <w:pStyle w:val="Normal"/>
      </w:pPr>
      <w:r>
        <w:rPr>
          <w:b w:val="false"/>
          <w:i w:val="false"/>
        </w:rPr>
        <w:t>A66-C.39. Air-cargo priority airports.</w:t>
      </w:r>
    </w:p>
    <w:p>
      <w:pPr>
        <w:pStyle w:val="Normal"/>
      </w:pPr>
      <w:r>
        <w:rPr>
          <w:b w:val="false"/>
          <w:i w:val="false"/>
        </w:rPr>
        <w:t>A66-C.40. General-aviation priority locations.</w:t>
      </w:r>
    </w:p>
    <w:p>
      <w:pPr>
        <w:pStyle w:val="Normal"/>
      </w:pPr>
      <w:r>
        <w:rPr>
          <w:b w:val="false"/>
          <w:i w:val="false"/>
        </w:rPr>
        <w:t>A66-C.41. Postal inspection modernization sites.</w:t>
      </w:r>
    </w:p>
    <w:p>
      <w:pPr>
        <w:pStyle w:val="Normal"/>
      </w:pPr>
      <w:r>
        <w:rPr>
          <w:b w:val="false"/>
          <w:i w:val="false"/>
        </w:rPr>
        <w:t>A66-C.42. Express-carrier data pilots.</w:t>
      </w:r>
    </w:p>
    <w:p>
      <w:pPr>
        <w:pStyle w:val="Normal"/>
      </w:pPr>
      <w:r>
        <w:rPr>
          <w:b w:val="false"/>
          <w:i w:val="false"/>
        </w:rPr>
        <w:t>A66-C.43. Small-parcel detection equipment sites.</w:t>
      </w:r>
    </w:p>
    <w:p>
      <w:pPr>
        <w:pStyle w:val="Normal"/>
      </w:pPr>
      <w:r>
        <w:rPr>
          <w:b w:val="false"/>
          <w:i w:val="false"/>
        </w:rPr>
        <w:t>A66-C.44. Organized-crime liaison placements.</w:t>
      </w:r>
    </w:p>
    <w:p>
      <w:pPr>
        <w:pStyle w:val="Normal"/>
      </w:pPr>
      <w:r>
        <w:rPr>
          <w:b w:val="false"/>
          <w:i w:val="false"/>
        </w:rPr>
        <w:t>A66-C.45. Rapid-MLAT service standards.</w:t>
      </w:r>
    </w:p>
    <w:p>
      <w:pPr>
        <w:pStyle w:val="Normal"/>
      </w:pPr>
      <w:r>
        <w:rPr>
          <w:b w:val="false"/>
          <w:i w:val="false"/>
        </w:rPr>
        <w:t>A66-C.46. Firearms tracing capacity targets.</w:t>
      </w:r>
    </w:p>
    <w:p>
      <w:pPr>
        <w:pStyle w:val="Normal"/>
      </w:pPr>
      <w:r>
        <w:rPr>
          <w:b w:val="false"/>
          <w:i w:val="false"/>
        </w:rPr>
        <w:t>A66-C.47. Ballistic exchange implementation milestones.</w:t>
      </w:r>
    </w:p>
    <w:p>
      <w:pPr>
        <w:pStyle w:val="Normal"/>
      </w:pPr>
      <w:r>
        <w:rPr>
          <w:b w:val="false"/>
          <w:i w:val="false"/>
        </w:rPr>
        <w:t>A66-C.48. Illegal-firearms export-interdiction priorities.</w:t>
      </w:r>
    </w:p>
    <w:p>
      <w:pPr>
        <w:pStyle w:val="Normal"/>
      </w:pPr>
      <w:r>
        <w:rPr>
          <w:b w:val="false"/>
          <w:i w:val="false"/>
        </w:rPr>
        <w:t>A66-C.49. Stolen-vehicle export-interdiction priorities.</w:t>
      </w:r>
    </w:p>
    <w:p>
      <w:pPr>
        <w:pStyle w:val="Normal"/>
      </w:pPr>
      <w:r>
        <w:rPr>
          <w:b w:val="false"/>
          <w:i w:val="false"/>
        </w:rPr>
        <w:t>A66-C.50. Financial-intelligence liaison arrangements.</w:t>
      </w:r>
    </w:p>
    <w:p>
      <w:pPr>
        <w:pStyle w:val="Normal"/>
      </w:pPr>
      <w:r>
        <w:rPr>
          <w:b w:val="false"/>
          <w:i w:val="false"/>
        </w:rPr>
        <w:t>A66-C.51. TBML analytical priorities.</w:t>
      </w:r>
    </w:p>
    <w:p>
      <w:pPr>
        <w:pStyle w:val="Normal"/>
      </w:pPr>
      <w:r>
        <w:rPr>
          <w:b w:val="false"/>
          <w:i w:val="false"/>
        </w:rPr>
        <w:t>A66-C.52. Virtual-asset training targets.</w:t>
      </w:r>
    </w:p>
    <w:p>
      <w:pPr>
        <w:pStyle w:val="Normal"/>
      </w:pPr>
      <w:r>
        <w:rPr>
          <w:b w:val="false"/>
          <w:i w:val="false"/>
        </w:rPr>
        <w:t>A66-C.53. Digital-evidence contact rosters.</w:t>
      </w:r>
    </w:p>
    <w:p>
      <w:pPr>
        <w:pStyle w:val="Normal"/>
      </w:pPr>
      <w:r>
        <w:rPr>
          <w:b w:val="false"/>
          <w:i w:val="false"/>
        </w:rPr>
        <w:t>A66-C.54. Officer fentanyl-safety training targets.</w:t>
      </w:r>
    </w:p>
    <w:p>
      <w:pPr>
        <w:pStyle w:val="Normal"/>
      </w:pPr>
      <w:r>
        <w:rPr>
          <w:b w:val="false"/>
          <w:i w:val="false"/>
        </w:rPr>
        <w:t>A66-C.55. Chemical-detection training targets.</w:t>
      </w:r>
    </w:p>
    <w:p>
      <w:pPr>
        <w:pStyle w:val="Normal"/>
      </w:pPr>
      <w:r>
        <w:rPr>
          <w:b w:val="false"/>
          <w:i w:val="false"/>
        </w:rPr>
        <w:t>A66-C.56. Counter-drone training targets.</w:t>
      </w:r>
    </w:p>
    <w:p>
      <w:pPr>
        <w:pStyle w:val="Normal"/>
      </w:pPr>
      <w:r>
        <w:rPr>
          <w:b w:val="false"/>
          <w:i w:val="false"/>
        </w:rPr>
        <w:t>A66-C.57. Tunnel-interdiction training targets.</w:t>
      </w:r>
    </w:p>
    <w:p>
      <w:pPr>
        <w:pStyle w:val="Normal"/>
      </w:pPr>
      <w:r>
        <w:rPr>
          <w:b w:val="false"/>
          <w:i w:val="false"/>
        </w:rPr>
        <w:t>A66-C.58. Maritime-interdiction exercise calendar.</w:t>
      </w:r>
    </w:p>
    <w:p>
      <w:pPr>
        <w:pStyle w:val="Normal"/>
      </w:pPr>
      <w:r>
        <w:rPr>
          <w:b w:val="false"/>
          <w:i w:val="false"/>
        </w:rPr>
        <w:t>A66-C.59. Rights and privacy training targets.</w:t>
      </w:r>
    </w:p>
    <w:p>
      <w:pPr>
        <w:pStyle w:val="Normal"/>
      </w:pPr>
      <w:r>
        <w:rPr>
          <w:b w:val="false"/>
          <w:i w:val="false"/>
        </w:rPr>
        <w:t>A66-C.60. Anti-corruption training targets.</w:t>
      </w:r>
    </w:p>
    <w:p>
      <w:pPr>
        <w:pStyle w:val="Normal"/>
      </w:pPr>
      <w:r>
        <w:rPr>
          <w:b w:val="false"/>
          <w:i w:val="false"/>
        </w:rPr>
        <w:t>A66-C.61. Naloxone and PPE facility standards.</w:t>
      </w:r>
    </w:p>
    <w:p>
      <w:pPr>
        <w:pStyle w:val="Normal"/>
      </w:pPr>
      <w:r>
        <w:rPr>
          <w:b w:val="false"/>
          <w:i w:val="false"/>
        </w:rPr>
        <w:t>A66-C.62. Annual Shield exercise calendar.</w:t>
      </w:r>
    </w:p>
    <w:p>
      <w:pPr>
        <w:pStyle w:val="Normal"/>
      </w:pPr>
      <w:r>
        <w:rPr>
          <w:b w:val="false"/>
          <w:i w:val="false"/>
        </w:rPr>
        <w:t>A66-C.63. Dashboard publication calendar.</w:t>
      </w:r>
    </w:p>
    <w:p>
      <w:pPr>
        <w:pStyle w:val="Normal"/>
      </w:pPr>
      <w:r>
        <w:rPr>
          <w:b w:val="false"/>
          <w:i w:val="false"/>
        </w:rPr>
        <w:t>A66-C.64. National implementation funding envelopes.</w:t>
      </w:r>
    </w:p>
    <w:p>
      <w:pPr>
        <w:pStyle w:val="Normal"/>
      </w:pPr>
      <w:r>
        <w:rPr>
          <w:b w:val="false"/>
          <w:i w:val="false"/>
        </w:rPr>
        <w:t>A66-C.65. Annual implementation certification dates.</w:t>
      </w:r>
    </w:p>
    <w:p>
      <w:pPr>
        <w:pStyle w:val="Normal"/>
      </w:pPr>
      <w:r>
        <w:rPr>
          <w:b w:val="false"/>
          <w:i w:val="false"/>
        </w:rPr>
        <w:t>A66-C.66. Five-year comprehensive review timetable.</w:t>
      </w:r>
    </w:p>
    <w:p>
      <w:pPr>
        <w:pStyle w:val="Heading2"/>
      </w:pPr>
      <w:bookmarkStart w:id="902133" w:name="_Toc300002132"/>
      <w:r>
        <w:t>ANNEX 66-D: OPTIONAL CONTROLLED PILOT REGISTER</w:t>
      </w:r>
      <w:bookmarkEnd w:id="902133"/>
    </w:p>
    <w:p>
      <w:pPr>
        <w:pStyle w:val="Normal"/>
      </w:pPr>
      <w:r>
        <w:rPr>
          <w:b w:val="false"/>
          <w:i w:val="false"/>
        </w:rPr>
        <w:t>Each pilot shall progress through P1 Concept Validated, P2 Legal Authority Verified, P3 Controlled Pilot Authorized, P4 Independent Evaluation, and P5 Eligible for Program Status. Deployment alone does not create permanent authority.</w:t>
      </w:r>
    </w:p>
    <w:p>
      <w:pPr>
        <w:pStyle w:val="Normal"/>
      </w:pPr>
      <w:r>
        <w:rPr>
          <w:b w:val="false"/>
          <w:i w:val="false"/>
        </w:rPr>
        <w:t>A66-D.1. Persistent remote aerial surveillance: Limited to defined threat corridors or operational zones; requires verified legal authority, retention limits, audit and independent evaluation.</w:t>
      </w:r>
    </w:p>
    <w:p>
      <w:pPr>
        <w:pStyle w:val="Normal"/>
      </w:pPr>
      <w:r>
        <w:rPr>
          <w:b w:val="false"/>
          <w:i w:val="false"/>
        </w:rPr>
        <w:t>A66-D.2. Passenger-vehicle behavioral analytics: May proceed only as an audited national pilot with documented false-positive, discrimination and effectiveness testing.</w:t>
      </w:r>
    </w:p>
    <w:p>
      <w:pPr>
        <w:pStyle w:val="Normal"/>
      </w:pPr>
      <w:r>
        <w:rPr>
          <w:b w:val="false"/>
          <w:i w:val="false"/>
        </w:rPr>
        <w:t>A66-D.3. Expanded bonded-cargo GPS or electronic-seal tracking: Limited to designated cargo programs with commercial-confidentiality, retention and access safeguards.</w:t>
      </w:r>
    </w:p>
    <w:p>
      <w:pPr>
        <w:pStyle w:val="Normal"/>
      </w:pPr>
      <w:r>
        <w:rPr>
          <w:b w:val="false"/>
          <w:i w:val="false"/>
        </w:rPr>
        <w:t>A66-D.4. Expanded cross-border controlled deliveries: Case-specific only, with destination-country authorization and applicable warrant, evidentiary and prosecutorial safeguards.</w:t>
      </w:r>
    </w:p>
    <w:p>
      <w:pPr>
        <w:pStyle w:val="Normal"/>
      </w:pPr>
      <w:r>
        <w:rPr>
          <w:b w:val="false"/>
          <w:i w:val="false"/>
        </w:rPr>
        <w:t>A66-D.5. Co-located inspection arrangements: Site-specific and authority-dependent; no foreign command or automatic recognition of another Party’s enforcement decision.</w:t>
      </w:r>
    </w:p>
    <w:p>
      <w:pPr>
        <w:pStyle w:val="Normal"/>
      </w:pPr>
      <w:r>
        <w:rPr>
          <w:b w:val="false"/>
          <w:i w:val="false"/>
        </w:rPr>
        <w:t>A66-D.6. Shared advanced financial or crypto analytical tooling: Common tools or methods may be tested, but investigative records remain nationally controlled and no common raw transaction lake is created.</w:t>
      </w:r>
    </w:p>
    <w:p>
      <w:pPr>
        <w:pStyle w:val="Heading2"/>
      </w:pPr>
      <w:bookmarkStart w:id="902134" w:name="_Toc300002133"/>
      <w:r>
        <w:t>ANNEX 66-E: NON-BINDING PUBLIC COMMUNICATIONS / VISIBLE-WIN OVERLAY</w:t>
      </w:r>
      <w:bookmarkEnd w:id="902134"/>
    </w:p>
    <w:p>
      <w:pPr>
        <w:pStyle w:val="Normal"/>
      </w:pPr>
      <w:r>
        <w:rPr>
          <w:b w:val="false"/>
          <w:i w:val="false"/>
        </w:rPr>
        <w:t>The following twenty-four items are communication and prioritization overlays only. They do not guarantee seizures, awards, arrests, prosecutions, procurement outcomes, funding, or unverified numerical results.</w:t>
      </w:r>
    </w:p>
    <w:p>
      <w:pPr>
        <w:pStyle w:val="Normal"/>
      </w:pPr>
      <w:r>
        <w:rPr>
          <w:b w:val="false"/>
          <w:i w:val="false"/>
        </w:rPr>
        <w:t>A66-E.1. Windsor-Detroit paired scanner modernization.</w:t>
      </w:r>
    </w:p>
    <w:p>
      <w:pPr>
        <w:pStyle w:val="Normal"/>
      </w:pPr>
      <w:r>
        <w:rPr>
          <w:b w:val="false"/>
          <w:i w:val="false"/>
        </w:rPr>
        <w:t>A66-E.2. Pacific/Blaine paired scanner modernization.</w:t>
      </w:r>
    </w:p>
    <w:p>
      <w:pPr>
        <w:pStyle w:val="Normal"/>
      </w:pPr>
      <w:r>
        <w:rPr>
          <w:b w:val="false"/>
          <w:i w:val="false"/>
        </w:rPr>
        <w:t>A66-E.3. U.S.-Mexico high-throughput scanner corridors.</w:t>
      </w:r>
    </w:p>
    <w:p>
      <w:pPr>
        <w:pStyle w:val="Normal"/>
      </w:pPr>
      <w:r>
        <w:rPr>
          <w:b w:val="false"/>
          <w:i w:val="false"/>
        </w:rPr>
        <w:t>A66-E.4. North American mobile scanner fleets.</w:t>
      </w:r>
    </w:p>
    <w:p>
      <w:pPr>
        <w:pStyle w:val="Normal"/>
      </w:pPr>
      <w:r>
        <w:rPr>
          <w:b w:val="false"/>
          <w:i w:val="false"/>
        </w:rPr>
        <w:t>A66-E.5. Scanner maintenance and operational-availability commitment.</w:t>
      </w:r>
    </w:p>
    <w:p>
      <w:pPr>
        <w:pStyle w:val="Normal"/>
      </w:pPr>
      <w:r>
        <w:rPr>
          <w:b w:val="false"/>
          <w:i w:val="false"/>
        </w:rPr>
        <w:t>A66-E.6. Handheld fentanyl and chemical identification deployment.</w:t>
      </w:r>
    </w:p>
    <w:p>
      <w:pPr>
        <w:pStyle w:val="Normal"/>
      </w:pPr>
      <w:r>
        <w:rPr>
          <w:b w:val="false"/>
          <w:i w:val="false"/>
        </w:rPr>
        <w:t>A66-E.7. Expanded fentanyl-detection canine capacity.</w:t>
      </w:r>
    </w:p>
    <w:p>
      <w:pPr>
        <w:pStyle w:val="Normal"/>
      </w:pPr>
      <w:r>
        <w:rPr>
          <w:b w:val="false"/>
          <w:i w:val="false"/>
        </w:rPr>
        <w:t>A66-E.8. Rapid precursor-control system.</w:t>
      </w:r>
    </w:p>
    <w:p>
      <w:pPr>
        <w:pStyle w:val="Normal"/>
      </w:pPr>
      <w:r>
        <w:rPr>
          <w:b w:val="false"/>
          <w:i w:val="false"/>
        </w:rPr>
        <w:t>A66-E.9. Pill-press and illicit manufacturing-equipment controls.</w:t>
      </w:r>
    </w:p>
    <w:p>
      <w:pPr>
        <w:pStyle w:val="Normal"/>
      </w:pPr>
      <w:r>
        <w:rPr>
          <w:b w:val="false"/>
          <w:i w:val="false"/>
        </w:rPr>
        <w:t>A66-E.10. North American precursor early-warning network.</w:t>
      </w:r>
    </w:p>
    <w:p>
      <w:pPr>
        <w:pStyle w:val="Normal"/>
      </w:pPr>
      <w:r>
        <w:rPr>
          <w:b w:val="false"/>
          <w:i w:val="false"/>
        </w:rPr>
        <w:t>A66-E.11. Drug Profiling and Chemical Signature Network.</w:t>
      </w:r>
    </w:p>
    <w:p>
      <w:pPr>
        <w:pStyle w:val="Normal"/>
      </w:pPr>
      <w:r>
        <w:rPr>
          <w:b w:val="false"/>
          <w:i w:val="false"/>
        </w:rPr>
        <w:t>A66-E.12. Faster forensic-laboratory turnaround.</w:t>
      </w:r>
    </w:p>
    <w:p>
      <w:pPr>
        <w:pStyle w:val="Normal"/>
      </w:pPr>
      <w:r>
        <w:rPr>
          <w:b w:val="false"/>
          <w:i w:val="false"/>
        </w:rPr>
        <w:t>A66-E.13. CPKC secure freight corridor.</w:t>
      </w:r>
    </w:p>
    <w:p>
      <w:pPr>
        <w:pStyle w:val="Normal"/>
      </w:pPr>
      <w:r>
        <w:rPr>
          <w:b w:val="false"/>
          <w:i w:val="false"/>
        </w:rPr>
        <w:t>A66-E.14. Port and container security modernization.</w:t>
      </w:r>
    </w:p>
    <w:p>
      <w:pPr>
        <w:pStyle w:val="Normal"/>
      </w:pPr>
      <w:r>
        <w:rPr>
          <w:b w:val="false"/>
          <w:i w:val="false"/>
        </w:rPr>
        <w:t>A66-E.15. International mail and small-parcel security upgrade.</w:t>
      </w:r>
    </w:p>
    <w:p>
      <w:pPr>
        <w:pStyle w:val="Normal"/>
      </w:pPr>
      <w:r>
        <w:rPr>
          <w:b w:val="false"/>
          <w:i w:val="false"/>
        </w:rPr>
        <w:t>A66-E.16. Faster trusted legitimate trade through risk targeting.</w:t>
      </w:r>
    </w:p>
    <w:p>
      <w:pPr>
        <w:pStyle w:val="Normal"/>
      </w:pPr>
      <w:r>
        <w:rPr>
          <w:b w:val="false"/>
          <w:i w:val="false"/>
        </w:rPr>
        <w:t>A66-E.17. Major synthetic-drug organized-crime case cooperation.</w:t>
      </w:r>
    </w:p>
    <w:p>
      <w:pPr>
        <w:pStyle w:val="Normal"/>
      </w:pPr>
      <w:r>
        <w:rPr>
          <w:b w:val="false"/>
          <w:i w:val="false"/>
        </w:rPr>
        <w:t>A66-E.18. Rapid mutual-legal-assistance channel.</w:t>
      </w:r>
    </w:p>
    <w:p>
      <w:pPr>
        <w:pStyle w:val="Normal"/>
      </w:pPr>
      <w:r>
        <w:rPr>
          <w:b w:val="false"/>
          <w:i w:val="false"/>
        </w:rPr>
        <w:t>A66-E.19. North American illicit-firearms trafficking initiative.</w:t>
      </w:r>
    </w:p>
    <w:p>
      <w:pPr>
        <w:pStyle w:val="Normal"/>
      </w:pPr>
      <w:r>
        <w:rPr>
          <w:b w:val="false"/>
          <w:i w:val="false"/>
        </w:rPr>
        <w:t>A66-E.20. Stolen-vehicle export-interdiction initiative.</w:t>
      </w:r>
    </w:p>
    <w:p>
      <w:pPr>
        <w:pStyle w:val="Normal"/>
      </w:pPr>
      <w:r>
        <w:rPr>
          <w:b w:val="false"/>
          <w:i w:val="false"/>
        </w:rPr>
        <w:t>A66-E.21. Illicit-finance and cartel-asset disruption initiative.</w:t>
      </w:r>
    </w:p>
    <w:p>
      <w:pPr>
        <w:pStyle w:val="Normal"/>
      </w:pPr>
      <w:r>
        <w:rPr>
          <w:b w:val="false"/>
          <w:i w:val="false"/>
        </w:rPr>
        <w:t>A66-E.22. Darknet synthetic-drug disruption initiative.</w:t>
      </w:r>
    </w:p>
    <w:p>
      <w:pPr>
        <w:pStyle w:val="Normal"/>
      </w:pPr>
      <w:r>
        <w:rPr>
          <w:b w:val="false"/>
          <w:i w:val="false"/>
        </w:rPr>
        <w:t>A66-E.23. Shield Performance Dashboard.</w:t>
      </w:r>
    </w:p>
    <w:p>
      <w:pPr>
        <w:pStyle w:val="Normal"/>
      </w:pPr>
      <w:r>
        <w:rPr>
          <w:b w:val="false"/>
          <w:i w:val="false"/>
        </w:rPr>
        <w:t>A66-E.24. Security Cooperation Trade-Peace Safeguard.</w:t>
      </w:r>
    </w:p>
    <w:p>
      <w:pPr>
        <w:pStyle w:val="Heading2"/>
      </w:pPr>
      <w:bookmarkStart w:id="902135" w:name="_Toc300002134"/>
      <w:r>
        <w:t>ANNEX 66-F: TREATY-WIDE FACT, AUTHORITY AND CLAIM VERIFICATION RULE</w:t>
      </w:r>
      <w:bookmarkEnd w:id="902135"/>
    </w:p>
    <w:p>
      <w:pPr>
        <w:pStyle w:val="Normal"/>
      </w:pPr>
      <w:r>
        <w:t>1. Unless a more specific provision expressly supplies verification safeguards at least equivalent to the source identification, competent-authority attribution, evidentiary support, limitation disclosure, and contestability required by this Annex, this Annex applies throughout this Agreement. The competent Party authority is the authority of the Party having legal or operational responsibility for the underlying program, act, record, facility, or commitment, and its first-instance certification establishes that Party's record but is not conclusive against another Party where a treaty consequence depends on the disputed fact. A Party contesting a material cross-border consequence may invoke the consultation, verification, review, or dispute route applicable to the underlying provision, including Article 66.40 and Chapter 31 where applicable, and the first-instance certification remains subject to that route. Named projects, existing programs, agency structures, quantities, budgets, historical figures, staffing levels, percentage changes, equipment counts, and other negotiation-developed factual claims remain research leads unless verified and certified through the applicable competent-authority process.</w:t>
      </w:r>
    </w:p>
    <w:p>
      <w:pPr>
        <w:pStyle w:val="Normal"/>
      </w:pPr>
      <w:r>
        <w:rPr>
          <w:b w:val="false"/>
          <w:i w:val="false"/>
        </w:rPr>
        <w:t>2. No illustrative quantity, historical result or model-generated estimate becomes a treaty fact merely by appearing in a negotiating draft. Implementation instruments shall identify source, date, competent authority and verification status where material.</w:t>
      </w:r>
    </w:p>
    <w:p>
      <w:pPr>
        <w:pStyle w:val="Normal"/>
      </w:pPr>
      <w:r>
        <w:rPr>
          <w:b w:val="false"/>
          <w:i w:val="false"/>
        </w:rPr>
        <w:t>3. Public claims shall distinguish historical observed data, current operational status, planned commitments, modeled estimates and political targets. Material uncertainty shall not be concealed.</w:t>
      </w:r>
    </w:p>
    <w:p>
      <w:pPr>
        <w:pStyle w:val="Heading1"/>
      </w:pPr>
      <w:bookmarkStart w:id="902136" w:name="_Toc300002135"/>
      <w:r>
        <w:t>CHAPTER 67: NORTH AMERICAN ARCTIC SECURITY, SOVEREIGNTY AND CONTINENTAL DEFENCE COMPACT</w:t>
      </w:r>
      <w:bookmarkEnd w:id="902136"/>
    </w:p>
    <w:p>
      <w:pPr>
        <w:pStyle w:val="Normal"/>
      </w:pPr>
      <w:r>
        <w:rPr>
          <w:b/>
        </w:rPr>
        <w:t>NORTHERN VIGILANCE PARTNERSHIP</w:t>
      </w:r>
    </w:p>
    <w:p>
      <w:pPr>
        <w:pStyle w:val="Normal"/>
      </w:pPr>
      <w:r>
        <w:rPr>
          <w:b/>
        </w:rPr>
        <w:t xml:space="preserve">★ </w:t>
      </w:r>
      <w:r>
        <w:rPr>
          <w:b/>
        </w:rPr>
        <w:t>VISIBLE U.S. SECURITY WIN: THE LARGEST MODERNIZATION OF NORTH AMERICA’S NORTHERN WARNING, BASING AND DEFENCE INFRASTRUCTURE IN GENERATIONS</w:t>
      </w:r>
    </w:p>
    <w:p>
      <w:pPr>
        <w:pStyle w:val="Normal"/>
      </w:pPr>
      <w:r>
        <w:rPr>
          <w:b/>
        </w:rPr>
        <w:t xml:space="preserve">★ </w:t>
      </w:r>
      <w:r>
        <w:rPr>
          <w:b/>
        </w:rPr>
        <w:t>VISIBLE CANADIAN WIN: BILLIONS IN CANADIAN ARCTIC INFRASTRUCTURE, STRONGER NORTHERN COMMUNITIES AND INDUSTRY, AND UNDIMINISHED CANADIAN SOVEREIGNTY AND COMMAND</w:t>
      </w:r>
    </w:p>
    <w:p>
      <w:pPr>
        <w:pStyle w:val="Normal"/>
      </w:pPr>
      <w:r>
        <w:rPr>
          <w:b/>
        </w:rPr>
        <w:t xml:space="preserve">★ </w:t>
      </w:r>
      <w:r>
        <w:rPr>
          <w:b/>
        </w:rPr>
        <w:t>VISIBLE TRILATERAL WIN: A STRONGER NORTH AMERICAN DEFENCE INDUSTRIAL BASE, MORE RESILIENT CRITICAL SUPPLY CHAINS, AND BETTER PROTECTION OF THE CONTINENT</w:t>
      </w:r>
    </w:p>
    <w:p>
      <w:pPr>
        <w:pStyle w:val="Normal"/>
      </w:pPr>
      <w:r>
        <w:rPr>
          <w:b/>
        </w:rPr>
        <w:t>SPEND ONCE. BUILD FOR DECADES. DEFEND THE CONTINENT.</w:t>
      </w:r>
    </w:p>
    <w:p>
      <w:pPr>
        <w:pStyle w:val="Heading2"/>
      </w:pPr>
      <w:bookmarkStart w:id="902137" w:name="_Toc300002136"/>
      <w:r>
        <w:t>ARTICLE 67.1: Purpose and Bargain</w:t>
      </w:r>
      <w:bookmarkEnd w:id="902137"/>
    </w:p>
    <w:p>
      <w:pPr>
        <w:pStyle w:val="Normal"/>
      </w:pPr>
      <w:r>
        <w:t>The Parties establish the Northern Vigilance Partnership to organize verified northern defence, warning, infrastructure, logistics, industrial, resilience and community investments into a durable continental-security framework. Real capability and burden-sharing may be recognized without converting existing Canadian investment into a fictional new concession, transferring sovereignty, guaranteeing procurement awards, or compelling an unapproved weapons deployment.</w:t>
      </w:r>
    </w:p>
    <w:p>
      <w:pPr>
        <w:pStyle w:val="Heading2"/>
      </w:pPr>
      <w:bookmarkStart w:id="902138" w:name="_Toc300002137"/>
      <w:r>
        <w:t>ARTICLE 67.2: Governing Principle, Sovereign Infrastructure, Continental Benefit</w:t>
      </w:r>
      <w:bookmarkEnd w:id="902138"/>
    </w:p>
    <w:p>
      <w:pPr>
        <w:pStyle w:val="Normal"/>
      </w:pPr>
      <w:r>
        <w:t>Infrastructure situated in Canada shall remain subject to Canadian sovereignty, jurisdiction, law, ownership arrangements and command authority. Continental usefulness creates no foreign sovereign right, ownership interest, command authority, enforcement authority, or independent right of access.</w:t>
      </w:r>
    </w:p>
    <w:p>
      <w:pPr>
        <w:pStyle w:val="Heading2"/>
      </w:pPr>
      <w:bookmarkStart w:id="902139" w:name="_Toc300002138"/>
      <w:r>
        <w:t>ARTICLE 67.3: Canadian Arctic Sovereignty and Legal-Position Savings</w:t>
      </w:r>
      <w:bookmarkEnd w:id="902139"/>
    </w:p>
    <w:p>
      <w:pPr>
        <w:pStyle w:val="Normal"/>
      </w:pPr>
      <w:r>
        <w:t>Nothing in this Chapter transfers, diminishes, qualifies, or creates any foreign claim to Canadian sovereignty, sovereign rights, jurisdiction, maritime claims, internal-waters positions, Arctic lands, infrastructure, natural resources, or command authority. Cooperation is without prejudice to each Party's legal positions, including Canada's position concerning the waters of the Northwest Passage.</w:t>
      </w:r>
    </w:p>
    <w:p>
      <w:pPr>
        <w:pStyle w:val="Heading2"/>
      </w:pPr>
      <w:bookmarkStart w:id="902140" w:name="_Toc300002139"/>
      <w:r>
        <w:t>ARTICLE 67.4: Canadian Soil, Canadian Authority</w:t>
      </w:r>
      <w:bookmarkEnd w:id="902140"/>
    </w:p>
    <w:p>
      <w:pPr>
        <w:pStyle w:val="Normal"/>
      </w:pPr>
      <w:r>
        <w:t>Foreign personnel, forces, contractors, or officials may use Canadian facilities, systems, ranges, ports, airfields, or data environments only pursuant to Canadian law, Canadian authorization, and applicable agreements. Continental defence participation does not constitute consent to permanent foreign basing, foreign ownership, independent military operations, or foreign enforcement authority in Canada.</w:t>
      </w:r>
    </w:p>
    <w:p>
      <w:pPr>
        <w:pStyle w:val="Heading2"/>
      </w:pPr>
      <w:bookmarkStart w:id="902141" w:name="_Toc300002140"/>
      <w:r>
        <w:t>ARTICLE 67.5: National Command and Capability Without Compulsion</w:t>
      </w:r>
      <w:bookmarkEnd w:id="902141"/>
    </w:p>
    <w:p>
      <w:pPr>
        <w:pStyle w:val="Normal"/>
      </w:pPr>
      <w:r>
        <w:t>Each Party retains command of its forces and exclusive authority over acquisition, deployment, basing, and operational decisions affecting its territory and forces. Recognition of a capability area does not itself compel acquisition, deployment, hosting, funding, basing, or authorization of a particular weapon, platform, interceptor, sensor, or foreign presence.</w:t>
      </w:r>
    </w:p>
    <w:p>
      <w:pPr>
        <w:pStyle w:val="Heading2"/>
      </w:pPr>
      <w:bookmarkStart w:id="902142" w:name="_Toc300002141"/>
      <w:r>
        <w:t>ARTICLE 67.6: Trilateral Where Functional, Binational Where Operational</w:t>
      </w:r>
      <w:bookmarkEnd w:id="902142"/>
    </w:p>
    <w:p>
      <w:pPr>
        <w:pStyle w:val="Normal"/>
      </w:pPr>
      <w:r>
        <w:t>Canada and the United States may use NORAD and other lawful bilateral arrangements for Arctic operational defence. Mexico may participate where functionally appropriate through industrial supply chains, research, standards, resilience, procurement, critical materials, emergency logistics, and other continental-support functions, subject to applicable domestic and international law.</w:t>
      </w:r>
    </w:p>
    <w:p>
      <w:pPr>
        <w:pStyle w:val="Heading2"/>
      </w:pPr>
      <w:bookmarkStart w:id="902143" w:name="_Toc300002142"/>
      <w:r>
        <w:t>ARTICLE 67.7: Maintain While Modernizing</w:t>
      </w:r>
      <w:bookmarkEnd w:id="902143"/>
    </w:p>
    <w:p>
      <w:pPr>
        <w:pStyle w:val="Normal"/>
      </w:pPr>
      <w:r>
        <w:t>Each Party plans transitions so that development of replacement or next-generation warning, communications, basing, or surveillance capability does not justify avoidable degradation of an existing northern capability required during transition. A transition plan identifies the capability being replaced, the minimum continuity requirement, material dependencies, responsible authority, and the conditions for retirement of the predecessor capability. A material outage, delay, or transition risk is recorded and addressed through an interim sustainment, redundancy, sequencing, or restoration measure appropriate to the affected capability. Completion of the replacement does not extinguish a continuing sustainment or safety obligation unless the competent authority records that the successor capability satisfies the applicable continuity requirement.</w:t>
      </w:r>
    </w:p>
    <w:p>
      <w:pPr>
        <w:pStyle w:val="Heading2"/>
      </w:pPr>
      <w:bookmarkStart w:id="902144" w:name="_Toc300002143"/>
      <w:r>
        <w:t>ARTICLE 67.8: Public Commitment, Classified Implementation</w:t>
      </w:r>
      <w:bookmarkEnd w:id="902144"/>
    </w:p>
    <w:p>
      <w:pPr>
        <w:pStyle w:val="Normal"/>
      </w:pPr>
      <w:r>
        <w:t>The Parties may publish capability objectives, investment categories, classification-safe milestones, and aggregate indicators while protecting sensitive sensor geometry, coverage gaps, detection thresholds, stockpile depth, vulnerability data, and detailed readiness states under applicable law and security rules. A published indicator identifies its responsible source and distinguishes verified current status from planned, modeled, estimated, or classified-detail-withheld status. A correction to a public indicator is propagated to the relevant classification-safe record without requiring disclosure of protected operational information. Classification or security protection does not convert an unverified public claim into a verified milestone and does not prevent verification through an authorized classification-safe process.</w:t>
      </w:r>
    </w:p>
    <w:p>
      <w:pPr>
        <w:pStyle w:val="Heading2"/>
      </w:pPr>
      <w:bookmarkStart w:id="902145" w:name="_Toc300002144"/>
      <w:r>
        <w:t>ARTICLE 67.9: Interoperability Without Surrender of National Control</w:t>
      </w:r>
      <w:bookmarkEnd w:id="902145"/>
    </w:p>
    <w:p>
      <w:pPr>
        <w:pStyle w:val="Normal"/>
      </w:pPr>
      <w:r>
        <w:t>The Parties may pursue interoperability, common standards, exchange officers, federated data access, shared alerts, and compatible systems where lawful. No such arrangement requires surrender of national data custody, domestic decision authority, classification control, or command.</w:t>
      </w:r>
    </w:p>
    <w:p>
      <w:pPr>
        <w:pStyle w:val="Heading2"/>
      </w:pPr>
      <w:bookmarkStart w:id="902146" w:name="_Toc300002145"/>
      <w:r>
        <w:t>ARTICLE 67.10: Dual-Use Northern Dividend</w:t>
      </w:r>
      <w:bookmarkEnd w:id="902146"/>
    </w:p>
    <w:p>
      <w:pPr>
        <w:pStyle w:val="Normal"/>
      </w:pPr>
      <w:r>
        <w:t>Northern defence infrastructure may, where practicable, improve civilian resilience, emergency response, transportation, communications, power, health, search and rescue, or another northern capability without compromising security requirements. A project claiming a material dual-use benefit identifies the civilian function, affected community or service area, and the basis on which the benefit is expected or verified. A claimed civilian benefit does not justify weakening a security, safety, rights, environmental, or operational requirement applicable to the project. The implementation record distinguishes delivered dual-use benefits from anticipated or enabled benefits so that political branding does not substitute for demonstrated civilian value.</w:t>
      </w:r>
    </w:p>
    <w:p>
      <w:pPr>
        <w:pStyle w:val="Heading2"/>
      </w:pPr>
      <w:bookmarkStart w:id="902147" w:name="_Toc300002146"/>
      <w:r>
        <w:t>ARTICLE 67.11: No Northern Capacity Crowding-Out</w:t>
      </w:r>
      <w:bookmarkEnd w:id="902147"/>
    </w:p>
    <w:p>
      <w:pPr>
        <w:pStyle w:val="Normal"/>
      </w:pPr>
      <w:r>
        <w:t>A major defence investment identifies material pressure it may create on northern housing, labour, utilities, health services, transportation, construction capacity, or essential community infrastructure and, where practicable, includes mitigation or associated capacity expansion. The responsible authority records the material capacity constraints known at the relevant project stage and the mitigation, sequencing, procurement, workforce, housing, or service measure used to address them. Monitoring may rely on existing territorial, provincial, Indigenous, municipal, project, or national information where that information is adequate for the identified pressure. A material unmitigated pressure discovered during implementation triggers review and an appropriate corrective or capacity measure rather than being treated as an external cost merely because the underlying defence project remains authorized.</w:t>
      </w:r>
    </w:p>
    <w:p>
      <w:pPr>
        <w:pStyle w:val="Heading2"/>
      </w:pPr>
      <w:bookmarkStart w:id="902148" w:name="_Toc300002147"/>
      <w:r>
        <w:t>ARTICLE 67.12: Rights First, Partnership By Design</w:t>
      </w:r>
      <w:bookmarkEnd w:id="902148"/>
    </w:p>
    <w:p>
      <w:pPr>
        <w:pStyle w:val="Normal"/>
      </w:pPr>
      <w:r>
        <w:t>Implementation preserves applicable constitutional, treaty, land-claim, Indigenous-rights, consultation, accommodation, environmental, and other legal obligations. Northern and Indigenous participation is incorporated into project development where required or appropriate under applicable law, and participation under this Chapter does not replace a legally required consultation, consent, accommodation, assessment, or decision process. The responsible project record identifies the applicable process, competent authority, material issues raised, and any accommodation or project adjustment that the law or an adopted arrangement requires to be recorded. A schedule, scorecard, milestone, or Partnership designation does not cure non-compliance with an applicable rights obligation or pre-determine the outcome of a domestic rights process.</w:t>
      </w:r>
    </w:p>
    <w:p>
      <w:pPr>
        <w:pStyle w:val="Heading2"/>
      </w:pPr>
      <w:bookmarkStart w:id="902149" w:name="_Toc300002148"/>
      <w:r>
        <w:t>ARTICLE 67.13: Traditional Knowledge and Cultural Protection</w:t>
      </w:r>
      <w:bookmarkEnd w:id="902149"/>
    </w:p>
    <w:p>
      <w:pPr>
        <w:pStyle w:val="Normal"/>
      </w:pPr>
      <w:r>
        <w:t>Traditional knowledge voluntarily shared in connection with this Chapter receives protection required by applicable law and agreed terms. Collection, use, retention, onward disclosure, publication, and correction respect the purpose and conditions under which the knowledge was provided, including an applicable consent, confidentiality, attribution, or community-governance requirement. Project planning gives appropriate attention to cultural heritage, harvesting, community mobility, language access, and other affected rights or interests and records a material project response where applicable law or an agreed process requires one. Participation in a Partnership activity does not create a general licence to reuse traditional knowledge outside the authorized purpose or to disclose protected knowledge through a public scorecard or verification record.</w:t>
      </w:r>
    </w:p>
    <w:p>
      <w:pPr>
        <w:pStyle w:val="Heading2"/>
      </w:pPr>
      <w:bookmarkStart w:id="902150" w:name="_Toc300002149"/>
      <w:r>
        <w:t>ARTICLE 67.14: Existing Investment Recognition and Additionality</w:t>
      </w:r>
      <w:bookmarkEnd w:id="902150"/>
    </w:p>
    <w:p>
      <w:pPr>
        <w:pStyle w:val="Normal"/>
      </w:pPr>
      <w:r>
        <w:t>An existing or previously planned investment may be recognized as an anchor contribution where it genuinely supports the Partnership, but it is not represented as new agreement-attributable spending merely because it receives political visibility or Partnership branding. The record identifies the pre-agreement source, baseline status, funding state, and the portion, if any, that is accelerated, expanded, or newly attributable to an adopted Partnership action. A later reclassification is supported by new evidence and does not erase the original baseline entry. Public reporting distinguishes baseline recognition from additional spending so that the Partnership cannot manufacture additionality through relabeling.</w:t>
      </w:r>
    </w:p>
    <w:p>
      <w:pPr>
        <w:pStyle w:val="Heading2"/>
      </w:pPr>
      <w:bookmarkStart w:id="902151" w:name="_Toc300002150"/>
      <w:r>
        <w:t>ARTICLE 67.15: One Dollar, One Investment</w:t>
      </w:r>
      <w:bookmarkEnd w:id="902151"/>
    </w:p>
    <w:p>
      <w:pPr>
        <w:pStyle w:val="Normal"/>
      </w:pPr>
      <w:r>
        <w:t>Each expenditure shall be recorded once in the headline investment total. Separately identified outputs or benefits may be reported only in a manner that does not multiply the underlying investment value.</w:t>
      </w:r>
    </w:p>
    <w:p>
      <w:pPr>
        <w:pStyle w:val="Heading2"/>
      </w:pPr>
      <w:bookmarkStart w:id="902152" w:name="_Toc300002151"/>
      <w:r>
        <w:t>ARTICLE 67.16: Arctic Investment Ledger</w:t>
      </w:r>
      <w:bookmarkEnd w:id="902152"/>
    </w:p>
    <w:p>
      <w:pPr>
        <w:pStyle w:val="Normal"/>
      </w:pPr>
      <w:r>
        <w:t>The Arctic Investment Ledger distinguishes Baseline Value, Accelerated Value, Expanded Value, New Agreement Value, and Enabled Commercial Value. Enabled Commercial Value is separately reported, and the accounting basis, source, valuation date or period, responsible authority, and provenance for each material category are disclosed at a classification-safe level. A correction or superseding value preserves the prior entry and records the reason and date of change rather than silently overwriting the historical claim. A disputed or unverified value remains visibly identified as such and does not enter a verified headline total until the applicable verification process resolves its status.</w:t>
      </w:r>
    </w:p>
    <w:p>
      <w:pPr>
        <w:pStyle w:val="Heading2"/>
      </w:pPr>
      <w:bookmarkStart w:id="902153" w:name="_Toc300002152"/>
      <w:r>
        <w:t>ARTICLE 67.17: Baseline and Additionality</w:t>
      </w:r>
      <w:bookmarkEnd w:id="902153"/>
    </w:p>
    <w:p>
      <w:pPr>
        <w:pStyle w:val="Normal"/>
      </w:pPr>
      <w:r>
        <w:t>Each scheduled investment identifies its pre-agreement baseline, responsible authority, accounting basis, funding status, and any accelerated, expanded, or newly attributable portion. Umbrella envelopes and component expenditures are not double counted, and a methodology change identifies its effect on comparability with earlier reporting. Missing or not-yet-verifiable data is recorded as unavailable, estimated, or pending rather than converted into a verified value by inference. A corrected baseline or additionality determination propagates to the Investment Ledger, scorecard, and affected headline total while preserving the provenance of the earlier value.</w:t>
      </w:r>
    </w:p>
    <w:p>
      <w:pPr>
        <w:pStyle w:val="Heading2"/>
      </w:pPr>
      <w:bookmarkStart w:id="902154" w:name="_Toc300002153"/>
      <w:r>
        <w:t>ARTICLE 67.18: Independent Baseline and Headline Verification</w:t>
      </w:r>
      <w:bookmarkEnd w:id="902154"/>
    </w:p>
    <w:p>
      <w:pPr>
        <w:pStyle w:val="Normal"/>
      </w:pPr>
      <w:r>
        <w:t>A consolidated headline investment figure may be used only under an independently reviewable methodology identifying the expenditure universe, time period, national contributions, overlap adjustments, and treatment of previously committed spending. Verification may be performed through existing audit, statistical, or treaty-verification structures with sufficient independence from the body making the public claim, and the verifier identifies the methodology and material source limitations. A material error or methodological inconsistency is corrected in the next practicable publication and propagated to the underlying ledger. An unresolved disagreement over a material amount is reported as disputed or pending and is not presented as a jointly verified headline value.</w:t>
      </w:r>
    </w:p>
    <w:p>
      <w:pPr>
        <w:pStyle w:val="Heading2"/>
      </w:pPr>
      <w:bookmarkStart w:id="902155" w:name="_Toc300002154"/>
      <w:r>
        <w:t>ARTICLE 67.19: Northern Warning and Domain Awareness</w:t>
      </w:r>
      <w:bookmarkEnd w:id="902155"/>
    </w:p>
    <w:p>
      <w:pPr>
        <w:pStyle w:val="Normal"/>
      </w:pPr>
      <w:r>
        <w:t>The Parties may cooperate on resilient northern warning and domain-awareness capability, including appropriate over-the-horizon radar, North Warning System transition, gap-fill capability, maritime and air awareness, space-enabled awareness, maintenance, calibration, communications, and cyber resilience. A scheduled capability identifies the responsible authority, readiness or service objective appropriate to the system, material dependencies, sustainment path, and classification-safe evidence used to assess availability. A material outage, degradation, coverage gap, calibration failure, or transition risk is recorded through the competent national process and addressed through maintenance, redundancy, interim coverage, sequencing, or another authorized corrective measure. Any specific acquisition, construction, deployment, funding, or basing decision requires separate domestic authorization and, where applicable, an incorporated schedule.</w:t>
      </w:r>
    </w:p>
    <w:p>
      <w:pPr>
        <w:pStyle w:val="Heading2"/>
      </w:pPr>
      <w:bookmarkStart w:id="902156" w:name="_Toc300002155"/>
      <w:r>
        <w:t>ARTICLE 67.20: Northern Airfields, Basing and Operational Support</w:t>
      </w:r>
      <w:bookmarkEnd w:id="902156"/>
    </w:p>
    <w:p>
      <w:pPr>
        <w:pStyle w:val="Normal"/>
      </w:pPr>
      <w:r>
        <w:t>A Party may schedule modernization of northern airfields, forward operating locations, and operational support hubs, including runways, aprons, hangars, fuel, secure storage, accommodation, utilities, communications, weather, navigation, medical support, logistics, and emergency capability. A scheduled project identifies the operational function, responsible authority, material sustainment and utility dependencies, and any significant northern-community capacity constraint relevant to delivery or continued use. A material outage, construction delay, safety deficiency, or support-capacity failure is recorded and addressed through an authorized interim, corrective, or restoration measure appropriate to the project stage. This Article does not itself approve a project, appropriate funds, or authorize foreign basing.</w:t>
      </w:r>
    </w:p>
    <w:p>
      <w:pPr>
        <w:pStyle w:val="Heading2"/>
      </w:pPr>
      <w:bookmarkStart w:id="902157" w:name="_Toc300002156"/>
      <w:r>
        <w:t>ARTICLE 67.21: Ports, Sealift, Ice-Capable and Maritime Support</w:t>
      </w:r>
      <w:bookmarkEnd w:id="902157"/>
    </w:p>
    <w:p>
      <w:pPr>
        <w:pStyle w:val="Normal"/>
      </w:pPr>
      <w:r>
        <w:t>The Parties may cooperate on ports, small harbours, sealift, hydrography, navigation aids, vessel support, emergency refuge, spill response, and ice-capable maritime capability while preserving national ownership and command. A scheduled capability identifies its responsible authority, availability or service objective where applicable, material maintenance and seasonal dependencies, and interoperability requirements necessary for the stated function. Exercises, incidents, outages, or material performance failures may generate a classification-appropriate after-action or corrective record used to improve readiness and restoration. Specific projects remain subject to domestic authorization, funding, rights, environmental, and security requirements.</w:t>
      </w:r>
    </w:p>
    <w:p>
      <w:pPr>
        <w:pStyle w:val="Heading2"/>
      </w:pPr>
      <w:bookmarkStart w:id="902158" w:name="_Toc300002157"/>
      <w:r>
        <w:t>ARTICLE 67.22: Undersea Domain and Cable Protection</w:t>
      </w:r>
      <w:bookmarkEnd w:id="902158"/>
    </w:p>
    <w:p>
      <w:pPr>
        <w:pStyle w:val="Normal"/>
      </w:pPr>
      <w:r>
        <w:t>The Parties may undertake capability-level cooperation on submarine rescue, undersea research, autonomous undersea systems, ocean observation, seabed-infrastructure awareness, and cable protection. A material undersea or cable incident may trigger nationally authorized notification, evidence preservation, technical coordination, deconfliction, and assistance through competent authorities consistent with applicable law and security arrangements. The resulting record distinguishes observed facts, analytical assessments, corrections, responsible authorities, and closure or continuing-action status without requiring disclosure of protected operational information. Sensitive deployment and performance information remains protected under applicable law and classification rules, and no deployment is authorized solely by this Article.</w:t>
      </w:r>
    </w:p>
    <w:p>
      <w:pPr>
        <w:pStyle w:val="Heading2"/>
      </w:pPr>
      <w:bookmarkStart w:id="902159" w:name="_Toc300002158"/>
      <w:r>
        <w:t>ARTICLE 67.23: Airborne Early Warning and Air-Defence Evolution</w:t>
      </w:r>
      <w:bookmarkEnd w:id="902159"/>
    </w:p>
    <w:p>
      <w:pPr>
        <w:pStyle w:val="Normal"/>
      </w:pPr>
      <w:r>
        <w:t>The Parties may cooperate on airborne early warning, northern air-domain awareness, warning, sensing, interoperability, research, exercises, and infrastructure readiness. A scheduled capability identifies the responsible authority, transition or readiness objective, material dependencies, and the test, exercise, evaluation, or other evidence used to validate interoperability or availability where applicable. A material failure, delay, incompatibility, or degraded readiness condition is recorded and addressed through an authorized correction, interim capability, resequencing, or restoration process. This Article does not authorize or require a particular interceptor, missile-defence system, weapons deployment, funding commitment, or basing arrangement.</w:t>
      </w:r>
    </w:p>
    <w:p>
      <w:pPr>
        <w:pStyle w:val="Heading2"/>
      </w:pPr>
      <w:bookmarkStart w:id="902160" w:name="_Toc300002159"/>
      <w:r>
        <w:t>ARTICLE 67.24: Polar Communications, Space and C4ISR Resilience</w:t>
      </w:r>
      <w:bookmarkEnd w:id="902160"/>
    </w:p>
    <w:p>
      <w:pPr>
        <w:pStyle w:val="Normal"/>
      </w:pPr>
      <w:r>
        <w:t>The Parties may cooperate on resilient polar communications, satellite and ground infrastructure, secure command-and-control, cyber protection, and classification-appropriate information exchange. A scheduled system or service identifies the responsible authority, resilience or continuity objective, critical dependencies, and the classification-safe evidence used to assess availability and recovery. A material outage, cyber incident, loss of redundancy, or communications degradation is handled through the competent national incident and recovery process, with correction and restoration status recorded at an appropriate classification level. Specific systems and expenditures remain subject to domestic authority, applicable security agreements, and the data-governance safeguards of this Chapter.</w:t>
      </w:r>
    </w:p>
    <w:p>
      <w:pPr>
        <w:pStyle w:val="Heading2"/>
      </w:pPr>
      <w:bookmarkStart w:id="902161" w:name="_Toc300002160"/>
      <w:r>
        <w:t>ARTICLE 67.25: Northern Strategic Mobility and Logistics</w:t>
      </w:r>
      <w:bookmarkEnd w:id="902161"/>
    </w:p>
    <w:p>
      <w:pPr>
        <w:pStyle w:val="Normal"/>
      </w:pPr>
      <w:r>
        <w:t>The Parties may cooperate on roads, corridors, airlift, sealift, warehouses, freight visibility, equipment pools, emergency resupply, and other mobility systems supporting defence, emergency response, and northern communities. A scheduled mobility capability identifies the responsible authority, material capacity or readiness objective, critical bottlenecks and dependencies, and the evidence used to assess availability where practicable. An emergency activation, material disruption, or persistent bottleneck may trigger an authorized contingency, prioritization, alternate-routing, repair, or restoration measure consistent with domestic authority and civilian-safety requirements. Participation does not compel a Party to construct, fund, base, or open a specific facility absent separate authorization.</w:t>
      </w:r>
    </w:p>
    <w:p>
      <w:pPr>
        <w:pStyle w:val="Heading2"/>
      </w:pPr>
      <w:bookmarkStart w:id="902162" w:name="_Toc300002161"/>
      <w:r>
        <w:t>ARTICLE 67.26: Northern Energy and Fuel Resilience</w:t>
      </w:r>
      <w:bookmarkEnd w:id="902162"/>
    </w:p>
    <w:p>
      <w:pPr>
        <w:pStyle w:val="Normal"/>
      </w:pPr>
      <w:r>
        <w:t>The Parties may cooperate on resilient power, microgrids, storage, backup generation, fuel infrastructure, grid reinforcement, renewable hybrids, and emergency energy arrangements. A scheduled energy capability identifies its responsible authority, continuity objective, critical dependencies, backup or contingency arrangement, and the evidence used to assess material resilience. A material outage, supply interruption, fuel shortfall, or failure of backup capability is addressed through the competent domestic response and restoration process and is reflected in the classification-safe project status where relevant. Any specific remote nuclear deployment remains subject to the competent Party's domestic nuclear, environmental, safety, security, Indigenous-rights, funding, and siting authorities and is not authorized by this Article.</w:t>
      </w:r>
    </w:p>
    <w:p>
      <w:pPr>
        <w:pStyle w:val="Heading2"/>
      </w:pPr>
      <w:bookmarkStart w:id="902163" w:name="_Toc300002162"/>
      <w:r>
        <w:t>ARTICLE 67.27: Search and Rescue, Health and Human Security</w:t>
      </w:r>
      <w:bookmarkEnd w:id="902163"/>
    </w:p>
    <w:p>
      <w:pPr>
        <w:pStyle w:val="Normal"/>
      </w:pPr>
      <w:r>
        <w:t>The Parties may undertake nationally authorized cooperation on search and rescue, medevac, emergency medical surge, responder safety, emergency caches, hazardous-material response, communications contingency, and mass-rescue readiness. A cooperative arrangement identifies the competent lead or receiving authority, activation and handoff procedures, material readiness dependencies, and the interoperable communications or support arrangements required for its function. Exercises and significant activations may produce an after-action record identifying material gaps, lessons, corrective actions, and completion status consistent with applicable confidentiality and security rules. Operational command remains with the competent national or receiving authority.</w:t>
      </w:r>
    </w:p>
    <w:p>
      <w:pPr>
        <w:pStyle w:val="Heading2"/>
      </w:pPr>
      <w:bookmarkStart w:id="902164" w:name="_Toc300002163"/>
      <w:r>
        <w:t>ARTICLE 67.28: Climate, Science, Environment and Ocean Governance</w:t>
      </w:r>
      <w:bookmarkEnd w:id="902164"/>
    </w:p>
    <w:p>
      <w:pPr>
        <w:pStyle w:val="Normal"/>
      </w:pPr>
      <w:r>
        <w:t>The Parties may cooperate on weather, sea-ice, permafrost, oceanographic, space-weather, climate-resilience, and environmental-monitoring capability where it improves northern safety, infrastructure durability, or operational awareness. Shared scientific or environmental information identifies its source, provenance, material limitations, and correction status where necessary for a consequential Partnership decision. Collection, use, publication, and exchange remain subject to applicable environmental, Indigenous-rights, traditional-knowledge, privacy, intellectual-property, data, and security requirements, including classification filtering where required. A scientific cooperation activity does not itself authorize a project, determine a rights or environmental outcome, or convert preliminary or modeled information into a verified operational fact.</w:t>
      </w:r>
    </w:p>
    <w:p>
      <w:pPr>
        <w:pStyle w:val="Heading2"/>
      </w:pPr>
      <w:bookmarkStart w:id="902165" w:name="_Toc300002164"/>
      <w:r>
        <w:t>ARTICLE 67.29: North American Arctic Industrial Base</w:t>
      </w:r>
      <w:bookmarkEnd w:id="902165"/>
    </w:p>
    <w:p>
      <w:pPr>
        <w:pStyle w:val="Normal"/>
      </w:pPr>
      <w:r>
        <w:t>The Parties pursue reciprocal lawful opportunities for North American suppliers in sensors, communications, satellites, cold-weather equipment, shipbuilding supply chains, batteries, critical materials, construction equipment, logistics, and testing, consistent with Chapters 37, 64, and 65. A designated opportunity identifies the competent procurement authority, applicable qualification pathway, material eligibility requirements, and any lawful reciprocity condition without preselecting a supplier. Supplier access and qualification information is made available through the applicable procurement or program channel, subject to security and confidentiality requirements. This Article creates no guaranteed award, procurement preference, or waiver beyond an expressly designated lawful procurement opening.</w:t>
      </w:r>
    </w:p>
    <w:p>
      <w:pPr>
        <w:pStyle w:val="Heading2"/>
      </w:pPr>
      <w:bookmarkStart w:id="902166" w:name="_Toc300002165"/>
      <w:r>
        <w:t>ARTICLE 67.30: Procurement Is Opportunity, Not Award</w:t>
      </w:r>
      <w:bookmarkEnd w:id="902166"/>
    </w:p>
    <w:p>
      <w:pPr>
        <w:pStyle w:val="Normal"/>
      </w:pPr>
      <w:r>
        <w:t>A competent authority may designate procurement opportunities, supplier-qualification pathways, and reciprocal workshare objectives under this Chapter without guaranteeing contracts, preselecting winners, waiving procurement law, or creating blanket domestic-preference exemptions. Article 65's Opportunity, Not Award and verification safeguards apply.</w:t>
      </w:r>
    </w:p>
    <w:p>
      <w:pPr>
        <w:pStyle w:val="Heading2"/>
      </w:pPr>
      <w:bookmarkStart w:id="902167" w:name="_Toc300002166"/>
      <w:r>
        <w:t>ARTICLE 67.31: Workforce and Northern Capacity</w:t>
      </w:r>
      <w:bookmarkEnd w:id="902167"/>
    </w:p>
    <w:p>
      <w:pPr>
        <w:pStyle w:val="Normal"/>
      </w:pPr>
      <w:r>
        <w:t>The Parties may support northern trades, maintenance skills, technical training, workforce pipelines, housing, and service capacity. A program may identify a documented workforce or service-capacity need, responsible authority, relevant training or credential pathway, and material community-capacity constraint where those elements affect delivery. Cooperation may support recognition or portability of training where lawful, but it does not displace domestic licensing, labour, immigration, safety, Indigenous-rights, or employment standards. Any binding project-specific numerical target, funding commitment, or employment requirement appears in a lawful schedule, procurement instrument, or domestic program rather than arising automatically from this Article.</w:t>
      </w:r>
    </w:p>
    <w:p>
      <w:pPr>
        <w:pStyle w:val="Heading2"/>
      </w:pPr>
      <w:bookmarkStart w:id="902168" w:name="_Toc300002167"/>
      <w:r>
        <w:t>ARTICLE 67.32: Northern Vigilance Scorecard</w:t>
      </w:r>
      <w:bookmarkEnd w:id="902168"/>
    </w:p>
    <w:p>
      <w:pPr>
        <w:pStyle w:val="Normal"/>
      </w:pPr>
      <w:r>
        <w:t>The Secretariat may maintain a classification-safe Northern Vigilance Scorecard distinguishing investment deployed, milestones completed, infrastructure delivered, procurement opportunities, workforce and northern participation, community benefits, and capability outputs. Each material scorecard entry identifies its source or provenance, reporting period, verification status, and any material limitation necessary to understand the indicator. Corrections, missing data, and methodology changes are recorded transparently at a classification-safe level and are propagated to affected aggregate indicators. Scorecard status is informational and creates no procurement, deployment, funding, basing, or defence authority.</w:t>
      </w:r>
    </w:p>
    <w:p>
      <w:pPr>
        <w:pStyle w:val="Heading2"/>
      </w:pPr>
      <w:bookmarkStart w:id="902169" w:name="_Toc300002168"/>
      <w:r>
        <w:t>ARTICLE 67.33: State of the Vigilant North</w:t>
      </w:r>
      <w:bookmarkEnd w:id="902169"/>
    </w:p>
    <w:p>
      <w:pPr>
        <w:pStyle w:val="Normal"/>
      </w:pPr>
      <w:r>
        <w:t>The Parties may publish an annual leaders-level State of the Vigilant North report consolidating the scorecard, a classification-safe project map, the investment ledger, verification findings, achievements, delays, corrections, and the next implementation plan. The report distinguishes verified current status from planned, modeled, estimated, disputed, or political targets and identifies the source or verification status of material headline claims. A material correction made after publication is carried into the next practicable public update and the underlying project or ledger record. Publication does not convert a planned project, unverified amount, or political objective into an adopted commitment or verified capability.</w:t>
      </w:r>
    </w:p>
    <w:p>
      <w:pPr>
        <w:pStyle w:val="Heading2"/>
      </w:pPr>
      <w:bookmarkStart w:id="902170" w:name="_Toc300002169"/>
      <w:r>
        <w:t>ARTICLE 67.34: No Zombie Projects</w:t>
      </w:r>
      <w:bookmarkEnd w:id="902170"/>
    </w:p>
    <w:p>
      <w:pPr>
        <w:pStyle w:val="Normal"/>
      </w:pPr>
      <w:r>
        <w:t>A completed, cancelled, materially rescoped, superseded, or obsolete project shall not remain represented as active merely because an earlier source described it as current. The implementation record shall preserve the historical entry and identify the updated status, reason, and date.</w:t>
      </w:r>
    </w:p>
    <w:p>
      <w:pPr>
        <w:pStyle w:val="Heading2"/>
      </w:pPr>
      <w:bookmarkStart w:id="902171" w:name="_Toc300002170"/>
      <w:r>
        <w:t>ARTICLE 67.35: Project Verification Ladder</w:t>
      </w:r>
      <w:bookmarkEnd w:id="902171"/>
    </w:p>
    <w:p>
      <w:pPr>
        <w:pStyle w:val="Normal"/>
      </w:pPr>
      <w:r>
        <w:t>Candidate projects may be classified A1 Candidate Identified; A2 Program or Project Existence Verified; A3 Funding and Policy Authority Verified; A4 Implementation Path Verified; and A5 Schedule Ready. Promotion or demotion is supported by documentary evidence appropriate to the status and recorded by the designated Party authority or existing NAESTMA verification structure, with material corrections preserved in the project history. Status may move backward when circumstances change, and a disputed or incomplete element remains identified rather than being presumed satisfied. No classification by itself authorizes procurement, construction, funding, deployment, or foreign access.</w:t>
      </w:r>
    </w:p>
    <w:p>
      <w:pPr>
        <w:pStyle w:val="Heading2"/>
      </w:pPr>
      <w:bookmarkStart w:id="902172" w:name="_Toc300002171"/>
      <w:r>
        <w:t>ARTICLE 67.36: Project Scheduling and No Automatic Approval</w:t>
      </w:r>
      <w:bookmarkEnd w:id="902172"/>
    </w:p>
    <w:p>
      <w:pPr>
        <w:pStyle w:val="Normal"/>
      </w:pPr>
      <w:r>
        <w:t>Candidate inclusion does not approve construction, procurement, funding, permitting, environmental review, rights processes, deployment, basing, or foreign access. Only an expressly incorporated A5 schedule commitment, adopted by the competent Party or Parties under applicable law, creates the obligation stated in that schedule.</w:t>
      </w:r>
    </w:p>
    <w:p>
      <w:pPr>
        <w:pStyle w:val="Heading2"/>
      </w:pPr>
      <w:bookmarkStart w:id="902173" w:name="_Toc300002172"/>
      <w:r>
        <w:t>ARTICLE 67.37: Northern Vigilance Milestone Certification</w:t>
      </w:r>
      <w:bookmarkEnd w:id="902173"/>
    </w:p>
    <w:p>
      <w:pPr>
        <w:pStyle w:val="Normal"/>
      </w:pPr>
      <w:r>
        <w:t>Designated Party authorities and existing NAESTMA verification structures are used where practicable for documentary evidence, observation, correction, and classification-safe Northern Vigilance milestone certification. A certification identifies the milestone, responsible project authority, evidence relied upon, verification status, and any material limitation that can be stated without disclosing protected information. A material error, changed circumstance, or superseding evidence triggers correction or withdrawal of the affected certification and preserves the prior record for provenance. Certification establishes only the status expressly verified and does not itself authorize procurement, expenditure, construction, deployment, basing, foreign access, or another underlying action.</w:t>
      </w:r>
    </w:p>
    <w:p>
      <w:pPr>
        <w:pStyle w:val="Heading2"/>
      </w:pPr>
      <w:bookmarkStart w:id="902174" w:name="_Toc300002173"/>
      <w:r>
        <w:t>ARTICLE 67.38: Controlled-Capability Ladder</w:t>
      </w:r>
      <w:bookmarkEnd w:id="902174"/>
    </w:p>
    <w:p>
      <w:pPr>
        <w:pStyle w:val="Normal"/>
      </w:pPr>
      <w:r>
        <w:t>The Controlled-Capability Ladder consists of C1 Concept Recognized; C2 Legal and Sovereignty Authority Verified; C3 Rights, Environmental and Security Review Complete; C4 Controlled Implementation Authorized; and C5 Program Eligible. Movement between levels is supported by evidence appropriate to the level and recorded by the competent Party authority or designated verification mechanism, and a status may move backward when a material prerequisite ceases to be satisfied. Each status has only the legal effect expressly assigned to it by this Chapter or an adopted schedule and does not cure a missing domestic authorization. A concept or project does not acquire procurement, funding, deployment, basing, foreign-access, or operational authority merely because it appears on the ladder.</w:t>
      </w:r>
    </w:p>
    <w:p>
      <w:pPr>
        <w:pStyle w:val="Heading2"/>
      </w:pPr>
      <w:bookmarkStart w:id="902175" w:name="_Toc300002174"/>
      <w:r>
        <w:t>ARTICLE 67.39: Data Governance and Sensitive Information</w:t>
      </w:r>
      <w:bookmarkEnd w:id="902175"/>
    </w:p>
    <w:p>
      <w:pPr>
        <w:pStyle w:val="Normal"/>
      </w:pPr>
      <w:r>
        <w:t>Northern Vigilance information is handled under applicable law, classification rules, purpose limitation, access controls, originator restrictions, cyber safeguards, and correction procedures. A competent system applies retention and disposition rules, role-appropriate access, query or access logging where required by applicable law or security policy, and controls on onward transfer of sensitive information. A material breach, erroneous record, or unauthorized disclosure is handled through the applicable national incident, correction, notification, and remedial process, including propagation of a material correction to authorized recipients where practicable. Classification-safe audit or verification confirms compliance without requiring disclosure of information that the competent authority lawfully protects.</w:t>
      </w:r>
    </w:p>
    <w:p>
      <w:pPr>
        <w:pStyle w:val="Heading2"/>
      </w:pPr>
      <w:bookmarkStart w:id="902176" w:name="_Toc300002175"/>
      <w:r>
        <w:t>ARTICLE 67.40: Foreign Personnel, Liability and Status</w:t>
      </w:r>
      <w:bookmarkEnd w:id="902176"/>
    </w:p>
    <w:p>
      <w:pPr>
        <w:pStyle w:val="Normal"/>
      </w:pPr>
      <w:r>
        <w:t>Rotational or visiting foreign personnel remain subject to applicable status-of-forces, customs, immigration, liability, claims, security, and facility-access rules and acquire no independent immunity or authority under this Chapter. The competent host authority controls entry, sponsorship, access scope, credentialing, and termination of access to a facility, system, range, or data environment. A material security, conduct, liability, or access incident is handled through the applicable host-state and governing-agreement process and may result in suspension or withdrawal of access. Participation in a Northern Vigilance activity does not expand the person's legal status beyond the authority granted by applicable law and the governing arrangement.</w:t>
      </w:r>
    </w:p>
    <w:p>
      <w:pPr>
        <w:pStyle w:val="Heading2"/>
      </w:pPr>
      <w:bookmarkStart w:id="902177" w:name="_Toc300002176"/>
      <w:r>
        <w:t>ARTICLE 67.41: Environmental and Procurement Integrity</w:t>
      </w:r>
      <w:bookmarkEnd w:id="902177"/>
    </w:p>
    <w:p>
      <w:pPr>
        <w:pStyle w:val="Normal"/>
      </w:pPr>
      <w:r>
        <w:t>Northern Vigilance implementation preserves applicable environmental, procurement, anti-corruption, audit, and financial-control requirements, and Partnership branding does not bypass law. A person performing a material procurement, verification, financial-control, or project-approval function remains subject to applicable conflict-of-interest, disclosure, recusal, recordkeeping, and audit requirements. A material integrity concern is referred through the competent domestic or treaty process and may result in correction, suspension, re-verification, or other lawful remedial action appropriate to the affected decision. A project does not retain verified status merely because it carries Partnership branding if the underlying legal or integrity requirement is no longer satisfied.</w:t>
      </w:r>
    </w:p>
    <w:p>
      <w:pPr>
        <w:pStyle w:val="Heading2"/>
      </w:pPr>
      <w:bookmarkStart w:id="902178" w:name="_Toc300002177"/>
      <w:r>
        <w:t>ARTICLE 67.42: Security Performance and Good-Faith Implementation</w:t>
      </w:r>
      <w:bookmarkEnd w:id="902178"/>
    </w:p>
    <w:p>
      <w:pPr>
        <w:pStyle w:val="Normal"/>
      </w:pPr>
      <w:r>
        <w:t>Performance under this Chapter is assessed primarily through verified implementation, capability availability, milestone delivery, sustainment, and lawful cooperation rather than a single output statistic. A performance assessment identifies the evidence relied upon, materiality of the issue, relevant verification status, and any known limitation or disputed fact. Contested or incomplete data is recorded as such and is not converted into an adverse or favorable determination by presumption alone. A material determination affecting a paired benefit, project status, or cure process is recorded with sufficient reasons to permit the applicable review or verification mechanism to test it.</w:t>
      </w:r>
    </w:p>
    <w:p>
      <w:pPr>
        <w:pStyle w:val="Heading2"/>
      </w:pPr>
      <w:bookmarkStart w:id="902179" w:name="_Toc300002178"/>
      <w:r>
        <w:t>ARTICLE 67.43: Verification, Consultation and Cure</w:t>
      </w:r>
      <w:bookmarkEnd w:id="902179"/>
    </w:p>
    <w:p>
      <w:pPr>
        <w:pStyle w:val="Normal"/>
      </w:pPr>
      <w:r>
        <w:t>A material performance concern under this Chapter proceeds through evidence, verification, consultation, and a reasonable cure opportunity using Annex 67-F and an existing Cothrom or other NAESTMA mechanism applicable to the underlying obligation before any paired benefit may be paused. The initiating record identifies the alleged non-performance, evidence, affected obligation, expressly identified paired benefit or cooperation measure, responsible Party or authority, and a response period fixed by the controlling instrument or, if none is fixed, a reasonable period stated in the notice. The responding Party may correct the record, contest the evidence, propose a cure, or demonstrate that the alleged condition is immaterial or outside this Chapter, and an unresolved material disagreement may proceed through Chapter 31 or another expressly applicable review route. This Article creates no independent suspension, tariff, procurement, funding, security, or other remedial authority and closes only when verification confirms cure, resolves the allegation, or records the remaining issue for a remedy independently authorized by this Agreement.</w:t>
      </w:r>
    </w:p>
    <w:p>
      <w:pPr>
        <w:pStyle w:val="Heading2"/>
      </w:pPr>
      <w:bookmarkStart w:id="902180" w:name="_Toc300002179"/>
      <w:r>
        <w:t>ARTICLE 67.44: Proportional Northern-Vigilance Step-Back</w:t>
      </w:r>
      <w:bookmarkEnd w:id="902180"/>
    </w:p>
    <w:p>
      <w:pPr>
        <w:pStyle w:val="Normal"/>
      </w:pPr>
      <w:r>
        <w:t>After verified uncured material non-performance, a competent authority may pause a directly paired Northern Vigilance benefit or cooperation measure only where the instrument establishing that paired measure or another express provision of this Agreement independently authorizes the pause. The decision identifies the verified failure, legal authority, paired measure, scope, effective date, review point, and reason the selected step-back is proportionate to the unresolved condition. A step-back does not affect an unrelated procurement, tariff, quota, origin, market-access, security, or other treaty obligation absent separate legal authority and does not extend beyond the duration or limits of its authorizing instrument. Where no independent pause authority exists, Articles 67.42 through 67.45 supply verification, consultation, cure, and restoration disciplines only and do not create one.</w:t>
      </w:r>
    </w:p>
    <w:p>
      <w:pPr>
        <w:pStyle w:val="Heading2"/>
      </w:pPr>
      <w:bookmarkStart w:id="902181" w:name="_Toc300002180"/>
      <w:r>
        <w:t>ARTICLE 67.45: Automatic Restoration After Cure</w:t>
      </w:r>
      <w:bookmarkEnd w:id="902181"/>
    </w:p>
    <w:p>
      <w:pPr>
        <w:pStyle w:val="Normal"/>
      </w:pPr>
      <w:r>
        <w:t>A lawfully paused paired benefit or cooperation measure is restored promptly when verification under Annex 67-F confirms that the material performance condition has been cured, subject only to a safety or security validation independently required by the controlling instrument. The competent authority records the cure evidence, any remaining validation step, the restoration date, and the scope of the restored measure within the clock or review point established by that instrument. A partial cure restores the portion whose underlying condition is verified as satisfied unless the remaining condition is technically inseparable and the record explains that limitation. Completion of cure and restoration is not undone merely by passage of time or a later review absent new material evidence and legal authority for a new action.</w:t>
      </w:r>
    </w:p>
    <w:p>
      <w:pPr>
        <w:pStyle w:val="Heading2"/>
      </w:pPr>
      <w:bookmarkStart w:id="902182" w:name="_Toc300002181"/>
      <w:r>
        <w:t>ARTICLE 67.46: Trade-Measure Exclusion and Covered-Rationale Exhaustion</w:t>
      </w:r>
      <w:bookmarkEnd w:id="902182"/>
    </w:p>
    <w:p>
      <w:pPr>
        <w:pStyle w:val="Normal"/>
      </w:pPr>
      <w:r>
        <w:t>Performance under this Chapter does not by itself justify unrelated tariffs, quotas, or other trade restrictions, and a materially addressed security concern is not recycled as a new rationale without new material evidence of governmental non-performance. A Party relying on new material evidence identifies the new fact, its connection to the governmental performance obligation, and why the earlier verification, cure, or restoration record does not resolve it. Repackaging the same factual concern under a different label does not satisfy the new-material-evidence requirement. This Article does not displace Article 35.3(6) or Article 32.2 as replaced, and does not prevent action independently authorized under another provision of this Agreement or applicable law where the separate legal conditions for that action are actually met.</w:t>
      </w:r>
    </w:p>
    <w:p>
      <w:pPr>
        <w:pStyle w:val="Heading2"/>
      </w:pPr>
      <w:bookmarkStart w:id="902183" w:name="_Toc300002182"/>
      <w:r>
        <w:t>ARTICLE 67.47: Review, Renewal and Orderly Wind-Down</w:t>
      </w:r>
      <w:bookmarkEnd w:id="902183"/>
    </w:p>
    <w:p>
      <w:pPr>
        <w:pStyle w:val="Normal"/>
      </w:pPr>
      <w:r>
        <w:t>The Parties periodically review implementation of this Chapter, may promote or add verified projects through the Article 67.35 verification process and an expressly incorporated Article 67.36 schedule adopted by the competent Party or Parties under applicable law, and maintain procedures for orderly withdrawal, data disposition, asset treatment, and wind-down. For legal-status purposes, Annex 67-A is a reference index to operative Chapter 67 obligations; Annex 67-B is a technical implementation register whose eligible technical maintenance proceeds only under Article 34.3.A; Annex 67-C is a non-binding candidate register; Annex 67-D contains controlled-capability options subject to Article 67.38 and separate authorization; Annex 67-E is non-operative visibility material; and Annex 67-F supplies the project-status, claim, and accounting verification rule. A review or operational record may correct status and close or transfer implementation responsibilities, but Article 46.11 governs only clerical corrections and any change to substantive treaty rights, obligations, exceptions, remedies, deadlines, or the legal effect of an annex requires Article 34.3 or another express treaty authority. Completion is recorded when the competent authorities have identified the surviving obligations and closed or transferred the remaining implementation responsibilities without treating obsolete projects as continuing commitments.</w:t>
      </w:r>
    </w:p>
    <w:p>
      <w:pPr>
        <w:pStyle w:val="Heading2"/>
      </w:pPr>
      <w:bookmarkStart w:id="902184" w:name="_Toc300002183"/>
      <w:r>
        <w:rPr>
          <w:b/>
        </w:rPr>
        <w:t>ANNEX 67-A: CORNERSTONE OBLIGATIONS REFERENCE REGISTER (OPERATIVE CHAPTER 67 TEXT CONTROLS)</w:t>
      </w:r>
      <w:bookmarkEnd w:id="902184"/>
    </w:p>
    <w:p>
      <w:pPr>
        <w:pStyle w:val="Normal"/>
      </w:pPr>
      <w:r>
        <w:t>67-A.1. Article 67.1: Purpose and Bargain.</w:t>
      </w:r>
    </w:p>
    <w:p>
      <w:pPr>
        <w:pStyle w:val="Normal"/>
      </w:pPr>
      <w:r>
        <w:t>67-A.2. Article 67.2: Governing Principle, Sovereign Infrastructure, Continental Benefit.</w:t>
      </w:r>
    </w:p>
    <w:p>
      <w:pPr>
        <w:pStyle w:val="Normal"/>
      </w:pPr>
      <w:r>
        <w:t>67-A.3. Article 67.3: Canadian Arctic Sovereignty and Legal-Position Savings.</w:t>
      </w:r>
    </w:p>
    <w:p>
      <w:pPr>
        <w:pStyle w:val="Normal"/>
      </w:pPr>
      <w:r>
        <w:t>67-A.4. Article 67.4: Canadian Soil, Canadian Authority.</w:t>
      </w:r>
    </w:p>
    <w:p>
      <w:pPr>
        <w:pStyle w:val="Normal"/>
      </w:pPr>
      <w:r>
        <w:t>67-A.5. Article 67.5: National Command and Capability Without Compulsion.</w:t>
      </w:r>
    </w:p>
    <w:p>
      <w:pPr>
        <w:pStyle w:val="Normal"/>
      </w:pPr>
      <w:r>
        <w:t>67-A.6. Article 67.6: Trilateral Where Functional, Binational Where Operational.</w:t>
      </w:r>
    </w:p>
    <w:p>
      <w:pPr>
        <w:pStyle w:val="Normal"/>
      </w:pPr>
      <w:r>
        <w:t>67-A.7. Article 67.7: Maintain While Modernizing.</w:t>
      </w:r>
    </w:p>
    <w:p>
      <w:pPr>
        <w:pStyle w:val="Normal"/>
      </w:pPr>
      <w:r>
        <w:t>67-A.8. Article 67.8: Public Commitment, Classified Implementation.</w:t>
      </w:r>
    </w:p>
    <w:p>
      <w:pPr>
        <w:pStyle w:val="Normal"/>
      </w:pPr>
      <w:r>
        <w:t>67-A.9. Article 67.9: Interoperability Without Surrender of National Control.</w:t>
      </w:r>
    </w:p>
    <w:p>
      <w:pPr>
        <w:pStyle w:val="Normal"/>
      </w:pPr>
      <w:r>
        <w:t>67-A.10. Article 67.10: Dual-Use Northern Dividend.</w:t>
      </w:r>
    </w:p>
    <w:p>
      <w:pPr>
        <w:pStyle w:val="Normal"/>
      </w:pPr>
      <w:r>
        <w:t>67-A.11. Article 67.11: No Northern Capacity Crowding-Out.</w:t>
      </w:r>
    </w:p>
    <w:p>
      <w:pPr>
        <w:pStyle w:val="Normal"/>
      </w:pPr>
      <w:r>
        <w:t>67-A.12. Article 67.12: Rights First, Partnership By Design.</w:t>
      </w:r>
    </w:p>
    <w:p>
      <w:pPr>
        <w:pStyle w:val="Normal"/>
      </w:pPr>
      <w:r>
        <w:t>67-A.13. Article 67.13: Traditional Knowledge and Cultural Protection.</w:t>
      </w:r>
    </w:p>
    <w:p>
      <w:pPr>
        <w:pStyle w:val="Normal"/>
      </w:pPr>
      <w:r>
        <w:t>67-A.14. Article 67.14: Existing Investment Recognition and Additionality.</w:t>
      </w:r>
    </w:p>
    <w:p>
      <w:pPr>
        <w:pStyle w:val="Normal"/>
      </w:pPr>
      <w:r>
        <w:t>67-A.15. Article 67.15: One Dollar, One Investment.</w:t>
      </w:r>
    </w:p>
    <w:p>
      <w:pPr>
        <w:pStyle w:val="Normal"/>
      </w:pPr>
      <w:r>
        <w:t>67-A.16. Article 67.16: Arctic Investment Ledger.</w:t>
      </w:r>
    </w:p>
    <w:p>
      <w:pPr>
        <w:pStyle w:val="Normal"/>
      </w:pPr>
      <w:r>
        <w:t>67-A.17. Article 67.17: Baseline and Additionality.</w:t>
      </w:r>
    </w:p>
    <w:p>
      <w:pPr>
        <w:pStyle w:val="Normal"/>
      </w:pPr>
      <w:r>
        <w:t>67-A.18. Article 67.18: Independent Baseline and Headline Verification.</w:t>
      </w:r>
    </w:p>
    <w:p>
      <w:pPr>
        <w:pStyle w:val="Normal"/>
      </w:pPr>
      <w:r>
        <w:t>67-A.19. Article 67.19: Northern Warning and Domain Awareness.</w:t>
      </w:r>
    </w:p>
    <w:p>
      <w:pPr>
        <w:pStyle w:val="Normal"/>
      </w:pPr>
      <w:r>
        <w:t>67-A.20. Article 67.20: Northern Airfields, Basing and Operational Support.</w:t>
      </w:r>
    </w:p>
    <w:p>
      <w:pPr>
        <w:pStyle w:val="Normal"/>
      </w:pPr>
      <w:r>
        <w:t>67-A.21. Article 67.21: Ports, Sealift, Ice-Capable and Maritime Support.</w:t>
      </w:r>
    </w:p>
    <w:p>
      <w:pPr>
        <w:pStyle w:val="Normal"/>
      </w:pPr>
      <w:r>
        <w:t>67-A.22. Article 67.22: Undersea Domain and Cable Protection.</w:t>
      </w:r>
    </w:p>
    <w:p>
      <w:pPr>
        <w:pStyle w:val="Normal"/>
      </w:pPr>
      <w:r>
        <w:t>67-A.23. Article 67.23: Airborne Early Warning and Air-Defence Evolution.</w:t>
      </w:r>
    </w:p>
    <w:p>
      <w:pPr>
        <w:pStyle w:val="Normal"/>
      </w:pPr>
      <w:r>
        <w:t>67-A.24. Article 67.24: Polar Communications, Space and C4ISR Resilience.</w:t>
      </w:r>
    </w:p>
    <w:p>
      <w:pPr>
        <w:pStyle w:val="Normal"/>
      </w:pPr>
      <w:r>
        <w:t>67-A.25. Article 67.25: Northern Strategic Mobility and Logistics.</w:t>
      </w:r>
    </w:p>
    <w:p>
      <w:pPr>
        <w:pStyle w:val="Normal"/>
      </w:pPr>
      <w:r>
        <w:t>67-A.26. Article 67.26: Northern Energy and Fuel Resilience.</w:t>
      </w:r>
    </w:p>
    <w:p>
      <w:pPr>
        <w:pStyle w:val="Normal"/>
      </w:pPr>
      <w:r>
        <w:t>67-A.27. Article 67.27: Search and Rescue, Health and Human Security.</w:t>
      </w:r>
    </w:p>
    <w:p>
      <w:pPr>
        <w:pStyle w:val="Normal"/>
      </w:pPr>
      <w:r>
        <w:t>67-A.28. Article 67.28: Climate, Science, Environment and Ocean Governance.</w:t>
      </w:r>
    </w:p>
    <w:p>
      <w:pPr>
        <w:pStyle w:val="Normal"/>
      </w:pPr>
      <w:r>
        <w:t>67-A.29. Article 67.29: North American Arctic Industrial Base.</w:t>
      </w:r>
    </w:p>
    <w:p>
      <w:pPr>
        <w:pStyle w:val="Normal"/>
      </w:pPr>
      <w:r>
        <w:t>67-A.30. Article 67.30: Procurement Is Opportunity, Not Award.</w:t>
      </w:r>
    </w:p>
    <w:p>
      <w:pPr>
        <w:pStyle w:val="Normal"/>
      </w:pPr>
      <w:r>
        <w:t>67-A.31. Article 67.31: Workforce and Northern Capacity.</w:t>
      </w:r>
    </w:p>
    <w:p>
      <w:pPr>
        <w:pStyle w:val="Normal"/>
      </w:pPr>
      <w:r>
        <w:t>67-A.32. Article 67.32: Northern Vigilance Scorecard.</w:t>
      </w:r>
    </w:p>
    <w:p>
      <w:pPr>
        <w:pStyle w:val="Normal"/>
      </w:pPr>
      <w:r>
        <w:t>67-A.33. Article 67.33: State of the Vigilant North.</w:t>
      </w:r>
    </w:p>
    <w:p>
      <w:pPr>
        <w:pStyle w:val="Normal"/>
      </w:pPr>
      <w:r>
        <w:t>67-A.34. Article 67.34: No Zombie Projects.</w:t>
      </w:r>
    </w:p>
    <w:p>
      <w:pPr>
        <w:pStyle w:val="Normal"/>
      </w:pPr>
      <w:r>
        <w:t>67-A.35. Article 67.35: Project Verification Ladder.</w:t>
      </w:r>
    </w:p>
    <w:p>
      <w:pPr>
        <w:pStyle w:val="Normal"/>
      </w:pPr>
      <w:r>
        <w:t>67-A.36. Article 67.36: Project Scheduling and No Automatic Approval.</w:t>
      </w:r>
    </w:p>
    <w:p>
      <w:pPr>
        <w:pStyle w:val="Normal"/>
      </w:pPr>
      <w:r>
        <w:t>67-A.37. Article 67.37: Northern Vigilance Milestone Certification.</w:t>
      </w:r>
    </w:p>
    <w:p>
      <w:pPr>
        <w:pStyle w:val="Normal"/>
      </w:pPr>
      <w:r>
        <w:t>67-A.38. Article 67.38: Controlled-Capability Ladder.</w:t>
      </w:r>
    </w:p>
    <w:p>
      <w:pPr>
        <w:pStyle w:val="Normal"/>
      </w:pPr>
      <w:r>
        <w:t>67-A.39. Article 67.39: Data Governance and Sensitive Information.</w:t>
      </w:r>
    </w:p>
    <w:p>
      <w:pPr>
        <w:pStyle w:val="Normal"/>
      </w:pPr>
      <w:r>
        <w:t>67-A.40. Article 67.40: Foreign Personnel, Liability and Status.</w:t>
      </w:r>
    </w:p>
    <w:p>
      <w:pPr>
        <w:pStyle w:val="Normal"/>
      </w:pPr>
      <w:r>
        <w:t>67-A.41. Article 67.41: Environmental and Procurement Integrity.</w:t>
      </w:r>
    </w:p>
    <w:p>
      <w:pPr>
        <w:pStyle w:val="Normal"/>
      </w:pPr>
      <w:r>
        <w:t>67-A.42. Article 67.42: Security Performance and Good-Faith Implementation.</w:t>
      </w:r>
    </w:p>
    <w:p>
      <w:pPr>
        <w:pStyle w:val="Normal"/>
      </w:pPr>
      <w:r>
        <w:t>67-A.43. Article 67.43: Verification, Consultation and Cure.</w:t>
      </w:r>
    </w:p>
    <w:p>
      <w:pPr>
        <w:pStyle w:val="Normal"/>
      </w:pPr>
      <w:r>
        <w:t>67-A.44. Article 67.44: Proportional Northern-Vigilance Step-Back.</w:t>
      </w:r>
    </w:p>
    <w:p>
      <w:pPr>
        <w:pStyle w:val="Normal"/>
      </w:pPr>
      <w:r>
        <w:t>67-A.45. Article 67.45: Automatic Restoration After Cure.</w:t>
      </w:r>
    </w:p>
    <w:p>
      <w:pPr>
        <w:pStyle w:val="Normal"/>
      </w:pPr>
      <w:r>
        <w:t>67-A.46. Article 67.46: Trade-Measure Exclusion and Covered-Rationale Exhaustion.</w:t>
      </w:r>
    </w:p>
    <w:p>
      <w:pPr>
        <w:pStyle w:val="Normal"/>
      </w:pPr>
      <w:r>
        <w:t>67-A.47. Article 67.47: Review, Renewal and Orderly Wind-Down.</w:t>
      </w:r>
    </w:p>
    <w:p>
      <w:pPr>
        <w:pStyle w:val="Heading2"/>
      </w:pPr>
      <w:bookmarkStart w:id="902185" w:name="_Toc300002184"/>
      <w:r>
        <w:rPr>
          <w:b/>
        </w:rPr>
        <w:t>ANNEX 67-B: OPERATIONAL AND CAPABILITY MECHANISM REGISTER (LAYER TWO TECHNICAL IMPLEMENTATION REGISTER)</w:t>
      </w:r>
      <w:bookmarkEnd w:id="902185"/>
    </w:p>
    <w:p>
      <w:pPr>
        <w:pStyle w:val="Normal"/>
      </w:pPr>
      <w:r>
        <w:t>67-B.1. [Warning and Radar] A-OTHR capability.</w:t>
      </w:r>
    </w:p>
    <w:p>
      <w:pPr>
        <w:pStyle w:val="Normal"/>
      </w:pPr>
      <w:r>
        <w:t>67-B.2. [Warning and Radar] Polar OTHR capability.</w:t>
      </w:r>
    </w:p>
    <w:p>
      <w:pPr>
        <w:pStyle w:val="Normal"/>
      </w:pPr>
      <w:r>
        <w:t>67-B.3. [Warning and Radar] North Warning System sustainment.</w:t>
      </w:r>
    </w:p>
    <w:p>
      <w:pPr>
        <w:pStyle w:val="Normal"/>
      </w:pPr>
      <w:r>
        <w:t>67-B.4. [Warning and Radar] North Warning System transition.</w:t>
      </w:r>
    </w:p>
    <w:p>
      <w:pPr>
        <w:pStyle w:val="Normal"/>
      </w:pPr>
      <w:r>
        <w:t>67-B.5. [Warning and Radar] Gap-fill radar.</w:t>
      </w:r>
    </w:p>
    <w:p>
      <w:pPr>
        <w:pStyle w:val="Normal"/>
      </w:pPr>
      <w:r>
        <w:t>67-B.6. [Warning and Radar] Mobile radar augmentation.</w:t>
      </w:r>
    </w:p>
    <w:p>
      <w:pPr>
        <w:pStyle w:val="Normal"/>
      </w:pPr>
      <w:r>
        <w:t>67-B.7. [Warning and Radar] Maritime radar.</w:t>
      </w:r>
    </w:p>
    <w:p>
      <w:pPr>
        <w:pStyle w:val="Normal"/>
      </w:pPr>
      <w:r>
        <w:t>67-B.8. [Warning and Radar] Passive detection research.</w:t>
      </w:r>
    </w:p>
    <w:p>
      <w:pPr>
        <w:pStyle w:val="Normal"/>
      </w:pPr>
      <w:r>
        <w:t>67-B.9. [Warning and Radar] Radar calibration.</w:t>
      </w:r>
    </w:p>
    <w:p>
      <w:pPr>
        <w:pStyle w:val="Normal"/>
      </w:pPr>
      <w:r>
        <w:t>67-B.10. [Warning and Radar] Radar-site hardening.</w:t>
      </w:r>
    </w:p>
    <w:p>
      <w:pPr>
        <w:pStyle w:val="Normal"/>
      </w:pPr>
      <w:r>
        <w:t>67-B.11. [Warning and Radar] Radar maintenance sovereignty.</w:t>
      </w:r>
    </w:p>
    <w:p>
      <w:pPr>
        <w:pStyle w:val="Normal"/>
      </w:pPr>
      <w:r>
        <w:t>67-B.12. [Warning and Radar] Radar spares and lifecycle support.</w:t>
      </w:r>
    </w:p>
    <w:p>
      <w:pPr>
        <w:pStyle w:val="Normal"/>
      </w:pPr>
      <w:r>
        <w:t>67-B.13. [Warning and Radar] Radar cybersecurity.</w:t>
      </w:r>
    </w:p>
    <w:p>
      <w:pPr>
        <w:pStyle w:val="Normal"/>
      </w:pPr>
      <w:r>
        <w:t>67-B.14. [Warning and Radar] Frequency and spectrum coordination.</w:t>
      </w:r>
    </w:p>
    <w:p>
      <w:pPr>
        <w:pStyle w:val="Normal"/>
      </w:pPr>
      <w:r>
        <w:t>67-B.15. [Warning and Radar] Sensor-fusion interoperability.</w:t>
      </w:r>
    </w:p>
    <w:p>
      <w:pPr>
        <w:pStyle w:val="Normal"/>
      </w:pPr>
      <w:r>
        <w:t>67-B.16. [Warning and Radar] Coverage-assurance methodology.</w:t>
      </w:r>
    </w:p>
    <w:p>
      <w:pPr>
        <w:pStyle w:val="Normal"/>
      </w:pPr>
      <w:r>
        <w:t>67-B.17. [Warning and Radar] Warning workforce pipeline.</w:t>
      </w:r>
    </w:p>
    <w:p>
      <w:pPr>
        <w:pStyle w:val="Normal"/>
      </w:pPr>
      <w:r>
        <w:t>67-B.18. [Warning and Radar] Warning test and evaluation.</w:t>
      </w:r>
    </w:p>
    <w:p>
      <w:pPr>
        <w:pStyle w:val="Normal"/>
      </w:pPr>
      <w:r>
        <w:t>67-B.19. [Air and Basing] Forward operating location standard.</w:t>
      </w:r>
    </w:p>
    <w:p>
      <w:pPr>
        <w:pStyle w:val="Normal"/>
      </w:pPr>
      <w:r>
        <w:t>67-B.20. [Air and Basing] Operational support hub standard.</w:t>
      </w:r>
    </w:p>
    <w:p>
      <w:pPr>
        <w:pStyle w:val="Normal"/>
      </w:pPr>
      <w:r>
        <w:t>67-B.21. [Air and Basing] Runway and apron resilience.</w:t>
      </w:r>
    </w:p>
    <w:p>
      <w:pPr>
        <w:pStyle w:val="Normal"/>
      </w:pPr>
      <w:r>
        <w:t>67-B.22. [Air and Basing] Aircraft shelter and hangar capacity.</w:t>
      </w:r>
    </w:p>
    <w:p>
      <w:pPr>
        <w:pStyle w:val="Normal"/>
      </w:pPr>
      <w:r>
        <w:t>67-B.23. [Air and Basing] Aviation fuel resilience.</w:t>
      </w:r>
    </w:p>
    <w:p>
      <w:pPr>
        <w:pStyle w:val="Normal"/>
      </w:pPr>
      <w:r>
        <w:t>67-B.24. [Air and Basing] Secure storage support.</w:t>
      </w:r>
    </w:p>
    <w:p>
      <w:pPr>
        <w:pStyle w:val="Normal"/>
      </w:pPr>
      <w:r>
        <w:t>67-B.25. [Air and Basing] Northern navigation aids.</w:t>
      </w:r>
    </w:p>
    <w:p>
      <w:pPr>
        <w:pStyle w:val="Normal"/>
      </w:pPr>
      <w:r>
        <w:t>67-B.26. [Air and Basing] Weather and runway-condition monitoring.</w:t>
      </w:r>
    </w:p>
    <w:p>
      <w:pPr>
        <w:pStyle w:val="Normal"/>
      </w:pPr>
      <w:r>
        <w:t>67-B.27. [Air and Basing] Emergency-divert readiness.</w:t>
      </w:r>
    </w:p>
    <w:p>
      <w:pPr>
        <w:pStyle w:val="Normal"/>
      </w:pPr>
      <w:r>
        <w:t>67-B.28. [Air and Basing] Airlift staging.</w:t>
      </w:r>
    </w:p>
    <w:p>
      <w:pPr>
        <w:pStyle w:val="Normal"/>
      </w:pPr>
      <w:r>
        <w:t>67-B.29. [Air and Basing] airborne early warning and control (AEWC) northern integration.</w:t>
      </w:r>
    </w:p>
    <w:p>
      <w:pPr>
        <w:pStyle w:val="Normal"/>
      </w:pPr>
      <w:r>
        <w:t>67-B.30. [Air and Basing] AEWC sustainment and training.</w:t>
      </w:r>
    </w:p>
    <w:p>
      <w:pPr>
        <w:pStyle w:val="Normal"/>
      </w:pPr>
      <w:r>
        <w:t>67-B.31. [Air and Basing] Fighter-support infrastructure.</w:t>
      </w:r>
    </w:p>
    <w:p>
      <w:pPr>
        <w:pStyle w:val="Normal"/>
      </w:pPr>
      <w:r>
        <w:t>67-B.32. [Air and Basing] Cold-weather aviation maintenance.</w:t>
      </w:r>
    </w:p>
    <w:p>
      <w:pPr>
        <w:pStyle w:val="Normal"/>
      </w:pPr>
      <w:r>
        <w:t>67-B.33. [Maritime and Undersea] Port resilience.</w:t>
      </w:r>
    </w:p>
    <w:p>
      <w:pPr>
        <w:pStyle w:val="Normal"/>
      </w:pPr>
      <w:r>
        <w:t>67-B.34. [Maritime and Undersea] Small-harbour resilience.</w:t>
      </w:r>
    </w:p>
    <w:p>
      <w:pPr>
        <w:pStyle w:val="Normal"/>
      </w:pPr>
      <w:r>
        <w:t>67-B.35. [Maritime and Undersea] Sealift support.</w:t>
      </w:r>
    </w:p>
    <w:p>
      <w:pPr>
        <w:pStyle w:val="Normal"/>
      </w:pPr>
      <w:r>
        <w:t>67-B.36. [Maritime and Undersea] Hydrographic modernization.</w:t>
      </w:r>
    </w:p>
    <w:p>
      <w:pPr>
        <w:pStyle w:val="Normal"/>
      </w:pPr>
      <w:r>
        <w:t>67-B.37. [Maritime and Undersea] Navigation-aid modernization.</w:t>
      </w:r>
    </w:p>
    <w:p>
      <w:pPr>
        <w:pStyle w:val="Normal"/>
      </w:pPr>
      <w:r>
        <w:t>67-B.38. [Maritime and Undersea] Maritime emergency refuge.</w:t>
      </w:r>
    </w:p>
    <w:p>
      <w:pPr>
        <w:pStyle w:val="Normal"/>
      </w:pPr>
      <w:r>
        <w:t>67-B.39. [Maritime and Undersea] Spill-response readiness.</w:t>
      </w:r>
    </w:p>
    <w:p>
      <w:pPr>
        <w:pStyle w:val="Normal"/>
      </w:pPr>
      <w:r>
        <w:t>67-B.40. [Maritime and Undersea] Ice-capable vessel support.</w:t>
      </w:r>
    </w:p>
    <w:p>
      <w:pPr>
        <w:pStyle w:val="Normal"/>
      </w:pPr>
      <w:r>
        <w:t>67-B.41. [Maritime and Undersea] Submarine-rescue interoperability.</w:t>
      </w:r>
    </w:p>
    <w:p>
      <w:pPr>
        <w:pStyle w:val="Normal"/>
      </w:pPr>
      <w:r>
        <w:t>67-B.42. [Maritime and Undersea] Undersea research.</w:t>
      </w:r>
    </w:p>
    <w:p>
      <w:pPr>
        <w:pStyle w:val="Normal"/>
      </w:pPr>
      <w:r>
        <w:t>67-B.43. [Maritime and Undersea] Autonomous undersea systems research.</w:t>
      </w:r>
    </w:p>
    <w:p>
      <w:pPr>
        <w:pStyle w:val="Normal"/>
      </w:pPr>
      <w:r>
        <w:t>67-B.44. [Maritime and Undersea] Ocean-glider observation.</w:t>
      </w:r>
    </w:p>
    <w:p>
      <w:pPr>
        <w:pStyle w:val="Normal"/>
      </w:pPr>
      <w:r>
        <w:t>67-B.45. [Maritime and Undersea] Seabed-infrastructure awareness.</w:t>
      </w:r>
    </w:p>
    <w:p>
      <w:pPr>
        <w:pStyle w:val="Normal"/>
      </w:pPr>
      <w:r>
        <w:t>67-B.46. [Maritime and Undersea] Undersea cable protection.</w:t>
      </w:r>
    </w:p>
    <w:p>
      <w:pPr>
        <w:pStyle w:val="Normal"/>
      </w:pPr>
      <w:r>
        <w:t>67-B.47. [Space C4ISR Cyber] Polar communications backbone.</w:t>
      </w:r>
    </w:p>
    <w:p>
      <w:pPr>
        <w:pStyle w:val="Normal"/>
      </w:pPr>
      <w:r>
        <w:t>67-B.48. [Space C4ISR Cyber] Satellite ground infrastructure.</w:t>
      </w:r>
    </w:p>
    <w:p>
      <w:pPr>
        <w:pStyle w:val="Normal"/>
      </w:pPr>
      <w:r>
        <w:t>67-B.49. [Space C4ISR Cyber] Space-domain awareness.</w:t>
      </w:r>
    </w:p>
    <w:p>
      <w:pPr>
        <w:pStyle w:val="Normal"/>
      </w:pPr>
      <w:r>
        <w:t>67-B.50. [Space C4ISR Cyber] Space-weather support.</w:t>
      </w:r>
    </w:p>
    <w:p>
      <w:pPr>
        <w:pStyle w:val="Normal"/>
      </w:pPr>
      <w:r>
        <w:t>67-B.51. [Space C4ISR Cyber] Secure C2 modernization.</w:t>
      </w:r>
    </w:p>
    <w:p>
      <w:pPr>
        <w:pStyle w:val="Normal"/>
      </w:pPr>
      <w:r>
        <w:t>67-B.52. [Space C4ISR Cyber] Federated information exchange.</w:t>
      </w:r>
    </w:p>
    <w:p>
      <w:pPr>
        <w:pStyle w:val="Normal"/>
      </w:pPr>
      <w:r>
        <w:t>67-B.53. [Space C4ISR Cyber] Exchange-officer interoperability.</w:t>
      </w:r>
    </w:p>
    <w:p>
      <w:pPr>
        <w:pStyle w:val="Normal"/>
      </w:pPr>
      <w:r>
        <w:t>67-B.54. [Space C4ISR Cyber] Northern network redundancy.</w:t>
      </w:r>
    </w:p>
    <w:p>
      <w:pPr>
        <w:pStyle w:val="Normal"/>
      </w:pPr>
      <w:r>
        <w:t>67-B.55. [Space C4ISR Cyber] Radar-chain cyber hardening.</w:t>
      </w:r>
    </w:p>
    <w:p>
      <w:pPr>
        <w:pStyle w:val="Normal"/>
      </w:pPr>
      <w:r>
        <w:t>67-B.56. [Space C4ISR Cyber] Cyber incident response.</w:t>
      </w:r>
    </w:p>
    <w:p>
      <w:pPr>
        <w:pStyle w:val="Normal"/>
      </w:pPr>
      <w:r>
        <w:t>67-B.57. [Space C4ISR Cyber] Satellite-ground-link cryptographic modernization.</w:t>
      </w:r>
    </w:p>
    <w:p>
      <w:pPr>
        <w:pStyle w:val="Normal"/>
      </w:pPr>
      <w:r>
        <w:t>67-B.58. [Space C4ISR Cyber] Critical-infrastructure cyber registry.</w:t>
      </w:r>
    </w:p>
    <w:p>
      <w:pPr>
        <w:pStyle w:val="Normal"/>
      </w:pPr>
      <w:r>
        <w:t>67-B.59. [Space C4ISR Cyber] Communications contingency capability.</w:t>
      </w:r>
    </w:p>
    <w:p>
      <w:pPr>
        <w:pStyle w:val="Normal"/>
      </w:pPr>
      <w:r>
        <w:t>67-B.60. [Space C4ISR Cyber] Classification-aware data fusion.</w:t>
      </w:r>
    </w:p>
    <w:p>
      <w:pPr>
        <w:pStyle w:val="Normal"/>
      </w:pPr>
      <w:r>
        <w:t>67-B.61. [Logistics Mobility Energy] Northern strategic mobility planning.</w:t>
      </w:r>
    </w:p>
    <w:p>
      <w:pPr>
        <w:pStyle w:val="Normal"/>
      </w:pPr>
      <w:r>
        <w:t>67-B.62. [Logistics Mobility Energy] All-season corridor resilience.</w:t>
      </w:r>
    </w:p>
    <w:p>
      <w:pPr>
        <w:pStyle w:val="Normal"/>
      </w:pPr>
      <w:r>
        <w:t>67-B.63. [Logistics Mobility Energy] Sealift-airlift integration.</w:t>
      </w:r>
    </w:p>
    <w:p>
      <w:pPr>
        <w:pStyle w:val="Normal"/>
      </w:pPr>
      <w:r>
        <w:t>67-B.64. [Logistics Mobility Energy] Northern warehouse network.</w:t>
      </w:r>
    </w:p>
    <w:p>
      <w:pPr>
        <w:pStyle w:val="Normal"/>
      </w:pPr>
      <w:r>
        <w:t>67-B.65. [Logistics Mobility Energy] Freight-visibility platform.</w:t>
      </w:r>
    </w:p>
    <w:p>
      <w:pPr>
        <w:pStyle w:val="Normal"/>
      </w:pPr>
      <w:r>
        <w:t>67-B.66. [Logistics Mobility Energy] Equipment pooling.</w:t>
      </w:r>
    </w:p>
    <w:p>
      <w:pPr>
        <w:pStyle w:val="Normal"/>
      </w:pPr>
      <w:r>
        <w:t>67-B.67. [Logistics Mobility Energy] Heavy-lift contingency access.</w:t>
      </w:r>
    </w:p>
    <w:p>
      <w:pPr>
        <w:pStyle w:val="Normal"/>
      </w:pPr>
      <w:r>
        <w:t>67-B.68. [Logistics Mobility Energy] Supply-chain stress testing.</w:t>
      </w:r>
    </w:p>
    <w:p>
      <w:pPr>
        <w:pStyle w:val="Normal"/>
      </w:pPr>
      <w:r>
        <w:t>67-B.69. [Logistics Mobility Energy] Climate-resilient corridor design.</w:t>
      </w:r>
    </w:p>
    <w:p>
      <w:pPr>
        <w:pStyle w:val="Normal"/>
      </w:pPr>
      <w:r>
        <w:t>67-B.70. [Logistics Mobility Energy] Fuel distribution resilience.</w:t>
      </w:r>
    </w:p>
    <w:p>
      <w:pPr>
        <w:pStyle w:val="Normal"/>
      </w:pPr>
      <w:r>
        <w:t>67-B.71. [Logistics Mobility Energy] Fuel-quality assurance.</w:t>
      </w:r>
    </w:p>
    <w:p>
      <w:pPr>
        <w:pStyle w:val="Normal"/>
      </w:pPr>
      <w:r>
        <w:t>67-B.72. [Logistics Mobility Energy] Microgrid resilience.</w:t>
      </w:r>
    </w:p>
    <w:p>
      <w:pPr>
        <w:pStyle w:val="Normal"/>
      </w:pPr>
      <w:r>
        <w:t>67-B.73. [Logistics Mobility Energy] Backup generation.</w:t>
      </w:r>
    </w:p>
    <w:p>
      <w:pPr>
        <w:pStyle w:val="Normal"/>
      </w:pPr>
      <w:r>
        <w:t>67-B.74. [Logistics Mobility Energy] Energy storage.</w:t>
      </w:r>
    </w:p>
    <w:p>
      <w:pPr>
        <w:pStyle w:val="Normal"/>
      </w:pPr>
      <w:r>
        <w:t>67-B.75. [Logistics Mobility Energy] Grid reinforcement.</w:t>
      </w:r>
    </w:p>
    <w:p>
      <w:pPr>
        <w:pStyle w:val="Normal"/>
      </w:pPr>
      <w:r>
        <w:t>67-B.76. [Logistics Mobility Energy] Renewable-hybrid systems.</w:t>
      </w:r>
    </w:p>
    <w:p>
      <w:pPr>
        <w:pStyle w:val="Normal"/>
      </w:pPr>
      <w:r>
        <w:t>67-B.77. [Logistics Mobility Energy] Emergency power mutual aid.</w:t>
      </w:r>
    </w:p>
    <w:p>
      <w:pPr>
        <w:pStyle w:val="Normal"/>
      </w:pPr>
      <w:r>
        <w:t>67-B.78. [Logistics Mobility Energy] Utility-capacity planning.</w:t>
      </w:r>
    </w:p>
    <w:p>
      <w:pPr>
        <w:pStyle w:val="Normal"/>
      </w:pPr>
      <w:r>
        <w:t>67-B.79. [Industry Procurement Workforce] Proposed Arctic defence-industrial modernization coordination under the Canada–United States Defence Production Sharing Agreement (DPSA), subject to applicable bilateral authorities and implementing arrangements.</w:t>
      </w:r>
    </w:p>
    <w:p>
      <w:pPr>
        <w:pStyle w:val="Normal"/>
      </w:pPr>
      <w:r>
        <w:t>67-B.80. [Industry Procurement Workforce] Export-control facilitation for approved projects.</w:t>
      </w:r>
    </w:p>
    <w:p>
      <w:pPr>
        <w:pStyle w:val="Normal"/>
      </w:pPr>
      <w:r>
        <w:t>67-B.81. [Industry Procurement Workforce] Reciprocal supplier qualification.</w:t>
      </w:r>
    </w:p>
    <w:p>
      <w:pPr>
        <w:pStyle w:val="Normal"/>
      </w:pPr>
      <w:r>
        <w:t>67-B.82. [Industry Procurement Workforce] Canadian sensor-manufacturing participation.</w:t>
      </w:r>
    </w:p>
    <w:p>
      <w:pPr>
        <w:pStyle w:val="Normal"/>
      </w:pPr>
      <w:r>
        <w:t>67-B.83. [Industry Procurement Workforce] U.S. supplier participation in Canadian programs.</w:t>
      </w:r>
    </w:p>
    <w:p>
      <w:pPr>
        <w:pStyle w:val="Normal"/>
      </w:pPr>
      <w:r>
        <w:t>67-B.84. [Industry Procurement Workforce] Mexican industrial-support lane.</w:t>
      </w:r>
    </w:p>
    <w:p>
      <w:pPr>
        <w:pStyle w:val="Normal"/>
      </w:pPr>
      <w:r>
        <w:t>67-B.85. [Industry Procurement Workforce] Satellite-component supply chains.</w:t>
      </w:r>
    </w:p>
    <w:p>
      <w:pPr>
        <w:pStyle w:val="Normal"/>
      </w:pPr>
      <w:r>
        <w:t>67-B.86. [Industry Procurement Workforce] Icebreaker supply-chain integration.</w:t>
      </w:r>
    </w:p>
    <w:p>
      <w:pPr>
        <w:pStyle w:val="Normal"/>
      </w:pPr>
      <w:r>
        <w:t>67-B.87. [Industry Procurement Workforce] Critical-minerals-to-defence linkage.</w:t>
      </w:r>
    </w:p>
    <w:p>
      <w:pPr>
        <w:pStyle w:val="Normal"/>
      </w:pPr>
      <w:r>
        <w:t>67-B.88. [Industry Procurement Workforce] Cold-weather battery R&amp;D.</w:t>
      </w:r>
    </w:p>
    <w:p>
      <w:pPr>
        <w:pStyle w:val="Normal"/>
      </w:pPr>
      <w:r>
        <w:t>67-B.89. [Industry Procurement Workforce] Arctic-rated construction equipment.</w:t>
      </w:r>
    </w:p>
    <w:p>
      <w:pPr>
        <w:pStyle w:val="Normal"/>
      </w:pPr>
      <w:r>
        <w:t>67-B.90. [Industry Procurement Workforce] Cold-weather materiel standards.</w:t>
      </w:r>
    </w:p>
    <w:p>
      <w:pPr>
        <w:pStyle w:val="Normal"/>
      </w:pPr>
      <w:r>
        <w:t>67-B.91. [Industry Procurement Workforce] Defence-trade statistics.</w:t>
      </w:r>
    </w:p>
    <w:p>
      <w:pPr>
        <w:pStyle w:val="Normal"/>
      </w:pPr>
      <w:r>
        <w:t>67-B.92. [Industry Procurement Workforce] Industrial mobilization long-lead items.</w:t>
      </w:r>
    </w:p>
    <w:p>
      <w:pPr>
        <w:pStyle w:val="Normal"/>
      </w:pPr>
      <w:r>
        <w:t>67-B.93. [Industry Procurement Workforce] SME and northern-supplier participation.</w:t>
      </w:r>
    </w:p>
    <w:p>
      <w:pPr>
        <w:pStyle w:val="Normal"/>
      </w:pPr>
      <w:r>
        <w:t>67-B.94. [Industry Procurement Workforce] Defence-industrial workforce training.</w:t>
      </w:r>
    </w:p>
    <w:p>
      <w:pPr>
        <w:pStyle w:val="Normal"/>
      </w:pPr>
      <w:r>
        <w:t>67-B.95. [Industry Procurement Workforce] Security-clearance processing cooperation.</w:t>
      </w:r>
    </w:p>
    <w:p>
      <w:pPr>
        <w:pStyle w:val="Normal"/>
      </w:pPr>
      <w:r>
        <w:t>67-B.96. [Industry Procurement Workforce] Cold-weather test and evaluation network.</w:t>
      </w:r>
    </w:p>
    <w:p>
      <w:pPr>
        <w:pStyle w:val="Normal"/>
      </w:pPr>
      <w:r>
        <w:t>67-B.97. [SAR Health Science Environment] Northern SAR posture.</w:t>
      </w:r>
    </w:p>
    <w:p>
      <w:pPr>
        <w:pStyle w:val="Normal"/>
      </w:pPr>
      <w:r>
        <w:t>67-B.98. [SAR Health Science Environment] Forward SAR staging.</w:t>
      </w:r>
    </w:p>
    <w:p>
      <w:pPr>
        <w:pStyle w:val="Normal"/>
      </w:pPr>
      <w:r>
        <w:t>67-B.99. [SAR Health Science Environment] Air and maritime rescue interoperability.</w:t>
      </w:r>
    </w:p>
    <w:p>
      <w:pPr>
        <w:pStyle w:val="Normal"/>
      </w:pPr>
      <w:r>
        <w:t>67-B.100. [SAR Health Science Environment] Community SAR capacity.</w:t>
      </w:r>
    </w:p>
    <w:p>
      <w:pPr>
        <w:pStyle w:val="Normal"/>
      </w:pPr>
      <w:r>
        <w:t>67-B.101. [SAR Health Science Environment] Indigenous/local knowledge in SAR where voluntarily shared.</w:t>
      </w:r>
    </w:p>
    <w:p>
      <w:pPr>
        <w:pStyle w:val="Normal"/>
      </w:pPr>
      <w:r>
        <w:t>67-B.102. [SAR Health Science Environment] Mass-rescue exercises.</w:t>
      </w:r>
    </w:p>
    <w:p>
      <w:pPr>
        <w:pStyle w:val="Normal"/>
      </w:pPr>
      <w:r>
        <w:t>67-B.103. [SAR Health Science Environment] Medevac readiness.</w:t>
      </w:r>
    </w:p>
    <w:p>
      <w:pPr>
        <w:pStyle w:val="Normal"/>
      </w:pPr>
      <w:r>
        <w:t>67-B.104. [SAR Health Science Environment] Emergency medical surge.</w:t>
      </w:r>
    </w:p>
    <w:p>
      <w:pPr>
        <w:pStyle w:val="Normal"/>
      </w:pPr>
      <w:r>
        <w:t>67-B.105. [SAR Health Science Environment] Medical cold-chain resilience.</w:t>
      </w:r>
    </w:p>
    <w:p>
      <w:pPr>
        <w:pStyle w:val="Normal"/>
      </w:pPr>
      <w:r>
        <w:t>67-B.106. [SAR Health Science Environment] Hazardous-material response.</w:t>
      </w:r>
    </w:p>
    <w:p>
      <w:pPr>
        <w:pStyle w:val="Normal"/>
      </w:pPr>
      <w:r>
        <w:t>67-B.107. [SAR Health Science Environment] Emergency equipment caches.</w:t>
      </w:r>
    </w:p>
    <w:p>
      <w:pPr>
        <w:pStyle w:val="Normal"/>
      </w:pPr>
      <w:r>
        <w:t>67-B.108. [SAR Health Science Environment] Responder safety.</w:t>
      </w:r>
    </w:p>
    <w:p>
      <w:pPr>
        <w:pStyle w:val="Normal"/>
      </w:pPr>
      <w:r>
        <w:t>67-B.109. [SAR Health Science Environment] Weather observation.</w:t>
      </w:r>
    </w:p>
    <w:p>
      <w:pPr>
        <w:pStyle w:val="Normal"/>
      </w:pPr>
      <w:r>
        <w:t>67-B.110. [SAR Health Science Environment] Sea-ice observation.</w:t>
      </w:r>
    </w:p>
    <w:p>
      <w:pPr>
        <w:pStyle w:val="Normal"/>
      </w:pPr>
      <w:r>
        <w:t>67-B.111. [SAR Health Science Environment] Permafrost monitoring.</w:t>
      </w:r>
    </w:p>
    <w:p>
      <w:pPr>
        <w:pStyle w:val="Normal"/>
      </w:pPr>
      <w:r>
        <w:t>67-B.112. [SAR Health Science Environment] Oceanographic research.</w:t>
      </w:r>
    </w:p>
    <w:p>
      <w:pPr>
        <w:pStyle w:val="Normal"/>
      </w:pPr>
      <w:r>
        <w:t>67-B.113. [SAR Health Science Environment] Climate-adaptation engineering.</w:t>
      </w:r>
    </w:p>
    <w:p>
      <w:pPr>
        <w:pStyle w:val="Normal"/>
      </w:pPr>
      <w:r>
        <w:t>67-B.114. [SAR Health Science Environment] Environmental monitoring.</w:t>
      </w:r>
    </w:p>
    <w:p>
      <w:pPr>
        <w:pStyle w:val="Normal"/>
      </w:pPr>
      <w:r>
        <w:t>67-B.115. [Community Rights Governance] Community-benefit planning.</w:t>
      </w:r>
    </w:p>
    <w:p>
      <w:pPr>
        <w:pStyle w:val="Normal"/>
      </w:pPr>
      <w:r>
        <w:t>67-B.116. [Community Rights Governance] Indigenous procurement participation.</w:t>
      </w:r>
    </w:p>
    <w:p>
      <w:pPr>
        <w:pStyle w:val="Normal"/>
      </w:pPr>
      <w:r>
        <w:t>67-B.117. [Community Rights Governance] Indigenous equity participation where voluntarily negotiated.</w:t>
      </w:r>
    </w:p>
    <w:p>
      <w:pPr>
        <w:pStyle w:val="Normal"/>
      </w:pPr>
      <w:r>
        <w:t>67-B.118. [Community Rights Governance] Northern employment and training targets where lawful.</w:t>
      </w:r>
    </w:p>
    <w:p>
      <w:pPr>
        <w:pStyle w:val="Normal"/>
      </w:pPr>
      <w:r>
        <w:t>67-B.119. [Community Rights Governance] Rangers and northern-service participation.</w:t>
      </w:r>
    </w:p>
    <w:p>
      <w:pPr>
        <w:pStyle w:val="Normal"/>
      </w:pPr>
      <w:r>
        <w:t>67-B.120. [Community Rights Governance] Language-access planning.</w:t>
      </w:r>
    </w:p>
    <w:p>
      <w:pPr>
        <w:pStyle w:val="Normal"/>
      </w:pPr>
      <w:r>
        <w:t>67-B.121. [Community Rights Governance] Cultural-heritage protection.</w:t>
      </w:r>
    </w:p>
    <w:p>
      <w:pPr>
        <w:pStyle w:val="Normal"/>
      </w:pPr>
      <w:r>
        <w:t>67-B.122. [Community Rights Governance] Harvesting-impact mitigation.</w:t>
      </w:r>
    </w:p>
    <w:p>
      <w:pPr>
        <w:pStyle w:val="Normal"/>
      </w:pPr>
      <w:r>
        <w:t>67-B.123. [Community Rights Governance] Northern housing-capacity planning.</w:t>
      </w:r>
    </w:p>
    <w:p>
      <w:pPr>
        <w:pStyle w:val="Normal"/>
      </w:pPr>
      <w:r>
        <w:t>67-B.124. [Community Rights Governance] Health/service capacity planning.</w:t>
      </w:r>
    </w:p>
    <w:p>
      <w:pPr>
        <w:pStyle w:val="Normal"/>
      </w:pPr>
      <w:r>
        <w:t>67-B.125. [Community Rights Governance] Local contractor development.</w:t>
      </w:r>
    </w:p>
    <w:p>
      <w:pPr>
        <w:pStyle w:val="Normal"/>
      </w:pPr>
      <w:r>
        <w:t>67-B.126. [Community Rights Governance] Municipal/community consultation.</w:t>
      </w:r>
    </w:p>
    <w:p>
      <w:pPr>
        <w:pStyle w:val="Normal"/>
      </w:pPr>
      <w:r>
        <w:t>67-B.127. [Community Rights Governance] Environmental audit.</w:t>
      </w:r>
    </w:p>
    <w:p>
      <w:pPr>
        <w:pStyle w:val="Normal"/>
      </w:pPr>
      <w:r>
        <w:t>67-B.128. [Community Rights Governance] Procurement-integrity audit.</w:t>
      </w:r>
    </w:p>
    <w:p>
      <w:pPr>
        <w:pStyle w:val="Heading2"/>
      </w:pPr>
      <w:bookmarkStart w:id="902186" w:name="_Toc300002185"/>
      <w:r>
        <w:rPr>
          <w:b/>
        </w:rPr>
        <w:t>ANNEX 67-C: PROJECT AND INVESTMENT CANDIDATE REGISTER (121)</w:t>
      </w:r>
      <w:bookmarkEnd w:id="902186"/>
    </w:p>
    <w:p>
      <w:pPr>
        <w:pStyle w:val="Normal"/>
      </w:pPr>
      <w:r>
        <w:t>67-C.1. [FLAGSHIP] Canadian NORAD Modernization Anchor. Classification preserves the candidate but does not itself establish A5 Schedule Ready status.</w:t>
      </w:r>
    </w:p>
    <w:p>
      <w:pPr>
        <w:pStyle w:val="Normal"/>
      </w:pPr>
      <w:r>
        <w:t>67-C.2. [FLAGSHIP] Arctic Over-the-Horizon Radar. Classification preserves the candidate but does not itself establish A5 Schedule Ready status.</w:t>
      </w:r>
    </w:p>
    <w:p>
      <w:pPr>
        <w:pStyle w:val="Normal"/>
      </w:pPr>
      <w:r>
        <w:t>67-C.3. [FLAGSHIP] Polar Over-the-Horizon Radar. Classification preserves the candidate but does not itself establish A5 Schedule Ready status.</w:t>
      </w:r>
    </w:p>
    <w:p>
      <w:pPr>
        <w:pStyle w:val="Normal"/>
      </w:pPr>
      <w:r>
        <w:t>67-C.4. [FLAGSHIP] North Warning System Transition. Classification preserves the candidate but does not itself establish A5 Schedule Ready status.</w:t>
      </w:r>
    </w:p>
    <w:p>
      <w:pPr>
        <w:pStyle w:val="Normal"/>
      </w:pPr>
      <w:r>
        <w:t>67-C.5. [FLAGSHIP] Northern Forward Operating Location Modernization. Classification preserves the candidate but does not itself establish A5 Schedule Ready status.</w:t>
      </w:r>
    </w:p>
    <w:p>
      <w:pPr>
        <w:pStyle w:val="Normal"/>
      </w:pPr>
      <w:r>
        <w:t>67-C.6. [FLAGSHIP] Northern Operational Support Hubs. Classification preserves the candidate but does not itself establish A5 Schedule Ready status.</w:t>
      </w:r>
    </w:p>
    <w:p>
      <w:pPr>
        <w:pStyle w:val="Normal"/>
      </w:pPr>
      <w:r>
        <w:t>67-C.7. [FLAGSHIP] Goose Bay Defence Infrastructure Expansion. Classification preserves the candidate but does not itself establish A5 Schedule Ready status.</w:t>
      </w:r>
    </w:p>
    <w:p>
      <w:pPr>
        <w:pStyle w:val="Normal"/>
      </w:pPr>
      <w:r>
        <w:t>67-C.8. [FLAGSHIP] Inuvik Northern Defence and Dual-Use Hub. Classification preserves the candidate but does not itself establish A5 Schedule Ready status.</w:t>
      </w:r>
    </w:p>
    <w:p>
      <w:pPr>
        <w:pStyle w:val="Normal"/>
      </w:pPr>
      <w:r>
        <w:t>67-C.9. [FLAGSHIP] Iqaluit Northern Defence and Dual-Use Hub. Classification preserves the candidate but does not itself establish A5 Schedule Ready status.</w:t>
      </w:r>
    </w:p>
    <w:p>
      <w:pPr>
        <w:pStyle w:val="Normal"/>
      </w:pPr>
      <w:r>
        <w:t>67-C.10. [FLAGSHIP] Yellowknife Northern Operations Hub. Classification preserves the candidate but does not itself establish A5 Schedule Ready status.</w:t>
      </w:r>
    </w:p>
    <w:p>
      <w:pPr>
        <w:pStyle w:val="Normal"/>
      </w:pPr>
      <w:r>
        <w:t>67-C.11. [FLAGSHIP] Northern Airport Modernization Network. Classification preserves the candidate but does not itself establish A5 Schedule Ready status.</w:t>
      </w:r>
    </w:p>
    <w:p>
      <w:pPr>
        <w:pStyle w:val="Normal"/>
      </w:pPr>
      <w:r>
        <w:t>67-C.12. [FLAGSHIP] Polar Emergency-Divert Network. Classification preserves the candidate but does not itself establish A5 Schedule Ready status.</w:t>
      </w:r>
    </w:p>
    <w:p>
      <w:pPr>
        <w:pStyle w:val="Normal"/>
      </w:pPr>
      <w:r>
        <w:t>67-C.13. [FLAGSHIP] Arctic Ports and Sealift Modernization. Classification preserves the candidate but does not itself establish A5 Schedule Ready status.</w:t>
      </w:r>
    </w:p>
    <w:p>
      <w:pPr>
        <w:pStyle w:val="Normal"/>
      </w:pPr>
      <w:r>
        <w:t>67-C.14. [FLAGSHIP] Canadian Ice-Capable Maritime Expansion. Classification preserves the candidate but does not itself establish A5 Schedule Ready status.</w:t>
      </w:r>
    </w:p>
    <w:p>
      <w:pPr>
        <w:pStyle w:val="Normal"/>
      </w:pPr>
      <w:r>
        <w:t>67-C.15. [FLAGSHIP] Arctic Economic and Security Corridor. Classification preserves the candidate but does not itself establish A5 Schedule Ready status.</w:t>
      </w:r>
    </w:p>
    <w:p>
      <w:pPr>
        <w:pStyle w:val="Normal"/>
      </w:pPr>
      <w:r>
        <w:t>67-C.16. [FLAGSHIP] Northern Strategic Mobility Network. Classification preserves the candidate but does not itself establish A5 Schedule Ready status.</w:t>
      </w:r>
    </w:p>
    <w:p>
      <w:pPr>
        <w:pStyle w:val="Normal"/>
      </w:pPr>
      <w:r>
        <w:t>67-C.17. [FLAGSHIP] Northern Fuel Security Network. Classification preserves the candidate but does not itself establish A5 Schedule Ready status.</w:t>
      </w:r>
    </w:p>
    <w:p>
      <w:pPr>
        <w:pStyle w:val="Normal"/>
      </w:pPr>
      <w:r>
        <w:t>67-C.18. [FLAGSHIP] Northern Resilient Energy and Microgrids. Classification preserves the candidate but does not itself establish A5 Schedule Ready status.</w:t>
      </w:r>
    </w:p>
    <w:p>
      <w:pPr>
        <w:pStyle w:val="Normal"/>
      </w:pPr>
      <w:r>
        <w:t>67-C.19. [FLAGSHIP] Polar Communications Backbone. Classification preserves the candidate but does not itself establish A5 Schedule Ready status.</w:t>
      </w:r>
    </w:p>
    <w:p>
      <w:pPr>
        <w:pStyle w:val="Normal"/>
      </w:pPr>
      <w:r>
        <w:t>67-C.20. [FLAGSHIP] Space-Based Arctic Awareness Layer. Classification preserves the candidate but does not itself establish A5 Schedule Ready status.</w:t>
      </w:r>
    </w:p>
    <w:p>
      <w:pPr>
        <w:pStyle w:val="Normal"/>
      </w:pPr>
      <w:r>
        <w:t>67-C.21. [FLAGSHIP] AEWC Northern Capability. Classification preserves the candidate but does not itself establish A5 Schedule Ready status.</w:t>
      </w:r>
    </w:p>
    <w:p>
      <w:pPr>
        <w:pStyle w:val="Normal"/>
      </w:pPr>
      <w:r>
        <w:t>67-C.22. [FLAGSHIP] Arctic Search-and-Rescue Expansion. Classification preserves the candidate but does not itself establish A5 Schedule Ready status.</w:t>
      </w:r>
    </w:p>
    <w:p>
      <w:pPr>
        <w:pStyle w:val="Normal"/>
      </w:pPr>
      <w:r>
        <w:t>67-C.23. [FLAGSHIP] Arctic Defence Industrial and Supply-Chain Initiative. Classification preserves the candidate but does not itself establish A5 Schedule Ready status.</w:t>
      </w:r>
    </w:p>
    <w:p>
      <w:pPr>
        <w:pStyle w:val="Normal"/>
      </w:pPr>
      <w:r>
        <w:t>67-C.24. [FLAGSHIP] Indigenous and Northern Infrastructure Partnership. Classification preserves the candidate but does not itself establish A5 Schedule Ready status.</w:t>
      </w:r>
    </w:p>
    <w:p>
      <w:pPr>
        <w:pStyle w:val="Normal"/>
      </w:pPr>
      <w:r>
        <w:t>67-C.25. [ANCHOR] Gap-Fill Radar Expansion. Classification preserves the candidate but does not itself establish A5 Schedule Ready status.</w:t>
      </w:r>
    </w:p>
    <w:p>
      <w:pPr>
        <w:pStyle w:val="Normal"/>
      </w:pPr>
      <w:r>
        <w:t>67-C.26. [ANCHOR] Mobile Radar Augmentation. Classification preserves the candidate but does not itself establish A5 Schedule Ready status.</w:t>
      </w:r>
    </w:p>
    <w:p>
      <w:pPr>
        <w:pStyle w:val="Normal"/>
      </w:pPr>
      <w:r>
        <w:t>67-C.27. [ANCHOR] NWS Site Hardening. Classification preserves the candidate but does not itself establish A5 Schedule Ready status.</w:t>
      </w:r>
    </w:p>
    <w:p>
      <w:pPr>
        <w:pStyle w:val="Normal"/>
      </w:pPr>
      <w:r>
        <w:t>67-C.28. [ANCHOR] Northern Radar Maintenance Depot. Classification preserves the candidate but does not itself establish A5 Schedule Ready status.</w:t>
      </w:r>
    </w:p>
    <w:p>
      <w:pPr>
        <w:pStyle w:val="Normal"/>
      </w:pPr>
      <w:r>
        <w:t>67-C.29. [ANCHOR] Radar Spare-Parts Resilience. Classification preserves the candidate but does not itself establish A5 Schedule Ready status.</w:t>
      </w:r>
    </w:p>
    <w:p>
      <w:pPr>
        <w:pStyle w:val="Normal"/>
      </w:pPr>
      <w:r>
        <w:t>67-C.30. [ANCHOR] Northern Hangar and Aircraft-Shelter Program. Classification preserves the candidate but does not itself establish A5 Schedule Ready status.</w:t>
      </w:r>
    </w:p>
    <w:p>
      <w:pPr>
        <w:pStyle w:val="Normal"/>
      </w:pPr>
      <w:r>
        <w:t>67-C.31. [ANCHOR] Runway and Apron Rehabilitation. Classification preserves the candidate but does not itself establish A5 Schedule Ready status.</w:t>
      </w:r>
    </w:p>
    <w:p>
      <w:pPr>
        <w:pStyle w:val="Normal"/>
      </w:pPr>
      <w:r>
        <w:t>67-C.32. [ANCHOR] Northern Aviation Fuel Resilience. Classification preserves the candidate but does not itself establish A5 Schedule Ready status.</w:t>
      </w:r>
    </w:p>
    <w:p>
      <w:pPr>
        <w:pStyle w:val="Normal"/>
      </w:pPr>
      <w:r>
        <w:t>67-C.33. [ANCHOR] Navigation and Weather Modernization. Classification preserves the candidate but does not itself establish A5 Schedule Ready status.</w:t>
      </w:r>
    </w:p>
    <w:p>
      <w:pPr>
        <w:pStyle w:val="Normal"/>
      </w:pPr>
      <w:r>
        <w:t>67-C.34. [ANCHOR] Small-Harbour Resilience. Classification preserves the candidate but does not itself establish A5 Schedule Ready status.</w:t>
      </w:r>
    </w:p>
    <w:p>
      <w:pPr>
        <w:pStyle w:val="Normal"/>
      </w:pPr>
      <w:r>
        <w:t>67-C.35. [ANCHOR] Northern Hydrography Modernization. Classification preserves the candidate but does not itself establish A5 Schedule Ready status.</w:t>
      </w:r>
    </w:p>
    <w:p>
      <w:pPr>
        <w:pStyle w:val="Normal"/>
      </w:pPr>
      <w:r>
        <w:t>67-C.36. [ANCHOR] Arctic Navigation-Aid Renewal. Classification preserves the candidate but does not itself establish A5 Schedule Ready status.</w:t>
      </w:r>
    </w:p>
    <w:p>
      <w:pPr>
        <w:pStyle w:val="Normal"/>
      </w:pPr>
      <w:r>
        <w:t>67-C.37. [ANCHOR] Maritime Emergency-Refuge Network. Classification preserves the candidate but does not itself establish A5 Schedule Ready status.</w:t>
      </w:r>
    </w:p>
    <w:p>
      <w:pPr>
        <w:pStyle w:val="Normal"/>
      </w:pPr>
      <w:r>
        <w:t>67-C.38. [ANCHOR] Sealift Logistics Expansion. Classification preserves the candidate but does not itself establish A5 Schedule Ready status.</w:t>
      </w:r>
    </w:p>
    <w:p>
      <w:pPr>
        <w:pStyle w:val="Normal"/>
      </w:pPr>
      <w:r>
        <w:t>67-C.39. [ANCHOR] Northern Warehousing Network. Classification preserves the candidate but does not itself establish A5 Schedule Ready status.</w:t>
      </w:r>
    </w:p>
    <w:p>
      <w:pPr>
        <w:pStyle w:val="Normal"/>
      </w:pPr>
      <w:r>
        <w:t>67-C.40. [ANCHOR] Polar Communications Redundancy. Classification preserves the candidate but does not itself establish A5 Schedule Ready status.</w:t>
      </w:r>
    </w:p>
    <w:p>
      <w:pPr>
        <w:pStyle w:val="Normal"/>
      </w:pPr>
      <w:r>
        <w:t>67-C.41. [ANCHOR] Satellite Ground Infrastructure. Classification preserves the candidate but does not itself establish A5 Schedule Ready status.</w:t>
      </w:r>
    </w:p>
    <w:p>
      <w:pPr>
        <w:pStyle w:val="Normal"/>
      </w:pPr>
      <w:r>
        <w:t>67-C.42. [ANCHOR] Northern Cyber-Hardening Program. Classification preserves the candidate but does not itself establish A5 Schedule Ready status.</w:t>
      </w:r>
    </w:p>
    <w:p>
      <w:pPr>
        <w:pStyle w:val="Normal"/>
      </w:pPr>
      <w:r>
        <w:t>67-C.43. [ANCHOR] Northern Medical and Medevac Capacity. Classification preserves the candidate but does not itself establish A5 Schedule Ready status.</w:t>
      </w:r>
    </w:p>
    <w:p>
      <w:pPr>
        <w:pStyle w:val="Normal"/>
      </w:pPr>
      <w:r>
        <w:t>67-C.44. [ANCHOR] Community SAR Facilities. Classification preserves the candidate but does not itself establish A5 Schedule Ready status.</w:t>
      </w:r>
    </w:p>
    <w:p>
      <w:pPr>
        <w:pStyle w:val="Normal"/>
      </w:pPr>
      <w:r>
        <w:t>67-C.45. [ANCHOR] Cold-Weather Test and Evaluation Network. Classification preserves the candidate but does not itself establish A5 Schedule Ready status.</w:t>
      </w:r>
    </w:p>
    <w:p>
      <w:pPr>
        <w:pStyle w:val="Normal"/>
      </w:pPr>
      <w:r>
        <w:t>67-C.46. [ANCHOR] Defence-Industrial Workforce Program. Classification preserves the candidate but does not itself establish A5 Schedule Ready status.</w:t>
      </w:r>
    </w:p>
    <w:p>
      <w:pPr>
        <w:pStyle w:val="Normal"/>
      </w:pPr>
      <w:r>
        <w:t>67-C.47. [ANCHOR] Northern Housing Capacity Program. Classification preserves the candidate but does not itself establish A5 Schedule Ready status.</w:t>
      </w:r>
    </w:p>
    <w:p>
      <w:pPr>
        <w:pStyle w:val="Normal"/>
      </w:pPr>
      <w:r>
        <w:t>67-C.48. [ANCHOR] Indigenous Procurement and Economic Participation. Classification preserves the candidate but does not itself establish A5 Schedule Ready status.</w:t>
      </w:r>
    </w:p>
    <w:p>
      <w:pPr>
        <w:pStyle w:val="Normal"/>
      </w:pPr>
      <w:r>
        <w:t>67-C.49. [ANCHOR] Environmental Monitoring Network. Classification preserves the candidate but does not itself establish A5 Schedule Ready status.</w:t>
      </w:r>
    </w:p>
    <w:p>
      <w:pPr>
        <w:pStyle w:val="Normal"/>
      </w:pPr>
      <w:r>
        <w:t>67-C.50. [ANCHOR] Climate-Resilient Defence Infrastructure. Classification preserves the candidate but does not itself establish A5 Schedule Ready status.</w:t>
      </w:r>
    </w:p>
    <w:p>
      <w:pPr>
        <w:pStyle w:val="Normal"/>
      </w:pPr>
      <w:r>
        <w:t>67-C.51. [ANCHOR] Northern Utility Capacity Program. Classification preserves the candidate but does not itself establish A5 Schedule Ready status.</w:t>
      </w:r>
    </w:p>
    <w:p>
      <w:pPr>
        <w:pStyle w:val="Normal"/>
      </w:pPr>
      <w:r>
        <w:t>67-C.52. [ANCHOR] Arctic Cable Protection. Classification preserves the candidate but does not itself establish A5 Schedule Ready status.</w:t>
      </w:r>
    </w:p>
    <w:p>
      <w:pPr>
        <w:pStyle w:val="Normal"/>
      </w:pPr>
      <w:r>
        <w:t>67-C.53. [ANCHOR] Submarine-Rescue Readiness. Classification preserves the candidate but does not itself establish A5 Schedule Ready status.</w:t>
      </w:r>
    </w:p>
    <w:p>
      <w:pPr>
        <w:pStyle w:val="Normal"/>
      </w:pPr>
      <w:r>
        <w:t>67-C.54. [ANCHOR] Northern Freight Visibility Platform. Classification preserves the candidate but does not itself establish A5 Schedule Ready status.</w:t>
      </w:r>
    </w:p>
    <w:p>
      <w:pPr>
        <w:pStyle w:val="Normal"/>
      </w:pPr>
      <w:r>
        <w:t>67-C.55. [ANCHOR] Critical-Minerals Defence Supply Link. Classification preserves the candidate but does not itself establish A5 Schedule Ready status.</w:t>
      </w:r>
    </w:p>
    <w:p>
      <w:pPr>
        <w:pStyle w:val="Normal"/>
      </w:pPr>
      <w:r>
        <w:t>67-C.56. [ANCHOR] Northern Emergency Equipment Cache Network. Classification preserves the candidate but does not itself establish A5 Schedule Ready status.</w:t>
      </w:r>
    </w:p>
    <w:p>
      <w:pPr>
        <w:pStyle w:val="Normal"/>
      </w:pPr>
      <w:r>
        <w:t>67-C.57. [PROGRAM] Radar Maintenance and Lifecycle Program. Classification preserves the candidate but does not itself establish A5 Schedule Ready status.</w:t>
      </w:r>
    </w:p>
    <w:p>
      <w:pPr>
        <w:pStyle w:val="Normal"/>
      </w:pPr>
      <w:r>
        <w:t>67-C.58. [PROGRAM] Sensor Calibration Program. Classification preserves the candidate but does not itself establish A5 Schedule Ready status.</w:t>
      </w:r>
    </w:p>
    <w:p>
      <w:pPr>
        <w:pStyle w:val="Normal"/>
      </w:pPr>
      <w:r>
        <w:t>67-C.59. [PROGRAM] Cold-Weather Equipment Qualification. Classification preserves the candidate but does not itself establish A5 Schedule Ready status.</w:t>
      </w:r>
    </w:p>
    <w:p>
      <w:pPr>
        <w:pStyle w:val="Normal"/>
      </w:pPr>
      <w:r>
        <w:t>67-C.60. [PROGRAM] Northern Construction Standards. Classification preserves the candidate but does not itself establish A5 Schedule Ready status.</w:t>
      </w:r>
    </w:p>
    <w:p>
      <w:pPr>
        <w:pStyle w:val="Normal"/>
      </w:pPr>
      <w:r>
        <w:t>67-C.61. [PROGRAM] Northern Cyber Exercise Program. Classification preserves the candidate but does not itself establish A5 Schedule Ready status.</w:t>
      </w:r>
    </w:p>
    <w:p>
      <w:pPr>
        <w:pStyle w:val="Normal"/>
      </w:pPr>
      <w:r>
        <w:t>67-C.62. [PROGRAM] Supply-Chain Stress Testing. Classification preserves the candidate but does not itself establish A5 Schedule Ready status.</w:t>
      </w:r>
    </w:p>
    <w:p>
      <w:pPr>
        <w:pStyle w:val="Normal"/>
      </w:pPr>
      <w:r>
        <w:t>67-C.63. [PROGRAM] SAR Exercise Program. Classification preserves the candidate but does not itself establish A5 Schedule Ready status.</w:t>
      </w:r>
    </w:p>
    <w:p>
      <w:pPr>
        <w:pStyle w:val="Normal"/>
      </w:pPr>
      <w:r>
        <w:t>67-C.64. [PROGRAM] Emergency Cache Rotation. Classification preserves the candidate but does not itself establish A5 Schedule Ready status.</w:t>
      </w:r>
    </w:p>
    <w:p>
      <w:pPr>
        <w:pStyle w:val="Normal"/>
      </w:pPr>
      <w:r>
        <w:t>67-C.65. [PROGRAM] Northern Trades Training. Classification preserves the candidate but does not itself establish A5 Schedule Ready status.</w:t>
      </w:r>
    </w:p>
    <w:p>
      <w:pPr>
        <w:pStyle w:val="Normal"/>
      </w:pPr>
      <w:r>
        <w:t>67-C.66. [PROGRAM] Northern Contractor Development. Classification preserves the candidate but does not itself establish A5 Schedule Ready status.</w:t>
      </w:r>
    </w:p>
    <w:p>
      <w:pPr>
        <w:pStyle w:val="Normal"/>
      </w:pPr>
      <w:r>
        <w:t>67-C.67. [PROGRAM] Weather Monitoring Program. Classification preserves the candidate but does not itself establish A5 Schedule Ready status.</w:t>
      </w:r>
    </w:p>
    <w:p>
      <w:pPr>
        <w:pStyle w:val="Normal"/>
      </w:pPr>
      <w:r>
        <w:t>67-C.68. [PROGRAM] Sea-Ice Monitoring Program. Classification preserves the candidate but does not itself establish A5 Schedule Ready status.</w:t>
      </w:r>
    </w:p>
    <w:p>
      <w:pPr>
        <w:pStyle w:val="Normal"/>
      </w:pPr>
      <w:r>
        <w:t>67-C.69. [PROGRAM] Permafrost Adaptation Program. Classification preserves the candidate but does not itself establish A5 Schedule Ready status.</w:t>
      </w:r>
    </w:p>
    <w:p>
      <w:pPr>
        <w:pStyle w:val="Normal"/>
      </w:pPr>
      <w:r>
        <w:t>67-C.70. [PROGRAM] Ocean Observation Program. Classification preserves the candidate but does not itself establish A5 Schedule Ready status.</w:t>
      </w:r>
    </w:p>
    <w:p>
      <w:pPr>
        <w:pStyle w:val="Normal"/>
      </w:pPr>
      <w:r>
        <w:t>67-C.71. [PROGRAM] Fuel Quality Assurance. Classification preserves the candidate but does not itself establish A5 Schedule Ready status.</w:t>
      </w:r>
    </w:p>
    <w:p>
      <w:pPr>
        <w:pStyle w:val="Normal"/>
      </w:pPr>
      <w:r>
        <w:t>67-C.72. [PROGRAM] Industrial Mobilization Planning. Classification preserves the candidate but does not itself establish A5 Schedule Ready status.</w:t>
      </w:r>
    </w:p>
    <w:p>
      <w:pPr>
        <w:pStyle w:val="Normal"/>
      </w:pPr>
      <w:r>
        <w:t>67-C.73. [PROGRAM] Supplier Qualification Program. Classification preserves the candidate but does not itself establish A5 Schedule Ready status.</w:t>
      </w:r>
    </w:p>
    <w:p>
      <w:pPr>
        <w:pStyle w:val="Normal"/>
      </w:pPr>
      <w:r>
        <w:t>67-C.74. [PROGRAM] Defence-Trade Facilitation. Classification preserves the candidate but does not itself establish A5 Schedule Ready status.</w:t>
      </w:r>
    </w:p>
    <w:p>
      <w:pPr>
        <w:pStyle w:val="Normal"/>
      </w:pPr>
      <w:r>
        <w:t>67-C.75. [PROGRAM] Cold-Weather R&amp;D Program. Classification preserves the candidate but does not itself establish A5 Schedule Ready status.</w:t>
      </w:r>
    </w:p>
    <w:p>
      <w:pPr>
        <w:pStyle w:val="Normal"/>
      </w:pPr>
      <w:r>
        <w:t>67-C.76. [PROGRAM] Indigenous Procurement Support. Classification preserves the candidate but does not itself establish A5 Schedule Ready status.</w:t>
      </w:r>
    </w:p>
    <w:p>
      <w:pPr>
        <w:pStyle w:val="Normal"/>
      </w:pPr>
      <w:r>
        <w:t>67-C.77. [PROGRAM] Community Capacity Monitoring. Classification preserves the candidate but does not itself establish A5 Schedule Ready status.</w:t>
      </w:r>
    </w:p>
    <w:p>
      <w:pPr>
        <w:pStyle w:val="Normal"/>
      </w:pPr>
      <w:r>
        <w:t>67-C.78. [PROGRAM] Milestone Verification Program. Classification preserves the candidate but does not itself establish A5 Schedule Ready status.</w:t>
      </w:r>
    </w:p>
    <w:p>
      <w:pPr>
        <w:pStyle w:val="Normal"/>
      </w:pPr>
      <w:r>
        <w:t>67-C.79. [PROGRAM] Northern Logistics Data Program. Classification preserves the candidate but does not itself establish A5 Schedule Ready status.</w:t>
      </w:r>
    </w:p>
    <w:p>
      <w:pPr>
        <w:pStyle w:val="Normal"/>
      </w:pPr>
      <w:r>
        <w:t>67-C.80. [PROGRAM] Airlift Readiness Program. Classification preserves the candidate but does not itself establish A5 Schedule Ready status.</w:t>
      </w:r>
    </w:p>
    <w:p>
      <w:pPr>
        <w:pStyle w:val="Normal"/>
      </w:pPr>
      <w:r>
        <w:t>67-C.81. [PROGRAM] Sealift Readiness Program. Classification preserves the candidate but does not itself establish A5 Schedule Ready status.</w:t>
      </w:r>
    </w:p>
    <w:p>
      <w:pPr>
        <w:pStyle w:val="Normal"/>
      </w:pPr>
      <w:r>
        <w:t>67-C.82. [PROGRAM] Northern Communications Continuity. Classification preserves the candidate but does not itself establish A5 Schedule Ready status.</w:t>
      </w:r>
    </w:p>
    <w:p>
      <w:pPr>
        <w:pStyle w:val="Normal"/>
      </w:pPr>
      <w:r>
        <w:t>67-C.83. [PROGRAM] Satellite Resilience Program. Classification preserves the candidate but does not itself establish A5 Schedule Ready status.</w:t>
      </w:r>
    </w:p>
    <w:p>
      <w:pPr>
        <w:pStyle w:val="Normal"/>
      </w:pPr>
      <w:r>
        <w:t>67-C.84. [PROGRAM] Space-Weather Support Program. Classification preserves the candidate but does not itself establish A5 Schedule Ready status.</w:t>
      </w:r>
    </w:p>
    <w:p>
      <w:pPr>
        <w:pStyle w:val="Normal"/>
      </w:pPr>
      <w:r>
        <w:t>67-C.85. [PROGRAM] Maritime Spill Response. Classification preserves the candidate but does not itself establish A5 Schedule Ready status.</w:t>
      </w:r>
    </w:p>
    <w:p>
      <w:pPr>
        <w:pStyle w:val="Normal"/>
      </w:pPr>
      <w:r>
        <w:t>67-C.86. [PROGRAM] Hydrographic Survey Program. Classification preserves the candidate but does not itself establish A5 Schedule Ready status.</w:t>
      </w:r>
    </w:p>
    <w:p>
      <w:pPr>
        <w:pStyle w:val="Normal"/>
      </w:pPr>
      <w:r>
        <w:t>67-C.87. [PROGRAM] Port Security Modernization. Classification preserves the candidate but does not itself establish A5 Schedule Ready status.</w:t>
      </w:r>
    </w:p>
    <w:p>
      <w:pPr>
        <w:pStyle w:val="Normal"/>
      </w:pPr>
      <w:r>
        <w:t>67-C.88. [PROGRAM] Northern Navigation Program. Classification preserves the candidate but does not itself establish A5 Schedule Ready status.</w:t>
      </w:r>
    </w:p>
    <w:p>
      <w:pPr>
        <w:pStyle w:val="Normal"/>
      </w:pPr>
      <w:r>
        <w:t>67-C.89. [PROGRAM] Medical Cold-Chain Program. Classification preserves the candidate but does not itself establish A5 Schedule Ready status.</w:t>
      </w:r>
    </w:p>
    <w:p>
      <w:pPr>
        <w:pStyle w:val="Normal"/>
      </w:pPr>
      <w:r>
        <w:t>67-C.90. [PROGRAM] Responder Safety Program. Classification preserves the candidate but does not itself establish A5 Schedule Ready status.</w:t>
      </w:r>
    </w:p>
    <w:p>
      <w:pPr>
        <w:pStyle w:val="Normal"/>
      </w:pPr>
      <w:r>
        <w:t>67-C.91. [PROGRAM] Grid Resilience Program. Classification preserves the candidate but does not itself establish A5 Schedule Ready status.</w:t>
      </w:r>
    </w:p>
    <w:p>
      <w:pPr>
        <w:pStyle w:val="Normal"/>
      </w:pPr>
      <w:r>
        <w:t>67-C.92. [PROGRAM] Microgrid Maintenance Program. Classification preserves the candidate but does not itself establish A5 Schedule Ready status.</w:t>
      </w:r>
    </w:p>
    <w:p>
      <w:pPr>
        <w:pStyle w:val="Normal"/>
      </w:pPr>
      <w:r>
        <w:t>67-C.93. [PROGRAM] Energy Storage Resilience. Classification preserves the candidate but does not itself establish A5 Schedule Ready status.</w:t>
      </w:r>
    </w:p>
    <w:p>
      <w:pPr>
        <w:pStyle w:val="Normal"/>
      </w:pPr>
      <w:r>
        <w:t>67-C.94. [PROGRAM] Critical Infrastructure Cyber Registry. Classification preserves the candidate but does not itself establish A5 Schedule Ready status.</w:t>
      </w:r>
    </w:p>
    <w:p>
      <w:pPr>
        <w:pStyle w:val="Normal"/>
      </w:pPr>
      <w:r>
        <w:t>67-C.95. [PROGRAM] Public Capability Mapping. Classification preserves the candidate but does not itself establish A5 Schedule Ready status.</w:t>
      </w:r>
    </w:p>
    <w:p>
      <w:pPr>
        <w:pStyle w:val="Normal"/>
      </w:pPr>
      <w:r>
        <w:t>67-C.96. [PROGRAM] Northern Vigilance Scorecard Operations. Classification preserves the candidate but does not itself establish A5 Schedule Ready status.</w:t>
      </w:r>
    </w:p>
    <w:p>
      <w:pPr>
        <w:pStyle w:val="Normal"/>
      </w:pPr>
      <w:r>
        <w:t>67-C.97. [PROGRAM] Investment Ledger Operations. Classification preserves the candidate but does not itself establish A5 Schedule Ready status.</w:t>
      </w:r>
    </w:p>
    <w:p>
      <w:pPr>
        <w:pStyle w:val="Normal"/>
      </w:pPr>
      <w:r>
        <w:t>67-C.98. [PROGRAM] State of the Vigilant North Reporting. Classification preserves the candidate but does not itself establish A5 Schedule Ready status.</w:t>
      </w:r>
    </w:p>
    <w:p>
      <w:pPr>
        <w:pStyle w:val="Normal"/>
      </w:pPr>
      <w:r>
        <w:t>67-C.99. [PROGRAM] Project Status Reverification. Classification preserves the candidate but does not itself establish A5 Schedule Ready status.</w:t>
      </w:r>
    </w:p>
    <w:p>
      <w:pPr>
        <w:pStyle w:val="Normal"/>
      </w:pPr>
      <w:r>
        <w:t>67-C.100. [DEVELOPMENT] Advanced Undersea Sensing Demonstrator. Classification preserves the candidate but does not itself establish A5 Schedule Ready status.</w:t>
      </w:r>
    </w:p>
    <w:p>
      <w:pPr>
        <w:pStyle w:val="Normal"/>
      </w:pPr>
      <w:r>
        <w:t>67-C.101. [DEVELOPMENT] Seabed Sensor Pilot. Classification preserves the candidate but does not itself establish A5 Schedule Ready status.</w:t>
      </w:r>
    </w:p>
    <w:p>
      <w:pPr>
        <w:pStyle w:val="Normal"/>
      </w:pPr>
      <w:r>
        <w:t>67-C.102. [DEVELOPMENT] Autonomous Under-Ice Surveillance Demonstrator. Classification preserves the candidate but does not itself establish A5 Schedule Ready status.</w:t>
      </w:r>
    </w:p>
    <w:p>
      <w:pPr>
        <w:pStyle w:val="Normal"/>
      </w:pPr>
      <w:r>
        <w:t>67-C.103. [DEVELOPMENT] Next-Generation Polar Communications Demonstrator. Classification preserves the candidate but does not itself establish A5 Schedule Ready status.</w:t>
      </w:r>
    </w:p>
    <w:p>
      <w:pPr>
        <w:pStyle w:val="Normal"/>
      </w:pPr>
      <w:r>
        <w:t>67-C.104. [DEVELOPMENT] Advanced Air-Defence Infrastructure Study. Classification preserves the candidate but does not itself establish A5 Schedule Ready status.</w:t>
      </w:r>
    </w:p>
    <w:p>
      <w:pPr>
        <w:pStyle w:val="Normal"/>
      </w:pPr>
      <w:r>
        <w:t>67-C.105. [DEVELOPMENT] Interceptor Integration Study. Classification preserves the candidate but does not itself establish A5 Schedule Ready status.</w:t>
      </w:r>
    </w:p>
    <w:p>
      <w:pPr>
        <w:pStyle w:val="Normal"/>
      </w:pPr>
      <w:r>
        <w:t>67-C.106. [DEVELOPMENT] Future Arctic Corridor Candidate. Classification preserves the candidate but does not itself establish A5 Schedule Ready status.</w:t>
      </w:r>
    </w:p>
    <w:p>
      <w:pPr>
        <w:pStyle w:val="Normal"/>
      </w:pPr>
      <w:r>
        <w:t>67-C.107. [DEVELOPMENT] Future Deepwater Port Candidate. Classification preserves the candidate but does not itself establish A5 Schedule Ready status.</w:t>
      </w:r>
    </w:p>
    <w:p>
      <w:pPr>
        <w:pStyle w:val="Normal"/>
      </w:pPr>
      <w:r>
        <w:t>67-C.108. [DEVELOPMENT] Strategic Stockpile Facility Candidate. Classification preserves the candidate but does not itself establish A5 Schedule Ready status.</w:t>
      </w:r>
    </w:p>
    <w:p>
      <w:pPr>
        <w:pStyle w:val="Normal"/>
      </w:pPr>
      <w:r>
        <w:t>67-C.109. [DEVELOPMENT] Autonomous Northern Logistics Pilot. Classification preserves the candidate but does not itself establish A5 Schedule Ready status.</w:t>
      </w:r>
    </w:p>
    <w:p>
      <w:pPr>
        <w:pStyle w:val="Normal"/>
      </w:pPr>
      <w:r>
        <w:t>67-C.110. [DEVELOPMENT] Remote Microreactor Feasibility Candidate. Classification preserves the candidate but does not itself establish A5 Schedule Ready status.</w:t>
      </w:r>
    </w:p>
    <w:p>
      <w:pPr>
        <w:pStyle w:val="Normal"/>
      </w:pPr>
      <w:r>
        <w:t>67-C.111. [DEVELOPMENT] Remote SMR Feasibility Candidate. Classification preserves the candidate but does not itself establish A5 Schedule Ready status.</w:t>
      </w:r>
    </w:p>
    <w:p>
      <w:pPr>
        <w:pStyle w:val="Normal"/>
      </w:pPr>
      <w:r>
        <w:t>67-C.112. [DEVELOPMENT] Advanced Cold-Weather UAV Demonstrator. Classification preserves the candidate but does not itself establish A5 Schedule Ready status.</w:t>
      </w:r>
    </w:p>
    <w:p>
      <w:pPr>
        <w:pStyle w:val="Normal"/>
      </w:pPr>
      <w:r>
        <w:t>67-C.113. [DEVELOPMENT] Passive Radar Demonstrator. Classification preserves the candidate but does not itself establish A5 Schedule Ready status.</w:t>
      </w:r>
    </w:p>
    <w:p>
      <w:pPr>
        <w:pStyle w:val="Normal"/>
      </w:pPr>
      <w:r>
        <w:t>67-C.114. [DEVELOPMENT] Next-Generation Maritime Awareness Pilot. Classification preserves the candidate but does not itself establish A5 Schedule Ready status.</w:t>
      </w:r>
    </w:p>
    <w:p>
      <w:pPr>
        <w:pStyle w:val="Normal"/>
      </w:pPr>
      <w:r>
        <w:t>67-C.115. [DEVELOPMENT] Arctic AUV Fleet Candidate. Classification preserves the candidate but does not itself establish A5 Schedule Ready status.</w:t>
      </w:r>
    </w:p>
    <w:p>
      <w:pPr>
        <w:pStyle w:val="Normal"/>
      </w:pPr>
      <w:r>
        <w:t>67-C.116. [DEVELOPMENT] Under-Ice Communications R&amp;D. Classification preserves the candidate but does not itself establish A5 Schedule Ready status.</w:t>
      </w:r>
    </w:p>
    <w:p>
      <w:pPr>
        <w:pStyle w:val="Normal"/>
      </w:pPr>
      <w:r>
        <w:t>67-C.117. [DEVELOPMENT] Northern Telemetry Range Candidate. Classification preserves the candidate but does not itself establish A5 Schedule Ready status.</w:t>
      </w:r>
    </w:p>
    <w:p>
      <w:pPr>
        <w:pStyle w:val="Normal"/>
      </w:pPr>
      <w:r>
        <w:t>67-C.118. [DEVELOPMENT] Future Satellite Ground Node Candidate. Classification preserves the candidate but does not itself establish A5 Schedule Ready status.</w:t>
      </w:r>
    </w:p>
    <w:p>
      <w:pPr>
        <w:pStyle w:val="Normal"/>
      </w:pPr>
      <w:r>
        <w:t>67-C.119. [DEVELOPMENT] Advanced Resilient Power Demonstrator. Classification preserves the candidate but does not itself establish A5 Schedule Ready status.</w:t>
      </w:r>
    </w:p>
    <w:p>
      <w:pPr>
        <w:pStyle w:val="Normal"/>
      </w:pPr>
      <w:r>
        <w:t>67-C.120. [DEVELOPMENT] Novel Ice-Capable Logistics Platform. Classification preserves the candidate but does not itself establish A5 Schedule Ready status.</w:t>
      </w:r>
    </w:p>
    <w:p>
      <w:pPr>
        <w:pStyle w:val="Normal"/>
      </w:pPr>
      <w:r>
        <w:t>67-C.121. [DEVELOPMENT] Future Continental Sensor Demonstrator. Classification preserves the candidate but does not itself establish A5 Schedule Ready status.</w:t>
      </w:r>
    </w:p>
    <w:p>
      <w:pPr>
        <w:pStyle w:val="Heading2"/>
      </w:pPr>
      <w:bookmarkStart w:id="902187" w:name="_Toc300002186"/>
      <w:r>
        <w:rPr>
          <w:b/>
        </w:rPr>
        <w:t>ANNEX 67-D: CONTROLLED-CAPABILITY REGISTER (7)</w:t>
      </w:r>
      <w:bookmarkEnd w:id="902187"/>
    </w:p>
    <w:p>
      <w:pPr>
        <w:pStyle w:val="Normal"/>
      </w:pPr>
      <w:r>
        <w:t>67-D.1. Persistent Arctic aerial surveillance; governed by Article 67.38 and separate national authorization.</w:t>
      </w:r>
    </w:p>
    <w:p>
      <w:pPr>
        <w:pStyle w:val="Normal"/>
      </w:pPr>
      <w:r>
        <w:t>67-D.2. Seabed and under-ice sensor deployments; governed by Article 67.38 and separate national authorization.</w:t>
      </w:r>
    </w:p>
    <w:p>
      <w:pPr>
        <w:pStyle w:val="Normal"/>
      </w:pPr>
      <w:r>
        <w:t>67-D.3. Advanced missile-defence or interceptor integration; governed by Article 67.38 and separate national authorization.</w:t>
      </w:r>
    </w:p>
    <w:p>
      <w:pPr>
        <w:pStyle w:val="Normal"/>
      </w:pPr>
      <w:r>
        <w:t>67-D.4. Co-located allied command or operations facilities in the Canadian North; governed by Article 67.38 and separate national authorization.</w:t>
      </w:r>
    </w:p>
    <w:p>
      <w:pPr>
        <w:pStyle w:val="Normal"/>
      </w:pPr>
      <w:r>
        <w:t>67-D.5. Mexican observer participation in selected Arctic defence exercises; governed by Article 67.38 and separate national authorization.</w:t>
      </w:r>
    </w:p>
    <w:p>
      <w:pPr>
        <w:pStyle w:val="Normal"/>
      </w:pPr>
      <w:r>
        <w:t>67-D.6. Remote defence-community microreactor or SMR deployment; governed by Article 67.38 and separate national authorization.</w:t>
      </w:r>
    </w:p>
    <w:p>
      <w:pPr>
        <w:pStyle w:val="Normal"/>
      </w:pPr>
      <w:r>
        <w:t>67-D.7. Public disclosure concerning strategic northern fuel, ammunition or material stockpiles; governed by Article 67.38 and separate national authorization.</w:t>
      </w:r>
    </w:p>
    <w:p>
      <w:pPr>
        <w:pStyle w:val="Heading2"/>
      </w:pPr>
      <w:bookmarkStart w:id="902188" w:name="_Toc300002187"/>
      <w:r>
        <w:rPr>
          <w:b/>
        </w:rPr>
        <w:t>ANNEX 67-E: VISIBLE NORTHERN VIGILANCE TROPHY OVERLAY (30)</w:t>
      </w:r>
      <w:bookmarkEnd w:id="902188"/>
    </w:p>
    <w:p>
      <w:pPr>
        <w:pStyle w:val="Normal"/>
      </w:pPr>
      <w:r>
        <w:t>67-E.1. Canada’s NORAD Modernization Anchor. Trophy designation is a visibility overlay and creates no additional obligation or change in verification status.</w:t>
      </w:r>
    </w:p>
    <w:p>
      <w:pPr>
        <w:pStyle w:val="Normal"/>
      </w:pPr>
      <w:r>
        <w:t>67-E.2. Arctic Over-the-Horizon Radar. Trophy designation is a visibility overlay and creates no additional obligation or change in verification status.</w:t>
      </w:r>
    </w:p>
    <w:p>
      <w:pPr>
        <w:pStyle w:val="Normal"/>
      </w:pPr>
      <w:r>
        <w:t>67-E.3. Polar Over-the-Horizon Radar. Trophy designation is a visibility overlay and creates no additional obligation or change in verification status.</w:t>
      </w:r>
    </w:p>
    <w:p>
      <w:pPr>
        <w:pStyle w:val="Normal"/>
      </w:pPr>
      <w:r>
        <w:t>67-E.4. North Warning System Renewal. Trophy designation is a visibility overlay and creates no additional obligation or change in verification status.</w:t>
      </w:r>
    </w:p>
    <w:p>
      <w:pPr>
        <w:pStyle w:val="Normal"/>
      </w:pPr>
      <w:r>
        <w:t>67-E.5. Continental Arctic Sensor Network. Trophy designation is a visibility overlay and creates no additional obligation or change in verification status.</w:t>
      </w:r>
    </w:p>
    <w:p>
      <w:pPr>
        <w:pStyle w:val="Normal"/>
      </w:pPr>
      <w:r>
        <w:t>67-E.6. Northern Forward Operating Location Modernization. Trophy designation is a visibility overlay and creates no additional obligation or change in verification status.</w:t>
      </w:r>
    </w:p>
    <w:p>
      <w:pPr>
        <w:pStyle w:val="Normal"/>
      </w:pPr>
      <w:r>
        <w:t>67-E.7. Northern Operational Support Hubs. Trophy designation is a visibility overlay and creates no additional obligation or change in verification status.</w:t>
      </w:r>
    </w:p>
    <w:p>
      <w:pPr>
        <w:pStyle w:val="Normal"/>
      </w:pPr>
      <w:r>
        <w:t>67-E.8. Goose Bay Northern Defence Expansion. Trophy designation is a visibility overlay and creates no additional obligation or change in verification status.</w:t>
      </w:r>
    </w:p>
    <w:p>
      <w:pPr>
        <w:pStyle w:val="Normal"/>
      </w:pPr>
      <w:r>
        <w:t>67-E.9. Iqaluit Defence and Dual-Use Infrastructure. Trophy designation is a visibility overlay and creates no additional obligation or change in verification status.</w:t>
      </w:r>
    </w:p>
    <w:p>
      <w:pPr>
        <w:pStyle w:val="Normal"/>
      </w:pPr>
      <w:r>
        <w:t>67-E.10. Inuvik Defence and Dual-Use Infrastructure. Trophy designation is a visibility overlay and creates no additional obligation or change in verification status.</w:t>
      </w:r>
    </w:p>
    <w:p>
      <w:pPr>
        <w:pStyle w:val="Normal"/>
      </w:pPr>
      <w:r>
        <w:t>67-E.11. Yellowknife Northern Operations Hub. Trophy designation is a visibility overlay and creates no additional obligation or change in verification status.</w:t>
      </w:r>
    </w:p>
    <w:p>
      <w:pPr>
        <w:pStyle w:val="Normal"/>
      </w:pPr>
      <w:r>
        <w:t>67-E.12. Northern Airport Modernization. Trophy designation is a visibility overlay and creates no additional obligation or change in verification status.</w:t>
      </w:r>
    </w:p>
    <w:p>
      <w:pPr>
        <w:pStyle w:val="Normal"/>
      </w:pPr>
      <w:r>
        <w:t>67-E.13. Polar Emergency-Divert Network. Trophy designation is a visibility overlay and creates no additional obligation or change in verification status.</w:t>
      </w:r>
    </w:p>
    <w:p>
      <w:pPr>
        <w:pStyle w:val="Normal"/>
      </w:pPr>
      <w:r>
        <w:t>67-E.14. Arctic Port and Sealift Modernization. Trophy designation is a visibility overlay and creates no additional obligation or change in verification status.</w:t>
      </w:r>
    </w:p>
    <w:p>
      <w:pPr>
        <w:pStyle w:val="Normal"/>
      </w:pPr>
      <w:r>
        <w:t>67-E.15. North American Ice-Capable Maritime Partnership. Trophy designation is a visibility overlay and creates no additional obligation or change in verification status.</w:t>
      </w:r>
    </w:p>
    <w:p>
      <w:pPr>
        <w:pStyle w:val="Normal"/>
      </w:pPr>
      <w:r>
        <w:t>67-E.16. Arctic Economic and Security Corridor. Trophy designation is a visibility overlay and creates no additional obligation or change in verification status.</w:t>
      </w:r>
    </w:p>
    <w:p>
      <w:pPr>
        <w:pStyle w:val="Normal"/>
      </w:pPr>
      <w:r>
        <w:t>67-E.17. Northern Strategic Mobility Network. Trophy designation is a visibility overlay and creates no additional obligation or change in verification status.</w:t>
      </w:r>
    </w:p>
    <w:p>
      <w:pPr>
        <w:pStyle w:val="Normal"/>
      </w:pPr>
      <w:r>
        <w:t>67-E.18. Northern Fuel Security Network. Trophy designation is a visibility overlay and creates no additional obligation or change in verification status.</w:t>
      </w:r>
    </w:p>
    <w:p>
      <w:pPr>
        <w:pStyle w:val="Normal"/>
      </w:pPr>
      <w:r>
        <w:t>67-E.19. Northern Resilient Energy and Microgrid Program. Trophy designation is a visibility overlay and creates no additional obligation or change in verification status.</w:t>
      </w:r>
    </w:p>
    <w:p>
      <w:pPr>
        <w:pStyle w:val="Normal"/>
      </w:pPr>
      <w:r>
        <w:t>67-E.20. Polar Communications Backbone. Trophy designation is a visibility overlay and creates no additional obligation or change in verification status.</w:t>
      </w:r>
    </w:p>
    <w:p>
      <w:pPr>
        <w:pStyle w:val="Normal"/>
      </w:pPr>
      <w:r>
        <w:t>67-E.21. Space-Based Arctic Awareness Layer. Trophy designation is a visibility overlay and creates no additional obligation or change in verification status.</w:t>
      </w:r>
    </w:p>
    <w:p>
      <w:pPr>
        <w:pStyle w:val="Normal"/>
      </w:pPr>
      <w:r>
        <w:t>67-E.22. AEWC Northern Surveillance Capability. Trophy designation is a visibility overlay and creates no additional obligation or change in verification status.</w:t>
      </w:r>
    </w:p>
    <w:p>
      <w:pPr>
        <w:pStyle w:val="Normal"/>
      </w:pPr>
      <w:r>
        <w:t>67-E.23. Arctic Search-and-Rescue Expansion. Trophy designation is a visibility overlay and creates no additional obligation or change in verification status.</w:t>
      </w:r>
    </w:p>
    <w:p>
      <w:pPr>
        <w:pStyle w:val="Normal"/>
      </w:pPr>
      <w:r>
        <w:t>67-E.24. North American Arctic Industrial Supply Chain. Trophy designation is a visibility overlay and creates no additional obligation or change in verification status.</w:t>
      </w:r>
    </w:p>
    <w:p>
      <w:pPr>
        <w:pStyle w:val="Normal"/>
      </w:pPr>
      <w:r>
        <w:t>67-E.25. Arctic Critical-Minerals-to-Defence Pipeline. Trophy designation is a visibility overlay and creates no additional obligation or change in verification status.</w:t>
      </w:r>
    </w:p>
    <w:p>
      <w:pPr>
        <w:pStyle w:val="Normal"/>
      </w:pPr>
      <w:r>
        <w:t>67-E.26. Indigenous and Northern Procurement Partnership. Trophy designation is a visibility overlay and creates no additional obligation or change in verification status.</w:t>
      </w:r>
    </w:p>
    <w:p>
      <w:pPr>
        <w:pStyle w:val="Normal"/>
      </w:pPr>
      <w:r>
        <w:t>67-E.27. Northern Housing, Workforce and Community Capacity Package. Trophy designation is a visibility overlay and creates no additional obligation or change in verification status.</w:t>
      </w:r>
    </w:p>
    <w:p>
      <w:pPr>
        <w:pStyle w:val="Normal"/>
      </w:pPr>
      <w:r>
        <w:t>67-E.28. Arctic Research and Cold-Weather Technology Partnership. Trophy designation is a visibility overlay and creates no additional obligation or change in verification status.</w:t>
      </w:r>
    </w:p>
    <w:p>
      <w:pPr>
        <w:pStyle w:val="Normal"/>
      </w:pPr>
      <w:r>
        <w:t>67-E.29. Northern Vigilance Scorecard and Investment Ledger. Trophy designation is a visibility overlay and creates no additional obligation or change in verification status.</w:t>
      </w:r>
    </w:p>
    <w:p>
      <w:pPr>
        <w:pStyle w:val="Normal"/>
      </w:pPr>
      <w:r>
        <w:t>67-E.30. State of the Vigilant North Annual Leaders’ Report. Trophy designation is a visibility overlay and creates no additional obligation or change in verification status.</w:t>
      </w:r>
    </w:p>
    <w:p>
      <w:pPr>
        <w:pStyle w:val="Heading2"/>
      </w:pPr>
      <w:bookmarkStart w:id="902189" w:name="_Toc300002188"/>
      <w:r>
        <w:rPr>
          <w:b/>
        </w:rPr>
        <w:t>ANNEX 67-F: PROJECT STATUS, CLAIM AND ACCOUNTING VERIFICATION RULE</w:t>
      </w:r>
      <w:bookmarkEnd w:id="902189"/>
    </w:p>
    <w:p>
      <w:pPr>
        <w:pStyle w:val="Normal"/>
      </w:pPr>
      <w:r>
        <w:t>Before a named project, dollar value, site, date, contractor, capability milestone or employment figure is represented as an operative commitment or verified public achievement, the responsible Party shall confirm the current authoritative source, project status, funding basis, jurisdiction, accounting treatment and disclosure authority. Drafting inputs, historical announcements and repeated secondary claims are not self-verifying. A confirmation under this Annex is a first-instance record of the responsible Party; it remains subject to the Article 67.35 project-verification process, Article 67.37 milestone certification where applicable, and the contestability rule in Annex 66-F where a treaty consequence depends on it. For a cure or restoration under Articles 67.43 and 67.45, the competent Party authority or existing NAESTMA verification structure designated under Article 67.35 verifies the underlying condition through the applicable evidence and review process; a first-instance record is neither conclusive against another Party nor a basis to withhold restoration after the controlling verification requirement has been satisfied.</w:t>
      </w:r>
    </w:p>
    <w:p>
      <w:pPr>
        <w:pStyle w:val="Normal"/>
      </w:pPr>
      <w:r>
        <w:t>Particular caution applies to completed, cancelled, superseded, classified, proposed or materially rescoped projects; overlapping defence envelopes; cash-versus-accrual comparisons; and any statement that an existing commitment constitutes new agreement-attributable spending.</w:t>
      </w:r>
    </w:p>
    <w:p>
      <w:pPr>
        <w:pStyle w:val="Normal"/>
      </w:pPr>
      <w:r>
        <w:t>E-2F. Version 8.4: Northern Vigilance Arctic Integration. Added Chapter 67, North American Arctic Security, Sovereignty and Continental Defence Compact; Northern Vigilance Partnership; 47 cornerstone obligations; 128 operational/capability mechanisms; 121 project/investment candidates classified as 24 Flagship, 32 Anchor, 43 Program and 22 Development; 7 controlled capabilities; 30-item visible trophy overlay; A1–A5 project verification; C1–C5 controlled-capability ladder; sovereignty, command, Indigenous/northern, classification, investment-additionality, no-zombie-project and trade-measure firewalls.</w:t>
      </w:r>
    </w:p>
    <w:p>
      <w:pPr>
        <w:pStyle w:val="Normal"/>
      </w:pPr>
      <w:r>
        <w:t>E-2G. Version 8.5: Canada and Mexico Visibility Elevation Pass. Added non-operative leader-level Canadian and Mexican win summaries and parallel negotiator visibility indexes identifying Canadian and Mexican benefits already present in the operative text. No substantive concession, tariff commitment, procurement opening, security authority, market-access obligation, remedy, safeguard, project approval, or implementation duty is created, enlarged, narrowed, accelerated, or otherwise altered by this visibility-only pass.</w:t>
      </w:r>
    </w:p>
    <w:p>
      <w:pPr>
        <w:pStyle w:val="Normal"/>
      </w:pPr>
      <w:r>
        <w:t>E-2H. Version 8.6: Gordie Howe Benefit and Reinvestment Cleanup. Added Package CG, Detroit–Windsor International Crossing Benefit and Reinvestment Framework, closing the remaining bridge toll-revenue grievance without transferring Canadian toll ownership, bridge governance, revenue entitlement, or retroactive financing claims. Creates optional corridor reinvestment using mutually agreed revenues or equivalent appropriations; eligible customs, trusted-freight, ITS, approach, logistics, community-mitigation and economic-development improvements; integration with Packages CE and Chapter 65; baseline/additionality verification; and strict no-double-counting. Added corresponding U.S. and Canadian visibility-index entries. No fixed toll-revenue percentage is required.</w:t>
      </w:r>
    </w:p>
    <w:p>
      <w:pPr>
        <w:pStyle w:val="Normal"/>
      </w:pPr>
      <w:r>
        <w:t>Chapter 68 contains the specialized North American cetacean recovery, safety, stewardship, rescue, and lifelong-care architecture.</w:t>
      </w:r>
    </w:p>
    <w:p>
      <w:pPr>
        <w:pStyle w:val="TrumpVisibilityHeadline"/>
      </w:pPr>
      <w:r>
        <w:t>SEARCH SIGNPOST: WHALES / CETACEANS / MARINE MAMMALS / VESSEL STRIKE / FISHING GEAR / ENTANGLEMENT / RESCUE / CAPTIVE CETACEANS</w:t>
      </w:r>
    </w:p>
    <w:p>
      <w:pPr>
        <w:pStyle w:val="Heading1"/>
      </w:pPr>
      <w:bookmarkStart w:id="902190" w:name="_Toc300002189"/>
      <w:r>
        <w:t>CHAPTER 68: GREAT WHALE COMPACT: NORTH AMERICAN CETACEAN RECOVERY, SAFETY AND STEWARDSHIP</w:t>
      </w:r>
      <w:bookmarkEnd w:id="902190"/>
    </w:p>
    <w:p>
      <w:pPr>
        <w:pStyle w:val="Normal"/>
      </w:pPr>
      <w:r>
        <w:rPr>
          <w:b/>
        </w:rPr>
        <w:t xml:space="preserve">★ </w:t>
      </w:r>
      <w:r>
        <w:rPr>
          <w:b/>
        </w:rPr>
        <w:t>VISIBLE TRILATERAL WIN: MORE WHALES SURVIVE, WORKING WATERS STAY WORKABLE, AND NORTH AMERICA BUILDS THE WORLD'S MOST PRACTICAL CETACEAN-RECOVERY SYSTEM</w:t>
      </w:r>
    </w:p>
    <w:p>
      <w:pPr>
        <w:pStyle w:val="Normal"/>
      </w:pPr>
      <w:r>
        <w:rPr>
          <w:b w:val="false"/>
        </w:rPr>
        <w:t>The Parties establish the Great Whale Compact as a coordinated, sovereignty-safe framework for conserving wild cetaceans, reducing avoidable human-caused mortality and disturbance, supporting affected coastal communities, strengthening rescue and science, and protecting the welfare of captive cetaceans. The Compact shall be implemented primarily through competent domestic authorities and existing institutions.</w:t>
      </w:r>
    </w:p>
    <w:p>
      <w:pPr>
        <w:pStyle w:val="Heading2"/>
      </w:pPr>
      <w:bookmarkStart w:id="902191" w:name="_Toc300002190"/>
      <w:r>
        <w:t>68.1. Purpose and Great Whale Bargain.</w:t>
      </w:r>
      <w:bookmarkEnd w:id="902191"/>
    </w:p>
    <w:p>
      <w:pPr>
        <w:pStyle w:val="Normal"/>
      </w:pPr>
      <w:r>
        <w:t>Protect cetaceans while preserving lawful, safe and economically workable maritime activity through evidence-based, adaptive and proportionate measures.</w:t>
      </w:r>
    </w:p>
    <w:p>
      <w:pPr>
        <w:pStyle w:val="Heading2"/>
      </w:pPr>
      <w:bookmarkStart w:id="902192" w:name="_Toc300002191"/>
      <w:r>
        <w:t>68.2. National Sovereignty and Domestic Authority.</w:t>
      </w:r>
      <w:bookmarkEnd w:id="902192"/>
    </w:p>
    <w:p>
      <w:pPr>
        <w:pStyle w:val="Normal"/>
      </w:pPr>
      <w:r>
        <w:t>Each Party retains authority over its waters, fisheries, navigation, wildlife, animal welfare, defence, permitting and enforcement. Nothing creates a supranational cetacean regulator.</w:t>
      </w:r>
    </w:p>
    <w:p>
      <w:pPr>
        <w:pStyle w:val="Heading2"/>
      </w:pPr>
      <w:bookmarkStart w:id="902193" w:name="_Toc300002192"/>
      <w:r>
        <w:t>68.3. Existing Institutions Before New Institutions.</w:t>
      </w:r>
      <w:bookmarkEnd w:id="902193"/>
    </w:p>
    <w:p>
      <w:pPr>
        <w:pStyle w:val="Normal"/>
      </w:pPr>
      <w:r>
        <w:t>Implementation shall use competent domestic agencies, existing bilateral or trilateral bodies, Indigenous or co-management institutions where applicable, and NAESTMA machinery before creating new permanent bureaucracy.</w:t>
      </w:r>
    </w:p>
    <w:p>
      <w:pPr>
        <w:pStyle w:val="Heading2"/>
      </w:pPr>
      <w:bookmarkStart w:id="902194" w:name="_Toc300002193"/>
      <w:r>
        <w:t>68.4. Science-First Decisionmaking.</w:t>
      </w:r>
      <w:bookmarkEnd w:id="902194"/>
    </w:p>
    <w:p>
      <w:pPr>
        <w:pStyle w:val="Normal"/>
      </w:pPr>
      <w:r>
        <w:t>Measures shall rely on the best reasonably available science, disclose material uncertainty, and distinguish observed facts, modelled estimates and research hypotheses.</w:t>
      </w:r>
    </w:p>
    <w:p>
      <w:pPr>
        <w:pStyle w:val="Heading2"/>
      </w:pPr>
      <w:bookmarkStart w:id="902195" w:name="_Toc300002194"/>
      <w:r>
        <w:t>68.5. Least-Burdensome Effective Protection.</w:t>
      </w:r>
      <w:bookmarkEnd w:id="902195"/>
    </w:p>
    <w:p>
      <w:pPr>
        <w:pStyle w:val="Normal"/>
      </w:pPr>
      <w:r>
        <w:t>Where multiple measures can provide materially comparable protection, authorities should prefer the measure that achieves the conservation objective with the least unnecessary burden on lawful activity.</w:t>
      </w:r>
    </w:p>
    <w:p>
      <w:pPr>
        <w:pStyle w:val="Heading2"/>
      </w:pPr>
      <w:bookmarkStart w:id="902196" w:name="_Toc300002195"/>
      <w:r>
        <w:t>68.6. Adaptive Management.</w:t>
      </w:r>
      <w:bookmarkEnd w:id="902196"/>
    </w:p>
    <w:p>
      <w:pPr>
        <w:pStyle w:val="Normal"/>
      </w:pPr>
      <w:r>
        <w:t>Measures should change with demonstrated risk, whale presence, season, geography, technology and new evidence rather than remain static without review.</w:t>
      </w:r>
    </w:p>
    <w:p>
      <w:pPr>
        <w:pStyle w:val="Heading2"/>
      </w:pPr>
      <w:bookmarkStart w:id="902197" w:name="_Toc300002196"/>
      <w:r>
        <w:t>68.7. Activation and Deactivation.</w:t>
      </w:r>
      <w:bookmarkEnd w:id="902197"/>
    </w:p>
    <w:p>
      <w:pPr>
        <w:pStyle w:val="Normal"/>
      </w:pPr>
      <w:r>
        <w:t>Dynamic restrictions shall use intelligible activation criteria, defined review periods and deactivation, modification or expiry when the triggering risk materially subsides.</w:t>
      </w:r>
    </w:p>
    <w:p>
      <w:pPr>
        <w:pStyle w:val="Heading2"/>
      </w:pPr>
      <w:bookmarkStart w:id="902198" w:name="_Toc300002197"/>
      <w:r>
        <w:t>68.8. Human Authority Over Automated Consequences.</w:t>
      </w:r>
      <w:bookmarkEnd w:id="902198"/>
    </w:p>
    <w:p>
      <w:pPr>
        <w:pStyle w:val="Normal"/>
      </w:pPr>
      <w:r>
        <w:t>AI, acoustic detections, satellite observations or other automated systems may inform decisions but shall not alone impose penalties, revoke licences or create permanent closures.</w:t>
      </w:r>
    </w:p>
    <w:p>
      <w:pPr>
        <w:pStyle w:val="Heading2"/>
      </w:pPr>
      <w:bookmarkStart w:id="902199" w:name="_Toc300002198"/>
      <w:r>
        <w:t>68.9. Species-Appropriate Protection.</w:t>
      </w:r>
      <w:bookmarkEnd w:id="902199"/>
    </w:p>
    <w:p>
      <w:pPr>
        <w:pStyle w:val="Normal"/>
      </w:pPr>
      <w:r>
        <w:t>Measures shall account for population status, life history, migration, prey, habitat, culture, acoustic ecology and region-specific threats.</w:t>
      </w:r>
    </w:p>
    <w:p>
      <w:pPr>
        <w:pStyle w:val="Heading2"/>
      </w:pPr>
      <w:bookmarkStart w:id="902200" w:name="_Toc300002199"/>
      <w:r>
        <w:t>68.10. Avoidable Governance Failure.</w:t>
      </w:r>
      <w:bookmarkEnd w:id="902200"/>
    </w:p>
    <w:p>
      <w:pPr>
        <w:pStyle w:val="Normal"/>
      </w:pPr>
      <w:r>
        <w:t>The Parties shall maintain recovery and response systems reasonably designed to prevent avoidable governance failure from contributing materially to extirpation of covered cetacean populations.</w:t>
      </w:r>
    </w:p>
    <w:p>
      <w:pPr>
        <w:pStyle w:val="Heading2"/>
      </w:pPr>
      <w:bookmarkStart w:id="902201" w:name="_Toc300002200"/>
      <w:r>
        <w:t>68.11. Indigenous Rights Savings.</w:t>
      </w:r>
      <w:bookmarkEnd w:id="902201"/>
    </w:p>
    <w:p>
      <w:pPr>
        <w:pStyle w:val="Normal"/>
      </w:pPr>
      <w:r>
        <w:t>Nothing in this Chapter diminishes Aboriginal, treaty, constitutional, self-government or other Indigenous rights recognized under applicable law.</w:t>
      </w:r>
    </w:p>
    <w:p>
      <w:pPr>
        <w:pStyle w:val="Heading2"/>
      </w:pPr>
      <w:bookmarkStart w:id="902202" w:name="_Toc300002201"/>
      <w:r>
        <w:t>68.12. Indigenous Knowledge and Data Governance.</w:t>
      </w:r>
      <w:bookmarkEnd w:id="902202"/>
    </w:p>
    <w:p>
      <w:pPr>
        <w:pStyle w:val="Normal"/>
      </w:pPr>
      <w:r>
        <w:t>Indigenous Knowledge may inform management under community-approved protocols, with appropriate protection for sensitive, sacred, proprietary or community-governed information.</w:t>
      </w:r>
    </w:p>
    <w:p>
      <w:pPr>
        <w:pStyle w:val="Heading2"/>
      </w:pPr>
      <w:bookmarkStart w:id="902203" w:name="_Toc300002202"/>
      <w:r>
        <w:t>68.13. Vessel-Strike Reduction.</w:t>
      </w:r>
      <w:bookmarkEnd w:id="902203"/>
    </w:p>
    <w:p>
      <w:pPr>
        <w:pStyle w:val="Normal"/>
      </w:pPr>
      <w:r>
        <w:t>Each Party shall maintain measures reasonably designed to reduce avoidable serious injury and mortality from vessel strikes in material risk areas.</w:t>
      </w:r>
    </w:p>
    <w:p>
      <w:pPr>
        <w:pStyle w:val="Heading2"/>
      </w:pPr>
      <w:bookmarkStart w:id="902204" w:name="_Toc300002203"/>
      <w:r>
        <w:t>68.14. Entanglement Reduction.</w:t>
      </w:r>
      <w:bookmarkEnd w:id="902204"/>
    </w:p>
    <w:p>
      <w:pPr>
        <w:pStyle w:val="Normal"/>
      </w:pPr>
      <w:r>
        <w:t>Each Party shall maintain measures reasonably designed to reduce serious entanglement risk while supporting practical fishing transitions.</w:t>
      </w:r>
    </w:p>
    <w:p>
      <w:pPr>
        <w:pStyle w:val="Heading2"/>
      </w:pPr>
      <w:bookmarkStart w:id="902205" w:name="_Toc300002204"/>
      <w:r>
        <w:t>68.15. Whale-Safe Fishing Transition.</w:t>
      </w:r>
      <w:bookmarkEnd w:id="902205"/>
    </w:p>
    <w:p>
      <w:pPr>
        <w:pStyle w:val="Normal"/>
      </w:pPr>
      <w:r>
        <w:t>The Parties shall support validation and adoption of on-demand, weak-link, low-risk or other proven fishing technologies where they materially reduce cetacean risk.</w:t>
      </w:r>
    </w:p>
    <w:p>
      <w:pPr>
        <w:pStyle w:val="Heading2"/>
      </w:pPr>
      <w:bookmarkStart w:id="902206" w:name="_Toc300002205"/>
      <w:r>
        <w:t>68.16. Ghost-Gear Prevention and Recovery.</w:t>
      </w:r>
      <w:bookmarkEnd w:id="902206"/>
    </w:p>
    <w:p>
      <w:pPr>
        <w:pStyle w:val="Normal"/>
      </w:pPr>
      <w:r>
        <w:t>The Parties shall strengthen prevention, marking, reporting, retrieval and responsible disposal or recycling of lost fishing gear.</w:t>
      </w:r>
    </w:p>
    <w:p>
      <w:pPr>
        <w:pStyle w:val="Heading2"/>
      </w:pPr>
      <w:bookmarkStart w:id="902207" w:name="_Toc300002206"/>
      <w:r>
        <w:t>68.17. Continental Detection Cooperation.</w:t>
      </w:r>
      <w:bookmarkEnd w:id="902207"/>
    </w:p>
    <w:p>
      <w:pPr>
        <w:pStyle w:val="Normal"/>
      </w:pPr>
      <w:r>
        <w:t>The Parties shall cooperate on interoperable acoustic, visual, satellite, aerial and other validated whale-detection systems.</w:t>
      </w:r>
    </w:p>
    <w:p>
      <w:pPr>
        <w:pStyle w:val="Heading2"/>
      </w:pPr>
      <w:bookmarkStart w:id="902208" w:name="_Toc300002207"/>
      <w:r>
        <w:t>68.18. Detection Reliability.</w:t>
      </w:r>
      <w:bookmarkEnd w:id="902208"/>
    </w:p>
    <w:p>
      <w:pPr>
        <w:pStyle w:val="Normal"/>
      </w:pPr>
      <w:r>
        <w:t>Management systems relying on remote or automated detection shall maintain validation, false-positive and false-negative assessment, quality control and appropriate human review.</w:t>
      </w:r>
    </w:p>
    <w:p>
      <w:pPr>
        <w:pStyle w:val="Heading2"/>
      </w:pPr>
      <w:bookmarkStart w:id="902209" w:name="_Toc300002208"/>
      <w:r>
        <w:t>68.19. Stranding and Disentanglement Readiness.</w:t>
      </w:r>
      <w:bookmarkEnd w:id="902209"/>
    </w:p>
    <w:p>
      <w:pPr>
        <w:pStyle w:val="Normal"/>
      </w:pPr>
      <w:r>
        <w:t>Each Party shall maintain or support trained response capacity, safe protocols, equipment and cross-border assistance pathways for strandings and entanglements.</w:t>
      </w:r>
    </w:p>
    <w:p>
      <w:pPr>
        <w:pStyle w:val="Heading2"/>
      </w:pPr>
      <w:bookmarkStart w:id="902210" w:name="_Toc300002209"/>
      <w:r>
        <w:t>68.20. Veterinary and Mortality Investigation.</w:t>
      </w:r>
      <w:bookmarkEnd w:id="902210"/>
    </w:p>
    <w:p>
      <w:pPr>
        <w:pStyle w:val="Normal"/>
      </w:pPr>
      <w:r>
        <w:t>The Parties shall strengthen marine-mammal veterinary capacity, necropsy, pathology, tissue archiving and cause-of-death investigation where practicable.</w:t>
      </w:r>
    </w:p>
    <w:p>
      <w:pPr>
        <w:pStyle w:val="Heading2"/>
      </w:pPr>
      <w:bookmarkStart w:id="902211" w:name="_Toc300002210"/>
      <w:r>
        <w:t>68.21. Critical Habitat and Recovery Cooperation.</w:t>
      </w:r>
      <w:bookmarkEnd w:id="902211"/>
    </w:p>
    <w:p>
      <w:pPr>
        <w:pStyle w:val="Normal"/>
      </w:pPr>
      <w:r>
        <w:t>The Parties shall cooperate on science, recovery planning and compatible protection of important habitat while preserving domestic designation processes.</w:t>
      </w:r>
    </w:p>
    <w:p>
      <w:pPr>
        <w:pStyle w:val="Heading2"/>
      </w:pPr>
      <w:bookmarkStart w:id="902212" w:name="_Toc300002211"/>
      <w:r>
        <w:t>68.22. Underwater Noise Risk Reduction.</w:t>
      </w:r>
      <w:bookmarkEnd w:id="902212"/>
    </w:p>
    <w:p>
      <w:pPr>
        <w:pStyle w:val="Normal"/>
      </w:pPr>
      <w:r>
        <w:t>The Parties shall pursue proportionate measures to reduce avoidable harmful underwater noise from covered civilian activities, subject to applicable law and safety requirements.</w:t>
      </w:r>
    </w:p>
    <w:p>
      <w:pPr>
        <w:pStyle w:val="Heading2"/>
      </w:pPr>
      <w:bookmarkStart w:id="902213" w:name="_Toc300002212"/>
      <w:r>
        <w:t>68.23. Government Fleet Leadership.</w:t>
      </w:r>
      <w:bookmarkEnd w:id="902213"/>
    </w:p>
    <w:p>
      <w:pPr>
        <w:pStyle w:val="Normal"/>
      </w:pPr>
      <w:r>
        <w:t>Government-operated or procured vessels should, where technically and operationally appropriate, demonstrate whale-safe navigation, detection and quieting practices.</w:t>
      </w:r>
    </w:p>
    <w:p>
      <w:pPr>
        <w:pStyle w:val="Heading2"/>
      </w:pPr>
      <w:bookmarkStart w:id="902214" w:name="_Toc300002213"/>
      <w:r>
        <w:t>68.24. Contaminant and Ecosystem Health Cooperation.</w:t>
      </w:r>
      <w:bookmarkEnd w:id="902214"/>
    </w:p>
    <w:p>
      <w:pPr>
        <w:pStyle w:val="Normal"/>
      </w:pPr>
      <w:r>
        <w:t>The Parties shall cooperate on contaminants, pollution and ecosystem conditions materially relevant to cetacean health.</w:t>
      </w:r>
    </w:p>
    <w:p>
      <w:pPr>
        <w:pStyle w:val="Heading2"/>
      </w:pPr>
      <w:bookmarkStart w:id="902215" w:name="_Toc300002214"/>
      <w:r>
        <w:t>68.25. Prey and Forage-Ecosystem Consideration.</w:t>
      </w:r>
      <w:bookmarkEnd w:id="902215"/>
    </w:p>
    <w:p>
      <w:pPr>
        <w:pStyle w:val="Normal"/>
      </w:pPr>
      <w:r>
        <w:t>Cetacean prey needs should be considered as a scientifically assessed ecosystem factor in relevant management without displacing Indigenous rights or sustainable fisheries obligations.</w:t>
      </w:r>
    </w:p>
    <w:p>
      <w:pPr>
        <w:pStyle w:val="Heading2"/>
      </w:pPr>
      <w:bookmarkStart w:id="902216" w:name="_Toc300002215"/>
      <w:r>
        <w:t>68.26. Climate-Responsive Management.</w:t>
      </w:r>
      <w:bookmarkEnd w:id="902216"/>
    </w:p>
    <w:p>
      <w:pPr>
        <w:pStyle w:val="Normal"/>
      </w:pPr>
      <w:r>
        <w:t>Recovery planning shall consider climate-driven range shifts, marine heatwaves, sea-ice change and other material habitat changes.</w:t>
      </w:r>
    </w:p>
    <w:p>
      <w:pPr>
        <w:pStyle w:val="Heading2"/>
      </w:pPr>
      <w:bookmarkStart w:id="902217" w:name="_Toc300002216"/>
      <w:r>
        <w:t>68.27. Whale-Sensitive Ports and Coastal Development.</w:t>
      </w:r>
      <w:bookmarkEnd w:id="902217"/>
    </w:p>
    <w:p>
      <w:pPr>
        <w:pStyle w:val="Normal"/>
      </w:pPr>
      <w:r>
        <w:t>Relevant port and coastal projects should assess material cetacean strike, noise, habitat and construction risks and adopt proportionate mitigation where warranted.</w:t>
      </w:r>
    </w:p>
    <w:p>
      <w:pPr>
        <w:pStyle w:val="Heading2"/>
      </w:pPr>
      <w:bookmarkStart w:id="902218" w:name="_Toc300002217"/>
      <w:r>
        <w:t>68.28. Offshore Activity Assessment.</w:t>
      </w:r>
      <w:bookmarkEnd w:id="902218"/>
    </w:p>
    <w:p>
      <w:pPr>
        <w:pStyle w:val="Normal"/>
      </w:pPr>
      <w:r>
        <w:t>Covered offshore activities shall use applicable environmental and wildlife review processes to identify and mitigate material cetacean risks.</w:t>
      </w:r>
    </w:p>
    <w:p>
      <w:pPr>
        <w:pStyle w:val="Heading2"/>
      </w:pPr>
      <w:bookmarkStart w:id="902219" w:name="_Toc300002218"/>
      <w:r>
        <w:t>68.29. Captive-Cetacean Minimum Welfare.</w:t>
      </w:r>
      <w:bookmarkEnd w:id="902219"/>
    </w:p>
    <w:p>
      <w:pPr>
        <w:pStyle w:val="Normal"/>
      </w:pPr>
      <w:r>
        <w:t>Each Party shall maintain lawful welfare protections for captive cetaceans addressing nutrition, water quality, veterinary care, social needs, environmental conditions and emergency planning.</w:t>
      </w:r>
    </w:p>
    <w:p>
      <w:pPr>
        <w:pStyle w:val="Heading2"/>
      </w:pPr>
      <w:bookmarkStart w:id="902220" w:name="_Toc300002219"/>
      <w:r>
        <w:t>68.30. No Avoidable Welfare Regression.</w:t>
      </w:r>
      <w:bookmarkEnd w:id="902220"/>
    </w:p>
    <w:p>
      <w:pPr>
        <w:pStyle w:val="Normal"/>
      </w:pPr>
      <w:r>
        <w:t>A captive cetacean should not be transferred for administrative convenience where the receiving arrangement is reasonably expected to produce materially worse welfare.</w:t>
      </w:r>
    </w:p>
    <w:p>
      <w:pPr>
        <w:pStyle w:val="Heading2"/>
      </w:pPr>
      <w:bookmarkStart w:id="902221" w:name="_Toc300002220"/>
      <w:r>
        <w:t>68.31. Legacy Animal Individual Care.</w:t>
      </w:r>
      <w:bookmarkEnd w:id="902221"/>
    </w:p>
    <w:p>
      <w:pPr>
        <w:pStyle w:val="Normal"/>
      </w:pPr>
      <w:r>
        <w:t>Where practicable, remaining captive cetaceans should have individualized long-term care planning reflecting age, health, social relationships and realistic transfer or sanctuary options.</w:t>
      </w:r>
    </w:p>
    <w:p>
      <w:pPr>
        <w:pStyle w:val="Heading2"/>
      </w:pPr>
      <w:bookmarkStart w:id="902222" w:name="_Toc300002221"/>
      <w:r>
        <w:t>68.32. Qualified Sanctuary Pathway.</w:t>
      </w:r>
      <w:bookmarkEnd w:id="902222"/>
    </w:p>
    <w:p>
      <w:pPr>
        <w:pStyle w:val="Normal"/>
      </w:pPr>
      <w:r>
        <w:t>The Parties may facilitate qualified sanctuary assessment and transfer where lawful and demonstrably consistent with the individual animal's welfare.</w:t>
      </w:r>
    </w:p>
    <w:p>
      <w:pPr>
        <w:pStyle w:val="Heading2"/>
      </w:pPr>
      <w:bookmarkStart w:id="902223" w:name="_Toc300002222"/>
      <w:r>
        <w:t>68.33. Rescue-versus-Display Firewall.</w:t>
      </w:r>
      <w:bookmarkEnd w:id="902223"/>
    </w:p>
    <w:p>
      <w:pPr>
        <w:pStyle w:val="Normal"/>
      </w:pPr>
      <w:r>
        <w:t>Emergency rescue, rehabilitation or temporary protective custody shall not by itself create a presumption that permanent public display is the preferred disposition.</w:t>
      </w:r>
    </w:p>
    <w:p>
      <w:pPr>
        <w:pStyle w:val="Heading2"/>
      </w:pPr>
      <w:bookmarkStart w:id="902224" w:name="_Toc300002223"/>
      <w:r>
        <w:t>68.34. Research Ethics.</w:t>
      </w:r>
      <w:bookmarkEnd w:id="902224"/>
    </w:p>
    <w:p>
      <w:pPr>
        <w:pStyle w:val="Normal"/>
      </w:pPr>
      <w:r>
        <w:t>Cetacean research supported under this Chapter shall use appropriate animal-welfare, permitting, scientific-necessity and minimally invasive safeguards.</w:t>
      </w:r>
    </w:p>
    <w:p>
      <w:pPr>
        <w:pStyle w:val="Heading2"/>
      </w:pPr>
      <w:bookmarkStart w:id="902225" w:name="_Toc300002224"/>
      <w:r>
        <w:t>68.35. Open Where Safe, Protected Where Necessary.</w:t>
      </w:r>
      <w:bookmarkEnd w:id="902225"/>
    </w:p>
    <w:p>
      <w:pPr>
        <w:pStyle w:val="Normal"/>
      </w:pPr>
      <w:r>
        <w:t>Compact-supported science should be open and reproducible where practicable, subject to Indigenous data governance, animal-location sensitivity, privacy, security, law-enforcement and legitimate confidentiality protections.</w:t>
      </w:r>
    </w:p>
    <w:p>
      <w:pPr>
        <w:pStyle w:val="Heading2"/>
      </w:pPr>
      <w:bookmarkStart w:id="902226" w:name="_Toc300002225"/>
      <w:r>
        <w:t>68.36. Cross-Border Research Cooperation.</w:t>
      </w:r>
      <w:bookmarkEnd w:id="902226"/>
    </w:p>
    <w:p>
      <w:pPr>
        <w:pStyle w:val="Normal"/>
      </w:pPr>
      <w:r>
        <w:t>The Parties shall facilitate lawful research coordination, compatible data standards, permit cooperation and joint scientific work.</w:t>
      </w:r>
    </w:p>
    <w:p>
      <w:pPr>
        <w:pStyle w:val="Heading2"/>
      </w:pPr>
      <w:bookmarkStart w:id="902227" w:name="_Toc300002226"/>
      <w:r>
        <w:t>68.37. Measurement Integrity.</w:t>
      </w:r>
      <w:bookmarkEnd w:id="902227"/>
    </w:p>
    <w:p>
      <w:pPr>
        <w:pStyle w:val="Normal"/>
      </w:pPr>
      <w:r>
        <w:t>Public recovery reporting shall distinguish inputs, outputs and biological outcomes and disclose material uncertainty, detection limits and methodological changes.</w:t>
      </w:r>
    </w:p>
    <w:p>
      <w:pPr>
        <w:pStyle w:val="Heading2"/>
      </w:pPr>
      <w:bookmarkStart w:id="902228" w:name="_Toc300002227"/>
      <w:r>
        <w:t>68.38. Recovery-Plan Implementation Review.</w:t>
      </w:r>
      <w:bookmarkEnd w:id="902228"/>
    </w:p>
    <w:p>
      <w:pPr>
        <w:pStyle w:val="Normal"/>
      </w:pPr>
      <w:r>
        <w:t>The Parties shall periodically assess whether adopted recovery measures are actually implemented and whether evidence supports modification.</w:t>
      </w:r>
    </w:p>
    <w:p>
      <w:pPr>
        <w:pStyle w:val="Heading2"/>
      </w:pPr>
      <w:bookmarkStart w:id="902229" w:name="_Toc300002228"/>
      <w:r>
        <w:t>68.39. Fisher and Coastal-Community Transition.</w:t>
      </w:r>
      <w:bookmarkEnd w:id="902229"/>
    </w:p>
    <w:p>
      <w:pPr>
        <w:pStyle w:val="Normal"/>
      </w:pPr>
      <w:r>
        <w:t>Implementation shall consider reasonable transition support, training and technical assistance where new conservation measures impose material adjustment costs.</w:t>
      </w:r>
    </w:p>
    <w:p>
      <w:pPr>
        <w:pStyle w:val="Heading2"/>
      </w:pPr>
      <w:bookmarkStart w:id="902230" w:name="_Toc300002229"/>
      <w:r>
        <w:t>68.40. No Compensation for Ordinary Compliance.</w:t>
      </w:r>
      <w:bookmarkEnd w:id="902230"/>
    </w:p>
    <w:p>
      <w:pPr>
        <w:pStyle w:val="Normal"/>
      </w:pPr>
      <w:r>
        <w:t>Nothing requires compensation merely for compliance with generally applicable lawful safety or conservation requirements.</w:t>
      </w:r>
    </w:p>
    <w:p>
      <w:pPr>
        <w:pStyle w:val="Heading2"/>
      </w:pPr>
      <w:bookmarkStart w:id="902231" w:name="_Toc300002230"/>
      <w:r>
        <w:t>68.41. Extraordinary Transition Assistance.</w:t>
      </w:r>
      <w:bookmarkEnd w:id="902231"/>
    </w:p>
    <w:p>
      <w:pPr>
        <w:pStyle w:val="Normal"/>
      </w:pPr>
      <w:r>
        <w:t>A Party may provide targeted, transparent assistance for major gear conversion, temporary adaptive closures or comparable extraordinary transition burdens.</w:t>
      </w:r>
    </w:p>
    <w:p>
      <w:pPr>
        <w:pStyle w:val="Heading2"/>
      </w:pPr>
      <w:bookmarkStart w:id="902232" w:name="_Toc300002231"/>
      <w:r>
        <w:t>68.42. Whale-Safe Procurement and Certification.</w:t>
      </w:r>
      <w:bookmarkEnd w:id="902232"/>
    </w:p>
    <w:p>
      <w:pPr>
        <w:pStyle w:val="Normal"/>
      </w:pPr>
      <w:r>
        <w:t>Voluntary certification and procurement may reward verified whale-safe performance but shall not become arbitrary or disguised discrimination against another Party.</w:t>
      </w:r>
    </w:p>
    <w:p>
      <w:pPr>
        <w:pStyle w:val="Heading2"/>
      </w:pPr>
      <w:bookmarkStart w:id="902233" w:name="_Toc300002232"/>
      <w:r>
        <w:t>68.43. No Arbitrary Whale-Based Trade Restriction.</w:t>
      </w:r>
      <w:bookmarkEnd w:id="902233"/>
    </w:p>
    <w:p>
      <w:pPr>
        <w:pStyle w:val="Normal"/>
      </w:pPr>
      <w:r>
        <w:t>Cetacean protection shall not be used as a pretext for arbitrary, disguised or unrelated trade restriction.</w:t>
      </w:r>
    </w:p>
    <w:p>
      <w:pPr>
        <w:pStyle w:val="Heading2"/>
      </w:pPr>
      <w:bookmarkStart w:id="902234" w:name="_Toc300002233"/>
      <w:r>
        <w:t>68.44. Domestic Enforcement and Due Process.</w:t>
      </w:r>
      <w:bookmarkEnd w:id="902234"/>
    </w:p>
    <w:p>
      <w:pPr>
        <w:pStyle w:val="Normal"/>
      </w:pPr>
      <w:r>
        <w:t>Penalties and adverse legal consequences remain subject to competent domestic authority, notice, evidence and applicable due-process protections.</w:t>
      </w:r>
    </w:p>
    <w:p>
      <w:pPr>
        <w:pStyle w:val="Heading2"/>
      </w:pPr>
      <w:bookmarkStart w:id="902235" w:name="_Toc300002234"/>
      <w:r>
        <w:t>68.45. Whale Disputes Stay in Whale Machinery.</w:t>
      </w:r>
      <w:bookmarkEnd w:id="902235"/>
    </w:p>
    <w:p>
      <w:pPr>
        <w:pStyle w:val="Normal"/>
      </w:pPr>
      <w:r>
        <w:t>A dispute concerning this Chapter first proceeds through evidence exchange, scientific or technical consultation where relevant, verification under Annex 68-E, and the cure process in Article 68.47 before a Party seeks a treaty remedy, except where an independently applicable procedure permits urgent action. If the dispute remains unresolved, Chapter 31 supplies the ordinary legal dispute route and Chapter 35 governs a covered border measure or proportional trade response to the extent applicable. Nothing in this Article creates a separate Chapter 68 panel, sanctions track, or retaliation authority. A scientific disagreement may be placed before competent Party scientific authorities or another existing expert mechanism agreed by the disputing Parties without displacing the legal jurisdiction of the applicable Chapter 31 or Chapter 35 process.</w:t>
      </w:r>
    </w:p>
    <w:p>
      <w:pPr>
        <w:pStyle w:val="Heading2"/>
      </w:pPr>
      <w:bookmarkStart w:id="902236" w:name="_Toc300002235"/>
      <w:r>
        <w:t>68.46. No Unrelated Tariff Retaliation.</w:t>
      </w:r>
      <w:bookmarkEnd w:id="902236"/>
    </w:p>
    <w:p>
      <w:pPr>
        <w:pStyle w:val="Normal"/>
      </w:pPr>
      <w:r>
        <w:t>A disagreement under this Chapter does not by itself authorize an unrelated tariff, suspension of benefits, or other trade retaliation. Any responsive trade measure must rest on independent authority in Chapter 31, Chapter 35, or another expressly applicable provision and remains subject to that authority's nexus, proportionality, procedure, duration, cure, and restoration requirements. Chapter 68 supplies no free-standing tariff or Chapter-specific retaliation remedy. Conservation, scientific, regulatory, funding, or cooperative responses otherwise lawful under this Chapter remain available within their own authority and are not converted into trade remedies by this Article.</w:t>
      </w:r>
    </w:p>
    <w:p>
      <w:pPr>
        <w:pStyle w:val="Heading2"/>
      </w:pPr>
      <w:bookmarkStart w:id="902237" w:name="_Toc300002236"/>
      <w:r>
        <w:t>68.47. Verification, Consultation and Cure.</w:t>
      </w:r>
      <w:bookmarkEnd w:id="902237"/>
    </w:p>
    <w:p>
      <w:pPr>
        <w:pStyle w:val="Normal"/>
      </w:pPr>
      <w:r>
        <w:t>Before a material implementation dispute escalates, the initiating Party identifies the obligation, evidence, and requested cure and provides the responding Party a reasonable opportunity for evidence exchange, Annex 68-E verification, and consultation. The competent authorities record uncontested facts, material scientific disagreement, the verification status, and a cure period proportionate to the issue and any controlling deadline in the independently applicable procedure. Failure to resolve the matter may then proceed through Chapter 31, Chapter 35 for a covered border measure, or another expressly applicable review route, and those procedures supply the legally controlling remedy and clock. This Article creates no independent remedy, extension, suspension power, or scientific presumption and does not prevent urgent action otherwise lawfully authorized where delay would defeat that authority.</w:t>
      </w:r>
    </w:p>
    <w:p>
      <w:pPr>
        <w:pStyle w:val="Heading2"/>
      </w:pPr>
      <w:bookmarkStart w:id="902238" w:name="_Toc300002237"/>
      <w:r>
        <w:t>68.48. Periodic Review and Adaptive Revision.</w:t>
      </w:r>
      <w:bookmarkEnd w:id="902238"/>
    </w:p>
    <w:p>
      <w:pPr>
        <w:pStyle w:val="Normal"/>
      </w:pPr>
      <w:r>
        <w:t>The Parties shall periodically review the Compact, but review does not itself amend this Chapter or an annex. For legal-status purposes, Annex 68-A is a technical implementation register, Annex 68-B is a descriptive schedule of active candidates rather than a funding or completion guarantee, Annex 68-C is expressly optional, Annex 68-D is non-operative visibility material, and Annex 68-E is the scientific, project, claim, and research verification rule. Eligible technical maintenance of Annexes 68-A and 68-E proceeds only through Article 34.3.A; Article 46.11 governs only clerical corrections; and a change to the legal effect of Annexes 68-B through 68-D or to any substantive right, obligation, exception, safeguard, remedy, deadline, approval, or funding commitment requires Article 34.3 or another express treaty authority. Operational records and Layer Three material may be updated within their existing authority without altering the treaty text or weakening applicable rights and safeguards.</w:t>
      </w:r>
    </w:p>
    <w:p>
      <w:pPr>
        <w:pStyle w:val="Heading2"/>
      </w:pPr>
      <w:bookmarkStart w:id="902239" w:name="_Toc300002238"/>
      <w:r>
        <w:t>68.49. Cetacean Emergency Recovery Escalation.</w:t>
      </w:r>
      <w:bookmarkEnd w:id="902239"/>
    </w:p>
    <w:p>
      <w:pPr>
        <w:pStyle w:val="Normal"/>
      </w:pPr>
      <w:r>
        <w:t>Where credible scientific assessment identifies a materially increased risk of extirpation, the responsible Party or Parties shall initiate expedited review and adopt or publish an appropriate emergency response plan within a defined domestic process.</w:t>
      </w:r>
    </w:p>
    <w:p>
      <w:pPr>
        <w:pStyle w:val="Heading2"/>
      </w:pPr>
      <w:bookmarkStart w:id="902240" w:name="_Toc300002239"/>
      <w:r>
        <w:t>ANNEX 68-A: OPERATIONAL CETACEAN PROTECTION REGISTER (LAYER TWO TECHNICAL IMPLEMENTATION REGISTER)</w:t>
      </w:r>
      <w:bookmarkEnd w:id="902240"/>
    </w:p>
    <w:p>
      <w:pPr>
        <w:pStyle w:val="Normal"/>
      </w:pPr>
      <w:r>
        <w:rPr>
          <w:b w:val="false"/>
        </w:rPr>
        <w:t>The following mechanisms are implementation tools, not automatic universal mandates. Each shall be used only where relevant, lawful, scientifically supportable and proportionate to the species, geography and risk concerned.</w:t>
      </w:r>
    </w:p>
    <w:p>
      <w:pPr>
        <w:pStyle w:val="Heading3"/>
      </w:pPr>
      <w:r>
        <w:t>REGISTER GOVERNANCE: COMMON CONTROL RULES</w:t>
      </w:r>
    </w:p>
    <w:p>
      <w:pPr>
        <w:pStyle w:val="Normal"/>
      </w:pPr>
      <w:r>
        <w:t>68-A.G.1: Authority Firewall. Inclusion of a mechanism in this Register does not itself create regulatory, funding, permitting, procurement, enforcement, inspection, data-access, or other legal authority. A Party activates or applies a mechanism only through authority otherwise available under this Agreement or its law, and the implementation record identifies the responsible body and applicable authority. Where a mechanism requires a permit, approval, scientific determination, procurement decision, or enforcement action, the Register does not substitute for that decision. Nothing in this Annex converts a technical option into a mandatory universal measure merely because the option appears in the Register.</w:t>
      </w:r>
    </w:p>
    <w:p>
      <w:pPr>
        <w:pStyle w:val="Normal"/>
      </w:pPr>
      <w:r>
        <w:t>68-A.G.2: Validation and Fitness for Use. A technical, scientific, monitoring, detection, mitigation, welfare, or response mechanism is not deemed validated solely by its inclusion in this Register. Before operational reliance where validation is material, the responsible body uses evidence appropriate to the mechanism's purpose, operating environment, affected population, and foreseeable consequence of error. Material limitations, uncertainty, failure conditions, and known interoperability constraints are recorded or incorporated by reference where reasonably available. A mechanism that no longer meets the applicable evidentiary or operational standard is corrected, restricted, suspended, replaced, or retired as appropriate.</w:t>
      </w:r>
    </w:p>
    <w:p>
      <w:pPr>
        <w:pStyle w:val="Normal"/>
      </w:pPr>
      <w:r>
        <w:t>68-A.G.3: No Double Counting and Functional Cross-Reference. Related mechanisms may operate as complementary layers of a single protection, monitoring, response, research, or compliance system. A Party does not count overlapping entries as separate completed achievements when they represent the same underlying activity, output, deployment, or evidentiary result. Implementation records may cross-reference related mechanisms instead of duplicating the same evidence or administrative step. This rule does not prevent separate recognition where distinct mechanisms perform independently verifiable functions or produce materially distinct results. Where an underlying project, deployment, funding event, or verified outcome also appears in a Chapter 64, 65, or 67 record, the responsible authorities shall cross-reference the underlying evidence and distinguish each chapter-specific verification status rather than treating one status as automatically established by another. The same underlying economic value or completed result shall not be represented as an additional achievement solely because it appears in more than one register, without preventing recognition of genuinely distinct independently verified functions.</w:t>
      </w:r>
    </w:p>
    <w:p>
      <w:pPr>
        <w:pStyle w:val="Normal"/>
      </w:pPr>
      <w:r>
        <w:t>68-A.G.4: Data, Indigenous Knowledge, Privacy and Sensitive Information. Use of a Register mechanism remains subject to Articles 68.11, 68.12, 68.35 and any other applicable Chapter 68 safeguard governing Indigenous rights, Indigenous Knowledge, personal information, sensitive ecological information, protected operational information, or research data. Collection, use, sharing, retention, correction, access, and disposition remain limited to lawful and necessary purposes associated with the mechanism. Inclusion in this Register does not enlarge a Party's authority to compel disclosure or authorize onward transfer. Where information cannot lawfully or appropriately be disclosed, verification may rely on protected summaries, attestations, controlled review, or other evidence sufficient to establish the relevant implementation fact without defeating the governing safeguard.</w:t>
      </w:r>
    </w:p>
    <w:p>
      <w:pPr>
        <w:pStyle w:val="Normal"/>
      </w:pPr>
      <w:r>
        <w:t>68-A.G.5: Correction, Suspension and Retirement. The responsible body reviews a mechanism when credible evidence indicates material ineffectiveness, disproportionate burden, unlawful operation, unacceptable welfare or safety effects, persistent technical failure, or material conflict with Chapter 68 safeguards. Corrective action is proportionate to the identified defect and may include revised operating conditions, additional validation, temporary suspension, replacement, or retirement. A correction or retirement is recorded with enough information to distinguish a superseded implementation state from an active one and, where relevant, to propagate the correction to dependent records. Suspension or retirement of one mechanism does not by itself invalidate a distinct mechanism that remains independently supported and lawful.</w:t>
      </w:r>
    </w:p>
    <w:p>
      <w:pPr>
        <w:pStyle w:val="Normal"/>
      </w:pPr>
      <w:r>
        <w:t>68-A.G.6: Register Maintenance and Secondary Classification. Maintenance under this paragraph is administrative or technical maintenance within Article 68.48 and, where treaty text is changed, Article 34.3.A; it is not an independent amendment or adoption route. The Parties may maintain secondary tags, cross-references, or concordance fields for mechanisms that legitimately serve more than one functional category while preserving stable mechanism identifiers and traceable historical records. Editorial reclassification, cross-referencing, or clarification does not create new substantive authority, change legal effect, or alter an existing obligation. A material change to a mechanism's legal effect proceeds only through Article 34.3 or another express treaty authority identified by Article 68.48.</w:t>
      </w:r>
    </w:p>
    <w:p>
      <w:pPr>
        <w:pStyle w:val="Normal"/>
      </w:pPr>
      <w:r>
        <w:rPr>
          <w:b w:val="false"/>
        </w:rPr>
        <w:t>68-A.1. Seasonal Speed-Management Areas (Vessel Safety). Eligible for domestic or cooperative implementation consistent with Chapter 68 safeguards.</w:t>
      </w:r>
    </w:p>
    <w:p>
      <w:pPr>
        <w:pStyle w:val="Normal"/>
      </w:pPr>
      <w:r>
        <w:rPr>
          <w:b w:val="false"/>
        </w:rPr>
        <w:t>68-A.2. Dynamic Speed-Management Review (Vessel Safety). Eligible for domestic or cooperative implementation consistent with Chapter 68 safeguards.</w:t>
      </w:r>
    </w:p>
    <w:p>
      <w:pPr>
        <w:pStyle w:val="Normal"/>
      </w:pPr>
      <w:r>
        <w:rPr>
          <w:b w:val="false"/>
        </w:rPr>
        <w:t>68-A.3. High-Risk Routing Assessment (Vessel Safety). Eligible for domestic or cooperative implementation consistent with Chapter 68 safeguards.</w:t>
      </w:r>
    </w:p>
    <w:p>
      <w:pPr>
        <w:pStyle w:val="Normal"/>
      </w:pPr>
      <w:r>
        <w:rPr>
          <w:b w:val="false"/>
        </w:rPr>
        <w:t>68-A.4. Voluntary Slowdown Programs (Vessel Safety). Eligible for domestic or cooperative implementation consistent with Chapter 68 safeguards.</w:t>
      </w:r>
    </w:p>
    <w:p>
      <w:pPr>
        <w:pStyle w:val="Normal"/>
      </w:pPr>
      <w:r>
        <w:rPr>
          <w:b w:val="false"/>
        </w:rPr>
        <w:t>68-A.5. NAVWARN and Mariner Notice Integration (Vessel Safety). Eligible for domestic or cooperative implementation consistent with Chapter 68 safeguards.</w:t>
      </w:r>
    </w:p>
    <w:p>
      <w:pPr>
        <w:pStyle w:val="Normal"/>
      </w:pPr>
      <w:r>
        <w:rPr>
          <w:b w:val="false"/>
        </w:rPr>
        <w:t>68-A.6. Bridge-To-Bridge Whale Alerts (Vessel Safety). Eligible for domestic or cooperative implementation consistent with Chapter 68 safeguards.</w:t>
      </w:r>
    </w:p>
    <w:p>
      <w:pPr>
        <w:pStyle w:val="Normal"/>
      </w:pPr>
      <w:r>
        <w:rPr>
          <w:b w:val="false"/>
        </w:rPr>
        <w:t>68-A.7. AIS Speed-Compliance Analytics (Vessel Safety). Eligible for domestic or cooperative implementation consistent with Chapter 68 safeguards.</w:t>
      </w:r>
    </w:p>
    <w:p>
      <w:pPr>
        <w:pStyle w:val="Normal"/>
      </w:pPr>
      <w:r>
        <w:rPr>
          <w:b w:val="false"/>
        </w:rPr>
        <w:t>68-A.8. Strike-Incident Reporting (Vessel Safety). Eligible for domestic or cooperative implementation consistent with Chapter 68 safeguards.</w:t>
      </w:r>
    </w:p>
    <w:p>
      <w:pPr>
        <w:pStyle w:val="Normal"/>
      </w:pPr>
      <w:r>
        <w:rPr>
          <w:b w:val="false"/>
        </w:rPr>
        <w:t>68-A.9. Night-Transit Risk Protocols (Vessel Safety). Eligible for domestic or cooperative implementation consistent with Chapter 68 safeguards.</w:t>
      </w:r>
    </w:p>
    <w:p>
      <w:pPr>
        <w:pStyle w:val="Normal"/>
      </w:pPr>
      <w:r>
        <w:rPr>
          <w:b w:val="false"/>
        </w:rPr>
        <w:t>68-A.10. Ferry-Lane Whale Protocols (Vessel Safety). Eligible for domestic or cooperative implementation consistent with Chapter 68 safeguards.</w:t>
      </w:r>
    </w:p>
    <w:p>
      <w:pPr>
        <w:pStyle w:val="Normal"/>
      </w:pPr>
      <w:r>
        <w:rPr>
          <w:b w:val="false"/>
        </w:rPr>
        <w:t>68-A.11. Small-Vessel Approach Guidance (Vessel Safety). Eligible for domestic or cooperative implementation consistent with Chapter 68 safeguards.</w:t>
      </w:r>
    </w:p>
    <w:p>
      <w:pPr>
        <w:pStyle w:val="Normal"/>
      </w:pPr>
      <w:r>
        <w:rPr>
          <w:b w:val="false"/>
        </w:rPr>
        <w:t>68-A.12. Whale-Watching Approach Standards (Vessel Safety). Eligible for domestic or cooperative implementation consistent with Chapter 68 safeguards.</w:t>
      </w:r>
    </w:p>
    <w:p>
      <w:pPr>
        <w:pStyle w:val="Normal"/>
      </w:pPr>
      <w:r>
        <w:rPr>
          <w:b w:val="false"/>
        </w:rPr>
        <w:t>68-A.13. Operator Education and Certification (Vessel Safety). Eligible for domestic or cooperative implementation consistent with Chapter 68 safeguards.</w:t>
      </w:r>
    </w:p>
    <w:p>
      <w:pPr>
        <w:pStyle w:val="Normal"/>
      </w:pPr>
      <w:r>
        <w:rPr>
          <w:b w:val="false"/>
        </w:rPr>
        <w:t>68-A.14. On-Demand Gear Validation (Fishing and Entanglement). Eligible for domestic or cooperative implementation consistent with Chapter 68 safeguards.</w:t>
      </w:r>
    </w:p>
    <w:p>
      <w:pPr>
        <w:pStyle w:val="Normal"/>
      </w:pPr>
      <w:r>
        <w:rPr>
          <w:b w:val="false"/>
        </w:rPr>
        <w:t>68-A.15. Low-Breaking-Strength Gear Validation (Fishing and Entanglement). Eligible for domestic or cooperative implementation consistent with Chapter 68 safeguards.</w:t>
      </w:r>
    </w:p>
    <w:p>
      <w:pPr>
        <w:pStyle w:val="Normal"/>
      </w:pPr>
      <w:r>
        <w:rPr>
          <w:b w:val="false"/>
        </w:rPr>
        <w:t>68-A.16. Weak-Link Configuration Standards (Fishing and Entanglement). Eligible for domestic or cooperative implementation consistent with Chapter 68 safeguards.</w:t>
      </w:r>
    </w:p>
    <w:p>
      <w:pPr>
        <w:pStyle w:val="Normal"/>
      </w:pPr>
      <w:r>
        <w:rPr>
          <w:b w:val="false"/>
        </w:rPr>
        <w:t>68-A.17. Virtual Gear Marking (Fishing and Entanglement). Eligible for domestic or cooperative implementation consistent with Chapter 68 safeguards.</w:t>
      </w:r>
    </w:p>
    <w:p>
      <w:pPr>
        <w:pStyle w:val="Normal"/>
      </w:pPr>
      <w:r>
        <w:rPr>
          <w:b w:val="false"/>
        </w:rPr>
        <w:t>68-A.18. Gear Interoperability Testing (Fishing and Entanglement). Eligible for domestic or cooperative implementation consistent with Chapter 68 safeguards.</w:t>
      </w:r>
    </w:p>
    <w:p>
      <w:pPr>
        <w:pStyle w:val="Normal"/>
      </w:pPr>
      <w:r>
        <w:rPr>
          <w:b w:val="false"/>
        </w:rPr>
        <w:t>68-A.19. Fisher Training (Fishing and Entanglement). Eligible for domestic or cooperative implementation consistent with Chapter 68 safeguards.</w:t>
      </w:r>
    </w:p>
    <w:p>
      <w:pPr>
        <w:pStyle w:val="Normal"/>
      </w:pPr>
      <w:r>
        <w:rPr>
          <w:b w:val="false"/>
        </w:rPr>
        <w:t>68-A.20. Gear-Conversion Finance (Fishing and Entanglement). Eligible for domestic or cooperative implementation consistent with Chapter 68 safeguards.</w:t>
      </w:r>
    </w:p>
    <w:p>
      <w:pPr>
        <w:pStyle w:val="Normal"/>
      </w:pPr>
      <w:r>
        <w:rPr>
          <w:b w:val="false"/>
        </w:rPr>
        <w:t>68-A.21. Whale-Safe Access During Conventional-Gear Closures (Fishing and Entanglement). Eligible for domestic or cooperative implementation consistent with Chapter 68 safeguards.</w:t>
      </w:r>
    </w:p>
    <w:p>
      <w:pPr>
        <w:pStyle w:val="Normal"/>
      </w:pPr>
      <w:r>
        <w:rPr>
          <w:b w:val="false"/>
        </w:rPr>
        <w:t>68-A.22. Dynamic Fishery-Risk Review (Fishing and Entanglement). Eligible for domestic or cooperative implementation consistent with Chapter 68 safeguards.</w:t>
      </w:r>
    </w:p>
    <w:p>
      <w:pPr>
        <w:pStyle w:val="Normal"/>
      </w:pPr>
      <w:r>
        <w:rPr>
          <w:b w:val="false"/>
        </w:rPr>
        <w:t>68-A.23. Seasonal Fishery-Risk Review (Fishing and Entanglement). Eligible for domestic or cooperative implementation consistent with Chapter 68 safeguards.</w:t>
      </w:r>
    </w:p>
    <w:p>
      <w:pPr>
        <w:pStyle w:val="Normal"/>
      </w:pPr>
      <w:r>
        <w:rPr>
          <w:b w:val="false"/>
        </w:rPr>
        <w:t>68-A.24. Entanglement Scar Monitoring (Fishing and Entanglement). Eligible for domestic or cooperative implementation consistent with Chapter 68 safeguards.</w:t>
      </w:r>
    </w:p>
    <w:p>
      <w:pPr>
        <w:pStyle w:val="Normal"/>
      </w:pPr>
      <w:r>
        <w:rPr>
          <w:b w:val="false"/>
        </w:rPr>
        <w:t>68-A.25. Gear-Loss Reporting (Fishing and Entanglement). Eligible for domestic or cooperative implementation consistent with Chapter 68 safeguards.</w:t>
      </w:r>
    </w:p>
    <w:p>
      <w:pPr>
        <w:pStyle w:val="Normal"/>
      </w:pPr>
      <w:r>
        <w:rPr>
          <w:b w:val="false"/>
        </w:rPr>
        <w:t>68-A.26. Ghost-Gear Retrieval (Fishing and Entanglement). Eligible for domestic or cooperative implementation consistent with Chapter 68 safeguards.</w:t>
      </w:r>
    </w:p>
    <w:p>
      <w:pPr>
        <w:pStyle w:val="Normal"/>
      </w:pPr>
      <w:r>
        <w:rPr>
          <w:b w:val="false"/>
        </w:rPr>
        <w:t>68-A.27. Ghost-Gear Recycling (Fishing and Entanglement). Eligible for domestic or cooperative implementation consistent with Chapter 68 safeguards.</w:t>
      </w:r>
    </w:p>
    <w:p>
      <w:pPr>
        <w:pStyle w:val="Normal"/>
      </w:pPr>
      <w:r>
        <w:rPr>
          <w:b w:val="false"/>
        </w:rPr>
        <w:t>68-A.28. Gear Provenance and Traceability (Fishing and Entanglement). Eligible for domestic or cooperative implementation consistent with Chapter 68 safeguards.</w:t>
      </w:r>
    </w:p>
    <w:p>
      <w:pPr>
        <w:pStyle w:val="Normal"/>
      </w:pPr>
      <w:r>
        <w:rPr>
          <w:b w:val="false"/>
        </w:rPr>
        <w:t>68-A.29. Cross-Border Gear Technology Exchange (Fishing and Entanglement). Eligible for domestic or cooperative implementation consistent with Chapter 68 safeguards.</w:t>
      </w:r>
    </w:p>
    <w:p>
      <w:pPr>
        <w:pStyle w:val="Normal"/>
      </w:pPr>
      <w:r>
        <w:rPr>
          <w:b w:val="false"/>
        </w:rPr>
        <w:t>68-A.30. Passive Acoustic Monitoring Network (Detection and Alerts). Eligible for domestic or cooperative implementation consistent with Chapter 68 safeguards.</w:t>
      </w:r>
    </w:p>
    <w:p>
      <w:pPr>
        <w:pStyle w:val="Normal"/>
      </w:pPr>
      <w:r>
        <w:rPr>
          <w:b w:val="false"/>
        </w:rPr>
        <w:t>68-A.31. Fixed Hydrophone Stations (Detection and Alerts). Eligible for domestic or cooperative implementation consistent with Chapter 68 safeguards.</w:t>
      </w:r>
    </w:p>
    <w:p>
      <w:pPr>
        <w:pStyle w:val="Normal"/>
      </w:pPr>
      <w:r>
        <w:rPr>
          <w:b w:val="false"/>
        </w:rPr>
        <w:t>68-A.32. Mobile Glider Missions (Detection and Alerts). Eligible for domestic or cooperative implementation consistent with Chapter 68 safeguards.</w:t>
      </w:r>
    </w:p>
    <w:p>
      <w:pPr>
        <w:pStyle w:val="Normal"/>
      </w:pPr>
      <w:r>
        <w:rPr>
          <w:b w:val="false"/>
        </w:rPr>
        <w:t>68-A.33. Smart-Buoy Detection (Detection and Alerts). Eligible for domestic or cooperative implementation consistent with Chapter 68 safeguards.</w:t>
      </w:r>
    </w:p>
    <w:p>
      <w:pPr>
        <w:pStyle w:val="Normal"/>
      </w:pPr>
      <w:r>
        <w:rPr>
          <w:b w:val="false"/>
        </w:rPr>
        <w:t>68-A.34. Validated AI Call Classification (Detection and Alerts). Eligible for domestic or cooperative implementation consistent with Chapter 68 safeguards.</w:t>
      </w:r>
    </w:p>
    <w:p>
      <w:pPr>
        <w:pStyle w:val="Normal"/>
      </w:pPr>
      <w:r>
        <w:rPr>
          <w:b w:val="false"/>
        </w:rPr>
        <w:t>68-A.35. Sensor-Fusion Platform (Detection and Alerts). Eligible for domestic or cooperative implementation consistent with Chapter 68 safeguards.</w:t>
      </w:r>
    </w:p>
    <w:p>
      <w:pPr>
        <w:pStyle w:val="Normal"/>
      </w:pPr>
      <w:r>
        <w:rPr>
          <w:b w:val="false"/>
        </w:rPr>
        <w:t>68-A.36. Satellite Imagery Integration (Detection and Alerts). Eligible for domestic or cooperative implementation consistent with Chapter 68 safeguards.</w:t>
      </w:r>
    </w:p>
    <w:p>
      <w:pPr>
        <w:pStyle w:val="Normal"/>
      </w:pPr>
      <w:r>
        <w:rPr>
          <w:b w:val="false"/>
        </w:rPr>
        <w:t>68-A.37. Aerial Survey Integration (Detection and Alerts). Eligible for domestic or cooperative implementation consistent with Chapter 68 safeguards.</w:t>
      </w:r>
    </w:p>
    <w:p>
      <w:pPr>
        <w:pStyle w:val="Normal"/>
      </w:pPr>
      <w:r>
        <w:rPr>
          <w:b w:val="false"/>
        </w:rPr>
        <w:t>68-A.38. Drone Survey Protocols (Detection and Alerts). Eligible for domestic or cooperative implementation consistent with Chapter 68 safeguards.</w:t>
      </w:r>
    </w:p>
    <w:p>
      <w:pPr>
        <w:pStyle w:val="Normal"/>
      </w:pPr>
      <w:r>
        <w:rPr>
          <w:b w:val="false"/>
        </w:rPr>
        <w:t>68-A.39. Photo-Identification Federation (Detection and Alerts). Eligible for domestic or cooperative implementation consistent with Chapter 68 safeguards.</w:t>
      </w:r>
    </w:p>
    <w:p>
      <w:pPr>
        <w:pStyle w:val="Normal"/>
      </w:pPr>
      <w:r>
        <w:rPr>
          <w:b w:val="false"/>
        </w:rPr>
        <w:t>68-A.40. Telemetry Data Integration (Detection and Alerts). Eligible for domestic or cooperative implementation consistent with Chapter 68 safeguards.</w:t>
      </w:r>
    </w:p>
    <w:p>
      <w:pPr>
        <w:pStyle w:val="Normal"/>
      </w:pPr>
      <w:r>
        <w:rPr>
          <w:b w:val="false"/>
        </w:rPr>
        <w:t>68-A.41. Detection-To-Alert Latency Standard (Detection and Alerts). Eligible for domestic or cooperative implementation consistent with Chapter 68 safeguards.</w:t>
      </w:r>
    </w:p>
    <w:p>
      <w:pPr>
        <w:pStyle w:val="Normal"/>
      </w:pPr>
      <w:r>
        <w:rPr>
          <w:b w:val="false"/>
        </w:rPr>
        <w:t>68-A.42. False-Alarm Management (Detection and Alerts). Eligible for domestic or cooperative implementation consistent with Chapter 68 safeguards.</w:t>
      </w:r>
    </w:p>
    <w:p>
      <w:pPr>
        <w:pStyle w:val="Normal"/>
      </w:pPr>
      <w:r>
        <w:rPr>
          <w:b w:val="false"/>
        </w:rPr>
        <w:t>68-A.43. Detection-Probability Correction (Detection and Alerts). Eligible for domestic or cooperative implementation consistent with Chapter 68 safeguards.</w:t>
      </w:r>
    </w:p>
    <w:p>
      <w:pPr>
        <w:pStyle w:val="Normal"/>
      </w:pPr>
      <w:r>
        <w:rPr>
          <w:b w:val="false"/>
        </w:rPr>
        <w:t>68-A.44. Whale-Presence Forecasting (Detection and Alerts). Eligible for domestic or cooperative implementation consistent with Chapter 68 safeguards.</w:t>
      </w:r>
    </w:p>
    <w:p>
      <w:pPr>
        <w:pStyle w:val="Normal"/>
      </w:pPr>
      <w:r>
        <w:rPr>
          <w:b w:val="false"/>
        </w:rPr>
        <w:t>68-A.45. Mariner Subscription Alerts (Detection and Alerts). Eligible for domestic or cooperative implementation consistent with Chapter 68 safeguards.</w:t>
      </w:r>
    </w:p>
    <w:p>
      <w:pPr>
        <w:pStyle w:val="Normal"/>
      </w:pPr>
      <w:r>
        <w:rPr>
          <w:b w:val="false"/>
        </w:rPr>
        <w:t>68-A.46. Regional Stranding Networks (Rescue and Health). Eligible for domestic or cooperative implementation consistent with Chapter 68 safeguards.</w:t>
      </w:r>
    </w:p>
    <w:p>
      <w:pPr>
        <w:pStyle w:val="Normal"/>
      </w:pPr>
      <w:r>
        <w:rPr>
          <w:b w:val="false"/>
        </w:rPr>
        <w:t>68-A.47. Large-Whale Disentanglement Teams (Rescue and Health). Eligible for domestic or cooperative implementation consistent with Chapter 68 safeguards.</w:t>
      </w:r>
    </w:p>
    <w:p>
      <w:pPr>
        <w:pStyle w:val="Normal"/>
      </w:pPr>
      <w:r>
        <w:rPr>
          <w:b w:val="false"/>
        </w:rPr>
        <w:t>68-A.48. Response Equipment Caches (Rescue and Health). Eligible for domestic or cooperative implementation consistent with Chapter 68 safeguards.</w:t>
      </w:r>
    </w:p>
    <w:p>
      <w:pPr>
        <w:pStyle w:val="Normal"/>
      </w:pPr>
      <w:r>
        <w:rPr>
          <w:b w:val="false"/>
        </w:rPr>
        <w:t>68-A.49. Cross-Border Emergency Assistance (Rescue and Health). Eligible for domestic or cooperative implementation consistent with Chapter 68 safeguards.</w:t>
      </w:r>
    </w:p>
    <w:p>
      <w:pPr>
        <w:pStyle w:val="Normal"/>
      </w:pPr>
      <w:r>
        <w:rPr>
          <w:b w:val="false"/>
        </w:rPr>
        <w:t>68-A.50. Responder Safety Standards (Rescue and Health). Eligible for domestic or cooperative implementation consistent with Chapter 68 safeguards.</w:t>
      </w:r>
    </w:p>
    <w:p>
      <w:pPr>
        <w:pStyle w:val="Normal"/>
      </w:pPr>
      <w:r>
        <w:rPr>
          <w:b w:val="false"/>
        </w:rPr>
        <w:t>68-A.51. Veterinary Teleconsultation (Rescue and Health). Eligible for domestic or cooperative implementation consistent with Chapter 68 safeguards.</w:t>
      </w:r>
    </w:p>
    <w:p>
      <w:pPr>
        <w:pStyle w:val="Normal"/>
      </w:pPr>
      <w:r>
        <w:rPr>
          <w:b w:val="false"/>
        </w:rPr>
        <w:t>68-A.52. Marine-Mammal Clinical Network (Rescue and Health). Eligible for domestic or cooperative implementation consistent with Chapter 68 safeguards.</w:t>
      </w:r>
    </w:p>
    <w:p>
      <w:pPr>
        <w:pStyle w:val="Normal"/>
      </w:pPr>
      <w:r>
        <w:rPr>
          <w:b w:val="false"/>
        </w:rPr>
        <w:t>68-A.53. Necropsy Protocols (Rescue and Health). Eligible for domestic or cooperative implementation consistent with Chapter 68 safeguards.</w:t>
      </w:r>
    </w:p>
    <w:p>
      <w:pPr>
        <w:pStyle w:val="Normal"/>
      </w:pPr>
      <w:r>
        <w:rPr>
          <w:b w:val="false"/>
        </w:rPr>
        <w:t>68-A.54. Tissue and Pathology Archives (Rescue and Health). Eligible for domestic or cooperative implementation consistent with Chapter 68 safeguards.</w:t>
      </w:r>
    </w:p>
    <w:p>
      <w:pPr>
        <w:pStyle w:val="Normal"/>
      </w:pPr>
      <w:r>
        <w:rPr>
          <w:b w:val="false"/>
        </w:rPr>
        <w:t>68-A.55. Cause-Of-Death Attribution (Rescue and Health). Eligible for domestic or cooperative implementation consistent with Chapter 68 safeguards.</w:t>
      </w:r>
    </w:p>
    <w:p>
      <w:pPr>
        <w:pStyle w:val="Normal"/>
      </w:pPr>
      <w:r>
        <w:rPr>
          <w:b w:val="false"/>
        </w:rPr>
        <w:t>68-A.56. Serious-Injury Determination (Rescue and Health). Eligible for domestic or cooperative implementation consistent with Chapter 68 safeguards.</w:t>
      </w:r>
    </w:p>
    <w:p>
      <w:pPr>
        <w:pStyle w:val="Normal"/>
      </w:pPr>
      <w:r>
        <w:rPr>
          <w:b w:val="false"/>
        </w:rPr>
        <w:t>68-A.57. Carcass Detection and Recovery (Rescue and Health). Eligible for domestic or cooperative implementation consistent with Chapter 68 safeguards.</w:t>
      </w:r>
    </w:p>
    <w:p>
      <w:pPr>
        <w:pStyle w:val="Normal"/>
      </w:pPr>
      <w:r>
        <w:rPr>
          <w:b w:val="false"/>
        </w:rPr>
        <w:t>68-A.58. Carcass Forensics (Rescue and Health). Eligible for domestic or cooperative implementation consistent with Chapter 68 safeguards.</w:t>
      </w:r>
    </w:p>
    <w:p>
      <w:pPr>
        <w:pStyle w:val="Normal"/>
      </w:pPr>
      <w:r>
        <w:rPr>
          <w:b w:val="false"/>
        </w:rPr>
        <w:t>68-A.59. Health-Index Monitoring (Rescue and Health). Eligible for domestic or cooperative implementation consistent with Chapter 68 safeguards.</w:t>
      </w:r>
    </w:p>
    <w:p>
      <w:pPr>
        <w:pStyle w:val="Normal"/>
      </w:pPr>
      <w:r>
        <w:rPr>
          <w:b w:val="false"/>
        </w:rPr>
        <w:t>68-A.60. Body-Condition Photogrammetry (Rescue and Health). Eligible for domestic or cooperative implementation consistent with Chapter 68 safeguards.</w:t>
      </w:r>
    </w:p>
    <w:p>
      <w:pPr>
        <w:pStyle w:val="Normal"/>
      </w:pPr>
      <w:r>
        <w:rPr>
          <w:b w:val="false"/>
        </w:rPr>
        <w:t>68-A.61. Disease Surveillance (Rescue and Health). Eligible for domestic or cooperative implementation consistent with Chapter 68 safeguards.</w:t>
      </w:r>
    </w:p>
    <w:p>
      <w:pPr>
        <w:pStyle w:val="Normal"/>
      </w:pPr>
      <w:r>
        <w:rPr>
          <w:b w:val="false"/>
        </w:rPr>
        <w:t>68-A.62. Captive-Cetacean Census (Captive Welfare and Sanctuary). Eligible for domestic or cooperative implementation consistent with Chapter 68 safeguards.</w:t>
      </w:r>
    </w:p>
    <w:p>
      <w:pPr>
        <w:pStyle w:val="Normal"/>
      </w:pPr>
      <w:r>
        <w:rPr>
          <w:b w:val="false"/>
        </w:rPr>
        <w:t>68-A.63. Baseline Care Standards (Captive Welfare and Sanctuary). Eligible for domestic or cooperative implementation consistent with Chapter 68 safeguards.</w:t>
      </w:r>
    </w:p>
    <w:p>
      <w:pPr>
        <w:pStyle w:val="Normal"/>
      </w:pPr>
      <w:r>
        <w:rPr>
          <w:b w:val="false"/>
        </w:rPr>
        <w:t>68-A.64. Independent Welfare Inspection (Captive Welfare and Sanctuary). Eligible for domestic or cooperative implementation consistent with Chapter 68 safeguards.</w:t>
      </w:r>
    </w:p>
    <w:p>
      <w:pPr>
        <w:pStyle w:val="Normal"/>
      </w:pPr>
      <w:r>
        <w:rPr>
          <w:b w:val="false"/>
        </w:rPr>
        <w:t>68-A.65. Water-Quality Monitoring (Captive Welfare and Sanctuary). Eligible for domestic or cooperative implementation consistent with Chapter 68 safeguards.</w:t>
      </w:r>
    </w:p>
    <w:p>
      <w:pPr>
        <w:pStyle w:val="Normal"/>
      </w:pPr>
      <w:r>
        <w:rPr>
          <w:b w:val="false"/>
        </w:rPr>
        <w:t>68-A.66. Nutrition and Feeding Review (Captive Welfare and Sanctuary). Eligible for domestic or cooperative implementation consistent with Chapter 68 safeguards.</w:t>
      </w:r>
    </w:p>
    <w:p>
      <w:pPr>
        <w:pStyle w:val="Normal"/>
      </w:pPr>
      <w:r>
        <w:rPr>
          <w:b w:val="false"/>
        </w:rPr>
        <w:t>68-A.67. Social-Group Compatibility Review (Captive Welfare and Sanctuary). Eligible for domestic or cooperative implementation consistent with Chapter 68 safeguards.</w:t>
      </w:r>
    </w:p>
    <w:p>
      <w:pPr>
        <w:pStyle w:val="Normal"/>
      </w:pPr>
      <w:r>
        <w:rPr>
          <w:b w:val="false"/>
        </w:rPr>
        <w:t>68-A.68. Environmental Enrichment (Captive Welfare and Sanctuary). Eligible for domestic or cooperative implementation consistent with Chapter 68 safeguards.</w:t>
      </w:r>
    </w:p>
    <w:p>
      <w:pPr>
        <w:pStyle w:val="Normal"/>
      </w:pPr>
      <w:r>
        <w:rPr>
          <w:b w:val="false"/>
        </w:rPr>
        <w:t>68-A.69. Emergency Care Planning (Captive Welfare and Sanctuary). Eligible for domestic or cooperative implementation consistent with Chapter 68 safeguards.</w:t>
      </w:r>
    </w:p>
    <w:p>
      <w:pPr>
        <w:pStyle w:val="Normal"/>
      </w:pPr>
      <w:r>
        <w:rPr>
          <w:b w:val="false"/>
        </w:rPr>
        <w:t>68-A.70. Transport Welfare Assessment (Captive Welfare and Sanctuary). Eligible for domestic or cooperative implementation consistent with Chapter 68 safeguards.</w:t>
      </w:r>
    </w:p>
    <w:p>
      <w:pPr>
        <w:pStyle w:val="Normal"/>
      </w:pPr>
      <w:r>
        <w:rPr>
          <w:b w:val="false"/>
        </w:rPr>
        <w:t>68-A.71. Individual Legacy-Animal Care Plans (Captive Welfare and Sanctuary). Eligible for domestic or cooperative implementation consistent with Chapter 68 safeguards.</w:t>
      </w:r>
    </w:p>
    <w:p>
      <w:pPr>
        <w:pStyle w:val="Normal"/>
      </w:pPr>
      <w:r>
        <w:rPr>
          <w:b w:val="false"/>
        </w:rPr>
        <w:t>68-A.72. Mortality and Serious-Incident Review (Captive Welfare and Sanctuary). Eligible for domestic or cooperative implementation consistent with Chapter 68 safeguards.</w:t>
      </w:r>
    </w:p>
    <w:p>
      <w:pPr>
        <w:pStyle w:val="Normal"/>
      </w:pPr>
      <w:r>
        <w:rPr>
          <w:b w:val="false"/>
        </w:rPr>
        <w:t>68-A.73. Qualified Sanctuary Eligibility (Captive Welfare and Sanctuary). Eligible for domestic or cooperative implementation consistent with Chapter 68 safeguards.</w:t>
      </w:r>
    </w:p>
    <w:p>
      <w:pPr>
        <w:pStyle w:val="Normal"/>
      </w:pPr>
      <w:r>
        <w:rPr>
          <w:b w:val="false"/>
        </w:rPr>
        <w:t>68-A.74. Sanctuary Veterinary Standards (Captive Welfare and Sanctuary). Eligible for domestic or cooperative implementation consistent with Chapter 68 safeguards.</w:t>
      </w:r>
    </w:p>
    <w:p>
      <w:pPr>
        <w:pStyle w:val="Normal"/>
      </w:pPr>
      <w:r>
        <w:rPr>
          <w:b w:val="false"/>
        </w:rPr>
        <w:t>68-A.75. Sanctuary Biosecurity (Captive Welfare and Sanctuary). Eligible for domestic or cooperative implementation consistent with Chapter 68 safeguards.</w:t>
      </w:r>
    </w:p>
    <w:p>
      <w:pPr>
        <w:pStyle w:val="Normal"/>
      </w:pPr>
      <w:r>
        <w:rPr>
          <w:b w:val="false"/>
        </w:rPr>
        <w:t>68-A.76. Civilian Underwater-Noise Baseline (Noise and Quieting). Eligible for domestic or cooperative implementation consistent with Chapter 68 safeguards.</w:t>
      </w:r>
    </w:p>
    <w:p>
      <w:pPr>
        <w:pStyle w:val="Normal"/>
      </w:pPr>
      <w:r>
        <w:rPr>
          <w:b w:val="false"/>
        </w:rPr>
        <w:t>68-A.77. Port Soundscape Monitoring (Noise and Quieting). Eligible for domestic or cooperative implementation consistent with Chapter 68 safeguards.</w:t>
      </w:r>
    </w:p>
    <w:p>
      <w:pPr>
        <w:pStyle w:val="Normal"/>
      </w:pPr>
      <w:r>
        <w:rPr>
          <w:b w:val="false"/>
        </w:rPr>
        <w:t>68-A.78. Construction-Noise Mitigation (Noise and Quieting). Eligible for domestic or cooperative implementation consistent with Chapter 68 safeguards.</w:t>
      </w:r>
    </w:p>
    <w:p>
      <w:pPr>
        <w:pStyle w:val="Normal"/>
      </w:pPr>
      <w:r>
        <w:rPr>
          <w:b w:val="false"/>
        </w:rPr>
        <w:t>68-A.79. Pile-Driving Mitigation (Noise and Quieting). Eligible for domestic or cooperative implementation consistent with Chapter 68 safeguards.</w:t>
      </w:r>
    </w:p>
    <w:p>
      <w:pPr>
        <w:pStyle w:val="Normal"/>
      </w:pPr>
      <w:r>
        <w:rPr>
          <w:b w:val="false"/>
        </w:rPr>
        <w:t>68-A.80. Dredging Acoustic Best Practices (Noise and Quieting). Eligible for domestic or cooperative implementation consistent with Chapter 68 safeguards.</w:t>
      </w:r>
    </w:p>
    <w:p>
      <w:pPr>
        <w:pStyle w:val="Normal"/>
      </w:pPr>
      <w:r>
        <w:rPr>
          <w:b w:val="false"/>
        </w:rPr>
        <w:t>68-A.81. Seismic Survey Mitigation (Noise and Quieting). Eligible for domestic or cooperative implementation consistent with Chapter 68 safeguards.</w:t>
      </w:r>
    </w:p>
    <w:p>
      <w:pPr>
        <w:pStyle w:val="Normal"/>
      </w:pPr>
      <w:r>
        <w:rPr>
          <w:b w:val="false"/>
        </w:rPr>
        <w:t>68-A.82. Quiet-Vessel Design Guidance (Noise and Quieting). Eligible for domestic or cooperative implementation consistent with Chapter 68 safeguards.</w:t>
      </w:r>
    </w:p>
    <w:p>
      <w:pPr>
        <w:pStyle w:val="Normal"/>
      </w:pPr>
      <w:r>
        <w:rPr>
          <w:b w:val="false"/>
        </w:rPr>
        <w:t>68-A.83. Propeller and Hull Retrofit Incentives (Noise and Quieting). Eligible for domestic or cooperative implementation consistent with Chapter 68 safeguards.</w:t>
      </w:r>
    </w:p>
    <w:p>
      <w:pPr>
        <w:pStyle w:val="Normal"/>
      </w:pPr>
      <w:r>
        <w:rPr>
          <w:b w:val="false"/>
        </w:rPr>
        <w:t>68-A.84. Cavitation-Reduction Practices (Noise and Quieting). Eligible for domestic or cooperative implementation consistent with Chapter 68 safeguards.</w:t>
      </w:r>
    </w:p>
    <w:p>
      <w:pPr>
        <w:pStyle w:val="Normal"/>
      </w:pPr>
      <w:r>
        <w:rPr>
          <w:b w:val="false"/>
        </w:rPr>
        <w:t>68-A.85. Maintenance-For-Quietness Programs (Noise and Quieting). Eligible for domestic or cooperative implementation consistent with Chapter 68 safeguards.</w:t>
      </w:r>
    </w:p>
    <w:p>
      <w:pPr>
        <w:pStyle w:val="Normal"/>
      </w:pPr>
      <w:r>
        <w:rPr>
          <w:b w:val="false"/>
        </w:rPr>
        <w:t>68-A.86. Quiet-Ferry Demonstration (Noise and Quieting). Eligible for domestic or cooperative implementation consistent with Chapter 68 safeguards.</w:t>
      </w:r>
    </w:p>
    <w:p>
      <w:pPr>
        <w:pStyle w:val="Normal"/>
      </w:pPr>
      <w:r>
        <w:rPr>
          <w:b w:val="false"/>
        </w:rPr>
        <w:t>68-A.87. Quiet-Tour-Vessel Certification (Noise and Quieting). Eligible for domestic or cooperative implementation consistent with Chapter 68 safeguards.</w:t>
      </w:r>
    </w:p>
    <w:p>
      <w:pPr>
        <w:pStyle w:val="Normal"/>
      </w:pPr>
      <w:r>
        <w:rPr>
          <w:b w:val="false"/>
        </w:rPr>
        <w:t>68-A.88. Green-Shipping-Corridor Whale Clauses (Noise and Quieting). Eligible for domestic or cooperative implementation consistent with Chapter 68 safeguards.</w:t>
      </w:r>
    </w:p>
    <w:p>
      <w:pPr>
        <w:pStyle w:val="Normal"/>
      </w:pPr>
      <w:r>
        <w:rPr>
          <w:b w:val="false"/>
        </w:rPr>
        <w:t>68-A.89. Shore-Power Noise Co-Benefits (Noise and Quieting). Eligible for domestic or cooperative implementation consistent with Chapter 68 safeguards.</w:t>
      </w:r>
    </w:p>
    <w:p>
      <w:pPr>
        <w:pStyle w:val="Normal"/>
      </w:pPr>
      <w:r>
        <w:rPr>
          <w:b w:val="false"/>
        </w:rPr>
        <w:t>68-A.90. Critical-Habitat Science Coordination (Ecosystem and Habitat). Eligible for domestic or cooperative implementation consistent with Chapter 68 safeguards.</w:t>
      </w:r>
    </w:p>
    <w:p>
      <w:pPr>
        <w:pStyle w:val="Normal"/>
      </w:pPr>
      <w:r>
        <w:rPr>
          <w:b w:val="false"/>
        </w:rPr>
        <w:t>68-A.91. Recovery-Corridor Mapping (Ecosystem and Habitat). Eligible for domestic or cooperative implementation consistent with Chapter 68 safeguards.</w:t>
      </w:r>
    </w:p>
    <w:p>
      <w:pPr>
        <w:pStyle w:val="Normal"/>
      </w:pPr>
      <w:r>
        <w:rPr>
          <w:b w:val="false"/>
        </w:rPr>
        <w:t>68-A.92. Climate-Refugia Identification (Ecosystem and Habitat). Eligible for domestic or cooperative implementation consistent with Chapter 68 safeguards.</w:t>
      </w:r>
    </w:p>
    <w:p>
      <w:pPr>
        <w:pStyle w:val="Normal"/>
      </w:pPr>
      <w:r>
        <w:rPr>
          <w:b w:val="false"/>
        </w:rPr>
        <w:t>68-A.93. Marine Protected Area Effectiveness Review (Ecosystem and Habitat). Eligible for domestic or cooperative implementation consistent with Chapter 68 safeguards.</w:t>
      </w:r>
    </w:p>
    <w:p>
      <w:pPr>
        <w:pStyle w:val="Normal"/>
      </w:pPr>
      <w:r>
        <w:rPr>
          <w:b w:val="false"/>
        </w:rPr>
        <w:t>68-A.94. Contaminant Burden Monitoring (Ecosystem and Habitat). Eligible for domestic or cooperative implementation consistent with Chapter 68 safeguards.</w:t>
      </w:r>
    </w:p>
    <w:p>
      <w:pPr>
        <w:pStyle w:val="Normal"/>
      </w:pPr>
      <w:r>
        <w:rPr>
          <w:b w:val="false"/>
        </w:rPr>
        <w:t>68-A.95. Pcb Source Reduction Cooperation (Ecosystem and Habitat). Eligible for domestic or cooperative implementation consistent with Chapter 68 safeguards.</w:t>
      </w:r>
    </w:p>
    <w:p>
      <w:pPr>
        <w:pStyle w:val="Normal"/>
      </w:pPr>
      <w:r>
        <w:rPr>
          <w:b w:val="false"/>
        </w:rPr>
        <w:t>68-A.96. PFAS Source Research and Control Cooperation (Ecosystem and Habitat). Eligible for domestic or cooperative implementation consistent with Chapter 68 safeguards.</w:t>
      </w:r>
    </w:p>
    <w:p>
      <w:pPr>
        <w:pStyle w:val="Normal"/>
      </w:pPr>
      <w:r>
        <w:rPr>
          <w:b w:val="false"/>
        </w:rPr>
        <w:t>68-A.97. Stormwater and Wastewater Co-Benefit Projects (Ecosystem and Habitat). Eligible for domestic or cooperative implementation consistent with Chapter 68 safeguards.</w:t>
      </w:r>
    </w:p>
    <w:p>
      <w:pPr>
        <w:pStyle w:val="Normal"/>
      </w:pPr>
      <w:r>
        <w:rPr>
          <w:b w:val="false"/>
        </w:rPr>
        <w:t>68-A.98. Plastic and Pellet-Loss Reduction (Ecosystem and Habitat). Eligible for domestic or cooperative implementation consistent with Chapter 68 safeguards.</w:t>
      </w:r>
    </w:p>
    <w:p>
      <w:pPr>
        <w:pStyle w:val="Normal"/>
      </w:pPr>
      <w:r>
        <w:rPr>
          <w:b w:val="false"/>
        </w:rPr>
        <w:t>68-A.99. Harmful-Algal-Bloom Monitoring (Ecosystem and Habitat). Eligible for domestic or cooperative implementation consistent with Chapter 68 safeguards.</w:t>
      </w:r>
    </w:p>
    <w:p>
      <w:pPr>
        <w:pStyle w:val="Normal"/>
      </w:pPr>
      <w:r>
        <w:rPr>
          <w:b w:val="false"/>
        </w:rPr>
        <w:t>68-A.100. Prey-Stock Monitoring (Ecosystem and Habitat). Eligible for domestic or cooperative implementation consistent with Chapter 68 safeguards.</w:t>
      </w:r>
    </w:p>
    <w:p>
      <w:pPr>
        <w:pStyle w:val="Normal"/>
      </w:pPr>
      <w:r>
        <w:rPr>
          <w:b w:val="false"/>
        </w:rPr>
        <w:t>68-A.101. Forage-Fish Ecosystem Assessment (Ecosystem and Habitat). Eligible for domestic or cooperative implementation consistent with Chapter 68 safeguards.</w:t>
      </w:r>
    </w:p>
    <w:p>
      <w:pPr>
        <w:pStyle w:val="Normal"/>
      </w:pPr>
      <w:r>
        <w:rPr>
          <w:b w:val="false"/>
        </w:rPr>
        <w:t>68-A.102. Salmon Habitat Restoration Linkage (Ecosystem and Habitat). Eligible for domestic or cooperative implementation consistent with Chapter 68 safeguards.</w:t>
      </w:r>
    </w:p>
    <w:p>
      <w:pPr>
        <w:pStyle w:val="Normal"/>
      </w:pPr>
      <w:r>
        <w:rPr>
          <w:b w:val="false"/>
        </w:rPr>
        <w:t>68-A.103. Estuary and Eelgrass Restoration (Ecosystem and Habitat). Eligible for domestic or cooperative implementation consistent with Chapter 68 safeguards.</w:t>
      </w:r>
    </w:p>
    <w:p>
      <w:pPr>
        <w:pStyle w:val="Normal"/>
      </w:pPr>
      <w:r>
        <w:rPr>
          <w:b w:val="false"/>
        </w:rPr>
        <w:t>68-A.104. Marine-Heatwave Response Planning (Ecosystem and Habitat). Eligible for domestic or cooperative implementation consistent with Chapter 68 safeguards.</w:t>
      </w:r>
    </w:p>
    <w:p>
      <w:pPr>
        <w:pStyle w:val="Normal"/>
      </w:pPr>
      <w:r>
        <w:rPr>
          <w:b w:val="false"/>
        </w:rPr>
        <w:t>68-A.105. Range-Shift Early Warning (Ecosystem and Habitat). Eligible for domestic or cooperative implementation consistent with Chapter 68 safeguards.</w:t>
      </w:r>
    </w:p>
    <w:p>
      <w:pPr>
        <w:pStyle w:val="Normal"/>
      </w:pPr>
      <w:r>
        <w:rPr>
          <w:b w:val="false"/>
        </w:rPr>
        <w:t>68-A.106. Whale-Safe Port Design Guidance (Ports Offshore and Communities). Eligible for domestic or cooperative implementation consistent with Chapter 68 safeguards.</w:t>
      </w:r>
    </w:p>
    <w:p>
      <w:pPr>
        <w:pStyle w:val="Normal"/>
      </w:pPr>
      <w:r>
        <w:rPr>
          <w:b w:val="false"/>
        </w:rPr>
        <w:t>68-A.107. Port Expansion Cetacean Assessment (Ports Offshore and Communities). Eligible for domestic or cooperative implementation consistent with Chapter 68 safeguards.</w:t>
      </w:r>
    </w:p>
    <w:p>
      <w:pPr>
        <w:pStyle w:val="Normal"/>
      </w:pPr>
      <w:r>
        <w:rPr>
          <w:b w:val="false"/>
        </w:rPr>
        <w:t>68-A.108. Terminal Acoustic Engineering (Ports Offshore and Communities). Eligible for domestic or cooperative implementation consistent with Chapter 68 safeguards.</w:t>
      </w:r>
    </w:p>
    <w:p>
      <w:pPr>
        <w:pStyle w:val="Normal"/>
      </w:pPr>
      <w:r>
        <w:rPr>
          <w:b w:val="false"/>
        </w:rPr>
        <w:t>68-A.109. Dredging Windows (Ports Offshore and Communities). Eligible for domestic or cooperative implementation consistent with Chapter 68 safeguards.</w:t>
      </w:r>
    </w:p>
    <w:p>
      <w:pPr>
        <w:pStyle w:val="Normal"/>
      </w:pPr>
      <w:r>
        <w:rPr>
          <w:b w:val="false"/>
        </w:rPr>
        <w:t>68-A.110. Cable-Landing Best Practices (Ports Offshore and Communities). Eligible for domestic or cooperative implementation consistent with Chapter 68 safeguards.</w:t>
      </w:r>
    </w:p>
    <w:p>
      <w:pPr>
        <w:pStyle w:val="Normal"/>
      </w:pPr>
      <w:r>
        <w:rPr>
          <w:b w:val="false"/>
        </w:rPr>
        <w:t>68-A.111. Offshore-Energy Wildlife Monitoring (Ports Offshore and Communities). Eligible for domestic or cooperative implementation consistent with Chapter 68 safeguards.</w:t>
      </w:r>
    </w:p>
    <w:p>
      <w:pPr>
        <w:pStyle w:val="Normal"/>
      </w:pPr>
      <w:r>
        <w:rPr>
          <w:b w:val="false"/>
        </w:rPr>
        <w:t>68-A.112. Construction-Window Planning (Ports Offshore and Communities). Eligible for domestic or cooperative implementation consistent with Chapter 68 safeguards.</w:t>
      </w:r>
    </w:p>
    <w:p>
      <w:pPr>
        <w:pStyle w:val="Normal"/>
      </w:pPr>
      <w:r>
        <w:rPr>
          <w:b w:val="false"/>
        </w:rPr>
        <w:t>68-A.113. Coastal-Development Guidance (Ports Offshore and Communities). Eligible for domestic or cooperative implementation consistent with Chapter 68 safeguards.</w:t>
      </w:r>
    </w:p>
    <w:p>
      <w:pPr>
        <w:pStyle w:val="Normal"/>
      </w:pPr>
      <w:r>
        <w:rPr>
          <w:b w:val="false"/>
        </w:rPr>
        <w:t>68-A.114. Small-Craft Harbour Quiet Zones (Ports Offshore and Communities). Eligible for domestic or cooperative implementation consistent with Chapter 68 safeguards.</w:t>
      </w:r>
    </w:p>
    <w:p>
      <w:pPr>
        <w:pStyle w:val="Normal"/>
      </w:pPr>
      <w:r>
        <w:rPr>
          <w:b w:val="false"/>
        </w:rPr>
        <w:t>68-A.115. Community Stewardship Partnerships (Ports Offshore and Communities). Eligible for domestic or cooperative implementation consistent with Chapter 68 safeguards.</w:t>
      </w:r>
    </w:p>
    <w:p>
      <w:pPr>
        <w:pStyle w:val="Normal"/>
      </w:pPr>
      <w:r>
        <w:rPr>
          <w:b w:val="false"/>
        </w:rPr>
        <w:t>68-A.116. Whale-Safe Tourism Certification (Ports Offshore and Communities). Eligible for domestic or cooperative implementation consistent with Chapter 68 safeguards.</w:t>
      </w:r>
    </w:p>
    <w:p>
      <w:pPr>
        <w:pStyle w:val="Normal"/>
      </w:pPr>
      <w:r>
        <w:rPr>
          <w:b w:val="false"/>
        </w:rPr>
        <w:t>68-A.117. Tour-Operator Training (Ports Offshore and Communities). Eligible for domestic or cooperative implementation consistent with Chapter 68 safeguards.</w:t>
      </w:r>
    </w:p>
    <w:p>
      <w:pPr>
        <w:pStyle w:val="Normal"/>
      </w:pPr>
      <w:r>
        <w:rPr>
          <w:b w:val="false"/>
        </w:rPr>
        <w:t>68-A.118. Indigenous Guardian Support (Ports Offshore and Communities). Eligible for domestic or cooperative implementation consistent with Chapter 68 safeguards.</w:t>
      </w:r>
    </w:p>
    <w:p>
      <w:pPr>
        <w:pStyle w:val="Normal"/>
      </w:pPr>
      <w:r>
        <w:rPr>
          <w:b w:val="false"/>
        </w:rPr>
        <w:t>68-A.119. Indigenous Hydrophone Programs (Ports Offshore and Communities). Eligible for domestic or cooperative implementation consistent with Chapter 68 safeguards.</w:t>
      </w:r>
    </w:p>
    <w:p>
      <w:pPr>
        <w:pStyle w:val="Normal"/>
      </w:pPr>
      <w:r>
        <w:rPr>
          <w:b w:val="false"/>
        </w:rPr>
        <w:t>68-A.120. Standardized Research Metadata (Science Governance and Enforcement). Eligible for domestic or cooperative implementation consistent with Chapter 68 safeguards.</w:t>
      </w:r>
    </w:p>
    <w:p>
      <w:pPr>
        <w:pStyle w:val="Normal"/>
      </w:pPr>
      <w:r>
        <w:rPr>
          <w:b w:val="false"/>
        </w:rPr>
        <w:t>68-A.121. Cross-Border Research Permit Coordination (Science Governance and Enforcement). Eligible for domestic or cooperative implementation consistent with Chapter 68 safeguards.</w:t>
      </w:r>
    </w:p>
    <w:p>
      <w:pPr>
        <w:pStyle w:val="Normal"/>
      </w:pPr>
      <w:r>
        <w:rPr>
          <w:b w:val="false"/>
        </w:rPr>
        <w:t>68-A.122. Population-Model Federation (Science Governance and Enforcement). Eligible for domestic or cooperative implementation consistent with Chapter 68 safeguards.</w:t>
      </w:r>
    </w:p>
    <w:p>
      <w:pPr>
        <w:pStyle w:val="Normal"/>
      </w:pPr>
      <w:r>
        <w:rPr>
          <w:b w:val="false"/>
        </w:rPr>
        <w:t>68-A.123. Population Viability Analysis (Science Governance and Enforcement). Eligible for domestic or cooperative implementation consistent with Chapter 68 safeguards.</w:t>
      </w:r>
    </w:p>
    <w:p>
      <w:pPr>
        <w:pStyle w:val="Normal"/>
      </w:pPr>
      <w:r>
        <w:rPr>
          <w:b w:val="false"/>
        </w:rPr>
        <w:t>68-A.124. Calf-Production Sentinel Metric (Science Governance and Enforcement). Eligible for domestic or cooperative implementation consistent with Chapter 68 safeguards.</w:t>
      </w:r>
    </w:p>
    <w:p>
      <w:pPr>
        <w:pStyle w:val="Normal"/>
      </w:pPr>
      <w:r>
        <w:rPr>
          <w:b w:val="false"/>
        </w:rPr>
        <w:t>68-A.125. Adult-Female Survival Metric (Science Governance and Enforcement). Eligible for domestic or cooperative implementation consistent with Chapter 68 safeguards.</w:t>
      </w:r>
    </w:p>
    <w:p>
      <w:pPr>
        <w:pStyle w:val="Normal"/>
      </w:pPr>
      <w:r>
        <w:rPr>
          <w:b w:val="false"/>
        </w:rPr>
        <w:t>68-A.126. Counterfactual Management Evaluation (Science Governance and Enforcement). Eligible for domestic or cooperative implementation consistent with Chapter 68 safeguards.</w:t>
      </w:r>
    </w:p>
    <w:p>
      <w:pPr>
        <w:pStyle w:val="Normal"/>
      </w:pPr>
      <w:r>
        <w:rPr>
          <w:b w:val="false"/>
        </w:rPr>
        <w:t>68-A.127. Effect-Size and Uncertainty Reporting (Science Governance and Enforcement). Eligible for domestic or cooperative implementation consistent with Chapter 68 safeguards.</w:t>
      </w:r>
    </w:p>
    <w:p>
      <w:pPr>
        <w:pStyle w:val="Normal"/>
      </w:pPr>
      <w:r>
        <w:rPr>
          <w:b w:val="false"/>
        </w:rPr>
        <w:t>68-A.128. Replication and Robustness Program (Science Governance and Enforcement). Eligible for domestic or cooperative implementation consistent with Chapter 68 safeguards.</w:t>
      </w:r>
    </w:p>
    <w:p>
      <w:pPr>
        <w:pStyle w:val="Normal"/>
      </w:pPr>
      <w:r>
        <w:rPr>
          <w:b w:val="false"/>
        </w:rPr>
        <w:t>68-A.129. Pre-Registration of Major Evaluations (Science Governance and Enforcement). Eligible for domestic or cooperative implementation consistent with Chapter 68 safeguards.</w:t>
      </w:r>
    </w:p>
    <w:p>
      <w:pPr>
        <w:pStyle w:val="Normal"/>
      </w:pPr>
      <w:r>
        <w:rPr>
          <w:b w:val="false"/>
        </w:rPr>
        <w:t>68-A.130. Independent Statistical Review (Science Governance and Enforcement). Eligible for domestic or cooperative implementation consistent with Chapter 68 safeguards.</w:t>
      </w:r>
    </w:p>
    <w:p>
      <w:pPr>
        <w:pStyle w:val="Normal"/>
      </w:pPr>
      <w:r>
        <w:rPr>
          <w:b w:val="false"/>
        </w:rPr>
        <w:t>68-A.131. Open-Model Repository (Science Governance and Enforcement). Eligible for domestic or cooperative implementation consistent with Chapter 68 safeguards.</w:t>
      </w:r>
    </w:p>
    <w:p>
      <w:pPr>
        <w:pStyle w:val="Normal"/>
      </w:pPr>
      <w:r>
        <w:rPr>
          <w:b w:val="false"/>
        </w:rPr>
        <w:t>68-A.132. Management-Strategy Evaluation (Science Governance and Enforcement). Eligible for domestic or cooperative implementation consistent with Chapter 68 safeguards.</w:t>
      </w:r>
    </w:p>
    <w:p>
      <w:pPr>
        <w:pStyle w:val="Normal"/>
      </w:pPr>
      <w:r>
        <w:rPr>
          <w:b w:val="false"/>
        </w:rPr>
        <w:t>68-A.133. Threshold-And-Trigger Research (Science Governance and Enforcement). Eligible for domestic or cooperative implementation consistent with Chapter 68 safeguards.</w:t>
      </w:r>
    </w:p>
    <w:p>
      <w:pPr>
        <w:pStyle w:val="Normal"/>
      </w:pPr>
      <w:r>
        <w:rPr>
          <w:b w:val="false"/>
        </w:rPr>
        <w:t>68-A.134. Annual Methodology Appendix (Science Governance and Enforcement). Eligible for domestic or cooperative implementation consistent with Chapter 68 safeguards.</w:t>
      </w:r>
    </w:p>
    <w:p>
      <w:pPr>
        <w:pStyle w:val="Normal"/>
      </w:pPr>
      <w:r>
        <w:rPr>
          <w:b w:val="false"/>
        </w:rPr>
        <w:t>68-A.135. Recovery-Definition Standard (Science Governance and Enforcement). Eligible for domestic or cooperative implementation consistent with Chapter 68 safeguards.</w:t>
      </w:r>
    </w:p>
    <w:p>
      <w:pPr>
        <w:pStyle w:val="Normal"/>
      </w:pPr>
      <w:r>
        <w:rPr>
          <w:b w:val="false"/>
        </w:rPr>
        <w:t>68-A.136. Failure-Transparency Reporting (Science Governance and Enforcement). Eligible for domestic or cooperative implementation consistent with Chapter 68 safeguards.</w:t>
      </w:r>
    </w:p>
    <w:p>
      <w:pPr>
        <w:pStyle w:val="Normal"/>
      </w:pPr>
      <w:r>
        <w:rPr>
          <w:b w:val="false"/>
        </w:rPr>
        <w:t>68-A.137. Compliance Education (Science Governance and Enforcement). Eligible for domestic or cooperative implementation consistent with Chapter 68 safeguards.</w:t>
      </w:r>
    </w:p>
    <w:p>
      <w:pPr>
        <w:pStyle w:val="Normal"/>
      </w:pPr>
      <w:r>
        <w:rPr>
          <w:b w:val="false"/>
        </w:rPr>
        <w:t>68-A.138. Proportionate Penalties (Science Governance and Enforcement). Eligible for domestic or cooperative implementation consistent with Chapter 68 safeguards.</w:t>
      </w:r>
    </w:p>
    <w:p>
      <w:pPr>
        <w:pStyle w:val="Normal"/>
      </w:pPr>
      <w:r>
        <w:rPr>
          <w:b w:val="false"/>
        </w:rPr>
        <w:t>68-A.139. Enforcement Data Cooperation (Science Governance and Enforcement). Eligible for domestic or cooperative implementation consistent with Chapter 68 safeguards.</w:t>
      </w:r>
    </w:p>
    <w:p>
      <w:pPr>
        <w:pStyle w:val="Heading2"/>
      </w:pPr>
      <w:bookmarkStart w:id="902241" w:name="_Toc300002240"/>
      <w:r>
        <w:t>ANNEX 68-B: INITIAL SPECIES, GEOGRAPHIC AND PROGRAM SCHEDULE (90 ACTIVE CANDIDATES)</w:t>
      </w:r>
      <w:bookmarkEnd w:id="902241"/>
    </w:p>
    <w:p>
      <w:pPr>
        <w:pStyle w:val="Normal"/>
      </w:pPr>
      <w:r>
        <w:rPr>
          <w:b w:val="false"/>
        </w:rPr>
        <w:t>Schedule status is descriptive, not a guarantee of funding, project approval or biological outcome. Named programs shall proceed only through competent authorities and applicable legal, scientific, rights, environmental and budget processes.</w:t>
      </w:r>
    </w:p>
    <w:p>
      <w:pPr>
        <w:pStyle w:val="Normal"/>
      </w:pPr>
      <w:r>
        <w:rPr>
          <w:b w:val="false"/>
        </w:rPr>
        <w:t>68-B.1. [FLAGSHIP] Great Whale Compact. Initial schedule candidate; status shall be verified under Annex 68-E before represented as a completed or funded achievement.</w:t>
      </w:r>
    </w:p>
    <w:p>
      <w:pPr>
        <w:pStyle w:val="Normal"/>
      </w:pPr>
      <w:r>
        <w:rPr>
          <w:b w:val="false"/>
        </w:rPr>
        <w:t>68-B.2. [FLAGSHIP] Continental Listening Network. Initial schedule candidate; status shall be verified under Annex 68-E before represented as a completed or funded achievement.</w:t>
      </w:r>
    </w:p>
    <w:p>
      <w:pPr>
        <w:pStyle w:val="Normal"/>
      </w:pPr>
      <w:r>
        <w:rPr>
          <w:b w:val="false"/>
        </w:rPr>
        <w:t>68-B.3. [FLAGSHIP] North Atlantic Right Whale Safe Passage. Initial schedule candidate; status shall be verified under Annex 68-E before represented as a completed or funded achievement.</w:t>
      </w:r>
    </w:p>
    <w:p>
      <w:pPr>
        <w:pStyle w:val="Normal"/>
      </w:pPr>
      <w:r>
        <w:rPr>
          <w:b w:val="false"/>
        </w:rPr>
        <w:t>68-B.4. [FLAGSHIP] Untangled North America. Initial schedule candidate; status shall be verified under Annex 68-E before represented as a completed or funded achievement.</w:t>
      </w:r>
    </w:p>
    <w:p>
      <w:pPr>
        <w:pStyle w:val="Normal"/>
      </w:pPr>
      <w:r>
        <w:rPr>
          <w:b w:val="false"/>
        </w:rPr>
        <w:t>68-B.5. [FLAGSHIP] Quiet Passage Corridors. Initial schedule candidate; status shall be verified under Annex 68-E before represented as a completed or funded achievement.</w:t>
      </w:r>
    </w:p>
    <w:p>
      <w:pPr>
        <w:pStyle w:val="Normal"/>
      </w:pPr>
      <w:r>
        <w:rPr>
          <w:b w:val="false"/>
        </w:rPr>
        <w:t>68-B.6. [FLAGSHIP] Southern Resident Orca Recovery Corridor. Initial schedule candidate; status shall be verified under Annex 68-E before represented as a completed or funded achievement.</w:t>
      </w:r>
    </w:p>
    <w:p>
      <w:pPr>
        <w:pStyle w:val="Normal"/>
      </w:pPr>
      <w:r>
        <w:rPr>
          <w:b w:val="false"/>
        </w:rPr>
        <w:t>68-B.7. [FLAGSHIP] Beluga Estuary Initiative. Initial schedule candidate; status shall be verified under Annex 68-E before represented as a completed or funded achievement.</w:t>
      </w:r>
    </w:p>
    <w:p>
      <w:pPr>
        <w:pStyle w:val="Normal"/>
      </w:pPr>
      <w:r>
        <w:rPr>
          <w:b w:val="false"/>
        </w:rPr>
        <w:t>68-B.8. [FLAGSHIP] Three Lagoons Grey Whale Partnership. Initial schedule candidate; status shall be verified under Annex 68-E before represented as a completed or funded achievement.</w:t>
      </w:r>
    </w:p>
    <w:p>
      <w:pPr>
        <w:pStyle w:val="Normal"/>
      </w:pPr>
      <w:r>
        <w:rPr>
          <w:b w:val="false"/>
        </w:rPr>
        <w:t>68-B.9. [FLAGSHIP] Whale Rescue Network. Initial schedule candidate; status shall be verified under Annex 68-E before represented as a completed or funded achievement.</w:t>
      </w:r>
    </w:p>
    <w:p>
      <w:pPr>
        <w:pStyle w:val="Normal"/>
      </w:pPr>
      <w:r>
        <w:rPr>
          <w:b w:val="false"/>
        </w:rPr>
        <w:t>68-B.10. [FLAGSHIP] Sea to Sanctuary Pathway. Initial schedule candidate; status shall be verified under Annex 68-E before represented as a completed or funded achievement.</w:t>
      </w:r>
    </w:p>
    <w:p>
      <w:pPr>
        <w:pStyle w:val="Normal"/>
      </w:pPr>
      <w:r>
        <w:rPr>
          <w:b w:val="false"/>
        </w:rPr>
        <w:t>68-B.11. [FLAGSHIP] Last Generation Captive Cetacean Initiative. Initial schedule candidate; status shall be verified under Annex 68-E before represented as a completed or funded achievement.</w:t>
      </w:r>
    </w:p>
    <w:p>
      <w:pPr>
        <w:pStyle w:val="Normal"/>
      </w:pPr>
      <w:r>
        <w:rPr>
          <w:b w:val="false"/>
        </w:rPr>
        <w:t>68-B.12. [FLAGSHIP] Beluga Health and Nutrition Science Initiative. Initial schedule candidate; status shall be verified under Annex 68-E before represented as a completed or funded achievement.</w:t>
      </w:r>
    </w:p>
    <w:p>
      <w:pPr>
        <w:pStyle w:val="Normal"/>
      </w:pPr>
      <w:r>
        <w:rPr>
          <w:b w:val="false"/>
        </w:rPr>
        <w:t>68-B.13. [FLAGSHIP] Whale-Safe Ports. Initial schedule candidate; status shall be verified under Annex 68-E before represented as a completed or funded achievement.</w:t>
      </w:r>
    </w:p>
    <w:p>
      <w:pPr>
        <w:pStyle w:val="Normal"/>
      </w:pPr>
      <w:r>
        <w:rPr>
          <w:b w:val="false"/>
        </w:rPr>
        <w:t>68-B.14. [FLAGSHIP] Quiet Fleet Initiative. Initial schedule candidate; status shall be verified under Annex 68-E before represented as a completed or funded achievement.</w:t>
      </w:r>
    </w:p>
    <w:p>
      <w:pPr>
        <w:pStyle w:val="Normal"/>
      </w:pPr>
      <w:r>
        <w:rPr>
          <w:b w:val="false"/>
        </w:rPr>
        <w:t>68-B.15. [FLAGSHIP] Great Whale Map. Initial schedule candidate; status shall be verified under Annex 68-E before represented as a completed or funded achievement.</w:t>
      </w:r>
    </w:p>
    <w:p>
      <w:pPr>
        <w:pStyle w:val="Normal"/>
      </w:pPr>
      <w:r>
        <w:rPr>
          <w:b w:val="false"/>
        </w:rPr>
        <w:t>68-B.16. [FLAGSHIP] State of the Whales Scorecard. Initial schedule candidate; status shall be verified under Annex 68-E before represented as a completed or funded achievement.</w:t>
      </w:r>
    </w:p>
    <w:p>
      <w:pPr>
        <w:pStyle w:val="Normal"/>
      </w:pPr>
      <w:r>
        <w:rPr>
          <w:b w:val="false"/>
        </w:rPr>
        <w:t>68-B.17. [FLAGSHIP] Arctic Cetacean Stewardship Network. Initial schedule candidate; status shall be verified under Annex 68-E before represented as a completed or funded achievement.</w:t>
      </w:r>
    </w:p>
    <w:p>
      <w:pPr>
        <w:pStyle w:val="Normal"/>
      </w:pPr>
      <w:r>
        <w:rPr>
          <w:b w:val="false"/>
        </w:rPr>
        <w:t>68-B.18. [FLAGSHIP] Pacific Giants Highway. Initial schedule candidate; status shall be verified under Annex 68-E before represented as a completed or funded achievement.</w:t>
      </w:r>
    </w:p>
    <w:p>
      <w:pPr>
        <w:pStyle w:val="Normal"/>
      </w:pPr>
      <w:r>
        <w:rPr>
          <w:b w:val="false"/>
        </w:rPr>
        <w:t>68-B.19. [FLAGSHIP] Gulf of California Cetacean Network. Initial schedule candidate; status shall be verified under Annex 68-E before represented as a completed or funded achievement.</w:t>
      </w:r>
    </w:p>
    <w:p>
      <w:pPr>
        <w:pStyle w:val="Normal"/>
      </w:pPr>
      <w:r>
        <w:rPr>
          <w:b w:val="false"/>
        </w:rPr>
        <w:t>68-B.20. [FLAGSHIP] Whale-Safe Fisheries Transition. Initial schedule candidate; status shall be verified under Annex 68-E before represented as a completed or funded achievement.</w:t>
      </w:r>
    </w:p>
    <w:p>
      <w:pPr>
        <w:pStyle w:val="Normal"/>
      </w:pPr>
      <w:r>
        <w:rPr>
          <w:b w:val="false"/>
        </w:rPr>
        <w:t>68-B.21. [FLAGSHIP] Indigenous-Led Whale Stewardship. Initial schedule candidate; status shall be verified under Annex 68-E before represented as a completed or funded achievement.</w:t>
      </w:r>
    </w:p>
    <w:p>
      <w:pPr>
        <w:pStyle w:val="Normal"/>
      </w:pPr>
      <w:r>
        <w:rPr>
          <w:b w:val="false"/>
        </w:rPr>
        <w:t>68-B.22. [FLAGSHIP] Clean Waters, Full Tables. Initial schedule candidate; status shall be verified under Annex 68-E before represented as a completed or funded achievement.</w:t>
      </w:r>
    </w:p>
    <w:p>
      <w:pPr>
        <w:pStyle w:val="Normal"/>
      </w:pPr>
      <w:r>
        <w:rPr>
          <w:b w:val="false"/>
        </w:rPr>
        <w:t>68-B.23. [FLAGSHIP] Moving Corridors. Initial schedule candidate; status shall be verified under Annex 68-E before represented as a completed or funded achievement.</w:t>
      </w:r>
    </w:p>
    <w:p>
      <w:pPr>
        <w:pStyle w:val="Normal"/>
      </w:pPr>
      <w:r>
        <w:rPr>
          <w:b w:val="false"/>
        </w:rPr>
        <w:t>68-B.24. [FLAGSHIP] Cetacean Emergency Recovery Mechanism. Initial schedule candidate; status shall be verified under Annex 68-E before represented as a completed or funded achievement.</w:t>
      </w:r>
    </w:p>
    <w:p>
      <w:pPr>
        <w:pStyle w:val="Normal"/>
      </w:pPr>
      <w:r>
        <w:rPr>
          <w:b w:val="false"/>
        </w:rPr>
        <w:t>68-B.25. [ANCHOR] Dynamic Vessel Management Platform. Initial schedule candidate; status shall be verified under Annex 68-E before represented as a completed or funded achievement.</w:t>
      </w:r>
    </w:p>
    <w:p>
      <w:pPr>
        <w:pStyle w:val="Normal"/>
      </w:pPr>
      <w:r>
        <w:rPr>
          <w:b w:val="false"/>
        </w:rPr>
        <w:t>68-B.26. [ANCHOR] AIS Compliance and Strike Reporting System. Initial schedule candidate; status shall be verified under Annex 68-E before represented as a completed or funded achievement.</w:t>
      </w:r>
    </w:p>
    <w:p>
      <w:pPr>
        <w:pStyle w:val="Normal"/>
      </w:pPr>
      <w:r>
        <w:rPr>
          <w:b w:val="false"/>
        </w:rPr>
        <w:t>68-B.27. [ANCHOR] Real-Time Detection-to-Bridge Alert Standard. Initial schedule candidate; status shall be verified under Annex 68-E before represented as a completed or funded achievement.</w:t>
      </w:r>
    </w:p>
    <w:p>
      <w:pPr>
        <w:pStyle w:val="Normal"/>
      </w:pPr>
      <w:r>
        <w:rPr>
          <w:b w:val="false"/>
        </w:rPr>
        <w:t>68-B.28. [ANCHOR] Ropeless Gear Approval and Certification Track. Initial schedule candidate; status shall be verified under Annex 68-E before represented as a completed or funded achievement.</w:t>
      </w:r>
    </w:p>
    <w:p>
      <w:pPr>
        <w:pStyle w:val="Normal"/>
      </w:pPr>
      <w:r>
        <w:rPr>
          <w:b w:val="false"/>
        </w:rPr>
        <w:t>68-B.29. [ANCHOR] Virtual Gear Marking Architecture. Initial schedule candidate; status shall be verified under Annex 68-E before represented as a completed or funded achievement.</w:t>
      </w:r>
    </w:p>
    <w:p>
      <w:pPr>
        <w:pStyle w:val="Normal"/>
      </w:pPr>
      <w:r>
        <w:rPr>
          <w:b w:val="false"/>
        </w:rPr>
        <w:t>68-B.30. [ANCHOR] Ghost-Gear Traceability Network. Initial schedule candidate; status shall be verified under Annex 68-E before represented as a completed or funded achievement.</w:t>
      </w:r>
    </w:p>
    <w:p>
      <w:pPr>
        <w:pStyle w:val="Normal"/>
      </w:pPr>
      <w:r>
        <w:rPr>
          <w:b w:val="false"/>
        </w:rPr>
        <w:t>68-B.31. [ANCHOR] Fisher Transition Finance Facility. Initial schedule candidate; status shall be verified under Annex 68-E before represented as a completed or funded achievement.</w:t>
      </w:r>
    </w:p>
    <w:p>
      <w:pPr>
        <w:pStyle w:val="Normal"/>
      </w:pPr>
      <w:r>
        <w:rPr>
          <w:b w:val="false"/>
        </w:rPr>
        <w:t>68-B.32. [ANCHOR] Acoustic Habitat Quality Network. Initial schedule candidate; status shall be verified under Annex 68-E before represented as a completed or funded achievement.</w:t>
      </w:r>
    </w:p>
    <w:p>
      <w:pPr>
        <w:pStyle w:val="Normal"/>
      </w:pPr>
      <w:r>
        <w:rPr>
          <w:b w:val="false"/>
        </w:rPr>
        <w:t>68-B.33. [ANCHOR] Quiet-Vessel Retrofit Accelerator. Initial schedule candidate; status shall be verified under Annex 68-E before represented as a completed or funded achievement.</w:t>
      </w:r>
    </w:p>
    <w:p>
      <w:pPr>
        <w:pStyle w:val="Normal"/>
      </w:pPr>
      <w:r>
        <w:rPr>
          <w:b w:val="false"/>
        </w:rPr>
        <w:t>68-B.34. [ANCHOR] Cetacean Carcass Forensics Network. Initial schedule candidate; status shall be verified under Annex 68-E before represented as a completed or funded achievement.</w:t>
      </w:r>
    </w:p>
    <w:p>
      <w:pPr>
        <w:pStyle w:val="Normal"/>
      </w:pPr>
      <w:r>
        <w:rPr>
          <w:b w:val="false"/>
        </w:rPr>
        <w:t>68-B.35. [ANCHOR] Marine Mammal Necropsy and Tissue Archive. Initial schedule candidate; status shall be verified under Annex 68-E before represented as a completed or funded achievement.</w:t>
      </w:r>
    </w:p>
    <w:p>
      <w:pPr>
        <w:pStyle w:val="Normal"/>
      </w:pPr>
      <w:r>
        <w:rPr>
          <w:b w:val="false"/>
        </w:rPr>
        <w:t>68-B.36. [ANCHOR] Captive Cetacean Welfare Standard. Initial schedule candidate; status shall be verified under Annex 68-E before represented as a completed or funded achievement.</w:t>
      </w:r>
    </w:p>
    <w:p>
      <w:pPr>
        <w:pStyle w:val="Normal"/>
      </w:pPr>
      <w:r>
        <w:rPr>
          <w:b w:val="false"/>
        </w:rPr>
        <w:t>68-B.37. [ANCHOR] Sanctuary Eligibility and Transfer Assessment. Initial schedule candidate; status shall be verified under Annex 68-E before represented as a completed or funded achievement.</w:t>
      </w:r>
    </w:p>
    <w:p>
      <w:pPr>
        <w:pStyle w:val="Normal"/>
      </w:pPr>
      <w:r>
        <w:rPr>
          <w:b w:val="false"/>
        </w:rPr>
        <w:t>68-B.38. [ANCHOR] Recovery-Plan Implementation Audit. Initial schedule candidate; status shall be verified under Annex 68-E before represented as a completed or funded achievement.</w:t>
      </w:r>
    </w:p>
    <w:p>
      <w:pPr>
        <w:pStyle w:val="Normal"/>
      </w:pPr>
      <w:r>
        <w:rPr>
          <w:b w:val="false"/>
        </w:rPr>
        <w:t>68-B.39. [ANCHOR] Cetacean Prey Monitoring Network. Initial schedule candidate; status shall be verified under Annex 68-E before represented as a completed or funded achievement.</w:t>
      </w:r>
    </w:p>
    <w:p>
      <w:pPr>
        <w:pStyle w:val="Normal"/>
      </w:pPr>
      <w:r>
        <w:rPr>
          <w:b w:val="false"/>
        </w:rPr>
        <w:t>68-B.40. [ANCHOR] Contaminant Burden Monitoring Network. Initial schedule candidate; status shall be verified under Annex 68-E before represented as a completed or funded achievement.</w:t>
      </w:r>
    </w:p>
    <w:p>
      <w:pPr>
        <w:pStyle w:val="Normal"/>
      </w:pPr>
      <w:r>
        <w:rPr>
          <w:b w:val="false"/>
        </w:rPr>
        <w:t>68-B.41. [ANCHOR] Climate Range-Shift Early Warning System. Initial schedule candidate; status shall be verified under Annex 68-E before represented as a completed or funded achievement.</w:t>
      </w:r>
    </w:p>
    <w:p>
      <w:pPr>
        <w:pStyle w:val="Normal"/>
      </w:pPr>
      <w:r>
        <w:rPr>
          <w:b w:val="false"/>
        </w:rPr>
        <w:t>68-B.42. [ANCHOR] Whale-Sensitive Offshore Project Assessment. Initial schedule candidate; status shall be verified under Annex 68-E before represented as a completed or funded achievement.</w:t>
      </w:r>
    </w:p>
    <w:p>
      <w:pPr>
        <w:pStyle w:val="Normal"/>
      </w:pPr>
      <w:r>
        <w:rPr>
          <w:b w:val="false"/>
        </w:rPr>
        <w:t>68-B.43. [ANCHOR] Port Whale-Alert Integration. Initial schedule candidate; status shall be verified under Annex 68-E before represented as a completed or funded achievement.</w:t>
      </w:r>
    </w:p>
    <w:p>
      <w:pPr>
        <w:pStyle w:val="Normal"/>
      </w:pPr>
      <w:r>
        <w:rPr>
          <w:b w:val="false"/>
        </w:rPr>
        <w:t>68-B.44. [ANCHOR] Indigenous Cetacean Data Governance Framework. Initial schedule candidate; status shall be verified under Annex 68-E before represented as a completed or funded achievement.</w:t>
      </w:r>
    </w:p>
    <w:p>
      <w:pPr>
        <w:pStyle w:val="Normal"/>
      </w:pPr>
      <w:r>
        <w:rPr>
          <w:b w:val="false"/>
        </w:rPr>
        <w:t>68-B.45. [ANCHOR] Cross-Border Cetacean Research Permit Track. Initial schedule candidate; status shall be verified under Annex 68-E before represented as a completed or funded achievement.</w:t>
      </w:r>
    </w:p>
    <w:p>
      <w:pPr>
        <w:pStyle w:val="Normal"/>
      </w:pPr>
      <w:r>
        <w:rPr>
          <w:b w:val="false"/>
        </w:rPr>
        <w:t>68-B.46. [ANCHOR] Population Model Federation. Initial schedule candidate; status shall be verified under Annex 68-E before represented as a completed or funded achievement.</w:t>
      </w:r>
    </w:p>
    <w:p>
      <w:pPr>
        <w:pStyle w:val="Normal"/>
      </w:pPr>
      <w:r>
        <w:rPr>
          <w:b w:val="false"/>
        </w:rPr>
        <w:t>68-B.47. [ANCHOR] Long-Term Monitoring Continuity Plan. Initial schedule candidate; status shall be verified under Annex 68-E before represented as a completed or funded achievement.</w:t>
      </w:r>
    </w:p>
    <w:p>
      <w:pPr>
        <w:pStyle w:val="Normal"/>
      </w:pPr>
      <w:r>
        <w:rPr>
          <w:b w:val="false"/>
        </w:rPr>
        <w:t>68-B.48. [ANCHOR] Public Methodology and Uncertainty Standard. Initial schedule candidate; status shall be verified under Annex 68-E before represented as a completed or funded achievement.</w:t>
      </w:r>
    </w:p>
    <w:p>
      <w:pPr>
        <w:pStyle w:val="Normal"/>
      </w:pPr>
      <w:r>
        <w:rPr>
          <w:b w:val="false"/>
        </w:rPr>
        <w:t>68-B.49. [ANCHOR] Species Status Reassessment Cycle. Initial schedule candidate; status shall be verified under Annex 68-E before represented as a completed or funded achievement.</w:t>
      </w:r>
    </w:p>
    <w:p>
      <w:pPr>
        <w:pStyle w:val="Normal"/>
      </w:pPr>
      <w:r>
        <w:rPr>
          <w:b w:val="false"/>
        </w:rPr>
        <w:t>68-B.50. [ANCHOR] Mexico Cetacean Technical Capacity Partnership. Initial schedule candidate; status shall be verified under Annex 68-E before represented as a completed or funded achievement.</w:t>
      </w:r>
    </w:p>
    <w:p>
      <w:pPr>
        <w:pStyle w:val="Normal"/>
      </w:pPr>
      <w:r>
        <w:rPr>
          <w:b w:val="false"/>
        </w:rPr>
        <w:t>68-B.51. [ANCHOR] Fisher and Coastal Advisory Network. Initial schedule candidate; status shall be verified under Annex 68-E before represented as a completed or funded achievement.</w:t>
      </w:r>
    </w:p>
    <w:p>
      <w:pPr>
        <w:pStyle w:val="Normal"/>
      </w:pPr>
      <w:r>
        <w:rPr>
          <w:b w:val="false"/>
        </w:rPr>
        <w:t>68-B.52. [ANCHOR] Cetacean Enforcement Due-Process Standard. Initial schedule candidate; status shall be verified under Annex 68-E before represented as a completed or funded achievement.</w:t>
      </w:r>
    </w:p>
    <w:p>
      <w:pPr>
        <w:pStyle w:val="Normal"/>
      </w:pPr>
      <w:r>
        <w:rPr>
          <w:b w:val="false"/>
        </w:rPr>
        <w:t>68-B.53. [ANCHOR] Independent Great Whale Compact Evaluation. Initial schedule candidate; status shall be verified under Annex 68-E before represented as a completed or funded achievement.</w:t>
      </w:r>
    </w:p>
    <w:p>
      <w:pPr>
        <w:pStyle w:val="Normal"/>
      </w:pPr>
      <w:r>
        <w:rPr>
          <w:b w:val="false"/>
        </w:rPr>
        <w:t>68-B.54. [PROGRAM] North Atlantic Right Whale Calving-Ground Monitoring. Initial schedule candidate; status shall be verified under Annex 68-E before represented as a completed or funded achievement.</w:t>
      </w:r>
    </w:p>
    <w:p>
      <w:pPr>
        <w:pStyle w:val="Normal"/>
      </w:pPr>
      <w:r>
        <w:rPr>
          <w:b w:val="false"/>
        </w:rPr>
        <w:t>68-B.55. [PROGRAM] Gulf of St. Lawrence Right Whale Seasonal Operations. Initial schedule candidate; status shall be verified under Annex 68-E before represented as a completed or funded achievement.</w:t>
      </w:r>
    </w:p>
    <w:p>
      <w:pPr>
        <w:pStyle w:val="Normal"/>
      </w:pPr>
      <w:r>
        <w:rPr>
          <w:b w:val="false"/>
        </w:rPr>
        <w:t>68-B.56. [PROGRAM] Right Whale Entanglement Scar Survey. Initial schedule candidate; status shall be verified under Annex 68-E before represented as a completed or funded achievement.</w:t>
      </w:r>
    </w:p>
    <w:p>
      <w:pPr>
        <w:pStyle w:val="Normal"/>
      </w:pPr>
      <w:r>
        <w:rPr>
          <w:b w:val="false"/>
        </w:rPr>
        <w:t>68-B.57. [PROGRAM] Southern Resident Chinook Prey Recovery Program. Initial schedule candidate; status shall be verified under Annex 68-E before represented as a completed or funded achievement.</w:t>
      </w:r>
    </w:p>
    <w:p>
      <w:pPr>
        <w:pStyle w:val="Normal"/>
      </w:pPr>
      <w:r>
        <w:rPr>
          <w:b w:val="false"/>
        </w:rPr>
        <w:t>68-B.58. [PROGRAM] Salish Sea Quiet-Water Program. Initial schedule candidate; status shall be verified under Annex 68-E before represented as a completed or funded achievement.</w:t>
      </w:r>
    </w:p>
    <w:p>
      <w:pPr>
        <w:pStyle w:val="Normal"/>
      </w:pPr>
      <w:r>
        <w:rPr>
          <w:b w:val="false"/>
        </w:rPr>
        <w:t>68-B.59. [PROGRAM] Southern Resident Contaminant Surveillance. Initial schedule candidate; status shall be verified under Annex 68-E before represented as a completed or funded achievement.</w:t>
      </w:r>
    </w:p>
    <w:p>
      <w:pPr>
        <w:pStyle w:val="Normal"/>
      </w:pPr>
      <w:r>
        <w:rPr>
          <w:b w:val="false"/>
        </w:rPr>
        <w:t>68-B.60. [PROGRAM] St. Lawrence Beluga Health Index. Initial schedule candidate; status shall be verified under Annex 68-E before represented as a completed or funded achievement.</w:t>
      </w:r>
    </w:p>
    <w:p>
      <w:pPr>
        <w:pStyle w:val="Normal"/>
      </w:pPr>
      <w:r>
        <w:rPr>
          <w:b w:val="false"/>
        </w:rPr>
        <w:t>68-B.61. [PROGRAM] St. Lawrence Beluga Contaminants Action Program. Initial schedule candidate; status shall be verified under Annex 68-E before represented as a completed or funded achievement.</w:t>
      </w:r>
    </w:p>
    <w:p>
      <w:pPr>
        <w:pStyle w:val="Normal"/>
      </w:pPr>
      <w:r>
        <w:rPr>
          <w:b w:val="false"/>
        </w:rPr>
        <w:t>68-B.62. [PROGRAM] St. Lawrence Beluga Prey and Forage Research. Initial schedule candidate; status shall be verified under Annex 68-E before represented as a completed or funded achievement.</w:t>
      </w:r>
    </w:p>
    <w:p>
      <w:pPr>
        <w:pStyle w:val="Normal"/>
      </w:pPr>
      <w:r>
        <w:rPr>
          <w:b w:val="false"/>
        </w:rPr>
        <w:t>68-B.63. [PROGRAM] St. Lawrence Beluga Calving-Habitat Stewardship. Initial schedule candidate; status shall be verified under Annex 68-E before represented as a completed or funded achievement.</w:t>
      </w:r>
    </w:p>
    <w:p>
      <w:pPr>
        <w:pStyle w:val="Normal"/>
      </w:pPr>
      <w:r>
        <w:rPr>
          <w:b w:val="false"/>
        </w:rPr>
        <w:t>68-B.64. [PROGRAM] St. Lawrence Ferry and Shipping Protocol. Initial schedule candidate; status shall be verified under Annex 68-E before represented as a completed or funded achievement.</w:t>
      </w:r>
    </w:p>
    <w:p>
      <w:pPr>
        <w:pStyle w:val="Normal"/>
      </w:pPr>
      <w:r>
        <w:rPr>
          <w:b w:val="false"/>
        </w:rPr>
        <w:t>68-B.65. [PROGRAM] Churchill Beluga Monitoring and Tourism Standards. Initial schedule candidate; status shall be verified under Annex 68-E before represented as a completed or funded achievement.</w:t>
      </w:r>
    </w:p>
    <w:p>
      <w:pPr>
        <w:pStyle w:val="Normal"/>
      </w:pPr>
      <w:r>
        <w:rPr>
          <w:b w:val="false"/>
        </w:rPr>
        <w:t>68-B.66. [PROGRAM] Arctic Bowhead Monitoring Partnership. Initial schedule candidate; status shall be verified under Annex 68-E before represented as a completed or funded achievement.</w:t>
      </w:r>
    </w:p>
    <w:p>
      <w:pPr>
        <w:pStyle w:val="Normal"/>
      </w:pPr>
      <w:r>
        <w:rPr>
          <w:b w:val="false"/>
        </w:rPr>
        <w:t>68-B.67. [PROGRAM] Arctic Narwhal Monitoring Partnership. Initial schedule candidate; status shall be verified under Annex 68-E before represented as a completed or funded achievement.</w:t>
      </w:r>
    </w:p>
    <w:p>
      <w:pPr>
        <w:pStyle w:val="Normal"/>
      </w:pPr>
      <w:r>
        <w:rPr>
          <w:b w:val="false"/>
        </w:rPr>
        <w:t>68-B.68. [PROGRAM] Arctic Beluga Monitoring Partnership. Initial schedule candidate; status shall be verified under Annex 68-E before represented as a completed or funded achievement.</w:t>
      </w:r>
    </w:p>
    <w:p>
      <w:pPr>
        <w:pStyle w:val="Normal"/>
      </w:pPr>
      <w:r>
        <w:rPr>
          <w:b w:val="false"/>
        </w:rPr>
        <w:t>68-B.69. [PROGRAM] Baja Grey Whale Lagoon Stewardship. Initial schedule candidate; status shall be verified under Annex 68-E before represented as a completed or funded achievement.</w:t>
      </w:r>
    </w:p>
    <w:p>
      <w:pPr>
        <w:pStyle w:val="Normal"/>
      </w:pPr>
      <w:r>
        <w:rPr>
          <w:b w:val="false"/>
        </w:rPr>
        <w:t>68-B.70. [PROGRAM] Baja-to-Arctic Grey Whale Migration Monitoring. Initial schedule candidate; status shall be verified under Annex 68-E before represented as a completed or funded achievement.</w:t>
      </w:r>
    </w:p>
    <w:p>
      <w:pPr>
        <w:pStyle w:val="Normal"/>
      </w:pPr>
      <w:r>
        <w:rPr>
          <w:b w:val="false"/>
        </w:rPr>
        <w:t>68-B.71. [PROGRAM] Banderas Bay Humpback Protection Program. Initial schedule candidate; status shall be verified under Annex 68-E before represented as a completed or funded achievement.</w:t>
      </w:r>
    </w:p>
    <w:p>
      <w:pPr>
        <w:pStyle w:val="Normal"/>
      </w:pPr>
      <w:r>
        <w:rPr>
          <w:b w:val="false"/>
        </w:rPr>
        <w:t>68-B.72. [PROGRAM] Los Cabos Whale-Watching Standards. Initial schedule candidate; status shall be verified under Annex 68-E before represented as a completed or funded achievement.</w:t>
      </w:r>
    </w:p>
    <w:p>
      <w:pPr>
        <w:pStyle w:val="Normal"/>
      </w:pPr>
      <w:r>
        <w:rPr>
          <w:b w:val="false"/>
        </w:rPr>
        <w:t>68-B.73. [PROGRAM] Gulf of California Acoustic Baseline. Initial schedule candidate; status shall be verified under Annex 68-E before represented as a completed or funded achievement.</w:t>
      </w:r>
    </w:p>
    <w:p>
      <w:pPr>
        <w:pStyle w:val="Normal"/>
      </w:pPr>
      <w:r>
        <w:rPr>
          <w:b w:val="false"/>
        </w:rPr>
        <w:t>68-B.74. [PROGRAM] Gulf of California Shipping-Lane Assessment. Initial schedule candidate; status shall be verified under Annex 68-E before represented as a completed or funded achievement.</w:t>
      </w:r>
    </w:p>
    <w:p>
      <w:pPr>
        <w:pStyle w:val="Normal"/>
      </w:pPr>
      <w:r>
        <w:rPr>
          <w:b w:val="false"/>
        </w:rPr>
        <w:t>68-B.75. [PROGRAM] Gulf of Mexico Sperm Whale Monitoring. Initial schedule candidate; status shall be verified under Annex 68-E before represented as a completed or funded achievement.</w:t>
      </w:r>
    </w:p>
    <w:p>
      <w:pPr>
        <w:pStyle w:val="Normal"/>
      </w:pPr>
      <w:r>
        <w:rPr>
          <w:b w:val="false"/>
        </w:rPr>
        <w:t>68-B.76. [PROGRAM] Rice's Whale Recovery Cooperation. Initial schedule candidate; status shall be verified under Annex 68-E before represented as a completed or funded achievement.</w:t>
      </w:r>
    </w:p>
    <w:p>
      <w:pPr>
        <w:pStyle w:val="Normal"/>
      </w:pPr>
      <w:r>
        <w:rPr>
          <w:b w:val="false"/>
        </w:rPr>
        <w:t>68-B.77. [PROGRAM] Pacific Blue-Fin-Humpback Monitoring Line. Initial schedule candidate; status shall be verified under Annex 68-E before represented as a completed or funded achievement.</w:t>
      </w:r>
    </w:p>
    <w:p>
      <w:pPr>
        <w:pStyle w:val="Normal"/>
      </w:pPr>
      <w:r>
        <w:rPr>
          <w:b w:val="false"/>
        </w:rPr>
        <w:t>68-B.78. [PROGRAM] Pacific Large-Whale Strike Reduction Program. Initial schedule candidate; status shall be verified under Annex 68-E before represented as a completed or funded achievement.</w:t>
      </w:r>
    </w:p>
    <w:p>
      <w:pPr>
        <w:pStyle w:val="Normal"/>
      </w:pPr>
      <w:r>
        <w:rPr>
          <w:b w:val="false"/>
        </w:rPr>
        <w:t>68-B.79. [PROGRAM] Humpback Entanglement Response Program. Initial schedule candidate; status shall be verified under Annex 68-E before represented as a completed or funded achievement.</w:t>
      </w:r>
    </w:p>
    <w:p>
      <w:pPr>
        <w:pStyle w:val="Normal"/>
      </w:pPr>
      <w:r>
        <w:rPr>
          <w:b w:val="false"/>
        </w:rPr>
        <w:t>68-B.80. [PROGRAM] Regional PAM Glider Missions. Initial schedule candidate; status shall be verified under Annex 68-E before represented as a completed or funded achievement.</w:t>
      </w:r>
    </w:p>
    <w:p>
      <w:pPr>
        <w:pStyle w:val="Normal"/>
      </w:pPr>
      <w:r>
        <w:rPr>
          <w:b w:val="false"/>
        </w:rPr>
        <w:t>68-B.81. [PROGRAM] Whale-Safe Gear Demonstration Fisheries. Initial schedule candidate; status shall be verified under Annex 68-E before represented as a completed or funded achievement.</w:t>
      </w:r>
    </w:p>
    <w:p>
      <w:pPr>
        <w:pStyle w:val="Normal"/>
      </w:pPr>
      <w:r>
        <w:rPr>
          <w:b w:val="false"/>
        </w:rPr>
        <w:t>68-B.82. [PROGRAM] Ghost-Gear Recovery Campaigns. Initial schedule candidate; status shall be verified under Annex 68-E before represented as a completed or funded achievement.</w:t>
      </w:r>
    </w:p>
    <w:p>
      <w:pPr>
        <w:pStyle w:val="Normal"/>
      </w:pPr>
      <w:r>
        <w:rPr>
          <w:b w:val="false"/>
        </w:rPr>
        <w:t>68-B.83. [PROGRAM] Regional Disentanglement Training. Initial schedule candidate; status shall be verified under Annex 68-E before represented as a completed or funded achievement.</w:t>
      </w:r>
    </w:p>
    <w:p>
      <w:pPr>
        <w:pStyle w:val="Normal"/>
      </w:pPr>
      <w:r>
        <w:rPr>
          <w:b w:val="false"/>
        </w:rPr>
        <w:t>68-B.84. [PROGRAM] Whale-Safe Port Certification Pilots. Initial schedule candidate; status shall be verified under Annex 68-E before represented as a completed or funded achievement.</w:t>
      </w:r>
    </w:p>
    <w:p>
      <w:pPr>
        <w:pStyle w:val="Normal"/>
      </w:pPr>
      <w:r>
        <w:rPr>
          <w:b w:val="false"/>
        </w:rPr>
        <w:t>68-B.85. [PROGRAM] Quiet Ferry Demonstration Program. Initial schedule candidate; status shall be verified under Annex 68-E before represented as a completed or funded achievement.</w:t>
      </w:r>
    </w:p>
    <w:p>
      <w:pPr>
        <w:pStyle w:val="Normal"/>
      </w:pPr>
      <w:r>
        <w:rPr>
          <w:b w:val="false"/>
        </w:rPr>
        <w:t>68-B.86. [PROGRAM] Indigenous Hydrophone and Guardian Grants. Initial schedule candidate; status shall be verified under Annex 68-E before represented as a completed or funded achievement.</w:t>
      </w:r>
    </w:p>
    <w:p>
      <w:pPr>
        <w:pStyle w:val="Normal"/>
      </w:pPr>
      <w:r>
        <w:rPr>
          <w:b w:val="false"/>
        </w:rPr>
        <w:t>68-B.87. [PROGRAM] Cetacean Health and Disease Surveillance. Initial schedule candidate; status shall be verified under Annex 68-E before represented as a completed or funded achievement.</w:t>
      </w:r>
    </w:p>
    <w:p>
      <w:pPr>
        <w:pStyle w:val="Normal"/>
      </w:pPr>
      <w:r>
        <w:rPr>
          <w:b w:val="false"/>
        </w:rPr>
        <w:t>68-B.88. [PROGRAM] Whale Prey and Oceanography Survey. Initial schedule candidate; status shall be verified under Annex 68-E before represented as a completed or funded achievement.</w:t>
      </w:r>
    </w:p>
    <w:p>
      <w:pPr>
        <w:pStyle w:val="Normal"/>
      </w:pPr>
      <w:r>
        <w:rPr>
          <w:b w:val="false"/>
        </w:rPr>
        <w:t>68-B.89. [PROGRAM] Coastal Habitat Restoration for Cetacean Prey. Initial schedule candidate; status shall be verified under Annex 68-E before represented as a completed or funded achievement.</w:t>
      </w:r>
    </w:p>
    <w:p>
      <w:pPr>
        <w:pStyle w:val="Normal"/>
      </w:pPr>
      <w:r>
        <w:rPr>
          <w:b w:val="false"/>
        </w:rPr>
        <w:t>68-B.90. [PROGRAM] Annual State of the Whales Public Report. Initial schedule candidate; status shall be verified under Annex 68-E before represented as a completed or funded achievement.</w:t>
      </w:r>
    </w:p>
    <w:p>
      <w:pPr>
        <w:pStyle w:val="Heading2"/>
      </w:pPr>
      <w:bookmarkStart w:id="902242" w:name="_Toc300002241"/>
      <w:r>
        <w:t>ANNEX 68-C: OPTIONAL DEVELOPMENT AND CONTROLLED-MECHANISM RESERVE (28 ITEMS)</w:t>
      </w:r>
      <w:bookmarkEnd w:id="902242"/>
    </w:p>
    <w:p>
      <w:pPr>
        <w:pStyle w:val="Normal"/>
      </w:pPr>
      <w:r>
        <w:rPr>
          <w:b w:val="false"/>
        </w:rPr>
        <w:t>This Annex is expressly optional. Listing recognizes a concept for research, validation, feasibility work or later domestic authorization. It creates no duty to deploy, fund, approve, transfer animals, close waters, restrict defence operations or alter permits. A controlled mechanism advances only through the W1–W7 progression, and listing an active Annex 68-B candidate does not satisfy any W-stage for a controlled mechanism that the candidate may incorporate.</w:t>
      </w:r>
    </w:p>
    <w:p>
      <w:pPr>
        <w:pStyle w:val="Normal"/>
      </w:pPr>
      <w:r>
        <w:rPr>
          <w:b w:val="false"/>
        </w:rPr>
        <w:t>68-C.1. [DEVELOPMENT] Continental Acoustic Noise-Budget Pilot. May proceed through research, demonstration or feasibility work; no broader obligation arises absent later authorization.</w:t>
      </w:r>
    </w:p>
    <w:p>
      <w:pPr>
        <w:pStyle w:val="Normal"/>
      </w:pPr>
      <w:r>
        <w:rPr>
          <w:b w:val="false"/>
        </w:rPr>
        <w:t>68-C.2. [DEVELOPMENT] Advanced Thermal Whale Detection. May proceed through research, demonstration or feasibility work; no broader obligation arises absent later authorization.</w:t>
      </w:r>
    </w:p>
    <w:p>
      <w:pPr>
        <w:pStyle w:val="Normal"/>
      </w:pPr>
      <w:r>
        <w:rPr>
          <w:b w:val="false"/>
        </w:rPr>
        <w:t>68-C.3. [DEVELOPMENT] Operational eDNA Presence Detection. May proceed through research, demonstration or feasibility work; no broader obligation arises absent later authorization.</w:t>
      </w:r>
    </w:p>
    <w:p>
      <w:pPr>
        <w:pStyle w:val="Normal"/>
      </w:pPr>
      <w:r>
        <w:rPr>
          <w:b w:val="false"/>
        </w:rPr>
        <w:t>68-C.4. [DEVELOPMENT] Next-Generation Satellite Cetacean Detection. May proceed through research, demonstration or feasibility work; no broader obligation arises absent later authorization.</w:t>
      </w:r>
    </w:p>
    <w:p>
      <w:pPr>
        <w:pStyle w:val="Normal"/>
      </w:pPr>
      <w:r>
        <w:rPr>
          <w:b w:val="false"/>
        </w:rPr>
        <w:t>68-C.5. [DEVELOPMENT] Predictive Prey-Bloom Whale Alerts. May proceed through research, demonstration or feasibility work; no broader obligation arises absent later authorization.</w:t>
      </w:r>
    </w:p>
    <w:p>
      <w:pPr>
        <w:pStyle w:val="Normal"/>
      </w:pPr>
      <w:r>
        <w:rPr>
          <w:b w:val="false"/>
        </w:rPr>
        <w:t>68-C.6. [DEVELOPMENT] Advanced Quiet-Propulsion Demonstrations. May proceed through research, demonstration or feasibility work; no broader obligation arises absent later authorization.</w:t>
      </w:r>
    </w:p>
    <w:p>
      <w:pPr>
        <w:pStyle w:val="Normal"/>
      </w:pPr>
      <w:r>
        <w:rPr>
          <w:b w:val="false"/>
        </w:rPr>
        <w:t>68-C.7. [DEVELOPMENT] Marine-Energy Wildlife Detection Technology. May proceed through research, demonstration or feasibility work; no broader obligation arises absent later authorization.</w:t>
      </w:r>
    </w:p>
    <w:p>
      <w:pPr>
        <w:pStyle w:val="Normal"/>
      </w:pPr>
      <w:r>
        <w:rPr>
          <w:b w:val="false"/>
        </w:rPr>
        <w:t>68-C.8. [DEVELOPMENT] Novel Sanctuary Infrastructure Demonstration. May proceed through research, demonstration or feasibility work; no broader obligation arises absent later authorization.</w:t>
      </w:r>
    </w:p>
    <w:p>
      <w:pPr>
        <w:pStyle w:val="Normal"/>
      </w:pPr>
      <w:r>
        <w:rPr>
          <w:b w:val="false"/>
        </w:rPr>
        <w:t>68-C.9. [DEVELOPMENT] Cumulative-Stressor Regulatory Modeling. May proceed through research, demonstration or feasibility work; no broader obligation arises absent later authorization.</w:t>
      </w:r>
    </w:p>
    <w:p>
      <w:pPr>
        <w:pStyle w:val="Normal"/>
      </w:pPr>
      <w:r>
        <w:rPr>
          <w:b w:val="false"/>
        </w:rPr>
        <w:t>68-C.10. [DEVELOPMENT] Automated Dynamic Closure Decision Support. May proceed through research, demonstration or feasibility work; no broader obligation arises absent later authorization.</w:t>
      </w:r>
    </w:p>
    <w:p>
      <w:pPr>
        <w:pStyle w:val="Normal"/>
      </w:pPr>
      <w:r>
        <w:rPr>
          <w:b w:val="false"/>
        </w:rPr>
        <w:t>68-C.11. [DEVELOPMENT] Whale-Safe Autonomous Vessel Navigation. May proceed through research, demonstration or feasibility work; no broader obligation arises absent later authorization.</w:t>
      </w:r>
    </w:p>
    <w:p>
      <w:pPr>
        <w:pStyle w:val="Normal"/>
      </w:pPr>
      <w:r>
        <w:rPr>
          <w:b w:val="false"/>
        </w:rPr>
        <w:t>68-C.12. [DEVELOPMENT] Low-Impact Tagging Technology. May proceed through research, demonstration or feasibility work; no broader obligation arises absent later authorization.</w:t>
      </w:r>
    </w:p>
    <w:p>
      <w:pPr>
        <w:pStyle w:val="Normal"/>
      </w:pPr>
      <w:r>
        <w:rPr>
          <w:b w:val="false"/>
        </w:rPr>
        <w:t>68-C.13. [DEVELOPMENT] Acoustic Refuge Design Pilots. May proceed through research, demonstration or feasibility work; no broader obligation arises absent later authorization.</w:t>
      </w:r>
    </w:p>
    <w:p>
      <w:pPr>
        <w:pStyle w:val="Normal"/>
      </w:pPr>
      <w:r>
        <w:rPr>
          <w:b w:val="false"/>
        </w:rPr>
        <w:t>68-C.14. [DEVELOPMENT] Cetacean-Sensitive Desalination Intake Demonstration. May proceed through research, demonstration or feasibility work; no broader obligation arises absent later authorization.</w:t>
      </w:r>
    </w:p>
    <w:p>
      <w:pPr>
        <w:pStyle w:val="Normal"/>
      </w:pPr>
      <w:r>
        <w:rPr>
          <w:b w:val="false"/>
        </w:rPr>
        <w:t>68-C.15. [DEVELOPMENT] Dynamic Anchorage Management Technology. May proceed through research, demonstration or feasibility work; no broader obligation arises absent later authorization.</w:t>
      </w:r>
    </w:p>
    <w:p>
      <w:pPr>
        <w:pStyle w:val="Normal"/>
      </w:pPr>
      <w:r>
        <w:rPr>
          <w:b w:val="false"/>
        </w:rPr>
        <w:t>68-C.16. [DEVELOPMENT] Cross-Border Digital Whale Twin Research. May proceed through research, demonstration or feasibility work; no broader obligation arises absent later authorization.</w:t>
      </w:r>
    </w:p>
    <w:p>
      <w:pPr>
        <w:pStyle w:val="Normal"/>
      </w:pPr>
      <w:r>
        <w:rPr>
          <w:b w:val="false"/>
        </w:rPr>
        <w:t>68-C.17. [DEVELOPMENT] Advanced Carcass Detection from Space. May proceed through research, demonstration or feasibility work; no broader obligation arises absent later authorization.</w:t>
      </w:r>
    </w:p>
    <w:p>
      <w:pPr>
        <w:pStyle w:val="Normal"/>
      </w:pPr>
      <w:r>
        <w:rPr>
          <w:b w:val="false"/>
        </w:rPr>
        <w:t>68-C.18. [DEVELOPMENT] Adaptive Tourism Capacity Management. May proceed through research, demonstration or feasibility work; no broader obligation arises absent later authorization.</w:t>
      </w:r>
    </w:p>
    <w:p>
      <w:pPr>
        <w:pStyle w:val="Normal"/>
      </w:pPr>
      <w:r>
        <w:rPr>
          <w:b w:val="false"/>
        </w:rPr>
        <w:t>68-C.19. [DEVELOPMENT] Climate-Responsive Corridor Forecasting. May proceed through research, demonstration or feasibility work; no broader obligation arises absent later authorization.</w:t>
      </w:r>
    </w:p>
    <w:p>
      <w:pPr>
        <w:pStyle w:val="Normal"/>
      </w:pPr>
      <w:r>
        <w:rPr>
          <w:b w:val="false"/>
        </w:rPr>
        <w:t>68-C.20. [DEVELOPMENT] Experimental Cetacean Health Biomarker Platform. May proceed through research, demonstration or feasibility work; no broader obligation arises absent later authorization.</w:t>
      </w:r>
    </w:p>
    <w:p>
      <w:pPr>
        <w:pStyle w:val="Normal"/>
      </w:pPr>
      <w:r>
        <w:rPr>
          <w:b w:val="false"/>
        </w:rPr>
        <w:t>68-C.21. [CONTROLLED] Highly Automated Dynamic Closures Based Predominantly on Remote Sensing. Subject to W1–W7 controlled-capability progression and all applicable scientific, legal, rights, welfare, security and environmental reviews.</w:t>
      </w:r>
    </w:p>
    <w:p>
      <w:pPr>
        <w:pStyle w:val="Normal"/>
      </w:pPr>
      <w:r>
        <w:rPr>
          <w:b w:val="false"/>
        </w:rPr>
        <w:t>68-C.22. [CONTROLLED] Medically Complex Sanctuary Transfers. Subject to W1–W7 controlled-capability progression and all applicable scientific, legal, rights, welfare, security and environmental reviews.</w:t>
      </w:r>
    </w:p>
    <w:p>
      <w:pPr>
        <w:pStyle w:val="Normal"/>
      </w:pPr>
      <w:r>
        <w:rPr>
          <w:b w:val="false"/>
        </w:rPr>
        <w:t>68-C.23. [CONTROLLED] Large-Scale Captive Beluga Sanctuary Transition. Subject to W1–W7 controlled-capability progression and all applicable scientific, legal, rights, welfare, security and environmental reviews.</w:t>
      </w:r>
    </w:p>
    <w:p>
      <w:pPr>
        <w:pStyle w:val="Normal"/>
      </w:pPr>
      <w:r>
        <w:rPr>
          <w:b w:val="false"/>
        </w:rPr>
        <w:t>68-C.24. [CONTROLLED] Operational Military Sonar Restrictions. Subject to W1–W7 controlled-capability progression and all applicable scientific, legal, rights, welfare, security and environmental reviews.</w:t>
      </w:r>
    </w:p>
    <w:p>
      <w:pPr>
        <w:pStyle w:val="Normal"/>
      </w:pPr>
      <w:r>
        <w:rPr>
          <w:b w:val="false"/>
        </w:rPr>
        <w:t>68-C.25. [CONTROLLED] Aggregate Underwater Acoustic Noise Budgets. Subject to W1–W7 controlled-capability progression and all applicable scientific, legal, rights, welfare, security and environmental reviews.</w:t>
      </w:r>
    </w:p>
    <w:p>
      <w:pPr>
        <w:pStyle w:val="Normal"/>
      </w:pPr>
      <w:r>
        <w:rPr>
          <w:b w:val="false"/>
        </w:rPr>
        <w:t>68-C.26. [CONTROLLED] Assisted Ecological Intervention for Collapsing Populations. Subject to W1–W7 controlled-capability progression and all applicable scientific, legal, rights, welfare, security and environmental reviews.</w:t>
      </w:r>
    </w:p>
    <w:p>
      <w:pPr>
        <w:pStyle w:val="Normal"/>
      </w:pPr>
      <w:r>
        <w:rPr>
          <w:b w:val="false"/>
        </w:rPr>
        <w:t>68-C.27. [CONTROLLED] Automated Offshore-Energy Shutdown Systems. Subject to W1–W7 controlled-capability progression and all applicable scientific, legal, rights, welfare, security and environmental reviews.</w:t>
      </w:r>
    </w:p>
    <w:p>
      <w:pPr>
        <w:pStyle w:val="Normal"/>
      </w:pPr>
      <w:r>
        <w:rPr>
          <w:b w:val="false"/>
        </w:rPr>
        <w:t>68-C.28. [CONTROLLED] Emergency Extirpation-Response Measures Beyond the Chapter 68 Planning Duty. Subject to W1–W7 controlled-capability progression and all applicable scientific, legal, rights, welfare, security and environmental reviews.</w:t>
      </w:r>
    </w:p>
    <w:p>
      <w:pPr>
        <w:pStyle w:val="Normal"/>
      </w:pPr>
      <w:r>
        <w:rPr>
          <w:b w:val="false"/>
        </w:rPr>
        <w:t>W1 Concept Recognized → W2 Scientific Validity Established → W3 Legal and Rights Authority Confirmed → W4 Welfare / Security / Environmental Review Complete → W5 Limited Pilot Authorized → W6 Independent Evaluation Complete → W7 Broader Program Eligibility. Successful completion permits eligibility; it does not mandate deployment.</w:t>
      </w:r>
    </w:p>
    <w:p>
      <w:pPr>
        <w:pStyle w:val="Heading2"/>
      </w:pPr>
      <w:bookmarkStart w:id="902243" w:name="_Toc300002242"/>
      <w:r>
        <w:t>ANNEX 68-D: VISIBLE GREAT WHALE COMPACT WINS (32-ITEM OVERLAY)</w:t>
      </w:r>
      <w:bookmarkEnd w:id="902243"/>
    </w:p>
    <w:p>
      <w:pPr>
        <w:pStyle w:val="Normal"/>
      </w:pPr>
      <w:r>
        <w:rPr>
          <w:b w:val="false"/>
        </w:rPr>
        <w:t>The following labels are non-operative visibility overlays. They may summarize verified underlying work but create no additional obligation, funding promise, project approval or biological guarantee.</w:t>
      </w:r>
    </w:p>
    <w:p>
      <w:pPr>
        <w:pStyle w:val="Normal"/>
      </w:pPr>
      <w:r>
        <w:rPr>
          <w:b w:val="false"/>
        </w:rPr>
        <w:t>68-D.1. ★ Great Whale Compact. Visibility designation only; underlying status and claims remain subject to Annex 68-E.</w:t>
      </w:r>
    </w:p>
    <w:p>
      <w:pPr>
        <w:pStyle w:val="Normal"/>
      </w:pPr>
      <w:r>
        <w:rPr>
          <w:b w:val="false"/>
        </w:rPr>
        <w:t>68-D.2. ★ Continental Listening Network. Visibility designation only; underlying status and claims remain subject to Annex 68-E.</w:t>
      </w:r>
    </w:p>
    <w:p>
      <w:pPr>
        <w:pStyle w:val="Normal"/>
      </w:pPr>
      <w:r>
        <w:rPr>
          <w:b w:val="false"/>
        </w:rPr>
        <w:t>68-D.3. ★ Right Whale Safe Passage. Visibility designation only; underlying status and claims remain subject to Annex 68-E.</w:t>
      </w:r>
    </w:p>
    <w:p>
      <w:pPr>
        <w:pStyle w:val="Normal"/>
      </w:pPr>
      <w:r>
        <w:rPr>
          <w:b w:val="false"/>
        </w:rPr>
        <w:t>68-D.4. ★ Untangled North America. Visibility designation only; underlying status and claims remain subject to Annex 68-E.</w:t>
      </w:r>
    </w:p>
    <w:p>
      <w:pPr>
        <w:pStyle w:val="Normal"/>
      </w:pPr>
      <w:r>
        <w:rPr>
          <w:b w:val="false"/>
        </w:rPr>
        <w:t>68-D.5. ★ Quiet Passage Corridors. Visibility designation only; underlying status and claims remain subject to Annex 68-E.</w:t>
      </w:r>
    </w:p>
    <w:p>
      <w:pPr>
        <w:pStyle w:val="Normal"/>
      </w:pPr>
      <w:r>
        <w:rPr>
          <w:b w:val="false"/>
        </w:rPr>
        <w:t>68-D.6. ★ Southern Resident Orca Recovery Corridor. Visibility designation only; underlying status and claims remain subject to Annex 68-E.</w:t>
      </w:r>
    </w:p>
    <w:p>
      <w:pPr>
        <w:pStyle w:val="Normal"/>
      </w:pPr>
      <w:r>
        <w:rPr>
          <w:b w:val="false"/>
        </w:rPr>
        <w:t>68-D.7. ★ Beluga Estuary Initiative. Visibility designation only; underlying status and claims remain subject to Annex 68-E.</w:t>
      </w:r>
    </w:p>
    <w:p>
      <w:pPr>
        <w:pStyle w:val="Normal"/>
      </w:pPr>
      <w:r>
        <w:rPr>
          <w:b w:val="false"/>
        </w:rPr>
        <w:t>68-D.8. ★ Three Lagoons Grey Whale Partnership. Visibility designation only; underlying status and claims remain subject to Annex 68-E.</w:t>
      </w:r>
    </w:p>
    <w:p>
      <w:pPr>
        <w:pStyle w:val="Normal"/>
      </w:pPr>
      <w:r>
        <w:rPr>
          <w:b w:val="false"/>
        </w:rPr>
        <w:t>68-D.9. ★ Whale Rescue Network. Visibility designation only; underlying status and claims remain subject to Annex 68-E.</w:t>
      </w:r>
    </w:p>
    <w:p>
      <w:pPr>
        <w:pStyle w:val="Normal"/>
      </w:pPr>
      <w:r>
        <w:rPr>
          <w:b w:val="false"/>
        </w:rPr>
        <w:t>68-D.10. ★ Sea to Sanctuary Pathway. Visibility designation only; underlying status and claims remain subject to Annex 68-E.</w:t>
      </w:r>
    </w:p>
    <w:p>
      <w:pPr>
        <w:pStyle w:val="Normal"/>
      </w:pPr>
      <w:r>
        <w:rPr>
          <w:b w:val="false"/>
        </w:rPr>
        <w:t>68-D.11. ★ Last Generation Captive Cetacean Initiative. Visibility designation only; underlying status and claims remain subject to Annex 68-E.</w:t>
      </w:r>
    </w:p>
    <w:p>
      <w:pPr>
        <w:pStyle w:val="Normal"/>
      </w:pPr>
      <w:r>
        <w:rPr>
          <w:b w:val="false"/>
        </w:rPr>
        <w:t>68-D.12. ★ Beluga Health and Nutrition Science Initiative. Visibility designation only; underlying status and claims remain subject to Annex 68-E.</w:t>
      </w:r>
    </w:p>
    <w:p>
      <w:pPr>
        <w:pStyle w:val="Normal"/>
      </w:pPr>
      <w:r>
        <w:rPr>
          <w:b w:val="false"/>
        </w:rPr>
        <w:t>68-D.13. ★ Whale-Safe Ports. Visibility designation only; underlying status and claims remain subject to Annex 68-E.</w:t>
      </w:r>
    </w:p>
    <w:p>
      <w:pPr>
        <w:pStyle w:val="Normal"/>
      </w:pPr>
      <w:r>
        <w:rPr>
          <w:b w:val="false"/>
        </w:rPr>
        <w:t>68-D.14. ★ Quiet Fleet Initiative. Visibility designation only; underlying status and claims remain subject to Annex 68-E.</w:t>
      </w:r>
    </w:p>
    <w:p>
      <w:pPr>
        <w:pStyle w:val="Normal"/>
      </w:pPr>
      <w:r>
        <w:rPr>
          <w:b w:val="false"/>
        </w:rPr>
        <w:t>68-D.15. ★ Great Whale Map. Visibility designation only; underlying status and claims remain subject to Annex 68-E.</w:t>
      </w:r>
    </w:p>
    <w:p>
      <w:pPr>
        <w:pStyle w:val="Normal"/>
      </w:pPr>
      <w:r>
        <w:rPr>
          <w:b w:val="false"/>
        </w:rPr>
        <w:t>68-D.16. ★ State of the Whales Scorecard. Visibility designation only; underlying status and claims remain subject to Annex 68-E.</w:t>
      </w:r>
    </w:p>
    <w:p>
      <w:pPr>
        <w:pStyle w:val="Normal"/>
      </w:pPr>
      <w:r>
        <w:rPr>
          <w:b w:val="false"/>
        </w:rPr>
        <w:t>68-D.17. ★ Arctic Cetacean Stewardship Network. Visibility designation only; underlying status and claims remain subject to Annex 68-E.</w:t>
      </w:r>
    </w:p>
    <w:p>
      <w:pPr>
        <w:pStyle w:val="Normal"/>
      </w:pPr>
      <w:r>
        <w:rPr>
          <w:b w:val="false"/>
        </w:rPr>
        <w:t>68-D.18. ★ Pacific Giants Highway. Visibility designation only; underlying status and claims remain subject to Annex 68-E.</w:t>
      </w:r>
    </w:p>
    <w:p>
      <w:pPr>
        <w:pStyle w:val="Normal"/>
      </w:pPr>
      <w:r>
        <w:rPr>
          <w:b w:val="false"/>
        </w:rPr>
        <w:t>68-D.19. ★ Gulf of California Cetacean Network. Visibility designation only; underlying status and claims remain subject to Annex 68-E.</w:t>
      </w:r>
    </w:p>
    <w:p>
      <w:pPr>
        <w:pStyle w:val="Normal"/>
      </w:pPr>
      <w:r>
        <w:rPr>
          <w:b w:val="false"/>
        </w:rPr>
        <w:t>68-D.20. ★ Whale-Safe Fisheries Transition. Visibility designation only; underlying status and claims remain subject to Annex 68-E.</w:t>
      </w:r>
    </w:p>
    <w:p>
      <w:pPr>
        <w:pStyle w:val="Normal"/>
      </w:pPr>
      <w:r>
        <w:rPr>
          <w:b w:val="false"/>
        </w:rPr>
        <w:t>68-D.21. ★ Indigenous-Led Whale Stewardship. Visibility designation only; underlying status and claims remain subject to Annex 68-E.</w:t>
      </w:r>
    </w:p>
    <w:p>
      <w:pPr>
        <w:pStyle w:val="Normal"/>
      </w:pPr>
      <w:r>
        <w:rPr>
          <w:b w:val="false"/>
        </w:rPr>
        <w:t>68-D.22. ★ Clean Waters, Full Tables. Visibility designation only; underlying status and claims remain subject to Annex 68-E.</w:t>
      </w:r>
    </w:p>
    <w:p>
      <w:pPr>
        <w:pStyle w:val="Normal"/>
      </w:pPr>
      <w:r>
        <w:rPr>
          <w:b w:val="false"/>
        </w:rPr>
        <w:t>68-D.23. ★ Moving Corridors. Visibility designation only; underlying status and claims remain subject to Annex 68-E.</w:t>
      </w:r>
    </w:p>
    <w:p>
      <w:pPr>
        <w:pStyle w:val="Normal"/>
      </w:pPr>
      <w:r>
        <w:rPr>
          <w:b w:val="false"/>
        </w:rPr>
        <w:t>68-D.24. ★ Safer Ferries for Whales. Visibility designation only; underlying status and claims remain subject to Annex 68-E.</w:t>
      </w:r>
    </w:p>
    <w:p>
      <w:pPr>
        <w:pStyle w:val="Normal"/>
      </w:pPr>
      <w:r>
        <w:rPr>
          <w:b w:val="false"/>
        </w:rPr>
        <w:t>68-D.25. ★ Ghost Gear Recovery. Visibility designation only; underlying status and claims remain subject to Annex 68-E.</w:t>
      </w:r>
    </w:p>
    <w:p>
      <w:pPr>
        <w:pStyle w:val="Normal"/>
      </w:pPr>
      <w:r>
        <w:rPr>
          <w:b w:val="false"/>
        </w:rPr>
        <w:t>68-D.26. ★ Whale-Safe Tourism. Visibility designation only; underlying status and claims remain subject to Annex 68-E.</w:t>
      </w:r>
    </w:p>
    <w:p>
      <w:pPr>
        <w:pStyle w:val="Normal"/>
      </w:pPr>
      <w:r>
        <w:rPr>
          <w:b w:val="false"/>
        </w:rPr>
        <w:t>68-D.27. ★ Quiet Construction Near Whale Habitat. Visibility designation only; underlying status and claims remain subject to Annex 68-E.</w:t>
      </w:r>
    </w:p>
    <w:p>
      <w:pPr>
        <w:pStyle w:val="Normal"/>
      </w:pPr>
      <w:r>
        <w:rPr>
          <w:b w:val="false"/>
        </w:rPr>
        <w:t>68-D.28. ★ Open Whale Science. Visibility designation only; underlying status and claims remain subject to Annex 68-E.</w:t>
      </w:r>
    </w:p>
    <w:p>
      <w:pPr>
        <w:pStyle w:val="Normal"/>
      </w:pPr>
      <w:r>
        <w:rPr>
          <w:b w:val="false"/>
        </w:rPr>
        <w:t>68-D.29. ★ Cetacean Carcass Forensics. Visibility designation only; underlying status and claims remain subject to Annex 68-E.</w:t>
      </w:r>
    </w:p>
    <w:p>
      <w:pPr>
        <w:pStyle w:val="Normal"/>
      </w:pPr>
      <w:r>
        <w:rPr>
          <w:b w:val="false"/>
        </w:rPr>
        <w:t>68-D.30. ★ Fisher Transition Support. Visibility designation only; underlying status and claims remain subject to Annex 68-E.</w:t>
      </w:r>
    </w:p>
    <w:p>
      <w:pPr>
        <w:pStyle w:val="Normal"/>
      </w:pPr>
      <w:r>
        <w:rPr>
          <w:b w:val="false"/>
        </w:rPr>
        <w:t>68-D.31. ★ Mexico's Mar de Ballenas Portfolio. Visibility designation only; underlying status and claims remain subject to Annex 68-E.</w:t>
      </w:r>
    </w:p>
    <w:p>
      <w:pPr>
        <w:pStyle w:val="Normal"/>
      </w:pPr>
      <w:r>
        <w:rPr>
          <w:b w:val="false"/>
        </w:rPr>
        <w:t>68-D.32. ★ Cetacean Emergency Recovery Mechanism. Visibility designation only; underlying status and claims remain subject to Annex 68-E.</w:t>
      </w:r>
    </w:p>
    <w:p>
      <w:pPr>
        <w:pStyle w:val="Heading2"/>
      </w:pPr>
      <w:bookmarkStart w:id="902244" w:name="_Toc300002243"/>
      <w:r>
        <w:t>ANNEX 68-E: SCIENTIFIC, PROJECT, CLAIM AND RESEARCH VERIFICATION</w:t>
      </w:r>
      <w:bookmarkEnd w:id="902244"/>
    </w:p>
    <w:p>
      <w:pPr>
        <w:pStyle w:val="Normal"/>
      </w:pPr>
      <w:r>
        <w:t>The verification ladder is G1 Candidate Identified -&gt; G2 Program or Project Existence Verified -&gt; G3 Legal and Scientific Basis Verified -&gt; G4 Funding or Implementing Authority Verified -&gt; G5 Implementation Path Verified -&gt; G6 Schedule Ready -&gt; G7 Funding or Authorized Implementation Confirmed -&gt; G8 Completion or Operational Achievement Verified. The competent Party authority responsible for the underlying program, supplemented where appropriate by an existing independent audit, scientific, statistical, or treaty-verification structure, records the highest status actually supported by evidence and any material limitation or contested fact. No named project, funding amount, population figure, date, technology claim, outcome, funded status, or completed status shall be represented as verified merely because it appears in a preliminary source list, draft, public announcement, candidate schedule, or visibility overlay, and a G6 status does not establish G7 or G8. Verification establishes only the status supported by the evidence and creates no independent funding, permitting, procurement, enforcement, deployment, or regulatory authority.</w:t>
      </w:r>
    </w:p>
    <w:p>
      <w:pPr>
        <w:pStyle w:val="Normal"/>
      </w:pPr>
      <w:r>
        <w:rPr>
          <w:b w:val="false"/>
        </w:rPr>
        <w:t>Beluga Hydration Research Firewall. The Beluga Health and Nutrition Science Initiative may examine dietary free-water availability, prey storage duration and conditions, thawing practices, thaw-drip, prey moisture, nutritional status, hydration biomarkers and resilience during naturally occurring periods of reduced appetite. Nothing in this Agreement establishes that frozen or frozen-thawed prey causes chronic dehydration or any particular morbidity or mortality in belugas or other cetaceans. Research shall not deliberately dehydrate or fast cetaceans for purposes of this program.</w:t>
      </w:r>
    </w:p>
    <w:p>
      <w:pPr>
        <w:pStyle w:val="Normal"/>
      </w:pPr>
      <w:r>
        <w:rPr>
          <w:b w:val="false"/>
        </w:rPr>
        <w:t>Biological Outcome Firewall. Population abundance, calf production, adult-female survival, mortality, serious injury and similar biological measures are performance indicators and escalation signals unless an operative provision expressly states otherwise. A Party does not breach this Chapter merely because a biological population outcome falls short despite good-faith implementation of applicable obligations.</w:t>
      </w:r>
    </w:p>
    <w:p>
      <w:pPr>
        <w:pStyle w:val="Normal"/>
      </w:pPr>
      <w:r>
        <w:rPr>
          <w:b w:val="false"/>
        </w:rPr>
        <w:t>No Double Counting. A project, payment, procurement opportunity, conservation action or research program may not be counted more than once as new consideration or a new public achievement unless the claimed components are genuinely distinct and separately verified.</w:t>
      </w:r>
    </w:p>
    <w:p>
      <w:pPr>
        <w:pStyle w:val="Normal"/>
      </w:pPr>
      <w:r>
        <w:t>E-2I. Version 8.7: Great Whale Compact Integration. Added Chapter 68, Great Whale Compact: North American Cetacean Recovery, Safety and Stewardship; 49 cornerstone obligations; Annex 68-A with 139 operational mechanisms; Annex 68-B with 90 initial Flagship, Anchor and Program schedule candidates; Annex 68-C with 20 Development and 8 Controlled optional mechanisms; Annex 68-D with 32 non-operative visible-win labels; and Annex 68-E scientific, project, claim and research verification. The captive-beluga dietary-water and frozen-prey concept is preserved solely as a high-priority research hypothesis with an express non-causation and no-deliberate-dehydration/fasting firewall.</w:t>
      </w:r>
    </w:p>
    <w:p>
      <w:pPr>
        <w:pStyle w:val="Normal"/>
      </w:pPr>
      <w:r>
        <w:t>E-2J. Version 8.8: Continuity Precision Audit. Reconciled legacy duration and withdrawal text with the operative No-Fade architecture: Article 34.6 now states the 12-month orderly-withdrawal minimum and cross-references Articles 34.F–34.M; the consolidated Article 34.7 now states indefinite duration and modernization-not-renewal directly; removed residual 16-year-extension language from Article 34.B; corrected Chapter 36 and Chapter 48 references that still treated review as an extension decision; preserved historical reproduced instruments where their original wording is retained for traceability. No substantive change was made to the tariff-lock, Cothrom, REX/anti-evasion, cure, step-back, restoration, or No Uncompensated Front-Loading architecture.</w:t>
      </w:r>
    </w:p>
    <w:p>
      <w:pPr>
        <w:pStyle w:val="Normal"/>
      </w:pPr>
      <w:r>
        <w:t>E-2K. Version 8.9: Legislative Withdrawal and Adversarial-Review Hardening. Added Article 34.N requiring national-legislative approval before withdrawal becomes effective, including an Act of Congress enacted into law for the United States, an Act of Parliament for Canada, and constitutionally required legislative approval for Mexico; added Article 34.O prohibiting constructive withdrawal and functional evasion while preserving lawful ordinary disputes and sovereign exit; added Article 34.P severability and constitutional-savings protection; added Article 34.Q clarifying domestic sovereignty and the limited mandate of treaty bodies; added plain-language No Amnesty/No Immigration Entitlement, No Origin Laundering Through Transit or Superficial Processing, and External Trade Defense Preserved clauses. Existing No-Fade, tariff-lock, REX, Cothrom, cure, step-back, restoration, and accrued-obligation architecture remains intact.</w:t>
      </w:r>
    </w:p>
    <w:p>
      <w:pPr>
        <w:pStyle w:val="Heading1"/>
      </w:pPr>
      <w:bookmarkStart w:id="902245" w:name="_Toc300002244"/>
      <w:r>
        <w:t>AMENDMENT LEDGER: NORTH AMERICAN ECONOMIC SECURITY AND TRADE MODERNIZATION AGREEMENT v8.9</w:t>
      </w:r>
      <w:bookmarkEnd w:id="902245"/>
    </w:p>
    <w:p>
      <w:pPr>
        <w:pStyle w:val="Normal"/>
      </w:pPr>
      <w:r>
        <w:t>E-2E: Chapter 66 added: North American Shield, Fentanyl, Precursor and Border Security Compact. Establishes 245 active security mechanisms organized as 41 cornerstone obligations, 132 operational-annex mechanisms, 66 national implementation-schedule categories, and 6 controlled pilots; adds a 24-item visible-win overlay; preserves exclusive national command, privacy and civil-liberties firewalls, reciprocal firearms and illicit-flow cooperation, legitimate-trade facilitation, the Security Performance Safe Harbor, Covered-Rationale Exhaustion, and proportional Shield-specific cure/step-back/restoration architecture.</w:t>
      </w:r>
    </w:p>
    <w:p>
      <w:pPr>
        <w:pStyle w:val="Heading2"/>
      </w:pPr>
      <w:bookmarkStart w:id="902246" w:name="_Toc300002245"/>
      <w:r>
        <w:t>PACKAGE V: DURABILITY, PROCEDURAL EQUALITY, AND FRICTION REDUCTION (v4.2)</w:t>
      </w:r>
      <w:bookmarkEnd w:id="902246"/>
    </w:p>
    <w:p>
      <w:pPr>
        <w:pStyle w:val="Heading3"/>
      </w:pPr>
      <w:r>
        <w:t>V-1. Article 34.7: Indefinite Duration and Modernization Review</w:t>
      </w:r>
    </w:p>
    <w:p>
      <w:pPr>
        <w:pStyle w:val="Heading3"/>
      </w:pPr>
      <w:r>
        <w:t>V-2. Article 34.F: Orderly Withdrawal and Reliance Transition</w:t>
      </w:r>
    </w:p>
    <w:p>
      <w:pPr>
        <w:pStyle w:val="Heading3"/>
      </w:pPr>
      <w:r>
        <w:t>V-3. Articles 35.30–35.32: No-Fade, Cure Ladder, and Extraordinary Measures</w:t>
      </w:r>
    </w:p>
    <w:p>
      <w:pPr>
        <w:pStyle w:val="Heading3"/>
      </w:pPr>
      <w:r>
        <w:t>V-4. Articles 31.F–31.H: Procedural Equality and Urgent Dispute Resolution</w:t>
      </w:r>
    </w:p>
    <w:p>
      <w:pPr>
        <w:pStyle w:val="Heading3"/>
      </w:pPr>
      <w:r>
        <w:t>V-5. Articles 27.A–27.B: Anti-Corruption Enforcement and Cure</w:t>
      </w:r>
    </w:p>
    <w:p>
      <w:pPr>
        <w:pStyle w:val="Heading3"/>
      </w:pPr>
      <w:r>
        <w:t>V-6. Articles 28.A–28.C: Regulatory Equivalence and Trade Friction Reduction</w:t>
      </w:r>
    </w:p>
    <w:p>
      <w:pPr>
        <w:pStyle w:val="Heading3"/>
      </w:pPr>
      <w:r>
        <w:t>V-7. Articles 29.A–29.C: Transparency, Disclosure, and Advance-Ruling Reliance</w:t>
      </w:r>
    </w:p>
    <w:p>
      <w:pPr>
        <w:pStyle w:val="Heading3"/>
      </w:pPr>
      <w:r>
        <w:t>V-8. Enforcement Architecture: Cure-First and Narrowly Targeted Remedies</w:t>
      </w:r>
    </w:p>
    <w:p>
      <w:pPr>
        <w:pStyle w:val="Normal"/>
      </w:pPr>
      <w:r>
        <w:t>PACKAGE L: IMPLEMENTATION PRECISION AND REPLICABILITY (v3.1). Clarifies the closed universe of special origin procedures; preserves low-value treatment during disputes; links discriminatory alcohol measures to substitute-measure discipline; creates Annex 4-E for non-originating automotive-content valuation and transition; standardizes circular-production records; provides independent SME repeat-audit review; strengthens roster integrity; allocates evidentiary burdens without reversing the complainant’s ultimate burden; defines frivolous allegations; makes automatic consequences self-executing after a final trigger and short ministerial period; hardens Annex 35-A with replicability, causation, methodological hierarchy, sensitivity analysis and independent replication; creates Annex 34-F implementation milestones; and confirms the non-operative status of this Ledger.</w:t>
      </w:r>
    </w:p>
    <w:p>
      <w:pPr>
        <w:pStyle w:val="Normal"/>
      </w:pPr>
      <w:r>
        <w:t>E-2C: Chapter 64 added: North American Commercial Wins Ledger and Export Opportunity Scoreboard. Replaces numerical bilateral-deficit targeting with verified realized/contracted/enabled commercial-win accounting; additionality, baseline, counterfactual, effective-access, services, geographic, SME, revision and no-double-counting disciplines; public dashboards and competitive presentation; optional national export-wins applications; and a non-monetary Forecast Arena with equal expiring tokens, permanent reputation points, cosmetic profile purchases, published resolution rules and anti-manipulation safeguards.</w:t>
      </w:r>
    </w:p>
    <w:p>
      <w:pPr>
        <w:pStyle w:val="Normal"/>
      </w:pPr>
      <w:r>
        <w:rPr>
          <w:b w:val="false"/>
          <w:i w:val="false"/>
        </w:rPr>
        <w:t>E-2D: Chapter 65 added: North American Reciprocal Procurement Compact. Establishes the protected 370-opportunity procurement portfolio; 30 Flagship, 44 Anchor, 198 Program, and 98 Development classifications; project-specific reciprocity; affirmative designation; no blanket Buy American waiver; no guaranteed awards; Procurement Opportunity Certificates; V1–V5 verification; value-integrity and procurement-availability rules; effective-access and portfolio-equivalence tests; subnational, Indigenous/community, SME, private-project, security, permitting and rights firewalls; Three-Receipt and opportunity-to-delivery accounting; Initial, Rolling, Development, and Expansion/Substitution pathways; Registry and Chapter 64 Commercial Wins integration; and Cothrom/no-front-loading protections.</w:t>
      </w:r>
    </w:p>
    <w:p>
      <w:pPr>
        <w:pStyle w:val="Normal"/>
      </w:pPr>
      <w:r>
        <w:t>LEGAL STATUS OF LEDGER. The Amendment Ledger is non-operative explanatory material intended to assist negotiators, implementers, and readers. It does not create, enlarge, narrow, or independently interpret a right or obligation unless an operative provision of the Agreement expressly incorporates a specific Ledger entry. In any inconsistency, the operative treaty text, annexes, schedules, and incorporated instruments prevail. Historical entries E-2F through E-2K appearing adjacent to Chapters 67 and 68 are part of this explanatory Amendment Ledger notwithstanding their physical placement; their location does not confer operative status. Chapters 61 and 62 contain supplementary architecture and shall not be characterized as amendments or replacements of pre-existing CUSMA provisions merely to populate this Ledger; any actual amendment or replacement is recorded according to its legal function.</w:t>
      </w:r>
    </w:p>
    <w:p>
      <w:pPr>
        <w:pStyle w:val="Normal"/>
      </w:pPr>
      <w:r>
        <w:rPr>
          <w:i/>
        </w:rPr>
        <w:t>Required by Section 41 of the CUSMA Treaty Precision Matrix. Each entry records: the chapter/article affected; the original rule; the revised rule; the legal-function classification; the negotiating objective; and the effect on each Party. Where a provision of the 2018/2019 text is not listed here, it is unchanged. Packages A–F record the v2.0 modernization; Package H records the v2.8 hardening.</w:t>
      </w:r>
    </w:p>
    <w:p>
      <w:pPr>
        <w:pStyle w:val="Heading2"/>
      </w:pPr>
      <w:bookmarkStart w:id="902247" w:name="_Toc300002246"/>
      <w:r>
        <w:t>PACKAGE A: TREATY INTEGRITY AND TARIFF ARCHITECTURE (Chapters 1, 2, 32, 34, 35)</w:t>
      </w:r>
      <w:bookmarkEnd w:id="902247"/>
    </w:p>
    <w:p>
      <w:pPr>
        <w:pStyle w:val="Normal"/>
      </w:pPr>
      <w:r>
        <w:rPr>
          <w:b/>
        </w:rPr>
        <w:t>A-1. Article 1.B (new).</w:t>
      </w:r>
      <w:r>
        <w:t xml:space="preserve"> Original rule: no general substance-over-label rule existed. Revised rule: obligations apply according to substance and economic effect, regardless of domestic authority, designation, form, or terminology. Legal function: interpretive rule / binding obligation (A). Objective: close the domestic-authority bypass in a single provision rather than statute-by-statute. Effects: symmetric.</w:t>
      </w:r>
    </w:p>
    <w:p>
      <w:pPr>
        <w:pStyle w:val="Normal"/>
      </w:pPr>
      <w:r>
        <w:rPr>
          <w:b/>
        </w:rPr>
        <w:t>A-2. Article 35.3 (new).</w:t>
      </w:r>
      <w:r>
        <w:t xml:space="preserve"> Original rule: Article 2.4 prohibited new duties on originating goods, but Article 32.2’s breadth and the absence of an exclusive-remedies rule allowed domestic authorities to override preferential treatment; Section 232 side letters provided only delay. Revised rule: explicit Originating Goods Tariff Guarantee; prohibition of single-Party-content tariff differentiation; prohibition of tariffs grounded in non-trade grievances or in a Party’s separate agreements with non-Parties; prohibition of conditioning tariff treatment on investment, sourcing, pricing, purchase, or import-target concessions; enumerated surviving exceptions only. Legal function: binding obligation and prohibition (A/B) with express exceptions (H). Effects: symmetric.</w:t>
      </w:r>
    </w:p>
    <w:p>
      <w:pPr>
        <w:pStyle w:val="Normal"/>
      </w:pPr>
      <w:r>
        <w:rPr>
          <w:b/>
        </w:rPr>
        <w:t>A-3. Articles 35.4 and 35.4A (new).</w:t>
      </w:r>
      <w:r>
        <w:t xml:space="preserve"> Original rule: no general anti-equivalent-measures clause. Revised rule: enumerated anti-evasion list covering equivalent fees, quota substitution, de minimis withdrawal, derivative-product expansion (with anti-overreach discipline on the definition of “derivative”), product-list creep, special origin tests, stale findings, escalation without new verification, unilateral termination of exemptions, minimum duty floors, selective targeting, authority-switching, stacking, and re-justification resets; plus a substitute-measures article reaching discriminatory internal taxes, regulatory fees, port-of-entry channeling, customs-delay weaponization, selective inspection, security-bond excess, valuation and classification manipulation, verification harassment, coerced export restraints and minimum prices, purchase-commitment conditioning, procurement retaliation, and financing-condition substitution. Legal function: binding prohibition (B). Effects: symmetric.</w:t>
      </w:r>
    </w:p>
    <w:p>
      <w:pPr>
        <w:pStyle w:val="Normal"/>
      </w:pPr>
      <w:r>
        <w:rPr>
          <w:b/>
        </w:rPr>
        <w:t>A-4. Article 35.3A (new).</w:t>
      </w:r>
      <w:r>
        <w:t xml:space="preserve"> Original rule: the stabilization architecture addressed imports. Revised rule: extraordinary export restrictions, export duties, and export-condition measures between the Parties are covered border measures subject to the same stages, ceilings, expiry, and automatic restoration; ordinary non-Party export controls unaffected. Objective: close the mirror-image export-weaponization route. Effects: symmetric.</w:t>
      </w:r>
    </w:p>
    <w:p>
      <w:pPr>
        <w:pStyle w:val="Normal"/>
      </w:pPr>
      <w:r>
        <w:rPr>
          <w:b/>
        </w:rPr>
        <w:t>A-5. Article 35.5 (new).</w:t>
      </w:r>
      <w:r>
        <w:t xml:space="preserve"> Original rule: no exclusive-remedies rule. Revised rule: treaty remedies are exclusive for trade matters between the Parties, subject to the modernized Article 32.2; general exceptions cannot be relabeled around the Chapter 35 prohibitions. Legal function: binding obligation (A).</w:t>
      </w:r>
    </w:p>
    <w:p>
      <w:pPr>
        <w:pStyle w:val="Normal"/>
      </w:pPr>
      <w:r>
        <w:rPr>
          <w:b/>
        </w:rPr>
        <w:t>A-6. Article 32.A (replacement of Article 32.2).</w:t>
      </w:r>
      <w:r>
        <w:t xml:space="preserve"> Original rule: self-judging essential-security exception without procedural discipline. Revised rule: essential-security authority preserved (including wartime action), but measures affecting another Party’s trade carry notification, identified security interest, emergency consultations, proportionality, 180-day review, two-year outer limit with successively particularized renewal, treatment of re-justified substantially identical measures as one continuing measure, the special verification lane of Article 35.22, TNAO protection, an explicit rule that drug trafficking, migration, crime, or other non-trade conduct is not by itself an essential-security basis for border measures absent a direct and material nexus between the targeted goods and the threat, a defined review boundary (panels examine scope, procedure, coverage, and trade contribution; never the security judgment), and an anti-abuse clause excluding industrial capacity, employment, market share, and general economic conditions as essential-security interests. Legal function: exception (H) with procedural requirements (J) and reviewability (N). Effects: symmetric.</w:t>
      </w:r>
    </w:p>
    <w:p>
      <w:pPr>
        <w:pStyle w:val="Normal"/>
      </w:pPr>
      <w:r>
        <w:rPr>
          <w:b/>
        </w:rPr>
        <w:t>A-7. Article 32.B (new).</w:t>
      </w:r>
      <w:r>
        <w:t xml:space="preserve"> Original rule: no CUSMA discipline on balance-of-payments surcharges. Revised rule: notification, non-discrimination, presumptive exemption of originating goods from general surcharges, 150-day limit with aggregation of successive identical measures, expedited review. Effects: symmetric.</w:t>
      </w:r>
    </w:p>
    <w:p>
      <w:pPr>
        <w:pStyle w:val="Normal"/>
      </w:pPr>
      <w:r>
        <w:rPr>
          <w:b/>
        </w:rPr>
        <w:t>A-8. Annex 35-D (new).</w:t>
      </w:r>
      <w:r>
        <w:t xml:space="preserve"> Original rule: existing extraordinary tariffs had no treaty-mandated end. Revised rule: legacy measures terminate on entry into force; a Party may refer a continuing genuine security concern to the Article 35.22 lane within 90 days; post-wind-down substantially identical re-impositions are treated as the same measure; retaliation ends and is not reimposed for pre-entry conduct. Effects: Canada and Mexico obtain removal of sectoral tariffs; the United States obtains the stronger perimeter and verification architecture.</w:t>
      </w:r>
    </w:p>
    <w:p>
      <w:pPr>
        <w:pStyle w:val="Normal"/>
      </w:pPr>
      <w:r>
        <w:rPr>
          <w:b/>
        </w:rPr>
        <w:t>A-9. Article 2.D (new).</w:t>
      </w:r>
      <w:r>
        <w:t xml:space="preserve"> TRQ administration: transparent, non-discriminatory administration; CUSMA-quota applicant eligibility not less favorable than under a Party’s other agreements for like products; published methodology and utilization; express preservation of quota volumes and supply-management structure. Canada: retains supply management; burden, administration changes. United States: obtains the eligibility parity sought. Mexico: benefits from the transparency precedent.</w:t>
      </w:r>
    </w:p>
    <w:p>
      <w:pPr>
        <w:pStyle w:val="Normal"/>
      </w:pPr>
      <w:r>
        <w:rPr>
          <w:b/>
        </w:rPr>
        <w:t>A-10. Article 2.E (new).</w:t>
      </w:r>
      <w:r>
        <w:t xml:space="preserve"> Alcoholic beverages: non-discrimination in listing, distribution, mark-up, and retail access, with the federal-reasonable-measures formulation; retaliatory delisting disciplined. Effects: symmetric; provincial/state regulatory discretion preserved.</w:t>
      </w:r>
    </w:p>
    <w:p>
      <w:pPr>
        <w:pStyle w:val="Heading2"/>
      </w:pPr>
      <w:bookmarkStart w:id="902248" w:name="_Toc300002247"/>
      <w:r>
        <w:t>PACKAGE B: THE PROPORTIONAL TRADE ADJUSTMENT MECHANISM (Chapter 35)</w:t>
      </w:r>
      <w:bookmarkEnd w:id="902248"/>
    </w:p>
    <w:p>
      <w:pPr>
        <w:pStyle w:val="Normal"/>
      </w:pPr>
      <w:r>
        <w:rPr>
          <w:b/>
        </w:rPr>
        <w:t>B-1. Articles 35.8–35.11 (new).</w:t>
      </w:r>
      <w:r>
        <w:t xml:space="preserve"> Notice of Concern; 10-day cooling-off with full standstill; Evidence Package with quantified estimate, counterfactual baseline, and uncertainty band; standing Verification Panel with trilateral roster, non-national Joint List, and one-time 15-day extension for complex matters; partial findings; second opinion; obstruction consequences; three-tier classification, with Tier 3 requiring clear and convincing evidence of deliberate or systematic conduct, reviewable under Article 31.A.</w:t>
      </w:r>
    </w:p>
    <w:p>
      <w:pPr>
        <w:pStyle w:val="Normal"/>
      </w:pPr>
      <w:r>
        <w:rPr>
          <w:b/>
        </w:rPr>
        <w:t>B-2. Article 35.12 and Annex 35-A (new; hardened).</w:t>
      </w:r>
      <w:r>
        <w:t xml:space="preserve"> PTA formula retained; treaty fixes the ranges and principles (correction proportionate to distortion; escalation only with verified persistence; reduction with verified remediation; conservatism under uncertainty), while specific coefficients live in a Technical Schedule updatable by consensus within the treaty ranges; pass-through requires sector-specific evidence with a rebuttable default; the operative estimate is the lower bound of the uncertainty band absent full confirmation; correction and deterrence are separated, exceeding the verified distortion requires a separate reasoned panel finding of deliberate or sustained noncompliance, capped at twice the best estimate.</w:t>
      </w:r>
    </w:p>
    <w:p>
      <w:pPr>
        <w:pStyle w:val="Normal"/>
      </w:pPr>
      <w:r>
        <w:rPr>
          <w:b/>
        </w:rPr>
        <w:t>B-3. Articles 35.13 and 35.13A (new).</w:t>
      </w:r>
      <w:r>
        <w:t xml:space="preserve"> Narrowest-sufficient-remedy ladder; anti-fragmentation rule for integrated products, coordinated verification, single-module assignment by dominant purpose, and a cumulative ceiling so a vehicle cannot face stacked PTAs from its battery, steel, and semiconductor modules.</w:t>
      </w:r>
    </w:p>
    <w:p>
      <w:pPr>
        <w:pStyle w:val="Normal"/>
      </w:pPr>
      <w:r>
        <w:rPr>
          <w:b/>
        </w:rPr>
        <w:t>B-4. Article 35.14 (new; hardened).</w:t>
      </w:r>
      <w:r>
        <w:t xml:space="preserve"> Escrow in lieu of collection, with full custody architecture: currency and exchange-rate risk on the facility, interest follows principal, segregated accounts, administrative costs on the Parties, loss-sharing on facility failure with refund entitlements preserved, 15-day release, and alternatives to cash (guarantees, bonds, insurance), reduced-security treatment for trusted traders, and SME hardship waivers.</w:t>
      </w:r>
    </w:p>
    <w:p>
      <w:pPr>
        <w:pStyle w:val="Normal"/>
      </w:pPr>
      <w:r>
        <w:rPr>
          <w:b/>
        </w:rPr>
        <w:t>B-5. Article 35.15 and Annex 35-B (new; hardened).</w:t>
      </w:r>
      <w:r>
        <w:t xml:space="preserve"> Nine modules with sub-modules; dominant-purpose test for multi-module goods with the burden on the Party advocating broader assignment; cross-module measures only after final determination, noncompliance, and a separate reasoned panel finding that same-module measures are demonstrably incapable of inducing compliance.</w:t>
      </w:r>
    </w:p>
    <w:p>
      <w:pPr>
        <w:pStyle w:val="Normal"/>
      </w:pPr>
      <w:r>
        <w:rPr>
          <w:b/>
        </w:rPr>
        <w:t>B-6. Articles 35.16–35.18 (new).</w:t>
      </w:r>
      <w:r>
        <w:t xml:space="preserve"> Stages 0–6; express abolition of snapback; remediation conditions issued with the finding; no admission or unrelated concession; automatic restoration on certification.</w:t>
      </w:r>
    </w:p>
    <w:p>
      <w:pPr>
        <w:pStyle w:val="Normal"/>
      </w:pPr>
      <w:r>
        <w:rPr>
          <w:b/>
        </w:rPr>
        <w:t>B-7. Article 35.19 (new).</w:t>
      </w:r>
      <w:r>
        <w:t xml:space="preserve"> Frivolous-allegation ladder, symmetric for obstruction.</w:t>
      </w:r>
    </w:p>
    <w:p>
      <w:pPr>
        <w:pStyle w:val="Normal"/>
      </w:pPr>
      <w:r>
        <w:rPr>
          <w:b/>
        </w:rPr>
        <w:t>B-8. Article 35.21 (new; hardened).</w:t>
      </w:r>
      <w:r>
        <w:t xml:space="preserve"> Emergency defined narrowly (sudden, unforeseen, objectively demonstrable; political urgency, elections, lobbying, price weakness, and trade deficits excluded); 24-hour notification, 72-hour review, 30-day expiry; successive substantially identical measures, including re-justified ones, aggregate into one measure with a 60-day annual cumulative cap absent full verification.</w:t>
      </w:r>
    </w:p>
    <w:p>
      <w:pPr>
        <w:pStyle w:val="Normal"/>
      </w:pPr>
      <w:r>
        <w:rPr>
          <w:b/>
        </w:rPr>
        <w:t>B-9. Article 35.22 (new; hardened).</w:t>
      </w:r>
      <w:r>
        <w:t xml:space="preserve"> Security lane: 45-day review on connection, material contribution, non-originating-content targeting, TNAO alternative, narrower-measure analysis; mandatory exemption and narrowing outcomes; 180-day reviews and two-year limit with renewal aggregation; and an expressly codified review boundary, what panels may examine (scope, coverage, procedure, trade contribution, narrower alternatives) and what they categorically may not (threat assessment, intelligence credibility, military adequacy, the determination of security interests), with reports required to identify the category of each finding.</w:t>
      </w:r>
    </w:p>
    <w:p>
      <w:pPr>
        <w:pStyle w:val="Normal"/>
      </w:pPr>
      <w:r>
        <w:rPr>
          <w:b/>
        </w:rPr>
        <w:t>B-10. Articles 35.23–35.25 (new; hardened).</w:t>
      </w:r>
      <w:r>
        <w:t xml:space="preserve"> Strategic-sector circuit breakers; Trade Measures Registry (unregistered measures unenforceable, refundable); Trade Impact Facility with base-plus-usage funding, reimbursement by the Party responsible for an unlawful measure, precise eligibility (material injury, causation, thresholds, caps, no double recovery, annual published audit, SME priority).</w:t>
      </w:r>
    </w:p>
    <w:p>
      <w:pPr>
        <w:pStyle w:val="Normal"/>
      </w:pPr>
      <w:r>
        <w:rPr>
          <w:b/>
        </w:rPr>
        <w:t>B-11. Article 35.20 and Annex 35-E (hardened).</w:t>
      </w:r>
      <w:r>
        <w:t xml:space="preserve"> Compensation before escalation in any mutually agreed form; market-access credits demoted to an optional instrument, never a precondition, with valuation, transfer, expiry, legal-capacity substitution, and WTO-consistency rules.</w:t>
      </w:r>
    </w:p>
    <w:p>
      <w:pPr>
        <w:pStyle w:val="Normal"/>
      </w:pPr>
      <w:r>
        <w:rPr>
          <w:b/>
        </w:rPr>
        <w:t>B-12. Articles 35.10.10 and 35.10A (new).</w:t>
      </w:r>
      <w:r>
        <w:t xml:space="preserve"> Verifier and panelist independence: disclosure, recusal, two-year cooling-off, published compensation, replacement by lot. Rights of affected private entities: notice, non-confidential evidence access, representation, submissions, confidentiality protection, correction rights, and 30-day appeal with suspension pending appeal except certified Tier 3 urgency.</w:t>
      </w:r>
    </w:p>
    <w:p>
      <w:pPr>
        <w:pStyle w:val="Normal"/>
      </w:pPr>
      <w:r>
        <w:rPr>
          <w:b/>
        </w:rPr>
        <w:t>B-13. Annex 35-C (hardened).</w:t>
      </w:r>
      <w:r>
        <w:t xml:space="preserve"> Registry safeguards: encryption, role-based access, annual penetration testing, immutable audit logs, 72-hour breach notification; four-tier confidential-business-information regime including a national-custody tier for data that may never leave national customs systems; misuse sanctions; data minimization and retention schedules.</w:t>
      </w:r>
    </w:p>
    <w:p>
      <w:pPr>
        <w:pStyle w:val="Normal"/>
      </w:pPr>
      <w:r>
        <w:rPr>
          <w:b/>
        </w:rPr>
        <w:t>B-14. Articles 35.28–35.29 (new).</w:t>
      </w:r>
      <w:r>
        <w:t xml:space="preserve"> Institutional consolidation: one permanent Treaty Integrity Secretariat within the Chapter 30 Secretariat operates all registries, facilities, and roster administration, no fragmented new bureaucracies. No-Fade Guarantee: no right, preference, guarantee, protection, or status lapses by passage of time; time-limits attach only to restrictive extraordinary measures and transitions.</w:t>
      </w:r>
    </w:p>
    <w:p>
      <w:pPr>
        <w:pStyle w:val="Heading2"/>
      </w:pPr>
      <w:bookmarkStart w:id="902249" w:name="_Toc300002248"/>
      <w:r>
        <w:t>PACKAGE C: MODERNIZED DISPUTE SETTLEMENT (Chapter 31)</w:t>
      </w:r>
      <w:bookmarkEnd w:id="902249"/>
    </w:p>
    <w:p>
      <w:pPr>
        <w:pStyle w:val="Normal"/>
      </w:pPr>
      <w:r>
        <w:rPr>
          <w:b/>
        </w:rPr>
        <w:t>C-1. Article 31.A (new; hardened).</w:t>
      </w:r>
      <w:r>
        <w:t xml:space="preserve"> Expedited Tariff Panel: automatic establishment, 5-day composition, 45-day reports (20 for perishables/critical infrastructure), one tightly limited 30-day extension for exceptionally complex matters upon reasoned published finding; binding interim indications hardened with a strong-prima-facie-case plus irreparable-harm threshold, reasons, 60-day expiry, and 5-day emergency reconsideration; automatic countermeasure authorization upon noncompliance subject to level review.</w:t>
      </w:r>
    </w:p>
    <w:p>
      <w:pPr>
        <w:pStyle w:val="Normal"/>
      </w:pPr>
      <w:r>
        <w:rPr>
          <w:b/>
        </w:rPr>
        <w:t>C-2. Article 31.C (new).</w:t>
      </w:r>
      <w:r>
        <w:t xml:space="preserve"> Standing tariff roster; Secretariat default designation on non-appointment; independence, disclosure, recusal, and cooling-off rules; non-participation does not defeat jurisdiction.</w:t>
      </w:r>
    </w:p>
    <w:p>
      <w:pPr>
        <w:pStyle w:val="Normal"/>
      </w:pPr>
      <w:r>
        <w:rPr>
          <w:b/>
        </w:rPr>
        <w:t>C-3. Article 31.D (new).</w:t>
      </w:r>
      <w:r>
        <w:t xml:space="preserve"> Fixed compliance periods, 60-day compliance panels, 30-day expedited compliance review, automatic termination of countermeasures upon compliance.</w:t>
      </w:r>
    </w:p>
    <w:p>
      <w:pPr>
        <w:pStyle w:val="Heading2"/>
      </w:pPr>
      <w:bookmarkStart w:id="902250" w:name="_Toc300002249"/>
      <w:r>
        <w:t>PACKAGE D: RULES OF ORIGIN AND CUSTOMS MODERNIZATION (Chapters 4, 5, 7)</w:t>
      </w:r>
      <w:bookmarkEnd w:id="902250"/>
    </w:p>
    <w:p>
      <w:pPr>
        <w:pStyle w:val="Normal"/>
      </w:pPr>
      <w:r>
        <w:rPr>
          <w:b/>
        </w:rPr>
        <w:t>D-1. Article 4.A.1–4.A.2.</w:t>
      </w:r>
      <w:r>
        <w:t xml:space="preserve"> North American origin reaffirmed as the single regional concept; no single-Party content condition; 24-month automotive technical modernization (EVs, batteries, software, simplified RVC, circular content, 36-month phase-ins); non-qualifying vehicles dutiable only on non-North-American value.</w:t>
      </w:r>
    </w:p>
    <w:p>
      <w:pPr>
        <w:pStyle w:val="Normal"/>
      </w:pPr>
      <w:r>
        <w:rPr>
          <w:b/>
        </w:rPr>
        <w:t>D-2. Articles 4.A.3–4.A.5.</w:t>
      </w:r>
      <w:r>
        <w:t xml:space="preserve"> Melted-and-poured/smelted-and-cast with traceability certification; circular production origin-conferring; semiconductors-without-North-American-substitute rule.</w:t>
      </w:r>
    </w:p>
    <w:p>
      <w:pPr>
        <w:pStyle w:val="Normal"/>
      </w:pPr>
      <w:r>
        <w:rPr>
          <w:b/>
        </w:rPr>
        <w:t>D-3. Articles 5.A–5.E (hardened).</w:t>
      </w:r>
      <w:r>
        <w:t xml:space="preserve"> Verification discipline (reasonable grounds, no industry-wide sweeps absent certified risk, 150-day outer limit, provisional acceptance thereafter, no repetitive verification without new evidence); joint verification and data exchange; entity-targeted anti-circumvention with Article 35.10A procedural rights and automatic restoration; advance rulings; TNAO appeals; electronic certification interoperability.</w:t>
      </w:r>
    </w:p>
    <w:p>
      <w:pPr>
        <w:pStyle w:val="Normal"/>
      </w:pPr>
      <w:r>
        <w:rPr>
          <w:b/>
        </w:rPr>
        <w:t>D-4. Articles 7.A–7.E (hardened).</w:t>
      </w:r>
      <w:r>
        <w:t xml:space="preserve"> De minimis floor at January 1, 2020 levels; single-window interoperability in 36 months; port-of-entry uniformity with express prohibition of discriminatory port channeling; published border processing benchmarks forming the test for customs-delay weaponization; mutual trusted-trader recognition.</w:t>
      </w:r>
    </w:p>
    <w:p>
      <w:pPr>
        <w:pStyle w:val="Normal"/>
      </w:pPr>
      <w:r>
        <w:t>D-5. Annex 12-G (new). North American Aviation Certification Fast Lane: concurrent FAA-TCCA-AFAC review where practicable; maximum lawful reliance on counterpart technical findings and test evidence; published response clocks and delay explanations; non-discrimination and prohibition of politically motivated certification delay; joint certification pathway for novel technologies; and an explicit institutional firewall preserving sovereign safety determinations and emergency authority.</w:t>
      </w:r>
    </w:p>
    <w:p>
      <w:pPr>
        <w:pStyle w:val="Heading2"/>
      </w:pPr>
      <w:bookmarkStart w:id="902251" w:name="_Toc300002250"/>
      <w:r>
        <w:t>PACKAGE E: ECONOMIC SECURITY, MINERALS, CONTINUITY, TECHNOLOGY, ENERGY (Chapters 36–40)</w:t>
      </w:r>
      <w:bookmarkEnd w:id="902251"/>
    </w:p>
    <w:p>
      <w:pPr>
        <w:pStyle w:val="Normal"/>
      </w:pPr>
      <w:r>
        <w:rPr>
          <w:b/>
        </w:rPr>
        <w:t>E-1. Chapter 36 (hardened). Economic-security concept; Subcommittee; common external defense; TNAO with published, measurable, sector-specific criteria, automatic renewal on demonstrated compliance, entity-confined suspension with notice, evidence access, response rights, rapid appeal, and automatic restoration within 30 days of verified correction; non-market-practice coordination; investment-screening exchange without vetoes; sovereignty safeguard; strategic-sector mapping expanded to advanced compute infrastructure, grid-scale storage, high-voltage equipment, data-centre cooling, and high-speed networking.</w:t>
      </w:r>
    </w:p>
    <w:p>
      <w:pPr>
        <w:pStyle w:val="Normal"/>
      </w:pPr>
      <w:r>
        <w:t>E-2. Chapter 37 (expanded and visibility-hardened). Critical minerals and strategic materials: duty-free originating trade; processing/refining/recycling and by-product recovery; risk-based traceability; Trusted Strategic Materials Sources; strategic supply and offtake architecture; North American Midstream Gap Register; Canada Midstream Industrialization, U.S. Strategic Dependency Reduction, and Mexico Industrial Inputs/Specialty Minerals tracks; aluminum and semiconductor-material capacity; stockpile and surge cooperation; and bilateral or trilateral reciprocal mineral bargains, including protected minerals-for-forestry normalization pathways.</w:t>
      </w:r>
    </w:p>
    <w:p>
      <w:pPr>
        <w:pStyle w:val="Normal"/>
      </w:pPr>
      <w:r>
        <w:t>E-2A. Articles 36.14–36.14A (expanded). North American steel and aluminum security is paired with a Metals Investment Compact covering anti-transshipment and provenance, new and modernized capacity, recycling, strategic and defense-grade products, a public investment/capacity dashboard, grounded headline investment targets, durable tariff normalization, and matched-performance protection under Article 35.36.</w:t>
      </w:r>
    </w:p>
    <w:p>
      <w:pPr>
        <w:pStyle w:val="Normal"/>
      </w:pPr>
      <w:r>
        <w:t>E-2B: Chapter 63 added: North American Medicines Security and Pharmaceutical Resilience. Establishes medicines peace/no-tariff-hostage protections; essential-medicine classification; pharmaceutical origin rules; API/KSM, generics, sterile-injectable, antibiotic, vaccine/biologic, cold-chain, reserve and isotope resilience; regulatory cooperation and facility PreCheck; workforce, research and IP safeguards; United States, Canadian and Mexican industrial tracks; controlled-medicine and fentanyl diversion safeguards; upgraded fentanyl transparency; investment dashboard; exercises; no-new-bureaucracy and no-uncompensated-front-loading rules.</w:t>
      </w:r>
    </w:p>
    <w:p>
      <w:pPr>
        <w:pStyle w:val="Normal"/>
      </w:pPr>
      <w:r>
        <w:rPr>
          <w:b/>
        </w:rPr>
        <w:t>E-3. Chapter 38 (hardened). Emergency Trade Continuity with aggregation of successive substantially identical restrictions; export-restriction disciplines integrated with Article 35.3A; emergency coordination extended to electricity restoration, storage, critical-compute continuity, digital-load curtailment, and telecommunications restoration without creating permanent export obligations.</w:t>
      </w:r>
    </w:p>
    <w:p>
      <w:pPr>
        <w:pStyle w:val="Normal"/>
      </w:pPr>
      <w:r>
        <w:rPr>
          <w:b/>
        </w:rPr>
        <w:t>E-4. Chapter 39. AI and advanced technology: non-discrimination; cooperation without forced harmonization; technical-update mechanism within the narrowed limits of Article 34.3.A; Strategic Compute Infrastructure Cooperation added for energy-efficient compute, advanced cooling, high-speed networking, grid-aware workload management, secure cloud infrastructure, sovereign compute, and commercially reasonable access.</w:t>
      </w:r>
    </w:p>
    <w:p>
      <w:pPr>
        <w:pStyle w:val="Normal"/>
      </w:pPr>
      <w:r>
        <w:rPr>
          <w:b/>
        </w:rPr>
        <w:t>E-5. Chapter 40. Energy security, grid resilience, critical energy equipment, and non-discrimination in energy-market administration expanded through the North American Energy, Compute and Storage Initiative: build-the-power-with-the-load discipline; Strategic Compute and Energy Zones; voluntary cross-border clean-power and compute corridors; domestic reliability and anti-crowding-out safeguards; transmission and interconnection cooperation; flexible digital load; long-duration storage; sodium-ion and molten-salt demonstration pathways; curtailment-to-storage; foreign strategic-technology localization without origin circumvention; critical-infrastructure cybersecurity; compute sovereignty; fibre resilience; host-community and Indigenous participation; metrics and biennial technical review; and Annex 40-A implementation criteria.</w:t>
      </w:r>
    </w:p>
    <w:p>
      <w:pPr>
        <w:pStyle w:val="Heading2"/>
      </w:pPr>
      <w:bookmarkStart w:id="902252" w:name="_Toc300002251"/>
      <w:r>
        <w:t>PACKAGE AR: ENERGY SOVEREIGNTY, OPTIONALITY, AND INTEGRATED INFRASTRUCTURE SIMULATION (v6.4)</w:t>
      </w:r>
      <w:bookmarkEnd w:id="902252"/>
    </w:p>
    <w:p>
      <w:pPr>
        <w:pStyle w:val="Normal"/>
      </w:pPr>
      <w:r>
        <w:t>AR-1. Articles 40.33–40.35 harden the No Named-Project doctrine: no compulsory named project, extraction, production, export, throughput, purchase, or utilization guarantee; lawful non-selection of Keystone XL or another named asset is not by itself non-compliance; function-based objectives may be satisfied by qualifying alternatives.</w:t>
      </w:r>
    </w:p>
    <w:p>
      <w:pPr>
        <w:pStyle w:val="Normal"/>
      </w:pPr>
      <w:r>
        <w:t>AR-2. Articles 40.36–40.42 add domestic reliability and affordability protection, incremental-load cost responsibility, no foreign large-load entitlement to subsidized electricity rates, effective-performance and anti-circumvention safeguards, environmental/Indigenous/water protections, energy-dispute containment, emergency safe mode, change-of-control security review, and no double counting of energy-capacity consideration.</w:t>
      </w:r>
    </w:p>
    <w:p>
      <w:pPr>
        <w:pStyle w:val="Normal"/>
      </w:pPr>
      <w:r>
        <w:t>AR-3. Articles 40.43–40.47 establish a voluntary North American Integrated Energy-Compute-Water Simulation Initiative. Canada may lead an initial software feasibility study and share non-sensitive results; realistic operating-envelope evaluation and iterative improvement are emphasized; favourable simulation creates no construction, procurement, certification, funding, or performance entitlement.</w:t>
      </w:r>
    </w:p>
    <w:p>
      <w:pPr>
        <w:pStyle w:val="Normal"/>
      </w:pPr>
      <w:r>
        <w:t>AR-4. Article 40.44 permits Canada to nominate MundusLux-300 Triple-Hybrid as an initial reference architecture while expressly disclosing its non-governmental origin and denying preference, exclusivity, endorsement, procurement rights, standard-setting status, or automatic advancement. The United States and Mexico may nominate additional qualifying architectures under comparable evaluation standards.</w:t>
      </w:r>
    </w:p>
    <w:p>
      <w:pPr>
        <w:pStyle w:val="Normal"/>
      </w:pPr>
      <w:r>
        <w:t>AR-5. Annex 40-B adds simulation eligibility, initial-reference, metrics, and functional-credit notes. Experimental simulation earns research/innovation credit only until operational performance is independently demonstrated. No new permanent bureaucracy is created.</w:t>
      </w:r>
    </w:p>
    <w:p>
      <w:pPr>
        <w:pStyle w:val="Heading2"/>
      </w:pPr>
      <w:bookmarkStart w:id="902253" w:name="_Toc300002252"/>
      <w:r>
        <w:t>PACKAGE F: TRADE REMEDIES, LABOUR, ENVIRONMENT, DIGITAL, INSTITUTIONS, FINAL PROVISIONS</w:t>
      </w:r>
      <w:bookmarkEnd w:id="902253"/>
    </w:p>
    <w:p>
      <w:pPr>
        <w:pStyle w:val="Normal"/>
      </w:pPr>
      <w:r>
        <w:rPr>
          <w:b/>
        </w:rPr>
        <w:t>F-1. Articles 10.A–10.B (new, v3.9).</w:t>
      </w:r>
      <w:r>
        <w:t xml:space="preserve"> AD/CVD hardened against substitution: initiation-evidence standards, transparent methodologies, non-attribution causation, defense rights, sunset discipline, pattern consultations; safeguards require Party-specific substantial-contribution analysis excluding non-contributing Parties’ originating goods, with time-limits, progressive liberalization, reassessment, automatic termination, cooling-off, and expedited review.</w:t>
      </w:r>
    </w:p>
    <w:p>
      <w:pPr>
        <w:pStyle w:val="Normal"/>
      </w:pPr>
      <w:r>
        <w:rPr>
          <w:b/>
        </w:rPr>
        <w:t>F-2. Article 23.A.</w:t>
      </w:r>
      <w:r>
        <w:t xml:space="preserve"> Forced-labour interoperability with the express rule that enforcement disagreements do not authorize tariffs on unconnected originating goods.</w:t>
      </w:r>
    </w:p>
    <w:p>
      <w:pPr>
        <w:pStyle w:val="Normal"/>
      </w:pPr>
      <w:r>
        <w:rPr>
          <w:b/>
        </w:rPr>
        <w:t>F-3. Articles 24.A–24.B.</w:t>
      </w:r>
      <w:r>
        <w:t xml:space="preserve"> Environmental traceability; natural phenomena not a basis for covered border measures.</w:t>
      </w:r>
    </w:p>
    <w:p>
      <w:pPr>
        <w:pStyle w:val="Normal"/>
      </w:pPr>
      <w:r>
        <w:rPr>
          <w:b/>
        </w:rPr>
        <w:t>F-4. Articles 19.A–19.G.</w:t>
      </w:r>
      <w:r>
        <w:t xml:space="preserve"> Digital trade modernization; Committee on Digital Trade Cooperation.</w:t>
      </w:r>
    </w:p>
    <w:p>
      <w:pPr>
        <w:pStyle w:val="Normal"/>
      </w:pPr>
      <w:r>
        <w:rPr>
          <w:b/>
        </w:rPr>
        <w:t>F-5. Articles 26.A–26.C, 30.A–30.C (hardened).</w:t>
      </w:r>
      <w:r>
        <w:t xml:space="preserve"> Expanded Competitiveness Committee; consolidated institutional architecture, one Treaty Integrity Secretariat, one Verification Panel, defined committees, no further permanent bodies; institutional deadlines and anti-deadlock.</w:t>
      </w:r>
    </w:p>
    <w:p>
      <w:pPr>
        <w:pStyle w:val="Normal"/>
      </w:pPr>
      <w:r>
        <w:t>F-6. Articles 34.A–34.E (hardened). Structured Technical Amendment Procedure narrowed to nomenclature, in-range thresholds, technical standards, and annex maintenance, with an express prohibition on substantively legislative use and a Chapter 31 challenge route; Article 34.7 replaced with indefinite duration and modernization review mechanics under the No-Fade Guarantee; side-letter supersession; a 12-month mechanical verification and corrigendum process for the consolidated text against the authoritative instruments.</w:t>
      </w:r>
    </w:p>
    <w:p>
      <w:pPr>
        <w:pStyle w:val="Heading2"/>
      </w:pPr>
      <w:bookmarkStart w:id="902254" w:name="_Toc300002253"/>
      <w:r>
        <w:t>PACKAGE W-L: SOFTWOOD LUMBER, HOUSING SUPPLY, AND FORESTRY STABILITY (v4.2-L)</w:t>
      </w:r>
      <w:bookmarkEnd w:id="902254"/>
    </w:p>
    <w:p>
      <w:pPr>
        <w:pStyle w:val="Normal"/>
      </w:pPr>
      <w:r>
        <w:t>W-L1. Chapter 42 expanded into a durable softwood-lumber and forestry stability architecture. The package preserves the existing stumpage-neutrality and expedited-review framework while adding: an objective-criteria/non-arbitrariness rule; a neutral Market-Based Forestry Practice Safe Harbor; North American housing-supply and affordability cooperation; a condition-triggered housing and disaster-reconstruction emergency valve; an Advanced Wood Products and Value-Added Manufacturing Corridor; mutual recognition for equivalent grading, kiln-drying, phytosanitary, fire-performance, sustainability, and related certifications; prospective-treatment and reliance protections; Trusted Forest Products Trade Lane procedures; a trilateral Forestry Resilience and Forest-Health Partnership; neutral Indigenous/community/SME participation pathways; carefully bounded public-construction cooperation; and a Cothrom interface limited to factual verification. Article 42.7 is converted to explicit No-Fade continuity and Rolling-Horizon review. The package deliberately does not establish fixed duty rates, province-specific exemptions, rail-only preferences, mandatory procurement volumes, blanket ownership-based duty exemptions, withdrawal of WTO/CUSMA remedies, or automatic calendar-based sunsets.</w:t>
      </w:r>
    </w:p>
    <w:p>
      <w:pPr>
        <w:pStyle w:val="Heading2"/>
      </w:pPr>
      <w:bookmarkStart w:id="902255" w:name="_Toc300002254"/>
      <w:r>
        <w:t>PACKAGE W-M: PRELIMINARY STRATEGIC MINERALS, SEMICONDUCTOR, AND FORESTRY BARGAIN INTEGRATION (v4.9)</w:t>
      </w:r>
      <w:bookmarkEnd w:id="902255"/>
    </w:p>
    <w:p>
      <w:pPr>
        <w:pStyle w:val="Normal"/>
      </w:pPr>
      <w:r>
        <w:t>This package adds Articles 37.19 through 37.30 establishing concrete strategic-minerals bargains, country-specific industrialization and dependency tracks, by-product recovery, raw-to-refined additionality, a defined supply-surge doctrine, and an authorized-surge firewall; Articles 39.13 through 39.18 establishing a dedicated North American Semiconductor Security and Competitiveness Pact; and Articles 42.19 through 42.23 establishing staged minerals-for-forestry normalization subject to institutional performance, proportional linkage, and Cothrom review. Numerical commitments remain subject to calibration and schedule adoption where expressly required.</w:t>
      </w:r>
    </w:p>
    <w:p>
      <w:pPr>
        <w:pStyle w:val="Heading2"/>
      </w:pPr>
      <w:bookmarkStart w:id="902256" w:name="_Toc300002255"/>
      <w:r>
        <w:t>PACKAGE AB: MEXICO PARITY, TRILATERAL PROCUREMENT, FORESTRY INTEGRATION, AND INDUSTRIAL RESILIENCE (v5.0)</w:t>
      </w:r>
      <w:bookmarkEnd w:id="902256"/>
    </w:p>
    <w:p>
      <w:pPr>
        <w:pStyle w:val="Normal"/>
      </w:pPr>
      <w:r>
        <w:t>Added Articles 42.24–42.29, 48.6, 49.7–49.9, 50.8, 59.22, and Chapter 61. The package gives Mexico concrete forestry, tariff-normalization, automotive-origin, digital-manufacturing, procurement, and industrial-resilience benefits while preserving the bilateral character of the historic Canada-United States softwood-lumber dispute. It also creates a North American strategic procurement lane and a defense-industrial materials/resilience chapter with civilian-priority and no-compulsory-production safeguards.</w:t>
      </w:r>
    </w:p>
    <w:p>
      <w:pPr>
        <w:pStyle w:val="Heading2"/>
      </w:pPr>
      <w:bookmarkStart w:id="902257" w:name="_Toc300002256"/>
      <w:r>
        <w:t>PACKAGE AE: SYNCHRONIZED EXCHANGE, STRATEGIC MATERIALS PREFERRED ACCESS, AND FORESTRY COMMENSURABILITY (v5.4)</w:t>
      </w:r>
      <w:bookmarkEnd w:id="902257"/>
    </w:p>
    <w:p>
      <w:pPr>
        <w:pStyle w:val="Heading2"/>
      </w:pPr>
      <w:bookmarkStart w:id="902258" w:name="_Toc300002257"/>
      <w:r>
        <w:t>PACKAGE AI: ESSENTIAL-SECURITY ANTI-CIRCUMVENTION AND TRUSTED-SUPPLY FIREWALL (v5.8)</w:t>
      </w:r>
      <w:bookmarkEnd w:id="902258"/>
    </w:p>
    <w:p>
      <w:pPr>
        <w:pStyle w:val="Normal"/>
      </w:pPr>
      <w:r>
        <w:t>AI-1. Articles 32.A.1 through 32.A.9 classify security measures by function rather than label, preserve sovereign security judgment while making implementation reviewable, and prevent domestic-law, quota, licensing, procurement, inspection, or subnational end-runs around treaty safeguards.</w:t>
      </w:r>
    </w:p>
    <w:p>
      <w:pPr>
        <w:pStyle w:val="Normal"/>
      </w:pPr>
      <w:r>
        <w:t>AI-2. Party-originating supply receives a rebuttable trusted-supply presumption; speculative future unreliability, ordinary foreign ownership, and incidental third-country connections do not establish insecurity.</w:t>
      </w:r>
    </w:p>
    <w:p>
      <w:pPr>
        <w:pStyle w:val="Normal"/>
      </w:pPr>
      <w:r>
        <w:t>AI-3. Self-created emergencies, security inflation, formally global measures, repeated investigations, and classified-evidence black boxes receive specific anti-abuse disciplines, while genuine hostile control, circumvention, sanctions exposure, and concrete vulnerabilities remain actionable.</w:t>
      </w:r>
    </w:p>
    <w:p>
      <w:pPr>
        <w:pStyle w:val="Normal"/>
      </w:pPr>
      <w:r>
        <w:t>AI-4. A non-derogable procedural core survives every security invocation, including notice, evidence preservation, independent review, integrity rules, humanitarian protection, periodic necessity review, and automatic restoration.</w:t>
      </w:r>
    </w:p>
    <w:p>
      <w:pPr>
        <w:pStyle w:val="Heading2"/>
      </w:pPr>
      <w:bookmarkStart w:id="902259" w:name="_Toc300002258"/>
      <w:r>
        <w:t>PACKAGE AJ: CONTINUOUS TREATY, SOVEREIGN EXIT, AND ANTI-HOSTAGE WITHDRAWAL ARCHITECTURE (v5.8)</w:t>
      </w:r>
      <w:bookmarkEnd w:id="902259"/>
    </w:p>
    <w:p>
      <w:pPr>
        <w:pStyle w:val="Normal"/>
      </w:pPr>
      <w:r>
        <w:t>AJ-1. Articles 34.G through 34.M preserve sovereign withdrawal while separating review from survival, preventing selective exit, notice cycling, legal effect from political rhetoric, and retroactive erasure of accrued responsibility.</w:t>
      </w:r>
    </w:p>
    <w:p>
      <w:pPr>
        <w:pStyle w:val="Normal"/>
      </w:pPr>
      <w:r>
        <w:t>AJ-2. Withdrawal decisions are integrated into the MNPTI firewall; full performance continues through the notice period; jurisdiction, integrity review, record preservation, and accrued obligations survive as necessary.</w:t>
      </w:r>
    </w:p>
    <w:p>
      <w:pPr>
        <w:pStyle w:val="Normal"/>
      </w:pPr>
      <w:r>
        <w:t>AJ-3. Settlement Finality establishes that continued performance of an existing bargain is not a fresh concession. Bilateral diplomacy cannot modify the third Party's trilateral rights without consent.</w:t>
      </w:r>
    </w:p>
    <w:p>
      <w:pPr>
        <w:pStyle w:val="Normal"/>
      </w:pPr>
      <w:r>
        <w:t>AJ-4. Reaccession is deliberate rather than automatic and cannot be used as a temporary treaty holiday.</w:t>
      </w:r>
    </w:p>
    <w:p>
      <w:pPr>
        <w:pStyle w:val="Heading2"/>
      </w:pPr>
      <w:bookmarkStart w:id="902260" w:name="_Toc300002259"/>
      <w:r>
        <w:t>PACKAGE AK: BUREAUCRATIC CONTINUITY, ADMINISTRATIVE FRICTION, AND INSTITUTIONAL SAFE-MODE HARDENING (v5.8)</w:t>
      </w:r>
      <w:bookmarkEnd w:id="902260"/>
    </w:p>
    <w:p>
      <w:pPr>
        <w:pStyle w:val="Normal"/>
      </w:pPr>
      <w:r>
        <w:t>AK-1. Articles 46.12 through 46.19 make institutions vacancy-proof, boycott-resistant, less vulnerable to consensus hostage-taking, capable of protected evidence access, resistant to evidentiary landfill and successor-measure whack-a-mole, and able to detect cumulative administrative patterns.</w:t>
      </w:r>
    </w:p>
    <w:p>
      <w:pPr>
        <w:pStyle w:val="Normal"/>
      </w:pPr>
      <w:r>
        <w:t>AK-2. Articles 47.14 through 47.18 protect core institutional funding, create auditable and redundant Secretariat operations, activate Safe Mode during outages, protect reasonable reliance on official administration, and govern automated or algorithmic administrative systems.</w:t>
      </w:r>
    </w:p>
    <w:p>
      <w:pPr>
        <w:pStyle w:val="Normal"/>
      </w:pPr>
      <w:r>
        <w:t>AK-3. Articles 50.9 through 50.14 target customs friction, repeated audits, licensing purgatory, application goalpost shifting, trusted-status harassment, certification bottlenecks, and technical deadline games while preserving legitimate safety, security, health, environmental, and enforcement authority.</w:t>
      </w:r>
    </w:p>
    <w:p>
      <w:pPr>
        <w:pStyle w:val="Normal"/>
      </w:pPr>
      <w:r>
        <w:t>AK-4. Article 35.59 establishes a treaty-wide Issue-Nexus Firewall so unrelated political or diplomatic grievances cannot be laundered into trade enforcement.</w:t>
      </w:r>
    </w:p>
    <w:p>
      <w:pPr>
        <w:pStyle w:val="Heading2"/>
      </w:pPr>
      <w:bookmarkStart w:id="902261" w:name="_Toc300002260"/>
      <w:r>
        <w:t>PACKAGE AL: EFFECTIVE PERFORMANCE AND ANTI-MALICIOUS-COMPLIANCE FIREWALL (v5.9)</w:t>
      </w:r>
      <w:bookmarkEnd w:id="902261"/>
    </w:p>
    <w:p>
      <w:pPr>
        <w:pStyle w:val="Normal"/>
      </w:pPr>
      <w:r>
        <w:t>AL-1. Articles 46.20–46.24 establish effective treaty performance, cumulative-friction and whole-of-government review, functional-successor restoration, institutional anti-paralysis, and implementation simplicity without converting treaty purpose into free-floating law.</w:t>
      </w:r>
    </w:p>
    <w:p>
      <w:pPr>
        <w:pStyle w:val="Normal"/>
      </w:pPr>
      <w:r>
        <w:t>AL-2. Articles 50.15–50.19 close serial-processing, clock-reset, completeness, selective-intensity, proxy-discrimination, capacity-starvation, optional-pathway, informal-guidance, seasonal, corridor, and tail-risk loopholes.</w:t>
      </w:r>
    </w:p>
    <w:p>
      <w:pPr>
        <w:pStyle w:val="Normal"/>
      </w:pPr>
      <w:r>
        <w:t>AL-3. The package deliberately relies on objective operation and effect rather than proof of malicious intent, while preserving safe space for legitimate health, safety, environment, security, privacy, revenue, fraud-prevention, and other public-interest regulation.</w:t>
      </w:r>
    </w:p>
    <w:p>
      <w:pPr>
        <w:pStyle w:val="Normal"/>
      </w:pPr>
      <w:r>
        <w:t>AL-4. Cumulative violations must receive cumulative restoration; repeal of one component does not establish cure where the treaty-inconsistent impairment materially persists.</w:t>
      </w:r>
    </w:p>
    <w:p>
      <w:pPr>
        <w:pStyle w:val="Normal"/>
      </w:pPr>
      <w:r>
        <w:t>AL-5. Treaty bodies receive proportionate anti-overload tools, including consolidation, structured submissions, usable reasons, issue lists, and consultation-exhaustion rules, subject to due process and non-derogable safeguards.</w:t>
      </w:r>
    </w:p>
    <w:p>
      <w:pPr>
        <w:pStyle w:val="Heading2"/>
      </w:pPr>
      <w:bookmarkStart w:id="902262" w:name="_Toc300002261"/>
      <w:r>
        <w:t>PACKAGE AM: FISCAL SOVEREIGNTY AND ANTI-COERCION FIREWALL (v5.9)</w:t>
      </w:r>
      <w:bookmarkEnd w:id="902262"/>
    </w:p>
    <w:p>
      <w:pPr>
        <w:pStyle w:val="Normal"/>
      </w:pPr>
      <w:r>
        <w:t>AM-1. Articles 32.3A–32.3H preserve broad taxation sovereignty while preventing a tax label, fiscal form, or portfolio of charges from laundering a prohibited tariff substitute, origin restriction, coercive trade remedy, political retaliation mechanism, or circumvention of a specifically negotiated market-access commitment.</w:t>
      </w:r>
    </w:p>
    <w:p>
      <w:pPr>
        <w:pStyle w:val="Normal"/>
      </w:pPr>
      <w:r>
        <w:t>AM-2. Fiscal review examines effective burden, including base, rate, deductions, credits, exemptions, valuation, timing, refunds, penalties, bonds, deposits, security requirements, administration, and cumulative operation rather than nominal rate alone.</w:t>
      </w:r>
    </w:p>
    <w:p>
      <w:pPr>
        <w:pStyle w:val="Normal"/>
      </w:pPr>
      <w:r>
        <w:t>AM-3. The package addresses proxy fiscal discrimination, tax-credit substitution pressure, audit and refund harassment, methodology manipulation, political-proxy targeting, retroactivity, treaty-settlement fiscal hostage-taking, and fiscal classification whack-a-mole.</w:t>
      </w:r>
    </w:p>
    <w:p>
      <w:pPr>
        <w:pStyle w:val="Normal"/>
      </w:pPr>
      <w:r>
        <w:t>AM-4. Article 32.3G preserves tax-convention priority and designated-authority competence while allowing evidence preservation and narrowly tailored interim protection that does not prejudge the tax-convention question.</w:t>
      </w:r>
    </w:p>
    <w:p>
      <w:pPr>
        <w:pStyle w:val="Normal"/>
      </w:pPr>
      <w:r>
        <w:t>AM-5. Cothrom is expressly barred from becoming a general appellate body for the wisdom, progressivity, level, or political desirability of domestic taxation. Remedies target the treaty-inconsistent feature while preserving bona fide alternative revenue design.</w:t>
      </w:r>
    </w:p>
    <w:p>
      <w:pPr>
        <w:pStyle w:val="Heading2"/>
      </w:pPr>
      <w:bookmarkStart w:id="902263" w:name="_Toc300002262"/>
      <w:r>
        <w:t>PACKAGE AN: RECIPROCAL PROCUREMENT COMPACT AND VALUE-EQUIVALENCE INTEGRATION (v6.0)</w:t>
      </w:r>
      <w:bookmarkEnd w:id="902263"/>
    </w:p>
    <w:p>
      <w:pPr>
        <w:pStyle w:val="Normal"/>
      </w:pPr>
      <w:r>
        <w:t>AN-1. Articles 49.7A–49.7H convert the preliminary procurement architecture into a practical reciprocal-access compact based on comparable opportunity rather than identical spending, institutions, or award outcomes.</w:t>
      </w:r>
    </w:p>
    <w:p>
      <w:pPr>
        <w:pStyle w:val="Normal"/>
      </w:pPr>
      <w:r>
        <w:t>AN-2. The Effective Accessible Procurement Value method measures contestable covered value, thresholds, preference intensity, sector breadth, qualification burden, practical usability, payment, review, and related access conditions while excluding genuinely unavailable procurement from inflated headline totals.</w:t>
      </w:r>
    </w:p>
    <w:p>
      <w:pPr>
        <w:pStyle w:val="Normal"/>
      </w:pPr>
      <w:r>
        <w:t>AN-3. Reciprocity Bands and a sovereign Rebalancing Menu permit each Party to cure material imbalance by choosing among additional coverage, lower thresholds, reduced preference intensity, SME facilitation, credential recognition, voluntary subnational participation, or other measurable access improvements. Enhanced benefits earn back automatically after verified cure.</w:t>
      </w:r>
    </w:p>
    <w:p>
      <w:pPr>
        <w:pStyle w:val="Normal"/>
      </w:pPr>
      <w:r>
        <w:t>AN-4. The package creates an interoperable North American SME Procurement Passport and opportunity-discovery architecture, protects constitutional federalism, and rewards voluntary provincial, state, and other constitutionally competent subnational participation without compulsory federalization.</w:t>
      </w:r>
    </w:p>
    <w:p>
      <w:pPr>
        <w:pStyle w:val="Normal"/>
      </w:pPr>
      <w:r>
        <w:t>AN-5. Strategic-capacity and resilience procurement may reward genuine new continental capacity and optional aggregated demand, but nationality scoring among qualifying Canadian, Mexican, and United States suppliers and intra-North-American cannibalization do not earn resilience credit.</w:t>
      </w:r>
    </w:p>
    <w:p>
      <w:pPr>
        <w:pStyle w:val="Normal"/>
      </w:pPr>
      <w:r>
        <w:t>AN-6. Anti-gaming rules address contract splitting, entity shuffling, successor procurement, proxy purchasing, mid-tender rule changes, disguised local-presence requirements, discriminatory payment practices, and security-label overreach while preserving legitimate lifecycle, emergency, safety, integrity, and security procurement.</w:t>
      </w:r>
    </w:p>
    <w:p>
      <w:pPr>
        <w:pStyle w:val="Normal"/>
      </w:pPr>
      <w:r>
        <w:t>AN-7. Annex 49-A is upgraded from a preliminary landing schedule into the North American Procurement Value-Equivalence and Landing Schedule, with contestable-value rules, EAPV factors, Reciprocity Bands, rebalancing, SME and capacity modifiers, voluntary subnational schedules, annual review, data protection, and a Three-Win review.</w:t>
      </w:r>
    </w:p>
    <w:p>
      <w:pPr>
        <w:pStyle w:val="Normal"/>
      </w:pPr>
      <w:r>
        <w:t>AN-8. The package expressly guarantees equitable opportunity to compete rather than predetermined contract outcomes and makes correction or procurement rebalancing the first remedy for equivalence shortfalls.</w:t>
      </w:r>
    </w:p>
    <w:p>
      <w:pPr>
        <w:pStyle w:val="Heading2"/>
      </w:pPr>
      <w:bookmarkStart w:id="902264" w:name="_Toc300002263"/>
      <w:r>
        <w:t>PACKAGE AH: ANTI-MANUFACTURED ESCALATION AND MARKET-INTEGRITY HARDENING (v5.7)</w:t>
      </w:r>
      <w:bookmarkEnd w:id="902264"/>
    </w:p>
    <w:p>
      <w:pPr>
        <w:pStyle w:val="Normal"/>
      </w:pPr>
      <w:r>
        <w:t>AH-1. Articles 35.46-35.52 close manufactured-escalation pathways through binding Cure Certification, a strict non-tariff incapacity test, standardized economic-harm and model-integrity rules, strategic-nexus and market-definition safeguards, aggregate-remedy review, repetitive-petition safe harbours, and automatic learning review after every authorized tariff.</w:t>
      </w:r>
    </w:p>
    <w:p>
      <w:pPr>
        <w:pStyle w:val="Normal"/>
      </w:pPr>
      <w:r>
        <w:t>AH-2. Full Cure Certification prevents a Party from perpetuating a resolved violation through unilateral disagreement; materially new facts or fraud are required to reopen the issue.</w:t>
      </w:r>
    </w:p>
    <w:p>
      <w:pPr>
        <w:pStyle w:val="Normal"/>
      </w:pPr>
      <w:r>
        <w:t>AH-3. The exhaustion bypass is narrowly limited to material, non-speculative, substantially irreversible harm that cannot reasonably be addressed by accelerated or provisional non-tariff measures.</w:t>
      </w:r>
    </w:p>
    <w:p>
      <w:pPr>
        <w:pStyle w:val="Normal"/>
      </w:pPr>
      <w:r>
        <w:t>AH-4. Economic models supporting escalation must separate observed and forecast loss, avoid double counting, disclose assumptions and uncertainty, and undergo independent replication or technical review.</w:t>
      </w:r>
    </w:p>
    <w:p>
      <w:pPr>
        <w:pStyle w:val="Normal"/>
      </w:pPr>
      <w:r>
        <w:t>AH-5. Security and strategic claims require concrete vulnerability rather than mere connection to a sensitive sector; market definitions are independently validated to prevent denominator engineering.</w:t>
      </w:r>
    </w:p>
    <w:p>
      <w:pPr>
        <w:pStyle w:val="Normal"/>
      </w:pPr>
      <w:r>
        <w:t>AH-6. Aggregate Remedy and Repetitive Petition safeguards prevent multiple legitimate proceedings from becoming de facto cross-sector punishment or perpetual tariff uncertainty.</w:t>
      </w:r>
    </w:p>
    <w:p>
      <w:pPr>
        <w:pStyle w:val="Normal"/>
      </w:pPr>
      <w:r>
        <w:t>AH-7. Articles 35.53-35.58 and Annex 35-J create the Market Integrity and Non-Public Trade Information Firewall covering MNPTI, trading and tipping, derivatives and prediction markets, blackout and preclearance, beneficial ownership, record preservation, simultaneous Registry publication, selective disclosure, false procedural statements, regulatory event-window cooperation, and independent Market Integrity review.</w:t>
      </w:r>
    </w:p>
    <w:p>
      <w:pPr>
        <w:pStyle w:val="Normal"/>
      </w:pPr>
      <w:r>
        <w:t>AH-8. A material market-manipulation or improper-profit scheme attributable to the tariff-petitioning Party can dismiss or terminate the tariff petition, while anti-false-flag rules prevent unrelated misconduct from rewarding another wrongdoer.</w:t>
      </w:r>
    </w:p>
    <w:p>
      <w:pPr>
        <w:pStyle w:val="Normal"/>
      </w:pPr>
      <w:r>
        <w:t>AH-9. The three-year tariff-abolition study now measures the economic shadow of tariff authority itself, including volatility, investment delay, hedging and financing costs, and procedural uncertainty even when no tariff is ultimately imposed.</w:t>
      </w:r>
    </w:p>
    <w:p>
      <w:pPr>
        <w:pStyle w:val="Heading2"/>
      </w:pPr>
      <w:bookmarkStart w:id="902265" w:name="_Toc300002264"/>
      <w:r>
        <w:t>PACKAGE AG: GUARANTOR INTEGRITY FIREWALL AND ANTI-CAPTURE HARDENING (v5.6)</w:t>
      </w:r>
      <w:bookmarkEnd w:id="902265"/>
    </w:p>
    <w:p>
      <w:pPr>
        <w:pStyle w:val="Normal"/>
      </w:pPr>
      <w:r>
        <w:t>AG-1. Article 35.42 prohibits direct and indirect bribery, inducement, coercion, reward, benefit-conditioning, and intermediary evasion aimed at guarantor selection, recusal, voting, reasoning, or timing.</w:t>
      </w:r>
    </w:p>
    <w:p>
      <w:pPr>
        <w:pStyle w:val="Normal"/>
      </w:pPr>
      <w:r>
        <w:t>AG-2. A verified material integrity breach caused or knowingly participated in by the tariff-petitioning Party automatically dismisses the petition for 180 days as to the same underlying breach and constitutes an independent Tier 3 treaty-integrity violation.</w:t>
      </w:r>
    </w:p>
    <w:p>
      <w:pPr>
        <w:pStyle w:val="Normal"/>
      </w:pPr>
      <w:r>
        <w:t>AG-3. Article 35.43 creates a secure communications docket, bars private merits lobbying, requires prompt memorialization of substantive contacts, guarantees equality of arms, and requires independent security-cleared testing of material classified evidence that cannot be disclosed to another Party.</w:t>
      </w:r>
    </w:p>
    <w:p>
      <w:pPr>
        <w:pStyle w:val="Normal"/>
      </w:pPr>
      <w:r>
        <w:t>AG-4. Article 35.44 establishes financial-interest disclosure, gift and employment restrictions, associated-person conflict rules, a two-year cooling-off period, and disclosure review for extraordinary discretionary bilateral benefits from 90 days before selection through one year after disposition.</w:t>
      </w:r>
    </w:p>
    <w:p>
      <w:pPr>
        <w:pStyle w:val="Normal"/>
      </w:pPr>
      <w:r>
        <w:t>AG-5. Article 35.45 creates a randomly selected three-member Integrity Panel to decide recusals and corruption/coercion allegations, prevents strategic recusal shopping, distinguishes independently corrupted guarantors from petitioning-party taint, and authorizes post-decision reward review.</w:t>
      </w:r>
    </w:p>
    <w:p>
      <w:pPr>
        <w:pStyle w:val="Normal"/>
      </w:pPr>
      <w:r>
        <w:t>AG-6. Annex 35-I establishes the integrity register, extraordinary-benefit screening factors, standardized guarantor compensation, independence declarations, and post-service certification.</w:t>
      </w:r>
    </w:p>
    <w:p>
      <w:pPr>
        <w:pStyle w:val="Heading2"/>
      </w:pPr>
      <w:bookmarkStart w:id="902266" w:name="_Toc300002265"/>
      <w:r>
        <w:t>PACKAGE AF: DEMERIT ENFORCEMENT, ROTATING GUARANTOR TARIFF QUARANTINE, AND THREE-YEAR ABOLITION STUDY (v5.5)</w:t>
      </w:r>
      <w:bookmarkEnd w:id="902266"/>
    </w:p>
    <w:p>
      <w:pPr>
        <w:pStyle w:val="Normal"/>
      </w:pPr>
      <w:r>
        <w:t>AF-1. Article 35.37 and Annex 35-G establish a Cothrom-linked demerit system in which verified noncompliance accumulates expiring points and ordinarily reduces only directly related enhanced treaty preferences by 5, 10, 15, or 20 percent. Ordinary zero-duty treatment for originating goods is not a demerit target.</w:t>
      </w:r>
    </w:p>
    <w:p>
      <w:pPr>
        <w:pStyle w:val="Normal"/>
      </w:pPr>
      <w:r>
        <w:t>AF-2. Articles 35.38 through 35.40 quarantine tariffs as an absolute last-resort remedy. A tariff requires exhaustion or demonstrated inadequacy of non-tariff remedies, clear and convincing evidence, direct module nexus, and authorization by a rotating five-State neutral guarantor panel.</w:t>
      </w:r>
    </w:p>
    <w:p>
      <w:pPr>
        <w:pStyle w:val="Normal"/>
      </w:pPr>
      <w:r>
        <w:t>AF-3. Guarantor approval requires four of five votes; a rate above 10 percent requires unanimity; no authorized tariff may exceed 15 percent; ordinary authorization is capped at 5 percent and serious persistent Tier 3 cases at 10 percent.</w:t>
      </w:r>
    </w:p>
    <w:p>
      <w:pPr>
        <w:pStyle w:val="Normal"/>
      </w:pPr>
      <w:r>
        <w:t>AF-4. Annex 35-H creates a 25-State candidate guarantor pool, subject to written consent and unanimous Party confirmation. Panel members are selected by transparent stratified random draw, cannot serve on consecutive tariff panels, and are subject to conflict-of-interest recusal and anti-retaliation protection.</w:t>
      </w:r>
    </w:p>
    <w:p>
      <w:pPr>
        <w:pStyle w:val="Normal"/>
      </w:pPr>
      <w:r>
        <w:t>AF-5. Article 35.40 adds an economic Tariff Burden Test, 30-day ordinary sunset, 60-day absolute authorization limit, automatic cure termination, fresh-panel renewal, humanitarian firewall, and prohibition on using prospective tariff authority as bargaining leverage.</w:t>
      </w:r>
    </w:p>
    <w:p>
      <w:pPr>
        <w:pStyle w:val="Normal"/>
      </w:pPr>
      <w:r>
        <w:t>AF-6. Article 35.41 requires a joint study within three years to determine whether intra-North-American tariffs should be abolished entirely and replaced by non-tariff compliance mechanisms, followed by a special ministerial review within 180 days of the report.</w:t>
      </w:r>
    </w:p>
    <w:p>
      <w:pPr>
        <w:pStyle w:val="Normal"/>
      </w:pPr>
      <w:r>
        <w:t>AE-1. Article 35.36 establishes a treaty-wide, trilateral No Uncompensated Front-Loading rule. Expressly paired concessions and benefits activate concurrently or at matched milestones, with verification, short cure, proportional step-back, and automatic restoration; ordinary implementation delay is distinguished from deliberate non-performance.</w:t>
      </w:r>
    </w:p>
    <w:p>
      <w:pPr>
        <w:pStyle w:val="Normal"/>
      </w:pPr>
      <w:r>
        <w:t>AE-2. Articles 37.6C–37.6D convert the rejected concept of treaty-wide exclusive mineral access into a non-exclusive Strategic Materials Preferred Commercial Access Portfolio. Windows are market-based, capacity-sensitive, generally focused on incremental/export-available supply, preserve domestic requirements and existing contracts, prohibit compulsory production and below-market sale, and retain diversified third-country trade.</w:t>
      </w:r>
    </w:p>
    <w:p>
      <w:pPr>
        <w:pStyle w:val="Normal"/>
      </w:pPr>
      <w:r>
        <w:t>AE-3. Initial negotiating calibration ranges are recorded for expert validation rather than as unconditional delivery quotas: aluminum 30–50 percent of qualifying incremental capacity; potash 15–25 percent; zinc about 15 percent; copper 10–20 percent; iron approximately 8–15 percent or another capacity-supported range; gold about 3–5 percent; uranium 2–2.5 percent; scarce/specialty minerals case-by-case, including zero where warranted.</w:t>
      </w:r>
    </w:p>
    <w:p>
      <w:pPr>
        <w:pStyle w:val="Normal"/>
      </w:pPr>
      <w:r>
        <w:t>AE-4. Articles 42.23A–42.23B create a three-level Strategic Materials-for-Forestry Normalization Ladder. Level I pairs a bounded abundant-material access package with elimination of the additional 10 percent Section 232 softwood-lumber tariff through the adopted implementing schedule. Higher-value Level II and III mineral, processing, stockpile, offtake, and investment cooperation is reserved for measurable reduction of remaining trade-remedy burdens and a durable forestry settlement.</w:t>
      </w:r>
    </w:p>
    <w:p>
      <w:pPr>
        <w:pStyle w:val="Normal"/>
      </w:pPr>
      <w:r>
        <w:t>AE-5. The package adds No Double Payment and No Commodity Contagion safeguards. A contribution cannot be repeatedly charged as new consideration, and failure in one commodity does not automatically unwind independently earned benefits in other commodities.</w:t>
      </w:r>
    </w:p>
    <w:p>
      <w:pPr>
        <w:pStyle w:val="Normal"/>
      </w:pPr>
      <w:r>
        <w:t>AE-6. The package preserves Article 37.6B’s resource-sovereignty firewall. Preferred access does not create exclusive rights, compulsory extraction, an export veto, mandatory mine development, foreign ownership of resources, or a prohibition on Canadian, Mexican, or United States trade with trusted non-Parties.</w:t>
      </w:r>
    </w:p>
    <w:p>
      <w:pPr>
        <w:pStyle w:val="Heading2"/>
      </w:pPr>
      <w:bookmarkStart w:id="902267" w:name="_Toc300002266"/>
      <w:r>
        <w:t>UNRESOLVED ITEMS AND DELIBERATE OMISSIONS</w:t>
      </w:r>
      <w:bookmarkEnd w:id="902267"/>
    </w:p>
    <w:p>
      <w:pPr>
        <w:pStyle w:val="Normal"/>
      </w:pPr>
      <w:r>
        <w:t>1. Single-Party (50%) automotive content: not adopted; the D-1 compromise delivers higher effective regional content by other means. Unresolved negotiating item.</w:t>
      </w:r>
    </w:p>
    <w:p>
      <w:pPr>
        <w:pStyle w:val="Normal"/>
      </w:pPr>
      <w:r>
        <w:t>2. Dismantling supply management: not adopted; Article 2.D disciplines administration while preserving structure. Unresolved item.</w:t>
      </w:r>
    </w:p>
    <w:p>
      <w:pPr>
        <w:pStyle w:val="Normal"/>
      </w:pPr>
      <w:r>
        <w:t>3. Broader procurement access: consultation and reciprocity channels rather than a general carve-in; procurement retaliation expressly disciplined under Article 35.4A.1(l). Unresolved item.</w:t>
      </w:r>
    </w:p>
    <w:p>
      <w:pPr>
        <w:pStyle w:val="Normal"/>
      </w:pPr>
      <w:r>
        <w:t>4. Pharmaceutical pricing, seeds/produce rules, electricity-market specifics: routed to regulatory-cooperation and consultation mechanisms.</w:t>
      </w:r>
    </w:p>
    <w:p>
      <w:pPr>
        <w:pStyle w:val="Normal"/>
      </w:pPr>
      <w:r>
        <w:t>5. Digital/cultural domestic regulation: policy space preserved, consistent with all three Parties’ stated positions.</w:t>
      </w:r>
    </w:p>
    <w:p>
      <w:pPr>
        <w:pStyle w:val="Normal"/>
      </w:pPr>
      <w:r>
        <w:t>6. Domestic-content subsidy design: coordinated through national-treatment and subsidy disciplines (Article 35.4A.2) rather than reclassification as border measures, preserving legitimate industrial policy.</w:t>
      </w:r>
    </w:p>
    <w:p>
      <w:pPr>
        <w:pStyle w:val="Heading2"/>
      </w:pPr>
      <w:bookmarkStart w:id="902268" w:name="_Toc300002267"/>
      <w:r>
        <w:t>PACKAGE Z: TARIFF FIREWALL, HUMANITARIAN PROTECTION, ENERGY OPTIONALITY, AND EXPERIMENTAL DEVELOPMENT (v4.5)</w:t>
      </w:r>
      <w:bookmarkEnd w:id="902268"/>
    </w:p>
    <w:p>
      <w:pPr>
        <w:pStyle w:val="Normal"/>
      </w:pPr>
      <w:r>
        <w:t>Package Z records the v4.5 integration of four hardening families into their native chapters. Chapter 35 now adds a permanent zero-tariff presumption for originating goods, a finite Corrective Tariff Budget with an automatic six-month lockout after exhaustion, and a Humanitarian Tariff Firewall. Chapter 38 adds emergency release and classification safeguards for strictly life-saving humanitarian goods. Chapter 39 adds an iterative Experimental Technology Pathway with project-specific iteration thresholds, a software/simulation or other technically appropriate Revalidation Gate after repeated unsuccessful physical iterations, derivative development, and productive closure. Chapter 40 adds an outcome-based Energy Optionality architecture, a No Named-Project Obligation, functional substitution, existing-corridor optimization, predictable regulatory coordination, a broad energy-security portfolio, workforce cooperation, a non-binding candidate register, and an Energy Optionality and Equivalency Matrix. Existing institutions administer all additions unless an authenticated amendment expressly provides otherwise.</w:t>
      </w:r>
    </w:p>
    <w:p>
      <w:pPr>
        <w:pStyle w:val="Heading2"/>
      </w:pPr>
      <w:bookmarkStart w:id="902269" w:name="_Toc300002268"/>
      <w:r>
        <w:t>PACKAGE Y: INTEGRATED OPERATIONAL HARDENING AND INTERIM TARIFF-DURABILITY AMENDMENTS (v4.4)</w:t>
      </w:r>
      <w:bookmarkEnd w:id="902269"/>
    </w:p>
    <w:p>
      <w:pPr>
        <w:pStyle w:val="Normal"/>
      </w:pPr>
      <w:r>
        <w:t>Package Y records the v4.4 integration of administrative simplification and tariff-durability provisions into their native chapters. The operative text is located in Chapters 1, 4, 5, 30, 34, 35, 42, and 59 and Annexes 4-E-1 and 5-Z. The amendments preserve existing substantive safeguards, reduce duplicative verification, establish risk-tiered administration, protect ordinary duty-free automotive qualification from unnecessary alternative calculations, strengthen treatment of binding tariff suspensions, clarify the distinction between political commitments and legal obligations, and require existing institutions to absorb new administrative functions wherever reasonably possible.</w:t>
      </w:r>
    </w:p>
    <w:p>
      <w:pPr>
        <w:pStyle w:val="Heading2"/>
      </w:pPr>
      <w:bookmarkStart w:id="902270" w:name="_Toc300002269"/>
      <w:r>
        <w:t>PACKAGE Y-S: SOVEREIGNTY, AUTOMOTIVE SCOPE, CULTURE, AND STRATEGIC-RESOURCE HARDENING (v5.3)</w:t>
      </w:r>
      <w:bookmarkEnd w:id="902270"/>
    </w:p>
    <w:p>
      <w:pPr>
        <w:pStyle w:val="Normal"/>
      </w:pPr>
      <w:r>
        <w:t>Y-S1. Article 32.G (new). Explicit External Economic Relations and Treaty Sovereignty rule: consultation and anti-circumvention review remain available, but no Party receives a veto over another Party's non-Party economic arrangements.</w:t>
      </w:r>
    </w:p>
    <w:p>
      <w:pPr>
        <w:pStyle w:val="Normal"/>
      </w:pPr>
      <w:r>
        <w:t>Y-S2. Article 34.A.1A (new). Reserved Sovereignty Matter safeguard prevents substantive late-stage demands affecting treaty-making authority, constitutional jurisdiction, culture and language, natural-resource sovereignty, or equality of originating content from passing as legal scrub or technical amendment.</w:t>
      </w:r>
    </w:p>
    <w:p>
      <w:pPr>
        <w:pStyle w:val="Normal"/>
      </w:pPr>
      <w:r>
        <w:t>Y-S3. Article 37.6B (new). Prohibits treaty-wide rights of first refusal, exclusive mineral claims, compulsory offtakes, export vetoes, production-direction rights, and compulsory extraction while preserving voluntary project-specific commercial arrangements.</w:t>
      </w:r>
    </w:p>
    <w:p>
      <w:pPr>
        <w:pStyle w:val="Normal"/>
      </w:pPr>
      <w:r>
        <w:t>Y-S4. Article 41.7A (new). Symmetric Cultural and Linguistic Sovereignty Firewall with express Canadian coverage for French and English language rights and services, French-language culture, bilingual public information, Canadian cultural expression, Quebec cultural jurisdiction, and Indigenous languages and cultures.</w:t>
      </w:r>
    </w:p>
    <w:p>
      <w:pPr>
        <w:pStyle w:val="Normal"/>
      </w:pPr>
      <w:r>
        <w:t>Y-S5. Article 59.22A and Annex 35-B (amended). Full-scope automotive coverage and anti-cherry-picking protection spanning passenger vehicles, SUVs, vans, pickups/light trucks, medium-duty trucks, heavy-duty trucks, buses, chassis, and covered parts.</w:t>
      </w:r>
    </w:p>
    <w:p>
      <w:pPr>
        <w:pStyle w:val="Normal"/>
      </w:pPr>
      <w:r>
        <w:t>Y-S6. Article 59.5A paragraph 4A (new). North American Content Equality Principle: once content qualifies as originating, Canadian, Mexican, and United States origin receives equal baseline treaty status, while bounded incentives for genuinely additional investment remain possible.</w:t>
      </w:r>
    </w:p>
    <w:p>
      <w:pPr>
        <w:pStyle w:val="Normal"/>
      </w:pPr>
      <w:r>
        <w:t>Y-S7. Article 59.5A paragraphs 3-5F (amended/new). Equal 100 percent North American baseline content credit paired with separate Industrial Expansion Tiers, American Industrial Expansion Tier, United States Auto Repatriation Supercredit, Strategic Components Bonus, voluntary 50 percent American Economic Contribution portfolio benchmark, No North American Cannibalization Rule, and North American Capacity Growth Test.</w:t>
      </w:r>
    </w:p>
    <w:p>
      <w:pPr>
        <w:pStyle w:val="Normal"/>
      </w:pPr>
      <w:r>
        <w:t>Y-S8. Article 59.22A paragraphs 6-8 and Annex 59-B Parts 1A-1B (new). Explicit Class I-VI automotive settlement coverage spanning passenger vehicles through heavy-duty vehicles, buses, chassis, parts, and strategic components; included-first rule; class-specific technical schedules; and temporary classification-dispute continuity.</w:t>
      </w:r>
    </w:p>
    <w:p>
      <w:pPr>
        <w:pStyle w:val="Heading2"/>
      </w:pPr>
      <w:bookmarkStart w:id="902271" w:name="_Toc300002270"/>
      <w:r>
        <w:t>PACKAGE AO: PROVINCIAL DAIRY ACCESS, EFFECTIVE UTILIZATION, AND SUPPLY-MANAGEMENT STABILITY (v6.1).</w:t>
      </w:r>
      <w:bookmarkEnd w:id="902271"/>
    </w:p>
    <w:p>
      <w:pPr>
        <w:pStyle w:val="Normal"/>
      </w:pPr>
      <w:r>
        <w:t>AO-1. Articles 43.2L.4 through 43.2L.9 establish a United States dairy access floor calculated separately against each Canadian province's own Reference Milk-Production Volume, set at 0.6 percent at entry into force and increasing to 0.8 percent six months thereafter unless an alternative validated schedule is expressly agreed.</w:t>
      </w:r>
    </w:p>
    <w:p>
      <w:pPr>
        <w:pStyle w:val="Normal"/>
      </w:pPr>
      <w:r>
        <w:t>AO-2. The package converts nominal access into commercially meaningful access through use-or-return checkpoints, automatic reallocation, a 90 percent utilization benchmark with cause-based review, new-entrant pathways, and correction where qualified United States supply and willing Canadian demand are blocked by administration.</w:t>
      </w:r>
    </w:p>
    <w:p>
      <w:pPr>
        <w:pStyle w:val="Normal"/>
      </w:pPr>
      <w:r>
        <w:t>AO-3. Provincial distribution, anti-concentration, regional pooling for constrained small markets, milk-equivalent conversion, product-sensitive sub-pools, and rolling three-year reference production preserve geographic breadth while avoiding false raw-litre equivalence.</w:t>
      </w:r>
    </w:p>
    <w:p>
      <w:pPr>
        <w:pStyle w:val="Normal"/>
      </w:pPr>
      <w:r>
        <w:t>AO-4. A supply-management stability firewall preserves Canadian production quotas, farm-gate pricing structures, over-quota protection outside scheduled access, and administrative flexibility, while prohibiting use of those protections to erase the negotiated access floor or create an automatic expansion ratchet.</w:t>
      </w:r>
    </w:p>
    <w:p>
      <w:pPr>
        <w:pStyle w:val="Normal"/>
      </w:pPr>
      <w:r>
        <w:t>AO-5. Genuinely incremental Canadian access is synchronized with an identified reciprocal Canadian benefit under the no-uncompensated-front-loading rule; Mexico retains full procedural equality and receives a dedicated review for an appropriate reciprocal dairy opportunity rather than mechanical duplication.</w:t>
      </w:r>
    </w:p>
    <w:p>
      <w:pPr>
        <w:pStyle w:val="Normal"/>
      </w:pPr>
      <w:r>
        <w:t>AO-6. Annex 43-A is expanded with provincial scheduling, milk-equivalent conversion, utilization reporting, new-entrant availability, and existing-access baseline rules so negotiators can calibrate exact quantities from validated official data without hard-coding unsupported provincial figures into the treaty body.</w:t>
      </w:r>
    </w:p>
    <w:p>
      <w:pPr>
        <w:pStyle w:val="Heading2"/>
      </w:pPr>
      <w:bookmarkStart w:id="902272" w:name="_Toc300002271"/>
      <w:r>
        <w:t>PACKAGE AP: DAIRY ACCESS REINFORCEMENT AND PRIORITY CHEESE SWEETENER (v6.2).</w:t>
      </w:r>
      <w:bookmarkEnd w:id="902272"/>
    </w:p>
    <w:p>
      <w:pPr>
        <w:pStyle w:val="Normal"/>
      </w:pPr>
      <w:r>
        <w:t>AP-1. Article 43.2L.4 is recalibrated to a six-month implementation schedule: a 0.6 percent general provincial dairy access floor at entry into force, increasing to 0.8 percent after six months without administrative-delay extension.</w:t>
      </w:r>
    </w:p>
    <w:p>
      <w:pPr>
        <w:pStyle w:val="Normal"/>
      </w:pPr>
      <w:r>
        <w:t>AP-2. Article 43.2L.5 is strengthened with automatic consequences for underutilization, including audit below 90 percent, corrective access planning below 80 percent, a rebuttable presumption after persistent underperformance, and commercially usable reallocation timing.</w:t>
      </w:r>
    </w:p>
    <w:p>
      <w:pPr>
        <w:pStyle w:val="Normal"/>
      </w:pPr>
      <w:r>
        <w:t>AP-3. Article 43.2L.6 adds a 25 percent Open Access Reserve for qualified non-incumbent commercial channels, an ordinary 25 percent beneficial-ownership concentration ceiling with a narrow stranded-access exception, and tighter regional-routing rules that preserve each province's numerical obligation.</w:t>
      </w:r>
    </w:p>
    <w:p>
      <w:pPr>
        <w:pStyle w:val="Normal"/>
      </w:pPr>
      <w:r>
        <w:t>AP-4. Article 43.2L.7 adds a product-demand responsiveness rule preventing systematic diversion of access into low-demand or administratively convenient categories where qualified United States supply and willing Canadian commercial demand exist.</w:t>
      </w:r>
    </w:p>
    <w:p>
      <w:pPr>
        <w:pStyle w:val="Normal"/>
      </w:pPr>
      <w:r>
        <w:t>AP-5. New Article 43.2L.10 establishes an additional 0.2 percent Provincial Priority Cheese Access Bonus limited to United States-origin cheddar, mozzarella, including commercially relevant low-moisture and part-skim forms, and cream cheese. The Bonus is additional to the general floor, applies from entry into force, uses a unified demand-responsive pool, and inherits effective-utilization, open-access, anti-concentration, and no-ratchet safeguards.</w:t>
      </w:r>
    </w:p>
    <w:p>
      <w:pPr>
        <w:pStyle w:val="Normal"/>
      </w:pPr>
      <w:r>
        <w:t>AP-6. Annex 43-A is expanded with transparent and reproducible milk-equivalent methodology, a Priority Cheese Schedule, classification and anti-substitution rules, separate utilization reporting, and explicit confirmation that total scheduled provincial access equals 0.8 percent at entry into force and 1.0 percent after six months.</w:t>
      </w:r>
    </w:p>
    <w:p>
      <w:pPr>
        <w:pStyle w:val="Normal"/>
      </w:pPr>
      <w:r>
        <w:t>AP-7. The package preserves Canadian supply-management institutions outside the negotiated opening, treats genuinely incremental access as synchronized reciprocal value under Article 35.36, and does not convert successful cheese utilization into an automatic entitlement to further dairy liberalization.</w:t>
      </w:r>
    </w:p>
    <w:p>
      <w:pPr>
        <w:pStyle w:val="Heading2"/>
      </w:pPr>
      <w:bookmarkStart w:id="902273" w:name="_Toc300002272"/>
      <w:r>
        <w:t>PACKAGE AQ: OPTIONAL ENHANCED DAIRY ACCESS AND SOFTWOOD LUMBER NORMALIZATION EXCHANGE (v6.3).</w:t>
      </w:r>
      <w:bookmarkEnd w:id="902273"/>
    </w:p>
    <w:p>
      <w:pPr>
        <w:pStyle w:val="Normal"/>
      </w:pPr>
      <w:r>
        <w:t>AQ-1. New Article 43.2L.11 creates a legally dormant bilateral Canada-United States option that is not activated by NAESTMA ratification. Each Exchange Unit requires separate affirmative execution by both governments through constitutionally appropriate procedures.</w:t>
      </w:r>
    </w:p>
    <w:p>
      <w:pPr>
        <w:pStyle w:val="Normal"/>
      </w:pPr>
      <w:r>
        <w:t>AQ-2. The optional architecture permits up to an additional 0.50 percentage points of provincial United States dairy access above the 1.0 percent baseline: Unit A +0.20, Unit B +0.20, and Unit C +0.10, for a maximum total of 1.50 percent.</w:t>
      </w:r>
    </w:p>
    <w:p>
      <w:pPr>
        <w:pStyle w:val="Normal"/>
      </w:pPr>
      <w:r>
        <w:t>AQ-3. The suggested, explicitly negotiable initial lumber calibration is a 25 percent Aggregate Covered Border Burden ceiling for Unit A, 20 percent cumulatively for Units A+B, and 15 percent cumulatively for full activation. A 12.5 to 20 percent reference corridor guides full-package negotiation without creating an automatic entitlement.</w:t>
      </w:r>
    </w:p>
    <w:p>
      <w:pPr>
        <w:pStyle w:val="Normal"/>
      </w:pPr>
      <w:r>
        <w:t>AQ-4. Aggregate Covered Border Burden captures covered AD/CVD, Section 232 lumber tariffs, lumber-specific surcharges and successor measures while excluding ordinary non-discriminatory fees, taxes, penalties, and bona fide regulation unless used as disguised substitutes.</w:t>
      </w:r>
    </w:p>
    <w:p>
      <w:pPr>
        <w:pStyle w:val="Normal"/>
      </w:pPr>
      <w:r>
        <w:t>AQ-5. Activation requires specific signed schedules, reciprocal-value validation, Cothrom verification, and a Dual-Readiness Certificate so dairy and lumber concessions begin simultaneously and neither Party must perform first.</w:t>
      </w:r>
    </w:p>
    <w:p>
      <w:pPr>
        <w:pStyle w:val="Normal"/>
      </w:pPr>
      <w:r>
        <w:t>AQ-6. Material impairment triggers cure and surgical proportional step-back of only the affected optional unit. The 1.0 percent baseline dairy bargain, unrelated tariffs, and unrelated treaty rights remain insulated.</w:t>
      </w:r>
    </w:p>
    <w:p>
      <w:pPr>
        <w:pStyle w:val="Normal"/>
      </w:pPr>
      <w:r>
        <w:t>AQ-7. Either Party may terminate an optional Unit on 180 days notice without breach, damages, or retaliation. Activated Units otherwise continue without annual reauthorization, and successful performance creates no automatic ratchet.</w:t>
      </w:r>
    </w:p>
    <w:p>
      <w:pPr>
        <w:pStyle w:val="Normal"/>
      </w:pPr>
      <w:r>
        <w:t>AQ-8. The package includes anti-successor-measure, anti-bargaining-contamination, no-double-payment, Mexico-firewall, optional-priority-product, and structural-dairy-solids compatibility protections.</w:t>
      </w:r>
    </w:p>
    <w:p>
      <w:pPr>
        <w:pStyle w:val="Heading2"/>
      </w:pPr>
      <w:bookmarkStart w:id="902274" w:name="_Toc300002273"/>
      <w:r>
        <w:t>PACKAGE AS: AGRICULTURAL PRODUCTION SECURITY, PLANT BIOSECURITY, CROP-PROTECTION MODERNIZATION, AND NUTRIENT CIRCULARITY (v6.5).</w:t>
      </w:r>
      <w:bookmarkEnd w:id="902274"/>
    </w:p>
    <w:p>
      <w:pPr>
        <w:pStyle w:val="Normal"/>
      </w:pPr>
      <w:r>
        <w:t>AS-1. Chapter 43 is expanded through Articles 43.10–43.27 and Annex 43-G into a unified North American Agricultural Production Security and Resilience Framework covering seed continuity, germplasm, public breeding, biotechnology review, genetic coexistence, plant-health biosecurity, crop protection, resistance management, soil and water resilience, machinery and repair continuity, nutrient and manure circularity, agricultural labor, Mexico co-design, and food-security-without-dependency safeguards.</w:t>
      </w:r>
    </w:p>
    <w:p>
      <w:pPr>
        <w:pStyle w:val="Normal"/>
      </w:pPr>
      <w:r>
        <w:t>AS-2. Seed and planting-material provisions add emergency seed corridors, regionally distributed seed and germplasm resilience, public-breeding recognition, and a No Single-Dependency Agricultural Security Principle while preserving each Party’s authority over seed-saving, plant breeders’ rights, patents, licensing, and domestic approvals.</w:t>
      </w:r>
    </w:p>
    <w:p>
      <w:pPr>
        <w:pStyle w:val="Normal"/>
      </w:pPr>
      <w:r>
        <w:t>AS-3. Biotechnology provisions preserve sovereign approval while enabling voluntary dossier reuse, synchronized review, low-level-presence management, and an Emergency Agricultural Technology Review Pathway. Article 43.13 adds the rule that presence shall not create intent, protecting innocent farmers from automatic IP liability while preserving remedies for deliberate appropriation and preventable contamination.</w:t>
      </w:r>
    </w:p>
    <w:p>
      <w:pPr>
        <w:pStyle w:val="Normal"/>
      </w:pPr>
      <w:r>
        <w:t>AS-4. Plant-health provisions establish an updateable North American Plant Health Watch List, risk classifications, rapid diagnostic exchange, regionalization, emergency containment corridors, reporting incentives, and a forest-agriculture interface without freezing species lists into treaty text.</w:t>
      </w:r>
    </w:p>
    <w:p>
      <w:pPr>
        <w:pStyle w:val="Normal"/>
      </w:pPr>
      <w:r>
        <w:t>AS-5. Crop-protection provisions create a six-state modernization ladder from Continue through Prohibited Agricultural Active Substance, a safer-substitution rule, No Agricultural Protection Gap safeguard, precision-application modernization, off-target-effect protections, resistance surveillance, and integrated pest management without mandating a single production method.</w:t>
      </w:r>
    </w:p>
    <w:p>
      <w:pPr>
        <w:pStyle w:val="Normal"/>
      </w:pPr>
      <w:r>
        <w:t>AS-6. Article 43.17 adopts an initial negotiating hard-ban schedule for routine agricultural use of carbendazim, paraquat, and chlorothalonil, subject only to narrow one-growing-season emergency essential-use authority and transparent scientific addition or removal procedures.</w:t>
      </w:r>
    </w:p>
    <w:p>
      <w:pPr>
        <w:pStyle w:val="Normal"/>
      </w:pPr>
      <w:r>
        <w:t>AS-7. Soil, water, drought, and climate-resilience provisions support locally appropriate adaptation while expressly rejecting treaty-created cross-border water entitlements or crop mandates. Machinery provisions add seasonal priority treatment, repair and diagnostics access, anti-artificial-disablement safeguards, and interoperability subject to IP, cybersecurity, emissions, and safety law.</w:t>
      </w:r>
    </w:p>
    <w:p>
      <w:pPr>
        <w:pStyle w:val="Normal"/>
      </w:pPr>
      <w:r>
        <w:t>AS-8. Manure and nutrient provisions treat agricultural residuals as recoverable resources without creating a presumption of safety, add nutrient accounting, storage and runoff-risk safeguards, recovered-product standards, Nutrient Exchange Corridors, a resource cascade, shared-watershed outcomes, and the principle that circularity shall not require industrial scale.</w:t>
      </w:r>
    </w:p>
    <w:p>
      <w:pPr>
        <w:pStyle w:val="Normal"/>
      </w:pPr>
      <w:r>
        <w:t>AS-9. Mexico is expressly embedded as a co-designer across seed systems, specialty crops, drought and irrigation resilience, pest pathways, labor-intensive agriculture, inputs, logistics, and value-added processing. Article 43.27 protects domestic agricultural capacity and diversification while distinguishing legitimate intellectual-property incentives from anticompetitive conduct.</w:t>
      </w:r>
    </w:p>
    <w:p>
      <w:pPr>
        <w:pStyle w:val="Normal"/>
      </w:pPr>
      <w:r>
        <w:t>AS-10. Annex 43-G supplies a practical 90-day, 180-day, one-year, and two-year implementation sequence and directs the Parties to use existing institutions rather than create duplicative committee architecture.</w:t>
      </w:r>
    </w:p>
    <w:p>
      <w:pPr>
        <w:pStyle w:val="Heading2"/>
      </w:pPr>
      <w:bookmarkStart w:id="902275" w:name="_Toc300002274"/>
      <w:r>
        <w:t>PACKAGE AT: VOLUNTARY GREEN CARROT, CLEAN-MOBILITY, CIRCULARITY, AND INDUSTRIAL TRANSITION FRAMEWORK (v6.6).</w:t>
      </w:r>
      <w:bookmarkEnd w:id="902275"/>
    </w:p>
    <w:p>
      <w:pPr>
        <w:pStyle w:val="Normal"/>
      </w:pPr>
      <w:r>
        <w:t>AT-1. The Parties establish a voluntary North American Green Carrot Catalogue preserving the principle that clean-mobility and lower-emission choices should be made easier and more attractive through incentives, interoperability, financing, infrastructure, information, and innovation rather than treaty-created consumer purchase mandates, technology bans, or forced phase-outs.</w:t>
      </w:r>
    </w:p>
    <w:p>
      <w:pPr>
        <w:pStyle w:val="Normal"/>
      </w:pPr>
      <w:r>
        <w:t>AT-2. The Catalogue authorizes nationally determined and fiscally voluntary point-of-sale, used-vehicle, low-income, rural and remote, shared-mobility, taxi, fleet, home-charging, apartment-charging, workplace-charging, off-peak charging, vehicle-to-home, vehicle-to-grid, portable-charging, battery-health, and cross-border charging incentives. Any numerical amount in the Catalogue is illustrative unless a Party expressly adopts it in domestic law or an implementing schedule.</w:t>
      </w:r>
    </w:p>
    <w:p>
      <w:pPr>
        <w:pStyle w:val="Normal"/>
      </w:pPr>
      <w:r>
        <w:t>AT-3. Charging cooperation prioritizes interoperable payment and authentication, roaming, transparent pricing, apartment and multi-unit access, rural and remote coverage, border corridors, park-and-ride and public-fleet charging, mobile emergency charging, grid-edge storage, solar canopies, demand response, and resilience. Participation by utilities, municipalities, landlords, networks, retailers, hotels, restaurants, and other private actors remains voluntary except where domestic law independently provides otherwise.</w:t>
      </w:r>
    </w:p>
    <w:p>
      <w:pPr>
        <w:pStyle w:val="Normal"/>
      </w:pPr>
      <w:r>
        <w:t>AT-4. Manufacturing carrots include supplier retooling, worker-retention support, skills and micro-credentials, joint research and development, rapid prototyping, co-manufacturing, advanced manufacturing, port and fleet electrification, low-emission industrial equipment, clean-process investment, industrial-site readiness, recycling capacity, and transition finance, subject to ordinary subsidy, competition, procurement, labor, environmental, and fiscal disciplines.</w:t>
      </w:r>
    </w:p>
    <w:p>
      <w:pPr>
        <w:pStyle w:val="Normal"/>
      </w:pPr>
      <w:r>
        <w:t>AT-5. Circular-economy carrots include battery return and recycling, second-life stationary storage, battery passports and traceability, recycling research prizes, catalytic-converter recovery, recycled metals and plastics, low-carbon steel and aluminum, sustainable tires, smelter modernization, community storage, and recovery of critical materials. Incentives shall not waive environmental review, Indigenous or treaty rights, worker protections, mine-safety rules, royalty obligations without specific domestic authorization, or responsible-resource safeguards.</w:t>
      </w:r>
    </w:p>
    <w:p>
      <w:pPr>
        <w:pStyle w:val="Normal"/>
      </w:pPr>
      <w:r>
        <w:t>AT-6. Consumer and community carrots may include test-drive programs, group purchasing, educational demonstrations, EV-ready construction incentives, retrofit grants, eco-tourism charging routes, demand-response rewards, green lending products, usage-based insurance where lawful, and loyalty programs. The Parties should favor measures with a demonstrable mobility, grid, affordability, industrial, environmental, or educational benefit over novelty perks unrelated to those objectives.</w:t>
      </w:r>
    </w:p>
    <w:p>
      <w:pPr>
        <w:pStyle w:val="Normal"/>
      </w:pPr>
      <w:r>
        <w:t>AT-7. The Catalogue expressly excludes or reincarnates proposals that would compromise border-security neutrality, loading-zone or bus-lane safety, prudent mineral licensing, sound public finance, credit-reporting neutrality, retirement-account integrity, or credible carbon accounting. EV-specific border express lanes, private loading-zone privileges, bus-lane privileges, mineral finder’s fees, blanket royalty holidays, government-guaranteed resale floors, EV-specific credit-score manipulation, EV retirement-account constructs, and unsupported lifetime-carbon-offset instruments are not recommended treaty mechanisms.</w:t>
      </w:r>
    </w:p>
    <w:p>
      <w:pPr>
        <w:pStyle w:val="Normal"/>
      </w:pPr>
      <w:r>
        <w:t>AT-8. Existing institutions shall administer the Catalogue. No new standing committee is required. Parties may pilot, sunset, expand, revise, or discontinue individual carrots according to measured uptake, fiscal cost, grid effects, lifecycle emissions, equity, industrial impact, and consumer benefit, while preserving the voluntary character of the framework.</w:t>
      </w:r>
    </w:p>
    <w:p>
      <w:pPr>
        <w:pStyle w:val="Heading2"/>
      </w:pPr>
      <w:bookmarkStart w:id="902276" w:name="_Toc300002275"/>
      <w:r>
        <w:t>PACKAGE AU: NORTH AMERICAN EDUCATION, SKILLS, RESEARCH, AND MOBILITY FRAMEWORK (v6.6).</w:t>
      </w:r>
      <w:bookmarkEnd w:id="902276"/>
    </w:p>
    <w:p>
      <w:pPr>
        <w:pStyle w:val="Normal"/>
      </w:pPr>
      <w:r>
        <w:t>AU-1. The Parties encourage voluntary student, faculty, teacher, researcher, apprentice, technician, journalist, artist, librarian, museum, community-college, youth-leadership, and community exchanges, including virtual exchange, sister-school and sister-city education partnerships, border-community programs, language immersion, field schools, public-health exchanges, agricultural science, supply-chain externships, and collaborative research.</w:t>
      </w:r>
    </w:p>
    <w:p>
      <w:pPr>
        <w:pStyle w:val="Normal"/>
      </w:pPr>
      <w:r>
        <w:t>AU-2. Participating accredited institutions may develop joint and trilateral degree programs, shared online courses, open educational resources, North American studies programs, AI and technology-ethics curricula, cybersecurity programs, climate and biodiversity curricula, business-case libraries, and research partnerships. Recognition of a joint credential applies only through the participating institutions and competent domestic accreditation or licensing systems.</w:t>
      </w:r>
    </w:p>
    <w:p>
      <w:pPr>
        <w:pStyle w:val="Normal"/>
      </w:pPr>
      <w:r>
        <w:t>AU-3. A voluntary North American Skills Passport may document verified education, apprenticeships, micro-credentials, occupational competencies, and professional training. It facilitates equivalency assessment and recognition pathways but does not itself create blanket mutual recognition, override licensing bodies, or confer a right to practice a regulated profession.</w:t>
      </w:r>
    </w:p>
    <w:p>
      <w:pPr>
        <w:pStyle w:val="Normal"/>
      </w:pPr>
      <w:r>
        <w:t>AU-4. Technical cooperation may support apprenticeships and training in EV service, batteries, advanced manufacturing, logistics, clean energy, sustainable construction, mining and resource management, agriculture, tourism and hospitality in Canada, the United States, and Mexico, entrepreneurship, and emergency-response disciplines. Police exchanges require specific civil-rights, jurisdiction, weapons, use-of-force, records, and accountability safeguards.</w:t>
      </w:r>
    </w:p>
    <w:p>
      <w:pPr>
        <w:pStyle w:val="Normal"/>
      </w:pPr>
      <w:r>
        <w:t>AU-5. Health-professional externships are limited to supervised educational placements consistent with host-jurisdiction licensing, scope-of-practice, patient-consent, privacy, insurance, and clinical-safety requirements. Teaching exchanges likewise remain subject to credential, immigration, safeguarding, and labor requirements.</w:t>
      </w:r>
    </w:p>
    <w:p>
      <w:pPr>
        <w:pStyle w:val="Normal"/>
      </w:pPr>
      <w:r>
        <w:t>AU-6. Indigenous education cooperation may support language revitalization, land-based learning, reciprocal Indigenous-knowledge partnerships, and institutionally authorized tuition-equity initiatives. Nothing in this Agreement purports to create a universal tuition waiver from the Jay Treaty or to alter Aboriginal, Indigenous, treaty, constitutional, or self-government rights.</w:t>
      </w:r>
    </w:p>
    <w:p>
      <w:pPr>
        <w:pStyle w:val="Normal"/>
      </w:pPr>
      <w:r>
        <w:t>AU-7. Rural access, adult literacy, multilingual learning, AI-assisted translation, digital libraries, global classrooms, virtual STEM competitions, teacher professional development, and community engagement may be supported through existing institutions and open, interoperable platforms. Programs should be accessible to smaller institutions and communities rather than concentrated only in major universities.</w:t>
      </w:r>
    </w:p>
    <w:p>
      <w:pPr>
        <w:pStyle w:val="Normal"/>
      </w:pPr>
      <w:r>
        <w:t>AU-8. Education cooperation is facilitative, not a federalization of curricula. Each Party preserves constitutional, state, provincial, territorial, local, Indigenous, institutional, accreditation, immigration, and professional-regulatory authority.</w:t>
      </w:r>
    </w:p>
    <w:p>
      <w:pPr>
        <w:pStyle w:val="Heading2"/>
      </w:pPr>
      <w:bookmarkStart w:id="902277" w:name="_Toc300002276"/>
      <w:r>
        <w:t>PACKAGE AV: FREEDOM OF CONSCIENCE, STATE NEUTRALITY, AND EQUAL CITIZENSHIP FRAMEWORK (v6.6).</w:t>
      </w:r>
      <w:bookmarkEnd w:id="902277"/>
    </w:p>
    <w:p>
      <w:pPr>
        <w:pStyle w:val="Normal"/>
      </w:pPr>
      <w:r>
        <w:t>AV-1. The Parties affirm a double firewall: religion, non-religion, or ideology shall not capture the coercive power of the state, and the state shall not suppress, punish, or disadvantage peaceful religion, non-religion, belief, disbelief, worship, expression, association, or political participation.</w:t>
      </w:r>
    </w:p>
    <w:p>
      <w:pPr>
        <w:pStyle w:val="Normal"/>
      </w:pPr>
      <w:r>
        <w:t>AV-2. Public authority should operate through religiously neutral law: no religious test for public office, voting, public employment, public services, immigration, or ordinary civic participation; no compulsory worship or religious oath; no state enforcement of religious doctrine; and no governmental discrimination among religions, conscience-based beliefs, or non-belief.</w:t>
      </w:r>
    </w:p>
    <w:p>
      <w:pPr>
        <w:pStyle w:val="Normal"/>
      </w:pPr>
      <w:r>
        <w:t>AV-3. Public education may teach about religion academically but shall not compel devotional observance. Students retain equal rights to voluntary religious and non-religious expression and clubs under neutral access rules. Science, health, and other public curricula remain evidence-based within the competent domestic education system.</w:t>
      </w:r>
    </w:p>
    <w:p>
      <w:pPr>
        <w:pStyle w:val="Normal"/>
      </w:pPr>
      <w:r>
        <w:t>AV-4. Public funding, grants, contracts, facilities, charitable rules, and social-service programs should use neutral eligibility criteria. A religious organization is neither entitled to preferential treatment nor disqualified merely because it is religious, provided publicly funded services comply with applicable non-discrimination, safeguarding, financial-accountability, and no-compelled-proselytization rules.</w:t>
      </w:r>
    </w:p>
    <w:p>
      <w:pPr>
        <w:pStyle w:val="Normal"/>
      </w:pPr>
      <w:r>
        <w:t>AV-5. Government officials and institutions may recognize cultural and religious occasions, communities, historic events, persecution, or public contributions without establishing a religion. Official communications and public spaces should remain inclusive; neutrality does not require pretending religion does not exist.</w:t>
      </w:r>
    </w:p>
    <w:p>
      <w:pPr>
        <w:pStyle w:val="Normal"/>
      </w:pPr>
      <w:r>
        <w:t>AV-6. Religious or conscience-based accommodation shall be assessed under neutral domestic standards, including rights of others, safety, essential services, undue hardship, and constitutional requirements. Voluntary religious arbitration may operate only where lawful, genuinely voluntary, reviewable under secular law, and incapable of displacing access to competent civil courts.</w:t>
      </w:r>
    </w:p>
    <w:p>
      <w:pPr>
        <w:pStyle w:val="Normal"/>
      </w:pPr>
      <w:r>
        <w:t>AV-7. Religious organizations and individuals may participate in public debate, lobbying, elections, and political advocacy subject to the same campaign-finance, lobbying, tax, disclosure, anti-corruption, and public-order rules applicable to comparable secular actors. The state shall not prescribe that political parties or civic organizations must themselves be secular.</w:t>
      </w:r>
    </w:p>
    <w:p>
      <w:pPr>
        <w:pStyle w:val="Normal"/>
      </w:pPr>
      <w:r>
        <w:t>AV-8. Publicly funded healthcare, emergency response, housing, adoption, foster care, welfare, and other essential services shall be delivered without religious discrimination or compulsory religious participation, while residents and patients retain access to voluntary spiritual, religious, humanist, or non-religious support.</w:t>
      </w:r>
    </w:p>
    <w:p>
      <w:pPr>
        <w:pStyle w:val="Normal"/>
      </w:pPr>
      <w:r>
        <w:t>AV-9. International assistance, diplomacy, refugee protection, and human-rights advocacy shall not favor or disadvantage persons solely because of religion or non-belief. Religious-freedom institutions or envoys may operate where their mandate protects freedom of conscience for believers and non-believers alike.</w:t>
      </w:r>
    </w:p>
    <w:p>
      <w:pPr>
        <w:pStyle w:val="Normal"/>
      </w:pPr>
      <w:r>
        <w:t>AV-10. The Parties may affirm these principles through a non-binding North American Charter of Freedom of Conscience and State Neutrality, implemented through existing constitutional and human-rights institutions and without creating a supranational religious authority.</w:t>
      </w:r>
    </w:p>
    <w:p>
      <w:pPr>
        <w:pStyle w:val="Heading2"/>
      </w:pPr>
      <w:bookmarkStart w:id="902278" w:name="_Toc300002277"/>
      <w:r>
        <w:t>PACKAGE AW: COERCIVE IDENTITY-CHANGE PRACTICES PREVENTION AND FREEDOM-OF-BELIEF FIREWALL (v6.6).</w:t>
      </w:r>
      <w:bookmarkEnd w:id="902278"/>
    </w:p>
    <w:p>
      <w:pPr>
        <w:pStyle w:val="Normal"/>
      </w:pPr>
      <w:r>
        <w:t>AW-1. Each Party should prohibit, consistently with its constitutional order, coercive, deceptive, abusive, exploitative, or professionally improper practices whose purpose is to force, suppress, or erase a person’s sexual orientation, gender identity, or gender expression. Regulation shall be conduct-based and religion-neutral.</w:t>
      </w:r>
    </w:p>
    <w:p>
      <w:pPr>
        <w:pStyle w:val="Normal"/>
      </w:pPr>
      <w:r>
        <w:t>AW-2. Enhanced protection applies to minors and persons unable to provide legally effective consent. Covered settings may include camps, retreats, residential programs, counseling businesses, healthcare settings, unlicensed commercial programs, and other organized programs regardless of whether the operator is religious, secular, commercial, familial, or ideological.</w:t>
      </w:r>
    </w:p>
    <w:p>
      <w:pPr>
        <w:pStyle w:val="Normal"/>
      </w:pPr>
      <w:r>
        <w:t>AW-3. Prohibited conduct may include confinement, threats, humiliation, deprivation, physical violence, sexual abuse, fraudulent therapeutic claims, coercive aversion practices, material exploitation, or abuse of authority or dependency. Serious conduct remains subject to ordinary criminal law independently of this framework.</w:t>
      </w:r>
    </w:p>
    <w:p>
      <w:pPr>
        <w:pStyle w:val="Normal"/>
      </w:pPr>
      <w:r>
        <w:t>AW-4. No religious-organization exemption immunizes otherwise unlawful conduct. At the same time, protected belief, worship, preaching, prayer, pastoral conversation, family discussion, and non-coercive exploration of identity remain protected where they do not employ prohibited conduct or treat a particular orientation or identity as a condition for safety, liberty, essential care, or basic rights.</w:t>
      </w:r>
    </w:p>
    <w:p>
      <w:pPr>
        <w:pStyle w:val="Normal"/>
      </w:pPr>
      <w:r>
        <w:t>AW-5. For competent adults, consent shall not be categorically erased. Domestic law may regulate professional misconduct, fraud, coercion, abuse, confinement, dependency, or incapacity and may impose stricter rules for minors. Any consent analysis must examine whether agreement was informed, voluntary, revocable, and free from prohibited pressure.</w:t>
      </w:r>
    </w:p>
    <w:p>
      <w:pPr>
        <w:pStyle w:val="Normal"/>
      </w:pPr>
      <w:r>
        <w:t>AW-6. The Parties may prohibit advertising, commercial promotion, public financing, and material profit from unlawful covered practices; provide civil remedies, professional discipline, survivor support, complaint mechanisms, and organizational accountability; and prevent cross-border removal or travel designed to evade applicable child-protection or criminal law.</w:t>
      </w:r>
    </w:p>
    <w:p>
      <w:pPr>
        <w:pStyle w:val="Normal"/>
      </w:pPr>
      <w:r>
        <w:t>AW-7. Definitions must be precise enough to distinguish prohibited identity-change practices from neutral mental-health care, supportive counseling, identity exploration, transition-related or detransition-related care where lawful, pastoral support, and ordinary discussion. No practice is automatically classified as torture unless the applicable legal threshold for torture or comparable serious abuse is independently satisfied.</w:t>
      </w:r>
    </w:p>
    <w:p>
      <w:pPr>
        <w:pStyle w:val="Normal"/>
      </w:pPr>
      <w:r>
        <w:t>AW-8. Enforcement shall protect privacy, due process, freedom of conscience, freedom of expression, parental and family rights within lawful bounds, professional standards, and the paramount safety protections applicable to children and vulnerable persons.</w:t>
      </w:r>
    </w:p>
    <w:p>
      <w:pPr>
        <w:pStyle w:val="Heading2"/>
      </w:pPr>
      <w:bookmarkStart w:id="902279" w:name="_Toc300002278"/>
      <w:r>
        <w:t>PACKAGE AX: CHILD SEXUAL ABUSE PREVENTION, SAFEGUARDING, AND CROSS-BORDER PROTECTION FRAMEWORK (v6.6).</w:t>
      </w:r>
      <w:bookmarkEnd w:id="902279"/>
    </w:p>
    <w:p>
      <w:pPr>
        <w:pStyle w:val="Normal"/>
      </w:pPr>
      <w:r>
        <w:t>AX-1. The Parties adopt a prevention-oriented public-health approach to child sexual abuse and exploitation, emphasizing age-appropriate body-safety and consent education, parent education, digital literacy, child-friendly reporting, trauma-informed educator training, public awareness, parenting support, and accessible community resources.</w:t>
      </w:r>
    </w:p>
    <w:p>
      <w:pPr>
        <w:pStyle w:val="Normal"/>
      </w:pPr>
      <w:r>
        <w:t>AX-2. Online-safety cooperation supports clear reporting pathways, properly scoped mandatory reporting of known child sexual abuse material, national cyber tip lines, lawful cross-border investigative cooperation, international takedown coordination, safer platform design, gaming safeguards, parental tools, digital citizenship, research, and proportionate AI-plus-human detection of grooming and exploitation. Measures shall not create generalized surveillance of lawful private communications.</w:t>
      </w:r>
    </w:p>
    <w:p>
      <w:pPr>
        <w:pStyle w:val="Normal"/>
      </w:pPr>
      <w:r>
        <w:t>AX-3. Youth-serving institutions shall maintain safeguarding policies, codes of conduct, safe recruitment, appropriate background and registry checks, prevention training, whistleblower protection, reporting pathways, independent audits, and risk-based supervision of adult-child interactions. Two-adult and one-on-one safeguards shall include practical exceptions for legitimate healthcare, counseling, emergency, disability, family, educational, and other circumstances with compensating protections.</w:t>
      </w:r>
    </w:p>
    <w:p>
      <w:pPr>
        <w:pStyle w:val="Normal"/>
      </w:pPr>
      <w:r>
        <w:t>AX-4. Safeguarding duties apply neutrally to schools, camps, sports, healthcare, childcare, community organizations, religious institutions, secular institutions, and other youth-serving organizations. Mandatory-reporting rules, including their treatment of clergy or privileged communications, remain subject to each Party’s constitutional and evidentiary law while closing avoidable institutional concealment pathways.</w:t>
      </w:r>
    </w:p>
    <w:p>
      <w:pPr>
        <w:pStyle w:val="Normal"/>
      </w:pPr>
      <w:r>
        <w:t>AX-5. Family and community prevention may include home visiting, family-support centers, mental-health and substance-use treatment, kinship support, respite care, accessible childcare, housing and food-security supports, culturally appropriate programs, community safe places, faith and non-faith community participation, and programs reducing social isolation. Community participation shall not become vigilantism or substitute for professional investigation.</w:t>
      </w:r>
    </w:p>
    <w:p>
      <w:pPr>
        <w:pStyle w:val="Normal"/>
      </w:pPr>
      <w:r>
        <w:t>AX-6. Each Party should maintain clear criminal definitions and proportionate penalties for child sexual abuse, exploitation, CSAM-related offenses, sextortion, trafficking, and cross-border offending, together with child-witness protections, protection orders, victim compensation, civil remedies, legal representation, extradition cooperation, and trauma-informed justice processes.</w:t>
      </w:r>
    </w:p>
    <w:p>
      <w:pPr>
        <w:pStyle w:val="Normal"/>
      </w:pPr>
      <w:r>
        <w:t>AX-7. Cross-Border Anti-Evasion Rule. A person shall not obtain a safe harbor merely by traveling, relocating, arranging travel, or transferring a child between Parties to evade otherwise applicable protections against sexual abuse or exploitation. Cooperation remains subject to jurisdiction, dual-criminality, extradition, due-process, and constitutional requirements.</w:t>
      </w:r>
    </w:p>
    <w:p>
      <w:pPr>
        <w:pStyle w:val="Normal"/>
      </w:pPr>
      <w:r>
        <w:t>AX-8. Aggravated Sentencing Framework. Sentencing systems should treat coercion, violence, abuse of a position of trust, multiple victims, organized exploitation, trafficking, CSAM production or distribution, repeat offending, and institutional concealment as serious aggravating factors while preserving constitutionally required judicial process and individualized sentencing.</w:t>
      </w:r>
    </w:p>
    <w:p>
      <w:pPr>
        <w:pStyle w:val="Normal"/>
      </w:pPr>
      <w:r>
        <w:t>AX-9. Child-Contact Disqualification Framework. Serious substantiated convictions for child sexual abuse or exploitation presumptively disqualify a person from child-contact employment or volunteering. Duration, review, rehabilitation, and any exceptional restoration pathway shall reflect offense severity, risk, due process, and the paramount protection of children rather than an indiscriminate permanent ban for every offense.</w:t>
      </w:r>
    </w:p>
    <w:p>
      <w:pPr>
        <w:pStyle w:val="Normal"/>
      </w:pPr>
      <w:r>
        <w:t>AX-10. Sex-offender registration, community notification, and employment-screening systems should be risk-tiered, accurate, appealable, privacy-conscious, and directed toward genuine safeguarding needs. Arrest, allegation, or unadjudicated suspicion alone shall not be treated as equivalent to conviction or substantiated misconduct.</w:t>
      </w:r>
    </w:p>
    <w:p>
      <w:pPr>
        <w:pStyle w:val="Normal"/>
      </w:pPr>
      <w:r>
        <w:t>AX-11. Intervention includes trauma-informed treatment for victims, support for non-offending caregivers, therapeutic responses to harmful sexual behavior by children and adolescents, validated risk assessment, evidence-based treatment and post-release supervision for offenders, confidential prevention helplines, and family reunification only where an independent safety assessment finds reunification appropriate.</w:t>
      </w:r>
    </w:p>
    <w:p>
      <w:pPr>
        <w:pStyle w:val="Normal"/>
      </w:pPr>
      <w:r>
        <w:t>AX-12. The Parties should harmonize comparable data definitions where practical, share best practices, conduct joint research, train border officials, cooperate on missing and exploited children, and use existing law-enforcement and treaty institutions for cross-border cases. No new annual summit or standing body is required where existing institutions can perform the function.</w:t>
      </w:r>
    </w:p>
    <w:p>
      <w:pPr>
        <w:pStyle w:val="Heading2"/>
      </w:pPr>
      <w:bookmarkStart w:id="902280" w:name="_Toc300002279"/>
      <w:r>
        <w:t>PACKAGE AY: LONG-TERM CARE, ELDER PROTECTION, DIGNITY, AND RESIDENT SAFETY FRAMEWORK (v6.6).</w:t>
      </w:r>
      <w:bookmarkEnd w:id="902280"/>
    </w:p>
    <w:p>
      <w:pPr>
        <w:pStyle w:val="Normal"/>
      </w:pPr>
      <w:r>
        <w:t>AY-1. The Parties recognize safe long-term care as a resident-dignity, workforce, public-health, and accountability objective. Implementation remains within each Party’s constitutional allocation of federal, national, state, provincial, territorial, local, Indigenous, licensing, healthcare, labor, and social-service authority.</w:t>
      </w:r>
    </w:p>
    <w:p>
      <w:pPr>
        <w:pStyle w:val="Normal"/>
      </w:pPr>
      <w:r>
        <w:t>AY-2. Staffing standards should be evidence-based and acuity-adjusted, with adequate licensed-nursing coverage, direct-care hours, shift-specific planning, transparent staffing data, protected breaks and rest, paid sick leave, limits on unsafe overtime, continuity-oriented primary caregiver assignments, regional float pools, orientation, career ladders, training, and workforce-retention measures. Illustrative ratios or hours are not treaty-locked where competent authorities adopt safer evidence-based equivalents.</w:t>
      </w:r>
    </w:p>
    <w:p>
      <w:pPr>
        <w:pStyle w:val="Normal"/>
      </w:pPr>
      <w:r>
        <w:t>AY-3. Hiring safeguards include proportionate background and abuse-registry checks, reference verification, volunteer and resident-access contractor screening, probation and supervised orientation, portable checks where lawful, whistleblower protection, and periodic re-screening. Risk-Tiered Employment Disqualification replaces blanket permanent exclusion: the gravest relevant offenses may justify permanent exclusion while other cases receive proportionate periods and review.</w:t>
      </w:r>
    </w:p>
    <w:p>
      <w:pPr>
        <w:pStyle w:val="Normal"/>
      </w:pPr>
      <w:r>
        <w:t>AY-4. An Adjudicated Misconduct Registry may record final professional, licensing, administrative, or judicial findings relevant to resident safety, with notice, appeal, correction, identity safeguards, and proportionate retention. Arrest alerts or allegations do not establish guilt. Structured suitability assessment should use behavioral interviews, references, competency and supervised probation rather than pseudo-diagnostic testing for 'empathy.'</w:t>
      </w:r>
    </w:p>
    <w:p>
      <w:pPr>
        <w:pStyle w:val="Normal"/>
      </w:pPr>
      <w:r>
        <w:t>AY-5. Fitness-for-duty and impairment rules should focus on safety. Testing may be used for cause, after serious incidents, or where otherwise lawful for genuinely safety-sensitive work; supervisors should be trained to identify impairment and remove an impaired worker from safety duties. Blanket random testing is not a preferred default.</w:t>
      </w:r>
    </w:p>
    <w:p>
      <w:pPr>
        <w:pStyle w:val="Normal"/>
      </w:pPr>
      <w:r>
        <w:t>AY-6. Core training includes person-centered and dementia care, abuse prevention and reporting, palliative and end-of-life care, cultural competence, de-escalation, infection control, lifting and mobility, medication safety, emergency response, and hands-on competency. Existing schools, regulators, employers, unions, colleges, and professional bodies should be used before creating new academies or boards.</w:t>
      </w:r>
    </w:p>
    <w:p>
      <w:pPr>
        <w:pStyle w:val="Normal"/>
      </w:pPr>
      <w:r>
        <w:t>AY-7. Oversight includes unannounced quality inspections, night and weekend inspections, strengthened ombudsman services, real-time staffing reporting, complaint hotlines, timely incident reporting, root-cause analysis, medication and financial audits, ownership screening, corporate accountability, resident and family surveys, and public quality information. Inspection capacity must be adequately funded.</w:t>
      </w:r>
    </w:p>
    <w:p>
      <w:pPr>
        <w:pStyle w:val="Normal"/>
      </w:pPr>
      <w:r>
        <w:t>AY-8. Proportionate Electronic Monitoring replaces blanket surveillance. Residents may choose lawful private-room monitoring subject to resident and roommate consent and privacy rules. Targeted cameras may be used in appropriate security areas, but facilities shall not be required to transform all common or private areas into continuously recorded surveillance spaces.</w:t>
      </w:r>
    </w:p>
    <w:p>
      <w:pPr>
        <w:pStyle w:val="Normal"/>
      </w:pPr>
      <w:r>
        <w:t>AY-9. Residents retain a clear bill of rights including freedom from abuse, neglect, exploitation and retaliation; visitation; privacy during personal care; respectful adult communication; meaningful choice in routines, food, activities and care; access to legal aid and complaint processes; guardianship safeguards; and voluntary access to spiritual, religious, humanist, or non-religious support.</w:t>
      </w:r>
    </w:p>
    <w:p>
      <w:pPr>
        <w:pStyle w:val="Normal"/>
      </w:pPr>
      <w:r>
        <w:t>AY-10. Person-centered quality of life includes nutritious and appealing meals, flexible dining, meaningful activities, gardens and outdoor access, pet and intergenerational programs where safe, cultural activities, technology access, hearing and vision support, grooming, palliative care, end-of-life dignity, resident councils, family councils, and comfortable social spaces.</w:t>
      </w:r>
    </w:p>
    <w:p>
      <w:pPr>
        <w:pStyle w:val="Normal"/>
      </w:pPr>
      <w:r>
        <w:t>AY-11. Evidence-Based Dementia Communication replaces mandatory reality orientation. Care plans may use validation, redirection, reassurance, orientation cues, reminiscence, and other clinically appropriate techniques tailored to the individual rather than forcing a confused resident repeatedly to accept a distressing version of events.</w:t>
      </w:r>
    </w:p>
    <w:p>
      <w:pPr>
        <w:pStyle w:val="Normal"/>
      </w:pPr>
      <w:r>
        <w:t>AY-12. Facility standards include fall and wandering prevention, cleanliness, infection control, emergency planning, backup power, accessibility, secure medication storage, hazard and pest control, safe outdoor areas, protection from second-hand smoke, and incentives for smaller home-like models and private rooms. Shared rooms should be phased down through new construction and renovation without causing unsafe capacity loss.</w:t>
      </w:r>
    </w:p>
    <w:p>
      <w:pPr>
        <w:pStyle w:val="Normal"/>
      </w:pPr>
      <w:r>
        <w:t>AY-13. Enforcement may include escalating civil penalties, individual criminal accountability where criminal elements are proven, organizational liability for systemic wrongdoing, adult-protective-service and specialized-prosecution capacity, independent medical review where abuse or neglect is suspected, and statutory duties of care and loyalty. Conflict rules should prohibit undisclosed self-dealing rather than every outside financial interest.</w:t>
      </w:r>
    </w:p>
    <w:p>
      <w:pPr>
        <w:pStyle w:val="Normal"/>
      </w:pPr>
      <w:r>
        <w:t>AY-14. Minimum Direct-Care Spending / Anti-Extraction Rule. Where public funding is increased specifically to improve long-term care, domestic implementing programs should require transparent demonstration that an appropriate share reaches resident care, frontline staffing, food, clinical services, maintenance, accessibility, and quality of life rather than excessive management fees, related-party transactions, asset stripping, dividends, property-company rents, or executive extraction.</w:t>
      </w:r>
    </w:p>
    <w:p>
      <w:pPr>
        <w:pStyle w:val="Normal"/>
      </w:pPr>
      <w:r>
        <w:t>AY-15. Mandatory Long-Term Care Star Rating System. Each licensed facility should receive a regularly recalculated one-to-five-star care-quality rating based on independently verified measures, not hotel-style luxury. Suggested domains are staffing and continuity, resident safety, inspection and regulatory compliance, resident outcomes and quality of life, resident and family experience, workforce conditions, and transparency and rights.</w:t>
      </w:r>
    </w:p>
    <w:p>
      <w:pPr>
        <w:pStyle w:val="Normal"/>
      </w:pPr>
      <w:r>
        <w:t>AY-16. Star ratings should display category subratings and trend direction. Serious substantiated patterns of abuse, deliberate concealment, immediate-jeopardy deficiencies, or chronic dangerous understaffing may cap the overall rating regardless of amenities. Ratings should be displayed at the facility, on the competent regulator’s directory, in admission materials, and wherever the facility advertises its official quality rating.</w:t>
      </w:r>
    </w:p>
    <w:p>
      <w:pPr>
        <w:pStyle w:val="Normal"/>
      </w:pPr>
      <w:r>
        <w:t>AY-17. One-Star Recovery-or-Closure Rule. A facility receiving one star enters enhanced regulatory supervision and ordinarily receives 90 days to demonstrate substantial independently verified improvement. Oversight may include increased inspections, corrective planning, staffing and incident monitoring, restrictions on extraordinary distributions or asset stripping, admissions limits where warranted, resident and family notice, and temporary management.</w:t>
      </w:r>
    </w:p>
    <w:p>
      <w:pPr>
        <w:pStyle w:val="Normal"/>
      </w:pPr>
      <w:r>
        <w:t>AY-18. At the end of the 90-day period, improvement to at least two stars permits staged exit from enhanced supervision. A short non-renewable extension of 30 to 90 days may be allowed only where substantial verified progress exists, residents are presently safe, and immediate closure would create greater harm. Continued one-star performance without adequate improvement requires receivership, management replacement, forced sale where lawful, licence action, or orderly closure.</w:t>
      </w:r>
    </w:p>
    <w:p>
      <w:pPr>
        <w:pStyle w:val="Normal"/>
      </w:pPr>
      <w:r>
        <w:t>AY-19. Immediate Danger Exception. The recovery period does not delay emergency intervention where residents face imminent danger, including serious ongoing abuse, catastrophic understaffing, medication deprivation, dangerous sanitation, abandonment, or deliberate concealment. Regulators may suspend admissions, impose emergency management, relocate residents, or take other lawful protective action immediately.</w:t>
      </w:r>
    </w:p>
    <w:p>
      <w:pPr>
        <w:pStyle w:val="Normal"/>
      </w:pPr>
      <w:r>
        <w:t>AY-20. Closure and relocation shall protect residents through individualized transition plans, continuity of medication and records, transportation, family or representative consultation, and placement in an equal-or-better safe setting where reasonably possible. Regulatory action shall not solve facility failure by simply dumping residents elsewhere.</w:t>
      </w:r>
    </w:p>
    <w:p>
      <w:pPr>
        <w:pStyle w:val="Normal"/>
      </w:pPr>
      <w:r>
        <w:t>AY-21. Secret Resident-Experience Inspection Program. A proportion of inspections should be genuinely unpredictable and may occur during meals, evenings, overnight periods, weekends, holidays, shift changes, and other ordinary operating conditions. Inspectors may observe call-response performance, meals and feeding assistance, privacy, respectful communication, activities, outdoor access, cleanliness, distress response, and actual staffing without management staging the visit.</w:t>
      </w:r>
    </w:p>
    <w:p>
      <w:pPr>
        <w:pStyle w:val="Normal"/>
      </w:pPr>
      <w:r>
        <w:t>AY-22. Inspectors should be able to conduct confidential conversations with residents, families, and frontline workers and, where appropriate, experience ordinary resident services such as a resident meal. Anti-retaliation protections apply. One-star remediation should include unannounced verification so temporary showcase staffing or cleaning cannot substitute for durable improvement. Inspectors need not impersonate residents or family members.</w:t>
      </w:r>
    </w:p>
    <w:p>
      <w:pPr>
        <w:pStyle w:val="Normal"/>
      </w:pPr>
      <w:r>
        <w:t>AY-23. Voluntary Resident AI Companion and Accessibility Program. Residents may opt into clearly identified AI assistants for conversation, reminiscence, games, reading, music, information, reminders, translation, accessibility, activity discovery, dictation, family communication, and other non-clinical assistance. Refusal carries no penalty, and AI companionship shall never justify reducing human staffing, visitation, activities, or social contact.</w:t>
      </w:r>
    </w:p>
    <w:p>
      <w:pPr>
        <w:pStyle w:val="Normal"/>
      </w:pPr>
      <w:r>
        <w:t>AY-24. AI systems may, with informed consent and appropriate device approval, integrate with wearables, beds, room sensors, call systems, or medical devices to monitor authorized safety-relevant signals such as movement, falls, distress, heart rate, respiration, blood oxygen, or other supported measurements. The AI may detect and flag possible deterioration but shall not autonomously diagnose disease, prescribe, administer medication, restrain a resident, determine capacity, or alter treatment.</w:t>
      </w:r>
    </w:p>
    <w:p>
      <w:pPr>
        <w:pStyle w:val="Normal"/>
      </w:pPr>
      <w:r>
        <w:t>AY-25. AI Fall, Distress, and Voice-Help Detection. A resident should be able to summon assistance hands-free through phrases such as 'help,' 'I fell,' 'I cannot get up,' 'I need the bathroom,' 'I wet the bed,' 'I am frightened,' or other configured requests. The system should distinguish emergency, urgent personal-care, and routine requests sufficiently to route them appropriately while preserving dignity.</w:t>
      </w:r>
    </w:p>
    <w:p>
      <w:pPr>
        <w:pStyle w:val="Normal"/>
      </w:pPr>
      <w:r>
        <w:t>AY-26. Automatic Human Escalation Protocol. An assistance request generates a timestamped alert, attempts appropriate resident confirmation, and summons human staff. Failure to acknowledge or attend within severity-appropriate thresholds triggers escalating notification to additional caregivers, nursing supervision, management, or emergency services. Closed-loop confirmation should tell the resident when help has been acknowledged where feasible.</w:t>
      </w:r>
    </w:p>
    <w:p>
      <w:pPr>
        <w:pStyle w:val="Normal"/>
      </w:pPr>
      <w:r>
        <w:t>AY-27. Call-Bell Backup and Response Analytics. AI-assisted systems may record request time, acknowledgement time, arrival time, escalation, and closure so facilities and regulators can identify delayed or unanswered assistance. Facility-level metrics may include median and 90th-percentile response times, emergency response, overnight deterioration, and unacknowledged alerts. These measurements complement rather than replace qualitative care review.</w:t>
      </w:r>
    </w:p>
    <w:p>
      <w:pPr>
        <w:pStyle w:val="Normal"/>
      </w:pPr>
      <w:r>
        <w:t>AY-28. Privacy-Minimal Doorway Response Sensor. A facility may use a low-information doorway sensor whose sole function is to detect entry or exit and timestamp the event for care-response measurement. It should not identify the person, record audio or video, use facial recognition, or continuously track a worker’s location. Doorway events establish presence, not that care was completed.</w:t>
      </w:r>
    </w:p>
    <w:p>
      <w:pPr>
        <w:pStyle w:val="Normal"/>
      </w:pPr>
      <w:r>
        <w:t>AY-29. AI-Assisted Care Response Accountability shall monitor the care process rather than continuously monitor employees. Individual metrics shall not be converted automatically into productivity scores, emotion or compassion scores, worker rankings, bathroom-break tracking, or automated disciplinary decisions. Human review is required before any employment consequence based materially on AI-derived information.</w:t>
      </w:r>
    </w:p>
    <w:p>
      <w:pPr>
        <w:pStyle w:val="Normal"/>
      </w:pPr>
      <w:r>
        <w:t>AY-30. No Algorithmic Scapegoating Rule. Response metrics must be interpreted with staffing levels, resident acuity, simultaneous emergencies, workload, equipment needs, and other relevant circumstances. Data showing slow responses on an understaffed shift may demonstrate a management or system failure rather than individual worker misconduct. AI does not count toward any minimum human staffing requirement.</w:t>
      </w:r>
    </w:p>
    <w:p>
      <w:pPr>
        <w:pStyle w:val="Normal"/>
      </w:pPr>
      <w:r>
        <w:t>AY-31. Resident Care-Response Record Access Right. Each competent resident has access to their own assistance-response history and may authorize family members or other trusted persons to receive summary statistics, detailed event logs, or both. Where the resident lacks legal capacity, access follows applicable substitute-decision-maker and privacy law. Family status alone does not automatically override a competent resident’s privacy choices.</w:t>
      </w:r>
    </w:p>
    <w:p>
      <w:pPr>
        <w:pStyle w:val="Normal"/>
      </w:pPr>
      <w:r>
        <w:t>AY-32. No Sanitized Family Report Rule. Machine-generated request, acknowledgement, escalation, doorway, and arrival timestamps shall not be silently rewritten before authorized disclosure. Facilities may append explanations, corrections, or contextual notes while preserving the original audit record. Records should be retained only for a proportionate period unless required for care, complaint, litigation, regulatory, or safety purposes.</w:t>
      </w:r>
    </w:p>
    <w:p>
      <w:pPr>
        <w:pStyle w:val="Normal"/>
      </w:pPr>
      <w:r>
        <w:t>AY-33. Public star-rating and consumer information should ordinarily use anonymized facility-level response statistics. Regulators, ombudsmen, residents, authorized representatives, and investigators may obtain more detailed information when lawfully necessary. AI and sensor data shall not be sold, used for targeted advertising, or used to train unrelated commercial models without valid authorization.</w:t>
      </w:r>
    </w:p>
    <w:p>
      <w:pPr>
        <w:pStyle w:val="Normal"/>
      </w:pPr>
      <w:r>
        <w:t>AY-34. Right to Meaningful Social Opportunity. Every resident should be regularly offered reasonable opportunities for voluntary social interaction with other residents, visitors, volunteers, and the wider community. Participation shall never be compulsory, and a resident’s preference for solitude is equally entitled to respect.</w:t>
      </w:r>
    </w:p>
    <w:p>
      <w:pPr>
        <w:pStyle w:val="Normal"/>
      </w:pPr>
      <w:r>
        <w:t>AY-35. Facilities should provide accessible small-group spaces, resident-led clubs and activities, community and intergenerational connections, and assistance needed for residents with mobility, hearing, vision, language, or other barriers to participate. Optional interest matching, including AI-assisted suggestions, may introduce residents to compatible activities or peers only with consent and without forcing relationships.</w:t>
      </w:r>
    </w:p>
    <w:p>
      <w:pPr>
        <w:pStyle w:val="Normal"/>
      </w:pPr>
      <w:r>
        <w:t>AY-36. Persistent isolation should prompt a gentle human review to determine whether solitude is chosen or results from barriers such as inaccessible transportation, hearing or communication difficulty, lack of suitable activities, interpersonal conflict, or insufficient staff assistance. Quality measures should evaluate whether meaningful opportunities exist and are accessible, not reward facilities for coercing residents into attendance.</w:t>
      </w:r>
    </w:p>
    <w:p>
      <w:pPr>
        <w:pStyle w:val="Normal"/>
      </w:pPr>
      <w:r>
        <w:t>AY-37. Existing domestic regulators, ombudsman programs, licensing authorities, healthcare systems, labor bodies, and the Agreement’s existing cooperation architecture should administer this framework. The Parties may share comparable data and best practices without creating unnecessary new standing committees, institutes, or bureaucratic layers.</w:t>
      </w:r>
    </w:p>
    <w:p>
      <w:pPr>
        <w:pStyle w:val="Heading2"/>
      </w:pPr>
      <w:bookmarkStart w:id="902281" w:name="_Toc300002280"/>
      <w:r>
        <w:t>PACKAGE AZ: CROSS-CUTTING HUMAN DIGNITY, VOLUNTARINESS, DUE PROCESS, AND IMPLEMENTATION FIREWALL (v6.6).</w:t>
      </w:r>
      <w:bookmarkEnd w:id="902281"/>
    </w:p>
    <w:p>
      <w:pPr>
        <w:pStyle w:val="Normal"/>
      </w:pPr>
      <w:r>
        <w:t>AZ-1. Packages AT through AY are interpreted consistently with constitutional rights, Indigenous and treaty rights, federalism and subnational jurisdiction, due process, privacy, freedom of conscience and expression, equality, labor rights, professional regulation, disability rights, and applicable human-rights obligations of each Party.</w:t>
      </w:r>
    </w:p>
    <w:p>
      <w:pPr>
        <w:pStyle w:val="Normal"/>
      </w:pPr>
      <w:r>
        <w:t>AZ-2. Where these Packages describe a catalogue, incentive, pilot, exchange, educational program, technology program, or best-practice mechanism as voluntary, that characterization controls. No Party is required to compel individual participation merely because the mechanism appears in this Agreement.</w:t>
      </w:r>
    </w:p>
    <w:p>
      <w:pPr>
        <w:pStyle w:val="Normal"/>
      </w:pPr>
      <w:r>
        <w:t>AZ-3. Safeguarding obligations are institution-neutral: a religious, secular, public, private, nonprofit, commercial, educational, healthcare, residential, or community institution receives neither immunity from generally applicable safety law nor adverse treatment solely because of its identity.</w:t>
      </w:r>
    </w:p>
    <w:p>
      <w:pPr>
        <w:pStyle w:val="Normal"/>
      </w:pPr>
      <w:r>
        <w:t>AZ-4. Technology shall augment rather than displace legally required human judgment, staffing, care, safeguarding, teaching, clinical responsibility, or public accountability. High-impact automated decisions affecting rights, discipline, treatment, licensing, employment, or access to essential services require meaningful human review and an appropriate correction or appeal pathway.</w:t>
      </w:r>
    </w:p>
    <w:p>
      <w:pPr>
        <w:pStyle w:val="Normal"/>
      </w:pPr>
      <w:r>
        <w:t>AZ-5. The Parties shall prefer existing institutions, interoperable data standards, domestic implementation schedules, pilots, mutual learning, and Cothrom or other already-established verification pathways over creation of new permanent committees. Nothing in these Packages expands the Agreement into a general supranational police, education, healthcare, religious, family-law, or social-services authority.</w:t>
      </w:r>
    </w:p>
    <w:p>
      <w:pPr>
        <w:pStyle w:val="Normal"/>
      </w:pPr>
      <w:r>
        <w:t>AZ-6. Where implementation produces paired concessions or reciprocal benefits, the Agreement’s no-uncompensated-front-loading, cure, proportional step-back, and automatic restoration architecture applies as appropriate so that one Party is not required to deliver a negotiated benefit materially in advance of its paired performance.</w:t>
      </w:r>
    </w:p>
    <w:p>
      <w:pPr>
        <w:pStyle w:val="TrumpVisibilityHeadline"/>
      </w:pPr>
      <w:r>
        <w:t xml:space="preserve">★ </w:t>
      </w:r>
      <w:r>
        <w:t>VISIBLE U.S. WIN: RELIABLE NORTH AMERICAN CRITICAL MINERALS, PROCESSING AND STOCKPILE SECURITY</w:t>
      </w:r>
    </w:p>
    <w:p>
      <w:pPr>
        <w:pStyle w:val="Heading1"/>
      </w:pPr>
      <w:bookmarkStart w:id="902282" w:name="_Toc300002281"/>
      <w:r>
        <w:t>PACKAGE BA: NORTH AMERICAN STRATEGIC MINERALS, PROCESSING, CIRCULARITY AND SUPPLY RESILIENCE FRAMEWORK</w:t>
      </w:r>
      <w:bookmarkEnd w:id="902282"/>
    </w:p>
    <w:p>
      <w:pPr>
        <w:pStyle w:val="Normal"/>
      </w:pPr>
      <w:r>
        <w:t>Purpose. This Package consolidates the Parties’ strategic-minerals architecture into a mine-to-manufacture, recovery-to-reuse, and cross-sector earned-benefit system. It preserves detailed implementation options while preventing compulsory extraction, cartel conduct, unsafe waste reuse, uncompensated front-loading, or unnecessary institutional proliferation.</w:t>
      </w:r>
    </w:p>
    <w:p>
      <w:pPr>
        <w:pStyle w:val="Heading2"/>
      </w:pPr>
      <w:bookmarkStart w:id="902283" w:name="_Toc300002282"/>
      <w:r>
        <w:t>BA-1 Resource Sovereignty and No Compulsory Extraction</w:t>
      </w:r>
      <w:bookmarkEnd w:id="902283"/>
    </w:p>
    <w:p>
      <w:pPr>
        <w:pStyle w:val="Normal"/>
      </w:pPr>
      <w:r>
        <w:t>No Party is required to open a mine, issue a concession, compel extraction, override Indigenous or community rights, or dedicate a resource to another Party. Mexican lithium and other state-reserved resources remain governed by Mexican law.</w:t>
      </w:r>
    </w:p>
    <w:p>
      <w:pPr>
        <w:pStyle w:val="Heading2"/>
      </w:pPr>
      <w:bookmarkStart w:id="902284" w:name="_Toc300002283"/>
      <w:r>
        <w:t>BA-2 Mine-to-Manufacture Value Capture</w:t>
      </w:r>
      <w:bookmarkEnd w:id="902284"/>
    </w:p>
    <w:p>
      <w:pPr>
        <w:pStyle w:val="Normal"/>
      </w:pPr>
      <w:r>
        <w:t>Cooperation shall extend from geology and responsible extraction through concentration, smelting, separation, refining, precursor materials, components, manufacturing, recycling and strategic reserves. No Party is presumed to remain merely an upstream supplier.</w:t>
      </w:r>
    </w:p>
    <w:p>
      <w:pPr>
        <w:pStyle w:val="Heading2"/>
      </w:pPr>
      <w:bookmarkStart w:id="902285" w:name="_Toc300002284"/>
      <w:r>
        <w:t>BA-3 Distributed Redundancy</w:t>
      </w:r>
      <w:bookmarkEnd w:id="902285"/>
    </w:p>
    <w:p>
      <w:pPr>
        <w:pStyle w:val="Normal"/>
      </w:pPr>
      <w:r>
        <w:t>The Parties should develop geographically diversified and interoperable processing capacity and avoid replacing an external single point of failure with a single North American bottleneck.</w:t>
      </w:r>
    </w:p>
    <w:p>
      <w:pPr>
        <w:pStyle w:val="Heading2"/>
      </w:pPr>
      <w:bookmarkStart w:id="902286" w:name="_Toc300002285"/>
      <w:r>
        <w:t>BA-4 Trusted External Feedstock Safe Harbour</w:t>
      </w:r>
      <w:bookmarkEnd w:id="902286"/>
    </w:p>
    <w:p>
      <w:pPr>
        <w:pStyle w:val="Normal"/>
      </w:pPr>
      <w:r>
        <w:t>Nothing requires continental autarky. Trusted allied feedstocks, technology, capital and offtake may supplement North American production where they improve resilience.</w:t>
      </w:r>
    </w:p>
    <w:p>
      <w:pPr>
        <w:pStyle w:val="Heading2"/>
      </w:pPr>
      <w:bookmarkStart w:id="902287" w:name="_Toc300002286"/>
      <w:r>
        <w:t>BA-5 No Uncompensated Front-Loading</w:t>
      </w:r>
      <w:bookmarkEnd w:id="902287"/>
    </w:p>
    <w:p>
      <w:pPr>
        <w:pStyle w:val="Normal"/>
      </w:pPr>
      <w:r>
        <w:t>Paired mineral commitments and cross-sector benefits shall activate together to the maximum practicable extent. Verified non-performance triggers notice, a short cure period, proportional pause or step-back of the paired obligation, and automatic restoration when performance resumes.</w:t>
      </w:r>
    </w:p>
    <w:p>
      <w:pPr>
        <w:pStyle w:val="Heading2"/>
      </w:pPr>
      <w:bookmarkStart w:id="902288" w:name="_Toc300002287"/>
      <w:r>
        <w:t>BA-6 Market Integrity and Anti-Cartel Firewall</w:t>
      </w:r>
      <w:bookmarkEnd w:id="902288"/>
    </w:p>
    <w:p>
      <w:pPr>
        <w:pStyle w:val="Normal"/>
      </w:pPr>
      <w:r>
        <w:t>Price-stability tools may include transparent market-linked offtake, contracts-for-difference, strategic procurement, insurance, floors directed at demonstrable non-market distortion and similar lawful tools. The Parties shall not establish commodity cartels or compulsory below-market sale obligations.</w:t>
      </w:r>
    </w:p>
    <w:p>
      <w:pPr>
        <w:pStyle w:val="Heading2"/>
      </w:pPr>
      <w:bookmarkStart w:id="902289" w:name="_Toc300002288"/>
      <w:r>
        <w:t>BA-7 High-Standard Permitting and Indigenous/Community Participation</w:t>
      </w:r>
      <w:bookmarkEnd w:id="902289"/>
    </w:p>
    <w:p>
      <w:pPr>
        <w:pStyle w:val="Normal"/>
      </w:pPr>
      <w:r>
        <w:t>Coordination may streamline data, sequencing and timelines but shall not waive environmental, safety, constitutional, Indigenous, community or water-law protections.</w:t>
      </w:r>
    </w:p>
    <w:p>
      <w:pPr>
        <w:pStyle w:val="Heading2"/>
      </w:pPr>
      <w:bookmarkStart w:id="902290" w:name="_Toc300002289"/>
      <w:r>
        <w:t>BA-8 Technology and Intellectual Property</w:t>
      </w:r>
      <w:bookmarkEnd w:id="902290"/>
    </w:p>
    <w:p>
      <w:pPr>
        <w:pStyle w:val="Normal"/>
      </w:pPr>
      <w:r>
        <w:t>Technology cooperation shall respect voluntary licensing, export controls, cybersecurity, proprietary information and fair competition. Treaty text shall remain technology-neutral unless a specific pilot is separately approved.</w:t>
      </w:r>
    </w:p>
    <w:p>
      <w:pPr>
        <w:pStyle w:val="Heading2"/>
      </w:pPr>
      <w:bookmarkStart w:id="902291" w:name="_Toc300002290"/>
      <w:r>
        <w:t>BA-9 Provenance Transparency</w:t>
      </w:r>
      <w:bookmarkEnd w:id="902291"/>
    </w:p>
    <w:p>
      <w:pPr>
        <w:pStyle w:val="Normal"/>
      </w:pPr>
      <w:r>
        <w:t>For designated strategic materials, the Parties should track, where practicable, mine or secondary-resource origin, concentrate origin, processing and refining jurisdictions, recycled content and final transformation while minimizing unnecessary reporting burden.</w:t>
      </w:r>
    </w:p>
    <w:p>
      <w:pPr>
        <w:pStyle w:val="Heading2"/>
      </w:pPr>
      <w:bookmarkStart w:id="902292" w:name="_Toc300002291"/>
      <w:r>
        <w:t>BA-10 Existing-Institution Implementation</w:t>
      </w:r>
      <w:bookmarkEnd w:id="902292"/>
    </w:p>
    <w:p>
      <w:pPr>
        <w:pStyle w:val="Normal"/>
      </w:pPr>
      <w:r>
        <w:t>The NAESTMA Secretariat, Cothrom architecture and designated national authorities shall carry implementation. Temporary technical groups may be formed for defined tasks and shall sunset when those tasks conclude.</w:t>
      </w:r>
    </w:p>
    <w:p>
      <w:pPr>
        <w:pStyle w:val="Heading2"/>
      </w:pPr>
      <w:bookmarkStart w:id="902293" w:name="_Toc300002292"/>
      <w:r>
        <w:t>BA-11 Strategic Stockpiles and Surge Capacity</w:t>
      </w:r>
      <w:bookmarkEnd w:id="902293"/>
    </w:p>
    <w:p>
      <w:pPr>
        <w:pStyle w:val="Normal"/>
      </w:pPr>
      <w:r>
        <w:t>The Parties may maintain interoperable national reserves, surge-capable processing lines and mutual-access protocols for defined emergencies, with transparent release and replenishment rules.</w:t>
      </w:r>
    </w:p>
    <w:p>
      <w:pPr>
        <w:pStyle w:val="Heading2"/>
      </w:pPr>
      <w:bookmarkStart w:id="902294" w:name="_Toc300002293"/>
      <w:r>
        <w:t>BA-12 Cross-Sector Earned Benefits</w:t>
      </w:r>
      <w:bookmarkEnd w:id="902294"/>
    </w:p>
    <w:p>
      <w:pPr>
        <w:pStyle w:val="Normal"/>
      </w:pPr>
      <w:r>
        <w:t>Tariff relief, AD/CVD settlements, customs treatment, infrastructure, financing, energy cooperation, workforce mobility, research access and other lawful benefits may be paired with verified strategic-mineral performance when approximately commensurate and consistent with this Agreement.</w:t>
      </w:r>
    </w:p>
    <w:p>
      <w:pPr>
        <w:pStyle w:val="Heading2"/>
      </w:pPr>
      <w:bookmarkStart w:id="902295" w:name="_Toc300002294"/>
      <w:r>
        <w:t>BA-13 Humanitarian and Sovereign Powers Firewall</w:t>
      </w:r>
      <w:bookmarkEnd w:id="902295"/>
    </w:p>
    <w:p>
      <w:pPr>
        <w:pStyle w:val="Normal"/>
      </w:pPr>
      <w:r>
        <w:t>Essential medicines, vaccines, basic humanitarian access, constitutional protections, core sovereign defense authority and fundamental rights shall not be withheld as mineral bargaining collateral.</w:t>
      </w:r>
    </w:p>
    <w:p>
      <w:pPr>
        <w:pStyle w:val="Heading2"/>
      </w:pPr>
      <w:bookmarkStart w:id="902296" w:name="_Toc300002295"/>
      <w:r>
        <w:t>BA-14 Discoverability</w:t>
      </w:r>
      <w:bookmarkEnd w:id="902296"/>
    </w:p>
    <w:p>
      <w:pPr>
        <w:pStyle w:val="Normal"/>
      </w:pPr>
      <w:r>
        <w:t>Material thresholds and quantitative provisions should use both symbols and spelled-out forms where useful, and schedules shall identify the applicable tariff or trade measure dynamically rather than relying on transient headline rates.</w:t>
      </w:r>
    </w:p>
    <w:p>
      <w:pPr>
        <w:pStyle w:val="Heading1"/>
      </w:pPr>
      <w:bookmarkStart w:id="902297" w:name="_Toc300002296"/>
      <w:r>
        <w:t>PACKAGE BB: STRATEGIC MINERALS DEAL CATALOGUE (120 MECHANISMS)</w:t>
      </w:r>
      <w:bookmarkEnd w:id="902297"/>
    </w:p>
    <w:p>
      <w:pPr>
        <w:pStyle w:val="Normal"/>
      </w:pPr>
      <w:r>
        <w:t>Status. The following catalogue preserves the 120-item mineral-deal backlog as authorized negotiating and implementation options. Numerical volumes, dollar amounts, locations and company-specific examples are illustrative unless separately adopted in a schedule. Every item is subject to Package BA.</w:t>
      </w:r>
    </w:p>
    <w:p>
      <w:pPr>
        <w:pStyle w:val="ClauseLabel"/>
      </w:pPr>
      <w:r>
        <w:t>BB-1. Tri-national copper smelting JV</w:t>
      </w:r>
    </w:p>
    <w:p>
      <w:pPr>
        <w:pStyle w:val="Normal"/>
      </w:pPr>
      <w:r>
        <w:t>Build mega-smelter in Mexico (cheaper labor, near US market) fed by Canadian and US concentrates, with refined copper shipped to US manufacturers.</w:t>
      </w:r>
    </w:p>
    <w:p>
      <w:pPr>
        <w:pStyle w:val="ClauseLabel"/>
      </w:pPr>
      <w:r>
        <w:t>BB-2. US-Mexico concentrate swap</w:t>
      </w:r>
    </w:p>
    <w:p>
      <w:pPr>
        <w:pStyle w:val="Normal"/>
      </w:pPr>
      <w:r>
        <w:t>US exports copper concentrate to Mexico for refining; Mexico returns refined copper to US; Canada provides technology and financing.</w:t>
      </w:r>
    </w:p>
    <w:p>
      <w:pPr>
        <w:pStyle w:val="ClauseLabel"/>
      </w:pPr>
      <w:r>
        <w:t>BB-3. Canadian copper ore to Mexican processing</w:t>
      </w:r>
    </w:p>
    <w:p>
      <w:pPr>
        <w:pStyle w:val="Normal"/>
      </w:pPr>
      <w:r>
        <w:t>Long-term offtake agreements: Canada ships 500k tonnes/year copper concentrate to Mexican smelters.</w:t>
      </w:r>
    </w:p>
    <w:p>
      <w:pPr>
        <w:pStyle w:val="ClauseLabel"/>
      </w:pPr>
      <w:r>
        <w:t>BB-4. US copper scrap-to-refined</w:t>
      </w:r>
    </w:p>
    <w:p>
      <w:pPr>
        <w:pStyle w:val="Normal"/>
      </w:pPr>
      <w:r>
        <w:t>US copper scrap (from electronics, construction) sent to Mexican recyclers; refined copper returns to US EV battery plants.</w:t>
      </w:r>
    </w:p>
    <w:p>
      <w:pPr>
        <w:pStyle w:val="ClauseLabel"/>
      </w:pPr>
      <w:r>
        <w:t>BB-5. Tri-national copper tube &amp; wire JV</w:t>
      </w:r>
    </w:p>
    <w:p>
      <w:pPr>
        <w:pStyle w:val="Normal"/>
      </w:pPr>
      <w:r>
        <w:t>Joint venture manufacturing facility in northern Mexico producing copper wire for all three auto sectors.</w:t>
      </w:r>
    </w:p>
    <w:p>
      <w:pPr>
        <w:pStyle w:val="ClauseLabel"/>
      </w:pPr>
      <w:r>
        <w:t>BB-6. Canadian copper mining tech transfer to Mexico</w:t>
      </w:r>
    </w:p>
    <w:p>
      <w:pPr>
        <w:pStyle w:val="Normal"/>
      </w:pPr>
      <w:r>
        <w:t>Canada shares expertise in deep mining; Mexico provides access to Sonora copper deposits.</w:t>
      </w:r>
    </w:p>
    <w:p>
      <w:pPr>
        <w:pStyle w:val="ClauseLabel"/>
      </w:pPr>
      <w:r>
        <w:t>BB-7. US-Mexico copper concentrate processing expansion</w:t>
      </w:r>
    </w:p>
    <w:p>
      <w:pPr>
        <w:pStyle w:val="Normal"/>
      </w:pPr>
      <w:r>
        <w:t>US investment in Mexican smelting capacity with guaranteed US offtake.</w:t>
      </w:r>
    </w:p>
    <w:p>
      <w:pPr>
        <w:pStyle w:val="ClauseLabel"/>
      </w:pPr>
      <w:r>
        <w:t>BB-8. Tri-national copper cathode stockpile</w:t>
      </w:r>
    </w:p>
    <w:p>
      <w:pPr>
        <w:pStyle w:val="Normal"/>
      </w:pPr>
      <w:r>
        <w:t>Coordinated strategic stockpile of refined copper across all three nations for energy transition security.</w:t>
      </w:r>
    </w:p>
    <w:p>
      <w:pPr>
        <w:pStyle w:val="ClauseLabel"/>
      </w:pPr>
      <w:r>
        <w:t>BB-9. Canadian copper-gold tailings reprocessing</w:t>
      </w:r>
    </w:p>
    <w:p>
      <w:pPr>
        <w:pStyle w:val="Normal"/>
      </w:pPr>
      <w:r>
        <w:t>Canadian technology to reprocess Mexican copper mine tailings for residual gold/silver.</w:t>
      </w:r>
    </w:p>
    <w:p>
      <w:pPr>
        <w:pStyle w:val="ClauseLabel"/>
      </w:pPr>
      <w:r>
        <w:t>BB-10. Transparent Copper Price-Stability Architecture</w:t>
      </w:r>
    </w:p>
    <w:p>
      <w:pPr>
        <w:pStyle w:val="Normal"/>
      </w:pPr>
      <w:r>
        <w:t>Use transparent long-term offtake, strategic procurement, contracts-for-difference or market-linked floors consistent with competition law; no governmental copper cartel.</w:t>
      </w:r>
    </w:p>
    <w:p>
      <w:pPr>
        <w:pStyle w:val="ClauseLabel"/>
      </w:pPr>
      <w:r>
        <w:t>BB-11. LitioMx-Led Mexican Lithium Cooperation</w:t>
      </w:r>
    </w:p>
    <w:p>
      <w:pPr>
        <w:pStyle w:val="Normal"/>
      </w:pPr>
      <w:r>
        <w:t>Mexican lithium development remains state-led under Mexican law, with lawful Canadian and U.S. technology, equipment, services, financing, processing and downstream participation.</w:t>
      </w:r>
    </w:p>
    <w:p>
      <w:pPr>
        <w:pStyle w:val="ClauseLabel"/>
      </w:pPr>
      <w:r>
        <w:t>BB-12. Canadian lithium concentrate to Mexico</w:t>
      </w:r>
    </w:p>
    <w:p>
      <w:pPr>
        <w:pStyle w:val="Normal"/>
      </w:pPr>
      <w:r>
        <w:t>Canada ships lithium ore to Mexican processing facility; refined lithium goes to US battery plants.</w:t>
      </w:r>
    </w:p>
    <w:p>
      <w:pPr>
        <w:pStyle w:val="ClauseLabel"/>
      </w:pPr>
      <w:r>
        <w:t>BB-13. US lithium hydroxide plant in Mexico</w:t>
      </w:r>
    </w:p>
    <w:p>
      <w:pPr>
        <w:pStyle w:val="Normal"/>
      </w:pPr>
      <w:r>
        <w:t>US-funded $2B lithium hydroxide facility in Mexico processing both Mexican and Canadian ores.</w:t>
      </w:r>
    </w:p>
    <w:p>
      <w:pPr>
        <w:pStyle w:val="ClauseLabel"/>
      </w:pPr>
      <w:r>
        <w:t>BB-14. Tri-national battery recycling loop</w:t>
      </w:r>
    </w:p>
    <w:p>
      <w:pPr>
        <w:pStyle w:val="Normal"/>
      </w:pPr>
      <w:r>
        <w:t>US EV battery recycling sent to Mexico for black mass processing; recovered lithium returns to US.</w:t>
      </w:r>
    </w:p>
    <w:p>
      <w:pPr>
        <w:pStyle w:val="ClauseLabel"/>
      </w:pPr>
      <w:r>
        <w:t>BB-15. Canadian lithium tech transfer</w:t>
      </w:r>
    </w:p>
    <w:p>
      <w:pPr>
        <w:pStyle w:val="Normal"/>
      </w:pPr>
      <w:r>
        <w:t>Canada's DLE (direct lithium extraction) technology deployed in Mexico with royalty-sharing.</w:t>
      </w:r>
    </w:p>
    <w:p>
      <w:pPr>
        <w:pStyle w:val="ClauseLabel"/>
      </w:pPr>
      <w:r>
        <w:t>BB-16. US-Mexico lithium brine pilot</w:t>
      </w:r>
    </w:p>
    <w:p>
      <w:pPr>
        <w:pStyle w:val="Normal"/>
      </w:pPr>
      <w:r>
        <w:t>Joint USGS-Mexican Geological Survey exploration of all 82 known lithium deposits.</w:t>
      </w:r>
    </w:p>
    <w:p>
      <w:pPr>
        <w:pStyle w:val="ClauseLabel"/>
      </w:pPr>
      <w:r>
        <w:t>BB-17. Tri-national lithium carbonate refinery</w:t>
      </w:r>
    </w:p>
    <w:p>
      <w:pPr>
        <w:pStyle w:val="Normal"/>
      </w:pPr>
      <w:r>
        <w:t>Build refinery at a Mexican port (Manzanillo/Lázaro Cárdenas) processing ores from all three.</w:t>
      </w:r>
    </w:p>
    <w:p>
      <w:pPr>
        <w:pStyle w:val="ClauseLabel"/>
      </w:pPr>
      <w:r>
        <w:t>BB-18. Lithium-ion battery precursor JV</w:t>
      </w:r>
    </w:p>
    <w:p>
      <w:pPr>
        <w:pStyle w:val="Normal"/>
      </w:pPr>
      <w:r>
        <w:t>Canadian cathodes + Mexican lithium + US anodes = complete battery supply chain.</w:t>
      </w:r>
    </w:p>
    <w:p>
      <w:pPr>
        <w:pStyle w:val="ClauseLabel"/>
      </w:pPr>
      <w:r>
        <w:t>BB-19. Mexican lithium export to US with Canadian financing</w:t>
      </w:r>
    </w:p>
    <w:p>
      <w:pPr>
        <w:pStyle w:val="Normal"/>
      </w:pPr>
      <w:r>
        <w:t>Canadian capital + Mexican resource + US market = vertical integration.</w:t>
      </w:r>
    </w:p>
    <w:p>
      <w:pPr>
        <w:pStyle w:val="ClauseLabel"/>
      </w:pPr>
      <w:r>
        <w:t>BB-20. Tri-national lithium stockpile</w:t>
      </w:r>
    </w:p>
    <w:p>
      <w:pPr>
        <w:pStyle w:val="Normal"/>
      </w:pPr>
      <w:r>
        <w:t>Coordinated lithium carbonate stockpile for EV supply chain security.</w:t>
      </w:r>
    </w:p>
    <w:p>
      <w:pPr>
        <w:pStyle w:val="ClauseLabel"/>
      </w:pPr>
      <w:r>
        <w:t>BB-21. Canadian Participation in State-Led Mexican Lithium Development</w:t>
      </w:r>
    </w:p>
    <w:p>
      <w:pPr>
        <w:pStyle w:val="Normal"/>
      </w:pPr>
      <w:r>
        <w:t>Enable Canadian engineering, processing, equipment and technology participation without private lithium concessions prohibited by Mexican law.</w:t>
      </w:r>
    </w:p>
    <w:p>
      <w:pPr>
        <w:pStyle w:val="ClauseLabel"/>
      </w:pPr>
      <w:r>
        <w:t>BB-22. US-Mexico lithium exploration fund</w:t>
      </w:r>
    </w:p>
    <w:p>
      <w:pPr>
        <w:pStyle w:val="Normal"/>
      </w:pPr>
      <w:r>
        <w:t>$500M joint exploration fund for lithium and other battery minerals.</w:t>
      </w:r>
    </w:p>
    <w:p>
      <w:pPr>
        <w:pStyle w:val="ClauseLabel"/>
      </w:pPr>
      <w:r>
        <w:t>BB-23. Mexican graphite to US anode plants</w:t>
      </w:r>
    </w:p>
    <w:p>
      <w:pPr>
        <w:pStyle w:val="Normal"/>
      </w:pPr>
      <w:r>
        <w:t>Expand Mexican graphite mining with guaranteed US offtake for EV battery anodes.</w:t>
      </w:r>
    </w:p>
    <w:p>
      <w:pPr>
        <w:pStyle w:val="ClauseLabel"/>
      </w:pPr>
      <w:r>
        <w:t>BB-24. Canadian graphite processing in Mexico</w:t>
      </w:r>
    </w:p>
    <w:p>
      <w:pPr>
        <w:pStyle w:val="Normal"/>
      </w:pPr>
      <w:r>
        <w:t>Canadian graphite ore shipped to Mexico for processing; finished anode material to US.</w:t>
      </w:r>
    </w:p>
    <w:p>
      <w:pPr>
        <w:pStyle w:val="ClauseLabel"/>
      </w:pPr>
      <w:r>
        <w:t>BB-25. Tri-national graphite sphericalization plant</w:t>
      </w:r>
    </w:p>
    <w:p>
      <w:pPr>
        <w:pStyle w:val="Normal"/>
      </w:pPr>
      <w:r>
        <w:t>Build spherical graphite facility in Mexico (near US border) serving all three EV industries.</w:t>
      </w:r>
    </w:p>
    <w:p>
      <w:pPr>
        <w:pStyle w:val="ClauseLabel"/>
      </w:pPr>
      <w:r>
        <w:t>BB-26. US-Mexico graphite exploration JV</w:t>
      </w:r>
    </w:p>
    <w:p>
      <w:pPr>
        <w:pStyle w:val="Normal"/>
      </w:pPr>
      <w:r>
        <w:t>Joint exploration of graphite deposits in Sonora and Oaxaca.</w:t>
      </w:r>
    </w:p>
    <w:p>
      <w:pPr>
        <w:pStyle w:val="ClauseLabel"/>
      </w:pPr>
      <w:r>
        <w:t>BB-27. Canadian graphite technology to Mexico</w:t>
      </w:r>
    </w:p>
    <w:p>
      <w:pPr>
        <w:pStyle w:val="Normal"/>
      </w:pPr>
      <w:r>
        <w:t>Canada's graphite processing technology deployed in Mexican facilities.</w:t>
      </w:r>
    </w:p>
    <w:p>
      <w:pPr>
        <w:pStyle w:val="ClauseLabel"/>
      </w:pPr>
      <w:r>
        <w:t>BB-28. Tri-national synthetic graphite R&amp;D</w:t>
      </w:r>
    </w:p>
    <w:p>
      <w:pPr>
        <w:pStyle w:val="Normal"/>
      </w:pPr>
      <w:r>
        <w:t>Joint research on synthetic graphite alternatives using North American petroleum coke.</w:t>
      </w:r>
    </w:p>
    <w:p>
      <w:pPr>
        <w:pStyle w:val="ClauseLabel"/>
      </w:pPr>
      <w:r>
        <w:t>BB-29. Mexican graphite mining expansion</w:t>
      </w:r>
    </w:p>
    <w:p>
      <w:pPr>
        <w:pStyle w:val="Normal"/>
      </w:pPr>
      <w:r>
        <w:t>US/Canadian investment to expand Mexican graphite production 3x current levels.</w:t>
      </w:r>
    </w:p>
    <w:p>
      <w:pPr>
        <w:pStyle w:val="ClauseLabel"/>
      </w:pPr>
      <w:r>
        <w:t>BB-30. North American graphite supply agreement</w:t>
      </w:r>
    </w:p>
    <w:p>
      <w:pPr>
        <w:pStyle w:val="Normal"/>
      </w:pPr>
      <w:r>
        <w:t>Long-term tri-national agreement ensuring graphite stays within North America.</w:t>
      </w:r>
    </w:p>
    <w:p>
      <w:pPr>
        <w:pStyle w:val="ClauseLabel"/>
      </w:pPr>
      <w:r>
        <w:t>BB-31. Canadian rare earth separation plant</w:t>
      </w:r>
    </w:p>
    <w:p>
      <w:pPr>
        <w:pStyle w:val="Normal"/>
      </w:pPr>
      <w:r>
        <w:t>Build North America's first large-scale REE separation facility in Canada, funded jointly by US and Mexico.</w:t>
      </w:r>
    </w:p>
    <w:p>
      <w:pPr>
        <w:pStyle w:val="ClauseLabel"/>
      </w:pPr>
      <w:r>
        <w:t>BB-32. US rare earth ore to Canada</w:t>
      </w:r>
    </w:p>
    <w:p>
      <w:pPr>
        <w:pStyle w:val="Normal"/>
      </w:pPr>
      <w:r>
        <w:t>US ships Mountain Pass REE ore to Canada for separation; finished magnets return to US.</w:t>
      </w:r>
    </w:p>
    <w:p>
      <w:pPr>
        <w:pStyle w:val="ClauseLabel"/>
      </w:pPr>
      <w:r>
        <w:t>BB-33. Mexican REE exploration JV</w:t>
      </w:r>
    </w:p>
    <w:p>
      <w:pPr>
        <w:pStyle w:val="Normal"/>
      </w:pPr>
      <w:r>
        <w:t>Joint USGS-Mexican exploration of REE deposits in Baja and Chihuahua.</w:t>
      </w:r>
    </w:p>
    <w:p>
      <w:pPr>
        <w:pStyle w:val="ClauseLabel"/>
      </w:pPr>
      <w:r>
        <w:t>BB-34. Tri-national permanent magnet factory</w:t>
      </w:r>
    </w:p>
    <w:p>
      <w:pPr>
        <w:pStyle w:val="Normal"/>
      </w:pPr>
      <w:r>
        <w:t>Build NdFeB magnet plant in Mexico using Canadian-separated REEs for US EV motors.</w:t>
      </w:r>
    </w:p>
    <w:p>
      <w:pPr>
        <w:pStyle w:val="ClauseLabel"/>
      </w:pPr>
      <w:r>
        <w:t>BB-35. Canadian REE mining expansion</w:t>
      </w:r>
    </w:p>
    <w:p>
      <w:pPr>
        <w:pStyle w:val="Normal"/>
      </w:pPr>
      <w:r>
        <w:t>US investment in Canadian REE mines (e.g., Nechalacho) with Mexican offtake for magnets.</w:t>
      </w:r>
    </w:p>
    <w:p>
      <w:pPr>
        <w:pStyle w:val="ClauseLabel"/>
      </w:pPr>
      <w:r>
        <w:t>BB-36. US rare earth recycling hub in Mexico</w:t>
      </w:r>
    </w:p>
    <w:p>
      <w:pPr>
        <w:pStyle w:val="Normal"/>
      </w:pPr>
      <w:r>
        <w:t>Recycling of US e-waste in Mexico to recover rare earths.</w:t>
      </w:r>
    </w:p>
    <w:p>
      <w:pPr>
        <w:pStyle w:val="ClauseLabel"/>
      </w:pPr>
      <w:r>
        <w:t>BB-37. Tri-national REE research consortium</w:t>
      </w:r>
    </w:p>
    <w:p>
      <w:pPr>
        <w:pStyle w:val="Normal"/>
      </w:pPr>
      <w:r>
        <w:t>Joint university-industry R&amp;D on REE separation alternatives to Chinese methods.</w:t>
      </w:r>
    </w:p>
    <w:p>
      <w:pPr>
        <w:pStyle w:val="ClauseLabel"/>
      </w:pPr>
      <w:r>
        <w:t>BB-38. Canadian scandium production for US aerospace</w:t>
      </w:r>
    </w:p>
    <w:p>
      <w:pPr>
        <w:pStyle w:val="Normal"/>
      </w:pPr>
      <w:r>
        <w:t>Canada produces scandium; US aerospace (aircraft alloys) is primary customer.</w:t>
      </w:r>
    </w:p>
    <w:p>
      <w:pPr>
        <w:pStyle w:val="ClauseLabel"/>
      </w:pPr>
      <w:r>
        <w:t>BB-39. US-Mexico REE processing pilot</w:t>
      </w:r>
    </w:p>
    <w:p>
      <w:pPr>
        <w:pStyle w:val="Normal"/>
      </w:pPr>
      <w:r>
        <w:t>Pilot plant in Mexico processing US and Canadian REE ores.</w:t>
      </w:r>
    </w:p>
    <w:p>
      <w:pPr>
        <w:pStyle w:val="ClauseLabel"/>
      </w:pPr>
      <w:r>
        <w:t>BB-40. North American REE stockpile</w:t>
      </w:r>
    </w:p>
    <w:p>
      <w:pPr>
        <w:pStyle w:val="Normal"/>
      </w:pPr>
      <w:r>
        <w:t>Coordinated strategic stockpile of separated rare earths across all three nations.</w:t>
      </w:r>
    </w:p>
    <w:p>
      <w:pPr>
        <w:pStyle w:val="ClauseLabel"/>
      </w:pPr>
      <w:r>
        <w:t>BB-41. Canadian nickel to US battery plants</w:t>
      </w:r>
    </w:p>
    <w:p>
      <w:pPr>
        <w:pStyle w:val="Normal"/>
      </w:pPr>
      <w:r>
        <w:t>Expand Canadian nickel mining (Sudbury, Thompson) with US offtake for EV batteries.</w:t>
      </w:r>
    </w:p>
    <w:p>
      <w:pPr>
        <w:pStyle w:val="ClauseLabel"/>
      </w:pPr>
      <w:r>
        <w:t>BB-42. Mexican cobalt exploration</w:t>
      </w:r>
    </w:p>
    <w:p>
      <w:pPr>
        <w:pStyle w:val="Normal"/>
      </w:pPr>
      <w:r>
        <w:t>Joint exploration of cobalt deposits in Mexico with Canadian mining expertise.</w:t>
      </w:r>
    </w:p>
    <w:p>
      <w:pPr>
        <w:pStyle w:val="ClauseLabel"/>
      </w:pPr>
      <w:r>
        <w:t>BB-43. Tri-national nickel-cobalt refinery</w:t>
      </w:r>
    </w:p>
    <w:p>
      <w:pPr>
        <w:pStyle w:val="Normal"/>
      </w:pPr>
      <w:r>
        <w:t>Build refinery in Quebec processing Canadian ore, Mexican concentrate, and US recycled material.</w:t>
      </w:r>
    </w:p>
    <w:p>
      <w:pPr>
        <w:pStyle w:val="ClauseLabel"/>
      </w:pPr>
      <w:r>
        <w:t>BB-44. US-Canada nickel JV</w:t>
      </w:r>
    </w:p>
    <w:p>
      <w:pPr>
        <w:pStyle w:val="Normal"/>
      </w:pPr>
      <w:r>
        <w:t>US automakers invest directly in Canadian nickel mines for guaranteed supply.</w:t>
      </w:r>
    </w:p>
    <w:p>
      <w:pPr>
        <w:pStyle w:val="ClauseLabel"/>
      </w:pPr>
      <w:r>
        <w:t>BB-45. Mexican nickel laterite development</w:t>
      </w:r>
    </w:p>
    <w:p>
      <w:pPr>
        <w:pStyle w:val="Normal"/>
      </w:pPr>
      <w:r>
        <w:t>Develop Mexico's nickel laterite deposits using Canadian technology.</w:t>
      </w:r>
    </w:p>
    <w:p>
      <w:pPr>
        <w:pStyle w:val="ClauseLabel"/>
      </w:pPr>
      <w:r>
        <w:t>BB-46. Canadian cobalt refining expansion</w:t>
      </w:r>
    </w:p>
    <w:p>
      <w:pPr>
        <w:pStyle w:val="Normal"/>
      </w:pPr>
      <w:r>
        <w:t>Expand Canada's cobalt refining capacity with US investment.</w:t>
      </w:r>
    </w:p>
    <w:p>
      <w:pPr>
        <w:pStyle w:val="ClauseLabel"/>
      </w:pPr>
      <w:r>
        <w:t>BB-47. Tri-national battery recycling for cobalt</w:t>
      </w:r>
    </w:p>
    <w:p>
      <w:pPr>
        <w:pStyle w:val="Normal"/>
      </w:pPr>
      <w:r>
        <w:t>US EV battery recycling sent to Canada for cobalt recovery; recovered cobalt to US.</w:t>
      </w:r>
    </w:p>
    <w:p>
      <w:pPr>
        <w:pStyle w:val="ClauseLabel"/>
      </w:pPr>
      <w:r>
        <w:t>BB-48. North American nickel price stabilization</w:t>
      </w:r>
    </w:p>
    <w:p>
      <w:pPr>
        <w:pStyle w:val="Normal"/>
      </w:pPr>
      <w:r>
        <w:t>Joint mechanism to stabilize nickel prices for battery manufacturers.</w:t>
      </w:r>
    </w:p>
    <w:p>
      <w:pPr>
        <w:pStyle w:val="ClauseLabel"/>
      </w:pPr>
      <w:r>
        <w:t>BB-49. Mexican zinc concentrate to US smelters</w:t>
      </w:r>
    </w:p>
    <w:p>
      <w:pPr>
        <w:pStyle w:val="Normal"/>
      </w:pPr>
      <w:r>
        <w:t>Expand Mexican zinc production with US smelting of concentrate.</w:t>
      </w:r>
    </w:p>
    <w:p>
      <w:pPr>
        <w:pStyle w:val="ClauseLabel"/>
      </w:pPr>
      <w:r>
        <w:t>BB-50. Canadian zinc technology to Mexico</w:t>
      </w:r>
    </w:p>
    <w:p>
      <w:pPr>
        <w:pStyle w:val="Normal"/>
      </w:pPr>
      <w:r>
        <w:t>Canada's underground mining expertise applied to Mexican zinc operations.</w:t>
      </w:r>
    </w:p>
    <w:p>
      <w:pPr>
        <w:pStyle w:val="ClauseLabel"/>
      </w:pPr>
      <w:r>
        <w:t>BB-51. Tri-national zinc galvanizing JV</w:t>
      </w:r>
    </w:p>
    <w:p>
      <w:pPr>
        <w:pStyle w:val="Normal"/>
      </w:pPr>
      <w:r>
        <w:t>Build galvanizing plant in Mexico serving US auto and Canadian construction sectors.</w:t>
      </w:r>
    </w:p>
    <w:p>
      <w:pPr>
        <w:pStyle w:val="ClauseLabel"/>
      </w:pPr>
      <w:r>
        <w:t>BB-52. US-Mexico lead recycling loop</w:t>
      </w:r>
    </w:p>
    <w:p>
      <w:pPr>
        <w:pStyle w:val="Normal"/>
      </w:pPr>
      <w:r>
        <w:t>US lead-acid battery recycling sent to Mexico; refined lead returns for new batteries.</w:t>
      </w:r>
    </w:p>
    <w:p>
      <w:pPr>
        <w:pStyle w:val="ClauseLabel"/>
      </w:pPr>
      <w:r>
        <w:t>BB-53. Canadian zinc exploration in Mexico</w:t>
      </w:r>
    </w:p>
    <w:p>
      <w:pPr>
        <w:pStyle w:val="Normal"/>
      </w:pPr>
      <w:r>
        <w:t>Canadian companies explore Mexico's zinc-rich regions (Zacatecas, Chihuahua).</w:t>
      </w:r>
    </w:p>
    <w:p>
      <w:pPr>
        <w:pStyle w:val="ClauseLabel"/>
      </w:pPr>
      <w:r>
        <w:t>BB-54. Tri-national lead-acid battery JV</w:t>
      </w:r>
    </w:p>
    <w:p>
      <w:pPr>
        <w:pStyle w:val="Normal"/>
      </w:pPr>
      <w:r>
        <w:t>Joint manufacturing of lead-acid batteries using Mexican lead and US technology.</w:t>
      </w:r>
    </w:p>
    <w:p>
      <w:pPr>
        <w:pStyle w:val="ClauseLabel"/>
      </w:pPr>
      <w:r>
        <w:t>BB-55. Mexican zinc-oxide production</w:t>
      </w:r>
    </w:p>
    <w:p>
      <w:pPr>
        <w:pStyle w:val="Normal"/>
      </w:pPr>
      <w:r>
        <w:t>Produce zinc oxide in Mexico for US rubber and ceramics industries.</w:t>
      </w:r>
    </w:p>
    <w:p>
      <w:pPr>
        <w:pStyle w:val="ClauseLabel"/>
      </w:pPr>
      <w:r>
        <w:t>BB-56. North American zinc strategic reserve</w:t>
      </w:r>
    </w:p>
    <w:p>
      <w:pPr>
        <w:pStyle w:val="Normal"/>
      </w:pPr>
      <w:r>
        <w:t>Coordinated zinc stockpile for galvanizing infrastructure projects.</w:t>
      </w:r>
    </w:p>
    <w:p>
      <w:pPr>
        <w:pStyle w:val="ClauseLabel"/>
      </w:pPr>
      <w:r>
        <w:t>BB-57. Tri-national silver industrial applications JV</w:t>
      </w:r>
    </w:p>
    <w:p>
      <w:pPr>
        <w:pStyle w:val="Normal"/>
      </w:pPr>
      <w:r>
        <w:t>Develop silver-based technologies (solar PV, electronics, advanced conductors) using Mexican silver, US R&amp;D, Canadian manufacturing.</w:t>
      </w:r>
    </w:p>
    <w:p>
      <w:pPr>
        <w:pStyle w:val="ClauseLabel"/>
      </w:pPr>
      <w:r>
        <w:t>BB-58. Mexican silver to US solar panel plants</w:t>
      </w:r>
    </w:p>
    <w:p>
      <w:pPr>
        <w:pStyle w:val="Normal"/>
      </w:pPr>
      <w:r>
        <w:t>Long-term silver supply agreement for US solar photovoltaic manufacturing.</w:t>
      </w:r>
    </w:p>
    <w:p>
      <w:pPr>
        <w:pStyle w:val="ClauseLabel"/>
      </w:pPr>
      <w:r>
        <w:t>BB-59. Canadian gold refining in Mexico</w:t>
      </w:r>
    </w:p>
    <w:p>
      <w:pPr>
        <w:pStyle w:val="Normal"/>
      </w:pPr>
      <w:r>
        <w:t>Canadian gold ore shipped to Mexican refineries; refined gold returned.</w:t>
      </w:r>
    </w:p>
    <w:p>
      <w:pPr>
        <w:pStyle w:val="ClauseLabel"/>
      </w:pPr>
      <w:r>
        <w:t>BB-60. US-Mexico silver exploration</w:t>
      </w:r>
    </w:p>
    <w:p>
      <w:pPr>
        <w:pStyle w:val="Normal"/>
      </w:pPr>
      <w:r>
        <w:t>Joint exploration of new silver deposits in Mexico using US technology.</w:t>
      </w:r>
    </w:p>
    <w:p>
      <w:pPr>
        <w:pStyle w:val="ClauseLabel"/>
      </w:pPr>
      <w:r>
        <w:t>BB-61. Tri-national precious metals recycling</w:t>
      </w:r>
    </w:p>
    <w:p>
      <w:pPr>
        <w:pStyle w:val="Normal"/>
      </w:pPr>
      <w:r>
        <w:t>E-waste and jewelry recycling across all three countries, recovering gold/silver.</w:t>
      </w:r>
    </w:p>
    <w:p>
      <w:pPr>
        <w:pStyle w:val="ClauseLabel"/>
      </w:pPr>
      <w:r>
        <w:t>BB-62. Mexican silver to Canadian electronics</w:t>
      </w:r>
    </w:p>
    <w:p>
      <w:pPr>
        <w:pStyle w:val="Normal"/>
      </w:pPr>
      <w:r>
        <w:t>Mexican silver exported to Canadian electronics manufacturers.</w:t>
      </w:r>
    </w:p>
    <w:p>
      <w:pPr>
        <w:pStyle w:val="ClauseLabel"/>
      </w:pPr>
      <w:r>
        <w:t>BB-63. Industrial Precious-Metals Resilience Cooperation</w:t>
      </w:r>
    </w:p>
    <w:p>
      <w:pPr>
        <w:pStyle w:val="Normal"/>
      </w:pPr>
      <w:r>
        <w:t>Coordinate industrial precious-metal supply, recycling and emergency availability without directing central-bank reserve policy.</w:t>
      </w:r>
    </w:p>
    <w:p>
      <w:pPr>
        <w:pStyle w:val="ClauseLabel"/>
      </w:pPr>
      <w:r>
        <w:t>BB-64. US gold mining tech transfer to Mexico</w:t>
      </w:r>
    </w:p>
    <w:p>
      <w:pPr>
        <w:pStyle w:val="Normal"/>
      </w:pPr>
      <w:r>
        <w:t>US open-pit and heap-leach technology deployed in Mexican gold operations.</w:t>
      </w:r>
    </w:p>
    <w:p>
      <w:pPr>
        <w:pStyle w:val="ClauseLabel"/>
      </w:pPr>
      <w:r>
        <w:t>BB-65. Canadian potash to US &amp; Mexico</w:t>
      </w:r>
    </w:p>
    <w:p>
      <w:pPr>
        <w:pStyle w:val="Normal"/>
      </w:pPr>
      <w:r>
        <w:t>Long-term potash supply agreements from Saskatchewan to US corn belt and Mexican agriculture.</w:t>
      </w:r>
    </w:p>
    <w:p>
      <w:pPr>
        <w:pStyle w:val="ClauseLabel"/>
      </w:pPr>
      <w:r>
        <w:t>BB-66. Tri-national fertilizer distribution network</w:t>
      </w:r>
    </w:p>
    <w:p>
      <w:pPr>
        <w:pStyle w:val="Normal"/>
      </w:pPr>
      <w:r>
        <w:t>Joint logistics network shipping Canadian potash to US and Mexican farmers.</w:t>
      </w:r>
    </w:p>
    <w:p>
      <w:pPr>
        <w:pStyle w:val="ClauseLabel"/>
      </w:pPr>
      <w:r>
        <w:t>BB-67. Canadian phosphate to Mexico</w:t>
      </w:r>
    </w:p>
    <w:p>
      <w:pPr>
        <w:pStyle w:val="Normal"/>
      </w:pPr>
      <w:r>
        <w:t>Canada exports phosphate rock to Mexican fertilizer plants.</w:t>
      </w:r>
    </w:p>
    <w:p>
      <w:pPr>
        <w:pStyle w:val="ClauseLabel"/>
      </w:pPr>
      <w:r>
        <w:t>BB-68. US-Mexico fertilizer plant JV</w:t>
      </w:r>
    </w:p>
    <w:p>
      <w:pPr>
        <w:pStyle w:val="Normal"/>
      </w:pPr>
      <w:r>
        <w:t>Build fertilizer plant in Mexico using Canadian potash and US sulfur.</w:t>
      </w:r>
    </w:p>
    <w:p>
      <w:pPr>
        <w:pStyle w:val="ClauseLabel"/>
      </w:pPr>
      <w:r>
        <w:t>BB-69. Tri-national agricultural minerals agreement</w:t>
      </w:r>
    </w:p>
    <w:p>
      <w:pPr>
        <w:pStyle w:val="Normal"/>
      </w:pPr>
      <w:r>
        <w:t>Coordinated supply of potash, phosphate, and sulfur to North American farmers.</w:t>
      </w:r>
    </w:p>
    <w:p>
      <w:pPr>
        <w:pStyle w:val="ClauseLabel"/>
      </w:pPr>
      <w:r>
        <w:t>BB-70. Canadian potash rail corridor investment</w:t>
      </w:r>
    </w:p>
    <w:p>
      <w:pPr>
        <w:pStyle w:val="Normal"/>
      </w:pPr>
      <w:r>
        <w:t>Joint investment in rail infrastructure from Saskatchewan to US Gulf and Mexico.</w:t>
      </w:r>
    </w:p>
    <w:p>
      <w:pPr>
        <w:pStyle w:val="ClauseLabel"/>
      </w:pPr>
      <w:r>
        <w:t>BB-71. Mexican molybdenum to US steel mills</w:t>
      </w:r>
    </w:p>
    <w:p>
      <w:pPr>
        <w:pStyle w:val="Normal"/>
      </w:pPr>
      <w:r>
        <w:t>Long-term supply of Mexican molybdenum for US high-strength steel alloys (aerospace, defense, energy).</w:t>
      </w:r>
    </w:p>
    <w:p>
      <w:pPr>
        <w:pStyle w:val="ClauseLabel"/>
      </w:pPr>
      <w:r>
        <w:t>BB-72. Canadian tungsten exploration</w:t>
      </w:r>
    </w:p>
    <w:p>
      <w:pPr>
        <w:pStyle w:val="Normal"/>
      </w:pPr>
      <w:r>
        <w:t>Joint exploration of tungsten deposits in Canada for US defense supply.</w:t>
      </w:r>
    </w:p>
    <w:p>
      <w:pPr>
        <w:pStyle w:val="ClauseLabel"/>
      </w:pPr>
      <w:r>
        <w:t>BB-73. US-Mexico molybdenum processing</w:t>
      </w:r>
    </w:p>
    <w:p>
      <w:pPr>
        <w:pStyle w:val="Normal"/>
      </w:pPr>
      <w:r>
        <w:t>Build molybdenum roaster in Mexico processing Mexican and US ores.</w:t>
      </w:r>
    </w:p>
    <w:p>
      <w:pPr>
        <w:pStyle w:val="ClauseLabel"/>
      </w:pPr>
      <w:r>
        <w:t>BB-74. Tri-national high-strength steel JV</w:t>
      </w:r>
    </w:p>
    <w:p>
      <w:pPr>
        <w:pStyle w:val="Normal"/>
      </w:pPr>
      <w:r>
        <w:t>Joint venture steel plant using Mexican molybdenum, US iron, Canadian nickel.</w:t>
      </w:r>
    </w:p>
    <w:p>
      <w:pPr>
        <w:pStyle w:val="ClauseLabel"/>
      </w:pPr>
      <w:r>
        <w:t>BB-75. Mexican molybdenum to Canadian aerospace</w:t>
      </w:r>
    </w:p>
    <w:p>
      <w:pPr>
        <w:pStyle w:val="Normal"/>
      </w:pPr>
      <w:r>
        <w:t>Mexico exports molybdenum to Canadian aerospace manufacturers.</w:t>
      </w:r>
    </w:p>
    <w:p>
      <w:pPr>
        <w:pStyle w:val="ClauseLabel"/>
      </w:pPr>
      <w:r>
        <w:t>BB-76. North American tungsten stockpile</w:t>
      </w:r>
    </w:p>
    <w:p>
      <w:pPr>
        <w:pStyle w:val="Normal"/>
      </w:pPr>
      <w:r>
        <w:t>Coordinated strategic tungsten stockpile for defense manufacturing.</w:t>
      </w:r>
    </w:p>
    <w:p>
      <w:pPr>
        <w:pStyle w:val="ClauseLabel"/>
      </w:pPr>
      <w:r>
        <w:t>BB-77. Mexican fluorspar to US chemical plants</w:t>
      </w:r>
    </w:p>
    <w:p>
      <w:pPr>
        <w:pStyle w:val="Normal"/>
      </w:pPr>
      <w:r>
        <w:t>Long-term supply of Mexican fluorspar for US hydrofluoric acid production (semiconductors, refrigerants).</w:t>
      </w:r>
    </w:p>
    <w:p>
      <w:pPr>
        <w:pStyle w:val="ClauseLabel"/>
      </w:pPr>
      <w:r>
        <w:t>BB-78. Canadian fluorspar exploration</w:t>
      </w:r>
    </w:p>
    <w:p>
      <w:pPr>
        <w:pStyle w:val="Normal"/>
      </w:pPr>
      <w:r>
        <w:t>Develop Canada's fluorspar deposits with US offtake.</w:t>
      </w:r>
    </w:p>
    <w:p>
      <w:pPr>
        <w:pStyle w:val="ClauseLabel"/>
      </w:pPr>
      <w:r>
        <w:t>BB-79. Mexican barite to US oil &amp; gas</w:t>
      </w:r>
    </w:p>
    <w:p>
      <w:pPr>
        <w:pStyle w:val="Normal"/>
      </w:pPr>
      <w:r>
        <w:t>Supply Mexican barite for US drilling fluids.</w:t>
      </w:r>
    </w:p>
    <w:p>
      <w:pPr>
        <w:pStyle w:val="ClauseLabel"/>
      </w:pPr>
      <w:r>
        <w:t>BB-80. Tri-national fluorspar processing JV</w:t>
      </w:r>
    </w:p>
    <w:p>
      <w:pPr>
        <w:pStyle w:val="Normal"/>
      </w:pPr>
      <w:r>
        <w:t>Build fluorspar processing plant in Mexico serving all three.</w:t>
      </w:r>
    </w:p>
    <w:p>
      <w:pPr>
        <w:pStyle w:val="ClauseLabel"/>
      </w:pPr>
      <w:r>
        <w:t>BB-81. Canadian industrial minerals to Mexico</w:t>
      </w:r>
    </w:p>
    <w:p>
      <w:pPr>
        <w:pStyle w:val="Normal"/>
      </w:pPr>
      <w:r>
        <w:t>Canada exports silica, limestone, and other industrial minerals to Mexico.</w:t>
      </w:r>
    </w:p>
    <w:p>
      <w:pPr>
        <w:pStyle w:val="ClauseLabel"/>
      </w:pPr>
      <w:r>
        <w:t>BB-82. US-Mexico barite exploration</w:t>
      </w:r>
    </w:p>
    <w:p>
      <w:pPr>
        <w:pStyle w:val="Normal"/>
      </w:pPr>
      <w:r>
        <w:t>Joint exploration of additional barite deposits in Mexico.</w:t>
      </w:r>
    </w:p>
    <w:p>
      <w:pPr>
        <w:pStyle w:val="ClauseLabel"/>
      </w:pPr>
      <w:r>
        <w:t>BB-83. Tri-national cement &amp; construction minerals</w:t>
      </w:r>
    </w:p>
    <w:p>
      <w:pPr>
        <w:pStyle w:val="Normal"/>
      </w:pPr>
      <w:r>
        <w:t>Cross-border supply of cement, lime, and aggregates.</w:t>
      </w:r>
    </w:p>
    <w:p>
      <w:pPr>
        <w:pStyle w:val="ClauseLabel"/>
      </w:pPr>
      <w:r>
        <w:t>BB-84. Mexican salt to US/Canadian chemical plants</w:t>
      </w:r>
    </w:p>
    <w:p>
      <w:pPr>
        <w:pStyle w:val="Normal"/>
      </w:pPr>
      <w:r>
        <w:t>Mexico's salt production exported to US and Canadian chlor-alkali plants.</w:t>
      </w:r>
    </w:p>
    <w:p>
      <w:pPr>
        <w:pStyle w:val="ClauseLabel"/>
      </w:pPr>
      <w:r>
        <w:t>BB-85. North American fluorspar strategic reserve</w:t>
      </w:r>
    </w:p>
    <w:p>
      <w:pPr>
        <w:pStyle w:val="Normal"/>
      </w:pPr>
      <w:r>
        <w:t>Coordinated stockpile for semiconductor industry security.</w:t>
      </w:r>
    </w:p>
    <w:p>
      <w:pPr>
        <w:pStyle w:val="ClauseLabel"/>
      </w:pPr>
      <w:r>
        <w:t>BB-86. Tri-national industrial minerals database</w:t>
      </w:r>
    </w:p>
    <w:p>
      <w:pPr>
        <w:pStyle w:val="Normal"/>
      </w:pPr>
      <w:r>
        <w:t>Shared geological database of industrial mineral resources.</w:t>
      </w:r>
    </w:p>
    <w:p>
      <w:pPr>
        <w:pStyle w:val="ClauseLabel"/>
      </w:pPr>
      <w:r>
        <w:t>BB-87. Canadian uranium to US nuclear plants</w:t>
      </w:r>
    </w:p>
    <w:p>
      <w:pPr>
        <w:pStyle w:val="Normal"/>
      </w:pPr>
      <w:r>
        <w:t>Long-term uranium supply agreements from Saskatchewan to US nuclear reactors.</w:t>
      </w:r>
    </w:p>
    <w:p>
      <w:pPr>
        <w:pStyle w:val="ClauseLabel"/>
      </w:pPr>
      <w:r>
        <w:t>BB-88. US enrichment for Canadian uranium</w:t>
      </w:r>
    </w:p>
    <w:p>
      <w:pPr>
        <w:pStyle w:val="Normal"/>
      </w:pPr>
      <w:r>
        <w:t>Canadian uranium sent to US for enrichment; enriched fuel returned.</w:t>
      </w:r>
    </w:p>
    <w:p>
      <w:pPr>
        <w:pStyle w:val="ClauseLabel"/>
      </w:pPr>
      <w:r>
        <w:t>BB-89. Mexican uranium exploration</w:t>
      </w:r>
    </w:p>
    <w:p>
      <w:pPr>
        <w:pStyle w:val="Normal"/>
      </w:pPr>
      <w:r>
        <w:t>Joint exploration of Mexico's uranium deposits with Canadian expertise.</w:t>
      </w:r>
    </w:p>
    <w:p>
      <w:pPr>
        <w:pStyle w:val="ClauseLabel"/>
      </w:pPr>
      <w:r>
        <w:t>BB-90. North American Nuclear Fuel Security Cooperation</w:t>
      </w:r>
    </w:p>
    <w:p>
      <w:pPr>
        <w:pStyle w:val="Normal"/>
      </w:pPr>
      <w:r>
        <w:t>Coordinate lawful uranium supply, conversion, enrichment, fabrication and reserve capacity under domestic nuclear law, safeguards and non-proliferation obligations; do not prescribe a single tri-national fuel-cycle JV.</w:t>
      </w:r>
    </w:p>
    <w:p>
      <w:pPr>
        <w:pStyle w:val="ClauseLabel"/>
      </w:pPr>
      <w:r>
        <w:t>BB-91. Canadian uranium to Mexico</w:t>
      </w:r>
    </w:p>
    <w:p>
      <w:pPr>
        <w:pStyle w:val="Normal"/>
      </w:pPr>
      <w:r>
        <w:t>Canada supplies uranium for Mexico's nuclear power program.</w:t>
      </w:r>
    </w:p>
    <w:p>
      <w:pPr>
        <w:pStyle w:val="ClauseLabel"/>
      </w:pPr>
      <w:r>
        <w:t>BB-92. North American uranium reserve coordination</w:t>
      </w:r>
    </w:p>
    <w:p>
      <w:pPr>
        <w:pStyle w:val="Normal"/>
      </w:pPr>
      <w:r>
        <w:t>Coordinated uranium reserve policies for energy security.</w:t>
      </w:r>
    </w:p>
    <w:p>
      <w:pPr>
        <w:pStyle w:val="ClauseLabel"/>
      </w:pPr>
      <w:r>
        <w:t>BB-93. Canadian magnesium to US auto plants</w:t>
      </w:r>
    </w:p>
    <w:p>
      <w:pPr>
        <w:pStyle w:val="Normal"/>
      </w:pPr>
      <w:r>
        <w:t>Supply Canadian magnesium for US lightweight automotive components.</w:t>
      </w:r>
    </w:p>
    <w:p>
      <w:pPr>
        <w:pStyle w:val="ClauseLabel"/>
      </w:pPr>
      <w:r>
        <w:t>BB-94. Mexican titanium exploration</w:t>
      </w:r>
    </w:p>
    <w:p>
      <w:pPr>
        <w:pStyle w:val="Normal"/>
      </w:pPr>
      <w:r>
        <w:t>Joint exploration of titanium deposits in Mexico.</w:t>
      </w:r>
    </w:p>
    <w:p>
      <w:pPr>
        <w:pStyle w:val="ClauseLabel"/>
      </w:pPr>
      <w:r>
        <w:t>BB-95. US titanium sponge plant in Canada</w:t>
      </w:r>
    </w:p>
    <w:p>
      <w:pPr>
        <w:pStyle w:val="Normal"/>
      </w:pPr>
      <w:r>
        <w:t>Build titanium sponge plant in Canada using US technology and Canadian energy.</w:t>
      </w:r>
    </w:p>
    <w:p>
      <w:pPr>
        <w:pStyle w:val="ClauseLabel"/>
      </w:pPr>
      <w:r>
        <w:t>BB-96. Tri-national aerospace alloys JV</w:t>
      </w:r>
    </w:p>
    <w:p>
      <w:pPr>
        <w:pStyle w:val="Normal"/>
      </w:pPr>
      <w:r>
        <w:t>Joint venture producing titanium-magnesium alloys for aerospace using Canadian Mg, Mexican Ti, US tech.</w:t>
      </w:r>
    </w:p>
    <w:p>
      <w:pPr>
        <w:pStyle w:val="ClauseLabel"/>
      </w:pPr>
      <w:r>
        <w:t>BB-97. Canadian magnesium processing expansion</w:t>
      </w:r>
    </w:p>
    <w:p>
      <w:pPr>
        <w:pStyle w:val="Normal"/>
      </w:pPr>
      <w:r>
        <w:t>Expand Canada's magnesium refining with US investment.</w:t>
      </w:r>
    </w:p>
    <w:p>
      <w:pPr>
        <w:pStyle w:val="ClauseLabel"/>
      </w:pPr>
      <w:r>
        <w:t>BB-98. Mexican titanium dioxide to US/Canada</w:t>
      </w:r>
    </w:p>
    <w:p>
      <w:pPr>
        <w:pStyle w:val="Normal"/>
      </w:pPr>
      <w:r>
        <w:t>Mexico exports titanium dioxide pigment to US/Canadian paint/coatings industries.</w:t>
      </w:r>
    </w:p>
    <w:p>
      <w:pPr>
        <w:pStyle w:val="ClauseLabel"/>
      </w:pPr>
      <w:r>
        <w:t>BB-99. Tri-national light metals R&amp;D</w:t>
      </w:r>
    </w:p>
    <w:p>
      <w:pPr>
        <w:pStyle w:val="Normal"/>
      </w:pPr>
      <w:r>
        <w:t>Joint research on magnesium and titanium alloys for automotive lightweighting.</w:t>
      </w:r>
    </w:p>
    <w:p>
      <w:pPr>
        <w:pStyle w:val="ClauseLabel"/>
      </w:pPr>
      <w:r>
        <w:t>BB-100. North American titanium strategic reserve</w:t>
      </w:r>
    </w:p>
    <w:p>
      <w:pPr>
        <w:pStyle w:val="Normal"/>
      </w:pPr>
      <w:r>
        <w:t>Coordinated titanium sponge stockpile for defense and aerospace.</w:t>
      </w:r>
    </w:p>
    <w:p>
      <w:pPr>
        <w:pStyle w:val="ClauseLabel"/>
      </w:pPr>
      <w:r>
        <w:t>BB-101. Tri-national critical minerals processing fund</w:t>
      </w:r>
    </w:p>
    <w:p>
      <w:pPr>
        <w:pStyle w:val="Normal"/>
      </w:pPr>
      <w:r>
        <w:t>$10B joint fund to build processing facilities across all three countries.</w:t>
      </w:r>
    </w:p>
    <w:p>
      <w:pPr>
        <w:pStyle w:val="ClauseLabel"/>
      </w:pPr>
      <w:r>
        <w:t>BB-102. US-Mexico-Canada refining corridor</w:t>
      </w:r>
    </w:p>
    <w:p>
      <w:pPr>
        <w:pStyle w:val="Normal"/>
      </w:pPr>
      <w:r>
        <w:t>Build a chain of refineries: Canada (nickel/cobalt), US (rare earths), Mexico (lithium/copper).</w:t>
      </w:r>
    </w:p>
    <w:p>
      <w:pPr>
        <w:pStyle w:val="ClauseLabel"/>
      </w:pPr>
      <w:r>
        <w:t>BB-103. Shared metallurgical R&amp;D center</w:t>
      </w:r>
    </w:p>
    <w:p>
      <w:pPr>
        <w:pStyle w:val="Normal"/>
      </w:pPr>
      <w:r>
        <w:t>Joint research center in Mexico developing new mineral processing technologies.</w:t>
      </w:r>
    </w:p>
    <w:p>
      <w:pPr>
        <w:pStyle w:val="ClauseLabel"/>
      </w:pPr>
      <w:r>
        <w:t>BB-104. Canadian smelter revitalization</w:t>
      </w:r>
    </w:p>
    <w:p>
      <w:pPr>
        <w:pStyle w:val="Normal"/>
      </w:pPr>
      <w:r>
        <w:t>US/Mexican investment to restart closed Canadian smelters.</w:t>
      </w:r>
    </w:p>
    <w:p>
      <w:pPr>
        <w:pStyle w:val="ClauseLabel"/>
      </w:pPr>
      <w:r>
        <w:t>BB-105. Mexican processing workforce development</w:t>
      </w:r>
    </w:p>
    <w:p>
      <w:pPr>
        <w:pStyle w:val="Normal"/>
      </w:pPr>
      <w:r>
        <w:t>Joint training programs for Mexican mineral processors.</w:t>
      </w:r>
    </w:p>
    <w:p>
      <w:pPr>
        <w:pStyle w:val="ClauseLabel"/>
      </w:pPr>
      <w:r>
        <w:t>BB-106. Tri-national mineral processing equipment JV</w:t>
      </w:r>
    </w:p>
    <w:p>
      <w:pPr>
        <w:pStyle w:val="Normal"/>
      </w:pPr>
      <w:r>
        <w:t>Manufacture processing equipment in Mexico for all three.</w:t>
      </w:r>
    </w:p>
    <w:p>
      <w:pPr>
        <w:pStyle w:val="ClauseLabel"/>
      </w:pPr>
      <w:r>
        <w:t>BB-107. US-Canada-Mexico processing technology sharing</w:t>
      </w:r>
    </w:p>
    <w:p>
      <w:pPr>
        <w:pStyle w:val="Normal"/>
      </w:pPr>
      <w:r>
        <w:t>Technology transfer agreements for advanced processing methods.</w:t>
      </w:r>
    </w:p>
    <w:p>
      <w:pPr>
        <w:pStyle w:val="ClauseLabel"/>
      </w:pPr>
      <w:r>
        <w:t>BB-108. Coordinated permitting for processing facilities</w:t>
      </w:r>
    </w:p>
    <w:p>
      <w:pPr>
        <w:pStyle w:val="Normal"/>
      </w:pPr>
      <w:r>
        <w:t>Streamlined cross-border permitting for mineral processing plants.</w:t>
      </w:r>
    </w:p>
    <w:p>
      <w:pPr>
        <w:pStyle w:val="ClauseLabel"/>
      </w:pPr>
      <w:r>
        <w:t>BB-109. Tri-national circular mineral economy</w:t>
      </w:r>
    </w:p>
    <w:p>
      <w:pPr>
        <w:pStyle w:val="Normal"/>
      </w:pPr>
      <w:r>
        <w:t>Recycling and reprocessing of mineral wastes across all three.</w:t>
      </w:r>
    </w:p>
    <w:p>
      <w:pPr>
        <w:pStyle w:val="ClauseLabel"/>
      </w:pPr>
      <w:r>
        <w:t>BB-110. Joint tailings reprocessing initiative</w:t>
      </w:r>
    </w:p>
    <w:p>
      <w:pPr>
        <w:pStyle w:val="Normal"/>
      </w:pPr>
      <w:r>
        <w:t>Reprocess mine tailings in all three countries for residual minerals.</w:t>
      </w:r>
    </w:p>
    <w:p>
      <w:pPr>
        <w:pStyle w:val="ClauseLabel"/>
      </w:pPr>
      <w:r>
        <w:t>BB-111. North American mineral processing standards</w:t>
      </w:r>
    </w:p>
    <w:p>
      <w:pPr>
        <w:pStyle w:val="Normal"/>
      </w:pPr>
      <w:r>
        <w:t>Harmonized environmental and safety standards for processing facilities.</w:t>
      </w:r>
    </w:p>
    <w:p>
      <w:pPr>
        <w:pStyle w:val="ClauseLabel"/>
      </w:pPr>
      <w:r>
        <w:t>BB-112. Tri-national processing investment tax credits</w:t>
      </w:r>
    </w:p>
    <w:p>
      <w:pPr>
        <w:pStyle w:val="Normal"/>
      </w:pPr>
      <w:r>
        <w:t>Coordinated tax incentives for mineral processing investment.</w:t>
      </w:r>
    </w:p>
    <w:p>
      <w:pPr>
        <w:pStyle w:val="ClauseLabel"/>
      </w:pPr>
      <w:r>
        <w:t>BB-113. Tri-national geological survey integration</w:t>
      </w:r>
    </w:p>
    <w:p>
      <w:pPr>
        <w:pStyle w:val="Normal"/>
      </w:pPr>
      <w:r>
        <w:t>Shared database of all three countries' mineral resources.</w:t>
      </w:r>
    </w:p>
    <w:p>
      <w:pPr>
        <w:pStyle w:val="ClauseLabel"/>
      </w:pPr>
      <w:r>
        <w:t>BB-114. USGS-Canadian-Mexican joint exploration program</w:t>
      </w:r>
    </w:p>
    <w:p>
      <w:pPr>
        <w:pStyle w:val="Normal"/>
      </w:pPr>
      <w:r>
        <w:t>$1B program to explore unexplored regions in all three.</w:t>
      </w:r>
    </w:p>
    <w:p>
      <w:pPr>
        <w:pStyle w:val="ClauseLabel"/>
      </w:pPr>
      <w:r>
        <w:t>BB-115. Shared satellite mineral sensing</w:t>
      </w:r>
    </w:p>
    <w:p>
      <w:pPr>
        <w:pStyle w:val="Normal"/>
      </w:pPr>
      <w:r>
        <w:t>Joint satellite program for mineral exploration.</w:t>
      </w:r>
    </w:p>
    <w:p>
      <w:pPr>
        <w:pStyle w:val="ClauseLabel"/>
      </w:pPr>
      <w:r>
        <w:t>BB-116. Tri-national critical minerals mapping</w:t>
      </w:r>
    </w:p>
    <w:p>
      <w:pPr>
        <w:pStyle w:val="Normal"/>
      </w:pPr>
      <w:r>
        <w:t>Complete mapping of all critical mineral resources in North America.</w:t>
      </w:r>
    </w:p>
    <w:p>
      <w:pPr>
        <w:pStyle w:val="ClauseLabel"/>
      </w:pPr>
      <w:r>
        <w:t>BB-117. Canadian exploration tech to Mexico</w:t>
      </w:r>
    </w:p>
    <w:p>
      <w:pPr>
        <w:pStyle w:val="Normal"/>
      </w:pPr>
      <w:r>
        <w:t>Canada's airborne geophysics technology deployed in Mexico.</w:t>
      </w:r>
    </w:p>
    <w:p>
      <w:pPr>
        <w:pStyle w:val="ClauseLabel"/>
      </w:pPr>
      <w:r>
        <w:t>BB-118. Mineral Investment Certainty Within Existing North American Architecture</w:t>
      </w:r>
    </w:p>
    <w:p>
      <w:pPr>
        <w:pStyle w:val="Normal"/>
      </w:pPr>
      <w:r>
        <w:t>Provide predictable, transparent mineral-investment treatment through NAESTMA and domestic law rather than creating a separate U.S.-Mexico bilateral investment treaty.</w:t>
      </w:r>
    </w:p>
    <w:p>
      <w:pPr>
        <w:pStyle w:val="ClauseLabel"/>
      </w:pPr>
      <w:r>
        <w:t>BB-119. Tri-national mining innovation network</w:t>
      </w:r>
    </w:p>
    <w:p>
      <w:pPr>
        <w:pStyle w:val="Normal"/>
      </w:pPr>
      <w:r>
        <w:t>Research network connecting universities and mining companies.</w:t>
      </w:r>
    </w:p>
    <w:p>
      <w:pPr>
        <w:pStyle w:val="ClauseLabel"/>
      </w:pPr>
      <w:r>
        <w:t>BB-120. North American mineral resource estimate</w:t>
      </w:r>
    </w:p>
    <w:p>
      <w:pPr>
        <w:pStyle w:val="Normal"/>
      </w:pPr>
      <w:r>
        <w:t>Joint comprehensive estimate of all mineral resources in the region.</w:t>
      </w:r>
    </w:p>
    <w:p>
      <w:pPr>
        <w:pStyle w:val="Heading1"/>
      </w:pPr>
      <w:bookmarkStart w:id="902298" w:name="_Toc300002297"/>
      <w:r>
        <w:t>PACKAGE BC: PROCESSING AND REFINING INDUSTRIALIZATION CATALOGUE (101 MECHANISMS)</w:t>
      </w:r>
      <w:bookmarkEnd w:id="902298"/>
    </w:p>
    <w:p>
      <w:pPr>
        <w:pStyle w:val="Normal"/>
      </w:pPr>
      <w:r>
        <w:t>Status. These mechanisms expand North American smelting, separation, refining, processing technology, infrastructure, workforce and circular capacity. Named firms or proprietary technologies from source material are treated as non-exclusive examples and are not endorsed by the Agreement.</w:t>
      </w:r>
    </w:p>
    <w:p>
      <w:pPr>
        <w:pStyle w:val="ClauseLabel"/>
      </w:pPr>
      <w:r>
        <w:t>BC-1. Tri-National Critical Minerals Sovereign Fund</w:t>
      </w:r>
    </w:p>
    <w:p>
      <w:pPr>
        <w:pStyle w:val="Normal"/>
      </w:pPr>
      <w:r>
        <w:t>Modeled after Canada's $2-billion fund, create a joint $10B fund for cross-border refinery projects with equity, loans, and offtake agreements.</w:t>
      </w:r>
    </w:p>
    <w:p>
      <w:pPr>
        <w:pStyle w:val="ClauseLabel"/>
      </w:pPr>
      <w:r>
        <w:t>BC-2. USMCA Critical Minerals Investment Corridor</w:t>
      </w:r>
    </w:p>
    <w:p>
      <w:pPr>
        <w:pStyle w:val="Normal"/>
      </w:pPr>
      <w:r>
        <w:t>Use the USMCA joint review to designate specific processing zones with preferential financing.</w:t>
      </w:r>
    </w:p>
    <w:p>
      <w:pPr>
        <w:pStyle w:val="ClauseLabel"/>
      </w:pPr>
      <w:r>
        <w:t>BC-3. North American Smelter Revitalization Fund</w:t>
      </w:r>
    </w:p>
    <w:p>
      <w:pPr>
        <w:pStyle w:val="Normal"/>
      </w:pPr>
      <w:r>
        <w:t>Jointly invest to restart closed smelters in Canada and the U.S.</w:t>
      </w:r>
    </w:p>
    <w:p>
      <w:pPr>
        <w:pStyle w:val="ClauseLabel"/>
      </w:pPr>
      <w:r>
        <w:t>BC-4. Tri-Lateral Loan Guarantee Program</w:t>
      </w:r>
    </w:p>
    <w:p>
      <w:pPr>
        <w:pStyle w:val="Normal"/>
      </w:pPr>
      <w:r>
        <w:t>Each country guarantees loans for refineries processing ores from the other two.</w:t>
      </w:r>
    </w:p>
    <w:p>
      <w:pPr>
        <w:pStyle w:val="ClauseLabel"/>
      </w:pPr>
      <w:r>
        <w:t>BC-5. Joint Strategic Stockpile Financing</w:t>
      </w:r>
    </w:p>
    <w:p>
      <w:pPr>
        <w:pStyle w:val="Normal"/>
      </w:pPr>
      <w:r>
        <w:t>Pool resources to finance a North American critical minerals stockpile.</w:t>
      </w:r>
    </w:p>
    <w:p>
      <w:pPr>
        <w:pStyle w:val="ClauseLabel"/>
      </w:pPr>
      <w:r>
        <w:t>BC-6. Cross-Border Infrastructure Bonds</w:t>
      </w:r>
    </w:p>
    <w:p>
      <w:pPr>
        <w:pStyle w:val="Normal"/>
      </w:pPr>
      <w:r>
        <w:t>Issue trilateral bonds to fund processing plant infrastructure.</w:t>
      </w:r>
    </w:p>
    <w:p>
      <w:pPr>
        <w:pStyle w:val="ClauseLabel"/>
      </w:pPr>
      <w:r>
        <w:t>BC-7. Trilateral Mineral Investment Certainty</w:t>
      </w:r>
    </w:p>
    <w:p>
      <w:pPr>
        <w:pStyle w:val="Normal"/>
      </w:pPr>
      <w:r>
        <w:t>Protect qualifying processing investment through NAESTMA and domestic law rather than a new U.S.-Mexico bilateral treaty.</w:t>
      </w:r>
    </w:p>
    <w:p>
      <w:pPr>
        <w:pStyle w:val="ClauseLabel"/>
      </w:pPr>
      <w:r>
        <w:t>BC-8. Canadian Pension Fund Investment in US/Mexico Refineries</w:t>
      </w:r>
    </w:p>
    <w:p>
      <w:pPr>
        <w:pStyle w:val="Normal"/>
      </w:pPr>
      <w:r>
        <w:t>Encourage large Canadian pension funds to invest in U.S. and Mexican processing.</w:t>
      </w:r>
    </w:p>
    <w:p>
      <w:pPr>
        <w:pStyle w:val="ClauseLabel"/>
      </w:pPr>
      <w:r>
        <w:t>BC-9. US Defense Production Act Investments in Canada/Mexico</w:t>
      </w:r>
    </w:p>
    <w:p>
      <w:pPr>
        <w:pStyle w:val="Normal"/>
      </w:pPr>
      <w:r>
        <w:t>Extend DPA funding to allied North American processing facilities.</w:t>
      </w:r>
    </w:p>
    <w:p>
      <w:pPr>
        <w:pStyle w:val="ClauseLabel"/>
      </w:pPr>
      <w:r>
        <w:t>BC-10. Mexican Sovereign Wealth Fund for Processing</w:t>
      </w:r>
    </w:p>
    <w:p>
      <w:pPr>
        <w:pStyle w:val="Normal"/>
      </w:pPr>
      <w:r>
        <w:t>Create a Mexican fund mirroring Canada's model.</w:t>
      </w:r>
    </w:p>
    <w:p>
      <w:pPr>
        <w:pStyle w:val="ClauseLabel"/>
      </w:pPr>
      <w:r>
        <w:t>BC-11. Tri-National Equity Co-Investment Platform</w:t>
      </w:r>
    </w:p>
    <w:p>
      <w:pPr>
        <w:pStyle w:val="Normal"/>
      </w:pPr>
      <w:r>
        <w:t>Each government takes minority equity stakes in strategic refineries.</w:t>
      </w:r>
    </w:p>
    <w:p>
      <w:pPr>
        <w:pStyle w:val="ClauseLabel"/>
      </w:pPr>
      <w:r>
        <w:t>BC-12. USMCA Processing Incentive Tax Credits</w:t>
      </w:r>
    </w:p>
    <w:p>
      <w:pPr>
        <w:pStyle w:val="Normal"/>
      </w:pPr>
      <w:r>
        <w:t>Harmonized tax credits for processing investment across all three.</w:t>
      </w:r>
    </w:p>
    <w:p>
      <w:pPr>
        <w:pStyle w:val="ClauseLabel"/>
      </w:pPr>
      <w:r>
        <w:t>BC-13. Joint Project Preparation Facility</w:t>
      </w:r>
    </w:p>
    <w:p>
      <w:pPr>
        <w:pStyle w:val="Normal"/>
      </w:pPr>
      <w:r>
        <w:t>Fund feasibility studies and early-stage development for shovel-ready projects.</w:t>
      </w:r>
    </w:p>
    <w:p>
      <w:pPr>
        <w:pStyle w:val="ClauseLabel"/>
      </w:pPr>
      <w:r>
        <w:t>BC-14. Critical Minerals Finance Window</w:t>
      </w:r>
    </w:p>
    <w:p>
      <w:pPr>
        <w:pStyle w:val="Normal"/>
      </w:pPr>
      <w:r>
        <w:t>Link existing development-finance, export-credit, infrastructure and strategic-investment institutions instead of creating a new North American minerals bank.</w:t>
      </w:r>
    </w:p>
    <w:p>
      <w:pPr>
        <w:pStyle w:val="ClauseLabel"/>
      </w:pPr>
      <w:r>
        <w:t>BC-15. Tri-National Offtake Aggregation</w:t>
      </w:r>
    </w:p>
    <w:p>
      <w:pPr>
        <w:pStyle w:val="Normal"/>
      </w:pPr>
      <w:r>
        <w:t>Pool government offtake agreements to de-risk private investment.</w:t>
      </w:r>
    </w:p>
    <w:p>
      <w:pPr>
        <w:pStyle w:val="ClauseLabel"/>
      </w:pPr>
      <w:r>
        <w:t>BC-16. Harmonized Environmental Permitting</w:t>
      </w:r>
    </w:p>
    <w:p>
      <w:pPr>
        <w:pStyle w:val="Normal"/>
      </w:pPr>
      <w:r>
        <w:t>Streamline cross-border environmental reviews for processing facilities.</w:t>
      </w:r>
    </w:p>
    <w:p>
      <w:pPr>
        <w:pStyle w:val="ClauseLabel"/>
      </w:pPr>
      <w:r>
        <w:t>BC-17. Shared Critical Minerals List</w:t>
      </w:r>
    </w:p>
    <w:p>
      <w:pPr>
        <w:pStyle w:val="Normal"/>
      </w:pPr>
      <w:r>
        <w:t>Define a common list of strategic minerals across all three nations.</w:t>
      </w:r>
    </w:p>
    <w:p>
      <w:pPr>
        <w:pStyle w:val="ClauseLabel"/>
      </w:pPr>
      <w:r>
        <w:t>BC-18. USMCA Cumulation for Processing</w:t>
      </w:r>
    </w:p>
    <w:p>
      <w:pPr>
        <w:pStyle w:val="Normal"/>
      </w:pPr>
      <w:r>
        <w:t>Treat North America as one integrated production platform for rules of origin.</w:t>
      </w:r>
    </w:p>
    <w:p>
      <w:pPr>
        <w:pStyle w:val="ClauseLabel"/>
      </w:pPr>
      <w:r>
        <w:t>BC-19. Coordinated External Tariffs</w:t>
      </w:r>
    </w:p>
    <w:p>
      <w:pPr>
        <w:pStyle w:val="Normal"/>
      </w:pPr>
      <w:r>
        <w:t>Joint tariffs on non-market (Chinese) processed mineral imports.</w:t>
      </w:r>
    </w:p>
    <w:p>
      <w:pPr>
        <w:pStyle w:val="ClauseLabel"/>
      </w:pPr>
      <w:r>
        <w:t>BC-20. Border-Adjusted Price Floors</w:t>
      </w:r>
    </w:p>
    <w:p>
      <w:pPr>
        <w:pStyle w:val="Normal"/>
      </w:pPr>
      <w:r>
        <w:t>Explore price floors for imported processed minerals.</w:t>
      </w:r>
    </w:p>
    <w:p>
      <w:pPr>
        <w:pStyle w:val="ClauseLabel"/>
      </w:pPr>
      <w:r>
        <w:t>BC-21. Harmonized Processing Standards</w:t>
      </w:r>
    </w:p>
    <w:p>
      <w:pPr>
        <w:pStyle w:val="Normal"/>
      </w:pPr>
      <w:r>
        <w:t>Common environmental, safety, and quality standards for refineries.</w:t>
      </w:r>
    </w:p>
    <w:p>
      <w:pPr>
        <w:pStyle w:val="ClauseLabel"/>
      </w:pPr>
      <w:r>
        <w:t>BC-22. Streamlined Cross-Border Waste Shipment Rules</w:t>
      </w:r>
    </w:p>
    <w:p>
      <w:pPr>
        <w:pStyle w:val="Normal"/>
      </w:pPr>
      <w:r>
        <w:t>Facilitate movement of mining waste for reprocessing.</w:t>
      </w:r>
    </w:p>
    <w:p>
      <w:pPr>
        <w:pStyle w:val="ClauseLabel"/>
      </w:pPr>
      <w:r>
        <w:t>BC-23. Unified Exploration Permitting</w:t>
      </w:r>
    </w:p>
    <w:p>
      <w:pPr>
        <w:pStyle w:val="Normal"/>
      </w:pPr>
      <w:r>
        <w:t>Accelerate exploration permitting across all three.</w:t>
      </w:r>
    </w:p>
    <w:p>
      <w:pPr>
        <w:pStyle w:val="ClauseLabel"/>
      </w:pPr>
      <w:r>
        <w:t>BC-24. USMCA Critical Minerals Chapter</w:t>
      </w:r>
    </w:p>
    <w:p>
      <w:pPr>
        <w:pStyle w:val="Normal"/>
      </w:pPr>
      <w:r>
        <w:t>A dedicated chapter in USMCA for mineral processing cooperation.</w:t>
      </w:r>
    </w:p>
    <w:p>
      <w:pPr>
        <w:pStyle w:val="ClauseLabel"/>
      </w:pPr>
      <w:r>
        <w:t>BC-25. Harmonized Tax Treatment</w:t>
      </w:r>
    </w:p>
    <w:p>
      <w:pPr>
        <w:pStyle w:val="Normal"/>
      </w:pPr>
      <w:r>
        <w:t>Align tax incentives for processing equipment across borders.</w:t>
      </w:r>
    </w:p>
    <w:p>
      <w:pPr>
        <w:pStyle w:val="ClauseLabel"/>
      </w:pPr>
      <w:r>
        <w:t>BC-26. Joint Investment Screening</w:t>
      </w:r>
    </w:p>
    <w:p>
      <w:pPr>
        <w:pStyle w:val="Normal"/>
      </w:pPr>
      <w:r>
        <w:t>Coordinated framework for foreign investment in processing.</w:t>
      </w:r>
    </w:p>
    <w:p>
      <w:pPr>
        <w:pStyle w:val="ClauseLabel"/>
      </w:pPr>
      <w:r>
        <w:t>BC-27. Shared Indigenous Consultation Protocol</w:t>
      </w:r>
    </w:p>
    <w:p>
      <w:pPr>
        <w:pStyle w:val="Normal"/>
      </w:pPr>
      <w:r>
        <w:t>Harmonized approach to Indigenous engagement on processing projects.</w:t>
      </w:r>
    </w:p>
    <w:p>
      <w:pPr>
        <w:pStyle w:val="ClauseLabel"/>
      </w:pPr>
      <w:r>
        <w:t>BC-28. Mutual Recognition of Technical Certifications</w:t>
      </w:r>
    </w:p>
    <w:p>
      <w:pPr>
        <w:pStyle w:val="Normal"/>
      </w:pPr>
      <w:r>
        <w:t>Accept each other's engineering and operational certifications.</w:t>
      </w:r>
    </w:p>
    <w:p>
      <w:pPr>
        <w:pStyle w:val="ClauseLabel"/>
      </w:pPr>
      <w:r>
        <w:t>BC-29. Coordinated Water Rights for Processing</w:t>
      </w:r>
    </w:p>
    <w:p>
      <w:pPr>
        <w:pStyle w:val="Normal"/>
      </w:pPr>
      <w:r>
        <w:t>Joint approach to water allocation for refineries in shared watersheds.</w:t>
      </w:r>
    </w:p>
    <w:p>
      <w:pPr>
        <w:pStyle w:val="ClauseLabel"/>
      </w:pPr>
      <w:r>
        <w:t>BC-30. USMCA Dispute Resolution for Minerals</w:t>
      </w:r>
    </w:p>
    <w:p>
      <w:pPr>
        <w:pStyle w:val="Normal"/>
      </w:pPr>
      <w:r>
        <w:t>Fast-track dispute mechanism for mineral trade issues.</w:t>
      </w:r>
    </w:p>
    <w:p>
      <w:pPr>
        <w:pStyle w:val="ClauseLabel"/>
      </w:pPr>
      <w:r>
        <w:t>BC-31. Tri-National Processing R&amp;D Consortium</w:t>
      </w:r>
    </w:p>
    <w:p>
      <w:pPr>
        <w:pStyle w:val="Normal"/>
      </w:pPr>
      <w:r>
        <w:t>Joint industry-university research on advanced processing.</w:t>
      </w:r>
    </w:p>
    <w:p>
      <w:pPr>
        <w:pStyle w:val="ClauseLabel"/>
      </w:pPr>
      <w:r>
        <w:t>BC-32. Shared Intellectual Property Pool</w:t>
      </w:r>
    </w:p>
    <w:p>
      <w:pPr>
        <w:pStyle w:val="Normal"/>
      </w:pPr>
      <w:r>
        <w:t>Pool patents on processing technologies for licensed use across all three.</w:t>
      </w:r>
    </w:p>
    <w:p>
      <w:pPr>
        <w:pStyle w:val="ClauseLabel"/>
      </w:pPr>
      <w:r>
        <w:t>BC-33. Joint Direct Lithium Extraction (DLE) Deployment</w:t>
      </w:r>
    </w:p>
    <w:p>
      <w:pPr>
        <w:pStyle w:val="Normal"/>
      </w:pPr>
      <w:r>
        <w:t>Deploy Canadian DLE technology in Mexico.</w:t>
      </w:r>
    </w:p>
    <w:p>
      <w:pPr>
        <w:pStyle w:val="ClauseLabel"/>
      </w:pPr>
      <w:r>
        <w:t>BC-34. US-Mexico REE Separation Technology Transfer</w:t>
      </w:r>
    </w:p>
    <w:p>
      <w:pPr>
        <w:pStyle w:val="Normal"/>
      </w:pPr>
      <w:r>
        <w:t>Transfer U.S. rare earth separation tech to Mexican facilities.</w:t>
      </w:r>
    </w:p>
    <w:p>
      <w:pPr>
        <w:pStyle w:val="ClauseLabel"/>
      </w:pPr>
      <w:r>
        <w:t>BC-35. Canadian Graphite Processing in Mexico</w:t>
      </w:r>
    </w:p>
    <w:p>
      <w:pPr>
        <w:pStyle w:val="Normal"/>
      </w:pPr>
      <w:r>
        <w:t>Deploy Canadian low-emission graphite technology in Mexico.</w:t>
      </w:r>
    </w:p>
    <w:p>
      <w:pPr>
        <w:pStyle w:val="ClauseLabel"/>
      </w:pPr>
      <w:r>
        <w:t>BC-36. Tri-National Quantum Sensing for Processing</w:t>
      </w:r>
    </w:p>
    <w:p>
      <w:pPr>
        <w:pStyle w:val="Normal"/>
      </w:pPr>
      <w:r>
        <w:t>Use Canadian quantum tech to optimize ore sorting.</w:t>
      </w:r>
    </w:p>
    <w:p>
      <w:pPr>
        <w:pStyle w:val="ClauseLabel"/>
      </w:pPr>
      <w:r>
        <w:t>BC-37. US Bio-Processing Technology in Canada/Mexico</w:t>
      </w:r>
    </w:p>
    <w:p>
      <w:pPr>
        <w:pStyle w:val="Normal"/>
      </w:pPr>
      <w:r>
        <w:t>Deploy bio-based REE extraction technology.</w:t>
      </w:r>
    </w:p>
    <w:p>
      <w:pPr>
        <w:pStyle w:val="ClauseLabel"/>
      </w:pPr>
      <w:r>
        <w:t>BC-38. Mexican Alkaline Leaching Technology Export</w:t>
      </w:r>
    </w:p>
    <w:p>
      <w:pPr>
        <w:pStyle w:val="Normal"/>
      </w:pPr>
      <w:r>
        <w:t>Export Mexican arsenic/antimony removal tech to US/Canada.</w:t>
      </w:r>
    </w:p>
    <w:p>
      <w:pPr>
        <w:pStyle w:val="ClauseLabel"/>
      </w:pPr>
      <w:r>
        <w:t>BC-39. Joint High-Pressure Slurry Ablation (HPSA) Deployment</w:t>
      </w:r>
    </w:p>
    <w:p>
      <w:pPr>
        <w:pStyle w:val="Normal"/>
      </w:pPr>
      <w:r>
        <w:t>Deploy U.S. HPSA tech for mine waste processing across all three.</w:t>
      </w:r>
    </w:p>
    <w:p>
      <w:pPr>
        <w:pStyle w:val="ClauseLabel"/>
      </w:pPr>
      <w:r>
        <w:t>BC-40. Shared Centrifugal Gravity Separator Tech</w:t>
      </w:r>
    </w:p>
    <w:p>
      <w:pPr>
        <w:pStyle w:val="Normal"/>
      </w:pPr>
      <w:r>
        <w:t>Deploy new U.S. gravity separator technology.</w:t>
      </w:r>
    </w:p>
    <w:p>
      <w:pPr>
        <w:pStyle w:val="ClauseLabel"/>
      </w:pPr>
      <w:r>
        <w:t>BC-41. Canadian Ion Exchange Platform for Critical Metals</w:t>
      </w:r>
    </w:p>
    <w:p>
      <w:pPr>
        <w:pStyle w:val="Normal"/>
      </w:pPr>
      <w:r>
        <w:t>Deploy Renix's steady-state ion exchange platform.</w:t>
      </w:r>
    </w:p>
    <w:p>
      <w:pPr>
        <w:pStyle w:val="ClauseLabel"/>
      </w:pPr>
      <w:r>
        <w:t>BC-42. Tri-National Pilot Plant Network</w:t>
      </w:r>
    </w:p>
    <w:p>
      <w:pPr>
        <w:pStyle w:val="Normal"/>
      </w:pPr>
      <w:r>
        <w:t>Fund pilot plants for emerging processing technologies.</w:t>
      </w:r>
    </w:p>
    <w:p>
      <w:pPr>
        <w:pStyle w:val="ClauseLabel"/>
      </w:pPr>
      <w:r>
        <w:t>BC-43. Joint Machine Learning for Processing Optimization</w:t>
      </w:r>
    </w:p>
    <w:p>
      <w:pPr>
        <w:pStyle w:val="Normal"/>
      </w:pPr>
      <w:r>
        <w:t>Use AI to optimize refinery operations.</w:t>
      </w:r>
    </w:p>
    <w:p>
      <w:pPr>
        <w:pStyle w:val="ClauseLabel"/>
      </w:pPr>
      <w:r>
        <w:t>BC-44. Shared Synthetic Biology Platform</w:t>
      </w:r>
    </w:p>
    <w:p>
      <w:pPr>
        <w:pStyle w:val="Normal"/>
      </w:pPr>
      <w:r>
        <w:t>Deploy Ames Lab's synthetic biology for mineral capture.</w:t>
      </w:r>
    </w:p>
    <w:p>
      <w:pPr>
        <w:pStyle w:val="ClauseLabel"/>
      </w:pPr>
      <w:r>
        <w:t>BC-45. Canadian Low-Temperature Lithium Sulphide Process</w:t>
      </w:r>
    </w:p>
    <w:p>
      <w:pPr>
        <w:pStyle w:val="Normal"/>
      </w:pPr>
      <w:r>
        <w:t>Deploy DualPure™ low-temperature process.</w:t>
      </w:r>
    </w:p>
    <w:p>
      <w:pPr>
        <w:pStyle w:val="ClauseLabel"/>
      </w:pPr>
      <w:r>
        <w:t>BC-46. Tri-National Modular Refinery Design</w:t>
      </w:r>
    </w:p>
    <w:p>
      <w:pPr>
        <w:pStyle w:val="Normal"/>
      </w:pPr>
      <w:r>
        <w:t>Develop modular, scalable refinery designs for rapid deployment.</w:t>
      </w:r>
    </w:p>
    <w:p>
      <w:pPr>
        <w:pStyle w:val="ClauseLabel"/>
      </w:pPr>
      <w:r>
        <w:t>BC-47. Shared Solvent Extraction Alternatives</w:t>
      </w:r>
    </w:p>
    <w:p>
      <w:pPr>
        <w:pStyle w:val="Normal"/>
      </w:pPr>
      <w:r>
        <w:t>Deploy ReElement's low-acid separation tech across all three.</w:t>
      </w:r>
    </w:p>
    <w:p>
      <w:pPr>
        <w:pStyle w:val="ClauseLabel"/>
      </w:pPr>
      <w:r>
        <w:t>BC-48. Joint Waste-to-Wealth Technology</w:t>
      </w:r>
    </w:p>
    <w:p>
      <w:pPr>
        <w:pStyle w:val="Normal"/>
      </w:pPr>
      <w:r>
        <w:t>Deploy ion-imprinted polymer tech for mine waste.</w:t>
      </w:r>
    </w:p>
    <w:p>
      <w:pPr>
        <w:pStyle w:val="ClauseLabel"/>
      </w:pPr>
      <w:r>
        <w:t>BC-49. Tri-National Accelerated Ore Analysis</w:t>
      </w:r>
    </w:p>
    <w:p>
      <w:pPr>
        <w:pStyle w:val="Normal"/>
      </w:pPr>
      <w:r>
        <w:t>Deploy real-time ore analysis technology.</w:t>
      </w:r>
    </w:p>
    <w:p>
      <w:pPr>
        <w:pStyle w:val="ClauseLabel"/>
      </w:pPr>
      <w:r>
        <w:t>BC-50. Shared Processing Technology Database</w:t>
      </w:r>
    </w:p>
    <w:p>
      <w:pPr>
        <w:pStyle w:val="Normal"/>
      </w:pPr>
      <w:r>
        <w:t>Central database of all processing technologies available in North America.</w:t>
      </w:r>
    </w:p>
    <w:p>
      <w:pPr>
        <w:pStyle w:val="ClauseLabel"/>
      </w:pPr>
      <w:r>
        <w:t>BC-51. Tri-National Processing Corridor</w:t>
      </w:r>
    </w:p>
    <w:p>
      <w:pPr>
        <w:pStyle w:val="Normal"/>
      </w:pPr>
      <w:r>
        <w:t>Build a chain: Canada (Ni/Co) → US (REEs) → Mexico (Li/Cu).</w:t>
      </w:r>
    </w:p>
    <w:p>
      <w:pPr>
        <w:pStyle w:val="ClauseLabel"/>
      </w:pPr>
      <w:r>
        <w:t>BC-52. Canadian Potash Rail to US/Mexico</w:t>
      </w:r>
    </w:p>
    <w:p>
      <w:pPr>
        <w:pStyle w:val="Normal"/>
      </w:pPr>
      <w:r>
        <w:t>Joint rail investment from Saskatchewan to Gulf and Mexico.</w:t>
      </w:r>
    </w:p>
    <w:p>
      <w:pPr>
        <w:pStyle w:val="ClauseLabel"/>
      </w:pPr>
      <w:r>
        <w:t>BC-53. Mexican Port Processing Zones</w:t>
      </w:r>
    </w:p>
    <w:p>
      <w:pPr>
        <w:pStyle w:val="Normal"/>
      </w:pPr>
      <w:r>
        <w:t>Develop processing parks at Manzanillo and Lázaro Cárdenas ports.</w:t>
      </w:r>
    </w:p>
    <w:p>
      <w:pPr>
        <w:pStyle w:val="ClauseLabel"/>
      </w:pPr>
      <w:r>
        <w:t>BC-54. US-Mexico Border Processing Hub</w:t>
      </w:r>
    </w:p>
    <w:p>
      <w:pPr>
        <w:pStyle w:val="Normal"/>
      </w:pPr>
      <w:r>
        <w:t>Build refineries in northern Mexico near U.S. border.</w:t>
      </w:r>
    </w:p>
    <w:p>
      <w:pPr>
        <w:pStyle w:val="ClauseLabel"/>
      </w:pPr>
      <w:r>
        <w:t>BC-55. Canadian Arctic Processing Infrastructure</w:t>
      </w:r>
    </w:p>
    <w:p>
      <w:pPr>
        <w:pStyle w:val="Normal"/>
      </w:pPr>
      <w:r>
        <w:t>Develop processing capacity near northern mines.</w:t>
      </w:r>
    </w:p>
    <w:p>
      <w:pPr>
        <w:pStyle w:val="ClauseLabel"/>
      </w:pPr>
      <w:r>
        <w:t>BC-56. Tri-National Power Grid for Processing</w:t>
      </w:r>
    </w:p>
    <w:p>
      <w:pPr>
        <w:pStyle w:val="Normal"/>
      </w:pPr>
      <w:r>
        <w:t>Ensure reliable, low-cost power for energy-intensive refineries.</w:t>
      </w:r>
    </w:p>
    <w:p>
      <w:pPr>
        <w:pStyle w:val="ClauseLabel"/>
      </w:pPr>
      <w:r>
        <w:t>BC-57. Shared Natural Gas Pipelines</w:t>
      </w:r>
    </w:p>
    <w:p>
      <w:pPr>
        <w:pStyle w:val="Normal"/>
      </w:pPr>
      <w:r>
        <w:t>Pipeline infrastructure to supply processing plants.</w:t>
      </w:r>
    </w:p>
    <w:p>
      <w:pPr>
        <w:pStyle w:val="ClauseLabel"/>
      </w:pPr>
      <w:r>
        <w:t>BC-58. Rail Interconnectivity for Ore Shipment</w:t>
      </w:r>
    </w:p>
    <w:p>
      <w:pPr>
        <w:pStyle w:val="Normal"/>
      </w:pPr>
      <w:r>
        <w:t>Improve rail links between Canadian mines, U.S. smelters, Mexican refineries.</w:t>
      </w:r>
    </w:p>
    <w:p>
      <w:pPr>
        <w:pStyle w:val="ClauseLabel"/>
      </w:pPr>
      <w:r>
        <w:t>BC-59. Mexican Processing Water Infrastructure</w:t>
      </w:r>
    </w:p>
    <w:p>
      <w:pPr>
        <w:pStyle w:val="Normal"/>
      </w:pPr>
      <w:r>
        <w:t>Build water treatment/recycling for refineries in water-scarce regions.</w:t>
      </w:r>
    </w:p>
    <w:p>
      <w:pPr>
        <w:pStyle w:val="ClauseLabel"/>
      </w:pPr>
      <w:r>
        <w:t>BC-60. Tri-National Port Coordination</w:t>
      </w:r>
    </w:p>
    <w:p>
      <w:pPr>
        <w:pStyle w:val="Normal"/>
      </w:pPr>
      <w:r>
        <w:t>Coordinate port capacity for mineral concentrate exports.</w:t>
      </w:r>
    </w:p>
    <w:p>
      <w:pPr>
        <w:pStyle w:val="ClauseLabel"/>
      </w:pPr>
      <w:r>
        <w:t>BC-61. Canadian Hydrogen for Processing</w:t>
      </w:r>
    </w:p>
    <w:p>
      <w:pPr>
        <w:pStyle w:val="Normal"/>
      </w:pPr>
      <w:r>
        <w:t>Use Canada's clean hydrogen in U.S./Mexican refineries.</w:t>
      </w:r>
    </w:p>
    <w:p>
      <w:pPr>
        <w:pStyle w:val="ClauseLabel"/>
      </w:pPr>
      <w:r>
        <w:t>BC-62. Tailings Reprocessing and Best-Practice Coordination</w:t>
      </w:r>
    </w:p>
    <w:p>
      <w:pPr>
        <w:pStyle w:val="Normal"/>
      </w:pPr>
      <w:r>
        <w:t>Support reprocessing and safe management while avoiding shared cross-border disposal facilities as a default.</w:t>
      </w:r>
    </w:p>
    <w:p>
      <w:pPr>
        <w:pStyle w:val="ClauseLabel"/>
      </w:pPr>
      <w:r>
        <w:t>BC-63. US Strategic Processing Reserve Sites</w:t>
      </w:r>
    </w:p>
    <w:p>
      <w:pPr>
        <w:pStyle w:val="Normal"/>
      </w:pPr>
      <w:r>
        <w:t>Designate sites for emergency processing capacity.</w:t>
      </w:r>
    </w:p>
    <w:p>
      <w:pPr>
        <w:pStyle w:val="ClauseLabel"/>
      </w:pPr>
      <w:r>
        <w:t>BC-64. Tri-National Digital Logistics Platform</w:t>
      </w:r>
    </w:p>
    <w:p>
      <w:pPr>
        <w:pStyle w:val="Normal"/>
      </w:pPr>
      <w:r>
        <w:t>Real-time tracking of ore and concentrate movements.</w:t>
      </w:r>
    </w:p>
    <w:p>
      <w:pPr>
        <w:pStyle w:val="ClauseLabel"/>
      </w:pPr>
      <w:r>
        <w:t>BC-65. Joint Industrial Park Development</w:t>
      </w:r>
    </w:p>
    <w:p>
      <w:pPr>
        <w:pStyle w:val="Normal"/>
      </w:pPr>
      <w:r>
        <w:t>Develop industrial parks hosting multiple processing facilities.</w:t>
      </w:r>
    </w:p>
    <w:p>
      <w:pPr>
        <w:pStyle w:val="ClauseLabel"/>
      </w:pPr>
      <w:r>
        <w:t>BC-66. Tri-National Processing Workforce Program</w:t>
      </w:r>
    </w:p>
    <w:p>
      <w:pPr>
        <w:pStyle w:val="Normal"/>
      </w:pPr>
      <w:r>
        <w:t>Joint training programs for refinery workers.</w:t>
      </w:r>
    </w:p>
    <w:p>
      <w:pPr>
        <w:pStyle w:val="ClauseLabel"/>
      </w:pPr>
      <w:r>
        <w:t>BC-67. Mexican Processing Technician Exchange</w:t>
      </w:r>
    </w:p>
    <w:p>
      <w:pPr>
        <w:pStyle w:val="Normal"/>
      </w:pPr>
      <w:r>
        <w:t>Train Mexican technicians in Canadian/U.S. refineries.</w:t>
      </w:r>
    </w:p>
    <w:p>
      <w:pPr>
        <w:pStyle w:val="ClauseLabel"/>
      </w:pPr>
      <w:r>
        <w:t>BC-68. Canadian University Partnerships in Mexico</w:t>
      </w:r>
    </w:p>
    <w:p>
      <w:pPr>
        <w:pStyle w:val="Normal"/>
      </w:pPr>
      <w:r>
        <w:t>Canadian mining engineering programs in Mexican universities.</w:t>
      </w:r>
    </w:p>
    <w:p>
      <w:pPr>
        <w:pStyle w:val="ClauseLabel"/>
      </w:pPr>
      <w:r>
        <w:t>BC-69. US Community College Processing Curriculum</w:t>
      </w:r>
    </w:p>
    <w:p>
      <w:pPr>
        <w:pStyle w:val="Normal"/>
      </w:pPr>
      <w:r>
        <w:t>Standardized curriculum for refinery operations.</w:t>
      </w:r>
    </w:p>
    <w:p>
      <w:pPr>
        <w:pStyle w:val="ClauseLabel"/>
      </w:pPr>
      <w:r>
        <w:t>BC-70. Tri-National Apprenticeship Network</w:t>
      </w:r>
    </w:p>
    <w:p>
      <w:pPr>
        <w:pStyle w:val="Normal"/>
      </w:pPr>
      <w:r>
        <w:t>Cross-border apprenticeships in mineral processing.</w:t>
      </w:r>
    </w:p>
    <w:p>
      <w:pPr>
        <w:pStyle w:val="ClauseLabel"/>
      </w:pPr>
      <w:r>
        <w:t>BC-71. Joint Safety Training Standards</w:t>
      </w:r>
    </w:p>
    <w:p>
      <w:pPr>
        <w:pStyle w:val="Normal"/>
      </w:pPr>
      <w:r>
        <w:t>Harmonized safety training for refinery workers.</w:t>
      </w:r>
    </w:p>
    <w:p>
      <w:pPr>
        <w:pStyle w:val="ClauseLabel"/>
      </w:pPr>
      <w:r>
        <w:t>BC-72. Shared VR/AR Training Simulators</w:t>
      </w:r>
    </w:p>
    <w:p>
      <w:pPr>
        <w:pStyle w:val="Normal"/>
      </w:pPr>
      <w:r>
        <w:t>Virtual reality training for complex processing operations.</w:t>
      </w:r>
    </w:p>
    <w:p>
      <w:pPr>
        <w:pStyle w:val="ClauseLabel"/>
      </w:pPr>
      <w:r>
        <w:t>BC-73. Mexican Women in Processing Initiative</w:t>
      </w:r>
    </w:p>
    <w:p>
      <w:pPr>
        <w:pStyle w:val="Normal"/>
      </w:pPr>
      <w:r>
        <w:t>Targeted programs to increase female participation.</w:t>
      </w:r>
    </w:p>
    <w:p>
      <w:pPr>
        <w:pStyle w:val="ClauseLabel"/>
      </w:pPr>
      <w:r>
        <w:t>BC-74. Tri-National Processing Research Chairs</w:t>
      </w:r>
    </w:p>
    <w:p>
      <w:pPr>
        <w:pStyle w:val="Normal"/>
      </w:pPr>
      <w:r>
        <w:t>Endowed research positions at universities.</w:t>
      </w:r>
    </w:p>
    <w:p>
      <w:pPr>
        <w:pStyle w:val="ClauseLabel"/>
      </w:pPr>
      <w:r>
        <w:t>BC-75. Indigenous Workforce Development</w:t>
      </w:r>
    </w:p>
    <w:p>
      <w:pPr>
        <w:pStyle w:val="Normal"/>
      </w:pPr>
      <w:r>
        <w:t>Joint programs for Indigenous participation in processing.</w:t>
      </w:r>
    </w:p>
    <w:p>
      <w:pPr>
        <w:pStyle w:val="ClauseLabel"/>
      </w:pPr>
      <w:r>
        <w:t>BC-76. Tri-National Battery Recycling Loop</w:t>
      </w:r>
    </w:p>
    <w:p>
      <w:pPr>
        <w:pStyle w:val="Normal"/>
      </w:pPr>
      <w:r>
        <w:t>US EV batteries → Mexico black mass → Canada/refined materials.</w:t>
      </w:r>
    </w:p>
    <w:p>
      <w:pPr>
        <w:pStyle w:val="ClauseLabel"/>
      </w:pPr>
      <w:r>
        <w:t>BC-77. North American E-Waste Processing Hub</w:t>
      </w:r>
    </w:p>
    <w:p>
      <w:pPr>
        <w:pStyle w:val="Normal"/>
      </w:pPr>
      <w:r>
        <w:t>Centralized e-waste processing in Mexico for REE recovery.</w:t>
      </w:r>
    </w:p>
    <w:p>
      <w:pPr>
        <w:pStyle w:val="ClauseLabel"/>
      </w:pPr>
      <w:r>
        <w:t>BC-78. Joint Tailings Reprocessing Initiative</w:t>
      </w:r>
    </w:p>
    <w:p>
      <w:pPr>
        <w:pStyle w:val="Normal"/>
      </w:pPr>
      <w:r>
        <w:t>Reprocess mine tailings across all three.</w:t>
      </w:r>
    </w:p>
    <w:p>
      <w:pPr>
        <w:pStyle w:val="ClauseLabel"/>
      </w:pPr>
      <w:r>
        <w:t>BC-79. Canadian Black Mass Recycling</w:t>
      </w:r>
    </w:p>
    <w:p>
      <w:pPr>
        <w:pStyle w:val="Normal"/>
      </w:pPr>
      <w:r>
        <w:t>Expand Electra's black mass recycling.</w:t>
      </w:r>
    </w:p>
    <w:p>
      <w:pPr>
        <w:pStyle w:val="ClauseLabel"/>
      </w:pPr>
      <w:r>
        <w:t>BC-80. US-Mexico Lead-Acid Battery Recycling</w:t>
      </w:r>
    </w:p>
    <w:p>
      <w:pPr>
        <w:pStyle w:val="Normal"/>
      </w:pPr>
      <w:r>
        <w:t>Cross-border lead battery recycling loop.</w:t>
      </w:r>
    </w:p>
    <w:p>
      <w:pPr>
        <w:pStyle w:val="ClauseLabel"/>
      </w:pPr>
      <w:r>
        <w:t>BC-81. Tri-National Precious Metals Recycling</w:t>
      </w:r>
    </w:p>
    <w:p>
      <w:pPr>
        <w:pStyle w:val="Normal"/>
      </w:pPr>
      <w:r>
        <w:t>Recover gold/silver from e-waste across all three.</w:t>
      </w:r>
    </w:p>
    <w:p>
      <w:pPr>
        <w:pStyle w:val="ClauseLabel"/>
      </w:pPr>
      <w:r>
        <w:t>BC-82. Shared Lithium-Ion Battery Recycling Standards</w:t>
      </w:r>
    </w:p>
    <w:p>
      <w:pPr>
        <w:pStyle w:val="Normal"/>
      </w:pPr>
      <w:r>
        <w:t>Harmonized standards for battery recycling.</w:t>
      </w:r>
    </w:p>
    <w:p>
      <w:pPr>
        <w:pStyle w:val="ClauseLabel"/>
      </w:pPr>
      <w:r>
        <w:t>BC-83. Joint Scrap Metal Processing</w:t>
      </w:r>
    </w:p>
    <w:p>
      <w:pPr>
        <w:pStyle w:val="Normal"/>
      </w:pPr>
      <w:r>
        <w:t>Process industrial scrap across borders.</w:t>
      </w:r>
    </w:p>
    <w:p>
      <w:pPr>
        <w:pStyle w:val="ClauseLabel"/>
      </w:pPr>
      <w:r>
        <w:t>BC-84. Canadian Mine Waste Reprocessing Tech</w:t>
      </w:r>
    </w:p>
    <w:p>
      <w:pPr>
        <w:pStyle w:val="Normal"/>
      </w:pPr>
      <w:r>
        <w:t>Deploy Canadian tech for Mexican/US tailings.</w:t>
      </w:r>
    </w:p>
    <w:p>
      <w:pPr>
        <w:pStyle w:val="ClauseLabel"/>
      </w:pPr>
      <w:r>
        <w:t>BC-85. Tri-National Circular Mineral Economy Fund</w:t>
      </w:r>
    </w:p>
    <w:p>
      <w:pPr>
        <w:pStyle w:val="Normal"/>
      </w:pPr>
      <w:r>
        <w:t>Fund circular economy processing projects.</w:t>
      </w:r>
    </w:p>
    <w:p>
      <w:pPr>
        <w:pStyle w:val="ClauseLabel"/>
      </w:pPr>
      <w:r>
        <w:t>BC-86. North American Mineral Processing Summit</w:t>
      </w:r>
    </w:p>
    <w:p>
      <w:pPr>
        <w:pStyle w:val="Normal"/>
      </w:pPr>
      <w:r>
        <w:t>Annual summit of industry and government leaders.</w:t>
      </w:r>
    </w:p>
    <w:p>
      <w:pPr>
        <w:pStyle w:val="ClauseLabel"/>
      </w:pPr>
      <w:r>
        <w:t>BC-87. Joint Processing Capacity Dashboard</w:t>
      </w:r>
    </w:p>
    <w:p>
      <w:pPr>
        <w:pStyle w:val="Normal"/>
      </w:pPr>
      <w:r>
        <w:t>Real-time tracking of all North American refining capacity.</w:t>
      </w:r>
    </w:p>
    <w:p>
      <w:pPr>
        <w:pStyle w:val="ClauseLabel"/>
      </w:pPr>
      <w:r>
        <w:t>BC-88. Shared Supply Chain Risk Assessment</w:t>
      </w:r>
    </w:p>
    <w:p>
      <w:pPr>
        <w:pStyle w:val="Normal"/>
      </w:pPr>
      <w:r>
        <w:t>Joint assessment of processing vulnerabilities.</w:t>
      </w:r>
    </w:p>
    <w:p>
      <w:pPr>
        <w:pStyle w:val="ClauseLabel"/>
      </w:pPr>
      <w:r>
        <w:t>BC-89. Tri-National Crisis Response Protocol</w:t>
      </w:r>
    </w:p>
    <w:p>
      <w:pPr>
        <w:pStyle w:val="Normal"/>
      </w:pPr>
      <w:r>
        <w:t>Coordinated response to processing disruptions.</w:t>
      </w:r>
    </w:p>
    <w:p>
      <w:pPr>
        <w:pStyle w:val="ClauseLabel"/>
      </w:pPr>
      <w:r>
        <w:t>BC-90. North American Processing Roadmap to 2035</w:t>
      </w:r>
    </w:p>
    <w:p>
      <w:pPr>
        <w:pStyle w:val="Normal"/>
      </w:pPr>
      <w:r>
        <w:t>Long-term strategic plan.</w:t>
      </w:r>
    </w:p>
    <w:p>
      <w:pPr>
        <w:pStyle w:val="ClauseLabel"/>
      </w:pPr>
      <w:r>
        <w:t>BC-91. Joint Geological Survey Integration</w:t>
      </w:r>
    </w:p>
    <w:p>
      <w:pPr>
        <w:pStyle w:val="Normal"/>
      </w:pPr>
      <w:r>
        <w:t>Shared database for processing feedstocks.</w:t>
      </w:r>
    </w:p>
    <w:p>
      <w:pPr>
        <w:pStyle w:val="ClauseLabel"/>
      </w:pPr>
      <w:r>
        <w:t>BC-92. Mexico-US Action Plan Implementation</w:t>
      </w:r>
    </w:p>
    <w:p>
      <w:pPr>
        <w:pStyle w:val="Normal"/>
      </w:pPr>
      <w:r>
        <w:t>Full execution of the bilateral action plan.</w:t>
      </w:r>
    </w:p>
    <w:p>
      <w:pPr>
        <w:pStyle w:val="ClauseLabel"/>
      </w:pPr>
      <w:r>
        <w:t>BC-93. Tri-National Defense Minerals Coordination</w:t>
      </w:r>
    </w:p>
    <w:p>
      <w:pPr>
        <w:pStyle w:val="Normal"/>
      </w:pPr>
      <w:r>
        <w:t>Priority processing for defense-critical minerals.</w:t>
      </w:r>
    </w:p>
    <w:p>
      <w:pPr>
        <w:pStyle w:val="ClauseLabel"/>
      </w:pPr>
      <w:r>
        <w:t>BC-94. Shared Semiconductor Minerals Strategy</w:t>
      </w:r>
    </w:p>
    <w:p>
      <w:pPr>
        <w:pStyle w:val="Normal"/>
      </w:pPr>
      <w:r>
        <w:t>Joint approach to gallium, germanium, indium.</w:t>
      </w:r>
    </w:p>
    <w:p>
      <w:pPr>
        <w:pStyle w:val="ClauseLabel"/>
      </w:pPr>
      <w:r>
        <w:t>BC-95. North American Processing Investment Dashboard</w:t>
      </w:r>
    </w:p>
    <w:p>
      <w:pPr>
        <w:pStyle w:val="Normal"/>
      </w:pPr>
      <w:r>
        <w:t>Track all processing investments.</w:t>
      </w:r>
    </w:p>
    <w:p>
      <w:pPr>
        <w:pStyle w:val="ClauseLabel"/>
      </w:pPr>
      <w:r>
        <w:t>BC-96. Joint Annual Processing Capacity Targets</w:t>
      </w:r>
    </w:p>
    <w:p>
      <w:pPr>
        <w:pStyle w:val="Normal"/>
      </w:pPr>
      <w:r>
        <w:t>Set binding targets for new refining capacity.</w:t>
      </w:r>
    </w:p>
    <w:p>
      <w:pPr>
        <w:pStyle w:val="ClauseLabel"/>
      </w:pPr>
      <w:r>
        <w:t>BC-97. Tri-National Technology Sovereignty Framework</w:t>
      </w:r>
    </w:p>
    <w:p>
      <w:pPr>
        <w:pStyle w:val="Normal"/>
      </w:pPr>
      <w:r>
        <w:t>Ensure North American control over processing IP.</w:t>
      </w:r>
    </w:p>
    <w:p>
      <w:pPr>
        <w:pStyle w:val="ClauseLabel"/>
      </w:pPr>
      <w:r>
        <w:t>BC-98. Shared ESG Standards for Processing</w:t>
      </w:r>
    </w:p>
    <w:p>
      <w:pPr>
        <w:pStyle w:val="Normal"/>
      </w:pPr>
      <w:r>
        <w:t>Harmonized environmental, social, governance standards.</w:t>
      </w:r>
    </w:p>
    <w:p>
      <w:pPr>
        <w:pStyle w:val="ClauseLabel"/>
      </w:pPr>
      <w:r>
        <w:t>BC-99. Transparent Mineral Processing Industry Advisory Channel</w:t>
      </w:r>
    </w:p>
    <w:p>
      <w:pPr>
        <w:pStyle w:val="Normal"/>
      </w:pPr>
      <w:r>
        <w:t>Use open, balanced consultations rather than an industry-government lobbying body.</w:t>
      </w:r>
    </w:p>
    <w:p>
      <w:pPr>
        <w:pStyle w:val="ClauseLabel"/>
      </w:pPr>
      <w:r>
        <w:t>BC-100. Existing-Institution Minerals Coordination Mandate</w:t>
      </w:r>
    </w:p>
    <w:p>
      <w:pPr>
        <w:pStyle w:val="Normal"/>
      </w:pPr>
      <w:r>
        <w:t>Assign coordination to the NAESTMA Secretariat, Cothrom architecture and designated national authorities; temporary technical groups sunset automatically.</w:t>
      </w:r>
    </w:p>
    <w:p>
      <w:pPr>
        <w:pStyle w:val="ClauseLabel"/>
      </w:pPr>
      <w:r>
        <w:t>BC-101. Mineral Provenance Transparency Standard</w:t>
      </w:r>
    </w:p>
    <w:p>
      <w:pPr>
        <w:pStyle w:val="Normal"/>
      </w:pPr>
      <w:r>
        <w:t>For designated strategic minerals, establish proportionate provenance records covering, where practicable, mine or secondary-resource origin, concentrate origin, processing jurisdiction, refining jurisdiction, recycled content and final North American transformation. Protect confidential, Indigenous-sensitive and national-security information and avoid duplicative paperwork.</w:t>
      </w:r>
    </w:p>
    <w:p>
      <w:pPr>
        <w:pStyle w:val="Heading1"/>
      </w:pPr>
      <w:bookmarkStart w:id="902299" w:name="_Toc300002298"/>
      <w:r>
        <w:t>PACKAGE BD: TAILINGS, MINE-WASTE RECOVERY, REMEDIATION AND BENEFICIAL-USE CATALOGUE (120 MECHANISMS)</w:t>
      </w:r>
      <w:bookmarkEnd w:id="902299"/>
    </w:p>
    <w:p>
      <w:pPr>
        <w:pStyle w:val="Normal"/>
      </w:pPr>
      <w:r>
        <w:t>Status. Tailings and mine waste may be secondary resources, environmental liabilities, or both. Resource recovery never extinguishes hazardous-waste, closure, remediation, dam-safety or legacy-liability obligations unless lawfully and transparently reallocated with adequate financial assurance.</w:t>
      </w:r>
    </w:p>
    <w:p>
      <w:pPr>
        <w:pStyle w:val="ClauseLabel"/>
      </w:pPr>
      <w:r>
        <w:t>BD-A. Tailings Beneficial-Use Safety Ladder</w:t>
      </w:r>
    </w:p>
    <w:p>
      <w:pPr>
        <w:pStyle w:val="Normal"/>
      </w:pPr>
      <w:r>
        <w:t>Tier 0: Characterization: mineralogy, metals, radionuclides where relevant, acid-generation potential, dust, particle size, leaching and geotechnical properties.</w:t>
      </w:r>
    </w:p>
    <w:p>
      <w:pPr>
        <w:pStyle w:val="Normal"/>
      </w:pPr>
      <w:r>
        <w:t>Tier 1: Resource Recovery: recover valuable minerals first where technically, environmentally and economically justified.</w:t>
      </w:r>
    </w:p>
    <w:p>
      <w:pPr>
        <w:pStyle w:val="Normal"/>
      </w:pPr>
      <w:r>
        <w:t>Tier 2: Detoxification/Stabilization: remove, immobilize or otherwise manage hazardous constituents.</w:t>
      </w:r>
    </w:p>
    <w:p>
      <w:pPr>
        <w:pStyle w:val="Normal"/>
      </w:pPr>
      <w:r>
        <w:t>Tier 3: Low-Exposure Industrial Uses: backfill, contained aggregate, barriers and similar uses after certification.</w:t>
      </w:r>
    </w:p>
    <w:p>
      <w:pPr>
        <w:pStyle w:val="Normal"/>
      </w:pPr>
      <w:r>
        <w:t>Tier 4: General Construction Uses: require higher durability, leaching and occupational-exposure testing.</w:t>
      </w:r>
    </w:p>
    <w:p>
      <w:pPr>
        <w:pStyle w:val="Normal"/>
      </w:pPr>
      <w:r>
        <w:t>Tier 5: Water-Contact or Indoor Products: apply a substantially higher contaminant-migration and exposure threshold.</w:t>
      </w:r>
    </w:p>
    <w:p>
      <w:pPr>
        <w:pStyle w:val="Normal"/>
      </w:pPr>
      <w:r>
        <w:t>Tier 6: Soil and Ecological Restoration: require site-specific environmental approval and monitoring.</w:t>
      </w:r>
    </w:p>
    <w:p>
      <w:pPr>
        <w:pStyle w:val="Normal"/>
      </w:pPr>
      <w:r>
        <w:t>Tier 7: Food-Chain/Agricultural Uses: extraordinary evidence threshold; favor purified final products over heterogeneous mine waste and require continuing contaminant monitoring.</w:t>
      </w:r>
    </w:p>
    <w:p>
      <w:pPr>
        <w:pStyle w:val="ClauseLabel"/>
      </w:pPr>
      <w:r>
        <w:t>BD-B. Remediation Credit Hierarchy</w:t>
      </w:r>
    </w:p>
    <w:p>
      <w:pPr>
        <w:pStyle w:val="Normal"/>
      </w:pPr>
      <w:r>
        <w:t>Recover + remediate receives best treatment; recover + neutral environmental effect receives ordinary treatment; recover + worsen a legacy hazard is prohibited. Bulk tailings should be processed as close to source as reasonably practicable, with recovered concentrates and products transported instead of waste whenever feasible.</w:t>
      </w:r>
    </w:p>
    <w:p>
      <w:pPr>
        <w:pStyle w:val="ClauseLabel"/>
      </w:pPr>
      <w:r>
        <w:t>BD-1. Tri-National Tailings Reprocessing Framework</w:t>
      </w:r>
    </w:p>
    <w:p>
      <w:pPr>
        <w:pStyle w:val="Normal"/>
      </w:pPr>
      <w:r>
        <w:t>Create a harmonized regulatory framework under USMCA specifically for tailings reprocessing and mine waste valorization.</w:t>
      </w:r>
    </w:p>
    <w:p>
      <w:pPr>
        <w:pStyle w:val="ClauseLabel"/>
      </w:pPr>
      <w:r>
        <w:t>BD-2. Secondary Mineral Resource Classification</w:t>
      </w:r>
    </w:p>
    <w:p>
      <w:pPr>
        <w:pStyle w:val="Normal"/>
      </w:pPr>
      <w:r>
        <w:t>Allow characterized mine waste with recoverable strategic minerals to receive secondary-resource status for approved recovery without extinguishing hazardous-waste, closure, remediation or liability duties.</w:t>
      </w:r>
    </w:p>
    <w:p>
      <w:pPr>
        <w:pStyle w:val="ClauseLabel"/>
      </w:pPr>
      <w:r>
        <w:t>BD-3. Coordinated Permitting Fast-Track</w:t>
      </w:r>
    </w:p>
    <w:p>
      <w:pPr>
        <w:pStyle w:val="Normal"/>
      </w:pPr>
      <w:r>
        <w:t>Model after Ontario's 2025 Recovery of Minerals regime to streamline permitting for tailings reprocessing across North America.</w:t>
      </w:r>
    </w:p>
    <w:p>
      <w:pPr>
        <w:pStyle w:val="ClauseLabel"/>
      </w:pPr>
      <w:r>
        <w:t>BD-4. Tri-National Mine Waste Inventory</w:t>
      </w:r>
    </w:p>
    <w:p>
      <w:pPr>
        <w:pStyle w:val="Normal"/>
      </w:pPr>
      <w:r>
        <w:t>Create a shared database of all tailings facilities, abandoned mines, and waste rock piles across the continent.</w:t>
      </w:r>
    </w:p>
    <w:p>
      <w:pPr>
        <w:pStyle w:val="ClauseLabel"/>
      </w:pPr>
      <w:r>
        <w:t>BD-5. Harmonized Environmental Liability Transfer</w:t>
      </w:r>
    </w:p>
    <w:p>
      <w:pPr>
        <w:pStyle w:val="Normal"/>
      </w:pPr>
      <w:r>
        <w:t>Allow companies to transfer environmental liabilities to reprocessors who extract value and remediate sites.</w:t>
      </w:r>
    </w:p>
    <w:p>
      <w:pPr>
        <w:pStyle w:val="ClauseLabel"/>
      </w:pPr>
      <w:r>
        <w:t>BD-6. Shared Tax Credits for Tailings Reprocessing</w:t>
      </w:r>
    </w:p>
    <w:p>
      <w:pPr>
        <w:pStyle w:val="Normal"/>
      </w:pPr>
      <w:r>
        <w:t>Harmonized tax incentives for companies that reprocess tailings rather than mine virgin ore.</w:t>
      </w:r>
    </w:p>
    <w:p>
      <w:pPr>
        <w:pStyle w:val="ClauseLabel"/>
      </w:pPr>
      <w:r>
        <w:t>BD-7. Cross-Border Waste Stream Classification</w:t>
      </w:r>
    </w:p>
    <w:p>
      <w:pPr>
        <w:pStyle w:val="Normal"/>
      </w:pPr>
      <w:r>
        <w:t>Standardize classification of mining debris to enable seamless cross-border movement for processing.</w:t>
      </w:r>
    </w:p>
    <w:p>
      <w:pPr>
        <w:pStyle w:val="ClauseLabel"/>
      </w:pPr>
      <w:r>
        <w:t>BD-8. Joint Abandoned Mine Land Program</w:t>
      </w:r>
    </w:p>
    <w:p>
      <w:pPr>
        <w:pStyle w:val="Normal"/>
      </w:pPr>
      <w:r>
        <w:t>Coordinate cleanup of legacy mines with value recovery across all three countries.</w:t>
      </w:r>
    </w:p>
    <w:p>
      <w:pPr>
        <w:pStyle w:val="ClauseLabel"/>
      </w:pPr>
      <w:r>
        <w:t>BD-9. Tri-National Remediation Standards</w:t>
      </w:r>
    </w:p>
    <w:p>
      <w:pPr>
        <w:pStyle w:val="Normal"/>
      </w:pPr>
      <w:r>
        <w:t>Common standards for site remediation after tailings reprocessing.</w:t>
      </w:r>
    </w:p>
    <w:p>
      <w:pPr>
        <w:pStyle w:val="ClauseLabel"/>
      </w:pPr>
      <w:r>
        <w:t>BD-10. USMCA Critical Minerals from Waste Chapter</w:t>
      </w:r>
    </w:p>
    <w:p>
      <w:pPr>
        <w:pStyle w:val="Normal"/>
      </w:pPr>
      <w:r>
        <w:t>Dedicated USMCA chapter on recovering critical minerals from mining debris.</w:t>
      </w:r>
    </w:p>
    <w:p>
      <w:pPr>
        <w:pStyle w:val="ClauseLabel"/>
      </w:pPr>
      <w:r>
        <w:t>BD-11. Coordinated Federal Funding Eligibility</w:t>
      </w:r>
    </w:p>
    <w:p>
      <w:pPr>
        <w:pStyle w:val="Normal"/>
      </w:pPr>
      <w:r>
        <w:t>Ensure tailings reprocessing projects are eligible for funding across all three countries' programs.</w:t>
      </w:r>
    </w:p>
    <w:p>
      <w:pPr>
        <w:pStyle w:val="ClauseLabel"/>
      </w:pPr>
      <w:r>
        <w:t>BD-12. Joint Royalty Framework</w:t>
      </w:r>
    </w:p>
    <w:p>
      <w:pPr>
        <w:pStyle w:val="Normal"/>
      </w:pPr>
      <w:r>
        <w:t>Harmonized royalty structures for minerals recovered from tailings vs. virgin ore.</w:t>
      </w:r>
    </w:p>
    <w:p>
      <w:pPr>
        <w:pStyle w:val="ClauseLabel"/>
      </w:pPr>
      <w:r>
        <w:t>BD-13. Tri-National Mine Closure Standards</w:t>
      </w:r>
    </w:p>
    <w:p>
      <w:pPr>
        <w:pStyle w:val="Normal"/>
      </w:pPr>
      <w:r>
        <w:t>Require closure plans to include reprocessing and repurposing options.</w:t>
      </w:r>
    </w:p>
    <w:p>
      <w:pPr>
        <w:pStyle w:val="ClauseLabel"/>
      </w:pPr>
      <w:r>
        <w:t>BD-14. Shared Indigenous Consultation Protocol</w:t>
      </w:r>
    </w:p>
    <w:p>
      <w:pPr>
        <w:pStyle w:val="Normal"/>
      </w:pPr>
      <w:r>
        <w:t>Harmonized approach to Indigenous engagement on tailings reprocessing projects.</w:t>
      </w:r>
    </w:p>
    <w:p>
      <w:pPr>
        <w:pStyle w:val="ClauseLabel"/>
      </w:pPr>
      <w:r>
        <w:t>BD-15. Existing-Institution Tailings Coordination</w:t>
      </w:r>
    </w:p>
    <w:p>
      <w:pPr>
        <w:pStyle w:val="Normal"/>
      </w:pPr>
      <w:r>
        <w:t>Use the NAESTMA minerals architecture, national regulators and temporary technical teams rather than a permanent tailings task force.</w:t>
      </w:r>
    </w:p>
    <w:p>
      <w:pPr>
        <w:pStyle w:val="ClauseLabel"/>
      </w:pPr>
      <w:r>
        <w:t>BD-16. Canadian Bioleaching Technology for US/Mexican Tailings</w:t>
      </w:r>
    </w:p>
    <w:p>
      <w:pPr>
        <w:pStyle w:val="Normal"/>
      </w:pPr>
      <w:r>
        <w:t>Deploy CanmetMINING's novel bioleaching process to recover nickel and cobalt from pyrrhotite tailings across North America.</w:t>
      </w:r>
    </w:p>
    <w:p>
      <w:pPr>
        <w:pStyle w:val="ClauseLabel"/>
      </w:pPr>
      <w:r>
        <w:t>BD-17. US Tellurium Recovery from Bingham Canyon Tailings</w:t>
      </w:r>
    </w:p>
    <w:p>
      <w:pPr>
        <w:pStyle w:val="Normal"/>
      </w:pPr>
      <w:r>
        <w:t>Scale up tellurium extraction from Utah's copper tailings for defense applications.</w:t>
      </w:r>
    </w:p>
    <w:p>
      <w:pPr>
        <w:pStyle w:val="ClauseLabel"/>
      </w:pPr>
      <w:r>
        <w:t>BD-18. Mexican Silver Recovery from High-Sulphur Waste</w:t>
      </w:r>
    </w:p>
    <w:p>
      <w:pPr>
        <w:pStyle w:val="Normal"/>
      </w:pPr>
      <w:r>
        <w:t>Deploy thiourea-oxalate systems to recover silver from Mexico's high-sulphur mining waste.</w:t>
      </w:r>
    </w:p>
    <w:p>
      <w:pPr>
        <w:pStyle w:val="ClauseLabel"/>
      </w:pPr>
      <w:r>
        <w:t>BD-19. Tri-National REE Recovery from Tailings</w:t>
      </w:r>
    </w:p>
    <w:p>
      <w:pPr>
        <w:pStyle w:val="Normal"/>
      </w:pPr>
      <w:r>
        <w:t>Apply Momentum Technologies' Membrane Solvent Extraction (MSX) to REE-rich tailings across all three countries.</w:t>
      </w:r>
    </w:p>
    <w:p>
      <w:pPr>
        <w:pStyle w:val="ClauseLabel"/>
      </w:pPr>
      <w:r>
        <w:t>BD-20. Canadian Lac Jeannine Iron Tailings Model</w:t>
      </w:r>
    </w:p>
    <w:p>
      <w:pPr>
        <w:pStyle w:val="Normal"/>
      </w:pPr>
      <w:r>
        <w:t>Replicate CoTec's iron tailings reprocessing model (73 million tonnes at 6.7% Fe) at similar sites in US and Mexico.</w:t>
      </w:r>
    </w:p>
    <w:p>
      <w:pPr>
        <w:pStyle w:val="ClauseLabel"/>
      </w:pPr>
      <w:r>
        <w:t>BD-21. US Germanium Recovery from Lead-Zinc Tailings</w:t>
      </w:r>
    </w:p>
    <w:p>
      <w:pPr>
        <w:pStyle w:val="Normal"/>
      </w:pPr>
      <w:r>
        <w:t>Extract germanium from legacy lead-zinc tailings at sites like Tar Creek, Oklahoma.</w:t>
      </w:r>
    </w:p>
    <w:p>
      <w:pPr>
        <w:pStyle w:val="ClauseLabel"/>
      </w:pPr>
      <w:r>
        <w:t>BD-22. Mexican Arsenic/Antimony Removal Technology</w:t>
      </w:r>
    </w:p>
    <w:p>
      <w:pPr>
        <w:pStyle w:val="Normal"/>
      </w:pPr>
      <w:r>
        <w:t>Deploy Mexico's alkaline leaching technology to remove arsenic and antimony from polymetallic concentrates across North America.</w:t>
      </w:r>
    </w:p>
    <w:p>
      <w:pPr>
        <w:pStyle w:val="ClauseLabel"/>
      </w:pPr>
      <w:r>
        <w:t>BD-23. Canadian Gold Tailings Reprocessing</w:t>
      </w:r>
    </w:p>
    <w:p>
      <w:pPr>
        <w:pStyle w:val="Normal"/>
      </w:pPr>
      <w:r>
        <w:t>Apply CanmetMINING's gold recovery from tailings (approx. 2 grams per tonne) to US and Mexican sites.</w:t>
      </w:r>
    </w:p>
    <w:p>
      <w:pPr>
        <w:pStyle w:val="ClauseLabel"/>
      </w:pPr>
      <w:r>
        <w:t>BD-24. US PGM Recovery from Tailings</w:t>
      </w:r>
    </w:p>
    <w:p>
      <w:pPr>
        <w:pStyle w:val="Normal"/>
      </w:pPr>
      <w:r>
        <w:t>Deploy flotation and magnetic separation technologies developed at Colorado School of Mines for PGM recovery from domestic tailings.</w:t>
      </w:r>
    </w:p>
    <w:p>
      <w:pPr>
        <w:pStyle w:val="ClauseLabel"/>
      </w:pPr>
      <w:r>
        <w:t>BD-25. Mexican Cananea-Nacozari Critical Minerals Assessment</w:t>
      </w:r>
    </w:p>
    <w:p>
      <w:pPr>
        <w:pStyle w:val="Normal"/>
      </w:pPr>
      <w:r>
        <w:t>Expand economic evaluation of critical minerals (Cu, Mo, Pb, Sb, Zn) in Sonora's abandoned mining wastes.</w:t>
      </w:r>
    </w:p>
    <w:p>
      <w:pPr>
        <w:pStyle w:val="ClauseLabel"/>
      </w:pPr>
      <w:r>
        <w:t>BD-26. Tri-National Scandium Recovery from Tailings</w:t>
      </w:r>
    </w:p>
    <w:p>
      <w:pPr>
        <w:pStyle w:val="Normal"/>
      </w:pPr>
      <w:r>
        <w:t>Recover scandium from tailings across all three countries for aerospace alloys.</w:t>
      </w:r>
    </w:p>
    <w:p>
      <w:pPr>
        <w:pStyle w:val="ClauseLabel"/>
      </w:pPr>
      <w:r>
        <w:t>BD-27. US EnviroGold NVRO Process Deployment</w:t>
      </w:r>
    </w:p>
    <w:p>
      <w:pPr>
        <w:pStyle w:val="Normal"/>
      </w:pPr>
      <w:r>
        <w:t>Deploy EnviroGold's patented NVRO Process™ to recover precious and critical metals from legacy mine waste across North America.</w:t>
      </w:r>
    </w:p>
    <w:p>
      <w:pPr>
        <w:pStyle w:val="ClauseLabel"/>
      </w:pPr>
      <w:r>
        <w:t>BD-28. Canadian Zero Tailings™ Patent Deployment</w:t>
      </w:r>
    </w:p>
    <w:p>
      <w:pPr>
        <w:pStyle w:val="Normal"/>
      </w:pPr>
      <w:r>
        <w:t>Apply BacTech's Zero Tailings™ technology converting mining waste into fertilizer, critical minerals, and industrial products.</w:t>
      </w:r>
    </w:p>
    <w:p>
      <w:pPr>
        <w:pStyle w:val="ClauseLabel"/>
      </w:pPr>
      <w:r>
        <w:t>BD-29. US Gallium/Indium Recovery from Tailings</w:t>
      </w:r>
    </w:p>
    <w:p>
      <w:pPr>
        <w:pStyle w:val="Normal"/>
      </w:pPr>
      <w:r>
        <w:t>Recover gallium and indium from tailings to reduce dependence on Chinese exports.</w:t>
      </w:r>
    </w:p>
    <w:p>
      <w:pPr>
        <w:pStyle w:val="ClauseLabel"/>
      </w:pPr>
      <w:r>
        <w:t>BD-30. Tri-National Zinc &amp; Germanium from Tar Creek Model</w:t>
      </w:r>
    </w:p>
    <w:p>
      <w:pPr>
        <w:pStyle w:val="Normal"/>
      </w:pPr>
      <w:r>
        <w:t>Replicate the Tar Creek model (zinc and germanium recovery from lead-zinc tailings) at similar sites in Canada and Mexico.</w:t>
      </w:r>
    </w:p>
    <w:p>
      <w:pPr>
        <w:pStyle w:val="ClauseLabel"/>
      </w:pPr>
      <w:r>
        <w:t>BD-31. Mexican REE Recovery from Mining Water</w:t>
      </w:r>
    </w:p>
    <w:p>
      <w:pPr>
        <w:pStyle w:val="Normal"/>
      </w:pPr>
      <w:r>
        <w:t>Deploy Mexico's REECOVERY project technology to recover REEs, cobalt, zinc, and copper from mining water.</w:t>
      </w:r>
    </w:p>
    <w:p>
      <w:pPr>
        <w:pStyle w:val="ClauseLabel"/>
      </w:pPr>
      <w:r>
        <w:t>BD-32. Canadian High-Pressure Slurry Ablation (HPSA)</w:t>
      </w:r>
    </w:p>
    <w:p>
      <w:pPr>
        <w:pStyle w:val="Normal"/>
      </w:pPr>
      <w:r>
        <w:t>Deploy DISA Technologies' HPSA technology for mineral liberation from tailings across North America.</w:t>
      </w:r>
    </w:p>
    <w:p>
      <w:pPr>
        <w:pStyle w:val="ClauseLabel"/>
      </w:pPr>
      <w:r>
        <w:t>BD-33. US Copper Tailings Reprocessing</w:t>
      </w:r>
    </w:p>
    <w:p>
      <w:pPr>
        <w:pStyle w:val="Normal"/>
      </w:pPr>
      <w:r>
        <w:t>Recover copper, molybdenum, and rhenium from porphyry copper tailings in the Four Corners region.</w:t>
      </w:r>
    </w:p>
    <w:p>
      <w:pPr>
        <w:pStyle w:val="ClauseLabel"/>
      </w:pPr>
      <w:r>
        <w:t>BD-34. Tri-National Lithium Recovery from Tailings</w:t>
      </w:r>
    </w:p>
    <w:p>
      <w:pPr>
        <w:pStyle w:val="Normal"/>
      </w:pPr>
      <w:r>
        <w:t>Extract lithium from mine tailings and waste streams using Direct Lithium Extraction (DLE) technology.</w:t>
      </w:r>
    </w:p>
    <w:p>
      <w:pPr>
        <w:pStyle w:val="ClauseLabel"/>
      </w:pPr>
      <w:r>
        <w:t>BD-35. North American Tailings Resource Estimate</w:t>
      </w:r>
    </w:p>
    <w:p>
      <w:pPr>
        <w:pStyle w:val="Normal"/>
      </w:pPr>
      <w:r>
        <w:t>Joint comprehensive estimate of all critical minerals contained in North American tailings (USGS estimates show some commodities could meet &gt;200 years of global demand).</w:t>
      </w:r>
    </w:p>
    <w:p>
      <w:pPr>
        <w:pStyle w:val="ClauseLabel"/>
      </w:pPr>
      <w:r>
        <w:t>BD-36. Quebec Tailings-to-Bricks Model</w:t>
      </w:r>
    </w:p>
    <w:p>
      <w:pPr>
        <w:pStyle w:val="Normal"/>
      </w:pPr>
      <w:r>
        <w:t>Replicate Quebec's model of fusing toxic tailings with organic polymer to produce bricks, cinder blocks, paving stones, patio tiles, parking columns, and Jersey barriers.</w:t>
      </w:r>
    </w:p>
    <w:p>
      <w:pPr>
        <w:pStyle w:val="ClauseLabel"/>
      </w:pPr>
      <w:r>
        <w:t>BD-37. Tri-National Tailings-Based Concrete Standards</w:t>
      </w:r>
    </w:p>
    <w:p>
      <w:pPr>
        <w:pStyle w:val="Normal"/>
      </w:pPr>
      <w:r>
        <w:t>Develop harmonized standards for using mine tailings as fine aggregate in concrete (12-18% compressive strength enhancement demonstrated).</w:t>
      </w:r>
    </w:p>
    <w:p>
      <w:pPr>
        <w:pStyle w:val="ClauseLabel"/>
      </w:pPr>
      <w:r>
        <w:t>BD-38. Mexican Tailings for Pavement Base</w:t>
      </w:r>
    </w:p>
    <w:p>
      <w:pPr>
        <w:pStyle w:val="Normal"/>
      </w:pPr>
      <w:r>
        <w:t>Use tailings from Zacatecas as road construction material or hydraulic concrete aggregate.</w:t>
      </w:r>
    </w:p>
    <w:p>
      <w:pPr>
        <w:pStyle w:val="ClauseLabel"/>
      </w:pPr>
      <w:r>
        <w:t>BD-39. Canadian Tailings Cement Binder</w:t>
      </w:r>
    </w:p>
    <w:p>
      <w:pPr>
        <w:pStyle w:val="Normal"/>
      </w:pPr>
      <w:r>
        <w:t>Deploy Lafarge Canada's binder technology for mine tailings across all three countries.</w:t>
      </w:r>
    </w:p>
    <w:p>
      <w:pPr>
        <w:pStyle w:val="ClauseLabel"/>
      </w:pPr>
      <w:r>
        <w:t>BD-40. US Iron Ore Tailings as Concrete Aggregate</w:t>
      </w:r>
    </w:p>
    <w:p>
      <w:pPr>
        <w:pStyle w:val="Normal"/>
      </w:pPr>
      <w:r>
        <w:t>Scale up use of iron ore tailings (IOT) as fine aggregate in concrete (30% replacement demonstrated).</w:t>
      </w:r>
    </w:p>
    <w:p>
      <w:pPr>
        <w:pStyle w:val="ClauseLabel"/>
      </w:pPr>
      <w:r>
        <w:t>BD-41. Tri-National Geopolymer Tailings Bricks</w:t>
      </w:r>
    </w:p>
    <w:p>
      <w:pPr>
        <w:pStyle w:val="Normal"/>
      </w:pPr>
      <w:r>
        <w:t>Develop geopolymer bricks from tailings with lower environmental impact than traditional cement.</w:t>
      </w:r>
    </w:p>
    <w:p>
      <w:pPr>
        <w:pStyle w:val="ClauseLabel"/>
      </w:pPr>
      <w:r>
        <w:t>BD-42. Mexican Tailings Glass Production</w:t>
      </w:r>
    </w:p>
    <w:p>
      <w:pPr>
        <w:pStyle w:val="Normal"/>
      </w:pPr>
      <w:r>
        <w:t>Apply vitrification technology to treat hazardous mining tailings into glass products.</w:t>
      </w:r>
    </w:p>
    <w:p>
      <w:pPr>
        <w:pStyle w:val="ClauseLabel"/>
      </w:pPr>
      <w:r>
        <w:t>BD-43. Canadian Tailings Backfill for Underground Voids</w:t>
      </w:r>
    </w:p>
    <w:p>
      <w:pPr>
        <w:pStyle w:val="Normal"/>
      </w:pPr>
      <w:r>
        <w:t>Use ferrous slag, cement kiln dust, and lime binders to convert tailings into underground mine backfill.</w:t>
      </w:r>
    </w:p>
    <w:p>
      <w:pPr>
        <w:pStyle w:val="ClauseLabel"/>
      </w:pPr>
      <w:r>
        <w:t>BD-44. Tri-National Tailings-Based 3D Printing</w:t>
      </w:r>
    </w:p>
    <w:p>
      <w:pPr>
        <w:pStyle w:val="Normal"/>
      </w:pPr>
      <w:r>
        <w:t>Develop 3D-printed construction materials from tailings-derived geopolymers for pavements and prefabricated elements.</w:t>
      </w:r>
    </w:p>
    <w:p>
      <w:pPr>
        <w:pStyle w:val="ClauseLabel"/>
      </w:pPr>
      <w:r>
        <w:t>BD-45. US Tailings-Based Low-Carbon Concrete</w:t>
      </w:r>
    </w:p>
    <w:p>
      <w:pPr>
        <w:pStyle w:val="Normal"/>
      </w:pPr>
      <w:r>
        <w:t>Create digital library for using mine tailings in low-carbon concrete replacements.</w:t>
      </w:r>
    </w:p>
    <w:p>
      <w:pPr>
        <w:pStyle w:val="ClauseLabel"/>
      </w:pPr>
      <w:r>
        <w:t>BD-46. Mexican Tailings as Supplementary Cementitious Material</w:t>
      </w:r>
    </w:p>
    <w:p>
      <w:pPr>
        <w:pStyle w:val="Normal"/>
      </w:pPr>
      <w:r>
        <w:t>Use tailings high in silica and alumina as alternative cementitious materials.</w:t>
      </w:r>
    </w:p>
    <w:p>
      <w:pPr>
        <w:pStyle w:val="ClauseLabel"/>
      </w:pPr>
      <w:r>
        <w:t>BD-47. Canadian Tailings Aggregates for 3D Printing Mortars</w:t>
      </w:r>
    </w:p>
    <w:p>
      <w:pPr>
        <w:pStyle w:val="Normal"/>
      </w:pPr>
      <w:r>
        <w:t>Develop mortars with 12.5% tailings-derived material for additive manufacturing.</w:t>
      </w:r>
    </w:p>
    <w:p>
      <w:pPr>
        <w:pStyle w:val="ClauseLabel"/>
      </w:pPr>
      <w:r>
        <w:t>BD-48. Tri-National Tailings-Based Highway Barriers</w:t>
      </w:r>
    </w:p>
    <w:p>
      <w:pPr>
        <w:pStyle w:val="Normal"/>
      </w:pPr>
      <w:r>
        <w:t>Produce highway Jersey barriers from tailings-based building materials.</w:t>
      </w:r>
    </w:p>
    <w:p>
      <w:pPr>
        <w:pStyle w:val="ClauseLabel"/>
      </w:pPr>
      <w:r>
        <w:t>BD-49. US Tailings for Unpaved Road Base</w:t>
      </w:r>
    </w:p>
    <w:p>
      <w:pPr>
        <w:pStyle w:val="Normal"/>
      </w:pPr>
      <w:r>
        <w:t>Use copper tailings (density 2.8-3.4 g/cm³, d50 0.2-0.8mm) for unpaved road base construction.</w:t>
      </w:r>
    </w:p>
    <w:p>
      <w:pPr>
        <w:pStyle w:val="ClauseLabel"/>
      </w:pPr>
      <w:r>
        <w:t>BD-50. Mexican Tailings Stabilized with Portland Cement</w:t>
      </w:r>
    </w:p>
    <w:p>
      <w:pPr>
        <w:pStyle w:val="Normal"/>
      </w:pPr>
      <w:r>
        <w:t>Stabilize tailings with 3-5% Portland cement to reduce heavy metal transport for construction use.</w:t>
      </w:r>
    </w:p>
    <w:p>
      <w:pPr>
        <w:pStyle w:val="ClauseLabel"/>
      </w:pPr>
      <w:r>
        <w:t>BD-51. Tri-National Tailings-Based Roofing Tiles</w:t>
      </w:r>
    </w:p>
    <w:p>
      <w:pPr>
        <w:pStyle w:val="Normal"/>
      </w:pPr>
      <w:r>
        <w:t>Manufacture roofing tiles from tailings-based materials.</w:t>
      </w:r>
    </w:p>
    <w:p>
      <w:pPr>
        <w:pStyle w:val="ClauseLabel"/>
      </w:pPr>
      <w:r>
        <w:t>BD-52. Canadian Tailings as Fine Aggregate</w:t>
      </w:r>
    </w:p>
    <w:p>
      <w:pPr>
        <w:pStyle w:val="Normal"/>
      </w:pPr>
      <w:r>
        <w:t>Use 10-50% tailings as fine aggregate replacement in concrete across North America.</w:t>
      </w:r>
    </w:p>
    <w:p>
      <w:pPr>
        <w:pStyle w:val="ClauseLabel"/>
      </w:pPr>
      <w:r>
        <w:t>BD-53. US Tailings Geopolymer for Prefabricated Elements</w:t>
      </w:r>
    </w:p>
    <w:p>
      <w:pPr>
        <w:pStyle w:val="Normal"/>
      </w:pPr>
      <w:r>
        <w:t>Produce prefabricated construction elements from tailings geopolymers.</w:t>
      </w:r>
    </w:p>
    <w:p>
      <w:pPr>
        <w:pStyle w:val="ClauseLabel"/>
      </w:pPr>
      <w:r>
        <w:t>BD-54. Tri-National Tailings-Based Insulation Materials</w:t>
      </w:r>
    </w:p>
    <w:p>
      <w:pPr>
        <w:pStyle w:val="Normal"/>
      </w:pPr>
      <w:r>
        <w:t>Develop insulation materials from processed tailings.</w:t>
      </w:r>
    </w:p>
    <w:p>
      <w:pPr>
        <w:pStyle w:val="ClauseLabel"/>
      </w:pPr>
      <w:r>
        <w:t>BD-55. North American Tailings Construction Materials Database</w:t>
      </w:r>
    </w:p>
    <w:p>
      <w:pPr>
        <w:pStyle w:val="Normal"/>
      </w:pPr>
      <w:r>
        <w:t>Shared database of tailings properties for construction applications across all three countries.</w:t>
      </w:r>
    </w:p>
    <w:p>
      <w:pPr>
        <w:pStyle w:val="ClauseLabel"/>
      </w:pPr>
      <w:r>
        <w:t>BD-56. Treated Residue Reclamation Research</w:t>
      </w:r>
    </w:p>
    <w:p>
      <w:pPr>
        <w:pStyle w:val="Normal"/>
      </w:pPr>
      <w:r>
        <w:t>Evaluate treated residues first for mine-site reclamation and non-food uses; food-producing soils require exceptional contaminant, uptake and long-term leaching evidence.</w:t>
      </w:r>
    </w:p>
    <w:p>
      <w:pPr>
        <w:pStyle w:val="ClauseLabel"/>
      </w:pPr>
      <w:r>
        <w:t>BD-57. Recovered Nutrient Products from Mine Waste</w:t>
      </w:r>
    </w:p>
    <w:p>
      <w:pPr>
        <w:pStyle w:val="Normal"/>
      </w:pPr>
      <w:r>
        <w:t>Recover purified nutrient products from eligible waste streams only where the final product independently meets fertilizer and food-chain safety standards.</w:t>
      </w:r>
    </w:p>
    <w:p>
      <w:pPr>
        <w:pStyle w:val="ClauseLabel"/>
      </w:pPr>
      <w:r>
        <w:t>BD-58. Controlled Mine-Land Ecological Restoration Trials</w:t>
      </w:r>
    </w:p>
    <w:p>
      <w:pPr>
        <w:pStyle w:val="Normal"/>
      </w:pPr>
      <w:r>
        <w:t>Use fully characterized materials in controlled restoration of degraded mine lands rather than blanket agricultural application.</w:t>
      </w:r>
    </w:p>
    <w:p>
      <w:pPr>
        <w:pStyle w:val="ClauseLabel"/>
      </w:pPr>
      <w:r>
        <w:t>BD-59. Purified Nutrient Recovery</w:t>
      </w:r>
    </w:p>
    <w:p>
      <w:pPr>
        <w:pStyle w:val="Normal"/>
      </w:pPr>
      <w:r>
        <w:t>Extract useful nutrients into purified products instead of spreading heterogeneous tailings on food-producing soils.</w:t>
      </w:r>
    </w:p>
    <w:p>
      <w:pPr>
        <w:pStyle w:val="ClauseLabel"/>
      </w:pPr>
      <w:r>
        <w:t>BD-60. Mine-Land Remediation Substrates</w:t>
      </w:r>
    </w:p>
    <w:p>
      <w:pPr>
        <w:pStyle w:val="Normal"/>
      </w:pPr>
      <w:r>
        <w:t>Develop controlled remediation substrates for contaminated mine lands; composting does not waive contaminant limits.</w:t>
      </w:r>
    </w:p>
    <w:p>
      <w:pPr>
        <w:pStyle w:val="ClauseLabel"/>
      </w:pPr>
      <w:r>
        <w:t>BD-61. Phosphate-Tailings Rehabilitation Research</w:t>
      </w:r>
    </w:p>
    <w:p>
      <w:pPr>
        <w:pStyle w:val="Normal"/>
      </w:pPr>
      <w:r>
        <w:t>Research conversion/stabilization for rehabilitation uses, with food-chain applications requiring separate stringent certification.</w:t>
      </w:r>
    </w:p>
    <w:p>
      <w:pPr>
        <w:pStyle w:val="ClauseLabel"/>
      </w:pPr>
      <w:r>
        <w:t>BD-62. Controlled Plant-Toxicity and Uptake Research Program</w:t>
      </w:r>
    </w:p>
    <w:p>
      <w:pPr>
        <w:pStyle w:val="Normal"/>
      </w:pPr>
      <w:r>
        <w:t>Study plant response, contaminant uptake and leaching under controlled conditions; no treaty-prescribed application rate to food crops.</w:t>
      </w:r>
    </w:p>
    <w:p>
      <w:pPr>
        <w:pStyle w:val="ClauseLabel"/>
      </w:pPr>
      <w:r>
        <w:t>BD-63. Characterized Mineral Byproducts for Land Restoration</w:t>
      </w:r>
    </w:p>
    <w:p>
      <w:pPr>
        <w:pStyle w:val="Normal"/>
      </w:pPr>
      <w:r>
        <w:t>Permit research on benign, characterized byproducts for restoration; food-chain uses require independent stringent certification.</w:t>
      </w:r>
    </w:p>
    <w:p>
      <w:pPr>
        <w:pStyle w:val="ClauseLabel"/>
      </w:pPr>
      <w:r>
        <w:t>BD-64. Phytoremediation and Revegetation Research</w:t>
      </w:r>
    </w:p>
    <w:p>
      <w:pPr>
        <w:pStyle w:val="Normal"/>
      </w:pPr>
      <w:r>
        <w:t>Use vegetation and soil amendments to restore mine lands under contaminant-management controls rather than general agricultural deployment.</w:t>
      </w:r>
    </w:p>
    <w:p>
      <w:pPr>
        <w:pStyle w:val="ClauseLabel"/>
      </w:pPr>
      <w:r>
        <w:t>BD-65. Tri-National Tailings-Based Biofertilizer Standards</w:t>
      </w:r>
    </w:p>
    <w:p>
      <w:pPr>
        <w:pStyle w:val="Normal"/>
      </w:pPr>
      <w:r>
        <w:t>Harmonized standards for tailings-derived biofertilizers across all three countries.</w:t>
      </w:r>
    </w:p>
    <w:p>
      <w:pPr>
        <w:pStyle w:val="ClauseLabel"/>
      </w:pPr>
      <w:r>
        <w:t>BD-66. Canadian Bioleaching for Acid Mine Drainage Prevention</w:t>
      </w:r>
    </w:p>
    <w:p>
      <w:pPr>
        <w:pStyle w:val="Normal"/>
      </w:pPr>
      <w:r>
        <w:t>Deploy CanmetMINING's bioleaching process to remove sulfides from tailings, preventing acid generation.</w:t>
      </w:r>
    </w:p>
    <w:p>
      <w:pPr>
        <w:pStyle w:val="ClauseLabel"/>
      </w:pPr>
      <w:r>
        <w:t>BD-67. Tri-National Tailings Desulphurization</w:t>
      </w:r>
    </w:p>
    <w:p>
      <w:pPr>
        <w:pStyle w:val="Normal"/>
      </w:pPr>
      <w:r>
        <w:t>Joint research on speeding up desulphurization so tailings no longer generate acid.</w:t>
      </w:r>
    </w:p>
    <w:p>
      <w:pPr>
        <w:pStyle w:val="ClauseLabel"/>
      </w:pPr>
      <w:r>
        <w:t>BD-68. US Electrochemical Mineralization of Tailings Water</w:t>
      </w:r>
    </w:p>
    <w:p>
      <w:pPr>
        <w:pStyle w:val="Normal"/>
      </w:pPr>
      <w:r>
        <w:t>Deploy electrochemically stimulated mineralization to treat tailings supernatant water.</w:t>
      </w:r>
    </w:p>
    <w:p>
      <w:pPr>
        <w:pStyle w:val="ClauseLabel"/>
      </w:pPr>
      <w:r>
        <w:t>BD-69. Mexican Mercury Stabilization from Tailings</w:t>
      </w:r>
    </w:p>
    <w:p>
      <w:pPr>
        <w:pStyle w:val="Normal"/>
      </w:pPr>
      <w:r>
        <w:t>Apply chemical and mineralogical assessment techniques to stabilize mercury in historic mining wastes.</w:t>
      </w:r>
    </w:p>
    <w:p>
      <w:pPr>
        <w:pStyle w:val="ClauseLabel"/>
      </w:pPr>
      <w:r>
        <w:t>BD-70. Canadian Tailings as Backfill for Mine Voids</w:t>
      </w:r>
    </w:p>
    <w:p>
      <w:pPr>
        <w:pStyle w:val="Normal"/>
      </w:pPr>
      <w:r>
        <w:t>Use treated tailings to backfill underground mine voids, preventing subsidence.</w:t>
      </w:r>
    </w:p>
    <w:p>
      <w:pPr>
        <w:pStyle w:val="ClauseLabel"/>
      </w:pPr>
      <w:r>
        <w:t>BD-71. Tri-National Phytoremediation of Tailings Sites</w:t>
      </w:r>
    </w:p>
    <w:p>
      <w:pPr>
        <w:pStyle w:val="Normal"/>
      </w:pPr>
      <w:r>
        <w:t>Use hyperaccumulator plants to extract metals from tailings while reclaiming land.</w:t>
      </w:r>
    </w:p>
    <w:p>
      <w:pPr>
        <w:pStyle w:val="ClauseLabel"/>
      </w:pPr>
      <w:r>
        <w:t>BD-72. US Tailings Ponds Rehabilitation</w:t>
      </w:r>
    </w:p>
    <w:p>
      <w:pPr>
        <w:pStyle w:val="Normal"/>
      </w:pPr>
      <w:r>
        <w:t>Convert tailings ponds to wetlands or productive land after reprocessing.</w:t>
      </w:r>
    </w:p>
    <w:p>
      <w:pPr>
        <w:pStyle w:val="ClauseLabel"/>
      </w:pPr>
      <w:r>
        <w:t>BD-73. Mexican Tailings Dam Safety Standards</w:t>
      </w:r>
    </w:p>
    <w:p>
      <w:pPr>
        <w:pStyle w:val="Normal"/>
      </w:pPr>
      <w:r>
        <w:t>Harmonize tailings dam safety standards across North America.</w:t>
      </w:r>
    </w:p>
    <w:p>
      <w:pPr>
        <w:pStyle w:val="ClauseLabel"/>
      </w:pPr>
      <w:r>
        <w:t>BD-74. Canadian Oilsands Tailings Treatment Standards</w:t>
      </w:r>
    </w:p>
    <w:p>
      <w:pPr>
        <w:pStyle w:val="Normal"/>
      </w:pPr>
      <w:r>
        <w:t>Develop coordinated standards for releasing treated oilsands tailings.</w:t>
      </w:r>
    </w:p>
    <w:p>
      <w:pPr>
        <w:pStyle w:val="ClauseLabel"/>
      </w:pPr>
      <w:r>
        <w:t>BD-75. Tri-National Tailings Revegetation</w:t>
      </w:r>
    </w:p>
    <w:p>
      <w:pPr>
        <w:pStyle w:val="Normal"/>
      </w:pPr>
      <w:r>
        <w:t>Joint programs to revegetate tailings sites using sludge-amended soils (90% survival rates demonstrated).</w:t>
      </w:r>
    </w:p>
    <w:p>
      <w:pPr>
        <w:pStyle w:val="ClauseLabel"/>
      </w:pPr>
      <w:r>
        <w:t>BD-76. US Acid Mine Drainage REE Recovery</w:t>
      </w:r>
    </w:p>
    <w:p>
      <w:pPr>
        <w:pStyle w:val="Normal"/>
      </w:pPr>
      <w:r>
        <w:t>Extract REEs from acid mine drainage and tailings liquors while treating water.</w:t>
      </w:r>
    </w:p>
    <w:p>
      <w:pPr>
        <w:pStyle w:val="ClauseLabel"/>
      </w:pPr>
      <w:r>
        <w:t>BD-77. Mexican Tailings Vitrification for Hazardous Waste</w:t>
      </w:r>
    </w:p>
    <w:p>
      <w:pPr>
        <w:pStyle w:val="Normal"/>
      </w:pPr>
      <w:r>
        <w:t>Use vitrification to solidify hazardous mining tailings.</w:t>
      </w:r>
    </w:p>
    <w:p>
      <w:pPr>
        <w:pStyle w:val="ClauseLabel"/>
      </w:pPr>
      <w:r>
        <w:t>BD-78. Tri-National Tailings Pond Closure Standards</w:t>
      </w:r>
    </w:p>
    <w:p>
      <w:pPr>
        <w:pStyle w:val="Normal"/>
      </w:pPr>
      <w:r>
        <w:t>Harmonized standards for closing and reclaiming tailings ponds.</w:t>
      </w:r>
    </w:p>
    <w:p>
      <w:pPr>
        <w:pStyle w:val="ClauseLabel"/>
      </w:pPr>
      <w:r>
        <w:t>BD-79. Canadian Experimental Field Cells for Tailings</w:t>
      </w:r>
    </w:p>
    <w:p>
      <w:pPr>
        <w:pStyle w:val="Normal"/>
      </w:pPr>
      <w:r>
        <w:t>Deploy Natural Resources Canada's experimental field cell research for tailings management across North America.</w:t>
      </w:r>
    </w:p>
    <w:p>
      <w:pPr>
        <w:pStyle w:val="ClauseLabel"/>
      </w:pPr>
      <w:r>
        <w:t>BD-80. North American Tailings Remediation Fund</w:t>
      </w:r>
    </w:p>
    <w:p>
      <w:pPr>
        <w:pStyle w:val="Normal"/>
      </w:pPr>
      <w:r>
        <w:t>Joint fund to clean up the most hazardous tailings sites while recovering value.</w:t>
      </w:r>
    </w:p>
    <w:p>
      <w:pPr>
        <w:pStyle w:val="ClauseLabel"/>
      </w:pPr>
      <w:r>
        <w:t>BD-81. Canadian Bioleaching Technology Transfer to US/Mexico</w:t>
      </w:r>
    </w:p>
    <w:p>
      <w:pPr>
        <w:pStyle w:val="Normal"/>
      </w:pPr>
      <w:r>
        <w:t>Transfer CanmetMINING's nickel/cobalt bioleaching process to US and Mexican facilities.</w:t>
      </w:r>
    </w:p>
    <w:p>
      <w:pPr>
        <w:pStyle w:val="ClauseLabel"/>
      </w:pPr>
      <w:r>
        <w:t>BD-82. US Membrane Solvent Extraction (MSX) Deployment</w:t>
      </w:r>
    </w:p>
    <w:p>
      <w:pPr>
        <w:pStyle w:val="Normal"/>
      </w:pPr>
      <w:r>
        <w:t>Deploy Momentum Technologies' MSX for REE recovery from tailings across North America.</w:t>
      </w:r>
    </w:p>
    <w:p>
      <w:pPr>
        <w:pStyle w:val="ClauseLabel"/>
      </w:pPr>
      <w:r>
        <w:t>BD-83. Mexican Alkaline Leaching Technology Export</w:t>
      </w:r>
    </w:p>
    <w:p>
      <w:pPr>
        <w:pStyle w:val="Normal"/>
      </w:pPr>
      <w:r>
        <w:t>Export Mexico's arsenic/antimony removal technology to US and Canadian operations.</w:t>
      </w:r>
    </w:p>
    <w:p>
      <w:pPr>
        <w:pStyle w:val="ClauseLabel"/>
      </w:pPr>
      <w:r>
        <w:t>BD-84. Tri-National High-Pressure Slurry Ablation (HPSA) Network</w:t>
      </w:r>
    </w:p>
    <w:p>
      <w:pPr>
        <w:pStyle w:val="Normal"/>
      </w:pPr>
      <w:r>
        <w:t>Establish HPSA testing and deployment centers in all three countries.</w:t>
      </w:r>
    </w:p>
    <w:p>
      <w:pPr>
        <w:pStyle w:val="ClauseLabel"/>
      </w:pPr>
      <w:r>
        <w:t>BD-85. US EnviroGold NVRO Process™ Licensing</w:t>
      </w:r>
    </w:p>
    <w:p>
      <w:pPr>
        <w:pStyle w:val="Normal"/>
      </w:pPr>
      <w:r>
        <w:t>License EnviroGold's NVRO Process™ for precious and critical metal recovery from tailings across North America.</w:t>
      </w:r>
    </w:p>
    <w:p>
      <w:pPr>
        <w:pStyle w:val="ClauseLabel"/>
      </w:pPr>
      <w:r>
        <w:t>BD-86. Canadian Multi-Gravity Separator (MGS) Technology</w:t>
      </w:r>
    </w:p>
    <w:p>
      <w:pPr>
        <w:pStyle w:val="Normal"/>
      </w:pPr>
      <w:r>
        <w:t>Deploy Salter Cyclone MGS technology for iron ore recovery from tailings.</w:t>
      </w:r>
    </w:p>
    <w:p>
      <w:pPr>
        <w:pStyle w:val="ClauseLabel"/>
      </w:pPr>
      <w:r>
        <w:t>BD-87. Tri-National REE Recovery from Wastewater</w:t>
      </w:r>
    </w:p>
    <w:p>
      <w:pPr>
        <w:pStyle w:val="Normal"/>
      </w:pPr>
      <w:r>
        <w:t>Deploy University of California, Davis REE extraction from acidic wastewater and tailings liquors.</w:t>
      </w:r>
    </w:p>
    <w:p>
      <w:pPr>
        <w:pStyle w:val="ClauseLabel"/>
      </w:pPr>
      <w:r>
        <w:t>BD-88. US Flotation Optimization for Tailings</w:t>
      </w:r>
    </w:p>
    <w:p>
      <w:pPr>
        <w:pStyle w:val="Normal"/>
      </w:pPr>
      <w:r>
        <w:t>Apply Colorado School of Mines flotation research to tailings reprocessing across all three.</w:t>
      </w:r>
    </w:p>
    <w:p>
      <w:pPr>
        <w:pStyle w:val="ClauseLabel"/>
      </w:pPr>
      <w:r>
        <w:t>BD-89. Canadian Ion Exchange for Critical Metals</w:t>
      </w:r>
    </w:p>
    <w:p>
      <w:pPr>
        <w:pStyle w:val="Normal"/>
      </w:pPr>
      <w:r>
        <w:t>Deploy Renix's steady-state ion exchange platform for tailings processing.</w:t>
      </w:r>
    </w:p>
    <w:p>
      <w:pPr>
        <w:pStyle w:val="ClauseLabel"/>
      </w:pPr>
      <w:r>
        <w:t>BD-90. Tri-National Machine Learning for Tailings Characterization</w:t>
      </w:r>
    </w:p>
    <w:p>
      <w:pPr>
        <w:pStyle w:val="Normal"/>
      </w:pPr>
      <w:r>
        <w:t>Use AI to identify optimal reprocessing strategies for different tailings types.</w:t>
      </w:r>
    </w:p>
    <w:p>
      <w:pPr>
        <w:pStyle w:val="ClauseLabel"/>
      </w:pPr>
      <w:r>
        <w:t>BD-91. US Magnetic Separation for PGM Tailings</w:t>
      </w:r>
    </w:p>
    <w:p>
      <w:pPr>
        <w:pStyle w:val="Normal"/>
      </w:pPr>
      <w:r>
        <w:t>Deploy magnetic separation (68% mass yield, 60% palladium recovery) for PGM tailings.</w:t>
      </w:r>
    </w:p>
    <w:p>
      <w:pPr>
        <w:pStyle w:val="ClauseLabel"/>
      </w:pPr>
      <w:r>
        <w:t>BD-92. Canadian Centrifugal Gravity Separation</w:t>
      </w:r>
    </w:p>
    <w:p>
      <w:pPr>
        <w:pStyle w:val="Normal"/>
      </w:pPr>
      <w:r>
        <w:t>Deploy gravity separators for fine mineral recovery from tailings.</w:t>
      </w:r>
    </w:p>
    <w:p>
      <w:pPr>
        <w:pStyle w:val="ClauseLabel"/>
      </w:pPr>
      <w:r>
        <w:t>BD-93. Tri-National Tailings Reprocessing Pilot Plant Network</w:t>
      </w:r>
    </w:p>
    <w:p>
      <w:pPr>
        <w:pStyle w:val="Normal"/>
      </w:pPr>
      <w:r>
        <w:t>Establish pilot plants in each country for testing new technologies.</w:t>
      </w:r>
    </w:p>
    <w:p>
      <w:pPr>
        <w:pStyle w:val="ClauseLabel"/>
      </w:pPr>
      <w:r>
        <w:t>BD-94. Reciprocal Mine-Waste R&amp;D Funding Eligibility</w:t>
      </w:r>
    </w:p>
    <w:p>
      <w:pPr>
        <w:pStyle w:val="Normal"/>
      </w:pPr>
      <w:r>
        <w:t>Coordinate current national critical-mineral and mine-waste R&amp;D programs without hard-coding an expiring appropriation amount.</w:t>
      </w:r>
    </w:p>
    <w:p>
      <w:pPr>
        <w:pStyle w:val="ClauseLabel"/>
      </w:pPr>
      <w:r>
        <w:t>BD-95. North American Tailings Technology Database</w:t>
      </w:r>
    </w:p>
    <w:p>
      <w:pPr>
        <w:pStyle w:val="Normal"/>
      </w:pPr>
      <w:r>
        <w:t>Shared database of all tailings reprocessing technologies available in North America.</w:t>
      </w:r>
    </w:p>
    <w:p>
      <w:pPr>
        <w:pStyle w:val="ClauseLabel"/>
      </w:pPr>
      <w:r>
        <w:t>BD-96. Tri-National Tailings-Based Ceramics</w:t>
      </w:r>
    </w:p>
    <w:p>
      <w:pPr>
        <w:pStyle w:val="Normal"/>
      </w:pPr>
      <w:r>
        <w:t>Manufacture ceramics and tiles from processed tailings.</w:t>
      </w:r>
    </w:p>
    <w:p>
      <w:pPr>
        <w:pStyle w:val="ClauseLabel"/>
      </w:pPr>
      <w:r>
        <w:t>BD-97. Canadian Tailings for Glass Manufacturing</w:t>
      </w:r>
    </w:p>
    <w:p>
      <w:pPr>
        <w:pStyle w:val="Normal"/>
      </w:pPr>
      <w:r>
        <w:t>Use vitrified tailings as feedstock for glass production.</w:t>
      </w:r>
    </w:p>
    <w:p>
      <w:pPr>
        <w:pStyle w:val="ClauseLabel"/>
      </w:pPr>
      <w:r>
        <w:t>BD-98. US Tailings for Ceramic Glazes</w:t>
      </w:r>
    </w:p>
    <w:p>
      <w:pPr>
        <w:pStyle w:val="Normal"/>
      </w:pPr>
      <w:r>
        <w:t>Use processed tailings as colorants and fluxes in ceramic glazes.</w:t>
      </w:r>
    </w:p>
    <w:p>
      <w:pPr>
        <w:pStyle w:val="ClauseLabel"/>
      </w:pPr>
      <w:r>
        <w:t>BD-99. Mexican Tailings for Paint Pigments</w:t>
      </w:r>
    </w:p>
    <w:p>
      <w:pPr>
        <w:pStyle w:val="Normal"/>
      </w:pPr>
      <w:r>
        <w:t>Extract and process metal oxides from tailings for paint pigments.</w:t>
      </w:r>
    </w:p>
    <w:p>
      <w:pPr>
        <w:pStyle w:val="ClauseLabel"/>
      </w:pPr>
      <w:r>
        <w:t>BD-100. Tri-National Tailings for Abrasives</w:t>
      </w:r>
    </w:p>
    <w:p>
      <w:pPr>
        <w:pStyle w:val="Normal"/>
      </w:pPr>
      <w:r>
        <w:t>Process tailings into industrial abrasives.</w:t>
      </w:r>
    </w:p>
    <w:p>
      <w:pPr>
        <w:pStyle w:val="ClauseLabel"/>
      </w:pPr>
      <w:r>
        <w:t>BD-101. Canadian Tailings for Refractory Materials</w:t>
      </w:r>
    </w:p>
    <w:p>
      <w:pPr>
        <w:pStyle w:val="Normal"/>
      </w:pPr>
      <w:r>
        <w:t>Use tailings high in alumina and silica as refractory materials.</w:t>
      </w:r>
    </w:p>
    <w:p>
      <w:pPr>
        <w:pStyle w:val="ClauseLabel"/>
      </w:pPr>
      <w:r>
        <w:t>BD-102. US Tailings for Filtration Media</w:t>
      </w:r>
    </w:p>
    <w:p>
      <w:pPr>
        <w:pStyle w:val="Normal"/>
      </w:pPr>
      <w:r>
        <w:t>Process tailings into water filtration media.</w:t>
      </w:r>
    </w:p>
    <w:p>
      <w:pPr>
        <w:pStyle w:val="ClauseLabel"/>
      </w:pPr>
      <w:r>
        <w:t>BD-103. Certified Mineral-Derived Horticultural Substrates</w:t>
      </w:r>
    </w:p>
    <w:p>
      <w:pPr>
        <w:pStyle w:val="Normal"/>
      </w:pPr>
      <w:r>
        <w:t>Allow only manufactured substrates whose contaminants are removed or immobilized and which independently satisfy horticultural safety standards.</w:t>
      </w:r>
    </w:p>
    <w:p>
      <w:pPr>
        <w:pStyle w:val="ClauseLabel"/>
      </w:pPr>
      <w:r>
        <w:t>BD-104. Tri-National Tailings for Carbon Capture</w:t>
      </w:r>
    </w:p>
    <w:p>
      <w:pPr>
        <w:pStyle w:val="Normal"/>
      </w:pPr>
      <w:r>
        <w:t>Use alkaline tailings for mineral carbonation and CO₂ sequestration.</w:t>
      </w:r>
    </w:p>
    <w:p>
      <w:pPr>
        <w:pStyle w:val="ClauseLabel"/>
      </w:pPr>
      <w:r>
        <w:t>BD-105. North American Tailings Industrial Products Standards</w:t>
      </w:r>
    </w:p>
    <w:p>
      <w:pPr>
        <w:pStyle w:val="Normal"/>
      </w:pPr>
      <w:r>
        <w:t>Harmonized standards for tailings-derived industrial products.</w:t>
      </w:r>
    </w:p>
    <w:p>
      <w:pPr>
        <w:pStyle w:val="ClauseLabel"/>
      </w:pPr>
      <w:r>
        <w:t>BD-106. Tri-National Tailings Transport Corridor</w:t>
      </w:r>
    </w:p>
    <w:p>
      <w:pPr>
        <w:pStyle w:val="Normal"/>
      </w:pPr>
      <w:r>
        <w:t>Establish logistics network for moving tailings from mines to reprocessing facilities across borders.</w:t>
      </w:r>
    </w:p>
    <w:p>
      <w:pPr>
        <w:pStyle w:val="ClauseLabel"/>
      </w:pPr>
      <w:r>
        <w:t>BD-107. Mexican Port Processing Zones for Tailings</w:t>
      </w:r>
    </w:p>
    <w:p>
      <w:pPr>
        <w:pStyle w:val="Normal"/>
      </w:pPr>
      <w:r>
        <w:t>Develop processing parks at Mexican ports (Manzanillo, Lázaro Cárdenas) for tailings from all three countries.</w:t>
      </w:r>
    </w:p>
    <w:p>
      <w:pPr>
        <w:pStyle w:val="ClauseLabel"/>
      </w:pPr>
      <w:r>
        <w:t>BD-108. US-Mexico Border Tailings Hub</w:t>
      </w:r>
    </w:p>
    <w:p>
      <w:pPr>
        <w:pStyle w:val="Normal"/>
      </w:pPr>
      <w:r>
        <w:t>Build tailings reprocessing facility in northern Mexico near US border.</w:t>
      </w:r>
    </w:p>
    <w:p>
      <w:pPr>
        <w:pStyle w:val="ClauseLabel"/>
      </w:pPr>
      <w:r>
        <w:t>BD-109. Canadian Rail Network for Tailings</w:t>
      </w:r>
    </w:p>
    <w:p>
      <w:pPr>
        <w:pStyle w:val="Normal"/>
      </w:pPr>
      <w:r>
        <w:t>Improve rail links to move tailings from remote Canadian mines to processing centers.</w:t>
      </w:r>
    </w:p>
    <w:p>
      <w:pPr>
        <w:pStyle w:val="ClauseLabel"/>
      </w:pPr>
      <w:r>
        <w:t>BD-110. Tri-National Tailings Shipping Standards</w:t>
      </w:r>
    </w:p>
    <w:p>
      <w:pPr>
        <w:pStyle w:val="Normal"/>
      </w:pPr>
      <w:r>
        <w:t>Harmonized standards for transporting tailings and mining debris across borders.</w:t>
      </w:r>
    </w:p>
    <w:p>
      <w:pPr>
        <w:pStyle w:val="ClauseLabel"/>
      </w:pPr>
      <w:r>
        <w:t>BD-111. Specialized Tailings Reprocessing Facilities</w:t>
      </w:r>
    </w:p>
    <w:p>
      <w:pPr>
        <w:pStyle w:val="Normal"/>
      </w:pPr>
      <w:r>
        <w:t>Support safe reprocessing capacity rather than shared cross-border tailings dumps.</w:t>
      </w:r>
    </w:p>
    <w:p>
      <w:pPr>
        <w:pStyle w:val="ClauseLabel"/>
      </w:pPr>
      <w:r>
        <w:t>BD-112. Mapped Strategic Secondary-Resource Sites</w:t>
      </w:r>
    </w:p>
    <w:p>
      <w:pPr>
        <w:pStyle w:val="Normal"/>
      </w:pPr>
      <w:r>
        <w:t>Map and preserve promising existing mine-waste deposits for future recovery without relocating them into new strategic waste piles.</w:t>
      </w:r>
    </w:p>
    <w:p>
      <w:pPr>
        <w:pStyle w:val="ClauseLabel"/>
      </w:pPr>
      <w:r>
        <w:t>BD-113. Tri-National Tailings Logistics Platform</w:t>
      </w:r>
    </w:p>
    <w:p>
      <w:pPr>
        <w:pStyle w:val="Normal"/>
      </w:pPr>
      <w:r>
        <w:t>Digital platform for tracking tailings movements and processing.</w:t>
      </w:r>
    </w:p>
    <w:p>
      <w:pPr>
        <w:pStyle w:val="ClauseLabel"/>
      </w:pPr>
      <w:r>
        <w:t>BD-114. Mexican Tailings Processing Industrial Parks</w:t>
      </w:r>
    </w:p>
    <w:p>
      <w:pPr>
        <w:pStyle w:val="Normal"/>
      </w:pPr>
      <w:r>
        <w:t>Develop industrial parks hosting multiple tailings reprocessing facilities.</w:t>
      </w:r>
    </w:p>
    <w:p>
      <w:pPr>
        <w:pStyle w:val="ClauseLabel"/>
      </w:pPr>
      <w:r>
        <w:t>BD-115. Project-Specific Enclosed Slurry Transport</w:t>
      </w:r>
    </w:p>
    <w:p>
      <w:pPr>
        <w:pStyle w:val="Normal"/>
      </w:pPr>
      <w:r>
        <w:t>Permit slurry transport only where lifecycle analysis shows it safer and more economical than alternatives; no continental tailings pipeline network.</w:t>
      </w:r>
    </w:p>
    <w:p>
      <w:pPr>
        <w:pStyle w:val="ClauseLabel"/>
      </w:pPr>
      <w:r>
        <w:t>BD-116. Tri-National Tailings Reprocessing Workforce Program</w:t>
      </w:r>
    </w:p>
    <w:p>
      <w:pPr>
        <w:pStyle w:val="Normal"/>
      </w:pPr>
      <w:r>
        <w:t>Joint training programs for tailings reprocessing technicians and engineers.</w:t>
      </w:r>
    </w:p>
    <w:p>
      <w:pPr>
        <w:pStyle w:val="ClauseLabel"/>
      </w:pPr>
      <w:r>
        <w:t>BD-117. Canadian University Tailings Research in Mexico</w:t>
      </w:r>
    </w:p>
    <w:p>
      <w:pPr>
        <w:pStyle w:val="Normal"/>
      </w:pPr>
      <w:r>
        <w:t>Canadian mining engineering programs partner with Mexican universities on tailings research.</w:t>
      </w:r>
    </w:p>
    <w:p>
      <w:pPr>
        <w:pStyle w:val="ClauseLabel"/>
      </w:pPr>
      <w:r>
        <w:t>BD-118. US Community College Tailings Curriculum</w:t>
      </w:r>
    </w:p>
    <w:p>
      <w:pPr>
        <w:pStyle w:val="Normal"/>
      </w:pPr>
      <w:r>
        <w:t>Standardized curriculum for tailings reprocessing and remediation.</w:t>
      </w:r>
    </w:p>
    <w:p>
      <w:pPr>
        <w:pStyle w:val="ClauseLabel"/>
      </w:pPr>
      <w:r>
        <w:t>BD-119. Tri-National Tailings Research Consortium</w:t>
      </w:r>
    </w:p>
    <w:p>
      <w:pPr>
        <w:pStyle w:val="Normal"/>
      </w:pPr>
      <w:r>
        <w:t>Joint industry-university research on tailings valorization technologies.</w:t>
      </w:r>
    </w:p>
    <w:p>
      <w:pPr>
        <w:pStyle w:val="ClauseLabel"/>
      </w:pPr>
      <w:r>
        <w:t>BD-120. North American Tailings Innovation Network</w:t>
      </w:r>
    </w:p>
    <w:p>
      <w:pPr>
        <w:pStyle w:val="Normal"/>
      </w:pPr>
      <w:r>
        <w:t>Permanent network connecting researchers, industry, and government on tailings reprocessing.</w:t>
      </w:r>
    </w:p>
    <w:p>
      <w:pPr>
        <w:pStyle w:val="Heading1"/>
      </w:pPr>
      <w:bookmarkStart w:id="902300" w:name="_Toc300002299"/>
      <w:r>
        <w:t>PACKAGE BE: CROSS-SECTOR MINERAL EARNED-BENEFIT CATALOGUE (140 MECHANISMS)</w:t>
      </w:r>
      <w:bookmarkEnd w:id="902300"/>
    </w:p>
    <w:p>
      <w:pPr>
        <w:pStyle w:val="Normal"/>
      </w:pPr>
      <w:r>
        <w:t>Status. These mechanisms are negotiating options, not automatic obligations. Contemporary tariff rates, fixed quantities, fixed discounts, company names and hard-coded project locations in source concepts are illustrative only. Operative schedules shall use current applicable measures, verified capacity, market-linked pricing, resource-sovereignty protections and the No Uncompensated Front-Loading rule.</w:t>
      </w:r>
    </w:p>
    <w:p>
      <w:pPr>
        <w:pStyle w:val="ClauseLabel"/>
      </w:pPr>
      <w:r>
        <w:t>BE-A. Bargain Classification</w:t>
      </w:r>
    </w:p>
    <w:p>
      <w:pPr>
        <w:pStyle w:val="Normal"/>
      </w:pPr>
      <w:r>
        <w:t>Class I: Primary negotiating currency: tariff and AD/CVD relief, customs treatment, infrastructure finance, energy cooperation, processing investment, offtake, workforce mobility and R&amp;D access.</w:t>
      </w:r>
    </w:p>
    <w:p>
      <w:pPr>
        <w:pStyle w:val="Normal"/>
      </w:pPr>
      <w:r>
        <w:t>Class II: Sovereignty-sensitive: mining access, geological data, permitting, investment screening, water, nuclear materials and defense-related minerals; use only with explicit domestic-law firewalls.</w:t>
      </w:r>
    </w:p>
    <w:p>
      <w:pPr>
        <w:pStyle w:val="Normal"/>
      </w:pPr>
      <w:r>
        <w:t>Class III: Parallel cooperation: education, environmental programs, community healthcare and cultural exchange may accompany mineral bargains but should not become coercive collateral.</w:t>
      </w:r>
    </w:p>
    <w:p>
      <w:pPr>
        <w:pStyle w:val="Normal"/>
      </w:pPr>
      <w:r>
        <w:t>Class IV: Non-bargainable humanitarian/constitutional floor: essential emergency medicines and vaccines, fundamental rights, basic humanitarian access and core sovereign defense powers.</w:t>
      </w:r>
    </w:p>
    <w:p>
      <w:pPr>
        <w:pStyle w:val="ClauseLabel"/>
      </w:pPr>
      <w:r>
        <w:t>BE-1. Softwood Lumber for Canadian Lithium</w:t>
      </w:r>
    </w:p>
    <w:p>
      <w:pPr>
        <w:pStyle w:val="Normal"/>
      </w:pPr>
      <w:r>
        <w:t>U.S. eliminates 10% Section 232 tariff on Canadian softwood lumber paired with Canada guaranteeing 200,000 tonnes/year of lithium spodumene to U.S. battery plants at fixed prices for 10 years.</w:t>
      </w:r>
    </w:p>
    <w:p>
      <w:pPr>
        <w:pStyle w:val="ClauseLabel"/>
      </w:pPr>
      <w:r>
        <w:t>BE-2. Auto Tariff Elimination for Mexican Copper</w:t>
      </w:r>
    </w:p>
    <w:p>
      <w:pPr>
        <w:pStyle w:val="Normal"/>
      </w:pPr>
      <w:r>
        <w:t>U.S. eliminates 25% auto tariffs on Mexican vehicles paired with Mexico guaranteeing 500,000 tonnes/year of refined copper to U.S. EV manufacturers.</w:t>
      </w:r>
    </w:p>
    <w:p>
      <w:pPr>
        <w:pStyle w:val="ClauseLabel"/>
      </w:pPr>
      <w:r>
        <w:t>BE-3. Steel Tariff Reduction for Canadian Nickel</w:t>
      </w:r>
    </w:p>
    <w:p>
      <w:pPr>
        <w:pStyle w:val="Normal"/>
      </w:pPr>
      <w:r>
        <w:t>U.S. reduces 50% steel tariffs on Canadian steel by 25 percentage points paired with Canada expanding nickel production by 50,000 tonnes/year for U.S. defense contracts.</w:t>
      </w:r>
    </w:p>
    <w:p>
      <w:pPr>
        <w:pStyle w:val="ClauseLabel"/>
      </w:pPr>
      <w:r>
        <w:t>BE-4. Tariff Relief for Market-Linked Silver Offtake</w:t>
      </w:r>
    </w:p>
    <w:p>
      <w:pPr>
        <w:pStyle w:val="Normal"/>
      </w:pPr>
      <w:r>
        <w:t>Pair applicable aluminum-trade relief with long-term Mexican silver offtake at transparent market-linked pricing; no compulsory below-market sale.</w:t>
      </w:r>
    </w:p>
    <w:p>
      <w:pPr>
        <w:pStyle w:val="ClauseLabel"/>
      </w:pPr>
      <w:r>
        <w:t>BE-5. Softwood Quota Increase for Canadian Potash</w:t>
      </w:r>
    </w:p>
    <w:p>
      <w:pPr>
        <w:pStyle w:val="Normal"/>
      </w:pPr>
      <w:r>
        <w:t>U.S. increases softwood lumber quota by 15% for Canadian producers paired with Canada guaranteeing 5 million tonnes/year of potash to U.S. farmers at 5% below global market price.</w:t>
      </w:r>
    </w:p>
    <w:p>
      <w:pPr>
        <w:pStyle w:val="ClauseLabel"/>
      </w:pPr>
      <w:r>
        <w:t>BE-6. Section 301 Tariff Removal for Mexican Graphite</w:t>
      </w:r>
    </w:p>
    <w:p>
      <w:pPr>
        <w:pStyle w:val="Normal"/>
      </w:pPr>
      <w:r>
        <w:t>U.S. removes 10% Section 301 tariff on Mexico paired with Mexico tripling graphite exports to U.S. anode plants (from 100% of production to expanded capacity).</w:t>
      </w:r>
    </w:p>
    <w:p>
      <w:pPr>
        <w:pStyle w:val="ClauseLabel"/>
      </w:pPr>
      <w:r>
        <w:t>BE-7. Auto Parts Tariff Exemption for Canadian Cobalt</w:t>
      </w:r>
    </w:p>
    <w:p>
      <w:pPr>
        <w:pStyle w:val="Normal"/>
      </w:pPr>
      <w:r>
        <w:t>U.S. expands USMCA-compliant auto parts tariff exemption to 100% coverage paired with Canada refining 15,000 tonnes/year of cobalt for U.S. battery cathodes.</w:t>
      </w:r>
    </w:p>
    <w:p>
      <w:pPr>
        <w:pStyle w:val="ClauseLabel"/>
      </w:pPr>
      <w:r>
        <w:t>BE-8. Plywood Tariff Reduction for Mexican Zinc</w:t>
      </w:r>
    </w:p>
    <w:p>
      <w:pPr>
        <w:pStyle w:val="Normal"/>
      </w:pPr>
      <w:r>
        <w:t>U.S. reduces plywood tariffs on Mexican wood products by 50% paired with Mexico supplying 400,000 tonnes/year of zinc concentrate to U.S. galvanizing plants.</w:t>
      </w:r>
    </w:p>
    <w:p>
      <w:pPr>
        <w:pStyle w:val="ClauseLabel"/>
      </w:pPr>
      <w:r>
        <w:t>BE-9. Softwood AD/CVD Rate Cut for Canadian REEs</w:t>
      </w:r>
    </w:p>
    <w:p>
      <w:pPr>
        <w:pStyle w:val="Normal"/>
      </w:pPr>
      <w:r>
        <w:t>U.S. cuts combined AD/CVD rate on Canadian lumber from 24.83% to 10% paired with Canada delivering 5,000 tonnes/year of separated rare earth elements (Nd, Pr, Dy) to U.S. magnet plants.</w:t>
      </w:r>
    </w:p>
    <w:p>
      <w:pPr>
        <w:pStyle w:val="ClauseLabel"/>
      </w:pPr>
      <w:r>
        <w:t>BE-10. Truck Tariff Elimination for Mexican Molybdenum</w:t>
      </w:r>
    </w:p>
    <w:p>
      <w:pPr>
        <w:pStyle w:val="Normal"/>
      </w:pPr>
      <w:r>
        <w:t>U.S. eliminates 25% tariff on Mexican trucks paired with Mexico supplying 30,000 tonnes/year of molybdenum to U.S. high-strength steel mills.</w:t>
      </w:r>
    </w:p>
    <w:p>
      <w:pPr>
        <w:pStyle w:val="ClauseLabel"/>
      </w:pPr>
      <w:r>
        <w:t>BE-11. Section 232 Tariff Sunset for Canadian Uranium</w:t>
      </w:r>
    </w:p>
    <w:p>
      <w:pPr>
        <w:pStyle w:val="Normal"/>
      </w:pPr>
      <w:r>
        <w:t>U.S. phases out Section 232 lumber tariffs over 3 years paired with Canada guaranteeing 20 million pounds/year of U3O8 to U.S. nuclear reactors.</w:t>
      </w:r>
    </w:p>
    <w:p>
      <w:pPr>
        <w:pStyle w:val="ClauseLabel"/>
      </w:pPr>
      <w:r>
        <w:t>BE-12. Bus Tariff Reduction for Mexican Fluorspar</w:t>
      </w:r>
    </w:p>
    <w:p>
      <w:pPr>
        <w:pStyle w:val="Normal"/>
      </w:pPr>
      <w:r>
        <w:t>U.S. reduces 10% bus tariff on Mexican vehicles paired with Mexico supplying 500,000 tonnes/year of fluorspar to U.S. semiconductor chemical plants.</w:t>
      </w:r>
    </w:p>
    <w:p>
      <w:pPr>
        <w:pStyle w:val="ClauseLabel"/>
      </w:pPr>
      <w:r>
        <w:t>BE-13. Value-Added Wood Tariff Exemption for Canadian Magnesium</w:t>
      </w:r>
    </w:p>
    <w:p>
      <w:pPr>
        <w:pStyle w:val="Normal"/>
      </w:pPr>
      <w:r>
        <w:t>U.S. exempts Canadian value-added wood products from new tariffs paired with Canada producing 100,000 tonnes/year of magnesium for U.S. automotive lightweighting.</w:t>
      </w:r>
    </w:p>
    <w:p>
      <w:pPr>
        <w:pStyle w:val="ClauseLabel"/>
      </w:pPr>
      <w:r>
        <w:t>BE-14. Section 232 Phase-Out for Mexican Barite</w:t>
      </w:r>
    </w:p>
    <w:p>
      <w:pPr>
        <w:pStyle w:val="Normal"/>
      </w:pPr>
      <w:r>
        <w:t>U.S. phases out Section 232 tariffs on Mexican aluminum paired with Mexico maintaining 100% barite exports to U.S. oil and gas drilling at preferential pricing.</w:t>
      </w:r>
    </w:p>
    <w:p>
      <w:pPr>
        <w:pStyle w:val="ClauseLabel"/>
      </w:pPr>
      <w:r>
        <w:t>BE-15. Lumber Duty Rebate for Canadian Titanium</w:t>
      </w:r>
    </w:p>
    <w:p>
      <w:pPr>
        <w:pStyle w:val="Normal"/>
      </w:pPr>
      <w:r>
        <w:t>U.S. rebates 50% of collected lumber duties to Canadian producers paired with Canada developing titanium sponge production (currently 100% U.S. import-reliant).</w:t>
      </w:r>
    </w:p>
    <w:p>
      <w:pPr>
        <w:pStyle w:val="ClauseLabel"/>
      </w:pPr>
      <w:r>
        <w:t>BE-16. Non-USMCA Auto Content Tariff Waiver for Mexican Lead</w:t>
      </w:r>
    </w:p>
    <w:p>
      <w:pPr>
        <w:pStyle w:val="Normal"/>
      </w:pPr>
      <w:r>
        <w:t>U.S. waives 25% tariff on non-U.S. auto content from Mexico paired with Mexico supplying 150,000 tonnes/year of lead for U.S. battery manufacturing.</w:t>
      </w:r>
    </w:p>
    <w:p>
      <w:pPr>
        <w:pStyle w:val="ClauseLabel"/>
      </w:pPr>
      <w:r>
        <w:t>BE-17. Softwood Normalization for Niobium Security</w:t>
      </w:r>
    </w:p>
    <w:p>
      <w:pPr>
        <w:pStyle w:val="Normal"/>
      </w:pPr>
      <w:r>
        <w:t>Pair negotiated softwood normalization with Canadian niobium supply, processing or offtake cooperation without assuming a specific Canadian export tax.</w:t>
      </w:r>
    </w:p>
    <w:p>
      <w:pPr>
        <w:pStyle w:val="ClauseLabel"/>
      </w:pPr>
      <w:r>
        <w:t>BE-18. Section 301 Exclusion for Mexican REE Ores</w:t>
      </w:r>
    </w:p>
    <w:p>
      <w:pPr>
        <w:pStyle w:val="Normal"/>
      </w:pPr>
      <w:r>
        <w:t>U.S. grants permanent Section 301 exclusion for Mexican mineral imports paired with Mexico developing its REE deposits with U.S. investment.</w:t>
      </w:r>
    </w:p>
    <w:p>
      <w:pPr>
        <w:pStyle w:val="ClauseLabel"/>
      </w:pPr>
      <w:r>
        <w:t>BE-19. Anti-Dumping Duty Suspension for Canadian Graphite</w:t>
      </w:r>
    </w:p>
    <w:p>
      <w:pPr>
        <w:pStyle w:val="Normal"/>
      </w:pPr>
      <w:r>
        <w:t>U.S. suspends AD duties on Canadian graphite paired with Canada processing 50,000 tonnes/year of graphite for U.S. EV anodes.</w:t>
      </w:r>
    </w:p>
    <w:p>
      <w:pPr>
        <w:pStyle w:val="ClauseLabel"/>
      </w:pPr>
      <w:r>
        <w:t>BE-20. Comprehensive Tariff Reset</w:t>
      </w:r>
    </w:p>
    <w:p>
      <w:pPr>
        <w:pStyle w:val="Normal"/>
      </w:pPr>
      <w:r>
        <w:t>U.S. resets all Section 232 tariffs on Canada and Mexico to zero over 5 years paired with a joint critical minerals supply guarantee covering 31 minerals where U.S. import reliance exceeds 50%.</w:t>
      </w:r>
    </w:p>
    <w:p>
      <w:pPr>
        <w:pStyle w:val="ClauseLabel"/>
      </w:pPr>
      <w:r>
        <w:t>BE-21. Energy Cooperation for State-Led Mexican Lithium Development</w:t>
      </w:r>
    </w:p>
    <w:p>
      <w:pPr>
        <w:pStyle w:val="Normal"/>
      </w:pPr>
      <w:r>
        <w:t>Pair Canadian energy/infrastructure cooperation with LitioMx-led lithium processing and downstream investment, not private lithium concessions.</w:t>
      </w:r>
    </w:p>
    <w:p>
      <w:pPr>
        <w:pStyle w:val="ClauseLabel"/>
      </w:pPr>
      <w:r>
        <w:t>BE-22. Commercial Energy Security for Copper Offtake</w:t>
      </w:r>
    </w:p>
    <w:p>
      <w:pPr>
        <w:pStyle w:val="Normal"/>
      </w:pPr>
      <w:r>
        <w:t>Use long-term market-linked energy contracts paired with market-linked mineral offtake; no government-mandated below-market gas.</w:t>
      </w:r>
    </w:p>
    <w:p>
      <w:pPr>
        <w:pStyle w:val="ClauseLabel"/>
      </w:pPr>
      <w:r>
        <w:t>BE-23. Canadian Hydropower for U.S. REE Processing</w:t>
      </w:r>
    </w:p>
    <w:p>
      <w:pPr>
        <w:pStyle w:val="Normal"/>
      </w:pPr>
      <w:r>
        <w:t>Canada exports hydropower to U.S. REE processing facilities at preferential rates paired with U.S. REE processors using Canadian-separated ores as 30% of feedstock.</w:t>
      </w:r>
    </w:p>
    <w:p>
      <w:pPr>
        <w:pStyle w:val="ClauseLabel"/>
      </w:pPr>
      <w:r>
        <w:t>BE-24. Permian Basin Gas for Mexican Silver</w:t>
      </w:r>
    </w:p>
    <w:p>
      <w:pPr>
        <w:pStyle w:val="Normal"/>
      </w:pPr>
      <w:r>
        <w:t>U.S. guarantees 10-year natural gas supply from Permian Basin to Mexican industrial users paired with Mexico supplying 2,000 tonnes/year of silver to U.S. electronics manufacturers.</w:t>
      </w:r>
    </w:p>
    <w:p>
      <w:pPr>
        <w:pStyle w:val="ClauseLabel"/>
      </w:pPr>
      <w:r>
        <w:t>BE-25. Canadian Clean Energy Credits for Mexican Zinc</w:t>
      </w:r>
    </w:p>
    <w:p>
      <w:pPr>
        <w:pStyle w:val="Normal"/>
      </w:pPr>
      <w:r>
        <w:t>Canada sells clean energy credits to Mexican zinc smelters (helping them meet ESG standards) paired with Mexico supplying 300,000 tonnes/year of zinc to Canadian galvanizers.</w:t>
      </w:r>
    </w:p>
    <w:p>
      <w:pPr>
        <w:pStyle w:val="ClauseLabel"/>
      </w:pPr>
      <w:r>
        <w:t>BE-26. U.S. LNG Export License for Canadian Critical Minerals</w:t>
      </w:r>
    </w:p>
    <w:p>
      <w:pPr>
        <w:pStyle w:val="Normal"/>
      </w:pPr>
      <w:r>
        <w:t>U.S. fast-tracks LNG export licenses to Canada paired with Canada fast-tracking permitting for U.S. mining companies in Canadian critical mineral projects.</w:t>
      </w:r>
    </w:p>
    <w:p>
      <w:pPr>
        <w:pStyle w:val="ClauseLabel"/>
      </w:pPr>
      <w:r>
        <w:t>BE-27. Canadian Nuclear Technology for Mexican Uranium</w:t>
      </w:r>
    </w:p>
    <w:p>
      <w:pPr>
        <w:pStyle w:val="Normal"/>
      </w:pPr>
      <w:r>
        <w:t>Canada provides CANDU reactor technology and expertise to Mexico's nuclear program paired with Mexico developing its uranium deposits with Canadian mining companies.</w:t>
      </w:r>
    </w:p>
    <w:p>
      <w:pPr>
        <w:pStyle w:val="ClauseLabel"/>
      </w:pPr>
      <w:r>
        <w:t>BE-28. U.S. Battery Storage for Canadian Grid Stability</w:t>
      </w:r>
    </w:p>
    <w:p>
      <w:pPr>
        <w:pStyle w:val="Normal"/>
      </w:pPr>
      <w:r>
        <w:t>U.S. supplies grid-scale battery storage to Canadian renewable projects paired with Canada supplying 30,000 tonnes/year of nickel to U.S. battery manufacturers.</w:t>
      </w:r>
    </w:p>
    <w:p>
      <w:pPr>
        <w:pStyle w:val="ClauseLabel"/>
      </w:pPr>
      <w:r>
        <w:t>BE-29. Geothermal Integration with State-Led Mexican Lithium</w:t>
      </w:r>
    </w:p>
    <w:p>
      <w:pPr>
        <w:pStyle w:val="Normal"/>
      </w:pPr>
      <w:r>
        <w:t>Use Mexican geothermal resources to support lawful LitioMx-led lithium development and processing with reciprocal technology cooperation.</w:t>
      </w:r>
    </w:p>
    <w:p>
      <w:pPr>
        <w:pStyle w:val="ClauseLabel"/>
      </w:pPr>
      <w:r>
        <w:t>BE-30. Canadian Hydrogen for Mexican Smelters</w:t>
      </w:r>
    </w:p>
    <w:p>
      <w:pPr>
        <w:pStyle w:val="Normal"/>
      </w:pPr>
      <w:r>
        <w:t>Canada supplies green hydrogen to Mexican copper and zinc smelters (decarbonizing their operations) paired with Mexico supplying 10% of its copper production to Canadian manufacturers at fixed prices.</w:t>
      </w:r>
    </w:p>
    <w:p>
      <w:pPr>
        <w:pStyle w:val="ClauseLabel"/>
      </w:pPr>
      <w:r>
        <w:t>BE-31. Reciprocal Emergency Energy-Fertilizer Continuity</w:t>
      </w:r>
    </w:p>
    <w:p>
      <w:pPr>
        <w:pStyle w:val="Normal"/>
      </w:pPr>
      <w:r>
        <w:t>Pair emergency energy continuity cooperation with Canadian potash continuity without treating the U.S. Strategic Petroleum Reserve as a general bilateral fuel bank.</w:t>
      </w:r>
    </w:p>
    <w:p>
      <w:pPr>
        <w:pStyle w:val="ClauseLabel"/>
      </w:pPr>
      <w:r>
        <w:t>BE-32. Canadian Small Modular Reactors for U.S. Processing</w:t>
      </w:r>
    </w:p>
    <w:p>
      <w:pPr>
        <w:pStyle w:val="Normal"/>
      </w:pPr>
      <w:r>
        <w:t>Canada deploys SMR technology at U.S. mineral processing facilities paired with U.S. supplying 25% of its REE ores to Canadian separation plants.</w:t>
      </w:r>
    </w:p>
    <w:p>
      <w:pPr>
        <w:pStyle w:val="ClauseLabel"/>
      </w:pPr>
      <w:r>
        <w:t>BE-33. U.S. Solar Panels for Mexican Barite</w:t>
      </w:r>
    </w:p>
    <w:p>
      <w:pPr>
        <w:pStyle w:val="Normal"/>
      </w:pPr>
      <w:r>
        <w:t>U.S. supplies solar panels (at 20% discount) to Mexican mining operations paired with Mexico increasing barite exports to U.S. by 50%.</w:t>
      </w:r>
    </w:p>
    <w:p>
      <w:pPr>
        <w:pStyle w:val="ClauseLabel"/>
      </w:pPr>
      <w:r>
        <w:t>BE-34. Cross-Border Clean Power for Critical-Mineral Manufacturing</w:t>
      </w:r>
    </w:p>
    <w:p>
      <w:pPr>
        <w:pStyle w:val="Normal"/>
      </w:pPr>
      <w:r>
        <w:t>Pair grid investment with reciprocal mineral-processing and manufacturing investment rather than hardware-by-hardware mineral-content quotas.</w:t>
      </w:r>
    </w:p>
    <w:p>
      <w:pPr>
        <w:pStyle w:val="ClauseLabel"/>
      </w:pPr>
      <w:r>
        <w:t>BE-35. Tri-National Energy-Minerals Corridor</w:t>
      </w:r>
    </w:p>
    <w:p>
      <w:pPr>
        <w:pStyle w:val="Normal"/>
      </w:pPr>
      <w:r>
        <w:t>Jointly build energy infrastructure (pipelines, transmission lines) linking Canadian hydro, U.S. gas, and Mexican solar to mineral processing facilities across all three countries, with each country contributing energy capacity proportional to its mineral offtake.</w:t>
      </w:r>
    </w:p>
    <w:p>
      <w:pPr>
        <w:pStyle w:val="ClauseLabel"/>
      </w:pPr>
      <w:r>
        <w:t>BE-36. Skills Mobility for State-Led Mexican Lithium Projects</w:t>
      </w:r>
    </w:p>
    <w:p>
      <w:pPr>
        <w:pStyle w:val="Normal"/>
      </w:pPr>
      <w:r>
        <w:t>Expand lawful professional mobility supporting LitioMx/state-led projects without private lithium permits.</w:t>
      </w:r>
    </w:p>
    <w:p>
      <w:pPr>
        <w:pStyle w:val="ClauseLabel"/>
      </w:pPr>
      <w:r>
        <w:t>BE-37. U.S. Geologists for Canadian REEs</w:t>
      </w:r>
    </w:p>
    <w:p>
      <w:pPr>
        <w:pStyle w:val="Normal"/>
      </w:pPr>
      <w:r>
        <w:t>U.S. geologists get fast-tracked work permits in Canada paired with Canada sharing 50% of its REE exploration data with U.S. companies.</w:t>
      </w:r>
    </w:p>
    <w:p>
      <w:pPr>
        <w:pStyle w:val="ClauseLabel"/>
      </w:pPr>
      <w:r>
        <w:t>BE-38. Mexican Welders for U.S. Processing Plants</w:t>
      </w:r>
    </w:p>
    <w:p>
      <w:pPr>
        <w:pStyle w:val="Normal"/>
      </w:pPr>
      <w:r>
        <w:t>Mexico gets 5,000 additional TN visas for skilled welders and fabricators to U.S. processing plants paired with U.S. investing $500M in Mexican mineral processing training centers.</w:t>
      </w:r>
    </w:p>
    <w:p>
      <w:pPr>
        <w:pStyle w:val="ClauseLabel"/>
      </w:pPr>
      <w:r>
        <w:t>BE-39. Canadian Process Engineers for U.S. Smelters</w:t>
      </w:r>
    </w:p>
    <w:p>
      <w:pPr>
        <w:pStyle w:val="Normal"/>
      </w:pPr>
      <w:r>
        <w:t>Canada gets TN visa expansion for metallurgists and process engineers to the U.S. paired with U.S. transferring smelting technology to 3 Canadian facilities.</w:t>
      </w:r>
    </w:p>
    <w:p>
      <w:pPr>
        <w:pStyle w:val="ClauseLabel"/>
      </w:pPr>
      <w:r>
        <w:t>BE-40. Mexican Geologists for Canadian Exploration</w:t>
      </w:r>
    </w:p>
    <w:p>
      <w:pPr>
        <w:pStyle w:val="Normal"/>
      </w:pPr>
      <w:r>
        <w:t>Mexico gets TN visa access for geologists to Canada paired with Canada training 200 Mexican geologists in advanced exploration techniques.</w:t>
      </w:r>
    </w:p>
    <w:p>
      <w:pPr>
        <w:pStyle w:val="ClauseLabel"/>
      </w:pPr>
      <w:r>
        <w:t>BE-41. U.S. Electricians for Mexican Refineries</w:t>
      </w:r>
    </w:p>
    <w:p>
      <w:pPr>
        <w:pStyle w:val="Normal"/>
      </w:pPr>
      <w:r>
        <w:t>U.S. electricians get fast-tracked work permits in Mexico paired with Mexico guaranteeing 100,000 tonnes/year of refined copper to U.S. manufacturers.</w:t>
      </w:r>
    </w:p>
    <w:p>
      <w:pPr>
        <w:pStyle w:val="ClauseLabel"/>
      </w:pPr>
      <w:r>
        <w:t>BE-42. Canadian Project Managers for U.S. Mine Expansions</w:t>
      </w:r>
    </w:p>
    <w:p>
      <w:pPr>
        <w:pStyle w:val="Normal"/>
      </w:pPr>
      <w:r>
        <w:t>Canadian project managers get expedited U.S. work permits paired with U.S. mining companies investing $1B in Canadian critical mineral projects.</w:t>
      </w:r>
    </w:p>
    <w:p>
      <w:pPr>
        <w:pStyle w:val="ClauseLabel"/>
      </w:pPr>
      <w:r>
        <w:t>BE-43. Mexican Technicians for Canadian Battery Plants</w:t>
      </w:r>
    </w:p>
    <w:p>
      <w:pPr>
        <w:pStyle w:val="Normal"/>
      </w:pPr>
      <w:r>
        <w:t>Mexican battery technicians get TN visas to Canada paired with Canada building 3 battery recycling facilities in Mexico.</w:t>
      </w:r>
    </w:p>
    <w:p>
      <w:pPr>
        <w:pStyle w:val="ClauseLabel"/>
      </w:pPr>
      <w:r>
        <w:t>BE-44. Reciprocal Mine-Safety Inspector Exchange</w:t>
      </w:r>
    </w:p>
    <w:p>
      <w:pPr>
        <w:pStyle w:val="Normal"/>
      </w:pPr>
      <w:r>
        <w:t>Support inspector exchanges and equivalent high safety outcomes while preserving Mexican regulatory sovereignty.</w:t>
      </w:r>
    </w:p>
    <w:p>
      <w:pPr>
        <w:pStyle w:val="ClauseLabel"/>
      </w:pPr>
      <w:r>
        <w:t>BE-45. Canadian Researchers for U.S. National Labs</w:t>
      </w:r>
    </w:p>
    <w:p>
      <w:pPr>
        <w:pStyle w:val="Normal"/>
      </w:pPr>
      <w:r>
        <w:t>Canadian mineral researchers get fast-tracked access to U.S. national labs paired with U.S. researchers getting access to Canadian mining research facilities.</w:t>
      </w:r>
    </w:p>
    <w:p>
      <w:pPr>
        <w:pStyle w:val="ClauseLabel"/>
      </w:pPr>
      <w:r>
        <w:t>BE-46. Mexican Construction Workers for U.S. Refineries</w:t>
      </w:r>
    </w:p>
    <w:p>
      <w:pPr>
        <w:pStyle w:val="Normal"/>
      </w:pPr>
      <w:r>
        <w:t>Mexico gets 10,000 additional construction worker visas to the U.S. paired with U.S. building 5 mineral processing plants in Mexico.</w:t>
      </w:r>
    </w:p>
    <w:p>
      <w:pPr>
        <w:pStyle w:val="ClauseLabel"/>
      </w:pPr>
      <w:r>
        <w:t>BE-47. Tri-National Mining Workforce Exchange</w:t>
      </w:r>
    </w:p>
    <w:p>
      <w:pPr>
        <w:pStyle w:val="Normal"/>
      </w:pPr>
      <w:r>
        <w:t>Annual exchange program: 500 workers from each country spend 2 years in another country's mining/processing operations, with each country's mineral production counting toward all three countries' critical mineral goals.</w:t>
      </w:r>
    </w:p>
    <w:p>
      <w:pPr>
        <w:pStyle w:val="ClauseLabel"/>
      </w:pPr>
      <w:r>
        <w:t>BE-48. Voluntary Indigenous Professional Mobility and Procurement</w:t>
      </w:r>
    </w:p>
    <w:p>
      <w:pPr>
        <w:pStyle w:val="Normal"/>
      </w:pPr>
      <w:r>
        <w:t>Expand voluntary mobility, Indigenous-owned-business procurement, training and partnership opportunities; people are not trade concessions.</w:t>
      </w:r>
    </w:p>
    <w:p>
      <w:pPr>
        <w:pStyle w:val="ClauseLabel"/>
      </w:pPr>
      <w:r>
        <w:t>BE-49. Women-in-Mining Opportunity Initiative</w:t>
      </w:r>
    </w:p>
    <w:p>
      <w:pPr>
        <w:pStyle w:val="Normal"/>
      </w:pPr>
      <w:r>
        <w:t>Use scholarships, apprenticeships, recruitment and barrier removal rather than treaty-imposed employment quotas.</w:t>
      </w:r>
    </w:p>
    <w:p>
      <w:pPr>
        <w:pStyle w:val="ClauseLabel"/>
      </w:pPr>
      <w:r>
        <w:t>BE-50. Tri-National Processing Technician Certification</w:t>
      </w:r>
    </w:p>
    <w:p>
      <w:pPr>
        <w:pStyle w:val="Normal"/>
      </w:pPr>
      <w:r>
        <w:t>Harmonized certification for processing technicians accepted in all three countries, with each country committing to train 10,000 technicians paired with mineral offtake guarantees.</w:t>
      </w:r>
    </w:p>
    <w:p>
      <w:pPr>
        <w:pStyle w:val="ClauseLabel"/>
      </w:pPr>
      <w:r>
        <w:t>BE-51. Agricultural Security for State-Led Mexican Lithium Partnership</w:t>
      </w:r>
    </w:p>
    <w:p>
      <w:pPr>
        <w:pStyle w:val="Normal"/>
      </w:pPr>
      <w:r>
        <w:t>Pair agricultural supply-security cooperation with lawful LitioMx-led lithium/downstream partnership.</w:t>
      </w:r>
    </w:p>
    <w:p>
      <w:pPr>
        <w:pStyle w:val="ClauseLabel"/>
      </w:pPr>
      <w:r>
        <w:t>BE-52. U.S. Soybeans for Canadian Potash</w:t>
      </w:r>
    </w:p>
    <w:p>
      <w:pPr>
        <w:pStyle w:val="Normal"/>
      </w:pPr>
      <w:r>
        <w:t>U.S. guarantees soybean exports to Canada at preferential pricing paired with Canada supplying 2 million tonnes/year of potash to U.S. farmers at 5% below market.</w:t>
      </w:r>
    </w:p>
    <w:p>
      <w:pPr>
        <w:pStyle w:val="ClauseLabel"/>
      </w:pPr>
      <w:r>
        <w:t>BE-53. U.S. Pork for Mexican Copper</w:t>
      </w:r>
    </w:p>
    <w:p>
      <w:pPr>
        <w:pStyle w:val="Normal"/>
      </w:pPr>
      <w:r>
        <w:t>U.S. guarantees $2B/year in pork exports to Mexico paired with Mexico supplying 150,000 tonnes/year of copper cathode to U.S. wire manufacturers.</w:t>
      </w:r>
    </w:p>
    <w:p>
      <w:pPr>
        <w:pStyle w:val="ClauseLabel"/>
      </w:pPr>
      <w:r>
        <w:t>BE-54. U.S. Dairy for Canadian Nickel</w:t>
      </w:r>
    </w:p>
    <w:p>
      <w:pPr>
        <w:pStyle w:val="Normal"/>
      </w:pPr>
      <w:r>
        <w:t>U.S. expands dairy access to Canadian market paired with Canada supplying 40,000 tonnes/year of nickel to U.S. battery plants.</w:t>
      </w:r>
    </w:p>
    <w:p>
      <w:pPr>
        <w:pStyle w:val="ClauseLabel"/>
      </w:pPr>
      <w:r>
        <w:t>BE-55. U.S. Wheat for Mexican Silver</w:t>
      </w:r>
    </w:p>
    <w:p>
      <w:pPr>
        <w:pStyle w:val="Normal"/>
      </w:pPr>
      <w:r>
        <w:t>U.S. guarantees wheat exports to Mexico at fixed prices for 10 years paired with Mexico supplying 1,500 tonnes/year of silver to U.S. solar manufacturers.</w:t>
      </w:r>
    </w:p>
    <w:p>
      <w:pPr>
        <w:pStyle w:val="ClauseLabel"/>
      </w:pPr>
      <w:r>
        <w:t>BE-56. Canadian Canola for U.S. REEs</w:t>
      </w:r>
    </w:p>
    <w:p>
      <w:pPr>
        <w:pStyle w:val="Normal"/>
      </w:pPr>
      <w:r>
        <w:t>Canada guarantees canola oil exports to U.S. biofuel producers paired with U.S. supplying 2,000 tonnes/year of separated REEs to Canadian magnet manufacturers.</w:t>
      </w:r>
    </w:p>
    <w:p>
      <w:pPr>
        <w:pStyle w:val="ClauseLabel"/>
      </w:pPr>
      <w:r>
        <w:t>BE-57. U.S. Poultry for Mexican Zinc</w:t>
      </w:r>
    </w:p>
    <w:p>
      <w:pPr>
        <w:pStyle w:val="Normal"/>
      </w:pPr>
      <w:r>
        <w:t>U.S. guarantees poultry exports to Mexico paired with Mexico supplying 250,000 tonnes/year of zinc to U.S. galvanizing plants.</w:t>
      </w:r>
    </w:p>
    <w:p>
      <w:pPr>
        <w:pStyle w:val="ClauseLabel"/>
      </w:pPr>
      <w:r>
        <w:t>BE-58. U.S. Beef for Canadian Uranium</w:t>
      </w:r>
    </w:p>
    <w:p>
      <w:pPr>
        <w:pStyle w:val="Normal"/>
      </w:pPr>
      <w:r>
        <w:t>U.S. expands beef access to Canadian market paired with Canada guaranteeing 15 million pounds/year of U3O8 to U.S. nuclear utilities.</w:t>
      </w:r>
    </w:p>
    <w:p>
      <w:pPr>
        <w:pStyle w:val="ClauseLabel"/>
      </w:pPr>
      <w:r>
        <w:t>BE-59. Mexican Avocados for U.S. Molybdenum</w:t>
      </w:r>
    </w:p>
    <w:p>
      <w:pPr>
        <w:pStyle w:val="Normal"/>
      </w:pPr>
      <w:r>
        <w:t>Mexico guarantees avocado exports to U.S. at stable prices paired with U.S. supplying 10,000 tonnes/year of molybdenum to Mexican steel mills.</w:t>
      </w:r>
    </w:p>
    <w:p>
      <w:pPr>
        <w:pStyle w:val="ClauseLabel"/>
      </w:pPr>
      <w:r>
        <w:t>BE-60. Canadian Pork for U.S. Graphite</w:t>
      </w:r>
    </w:p>
    <w:p>
      <w:pPr>
        <w:pStyle w:val="Normal"/>
      </w:pPr>
      <w:r>
        <w:t>Canada guarantees pork exports to U.S. paired with U.S. supplying 30,000 tonnes/year of natural graphite to Canadian anode plants.</w:t>
      </w:r>
    </w:p>
    <w:p>
      <w:pPr>
        <w:pStyle w:val="ClauseLabel"/>
      </w:pPr>
      <w:r>
        <w:t>BE-61. U.S. Cotton for Mexican Fluorspar</w:t>
      </w:r>
    </w:p>
    <w:p>
      <w:pPr>
        <w:pStyle w:val="Normal"/>
      </w:pPr>
      <w:r>
        <w:t>U.S. guarantees cotton exports to Mexico paired with Mexico supplying 300,000 tonnes/year of fluorspar to U.S. chemical plants.</w:t>
      </w:r>
    </w:p>
    <w:p>
      <w:pPr>
        <w:pStyle w:val="ClauseLabel"/>
      </w:pPr>
      <w:r>
        <w:t>BE-62. Canadian Wheat for U.S. Cobalt</w:t>
      </w:r>
    </w:p>
    <w:p>
      <w:pPr>
        <w:pStyle w:val="Normal"/>
      </w:pPr>
      <w:r>
        <w:t>Canada guarantees wheat exports to U.S. paired with U.S. supplying 5,000 tonnes/year of refined cobalt to Canadian battery manufacturers.</w:t>
      </w:r>
    </w:p>
    <w:p>
      <w:pPr>
        <w:pStyle w:val="ClauseLabel"/>
      </w:pPr>
      <w:r>
        <w:t>BE-63. Mexican Tomatoes for Canadian Magnesium</w:t>
      </w:r>
    </w:p>
    <w:p>
      <w:pPr>
        <w:pStyle w:val="Normal"/>
      </w:pPr>
      <w:r>
        <w:t>Mexico guarantees tomato exports to Canada paired with Canada supplying 50,000 tonnes/year of magnesium to Mexican automotive parts manufacturers.</w:t>
      </w:r>
    </w:p>
    <w:p>
      <w:pPr>
        <w:pStyle w:val="ClauseLabel"/>
      </w:pPr>
      <w:r>
        <w:t>BE-64. U.S. Rice for Mexican Barite</w:t>
      </w:r>
    </w:p>
    <w:p>
      <w:pPr>
        <w:pStyle w:val="Normal"/>
      </w:pPr>
      <w:r>
        <w:t>U.S. guarantees rice exports to Mexico paired with Mexico maintaining 100% barite exports to U.S. oil and gas industry at fixed prices.</w:t>
      </w:r>
    </w:p>
    <w:p>
      <w:pPr>
        <w:pStyle w:val="ClauseLabel"/>
      </w:pPr>
      <w:r>
        <w:t>BE-65. Ag-Mineral Reciprocal Supply Security Facility</w:t>
      </w:r>
    </w:p>
    <w:p>
      <w:pPr>
        <w:pStyle w:val="Normal"/>
      </w:pPr>
      <w:r>
        <w:t>Enable voluntary paired long-term agricultural and mineral contracts based on complementary surpluses and strategic deficits; no mechanical 10% formula.</w:t>
      </w:r>
    </w:p>
    <w:p>
      <w:pPr>
        <w:pStyle w:val="ClauseLabel"/>
      </w:pPr>
      <w:r>
        <w:t>BE-66. U.S. Port Investment for Mexican Copper</w:t>
      </w:r>
    </w:p>
    <w:p>
      <w:pPr>
        <w:pStyle w:val="Normal"/>
      </w:pPr>
      <w:r>
        <w:t>U.S. invests $2B in Mexican port infrastructure (Manzanillo, Lázaro Cárdenas) paired with Mexico guaranteeing 300,000 tonnes/year of copper exports through those ports.</w:t>
      </w:r>
    </w:p>
    <w:p>
      <w:pPr>
        <w:pStyle w:val="ClauseLabel"/>
      </w:pPr>
      <w:r>
        <w:t>BE-67. Canadian Rail Investment for U.S. REEs</w:t>
      </w:r>
    </w:p>
    <w:p>
      <w:pPr>
        <w:pStyle w:val="Normal"/>
      </w:pPr>
      <w:r>
        <w:t>Canada invests $1.5B in rail links connecting U.S. REE mines to Canadian processing paired with U.S. supplying 3,000 tonnes/year of REE concentrate to Canadian separators.</w:t>
      </w:r>
    </w:p>
    <w:p>
      <w:pPr>
        <w:pStyle w:val="ClauseLabel"/>
      </w:pPr>
      <w:r>
        <w:t>BE-68. U.S. Highway Investment for Mexican Silver</w:t>
      </w:r>
    </w:p>
    <w:p>
      <w:pPr>
        <w:pStyle w:val="Normal"/>
      </w:pPr>
      <w:r>
        <w:t>U.S. invests $1B in Mexican highway infrastructure connecting silver mines to U.S. border paired with Mexico supplying 2,500 tonnes/year of silver at fixed prices.</w:t>
      </w:r>
    </w:p>
    <w:p>
      <w:pPr>
        <w:pStyle w:val="ClauseLabel"/>
      </w:pPr>
      <w:r>
        <w:t>BE-69. Canadian Port Investment for Mexican Zinc</w:t>
      </w:r>
    </w:p>
    <w:p>
      <w:pPr>
        <w:pStyle w:val="Normal"/>
      </w:pPr>
      <w:r>
        <w:t>Canada invests $500M in Mexican port facilities paired with Mexico supplying 200,000 tonnes/year of zinc concentrate to Canadian smelters.</w:t>
      </w:r>
    </w:p>
    <w:p>
      <w:pPr>
        <w:pStyle w:val="ClauseLabel"/>
      </w:pPr>
      <w:r>
        <w:t>BE-70. U.S. Power Grid Investment for Canadian Nickel</w:t>
      </w:r>
    </w:p>
    <w:p>
      <w:pPr>
        <w:pStyle w:val="Normal"/>
      </w:pPr>
      <w:r>
        <w:t>U.S. invests $2B in cross-border power transmission to Canadian mines paired with Canada supplying 50,000 tonnes/year of nickel to U.S. battery plants.</w:t>
      </w:r>
    </w:p>
    <w:p>
      <w:pPr>
        <w:pStyle w:val="ClauseLabel"/>
      </w:pPr>
      <w:r>
        <w:t>BE-71. Tri-National Processing Corridor Investment</w:t>
      </w:r>
    </w:p>
    <w:p>
      <w:pPr>
        <w:pStyle w:val="Normal"/>
      </w:pPr>
      <w:r>
        <w:t>Joint $10B investment in a processing corridor: Canada (Ni/Co processing), U.S. (REE separation), Mexico (Li/Cu refining), with each country's investment proportional to its mineral offtake.</w:t>
      </w:r>
    </w:p>
    <w:p>
      <w:pPr>
        <w:pStyle w:val="ClauseLabel"/>
      </w:pPr>
      <w:r>
        <w:t>BE-72. Water-Recycling Infrastructure for State-Led Mexican Lithium</w:t>
      </w:r>
    </w:p>
    <w:p>
      <w:pPr>
        <w:pStyle w:val="Normal"/>
      </w:pPr>
      <w:r>
        <w:t>Invest in water treatment, recycling and community resilience supporting lawful state-led lithium development; no private entitlement to production.</w:t>
      </w:r>
    </w:p>
    <w:p>
      <w:pPr>
        <w:pStyle w:val="ClauseLabel"/>
      </w:pPr>
      <w:r>
        <w:t>BE-73. Canadian Telecom Investment for U.S. Graphite</w:t>
      </w:r>
    </w:p>
    <w:p>
      <w:pPr>
        <w:pStyle w:val="Normal"/>
      </w:pPr>
      <w:r>
        <w:t>Canada invests $300M in broadband to remote U.S. mining regions paired with U.S. supplying 20,000 tonnes/year of graphite to Canadian anode plants.</w:t>
      </w:r>
    </w:p>
    <w:p>
      <w:pPr>
        <w:pStyle w:val="ClauseLabel"/>
      </w:pPr>
      <w:r>
        <w:t>BE-74. U.S. Industrial Park Investment in Mexico</w:t>
      </w:r>
    </w:p>
    <w:p>
      <w:pPr>
        <w:pStyle w:val="Normal"/>
      </w:pPr>
      <w:r>
        <w:t>U.S. invests $1B in Mexican industrial parks hosting mineral processing paired with Mexico reserving 50% of park output for U.S. offtake.</w:t>
      </w:r>
    </w:p>
    <w:p>
      <w:pPr>
        <w:pStyle w:val="ClauseLabel"/>
      </w:pPr>
      <w:r>
        <w:t>BE-75. Border Infrastructure for Reciprocal Mineral Investment Facilitation</w:t>
      </w:r>
    </w:p>
    <w:p>
      <w:pPr>
        <w:pStyle w:val="Normal"/>
      </w:pPr>
      <w:r>
        <w:t>Pair border improvements with transparent mineral-investment facilitation rather than preferential exploration rights.</w:t>
      </w:r>
    </w:p>
    <w:p>
      <w:pPr>
        <w:pStyle w:val="ClauseLabel"/>
      </w:pPr>
      <w:r>
        <w:t>BE-76. U.S. Railway Investment for Canadian Potash</w:t>
      </w:r>
    </w:p>
    <w:p>
      <w:pPr>
        <w:pStyle w:val="Normal"/>
      </w:pPr>
      <w:r>
        <w:t>U.S. invests $1B in rail infrastructure from Saskatchewan to U.S. Gulf paired with Canada guaranteeing 3 million tonnes/year of potash to U.S. farmers.</w:t>
      </w:r>
    </w:p>
    <w:p>
      <w:pPr>
        <w:pStyle w:val="ClauseLabel"/>
      </w:pPr>
      <w:r>
        <w:t>BE-77. Tri-National Tailings Infrastructure Fund</w:t>
      </w:r>
    </w:p>
    <w:p>
      <w:pPr>
        <w:pStyle w:val="Normal"/>
      </w:pPr>
      <w:r>
        <w:t>Joint $2B fund to build tailings reprocessing facilities across all three, with each country's investment returning mineral offtake proportional to investment.</w:t>
      </w:r>
    </w:p>
    <w:p>
      <w:pPr>
        <w:pStyle w:val="ClauseLabel"/>
      </w:pPr>
      <w:r>
        <w:t>BE-78. U.S. Border Infrastructure for Mexican Auto Parts</w:t>
      </w:r>
    </w:p>
    <w:p>
      <w:pPr>
        <w:pStyle w:val="Normal"/>
      </w:pPr>
      <w:r>
        <w:t>U.S. invests $500M in border crossing infrastructure paired with Mexico supplying 100,000 tonnes/year of aluminum (from Mexican smelters) to U.S. auto plants.</w:t>
      </w:r>
    </w:p>
    <w:p>
      <w:pPr>
        <w:pStyle w:val="ClauseLabel"/>
      </w:pPr>
      <w:r>
        <w:t>BE-79. Canadian Energy Infrastructure for U.S. Processing</w:t>
      </w:r>
    </w:p>
    <w:p>
      <w:pPr>
        <w:pStyle w:val="Normal"/>
      </w:pPr>
      <w:r>
        <w:t>Canada invests $1B in energy infrastructure (hydro, hydrogen) to power U.S. processing plants paired with U.S. processing 20% of Canadian ores at those plants.</w:t>
      </w:r>
    </w:p>
    <w:p>
      <w:pPr>
        <w:pStyle w:val="ClauseLabel"/>
      </w:pPr>
      <w:r>
        <w:t>BE-80. Mexican Logistics Hub for Tri-National Minerals</w:t>
      </w:r>
    </w:p>
    <w:p>
      <w:pPr>
        <w:pStyle w:val="Normal"/>
      </w:pPr>
      <w:r>
        <w:t>Mexico builds a $500M logistics hub near the U.S. border, with U.S. and Canadian investment, paired with both countries using the hub for 30% of their cross-border mineral shipments.</w:t>
      </w:r>
    </w:p>
    <w:p>
      <w:pPr>
        <w:pStyle w:val="ClauseLabel"/>
      </w:pPr>
      <w:r>
        <w:t>BE-81. Licensed Processing Technology for Mexican Lithium Partnership</w:t>
      </w:r>
    </w:p>
    <w:p>
      <w:pPr>
        <w:pStyle w:val="Normal"/>
      </w:pPr>
      <w:r>
        <w:t>Pair licensed processing technology and financing with lawful Mexican downstream participation/offtake under state lithium sovereignty.</w:t>
      </w:r>
    </w:p>
    <w:p>
      <w:pPr>
        <w:pStyle w:val="ClauseLabel"/>
      </w:pPr>
      <w:r>
        <w:t>BE-82. Canadian DLE Tech for U.S. Lithium Brines</w:t>
      </w:r>
    </w:p>
    <w:p>
      <w:pPr>
        <w:pStyle w:val="Normal"/>
      </w:pPr>
      <w:r>
        <w:t>Canada transfers Direct Lithium Extraction technology to U.S. companies paired with U.S. supplying 20% of its lithium brine production to Canadian processors.</w:t>
      </w:r>
    </w:p>
    <w:p>
      <w:pPr>
        <w:pStyle w:val="ClauseLabel"/>
      </w:pPr>
      <w:r>
        <w:t>BE-83. Mexican Alkaline Leaching for U.S. Arsenic Removal</w:t>
      </w:r>
    </w:p>
    <w:p>
      <w:pPr>
        <w:pStyle w:val="Normal"/>
      </w:pPr>
      <w:r>
        <w:t>Mexico transfers its arsenic/antimony removal technology to U.S. smelters paired with U.S. supplying 50,000 tonnes/year of copper concentrate to Mexican smelters.</w:t>
      </w:r>
    </w:p>
    <w:p>
      <w:pPr>
        <w:pStyle w:val="ClauseLabel"/>
      </w:pPr>
      <w:r>
        <w:t>BE-84. U.S. HPSA Tech for Canadian Tailings</w:t>
      </w:r>
    </w:p>
    <w:p>
      <w:pPr>
        <w:pStyle w:val="Normal"/>
      </w:pPr>
      <w:r>
        <w:t>U.S. transfers High-Pressure Slurry Ablation (HPSA) technology to Canadian tailings reprocessors paired with Canada supplying 10,000 tonnes/year of recovered nickel to U.S. manufacturers.</w:t>
      </w:r>
    </w:p>
    <w:p>
      <w:pPr>
        <w:pStyle w:val="ClauseLabel"/>
      </w:pPr>
      <w:r>
        <w:t>BE-85. Canadian Bioleaching Tech for Mexican Tailings</w:t>
      </w:r>
    </w:p>
    <w:p>
      <w:pPr>
        <w:pStyle w:val="Normal"/>
      </w:pPr>
      <w:r>
        <w:t>Canada transfers CanmetMINING bioleaching technology to Mexican tailings operators paired with Mexico granting Canadian companies rights to reprocess 5 major tailings sites.</w:t>
      </w:r>
    </w:p>
    <w:p>
      <w:pPr>
        <w:pStyle w:val="ClauseLabel"/>
      </w:pPr>
      <w:r>
        <w:t>BE-86. U.S. Flotation Tech for Canadian PGM Tailings</w:t>
      </w:r>
    </w:p>
    <w:p>
      <w:pPr>
        <w:pStyle w:val="Normal"/>
      </w:pPr>
      <w:r>
        <w:t>U.S. transfers advanced flotation technology to Canadian PGM tailings operators paired with Canada supplying 5 tonnes/year of platinum group metals to U.S. catalytic converter manufacturers.</w:t>
      </w:r>
    </w:p>
    <w:p>
      <w:pPr>
        <w:pStyle w:val="ClauseLabel"/>
      </w:pPr>
      <w:r>
        <w:t>BE-87. Mexican Vitrification Tech for U.S. Hazardous Tailings</w:t>
      </w:r>
    </w:p>
    <w:p>
      <w:pPr>
        <w:pStyle w:val="Normal"/>
      </w:pPr>
      <w:r>
        <w:t>Mexico transfers vitrification technology to U.S. hazardous tailings sites paired with U.S. investing $200M in Mexican tailings research centers.</w:t>
      </w:r>
    </w:p>
    <w:p>
      <w:pPr>
        <w:pStyle w:val="ClauseLabel"/>
      </w:pPr>
      <w:r>
        <w:t>BE-88. U.S. Quantum Sensing for Canadian Exploration</w:t>
      </w:r>
    </w:p>
    <w:p>
      <w:pPr>
        <w:pStyle w:val="Normal"/>
      </w:pPr>
      <w:r>
        <w:t>U.S. transfers quantum sensing technology for mineral exploration to Canada paired with Canada sharing 30% of new exploration data with U.S. companies.</w:t>
      </w:r>
    </w:p>
    <w:p>
      <w:pPr>
        <w:pStyle w:val="ClauseLabel"/>
      </w:pPr>
      <w:r>
        <w:t>BE-89. Canadian Ion Exchange Tech for U.S. Water Treatment</w:t>
      </w:r>
    </w:p>
    <w:p>
      <w:pPr>
        <w:pStyle w:val="Normal"/>
      </w:pPr>
      <w:r>
        <w:t>Canada transfers ion exchange platform technology to U.S. mining water treatment paired with U.S. supplying 15,000 tonnes/year of REEs to Canadian magnet plants.</w:t>
      </w:r>
    </w:p>
    <w:p>
      <w:pPr>
        <w:pStyle w:val="ClauseLabel"/>
      </w:pPr>
      <w:r>
        <w:t>BE-90. U.S. Machine Learning for Mexican Processing</w:t>
      </w:r>
    </w:p>
    <w:p>
      <w:pPr>
        <w:pStyle w:val="Normal"/>
      </w:pPr>
      <w:r>
        <w:t>U.S. transfers AI/ML optimization software to Mexican processing plants paired with Mexico supplying 100,000 tonnes/year of refined copper at fixed prices.</w:t>
      </w:r>
    </w:p>
    <w:p>
      <w:pPr>
        <w:pStyle w:val="ClauseLabel"/>
      </w:pPr>
      <w:r>
        <w:t>BE-91. Canadian Synthetic Biology for U.S. REE Recovery</w:t>
      </w:r>
    </w:p>
    <w:p>
      <w:pPr>
        <w:pStyle w:val="Normal"/>
      </w:pPr>
      <w:r>
        <w:t>Canada transfers synthetic biology mineral capture technology to U.S. REE recovery operations paired with U.S. supplying 2,000 tonnes/year of separated REEs to Canadian manufacturers.</w:t>
      </w:r>
    </w:p>
    <w:p>
      <w:pPr>
        <w:pStyle w:val="ClauseLabel"/>
      </w:pPr>
      <w:r>
        <w:t>BE-92. Mexican Gravity Separation for U.S. Fine Minerals</w:t>
      </w:r>
    </w:p>
    <w:p>
      <w:pPr>
        <w:pStyle w:val="Normal"/>
      </w:pPr>
      <w:r>
        <w:t>Mexico transfers centrifugal gravity separator technology to U.S. fine mineral recovery paired with U.S. investing $150M in Mexican equipment manufacturing.</w:t>
      </w:r>
    </w:p>
    <w:p>
      <w:pPr>
        <w:pStyle w:val="ClauseLabel"/>
      </w:pPr>
      <w:r>
        <w:t>BE-93. Reciprocal Processing-Equipment Market Access</w:t>
      </w:r>
    </w:p>
    <w:p>
      <w:pPr>
        <w:pStyle w:val="Normal"/>
      </w:pPr>
      <w:r>
        <w:t>Encourage trusted North American equipment and supplier participation without mandatory national-content quotas in every refinery.</w:t>
      </w:r>
    </w:p>
    <w:p>
      <w:pPr>
        <w:pStyle w:val="ClauseLabel"/>
      </w:pPr>
      <w:r>
        <w:t>BE-94. Technology Cooperation for State-Led Mexican Lithium Processing</w:t>
      </w:r>
    </w:p>
    <w:p>
      <w:pPr>
        <w:pStyle w:val="Normal"/>
      </w:pPr>
      <w:r>
        <w:t>Genericize proprietary technology and pair lawful licensing with market-linked downstream/offtake cooperation under Mexican law.</w:t>
      </w:r>
    </w:p>
    <w:p>
      <w:pPr>
        <w:pStyle w:val="ClauseLabel"/>
      </w:pPr>
      <w:r>
        <w:t>BE-95. Voluntary Mineral Technology Licensing Marketplace</w:t>
      </w:r>
    </w:p>
    <w:p>
      <w:pPr>
        <w:pStyle w:val="Normal"/>
      </w:pPr>
      <w:r>
        <w:t>Create incentives for voluntary patent pools, licensing and collaborative R&amp;D; no compulsory IP pooling or R&amp;D levy.</w:t>
      </w:r>
    </w:p>
    <w:p>
      <w:pPr>
        <w:pStyle w:val="ClauseLabel"/>
      </w:pPr>
      <w:r>
        <w:t>BE-96. Trusted Defense-Mineral Offtake with Allied Safe Harbours</w:t>
      </w:r>
    </w:p>
    <w:p>
      <w:pPr>
        <w:pStyle w:val="Normal"/>
      </w:pPr>
      <w:r>
        <w:t>Use preferential eligibility and long-term offtake for trusted supply chains without reserving 100% of Canadian REE production or excluding trusted allies.</w:t>
      </w:r>
    </w:p>
    <w:p>
      <w:pPr>
        <w:pStyle w:val="ClauseLabel"/>
      </w:pPr>
      <w:r>
        <w:t>BE-97. Trilateral Critical-Infrastructure Security for Mineral Continuity</w:t>
      </w:r>
    </w:p>
    <w:p>
      <w:pPr>
        <w:pStyle w:val="Normal"/>
      </w:pPr>
      <w:r>
        <w:t>Pair appropriate continental infrastructure/security cooperation with reciprocal mineral continuity without tying Mexican lithium to NORAD membership.</w:t>
      </w:r>
    </w:p>
    <w:p>
      <w:pPr>
        <w:pStyle w:val="ClauseLabel"/>
      </w:pPr>
      <w:r>
        <w:t>BE-98. Separate Defense Training and Nuclear-Fuel Security Tracks</w:t>
      </w:r>
    </w:p>
    <w:p>
      <w:pPr>
        <w:pStyle w:val="Normal"/>
      </w:pPr>
      <w:r>
        <w:t>Keep defense-training cooperation independent of mineral ownership while separately providing mutually beneficial nuclear-fuel security commitments.</w:t>
      </w:r>
    </w:p>
    <w:p>
      <w:pPr>
        <w:pStyle w:val="ClauseLabel"/>
      </w:pPr>
      <w:r>
        <w:t>BE-99. Emergency Continental Mineral Supply Guarantee</w:t>
      </w:r>
    </w:p>
    <w:p>
      <w:pPr>
        <w:pStyle w:val="Normal"/>
      </w:pPr>
      <w:r>
        <w:t>Create proportionate emergency mineral-continuity obligations during defined national-security crises without contrived Arctic quid pro quos.</w:t>
      </w:r>
    </w:p>
    <w:p>
      <w:pPr>
        <w:pStyle w:val="ClauseLabel"/>
      </w:pPr>
      <w:r>
        <w:t>BE-100. Coordinated Export-Control Screening Under Domestic Law</w:t>
      </w:r>
    </w:p>
    <w:p>
      <w:pPr>
        <w:pStyle w:val="Normal"/>
      </w:pPr>
      <w:r>
        <w:t>Coordinate diversion and coercion screening while each Party retains sovereign export-control authority.</w:t>
      </w:r>
    </w:p>
    <w:p>
      <w:pPr>
        <w:pStyle w:val="ClauseLabel"/>
      </w:pPr>
      <w:r>
        <w:t>BE-101. Canadian Intelligence Sharing for U.S. Graphite</w:t>
      </w:r>
    </w:p>
    <w:p>
      <w:pPr>
        <w:pStyle w:val="Normal"/>
      </w:pPr>
      <w:r>
        <w:t>Canada shares mineral supply chain intelligence with U.S. paired with U.S. guaranteeing 50,000 tonnes/year of graphite to Canadian defense contractors.</w:t>
      </w:r>
    </w:p>
    <w:p>
      <w:pPr>
        <w:pStyle w:val="ClauseLabel"/>
      </w:pPr>
      <w:r>
        <w:t>BE-102. U.S.-Mexico Border Security for Copper Supply</w:t>
      </w:r>
    </w:p>
    <w:p>
      <w:pPr>
        <w:pStyle w:val="Normal"/>
      </w:pPr>
      <w:r>
        <w:t>U.S. increases border security funding paired with Mexico guaranteeing copper supply to U.S. defense electronics manufacturers.</w:t>
      </w:r>
    </w:p>
    <w:p>
      <w:pPr>
        <w:pStyle w:val="ClauseLabel"/>
      </w:pPr>
      <w:r>
        <w:t>BE-103. Tri-National Critical Minerals Reserve</w:t>
      </w:r>
    </w:p>
    <w:p>
      <w:pPr>
        <w:pStyle w:val="Normal"/>
      </w:pPr>
      <w:r>
        <w:t>Jointly fund and manage a strategic reserve of 10 critical minerals, with each country contributing minerals proportional to its production and drawing proportional to its defense needs.</w:t>
      </w:r>
    </w:p>
    <w:p>
      <w:pPr>
        <w:pStyle w:val="ClauseLabel"/>
      </w:pPr>
      <w:r>
        <w:t>BE-104. Trusted-Investment Screening and Anti-Coercion Cooperation</w:t>
      </w:r>
    </w:p>
    <w:p>
      <w:pPr>
        <w:pStyle w:val="Normal"/>
      </w:pPr>
      <w:r>
        <w:t>Coordinate screening of strategic mineral investment and economic coercion under each Party's law rather than conditioning security aid on blanket exclusion of a named country.</w:t>
      </w:r>
    </w:p>
    <w:p>
      <w:pPr>
        <w:pStyle w:val="ClauseLabel"/>
      </w:pPr>
      <w:r>
        <w:t>BE-105. Canadian Defense Procurement for U.S. Minerals</w:t>
      </w:r>
    </w:p>
    <w:p>
      <w:pPr>
        <w:pStyle w:val="Normal"/>
      </w:pPr>
      <w:r>
        <w:t>Canada guarantees 30% of its defense mineral procurement from U.S. sources paired with U.S. guaranteeing 30% of its defense mineral procurement from Canadian sources.</w:t>
      </w:r>
    </w:p>
    <w:p>
      <w:pPr>
        <w:pStyle w:val="ClauseLabel"/>
      </w:pPr>
      <w:r>
        <w:t>BE-106. U.S. Carbon Capture for Canadian Oil Sands Minerals</w:t>
      </w:r>
    </w:p>
    <w:p>
      <w:pPr>
        <w:pStyle w:val="Normal"/>
      </w:pPr>
      <w:r>
        <w:t>U.S. deploys carbon capture technology at Canadian oil sands paired with Canada supplying 20,000 tonnes/year of vanadium (recovered from oil sands) to U.S. battery makers.</w:t>
      </w:r>
    </w:p>
    <w:p>
      <w:pPr>
        <w:pStyle w:val="ClauseLabel"/>
      </w:pPr>
      <w:r>
        <w:t>BE-107. Canadian Clean Tech for Mexican Smelters</w:t>
      </w:r>
    </w:p>
    <w:p>
      <w:pPr>
        <w:pStyle w:val="Normal"/>
      </w:pPr>
      <w:r>
        <w:t>Canada deploys clean energy tech at Mexican smelters paired with Mexico reducing smelter emissions by 30% and supplying 50,000 tonnes/year of low-carbon copper to Canada.</w:t>
      </w:r>
    </w:p>
    <w:p>
      <w:pPr>
        <w:pStyle w:val="ClauseLabel"/>
      </w:pPr>
      <w:r>
        <w:t>BE-108. U.S. Remediation Tech for Mexican Tailings</w:t>
      </w:r>
    </w:p>
    <w:p>
      <w:pPr>
        <w:pStyle w:val="Normal"/>
      </w:pPr>
      <w:r>
        <w:t>U.S. deploys remediation technology at Mexican tailings sites paired with Mexico granting U.S. companies rights to recover minerals from those sites.</w:t>
      </w:r>
    </w:p>
    <w:p>
      <w:pPr>
        <w:pStyle w:val="ClauseLabel"/>
      </w:pPr>
      <w:r>
        <w:t>BE-109. Watershed Resilience and Industrial Water Recycling</w:t>
      </w:r>
    </w:p>
    <w:p>
      <w:pPr>
        <w:pStyle w:val="Normal"/>
      </w:pPr>
      <w:r>
        <w:t>Coordinate shared-watershed management, reuse and recycling without guaranteeing mineral processors priority over communities, Indigenous rights or ecosystems.</w:t>
      </w:r>
    </w:p>
    <w:p>
      <w:pPr>
        <w:pStyle w:val="ClauseLabel"/>
      </w:pPr>
      <w:r>
        <w:t>BE-110. Canadian Phytoremediation for U.S. Mine Sites</w:t>
      </w:r>
    </w:p>
    <w:p>
      <w:pPr>
        <w:pStyle w:val="Normal"/>
      </w:pPr>
      <w:r>
        <w:t>Canada transfers phytoremediation technology to U.S. mine sites paired with U.S. supplying 10,000 tonnes/year of reclaimed REEs from those sites.</w:t>
      </w:r>
    </w:p>
    <w:p>
      <w:pPr>
        <w:pStyle w:val="ClauseLabel"/>
      </w:pPr>
      <w:r>
        <w:t>BE-111. Shared Responsible-Mining Performance Standards</w:t>
      </w:r>
    </w:p>
    <w:p>
      <w:pPr>
        <w:pStyle w:val="Normal"/>
      </w:pPr>
      <w:r>
        <w:t>Use measurable environmental, labour, community and governance outcomes with equivalence rather than imposing one Party's ESG regime.</w:t>
      </w:r>
    </w:p>
    <w:p>
      <w:pPr>
        <w:pStyle w:val="ClauseLabel"/>
      </w:pPr>
      <w:r>
        <w:t>BE-112. Canadian Tailings Dam Safety for U.S. Mines</w:t>
      </w:r>
    </w:p>
    <w:p>
      <w:pPr>
        <w:pStyle w:val="Normal"/>
      </w:pPr>
      <w:r>
        <w:t>Canada transfers tailings dam safety technology to U.S. and Mexican mines paired with both countries contributing to Canadian tailings research.</w:t>
      </w:r>
    </w:p>
    <w:p>
      <w:pPr>
        <w:pStyle w:val="ClauseLabel"/>
      </w:pPr>
      <w:r>
        <w:t>BE-113. U.S. Methane Capture for Canadian Coal Tailings</w:t>
      </w:r>
    </w:p>
    <w:p>
      <w:pPr>
        <w:pStyle w:val="Normal"/>
      </w:pPr>
      <w:r>
        <w:t>U.S. deploys methane capture at Canadian coal tailings paired with Canada supplying rare earths recovered from coal ash.</w:t>
      </w:r>
    </w:p>
    <w:p>
      <w:pPr>
        <w:pStyle w:val="ClauseLabel"/>
      </w:pPr>
      <w:r>
        <w:t>BE-114. Local Biodiversity Mitigation plus Cross-Border Conservation</w:t>
      </w:r>
    </w:p>
    <w:p>
      <w:pPr>
        <w:pStyle w:val="Normal"/>
      </w:pPr>
      <w:r>
        <w:t>Require local/ecoregion-specific mitigation for mine impacts; cross-border conservation finance may be additional but not a substitute.</w:t>
      </w:r>
    </w:p>
    <w:p>
      <w:pPr>
        <w:pStyle w:val="ClauseLabel"/>
      </w:pPr>
      <w:r>
        <w:t>BE-115. Tri-National Green Mining Certification</w:t>
      </w:r>
    </w:p>
    <w:p>
      <w:pPr>
        <w:pStyle w:val="Normal"/>
      </w:pPr>
      <w:r>
        <w:t>Joint certification for sustainable mining accepted in all three, with certified mines getting preferential market access paired with meeting environmental standards.</w:t>
      </w:r>
    </w:p>
    <w:p>
      <w:pPr>
        <w:pStyle w:val="ClauseLabel"/>
      </w:pPr>
      <w:r>
        <w:t>BE-116. Canadian Pension Fund Investment in U.S. Mines</w:t>
      </w:r>
    </w:p>
    <w:p>
      <w:pPr>
        <w:pStyle w:val="Normal"/>
      </w:pPr>
      <w:r>
        <w:t>Canadian pension funds get preferential access to U.S. mining investments paired with Canada guaranteeing 10% of U.S. critical mineral imports from Canadian sources.</w:t>
      </w:r>
    </w:p>
    <w:p>
      <w:pPr>
        <w:pStyle w:val="ClauseLabel"/>
      </w:pPr>
      <w:r>
        <w:t>BE-117. Mineral Company Capital-Market Access Assistance</w:t>
      </w:r>
    </w:p>
    <w:p>
      <w:pPr>
        <w:pStyle w:val="Normal"/>
      </w:pPr>
      <w:r>
        <w:t>Improve accounting interoperability, listing assistance and investor education while retaining normal securities regulation.</w:t>
      </w:r>
    </w:p>
    <w:p>
      <w:pPr>
        <w:pStyle w:val="ClauseLabel"/>
      </w:pPr>
      <w:r>
        <w:t>BE-118. Mexican Sovereign Wealth Fund for Canadian Processing</w:t>
      </w:r>
    </w:p>
    <w:p>
      <w:pPr>
        <w:pStyle w:val="Normal"/>
      </w:pPr>
      <w:r>
        <w:t>Mexico invests $1B in Canadian processing facilities paired with Canada processing 100,000 tonnes/year of Mexican copper concentrate.</w:t>
      </w:r>
    </w:p>
    <w:p>
      <w:pPr>
        <w:pStyle w:val="ClauseLabel"/>
      </w:pPr>
      <w:r>
        <w:t>BE-119. U.S. Ex-Im Bank Financing for Canadian Mines</w:t>
      </w:r>
    </w:p>
    <w:p>
      <w:pPr>
        <w:pStyle w:val="Normal"/>
      </w:pPr>
      <w:r>
        <w:t>U.S. Ex-Im Bank provides financing to Canadian mines paired with Canada guaranteeing 50% of output to U.S. buyers.</w:t>
      </w:r>
    </w:p>
    <w:p>
      <w:pPr>
        <w:pStyle w:val="ClauseLabel"/>
      </w:pPr>
      <w:r>
        <w:t>BE-120. Canadian Finance for State-Led Mexican Lithium and Downstream Capacity</w:t>
      </w:r>
    </w:p>
    <w:p>
      <w:pPr>
        <w:pStyle w:val="Normal"/>
      </w:pPr>
      <w:r>
        <w:t>Permit lawful financing of Mexican state-led lithium and processing infrastructure with Canadian offtake participation.</w:t>
      </w:r>
    </w:p>
    <w:p>
      <w:pPr>
        <w:pStyle w:val="ClauseLabel"/>
      </w:pPr>
      <w:r>
        <w:t>BE-121. Coordinated National and Project Mineral Bonds</w:t>
      </w:r>
    </w:p>
    <w:p>
      <w:pPr>
        <w:pStyle w:val="Normal"/>
      </w:pPr>
      <w:r>
        <w:t>Use national/project bonds, guarantees and mutual eligibility rather than shared trilateral sovereign debt.</w:t>
      </w:r>
    </w:p>
    <w:p>
      <w:pPr>
        <w:pStyle w:val="ClauseLabel"/>
      </w:pPr>
      <w:r>
        <w:t>BE-122. U.S. Tax Equity for Canadian Renewable Mining</w:t>
      </w:r>
    </w:p>
    <w:p>
      <w:pPr>
        <w:pStyle w:val="Normal"/>
      </w:pPr>
      <w:r>
        <w:t>U.S. tax equity investors get access to Canadian renewable mining projects paired with Canada supplying clean-energy minerals to U.S. at fixed prices.</w:t>
      </w:r>
    </w:p>
    <w:p>
      <w:pPr>
        <w:pStyle w:val="ClauseLabel"/>
      </w:pPr>
      <w:r>
        <w:t>BE-123. Reciprocal Financial-Services Access Under Prudential Rules</w:t>
      </w:r>
    </w:p>
    <w:p>
      <w:pPr>
        <w:pStyle w:val="Normal"/>
      </w:pPr>
      <w:r>
        <w:t>Facilitate financing of qualifying mineral projects without nationality-based quid pro quo in banking regulation.</w:t>
      </w:r>
    </w:p>
    <w:p>
      <w:pPr>
        <w:pStyle w:val="ClauseLabel"/>
      </w:pPr>
      <w:r>
        <w:t>BE-124. Continental Strategic-Mineral Risk Insurance Eligibility</w:t>
      </w:r>
    </w:p>
    <w:p>
      <w:pPr>
        <w:pStyle w:val="Normal"/>
      </w:pPr>
      <w:r>
        <w:t>Make qualifying projects eligible for political-risk and credit insurance without artificial mineral-import quotas.</w:t>
      </w:r>
    </w:p>
    <w:p>
      <w:pPr>
        <w:pStyle w:val="ClauseLabel"/>
      </w:pPr>
      <w:r>
        <w:t>BE-125. Tri-National Mineral Price Stabilization Fund</w:t>
      </w:r>
    </w:p>
    <w:p>
      <w:pPr>
        <w:pStyle w:val="Normal"/>
      </w:pPr>
      <w:r>
        <w:t>Joint fund to stabilize critical mineral prices, with each country contributing proportional to production and drawing proportional to consumption.</w:t>
      </w:r>
    </w:p>
    <w:p>
      <w:pPr>
        <w:pStyle w:val="ClauseLabel"/>
      </w:pPr>
      <w:r>
        <w:t>BE-126. Medical-Manufacturing Mineral Security</w:t>
      </w:r>
    </w:p>
    <w:p>
      <w:pPr>
        <w:pStyle w:val="Normal"/>
      </w:pPr>
      <w:r>
        <w:t>Secure silver and other inputs for medical manufacturing without conditioning patient access to essential medicines on mineral supply.</w:t>
      </w:r>
    </w:p>
    <w:p>
      <w:pPr>
        <w:pStyle w:val="ClauseLabel"/>
      </w:pPr>
      <w:r>
        <w:t>BE-127. Canadian Pharmaceuticals for U.S. REEs</w:t>
      </w:r>
    </w:p>
    <w:p>
      <w:pPr>
        <w:pStyle w:val="Normal"/>
      </w:pPr>
      <w:r>
        <w:t>Canada supplies pharmaceuticals to U.S. at preferential prices paired with U.S. supplying 1,000 tonnes/year of REEs to Canadian medical imaging equipment makers.</w:t>
      </w:r>
    </w:p>
    <w:p>
      <w:pPr>
        <w:pStyle w:val="ClauseLabel"/>
      </w:pPr>
      <w:r>
        <w:t>BE-128. Humanitarian Medical Supply and Mineral Security Firewalls</w:t>
      </w:r>
    </w:p>
    <w:p>
      <w:pPr>
        <w:pStyle w:val="Normal"/>
      </w:pPr>
      <w:r>
        <w:t>Maintain reciprocal emergency vaccine/medical-supply guarantees separately from strategic mineral guarantees; neither becomes hostage leverage.</w:t>
      </w:r>
    </w:p>
    <w:p>
      <w:pPr>
        <w:pStyle w:val="ClauseLabel"/>
      </w:pPr>
      <w:r>
        <w:t>BE-129. Mexican Medical Tourism for U.S. Mineral Investment</w:t>
      </w:r>
    </w:p>
    <w:p>
      <w:pPr>
        <w:pStyle w:val="Normal"/>
      </w:pPr>
      <w:r>
        <w:t>Mexico guarantees U.S. patients access to Mexican healthcare paired with U.S. investing $500M in Mexican mining communities' healthcare infrastructure.</w:t>
      </w:r>
    </w:p>
    <w:p>
      <w:pPr>
        <w:pStyle w:val="ClauseLabel"/>
      </w:pPr>
      <w:r>
        <w:t>BE-130. Tri-National Pharmaceutical-Mineral Supply Chain</w:t>
      </w:r>
    </w:p>
    <w:p>
      <w:pPr>
        <w:pStyle w:val="Normal"/>
      </w:pPr>
      <w:r>
        <w:t>Joint supply chain for medical isotopes and imaging minerals, with each country contributing minerals and receiving healthcare products.</w:t>
      </w:r>
    </w:p>
    <w:p>
      <w:pPr>
        <w:pStyle w:val="ClauseLabel"/>
      </w:pPr>
      <w:r>
        <w:t>BE-131. Sovereign Geological-Data Interoperability</w:t>
      </w:r>
    </w:p>
    <w:p>
      <w:pPr>
        <w:pStyle w:val="Normal"/>
      </w:pPr>
      <w:r>
        <w:t>Build interoperable public geological-data systems with equal transparent access and protection for sensitive data; no privileged corporate access purchased with cloud services.</w:t>
      </w:r>
    </w:p>
    <w:p>
      <w:pPr>
        <w:pStyle w:val="ClauseLabel"/>
      </w:pPr>
      <w:r>
        <w:t>BE-132. Mineral Supply-Chain Data Governance Interoperability</w:t>
      </w:r>
    </w:p>
    <w:p>
      <w:pPr>
        <w:pStyle w:val="Normal"/>
      </w:pPr>
      <w:r>
        <w:t>Coordinate privacy, cybersecurity and commercial-data rules for mineral supply chains rather than bartering privacy law for minerals.</w:t>
      </w:r>
    </w:p>
    <w:p>
      <w:pPr>
        <w:pStyle w:val="ClauseLabel"/>
      </w:pPr>
      <w:r>
        <w:t>BE-133. U.S. 5G Infrastructure for Mexican Mines</w:t>
      </w:r>
    </w:p>
    <w:p>
      <w:pPr>
        <w:pStyle w:val="Normal"/>
      </w:pPr>
      <w:r>
        <w:t>U.S. deploys 5G at Mexican mines paired with Mexico supplying 50,000 tonnes/year of copper for U.S. 5G infrastructure.</w:t>
      </w:r>
    </w:p>
    <w:p>
      <w:pPr>
        <w:pStyle w:val="ClauseLabel"/>
      </w:pPr>
      <w:r>
        <w:t>BE-134. Clean-Powered Mineral Digital Infrastructure</w:t>
      </w:r>
    </w:p>
    <w:p>
      <w:pPr>
        <w:pStyle w:val="Normal"/>
      </w:pPr>
      <w:r>
        <w:t>Support local or contractually supplied low-carbon power for mineral-sector digital infrastructure without physically implausible prescribed power flows.</w:t>
      </w:r>
    </w:p>
    <w:p>
      <w:pPr>
        <w:pStyle w:val="ClauseLabel"/>
      </w:pPr>
      <w:r>
        <w:t>BE-135. Tri-National Mineral Supply Chain Digital Platform</w:t>
      </w:r>
    </w:p>
    <w:p>
      <w:pPr>
        <w:pStyle w:val="Normal"/>
      </w:pPr>
      <w:r>
        <w:t>Joint digital platform tracking mineral supply chains, with each country contributing data paired with real-time supply chain visibility.</w:t>
      </w:r>
    </w:p>
    <w:p>
      <w:pPr>
        <w:pStyle w:val="ClauseLabel"/>
      </w:pPr>
      <w:r>
        <w:t>BE-136. Mining Engineering Scholarships and Exchanges</w:t>
      </w:r>
    </w:p>
    <w:p>
      <w:pPr>
        <w:pStyle w:val="Normal"/>
      </w:pPr>
      <w:r>
        <w:t>Jointly finance scholarships, exchanges and training without trading university seats for mineral concessions.</w:t>
      </w:r>
    </w:p>
    <w:p>
      <w:pPr>
        <w:pStyle w:val="ClauseLabel"/>
      </w:pPr>
      <w:r>
        <w:t>BE-137. Canadian Research Grants for U.S. Mineral Scientists</w:t>
      </w:r>
    </w:p>
    <w:p>
      <w:pPr>
        <w:pStyle w:val="Normal"/>
      </w:pPr>
      <w:r>
        <w:t>Canada funds U.S. mineral research paired with U.S. supplying 2,000 tonnes/year of REEs to Canadian research institutions.</w:t>
      </w:r>
    </w:p>
    <w:p>
      <w:pPr>
        <w:pStyle w:val="ClauseLabel"/>
      </w:pPr>
      <w:r>
        <w:t>BE-138. Mexican Cultural Exchanges for U.S. Mining Investment</w:t>
      </w:r>
    </w:p>
    <w:p>
      <w:pPr>
        <w:pStyle w:val="Normal"/>
      </w:pPr>
      <w:r>
        <w:t>Mexico expands cultural exchange programs paired with U.S. investing $500M in Mexican mining communities.</w:t>
      </w:r>
    </w:p>
    <w:p>
      <w:pPr>
        <w:pStyle w:val="ClauseLabel"/>
      </w:pPr>
      <w:r>
        <w:t>BE-139. U.S. Fulbright Programs for Canadian Mineral Policy</w:t>
      </w:r>
    </w:p>
    <w:p>
      <w:pPr>
        <w:pStyle w:val="Normal"/>
      </w:pPr>
      <w:r>
        <w:t>U.S. expands Fulbright to Canadian mineral policy scholars paired with Canada sharing 20% of its mineral policy research with U.S.</w:t>
      </w:r>
    </w:p>
    <w:p>
      <w:pPr>
        <w:pStyle w:val="ClauseLabel"/>
      </w:pPr>
      <w:r>
        <w:t>BE-140. North American Mining Heritage and Community Legacy Program</w:t>
      </w:r>
    </w:p>
    <w:p>
      <w:pPr>
        <w:pStyle w:val="Normal"/>
      </w:pPr>
      <w:r>
        <w:t>Support voluntary heritage, Indigenous history, worker history, abandoned-site interpretation and community tourism without a compulsory royalty-funded new institution.</w:t>
      </w:r>
    </w:p>
    <w:p>
      <w:pPr>
        <w:pStyle w:val="Heading1"/>
      </w:pPr>
      <w:bookmarkStart w:id="902301" w:name="_Toc300002300"/>
      <w:r>
        <w:t>PACKAGE BF: MINERALS-FOR-FORESTRY NORMALIZATION TRACK</w:t>
      </w:r>
      <w:bookmarkEnd w:id="902301"/>
    </w:p>
    <w:p>
      <w:pPr>
        <w:pStyle w:val="Normal"/>
      </w:pPr>
      <w:r>
        <w:t>BF-1. Purpose. The Parties may use verified critical-mineral supply, processing, stockpiling, recycling, investment or technology cooperation as consideration for staged normalization of softwood-lumber and forestry trade measures. No Party is required to compel extraction or sell below market.</w:t>
      </w:r>
    </w:p>
    <w:p>
      <w:pPr>
        <w:pStyle w:val="Normal"/>
      </w:pPr>
      <w:r>
        <w:t>BF-2. Flexible Pairing. Eligible mineral performance may include lithium, potash, nickel, cobalt, rare earths, niobium, titanium, magnesium, graphite, uranium, molybdenum, tellurium, germanium, gallium or other scheduled strategic materials. Forestry benefits may include tariff, quota, AD/CVD settlement, customs, certification or market-access normalization as legally available.</w:t>
      </w:r>
    </w:p>
    <w:p>
      <w:pPr>
        <w:pStyle w:val="Normal"/>
      </w:pPr>
      <w:r>
        <w:t>BF-3. Performance Pairing. Mineral and forestry benefits shall be approximately commensurate, activate together where practicable, use transparent market-linked terms, and follow BA-5 for verification, cure, proportional step-back and automatic restoration.</w:t>
      </w:r>
    </w:p>
    <w:p>
      <w:pPr>
        <w:pStyle w:val="Normal"/>
      </w:pPr>
      <w:r>
        <w:t>BF-4. No Resource Surrender. Mineral cooperation earns normalization through resilience value, investment, processing and reliable supply; it does not convey ownership of deposits, compulsory extraction rights or exclusive access to another Party.</w:t>
      </w:r>
    </w:p>
    <w:p>
      <w:pPr>
        <w:pStyle w:val="TrumpVisibilityHeadline"/>
      </w:pPr>
      <w:r>
        <w:t xml:space="preserve">★ </w:t>
      </w:r>
      <w:r>
        <w:t>VISIBLE U.S. WIN: STRONGER NORTH AMERICAN AUTOMOTIVE PRODUCTION AND RULES OF ORIGIN</w:t>
      </w:r>
    </w:p>
    <w:p>
      <w:pPr>
        <w:pStyle w:val="Heading1"/>
      </w:pPr>
      <w:bookmarkStart w:id="902302" w:name="_Toc300002301"/>
      <w:r>
        <w:t>PACKAGE BG: NORTH AMERICAN AUTOMOTIVE INTEGRATION AND STABILITY FRAMEWORK</w:t>
      </w:r>
      <w:bookmarkEnd w:id="902302"/>
    </w:p>
    <w:p>
      <w:pPr>
        <w:pStyle w:val="Heading2"/>
      </w:pPr>
      <w:bookmarkStart w:id="902303" w:name="_Toc300002302"/>
      <w:r>
        <w:t>BG-1. Purpose and Coverage</w:t>
      </w:r>
      <w:bookmarkEnd w:id="902303"/>
    </w:p>
    <w:p>
      <w:pPr>
        <w:pStyle w:val="Normal"/>
      </w:pPr>
      <w:r>
        <w:t>This Package establishes a technology-neutral trilateral framework for passenger vehicles, light trucks, medium-duty vehicles, heavy-duty vehicles, vocational vehicles, qualifying chassis and integrated automotive systems. It is intended to preserve genuine North American origin, reward deeper continental integration, reduce avoidable border friction, strengthen supply resilience and prevent tariff or classification carve-outs from defeating negotiated automotive treatment.</w:t>
      </w:r>
    </w:p>
    <w:p>
      <w:pPr>
        <w:pStyle w:val="Heading2"/>
      </w:pPr>
      <w:bookmarkStart w:id="902304" w:name="_Toc300002303"/>
      <w:r>
        <w:t>BG-2. Standard Origin Tier: 75% RVC</w:t>
      </w:r>
      <w:bookmarkEnd w:id="902304"/>
    </w:p>
    <w:p>
      <w:pPr>
        <w:pStyle w:val="Normal"/>
      </w:pPr>
      <w:r>
        <w:t>An originating vehicle satisfying the Standard Tier regional value content threshold of 75% shall receive zero automotive tariff treatment under this Agreement, subject to applicable product-specific origin requirements and anti-circumvention rules. A higher tier shall not be required merely to obtain ordinary originating status.</w:t>
      </w:r>
    </w:p>
    <w:p>
      <w:pPr>
        <w:pStyle w:val="Heading2"/>
      </w:pPr>
      <w:bookmarkStart w:id="902305" w:name="_Toc300002304"/>
      <w:r>
        <w:t>BG-3. High Integration Tier: 80% RVC</w:t>
      </w:r>
      <w:bookmarkEnd w:id="902305"/>
    </w:p>
    <w:p>
      <w:pPr>
        <w:pStyle w:val="Normal"/>
      </w:pPr>
      <w:r>
        <w:t>A vehicle satisfying an 80% regional value content threshold and meeting at least three designated strategic-category conditions may qualify for enhanced customs facilitation, reduced routine verification, trusted-trader treatment, transition assistance and other earned administrative benefits. Strategic categories may include batteries, semiconductors, North American steel or low-carbon steel, software-defined vehicle systems, and motors or drive units.</w:t>
      </w:r>
    </w:p>
    <w:p>
      <w:pPr>
        <w:pStyle w:val="Heading2"/>
      </w:pPr>
      <w:bookmarkStart w:id="902306" w:name="_Toc300002305"/>
      <w:r>
        <w:t>BG-4. Strategic Tier: 85% RVC</w:t>
      </w:r>
      <w:bookmarkEnd w:id="902306"/>
    </w:p>
    <w:p>
      <w:pPr>
        <w:pStyle w:val="Normal"/>
      </w:pPr>
      <w:r>
        <w:t>A vehicle satisfying an 85% regional value content threshold, all designated strategic-category conditions and an approved continuity plan may qualify for the strongest available administrative, resilience and strategic-program benefits. Strategic-tier treatment shall not convert ordinary Standard-Tier originating vehicles into non-originating vehicles.</w:t>
      </w:r>
    </w:p>
    <w:p>
      <w:pPr>
        <w:pStyle w:val="Heading2"/>
      </w:pPr>
      <w:bookmarkStart w:id="902307" w:name="_Toc300002306"/>
      <w:r>
        <w:t>BG-5. No Tariff on Originating Content</w:t>
      </w:r>
      <w:bookmarkEnd w:id="902307"/>
    </w:p>
    <w:p>
      <w:pPr>
        <w:pStyle w:val="Normal"/>
      </w:pPr>
      <w:r>
        <w:t>Where a measure lawfully applies to a non-originating vehicle, tariff incidence should, where administratively practicable and consistent with applicable law, be confined to non-originating content rather than imposed again on verified North American content.</w:t>
      </w:r>
    </w:p>
    <w:p>
      <w:pPr>
        <w:pStyle w:val="Heading2"/>
      </w:pPr>
      <w:bookmarkStart w:id="902308" w:name="_Toc300002307"/>
      <w:r>
        <w:t>BG-6. No Vehicle-Class Carve-Out</w:t>
      </w:r>
      <w:bookmarkEnd w:id="902308"/>
    </w:p>
    <w:p>
      <w:pPr>
        <w:pStyle w:val="Normal"/>
      </w:pPr>
      <w:r>
        <w:t>A medium- or heavy-duty vehicle qualifying as originating under this Agreement shall not receive less favorable tariff treatment solely because of vehicle weight, gross vehicle weight rating, vocational configuration, chassis classification, body configuration, or classification outside a passenger-vehicle tariff line.</w:t>
      </w:r>
    </w:p>
    <w:p>
      <w:pPr>
        <w:pStyle w:val="Heading2"/>
      </w:pPr>
      <w:bookmarkStart w:id="902309" w:name="_Toc300002308"/>
      <w:r>
        <w:t>BG-7. Anti-Reclassification Rule</w:t>
      </w:r>
      <w:bookmarkEnd w:id="902309"/>
    </w:p>
    <w:p>
      <w:pPr>
        <w:pStyle w:val="Normal"/>
      </w:pPr>
      <w:r>
        <w:t>No Party shall use reclassification, tariff-line migration, chassis/body separation, incomplete-vehicle treatment, or substantially equivalent administrative relabeling principally to defeat an automotive benefit that would otherwise apply to an originating vehicle.</w:t>
      </w:r>
    </w:p>
    <w:p>
      <w:pPr>
        <w:pStyle w:val="Heading2"/>
      </w:pPr>
      <w:bookmarkStart w:id="902310" w:name="_Toc300002309"/>
      <w:r>
        <w:t>BG-8. No Uncompensated Front-Loading</w:t>
      </w:r>
      <w:bookmarkEnd w:id="902310"/>
    </w:p>
    <w:p>
      <w:pPr>
        <w:pStyle w:val="Normal"/>
      </w:pPr>
      <w:r>
        <w:t>Where automotive concessions are paired with origin, investment, market-access, supply-chain or enforcement commitments, paired obligations should activate together. Delayed or failed paired performance triggers verification, a short cure opportunity and proportionate pause or step-back of the paired benefit, with automatic restoration when verified performance resumes.</w:t>
      </w:r>
    </w:p>
    <w:p>
      <w:pPr>
        <w:pStyle w:val="Heading2"/>
      </w:pPr>
      <w:bookmarkStart w:id="902311" w:name="_Toc300002310"/>
      <w:r>
        <w:t>BG-9. Capacity-Gap Safe Harbour</w:t>
      </w:r>
      <w:bookmarkEnd w:id="902311"/>
    </w:p>
    <w:p>
      <w:pPr>
        <w:pStyle w:val="Normal"/>
      </w:pPr>
      <w:r>
        <w:t>Temporary flexibility for a component or material may be granted where verified North American capacity is unavailable, insufficient or disrupted. Relief shall be narrow, time-limited, reviewable and designed to avoid converting a temporary shortage into permanent offshore dependency.</w:t>
      </w:r>
    </w:p>
    <w:p>
      <w:pPr>
        <w:pStyle w:val="Heading2"/>
      </w:pPr>
      <w:bookmarkStart w:id="902312" w:name="_Toc300002311"/>
      <w:r>
        <w:t>BG-10. Trusted External Input Safe Harbour</w:t>
      </w:r>
      <w:bookmarkEnd w:id="902312"/>
    </w:p>
    <w:p>
      <w:pPr>
        <w:pStyle w:val="Normal"/>
      </w:pPr>
      <w:r>
        <w:t>A limited share of otherwise non-originating inputs may receive specified treatment where no commercially reasonable North American substitute exists and the input originates from a trusted external partner meeting agreed security, labour, environmental and anti-circumvention conditions. Such treatment does not convert the external partner into a Party to this Agreement.</w:t>
      </w:r>
    </w:p>
    <w:p>
      <w:pPr>
        <w:pStyle w:val="Heading2"/>
      </w:pPr>
      <w:bookmarkStart w:id="902313" w:name="_Toc300002312"/>
      <w:r>
        <w:t>BG-11. Digital Origin and Provenance</w:t>
      </w:r>
      <w:bookmarkEnd w:id="902313"/>
    </w:p>
    <w:p>
      <w:pPr>
        <w:pStyle w:val="Normal"/>
      </w:pPr>
      <w:r>
        <w:t>The Parties should support interoperable digital origin records, supplier declarations and provenance verification without prescribing a particular ledger technology. Systems shall preserve commercial confidentiality, permit correction and audit, and avoid forcing disclosure of unnecessary proprietary information.</w:t>
      </w:r>
    </w:p>
    <w:p>
      <w:pPr>
        <w:pStyle w:val="Heading2"/>
      </w:pPr>
      <w:bookmarkStart w:id="902314" w:name="_Toc300002313"/>
      <w:r>
        <w:t>BG-12. Transition and Cure Architecture</w:t>
      </w:r>
      <w:bookmarkEnd w:id="902314"/>
    </w:p>
    <w:p>
      <w:pPr>
        <w:pStyle w:val="Normal"/>
      </w:pPr>
      <w:r>
        <w:t>RVC increases, model launches, retooling and supply shocks may use annual step-ups, temporary waivers, averaging, retroactive earn-back and cure periods. Flexibility shall reward genuine transition rather than conceal persistent non-compliance.</w:t>
      </w:r>
    </w:p>
    <w:p>
      <w:pPr>
        <w:pStyle w:val="Heading2"/>
      </w:pPr>
      <w:bookmarkStart w:id="902315" w:name="_Toc300002314"/>
      <w:r>
        <w:t>BG-13. Automotive Stability Guarantee</w:t>
      </w:r>
      <w:bookmarkEnd w:id="902315"/>
    </w:p>
    <w:p>
      <w:pPr>
        <w:pStyle w:val="Normal"/>
      </w:pPr>
      <w:r>
        <w:t>The Parties should avoid new automotive tariffs, discriminatory quotas or abrupt origin-rule changes except under this Agreement, an applicable safeguard, or another lawful emergency authority. Material changes should receive notice, consultation, verification and proportionate implementation wherever circumstances permit.</w:t>
      </w:r>
    </w:p>
    <w:p>
      <w:pPr>
        <w:pStyle w:val="Heading2"/>
      </w:pPr>
      <w:bookmarkStart w:id="902316" w:name="_Toc300002315"/>
      <w:r>
        <w:t>BG-14. Existing-Institution Implementation</w:t>
      </w:r>
      <w:bookmarkEnd w:id="902316"/>
    </w:p>
    <w:p>
      <w:pPr>
        <w:pStyle w:val="Normal"/>
      </w:pPr>
      <w:r>
        <w:t>Implementation shall use existing customs authorities, transportation regulators, labour institutions, the Secretariat and Cothrom architecture wherever practicable. No permanent automotive tribunal, duplicative secretariat or standing council is created solely by this Package.</w:t>
      </w:r>
    </w:p>
    <w:p>
      <w:pPr>
        <w:pStyle w:val="Heading1"/>
      </w:pPr>
      <w:bookmarkStart w:id="902317" w:name="_Toc300002316"/>
      <w:r>
        <w:t>PACKAGE BH: AUTOMOTIVE NEGOTIATION AND IMPLEMENTATION CATALOGUE</w:t>
      </w:r>
      <w:bookmarkEnd w:id="902317"/>
    </w:p>
    <w:p>
      <w:pPr>
        <w:pStyle w:val="Normal"/>
      </w:pPr>
      <w:r>
        <w:t>This catalogue preserves the useful substance of the 100 automotive deal concepts while conforming them to Packages BG and the Agreement-wide rules on proportionality, no uncompensated front-loading, sovereignty, due process, anti-circumvention, commercial confidentiality and existing-institution implementation. Numerical values not otherwise adopted by the Agreement are illustrative implementation parameters rather than immutable treaty commitments.</w:t>
      </w:r>
    </w:p>
    <w:p>
      <w:pPr>
        <w:pStyle w:val="ClauseLabel"/>
      </w:pPr>
      <w:r>
        <w:t xml:space="preserve">BH-1. The 15-15-15 Bridge</w:t>
      </w:r>
    </w:p>
    <w:p>
      <w:pPr>
        <w:pStyle w:val="Normal"/>
      </w:pPr>
      <w:r>
        <w:t>Create a temporary automotive tariff bridge only where needed to de-escalate an active dispute. Any interim rate shall be transitional, paired with verified performance, and shall not displace the zero-for-originating baseline.</w:t>
      </w:r>
    </w:p>
    <w:p>
      <w:pPr>
        <w:pStyle w:val="ClauseLabel"/>
      </w:pPr>
      <w:r>
        <w:t xml:space="preserve">BH-2. Mexico’s Tariff Step-Down</w:t>
      </w:r>
    </w:p>
    <w:p>
      <w:pPr>
        <w:pStyle w:val="Normal"/>
      </w:pPr>
      <w:r>
        <w:t>Provide Mexico equivalent staged tariff relief in exchange for strengthened anti-transshipment and origin verification, with relief tied to performance rather than a permanently fixed rate.</w:t>
      </w:r>
    </w:p>
    <w:p>
      <w:pPr>
        <w:pStyle w:val="ClauseLabel"/>
      </w:pPr>
      <w:r>
        <w:t xml:space="preserve">BH-3. Zero-for-Compliant</w:t>
      </w:r>
    </w:p>
    <w:p>
      <w:pPr>
        <w:pStyle w:val="Normal"/>
      </w:pPr>
      <w:r>
        <w:t>All vehicles satisfying the Standard Tier origin requirements receive zero automotive tariffs; non-originating vehicles remain subject to applicable external tariff treatment.</w:t>
      </w:r>
    </w:p>
    <w:p>
      <w:pPr>
        <w:pStyle w:val="ClauseLabel"/>
      </w:pPr>
      <w:r>
        <w:t>BH-4. Critical Parts Exclusion</w:t>
      </w:r>
    </w:p>
    <w:p>
      <w:pPr>
        <w:pStyle w:val="Normal"/>
      </w:pPr>
      <w:r>
        <w:t>Essential components (batteries, semiconductors) are temporarily exempt from tariffs if sourced from within North America, valid for 2 years.</w:t>
      </w:r>
    </w:p>
    <w:p>
      <w:pPr>
        <w:pStyle w:val="ClauseLabel"/>
      </w:pPr>
      <w:r>
        <w:t>BH-5. Quarterly Tariff Review</w:t>
      </w:r>
    </w:p>
    <w:p>
      <w:pPr>
        <w:pStyle w:val="Normal"/>
      </w:pPr>
      <w:r>
        <w:t>Use scheduled performance reviews during a transition period, with earned reductions or restoration tied to verified milestones rather than automatic quarterly tariff micromanagement.</w:t>
      </w:r>
    </w:p>
    <w:p>
      <w:pPr>
        <w:pStyle w:val="ClauseLabel"/>
      </w:pPr>
      <w:r>
        <w:t>BH-6. Retaliatory Tariff Freeze</w:t>
      </w:r>
    </w:p>
    <w:p>
      <w:pPr>
        <w:pStyle w:val="Normal"/>
      </w:pPr>
      <w:r>
        <w:t>All three freeze new retaliatory measures for 12 months while negotiating a permanent framework.</w:t>
      </w:r>
    </w:p>
    <w:p>
      <w:pPr>
        <w:pStyle w:val="ClauseLabel"/>
      </w:pPr>
      <w:r>
        <w:t xml:space="preserve">BH-7. Small-Volume Producer Exemption</w:t>
      </w:r>
    </w:p>
    <w:p>
      <w:pPr>
        <w:pStyle w:val="Normal"/>
      </w:pPr>
      <w:r>
        <w:t>Provide simplified compliance, averaging and transition pathways for genuinely low-volume producers while preserving anti-circumvention safeguards.</w:t>
      </w:r>
    </w:p>
    <w:p>
      <w:pPr>
        <w:pStyle w:val="ClauseLabel"/>
      </w:pPr>
      <w:r>
        <w:t>BH-8. Tariff Rebate for Exports</w:t>
      </w:r>
    </w:p>
    <w:p>
      <w:pPr>
        <w:pStyle w:val="Normal"/>
      </w:pPr>
      <w:r>
        <w:t>Permit ordinary duty drawback or refund where a vehicle or qualifying component is genuinely re-exported outside North America and the underlying tariff has not otherwise been rebated.</w:t>
      </w:r>
    </w:p>
    <w:p>
      <w:pPr>
        <w:pStyle w:val="ClauseLabel"/>
      </w:pPr>
      <w:r>
        <w:t>BH-9. Mexican Border Zone Preference</w:t>
      </w:r>
    </w:p>
    <w:p>
      <w:pPr>
        <w:pStyle w:val="Normal"/>
      </w:pPr>
      <w:r>
        <w:t>Create an Integrated Cross-Border Logistics Credit based on verified regional supply-chain integration, customs efficiency and infrastructure use rather than proximity to a border.</w:t>
      </w:r>
    </w:p>
    <w:p>
      <w:pPr>
        <w:pStyle w:val="ClauseLabel"/>
      </w:pPr>
      <w:r>
        <w:t>BH-10. Canadian Content Credit</w:t>
      </w:r>
    </w:p>
    <w:p>
      <w:pPr>
        <w:pStyle w:val="Normal"/>
      </w:pPr>
      <w:r>
        <w:t>Treat verified North American strategic steel and aluminum as qualifying strategic-category content for High and Strategic Tier benefits without fictional value multiplication.</w:t>
      </w:r>
    </w:p>
    <w:p>
      <w:pPr>
        <w:pStyle w:val="ClauseLabel"/>
      </w:pPr>
      <w:r>
        <w:t>BH-11. Temporary Suspension for Retooling</w:t>
      </w:r>
    </w:p>
    <w:p>
      <w:pPr>
        <w:pStyle w:val="Normal"/>
      </w:pPr>
      <w:r>
        <w:t>Factories undergoing EV retooling get a 2-year tariff holiday on imported machinery and parts from the other two countries.</w:t>
      </w:r>
    </w:p>
    <w:p>
      <w:pPr>
        <w:pStyle w:val="ClauseLabel"/>
      </w:pPr>
      <w:r>
        <w:t xml:space="preserve">BH-12. Graduated Tariff Phase-Down</w:t>
      </w:r>
    </w:p>
    <w:p>
      <w:pPr>
        <w:pStyle w:val="Normal"/>
      </w:pPr>
      <w:r>
        <w:t>Allow a staged tariff phase-down for non-originating vehicles that are demonstrably moving toward compliance, with relief proportional to verified investment and sourcing milestones.</w:t>
      </w:r>
    </w:p>
    <w:p>
      <w:pPr>
        <w:pStyle w:val="ClauseLabel"/>
      </w:pPr>
      <w:r>
        <w:t>BH-13. Seasonal Tariff Adjustment</w:t>
      </w:r>
    </w:p>
    <w:p>
      <w:pPr>
        <w:pStyle w:val="Normal"/>
      </w:pPr>
      <w:r>
        <w:t>Replace seasonal tariffs with an evidence-based temporary safeguard available only after a demonstrated import surge or serious injury and subject to review and minimum-access protections.</w:t>
      </w:r>
    </w:p>
    <w:p>
      <w:pPr>
        <w:pStyle w:val="ClauseLabel"/>
      </w:pPr>
      <w:r>
        <w:t>BH-14. Mutual Tariff Waiver for Emergency Vehicles</w:t>
      </w:r>
    </w:p>
    <w:p>
      <w:pPr>
        <w:pStyle w:val="Normal"/>
      </w:pPr>
      <w:r>
        <w:t>Provide durable tariff-free treatment for ambulances, fire/rescue vehicles and designated disaster-response vehicles. Defense vehicles are governed separately by applicable security and procurement rules.</w:t>
      </w:r>
    </w:p>
    <w:p>
      <w:pPr>
        <w:pStyle w:val="ClauseLabel"/>
      </w:pPr>
      <w:r>
        <w:t xml:space="preserve">BH-15. Tariff-Free Replacement Parts</w:t>
      </w:r>
    </w:p>
    <w:p>
      <w:pPr>
        <w:pStyle w:val="Normal"/>
      </w:pPr>
      <w:r>
        <w:t>Zero-rate qualifying North American repair and service parts where appropriate, with clear origin and anti-transshipment requirements.</w:t>
      </w:r>
    </w:p>
    <w:p>
      <w:pPr>
        <w:pStyle w:val="ClauseLabel"/>
      </w:pPr>
      <w:r>
        <w:t>BH-16. Currency Hedge Clause</w:t>
      </w:r>
    </w:p>
    <w:p>
      <w:pPr>
        <w:pStyle w:val="Normal"/>
      </w:pPr>
      <w:r>
        <w:t>Create a Currency Distortion Consultation Mechanism for sustained, material and policy-relevant currency distortions. No tariff adjustment is triggered solely by a short-term exchange-rate movement.</w:t>
      </w:r>
    </w:p>
    <w:p>
      <w:pPr>
        <w:pStyle w:val="ClauseLabel"/>
      </w:pPr>
      <w:r>
        <w:t>BH-17. Canadian Winter Testing Credit</w:t>
      </w:r>
    </w:p>
    <w:p>
      <w:pPr>
        <w:pStyle w:val="Normal"/>
      </w:pPr>
      <w:r>
        <w:t>Recognize genuine North American cold-weather testing, validation and engineering value under approved R&amp;D/value-added accounting rather than a stand-alone tariff discount.</w:t>
      </w:r>
    </w:p>
    <w:p>
      <w:pPr>
        <w:pStyle w:val="ClauseLabel"/>
      </w:pPr>
      <w:r>
        <w:t>BH-18. Retroactive Tariff Refund</w:t>
      </w:r>
    </w:p>
    <w:p>
      <w:pPr>
        <w:pStyle w:val="Normal"/>
      </w:pPr>
      <w:r>
        <w:t>Permit retroactive tariff refunds or earn-back where a producer cures transitional non-compliance within the prescribed period and demonstrates good-faith compliance rather than fraud or evasion.</w:t>
      </w:r>
    </w:p>
    <w:p>
      <w:pPr>
        <w:pStyle w:val="ClauseLabel"/>
      </w:pPr>
      <w:r>
        <w:t>BH-19. Joint Tariff Revenue Fund</w:t>
      </w:r>
    </w:p>
    <w:p>
      <w:pPr>
        <w:pStyle w:val="Normal"/>
      </w:pPr>
      <w:r>
        <w:t>Encourage each Party to dedicate an appropriate share of automotive trade-remedy revenue to worker adjustment, training or industrial transition without requiring a single pooled trilateral revenue fund.</w:t>
      </w:r>
    </w:p>
    <w:p>
      <w:pPr>
        <w:pStyle w:val="ClauseLabel"/>
      </w:pPr>
      <w:r>
        <w:t xml:space="preserve">BH-20. Most-Favored-Nation Alignment</w:t>
      </w:r>
    </w:p>
    <w:p>
      <w:pPr>
        <w:pStyle w:val="Normal"/>
      </w:pPr>
      <w:r>
        <w:t>Coordinate external auto trade defense, anti-circumvention and transshipment enforcement while preserving each Party’s WTO obligations, other FTAs and independent external tariff schedules.</w:t>
      </w:r>
    </w:p>
    <w:p>
      <w:pPr>
        <w:pStyle w:val="ClauseLabel"/>
      </w:pPr>
      <w:r>
        <w:t>BH-21. Flexible RVC Target</w:t>
      </w:r>
    </w:p>
    <w:p>
      <w:pPr>
        <w:pStyle w:val="Normal"/>
      </w:pPr>
      <w:r>
        <w:t>Use the 75/80/85 tier architecture instead of a vague RVC range while preserving transition flexibility through averaging, step-ups and temporary waivers.</w:t>
      </w:r>
    </w:p>
    <w:p>
      <w:pPr>
        <w:pStyle w:val="ClauseLabel"/>
      </w:pPr>
      <w:r>
        <w:t>BH-22. Battery Weighted Credit</w:t>
      </w:r>
    </w:p>
    <w:p>
      <w:pPr>
        <w:pStyle w:val="Normal"/>
      </w:pPr>
      <w:r>
        <w:t>Treat batteries as a strategic-category qualifier for higher-tier benefits rather than counting each dollar of battery value as more than one dollar.</w:t>
      </w:r>
    </w:p>
    <w:p>
      <w:pPr>
        <w:pStyle w:val="ClauseLabel"/>
      </w:pPr>
      <w:r>
        <w:t>BH-23. Core Parts List</w:t>
      </w:r>
    </w:p>
    <w:p>
      <w:pPr>
        <w:pStyle w:val="Normal"/>
      </w:pPr>
      <w:r>
        <w:t>Maintain an updateable core/strategic parts architecture without freezing an arbitrary permanent list in treaty text.</w:t>
      </w:r>
    </w:p>
    <w:p>
      <w:pPr>
        <w:pStyle w:val="ClauseLabel"/>
      </w:pPr>
      <w:r>
        <w:t xml:space="preserve">BH-24. Roll-Up Provision</w:t>
      </w:r>
    </w:p>
    <w:p>
      <w:pPr>
        <w:pStyle w:val="Normal"/>
      </w:pPr>
      <w:r>
        <w:rPr>
          <w:b/>
          <w:color w:val="C00000"/>
        </w:rPr>
        <w:t>Core-parts roll-up is governed expressly by Article 4.A.2E.1. A core part that validly qualifies as originating is treated as originating for its full value in the downstream vehicle RVC calculation, without re-tracing embedded non-originating materials. The rule preserves the core part’s own origin requirements and all independently applicable vehicle requirements. Fraud, material misrepresentation, sham processing, and circumvention remain subject to verification and remedy under the Agreement.</w:t>
      </w:r>
    </w:p>
    <w:p>
      <w:pPr>
        <w:pStyle w:val="ClauseLabel"/>
      </w:pPr>
      <w:r>
        <w:t>BH-25. Supplier Aggregation</w:t>
      </w:r>
    </w:p>
    <w:p>
      <w:pPr>
        <w:pStyle w:val="Normal"/>
      </w:pPr>
      <w:r>
        <w:t>Small suppliers can aggregate their regional content across multiple facilities to meet thresholds more easily.</w:t>
      </w:r>
    </w:p>
    <w:p>
      <w:pPr>
        <w:pStyle w:val="ClauseLabel"/>
      </w:pPr>
      <w:r>
        <w:t>BH-26. De Minimis Increase</w:t>
      </w:r>
    </w:p>
    <w:p>
      <w:pPr>
        <w:pStyle w:val="Normal"/>
      </w:pPr>
      <w:r>
        <w:t>Use product-sensitive de minimis and capacity-gap safe harbours rather than an across-the-board increase that could materially dilute origin requirements.</w:t>
      </w:r>
    </w:p>
    <w:p>
      <w:pPr>
        <w:pStyle w:val="ClauseLabel"/>
      </w:pPr>
      <w:r>
        <w:t>BH-27. Tracing Technology</w:t>
      </w:r>
    </w:p>
    <w:p>
      <w:pPr>
        <w:pStyle w:val="Normal"/>
      </w:pPr>
      <w:r>
        <w:t>Use interoperable digital tracing and audit records without mandating blockchain or another specific technology.</w:t>
      </w:r>
    </w:p>
    <w:p>
      <w:pPr>
        <w:pStyle w:val="ClauseLabel"/>
      </w:pPr>
      <w:r>
        <w:t>BH-28. Cumulation with Other FTA Partners</w:t>
      </w:r>
    </w:p>
    <w:p>
      <w:pPr>
        <w:pStyle w:val="Normal"/>
      </w:pPr>
      <w:r>
        <w:t>Permit narrowly capped trusted-external-input treatment only where a North American substitute is unavailable and security, labour, environmental and anti-circumvention conditions are satisfied.</w:t>
      </w:r>
    </w:p>
    <w:p>
      <w:pPr>
        <w:pStyle w:val="ClauseLabel"/>
      </w:pPr>
      <w:r>
        <w:t>BH-29. Electric Motor Specific Rule</w:t>
      </w:r>
    </w:p>
    <w:p>
      <w:pPr>
        <w:pStyle w:val="Normal"/>
      </w:pPr>
      <w:r>
        <w:t>Electric motors and inverters get a separate, lower RVC threshold (60%) for three years to accelerate EV transition.</w:t>
      </w:r>
    </w:p>
    <w:p>
      <w:pPr>
        <w:pStyle w:val="ClauseLabel"/>
      </w:pPr>
      <w:r>
        <w:t>BH-30. Plastic &amp; Rubber Component Exemption</w:t>
      </w:r>
    </w:p>
    <w:p>
      <w:pPr>
        <w:pStyle w:val="Normal"/>
      </w:pPr>
      <w:r>
        <w:t>Apply specific capacity-gap treatment to plastic, rubber or other inputs where needed; do not create a blanket material exemption.</w:t>
      </w:r>
    </w:p>
    <w:p>
      <w:pPr>
        <w:pStyle w:val="ClauseLabel"/>
      </w:pPr>
      <w:r>
        <w:t xml:space="preserve">BH-31. Annual RVC Step-Up</w:t>
      </w:r>
    </w:p>
    <w:p>
      <w:pPr>
        <w:pStyle w:val="Normal"/>
      </w:pPr>
      <w:r>
        <w:t>RVC increases by 1% per year rather than a sudden jump, giving supply chains time to adjust.</w:t>
      </w:r>
    </w:p>
    <w:p>
      <w:pPr>
        <w:pStyle w:val="ClauseLabel"/>
      </w:pPr>
      <w:r>
        <w:t>BH-32. Certificate of Origin Mutual Recognition</w:t>
      </w:r>
    </w:p>
    <w:p>
      <w:pPr>
        <w:pStyle w:val="Normal"/>
      </w:pPr>
      <w:r>
        <w:t>Give a valid origin determination by one Party a rebuttable presumption of recognition in the others, subject to fraud, error and verification procedures.</w:t>
      </w:r>
    </w:p>
    <w:p>
      <w:pPr>
        <w:pStyle w:val="ClauseLabel"/>
      </w:pPr>
      <w:r>
        <w:t xml:space="preserve">BH-33. Value-Add vs. Cost-Add</w:t>
      </w:r>
    </w:p>
    <w:p>
      <w:pPr>
        <w:pStyle w:val="Normal"/>
      </w:pPr>
      <w:r>
        <w:t>Authorize simplified, transparent and approved RVC calculation methods after modelling impacts instead of mandating a single gross-cost formula.</w:t>
      </w:r>
    </w:p>
    <w:p>
      <w:pPr>
        <w:pStyle w:val="ClauseLabel"/>
      </w:pPr>
      <w:r>
        <w:t>BH-34. Tooling &amp; Die Credit</w:t>
      </w:r>
    </w:p>
    <w:p>
      <w:pPr>
        <w:pStyle w:val="Normal"/>
      </w:pPr>
      <w:r>
        <w:t>Recognize genuine North American tooling, dies and molds at actual attributable value and through strategic-tier qualification, not through value multiplication.</w:t>
      </w:r>
    </w:p>
    <w:p>
      <w:pPr>
        <w:pStyle w:val="ClauseLabel"/>
      </w:pPr>
      <w:r>
        <w:t>BH-35. Interim Compliance Period</w:t>
      </w:r>
    </w:p>
    <w:p>
      <w:pPr>
        <w:pStyle w:val="Normal"/>
      </w:pPr>
      <w:r>
        <w:t>For vehicles in development, the RVC rule applies at the start of production, not when design begins.</w:t>
      </w:r>
    </w:p>
    <w:p>
      <w:pPr>
        <w:pStyle w:val="ClauseLabel"/>
      </w:pPr>
      <w:r>
        <w:t>BH-36. Sub-assembly Averaging</w:t>
      </w:r>
    </w:p>
    <w:p>
      <w:pPr>
        <w:pStyle w:val="Normal"/>
      </w:pPr>
      <w:r>
        <w:t>Manufacturers can average RVC across multiple vehicle models produced at the same plant, smoothing compliance.</w:t>
      </w:r>
    </w:p>
    <w:p>
      <w:pPr>
        <w:pStyle w:val="ClauseLabel"/>
      </w:pPr>
      <w:r>
        <w:t>BH-37. Aftermarket Modification Credit</w:t>
      </w:r>
    </w:p>
    <w:p>
      <w:pPr>
        <w:pStyle w:val="Normal"/>
      </w:pPr>
      <w:r>
        <w:t>Vehicles modified in North America (upfitting, upfits) receive additional RVC credit for the value added.</w:t>
      </w:r>
    </w:p>
    <w:p>
      <w:pPr>
        <w:pStyle w:val="ClauseLabel"/>
      </w:pPr>
      <w:r>
        <w:t>BH-38. Software &amp; IP Inclusion</w:t>
      </w:r>
    </w:p>
    <w:p>
      <w:pPr>
        <w:pStyle w:val="Normal"/>
      </w:pPr>
      <w:r>
        <w:t>Embedded software, connectivity modules, and intellectual property royalties paid to North American entities count toward RVC.</w:t>
      </w:r>
    </w:p>
    <w:p>
      <w:pPr>
        <w:pStyle w:val="ClauseLabel"/>
      </w:pPr>
      <w:r>
        <w:t>BH-39. Emergency Waiver</w:t>
      </w:r>
    </w:p>
    <w:p>
      <w:pPr>
        <w:pStyle w:val="Normal"/>
      </w:pPr>
      <w:r>
        <w:t>In case of natural disaster or supply shock, the RVC requirement can be suspended for 60 days for affected parts.</w:t>
      </w:r>
    </w:p>
    <w:p>
      <w:pPr>
        <w:pStyle w:val="ClauseLabel"/>
      </w:pPr>
      <w:r>
        <w:t xml:space="preserve">BH-40. Five-Year Sunset Review</w:t>
      </w:r>
    </w:p>
    <w:p>
      <w:pPr>
        <w:pStyle w:val="Normal"/>
      </w:pPr>
      <w:r>
        <w:t>Review origin rules periodically, but do not automatically lower thresholds merely because capacity growth disappoints; diagnose shortage, underinvestment, infeasibility or non-performance first.</w:t>
      </w:r>
    </w:p>
    <w:p>
      <w:pPr>
        <w:pStyle w:val="ClauseLabel"/>
      </w:pPr>
      <w:r>
        <w:t>BH-41. North American Semiconductor Reserve</w:t>
      </w:r>
    </w:p>
    <w:p>
      <w:pPr>
        <w:pStyle w:val="Normal"/>
      </w:pPr>
      <w:r>
        <w:t>Create a North American semiconductor resilience mechanism combining strategic inventories, reserved foundry capacity, surge contracts and allocation principles rather than relying on a single cash fund.</w:t>
      </w:r>
    </w:p>
    <w:p>
      <w:pPr>
        <w:pStyle w:val="ClauseLabel"/>
      </w:pPr>
      <w:r>
        <w:t>BH-42. Critical Minerals Pact</w:t>
      </w:r>
    </w:p>
    <w:p>
      <w:pPr>
        <w:pStyle w:val="Normal"/>
      </w:pPr>
      <w:r>
        <w:t>Link Canadian, U.S. and Mexican mineral, processing, battery and assembly strengths through flexible investment and offtake cooperation without permanently assigning each country a fixed industrial role or fixed five-year price.</w:t>
      </w:r>
    </w:p>
    <w:p>
      <w:pPr>
        <w:pStyle w:val="ClauseLabel"/>
      </w:pPr>
      <w:r>
        <w:t>BH-43. Supplier Diversification Bonus</w:t>
      </w:r>
    </w:p>
    <w:p>
      <w:pPr>
        <w:pStyle w:val="Normal"/>
      </w:pPr>
      <w:r>
        <w:t>Reward meaningful trilateral participation without requiring exactly 30% of sourcing from each Party. Benefits may reflect verified contributions across all three economies.</w:t>
      </w:r>
    </w:p>
    <w:p>
      <w:pPr>
        <w:pStyle w:val="ClauseLabel"/>
      </w:pPr>
      <w:r>
        <w:t>BH-44. Shared EV Battery Plant</w:t>
      </w:r>
    </w:p>
    <w:p>
      <w:pPr>
        <w:pStyle w:val="Normal"/>
      </w:pPr>
      <w:r>
        <w:t>Support jointly financed or commercially structured battery capacity at strategically selected sites, with fair continental access and competitive ownership rather than mandatory one-third government equity shares.</w:t>
      </w:r>
    </w:p>
    <w:p>
      <w:pPr>
        <w:pStyle w:val="ClauseLabel"/>
      </w:pPr>
      <w:r>
        <w:t xml:space="preserve">BH-45. Just-in-Case Inventory Mandate</w:t>
      </w:r>
    </w:p>
    <w:p>
      <w:pPr>
        <w:pStyle w:val="Normal"/>
      </w:pPr>
      <w:r>
        <w:t>Require continuity plans and risk-calibrated inventories for genuinely critical inputs rather than a universal 30-day inventory mandate.</w:t>
      </w:r>
    </w:p>
    <w:p>
      <w:pPr>
        <w:pStyle w:val="ClauseLabel"/>
      </w:pPr>
      <w:r>
        <w:t>BH-46. Mexican Logistics Hub</w:t>
      </w:r>
    </w:p>
    <w:p>
      <w:pPr>
        <w:pStyle w:val="Normal"/>
      </w:pPr>
      <w:r>
        <w:t>Designate a Mexican port (e.g., Manzanillo) as a “North American Auto Gateway” with expedited customs for parts moving north.</w:t>
      </w:r>
    </w:p>
    <w:p>
      <w:pPr>
        <w:pStyle w:val="ClauseLabel"/>
      </w:pPr>
      <w:r>
        <w:t>BH-47. Canadian Rare Earth Refinery</w:t>
      </w:r>
    </w:p>
    <w:p>
      <w:pPr>
        <w:pStyle w:val="Normal"/>
      </w:pPr>
      <w:r>
        <w:t>Canada builds a rare-earth processing plant with the United States and Mexican investment, securing magnet supply for EV motors.</w:t>
      </w:r>
    </w:p>
    <w:p>
      <w:pPr>
        <w:pStyle w:val="ClauseLabel"/>
      </w:pPr>
      <w:r>
        <w:t>BH-48. Joint Procurement of Semiconductors</w:t>
      </w:r>
    </w:p>
    <w:p>
      <w:pPr>
        <w:pStyle w:val="Normal"/>
      </w:pPr>
      <w:r>
        <w:t>Permit pooled emergency procurement, capacity reservation and joint demand signalling for semiconductors without creating a government price-setting cartel.</w:t>
      </w:r>
    </w:p>
    <w:p>
      <w:pPr>
        <w:pStyle w:val="ClauseLabel"/>
      </w:pPr>
      <w:r>
        <w:t xml:space="preserve">BH-49. Cross-Border Trucking Agreement</w:t>
      </w:r>
    </w:p>
    <w:p>
      <w:pPr>
        <w:pStyle w:val="Normal"/>
      </w:pPr>
      <w:r>
        <w:t>Harmonize or recognize inspections and border procedures while preserving driver fatigue and hours-of-service protections.</w:t>
      </w:r>
    </w:p>
    <w:p>
      <w:pPr>
        <w:pStyle w:val="ClauseLabel"/>
      </w:pPr>
      <w:r>
        <w:t>BH-50. Strategic Parts Stockpile</w:t>
      </w:r>
    </w:p>
    <w:p>
      <w:pPr>
        <w:pStyle w:val="Normal"/>
      </w:pPr>
      <w:r>
        <w:t>Use distributed OEM, supplier and public reserve arrangements for critical parts according to risk rather than requiring every government to warehouse a fixed sixty-day list.</w:t>
      </w:r>
    </w:p>
    <w:p>
      <w:pPr>
        <w:pStyle w:val="ClauseLabel"/>
      </w:pPr>
      <w:r>
        <w:t>BH-51. Supplier Matchmaking Platform</w:t>
      </w:r>
    </w:p>
    <w:p>
      <w:pPr>
        <w:pStyle w:val="Normal"/>
      </w:pPr>
      <w:r>
        <w:t>A digital portal connects Mexican SME suppliers with the United States and Canadian OEMs, reducing sourcing friction.</w:t>
      </w:r>
    </w:p>
    <w:p>
      <w:pPr>
        <w:pStyle w:val="ClauseLabel"/>
      </w:pPr>
      <w:r>
        <w:t>BH-52. Rail and Corridor Investment</w:t>
      </w:r>
    </w:p>
    <w:p>
      <w:pPr>
        <w:pStyle w:val="Normal"/>
      </w:pPr>
      <w:r>
        <w:t>Jointly fund upgrades to the Kansas City–Mexico City rail line, cutting transit time by 20%.</w:t>
      </w:r>
    </w:p>
    <w:p>
      <w:pPr>
        <w:pStyle w:val="ClauseLabel"/>
      </w:pPr>
      <w:r>
        <w:t xml:space="preserve">BH-53. Anti-Dumping Cooperation</w:t>
      </w:r>
    </w:p>
    <w:p>
      <w:pPr>
        <w:pStyle w:val="Normal"/>
      </w:pPr>
      <w:r>
        <w:t>Coordinate anti-dumping, countervailing-duty, anti-circumvention and trade-defense information while preserving each Party’s lawful investigative authority.</w:t>
      </w:r>
    </w:p>
    <w:p>
      <w:pPr>
        <w:pStyle w:val="ClauseLabel"/>
      </w:pPr>
      <w:r>
        <w:t xml:space="preserve">BH-54. Second-Tier Supplier Inclusion</w:t>
      </w:r>
    </w:p>
    <w:p>
      <w:pPr>
        <w:pStyle w:val="Normal"/>
      </w:pPr>
      <w:r>
        <w:t>Map Tier-2 dependencies and incentivize regional diversification/localization rather than mandating that 50% of all Tier-2 suppliers be localized.</w:t>
      </w:r>
    </w:p>
    <w:p>
      <w:pPr>
        <w:pStyle w:val="ClauseLabel"/>
      </w:pPr>
      <w:r>
        <w:t>BH-55. Recycling Mandate</w:t>
      </w:r>
    </w:p>
    <w:p>
      <w:pPr>
        <w:pStyle w:val="Normal"/>
      </w:pPr>
      <w:r>
        <w:t>Adopt material-specific recycled-content trajectories based on technical feasibility, chemistry and regional recycling capacity rather than one fixed percentage for all batteries.</w:t>
      </w:r>
    </w:p>
    <w:p>
      <w:pPr>
        <w:pStyle w:val="ClauseLabel"/>
      </w:pPr>
      <w:r>
        <w:t>BH-56. Joint R&amp;D for Substitute Materials</w:t>
      </w:r>
    </w:p>
    <w:p>
      <w:pPr>
        <w:pStyle w:val="Normal"/>
      </w:pPr>
      <w:r>
        <w:t>Fund a $1B consortium to find alternatives for scarce materials (e.g., graphite) that can be produced regionally.</w:t>
      </w:r>
    </w:p>
    <w:p>
      <w:pPr>
        <w:pStyle w:val="ClauseLabel"/>
      </w:pPr>
      <w:r>
        <w:t>BH-57. Shared Warehousing</w:t>
      </w:r>
    </w:p>
    <w:p>
      <w:pPr>
        <w:pStyle w:val="Normal"/>
      </w:pPr>
      <w:r>
        <w:t>Support commercially useful shared warehousing and logistics hubs selected by bottleneck and resilience value rather than fixing five sites in treaty text.</w:t>
      </w:r>
    </w:p>
    <w:p>
      <w:pPr>
        <w:pStyle w:val="ClauseLabel"/>
      </w:pPr>
      <w:r>
        <w:t>BH-58. Emergency Air Bridge</w:t>
      </w:r>
    </w:p>
    <w:p>
      <w:pPr>
        <w:pStyle w:val="Normal"/>
      </w:pPr>
      <w:r>
        <w:t>In case of border closures, a pre-approved air freight route for auto parts is activated within 24 hours.</w:t>
      </w:r>
    </w:p>
    <w:p>
      <w:pPr>
        <w:pStyle w:val="ClauseLabel"/>
      </w:pPr>
      <w:r>
        <w:t>BH-59. Supplier Certification Equivalency</w:t>
      </w:r>
    </w:p>
    <w:p>
      <w:pPr>
        <w:pStyle w:val="Normal"/>
      </w:pPr>
      <w:r>
        <w:t>Recognize equivalent accredited supplier certifications and conformity assessments where standards are demonstrably comparable.</w:t>
      </w:r>
    </w:p>
    <w:p>
      <w:pPr>
        <w:pStyle w:val="ClauseLabel"/>
      </w:pPr>
      <w:r>
        <w:t>BH-60. Inventory Data Sharing</w:t>
      </w:r>
    </w:p>
    <w:p>
      <w:pPr>
        <w:pStyle w:val="Normal"/>
      </w:pPr>
      <w:r>
        <w:t>Use aggregate, protected, minimum-necessary inventory and shortage data rather than continuous disclosure of commercially sensitive real-time inventory to governments.</w:t>
      </w:r>
    </w:p>
    <w:p>
      <w:pPr>
        <w:pStyle w:val="ClauseLabel"/>
      </w:pPr>
      <w:r>
        <w:t>BH-61. EV Production Tax Credit Portability</w:t>
      </w:r>
    </w:p>
    <w:p>
      <w:pPr>
        <w:pStyle w:val="Normal"/>
      </w:pPr>
      <w:r>
        <w:t>Where a Party offers consumer or fleet incentives for qualifying vehicles, do not exclude an otherwise eligible North American vehicle solely because final assembly occurred in another Party, subject to equivalent substantive sourcing and performance conditions.</w:t>
      </w:r>
    </w:p>
    <w:p>
      <w:pPr>
        <w:pStyle w:val="ClauseLabel"/>
      </w:pPr>
      <w:r>
        <w:t>BH-62. Mexican Investment Matching</w:t>
      </w:r>
    </w:p>
    <w:p>
      <w:pPr>
        <w:pStyle w:val="Normal"/>
      </w:pPr>
      <w:r>
        <w:t>Permit Mexico and the other Parties to co-invest in strategic auto projects using transparent, performance-based national programs rather than mandatory matching of 50% of foreign investment.</w:t>
      </w:r>
    </w:p>
    <w:p>
      <w:pPr>
        <w:pStyle w:val="ClauseLabel"/>
      </w:pPr>
      <w:r>
        <w:t>BH-63. Canadian Retooling Fund</w:t>
      </w:r>
    </w:p>
    <w:p>
      <w:pPr>
        <w:pStyle w:val="Normal"/>
      </w:pPr>
      <w:r>
        <w:t>Canada offers $4B in low-interest loans to retool plants for EV production, available to the United States and Mexican firms.</w:t>
      </w:r>
    </w:p>
    <w:p>
      <w:pPr>
        <w:pStyle w:val="ClauseLabel"/>
      </w:pPr>
      <w:r>
        <w:t>BH-64. Shared Depreciation Rates</w:t>
      </w:r>
    </w:p>
    <w:p>
      <w:pPr>
        <w:pStyle w:val="Normal"/>
      </w:pPr>
      <w:r>
        <w:t>Coordinate accelerated depreciation or expensing objectives where useful without requiring identical tax codes.</w:t>
      </w:r>
    </w:p>
    <w:p>
      <w:pPr>
        <w:pStyle w:val="ClauseLabel"/>
      </w:pPr>
      <w:r>
        <w:t>BH-65. Green Energy Subsidy Harmonization</w:t>
      </w:r>
    </w:p>
    <w:p>
      <w:pPr>
        <w:pStyle w:val="Normal"/>
      </w:pPr>
      <w:r>
        <w:t>Pursue clean-energy incentive compatibility, transparency and reciprocal eligibility without forcing identical subsidy structures.</w:t>
      </w:r>
    </w:p>
    <w:p>
      <w:pPr>
        <w:pStyle w:val="ClauseLabel"/>
      </w:pPr>
      <w:r>
        <w:t>BH-66. Border Zone Investment Credit</w:t>
      </w:r>
    </w:p>
    <w:p>
      <w:pPr>
        <w:pStyle w:val="Normal"/>
      </w:pPr>
      <w:r>
        <w:t>Replace border-distance tax credits with Strategic Auto Corridor incentives based on logistics value, regional development and supply-chain need.</w:t>
      </w:r>
    </w:p>
    <w:p>
      <w:pPr>
        <w:pStyle w:val="ClauseLabel"/>
      </w:pPr>
      <w:r>
        <w:t>BH-67. Worker Training Tax Credit</w:t>
      </w:r>
    </w:p>
    <w:p>
      <w:pPr>
        <w:pStyle w:val="Normal"/>
      </w:pPr>
      <w:r>
        <w:t>Companies that train workers in advanced manufacturing (EV, AI, robotics) get a $5,000 credit per worker, honored by all three.</w:t>
      </w:r>
    </w:p>
    <w:p>
      <w:pPr>
        <w:pStyle w:val="ClauseLabel"/>
      </w:pPr>
      <w:r>
        <w:t>BH-68. Joint SOE Rules</w:t>
      </w:r>
    </w:p>
    <w:p>
      <w:pPr>
        <w:pStyle w:val="Normal"/>
      </w:pPr>
      <w:r>
        <w:t>Apply enhanced review to investments presenting state-control, subsidy, coercion, national-security or market-distortion risks while preserving fair treatment of trusted private investment.</w:t>
      </w:r>
    </w:p>
    <w:p>
      <w:pPr>
        <w:pStyle w:val="ClauseLabel"/>
      </w:pPr>
      <w:r>
        <w:t>BH-69. Mobility R&amp;D Corridor</w:t>
      </w:r>
    </w:p>
    <w:p>
      <w:pPr>
        <w:pStyle w:val="Normal"/>
      </w:pPr>
      <w:r>
        <w:t>Designate a corridor from Detroit to Monterrey as a “Mobility Innovation Zone” with pooled R&amp;D funds and shared IP rules.</w:t>
      </w:r>
    </w:p>
    <w:p>
      <w:pPr>
        <w:pStyle w:val="ClauseLabel"/>
      </w:pPr>
      <w:r>
        <w:t>BH-70. Production Floor Commitment</w:t>
      </w:r>
    </w:p>
    <w:p>
      <w:pPr>
        <w:pStyle w:val="Normal"/>
      </w:pPr>
      <w:r>
        <w:t>Use capacity, investment and employment-stability commitments instead of requiring every automaker to increase production in every country by 2% every year.</w:t>
      </w:r>
    </w:p>
    <w:p>
      <w:pPr>
        <w:pStyle w:val="ClauseLabel"/>
      </w:pPr>
      <w:r>
        <w:t>BH-71. Mexican Auto Supplier Park</w:t>
      </w:r>
    </w:p>
    <w:p>
      <w:pPr>
        <w:pStyle w:val="Normal"/>
      </w:pPr>
      <w:r>
        <w:t>Develop a dedicated supplier park in central Mexico with the United States and Canadian anchor investors, lowering logistics costs.</w:t>
      </w:r>
    </w:p>
    <w:p>
      <w:pPr>
        <w:pStyle w:val="ClauseLabel"/>
      </w:pPr>
      <w:r>
        <w:t>BH-72. Canadian Innovation Voucher</w:t>
      </w:r>
    </w:p>
    <w:p>
      <w:pPr>
        <w:pStyle w:val="Normal"/>
      </w:pPr>
      <w:r>
        <w:t>Canadian government issues vouchers for EV startups that can be used for cross-border supplier contracts.</w:t>
      </w:r>
    </w:p>
    <w:p>
      <w:pPr>
        <w:pStyle w:val="ClauseLabel"/>
      </w:pPr>
      <w:r>
        <w:t>BH-73. Tax Equalization Mechanism</w:t>
      </w:r>
    </w:p>
    <w:p>
      <w:pPr>
        <w:pStyle w:val="Normal"/>
      </w:pPr>
      <w:r>
        <w:t>Address subsidy and tax races through transparency, consultation and existing minimum-tax architecture rather than inventing an auto-only corporate tax treaty.</w:t>
      </w:r>
    </w:p>
    <w:p>
      <w:pPr>
        <w:pStyle w:val="ClauseLabel"/>
      </w:pPr>
      <w:r>
        <w:t>BH-74. Plant Repatriation Bonus</w:t>
      </w:r>
    </w:p>
    <w:p>
      <w:pPr>
        <w:pStyle w:val="Normal"/>
      </w:pPr>
      <w:r>
        <w:t>Use capped, performance-based reshoring incentives linked to verified capital investment, wages, duration and net job creation rather than an uncapped per-job grant.</w:t>
      </w:r>
    </w:p>
    <w:p>
      <w:pPr>
        <w:pStyle w:val="ClauseLabel"/>
      </w:pPr>
      <w:r>
        <w:t>BH-75. Joint Venture for Autonomous Tech</w:t>
      </w:r>
    </w:p>
    <w:p>
      <w:pPr>
        <w:pStyle w:val="Normal"/>
      </w:pPr>
      <w:r>
        <w:t>Create a trilateral autonomous vehicle testing corridor (from Vancouver to Mexico City) with shared liability and insurance rules.</w:t>
      </w:r>
    </w:p>
    <w:p>
      <w:pPr>
        <w:pStyle w:val="ClauseLabel"/>
      </w:pPr>
      <w:r>
        <w:t>BH-76. Infrastructure Deduction</w:t>
      </w:r>
    </w:p>
    <w:p>
      <w:pPr>
        <w:pStyle w:val="Normal"/>
      </w:pPr>
      <w:r>
        <w:t>Encourage national tax or grant incentives for charging, hydrogen and smart-road infrastructure under reciprocal eligibility principles; do not prescribe a uniform 150% deduction.</w:t>
      </w:r>
    </w:p>
    <w:p>
      <w:pPr>
        <w:pStyle w:val="ClauseLabel"/>
      </w:pPr>
      <w:r>
        <w:t>BH-77. Local Content Investment Credits</w:t>
      </w:r>
    </w:p>
    <w:p>
      <w:pPr>
        <w:pStyle w:val="Normal"/>
      </w:pPr>
      <w:r>
        <w:t>Merge above-threshold local-content incentives into the 80% and 85% tiers rather than layering another percentage-credit schedule.</w:t>
      </w:r>
    </w:p>
    <w:p>
      <w:pPr>
        <w:pStyle w:val="ClauseLabel"/>
      </w:pPr>
      <w:r>
        <w:t>BH-78. Technology Transfer Facilitation</w:t>
      </w:r>
    </w:p>
    <w:p>
      <w:pPr>
        <w:pStyle w:val="Normal"/>
      </w:pPr>
      <w:r>
        <w:t>Support voluntary licensing, joint R&amp;D, patent pools and commercialization incentives; no firm is required to transfer patents at reduced royalties as a condition of market access.</w:t>
      </w:r>
    </w:p>
    <w:p>
      <w:pPr>
        <w:pStyle w:val="ClauseLabel"/>
      </w:pPr>
      <w:r>
        <w:t>BH-79. Community Benefit Agreements</w:t>
      </w:r>
    </w:p>
    <w:p>
      <w:pPr>
        <w:pStyle w:val="Normal"/>
      </w:pPr>
      <w:r>
        <w:t>Large auto investments require local hiring and community development plans, monitored by a trilateral council.</w:t>
      </w:r>
    </w:p>
    <w:p>
      <w:pPr>
        <w:pStyle w:val="ClauseLabel"/>
      </w:pPr>
      <w:r>
        <w:t>BH-80. Emergency Investment Protection</w:t>
      </w:r>
    </w:p>
    <w:p>
      <w:pPr>
        <w:pStyle w:val="Normal"/>
      </w:pPr>
      <w:r>
        <w:t>Preserve non-discrimination, due process and compensation for expropriation while retaining each Party’s legitimate authority to tax and regulate in a non-discriminatory manner.</w:t>
      </w:r>
    </w:p>
    <w:p>
      <w:pPr>
        <w:pStyle w:val="ClauseLabel"/>
      </w:pPr>
      <w:r>
        <w:t>BH-81. Wage Alignment Fund</w:t>
      </w:r>
    </w:p>
    <w:p>
      <w:pPr>
        <w:pStyle w:val="Normal"/>
      </w:pPr>
      <w:r>
        <w:t>Create a Mexican Auto Wage Convergence and Productivity Track based on enforceable labour rights, collective bargaining, training and productivity rather than a treaty-imposed wage and foreign-funded wage subsidy.</w:t>
      </w:r>
    </w:p>
    <w:p>
      <w:pPr>
        <w:pStyle w:val="ClauseLabel"/>
      </w:pPr>
      <w:r>
        <w:t>BH-82. Rapid Response Mechanism Extension</w:t>
      </w:r>
    </w:p>
    <w:p>
      <w:pPr>
        <w:pStyle w:val="Normal"/>
      </w:pPr>
      <w:r>
        <w:t>Use and strengthen existing rapid-response labour mechanisms with due-process safeguards rather than creating duplicative plant-by-plant arbitration machinery.</w:t>
      </w:r>
    </w:p>
    <w:p>
      <w:pPr>
        <w:pStyle w:val="ClauseLabel"/>
      </w:pPr>
      <w:r>
        <w:t>BH-83. Union Access Guarantee</w:t>
      </w:r>
    </w:p>
    <w:p>
      <w:pPr>
        <w:pStyle w:val="Normal"/>
      </w:pPr>
      <w:r>
        <w:t>Guarantee applicable organizing and collective-bargaining rights through existing labour institutions and designated contact points rather than a new permanent ombudsperson.</w:t>
      </w:r>
    </w:p>
    <w:p>
      <w:pPr>
        <w:pStyle w:val="ClauseLabel"/>
      </w:pPr>
      <w:r>
        <w:t>BH-84. Apprenticeship Exchange</w:t>
      </w:r>
    </w:p>
    <w:p>
      <w:pPr>
        <w:pStyle w:val="Normal"/>
      </w:pPr>
      <w:r>
        <w:t>1,000 Mexican apprentices per year train in Canadian/the United States EV facilities, and vice versa in lean manufacturing.</w:t>
      </w:r>
    </w:p>
    <w:p>
      <w:pPr>
        <w:pStyle w:val="ClauseLabel"/>
      </w:pPr>
      <w:r>
        <w:t>BH-85. Gender Parity Incentive</w:t>
      </w:r>
    </w:p>
    <w:p>
      <w:pPr>
        <w:pStyle w:val="Normal"/>
      </w:pPr>
      <w:r>
        <w:t>Promote women’s participation in advanced automotive manufacturing through training, recruitment, childcare/barrier reduction and voluntary performance incentives rather than tariff discounts based on workforce demographics.</w:t>
      </w:r>
    </w:p>
    <w:p>
      <w:pPr>
        <w:pStyle w:val="ClauseLabel"/>
      </w:pPr>
      <w:r>
        <w:t>BH-86. Child Labor Zero Tolerance</w:t>
      </w:r>
    </w:p>
    <w:p>
      <w:pPr>
        <w:pStyle w:val="Normal"/>
      </w:pPr>
      <w:r>
        <w:t>Maintain zero tolerance for child labour through traceability, remediation and proportionate penalties while protecting affected children; no arbitrary flat fine is mandated.</w:t>
      </w:r>
    </w:p>
    <w:p>
      <w:pPr>
        <w:pStyle w:val="ClauseLabel"/>
      </w:pPr>
      <w:r>
        <w:t>BH-87. Portable Seniority</w:t>
      </w:r>
    </w:p>
    <w:p>
      <w:pPr>
        <w:pStyle w:val="Normal"/>
      </w:pPr>
      <w:r>
        <w:t>Promote portable skills, recognized credentials and pension/benefit coordination where legally feasible rather than attempting to make employer seniority automatically portable across borders.</w:t>
      </w:r>
    </w:p>
    <w:p>
      <w:pPr>
        <w:pStyle w:val="ClauseLabel"/>
      </w:pPr>
      <w:r>
        <w:t>BH-88. Joint Health &amp; Safety Standards</w:t>
      </w:r>
    </w:p>
    <w:p>
      <w:pPr>
        <w:pStyle w:val="Normal"/>
      </w:pPr>
      <w:r>
        <w:t>Pursue high-standard occupational safety equivalence and mutual recognition where outcomes are comparable rather than mechanically adopting the strictest rule from each jurisdiction.</w:t>
      </w:r>
    </w:p>
    <w:p>
      <w:pPr>
        <w:pStyle w:val="ClauseLabel"/>
      </w:pPr>
      <w:r>
        <w:t>BH-90. Labor Attaché Network</w:t>
      </w:r>
    </w:p>
    <w:p>
      <w:pPr>
        <w:pStyle w:val="Normal"/>
      </w:pPr>
      <w:r>
        <w:t>Use existing embassies, ministries and designated labour contact points for rapid informal resolution rather than creating a new labour-attaché bureaucracy.</w:t>
      </w:r>
    </w:p>
    <w:p>
      <w:pPr>
        <w:pStyle w:val="ClauseLabel"/>
      </w:pPr>
      <w:r>
        <w:t>BH-91. Harmonized CO₂ Standards</w:t>
      </w:r>
    </w:p>
    <w:p>
      <w:pPr>
        <w:pStyle w:val="Normal"/>
      </w:pPr>
      <w:r>
        <w:t>Pursue interoperable heavy- and light-vehicle emissions trajectories and credit recognition where lawful, with periodic technical updates rather than a frozen fleet-average number.</w:t>
      </w:r>
    </w:p>
    <w:p>
      <w:pPr>
        <w:pStyle w:val="ClauseLabel"/>
      </w:pPr>
      <w:r>
        <w:t>BH-92. EV Charging Corridor Fund</w:t>
      </w:r>
    </w:p>
    <w:p>
      <w:pPr>
        <w:pStyle w:val="Normal"/>
      </w:pPr>
      <w:r>
        <w:t>Jointly invest $2B in charging infrastructure along major highways, enabling cross-border EV travel seamlessly.</w:t>
      </w:r>
    </w:p>
    <w:p>
      <w:pPr>
        <w:pStyle w:val="ClauseLabel"/>
      </w:pPr>
      <w:r>
        <w:t>BH-93. Battery Passport System</w:t>
      </w:r>
    </w:p>
    <w:p>
      <w:pPr>
        <w:pStyle w:val="Normal"/>
      </w:pPr>
      <w:r>
        <w:t>A shared digital battery passport tracks lifecycle emissions, allowing automakers to earn carbon credits across borders.</w:t>
      </w:r>
    </w:p>
    <w:p>
      <w:pPr>
        <w:pStyle w:val="ClauseLabel"/>
      </w:pPr>
      <w:r>
        <w:t xml:space="preserve">BH-94. Zero-Emission Vehicle Mandate Alignment</w:t>
      </w:r>
    </w:p>
    <w:p>
      <w:pPr>
        <w:pStyle w:val="Normal"/>
      </w:pPr>
      <w:r>
        <w:t>Align zero-emission vehicle policy through interoperable standards, credits and infrastructure where useful rather than requiring identical sales mandates and dates.</w:t>
      </w:r>
    </w:p>
    <w:p>
      <w:pPr>
        <w:pStyle w:val="ClauseLabel"/>
      </w:pPr>
      <w:r>
        <w:t>BH-95. Environmental Remediation Fund</w:t>
      </w:r>
    </w:p>
    <w:p>
      <w:pPr>
        <w:pStyle w:val="Normal"/>
      </w:pPr>
      <w:r>
        <w:t>Use polluter-pays liability, targeted remediation agreements and project-specific contributions for legacy contamination rather than a blanket vehicle-value levy.</w:t>
      </w:r>
    </w:p>
    <w:p>
      <w:pPr>
        <w:pStyle w:val="ClauseLabel"/>
      </w:pPr>
      <w:r>
        <w:t>BH-96. Circular Economy Initiative</w:t>
      </w:r>
    </w:p>
    <w:p>
      <w:pPr>
        <w:pStyle w:val="Normal"/>
      </w:pPr>
      <w:r>
        <w:t>Require 20% of interior plastics to be recycled or bio-based by 2030, with joint certification standards.</w:t>
      </w:r>
    </w:p>
    <w:p>
      <w:pPr>
        <w:pStyle w:val="ClauseLabel"/>
      </w:pPr>
      <w:r>
        <w:t xml:space="preserve">BH-97. Auto-Specific Tribunal</w:t>
      </w:r>
    </w:p>
    <w:p>
      <w:pPr>
        <w:pStyle w:val="Normal"/>
      </w:pPr>
      <w:r>
        <w:t>Use an expedited Automotive Cothrom Track and temporary technical expert rosters instead of a permanent auto-specific tribunal.</w:t>
      </w:r>
    </w:p>
    <w:p>
      <w:pPr>
        <w:pStyle w:val="ClauseLabel"/>
      </w:pPr>
      <w:r>
        <w:t>BH-98. Early Warning System</w:t>
      </w:r>
    </w:p>
    <w:p>
      <w:pPr>
        <w:pStyle w:val="Normal"/>
      </w:pPr>
      <w:r>
        <w:t>Use multi-factor early-warning indicators, including volume, price, capacity use, employment, margins, diversion and transshipment. Import growth alone does not establish injury.</w:t>
      </w:r>
    </w:p>
    <w:p>
      <w:pPr>
        <w:pStyle w:val="ClauseLabel"/>
      </w:pPr>
      <w:r>
        <w:t>BH-99. Political Escalation Clause</w:t>
      </w:r>
    </w:p>
    <w:p>
      <w:pPr>
        <w:pStyle w:val="Normal"/>
      </w:pPr>
      <w:r>
        <w:t>Require notice, verification and a meaningful cure or mediation opportunity before proportional retaliation except where a genuine emergency makes delay impracticable.</w:t>
      </w:r>
    </w:p>
    <w:p>
      <w:pPr>
        <w:pStyle w:val="ClauseLabel"/>
      </w:pPr>
      <w:r>
        <w:t>BH-100. 10-Year Stability Charter</w:t>
      </w:r>
    </w:p>
    <w:p>
      <w:pPr>
        <w:pStyle w:val="Normal"/>
      </w:pPr>
      <w:r>
        <w:t>Create a binding or operational Automotive Stability Guarantee with scheduled review, emergency exceptions and No-Fade/step-back protection rather than relying only on a non-binding charter.</w:t>
      </w:r>
    </w:p>
    <w:p>
      <w:pPr>
        <w:pStyle w:val="Heading1"/>
      </w:pPr>
      <w:bookmarkStart w:id="902318" w:name="_Toc300002317"/>
      <w:r>
        <w:t>PACKAGE BI: MEDIUM- AND HEAVY-DUTY VEHICLE INTEGRATION TRACK</w:t>
      </w:r>
      <w:bookmarkEnd w:id="902318"/>
    </w:p>
    <w:p>
      <w:pPr>
        <w:pStyle w:val="Heading2"/>
      </w:pPr>
      <w:bookmarkStart w:id="902319" w:name="_Toc300002318"/>
      <w:r>
        <w:t>BI-1. Express Heavy-Truck Coverage</w:t>
      </w:r>
      <w:bookmarkEnd w:id="902319"/>
    </w:p>
    <w:p>
      <w:pPr>
        <w:pStyle w:val="Normal"/>
      </w:pPr>
      <w:r>
        <w:t>Medium- and heavy-duty trucks, incomplete vehicles, chassis-cabs, tractors, vocational vehicles and qualifying specialized road vehicles are expressly included in the automotive market-access architecture. Benefits may not be defeated through weight-class or tariff-line carve-outs.</w:t>
      </w:r>
    </w:p>
    <w:p>
      <w:pPr>
        <w:pStyle w:val="Heading2"/>
      </w:pPr>
      <w:bookmarkStart w:id="902320" w:name="_Toc300002319"/>
      <w:r>
        <w:t>BI-2. Heavy-Truck Origin Application</w:t>
      </w:r>
      <w:bookmarkEnd w:id="902320"/>
    </w:p>
    <w:p>
      <w:pPr>
        <w:pStyle w:val="Normal"/>
      </w:pPr>
      <w:r>
        <w:t>The 75% Standard, 80% High Integration and 85% Strategic Tier architecture applies to medium/heavy vehicles with product-appropriate calculations for powertrain, cab, chassis, axles, structural assemblies, electronics, telematics, safety systems and vocational equipment.</w:t>
      </w:r>
    </w:p>
    <w:p>
      <w:pPr>
        <w:pStyle w:val="Heading2"/>
      </w:pPr>
      <w:bookmarkStart w:id="902321" w:name="_Toc300002320"/>
      <w:r>
        <w:t>BI-3. Vocational Vehicle Recognition</w:t>
      </w:r>
      <w:bookmarkEnd w:id="902321"/>
    </w:p>
    <w:p>
      <w:pPr>
        <w:pStyle w:val="Normal"/>
      </w:pPr>
      <w:r>
        <w:t>Fire, rescue, utility, refuse, construction, mining, logging, snow-management and other vocational configurations may receive tailored certification and procurement treatment while remaining subject to origin and safety requirements.</w:t>
      </w:r>
    </w:p>
    <w:p>
      <w:pPr>
        <w:pStyle w:val="Heading2"/>
      </w:pPr>
      <w:bookmarkStart w:id="902322" w:name="_Toc300002321"/>
      <w:r>
        <w:t>BI-4. Corridor Interoperability</w:t>
      </w:r>
      <w:bookmarkEnd w:id="902322"/>
    </w:p>
    <w:p>
      <w:pPr>
        <w:pStyle w:val="Normal"/>
      </w:pPr>
      <w:r>
        <w:t>The Parties may designate freight corridors for compatible weight/dimension rules, charging or hydrogen standards, digital credentials, inspection reciprocity, autonomous pilots and emergency rerouting.</w:t>
      </w:r>
    </w:p>
    <w:p>
      <w:pPr>
        <w:pStyle w:val="Heading2"/>
      </w:pPr>
      <w:bookmarkStart w:id="902323" w:name="_Toc300002322"/>
      <w:r>
        <w:t>BI-5. Remanufacturing and Circularity</w:t>
      </w:r>
      <w:bookmarkEnd w:id="902323"/>
    </w:p>
    <w:p>
      <w:pPr>
        <w:pStyle w:val="Normal"/>
      </w:pPr>
      <w:r>
        <w:t>The Parties should facilitate certified remanufacturing, used-core movement, battery and tire recovery, component reuse and end-of-life management while preventing unsafe or environmentally harmful dumping.</w:t>
      </w:r>
    </w:p>
    <w:p>
      <w:pPr>
        <w:pStyle w:val="Heading2"/>
      </w:pPr>
      <w:bookmarkStart w:id="902324" w:name="_Toc300002323"/>
      <w:r>
        <w:t>BI-6. Connected-Truck Cybersecurity</w:t>
      </w:r>
      <w:bookmarkEnd w:id="902324"/>
    </w:p>
    <w:p>
      <w:pPr>
        <w:pStyle w:val="Normal"/>
      </w:pPr>
      <w:r>
        <w:t>Shared baseline cybersecurity, OTA-update, vulnerability-reporting and incident-response principles should permit interoperable connected fleets without requiring disclosure of unnecessary proprietary data.</w:t>
      </w:r>
    </w:p>
    <w:p>
      <w:pPr>
        <w:pStyle w:val="Heading2"/>
      </w:pPr>
      <w:bookmarkStart w:id="902325" w:name="_Toc300002324"/>
      <w:r>
        <w:t>BI-7. Cold-Climate Validation</w:t>
      </w:r>
      <w:bookmarkEnd w:id="902325"/>
    </w:p>
    <w:p>
      <w:pPr>
        <w:pStyle w:val="Normal"/>
      </w:pPr>
      <w:r>
        <w:t>Canadian and other North American cold-, heat-, altitude-, grade- and severe-weather test environments may be recognized as regional engineering and validation contributions where the work is genuine and documented.</w:t>
      </w:r>
    </w:p>
    <w:p>
      <w:pPr>
        <w:pStyle w:val="Heading2"/>
      </w:pPr>
      <w:bookmarkStart w:id="902326" w:name="_Toc300002325"/>
      <w:r>
        <w:t>BI-8. Emergency Freight Continuity</w:t>
      </w:r>
      <w:bookmarkEnd w:id="902326"/>
    </w:p>
    <w:p>
      <w:pPr>
        <w:pStyle w:val="Normal"/>
      </w:pPr>
      <w:r>
        <w:t>The Parties should pre-plan alternate crossings, routes, rail interfaces, ports and emergency logistics arrangements for disasters, cyber incidents, infrastructure failures, severe weather and other major freight disruptions.</w:t>
      </w:r>
    </w:p>
    <w:p>
      <w:pPr>
        <w:pStyle w:val="Heading1"/>
      </w:pPr>
      <w:bookmarkStart w:id="902327" w:name="_Toc300002326"/>
      <w:r>
        <w:t>PACKAGE BJ: HEAVY-TRUCK NEGOTIATION CATALOGUE</w:t>
      </w:r>
      <w:bookmarkEnd w:id="902327"/>
    </w:p>
    <w:p>
      <w:pPr>
        <w:pStyle w:val="Normal"/>
      </w:pPr>
      <w:r>
        <w:t>These mechanisms preserve the useful substance of the fifty heavy-truck bargaining concepts while removing nationality quotas, compulsory IP transfer, arbitrary geography, committee duplication and unrelated cross-sector retaliation.</w:t>
      </w:r>
    </w:p>
    <w:p>
      <w:pPr>
        <w:pStyle w:val="ClauseLabel"/>
      </w:pPr>
      <w:r>
        <w:t xml:space="preserve">BJ-1. Zero-Emission Truck Tariff Swap</w:t>
      </w:r>
    </w:p>
    <w:p>
      <w:pPr>
        <w:pStyle w:val="Normal"/>
      </w:pPr>
      <w:r>
        <w:t>Apply zero or preferential treatment to qualifying originating zero-emission medium/heavy trucks and qualifying North American battery cells or power electronics under reciprocal origin and anti-circumvention rules.</w:t>
      </w:r>
    </w:p>
    <w:p>
      <w:pPr>
        <w:pStyle w:val="ClauseLabel"/>
      </w:pPr>
      <w:r>
        <w:t>BJ-2. North American Truck Content Rule Flex</w:t>
      </w:r>
    </w:p>
    <w:p>
      <w:pPr>
        <w:pStyle w:val="Normal"/>
      </w:pPr>
      <w:r>
        <w:t>Permit time-limited heavy-truck origin flexibility for verified regional capacity gaps while strengthening anti-transshipment treatment for non-North-American truck components.</w:t>
      </w:r>
    </w:p>
    <w:p>
      <w:pPr>
        <w:pStyle w:val="ClauseLabel"/>
      </w:pPr>
      <w:r>
        <w:t>BJ-3. Green Truck Corridor Deal</w:t>
      </w:r>
    </w:p>
    <w:p>
      <w:pPr>
        <w:pStyle w:val="Normal"/>
      </w:pPr>
      <w:r>
        <w:t>Priority customs lanes for Canadian zero-emission trucks in exchange for Canada funding cross-border charging/hydrogen infrastructure in U.S./Mexico.</w:t>
      </w:r>
    </w:p>
    <w:p>
      <w:pPr>
        <w:pStyle w:val="ClauseLabel"/>
      </w:pPr>
      <w:r>
        <w:t>BJ-4. Truck Emissions Credit Trading</w:t>
      </w:r>
    </w:p>
    <w:p>
      <w:pPr>
        <w:pStyle w:val="Normal"/>
      </w:pPr>
      <w:r>
        <w:t>Canada accepts aligned heavy-duty emissions standards in exchange for access to a trilateral emissions credit trading market for fleets.</w:t>
      </w:r>
    </w:p>
    <w:p>
      <w:pPr>
        <w:pStyle w:val="ClauseLabel"/>
      </w:pPr>
      <w:r>
        <w:t>BJ-5. Battery Recycling Access</w:t>
      </w:r>
    </w:p>
    <w:p>
      <w:pPr>
        <w:pStyle w:val="Normal"/>
      </w:pPr>
      <w:r>
        <w:t>Preferential access for Canadian truck OEMs to U.S./Mexican battery recycling facilities in exchange for Canadian investment in recycling plants.</w:t>
      </w:r>
    </w:p>
    <w:p>
      <w:pPr>
        <w:pStyle w:val="ClauseLabel"/>
      </w:pPr>
      <w:r>
        <w:t>BJ-6. Truck R&amp;D Consortium</w:t>
      </w:r>
    </w:p>
    <w:p>
      <w:pPr>
        <w:pStyle w:val="Normal"/>
      </w:pPr>
      <w:r>
        <w:t>Support joint heavy-truck research, open technical standards where appropriate and voluntary licensing while protecting proprietary IP and project-specific ownership rights.</w:t>
      </w:r>
    </w:p>
    <w:p>
      <w:pPr>
        <w:pStyle w:val="ClauseLabel"/>
      </w:pPr>
      <w:r>
        <w:t>BJ-7. Critical Minerals for Truck Access</w:t>
      </w:r>
    </w:p>
    <w:p>
      <w:pPr>
        <w:pStyle w:val="Normal"/>
      </w:pPr>
      <w:r>
        <w:t>Pair verified strategic-mineral supply, processing, investment or offtake cooperation with reciprocal heavy-truck market and procurement eligibility. No Party guarantees extraction or surrender of sovereign resources.</w:t>
      </w:r>
    </w:p>
    <w:p>
      <w:pPr>
        <w:pStyle w:val="ClauseLabel"/>
      </w:pPr>
      <w:r>
        <w:t>BJ-8. Defense Logistics Truck Window</w:t>
      </w:r>
    </w:p>
    <w:p>
      <w:pPr>
        <w:pStyle w:val="Normal"/>
      </w:pPr>
      <w:r>
        <w:t>Create Trusted North American Defense Logistics Vehicle eligibility based on origin, security, interoperability and procurement requirements; participation in military exercises is not traded for commercial truck access.</w:t>
      </w:r>
    </w:p>
    <w:p>
      <w:pPr>
        <w:pStyle w:val="ClauseLabel"/>
      </w:pPr>
      <w:r>
        <w:t>BJ-9. Border Modernization for Fleets</w:t>
      </w:r>
    </w:p>
    <w:p>
      <w:pPr>
        <w:pStyle w:val="Normal"/>
      </w:pPr>
      <w:r>
        <w:t>Streamlined border procedures for Canadian trucking fleets in exchange for Canada co-funding digital customs modernization in U.S./Mexico.</w:t>
      </w:r>
    </w:p>
    <w:p>
      <w:pPr>
        <w:pStyle w:val="ClauseLabel"/>
      </w:pPr>
      <w:r>
        <w:t>BJ-10. Truck Safety Harmonization</w:t>
      </w:r>
    </w:p>
    <w:p>
      <w:pPr>
        <w:pStyle w:val="Normal"/>
      </w:pPr>
      <w:r>
        <w:t>Canada adopts harmonized safety standards for heavy trucks in exchange for mutual recognition of Canadian certification and reduced testing duplication.</w:t>
      </w:r>
    </w:p>
    <w:p>
      <w:pPr>
        <w:pStyle w:val="ClauseLabel"/>
      </w:pPr>
      <w:r>
        <w:t>BJ-11. Green Freight Incentive Pool</w:t>
      </w:r>
    </w:p>
    <w:p>
      <w:pPr>
        <w:pStyle w:val="Normal"/>
      </w:pPr>
      <w:r>
        <w:t>Shared trilateral fund for low-carbon freight trucks, with Canadian trucks eligible, in exchange for Canada contributing a fixed share of the fund.</w:t>
      </w:r>
    </w:p>
    <w:p>
      <w:pPr>
        <w:pStyle w:val="ClauseLabel"/>
      </w:pPr>
      <w:r>
        <w:t xml:space="preserve">BJ-12. Truck Cab &amp; Chassis Co-Production</w:t>
      </w:r>
    </w:p>
    <w:p>
      <w:pPr>
        <w:pStyle w:val="Normal"/>
      </w:pPr>
      <w:r>
        <w:t>Canada gets relaxed rules on importing Mexican cab assemblies in exchange for opening Canadian chassis production to U.S./Mexican firms.</w:t>
      </w:r>
    </w:p>
    <w:p>
      <w:pPr>
        <w:pStyle w:val="ClauseLabel"/>
      </w:pPr>
      <w:r>
        <w:t>BJ-13. Hydrogen Truck Pilot Corridors</w:t>
      </w:r>
    </w:p>
    <w:p>
      <w:pPr>
        <w:pStyle w:val="Normal"/>
      </w:pPr>
      <w:r>
        <w:t>Canada secures pilot hydrogen truck corridors to U.S./Mexico in exchange for long-term offtake agreements for Mexican green hydrogen.</w:t>
      </w:r>
    </w:p>
    <w:p>
      <w:pPr>
        <w:pStyle w:val="ClauseLabel"/>
      </w:pPr>
      <w:r>
        <w:t>BJ-14. Truck Data Sharing Pact</w:t>
      </w:r>
    </w:p>
    <w:p>
      <w:pPr>
        <w:pStyle w:val="Normal"/>
      </w:pPr>
      <w:r>
        <w:t>Share minimum-necessary, protected and appropriately aggregated telematics or freight data for safety and logistics purposes under interoperable privacy, cybersecurity and commercial-confidentiality rules.</w:t>
      </w:r>
    </w:p>
    <w:p>
      <w:pPr>
        <w:pStyle w:val="ClauseLabel"/>
      </w:pPr>
      <w:r>
        <w:t>BJ-15. Truck Remanufacturing Hub Status</w:t>
      </w:r>
    </w:p>
    <w:p>
      <w:pPr>
        <w:pStyle w:val="Normal"/>
      </w:pPr>
      <w:r>
        <w:t>Canada designated as a regional remanufacturing hub for heavy trucks in exchange for lower tariffs on used truck cores from U.S./Mexico.</w:t>
      </w:r>
    </w:p>
    <w:p>
      <w:pPr>
        <w:pStyle w:val="ClauseLabel"/>
      </w:pPr>
      <w:r>
        <w:t>BJ-16. Customs Duty Rebate for Green Fleets</w:t>
      </w:r>
    </w:p>
    <w:p>
      <w:pPr>
        <w:pStyle w:val="Normal"/>
      </w:pPr>
      <w:r>
        <w:t>Duty rebates on Canadian trucks used in cross-border green freight programs in exchange for Canada enforcing stricter fleet emissions reporting.</w:t>
      </w:r>
    </w:p>
    <w:p>
      <w:pPr>
        <w:pStyle w:val="ClauseLabel"/>
      </w:pPr>
      <w:r>
        <w:t>BJ-17. Truck Driver Training Recognition</w:t>
      </w:r>
    </w:p>
    <w:p>
      <w:pPr>
        <w:pStyle w:val="Normal"/>
      </w:pPr>
      <w:r>
        <w:t>Mutual recognition of Canadian heavy-duty driver training standards in exchange for Canada recognizing U.S./Mexican certifications.</w:t>
      </w:r>
    </w:p>
    <w:p>
      <w:pPr>
        <w:pStyle w:val="ClauseLabel"/>
      </w:pPr>
      <w:r>
        <w:t>BJ-18. Public Procurement Truck Quotas</w:t>
      </w:r>
    </w:p>
    <w:p>
      <w:pPr>
        <w:pStyle w:val="Normal"/>
      </w:pPr>
      <w:r>
        <w:t>Replace nationality quotas with reciprocal North American procurement eligibility for qualifying medium/heavy trucks, buses and vocational vehicles.</w:t>
      </w:r>
    </w:p>
    <w:p>
      <w:pPr>
        <w:pStyle w:val="ClauseLabel"/>
      </w:pPr>
      <w:r>
        <w:t>BJ-19. Truck Parts Origin Flexibility</w:t>
      </w:r>
    </w:p>
    <w:p>
      <w:pPr>
        <w:pStyle w:val="Normal"/>
      </w:pPr>
      <w:r>
        <w:t>More flexible origin rules for Canadian truck parts in exchange for Canada tightening origin rules on non-North American parts.</w:t>
      </w:r>
    </w:p>
    <w:p>
      <w:pPr>
        <w:pStyle w:val="ClauseLabel"/>
      </w:pPr>
      <w:r>
        <w:t xml:space="preserve">BJ-20. Cross-Border Logistics Sandbox</w:t>
      </w:r>
    </w:p>
    <w:p>
      <w:pPr>
        <w:pStyle w:val="Normal"/>
      </w:pPr>
      <w:r>
        <w:t>Regulatory sandbox for autonomous Canadian heavy trucks in exchange for Canada allowing U.S./Mexican AV pilots on designated corridors.</w:t>
      </w:r>
    </w:p>
    <w:p>
      <w:pPr>
        <w:pStyle w:val="ClauseLabel"/>
      </w:pPr>
      <w:r>
        <w:t>BJ-21. Truck Insurance Market Access</w:t>
      </w:r>
    </w:p>
    <w:p>
      <w:pPr>
        <w:pStyle w:val="Normal"/>
      </w:pPr>
      <w:r>
        <w:t>Facilitate cross-border commercial motor-carrier insurance through equivalence, recognition and compliant market access while preserving prudential regulation.</w:t>
      </w:r>
    </w:p>
    <w:p>
      <w:pPr>
        <w:pStyle w:val="ClauseLabel"/>
      </w:pPr>
      <w:r>
        <w:t>BJ-22. Truck Leasing Tax Coordination</w:t>
      </w:r>
    </w:p>
    <w:p>
      <w:pPr>
        <w:pStyle w:val="Normal"/>
      </w:pPr>
      <w:r>
        <w:t>Coordinated tax treatment of cross-border truck leasing in exchange for Canada aligning depreciation rules with U.S./Mexico.</w:t>
      </w:r>
    </w:p>
    <w:p>
      <w:pPr>
        <w:pStyle w:val="ClauseLabel"/>
      </w:pPr>
      <w:r>
        <w:t xml:space="preserve">BJ-23. Truck Scrap &amp; End-of-Life Pact</w:t>
      </w:r>
    </w:p>
    <w:p>
      <w:pPr>
        <w:pStyle w:val="Normal"/>
      </w:pPr>
      <w:r>
        <w:t>Preferential treatment for Canadian scrap trucks exported for recycling in Mexico in exchange for Canada enforcing stricter end-of-life standards.</w:t>
      </w:r>
    </w:p>
    <w:p>
      <w:pPr>
        <w:pStyle w:val="ClauseLabel"/>
      </w:pPr>
      <w:r>
        <w:t xml:space="preserve">BJ-24. Cold-Climate Testing Rights</w:t>
      </w:r>
    </w:p>
    <w:p>
      <w:pPr>
        <w:pStyle w:val="Normal"/>
      </w:pPr>
      <w:r>
        <w:t>Recognize Canadian cold-weather testing and validation as genuine North American engineering value and provide reciprocal OEM access without exclusivity.</w:t>
      </w:r>
    </w:p>
    <w:p>
      <w:pPr>
        <w:pStyle w:val="ClauseLabel"/>
      </w:pPr>
      <w:r>
        <w:t>BJ-25. Truck Software &amp; OTA Alignment</w:t>
      </w:r>
    </w:p>
    <w:p>
      <w:pPr>
        <w:pStyle w:val="Normal"/>
      </w:pPr>
      <w:r>
        <w:t>Harmonized rules for over-the-air updates on heavy trucks in exchange for Canada adopting shared cybersecurity standards.</w:t>
      </w:r>
    </w:p>
    <w:p>
      <w:pPr>
        <w:pStyle w:val="ClauseLabel"/>
      </w:pPr>
      <w:r>
        <w:t>BJ-26. Truck Weight &amp; Dimension Harmonization</w:t>
      </w:r>
    </w:p>
    <w:p>
      <w:pPr>
        <w:pStyle w:val="Normal"/>
      </w:pPr>
      <w:r>
        <w:t>Create corridor-specific interoperability for weight, dimension and permitting rules where infrastructure supports it, rather than forcing identical limits on every road.</w:t>
      </w:r>
    </w:p>
    <w:p>
      <w:pPr>
        <w:pStyle w:val="ClauseLabel"/>
      </w:pPr>
      <w:r>
        <w:t>BJ-27. Green Corridor Branding Scheme</w:t>
      </w:r>
    </w:p>
    <w:p>
      <w:pPr>
        <w:pStyle w:val="Normal"/>
      </w:pPr>
      <w:r>
        <w:t>Create performance-based Green Freight Corridor certification linked to infrastructure, interoperability and financing eligibility rather than mere branding rights.</w:t>
      </w:r>
    </w:p>
    <w:p>
      <w:pPr>
        <w:pStyle w:val="ClauseLabel"/>
      </w:pPr>
      <w:r>
        <w:t>BJ-28. Truck Export Credit Coordination</w:t>
      </w:r>
    </w:p>
    <w:p>
      <w:pPr>
        <w:pStyle w:val="Normal"/>
      </w:pPr>
      <w:r>
        <w:t>Coordinated export credit support for Canadian trucks sold into third markets in exchange for Canada aligning with U.S./Mexican credit rules.</w:t>
      </w:r>
    </w:p>
    <w:p>
      <w:pPr>
        <w:pStyle w:val="ClauseLabel"/>
      </w:pPr>
      <w:r>
        <w:t>BJ-29. Truck Fleet Modernization Swap</w:t>
      </w:r>
    </w:p>
    <w:p>
      <w:pPr>
        <w:pStyle w:val="Normal"/>
      </w:pPr>
      <w:r>
        <w:t>Canada offers accelerated retirement incentives for old U.S./Mexican trucks operating in Canada in exchange for preferential access for new Canadian trucks.</w:t>
      </w:r>
    </w:p>
    <w:p>
      <w:pPr>
        <w:pStyle w:val="ClauseLabel"/>
      </w:pPr>
      <w:r>
        <w:t>BJ-30. Truck Vocational Segment Deal</w:t>
      </w:r>
    </w:p>
    <w:p>
      <w:pPr>
        <w:pStyle w:val="Normal"/>
      </w:pPr>
      <w:r>
        <w:t>Special access for Canadian vocational trucks (refuse, fire, utility) in U.S./Mexico in exchange for Canada opening specialized trailer markets.</w:t>
      </w:r>
    </w:p>
    <w:p>
      <w:pPr>
        <w:pStyle w:val="ClauseLabel"/>
      </w:pPr>
      <w:r>
        <w:t>BJ-31. Truck Charging Interoperability Pact</w:t>
      </w:r>
    </w:p>
    <w:p>
      <w:pPr>
        <w:pStyle w:val="Normal"/>
      </w:pPr>
      <w:r>
        <w:t>Canada adopts common charging standards for heavy trucks in exchange for guaranteed interoperability commitments from U.S./Mexican networks.</w:t>
      </w:r>
    </w:p>
    <w:p>
      <w:pPr>
        <w:pStyle w:val="ClauseLabel"/>
      </w:pPr>
      <w:r>
        <w:t>BJ-32. Truck Carbon Labeling Scheme</w:t>
      </w:r>
    </w:p>
    <w:p>
      <w:pPr>
        <w:pStyle w:val="Normal"/>
      </w:pPr>
      <w:r>
        <w:t>Canada implements carbon labeling for heavy trucks in exchange for trilateral recognition of Canadian labels in procurement scoring.</w:t>
      </w:r>
    </w:p>
    <w:p>
      <w:pPr>
        <w:pStyle w:val="ClauseLabel"/>
      </w:pPr>
      <w:r>
        <w:t>BJ-33. Truck Export Safeguard Mechanism</w:t>
      </w:r>
    </w:p>
    <w:p>
      <w:pPr>
        <w:pStyle w:val="Normal"/>
      </w:pPr>
      <w:r>
        <w:t>Permit evidence-based temporary safeguards for injurious truck import surges while preserving minimum access, review, proportionality and automatic restoration when conditions normalize.</w:t>
      </w:r>
    </w:p>
    <w:p>
      <w:pPr>
        <w:pStyle w:val="ClauseLabel"/>
      </w:pPr>
      <w:r>
        <w:t xml:space="preserve">BJ-34. Truck-Linked Rail Integration Deal</w:t>
      </w:r>
    </w:p>
    <w:p>
      <w:pPr>
        <w:pStyle w:val="Normal"/>
      </w:pPr>
      <w:r>
        <w:t>Preferential treatment for Canadian intermodal truck-rail operations in exchange for Canada opening rail equipment procurement.</w:t>
      </w:r>
    </w:p>
    <w:p>
      <w:pPr>
        <w:pStyle w:val="ClauseLabel"/>
      </w:pPr>
      <w:r>
        <w:t>BJ-35. Truck Toll Reciprocity</w:t>
      </w:r>
    </w:p>
    <w:p>
      <w:pPr>
        <w:pStyle w:val="Normal"/>
      </w:pPr>
      <w:r>
        <w:t>Reduced tolls for Canadian heavy trucks on U.S./Mexican roads in exchange for reciprocal toll reductions in Canada.</w:t>
      </w:r>
    </w:p>
    <w:p>
      <w:pPr>
        <w:pStyle w:val="ClauseLabel"/>
      </w:pPr>
      <w:r>
        <w:t>BJ-36. Truck Logistics Data Trust</w:t>
      </w:r>
    </w:p>
    <w:p>
      <w:pPr>
        <w:pStyle w:val="Normal"/>
      </w:pPr>
      <w:r>
        <w:t>Use a federated North American logistics-data exchange or interoperable existing systems rather than a new centralized data institution, with reciprocal contribution and access rules.</w:t>
      </w:r>
    </w:p>
    <w:p>
      <w:pPr>
        <w:pStyle w:val="ClauseLabel"/>
      </w:pPr>
      <w:r>
        <w:t>BJ-37. Truck Vocational Training Mobility</w:t>
      </w:r>
    </w:p>
    <w:p>
      <w:pPr>
        <w:pStyle w:val="Normal"/>
      </w:pPr>
      <w:r>
        <w:t>Mobility visas for Canadian heavy-duty technicians in exchange for Canada opening immigration pathways for U.S./Mexican truck techs.</w:t>
      </w:r>
    </w:p>
    <w:p>
      <w:pPr>
        <w:pStyle w:val="ClauseLabel"/>
      </w:pPr>
      <w:r>
        <w:t>BJ-38. Truck Safety Research Sharing</w:t>
      </w:r>
    </w:p>
    <w:p>
      <w:pPr>
        <w:pStyle w:val="Normal"/>
      </w:pPr>
      <w:r>
        <w:t>Canada co-funds heavy-duty safety research in exchange for full access to U.S./Mexican crash and performance datasets.</w:t>
      </w:r>
    </w:p>
    <w:p>
      <w:pPr>
        <w:pStyle w:val="ClauseLabel"/>
      </w:pPr>
      <w:r>
        <w:t>BJ-39. Truck Fuel Standard Alignment</w:t>
      </w:r>
    </w:p>
    <w:p>
      <w:pPr>
        <w:pStyle w:val="Normal"/>
      </w:pPr>
      <w:r>
        <w:t>Canada aligns diesel and alternative fuel quality standards in exchange for recognition of Canadian low-carbon fuel credits.</w:t>
      </w:r>
    </w:p>
    <w:p>
      <w:pPr>
        <w:pStyle w:val="ClauseLabel"/>
      </w:pPr>
      <w:r>
        <w:t>BJ-40. Truck Export Promotion Joint Office</w:t>
      </w:r>
    </w:p>
    <w:p>
      <w:pPr>
        <w:pStyle w:val="Normal"/>
      </w:pPr>
      <w:r>
        <w:t>Coordinate existing export-credit and trade-promotion agencies for third-market heavy-truck opportunities rather than creating a new permanent office.</w:t>
      </w:r>
    </w:p>
    <w:p>
      <w:pPr>
        <w:pStyle w:val="ClauseLabel"/>
      </w:pPr>
      <w:r>
        <w:t>BJ-41. Truck Cyber Incident Response Pact</w:t>
      </w:r>
    </w:p>
    <w:p>
      <w:pPr>
        <w:pStyle w:val="Normal"/>
      </w:pPr>
      <w:r>
        <w:t>Canada participates in trilateral cyber incident response for connected trucks in exchange for shared threat intelligence.</w:t>
      </w:r>
    </w:p>
    <w:p>
      <w:pPr>
        <w:pStyle w:val="ClauseLabel"/>
      </w:pPr>
      <w:r>
        <w:t xml:space="preserve">BJ-42. Truck Border Pre-Clearance Expansion</w:t>
      </w:r>
    </w:p>
    <w:p>
      <w:pPr>
        <w:pStyle w:val="Normal"/>
      </w:pPr>
      <w:r>
        <w:t>Expanded pre-clearance for Canadian trucks at U.S./Mexican ports in exchange for Canada hosting reciprocal pre-clearance facilities.</w:t>
      </w:r>
    </w:p>
    <w:p>
      <w:pPr>
        <w:pStyle w:val="ClauseLabel"/>
      </w:pPr>
      <w:r>
        <w:t>BJ-43. Truck Fleet Digital ID System</w:t>
      </w:r>
    </w:p>
    <w:p>
      <w:pPr>
        <w:pStyle w:val="Normal"/>
      </w:pPr>
      <w:r>
        <w:t>Canada adopts a trilateral digital ID for heavy trucks in exchange for reduced inspection frequency for compliant fleets.</w:t>
      </w:r>
    </w:p>
    <w:p>
      <w:pPr>
        <w:pStyle w:val="ClauseLabel"/>
      </w:pPr>
      <w:r>
        <w:t>BJ-44. Truck Green Bond Access</w:t>
      </w:r>
    </w:p>
    <w:p>
      <w:pPr>
        <w:pStyle w:val="Normal"/>
      </w:pPr>
      <w:r>
        <w:t>Recognize equivalent sustainable-finance disclosures and allow qualifying truck projects to access compatible green-finance programs where permitted.</w:t>
      </w:r>
    </w:p>
    <w:p>
      <w:pPr>
        <w:pStyle w:val="ClauseLabel"/>
      </w:pPr>
      <w:r>
        <w:t>BJ-45. Truck Export Quota for Niche Segments</w:t>
      </w:r>
    </w:p>
    <w:p>
      <w:pPr>
        <w:pStyle w:val="Normal"/>
      </w:pPr>
      <w:r>
        <w:t>Provide reciprocal market and procurement eligibility for specialty and vocational trucks without guaranteed nationality quotas.</w:t>
      </w:r>
    </w:p>
    <w:p>
      <w:pPr>
        <w:pStyle w:val="ClauseLabel"/>
      </w:pPr>
      <w:r>
        <w:t>BJ-46. Truck Autonomous Safety Validation</w:t>
      </w:r>
    </w:p>
    <w:p>
      <w:pPr>
        <w:pStyle w:val="Normal"/>
      </w:pPr>
      <w:r>
        <w:t>Canada recognized as a validation site for autonomous heavy trucks in exchange for sharing test results with U.S./Mexico regulators.</w:t>
      </w:r>
    </w:p>
    <w:p>
      <w:pPr>
        <w:pStyle w:val="ClauseLabel"/>
      </w:pPr>
      <w:r>
        <w:t>BJ-47. Truck Fleet Resilience Pact</w:t>
      </w:r>
    </w:p>
    <w:p>
      <w:pPr>
        <w:pStyle w:val="Normal"/>
      </w:pPr>
      <w:r>
        <w:t>Canada joins a trilateral emergency freight re-routing protocol in exchange for priority access to U.S./Mexican relief logistics.</w:t>
      </w:r>
    </w:p>
    <w:p>
      <w:pPr>
        <w:pStyle w:val="ClauseLabel"/>
      </w:pPr>
      <w:r>
        <w:t xml:space="preserve">BJ-48. Truck-Linked Port Access Deal</w:t>
      </w:r>
    </w:p>
    <w:p>
      <w:pPr>
        <w:pStyle w:val="Normal"/>
      </w:pPr>
      <w:r>
        <w:t>Preferential port access for Canadian trucks in Gulf/West Coast ports in exchange for Canada opening Atlantic port logistics concessions.</w:t>
      </w:r>
    </w:p>
    <w:p>
      <w:pPr>
        <w:pStyle w:val="ClauseLabel"/>
      </w:pPr>
      <w:r>
        <w:t xml:space="preserve">BJ-49. Truck Export Tariff Phase-Out</w:t>
      </w:r>
    </w:p>
    <w:p>
      <w:pPr>
        <w:pStyle w:val="Normal"/>
      </w:pPr>
      <w:r>
        <w:t>Phase out residual tariffs on originating medium/heavy trucks in parallel with verified reciprocal market access, origin compliance and light/heavy vehicle treatment.</w:t>
      </w:r>
    </w:p>
    <w:p>
      <w:pPr>
        <w:pStyle w:val="ClauseLabel"/>
      </w:pPr>
      <w:r>
        <w:t>BJ-50. Truck Innovation Challenge Fund</w:t>
      </w:r>
    </w:p>
    <w:p>
      <w:pPr>
        <w:pStyle w:val="Normal"/>
      </w:pPr>
      <w:r>
        <w:t>Support competitive trilateral heavy-truck innovation programs using project-specific funding and IP agreements; commercialization rights are not automatically transferred to governments or other Parties.</w:t>
      </w:r>
    </w:p>
    <w:p>
      <w:pPr>
        <w:pStyle w:val="Heading1"/>
      </w:pPr>
      <w:bookmarkStart w:id="902328" w:name="_Toc300002327"/>
      <w:r>
        <w:t>PACKAGE BK: NORTH AMERICAN COMMERCIAL VEHICLE SAFETY EQUIVALENCE FRAMEWORK</w:t>
      </w:r>
      <w:bookmarkEnd w:id="902328"/>
    </w:p>
    <w:p>
      <w:pPr>
        <w:pStyle w:val="Heading2"/>
      </w:pPr>
      <w:bookmarkStart w:id="902329" w:name="_Toc300002328"/>
      <w:r>
        <w:t>BK-1. Safety-Equivalent Market Access</w:t>
      </w:r>
      <w:bookmarkEnd w:id="902329"/>
    </w:p>
    <w:p>
      <w:pPr>
        <w:pStyle w:val="Normal"/>
      </w:pPr>
      <w:r>
        <w:t>Cross-border commercial-vehicle access should be conditioned on verifiable driver qualification, vehicle roadworthiness, cargo compliance and carrier safety standing, with reciprocal recognition where standards and outcomes are equivalent.</w:t>
      </w:r>
    </w:p>
    <w:p>
      <w:pPr>
        <w:pStyle w:val="Heading2"/>
      </w:pPr>
      <w:bookmarkStart w:id="902330" w:name="_Toc300002329"/>
      <w:r>
        <w:t>BK-2. Risk-Based Enforcement</w:t>
      </w:r>
      <w:bookmarkEnd w:id="902330"/>
    </w:p>
    <w:p>
      <w:pPr>
        <w:pStyle w:val="Normal"/>
      </w:pPr>
      <w:r>
        <w:t>Enforcement resources should concentrate on demonstrated safety risk, repeated defects, falsification, serious violations and unsafe carriers. Demonstrably safe operators should face less redundant inspection and border friction.</w:t>
      </w:r>
    </w:p>
    <w:p>
      <w:pPr>
        <w:pStyle w:val="Heading2"/>
      </w:pPr>
      <w:bookmarkStart w:id="902331" w:name="_Toc300002330"/>
      <w:r>
        <w:t>BK-3. Carrier Scheduling Responsibility</w:t>
      </w:r>
      <w:bookmarkEnd w:id="902331"/>
    </w:p>
    <w:p>
      <w:pPr>
        <w:pStyle w:val="Normal"/>
      </w:pPr>
      <w:r>
        <w:t>A carrier shall not assign or enforce a route, delivery window or dispatch schedule that can only reasonably be completed by violating hours-of-service, speed, inspection or other material safety rules.</w:t>
      </w:r>
    </w:p>
    <w:p>
      <w:pPr>
        <w:pStyle w:val="Heading2"/>
      </w:pPr>
      <w:bookmarkStart w:id="902332" w:name="_Toc300002331"/>
      <w:r>
        <w:t>BK-4. On-Duty Waiting Rule</w:t>
      </w:r>
      <w:bookmarkEnd w:id="902332"/>
    </w:p>
    <w:p>
      <w:pPr>
        <w:pStyle w:val="Normal"/>
      </w:pPr>
      <w:r>
        <w:t>Loading, unloading, mandatory inspection, compulsory paperwork and required waiting under the carrier’s direction shall be treated consistently in fatigue and on-duty calculations under applicable technical rules.</w:t>
      </w:r>
    </w:p>
    <w:p>
      <w:pPr>
        <w:pStyle w:val="Heading2"/>
      </w:pPr>
      <w:bookmarkStart w:id="902333" w:name="_Toc300002332"/>
      <w:r>
        <w:t>BK-5. Anti-Coercion Dispatch Rule</w:t>
      </w:r>
      <w:bookmarkEnd w:id="902333"/>
    </w:p>
    <w:p>
      <w:pPr>
        <w:pStyle w:val="Normal"/>
      </w:pPr>
      <w:r>
        <w:t>A carrier, broker, dispatcher or shipper shall not retaliate against, threaten or pressure a driver to falsify records, exceed lawful limits, operate an unsafe vehicle or continue when fatigue, weather, visibility or vehicle condition makes operation unsafe.</w:t>
      </w:r>
    </w:p>
    <w:p>
      <w:pPr>
        <w:pStyle w:val="Heading2"/>
      </w:pPr>
      <w:bookmarkStart w:id="902334" w:name="_Toc300002333"/>
      <w:r>
        <w:t>BK-6. Safety Stop Right</w:t>
      </w:r>
      <w:bookmarkEnd w:id="902334"/>
    </w:p>
    <w:p>
      <w:pPr>
        <w:pStyle w:val="Normal"/>
      </w:pPr>
      <w:r>
        <w:t>A driver may discontinue or delay operation in good faith because of serious fatigue, unsafe vehicle condition, hazardous weather, inadequate visibility, insecure cargo or another immediate safety concern, subject to reasonable documentation and anti-abuse rules.</w:t>
      </w:r>
    </w:p>
    <w:p>
      <w:pPr>
        <w:pStyle w:val="Heading2"/>
      </w:pPr>
      <w:bookmarkStart w:id="902335" w:name="_Toc300002334"/>
      <w:r>
        <w:t>BK-7. Unsafe Incentive Prohibition</w:t>
      </w:r>
      <w:bookmarkEnd w:id="902335"/>
    </w:p>
    <w:p>
      <w:pPr>
        <w:pStyle w:val="Normal"/>
      </w:pPr>
      <w:r>
        <w:t>Compensation, dispatch and performance systems shall not be structured so that speeding, skipped rest, falsified logs or other safety violations are a predictable means of earning or preserving compensation.</w:t>
      </w:r>
    </w:p>
    <w:p>
      <w:pPr>
        <w:pStyle w:val="Heading2"/>
      </w:pPr>
      <w:bookmarkStart w:id="902336" w:name="_Toc300002335"/>
      <w:r>
        <w:t>BK-8. Critical Defect No-Dispatch Rule</w:t>
      </w:r>
      <w:bookmarkEnd w:id="902336"/>
    </w:p>
    <w:p>
      <w:pPr>
        <w:pStyle w:val="Normal"/>
      </w:pPr>
      <w:r>
        <w:t>A vehicle with a defined critical defect affecting brakes, tires, steering, coupling, structural integrity or another designated safety system shall not return to service until repaired or lawfully cleared.</w:t>
      </w:r>
    </w:p>
    <w:p>
      <w:pPr>
        <w:pStyle w:val="Heading2"/>
      </w:pPr>
      <w:bookmarkStart w:id="902337" w:name="_Toc300002336"/>
      <w:r>
        <w:t>BK-9. Carrier Knowledge Liability</w:t>
      </w:r>
      <w:bookmarkEnd w:id="902337"/>
    </w:p>
    <w:p>
      <w:pPr>
        <w:pStyle w:val="Normal"/>
      </w:pPr>
      <w:r>
        <w:t>A carrier that knowingly or recklessly dispatches a vehicle with recurring unresolved critical defects, or knowingly requires materially unsafe operation, is subject to proportionate escalating enforcement independent of driver liability.</w:t>
      </w:r>
    </w:p>
    <w:p>
      <w:pPr>
        <w:pStyle w:val="Heading2"/>
      </w:pPr>
      <w:bookmarkStart w:id="902338" w:name="_Toc300002337"/>
      <w:r>
        <w:t>BK-10. Privacy and Minimum-Data Firewall</w:t>
      </w:r>
      <w:bookmarkEnd w:id="902338"/>
    </w:p>
    <w:p>
      <w:pPr>
        <w:pStyle w:val="Normal"/>
      </w:pPr>
      <w:r>
        <w:t>No safety rule should require continuous government surveillance of a driver’s location, biometrics, cab interior, medical details or personal activity where the same safety objective can reasonably be achieved through credential verification, event-based records, roadside inspection, carrier compliance systems or another less intrusive method.</w:t>
      </w:r>
    </w:p>
    <w:p>
      <w:pPr>
        <w:pStyle w:val="Heading2"/>
      </w:pPr>
      <w:bookmarkStart w:id="902339" w:name="_Toc300002338"/>
      <w:r>
        <w:t>BK-11. Technical Update Method</w:t>
      </w:r>
      <w:bookmarkEnd w:id="902339"/>
    </w:p>
    <w:p>
      <w:pPr>
        <w:pStyle w:val="Normal"/>
      </w:pPr>
      <w:r>
        <w:t>Numerical operating limits and equipment specifications should ordinarily reside in interoperable technical schedules or domestic regulations capable of periodic evidence-based update, while this Agreement preserves the common outcomes, reciprocity and anti-evasion architecture.</w:t>
      </w:r>
    </w:p>
    <w:p>
      <w:pPr>
        <w:pStyle w:val="Heading2"/>
      </w:pPr>
      <w:bookmarkStart w:id="902340" w:name="_Toc300002339"/>
      <w:r>
        <w:t>BK-12. Federalism and Competent Authorities</w:t>
      </w:r>
      <w:bookmarkEnd w:id="902340"/>
    </w:p>
    <w:p>
      <w:pPr>
        <w:pStyle w:val="Normal"/>
      </w:pPr>
      <w:r>
        <w:t>Implementation shall respect constitutional allocation of federal, state, provincial, territorial and local authority. The Parties shall pursue interoperable outcomes and mutual recognition without pretending that every road rule can be centralized at treaty level.</w:t>
      </w:r>
    </w:p>
    <w:p>
      <w:pPr>
        <w:pStyle w:val="Heading1"/>
      </w:pPr>
      <w:bookmarkStart w:id="902341" w:name="_Toc300002340"/>
      <w:r>
        <w:t>PACKAGE BL: COMMERCIAL VEHICLE SAFETY IMPLEMENTATION CATALOGUE</w:t>
      </w:r>
      <w:bookmarkEnd w:id="902341"/>
    </w:p>
    <w:p>
      <w:pPr>
        <w:pStyle w:val="Normal"/>
      </w:pPr>
      <w:r>
        <w:t>This catalogue uses the more disciplined 100-rule safety list as the principal baseline. Requirements are interpreted through Package BK, including proportionality, privacy, technical feasibility, evidence-based medical standards, risk-based enforcement and phased treatment of legacy vehicles.</w:t>
      </w:r>
    </w:p>
    <w:p>
      <w:pPr>
        <w:pStyle w:val="ClauseLabel"/>
      </w:pPr>
      <w:r>
        <w:t>BL-1. Require a specialized commercial license for every person operating a heavy transport truck</w:t>
      </w:r>
    </w:p>
    <w:p>
      <w:pPr>
        <w:pStyle w:val="Normal"/>
      </w:pPr>
      <w:r>
        <w:t>Require a specialized commercial license for every person operating a heavy transport truck.</w:t>
      </w:r>
    </w:p>
    <w:p>
      <w:pPr>
        <w:pStyle w:val="ClauseLabel"/>
      </w:pPr>
      <w:r>
        <w:t>BL-2. Require a standardized written examination covering vehicle control, cargo securement, fatigue, blind spots, braking, and emergency response</w:t>
      </w:r>
    </w:p>
    <w:p>
      <w:pPr>
        <w:pStyle w:val="Normal"/>
      </w:pPr>
      <w:r>
        <w:t>Require a standardized written examination covering vehicle control, cargo securement, fatigue, blind spots, braking, and emergency response.</w:t>
      </w:r>
    </w:p>
    <w:p>
      <w:pPr>
        <w:pStyle w:val="ClauseLabel"/>
      </w:pPr>
      <w:r>
        <w:t>BL-3. Require a representative practical road test that assesses vehicle handling under realistic loaded conditions through safely controlled ballast, simulation or another approved method</w:t>
      </w:r>
    </w:p>
    <w:p>
      <w:pPr>
        <w:pStyle w:val="Normal"/>
      </w:pPr>
      <w:r>
        <w:t>Require a representative practical road test that assesses vehicle handling under realistic loaded conditions through safely controlled ballast, simulation or another approved method; a fully freight-loaded commercial vehicle is not mandatory for every licensing test.</w:t>
      </w:r>
    </w:p>
    <w:p>
      <w:pPr>
        <w:pStyle w:val="ClauseLabel"/>
      </w:pPr>
      <w:r>
        <w:t>BL-4. Require mandatory entry-level training before a new commercial driver may operate independently</w:t>
      </w:r>
    </w:p>
    <w:p>
      <w:pPr>
        <w:pStyle w:val="Normal"/>
      </w:pPr>
      <w:r>
        <w:t>Require mandatory entry-level training before a new commercial driver may operate independently.</w:t>
      </w:r>
    </w:p>
    <w:p>
      <w:pPr>
        <w:pStyle w:val="ClauseLabel"/>
      </w:pPr>
      <w:r>
        <w:t>BL-5. Require supervised driving with an experienced, certified trainer for a minimum number of hours</w:t>
      </w:r>
    </w:p>
    <w:p>
      <w:pPr>
        <w:pStyle w:val="Normal"/>
      </w:pPr>
      <w:r>
        <w:t>Require supervised driving with an experienced, certified trainer for a minimum number of hours.</w:t>
      </w:r>
    </w:p>
    <w:p>
      <w:pPr>
        <w:pStyle w:val="ClauseLabel"/>
      </w:pPr>
      <w:r>
        <w:t>BL-6. Require periodic refresher training at an interval established by competent regulators, with risk-based or remedial training available more frequently</w:t>
      </w:r>
    </w:p>
    <w:p>
      <w:pPr>
        <w:pStyle w:val="Normal"/>
      </w:pPr>
      <w:r>
        <w:t>Require periodic refresher training at an interval established by competent regulators, with risk-based or remedial training available more frequently.</w:t>
      </w:r>
    </w:p>
    <w:p>
      <w:pPr>
        <w:pStyle w:val="ClauseLabel"/>
      </w:pPr>
      <w:r>
        <w:t>BL-7. Require additional certification for tankers, doubles, triples, oversized loads, and hazardous materials</w:t>
      </w:r>
    </w:p>
    <w:p>
      <w:pPr>
        <w:pStyle w:val="Normal"/>
      </w:pPr>
      <w:r>
        <w:t>Require additional certification for tankers, doubles, triples, oversized loads, and hazardous materials.</w:t>
      </w:r>
    </w:p>
    <w:p>
      <w:pPr>
        <w:pStyle w:val="ClauseLabel"/>
      </w:pPr>
      <w:r>
        <w:t>BL-8. Require cross-border drivers to understand material safety and operating rules that differ in jurisdictions where they regularly operate, supported by accessible multilingual guidance</w:t>
      </w:r>
    </w:p>
    <w:p>
      <w:pPr>
        <w:pStyle w:val="Normal"/>
      </w:pPr>
      <w:r>
        <w:t>Require cross-border drivers to understand material safety and operating rules that differ in jurisdictions where they regularly operate, supported by accessible multilingual guidance.</w:t>
      </w:r>
    </w:p>
    <w:p>
      <w:pPr>
        <w:pStyle w:val="ClauseLabel"/>
      </w:pPr>
      <w:r>
        <w:t>BL-9. Require medical examinations at licensing and at regular intervals thereafter</w:t>
      </w:r>
    </w:p>
    <w:p>
      <w:pPr>
        <w:pStyle w:val="Normal"/>
      </w:pPr>
      <w:r>
        <w:t>Require medical examinations at licensing and at regular intervals thereafter.</w:t>
      </w:r>
    </w:p>
    <w:p>
      <w:pPr>
        <w:pStyle w:val="ClauseLabel"/>
      </w:pPr>
      <w:r>
        <w:t>BL-10. Prohibit commercial driving by anyone medically unfit to safely control the vehicle</w:t>
      </w:r>
    </w:p>
    <w:p>
      <w:pPr>
        <w:pStyle w:val="Normal"/>
      </w:pPr>
      <w:r>
        <w:t>Prohibit commercial driving by anyone medically unfit to safely control the vehicle.</w:t>
      </w:r>
    </w:p>
    <w:p>
      <w:pPr>
        <w:pStyle w:val="ClauseLabel"/>
      </w:pPr>
      <w:r>
        <w:t>BL-11. Use evidence-based medical fitness standards addressing vision, hearing, cardiovascular, neurological, sleep and other conditions relevant to safe operation without turning a diagnostic checklist into automatic disqualification</w:t>
      </w:r>
    </w:p>
    <w:p>
      <w:pPr>
        <w:pStyle w:val="Normal"/>
      </w:pPr>
      <w:r>
        <w:t>Use evidence-based medical fitness standards addressing vision, hearing, cardiovascular, neurological, sleep and other conditions relevant to safe operation without turning a diagnostic checklist into automatic disqualification.</w:t>
      </w:r>
    </w:p>
    <w:p>
      <w:pPr>
        <w:pStyle w:val="ClauseLabel"/>
      </w:pPr>
      <w:r>
        <w:t>BL-12. Require employers to report confirmed serious safety violations affecting a driver’s license</w:t>
      </w:r>
    </w:p>
    <w:p>
      <w:pPr>
        <w:pStyle w:val="Normal"/>
      </w:pPr>
      <w:r>
        <w:t>Require employers to report confirmed serious safety violations affecting a driver’s license.</w:t>
      </w:r>
    </w:p>
    <w:p>
      <w:pPr>
        <w:pStyle w:val="ClauseLabel"/>
      </w:pPr>
      <w:r>
        <w:t>BL-13. Create a shared system preventing a driver suspended in one country from obtaining a commercial license in another</w:t>
      </w:r>
    </w:p>
    <w:p>
      <w:pPr>
        <w:pStyle w:val="Normal"/>
      </w:pPr>
      <w:r>
        <w:t>Create a shared system preventing a driver suspended in one country from obtaining a commercial license in another.</w:t>
      </w:r>
    </w:p>
    <w:p>
      <w:pPr>
        <w:pStyle w:val="ClauseLabel"/>
      </w:pPr>
      <w:r>
        <w:t>BL-14. Prohibit carriers from allowing drivers to operate a vehicle class for which they are not certified</w:t>
      </w:r>
    </w:p>
    <w:p>
      <w:pPr>
        <w:pStyle w:val="Normal"/>
      </w:pPr>
      <w:r>
        <w:t>Prohibit carriers from allowing drivers to operate a vehicle class for which they are not certified.</w:t>
      </w:r>
    </w:p>
    <w:p>
      <w:pPr>
        <w:pStyle w:val="ClauseLabel"/>
      </w:pPr>
      <w:r>
        <w:t>BL-15. Require safety-critical communication competency sufficient to understand road signs, emergency instructions and enforcement interactions</w:t>
      </w:r>
    </w:p>
    <w:p>
      <w:pPr>
        <w:pStyle w:val="Normal"/>
      </w:pPr>
      <w:r>
        <w:t>Require safety-critical communication competency sufficient to understand road signs, emergency instructions and enforcement interactions. Approved translation tools and multilingual materials may support compliance.</w:t>
      </w:r>
    </w:p>
    <w:p>
      <w:pPr>
        <w:pStyle w:val="ClauseLabel"/>
      </w:pPr>
      <w:r>
        <w:t>BL-16. Require training on respectful interaction with cyclists, pedestrians, motorists, and roadside workers</w:t>
      </w:r>
    </w:p>
    <w:p>
      <w:pPr>
        <w:pStyle w:val="Normal"/>
      </w:pPr>
      <w:r>
        <w:t>Require training on respectful interaction with cyclists, pedestrians, motorists, and roadside workers.</w:t>
      </w:r>
    </w:p>
    <w:p>
      <w:pPr>
        <w:pStyle w:val="ClauseLabel"/>
      </w:pPr>
      <w:r>
        <w:t>BL-17. Prohibit employers from retaliating against drivers who report unsafe vehicles, routes, cargo, or schedules</w:t>
      </w:r>
    </w:p>
    <w:p>
      <w:pPr>
        <w:pStyle w:val="Normal"/>
      </w:pPr>
      <w:r>
        <w:t>Prohibit employers from retaliating against drivers who report unsafe vehicles, routes, cargo, or schedules.</w:t>
      </w:r>
    </w:p>
    <w:p>
      <w:pPr>
        <w:pStyle w:val="ClauseLabel"/>
      </w:pPr>
      <w:r>
        <w:t>BL-18. Include workplace violence, harassment, assault prevention and isolated-worker safety in appropriate occupational training programs without making unrelated social-policy coursework a condition for every border crossing</w:t>
      </w:r>
    </w:p>
    <w:p>
      <w:pPr>
        <w:pStyle w:val="Normal"/>
      </w:pPr>
      <w:r>
        <w:t>Include workplace violence, harassment, assault prevention and isolated-worker safety in appropriate occupational training programs without making unrelated social-policy coursework a condition for every border crossing.</w:t>
      </w:r>
    </w:p>
    <w:p>
      <w:pPr>
        <w:pStyle w:val="ClauseLabel"/>
      </w:pPr>
      <w:r>
        <w:t>BL-19. Following a fatal or serious-injury collision, require a fitness or competency reassessment when investigative evidence reasonably raises a driver-specific safety concern; mere involvement in a non-preventable collision does not create a presumption of incompetence</w:t>
      </w:r>
    </w:p>
    <w:p>
      <w:pPr>
        <w:pStyle w:val="Normal"/>
      </w:pPr>
      <w:r>
        <w:t>Following a fatal or serious-injury collision, require a fitness or competency reassessment when investigative evidence reasonably raises a driver-specific safety concern; mere involvement in a non-preventable collision does not create a presumption of incompetence.</w:t>
      </w:r>
    </w:p>
    <w:p>
      <w:pPr>
        <w:pStyle w:val="ClauseLabel"/>
      </w:pPr>
      <w:r>
        <w:t>BL-20. Require remedial training after repeated preventable violations</w:t>
      </w:r>
    </w:p>
    <w:p>
      <w:pPr>
        <w:pStyle w:val="Normal"/>
      </w:pPr>
      <w:r>
        <w:t>Require remedial training after repeated preventable violations.</w:t>
      </w:r>
    </w:p>
    <w:p>
      <w:pPr>
        <w:pStyle w:val="ClauseLabel"/>
      </w:pPr>
      <w:r>
        <w:t>BL-21. Establish harmonized or mutually compatible maximum daily driving rules through periodically updateable technical standards informed by fatigue evidence</w:t>
      </w:r>
    </w:p>
    <w:p>
      <w:pPr>
        <w:pStyle w:val="Normal"/>
      </w:pPr>
      <w:r>
        <w:t>Establish harmonized or mutually compatible maximum daily driving rules through periodically updateable technical standards informed by fatigue evidence.</w:t>
      </w:r>
    </w:p>
    <w:p>
      <w:pPr>
        <w:pStyle w:val="ClauseLabel"/>
      </w:pPr>
      <w:r>
        <w:t>BL-22. Establish harmonized or mutually compatible maximum on-duty rules that count loading, unloading, paperwork, inspections and mandatory waiting as work</w:t>
      </w:r>
    </w:p>
    <w:p>
      <w:pPr>
        <w:pStyle w:val="Normal"/>
      </w:pPr>
      <w:r>
        <w:t>Establish harmonized or mutually compatible maximum on-duty rules that count loading, unloading, paperwork, inspections and mandatory waiting as work.</w:t>
      </w:r>
    </w:p>
    <w:p>
      <w:pPr>
        <w:pStyle w:val="ClauseLabel"/>
      </w:pPr>
      <w:r>
        <w:t>BL-23. Establish a minimum daily rest requirement through evidence-based technical standards, with lawful flexibility that does not undermine restorative rest</w:t>
      </w:r>
    </w:p>
    <w:p>
      <w:pPr>
        <w:pStyle w:val="Normal"/>
      </w:pPr>
      <w:r>
        <w:t>Establish a minimum daily rest requirement through evidence-based technical standards, with lawful flexibility that does not undermine restorative rest.</w:t>
      </w:r>
    </w:p>
    <w:p>
      <w:pPr>
        <w:pStyle w:val="ClauseLabel"/>
      </w:pPr>
      <w:r>
        <w:t>BL-24. Establish periodic extended recovery requirements through evidence-based technical standards responsive to long-haul, overnight and rotating-shift operations</w:t>
      </w:r>
    </w:p>
    <w:p>
      <w:pPr>
        <w:pStyle w:val="Normal"/>
      </w:pPr>
      <w:r>
        <w:t>Establish periodic extended recovery requirements through evidence-based technical standards responsive to long-haul, overnight and rotating-shift operations.</w:t>
      </w:r>
    </w:p>
    <w:p>
      <w:pPr>
        <w:pStyle w:val="ClauseLabel"/>
      </w:pPr>
      <w:r>
        <w:t>BL-25. Prohibit carriers from scheduling routes that can only be completed by violating hours-of-service rules</w:t>
      </w:r>
    </w:p>
    <w:p>
      <w:pPr>
        <w:pStyle w:val="Normal"/>
      </w:pPr>
      <w:r>
        <w:t>Prohibit carriers from scheduling routes that can only be completed by violating hours-of-service rules.</w:t>
      </w:r>
    </w:p>
    <w:p>
      <w:pPr>
        <w:pStyle w:val="ClauseLabel"/>
      </w:pPr>
      <w:r>
        <w:t>BL-26. Treat unpaid waiting time, loading delays, and mandatory inspections as on-duty time</w:t>
      </w:r>
    </w:p>
    <w:p>
      <w:pPr>
        <w:pStyle w:val="Normal"/>
      </w:pPr>
      <w:r>
        <w:t>Treat unpaid waiting time, loading delays, and mandatory inspections as on-duty time.</w:t>
      </w:r>
    </w:p>
    <w:p>
      <w:pPr>
        <w:pStyle w:val="ClauseLabel"/>
      </w:pPr>
      <w:r>
        <w:t>BL-27. Require electronic logging devices that cannot be altered by drivers, dispatchers, or carriers</w:t>
      </w:r>
    </w:p>
    <w:p>
      <w:pPr>
        <w:pStyle w:val="Normal"/>
      </w:pPr>
      <w:r>
        <w:t>Require electronic logging devices that cannot be altered by drivers, dispatchers, or carriers.</w:t>
      </w:r>
    </w:p>
    <w:p>
      <w:pPr>
        <w:pStyle w:val="ClauseLabel"/>
      </w:pPr>
      <w:r>
        <w:t>BL-28. Permit regulators to reconcile ELD records against fuel, toll, GPS, border and delivery records during lawful audits or investigations</w:t>
      </w:r>
    </w:p>
    <w:p>
      <w:pPr>
        <w:pStyle w:val="Normal"/>
      </w:pPr>
      <w:r>
        <w:t>Permit regulators to reconcile ELD records against fuel, toll, GPS, border and delivery records during lawful audits or investigations. This authority does not require continuous government collection of every truck’s location data.</w:t>
      </w:r>
    </w:p>
    <w:p>
      <w:pPr>
        <w:pStyle w:val="ClauseLabel"/>
      </w:pPr>
      <w:r>
        <w:t>BL-29. Prohibit dispatchers from pressuring drivers to falsify logs or continue while fatigued</w:t>
      </w:r>
    </w:p>
    <w:p>
      <w:pPr>
        <w:pStyle w:val="Normal"/>
      </w:pPr>
      <w:r>
        <w:t>Prohibit dispatchers from pressuring drivers to falsify logs or continue while fatigued.</w:t>
      </w:r>
    </w:p>
    <w:p>
      <w:pPr>
        <w:pStyle w:val="ClauseLabel"/>
      </w:pPr>
      <w:r>
        <w:t>BL-30. Require a driver to stop immediately when they determine that fatigue makes driving unsafe</w:t>
      </w:r>
    </w:p>
    <w:p>
      <w:pPr>
        <w:pStyle w:val="Normal"/>
      </w:pPr>
      <w:r>
        <w:t>Require a driver to stop immediately when they determine that fatigue makes driving unsafe.</w:t>
      </w:r>
    </w:p>
    <w:p>
      <w:pPr>
        <w:pStyle w:val="ClauseLabel"/>
      </w:pPr>
      <w:r>
        <w:t>BL-31. Require carriers to plan routes and schedules around reasonably available safe rest opportunities, while Parties improve parking and rest infrastructure</w:t>
      </w:r>
    </w:p>
    <w:p>
      <w:pPr>
        <w:pStyle w:val="Normal"/>
      </w:pPr>
      <w:r>
        <w:t>Require carriers to plan routes and schedules around reasonably available safe rest opportunities, while Parties improve parking and rest infrastructure. A carrier is not required to create facilities it does not control.</w:t>
      </w:r>
    </w:p>
    <w:p>
      <w:pPr>
        <w:pStyle w:val="ClauseLabel"/>
      </w:pPr>
      <w:r>
        <w:t>BL-32. Prohibit payment systems that reward excessive speed, skipped breaks, or hours-of-service violations</w:t>
      </w:r>
    </w:p>
    <w:p>
      <w:pPr>
        <w:pStyle w:val="Normal"/>
      </w:pPr>
      <w:r>
        <w:t>Prohibit payment systems that reward excessive speed, skipped breaks, or hours-of-service violations.</w:t>
      </w:r>
    </w:p>
    <w:p>
      <w:pPr>
        <w:pStyle w:val="ClauseLabel"/>
      </w:pPr>
      <w:r>
        <w:t>BL-33. Require fatigue-risk management plans for carriers operating overnight, remote, or long-haul routes</w:t>
      </w:r>
    </w:p>
    <w:p>
      <w:pPr>
        <w:pStyle w:val="Normal"/>
      </w:pPr>
      <w:r>
        <w:t>Require fatigue-risk management plans for carriers operating overnight, remote, or long-haul routes.</w:t>
      </w:r>
    </w:p>
    <w:p>
      <w:pPr>
        <w:pStyle w:val="ClauseLabel"/>
      </w:pPr>
      <w:r>
        <w:t>BL-34. Require additional rest protections for drivers working rotating shifts</w:t>
      </w:r>
    </w:p>
    <w:p>
      <w:pPr>
        <w:pStyle w:val="Normal"/>
      </w:pPr>
      <w:r>
        <w:t>Require additional rest protections for drivers working rotating shifts.</w:t>
      </w:r>
    </w:p>
    <w:p>
      <w:pPr>
        <w:pStyle w:val="ClauseLabel"/>
      </w:pPr>
      <w:r>
        <w:t>BL-35. Prohibit driving under the influence of alcohol, cannabis, illegal drugs, or impairing medication</w:t>
      </w:r>
    </w:p>
    <w:p>
      <w:pPr>
        <w:pStyle w:val="Normal"/>
      </w:pPr>
      <w:r>
        <w:t>Prohibit driving under the influence of alcohol, cannabis, illegal drugs, or impairing medication.</w:t>
      </w:r>
    </w:p>
    <w:p>
      <w:pPr>
        <w:pStyle w:val="ClauseLabel"/>
      </w:pPr>
      <w:r>
        <w:t>BL-36. Permit lawful, evidence-based impairment testing consistent with privacy, human-rights, collective-bargaining, medication and due-process protections</w:t>
      </w:r>
    </w:p>
    <w:p>
      <w:pPr>
        <w:pStyle w:val="Normal"/>
      </w:pPr>
      <w:r>
        <w:t>Permit lawful, evidence-based impairment testing consistent with privacy, human-rights, collective-bargaining, medication and due-process protections.</w:t>
      </w:r>
    </w:p>
    <w:p>
      <w:pPr>
        <w:pStyle w:val="ClauseLabel"/>
      </w:pPr>
      <w:r>
        <w:t>BL-37. Require immediate post-collision impairment testing after a fatal or serious-injury crash</w:t>
      </w:r>
    </w:p>
    <w:p>
      <w:pPr>
        <w:pStyle w:val="Normal"/>
      </w:pPr>
      <w:r>
        <w:t>Require immediate post-collision impairment testing after a fatal or serious-injury crash.</w:t>
      </w:r>
    </w:p>
    <w:p>
      <w:pPr>
        <w:pStyle w:val="ClauseLabel"/>
      </w:pPr>
      <w:r>
        <w:t>BL-38. Require carriers to maintain confidential procedures for reporting suspected impairment</w:t>
      </w:r>
    </w:p>
    <w:p>
      <w:pPr>
        <w:pStyle w:val="Normal"/>
      </w:pPr>
      <w:r>
        <w:t>Require carriers to maintain confidential procedures for reporting suspected impairment.</w:t>
      </w:r>
    </w:p>
    <w:p>
      <w:pPr>
        <w:pStyle w:val="ClauseLabel"/>
      </w:pPr>
      <w:r>
        <w:t>BL-39. Prohibit drivers from using stimulants as a substitute for legally required rest</w:t>
      </w:r>
    </w:p>
    <w:p>
      <w:pPr>
        <w:pStyle w:val="Normal"/>
      </w:pPr>
      <w:r>
        <w:t>Prohibit drivers from using stimulants as a substitute for legally required rest.</w:t>
      </w:r>
    </w:p>
    <w:p>
      <w:pPr>
        <w:pStyle w:val="ClauseLabel"/>
      </w:pPr>
      <w:r>
        <w:t>BL-40. Require public education explaining that fatigue can impair driving as seriously as alcohol</w:t>
      </w:r>
    </w:p>
    <w:p>
      <w:pPr>
        <w:pStyle w:val="Normal"/>
      </w:pPr>
      <w:r>
        <w:t>Require public education explaining that fatigue can impair driving as seriously as alcohol.</w:t>
      </w:r>
    </w:p>
    <w:p>
      <w:pPr>
        <w:pStyle w:val="ClauseLabel"/>
      </w:pPr>
      <w:r>
        <w:t>BL-41. Require speed-limiting capability where appropriate, with limits established according to vehicle type, route, jurisdiction and safety evidence rather than one immutable continental speed</w:t>
      </w:r>
    </w:p>
    <w:p>
      <w:pPr>
        <w:pStyle w:val="Normal"/>
      </w:pPr>
      <w:r>
        <w:t>Require speed-limiting capability where appropriate, with limits established according to vehicle type, route, jurisdiction and safety evidence rather than one immutable continental speed.</w:t>
      </w:r>
    </w:p>
    <w:p>
      <w:pPr>
        <w:pStyle w:val="ClauseLabel"/>
      </w:pPr>
      <w:r>
        <w:t>BL-42. Require lower truck speed limits on steep grades, sharp curves, urban roads, and high-pedestrian areas</w:t>
      </w:r>
    </w:p>
    <w:p>
      <w:pPr>
        <w:pStyle w:val="Normal"/>
      </w:pPr>
      <w:r>
        <w:t>Require lower truck speed limits on steep grades, sharp curves, urban roads, and high-pedestrian areas.</w:t>
      </w:r>
    </w:p>
    <w:p>
      <w:pPr>
        <w:pStyle w:val="ClauseLabel"/>
      </w:pPr>
      <w:r>
        <w:t>BL-43. Maintain tamper-resistant speed/compliance records sufficient for lawful inspection and investigation without continuous centralized tracking of ordinary compliant drivers</w:t>
      </w:r>
    </w:p>
    <w:p>
      <w:pPr>
        <w:pStyle w:val="Normal"/>
      </w:pPr>
      <w:r>
        <w:t>Maintain tamper-resistant speed/compliance records sufficient for lawful inspection and investigation without continuous centralized tracking of ordinary compliant drivers.</w:t>
      </w:r>
    </w:p>
    <w:p>
      <w:pPr>
        <w:pStyle w:val="ClauseLabel"/>
      </w:pPr>
      <w:r>
        <w:t>BL-44. Prohibit carriers from disabling speed governors without documented regulatory authorization</w:t>
      </w:r>
    </w:p>
    <w:p>
      <w:pPr>
        <w:pStyle w:val="Normal"/>
      </w:pPr>
      <w:r>
        <w:t>Prohibit carriers from disabling speed governors without documented regulatory authorization.</w:t>
      </w:r>
    </w:p>
    <w:p>
      <w:pPr>
        <w:pStyle w:val="ClauseLabel"/>
      </w:pPr>
      <w:r>
        <w:t>BL-45. Require adaptive cruise control to maintain a safe following distance where the technology is installed</w:t>
      </w:r>
    </w:p>
    <w:p>
      <w:pPr>
        <w:pStyle w:val="Normal"/>
      </w:pPr>
      <w:r>
        <w:t>Require adaptive cruise control to maintain a safe following distance where the technology is installed.</w:t>
      </w:r>
    </w:p>
    <w:p>
      <w:pPr>
        <w:pStyle w:val="ClauseLabel"/>
      </w:pPr>
      <w:r>
        <w:t>BL-46. Prohibit reliance on automated driving features when road, weather, or traffic conditions exceed system limits</w:t>
      </w:r>
    </w:p>
    <w:p>
      <w:pPr>
        <w:pStyle w:val="Normal"/>
      </w:pPr>
      <w:r>
        <w:t>Prohibit reliance on automated driving features when road, weather, or traffic conditions exceed system limits.</w:t>
      </w:r>
    </w:p>
    <w:p>
      <w:pPr>
        <w:pStyle w:val="ClauseLabel"/>
      </w:pPr>
      <w:r>
        <w:t>BL-47. Require drivers to reduce speed substantially in rain, snow, ice, fog, dust, smoke, or high winds</w:t>
      </w:r>
    </w:p>
    <w:p>
      <w:pPr>
        <w:pStyle w:val="Normal"/>
      </w:pPr>
      <w:r>
        <w:t>Require drivers to reduce speed substantially in rain, snow, ice, fog, dust, smoke, or high winds.</w:t>
      </w:r>
    </w:p>
    <w:p>
      <w:pPr>
        <w:pStyle w:val="ClauseLabel"/>
      </w:pPr>
      <w:r>
        <w:t>BL-48. Prohibit unsafe overtaking by heavy trucks on designated high-risk roads</w:t>
      </w:r>
    </w:p>
    <w:p>
      <w:pPr>
        <w:pStyle w:val="Normal"/>
      </w:pPr>
      <w:r>
        <w:t>Prohibit unsafe overtaking by heavy trucks on designated high-risk roads.</w:t>
      </w:r>
    </w:p>
    <w:p>
      <w:pPr>
        <w:pStyle w:val="ClauseLabel"/>
      </w:pPr>
      <w:r>
        <w:t>BL-49. Use keep-right or lane-use rules where adopted by the competent road authority, with exceptions for passing, turning, hazards, congestion and route design</w:t>
      </w:r>
    </w:p>
    <w:p>
      <w:pPr>
        <w:pStyle w:val="Normal"/>
      </w:pPr>
      <w:r>
        <w:t>Use keep-right or lane-use rules where adopted by the competent road authority, with exceptions for passing, turning, hazards, congestion and route design.</w:t>
      </w:r>
    </w:p>
    <w:p>
      <w:pPr>
        <w:pStyle w:val="ClauseLabel"/>
      </w:pPr>
      <w:r>
        <w:t>BL-50. Prohibit tailgating and require minimum following distances based on speed, weight, and road conditions</w:t>
      </w:r>
    </w:p>
    <w:p>
      <w:pPr>
        <w:pStyle w:val="Normal"/>
      </w:pPr>
      <w:r>
        <w:t>Prohibit tailgating and require minimum following distances based on speed, weight, and road conditions.</w:t>
      </w:r>
    </w:p>
    <w:p>
      <w:pPr>
        <w:pStyle w:val="ClauseLabel"/>
      </w:pPr>
      <w:r>
        <w:t>BL-51. Require drivers to stop when visibility is insufficient to safely continue</w:t>
      </w:r>
    </w:p>
    <w:p>
      <w:pPr>
        <w:pStyle w:val="Normal"/>
      </w:pPr>
      <w:r>
        <w:t>Require drivers to stop when visibility is insufficient to safely continue.</w:t>
      </w:r>
    </w:p>
    <w:p>
      <w:pPr>
        <w:pStyle w:val="ClauseLabel"/>
      </w:pPr>
      <w:r>
        <w:t>BL-52. Restrict unnecessary engine/exhaust braking where noise creates a material community impact, but never prohibit its use when reasonably necessary for safe vehicle control</w:t>
      </w:r>
    </w:p>
    <w:p>
      <w:pPr>
        <w:pStyle w:val="Normal"/>
      </w:pPr>
      <w:r>
        <w:t>Restrict unnecessary engine/exhaust braking where noise creates a material community impact, but never prohibit its use when reasonably necessary for safe vehicle control.</w:t>
      </w:r>
    </w:p>
    <w:p>
      <w:pPr>
        <w:pStyle w:val="ClauseLabel"/>
      </w:pPr>
      <w:r>
        <w:t>BL-53. Require turn signals well before lane changes, turns, merges, and roadside stops</w:t>
      </w:r>
    </w:p>
    <w:p>
      <w:pPr>
        <w:pStyle w:val="Normal"/>
      </w:pPr>
      <w:r>
        <w:t>Require turn signals well before lane changes, turns, merges, and roadside stops.</w:t>
      </w:r>
    </w:p>
    <w:p>
      <w:pPr>
        <w:pStyle w:val="ClauseLabel"/>
      </w:pPr>
      <w:r>
        <w:t>BL-54. Require drivers to confirm that adjacent lanes are clear using mirrors and approved detection systems</w:t>
      </w:r>
    </w:p>
    <w:p>
      <w:pPr>
        <w:pStyle w:val="Normal"/>
      </w:pPr>
      <w:r>
        <w:t>Require drivers to confirm that adjacent lanes are clear using mirrors and approved detection systems.</w:t>
      </w:r>
    </w:p>
    <w:p>
      <w:pPr>
        <w:pStyle w:val="ClauseLabel"/>
      </w:pPr>
      <w:r>
        <w:t>BL-55. Prohibit handheld phone use, texting, video viewing, and manual device operation while driving</w:t>
      </w:r>
    </w:p>
    <w:p>
      <w:pPr>
        <w:pStyle w:val="Normal"/>
      </w:pPr>
      <w:r>
        <w:t>Prohibit handheld phone use, texting, video viewing, and manual device operation while driving.</w:t>
      </w:r>
    </w:p>
    <w:p>
      <w:pPr>
        <w:pStyle w:val="ClauseLabel"/>
      </w:pPr>
      <w:r>
        <w:t>BL-56. Require hands-free communication systems to be mounted and configured before a trip begins</w:t>
      </w:r>
    </w:p>
    <w:p>
      <w:pPr>
        <w:pStyle w:val="Normal"/>
      </w:pPr>
      <w:r>
        <w:t>Require hands-free communication systems to be mounted and configured before a trip begins.</w:t>
      </w:r>
    </w:p>
    <w:p>
      <w:pPr>
        <w:pStyle w:val="ClauseLabel"/>
      </w:pPr>
      <w:r>
        <w:t>BL-57. Prohibit eating, reading paperwork, grooming, or other distracting activities while moving</w:t>
      </w:r>
    </w:p>
    <w:p>
      <w:pPr>
        <w:pStyle w:val="Normal"/>
      </w:pPr>
      <w:r>
        <w:t>Prohibit eating, reading paperwork, grooming, or other distracting activities while moving.</w:t>
      </w:r>
    </w:p>
    <w:p>
      <w:pPr>
        <w:pStyle w:val="ClauseLabel"/>
      </w:pPr>
      <w:r>
        <w:t>BL-58. Require complete pre-trip inspections and additional walk-arounds after coupling, loading, material incidents or intervals established by regulation rather than after every trivial stop</w:t>
      </w:r>
    </w:p>
    <w:p>
      <w:pPr>
        <w:pStyle w:val="Normal"/>
      </w:pPr>
      <w:r>
        <w:t>Require complete pre-trip inspections and additional walk-arounds after coupling, loading, material incidents or intervals established by regulation rather than after every trivial stop.</w:t>
      </w:r>
    </w:p>
    <w:p>
      <w:pPr>
        <w:pStyle w:val="ClauseLabel"/>
      </w:pPr>
      <w:r>
        <w:t>BL-59. Require drivers to use hazard lights, warning triangles, and reflective equipment during roadside emergencies</w:t>
      </w:r>
    </w:p>
    <w:p>
      <w:pPr>
        <w:pStyle w:val="Normal"/>
      </w:pPr>
      <w:r>
        <w:t>Require drivers to use hazard lights, warning triangles, and reflective equipment during roadside emergencies.</w:t>
      </w:r>
    </w:p>
    <w:p>
      <w:pPr>
        <w:pStyle w:val="ClauseLabel"/>
      </w:pPr>
      <w:r>
        <w:t>BL-60. Prohibit parking, reversing, or loading in locations that obstruct visibility or create an avoidable traffic hazard</w:t>
      </w:r>
    </w:p>
    <w:p>
      <w:pPr>
        <w:pStyle w:val="Normal"/>
      </w:pPr>
      <w:r>
        <w:t>Prohibit parking, reversing, or loading in locations that obstruct visibility or create an avoidable traffic hazard.</w:t>
      </w:r>
    </w:p>
    <w:p>
      <w:pPr>
        <w:pStyle w:val="ClauseLabel"/>
      </w:pPr>
      <w:r>
        <w:t>BL-61. Require automatic emergency braking on newly manufactured heavy vehicles where technically applicable</w:t>
      </w:r>
    </w:p>
    <w:p>
      <w:pPr>
        <w:pStyle w:val="Normal"/>
      </w:pPr>
      <w:r>
        <w:t>Require automatic emergency braking on newly manufactured heavy vehicles where technically applicable. Trailer braking requirements may use functionally equivalent technologies suited to trailer architecture.</w:t>
      </w:r>
    </w:p>
    <w:p>
      <w:pPr>
        <w:pStyle w:val="ClauseLabel"/>
      </w:pPr>
      <w:r>
        <w:t>BL-62. Require forward-collision warning systems on all newly manufactured heavy trucks</w:t>
      </w:r>
    </w:p>
    <w:p>
      <w:pPr>
        <w:pStyle w:val="Normal"/>
      </w:pPr>
      <w:r>
        <w:t>Require forward-collision warning systems on all newly manufactured heavy trucks.</w:t>
      </w:r>
    </w:p>
    <w:p>
      <w:pPr>
        <w:pStyle w:val="ClauseLabel"/>
      </w:pPr>
      <w:r>
        <w:t>BL-63. Require blind-spot detection covering the passenger side and rear trailer area</w:t>
      </w:r>
    </w:p>
    <w:p>
      <w:pPr>
        <w:pStyle w:val="Normal"/>
      </w:pPr>
      <w:r>
        <w:t>Require blind-spot detection covering the passenger side and rear trailer area.</w:t>
      </w:r>
    </w:p>
    <w:p>
      <w:pPr>
        <w:pStyle w:val="ClauseLabel"/>
      </w:pPr>
      <w:r>
        <w:t>BL-64. Require side underride guards on trailers and other vehicles where technically feasible</w:t>
      </w:r>
    </w:p>
    <w:p>
      <w:pPr>
        <w:pStyle w:val="Normal"/>
      </w:pPr>
      <w:r>
        <w:t>Require side underride guards on trailers and other vehicles where technically feasible.</w:t>
      </w:r>
    </w:p>
    <w:p>
      <w:pPr>
        <w:pStyle w:val="ClauseLabel"/>
      </w:pPr>
      <w:r>
        <w:t>BL-65. Require rear underride guards meeting a common tri-national performance standard</w:t>
      </w:r>
    </w:p>
    <w:p>
      <w:pPr>
        <w:pStyle w:val="Normal"/>
      </w:pPr>
      <w:r>
        <w:t>Require rear underride guards meeting a common tri-national performance standard.</w:t>
      </w:r>
    </w:p>
    <w:p>
      <w:pPr>
        <w:pStyle w:val="ClauseLabel"/>
      </w:pPr>
      <w:r>
        <w:t>BL-66. Require conspicuity tape and reflective markings on all trailers and heavy trucks</w:t>
      </w:r>
    </w:p>
    <w:p>
      <w:pPr>
        <w:pStyle w:val="Normal"/>
      </w:pPr>
      <w:r>
        <w:t>Require conspicuity tape and reflective markings on all trailers and heavy trucks.</w:t>
      </w:r>
    </w:p>
    <w:p>
      <w:pPr>
        <w:pStyle w:val="ClauseLabel"/>
      </w:pPr>
      <w:r>
        <w:t>BL-67. Require adequate lighting on the front, rear, sides, mirrors, trailer edges, and license plates</w:t>
      </w:r>
    </w:p>
    <w:p>
      <w:pPr>
        <w:pStyle w:val="Normal"/>
      </w:pPr>
      <w:r>
        <w:t>Require adequate lighting on the front, rear, sides, mirrors, trailer edges, and license plates.</w:t>
      </w:r>
    </w:p>
    <w:p>
      <w:pPr>
        <w:pStyle w:val="ClauseLabel"/>
      </w:pPr>
      <w:r>
        <w:t>BL-68. Require larger or improved mirrors that minimize blind zones around the cab</w:t>
      </w:r>
    </w:p>
    <w:p>
      <w:pPr>
        <w:pStyle w:val="Normal"/>
      </w:pPr>
      <w:r>
        <w:t>Require larger or improved mirrors that minimize blind zones around the cab.</w:t>
      </w:r>
    </w:p>
    <w:p>
      <w:pPr>
        <w:pStyle w:val="ClauseLabel"/>
      </w:pPr>
      <w:r>
        <w:t>BL-69. Require rear cameras or sensor systems that assist drivers while reversing</w:t>
      </w:r>
    </w:p>
    <w:p>
      <w:pPr>
        <w:pStyle w:val="Normal"/>
      </w:pPr>
      <w:r>
        <w:t>Require rear cameras or sensor systems that assist drivers while reversing.</w:t>
      </w:r>
    </w:p>
    <w:p>
      <w:pPr>
        <w:pStyle w:val="ClauseLabel"/>
      </w:pPr>
      <w:r>
        <w:t>BL-70. Require audible and visual reverse warnings in pedestrian-heavy work areas</w:t>
      </w:r>
    </w:p>
    <w:p>
      <w:pPr>
        <w:pStyle w:val="Normal"/>
      </w:pPr>
      <w:r>
        <w:t>Require audible and visual reverse warnings in pedestrian-heavy work areas.</w:t>
      </w:r>
    </w:p>
    <w:p>
      <w:pPr>
        <w:pStyle w:val="ClauseLabel"/>
      </w:pPr>
      <w:r>
        <w:t>BL-71. Require electronic stability control on all eligible heavy trucks</w:t>
      </w:r>
    </w:p>
    <w:p>
      <w:pPr>
        <w:pStyle w:val="Normal"/>
      </w:pPr>
      <w:r>
        <w:t>Require electronic stability control on all eligible heavy trucks.</w:t>
      </w:r>
    </w:p>
    <w:p>
      <w:pPr>
        <w:pStyle w:val="ClauseLabel"/>
      </w:pPr>
      <w:r>
        <w:t>BL-72. Require roll-stability systems on vehicles with high centers of gravity</w:t>
      </w:r>
    </w:p>
    <w:p>
      <w:pPr>
        <w:pStyle w:val="Normal"/>
      </w:pPr>
      <w:r>
        <w:t>Require roll-stability systems on vehicles with high centers of gravity.</w:t>
      </w:r>
    </w:p>
    <w:p>
      <w:pPr>
        <w:pStyle w:val="ClauseLabel"/>
      </w:pPr>
      <w:r>
        <w:t>BL-73. Require tire-pressure monitoring systems on tractors and trailers</w:t>
      </w:r>
    </w:p>
    <w:p>
      <w:pPr>
        <w:pStyle w:val="Normal"/>
      </w:pPr>
      <w:r>
        <w:t>Require tire-pressure monitoring systems on tractors and trailers.</w:t>
      </w:r>
    </w:p>
    <w:p>
      <w:pPr>
        <w:pStyle w:val="ClauseLabel"/>
      </w:pPr>
      <w:r>
        <w:t>BL-74. Merge tire-deflation warning requirements into a broader tractor-and-trailer tire-pressure monitoring and critical-loss alert standard</w:t>
      </w:r>
    </w:p>
    <w:p>
      <w:pPr>
        <w:pStyle w:val="Normal"/>
      </w:pPr>
      <w:r>
        <w:t>Merge tire-deflation warning requirements into a broader tractor-and-trailer tire-pressure monitoring and critical-loss alert standard.</w:t>
      </w:r>
    </w:p>
    <w:p>
      <w:pPr>
        <w:pStyle w:val="ClauseLabel"/>
      </w:pPr>
      <w:r>
        <w:t>BL-75. Require dashboard warnings for brake-system, lighting, steering, and stability-system failures</w:t>
      </w:r>
    </w:p>
    <w:p>
      <w:pPr>
        <w:pStyle w:val="Normal"/>
      </w:pPr>
      <w:r>
        <w:t>Require dashboard warnings for brake-system, lighting, steering, and stability-system failures.</w:t>
      </w:r>
    </w:p>
    <w:p>
      <w:pPr>
        <w:pStyle w:val="ClauseLabel"/>
      </w:pPr>
      <w:r>
        <w:t>BL-76. Prohibit operation when a critical safety warning remains unresolved</w:t>
      </w:r>
    </w:p>
    <w:p>
      <w:pPr>
        <w:pStyle w:val="Normal"/>
      </w:pPr>
      <w:r>
        <w:t>Prohibit operation when a critical safety warning remains unresolved.</w:t>
      </w:r>
    </w:p>
    <w:p>
      <w:pPr>
        <w:pStyle w:val="ClauseLabel"/>
      </w:pPr>
      <w:r>
        <w:t>BL-77. Require safety systems to be protected against unauthorized disabling or tampering</w:t>
      </w:r>
    </w:p>
    <w:p>
      <w:pPr>
        <w:pStyle w:val="Normal"/>
      </w:pPr>
      <w:r>
        <w:t>Require safety systems to be protected against unauthorized disabling or tampering.</w:t>
      </w:r>
    </w:p>
    <w:p>
      <w:pPr>
        <w:pStyle w:val="ClauseLabel"/>
      </w:pPr>
      <w:r>
        <w:t>BL-78. Require manufacturers to report serious safety defects promptly to all three national regulators</w:t>
      </w:r>
    </w:p>
    <w:p>
      <w:pPr>
        <w:pStyle w:val="Normal"/>
      </w:pPr>
      <w:r>
        <w:t>Require manufacturers to report serious safety defects promptly to all three national regulators.</w:t>
      </w:r>
    </w:p>
    <w:p>
      <w:pPr>
        <w:pStyle w:val="ClauseLabel"/>
      </w:pPr>
      <w:r>
        <w:t>BL-79. Require rapid recall notification to carriers, drivers, dealers, and repair facilities</w:t>
      </w:r>
    </w:p>
    <w:p>
      <w:pPr>
        <w:pStyle w:val="Normal"/>
      </w:pPr>
      <w:r>
        <w:t>Require rapid recall notification to carriers, drivers, dealers, and repair facilities.</w:t>
      </w:r>
    </w:p>
    <w:p>
      <w:pPr>
        <w:pStyle w:val="ClauseLabel"/>
      </w:pPr>
      <w:r>
        <w:t>BL-80. Develop standardized, transparent truck safety and crash-avoidance information for fleet purchasers and lessees where methodology is validated and does not mislead consumers</w:t>
      </w:r>
    </w:p>
    <w:p>
      <w:pPr>
        <w:pStyle w:val="Normal"/>
      </w:pPr>
      <w:r>
        <w:t>Develop standardized, transparent truck safety and crash-avoidance information for fleet purchasers and lessees where methodology is validated and does not mislead consumers.</w:t>
      </w:r>
    </w:p>
    <w:p>
      <w:pPr>
        <w:pStyle w:val="ClauseLabel"/>
      </w:pPr>
      <w:r>
        <w:t>BL-81. Require documented pre-trip and post-trip inspections for every tractor and trailer</w:t>
      </w:r>
    </w:p>
    <w:p>
      <w:pPr>
        <w:pStyle w:val="Normal"/>
      </w:pPr>
      <w:r>
        <w:t>Require documented pre-trip and post-trip inspections for every tractor and trailer.</w:t>
      </w:r>
    </w:p>
    <w:p>
      <w:pPr>
        <w:pStyle w:val="ClauseLabel"/>
      </w:pPr>
      <w:r>
        <w:t>BL-82. Require carriers to repair critical defects before the vehicle returns to service</w:t>
      </w:r>
    </w:p>
    <w:p>
      <w:pPr>
        <w:pStyle w:val="Normal"/>
      </w:pPr>
      <w:r>
        <w:t>Require carriers to repair critical defects before the vehicle returns to service.</w:t>
      </w:r>
    </w:p>
    <w:p>
      <w:pPr>
        <w:pStyle w:val="ClauseLabel"/>
      </w:pPr>
      <w:r>
        <w:t>BL-83. Use a standardized daily/pre-trip/post-trip inspection regime without duplicative checklists for the same vehicle condition</w:t>
      </w:r>
    </w:p>
    <w:p>
      <w:pPr>
        <w:pStyle w:val="Normal"/>
      </w:pPr>
      <w:r>
        <w:t>Use a standardized daily/pre-trip/post-trip inspection regime without duplicative checklists for the same vehicle condition.</w:t>
      </w:r>
    </w:p>
    <w:p>
      <w:pPr>
        <w:pStyle w:val="ClauseLabel"/>
      </w:pPr>
      <w:r>
        <w:t>BL-84. Require more frequent inspections for vehicles operating in severe weather, mountainous terrain, or high-mileage service</w:t>
      </w:r>
    </w:p>
    <w:p>
      <w:pPr>
        <w:pStyle w:val="Normal"/>
      </w:pPr>
      <w:r>
        <w:t>Require more frequent inspections for vehicles operating in severe weather, mountainous terrain, or high-mileage service.</w:t>
      </w:r>
    </w:p>
    <w:p>
      <w:pPr>
        <w:pStyle w:val="ClauseLabel"/>
      </w:pPr>
      <w:r>
        <w:t>BL-85. Require annual independent safety inspections by a certified inspector</w:t>
      </w:r>
    </w:p>
    <w:p>
      <w:pPr>
        <w:pStyle w:val="Normal"/>
      </w:pPr>
      <w:r>
        <w:t>Require annual independent safety inspections by a certified inspector.</w:t>
      </w:r>
    </w:p>
    <w:p>
      <w:pPr>
        <w:pStyle w:val="ClauseLabel"/>
      </w:pPr>
      <w:r>
        <w:t>BL-86. Require roadside inspections to use a shared digital record accessible to regulators in all three countries</w:t>
      </w:r>
    </w:p>
    <w:p>
      <w:pPr>
        <w:pStyle w:val="Normal"/>
      </w:pPr>
      <w:r>
        <w:t>Require roadside inspections to use a shared digital record accessible to regulators in all three countries.</w:t>
      </w:r>
    </w:p>
    <w:p>
      <w:pPr>
        <w:pStyle w:val="ClauseLabel"/>
      </w:pPr>
      <w:r>
        <w:t>BL-87. Place any truck with dangerously defective brakes, tires, steering, or coupling equipment out of service immediately</w:t>
      </w:r>
    </w:p>
    <w:p>
      <w:pPr>
        <w:pStyle w:val="Normal"/>
      </w:pPr>
      <w:r>
        <w:t>Place any truck with dangerously defective brakes, tires, steering, or coupling equipment out of service immediately.</w:t>
      </w:r>
    </w:p>
    <w:p>
      <w:pPr>
        <w:pStyle w:val="ClauseLabel"/>
      </w:pPr>
      <w:r>
        <w:t>BL-88. Maintenance-Record Retention for a Defined, Risk-Based Period</w:t>
      </w:r>
    </w:p>
    <w:p>
      <w:pPr>
        <w:pStyle w:val="Normal"/>
      </w:pPr>
      <w:r>
        <w:t>Retain maintenance and inspection records for a reasonable risk-, warranty- and law-based period rather than automatically for the vehicle’s entire physical life plus an arbitrary additional term.</w:t>
      </w:r>
    </w:p>
    <w:p>
      <w:pPr>
        <w:pStyle w:val="ClauseLabel"/>
      </w:pPr>
      <w:r>
        <w:t>BL-89. Require maintenance by qualified personnel and auditable facilities, including competent in-house and independent repair operations</w:t>
      </w:r>
    </w:p>
    <w:p>
      <w:pPr>
        <w:pStyle w:val="Normal"/>
      </w:pPr>
      <w:r>
        <w:t>Require maintenance by qualified personnel and auditable facilities, including competent in-house and independent repair operations; do not require unnecessary exclusive certification monopolies.</w:t>
      </w:r>
    </w:p>
    <w:p>
      <w:pPr>
        <w:pStyle w:val="ClauseLabel"/>
      </w:pPr>
      <w:r>
        <w:t>BL-90. Hold carriers accountable when they knowingly operate vehicles with recurring unresolved defects</w:t>
      </w:r>
    </w:p>
    <w:p>
      <w:pPr>
        <w:pStyle w:val="Normal"/>
      </w:pPr>
      <w:r>
        <w:t>Hold carriers accountable when they knowingly operate vehicles with recurring unresolved defects.</w:t>
      </w:r>
    </w:p>
    <w:p>
      <w:pPr>
        <w:pStyle w:val="ClauseLabel"/>
      </w:pPr>
      <w:r>
        <w:t>BL-91. Require verified cargo mass and safe weight distribution by approved weighing, shipper documentation or another reliable method appropriate to the operation</w:t>
      </w:r>
    </w:p>
    <w:p>
      <w:pPr>
        <w:pStyle w:val="Normal"/>
      </w:pPr>
      <w:r>
        <w:t>Require verified cargo mass and safe weight distribution by approved weighing, shipper documentation or another reliable method appropriate to the operation.</w:t>
      </w:r>
    </w:p>
    <w:p>
      <w:pPr>
        <w:pStyle w:val="ClauseLabel"/>
      </w:pPr>
      <w:r>
        <w:t>BL-92. Require all cargo to be secured according to a harmonized tri-national standard</w:t>
      </w:r>
    </w:p>
    <w:p>
      <w:pPr>
        <w:pStyle w:val="Normal"/>
      </w:pPr>
      <w:r>
        <w:t>Require all cargo to be secured according to a harmonized tri-national standard.</w:t>
      </w:r>
    </w:p>
    <w:p>
      <w:pPr>
        <w:pStyle w:val="ClauseLabel"/>
      </w:pPr>
      <w:r>
        <w:t>BL-93. Inspect securement after loading and at appropriate distance, time or event triggers, especially after conditions capable of shifting cargo</w:t>
      </w:r>
    </w:p>
    <w:p>
      <w:pPr>
        <w:pStyle w:val="Normal"/>
      </w:pPr>
      <w:r>
        <w:t>Inspect securement after loading and at appropriate distance, time or event triggers, especially after conditions capable of shifting cargo; a route change alone is not automatically such a trigger.</w:t>
      </w:r>
    </w:p>
    <w:p>
      <w:pPr>
        <w:pStyle w:val="ClauseLabel"/>
      </w:pPr>
      <w:r>
        <w:t>BL-94. Prohibit operation when cargo has shifted, leaked, exceeded axle limits, or compromised vehicle stability</w:t>
      </w:r>
    </w:p>
    <w:p>
      <w:pPr>
        <w:pStyle w:val="Normal"/>
      </w:pPr>
      <w:r>
        <w:t>Prohibit operation when cargo has shifted, leaked, exceeded axle limits, or compromised vehicle stability.</w:t>
      </w:r>
    </w:p>
    <w:p>
      <w:pPr>
        <w:pStyle w:val="ClauseLabel"/>
      </w:pPr>
      <w:r>
        <w:t>BL-95. Require electronic weight verification at major freight facilities and border crossings</w:t>
      </w:r>
    </w:p>
    <w:p>
      <w:pPr>
        <w:pStyle w:val="Normal"/>
      </w:pPr>
      <w:r>
        <w:t>Require electronic weight verification at major freight facilities and border crossings.</w:t>
      </w:r>
    </w:p>
    <w:p>
      <w:pPr>
        <w:pStyle w:val="ClauseLabel"/>
      </w:pPr>
      <w:r>
        <w:t>BL-96. Require sealed containers to be checked for structural damage before transport</w:t>
      </w:r>
    </w:p>
    <w:p>
      <w:pPr>
        <w:pStyle w:val="Normal"/>
      </w:pPr>
      <w:r>
        <w:t>Require sealed containers to be checked for structural damage before transport.</w:t>
      </w:r>
    </w:p>
    <w:p>
      <w:pPr>
        <w:pStyle w:val="ClauseLabel"/>
      </w:pPr>
      <w:r>
        <w:t>BL-97. Require hazardous-materials shipments to use standardized documentation in English, French, and Spanish where appropriate</w:t>
      </w:r>
    </w:p>
    <w:p>
      <w:pPr>
        <w:pStyle w:val="Normal"/>
      </w:pPr>
      <w:r>
        <w:t>Require hazardous-materials shipments to use standardized documentation in English, French, and Spanish where appropriate.</w:t>
      </w:r>
    </w:p>
    <w:p>
      <w:pPr>
        <w:pStyle w:val="ClauseLabel"/>
      </w:pPr>
      <w:r>
        <w:t>BL-98. Require hazardous-materials drivers and handlers to complete specialized emergency-response training</w:t>
      </w:r>
    </w:p>
    <w:p>
      <w:pPr>
        <w:pStyle w:val="Normal"/>
      </w:pPr>
      <w:r>
        <w:t>Require hazardous-materials drivers and handlers to complete specialized emergency-response training.</w:t>
      </w:r>
    </w:p>
    <w:p>
      <w:pPr>
        <w:pStyle w:val="ClauseLabel"/>
      </w:pPr>
      <w:r>
        <w:t>BL-99. Require carriers to provide first responders with accurate cargo information immediately after a crash</w:t>
      </w:r>
    </w:p>
    <w:p>
      <w:pPr>
        <w:pStyle w:val="Normal"/>
      </w:pPr>
      <w:r>
        <w:t>Require carriers to provide first responders with accurate cargo information immediately after a crash.</w:t>
      </w:r>
    </w:p>
    <w:p>
      <w:pPr>
        <w:pStyle w:val="ClauseLabel"/>
      </w:pPr>
      <w:r>
        <w:t>BL-100. Maintain shared or interoperable public safety data on serious crashes, recalls and carrier-level safety performance while protecting personal information, investigation-sensitive data and legally confidential records</w:t>
      </w:r>
    </w:p>
    <w:p>
      <w:pPr>
        <w:pStyle w:val="Normal"/>
      </w:pPr>
      <w:r>
        <w:t>Maintain shared or interoperable public safety data on serious crashes, recalls and carrier-level safety performance while protecting personal information, investigation-sensitive data and legally confidential records.</w:t>
      </w:r>
    </w:p>
    <w:p>
      <w:pPr>
        <w:pStyle w:val="Heading1"/>
      </w:pPr>
      <w:bookmarkStart w:id="902342" w:name="_Toc300002341"/>
      <w:r>
        <w:t>PACKAGE BM: TRUSTED CONTINENTAL FREIGHT SYSTEM AND SUPPLEMENTARY SAFETY MECHANISMS</w:t>
      </w:r>
      <w:bookmarkEnd w:id="902342"/>
    </w:p>
    <w:p>
      <w:pPr>
        <w:pStyle w:val="Normal"/>
      </w:pPr>
      <w:r>
        <w:t>The Trusted Continental Freight System converts stronger common safety expectations into a trade-facilitation benefit: safe driver + safe vehicle + compliant carrier + valid cargo and credentials should mean less redundant border friction, while enforcement capacity concentrates on demonstrated risk.</w:t>
      </w:r>
    </w:p>
    <w:p>
      <w:pPr>
        <w:pStyle w:val="Heading2"/>
      </w:pPr>
      <w:bookmarkStart w:id="902343" w:name="_Toc300002342"/>
      <w:r>
        <w:t>BM-1. Joint Border Inspection Facilities</w:t>
      </w:r>
      <w:bookmarkEnd w:id="902343"/>
    </w:p>
    <w:p>
      <w:pPr>
        <w:pStyle w:val="Normal"/>
      </w:pPr>
      <w:r>
        <w:t>At high-volume crossings, the Parties should support co-located or interoperable inspection facilities so one competent safety inspection can satisfy both sides’ requirements where legally permissible.</w:t>
      </w:r>
    </w:p>
    <w:p>
      <w:pPr>
        <w:pStyle w:val="Heading2"/>
      </w:pPr>
      <w:bookmarkStart w:id="902344" w:name="_Toc300002343"/>
      <w:r>
        <w:t>BM-2. Unified Out-of-Service Translation</w:t>
      </w:r>
      <w:bookmarkEnd w:id="902344"/>
    </w:p>
    <w:p>
      <w:pPr>
        <w:pStyle w:val="Normal"/>
      </w:pPr>
      <w:r>
        <w:t>Maintain a common or interoperable catalogue of out-of-service conditions so a serious defect recognized by one Party is not treated as harmless merely because the vehicle crossed a border.</w:t>
      </w:r>
    </w:p>
    <w:p>
      <w:pPr>
        <w:pStyle w:val="Heading2"/>
      </w:pPr>
      <w:bookmarkStart w:id="902345" w:name="_Toc300002344"/>
      <w:r>
        <w:t>BM-3. Trusted-Carrier Preclearance</w:t>
      </w:r>
      <w:bookmarkEnd w:id="902345"/>
    </w:p>
    <w:p>
      <w:pPr>
        <w:pStyle w:val="Normal"/>
      </w:pPr>
      <w:r>
        <w:t>Carriers with strong verified safety standing, valid credentials and no material unresolved defects should qualify for expedited preclearance and reduced routine inspection, subject to random or intelligence-led checks.</w:t>
      </w:r>
    </w:p>
    <w:p>
      <w:pPr>
        <w:pStyle w:val="Heading2"/>
      </w:pPr>
      <w:bookmarkStart w:id="902346" w:name="_Toc300002345"/>
      <w:r>
        <w:t>BM-4. Weigh-in-Motion Expansion</w:t>
      </w:r>
      <w:bookmarkEnd w:id="902346"/>
    </w:p>
    <w:p>
      <w:pPr>
        <w:pStyle w:val="Normal"/>
      </w:pPr>
      <w:r>
        <w:t>Deploy weigh-in-motion and other non-stop screening technologies on suitable freight corridors to detect risk while reducing unnecessary stops for compliant trucks.</w:t>
      </w:r>
    </w:p>
    <w:p>
      <w:pPr>
        <w:pStyle w:val="Heading2"/>
      </w:pPr>
      <w:bookmarkStart w:id="902347" w:name="_Toc300002346"/>
      <w:r>
        <w:t>BM-5. Continental Truck Parking Information</w:t>
      </w:r>
      <w:bookmarkEnd w:id="902347"/>
    </w:p>
    <w:p>
      <w:pPr>
        <w:pStyle w:val="Normal"/>
      </w:pPr>
      <w:r>
        <w:t>Support interoperable real-time information on safe truck-parking availability across major freight corridors, including accessible routing to rest areas and emergency pull-offs.</w:t>
      </w:r>
    </w:p>
    <w:p>
      <w:pPr>
        <w:pStyle w:val="Heading2"/>
      </w:pPr>
      <w:bookmarkStart w:id="902348" w:name="_Toc300002347"/>
      <w:r>
        <w:t>BM-6. Rest-Area Electrification</w:t>
      </w:r>
      <w:bookmarkEnd w:id="902348"/>
    </w:p>
    <w:p>
      <w:pPr>
        <w:pStyle w:val="Normal"/>
      </w:pPr>
      <w:r>
        <w:t>Encourage electrified parking and auxiliary-power infrastructure at major rest areas to support driver comfort, reduce idling and make lawful rest more practical.</w:t>
      </w:r>
    </w:p>
    <w:p>
      <w:pPr>
        <w:pStyle w:val="Heading2"/>
      </w:pPr>
      <w:bookmarkStart w:id="902349" w:name="_Toc300002348"/>
      <w:r>
        <w:t>BM-7. Smart Safety Corridors</w:t>
      </w:r>
      <w:bookmarkEnd w:id="902349"/>
    </w:p>
    <w:p>
      <w:pPr>
        <w:pStyle w:val="Normal"/>
      </w:pPr>
      <w:r>
        <w:t>Designate high-volume freight corridors for integrated safety screening, weather warnings, bridge/clearance information, weigh-in-motion, incident alerts and emergency rerouting.</w:t>
      </w:r>
    </w:p>
    <w:p>
      <w:pPr>
        <w:pStyle w:val="Heading2"/>
      </w:pPr>
      <w:bookmarkStart w:id="902350" w:name="_Toc300002349"/>
      <w:r>
        <w:t>BM-8. Hazardous-Materials Response Interoperability</w:t>
      </w:r>
      <w:bookmarkEnd w:id="902350"/>
    </w:p>
    <w:p>
      <w:pPr>
        <w:pStyle w:val="Normal"/>
      </w:pPr>
      <w:r>
        <w:t>Harmonize or cross-recognize core hazardous-material incident documentation, responder information and emergency communication while respecting commodity-specific technical rules.</w:t>
      </w:r>
    </w:p>
    <w:p>
      <w:pPr>
        <w:pStyle w:val="Heading2"/>
      </w:pPr>
      <w:bookmarkStart w:id="902351" w:name="_Toc300002350"/>
      <w:r>
        <w:t>BM-9. Cross-Border Recall Alerting</w:t>
      </w:r>
      <w:bookmarkEnd w:id="902351"/>
    </w:p>
    <w:p>
      <w:pPr>
        <w:pStyle w:val="Normal"/>
      </w:pPr>
      <w:r>
        <w:t>A serious truck or component recall with cross-border market relevance should trigger rapid regulator-to-regulator and carrier/dealer notification using risk-based repair and inspection deadlines.</w:t>
      </w:r>
    </w:p>
    <w:p>
      <w:pPr>
        <w:pStyle w:val="Heading2"/>
      </w:pPr>
      <w:bookmarkStart w:id="902352" w:name="_Toc300002351"/>
      <w:r>
        <w:t>BM-10. Emergency Towing and Clearance Planning</w:t>
      </w:r>
      <w:bookmarkEnd w:id="902352"/>
    </w:p>
    <w:p>
      <w:pPr>
        <w:pStyle w:val="Normal"/>
      </w:pPr>
      <w:r>
        <w:t>Major crossings and freight corridors should maintain pre-planned heavy recovery capability and incident-clearance procedures without guaranteeing unrealistic universal response times.</w:t>
      </w:r>
    </w:p>
    <w:p>
      <w:pPr>
        <w:pStyle w:val="Heading2"/>
      </w:pPr>
      <w:bookmarkStart w:id="902353" w:name="_Toc300002352"/>
      <w:r>
        <w:t>BM-11. Crash Data Harmonization</w:t>
      </w:r>
      <w:bookmarkEnd w:id="902353"/>
    </w:p>
    <w:p>
      <w:pPr>
        <w:pStyle w:val="Normal"/>
      </w:pPr>
      <w:r>
        <w:t>Use common minimum crash-data fields and definitions to support comparable analysis across the three Parties while retaining jurisdiction-specific reporting where necessary.</w:t>
      </w:r>
    </w:p>
    <w:p>
      <w:pPr>
        <w:pStyle w:val="Heading2"/>
      </w:pPr>
      <w:bookmarkStart w:id="902354" w:name="_Toc300002353"/>
      <w:r>
        <w:t>BM-12. Cross-Border Serious-Crash Notification</w:t>
      </w:r>
      <w:bookmarkEnd w:id="902354"/>
    </w:p>
    <w:p>
      <w:pPr>
        <w:pStyle w:val="Normal"/>
      </w:pPr>
      <w:r>
        <w:t>Notify another Party when a serious crash creates a material cross-border interest through the carrier, driver, vehicle, cargo, origin, destination or safety defect; purely domestic crashes need not be broadcast continent-wide.</w:t>
      </w:r>
    </w:p>
    <w:p>
      <w:pPr>
        <w:pStyle w:val="Heading2"/>
      </w:pPr>
      <w:bookmarkStart w:id="902355" w:name="_Toc300002354"/>
      <w:r>
        <w:t>BM-13. Carrier Safety Rating Interoperability</w:t>
      </w:r>
      <w:bookmarkEnd w:id="902355"/>
    </w:p>
    <w:p>
      <w:pPr>
        <w:pStyle w:val="Normal"/>
      </w:pPr>
      <w:r>
        <w:t>Develop a translation or equivalence method among national carrier-safety systems so trusted status and serious risk indicators can be understood across borders without replacing every domestic rating program.</w:t>
      </w:r>
    </w:p>
    <w:p>
      <w:pPr>
        <w:pStyle w:val="Heading2"/>
      </w:pPr>
      <w:bookmarkStart w:id="902356" w:name="_Toc300002355"/>
      <w:r>
        <w:t>BM-14. Digital Commercial Vehicle Credential</w:t>
      </w:r>
      <w:bookmarkEnd w:id="902356"/>
    </w:p>
    <w:p>
      <w:pPr>
        <w:pStyle w:val="Normal"/>
      </w:pPr>
      <w:r>
        <w:t>Support a tamper-resistant interoperable digital credential capable of verifying vehicle registration, inspection status, insurance, carrier standing and other approved attributes without exposing unnecessary personal or commercial data.</w:t>
      </w:r>
    </w:p>
    <w:p>
      <w:pPr>
        <w:pStyle w:val="Heading2"/>
      </w:pPr>
      <w:bookmarkStart w:id="902357" w:name="_Toc300002356"/>
      <w:r>
        <w:t>BM-15. First-Responder Cargo Access</w:t>
      </w:r>
      <w:bookmarkEnd w:id="902357"/>
    </w:p>
    <w:p>
      <w:pPr>
        <w:pStyle w:val="Normal"/>
      </w:pPr>
      <w:r>
        <w:t>For dangerous or emergency-relevant loads, first responders should receive rapid, accurate cargo information through secure and resilient channels after an incident.</w:t>
      </w:r>
    </w:p>
    <w:p>
      <w:pPr>
        <w:pStyle w:val="Heading2"/>
      </w:pPr>
      <w:bookmarkStart w:id="902358" w:name="_Toc300002357"/>
      <w:r>
        <w:t>BM-16. Truck Safety Research Data</w:t>
      </w:r>
      <w:bookmarkEnd w:id="902358"/>
    </w:p>
    <w:p>
      <w:pPr>
        <w:pStyle w:val="Normal"/>
      </w:pPr>
      <w:r>
        <w:t>Provide privacy-protected and appropriately anonymized safety data for researchers, regulators and standards bodies to evaluate whether interventions reduce fatalities, injuries, fatigue, defects and cargo failures.</w:t>
      </w:r>
    </w:p>
    <w:p>
      <w:pPr>
        <w:pStyle w:val="Heading2"/>
      </w:pPr>
      <w:bookmarkStart w:id="902359" w:name="_Toc300002358"/>
      <w:r>
        <w:t>BM-17. Safety Outcome Reporting</w:t>
      </w:r>
      <w:bookmarkEnd w:id="902359"/>
    </w:p>
    <w:p>
      <w:pPr>
        <w:pStyle w:val="Normal"/>
      </w:pPr>
      <w:r>
        <w:t>Publish regular comparable safety indicators and explain material trends, including whether enforcement measures are reducing serious crashes rather than merely increasing citation counts.</w:t>
      </w:r>
    </w:p>
    <w:p>
      <w:pPr>
        <w:pStyle w:val="Heading2"/>
      </w:pPr>
      <w:bookmarkStart w:id="902360" w:name="_Toc300002359"/>
      <w:r>
        <w:t>BM-18. Phase-In for Legacy Fleets</w:t>
      </w:r>
      <w:bookmarkEnd w:id="902360"/>
    </w:p>
    <w:p>
      <w:pPr>
        <w:pStyle w:val="Normal"/>
      </w:pPr>
      <w:r>
        <w:t>Apply the strongest technically feasible requirements to new vehicles first and use evidence-based retrofit, inspection or replacement pathways for older vehicles rather than arbitrary age-based retirement.</w:t>
      </w:r>
    </w:p>
    <w:p>
      <w:pPr>
        <w:pStyle w:val="Heading2"/>
      </w:pPr>
      <w:bookmarkStart w:id="902361" w:name="_Toc300002360"/>
      <w:r>
        <w:t>BM-19. Human-Trafficking and Exploitation Awareness</w:t>
      </w:r>
      <w:bookmarkEnd w:id="902361"/>
    </w:p>
    <w:p>
      <w:pPr>
        <w:pStyle w:val="Normal"/>
      </w:pPr>
      <w:r>
        <w:t>Provide concise practical awareness and reporting information for commercial drivers and freight workers who may encounter trafficking, coercion or severe exploitation along freight corridors, using existing competent authorities where possible.</w:t>
      </w:r>
    </w:p>
    <w:p>
      <w:pPr>
        <w:pStyle w:val="Heading2"/>
      </w:pPr>
      <w:bookmarkStart w:id="902362" w:name="_Toc300002361"/>
      <w:r>
        <w:t>BM-20. No Committee Bloat</w:t>
      </w:r>
      <w:bookmarkEnd w:id="902362"/>
    </w:p>
    <w:p>
      <w:pPr>
        <w:pStyle w:val="Normal"/>
      </w:pPr>
      <w:r>
        <w:t>Transportation safety cooperation should be administered by existing regulators, designated contact points, the Secretariat and Cothrom. Temporary expert groups may be convened for defined technical questions and dissolved when their task ends.</w:t>
      </w:r>
    </w:p>
    <w:p>
      <w:pPr>
        <w:pStyle w:val="Heading2"/>
      </w:pPr>
      <w:bookmarkStart w:id="902363" w:name="_Toc300002362"/>
      <w:r>
        <w:t>BM-21. Trusted Freight Decision Logic</w:t>
      </w:r>
      <w:bookmarkEnd w:id="902363"/>
    </w:p>
    <w:p>
      <w:pPr>
        <w:pStyle w:val="Normal"/>
      </w:pPr>
      <w:r>
        <w:t>Where approved systems confirm that the driver is qualified, medical fitness credential is valid, hours status is compliant, vehicle inspection is current, no critical unresolved recall or defect is present, carrier safety standing is acceptable, cargo requirements are satisfied, and registration/insurance credentials are valid, the vehicle should be eligible for expedited processing subject to lawful random or intelligence-led checks. Missing or questionable information may trigger secondary inspection; serious safety defects, suspensions, falsified credentials or other disqualifying conditions require stop or out-of-service action.</w:t>
      </w:r>
    </w:p>
    <w:p>
      <w:pPr>
        <w:pStyle w:val="Heading2"/>
      </w:pPr>
      <w:bookmarkStart w:id="902364" w:name="_Toc300002363"/>
      <w:r>
        <w:t>BM-22. Safety as a Reciprocal Bargain</w:t>
      </w:r>
      <w:bookmarkEnd w:id="902364"/>
    </w:p>
    <w:p>
      <w:pPr>
        <w:pStyle w:val="Normal"/>
      </w:pPr>
      <w:r>
        <w:t>The Parties recognize that stronger interoperable safety rules are more durable when paired with concrete facilitation for operators that demonstrably meet them. Mutual recognition, preclearance, reduced duplicative inspection and faster correction of erroneous records are therefore integral parts of the safety architecture rather than optional favors.</w:t>
      </w:r>
    </w:p>
    <w:p>
      <w:pPr>
        <w:pStyle w:val="Heading1"/>
      </w:pPr>
      <w:bookmarkStart w:id="902365" w:name="_Toc300002364"/>
      <w:r>
        <w:t>PACKAGE BM-A: OPTIONAL U.S. SUV EXHAUST MANUFACTURING CARROT</w:t>
      </w:r>
      <w:bookmarkEnd w:id="902365"/>
    </w:p>
    <w:p>
      <w:pPr>
        <w:pStyle w:val="Normal"/>
      </w:pPr>
      <w:r>
        <w:t>Status. This Package is an optional negotiated automotive module and does not take effect unless Canada, Mexico and the United States expressly activate it together with the paired United States automotive tariff settlement described below. It is not a condition of the Agreement’s ordinary 75% (75 percent) Standard Tier treatment.</w:t>
      </w:r>
    </w:p>
    <w:p>
      <w:pPr>
        <w:pStyle w:val="Heading2"/>
      </w:pPr>
      <w:bookmarkStart w:id="902366" w:name="_Toc300002365"/>
      <w:r>
        <w:t>BM-A.1. Purpose</w:t>
      </w:r>
      <w:bookmarkEnd w:id="902366"/>
    </w:p>
    <w:p>
      <w:pPr>
        <w:pStyle w:val="Normal"/>
      </w:pPr>
      <w:r>
        <w:t>The Parties may use this Module to provide the United States with a visible, measurable and tightly bounded automotive-manufacturing gain while preserving the Agreement’s general North American rules of origin and the integrated Canadian, Mexican and United States automotive production base.</w:t>
      </w:r>
    </w:p>
    <w:p>
      <w:pPr>
        <w:pStyle w:val="Heading2"/>
      </w:pPr>
      <w:bookmarkStart w:id="902367" w:name="_Toc300002366"/>
      <w:r>
        <w:t>BM-A.2. Covered Vehicle Class</w:t>
      </w:r>
      <w:bookmarkEnd w:id="902367"/>
    </w:p>
    <w:p>
      <w:pPr>
        <w:pStyle w:val="Normal"/>
      </w:pPr>
      <w:r>
        <w:t>This Module applies only to a defined SUV category agreed in the implementing schedule. The definition shall be based on objective vehicle characteristics and tariff classifications and shall not be administratively expanded to pickups, vans, passenger cars, medium-duty vehicles, heavy-duty vehicles or other vehicle classes merely to enlarge the commitment. Crossovers or other borderline vehicles shall be treated according to the agreed technical definition rather than marketing labels.</w:t>
      </w:r>
    </w:p>
    <w:p>
      <w:pPr>
        <w:pStyle w:val="Heading2"/>
      </w:pPr>
      <w:bookmarkStart w:id="902368" w:name="_Toc300002367"/>
      <w:r>
        <w:t>BM-A.3. Covered Component</w:t>
      </w:r>
      <w:bookmarkEnd w:id="902368"/>
    </w:p>
    <w:p>
      <w:pPr>
        <w:pStyle w:val="Normal"/>
      </w:pPr>
      <w:r>
        <w:t>The initial and only automatically designated component is the original-equipment silencer or muffler assembly used on a Covered SUV and falling within the agreed portion of HS subheading 8708.92. Exhaust pipes, catalytic converters, emissions-control electronics, sensors and other exhaust-system components are excluded unless the Parties expressly agree otherwise. A battery-electric vehicle or other vehicle that does not use a conventional silencer or muffler assembly has no artificial sourcing obligation under this Module.</w:t>
      </w:r>
    </w:p>
    <w:p>
      <w:pPr>
        <w:pStyle w:val="TrumpVisibilityHeadline"/>
      </w:pPr>
      <w:r>
        <w:t xml:space="preserve">★ </w:t>
      </w:r>
      <w:r>
        <w:t>VISIBLE U.S. WIN: 70% U.S.-MANUFACTURED SUV MUFFLERS UNDER THE OPTIONAL AUTO BARGAIN</w:t>
      </w:r>
    </w:p>
    <w:p>
      <w:pPr>
        <w:pStyle w:val="Heading2"/>
      </w:pPr>
      <w:bookmarkStart w:id="902369" w:name="_Toc300002368"/>
      <w:r>
        <w:t>BM-A.4. Seventy-Percent U.S. Manufacturing Commitment</w:t>
      </w:r>
      <w:bookmarkEnd w:id="902369"/>
    </w:p>
    <w:p>
      <w:pPr>
        <w:pStyle w:val="Normal"/>
      </w:pPr>
      <w:r>
        <w:t>For Covered SUVs subject to this Module, participating vehicle producers shall source not less than 70% (70 percent), measured by value of annual qualifying original-equipment silencer or muffler purchases for those Covered SUVs, from qualifying production facilities located in the United States. An implementing schedule may permit an equivalent unit-based calculation where it produces a materially equivalent result and is easier to verify.</w:t>
      </w:r>
    </w:p>
    <w:p>
      <w:pPr>
        <w:pStyle w:val="Heading2"/>
      </w:pPr>
      <w:bookmarkStart w:id="902370" w:name="_Toc300002369"/>
      <w:r>
        <w:t>BM-A.5. Meaning of U.S.-Manufactured</w:t>
      </w:r>
      <w:bookmarkEnd w:id="902370"/>
    </w:p>
    <w:p>
      <w:pPr>
        <w:pStyle w:val="Normal"/>
      </w:pPr>
      <w:r>
        <w:t>A silencer or muffler shall qualify as U.S.-manufactured only where substantial manufacturing or assembly sufficient to satisfy the agreed production test occurs at a facility in the United States. Mere transshipment, packaging, labeling, warehousing, minor finishing or nominal processing shall not satisfy the requirement. Origin verification shall use existing customs and automotive verification institutions wherever practicable.</w:t>
      </w:r>
    </w:p>
    <w:p>
      <w:pPr>
        <w:pStyle w:val="Heading2"/>
      </w:pPr>
      <w:bookmarkStart w:id="902371" w:name="_Toc300002370"/>
      <w:r>
        <w:t>BM-A.6. North American Origin Preserved</w:t>
      </w:r>
      <w:bookmarkEnd w:id="902371"/>
    </w:p>
    <w:p>
      <w:pPr>
        <w:pStyle w:val="Normal"/>
      </w:pPr>
      <w:r>
        <w:t>Nothing in this Module shall cause a Canadian-origin or Mexican-origin silencer, muffler or other automotive component to cease being North American content for purposes of the Agreement’s ordinary rules of origin. This Module creates a separately negotiated sourcing commitment for a limited vehicle class; it shall not alter the calculation of the 75% (75 percent) Standard Tier RVC or establish a general rule that content from one Party is more originating than content from another Party.</w:t>
      </w:r>
    </w:p>
    <w:p>
      <w:pPr>
        <w:pStyle w:val="Heading2"/>
      </w:pPr>
      <w:bookmarkStart w:id="902372" w:name="_Toc300002371"/>
      <w:r>
        <w:t>BM-A.7. Paired United States Consideration</w:t>
      </w:r>
      <w:bookmarkEnd w:id="902372"/>
    </w:p>
    <w:p>
      <w:pPr>
        <w:pStyle w:val="Normal"/>
      </w:pPr>
      <w:r>
        <w:t>The 70% (70 percent) U.S. manufacturing commitment shall activate only simultaneously with the verified withdrawal, suspension or legally durable neutralization of the United States extraordinary automotive tariff measure or measures identified in the implementing schedule, together with restoration of the agreed zero-duty treatment for qualifying NAESTMA-originating vehicles and covered automotive parts. A mere reduction of the paired extraordinary tariff shall not activate this Module unless Canada and Mexico expressly agree.</w:t>
      </w:r>
    </w:p>
    <w:p>
      <w:pPr>
        <w:pStyle w:val="Heading2"/>
      </w:pPr>
      <w:bookmarkStart w:id="902373" w:name="_Toc300002372"/>
      <w:r>
        <w:t>BM-A.8. No Uncompensated Front-Loading and Automatic Step-Back</w:t>
      </w:r>
      <w:bookmarkEnd w:id="902373"/>
    </w:p>
    <w:p>
      <w:pPr>
        <w:pStyle w:val="Normal"/>
      </w:pPr>
      <w:r>
        <w:t>No producer, Canada or Mexico shall be required to front-load the sourcing commitment before the paired United States consideration is effective. If the paired United States tariff treatment is withdrawn, materially impaired or reimposed contrary to the settlement, the corresponding sourcing commitment shall pause proportionally after verification and any applicable short cure period, and shall restore automatically when paired performance resumes, using the Agreement’s existing Cothrom and step-back/earn-back architecture.</w:t>
      </w:r>
    </w:p>
    <w:p>
      <w:pPr>
        <w:pStyle w:val="Heading2"/>
      </w:pPr>
      <w:bookmarkStart w:id="902374" w:name="_Toc300002373"/>
      <w:r>
        <w:t>BM-A.9. Transition and Existing Contracts</w:t>
      </w:r>
      <w:bookmarkEnd w:id="902374"/>
    </w:p>
    <w:p>
      <w:pPr>
        <w:pStyle w:val="Normal"/>
      </w:pPr>
      <w:r>
        <w:t>Implementation shall provide a commercially reasonable transition for existing supplier contracts, tooling, validation, warranty, emissions certification and production planning. The Module should preferentially generate new U.S. production, expanded U.S. capacity or orderly future sourcing rather than require abrupt cancellation of lawful pre-existing Canadian or Mexican contracts where equivalent performance can be achieved through phase-in.</w:t>
      </w:r>
    </w:p>
    <w:p>
      <w:pPr>
        <w:pStyle w:val="Heading2"/>
      </w:pPr>
      <w:bookmarkStart w:id="902375" w:name="_Toc300002374"/>
      <w:r>
        <w:t>BM-A.10. Capacity, Quality and Safety Exception</w:t>
      </w:r>
      <w:bookmarkEnd w:id="902375"/>
    </w:p>
    <w:p>
      <w:pPr>
        <w:pStyle w:val="Normal"/>
      </w:pPr>
      <w:r>
        <w:t>A temporary shortfall shall not constitute non-compliance where qualifying U.S. supply is unavailable in sufficient commercial quantity, quality, safety, emissions-certification status or delivery timing and the producer has made documented commercially reasonable efforts to comply. Any exception shall be narrow, time-limited, reviewable and designed to prevent strategic underinvestment or artificial shortage claims.</w:t>
      </w:r>
    </w:p>
    <w:p>
      <w:pPr>
        <w:pStyle w:val="Heading2"/>
      </w:pPr>
      <w:bookmarkStart w:id="902376" w:name="_Toc300002375"/>
      <w:r>
        <w:t>BM-A.11. Three-Component Absolute Ceiling</w:t>
      </w:r>
      <w:bookmarkEnd w:id="902376"/>
    </w:p>
    <w:p>
      <w:pPr>
        <w:pStyle w:val="Normal"/>
      </w:pPr>
      <w:r>
        <w:t>No more than three component categories may ever be designated for Party-specific United States sourcing under this optional architecture at one time. The silencer or muffler category occupies the first slot. The second and third slots remain unassigned and may be activated only by express trilateral agreement in exchange for additional reciprocal consideration. Their existence creates no presumption that they must be filled.</w:t>
      </w:r>
    </w:p>
    <w:p>
      <w:pPr>
        <w:pStyle w:val="Heading2"/>
      </w:pPr>
      <w:bookmarkStart w:id="902377" w:name="_Toc300002376"/>
      <w:r>
        <w:t>BM-A.12. Strategic-Component Firewall</w:t>
      </w:r>
      <w:bookmarkEnd w:id="902377"/>
    </w:p>
    <w:p>
      <w:pPr>
        <w:pStyle w:val="Normal"/>
      </w:pPr>
      <w:r>
        <w:t>The following shall not be designated through the second or third slot under this Module: engines; transmissions; traction batteries or advanced batteries; semiconductors; electric traction motors; complete body or chassis systems; core steering, suspension or axle systems; final vehicle assembly; or any other component whose designation would materially transfer strategic control of the Canadian or Mexican automotive industrial base. Steel and aluminum remain governed by their separately negotiated rules.</w:t>
      </w:r>
    </w:p>
    <w:p>
      <w:pPr>
        <w:pStyle w:val="Heading2"/>
      </w:pPr>
      <w:bookmarkStart w:id="902378" w:name="_Toc300002377"/>
      <w:r>
        <w:t>BM-A.13. No Precedent and Anti-Salami-Slicing Rule</w:t>
      </w:r>
      <w:bookmarkEnd w:id="902378"/>
    </w:p>
    <w:p>
      <w:pPr>
        <w:pStyle w:val="Normal"/>
      </w:pPr>
      <w:r>
        <w:t>This Module is a bounded negotiated exception and shall not be interpreted as recognition of a general entitlement to single-Party content requirements. No Party may use the initial muffler commitment, an unused component slot, administrative guidance, model reclassification or technical rulemaking to expand the commitment beyond its expressly negotiated scope.</w:t>
      </w:r>
    </w:p>
    <w:p>
      <w:pPr>
        <w:pStyle w:val="Heading2"/>
      </w:pPr>
      <w:bookmarkStart w:id="902379" w:name="_Toc300002378"/>
      <w:r>
        <w:t>BM-A.14. Review and Technological Sunset</w:t>
      </w:r>
      <w:bookmarkEnd w:id="902379"/>
    </w:p>
    <w:p>
      <w:pPr>
        <w:pStyle w:val="Normal"/>
      </w:pPr>
      <w:r>
        <w:t>The Parties shall review the Module periodically for sourcing effects, consumer cost, producer disruption, U.S. investment and employment, Canadian and Mexican supplier effects, circumvention and technological relevance. The implementing schedule shall establish a fixed review or sunset period and may provide an earlier sunset or orderly reduction when conventional exhaust-equipped Covered SUVs fall below an agreed share of North American new-vehicle production. No Party shall require a vehicle without a functional need for a muffler to install one for compliance.</w:t>
      </w:r>
    </w:p>
    <w:p>
      <w:pPr>
        <w:pStyle w:val="Heading2"/>
      </w:pPr>
      <w:bookmarkStart w:id="902380" w:name="_Toc300002379"/>
      <w:r>
        <w:t>BM-A.15. Consumer-Cost and Competition Safeguard</w:t>
      </w:r>
      <w:bookmarkEnd w:id="902380"/>
    </w:p>
    <w:p>
      <w:pPr>
        <w:pStyle w:val="Normal"/>
      </w:pPr>
      <w:r>
        <w:t>The Parties shall monitor whether the commitment produces material price inflation, artificial scarcity, supplier concentration or quality degradation. Where a persistent market failure is independently verified, the Parties shall first use capacity expansion, transition flexibility or a narrow temporary adjustment rather than broaden the sourcing mandate to other components.</w:t>
      </w:r>
    </w:p>
    <w:p>
      <w:pPr>
        <w:pStyle w:val="Heading2"/>
      </w:pPr>
      <w:bookmarkStart w:id="902381" w:name="_Toc300002380"/>
      <w:r>
        <w:t>BM-A.16. Governing Bargain</w:t>
      </w:r>
      <w:bookmarkEnd w:id="902381"/>
    </w:p>
    <w:p>
      <w:pPr>
        <w:pStyle w:val="Normal"/>
      </w:pPr>
      <w:r>
        <w:t>The governing bargain is limited and reciprocal: the United States receives a measurable manufacturing preference for a defined, non-core component used in a defined SUV category; Canada and Mexico receive the paired durable automotive tariff settlement; ordinary North American origin remains intact; and any future expansion requires a new trilateral bargain rather than automatic escalation.</w:t>
      </w:r>
    </w:p>
    <w:p>
      <w:pPr>
        <w:pStyle w:val="Normal"/>
      </w:pPr>
      <w:r>
        <w:t>This begins the distributed NAESTMA immigration and humanitarian architecture. Continue through Packages BQ, BS, BW, and BX. Chapter 16 separately governs temporary entry for business persons.</w:t>
      </w:r>
    </w:p>
    <w:p>
      <w:pPr>
        <w:pStyle w:val="TrumpVisibilityHeadline"/>
      </w:pPr>
      <w:r>
        <w:t>SEARCH SIGNPOST: IMMIGRATION / MIGRATION / ASYLUM / REFUGEE / DETENTION / REMOVAL / DEPORTATION / FAMILY UNITY / HUMANITARIAN PROTECTION</w:t>
      </w:r>
    </w:p>
    <w:p>
      <w:pPr>
        <w:pStyle w:val="Heading1"/>
      </w:pPr>
      <w:bookmarkStart w:id="902382" w:name="_Toc300002381"/>
      <w:r>
        <w:t>PACKAGE BN: NORTH AMERICAN MOBILITY, MIGRATION, HUMAN DIGNITY AND LAWFUL ADMINISTRATION FRAMEWORK</w:t>
      </w:r>
      <w:bookmarkEnd w:id="902382"/>
    </w:p>
    <w:p>
      <w:pPr>
        <w:pStyle w:val="Normal"/>
      </w:pPr>
      <w:r>
        <w:rPr>
          <w:b/>
        </w:rPr>
        <w:t xml:space="preserve">BN-1. Purpose and Character. </w:t>
      </w:r>
      <w:r>
        <w:t>The Parties shall cooperate to expand lawful mobility, improve orderly migration administration, protect persons from exploitation and serious harm, strengthen legitimate enforcement, and preserve human dignity. Nothing in this Package shall be interpreted as eliminating lawful immigration administration or preventing the investigation and prosecution of serious criminal conduct.</w:t>
      </w:r>
    </w:p>
    <w:p>
      <w:pPr>
        <w:pStyle w:val="Normal"/>
      </w:pPr>
      <w:r>
        <w:rPr>
          <w:b/>
        </w:rPr>
        <w:t xml:space="preserve">BN-2. Sovereign Admission Firewall. </w:t>
      </w:r>
      <w:r>
        <w:t>Each Party retains ultimate authority under its law over admission, visas, temporary status, permanent residence, removal and citizenship, except to the extent of specific reciprocal commitments expressly undertaken under this Agreement.</w:t>
      </w:r>
    </w:p>
    <w:p>
      <w:pPr>
        <w:pStyle w:val="Normal"/>
      </w:pPr>
      <w:r>
        <w:rPr>
          <w:b/>
        </w:rPr>
        <w:t xml:space="preserve">BN-3. Civil Immigration Power-Separation Doctrine. </w:t>
      </w:r>
      <w:r>
        <w:t>No Party shall concentrate civil immigration policing, detention decision-making, asylum adjudication, criminal prosecution, intelligence collection and final review of removal within a single authority in a manner that eliminates effective functional independence, meaningful external review or judicial protection.</w:t>
      </w:r>
    </w:p>
    <w:p>
      <w:pPr>
        <w:pStyle w:val="Normal"/>
      </w:pPr>
      <w:r>
        <w:rPr>
          <w:b/>
        </w:rPr>
        <w:t xml:space="preserve">BN-4. Civil Immigration Non-Police Doctrine. </w:t>
      </w:r>
      <w:r>
        <w:t>Authority to administer civil immigration law shall not itself confer general criminal-police authority, nor shall civil immigration powers be used principally to circumvent procedural protections applicable to ordinary criminal investigation or prosecution.</w:t>
      </w:r>
    </w:p>
    <w:p>
      <w:pPr>
        <w:pStyle w:val="Normal"/>
      </w:pPr>
      <w:r>
        <w:rPr>
          <w:b/>
        </w:rPr>
        <w:t xml:space="preserve">BN-5. Individualized Administration. </w:t>
      </w:r>
      <w:r>
        <w:t>Civil immigration enforcement should be individualized, evidence-based, reviewable and proportionate. Race, ethnicity, religion, language, nationality, Indigenous identity or appearance shall not by itself constitute a sufficient basis for immigration enforcement.</w:t>
      </w:r>
    </w:p>
    <w:p>
      <w:pPr>
        <w:pStyle w:val="Normal"/>
      </w:pPr>
      <w:r>
        <w:rPr>
          <w:b/>
        </w:rPr>
        <w:t xml:space="preserve">BN-6. Human Being Not a Trade Concession. </w:t>
      </w:r>
      <w:r>
        <w:t>No person's visa, asylum claim, humanitarian protection, detention, removal, family status or other individual immigration outcome shall be offered, withheld, suspended or manipulated to obtain an unrelated tariff, procurement, mineral, energy or other commercial concession.</w:t>
      </w:r>
    </w:p>
    <w:p>
      <w:pPr>
        <w:pStyle w:val="Normal"/>
      </w:pPr>
      <w:r>
        <w:rPr>
          <w:b/>
        </w:rPr>
        <w:t xml:space="preserve">BN-7. Human-Rights Floor Regardless of Status. </w:t>
      </w:r>
      <w:r>
        <w:t>Minimum protections concerning humane custody, emergency care, child protection, non-discrimination, access to counsel or legal information where required by law, and protection against abuse shall apply without regard to nationality and shall not depend upon the ultimate success of a person's immigration claim.</w:t>
      </w:r>
    </w:p>
    <w:p>
      <w:pPr>
        <w:pStyle w:val="Normal"/>
      </w:pPr>
      <w:r>
        <w:rPr>
          <w:b/>
        </w:rPr>
        <w:t xml:space="preserve">BN-8. Humanitarian and Life-Safety Firewall. </w:t>
      </w:r>
      <w:r>
        <w:t>Emergency medicine, disaster response, essential food, humanitarian relief, refugee protection and other life-safety cooperation shall not be suspended or withheld as economic retaliation for a migration-policy dispute.</w:t>
      </w:r>
    </w:p>
    <w:p>
      <w:pPr>
        <w:pStyle w:val="Normal"/>
      </w:pPr>
      <w:r>
        <w:rPr>
          <w:b/>
        </w:rPr>
        <w:t xml:space="preserve">BN-9. No Uncompensated Front-Loading: Human Status Limitation. </w:t>
      </w:r>
      <w:r>
        <w:t>The Agreement's No Uncompensated Front-Loading architecture may apply to reciprocal government-level mobility, administrative or economic benefits. It shall not be applied mechanically to an individual's accrued status, protection or fundamental procedural rights. Any prospective step-back shall include appropriate grandfathering and continuity safeguards.</w:t>
      </w:r>
    </w:p>
    <w:p>
      <w:pPr>
        <w:pStyle w:val="Normal"/>
      </w:pPr>
      <w:r>
        <w:rPr>
          <w:b/>
        </w:rPr>
        <w:t xml:space="preserve">BN-10. Existing Institutions and No Committee Bloat. </w:t>
      </w:r>
      <w:r>
        <w:t>Implementation should rely on existing national authorities, the Secretariat and Cothrom processes where appropriate. No permanent migration council, duplicative tribunal, standing ombuds network or new supranational immigration authority is created by this Package.</w:t>
      </w:r>
    </w:p>
    <w:p>
      <w:pPr>
        <w:pStyle w:val="Heading1"/>
      </w:pPr>
      <w:bookmarkStart w:id="902383" w:name="_Toc300002382"/>
      <w:r>
        <w:t>PACKAGE BO: LAWFUL LABOUR, PROFESSIONAL, STUDENT AND FAMILY MOBILITY</w:t>
      </w:r>
      <w:bookmarkEnd w:id="902383"/>
    </w:p>
    <w:p>
      <w:pPr>
        <w:pStyle w:val="Normal"/>
      </w:pPr>
      <w:r>
        <w:rPr>
          <w:b/>
        </w:rPr>
        <w:t xml:space="preserve">BO-1. Standard Lawful Mobility Pathways. </w:t>
      </w:r>
      <w:r>
        <w:t>The Parties may establish shortage-responsive pathways for workers in agriculture, care work, construction, logistics, health care, food processing, research, technology and other verified-need sectors, with transparent eligibility and wage-protection rules.</w:t>
      </w:r>
    </w:p>
    <w:p>
      <w:pPr>
        <w:pStyle w:val="Normal"/>
      </w:pPr>
      <w:r>
        <w:rPr>
          <w:b/>
        </w:rPr>
        <w:t xml:space="preserve">BO-2. Sector-Portability Principle. </w:t>
      </w:r>
      <w:r>
        <w:t>Where practicable, temporary work authorization should permit movement among qualifying employers within an approved occupation or sector rather than binding a worker to a single employer.</w:t>
      </w:r>
    </w:p>
    <w:p>
      <w:pPr>
        <w:pStyle w:val="Normal"/>
      </w:pPr>
      <w:r>
        <w:rPr>
          <w:b/>
        </w:rPr>
        <w:t xml:space="preserve">BO-3. Employer Switching and Bridge Status. </w:t>
      </w:r>
      <w:r>
        <w:t>A qualifying worker who leaves an employer, including because of substantiated or credibly alleged serious abuse, shall have a defined bridge period in which to seek another qualifying employer without immediate loss of lawful status.</w:t>
      </w:r>
    </w:p>
    <w:p>
      <w:pPr>
        <w:pStyle w:val="Normal"/>
      </w:pPr>
      <w:r>
        <w:rPr>
          <w:b/>
        </w:rPr>
        <w:t xml:space="preserve">BO-4. Trusted Renewal. </w:t>
      </w:r>
      <w:r>
        <w:t>A worker with a verified history of lawful entry, compliance, authorized work and timely departure where required may receive simplified renewal or documentation processing, subject to continued admissibility.</w:t>
      </w:r>
    </w:p>
    <w:p>
      <w:pPr>
        <w:pStyle w:val="Normal"/>
      </w:pPr>
      <w:r>
        <w:rPr>
          <w:b/>
        </w:rPr>
        <w:t xml:space="preserve">BO-5. Agricultural Mobility. </w:t>
      </w:r>
      <w:r>
        <w:t>Seasonal agricultural programs should include licensed recruitment, understandable contracts, housing and transportation standards, rapid harvest-season complaints, return-travel rules and trusted returning-worker procedures.</w:t>
      </w:r>
    </w:p>
    <w:p>
      <w:pPr>
        <w:pStyle w:val="Normal"/>
      </w:pPr>
      <w:r>
        <w:rPr>
          <w:b/>
        </w:rPr>
        <w:t xml:space="preserve">BO-6. Skilled Trades and Major Projects. </w:t>
      </w:r>
      <w:r>
        <w:t>The Parties may facilitate temporary mobility for verified skilled trades and major continental projects while preserving competent-authority licensing, safety requirements and prevailing or applicable wage protections.</w:t>
      </w:r>
    </w:p>
    <w:p>
      <w:pPr>
        <w:pStyle w:val="Normal"/>
      </w:pPr>
      <w:r>
        <w:rPr>
          <w:b/>
        </w:rPr>
        <w:t xml:space="preserve">BO-7. Health and Care Mobility. </w:t>
      </w:r>
      <w:r>
        <w:t>Health and care-worker mobility may use common credential verification, bridging education and verified-experience recognition, while licensing decisions remain with competent regulators and ethical recruitment safeguards address source-community shortages.</w:t>
      </w:r>
    </w:p>
    <w:p>
      <w:pPr>
        <w:pStyle w:val="Normal"/>
      </w:pPr>
      <w:r>
        <w:rPr>
          <w:b/>
        </w:rPr>
        <w:t xml:space="preserve">BO-8. Research, Technology and Entrepreneurship. </w:t>
      </w:r>
      <w:r>
        <w:t>Researchers, entrepreneurs and critical-infrastructure specialists may receive project-based or multi-Party mobility facilitation, subject to national admissibility, security and professional requirements.</w:t>
      </w:r>
    </w:p>
    <w:p>
      <w:pPr>
        <w:pStyle w:val="Normal"/>
      </w:pPr>
      <w:r>
        <w:rPr>
          <w:b/>
        </w:rPr>
        <w:t xml:space="preserve">BO-9. Student and Youth Mobility. </w:t>
      </w:r>
      <w:r>
        <w:t>The Parties may support student exchanges, apprenticeships, post-graduation work opportunities and voluntary youth service programs, with continuity safeguards for disaster-interrupted status.</w:t>
      </w:r>
    </w:p>
    <w:p>
      <w:pPr>
        <w:pStyle w:val="Normal"/>
      </w:pPr>
      <w:r>
        <w:rPr>
          <w:b/>
        </w:rPr>
        <w:t xml:space="preserve">BO-10. Family Unity. </w:t>
      </w:r>
      <w:r>
        <w:t>Qualifying mobility programs should facilitate accompaniment or reunification of spouses and dependent children where consistent with domestic law, child safety and program capacity.</w:t>
      </w:r>
    </w:p>
    <w:p>
      <w:pPr>
        <w:pStyle w:val="Normal"/>
      </w:pPr>
      <w:r>
        <w:rPr>
          <w:b/>
        </w:rPr>
        <w:t xml:space="preserve">BO-11. Permanent-Residence Pathways. </w:t>
      </w:r>
      <w:r>
        <w:t>A Party may create transparent pathways from temporary to permanent residence for long-term workers, caregivers or other qualifying persons. Nothing in this Agreement creates an automatic entitlement to permanent residence.</w:t>
      </w:r>
    </w:p>
    <w:p>
      <w:pPr>
        <w:pStyle w:val="Normal"/>
      </w:pPr>
      <w:r>
        <w:rPr>
          <w:b/>
        </w:rPr>
        <w:t xml:space="preserve">BO-12. Credential Portability. </w:t>
      </w:r>
      <w:r>
        <w:t>The Parties should support interoperable credential verification, recognized translations, reasons for rejection, bridging programs, competency examinations and recognition of verified prior learning, while preserving the authority of competent regulators.</w:t>
      </w:r>
    </w:p>
    <w:p>
      <w:pPr>
        <w:pStyle w:val="Heading1"/>
      </w:pPr>
      <w:bookmarkStart w:id="902384" w:name="_Toc300002383"/>
      <w:r>
        <w:t>PACKAGE BP: MIGRANT WORKER PROTECTION AND EMPLOYER ACCOUNTABILITY</w:t>
      </w:r>
      <w:bookmarkEnd w:id="902384"/>
    </w:p>
    <w:p>
      <w:pPr>
        <w:pStyle w:val="Normal"/>
      </w:pPr>
      <w:r>
        <w:rPr>
          <w:b/>
        </w:rPr>
        <w:t xml:space="preserve">BP-1. No Worker-Paid Recruitment Fees. </w:t>
      </w:r>
      <w:r>
        <w:t>Employers, brokers and labour contractors participating in covered programs shall not charge prohibited recruitment fees to workers.</w:t>
      </w:r>
    </w:p>
    <w:p>
      <w:pPr>
        <w:pStyle w:val="Normal"/>
      </w:pPr>
      <w:r>
        <w:rPr>
          <w:b/>
        </w:rPr>
        <w:t xml:space="preserve">BP-2. Document Control. </w:t>
      </w:r>
      <w:r>
        <w:t>Workers shall retain possession and reasonable access to their passports, immigration documents and identity documents except for brief lawful processing or safekeeping requested by the worker.</w:t>
      </w:r>
    </w:p>
    <w:p>
      <w:pPr>
        <w:pStyle w:val="Normal"/>
      </w:pPr>
      <w:r>
        <w:rPr>
          <w:b/>
        </w:rPr>
        <w:t xml:space="preserve">BP-3. Transparent Contracts. </w:t>
      </w:r>
      <w:r>
        <w:t>Material terms concerning employer identity, wages, deductions, hours, housing, transportation, work location and complaint rights shall be disclosed in a language the worker can reasonably understand before departure or commencement of work.</w:t>
      </w:r>
    </w:p>
    <w:p>
      <w:pPr>
        <w:pStyle w:val="Normal"/>
      </w:pPr>
      <w:r>
        <w:rPr>
          <w:b/>
        </w:rPr>
        <w:t xml:space="preserve">BP-4. Anti-Retaliation. </w:t>
      </w:r>
      <w:r>
        <w:t>A worker shall not be punished, blacklisted or subjected to immigration retaliation merely for reporting wage theft, trafficking, unsafe conditions, document confiscation, domestic violence or other serious abuse.</w:t>
      </w:r>
    </w:p>
    <w:p>
      <w:pPr>
        <w:pStyle w:val="Normal"/>
      </w:pPr>
      <w:r>
        <w:rPr>
          <w:b/>
        </w:rPr>
        <w:t xml:space="preserve">BP-5. Status Portability Against Exploitation. </w:t>
      </w:r>
      <w:r>
        <w:t>Serious employer misconduct shall not force a worker to choose between enduring abuse and immediately becoming without lawful status. Domestic procedures shall provide a reasonable bridge and transfer mechanism.</w:t>
      </w:r>
    </w:p>
    <w:p>
      <w:pPr>
        <w:pStyle w:val="Normal"/>
      </w:pPr>
      <w:r>
        <w:rPr>
          <w:b/>
        </w:rPr>
        <w:t xml:space="preserve">BP-6. Recruiter Accountability. </w:t>
      </w:r>
      <w:r>
        <w:t>Recruiters participating in covered programs should be licensed or registered, auditable and subject to proportionate exclusion for repeated serious violations.</w:t>
      </w:r>
    </w:p>
    <w:p>
      <w:pPr>
        <w:pStyle w:val="Normal"/>
      </w:pPr>
      <w:r>
        <w:rPr>
          <w:b/>
        </w:rPr>
        <w:t xml:space="preserve">BP-7. Procurement Consequences. </w:t>
      </w:r>
      <w:r>
        <w:t>Public procurement and trade-finance programs may exclude employers, recruiters or contractors after substantiated serious trafficking, forced-labour, wage-theft or document-confiscation violations, subject to notice, evidence, review and remediation.</w:t>
      </w:r>
    </w:p>
    <w:p>
      <w:pPr>
        <w:pStyle w:val="Normal"/>
      </w:pPr>
      <w:r>
        <w:rPr>
          <w:b/>
        </w:rPr>
        <w:t xml:space="preserve">BP-8. Worker Complaints. </w:t>
      </w:r>
      <w:r>
        <w:t>The Parties should maintain confidential, multilingual and accessible complaint channels, including rapid mechanisms for seasonal and time-sensitive work.</w:t>
      </w:r>
    </w:p>
    <w:p>
      <w:pPr>
        <w:pStyle w:val="Normal"/>
      </w:pPr>
      <w:r>
        <w:rPr>
          <w:b/>
        </w:rPr>
        <w:t xml:space="preserve">BP-9. Cross-Border Labour Cooperation. </w:t>
      </w:r>
      <w:r>
        <w:t>Labour authorities may coordinate investigations, audits and information exchange concerning cross-border recruitment and employment, while enforcement authority remains with the competent authority of each Party.</w:t>
      </w:r>
    </w:p>
    <w:p>
      <w:pPr>
        <w:pStyle w:val="Normal"/>
      </w:pPr>
      <w:r>
        <w:rPr>
          <w:b/>
        </w:rPr>
        <w:t xml:space="preserve">BP-10. Safe Labour Remedies. </w:t>
      </w:r>
      <w:r>
        <w:t>Access to ordinary labour remedies should not itself trigger automatic immigration enforcement against the complainant.</w:t>
      </w:r>
    </w:p>
    <w:p>
      <w:pPr>
        <w:pStyle w:val="Normal"/>
      </w:pPr>
      <w:r>
        <w:rPr>
          <w:b/>
        </w:rPr>
        <w:t xml:space="preserve">BP-11. Public-Supply-Chain Standards. </w:t>
      </w:r>
      <w:r>
        <w:t>Government-supported projects and relevant supply chains may require anti-trafficking, recruitment, housing and grievance safeguards proportionate to the sector and risk.</w:t>
      </w:r>
    </w:p>
    <w:p>
      <w:pPr>
        <w:pStyle w:val="Normal"/>
      </w:pPr>
      <w:r>
        <w:rPr>
          <w:b/>
        </w:rPr>
        <w:t xml:space="preserve">BP-12. Outcome Measurement. </w:t>
      </w:r>
      <w:r>
        <w:t>The Parties should measure wage recovery, recruitment abuse, retaliation, trafficking indicators, workplace injury, complaint resolution and repeat violations rather than relying solely on program volume.</w:t>
      </w:r>
    </w:p>
    <w:p>
      <w:pPr>
        <w:pStyle w:val="Heading1"/>
      </w:pPr>
      <w:bookmarkStart w:id="902385" w:name="_Toc300002384"/>
      <w:r>
        <w:t>PACKAGE BQ: REFUGEE, ASYLUM, TRAFFICKING AND HUMANITARIAN PROTECTION</w:t>
      </w:r>
      <w:bookmarkEnd w:id="902385"/>
    </w:p>
    <w:p>
      <w:pPr>
        <w:pStyle w:val="Normal"/>
      </w:pPr>
      <w:r>
        <w:rPr>
          <w:b/>
        </w:rPr>
        <w:t xml:space="preserve">BQ-1. Independent Protection Adjudication. </w:t>
      </w:r>
      <w:r>
        <w:t>The authority responsible for apprehension or removal shall not exercise unchecked final authority over the merits of the same person's refugee or asylum protection claim.</w:t>
      </w:r>
    </w:p>
    <w:p>
      <w:pPr>
        <w:pStyle w:val="Normal"/>
      </w:pPr>
      <w:r>
        <w:rPr>
          <w:b/>
        </w:rPr>
        <w:t xml:space="preserve">BQ-2. Non-Refoulement. </w:t>
      </w:r>
      <w:r>
        <w:t>The Parties reaffirm compliance with applicable domestic and international obligations concerning non-refoulement and protection against return to persecution, torture or other serious harm.</w:t>
      </w:r>
    </w:p>
    <w:p>
      <w:pPr>
        <w:pStyle w:val="Normal"/>
      </w:pPr>
      <w:r>
        <w:rPr>
          <w:b/>
        </w:rPr>
        <w:t xml:space="preserve">BQ-3. Minimum Procedural Safeguards. </w:t>
      </w:r>
      <w:r>
        <w:t>Covered protection procedures should provide understandable notice, interpretation where necessary, a meaningful opportunity to present relevant evidence, and access to review or appeal as required by applicable law.</w:t>
      </w:r>
    </w:p>
    <w:p>
      <w:pPr>
        <w:pStyle w:val="Normal"/>
      </w:pPr>
      <w:r>
        <w:rPr>
          <w:b/>
        </w:rPr>
        <w:t xml:space="preserve">BQ-4. Vulnerability Screening. </w:t>
      </w:r>
      <w:r>
        <w:t>Procedures should identify unaccompanied minors, trafficking victims, torture survivors, persons with disabilities, persons facing gender-based violence and other persons requiring adapted safeguards.</w:t>
      </w:r>
    </w:p>
    <w:p>
      <w:pPr>
        <w:pStyle w:val="Normal"/>
      </w:pPr>
      <w:r>
        <w:rPr>
          <w:b/>
        </w:rPr>
        <w:t xml:space="preserve">BQ-5. Trafficking-Victim Firewall. </w:t>
      </w:r>
      <w:r>
        <w:t>A person intercepted in circumstances indicating trafficking or smuggling shall be assessed for victimization and individual culpability rather than treated automatically as a criminal participant.</w:t>
      </w:r>
    </w:p>
    <w:p>
      <w:pPr>
        <w:pStyle w:val="Normal"/>
      </w:pPr>
      <w:r>
        <w:rPr>
          <w:b/>
        </w:rPr>
        <w:t xml:space="preserve">BQ-6. Crime-Reporting Protection. </w:t>
      </w:r>
      <w:r>
        <w:t>Victims and witnesses reporting trafficking, domestic violence, labour exploitation or serious crime should have access to appropriate temporary protection against immigration retaliation.</w:t>
      </w:r>
    </w:p>
    <w:p>
      <w:pPr>
        <w:pStyle w:val="Normal"/>
      </w:pPr>
      <w:r>
        <w:rPr>
          <w:b/>
        </w:rPr>
        <w:t xml:space="preserve">BQ-7. Family Reunification. </w:t>
      </w:r>
      <w:r>
        <w:t>The Parties should facilitate lawful family reunification for recognized refugees and other protected persons where consistent with domestic law and child safety.</w:t>
      </w:r>
    </w:p>
    <w:p>
      <w:pPr>
        <w:pStyle w:val="Normal"/>
      </w:pPr>
      <w:r>
        <w:rPr>
          <w:b/>
        </w:rPr>
        <w:t xml:space="preserve">BQ-8. Safe-Third-Country Review. </w:t>
      </w:r>
      <w:r>
        <w:t>Any safe-third-country or equivalent transfer arrangement should remain subject to current evidence, periodic review and meaningful procedural safeguards.</w:t>
      </w:r>
    </w:p>
    <w:p>
      <w:pPr>
        <w:pStyle w:val="Normal"/>
      </w:pPr>
      <w:r>
        <w:rPr>
          <w:b/>
        </w:rPr>
        <w:t xml:space="preserve">BQ-9. Humanitarian Visa and Temporary Protection. </w:t>
      </w:r>
      <w:r>
        <w:t>A Party may establish temporary humanitarian visas or protection for persons facing credible serious threats, war, disaster or state collapse, with defined eligibility, review and duration.</w:t>
      </w:r>
    </w:p>
    <w:p>
      <w:pPr>
        <w:pStyle w:val="Normal"/>
      </w:pPr>
      <w:r>
        <w:rPr>
          <w:b/>
        </w:rPr>
        <w:t xml:space="preserve">BQ-10. Voluntary Coordinated Resettlement. </w:t>
      </w:r>
      <w:r>
        <w:t>The Parties may coordinate refugee-resettlement pledges and emergency burden-sharing according to capacity and humanitarian need. No automatic population formula creates an involuntary admission quota.</w:t>
      </w:r>
    </w:p>
    <w:p>
      <w:pPr>
        <w:pStyle w:val="Normal"/>
      </w:pPr>
      <w:r>
        <w:rPr>
          <w:b/>
        </w:rPr>
        <w:t xml:space="preserve">BQ-11. Humanitarian Organization Access. </w:t>
      </w:r>
      <w:r>
        <w:t>Accredited humanitarian and legal organizations should receive reasonable access to relevant processing, shelter and detention environments subject to privacy, security and safety rules.</w:t>
      </w:r>
    </w:p>
    <w:p>
      <w:pPr>
        <w:pStyle w:val="Normal"/>
      </w:pPr>
      <w:r>
        <w:rPr>
          <w:b/>
        </w:rPr>
        <w:t xml:space="preserve">BQ-12. Missing Migrants and Family Reunification. </w:t>
      </w:r>
      <w:r>
        <w:t>The Parties should cooperate to locate missing migrants, reconcile records and reunite families while protecting sensitive personal data.</w:t>
      </w:r>
    </w:p>
    <w:p>
      <w:pPr>
        <w:pStyle w:val="Heading1"/>
      </w:pPr>
      <w:bookmarkStart w:id="902386" w:name="_Toc300002385"/>
      <w:r>
        <w:t>PACKAGE BR: CIVIL IMMIGRATION ENFORCEMENT, DUE PROCESS AND POWER-SEPARATION SAFEGUARDS</w:t>
      </w:r>
      <w:bookmarkEnd w:id="902386"/>
    </w:p>
    <w:p>
      <w:pPr>
        <w:pStyle w:val="Normal"/>
      </w:pPr>
      <w:r>
        <w:rPr>
          <w:b/>
        </w:rPr>
        <w:t xml:space="preserve">BR-1. Civil and Criminal Distinction. </w:t>
      </w:r>
      <w:r>
        <w:t>Civil immigration violations shall be distinguished from criminal offenses. Serious criminal conduct remains subject to ordinary criminal investigation and prosecution with the protections applicable to criminal proceedings.</w:t>
      </w:r>
    </w:p>
    <w:p>
      <w:pPr>
        <w:pStyle w:val="Normal"/>
      </w:pPr>
      <w:r>
        <w:rPr>
          <w:b/>
        </w:rPr>
        <w:t xml:space="preserve">BR-2. No Quotas. </w:t>
      </w:r>
      <w:r>
        <w:t>Arrest, detention and removal quotas or numerical performance targets that create incentives for indiscriminate enforcement should not be used.</w:t>
      </w:r>
    </w:p>
    <w:p>
      <w:pPr>
        <w:pStyle w:val="Normal"/>
      </w:pPr>
      <w:r>
        <w:rPr>
          <w:b/>
        </w:rPr>
        <w:t xml:space="preserve">BR-3. Case-Specific Reasons. </w:t>
      </w:r>
      <w:r>
        <w:t>A civil immigration arrest, detention, search or removal decision should have a documented lawful basis and reasons sufficient for applicable review.</w:t>
      </w:r>
    </w:p>
    <w:p>
      <w:pPr>
        <w:pStyle w:val="Normal"/>
      </w:pPr>
      <w:r>
        <w:rPr>
          <w:b/>
        </w:rPr>
        <w:t xml:space="preserve">BR-4. Least-Restrictive Administration. </w:t>
      </w:r>
      <w:r>
        <w:t>Where a summons, reporting requirement, case management or another less-restrictive measure reasonably addresses the administrative objective and safety risk, detention or arrest should not be used merely for convenience or deterrence.</w:t>
      </w:r>
    </w:p>
    <w:p>
      <w:pPr>
        <w:pStyle w:val="Normal"/>
      </w:pPr>
      <w:r>
        <w:rPr>
          <w:b/>
        </w:rPr>
        <w:t xml:space="preserve">BR-5. Home Entry. </w:t>
      </w:r>
      <w:r>
        <w:t>Entry into a private home for civil immigration enforcement shall comply with the judicial-authorization and emergency standards required by the law of the Party concerned.</w:t>
      </w:r>
    </w:p>
    <w:p>
      <w:pPr>
        <w:pStyle w:val="Normal"/>
      </w:pPr>
      <w:r>
        <w:rPr>
          <w:b/>
        </w:rPr>
        <w:t xml:space="preserve">BR-6. Officer Identification. </w:t>
      </w:r>
      <w:r>
        <w:t>During ordinary enforcement encounters, officers should identify themselves, their authority and the legal basis for the encounter, subject to narrow undercover or immediate-safety exceptions.</w:t>
      </w:r>
    </w:p>
    <w:p>
      <w:pPr>
        <w:pStyle w:val="Normal"/>
      </w:pPr>
      <w:r>
        <w:rPr>
          <w:b/>
        </w:rPr>
        <w:t xml:space="preserve">BR-7. No Coerced Search Consent. </w:t>
      </w:r>
      <w:r>
        <w:t>Threats of immigration arrest or removal shall not be used to manufacture consent to an otherwise unauthorized search.</w:t>
      </w:r>
    </w:p>
    <w:p>
      <w:pPr>
        <w:pStyle w:val="Normal"/>
      </w:pPr>
      <w:r>
        <w:rPr>
          <w:b/>
        </w:rPr>
        <w:t xml:space="preserve">BR-8. Sensitive Locations. </w:t>
      </w:r>
      <w:r>
        <w:t>Schools, emergency medical facilities, shelters, places of worship and comparable sensitive locations shall not be used for routine civil immigration apprehension except where authorized by law in response to an immediate serious threat or other exceptional circumstances subject to review.</w:t>
      </w:r>
    </w:p>
    <w:p>
      <w:pPr>
        <w:pStyle w:val="Normal"/>
      </w:pPr>
      <w:r>
        <w:rPr>
          <w:b/>
        </w:rPr>
        <w:t xml:space="preserve">BR-9. Courthouse and Witness Protection. </w:t>
      </w:r>
      <w:r>
        <w:t>Civil immigration practices should not deter victims, witnesses or parties from accessing courts or reporting serious crime.</w:t>
      </w:r>
    </w:p>
    <w:p>
      <w:pPr>
        <w:pStyle w:val="Normal"/>
      </w:pPr>
      <w:r>
        <w:rPr>
          <w:b/>
        </w:rPr>
        <w:t xml:space="preserve">BR-10. Use of Force. </w:t>
      </w:r>
      <w:r>
        <w:t>Immigration personnel exercising coercive authority shall be governed by lawful, proportionate use-of-force standards, with immediate-threat authority where necessary and mandatory supervisory review after significant force.</w:t>
      </w:r>
    </w:p>
    <w:p>
      <w:pPr>
        <w:pStyle w:val="Normal"/>
      </w:pPr>
      <w:r>
        <w:rPr>
          <w:b/>
        </w:rPr>
        <w:t xml:space="preserve">BR-11. Body-Worn Cameras and Accountability. </w:t>
      </w:r>
      <w:r>
        <w:t>Where body-worn cameras are used, policy shall protect privacy, privileged communications, children, medical encounters and evidentiary integrity while preserving accountability.</w:t>
      </w:r>
    </w:p>
    <w:p>
      <w:pPr>
        <w:pStyle w:val="Normal"/>
      </w:pPr>
      <w:r>
        <w:rPr>
          <w:b/>
        </w:rPr>
        <w:t xml:space="preserve">BR-12. Independent Review. </w:t>
      </w:r>
      <w:r>
        <w:t>Detention, protection and removal decisions shall remain subject to meaningful independent administrative or judicial review as provided by domestic law.</w:t>
      </w:r>
    </w:p>
    <w:p>
      <w:pPr>
        <w:pStyle w:val="Normal"/>
      </w:pPr>
      <w:r>
        <w:rPr>
          <w:b/>
        </w:rPr>
        <w:t xml:space="preserve">BR-13. Major Power Expansion Review. </w:t>
      </w:r>
      <w:r>
        <w:t>A substantial expansion or consolidation of civil immigration coercive powers should require explicit domestic legal authority, a published rights-impact assessment and effective legislative or independent scrutiny.</w:t>
      </w:r>
    </w:p>
    <w:p>
      <w:pPr>
        <w:pStyle w:val="Normal"/>
      </w:pPr>
      <w:r>
        <w:rPr>
          <w:b/>
        </w:rPr>
        <w:t xml:space="preserve">BR-14. Outsourced Enforcement Review. </w:t>
      </w:r>
      <w:r>
        <w:t>Before entering arrangements that materially outsource migration interception, detention or removal functions, a Party should assess legal responsibility, protection obligations and independent oversight.</w:t>
      </w:r>
    </w:p>
    <w:p>
      <w:pPr>
        <w:pStyle w:val="Heading1"/>
      </w:pPr>
      <w:bookmarkStart w:id="902387" w:name="_Toc300002386"/>
      <w:r>
        <w:t>PACKAGE BS: HUMANE CUSTODY, DETENTION ALTERNATIVES AND SENSITIVE-LOCATION PROTECTION</w:t>
      </w:r>
      <w:bookmarkEnd w:id="902387"/>
    </w:p>
    <w:p>
      <w:pPr>
        <w:pStyle w:val="Normal"/>
      </w:pPr>
      <w:r>
        <w:rPr>
          <w:b/>
        </w:rPr>
        <w:t xml:space="preserve">BS-1. Presumption Against Unnecessary Detention. </w:t>
      </w:r>
      <w:r>
        <w:t>Civil immigration detention should be used only where authorized by law and justified by individualized circumstances, with less-restrictive alternatives considered where appropriate.</w:t>
      </w:r>
    </w:p>
    <w:p>
      <w:pPr>
        <w:pStyle w:val="Normal"/>
      </w:pPr>
      <w:r>
        <w:rPr>
          <w:b/>
        </w:rPr>
        <w:t xml:space="preserve">BS-2. Prompt Review. </w:t>
      </w:r>
      <w:r>
        <w:t>A detained person shall receive prompt independent review of the legal basis and continuing necessity of detention.</w:t>
      </w:r>
    </w:p>
    <w:p>
      <w:pPr>
        <w:pStyle w:val="Normal"/>
      </w:pPr>
      <w:r>
        <w:rPr>
          <w:b/>
        </w:rPr>
        <w:t xml:space="preserve">BS-3. Poverty and Bond. </w:t>
      </w:r>
      <w:r>
        <w:t>Lack of financial means alone shall not justify continued civil detention where an otherwise adequate less-restrictive arrangement is available.</w:t>
      </w:r>
    </w:p>
    <w:p>
      <w:pPr>
        <w:pStyle w:val="Normal"/>
      </w:pPr>
      <w:r>
        <w:rPr>
          <w:b/>
        </w:rPr>
        <w:t xml:space="preserve">BS-4. Children. </w:t>
      </w:r>
      <w:r>
        <w:t>Children shall not be subjected to punitive civil immigration detention. Short-duration protective or processing custody, where unavoidable, shall be governed by child-safety, family-unity and independent-review safeguards.</w:t>
      </w:r>
    </w:p>
    <w:p>
      <w:pPr>
        <w:pStyle w:val="Normal"/>
      </w:pPr>
      <w:r>
        <w:rPr>
          <w:b/>
        </w:rPr>
        <w:t xml:space="preserve">BS-5. Pregnancy and Vulnerability. </w:t>
      </w:r>
      <w:r>
        <w:t>Pregnancy, disability, serious illness, trauma and suicide risk shall receive individualized assessment and strong consideration against detention unless necessity is independently established.</w:t>
      </w:r>
    </w:p>
    <w:p>
      <w:pPr>
        <w:pStyle w:val="Normal"/>
      </w:pPr>
      <w:r>
        <w:rPr>
          <w:b/>
        </w:rPr>
        <w:t xml:space="preserve">BS-6. Family Unity. </w:t>
      </w:r>
      <w:r>
        <w:t>Families should remain together in community-based or other non-custodial settings whenever safe and feasible.</w:t>
      </w:r>
    </w:p>
    <w:p>
      <w:pPr>
        <w:pStyle w:val="Normal"/>
      </w:pPr>
      <w:r>
        <w:rPr>
          <w:b/>
        </w:rPr>
        <w:t xml:space="preserve">BS-7. Humane Custody Floor. </w:t>
      </w:r>
      <w:r>
        <w:t>Any civil immigration custody facility shall provide safe drinking water, sufficient food, sanitation, safe temperature, sleep, necessary medical and mental-health care, disability accommodation, communication, legal access, family contact, protection from violence and emergency evacuation capability.</w:t>
      </w:r>
    </w:p>
    <w:p>
      <w:pPr>
        <w:pStyle w:val="Normal"/>
      </w:pPr>
      <w:r>
        <w:rPr>
          <w:b/>
        </w:rPr>
        <w:t xml:space="preserve">BS-8. Detention Environment Anti-Deterrence Rule. </w:t>
      </w:r>
      <w:r>
        <w:t>A Party shall not select, construct, operate or maintain a civil immigration detention facility in a manner that intentionally relies upon dangerous environmental conditions, geographic isolation, extreme climate, wildlife hazards, deprivation of communication, remoteness from courts or counsel, or inadequate access to medical services as a means of punishment, intimidation or deterrence.</w:t>
      </w:r>
    </w:p>
    <w:p>
      <w:pPr>
        <w:pStyle w:val="Normal"/>
      </w:pPr>
      <w:r>
        <w:rPr>
          <w:b/>
        </w:rPr>
        <w:t xml:space="preserve">BS-9. Independent Inspection. </w:t>
      </w:r>
      <w:r>
        <w:t>Civil immigration detention facilities shall be subject to meaningful independent inspection, including unannounced inspection where authorized, and public reporting of systemic deficiencies.</w:t>
      </w:r>
    </w:p>
    <w:p>
      <w:pPr>
        <w:pStyle w:val="Normal"/>
      </w:pPr>
      <w:r>
        <w:rPr>
          <w:b/>
        </w:rPr>
        <w:t xml:space="preserve">BS-10. Serious-Incident Reporting. </w:t>
      </w:r>
      <w:r>
        <w:t>Deaths, serious injuries, assaults, suicides and major medical emergencies in civil immigration custody shall be recorded, independently reviewable and publicly reported in a privacy-protective form.</w:t>
      </w:r>
    </w:p>
    <w:p>
      <w:pPr>
        <w:pStyle w:val="Normal"/>
      </w:pPr>
      <w:r>
        <w:rPr>
          <w:b/>
        </w:rPr>
        <w:t xml:space="preserve">BS-11. Transfers. </w:t>
      </w:r>
      <w:r>
        <w:t>Detainees should not be transferred principally to frustrate access to family, counsel, witnesses, evidence or medical care. Emergency and legitimate operational transfers remain possible with appropriate notice.</w:t>
      </w:r>
    </w:p>
    <w:p>
      <w:pPr>
        <w:pStyle w:val="Normal"/>
      </w:pPr>
      <w:r>
        <w:rPr>
          <w:b/>
        </w:rPr>
        <w:t xml:space="preserve">BS-12. Solitary Confinement. </w:t>
      </w:r>
      <w:r>
        <w:t>Isolation shall not be used as punishment for civil immigration status and shall be limited to exceptional, documented safety circumstances with frequent review.</w:t>
      </w:r>
    </w:p>
    <w:p>
      <w:pPr>
        <w:pStyle w:val="Normal"/>
      </w:pPr>
      <w:r>
        <w:rPr>
          <w:b/>
        </w:rPr>
        <w:t xml:space="preserve">BS-13. Removal Not Foreseeable. </w:t>
      </w:r>
      <w:r>
        <w:t>Where removal is not realistically foreseeable within a reasonable period, continuing detention shall receive heightened independent review and release planning.</w:t>
      </w:r>
    </w:p>
    <w:p>
      <w:pPr>
        <w:pStyle w:val="Normal"/>
      </w:pPr>
      <w:r>
        <w:rPr>
          <w:b/>
        </w:rPr>
        <w:t xml:space="preserve">BS-14. Contractor Limits. </w:t>
      </w:r>
      <w:r>
        <w:t>Private contractors may provide lawful support services but shall not exercise final authority over arrest, detention necessity, protection adjudication, release or removal.</w:t>
      </w:r>
    </w:p>
    <w:p>
      <w:pPr>
        <w:pStyle w:val="Heading1"/>
      </w:pPr>
      <w:bookmarkStart w:id="902388" w:name="_Toc300002387"/>
      <w:r>
        <w:t>PACKAGE BT: MIGRATION DATA, PRIVACY, BIOMETRICS AND AUTOMATED-DECISION SAFEGUARDS</w:t>
      </w:r>
      <w:bookmarkEnd w:id="902388"/>
    </w:p>
    <w:p>
      <w:pPr>
        <w:pStyle w:val="Normal"/>
      </w:pPr>
      <w:r>
        <w:rPr>
          <w:b/>
        </w:rPr>
        <w:t xml:space="preserve">BT-1. Minimum-Necessary-Data Doctrine. </w:t>
      </w:r>
      <w:r>
        <w:t>Migration data collection, access, use and sharing shall be limited to information reasonably necessary for a defined lawful purpose.</w:t>
      </w:r>
    </w:p>
    <w:p>
      <w:pPr>
        <w:pStyle w:val="Normal"/>
      </w:pPr>
      <w:r>
        <w:rPr>
          <w:b/>
        </w:rPr>
        <w:t xml:space="preserve">BT-2. Federated Interoperability. </w:t>
      </w:r>
      <w:r>
        <w:t>The Parties should prefer interoperable and federated verification over a centralized continental immigration database where the same objective can reasonably be achieved with less privacy risk.</w:t>
      </w:r>
    </w:p>
    <w:p>
      <w:pPr>
        <w:pStyle w:val="Normal"/>
      </w:pPr>
      <w:r>
        <w:rPr>
          <w:b/>
        </w:rPr>
        <w:t xml:space="preserve">BT-3. No Continental Person Number. </w:t>
      </w:r>
      <w:r>
        <w:t>Nothing in this Agreement requires a permanent unique North American immigration identifier applicable across unrelated programs.</w:t>
      </w:r>
    </w:p>
    <w:p>
      <w:pPr>
        <w:pStyle w:val="Normal"/>
      </w:pPr>
      <w:r>
        <w:rPr>
          <w:b/>
        </w:rPr>
        <w:t xml:space="preserve">BT-4. Sensitive-Service Data Firewall. </w:t>
      </w:r>
      <w:r>
        <w:t>Health, education, shelter, domestic-violence, library and comparable service records shall not be used for indiscriminate immigration enforcement. Access shall require lawful authority, necessity and appropriate safeguards.</w:t>
      </w:r>
    </w:p>
    <w:p>
      <w:pPr>
        <w:pStyle w:val="Normal"/>
      </w:pPr>
      <w:r>
        <w:rPr>
          <w:b/>
        </w:rPr>
        <w:t xml:space="preserve">BT-5. Purpose Limitation. </w:t>
      </w:r>
      <w:r>
        <w:t>Data obtained for humanitarian, labour-remedy, health or other protected purposes shall not be repurposed for unrelated enforcement absent lawful authority and a compelling, reviewable justification.</w:t>
      </w:r>
    </w:p>
    <w:p>
      <w:pPr>
        <w:pStyle w:val="Normal"/>
      </w:pPr>
      <w:r>
        <w:rPr>
          <w:b/>
        </w:rPr>
        <w:t xml:space="preserve">BT-6. Retention and Deletion. </w:t>
      </w:r>
      <w:r>
        <w:t>Data shall be retained no longer than reasonably necessary for its lawful purpose, subject to defined exceptions for litigation, audits, serious investigations and legal recordkeeping.</w:t>
      </w:r>
    </w:p>
    <w:p>
      <w:pPr>
        <w:pStyle w:val="Normal"/>
      </w:pPr>
      <w:r>
        <w:rPr>
          <w:b/>
        </w:rPr>
        <w:t xml:space="preserve">BT-7. Access and Correction. </w:t>
      </w:r>
      <w:r>
        <w:t>Individuals should have a practicable process to access consequential immigration records about themselves and seek correction of material errors, subject to legitimate security and investigative exceptions.</w:t>
      </w:r>
    </w:p>
    <w:p>
      <w:pPr>
        <w:pStyle w:val="Normal"/>
      </w:pPr>
      <w:r>
        <w:rPr>
          <w:b/>
        </w:rPr>
        <w:t xml:space="preserve">BT-8. Biometric Restraint. </w:t>
      </w:r>
      <w:r>
        <w:t>Biometric collection and sharing shall require lawful authority, necessity, proportionality, defined retention, security controls and restrictions on secondary use. Interoperability does not itself authorize expanded collection.</w:t>
      </w:r>
    </w:p>
    <w:p>
      <w:pPr>
        <w:pStyle w:val="Normal"/>
      </w:pPr>
      <w:r>
        <w:rPr>
          <w:b/>
        </w:rPr>
        <w:t xml:space="preserve">BT-9. Facial Recognition and Surveillance. </w:t>
      </w:r>
      <w:r>
        <w:t>Warrantless or indiscriminate biometric surveillance for civil immigration enforcement should be prohibited or tightly restricted under domestic law.</w:t>
      </w:r>
    </w:p>
    <w:p>
      <w:pPr>
        <w:pStyle w:val="Normal"/>
      </w:pPr>
      <w:r>
        <w:rPr>
          <w:b/>
        </w:rPr>
        <w:t xml:space="preserve">BT-10. Automated Decisions. </w:t>
      </w:r>
      <w:r>
        <w:t>No consequential denial of a visa, work authorization, protection access or other covered benefit should rest solely on an automated system where meaningful human review is reasonably available and legally required.</w:t>
      </w:r>
    </w:p>
    <w:p>
      <w:pPr>
        <w:pStyle w:val="Normal"/>
      </w:pPr>
      <w:r>
        <w:rPr>
          <w:b/>
        </w:rPr>
        <w:t xml:space="preserve">BT-11. Algorithmic Auditability. </w:t>
      </w:r>
      <w:r>
        <w:t>High-impact immigration screening systems should be auditable for accuracy, discriminatory effects, data provenance and error correction.</w:t>
      </w:r>
    </w:p>
    <w:p>
      <w:pPr>
        <w:pStyle w:val="Normal"/>
      </w:pPr>
      <w:r>
        <w:rPr>
          <w:b/>
        </w:rPr>
        <w:t xml:space="preserve">BT-12. No Automatic Deportation Lists. </w:t>
      </w:r>
      <w:r>
        <w:t>Shared data systems shall not become automatic deportation, detention or exclusion lists without individualized lawful review.</w:t>
      </w:r>
    </w:p>
    <w:p>
      <w:pPr>
        <w:pStyle w:val="Normal"/>
      </w:pPr>
      <w:r>
        <w:rPr>
          <w:b/>
        </w:rPr>
        <w:t xml:space="preserve">BT-13. Notice of Material Error. </w:t>
      </w:r>
      <w:r>
        <w:t>Where a Party discovers a material cross-border data error that foreseeably affects an individual's status or rights, it should provide notice and a correction pathway where lawful.</w:t>
      </w:r>
    </w:p>
    <w:p>
      <w:pPr>
        <w:pStyle w:val="Normal"/>
      </w:pPr>
      <w:r>
        <w:rPr>
          <w:b/>
        </w:rPr>
        <w:t xml:space="preserve">BT-14. Vendor Accountability. </w:t>
      </w:r>
      <w:r>
        <w:t>Publicly procured immigration technology should support auditability, security, correction and human review appropriate to the system's consequences.</w:t>
      </w:r>
    </w:p>
    <w:p>
      <w:pPr>
        <w:pStyle w:val="Heading1"/>
      </w:pPr>
      <w:bookmarkStart w:id="902389" w:name="_Toc300002388"/>
      <w:r>
        <w:t>PACKAGE BU: RETURN, REINTEGRATION, DISASTER MOBILITY AND REGIONAL DEVELOPMENT</w:t>
      </w:r>
      <w:bookmarkEnd w:id="902389"/>
    </w:p>
    <w:p>
      <w:pPr>
        <w:pStyle w:val="Normal"/>
      </w:pPr>
      <w:r>
        <w:rPr>
          <w:b/>
        </w:rPr>
        <w:t xml:space="preserve">BU-1. Voluntary Return. </w:t>
      </w:r>
      <w:r>
        <w:t>Voluntary-return programs shall be genuinely voluntary and should include understandable information, travel documentation and appropriate reintegration assistance.</w:t>
      </w:r>
    </w:p>
    <w:p>
      <w:pPr>
        <w:pStyle w:val="Normal"/>
      </w:pPr>
      <w:r>
        <w:rPr>
          <w:b/>
        </w:rPr>
        <w:t xml:space="preserve">BU-2. Trusted Returning Workers. </w:t>
      </w:r>
      <w:r>
        <w:t>Workers who comply with temporary programs and depart as required may receive facilitated consideration for future lawful participation, subject to continued eligibility.</w:t>
      </w:r>
    </w:p>
    <w:p>
      <w:pPr>
        <w:pStyle w:val="Normal"/>
      </w:pPr>
      <w:r>
        <w:rPr>
          <w:b/>
        </w:rPr>
        <w:t xml:space="preserve">BU-3. Portable Social Protection. </w:t>
      </w:r>
      <w:r>
        <w:t>The Parties should pursue portability or coordination of pensions, social-security records, workers' compensation and lawfully earned savings through applicable agreements and domestic law.</w:t>
      </w:r>
    </w:p>
    <w:p>
      <w:pPr>
        <w:pStyle w:val="Normal"/>
      </w:pPr>
      <w:r>
        <w:rPr>
          <w:b/>
        </w:rPr>
        <w:t xml:space="preserve">BU-4. Reintegration and Skills Recognition. </w:t>
      </w:r>
      <w:r>
        <w:t>Returning persons should be able to document skills and experience acquired abroad for employment, education and licensing purposes.</w:t>
      </w:r>
    </w:p>
    <w:p>
      <w:pPr>
        <w:pStyle w:val="Normal"/>
      </w:pPr>
      <w:r>
        <w:rPr>
          <w:b/>
        </w:rPr>
        <w:t xml:space="preserve">BU-5. Regional Development. </w:t>
      </w:r>
      <w:r>
        <w:t>The Parties may coordinate development finance, vocational training, SME support, infrastructure and lawful recruitment information in communities experiencing high migration pressure, with the affected Party retaining control over domestic priorities.</w:t>
      </w:r>
    </w:p>
    <w:p>
      <w:pPr>
        <w:pStyle w:val="Normal"/>
      </w:pPr>
      <w:r>
        <w:rPr>
          <w:b/>
        </w:rPr>
        <w:t xml:space="preserve">BU-6. Disaster Status Continuity. </w:t>
      </w:r>
      <w:r>
        <w:t>A disaster that closes offices, interrupts travel or destroys documents should not by itself cause otherwise lawful status to lapse where timely compliance was reasonably impossible.</w:t>
      </w:r>
    </w:p>
    <w:p>
      <w:pPr>
        <w:pStyle w:val="Normal"/>
      </w:pPr>
      <w:r>
        <w:rPr>
          <w:b/>
        </w:rPr>
        <w:t xml:space="preserve">BU-7. Temporary Disaster Mobility. </w:t>
      </w:r>
      <w:r>
        <w:t>The Parties may establish temporary, reviewable humanitarian mobility and status-extension mechanisms where safe return is temporarily impossible because of major disaster, conflict or state collapse.</w:t>
      </w:r>
    </w:p>
    <w:p>
      <w:pPr>
        <w:pStyle w:val="Normal"/>
      </w:pPr>
      <w:r>
        <w:rPr>
          <w:b/>
        </w:rPr>
        <w:t xml:space="preserve">BU-8. Emergency Responders. </w:t>
      </w:r>
      <w:r>
        <w:t>Qualified emergency responders may receive expedited temporary mobility during major disasters, subject to credential, safety and command requirements.</w:t>
      </w:r>
    </w:p>
    <w:p>
      <w:pPr>
        <w:pStyle w:val="Normal"/>
      </w:pPr>
      <w:r>
        <w:rPr>
          <w:b/>
        </w:rPr>
        <w:t xml:space="preserve">BU-9. Humanitarian Corridors. </w:t>
      </w:r>
      <w:r>
        <w:t>The Parties may coordinate emergency humanitarian corridors for disasters and other acute crises, subject to security screening and the Humanitarian and Life-Safety Firewall.</w:t>
      </w:r>
    </w:p>
    <w:p>
      <w:pPr>
        <w:pStyle w:val="Normal"/>
      </w:pPr>
      <w:r>
        <w:rPr>
          <w:b/>
        </w:rPr>
        <w:t xml:space="preserve">BU-10. Evidence and Evaluation. </w:t>
      </w:r>
      <w:r>
        <w:t>Programs should measure repeat irregular migration, successful reintegration, labour-market outcomes, community effects and protection outcomes to support adaptive policy.</w:t>
      </w:r>
    </w:p>
    <w:p>
      <w:pPr>
        <w:pStyle w:val="Heading1"/>
      </w:pPr>
      <w:bookmarkStart w:id="902390" w:name="_Toc300002389"/>
      <w:r>
        <w:t>PACKAGE BV: TRUSTED NORTH AMERICAN MOBILITY AND ADMINISTRATIVE INTEROPERABILITY</w:t>
      </w:r>
      <w:bookmarkEnd w:id="902390"/>
    </w:p>
    <w:p>
      <w:pPr>
        <w:pStyle w:val="Normal"/>
      </w:pPr>
      <w:r>
        <w:rPr>
          <w:b/>
        </w:rPr>
        <w:t xml:space="preserve">BV-1. Trusted Mobility Concept. </w:t>
      </w:r>
      <w:r>
        <w:t>The Parties may establish risk-based administrative facilitation for persons with verified histories of lawful participation in covered mobility programs. Trusted status is an administrative facilitation and does not create a right to admission.</w:t>
      </w:r>
    </w:p>
    <w:p>
      <w:pPr>
        <w:pStyle w:val="Normal"/>
      </w:pPr>
      <w:r>
        <w:rPr>
          <w:b/>
        </w:rPr>
        <w:t xml:space="preserve">BV-2. Qualification Logic. </w:t>
      </w:r>
      <w:r>
        <w:t>Qualification may consider verified identity, prior program compliance, lawful work, applicable tax or contribution compliance, absence of disqualifying fraud, and timely departure where required.</w:t>
      </w:r>
    </w:p>
    <w:p>
      <w:pPr>
        <w:pStyle w:val="Normal"/>
      </w:pPr>
      <w:r>
        <w:rPr>
          <w:b/>
        </w:rPr>
        <w:t xml:space="preserve">BV-3. Continued Admissibility. </w:t>
      </w:r>
      <w:r>
        <w:t>Trusted processing remains subject to each Party's current admissibility, security, health and public-safety law.</w:t>
      </w:r>
    </w:p>
    <w:p>
      <w:pPr>
        <w:pStyle w:val="Normal"/>
      </w:pPr>
      <w:r>
        <w:rPr>
          <w:b/>
        </w:rPr>
        <w:t xml:space="preserve">BV-4. Interoperable Credentials. </w:t>
      </w:r>
      <w:r>
        <w:t>The Parties should support secure verification of work authorization, professional credentials and program history without requiring unnecessary centralization of personal data.</w:t>
      </w:r>
    </w:p>
    <w:p>
      <w:pPr>
        <w:pStyle w:val="Normal"/>
      </w:pPr>
      <w:r>
        <w:rPr>
          <w:b/>
        </w:rPr>
        <w:t xml:space="preserve">BV-5. Record Correction. </w:t>
      </w:r>
      <w:r>
        <w:t>A person shall have a practical mechanism to challenge or correct erroneous information that materially affects trusted status.</w:t>
      </w:r>
    </w:p>
    <w:p>
      <w:pPr>
        <w:pStyle w:val="Normal"/>
      </w:pPr>
      <w:r>
        <w:rPr>
          <w:b/>
        </w:rPr>
        <w:t xml:space="preserve">BV-6. Suspension and Restoration. </w:t>
      </w:r>
      <w:r>
        <w:t>Trusted status may be suspended for substantiated material noncompliance, with notice and review appropriate to the consequence, and restored when eligibility is re-established.</w:t>
      </w:r>
    </w:p>
    <w:p>
      <w:pPr>
        <w:pStyle w:val="Normal"/>
      </w:pPr>
      <w:r>
        <w:rPr>
          <w:b/>
        </w:rPr>
        <w:t xml:space="preserve">BV-7. No Protected-Characteristic Scoring. </w:t>
      </w:r>
      <w:r>
        <w:t>Race, ethnicity, religion, Indigenous identity or comparable protected characteristics shall not be used as negative trusted-mobility risk factors.</w:t>
      </w:r>
    </w:p>
    <w:p>
      <w:pPr>
        <w:pStyle w:val="Normal"/>
      </w:pPr>
      <w:r>
        <w:rPr>
          <w:b/>
        </w:rPr>
        <w:t xml:space="preserve">BV-8. Program Evaluation. </w:t>
      </w:r>
      <w:r>
        <w:t>The Parties should evaluate whether trusted processing reduces administrative burden, fraud, unauthorized work and repeat irregular migration without creating discriminatory outcomes.</w:t>
      </w:r>
    </w:p>
    <w:p>
      <w:pPr>
        <w:pStyle w:val="Normal"/>
      </w:pPr>
      <w:r>
        <w:t>This Package forms part of the broader human-rights architecture and should be read with BN, BQ, BS, BX, and specialized custodial protections.</w:t>
      </w:r>
    </w:p>
    <w:p>
      <w:pPr>
        <w:pStyle w:val="TrumpVisibilityHeadline"/>
      </w:pPr>
      <w:r>
        <w:t>SEARCH SIGNPOST: HUMAN RIGHTS / HUMAN DIGNITY / RULE OF LAW / DUE PROCESS / LEGAL ACCESS / MEDICAL CARE / NON-DISCRIMINATION</w:t>
      </w:r>
    </w:p>
    <w:p>
      <w:pPr>
        <w:pStyle w:val="Heading1"/>
      </w:pPr>
      <w:bookmarkStart w:id="902391" w:name="_Toc300002390"/>
      <w:r>
        <w:t>PACKAGE BW: NORTH AMERICAN HUMAN DIGNITY, RULE-OF-LAW AND EARNED COOPERATION FRAMEWORK</w:t>
      </w:r>
      <w:bookmarkEnd w:id="902391"/>
    </w:p>
    <w:p>
      <w:pPr>
        <w:pStyle w:val="Normal"/>
      </w:pPr>
      <w:r>
        <w:rPr>
          <w:b/>
        </w:rPr>
        <w:t xml:space="preserve">BW-1. Purpose. </w:t>
      </w:r>
      <w:r>
        <w:t>This Package creates a reciprocal, evidence-based framework through which additional government-level economic cooperation may reward verified improvements in human-rights, due-process, migrant-worker and lawful-administration benchmarks. It shall not be interpreted as collective punishment or as authority to suspend fundamental individual protections.</w:t>
      </w:r>
    </w:p>
    <w:p>
      <w:pPr>
        <w:pStyle w:val="Normal"/>
      </w:pPr>
      <w:r>
        <w:rPr>
          <w:b/>
        </w:rPr>
        <w:t xml:space="preserve">BW-2. Equal Application. </w:t>
      </w:r>
      <w:r>
        <w:t>Published benchmarks shall apply on equal terms to Canada, Mexico and the United States. No Party may claim a benefit from standards that it refuses to accept for its own covered conduct.</w:t>
      </w:r>
    </w:p>
    <w:p>
      <w:pPr>
        <w:pStyle w:val="Normal"/>
      </w:pPr>
      <w:r>
        <w:rPr>
          <w:b/>
        </w:rPr>
        <w:t xml:space="preserve">BW-3. Benchmark Categories. </w:t>
      </w:r>
      <w:r>
        <w:t>Benchmarks may address humane detention conditions, independent review, access to counsel or legal information where applicable, necessary medical care, non-refoulement, family unity, anti-trafficking safeguards, migrant-worker protection, data protection and institutional separation of enforcement from adjudication.</w:t>
      </w:r>
    </w:p>
    <w:p>
      <w:pPr>
        <w:pStyle w:val="Normal"/>
      </w:pPr>
      <w:r>
        <w:rPr>
          <w:b/>
        </w:rPr>
        <w:t xml:space="preserve">BW-4. Independent Evidence. </w:t>
      </w:r>
      <w:r>
        <w:t>A finding capable of triggering a government-level step-back shall rely on documented evidence, an opportunity for the affected Party to respond, and independent legal or expert review appropriate to the issue.</w:t>
      </w:r>
    </w:p>
    <w:p>
      <w:pPr>
        <w:pStyle w:val="Normal"/>
      </w:pPr>
      <w:r>
        <w:rPr>
          <w:b/>
        </w:rPr>
        <w:t xml:space="preserve">BW-5. Nexus Principle. </w:t>
      </w:r>
      <w:r>
        <w:t>A commercial response should bear a reasonable relationship to the conduct at issue. Forced labour should principally engage procurement, import, supply-chain or finance measures; migrant-worker abuse should principally engage labour-mobility and employer benefits; immigration-data abuse should principally engage data-sharing; border-processing deficiencies should principally engage optional border-modernization cooperation.</w:t>
      </w:r>
    </w:p>
    <w:p>
      <w:pPr>
        <w:pStyle w:val="Normal"/>
      </w:pPr>
      <w:r>
        <w:rPr>
          <w:b/>
        </w:rPr>
        <w:t xml:space="preserve">BW-6. Carrots Before Sticks. </w:t>
      </w:r>
      <w:r>
        <w:t>Technical assistance, pilot programs, additional cooperation, financing, facilitation and recognition should ordinarily precede punitive or restrictive measures where the gravity and urgency of the conduct permit.</w:t>
      </w:r>
    </w:p>
    <w:p>
      <w:pPr>
        <w:pStyle w:val="Normal"/>
      </w:pPr>
      <w:r>
        <w:rPr>
          <w:b/>
        </w:rPr>
        <w:t xml:space="preserve">BW-7. Human-Rights Earn-Back Ladder. </w:t>
      </w:r>
      <w:r>
        <w:t>The ordinary sequence shall be documented concern, consultation, verification, corrective-action opportunity, a short cure period where appropriate, proportional prospective pause of a specifically paired additional government-level benefit, partial restoration upon verified progress, and full restoration upon compliance.</w:t>
      </w:r>
    </w:p>
    <w:p>
      <w:pPr>
        <w:pStyle w:val="Normal"/>
      </w:pPr>
      <w:r>
        <w:rPr>
          <w:b/>
        </w:rPr>
        <w:t xml:space="preserve">BW-8. Grave-Abuse Accelerator. </w:t>
      </w:r>
      <w:r>
        <w:t>Credible evidence of torture, forced labour, trafficking, disappearance, deliberate denial of necessary medical care, or similarly grave conduct may justify accelerated independent review and proportionate protective action without exhausting ordinary sequencing.</w:t>
      </w:r>
    </w:p>
    <w:p>
      <w:pPr>
        <w:pStyle w:val="Normal"/>
      </w:pPr>
      <w:r>
        <w:rPr>
          <w:b/>
        </w:rPr>
        <w:t xml:space="preserve">BW-9. No Deliberate Civilian Harm. </w:t>
      </w:r>
      <w:r>
        <w:t>Responsive measures shall be selected to minimize foreseeable harm to ordinary workers, consumers, migrants, border communities and unrelated firms.</w:t>
      </w:r>
    </w:p>
    <w:p>
      <w:pPr>
        <w:pStyle w:val="Normal"/>
      </w:pPr>
      <w:r>
        <w:rPr>
          <w:b/>
        </w:rPr>
        <w:t xml:space="preserve">BW-10. Essential-Supplies Firewall. </w:t>
      </w:r>
      <w:r>
        <w:t>Trade measures under this Package shall not intentionally disrupt essential food, medicine, humanitarian supplies, disaster response or other life-safety goods and services.</w:t>
      </w:r>
    </w:p>
    <w:p>
      <w:pPr>
        <w:pStyle w:val="Normal"/>
      </w:pPr>
      <w:r>
        <w:rPr>
          <w:b/>
        </w:rPr>
        <w:t xml:space="preserve">BW-11. Individual Non-Retaliation. </w:t>
      </w:r>
      <w:r>
        <w:t>A government-level benchmark failure shall not by itself cancel an individual's already granted visa, work authorization, refugee protection, humanitarian status or accrued procedural rights.</w:t>
      </w:r>
    </w:p>
    <w:p>
      <w:pPr>
        <w:pStyle w:val="Normal"/>
      </w:pPr>
      <w:r>
        <w:rPr>
          <w:b/>
        </w:rPr>
        <w:t xml:space="preserve">BW-12. Company-Specific Remedies. </w:t>
      </w:r>
      <w:r>
        <w:t>Companies substantiated as participating in trafficking, forced labour, document confiscation or serious migrant-worker abuse may be subject to targeted procurement, public-finance or customs consequences, with notice, evidence, review and remediation.</w:t>
      </w:r>
    </w:p>
    <w:p>
      <w:pPr>
        <w:pStyle w:val="Normal"/>
      </w:pPr>
      <w:r>
        <w:rPr>
          <w:b/>
        </w:rPr>
        <w:t xml:space="preserve">BW-13. Remediation and Delisting. </w:t>
      </w:r>
      <w:r>
        <w:t>A company or government program subject to a reversible restriction shall have a defined pathway to demonstrate remediation and regain eligibility.</w:t>
      </w:r>
    </w:p>
    <w:p>
      <w:pPr>
        <w:pStyle w:val="Normal"/>
      </w:pPr>
      <w:r>
        <w:rPr>
          <w:b/>
        </w:rPr>
        <w:t xml:space="preserve">BW-14. Transparency. </w:t>
      </w:r>
      <w:r>
        <w:t>Material activation, continuation, modification and restoration decisions shall be publicly justified in a form that identifies the benchmark, evidence, proportionality analysis and available cure or earn-back pathway.</w:t>
      </w:r>
    </w:p>
    <w:p>
      <w:pPr>
        <w:pStyle w:val="Normal"/>
      </w:pPr>
      <w:r>
        <w:rPr>
          <w:b/>
        </w:rPr>
        <w:t xml:space="preserve">BW-15. No Emergency Leverage. </w:t>
      </w:r>
      <w:r>
        <w:t>Emergency logistics, emergency energy, essential medical cooperation and comparable life-safety arrangements shall not be deliberately withheld to extract unrelated migration-policy concessions.</w:t>
      </w:r>
    </w:p>
    <w:p>
      <w:pPr>
        <w:pStyle w:val="Normal"/>
      </w:pPr>
      <w:r>
        <w:rPr>
          <w:b/>
        </w:rPr>
        <w:t xml:space="preserve">BW-16. Existing Cothrom Architecture. </w:t>
      </w:r>
      <w:r>
        <w:t>Where a dispute concerns paired government-level commitments under this Package, the Parties should use existing consultation, Secretariat and Cothrom step-back and earn-back procedures rather than creating a new permanent human-rights trade tribunal.</w:t>
      </w:r>
    </w:p>
    <w:p>
      <w:pPr>
        <w:pStyle w:val="Heading1"/>
      </w:pPr>
      <w:bookmarkStart w:id="902392" w:name="_Toc300002391"/>
      <w:r>
        <w:t>PACKAGE BX: HUMAN-RIGHTS-CONDITIONED TRADE AND IMPLEMENTATION CATALOGUE</w:t>
      </w:r>
      <w:bookmarkEnd w:id="902392"/>
    </w:p>
    <w:p>
      <w:pPr>
        <w:pStyle w:val="Normal"/>
      </w:pPr>
      <w:r>
        <w:rPr>
          <w:b/>
        </w:rPr>
        <w:t xml:space="preserve">BX-1. Responsible Procurement. </w:t>
      </w:r>
      <w:r>
        <w:t>Exclude, suspend or downgrade suppliers after substantiated forced-labour, trafficking, wage-theft, document-confiscation or serious retaliation findings, with due process and remediation.</w:t>
      </w:r>
    </w:p>
    <w:p>
      <w:pPr>
        <w:pStyle w:val="Normal"/>
      </w:pPr>
      <w:r>
        <w:rPr>
          <w:b/>
        </w:rPr>
        <w:t xml:space="preserve">BX-2. Ethical Supply-Chain Certification. </w:t>
      </w:r>
      <w:r>
        <w:t>Support voluntary or risk-based certifications addressing recruitment fees, passport control, wage theft, unsafe housing and forced migrant labour.</w:t>
      </w:r>
    </w:p>
    <w:p>
      <w:pPr>
        <w:pStyle w:val="Normal"/>
      </w:pPr>
      <w:r>
        <w:rPr>
          <w:b/>
        </w:rPr>
        <w:t xml:space="preserve">BX-3. Importer Due Diligence. </w:t>
      </w:r>
      <w:r>
        <w:t>Require proportionate disclosure or due diligence in sectors presenting material forced-labour or trafficking risk.</w:t>
      </w:r>
    </w:p>
    <w:p>
      <w:pPr>
        <w:pStyle w:val="Normal"/>
      </w:pPr>
      <w:r>
        <w:rPr>
          <w:b/>
        </w:rPr>
        <w:t xml:space="preserve">BX-4. Migrant-Labour Trade Chapters. </w:t>
      </w:r>
      <w:r>
        <w:t>Use existing labour mechanisms to investigate exploitation, recruitment abuse and retaliation affecting workers in covered trade programs.</w:t>
      </w:r>
    </w:p>
    <w:p>
      <w:pPr>
        <w:pStyle w:val="Normal"/>
      </w:pPr>
      <w:r>
        <w:rPr>
          <w:b/>
        </w:rPr>
        <w:t xml:space="preserve">BX-5. Export-Credit Conditions. </w:t>
      </w:r>
      <w:r>
        <w:t>Condition public export credit and development finance on relevant anti-trafficking and migrant-worker safeguards.</w:t>
      </w:r>
    </w:p>
    <w:p>
      <w:pPr>
        <w:pStyle w:val="Normal"/>
      </w:pPr>
      <w:r>
        <w:rPr>
          <w:b/>
        </w:rPr>
        <w:t xml:space="preserve">BX-6. Public-Finance Exclusion. </w:t>
      </w:r>
      <w:r>
        <w:t>Deny public finance to projects substantiated as using forced labour, trafficking or unlawful detention labour.</w:t>
      </w:r>
    </w:p>
    <w:p>
      <w:pPr>
        <w:pStyle w:val="Normal"/>
      </w:pPr>
      <w:r>
        <w:rPr>
          <w:b/>
        </w:rPr>
        <w:t xml:space="preserve">BX-7. Responsible Investment Incentives. </w:t>
      </w:r>
      <w:r>
        <w:t>Permit public financing advantages for projects that demonstrate safe lawful employment, grievance channels and adequate worker housing or transportation.</w:t>
      </w:r>
    </w:p>
    <w:p>
      <w:pPr>
        <w:pStyle w:val="Normal"/>
      </w:pPr>
      <w:r>
        <w:rPr>
          <w:b/>
        </w:rPr>
        <w:t xml:space="preserve">BX-8. Agricultural Recruiter Standards. </w:t>
      </w:r>
      <w:r>
        <w:t>Require licensed or accountable recruiters, transparent contracts, safe housing and rapid complaint mechanisms in covered agricultural programs.</w:t>
      </w:r>
    </w:p>
    <w:p>
      <w:pPr>
        <w:pStyle w:val="Normal"/>
      </w:pPr>
      <w:r>
        <w:rPr>
          <w:b/>
        </w:rPr>
        <w:t xml:space="preserve">BX-9. Harvest-Season Rapid Remedy. </w:t>
      </w:r>
      <w:r>
        <w:t>Provide expedited labour complaint handling where delay would otherwise render the remedy ineffective before seasonal work ends.</w:t>
      </w:r>
    </w:p>
    <w:p>
      <w:pPr>
        <w:pStyle w:val="Normal"/>
      </w:pPr>
      <w:r>
        <w:rPr>
          <w:b/>
        </w:rPr>
        <w:t xml:space="preserve">BX-10. Critical-Minerals Labour Nexus. </w:t>
      </w:r>
      <w:r>
        <w:t>Apply migrant-worker and anti-trafficking safeguards to mineral projects and supply chains receiving covered strategic benefits.</w:t>
      </w:r>
    </w:p>
    <w:p>
      <w:pPr>
        <w:pStyle w:val="Normal"/>
      </w:pPr>
      <w:r>
        <w:rPr>
          <w:b/>
        </w:rPr>
        <w:t xml:space="preserve">BX-11. Energy-Project Safeguards. </w:t>
      </w:r>
      <w:r>
        <w:t>Require relevant worker recruitment, housing, grievance and forced-labour safeguards in publicly supported cross-border energy projects.</w:t>
      </w:r>
    </w:p>
    <w:p>
      <w:pPr>
        <w:pStyle w:val="Normal"/>
      </w:pPr>
      <w:r>
        <w:rPr>
          <w:b/>
        </w:rPr>
        <w:t xml:space="preserve">BX-12. Truck and Logistics Worker Protection. </w:t>
      </w:r>
      <w:r>
        <w:t>Pair trusted-freight or other additional logistics benefits with sector-relevant protections against document confiscation, wage abuse, unsafe coercion and retaliation.</w:t>
      </w:r>
    </w:p>
    <w:p>
      <w:pPr>
        <w:pStyle w:val="Normal"/>
      </w:pPr>
      <w:r>
        <w:rPr>
          <w:b/>
        </w:rPr>
        <w:t xml:space="preserve">BX-13. Port and Rail Anti-Trafficking. </w:t>
      </w:r>
      <w:r>
        <w:t>Include anti-trafficking and worker-protection safeguards in publicly supported port, rail and freight-corridor modernization.</w:t>
      </w:r>
    </w:p>
    <w:p>
      <w:pPr>
        <w:pStyle w:val="Normal"/>
      </w:pPr>
      <w:r>
        <w:rPr>
          <w:b/>
        </w:rPr>
        <w:t xml:space="preserve">BX-14. Immigration-Data Cooperation. </w:t>
      </w:r>
      <w:r>
        <w:t>Condition advanced immigration-data exchanges on purpose limitation, correction rights, security, retention controls and prohibitions on indiscriminate enforcement use.</w:t>
      </w:r>
    </w:p>
    <w:p>
      <w:pPr>
        <w:pStyle w:val="Normal"/>
      </w:pPr>
      <w:r>
        <w:rPr>
          <w:b/>
        </w:rPr>
        <w:t xml:space="preserve">BX-15. Responsible Immigration Technology. </w:t>
      </w:r>
      <w:r>
        <w:t>Require auditability, human review and error-correction capability for publicly procured high-impact immigration screening systems.</w:t>
      </w:r>
    </w:p>
    <w:p>
      <w:pPr>
        <w:pStyle w:val="Normal"/>
      </w:pPr>
      <w:r>
        <w:rPr>
          <w:b/>
        </w:rPr>
        <w:t xml:space="preserve">BX-16. Lawful-Mobility Carrot. </w:t>
      </w:r>
      <w:r>
        <w:t>Expand or simplify covered worker-mobility programs where verified recruitment abuse and unauthorized employment decline and worker portability protections are effective.</w:t>
      </w:r>
    </w:p>
    <w:p>
      <w:pPr>
        <w:pStyle w:val="Normal"/>
      </w:pPr>
      <w:r>
        <w:rPr>
          <w:b/>
        </w:rPr>
        <w:t xml:space="preserve">BX-17. Trusted Renewal Carrot. </w:t>
      </w:r>
      <w:r>
        <w:t>Use simplified renewal for verified compliant workers as a positive administrative incentive rather than broad coercive enforcement.</w:t>
      </w:r>
    </w:p>
    <w:p>
      <w:pPr>
        <w:pStyle w:val="Normal"/>
      </w:pPr>
      <w:r>
        <w:rPr>
          <w:b/>
        </w:rPr>
        <w:t xml:space="preserve">BX-18. Targeted Corporate Restrictions. </w:t>
      </w:r>
      <w:r>
        <w:t>Prefer restrictions directed at substantiated abusive firms over broad trade penalties affecting unrelated consumers and workers.</w:t>
      </w:r>
    </w:p>
    <w:p>
      <w:pPr>
        <w:pStyle w:val="Normal"/>
      </w:pPr>
      <w:r>
        <w:rPr>
          <w:b/>
        </w:rPr>
        <w:t xml:space="preserve">BX-19. Forced-Labour Customs Action. </w:t>
      </w:r>
      <w:r>
        <w:t>Coordinate lawful customs action against goods produced with forced or trafficked labour, subject to evidentiary and humanitarian safeguards.</w:t>
      </w:r>
    </w:p>
    <w:p>
      <w:pPr>
        <w:pStyle w:val="Normal"/>
      </w:pPr>
      <w:r>
        <w:rPr>
          <w:b/>
        </w:rPr>
        <w:t xml:space="preserve">BX-20. Victim and Witness Protection. </w:t>
      </w:r>
      <w:r>
        <w:t>Protect persons cooperating in labour, trafficking or trade-remedy investigations from retaliation and unnecessary immigration consequences.</w:t>
      </w:r>
    </w:p>
    <w:p>
      <w:pPr>
        <w:pStyle w:val="Normal"/>
      </w:pPr>
      <w:r>
        <w:rPr>
          <w:b/>
        </w:rPr>
        <w:t xml:space="preserve">BX-21. Penalty-Funded Remediation. </w:t>
      </w:r>
      <w:r>
        <w:t>Where domestic law permits, direct a proportionate share of penalties from proven corporate abuse toward restitution, remediation or victim services without making enforcement institutions dependent on penalty revenue.</w:t>
      </w:r>
    </w:p>
    <w:p>
      <w:pPr>
        <w:pStyle w:val="Normal"/>
      </w:pPr>
      <w:r>
        <w:rPr>
          <w:b/>
        </w:rPr>
        <w:t xml:space="preserve">BX-22. Country Scorecards. </w:t>
      </w:r>
      <w:r>
        <w:t>Publish evidence-based, methodologically transparent assessments of agreed benchmarks with responses and correction procedures for each Party.</w:t>
      </w:r>
    </w:p>
    <w:p>
      <w:pPr>
        <w:pStyle w:val="Normal"/>
      </w:pPr>
      <w:r>
        <w:rPr>
          <w:b/>
        </w:rPr>
        <w:t xml:space="preserve">BX-23. Independent Inspection Support. </w:t>
      </w:r>
      <w:r>
        <w:t>Support independent inspection of detention and processing facilities without converting inspectors into enforcement agents.</w:t>
      </w:r>
    </w:p>
    <w:p>
      <w:pPr>
        <w:pStyle w:val="Normal"/>
      </w:pPr>
      <w:r>
        <w:rPr>
          <w:b/>
        </w:rPr>
        <w:t xml:space="preserve">BX-24. Urgent Rights Findings. </w:t>
      </w:r>
      <w:r>
        <w:t>Provide an accelerated review path for credible allegations involving death, torture, disappearance, trafficking, family separation contrary to law, or other grave abuse.</w:t>
      </w:r>
    </w:p>
    <w:p>
      <w:pPr>
        <w:pStyle w:val="Normal"/>
      </w:pPr>
      <w:r>
        <w:rPr>
          <w:b/>
        </w:rPr>
        <w:t xml:space="preserve">BX-25. Government Response. </w:t>
      </w:r>
      <w:r>
        <w:t>Require a Party receiving a formal benchmark finding to publish or provide a reasoned response within an appropriate period.</w:t>
      </w:r>
    </w:p>
    <w:p>
      <w:pPr>
        <w:pStyle w:val="Normal"/>
      </w:pPr>
      <w:r>
        <w:rPr>
          <w:b/>
        </w:rPr>
        <w:t xml:space="preserve">BX-26. Privacy-Protective Complaint Reporting. </w:t>
      </w:r>
      <w:r>
        <w:t>Publish systemic complaint outcomes while protecting migrants, witnesses, children and sensitive personal information.</w:t>
      </w:r>
    </w:p>
    <w:p>
      <w:pPr>
        <w:pStyle w:val="Normal"/>
      </w:pPr>
      <w:r>
        <w:rPr>
          <w:b/>
        </w:rPr>
        <w:t xml:space="preserve">BX-27. Business Technical Exchanges. </w:t>
      </w:r>
      <w:r>
        <w:t>Use employers, chambers, universities, hospitals, farms and logistics operators to identify economic benefits from predictable lawful processing and worker protection.</w:t>
      </w:r>
    </w:p>
    <w:p>
      <w:pPr>
        <w:pStyle w:val="Normal"/>
      </w:pPr>
      <w:r>
        <w:rPr>
          <w:b/>
        </w:rPr>
        <w:t xml:space="preserve">BX-28. Policy Observation Exchanges. </w:t>
      </w:r>
      <w:r>
        <w:t>Permit officials to observe effective alternatives to detention, victim-protection programs, lawful processing systems and labour-enforcement practices in other Parties.</w:t>
      </w:r>
    </w:p>
    <w:p>
      <w:pPr>
        <w:pStyle w:val="Normal"/>
      </w:pPr>
      <w:r>
        <w:rPr>
          <w:b/>
        </w:rPr>
        <w:t xml:space="preserve">BX-29. Neutral but Transparent Diplomacy. </w:t>
      </w:r>
      <w:r>
        <w:t>Use institution-focused language and measurable standards rather than personal attacks, while openly identifying the human-rights objective.</w:t>
      </w:r>
    </w:p>
    <w:p>
      <w:pPr>
        <w:pStyle w:val="Normal"/>
      </w:pPr>
      <w:r>
        <w:rPr>
          <w:b/>
        </w:rPr>
        <w:t xml:space="preserve">BX-30. Pilot Reform Carrots. </w:t>
      </w:r>
      <w:r>
        <w:t>Offer reversible pilot cooperation allowing a Party to test reforms without requiring a public admission of policy failure.</w:t>
      </w:r>
    </w:p>
    <w:p>
      <w:pPr>
        <w:pStyle w:val="Normal"/>
      </w:pPr>
      <w:r>
        <w:rPr>
          <w:b/>
        </w:rPr>
        <w:t xml:space="preserve">BX-31. Proportional Benefit Sequencing. </w:t>
      </w:r>
      <w:r>
        <w:t>Small verified improvements may earn small additional benefits; major durable improvements may earn larger benefits.</w:t>
      </w:r>
    </w:p>
    <w:p>
      <w:pPr>
        <w:pStyle w:val="Normal"/>
      </w:pPr>
      <w:r>
        <w:rPr>
          <w:b/>
        </w:rPr>
        <w:t xml:space="preserve">BX-32. Automatic Earn-Back. </w:t>
      </w:r>
      <w:r>
        <w:t>Restore a paused additional benefit promptly and proportionately once the associated benchmark or corrective commitment is verified as satisfied.</w:t>
      </w:r>
    </w:p>
    <w:p>
      <w:pPr>
        <w:pStyle w:val="Normal"/>
      </w:pPr>
      <w:r>
        <w:rPr>
          <w:b/>
        </w:rPr>
        <w:t xml:space="preserve">BX-33. Worker Housing Infrastructure. </w:t>
      </w:r>
      <w:r>
        <w:t>Support safe worker housing in agricultural, industrial and logistics corridors through existing financing channels.</w:t>
      </w:r>
    </w:p>
    <w:p>
      <w:pPr>
        <w:pStyle w:val="Normal"/>
      </w:pPr>
      <w:r>
        <w:rPr>
          <w:b/>
        </w:rPr>
        <w:t xml:space="preserve">BX-34. Independent Legal-Aid and Shelter Support. </w:t>
      </w:r>
      <w:r>
        <w:t>Permit support for legal aid, shelters and reception capacity while preserving their operational independence from immigration enforcement.</w:t>
      </w:r>
    </w:p>
    <w:p>
      <w:pPr>
        <w:pStyle w:val="Normal"/>
      </w:pPr>
      <w:r>
        <w:rPr>
          <w:b/>
        </w:rPr>
        <w:t xml:space="preserve">BX-35. Verified Employer Matching. </w:t>
      </w:r>
      <w:r>
        <w:t>Support employment centers or digital services connecting lawful workers with verified employers and transparent job terms.</w:t>
      </w:r>
    </w:p>
    <w:p>
      <w:pPr>
        <w:pStyle w:val="Normal"/>
      </w:pPr>
      <w:r>
        <w:rPr>
          <w:b/>
        </w:rPr>
        <w:t xml:space="preserve">BX-36. Regional Opportunity Investment. </w:t>
      </w:r>
      <w:r>
        <w:t>Coordinate business, training and infrastructure investment in communities experiencing high emigration pressure, with local and national ownership of priorities.</w:t>
      </w:r>
    </w:p>
    <w:p>
      <w:pPr>
        <w:pStyle w:val="Normal"/>
      </w:pPr>
      <w:r>
        <w:rPr>
          <w:b/>
        </w:rPr>
        <w:t xml:space="preserve">BX-37. Portable Social Protection. </w:t>
      </w:r>
      <w:r>
        <w:t>Advance portable pension, workers' compensation and other lawful social-protection records for mobile workers.</w:t>
      </w:r>
    </w:p>
    <w:p>
      <w:pPr>
        <w:pStyle w:val="Normal"/>
      </w:pPr>
      <w:r>
        <w:rPr>
          <w:b/>
        </w:rPr>
        <w:t xml:space="preserve">BX-38. Remittance and Wage Safeguards. </w:t>
      </w:r>
      <w:r>
        <w:t>Support transparent remittance systems and traceable, worker-accessible wage payment without unnecessary immigration-data sharing.</w:t>
      </w:r>
    </w:p>
    <w:p>
      <w:pPr>
        <w:pStyle w:val="Normal"/>
      </w:pPr>
      <w:r>
        <w:rPr>
          <w:b/>
        </w:rPr>
        <w:t xml:space="preserve">BX-39. Asylum-Processing Infrastructure Nexus. </w:t>
      </w:r>
      <w:r>
        <w:t>Condition optional trade-funded border-processing infrastructure on independent protection procedures and humane facility safeguards directly related to that infrastructure.</w:t>
      </w:r>
    </w:p>
    <w:p>
      <w:pPr>
        <w:pStyle w:val="Normal"/>
      </w:pPr>
      <w:r>
        <w:rPr>
          <w:b/>
        </w:rPr>
        <w:t xml:space="preserve">BX-40. No Unlawful Pushback Bargain. </w:t>
      </w:r>
      <w:r>
        <w:t>No trade or infrastructure benefit shall be conditioned upon a Party conducting a collective return, unlawful pushback or other action contrary to applicable protection obligations.</w:t>
      </w:r>
    </w:p>
    <w:p>
      <w:pPr>
        <w:pStyle w:val="Normal"/>
      </w:pPr>
      <w:r>
        <w:rPr>
          <w:b/>
        </w:rPr>
        <w:t xml:space="preserve">BX-41. Humanitarian Facility Standards. </w:t>
      </w:r>
      <w:r>
        <w:t>Any jointly supported migration-processing facility shall provide appropriate interpretation, legal information, medical screening, privacy and independent oversight.</w:t>
      </w:r>
    </w:p>
    <w:p>
      <w:pPr>
        <w:pStyle w:val="Normal"/>
      </w:pPr>
      <w:r>
        <w:rPr>
          <w:b/>
        </w:rPr>
        <w:t xml:space="preserve">BX-42. Safe-Third-Country Safeguards. </w:t>
      </w:r>
      <w:r>
        <w:t>Where trade or border cooperation supports a transfer arrangement, require periodic evidence review and procedural safeguards consistent with applicable law.</w:t>
      </w:r>
    </w:p>
    <w:p>
      <w:pPr>
        <w:pStyle w:val="Normal"/>
      </w:pPr>
      <w:r>
        <w:rPr>
          <w:b/>
        </w:rPr>
        <w:t xml:space="preserve">BX-43. Research on Alternatives. </w:t>
      </w:r>
      <w:r>
        <w:t>Support nonpartisan research on detention alternatives, processing efficiency, legal migration, labour-market outcomes and the economic effects of enforcement choices.</w:t>
      </w:r>
    </w:p>
    <w:p>
      <w:pPr>
        <w:pStyle w:val="Normal"/>
      </w:pPr>
      <w:r>
        <w:rPr>
          <w:b/>
        </w:rPr>
        <w:t xml:space="preserve">BX-44. Professional Exchange. </w:t>
      </w:r>
      <w:r>
        <w:t>Support exchanges among adjudicators, asylum officers, labour inspectors, legal-aid professionals, medical personnel and social workers without compromising adjudicative independence.</w:t>
      </w:r>
    </w:p>
    <w:p>
      <w:pPr>
        <w:pStyle w:val="Normal"/>
      </w:pPr>
      <w:r>
        <w:rPr>
          <w:b/>
        </w:rPr>
        <w:t xml:space="preserve">BX-45. Trafficking Training. </w:t>
      </w:r>
      <w:r>
        <w:t>Provide relevant consular, labour and border personnel with training to recognize trafficking, coercive recruitment and persecution indicators.</w:t>
      </w:r>
    </w:p>
    <w:p>
      <w:pPr>
        <w:pStyle w:val="Normal"/>
      </w:pPr>
      <w:r>
        <w:rPr>
          <w:b/>
        </w:rPr>
        <w:t xml:space="preserve">BX-46. Implementation Assistance. </w:t>
      </w:r>
      <w:r>
        <w:t>Where a Party seeks to correct a benchmark deficiency, prioritize practical technical assistance and capacity-building alongside any reversible economic response.</w:t>
      </w:r>
    </w:p>
    <w:p>
      <w:pPr>
        <w:pStyle w:val="Normal"/>
      </w:pPr>
      <w:r>
        <w:rPr>
          <w:b/>
        </w:rPr>
        <w:t xml:space="preserve">BX-47. Canada-Mexico Coordination. </w:t>
      </w:r>
      <w:r>
        <w:t>Canada and Mexico may coordinate positions and evidence concerning covered benchmarks while each retains independent legal authority and while the framework remains equally applicable to both.</w:t>
      </w:r>
    </w:p>
    <w:p>
      <w:pPr>
        <w:pStyle w:val="Normal"/>
      </w:pPr>
      <w:r>
        <w:rPr>
          <w:b/>
        </w:rPr>
        <w:t xml:space="preserve">BX-48. Periodic Effectiveness Review. </w:t>
      </w:r>
      <w:r>
        <w:t>Measure whether incentives and step-backs actually improve detention conditions, lawful processing, worker protection, due process and other defined outcomes rather than merely increasing paperwork.</w:t>
      </w:r>
    </w:p>
    <w:p>
      <w:pPr>
        <w:pStyle w:val="ClauseLabel"/>
      </w:pPr>
      <w:r>
        <w:t>BX-A: CROSS-PACKAGE IMPLEMENTATION FIREWALL</w:t>
      </w:r>
    </w:p>
    <w:p>
      <w:pPr>
        <w:pStyle w:val="Normal"/>
      </w:pPr>
      <w:r>
        <w:rPr>
          <w:b/>
        </w:rPr>
        <w:t xml:space="preserve">BX-A-1. Rights Cannot Be Bargained Away. </w:t>
      </w:r>
      <w:r>
        <w:t>Nothing in Packages BN through BX authorizes a Party to suspend a fundamental procedural protection, humanitarian obligation or minimum humane-treatment standard in retaliation for another Party's nonperformance.</w:t>
      </w:r>
    </w:p>
    <w:p>
      <w:pPr>
        <w:pStyle w:val="Normal"/>
      </w:pPr>
      <w:r>
        <w:rPr>
          <w:b/>
        </w:rPr>
        <w:t xml:space="preserve">BX-A-2. Prospective Government-Level Step-Back. </w:t>
      </w:r>
      <w:r>
        <w:t>Where a step-back is authorized, it should operate prospectively against the specifically paired discretionary government-level benefit and should avoid retroactive harm to individuals and completed private transactions.</w:t>
      </w:r>
    </w:p>
    <w:p>
      <w:pPr>
        <w:pStyle w:val="Normal"/>
      </w:pPr>
      <w:r>
        <w:rPr>
          <w:b/>
        </w:rPr>
        <w:t xml:space="preserve">BX-A-3. Federalism and Competent Authorities. </w:t>
      </w:r>
      <w:r>
        <w:t>Nothing in Packages BN through BX displaces constitutional allocations of authority among federal, provincial, state, territorial, municipal, Indigenous or professional regulatory bodies.</w:t>
      </w:r>
    </w:p>
    <w:p>
      <w:pPr>
        <w:pStyle w:val="Normal"/>
      </w:pPr>
      <w:r>
        <w:rPr>
          <w:b/>
        </w:rPr>
        <w:t xml:space="preserve">BX-A-4. Non-Derogation from Stronger Protection. </w:t>
      </w:r>
      <w:r>
        <w:t>A Party may maintain or adopt stronger protections for human dignity, due process, migrant workers, refugees, asylum seekers, children, privacy or detention conditions than those described in these Packages.</w:t>
      </w:r>
    </w:p>
    <w:p>
      <w:pPr>
        <w:pStyle w:val="Heading1"/>
      </w:pPr>
      <w:bookmarkStart w:id="902393" w:name="_Toc300002392"/>
      <w:r>
        <w:t>PACKAGE BY: AUTOMOTIVE WORKFORCE ADVANCEMENT AND LVC MODERNIZATION</w:t>
      </w:r>
      <w:bookmarkEnd w:id="902393"/>
    </w:p>
    <w:p>
      <w:pPr>
        <w:pStyle w:val="Normal"/>
      </w:pPr>
      <w:r>
        <w:rPr>
          <w:b/>
        </w:rPr>
        <w:t xml:space="preserve">BY-1. Purpose. </w:t>
      </w:r>
      <w:r>
        <w:t>This Package retires the legacy fixed-dollar Labor Value Content origin gate and replaces it with a trilateral workforce-advancement architecture aligned with the 75% Standard, 80% High Integration, and 85% Strategic Integration automotive tiers.</w:t>
      </w:r>
    </w:p>
    <w:p>
      <w:pPr>
        <w:pStyle w:val="Normal"/>
      </w:pPr>
      <w:r>
        <w:rPr>
          <w:b/>
        </w:rPr>
        <w:t xml:space="preserve">BY-2. Legacy LVC Retirement. </w:t>
      </w:r>
      <w:r>
        <w:t>The former 40% (40 percent) passenger-vehicle and 45% (45 percent) light/heavy-truck LVC requirements tied to a US$16 per hour production-wage threshold no longer determine originating status. Historical LVC data may be retained for evaluation or transition research but shall not revive the superseded origin condition.</w:t>
      </w:r>
    </w:p>
    <w:p>
      <w:pPr>
        <w:pStyle w:val="Normal"/>
      </w:pPr>
      <w:r>
        <w:rPr>
          <w:b/>
        </w:rPr>
        <w:t xml:space="preserve">BY-3. No Origin Hole. </w:t>
      </w:r>
      <w:r>
        <w:t>Retirement of legacy LVC does not reduce the applicable 75% (75 percent) Standard Tier RVC, product-specific origin rules, steel or aluminum requirements, anti-circumvention safeguards, or other independently applicable origin disciplines.</w:t>
      </w:r>
    </w:p>
    <w:p>
      <w:pPr>
        <w:pStyle w:val="Normal"/>
      </w:pPr>
      <w:r>
        <w:rPr>
          <w:b/>
        </w:rPr>
        <w:t xml:space="preserve">BY-4. Workforce Advancement Credit. </w:t>
      </w:r>
      <w:r>
        <w:t>Verified compensation growth, skills formation, worker-protection performance, training, engineering and R&amp;D employment, productivity-sharing, safety, retention, and remediation may earn designated 80% (80 percent) or 85% (85 percent) tier benefits without becoming a nationality quota.</w:t>
      </w:r>
    </w:p>
    <w:p>
      <w:pPr>
        <w:pStyle w:val="Normal"/>
      </w:pPr>
      <w:r>
        <w:rPr>
          <w:b/>
        </w:rPr>
        <w:t xml:space="preserve">BY-5. Mexico Upward-Convergence Safeguard. </w:t>
      </w:r>
      <w:r>
        <w:t>Mexican facilities shall have a genuine pathway to earn workforce-advancement credit through measurable upward convergence and higher-value production. No criterion shall permanently reserve workforce credit to Canada or the United States merely because historical nominal wages began at a higher level.</w:t>
      </w:r>
    </w:p>
    <w:p>
      <w:pPr>
        <w:pStyle w:val="Normal"/>
      </w:pPr>
      <w:r>
        <w:rPr>
          <w:b/>
        </w:rPr>
        <w:t xml:space="preserve">BY-6. Canada and United States Reciprocity. </w:t>
      </w:r>
      <w:r>
        <w:t>Facilities in Canada and the United States are subject to the same covered labour-rights, anti-retaliation, worker-safety, compensation-integrity, and anti-gaming principles. A high nominal wage shall not create a safe harbour for serious labour violations.</w:t>
      </w:r>
    </w:p>
    <w:p>
      <w:pPr>
        <w:pStyle w:val="Normal"/>
      </w:pPr>
      <w:r>
        <w:rPr>
          <w:b/>
        </w:rPr>
        <w:t xml:space="preserve">BY-7. Worker Benefit Test. </w:t>
      </w:r>
      <w:r>
        <w:t>A claimed workforce investment should provide a reasonably demonstrable benefit to workers or productive capability. Automation, capital investment, accounting reallocations, or model relabeling shall not receive workforce credit merely because they reduce labour cost or move expenditure into a qualifying category.</w:t>
      </w:r>
    </w:p>
    <w:p>
      <w:pPr>
        <w:pStyle w:val="Normal"/>
      </w:pPr>
      <w:r>
        <w:rPr>
          <w:b/>
        </w:rPr>
        <w:t xml:space="preserve">BY-8. Compensation Integrity. </w:t>
      </w:r>
      <w:r>
        <w:t>Benefits may supplement compensation metrics but may not be used to disguise wage suppression. Implementing schedules should distinguish cash compensation, mandatory social contributions, genuinely additional benefits, training investment, and productivity-sharing rather than collapsing them into a single artificial hourly number.</w:t>
      </w:r>
    </w:p>
    <w:p>
      <w:pPr>
        <w:pStyle w:val="Normal"/>
      </w:pPr>
      <w:r>
        <w:rPr>
          <w:b/>
        </w:rPr>
        <w:t xml:space="preserve">BY-9. No Static Geography Penalty. </w:t>
      </w:r>
      <w:r>
        <w:t>The Parties shall not treat differences in price levels, exchange rates, regional development, or lawful starting wage levels as proof of unfair competition. Enforcement shall focus on abusive suppression, denial of rights, circumvention, and failure to provide measurable advancement where an earned benefit depends on such advancement.</w:t>
      </w:r>
    </w:p>
    <w:p>
      <w:pPr>
        <w:pStyle w:val="Normal"/>
      </w:pPr>
      <w:r>
        <w:rPr>
          <w:b/>
        </w:rPr>
        <w:t xml:space="preserve">BY-10. Simplified Administration. </w:t>
      </w:r>
      <w:r>
        <w:t>The Commission and competent customs authorities should eliminate legacy LVC certifications, averaging formulas, high-wage expenditure buckets, and associated fixed-dollar attestations that are no longer necessary after implementation of Article 7, while preserving records needed for lawful transition, audit, or dispute resolution.</w:t>
      </w:r>
    </w:p>
    <w:p>
      <w:pPr>
        <w:pStyle w:val="Normal"/>
      </w:pPr>
      <w:r>
        <w:rPr>
          <w:b/>
        </w:rPr>
        <w:t xml:space="preserve">BY-11. Transition Protection. </w:t>
      </w:r>
      <w:r>
        <w:t>A producer shall not lose an accrued originating determination solely because this Package retires a superseded LVC obligation. Implementing authorities shall provide a short, orderly transition for forms, software, certifications, and pending verifications, with no retroactive penalty for good-faith reliance on the former rule.</w:t>
      </w:r>
    </w:p>
    <w:p>
      <w:pPr>
        <w:pStyle w:val="Normal"/>
      </w:pPr>
      <w:r>
        <w:rPr>
          <w:b/>
        </w:rPr>
        <w:t xml:space="preserve">BY-12. No Uncompensated Front-Loading. </w:t>
      </w:r>
      <w:r>
        <w:t>Any new workforce-advancement obligation paired with an additional automotive benefit shall activate together where practicable. Delayed or failed paired performance shall trigger verification, a short cure period where appropriate, proportional pause or step-back of the paired additional benefit, and automatic restoration when performance resumes.</w:t>
      </w:r>
    </w:p>
    <w:p>
      <w:pPr>
        <w:pStyle w:val="Normal"/>
      </w:pPr>
      <w:r>
        <w:t>BY-13. Human and Labour Rights Floor. Nothing in this Package authorizes a Party or producer to trade away freedom of association, collective bargaining, forced-labour prohibitions, occupational safety, migrant-worker protections, anti-retaliation rights, or other minimum labour protections in exchange for automotive treatment.</w:t>
      </w:r>
    </w:p>
    <w:p>
      <w:pPr>
        <w:pStyle w:val="Normal"/>
      </w:pPr>
      <w:r>
        <w:rPr>
          <w:b/>
        </w:rPr>
        <w:t xml:space="preserve">BY-14. Review and Evidence. </w:t>
      </w:r>
      <w:r>
        <w:t>The Parties shall evaluate the replacement architecture using real compensation, wage growth, productivity, injury, training, credential, retention, bargaining, remediation, investment, and regional-capacity evidence. Review shall compare outcomes across all three Parties and identify any geographic or administrative bias.</w:t>
      </w:r>
    </w:p>
    <w:p>
      <w:pPr>
        <w:pStyle w:val="Normal"/>
      </w:pPr>
      <w:r>
        <w:rPr>
          <w:b/>
        </w:rPr>
        <w:t xml:space="preserve">BY-15. Interpretation. </w:t>
      </w:r>
      <w:r>
        <w:t>Where a legacy provision, note, schedule, form, or cross-reference appears to preserve the former fixed-dollar LVC as a mandatory condition of origin, this Package and revised Article 7 control unless the Parties expressly adopt a later amendment restoring a different labour-linked origin requirement.</w:t>
      </w:r>
    </w:p>
    <w:p>
      <w:pPr>
        <w:pStyle w:val="Heading1"/>
      </w:pPr>
      <w:bookmarkStart w:id="902394" w:name="_Toc300002393"/>
      <w:r>
        <w:t>PACKAGE BZ: TRILATERAL FACILITY-SPECIFIC LABOUR RECIPROCITY INTEGRATION</w:t>
      </w:r>
      <w:bookmarkEnd w:id="902394"/>
    </w:p>
    <w:p>
      <w:pPr>
        <w:pStyle w:val="Heading3"/>
      </w:pPr>
      <w:r>
        <w:t>BZ-1 Equal Six-Direction Availability.</w:t>
      </w:r>
    </w:p>
    <w:p>
      <w:pPr>
        <w:pStyle w:val="Normal"/>
      </w:pPr>
      <w:r>
        <w:t>The facility-specific labour remedy is reciprocal among all three Parties and shall not structurally designate Mexico, Canada or the United States as the presumptive enforcement target.</w:t>
      </w:r>
    </w:p>
    <w:p>
      <w:pPr>
        <w:pStyle w:val="Heading3"/>
      </w:pPr>
      <w:r>
        <w:t>BZ-2 Worker-First Enforcement.</w:t>
      </w:r>
    </w:p>
    <w:p>
      <w:pPr>
        <w:pStyle w:val="Normal"/>
      </w:pPr>
      <w:r>
        <w:t>Existence of a covered labour right does not depend on proof of trade injury; commercial effects inform remedy proportionality.</w:t>
      </w:r>
    </w:p>
    <w:p>
      <w:pPr>
        <w:pStyle w:val="Heading3"/>
      </w:pPr>
      <w:r>
        <w:t>BZ-3 Serious-Case Gate.</w:t>
      </w:r>
    </w:p>
    <w:p>
      <w:pPr>
        <w:pStyle w:val="Normal"/>
      </w:pPr>
      <w:r>
        <w:t>Expedited facility treatment is reserved for serious, persistent or grave facility-level denials, while ordinary individual disputes normally remain domestic.</w:t>
      </w:r>
    </w:p>
    <w:p>
      <w:pPr>
        <w:pStyle w:val="Heading3"/>
      </w:pPr>
      <w:r>
        <w:t>BZ-4 Open but Filtered Intake.</w:t>
      </w:r>
    </w:p>
    <w:p>
      <w:pPr>
        <w:pStyle w:val="Normal"/>
      </w:pPr>
      <w:r>
        <w:t>Workers and credible representatives may surface evidence; admissibility screening prevents frivolous, duplicative or manufactured cases without restricting access to recognized unions or governments.</w:t>
      </w:r>
    </w:p>
    <w:p>
      <w:pPr>
        <w:pStyle w:val="Heading3"/>
      </w:pPr>
      <w:r>
        <w:t>BZ-5 Cure with Emergency Exception.</w:t>
      </w:r>
    </w:p>
    <w:p>
      <w:pPr>
        <w:pStyle w:val="Normal"/>
      </w:pPr>
      <w:r>
        <w:t>Domestic remediation is ordinarily first, but urgent grave harm can accelerate protection and verification.</w:t>
      </w:r>
    </w:p>
    <w:p>
      <w:pPr>
        <w:pStyle w:val="Heading3"/>
      </w:pPr>
      <w:r>
        <w:t>BZ-6 Existing-Institution Verification.</w:t>
      </w:r>
    </w:p>
    <w:p>
      <w:pPr>
        <w:pStyle w:val="Normal"/>
      </w:pPr>
      <w:r>
        <w:t>Use existing Secretariat, Chapter 31, Cothrom and roster infrastructure; create no new permanent labour bureaucracy.</w:t>
      </w:r>
    </w:p>
    <w:p>
      <w:pPr>
        <w:pStyle w:val="Heading3"/>
      </w:pPr>
      <w:r>
        <w:t>BZ-7 Sovereignty Firewall.</w:t>
      </w:r>
    </w:p>
    <w:p>
      <w:pPr>
        <w:pStyle w:val="Normal"/>
      </w:pPr>
      <w:r>
        <w:t>No foreign enforcement personnel acquire unilateral inspection or police authority in another Party's territory.</w:t>
      </w:r>
    </w:p>
    <w:p>
      <w:pPr>
        <w:pStyle w:val="Heading3"/>
      </w:pPr>
      <w:r>
        <w:t>BZ-8 Worker and Witness Protection.</w:t>
      </w:r>
    </w:p>
    <w:p>
      <w:pPr>
        <w:pStyle w:val="Normal"/>
      </w:pPr>
      <w:r>
        <w:t>Confidentiality, anti-retaliation, protected testimony and proportionate disclosure are integral to the remedy.</w:t>
      </w:r>
    </w:p>
    <w:p>
      <w:pPr>
        <w:pStyle w:val="Heading3"/>
      </w:pPr>
      <w:r>
        <w:t>BZ-9 Remediation Before Punishment.</w:t>
      </w:r>
    </w:p>
    <w:p>
      <w:pPr>
        <w:pStyle w:val="Normal"/>
      </w:pPr>
      <w:r>
        <w:t>Worker restoration and correction of the facility-level practice are the primary objectives.</w:t>
      </w:r>
    </w:p>
    <w:p>
      <w:pPr>
        <w:pStyle w:val="Heading3"/>
      </w:pPr>
      <w:r>
        <w:t>BZ-10 Module-Confined Proportionality.</w:t>
      </w:r>
    </w:p>
    <w:p>
      <w:pPr>
        <w:pStyle w:val="Normal"/>
      </w:pPr>
      <w:r>
        <w:t>Consequences remain tied to the offending facility, enterprise, relevant goods or benefits and may not become an unrelated national trade weapon.</w:t>
      </w:r>
    </w:p>
    <w:p>
      <w:pPr>
        <w:pStyle w:val="Heading3"/>
      </w:pPr>
      <w:r>
        <w:t>BZ-11 Repeat-Offender Escalation.</w:t>
      </w:r>
    </w:p>
    <w:p>
      <w:pPr>
        <w:pStyle w:val="Normal"/>
      </w:pPr>
      <w:r>
        <w:t>Durable first-time remediation earns closure; repeated or concealed violations justify stronger facility-specific consequences.</w:t>
      </w:r>
    </w:p>
    <w:p>
      <w:pPr>
        <w:pStyle w:val="Heading3"/>
      </w:pPr>
      <w:r>
        <w:t>BZ-12 Automatic Earn-Back.</w:t>
      </w:r>
    </w:p>
    <w:p>
      <w:pPr>
        <w:pStyle w:val="Normal"/>
      </w:pPr>
      <w:r>
        <w:t>Benefits return automatically after verified durable remediation, without requiring a new political concession.</w:t>
      </w:r>
    </w:p>
    <w:p>
      <w:pPr>
        <w:pStyle w:val="Heading3"/>
      </w:pPr>
      <w:r>
        <w:t>BZ-13 Grave-Abuse Accelerator.</w:t>
      </w:r>
    </w:p>
    <w:p>
      <w:pPr>
        <w:pStyle w:val="Normal"/>
      </w:pPr>
      <w:r>
        <w:t>Forced labour, trafficking, violence, severe retaliation and comparable imminent abuses may justify expedited temporary protective measures subject to rapid independent review.</w:t>
      </w:r>
    </w:p>
    <w:p>
      <w:pPr>
        <w:pStyle w:val="Heading3"/>
      </w:pPr>
      <w:r>
        <w:t>BZ-14 No Double Punishment.</w:t>
      </w:r>
    </w:p>
    <w:p>
      <w:pPr>
        <w:pStyle w:val="Normal"/>
      </w:pPr>
      <w:r>
        <w:t>Parallel labour mechanisms coordinate remedies and credit remediation already obtained.</w:t>
      </w:r>
    </w:p>
    <w:p>
      <w:pPr>
        <w:pStyle w:val="Heading3"/>
      </w:pPr>
      <w:r>
        <w:t>BZ-15 Functional Equivalence.</w:t>
      </w:r>
    </w:p>
    <w:p>
      <w:pPr>
        <w:pStyle w:val="Normal"/>
      </w:pPr>
      <w:r>
        <w:t>The Parties need not copy one another's domestic labour institutions; access, independence, speed, evidence, remediation and consequences must be functionally equivalent.</w:t>
      </w:r>
    </w:p>
    <w:p>
      <w:pPr>
        <w:pStyle w:val="Heading3"/>
      </w:pPr>
      <w:r>
        <w:t>BZ-16 Federalism Neutrality.</w:t>
      </w:r>
    </w:p>
    <w:p>
      <w:pPr>
        <w:pStyle w:val="Normal"/>
      </w:pPr>
      <w:r>
        <w:t>Constitutional allocation of labour authority is respected but cannot be used to nullify the treaty outcome.</w:t>
      </w:r>
    </w:p>
    <w:p>
      <w:pPr>
        <w:pStyle w:val="Heading3"/>
      </w:pPr>
      <w:r>
        <w:t>BZ-17 Country-Neutral Drafting.</w:t>
      </w:r>
    </w:p>
    <w:p>
      <w:pPr>
        <w:pStyle w:val="Normal"/>
      </w:pPr>
      <w:r>
        <w:t>The operative mechanism uses Party/respondent/facility/worker terminology and creates no permanent presumption about which country is the violator.</w:t>
      </w:r>
    </w:p>
    <w:p>
      <w:pPr>
        <w:pStyle w:val="Heading3"/>
      </w:pPr>
      <w:r>
        <w:t>BZ-18 Public Outcome Record.</w:t>
      </w:r>
    </w:p>
    <w:p>
      <w:pPr>
        <w:pStyle w:val="Normal"/>
      </w:pPr>
      <w:r>
        <w:t>Non-confidential outcomes identify the problem, remedy, consequence if any, and closure basis while protecting workers and legitimate confidential information.</w:t>
      </w:r>
    </w:p>
    <w:p>
      <w:pPr>
        <w:pStyle w:val="Heading3"/>
      </w:pPr>
      <w:r>
        <w:t>BZ-19 Predecessor Transition.</w:t>
      </w:r>
    </w:p>
    <w:p>
      <w:pPr>
        <w:pStyle w:val="Normal"/>
      </w:pPr>
      <w:r>
        <w:t>Legacy Annex 31-A/31-B machinery may operate during transition only consistently with the trilateral principles and shall be reviewed for consolidation within 24 months.</w:t>
      </w:r>
    </w:p>
    <w:p>
      <w:pPr>
        <w:pStyle w:val="Heading3"/>
      </w:pPr>
      <w:r>
        <w:t>BZ-20 Governing Maxim.</w:t>
      </w:r>
    </w:p>
    <w:p>
      <w:pPr>
        <w:pStyle w:val="Normal"/>
      </w:pPr>
      <w:r>
        <w:t>Workers first. Trade punishment second. A worker making NAESTMA-originating goods receives meaningful treaty protection in any of the three Parties.</w:t>
      </w:r>
    </w:p>
    <w:p>
      <w:pPr>
        <w:pStyle w:val="Heading1"/>
      </w:pPr>
      <w:bookmarkStart w:id="902395" w:name="_Toc300002394"/>
      <w:r>
        <w:t>PACKAGE CA: ANNEX 23-A LABOUR-REFORM DURABILITY INTEGRATION</w:t>
      </w:r>
      <w:bookmarkEnd w:id="902395"/>
    </w:p>
    <w:p>
      <w:pPr>
        <w:pStyle w:val="Heading2"/>
      </w:pPr>
      <w:bookmarkStart w:id="902396" w:name="_Toc300002395"/>
      <w:r>
        <w:t>CA-1 Preserve Achievements, Delete the Time Capsule.</w:t>
      </w:r>
      <w:bookmarkEnd w:id="902396"/>
    </w:p>
    <w:p>
      <w:pPr>
        <w:pStyle w:val="Normal"/>
      </w:pPr>
      <w:r>
        <w:t>Replace obsolete 2018-2019 implementation commands with permanent outcome obligations.</w:t>
      </w:r>
    </w:p>
    <w:p>
      <w:pPr>
        <w:pStyle w:val="Heading2"/>
      </w:pPr>
      <w:bookmarkStart w:id="902397" w:name="_Toc300002396"/>
      <w:r>
        <w:t>CA-2 Durable Democratic Consent.</w:t>
      </w:r>
      <w:bookmarkEnd w:id="902397"/>
    </w:p>
    <w:p>
      <w:pPr>
        <w:pStyle w:val="Normal"/>
      </w:pPr>
      <w:r>
        <w:t>Preserve personal, free and secret voting and authentic worker support for collective agreements.</w:t>
      </w:r>
    </w:p>
    <w:p>
      <w:pPr>
        <w:pStyle w:val="Heading2"/>
      </w:pPr>
      <w:bookmarkStart w:id="902398" w:name="_Toc300002397"/>
      <w:r>
        <w:t>CA-3 Independent Institutions, Flexible Machinery.</w:t>
      </w:r>
      <w:bookmarkEnd w:id="902398"/>
    </w:p>
    <w:p>
      <w:pPr>
        <w:pStyle w:val="Normal"/>
      </w:pPr>
      <w:r>
        <w:t>Protect independence, access, due process and remedies without freezing agency names or organizational forms.</w:t>
      </w:r>
    </w:p>
    <w:p>
      <w:pPr>
        <w:pStyle w:val="Heading2"/>
      </w:pPr>
      <w:bookmarkStart w:id="902399" w:name="_Toc300002398"/>
      <w:r>
        <w:t>CA-4 Protection-Contract Firewall.</w:t>
      </w:r>
      <w:bookmarkEnd w:id="902399"/>
    </w:p>
    <w:p>
      <w:pPr>
        <w:pStyle w:val="Normal"/>
      </w:pPr>
      <w:r>
        <w:t>Prevent fictitious, employer-dominated or unsupported agreements from suppressing independent representation.</w:t>
      </w:r>
    </w:p>
    <w:p>
      <w:pPr>
        <w:pStyle w:val="Heading2"/>
      </w:pPr>
      <w:bookmarkStart w:id="902400" w:name="_Toc300002399"/>
      <w:r>
        <w:t>CA-5 Anti-Retaliation and Restoration.</w:t>
      </w:r>
      <w:bookmarkEnd w:id="902400"/>
    </w:p>
    <w:p>
      <w:pPr>
        <w:pStyle w:val="Normal"/>
      </w:pPr>
      <w:r>
        <w:t>Make worker protection and effective restorative remedies explicit.</w:t>
      </w:r>
    </w:p>
    <w:p>
      <w:pPr>
        <w:pStyle w:val="Heading2"/>
      </w:pPr>
      <w:bookmarkStart w:id="902401" w:name="_Toc300002400"/>
      <w:r>
        <w:t>CA-6 Non-Regression with Modernization Freedom.</w:t>
      </w:r>
      <w:bookmarkEnd w:id="902401"/>
    </w:p>
    <w:p>
      <w:pPr>
        <w:pStyle w:val="Normal"/>
      </w:pPr>
      <w:r>
        <w:t>Prevent competitive weakening while allowing Mexico to reorganize or improve its institutions.</w:t>
      </w:r>
    </w:p>
    <w:p>
      <w:pPr>
        <w:pStyle w:val="Heading2"/>
      </w:pPr>
      <w:bookmarkStart w:id="902402" w:name="_Toc300002401"/>
      <w:r>
        <w:t>CA-7 Equal-Party Safeguard.</w:t>
      </w:r>
      <w:bookmarkEnd w:id="902402"/>
    </w:p>
    <w:p>
      <w:pPr>
        <w:pStyle w:val="Normal"/>
      </w:pPr>
      <w:r>
        <w:t>A Mexico-specific historical annex creates no presumption of Mexican wrongdoing or stronger enforcement exposure.</w:t>
      </w:r>
    </w:p>
    <w:p>
      <w:pPr>
        <w:pStyle w:val="Heading2"/>
      </w:pPr>
      <w:bookmarkStart w:id="902403" w:name="_Toc300002402"/>
      <w:r>
        <w:t>CA-8 Article 31.E Interface.</w:t>
      </w:r>
      <w:bookmarkEnd w:id="902403"/>
    </w:p>
    <w:p>
      <w:pPr>
        <w:pStyle w:val="Normal"/>
      </w:pPr>
      <w:r>
        <w:t>Substantive Mexico-specific obligations feed into the same functionally equivalent facility-specific enforcement architecture applicable to Canada and the United States.</w:t>
      </w:r>
    </w:p>
    <w:p>
      <w:pPr>
        <w:pStyle w:val="Heading2"/>
      </w:pPr>
      <w:bookmarkStart w:id="902404" w:name="_Toc300002403"/>
      <w:r>
        <w:t>CA-9 Worker-Rights Firewall.</w:t>
      </w:r>
      <w:bookmarkEnd w:id="902404"/>
    </w:p>
    <w:p>
      <w:pPr>
        <w:pStyle w:val="Normal"/>
      </w:pPr>
      <w:r>
        <w:t>Labour rights cannot be suspended or exchanged as leverage in unrelated trade disputes.</w:t>
      </w:r>
    </w:p>
    <w:p>
      <w:pPr>
        <w:pStyle w:val="Heading2"/>
      </w:pPr>
      <w:bookmarkStart w:id="902405" w:name="_Toc300002404"/>
      <w:r>
        <w:t>CA-10 Completed Transition Recognition.</w:t>
      </w:r>
      <w:bookmarkEnd w:id="902405"/>
    </w:p>
    <w:p>
      <w:pPr>
        <w:pStyle w:val="Normal"/>
      </w:pPr>
      <w:r>
        <w:t>One-time 2018-2019 legislative and four-year legitimization commands are recognized as completed; their durable protective outcomes remain.</w:t>
      </w:r>
    </w:p>
    <w:p>
      <w:pPr>
        <w:pStyle w:val="Heading1"/>
      </w:pPr>
      <w:bookmarkStart w:id="902406" w:name="_Toc300002405"/>
      <w:r>
        <w:t>PACKAGE CB: LABOUR PARITY CONFORMING INTEGRATION</w:t>
      </w:r>
      <w:bookmarkEnd w:id="902406"/>
    </w:p>
    <w:p>
      <w:pPr>
        <w:pStyle w:val="Heading2"/>
      </w:pPr>
      <w:bookmarkStart w:id="902407" w:name="_Toc300002406"/>
      <w:r>
        <w:t>CB-1 Article 31.E Immediate Supremacy.</w:t>
      </w:r>
      <w:bookmarkEnd w:id="902407"/>
    </w:p>
    <w:p>
      <w:pPr>
        <w:pStyle w:val="Normal"/>
      </w:pPr>
      <w:r>
        <w:t>The trilateral facility-specific remedy prevails immediately over inconsistent predecessor standing, scope, admissibility, sector, remedy and restoration rules; the 24-month transition is administrative only.</w:t>
      </w:r>
    </w:p>
    <w:p>
      <w:pPr>
        <w:pStyle w:val="Heading2"/>
      </w:pPr>
      <w:bookmarkStart w:id="902408" w:name="_Toc300002407"/>
      <w:r>
        <w:t>CB-2 Chapter 23 Cross-Reference Repair.</w:t>
      </w:r>
      <w:bookmarkEnd w:id="902408"/>
    </w:p>
    <w:p>
      <w:pPr>
        <w:pStyle w:val="Normal"/>
      </w:pPr>
      <w:r>
        <w:t>Articles 23.B and 23.C now centre Article 31.E and treat Annexes 31-A/31-B as predecessor procedures.</w:t>
      </w:r>
    </w:p>
    <w:p>
      <w:pPr>
        <w:pStyle w:val="Heading2"/>
      </w:pPr>
      <w:bookmarkStart w:id="902409" w:name="_Toc300002408"/>
      <w:r>
        <w:t>CB-3 Equal Definitions and Intake.</w:t>
      </w:r>
      <w:bookmarkEnd w:id="902409"/>
    </w:p>
    <w:p>
      <w:pPr>
        <w:pStyle w:val="Normal"/>
      </w:pPr>
      <w:r>
        <w:t>Article 31.E independently defines its key terms and requires functionally equivalent public intake channels and clocks in all three Parties.</w:t>
      </w:r>
    </w:p>
    <w:p>
      <w:pPr>
        <w:pStyle w:val="Heading2"/>
      </w:pPr>
      <w:bookmarkStart w:id="902410" w:name="_Toc300002409"/>
      <w:r>
        <w:t>CB-4 Domestic-Order Gate Neutralization.</w:t>
      </w:r>
      <w:bookmarkEnd w:id="902410"/>
    </w:p>
    <w:p>
      <w:pPr>
        <w:pStyle w:val="Normal"/>
      </w:pPr>
      <w:r>
        <w:t>NLRB, CIRB or other domestic orders may be highly probative but are not exclusive treaty gateways unless an equivalent condition applies to every Party.</w:t>
      </w:r>
    </w:p>
    <w:p>
      <w:pPr>
        <w:pStyle w:val="Heading2"/>
      </w:pPr>
      <w:bookmarkStart w:id="902411" w:name="_Toc300002410"/>
      <w:r>
        <w:t>CB-5 Priority-Sector Firewall.</w:t>
      </w:r>
      <w:bookmarkEnd w:id="902411"/>
    </w:p>
    <w:p>
      <w:pPr>
        <w:pStyle w:val="Normal"/>
      </w:pPr>
      <w:r>
        <w:t>Priority-sector status may guide triage or remedy calibration but does not categorically deny worker access to remediation.</w:t>
      </w:r>
    </w:p>
    <w:p>
      <w:pPr>
        <w:pStyle w:val="Heading2"/>
      </w:pPr>
      <w:bookmarkStart w:id="902412" w:name="_Toc300002411"/>
      <w:r>
        <w:t>CB-6 Panel Neutrality.</w:t>
      </w:r>
      <w:bookmarkEnd w:id="902412"/>
    </w:p>
    <w:p>
      <w:pPr>
        <w:pStyle w:val="Normal"/>
      </w:pPr>
      <w:r>
        <w:t>Verification panels are subject to nationality, independence and conflict safeguards.</w:t>
      </w:r>
    </w:p>
    <w:p>
      <w:pPr>
        <w:pStyle w:val="Heading2"/>
      </w:pPr>
      <w:bookmarkStart w:id="902413" w:name="_Toc300002412"/>
      <w:r>
        <w:t>CB-7 Canada Definition Repair.</w:t>
      </w:r>
      <w:bookmarkEnd w:id="902413"/>
    </w:p>
    <w:p>
      <w:pPr>
        <w:pStyle w:val="Normal"/>
      </w:pPr>
      <w:r>
        <w:t>Chapter 23 labour statutes and regulations are defined neutrally for Canada, Mexico and the United States.</w:t>
      </w:r>
    </w:p>
    <w:p>
      <w:pPr>
        <w:pStyle w:val="Heading2"/>
      </w:pPr>
      <w:bookmarkStart w:id="902414" w:name="_Toc300002413"/>
      <w:r>
        <w:t>CB-8 Annex 23-A Cross-Reference Repair.</w:t>
      </w:r>
      <w:bookmarkEnd w:id="902414"/>
    </w:p>
    <w:p>
      <w:pPr>
        <w:pStyle w:val="Normal"/>
      </w:pPr>
      <w:r>
        <w:t>Legacy references are conformed to the modernized Annex 23-A title and equal-Party architecture.</w:t>
      </w:r>
    </w:p>
    <w:p>
      <w:pPr>
        <w:pStyle w:val="Heading2"/>
      </w:pPr>
      <w:bookmarkStart w:id="902415" w:name="_Toc300002414"/>
      <w:r>
        <w:t>CB-9 Neutral Existing-Measures Safe Harbour.</w:t>
      </w:r>
      <w:bookmarkEnd w:id="902415"/>
    </w:p>
    <w:p>
      <w:pPr>
        <w:pStyle w:val="Normal"/>
      </w:pPr>
      <w:r>
        <w:t>Country-specific U.S. pre-clearance language is replaced by an outcome-equivalence rule available to every Party.</w:t>
      </w:r>
    </w:p>
    <w:p>
      <w:pPr>
        <w:pStyle w:val="Heading2"/>
      </w:pPr>
      <w:bookmarkStart w:id="902416" w:name="_Toc300002415"/>
      <w:r>
        <w:t>CB-10 Continental Worker-Rights Firewall.</w:t>
      </w:r>
      <w:bookmarkEnd w:id="902416"/>
    </w:p>
    <w:p>
      <w:pPr>
        <w:pStyle w:val="Normal"/>
      </w:pPr>
      <w:r>
        <w:t>No Party may trade away worker rights protected by Chapter 23 as leverage in an unrelated dispute.</w:t>
      </w:r>
    </w:p>
    <w:p>
      <w:pPr>
        <w:pStyle w:val="Heading2"/>
      </w:pPr>
      <w:bookmarkStart w:id="902417" w:name="_Toc300002416"/>
      <w:r>
        <w:t>CB-11 Article 51 Interface.</w:t>
      </w:r>
      <w:bookmarkEnd w:id="902417"/>
    </w:p>
    <w:p>
      <w:pPr>
        <w:pStyle w:val="Normal"/>
      </w:pPr>
      <w:r>
        <w:t>Systemic labour enforcement now expressly identifies Article 31.E as the facility-specific track.</w:t>
      </w:r>
    </w:p>
    <w:p>
      <w:pPr>
        <w:pStyle w:val="Heading2"/>
      </w:pPr>
      <w:bookmarkStart w:id="902418" w:name="_Toc300002417"/>
      <w:r>
        <w:t>CB-12 Trade-Nexus Clarification.</w:t>
      </w:r>
      <w:bookmarkEnd w:id="902418"/>
    </w:p>
    <w:p>
      <w:pPr>
        <w:pStyle w:val="Normal"/>
      </w:pPr>
      <w:r>
        <w:t>Worker protection and admissibility do not require quantified trade injury; trade consequences remain subject to the Agreement’s required nexus.</w:t>
      </w:r>
    </w:p>
    <w:p>
      <w:pPr>
        <w:pStyle w:val="Heading2"/>
      </w:pPr>
      <w:bookmarkStart w:id="902419" w:name="_Toc300002418"/>
      <w:r>
        <w:t>CB-13 Annex 23-A Converse Equality.</w:t>
      </w:r>
      <w:bookmarkEnd w:id="902419"/>
    </w:p>
    <w:p>
      <w:pPr>
        <w:pStyle w:val="Normal"/>
      </w:pPr>
      <w:r>
        <w:t>Mexico-specific reform durability does not imply weaker freedom-of-association, bargaining, anti-retaliation or remedial obligations in Canada or the United States.</w:t>
      </w:r>
    </w:p>
    <w:p>
      <w:pPr>
        <w:pStyle w:val="Heading2"/>
      </w:pPr>
      <w:bookmarkStart w:id="902420" w:name="_Toc300002419"/>
      <w:r>
        <w:t>CB-14 Predecessor Annex Status.</w:t>
      </w:r>
      <w:bookmarkEnd w:id="902420"/>
    </w:p>
    <w:p>
      <w:pPr>
        <w:pStyle w:val="Normal"/>
      </w:pPr>
      <w:r>
        <w:t>Annexes 31-A and 31-B are expressly labelled transitional administrative machinery under Article 31.E.</w:t>
      </w:r>
    </w:p>
    <w:p>
      <w:pPr>
        <w:pStyle w:val="Heading2"/>
      </w:pPr>
      <w:bookmarkStart w:id="902421" w:name="_Toc300002420"/>
      <w:r>
        <w:t>CB-15 No New Labour Bureaucracy.</w:t>
      </w:r>
      <w:bookmarkEnd w:id="902421"/>
    </w:p>
    <w:p>
      <w:pPr>
        <w:pStyle w:val="Normal"/>
      </w:pPr>
      <w:r>
        <w:t>The conformity pass preserves use of existing Secretariat, Chapter 31, Cothrom, Labour Council, roster and domestic machinery.</w:t>
      </w:r>
    </w:p>
    <w:p>
      <w:pPr>
        <w:pStyle w:val="Heading1"/>
      </w:pPr>
      <w:bookmarkStart w:id="902422" w:name="_Toc300002421"/>
      <w:r>
        <w:t>PACKAGE CC: NORTH AMERICAN ANIMAL WELFARE, HUMANE AGRICULTURE, RESCUE, AND PRACTICAL TRANSITION INTEGRATION (v7.4)</w:t>
      </w:r>
      <w:bookmarkEnd w:id="902422"/>
    </w:p>
    <w:p>
      <w:pPr>
        <w:pStyle w:val="Normal"/>
      </w:pPr>
      <w:r>
        <w:t>CC-1. Purpose and Scope. The Parties establish a practical North American animal-welfare floor for covered agricultural production, cross-border movement, government-directed destruction, wildlife actions undertaken under this Agreement, and other measures having a material trade, emergency-coordination, or cross-border nexus. The objective is to reduce avoidable serious suffering while preserving food security, animal health, legitimate veterinary practice, disease response, conservation, public safety, Indigenous and treaty or Aboriginal rights, lawful subsistence, and resilient agricultural production.</w:t>
      </w:r>
    </w:p>
    <w:p>
      <w:pPr>
        <w:pStyle w:val="Normal"/>
      </w:pPr>
      <w:r>
        <w:t>CC-2. No Downward Harmonization. Nothing in this Agreement requires a Party to weaken a higher domestic or subnational animal-welfare standard. This Package establishes a floor, not a ceiling.</w:t>
      </w:r>
    </w:p>
    <w:p>
      <w:pPr>
        <w:pStyle w:val="Normal"/>
      </w:pPr>
      <w:r>
        <w:t>CC-3. Equivalent Outcomes and Regulatory Diversity. A Party may satisfy a covered welfare obligation through different technologies, husbandry systems, facility designs, climates, production models, or regulatory structures where the resulting welfare protection is materially equivalent. No Party is required to adopt an identical domestic statute, agency, inspection model, or commercial technology.</w:t>
      </w:r>
    </w:p>
    <w:p>
      <w:pPr>
        <w:pStyle w:val="Normal"/>
      </w:pPr>
      <w:r>
        <w:t>CC-4. Non-Discrimination and Trade-Safe Equivalency. Comparable domestic and imported covered products shall be subject to equivalent welfare treatment. Welfare measures shall use transparent, objective, evidence-informed criteria and shall not operate as disguised nationality-based protectionism, arbitrary quantitative restrictions, or a pretext for excluding another Party's goods. Where equivalency is disputed, the Parties shall use notice, technical consultation, evidence exchange, a reasonable cure opportunity, and existing Cothrom or Chapter 9 procedures as applicable.</w:t>
      </w:r>
    </w:p>
    <w:p>
      <w:pPr>
        <w:pStyle w:val="Normal"/>
      </w:pPr>
      <w:r>
        <w:t>CC-5. Necessary-Use Firewall. Nothing in this Package prohibits legitimate veterinary treatment; individualized therapeutic procedures; emergency humane euthanasia; rescue; quarantine; scientifically justified disease control; conservation; emergency defense of human life; lawful Indigenous, treaty or Aboriginal harvesting; lawful subsistence; or necessary wildlife management, provided the measure is proportionate and uses reasonably available welfare safeguards.</w:t>
      </w:r>
    </w:p>
    <w:p>
      <w:pPr>
        <w:pStyle w:val="Normal"/>
      </w:pPr>
      <w:r>
        <w:t>CC-6. Medical Necessity and Production Convenience. Production convenience, generalized facility design, routine scheduling, cosmetic preference, or a preventable husbandry problem shall not by itself constitute medical necessity. Where an otherwise restricted practice is permitted for veterinary reasons, the exception should be individualized, documented where practicable, proportionate to the animal's condition, and performed or directed by a suitably qualified person.</w:t>
      </w:r>
    </w:p>
    <w:p>
      <w:pPr>
        <w:pStyle w:val="Normal"/>
      </w:pPr>
      <w:r>
        <w:t>CC-7. No Welfare Substitution. A required transition shall not knowingly replace one serious welfare harm with an equal or greater serious harm to another animal, species, life stage, or welfare dimension where a reasonably available lower-harm alternative exists.</w:t>
      </w:r>
    </w:p>
    <w:p>
      <w:pPr>
        <w:pStyle w:val="Normal"/>
      </w:pPr>
      <w:r>
        <w:t>CC-8. Technology Neutrality and Validation. The Parties shall regulate welfare outcomes rather than mandate a proprietary product. Where a replacement technology or husbandry model is not yet independently validated at relevant commercial scale, the Parties may use pilots, monitoring, technical standards, and staged validation before compulsory deployment.</w:t>
      </w:r>
    </w:p>
    <w:p>
      <w:pPr>
        <w:pStyle w:val="Normal"/>
      </w:pPr>
      <w:r>
        <w:t>CC-9. Producer Transition and Small-Producer Protection. Where compliance requires material capital replacement or substantial operational conversion, a Party may provide grants, concessional finance, accelerated depreciation, technical assistance, veterinary support, training, shared infrastructure, equipment conversion, or other non-discriminatory transition support. Small producers may receive additional time or assistance where necessary, but size alone shall not create a permanent exemption from a continental minimum protecting against severe avoidable suffering.</w:t>
      </w:r>
    </w:p>
    <w:p>
      <w:pPr>
        <w:pStyle w:val="Normal"/>
      </w:pPr>
      <w:r>
        <w:t>CC-10. No Uncompensated Front-Loading. Where a negotiated welfare transition is expressly paired with reciprocal market recognition, equivalency treatment, financing, or another governmental benefit, the paired obligations should activate together. Material delayed or failed paired performance may trigger verification, a short cure period, proportional pause or step-back of the paired governmental obligation, and automatic restoration when verified performance resumes. Individual animal care, feed, water, veterinary treatment, rescue, evacuation, and humane euthanasia shall never be suspended as leverage.</w:t>
      </w:r>
    </w:p>
    <w:p>
      <w:pPr>
        <w:pStyle w:val="Normal"/>
      </w:pPr>
      <w:r>
        <w:t>CC-11. Anti-Circumvention. Substance governs over terminology. Renaming, modestly redesigning, outsourcing, relocating, subcontracting, or reclassifying a substantially equivalent covered practice shall not defeat an applicable welfare obligation.</w:t>
      </w:r>
    </w:p>
    <w:p>
      <w:pPr>
        <w:pStyle w:val="Normal"/>
      </w:pPr>
      <w:r>
        <w:t>CC-12. Good-Faith Reporting and Records. No Party should permit retaliation against a worker, veterinarian, producer, contractor, inspector, or other person for a good-faith report of a serious animal-welfare violation. Covered facilities shall preserve records reasonably necessary to investigate catastrophic incidents, repeated serious welfare failures, and mass depopulation events, subject to privacy, privilege, and legitimate commercial-confidentiality protections.</w:t>
      </w:r>
    </w:p>
    <w:p>
      <w:pPr>
        <w:pStyle w:val="Heading2"/>
      </w:pPr>
      <w:bookmarkStart w:id="902424" w:name="_Toc300002423"/>
      <w:r>
        <w:t>Article 62.A: Animal Rescue, Protective Continuity, and Government-Directed Destruction</w:t>
      </w:r>
      <w:bookmarkEnd w:id="902424"/>
    </w:p>
    <w:p>
      <w:pPr>
        <w:pStyle w:val="Normal"/>
      </w:pPr>
      <w:r>
        <w:t>62.A.1. Rescue and Transfer Before Avoidable Destruction. Before government-directed destruction of otherwise manageable captive animals for administrative, capacity, ownership, closure, or comparable non-emergency reasons, the responsible authority should consider treatment, quarantine, qualified transfer, temporary placement, or other reasonable protective alternatives. Destruction remains available where necessary to end catastrophic suffering, prevent serious disease spread, protect public safety, or address another documented overriding risk.</w:t>
      </w:r>
    </w:p>
    <w:p>
      <w:pPr>
        <w:pStyle w:val="Normal"/>
      </w:pPr>
      <w:r>
        <w:t>62.A.2. Qualified Recipient. A proposed recipient may be considered where it has lawful authority, appropriate facilities, competent staff, financial and operational capacity, and a credible plan for transport, quarantine, biosecurity, veterinary care, and long-term welfare. A transfer that foreseeably produces severe suffering, uncontrolled disease risk, abandonment, or merely relocates the same crisis does not satisfy this Article.</w:t>
      </w:r>
    </w:p>
    <w:p>
      <w:pPr>
        <w:pStyle w:val="Normal"/>
      </w:pPr>
      <w:r>
        <w:t>62.A.3. Written Reasons and Rapid Review. Where a credible qualified rescue or transfer proposal is denied and destruction remains contemplated, the competent authority should provide written reasons sufficient for rapid review, subject to urgent animal-health, law-enforcement, privacy, or emergency constraints.</w:t>
      </w:r>
    </w:p>
    <w:p>
      <w:pPr>
        <w:pStyle w:val="Normal"/>
      </w:pPr>
      <w:r>
        <w:t>62.A.4. Independent Veterinary Review. For a non-emergency mass destruction of captive animals where a qualified rescue or transfer pathway remains credibly available, the competent authority should obtain independent veterinary review appropriate to the species and circumstances before proceeding. No review requirement shall delay immediate humane euthanasia necessary to end catastrophic suffering or urgent action necessary to contain a serious communicable disease.</w:t>
      </w:r>
    </w:p>
    <w:p>
      <w:pPr>
        <w:pStyle w:val="Normal"/>
      </w:pPr>
      <w:r>
        <w:t>62.A.5. Temporary Protective Custody. Each Party should maintain lawful mechanisms permitting temporary protective intervention where a captive population faces imminent credible risk of abandonment, cessation of essential care, severe neglect, unnecessary destruction, or institutional incapacity. Protective custody need not immediately transfer permanent ownership and should include notice, rapid review, proportionality, continuity of qualified care, and lawful cost-recovery or temporary funding tools where available.</w:t>
      </w:r>
    </w:p>
    <w:p>
      <w:pPr>
        <w:pStyle w:val="Normal"/>
      </w:pPr>
      <w:r>
        <w:t>62.A.6. Life-Preserving Care Firewall. No trade dispute, retaliation, step-back, suspension, customs disagreement, or other NAESTMA measure may be implemented by deliberately withholding necessary feed, water, veterinary treatment, rescue access, evacuation, or humane emergency care from animals.</w:t>
      </w:r>
    </w:p>
    <w:p>
      <w:pPr>
        <w:pStyle w:val="Heading2"/>
      </w:pPr>
      <w:bookmarkStart w:id="902425" w:name="_Toc300002424"/>
      <w:r>
        <w:t>Article 24.X: Least-Harm Wildlife Intervention and Humane Cross-Border Management</w:t>
      </w:r>
      <w:bookmarkEnd w:id="902425"/>
    </w:p>
    <w:p>
      <w:pPr>
        <w:pStyle w:val="Normal"/>
      </w:pPr>
      <w:r>
        <w:t>24.X.1. Least-Harm Effective Intervention. Where a Party acts under this Agreement to address wildlife conflict, it should ordinarily consider prevention and deterrence, correction of human-created attractants or hazards, conflict mitigation, capture, suitable relocation or specialized placement, and lethal action in an order that favors the least harmful effective and reasonably practicable response. Immediate defense of human life or response to imminent serious danger remains unaffected.</w:t>
      </w:r>
    </w:p>
    <w:p>
      <w:pPr>
        <w:pStyle w:val="Normal"/>
      </w:pPr>
      <w:r>
        <w:t>24.X.2. Nuisance Status. Classification of an animal as a nuisance, by itself, is not sufficient to establish that lethal action is necessary where a reasonably safe, effective, and ecologically responsible non-lethal alternative is available.</w:t>
      </w:r>
    </w:p>
    <w:p>
      <w:pPr>
        <w:pStyle w:val="Normal"/>
      </w:pPr>
      <w:r>
        <w:t>24.X.3. Relocation Suitability. A relocation relied upon as a welfare measure should consider health, habituation, destination habitat, carrying capacity, territorial competition, disease risk, homing probability, human-conflict risk, ecological consequences, and expected survival. Higher-risk or uncertain translocations may include proportionate post-release monitoring.</w:t>
      </w:r>
    </w:p>
    <w:p>
      <w:pPr>
        <w:pStyle w:val="Normal"/>
      </w:pPr>
      <w:r>
        <w:t>24.X.4. Humane Wildlife Capture and Transport. Wildlife capture, holding, transfer, and transport undertaken pursuant to this Agreement shall use species-appropriate methods intended to minimize avoidable injury, heat or cold stress, dehydration, prolonged restraint, and unnecessary fear or distress.</w:t>
      </w:r>
    </w:p>
    <w:p>
      <w:pPr>
        <w:pStyle w:val="Normal"/>
      </w:pPr>
      <w:r>
        <w:t>24.X.5. Marine-Mammal Sanctuary Cooperation. The Parties may voluntarily cooperate on feasibility studies, candidate-site assessment, veterinary standards, cross-border transfer pathways, emergency placement, research, and removal of unnecessary administrative barriers to qualified marine-mammal sanctuary care. No site, private organization, technology, or transfer receives automatic treaty approval or funding.</w:t>
      </w:r>
    </w:p>
    <w:p>
      <w:pPr>
        <w:pStyle w:val="Heading2"/>
      </w:pPr>
      <w:bookmarkStart w:id="902427" w:name="_Toc300002426"/>
      <w:r>
        <w:t>PACKAGE CC-T: TRACEABILITY AND POLITICAL FIREWALL</w:t>
      </w:r>
      <w:bookmarkEnd w:id="902427"/>
    </w:p>
    <w:p>
      <w:pPr>
        <w:pStyle w:val="Normal"/>
      </w:pPr>
      <w:r>
        <w:t>CC-T1. Integrated in Article 43.W and Annex 43-H, as applicable: cross-cutting welfare floor, no downward harmonization, equivalency, non-discrimination, producer transition, small-producer protection, technology neutrality, no welfare substitution, necessary-use firewall, anti-circumvention, reporting protection, and records.</w:t>
      </w:r>
    </w:p>
    <w:p>
      <w:pPr>
        <w:pStyle w:val="Normal"/>
      </w:pPr>
      <w:r>
        <w:t>CC-T2. Integrated in Article 43.W, with transition classification in Annex 43-H where expressly provided: outcome-based extreme-confinement, healthy-tissue, humane-handling, transport, stunning/insensibility, prolonged-suffering depopulation, and mass-depopulation review principles.</w:t>
      </w:r>
    </w:p>
    <w:p>
      <w:pPr>
        <w:pStyle w:val="Normal"/>
      </w:pPr>
      <w:r>
        <w:t>CC-T3. Integrated now: rescue/transfer consideration, qualified-recipient test, written reasons, independent veterinary review, temporary protective custody, and life-preserving-care firewall.</w:t>
      </w:r>
    </w:p>
    <w:p>
      <w:pPr>
        <w:pStyle w:val="Normal"/>
      </w:pPr>
      <w:r>
        <w:t>CC-T4. Integrated now: least-harm wildlife intervention, nuisance-status safeguard, relocation suitability, humane capture/transport, and voluntary sanctuary cooperation.</w:t>
      </w:r>
    </w:p>
    <w:p>
      <w:pPr>
        <w:pStyle w:val="Normal"/>
      </w:pPr>
      <w:r>
        <w:t>CC-T5. Explicitly NOT adopted as binding operative mandates: a universal three-veterinarian unanimity rule; fixed maternal-contact duration; immediate universal bans on farrowing crates, all penetrating ear tags, carbon-dioxide pig stunning, or water-bath poultry stunning; named sanctuary sites; informal scoring concepts; captive-cetacean hydration causation claims; floating/subsea veterinary-facility specifications; detailed local hunting rules; classroom-dissection rules; or detailed laboratory animal-testing prescriptions.</w:t>
      </w:r>
    </w:p>
    <w:p>
      <w:pPr>
        <w:pStyle w:val="Normal"/>
      </w:pPr>
      <w:r>
        <w:t>CC-T6. The excluded concepts remain available for future validation, domestic action, or a later protocol and are not rejected on the merits merely because they are not made binding here.</w:t>
      </w:r>
    </w:p>
    <w:p>
      <w:pPr>
        <w:pStyle w:val="Normal"/>
      </w:pPr>
      <w:r>
        <w:t>CC-T7. Existing Chapter 9 animal-health and SPS rights, disease controls, equivalence, regionalization, emergency measures, and competent-authority powers remain intact.</w:t>
      </w:r>
    </w:p>
    <w:p>
      <w:pPr>
        <w:pStyle w:val="Normal"/>
      </w:pPr>
      <w:r>
        <w:t>CC-T8. Existing stronger national and subnational animal-welfare rules remain intact.</w:t>
      </w:r>
    </w:p>
    <w:p>
      <w:pPr>
        <w:pStyle w:val="TrumpVisibilityHeadline"/>
      </w:pPr>
      <w:r>
        <w:t xml:space="preserve">★ </w:t>
      </w:r>
      <w:r>
        <w:t>VISIBLE U.S. WIN: KEYSTONE NEXT, A REAL, MEASURABLE NORTH AMERICAN ENERGY-SECURITY PROJECT</w:t>
      </w:r>
    </w:p>
    <w:p>
      <w:pPr>
        <w:pStyle w:val="Heading1"/>
      </w:pPr>
      <w:bookmarkStart w:id="902428" w:name="_Toc300002427"/>
      <w:r>
        <w:rPr>
          <w:b/>
        </w:rPr>
        <w:t>PACKAGE CD: OPTIONAL KEYSTONE NEXT NORTH AMERICAN ENERGY SECURITY MODULE</w:t>
      </w:r>
      <w:bookmarkEnd w:id="902428"/>
    </w:p>
    <w:p>
      <w:pPr>
        <w:pStyle w:val="Normal"/>
      </w:pPr>
      <w:r>
        <w:t>CD-1. Optional Activation and Purpose. Canada and the United States may activate a Keystone Next North American Energy Security Partnership as a negotiated bargain under this Agreement. Its purpose is to deliver a tangible, commercially grounded successor to the energy-security objectives historically associated with Keystone XL without requiring reconstruction of the terminated Keystone XL route.</w:t>
      </w:r>
    </w:p>
    <w:p>
      <w:pPr>
        <w:pStyle w:val="Normal"/>
      </w:pPr>
      <w:r>
        <w:t>CD-2. Headline Capacity Objective. Upon activation, the Parties shall pursue a package of qualifying infrastructure capable, when completed and combined with associated system improvements, of materially increasing or securing Canadian crude transportation capacity serving the North American refining system. The initial planning objective shall be aggregate transportation capacity approaching the approximately 830,000-barrel-per-day scale historically associated with Keystone XL, where supported by commercial demand. The objective may be achieved through multiple interconnected projects and does not constitute a compulsory production quota.</w:t>
      </w:r>
    </w:p>
    <w:p>
      <w:pPr>
        <w:pStyle w:val="Normal"/>
      </w:pPr>
      <w:r>
        <w:t>CD-3. Tangible Infrastructure Package. The initial package shall include Prairie Connector-Bridger or a commercially viable successor; optimization or expansion opportunities within existing cross-border pipeline systems; reuse of suitable former Keystone XL pipe, facilities, disturbed corridors, engineering, or other assets where economically, technically, legally, and environmentally advantageous; and associated pumping, storage, terminal, interconnection, monitoring, safety, and emergency-response infrastructure.</w:t>
      </w:r>
    </w:p>
    <w:p>
      <w:pPr>
        <w:pStyle w:val="Normal"/>
      </w:pPr>
      <w:r>
        <w:t>CD-4. Real Deliverables and Milestones. Within 180 days after activation, Canada and the United States shall identify an initial portfolio of qualifying projects, responsible entities, indicative capacity contributions, and principal regulatory and commercial milestones. Within 12 months after activation, the Parties shall publish an implementation roadmap and thereafter report annually on verified capacity enabled, secured, modernized, placed under construction, or brought into service. Milestones shall distinguish physical capacity from studies, options, or uncommitted proposals.</w:t>
      </w:r>
    </w:p>
    <w:p>
      <w:pPr>
        <w:pStyle w:val="Normal"/>
      </w:pPr>
      <w:r>
        <w:t>CD-5. Priority but Lawful Canadian Treatment. Canada shall designate the activated package for priority federal coordination and timely lawful consideration. Priority treatment means coordinated sequencing, early identification of information requirements, avoidance of duplicative federal process where law permits, and published milestone management. It does not predetermine an approval, waive a legal requirement, or transfer provincial, Indigenous, or private authority.</w:t>
      </w:r>
    </w:p>
    <w:p>
      <w:pPr>
        <w:pStyle w:val="Normal"/>
      </w:pPr>
      <w:r>
        <w:t>CD-6. Environmental Infrastructure Hierarchy. Project selection shall first consider optimization of existing infrastructure and already disturbed corridors; second, safe reuse or repurposing of suitable existing assets; third, limited new connections and expansions; and fourth, major greenfield construction where necessary to achieve the agreed objective. The hierarchy guides comparison but does not require use of an inferior, unsafe, uneconomic, or environmentally worse alternative.</w:t>
      </w:r>
    </w:p>
    <w:p>
      <w:pPr>
        <w:pStyle w:val="Normal"/>
      </w:pPr>
      <w:r>
        <w:t>CD-7. Route and Water Protection. No route shall be preferred merely because it was historically associated with Keystone XL. Route selection shall seek to minimize aggregate impacts on drinking-water sources, major waterways, wetlands, fisheries, wildlife habitat, culturally significant areas, communities, and sensitive landscapes while maintaining technically and commercially credible energy service. Avoidable material risk to major drinking-water sources or exceptionally sensitive water bodies shall receive particular weight.</w:t>
      </w:r>
    </w:p>
    <w:p>
      <w:pPr>
        <w:pStyle w:val="Normal"/>
      </w:pPr>
      <w:r>
        <w:t>CD-8. Modern Pipeline Safety Standard. Qualifying new or materially modernized infrastructure shall use best-available practical integrity and safety measures appropriate to the project, which may include dense leak detection, distributed sensing, sectional isolation, rapid shutdown, corrosion and fracture monitoring, independent integrity testing, water-crossing protection, pre-positioned spill response, restoration bonding, and transparent incident reporting.</w:t>
      </w:r>
    </w:p>
    <w:p>
      <w:pPr>
        <w:pStyle w:val="Normal"/>
      </w:pPr>
      <w:r>
        <w:t>CD-9. Climate and Operational Efficiency. The Parties shall encourage efficient pumping, electrification where technically and economically suitable, lower-emission construction and operations, methane and associated-facility controls where applicable, lifecycle performance reporting, and other measures that reduce the operational environmental footprint without converting this Module into a compulsory production cap or a disguised restriction on lawful energy trade.</w:t>
      </w:r>
    </w:p>
    <w:p>
      <w:pPr>
        <w:pStyle w:val="Normal"/>
      </w:pPr>
      <w:r>
        <w:t>CD-10. Indigenous Rights and Economic Participation. Nothing in this Module diminishes Aboriginal, Indigenous, constitutional, treaty, consultation, accommodation, title, or self-government rights or obligations. Qualifying projects should create meaningful opportunities, where desired by affected Indigenous communities, for equity participation, revenue participation, procurement, employment, training, environmental monitoring, emergency preparedness, and stewardship.</w:t>
      </w:r>
    </w:p>
    <w:p>
      <w:pPr>
        <w:pStyle w:val="Normal"/>
      </w:pPr>
      <w:r>
        <w:t>CD-11. Commercial Viability and No Compulsory Extraction. Nothing requires Canada, a province, an Indigenous government, a Crown corporation, a private producer, pipeline operator, shipper, or investor to finance, construct, ship through, or guarantee an uneconomic project. Nothing establishes a mandatory oil-sands production level, compulsory extraction obligation, below-market supply commitment, or guaranteed private rate of return.</w:t>
      </w:r>
    </w:p>
    <w:p>
      <w:pPr>
        <w:pStyle w:val="Normal"/>
      </w:pPr>
      <w:r>
        <w:t>CD-12. Advanced Pipeline Technology and Demonstration Track. The Parties shall encourage development, testing, validation, and, where proven safe and commercially appropriate, deployment of advanced pipeline and energy-transport technologies that improve safety, environmental performance, reliability, repairability, construction efficiency, monitoring, or lifecycle cost.</w:t>
      </w:r>
    </w:p>
    <w:p>
      <w:pPr>
        <w:pStyle w:val="Normal"/>
      </w:pPr>
      <w:r>
        <w:t>CD-13. Eligible Advanced Technologies. Eligible work may include advanced pipe materials and liners; next-generation coatings; modular or replaceable sections; improved corrosion and fracture resistance; distributed fibre-optic, acoustic, chemical, pressure, or other sensing; continuous leak detection; autonomous inspection; robotic maintenance and repair; advanced isolation and shutdown; lower-disturbance construction; improved water crossings; efficient or electrified pumping; digital twins; predictive maintenance; and other emerging technologies.</w:t>
      </w:r>
    </w:p>
    <w:p>
      <w:pPr>
        <w:pStyle w:val="Normal"/>
      </w:pPr>
      <w:r>
        <w:t>CD-14. Validation Ladder and Regulatory Sandbox. Canada may support laboratories, controlled demonstration corridors, test facilities, regulatory sandboxes, and limited field pilots. Experimental technology shall progress according to demonstrated risk from modelling and laboratory validation through destructive and failure testing, controlled demonstration, limited operational deployment, independent certification where applicable, monitored scale-up, and commercial eligibility. Participation in a pilot creates no presumption of certification, procurement, or regulatory approval.</w:t>
      </w:r>
    </w:p>
    <w:p>
      <w:pPr>
        <w:pStyle w:val="Normal"/>
      </w:pPr>
      <w:r>
        <w:t>CD-15. Technology Neutrality. Nothing requires conventional steel pipeline construction where another independently validated technology provides equal or superior integrity, safety, environmental protection, capacity, and lifecycle performance. Regulators may recognize demonstrated performance advantages when comparing otherwise viable alternatives.</w:t>
      </w:r>
    </w:p>
    <w:p>
      <w:pPr>
        <w:pStyle w:val="Normal"/>
      </w:pPr>
      <w:r>
        <w:t>CD-16. Keystone Next Energy Infrastructure Skills and Trades Initiative. Canada shall support education, apprenticeship, skilled-trades, technical-training, professional-development, and work-integrated-learning pathways relevant to construction, operation, inspection, maintenance, modernization, environmental management, emergency response, and technological advancement of energy infrastructure.</w:t>
      </w:r>
    </w:p>
    <w:p>
      <w:pPr>
        <w:pStyle w:val="Normal"/>
      </w:pPr>
      <w:r>
        <w:t>CD-17. Skills Scope. Training may include welding and advanced joining; metallurgy and materials; corrosion control; non-destructive testing; instrumentation and industrial controls; fibre-optic and distributed sensing; robotics and autonomous inspection; civil and geotechnical work; pumping systems; cybersecurity; digital twins and predictive maintenance; environmental monitoring and remediation; spill and emergency response; water protection; and other emerging infrastructure skills.</w:t>
      </w:r>
    </w:p>
    <w:p>
      <w:pPr>
        <w:pStyle w:val="Normal"/>
      </w:pPr>
      <w:r>
        <w:t>CD-18. Training Partnerships and Portability. Canada shall encourage partnerships among colleges, polytechnics, universities, apprenticeship systems, Indigenous training organizations, labour organizations, industry, regulators, and research institutions. The Parties should facilitate recognition and portability of equivalent qualifications, certifications, apprenticeships, and professional competencies while preserving legitimate licensing and safety requirements.</w:t>
      </w:r>
    </w:p>
    <w:p>
      <w:pPr>
        <w:pStyle w:val="Normal"/>
      </w:pPr>
      <w:r>
        <w:t>CD-19. Durable Workforce Value. Programs should prioritize paid apprenticeships, retraining of experienced energy workers, Indigenous training and employment, and pathways from trades into inspection, supervision, engineering technology, safety, and specialized technical occupations. Training should remain useful across energy, utilities, manufacturing, construction, environmental remediation, and critical infrastructure and shall not depend upon construction of any single Keystone Next project.</w:t>
      </w:r>
    </w:p>
    <w:p>
      <w:pPr>
        <w:pStyle w:val="Normal"/>
      </w:pPr>
      <w:r>
        <w:t>CD-20. Technology-to-Workforce Link. A qualifying advanced-technology demonstration should, where practicable, include a corresponding training component so that technical validation is accompanied by development of the technicians, tradespeople, inspectors, engineers, operators, environmental personnel, and emergency responders required for safe deployment.</w:t>
      </w:r>
    </w:p>
    <w:p>
      <w:pPr>
        <w:pStyle w:val="Normal"/>
      </w:pPr>
      <w:r>
        <w:t>CD-21. Strategic Minerals Linkage Without Double Counting. The Parties recognize that Keystone Next may complement the Strategic Minerals Access Framework, processing and refining initiatives, recycling and by-product recovery, stockpile cooperation, trusted external feedstock provisions, and minerals-for-forestry architecture elsewhere in this Agreement. A Canadian minerals concession already paired with another United States obligation shall not be treated as newly furnished consideration for activation of this Module unless Canada expressly agrees otherwise.</w:t>
      </w:r>
    </w:p>
    <w:p>
      <w:pPr>
        <w:pStyle w:val="Normal"/>
      </w:pPr>
      <w:r>
        <w:t>CD-22. North American Industrial Participation. Qualifying projects may support North American manufacturing of pipe, pumps, valves, sensors, controls, robotics, safety equipment, construction machinery, and other infrastructure inputs, subject to the Agreement's origin, procurement, competition, and anti-circumvention rules. This provision does not create a single-Party domestic-content mandate unless expressly activated as a separately priced bargain.</w:t>
      </w:r>
    </w:p>
    <w:p>
      <w:pPr>
        <w:pStyle w:val="Normal"/>
      </w:pPr>
      <w:r>
        <w:t>CD-23. Reciprocal United States Consideration. Activation shall identify specific, measurable, and durable United States consideration commensurate with the Canadian commitments activated. Consideration may include removal or neutralization of specified extraordinary tariffs; durable automotive, steel, aluminum, forestry, energy, procurement, or market-access treatment; cross-border permit commitments within lawful authority; or other negotiated benefits. A promise merely to study tariff relief does not constitute principal consideration.</w:t>
      </w:r>
    </w:p>
    <w:p>
      <w:pPr>
        <w:pStyle w:val="Normal"/>
      </w:pPr>
      <w:r>
        <w:t>CD-24. No Uncompensated Front-Loading. Preliminary studies, consultation, training design, technology research, and regulatory coordination may begin before full reciprocal performance. Principal irreversible Canadian commitments, including major construction-specific governmental obligations or extraordinary financial exposure, shall activate together with the corresponding United States benefit. Material failure of paired performance triggers verification, a short cure period, proportional pause or step-back of the paired obligation, and automatic restoration when performance resumes through the existing Cothrom architecture.</w:t>
      </w:r>
    </w:p>
    <w:p>
      <w:pPr>
        <w:pStyle w:val="Normal"/>
      </w:pPr>
      <w:r>
        <w:t>CD-25. No Tariff Recreation. Where the United States removes a specified extraordinary tariff as consideration, it shall not principally recreate the resolved burden through nominal reclassification, substantially equivalent emergency action, or another measure whose predominant purpose is circumvention. Ordinary good-faith trade-remedy administration remains available subject to this Agreement.</w:t>
      </w:r>
    </w:p>
    <w:p>
      <w:pPr>
        <w:pStyle w:val="Normal"/>
      </w:pPr>
      <w:r>
        <w:t>CD-26. Public Launch. Upon activation, the Parties may publicly launch Keystone Next at leader or ministerial level and identify the selected infrastructure, capacity objective, workforce program, technology track, environmental and safety standards, and reciprocal trade settlement. Public communications shall distinguish Keystone Next from revival of the terminated Keystone XL route while recognizing its role as a modern successor to the underlying continental energy-security objective.</w:t>
      </w:r>
    </w:p>
    <w:p>
      <w:pPr>
        <w:pStyle w:val="Normal"/>
      </w:pPr>
      <w:r>
        <w:t>CD-27. Trilateral Complementarity. Mexico may participate in advanced-energy technology, skills, manufacturing, research, safety, and professional-mobility elements where mutually agreed. Nothing implies that Mexico is geographically part of the Canada-United States pipeline corridor or obliges Mexico to finance it.</w:t>
      </w:r>
    </w:p>
    <w:p>
      <w:pPr>
        <w:pStyle w:val="Normal"/>
      </w:pPr>
      <w:r>
        <w:t>CD-28. Governing Bargain. Keystone Next is intended to be both symbolic and real: a visible North American energy-security commitment supported by measurable infrastructure, capacity, workforce, technology, safety, and environmental outcomes. It shall not be reduced to a committee-only undertaking, nor shall its political visibility be used to compel commercially unjustified construction, compulsory extraction, surrender of Canadian sovereignty, or waiver of lawful environmental or Indigenous protections.</w:t>
      </w:r>
    </w:p>
    <w:p>
      <w:pPr>
        <w:pStyle w:val="TrumpVisibilityHeadline"/>
      </w:pPr>
      <w:r>
        <w:t xml:space="preserve">★ </w:t>
      </w:r>
      <w:r>
        <w:t>VISIBLE U.S. WIN: FENTANYL FIRST, TOUGHER BORDER SECURITY, MORE CANINE TEAMS, FASTER LEGITIMATE TRADE</w:t>
      </w:r>
    </w:p>
    <w:p>
      <w:pPr>
        <w:pStyle w:val="Heading1"/>
      </w:pPr>
      <w:bookmarkStart w:id="902429" w:name="_Toc300002428"/>
      <w:r>
        <w:t>PACKAGE CE: FENTANYL AND HIGH-RISK CONTRABAND INTERDICTION / TRUSTED FREIGHT GATEWAY</w:t>
      </w:r>
      <w:bookmarkEnd w:id="902429"/>
    </w:p>
    <w:p>
      <w:pPr>
        <w:pStyle w:val="Normal"/>
      </w:pPr>
      <w:r>
        <w:rPr>
          <w:b/>
        </w:rPr>
        <w:t xml:space="preserve">CE-1. Fentanyl Priority. </w:t>
      </w:r>
      <w:r>
        <w:t>The Parties recognize illicit fentanyl, fentanyl analogues, synthetic opioids, and their precursor chemicals as priority cross-border threats. Canada and the United States shall strengthen targeted interdiction at major land crossings, beginning with the Windsor-Detroit commercial corridor and the Gordie Howe International Bridge, while preserving expedited movement for lawful and trusted commerce.</w:t>
      </w:r>
    </w:p>
    <w:p>
      <w:pPr>
        <w:pStyle w:val="Normal"/>
      </w:pPr>
      <w:r>
        <w:rPr>
          <w:b/>
        </w:rPr>
        <w:t xml:space="preserve">CE-2. Visible Canadian Performance. </w:t>
      </w:r>
      <w:r>
        <w:t>New Canadian canine teams, scanners, inspection technology, trained personnel, facilities, intelligence capabilities, and other verified interdiction resources deployed pursuant to this Package constitute Canadian performance for purposes of any paired bargain. Existing resources or commitments shall not be silently recharacterized as newly furnished consideration.</w:t>
      </w:r>
    </w:p>
    <w:p>
      <w:pPr>
        <w:pStyle w:val="Normal"/>
      </w:pPr>
      <w:r>
        <w:rPr>
          <w:b/>
        </w:rPr>
        <w:t xml:space="preserve">CE-3. Fentanyl-Detection Canine Teams. </w:t>
      </w:r>
      <w:r>
        <w:t>Canada shall expand trained canine detection capacity for targeted secondary inspection of vehicles, commercial cargo, and other conveyances identified for inspection through lawful risk assessment, intelligence, non-intrusive inspection, random secondary selection, or other authorized customs procedures. Fentanyl detection shall be a priority capability without preventing training or deployment against other synthetic drugs, firearms, illicit currency, explosives where lawfully authorized, or other contraband.</w:t>
      </w:r>
    </w:p>
    <w:p>
      <w:pPr>
        <w:pStyle w:val="Normal"/>
      </w:pPr>
      <w:r>
        <w:rPr>
          <w:b/>
        </w:rPr>
        <w:t xml:space="preserve">CE-4. Risk-Flagged Vehicle Inspection. </w:t>
      </w:r>
      <w:r>
        <w:t>Canine inspection should ordinarily supplement an authorized referral or secondary-inspection process rather than operate as a universal inspection requirement. Nothing prevents lawful random secondary selection. The objective is to concentrate inspection resources on suspicious or higher-risk movements while reducing unnecessary delay for legitimate traffic.</w:t>
      </w:r>
    </w:p>
    <w:p>
      <w:pPr>
        <w:pStyle w:val="Normal"/>
      </w:pPr>
      <w:r>
        <w:rPr>
          <w:b/>
        </w:rPr>
        <w:t xml:space="preserve">CE-5. Handler and Evidentiary Safeguards. </w:t>
      </w:r>
      <w:r>
        <w:t>A canine indication is an operational detection signal to be assessed by trained officers under applicable law. Canine performance shall not displace legal requirements governing search, seizure, detention, evidence, or enforcement decisions.</w:t>
      </w:r>
    </w:p>
    <w:p>
      <w:pPr>
        <w:pStyle w:val="Normal"/>
      </w:pPr>
      <w:r>
        <w:rPr>
          <w:b/>
        </w:rPr>
        <w:t xml:space="preserve">CE-6. Working-Dog Welfare and Safety. </w:t>
      </w:r>
      <w:r>
        <w:t>Each Party shall maintain appropriate veterinary care, handler training, exposure protocols, heat and cold protections, rest and rotation standards, protective equipment where appropriate, emergency treatment capability, and humane retirement or placement practices for working dogs used under this Package.</w:t>
      </w:r>
    </w:p>
    <w:p>
      <w:pPr>
        <w:pStyle w:val="Normal"/>
      </w:pPr>
      <w:r>
        <w:rPr>
          <w:b/>
        </w:rPr>
        <w:t xml:space="preserve">CE-7. Non-Intrusive Inspection Expansion. </w:t>
      </w:r>
      <w:r>
        <w:t>The Parties should expand or modernize vehicle and cargo imaging, radiation detection, seal and container integrity tools, anomaly detection, and other validated non-intrusive inspection technologies at high-volume commercial crossings, with trained human review for consequential enforcement decisions.</w:t>
      </w:r>
    </w:p>
    <w:p>
      <w:pPr>
        <w:pStyle w:val="Normal"/>
      </w:pPr>
      <w:r>
        <w:rPr>
          <w:b/>
        </w:rPr>
        <w:t xml:space="preserve">CE-8. Precursor and Supply-Chain Targeting. </w:t>
      </w:r>
      <w:r>
        <w:t>Cooperation may include lawful identification and interdiction of fentanyl precursor chemicals, pill-press and concealment equipment, trafficking logistics, suspicious commercial routing, and other material inputs demonstrably connected to illicit synthetic-drug production or distribution.</w:t>
      </w:r>
    </w:p>
    <w:p>
      <w:pPr>
        <w:pStyle w:val="Normal"/>
      </w:pPr>
      <w:r>
        <w:rPr>
          <w:b/>
        </w:rPr>
        <w:t xml:space="preserve">CE-9. Organized-Smuggling Networks. </w:t>
      </w:r>
      <w:r>
        <w:t>Competent authorities may strengthen lawful intelligence exchange and operational coordination concerning repeat trafficking organizations, firearms smuggling, illicit currency movement, stolen vehicles, human trafficking, and other serious cross-border contraband networks, subject to domestic law and applicable privacy, evidence, and due-process safeguards.</w:t>
      </w:r>
    </w:p>
    <w:p>
      <w:pPr>
        <w:pStyle w:val="Normal"/>
      </w:pPr>
      <w:r>
        <w:rPr>
          <w:b/>
        </w:rPr>
        <w:t xml:space="preserve">CE-10. Postal, Parcel and Express Freight. </w:t>
      </w:r>
      <w:r>
        <w:t>Where operationally relevant, competent authorities should improve risk-based targeting of postal, parcel, courier, and express-freight channels used for illicit fentanyl, synthetic drugs, precursor chemicals, or other high-risk contraband without imposing indiscriminate inspection on ordinary low-risk commerce.</w:t>
      </w:r>
    </w:p>
    <w:p>
      <w:pPr>
        <w:pStyle w:val="Normal"/>
      </w:pPr>
      <w:r>
        <w:rPr>
          <w:b/>
        </w:rPr>
        <w:t xml:space="preserve">CE-11. Trusted Freight Dividend. </w:t>
      </w:r>
      <w:r>
        <w:t>Enhanced security shall be paired with faster treatment of demonstrably low-risk lawful freight. The Parties should use advance commercial data, pre-arrival risk assessment, trusted-trader programs, interoperable manifests, appointment and queue management, and dedicated or priority processing where operationally justified.</w:t>
      </w:r>
    </w:p>
    <w:p>
      <w:pPr>
        <w:pStyle w:val="Normal"/>
      </w:pPr>
      <w:r>
        <w:rPr>
          <w:b/>
        </w:rPr>
        <w:t xml:space="preserve">CE-12. Gordie Howe Flagship Pilot. </w:t>
      </w:r>
      <w:r>
        <w:t>The Gordie Howe International Bridge shall be eligible to serve as a flagship demonstration crossing for the combined model of stronger fentanyl and contraband interdiction, expanded canine and non-intrusive inspection capability, and expedited trusted freight. Validated practices may be extended to other high-volume crossings without requiring amendment of this Agreement.</w:t>
      </w:r>
    </w:p>
    <w:p>
      <w:pPr>
        <w:pStyle w:val="Normal"/>
      </w:pPr>
      <w:r>
        <w:rPr>
          <w:b/>
        </w:rPr>
        <w:t xml:space="preserve">CE-13. Performance Dashboard. </w:t>
      </w:r>
      <w:r>
        <w:t>Competent authorities should publish periodic non-sensitive aggregate measures sufficient to demonstrate performance, which may include fentanyl and other contraband seizures, high-risk inspections, trusted shipments expedited, average commercial processing times, inspection-system uptime, canine deployments and validated detections. Reporting shall not disclose intelligence, targeting thresholds, vulnerabilities, or operational information useful to traffickers.</w:t>
      </w:r>
    </w:p>
    <w:p>
      <w:pPr>
        <w:pStyle w:val="Normal"/>
      </w:pPr>
      <w:r>
        <w:rPr>
          <w:b/>
        </w:rPr>
        <w:t xml:space="preserve">CE-14. Data Minimization and Auditability. </w:t>
      </w:r>
      <w:r>
        <w:t>Information collected under this Package shall be limited to lawful border, customs, security, and enforcement purposes; protected by appropriate access controls and audit logs; retained no longer than authorized or operationally justified; and subject to applicable privacy, civil-liberties, cybersecurity, and redress requirements.</w:t>
      </w:r>
    </w:p>
    <w:p>
      <w:pPr>
        <w:pStyle w:val="Normal"/>
      </w:pPr>
      <w:r>
        <w:rPr>
          <w:b/>
        </w:rPr>
        <w:t xml:space="preserve">CE-15. No Generalized Immigration Dragnet. </w:t>
      </w:r>
      <w:r>
        <w:t>Freight and contraband authorities created or strengthened under this Package shall not by themselves create a new general immigration-policing authority, diminish asylum or humanitarian protections, or authorize indiscriminate surveillance of lawful travelers.</w:t>
      </w:r>
    </w:p>
    <w:p>
      <w:pPr>
        <w:pStyle w:val="Normal"/>
      </w:pPr>
      <w:r>
        <w:rPr>
          <w:b/>
        </w:rPr>
        <w:t xml:space="preserve">CE-16. No Fentanyl Tariff Shortcut. </w:t>
      </w:r>
      <w:r>
        <w:t>The existence of illicit fentanyl trafficking, a change in seizure volume, or dissatisfaction with a Party's border-security performance does not by itself authorize an extraordinary tariff or covered border measure against unrelated originating goods. Trade measures remain governed by the disciplines, nexus requirements, verification, cure, proportionality, and review provisions of this Agreement.</w:t>
      </w:r>
    </w:p>
    <w:p>
      <w:pPr>
        <w:pStyle w:val="Normal"/>
      </w:pPr>
      <w:r>
        <w:rPr>
          <w:b/>
        </w:rPr>
        <w:t xml:space="preserve">CE-17. Continuous Modernization. </w:t>
      </w:r>
      <w:r>
        <w:t>Competent authorities may replace or supplement scanners, sensors, canine methods, analytics, inspection tools, and other operational technologies as threats and validated capabilities evolve, without requiring treaty amendment, provided legal, privacy, safety, procurement, and evidentiary requirements remain satisfied.</w:t>
      </w:r>
    </w:p>
    <w:p>
      <w:pPr>
        <w:pStyle w:val="Normal"/>
      </w:pPr>
      <w:r>
        <w:rPr>
          <w:b/>
        </w:rPr>
        <w:t xml:space="preserve">CE-18. Existing Institutions. </w:t>
      </w:r>
      <w:r>
        <w:t>Implementation shall use existing customs, border, law-enforcement, Commission, Secretariat, and Cothrom structures to the maximum extent practicable. This Package does not require creation of a new permanent supranational border-security bureaucracy.</w:t>
      </w:r>
    </w:p>
    <w:p>
      <w:pPr>
        <w:pStyle w:val="Normal"/>
      </w:pPr>
      <w:r>
        <w:rPr>
          <w:b/>
        </w:rPr>
        <w:t xml:space="preserve">CE-19. No Uncompensated Front-Loading. </w:t>
      </w:r>
      <w:r>
        <w:t>Where additional Canadian performance under this Package is expressly paired with a United States trade or market-access concession, the paired benefits shall activate together where practicable. Delayed or failed paired performance shall trigger verification, a short cure period where appropriate, proportional pause or step-back of the paired obligation, and automatic restoration when performance resumes.</w:t>
      </w:r>
    </w:p>
    <w:p>
      <w:pPr>
        <w:pStyle w:val="Normal"/>
      </w:pPr>
      <w:r>
        <w:rPr>
          <w:b/>
        </w:rPr>
        <w:t xml:space="preserve">CE-20. Governing Principle. </w:t>
      </w:r>
      <w:r>
        <w:t>The Parties intend a border that is harder for fentanyl traffickers and other serious smugglers to penetrate and faster for legitimate North American workers, travelers, manufacturers, and freight to use. Security performance shall be real, measurable, lawful, and compatible with the dignity and rights protections elsewhere in this Agreement.</w:t>
      </w:r>
    </w:p>
    <w:p>
      <w:pPr>
        <w:pStyle w:val="Normal"/>
      </w:pPr>
      <w:r>
        <w:rPr>
          <w:b/>
        </w:rPr>
        <w:t xml:space="preserve">★ </w:t>
      </w:r>
      <w:r>
        <w:rPr>
          <w:b/>
        </w:rPr>
        <w:t>VISIBLE CROSS-BORDER WIN: GORDIE HOWE BENEFITS BOTH SIDES, KEEP THE TOLL RIGHTS, REINVEST IN A FASTER DETROIT–WINDSOR CORRIDOR</w:t>
      </w:r>
    </w:p>
    <w:p>
      <w:pPr>
        <w:pStyle w:val="Heading1"/>
      </w:pPr>
      <w:bookmarkStart w:id="902430" w:name="_Toc300002429"/>
      <w:r>
        <w:rPr>
          <w:b/>
        </w:rPr>
        <w:t>PACKAGE CG: DETROIT–WINDSOR INTERNATIONAL CROSSING BENEFIT AND REINVESTMENT FRAMEWORK</w:t>
      </w:r>
      <w:bookmarkEnd w:id="902430"/>
    </w:p>
    <w:p>
      <w:pPr>
        <w:pStyle w:val="Normal"/>
      </w:pPr>
      <w:r>
        <w:t>CG-1. Purpose and Relationship to Existing Bridge Governance. Canada and the United States recognize the Gordie Howe International Bridge and the broader Detroit–Windsor corridor as strategic North American trade infrastructure. This Framework creates an optional mechanism for mutually beneficial corridor reinvestment without reopening, transferring, or prejudicing existing ownership, financing, tolling, governance, concession, contractual, or legal arrangements governing the bridge.</w:t>
      </w:r>
    </w:p>
    <w:p>
      <w:pPr>
        <w:pStyle w:val="Normal"/>
      </w:pPr>
      <w:r>
        <w:t>CG-2. No Transfer of Toll Ownership or Revenue Entitlement. Nothing in this Agreement grants the United States, Michigan, Detroit, any United States agency, or any other person an ownership interest, lien, entitlement, revenue share, repayment claim, or other proprietary right in Canadian or bridge-authority toll revenues. Nothing retroactively characterizes the United States as having financed a share of the bridge or creates a debt arising from its construction or operation.</w:t>
      </w:r>
    </w:p>
    <w:p>
      <w:pPr>
        <w:pStyle w:val="Normal"/>
      </w:pPr>
      <w:r>
        <w:t>CG-3. Optional Corridor Reinvestment. The competent Canadian, United States, bridge, provincial, state, municipal, customs, transportation, or other authorities may, where lawful and mutually agreed, designate bridge-generated revenues, corridor-related revenues, fees, commercial proceeds, appropriations, grants, or equivalent public funding for eligible Detroit–Windsor corridor improvements. No Party is required to dedicate a fixed percentage of toll revenue, and equivalent appropriations may be used instead of toll-derived funds.</w:t>
      </w:r>
    </w:p>
    <w:p>
      <w:pPr>
        <w:pStyle w:val="Normal"/>
      </w:pPr>
      <w:r>
        <w:t>CG-4. Eligible Benefits. Eligible improvements may include United States- or Canada-side customs and inspection facilities; trusted-freight and pre-arrival processing infrastructure; intelligent transportation systems; traffic, queue and appointment management; approach roads and interchanges; commercial staging and logistics facilities; border-security technology; pedestrian, worker or emergency-access improvements where applicable; community-impact mitigation; environmental improvements; and mutually agreed economic-development infrastructure serving the crossing and surrounding communities.</w:t>
      </w:r>
    </w:p>
    <w:p>
      <w:pPr>
        <w:pStyle w:val="Normal"/>
      </w:pPr>
      <w:r>
        <w:t>CG-5. Benefit Without Ownership. A United States-side or Michigan-side improvement financed, supported, accelerated, or enabled through this Framework constitutes a visible cross-border infrastructure benefit but does not create an ownership, governance, toll-setting, repayment, or revenue entitlement in the bridge. A Canadian-side benefit likewise creates no corresponding United States obligation except where expressly paired by agreement.</w:t>
      </w:r>
    </w:p>
    <w:p>
      <w:pPr>
        <w:pStyle w:val="Normal"/>
      </w:pPr>
      <w:r>
        <w:t>CG-6. Integration With Trusted Freight and Reciprocal Procurement. Projects under this Framework should, where appropriate, reinforce Package CE trusted-freight objectives and Chapter 65 reciprocal procurement opportunities. A procurement opening remains a right to compete rather than a guaranteed award, and an improvement counted under this Framework shall not be counted again as new consideration under another package unless the additional value is genuinely distinct and separately verified.</w:t>
      </w:r>
    </w:p>
    <w:p>
      <w:pPr>
        <w:pStyle w:val="Normal"/>
      </w:pPr>
      <w:r>
        <w:t>CG-7. Community and Corridor Additionality. Reinvestment should prioritize improvements that measurably reduce congestion, improve commercial reliability, strengthen inspection capacity, mitigate local traffic or environmental burdens, improve emergency resilience, or expand durable economic opportunity in the Detroit–Windsor corridor. Ordinary maintenance or previously committed expenditure may be recognized as baseline activity but shall not be represented as new agreement-attributable consideration.</w:t>
      </w:r>
    </w:p>
    <w:p>
      <w:pPr>
        <w:pStyle w:val="Normal"/>
      </w:pPr>
      <w:r>
        <w:t>CG-8. Verification, No Double Counting, and Governing Bargain. Any claimed benefit shall identify the funding source, responsible authority, project status, geographic beneficiary, incremental value, and relationship to existing commitments. The same dollar or project benefit shall not be counted twice in Chapter 64, Chapter 65, Package CE, or another visible-win package. The governing bargain is benefit-sharing without ownership transfer: Canada retains lawful toll and bridge rights; the United States and Michigan may receive tangible corridor improvements where mutually agreed; and both sides gain a faster, safer, more commercially useful international crossing.</w:t>
      </w:r>
    </w:p>
    <w:p>
      <w:pPr>
        <w:pStyle w:val="TrumpVisibilityHeadline"/>
      </w:pPr>
      <w:r>
        <w:t xml:space="preserve">★ </w:t>
      </w:r>
      <w:r>
        <w:t>NEGOTIATOR VISIBILITY INDEX: TANGIBLE UNITED STATES WINS ALREADY EMBEDDED IN NAESTMA</w:t>
      </w:r>
    </w:p>
    <w:p>
      <w:pPr>
        <w:pStyle w:val="Normal"/>
      </w:pPr>
      <w:r>
        <w:t>This non-operative index is provided for rapid political and negotiating navigation. It does not enlarge, modify, or independently activate any obligation. Each item remains subject to its operative treaty text and any paired consideration.</w:t>
      </w:r>
    </w:p>
    <w:p>
      <w:pPr>
        <w:pStyle w:val="ListBullet"/>
        <w:numPr>
          <w:ilvl w:val="0"/>
          <w:numId w:val="1"/>
        </w:numPr>
      </w:pPr>
      <w:r>
        <w:t>U.S. manufacturing: more vehicles, components, batteries, semiconductors, power electronics, advanced materials, and other strategic manufacturing built in the United States through the voluntary U.S. Manufacturing Accelerator, with reciprocal Canadian and Mexican tracks and no compulsory Party-specific origin mandate.</w:t>
      </w:r>
    </w:p>
    <w:p>
      <w:pPr>
        <w:pStyle w:val="ListBullet"/>
        <w:numPr>
          <w:ilvl w:val="0"/>
          <w:numId w:val="1"/>
        </w:numPr>
      </w:pPr>
      <w:r>
        <w:t>Automotive: 75% Standard, 80% High Integration, and 85% Strategic Integration architecture; stronger North American vehicle and component production; public investment/capacity reporting; and the optional 70% U.S.-manufactured SUV muffler commitment paired with a durable automotive tariff settlement.</w:t>
      </w:r>
    </w:p>
    <w:p>
      <w:pPr>
        <w:pStyle w:val="ListBullet"/>
        <w:numPr>
          <w:ilvl w:val="0"/>
          <w:numId w:val="1"/>
        </w:numPr>
      </w:pPr>
      <w:r>
        <w:t>Aircraft certification: North American Aviation Certification Fast Lane with concurrent FAA-TCCA-AFAC review where practicable, maximum lawful reliance on counterpart technical findings, published response clocks, no politically motivated certification delay, and an explicit firewall preserving each regulator's sovereign safety authority.</w:t>
      </w:r>
    </w:p>
    <w:p>
      <w:pPr>
        <w:pStyle w:val="ListBullet"/>
        <w:numPr>
          <w:ilvl w:val="0"/>
          <w:numId w:val="1"/>
        </w:numPr>
      </w:pPr>
      <w:r>
        <w:t>Dairy: Guaranteed New U.S. Dairy Access: measurable provincial access floors, utilization and reallocation disciplines, a 0.2% Priority Cheese Access Bonus, transparent TRQ administration, and an optional pathway up to 1.50% total scheduled provincial access in return for expressly paired concessions.</w:t>
      </w:r>
    </w:p>
    <w:p>
      <w:pPr>
        <w:pStyle w:val="ListBullet"/>
        <w:numPr>
          <w:ilvl w:val="0"/>
          <w:numId w:val="1"/>
        </w:numPr>
      </w:pPr>
      <w:r>
        <w:t>Alcohol: American products return with normalization: tariff-linked restoration of ordinary listing eligibility, inventory replenishment, distribution, and retail access for U.S. beer, wine, and spirits, while preserving legitimate provincial, territorial, state, and Mexican subnational regulation.</w:t>
      </w:r>
    </w:p>
    <w:p>
      <w:pPr>
        <w:pStyle w:val="ListBullet"/>
        <w:numPr>
          <w:ilvl w:val="0"/>
          <w:numId w:val="1"/>
        </w:numPr>
      </w:pPr>
      <w:r>
        <w:t>Steel and aluminum: North American Metals Investment Compact; anti-transshipment and provenance protection; strategic and defense-grade capacity; modernization and recycling; public investment/capacity reporting; and durable normalization of originating North American metals trade.</w:t>
      </w:r>
    </w:p>
    <w:p>
      <w:pPr>
        <w:pStyle w:val="ListBullet"/>
        <w:numPr>
          <w:ilvl w:val="0"/>
          <w:numId w:val="1"/>
        </w:numPr>
      </w:pPr>
      <w:r>
        <w:t>Critical minerals: Strategic Materials Compact, duty-free originating trade, offtake and long-term access, stockpile and surge cooperation, Midstream Gap Register, trusted external feedstock, by-product recovery, Canada/U.S./Mexico industrial tracks, and minerals-for-forestry bargaining that exchanges resource cooperation for processing, investment, procurement, resilience, and market-access value.</w:t>
      </w:r>
    </w:p>
    <w:p>
      <w:pPr>
        <w:pStyle w:val="ListBullet"/>
        <w:numPr>
          <w:ilvl w:val="0"/>
          <w:numId w:val="1"/>
        </w:numPr>
      </w:pPr>
      <w:r>
        <w:rPr>
          <w:b/>
        </w:rPr>
        <w:t>Forestry: minerals-for-forestry normalization pathways capable of supporting durable softwood-lumber settlement.</w:t>
      </w:r>
    </w:p>
    <w:p>
      <w:pPr>
        <w:pStyle w:val="ListBullet"/>
        <w:numPr>
          <w:ilvl w:val="0"/>
          <w:numId w:val="1"/>
        </w:numPr>
      </w:pPr>
      <w:r>
        <w:rPr>
          <w:b/>
        </w:rPr>
        <w:t>Wildfire: prevention, detection, fuel management, firefighting interoperability, technology, recovery, and transboundary smoke mitigation.</w:t>
      </w:r>
    </w:p>
    <w:p>
      <w:pPr>
        <w:pStyle w:val="ListBullet"/>
        <w:numPr>
          <w:ilvl w:val="0"/>
          <w:numId w:val="1"/>
        </w:numPr>
      </w:pPr>
      <w:r>
        <w:rPr>
          <w:b/>
        </w:rPr>
        <w:t>Procurement: reciprocal strategic-supplier access while preserving lawful domestic, SME, Indigenous, security, and resilience programs.</w:t>
      </w:r>
    </w:p>
    <w:p>
      <w:pPr>
        <w:pStyle w:val="ListBullet"/>
        <w:numPr>
          <w:ilvl w:val="0"/>
          <w:numId w:val="1"/>
        </w:numPr>
      </w:pPr>
      <w:r>
        <w:rPr>
          <w:b/>
        </w:rPr>
        <w:t>Trade rebalancing: verifiable opportunities for additional U.S. exports, investment, reshoring, joint ventures, procurement, agriculture, and productive capacity without compulsory purchase quotas.</w:t>
      </w:r>
    </w:p>
    <w:p>
      <w:pPr>
        <w:pStyle w:val="ListBullet"/>
        <w:numPr>
          <w:ilvl w:val="0"/>
          <w:numId w:val="1"/>
        </w:numPr>
      </w:pPr>
      <w:r>
        <w:rPr>
          <w:b/>
        </w:rPr>
        <w:t>Keystone Next: an optional tangible energy-security successor with an approximately 830,000-barrel-per-day planning objective where commercially supported, real infrastructure, workforce, technology, safety, and public launch.</w:t>
      </w:r>
    </w:p>
    <w:p>
      <w:pPr>
        <w:pStyle w:val="ListBullet"/>
        <w:numPr>
          <w:ilvl w:val="0"/>
          <w:numId w:val="1"/>
        </w:numPr>
      </w:pPr>
      <w:r>
        <w:rPr>
          <w:b/>
        </w:rPr>
        <w:t>Fentanyl and border security: fentanyl-priority interdiction, expanded canine teams, modern inspection technology, Gordie Howe flagship deployment, measurable performance, and a trusted-freight dividend.</w:t>
      </w:r>
    </w:p>
    <w:p>
      <w:pPr>
        <w:pStyle w:val="ListBullet"/>
        <w:numPr>
          <w:ilvl w:val="0"/>
          <w:numId w:val="1"/>
        </w:numPr>
      </w:pPr>
      <w:r>
        <w:t>Medicines and pharmaceutical manufacturing: stronger North American API, sterile-injectable, biologics, vaccine and essential-medicine manufacturing; resilient U.S. supply; emergency reserves; reduced strategic dependence on non-North-American suppliers; and protection against essential medicines becoming tariff hostages.</w:t>
      </w:r>
    </w:p>
    <w:p>
      <w:pPr>
        <w:pStyle w:val="Normal"/>
      </w:pPr>
      <w:r>
        <w:t>Gordie Howe / Detroit–Windsor: an optional corridor-reinvestment framework can direct mutually agreed revenues or equivalent appropriations to Michigan- and Ontario-side customs, trusted-freight, ITS, approach, logistics, community-mitigation and economic-development improvements without transferring Canadian toll ownership, bridge governance, or revenue entitlement.</w:t>
      </w:r>
    </w:p>
    <w:p>
      <w:pPr>
        <w:pStyle w:val="TrumpVisibilityHeadline"/>
      </w:pPr>
      <w:r>
        <w:t xml:space="preserve">★ </w:t>
      </w:r>
      <w:r>
        <w:t>NEGOTIATOR VISIBILITY INDEX: TANGIBLE CANADIAN WINS ALREADY EMBEDDED IN NAESTMA</w:t>
      </w:r>
    </w:p>
    <w:p>
      <w:pPr>
        <w:pStyle w:val="Normal"/>
      </w:pPr>
      <w:r>
        <w:t>This non-operative index is provided for rapid Canadian political and negotiating navigation. It creates no new right, concession, interpretation, or obligation; every item remains governed by the operative treaty text and any paired consideration.</w:t>
      </w:r>
    </w:p>
    <w:p>
      <w:pPr>
        <w:pStyle w:val="ListBullet"/>
        <w:numPr>
          <w:ilvl w:val="0"/>
          <w:numId w:val="1"/>
        </w:numPr>
      </w:pPr>
      <w:r>
        <w:t>Tariff security: legacy extraordinary tariffs and retaliation wind down; future extraordinary measures face nexus, evidence, proportionality, review, anti-evasion and restoration disciplines rather than open-ended unilateral escalation.</w:t>
      </w:r>
    </w:p>
    <w:p>
      <w:pPr>
        <w:pStyle w:val="ListBullet"/>
        <w:numPr>
          <w:ilvl w:val="0"/>
          <w:numId w:val="1"/>
        </w:numPr>
      </w:pPr>
      <w:r>
        <w:t>Treaty durability: CUSMA/NAESTMA continues for indefinite duration under modernization review rather than recurring renewal cliffs, protecting investment reliance and reducing periodic existential uncertainty.</w:t>
      </w:r>
    </w:p>
    <w:p>
      <w:pPr>
        <w:pStyle w:val="ListBullet"/>
        <w:numPr>
          <w:ilvl w:val="0"/>
          <w:numId w:val="1"/>
        </w:numPr>
      </w:pPr>
      <w:r>
        <w:t>Dairy: Canadian supply management remains intact while negotiated U.S. access becomes more usable and transparent; incremental access is expressly paired with reciprocal Canadian value and protected against uncompensated front-loading.</w:t>
      </w:r>
    </w:p>
    <w:p>
      <w:pPr>
        <w:pStyle w:val="ListBullet"/>
        <w:numPr>
          <w:ilvl w:val="0"/>
          <w:numId w:val="1"/>
        </w:numPr>
      </w:pPr>
      <w:r>
        <w:t>Forestry: critical-mineral and strategic-material cooperation can earn staged, durable softwood-lumber normalization without compulsory extraction, below-market supply, or surrender of Canadian resource ownership.</w:t>
      </w:r>
    </w:p>
    <w:p>
      <w:pPr>
        <w:pStyle w:val="ListBullet"/>
        <w:numPr>
          <w:ilvl w:val="0"/>
          <w:numId w:val="1"/>
        </w:numPr>
      </w:pPr>
      <w:r>
        <w:t>Critical minerals and industrialization: Canada retains resource sovereignty and the ability to prioritize domestic value-added processing while gaining midstream investment, offtake, reserve eligibility, procurement and market-stability opportunities.</w:t>
      </w:r>
    </w:p>
    <w:p>
      <w:pPr>
        <w:pStyle w:val="ListBullet"/>
        <w:numPr>
          <w:ilvl w:val="0"/>
          <w:numId w:val="1"/>
        </w:numPr>
      </w:pPr>
      <w:r>
        <w:t>Arctic and NORAD: Northern Vigilance converts Canadian defence and northern investment into continental-security value while preserving Canadian sovereignty, jurisdiction, command, basing authority, infrastructure control and Northwest Passage legal positions.</w:t>
      </w:r>
    </w:p>
    <w:p>
      <w:pPr>
        <w:pStyle w:val="ListBullet"/>
        <w:numPr>
          <w:ilvl w:val="0"/>
          <w:numId w:val="1"/>
        </w:numPr>
      </w:pPr>
      <w:r>
        <w:t>Border reciprocity: Canada receives stronger cooperation against illegal firearms, illicit finance, stolen-vehicle exports and organized-crime flows while retaining exclusive national command, privacy protection and a firewall against fentanyl becoming an automatic tariff shortcut.</w:t>
      </w:r>
    </w:p>
    <w:p>
      <w:pPr>
        <w:pStyle w:val="ListBullet"/>
        <w:numPr>
          <w:ilvl w:val="0"/>
          <w:numId w:val="1"/>
        </w:numPr>
      </w:pPr>
      <w:r>
        <w:t>Procurement: Canadian suppliers receive project-specific reciprocal access across a protected 370-opportunity portfolio without Canada accepting an economy-wide surrender to Buy American preferences or guaranteed foreign awards.</w:t>
      </w:r>
    </w:p>
    <w:p>
      <w:pPr>
        <w:pStyle w:val="ListBullet"/>
        <w:numPr>
          <w:ilvl w:val="0"/>
          <w:numId w:val="1"/>
        </w:numPr>
      </w:pPr>
      <w:r>
        <w:t>Automotive: ordinary North American origin remains trilateral; U.S.-specific manufacturing carrots are bounded, reciprocal and optional, with the three-component ceiling and strategic-component firewall protecting the Canadian automotive industrial base.</w:t>
      </w:r>
    </w:p>
    <w:p>
      <w:pPr>
        <w:pStyle w:val="ListBullet"/>
        <w:numPr>
          <w:ilvl w:val="0"/>
          <w:numId w:val="1"/>
        </w:numPr>
      </w:pPr>
      <w:r>
        <w:t>Steel and aluminum: originating Canadian metals gain a durable-normalization pathway paired with anti-transshipment, traceability, new capacity, recycling and strategic-product investment rather than permanent extraordinary tariff treatment.</w:t>
      </w:r>
    </w:p>
    <w:p>
      <w:pPr>
        <w:pStyle w:val="ListBullet"/>
        <w:numPr>
          <w:ilvl w:val="0"/>
          <w:numId w:val="1"/>
        </w:numPr>
      </w:pPr>
      <w:r>
        <w:t>Medicines: the Canadian pharmaceutical track prioritizes medical isotopes, radiopharmaceuticals, biologics, vaccines, APIs, sterile capacity, clinical research and cold-chain resilience while essential medicines receive no-tariff-hostage protection.</w:t>
      </w:r>
    </w:p>
    <w:p>
      <w:pPr>
        <w:pStyle w:val="ListBullet"/>
        <w:numPr>
          <w:ilvl w:val="0"/>
          <w:numId w:val="1"/>
        </w:numPr>
      </w:pPr>
      <w:r>
        <w:t>Energy and infrastructure: Canadian reliability, affordability, resource policy, environmental law, Indigenous and treaty rights, electricity allocation and project-approval authority remain protected while cross-border energy and infrastructure opportunities expand.</w:t>
      </w:r>
    </w:p>
    <w:p>
      <w:pPr>
        <w:pStyle w:val="ListBullet"/>
        <w:numPr>
          <w:ilvl w:val="0"/>
          <w:numId w:val="1"/>
        </w:numPr>
      </w:pPr>
      <w:r>
        <w:t>Commercial wins: Canada may operate its own verified national commercial-wins presentation using the same Chapter 64 integrity rules, allowing Canadian exports, contracts, procurement awards, investment and regional gains to be foregrounded publicly.</w:t>
      </w:r>
    </w:p>
    <w:p>
      <w:pPr>
        <w:pStyle w:val="ListBullet"/>
        <w:numPr>
          <w:ilvl w:val="0"/>
          <w:numId w:val="1"/>
        </w:numPr>
      </w:pPr>
      <w:r>
        <w:t>Labour, environment and enforcement: systemic enforcement standards are symmetrical, allegations require evidence and cure, and unrelated sectors cannot ordinarily be punished for localized or good-faith implementation problems.</w:t>
      </w:r>
    </w:p>
    <w:p>
      <w:pPr>
        <w:pStyle w:val="Normal"/>
      </w:pPr>
      <w:r>
        <w:t>Gordie Howe / Detroit–Windsor: Canada preserves bridge and toll-revenue ownership and rejects retroactive U.S. financing claims while gaining a lawful mechanism to convert mutually agreed corridor funding into faster freight, better approaches, community mitigation and reciprocal infrastructure value.</w:t>
      </w:r>
    </w:p>
    <w:p>
      <w:pPr>
        <w:pStyle w:val="TrumpVisibilityHeadline"/>
      </w:pPr>
      <w:r>
        <w:t xml:space="preserve">★ </w:t>
      </w:r>
      <w:r>
        <w:t>NEGOTIATOR VISIBILITY INDEX: TANGIBLE MEXICAN WINS ALREADY EMBEDDED IN NAESTMA</w:t>
      </w:r>
    </w:p>
    <w:p>
      <w:pPr>
        <w:pStyle w:val="Normal"/>
      </w:pPr>
      <w:r>
        <w:t>This non-operative index is provided for rapid Mexican political and negotiating navigation. It creates no new right, concession, interpretation, or obligation; every item remains governed by the operative treaty text and any paired consideration.</w:t>
      </w:r>
    </w:p>
    <w:p>
      <w:pPr>
        <w:pStyle w:val="ListBullet"/>
        <w:numPr>
          <w:ilvl w:val="0"/>
          <w:numId w:val="1"/>
        </w:numPr>
      </w:pPr>
      <w:r>
        <w:t>Tariff normalization: qualifying Mexican originating autos, parts, steel, aluminum and designated industrial goods receive an expedited route back toward ordinary preferential treatment where verified origin and security facts support normalization.</w:t>
      </w:r>
    </w:p>
    <w:p>
      <w:pPr>
        <w:pStyle w:val="ListBullet"/>
        <w:numPr>
          <w:ilvl w:val="0"/>
          <w:numId w:val="1"/>
        </w:numPr>
      </w:pPr>
      <w:r>
        <w:t>Equal-party protection: Mexico receives the same Chapter 35 anti-evasion, evidence, proportionality, cure, restoration and no-uncompensated-front-loading protections as Canada and the United States, with no presumption that Mexican trade is the default enforcement target.</w:t>
      </w:r>
    </w:p>
    <w:p>
      <w:pPr>
        <w:pStyle w:val="ListBullet"/>
        <w:numPr>
          <w:ilvl w:val="0"/>
          <w:numId w:val="1"/>
        </w:numPr>
      </w:pPr>
      <w:r>
        <w:t>Automotive parity: Mexican originating value remains fully North American; the agreement resists Party-specific relocation mandates and protects the integrated Mexican automotive base from strategic-component salami slicing.</w:t>
      </w:r>
    </w:p>
    <w:p>
      <w:pPr>
        <w:pStyle w:val="ListBullet"/>
        <w:numPr>
          <w:ilvl w:val="0"/>
          <w:numId w:val="1"/>
        </w:numPr>
      </w:pPr>
      <w:r>
        <w:t>Agriculture: Mexico is expressly treated as a full producer, consumer, exporter, importer, research partner and manufacturing base, with Mexico-specific treatment for crops, irrigation, drought, machinery, labour-intensive production, logistics and value-added processing.</w:t>
      </w:r>
    </w:p>
    <w:p>
      <w:pPr>
        <w:pStyle w:val="ListBullet"/>
        <w:numPr>
          <w:ilvl w:val="0"/>
          <w:numId w:val="1"/>
        </w:numPr>
      </w:pPr>
      <w:r>
        <w:t>Dairy: Mexico receives full procedural equality in the Dairy Stability and Market Access Framework and a pathway for Mexico-specific access, development or reciprocal opportunities rather than being treated as a residual market.</w:t>
      </w:r>
    </w:p>
    <w:p>
      <w:pPr>
        <w:pStyle w:val="ListBullet"/>
        <w:numPr>
          <w:ilvl w:val="0"/>
          <w:numId w:val="1"/>
        </w:numPr>
      </w:pPr>
      <w:r>
        <w:t>Pharmaceutical upgrading: the Mexican track supports movement from finished-dose generics toward APIs/KSMs, sterile injectables, fill-finish, biologics, vaccines, advanced manufacturing, regulatory science and higher-value R&amp;D, with equal eligibility for resilience procurement.</w:t>
      </w:r>
    </w:p>
    <w:p>
      <w:pPr>
        <w:pStyle w:val="ListBullet"/>
        <w:numPr>
          <w:ilvl w:val="0"/>
          <w:numId w:val="1"/>
        </w:numPr>
      </w:pPr>
      <w:r>
        <w:t>Critical minerals and industrial inputs: Mexico is recognized as a full strategic supplier, processor, manufacturer, recycler and investment destination, with dedicated industrial-input and specialty-mineral pathways and value-added processing opportunities.</w:t>
      </w:r>
    </w:p>
    <w:p>
      <w:pPr>
        <w:pStyle w:val="ListBullet"/>
        <w:numPr>
          <w:ilvl w:val="0"/>
          <w:numId w:val="1"/>
        </w:numPr>
      </w:pPr>
      <w:r>
        <w:t>Digital manufacturing and SMEs: Mexico receives a dedicated electronics, semiconductor, software, customs-interoperability and SME export lane designed to raise value capture rather than confine Mexico to lower-value assembly.</w:t>
      </w:r>
    </w:p>
    <w:p>
      <w:pPr>
        <w:pStyle w:val="ListBullet"/>
        <w:numPr>
          <w:ilvl w:val="0"/>
          <w:numId w:val="1"/>
        </w:numPr>
      </w:pPr>
      <w:r>
        <w:t>Forestry: Mexico receives its own forestry and wood-products integration lane while being expressly firewalled from the historic Canada-United States softwood-lumber trade-remedy dispute unless Mexico separately agrees otherwise.</w:t>
      </w:r>
    </w:p>
    <w:p>
      <w:pPr>
        <w:pStyle w:val="ListBullet"/>
        <w:numPr>
          <w:ilvl w:val="0"/>
          <w:numId w:val="1"/>
        </w:numPr>
      </w:pPr>
      <w:r>
        <w:t>Procurement: Mexican suppliers participate across the reciprocal 370-opportunity portfolio, including border, rail, ports, grid, water, industrial, digital and strategic-infrastructure opportunities, without guaranteed awards or blanket domestic-preference surrender.</w:t>
      </w:r>
    </w:p>
    <w:p>
      <w:pPr>
        <w:pStyle w:val="ListBullet"/>
        <w:numPr>
          <w:ilvl w:val="0"/>
          <w:numId w:val="1"/>
        </w:numPr>
      </w:pPr>
      <w:r>
        <w:t>Border and security reciprocity: Mexico gains stronger continental action against illegal firearms, illicit finance, stolen vehicles, precursor networks and organized crime while retaining exclusive command and operational authority over Mexican officers and territory.</w:t>
      </w:r>
    </w:p>
    <w:p>
      <w:pPr>
        <w:pStyle w:val="ListBullet"/>
        <w:numPr>
          <w:ilvl w:val="0"/>
          <w:numId w:val="1"/>
        </w:numPr>
      </w:pPr>
      <w:r>
        <w:t>Labour symmetry and dignity: facility-specific and systemic labour enforcement is framed as genuinely trilateral; Mexico-specific reform history creates no presumption of Mexican wrongdoing or weaker obligations in Canada or the United States.</w:t>
      </w:r>
    </w:p>
    <w:p>
      <w:pPr>
        <w:pStyle w:val="ListBullet"/>
        <w:numPr>
          <w:ilvl w:val="0"/>
          <w:numId w:val="1"/>
        </w:numPr>
      </w:pPr>
      <w:r>
        <w:t>Defence-industrial participation: Mexico can participate through strategic materials, electronics, cold-weather equipment, pharmaceutical supply, logistics, manufacturing, research and resilience without being artificially inserted into Canadian-U.S. Arctic operational command.</w:t>
      </w:r>
    </w:p>
    <w:p>
      <w:pPr>
        <w:pStyle w:val="ListBullet"/>
        <w:numPr>
          <w:ilvl w:val="0"/>
          <w:numId w:val="1"/>
        </w:numPr>
      </w:pPr>
      <w:r>
        <w:t>Treaty continuity and external sovereignty: bilateral disputes cannot create de facto renewal uncertainty for unrelated Mexican trade, and Mexico retains sovereign authority over non-Party trade, investment and foreign-economic relationships without another Party holding a veto.</w:t>
      </w:r>
    </w:p>
    <w:p>
      <w:pPr>
        <w:pStyle w:val="ListBullet"/>
        <w:numPr>
          <w:ilvl w:val="0"/>
          <w:numId w:val="1"/>
        </w:numPr>
      </w:pPr>
      <w:r>
        <w:t>Commercial wins: Mexico may maintain its own Chapter 64 national presentation highlighting verified exports, contracts, procurement, industrial upgrading, SMEs, regional investment and supply-chain gains using the same evidentiary standards as the U.S. and Canadian ledgers.</w:t>
      </w:r>
    </w:p>
    <w:p>
      <w:pPr>
        <w:pStyle w:val="TrumpVisibilityHeadline"/>
      </w:pPr>
      <w:r>
        <w:t xml:space="preserve">★ </w:t>
      </w:r>
      <w:r>
        <w:t>TRILATERAL SAFE CORRECTIONS AND HUMAN DIGNITY WIN</w:t>
      </w:r>
    </w:p>
    <w:p>
      <w:pPr>
        <w:pStyle w:val="Normal"/>
      </w:pPr>
      <w:r>
        <w:t>NAESTMA establishes a common North American minimum for safe and humane correctional administration without harmonizing criminal sentences or creating a continental prison authority. Prisoners retain basic protections concerning food, drinking water, healthcare, sanitation, safety, legal access, disability accommodation, family and consular contact, fair discipline, restrictive housing, and protection from abuse. Correctional officers and institutions gain stronger safety, professionalization, anti-gang, emergency, healthcare, and de-escalation architecture.</w:t>
      </w:r>
    </w:p>
    <w:p>
      <w:pPr>
        <w:pStyle w:val="Normal"/>
      </w:pPr>
      <w:r>
        <w:t>Packages CH through CK and Annexes CH-A and CH-B contain the criminal-custody and correctional-rights framework. Civil immigration detention remains principally governed by Package BS.</w:t>
      </w:r>
    </w:p>
    <w:p>
      <w:pPr>
        <w:pStyle w:val="TrumpVisibilityHeadline"/>
      </w:pPr>
      <w:r>
        <w:t>SEARCH SIGNPOST: PRISONER / PRISON / JAIL / INCARCERATION / CORRECTIONAL / CORRECTIONS / PRETRIAL / SOLITARY CONFINEMENT / PRISON LABOUR / PRISON LABOR</w:t>
      </w:r>
    </w:p>
    <w:p>
      <w:pPr>
        <w:pStyle w:val="Heading1"/>
      </w:pPr>
      <w:bookmarkStart w:id="902431" w:name="_Toc300002430"/>
      <w:r>
        <w:t>PACKAGE CH: NORTH AMERICAN CUSTODIAL DIGNITY AND SAFE CORRECTIONS FRAMEWORK</w:t>
      </w:r>
      <w:bookmarkEnd w:id="902431"/>
    </w:p>
    <w:p>
      <w:pPr>
        <w:pStyle w:val="Heading2"/>
      </w:pPr>
      <w:bookmarkStart w:id="902432" w:name="_Toc300002431"/>
      <w:r>
        <w:t>CH-1. Purpose and Character</w:t>
      </w:r>
      <w:bookmarkEnd w:id="902432"/>
    </w:p>
    <w:p>
      <w:pPr>
        <w:pStyle w:val="Normal"/>
      </w:pPr>
      <w:r>
        <w:t>1. The Parties establish a North American Custodial Dignity and Safe Corrections Framework to ensure that persons deprived of liberty remain protected by a minimum floor of human dignity, health, safety, lawful administration, and procedural fairness.</w:t>
      </w:r>
    </w:p>
    <w:p>
      <w:pPr>
        <w:pStyle w:val="Normal"/>
      </w:pPr>
      <w:r>
        <w:t>2. This Package concerns conditions and administration of custody. Except where expressly provided in the Optional Advanced Correctional Reform Annex, it does not harmonize criminal offences, sentencing ranges, parole eligibility, bail law, prison-population targets, or the constitutional allocation of criminal justice powers.</w:t>
      </w:r>
    </w:p>
    <w:p>
      <w:pPr>
        <w:pStyle w:val="Normal"/>
      </w:pPr>
      <w:r>
        <w:t>3. The Parties recognize that humane custodial administration and institutional security are mutually reinforcing. Safe staffing, professional training, adequate healthcare, effective classification, reliable infrastructure, anti-gang governance, meaningful grievance systems, and de-escalation protect correctional personnel, prisoners, visitors, and surrounding communities.</w:t>
      </w:r>
    </w:p>
    <w:p>
      <w:pPr>
        <w:pStyle w:val="Heading2"/>
      </w:pPr>
      <w:bookmarkStart w:id="902433" w:name="_Toc300002432"/>
      <w:r>
        <w:t>CH-2. Scope</w:t>
      </w:r>
      <w:bookmarkEnd w:id="902433"/>
    </w:p>
    <w:p>
      <w:pPr>
        <w:pStyle w:val="Normal"/>
      </w:pPr>
      <w:r>
        <w:t>1. The Mandatory Custodial Dignity Floor applies to persons held pursuant to criminal arrest, pretrial detention, criminal sentence, correctional transfer, or comparable penal custody under the authority or responsibility of a Party.</w:t>
      </w:r>
    </w:p>
    <w:p>
      <w:pPr>
        <w:pStyle w:val="Normal"/>
      </w:pPr>
      <w:r>
        <w:t>2. Where another Package of this Agreement provides equal or greater protection to a person held in civil immigration detention, juvenile protection custody, military detention, mental-health custody, or another specialized form of custody, the more protective rule shall govern to the extent of overlap.</w:t>
      </w:r>
    </w:p>
    <w:p>
      <w:pPr>
        <w:pStyle w:val="Normal"/>
      </w:pPr>
      <w:r>
        <w:t>3. A Party shall not avoid this Package solely by changing the legal, administrative, institutional, contractual, or geographic label attached to a custodial arrangement.</w:t>
      </w:r>
    </w:p>
    <w:p>
      <w:pPr>
        <w:pStyle w:val="Heading2"/>
      </w:pPr>
      <w:bookmarkStart w:id="902434" w:name="_Toc300002433"/>
      <w:r>
        <w:t>CH-3. Inherent Human Dignity</w:t>
      </w:r>
      <w:bookmarkEnd w:id="902434"/>
    </w:p>
    <w:p>
      <w:pPr>
        <w:pStyle w:val="Normal"/>
      </w:pPr>
      <w:r>
        <w:t>1. Lawful deprivation of liberty does not extinguish inherent human dignity.</w:t>
      </w:r>
    </w:p>
    <w:p>
      <w:pPr>
        <w:pStyle w:val="Normal"/>
      </w:pPr>
      <w:r>
        <w:t>2. No person in custody shall be subjected to torture or to cruel, inhuman, or degrading treatment or punishment.</w:t>
      </w:r>
    </w:p>
    <w:p>
      <w:pPr>
        <w:pStyle w:val="Normal"/>
      </w:pPr>
      <w:r>
        <w:t>3. Custody shall not be administered through deliberate starvation, denial of potable water, deliberate medical neglect, unnecessary exposure to dangerous temperatures, deliberate sleep deprivation, humiliating deprivation of hygiene, gratuitous violence, or comparable treatment intended principally to degrade, terrorize, coerce, or punish outside lawful disciplinary procedures.</w:t>
      </w:r>
    </w:p>
    <w:p>
      <w:pPr>
        <w:pStyle w:val="Heading2"/>
      </w:pPr>
      <w:bookmarkStart w:id="902435" w:name="_Toc300002434"/>
      <w:r>
        <w:t>CH-4. Equal Application and Non-Discrimination</w:t>
      </w:r>
      <w:bookmarkEnd w:id="902435"/>
    </w:p>
    <w:p>
      <w:pPr>
        <w:pStyle w:val="Normal"/>
      </w:pPr>
      <w:r>
        <w:t>1. The protections of this Package apply without discrimination inconsistent with the applicable law of the Party concerned.</w:t>
      </w:r>
    </w:p>
    <w:p>
      <w:pPr>
        <w:pStyle w:val="Normal"/>
      </w:pPr>
      <w:r>
        <w:t>2. Race, ethnicity, nationality, religion, language, sex, sexual orientation, gender identity, disability, Indigenous identity, political opinion, social origin, or another status protected under applicable law shall not by itself justify inferior food, healthcare, sanitation, protection, discipline, programming access, or other basic custodial treatment.</w:t>
      </w:r>
    </w:p>
    <w:p>
      <w:pPr>
        <w:pStyle w:val="Normal"/>
      </w:pPr>
      <w:r>
        <w:t>3. Paragraph 2 does not prohibit reasonable distinctions required for medical care, disability accommodation, pregnancy, age, religious observance, protective custody, classification, individualized security, or the safety of prisoners and staff.</w:t>
      </w:r>
    </w:p>
    <w:p>
      <w:pPr>
        <w:pStyle w:val="Heading2"/>
      </w:pPr>
      <w:bookmarkStart w:id="902436" w:name="_Toc300002435"/>
      <w:r>
        <w:t>CH-5. Food of Adequate Nutritional Value</w:t>
      </w:r>
      <w:bookmarkEnd w:id="902436"/>
    </w:p>
    <w:p>
      <w:pPr>
        <w:pStyle w:val="Normal"/>
      </w:pPr>
      <w:r>
        <w:t>1. Each prisoner shall receive food sufficient in nutritional value, quantity, wholesomeness, and food-safety quality to maintain health and strength.</w:t>
      </w:r>
    </w:p>
    <w:p>
      <w:pPr>
        <w:pStyle w:val="Normal"/>
      </w:pPr>
      <w:r>
        <w:t>2. Food shall be prepared, stored, transported, and served under sanitary conditions.</w:t>
      </w:r>
    </w:p>
    <w:p>
      <w:pPr>
        <w:pStyle w:val="Normal"/>
      </w:pPr>
      <w:r>
        <w:t>3. Each Party shall maintain a system of professional nutritional review appropriate to its correctional system.</w:t>
      </w:r>
    </w:p>
    <w:p>
      <w:pPr>
        <w:pStyle w:val="Normal"/>
      </w:pPr>
      <w:r>
        <w:t>4. Nothing in this Article requires identical menus, ingredients, portion formats, or national dietary systems among the Parties.</w:t>
      </w:r>
    </w:p>
    <w:p>
      <w:pPr>
        <w:pStyle w:val="Heading2"/>
      </w:pPr>
      <w:bookmarkStart w:id="902437" w:name="_Toc300002436"/>
      <w:r>
        <w:t>CH-6. Absolute Prohibition on Punitive Food and Water Deprivation</w:t>
      </w:r>
      <w:bookmarkEnd w:id="902437"/>
    </w:p>
    <w:p>
      <w:pPr>
        <w:pStyle w:val="Normal"/>
      </w:pPr>
      <w:r>
        <w:t>1. Food, potable water, medically required diets, and minimum nutritional adequacy shall not be withheld, materially reduced, deliberately degraded, rendered deliberately inedible or deliberately unpalatable, or otherwise manipulated as punishment, retaliation, coercion, behavioural control, or inducement.</w:t>
      </w:r>
    </w:p>
    <w:p>
      <w:pPr>
        <w:pStyle w:val="Normal"/>
      </w:pPr>
      <w:r>
        <w:t>2. A food product, diet, meal configuration, or delivery method prohibited by paragraph 1 does not become permissible by being renamed, reformulated, commercialized, or characterized as a security measure where its principal purpose or practical effect remains punitive deprivation or degradation.</w:t>
      </w:r>
    </w:p>
    <w:p>
      <w:pPr>
        <w:pStyle w:val="Normal"/>
      </w:pPr>
      <w:r>
        <w:t>3. Nothing in this Article prevents medically prescribed diets, temporary security controls on utensils or containers, or clinically justified dietary restrictions.</w:t>
      </w:r>
    </w:p>
    <w:p>
      <w:pPr>
        <w:pStyle w:val="Heading2"/>
      </w:pPr>
      <w:bookmarkStart w:id="902438" w:name="_Toc300002437"/>
      <w:r>
        <w:t>CH-7. Potable Water</w:t>
      </w:r>
      <w:bookmarkEnd w:id="902438"/>
    </w:p>
    <w:p>
      <w:pPr>
        <w:pStyle w:val="Normal"/>
      </w:pPr>
      <w:r>
        <w:t>1. Safe drinking water shall be reasonably available whenever needed.</w:t>
      </w:r>
    </w:p>
    <w:p>
      <w:pPr>
        <w:pStyle w:val="Normal"/>
      </w:pPr>
      <w:r>
        <w:t>2. Access shall extend to sleeping areas, ordinary housing units, work and education areas, recreation areas, healthcare settings, and restrictive-housing settings.</w:t>
      </w:r>
    </w:p>
    <w:p>
      <w:pPr>
        <w:pStyle w:val="Normal"/>
      </w:pPr>
      <w:r>
        <w:t>3. Temporary restriction of ordinary water fixtures may occur during an immediate safety emergency only if safe drinking water remains available by another reasonable means.</w:t>
      </w:r>
    </w:p>
    <w:p>
      <w:pPr>
        <w:pStyle w:val="Heading2"/>
      </w:pPr>
      <w:bookmarkStart w:id="902439" w:name="_Toc300002438"/>
      <w:r>
        <w:t>CH-8. Therapeutic, Religious, and Conscience-Based Diets</w:t>
      </w:r>
      <w:bookmarkEnd w:id="902439"/>
    </w:p>
    <w:p>
      <w:pPr>
        <w:pStyle w:val="Normal"/>
      </w:pPr>
      <w:r>
        <w:t>1. Each Party shall maintain reasonable procedures for clinically necessary therapeutic diets and medically verified food allergies.</w:t>
      </w:r>
    </w:p>
    <w:p>
      <w:pPr>
        <w:pStyle w:val="Normal"/>
      </w:pPr>
      <w:r>
        <w:t>2. Religious or conscience-based dietary accommodation shall be provided to the extent required by applicable law and reasonably practicable within legitimate institutional-security and food-safety requirements.</w:t>
      </w:r>
    </w:p>
    <w:p>
      <w:pPr>
        <w:pStyle w:val="Heading2"/>
      </w:pPr>
      <w:bookmarkStart w:id="902440" w:name="_Toc300002439"/>
      <w:r>
        <w:t>CH-9. Sanitation and Habitability</w:t>
      </w:r>
      <w:bookmarkEnd w:id="902440"/>
    </w:p>
    <w:p>
      <w:pPr>
        <w:pStyle w:val="Normal"/>
      </w:pPr>
      <w:r>
        <w:t>1. Correctional housing shall be maintained in a condition reasonably fit for human habitation.</w:t>
      </w:r>
    </w:p>
    <w:p>
      <w:pPr>
        <w:pStyle w:val="Normal"/>
      </w:pPr>
      <w:r>
        <w:t>2. Facilities shall provide adequate sanitation, waste disposal, ventilation, lighting, temperature management, pest control, and access to cleaning and personal-hygiene necessities.</w:t>
      </w:r>
    </w:p>
    <w:p>
      <w:pPr>
        <w:pStyle w:val="Normal"/>
      </w:pPr>
      <w:r>
        <w:t>3. Chronic sewage exposure, persistent vermin infestation, unsafe drinking water, dangerous indoor temperatures, or comparable systemic conditions shall constitute priority deficiencies requiring prompt remediation.</w:t>
      </w:r>
    </w:p>
    <w:p>
      <w:pPr>
        <w:pStyle w:val="Heading2"/>
      </w:pPr>
      <w:bookmarkStart w:id="902441" w:name="_Toc300002440"/>
      <w:r>
        <w:t>CH-10. Sleeping Conditions, Bedding, and Clothing</w:t>
      </w:r>
      <w:bookmarkEnd w:id="902441"/>
    </w:p>
    <w:p>
      <w:pPr>
        <w:pStyle w:val="Normal"/>
      </w:pPr>
      <w:r>
        <w:t>1. Each prisoner shall have an appropriate sleeping surface and sufficient clean bedding.</w:t>
      </w:r>
    </w:p>
    <w:p>
      <w:pPr>
        <w:pStyle w:val="Normal"/>
      </w:pPr>
      <w:r>
        <w:t>2. Bedding shall be maintained and replaced or laundered with reasonable frequency.</w:t>
      </w:r>
    </w:p>
    <w:p>
      <w:pPr>
        <w:pStyle w:val="Normal"/>
      </w:pPr>
      <w:r>
        <w:t>3. Prisoners shall receive clothing sufficient for climate, work assignment, health, and institutional conditions.</w:t>
      </w:r>
    </w:p>
    <w:p>
      <w:pPr>
        <w:pStyle w:val="Normal"/>
      </w:pPr>
      <w:r>
        <w:t>4. Custodial routines shall provide a reasonable opportunity for restorative sleep and shall not deliberately employ avoidable noise, constant illumination, extreme temperature, or repeated unnecessary interruption as punishment or coercion.</w:t>
      </w:r>
    </w:p>
    <w:p>
      <w:pPr>
        <w:pStyle w:val="Heading2"/>
      </w:pPr>
      <w:bookmarkStart w:id="902442" w:name="_Toc300002441"/>
      <w:r>
        <w:t>CH-11. Hygiene and Menstrual Health</w:t>
      </w:r>
      <w:bookmarkEnd w:id="902442"/>
    </w:p>
    <w:p>
      <w:pPr>
        <w:pStyle w:val="Normal"/>
      </w:pPr>
      <w:r>
        <w:t>1. Prisoners shall have reasonable access to toilets, bathing, handwashing, basic personal-hygiene materials, and facilities necessary to maintain ordinary cleanliness.</w:t>
      </w:r>
    </w:p>
    <w:p>
      <w:pPr>
        <w:pStyle w:val="Normal"/>
      </w:pPr>
      <w:r>
        <w:t>2. Necessary menstrual products shall be provided without punitive, discriminatory, or exploitative conditions.</w:t>
      </w:r>
    </w:p>
    <w:p>
      <w:pPr>
        <w:pStyle w:val="Heading2"/>
      </w:pPr>
      <w:bookmarkStart w:id="902443" w:name="_Toc300002442"/>
      <w:r>
        <w:t>CH-12. Healthcare Equivalence Principle</w:t>
      </w:r>
      <w:bookmarkEnd w:id="902443"/>
    </w:p>
    <w:p>
      <w:pPr>
        <w:pStyle w:val="Normal"/>
      </w:pPr>
      <w:r>
        <w:t>1. Persons in custody shall have timely access to necessary physical and mental healthcare delivered according to professionally appropriate clinical standards.</w:t>
      </w:r>
    </w:p>
    <w:p>
      <w:pPr>
        <w:pStyle w:val="Normal"/>
      </w:pPr>
      <w:r>
        <w:t>2. Clinical decisions shall be based principally on health need and professional judgment rather than disciplinary convenience.</w:t>
      </w:r>
    </w:p>
    <w:p>
      <w:pPr>
        <w:pStyle w:val="Normal"/>
      </w:pPr>
      <w:r>
        <w:t>3. Custody status, indigence, or disciplinary placement shall not justify deliberate denial of necessary medical care.</w:t>
      </w:r>
    </w:p>
    <w:p>
      <w:pPr>
        <w:pStyle w:val="Normal"/>
      </w:pPr>
      <w:r>
        <w:t>4. Nothing in this Article requires identical healthcare-delivery systems among the Parties.</w:t>
      </w:r>
    </w:p>
    <w:p>
      <w:pPr>
        <w:pStyle w:val="Heading2"/>
      </w:pPr>
      <w:bookmarkStart w:id="902444" w:name="_Toc300002443"/>
      <w:r>
        <w:t>CH-13. Emergency Medical Response</w:t>
      </w:r>
      <w:bookmarkEnd w:id="902444"/>
    </w:p>
    <w:p>
      <w:pPr>
        <w:pStyle w:val="Normal"/>
      </w:pPr>
      <w:r>
        <w:t>Each Party shall require correctional institutions to maintain reliable procedures for:</w:t>
      </w:r>
    </w:p>
    <w:p>
      <w:pPr>
        <w:pStyle w:val="Normal"/>
      </w:pPr>
      <w:r>
        <w:t>(a) recognition of medical emergencies; (b) rapid access to qualified clinical personnel; (c) emergency medication and first-response capability; (d) transfer to outside treatment where necessary; (e) continuity of relevant clinical information; and (f) appropriate post-emergency follow-up.</w:t>
      </w:r>
    </w:p>
    <w:p>
      <w:pPr>
        <w:pStyle w:val="Heading2"/>
      </w:pPr>
      <w:bookmarkStart w:id="902445" w:name="_Toc300002444"/>
      <w:r>
        <w:t>CH-14. Medication Continuity</w:t>
      </w:r>
      <w:bookmarkEnd w:id="902445"/>
    </w:p>
    <w:p>
      <w:pPr>
        <w:pStyle w:val="Normal"/>
      </w:pPr>
      <w:r>
        <w:t>1. Clinically necessary prescribed medication shall not be arbitrarily interrupted because of admission, transfer, lockdown, restrictive housing, disciplinary status, or release preparation.</w:t>
      </w:r>
    </w:p>
    <w:p>
      <w:pPr>
        <w:pStyle w:val="Normal"/>
      </w:pPr>
      <w:r>
        <w:t>2. A medically justified change in medication remains permitted.</w:t>
      </w:r>
    </w:p>
    <w:p>
      <w:pPr>
        <w:pStyle w:val="Normal"/>
      </w:pPr>
      <w:r>
        <w:t>3. Where immediate verification of a prior prescription is not possible, the institution shall use a clinically appropriate temporary assessment process rather than automatic discontinuation where interruption may create serious risk.</w:t>
      </w:r>
    </w:p>
    <w:p>
      <w:pPr>
        <w:pStyle w:val="Heading2"/>
      </w:pPr>
      <w:bookmarkStart w:id="902446" w:name="_Toc300002445"/>
      <w:r>
        <w:t>CH-15. Mental Health, Suicide Prevention, and Crisis Care</w:t>
      </w:r>
      <w:bookmarkEnd w:id="902446"/>
    </w:p>
    <w:p>
      <w:pPr>
        <w:pStyle w:val="Normal"/>
      </w:pPr>
      <w:r>
        <w:t>1. Each Party shall maintain reasonable procedures for mental-health screening at intake and thereafter where clinically indicated.</w:t>
      </w:r>
    </w:p>
    <w:p>
      <w:pPr>
        <w:pStyle w:val="Normal"/>
      </w:pPr>
      <w:r>
        <w:t>2. Correctional institutions shall maintain suicide-prevention and acute mental-health crisis procedures.</w:t>
      </w:r>
    </w:p>
    <w:p>
      <w:pPr>
        <w:pStyle w:val="Normal"/>
      </w:pPr>
      <w:r>
        <w:t>3. Serious mental illness, acute psychosis, significant cognitive impairment, or substantial suicide risk shall trigger heightened clinical review of housing, discipline, isolation, and treatment decisions.</w:t>
      </w:r>
    </w:p>
    <w:p>
      <w:pPr>
        <w:pStyle w:val="Normal"/>
      </w:pPr>
      <w:r>
        <w:t>4. Restrictive housing shall not be used as a substitute for clinically necessary mental-health treatment.</w:t>
      </w:r>
    </w:p>
    <w:p>
      <w:pPr>
        <w:pStyle w:val="Heading2"/>
      </w:pPr>
      <w:bookmarkStart w:id="902447" w:name="_Toc300002446"/>
      <w:r>
        <w:t>CH-16. Disability Accommodation</w:t>
      </w:r>
      <w:bookmarkEnd w:id="902447"/>
    </w:p>
    <w:p>
      <w:pPr>
        <w:pStyle w:val="Normal"/>
      </w:pPr>
      <w:r>
        <w:t>1. Prisoners with disabilities shall receive reasonable accommodation and meaningful access to essential custodial services.</w:t>
      </w:r>
    </w:p>
    <w:p>
      <w:pPr>
        <w:pStyle w:val="Normal"/>
      </w:pPr>
      <w:r>
        <w:t>2. Appropriate auxiliary aids, accessible communication, mobility access, accessible hygiene facilities, and reasonable program accommodation shall be provided according to need and applicable law.</w:t>
      </w:r>
    </w:p>
    <w:p>
      <w:pPr>
        <w:pStyle w:val="Normal"/>
      </w:pPr>
      <w:r>
        <w:t>3. Disability shall not be punished indirectly through avoidable denial of communication, healthcare, education, legal access, exercise, or basic hygiene.</w:t>
      </w:r>
    </w:p>
    <w:p>
      <w:pPr>
        <w:pStyle w:val="Heading2"/>
      </w:pPr>
      <w:bookmarkStart w:id="902448" w:name="_Toc300002447"/>
      <w:r>
        <w:t>CH-17. Protection from Violence, Sexual Abuse, Trafficking, and Extortion</w:t>
      </w:r>
      <w:bookmarkEnd w:id="902448"/>
    </w:p>
    <w:p>
      <w:pPr>
        <w:pStyle w:val="Normal"/>
      </w:pPr>
      <w:r>
        <w:t>1. Each Party shall take reasonable measures to protect prisoners from serious violence, sexual abuse, trafficking, coercion, extortion, predatory exploitation, and retaliation.</w:t>
      </w:r>
    </w:p>
    <w:p>
      <w:pPr>
        <w:pStyle w:val="Normal"/>
      </w:pPr>
      <w:r>
        <w:t>2. Correctional classification, intelligence, staffing, supervision, complaint mechanisms, and protective placement may be used to address identified risks.</w:t>
      </w:r>
    </w:p>
    <w:p>
      <w:pPr>
        <w:pStyle w:val="Normal"/>
      </w:pPr>
      <w:r>
        <w:t>3. Protective measures shall not deliberately impose conditions materially equivalent to punitive solitary confinement merely because the person requiring protection is vulnerable.</w:t>
      </w:r>
    </w:p>
    <w:p>
      <w:pPr>
        <w:pStyle w:val="Heading2"/>
      </w:pPr>
      <w:bookmarkStart w:id="902449" w:name="_Toc300002448"/>
      <w:r>
        <w:t>CH-18. Use of Force</w:t>
      </w:r>
      <w:bookmarkEnd w:id="902449"/>
    </w:p>
    <w:p>
      <w:pPr>
        <w:pStyle w:val="Normal"/>
      </w:pPr>
      <w:r>
        <w:t>1. Force by correctional personnel shall serve a lawful custodial purpose and shall be necessary and proportionate to the circumstances known at the time.</w:t>
      </w:r>
    </w:p>
    <w:p>
      <w:pPr>
        <w:pStyle w:val="Normal"/>
      </w:pPr>
      <w:r>
        <w:t>2. Force shall not be used for retaliation, humiliation, punishment outside authorized disciplinary processes, or to compel compliance where a materially safer reasonable alternative is readily available.</w:t>
      </w:r>
    </w:p>
    <w:p>
      <w:pPr>
        <w:pStyle w:val="Normal"/>
      </w:pPr>
      <w:r>
        <w:t>3. Significant uses of force shall be documented and subject to meaningful supervisory or independent review.</w:t>
      </w:r>
    </w:p>
    <w:p>
      <w:pPr>
        <w:pStyle w:val="Normal"/>
      </w:pPr>
      <w:r>
        <w:t>4. Nothing in this Article limits immediate lawful action reasonably necessary to prevent death, serious injury, escape, hostage taking, riot, or another imminent serious threat.</w:t>
      </w:r>
    </w:p>
    <w:p>
      <w:pPr>
        <w:pStyle w:val="Heading2"/>
      </w:pPr>
      <w:bookmarkStart w:id="902450" w:name="_Toc300002449"/>
      <w:r>
        <w:t>CH-19. Restraints</w:t>
      </w:r>
      <w:bookmarkEnd w:id="902450"/>
    </w:p>
    <w:p>
      <w:pPr>
        <w:pStyle w:val="Normal"/>
      </w:pPr>
      <w:r>
        <w:t>1. Mechanical, chemical, or physical restraints shall not be imposed as punishment.</w:t>
      </w:r>
    </w:p>
    <w:p>
      <w:pPr>
        <w:pStyle w:val="Normal"/>
      </w:pPr>
      <w:r>
        <w:t>2. Restraints shall be no more restrictive than reasonably necessary for the identified safety, transport, medical, or security purpose.</w:t>
      </w:r>
    </w:p>
    <w:p>
      <w:pPr>
        <w:pStyle w:val="Normal"/>
      </w:pPr>
      <w:r>
        <w:t>3. Extended, high-risk, or medically concerning restraint shall require documented justification, appropriate observation, and clinical review where health consequences may reasonably arise.</w:t>
      </w:r>
    </w:p>
    <w:p>
      <w:pPr>
        <w:pStyle w:val="Heading2"/>
      </w:pPr>
      <w:bookmarkStart w:id="902451" w:name="_Toc300002450"/>
      <w:r>
        <w:t>CH-20. Definition of Solitary Confinement</w:t>
      </w:r>
      <w:bookmarkEnd w:id="902451"/>
    </w:p>
    <w:p>
      <w:pPr>
        <w:pStyle w:val="Normal"/>
      </w:pPr>
      <w:r>
        <w:t>For purposes of this Package:</w:t>
      </w:r>
    </w:p>
    <w:p>
      <w:pPr>
        <w:pStyle w:val="Normal"/>
      </w:pPr>
      <w:r>
        <w:t>(a) "solitary confinement" means confinement for 22 hours or more per day without meaningful human contact; and</w:t>
      </w:r>
    </w:p>
    <w:p>
      <w:pPr>
        <w:pStyle w:val="Normal"/>
      </w:pPr>
      <w:r>
        <w:t>(b) "prolonged solitary confinement" means solitary confinement exceeding 15 consecutive days.</w:t>
      </w:r>
    </w:p>
    <w:p>
      <w:pPr>
        <w:pStyle w:val="Normal"/>
      </w:pPr>
      <w:r>
        <w:t>The determination turns on actual conditions rather than the administrative name assigned to the regime.</w:t>
      </w:r>
    </w:p>
    <w:p>
      <w:pPr>
        <w:pStyle w:val="Heading2"/>
      </w:pPr>
      <w:bookmarkStart w:id="902452" w:name="_Toc300002451"/>
      <w:r>
        <w:t>CH-21. Restrictive Housing as Exceptional Measure</w:t>
      </w:r>
      <w:bookmarkEnd w:id="902452"/>
    </w:p>
    <w:p>
      <w:pPr>
        <w:pStyle w:val="Normal"/>
      </w:pPr>
      <w:r>
        <w:t>1. Solitary confinement or materially equivalent restrictive housing shall be used only in exceptional circumstances where justified by an individualized, documented safety, security, disciplinary, or emergency basis.</w:t>
      </w:r>
    </w:p>
    <w:p>
      <w:pPr>
        <w:pStyle w:val="Normal"/>
      </w:pPr>
      <w:r>
        <w:t>2. It shall be used for the shortest period reasonably necessary and subject to regular review.</w:t>
      </w:r>
    </w:p>
    <w:p>
      <w:pPr>
        <w:pStyle w:val="Normal"/>
      </w:pPr>
      <w:r>
        <w:t>3. Isolation shall not be imposed merely because ordinary staffing, programming, or accommodation is inconvenient.</w:t>
      </w:r>
    </w:p>
    <w:p>
      <w:pPr>
        <w:pStyle w:val="Heading2"/>
      </w:pPr>
      <w:bookmarkStart w:id="902453" w:name="_Toc300002452"/>
      <w:r>
        <w:t>CH-22. Prolonged and Indefinite Solitary Confinement</w:t>
      </w:r>
      <w:bookmarkEnd w:id="902453"/>
    </w:p>
    <w:p>
      <w:pPr>
        <w:pStyle w:val="Normal"/>
      </w:pPr>
      <w:r>
        <w:t>1. Indefinite solitary confinement is prohibited.</w:t>
      </w:r>
    </w:p>
    <w:p>
      <w:pPr>
        <w:pStyle w:val="Normal"/>
      </w:pPr>
      <w:r>
        <w:t>2. Prolonged solitary confinement shall not be used as an ordinary disciplinary, administrative, protective, or classification measure.</w:t>
      </w:r>
    </w:p>
    <w:p>
      <w:pPr>
        <w:pStyle w:val="Normal"/>
      </w:pPr>
      <w:r>
        <w:t>3. A Party shall not evade paragraph 2 through serial releases and immediate replacements, repeated relabelling, nominal changes of unit, or administrative reset of the same materially continuous conditions.</w:t>
      </w:r>
    </w:p>
    <w:p>
      <w:pPr>
        <w:pStyle w:val="Normal"/>
      </w:pPr>
      <w:r>
        <w:t>4. Any extraordinary continuation asserted to be required by an immediate and serious safety emergency shall receive heightened, frequent, independent or functionally independent review and active planning toward less restrictive conditions.</w:t>
      </w:r>
    </w:p>
    <w:p>
      <w:pPr>
        <w:pStyle w:val="Heading2"/>
      </w:pPr>
      <w:bookmarkStart w:id="902454" w:name="_Toc300002453"/>
      <w:r>
        <w:t>CH-23. Restrictive-Housing Living Conditions</w:t>
      </w:r>
      <w:bookmarkEnd w:id="902454"/>
    </w:p>
    <w:p>
      <w:pPr>
        <w:pStyle w:val="Normal"/>
      </w:pPr>
      <w:r>
        <w:t>A prisoner in restrictive housing retains the protections concerning:</w:t>
      </w:r>
    </w:p>
    <w:p>
      <w:pPr>
        <w:pStyle w:val="Normal"/>
      </w:pPr>
      <w:r>
        <w:t>(a) food and potable water; (b) necessary healthcare and medication; (c) sanitation and hygiene; (d) bedding and safe temperature; (e) legal access; (f) emergency protection; (g) disability accommodation; and (h) meaningful human contact consistent with safety.</w:t>
      </w:r>
    </w:p>
    <w:p>
      <w:pPr>
        <w:pStyle w:val="Heading2"/>
      </w:pPr>
      <w:bookmarkStart w:id="902455" w:name="_Toc300002454"/>
      <w:r>
        <w:t>CH-24. Family Contact</w:t>
      </w:r>
      <w:bookmarkEnd w:id="902455"/>
    </w:p>
    <w:p>
      <w:pPr>
        <w:pStyle w:val="Normal"/>
      </w:pPr>
      <w:r>
        <w:t>1. Prisoners shall have reasonable means to maintain family and community connections through in-person visits, correspondence, telephone, secure digital communication, or comparable methods.</w:t>
      </w:r>
    </w:p>
    <w:p>
      <w:pPr>
        <w:pStyle w:val="Normal"/>
      </w:pPr>
      <w:r>
        <w:t>2. Family contact may be restricted for a legitimate and individualized security, disciplinary, victim-protection, evidentiary, or operational reason, but a restriction shall be proportionate and no broader or longer than reasonably necessary.</w:t>
      </w:r>
    </w:p>
    <w:p>
      <w:pPr>
        <w:pStyle w:val="Normal"/>
      </w:pPr>
      <w:r>
        <w:t>3. Complete prohibition of family contact shall not be used as a routine disciplinary sanction.</w:t>
      </w:r>
    </w:p>
    <w:p>
      <w:pPr>
        <w:pStyle w:val="Heading2"/>
      </w:pPr>
      <w:bookmarkStart w:id="902456" w:name="_Toc300002455"/>
      <w:r>
        <w:t>CH-25. Children and Family Relationships</w:t>
      </w:r>
      <w:bookmarkEnd w:id="902456"/>
    </w:p>
    <w:p>
      <w:pPr>
        <w:pStyle w:val="Normal"/>
      </w:pPr>
      <w:r>
        <w:t>1. Where a prisoner has a lawful parental or caregiving relationship, custody administration should facilitate safe and appropriate continuing contact when consistent with the interests and safety of the child.</w:t>
      </w:r>
    </w:p>
    <w:p>
      <w:pPr>
        <w:pStyle w:val="Normal"/>
      </w:pPr>
      <w:r>
        <w:t>2. The Parties should encourage child-sensitive visiting procedures and reasonable family-reunification programming.</w:t>
      </w:r>
    </w:p>
    <w:p>
      <w:pPr>
        <w:pStyle w:val="Normal"/>
      </w:pPr>
      <w:r>
        <w:t>3. This Article creates no custody or access entitlement contrary to family, child-protection, victim-protection, or judicial orders.</w:t>
      </w:r>
    </w:p>
    <w:p>
      <w:pPr>
        <w:pStyle w:val="Heading2"/>
      </w:pPr>
      <w:bookmarkStart w:id="902457" w:name="_Toc300002456"/>
      <w:r>
        <w:t>CH-26. Legal Counsel and Privileged Communication</w:t>
      </w:r>
      <w:bookmarkEnd w:id="902457"/>
    </w:p>
    <w:p>
      <w:pPr>
        <w:pStyle w:val="Normal"/>
      </w:pPr>
      <w:r>
        <w:t>1. Prisoners shall have meaningful access to legal counsel as provided by applicable law.</w:t>
      </w:r>
    </w:p>
    <w:p>
      <w:pPr>
        <w:pStyle w:val="Normal"/>
      </w:pPr>
      <w:r>
        <w:t>2. Legally privileged communications shall receive appropriate confidentiality.</w:t>
      </w:r>
    </w:p>
    <w:p>
      <w:pPr>
        <w:pStyle w:val="Normal"/>
      </w:pPr>
      <w:r>
        <w:t>3. Security screening of correspondence or communication shall be designed so far as reasonably possible to preserve applicable privilege.</w:t>
      </w:r>
    </w:p>
    <w:p>
      <w:pPr>
        <w:pStyle w:val="Heading2"/>
      </w:pPr>
      <w:bookmarkStart w:id="902458" w:name="_Toc300002457"/>
      <w:r>
        <w:t>CH-27. Legal Information</w:t>
      </w:r>
      <w:bookmarkEnd w:id="902458"/>
    </w:p>
    <w:p>
      <w:pPr>
        <w:pStyle w:val="Normal"/>
      </w:pPr>
      <w:r>
        <w:t>A correctional institution shall provide a reasonable means for prisoners to obtain legal information necessary to pursue available judicial, administrative, disciplinary, sentence-administration, or conditions-of- confinement remedies.</w:t>
      </w:r>
    </w:p>
    <w:p>
      <w:pPr>
        <w:pStyle w:val="Heading2"/>
      </w:pPr>
      <w:bookmarkStart w:id="902459" w:name="_Toc300002458"/>
      <w:r>
        <w:t>CH-28. Disciplinary Fairness</w:t>
      </w:r>
      <w:bookmarkEnd w:id="902459"/>
    </w:p>
    <w:p>
      <w:pPr>
        <w:pStyle w:val="Normal"/>
      </w:pPr>
      <w:r>
        <w:t>Where prison discipline may result in a materially adverse sanction, applicable procedures shall provide:</w:t>
      </w:r>
    </w:p>
    <w:p>
      <w:pPr>
        <w:pStyle w:val="Normal"/>
      </w:pPr>
      <w:r>
        <w:t>(a) understandable notice of the allegation; (b) a meaningful opportunity to respond; (c) a decision by an authorized and appropriately impartial decision-maker; (d) written reasons where required by domestic law or where necessary for meaningful review; and (e) access to available internal, administrative, or judicial review.</w:t>
      </w:r>
    </w:p>
    <w:p>
      <w:pPr>
        <w:pStyle w:val="Heading2"/>
      </w:pPr>
      <w:bookmarkStart w:id="902460" w:name="_Toc300002459"/>
      <w:r>
        <w:t>CH-29. Complaint, Whistleblower, and Anti-Retaliation Protection</w:t>
      </w:r>
      <w:bookmarkEnd w:id="902460"/>
    </w:p>
    <w:p>
      <w:pPr>
        <w:pStyle w:val="Normal"/>
      </w:pPr>
      <w:r>
        <w:t>1. Prisoners shall have access to a usable complaint or grievance procedure.</w:t>
      </w:r>
    </w:p>
    <w:p>
      <w:pPr>
        <w:pStyle w:val="Normal"/>
      </w:pPr>
      <w:r>
        <w:t>2. Good-faith complaints concerning abuse, healthcare, food, water, sanitation, discrimination, disability, safety, corruption, extortion, sexual misconduct, or staff misconduct shall not result in unlawful retaliation.</w:t>
      </w:r>
    </w:p>
    <w:p>
      <w:pPr>
        <w:pStyle w:val="Normal"/>
      </w:pPr>
      <w:r>
        <w:t>3. Confidential reporting channels should be available for serious allegations where practicable.</w:t>
      </w:r>
    </w:p>
    <w:p>
      <w:pPr>
        <w:pStyle w:val="Heading2"/>
      </w:pPr>
      <w:bookmarkStart w:id="902461" w:name="_Toc300002460"/>
      <w:r>
        <w:t>CH-30. Independent Inspection and Oversight</w:t>
      </w:r>
      <w:bookmarkEnd w:id="902461"/>
    </w:p>
    <w:p>
      <w:pPr>
        <w:pStyle w:val="Normal"/>
      </w:pPr>
      <w:r>
        <w:t>1. Each Party shall maintain meaningful external or functionally independent oversight of correctional conditions.</w:t>
      </w:r>
    </w:p>
    <w:p>
      <w:pPr>
        <w:pStyle w:val="Normal"/>
      </w:pPr>
      <w:r>
        <w:t>2. Oversight shall have sufficient authority, access, expertise, and institutional independence to identify serious systemic deficiencies.</w:t>
      </w:r>
    </w:p>
    <w:p>
      <w:pPr>
        <w:pStyle w:val="Normal"/>
      </w:pPr>
      <w:r>
        <w:t>3. Unannounced inspections should be available where authorized by domestic law or another equally effective inspection mechanism shall be maintained.</w:t>
      </w:r>
    </w:p>
    <w:p>
      <w:pPr>
        <w:pStyle w:val="Normal"/>
      </w:pPr>
      <w:r>
        <w:t>4. Oversight mechanisms shall respect privacy, privilege, legitimate institutional-security requirements, and protection of confidential sources.</w:t>
      </w:r>
    </w:p>
    <w:p>
      <w:pPr>
        <w:pStyle w:val="Heading2"/>
      </w:pPr>
      <w:bookmarkStart w:id="902462" w:name="_Toc300002461"/>
      <w:r>
        <w:t>CH-31. Deaths, Serious Injuries, and Grave Incidents</w:t>
      </w:r>
      <w:bookmarkEnd w:id="902462"/>
    </w:p>
    <w:p>
      <w:pPr>
        <w:pStyle w:val="Normal"/>
      </w:pPr>
      <w:r>
        <w:t>1. Deaths in custody, suicides, serious injuries, major medical emergencies, credible allegations of torture or sexual abuse, and comparable grave incidents shall be documented.</w:t>
      </w:r>
    </w:p>
    <w:p>
      <w:pPr>
        <w:pStyle w:val="Normal"/>
      </w:pPr>
      <w:r>
        <w:t>2. Deaths in custody and other designated grave incidents shall receive meaningful independent or external review.</w:t>
      </w:r>
    </w:p>
    <w:p>
      <w:pPr>
        <w:pStyle w:val="Normal"/>
      </w:pPr>
      <w:r>
        <w:t>3. Privacy-protective aggregate public reporting shall be maintained sufficient to identify systemic patterns.</w:t>
      </w:r>
    </w:p>
    <w:p>
      <w:pPr>
        <w:pStyle w:val="Heading2"/>
      </w:pPr>
      <w:bookmarkStart w:id="902463" w:name="_Toc300002462"/>
      <w:r>
        <w:t>CH-32. Fire, Disaster, and Emergency Preparedness</w:t>
      </w:r>
      <w:bookmarkEnd w:id="902463"/>
    </w:p>
    <w:p>
      <w:pPr>
        <w:pStyle w:val="Normal"/>
      </w:pPr>
      <w:r>
        <w:t>1. Correctional facilities shall maintain adequate fire detection and suppression, evacuation capability, emergency medical planning, and disaster procedures.</w:t>
      </w:r>
    </w:p>
    <w:p>
      <w:pPr>
        <w:pStyle w:val="Normal"/>
      </w:pPr>
      <w:r>
        <w:t>2. Emergency planning shall recognize that prisoners cannot freely evacuate or secure food, medicine, shelter, water, or communication independently.</w:t>
      </w:r>
    </w:p>
    <w:p>
      <w:pPr>
        <w:pStyle w:val="Normal"/>
      </w:pPr>
      <w:r>
        <w:t>3. A disaster, wildfire, flood, extreme-weather event, power failure, civil emergency, or institutional disturbance shall not justify abandonment of basic life-safety obligations.</w:t>
      </w:r>
    </w:p>
    <w:p>
      <w:pPr>
        <w:pStyle w:val="Heading2"/>
      </w:pPr>
      <w:bookmarkStart w:id="902464" w:name="_Toc300002463"/>
      <w:r>
        <w:t>CH-33. Religion, Culture, and Language</w:t>
      </w:r>
      <w:bookmarkEnd w:id="902464"/>
    </w:p>
    <w:p>
      <w:pPr>
        <w:pStyle w:val="Normal"/>
      </w:pPr>
      <w:r>
        <w:t>1. Reasonable religious and spiritual practice shall be accommodated consistent with lawful security and equality requirements.</w:t>
      </w:r>
    </w:p>
    <w:p>
      <w:pPr>
        <w:pStyle w:val="Normal"/>
      </w:pPr>
      <w:r>
        <w:t>2. Material legal, disciplinary, and medical information shall be communicated in a form the person can reasonably understand, including interpretation or accessible communication where required.</w:t>
      </w:r>
    </w:p>
    <w:p>
      <w:pPr>
        <w:pStyle w:val="Normal"/>
      </w:pPr>
      <w:r>
        <w:t>3. Applicable Indigenous cultural, spiritual, language, and treaty rights remain protected under domestic law and other provisions of this Agreement.</w:t>
      </w:r>
    </w:p>
    <w:p>
      <w:pPr>
        <w:pStyle w:val="Heading2"/>
      </w:pPr>
      <w:bookmarkStart w:id="902465" w:name="_Toc300002464"/>
      <w:r>
        <w:t>CH-34. Private Contractors and Outsourced Custody</w:t>
      </w:r>
      <w:bookmarkEnd w:id="902465"/>
    </w:p>
    <w:p>
      <w:pPr>
        <w:pStyle w:val="Normal"/>
      </w:pPr>
      <w:r>
        <w:t>1. A Party shall not avoid responsibility under this Package by delegating custody, healthcare, food service, transport, security, or another correctional function to a private contractor, subnational authority, public corporation, foreign partner, or other intermediary.</w:t>
      </w:r>
    </w:p>
    <w:p>
      <w:pPr>
        <w:pStyle w:val="Normal"/>
      </w:pPr>
      <w:r>
        <w:t>2. Contracts involving custodial functions shall preserve effective governmental oversight and accountability.</w:t>
      </w:r>
    </w:p>
    <w:p>
      <w:pPr>
        <w:pStyle w:val="Heading2"/>
      </w:pPr>
      <w:bookmarkStart w:id="902466" w:name="_Toc300002465"/>
      <w:r>
        <w:t>CH-35. Transfer and Relabelling Firewall</w:t>
      </w:r>
      <w:bookmarkEnd w:id="902466"/>
    </w:p>
    <w:p>
      <w:pPr>
        <w:pStyle w:val="Normal"/>
      </w:pPr>
      <w:r>
        <w:t>1. A Party shall not transfer a person principally for the purpose of evading this Package.</w:t>
      </w:r>
    </w:p>
    <w:p>
      <w:pPr>
        <w:pStyle w:val="Normal"/>
      </w:pPr>
      <w:r>
        <w:t>2. Transfer to another institution, jurisdiction, contractor, immigration facility, medical unit, military site, protective unit, or other custodial setting shall not extinguish applicable protections where the sending Party retains responsibility under domestic or international law.</w:t>
      </w:r>
    </w:p>
    <w:p>
      <w:pPr>
        <w:pStyle w:val="Normal"/>
      </w:pPr>
      <w:r>
        <w:t>3. Functional conditions govern over labels.</w:t>
      </w:r>
    </w:p>
    <w:p>
      <w:pPr>
        <w:pStyle w:val="Heading2"/>
      </w:pPr>
      <w:bookmarkStart w:id="902467" w:name="_Toc300002466"/>
      <w:r>
        <w:t>CH-36. Pretrial and Unconvicted Persons</w:t>
      </w:r>
      <w:bookmarkEnd w:id="902467"/>
    </w:p>
    <w:p>
      <w:pPr>
        <w:pStyle w:val="Normal"/>
      </w:pPr>
      <w:r>
        <w:t>1. The Mandatory Custodial Dignity Floor applies equally to persons detained before conviction.</w:t>
      </w:r>
    </w:p>
    <w:p>
      <w:pPr>
        <w:pStyle w:val="Normal"/>
      </w:pPr>
      <w:r>
        <w:t>2. Nothing in this Package authorizes punitive treatment of an unconvicted person merely because release has not been granted.</w:t>
      </w:r>
    </w:p>
    <w:p>
      <w:pPr>
        <w:pStyle w:val="Normal"/>
      </w:pPr>
      <w:r>
        <w:t>3. The Parties shall preserve distinctions between pretrial administration and punishment required by their respective constitutional and legal systems.</w:t>
      </w:r>
    </w:p>
    <w:p>
      <w:pPr>
        <w:pStyle w:val="Heading2"/>
      </w:pPr>
      <w:bookmarkStart w:id="902468" w:name="_Toc300002467"/>
      <w:r>
        <w:t>CH-37. Correctional Staff Safety and Dignity</w:t>
      </w:r>
      <w:bookmarkEnd w:id="902468"/>
    </w:p>
    <w:p>
      <w:pPr>
        <w:pStyle w:val="Normal"/>
      </w:pPr>
      <w:r>
        <w:t>1. The Parties recognize correctional personnel as beneficiaries of a safe, professional corrections framework.</w:t>
      </w:r>
    </w:p>
    <w:p>
      <w:pPr>
        <w:pStyle w:val="Normal"/>
      </w:pPr>
      <w:r>
        <w:t>2. Implementation shall support adequate training, emergency preparedness, appropriate protective equipment, de-escalation capability, violence prevention, mental-health awareness, professional integrity, and reasonable staff wellness.</w:t>
      </w:r>
    </w:p>
    <w:p>
      <w:pPr>
        <w:pStyle w:val="Normal"/>
      </w:pPr>
      <w:r>
        <w:t>3. Nothing in this Package requires an officer to expose the officer, another employee, a prisoner, or the public to an imminent serious threat in order to comply with a procedural preference.</w:t>
      </w:r>
    </w:p>
    <w:p>
      <w:pPr>
        <w:pStyle w:val="Heading2"/>
      </w:pPr>
      <w:bookmarkStart w:id="902469" w:name="_Toc300002468"/>
      <w:r>
        <w:t>CH-38. Emergency Safety Authority</w:t>
      </w:r>
      <w:bookmarkEnd w:id="902469"/>
    </w:p>
    <w:p>
      <w:pPr>
        <w:pStyle w:val="Normal"/>
      </w:pPr>
      <w:r>
        <w:t>1. Nothing in this Package prevents temporary measures reasonably necessary to respond to riot, hostage taking, active violence, escape, fire, natural disaster, infrastructure failure, serious infectious-disease event, or another genuine emergency.</w:t>
      </w:r>
    </w:p>
    <w:p>
      <w:pPr>
        <w:pStyle w:val="Normal"/>
      </w:pPr>
      <w:r>
        <w:t>2. Emergency measures shall be proportionate to the threat and shall not become a pretext for indefinite suspension of the Mandatory Custodial Dignity Floor.</w:t>
      </w:r>
    </w:p>
    <w:p>
      <w:pPr>
        <w:pStyle w:val="Normal"/>
      </w:pPr>
      <w:r>
        <w:t>3. Food, potable water, necessary emergency healthcare, protection against torture, and essential life-safety obligations remain non-derogable.</w:t>
      </w:r>
    </w:p>
    <w:p>
      <w:pPr>
        <w:pStyle w:val="Heading2"/>
      </w:pPr>
      <w:bookmarkStart w:id="902470" w:name="_Toc300002469"/>
      <w:r>
        <w:t>CH-39. Emergency Sunset and Restoration</w:t>
      </w:r>
      <w:bookmarkEnd w:id="902470"/>
    </w:p>
    <w:p>
      <w:pPr>
        <w:pStyle w:val="Normal"/>
      </w:pPr>
      <w:r>
        <w:t>A material emergency restriction affecting ordinary conditions shall include, where practicable:</w:t>
      </w:r>
    </w:p>
    <w:p>
      <w:pPr>
        <w:pStyle w:val="Normal"/>
      </w:pPr>
      <w:r>
        <w:t>(a) the factual basis for activation; (b) the authority responsible; (c) periodic review; (d) criteria for termination or relaxation; (e) restoration of ordinary services and conditions when the emergency ends; and (f) documentation sufficient for later oversight.</w:t>
      </w:r>
    </w:p>
    <w:p>
      <w:pPr>
        <w:pStyle w:val="Heading2"/>
      </w:pPr>
      <w:bookmarkStart w:id="902471" w:name="_Toc300002470"/>
      <w:r>
        <w:t>CH-40. Federalism and Constitutional Implementation</w:t>
      </w:r>
      <w:bookmarkEnd w:id="902471"/>
    </w:p>
    <w:p>
      <w:pPr>
        <w:pStyle w:val="Normal"/>
      </w:pPr>
      <w:r>
        <w:t>1. Each Party shall implement this Package through measures available under its constitutional system.</w:t>
      </w:r>
    </w:p>
    <w:p>
      <w:pPr>
        <w:pStyle w:val="Normal"/>
      </w:pPr>
      <w:r>
        <w:t>2. Nothing in this Package alters the internal constitutional distribution of legislative, executive, judicial, federal, state, provincial, territorial, local, Indigenous, or other governmental authority.</w:t>
      </w:r>
    </w:p>
    <w:p>
      <w:pPr>
        <w:pStyle w:val="Normal"/>
      </w:pPr>
      <w:r>
        <w:t>3. Where implementation requires action by a subnational authority, the Party shall use constitutionally available means, including legislation, funding, agreements, incentives, reporting, intergovernmental coordination, or other lawful mechanisms appropriate to its system.</w:t>
      </w:r>
    </w:p>
    <w:p>
      <w:pPr>
        <w:pStyle w:val="Normal"/>
      </w:pPr>
      <w:r>
        <w:t>4. A Party shall not be deemed in breach merely because its internal legal structure differs from that of another Party.</w:t>
      </w:r>
    </w:p>
    <w:p>
      <w:pPr>
        <w:pStyle w:val="Heading2"/>
      </w:pPr>
      <w:bookmarkStart w:id="902472" w:name="_Toc300002471"/>
      <w:r>
        <w:t>CH-41. Higher Domestic Protection Preserved</w:t>
      </w:r>
      <w:bookmarkEnd w:id="902472"/>
    </w:p>
    <w:p>
      <w:pPr>
        <w:pStyle w:val="Normal"/>
      </w:pPr>
      <w:r>
        <w:t>Nothing in this Package prevents a Party or subnational government from maintaining or adopting protections more favourable to prisoners, staff, families, victims, or institutional safety.</w:t>
      </w:r>
    </w:p>
    <w:p>
      <w:pPr>
        <w:pStyle w:val="Heading2"/>
      </w:pPr>
      <w:bookmarkStart w:id="902473" w:name="_Toc300002472"/>
      <w:r>
        <w:t>CH-42. No Private Right Created Solely by NAESTMA</w:t>
      </w:r>
      <w:bookmarkEnd w:id="902473"/>
    </w:p>
    <w:p>
      <w:pPr>
        <w:pStyle w:val="Normal"/>
      </w:pPr>
      <w:r>
        <w:t>Unless expressly implemented through domestic law, this Package does not by itself create a private cause of action, damages remedy, criminal defence, sentence-reduction entitlement, parole entitlement, or basis for release.</w:t>
      </w:r>
    </w:p>
    <w:p>
      <w:pPr>
        <w:pStyle w:val="Normal"/>
      </w:pPr>
      <w:r>
        <w:t>Nothing in this Article diminishes a remedy independently available under domestic constitutional, statutory, administrative, or international law.</w:t>
      </w:r>
    </w:p>
    <w:p>
      <w:pPr>
        <w:pStyle w:val="Heading2"/>
      </w:pPr>
      <w:bookmarkStart w:id="902474" w:name="_Toc300002473"/>
      <w:r>
        <w:t>CH-43. Human Rights Cannot Be Trade Collateral</w:t>
      </w:r>
      <w:bookmarkEnd w:id="902474"/>
    </w:p>
    <w:p>
      <w:pPr>
        <w:pStyle w:val="Normal"/>
      </w:pPr>
      <w:r>
        <w:t>1. Food, potable water, necessary healthcare, protection from torture or abuse, legal access, basic sanitation, disability accommodation, and other fundamental protections under the Mandatory Custodial Dignity Floor shall not be suspended, reduced, delayed, or traded away as retaliation, compensation, economic leverage, tariff consideration, procurement leverage, or a No-Uncompensated-Front-Loading step-back.</w:t>
      </w:r>
    </w:p>
    <w:p>
      <w:pPr>
        <w:pStyle w:val="Normal"/>
      </w:pPr>
      <w:r>
        <w:t>2. No Party shall demand degradation of an individual prisoner's treatment as consideration for an unrelated commercial or security concession.</w:t>
      </w:r>
    </w:p>
    <w:p>
      <w:pPr>
        <w:pStyle w:val="Heading2"/>
      </w:pPr>
      <w:bookmarkStart w:id="902475" w:name="_Toc300002474"/>
      <w:r>
        <w:t>CH-44. Systemic-Failure Threshold for Intergovernmental Enforcement</w:t>
      </w:r>
      <w:bookmarkEnd w:id="902475"/>
    </w:p>
    <w:p>
      <w:pPr>
        <w:pStyle w:val="Normal"/>
      </w:pPr>
      <w:r>
        <w:t>1. The Parties recognize that large correctional systems inevitably experience individual operational failures, misconduct allegations, medical disputes, and facility-level incidents.</w:t>
      </w:r>
    </w:p>
    <w:p>
      <w:pPr>
        <w:pStyle w:val="Normal"/>
      </w:pPr>
      <w:r>
        <w:t>2. Intergovernmental compliance action under this Agreement should focus on a serious, persistent, deliberate, or systemic failure to maintain the Mandatory Custodial Dignity Floor, or a credible refusal to investigate and cure a grave violation.</w:t>
      </w:r>
    </w:p>
    <w:p>
      <w:pPr>
        <w:pStyle w:val="Normal"/>
      </w:pPr>
      <w:r>
        <w:t>3. An isolated incident that is promptly investigated and reasonably remedied shall not ordinarily establish Party-level non-compliance.</w:t>
      </w:r>
    </w:p>
    <w:p>
      <w:pPr>
        <w:pStyle w:val="Heading2"/>
      </w:pPr>
      <w:bookmarkStart w:id="902476" w:name="_Toc300002475"/>
      <w:r>
        <w:t>CH-45. Cure Before Economic Consequence</w:t>
      </w:r>
      <w:bookmarkEnd w:id="902476"/>
    </w:p>
    <w:p>
      <w:pPr>
        <w:pStyle w:val="Normal"/>
      </w:pPr>
      <w:r>
        <w:t>1. Except in a grave-abuse case, a concern under this Package shall first proceed through notice, evidence exchange, consultation, and a reasonable cure period.</w:t>
      </w:r>
    </w:p>
    <w:p>
      <w:pPr>
        <w:pStyle w:val="Normal"/>
      </w:pPr>
      <w:r>
        <w:t>2. Corrective action may include investigation, emergency remediation, policy change, staff discipline, medical intervention, facility repair, monitoring, or another measure reasonably tailored to the deficiency.</w:t>
      </w:r>
    </w:p>
    <w:p>
      <w:pPr>
        <w:pStyle w:val="Normal"/>
      </w:pPr>
      <w:r>
        <w:t>3. General tariffs, unrelated border restrictions, or punishment of unrelated industries shall not constitute the ordinary remedy for a correctional conditions dispute.</w:t>
      </w:r>
    </w:p>
    <w:p>
      <w:pPr>
        <w:pStyle w:val="Heading2"/>
      </w:pPr>
      <w:bookmarkStart w:id="902477" w:name="_Toc300002476"/>
      <w:r>
        <w:t>CH-46. Grave-Abuse Accelerator</w:t>
      </w:r>
      <w:bookmarkEnd w:id="902477"/>
    </w:p>
    <w:p>
      <w:pPr>
        <w:pStyle w:val="Normal"/>
      </w:pPr>
      <w:r>
        <w:t>Where credible evidence indicates torture, disappearance, deliberate starvation, deliberate denial of life-saving medical care, systematic sexual abuse, trafficking, unlawful killing, or another comparably grave abuse, expedited consultation and independent fact review may begin without exhaustion of the ordinary cure period.</w:t>
      </w:r>
    </w:p>
    <w:p>
      <w:pPr>
        <w:pStyle w:val="Normal"/>
      </w:pPr>
      <w:r>
        <w:t>The response shall remain targeted to correction, accountability, transparency, and protection of affected persons rather than unrelated commercial punishment.</w:t>
      </w:r>
    </w:p>
    <w:p>
      <w:pPr>
        <w:pStyle w:val="Heading2"/>
      </w:pPr>
      <w:bookmarkStart w:id="902478" w:name="_Toc300002477"/>
      <w:r>
        <w:t>CH-47. Data, Reporting, and Privacy</w:t>
      </w:r>
      <w:bookmarkEnd w:id="902478"/>
    </w:p>
    <w:p>
      <w:pPr>
        <w:pStyle w:val="Normal"/>
      </w:pPr>
      <w:r>
        <w:t>1. The Parties should maintain comparable aggregate data, to the extent practicable, concerning custodial deaths, serious injuries, restrictive housing, major uses of force, healthcare access, complaints, and other agreed systemic indicators.</w:t>
      </w:r>
    </w:p>
    <w:p>
      <w:pPr>
        <w:pStyle w:val="Normal"/>
      </w:pPr>
      <w:r>
        <w:t>2. Data sharing under this Package shall protect medical confidentiality, attorney-client privilege, victim information, security-sensitive information, and personal privacy.</w:t>
      </w:r>
    </w:p>
    <w:p>
      <w:pPr>
        <w:pStyle w:val="Normal"/>
      </w:pPr>
      <w:r>
        <w:t>3. Nothing requires publication of information that would identify a vulnerable prisoner or compromise an active investigation, subject to applicable law.</w:t>
      </w:r>
    </w:p>
    <w:p>
      <w:pPr>
        <w:pStyle w:val="Heading2"/>
      </w:pPr>
      <w:bookmarkStart w:id="902479" w:name="_Toc300002478"/>
      <w:r>
        <w:t>CH-48. No New Supranational Prison Authority</w:t>
      </w:r>
      <w:bookmarkEnd w:id="902479"/>
    </w:p>
    <w:p>
      <w:pPr>
        <w:pStyle w:val="Normal"/>
      </w:pPr>
      <w:r>
        <w:t>1. This Package does not establish a North American prison service, supranational corrections agency, cross-border prison inspectorate, or foreign command authority.</w:t>
      </w:r>
    </w:p>
    <w:p>
      <w:pPr>
        <w:pStyle w:val="Normal"/>
      </w:pPr>
      <w:r>
        <w:t>2. Implementation shall rely principally on domestic correctional, ombudsperson, inspector-general, judicial, public-health, human-rights, and other competent authorities, with Secretariat coordination where useful.</w:t>
      </w:r>
    </w:p>
    <w:p>
      <w:pPr>
        <w:pStyle w:val="Normal"/>
      </w:pPr>
      <w:r>
        <w:t>3. No officer or inspector of one Party acquires coercive authority inside a facility of another Party solely by reason of this Agreement.</w:t>
      </w:r>
    </w:p>
    <w:p>
      <w:pPr>
        <w:pStyle w:val="Heading1"/>
      </w:pPr>
      <w:bookmarkStart w:id="902480" w:name="_Toc300002479"/>
      <w:r>
        <w:t>PACKAGE CI: FLEXIBLE SAFE-CORRECTIONS IMPLEMENTATION STANDARDS</w:t>
      </w:r>
      <w:bookmarkEnd w:id="902480"/>
    </w:p>
    <w:p>
      <w:pPr>
        <w:pStyle w:val="Heading2"/>
      </w:pPr>
      <w:bookmarkStart w:id="902481" w:name="_Toc300002480"/>
      <w:r>
        <w:t>CI-1. Governing Principle</w:t>
      </w:r>
      <w:bookmarkEnd w:id="902481"/>
    </w:p>
    <w:p>
      <w:pPr>
        <w:pStyle w:val="Normal"/>
      </w:pPr>
      <w:r>
        <w:t>The standards in this Package are common implementation objectives. A Party retains discretion concerning institutional design, technology, staffing model, service provider, delivery mechanism, budget structure, and sequence of implementation, provided that the objective is pursued in good faith and the Mandatory Custodial Dignity Floor remains satisfied.</w:t>
      </w:r>
    </w:p>
    <w:p>
      <w:pPr>
        <w:pStyle w:val="Heading2"/>
      </w:pPr>
      <w:bookmarkStart w:id="902482" w:name="_Toc300002481"/>
      <w:r>
        <w:t>CI-2. Nutritional Governance</w:t>
      </w:r>
      <w:bookmarkEnd w:id="902482"/>
    </w:p>
    <w:p>
      <w:pPr>
        <w:pStyle w:val="Normal"/>
      </w:pPr>
      <w:r>
        <w:t>Each Party should maintain professional dietetic or nutritional oversight, periodic menu assessment, food-safety controls, and a credible process for identifying chronic nutritional or food-quality failures.</w:t>
      </w:r>
    </w:p>
    <w:p>
      <w:pPr>
        <w:pStyle w:val="Normal"/>
      </w:pPr>
      <w:r>
        <w:t>No Party is required to adopt an identical menu cycle, minimum number of menu choices, national cuisine, fish frequency, red-meat ceiling, dessert formula, or other prescriptive menu rule.</w:t>
      </w:r>
    </w:p>
    <w:p>
      <w:pPr>
        <w:pStyle w:val="Heading2"/>
      </w:pPr>
      <w:bookmarkStart w:id="902483" w:name="_Toc300002482"/>
      <w:r>
        <w:t>CI-3. Specialist Healthcare and Telemedicine</w:t>
      </w:r>
      <w:bookmarkEnd w:id="902483"/>
    </w:p>
    <w:p>
      <w:pPr>
        <w:pStyle w:val="Normal"/>
      </w:pPr>
      <w:r>
        <w:t>Correctional systems should use on-site specialists, referral networks, telemedicine, secure transport, regional clinical hubs, or another effective method to obtain necessary specialist care without unreasonable delay.</w:t>
      </w:r>
    </w:p>
    <w:p>
      <w:pPr>
        <w:pStyle w:val="Heading2"/>
      </w:pPr>
      <w:bookmarkStart w:id="902484" w:name="_Toc300002483"/>
      <w:r>
        <w:t>CI-4. Addiction Treatment and Overdose Prevention</w:t>
      </w:r>
      <w:bookmarkEnd w:id="902484"/>
    </w:p>
    <w:p>
      <w:pPr>
        <w:pStyle w:val="Normal"/>
      </w:pPr>
      <w:r>
        <w:t>The Parties should provide evidence-based substance-use treatment and clinically appropriate overdose-response capability, including medication- assisted treatment where lawful and medically indicated, counseling, relapse prevention, recovery support, and continuity planning.</w:t>
      </w:r>
    </w:p>
    <w:p>
      <w:pPr>
        <w:pStyle w:val="Heading2"/>
      </w:pPr>
      <w:bookmarkStart w:id="902485" w:name="_Toc300002484"/>
      <w:r>
        <w:t>CI-5. Hospice, Palliative, Geriatric, and Complex Care</w:t>
      </w:r>
      <w:bookmarkEnd w:id="902485"/>
    </w:p>
    <w:p>
      <w:pPr>
        <w:pStyle w:val="Normal"/>
      </w:pPr>
      <w:r>
        <w:t>Correctional systems should maintain clinically appropriate pathways for terminal illness, serious chronic disease, advanced age, significant disability, and palliative care, including outside placement or compassionate mechanisms where available under domestic law.</w:t>
      </w:r>
    </w:p>
    <w:p>
      <w:pPr>
        <w:pStyle w:val="Heading2"/>
      </w:pPr>
      <w:bookmarkStart w:id="902486" w:name="_Toc300002485"/>
      <w:r>
        <w:t>CI-6. Exercise and Outdoor Access</w:t>
      </w:r>
      <w:bookmarkEnd w:id="902486"/>
    </w:p>
    <w:p>
      <w:pPr>
        <w:pStyle w:val="Normal"/>
      </w:pPr>
      <w:r>
        <w:t>Prisoners should receive regular physical activity and meaningful access to open-air exercise, subject to reasonable weather, health, individual safety, emergency, and security limitations.</w:t>
      </w:r>
    </w:p>
    <w:p>
      <w:pPr>
        <w:pStyle w:val="Heading2"/>
      </w:pPr>
      <w:bookmarkStart w:id="902487" w:name="_Toc300002486"/>
      <w:r>
        <w:t>CI-7. Foundational Education</w:t>
      </w:r>
      <w:bookmarkEnd w:id="902487"/>
    </w:p>
    <w:p>
      <w:pPr>
        <w:pStyle w:val="Normal"/>
      </w:pPr>
      <w:r>
        <w:t>Reasonable access should be provided to literacy, numeracy, secondary equivalency, language learning, and other foundational education according to need, sentence circumstances, security classification, and institutional capacity.</w:t>
      </w:r>
    </w:p>
    <w:p>
      <w:pPr>
        <w:pStyle w:val="Heading2"/>
      </w:pPr>
      <w:bookmarkStart w:id="902488" w:name="_Toc300002487"/>
      <w:r>
        <w:t>CI-8. Vocational and Employability Training</w:t>
      </w:r>
      <w:bookmarkEnd w:id="902488"/>
    </w:p>
    <w:p>
      <w:pPr>
        <w:pStyle w:val="Normal"/>
      </w:pPr>
      <w:r>
        <w:t>The Parties should promote access to market-relevant vocational education, apprenticeships, digital literacy, industry-recognized credentials, and employment preparation.</w:t>
      </w:r>
    </w:p>
    <w:p>
      <w:pPr>
        <w:pStyle w:val="Heading2"/>
      </w:pPr>
      <w:bookmarkStart w:id="902489" w:name="_Toc300002488"/>
      <w:r>
        <w:t>CI-9. Libraries and Learning Materials</w:t>
      </w:r>
      <w:bookmarkEnd w:id="902489"/>
    </w:p>
    <w:p>
      <w:pPr>
        <w:pStyle w:val="Normal"/>
      </w:pPr>
      <w:r>
        <w:t>Correctional institutions should provide reasonable access to reading, educational, legal, cultural, and self-development materials, including accessible formats for prisoners with disabilities.</w:t>
      </w:r>
    </w:p>
    <w:p>
      <w:pPr>
        <w:pStyle w:val="Heading2"/>
      </w:pPr>
      <w:bookmarkStart w:id="902490" w:name="_Toc300002489"/>
      <w:r>
        <w:t>CI-10. Secure Digital Access</w:t>
      </w:r>
      <w:bookmarkEnd w:id="902490"/>
    </w:p>
    <w:p>
      <w:pPr>
        <w:pStyle w:val="Normal"/>
      </w:pPr>
      <w:r>
        <w:t>1. The Parties should encourage controlled digital access for education, communication, legal research, rehabilitation, and reentry preparation.</w:t>
      </w:r>
    </w:p>
    <w:p>
      <w:pPr>
        <w:pStyle w:val="Normal"/>
      </w:pPr>
      <w:r>
        <w:t>2. Nothing requires provision of a personal tablet, unrestricted internet access, social-media access, or a particular commercial platform.</w:t>
      </w:r>
    </w:p>
    <w:p>
      <w:pPr>
        <w:pStyle w:val="Normal"/>
      </w:pPr>
      <w:r>
        <w:t>3. Security controls should be proportionate and should not transform useful digital access into an unreasonable monopoly or exploitative fee system.</w:t>
      </w:r>
    </w:p>
    <w:p>
      <w:pPr>
        <w:pStyle w:val="Heading2"/>
      </w:pPr>
      <w:bookmarkStart w:id="902491" w:name="_Toc300002490"/>
      <w:r>
        <w:t>CI-11. Affordable Communication</w:t>
      </w:r>
      <w:bookmarkEnd w:id="902491"/>
    </w:p>
    <w:p>
      <w:pPr>
        <w:pStyle w:val="Normal"/>
      </w:pPr>
      <w:r>
        <w:t>Telephone, video, electronic messaging, and similar services made available to prisoners should be administered so that fees do not become an unreasonable barrier to ordinary family communication.</w:t>
      </w:r>
    </w:p>
    <w:p>
      <w:pPr>
        <w:pStyle w:val="Normal"/>
      </w:pPr>
      <w:r>
        <w:t>Nothing requires that every communication service be free.</w:t>
      </w:r>
    </w:p>
    <w:p>
      <w:pPr>
        <w:pStyle w:val="Heading2"/>
      </w:pPr>
      <w:bookmarkStart w:id="902492" w:name="_Toc300002491"/>
      <w:r>
        <w:t>CI-12. Parenting and Family Reintegration</w:t>
      </w:r>
      <w:bookmarkEnd w:id="902492"/>
    </w:p>
    <w:p>
      <w:pPr>
        <w:pStyle w:val="Normal"/>
      </w:pPr>
      <w:r>
        <w:t>The Parties should encourage parenting education, family counseling, child-sensitive visiting areas, family-reunification support, and comparable programming where consistent with victim safety and the best interests of children.</w:t>
      </w:r>
    </w:p>
    <w:p>
      <w:pPr>
        <w:pStyle w:val="Heading2"/>
      </w:pPr>
      <w:bookmarkStart w:id="902493" w:name="_Toc300002492"/>
      <w:r>
        <w:t>CI-13. De-Escalation and Trauma-Informed Practice</w:t>
      </w:r>
      <w:bookmarkEnd w:id="902493"/>
    </w:p>
    <w:p>
      <w:pPr>
        <w:pStyle w:val="Normal"/>
      </w:pPr>
      <w:r>
        <w:t>Appropriate correctional staff should receive training in de-escalation, mental-health crisis response, disability awareness, human rights, trauma- informed practice, and recognition of medical emergencies.</w:t>
      </w:r>
    </w:p>
    <w:p>
      <w:pPr>
        <w:pStyle w:val="Heading2"/>
      </w:pPr>
      <w:bookmarkStart w:id="902494" w:name="_Toc300002493"/>
      <w:r>
        <w:t>CI-14. Staff Professionalization</w:t>
      </w:r>
      <w:bookmarkEnd w:id="902494"/>
    </w:p>
    <w:p>
      <w:pPr>
        <w:pStyle w:val="Normal"/>
      </w:pPr>
      <w:r>
        <w:t>Correctional systems should maintain reasonable recruitment standards, training, supervision, integrity controls, continuing professional development, and staff-wellness measures.</w:t>
      </w:r>
    </w:p>
    <w:p>
      <w:pPr>
        <w:pStyle w:val="Heading2"/>
      </w:pPr>
      <w:bookmarkStart w:id="902495" w:name="_Toc300002494"/>
      <w:r>
        <w:t>CI-15. Violence and Organized-Crime Prevention</w:t>
      </w:r>
      <w:bookmarkEnd w:id="902495"/>
    </w:p>
    <w:p>
      <w:pPr>
        <w:pStyle w:val="Normal"/>
      </w:pPr>
      <w:r>
        <w:t>The Parties should maintain lawful systems for classification, prison intelligence, anti-extortion measures, gang and organized-crime disruption, violence prevention, conflict management, contraband control, and protection of prisoners and staff.</w:t>
      </w:r>
    </w:p>
    <w:p>
      <w:pPr>
        <w:pStyle w:val="Normal"/>
      </w:pPr>
      <w:r>
        <w:t>Such measures remain subject to the Mandatory Custodial Dignity Floor.</w:t>
      </w:r>
    </w:p>
    <w:p>
      <w:pPr>
        <w:pStyle w:val="Heading2"/>
      </w:pPr>
      <w:bookmarkStart w:id="902496" w:name="_Toc300002495"/>
      <w:r>
        <w:t>CI-16. Accessible Programming</w:t>
      </w:r>
      <w:bookmarkEnd w:id="902496"/>
    </w:p>
    <w:p>
      <w:pPr>
        <w:pStyle w:val="Normal"/>
      </w:pPr>
      <w:r>
        <w:t>Education, rehabilitation, communication, recreation, and reentry programming should be designed so that prisoners with disabilities and material language barriers can participate on reasonably equal terms.</w:t>
      </w:r>
    </w:p>
    <w:p>
      <w:pPr>
        <w:pStyle w:val="Heading2"/>
      </w:pPr>
      <w:bookmarkStart w:id="902497" w:name="_Toc300002496"/>
      <w:r>
        <w:t>CI-17. Reentry Continuity</w:t>
      </w:r>
      <w:bookmarkEnd w:id="902497"/>
    </w:p>
    <w:p>
      <w:pPr>
        <w:pStyle w:val="Normal"/>
      </w:pPr>
      <w:r>
        <w:t>Before release, institutions should provide reasonable planning for:</w:t>
      </w:r>
    </w:p>
    <w:p>
      <w:pPr>
        <w:pStyle w:val="Normal"/>
      </w:pPr>
      <w:r>
        <w:t>(a) identity documents; (b) clinically necessary medication and healthcare continuity; (c) housing and shelter referral; (d) employment preparation; (e) education continuation; (f) addiction-treatment continuity; (g) family and community reconnection; and (h) other services materially relevant to safe reintegration.</w:t>
      </w:r>
    </w:p>
    <w:p>
      <w:pPr>
        <w:pStyle w:val="Heading2"/>
      </w:pPr>
      <w:bookmarkStart w:id="902498" w:name="_Toc300002497"/>
      <w:r>
        <w:t>CI-18. Public Transparency</w:t>
      </w:r>
      <w:bookmarkEnd w:id="902498"/>
    </w:p>
    <w:p>
      <w:pPr>
        <w:pStyle w:val="Normal"/>
      </w:pPr>
      <w:r>
        <w:t>Each Party should publish privacy-protective aggregate information sufficient to permit informed assessment of major correctional conditions and trends.</w:t>
      </w:r>
    </w:p>
    <w:p>
      <w:pPr>
        <w:pStyle w:val="Heading2"/>
      </w:pPr>
      <w:bookmarkStart w:id="902499" w:name="_Toc300002498"/>
      <w:r>
        <w:t>CI-19. Prisoner Feedback Without Transfer of Command</w:t>
      </w:r>
      <w:bookmarkEnd w:id="902499"/>
    </w:p>
    <w:p>
      <w:pPr>
        <w:pStyle w:val="Normal"/>
      </w:pPr>
      <w:r>
        <w:t>1. Facilities should maintain safe channels through which prisoners may raise concerns concerning food, safety, healthcare, programming, recreation, grievances, and living conditions.</w:t>
      </w:r>
    </w:p>
    <w:p>
      <w:pPr>
        <w:pStyle w:val="Normal"/>
      </w:pPr>
      <w:r>
        <w:t>2. Advisory councils, surveys, peer systems, ombudsperson channels, or similar methods may be used.</w:t>
      </w:r>
    </w:p>
    <w:p>
      <w:pPr>
        <w:pStyle w:val="Normal"/>
      </w:pPr>
      <w:r>
        <w:t>3. This Article does not create a right to co-govern a correctional institution, direct staff, determine classification, control security operations, or override lawful institutional command.</w:t>
      </w:r>
    </w:p>
    <w:p>
      <w:pPr>
        <w:pStyle w:val="Heading1"/>
      </w:pPr>
      <w:bookmarkStart w:id="902500" w:name="_Toc300002499"/>
      <w:r>
        <w:t>ANNEX CH-A: OPTIONAL ADVANCED CORRECTIONAL REFORM PROTOCOL</w:t>
      </w:r>
      <w:bookmarkEnd w:id="902500"/>
    </w:p>
    <w:p>
      <w:pPr>
        <w:pStyle w:val="Normal"/>
      </w:pPr>
      <w:r>
        <w:t>CH-A.1. Voluntary Character</w:t>
      </w:r>
    </w:p>
    <w:p>
      <w:pPr>
        <w:pStyle w:val="Normal"/>
      </w:pPr>
      <w:r>
        <w:t>1. This Annex is voluntary.</w:t>
      </w:r>
    </w:p>
    <w:p>
      <w:pPr>
        <w:pStyle w:val="Normal"/>
      </w:pPr>
      <w:r>
        <w:t>2. A Party may accede to the Annex as a whole or to one or more Modules.</w:t>
      </w:r>
    </w:p>
    <w:p>
      <w:pPr>
        <w:pStyle w:val="Normal"/>
      </w:pPr>
      <w:r>
        <w:t>3. Accession to one Module does not constitute accession to another Module.</w:t>
      </w:r>
    </w:p>
    <w:p>
      <w:pPr>
        <w:pStyle w:val="Normal"/>
      </w:pPr>
      <w:r>
        <w:t>4. A Party may implement an equivalent domestic regime and declare substantial equivalence rather than reproduce the model mechanism verbatim.</w:t>
      </w:r>
    </w:p>
    <w:p>
      <w:pPr>
        <w:pStyle w:val="Normal"/>
      </w:pPr>
      <w:r>
        <w:t>CH-A.2. No Cross-Conditioning</w:t>
      </w:r>
    </w:p>
    <w:p>
      <w:pPr>
        <w:pStyle w:val="Normal"/>
      </w:pPr>
      <w:r>
        <w:t>A Party's decision not to join, not to expand participation in, or lawfully to withdraw from an Optional Module shall not:</w:t>
      </w:r>
    </w:p>
    <w:p>
      <w:pPr>
        <w:pStyle w:val="Normal"/>
      </w:pPr>
      <w:r>
        <w:t>(a) constitute breach of the Mandatory Custodial Dignity Floor; (b) authorize tariff retaliation; (c) authorize suspension of unrelated trade benefits; (d) create a presumption of human-rights violation; (e) alter ordinary market-access commitments; or (f) permit another Party to condition an unrelated concession on accession.</w:t>
      </w:r>
    </w:p>
    <w:p>
      <w:pPr>
        <w:pStyle w:val="Normal"/>
      </w:pPr>
      <w:r>
        <w:t>CH-A.3. Accession</w:t>
      </w:r>
    </w:p>
    <w:p>
      <w:pPr>
        <w:pStyle w:val="Normal"/>
      </w:pPr>
      <w:r>
        <w:t>A Party may accede to a Module by written notice identifying:</w:t>
      </w:r>
    </w:p>
    <w:p>
      <w:pPr>
        <w:pStyle w:val="Normal"/>
      </w:pPr>
      <w:r>
        <w:t>(a) the Module; (b) the implementing domestic measures; (c) the effective date; (d) any constitutionally necessary federalism qualifications; and (e) the authority responsible for implementation reporting.</w:t>
      </w:r>
    </w:p>
    <w:p>
      <w:pPr>
        <w:pStyle w:val="Normal"/>
      </w:pPr>
      <w:r>
        <w:t>CH-A.4. Withdrawal From Optional Module</w:t>
      </w:r>
    </w:p>
    <w:p>
      <w:pPr>
        <w:pStyle w:val="Normal"/>
      </w:pPr>
      <w:r>
        <w:t>1. A Party may withdraw from an Optional Module upon written notice.</w:t>
      </w:r>
    </w:p>
    <w:p>
      <w:pPr>
        <w:pStyle w:val="Normal"/>
      </w:pPr>
      <w:r>
        <w:t>2. Withdrawal shall not affect accrued individual rights independently protected by domestic law.</w:t>
      </w:r>
    </w:p>
    <w:p>
      <w:pPr>
        <w:pStyle w:val="Normal"/>
      </w:pPr>
      <w:r>
        <w:t>3. Withdrawal from an Optional Module shall not suspend the Mandatory Custodial Dignity Floor.</w:t>
      </w:r>
    </w:p>
    <w:p>
      <w:pPr>
        <w:pStyle w:val="Heading3"/>
      </w:pPr>
      <w:r>
        <w:t>MODULE A: ENHANCED RESTRICTIVE-HOUSING REFORM</w:t>
      </w:r>
    </w:p>
    <w:p>
      <w:pPr>
        <w:pStyle w:val="Normal"/>
      </w:pPr>
      <w:r>
        <w:t>Participating Parties may undertake one or more of the following:</w:t>
      </w:r>
    </w:p>
    <w:p>
      <w:pPr>
        <w:pStyle w:val="Normal"/>
      </w:pPr>
      <w:r>
        <w:t>1. prohibit solitary confinement entirely except for immediate emergency separation measured in hours rather than days;</w:t>
      </w:r>
    </w:p>
    <w:p>
      <w:pPr>
        <w:pStyle w:val="Normal"/>
      </w:pPr>
      <w:r>
        <w:t>2. require judicial authorization for restrictive housing beyond a specified period;</w:t>
      </w:r>
    </w:p>
    <w:p>
      <w:pPr>
        <w:pStyle w:val="Normal"/>
      </w:pPr>
      <w:r>
        <w:t>3. establish categorical prohibitions or heightened protections for youth, pregnant persons, persons with serious mental illness, persons with specified disabilities, or other vulnerable groups;</w:t>
      </w:r>
    </w:p>
    <w:p>
      <w:pPr>
        <w:pStyle w:val="Normal"/>
      </w:pPr>
      <w:r>
        <w:t>4. establish minimum daily meaningful-human-contact or out-of-cell requirements;</w:t>
      </w:r>
    </w:p>
    <w:p>
      <w:pPr>
        <w:pStyle w:val="Normal"/>
      </w:pPr>
      <w:r>
        <w:t>5. prohibit serial or disguised restrictive-housing regimes that amount to continuous isolation; and</w:t>
      </w:r>
    </w:p>
    <w:p>
      <w:pPr>
        <w:pStyle w:val="Normal"/>
      </w:pPr>
      <w:r>
        <w:t>6. provide independent legal representation or specialized review in prolonged restrictive-housing proceedings.</w:t>
      </w:r>
    </w:p>
    <w:p>
      <w:pPr>
        <w:pStyle w:val="Heading3"/>
      </w:pPr>
      <w:r>
        <w:t>MODULE B: SENTENCING AND SECOND-LOOK REFORM</w:t>
      </w:r>
    </w:p>
    <w:p>
      <w:pPr>
        <w:pStyle w:val="Normal"/>
      </w:pPr>
      <w:r>
        <w:t>Participating Parties may establish:</w:t>
      </w:r>
    </w:p>
    <w:p>
      <w:pPr>
        <w:pStyle w:val="Normal"/>
      </w:pPr>
      <w:r>
        <w:t>1. judicial second-look review after a defined portion of a long sentence; 2. special sentence reconsideration for offences committed as youth or young adults; 3. review mechanisms for survivors of serious coercion or abuse; 4. reform of selected mandatory minimum penalties; 5. review of drug-sentencing disparities; and 6. restorative or individualized alternatives consistent with public safety.</w:t>
      </w:r>
    </w:p>
    <w:p>
      <w:pPr>
        <w:pStyle w:val="Normal"/>
      </w:pPr>
      <w:r>
        <w:t>Nothing in this Module creates a treaty-based right to sentence reduction.</w:t>
      </w:r>
    </w:p>
    <w:p>
      <w:pPr>
        <w:pStyle w:val="Heading3"/>
      </w:pPr>
      <w:r>
        <w:t>MODULE C: PRETRIAL DETENTION AND COMMUNITY ALTERNATIVES</w:t>
      </w:r>
    </w:p>
    <w:p>
      <w:pPr>
        <w:pStyle w:val="Normal"/>
      </w:pPr>
      <w:r>
        <w:t>Participating Parties may pursue:</w:t>
      </w:r>
    </w:p>
    <w:p>
      <w:pPr>
        <w:pStyle w:val="Normal"/>
      </w:pPr>
      <w:r>
        <w:t>1. expedited bail or detention hearings; 2. non-financial release mechanisms; 3. treatment diversion; 4. community supervision; 5. electronic monitoring subject to privacy safeguards; 6. home confinement where lawful; 7. specialized mental-health diversion; and 8. other evidence-based alternatives to unnecessary detention.</w:t>
      </w:r>
    </w:p>
    <w:p>
      <w:pPr>
        <w:pStyle w:val="Heading3"/>
      </w:pPr>
      <w:r>
        <w:t>MODULE D: PAROLE, COMPASSIONATE, GERIATRIC, AND MEDICAL RELEASE</w:t>
      </w:r>
    </w:p>
    <w:p>
      <w:pPr>
        <w:pStyle w:val="Normal"/>
      </w:pPr>
      <w:r>
        <w:t>Participating Parties may establish enhanced procedures for:</w:t>
      </w:r>
    </w:p>
    <w:p>
      <w:pPr>
        <w:pStyle w:val="Normal"/>
      </w:pPr>
      <w:r>
        <w:t>1. geriatric release; 2. terminal or serious-illness release; 3. compassionate release; 4. earned-time mechanisms; 5. periodic parole review; 6. written parole reasons; 7. legal or advocacy assistance in appropriate review proceedings; and 8. continuity of healthcare and housing following release.</w:t>
      </w:r>
    </w:p>
    <w:p>
      <w:pPr>
        <w:pStyle w:val="Heading3"/>
      </w:pPr>
      <w:r>
        <w:t>MODULE E: CIVIC AND PARTICIPATORY RIGHTS</w:t>
      </w:r>
    </w:p>
    <w:p>
      <w:pPr>
        <w:pStyle w:val="Normal"/>
      </w:pPr>
      <w:r>
        <w:t>Participating Parties may elect to provide:</w:t>
      </w:r>
    </w:p>
    <w:p>
      <w:pPr>
        <w:pStyle w:val="Normal"/>
      </w:pPr>
      <w:r>
        <w:t>1. prisoner voting rights; 2. enhanced access to civic information; 3. elected or selected prisoner advisory representatives; 4. formal prisoner participation in menu, recreation, or safety consultation; 5. prisoner participation in selected inspection processes; or 6. strengthened internal democratic or deliberative institutions.</w:t>
      </w:r>
    </w:p>
    <w:p>
      <w:pPr>
        <w:pStyle w:val="Normal"/>
      </w:pPr>
      <w:r>
        <w:t>No Module E mechanism transfers final correctional command authority unless domestic law expressly provides otherwise.</w:t>
      </w:r>
    </w:p>
    <w:p>
      <w:pPr>
        <w:pStyle w:val="Heading3"/>
      </w:pPr>
      <w:r>
        <w:t>MODULE F: INDIGENOUS AND COMMUNITY-ADMINISTERED JUSTICE</w:t>
      </w:r>
    </w:p>
    <w:p>
      <w:pPr>
        <w:pStyle w:val="Normal"/>
      </w:pPr>
      <w:r>
        <w:t>Participating Parties may establish or expand:</w:t>
      </w:r>
    </w:p>
    <w:p>
      <w:pPr>
        <w:pStyle w:val="Normal"/>
      </w:pPr>
      <w:r>
        <w:t>1. Indigenous healing lodges; 2. Indigenous-led correctional or reentry programs; 3. culturally grounded sentencing or release mechanisms; 4. community-administered alternatives to conventional incarceration; 5. language and ceremonial programming; 6. Indigenous family and community reintegration mechanisms; and 7. other measures consistent with applicable Indigenous rights and domestic constitutional arrangements.</w:t>
      </w:r>
    </w:p>
    <w:p>
      <w:pPr>
        <w:pStyle w:val="Heading3"/>
      </w:pPr>
      <w:r>
        <w:t>MODULE G: ADVANCED FAMILY AND CAREGIVING MODELS</w:t>
      </w:r>
    </w:p>
    <w:p>
      <w:pPr>
        <w:pStyle w:val="Normal"/>
      </w:pPr>
      <w:r>
        <w:t>Participating Parties may provide:</w:t>
      </w:r>
    </w:p>
    <w:p>
      <w:pPr>
        <w:pStyle w:val="Normal"/>
      </w:pPr>
      <w:r>
        <w:t>1. extended family visitation; 2. family-reunion or overnight visitation; 3. parent-and-infant residential arrangements; 4. parenting units; 5. travel support for geographically isolated families; 6. enhanced child-friendly visiting facilities; and 7. community-based family-reintegration placements.</w:t>
      </w:r>
    </w:p>
    <w:p>
      <w:pPr>
        <w:pStyle w:val="Normal"/>
      </w:pPr>
      <w:r>
        <w:t>Victim protection, child welfare, safeguarding, and judicial orders remain paramount.</w:t>
      </w:r>
    </w:p>
    <w:p>
      <w:pPr>
        <w:pStyle w:val="Heading3"/>
      </w:pPr>
      <w:r>
        <w:t>MODULE H: DECARCERATION AND CAPACITY MANAGEMENT</w:t>
      </w:r>
    </w:p>
    <w:p>
      <w:pPr>
        <w:pStyle w:val="Normal"/>
      </w:pPr>
      <w:r>
        <w:t>Participating Parties may adopt:</w:t>
      </w:r>
    </w:p>
    <w:p>
      <w:pPr>
        <w:pStyle w:val="Normal"/>
      </w:pPr>
      <w:r>
        <w:t>1. correctional population caps; 2. diversion-first rules for defined non-violent offences; 3. requirements to consider alternatives before new prison construction; 4. targets for community-corrections capacity; 5. reclassification and earned-release measures; 6. medical or age-based capacity relief; 7. population-reduction strategies; and 8. infrastructure modernization linked to humane capacity planning.</w:t>
      </w:r>
    </w:p>
    <w:p>
      <w:pPr>
        <w:pStyle w:val="Normal"/>
      </w:pPr>
      <w:r>
        <w:t>Nothing in this Module establishes a trilateral numerical prison-population target.</w:t>
      </w:r>
    </w:p>
    <w:p>
      <w:pPr>
        <w:pStyle w:val="Heading1"/>
      </w:pPr>
      <w:bookmarkStart w:id="902501" w:name="_Toc300002500"/>
      <w:r>
        <w:t>ANNEX CH-B: NATIONAL IMPLEMENTATION AND EXPERIMENTATION SAFE HARBOR</w:t>
      </w:r>
      <w:bookmarkEnd w:id="902501"/>
    </w:p>
    <w:p>
      <w:pPr>
        <w:pStyle w:val="Normal"/>
      </w:pPr>
      <w:r>
        <w:t>CH-B.1. Purpose</w:t>
      </w:r>
    </w:p>
    <w:p>
      <w:pPr>
        <w:pStyle w:val="Normal"/>
      </w:pPr>
      <w:r>
        <w:t>The Parties recognize that many correctional innovations are better tested through national, state, provincial, territorial, local, Indigenous, facility- level, or pilot implementation than encoded directly as treaty mandates.</w:t>
      </w:r>
    </w:p>
    <w:p>
      <w:pPr>
        <w:pStyle w:val="Normal"/>
      </w:pPr>
      <w:r>
        <w:t>CH-B.2. Safe-Harbor Topics</w:t>
      </w:r>
    </w:p>
    <w:p>
      <w:pPr>
        <w:pStyle w:val="Normal"/>
      </w:pPr>
      <w:r>
        <w:t>The following may be pursued without becoming mandatory treaty obligations:</w:t>
      </w:r>
    </w:p>
    <w:p>
      <w:pPr>
        <w:pStyle w:val="Normal"/>
      </w:pPr>
      <w:r>
        <w:t>(a) personal tablets or particular digital devices; (b) body-worn camera models and deployment ratios; (c) fixed correctional staffing ratios; (d) exact dietary menus, menu cycles, ingredient ratios, or food-choice counts; (e) fixed mental-health bed percentages; (f) particular recreation amenities; (g) solar, recycling, composting, prison-garden, or green-building programs; (h) specific national spending appropriations; (i) named domestic bills or legislative packages; (j) specified prison-construction counts; (k) named domestic reentry programs; (l) particular parole-board structures; (m) exact release fractions; (n) specific classification instruments; and (o) other country-specific experiments not necessary to satisfy Package CA.</w:t>
      </w:r>
    </w:p>
    <w:p>
      <w:pPr>
        <w:pStyle w:val="Normal"/>
      </w:pPr>
      <w:r>
        <w:t>CH-B.3. Innovation Without Regression</w:t>
      </w:r>
    </w:p>
    <w:p>
      <w:pPr>
        <w:pStyle w:val="Normal"/>
      </w:pPr>
      <w:r>
        <w:t>A Party may experiment with different delivery models, technologies, contracting arrangements, or institutional designs, provided that experimentation does not reduce compliance with the Mandatory Custodial Dignity Floor.</w:t>
      </w:r>
    </w:p>
    <w:p>
      <w:pPr>
        <w:pStyle w:val="Heading1"/>
      </w:pPr>
      <w:bookmarkStart w:id="902502" w:name="_Toc300002501"/>
      <w:r>
        <w:t>PACKAGE CJ: IMPLEMENTATION, REVIEW, AND CURE</w:t>
      </w:r>
      <w:bookmarkEnd w:id="902502"/>
    </w:p>
    <w:p>
      <w:pPr>
        <w:pStyle w:val="Heading2"/>
      </w:pPr>
      <w:bookmarkStart w:id="902503" w:name="_Toc300002502"/>
      <w:r>
        <w:t>CJ-1. Initial Implementation Review</w:t>
      </w:r>
      <w:bookmarkEnd w:id="902503"/>
    </w:p>
    <w:p>
      <w:pPr>
        <w:pStyle w:val="Normal"/>
      </w:pPr>
      <w:r>
        <w:t>Within the implementation period established for this Package, each Party should identify:</w:t>
      </w:r>
    </w:p>
    <w:p>
      <w:pPr>
        <w:pStyle w:val="Normal"/>
      </w:pPr>
      <w:r>
        <w:t>(a) competent domestic authorities; (b) existing laws and policies substantially implementing the core; (c) material implementation gaps; (d) planned remediation where required; and (e) the Optional Modules, if any, in which it intends to participate.</w:t>
      </w:r>
    </w:p>
    <w:p>
      <w:pPr>
        <w:pStyle w:val="Heading2"/>
      </w:pPr>
      <w:bookmarkStart w:id="902504" w:name="_Toc300002503"/>
      <w:r>
        <w:t>CJ-2. Equivalence Rather Than Uniformity</w:t>
      </w:r>
      <w:bookmarkEnd w:id="902504"/>
    </w:p>
    <w:p>
      <w:pPr>
        <w:pStyle w:val="Normal"/>
      </w:pPr>
      <w:r>
        <w:t>A Party satisfies an obligation through any domestic measure or combination of measures that achieves substantially equivalent protection, even where legal terminology, institutional structure, or administrative procedure differs from that of another Party.</w:t>
      </w:r>
    </w:p>
    <w:p>
      <w:pPr>
        <w:pStyle w:val="Heading2"/>
      </w:pPr>
      <w:bookmarkStart w:id="902505" w:name="_Toc300002504"/>
      <w:r>
        <w:t>CJ-3. Priority-Cure Categories</w:t>
      </w:r>
      <w:bookmarkEnd w:id="902505"/>
    </w:p>
    <w:p>
      <w:pPr>
        <w:pStyle w:val="Normal"/>
      </w:pPr>
      <w:r>
        <w:t>The following should receive accelerated correction when credibly established:</w:t>
      </w:r>
    </w:p>
    <w:p>
      <w:pPr>
        <w:pStyle w:val="Normal"/>
      </w:pPr>
      <w:r>
        <w:t>(a) unsafe drinking water; (b) serious food deprivation; (c) denial of necessary emergency medical care; (d) dangerous temperature exposure; (e) systemic sexual abuse; (f) credible torture or cruel treatment; (g) unlawful prolonged restrictive housing; (h) grave disability-access failures creating serious health or safety risk; (i) systemic retaliation against complainants; and (j) dangerous fire or evacuation failures.</w:t>
      </w:r>
    </w:p>
    <w:p>
      <w:pPr>
        <w:pStyle w:val="Heading2"/>
      </w:pPr>
      <w:bookmarkStart w:id="902506" w:name="_Toc300002505"/>
      <w:r>
        <w:t>CJ-4. Cooperative Assistance</w:t>
      </w:r>
      <w:bookmarkEnd w:id="902506"/>
    </w:p>
    <w:p>
      <w:pPr>
        <w:pStyle w:val="Normal"/>
      </w:pPr>
      <w:r>
        <w:t>Where a deficiency results materially from capacity limitations rather than deliberate abuse, the Parties should prefer technical assistance, intergovernmental cooperation, training, clinical support, procurement cooperation, infrastructure expertise, or other corrective assistance before punitive measures.</w:t>
      </w:r>
    </w:p>
    <w:p>
      <w:pPr>
        <w:pStyle w:val="Heading2"/>
      </w:pPr>
      <w:bookmarkStart w:id="902507" w:name="_Toc300002506"/>
      <w:r>
        <w:t>CJ-5. No Prisoner-Based Retaliation</w:t>
      </w:r>
      <w:bookmarkEnd w:id="902507"/>
    </w:p>
    <w:p>
      <w:pPr>
        <w:pStyle w:val="Normal"/>
      </w:pPr>
      <w:r>
        <w:t>No dispute under this Package permits one Party to worsen the treatment of prisoners of another Party, deny consular communication otherwise required by law, reduce food or healthcare, or discriminate against prisoners because of nationality.</w:t>
      </w:r>
    </w:p>
    <w:p>
      <w:pPr>
        <w:pStyle w:val="Heading2"/>
      </w:pPr>
      <w:bookmarkStart w:id="902508" w:name="_Toc300002507"/>
      <w:r>
        <w:t>CJ-6. Review of Optional Modules</w:t>
      </w:r>
      <w:bookmarkEnd w:id="902508"/>
    </w:p>
    <w:p>
      <w:pPr>
        <w:pStyle w:val="Normal"/>
      </w:pPr>
      <w:r>
        <w:t>Participation in Optional Modules may be reviewed periodically to identify successful models, unintended consequences, fiscal burdens, safety effects, recidivism outcomes, family impacts, and opportunities for voluntary expansion.</w:t>
      </w:r>
    </w:p>
    <w:p>
      <w:pPr>
        <w:pStyle w:val="Heading2"/>
      </w:pPr>
      <w:bookmarkStart w:id="902509" w:name="_Toc300002508"/>
      <w:r>
        <w:t>CJ-7. Relationship to Other Rights</w:t>
      </w:r>
      <w:bookmarkEnd w:id="902509"/>
    </w:p>
    <w:p>
      <w:pPr>
        <w:pStyle w:val="Normal"/>
      </w:pPr>
      <w:r>
        <w:t>Nothing in Packages CA, CB, or CC shall be interpreted to authorize conduct inconsistent with independently applicable constitutional protections, Indigenous rights, criminal-procedure guarantees, labour protections, anti-discrimination law, humanitarian obligations, or international human-rights obligations binding upon the Party concerned.</w:t>
      </w:r>
    </w:p>
    <w:p>
      <w:pPr>
        <w:pStyle w:val="Heading1"/>
      </w:pPr>
      <w:bookmarkStart w:id="902510" w:name="_Toc300002509"/>
      <w:r>
        <w:t>PACKAGE CK: CUSTODIAL RIGHTS ADVERSARIAL-REVIEW HARDENING AND CONFORMING PROVISIONS</w:t>
      </w:r>
      <w:bookmarkEnd w:id="902510"/>
    </w:p>
    <w:p>
      <w:pPr>
        <w:pStyle w:val="Normal"/>
      </w:pPr>
      <w:r>
        <w:t>CK-1. Governing Effect. This Package supplements Packages CH, CI, CJ and Annexes CH-A and CH-B. Where a provision below is more specific, it governs the corresponding custodial subject. Nothing in this Package creates a separate tribunal, secretariat, inspection bureaucracy, or retaliation schedule.</w:t>
      </w:r>
    </w:p>
    <w:p>
      <w:pPr>
        <w:pStyle w:val="Heading2"/>
      </w:pPr>
      <w:bookmarkStart w:id="902511" w:name="_Toc300002510"/>
      <w:r>
        <w:t>CK-2. JUVENILES</w:t>
      </w:r>
      <w:bookmarkEnd w:id="902511"/>
    </w:p>
    <w:p>
      <w:pPr>
        <w:pStyle w:val="Normal"/>
      </w:pPr>
      <w:r>
        <w:t>2. Where a child or young person is held under juvenile-justice, child- protection, criminal, immigration, or comparable authority, this Package operates only as a minimum backstop. Any more protective child-specific rule under this Agreement, domestic law, or an applicable international obligation shall govern to the extent of inconsistency.</w:t>
      </w:r>
    </w:p>
    <w:p>
      <w:pPr>
        <w:pStyle w:val="Normal"/>
      </w:pPr>
      <w:r>
        <w:t>4. Nothing in this Package shall be interpreted to reduce age-specific safeguards, separation requirements, education rights, family protections, developmental protections, or best-interests requirements otherwise applicable to children.</w:t>
      </w:r>
    </w:p>
    <w:p>
      <w:pPr>
        <w:pStyle w:val="Heading2"/>
      </w:pPr>
      <w:bookmarkStart w:id="902512" w:name="_Toc300002511"/>
      <w:r>
        <w:t>CK-3. PRIVATE CONTRACTORS</w:t>
      </w:r>
      <w:bookmarkEnd w:id="902512"/>
    </w:p>
    <w:p>
      <w:pPr>
        <w:pStyle w:val="Normal"/>
      </w:pPr>
      <w:r>
        <w:t>3. To the extent permitted by domestic law, new or renewed material custodial contracts should preserve governmental access to records, incident reporting, inspection, healthcare-performance information, and other information reasonably necessary to verify compliance with this Package.</w:t>
      </w:r>
    </w:p>
    <w:p>
      <w:pPr>
        <w:pStyle w:val="Normal"/>
      </w:pPr>
      <w:r>
        <w:t>4. Commercial confidentiality shall not be used to conceal a grave custodial abuse or systemic failure, subject to lawful protection of security-sensitive, personal, medical, and legitimately proprietary information.</w:t>
      </w:r>
    </w:p>
    <w:p>
      <w:pPr>
        <w:pStyle w:val="Heading2"/>
      </w:pPr>
      <w:bookmarkStart w:id="902513" w:name="_Toc300002512"/>
      <w:r>
        <w:t>CK-4. SOLITARY / RESTRICTIVE HOUSING</w:t>
      </w:r>
      <w:bookmarkEnd w:id="902513"/>
    </w:p>
    <w:p>
      <w:pPr>
        <w:pStyle w:val="Normal"/>
      </w:pPr>
      <w:r>
        <w:t>(c) "meaningful human contact" requires direct interpersonal interaction of a nature and duration capable of providing genuine social contact and shall not be satisfied solely by surveillance, meal delivery, shouted communication through a closed door, or other fleeting custodial transactions.</w:t>
      </w:r>
    </w:p>
    <w:p>
      <w:pPr>
        <w:pStyle w:val="Normal"/>
      </w:pPr>
      <w:r>
        <w:t>5. In determining whether confinement is prolonged or materially continuous, reviewers shall consider the totality of actual conditions, including repeated or alternating periods of near-total isolation, nominal releases too brief to restore ordinary social contact, and transfers between substantially equivalent restrictive regimes.</w:t>
      </w:r>
    </w:p>
    <w:p>
      <w:pPr>
        <w:pStyle w:val="Normal"/>
      </w:pPr>
      <w:r>
        <w:t>6. Ordinary protective custody shall be administered, so far as reasonably possible, through conditions less restrictive than solitary confinement.</w:t>
      </w:r>
    </w:p>
    <w:p>
      <w:pPr>
        <w:pStyle w:val="Heading2"/>
      </w:pPr>
      <w:bookmarkStart w:id="902514" w:name="_Toc300002513"/>
      <w:r>
        <w:t>CK-5. EMERGENCY AUTHORITY</w:t>
      </w:r>
      <w:bookmarkEnd w:id="902514"/>
    </w:p>
    <w:p>
      <w:pPr>
        <w:pStyle w:val="Normal"/>
      </w:pPr>
      <w:r>
        <w:t>2. The longer an emergency restriction continues, the greater the required specificity of justification, frequency of review, consideration of less restrictive alternatives, and documentation of steps toward restoration.</w:t>
      </w:r>
    </w:p>
    <w:p>
      <w:pPr>
        <w:pStyle w:val="Normal"/>
      </w:pPr>
      <w:r>
        <w:t>3. Systemic understaffing, ordinary budget pressure, routine maintenance backlogs, or chronic administrative inconvenience shall not by themselves constitute a continuing emergency.</w:t>
      </w:r>
    </w:p>
    <w:p>
      <w:pPr>
        <w:pStyle w:val="Heading2"/>
      </w:pPr>
      <w:bookmarkStart w:id="902515" w:name="_Toc300002514"/>
      <w:r>
        <w:t>CK-6. HEALTHCARE</w:t>
      </w:r>
      <w:bookmarkEnd w:id="902515"/>
    </w:p>
    <w:p>
      <w:pPr>
        <w:pStyle w:val="Normal"/>
      </w:pPr>
      <w:r>
        <w:t>5. Clinical judgment concerning diagnosis, treatment, medication, emergency referral, and medical confidentiality shall be exercised by appropriately qualified health professionals. Legitimate security requirements may shape the manner of delivery but shall not be used to falsify or override a clinical decision for a non-clinical punitive purpose.</w:t>
      </w:r>
    </w:p>
    <w:p>
      <w:pPr>
        <w:pStyle w:val="Normal"/>
      </w:pPr>
      <w:r>
        <w:t>6. Healthcare personnel shall not be required to participate in torture, punitive medical deprivation, falsification of medical records, or medical clearance designed merely to legitimize otherwise prohibited abuse.</w:t>
      </w:r>
    </w:p>
    <w:p>
      <w:pPr>
        <w:pStyle w:val="Heading2"/>
      </w:pPr>
      <w:bookmarkStart w:id="902516" w:name="_Toc300002515"/>
      <w:r>
        <w:t>CK-7. FAMILY CONTACT</w:t>
      </w:r>
      <w:bookmarkEnd w:id="902516"/>
    </w:p>
    <w:p>
      <w:pPr>
        <w:pStyle w:val="Normal"/>
      </w:pPr>
      <w:r>
        <w:t>4. Nothing in this Article requires contact with a person whom the prisoner does not wish to contact or overrides victim-protection, no-contact, child- protection, domestic-violence, witness-protection, or comparable lawful orders.</w:t>
      </w:r>
    </w:p>
    <w:p>
      <w:pPr>
        <w:pStyle w:val="Heading2"/>
      </w:pPr>
      <w:bookmarkStart w:id="902517" w:name="_Toc300002516"/>
      <w:r>
        <w:t>CK-8. DATA AND TRANSPARENCY</w:t>
      </w:r>
      <w:bookmarkEnd w:id="902517"/>
    </w:p>
    <w:p>
      <w:pPr>
        <w:pStyle w:val="Normal"/>
      </w:pPr>
      <w:r>
        <w:t>4. A Party should not knowingly manipulate definitions, reporting periods, facility classifications, or custodial labels principally to conceal a systemic condition otherwise reportable under this Package.</w:t>
      </w:r>
    </w:p>
    <w:p>
      <w:pPr>
        <w:pStyle w:val="Normal"/>
      </w:pPr>
      <w:r>
        <w:t>5. Where materially different national definitions prevent direct comparison, the Parties should publish or exchange sufficient methodological notes to avoid false equivalence.</w:t>
      </w:r>
    </w:p>
    <w:p>
      <w:pPr>
        <w:pStyle w:val="Heading2"/>
      </w:pPr>
      <w:bookmarkStart w:id="902518" w:name="_Toc300002517"/>
      <w:r>
        <w:t>CK-9. FEDERALISM</w:t>
      </w:r>
      <w:bookmarkEnd w:id="902518"/>
    </w:p>
    <w:p>
      <w:pPr>
        <w:pStyle w:val="Normal"/>
      </w:pPr>
      <w:r>
        <w:t>3. Where implementation materially depends upon a subnational authority, the Party shall use the constitutionally available measures reasonably within its competence, which may include legislation, funding conditions, agreements, incentives, reporting, intergovernmental coordination, litigation positions, technical assistance, or other lawful mechanisms appropriate to its system.</w:t>
      </w:r>
    </w:p>
    <w:p>
      <w:pPr>
        <w:pStyle w:val="Normal"/>
      </w:pPr>
      <w:r>
        <w:t>5. Constitutional division of powers affects the means of implementation but does not permit a Party to misrepresent a known systemic deficiency as having been cured. Intergovernmental review shall take genuine constitutional limits into account when assessing reasonable efforts, timelines, and remedies.</w:t>
      </w:r>
    </w:p>
    <w:p>
      <w:pPr>
        <w:pStyle w:val="Heading2"/>
      </w:pPr>
      <w:bookmarkStart w:id="902519" w:name="_Toc300002518"/>
      <w:r>
        <w:t>CK-10. ENFORCEMENT</w:t>
      </w:r>
      <w:bookmarkEnd w:id="902519"/>
    </w:p>
    <w:p>
      <w:pPr>
        <w:pStyle w:val="Normal"/>
      </w:pPr>
      <w:r>
        <w:t>CH-44. Relationship to Existing Compliance Architecture</w:t>
      </w:r>
    </w:p>
    <w:p>
      <w:pPr>
        <w:pStyle w:val="Normal"/>
      </w:pPr>
      <w:r>
        <w:t>1. Compliance concerns under this Package shall use the existing consultation, verification, cure, Cothrom, dispute-settlement, human-rights, and grave-abuse mechanisms of this Agreement to the extent those mechanisms are applicable.</w:t>
      </w:r>
    </w:p>
    <w:p>
      <w:pPr>
        <w:pStyle w:val="Normal"/>
      </w:pPr>
      <w:r>
        <w:t>2. This Package does not establish a second standing tribunal, secretariat, inspection bureaucracy, retaliation schedule, or parallel dispute-settlement track.</w:t>
      </w:r>
    </w:p>
    <w:p>
      <w:pPr>
        <w:pStyle w:val="Normal"/>
      </w:pPr>
      <w:r>
        <w:t>3. In applying existing mechanisms to custodial conditions, decision-makers shall distinguish: (a) isolated operational error; (b) serious facility-level deficiency; (c) persistent or systemic failure; (d) deliberate non-compliance; and (e) grave abuse.</w:t>
      </w:r>
    </w:p>
    <w:p>
      <w:pPr>
        <w:pStyle w:val="Normal"/>
      </w:pPr>
      <w:r>
        <w:t>CH-45. Cure-Oriented Application</w:t>
      </w:r>
    </w:p>
    <w:p>
      <w:pPr>
        <w:pStyle w:val="Normal"/>
      </w:pPr>
      <w:r>
        <w:t>1. Except where existing NAESTMA grave-abuse procedures permit expedited action, the ordinary sequence shall emphasize notice, evidence, response, verification, a reasonable cure opportunity, and restoration.</w:t>
      </w:r>
    </w:p>
    <w:p>
      <w:pPr>
        <w:pStyle w:val="Normal"/>
      </w:pPr>
      <w:r>
        <w:t>2. Corrective measures should be tailored to the custodial deficiency and may include medical intervention, infrastructure repair, staffing correction, training, investigation, discipline, contractor remediation, policy change, monitoring, or other targeted action.</w:t>
      </w:r>
    </w:p>
    <w:p>
      <w:pPr>
        <w:pStyle w:val="Normal"/>
      </w:pPr>
      <w:r>
        <w:t>3. Existing NAESTMA economic step-back or earn-back mechanisms shall not be interpreted to authorize degradation of individual prisoner treatment or withholding of the non-derogable protections in CH-43.</w:t>
      </w:r>
    </w:p>
    <w:p>
      <w:pPr>
        <w:pStyle w:val="Normal"/>
      </w:pPr>
      <w:r>
        <w:t>4. Generalized punishment of unrelated industries is disfavoured as a remedy for a custodial-conditions dispute where a targeted rights-preserving remedy is reasonably available under this Agreement.</w:t>
      </w:r>
    </w:p>
    <w:p>
      <w:pPr>
        <w:pStyle w:val="Normal"/>
      </w:pPr>
      <w:r>
        <w:t>CH-46. Grave Abuse</w:t>
      </w:r>
    </w:p>
    <w:p>
      <w:pPr>
        <w:pStyle w:val="Normal"/>
      </w:pPr>
      <w:r>
        <w:t>Credible allegations of torture, disappearance, deliberate starvation, deliberate denial of life-saving medical care, systematic sexual abuse, trafficking, unlawful killing, or comparable grave abuse shall be referred to the Agreement's existing expedited human-rights or grave-abuse machinery rather than creating a new custodial-specific tribunal.</w:t>
      </w:r>
    </w:p>
    <w:p>
      <w:pPr>
        <w:pStyle w:val="Heading2"/>
      </w:pPr>
      <w:bookmarkStart w:id="902520" w:name="_Toc300002519"/>
      <w:r>
        <w:t>CK-11. REMEDIES</w:t>
      </w:r>
      <w:bookmarkEnd w:id="902520"/>
    </w:p>
    <w:p>
      <w:pPr>
        <w:pStyle w:val="Normal"/>
      </w:pPr>
      <w:r>
        <w:t>3. No remedy, countermeasure, suspension, pause, step-back, snapback, or earn- back mechanism under this Agreement shall intentionally worsen the custody, food, water, healthcare, safety, legal access, or basic living conditions of an individual person.</w:t>
      </w:r>
    </w:p>
    <w:p>
      <w:pPr>
        <w:pStyle w:val="Heading2"/>
      </w:pPr>
      <w:bookmarkStart w:id="902521" w:name="_Toc300002520"/>
      <w:r>
        <w:t>CK-12. STAFF SAFETY</w:t>
      </w:r>
      <w:bookmarkEnd w:id="902521"/>
    </w:p>
    <w:p>
      <w:pPr>
        <w:pStyle w:val="Normal"/>
      </w:pPr>
      <w:r>
        <w:t>4. Correctional staff shall have access to lawful mechanisms for reporting unsafe staffing, corruption, trafficking, serious violence risks, unlawful orders, or systemic safety deficiencies without unlawful retaliation.</w:t>
      </w:r>
    </w:p>
    <w:p>
      <w:pPr>
        <w:pStyle w:val="Normal"/>
      </w:pPr>
      <w:r>
        <w:t>5. Nothing in this Package diminishes lawful disciplinary authority over staff misconduct or lawful command authority necessary for secure institutional operation.</w:t>
      </w:r>
    </w:p>
    <w:p>
      <w:pPr>
        <w:pStyle w:val="Heading2"/>
      </w:pPr>
      <w:bookmarkStart w:id="902522" w:name="_Toc300002521"/>
      <w:r>
        <w:t>CK-13. CROSS-BORDER TRANSFER: CONSENT / LAW REMAINS DOMESTIC</w:t>
      </w:r>
      <w:bookmarkEnd w:id="902522"/>
    </w:p>
    <w:p>
      <w:pPr>
        <w:pStyle w:val="Normal"/>
      </w:pPr>
      <w:r>
        <w:t>4. Nothing in this Package creates an independent right to international transfer, repatriation, or transfer between correctional systems. Such transfers remain governed by applicable domestic law, treaties, judicial orders, and consent requirements.</w:t>
      </w:r>
    </w:p>
    <w:p>
      <w:pPr>
        <w:pStyle w:val="Heading2"/>
      </w:pPr>
      <w:bookmarkStart w:id="902523" w:name="_Toc300002522"/>
      <w:r>
        <w:t>CK-14. DEATHS IN CUSTODY: FAMILY NOTIFICATION</w:t>
      </w:r>
      <w:bookmarkEnd w:id="902523"/>
    </w:p>
    <w:p>
      <w:pPr>
        <w:pStyle w:val="Normal"/>
      </w:pPr>
      <w:r>
        <w:t>4. Following a death in custody, authorities shall provide timely notification to the appropriate family, representative, or other person as required by domestic law, subject to legitimate investigative and identification needs.</w:t>
      </w:r>
    </w:p>
    <w:p>
      <w:pPr>
        <w:pStyle w:val="Heading2"/>
      </w:pPr>
      <w:bookmarkStart w:id="902524" w:name="_Toc300002523"/>
      <w:r>
        <w:t>CK-15. RELIGION</w:t>
      </w:r>
      <w:bookmarkEnd w:id="902524"/>
    </w:p>
    <w:p>
      <w:pPr>
        <w:pStyle w:val="Normal"/>
      </w:pPr>
      <w:r>
        <w:t>4. Restrictions on religious or spiritual practice shall be based on legitimate security, safety, equality, health, or operational considerations and shall not be imposed merely because a belief is unpopular.</w:t>
      </w:r>
    </w:p>
    <w:p>
      <w:pPr>
        <w:pStyle w:val="Heading2"/>
      </w:pPr>
      <w:bookmarkStart w:id="902525" w:name="_Toc300002524"/>
      <w:r>
        <w:t>CK-16. ACCESSIBILITY</w:t>
      </w:r>
      <w:bookmarkEnd w:id="902525"/>
    </w:p>
    <w:p>
      <w:pPr>
        <w:pStyle w:val="Normal"/>
      </w:pPr>
      <w:r>
        <w:t>4. Where a prisoner cannot meaningfully understand a critical medical, legal, disciplinary, evacuation, or safety instruction because of disability, authorities shall use a reasonably effective accessible means of communication.</w:t>
      </w:r>
    </w:p>
    <w:p>
      <w:pPr>
        <w:pStyle w:val="Heading2"/>
      </w:pPr>
      <w:bookmarkStart w:id="902526" w:name="_Toc300002525"/>
      <w:r>
        <w:t>CK-17. SECURITY INTELLIGENCE</w:t>
      </w:r>
      <w:bookmarkEnd w:id="902526"/>
    </w:p>
    <w:p>
      <w:pPr>
        <w:pStyle w:val="Normal"/>
      </w:pPr>
      <w:r>
        <w:t>2. Intelligence concerning gangs, organized crime, extortion, trafficking, or violence may support classification and protective measures, but serious long-term adverse restrictions should not rest solely on knowingly unreliable information where meaningful review is practicable.</w:t>
      </w:r>
    </w:p>
    <w:p>
      <w:pPr>
        <w:pStyle w:val="Heading2"/>
      </w:pPr>
      <w:bookmarkStart w:id="902527" w:name="_Toc300002526"/>
      <w:r>
        <w:t>CK-18. NO UNCOMPENSATED FRONT-LOADING: EXPLICIT EXCLUSION</w:t>
      </w:r>
      <w:bookmarkEnd w:id="902527"/>
    </w:p>
    <w:p>
      <w:pPr>
        <w:pStyle w:val="Normal"/>
      </w:pPr>
      <w:r>
        <w:t>4. The Mandatory Custodial Dignity Floor is not a paired commercial concession for purposes of the No Uncompensated Front-Loading architecture. Compliance with fundamental custodial protections shall not be suspended pending delivery of an economic benefit by another Party.</w:t>
      </w:r>
    </w:p>
    <w:p>
      <w:pPr>
        <w:pStyle w:val="Heading2"/>
      </w:pPr>
      <w:bookmarkStart w:id="902528" w:name="_Toc300002527"/>
      <w:r>
        <w:t>CK-19. Optional Annex Safeguards</w:t>
      </w:r>
      <w:bookmarkEnd w:id="902528"/>
    </w:p>
    <w:p>
      <w:pPr>
        <w:pStyle w:val="Normal"/>
      </w:pPr>
      <w:r>
        <w:t>Participation in an Optional Advanced Correctional Reform Module shall identify the domestic model adopted. Optional sentencing or release reforms preserve lawful victim-notification, public-safety, judicial and appellate procedures; electronic monitoring should account for privacy, technical error and disproportionate cost; no age, diagnosis or time-served criterion creates automatic release; Indigenous modules remain subject to applicable Indigenous rights, consultation, consent and self-government arrangements; no adult custodial preference overrides a child's safety or best interests; and no Party is required to release a person whom a competent domestic authority lawfully determines presents an unmanageable serious public-safety risk merely to satisfy a capacity target.</w:t>
      </w:r>
    </w:p>
    <w:p>
      <w:pPr>
        <w:pStyle w:val="Heading2"/>
      </w:pPr>
      <w:bookmarkStart w:id="902529" w:name="_Toc300002528"/>
      <w:r>
        <w:t>CK-20. Existing-Architecture Integration</w:t>
      </w:r>
      <w:bookmarkEnd w:id="902529"/>
    </w:p>
    <w:p>
      <w:pPr>
        <w:pStyle w:val="Normal"/>
      </w:pPr>
      <w:r>
        <w:t>Custodial compliance shall use existing NAESTMA consultation, verification, cure, Cothrom, human-rights, labour, privacy, grave-abuse, step-back/earn-back and dispute-settlement architecture to the extent applicable. Package BS remains the specialized civil-immigration custody framework; Packages BW and BX remain the principal general human-rights and grave-abuse architecture; Chapter 23 governs labour and forced-labour issues; and the No Uncompensated Front-Loading architecture shall not be applied to suspend the Mandatory Custodial Dignity Floor.</w:t>
      </w:r>
    </w:p>
    <w:p>
      <w:pPr>
        <w:pStyle w:val="Heading2"/>
      </w:pPr>
      <w:bookmarkStart w:id="902530" w:name="_Toc300002529"/>
      <w:r>
        <w:t>CK-21. Trilateral Parity and Non-Stigmatization</w:t>
      </w:r>
      <w:bookmarkEnd w:id="902530"/>
    </w:p>
    <w:p>
      <w:pPr>
        <w:pStyle w:val="Normal"/>
      </w:pPr>
      <w:r>
        <w:t>Packages CH through CK apply on a facially equal basis to Canada, Mexico and the United States. Country-specific correctional history, legislation, programs, or source proposals create no presumption that one Party is more abusive, less compliant, or subject to a special enforcement track. Country-specific innovations belong in domestic implementation schedules or voluntary modules unless all Parties expressly agree otherwise.</w:t>
      </w:r>
    </w:p>
    <w:p>
      <w:pPr>
        <w:pStyle w:val="Heading2"/>
      </w:pPr>
      <w:bookmarkStart w:id="902531" w:name="_Toc300002530"/>
      <w:r>
        <w:t>CK-22. Integrated Governing Principle</w:t>
      </w:r>
      <w:bookmarkEnd w:id="902531"/>
    </w:p>
    <w:p>
      <w:pPr>
        <w:pStyle w:val="Normal"/>
      </w:pPr>
      <w:r>
        <w:t>Punishment may lawfully deprive a person of liberty. It does not authorize starvation, medical abandonment, torture, deliberate degradation, unsafe custody, or the use of fundamental human dignity as commercial leverage. The Parties preserve sovereign authority over criminal law and corrections while maintaining this common minimum floor.</w:t>
      </w:r>
    </w:p>
    <w:p>
      <w:pPr>
        <w:pStyle w:val="Heading1"/>
      </w:pPr>
      <w:bookmarkStart w:id="902532" w:name="_Toc300002531"/>
      <w:r>
        <w:t>PACKAGE CL: NORTH AMERICAN HUMAN DIGNITY, EQUALITY AND RIGHTS FRAMEWORK</w:t>
      </w:r>
      <w:bookmarkEnd w:id="902532"/>
    </w:p>
    <w:p>
      <w:pPr>
        <w:pStyle w:val="Heading2"/>
      </w:pPr>
      <w:bookmarkStart w:id="902533" w:name="_Toc300002532"/>
      <w:r>
        <w:t>PHASE-1 HUMAN-RIGHTS INTEGRATION: 384 HARDENED PROVISION SLOTS</w:t>
      </w:r>
      <w:bookmarkEnd w:id="902533"/>
    </w:p>
    <w:p>
      <w:pPr>
        <w:pStyle w:val="Normal"/>
      </w:pPr>
      <w:r>
        <w:t>Status. This Package consolidates the Phase-1 human-rights integration into operative, flexible and genuinely optional architecture. It supplements existing NAESTMA labour, migration, asylum, Indigenous, privacy, environmental, public-health and custodial protections; preserves stronger rights; respects federalism and competent authority; creates no implied private cause of action; and does not exhaust future human-rights subjects.</w:t>
      </w:r>
    </w:p>
    <w:p>
      <w:pPr>
        <w:pStyle w:val="Heading2"/>
      </w:pPr>
      <w:bookmarkStart w:id="902534" w:name="_Toc300002533"/>
      <w:r>
        <w:t>CL-1. Purpose, Character and Relationship to Existing Architecture</w:t>
      </w:r>
      <w:bookmarkEnd w:id="902534"/>
    </w:p>
    <w:p>
      <w:pPr>
        <w:pStyle w:val="Normal"/>
      </w:pPr>
      <w:r>
        <w:t>1. The Parties establish a reciprocal North American human-rights floor for treaty-linked governmental action and covered economic activity, while preserving each Party's constitutional structure, democratic authority, federalism, competent institutions and ability to maintain or adopt stronger protections.</w:t>
      </w:r>
    </w:p>
    <w:p>
      <w:pPr>
        <w:pStyle w:val="Normal"/>
      </w:pPr>
      <w:r>
        <w:t>2. This Package supplements, and does not displace, the more specific labour, migration, asylum, privacy, Indigenous, environmental, public-health, custody, corrections and dispute-settlement protections elsewhere in this Agreement.</w:t>
      </w:r>
    </w:p>
    <w:p>
      <w:pPr>
        <w:pStyle w:val="Normal"/>
      </w:pPr>
      <w:r>
        <w:t>3. Where a more specific provision affords stronger or more tailored protection, that provision governs to the extent of the greater or more specific protection. Nothing in this Package permits double recovery or stacked punishment for the same injury.</w:t>
      </w:r>
    </w:p>
    <w:p>
      <w:pPr>
        <w:pStyle w:val="Normal"/>
      </w:pPr>
      <w:r>
        <w:t>4. Human beings are not trade collateral. No tariff, procurement, border, security, migration, emergency, suspension, step-back, earn-back or other economic remedy may intentionally suspend or degrade the non-derogable humane-treatment or accrued procedural floor protected by this Agreement.</w:t>
      </w:r>
    </w:p>
    <w:p>
      <w:pPr>
        <w:pStyle w:val="Heading2"/>
      </w:pPr>
      <w:bookmarkStart w:id="902535" w:name="_Toc300002534"/>
      <w:r>
        <w:t>CL-2. Stronger Rights, Federalism and No Implied Private Cause</w:t>
      </w:r>
      <w:bookmarkEnd w:id="902535"/>
    </w:p>
    <w:p>
      <w:pPr>
        <w:pStyle w:val="Normal"/>
      </w:pPr>
      <w:r>
        <w:t>1. Nothing in this Package defines applicable constitutional, treaty, Indigenous, statutory or international protections downward. A Party may maintain or adopt stronger protection.</w:t>
      </w:r>
    </w:p>
    <w:p>
      <w:pPr>
        <w:pStyle w:val="Normal"/>
      </w:pPr>
      <w:r>
        <w:t>2. Obligations shall be implemented through the authorities constitutionally competent to act. Functionally equivalent lawful implementation is permitted, and no provision implies an unauthorized transfer of legislative or adjudicative competence.</w:t>
      </w:r>
    </w:p>
    <w:p>
      <w:pPr>
        <w:pStyle w:val="Normal"/>
      </w:pPr>
      <w:r>
        <w:t>3. Unless an Article expressly provides otherwise, this Package creates no private right of action, new criminal offence, automatic damages entitlement, corporate veil-piercing rule or direct civil liability of a private person.</w:t>
      </w:r>
    </w:p>
    <w:p>
      <w:pPr>
        <w:pStyle w:val="Heading2"/>
      </w:pPr>
      <w:bookmarkStart w:id="902536" w:name="_Toc300002535"/>
      <w:r>
        <w:t>CL-3. Objective Exceptions, Evidence and Review</w:t>
      </w:r>
      <w:bookmarkEnd w:id="902536"/>
    </w:p>
    <w:p>
      <w:pPr>
        <w:pStyle w:val="Normal"/>
      </w:pPr>
      <w:r>
        <w:t>1. A rights-limiting exception shall be connected to a legitimate objective, supported by an articulable basis appropriate to the context, proportionate to that objective, non-discriminatory in design and application, and no broader or longer than reasonably necessary.</w:t>
      </w:r>
    </w:p>
    <w:p>
      <w:pPr>
        <w:pStyle w:val="Normal"/>
      </w:pPr>
      <w:r>
        <w:t>2. Material adverse findings shall identify the evidentiary basis and, where relevant, the applicable causation or attribution test. A materially affected authority or person shall have a meaningful opportunity to respond, subject to lawful protection of confidential, personal, security-sensitive and privileged information.</w:t>
      </w:r>
    </w:p>
    <w:p>
      <w:pPr>
        <w:pStyle w:val="Normal"/>
      </w:pPr>
      <w:r>
        <w:t>3. Security or emergency invocation does not erase humane treatment, record preservation, appropriate notice, independent review, periodic necessity review, sunset or restoration obligations that otherwise form part of the applicable non-derogable procedural core.</w:t>
      </w:r>
    </w:p>
    <w:p>
      <w:pPr>
        <w:pStyle w:val="Heading2"/>
      </w:pPr>
      <w:bookmarkStart w:id="902537" w:name="_Toc300002536"/>
      <w:r>
        <w:t>CL-4. Remedy, Optionality, Data and Anti-Gaming</w:t>
      </w:r>
      <w:bookmarkEnd w:id="902537"/>
    </w:p>
    <w:p>
      <w:pPr>
        <w:pStyle w:val="Normal"/>
      </w:pPr>
      <w:r>
        <w:t>1. The ordinary remedy is the narrowest sufficient cure. Correction and restoration shall be preferred over unrelated retaliation, and no remedy may intentionally worsen the treatment or protected status of the persons whose rights are at issue.</w:t>
      </w:r>
    </w:p>
    <w:p>
      <w:pPr>
        <w:pStyle w:val="Normal"/>
      </w:pPr>
      <w:r>
        <w:t>2. Refusal to adopt, renew, fund or participate in an optional human-rights module is not noncompliance and may not reduce unrelated treaty benefits, trigger retaliation, alter mandatory-core rights or support an adverse inference.</w:t>
      </w:r>
    </w:p>
    <w:p>
      <w:pPr>
        <w:pStyle w:val="Normal"/>
      </w:pPr>
      <w:r>
        <w:t>3. Human-rights monitoring shall collect only information reasonably necessary for its stated purpose, use aggregation or de-identification where practicable, protect sensitive-status information, and prohibit secondary discriminatory or enforcement use inconsistent with the collection purpose.</w:t>
      </w:r>
    </w:p>
    <w:p>
      <w:pPr>
        <w:pStyle w:val="Normal"/>
      </w:pPr>
      <w:r>
        <w:t>4. Relabeling, outsourcing, proxy action, serial temporary measures, algorithmic substitution or institutional reassignment does not establish compliance where materially equivalent prohibited harm continues.</w:t>
      </w:r>
    </w:p>
    <w:p>
      <w:pPr>
        <w:pStyle w:val="Heading2"/>
      </w:pPr>
      <w:bookmarkStart w:id="902538" w:name="_Toc300002537"/>
      <w:r>
        <w:t>CL-5. Accessibility, Participation, Continuity and Non-Exhaustion</w:t>
      </w:r>
      <w:bookmarkEnd w:id="902538"/>
    </w:p>
    <w:p>
      <w:pPr>
        <w:pStyle w:val="Normal"/>
      </w:pPr>
      <w:r>
        <w:t>1. Treaty-linked notices, complaint channels, consultations and review procedures shall be reasonably accessible, including disability accommodation and understandable language or interpretation where necessary to make a protection meaningful.</w:t>
      </w:r>
    </w:p>
    <w:p>
      <w:pPr>
        <w:pStyle w:val="Normal"/>
      </w:pPr>
      <w:r>
        <w:t>2. Workers, migrants, Indigenous participants, complainants, witnesses, advocates and other protected participants may use treaty-linked complaint or consultation channels without retaliation, without shielding fraud, threats or obstruction.</w:t>
      </w:r>
    </w:p>
    <w:p>
      <w:pPr>
        <w:pStyle w:val="Normal"/>
      </w:pPr>
      <w:r>
        <w:t>3. Review, amendment, suspension or withdrawal shall not retroactively erase responsibility already accrued or strand a person in a procedurally impossible position. Appropriate transition rules shall preserve pending cases, records and accrued procedural protection.</w:t>
      </w:r>
    </w:p>
    <w:p>
      <w:pPr>
        <w:pStyle w:val="Normal"/>
      </w:pPr>
      <w:r>
        <w:t>4. This Package is not an exhaustive catalogue of human rights. Later agreed protections concerning children, seniors, education, health or other subjects may supplement it, and omission from this Package creates no inference that an independently applicable domestic or international right does not exist.</w:t>
      </w:r>
    </w:p>
    <w:p>
      <w:pPr>
        <w:pStyle w:val="Heading2"/>
      </w:pPr>
      <w:bookmarkStart w:id="902539" w:name="_Toc300002538"/>
      <w:r>
        <w:t>CL-6. UNIVERSAL HUMAN DIGNITY, EQUALITY, DUE PROCESS AND REMEDY</w:t>
      </w:r>
      <w:bookmarkEnd w:id="902539"/>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HR4-001. Treaty-Wide Nondiscrimination Guarantee: Scope and Protected Interest</w:t>
      </w:r>
    </w:p>
    <w:p>
      <w:pPr>
        <w:pStyle w:val="Normal"/>
      </w:pPr>
      <w:r>
        <w:t>For purposes of this Framework, the Parties recognize the protected interest addressed by Treaty-Wide Nondiscrimination Guarantee and shall apply this Article to treaty-linked governmental measures, programs, administration and covered economic activity where that interest is materially affected. The Parties shall cover direct, indirect, perceived, associative and intersectional discrimination where legally appropriate, with objective and proportionate exceptions narrowly construed.</w:t>
      </w:r>
    </w:p>
    <w:p>
      <w:pPr>
        <w:pStyle w:val="Heading3"/>
      </w:pPr>
      <w:r>
        <w:t>HR4-002. Treaty-Wide Nondiscrimination Guarantee: Minimum Reciprocal Floor</w:t>
      </w:r>
    </w:p>
    <w:p>
      <w:pPr>
        <w:pStyle w:val="Normal"/>
      </w:pPr>
      <w:r>
        <w:t>Each Party shall maintain, through its constitutionally competent authorities and lawful institutions, a minimum effective floor under which it shall cover direct, indirect, perceived, associative and intersectional discrimination where legally appropriate, with objective and proportionate exceptions narrowly construed. A Party may use different legal or institutional means where those means provide functionally equivalent or stronger protection.</w:t>
      </w:r>
    </w:p>
    <w:p>
      <w:pPr>
        <w:pStyle w:val="Heading3"/>
      </w:pPr>
      <w:r>
        <w:t>HR4-003. Treaty-Wide Nondiscrimination Guarantee: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HR4-004. Treaty-Wide Nondiscrimination Guarantee: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HR4-005. Due Process And Fair Procedure: Scope and Protected Interest</w:t>
      </w:r>
    </w:p>
    <w:p>
      <w:pPr>
        <w:pStyle w:val="Normal"/>
      </w:pPr>
      <w:r>
        <w:t>For purposes of this Framework, the Parties recognize the protected interest addressed by Due Process And Fair Procedure and shall apply this Article to treaty-linked governmental measures, programs, administration and covered economic activity where that interest is materially affected. The Parties shall require notice, a meaningful opportunity to respond, impartial decision-making, reasons where appropriate, and access to review proportionate to the decision at stake.</w:t>
      </w:r>
    </w:p>
    <w:p>
      <w:pPr>
        <w:pStyle w:val="Heading3"/>
      </w:pPr>
      <w:r>
        <w:t>HR4-006. Due Process And Fair Procedure: Minimum Reciprocal Floor</w:t>
      </w:r>
    </w:p>
    <w:p>
      <w:pPr>
        <w:pStyle w:val="Normal"/>
      </w:pPr>
      <w:r>
        <w:t>Each Party shall maintain, through its constitutionally competent authorities and lawful institutions, a minimum effective floor under which it shall require notice, a meaningful opportunity to respond, impartial decision-making, reasons where appropriate, and access to review proportionate to the decision at stake. A Party may use different legal or institutional means where those means provide functionally equivalent or stronger protection.</w:t>
      </w:r>
    </w:p>
    <w:p>
      <w:pPr>
        <w:pStyle w:val="Heading3"/>
      </w:pPr>
      <w:r>
        <w:t>HR4-007. Due Process And Fair Procedure: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HR4-008. Access To Remedy And Grievance: Scope and Protected Interest</w:t>
      </w:r>
    </w:p>
    <w:p>
      <w:pPr>
        <w:pStyle w:val="Normal"/>
      </w:pPr>
      <w:r>
        <w:t>For purposes of this Framework, the Parties recognize the protected interest addressed by Access To Remedy And Grievance and shall apply this Article to treaty-linked governmental measures, programs, administration and covered economic activity where that interest is materially affected. The Parties shall provide accessible complaint channels, anti-retaliation protection, timely investigation and remedies capable of correcting the underlying harm.</w:t>
      </w:r>
    </w:p>
    <w:p>
      <w:pPr>
        <w:pStyle w:val="Heading3"/>
      </w:pPr>
      <w:r>
        <w:t>HR4-009. Access To Remedy And Grievance: Minimum Reciprocal Floor</w:t>
      </w:r>
    </w:p>
    <w:p>
      <w:pPr>
        <w:pStyle w:val="Normal"/>
      </w:pPr>
      <w:r>
        <w:t>Each Party shall maintain, through its constitutionally competent authorities and lawful institutions, a minimum effective floor under which it shall provide accessible complaint channels, anti-retaliation protection, timely investigation and remedies capable of correcting the underlying harm. A Party may use different legal or institutional means where those means provide functionally equivalent or stronger protection.</w:t>
      </w:r>
    </w:p>
    <w:p>
      <w:pPr>
        <w:pStyle w:val="Heading3"/>
      </w:pPr>
      <w:r>
        <w:t>HR4-010. Access To Remedy And Grievance: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HR4-011. Legal Information, Counsel And Interpretation Access: Scope and Protected Interest</w:t>
      </w:r>
    </w:p>
    <w:p>
      <w:pPr>
        <w:pStyle w:val="Normal"/>
      </w:pPr>
      <w:r>
        <w:t>For purposes of this Framework, the Parties recognize the protected interest addressed by Legal Information, Counsel And Interpretation Access and shall apply this Article to treaty-linked governmental measures, programs, administration and covered economic activity where that interest is materially affected. The Parties shall ensure understandable information, interpretation or accessible communication, and access to legal assistance where required by applicable law or the seriousness of the proceeding.</w:t>
      </w:r>
    </w:p>
    <w:p>
      <w:pPr>
        <w:pStyle w:val="Heading3"/>
      </w:pPr>
      <w:r>
        <w:t>HR4-012. Legal Information, Counsel And Interpretation Access: Minimum Reciprocal Floor</w:t>
      </w:r>
    </w:p>
    <w:p>
      <w:pPr>
        <w:pStyle w:val="Normal"/>
      </w:pPr>
      <w:r>
        <w:t>Each Party shall maintain, through its constitutionally competent authorities and lawful institutions, a minimum effective floor under which it shall ensure understandable information, interpretation or accessible communication, and access to legal assistance where required by applicable law or the seriousness of the proceeding. A Party may use different legal or institutional means where those means provide functionally equivalent or stronger protection.</w:t>
      </w:r>
    </w:p>
    <w:p>
      <w:pPr>
        <w:pStyle w:val="Heading3"/>
      </w:pPr>
      <w:r>
        <w:t>HR4-013. Legal Information, Counsel And Interpretation Access: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HR4-014. Family Unity And Caregiving Protection: Scope and Protected Interest</w:t>
      </w:r>
    </w:p>
    <w:p>
      <w:pPr>
        <w:pStyle w:val="Normal"/>
      </w:pPr>
      <w:r>
        <w:t>For purposes of this Framework, the Parties recognize the protected interest addressed by Family Unity And Caregiving Protection and shall apply this Article to treaty-linked governmental measures, programs, administration and covered economic activity where that interest is materially affected. The Parties shall avoid arbitrary family separation and discrimination based on caregiving status while preserving lawful child-protection, safety and judicial decision-making.</w:t>
      </w:r>
    </w:p>
    <w:p>
      <w:pPr>
        <w:pStyle w:val="Heading3"/>
      </w:pPr>
      <w:r>
        <w:t>HR4-015. Family Unity And Caregiving Protection: Minimum Reciprocal Floor</w:t>
      </w:r>
    </w:p>
    <w:p>
      <w:pPr>
        <w:pStyle w:val="Normal"/>
      </w:pPr>
      <w:r>
        <w:t>Each Party shall maintain, through its constitutionally competent authorities and lawful institutions, a minimum effective floor under which it shall avoid arbitrary family separation and discrimination based on caregiving status while preserving lawful child-protection, safety and judicial decision-making. A Party may use different legal or institutional means where those means provide functionally equivalent or stronger protection.</w:t>
      </w:r>
    </w:p>
    <w:p>
      <w:pPr>
        <w:pStyle w:val="Heading3"/>
      </w:pPr>
      <w:r>
        <w:t>HR4-016. Family Unity And Caregiving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HR4-017. Protection From Violence, Harassment And Abuse: Scope and Protected Interest</w:t>
      </w:r>
    </w:p>
    <w:p>
      <w:pPr>
        <w:pStyle w:val="Normal"/>
      </w:pPr>
      <w:r>
        <w:t>For purposes of this Framework, the Parties recognize the protected interest addressed by Protection From Violence, Harassment And Abuse and shall apply this Article to treaty-linked governmental measures, programs, administration and covered economic activity where that interest is materially affected. The Parties shall require prevention, reporting, protection from retaliation, competent response and proportionate remedies, including for gender-based and identity-targeted harm.</w:t>
      </w:r>
    </w:p>
    <w:p>
      <w:pPr>
        <w:pStyle w:val="Heading3"/>
      </w:pPr>
      <w:r>
        <w:t>HR4-018. Protection From Violence, Harassment And Abuse: Minimum Reciprocal Floor</w:t>
      </w:r>
    </w:p>
    <w:p>
      <w:pPr>
        <w:pStyle w:val="Normal"/>
      </w:pPr>
      <w:r>
        <w:t>Each Party shall maintain, through its constitutionally competent authorities and lawful institutions, a minimum effective floor under which it shall require prevention, reporting, protection from retaliation, competent response and proportionate remedies, including for gender-based and identity-targeted harm. A Party may use different legal or institutional means where those means provide functionally equivalent or stronger protection.</w:t>
      </w:r>
    </w:p>
    <w:p>
      <w:pPr>
        <w:pStyle w:val="Heading3"/>
      </w:pPr>
      <w:r>
        <w:t>HR4-019. Protection From Violence, Harassment And Abuse: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HR4-020. Protection From Violence, Harassment And Abuse: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HR4-021. Stronger-Rights And Non-Derogation Savings: Scope and Protected Interest</w:t>
      </w:r>
    </w:p>
    <w:p>
      <w:pPr>
        <w:pStyle w:val="Normal"/>
      </w:pPr>
      <w:r>
        <w:t>For purposes of this Framework, the Parties recognize the protected interest addressed by Stronger-Rights And Non-Derogation Savings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HR4-022. Stronger-Rights And Non-Derogation Savings: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HR4-023. Stronger-Rights And Non-Derogation Savings: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0" w:name="_Toc300002539"/>
      <w:r>
        <w:t>CL-7. LABOUR AND WORKPLACE HUMAN RIGHTS</w:t>
      </w:r>
      <w:bookmarkEnd w:id="902540"/>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HR4-024. Freedom Of Association And Organizing: Scope and Protected Interest</w:t>
      </w:r>
    </w:p>
    <w:p>
      <w:pPr>
        <w:pStyle w:val="Normal"/>
      </w:pPr>
      <w:r>
        <w:t>For purposes of this Framework, the Parties recognize the protected interest addressed by Freedom Of Association And Organizing and shall apply this Article to treaty-linked governmental measures, programs, administration and covered economic activity where that interest is materially affected. The Parties shall protect the ability of workers to organize, join or refrain from joining organizations, communicate about workplace rights and act without interference, coercion or retaliation.</w:t>
      </w:r>
    </w:p>
    <w:p>
      <w:pPr>
        <w:pStyle w:val="Heading3"/>
      </w:pPr>
      <w:r>
        <w:t>HR4-025. Freedom Of Association And Organizing: Minimum Reciprocal Floor</w:t>
      </w:r>
    </w:p>
    <w:p>
      <w:pPr>
        <w:pStyle w:val="Normal"/>
      </w:pPr>
      <w:r>
        <w:t>Each Party shall maintain, through its constitutionally competent authorities and lawful institutions, a minimum effective floor under which it shall protect the ability of workers to organize, join or refrain from joining organizations, communicate about workplace rights and act without interference, coercion or retaliation. A Party may use different legal or institutional means where those means provide functionally equivalent or stronger protection.</w:t>
      </w:r>
    </w:p>
    <w:p>
      <w:pPr>
        <w:pStyle w:val="Heading3"/>
      </w:pPr>
      <w:r>
        <w:t>HR4-026. Freedom Of Association And Organizing: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HR4-027. Collective Bargaining And Authentic Representation: Scope and Protected Interest</w:t>
      </w:r>
    </w:p>
    <w:p>
      <w:pPr>
        <w:pStyle w:val="Normal"/>
      </w:pPr>
      <w:r>
        <w:t>For purposes of this Framework, the Parties recognize the protected interest addressed by Collective Bargaining And Authentic Representation and shall apply this Article to treaty-linked governmental measures, programs, administration and covered economic activity where that interest is materially affected. The Parties shall protect authentic worker representation, good-faith bargaining under domestic systems and safeguards against employer- or state-dominated representation.</w:t>
      </w:r>
    </w:p>
    <w:p>
      <w:pPr>
        <w:pStyle w:val="Heading3"/>
      </w:pPr>
      <w:r>
        <w:t>HR4-028. Collective Bargaining And Authentic Representation: Minimum Reciprocal Floor</w:t>
      </w:r>
    </w:p>
    <w:p>
      <w:pPr>
        <w:pStyle w:val="Normal"/>
      </w:pPr>
      <w:r>
        <w:t>Each Party shall maintain, through its constitutionally competent authorities and lawful institutions, a minimum effective floor under which it shall protect authentic worker representation, good-faith bargaining under domestic systems and safeguards against employer- or state-dominated representation. A Party may use different legal or institutional means where those means provide functionally equivalent or stronger protection.</w:t>
      </w:r>
    </w:p>
    <w:p>
      <w:pPr>
        <w:pStyle w:val="Heading3"/>
      </w:pPr>
      <w:r>
        <w:t>HR4-029. Collective Bargaining And Authentic Representation: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HR4-030. Forced-Labour And Child-Labour Prohibition: Scope and Protected Interest</w:t>
      </w:r>
    </w:p>
    <w:p>
      <w:pPr>
        <w:pStyle w:val="Normal"/>
      </w:pPr>
      <w:r>
        <w:t>For purposes of this Framework, the Parties recognize the protected interest addressed by Forced-Labour And Child-Labour Prohibition and shall apply this Article to treaty-linked governmental measures, programs, administration and covered economic activity where that interest is materially affected. The Parties shall prohibit forced or compulsory labour and the worst forms of child labour, support traceability and remediation, and avoid punishing victims for coercion imposed upon them.</w:t>
      </w:r>
    </w:p>
    <w:p>
      <w:pPr>
        <w:pStyle w:val="Heading3"/>
      </w:pPr>
      <w:r>
        <w:t>HR4-031. Forced-Labour And Child-Labour Prohibition: Minimum Reciprocal Floor</w:t>
      </w:r>
    </w:p>
    <w:p>
      <w:pPr>
        <w:pStyle w:val="Normal"/>
      </w:pPr>
      <w:r>
        <w:t>Each Party shall maintain, through its constitutionally competent authorities and lawful institutions, a minimum effective floor under which it shall prohibit forced or compulsory labour and the worst forms of child labour, support traceability and remediation, and avoid punishing victims for coercion imposed upon them. A Party may use different legal or institutional means where those means provide functionally equivalent or stronger protection.</w:t>
      </w:r>
    </w:p>
    <w:p>
      <w:pPr>
        <w:pStyle w:val="Heading3"/>
      </w:pPr>
      <w:r>
        <w:t>HR4-032. Forced-Labour And Child-Labour Prohibition: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HR4-033. Workplace Nondiscrimination And Equal Opportunity: Scope and Protected Interest</w:t>
      </w:r>
    </w:p>
    <w:p>
      <w:pPr>
        <w:pStyle w:val="Normal"/>
      </w:pPr>
      <w:r>
        <w:t>For purposes of this Framework, the Parties recognize the protected interest addressed by Workplace Nondiscrimination And Equal Opportunity and shall apply this Article to treaty-linked governmental measures, programs, administration and covered economic activity where that interest is materially affected. The Parties shall cover direct, indirect, perceived, associative and intersectional discrimination where legally appropriate, with objective and proportionate exceptions narrowly construed.</w:t>
      </w:r>
    </w:p>
    <w:p>
      <w:pPr>
        <w:pStyle w:val="Heading3"/>
      </w:pPr>
      <w:r>
        <w:t>HR4-034. Workplace Nondiscrimination And Equal Opportunity: Minimum Reciprocal Floor</w:t>
      </w:r>
    </w:p>
    <w:p>
      <w:pPr>
        <w:pStyle w:val="Normal"/>
      </w:pPr>
      <w:r>
        <w:t>Each Party shall maintain, through its constitutionally competent authorities and lawful institutions, a minimum effective floor under which it shall cover direct, indirect, perceived, associative and intersectional discrimination where legally appropriate, with objective and proportionate exceptions narrowly construed. A Party may use different legal or institutional means where those means provide functionally equivalent or stronger protection.</w:t>
      </w:r>
    </w:p>
    <w:p>
      <w:pPr>
        <w:pStyle w:val="Heading3"/>
      </w:pPr>
      <w:r>
        <w:t>HR4-035. Workplace Nondiscrimination And Equal Opportunity: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HR4-036. Workplace Nondiscrimination And Equal Opportunity: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HR4-037. Workplace Nondiscrimination And Equal Opportunity: Evidence, Monitoring and Cure</w:t>
      </w:r>
    </w:p>
    <w:p>
      <w:pPr>
        <w:pStyle w:val="Normal"/>
      </w:pPr>
      <w:r>
        <w:t>Material findings under this mechanism shall rest on a stated evidentiary basis and, where relevant, a defined causation or attribution test. Affected authorities shall have an opportunity to respond and correct demonstrable error. Where a deficiency is established, the ordinary response shall be the narrowest sufficient cure, followed by verification and restoration.</w:t>
      </w:r>
    </w:p>
    <w:p>
      <w:pPr>
        <w:pStyle w:val="Heading3"/>
      </w:pPr>
      <w:r>
        <w:t>HR4-038. Sexual Harassment And Gender-Based Workplace Violence: Scope and Protected Interest</w:t>
      </w:r>
    </w:p>
    <w:p>
      <w:pPr>
        <w:pStyle w:val="Normal"/>
      </w:pPr>
      <w:r>
        <w:t>For purposes of this Framework, the Parties recognize the protected interest addressed by Sexual Harassment And Gender-Based Workplace Violence and shall apply this Article to treaty-linked governmental measures, programs, administration and covered economic activity where that interest is materially affected. The Parties shall require prevention, reporting, protection from retaliation, competent response and proportionate remedies, including for gender-based and identity-targeted harm.</w:t>
      </w:r>
    </w:p>
    <w:p>
      <w:pPr>
        <w:pStyle w:val="Heading3"/>
      </w:pPr>
      <w:r>
        <w:t>HR4-039. Sexual Harassment And Gender-Based Workplace Violence: Minimum Reciprocal Floor</w:t>
      </w:r>
    </w:p>
    <w:p>
      <w:pPr>
        <w:pStyle w:val="Normal"/>
      </w:pPr>
      <w:r>
        <w:t>Each Party shall maintain, through its constitutionally competent authorities and lawful institutions, a minimum effective floor under which it shall require prevention, reporting, protection from retaliation, competent response and proportionate remedies, including for gender-based and identity-targeted harm. A Party may use different legal or institutional means where those means provide functionally equivalent or stronger protection.</w:t>
      </w:r>
    </w:p>
    <w:p>
      <w:pPr>
        <w:pStyle w:val="Heading3"/>
      </w:pPr>
      <w:r>
        <w:t>HR4-040. Sexual Harassment And Gender-Based Workplace Violence: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HR4-041. Occupational Health And Safety Floor: Scope and Protected Interest</w:t>
      </w:r>
    </w:p>
    <w:p>
      <w:pPr>
        <w:pStyle w:val="Normal"/>
      </w:pPr>
      <w:r>
        <w:t>For purposes of this Framework, the Parties recognize the protected interest addressed by Occupational Health And Safety Floor and shall apply this Article to treaty-linked governmental measures, programs, administration and covered economic activity where that interest is materially affected. The Parties shall preserve public-health and essential-service policy space, continuity during emergencies, non-discriminatory access where trade rules are implicated, and safeguards for privacy, safety and legitimate regulation.</w:t>
      </w:r>
    </w:p>
    <w:p>
      <w:pPr>
        <w:pStyle w:val="Heading3"/>
      </w:pPr>
      <w:r>
        <w:t>HR4-042. Occupational Health And Safety Floor: Minimum Reciprocal Floor</w:t>
      </w:r>
    </w:p>
    <w:p>
      <w:pPr>
        <w:pStyle w:val="Normal"/>
      </w:pPr>
      <w:r>
        <w:t>Each Party shall maintain, through its constitutionally competent authorities and lawful institutions, a minimum effective floor under which it shall preserve public-health and essential-service policy space, continuity during emergencies, non-discriminatory access where trade rules are implicated, and safeguards for privacy, safety and legitimate regulation. A Party may use different legal or institutional means where those means provide functionally equivalent or stronger protection.</w:t>
      </w:r>
    </w:p>
    <w:p>
      <w:pPr>
        <w:pStyle w:val="Heading3"/>
      </w:pPr>
      <w:r>
        <w:t>HR4-043. Occupational Health And Safety Floor: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HR4-044. Migrant And Temporary Worker Labour Parity: Scope and Protected Interest</w:t>
      </w:r>
    </w:p>
    <w:p>
      <w:pPr>
        <w:pStyle w:val="Normal"/>
      </w:pPr>
      <w:r>
        <w:t>For purposes of this Framework, the Parties recognize the protected interest addressed by Migrant And Temporary Worker Labour Parity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HR4-045. Migrant And Temporary Worker Labour Parity: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HR4-046. Migrant And Temporary Worker Labour Parity: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HR4-047. Recruitment Integrity And Document Control: Scope and Protected Interest</w:t>
      </w:r>
    </w:p>
    <w:p>
      <w:pPr>
        <w:pStyle w:val="Normal"/>
      </w:pPr>
      <w:r>
        <w:t>For purposes of this Framework, the Parties recognize the protected interest addressed by Recruitment Integrity And Document Control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HR4-048. Recruitment Integrity And Document Control: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HR4-049. Recruitment Integrity And Document Control: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HR4-050. Vulnerable-Sector Worker Coverage: Scope and Protected Interest</w:t>
      </w:r>
    </w:p>
    <w:p>
      <w:pPr>
        <w:pStyle w:val="Normal"/>
      </w:pPr>
      <w:r>
        <w:t>For purposes of this Framework, the Parties recognize the protected interest addressed by Vulnerable-Sector Worker Coverage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HR4-051. Vulnerable-Sector Worker Coverage: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HR4-052. Vulnerable-Sector Worker Coverage: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HR4-053. Worker Grievance, Inspection And Remedy Effectiveness: Scope and Protected Interest</w:t>
      </w:r>
    </w:p>
    <w:p>
      <w:pPr>
        <w:pStyle w:val="Normal"/>
      </w:pPr>
      <w:r>
        <w:t>For purposes of this Framework, the Parties recognize the protected interest addressed by Worker Grievance, Inspection And Remedy Effectiveness and shall apply this Article to treaty-linked governmental measures, programs, administration and covered economic activity where that interest is materially affected. The Parties shall provide accessible complaint channels, anti-retaliation protection, timely investigation and remedies capable of correcting the underlying harm.</w:t>
      </w:r>
    </w:p>
    <w:p>
      <w:pPr>
        <w:pStyle w:val="Heading3"/>
      </w:pPr>
      <w:r>
        <w:t>HR4-054. Worker Grievance, Inspection And Remedy Effectiveness: Minimum Reciprocal Floor</w:t>
      </w:r>
    </w:p>
    <w:p>
      <w:pPr>
        <w:pStyle w:val="Normal"/>
      </w:pPr>
      <w:r>
        <w:t>Each Party shall maintain, through its constitutionally competent authorities and lawful institutions, a minimum effective floor under which it shall provide accessible complaint channels, anti-retaliation protection, timely investigation and remedies capable of correcting the underlying harm. A Party may use different legal or institutional means where those means provide functionally equivalent or stronger protection.</w:t>
      </w:r>
    </w:p>
    <w:p>
      <w:pPr>
        <w:pStyle w:val="Heading3"/>
      </w:pPr>
      <w:r>
        <w:t>HR4-055. Worker Grievance, Inspection And Remedy Effectiveness: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1" w:name="_Toc300002540"/>
      <w:r>
        <w:t>CL-8. MIGRATION, ASYLUM AND BORDER-ADMINISTRATION RIGHTS</w:t>
      </w:r>
      <w:bookmarkEnd w:id="902541"/>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HR4-056. Individualized Immigration Enforcement: Scope and Protected Interest</w:t>
      </w:r>
    </w:p>
    <w:p>
      <w:pPr>
        <w:pStyle w:val="Normal"/>
      </w:pPr>
      <w:r>
        <w:t>For purposes of this Framework, the Parties recognize the protected interest addressed by Individualized Immigration Enforcement and shall apply this Article to treaty-linked governmental measures, programs, administration and covered economic activity where that interest is materially affected. The Parties shall favor individualized, evidence-based and reviewable enforcement over quota-driven, indiscriminate or discriminatory operations, while preserving lawful border and public-safety powers.</w:t>
      </w:r>
    </w:p>
    <w:p>
      <w:pPr>
        <w:pStyle w:val="Heading3"/>
      </w:pPr>
      <w:r>
        <w:t>HR4-057. Individualized Immigration Enforcement: Minimum Reciprocal Floor</w:t>
      </w:r>
    </w:p>
    <w:p>
      <w:pPr>
        <w:pStyle w:val="Normal"/>
      </w:pPr>
      <w:r>
        <w:t>Each Party shall maintain, through its constitutionally competent authorities and lawful institutions, a minimum effective floor under which it shall favor individualized, evidence-based and reviewable enforcement over quota-driven, indiscriminate or discriminatory operations, while preserving lawful border and public-safety powers. A Party may use different legal or institutional means where those means provide functionally equivalent or stronger protection.</w:t>
      </w:r>
    </w:p>
    <w:p>
      <w:pPr>
        <w:pStyle w:val="Heading3"/>
      </w:pPr>
      <w:r>
        <w:t>HR4-058. Individualized Immigration Enforcement: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HR4-059. Individualized Immigration Enforcement: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HR4-060. Individualized Immigration Enforcement: Evidence, Monitoring and Cure</w:t>
      </w:r>
    </w:p>
    <w:p>
      <w:pPr>
        <w:pStyle w:val="Normal"/>
      </w:pPr>
      <w:r>
        <w:t>Material findings under this mechanism shall rest on a stated evidentiary basis and, where relevant, a defined causation or attribution test. Affected authorities shall have an opportunity to respond and correct demonstrable error. Where a deficiency is established, the ordinary response shall be the narrowest sufficient cure, followed by verification and restoration.</w:t>
      </w:r>
    </w:p>
    <w:p>
      <w:pPr>
        <w:pStyle w:val="Heading3"/>
      </w:pPr>
      <w:r>
        <w:t>HR4-061. Non-Refoulement And Protection Against Return To Serious Harm: Scope and Protected Interest</w:t>
      </w:r>
    </w:p>
    <w:p>
      <w:pPr>
        <w:pStyle w:val="Normal"/>
      </w:pPr>
      <w:r>
        <w:t>For purposes of this Framework, the Parties recognize the protected interest addressed by Non-Refoulement And Protection Against Return To Serious Harm and shall apply this Article to treaty-linked governmental measures, programs, administration and covered economic activity where that interest is materially affected. The Parties shall prevent transfer or return where applicable law protects against persecution, torture or other serious harm, with individualized assessment and meaningful review.</w:t>
      </w:r>
    </w:p>
    <w:p>
      <w:pPr>
        <w:pStyle w:val="Heading3"/>
      </w:pPr>
      <w:r>
        <w:t>HR4-062. Non-Refoulement And Protection Against Return To Serious Harm: Minimum Reciprocal Floor</w:t>
      </w:r>
    </w:p>
    <w:p>
      <w:pPr>
        <w:pStyle w:val="Normal"/>
      </w:pPr>
      <w:r>
        <w:t>Each Party shall maintain, through its constitutionally competent authorities and lawful institutions, a minimum effective floor under which it shall prevent transfer or return where applicable law protects against persecution, torture or other serious harm, with individualized assessment and meaningful review. A Party may use different legal or institutional means where those means provide functionally equivalent or stronger protection.</w:t>
      </w:r>
    </w:p>
    <w:p>
      <w:pPr>
        <w:pStyle w:val="Heading3"/>
      </w:pPr>
      <w:r>
        <w:t>HR4-063. Non-Refoulement And Protection Against Return To Serious Harm: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HR4-064. Independent Asylum And Protection Adjudication: Scope and Protected Interest</w:t>
      </w:r>
    </w:p>
    <w:p>
      <w:pPr>
        <w:pStyle w:val="Normal"/>
      </w:pPr>
      <w:r>
        <w:t>For purposes of this Framework, the Parties recognize the protected interest addressed by Independent Asylum And Protection Adjudication and shall apply this Article to treaty-linked governmental measures, programs, administration and covered economic activity where that interest is materially affected. The Parties shall preserve independent protection determinations, access to evidence, interpretation, vulnerability-sensitive procedures and meaningful review.</w:t>
      </w:r>
    </w:p>
    <w:p>
      <w:pPr>
        <w:pStyle w:val="Heading3"/>
      </w:pPr>
      <w:r>
        <w:t>HR4-065. Independent Asylum And Protection Adjudication: Minimum Reciprocal Floor</w:t>
      </w:r>
    </w:p>
    <w:p>
      <w:pPr>
        <w:pStyle w:val="Normal"/>
      </w:pPr>
      <w:r>
        <w:t>Each Party shall maintain, through its constitutionally competent authorities and lawful institutions, a minimum effective floor under which it shall preserve independent protection determinations, access to evidence, interpretation, vulnerability-sensitive procedures and meaningful review. A Party may use different legal or institutional means where those means provide functionally equivalent or stronger protection.</w:t>
      </w:r>
    </w:p>
    <w:p>
      <w:pPr>
        <w:pStyle w:val="Heading3"/>
      </w:pPr>
      <w:r>
        <w:t>HR4-066. Independent Asylum And Protection Adjudication: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HR4-067. Gender/Sogiesc/Trafficking-Sensitive Protection Claims: Scope and Protected Interest</w:t>
      </w:r>
    </w:p>
    <w:p>
      <w:pPr>
        <w:pStyle w:val="Normal"/>
      </w:pPr>
      <w:r>
        <w:t>For purposes of this Framework, the Parties recognize the protected interest addressed by Gender/Sogiesc/Trafficking-Sensitive Protection Claims and shall apply this Article to treaty-linked governmental measures, programs, administration and covered economic activity where that interest is materially affected. The Parties shall separate victim protection from immigration or labour enforcement leverage and protect access to reporting, assistance and remedy.</w:t>
      </w:r>
    </w:p>
    <w:p>
      <w:pPr>
        <w:pStyle w:val="Heading3"/>
      </w:pPr>
      <w:r>
        <w:t>HR4-068. Gender/Sogiesc/Trafficking-Sensitive Protection Claims: Minimum Reciprocal Floor</w:t>
      </w:r>
    </w:p>
    <w:p>
      <w:pPr>
        <w:pStyle w:val="Normal"/>
      </w:pPr>
      <w:r>
        <w:t>Each Party shall maintain, through its constitutionally competent authorities and lawful institutions, a minimum effective floor under which it shall separate victim protection from immigration or labour enforcement leverage and protect access to reporting, assistance and remedy. A Party may use different legal or institutional means where those means provide functionally equivalent or stronger protection.</w:t>
      </w:r>
    </w:p>
    <w:p>
      <w:pPr>
        <w:pStyle w:val="Heading3"/>
      </w:pPr>
      <w:r>
        <w:t>HR4-069. Gender/Sogiesc/Trafficking-Sensitive Protection Claims: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HR4-070. Vulnerability Screening In Migration: Scope and Protected Interest</w:t>
      </w:r>
    </w:p>
    <w:p>
      <w:pPr>
        <w:pStyle w:val="Normal"/>
      </w:pPr>
      <w:r>
        <w:t>For purposes of this Framework, the Parties recognize the protected interest addressed by Vulnerability Screening In Migration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HR4-071. Vulnerability Screening In Migration: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HR4-072. Vulnerability Screening In Migration: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HR4-073. Family Unity In Migration Administration: Scope and Protected Interest</w:t>
      </w:r>
    </w:p>
    <w:p>
      <w:pPr>
        <w:pStyle w:val="Normal"/>
      </w:pPr>
      <w:r>
        <w:t>For purposes of this Framework, the Parties recognize the protected interest addressed by Family Unity In Migration Administration and shall apply this Article to treaty-linked governmental measures, programs, administration and covered economic activity where that interest is materially affected. The Parties shall avoid arbitrary family separation and discrimination based on caregiving status while preserving lawful child-protection, safety and judicial decision-making.</w:t>
      </w:r>
    </w:p>
    <w:p>
      <w:pPr>
        <w:pStyle w:val="Heading3"/>
      </w:pPr>
      <w:r>
        <w:t>HR4-074. Family Unity In Migration Administration: Minimum Reciprocal Floor</w:t>
      </w:r>
    </w:p>
    <w:p>
      <w:pPr>
        <w:pStyle w:val="Normal"/>
      </w:pPr>
      <w:r>
        <w:t>Each Party shall maintain, through its constitutionally competent authorities and lawful institutions, a minimum effective floor under which it shall avoid arbitrary family separation and discrimination based on caregiving status while preserving lawful child-protection, safety and judicial decision-making. A Party may use different legal or institutional means where those means provide functionally equivalent or stronger protection.</w:t>
      </w:r>
    </w:p>
    <w:p>
      <w:pPr>
        <w:pStyle w:val="Heading3"/>
      </w:pPr>
      <w:r>
        <w:t>HR4-075. Family Unity In Migration Administration: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HR4-076. Family Unity In Migration Administration: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HR4-077. Child-Sensitive Migration Safeguards: Scope and Protected Interest</w:t>
      </w:r>
    </w:p>
    <w:p>
      <w:pPr>
        <w:pStyle w:val="Normal"/>
      </w:pPr>
      <w:r>
        <w:t>For purposes of this Framework, the Parties recognize the protected interest addressed by Child-Sensitive Migration Safeguards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HR4-078. Child-Sensitive Migration Safeguards: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HR4-079. Child-Sensitive Migration Safeguards: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HR4-080. Child-Sensitive Migration Safeguards: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HR4-081. Trafficking-Victim Firewall: Scope and Protected Interest</w:t>
      </w:r>
    </w:p>
    <w:p>
      <w:pPr>
        <w:pStyle w:val="Normal"/>
      </w:pPr>
      <w:r>
        <w:t>For purposes of this Framework, the Parties recognize the protected interest addressed by Trafficking-Victim Firewall and shall apply this Article to treaty-linked governmental measures, programs, administration and covered economic activity where that interest is materially affected. The Parties shall separate victim protection from immigration or labour enforcement leverage and protect access to reporting, assistance and remedy.</w:t>
      </w:r>
    </w:p>
    <w:p>
      <w:pPr>
        <w:pStyle w:val="Heading3"/>
      </w:pPr>
      <w:r>
        <w:t>HR4-082. Trafficking-Victim Firewall: Minimum Reciprocal Floor</w:t>
      </w:r>
    </w:p>
    <w:p>
      <w:pPr>
        <w:pStyle w:val="Normal"/>
      </w:pPr>
      <w:r>
        <w:t>Each Party shall maintain, through its constitutionally competent authorities and lawful institutions, a minimum effective floor under which it shall separate victim protection from immigration or labour enforcement leverage and protect access to reporting, assistance and remedy. A Party may use different legal or institutional means where those means provide functionally equivalent or stronger protection.</w:t>
      </w:r>
    </w:p>
    <w:p>
      <w:pPr>
        <w:pStyle w:val="Heading3"/>
      </w:pPr>
      <w:r>
        <w:t>HR4-083. Trafficking-Victim Firewall: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HR4-084. Workplace Enforcement And Labour-Rights Firewall: Scope and Protected Interest</w:t>
      </w:r>
    </w:p>
    <w:p>
      <w:pPr>
        <w:pStyle w:val="Normal"/>
      </w:pPr>
      <w:r>
        <w:t>For purposes of this Framework, the Parties recognize the protected interest addressed by Workplace Enforcement And Labour-Rights Firewall and shall apply this Article to treaty-linked governmental measures, programs, administration and covered economic activity where that interest is materially affected. The Parties shall require necessity, proportionality, de-escalation where feasible, medical response, incident documentation and independent review of serious uses of force.</w:t>
      </w:r>
    </w:p>
    <w:p>
      <w:pPr>
        <w:pStyle w:val="Heading3"/>
      </w:pPr>
      <w:r>
        <w:t>HR4-085. Workplace Enforcement And Labour-Rights Firewall: Minimum Reciprocal Floor</w:t>
      </w:r>
    </w:p>
    <w:p>
      <w:pPr>
        <w:pStyle w:val="Normal"/>
      </w:pPr>
      <w:r>
        <w:t>Each Party shall maintain, through its constitutionally competent authorities and lawful institutions, a minimum effective floor under which it shall require necessity, proportionality, de-escalation where feasible, medical response, incident documentation and independent review of serious uses of force. A Party may use different legal or institutional means where those means provide functionally equivalent or stronger protection.</w:t>
      </w:r>
    </w:p>
    <w:p>
      <w:pPr>
        <w:pStyle w:val="Heading3"/>
      </w:pPr>
      <w:r>
        <w:t>HR4-086. Workplace Enforcement And Labour-Rights Firewall: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HR4-087. Workplace Enforcement And Labour-Rights Firewall: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HR4-088. Profiling And Discriminatory Targeting Prohibition: Scope and Protected Interest</w:t>
      </w:r>
    </w:p>
    <w:p>
      <w:pPr>
        <w:pStyle w:val="Normal"/>
      </w:pPr>
      <w:r>
        <w:t>For purposes of this Framework, the Parties recognize the protected interest addressed by Profiling And Discriminatory Targeting Prohibition and shall apply this Article to treaty-linked governmental measures, programs, administration and covered economic activity where that interest is materially affected. The Parties shall prohibit protected characteristics from serving as a sole or disguised proxy for risk and require material risk indicators, documentation and review for high-impact targeting.</w:t>
      </w:r>
    </w:p>
    <w:p>
      <w:pPr>
        <w:pStyle w:val="Heading3"/>
      </w:pPr>
      <w:r>
        <w:t>HR4-089. Profiling And Discriminatory Targeting Prohibition: Minimum Reciprocal Floor</w:t>
      </w:r>
    </w:p>
    <w:p>
      <w:pPr>
        <w:pStyle w:val="Normal"/>
      </w:pPr>
      <w:r>
        <w:t>Each Party shall maintain, through its constitutionally competent authorities and lawful institutions, a minimum effective floor under which it shall prohibit protected characteristics from serving as a sole or disguised proxy for risk and require material risk indicators, documentation and review for high-impact targeting. A Party may use different legal or institutional means where those means provide functionally equivalent or stronger protection.</w:t>
      </w:r>
    </w:p>
    <w:p>
      <w:pPr>
        <w:pStyle w:val="Heading3"/>
      </w:pPr>
      <w:r>
        <w:t>HR4-090. Profiling And Discriminatory Targeting Prohibition: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HR4-091. Immigration Legal Access And Language Assistance: Scope and Protected Interest</w:t>
      </w:r>
    </w:p>
    <w:p>
      <w:pPr>
        <w:pStyle w:val="Normal"/>
      </w:pPr>
      <w:r>
        <w:t>For purposes of this Framework, the Parties recognize the protected interest addressed by Immigration Legal Access And Language Assistance and shall apply this Article to treaty-linked governmental measures, programs, administration and covered economic activity where that interest is materially affected. The Parties shall ensure understandable information, interpretation or accessible communication, and access to legal assistance where required by applicable law or the seriousness of the proceeding.</w:t>
      </w:r>
    </w:p>
    <w:p>
      <w:pPr>
        <w:pStyle w:val="Heading3"/>
      </w:pPr>
      <w:r>
        <w:t>HR4-092. Immigration Legal Access And Language Assistance: Minimum Reciprocal Floor</w:t>
      </w:r>
    </w:p>
    <w:p>
      <w:pPr>
        <w:pStyle w:val="Normal"/>
      </w:pPr>
      <w:r>
        <w:t>Each Party shall maintain, through its constitutionally competent authorities and lawful institutions, a minimum effective floor under which it shall ensure understandable information, interpretation or accessible communication, and access to legal assistance where required by applicable law or the seriousness of the proceeding. A Party may use different legal or institutional means where those means provide functionally equivalent or stronger protection.</w:t>
      </w:r>
    </w:p>
    <w:p>
      <w:pPr>
        <w:pStyle w:val="Heading3"/>
      </w:pPr>
      <w:r>
        <w:t>HR4-093. Immigration Legal Access And Language Assistance: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HR4-094. Immigration Legal Access And Language Assistance: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HR4-095. Migration-Data Minimization And Sensitive-Service Firewall: Scope and Protected Interest</w:t>
      </w:r>
    </w:p>
    <w:p>
      <w:pPr>
        <w:pStyle w:val="Normal"/>
      </w:pPr>
      <w:r>
        <w:t>For purposes of this Framework, the Parties recognize the protected interest addressed by Migration-Data Minimization And Sensitive-Service Firewall and shall apply this Article to treaty-linked governmental measures, programs, administration and covered economic activity where that interest is materially affected. The Parties shall use necessity, purpose limitation, data minimization, security, retention limits, transparency, correction and independent oversight appropriate to the sensitivity and use of the information.</w:t>
      </w:r>
    </w:p>
    <w:p>
      <w:pPr>
        <w:pStyle w:val="Heading3"/>
      </w:pPr>
      <w:r>
        <w:t>HR4-096. Migration-Data Minimization And Sensitive-Service Firewall: Minimum Reciprocal Floor</w:t>
      </w:r>
    </w:p>
    <w:p>
      <w:pPr>
        <w:pStyle w:val="Normal"/>
      </w:pPr>
      <w:r>
        <w:t>Each Party shall maintain, through its constitutionally competent authorities and lawful institutions, a minimum effective floor under which it shall use necessity, purpose limitation, data minimization, security, retention limits, transparency, correction and independent oversight appropriate to the sensitivity and use of the information. A Party may use different legal or institutional means where those means provide functionally equivalent or stronger protection.</w:t>
      </w:r>
    </w:p>
    <w:p>
      <w:pPr>
        <w:pStyle w:val="Heading3"/>
      </w:pPr>
      <w:r>
        <w:t>HR4-097. Migration-Data Minimization And Sensitive-Service Firewall: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HR4-098. Transfer, Removal And Custody Continuity Safeguards: Scope and Protected Interest</w:t>
      </w:r>
    </w:p>
    <w:p>
      <w:pPr>
        <w:pStyle w:val="Normal"/>
      </w:pPr>
      <w:r>
        <w:t>For purposes of this Framework, the Parties recognize the protected interest addressed by Transfer, Removal And Custody Continuity Safeguards and shall apply this Article to treaty-linked governmental measures, programs, administration and covered economic activity where that interest is materially affected. The Parties shall protect food, water, sanitation, safe temperature, sleep, healthcare, communication, legal access, disability accommodation, safety and meaningful review without converting custody standards into a trade concession.</w:t>
      </w:r>
    </w:p>
    <w:p>
      <w:pPr>
        <w:pStyle w:val="Heading3"/>
      </w:pPr>
      <w:r>
        <w:t>HR4-099. Transfer, Removal And Custody Continuity Safeguards: Minimum Reciprocal Floor</w:t>
      </w:r>
    </w:p>
    <w:p>
      <w:pPr>
        <w:pStyle w:val="Normal"/>
      </w:pPr>
      <w:r>
        <w:t>Each Party shall maintain, through its constitutionally competent authorities and lawful institutions, a minimum effective floor under which it shall protect food, water, sanitation, safe temperature, sleep, healthcare, communication, legal access, disability accommodation, safety and meaningful review without converting custody standards into a trade concession. A Party may use different legal or institutional means where those means provide functionally equivalent or stronger protection.</w:t>
      </w:r>
    </w:p>
    <w:p>
      <w:pPr>
        <w:pStyle w:val="Heading3"/>
      </w:pPr>
      <w:r>
        <w:t>HR4-100. Transfer, Removal And Custody Continuity Safeguards: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2" w:name="_Toc300002541"/>
      <w:r>
        <w:t>CL-9. CUSTODY, DETENTION AND CORRECTIONS RIGHTS</w:t>
      </w:r>
      <w:bookmarkEnd w:id="902542"/>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HR4-101. Humane Custody Floor: Scope and Protected Interest</w:t>
      </w:r>
    </w:p>
    <w:p>
      <w:pPr>
        <w:pStyle w:val="Normal"/>
      </w:pPr>
      <w:r>
        <w:t>For purposes of this Framework, the Parties recognize the protected interest addressed by Humane Custody Floor and shall apply this Article to treaty-linked governmental measures, programs, administration and covered economic activity where that interest is materially affected. The Parties shall protect food, water, sanitation, safe temperature, sleep, healthcare, communication, legal access, disability accommodation, safety and meaningful review without converting custody standards into a trade concession.</w:t>
      </w:r>
    </w:p>
    <w:p>
      <w:pPr>
        <w:pStyle w:val="Heading3"/>
      </w:pPr>
      <w:r>
        <w:t>HR4-102. Humane Custody Floor: Minimum Reciprocal Floor</w:t>
      </w:r>
    </w:p>
    <w:p>
      <w:pPr>
        <w:pStyle w:val="Normal"/>
      </w:pPr>
      <w:r>
        <w:t>Each Party shall maintain, through its constitutionally competent authorities and lawful institutions, a minimum effective floor under which it shall protect food, water, sanitation, safe temperature, sleep, healthcare, communication, legal access, disability accommodation, safety and meaningful review without converting custody standards into a trade concession. A Party may use different legal or institutional means where those means provide functionally equivalent or stronger protection.</w:t>
      </w:r>
    </w:p>
    <w:p>
      <w:pPr>
        <w:pStyle w:val="Heading3"/>
      </w:pPr>
      <w:r>
        <w:t>HR4-103. Humane Custody Floor: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HR4-104. Humane Custody Floor: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HR4-105. Children, Pregnancy, Disability And Vulnerability In Custody: Scope and Protected Interest</w:t>
      </w:r>
    </w:p>
    <w:p>
      <w:pPr>
        <w:pStyle w:val="Normal"/>
      </w:pPr>
      <w:r>
        <w:t>For purposes of this Framework, the Parties recognize the protected interest addressed by Children, Pregnancy, Disability And Vulnerability In Custody and shall apply this Article to treaty-linked governmental measures, programs, administration and covered economic activity where that interest is materially affected. The Parties shall protect food, water, sanitation, safe temperature, sleep, healthcare, communication, legal access, disability accommodation, safety and meaningful review without converting custody standards into a trade concession.</w:t>
      </w:r>
    </w:p>
    <w:p>
      <w:pPr>
        <w:pStyle w:val="Heading3"/>
      </w:pPr>
      <w:r>
        <w:t>HR4-106. Children, Pregnancy, Disability And Vulnerability In Custody: Minimum Reciprocal Floor</w:t>
      </w:r>
    </w:p>
    <w:p>
      <w:pPr>
        <w:pStyle w:val="Normal"/>
      </w:pPr>
      <w:r>
        <w:t>Each Party shall maintain, through its constitutionally competent authorities and lawful institutions, a minimum effective floor under which it shall protect food, water, sanitation, safe temperature, sleep, healthcare, communication, legal access, disability accommodation, safety and meaningful review without converting custody standards into a trade concession. A Party may use different legal or institutional means where those means provide functionally equivalent or stronger protection.</w:t>
      </w:r>
    </w:p>
    <w:p>
      <w:pPr>
        <w:pStyle w:val="Heading3"/>
      </w:pPr>
      <w:r>
        <w:t>HR4-107. Children, Pregnancy, Disability And Vulnerability In Custody: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HR4-108. Solitary/Restrictive-Housing Safeguards: Scope and Protected Interest</w:t>
      </w:r>
    </w:p>
    <w:p>
      <w:pPr>
        <w:pStyle w:val="Normal"/>
      </w:pPr>
      <w:r>
        <w:t>For purposes of this Framework, the Parties recognize the protected interest addressed by Solitary/Restrictive-Housing Safeguards and shall apply this Article to treaty-linked governmental measures, programs, administration and covered economic activity where that interest is materially affected. The Parties shall protect food, water, sanitation, safe temperature, sleep, healthcare, communication, legal access, disability accommodation, safety and meaningful review without converting custody standards into a trade concession.</w:t>
      </w:r>
    </w:p>
    <w:p>
      <w:pPr>
        <w:pStyle w:val="Heading3"/>
      </w:pPr>
      <w:r>
        <w:t>HR4-109. Solitary/Restrictive-Housing Safeguards: Minimum Reciprocal Floor</w:t>
      </w:r>
    </w:p>
    <w:p>
      <w:pPr>
        <w:pStyle w:val="Normal"/>
      </w:pPr>
      <w:r>
        <w:t>Each Party shall maintain, through its constitutionally competent authorities and lawful institutions, a minimum effective floor under which it shall protect food, water, sanitation, safe temperature, sleep, healthcare, communication, legal access, disability accommodation, safety and meaningful review without converting custody standards into a trade concession. A Party may use different legal or institutional means where those means provide functionally equivalent or stronger protection.</w:t>
      </w:r>
    </w:p>
    <w:p>
      <w:pPr>
        <w:pStyle w:val="Heading3"/>
      </w:pPr>
      <w:r>
        <w:t>HR4-110. Solitary/Restrictive-Housing Safeguards: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HR4-111. Custodial Healthcare Independence And Continuity: Scope and Protected Interest</w:t>
      </w:r>
    </w:p>
    <w:p>
      <w:pPr>
        <w:pStyle w:val="Normal"/>
      </w:pPr>
      <w:r>
        <w:t>For purposes of this Framework, the Parties recognize the protected interest addressed by Custodial Healthcare Independence And Continuity and shall apply this Article to treaty-linked governmental measures, programs, administration and covered economic activity where that interest is materially affected. The Parties shall protect clinical independence, continuity of necessary care, medical confidentiality and transfer of essential records without allowing non-clinical punishment to dictate treatment.</w:t>
      </w:r>
    </w:p>
    <w:p>
      <w:pPr>
        <w:pStyle w:val="Heading3"/>
      </w:pPr>
      <w:r>
        <w:t>HR4-112. Custodial Healthcare Independence And Continuity: Minimum Reciprocal Floor</w:t>
      </w:r>
    </w:p>
    <w:p>
      <w:pPr>
        <w:pStyle w:val="Normal"/>
      </w:pPr>
      <w:r>
        <w:t>Each Party shall maintain, through its constitutionally competent authorities and lawful institutions, a minimum effective floor under which it shall protect clinical independence, continuity of necessary care, medical confidentiality and transfer of essential records without allowing non-clinical punishment to dictate treatment. A Party may use different legal or institutional means where those means provide functionally equivalent or stronger protection.</w:t>
      </w:r>
    </w:p>
    <w:p>
      <w:pPr>
        <w:pStyle w:val="Heading3"/>
      </w:pPr>
      <w:r>
        <w:t>HR4-113. Custodial Healthcare Independence And Continuity: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3" w:name="_Toc300002542"/>
      <w:r>
        <w:t>CL-10. INDIGENOUS RIGHTS AND ECONOMIC PARTICIPATION</w:t>
      </w:r>
      <w:bookmarkEnd w:id="902543"/>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HR4-114. Indigenous-Rights Non-Derogation And Savings: Scope and Protected Interest</w:t>
      </w:r>
    </w:p>
    <w:p>
      <w:pPr>
        <w:pStyle w:val="Normal"/>
      </w:pPr>
      <w:r>
        <w:t>For purposes of this Framework, the Parties recognize the protected interest addressed by Indigenous-Rights Non-Derogation And Savings and shall apply this Article to treaty-linked governmental measures, programs, administration and covered economic activity where that interest is materially affected. The Parties shall preserve stronger constitutional, treaty, inherent, statutory and otherwise applicable Indigenous rights, avoid defining rights downward, and require culturally appropriate participation where the treaty materially affects protected interests.</w:t>
      </w:r>
    </w:p>
    <w:p>
      <w:pPr>
        <w:pStyle w:val="Heading3"/>
      </w:pPr>
      <w:r>
        <w:t>HR4-115. Indigenous-Rights Non-Derogation And Savings: Minimum Reciprocal Floor</w:t>
      </w:r>
    </w:p>
    <w:p>
      <w:pPr>
        <w:pStyle w:val="Normal"/>
      </w:pPr>
      <w:r>
        <w:t>Each Party shall maintain, through its constitutionally competent authorities and lawful institutions, a minimum effective floor under which it shall preserve stronger constitutional, treaty, inherent, statutory and otherwise applicable Indigenous rights, avoid defining rights downward, and require culturally appropriate participation where the treaty materially affects protected interests. A Party may use different legal or institutional means where those means provide functionally equivalent or stronger protection.</w:t>
      </w:r>
    </w:p>
    <w:p>
      <w:pPr>
        <w:pStyle w:val="Heading3"/>
      </w:pPr>
      <w:r>
        <w:t>HR4-116. Indigenous-Rights Non-Derogation And Savings: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HR4-117. Indigenous-Rights Non-Derogation And Savings: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HR4-118. Indigenous-Rights Non-Derogation And Savings: Evidence, Monitoring and Cure</w:t>
      </w:r>
    </w:p>
    <w:p>
      <w:pPr>
        <w:pStyle w:val="Normal"/>
      </w:pPr>
      <w:r>
        <w:t>Material findings under this mechanism shall rest on a stated evidentiary basis and, where relevant, a defined causation or attribution test. Affected authorities shall have an opportunity to respond and correct demonstrable error. Where a deficiency is established, the ordinary response shall be the narrowest sufficient cure, followed by verification and restoration.</w:t>
      </w:r>
    </w:p>
    <w:p>
      <w:pPr>
        <w:pStyle w:val="Heading3"/>
      </w:pPr>
      <w:r>
        <w:t>HR4-119. Meaningful Consultation And Participation: Scope and Protected Interest</w:t>
      </w:r>
    </w:p>
    <w:p>
      <w:pPr>
        <w:pStyle w:val="Normal"/>
      </w:pPr>
      <w:r>
        <w:t>For purposes of this Framework, the Parties recognize the protected interest addressed by Meaningful Consultation And Participation and shall apply this Article to treaty-linked governmental measures, programs, administration and covered economic activity where that interest is materially affected. The Parties shall use existing institutions where possible, transparent criteria, diverse expertise, confidentiality safeguards and periodic review without creating duplicative bureaucracy or private enforcement by implication.</w:t>
      </w:r>
    </w:p>
    <w:p>
      <w:pPr>
        <w:pStyle w:val="Heading3"/>
      </w:pPr>
      <w:r>
        <w:t>HR4-120. Meaningful Consultation And Participation: Minimum Reciprocal Floor</w:t>
      </w:r>
    </w:p>
    <w:p>
      <w:pPr>
        <w:pStyle w:val="Normal"/>
      </w:pPr>
      <w:r>
        <w:t>Each Party shall maintain, through its constitutionally competent authorities and lawful institutions, a minimum effective floor under which it shall use existing institutions where possible, transparent criteria, diverse expertise, confidentiality safeguards and periodic review without creating duplicative bureaucracy or private enforcement by implication. A Party may use different legal or institutional means where those means provide functionally equivalent or stronger protection.</w:t>
      </w:r>
    </w:p>
    <w:p>
      <w:pPr>
        <w:pStyle w:val="Heading3"/>
      </w:pPr>
      <w:r>
        <w:t>HR4-121. Meaningful Consultation And Participation: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HR4-122. Meaningful Consultation And Participation: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HR4-123. Meaningful Consultation And Participation: Evidence, Monitoring and Cure</w:t>
      </w:r>
    </w:p>
    <w:p>
      <w:pPr>
        <w:pStyle w:val="Normal"/>
      </w:pPr>
      <w:r>
        <w:t>Material findings under this mechanism shall rest on a stated evidentiary basis and, where relevant, a defined causation or attribution test. Affected authorities shall have an opportunity to respond and correct demonstrable error. Where a deficiency is established, the ordinary response shall be the narrowest sufficient cure, followed by verification and restoration.</w:t>
      </w:r>
    </w:p>
    <w:p>
      <w:pPr>
        <w:pStyle w:val="Heading3"/>
      </w:pPr>
      <w:r>
        <w:t>HR4-124. Traditional Knowledge Protection: Scope and Protected Interest</w:t>
      </w:r>
    </w:p>
    <w:p>
      <w:pPr>
        <w:pStyle w:val="Normal"/>
      </w:pPr>
      <w:r>
        <w:t>For purposes of this Framework, the Parties recognize the protected interest addressed by Traditional Knowledge Protection and shall apply this Article to treaty-linked governmental measures, programs, administration and covered economic activity where that interest is materially affected. The Parties shall preserve stronger constitutional, treaty, inherent, statutory and otherwise applicable Indigenous rights, avoid defining rights downward, and require culturally appropriate participation where the treaty materially affects protected interests.</w:t>
      </w:r>
    </w:p>
    <w:p>
      <w:pPr>
        <w:pStyle w:val="Heading3"/>
      </w:pPr>
      <w:r>
        <w:t>HR4-125. Traditional Knowledge Protection: Minimum Reciprocal Floor</w:t>
      </w:r>
    </w:p>
    <w:p>
      <w:pPr>
        <w:pStyle w:val="Normal"/>
      </w:pPr>
      <w:r>
        <w:t>Each Party shall maintain, through its constitutionally competent authorities and lawful institutions, a minimum effective floor under which it shall preserve stronger constitutional, treaty, inherent, statutory and otherwise applicable Indigenous rights, avoid defining rights downward, and require culturally appropriate participation where the treaty materially affects protected interests. A Party may use different legal or institutional means where those means provide functionally equivalent or stronger protection.</w:t>
      </w:r>
    </w:p>
    <w:p>
      <w:pPr>
        <w:pStyle w:val="Heading3"/>
      </w:pPr>
      <w:r>
        <w:t>HR4-126. Traditional Knowledge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HR4-127. Traditional Knowledge Protection: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HR4-128. Traditional Cultural Expressions And Heritage Protection: Scope and Protected Interest</w:t>
      </w:r>
    </w:p>
    <w:p>
      <w:pPr>
        <w:pStyle w:val="Normal"/>
      </w:pPr>
      <w:r>
        <w:t>For purposes of this Framework, the Parties recognize the protected interest addressed by Traditional Cultural Expressions And Heritage Protection and shall apply this Article to treaty-linked governmental measures, programs, administration and covered economic activity where that interest is materially affected. The Parties shall preserve stronger constitutional, treaty, inherent, statutory and otherwise applicable Indigenous rights, avoid defining rights downward, and require culturally appropriate participation where the treaty materially affects protected interests.</w:t>
      </w:r>
    </w:p>
    <w:p>
      <w:pPr>
        <w:pStyle w:val="Heading3"/>
      </w:pPr>
      <w:r>
        <w:t>HR4-129. Traditional Cultural Expressions And Heritage Protection: Minimum Reciprocal Floor</w:t>
      </w:r>
    </w:p>
    <w:p>
      <w:pPr>
        <w:pStyle w:val="Normal"/>
      </w:pPr>
      <w:r>
        <w:t>Each Party shall maintain, through its constitutionally competent authorities and lawful institutions, a minimum effective floor under which it shall preserve stronger constitutional, treaty, inherent, statutory and otherwise applicable Indigenous rights, avoid defining rights downward, and require culturally appropriate participation where the treaty materially affects protected interests. A Party may use different legal or institutional means where those means provide functionally equivalent or stronger protection.</w:t>
      </w:r>
    </w:p>
    <w:p>
      <w:pPr>
        <w:pStyle w:val="Heading3"/>
      </w:pPr>
      <w:r>
        <w:t>HR4-130. Traditional Cultural Expressions And Heritage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HR4-131. Traditional Cultural Expressions And Heritage Protection: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HR4-132. Indigenous Women, Youth And Vulnerable-Member Safeguards: Scope and Protected Interest</w:t>
      </w:r>
    </w:p>
    <w:p>
      <w:pPr>
        <w:pStyle w:val="Normal"/>
      </w:pPr>
      <w:r>
        <w:t>For purposes of this Framework, the Parties recognize the protected interest addressed by Indigenous Women, Youth And Vulnerable-Member Safeguards and shall apply this Article to treaty-linked governmental measures, programs, administration and covered economic activity where that interest is materially affected. The Parties shall preserve stronger constitutional, treaty, inherent, statutory and otherwise applicable Indigenous rights, avoid defining rights downward, and require culturally appropriate participation where the treaty materially affects protected interests.</w:t>
      </w:r>
    </w:p>
    <w:p>
      <w:pPr>
        <w:pStyle w:val="Heading3"/>
      </w:pPr>
      <w:r>
        <w:t>HR4-133. Indigenous Women, Youth And Vulnerable-Member Safeguards: Minimum Reciprocal Floor</w:t>
      </w:r>
    </w:p>
    <w:p>
      <w:pPr>
        <w:pStyle w:val="Normal"/>
      </w:pPr>
      <w:r>
        <w:t>Each Party shall maintain, through its constitutionally competent authorities and lawful institutions, a minimum effective floor under which it shall preserve stronger constitutional, treaty, inherent, statutory and otherwise applicable Indigenous rights, avoid defining rights downward, and require culturally appropriate participation where the treaty materially affects protected interests. A Party may use different legal or institutional means where those means provide functionally equivalent or stronger protection.</w:t>
      </w:r>
    </w:p>
    <w:p>
      <w:pPr>
        <w:pStyle w:val="Heading3"/>
      </w:pPr>
      <w:r>
        <w:t>HR4-134. Indigenous Women, Youth And Vulnerable-Member Safeguards: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HR4-135. Indigenous Women, Youth And Vulnerable-Member Safeguards: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HR4-136. Indigenous Grievance And Remedy Access: Scope and Protected Interest</w:t>
      </w:r>
    </w:p>
    <w:p>
      <w:pPr>
        <w:pStyle w:val="Normal"/>
      </w:pPr>
      <w:r>
        <w:t>For purposes of this Framework, the Parties recognize the protected interest addressed by Indigenous Grievance And Remedy Access and shall apply this Article to treaty-linked governmental measures, programs, administration and covered economic activity where that interest is materially affected. The Parties shall provide accessible complaint channels, anti-retaliation protection, timely investigation and remedies capable of correcting the underlying harm.</w:t>
      </w:r>
    </w:p>
    <w:p>
      <w:pPr>
        <w:pStyle w:val="Heading3"/>
      </w:pPr>
      <w:r>
        <w:t>HR4-137. Indigenous Grievance And Remedy Access: Minimum Reciprocal Floor</w:t>
      </w:r>
    </w:p>
    <w:p>
      <w:pPr>
        <w:pStyle w:val="Normal"/>
      </w:pPr>
      <w:r>
        <w:t>Each Party shall maintain, through its constitutionally competent authorities and lawful institutions, a minimum effective floor under which it shall provide accessible complaint channels, anti-retaliation protection, timely investigation and remedies capable of correcting the underlying harm. A Party may use different legal or institutional means where those means provide functionally equivalent or stronger protection.</w:t>
      </w:r>
    </w:p>
    <w:p>
      <w:pPr>
        <w:pStyle w:val="Heading3"/>
      </w:pPr>
      <w:r>
        <w:t>HR4-138. Indigenous Grievance And Remedy Access: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HR4-139. Indigenous-Language And Cultural Accessibility: Scope and Protected Interest</w:t>
      </w:r>
    </w:p>
    <w:p>
      <w:pPr>
        <w:pStyle w:val="Normal"/>
      </w:pPr>
      <w:r>
        <w:t>For purposes of this Framework, the Parties recognize the protected interest addressed by Indigenous-Language And Cultural Accessibility and shall apply this Article to treaty-linked governmental measures, programs, administration and covered economic activity where that interest is materially affected. The Parties shall ensure understandable information, interpretation or accessible communication, and access to legal assistance where required by applicable law or the seriousness of the proceeding.</w:t>
      </w:r>
    </w:p>
    <w:p>
      <w:pPr>
        <w:pStyle w:val="Heading3"/>
      </w:pPr>
      <w:r>
        <w:t>HR4-140. Indigenous-Language And Cultural Accessibility: Minimum Reciprocal Floor</w:t>
      </w:r>
    </w:p>
    <w:p>
      <w:pPr>
        <w:pStyle w:val="Normal"/>
      </w:pPr>
      <w:r>
        <w:t>Each Party shall maintain, through its constitutionally competent authorities and lawful institutions, a minimum effective floor under which it shall ensure understandable information, interpretation or accessible communication, and access to legal assistance where required by applicable law or the seriousness of the proceeding. A Party may use different legal or institutional means where those means provide functionally equivalent or stronger protection.</w:t>
      </w:r>
    </w:p>
    <w:p>
      <w:pPr>
        <w:pStyle w:val="Heading3"/>
      </w:pPr>
      <w:r>
        <w:t>HR4-141. Indigenous-Language And Cultural Accessibility: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4" w:name="_Toc300002543"/>
      <w:r>
        <w:t>CL-11. DIGITAL, PRIVACY, DATA AND AUTOMATED-DECISION RIGHTS</w:t>
      </w:r>
      <w:bookmarkEnd w:id="902544"/>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HR4-142. Privacy And Personal-Information Protection Floor: Scope and Protected Interest</w:t>
      </w:r>
    </w:p>
    <w:p>
      <w:pPr>
        <w:pStyle w:val="Normal"/>
      </w:pPr>
      <w:r>
        <w:t>For purposes of this Framework, the Parties recognize the protected interest addressed by Privacy And Personal-Information Protection Floor and shall apply this Article to treaty-linked governmental measures, programs, administration and covered economic activity where that interest is materially affected. The Parties shall use necessity, purpose limitation, data minimization, security, retention limits, transparency, correction and independent oversight appropriate to the sensitivity and use of the information.</w:t>
      </w:r>
    </w:p>
    <w:p>
      <w:pPr>
        <w:pStyle w:val="Heading3"/>
      </w:pPr>
      <w:r>
        <w:t>HR4-143. Privacy And Personal-Information Protection Floor: Minimum Reciprocal Floor</w:t>
      </w:r>
    </w:p>
    <w:p>
      <w:pPr>
        <w:pStyle w:val="Normal"/>
      </w:pPr>
      <w:r>
        <w:t>Each Party shall maintain, through its constitutionally competent authorities and lawful institutions, a minimum effective floor under which it shall use necessity, purpose limitation, data minimization, security, retention limits, transparency, correction and independent oversight appropriate to the sensitivity and use of the information. A Party may use different legal or institutional means where those means provide functionally equivalent or stronger protection.</w:t>
      </w:r>
    </w:p>
    <w:p>
      <w:pPr>
        <w:pStyle w:val="Heading3"/>
      </w:pPr>
      <w:r>
        <w:t>HR4-144. Privacy And Personal-Information Protection Floor: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HR4-145. Privacy And Personal-Information Protection Floor: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HR4-146. Sensitive-Data Heightened Safeguards: Scope and Protected Interest</w:t>
      </w:r>
    </w:p>
    <w:p>
      <w:pPr>
        <w:pStyle w:val="Normal"/>
      </w:pPr>
      <w:r>
        <w:t>For purposes of this Framework, the Parties recognize the protected interest addressed by Sensitive-Data Heightened Safeguards and shall apply this Article to treaty-linked governmental measures, programs, administration and covered economic activity where that interest is materially affected. The Parties shall use necessity, purpose limitation, data minimization, security, retention limits, transparency, correction and independent oversight appropriate to the sensitivity and use of the information.</w:t>
      </w:r>
    </w:p>
    <w:p>
      <w:pPr>
        <w:pStyle w:val="Heading3"/>
      </w:pPr>
      <w:r>
        <w:t>HR4-147. Sensitive-Data Heightened Safeguards: Minimum Reciprocal Floor</w:t>
      </w:r>
    </w:p>
    <w:p>
      <w:pPr>
        <w:pStyle w:val="Normal"/>
      </w:pPr>
      <w:r>
        <w:t>Each Party shall maintain, through its constitutionally competent authorities and lawful institutions, a minimum effective floor under which it shall use necessity, purpose limitation, data minimization, security, retention limits, transparency, correction and independent oversight appropriate to the sensitivity and use of the information. A Party may use different legal or institutional means where those means provide functionally equivalent or stronger protection.</w:t>
      </w:r>
    </w:p>
    <w:p>
      <w:pPr>
        <w:pStyle w:val="Heading3"/>
      </w:pPr>
      <w:r>
        <w:t>HR4-148. Sensitive-Data Heightened Safeguards: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HR4-149. Government Access And Surveillance Safeguards: Scope and Protected Interest</w:t>
      </w:r>
    </w:p>
    <w:p>
      <w:pPr>
        <w:pStyle w:val="Normal"/>
      </w:pPr>
      <w:r>
        <w:t>For purposes of this Framework, the Parties recognize the protected interest addressed by Government Access And Surveillance Safeguards and shall apply this Article to treaty-linked governmental measures, programs, administration and covered economic activity where that interest is materially affected. The Parties shall apply heightened necessity, proportionality, accuracy, bias testing, authorization, logging, retention and review safeguards to intrusive or identity-sensitive technologies.</w:t>
      </w:r>
    </w:p>
    <w:p>
      <w:pPr>
        <w:pStyle w:val="Heading3"/>
      </w:pPr>
      <w:r>
        <w:t>HR4-150. Government Access And Surveillance Safeguards: Minimum Reciprocal Floor</w:t>
      </w:r>
    </w:p>
    <w:p>
      <w:pPr>
        <w:pStyle w:val="Normal"/>
      </w:pPr>
      <w:r>
        <w:t>Each Party shall maintain, through its constitutionally competent authorities and lawful institutions, a minimum effective floor under which it shall apply heightened necessity, proportionality, accuracy, bias testing, authorization, logging, retention and review safeguards to intrusive or identity-sensitive technologies. A Party may use different legal or institutional means where those means provide functionally equivalent or stronger protection.</w:t>
      </w:r>
    </w:p>
    <w:p>
      <w:pPr>
        <w:pStyle w:val="Heading3"/>
      </w:pPr>
      <w:r>
        <w:t>HR4-151. Government Access And Surveillance Safeguards: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HR4-152. Automated High-Impact Decision Safeguards: Scope and Protected Interest</w:t>
      </w:r>
    </w:p>
    <w:p>
      <w:pPr>
        <w:pStyle w:val="Normal"/>
      </w:pPr>
      <w:r>
        <w:t>For purposes of this Framework, the Parties recognize the protected interest addressed by Automated High-Impact Decision Safeguards and shall apply this Article to treaty-linked governmental measures, programs, administration and covered economic activity where that interest is materially affected. The Parties shall require meaningful human responsibility for high-impact decisions, testing for discriminatory proxies, intelligible reasons where appropriate, correction pathways and appeal or review.</w:t>
      </w:r>
    </w:p>
    <w:p>
      <w:pPr>
        <w:pStyle w:val="Heading3"/>
      </w:pPr>
      <w:r>
        <w:t>HR4-153. Automated High-Impact Decision Safeguards: Minimum Reciprocal Floor</w:t>
      </w:r>
    </w:p>
    <w:p>
      <w:pPr>
        <w:pStyle w:val="Normal"/>
      </w:pPr>
      <w:r>
        <w:t>Each Party shall maintain, through its constitutionally competent authorities and lawful institutions, a minimum effective floor under which it shall require meaningful human responsibility for high-impact decisions, testing for discriminatory proxies, intelligible reasons where appropriate, correction pathways and appeal or review. A Party may use different legal or institutional means where those means provide functionally equivalent or stronger protection.</w:t>
      </w:r>
    </w:p>
    <w:p>
      <w:pPr>
        <w:pStyle w:val="Heading3"/>
      </w:pPr>
      <w:r>
        <w:t>HR4-154. Automated High-Impact Decision Safeguards: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HR4-155. Algorithmic Discrimination And Proxy Protection: Scope and Protected Interest</w:t>
      </w:r>
    </w:p>
    <w:p>
      <w:pPr>
        <w:pStyle w:val="Normal"/>
      </w:pPr>
      <w:r>
        <w:t>For purposes of this Framework, the Parties recognize the protected interest addressed by Algorithmic Discrimination And Proxy Protection and shall apply this Article to treaty-linked governmental measures, programs, administration and covered economic activity where that interest is materially affected. The Parties shall require meaningful human responsibility for high-impact decisions, testing for discriminatory proxies, intelligible reasons where appropriate, correction pathways and appeal or review.</w:t>
      </w:r>
    </w:p>
    <w:p>
      <w:pPr>
        <w:pStyle w:val="Heading3"/>
      </w:pPr>
      <w:r>
        <w:t>HR4-156. Algorithmic Discrimination And Proxy Protection: Minimum Reciprocal Floor</w:t>
      </w:r>
    </w:p>
    <w:p>
      <w:pPr>
        <w:pStyle w:val="Normal"/>
      </w:pPr>
      <w:r>
        <w:t>Each Party shall maintain, through its constitutionally competent authorities and lawful institutions, a minimum effective floor under which it shall require meaningful human responsibility for high-impact decisions, testing for discriminatory proxies, intelligible reasons where appropriate, correction pathways and appeal or review. A Party may use different legal or institutional means where those means provide functionally equivalent or stronger protection.</w:t>
      </w:r>
    </w:p>
    <w:p>
      <w:pPr>
        <w:pStyle w:val="Heading3"/>
      </w:pPr>
      <w:r>
        <w:t>HR4-157. Algorithmic Discrimination And Proxy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HR4-158. Cross-Border Data Transfer Rights Firewall: Scope and Protected Interest</w:t>
      </w:r>
    </w:p>
    <w:p>
      <w:pPr>
        <w:pStyle w:val="Normal"/>
      </w:pPr>
      <w:r>
        <w:t>For purposes of this Framework, the Parties recognize the protected interest addressed by Cross-Border Data Transfer Rights Firewall and shall apply this Article to treaty-linked governmental measures, programs, administration and covered economic activity where that interest is materially affected. The Parties shall use necessity, purpose limitation, data minimization, security, retention limits, transparency, correction and independent oversight appropriate to the sensitivity and use of the information.</w:t>
      </w:r>
    </w:p>
    <w:p>
      <w:pPr>
        <w:pStyle w:val="Heading3"/>
      </w:pPr>
      <w:r>
        <w:t>HR4-159. Cross-Border Data Transfer Rights Firewall: Minimum Reciprocal Floor</w:t>
      </w:r>
    </w:p>
    <w:p>
      <w:pPr>
        <w:pStyle w:val="Normal"/>
      </w:pPr>
      <w:r>
        <w:t>Each Party shall maintain, through its constitutionally competent authorities and lawful institutions, a minimum effective floor under which it shall use necessity, purpose limitation, data minimization, security, retention limits, transparency, correction and independent oversight appropriate to the sensitivity and use of the information. A Party may use different legal or institutional means where those means provide functionally equivalent or stronger protection.</w:t>
      </w:r>
    </w:p>
    <w:p>
      <w:pPr>
        <w:pStyle w:val="Heading3"/>
      </w:pPr>
      <w:r>
        <w:t>HR4-160. Cross-Border Data Transfer Rights Firewall: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5" w:name="_Toc300002544"/>
      <w:r>
        <w:t>CL-12. BUSINESS, CORPORATE AND SUPPLY-CHAIN HUMAN RIGHTS</w:t>
      </w:r>
      <w:bookmarkEnd w:id="902545"/>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HR4-161. Modern-Slavery And Forced-Labour Supply-Chain Controls: Scope and Protected Interest</w:t>
      </w:r>
    </w:p>
    <w:p>
      <w:pPr>
        <w:pStyle w:val="Normal"/>
      </w:pPr>
      <w:r>
        <w:t>For purposes of this Framework, the Parties recognize the protected interest addressed by Modern-Slavery And Forced-Labour Supply-Chain Controls and shall apply this Article to treaty-linked governmental measures, programs, administration and covered economic activity where that interest is materially affected. The Parties shall prohibit forced or compulsory labour and the worst forms of child labour, support traceability and remediation, and avoid punishing victims for coercion imposed upon them.</w:t>
      </w:r>
    </w:p>
    <w:p>
      <w:pPr>
        <w:pStyle w:val="Heading3"/>
      </w:pPr>
      <w:r>
        <w:t>HR4-162. Modern-Slavery And Forced-Labour Supply-Chain Controls: Minimum Reciprocal Floor</w:t>
      </w:r>
    </w:p>
    <w:p>
      <w:pPr>
        <w:pStyle w:val="Normal"/>
      </w:pPr>
      <w:r>
        <w:t>Each Party shall maintain, through its constitutionally competent authorities and lawful institutions, a minimum effective floor under which it shall prohibit forced or compulsory labour and the worst forms of child labour, support traceability and remediation, and avoid punishing victims for coercion imposed upon them. A Party may use different legal or institutional means where those means provide functionally equivalent or stronger protection.</w:t>
      </w:r>
    </w:p>
    <w:p>
      <w:pPr>
        <w:pStyle w:val="Heading3"/>
      </w:pPr>
      <w:r>
        <w:t>HR4-163. Modern-Slavery And Forced-Labour Supply-Chain Controls: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HR4-164. Whistleblower And Defender Protection: Scope and Protected Interest</w:t>
      </w:r>
    </w:p>
    <w:p>
      <w:pPr>
        <w:pStyle w:val="Normal"/>
      </w:pPr>
      <w:r>
        <w:t>For purposes of this Framework, the Parties recognize the protected interest addressed by Whistleblower And Defender Protection and shall apply this Article to treaty-linked governmental measures, programs, administration and covered economic activity where that interest is materially affected. The Parties shall protect good-faith reporting and advocacy from retaliation, threats and abusive process while preserving safeguards against knowingly false or unlawful conduct.</w:t>
      </w:r>
    </w:p>
    <w:p>
      <w:pPr>
        <w:pStyle w:val="Heading3"/>
      </w:pPr>
      <w:r>
        <w:t>HR4-165. Whistleblower And Defender Protection: Minimum Reciprocal Floor</w:t>
      </w:r>
    </w:p>
    <w:p>
      <w:pPr>
        <w:pStyle w:val="Normal"/>
      </w:pPr>
      <w:r>
        <w:t>Each Party shall maintain, through its constitutionally competent authorities and lawful institutions, a minimum effective floor under which it shall protect good-faith reporting and advocacy from retaliation, threats and abusive process while preserving safeguards against knowingly false or unlawful conduct. A Party may use different legal or institutional means where those means provide functionally equivalent or stronger protection.</w:t>
      </w:r>
    </w:p>
    <w:p>
      <w:pPr>
        <w:pStyle w:val="Heading3"/>
      </w:pPr>
      <w:r>
        <w:t>HR4-166. Whistleblower And Defender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6" w:name="_Toc300002545"/>
      <w:r>
        <w:t>CL-13. ENVIRONMENTAL AND COMMUNITY RIGHTS</w:t>
      </w:r>
      <w:bookmarkEnd w:id="902546"/>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HR4-167. Environmental Non-Regression And Enforcement: Scope and Protected Interest</w:t>
      </w:r>
    </w:p>
    <w:p>
      <w:pPr>
        <w:pStyle w:val="Normal"/>
      </w:pPr>
      <w:r>
        <w:t>For purposes of this Framework, the Parties recognize the protected interest addressed by Environmental Non-Regression And Enforcement and shall apply this Article to treaty-linked governmental measures, programs, administration and covered economic activity where that interest is materially affected. The Parties shall require necessity, proportionality, de-escalation where feasible, medical response, incident documentation and independent review of serious uses of force.</w:t>
      </w:r>
    </w:p>
    <w:p>
      <w:pPr>
        <w:pStyle w:val="Heading3"/>
      </w:pPr>
      <w:r>
        <w:t>HR4-168. Environmental Non-Regression And Enforcement: Minimum Reciprocal Floor</w:t>
      </w:r>
    </w:p>
    <w:p>
      <w:pPr>
        <w:pStyle w:val="Normal"/>
      </w:pPr>
      <w:r>
        <w:t>Each Party shall maintain, through its constitutionally competent authorities and lawful institutions, a minimum effective floor under which it shall require necessity, proportionality, de-escalation where feasible, medical response, incident documentation and independent review of serious uses of force. A Party may use different legal or institutional means where those means provide functionally equivalent or stronger protection.</w:t>
      </w:r>
    </w:p>
    <w:p>
      <w:pPr>
        <w:pStyle w:val="Heading3"/>
      </w:pPr>
      <w:r>
        <w:t>HR4-169. Environmental Non-Regression And Enforcement: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HR4-170. Right-To-Regulate And Precautionary Protection: Scope and Protected Interest</w:t>
      </w:r>
    </w:p>
    <w:p>
      <w:pPr>
        <w:pStyle w:val="Normal"/>
      </w:pPr>
      <w:r>
        <w:t>For purposes of this Framework, the Parties recognize the protected interest addressed by Right-To-Regulate And Precautionary Protection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HR4-171. Right-To-Regulate And Precautionary Protection: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HR4-172. Right-To-Regulate And Precautionary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HR4-173. Public Participation And Environmental Information: Scope and Protected Interest</w:t>
      </w:r>
    </w:p>
    <w:p>
      <w:pPr>
        <w:pStyle w:val="Normal"/>
      </w:pPr>
      <w:r>
        <w:t>For purposes of this Framework, the Parties recognize the protected interest addressed by Public Participation And Environmental Information and shall apply this Article to treaty-linked governmental measures, programs, administration and covered economic activity where that interest is materially affected. The Parties shall preserve each Party’s chosen level of environmental protection, prevent trade-driven non-enforcement or regression, and support evidence-based participation, conservation and transition cooperation.</w:t>
      </w:r>
    </w:p>
    <w:p>
      <w:pPr>
        <w:pStyle w:val="Heading3"/>
      </w:pPr>
      <w:r>
        <w:t>HR4-174. Public Participation And Environmental Information: Minimum Reciprocal Floor</w:t>
      </w:r>
    </w:p>
    <w:p>
      <w:pPr>
        <w:pStyle w:val="Normal"/>
      </w:pPr>
      <w:r>
        <w:t>Each Party shall maintain, through its constitutionally competent authorities and lawful institutions, a minimum effective floor under which it shall preserve each Party’s chosen level of environmental protection, prevent trade-driven non-enforcement or regression, and support evidence-based participation, conservation and transition cooperation. A Party may use different legal or institutional means where those means provide functionally equivalent or stronger protection.</w:t>
      </w:r>
    </w:p>
    <w:p>
      <w:pPr>
        <w:pStyle w:val="Heading3"/>
      </w:pPr>
      <w:r>
        <w:t>HR4-175. Public Participation And Environmental Information: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HR4-176. Environmental Defender Protection: Scope and Protected Interest</w:t>
      </w:r>
    </w:p>
    <w:p>
      <w:pPr>
        <w:pStyle w:val="Normal"/>
      </w:pPr>
      <w:r>
        <w:t>For purposes of this Framework, the Parties recognize the protected interest addressed by Environmental Defender Protection and shall apply this Article to treaty-linked governmental measures, programs, administration and covered economic activity where that interest is materially affected. The Parties shall protect good-faith reporting and advocacy from retaliation, threats and abusive process while preserving safeguards against knowingly false or unlawful conduct.</w:t>
      </w:r>
    </w:p>
    <w:p>
      <w:pPr>
        <w:pStyle w:val="Heading3"/>
      </w:pPr>
      <w:r>
        <w:t>HR4-177. Environmental Defender Protection: Minimum Reciprocal Floor</w:t>
      </w:r>
    </w:p>
    <w:p>
      <w:pPr>
        <w:pStyle w:val="Normal"/>
      </w:pPr>
      <w:r>
        <w:t>Each Party shall maintain, through its constitutionally competent authorities and lawful institutions, a minimum effective floor under which it shall protect good-faith reporting and advocacy from retaliation, threats and abusive process while preserving safeguards against knowingly false or unlawful conduct. A Party may use different legal or institutional means where those means provide functionally equivalent or stronger protection.</w:t>
      </w:r>
    </w:p>
    <w:p>
      <w:pPr>
        <w:pStyle w:val="Heading3"/>
      </w:pPr>
      <w:r>
        <w:t>HR4-178. Environmental Defender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HR4-179. Biodiversity, Habitat And Species Protection: Scope and Protected Interest</w:t>
      </w:r>
    </w:p>
    <w:p>
      <w:pPr>
        <w:pStyle w:val="Normal"/>
      </w:pPr>
      <w:r>
        <w:t>For purposes of this Framework, the Parties recognize the protected interest addressed by Biodiversity, Habitat And Species Protection and shall apply this Article to treaty-linked governmental measures, programs, administration and covered economic activity where that interest is materially affected. The Parties shall preserve each Party’s chosen level of environmental protection, prevent trade-driven non-enforcement or regression, and support evidence-based participation, conservation and transition cooperation.</w:t>
      </w:r>
    </w:p>
    <w:p>
      <w:pPr>
        <w:pStyle w:val="Heading3"/>
      </w:pPr>
      <w:r>
        <w:t>HR4-180. Biodiversity, Habitat And Species Protection: Minimum Reciprocal Floor</w:t>
      </w:r>
    </w:p>
    <w:p>
      <w:pPr>
        <w:pStyle w:val="Normal"/>
      </w:pPr>
      <w:r>
        <w:t>Each Party shall maintain, through its constitutionally competent authorities and lawful institutions, a minimum effective floor under which it shall preserve each Party’s chosen level of environmental protection, prevent trade-driven non-enforcement or regression, and support evidence-based participation, conservation and transition cooperation. A Party may use different legal or institutional means where those means provide functionally equivalent or stronger protection.</w:t>
      </w:r>
    </w:p>
    <w:p>
      <w:pPr>
        <w:pStyle w:val="Heading3"/>
      </w:pPr>
      <w:r>
        <w:t>HR4-181. Biodiversity, Habitat And Species Protection: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HR4-182. Biodiversity, Habitat And Species Protection: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2"/>
      </w:pPr>
      <w:bookmarkStart w:id="902547" w:name="_Toc300002546"/>
      <w:r>
        <w:t>CL-14. PUBLIC HEALTH, MEDICINES AND SOCIAL RESILIENCE</w:t>
      </w:r>
      <w:bookmarkEnd w:id="902547"/>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HR4-183. Public-Health Regulatory Autonomy: Scope and Protected Interest</w:t>
      </w:r>
    </w:p>
    <w:p>
      <w:pPr>
        <w:pStyle w:val="Normal"/>
      </w:pPr>
      <w:r>
        <w:t>For purposes of this Framework, the Parties recognize the protected interest addressed by Public-Health Regulatory Autonomy and shall apply this Article to treaty-linked governmental measures, programs, administration and covered economic activity where that interest is materially affected. The Parties shall preserve public-health and essential-service policy space, continuity during emergencies, non-discriminatory access where trade rules are implicated, and safeguards for privacy, safety and legitimate regulation.</w:t>
      </w:r>
    </w:p>
    <w:p>
      <w:pPr>
        <w:pStyle w:val="Heading3"/>
      </w:pPr>
      <w:r>
        <w:t>HR4-184. Public-Health Regulatory Autonomy: Minimum Reciprocal Floor</w:t>
      </w:r>
    </w:p>
    <w:p>
      <w:pPr>
        <w:pStyle w:val="Normal"/>
      </w:pPr>
      <w:r>
        <w:t>Each Party shall maintain, through its constitutionally competent authorities and lawful institutions, a minimum effective floor under which it shall preserve public-health and essential-service policy space, continuity during emergencies, non-discriminatory access where trade rules are implicated, and safeguards for privacy, safety and legitimate regulation. A Party may use different legal or institutional means where those means provide functionally equivalent or stronger protection.</w:t>
      </w:r>
    </w:p>
    <w:p>
      <w:pPr>
        <w:pStyle w:val="Heading3"/>
      </w:pPr>
      <w:r>
        <w:t>HR4-185. Public-Health Regulatory Autonomy: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HR4-186. Public-Health Regulatory Autonomy: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HR4-187. Access-To-Medicines Safeguard: Scope and Protected Interest</w:t>
      </w:r>
    </w:p>
    <w:p>
      <w:pPr>
        <w:pStyle w:val="Normal"/>
      </w:pPr>
      <w:r>
        <w:t>For purposes of this Framework, the Parties recognize the protected interest addressed by Access-To-Medicines Safeguard and shall apply this Article to treaty-linked governmental measures, programs, administration and covered economic activity where that interest is materially affected. The Parties shall preserve public-health and essential-service policy space, continuity during emergencies, non-discriminatory access where trade rules are implicated, and safeguards for privacy, safety and legitimate regulation.</w:t>
      </w:r>
    </w:p>
    <w:p>
      <w:pPr>
        <w:pStyle w:val="Heading3"/>
      </w:pPr>
      <w:r>
        <w:t>HR4-188. Access-To-Medicines Safeguard: Minimum Reciprocal Floor</w:t>
      </w:r>
    </w:p>
    <w:p>
      <w:pPr>
        <w:pStyle w:val="Normal"/>
      </w:pPr>
      <w:r>
        <w:t>Each Party shall maintain, through its constitutionally competent authorities and lawful institutions, a minimum effective floor under which it shall preserve public-health and essential-service policy space, continuity during emergencies, non-discriminatory access where trade rules are implicated, and safeguards for privacy, safety and legitimate regulation. A Party may use different legal or institutional means where those means provide functionally equivalent or stronger protection.</w:t>
      </w:r>
    </w:p>
    <w:p>
      <w:pPr>
        <w:pStyle w:val="Heading3"/>
      </w:pPr>
      <w:r>
        <w:t>HR4-189. Access-To-Medicines Safeguard: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HR4-190. Trade-Linked Healthcare Nondiscrimination: Scope and Protected Interest</w:t>
      </w:r>
    </w:p>
    <w:p>
      <w:pPr>
        <w:pStyle w:val="Normal"/>
      </w:pPr>
      <w:r>
        <w:t>For purposes of this Framework, the Parties recognize the protected interest addressed by Trade-Linked Healthcare Nondiscrimination and shall apply this Article to treaty-linked governmental measures, programs, administration and covered economic activity where that interest is materially affected. The Parties shall cover direct, indirect, perceived, associative and intersectional discrimination where legally appropriate, with objective and proportionate exceptions narrowly construed.</w:t>
      </w:r>
    </w:p>
    <w:p>
      <w:pPr>
        <w:pStyle w:val="Heading3"/>
      </w:pPr>
      <w:r>
        <w:t>HR4-191. Trade-Linked Healthcare Nondiscrimination: Minimum Reciprocal Floor</w:t>
      </w:r>
    </w:p>
    <w:p>
      <w:pPr>
        <w:pStyle w:val="Normal"/>
      </w:pPr>
      <w:r>
        <w:t>Each Party shall maintain, through its constitutionally competent authorities and lawful institutions, a minimum effective floor under which it shall cover direct, indirect, perceived, associative and intersectional discrimination where legally appropriate, with objective and proportionate exceptions narrowly construed. A Party may use different legal or institutional means where those means provide functionally equivalent or stronger protection.</w:t>
      </w:r>
    </w:p>
    <w:p>
      <w:pPr>
        <w:pStyle w:val="Heading3"/>
      </w:pPr>
      <w:r>
        <w:t>HR4-192. Trade-Linked Healthcare Nondiscrimination: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HR4-193. Public-Services Policy-Space Firewall: Scope and Protected Interest</w:t>
      </w:r>
    </w:p>
    <w:p>
      <w:pPr>
        <w:pStyle w:val="Normal"/>
      </w:pPr>
      <w:r>
        <w:t>For purposes of this Framework, the Parties recognize the protected interest addressed by Public-Services Policy-Space Firewall and shall apply this Article to treaty-linked governmental measures, programs, administration and covered economic activity where that interest is materially affected. The Parties shall preserve public-health and essential-service policy space, continuity during emergencies, non-discriminatory access where trade rules are implicated, and safeguards for privacy, safety and legitimate regulation.</w:t>
      </w:r>
    </w:p>
    <w:p>
      <w:pPr>
        <w:pStyle w:val="Heading3"/>
      </w:pPr>
      <w:r>
        <w:t>HR4-194. Public-Services Policy-Space Firewall: Minimum Reciprocal Floor</w:t>
      </w:r>
    </w:p>
    <w:p>
      <w:pPr>
        <w:pStyle w:val="Normal"/>
      </w:pPr>
      <w:r>
        <w:t>Each Party shall maintain, through its constitutionally competent authorities and lawful institutions, a minimum effective floor under which it shall preserve public-health and essential-service policy space, continuity during emergencies, non-discriminatory access where trade rules are implicated, and safeguards for privacy, safety and legitimate regulation. A Party may use different legal or institutional means where those means provide functionally equivalent or stronger protection.</w:t>
      </w:r>
    </w:p>
    <w:p>
      <w:pPr>
        <w:pStyle w:val="Heading3"/>
      </w:pPr>
      <w:r>
        <w:t>HR4-195. Public-Services Policy-Space Firewall: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8" w:name="_Toc300002547"/>
      <w:r>
        <w:t>CL-15. DISABILITY RIGHTS AND ACCESSIBILITY</w:t>
      </w:r>
      <w:bookmarkEnd w:id="902548"/>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HR4-196. Treaty-Wide Disability Nondiscrimination: Scope and Protected Interest</w:t>
      </w:r>
    </w:p>
    <w:p>
      <w:pPr>
        <w:pStyle w:val="Normal"/>
      </w:pPr>
      <w:r>
        <w:t>For purposes of this Framework, the Parties recognize the protected interest addressed by Treaty-Wide Disability Nondiscrimination and shall apply this Article to treaty-linked governmental measures, programs, administration and covered economic activity where that interest is materially affected. The Parties shall cover direct, indirect, perceived, associative and intersectional discrimination where legally appropriate, with objective and proportionate exceptions narrowly construed.</w:t>
      </w:r>
    </w:p>
    <w:p>
      <w:pPr>
        <w:pStyle w:val="Heading3"/>
      </w:pPr>
      <w:r>
        <w:t>HR4-197. Treaty-Wide Disability Nondiscrimination: Minimum Reciprocal Floor</w:t>
      </w:r>
    </w:p>
    <w:p>
      <w:pPr>
        <w:pStyle w:val="Normal"/>
      </w:pPr>
      <w:r>
        <w:t>Each Party shall maintain, through its constitutionally competent authorities and lawful institutions, a minimum effective floor under which it shall cover direct, indirect, perceived, associative and intersectional discrimination where legally appropriate, with objective and proportionate exceptions narrowly construed. A Party may use different legal or institutional means where those means provide functionally equivalent or stronger protection.</w:t>
      </w:r>
    </w:p>
    <w:p>
      <w:pPr>
        <w:pStyle w:val="Heading3"/>
      </w:pPr>
      <w:r>
        <w:t>HR4-198. Treaty-Wide Disability Nondiscrimination: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HR4-199. Treaty-Wide Disability Nondiscrimination: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HR4-200. Reasonable Accommodation: Scope and Protected Interest</w:t>
      </w:r>
    </w:p>
    <w:p>
      <w:pPr>
        <w:pStyle w:val="Normal"/>
      </w:pPr>
      <w:r>
        <w:t>For purposes of this Framework, the Parties recognize the protected interest addressed by Reasonable Accommodation and shall apply this Article to treaty-linked governmental measures, programs, administration and covered economic activity where that interest is materially affected. The Parties shall require non-discriminatory access, reasonable accommodation and accessible communications consistent with legitimate safety, feasibility and undue-hardship standards under applicable law.</w:t>
      </w:r>
    </w:p>
    <w:p>
      <w:pPr>
        <w:pStyle w:val="Heading3"/>
      </w:pPr>
      <w:r>
        <w:t>HR4-201. Reasonable Accommodation: Minimum Reciprocal Floor</w:t>
      </w:r>
    </w:p>
    <w:p>
      <w:pPr>
        <w:pStyle w:val="Normal"/>
      </w:pPr>
      <w:r>
        <w:t>Each Party shall maintain, through its constitutionally competent authorities and lawful institutions, a minimum effective floor under which it shall require non-discriminatory access, reasonable accommodation and accessible communications consistent with legitimate safety, feasibility and undue-hardship standards under applicable law. A Party may use different legal or institutional means where those means provide functionally equivalent or stronger protection.</w:t>
      </w:r>
    </w:p>
    <w:p>
      <w:pPr>
        <w:pStyle w:val="Heading3"/>
      </w:pPr>
      <w:r>
        <w:t>HR4-202. Reasonable Accommodation: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HR4-203. Accessible Communication And Formats: Scope and Protected Interest</w:t>
      </w:r>
    </w:p>
    <w:p>
      <w:pPr>
        <w:pStyle w:val="Normal"/>
      </w:pPr>
      <w:r>
        <w:t>For purposes of this Framework, the Parties recognize the protected interest addressed by Accessible Communication And Formats and shall apply this Article to treaty-linked governmental measures, programs, administration and covered economic activity where that interest is materially affected. The Parties shall require non-discriminatory access, reasonable accommodation and accessible communications consistent with legitimate safety, feasibility and undue-hardship standards under applicable law.</w:t>
      </w:r>
    </w:p>
    <w:p>
      <w:pPr>
        <w:pStyle w:val="Heading3"/>
      </w:pPr>
      <w:r>
        <w:t>HR4-204. Accessible Communication And Formats: Minimum Reciprocal Floor</w:t>
      </w:r>
    </w:p>
    <w:p>
      <w:pPr>
        <w:pStyle w:val="Normal"/>
      </w:pPr>
      <w:r>
        <w:t>Each Party shall maintain, through its constitutionally competent authorities and lawful institutions, a minimum effective floor under which it shall require non-discriminatory access, reasonable accommodation and accessible communications consistent with legitimate safety, feasibility and undue-hardship standards under applicable law. A Party may use different legal or institutional means where those means provide functionally equivalent or stronger protection.</w:t>
      </w:r>
    </w:p>
    <w:p>
      <w:pPr>
        <w:pStyle w:val="Heading3"/>
      </w:pPr>
      <w:r>
        <w:t>HR4-205. Accessible Communication And Formats: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49" w:name="_Toc300002548"/>
      <w:r>
        <w:t>CL-16. HOUSING-STATUS, POVERTY AND HOMELESSNESS SAFEGUARDS</w:t>
      </w:r>
      <w:bookmarkEnd w:id="902549"/>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HR4-206. Housing-Status Nondiscrimination Firewall: Scope and Protected Interest</w:t>
      </w:r>
    </w:p>
    <w:p>
      <w:pPr>
        <w:pStyle w:val="Normal"/>
      </w:pPr>
      <w:r>
        <w:t>For purposes of this Framework, the Parties recognize the protected interest addressed by Housing-Status Nondiscrimination Firewall and shall apply this Article to treaty-linked governmental measures, programs, administration and covered economic activity where that interest is materially affected. The Parties shall cover direct, indirect, perceived, associative and intersectional discrimination where legally appropriate, with objective and proportionate exceptions narrowly construed.</w:t>
      </w:r>
    </w:p>
    <w:p>
      <w:pPr>
        <w:pStyle w:val="Heading3"/>
      </w:pPr>
      <w:r>
        <w:t>HR4-207. Housing-Status Nondiscrimination Firewall: Minimum Reciprocal Floor</w:t>
      </w:r>
    </w:p>
    <w:p>
      <w:pPr>
        <w:pStyle w:val="Normal"/>
      </w:pPr>
      <w:r>
        <w:t>Each Party shall maintain, through its constitutionally competent authorities and lawful institutions, a minimum effective floor under which it shall cover direct, indirect, perceived, associative and intersectional discrimination where legally appropriate, with objective and proportionate exceptions narrowly construed. A Party may use different legal or institutional means where those means provide functionally equivalent or stronger protection.</w:t>
      </w:r>
    </w:p>
    <w:p>
      <w:pPr>
        <w:pStyle w:val="Heading3"/>
      </w:pPr>
      <w:r>
        <w:t>HR4-208. Housing-Status Nondiscrimination Firewall: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HR4-209. Housing-Status Nondiscrimination Firewall: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HR4-210. No Fixed-Address Exclusion: Scope and Protected Interest</w:t>
      </w:r>
    </w:p>
    <w:p>
      <w:pPr>
        <w:pStyle w:val="Normal"/>
      </w:pPr>
      <w:r>
        <w:t>For purposes of this Framework, the Parties recognize the protected interest addressed by No Fixed-Address Exclusion and shall apply this Article to treaty-linked governmental measures, programs, administration and covered economic activity where that interest is materially affected. The Parties shall prevent loss of treaty-linked employment, services, identity continuity or procedural protection merely because a person lacks stable housing, while leaving housing-program design to domestic authorities.</w:t>
      </w:r>
    </w:p>
    <w:p>
      <w:pPr>
        <w:pStyle w:val="Heading3"/>
      </w:pPr>
      <w:r>
        <w:t>HR4-211. No Fixed-Address Exclusion: Minimum Reciprocal Floor</w:t>
      </w:r>
    </w:p>
    <w:p>
      <w:pPr>
        <w:pStyle w:val="Normal"/>
      </w:pPr>
      <w:r>
        <w:t>Each Party shall maintain, through its constitutionally competent authorities and lawful institutions, a minimum effective floor under which it shall prevent loss of treaty-linked employment, services, identity continuity or procedural protection merely because a person lacks stable housing, while leaving housing-program design to domestic authorities. A Party may use different legal or institutional means where those means provide functionally equivalent or stronger protection.</w:t>
      </w:r>
    </w:p>
    <w:p>
      <w:pPr>
        <w:pStyle w:val="Heading3"/>
      </w:pPr>
      <w:r>
        <w:t>HR4-212. No Fixed-Address Exclusion: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HR4-213. Personal Property And Document Continuity: Scope and Protected Interest</w:t>
      </w:r>
    </w:p>
    <w:p>
      <w:pPr>
        <w:pStyle w:val="Normal"/>
      </w:pPr>
      <w:r>
        <w:t>For purposes of this Framework, the Parties recognize the protected interest addressed by Personal Property And Document Continuity and shall apply this Article to treaty-linked governmental measures, programs, administration and covered economic activity where that interest is materially affected. The Parties shall prevent loss of treaty-linked employment, services, identity continuity or procedural protection merely because a person lacks stable housing, while leaving housing-program design to domestic authorities.</w:t>
      </w:r>
    </w:p>
    <w:p>
      <w:pPr>
        <w:pStyle w:val="Heading3"/>
      </w:pPr>
      <w:r>
        <w:t>HR4-214. Personal Property And Document Continuity: Minimum Reciprocal Floor</w:t>
      </w:r>
    </w:p>
    <w:p>
      <w:pPr>
        <w:pStyle w:val="Normal"/>
      </w:pPr>
      <w:r>
        <w:t>Each Party shall maintain, through its constitutionally competent authorities and lawful institutions, a minimum effective floor under which it shall prevent loss of treaty-linked employment, services, identity continuity or procedural protection merely because a person lacks stable housing, while leaving housing-program design to domestic authorities. A Party may use different legal or institutional means where those means provide functionally equivalent or stronger protection.</w:t>
      </w:r>
    </w:p>
    <w:p>
      <w:pPr>
        <w:pStyle w:val="Heading3"/>
      </w:pPr>
      <w:r>
        <w:t>HR4-215. Personal Property And Document Continuity: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50" w:name="_Toc300002549"/>
      <w:r>
        <w:t>CL-17. HUMAN-RIGHTS GOVERNANCE, INTERPRETATION AND REVIEW</w:t>
      </w:r>
      <w:bookmarkEnd w:id="902550"/>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HR4-216. Human-Rights Interpretive Firewall: Scope and Protected Interest</w:t>
      </w:r>
    </w:p>
    <w:p>
      <w:pPr>
        <w:pStyle w:val="Normal"/>
      </w:pPr>
      <w:r>
        <w:t>For purposes of this Framework, the Parties recognize the protected interest addressed by Human-Rights Interpretive Firewall and shall apply this Article to treaty-linked governmental measures, programs, administration and covered economic activity where that interest is materially affected. The Parties shall translate the mechanism into a narrow treaty-linked obligation, preserve stronger domestic protections, and avoid creating rights or liabilities beyond what the Parties expressly adopt.</w:t>
      </w:r>
    </w:p>
    <w:p>
      <w:pPr>
        <w:pStyle w:val="Heading3"/>
      </w:pPr>
      <w:r>
        <w:t>HR4-217. Human-Rights Interpretive Firewall: Minimum Reciprocal Floor</w:t>
      </w:r>
    </w:p>
    <w:p>
      <w:pPr>
        <w:pStyle w:val="Normal"/>
      </w:pPr>
      <w:r>
        <w:t>Each Party shall maintain, through its constitutionally competent authorities and lawful institutions, a minimum effective floor under which it shall translate the mechanism into a narrow treaty-linked obligation, preserve stronger domestic protections, and avoid creating rights or liabilities beyond what the Parties expressly adopt. A Party may use different legal or institutional means where those means provide functionally equivalent or stronger protection.</w:t>
      </w:r>
    </w:p>
    <w:p>
      <w:pPr>
        <w:pStyle w:val="Heading3"/>
      </w:pPr>
      <w:r>
        <w:t>HR4-218. Human-Rights Interpretive Firewall: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HR4-219. Human-Rights Interpretive Firewall: Targeted and Intersectional Application</w:t>
      </w:r>
    </w:p>
    <w:p>
      <w:pPr>
        <w:pStyle w:val="Normal"/>
      </w:pPr>
      <w:r>
        <w:t>In applying this mechanism, competent authorities shall account for materially distinct and intersectional forms of harm where generic treatment would make the protection ineffective. Targeted safeguards may address the particular context identified by the evidence, but shall not define another protected group downward or authorize unequal treatment unrelated to a legitimate and proportionate objective.</w:t>
      </w:r>
    </w:p>
    <w:p>
      <w:pPr>
        <w:pStyle w:val="Heading3"/>
      </w:pPr>
      <w:r>
        <w:t>HR4-220. Human-Rights Interpretive Firewall: Evidence, Monitoring and Cure</w:t>
      </w:r>
    </w:p>
    <w:p>
      <w:pPr>
        <w:pStyle w:val="Normal"/>
      </w:pPr>
      <w:r>
        <w:t>Material findings under this mechanism shall rest on a stated evidentiary basis and, where relevant, a defined causation or attribution test. Affected authorities shall have an opportunity to respond and correct demonstrable error. Where a deficiency is established, the ordinary response shall be the narrowest sufficient cure, followed by verification and restoration.</w:t>
      </w:r>
    </w:p>
    <w:p>
      <w:pPr>
        <w:pStyle w:val="Heading3"/>
      </w:pPr>
      <w:r>
        <w:t>HR4-221. Transparency And Public Reporting: Scope and Protected Interest</w:t>
      </w:r>
    </w:p>
    <w:p>
      <w:pPr>
        <w:pStyle w:val="Normal"/>
      </w:pPr>
      <w:r>
        <w:t>For purposes of this Framework, the Parties recognize the protected interest addressed by Transparency And Public Reporting and shall apply this Article to treaty-linked governmental measures, programs, administration and covered economic activity where that interest is materially affected. The Parties shall use existing institutions where possible, transparent criteria, diverse expertise, confidentiality safeguards and periodic review without creating duplicative bureaucracy or private enforcement by implication.</w:t>
      </w:r>
    </w:p>
    <w:p>
      <w:pPr>
        <w:pStyle w:val="Heading3"/>
      </w:pPr>
      <w:r>
        <w:t>HR4-222. Transparency And Public Reporting: Minimum Reciprocal Floor</w:t>
      </w:r>
    </w:p>
    <w:p>
      <w:pPr>
        <w:pStyle w:val="Normal"/>
      </w:pPr>
      <w:r>
        <w:t>Each Party shall maintain, through its constitutionally competent authorities and lawful institutions, a minimum effective floor under which it shall use existing institutions where possible, transparent criteria, diverse expertise, confidentiality safeguards and periodic review without creating duplicative bureaucracy or private enforcement by implication. A Party may use different legal or institutional means where those means provide functionally equivalent or stronger protection.</w:t>
      </w:r>
    </w:p>
    <w:p>
      <w:pPr>
        <w:pStyle w:val="Heading3"/>
      </w:pPr>
      <w:r>
        <w:t>HR4-223. Transparency And Public Reporting: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3"/>
      </w:pPr>
      <w:r>
        <w:t>HR4-224. Federalism And Competent-Authority Implementation: Scope and Protected Interest</w:t>
      </w:r>
    </w:p>
    <w:p>
      <w:pPr>
        <w:pStyle w:val="Normal"/>
      </w:pPr>
      <w:r>
        <w:t>For purposes of this Framework, the Parties recognize the protected interest addressed by Federalism And Competent-Authority Implementation and shall apply this Article to treaty-linked governmental measures, programs, administration and covered economic activity where that interest is materially affected. The Parties shall bind each Party only within its constitutional competence while requiring good-faith use of available federal, provincial/state, territorial, local and Indigenous-government coordination channels.</w:t>
      </w:r>
    </w:p>
    <w:p>
      <w:pPr>
        <w:pStyle w:val="Heading3"/>
      </w:pPr>
      <w:r>
        <w:t>HR4-225. Federalism And Competent-Authority Implementation: Minimum Reciprocal Floor</w:t>
      </w:r>
    </w:p>
    <w:p>
      <w:pPr>
        <w:pStyle w:val="Normal"/>
      </w:pPr>
      <w:r>
        <w:t>Each Party shall maintain, through its constitutionally competent authorities and lawful institutions, a minimum effective floor under which it shall bind each Party only within its constitutional competence while requiring good-faith use of available federal, provincial/state, territorial, local and Indigenous-government coordination channels. A Party may use different legal or institutional means where those means provide functionally equivalent or stronger protection.</w:t>
      </w:r>
    </w:p>
    <w:p>
      <w:pPr>
        <w:pStyle w:val="Heading3"/>
      </w:pPr>
      <w:r>
        <w:t>HR4-226. Federalism And Competent-Authority Implementation: Non-Circumvention, Review and Remedy</w:t>
      </w:r>
    </w:p>
    <w:p>
      <w:pPr>
        <w:pStyle w:val="Normal"/>
      </w:pPr>
      <w:r>
        <w:t>A Party shall not defeat this protection through relabeling, proxy action, outsourcing, serial temporary measures, selective enforcement or another functional substitute. A materially affected person or competent representative shall have access to an appropriate avenue for review or correction under applicable law. Cure shall be proportionate and rights-preserving and shall not, by itself, create a private cause of action under this Agreement.</w:t>
      </w:r>
    </w:p>
    <w:p>
      <w:pPr>
        <w:pStyle w:val="Heading2"/>
      </w:pPr>
      <w:bookmarkStart w:id="902551" w:name="_Toc300002550"/>
      <w:r>
        <w:t>CL-18. LABOUR AND WORKPLACE HUMAN RIGHTS</w:t>
      </w:r>
      <w:bookmarkEnd w:id="902551"/>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HR4-227. Right To Strike And Concerted Activity: Common Objective and Cooperation Duty</w:t>
      </w:r>
    </w:p>
    <w:p>
      <w:pPr>
        <w:pStyle w:val="Normal"/>
      </w:pPr>
      <w:r>
        <w:t>The Parties shall cooperate, consistent with their respective laws and institutional competence, to advance the common objective of protect lawful concerted activity through each Party’s labour system while preserving narrowly tailored rules for essential services, safety and genuinely lawful restrictions. Cooperation may include exchange of practices, technical assistance, compatible guidance and voluntary coordination and shall not require identical domestic institutions.</w:t>
      </w:r>
    </w:p>
    <w:p>
      <w:pPr>
        <w:pStyle w:val="Heading3"/>
      </w:pPr>
      <w:r>
        <w:t>HR4-228. Right To Strike And Concerted Activity: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HR4-229. Equal Pay And Pay-Equity Tools: Common Objective and Cooperation Duty</w:t>
      </w:r>
    </w:p>
    <w:p>
      <w:pPr>
        <w:pStyle w:val="Normal"/>
      </w:pPr>
      <w:r>
        <w:t>The Parties shall cooperate, consistent with their respective laws and institutional competence, to advance the common objective of address discriminatory or abusive conditions through outcome-based floors while leaving wage-setting, benefit design and leave architecture primarily to competent domestic authorities. Cooperation may include exchange of practices, technical assistance, compatible guidance and voluntary coordination and shall not require identical domestic institutions.</w:t>
      </w:r>
    </w:p>
    <w:p>
      <w:pPr>
        <w:pStyle w:val="Heading3"/>
      </w:pPr>
      <w:r>
        <w:t>HR4-230. Equal Pay And Pay-Equity Tools: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HR4-231. Equal Pay And Pay-Equity Tools: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HR4-232. Hours, Wages, Leave And Basic Conditions: Common Objective and Cooperation Duty</w:t>
      </w:r>
    </w:p>
    <w:p>
      <w:pPr>
        <w:pStyle w:val="Normal"/>
      </w:pPr>
      <w:r>
        <w:t>The Parties shall cooperate, consistent with their respective laws and institutional competence, to advance the common objective of address discriminatory or abusive conditions through outcome-based floors while leaving wage-setting, benefit design and leave architecture primarily to competent domestic authorities. Cooperation may include exchange of practices, technical assistance, compatible guidance and voluntary coordination and shall not require identical domestic institutions.</w:t>
      </w:r>
    </w:p>
    <w:p>
      <w:pPr>
        <w:pStyle w:val="Heading3"/>
      </w:pPr>
      <w:r>
        <w:t>HR4-233. Hours, Wages, Leave And Basic Conditions: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HR4-234. Hours, Wages, Leave And Basic Conditions: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HR4-235. Family And Caregiving Leave Equality: Common Objective and Cooperation Duty</w:t>
      </w:r>
    </w:p>
    <w:p>
      <w:pPr>
        <w:pStyle w:val="Normal"/>
      </w:pPr>
      <w:r>
        <w:t>The Parties shall cooperate, consistent with their respective laws and institutional competence, to advance the common objective of avoid arbitrary family separation and discrimination based on caregiving status while preserving lawful child-protection, safety and judicial decision-making. Cooperation may include exchange of practices, technical assistance, compatible guidance and voluntary coordination and shall not require identical domestic institutions.</w:t>
      </w:r>
    </w:p>
    <w:p>
      <w:pPr>
        <w:pStyle w:val="Heading3"/>
      </w:pPr>
      <w:r>
        <w:t>HR4-236. Family And Caregiving Leave Equality: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HR4-237. Family And Caregiving Leave Equality: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HR4-238. Family And Caregiving Leave Equality: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pPr>
      <w:r>
        <w:t>HR4-239. Rapid-Response Labour Mechanism Scope: Common Objective and Cooperation Duty</w:t>
      </w:r>
    </w:p>
    <w:p>
      <w:pPr>
        <w:pStyle w:val="Normal"/>
      </w:pPr>
      <w:r>
        <w:t>The Parties shall cooperate, consistent with their respective laws and institutional competence, to advance the common objective of define covered denials of rights, evidence thresholds, verification, cure opportunities, proportional remedies and safeguards against politicized or duplicative use. Cooperation may include exchange of practices, technical assistance, compatible guidance and voluntary coordination and shall not require identical domestic institutions.</w:t>
      </w:r>
    </w:p>
    <w:p>
      <w:pPr>
        <w:pStyle w:val="Heading3"/>
      </w:pPr>
      <w:r>
        <w:t>HR4-240. Rapid-Response Labour Mechanism Scope: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HR4-241. Worker Data And Outcome Transparency: Common Objective and Cooperation Duty</w:t>
      </w:r>
    </w:p>
    <w:p>
      <w:pPr>
        <w:pStyle w:val="Normal"/>
      </w:pPr>
      <w:r>
        <w:t>The Parties shall cooperate, consistent with their respective laws and institutional competence, to advance the common objective of use necessity, purpose limitation, data minimization, security, retention limits, transparency, correction and independent oversight appropriate to the sensitivity and use of the information. Cooperation may include exchange of practices, technical assistance, compatible guidance and voluntary coordination and shall not require identical domestic institutions.</w:t>
      </w:r>
    </w:p>
    <w:p>
      <w:pPr>
        <w:pStyle w:val="Heading3"/>
      </w:pPr>
      <w:r>
        <w:t>HR4-242. Worker Data And Outcome Transparency: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52" w:name="_Toc300002551"/>
      <w:r>
        <w:t>CL-19. MIGRATION, ASYLUM AND BORDER-ADMINISTRATION RIGHTS</w:t>
      </w:r>
      <w:bookmarkEnd w:id="902552"/>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HR4-243. Mass Sweep And Checkpoint Safeguards: Common Objective and Cooperation Duty</w:t>
      </w:r>
    </w:p>
    <w:p>
      <w:pPr>
        <w:pStyle w:val="Normal"/>
      </w:pPr>
      <w:r>
        <w:t>The Parties shall cooperate, consistent with their respective laws and institutional competence, to advance the common objective of favor individualized, evidence-based and reviewable enforcement over quota-driven, indiscriminate or discriminatory operations, while preserving lawful border and public-safety powers. Cooperation may include exchange of practices, technical assistance, compatible guidance and voluntary coordination and shall not require identical domestic institutions.</w:t>
      </w:r>
    </w:p>
    <w:p>
      <w:pPr>
        <w:pStyle w:val="Heading3"/>
      </w:pPr>
      <w:r>
        <w:t>HR4-244. Mass Sweep And Checkpoint Safeguards: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HR4-245. Mass Sweep And Checkpoint Safeguards: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HR4-246. Use-Of-Force And De-Escalation In Border/Immigration Operations: Common Objective and Cooperation Duty</w:t>
      </w:r>
    </w:p>
    <w:p>
      <w:pPr>
        <w:pStyle w:val="Normal"/>
      </w:pPr>
      <w:r>
        <w:t>The Parties shall cooperate, consistent with their respective laws and institutional competence, to advance the common objective of require necessity, proportionality, de-escalation where feasible, medical response, incident documentation and independent review of serious uses of force. Cooperation may include exchange of practices, technical assistance, compatible guidance and voluntary coordination and shall not require identical domestic institutions.</w:t>
      </w:r>
    </w:p>
    <w:p>
      <w:pPr>
        <w:pStyle w:val="Heading3"/>
      </w:pPr>
      <w:r>
        <w:t>HR4-247. Use-Of-Force And De-Escalation In Border/Immigration Operations: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HR4-248. Use-Of-Force And De-Escalation In Border/Immigration Operations: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HR4-249. Use-Of-Force And De-Escalation In Border/Immigration Operations: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2"/>
      </w:pPr>
      <w:bookmarkStart w:id="902553" w:name="_Toc300002552"/>
      <w:r>
        <w:t>CL-20. CUSTODY, DETENTION AND CORRECTIONS RIGHTS</w:t>
      </w:r>
      <w:bookmarkEnd w:id="902553"/>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HR4-250. Alternatives And Least-Restrictive Custody: Common Objective and Cooperation Duty</w:t>
      </w:r>
    </w:p>
    <w:p>
      <w:pPr>
        <w:pStyle w:val="Normal"/>
      </w:pPr>
      <w:r>
        <w:t>The Parties shall cooperate, consistent with their respective laws and institutional competence, to advance the common objective of protect food, water, sanitation, safe temperature, sleep, healthcare, communication, legal access, disability accommodation, safety and meaningful review without converting custody standards into a trade concession. Cooperation may include exchange of practices, technical assistance, compatible guidance and voluntary coordination and shall not require identical domestic institutions.</w:t>
      </w:r>
    </w:p>
    <w:p>
      <w:pPr>
        <w:pStyle w:val="Heading3"/>
      </w:pPr>
      <w:r>
        <w:t>HR4-251. Alternatives And Least-Restrictive Custody: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HR4-252. Independent Inspection And Serious-Incident Reporting: Common Objective and Cooperation Duty</w:t>
      </w:r>
    </w:p>
    <w:p>
      <w:pPr>
        <w:pStyle w:val="Normal"/>
      </w:pPr>
      <w: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pPr>
      <w:r>
        <w:t>HR4-253. Independent Inspection And Serious-Incident Reporting: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54" w:name="_Toc300002553"/>
      <w:r>
        <w:t>CL-21. INDIGENOUS RIGHTS AND ECONOMIC PARTICIPATION</w:t>
      </w:r>
      <w:bookmarkEnd w:id="902554"/>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HR4-254. Indigenous Decision-Making Institutions: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HR4-255. Indigenous Decision-Making Institutions: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HR4-256. Indigenous Decision-Making Institutions: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HR4-257. Indigenous Decision-Making Institutions: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pPr>
      <w:r>
        <w:t>HR4-258. Indigenous Economic Development Autonomy: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HR4-259. Indigenous Economic Development Autonomy: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HR4-260. Indigenous Economic Development Autonomy: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HR4-261. Indigenous Economic Development Autonomy: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pPr>
      <w:r>
        <w:t>HR4-262. Indigenous Business And Sme Trade Facilitation: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HR4-263. Indigenous Business And Sme Trade Facilitation: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HR4-264. Indigenous Business And Sme Trade Facilitation: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HR4-265. Indigenous Procurement Participation: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HR4-266. Indigenous Procurement Participation: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HR4-267. Indigenous Trade Finance And Investment Access: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HR4-268. Indigenous Trade Finance And Investment Access: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HR4-269. Indigenous-To-Indigenous And Traditional Trade Facilitation: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HR4-270. Indigenous-To-Indigenous And Traditional Trade Facilitation: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HR4-271. Cross-Border Cultural And Community Mobility Facilitation: Common Objective and Cooperation Duty</w:t>
      </w:r>
    </w:p>
    <w:p>
      <w:pPr>
        <w:pStyle w:val="Normal"/>
      </w:pPr>
      <w: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pPr>
      <w:r>
        <w:t>HR4-272. Cross-Border Cultural And Community Mobility Facilitation: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HR4-273. Cross-Border Cultural And Community Mobility Facilitation: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HR4-274. Indigenous Data Governance And Sovereignty Safeguards: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HR4-275. Indigenous Data Governance And Sovereignty Safeguards: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HR4-276. Genetic Resources And Benefit Sharing: Common Objective and Cooperation Duty</w:t>
      </w:r>
    </w:p>
    <w:p>
      <w:pPr>
        <w:pStyle w:val="Normal"/>
      </w:pPr>
      <w: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pPr>
      <w:r>
        <w:t>HR4-277. Genetic Resources And Benefit Sharing: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HR4-278. Environmental Stewardship And Co-Management Cooperation: Common Objective and Cooperation Duty</w:t>
      </w:r>
    </w:p>
    <w:p>
      <w:pPr>
        <w:pStyle w:val="Normal"/>
      </w:pPr>
      <w:r>
        <w:t>The Parties shall cooperate, consistent with their respective laws and institutional competence, to advance the common objective of preserve each Party’s chosen level of environmental protection, prevent trade-driven non-enforcement or regression, and support evidence-based participation, conservation and transition cooperation. Cooperation may include exchange of practices, technical assistance, compatible guidance and voluntary coordination and shall not require identical domestic institutions.</w:t>
      </w:r>
    </w:p>
    <w:p>
      <w:pPr>
        <w:pStyle w:val="Heading3"/>
      </w:pPr>
      <w:r>
        <w:t>HR4-279. Environmental Stewardship And Co-Management Cooperation: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HR4-280. Environmental Stewardship And Co-Management Cooperation: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HR4-281. Environmental Stewardship And Co-Management Cooperation: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pPr>
      <w:r>
        <w:t>HR4-282. Resource-Project Participation And Benefit Pathways: Common Objective and Cooperation Duty</w:t>
      </w:r>
    </w:p>
    <w:p>
      <w:pPr>
        <w:pStyle w:val="Normal"/>
      </w:pPr>
      <w: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pPr>
      <w:r>
        <w:t>HR4-283. Resource-Project Participation And Benefit Pathways: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HR4-284. Indigenous Expertise In Panels And Committees: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HR4-285. Indigenous Expertise In Panels And Committees: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HR4-286. Undrip/Domestic-Rights Consistency Review: Common Objective and Cooperation Duty</w:t>
      </w:r>
    </w:p>
    <w:p>
      <w:pPr>
        <w:pStyle w:val="Normal"/>
      </w:pPr>
      <w:r>
        <w:t>The Parties shall cooperate, consistent with their respective laws and institutional competence, to advance the common objective of preserve stronger constitutional, treaty, inherent, statutory and otherwise applicable Indigenous rights, avoid defining rights downward, and require culturally appropriate participation where the treaty materially affects protected interests. Cooperation may include exchange of practices, technical assistance, compatible guidance and voluntary coordination and shall not require identical domestic institutions.</w:t>
      </w:r>
    </w:p>
    <w:p>
      <w:pPr>
        <w:pStyle w:val="Heading3"/>
      </w:pPr>
      <w:r>
        <w:t>HR4-287. Undrip/Domestic-Rights Consistency Review: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55" w:name="_Toc300002554"/>
      <w:r>
        <w:t>CL-22. DIGITAL, PRIVACY, DATA AND AUTOMATED-DECISION RIGHTS</w:t>
      </w:r>
      <w:bookmarkEnd w:id="902555"/>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HR4-288. Biometric And Facial-Recognition Safeguards: Common Objective and Cooperation Duty</w:t>
      </w:r>
    </w:p>
    <w:p>
      <w:pPr>
        <w:pStyle w:val="Normal"/>
      </w:pPr>
      <w:r>
        <w:t>The Parties shall cooperate, consistent with their respective laws and institutional competence, to advance the common objective of apply heightened necessity, proportionality, accuracy, bias testing, authorization, logging, retention and review safeguards to intrusive or identity-sensitive technologies. Cooperation may include exchange of practices, technical assistance, compatible guidance and voluntary coordination and shall not require identical domestic institutions.</w:t>
      </w:r>
    </w:p>
    <w:p>
      <w:pPr>
        <w:pStyle w:val="Heading3"/>
      </w:pPr>
      <w:r>
        <w:t>HR4-289. Biometric And Facial-Recognition Safeguards: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HR4-290. Encryption And Cybersecurity Rights Balance: Common Objective and Cooperation Duty</w:t>
      </w:r>
    </w:p>
    <w:p>
      <w:pPr>
        <w:pStyle w:val="Normal"/>
      </w:pPr>
      <w:r>
        <w:t>The Parties shall cooperate, consistent with their respective laws and institutional competence, to advance the common objective of preserve cybersecurity and lawful-investigation objectives without creating blanket requirements that systematically weaken secure communications or expose users to disproportionate risk. Cooperation may include exchange of practices, technical assistance, compatible guidance and voluntary coordination and shall not require identical domestic institutions.</w:t>
      </w:r>
    </w:p>
    <w:p>
      <w:pPr>
        <w:pStyle w:val="Heading3"/>
      </w:pPr>
      <w:r>
        <w:t>HR4-291. Encryption And Cybersecurity Rights Balance: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HR4-292. Digital Expression, Access And Platform Due Process: Common Objective and Cooperation Duty</w:t>
      </w:r>
    </w:p>
    <w:p>
      <w:pPr>
        <w:pStyle w:val="Normal"/>
      </w:pPr>
      <w:r>
        <w:t>The Parties shall cooperate, consistent with their respective laws and institutional competence, to advance the common objective of require notice, a meaningful opportunity to respond, impartial decision-making, reasons where appropriate, and access to review proportionate to the decision at stake. Cooperation may include exchange of practices, technical assistance, compatible guidance and voluntary coordination and shall not require identical domestic institutions.</w:t>
      </w:r>
    </w:p>
    <w:p>
      <w:pPr>
        <w:pStyle w:val="Heading3"/>
      </w:pPr>
      <w:r>
        <w:t>HR4-293. Digital Expression, Access And Platform Due Process: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HR4-294. Digital Expression, Access And Platform Due Process: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HR4-295. Children/Vulnerable Persons Digital Safety: Common Objective and Cooperation Duty</w:t>
      </w:r>
    </w:p>
    <w:p>
      <w:pPr>
        <w:pStyle w:val="Normal"/>
      </w:pPr>
      <w: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pPr>
      <w:r>
        <w:t>HR4-296. Children/Vulnerable Persons Digital Safety: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56" w:name="_Toc300002555"/>
      <w:r>
        <w:t>CL-23. BUSINESS, CORPORATE AND SUPPLY-CHAIN HUMAN RIGHTS</w:t>
      </w:r>
      <w:bookmarkEnd w:id="902556"/>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HR4-297. Risk-Based Human-Rights Due Diligence: Common Objective and Cooperation Duty</w:t>
      </w:r>
    </w:p>
    <w:p>
      <w:pPr>
        <w:pStyle w:val="Normal"/>
      </w:pPr>
      <w: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pPr>
      <w:r>
        <w:t>HR4-298. Risk-Based Human-Rights Due Diligence: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HR4-299. Corporate Human-Rights Policy And Governance: Common Objective and Cooperation Duty</w:t>
      </w:r>
    </w:p>
    <w:p>
      <w:pPr>
        <w:pStyle w:val="Normal"/>
      </w:pPr>
      <w: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pPr>
      <w:r>
        <w:t>HR4-300. Corporate Human-Rights Policy And Governance: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HR4-301. Corporate Human-Rights Policy And Governance: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HR4-302. Corporate Human-Rights Policy And Governance: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pPr>
      <w:r>
        <w:t>HR4-303. Supply-Chain Transparency And Traceability: Common Objective and Cooperation Duty</w:t>
      </w:r>
    </w:p>
    <w:p>
      <w:pPr>
        <w:pStyle w:val="Normal"/>
      </w:pPr>
      <w: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pPr>
      <w:r>
        <w:t>HR4-304. Supply-Chain Transparency And Traceability: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HR4-305. Community Complaint And Remediation Mechanisms: Common Objective and Cooperation Duty</w:t>
      </w:r>
    </w:p>
    <w:p>
      <w:pPr>
        <w:pStyle w:val="Normal"/>
      </w:pPr>
      <w: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pPr>
      <w:r>
        <w:t>HR4-306. Community Complaint And Remediation Mechanisms: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HR4-307. Human-Rights Impact Assessment For Major Projects: Common Objective and Cooperation Duty</w:t>
      </w:r>
    </w:p>
    <w:p>
      <w:pPr>
        <w:pStyle w:val="Normal"/>
      </w:pPr>
      <w:r>
        <w:t>The Parties shall cooperate, consistent with their respective laws and institutional competence, to advance the common objective of use proportionate, evidence-based screening focused on materially affected rights and communities, avoiding automatic vetoes or duplicative assessment regimes. Cooperation may include exchange of practices, technical assistance, compatible guidance and voluntary coordination and shall not require identical domestic institutions.</w:t>
      </w:r>
    </w:p>
    <w:p>
      <w:pPr>
        <w:pStyle w:val="Heading3"/>
      </w:pPr>
      <w:r>
        <w:t>HR4-308. Human-Rights Impact Assessment For Major Projects: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HR4-309. Responsible Procurement And Contractor Eligibility: Common Objective and Cooperation Duty</w:t>
      </w:r>
    </w:p>
    <w:p>
      <w:pPr>
        <w:pStyle w:val="Normal"/>
      </w:pPr>
      <w: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pPr>
      <w:r>
        <w:t>HR4-310. Responsible Procurement And Contractor Eligibility: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HR4-311. High-Risk Extractive And Resource-Sector Safeguards: Common Objective and Cooperation Duty</w:t>
      </w:r>
    </w:p>
    <w:p>
      <w:pPr>
        <w:pStyle w:val="Normal"/>
      </w:pPr>
      <w: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pPr>
      <w:r>
        <w:t>HR4-312. High-Risk Extractive And Resource-Sector Safeguards: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HR4-313. International Responsible-Business Standards Interoperability: Common Objective and Cooperation Duty</w:t>
      </w:r>
    </w:p>
    <w:p>
      <w:pPr>
        <w:pStyle w:val="Normal"/>
      </w:pPr>
      <w: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pPr>
      <w:r>
        <w:t>HR4-314. International Responsible-Business Standards Interoperability: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57" w:name="_Toc300002556"/>
      <w:r>
        <w:t>CL-24. ENVIRONMENTAL AND COMMUNITY RIGHTS</w:t>
      </w:r>
      <w:bookmarkEnd w:id="902557"/>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HR4-315. Environmental Justice And Vulnerable-Community Impacts: Common Objective and Cooperation Duty</w:t>
      </w:r>
    </w:p>
    <w:p>
      <w:pPr>
        <w:pStyle w:val="Normal"/>
      </w:pPr>
      <w:r>
        <w:t>The Parties shall cooperate, consistent with their respective laws and institutional competence, to advance the common objective of preserve each Party’s chosen level of environmental protection, prevent trade-driven non-enforcement or regression, and support evidence-based participation, conservation and transition cooperation. Cooperation may include exchange of practices, technical assistance, compatible guidance and voluntary coordination and shall not require identical domestic institutions.</w:t>
      </w:r>
    </w:p>
    <w:p>
      <w:pPr>
        <w:pStyle w:val="Heading3"/>
      </w:pPr>
      <w:r>
        <w:t>HR4-316. Environmental Justice And Vulnerable-Community Impacts: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HR4-317. Industrial Decarbonization Cooperation: Common Objective and Cooperation Duty</w:t>
      </w:r>
    </w:p>
    <w:p>
      <w:pPr>
        <w:pStyle w:val="Normal"/>
      </w:pPr>
      <w:r>
        <w:t>The Parties shall cooperate, consistent with their respective laws and institutional competence, to advance the common objective of preserve each Party’s chosen level of environmental protection, prevent trade-driven non-enforcement or regression, and support evidence-based participation, conservation and transition cooperation. Cooperation may include exchange of practices, technical assistance, compatible guidance and voluntary coordination and shall not require identical domestic institutions.</w:t>
      </w:r>
    </w:p>
    <w:p>
      <w:pPr>
        <w:pStyle w:val="Heading3"/>
      </w:pPr>
      <w:r>
        <w:t>HR4-318. Industrial Decarbonization Cooperation: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HR4-319. Pollution, Waste And Circular-Economy Safeguards: Common Objective and Cooperation Duty</w:t>
      </w:r>
    </w:p>
    <w:p>
      <w:pPr>
        <w:pStyle w:val="Normal"/>
      </w:pPr>
      <w:r>
        <w:t>The Parties shall cooperate, consistent with their respective laws and institutional competence, to advance the common objective of preserve each Party’s chosen level of environmental protection, prevent trade-driven non-enforcement or regression, and support evidence-based participation, conservation and transition cooperation. Cooperation may include exchange of practices, technical assistance, compatible guidance and voluntary coordination and shall not require identical domestic institutions.</w:t>
      </w:r>
    </w:p>
    <w:p>
      <w:pPr>
        <w:pStyle w:val="Heading3"/>
      </w:pPr>
      <w:r>
        <w:t>HR4-320. Pollution, Waste And Circular-Economy Safeguards: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HR4-321. Environmental Impact And Cumulative-Effects Review: Common Objective and Cooperation Duty</w:t>
      </w:r>
    </w:p>
    <w:p>
      <w:pPr>
        <w:pStyle w:val="Normal"/>
      </w:pPr>
      <w:r>
        <w:t>The Parties shall cooperate, consistent with their respective laws and institutional competence, to advance the common objective of preserve each Party’s chosen level of environmental protection, prevent trade-driven non-enforcement or regression, and support evidence-based participation, conservation and transition cooperation. Cooperation may include exchange of practices, technical assistance, compatible guidance and voluntary coordination and shall not require identical domestic institutions.</w:t>
      </w:r>
    </w:p>
    <w:p>
      <w:pPr>
        <w:pStyle w:val="Heading3"/>
      </w:pPr>
      <w:r>
        <w:t>HR4-322. Environmental Impact And Cumulative-Effects Review: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HR4-323. Environmental Impact And Cumulative-Effects Review: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HR4-324. Environmental Impact And Cumulative-Effects Review: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2"/>
      </w:pPr>
      <w:bookmarkStart w:id="902558" w:name="_Toc300002557"/>
      <w:r>
        <w:t>CL-25. PUBLIC HEALTH, MEDICINES AND SOCIAL RESILIENCE</w:t>
      </w:r>
      <w:bookmarkEnd w:id="902558"/>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HR4-325. Emergency Health And Pandemic Cooperation: Common Objective and Cooperation Duty</w:t>
      </w:r>
    </w:p>
    <w:p>
      <w:pPr>
        <w:pStyle w:val="Normal"/>
      </w:pPr>
      <w:r>
        <w:t>The Parties shall cooperate, consistent with their respective laws and institutional competence, to advance the common objective of preserve public-health and essential-service policy space, continuity during emergencies, non-discriminatory access where trade rules are implicated, and safeguards for privacy, safety and legitimate regulation. Cooperation may include exchange of practices, technical assistance, compatible guidance and voluntary coordination and shall not require identical domestic institutions.</w:t>
      </w:r>
    </w:p>
    <w:p>
      <w:pPr>
        <w:pStyle w:val="Heading3"/>
      </w:pPr>
      <w:r>
        <w:t>HR4-326. Emergency Health And Pandemic Cooperation: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HR4-327. Health-Data Cooperation With Privacy Safeguards: Common Objective and Cooperation Duty</w:t>
      </w:r>
    </w:p>
    <w:p>
      <w:pPr>
        <w:pStyle w:val="Normal"/>
      </w:pPr>
      <w:r>
        <w:t>The Parties shall cooperate, consistent with their respective laws and institutional competence, to advance the common objective of use necessity, purpose limitation, data minimization, security, retention limits, transparency, correction and independent oversight appropriate to the sensitivity and use of the information. Cooperation may include exchange of practices, technical assistance, compatible guidance and voluntary coordination and shall not require identical domestic institutions.</w:t>
      </w:r>
    </w:p>
    <w:p>
      <w:pPr>
        <w:pStyle w:val="Heading3"/>
      </w:pPr>
      <w:r>
        <w:t>HR4-328. Health-Data Cooperation With Privacy Safeguards: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HR4-329. Food, Water And Basic-Needs Resilience: Common Objective and Cooperation Duty</w:t>
      </w:r>
    </w:p>
    <w:p>
      <w:pPr>
        <w:pStyle w:val="Normal"/>
      </w:pPr>
      <w:r>
        <w:t>The Parties shall cooperate, consistent with their respective laws and institutional competence, to advance the common objective of preserve public-health and essential-service policy space, continuity during emergencies, non-discriminatory access where trade rules are implicated, and safeguards for privacy, safety and legitimate regulation. Cooperation may include exchange of practices, technical assistance, compatible guidance and voluntary coordination and shall not require identical domestic institutions.</w:t>
      </w:r>
    </w:p>
    <w:p>
      <w:pPr>
        <w:pStyle w:val="Heading3"/>
      </w:pPr>
      <w:r>
        <w:t>HR4-330. Food, Water And Basic-Needs Resilience: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HR4-331. Food, Water And Basic-Needs Resilience: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HR4-332. Health And Social Impact Assessment: Common Objective and Cooperation Duty</w:t>
      </w:r>
    </w:p>
    <w:p>
      <w:pPr>
        <w:pStyle w:val="Normal"/>
      </w:pPr>
      <w:r>
        <w:t>The Parties shall cooperate, consistent with their respective laws and institutional competence, to advance the common objective of preserve public-health and essential-service policy space, continuity during emergencies, non-discriminatory access where trade rules are implicated, and safeguards for privacy, safety and legitimate regulation. Cooperation may include exchange of practices, technical assistance, compatible guidance and voluntary coordination and shall not require identical domestic institutions.</w:t>
      </w:r>
    </w:p>
    <w:p>
      <w:pPr>
        <w:pStyle w:val="Heading3"/>
      </w:pPr>
      <w:r>
        <w:t>HR4-333. Health And Social Impact Assessment: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HR4-334. Sex/Gender/Disability-Responsive Health Evidence: Common Objective and Cooperation Duty</w:t>
      </w:r>
    </w:p>
    <w:p>
      <w:pPr>
        <w:pStyle w:val="Normal"/>
      </w:pPr>
      <w:r>
        <w:t>The Parties shall cooperate, consistent with their respective laws and institutional competence, to advance the common objective of preserve public-health and essential-service policy space, continuity during emergencies, non-discriminatory access where trade rules are implicated, and safeguards for privacy, safety and legitimate regulation. Cooperation may include exchange of practices, technical assistance, compatible guidance and voluntary coordination and shall not require identical domestic institutions.</w:t>
      </w:r>
    </w:p>
    <w:p>
      <w:pPr>
        <w:pStyle w:val="Heading3"/>
      </w:pPr>
      <w:r>
        <w:t>HR4-335. Sex/Gender/Disability-Responsive Health Evidence: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HR4-336. Sex/Gender/Disability-Responsive Health Evidence: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2"/>
      </w:pPr>
      <w:bookmarkStart w:id="902559" w:name="_Toc300002558"/>
      <w:r>
        <w:t>CL-26. GENDER EQUALITY AND INCLUSIVE TRADE</w:t>
      </w:r>
      <w:bookmarkEnd w:id="902559"/>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HR4-337. Trade-And-Gender Equality Framework: Common Objective and Cooperation Duty</w:t>
      </w:r>
    </w:p>
    <w:p>
      <w:pPr>
        <w:pStyle w:val="Normal"/>
      </w:pPr>
      <w:r>
        <w:t>The Parties shall cooperate, consistent with their respective laws and institutional competence, to advance the common objective of address measurable trade and workplace barriers without requiring identical domestic social-policy models, using disaggregated evidence and targeted participation where useful. Cooperation may include exchange of practices, technical assistance, compatible guidance and voluntary coordination and shall not require identical domestic institutions.</w:t>
      </w:r>
    </w:p>
    <w:p>
      <w:pPr>
        <w:pStyle w:val="Heading3"/>
      </w:pPr>
      <w:r>
        <w:t>HR4-338. Trade-And-Gender Equality Framework: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HR4-339. Trade-And-Gender Equality Framework: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HR4-340. Trade-And-Gender Equality Framework: Pilot, Review and Scaling</w:t>
      </w:r>
    </w:p>
    <w:p>
      <w:pPr>
        <w:pStyle w:val="Normal"/>
      </w:pPr>
      <w:r>
        <w:t>A Party or the Parties jointly may test this mechanism through a time-limited pilot with published objectives, safeguards and review criteria. Continuation or scaling requires an affirmative decision based on evidence; discontinuing a pilot does not reduce independently applicable rights or constitute noncompliance with an optional element.</w:t>
      </w:r>
    </w:p>
    <w:p>
      <w:pPr>
        <w:pStyle w:val="Heading3"/>
      </w:pPr>
      <w:r>
        <w:t>HR4-341. Women-Owned And Underrepresented Sme Access: Common Objective and Cooperation Duty</w:t>
      </w:r>
    </w:p>
    <w:p>
      <w:pPr>
        <w:pStyle w:val="Normal"/>
      </w:pPr>
      <w:r>
        <w:t>The Parties shall cooperate, consistent with their respective laws and institutional competence, to advance the common objective of address measurable trade and workplace barriers without requiring identical domestic social-policy models, using disaggregated evidence and targeted participation where useful. Cooperation may include exchange of practices, technical assistance, compatible guidance and voluntary coordination and shall not require identical domestic institutions.</w:t>
      </w:r>
    </w:p>
    <w:p>
      <w:pPr>
        <w:pStyle w:val="Heading3"/>
      </w:pPr>
      <w:r>
        <w:t>HR4-342. Women-Owned And Underrepresented Sme Access: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HR4-343. Women-Owned And Underrepresented Sme Access: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HR4-344. Gender-Differentiated Trade Impact Analysis: Common Objective and Cooperation Duty</w:t>
      </w:r>
    </w:p>
    <w:p>
      <w:pPr>
        <w:pStyle w:val="Normal"/>
      </w:pPr>
      <w:r>
        <w:t>The Parties shall cooperate, consistent with their respective laws and institutional competence, to advance the common objective of address measurable trade and workplace barriers without requiring identical domestic social-policy models, using disaggregated evidence and targeted participation where useful. Cooperation may include exchange of practices, technical assistance, compatible guidance and voluntary coordination and shall not require identical domestic institutions.</w:t>
      </w:r>
    </w:p>
    <w:p>
      <w:pPr>
        <w:pStyle w:val="Heading3"/>
      </w:pPr>
      <w:r>
        <w:t>HR4-345. Gender-Differentiated Trade Impact Analysis: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HR4-346. Gender-Differentiated Trade Impact Analysis: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HR4-347. Caregiving And Unpaid-Care Barrier Reduction: Common Objective and Cooperation Duty</w:t>
      </w:r>
    </w:p>
    <w:p>
      <w:pPr>
        <w:pStyle w:val="Normal"/>
      </w:pPr>
      <w:r>
        <w:t>The Parties shall cooperate, consistent with their respective laws and institutional competence, to advance the common objective of avoid arbitrary family separation and discrimination based on caregiving status while preserving lawful child-protection, safety and judicial decision-making. Cooperation may include exchange of practices, technical assistance, compatible guidance and voluntary coordination and shall not require identical domestic institutions.</w:t>
      </w:r>
    </w:p>
    <w:p>
      <w:pPr>
        <w:pStyle w:val="Heading3"/>
      </w:pPr>
      <w:r>
        <w:t>HR4-348. Caregiving And Unpaid-Care Barrier Reduction: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HR4-349. Caregiving And Unpaid-Care Barrier Reduction: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HR4-350. Inclusive Training And Skills Pathways: Common Objective and Cooperation Duty</w:t>
      </w:r>
    </w:p>
    <w:p>
      <w:pPr>
        <w:pStyle w:val="Normal"/>
      </w:pPr>
      <w:r>
        <w:t>The Parties shall cooperate, consistent with their respective laws and institutional competence, to advance the common objective of translate the mechanism into a narrow treaty-linked obligation, preserve stronger domestic protections, and avoid creating rights or liabilities beyond what the Parties expressly adopt. Cooperation may include exchange of practices, technical assistance, compatible guidance and voluntary coordination and shall not require identical domestic institutions.</w:t>
      </w:r>
    </w:p>
    <w:p>
      <w:pPr>
        <w:pStyle w:val="Heading3"/>
      </w:pPr>
      <w:r>
        <w:t>HR4-351. Inclusive Training And Skills Pathways: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HR4-352. Inclusive Training And Skills Pathways: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HR4-353. Gender-Based Violence In Trade/Work Contexts: Common Objective and Cooperation Duty</w:t>
      </w:r>
    </w:p>
    <w:p>
      <w:pPr>
        <w:pStyle w:val="Normal"/>
      </w:pPr>
      <w:r>
        <w:t>The Parties shall cooperate, consistent with their respective laws and institutional competence, to advance the common objective of require prevention, reporting, protection from retaliation, competent response and proportionate remedies, including for gender-based and identity-targeted harm. Cooperation may include exchange of practices, technical assistance, compatible guidance and voluntary coordination and shall not require identical domestic institutions.</w:t>
      </w:r>
    </w:p>
    <w:p>
      <w:pPr>
        <w:pStyle w:val="Heading3"/>
      </w:pPr>
      <w:r>
        <w:t>HR4-354. Gender-Based Violence In Trade/Work Contexts: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HR4-355. Sex/Gender-Disaggregated Monitoring: Common Objective and Cooperation Duty</w:t>
      </w:r>
    </w:p>
    <w:p>
      <w:pPr>
        <w:pStyle w:val="Normal"/>
      </w:pPr>
      <w:r>
        <w:t>The Parties shall cooperate, consistent with their respective laws and institutional competence, to advance the common objective of address measurable trade and workplace barriers without requiring identical domestic social-policy models, using disaggregated evidence and targeted participation where useful. Cooperation may include exchange of practices, technical assistance, compatible guidance and voluntary coordination and shall not require identical domestic institutions.</w:t>
      </w:r>
    </w:p>
    <w:p>
      <w:pPr>
        <w:pStyle w:val="Heading3"/>
      </w:pPr>
      <w:r>
        <w:t>HR4-356. Sex/Gender-Disaggregated Monitoring: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60" w:name="_Toc300002559"/>
      <w:r>
        <w:t>CL-27. DISABILITY RIGHTS AND ACCESSIBILITY</w:t>
      </w:r>
      <w:bookmarkEnd w:id="902560"/>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HR4-357. Accessible Digital Trade And Procurement: Common Objective and Cooperation Duty</w:t>
      </w:r>
    </w:p>
    <w:p>
      <w:pPr>
        <w:pStyle w:val="Normal"/>
      </w:pPr>
      <w:r>
        <w:t>The Parties shall cooperate, consistent with their respective laws and institutional competence, to advance the common objective of use risk-based due diligence, proportionate expectations, supplier engagement, remediation and transparent eligibility criteria while avoiding automatic private liability unless expressly adopted. Cooperation may include exchange of practices, technical assistance, compatible guidance and voluntary coordination and shall not require identical domestic institutions.</w:t>
      </w:r>
    </w:p>
    <w:p>
      <w:pPr>
        <w:pStyle w:val="Heading3"/>
      </w:pPr>
      <w:r>
        <w:t>HR4-358. Accessible Digital Trade And Procurement: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HR4-359. Disability-Inclusive Employment And Skills: Common Objective and Cooperation Duty</w:t>
      </w:r>
    </w:p>
    <w:p>
      <w:pPr>
        <w:pStyle w:val="Normal"/>
      </w:pPr>
      <w:r>
        <w:t>The Parties shall cooperate, consistent with their respective laws and institutional competence, to advance the common objective of require non-discriminatory access, reasonable accommodation and accessible communications consistent with legitimate safety, feasibility and undue-hardship standards under applicable law. Cooperation may include exchange of practices, technical assistance, compatible guidance and voluntary coordination and shall not require identical domestic institutions.</w:t>
      </w:r>
    </w:p>
    <w:p>
      <w:pPr>
        <w:pStyle w:val="Heading3"/>
      </w:pPr>
      <w:r>
        <w:t>HR4-360. Disability-Inclusive Employment And Skills: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61" w:name="_Toc300002560"/>
      <w:r>
        <w:t>CL-28. HUMAN-RIGHTS GOVERNANCE, INTERPRETATION AND REVIEW</w:t>
      </w:r>
      <w:bookmarkEnd w:id="902561"/>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HR4-361. Human-Rights Impact Assessment Framework: Common Objective and Cooperation Duty</w:t>
      </w:r>
    </w:p>
    <w:p>
      <w:pPr>
        <w:pStyle w:val="Normal"/>
      </w:pPr>
      <w:r>
        <w:t>The Parties shall cooperate, consistent with their respective laws and institutional competence, to advance the common objective of use proportionate, evidence-based screening focused on materially affected rights and communities, avoiding automatic vetoes or duplicative assessment regimes. Cooperation may include exchange of practices, technical assistance, compatible guidance and voluntary coordination and shall not require identical domestic institutions.</w:t>
      </w:r>
    </w:p>
    <w:p>
      <w:pPr>
        <w:pStyle w:val="Heading3"/>
      </w:pPr>
      <w:r>
        <w:t>HR4-362. Human-Rights Impact Assessment Framework: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HR4-363. Human-Rights And Trade Advisory Participation: Common Objective and Cooperation Duty</w:t>
      </w:r>
    </w:p>
    <w:p>
      <w:pPr>
        <w:pStyle w:val="Normal"/>
      </w:pPr>
      <w: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pPr>
      <w:r>
        <w:t>HR4-364. Human-Rights And Trade Advisory Participation: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HR4-365. Human-Rights And Trade Advisory Participation: Data, Participation and Capacity-Building</w:t>
      </w:r>
    </w:p>
    <w:p>
      <w:pPr>
        <w:pStyle w:val="Normal"/>
      </w:pPr>
      <w:r>
        <w:t>Implementation should use proportionate evidence, affected-community participation and capacity-building where useful. Data collection shall be limited to what is reasonably necessary, protect confidential and sensitive personal information, use aggregation or de-identification where practicable, and avoid duplicative reporting.</w:t>
      </w:r>
    </w:p>
    <w:p>
      <w:pPr>
        <w:pStyle w:val="Heading3"/>
      </w:pPr>
      <w:r>
        <w:t>HR4-366. Complaint Intake And Referral Portal: Common Objective and Cooperation Duty</w:t>
      </w:r>
    </w:p>
    <w:p>
      <w:pPr>
        <w:pStyle w:val="Normal"/>
      </w:pPr>
      <w: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pPr>
      <w:r>
        <w:t>HR4-367. Complaint Intake And Referral Portal: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HR4-368. Independent Evidence And Expert Input: Common Objective and Cooperation Duty</w:t>
      </w:r>
    </w:p>
    <w:p>
      <w:pPr>
        <w:pStyle w:val="Normal"/>
      </w:pPr>
      <w: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pPr>
      <w:r>
        <w:t>HR4-369. Independent Evidence And Expert Input: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3"/>
      </w:pPr>
      <w:r>
        <w:t>HR4-370. Periodic Review And Update Mechanism: Common Objective and Cooperation Duty</w:t>
      </w:r>
    </w:p>
    <w:p>
      <w:pPr>
        <w:pStyle w:val="Normal"/>
      </w:pPr>
      <w:r>
        <w:t>The Parties shall cooperate, consistent with their respective laws and institutional competence, to advance the common objective of use existing institutions where possible, transparent criteria, diverse expertise, confidentiality safeguards and periodic review without creating duplicative bureaucracy or private enforcement by implication. Cooperation may include exchange of practices, technical assistance, compatible guidance and voluntary coordination and shall not require identical domestic institutions.</w:t>
      </w:r>
    </w:p>
    <w:p>
      <w:pPr>
        <w:pStyle w:val="Heading3"/>
      </w:pPr>
      <w:r>
        <w:t>HR4-371. Periodic Review And Update Mechanism: Equivalent Implementation Pathways</w:t>
      </w:r>
    </w:p>
    <w:p>
      <w:pPr>
        <w:pStyle w:val="Normal"/>
      </w:pPr>
      <w:r>
        <w:t>Each Party may implement this mechanism through legislation, regulation, administrative practice, procurement conditions, collective arrangements, sectoral programs or other lawful means suited to its system. Different means are acceptable where they provide materially equivalent protection or progress and remain reviewable against the stated objective.</w:t>
      </w:r>
    </w:p>
    <w:p>
      <w:pPr>
        <w:pStyle w:val="Heading2"/>
      </w:pPr>
      <w:bookmarkStart w:id="902562" w:name="_Toc300002561"/>
      <w:r>
        <w:t>CL-29. BUSINESS, CORPORATE AND SUPPLY-CHAIN HUMAN RIGHTS</w:t>
      </w:r>
      <w:bookmarkEnd w:id="902562"/>
    </w:p>
    <w:p>
      <w:pPr>
        <w:pStyle w:val="Normal"/>
      </w:pPr>
      <w:r>
        <w:t>Application. Mixed Mandatory/Flexible Architecture. Provisions in this Section retain the Round-Three temperature assigned to their source mechanism and are interpreted through Articles CL-1 through CL-5.</w:t>
      </w:r>
    </w:p>
    <w:p>
      <w:pPr>
        <w:pStyle w:val="Heading3"/>
      </w:pPr>
      <w:r>
        <w:t>HR4-372. Parent/Subsidiary And Contractor Accountability: Voluntary Accession and Scope</w:t>
      </w:r>
    </w:p>
    <w:p>
      <w:pPr>
        <w:pStyle w:val="Normal"/>
      </w:pPr>
      <w:r>
        <w:t>This Module applies only to a Party that affirmatively accedes to it in accordance with its domestic law and the procedures established by the Commission. Accession shall identify the Module's scope, competent authorities and effective date. Non-participation creates no adverse inference.</w:t>
      </w:r>
    </w:p>
    <w:p>
      <w:pPr>
        <w:pStyle w:val="Heading3"/>
      </w:pPr>
      <w:r>
        <w:t>HR4-373. Parent/Subsidiary And Contractor Accountability: Substantive Optional Standard</w:t>
      </w:r>
    </w:p>
    <w:p>
      <w:pPr>
        <w:pStyle w:val="Normal"/>
      </w:pPr>
      <w:r>
        <w:t>A participating Party may undertake the optional standard described by this mechanism, including measures to use risk-based due diligence, proportionate expectations, supplier engagement, remediation and transparent eligibility criteria while avoiding automatic private liability unless expressly adopted. The standard shall be interpreted consistently with constitutional requirements, stronger existing rights, Indigenous and treaty rights where applicable, and the safeguards of the mandatory human-rights core.</w:t>
      </w:r>
    </w:p>
    <w:p>
      <w:pPr>
        <w:pStyle w:val="Heading3"/>
      </w:pPr>
      <w:r>
        <w:t>HR4-374. Parent/Subsidiary And Contractor Accountability: Non-Coercion and Unrelated-Benefits Firewall</w:t>
      </w:r>
    </w:p>
    <w:p>
      <w:pPr>
        <w:pStyle w:val="Normal"/>
      </w:pPr>
      <w:r>
        <w:t>A Party's decision not to adopt, renew, fund or participate in this Optional Module does not constitute noncompliance and shall not trigger retaliation, reduce unrelated market access or treaty benefits, alter mandatory-core rights, or serve as an adverse inference in another dispute.</w:t>
      </w:r>
    </w:p>
    <w:p>
      <w:pPr>
        <w:pStyle w:val="Heading2"/>
      </w:pPr>
      <w:bookmarkStart w:id="902563" w:name="_Toc300002562"/>
      <w:r>
        <w:t>CL-30. OPTIONAL HIGH-SENSITIVITY HUMAN-RIGHTS MODULES</w:t>
      </w:r>
      <w:bookmarkEnd w:id="902563"/>
    </w:p>
    <w:p>
      <w:pPr>
        <w:pStyle w:val="Normal"/>
      </w:pPr>
      <w:r>
        <w:t>Application. Optional Module. Provisions in this Section retain the Round-Three temperature assigned to their source mechanism and are interpreted through Articles CL-1 through CL-5.</w:t>
      </w:r>
    </w:p>
    <w:p>
      <w:pPr>
        <w:pStyle w:val="Heading3"/>
      </w:pPr>
      <w:r>
        <w:t>HR4-375. Fpic And Consent-Based Indigenous Project Module: Voluntary Accession and Scope</w:t>
      </w:r>
    </w:p>
    <w:p>
      <w:pPr>
        <w:pStyle w:val="Normal"/>
      </w:pPr>
      <w:r>
        <w:t>This Module applies only to a Party that affirmatively accedes to it in accordance with its domestic law and the procedures established by the Commission. Accession shall identify the Module's scope, competent authorities and effective date. Non-participation creates no adverse inference.</w:t>
      </w:r>
    </w:p>
    <w:p>
      <w:pPr>
        <w:pStyle w:val="Heading3"/>
      </w:pPr>
      <w:r>
        <w:t>HR4-376. Fpic And Consent-Based Indigenous Project Module: Substantive Optional Standard</w:t>
      </w:r>
    </w:p>
    <w:p>
      <w:pPr>
        <w:pStyle w:val="Normal"/>
      </w:pPr>
      <w:r>
        <w:t>A participating Party may undertake the optional standard described by this mechanism, including measures to preserve stronger constitutional, treaty, inherent, statutory and otherwise applicable Indigenous rights, avoid defining rights downward, and require culturally appropriate participation where the treaty materially affects protected interests. The standard shall be interpreted consistently with constitutional requirements, stronger existing rights, Indigenous and treaty rights where applicable, and the safeguards of the mandatory human-rights core.</w:t>
      </w:r>
    </w:p>
    <w:p>
      <w:pPr>
        <w:pStyle w:val="Heading3"/>
      </w:pPr>
      <w:r>
        <w:t>HR4-377. Fpic And Consent-Based Indigenous Project Module: Non-Coercion and Unrelated-Benefits Firewall</w:t>
      </w:r>
    </w:p>
    <w:p>
      <w:pPr>
        <w:pStyle w:val="Normal"/>
      </w:pPr>
      <w:r>
        <w:t>A Party's decision not to adopt, renew, fund or participate in this Optional Module does not constitute noncompliance and shall not trigger retaliation, reduce unrelated market access or treaty benefits, alter mandatory-core rights, or serve as an adverse inference in another dispute.</w:t>
      </w:r>
    </w:p>
    <w:p>
      <w:pPr>
        <w:pStyle w:val="Heading3"/>
      </w:pPr>
      <w:r>
        <w:t>HR4-378. General Civil/Political-Rights Conditionality Module: Voluntary Accession and Scope</w:t>
      </w:r>
    </w:p>
    <w:p>
      <w:pPr>
        <w:pStyle w:val="Normal"/>
      </w:pPr>
      <w:r>
        <w:t>This Module applies only to a Party that affirmatively accedes to it in accordance with its domestic law and the procedures established by the Commission. Accession shall identify the Module's scope, competent authorities and effective date. Non-participation creates no adverse inference.</w:t>
      </w:r>
    </w:p>
    <w:p>
      <w:pPr>
        <w:pStyle w:val="Heading3"/>
      </w:pPr>
      <w:r>
        <w:t>HR4-379. General Civil/Political-Rights Conditionality Module: Substantive Optional Standard</w:t>
      </w:r>
    </w:p>
    <w:p>
      <w:pPr>
        <w:pStyle w:val="Normal"/>
      </w:pPr>
      <w:r>
        <w:t>A participating Party may undertake the optional standard described by this mechanism, including measures to translate the mechanism into a narrow treaty-linked obligation, preserve stronger domestic protections, and avoid creating rights or liabilities beyond what the Parties expressly adopt. The standard shall be interpreted consistently with constitutional requirements, stronger existing rights, Indigenous and treaty rights where applicable, and the safeguards of the mandatory human-rights core.</w:t>
      </w:r>
    </w:p>
    <w:p>
      <w:pPr>
        <w:pStyle w:val="Heading3"/>
      </w:pPr>
      <w:r>
        <w:t>HR4-380. General Civil/Political-Rights Conditionality Module: Non-Coercion and Unrelated-Benefits Firewall</w:t>
      </w:r>
    </w:p>
    <w:p>
      <w:pPr>
        <w:pStyle w:val="Normal"/>
      </w:pPr>
      <w:r>
        <w:t>A Party's decision not to adopt, renew, fund or participate in this Optional Module does not constitute noncompliance and shall not trigger retaliation, reduce unrelated market access or treaty benefits, alter mandatory-core rights, or serve as an adverse inference in another dispute.</w:t>
      </w:r>
    </w:p>
    <w:p>
      <w:pPr>
        <w:pStyle w:val="Heading3"/>
      </w:pPr>
      <w:r>
        <w:t>HR4-381. General Civil/Political-Rights Conditionality Module: Periodic Review, Amendment and Withdrawal</w:t>
      </w:r>
    </w:p>
    <w:p>
      <w:pPr>
        <w:pStyle w:val="Normal"/>
      </w:pPr>
      <w:r>
        <w:t>Participating Parties may periodically review, amend or withdraw from this Optional Module in accordance with published procedures. Withdrawal operates prospectively, preserves accrued responsibility and pending procedural protection, and does not affect unrelated obligations or benefits under this Agreement.</w:t>
      </w:r>
    </w:p>
    <w:p>
      <w:pPr>
        <w:pStyle w:val="Heading3"/>
      </w:pPr>
      <w:r>
        <w:t>HR4-382. Broad Social-Rights Guarantee Module: Voluntary Accession and Scope</w:t>
      </w:r>
    </w:p>
    <w:p>
      <w:pPr>
        <w:pStyle w:val="Normal"/>
      </w:pPr>
      <w:r>
        <w:t>This Module applies only to a Party that affirmatively accedes to it in accordance with its domestic law and the procedures established by the Commission. Accession shall identify the Module's scope, competent authorities and effective date. Non-participation creates no adverse inference.</w:t>
      </w:r>
    </w:p>
    <w:p>
      <w:pPr>
        <w:pStyle w:val="Heading3"/>
      </w:pPr>
      <w:r>
        <w:t>HR4-383. Broad Social-Rights Guarantee Module: Substantive Optional Standard</w:t>
      </w:r>
    </w:p>
    <w:p>
      <w:pPr>
        <w:pStyle w:val="Normal"/>
      </w:pPr>
      <w:r>
        <w:t>A participating Party may undertake the optional standard described by this mechanism, including measures to translate the mechanism into a narrow treaty-linked obligation, preserve stronger domestic protections, and avoid creating rights or liabilities beyond what the Parties expressly adopt. The standard shall be interpreted consistently with constitutional requirements, stronger existing rights, Indigenous and treaty rights where applicable, and the safeguards of the mandatory human-rights core.</w:t>
      </w:r>
    </w:p>
    <w:p>
      <w:pPr>
        <w:pStyle w:val="Heading3"/>
      </w:pPr>
      <w:r>
        <w:t>HR4-384. Broad Social-Rights Guarantee Module: Non-Coercion and Unrelated-Benefits Firewall</w:t>
      </w:r>
    </w:p>
    <w:p>
      <w:pPr>
        <w:pStyle w:val="Normal"/>
      </w:pPr>
      <w:r>
        <w:t>A Party's decision not to adopt, renew, fund or participate in this Optional Module does not constitute noncompliance and shall not trigger retaliation, reduce unrelated market access or treaty benefits, alter mandatory-core rights, or serve as an adverse inference in another dispute.</w:t>
      </w:r>
    </w:p>
    <w:p>
      <w:pPr>
        <w:pStyle w:val="Heading2"/>
      </w:pPr>
      <w:bookmarkStart w:id="902564" w:name="_Toc300002563"/>
      <w:r>
        <w:t>CL-19A. PHASE-2 HUMAN-RIGHTS BACKBONE: 350 ADDITIONAL HARDENED PROVISIONS</w:t>
      </w:r>
      <w:bookmarkEnd w:id="902564"/>
    </w:p>
    <w:p>
      <w:pPr>
        <w:pStyle w:val="Normal"/>
      </w:pPr>
      <w:r>
        <w:t>Status. This Section integrates the second human-rights integration pass into Package CL. It contains 350 additional provisions derived from 4,150 Phase-2 proposals consolidated into 151 mechanisms. The mandatory, flexible, and optional legal temperatures assigned during the integration review are preserved. At least seventy percent of these provisions are drafted to the four-sentence substantive floor, while narrowly technical, specialized, or genuinely optional provisions may remain shorter where additional prose would add no legal precision.</w:t>
      </w:r>
    </w:p>
    <w:p>
      <w:pPr>
        <w:pStyle w:val="Normal"/>
      </w:pPr>
      <w:r>
        <w:t>Application. Articles HR5-001 through HR5-350 are interpreted through CL-1 through CL-5, the specialized safeguards elsewhere in this Agreement, Article 30.C.1 on unnecessary institutions, and the treaty-wide fact, authority, and claim verification rule. A more specific or stronger protection governs to the extent of that greater protection. Optional provisions remain subject to the treaty optionality firewall and cannot be converted into mandatory obligations by implication.</w:t>
      </w:r>
    </w:p>
    <w:p>
      <w:pPr>
        <w:pStyle w:val="Heading3"/>
      </w:pPr>
      <w:r>
        <w:t>HR5-001. Human dignity and equal protection: Treaty-Wide Rights Floor</w:t>
      </w:r>
    </w:p>
    <w:p>
      <w:pPr>
        <w:pStyle w:val="Normal"/>
      </w:pPr>
      <w:r>
        <w:t>Each Party shall maintain and apply measures consistent with human dignity and equal protection,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HR5-002. Human dignity and equal protection: Equal Application</w:t>
      </w:r>
    </w:p>
    <w:p>
      <w:pPr>
        <w:pStyle w:val="Normal"/>
      </w:pPr>
      <w:r>
        <w:t>A Party shall not administer a measure covered by this Agreement in a manner that defeats human dignity and equal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HR5-003. Human dignity and equal protection: Proportionate Implementation</w:t>
      </w:r>
    </w:p>
    <w:p>
      <w:pPr>
        <w:pStyle w:val="Normal"/>
      </w:pPr>
      <w:r>
        <w:t>Each Party shall use reasonable, proportionate and administrable measures to give practical effect to human dignity and equal protection.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HR5-004. Treaty-wide nondiscrimination and protected-status equality: Treaty-Wide Rights Floor</w:t>
      </w:r>
    </w:p>
    <w:p>
      <w:pPr>
        <w:pStyle w:val="Normal"/>
      </w:pPr>
      <w:r>
        <w:t>Each Party shall maintain and apply measures consistent with treaty-wide nondiscrimination and protected-status equality,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HR5-005. Treaty-wide nondiscrimination and protected-status equality: Equal Application</w:t>
      </w:r>
    </w:p>
    <w:p>
      <w:pPr>
        <w:pStyle w:val="Normal"/>
      </w:pPr>
      <w:r>
        <w:t>A Party shall not administer a measure covered by this Agreement in a manner that defeats treaty-wide nondiscrimination and protected-status equality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HR5-006. Treaty-wide nondiscrimination and protected-status equality: Proportionate Implementation</w:t>
      </w:r>
    </w:p>
    <w:p>
      <w:pPr>
        <w:pStyle w:val="Normal"/>
      </w:pPr>
      <w:r>
        <w:t>Each Party shall use reasonable, proportionate and administrable measures to give practical effect to treaty-wide nondiscrimination and protected-status equality.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HR5-007. Treaty-wide nondiscrimination and protected-status equality: Due Process and Effective Remedy</w:t>
      </w:r>
    </w:p>
    <w:p>
      <w:pPr>
        <w:pStyle w:val="Normal"/>
      </w:pPr>
      <w:r>
        <w:t>A person materially affected by a covered governmental measure implicating treaty-wide nondiscrimination and protected-status equality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HR5-008. Treaty-wide nondiscrimination and protected-status equality: Stronger-Rights and Cooperation Safeguard</w:t>
      </w:r>
    </w:p>
    <w:p>
      <w:pPr>
        <w:pStyle w:val="Normal"/>
      </w:pPr>
      <w:r>
        <w:t>The Parties shall cooperate, where useful, on implementation of treaty-wide nondiscrimination and protected-status equality using existing NAESTMA institutions wherever capable. Reporting and data collection shall be proportionate, privacy-preserving and designed to avoid new unfunded permanent bureaucracy. Implementation shall use constitutionally competent authorities and existing NAESTMA institutions wherever capable, and shall not require a new permanent supranational body unless the Parties expressly agree otherwise. Any information collection, consultation, or reporting used for this provision shall be limited to what is reasonably necessary for the stated function and shall respect applicable privacy, confidentiality, security, and protected-disclosure safeguards.</w:t>
      </w:r>
    </w:p>
    <w:p>
      <w:pPr>
        <w:pStyle w:val="Heading3"/>
      </w:pPr>
      <w:r>
        <w:t>HR5-009. Intersectional and proxy discrimination: Treaty-Wide Rights Floor</w:t>
      </w:r>
    </w:p>
    <w:p>
      <w:pPr>
        <w:pStyle w:val="Normal"/>
      </w:pPr>
      <w:r>
        <w:t>Each Party shall maintain and apply measures consistent with intersectional and proxy discrimination,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HR5-010. Legal personality, capacity and recognition before law: Treaty-Wide Rights Floor</w:t>
      </w:r>
    </w:p>
    <w:p>
      <w:pPr>
        <w:pStyle w:val="Normal"/>
      </w:pPr>
      <w:r>
        <w:t>Each Party shall maintain and apply measures consistent with legal personality, capacity and recognition before law,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HR5-011. Legal personality, capacity and recognition before law: Equal Application</w:t>
      </w:r>
    </w:p>
    <w:p>
      <w:pPr>
        <w:pStyle w:val="Normal"/>
      </w:pPr>
      <w:r>
        <w:t>A Party shall not administer a measure covered by this Agreement in a manner that defeats legal personality, capacity and recognition before law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HR5-012. Due process and fair procedure: Treaty-Wide Rights Floor</w:t>
      </w:r>
    </w:p>
    <w:p>
      <w:pPr>
        <w:pStyle w:val="Normal"/>
      </w:pPr>
      <w:r>
        <w:t>Each Party shall maintain and apply measures consistent with due process and fair procedure,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HR5-013. Due process and fair procedure: Equal Application</w:t>
      </w:r>
    </w:p>
    <w:p>
      <w:pPr>
        <w:pStyle w:val="Normal"/>
      </w:pPr>
      <w:r>
        <w:t>A Party shall not administer a measure covered by this Agreement in a manner that defeats due process and fair procedure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HR5-014. Due process and fair procedure: Proportionate Implementation</w:t>
      </w:r>
    </w:p>
    <w:p>
      <w:pPr>
        <w:pStyle w:val="Normal"/>
      </w:pPr>
      <w:r>
        <w:t>Each Party shall use reasonable, proportionate and administrable measures to give practical effect to due process and fair procedure.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HR5-015. Due process and fair procedure: Due Process and Effective Remedy</w:t>
      </w:r>
    </w:p>
    <w:p>
      <w:pPr>
        <w:pStyle w:val="Normal"/>
      </w:pPr>
      <w:r>
        <w:t>A person materially affected by a covered governmental measure implicating due process and fair procedure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HR5-016. Effective remedy, appeal and access to justice: Treaty-Wide Rights Floor</w:t>
      </w:r>
    </w:p>
    <w:p>
      <w:pPr>
        <w:pStyle w:val="Normal"/>
      </w:pPr>
      <w:r>
        <w:t>Each Party shall maintain and apply measures consistent with effective remedy, appeal and access to justice,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HR5-017. Effective remedy, appeal and access to justice: Equal Application</w:t>
      </w:r>
    </w:p>
    <w:p>
      <w:pPr>
        <w:pStyle w:val="Normal"/>
      </w:pPr>
      <w:r>
        <w:t>A Party shall not administer a measure covered by this Agreement in a manner that defeats effective remedy, appeal and access to justice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HR5-018. Effective remedy, appeal and access to justice: Proportionate Implementation</w:t>
      </w:r>
    </w:p>
    <w:p>
      <w:pPr>
        <w:pStyle w:val="Normal"/>
      </w:pPr>
      <w:r>
        <w:t>Each Party shall use reasonable, proportionate and administrable measures to give practical effect to effective remedy, appeal and access to justice.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HR5-019. Legal information, counsel, aid and representation: Treaty-Wide Rights Floor</w:t>
      </w:r>
    </w:p>
    <w:p>
      <w:pPr>
        <w:pStyle w:val="Normal"/>
      </w:pPr>
      <w:r>
        <w:t>Each Party shall maintain and apply measures consistent with legal information, counsel, aid and representation,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HR5-020. Legal information, counsel, aid and representation: Equal Application</w:t>
      </w:r>
    </w:p>
    <w:p>
      <w:pPr>
        <w:pStyle w:val="Normal"/>
      </w:pPr>
      <w:r>
        <w:t>A Party shall not administer a measure covered by this Agreement in a manner that defeats legal information, counsel, aid and representation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HR5-021. Language, interpretation and accessible procedure: Treaty-Wide Rights Floor</w:t>
      </w:r>
    </w:p>
    <w:p>
      <w:pPr>
        <w:pStyle w:val="Normal"/>
      </w:pPr>
      <w:r>
        <w:t>Each Party shall maintain and apply measures consistent with language, interpretation and accessible procedure,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HR5-022. Language, interpretation and accessible procedure: Equal Application</w:t>
      </w:r>
    </w:p>
    <w:p>
      <w:pPr>
        <w:pStyle w:val="Normal"/>
      </w:pPr>
      <w:r>
        <w:t>A Party shall not administer a measure covered by this Agreement in a manner that defeats language, interpretation and accessible procedure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HR5-023. Privacy, family, home and reputation: Treaty-Wide Rights Floor</w:t>
      </w:r>
    </w:p>
    <w:p>
      <w:pPr>
        <w:pStyle w:val="Normal"/>
      </w:pPr>
      <w:r>
        <w:t>Each Party shall maintain and apply measures consistent with privacy, family, home and reputation, within the scope of this Agreement and subject to the stronger-rights, federalism, competent-authority, security and public-interest safeguards of the Human Rights Framework.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 Protected characteristics, immigration status, disability, health information, or other sensitive data shall not be used as a disguised proxy for prohibited discrimination or unrelated enforcement leverage.</w:t>
      </w:r>
    </w:p>
    <w:p>
      <w:pPr>
        <w:pStyle w:val="Heading3"/>
      </w:pPr>
      <w:r>
        <w:t>HR5-024. Privacy, family, home and reputation: Equal Application</w:t>
      </w:r>
    </w:p>
    <w:p>
      <w:pPr>
        <w:pStyle w:val="Normal"/>
      </w:pPr>
      <w:r>
        <w:t>A Party shall not administer a measure covered by this Agreement in a manner that defeats privacy, family, home and reputation through prohibited discrimination, arbitrary distinction, retaliation or bad-faith circumvention. Objective and proportionate distinctions pursuing a legitimate public purpose remain permitted.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w:t>
      </w:r>
    </w:p>
    <w:p>
      <w:pPr>
        <w:pStyle w:val="Heading3"/>
      </w:pPr>
      <w:r>
        <w:t>HR5-025. Privacy, family, home and reputation: Proportionate Implementation</w:t>
      </w:r>
    </w:p>
    <w:p>
      <w:pPr>
        <w:pStyle w:val="Normal"/>
      </w:pPr>
      <w:r>
        <w:t>Each Party shall use reasonable, proportionate and administrable measures to give practical effect to privacy, family, home and reputation. Implementation may reflect constitutional structure, division of powers and existing institutions, provided that equivalent protection of the covered interest is maintained.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w:t>
      </w:r>
    </w:p>
    <w:p>
      <w:pPr>
        <w:pStyle w:val="Heading3"/>
      </w:pPr>
      <w:r>
        <w:t>HR5-026. Privacy, family, home and reputation: Due Process and Effective Remedy</w:t>
      </w:r>
    </w:p>
    <w:p>
      <w:pPr>
        <w:pStyle w:val="Normal"/>
      </w:pPr>
      <w:r>
        <w:t>A person materially affected by a covered governmental measure implicating privacy, family, home and reputation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HR5-027. Protection from violence, intimidation and coercion: Treaty-Wide Rights Floor</w:t>
      </w:r>
    </w:p>
    <w:p>
      <w:pPr>
        <w:pStyle w:val="Normal"/>
      </w:pPr>
      <w:r>
        <w:t>Each Party shall maintain and apply measures consistent with protection from violence, intimidation and coercion,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HR5-028. Protection from violence, intimidation and coercion: Equal Application</w:t>
      </w:r>
    </w:p>
    <w:p>
      <w:pPr>
        <w:pStyle w:val="Normal"/>
      </w:pPr>
      <w:r>
        <w:t>A Party shall not administer a measure covered by this Agreement in a manner that defeats protection from violence, intimidation and coercion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HR5-029. Protection from violence, intimidation and coercion: Proportionate Implementation</w:t>
      </w:r>
    </w:p>
    <w:p>
      <w:pPr>
        <w:pStyle w:val="Normal"/>
      </w:pPr>
      <w:r>
        <w:t>Each Party shall use reasonable, proportionate and administrable measures to give practical effect to protection from violence, intimidation and coercion.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HR5-030. Freedom from torture, cruel treatment and degrading treatment: Treaty-Wide Rights Floor</w:t>
      </w:r>
    </w:p>
    <w:p>
      <w:pPr>
        <w:pStyle w:val="Normal"/>
      </w:pPr>
      <w:r>
        <w:t>Each Party shall maintain and apply measures consistent with freedom from torture, cruel treatment and degrading treatment,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HR5-031. Freedom from torture, cruel treatment and degrading treatment: Equal Application</w:t>
      </w:r>
    </w:p>
    <w:p>
      <w:pPr>
        <w:pStyle w:val="Normal"/>
      </w:pPr>
      <w:r>
        <w:t>A Party shall not administer a measure covered by this Agreement in a manner that defeats freedom from torture, cruel treatment and degrading treatment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HR5-032. Freedom from torture, cruel treatment and degrading treatment: Proportionate Implementation</w:t>
      </w:r>
    </w:p>
    <w:p>
      <w:pPr>
        <w:pStyle w:val="Normal"/>
      </w:pPr>
      <w:r>
        <w:t>Each Party shall use reasonable, proportionate and administrable measures to give practical effect to freedom from torture, cruel treatment and degrading treatment.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HR5-033. Liberty and security of person: Treaty-Wide Rights Floor</w:t>
      </w:r>
    </w:p>
    <w:p>
      <w:pPr>
        <w:pStyle w:val="Normal"/>
      </w:pPr>
      <w:r>
        <w:t>Each Party shall maintain and apply measures consistent with liberty and security of person,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HR5-034. Liberty and security of person: Equal Application</w:t>
      </w:r>
    </w:p>
    <w:p>
      <w:pPr>
        <w:pStyle w:val="Normal"/>
      </w:pPr>
      <w:r>
        <w:t>A Party shall not administer a measure covered by this Agreement in a manner that defeats liberty and security of person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HR5-035. Liberty and security of person: Proportionate Implementation</w:t>
      </w:r>
    </w:p>
    <w:p>
      <w:pPr>
        <w:pStyle w:val="Normal"/>
      </w:pPr>
      <w:r>
        <w:t>Each Party shall use reasonable, proportionate and administrable measures to give practical effect to liberty and security of person.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HR5-036. Association and peaceful assembly: Treaty-Wide Rights Floor</w:t>
      </w:r>
    </w:p>
    <w:p>
      <w:pPr>
        <w:pStyle w:val="Normal"/>
      </w:pPr>
      <w:r>
        <w:t>Each Party shall maintain and apply measures consistent with association and peaceful assembly,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HR5-037. Association and peaceful assembly: Equal Application</w:t>
      </w:r>
    </w:p>
    <w:p>
      <w:pPr>
        <w:pStyle w:val="Normal"/>
      </w:pPr>
      <w:r>
        <w:t>A Party shall not administer a measure covered by this Agreement in a manner that defeats association and peaceful assembly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HR5-038. Association and peaceful assembly: Proportionate Implementation</w:t>
      </w:r>
    </w:p>
    <w:p>
      <w:pPr>
        <w:pStyle w:val="Normal"/>
      </w:pPr>
      <w:r>
        <w:t>Each Party shall use reasonable, proportionate and administrable measures to give practical effect to association and peaceful assembly.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HR5-039. Association and peaceful assembly: Due Process and Effective Remedy</w:t>
      </w:r>
    </w:p>
    <w:p>
      <w:pPr>
        <w:pStyle w:val="Normal"/>
      </w:pPr>
      <w:r>
        <w:t>A person materially affected by a covered governmental measure implicating association and peaceful assembly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HR5-040. Expression, opinion, information and media freedom: Treaty-Wide Rights Floor</w:t>
      </w:r>
    </w:p>
    <w:p>
      <w:pPr>
        <w:pStyle w:val="Normal"/>
      </w:pPr>
      <w:r>
        <w:t>Each Party shall maintain and apply measures consistent with expression, opinion, information and media freedom,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HR5-041. Expression, opinion, information and media freedom: Equal Application</w:t>
      </w:r>
    </w:p>
    <w:p>
      <w:pPr>
        <w:pStyle w:val="Normal"/>
      </w:pPr>
      <w:r>
        <w:t>A Party shall not administer a measure covered by this Agreement in a manner that defeats expression, opinion, information and media freedom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HR5-042. Expression, opinion, information and media freedom: Proportionate Implementation</w:t>
      </w:r>
    </w:p>
    <w:p>
      <w:pPr>
        <w:pStyle w:val="Normal"/>
      </w:pPr>
      <w:r>
        <w:t>Each Party shall use reasonable, proportionate and administrable measures to give practical effect to expression, opinion, information and media freedom.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HR5-043. Expression, opinion, information and media freedom: Due Process and Effective Remedy</w:t>
      </w:r>
    </w:p>
    <w:p>
      <w:pPr>
        <w:pStyle w:val="Normal"/>
      </w:pPr>
      <w:r>
        <w:t>A person materially affected by a covered governmental measure implicating expression, opinion, information and media freedom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HR5-044. Human-rights defender protection: Treaty-Wide Rights Floor</w:t>
      </w:r>
    </w:p>
    <w:p>
      <w:pPr>
        <w:pStyle w:val="Normal"/>
      </w:pPr>
      <w:r>
        <w:t>Each Party shall maintain and apply measures consistent with human-rights defender protection,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HR5-045. Human-rights defender protection: Equal Application</w:t>
      </w:r>
    </w:p>
    <w:p>
      <w:pPr>
        <w:pStyle w:val="Normal"/>
      </w:pPr>
      <w:r>
        <w:t>A Party shall not administer a measure covered by this Agreement in a manner that defeats human-rights defender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HR5-046. Rights impact assessment and treaty interpretation: Treaty-Wide Rights Floor</w:t>
      </w:r>
    </w:p>
    <w:p>
      <w:pPr>
        <w:pStyle w:val="Normal"/>
      </w:pPr>
      <w:r>
        <w:t>The Parties affirm the importance of rights impact assessment and treaty interpretation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HR5-047. Rights impact assessment and treaty interpretation: Equal Application</w:t>
      </w:r>
    </w:p>
    <w:p>
      <w:pPr>
        <w:pStyle w:val="Normal"/>
      </w:pPr>
      <w:r>
        <w:t>Cooperation concerning rights impact assessment and treaty interpretation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HR5-048. Participation in policy affecting protected persons: Treaty-Wide Rights Floor</w:t>
      </w:r>
    </w:p>
    <w:p>
      <w:pPr>
        <w:pStyle w:val="Normal"/>
      </w:pPr>
      <w:r>
        <w:t>The Parties affirm the importance of participation in policy affecting protected persons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HR5-049. Age nondiscrimination in work and economic participation: Age-Equality Safeguard</w:t>
      </w:r>
    </w:p>
    <w:p>
      <w:pPr>
        <w:pStyle w:val="Normal"/>
      </w:pPr>
      <w:r>
        <w:t>Each Party shall maintain and apply measures consistent with age nondiscrimination in work and economic participation,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HR5-050. Age nondiscrimination in work and economic participation: Autonomy and Non-Discrimination</w:t>
      </w:r>
    </w:p>
    <w:p>
      <w:pPr>
        <w:pStyle w:val="Normal"/>
      </w:pPr>
      <w:r>
        <w:t>A Party shall not administer a measure covered by this Agreement in a manner that defeats age nondiscrimination in work and economic participation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HR5-051. Older-worker accommodation, retraining and workplace adaptation: Age-Equality Safeguard</w:t>
      </w:r>
    </w:p>
    <w:p>
      <w:pPr>
        <w:pStyle w:val="Normal"/>
      </w:pPr>
      <w:r>
        <w:t>The Parties affirm the importance of older-worker accommodation, retraining and workplace adaptation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HR5-052. Older-worker accommodation, retraining and workplace adaptation: Autonomy and Non-Discrimination</w:t>
      </w:r>
    </w:p>
    <w:p>
      <w:pPr>
        <w:pStyle w:val="Normal"/>
      </w:pPr>
      <w:r>
        <w:t>Cooperation concerning older-worker accommodation, retraining and workplace adaptation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HR5-053. Age nondiscrimination in healthcare and clinical decision-making: Age-Equality Safeguard</w:t>
      </w:r>
    </w:p>
    <w:p>
      <w:pPr>
        <w:pStyle w:val="Normal"/>
      </w:pPr>
      <w:r>
        <w:t>Each Party shall maintain and apply measures consistent with age nondiscrimination in healthcare and clinical decision-making,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HR5-054. Age nondiscrimination in healthcare and clinical decision-making: Autonomy and Non-Discrimination</w:t>
      </w:r>
    </w:p>
    <w:p>
      <w:pPr>
        <w:pStyle w:val="Normal"/>
      </w:pPr>
      <w:r>
        <w:t>A Party shall not administer a measure covered by this Agreement in a manner that defeats age nondiscrimination in healthcare and clinical decision-making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HR5-055. Older-person healthcare, geriatric and chronic-care access: Age-Equality Safeguard</w:t>
      </w:r>
    </w:p>
    <w:p>
      <w:pPr>
        <w:pStyle w:val="Normal"/>
      </w:pPr>
      <w:r>
        <w:t>The Parties affirm the importance of older-person healthcare, geriatric and chronic-care access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HR5-056. Older-person healthcare, geriatric and chronic-care access: Autonomy and Non-Discrimination</w:t>
      </w:r>
    </w:p>
    <w:p>
      <w:pPr>
        <w:pStyle w:val="Normal"/>
      </w:pPr>
      <w:r>
        <w:t>Cooperation concerning older-person healthcare, geriatric and chronic-care access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HR5-057. Older-person informed consent and healthcare autonomy: Age-Equality Safeguard</w:t>
      </w:r>
    </w:p>
    <w:p>
      <w:pPr>
        <w:pStyle w:val="Normal"/>
      </w:pPr>
      <w:r>
        <w:t>Each Party shall maintain and apply measures consistent with older-person informed consent and healthcare autonomy,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HR5-058. Pension and social-security portability: Age-Equality Safeguard</w:t>
      </w:r>
    </w:p>
    <w:p>
      <w:pPr>
        <w:pStyle w:val="Normal"/>
      </w:pPr>
      <w:r>
        <w:t>The Parties affirm the importance of pension and social-security portability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HR5-059. Pension integrity, adequacy and anti-fraud: Age-Equality Safeguard</w:t>
      </w:r>
    </w:p>
    <w:p>
      <w:pPr>
        <w:pStyle w:val="Normal"/>
      </w:pPr>
      <w:r>
        <w:t>A Party may elect to participate in the Optional Module on Pension integrity, adequacy and anti-fraud. A participating Party shall implement the commitments it expressly accepts under that Module in accordance with its constitutional order and competent authorities.</w:t>
      </w:r>
    </w:p>
    <w:p>
      <w:pPr>
        <w:pStyle w:val="Heading3"/>
      </w:pPr>
      <w:r>
        <w:t>HR5-060. Pension integrity, adequacy and anti-fraud: Autonomy and Non-Discrimination</w:t>
      </w:r>
    </w:p>
    <w:p>
      <w:pPr>
        <w:pStyle w:val="Normal"/>
      </w:pPr>
      <w:r>
        <w:t>Participating Parties should pursue pension integrity, adequacy and anti-fraud through non-discriminatory, rights-respecting and proportionate measures, with appropriate exceptions for legitimate public purposes and the rights and freedoms of others.</w:t>
      </w:r>
    </w:p>
    <w:p>
      <w:pPr>
        <w:pStyle w:val="Heading3"/>
      </w:pPr>
      <w:r>
        <w:t>HR5-061. Older-person social protection and accessible benefits: Age-Equality Safeguard</w:t>
      </w:r>
    </w:p>
    <w:p>
      <w:pPr>
        <w:pStyle w:val="Normal"/>
      </w:pPr>
      <w:r>
        <w:t>A Party may elect to participate in the Optional Module on Older-person social protection and accessible benefits. A participating Party shall implement the commitments it expressly accepts under that Module in accordance with its constitutional order and competent authorities.</w:t>
      </w:r>
    </w:p>
    <w:p>
      <w:pPr>
        <w:pStyle w:val="Heading3"/>
      </w:pPr>
      <w:r>
        <w:t>HR5-062. Age nondiscrimination and autonomy in housing: Age-Equality Safeguard</w:t>
      </w:r>
    </w:p>
    <w:p>
      <w:pPr>
        <w:pStyle w:val="Normal"/>
      </w:pPr>
      <w:r>
        <w:t>A Party may elect to participate in the Optional Module on Age nondiscrimination and autonomy in housing. A participating Party shall implement the commitments it expressly accepts under that Module in accordance with its constitutional order and competent authorities.</w:t>
      </w:r>
    </w:p>
    <w:p>
      <w:pPr>
        <w:pStyle w:val="Heading3"/>
      </w:pPr>
      <w:r>
        <w:t>HR5-063. Age nondiscrimination and autonomy in housing: Autonomy and Non-Discrimination</w:t>
      </w:r>
    </w:p>
    <w:p>
      <w:pPr>
        <w:pStyle w:val="Normal"/>
      </w:pPr>
      <w:r>
        <w:t>Participating Parties should pursue age nondiscrimination and autonomy in housing through non-discriminatory, rights-respecting and proportionate measures, with appropriate exceptions for legitimate public purposes and the rights and freedoms of others.</w:t>
      </w:r>
    </w:p>
    <w:p>
      <w:pPr>
        <w:pStyle w:val="Heading3"/>
      </w:pPr>
      <w:r>
        <w:t>HR5-064. Ageing in place and accessible housing: Age-Equality Safeguard</w:t>
      </w:r>
    </w:p>
    <w:p>
      <w:pPr>
        <w:pStyle w:val="Normal"/>
      </w:pPr>
      <w:r>
        <w:t>A Party may elect to participate in the Optional Module on Ageing in place and accessible housing. A participating Party shall implement the commitments it expressly accepts under that Module in accordance with its constitutional order and competent authorities.</w:t>
      </w:r>
    </w:p>
    <w:p>
      <w:pPr>
        <w:pStyle w:val="Heading3"/>
      </w:pPr>
      <w:r>
        <w:t>HR5-065. Ageing in place and accessible housing: Autonomy and Non-Discrimination</w:t>
      </w:r>
    </w:p>
    <w:p>
      <w:pPr>
        <w:pStyle w:val="Normal"/>
      </w:pPr>
      <w:r>
        <w:t>Participating Parties should pursue ageing in place and accessible housing through non-discriminatory, rights-respecting and proportionate measures, with appropriate exceptions for legitimate public purposes and the rights and freedoms of others.</w:t>
      </w:r>
    </w:p>
    <w:p>
      <w:pPr>
        <w:pStyle w:val="Heading3"/>
      </w:pPr>
      <w:r>
        <w:t>HR5-066. Elder abuse, neglect and exploitation prevention: Age-Equality Safeguard</w:t>
      </w:r>
    </w:p>
    <w:p>
      <w:pPr>
        <w:pStyle w:val="Normal"/>
      </w:pPr>
      <w:r>
        <w:t>Each Party shall maintain effective measures within its competence against abuse, neglect, coercion and financial exploitation of older persons where connected to covered employment, services, financial activity, mobility or cross-border commerce.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HR5-067. Elder abuse, neglect and exploitation prevention: Autonomy and Non-Discrimination</w:t>
      </w:r>
    </w:p>
    <w:p>
      <w:pPr>
        <w:pStyle w:val="Normal"/>
      </w:pPr>
      <w:r>
        <w:t>A Party shall not administer a measure covered by this Agreement in a manner that defeats elder abuse, neglect and exploitation prevention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HR5-068. Older-person autonomy, supported decision-making and guardianship safeguards: Age-Equality Safeguard</w:t>
      </w:r>
    </w:p>
    <w:p>
      <w:pPr>
        <w:pStyle w:val="Normal"/>
      </w:pPr>
      <w:r>
        <w:t>Each Party shall maintain and apply measures consistent with older-person autonomy, supported decision-making and guardianship safeguards,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HR5-069. Older-person autonomy, supported decision-making and guardianship safeguards: Autonomy and Non-Discrimination</w:t>
      </w:r>
    </w:p>
    <w:p>
      <w:pPr>
        <w:pStyle w:val="Normal"/>
      </w:pPr>
      <w:r>
        <w:t>A Party shall not administer a measure covered by this Agreement in a manner that defeats older-person autonomy, supported decision-making and guardianship safeguards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HR5-070. Older-person participation, community inclusion and lifelong learning: Age-Equality Safeguard</w:t>
      </w:r>
    </w:p>
    <w:p>
      <w:pPr>
        <w:pStyle w:val="Normal"/>
      </w:pPr>
      <w:r>
        <w:t>The Parties affirm the importance of older-person participation, community inclusion and lifelong learning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HR5-071. Older-person participation, community inclusion and lifelong learning: Autonomy and Non-Discrimination</w:t>
      </w:r>
    </w:p>
    <w:p>
      <w:pPr>
        <w:pStyle w:val="Normal"/>
      </w:pPr>
      <w:r>
        <w:t>Cooperation concerning older-person participation, community inclusion and lifelong learning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HR5-072. Older-person accessible mobility and functional driver assessment: Age-Equality Safeguard</w:t>
      </w:r>
    </w:p>
    <w:p>
      <w:pPr>
        <w:pStyle w:val="Normal"/>
      </w:pPr>
      <w:r>
        <w:t>A Party may elect to participate in the Optional Module on Older-person accessible mobility and functional driver assessment. A participating Party shall implement the commitments it expressly accepts under that Module in accordance with its constitutional order and competent authorities.</w:t>
      </w:r>
    </w:p>
    <w:p>
      <w:pPr>
        <w:pStyle w:val="Heading3"/>
      </w:pPr>
      <w:r>
        <w:t>HR5-073. Older-person accessible mobility and functional driver assessment: Autonomy and Non-Discrimination</w:t>
      </w:r>
    </w:p>
    <w:p>
      <w:pPr>
        <w:pStyle w:val="Normal"/>
      </w:pPr>
      <w:r>
        <w:t>Participating Parties should pursue older-person accessible mobility and functional driver assessment through non-discriminatory, rights-respecting and proportionate measures, with appropriate exceptions for legitimate public purposes and the rights and freedoms of others.</w:t>
      </w:r>
    </w:p>
    <w:p>
      <w:pPr>
        <w:pStyle w:val="Heading3"/>
      </w:pPr>
      <w:r>
        <w:t>HR5-074. Older-person digital inclusion and fraud protection: Age-Equality Safeguard</w:t>
      </w:r>
    </w:p>
    <w:p>
      <w:pPr>
        <w:pStyle w:val="Normal"/>
      </w:pPr>
      <w:r>
        <w:t>The Parties affirm the importance of older-person digital inclusion and fraud protection and shall seek to strengthen it through cooperative, equivalent or phased measures suited to their respective constitutional and institutional systems.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 Protected characteristics, immigration status, disability, health information, or other sensitive data shall not be used as a disguised proxy for prohibited discrimination or unrelated enforcement leverage.</w:t>
      </w:r>
    </w:p>
    <w:p>
      <w:pPr>
        <w:pStyle w:val="Heading3"/>
      </w:pPr>
      <w:r>
        <w:t>HR5-075. Older-person digital inclusion and fraud protection: Autonomy and Non-Discrimination</w:t>
      </w:r>
    </w:p>
    <w:p>
      <w:pPr>
        <w:pStyle w:val="Normal"/>
      </w:pPr>
      <w:r>
        <w:t>Cooperation concerning older-person digital inclusion and fraud protection should prioritize equal access, accessibility, non-retaliation and protection of persons facing heightened barriers, while permitting functionally equivalent national approaches.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 Protected characteristics, immigration status, disability, health information, or other sensitive data shall not be used as a disguised proxy for prohibited discrimination or unrelated enforcement leverage.</w:t>
      </w:r>
    </w:p>
    <w:p>
      <w:pPr>
        <w:pStyle w:val="Heading3"/>
      </w:pPr>
      <w:r>
        <w:t>HR5-076. Child definition and rights-holder status: Child-Specific Rights Floor</w:t>
      </w:r>
    </w:p>
    <w:p>
      <w:pPr>
        <w:pStyle w:val="Normal"/>
      </w:pPr>
      <w:r>
        <w:t>Each Party shall maintain and apply measures consistent with child definition and rights-holder status,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HR5-077. Child definition and rights-holder status: Best Interests and Equal Protection</w:t>
      </w:r>
    </w:p>
    <w:p>
      <w:pPr>
        <w:pStyle w:val="Normal"/>
      </w:pPr>
      <w:r>
        <w:t>A Party shall not administer a measure covered by this Agreement in a manner that defeats child definition and rights-holder status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HR5-078. Best interests of the child: Child-Specific Rights Floor</w:t>
      </w:r>
    </w:p>
    <w:p>
      <w:pPr>
        <w:pStyle w:val="Normal"/>
      </w:pPr>
      <w:r>
        <w:t>In a covered decision directly affecting a child, the child's best interests shall be a primary consideration appropriate to the decision and treaty nexus. This principle does not displace competent domestic family-law, child-protection or judicial authority.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HR5-079. Child participation, voice and evolving capacities: Child-Specific Rights Floor</w:t>
      </w:r>
    </w:p>
    <w:p>
      <w:pPr>
        <w:pStyle w:val="Normal"/>
      </w:pPr>
      <w:r>
        <w:t>The Parties affirm the importance of child participation, voice and evolving capacities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HR5-080. Child participation, voice and evolving capacities: Best Interests and Equal Protection</w:t>
      </w:r>
    </w:p>
    <w:p>
      <w:pPr>
        <w:pStyle w:val="Normal"/>
      </w:pPr>
      <w:r>
        <w:t>Cooperation concerning child participation, voice and evolving capacities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HR5-081. Child identity, nationality and family relations: Child-Specific Rights Floor</w:t>
      </w:r>
    </w:p>
    <w:p>
      <w:pPr>
        <w:pStyle w:val="Normal"/>
      </w:pPr>
      <w:r>
        <w:t>Each Party shall maintain and apply measures consistent with child identity, nationality and family relations,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HR5-082. Child labour abolition and minimum-age floor: Child-Specific Rights Floor</w:t>
      </w:r>
    </w:p>
    <w:p>
      <w:pPr>
        <w:pStyle w:val="Normal"/>
      </w:pPr>
      <w:r>
        <w:t>Each Party shall maintain and apply measures consistent with child labour abolition and minimum-age floor,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HR5-083. Child labour abolition and minimum-age floor: Best Interests and Equal Protection</w:t>
      </w:r>
    </w:p>
    <w:p>
      <w:pPr>
        <w:pStyle w:val="Normal"/>
      </w:pPr>
      <w:r>
        <w:t>A Party shall not administer a measure covered by this Agreement in a manner that defeats child labour abolition and minimum-age floor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HR5-084. Child labour abolition and minimum-age floor: Age-Appropriate Implementation</w:t>
      </w:r>
    </w:p>
    <w:p>
      <w:pPr>
        <w:pStyle w:val="Normal"/>
      </w:pPr>
      <w:r>
        <w:t>Each Party shall use reasonable, proportionate and administrable measures to give practical effect to child labour abolition and minimum-age floor.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HR5-085. Worst forms of child labour, trafficking and commercial exploitation: Child-Specific Rights Floor</w:t>
      </w:r>
    </w:p>
    <w:p>
      <w:pPr>
        <w:pStyle w:val="Normal"/>
      </w:pPr>
      <w:r>
        <w:t>Each Party shall maintain and apply measures consistent with worst forms of child labour, trafficking and commercial exploitation,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HR5-086. Worst forms of child labour, trafficking and commercial exploitation: Best Interests and Equal Protection</w:t>
      </w:r>
    </w:p>
    <w:p>
      <w:pPr>
        <w:pStyle w:val="Normal"/>
      </w:pPr>
      <w:r>
        <w:t>A Party shall not administer a measure covered by this Agreement in a manner that defeats worst forms of child labour, trafficking and commercial exploitation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HR5-087. Child-labour supply-chain due diligence and procurement: Child-Specific Rights Floor</w:t>
      </w:r>
    </w:p>
    <w:p>
      <w:pPr>
        <w:pStyle w:val="Normal"/>
      </w:pPr>
      <w:r>
        <w:t>Each Party shall maintain and apply measures consistent with child-labour supply-chain due diligence and procurement,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HR5-088. Child family unity in migration: Child-Specific Rights Floor</w:t>
      </w:r>
    </w:p>
    <w:p>
      <w:pPr>
        <w:pStyle w:val="Normal"/>
      </w:pPr>
      <w:r>
        <w:t>Each Party shall maintain and apply measures consistent with child family unity in migration,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HR5-089. Child family unity in migration: Best Interests and Equal Protection</w:t>
      </w:r>
    </w:p>
    <w:p>
      <w:pPr>
        <w:pStyle w:val="Normal"/>
      </w:pPr>
      <w:r>
        <w:t>A Party shall not administer a measure covered by this Agreement in a manner that defeats child family unity in migration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HR5-090. Child family unity in migration: Age-Appropriate Implementation</w:t>
      </w:r>
    </w:p>
    <w:p>
      <w:pPr>
        <w:pStyle w:val="Normal"/>
      </w:pPr>
      <w:r>
        <w:t>Each Party shall use reasonable, proportionate and administrable measures to give practical effect to child family unity in migration.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HR5-091. Child-sensitive immigration custody and removal: Child-Specific Rights Floor</w:t>
      </w:r>
    </w:p>
    <w:p>
      <w:pPr>
        <w:pStyle w:val="Normal"/>
      </w:pPr>
      <w:r>
        <w:t>Each Party shall maintain and apply measures consistent with child-sensitive immigration custody and removal,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HR5-092. Child-sensitive immigration custody and removal: Best Interests and Equal Protection</w:t>
      </w:r>
    </w:p>
    <w:p>
      <w:pPr>
        <w:pStyle w:val="Normal"/>
      </w:pPr>
      <w:r>
        <w:t>A Party shall not administer a measure covered by this Agreement in a manner that defeats child-sensitive immigration custody and removal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HR5-093. Child healthcare nondiscrimination and access: Child-Specific Rights Floor</w:t>
      </w:r>
    </w:p>
    <w:p>
      <w:pPr>
        <w:pStyle w:val="Normal"/>
      </w:pPr>
      <w:r>
        <w:t>The Parties affirm the importance of child healthcare nondiscrimination and access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HR5-094. Child healthcare nondiscrimination and access: Best Interests and Equal Protection</w:t>
      </w:r>
    </w:p>
    <w:p>
      <w:pPr>
        <w:pStyle w:val="Normal"/>
      </w:pPr>
      <w:r>
        <w:t>Cooperation concerning child healthcare nondiscrimination and access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HR5-095. Child education access and continuity: Child-Specific Rights Floor</w:t>
      </w:r>
    </w:p>
    <w:p>
      <w:pPr>
        <w:pStyle w:val="Normal"/>
      </w:pPr>
      <w:r>
        <w:t>A Party may elect to participate in the Optional Module on Child education access and continuity. A participating Party shall implement the commitments it expressly accepts under that Module in accordance with its constitutional order and competent authorities.</w:t>
      </w:r>
    </w:p>
    <w:p>
      <w:pPr>
        <w:pStyle w:val="Heading3"/>
      </w:pPr>
      <w:r>
        <w:t>HR5-096. Child education access and continuity: Best Interests and Equal Protection</w:t>
      </w:r>
    </w:p>
    <w:p>
      <w:pPr>
        <w:pStyle w:val="Normal"/>
      </w:pPr>
      <w:r>
        <w:t>Participating Parties should pursue child education access and continuity through non-discriminatory, rights-respecting and proportionate measures, with appropriate exceptions for legitimate public purposes and the rights and freedoms of others.</w:t>
      </w:r>
    </w:p>
    <w:p>
      <w:pPr>
        <w:pStyle w:val="Heading3"/>
      </w:pPr>
      <w:r>
        <w:t>HR5-097. Child protection from violence, abuse and exploitation: Child-Specific Rights Floor</w:t>
      </w:r>
    </w:p>
    <w:p>
      <w:pPr>
        <w:pStyle w:val="Normal"/>
      </w:pPr>
      <w:r>
        <w:t>Each Party shall maintain and apply measures consistent with child protection from violence, abuse and exploitation,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HR5-098. Child protection from violence, abuse and exploitation: Best Interests and Equal Protection</w:t>
      </w:r>
    </w:p>
    <w:p>
      <w:pPr>
        <w:pStyle w:val="Normal"/>
      </w:pPr>
      <w:r>
        <w:t>A Party shall not administer a measure covered by this Agreement in a manner that defeats child protection from violence, abuse and exploitation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HR5-099. Child protection from violence, abuse and exploitation: Age-Appropriate Implementation</w:t>
      </w:r>
    </w:p>
    <w:p>
      <w:pPr>
        <w:pStyle w:val="Normal"/>
      </w:pPr>
      <w:r>
        <w:t>Each Party shall use reasonable, proportionate and administrable measures to give practical effect to child protection from violence, abuse and exploitation.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HR5-100. Child recovery, rehabilitation and reintegration: Child-Specific Rights Floor</w:t>
      </w:r>
    </w:p>
    <w:p>
      <w:pPr>
        <w:pStyle w:val="Normal"/>
      </w:pPr>
      <w:r>
        <w:t>The Parties affirm the importance of child recovery, rehabilitation and reintegration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HR5-101. Child adequate-standard-of-living and poverty protection: Child-Specific Rights Floor</w:t>
      </w:r>
    </w:p>
    <w:p>
      <w:pPr>
        <w:pStyle w:val="Normal"/>
      </w:pPr>
      <w:r>
        <w:t>A Party may elect to participate in the Optional Module on Child adequate-standard-of-living and poverty protection. A participating Party shall implement the commitments it expressly accepts under that Module in accordance with its constitutional order and competent authorities.</w:t>
      </w:r>
    </w:p>
    <w:p>
      <w:pPr>
        <w:pStyle w:val="Heading3"/>
      </w:pPr>
      <w:r>
        <w:t>HR5-102. Child adequate-standard-of-living and poverty protection: Best Interests and Equal Protection</w:t>
      </w:r>
    </w:p>
    <w:p>
      <w:pPr>
        <w:pStyle w:val="Normal"/>
      </w:pPr>
      <w:r>
        <w:t>Participating Parties should pursue child adequate-standard-of-living and poverty protection through non-discriminatory, rights-respecting and proportionate measures, with appropriate exceptions for legitimate public purposes and the rights and freedoms of others.</w:t>
      </w:r>
    </w:p>
    <w:p>
      <w:pPr>
        <w:pStyle w:val="Heading3"/>
      </w:pPr>
      <w:r>
        <w:t>HR5-103. Children with disabilities: equality and participation: Child-Specific Rights Floor</w:t>
      </w:r>
    </w:p>
    <w:p>
      <w:pPr>
        <w:pStyle w:val="Normal"/>
      </w:pPr>
      <w:r>
        <w:t>The Parties affirm the importance of children with disabilities: equality and participation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HR5-104. Children with disabilities: equality and participation: Best Interests and Equal Protection</w:t>
      </w:r>
    </w:p>
    <w:p>
      <w:pPr>
        <w:pStyle w:val="Normal"/>
      </w:pPr>
      <w:r>
        <w:t>Cooperation concerning children with disabilities: equality and participation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HR5-105. Refugee, asylum-seeking and migrant child protection: Child-Specific Rights Floor</w:t>
      </w:r>
    </w:p>
    <w:p>
      <w:pPr>
        <w:pStyle w:val="Normal"/>
      </w:pPr>
      <w:r>
        <w:t>Each Party shall maintain and apply measures consistent with refugee, asylum-seeking and migrant child protection,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HR5-106. Refugee, asylum-seeking and migrant child protection: Best Interests and Equal Protection</w:t>
      </w:r>
    </w:p>
    <w:p>
      <w:pPr>
        <w:pStyle w:val="Normal"/>
      </w:pPr>
      <w:r>
        <w:t>A Party shall not administer a measure covered by this Agreement in a manner that defeats refugee, asylum-seeking and migrant child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HR5-107. Juvenile justice dignity, age-sensitive treatment and reintegration: Child-Specific Rights Floor</w:t>
      </w:r>
    </w:p>
    <w:p>
      <w:pPr>
        <w:pStyle w:val="Normal"/>
      </w:pPr>
      <w:r>
        <w:t>Each Party shall maintain and apply measures consistent with juvenile justice dignity, age-sensitive treatment and reintegration,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HR5-108. Juvenile justice dignity, age-sensitive treatment and reintegration: Best Interests and Equal Protection</w:t>
      </w:r>
    </w:p>
    <w:p>
      <w:pPr>
        <w:pStyle w:val="Normal"/>
      </w:pPr>
      <w:r>
        <w:t>A Party shall not administer a measure covered by this Agreement in a manner that defeats juvenile justice dignity, age-sensitive treatment and reintegration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HR5-109. Foster-child best interests and equal rights: Alternative-Care Rights Floor</w:t>
      </w:r>
    </w:p>
    <w:p>
      <w:pPr>
        <w:pStyle w:val="Normal"/>
      </w:pPr>
      <w:r>
        <w:t>Each Party shall maintain and apply measures consistent with foster-child best interests and equal rights,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HR5-110. Foster-child best interests and equal rights: Continuity and Best Interests</w:t>
      </w:r>
    </w:p>
    <w:p>
      <w:pPr>
        <w:pStyle w:val="Normal"/>
      </w:pPr>
      <w:r>
        <w:t>A Party shall not administer a measure covered by this Agreement in a manner that defeats foster-child best interests and equal rights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HR5-111. Family preservation, kinship placement and sibling continuity: Alternative-Care Rights Floor</w:t>
      </w:r>
    </w:p>
    <w:p>
      <w:pPr>
        <w:pStyle w:val="Normal"/>
      </w:pPr>
      <w:r>
        <w:t>Each Party shall maintain and apply measures consistent with family preservation, kinship placement and sibling continuity,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HR5-112. Family preservation, kinship placement and sibling continuity: Continuity and Best Interests</w:t>
      </w:r>
    </w:p>
    <w:p>
      <w:pPr>
        <w:pStyle w:val="Normal"/>
      </w:pPr>
      <w:r>
        <w:t>A Party shall not administer a measure covered by this Agreement in a manner that defeats family preservation, kinship placement and sibling continuity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HR5-113. Family preservation, kinship placement and sibling continuity: Child Voice and Case Safeguards</w:t>
      </w:r>
    </w:p>
    <w:p>
      <w:pPr>
        <w:pStyle w:val="Normal"/>
      </w:pPr>
      <w:r>
        <w:t>Each Party shall use reasonable, proportionate and administrable measures to give practical effect to family preservation, kinship placement and sibling continuity.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HR5-114. Placement stability and least-disruptive care: Alternative-Care Rights Floor</w:t>
      </w:r>
    </w:p>
    <w:p>
      <w:pPr>
        <w:pStyle w:val="Normal"/>
      </w:pPr>
      <w:r>
        <w:t>Where a covered cross-border, procurement, mobility or service-continuity measure materially affects a child in alternative care, the Parties should minimize avoidable disruption to safe placement, schooling, healthcare, sibling contact and essential records.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HR5-115. Placement stability and least-disruptive care: Continuity and Best Interests</w:t>
      </w:r>
    </w:p>
    <w:p>
      <w:pPr>
        <w:pStyle w:val="Normal"/>
      </w:pPr>
      <w:r>
        <w:t>Cooperation concerning placement stability and least-disruptive care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HR5-116. Foster-child education continuity and records: Alternative-Care Rights Floor</w:t>
      </w:r>
    </w:p>
    <w:p>
      <w:pPr>
        <w:pStyle w:val="Normal"/>
      </w:pPr>
      <w:r>
        <w:t>The Parties affirm the importance of foster-child education continuity and records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HR5-117. Foster-child education continuity and records: Continuity and Best Interests</w:t>
      </w:r>
    </w:p>
    <w:p>
      <w:pPr>
        <w:pStyle w:val="Normal"/>
      </w:pPr>
      <w:r>
        <w:t>Cooperation concerning foster-child education continuity and records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HR5-118. Foster-child healthcare continuity and consent: Alternative-Care Rights Floor</w:t>
      </w:r>
    </w:p>
    <w:p>
      <w:pPr>
        <w:pStyle w:val="Normal"/>
      </w:pPr>
      <w:r>
        <w:t>The Parties affirm the importance of foster-child healthcare continuity and consent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HR5-119. Foster-child healthcare continuity and consent: Continuity and Best Interests</w:t>
      </w:r>
    </w:p>
    <w:p>
      <w:pPr>
        <w:pStyle w:val="Normal"/>
      </w:pPr>
      <w:r>
        <w:t>Cooperation concerning foster-child healthcare continuity and consent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HR5-120. Foster-child safety and protection from abuse: Alternative-Care Rights Floor</w:t>
      </w:r>
    </w:p>
    <w:p>
      <w:pPr>
        <w:pStyle w:val="Normal"/>
      </w:pPr>
      <w:r>
        <w:t>Each Party shall maintain and apply measures consistent with foster-child safety and protection from abuse,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HR5-121. Foster-child safety and protection from abuse: Continuity and Best Interests</w:t>
      </w:r>
    </w:p>
    <w:p>
      <w:pPr>
        <w:pStyle w:val="Normal"/>
      </w:pPr>
      <w:r>
        <w:t>A Party shall not administer a measure covered by this Agreement in a manner that defeats foster-child safety and protection from abuse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HR5-122. Foster-child safety and protection from abuse: Child Voice and Case Safeguards</w:t>
      </w:r>
    </w:p>
    <w:p>
      <w:pPr>
        <w:pStyle w:val="Normal"/>
      </w:pPr>
      <w:r>
        <w:t>Each Party shall use reasonable, proportionate and administrable measures to give practical effect to foster-child safety and protection from abuse.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HR5-123. Foster-child identity, records and confidentiality: Alternative-Care Rights Floor</w:t>
      </w:r>
    </w:p>
    <w:p>
      <w:pPr>
        <w:pStyle w:val="Normal"/>
      </w:pPr>
      <w:r>
        <w:t>Each Party shall maintain and apply measures consistent with foster-child identity, records and confidentiality,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HR5-124. Foster-child identity, records and confidentiality: Continuity and Best Interests</w:t>
      </w:r>
    </w:p>
    <w:p>
      <w:pPr>
        <w:pStyle w:val="Normal"/>
      </w:pPr>
      <w:r>
        <w:t>A Party shall not administer a measure covered by this Agreement in a manner that defeats foster-child identity, records and confidentiality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HR5-125. Foster-child identity, records and confidentiality: Child Voice and Case Safeguards</w:t>
      </w:r>
    </w:p>
    <w:p>
      <w:pPr>
        <w:pStyle w:val="Normal"/>
      </w:pPr>
      <w:r>
        <w:t>Each Party shall use reasonable, proportionate and administrable measures to give practical effect to foster-child identity, records and confidentiality.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HR5-126. Foster-child participation in case planning and court: Alternative-Care Rights Floor</w:t>
      </w:r>
    </w:p>
    <w:p>
      <w:pPr>
        <w:pStyle w:val="Normal"/>
      </w:pPr>
      <w:r>
        <w:t>Each Party shall maintain and apply measures consistent with foster-child participation in case planning and court,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HR5-127. Foster-child participation in case planning and court: Continuity and Best Interests</w:t>
      </w:r>
    </w:p>
    <w:p>
      <w:pPr>
        <w:pStyle w:val="Normal"/>
      </w:pPr>
      <w:r>
        <w:t>A Party shall not administer a measure covered by this Agreement in a manner that defeats foster-child participation in case planning and court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HR5-128. Foster-child participation in case planning and court: Child Voice and Case Safeguards</w:t>
      </w:r>
    </w:p>
    <w:p>
      <w:pPr>
        <w:pStyle w:val="Normal"/>
      </w:pPr>
      <w:r>
        <w:t>Each Party shall use reasonable, proportionate and administrable measures to give practical effect to foster-child participation in case planning and court.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HR5-129. Transition to adulthood, housing, education and employment: Alternative-Care Rights Floor</w:t>
      </w:r>
    </w:p>
    <w:p>
      <w:pPr>
        <w:pStyle w:val="Normal"/>
      </w:pPr>
      <w:r>
        <w:t>The Parties affirm the importance of transition to adulthood, housing, education and employment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HR5-130. Transition to adulthood, housing, education and employment: Continuity and Best Interests</w:t>
      </w:r>
    </w:p>
    <w:p>
      <w:pPr>
        <w:pStyle w:val="Normal"/>
      </w:pPr>
      <w:r>
        <w:t>Cooperation concerning transition to adulthood, housing, education and employment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HR5-131. Transition to adulthood, housing, education and employment: Child Voice and Case Safeguards</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HR5-132. Case management, visitation and service continuity: Alternative-Care Rights Floor</w:t>
      </w:r>
    </w:p>
    <w:p>
      <w:pPr>
        <w:pStyle w:val="Normal"/>
      </w:pPr>
      <w:r>
        <w:t>The Parties affirm the importance of case management, visitation and service continuity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HR5-133. Case management, visitation and service continuity: Continuity and Best Interests</w:t>
      </w:r>
    </w:p>
    <w:p>
      <w:pPr>
        <w:pStyle w:val="Normal"/>
      </w:pPr>
      <w:r>
        <w:t>Cooperation concerning case management, visitation and service continuity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HR5-134. Foster-parent rights, training and responsibilities: Alternative-Care Rights Floor</w:t>
      </w:r>
    </w:p>
    <w:p>
      <w:pPr>
        <w:pStyle w:val="Normal"/>
      </w:pPr>
      <w:r>
        <w:t>A Party may elect to participate in the Optional Module on Foster-parent rights, training and responsibilities. A participating Party shall implement the commitments it expressly accepts under that Module in accordance with its constitutional order and competent authorities.</w:t>
      </w:r>
    </w:p>
    <w:p>
      <w:pPr>
        <w:pStyle w:val="Heading3"/>
      </w:pPr>
      <w:r>
        <w:t>HR5-135. Foster-parent rights, training and responsibilities: Continuity and Best Interests</w:t>
      </w:r>
    </w:p>
    <w:p>
      <w:pPr>
        <w:pStyle w:val="Normal"/>
      </w:pPr>
      <w:r>
        <w:t>Participating Parties should pursue foster-parent rights, training and responsibilities through non-discriminatory, rights-respecting and proportionate measures, with appropriate exceptions for legitimate public purposes and the rights and freedoms of others.</w:t>
      </w:r>
    </w:p>
    <w:p>
      <w:pPr>
        <w:pStyle w:val="Heading3"/>
      </w:pPr>
      <w:r>
        <w:t>HR5-136. Alternative-care oversight, inspections and complaints: Alternative-Care Rights Floor</w:t>
      </w:r>
    </w:p>
    <w:p>
      <w:pPr>
        <w:pStyle w:val="Normal"/>
      </w:pPr>
      <w:r>
        <w:t>The Parties affirm the importance of alternative-care oversight, inspections and complaints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HR5-137. Alternative-care oversight, inspections and complaints: Continuity and Best Interests</w:t>
      </w:r>
    </w:p>
    <w:p>
      <w:pPr>
        <w:pStyle w:val="Normal"/>
      </w:pPr>
      <w:r>
        <w:t>Cooperation concerning alternative-care oversight, inspections and complaints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HR5-138. Right-to-health policy-space and general principles: Health-Rights Safeguard</w:t>
      </w:r>
    </w:p>
    <w:p>
      <w:pPr>
        <w:pStyle w:val="Normal"/>
      </w:pPr>
      <w:r>
        <w:t>Each Party shall maintain and apply measures consistent with right-to-health policy-space and general principles,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HR5-139. Right-to-health policy-space and general principles: Equal Access and Non-Discrimination</w:t>
      </w:r>
    </w:p>
    <w:p>
      <w:pPr>
        <w:pStyle w:val="Normal"/>
      </w:pPr>
      <w:r>
        <w:t>A Party shall not administer a measure covered by this Agreement in a manner that defeats right-to-health policy-space and general principles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HR5-140. Right-to-health policy-space and general principles: Policy Space and Implementation</w:t>
      </w:r>
    </w:p>
    <w:p>
      <w:pPr>
        <w:pStyle w:val="Normal"/>
      </w:pPr>
      <w:r>
        <w:t>Each Party shall use reasonable, proportionate and administrable measures to give practical effect to right-to-health policy-space and general principles.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HR5-141. Right-to-health policy-space and general principles: Consent, Privacy and Review</w:t>
      </w:r>
    </w:p>
    <w:p>
      <w:pPr>
        <w:pStyle w:val="Normal"/>
      </w:pPr>
      <w:r>
        <w:t>A person materially affected by a covered governmental measure implicating right-to-health policy-space and general principles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HR5-142. Healthcare nondiscrimination and equal access: Health-Rights Safeguard</w:t>
      </w:r>
    </w:p>
    <w:p>
      <w:pPr>
        <w:pStyle w:val="Normal"/>
      </w:pPr>
      <w:r>
        <w:t>Each Party shall maintain and apply measures consistent with healthcare nondiscrimination and equal access,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HR5-143. Healthcare nondiscrimination and equal access: Equal Access and Non-Discrimination</w:t>
      </w:r>
    </w:p>
    <w:p>
      <w:pPr>
        <w:pStyle w:val="Normal"/>
      </w:pPr>
      <w:r>
        <w:t>A Party shall not administer a measure covered by this Agreement in a manner that defeats healthcare nondiscrimination and equal access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HR5-144. Healthcare nondiscrimination and equal access: Policy Space and Implementation</w:t>
      </w:r>
    </w:p>
    <w:p>
      <w:pPr>
        <w:pStyle w:val="Normal"/>
      </w:pPr>
      <w:r>
        <w:t>Each Party shall use reasonable, proportionate and administrable measures to give practical effect to healthcare nondiscrimination and equal access.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HR5-145. Emergency care and status-neutral access: Health-Rights Safeguard</w:t>
      </w:r>
    </w:p>
    <w:p>
      <w:pPr>
        <w:pStyle w:val="Normal"/>
      </w:pPr>
      <w:r>
        <w:t>Each Party shall maintain and apply measures consistent with emergency care and status-neutral access,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HR5-146. Emergency care and status-neutral access: Equal Access and Non-Discrimination</w:t>
      </w:r>
    </w:p>
    <w:p>
      <w:pPr>
        <w:pStyle w:val="Normal"/>
      </w:pPr>
      <w:r>
        <w:t>A Party shall not administer a measure covered by this Agreement in a manner that defeats emergency care and status-neutral access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HR5-147. Informed consent, bodily integrity and refusal of treatment: Health-Rights Safeguard</w:t>
      </w:r>
    </w:p>
    <w:p>
      <w:pPr>
        <w:pStyle w:val="Normal"/>
      </w:pPr>
      <w:r>
        <w:t>Each Party shall maintain and apply measures consistent with informed consent, bodily integrity and refusal of treatment,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HR5-148. Informed consent, bodily integrity and refusal of treatment: Equal Access and Non-Discrimination</w:t>
      </w:r>
    </w:p>
    <w:p>
      <w:pPr>
        <w:pStyle w:val="Normal"/>
      </w:pPr>
      <w:r>
        <w:t>A Party shall not administer a measure covered by this Agreement in a manner that defeats informed consent, bodily integrity and refusal of treatment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HR5-149. Informed consent, bodily integrity and refusal of treatment: Policy Space and Implementation</w:t>
      </w:r>
    </w:p>
    <w:p>
      <w:pPr>
        <w:pStyle w:val="Normal"/>
      </w:pPr>
      <w:r>
        <w:t>Each Party shall use reasonable, proportionate and administrable measures to give practical effect to informed consent, bodily integrity and refusal of treatment.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HR5-150. Medical privacy, confidentiality and records access: Health-Rights Safeguard</w:t>
      </w:r>
    </w:p>
    <w:p>
      <w:pPr>
        <w:pStyle w:val="Normal"/>
      </w:pPr>
      <w:r>
        <w:t>Each Party shall maintain and apply measures consistent with medical privacy, confidentiality and records access, within the scope of this Agreement and subject to the stronger-rights, federalism, competent-authority, security and public-interest safeguards of the Human Rights Framework.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 Protected characteristics, immigration status, disability, health information, or other sensitive data shall not be used as a disguised proxy for prohibited discrimination or unrelated enforcement leverage.</w:t>
      </w:r>
    </w:p>
    <w:p>
      <w:pPr>
        <w:pStyle w:val="Heading3"/>
      </w:pPr>
      <w:r>
        <w:t>HR5-151. Reproductive and maternal-health policy space: Health-Rights Safeguard</w:t>
      </w:r>
    </w:p>
    <w:p>
      <w:pPr>
        <w:pStyle w:val="Normal"/>
      </w:pPr>
      <w:r>
        <w:t>Each Party shall maintain and apply measures consistent with reproductive and maternal-health policy space,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HR5-152. Reproductive and maternal-health policy space: Equal Access and Non-Discrimination</w:t>
      </w:r>
    </w:p>
    <w:p>
      <w:pPr>
        <w:pStyle w:val="Normal"/>
      </w:pPr>
      <w:r>
        <w:t>A Party shall not administer a measure covered by this Agreement in a manner that defeats reproductive and maternal-health policy space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HR5-153. Reproductive and maternal-health policy space: Policy Space and Implementation</w:t>
      </w:r>
    </w:p>
    <w:p>
      <w:pPr>
        <w:pStyle w:val="Normal"/>
      </w:pPr>
      <w:r>
        <w:t>Each Party shall use reasonable, proportionate and administrable measures to give practical effect to reproductive and maternal-health policy space. Implementation may reflect constitutional structure, division of powers and existing institutions, provided that equivalent protection of the covered interest is maintained.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HR5-154. Reproductive-health high-sensitivity entitlements: Health-Rights Safeguard</w:t>
      </w:r>
    </w:p>
    <w:p>
      <w:pPr>
        <w:pStyle w:val="Normal"/>
      </w:pPr>
      <w:r>
        <w:t>A Party may elect to participate in an Optional Reproductive and Maternal Health Module. Nothing in the mandatory NAESTMA core shall require a Party to enact, repeal or alter domestic law governing abortion, contraception, fertility treatment or comparable high-sensitivity clinical entitlements.</w:t>
      </w:r>
    </w:p>
    <w:p>
      <w:pPr>
        <w:pStyle w:val="Heading3"/>
      </w:pPr>
      <w:r>
        <w:t>HR5-155. Reproductive-health high-sensitivity entitlements: Equal Access and Non-Discrimination</w:t>
      </w:r>
    </w:p>
    <w:p>
      <w:pPr>
        <w:pStyle w:val="Normal"/>
      </w:pPr>
      <w:r>
        <w:t>Participating Parties should pursue reproductive-health high-sensitivity entitlements through non-discriminatory, rights-respecting and proportionate measures, with appropriate exceptions for legitimate public purposes and the rights and freedoms of others.</w:t>
      </w:r>
    </w:p>
    <w:p>
      <w:pPr>
        <w:pStyle w:val="Heading3"/>
      </w:pPr>
      <w:r>
        <w:t>HR5-156. Essential medicines availability and affordability: Health-Rights Safeguard</w:t>
      </w:r>
    </w:p>
    <w:p>
      <w:pPr>
        <w:pStyle w:val="Normal"/>
      </w:pPr>
      <w:r>
        <w:t>The Parties affirm the importance of essential medicines availability and affordability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HR5-157. Essential medicines availability and affordability: Equal Access and Non-Discrimination</w:t>
      </w:r>
    </w:p>
    <w:p>
      <w:pPr>
        <w:pStyle w:val="Normal"/>
      </w:pPr>
      <w:r>
        <w:t>Cooperation concerning essential medicines availability and affordability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HR5-158. Essential medicines availability and affordability: Policy Space and Implementation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HR5-159. Medicines intellectual-property flexibilities: Health-Rights Safeguard</w:t>
      </w:r>
    </w:p>
    <w:p>
      <w:pPr>
        <w:pStyle w:val="Normal"/>
      </w:pPr>
      <w:r>
        <w:t>The Parties affirm the importance of medicines intellectual-property flexibilities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HR5-160. Medicines intellectual-property flexibilities: Equal Access and Non-Discrimination</w:t>
      </w:r>
    </w:p>
    <w:p>
      <w:pPr>
        <w:pStyle w:val="Normal"/>
      </w:pPr>
      <w:r>
        <w:t>Cooperation concerning medicines intellectual-property flexibilities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HR5-161. Mental-health nondiscrimination and community care: Health-Rights Safeguard</w:t>
      </w:r>
    </w:p>
    <w:p>
      <w:pPr>
        <w:pStyle w:val="Normal"/>
      </w:pPr>
      <w:r>
        <w:t>The Parties affirm the importance of mental-health nondiscrimination and community care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HR5-162. Mental-health nondiscrimination and community care: Equal Access and Non-Discrimination</w:t>
      </w:r>
    </w:p>
    <w:p>
      <w:pPr>
        <w:pStyle w:val="Normal"/>
      </w:pPr>
      <w:r>
        <w:t>Cooperation concerning mental-health nondiscrimination and community care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HR5-163. Mental-health nondiscrimination and community care: Policy Space and Implementation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HR5-164. Mental-health consent, restraint and institutional safeguards: Health-Rights Safeguard</w:t>
      </w:r>
    </w:p>
    <w:p>
      <w:pPr>
        <w:pStyle w:val="Normal"/>
      </w:pPr>
      <w:r>
        <w:t>Each Party shall maintain and apply measures consistent with mental-health consent, restraint and institutional safeguards,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HR5-165. Disability-inclusive healthcare and reasonable accommodation: Health-Rights Safeguard</w:t>
      </w:r>
    </w:p>
    <w:p>
      <w:pPr>
        <w:pStyle w:val="Normal"/>
      </w:pPr>
      <w:r>
        <w:t>The Parties affirm the importance of disability-inclusive healthcare and reasonable accommodation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HR5-166. Disability-inclusive healthcare and reasonable accommodation: Equal Access and Non-Discrimination</w:t>
      </w:r>
    </w:p>
    <w:p>
      <w:pPr>
        <w:pStyle w:val="Normal"/>
      </w:pPr>
      <w:r>
        <w:t>Cooperation concerning disability-inclusive healthcare and reasonable accommodation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HR5-167. Older-person health protections: Health-Rights Safeguard</w:t>
      </w:r>
    </w:p>
    <w:p>
      <w:pPr>
        <w:pStyle w:val="Normal"/>
      </w:pPr>
      <w:r>
        <w:t>The Parties affirm the importance of older-person health protections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HR5-168. Older-person health protections: Equal Access and Non-Discrimination</w:t>
      </w:r>
    </w:p>
    <w:p>
      <w:pPr>
        <w:pStyle w:val="Normal"/>
      </w:pPr>
      <w:r>
        <w:t>Cooperation concerning older-person health protections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HR5-169. Child health protections: Health-Rights Safeguard</w:t>
      </w:r>
    </w:p>
    <w:p>
      <w:pPr>
        <w:pStyle w:val="Normal"/>
      </w:pPr>
      <w:r>
        <w:t>The Parties affirm the importance of child health protections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HR5-170. Child health protections: Equal Access and Non-Discrimination</w:t>
      </w:r>
    </w:p>
    <w:p>
      <w:pPr>
        <w:pStyle w:val="Normal"/>
      </w:pPr>
      <w:r>
        <w:t>Cooperation concerning child health protections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HR5-171. Occupational health and safe-work protections: Health-Rights Safeguard</w:t>
      </w:r>
    </w:p>
    <w:p>
      <w:pPr>
        <w:pStyle w:val="Normal"/>
      </w:pPr>
      <w:r>
        <w:t>Each Party shall maintain and apply measures consistent with occupational health and safe-work protections, within the scope of this Agreement and subject to the stronger-rights, federalism, competent-authority, security and public-interest safeguards of the Human Rights Framework.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HR5-172. Occupational health and safe-work protections: Equal Access and Non-Discrimination</w:t>
      </w:r>
    </w:p>
    <w:p>
      <w:pPr>
        <w:pStyle w:val="Normal"/>
      </w:pPr>
      <w:r>
        <w:t>A Party shall not administer a measure covered by this Agreement in a manner that defeats occupational health and safe-work protections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HR5-173. Environmental health, clean air, water and pollution: Health-Rights Safeguard</w:t>
      </w:r>
    </w:p>
    <w:p>
      <w:pPr>
        <w:pStyle w:val="Normal"/>
      </w:pPr>
      <w:r>
        <w:t>The Parties affirm the importance of environmental health, clean air, water and pollution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HR5-174. Health information, education and community participation: Health-Rights Safeguard</w:t>
      </w:r>
    </w:p>
    <w:p>
      <w:pPr>
        <w:pStyle w:val="Normal"/>
      </w:pPr>
      <w:r>
        <w:t>The Parties affirm the importance of health information, education and community participation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HR5-175. Health information, education and community participation: Equal Access and Non-Discrimination</w:t>
      </w:r>
    </w:p>
    <w:p>
      <w:pPr>
        <w:pStyle w:val="Normal"/>
      </w:pPr>
      <w:r>
        <w:t>Cooperation concerning health information, education and community participation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HR5-176. Health-system resilience, transparency and accountability: Health-Rights Safeguard</w:t>
      </w:r>
    </w:p>
    <w:p>
      <w:pPr>
        <w:pStyle w:val="Normal"/>
      </w:pPr>
      <w:r>
        <w:t>The Parties affirm the importance of health-system resilience, transparency and accountability and shall seek to strengthen it through cooperative, equivalent or phased measures suited to their respective constitutional and institutional systems.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HR5-177. Health-system resilience, transparency and accountability: Equal Access and Non-Discrimination</w:t>
      </w:r>
    </w:p>
    <w:p>
      <w:pPr>
        <w:pStyle w:val="Normal"/>
      </w:pPr>
      <w:r>
        <w:t>Cooperation concerning health-system resilience, transparency and accountability should prioritize equal access, accessibility, non-retaliation and protection of persons facing heightened barriers, while permitting functionally equivalent national approaches.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 Where an immediate threat to life, health, or physical integrity is credibly identified, available protective and medical measures shall be considered without awaiting completion of an unrelated trade or political process.</w:t>
      </w:r>
    </w:p>
    <w:p>
      <w:pPr>
        <w:pStyle w:val="Heading3"/>
      </w:pPr>
      <w:r>
        <w:t>HR5-178. Freedom of thought, conscience, religion and belief: Freedom of Religion or Belief</w:t>
      </w:r>
    </w:p>
    <w:p>
      <w:pPr>
        <w:pStyle w:val="Normal"/>
      </w:pPr>
      <w:r>
        <w:t>Each Party shall respect freedom of thought, conscience, religion and belief within the scope of measures covered by this Agreement, including the freedom to hold a religion or belief, to hold no religion or belief, and to change religion or belief, subject only to lawful limitations consistent with the rights of others and legitimate public purposes.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HR5-179. Freedom of thought, conscience, religion and belief: Equal Protection and Non-Coercion</w:t>
      </w:r>
    </w:p>
    <w:p>
      <w:pPr>
        <w:pStyle w:val="Normal"/>
      </w:pPr>
      <w:r>
        <w:t>A Party shall not administer a measure covered by this Agreement in a manner that defeats freedom of thought, conscience, religion and belief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HR5-180. Freedom of thought, conscience, religion and belief: Reasonable Accommodation and Manifestation</w:t>
      </w:r>
    </w:p>
    <w:p>
      <w:pPr>
        <w:pStyle w:val="Normal"/>
      </w:pPr>
      <w:r>
        <w:t>Each Party shall use reasonable, proportionate and administrable measures to give practical effect to freedom of thought, conscience, religion and belief.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HR5-181. Freedom of thought, conscience, religion and belief: Limitations and Rights Balancing</w:t>
      </w:r>
    </w:p>
    <w:p>
      <w:pPr>
        <w:pStyle w:val="Normal"/>
      </w:pPr>
      <w:r>
        <w:t>A person materially affected by a covered governmental measure implicating freedom of thought, conscience, religion and belief shall have access, as appropriate under domestic law, to notice, reasons, review, complaint or another effective process. This Article does not itself create a private cause of action, criminal offence or automatic civil liability.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HR5-182. Freedom of thought, conscience, religion and belief: Institutional Cooperation and Safeguards</w:t>
      </w:r>
    </w:p>
    <w:p>
      <w:pPr>
        <w:pStyle w:val="Normal"/>
      </w:pPr>
      <w:r>
        <w:t>The Parties shall cooperate, where useful, on implementation of freedom of thought, conscience, religion and belief using existing NAESTMA institutions wherever capable. Reporting and data collection shall be proportionate, privacy-preserving and designed to avoid new unfunded permanent bureaucracy. Implementation shall use constitutionally competent authorities and existing NAESTMA institutions wherever capable, and shall not require a new permanent supranational body unless the Parties expressly agree otherwise. Any information collection, consultation, or reporting used for this provision shall be limited to what is reasonably necessary for the stated function and shall respect applicable privacy, confidentiality, security, and protected-disclosure safeguards.</w:t>
      </w:r>
    </w:p>
    <w:p>
      <w:pPr>
        <w:pStyle w:val="Heading3"/>
      </w:pPr>
      <w:r>
        <w:t>HR5-183. Freedom to manifest religion or belief: Freedom of Religion or Belief</w:t>
      </w:r>
    </w:p>
    <w:p>
      <w:pPr>
        <w:pStyle w:val="Normal"/>
      </w:pPr>
      <w:r>
        <w:t>Each Party shall maintain and apply measures consistent with freedom to manifest religion or belief,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HR5-184. Freedom to manifest religion or belief: Equal Protection and Non-Coercion</w:t>
      </w:r>
    </w:p>
    <w:p>
      <w:pPr>
        <w:pStyle w:val="Normal"/>
      </w:pPr>
      <w:r>
        <w:t>A Party shall not administer a measure covered by this Agreement in a manner that defeats freedom to manifest religion or belief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HR5-185. Freedom to manifest religion or belief: Reasonable Accommodation and Manifestation</w:t>
      </w:r>
    </w:p>
    <w:p>
      <w:pPr>
        <w:pStyle w:val="Normal"/>
      </w:pPr>
      <w:r>
        <w:t>Each Party shall use reasonable, proportionate and administrable measures to give practical effect to freedom to manifest religion or belief.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HR5-186. Freedom to change, leave or reject religion: Freedom of Religion or Belief</w:t>
      </w:r>
    </w:p>
    <w:p>
      <w:pPr>
        <w:pStyle w:val="Normal"/>
      </w:pPr>
      <w:r>
        <w:t>No covered measure shall coerce a person to adopt, retain, abandon or disclose a religion or belief. Protection extends equally to conversion, non-belief and a decision not to participate in religious practice.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HR5-187. Freedom to change, leave or reject religion: Equal Protection and Non-Coercion</w:t>
      </w:r>
    </w:p>
    <w:p>
      <w:pPr>
        <w:pStyle w:val="Normal"/>
      </w:pPr>
      <w:r>
        <w:t>A Party shall not administer a measure covered by this Agreement in a manner that defeats freedom to change, leave or reject religion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HR5-188. Freedom to change, leave or reject religion: Reasonable Accommodation and Manifestation</w:t>
      </w:r>
    </w:p>
    <w:p>
      <w:pPr>
        <w:pStyle w:val="Normal"/>
      </w:pPr>
      <w:r>
        <w:t>Each Party shall use reasonable, proportionate and administrable measures to give practical effect to freedom to change, leave or reject religion.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HR5-189. Religious nondiscrimination and equal protection: Freedom of Religion or Belief</w:t>
      </w:r>
    </w:p>
    <w:p>
      <w:pPr>
        <w:pStyle w:val="Normal"/>
      </w:pPr>
      <w:r>
        <w:t>Each Party shall maintain and apply measures consistent with religious nondiscrimination and equal protection,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HR5-190. Religious nondiscrimination and equal protection: Equal Protection and Non-Coercion</w:t>
      </w:r>
    </w:p>
    <w:p>
      <w:pPr>
        <w:pStyle w:val="Normal"/>
      </w:pPr>
      <w:r>
        <w:t>A Party shall not administer a measure covered by this Agreement in a manner that defeats religious nondiscrimination and equal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HR5-191. Religious nondiscrimination and equal protection: Reasonable Accommodation and Manifestation</w:t>
      </w:r>
    </w:p>
    <w:p>
      <w:pPr>
        <w:pStyle w:val="Normal"/>
      </w:pPr>
      <w:r>
        <w:t>Each Party shall use reasonable, proportionate and administrable measures to give practical effect to religious nondiscrimination and equal protection.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HR5-192. Religious accommodation in employment and services: Freedom of Religion or Belief</w:t>
      </w:r>
    </w:p>
    <w:p>
      <w:pPr>
        <w:pStyle w:val="Normal"/>
      </w:pPr>
      <w:r>
        <w:t>The Parties affirm the importance of religious accommodation in employment and services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HR5-193. Religious accommodation in employment and services: Equal Protection and Non-Coercion</w:t>
      </w:r>
    </w:p>
    <w:p>
      <w:pPr>
        <w:pStyle w:val="Normal"/>
      </w:pPr>
      <w:r>
        <w:t>Cooperation concerning religious accommodation in employment and services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HR5-194. Religious accommodation in employment and services: Reasonable Accommodation and Manifestation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HR5-195. Places of worship, sacred sites and religious property: Freedom of Religion or Belief</w:t>
      </w:r>
    </w:p>
    <w:p>
      <w:pPr>
        <w:pStyle w:val="Normal"/>
      </w:pPr>
      <w:r>
        <w:t>The Parties affirm the importance of places of worship, sacred sites and religious property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HR5-196. Places of worship, sacred sites and religious property: Equal Protection and Non-Coercion</w:t>
      </w:r>
    </w:p>
    <w:p>
      <w:pPr>
        <w:pStyle w:val="Normal"/>
      </w:pPr>
      <w:r>
        <w:t>Cooperation concerning places of worship, sacred sites and religious property should prioritize equal access, accessibility, non-retaliation and protection of persons facing heightened barriers, while permitting functionally equivalent national approaches.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HR5-197. Places of worship, sacred sites and religious property: Reasonable Accommodation and Manifestation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HR5-198. Religious symbols, dress, appearance and observance: Freedom of Religion or Belief</w:t>
      </w:r>
    </w:p>
    <w:p>
      <w:pPr>
        <w:pStyle w:val="Normal"/>
      </w:pPr>
      <w:r>
        <w:t>The Parties affirm the importance of religious symbols, dress, appearance and observance and shall seek to strengthen it through cooperative, equivalent or phased measures suited to their respective constitutional and institutional systems.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HR5-199. Religious symbols, dress, appearance and observance: Equal Protection and Non-Coercion</w:t>
      </w:r>
    </w:p>
    <w:p>
      <w:pPr>
        <w:pStyle w:val="Normal"/>
      </w:pPr>
      <w:r>
        <w:t>Cooperation concerning religious symbols, dress, appearance and observance should prioritize equal access, accessibility, non-retaliation and protection of persons facing heightened barriers, while permitting functionally equivalent national approaches.</w:t>
      </w:r>
    </w:p>
    <w:p>
      <w:pPr>
        <w:pStyle w:val="Heading3"/>
      </w:pPr>
      <w:r>
        <w:t>HR5-200. Religious symbols, dress, appearance and observance: Reasonable Accommodation and Manifestation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3"/>
      </w:pPr>
      <w:r>
        <w:t>HR5-201. Religious education, instruction and parental choice: Freedom of Religion or Belief</w:t>
      </w:r>
    </w:p>
    <w:p>
      <w:pPr>
        <w:pStyle w:val="Normal"/>
      </w:pPr>
      <w:r>
        <w:t>A Party may elect to participate in the Optional Module on Religious education, instruction and parental choice. A participating Party shall implement the commitments it expressly accepts under that Module in accordance with its constitutional order and competent authorities.</w:t>
      </w:r>
    </w:p>
    <w:p>
      <w:pPr>
        <w:pStyle w:val="Heading3"/>
      </w:pPr>
      <w:r>
        <w:t>HR5-202. Religious education, instruction and parental choice: Equal Protection and Non-Coercion</w:t>
      </w:r>
    </w:p>
    <w:p>
      <w:pPr>
        <w:pStyle w:val="Normal"/>
      </w:pPr>
      <w:r>
        <w:t>Participating Parties should pursue religious education, instruction and parental choice through non-discriminatory, rights-respecting and proportionate measures, with appropriate exceptions for legitimate public purposes and the rights and freedoms of others.</w:t>
      </w:r>
    </w:p>
    <w:p>
      <w:pPr>
        <w:pStyle w:val="Heading3"/>
      </w:pPr>
      <w:r>
        <w:t>HR5-203. Religious education, instruction and parental choice: Reasonable Accommodation and Manifestation</w:t>
      </w:r>
    </w:p>
    <w:p>
      <w:pPr>
        <w:pStyle w:val="Normal"/>
      </w:pPr>
      <w:r>
        <w:t>The Optional Module may establish cooperative standards, transparency measures, review procedures or implementation benchmarks concerning religious education, instruction and parental choice, while allowing equivalent national methods and reservations expressly recorded at adoption.</w:t>
      </w:r>
    </w:p>
    <w:p>
      <w:pPr>
        <w:pStyle w:val="Heading3"/>
      </w:pPr>
      <w:r>
        <w:t>HR5-204. Religious holidays, schedules and dietary accommodation: Freedom of Religion or Belief</w:t>
      </w:r>
    </w:p>
    <w:p>
      <w:pPr>
        <w:pStyle w:val="Normal"/>
      </w:pPr>
      <w:r>
        <w:t>The Parties affirm the importance of religious holidays, schedules and dietary accommodation and shall seek to strengthen it through cooperative, equivalent or phased measures suited to their respective constitutional and institutional systems.</w:t>
      </w:r>
    </w:p>
    <w:p>
      <w:pPr>
        <w:pStyle w:val="Heading3"/>
      </w:pPr>
      <w:r>
        <w:t>HR5-205. Religious holidays, schedules and dietary accommodation: Equal Protection and Non-Coercion</w:t>
      </w:r>
    </w:p>
    <w:p>
      <w:pPr>
        <w:pStyle w:val="Normal"/>
      </w:pPr>
      <w:r>
        <w:t>Cooperation concerning religious holidays, schedules and dietary accommodation should prioritize equal access, accessibility, non-retaliation and protection of persons facing heightened barriers, while permitting functionally equivalent national approaches.</w:t>
      </w:r>
    </w:p>
    <w:p>
      <w:pPr>
        <w:pStyle w:val="Heading3"/>
      </w:pPr>
      <w:r>
        <w:t>HR5-206. Religion in prisons, hospitals, military and institutional settings: Freedom of Religion or Belief</w:t>
      </w:r>
    </w:p>
    <w:p>
      <w:pPr>
        <w:pStyle w:val="Normal"/>
      </w:pPr>
      <w:r>
        <w:t>The Parties affirm the importance of religion in prisons, hospitals, military and institutional settings and shall seek to strengthen it through cooperative, equivalent or phased measures suited to their respective constitutional and institutional systems.</w:t>
      </w:r>
    </w:p>
    <w:p>
      <w:pPr>
        <w:pStyle w:val="Heading3"/>
      </w:pPr>
      <w:r>
        <w:t>HR5-207. Religion in prisons, hospitals, military and institutional settings: Equal Protection and Non-Coercion</w:t>
      </w:r>
    </w:p>
    <w:p>
      <w:pPr>
        <w:pStyle w:val="Normal"/>
      </w:pPr>
      <w:r>
        <w:t>Cooperation concerning religion in prisons, hospitals, military and institutional settings should prioritize equal access, accessibility, non-retaliation and protection of persons facing heightened barriers, while permitting functionally equivalent national approaches.</w:t>
      </w:r>
    </w:p>
    <w:p>
      <w:pPr>
        <w:pStyle w:val="Heading3"/>
      </w:pPr>
      <w:r>
        <w:t>HR5-208. Religion in prisons, hospitals, military and institutional settings: Reasonable Accommodation and Manifestation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3"/>
      </w:pPr>
      <w:r>
        <w:t>HR5-209. Religious leaders, clergy and institutional autonomy: Freedom of Religion or Belief</w:t>
      </w:r>
    </w:p>
    <w:p>
      <w:pPr>
        <w:pStyle w:val="Normal"/>
      </w:pPr>
      <w:r>
        <w:t>A Party may elect to participate in the Optional Module on Religious leaders, clergy and institutional autonomy. A participating Party shall implement the commitments it expressly accepts under that Module in accordance with its constitutional order and competent authorities.</w:t>
      </w:r>
    </w:p>
    <w:p>
      <w:pPr>
        <w:pStyle w:val="Heading3"/>
      </w:pPr>
      <w:r>
        <w:t>HR5-210. Religious leaders, clergy and institutional autonomy: Equal Protection and Non-Coercion</w:t>
      </w:r>
    </w:p>
    <w:p>
      <w:pPr>
        <w:pStyle w:val="Normal"/>
      </w:pPr>
      <w:r>
        <w:t>Participating Parties should pursue religious leaders, clergy and institutional autonomy through non-discriminatory, rights-respecting and proportionate measures, with appropriate exceptions for legitimate public purposes and the rights and freedoms of others.</w:t>
      </w:r>
    </w:p>
    <w:p>
      <w:pPr>
        <w:pStyle w:val="Heading3"/>
      </w:pPr>
      <w:r>
        <w:t>HR5-211. Religious leaders, clergy and institutional autonomy: Reasonable Accommodation and Manifestation</w:t>
      </w:r>
    </w:p>
    <w:p>
      <w:pPr>
        <w:pStyle w:val="Normal"/>
      </w:pPr>
      <w:r>
        <w:t>The Optional Module may establish cooperative standards, transparency measures, review procedures or implementation benchmarks concerning religious leaders, clergy and institutional autonomy, while allowing equivalent national methods and reservations expressly recorded at adoption.</w:t>
      </w:r>
    </w:p>
    <w:p>
      <w:pPr>
        <w:pStyle w:val="Heading3"/>
      </w:pPr>
      <w:r>
        <w:t>HR5-212. Religion, family, marriage and high-sensitivity domestic law: Freedom of Religion or Belief</w:t>
      </w:r>
    </w:p>
    <w:p>
      <w:pPr>
        <w:pStyle w:val="Normal"/>
      </w:pPr>
      <w:r>
        <w:t>A Party may elect to participate in the Optional Module on Religion, family, marriage and high-sensitivity domestic law. A participating Party shall implement the commitments it expressly accepts under that Module in accordance with its constitutional order and competent authorities.</w:t>
      </w:r>
    </w:p>
    <w:p>
      <w:pPr>
        <w:pStyle w:val="Heading3"/>
      </w:pPr>
      <w:r>
        <w:t>HR5-213. Religion, family, marriage and high-sensitivity domestic law: Equal Protection and Non-Coercion</w:t>
      </w:r>
    </w:p>
    <w:p>
      <w:pPr>
        <w:pStyle w:val="Normal"/>
      </w:pPr>
      <w:r>
        <w:t>Participating Parties should pursue religion, family, marriage and high-sensitivity domestic law through non-discriminatory, rights-respecting and proportionate measures, with appropriate exceptions for legitimate public purposes and the rights and freedoms of others.</w:t>
      </w:r>
    </w:p>
    <w:p>
      <w:pPr>
        <w:pStyle w:val="Heading3"/>
      </w:pPr>
      <w:r>
        <w:t>HR5-214. Religious-freedom limitations, public safety and rights balancing: Freedom of Religion or Belief</w:t>
      </w:r>
    </w:p>
    <w:p>
      <w:pPr>
        <w:pStyle w:val="Normal"/>
      </w:pPr>
      <w:r>
        <w:t>Each Party shall maintain and apply measures consistent with religious-freedom limitations, public safety and rights balancing,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HR5-215. Religious-freedom limitations, public safety and rights balancing: Equal Protection and Non-Coercion</w:t>
      </w:r>
    </w:p>
    <w:p>
      <w:pPr>
        <w:pStyle w:val="Normal"/>
      </w:pPr>
      <w:r>
        <w:t>A Party shall not administer a measure covered by this Agreement in a manner that defeats religious-freedom limitations, public safety and rights balancing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HR5-216. Religious-freedom limitations, public safety and rights balancing: Reasonable Accommodation and Manifestation</w:t>
      </w:r>
    </w:p>
    <w:p>
      <w:pPr>
        <w:pStyle w:val="Normal"/>
      </w:pPr>
      <w:r>
        <w:t>Each Party shall use reasonable, proportionate and administrable measures to give practical effect to religious-freedom limitations, public safety and rights balancing.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HR5-217. Religious-freedom monitoring and participation: Freedom of Religion or Belief</w:t>
      </w:r>
    </w:p>
    <w:p>
      <w:pPr>
        <w:pStyle w:val="Normal"/>
      </w:pPr>
      <w:r>
        <w:t>The Parties affirm the importance of religious-freedom monitoring and participation and shall seek to strengthen it through cooperative, equivalent or phased measures suited to their respective constitutional and institutional systems.</w:t>
      </w:r>
    </w:p>
    <w:p>
      <w:pPr>
        <w:pStyle w:val="Heading3"/>
      </w:pPr>
      <w:r>
        <w:t>HR5-218. Religious-freedom monitoring and participation: Equal Protection and Non-Coercion</w:t>
      </w:r>
    </w:p>
    <w:p>
      <w:pPr>
        <w:pStyle w:val="Normal"/>
      </w:pPr>
      <w:r>
        <w:t>Cooperation concerning religious-freedom monitoring and participation should prioritize equal access, accessibility, non-retaliation and protection of persons facing heightened barriers, while permitting functionally equivalent national approaches.</w:t>
      </w:r>
    </w:p>
    <w:p>
      <w:pPr>
        <w:pStyle w:val="Heading3"/>
      </w:pPr>
      <w:r>
        <w:t>HR5-219. Freedom of movement and residence: Mobility Rights Safeguard</w:t>
      </w:r>
    </w:p>
    <w:p>
      <w:pPr>
        <w:pStyle w:val="Normal"/>
      </w:pPr>
      <w:r>
        <w:t>Each Party shall maintain and apply measures consistent with freedom of movement and residence,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HR5-220. Freedom of movement and residence: Equal and Status-Neutral Treatment</w:t>
      </w:r>
    </w:p>
    <w:p>
      <w:pPr>
        <w:pStyle w:val="Normal"/>
      </w:pPr>
      <w:r>
        <w:t>A Party shall not administer a measure covered by this Agreement in a manner that defeats freedom of movement and residence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HR5-221. Freedom of movement and residence: Proportionate Restrictions</w:t>
      </w:r>
    </w:p>
    <w:p>
      <w:pPr>
        <w:pStyle w:val="Normal"/>
      </w:pPr>
      <w:r>
        <w:t>Each Party shall use reasonable, proportionate and administrable measures to give practical effect to freedom of movement and residence.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HR5-222. Freedom of movement and residence: Notice, Review and Remedy</w:t>
      </w:r>
    </w:p>
    <w:p>
      <w:pPr>
        <w:pStyle w:val="Normal"/>
      </w:pPr>
      <w:r>
        <w:t>A person materially affected by a covered governmental measure implicating freedom of movement and residence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HR5-223. Right to leave a country and travel documents: Mobility Rights Safeguard</w:t>
      </w:r>
    </w:p>
    <w:p>
      <w:pPr>
        <w:pStyle w:val="Normal"/>
      </w:pPr>
      <w:r>
        <w:t>Each Party shall maintain and apply measures consistent with right to leave a country and travel documents,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HR5-224. Right to leave a country and travel documents: Equal and Status-Neutral Treatment</w:t>
      </w:r>
    </w:p>
    <w:p>
      <w:pPr>
        <w:pStyle w:val="Normal"/>
      </w:pPr>
      <w:r>
        <w:t>A Party shall not administer a measure covered by this Agreement in a manner that defeats right to leave a country and travel documents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HR5-225. Return to one's own country and anti-exile safeguards: Mobility Rights Safeguard</w:t>
      </w:r>
    </w:p>
    <w:p>
      <w:pPr>
        <w:pStyle w:val="Normal"/>
      </w:pPr>
      <w:r>
        <w:t>Each Party shall maintain and apply measures consistent with return to one's own country and anti-exile safeguards,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HR5-226. Return to one's own country and anti-exile safeguards: Equal and Status-Neutral Treatment</w:t>
      </w:r>
    </w:p>
    <w:p>
      <w:pPr>
        <w:pStyle w:val="Normal"/>
      </w:pPr>
      <w:r>
        <w:t>A Party shall not administer a measure covered by this Agreement in a manner that defeats return to one's own country and anti-exile safeguards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HR5-227. Migrant-worker and family mobility: Mobility Rights Safeguard</w:t>
      </w:r>
    </w:p>
    <w:p>
      <w:pPr>
        <w:pStyle w:val="Normal"/>
      </w:pPr>
      <w:r>
        <w:t>The Parties affirm the importance of migrant-worker and family mobility and shall seek to strengthen it through cooperative, equivalent or phased measures suited to their respective constitutional and institutional systems.</w:t>
      </w:r>
    </w:p>
    <w:p>
      <w:pPr>
        <w:pStyle w:val="Heading3"/>
      </w:pPr>
      <w:r>
        <w:t>HR5-228. Migrant-worker and family mobility: Equal and Status-Neutral Treatment</w:t>
      </w:r>
    </w:p>
    <w:p>
      <w:pPr>
        <w:pStyle w:val="Normal"/>
      </w:pPr>
      <w:r>
        <w:t>Cooperation concerning migrant-worker and family mobility should prioritize equal access, accessibility, non-retaliation and protection of persons facing heightened barriers, while permitting functionally equivalent national approaches.</w:t>
      </w:r>
    </w:p>
    <w:p>
      <w:pPr>
        <w:pStyle w:val="Heading3"/>
      </w:pPr>
      <w:r>
        <w:t>HR5-229. Refugee and asylum-seeker mobility: Mobility Rights Safeguard</w:t>
      </w:r>
    </w:p>
    <w:p>
      <w:pPr>
        <w:pStyle w:val="Normal"/>
      </w:pPr>
      <w:r>
        <w:t>Each Party shall maintain and apply measures consistent with refugee and asylum-seeker mobility,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HR5-230. Refugee and asylum-seeker mobility: Equal and Status-Neutral Treatment</w:t>
      </w:r>
    </w:p>
    <w:p>
      <w:pPr>
        <w:pStyle w:val="Normal"/>
      </w:pPr>
      <w:r>
        <w:t>A Party shall not administer a measure covered by this Agreement in a manner that defeats refugee and asylum-seeker mobility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HR5-231. Disability-inclusive personal mobility: Mobility Rights Safeguard</w:t>
      </w:r>
    </w:p>
    <w:p>
      <w:pPr>
        <w:pStyle w:val="Normal"/>
      </w:pPr>
      <w:r>
        <w:t>The Parties affirm the importance of disability-inclusive personal mobility and shall seek to strengthen it through cooperative, equivalent or phased measures suited to their respective constitutional and institutional systems.</w:t>
      </w:r>
    </w:p>
    <w:p>
      <w:pPr>
        <w:pStyle w:val="Heading3"/>
      </w:pPr>
      <w:r>
        <w:t>HR5-232. Disability-inclusive personal mobility: Equal and Status-Neutral Treatment</w:t>
      </w:r>
    </w:p>
    <w:p>
      <w:pPr>
        <w:pStyle w:val="Normal"/>
      </w:pPr>
      <w:r>
        <w:t>Cooperation concerning disability-inclusive personal mobility should prioritize equal access, accessibility, non-retaliation and protection of persons facing heightened barriers, while permitting functionally equivalent national approaches.</w:t>
      </w:r>
    </w:p>
    <w:p>
      <w:pPr>
        <w:pStyle w:val="Heading3"/>
      </w:pPr>
      <w:r>
        <w:t>HR5-233. Child and family cross-border mobility: Mobility Rights Safeguard</w:t>
      </w:r>
    </w:p>
    <w:p>
      <w:pPr>
        <w:pStyle w:val="Normal"/>
      </w:pPr>
      <w:r>
        <w:t>The Parties affirm the importance of child and family cross-border mobility and shall seek to strengthen it through cooperative, equivalent or phased measures suited to their respective constitutional and institutional systems.</w:t>
      </w:r>
    </w:p>
    <w:p>
      <w:pPr>
        <w:pStyle w:val="Heading3"/>
      </w:pPr>
      <w:r>
        <w:t>HR5-234. Child and family cross-border mobility: Equal and Status-Neutral Treatment</w:t>
      </w:r>
    </w:p>
    <w:p>
      <w:pPr>
        <w:pStyle w:val="Normal"/>
      </w:pPr>
      <w:r>
        <w:t>Cooperation concerning child and family cross-border mobility should prioritize equal access, accessibility, non-retaliation and protection of persons facing heightened barriers, while permitting functionally equivalent national approaches.</w:t>
      </w:r>
    </w:p>
    <w:p>
      <w:pPr>
        <w:pStyle w:val="Heading3"/>
      </w:pPr>
      <w:r>
        <w:t>HR5-235. Business-person and professional temporary mobility: Mobility Rights Safeguard</w:t>
      </w:r>
    </w:p>
    <w:p>
      <w:pPr>
        <w:pStyle w:val="Normal"/>
      </w:pPr>
      <w:r>
        <w:t>The Parties affirm the importance of business-person and professional temporary mobility and shall seek to strengthen it through cooperative, equivalent or phased measures suited to their respective constitutional and institutional systems.</w:t>
      </w:r>
    </w:p>
    <w:p>
      <w:pPr>
        <w:pStyle w:val="Heading3"/>
      </w:pPr>
      <w:r>
        <w:t>HR5-236. Business-person and professional temporary mobility: Equal and Status-Neutral Treatment</w:t>
      </w:r>
    </w:p>
    <w:p>
      <w:pPr>
        <w:pStyle w:val="Normal"/>
      </w:pPr>
      <w:r>
        <w:t>Cooperation concerning business-person and professional temporary mobility should prioritize equal access, accessibility, non-retaliation and protection of persons facing heightened barriers, while permitting functionally equivalent national approaches.</w:t>
      </w:r>
    </w:p>
    <w:p>
      <w:pPr>
        <w:pStyle w:val="Heading3"/>
      </w:pPr>
      <w:r>
        <w:t>HR5-237. Mobility nondiscrimination and profiling limits: Mobility Rights Safeguard</w:t>
      </w:r>
    </w:p>
    <w:p>
      <w:pPr>
        <w:pStyle w:val="Normal"/>
      </w:pPr>
      <w:r>
        <w:t>Each Party shall maintain and apply measures consistent with mobility nondiscrimination and profiling limits,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HR5-238. Mobility due process, removal and travel-restriction review: Mobility Rights Safeguard</w:t>
      </w:r>
    </w:p>
    <w:p>
      <w:pPr>
        <w:pStyle w:val="Normal"/>
      </w:pPr>
      <w:r>
        <w:t>Each Party shall maintain and apply measures consistent with mobility due process, removal and travel-restriction review,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HR5-239. Mobility due process, removal and travel-restriction review: Equal and Status-Neutral Treatment</w:t>
      </w:r>
    </w:p>
    <w:p>
      <w:pPr>
        <w:pStyle w:val="Normal"/>
      </w:pPr>
      <w:r>
        <w:t>A Party shall not administer a measure covered by this Agreement in a manner that defeats mobility due process, removal and travel-restriction review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HR5-240. Democratic participation and popular legitimacy: Protected Democratic Principle</w:t>
      </w:r>
    </w:p>
    <w:p>
      <w:pPr>
        <w:pStyle w:val="Normal"/>
      </w:pPr>
      <w:r>
        <w:t>The Parties affirm that public authority derives from lawful democratic institutions and meaningful public participation. Measures adopted under this Agreement shall not be interpreted to require the suspension, displacement or circumvention of constitutional democratic processes.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HR5-241. Democratic participation and popular legitimacy: Equal and Effective Participation</w:t>
      </w:r>
    </w:p>
    <w:p>
      <w:pPr>
        <w:pStyle w:val="Normal"/>
      </w:pPr>
      <w:r>
        <w:t>A Party shall not administer a measure covered by this Agreement in a manner that defeats democratic participation and popular legitimacy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HR5-242. Universal and equal suffrage: Protected Democratic Principle</w:t>
      </w:r>
    </w:p>
    <w:p>
      <w:pPr>
        <w:pStyle w:val="Normal"/>
      </w:pPr>
      <w:r>
        <w:t>Each participating constitutional order shall preserve universal and equal suffrage for citizens entitled to vote under its law, without discrimination prohibited by the Human Rights Framework. Nothing in this Article prescribes a voting age, citizenship rule or electoral system.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HR5-243. Universal and equal suffrage: Equal and Effective Participation</w:t>
      </w:r>
    </w:p>
    <w:p>
      <w:pPr>
        <w:pStyle w:val="Normal"/>
      </w:pPr>
      <w:r>
        <w:t>A Party shall not administer a measure covered by this Agreement in a manner that defeats universal and equal suffrage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HR5-244. Universal and equal suffrage: Integrity and Anti-Coercion</w:t>
      </w:r>
    </w:p>
    <w:p>
      <w:pPr>
        <w:pStyle w:val="Normal"/>
      </w:pPr>
      <w:r>
        <w:t>Each Party shall use reasonable, proportionate and administrable measures to give practical effect to universal and equal suffrage.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HR5-245. Universal and equal suffrage: Accessible Procedure and Review</w:t>
      </w:r>
    </w:p>
    <w:p>
      <w:pPr>
        <w:pStyle w:val="Normal"/>
      </w:pPr>
      <w:r>
        <w:t>A person materially affected by a covered governmental measure implicating universal and equal suffrage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HR5-246. Voter registration and practical access: Protected Democratic Principle</w:t>
      </w:r>
    </w:p>
    <w:p>
      <w:pPr>
        <w:pStyle w:val="Normal"/>
      </w:pPr>
      <w:r>
        <w:t>A Party may elect to participate in the Optional Module on Voter registration and practical access. A participating Party shall implement the commitments it expressly accepts under that Module in accordance with its constitutional order and competent authorities.</w:t>
      </w:r>
    </w:p>
    <w:p>
      <w:pPr>
        <w:pStyle w:val="Heading3"/>
      </w:pPr>
      <w:r>
        <w:t>HR5-247. Voter registration and practical access: Equal and Effective Participation</w:t>
      </w:r>
    </w:p>
    <w:p>
      <w:pPr>
        <w:pStyle w:val="Normal"/>
      </w:pPr>
      <w:r>
        <w:t>Participating Parties should pursue voter registration and practical access through non-discriminatory, rights-respecting and proportionate measures, with appropriate exceptions for legitimate public purposes and the rights and freedoms of others.</w:t>
      </w:r>
    </w:p>
    <w:p>
      <w:pPr>
        <w:pStyle w:val="Heading3"/>
      </w:pPr>
      <w:r>
        <w:t>HR5-248. Secret ballot and freedom from compelled disclosure: Protected Democratic Principle</w:t>
      </w:r>
    </w:p>
    <w:p>
      <w:pPr>
        <w:pStyle w:val="Normal"/>
      </w:pPr>
      <w:r>
        <w:t>The Parties affirm the secret ballot as a basic safeguard of free political choice. No NAESTMA measure shall require disclosure of an individual's vote or support coercive practices that materially compromise ballot secrecy.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HR5-249. Secret ballot and freedom from compelled disclosure: Equal and Effective Participation</w:t>
      </w:r>
    </w:p>
    <w:p>
      <w:pPr>
        <w:pStyle w:val="Normal"/>
      </w:pPr>
      <w:r>
        <w:t>A Party shall not administer a measure covered by this Agreement in a manner that defeats secret ballot and freedom from compelled disclosure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HR5-250. Secret ballot and freedom from compelled disclosure: Integrity and Anti-Coercion</w:t>
      </w:r>
    </w:p>
    <w:p>
      <w:pPr>
        <w:pStyle w:val="Normal"/>
      </w:pPr>
      <w:r>
        <w:t>Each Party shall use reasonable, proportionate and administrable measures to give practical effect to secret ballot and freedom from compelled disclosure.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HR5-251. Periodic genuine elections and electoral integrity: Protected Democratic Principle</w:t>
      </w:r>
    </w:p>
    <w:p>
      <w:pPr>
        <w:pStyle w:val="Normal"/>
      </w:pPr>
      <w:r>
        <w:t>The Parties affirm the importance of genuine periodic elections conducted under domestic constitutional law. No benefit under this Agreement may be conditioned on a Party manipulating the timing, counting or lawful certification of an election.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HR5-252. Periodic genuine elections and electoral integrity: Equal and Effective Participation</w:t>
      </w:r>
    </w:p>
    <w:p>
      <w:pPr>
        <w:pStyle w:val="Normal"/>
      </w:pPr>
      <w:r>
        <w:t>A Party shall not administer a measure covered by this Agreement in a manner that defeats periodic genuine elections and electoral integrity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HR5-253. Periodic genuine elections and electoral integrity: Integrity and Anti-Coercion</w:t>
      </w:r>
    </w:p>
    <w:p>
      <w:pPr>
        <w:pStyle w:val="Normal"/>
      </w:pPr>
      <w:r>
        <w:t>Each Party shall use reasonable, proportionate and administrable measures to give practical effect to periodic genuine elections and electoral integrity.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HR5-254. Periodic genuine elections and electoral integrity: Accessible Procedure and Review</w:t>
      </w:r>
    </w:p>
    <w:p>
      <w:pPr>
        <w:pStyle w:val="Normal"/>
      </w:pPr>
      <w:r>
        <w:t>A person materially affected by a covered governmental measure implicating periodic genuine elections and electoral integrity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HR5-255. Candidate eligibility and right to stand for election: Protected Democratic Principle</w:t>
      </w:r>
    </w:p>
    <w:p>
      <w:pPr>
        <w:pStyle w:val="Normal"/>
      </w:pPr>
      <w:r>
        <w:t>A Party may elect to participate in the Optional Module on Candidate eligibility and right to stand for election. A participating Party shall implement the commitments it expressly accepts under that Module in accordance with its constitutional order and competent authorities.</w:t>
      </w:r>
    </w:p>
    <w:p>
      <w:pPr>
        <w:pStyle w:val="Heading3"/>
      </w:pPr>
      <w:r>
        <w:t>HR5-256. Candidate eligibility and right to stand for election: Equal and Effective Participation</w:t>
      </w:r>
    </w:p>
    <w:p>
      <w:pPr>
        <w:pStyle w:val="Normal"/>
      </w:pPr>
      <w:r>
        <w:t>Participating Parties should pursue candidate eligibility and right to stand for election through non-discriminatory, rights-respecting and proportionate measures, with appropriate exceptions for legitimate public purposes and the rights and freedoms of others.</w:t>
      </w:r>
    </w:p>
    <w:p>
      <w:pPr>
        <w:pStyle w:val="Heading3"/>
      </w:pPr>
      <w:r>
        <w:t>HR5-257. Candidate eligibility and right to stand for election: Integrity and Anti-Coercion</w:t>
      </w:r>
    </w:p>
    <w:p>
      <w:pPr>
        <w:pStyle w:val="Normal"/>
      </w:pPr>
      <w:r>
        <w:t>The Optional Module may establish cooperative standards, transparency measures, review procedures or implementation benchmarks concerning candidate eligibility and right to stand for election, while allowing equivalent national methods and reservations expressly recorded at adoption.</w:t>
      </w:r>
    </w:p>
    <w:p>
      <w:pPr>
        <w:pStyle w:val="Heading3"/>
      </w:pPr>
      <w:r>
        <w:t>HR5-258. Political expression, association and peaceful assembly: Protected Democratic Principle</w:t>
      </w:r>
    </w:p>
    <w:p>
      <w:pPr>
        <w:pStyle w:val="Normal"/>
      </w:pPr>
      <w:r>
        <w:t>Political expression, peaceful assembly and association shall not be restricted merely because persons advocate a lawful position concerning trade, labour, environmental, Indigenous, migration or other public policy governed or affected by this Agreement.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HR5-259. Political expression, association and peaceful assembly: Equal and Effective Participation</w:t>
      </w:r>
    </w:p>
    <w:p>
      <w:pPr>
        <w:pStyle w:val="Normal"/>
      </w:pPr>
      <w:r>
        <w:t>A Party shall not administer a measure covered by this Agreement in a manner that defeats political expression, association and peaceful assembly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HR5-260. Political expression, association and peaceful assembly: Integrity and Anti-Coercion</w:t>
      </w:r>
    </w:p>
    <w:p>
      <w:pPr>
        <w:pStyle w:val="Normal"/>
      </w:pPr>
      <w:r>
        <w:t>Each Party shall use reasonable, proportionate and administrable measures to give practical effect to political expression, association and peaceful assembly.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HR5-261. Election observation, transparency and recount/audit: Protected Democratic Principle</w:t>
      </w:r>
    </w:p>
    <w:p>
      <w:pPr>
        <w:pStyle w:val="Normal"/>
      </w:pPr>
      <w:r>
        <w:t>A Party may elect to participate in the Optional Module on Election observation, transparency and recount/audit. A participating Party shall implement the commitments it expressly accepts under that Module in accordance with its constitutional order and competent authorities.</w:t>
      </w:r>
    </w:p>
    <w:p>
      <w:pPr>
        <w:pStyle w:val="Heading3"/>
      </w:pPr>
      <w:r>
        <w:t>HR5-262. Election observation, transparency and recount/audit: Equal and Effective Participation</w:t>
      </w:r>
    </w:p>
    <w:p>
      <w:pPr>
        <w:pStyle w:val="Normal"/>
      </w:pPr>
      <w:r>
        <w:t>Participating Parties should pursue election observation, transparency and recount/audit through non-discriminatory, rights-respecting and proportionate measures, with appropriate exceptions for legitimate public purposes and the rights and freedoms of others.</w:t>
      </w:r>
    </w:p>
    <w:p>
      <w:pPr>
        <w:pStyle w:val="Heading3"/>
      </w:pPr>
      <w:r>
        <w:t>HR5-263. Election observation, transparency and recount/audit: Integrity and Anti-Coercion</w:t>
      </w:r>
    </w:p>
    <w:p>
      <w:pPr>
        <w:pStyle w:val="Normal"/>
      </w:pPr>
      <w:r>
        <w:t>The Optional Module may establish cooperative standards, transparency measures, review procedures or implementation benchmarks concerning election observation, transparency and recount/audit, while allowing equivalent national methods and reservations expressly recorded at adoption.</w:t>
      </w:r>
    </w:p>
    <w:p>
      <w:pPr>
        <w:pStyle w:val="Heading3"/>
      </w:pPr>
      <w:r>
        <w:t>HR5-264. Equal access to public service and political participation: Protected Democratic Principle</w:t>
      </w:r>
    </w:p>
    <w:p>
      <w:pPr>
        <w:pStyle w:val="Normal"/>
      </w:pPr>
      <w:r>
        <w:t>Each Party shall maintain and apply measures consistent with equal access to public service and political participation,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HR5-265. Equal access to public service and political participation: Equal and Effective Participation</w:t>
      </w:r>
    </w:p>
    <w:p>
      <w:pPr>
        <w:pStyle w:val="Normal"/>
      </w:pPr>
      <w:r>
        <w:t>A Party shall not administer a measure covered by this Agreement in a manner that defeats equal access to public service and political participation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HR5-266. Equal access to public service and political participation: Integrity and Anti-Coercion</w:t>
      </w:r>
    </w:p>
    <w:p>
      <w:pPr>
        <w:pStyle w:val="Normal"/>
      </w:pPr>
      <w:r>
        <w:t>Each Party shall use reasonable, proportionate and administrable measures to give practical effect to equal access to public service and political participation.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HR5-267. Protection from voter intimidation, violence and discrimination: Protected Democratic Principle</w:t>
      </w:r>
    </w:p>
    <w:p>
      <w:pPr>
        <w:pStyle w:val="Normal"/>
      </w:pPr>
      <w:r>
        <w:t>A Party shall not use a measure covered by this Agreement to facilitate voter intimidation, politically motivated violence or prohibited discrimination in access to democratic participation. Enforcement shall remain subject to evidence, causation and competent domestic authority.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HR5-268. Protection from voter intimidation, violence and discrimination: Equal and Effective Participation</w:t>
      </w:r>
    </w:p>
    <w:p>
      <w:pPr>
        <w:pStyle w:val="Normal"/>
      </w:pPr>
      <w:r>
        <w:t>A Party shall not administer a measure covered by this Agreement in a manner that defeats protection from voter intimidation, violence and discrimination through prohibited discrimination, arbitrary distinction, retaliation or bad-faith circumvention. Objective and proportionate distinctions pursuing a legitimate public purpose remain permitted. The competent authority shall maintain operational safeguards reasonably capable of preventing foreseeable serious harm and shall document material incidents, denials, or restrictions affecting the protected interest. Emergency, security, disciplinary, immigration, or administrative objectives do not authorize torture, cruel or degrading treatment, deliberate deprivation of essential food or water, medical abandonment, or retaliation against a good-faith complainant.</w:t>
      </w:r>
    </w:p>
    <w:p>
      <w:pPr>
        <w:pStyle w:val="Heading3"/>
      </w:pPr>
      <w:r>
        <w:t>HR5-269. Accessible voting and disability accommodation: Protected Democratic Principle</w:t>
      </w:r>
    </w:p>
    <w:p>
      <w:pPr>
        <w:pStyle w:val="Normal"/>
      </w:pPr>
      <w:r>
        <w:t>The Parties should strengthen accessible democratic participation for persons with disabilities and others facing practical barriers, using functionally equivalent national approaches and without prescribing a single voting technology or election-administration model.</w:t>
      </w:r>
    </w:p>
    <w:p>
      <w:pPr>
        <w:pStyle w:val="Heading3"/>
      </w:pPr>
      <w:r>
        <w:t>HR5-270. Accessible voting and disability accommodation: Equal and Effective Participation</w:t>
      </w:r>
    </w:p>
    <w:p>
      <w:pPr>
        <w:pStyle w:val="Normal"/>
      </w:pPr>
      <w:r>
        <w:t>Cooperation concerning accessible voting and disability accommodation should prioritize equal access, accessibility, non-retaliation and protection of persons facing heightened barriers, while permitting functionally equivalent national approaches.</w:t>
      </w:r>
    </w:p>
    <w:p>
      <w:pPr>
        <w:pStyle w:val="Heading3"/>
      </w:pPr>
      <w:r>
        <w:t>HR5-271. Accessible voting and disability accommodation: Integrity and Anti-Coercion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3"/>
      </w:pPr>
      <w:r>
        <w:t>HR5-272. Electoral misinformation, media and digital interference: Protected Democratic Principle</w:t>
      </w:r>
    </w:p>
    <w:p>
      <w:pPr>
        <w:pStyle w:val="Normal"/>
      </w:pPr>
      <w:r>
        <w:t>A Party may elect to participate in the Optional Module on Electoral misinformation, media and digital interference. A participating Party shall implement the commitments it expressly accepts under that Module in accordance with its constitutional order and competent authorities.</w:t>
      </w:r>
    </w:p>
    <w:p>
      <w:pPr>
        <w:pStyle w:val="Heading3"/>
      </w:pPr>
      <w:r>
        <w:t>HR5-273. Democratic-rights enforcement and high-sensitivity conditionality: Protected Democratic Principle</w:t>
      </w:r>
    </w:p>
    <w:p>
      <w:pPr>
        <w:pStyle w:val="Normal"/>
      </w:pPr>
      <w:r>
        <w:t>A Party may elect to participate in an Optional Democratic Resilience Module providing enhanced consultation, transparency, observation, institutional-integrity or response mechanisms. Non-participation shall carry no adverse trade consequence.</w:t>
      </w:r>
    </w:p>
    <w:p>
      <w:pPr>
        <w:pStyle w:val="Heading3"/>
      </w:pPr>
      <w:r>
        <w:t>HR5-274. Democratic-rights enforcement and high-sensitivity conditionality: Equal and Effective Participation</w:t>
      </w:r>
    </w:p>
    <w:p>
      <w:pPr>
        <w:pStyle w:val="Normal"/>
      </w:pPr>
      <w:r>
        <w:t>Participating Parties should pursue democratic-rights enforcement and high-sensitivity conditionality through non-discriminatory, rights-respecting and proportionate measures, with appropriate exceptions for legitimate public purposes and the rights and freedoms of others.</w:t>
      </w:r>
    </w:p>
    <w:p>
      <w:pPr>
        <w:pStyle w:val="Heading3"/>
      </w:pPr>
      <w:r>
        <w:t>HR5-275. Democratic-rights enforcement and high-sensitivity conditionality: Integrity and Anti-Coercion</w:t>
      </w:r>
    </w:p>
    <w:p>
      <w:pPr>
        <w:pStyle w:val="Normal"/>
      </w:pPr>
      <w:r>
        <w:t>The Optional Module may establish cooperative standards, transparency measures, review procedures or implementation benchmarks concerning democratic-rights enforcement and high-sensitivity conditionality, while allowing equivalent national methods and reservations expressly recorded at adoption.</w:t>
      </w:r>
    </w:p>
    <w:p>
      <w:pPr>
        <w:pStyle w:val="Heading3"/>
      </w:pPr>
      <w:r>
        <w:t>HR5-276. Right to work and access to employment: Social/Economic Rights Safeguard</w:t>
      </w:r>
    </w:p>
    <w:p>
      <w:pPr>
        <w:pStyle w:val="Normal"/>
      </w:pPr>
      <w:r>
        <w:t>Each Party shall maintain and apply measures consistent with right to work and access to employment,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HR5-277. Right to work and access to employment: Non-Discrimination and Policy Space</w:t>
      </w:r>
    </w:p>
    <w:p>
      <w:pPr>
        <w:pStyle w:val="Normal"/>
      </w:pPr>
      <w:r>
        <w:t>A Party shall not administer a measure covered by this Agreement in a manner that defeats right to work and access to employment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HR5-278. Right to work and access to employment: Progressive and Equivalent Implementation</w:t>
      </w:r>
    </w:p>
    <w:p>
      <w:pPr>
        <w:pStyle w:val="Normal"/>
      </w:pPr>
      <w:r>
        <w:t>Each Party shall use reasonable, proportionate and administrable measures to give practical effect to right to work and access to employment.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HR5-279. Just and favourable work conditions: Social/Economic Rights Safeguard</w:t>
      </w:r>
    </w:p>
    <w:p>
      <w:pPr>
        <w:pStyle w:val="Normal"/>
      </w:pPr>
      <w:r>
        <w:t>Each Party shall maintain and apply measures consistent with just and favourable work conditions,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HR5-280. Just and favourable work conditions: Non-Discrimination and Policy Space</w:t>
      </w:r>
    </w:p>
    <w:p>
      <w:pPr>
        <w:pStyle w:val="Normal"/>
      </w:pPr>
      <w:r>
        <w:t>A Party shall not administer a measure covered by this Agreement in a manner that defeats just and favourable work conditions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HR5-281. Just and favourable work conditions: Progressive and Equivalent Implementation</w:t>
      </w:r>
    </w:p>
    <w:p>
      <w:pPr>
        <w:pStyle w:val="Normal"/>
      </w:pPr>
      <w:r>
        <w:t>Each Party shall use reasonable, proportionate and administrable measures to give practical effect to just and favourable work conditions.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HR5-282. Trade-union rights and collective bargaining: Social/Economic Rights Safeguard</w:t>
      </w:r>
    </w:p>
    <w:p>
      <w:pPr>
        <w:pStyle w:val="Normal"/>
      </w:pPr>
      <w:r>
        <w:t>Each Party shall maintain and apply measures consistent with trade-union rights and collective bargaining,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HR5-283. Trade-union rights and collective bargaining: Non-Discrimination and Policy Space</w:t>
      </w:r>
    </w:p>
    <w:p>
      <w:pPr>
        <w:pStyle w:val="Normal"/>
      </w:pPr>
      <w:r>
        <w:t>A Party shall not administer a measure covered by this Agreement in a manner that defeats trade-union rights and collective bargaining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HR5-284. Trade-union rights and collective bargaining: Progressive and Equivalent Implementation</w:t>
      </w:r>
    </w:p>
    <w:p>
      <w:pPr>
        <w:pStyle w:val="Normal"/>
      </w:pPr>
      <w:r>
        <w:t>Each Party shall use reasonable, proportionate and administrable measures to give practical effect to trade-union rights and collective bargaining.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HR5-285. Social security and income-security policy space: Social/Economic Rights Safeguard</w:t>
      </w:r>
    </w:p>
    <w:p>
      <w:pPr>
        <w:pStyle w:val="Normal"/>
      </w:pPr>
      <w:r>
        <w:t>A Party may elect to participate in the Optional Module on Social security and income-security policy space. A participating Party shall implement the commitments it expressly accepts under that Module in accordance with its constitutional order and competent authorities.</w:t>
      </w:r>
    </w:p>
    <w:p>
      <w:pPr>
        <w:pStyle w:val="Heading3"/>
      </w:pPr>
      <w:r>
        <w:t>HR5-286. Social security and income-security policy space: Non-Discrimination and Policy Space</w:t>
      </w:r>
    </w:p>
    <w:p>
      <w:pPr>
        <w:pStyle w:val="Normal"/>
      </w:pPr>
      <w:r>
        <w:t>Participating Parties should pursue social security and income-security policy space through non-discriminatory, rights-respecting and proportionate measures, with appropriate exceptions for legitimate public purposes and the rights and freedoms of others.</w:t>
      </w:r>
    </w:p>
    <w:p>
      <w:pPr>
        <w:pStyle w:val="Heading3"/>
      </w:pPr>
      <w:r>
        <w:t>HR5-287. Social security and income-security policy space: Progressive and Equivalent Implementation</w:t>
      </w:r>
    </w:p>
    <w:p>
      <w:pPr>
        <w:pStyle w:val="Normal"/>
      </w:pPr>
      <w:r>
        <w:t>The Optional Module may establish cooperative standards, transparency measures, review procedures or implementation benchmarks concerning social security and income-security policy space, while allowing equivalent national methods and reservations expressly recorded at adoption.</w:t>
      </w:r>
    </w:p>
    <w:p>
      <w:pPr>
        <w:pStyle w:val="Heading3"/>
      </w:pPr>
      <w:r>
        <w:t>HR5-288. Adequate housing and housing nondiscrimination: Social/Economic Rights Safeguard</w:t>
      </w:r>
    </w:p>
    <w:p>
      <w:pPr>
        <w:pStyle w:val="Normal"/>
      </w:pPr>
      <w:r>
        <w:t>A Party may elect to participate in the Optional Module on Adequate housing and housing nondiscrimination. A participating Party shall implement the commitments it expressly accepts under that Module in accordance with its constitutional order and competent authorities.</w:t>
      </w:r>
    </w:p>
    <w:p>
      <w:pPr>
        <w:pStyle w:val="Heading3"/>
      </w:pPr>
      <w:r>
        <w:t>HR5-289. Adequate housing and housing nondiscrimination: Non-Discrimination and Policy Space</w:t>
      </w:r>
    </w:p>
    <w:p>
      <w:pPr>
        <w:pStyle w:val="Normal"/>
      </w:pPr>
      <w:r>
        <w:t>Participating Parties should pursue adequate housing and housing nondiscrimination through non-discriminatory, rights-respecting and proportionate measures, with appropriate exceptions for legitimate public purposes and the rights and freedoms of others.</w:t>
      </w:r>
    </w:p>
    <w:p>
      <w:pPr>
        <w:pStyle w:val="Heading3"/>
      </w:pPr>
      <w:r>
        <w:t>HR5-290. Food security and freedom from hunger: Social/Economic Rights Safeguard</w:t>
      </w:r>
    </w:p>
    <w:p>
      <w:pPr>
        <w:pStyle w:val="Normal"/>
      </w:pPr>
      <w:r>
        <w:t>A Party may elect to participate in the Optional Module on Food security and freedom from hunger. A participating Party shall implement the commitments it expressly accepts under that Module in accordance with its constitutional order and competent authorities.</w:t>
      </w:r>
    </w:p>
    <w:p>
      <w:pPr>
        <w:pStyle w:val="Heading3"/>
      </w:pPr>
      <w:r>
        <w:t>HR5-291. Food security and freedom from hunger: Non-Discrimination and Policy Space</w:t>
      </w:r>
    </w:p>
    <w:p>
      <w:pPr>
        <w:pStyle w:val="Normal"/>
      </w:pPr>
      <w:r>
        <w:t>Participating Parties should pursue food security and freedom from hunger through non-discriminatory, rights-respecting and proportionate measures, with appropriate exceptions for legitimate public purposes and the rights and freedoms of others.</w:t>
      </w:r>
    </w:p>
    <w:p>
      <w:pPr>
        <w:pStyle w:val="Heading3"/>
      </w:pPr>
      <w:r>
        <w:t>HR5-292. Water and sanitation: Social/Economic Rights Safeguard</w:t>
      </w:r>
    </w:p>
    <w:p>
      <w:pPr>
        <w:pStyle w:val="Normal"/>
      </w:pPr>
      <w:r>
        <w:t>A Party may elect to participate in the Optional Module on Water and sanitation. A participating Party shall implement the commitments it expressly accepts under that Module in accordance with its constitutional order and competent authorities.</w:t>
      </w:r>
    </w:p>
    <w:p>
      <w:pPr>
        <w:pStyle w:val="Heading3"/>
      </w:pPr>
      <w:r>
        <w:t>HR5-293. Education access and nondiscrimination: Social/Economic Rights Safeguard</w:t>
      </w:r>
    </w:p>
    <w:p>
      <w:pPr>
        <w:pStyle w:val="Normal"/>
      </w:pPr>
      <w:r>
        <w:t>A Party may elect to participate in the Optional Module on Education access and nondiscrimination. A participating Party shall implement the commitments it expressly accepts under that Module in accordance with its constitutional order and competent authorities.</w:t>
      </w:r>
    </w:p>
    <w:p>
      <w:pPr>
        <w:pStyle w:val="Heading3"/>
      </w:pPr>
      <w:r>
        <w:t>HR5-294. Education access and nondiscrimination: Non-Discrimination and Policy Space</w:t>
      </w:r>
    </w:p>
    <w:p>
      <w:pPr>
        <w:pStyle w:val="Normal"/>
      </w:pPr>
      <w:r>
        <w:t>Participating Parties should pursue education access and nondiscrimination through non-discriminatory, rights-respecting and proportionate measures, with appropriate exceptions for legitimate public purposes and the rights and freedoms of others.</w:t>
      </w:r>
    </w:p>
    <w:p>
      <w:pPr>
        <w:pStyle w:val="Heading3"/>
      </w:pPr>
      <w:r>
        <w:t>HR5-295. Culture, science and participation in cultural life: Social/Economic Rights Safeguard</w:t>
      </w:r>
    </w:p>
    <w:p>
      <w:pPr>
        <w:pStyle w:val="Normal"/>
      </w:pPr>
      <w:r>
        <w:t>The Parties affirm the importance of culture, science and participation in cultural life and shall seek to strengthen it through cooperative, equivalent or phased measures suited to their respective constitutional and institutional systems.</w:t>
      </w:r>
    </w:p>
    <w:p>
      <w:pPr>
        <w:pStyle w:val="Heading3"/>
      </w:pPr>
      <w:r>
        <w:t>HR5-296. Culture, science and participation in cultural life: Non-Discrimination and Policy Space</w:t>
      </w:r>
    </w:p>
    <w:p>
      <w:pPr>
        <w:pStyle w:val="Normal"/>
      </w:pPr>
      <w:r>
        <w:t>Cooperation concerning culture, science and participation in cultural life should prioritize equal access, accessibility, non-retaliation and protection of persons facing heightened barriers, while permitting functionally equivalent national approaches.</w:t>
      </w:r>
    </w:p>
    <w:p>
      <w:pPr>
        <w:pStyle w:val="Heading3"/>
      </w:pPr>
      <w:r>
        <w:t>HR5-297. Healthy environment as social/economic right: Social/Economic Rights Safeguard</w:t>
      </w:r>
    </w:p>
    <w:p>
      <w:pPr>
        <w:pStyle w:val="Normal"/>
      </w:pPr>
      <w:r>
        <w:t>The Parties affirm the importance of healthy environment as social/economic right and shall seek to strengthen it through cooperative, equivalent or phased measures suited to their respective constitutional and institutional systems.</w:t>
      </w:r>
    </w:p>
    <w:p>
      <w:pPr>
        <w:pStyle w:val="Heading3"/>
      </w:pPr>
      <w:r>
        <w:t>HR5-298. Property, livelihood and economic participation: Social/Economic Rights Safeguard</w:t>
      </w:r>
    </w:p>
    <w:p>
      <w:pPr>
        <w:pStyle w:val="Normal"/>
      </w:pPr>
      <w:r>
        <w:t>The Parties affirm the importance of property, livelihood and economic participation and shall seek to strengthen it through cooperative, equivalent or phased measures suited to their respective constitutional and institutional systems.</w:t>
      </w:r>
    </w:p>
    <w:p>
      <w:pPr>
        <w:pStyle w:val="Heading3"/>
      </w:pPr>
      <w:r>
        <w:t>HR5-299. Property, livelihood and economic participation: Non-Discrimination and Policy Space</w:t>
      </w:r>
    </w:p>
    <w:p>
      <w:pPr>
        <w:pStyle w:val="Normal"/>
      </w:pPr>
      <w:r>
        <w:t>Cooperation concerning property, livelihood and economic participation should prioritize equal access, accessibility, non-retaliation and protection of persons facing heightened barriers, while permitting functionally equivalent national approaches.</w:t>
      </w:r>
    </w:p>
    <w:p>
      <w:pPr>
        <w:pStyle w:val="Heading3"/>
      </w:pPr>
      <w:r>
        <w:t>HR5-300. Gig, informal and non-standard worker protections: Social/Economic Rights Safeguard</w:t>
      </w:r>
    </w:p>
    <w:p>
      <w:pPr>
        <w:pStyle w:val="Normal"/>
      </w:pPr>
      <w:r>
        <w:t>The Parties affirm the importance of gig, informal and non-standard worker protections and shall seek to strengthen it through cooperative, equivalent or phased measures suited to their respective constitutional and institutional systems.</w:t>
      </w:r>
    </w:p>
    <w:p>
      <w:pPr>
        <w:pStyle w:val="Heading3"/>
      </w:pPr>
      <w:r>
        <w:t>HR5-301. Gig, informal and non-standard worker protections: Non-Discrimination and Policy Space</w:t>
      </w:r>
    </w:p>
    <w:p>
      <w:pPr>
        <w:pStyle w:val="Normal"/>
      </w:pPr>
      <w:r>
        <w:t>Cooperation concerning gig, informal and non-standard worker protections should prioritize equal access, accessibility, non-retaliation and protection of persons facing heightened barriers, while permitting functionally equivalent national approaches.</w:t>
      </w:r>
    </w:p>
    <w:p>
      <w:pPr>
        <w:pStyle w:val="Heading3"/>
      </w:pPr>
      <w:r>
        <w:t>HR5-302. Women and gender equality in economic participation: Social/Economic Rights Safeguard</w:t>
      </w:r>
    </w:p>
    <w:p>
      <w:pPr>
        <w:pStyle w:val="Normal"/>
      </w:pPr>
      <w:r>
        <w:t>The Parties affirm the importance of women and gender equality in economic participation and shall seek to strengthen it through cooperative, equivalent or phased measures suited to their respective constitutional and institutional systems.</w:t>
      </w:r>
    </w:p>
    <w:p>
      <w:pPr>
        <w:pStyle w:val="Heading3"/>
      </w:pPr>
      <w:r>
        <w:t>HR5-303. Women and gender equality in economic participation: Non-Discrimination and Policy Space</w:t>
      </w:r>
    </w:p>
    <w:p>
      <w:pPr>
        <w:pStyle w:val="Normal"/>
      </w:pPr>
      <w:r>
        <w:t>Cooperation concerning women and gender equality in economic participation should prioritize equal access, accessibility, non-retaliation and protection of persons facing heightened barriers, while permitting functionally equivalent national approaches.</w:t>
      </w:r>
    </w:p>
    <w:p>
      <w:pPr>
        <w:pStyle w:val="Heading3"/>
      </w:pPr>
      <w:r>
        <w:t>HR5-304. Indigenous economic rights and resource participation: Social/Economic Rights Safeguard</w:t>
      </w:r>
    </w:p>
    <w:p>
      <w:pPr>
        <w:pStyle w:val="Normal"/>
      </w:pPr>
      <w:r>
        <w:t>The Parties affirm the importance of indigenous economic rights and resource participation and shall seek to strengthen it through cooperative, equivalent or phased measures suited to their respective constitutional and institutional systems.</w:t>
      </w:r>
    </w:p>
    <w:p>
      <w:pPr>
        <w:pStyle w:val="Heading3"/>
      </w:pPr>
      <w:r>
        <w:t>HR5-305. Indigenous economic rights and resource participation: Non-Discrimination and Policy Space</w:t>
      </w:r>
    </w:p>
    <w:p>
      <w:pPr>
        <w:pStyle w:val="Normal"/>
      </w:pPr>
      <w:r>
        <w:t>Cooperation concerning indigenous economic rights and resource participation should prioritize equal access, accessibility, non-retaliation and protection of persons facing heightened barriers, while permitting functionally equivalent national approaches.</w:t>
      </w:r>
    </w:p>
    <w:p>
      <w:pPr>
        <w:pStyle w:val="Heading3"/>
      </w:pPr>
      <w:r>
        <w:t>HR5-306. Disability-inclusive economic participation: Social/Economic Rights Safeguard</w:t>
      </w:r>
    </w:p>
    <w:p>
      <w:pPr>
        <w:pStyle w:val="Normal"/>
      </w:pPr>
      <w:r>
        <w:t>The Parties affirm the importance of disability-inclusive economic participation and shall seek to strengthen it through cooperative, equivalent or phased measures suited to their respective constitutional and institutional systems.</w:t>
      </w:r>
    </w:p>
    <w:p>
      <w:pPr>
        <w:pStyle w:val="Heading3"/>
      </w:pPr>
      <w:r>
        <w:t>HR5-307. Disability-inclusive economic participation: Non-Discrimination and Policy Space</w:t>
      </w:r>
    </w:p>
    <w:p>
      <w:pPr>
        <w:pStyle w:val="Normal"/>
      </w:pPr>
      <w:r>
        <w:t>Cooperation concerning disability-inclusive economic participation should prioritize equal access, accessibility, non-retaliation and protection of persons facing heightened barriers, while permitting functionally equivalent national approaches.</w:t>
      </w:r>
    </w:p>
    <w:p>
      <w:pPr>
        <w:pStyle w:val="Heading3"/>
      </w:pPr>
      <w:r>
        <w:t>HR5-308. Disability-inclusive economic participation: Progressive and Equivalent Implementation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3"/>
      </w:pPr>
      <w:r>
        <w:t>HR5-309. Poverty reduction and basic-needs resilience: Social/Economic Rights Safeguard</w:t>
      </w:r>
    </w:p>
    <w:p>
      <w:pPr>
        <w:pStyle w:val="Normal"/>
      </w:pPr>
      <w:r>
        <w:t>A Party may elect to participate in the Optional Module on Poverty reduction and basic-needs resilience. A participating Party shall implement the commitments it expressly accepts under that Module in accordance with its constitutional order and competent authorities.</w:t>
      </w:r>
    </w:p>
    <w:p>
      <w:pPr>
        <w:pStyle w:val="Heading3"/>
      </w:pPr>
      <w:r>
        <w:t>HR5-310. Poverty reduction and basic-needs resilience: Non-Discrimination and Policy Space</w:t>
      </w:r>
    </w:p>
    <w:p>
      <w:pPr>
        <w:pStyle w:val="Normal"/>
      </w:pPr>
      <w:r>
        <w:t>Participating Parties should pursue poverty reduction and basic-needs resilience through non-discriminatory, rights-respecting and proportionate measures, with appropriate exceptions for legitimate public purposes and the rights and freedoms of others.</w:t>
      </w:r>
    </w:p>
    <w:p>
      <w:pPr>
        <w:pStyle w:val="Heading3"/>
      </w:pPr>
      <w:r>
        <w:t>HR5-311. Progressive realization and social-rights policy space: Social/Economic Rights Safeguard</w:t>
      </w:r>
    </w:p>
    <w:p>
      <w:pPr>
        <w:pStyle w:val="Normal"/>
      </w:pPr>
      <w:r>
        <w:t>A Party may elect to participate in the Optional Module on Progressive realization and social-rights policy space. A participating Party shall implement the commitments it expressly accepts under that Module in accordance with its constitutional order and competent authorities.</w:t>
      </w:r>
    </w:p>
    <w:p>
      <w:pPr>
        <w:pStyle w:val="Heading3"/>
      </w:pPr>
      <w:r>
        <w:t>HR5-312. Progressive realization and social-rights policy space: Non-Discrimination and Policy Space</w:t>
      </w:r>
    </w:p>
    <w:p>
      <w:pPr>
        <w:pStyle w:val="Normal"/>
      </w:pPr>
      <w:r>
        <w:t>Participating Parties should pursue progressive realization and social-rights policy space through non-discriminatory, rights-respecting and proportionate measures, with appropriate exceptions for legitimate public purposes and the rights and freedoms of others.</w:t>
      </w:r>
    </w:p>
    <w:p>
      <w:pPr>
        <w:pStyle w:val="Heading3"/>
      </w:pPr>
      <w:r>
        <w:t>HR5-313. Right to report wrongdoing in good faith: Protected Disclosure Right</w:t>
      </w:r>
    </w:p>
    <w:p>
      <w:pPr>
        <w:pStyle w:val="Normal"/>
      </w:pPr>
      <w:r>
        <w:t>Each Party shall maintain and apply measures consistent with right to report wrongdoing in good faith,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HR5-314. Right to report wrongdoing in good faith: Anti-Retaliation Protection</w:t>
      </w:r>
    </w:p>
    <w:p>
      <w:pPr>
        <w:pStyle w:val="Normal"/>
      </w:pPr>
      <w:r>
        <w:t>A Party shall not administer a measure covered by this Agreement in a manner that defeats right to report wrongdoing in good faith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HR5-315. Right to report wrongdoing in good faith: Confidentiality and Fair Procedure</w:t>
      </w:r>
    </w:p>
    <w:p>
      <w:pPr>
        <w:pStyle w:val="Normal"/>
      </w:pPr>
      <w:r>
        <w:t>Each Party shall use reasonable, proportionate and administrable measures to give practical effect to right to report wrongdoing in good faith.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HR5-316. Protected reporting channels and escalation pathways: Protected Disclosure Right</w:t>
      </w:r>
    </w:p>
    <w:p>
      <w:pPr>
        <w:pStyle w:val="Normal"/>
      </w:pPr>
      <w:r>
        <w:t>The Parties affirm the importance of protected reporting channels and escalation pathways and shall seek to strengthen it through cooperative, equivalent or phased measures suited to their respective constitutional and institutional systems.</w:t>
      </w:r>
    </w:p>
    <w:p>
      <w:pPr>
        <w:pStyle w:val="Heading3"/>
      </w:pPr>
      <w:r>
        <w:t>HR5-317. Protected reporting channels and escalation pathways: Anti-Retaliation Protection</w:t>
      </w:r>
    </w:p>
    <w:p>
      <w:pPr>
        <w:pStyle w:val="Normal"/>
      </w:pPr>
      <w:r>
        <w:t>Cooperation concerning protected reporting channels and escalation pathways should prioritize equal access, accessibility, non-retaliation and protection of persons facing heightened barriers, while permitting functionally equivalent national approaches.</w:t>
      </w:r>
    </w:p>
    <w:p>
      <w:pPr>
        <w:pStyle w:val="Heading3"/>
      </w:pPr>
      <w:r>
        <w:t>HR5-318. Anti-retaliation and employment protection: Protected Disclosure Right</w:t>
      </w:r>
    </w:p>
    <w:p>
      <w:pPr>
        <w:pStyle w:val="Normal"/>
      </w:pPr>
      <w:r>
        <w:t>A person who makes a protected disclosure in good faith through an authorized or reasonably appropriate channel shall be protected against retaliation materially connected to that disclosure. Protection may include employment, immigration-status, licensing, contracting and access-to-remedy safeguards where relevant to the covered relationship.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HR5-319. Anti-retaliation and employment protection: Anti-Retaliation Protection</w:t>
      </w:r>
    </w:p>
    <w:p>
      <w:pPr>
        <w:pStyle w:val="Normal"/>
      </w:pPr>
      <w:r>
        <w:t>A Party shall not administer a measure covered by this Agreement in a manner that defeats anti-retaliation and employment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HR5-320. Anti-retaliation and employment protection: Confidentiality and Fair Procedure</w:t>
      </w:r>
    </w:p>
    <w:p>
      <w:pPr>
        <w:pStyle w:val="Normal"/>
      </w:pPr>
      <w:r>
        <w:t>Each Party shall use reasonable, proportionate and administrable measures to give practical effect to anti-retaliation and employment protection.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HR5-321. Anti-retaliation and employment protection: Effective Remedy and Causation</w:t>
      </w:r>
    </w:p>
    <w:p>
      <w:pPr>
        <w:pStyle w:val="Normal"/>
      </w:pPr>
      <w:r>
        <w:t>A person materially affected by a covered governmental measure implicating anti-retaliation and employment protection shall have access, as appropriate under domestic law, to notice, reasons, review, complaint or another effective process. This Article does not itself create a private cause of action, criminal offence or automatic civil liability. The competent authority shall provide a materially affected person with notice of the relevant basis, a meaningful opportunity to respond where practicable, and reasons sufficient to permit the review available under applicable law. Review shall be conducted by an authority or process capable of correcting material error, unlawful discrimination, retaliation, or a denial of the protected procedural interest.</w:t>
      </w:r>
    </w:p>
    <w:p>
      <w:pPr>
        <w:pStyle w:val="Heading3"/>
      </w:pPr>
      <w:r>
        <w:t>HR5-322. Anti-retaliation and employment protection: Cross-Border Cooperation</w:t>
      </w:r>
    </w:p>
    <w:p>
      <w:pPr>
        <w:pStyle w:val="Normal"/>
      </w:pPr>
      <w:r>
        <w:t>The Parties shall cooperate, where useful, on implementation of anti-retaliation and employment protection using existing NAESTMA institutions wherever capable. Reporting and data collection shall be proportionate, privacy-preserving and designed to avoid new unfunded permanent bureaucracy. Implementation shall use constitutionally competent authorities and existing NAESTMA institutions wherever capable, and shall not require a new permanent supranational body unless the Parties expressly agree otherwise. Any information collection, consultation, or reporting used for this provision shall be limited to what is reasonably necessary for the stated function and shall respect applicable privacy, confidentiality, security, and protected-disclosure safeguards.</w:t>
      </w:r>
    </w:p>
    <w:p>
      <w:pPr>
        <w:pStyle w:val="Heading3"/>
      </w:pPr>
      <w:r>
        <w:t>HR5-323. Confidentiality and anonymity: Protected Disclosure Right</w:t>
      </w:r>
    </w:p>
    <w:p>
      <w:pPr>
        <w:pStyle w:val="Normal"/>
      </w:pPr>
      <w:r>
        <w:t>The identity and personal information of a protected whistleblower shall be handled under necessity, proportionality and data-minimization principles. Disclosure may occur where required by law or fair process, with protective measures where reasonably available.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HR5-324. Confidentiality and anonymity: Anti-Retaliation Protection</w:t>
      </w:r>
    </w:p>
    <w:p>
      <w:pPr>
        <w:pStyle w:val="Normal"/>
      </w:pPr>
      <w:r>
        <w:t>A Party shall not administer a measure covered by this Agreement in a manner that defeats confidentiality and anonymity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HR5-325. Confidentiality and anonymity: Confidentiality and Fair Procedure</w:t>
      </w:r>
    </w:p>
    <w:p>
      <w:pPr>
        <w:pStyle w:val="Normal"/>
      </w:pPr>
      <w:r>
        <w:t>Each Party shall use reasonable, proportionate and administrable measures to give practical effect to confidentiality and anonymity.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HR5-326. Whistleblower privacy and data protection: Protected Disclosure Right</w:t>
      </w:r>
    </w:p>
    <w:p>
      <w:pPr>
        <w:pStyle w:val="Normal"/>
      </w:pPr>
      <w:r>
        <w:t>Each Party shall maintain and apply measures consistent with whistleblower privacy and data protection, within the scope of this Agreement and subject to the stronger-rights, federalism, competent-authority, security and public-interest safeguards of the Human Rights Framework. A competent authority using covered data or automated processing shall identify the lawful purpose, limit collection and use to what is reasonably necessary, and apply security, retention, correction, and access controls proportionate to the sensitivity of the information. A materially consequential decision shall not rest solely on an opaque or unreviewable automated output where applicable law requires meaningful human review or an opportunity to contest material error. Protected characteristics, immigration status, disability, health information, or other sensitive data shall not be used as a disguised proxy for prohibited discrimination or unrelated enforcement leverage.</w:t>
      </w:r>
    </w:p>
    <w:p>
      <w:pPr>
        <w:pStyle w:val="Heading3"/>
      </w:pPr>
      <w:r>
        <w:t>HR5-327. Fair investigation and due process: Protected Disclosure Right</w:t>
      </w:r>
    </w:p>
    <w:p>
      <w:pPr>
        <w:pStyle w:val="Normal"/>
      </w:pPr>
      <w:r>
        <w:t>Each Party shall maintain and apply measures consistent with fair investigation and due process,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HR5-328. Fair investigation and due process: Anti-Retaliation Protection</w:t>
      </w:r>
    </w:p>
    <w:p>
      <w:pPr>
        <w:pStyle w:val="Normal"/>
      </w:pPr>
      <w:r>
        <w:t>A Party shall not administer a measure covered by this Agreement in a manner that defeats fair investigation and due process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HR5-329. Fair investigation and due process: Confidentiality and Fair Procedure</w:t>
      </w:r>
    </w:p>
    <w:p>
      <w:pPr>
        <w:pStyle w:val="Normal"/>
      </w:pPr>
      <w:r>
        <w:t>Each Party shall use reasonable, proportionate and administrable measures to give practical effect to fair investigation and due process. Implementation may reflect constitutional structure, division of powers and existing institutions, provided that equivalent protection of the covered interest is maintained.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HR5-330. Interim relief, reinstatement and effective remedy: Protected Disclosure Right</w:t>
      </w:r>
    </w:p>
    <w:p>
      <w:pPr>
        <w:pStyle w:val="Normal"/>
      </w:pPr>
      <w:r>
        <w:t>The Parties affirm the importance of interim relief, reinstatement and effective remedy and shall seek to strengthen it through cooperative, equivalent or phased measures suited to their respective constitutional and institutional systems.</w:t>
      </w:r>
    </w:p>
    <w:p>
      <w:pPr>
        <w:pStyle w:val="Heading3"/>
      </w:pPr>
      <w:r>
        <w:t>HR5-331. Interim relief, reinstatement and effective remedy: Anti-Retaliation Protection</w:t>
      </w:r>
    </w:p>
    <w:p>
      <w:pPr>
        <w:pStyle w:val="Normal"/>
      </w:pPr>
      <w:r>
        <w:t>Cooperation concerning interim relief, reinstatement and effective remedy should prioritize equal access, accessibility, non-retaliation and protection of persons facing heightened barriers, while permitting functionally equivalent national approaches.</w:t>
      </w:r>
    </w:p>
    <w:p>
      <w:pPr>
        <w:pStyle w:val="Heading3"/>
      </w:pPr>
      <w:r>
        <w:t>HR5-332. Burden of proof and causation for retaliation claims: Protected Disclosure Right</w:t>
      </w:r>
    </w:p>
    <w:p>
      <w:pPr>
        <w:pStyle w:val="Normal"/>
      </w:pPr>
      <w:r>
        <w:t>The Parties affirm the importance of burden of proof and causation for retaliation claims and shall seek to strengthen it through cooperative, equivalent or phased measures suited to their respective constitutional and institutional systems.</w:t>
      </w:r>
    </w:p>
    <w:p>
      <w:pPr>
        <w:pStyle w:val="Heading3"/>
      </w:pPr>
      <w:r>
        <w:t>HR5-333. Public-interest disclosure and freedom-of-expression protection: Protected Disclosure Right</w:t>
      </w:r>
    </w:p>
    <w:p>
      <w:pPr>
        <w:pStyle w:val="Normal"/>
      </w:pPr>
      <w:r>
        <w:t>Each Party shall maintain and apply measures consistent with public-interest disclosure and freedom-of-expression protection, within the scope of this Agreement and subject to the stronger-rights, federalism, competent-authority, security and public-interest safeguards of the Human Rights Framework.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 A materially affected person or competent representative shall have access, as appropriate under domestic law, to a complaint, reconsideration, review, or other process capable of correcting a material error or unlawful application.</w:t>
      </w:r>
    </w:p>
    <w:p>
      <w:pPr>
        <w:pStyle w:val="Heading3"/>
      </w:pPr>
      <w:r>
        <w:t>HR5-334. Public-interest disclosure and freedom-of-expression protection: Anti-Retaliation Protection</w:t>
      </w:r>
    </w:p>
    <w:p>
      <w:pPr>
        <w:pStyle w:val="Normal"/>
      </w:pPr>
      <w:r>
        <w:t>A Party shall not administer a measure covered by this Agreement in a manner that defeats public-interest disclosure and freedom-of-expression protection through prohibited discrimination, arbitrary distinction, retaliation or bad-faith circumvention. Objective and proportionate distinctions pursuing a legitimate public purpose remain permitted. The competent authority administering a covered measure shall identify the applicable legal basis and material facts for any significant limitation on this protected interest in a record sufficient for the review available under applicable law. Any limitation shall pursue a legitimate objective, be applied without prohibited discrimination or retaliation, and be no broader or longer than reasonably necessary in the circumstances.</w:t>
      </w:r>
    </w:p>
    <w:p>
      <w:pPr>
        <w:pStyle w:val="Heading3"/>
      </w:pPr>
      <w:r>
        <w:t>HR5-335. Sector-specific whistleblower protection: Protected Disclosure Right</w:t>
      </w:r>
    </w:p>
    <w:p>
      <w:pPr>
        <w:pStyle w:val="Normal"/>
      </w:pPr>
      <w:r>
        <w:t>The Parties affirm the importance of sector-specific whistleblower protection and shall seek to strengthen it through cooperative, equivalent or phased measures suited to their respective constitutional and institutional systems.</w:t>
      </w:r>
    </w:p>
    <w:p>
      <w:pPr>
        <w:pStyle w:val="Heading3"/>
      </w:pPr>
      <w:r>
        <w:t>HR5-336. Sector-specific whistleblower protection: Anti-Retaliation Protection</w:t>
      </w:r>
    </w:p>
    <w:p>
      <w:pPr>
        <w:pStyle w:val="Normal"/>
      </w:pPr>
      <w:r>
        <w:t>Cooperation concerning sector-specific whistleblower protection should prioritize equal access, accessibility, non-retaliation and protection of persons facing heightened barriers, while permitting functionally equivalent national approaches.</w:t>
      </w:r>
    </w:p>
    <w:p>
      <w:pPr>
        <w:pStyle w:val="Heading3"/>
      </w:pPr>
      <w:r>
        <w:t>HR5-337. Migrant, precarious and vulnerable whistleblower safeguards: Protected Disclosure Right</w:t>
      </w:r>
    </w:p>
    <w:p>
      <w:pPr>
        <w:pStyle w:val="Normal"/>
      </w:pPr>
      <w:r>
        <w:t>The Parties affirm the importance of migrant, precarious and vulnerable whistleblower safeguards and shall seek to strengthen it through cooperative, equivalent or phased measures suited to their respective constitutional and institutional systems.</w:t>
      </w:r>
    </w:p>
    <w:p>
      <w:pPr>
        <w:pStyle w:val="Heading3"/>
      </w:pPr>
      <w:r>
        <w:t>HR5-338. Cross-border reporting and enforcement cooperation: Protected Disclosure Right</w:t>
      </w:r>
    </w:p>
    <w:p>
      <w:pPr>
        <w:pStyle w:val="Normal"/>
      </w:pPr>
      <w:r>
        <w:t>The Parties affirm the importance of cross-border reporting and enforcement cooperation and shall seek to strengthen it through cooperative, equivalent or phased measures suited to their respective constitutional and institutional systems.</w:t>
      </w:r>
    </w:p>
    <w:p>
      <w:pPr>
        <w:pStyle w:val="Heading3"/>
      </w:pPr>
      <w:r>
        <w:t>HR5-339. Human-rights reporting and outcome transparency: Implementation Principle</w:t>
      </w:r>
    </w:p>
    <w:p>
      <w:pPr>
        <w:pStyle w:val="Normal"/>
      </w:pPr>
      <w:r>
        <w:t>The Parties affirm the importance of human-rights reporting and outcome transparency and shall seek to strengthen it through cooperative, equivalent or phased measures suited to their respective constitutional and institutional systems.</w:t>
      </w:r>
    </w:p>
    <w:p>
      <w:pPr>
        <w:pStyle w:val="Heading3"/>
      </w:pPr>
      <w:r>
        <w:t>HR5-340. Human-rights reporting and outcome transparency: Data and Participation Safeguard</w:t>
      </w:r>
    </w:p>
    <w:p>
      <w:pPr>
        <w:pStyle w:val="Normal"/>
      </w:pPr>
      <w:r>
        <w:t>Cooperation concerning human-rights reporting and outcome transparency should prioritize equal access, accessibility, non-retaliation and protection of persons facing heightened barriers, while permitting functionally equivalent national approaches.</w:t>
      </w:r>
    </w:p>
    <w:p>
      <w:pPr>
        <w:pStyle w:val="Heading3"/>
      </w:pPr>
      <w:r>
        <w:t>HR5-341. Human-rights reporting and outcome transparency: Proportionate Administration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3"/>
      </w:pPr>
      <w:r>
        <w:t>HR5-342. Advisory participation and affected-community representation: Implementation Principle</w:t>
      </w:r>
    </w:p>
    <w:p>
      <w:pPr>
        <w:pStyle w:val="Normal"/>
      </w:pPr>
      <w:r>
        <w:t>The Parties affirm the importance of advisory participation and affected-community representation and shall seek to strengthen it through cooperative, equivalent or phased measures suited to their respective constitutional and institutional systems.</w:t>
      </w:r>
    </w:p>
    <w:p>
      <w:pPr>
        <w:pStyle w:val="Heading3"/>
      </w:pPr>
      <w:r>
        <w:t>HR5-343. Advisory participation and affected-community representation: Data and Participation Safeguard</w:t>
      </w:r>
    </w:p>
    <w:p>
      <w:pPr>
        <w:pStyle w:val="Normal"/>
      </w:pPr>
      <w:r>
        <w:t>Cooperation concerning advisory participation and affected-community representation should prioritize equal access, accessibility, non-retaliation and protection of persons facing heightened barriers, while permitting functionally equivalent national approaches.</w:t>
      </w:r>
    </w:p>
    <w:p>
      <w:pPr>
        <w:pStyle w:val="Heading3"/>
      </w:pPr>
      <w:r>
        <w:t>HR5-344. Complaint intake, referral and ombuds mechanisms: Implementation Principle</w:t>
      </w:r>
    </w:p>
    <w:p>
      <w:pPr>
        <w:pStyle w:val="Normal"/>
      </w:pPr>
      <w:r>
        <w:t>Each Party shall maintain and apply measures consistent with complaint intake, referral and ombuds mechanisms, within the scope of this Agreement and subject to the stronger-rights, federalism, competent-authority, security and public-interest safeguards of the Human Rights Framework. Implementation shall use constitutionally competent authorities and existing NAESTMA institutions wherever capable, and shall not require a new permanent supranational body unless the Parties expressly agree otherwise. Any information collection, consultation, or reporting used for this provision shall be limited to what is reasonably necessary for the stated function and shall respect applicable privacy, confidentiality, security, and protected-disclosure safeguards. A competent authority shall periodically assess whether the chosen implementation method remains effective, proportionate, and no more administratively burdensome than necessary, and may use a functionally equivalent method that preserves the protected interest.</w:t>
      </w:r>
    </w:p>
    <w:p>
      <w:pPr>
        <w:pStyle w:val="Heading3"/>
      </w:pPr>
      <w:r>
        <w:t>HR5-345. Independent monitoring, inspection and expert evidence: Implementation Principle</w:t>
      </w:r>
    </w:p>
    <w:p>
      <w:pPr>
        <w:pStyle w:val="Normal"/>
      </w:pPr>
      <w:r>
        <w:t>The Parties affirm the importance of independent monitoring, inspection and expert evidence and shall seek to strengthen it through cooperative, equivalent or phased measures suited to their respective constitutional and institutional systems.</w:t>
      </w:r>
    </w:p>
    <w:p>
      <w:pPr>
        <w:pStyle w:val="Heading3"/>
      </w:pPr>
      <w:r>
        <w:t>HR5-346. Data collection, disaggregation and privacy safeguards: Implementation Principle</w:t>
      </w:r>
    </w:p>
    <w:p>
      <w:pPr>
        <w:pStyle w:val="Normal"/>
      </w:pPr>
      <w:r>
        <w:t>The Parties affirm the importance of data collection, disaggregation and privacy safeguards and shall seek to strengthen it through cooperative, equivalent or phased measures suited to their respective constitutional and institutional systems.</w:t>
      </w:r>
    </w:p>
    <w:p>
      <w:pPr>
        <w:pStyle w:val="Heading3"/>
      </w:pPr>
      <w:r>
        <w:t>HR5-347. Data collection, disaggregation and privacy safeguards: Data and Participation Safeguard</w:t>
      </w:r>
    </w:p>
    <w:p>
      <w:pPr>
        <w:pStyle w:val="Normal"/>
      </w:pPr>
      <w:r>
        <w:t>Cooperation concerning data collection, disaggregation and privacy safeguards should prioritize equal access, accessibility, non-retaliation and protection of persons facing heightened barriers, while permitting functionally equivalent national approaches.</w:t>
      </w:r>
    </w:p>
    <w:p>
      <w:pPr>
        <w:pStyle w:val="Heading3"/>
      </w:pPr>
      <w:r>
        <w:t>HR5-348. Institutional-bloat control and use of existing mechanisms: Implementation Principle</w:t>
      </w:r>
    </w:p>
    <w:p>
      <w:pPr>
        <w:pStyle w:val="Normal"/>
      </w:pPr>
      <w:r>
        <w:t>The Parties affirm the importance of institutional-bloat control and use of existing mechanisms and shall seek to strengthen it through cooperative, equivalent or phased measures suited to their respective constitutional and institutional systems.</w:t>
      </w:r>
    </w:p>
    <w:p>
      <w:pPr>
        <w:pStyle w:val="Heading3"/>
      </w:pPr>
      <w:r>
        <w:t>HR5-349. Institutional-bloat control and use of existing mechanisms: Data and Participation Safeguard</w:t>
      </w:r>
    </w:p>
    <w:p>
      <w:pPr>
        <w:pStyle w:val="Normal"/>
      </w:pPr>
      <w:r>
        <w:t>Cooperation concerning institutional-bloat control and use of existing mechanisms should prioritize equal access, accessibility, non-retaliation and protection of persons facing heightened barriers, while permitting functionally equivalent national approaches.</w:t>
      </w:r>
    </w:p>
    <w:p>
      <w:pPr>
        <w:pStyle w:val="Heading3"/>
      </w:pPr>
      <w:r>
        <w:t>HR5-350. Institutional-bloat control and use of existing mechanisms: Proportionate Administration</w:t>
      </w:r>
    </w:p>
    <w:p>
      <w:pPr>
        <w:pStyle w:val="Normal"/>
      </w:pPr>
      <w:r>
        <w:t>A Party may implement this mechanism through pilots, mutual learning, capacity-building, recognition of equivalent safeguards or staged implementation. No particular administrative model is required where the substantive objective is reasonably achieved.</w:t>
      </w:r>
    </w:p>
    <w:p>
      <w:pPr>
        <w:pStyle w:val="Heading2"/>
      </w:pPr>
      <w:bookmarkStart w:id="902565" w:name="_Toc300002564"/>
      <w:r>
        <w:t>CL-31. Implementation Through Existing Institutions</w:t>
      </w:r>
      <w:bookmarkEnd w:id="902565"/>
    </w:p>
    <w:p>
      <w:pPr>
        <w:pStyle w:val="Normal"/>
      </w:pPr>
      <w:r>
        <w:t>1. Existing national authorities, the Commission, the Secretariat and existing NAESTMA consultation, verification, Cothrom and dispute-settlement mechanisms shall implement this Package where capable. No new permanent supranational human-rights tribunal is created.</w:t>
      </w:r>
    </w:p>
    <w:p>
      <w:pPr>
        <w:pStyle w:val="Normal"/>
      </w:pPr>
      <w:r>
        <w:t>2. A new permanent body may be created only by express agreement where the Parties determine that existing institutions cannot proportionately perform the required function.</w:t>
      </w:r>
    </w:p>
    <w:p>
      <w:pPr>
        <w:pStyle w:val="Heading2"/>
      </w:pPr>
      <w:bookmarkStart w:id="902566" w:name="_Toc300002565"/>
      <w:r>
        <w:t>CL-32. Review and Future Human-Rights Integration</w:t>
      </w:r>
      <w:bookmarkEnd w:id="902566"/>
    </w:p>
    <w:p>
      <w:pPr>
        <w:pStyle w:val="Normal"/>
      </w:pPr>
      <w:r>
        <w:t>1. The Commission shall periodically review the operation of this Package for duplication, implementation burden, rights gaps, unintended consequences and interaction with later human-rights modules.</w:t>
      </w:r>
    </w:p>
    <w:p>
      <w:pPr>
        <w:pStyle w:val="Normal"/>
      </w:pPr>
      <w:r>
        <w:t>2. Later human-rights packages may amend, supplement or cross-reference this Package without reopening unrelated commercial concessions.</w:t>
      </w:r>
    </w:p>
    <w:p>
      <w:pPr>
        <w:pStyle w:val="Heading2"/>
      </w:pPr>
      <w:bookmarkStart w:id="902567" w:name="_Toc300002566"/>
      <w:r>
        <w:t>CL-33. Governing Principle</w:t>
      </w:r>
      <w:bookmarkEnd w:id="902567"/>
    </w:p>
    <w:p>
      <w:pPr>
        <w:pStyle w:val="Normal"/>
      </w:pPr>
      <w:r>
        <w:t>1. Trade integration does not place human dignity outside the rule of law. The Parties preserve sovereign democratic government while establishing reciprocal safeguards against using economic integration, border administration, public power or commercial leverage to strip persons of the minimum protections secured by this Agreement.</w:t>
      </w:r>
    </w:p>
    <w:p>
      <w:pPr>
        <w:pStyle w:val="Normal"/>
      </w:pPr>
      <w:r>
        <w:t>ANNEX I 1. The Schedule of a Party to this Annex sets out, pursuant to Articles 14.12 (Non- Conforming Measures) and 15.7 (Non-Conforming Measures), a Party’s existing measures that are not subject to some or all of the obligations imposed by: (a) Article 14.4 (National Treatment) or 15.3 (National Treatment); (b) Article 14.5 (Most-Favored-Nation Treatment) or 15.4 (Most-Favored-Nation Treatment); (c) Article 14.10 (Performance Requirements); (d) Article 14.11 (Senior Management and Boards of Directors); (e) Article 15.5 (Market Access); or (f) Article 15.6 (Local Presence). 2. Each Schedule entry sets out the following elements: (a) Sector refers to the sector for which the entry is made; (b) Sub-Sector, where referenced, refers to the specific subsector for which the entry is made; (c) Obligations Concerned specifies the obligation(s) referred to in paragraph 1 that, pursuant to Articles 14.12.1(a) (Non-Conforming Measures) and 15.7.1(a) (Non- Conforming Measures), do not apply to the non-conforming aspects of the law, regulation, or other measure, as set out in paragraph 3; (d) Level of Government indicates the level of government maintaining the scheduled measure(s); (e) Measures identifies the laws, regulations, or other measures for which the entry is made.</w:t>
      </w:r>
    </w:p>
    <w:p>
      <w:pPr>
        <w:pStyle w:val="Normal"/>
      </w:pPr>
      <w:r>
        <w:t>A measure cited in the Measures element: (i) means the measure as amended, continued, or renewed as of the date of entry into force of this Agreement, and (ii) includes any subordinate measure adopted or maintained under the</w:t>
      </w:r>
    </w:p>
    <w:p>
      <w:pPr>
        <w:pStyle w:val="Normal"/>
      </w:pPr>
      <w:r>
        <w:t>authority of and consistent with the measure; and (f) Description, as indicated in the introductory note for each Party’s Schedule, either sets out the non-conforming measure or provides a general non-binding description of the measure for which the entry is made. 3. Articles 15.6 (Local Presence) and 15.3 (National Treatment) are separate disciplines and a measure that is only inconsistent with Article 15.6 (Local Presence) need not be reserved against Article 15.3 (National Treatment).</w:t>
      </w:r>
    </w:p>
    <w:p>
      <w:pPr>
        <w:pStyle w:val="Heading1"/>
      </w:pPr>
      <w:bookmarkStart w:id="901525" w:name="_Toc300001524"/>
      <w:r>
        <w:t/>
      </w:r>
      <w:bookmarkEnd w:id="901525"/>
    </w:p>
    <w:p>
      <w:pPr>
        <w:pStyle w:val="Normal"/>
      </w:pPr>
      <w:r>
        <w:t>ANNEX I SCHEDULE OF CANADA INTRODUCTORY NOTES 1. Description provides a general non-binding description of the measure for which the entry is made. 2. Obligations Concerned specifies the obligations referred to in Article 14.12 (Non- Conforming Measures) and Article 15.7 (Non-Conforming Measures) that do not apply to the listed measures. 3. In the interpretation of an entry, all elements of the entry shall be considered. An entry shall be interpreted in light of the relevant provisions of the Chapters against which the entry is taken. To the extent that: (a) the Measures element is qualified by a liberalization commitment from the Description element, the Measures element as so qualified prevails over all other elements; and (b) the Measures element is not so qualified, the Measures element prevails over other elements, unless a discrepancy between the Measures element and the other elements considered in their totality is so substantial and material that it would be unreasonable to conclude that the Measures element prevails, in which case the other elements prevail to the extent of that discrepancy.</w:t>
      </w:r>
    </w:p>
    <w:p>
      <w:pPr>
        <w:pStyle w:val="Normal"/>
      </w:pPr>
      <w:r>
        <w:t>Reservation I-C-1</w:t>
      </w:r>
    </w:p>
    <w:p>
      <w:pPr/>
      <w:r>
        <w:t>Sector:</w:t>
      </w:r>
    </w:p>
    <w:p>
      <w:pPr/>
      <w:r>
        <w:t>Sub-</w:t>
      </w:r>
    </w:p>
    <w:p>
      <w:pPr/>
      <w:r>
        <w:t>Sector:</w:t>
      </w:r>
    </w:p>
    <w:p>
      <w:pPr/>
      <w:r>
        <w:t>Obligations Concerned:</w:t>
      </w:r>
    </w:p>
    <w:p>
      <w:pPr/>
      <w:r>
        <w:t>Level of Government:</w:t>
      </w:r>
    </w:p>
    <w:p>
      <w:pPr/>
      <w:r>
        <w:t>Measures:</w:t>
      </w:r>
    </w:p>
    <w:p>
      <w:pPr/>
      <w:r>
        <w:t>Description: All Sectors National Treatment (Article 14.4) Performance Requirements (Article 14.10) Senior Management and Boards of Directors (Article 14.11) Central Investment Canada Act, R.S.C. 1985, c. 28 (1st Supp.) Investment Canada Regulations, SOR/85-611 Investment 1. Except as set out in paragraphs 5 and 9, the Director of Investments will review a direct “acquisition of control”, as defined in the Investment Canada Act, of a Canadian business by a WTO investor if the value of the Canadian business is not less than C$1 billion, adjusted in accordance with the applicable methodology in January of each subsequent year, starting in 2019, as set out in the Investment Canada Act. 2. Notwithstanding the definition of “investor of a Party” in Article 14.1 (Definitions), only WTO investors or entities controlled by WTO investors provided for in the Investment Canada Act may benefit from the CAD $1 billion threshold. 3.</w:t>
      </w:r>
    </w:p>
    <w:p>
      <w:pPr>
        <w:pStyle w:val="Normal"/>
      </w:pPr>
      <w:r>
        <w:t>Except as set out in paragraphs 5 and 9, the Director of Investments will review a direct “acquisition of control”, as defined in the Investment Canada Act, of a Canadian business by a trade agreement investor if the value of the Canadian business is not less than CAD $1.5 billion, adjusted in accordance with the applicable methodology in January of each subsequent year, starting in 2019, as set out in the Investment Canada Act. 4.</w:t>
      </w:r>
    </w:p>
    <w:p>
      <w:pPr>
        <w:pStyle w:val="Normal"/>
      </w:pPr>
      <w:r>
        <w:t>Notwithstanding the definition of “investor of a Party” in Article 14.1 (Definitions), only a trade agreement investor or an entity controlled by a trade agreement investor as provided for in the Investment Canada Act may benefit from the CAD $1.5 billion review threshold.</w:t>
      </w:r>
    </w:p>
    <w:p>
      <w:pPr>
        <w:pStyle w:val="Normal"/>
      </w:pPr>
      <w:r>
        <w:t>5. The higher threshold in paragraphs 1 and 3 does not apply to a direct acquisition of control by a state-owned enterprise of a Canadian business. These acquisitions are subject to review by the Director of Investments if the value of the Canadian business is not less than C$398 million in 2018, adjusted in accordance with the applicable methodology in January of each subsequent year as set out in the Investment Canada Act. 6. An investment subject to review under the Investment Canada Act may not be implemented unless the Minister responsible for the Investment Canada Act advises the applicant that the investment is likely to be of net benefit to Canada. This determination is made in accordance with six factors described in the Investment Canada Act, summarized as follows: (a) the effect of the investment on the level and nature of economic activity in Canada, including the effect on employment, on the use of parts, components, and services produced in Canada and on exports from Canada;</w:t>
      </w:r>
    </w:p>
    <w:p>
      <w:pPr>
        <w:pStyle w:val="Normal"/>
      </w:pPr>
      <w:r>
        <w:t>(b) the degree and significance of participation by Canadians in the investment; (c) the effect of the investment on productivity, industrial efficiency, technological development, and product innovation in Canada; (d) the effect of the investment on competition within an industry in Canada; (e) the compatibility of the investment with national industrial, economic, and cultural policies, taking into consideration industrial, economic, and cultural policy objectives</w:t>
      </w:r>
    </w:p>
    <w:p>
      <w:pPr>
        <w:pStyle w:val="Normal"/>
      </w:pPr>
      <w:r>
        <w:t>enunciated by the government or legislature of a province likely to be significantly affected by the investment; and (f) the contribution of the investment to Canada’s ability to compete in world markets.</w:t>
      </w:r>
    </w:p>
    <w:p>
      <w:pPr>
        <w:pStyle w:val="Normal"/>
      </w:pPr>
      <w:r>
        <w:t>7. In making a net benefit determination, the Minister, through the Director of Investments, may review plans under which the applicant demonstrates the net benefit to Canada of the proposed acquisition. An applicant may also submit an undertaking to the Minister in connection with a proposed acquisition that is the subject of review. In the event of noncompliance with an undertaking by an applicant, the Minister may seek a court order directing compliance or any other remedy authorized under the Investment Canada Act. 8. A non-Canadian who establishes or acquires a Canadian business, other than those that are subject to review must notify the Director of Investments. 9. The review thresholds set out in paragraphs 1, 3, and 5 do not apply to an acquisition of a cultural business. 10.</w:t>
      </w:r>
    </w:p>
    <w:p>
      <w:pPr>
        <w:pStyle w:val="Normal"/>
      </w:pPr>
      <w:r>
        <w:t>In addition, the specific acquisition or establishment of a new business in designated types of business activities relating to Canada’s cultural heritage or national identity, which are normally notifiable, may be subject to review if the Governor in Council authorises a review in the public interest. 11. An indirect “acquisition of control” of a Canadian business by an investor of a Party other than a cultural business is not reviewable. 12.</w:t>
      </w:r>
    </w:p>
    <w:p>
      <w:pPr>
        <w:pStyle w:val="Normal"/>
      </w:pPr>
      <w:r>
        <w:t>Notwithstanding Article 14.10 (Performance Requirements), Canada may impose requirements or enforce a commitment or undertaking in connection with the establishment, acquisition, expansion, conduct, operation or management of an investment of an investor of a Party or of a non-Party for the transfer of technology, production process or other proprietary knowledge to a national or enterprise, affiliated to the transferor, in Canada in connection with the review of an acquisition of an investment under the Investment Canada Act. 13. Except for requirements, commitments or undertakings relating to technology transfer as set out in paragraph 12 of this entry, Article 14.10 (Performance Requirements) applies to requirements, commitments or undertakings imposed or enforced under the Investment Canada Act.</w:t>
      </w:r>
    </w:p>
    <w:p>
      <w:pPr>
        <w:pStyle w:val="Normal"/>
      </w:pPr>
      <w:r>
        <w:t>14. For the purposes of this entry: (a) a non-Canadian means an individual, government or agency thereof or an entity that is not Canadian; and (b) Canadian means a Canadian citizen or permanent resident, a government in Canada or agency thereof, or a Canadian-controlled entity as described in the Investment Canada Act.</w:t>
      </w:r>
    </w:p>
    <w:p>
      <w:pPr>
        <w:pStyle w:val="Normal"/>
      </w:pPr>
      <w:r>
        <w:t>Reservation I-C-2</w:t>
      </w:r>
    </w:p>
    <w:p>
      <w:pPr/>
      <w:r>
        <w:t>Sector:</w:t>
      </w:r>
    </w:p>
    <w:p>
      <w:pPr/>
      <w:r>
        <w:t>Sub-</w:t>
      </w:r>
    </w:p>
    <w:p>
      <w:pPr/>
      <w:r>
        <w:t>Sector:</w:t>
      </w:r>
    </w:p>
    <w:p>
      <w:pPr/>
      <w:r>
        <w:t>Obligations Concerned:</w:t>
      </w:r>
    </w:p>
    <w:p>
      <w:pPr/>
      <w:r>
        <w:t>Level of Government:</w:t>
      </w:r>
    </w:p>
    <w:p>
      <w:pPr/>
      <w:r>
        <w:t>Measures:</w:t>
      </w:r>
    </w:p>
    <w:p>
      <w:pPr/>
      <w:r>
        <w:t>Description: All Sectors National Treatment (Article 14.4) Senior Management and Boards of Directors (Article 14.11) Central As set out in the Description element. Investment 1. Canada or a province or territory, when selling or disposing of its equity interests in, or the assets of, an existing government enterprise or an existing governmental entity, may prohibit or impose limitations on the ownership of these interests or assets and on the ability of owners of these interests or assets to control a resulting enterprise by investors of a Party or of a third country or their investments. With respect to a sale or other disposition, Canada or a province or territory may adopt or maintain a measure relating to the nationality of senior management or members of the board of directors. 2.</w:t>
      </w:r>
    </w:p>
    <w:p>
      <w:pPr>
        <w:pStyle w:val="Normal"/>
      </w:pPr>
      <w:r>
        <w:t>For the purposes of this entry: (a) a measure maintained or adopted after the date of entry into force of this Agreement that, at the time of sale or other disposition, prohibits or imposes a limitation on the ownership of equity interests or assets or imposes a nationality requirement described in this entry is an existing measure; and (b) government enterprise means an enterprise owned or controlled through ownership interests by Canada or a province or territory, and includes an enterprise established after the date of entry into force of this Agreement solely for the purposes of selling or disposing of equity interests in, or the assets of, an existing state enterprise or governmental entity.</w:t>
      </w:r>
    </w:p>
    <w:p>
      <w:pPr>
        <w:pStyle w:val="Normal"/>
      </w:pPr>
      <w:r>
        <w:t>Reservation I-C-3</w:t>
      </w:r>
    </w:p>
    <w:p>
      <w:pPr/>
      <w:r>
        <w:t>Sector:</w:t>
      </w:r>
    </w:p>
    <w:p>
      <w:pPr/>
      <w:r>
        <w:t>Sub-</w:t>
      </w:r>
    </w:p>
    <w:p>
      <w:pPr/>
      <w:r>
        <w:t>Sector:</w:t>
      </w:r>
    </w:p>
    <w:p>
      <w:pPr/>
      <w:r>
        <w:t>Obligations Concerned:</w:t>
      </w:r>
    </w:p>
    <w:p>
      <w:pPr/>
      <w:r>
        <w:t>Level of Government:</w:t>
      </w:r>
    </w:p>
    <w:p>
      <w:pPr/>
      <w:r>
        <w:t>Measures:</w:t>
      </w:r>
    </w:p>
    <w:p>
      <w:pPr/>
      <w:r>
        <w:t>Description: All Sectors National Treatment (Article 14.4) Central Canada Business Corporations Act, R.S.C. 1985, c. C-44 Canada Business Corporations Regulations, 2001, SOR/2001-512 Canada Cooperatives Act, S.C. 1998, c. 1 Canada Cooperatives Regulations, SOR/99-256 Investment 1. A corporation may place constraints on the issue, transfer and ownership of shares in a federally incorporated corporation. The object of those constraints is to permit a corporation to meet Canadian ownership or control requirements, under certain laws set out in the Canada Business Corporations Regulations, 2001, in sectors where Canadian ownership or control is required as a condition to receive licences, permits, grants, payments or other benefits. In order to maintain certain Canadian ownership levels, a corporation is permitted to sell shareholders’ shares without the consent of those shareholders, and to purchase its own shares on the open market. 2.</w:t>
      </w:r>
    </w:p>
    <w:p>
      <w:pPr>
        <w:pStyle w:val="Normal"/>
      </w:pPr>
      <w:r>
        <w:t>The Canada Cooperatives Act provides that constraints may be placed on the issue or transfer of investment shares of a cooperative to persons not resident in Canada, to permit cooperatives to meet Canadian ownership requirements to obtain a licence to carry on a business, to become a publisher of a Canadian newspaper or periodical or to acquire investment shares of a financial intermediary and in sectors where ownership or control is a required condition to receive licences, permits, grants, payments, and other benefits. Where the ownership or control of investment shares would adversely affect the ability of a cooperative to maintain a level of Canadian ownership or control, the Canada Cooperatives Act provides for the limitation of the number of</w:t>
      </w:r>
    </w:p>
    <w:p>
      <w:pPr>
        <w:pStyle w:val="Normal"/>
      </w:pPr>
      <w:r>
        <w:t>investment shares that may be owned or for the prohibition of the ownership of investment shares. 3. For the purposes of this entry Canadian means “Canadian” as defined in the Canada Business Corporations Regulations, 2001 or in the Canada Cooperatives Regulations.</w:t>
      </w:r>
    </w:p>
    <w:p>
      <w:pPr>
        <w:pStyle w:val="Normal"/>
      </w:pPr>
      <w:r>
        <w:t>Reservation I-C-4</w:t>
      </w:r>
    </w:p>
    <w:p>
      <w:pPr/>
      <w:r>
        <w:t>Sector: All Sectors</w:t>
      </w:r>
    </w:p>
    <w:p>
      <w:pPr/>
      <w:r>
        <w:t>Sub-</w:t>
      </w:r>
    </w:p>
    <w:p>
      <w:pPr/>
      <w:r>
        <w:t>Sector:</w:t>
      </w:r>
    </w:p>
    <w:p>
      <w:pPr/>
      <w:r>
        <w:t>Obligations Concerned: National Treatment (Article 14.4)</w:t>
      </w:r>
    </w:p>
    <w:p>
      <w:pPr/>
      <w:r>
        <w:t>Level of Government: Central</w:t>
      </w:r>
    </w:p>
    <w:p>
      <w:pPr/>
      <w:r>
        <w:t>Measures: Citizenship Act, R.S.C. 1985, c. C-29 Foreign Ownership of Land Regulations, SOR/79-416</w:t>
      </w:r>
    </w:p>
    <w:p>
      <w:pPr/>
      <w:r>
        <w:t>Description: Investment 1. The Foreign Ownership of Land Regulations are made pursuant to the Citizenship Act and the Agricultural and Recreational Land Ownership Act, R.S.A. 1980, c. A-9. In Alberta, an ineligible person or foreign owned or controlled corporation may only hold an interest in controlled land consisting of a maximum of two parcels containing, in the aggregate, a maximum of 20 acres. 2. For the purposes of this entry: ineligible person means: (a) a natural person who is not a Canadian citizen or permanent resident; (b) a foreign government or agency thereof; or (c) a corporation incorporated in a country other than Canada; and controlled land means land in Alberta but does not include: (a) land of the Crown in right of Alberta; (b) land within a city, town, new town, village or summer village; and (c) mines or minerals.</w:t>
      </w:r>
    </w:p>
    <w:p>
      <w:pPr>
        <w:pStyle w:val="Normal"/>
      </w:pPr>
      <w:r>
        <w:t>Reservation I-C-5</w:t>
      </w:r>
    </w:p>
    <w:p>
      <w:pPr/>
      <w:r>
        <w:t>Sector:</w:t>
      </w:r>
    </w:p>
    <w:p>
      <w:pPr/>
      <w:r>
        <w:t>Sub-</w:t>
      </w:r>
    </w:p>
    <w:p>
      <w:pPr/>
      <w:r>
        <w:t>Sector:</w:t>
      </w:r>
    </w:p>
    <w:p>
      <w:pPr/>
      <w:r>
        <w:t>Obligations Concerned:</w:t>
      </w:r>
    </w:p>
    <w:p>
      <w:pPr/>
      <w:r>
        <w:t>Level of Government:</w:t>
      </w:r>
    </w:p>
    <w:p>
      <w:pPr/>
      <w:r>
        <w:t>Measures:</w:t>
      </w:r>
    </w:p>
    <w:p>
      <w:pPr/>
      <w:r>
        <w:t>Description: All Sectors National Treatment (Article 14.4) Central Canadian Arsenals Limited Divestiture Authorization Act, S.C. 1986, c. 20 Eldorado Nuclear Limited Reorganization and Divestiture Act, S.C. 1988, c. 41 Nordion and Theratronics Divestiture Authorization Act, S.C. 1990, c. 4 Investment 1. A “non-resident” or “non-residents” may not own more than a specified percentage of the voting shares of the corporation to which each Act applies. For some companies the restrictions apply to individual shareholders, while for others the restrictions may apply in the aggregate. If there are limits on the percentage that an individual Canadian investor can own, these limits also apply to non-residents. The restrictions are as follows: • Cameco Limited (formerly Eldorado Nuclear Limited): 15 percent per non-resident natural person, 25 percent in the aggregate; • Nordion International Inc.: 25 percent in the aggregate; • Theratronics International Limited: 49 percent in the aggregate; and • Canadian Arsenals Limited: 25 percent in the aggregate. 2. For the purposes of this entry, non-resident includes:</w:t>
      </w:r>
    </w:p>
    <w:p>
      <w:pPr>
        <w:pStyle w:val="Normal"/>
      </w:pPr>
      <w:r>
        <w:t>(a) a natural person who is not a Canadian citizen and not ordinarily resident in Canada; (b) a corporation incorporated, formed or otherwise organized outside Canada;</w:t>
      </w:r>
    </w:p>
    <w:p>
      <w:pPr>
        <w:pStyle w:val="Normal"/>
      </w:pPr>
      <w:r>
        <w:t>(c) the government of a foreign State or a political subdivision of a government of a foreign State, or a person empowered to perform a function or duty on behalf of that government; (d) a corporation that is controlled directly or indirectly by a person or an entity referred to in subparagraphs (a) through (c); (e) a trust: (i) established by a person or an entity referred to in subparagraphs (b) through (d), other than a trust for the administration of a pension fund for the benefit of natural persons the majority of whom are resident in Canada, or (ii) in which a person or an entity referred to in subparagraphs (a) through (d) has more than 50 percent of the beneficial interest, and (f) a corporation that is controlled directly or indirectly by a trust referred to in subparagraph (e).</w:t>
      </w:r>
    </w:p>
    <w:p>
      <w:pPr>
        <w:pStyle w:val="Normal"/>
      </w:pPr>
      <w:r>
        <w:t>Reservation I-C-6</w:t>
      </w:r>
    </w:p>
    <w:p>
      <w:pPr/>
      <w:r>
        <w:t>Sector: All Sectors</w:t>
      </w:r>
    </w:p>
    <w:p>
      <w:pPr/>
      <w:r>
        <w:t>Sub-</w:t>
      </w:r>
    </w:p>
    <w:p>
      <w:pPr/>
      <w:r>
        <w:t>Sector:</w:t>
      </w:r>
    </w:p>
    <w:p>
      <w:pPr/>
      <w:r>
        <w:t>Obligations Concerned: Local Presence (Article 15.6)</w:t>
      </w:r>
    </w:p>
    <w:p>
      <w:pPr/>
      <w:r>
        <w:t>Level of Government: Central Measure: Export and Import Permits Act, R.S.C. 1985, c. E-19</w:t>
      </w:r>
    </w:p>
    <w:p>
      <w:pPr/>
      <w:r>
        <w:t>Description: Cross-Border Trade in Services Only a natural person ordinarily resident in Canada, an enterprise with its head office in Canada or a branch office in Canada of a foreign enterprise may apply for and be issued an import or export permit or transit authorization certificate for a good or related service subject to controls under the Export and Import Permits Act.</w:t>
      </w:r>
    </w:p>
    <w:p>
      <w:pPr>
        <w:pStyle w:val="Normal"/>
      </w:pPr>
      <w:r>
        <w:t>Reservation I-C-7</w:t>
      </w:r>
    </w:p>
    <w:p>
      <w:pPr/>
      <w:r>
        <w:t>Sector: Sub-sector:</w:t>
      </w:r>
    </w:p>
    <w:p>
      <w:pPr/>
      <w:r>
        <w:t>Obligations Concerned:</w:t>
      </w:r>
    </w:p>
    <w:p>
      <w:pPr/>
      <w:r>
        <w:t>Level of Government:</w:t>
      </w:r>
    </w:p>
    <w:p>
      <w:pPr/>
      <w:r>
        <w:t>Measures:</w:t>
      </w:r>
    </w:p>
    <w:p>
      <w:pPr/>
      <w:r>
        <w:t>Description: Communications services Telecommunications Transport Networks and Services Radiocommunications National Treatment (Article 14.4) Senior Management and Boards of Directors (Article 14.11) Central Telecommunications Act, S.C. 1993, c. 38 Canadian Telecommunications Common Carrier Ownership and Control Regulations, SOR/94-667 Radiocommunication Act, R.S.C. 1985, c. R-2 Radiocommunication Regulations, SOR/96-484 Investment 1. Foreign investment in a facilities-based telecommunications service supplier is restricted to a maximum, cumulative total of 46.7 percent voting interest, based on 20 percent direct investment and 33.3 percent indirect investment. 2. A facilities-based telecommunications service supplier must be controlled in fact by Canadians. 3. At least 80 percent of the members of the board of directors of a facilities-based telecommunications service suppliers must be Canadians. 4. Notwithstanding the restrictions described above: (a) foreign investment is allowed up to 100 percent for suppliers conducting operations under an international submarine cable licence; (b) mobile satellite systems of a foreign service supplier may be used by a Canadian service supplier to supply services in Canada;</w:t>
      </w:r>
    </w:p>
    <w:p>
      <w:pPr>
        <w:pStyle w:val="Normal"/>
      </w:pPr>
      <w:r>
        <w:t>(c) fixed satellite systems of a foreign service supplier may be used to provide services between points in Canada and all points outside Canada;</w:t>
      </w:r>
    </w:p>
    <w:p>
      <w:pPr>
        <w:pStyle w:val="Normal"/>
      </w:pPr>
      <w:r>
        <w:t>(d) foreign investment is allowed up to 100 percent for a supplier conducting operations under a satellite authorization; and (e) foreign investment is allowed up to 100 percent for a facilities-based telecommunications service supplier that has revenues, including those of its affiliates, from the supply of a telecommunications service in Canada representing less than 10 percent of the total telecommunications services’ annual revenues in Canada.Afacilities-based telecommunications service supplier that previously had annual revenues, including those of its affiliates, from the supply of a telecommunication service in Canada representing less than 10 percent of the total telecommunications services annual revenues in Canada may increase to 10 percent or beyond as long as the increase in revenues did not result from the acquisition of control of, or the acquisition of assets used to supply telecommunications services by, another facilities- based telecommunications service supplier that is subject to the legislative authority of the Parliament of Canada.</w:t>
      </w:r>
    </w:p>
    <w:p>
      <w:pPr>
        <w:pStyle w:val="Normal"/>
      </w:pPr>
      <w:r>
        <w:t>Reservation I-C-8</w:t>
      </w:r>
    </w:p>
    <w:p>
      <w:pPr/>
      <w:r>
        <w:t>Sector: Business Services Industries</w:t>
      </w:r>
    </w:p>
    <w:p>
      <w:pPr/>
      <w:r>
        <w:t>Sub-</w:t>
      </w:r>
    </w:p>
    <w:p>
      <w:pPr/>
      <w:r>
        <w:t>Sector:</w:t>
      </w:r>
    </w:p>
    <w:p>
      <w:pPr/>
      <w:r>
        <w:t>Obligations Concerned: National Treatment (Articles 14.4 and 15.3) Senior Management and Boards of Directors (Article 14.11) Local Presence (Article 15.6)</w:t>
      </w:r>
    </w:p>
    <w:p>
      <w:pPr/>
      <w:r>
        <w:t>Level of Government: Central</w:t>
      </w:r>
    </w:p>
    <w:p>
      <w:pPr/>
      <w:r>
        <w:t>Measures: Customs Act, R.S.C. 1985, c. 1 (2nd Supp.) Customs Brokers Licensing Regulations, SOR/86-1067</w:t>
      </w:r>
    </w:p>
    <w:p>
      <w:pPr/>
      <w:r>
        <w:t>Description: Investment and Cross-Border Trade in Services To be a licensed customs broker in Canada, in addition to meeting all other licensing requirements: (a) a natural person must be a Canadian national; (b) a corporation must be incorporated in Canada with a majority of its directors being Canadian nationals; and (c) a partnership must be composed of persons who are Canadian nationals who meet all other licensing requirements, or corporations incorporated in Canada with a majority of their directors being Canadian nationals who meet all other licensing requirements.</w:t>
      </w:r>
    </w:p>
    <w:p>
      <w:pPr>
        <w:pStyle w:val="Normal"/>
      </w:pPr>
      <w:r>
        <w:t>Reservation I-C-9</w:t>
      </w:r>
    </w:p>
    <w:p>
      <w:pPr/>
      <w:r>
        <w:t>Sector: Business Services Industries</w:t>
      </w:r>
    </w:p>
    <w:p>
      <w:pPr/>
      <w:r>
        <w:t>Sub-</w:t>
      </w:r>
    </w:p>
    <w:p>
      <w:pPr/>
      <w:r>
        <w:t>Sector: Duty Free Shops</w:t>
      </w:r>
    </w:p>
    <w:p>
      <w:pPr/>
      <w:r>
        <w:t>Obligations Concerned: National Treatment (Articles 14.4 and 15.3) Local Presence (Article 15.6)</w:t>
      </w:r>
    </w:p>
    <w:p>
      <w:pPr/>
      <w:r>
        <w:t>Level of Government: Central</w:t>
      </w:r>
    </w:p>
    <w:p>
      <w:pPr/>
      <w:r>
        <w:t>Measures: Customs Act, R.S.C. 1985, c. 1 (2nd Supp.) Duty Free Shop Regulations, SOR/86-1072</w:t>
      </w:r>
    </w:p>
    <w:p>
      <w:pPr/>
      <w:r>
        <w:t>Description: Investment and Cross-Border Trade in Services 1. In addition to all other licensing requirements, to be a licensed duty free shop operator at a border crossing in Canada, a natural person must be a Canadian national. 2. In addition to all other licensing requirements, to be a licensed duty free shop operator at a border crossing in Canada, a corporation must be incorporated in Canada and have all of its shares beneficially owned by Canadian nationals who meet all other licensing requirements.</w:t>
      </w:r>
    </w:p>
    <w:p>
      <w:pPr>
        <w:pStyle w:val="Normal"/>
      </w:pPr>
      <w:r>
        <w:t>Reservation I-C-10</w:t>
      </w:r>
    </w:p>
    <w:p>
      <w:pPr/>
      <w:r>
        <w:t>Sector: Business Services Industries</w:t>
      </w:r>
    </w:p>
    <w:p>
      <w:pPr/>
      <w:r>
        <w:t>Sub-</w:t>
      </w:r>
    </w:p>
    <w:p>
      <w:pPr/>
      <w:r>
        <w:t>Sector: Examination Services relating to the Export and Import of Cultural Property</w:t>
      </w:r>
    </w:p>
    <w:p>
      <w:pPr/>
      <w:r>
        <w:t>Obligations Concerned: National Treatment (Articles 15.3) Local Presence (Article 15.6)</w:t>
      </w:r>
    </w:p>
    <w:p>
      <w:pPr/>
      <w:r>
        <w:t>Level of Government: Central Measure: Cultural Property Export and Import Act, R.S.C. 1985, c. C-51</w:t>
      </w:r>
    </w:p>
    <w:p>
      <w:pPr/>
      <w:r>
        <w:t>Description: Cross-Border Trade in Services 1. Only a resident of Canada or an institution in Canada may be designated as an expert examiner of cultural property for the purposes of the Cultural Property Export and Import Act. 2. For the purposes of this entry: (a) institution means an entity that is publicly owned and operated solely for the benefit of the public, that is established for educational or cultural purposes and that conserves objects and exhibits them; and (b) resident of Canada means a natural person who is ordinarily resident in Canada, or a corporation that has its head office in Canada or maintains an establishment in Canada to which employees employed in connection with the business of the corporation ordinarily report for work.</w:t>
      </w:r>
    </w:p>
    <w:p>
      <w:pPr>
        <w:pStyle w:val="Normal"/>
      </w:pPr>
      <w:r>
        <w:t>Reservation I-C-11</w:t>
      </w:r>
    </w:p>
    <w:p>
      <w:pPr/>
      <w:r>
        <w:t>Sector: Professional Services</w:t>
      </w:r>
    </w:p>
    <w:p>
      <w:pPr/>
      <w:r>
        <w:t>Sub-</w:t>
      </w:r>
    </w:p>
    <w:p>
      <w:pPr/>
      <w:r>
        <w:t>Sector: Patent Agents Patent Agents supplying Legal Advisory and Representation Services.</w:t>
      </w:r>
    </w:p>
    <w:p>
      <w:pPr/>
      <w:r>
        <w:t>Obligations Concerned: National Treatment (Article 15.3) Local Presence (Article 15.6)</w:t>
      </w:r>
    </w:p>
    <w:p>
      <w:pPr/>
      <w:r>
        <w:t>Level of Government: Central</w:t>
      </w:r>
    </w:p>
    <w:p>
      <w:pPr/>
      <w:r>
        <w:t>Measures: Patent Act, R.S.C. 1985, c. P-4 Patent Rules, SOR/96-423</w:t>
      </w:r>
    </w:p>
    <w:p>
      <w:pPr/>
      <w:r>
        <w:t>Description: Cross-Border Trade in Services To represent a person in the prosecution of a patent application or in other business before the Patent Office, a patent agent must be resident in Canada and registered by the Patent Office.</w:t>
      </w:r>
    </w:p>
    <w:p>
      <w:pPr>
        <w:pStyle w:val="Normal"/>
      </w:pPr>
      <w:r>
        <w:t>Reservation I-C-12</w:t>
      </w:r>
    </w:p>
    <w:p>
      <w:pPr/>
      <w:r>
        <w:t>Sector: Professional Services</w:t>
      </w:r>
    </w:p>
    <w:p>
      <w:pPr/>
      <w:r>
        <w:t>Sub-</w:t>
      </w:r>
    </w:p>
    <w:p>
      <w:pPr/>
      <w:r>
        <w:t>Sector: Trade-mark Agents Trade-mark Agents supplying Legal Advisory and Representation Services in Statutory Procedures</w:t>
      </w:r>
    </w:p>
    <w:p>
      <w:pPr/>
      <w:r>
        <w:t>Obligations Concerned: National Treatment (Article 15.3) Local Presence (Article 15.6)</w:t>
      </w:r>
    </w:p>
    <w:p>
      <w:pPr/>
      <w:r>
        <w:t>Level of Government: Central</w:t>
      </w:r>
    </w:p>
    <w:p>
      <w:pPr/>
      <w:r>
        <w:t>Measures: Trade-marks Act, R.S.C. 1985, c. T-13 Trade-marks Regulations, SOR/96-195</w:t>
      </w:r>
    </w:p>
    <w:p>
      <w:pPr/>
      <w:r>
        <w:t>Description: Cross-Border Trade in Services To represent a person in the prosecution of an application for a trade-mark or in other business before the Trade-marks Office, a trade-mark agent must be resident in Canada and registered by the Office of the Registrar of Trade-Marks.</w:t>
      </w:r>
    </w:p>
    <w:p>
      <w:pPr>
        <w:pStyle w:val="Normal"/>
      </w:pPr>
      <w:r>
        <w:t>Reservation I-C-13</w:t>
      </w:r>
    </w:p>
    <w:p>
      <w:pPr/>
      <w:r>
        <w:t>Sector: Energy</w:t>
      </w:r>
    </w:p>
    <w:p>
      <w:pPr/>
      <w:r>
        <w:t>Sub-</w:t>
      </w:r>
    </w:p>
    <w:p>
      <w:pPr/>
      <w:r>
        <w:t>Sector: Oil and Gas</w:t>
      </w:r>
    </w:p>
    <w:p>
      <w:pPr/>
      <w:r>
        <w:t>Obligations Concerned: National Treatment (Article 14.4)</w:t>
      </w:r>
    </w:p>
    <w:p>
      <w:pPr/>
      <w:r>
        <w:t>Level of Government: Central</w:t>
      </w:r>
    </w:p>
    <w:p>
      <w:pPr/>
      <w:r>
        <w:t>Measures: Canada Petroleum Resources Act, R.S.C. 1985, c. 36 (2nd Supp.) Territorial Lands Act, R.S.C. 1985, c. T-7 Federal Real Property and Federal Immovables Act, S.C. 1991, c. 50 Canada-Newfoundland and Labrador Atlantic Accord Implementation Act, S.C. 1987, c. 3 Canada-Nova Scotia Offshore Petroleum Resources Accord Implementation Act, S.C. 1988, c. 28</w:t>
      </w:r>
    </w:p>
    <w:p>
      <w:pPr/>
      <w:r>
        <w:t>Description: Investment 1. This reservation applies to a production licence issued for “frontier lands” and “offshore areas” (areas not under provincial jurisdiction) as defined in the applicable measures. 2. A person who holds an oil and gas production licence or shares therein must be a corporation incorporated in Canada.</w:t>
      </w:r>
    </w:p>
    <w:p>
      <w:pPr>
        <w:pStyle w:val="Normal"/>
      </w:pPr>
      <w:r>
        <w:t>Reservation I-C-14</w:t>
      </w:r>
    </w:p>
    <w:p>
      <w:pPr/>
      <w:r>
        <w:t>Sector:</w:t>
      </w:r>
    </w:p>
    <w:p>
      <w:pPr/>
      <w:r>
        <w:t>Sub-</w:t>
      </w:r>
    </w:p>
    <w:p>
      <w:pPr/>
      <w:r>
        <w:t>Sector:</w:t>
      </w:r>
    </w:p>
    <w:p>
      <w:pPr/>
      <w:r>
        <w:t>Obligations Concerned:</w:t>
      </w:r>
    </w:p>
    <w:p>
      <w:pPr/>
      <w:r>
        <w:t>Level of Government:</w:t>
      </w:r>
    </w:p>
    <w:p>
      <w:pPr/>
      <w:r>
        <w:t>Measures:</w:t>
      </w:r>
    </w:p>
    <w:p>
      <w:pPr/>
      <w:r>
        <w:t>Description: Energy Oil and Gas Performance Requirements (Article 14.10) Local Presence (Article 15.6) Central Canada Oil and Gas Operations Act, R.S.C. 1985, c. O-7 Canada - Nova Scotia Offshore Petroleum Resources Accord Implementation Act, S.C. 1988, c. 28 Canada Newfoundland and Labrador Atlantic Accord Implementation Act, S.C. 1987, c. 3 Measures implementing the Canada-Yukon Oil and Gas Accord, including the Canada-Yukon Oil and Gas Accord Implementation Act, S.C. 1998, c.5, s. 20 and the Oil and Gas Act, RSY 2002, c. 162 Measures implementing the Northwest Territories Oil and Gas Accord, including implementing measures that apply to or are adopted by Nunavut as the successor territories to the former Northwest Territories Measures implementing the Accord between the Government of Canada and the Government of Quebec for the joint management of petroleum resources in the Gulf of St. Lawrence or any other similar federal-provincial accords related to the joint management of petroleum resources. Investment and Cross-Border Trade in Services 1.</w:t>
      </w:r>
    </w:p>
    <w:p>
      <w:pPr>
        <w:pStyle w:val="Normal"/>
      </w:pPr>
      <w:r>
        <w:t>Under the Canada Oil and Gas Operations Act, a “benefits plan” must be approved by the Minister in order to be authorized to proceed with an oil and gas development project. 2.</w:t>
      </w:r>
    </w:p>
    <w:p>
      <w:pPr>
        <w:pStyle w:val="Normal"/>
      </w:pPr>
      <w:r>
        <w:t>A benefits plan means a plan for the employment of Canadians and for providing Canadian manufacturers, consultants, contractors, and service companies with a full and fair opportunity to participate on a competitive basis in the supply of goods and services used in proposed work or activity referred to in the benefits plan.</w:t>
      </w:r>
    </w:p>
    <w:p>
      <w:pPr>
        <w:pStyle w:val="Normal"/>
      </w:pPr>
      <w:r>
        <w:t>3. The benefits plan contemplated by the Canada Oil and Gas Operations Act permits the Minister to impose on the applicant an additional requirement to ensure that disadvantaged individuals or groups have access to training and employment opportunities or can participate in the supply of goods and services used in proposed work referred to in the benefits plan. 4. Provisions continuing those set out in the Canada Oil and Gas Operations Act are included in laws which implement the Canada-Yukon Oil and Gas Accord. 5. Provisions continuing those set out in the Canada Oil and Gas Operations Act will be included in laws or regulations to implement accords with various provinces and territories, including implementing legislation by provinces and territories (for example, the Northwest Territories Oil and Gas Accord, the Canada-Quebec Gulf of St. Lawrence Petroleum Resources Accord, and the New Brunswick Oil and Gas Accord). For the purposes of this reservation these accords and implementing legislation shall be deemed, once concluded, to be existing measures 6.</w:t>
      </w:r>
    </w:p>
    <w:p>
      <w:pPr>
        <w:pStyle w:val="Normal"/>
      </w:pPr>
      <w:r>
        <w:t>The Canada-Nova Scotia Offshore Petroleum Resources Accord Implementation Act and the Canada-Newfoundland and Labrador Atlantic Accord Implementation Act have the same requirement for a benefits plan but also require that the benefits plan ensures that: (a) the corporation or other body submitting the plan establishes in the applicable province an office where appropriate levels of decision-making are to take place, prior to carrying out work or an activity in the offshore area; (b) expenditures be made for research and development to be carried out in the province, and for education and training to be provided in the province; and (c) first consideration be given to goods produced or services provided from within the province, where those goods or services are competitive in terms of fair market price, quality, and delivery.</w:t>
      </w:r>
    </w:p>
    <w:p>
      <w:pPr>
        <w:pStyle w:val="Normal"/>
      </w:pPr>
      <w:r>
        <w:t>7. The Boards administering the benefits plan under these Acts may also require that the plan include provisions to ensure that disadvantaged individuals or groups, or corporations owned or cooperatives operated by them, participate in the supply of goods and services used in proposed work or activity referred to in the plan. 8. In addition, Canada may impose a requirement or enforce a commitment or undertaking for the transfer of technology, a production process or other proprietary knowledge to a person of Canada in connection with the approval of development projects under the applicable Acts.</w:t>
      </w:r>
    </w:p>
    <w:p>
      <w:pPr>
        <w:pStyle w:val="Normal"/>
      </w:pPr>
      <w:r>
        <w:t>Reservation I-C-15</w:t>
      </w:r>
    </w:p>
    <w:p>
      <w:pPr/>
      <w:r>
        <w:t>Sector: Energy</w:t>
      </w:r>
    </w:p>
    <w:p>
      <w:pPr/>
      <w:r>
        <w:t>Sub-</w:t>
      </w:r>
    </w:p>
    <w:p>
      <w:pPr/>
      <w:r>
        <w:t>Sector: Oil and Gas</w:t>
      </w:r>
    </w:p>
    <w:p>
      <w:pPr/>
      <w:r>
        <w:t>Obligations Concerned: Performance Requirements (Article 14.10)</w:t>
      </w:r>
    </w:p>
    <w:p>
      <w:pPr/>
      <w:r>
        <w:t>Level of Government: Central</w:t>
      </w:r>
    </w:p>
    <w:p>
      <w:pPr/>
      <w:r>
        <w:t>Measures: Hibernia Development Project Act, S.C. 1990, c. 41 Canada-Newfoundland and Labrador Atlantic Implementation Act, S.C. 1987, c. 3 Accord</w:t>
      </w:r>
    </w:p>
    <w:p>
      <w:pPr/>
      <w:r>
        <w:t>Description: Investment 1. Under the Hibernia Development Project Act, Canada and the Hibernia Project Owners may enter into agreements. Those agreements may require the Project Owners to undertake to perform certain work in Canada and Newfoundland and Labrador and to use their best efforts to achieve specific Canadian and Newfoundland and Labrador target levels in relation to the provisions of a “benefits plan” required under the Canada-Newfoundland and Labrador Atlantic Accord Implementation Act. “Benefits plans” are further described in I-C-14. 2. In addition, Canada may impose in connection with the Hibernia Project a requirement or enforce a commitment or undertaking for the transfer of technology, a production process or other proprietary knowledge to a national or enterprise in Canada.</w:t>
      </w:r>
    </w:p>
    <w:p>
      <w:pPr>
        <w:pStyle w:val="Normal"/>
      </w:pPr>
      <w:r>
        <w:t>Reservation I-C-16</w:t>
      </w:r>
    </w:p>
    <w:p>
      <w:pPr/>
      <w:r>
        <w:t>Sector: Energy</w:t>
      </w:r>
    </w:p>
    <w:p>
      <w:pPr/>
      <w:r>
        <w:t>Sub-</w:t>
      </w:r>
    </w:p>
    <w:p>
      <w:pPr/>
      <w:r>
        <w:t>Sector: Uranium</w:t>
      </w:r>
    </w:p>
    <w:p>
      <w:pPr/>
      <w:r>
        <w:t>Obligations Concerned: National Treatment (Article 14.4) Most-Favored-Nation Treatment (Article 14.5)</w:t>
      </w:r>
    </w:p>
    <w:p>
      <w:pPr/>
      <w:r>
        <w:t>Level of Government: Central</w:t>
      </w:r>
    </w:p>
    <w:p>
      <w:pPr/>
      <w:r>
        <w:t>Measures: Investment Canada Act, R.S.C. 1985, c. 28 (1st Supp.) Investment Canada Regulations, SOR/85-611 Policy on Non-Resident Ownership in the Uranium Mining Sector,</w:t>
      </w:r>
    </w:p>
    <w:p>
      <w:pPr/>
      <w:r>
        <w:t>Description: Investment 1. Ownership by “non-Canadians”, as defined in the Investment Canada Act, of a uranium mining property is limited to 49 percent at the stage of first production. Exceptions to this limit may be permitted if it can be established that the property is in fact “Canadian controlled”, as defined in the Investment Canada Act. 2. Exemptions from the Non-Resident Ownership Policy in the Uranium Mining Sector are permitted, subject to approval of the Governor in Council, only in cases where Canadian participants in the ownership of the property are not available. Investments in properties by non-Canadians, made prior to December 23, 1987 and that are beyond the permitted ownership level, may remain in place. No increase in non- Canadian ownership is permitted. 3.</w:t>
      </w:r>
    </w:p>
    <w:p>
      <w:pPr>
        <w:pStyle w:val="Normal"/>
      </w:pPr>
      <w:r>
        <w:t>In considering a request for an exemption from the Policy from an investor of a Party, Canada will not require that it be demonstrated that a Canadian partner cannot be found.</w:t>
      </w:r>
    </w:p>
    <w:p>
      <w:pPr>
        <w:pStyle w:val="Normal"/>
      </w:pPr>
      <w:r>
        <w:t>Reservation I-C-17</w:t>
      </w:r>
    </w:p>
    <w:p>
      <w:pPr/>
      <w:r>
        <w:t>Sector: Transportation</w:t>
      </w:r>
    </w:p>
    <w:p>
      <w:pPr/>
      <w:r>
        <w:t>Sub-</w:t>
      </w:r>
    </w:p>
    <w:p>
      <w:pPr/>
      <w:r>
        <w:t>Sector: Air Transportation</w:t>
      </w:r>
    </w:p>
    <w:p>
      <w:pPr/>
      <w:r>
        <w:t>Obligations Concerned: National Treatment (Article 14.4) Most-Favored-Nation Treatment (Article 14.5) Senior Management and Board of Directors (Article 14.11)</w:t>
      </w:r>
    </w:p>
    <w:p>
      <w:pPr/>
      <w:r>
        <w:t>Level of Government: Central</w:t>
      </w:r>
    </w:p>
    <w:p>
      <w:pPr/>
      <w:r>
        <w:t>Measures: Canada Transportation Act, S.C. 1996, c. 10 Aeronautics Act, R.S.C. 1985, c. A-2 Canadian Aviation Regulations, SOR/96-433 Part II, Subpart 2 - “Aircraft Markings &amp; Registration”; Part IV “Personnel Licensing &amp; Training”; and Part VII “Commercial Air Services”</w:t>
      </w:r>
    </w:p>
    <w:p>
      <w:pPr/>
      <w:r>
        <w:t>Description: Investment 1. Only Canadians may provide transportation air services: the following commercial (a) domestic services (air services between points, or from and to the same point, in the territory of Canada, or between a point in the territory of Canada and a point not in the territory of another country); (b) scheduled international services (scheduled air services between a point in the territory of Canada and a point in the territory of another country) where those services have been reserved to Canadian carriers under existing or future air services agreements;</w:t>
      </w:r>
    </w:p>
    <w:p>
      <w:pPr>
        <w:pStyle w:val="Normal"/>
      </w:pPr>
      <w:r>
        <w:t>(c) non-scheduled international services (non-scheduled air services between a point in the territory of Canada and a point in the territory of another country) where those services have been reserved to Canadian carriers under the Canada Transportation Act; and (d) specialty air services including, but are not limited to: aerial mapping, aerial surveying,</w:t>
      </w:r>
    </w:p>
    <w:p>
      <w:pPr>
        <w:pStyle w:val="Normal"/>
      </w:pPr>
      <w:r>
        <w:t>aerial photography, forest fire management, fire-fighting, aerial advertising, glider towing, parachute jumping, aerial</w:t>
      </w:r>
    </w:p>
    <w:p>
      <w:pPr>
        <w:pStyle w:val="Normal"/>
      </w:pPr>
      <w:r>
        <w:t>construction, heli-logging, aerial inspection, aerial surveillance, flight training, aerial sightseeing, and aerial crop spraying. 2. For the purposes of 1 (a), (b), and (c), the Canada Transportation Act, in section 55, defines “Canadian” in the following manner: (a) a Canadian citizen or a permanent resident as defined in subsection 2(1) of the Immigration and Refugee Protection Act, S.C. 2001, c.27; (b) a government in Canada or an agent or mandatary of that government; or (c) a corporation or entity that is incorporated or formed under the laws of Canada or a province, that is controlled in fact by Canadians and of which at least 51 percent of the voting interests are owned and controlled by Canadians and where:</w:t>
      </w:r>
    </w:p>
    <w:p>
      <w:pPr>
        <w:pStyle w:val="Normal"/>
      </w:pPr>
      <w:r>
        <w:t>(i) no more than 25 percent of the voting interests are owned directly or indirectly by any single non-Canadian, either individually or in affiliation with another person, and (ii) no more than 25 percent of the voting interests are owned directly or indirectly by one or more non-Canadians authorized to provide an air service in any jurisdiction, either individually or in affiliation with another person; 3. Regulations made under the Aeronautics Act include distinct definitions of “Canadian” referenced in paragraphs (2) and (4). These Regulations require that a Canadian operator of commercial air services operate Canadian-registered aircraft.</w:t>
      </w:r>
    </w:p>
    <w:p>
      <w:pPr>
        <w:pStyle w:val="Normal"/>
      </w:pPr>
      <w:r>
        <w:t>These Regulations require an operator to be Canadian in order to obtain a Canadian Air Operator Certificate and to qualifyto register aircraft as “Canadian”. 4. For the Purposes of 1 (d), the Canadian Aviation Regulations define “Canadian” in the following manner: (a) a Canadian citizen or a permanent resident as defined in subsection 2(1) of the Immigration and Refugee Protection Act; (b) a government in Canada or an agent or mandatary of that government; or</w:t>
      </w:r>
    </w:p>
    <w:p>
      <w:pPr>
        <w:pStyle w:val="Normal"/>
      </w:pPr>
      <w:r>
        <w:t>(c) a corporation or entity that is incorporated or formed under the laws of Canada or a province, that is controlled in fact by Canadians and of which at least 75 percent of the voting interests are owned and controlled by Canadians. 5. No foreign individual is qualified to be the registered owner of a Canadian-registered aircraft. 6. Further to the Canadian Aviation Regulations, a corporation incorporated in Canada, but that does not meet the Canadian ownership and control requirements, may only register an aircraft for private use where a significant majority of use of the aircraft (at least 60 percent) is in Canada. 7. The Canadian Aviation Regulations also have the effect of limiting foreign-registered private aircraft registered to non-Canadian corporations to be present in Canada for a maximum of 90 days per twelve-month period. The foreign-registered private aircraft shall be limited to private use, as would be the case for Canadian-registered aircraft requiring a private operating certificate.</w:t>
      </w:r>
    </w:p>
    <w:p>
      <w:pPr>
        <w:pStyle w:val="Normal"/>
      </w:pPr>
      <w:r>
        <w:t>Reservation I-C-18</w:t>
      </w:r>
    </w:p>
    <w:p>
      <w:pPr/>
      <w:r>
        <w:t>Sector: Air Transportation</w:t>
      </w:r>
    </w:p>
    <w:p>
      <w:pPr/>
      <w:r>
        <w:t>Sub-</w:t>
      </w:r>
    </w:p>
    <w:p>
      <w:pPr/>
      <w:r>
        <w:t>Sector: Specialty Air Services as defined in Article 15.1 (Definitions)</w:t>
      </w:r>
    </w:p>
    <w:p>
      <w:pPr/>
      <w:r>
        <w:t>Obligations Concerned: National Treatment (Article 15.3) Most-Favored-Nation Treatment (Article 15.4)</w:t>
      </w:r>
    </w:p>
    <w:p>
      <w:pPr/>
      <w:r>
        <w:t>Level of Government: Central</w:t>
      </w:r>
    </w:p>
    <w:p>
      <w:pPr/>
      <w:r>
        <w:t>Measures: Canada Transportation Act, S.C. 1996, c. 10 Air Transportation Regulations, SOR/88-58 Canadian Aviation Regulations, SOR/96-433</w:t>
      </w:r>
    </w:p>
    <w:p>
      <w:pPr/>
      <w:r>
        <w:t>Description: Cross-Border Trade in Services Authorization from Transport Canada is required to supply a specialty air service in the territory of Canada. In determining whether to grant a particular authorization, Transport Canada will consider among other factors, whether the country in which the applicant, if an individual, is resident or, if an enterprise, is constituted or organized, provides Canadian specialty air service operators reciprocal access to supply specialty air services in that country’s territory. Any foreign service supplier authorized to supply a specialty air service is required to comply with Canadian safety requirements while supplying these services in Canada.</w:t>
      </w:r>
    </w:p>
    <w:p>
      <w:pPr>
        <w:pStyle w:val="Normal"/>
      </w:pPr>
      <w:r>
        <w:t>Reservation I-C-19</w:t>
      </w:r>
    </w:p>
    <w:p>
      <w:pPr/>
      <w:r>
        <w:t>Sector: Transportation</w:t>
      </w:r>
    </w:p>
    <w:p>
      <w:pPr/>
      <w:r>
        <w:t>Sub-</w:t>
      </w:r>
    </w:p>
    <w:p>
      <w:pPr/>
      <w:r>
        <w:t>Sector: Air Transportation</w:t>
      </w:r>
    </w:p>
    <w:p>
      <w:pPr/>
      <w:r>
        <w:t>Obligations Concerned: National Treatment (Article 15.3) Most-Favored-Nation Treatment (Article 15.4) Local Presence (Article 15.6)</w:t>
      </w:r>
    </w:p>
    <w:p>
      <w:pPr/>
      <w:r>
        <w:t>Level of Government: Central</w:t>
      </w:r>
    </w:p>
    <w:p>
      <w:pPr/>
      <w:r>
        <w:t>Measures: Aeronautics Act, R.S.C. 1985, c. A-2 Canadian Aviation Regulations, SOR/96-433, Part IV “Personnel Licensing &amp; Training”; Part V “Airworthiness”; Part VI “General Operating &amp; Flight Rules”; and Part VII “Commercial Air Services”</w:t>
      </w:r>
    </w:p>
    <w:p>
      <w:pPr/>
      <w:r>
        <w:t>Description: Cross-Border Trade in Services 1. Aircraft and other aeronautical product repair, overhaul or maintenance activities required to maintain the airworthiness of Canadian-registered aircraft and other aeronautical products must be performed by a person meeting Canadian aviation regulatory requirements (that is, approved maintenance organizations and aircraft maintenance engineers). A certification is not provided for persons located outside Canada, except sub-organizations of approved maintenance organizations that themselves are located in Canada. 2. Pursuant to an airworthiness agreement between Canada and the United States, Canada recognizes the certification and oversight provided by the United States for all repair, overhaul and maintenance facilities and individuals performing the work located in the United States.</w:t>
      </w:r>
    </w:p>
    <w:p>
      <w:pPr>
        <w:pStyle w:val="Normal"/>
      </w:pPr>
      <w:r>
        <w:t>Reservation I-C-20</w:t>
      </w:r>
    </w:p>
    <w:p>
      <w:pPr/>
      <w:r>
        <w:t>Sector: Transportation</w:t>
      </w:r>
    </w:p>
    <w:p>
      <w:pPr/>
      <w:r>
        <w:t>Sub-</w:t>
      </w:r>
    </w:p>
    <w:p>
      <w:pPr/>
      <w:r>
        <w:t>Sector: Land Transportation</w:t>
      </w:r>
    </w:p>
    <w:p>
      <w:pPr/>
      <w:r>
        <w:t>Obligations Concerned: National Treatment (Article 15.3) Local Presence (Article 15.6)</w:t>
      </w:r>
    </w:p>
    <w:p>
      <w:pPr/>
      <w:r>
        <w:t>Level of Government: Central</w:t>
      </w:r>
    </w:p>
    <w:p>
      <w:pPr/>
      <w:r>
        <w:t>Measures: Motor Vehicle Transport Act, R.S.C. 1985, c. 29 (3rd Supp.), as amended by S.C. 2001, c. 13. Canada Transportation Act, S.C. 1996, c. 10 Customs Tariff, S.C. 1997, c. 36</w:t>
      </w:r>
    </w:p>
    <w:p>
      <w:pPr/>
      <w:r>
        <w:t>Description: Cross-Border Trade in Services Only a person of Canada using Canadian-registered and either Canadian-built or duty-paid trucks or buses, may provide truck or bus services between points in the territory of Canada.</w:t>
      </w:r>
    </w:p>
    <w:p>
      <w:pPr>
        <w:pStyle w:val="Normal"/>
      </w:pPr>
      <w:r>
        <w:t>Reservation I-C-21</w:t>
      </w:r>
    </w:p>
    <w:p>
      <w:pPr/>
      <w:r>
        <w:t>Sector: Transportation</w:t>
      </w:r>
    </w:p>
    <w:p>
      <w:pPr/>
      <w:r>
        <w:t>Sub-</w:t>
      </w:r>
    </w:p>
    <w:p>
      <w:pPr/>
      <w:r>
        <w:t>Sector: Water Transportation</w:t>
      </w:r>
    </w:p>
    <w:p>
      <w:pPr/>
      <w:r>
        <w:t>Obligations Concerned: National Treatment (Articles 14.4 and 15.3) Local Presence (Articles 15.6)</w:t>
      </w:r>
    </w:p>
    <w:p>
      <w:pPr/>
      <w:r>
        <w:t>Level of Government: Central</w:t>
      </w:r>
    </w:p>
    <w:p>
      <w:pPr/>
      <w:r>
        <w:t>Measures: Canada Shipping Act, 2001, S.C. 2001, c. 26</w:t>
      </w:r>
    </w:p>
    <w:p>
      <w:pPr/>
      <w:r>
        <w:t>Description: Investment and Cross-Border Trade in Services 1. To register a vessel in Canada, the owner of that vessel or the person who has exclusive possession of that vessel must be: (a) a Canadian citizen or a permanent resident within the meaning of subsection 2(1) of the Immigration and Refugee Protection Act, S.C. 2001, c.27; (b) a corporation incorporated under the laws of Canada or a province or territory; or (c) when the vessel is not already registered in another country, a corporation incorporated under the laws of a country other than Canada if one of the following is acting with respect to all matters relating to the vessel, namely:</w:t>
      </w:r>
    </w:p>
    <w:p>
      <w:pPr>
        <w:pStyle w:val="Normal"/>
      </w:pPr>
      <w:r>
        <w:t>(i) a subsidiary of that corporation that is incorporated under the law of Canada or a province or territory, (ii) an employee or director in Canada of any branch office of that corporation that is carrying on business in Canada, or (iii) a ship management company incorporated under the law of Canada or a province or territory.</w:t>
      </w:r>
    </w:p>
    <w:p>
      <w:pPr>
        <w:pStyle w:val="Normal"/>
      </w:pPr>
      <w:r>
        <w:t>2. A vessel registered in a foreign country which has been bareboat chartered may be listed in Canada for the duration of the charter while the vessel’s registration is suspended in its country of registry, if the charterer is: (a) a Canadian citizen or permanent resident, as defined in subsection 2(1) of the Immigration and Refugee Protection Act, S.C. 2001, c.27; or (b) a corporation incorporated under the law of Canada or a province or territory.</w:t>
      </w:r>
    </w:p>
    <w:p>
      <w:pPr>
        <w:pStyle w:val="Normal"/>
      </w:pPr>
      <w:r>
        <w:t>Reservation I-C-22</w:t>
      </w:r>
    </w:p>
    <w:p>
      <w:pPr/>
      <w:r>
        <w:t>Sector: Transportation</w:t>
      </w:r>
    </w:p>
    <w:p>
      <w:pPr/>
      <w:r>
        <w:t>Sub-</w:t>
      </w:r>
    </w:p>
    <w:p>
      <w:pPr/>
      <w:r>
        <w:t>Sector: Water Transportation</w:t>
      </w:r>
    </w:p>
    <w:p>
      <w:pPr/>
      <w:r>
        <w:t>Obligations Concerned: National Treatment (Article 15.3) Local Presence (Article 15.6)</w:t>
      </w:r>
    </w:p>
    <w:p>
      <w:pPr/>
      <w:r>
        <w:t>Level of Government: Central</w:t>
      </w:r>
    </w:p>
    <w:p>
      <w:pPr/>
      <w:r>
        <w:t>Measures: Canada Shipping Act, 2001, S.C. 2001, c. 26 Marine Personnel Regulations, SOR/2007-115</w:t>
      </w:r>
    </w:p>
    <w:p>
      <w:pPr/>
      <w:r>
        <w:t>Description: Cross-Border Trade in Services Masters, mates, engineers, and certain other seafarers must hold certificates granted by the Minister of Transport as a requirement of service on Canadian registered vessels. These certificates may be granted only to Canadian citizens or permanent residents.</w:t>
      </w:r>
    </w:p>
    <w:p>
      <w:pPr>
        <w:pStyle w:val="Normal"/>
      </w:pPr>
      <w:r>
        <w:t>Reservation I-C-23</w:t>
      </w:r>
    </w:p>
    <w:p>
      <w:pPr/>
      <w:r>
        <w:t>Sector: Transportation</w:t>
      </w:r>
    </w:p>
    <w:p>
      <w:pPr/>
      <w:r>
        <w:t>Sub-</w:t>
      </w:r>
    </w:p>
    <w:p>
      <w:pPr/>
      <w:r>
        <w:t>Sector: Water Transportation</w:t>
      </w:r>
    </w:p>
    <w:p>
      <w:pPr/>
      <w:r>
        <w:t>Obligations Concerned: National Treatment (Article 15.3) Local Presence (Article 15.6)</w:t>
      </w:r>
    </w:p>
    <w:p>
      <w:pPr/>
      <w:r>
        <w:t>Level of Government: Central</w:t>
      </w:r>
    </w:p>
    <w:p>
      <w:pPr/>
      <w:r>
        <w:t>Measures: Pilotage Act, R.S.C., 1985, c. P-14 General Pilotage Regulations, SOR/2000-132 Atlantic Pilotage Authority Regulations, C.R.C., c. 1264 Laurentian Pilotage Authority Regulations, C.R.C., c. 1268 Great Lakes Pilotage Regulations, C.R.C., c. 1266 Pacific Pilotage Regulations, C.R.C., c. 1270</w:t>
      </w:r>
    </w:p>
    <w:p>
      <w:pPr/>
      <w:r>
        <w:t>Description: Cross-Border Trade in Services Subject to Canada’s Reservation II-C-8, a licence or a pilotage certificate issued by the relevant regional Pilotage Authority is required to provide pilotage services in the compulsory pilotage waters of the territory of Canada. Only a Canadian citizen or permanent resident may obtain a licence or pilotage certificate. A permanent resident of Canada who has been issued a pilot’s licence or pilotage certificate must become a Canadian citizen within five years of receipt of that licence or pilotage certificate in order to retain it.</w:t>
      </w:r>
    </w:p>
    <w:p>
      <w:pPr>
        <w:pStyle w:val="Normal"/>
      </w:pPr>
      <w:r>
        <w:t>Reservation I-C-24</w:t>
      </w:r>
    </w:p>
    <w:p>
      <w:pPr/>
      <w:r>
        <w:t>Sector: Transportation</w:t>
      </w:r>
    </w:p>
    <w:p>
      <w:pPr/>
      <w:r>
        <w:t>Sub-</w:t>
      </w:r>
    </w:p>
    <w:p>
      <w:pPr/>
      <w:r>
        <w:t>Sector: Water Transportation</w:t>
      </w:r>
    </w:p>
    <w:p>
      <w:pPr/>
      <w:r>
        <w:t>Obligations Concerned: Most-Favored-Nation Treatment (Article 15.4)</w:t>
      </w:r>
    </w:p>
    <w:p>
      <w:pPr/>
      <w:r>
        <w:t>Level of Government: Central</w:t>
      </w:r>
    </w:p>
    <w:p>
      <w:pPr/>
      <w:r>
        <w:t>Measures: Coasting Trade Act, S.C. 1992, c. 31</w:t>
      </w:r>
    </w:p>
    <w:p>
      <w:pPr/>
      <w:r>
        <w:t>Description: Cross-Border Trade in Services The prohibitions under the Coasting Trade Act, set out in Canada’s Reservation II-C-7, do not apply to any vessel that is owned by the Government of the United States of America, when used solely for the purpose of transporting goods owned by the Government of the United States of America from the territory of Canada to supply Distant Early Warning sites.</w:t>
      </w:r>
    </w:p>
    <w:p>
      <w:pPr>
        <w:pStyle w:val="Normal"/>
      </w:pPr>
      <w:r>
        <w:t>Reservation I-C-25</w:t>
      </w:r>
    </w:p>
    <w:p>
      <w:pPr/>
      <w:r>
        <w:t>Sector: Transportation</w:t>
      </w:r>
    </w:p>
    <w:p>
      <w:pPr/>
      <w:r>
        <w:t>Sub-</w:t>
      </w:r>
    </w:p>
    <w:p>
      <w:pPr/>
      <w:r>
        <w:t>Sector: Water Transportation Services by Sea-going and Non-sea-going Vessels</w:t>
      </w:r>
    </w:p>
    <w:p>
      <w:pPr/>
      <w:r>
        <w:t>Obligations Concerned: Local Presence (Article 15.6)</w:t>
      </w:r>
    </w:p>
    <w:p>
      <w:pPr/>
      <w:r>
        <w:t>Level of Government: Central</w:t>
      </w:r>
    </w:p>
    <w:p>
      <w:pPr/>
      <w:r>
        <w:t>Measures: Shipping Conferences Exemption Act, 1987, R.S.C. 1985, c.17 (3rd Supp.)</w:t>
      </w:r>
    </w:p>
    <w:p>
      <w:pPr/>
      <w:r>
        <w:t>Description: Cross-Border Trade in Services Members of a shipping conference must maintain jointly an office or agency in the region of Canada where they operate. A shipping conference is an association of ocean carriers that has the purpose or effect of regulating rates and conditions for the transportation by those carriers of goods by water.</w:t>
      </w:r>
    </w:p>
    <w:p>
      <w:pPr>
        <w:pStyle w:val="Normal"/>
      </w:pPr>
      <w:r>
        <w:t>Reservation I-C-26</w:t>
      </w:r>
    </w:p>
    <w:p>
      <w:pPr/>
      <w:r>
        <w:t>Sector: All</w:t>
      </w:r>
    </w:p>
    <w:p>
      <w:pPr/>
      <w:r>
        <w:t>Sub-</w:t>
      </w:r>
    </w:p>
    <w:p>
      <w:pPr/>
      <w:r>
        <w:t>Sector:</w:t>
      </w:r>
    </w:p>
    <w:p>
      <w:pPr/>
      <w:r>
        <w:t>Obligations Concerned: National Treatment (Article 14.4 and Article 15.3) Most-Favored-Nation Treatment (Article 14.5 and 15.4) Performance Requirements (Article 14.10) Senior Management and Boards of Directors (Article 14.11) Local Presence (Article 15.6)</w:t>
      </w:r>
    </w:p>
    <w:p>
      <w:pPr/>
      <w:r>
        <w:t>Level of Government: Regional</w:t>
      </w:r>
    </w:p>
    <w:p>
      <w:pPr/>
      <w:r>
        <w:t>Measures: An existing non-conforming measure of a province and territory.</w:t>
      </w:r>
    </w:p>
    <w:p>
      <w:pPr/>
      <w:r>
        <w:t>Description: Investment and Cross-Border Trade in Services</w:t>
      </w:r>
    </w:p>
    <w:p>
      <w:pPr>
        <w:pStyle w:val="Heading1"/>
      </w:pPr>
      <w:bookmarkStart w:id="901526" w:name="_Toc300001525"/>
      <w:r>
        <w:t/>
      </w:r>
      <w:bookmarkEnd w:id="901526"/>
    </w:p>
    <w:p>
      <w:pPr>
        <w:pStyle w:val="Normal"/>
      </w:pPr>
      <w:r>
        <w:t>ANNEX I INTRODUCTORY NOTES 1. Description provides a general non-binding description of the measure for which the entry is made. 2. In accordance with Article 14.12 (Non-Conforming Measures) and Article 15.7 (Non-Conforming Measures), the articles of this Agreement specified in the Obligations Concerned element of an entry do not apply to the non-conforming aspects of the law, regulation, or other measure identified in the Measures element of that entry. 3. In the interpretation of an entry, all elements of the entry shall be considered. An entry shall be interpreted in the light of the relevant provisions of the Chapters against which the entry is taken. To the extent that:</w:t>
      </w:r>
    </w:p>
    <w:p>
      <w:pPr>
        <w:pStyle w:val="Normal"/>
      </w:pPr>
      <w:r>
        <w:t>(a) the Measures element is qualified by a liberalization commitment from the Description element, the Measures element as so qualified shall prevail over all other elements; and (b) the Measures element is not so qualified, the Measures element shall prevail over all other elements, unless any discrepancy between the Measures element and the other elements considered in their totality is so substantial and material that it would be unreasonable to conclude that the Measures element should prevail, in which case the other elements shall prevail to the extent of that discrepancy. 4.</w:t>
      </w:r>
    </w:p>
    <w:p>
      <w:pPr>
        <w:pStyle w:val="Normal"/>
      </w:pPr>
      <w:r>
        <w:t>For the purposes of this Annex: CMAP means the Mexican Classification of Activities and Products 1994 (Clasificación Mexicana de Actividades y Productos) numbers as set out by the National Institute for Statistics and Geography (Instituto Nacional de Estadística y Geografía); CNIE means the National Commission on Foreign Investments (Comisión Nacional de Inversiones Extranjeras); Concession means an authorization granted by the Mexican State to a person to exploit a natural resource or supply a service, for which Mexican nationals and Mexican enterprises are granted priority over foreigners; Foreigners’ exclusion clause means the express provision in an enterprise’s by-laws, stating that the enterprise shall not allow a foreigner, directly or indirectly, to become a partner or shareholder of the enterprise; and SCT means the Ministry of Communications and Transportation (Secretaría de Comunicaciones y Transportes).</w:t>
      </w:r>
    </w:p>
    <w:p>
      <w:pPr>
        <w:pStyle w:val="Normal"/>
      </w:pPr>
      <w:r>
        <w:t/>
      </w:r>
    </w:p>
    <w:p>
      <w:pPr/>
      <w:r>
        <w:t>Sector:</w:t>
      </w:r>
    </w:p>
    <w:p>
      <w:pPr/>
      <w:r>
        <w:t>Sub-</w:t>
      </w:r>
    </w:p>
    <w:p>
      <w:pPr/>
      <w:r>
        <w:t>Sector: Industry Classification:</w:t>
      </w:r>
    </w:p>
    <w:p>
      <w:pPr/>
      <w:r>
        <w:t>Obligations Concerned:</w:t>
      </w:r>
    </w:p>
    <w:p>
      <w:pPr/>
      <w:r>
        <w:t>Level of Government:</w:t>
      </w:r>
    </w:p>
    <w:p>
      <w:pPr/>
      <w:r>
        <w:t>Measures:</w:t>
      </w:r>
    </w:p>
    <w:p>
      <w:pPr/>
      <w:r>
        <w:t>Description: All National Treatment (Article 14.4) Central Political Constitution of the United Mexican States (Constitución Política de los Estados Unidos Mexicanos), Article 27. Foreign Investment Law (Ley de Inversión Extranjera), Title II, Chapters I and II. Regulations to the Foreign Investment Law and the National Registry of Foreign Investments (Reglamento de la Ley de Inversión Extranjera y del Registro Nacional de Inversiones Extranjeras), Title II, Chapters I and II. Investment No foreign national or foreign enterprise may acquire property rights (dominio directo) over land and water in a 100-kilometer strip along the country’s borders or in a 50-kilometer strip inland from its coasts (Restricted Zone). A Mexican enterprise without a foreigners’ exclusion clause may acquire property rights (dominio directo) over real estate located in the Restricted Zone, used for non-residential purposes. Notice of the acquisition must be given to the Ministry of Foreign Affairs (Secretaría de Relaciones Exteriores or SRE) within 60 business days from the date of acquisition.</w:t>
      </w:r>
    </w:p>
    <w:p>
      <w:pPr>
        <w:pStyle w:val="Normal"/>
      </w:pPr>
      <w:r>
        <w:t>No Mexican enterprise without a foreigners’ exclusion clause may acquire property rights (dominio directo) over real estate located in the Restricted Zone, used for residential purposes.</w:t>
      </w:r>
    </w:p>
    <w:p>
      <w:pPr>
        <w:pStyle w:val="Normal"/>
      </w:pPr>
      <w:r>
        <w:t>Pursuant to the procedure described below, a Mexican enterprise without a foreigners’ exclusion clause may acquire rights for the use and enjoyment over real estate in the Restricted Zone, used for residential purposes. This procedure shall also apply when a foreign national or a foreign enterprise seeks to acquire rights for the use and enjoyment over real estate in the Restricted Zone regardless of the purpose for which the real estate is used.</w:t>
      </w:r>
    </w:p>
    <w:p>
      <w:pPr>
        <w:pStyle w:val="Normal"/>
      </w:pPr>
      <w:r>
        <w:t>A permit from the SRE is required for a credit institution to acquire, as a trustee, rights to real estate located in the Restricted Zone, when the purpose of the trust is to allow the use and enjoyment of such real estate, without granting real property rights thereof, and the trust beneficiary is a Mexican enterprise without a foreigners’ exclusion clause, or the foreign national or foreign enterprise referred to above. The terms “use” and “enjoyment” of the real estate located in the Restricted Zone mean the rights to use or enjoy such real estate, including, as applicable, obtaining benefits, products, and, in general, any yield resulting from lucrative operation and exploitation through third parties or through a credit institution acting as trustee. The duration of the trust referred to in this entry shall be for a maximum period of 50 years, which may be renewed on request of the interested party.</w:t>
      </w:r>
    </w:p>
    <w:p>
      <w:pPr>
        <w:pStyle w:val="Normal"/>
      </w:pPr>
      <w:r>
        <w:t>The SRE can verify at any time the compliance with the conditions under which the permits referred to in this entry are granted, as well as the submission and veracity of the notices mentioned above. The SRE shall decide on the permits, considering the economic and social benefits that these operations could have on the Nation.</w:t>
      </w:r>
    </w:p>
    <w:p>
      <w:pPr>
        <w:pStyle w:val="Normal"/>
      </w:pPr>
      <w:r>
        <w:t>A foreign national or a foreign enterprise seeking to acquire real estate outside the Restricted Zone, shall previously submit to the SRE a statement agreeing to consider themselves a Mexican national for the above mentioned purposes, and waiving its right to invoke the protection of its government with respect to such real estate.</w:t>
      </w:r>
    </w:p>
    <w:p>
      <w:pPr>
        <w:pStyle w:val="Normal"/>
      </w:pPr>
      <w:r>
        <w:t/>
      </w:r>
    </w:p>
    <w:p>
      <w:pPr/>
      <w:r>
        <w:t>Sector: All</w:t>
      </w:r>
    </w:p>
    <w:p>
      <w:pPr/>
      <w:r>
        <w:t>Sub-</w:t>
      </w:r>
    </w:p>
    <w:p>
      <w:pPr/>
      <w:r>
        <w:t>Sector: Industry Classification:</w:t>
      </w:r>
    </w:p>
    <w:p>
      <w:pPr/>
      <w:r>
        <w:t>Obligations Concerned: National Treatment (Article 14.4) Market Access (Article 15.5)</w:t>
      </w:r>
    </w:p>
    <w:p>
      <w:pPr/>
      <w:r>
        <w:t>Level of Government: Central</w:t>
      </w:r>
    </w:p>
    <w:p>
      <w:pPr/>
      <w:r>
        <w:t>Measures: Foreign Investment Law (Ley de Inversión Extranjera), Title VI, Chapter III.</w:t>
      </w:r>
    </w:p>
    <w:p>
      <w:pPr/>
      <w:r>
        <w:t>Description: Investment and Cross-Border Trade in Services In order to evaluate an application submitted for its consideration (an acquisition or establishment of investments in restricted activities as set out in this Schedule), the CNIE shall take into account the following criteria: (a) the effects on employment and training of workers; (b) the technological contribution; (c) the compliance with the environmental provisions contained in the environmental legislation; and (d) in general, the contribution to increase the competitiveness of the Mexican productive system. When deciding on an application, the CNIE may only impose requirements that do not distort international trade and that are not prohibited by Article 14.10 (Performance Requirements).</w:t>
      </w:r>
    </w:p>
    <w:p>
      <w:pPr>
        <w:pStyle w:val="Normal"/>
      </w:pPr>
      <w:r>
        <w:t/>
      </w:r>
    </w:p>
    <w:p>
      <w:pPr/>
      <w:r>
        <w:t>Sector: All</w:t>
      </w:r>
    </w:p>
    <w:p>
      <w:pPr/>
      <w:r>
        <w:t>Sub-</w:t>
      </w:r>
    </w:p>
    <w:p>
      <w:pPr/>
      <w:r>
        <w:t>Sector: Industry Classification:</w:t>
      </w:r>
    </w:p>
    <w:p>
      <w:pPr/>
      <w:r>
        <w:t>Obligations Concerned: National Treatment (Article 14.4)</w:t>
      </w:r>
    </w:p>
    <w:p>
      <w:pPr/>
      <w:r>
        <w:t>Level of Government: Central</w:t>
      </w:r>
    </w:p>
    <w:p>
      <w:pPr/>
      <w:r>
        <w:t>Measures: Foreign Investment Law (Ley de Inversión Extranjera), Title I, Chapter III. As qualified by the Description element.</w:t>
      </w:r>
    </w:p>
    <w:p>
      <w:pPr/>
      <w:r>
        <w:t>Description: Investment A favorable resolution from the CNIE is required for an investor of another Party or its investments to participate, directly or indirectly, in more than 49 percent of the ownership interest of a Mexican enterprise in an unrestricted sector, if the total value of the assets of the Mexican enterprise exceeds the applicable threshold at the time the application for acquisition is submitted. The applicable threshold for the review of an acquisition of a Mexican enterprise shall be the amount determined by the CNIE. The threshold at the date of entry into force of this Agreement for Mexico will be the equivalent in Mexican pesos to 955,835,000 US dollars, using the official exchange rate on August 31, 2018. The threshold will be adjusted each year according to the nominal growth rate of the Mexican Gross Domestic Product, as published by the National Institute for Statistics and Geography (Instituto Nacional de Estadística y Geografía).</w:t>
      </w:r>
    </w:p>
    <w:p>
      <w:pPr>
        <w:pStyle w:val="Normal"/>
      </w:pPr>
      <w:r>
        <w:t/>
      </w:r>
    </w:p>
    <w:p>
      <w:pPr/>
      <w:r>
        <w:t>Sector: All</w:t>
      </w:r>
    </w:p>
    <w:p>
      <w:pPr/>
      <w:r>
        <w:t>Sub-</w:t>
      </w:r>
    </w:p>
    <w:p>
      <w:pPr/>
      <w:r>
        <w:t>Sector: Industry Classification:</w:t>
      </w:r>
    </w:p>
    <w:p>
      <w:pPr/>
      <w:r>
        <w:t>Obligations Concerned: National Treatment (Article 14.4) Senior Management and Boards of Directors (Article 14.11)</w:t>
      </w:r>
    </w:p>
    <w:p>
      <w:pPr/>
      <w:r>
        <w:t>Level of Government: Central</w:t>
      </w:r>
    </w:p>
    <w:p>
      <w:pPr/>
      <w:r>
        <w:t>Measures: Political Constitution of the United Mexican States (Constitución Política de los Estados Unidos Mexicanos), Article 25. General Law of Cooperative Companies (Ley General de Sociedades Cooperativas), Title I and Title II, Chapter II. Federal Labor Law (Ley Federal del Trabajo), Title I. Foreign Investment Law (Ley de Inversión Extranjera), Title I, Chapter III.</w:t>
      </w:r>
    </w:p>
    <w:p>
      <w:pPr/>
      <w:r>
        <w:t>Description: Investment No more than 10 percent of the persons participating in a Mexican cooperative production enterprise may be foreign nationals. An investor of another Party or its investments may only own, directly or indirectly, up to 10 percent of the ownership interest in a Mexican cooperative production enterprise. No foreign nationals may engage in general administrative functions or perform managerial activities in a Mexican cooperative production enterprise. A cooperative production enterprise is an enterprise the members of which combine their personal work, whether physical or intellectual, with the purpose of producing goods or services.</w:t>
      </w:r>
    </w:p>
    <w:p>
      <w:pPr>
        <w:pStyle w:val="Normal"/>
      </w:pPr>
      <w:r>
        <w:t/>
      </w:r>
    </w:p>
    <w:p>
      <w:pPr/>
      <w:r>
        <w:t>Sector: All</w:t>
      </w:r>
    </w:p>
    <w:p>
      <w:pPr/>
      <w:r>
        <w:t>Sub-</w:t>
      </w:r>
    </w:p>
    <w:p>
      <w:pPr/>
      <w:r>
        <w:t>Sector: Industry Classification:</w:t>
      </w:r>
    </w:p>
    <w:p>
      <w:pPr/>
      <w:r>
        <w:t>Obligations Concerned: National Treatment (Article 14.4)</w:t>
      </w:r>
    </w:p>
    <w:p>
      <w:pPr/>
      <w:r>
        <w:t>Level of Government: Central</w:t>
      </w:r>
    </w:p>
    <w:p>
      <w:pPr/>
      <w:r>
        <w:t>Measures: Federal Law to Foster the Microindustry and Handicraft Activity (Ley Federal para el Fomento de la Microindustria y la Actividad Artesanal), Chapters I, II, III and IV.</w:t>
      </w:r>
    </w:p>
    <w:p>
      <w:pPr/>
      <w:r>
        <w:t>Description: Investment Only Mexican nationals may apply for a license (cédula) to qualify as a microindustry enterprise. No Mexican microindustry enterprises may have a foreign person as partner. The Federal Law to Foster the Microindustry and Handicraft Activity (Ley Federal para el Fomento de la Microindustria y Actividad Artesanal) defines a “microindustry enterprise” as an enterprise integrated by up to 15 workers, that is engaged in the transformation of goods, and the annual sales of which do not exceed the amount determined periodically by the Ministry of Economy (Secretaría de Economía).</w:t>
      </w:r>
    </w:p>
    <w:p>
      <w:pPr>
        <w:pStyle w:val="Normal"/>
      </w:pPr>
      <w:r>
        <w:t/>
      </w:r>
    </w:p>
    <w:p>
      <w:pPr/>
      <w:r>
        <w:t>Sector: Agriculture, Livestock, Forestry, and Lumber Activities</w:t>
      </w:r>
    </w:p>
    <w:p>
      <w:pPr/>
      <w:r>
        <w:t>Sub-</w:t>
      </w:r>
    </w:p>
    <w:p>
      <w:pPr/>
      <w:r>
        <w:t>Sector: Agriculture, livestock or forestry Industry Classification: CMAP 1111 Agriculture CMAP 1112 Livestock and hunting (limited to livestock) CMAP 1200 Forestry and felling Trees</w:t>
      </w:r>
    </w:p>
    <w:p>
      <w:pPr/>
      <w:r>
        <w:t>Obligations Concerned: National Treatment (Article 14.4)</w:t>
      </w:r>
    </w:p>
    <w:p>
      <w:pPr/>
      <w:r>
        <w:t>Level of Government: Central</w:t>
      </w:r>
    </w:p>
    <w:p>
      <w:pPr/>
      <w:r>
        <w:t>Measures: Political Constitution of the United Mexican States (Constitución Política de los Estados Unidos Mexicanos), Article 27. Agrarian Law (Ley Agraria), Title VI. Foreign Investment Law (Ley de Inversión Extranjera), Title I, Chapter III.</w:t>
      </w:r>
    </w:p>
    <w:p>
      <w:pPr/>
      <w:r>
        <w:t>Description: Investment Only a Mexican national or a Mexican enterprise may own land for agriculture, livestock or forestry purposes. Such enterprise must issue a special type of share (“T” share) representing the value of that land at the time of its acquisition. An investor of another Party or its investments may only own, directly or indirectly, up to 49 percent of “T” shares.</w:t>
      </w:r>
    </w:p>
    <w:p>
      <w:pPr>
        <w:pStyle w:val="Normal"/>
      </w:pPr>
      <w:r>
        <w:t/>
      </w:r>
    </w:p>
    <w:p>
      <w:pPr/>
      <w:r>
        <w:t>Sector: Retail Trade</w:t>
      </w:r>
    </w:p>
    <w:p>
      <w:pPr/>
      <w:r>
        <w:t>Sub-</w:t>
      </w:r>
    </w:p>
    <w:p>
      <w:pPr/>
      <w:r>
        <w:t>Sector: Sale of non-food products in specialized establishments Industry Classification: CMAP 623087 Retail Trade of Firearms, Cartridges and Munitions CMAP 612024 Wholesale Trade Not Elsewhere Classified (limited to firearms, cartridges and munitions)</w:t>
      </w:r>
    </w:p>
    <w:p>
      <w:pPr/>
      <w:r>
        <w:t>Obligations Concerned: National Treatment (Article 14.4)</w:t>
      </w:r>
    </w:p>
    <w:p>
      <w:pPr/>
      <w:r>
        <w:t>Level of Government: Central</w:t>
      </w:r>
    </w:p>
    <w:p>
      <w:pPr/>
      <w:r>
        <w:t>Measures: Foreign Investment Law (Ley de Inversión Extranjera), Title I, Chapter III.</w:t>
      </w:r>
    </w:p>
    <w:p>
      <w:pPr/>
      <w:r>
        <w:t>Description: Investment An investor of another Party or its investments may only own, directly or indirectly, up to 49 percent of the ownership interest in an enterprise established or to be established in the territory of Mexico that is engaged in the sale of explosives, firearms, cartridges, ammunition, and fireworks, excluding the acquisition and use of explosives for industrial and extractive activities, and the preparation of explosive mixtures for such activities.</w:t>
      </w:r>
    </w:p>
    <w:p>
      <w:pPr>
        <w:pStyle w:val="Normal"/>
      </w:pPr>
      <w:r>
        <w:t/>
      </w:r>
    </w:p>
    <w:p>
      <w:pPr/>
      <w:r>
        <w:t>Sector: Communications</w:t>
      </w:r>
    </w:p>
    <w:p>
      <w:pPr/>
      <w:r>
        <w:t>Sub-</w:t>
      </w:r>
    </w:p>
    <w:p>
      <w:pPr/>
      <w:r>
        <w:t>Sector: Broadcasting (radio and free to air television) Industry Classification: CMAP 941104 Private Production and Transmission of Radio Programs (limited to production and transmission of sound broadcasting (radio) programs) CMAP 941105 Private Services of production, Transmission and Retransmission of Television Programming (limited to transmission and retransmission of free-to-air television programming)</w:t>
      </w:r>
    </w:p>
    <w:p>
      <w:pPr/>
      <w:r>
        <w:t>Obligations Concerned: National Treatment (Article 14.4 and Article 15.3) Local Presence (Article 15.6)</w:t>
      </w:r>
    </w:p>
    <w:p>
      <w:pPr/>
      <w:r>
        <w:t>Level of Government: Central</w:t>
      </w:r>
    </w:p>
    <w:p>
      <w:pPr/>
      <w:r>
        <w:t>Measures: Political Constitution of the United Mexican States (Constitución Política de los Estados Unidos Mexicanos), Articles 28 and 32 Federal Telecommunications and Broadcasting Law (Ley Federal de Telecomunicaciones y Radiodifusión), Title IV, Chapters I, III and IV, title XI, Chapter II. General Means of Communication Law (Ley de Vías Generales de Comunicación), Book I, Chapter III. Foreign Investment Law (Ley de Inversión Extranjera), Title I, Chapters II and III. Regulations to the Foreign Investment Law and the National Registry for Foreign Investments (Reglamento de la Ley de Inversión Extranjera y del Registro Nacional de Inversiones Extranjeras), Title VI.</w:t>
      </w:r>
    </w:p>
    <w:p>
      <w:pPr>
        <w:pStyle w:val="Normal"/>
      </w:pPr>
      <w:r>
        <w:t>General Guidelines for the granting of the concessions referred to in Title Four of the Federal Telecommunications and Broadcasting Law (Lineamientos Generales para el otorgamiento de las concesiones a que se refiere el Título Cuarto de la Ley Federal de Telecomunicaciones y Radiodifusión).</w:t>
      </w:r>
    </w:p>
    <w:p>
      <w:pPr/>
      <w:r>
        <w:t>Description: Investment and Cross-Border Trade in Services According to their purposes, sole concessions and frequency band concessions will be granted only to Mexican nationals or enterprise constituted under Mexican Laws and regulations. An investor of a Party or its investments may participate up to 49 percent in a concessionaire enterprise supplying broadcasting services. This cap shall apply according to the</w:t>
      </w:r>
    </w:p>
    <w:p>
      <w:pPr>
        <w:pStyle w:val="Normal"/>
      </w:pPr>
      <w:r>
        <w:t>reciprocity existent with the country in which the investor or trader who ultimately controls it, directly or indirectly, is constituted. For the purposes of the paragraph above, a favorable opinion of the CNIE is required before granting the sole concession for providing broadcasting services in which foreign investment participate. No concession, the rights conferred therein, facilities, auxiliary services, offices, or accessories and properties affected thereto, may be assigned, encumbered, pledged, or given in trust, mortgaged, or transferred totally or partially to any foreign government or state. Concessions for indigenous social use shall be granted to indigenous people and indigenous communities of Mexico, with the objective to promote, develop, and preserve language, culture, knowledge, tradition, identity and internal rules that, under principles of gender equality, allow the integration of indigenous women in the accomplishment of the purposes for which the concession is granted. The State shall guarantee that broadcasting promotes the values of national identity. A broadcasting concessionaire shall use and stimulate local and national artistic values and expressions of Mexican culture, according to the characteristics of its programming. Daily programming with personal performances shall include more time covered by Mexicans.</w:t>
      </w:r>
    </w:p>
    <w:p>
      <w:pPr>
        <w:pStyle w:val="Normal"/>
      </w:pPr>
      <w:r>
        <w:t/>
      </w:r>
    </w:p>
    <w:p>
      <w:pPr/>
      <w:r>
        <w:t>Sector: Communications</w:t>
      </w:r>
    </w:p>
    <w:p>
      <w:pPr/>
      <w:r>
        <w:t>Sub-</w:t>
      </w:r>
    </w:p>
    <w:p>
      <w:pPr/>
      <w:r>
        <w:t>Sector: Telecommunications (including resellers and restricted television and audio service) Industry Classification: CMAP 720006 Other Telecommunication Services CMAP 720006 Other Telecommunications services (Not including enhanced or Value Added Services) CMAP 502003 Telecommunications installation CMAP 720006 Other Telecommunications Services (limited to resellers) CMAP 502004 Other special installations</w:t>
      </w:r>
    </w:p>
    <w:p>
      <w:pPr/>
      <w:r>
        <w:t>Obligations Concerned: National Treatment (Article 14.4 and Article 15.3) Local Presence (Article 15.6)</w:t>
      </w:r>
    </w:p>
    <w:p>
      <w:pPr/>
      <w:r>
        <w:t>Level of Government: Central</w:t>
      </w:r>
    </w:p>
    <w:p>
      <w:pPr/>
      <w:r>
        <w:t>Measures: Political Constitution of the United Mexican States (Constitución Política de los Estados Unidos Mexicanos), Article 28 and 32. Federal Telecommunications and Broadcasting Law (Ley Federal de Telecomunicaciones y Radiodifusión), Title IV, Chapters I, III and IV, Title V, Chapter VIII, and Title VI, Unique Chapter. General Means of Communication Law (Ley de Vías Generales de Comunicación). Foreign Investment Law (Ley de Inversión Extranjera) Title I, Chapter II. Regulations to the Foreign Investment Law and the National Registry of Foreign Investments (Reglamento de la Ley de Inversión Extranjera y del Registro Nacional de Inversiones Extranjeras), Title VI.</w:t>
      </w:r>
    </w:p>
    <w:p>
      <w:pPr>
        <w:pStyle w:val="Normal"/>
      </w:pPr>
      <w:r>
        <w:t>General Guidelines for the granting of the concessions referred to in Title Four of the Federal Telecommunications and Broadcasting Law (Lineamientos Generales para el otorgamiento de las concesiones a que se refiere el Título Cuarto de la Ley Federal de Telecomunicaciones y Radiodifusion). Rules of general character that establish the terms and requisites for the granting of telecommunications authorizations established in the Federal Telecommunications and Broadcasting Law (Reglas de carácter general que establecen los plazos y requisitos para el otorgamiento de autorizaciones en materia de telecomunicaciones establecidas en la Ley Federal de Telecomunicaciones y Radiodifusión).</w:t>
      </w:r>
    </w:p>
    <w:p>
      <w:pPr>
        <w:pStyle w:val="Normal"/>
      </w:pPr>
      <w:r>
        <w:t>General Guidelines on the Authorization to Lease Radio Spectrum (Lineamientos Generales sobre la Autorización de Arrendamiento del Espectro Radioeléctrico). Guidelines for the granting of the Authorization Registration, for the use and development of radio spectrum frequency bands for secondary use (Lineamientos para el otorgamiento de la Constancia de Authorización, para el uso y aprovechamiento de bandas de frecuencias del espectro radioeléctrico para uso secundario).</w:t>
      </w:r>
    </w:p>
    <w:p>
      <w:pPr/>
      <w:r>
        <w:t>Description: Investment and Cross-Border Trade in Services According to their purposes, sole concessions and frequency band concessions will be granted only to a Mexican national or enterprise constituted under Mexican Laws and regulations. Concessions for indigenous social use shall be granted to indigenous people and indigenous communities of Mexico, with the objective to promote, develop, and preserve their language, culture, knowledge, tradition, identity and internal rules that, under principles of gender equality, allow the integration of indigenous women in the accomplishment of the purposes for which the concession is granted. Concessions for indigenous social use shall only be granted to indigenous people and indigenous communities in Mexico without any kind of foreign investment.</w:t>
      </w:r>
    </w:p>
    <w:p>
      <w:pPr>
        <w:pStyle w:val="Normal"/>
      </w:pPr>
      <w:r>
        <w:t>No concession, the rights conferred therein, facilities, auxiliary services, offices or accessories and properties affected thereto, shall be assigned encumbered, pledged, or given in trust, mortgaged, or transferred totally or partially to any foreign government or state. Only a Mexican national or an enterprise established under Mexican laws may obtain authorization to provide telecommunication services as reseller without being a concessionaire. Under the General Guidelines on the Authorization to Lease Radio Spectrum, a company interested in becoming a lessee of frequency bands must obtain a sole concession for commercial use or a sole concession for private use. An applicant for an authorization for secondary use of radio spectrum frequency bands must appoint a legal address in Mexico City.</w:t>
      </w:r>
    </w:p>
    <w:p>
      <w:pPr>
        <w:pStyle w:val="Normal"/>
      </w:pPr>
      <w:r>
        <w:t/>
      </w:r>
    </w:p>
    <w:p>
      <w:pPr/>
      <w:r>
        <w:t>Sector: Communications</w:t>
      </w:r>
    </w:p>
    <w:p>
      <w:pPr/>
      <w:r>
        <w:t>Sub-</w:t>
      </w:r>
    </w:p>
    <w:p>
      <w:pPr/>
      <w:r>
        <w:t>Sector: Transportation Industry Classification: CMAP 7100 Transport</w:t>
      </w:r>
    </w:p>
    <w:p>
      <w:pPr/>
      <w:r>
        <w:t>Obligations Concerned: National Treatment (Article 14.4)</w:t>
      </w:r>
    </w:p>
    <w:p>
      <w:pPr/>
      <w:r>
        <w:t>Level of Government: Central</w:t>
      </w:r>
    </w:p>
    <w:p>
      <w:pPr/>
      <w:r>
        <w:t>Measures: Ports Law (Ley de Puertos), Chapter IV. Regulatory Law of the Railway Service (Ley Reglamentaria del Servicio Ferroviario), Chapter II, Section III. Civil Aviation Law (Ley de Aviación Civil), Chapter III, Section III Airports Law (Ley de Aeropuertos), Chapter IV. Roads, Bridges and Federal Road Transport Law (Ley de Caminos, Puentes y Autotransporte Federal), Title I, Chapter III. General Means of Communication Law (Ley de Vías Generales de Comunicación), Book I, Chapters III and V.</w:t>
      </w:r>
    </w:p>
    <w:p>
      <w:pPr/>
      <w:r>
        <w:t>Description: Investment No foreign government or foreign State may invest, directly or indirectly, in a Mexican enterprise engaged in transportation and other general means of communications.</w:t>
      </w:r>
    </w:p>
    <w:p>
      <w:pPr>
        <w:pStyle w:val="Normal"/>
      </w:pPr>
      <w:r>
        <w:t/>
      </w:r>
    </w:p>
    <w:p>
      <w:pPr/>
      <w:r>
        <w:t>Sector: Transportation</w:t>
      </w:r>
    </w:p>
    <w:p>
      <w:pPr/>
      <w:r>
        <w:t>Sub-</w:t>
      </w:r>
    </w:p>
    <w:p>
      <w:pPr/>
      <w:r>
        <w:t>Sector: Land transportation and water transportation Industry Classification: CMAP 501421 Construction of Maritime and River Works CMAP 501422 Construction of Roadworks and Works Land Transport for</w:t>
      </w:r>
    </w:p>
    <w:p>
      <w:pPr/>
      <w:r>
        <w:t>Obligations Concerned: National Treatment (Article 14.4 and Article 15.3) Local Presence (Article 15.6)</w:t>
      </w:r>
    </w:p>
    <w:p>
      <w:pPr/>
      <w:r>
        <w:t>Level of Government: Central</w:t>
      </w:r>
    </w:p>
    <w:p>
      <w:pPr/>
      <w:r>
        <w:t>Measures: Political Constitution of the United Mexican States (Constitución Política de los Estados Unidos Mexicanos), Article 32. Roads, Bridges and Federal Road Transport Law (Ley de Caminos, Puentes y Autotransporte Federal), Title I, Chapter III. Ports Law (Ley de Puertos), Chapter IV. Navigation and Maritime Commerce Law (Ley de Navegación y Comercio Marítimos), Title I, Chapter II.</w:t>
      </w:r>
    </w:p>
    <w:p>
      <w:pPr/>
      <w:r>
        <w:t>Description: Investment and Cross-Border Trade in Services A concession granted by the SCT is required to build and operate, or only operate, marine or river works. A concession is also required to build, operate, exploit, conserve, or maintain federal roads and bridges. Only a Mexican national or a Mexican enterprise may obtain these concessions.</w:t>
      </w:r>
    </w:p>
    <w:p>
      <w:pPr>
        <w:pStyle w:val="Normal"/>
      </w:pPr>
      <w:r>
        <w:t/>
      </w:r>
    </w:p>
    <w:p>
      <w:pPr/>
      <w:r>
        <w:t>Sector: Printing, Editing and Associated Industries</w:t>
      </w:r>
    </w:p>
    <w:p>
      <w:pPr/>
      <w:r>
        <w:t>Sub-</w:t>
      </w:r>
    </w:p>
    <w:p>
      <w:pPr/>
      <w:r>
        <w:t>Sector: Newspaper publishing Industry Classification: CMAP 342001 Publishing of Newspapers, Periodicals (limited to newspapers) Magazines and</w:t>
      </w:r>
    </w:p>
    <w:p>
      <w:pPr/>
      <w:r>
        <w:t>Obligations Concerned: National Treatment (Article 14.4)</w:t>
      </w:r>
    </w:p>
    <w:p>
      <w:pPr/>
      <w:r>
        <w:t>Level of Government: Central</w:t>
      </w:r>
    </w:p>
    <w:p>
      <w:pPr/>
      <w:r>
        <w:t>Measures: Foreign Investment Law (Ley de Inversión Extranjera), Title I, Chapter III. As qualified by the Description element.</w:t>
      </w:r>
    </w:p>
    <w:p>
      <w:pPr/>
      <w:r>
        <w:t>Description: Investment An investor of another Party or its investments may only own, directly or indirectly, up to 49 percent of the ownership interest in an enterprise established or to be established in the territory of Mexico engaged in the printing or publication of daily newspapers written primarily for a Mexican audience and distributed in the territory of Mexico. For the purposes of this entry, daily newspapers are those whose distribution is not free and that are published at least seven days a week.</w:t>
      </w:r>
    </w:p>
    <w:p>
      <w:pPr>
        <w:pStyle w:val="Normal"/>
      </w:pPr>
      <w:r>
        <w:t/>
      </w:r>
    </w:p>
    <w:p>
      <w:pPr/>
      <w:r>
        <w:t>Sector: Manufacture of Goods</w:t>
      </w:r>
    </w:p>
    <w:p>
      <w:pPr/>
      <w:r>
        <w:t>Sub-</w:t>
      </w:r>
    </w:p>
    <w:p>
      <w:pPr/>
      <w:r>
        <w:t>Sector: Explosives, fireworks, firearms and cartridges Industry Classification: CMAP 352236 Manufacture of Explosives and Fireworks CMAP 382208 Manufacture of Firearms and Cartridges</w:t>
      </w:r>
    </w:p>
    <w:p>
      <w:pPr/>
      <w:r>
        <w:t>Obligations Concerned: National Treatment (Article 14.4)</w:t>
      </w:r>
    </w:p>
    <w:p>
      <w:pPr/>
      <w:r>
        <w:t>Level of Government: Central</w:t>
      </w:r>
    </w:p>
    <w:p>
      <w:pPr/>
      <w:r>
        <w:t>Measures: Foreign Investment Law (Ley de Inversión Extranjera), Title I, Chapter III.</w:t>
      </w:r>
    </w:p>
    <w:p>
      <w:pPr/>
      <w:r>
        <w:t>Description: Investment An investors of another Party or its investments may only own, directly or indirectly, up to 49 percent of the ownership interest in an enterprise established or to be established in the territory of Mexico that manufactures explosives, fireworks, firearms, cartridges, and ammunition, excluding the preparation of explosive mixtures for industrial and extractive activities.</w:t>
      </w:r>
    </w:p>
    <w:p>
      <w:pPr>
        <w:pStyle w:val="Normal"/>
      </w:pPr>
      <w:r>
        <w:t/>
      </w:r>
    </w:p>
    <w:p>
      <w:pPr/>
      <w:r>
        <w:t>Sector:</w:t>
      </w:r>
    </w:p>
    <w:p>
      <w:pPr/>
      <w:r>
        <w:t>Sub-</w:t>
      </w:r>
    </w:p>
    <w:p>
      <w:pPr/>
      <w:r>
        <w:t>Sector: Industry Classification:</w:t>
      </w:r>
    </w:p>
    <w:p>
      <w:pPr/>
      <w:r>
        <w:t>Obligations Concerned:</w:t>
      </w:r>
    </w:p>
    <w:p>
      <w:pPr/>
      <w:r>
        <w:t>Level of Government:</w:t>
      </w:r>
    </w:p>
    <w:p>
      <w:pPr/>
      <w:r>
        <w:t>Measures:</w:t>
      </w:r>
    </w:p>
    <w:p>
      <w:pPr/>
      <w:r>
        <w:t>Description: Fishing Fishing-related services CMAP 1300 Fishing National Treatment (Article 15.3) Most-Favored-Nation Treatment (Article 15.4) Central Political Constitution of the United Mexican States (Constitución Política de los Estados Unidos Mexicanos), Article 32. General Law on Sustainable Fishing and Aquaculture (Ley General de Pesca y Acuacultura Sustentables), Title Six, Chapter IV; Title Seven, Chapter II. Navigation and Maritime Commerce Law (Ley de Navegación y Comercio Marítimos), Title I, Chapter I; Title II, Chapter IV, Title Three, Chapter II. Ports Law (Ley de Puertos), Chapters I, IV and VI. Regulations to the Fishing Law (Reglamento de la Ley de Pesca), Title Two, Chapter I; Chapter II, Sixth Section.</w:t>
      </w:r>
    </w:p>
    <w:p>
      <w:pPr>
        <w:pStyle w:val="Normal"/>
      </w:pPr>
      <w:r>
        <w:t>Cross-Border Trade in Services A permit issued by the Secretariat of Agriculture, Livestock, Rural Development, Fisheries, and Food (Secretaría de Agricultura, Ganadería, Desarrollo Rural, Pesca, y Alimentación, SAGARPA) through the National Commission of Aquaculture and Fishing (Comisión Nacional de Acuacultura y Pesca, CONAPESCA); or by the SCT, within the scope of their competence, is required to engage in fishing activities. A permit issued by SAGARPA is required to carry out activities, such as fishing jobs needed to justify applications for a concession, and the installation of fixed fishing gear in federal waters.</w:t>
      </w:r>
    </w:p>
    <w:p>
      <w:pPr>
        <w:pStyle w:val="Normal"/>
      </w:pPr>
      <w:r>
        <w:t>This permit shall be given preferentially to residents of local communities. In equal circumstances, an application from an indigenous community shall be preferred. An authorization issued by the SCT is required for foreign- flagged vessels to provide dredging services. A permit issued by the SCT is required to supply port services related to fishing, like loading operations and supply vessels, maintenance of communication equipment, electricity works,</w:t>
      </w:r>
    </w:p>
    <w:p>
      <w:pPr>
        <w:pStyle w:val="Normal"/>
      </w:pPr>
      <w:r>
        <w:t>garbage or waste collection and sewage disposal. Only a Mexican national or a Mexican enterprise may obtain such permit.</w:t>
      </w:r>
    </w:p>
    <w:p>
      <w:pPr>
        <w:pStyle w:val="Normal"/>
      </w:pPr>
      <w:r>
        <w:t/>
      </w:r>
    </w:p>
    <w:p>
      <w:pPr/>
      <w:r>
        <w:t>Sector:</w:t>
      </w:r>
    </w:p>
    <w:p>
      <w:pPr/>
      <w:r>
        <w:t>Sub-</w:t>
      </w:r>
    </w:p>
    <w:p>
      <w:pPr/>
      <w:r>
        <w:t>Sector: Industry Classification:</w:t>
      </w:r>
    </w:p>
    <w:p>
      <w:pPr/>
      <w:r>
        <w:t>Obligations Concerned:</w:t>
      </w:r>
    </w:p>
    <w:p>
      <w:pPr/>
      <w:r>
        <w:t>Level of Government:</w:t>
      </w:r>
    </w:p>
    <w:p>
      <w:pPr/>
      <w:r>
        <w:t>Measures:</w:t>
      </w:r>
    </w:p>
    <w:p>
      <w:pPr/>
      <w:r>
        <w:t>Description: Fishing Fishing CMAP 130011 Fishing on the High Seas CMAP 130012 Coastal Fishing CMAP 130013 Fresh Water Fishing National Treatment (Article 14.4) Central General Law on Sustainable Fishing and Aquaculture (Ley General de Pesca y Acuacultura Sustentables), Title VI, Chapter IV; Title VII, Chapter I; Title XIII, Unique Chapter; Title XIV, Chapters I, II and III. Navigation and Maritime Commerce Law (Ley de Navegación y Comercio Marítimos), Title II, Chapter I. Sea Federal Law (Ley Federal del Mar), Title I, Chapters I and III. National Waters Law (Ley de Aguas Nacionales), Title I, and Title IV, Chapter I. Foreign Investment Law (Ley de Inversión Extranjera), Title I, Chapter III. Regulations to the Fishing Law (Reglamento de la Ley de Pesca), Title I, Chapter I; Title II, Chapters I, III, IV, V, and VI: Title III, Chapters III and IV.</w:t>
      </w:r>
    </w:p>
    <w:p>
      <w:pPr>
        <w:pStyle w:val="Normal"/>
      </w:pPr>
      <w:r>
        <w:t>Investment An investor of another Party or its investments may only own, directly or indirectly, up to 49 percent of the ownership interest in an enterprise established or to be established in the territory of Mexico performing coastal fishing, fresh water fishing, and fishing in the Exclusive Economic Zone, excluding aquaculture.</w:t>
      </w:r>
    </w:p>
    <w:p>
      <w:pPr>
        <w:pStyle w:val="Normal"/>
      </w:pPr>
      <w:r>
        <w:t>A favorable resolution from the CNIE is required for an investor of another Party or its investments to own, directly or indirectly, more than 49 percent of the ownership interest in an enterprise established or to be established in the territory of Mexico performing fishing on the high seas.</w:t>
      </w:r>
    </w:p>
    <w:p>
      <w:pPr>
        <w:pStyle w:val="Normal"/>
      </w:pPr>
      <w:r>
        <w:t/>
      </w:r>
    </w:p>
    <w:p>
      <w:pPr/>
      <w:r>
        <w:t>Sector: Educational Services</w:t>
      </w:r>
    </w:p>
    <w:p>
      <w:pPr/>
      <w:r>
        <w:t>Sub-</w:t>
      </w:r>
    </w:p>
    <w:p>
      <w:pPr/>
      <w:r>
        <w:t>Sector: Private schools Industry Classification: CMAP 921101 Private Pre-school Educational Services CMAP 921102 Private Primary Educational Services CMAP 921103 Private Secondary Educational Services CMAP 921104 Private High School Educational Services CMAP 921105 Private Higher Education Services CMAP 921106 Private Education Services that Combine Pre school, Primary, Secondary, High School and Higher Education Levels</w:t>
      </w:r>
    </w:p>
    <w:p>
      <w:pPr/>
      <w:r>
        <w:t>Obligations Concerned: National Treatment (Article 14.4)</w:t>
      </w:r>
    </w:p>
    <w:p>
      <w:pPr/>
      <w:r>
        <w:t>Level of Government: Central</w:t>
      </w:r>
    </w:p>
    <w:p>
      <w:pPr/>
      <w:r>
        <w:t>Measures: Foreign Investment Law (Ley de Inversión Extranjera), Title I, Chapter III. Law for the Coordination of Higher Education (Ley para la Coordinación de la Educación Superior), Chapter II. General Law of Education (Ley General de Educación), Chapter III.</w:t>
      </w:r>
    </w:p>
    <w:p>
      <w:pPr/>
      <w:r>
        <w:t>Description: Investment A favorable resolution from the CNIE is required for an investor of another Party or its investments to own, directly or indirectly, more than 49 percent of the ownership interest in an enterprise established or to be established in the territory of Mexico that provides pre-school, primary, secondary, high school, higher, and combined private educational services.</w:t>
      </w:r>
    </w:p>
    <w:p>
      <w:pPr>
        <w:pStyle w:val="Normal"/>
      </w:pPr>
      <w:r>
        <w:t/>
      </w:r>
    </w:p>
    <w:p>
      <w:pPr/>
      <w:r>
        <w:t>Sector: Professional, Technical and Specialized Services</w:t>
      </w:r>
    </w:p>
    <w:p>
      <w:pPr/>
      <w:r>
        <w:t>Sub-</w:t>
      </w:r>
    </w:p>
    <w:p>
      <w:pPr/>
      <w:r>
        <w:t>Sector: Medical services Industry Classification: CMAP 9231 Medical, Dental and Veterinary Services provided by the Private Sector (limited to medical services)</w:t>
      </w:r>
    </w:p>
    <w:p>
      <w:pPr/>
      <w:r>
        <w:t>Obligations Concerned: National Treatment (Article 15.3)</w:t>
      </w:r>
    </w:p>
    <w:p>
      <w:pPr/>
      <w:r>
        <w:t>Level of Government: Central</w:t>
      </w:r>
    </w:p>
    <w:p>
      <w:pPr/>
      <w:r>
        <w:t>Measures: Federal Labor Law (Ley Federal del Trabajo), Chapter I.</w:t>
      </w:r>
    </w:p>
    <w:p>
      <w:pPr/>
      <w:r>
        <w:t>Description: Cross-Border Trade in Services Only a Mexican national licensed as doctor in the territory of Mexico may supply in-house medical services in Mexican enterprises.</w:t>
      </w:r>
    </w:p>
    <w:p>
      <w:pPr>
        <w:pStyle w:val="Normal"/>
      </w:pPr>
      <w:r>
        <w:t/>
      </w:r>
    </w:p>
    <w:p>
      <w:pPr/>
      <w:r>
        <w:t>Sector: Professional, Technical and Specialized Services</w:t>
      </w:r>
    </w:p>
    <w:p>
      <w:pPr/>
      <w:r>
        <w:t>Sub-</w:t>
      </w:r>
    </w:p>
    <w:p>
      <w:pPr/>
      <w:r>
        <w:t>Sector: Specialized personnel Industry Classification: CMAP 951012 Agencies Services of Customs and Representative</w:t>
      </w:r>
    </w:p>
    <w:p>
      <w:pPr/>
      <w:r>
        <w:t>Obligations Concerned: National Treatment (Article 14.4 and Article 15.3)</w:t>
      </w:r>
    </w:p>
    <w:p>
      <w:pPr/>
      <w:r>
        <w:t>Level of Government: Central</w:t>
      </w:r>
    </w:p>
    <w:p>
      <w:pPr/>
      <w:r>
        <w:t>Measures: Customs Law (Ley Aduanera), Title II, Chapters I and III, and Title VII, Chapter I. Foreign Investment Law (Ley de Inversión Extranjera), Title I, Chapter II.</w:t>
      </w:r>
    </w:p>
    <w:p>
      <w:pPr/>
      <w:r>
        <w:t>Description: Investment and Cross-Border Trade in Services Only a Mexican national by birth may be a customs broker. Only a custom broker acting as consignee or legal representative (mandatario) of an importer or exporter, as well as a customs broker’s assignee, may carry out the formalities related to the customs clearance of the goods of such importer or exporter. An investor of another Party or its investments may not participate, directly or indirectly, in a customs broker’s agency.</w:t>
      </w:r>
    </w:p>
    <w:p>
      <w:pPr>
        <w:pStyle w:val="Normal"/>
      </w:pPr>
      <w:r>
        <w:t/>
      </w:r>
    </w:p>
    <w:p>
      <w:pPr/>
      <w:r>
        <w:t>Sector: Professional, Technical and Specialized Services</w:t>
      </w:r>
    </w:p>
    <w:p>
      <w:pPr/>
      <w:r>
        <w:t>Sub-</w:t>
      </w:r>
    </w:p>
    <w:p>
      <w:pPr/>
      <w:r>
        <w:t>Sector: Specialized services (Commercial Notary Public) Industry Classification:</w:t>
      </w:r>
    </w:p>
    <w:p>
      <w:pPr/>
      <w:r>
        <w:t>Obligations Concerned: National Treatment (Article 14.4 and Article 15.3) Local Presence (Article 15.6)</w:t>
      </w:r>
    </w:p>
    <w:p>
      <w:pPr/>
      <w:r>
        <w:t>Level of Government: Central</w:t>
      </w:r>
    </w:p>
    <w:p>
      <w:pPr/>
      <w:r>
        <w:t>Measures: Commercial Notary Public Federal Law (Ley Federal de Correduría Pública), Articles 7, 8, 12 and 15. Regulations to the Commercial Notary Public Federal Law (Reglamento de la Ley Federal de Correduría Pública), Chapter I, and Chapter II, Sections I and II. Foreign Investment Law (Ley de Inversión Extranjera), Title I, Chapter II.</w:t>
      </w:r>
    </w:p>
    <w:p>
      <w:pPr/>
      <w:r>
        <w:t>Description: Investment and Cross-Border Trade in Services Only a Mexican national by birth may be licensed commercial notary public (corredor público). to be a A commercial notary public may not have a business affiliation with any person for the supply of commercial notary public services. A commercial notary public shall establish an place where he has been authorized to practice. office in the Only a Mexican national or a Mexican enterprise with foreigners’ exclusion clause may obtain such license.</w:t>
      </w:r>
    </w:p>
    <w:p>
      <w:pPr>
        <w:pStyle w:val="Normal"/>
      </w:pPr>
      <w:r>
        <w:t>Foreign investment may not participate in commercial notary public activities and companies, directly or through trusts, agreements, social pacts, or statutory, pyramiding schemes, or other mechanism that gives it some control or participation.</w:t>
      </w:r>
    </w:p>
    <w:p>
      <w:pPr>
        <w:pStyle w:val="Normal"/>
      </w:pPr>
      <w:r>
        <w:t/>
      </w:r>
    </w:p>
    <w:p>
      <w:pPr/>
      <w:r>
        <w:t>Sector:</w:t>
      </w:r>
    </w:p>
    <w:p>
      <w:pPr/>
      <w:r>
        <w:t>Sub-</w:t>
      </w:r>
    </w:p>
    <w:p>
      <w:pPr/>
      <w:r>
        <w:t>Sector: Industry Classification:</w:t>
      </w:r>
    </w:p>
    <w:p>
      <w:pPr/>
      <w:r>
        <w:t>Obligations Concerned:</w:t>
      </w:r>
    </w:p>
    <w:p>
      <w:pPr/>
      <w:r>
        <w:t>Level of Government:</w:t>
      </w:r>
    </w:p>
    <w:p>
      <w:pPr/>
      <w:r>
        <w:t>Measures:</w:t>
      </w:r>
    </w:p>
    <w:p>
      <w:pPr/>
      <w:r>
        <w:t>Description: Professional, Technical and Specialized Services Professional services CMAP 951002 Legal Services (including foreign legal consultancy) National Treatment (Article 14.4 and Article 15.3) Most-Favored-Nation Treatment (Article 14.5 and Article 15.4) Central Regulatory Law of Constitutional Article 5th relating to the Practice of Professions in Mexico City (Ley Reglamentaria del Artículo 5º Constitucional, relativo al Ejercicio de las Profesiones en la Ciudad de México), Chapter III, Section III, and Chapter V. Foreign Investment Law (Ley de Inversión Extranjera), Title I, Chapter III. Investment and Cross-Border Trade in Services A favorable resolution from the CNIE is required for an investor of another Party or its investments to own, directly or indirectly, more than 49 percent of the ownership interest in an enterprise established or to be established in the territory of Mexico to supply legal services.</w:t>
      </w:r>
    </w:p>
    <w:p>
      <w:pPr>
        <w:pStyle w:val="Normal"/>
      </w:pPr>
      <w:r>
        <w:t>In the absence of an international agreement on the matter, the professional practice by a foreigner will be subject to reciprocity in the place of residence of the applicant and to compliance with the rest of the requirements established in Mexican laws and regulations. Except as provided for in this entry, only a lawyer licensed in Mexico may have an ownership interest in a law firm established in the territory of Mexico.</w:t>
      </w:r>
    </w:p>
    <w:p>
      <w:pPr>
        <w:pStyle w:val="Normal"/>
      </w:pPr>
      <w:r>
        <w:t>A lawyer licensed to practice in another Party will be permitted to form a partnership with lawyers licensed in Mexico. The number of lawyers licensed to practice in another Party serving as partners in a firm in Mexico may not exceed the number of lawyers licensed in Mexico serving as partners of that firm. Lawyers licensed to practice in another Party may practice and provide legal consultations on Mexican law, whenever they comply with the requirements to practice as a</w:t>
      </w:r>
    </w:p>
    <w:p>
      <w:pPr>
        <w:pStyle w:val="Normal"/>
      </w:pPr>
      <w:r>
        <w:t>lawyer in Mexico. A law firm established by a partnership of lawyers licensed to practice in another Party and lawyers licensed to practice in Mexico may hire lawyers licensed in Mexico as employees. For greater certainty, this entry does not apply to the supply, on a temporary fly-in, fly-out basis or through the use of web based or telecommunications technology, of legal advisory services in foreign law and international law and, in relation to foreign and international law only, legal arbitration and conciliation or mediation services by foreign lawyers.</w:t>
      </w:r>
    </w:p>
    <w:p>
      <w:pPr>
        <w:pStyle w:val="Normal"/>
      </w:pPr>
      <w:r>
        <w:t/>
      </w:r>
    </w:p>
    <w:p>
      <w:pPr/>
      <w:r>
        <w:t>Sector: Professional, Technical and Specialized Services</w:t>
      </w:r>
    </w:p>
    <w:p>
      <w:pPr/>
      <w:r>
        <w:t>Sub-</w:t>
      </w:r>
    </w:p>
    <w:p>
      <w:pPr/>
      <w:r>
        <w:t>Sector: Professional services Industry Classification: CMAP 9510 Provision of Professional, Technical Specialized Services (limited to professional services) and</w:t>
      </w:r>
    </w:p>
    <w:p>
      <w:pPr/>
      <w:r>
        <w:t>Obligations Concerned: National Treatment (Article 15.3) Most-Favored-Nation Treatment (Article 15.4)</w:t>
      </w:r>
    </w:p>
    <w:p>
      <w:pPr/>
      <w:r>
        <w:t>Level of Government: Central</w:t>
      </w:r>
    </w:p>
    <w:p>
      <w:pPr/>
      <w:r>
        <w:t>Measures: Regulatory Law of Constitutional Article 5th relating to the Practice of Professions in Mexico City (Ley reglamentaria del Artículo 5º Constitucional, relativo al Ejercicio de las Profesiones en la Ciudad de México), Chapter III, Section III, and Chapter V. Regulations to the Regulatory Law of Constitutional Article 5th relating to the Practice of Professions in Mexico City (Reglamento de la Ley Reglamentaria del Artículo 5ºConstitucional, relativo al Ejercicio de las Profesiones en la Ciudad de México), Chapter III. Population General Law (Ley General de Población), Chapter III.</w:t>
      </w:r>
    </w:p>
    <w:p>
      <w:pPr/>
      <w:r>
        <w:t>Description: Cross-Border Trade in Services Pursuant to the relevant international treaties of which Mexico is a party, a foreigner may practice in Mexico City the professions set forth in the Regulatory Law of Constitutional th Article 5 relating to the Practice of Professions in Mexico City.</w:t>
      </w:r>
    </w:p>
    <w:p>
      <w:pPr>
        <w:pStyle w:val="Normal"/>
      </w:pPr>
      <w:r>
        <w:t>In the absence of an international treaty on the matter, the professional practice by foreigners will be subject to reciprocity in the place of residence of the applicant and to compliance with the rest of the requirements established in Mexican laws and regulations.</w:t>
      </w:r>
    </w:p>
    <w:p>
      <w:pPr>
        <w:pStyle w:val="Normal"/>
      </w:pPr>
      <w:r>
        <w:t/>
      </w:r>
    </w:p>
    <w:p>
      <w:pPr/>
      <w:r>
        <w:t>Sector: Religious Services</w:t>
      </w:r>
    </w:p>
    <w:p>
      <w:pPr/>
      <w:r>
        <w:t>Sub-</w:t>
      </w:r>
    </w:p>
    <w:p>
      <w:pPr/>
      <w:r>
        <w:t>Sector: Industry Classification: CMAP 929001 Services of Religious Organizations</w:t>
      </w:r>
    </w:p>
    <w:p>
      <w:pPr/>
      <w:r>
        <w:t>Obligations Concerned: Senior Management and Boards of Directors (Article 14.11) Local Presence (Article 15.6)</w:t>
      </w:r>
    </w:p>
    <w:p>
      <w:pPr/>
      <w:r>
        <w:t>Level of Government: Central</w:t>
      </w:r>
    </w:p>
    <w:p>
      <w:pPr/>
      <w:r>
        <w:t>Measures: Religious Associations and Public Worship Law (Ley de Asociaciones Religiosas y Culto Público), Title II, Chapters I and II.</w:t>
      </w:r>
    </w:p>
    <w:p>
      <w:pPr/>
      <w:r>
        <w:t>Description: Investment and Cross-Border Trade in Services Representatives of a religious association in Mexico must be Mexican nationals. A religious association must be an association constituted in accordance with the Religious Associations and Public Worship Law (Ley de Asociaciones Religiosas y Culto Público). A religious association must register with the Ministry of Internal Affairs (Secretaría de Gobernación). To be registered, the religious association must be established in Mexico.</w:t>
      </w:r>
    </w:p>
    <w:p>
      <w:pPr>
        <w:pStyle w:val="Normal"/>
      </w:pPr>
      <w:r>
        <w:t/>
      </w:r>
    </w:p>
    <w:p>
      <w:pPr/>
      <w:r>
        <w:t>Sector: Agriculture Services</w:t>
      </w:r>
    </w:p>
    <w:p>
      <w:pPr/>
      <w:r>
        <w:t>Sub-</w:t>
      </w:r>
    </w:p>
    <w:p>
      <w:pPr/>
      <w:r>
        <w:t>Sector: Industry Classification: CMAP 971010 Provision of Agricultural Services</w:t>
      </w:r>
    </w:p>
    <w:p>
      <w:pPr/>
      <w:r>
        <w:t>Obligations Concerned: National Treatment (Article 15.3) Local Presence (Article 15.6)</w:t>
      </w:r>
    </w:p>
    <w:p>
      <w:pPr/>
      <w:r>
        <w:t>Level of Government: Central</w:t>
      </w:r>
    </w:p>
    <w:p>
      <w:pPr/>
      <w:r>
        <w:t>Measures: Political Constitution of the United Mexican States (Constitución Política de los Estados Unidos Mexicanos), Article 32. Plant Health Federal Law (Ley Federal de Sanidad Vegetal), Title II, Chapter IV. Regulations to the Phytosanitary Law of the United Mexican States (Reglamento de la Ley de Sanidad Fitopecuaria de los Estados Unidos Mexicanos), Chapter VII.</w:t>
      </w:r>
    </w:p>
    <w:p>
      <w:pPr/>
      <w:r>
        <w:t>Description: Cross-Border Trade in Services A concession granted by the Ministry of Agriculture, Livestock, Rural Development, Fishing, and Food (Secretaría de Agricultura, Ganadería, Desarrollo Rural, Pesca y Alimentación, SAGARPA) is required to spray pesticides. Only a Mexican national or a Mexican enterprise may obtain such a concession.</w:t>
      </w:r>
    </w:p>
    <w:p>
      <w:pPr>
        <w:pStyle w:val="Normal"/>
      </w:pPr>
      <w:r>
        <w:t/>
      </w:r>
    </w:p>
    <w:p>
      <w:pPr/>
      <w:r>
        <w:t>Sector: Transportation</w:t>
      </w:r>
    </w:p>
    <w:p>
      <w:pPr/>
      <w:r>
        <w:t>Sub-</w:t>
      </w:r>
    </w:p>
    <w:p>
      <w:pPr/>
      <w:r>
        <w:t>Sector: Air transportation Industry Classification: CMAP 384205 Manufacture, Assembly and Repair of Aircraft (limited to repair of aircrafts)</w:t>
      </w:r>
    </w:p>
    <w:p>
      <w:pPr/>
      <w:r>
        <w:t>Obligations Concerned: Local Presence (Article 15.6)</w:t>
      </w:r>
    </w:p>
    <w:p>
      <w:pPr/>
      <w:r>
        <w:t>Level of Government: Central</w:t>
      </w:r>
    </w:p>
    <w:p>
      <w:pPr/>
      <w:r>
        <w:t>Measures: Civil Aviation Law (Ley de Aviación Civil), Chapter III, Section II. Civil Aviation Regulations (Reglamento de la Ley de Aviación Civil), Chapter VII.</w:t>
      </w:r>
    </w:p>
    <w:p>
      <w:pPr/>
      <w:r>
        <w:t>Description: Cross-Border Trade in Services A permit issued by the SCT is required to establish and operate, or operate and exploit, an aircraft repair facility and centers for teaching and training of personnel. To obtain that permission the interested party must prove that the aircraft repair facilities and centers for teaching and training of personnel have their domicile in Mexico.</w:t>
      </w:r>
    </w:p>
    <w:p>
      <w:pPr>
        <w:pStyle w:val="Normal"/>
      </w:pPr>
      <w:r>
        <w:t/>
      </w:r>
    </w:p>
    <w:p>
      <w:pPr/>
      <w:r>
        <w:t>Sector:</w:t>
      </w:r>
    </w:p>
    <w:p>
      <w:pPr/>
      <w:r>
        <w:t>Sub-</w:t>
      </w:r>
    </w:p>
    <w:p>
      <w:pPr/>
      <w:r>
        <w:t>Sector: Industry Classification:</w:t>
      </w:r>
    </w:p>
    <w:p>
      <w:pPr/>
      <w:r>
        <w:t>Obligations Concerned:</w:t>
      </w:r>
    </w:p>
    <w:p>
      <w:pPr/>
      <w:r>
        <w:t>Level of Government:</w:t>
      </w:r>
    </w:p>
    <w:p>
      <w:pPr/>
      <w:r>
        <w:t>Measures:</w:t>
      </w:r>
    </w:p>
    <w:p>
      <w:pPr/>
      <w:r>
        <w:t>Description: Transportation Air transportation CMAP 973302 Airport and Heliport Management Services National Treatment (Article 14.4) Local Presence (Article 15.6) Central Political Constitution of the United Mexican States (Constitución Política de los Estados Unidos Mexicanos), Article 32. General Means of Communication Law (Ley de Vías Generales de Comunicación), Book I, Chapters I, II and III. Foreign Investment Law (Ley de Inversión Extranjera), Title I, Chapter III. Civil Aviation Law (Ley de Aviación Civil), Chapters I and IV. Airports Law (Ley de Aeropuertos), Chapter III Regulations to the Airports Law (Reglamento de la Ley de Aeropuertos), Title II, Chapters I, II and III. Investment and Cross-Border Trade in Services A concession granted by the SCT is required to construct and operate, or operate, airports and heliports. Only a Mexican enterprise may obtain such a concession.</w:t>
      </w:r>
    </w:p>
    <w:p>
      <w:pPr>
        <w:pStyle w:val="Normal"/>
      </w:pPr>
      <w:r>
        <w:t>A favorable resolution from the CNIE is required for an investor of another Party or its investments to own, directly or indirectly, more than 49 percent of the ownership interest in an enterprise established or to be established in the territory of Mexico that is a concessionaire or permissionaire of airfields for public service.</w:t>
      </w:r>
    </w:p>
    <w:p>
      <w:pPr>
        <w:pStyle w:val="Normal"/>
      </w:pPr>
      <w:r>
        <w:t>When deciding, the CNIE will consider that the national and technological development be favored, and that the sovereign integrity of the Nation be protected.</w:t>
      </w:r>
    </w:p>
    <w:p>
      <w:pPr>
        <w:pStyle w:val="Normal"/>
      </w:pPr>
      <w:r>
        <w:t/>
      </w:r>
    </w:p>
    <w:p>
      <w:pPr/>
      <w:r>
        <w:t>Sector: Transportation</w:t>
      </w:r>
    </w:p>
    <w:p>
      <w:pPr/>
      <w:r>
        <w:t>Sub-</w:t>
      </w:r>
    </w:p>
    <w:p>
      <w:pPr/>
      <w:r>
        <w:t>Sector: Air transportation Industry Classification: CMAP 713001 Scheduled Air Transport Services Domestically Registered Aircraft CMAP 713002 Non-Scheduled Air Transport (Air Taxis) Specialty air services on</w:t>
      </w:r>
    </w:p>
    <w:p>
      <w:pPr/>
      <w:r>
        <w:t>Obligations Concerned: National Treatment (Article 14.4) Senior Management and Boards of Directors (Article 14.11)</w:t>
      </w:r>
    </w:p>
    <w:p>
      <w:pPr/>
      <w:r>
        <w:t>Level of Government: Central</w:t>
      </w:r>
    </w:p>
    <w:p>
      <w:pPr/>
      <w:r>
        <w:t>Measures: Civil Aviation Law (Ley de Aviación Civil), Chapters IX and X Regulations to the Civil Aviation Law (Reglamento de la Ley de Aviación Civil), Title II, Chapter I. Foreign Investment Law (Ley de Inversión Extranjera), Title I, Chapter III. As qualified by the Description element.</w:t>
      </w:r>
    </w:p>
    <w:p>
      <w:pPr/>
      <w:r>
        <w:t>Description: Investment An investor of another Party or its investments may only own, directly or indirectly, up to 49 percent of the voting interests in an enterprise established or to be established in the territory of Mexico that supplies a scheduled and non-scheduled domestic air transport service, a non-scheduled international air transport service in the modality of air taxi, or a specialty air service. The chairman and at least two-thirds of the boards of directors and two-thirds of the managing officers of such an enterprise must be Mexican nationals.</w:t>
      </w:r>
    </w:p>
    <w:p>
      <w:pPr>
        <w:pStyle w:val="Normal"/>
      </w:pPr>
      <w:r>
        <w:t>Only a Mexican national or a Mexican enterprise in which 51 percent of the voting interest is owned or controlled by Mexican nationals and of which the chairman and at least two- thirds of the managing officers are Mexican nationals, may register an aircraft in Mexico.</w:t>
      </w:r>
    </w:p>
    <w:p>
      <w:pPr>
        <w:pStyle w:val="Normal"/>
      </w:pPr>
      <w:r>
        <w:t/>
      </w:r>
    </w:p>
    <w:p>
      <w:pPr/>
      <w:r>
        <w:t>Sector: Transportation</w:t>
      </w:r>
    </w:p>
    <w:p>
      <w:pPr/>
      <w:r>
        <w:t>Sub-</w:t>
      </w:r>
    </w:p>
    <w:p>
      <w:pPr/>
      <w:r>
        <w:t>Sector: Specialty air services Industry Classification:</w:t>
      </w:r>
    </w:p>
    <w:p>
      <w:pPr/>
      <w:r>
        <w:t>Obligations Concerned: Local Presence (Article 15.6)</w:t>
      </w:r>
    </w:p>
    <w:p>
      <w:pPr/>
      <w:r>
        <w:t>Level of Government: Central</w:t>
      </w:r>
    </w:p>
    <w:p>
      <w:pPr/>
      <w:r>
        <w:t>Measures: General Means of Communications Law (Ley de Vías Generales de Comunicación), Book I, Chapter III. Civil Aviation Law (Ley de Aviación Civil), Chapters I, II, IV and IX. As qualified by the Description element</w:t>
      </w:r>
    </w:p>
    <w:p>
      <w:pPr/>
      <w:r>
        <w:t>Description: Cross Border Trade in Services A permit issued by the SCT is required to provide all specialty air services in the territory of Mexico. Such a permit may only be granted when the person interested in the supply of these services has a domicile in the territory of Mexico.</w:t>
      </w:r>
    </w:p>
    <w:p>
      <w:pPr>
        <w:pStyle w:val="Normal"/>
      </w:pPr>
      <w:r>
        <w:t/>
      </w:r>
    </w:p>
    <w:p>
      <w:pPr/>
      <w:r>
        <w:t>Sector: Transportation</w:t>
      </w:r>
    </w:p>
    <w:p>
      <w:pPr/>
      <w:r>
        <w:t>Sub-</w:t>
      </w:r>
    </w:p>
    <w:p>
      <w:pPr/>
      <w:r>
        <w:t>Sector: Water transportation Industry Classification: CMAP 973203 Maritime Port Administration, Lake and Rivers</w:t>
      </w:r>
    </w:p>
    <w:p>
      <w:pPr/>
      <w:r>
        <w:t>Obligations Concerned: National Treatment (Article 14.4)</w:t>
      </w:r>
    </w:p>
    <w:p>
      <w:pPr/>
      <w:r>
        <w:t>Level of Government: Central</w:t>
      </w:r>
    </w:p>
    <w:p>
      <w:pPr/>
      <w:r>
        <w:t>Measures: Ports Law (Ley de Puertos), Chapters IV and V Regulations to the Ports Law (Reglamento de la Ley de Puertos) Title I, Chapters I and VI Foreign Investment Law (Ley de Inversión Extranjera), Title I, Chapter III</w:t>
      </w:r>
    </w:p>
    <w:p>
      <w:pPr/>
      <w:r>
        <w:t>Description: Investment An investor of another Party or its investments may only own, directly or indirectly, up to 49 percent of the ownership interest of a Mexican enterprise authorized to act as an integral port administrator.</w:t>
      </w:r>
    </w:p>
    <w:p>
      <w:pPr>
        <w:pStyle w:val="Normal"/>
      </w:pPr>
      <w:r>
        <w:t/>
      </w:r>
    </w:p>
    <w:p>
      <w:pPr/>
      <w:r>
        <w:t>Sector: Transportation</w:t>
      </w:r>
    </w:p>
    <w:p>
      <w:pPr/>
      <w:r>
        <w:t>Sub-</w:t>
      </w:r>
    </w:p>
    <w:p>
      <w:pPr/>
      <w:r>
        <w:t>Sector: Water transportation Industry Classification: CMAP 384201 Manufacture and Repair of Vessels</w:t>
      </w:r>
    </w:p>
    <w:p>
      <w:pPr/>
      <w:r>
        <w:t>Obligations Concerned: National Treatment (Article 15.3) Local Presence (Article 15.6)</w:t>
      </w:r>
    </w:p>
    <w:p>
      <w:pPr/>
      <w:r>
        <w:t>Level of Government: Central</w:t>
      </w:r>
    </w:p>
    <w:p>
      <w:pPr/>
      <w:r>
        <w:t>Measures: Political Constitution of the United Mexican States (Constitución Política de los Estados Unidos Mexicanos), Article 32. General Means of Communication Law (Ley de Vías Generales de Comunicación), Book I, Chapters I, II and III. Navigation and Maritime Commerce Law (Ley de Navegación y Comercio Marítimos), Title I, Chapter II. Ports Law (Ley de Puertos), Chapter IV.</w:t>
      </w:r>
    </w:p>
    <w:p>
      <w:pPr/>
      <w:r>
        <w:t>Description: Cross-Border Trade in Services A concession granted by the SCT is required to establish and operate, or operate, a shipyard. Only a Mexican national or a Mexican enterprise may obtain such a concession.</w:t>
      </w:r>
    </w:p>
    <w:p>
      <w:pPr>
        <w:pStyle w:val="Normal"/>
      </w:pPr>
      <w:r>
        <w:t/>
      </w:r>
    </w:p>
    <w:p>
      <w:pPr/>
      <w:r>
        <w:t>Sector:</w:t>
      </w:r>
    </w:p>
    <w:p>
      <w:pPr/>
      <w:r>
        <w:t>Sub-</w:t>
      </w:r>
    </w:p>
    <w:p>
      <w:pPr/>
      <w:r>
        <w:t>Sector: Industry Classification:</w:t>
      </w:r>
    </w:p>
    <w:p>
      <w:pPr/>
      <w:r>
        <w:t>Obligations Concerned:</w:t>
      </w:r>
    </w:p>
    <w:p>
      <w:pPr/>
      <w:r>
        <w:t>Level of Government:</w:t>
      </w:r>
    </w:p>
    <w:p>
      <w:pPr/>
      <w:r>
        <w:t>Measures:</w:t>
      </w:r>
    </w:p>
    <w:p>
      <w:pPr/>
      <w:r>
        <w:t>Description: Transportation Water transportation CMAP 973201 Water Transport Loading and Unloading Services (includes operation and maintenance of docks; loading and unloading of vessels at shore-side; marine cargo handling; operation and maintenance of piers; ship and boat cleaning; stevedoring; transfer of cargo between ships and trucks, trains, pipelines and wharves; waterfront terminal operations) National Treatment (Article 14.4 and Article 15.3) Local Presence (Article 15.6) Central Political Constitution of the United Mexican States (Constitución Política de los Estados Unidos Mexicanos), Article 32. Navigation and Maritime Commerce Law (Ley de Navegación y Comercio Marítimos), Title I, Chapter II, and Title II, Chapters IV and V. Ports Law (Ley de Puertos), Chapters II, IV and VI. General Means of Communication Law (Ley de Vías Generales de Comunicación), Book I, Chapters I, II and III. Regulations to the Use and Enjoyment of the Territorial Sea, Water Ways, Beaches, Relevant Federal Coastal Zone and Lands Gained to the Sea (Reglamento para el Uso y Aprovechamiento del Mar Territorial, Vías Navegables, Playas, Zona Federal Marítimo Terrestre y Terrenos Ganados al Mar), Chapter II, Section II. As qualified by the Description element.</w:t>
      </w:r>
    </w:p>
    <w:p>
      <w:pPr>
        <w:pStyle w:val="Normal"/>
      </w:pPr>
      <w:r>
        <w:t>Investment and Cross-Border Trade in Services A favorable resolution from the CNIE is required for an investor of another Party or its investments to own, directly or indirectly, more than 49 percent of the ownership interest in an enterprise, established or to be established in the territory of Mexico supplying port services to vessels for inland navigation such as towing, mooring, and tendering. A concession granted by the SCT is required to build and operate, or operate, maritime and inland port terminals, including docks, cranes, and related facilities. Only a Mexican national and a Mexican enterprise may obtain such a concession.</w:t>
      </w:r>
    </w:p>
    <w:p>
      <w:pPr>
        <w:pStyle w:val="Normal"/>
      </w:pPr>
      <w:r>
        <w:t>A permit issued by the SCT is required to supply stevedoring and warehousing services. Only a Mexican national or a Mexican enterprise may obtain such a permit.</w:t>
      </w:r>
    </w:p>
    <w:p>
      <w:pPr>
        <w:pStyle w:val="Normal"/>
      </w:pPr>
      <w:r>
        <w:t/>
      </w:r>
    </w:p>
    <w:p>
      <w:pPr/>
      <w:r>
        <w:t>Sector: Transportation</w:t>
      </w:r>
    </w:p>
    <w:p>
      <w:pPr/>
      <w:r>
        <w:t>Sub-</w:t>
      </w:r>
    </w:p>
    <w:p>
      <w:pPr/>
      <w:r>
        <w:t>Sector: Water transportation Industry Classification: CMAP 973203 Maritime and Inland (Lake and Rivers Ports Administration)</w:t>
      </w:r>
    </w:p>
    <w:p>
      <w:pPr/>
      <w:r>
        <w:t>Obligations Concerned: National Treatment (Article 14.4)</w:t>
      </w:r>
    </w:p>
    <w:p>
      <w:pPr/>
      <w:r>
        <w:t>Level of Government: Central</w:t>
      </w:r>
    </w:p>
    <w:p>
      <w:pPr/>
      <w:r>
        <w:t>Measures: Navigation and Maritime Commerce Law (Ley de Navegación y Comercio Marítimos), Title III, Chapter III. Foreign Investment Law (Ley de Inversión Extranjera), Title I, Chapter III. Ports Law (Ley de Puertos), Chapters IV and VI.</w:t>
      </w:r>
    </w:p>
    <w:p>
      <w:pPr/>
      <w:r>
        <w:t>Description: Investment An investor of another Party or its investments may only participate, directly or indirectly, up to 49 percent in Mexican enterprises engaged in the supply of piloting port services to vessels operating in inland navigation.</w:t>
      </w:r>
    </w:p>
    <w:p>
      <w:pPr>
        <w:pStyle w:val="Normal"/>
      </w:pPr>
      <w:r>
        <w:t/>
      </w:r>
    </w:p>
    <w:p>
      <w:pPr/>
      <w:r>
        <w:t>Sector:</w:t>
      </w:r>
    </w:p>
    <w:p>
      <w:pPr/>
      <w:r>
        <w:t>Sub-</w:t>
      </w:r>
    </w:p>
    <w:p>
      <w:pPr/>
      <w:r>
        <w:t>Sector: Industry Classification:</w:t>
      </w:r>
    </w:p>
    <w:p>
      <w:pPr/>
      <w:r>
        <w:t>Obligations Concerned:</w:t>
      </w:r>
    </w:p>
    <w:p>
      <w:pPr/>
      <w:r>
        <w:t>Level of Government:</w:t>
      </w:r>
    </w:p>
    <w:p>
      <w:pPr/>
      <w:r>
        <w:t>Measures:</w:t>
      </w:r>
    </w:p>
    <w:p>
      <w:pPr/>
      <w:r>
        <w:t>Description: Transportation Water transportation CMAP 712011 International Maritime Transportation Services CMAP 712012 Cabotage Maritime Services CMAP 712013 International and Cabotage Towing Services CMAP 712021 River and Lake Transportation Services CMAP 712022 Internal Port Water Transportation Services National Treatment (Article 14.4 and Article 15.3) Most-Favored-Nation Treatment (Article 14.5 and Article 15.4) Central Navigation and Maritime Commerce Law (Ley de Navegación y Comercio Marítimos), Title III, Chapter I. Foreign Investment Law (Ley de Inversión Extranjera), Title I, Chapter III. Economic Competition Federal Law (Ley Federal de Competencia Económica), Chapter IV. As qualified by the Description element. Investment and Cross-Border Trade in Services The operation or exploitation of high-seas navigation vessels, including transport and international towing services, is open to ship-owners and vessels of all countries, on the basis of reciprocity according to international treaties.</w:t>
      </w:r>
    </w:p>
    <w:p>
      <w:pPr>
        <w:pStyle w:val="Normal"/>
      </w:pPr>
      <w:r>
        <w:t>With the prior opinion of the Federal Competition Commission (Comisión Federal de Competencia Económica, COFECE), SCT may reserve, totally or partially, certain international high-seas freight transportation services, which could only be carried out by Mexican shipping enterprises with Mexican-flagged vessels or vessels reputed as such when the principles of free competition are not respected or the national economy is affected. For greater certainty the previous sentence does not apply to Canada. The operation and exploitation of cabotage and inland navigation is reserved for Mexican ship-owners with Mexican vessels. When Mexican vessels are not appropriate and available with the same technical conditions, or it is required by the public interest, the SCT may provide temporary navigation permits to operate and exploit to Mexican ship-owners with a foreign vessel in accordance with the following priorities:</w:t>
      </w:r>
    </w:p>
    <w:p>
      <w:pPr>
        <w:pStyle w:val="Normal"/>
      </w:pPr>
      <w:r>
        <w:t>(a) Mexican ship-owner with a foreign vessel under a bareboat charter party; and (b) Mexican ship-owner with a foreign vessel under any type of charter party. The operation and exploitation in inland navigation and cabotage of tourist cruises as well as dredges and maritime devices for the construction, preservation, and operation of ports may be carried out by Mexican or foreign shipping enterprises using Mexican or foreign vessels or maritime devices, on the basis of reciprocity with a Party, endeavoring to give priority to Mexican enterprises and complying with applicable laws. With the prior opinion of the COFECE, the SCT may resolve that totally or partially, certain cabotage or high-seas navigation could only be carried by Mexican shipping enterprises with Mexican vessels or reputed as such in the absence of conditions of effective competition on the relevant market as per the terms of the Economic Competition Federal Law.</w:t>
      </w:r>
    </w:p>
    <w:p>
      <w:pPr>
        <w:pStyle w:val="Normal"/>
      </w:pPr>
      <w:r>
        <w:t>An investor of another Party or its investments may only own, directly or indirectly, up to 49 percent of the ownership interest in a Mexican shipping enterprise or Mexican vessels, established or to be established in the territory of Mexico, which is engaged in the commercial exploitation of vessels for inland and cabotage navigation, excluding tourism cruises and exploitation of dredges and maritime devices for the construction, preservation, and operation of ports.</w:t>
      </w:r>
    </w:p>
    <w:p>
      <w:pPr>
        <w:pStyle w:val="Normal"/>
      </w:pPr>
      <w:r>
        <w:t>A favorable resolution from the CNIE is required for an investor of another Party or its investments to own, directly or indirectly, more than 49 percent of the ownership interest in an enterprise established or to be established in the territory of Mexico engaged in high-seas navigation services and port towing services.</w:t>
      </w:r>
    </w:p>
    <w:p>
      <w:pPr>
        <w:pStyle w:val="Normal"/>
      </w:pPr>
      <w:r>
        <w:t/>
      </w:r>
    </w:p>
    <w:p>
      <w:pPr/>
      <w:r>
        <w:t>Sector: Transportation</w:t>
      </w:r>
    </w:p>
    <w:p>
      <w:pPr/>
      <w:r>
        <w:t>Sub-</w:t>
      </w:r>
    </w:p>
    <w:p>
      <w:pPr/>
      <w:r>
        <w:t>Sector: Non-energy pipelines Industry Classification:</w:t>
      </w:r>
    </w:p>
    <w:p>
      <w:pPr/>
      <w:r>
        <w:t>Obligations Concerned: National Treatment (Article 15.3) Local Presence (Article 15.6)</w:t>
      </w:r>
    </w:p>
    <w:p>
      <w:pPr/>
      <w:r>
        <w:t>Level of Government: Central</w:t>
      </w:r>
    </w:p>
    <w:p>
      <w:pPr/>
      <w:r>
        <w:t>Measures: Political Constitution of the United Mexican States (Constitución Política de los Estados Unidos Mexicanos), Article 32. General Means of Communication Law (Ley de Vías Generales de Comunicación), Book I, Chapters I, II and III. National Waters Law (Ley de Aguas Nacionales), Title I, Chapter II, and Title IV, Chapter II.</w:t>
      </w:r>
    </w:p>
    <w:p>
      <w:pPr/>
      <w:r>
        <w:t>Description: Cross-Border Trade in Services A concession granted by the SCT is required to construct and operate, or operate, pipelines carrying goods other than energy or basic petrochemicals. Only a Mexican national or a Mexican enterprise may obtain such a concession.</w:t>
      </w:r>
    </w:p>
    <w:p>
      <w:pPr>
        <w:pStyle w:val="Normal"/>
      </w:pPr>
      <w:r>
        <w:t/>
      </w:r>
    </w:p>
    <w:p>
      <w:pPr/>
      <w:r>
        <w:t>Sector:</w:t>
      </w:r>
    </w:p>
    <w:p>
      <w:pPr/>
      <w:r>
        <w:t>Sub-</w:t>
      </w:r>
    </w:p>
    <w:p>
      <w:pPr/>
      <w:r>
        <w:t>Sector: Industry Classification:</w:t>
      </w:r>
    </w:p>
    <w:p>
      <w:pPr/>
      <w:r>
        <w:t>Obligations Concerned:</w:t>
      </w:r>
    </w:p>
    <w:p>
      <w:pPr/>
      <w:r>
        <w:t>Level of Government:</w:t>
      </w:r>
    </w:p>
    <w:p>
      <w:pPr/>
      <w:r>
        <w:t>Measures:</w:t>
      </w:r>
    </w:p>
    <w:p>
      <w:pPr/>
      <w:r>
        <w:t>Description: Transportation Railway transportation services CMAP 711101 Railway Transport Services National Treatment (Article 14.4 and Article15.3) Local Presence (Article 15.6) Central Foreign Investment Law (Ley de Inversión Extranjera), Title I, Chapter III. Regulatory Law of the Railway Service (Ley Reglamentaria del Servicio Ferroviario) Chapters I and II, Section III. Regulations to the Railway Service (Reglamento del Servicio Ferroviario), Title I, Chapters I, II and III, Title II, Chapters I and IV, and Title III, Chapter I, Sections I and II. Investment and Cross-Border Trade in Services A favorable resolution from the CNIE is required for an investor of another Party or its investments to participate, directly or indirectly, in more than 49 percent of the ownership interest of an enterprise established or to be established in the territory of Mexico engaged in the construction, operation, and exploitation of railroads deemed general means of communication, or in the supply of railway transportation public service.</w:t>
      </w:r>
    </w:p>
    <w:p>
      <w:pPr>
        <w:pStyle w:val="Normal"/>
      </w:pPr>
      <w:r>
        <w:t>When deciding, the CNIE will consider that the national and technological development be favored, and that the sovereign integrity of the Nation be protected. A concession granted by the SCT is required to build, operate and exploit railway transportation services and to provide railway transportation public service.</w:t>
      </w:r>
    </w:p>
    <w:p>
      <w:pPr>
        <w:pStyle w:val="Normal"/>
      </w:pPr>
      <w:r>
        <w:t>Only a Mexican enterprise may obtain such a concession. A permit issued by the SCT is required to provide auxiliary services; the construction of entry and exit facilities, crossings, and marginal facilities in the right of way; the installation of advertisements and publicity signs in the right of way; and the construction and operation of bridges over railway lines. Only a Mexican national or a Mexican enterprise may obtain such a permit.</w:t>
      </w:r>
    </w:p>
    <w:p>
      <w:pPr>
        <w:pStyle w:val="Normal"/>
      </w:pPr>
      <w:r>
        <w:t/>
      </w:r>
    </w:p>
    <w:p>
      <w:pPr/>
      <w:r>
        <w:t>Sector: Transportation</w:t>
      </w:r>
    </w:p>
    <w:p>
      <w:pPr/>
      <w:r>
        <w:t>Sub-</w:t>
      </w:r>
    </w:p>
    <w:p>
      <w:pPr/>
      <w:r>
        <w:t>Sector: Land transportation Industry Classification: CMAP 973101 Management Services of Passenger Bus Terminals and Auxiliary Services (limited to main bus and truck terminals and bus and truck stations)</w:t>
      </w:r>
    </w:p>
    <w:p>
      <w:pPr/>
      <w:r>
        <w:t>Obligations Concerned: National Treatment (Article 14.4) Most-Favored-Nation Treatment (Article 15.4) Local Presence (Article 15.6)</w:t>
      </w:r>
    </w:p>
    <w:p>
      <w:pPr/>
      <w:r>
        <w:t>Level of Government: Central</w:t>
      </w:r>
    </w:p>
    <w:p>
      <w:pPr/>
      <w:r>
        <w:t>Measures: Roads, Bridges and Federal Road Transport Law (Ley de Caminos, Puentes y Autotransporte Federal), Title I, Chapter III. Regulations to the Enjoyment of the Right of Way of the Federal Roads and Surrounding Zones (Reglamento para el Aprovechamiento del Derecho de Vía de las Carreteras Federales y Zonas Aledañas), Chapters II and IV. Regulations to the Federal Road Transport and Auxiliary Services (Reglamento de Autotransporte Federal y Servicios Auxiliares), Chapter I.</w:t>
      </w:r>
    </w:p>
    <w:p>
      <w:pPr/>
      <w:r>
        <w:t>Description: Cross-Border Trade in Services A permit issued by the SCT is required to establish, or operate, a bus or truck station or terminal. Only a Mexican national or a Mexican enterprise may obtain such a permit. To obtain such permit the interested party must prove that it has its domicile in Mexico.</w:t>
      </w:r>
    </w:p>
    <w:p>
      <w:pPr>
        <w:pStyle w:val="Normal"/>
      </w:pPr>
      <w:r>
        <w:t/>
      </w:r>
    </w:p>
    <w:p>
      <w:pPr/>
      <w:r>
        <w:t>Sector: Transportation</w:t>
      </w:r>
    </w:p>
    <w:p>
      <w:pPr/>
      <w:r>
        <w:t>Sub-</w:t>
      </w:r>
    </w:p>
    <w:p>
      <w:pPr/>
      <w:r>
        <w:t>Sector: Land transportation Industry Classification: CMAP 973102 Management Services of Roads, Bridges and Auxiliary Services</w:t>
      </w:r>
    </w:p>
    <w:p>
      <w:pPr/>
      <w:r>
        <w:t>Obligations Concerned: National Treatment (Article 15.3) Local Presence (Article 15.6)</w:t>
      </w:r>
    </w:p>
    <w:p>
      <w:pPr/>
      <w:r>
        <w:t>Level of Government: Central</w:t>
      </w:r>
    </w:p>
    <w:p>
      <w:pPr/>
      <w:r>
        <w:t>Measures: Political Constitution of the United Mexican States (Constitución Política de los Estados Unidos Mexicanos), Article 32. Roads, Bridges and Federal Road Transport Law (Ley de Caminos, Puentes y Autotransporte Federal), Title I, Chapter III. Regulations to the Federal Road Transport and Auxiliary Services (Reglamento de Autotransporte Federal y Servicios Auxiliares), Chapters I and V.</w:t>
      </w:r>
    </w:p>
    <w:p>
      <w:pPr/>
      <w:r>
        <w:t>Description: Cross-Border Trade in Services A permit granted by the SCT is required to provide auxiliary services to federal road transportation. Only a Mexican national or a Mexican enterprise may obtain such a permit. For greater certainty, auxiliary services are not part of federal road transportation of passengers, tourism, or cargo, but they complement their operation and exploitation.</w:t>
      </w:r>
    </w:p>
    <w:p>
      <w:pPr>
        <w:pStyle w:val="Normal"/>
      </w:pPr>
      <w:r>
        <w:t/>
      </w:r>
    </w:p>
    <w:p>
      <w:pPr/>
      <w:r>
        <w:t>Sector:</w:t>
      </w:r>
    </w:p>
    <w:p>
      <w:pPr/>
      <w:r>
        <w:t>Sub-</w:t>
      </w:r>
    </w:p>
    <w:p>
      <w:pPr/>
      <w:r>
        <w:t>Sector: Industry Classification:</w:t>
      </w:r>
    </w:p>
    <w:p>
      <w:pPr/>
      <w:r>
        <w:t>Obligations Concerned:</w:t>
      </w:r>
    </w:p>
    <w:p>
      <w:pPr/>
      <w:r>
        <w:t>Level of Government:</w:t>
      </w:r>
    </w:p>
    <w:p>
      <w:pPr/>
      <w:r>
        <w:t>Measures:</w:t>
      </w:r>
    </w:p>
    <w:p>
      <w:pPr/>
      <w:r>
        <w:t>Description: Transportation Land transportation CMAP 711201 Construction Materials Transport Services CMAP 711202 Moving Services CMAP 711203 Other Specialized Freight Transport Services CMAP 711204 General Freight Transport Services CMAP 711311 Long-Distance Passenger Bus and Coach Transport Services CMAP 711318 School and Tourist Transport Services (limited to tourist transport services) CMAP 720002 Courier services National Treatment (Article 14.4 and Article 15.3) Local Presence (Article 15.6) Central Foreign Investment Law (Ley de Inversión Extranjera), Title I, Chapter II. Roads, Bridges and Federal Road Transport Law (Ley de Caminos, Puentes y Autotransporte Federal), Title I, Chapter I and III. Regulations to the Federal Road Transport and Auxiliary Services (Reglamento de Autotransporte Federal y Servicios Auxiliares), Chapter I. As qualified by the Description element.</w:t>
      </w:r>
    </w:p>
    <w:p>
      <w:pPr>
        <w:pStyle w:val="Normal"/>
      </w:pPr>
      <w:r>
        <w:t>Investment and Cross-Border Trade in Services An investor of another Party or its investments may not own, directly or indirectly, an ownership interest in an enterprise established or to be established in the territory of Mexico, engaged in transportation services of domestic cargo between points in the territory of Mexico, except for parcel and courier services. A permit issued by the SCT is required to supply a road transportation service of cargo, passengers, or tourism.</w:t>
      </w:r>
    </w:p>
    <w:p>
      <w:pPr>
        <w:pStyle w:val="Normal"/>
      </w:pPr>
      <w:r>
        <w:t>An investor of another Party or its investments may own up to 100 percent of the ownership interest in an enterprise established or to be established in the territory of Mexico to supply an inter-city bus service, a tourist transportation service or a road transportation service of international cargo between points in the territory of Mexico.</w:t>
      </w:r>
    </w:p>
    <w:p>
      <w:pPr>
        <w:pStyle w:val="Normal"/>
      </w:pPr>
      <w:r>
        <w:t>Only a Mexican national or a Mexican enterprise with a foreigners’ exclusion clause, using Mexican registered equipment that is Mexican-built or legally imported, and drivers who are Mexican nationals, may supply a road transportation service of domestic cargo services between points in the territory of Mexico. A permit issued by the SCT is required to supply parcel and courier services. Only a Mexican national and a Mexican enterprise may supply such services.</w:t>
      </w:r>
    </w:p>
    <w:p>
      <w:pPr>
        <w:pStyle w:val="Normal"/>
      </w:pPr>
      <w:r>
        <w:t/>
      </w:r>
    </w:p>
    <w:p>
      <w:pPr/>
      <w:r>
        <w:t>Sector: Transportation</w:t>
      </w:r>
    </w:p>
    <w:p>
      <w:pPr/>
      <w:r>
        <w:t>Sub-</w:t>
      </w:r>
    </w:p>
    <w:p>
      <w:pPr/>
      <w:r>
        <w:t>Sector: Railway transportation services Industry Classification: CMAP 711101 Transport Services Via Railway (limited to railway crew)</w:t>
      </w:r>
    </w:p>
    <w:p>
      <w:pPr/>
      <w:r>
        <w:t>Obligations Concerned: National Treatment (Article 15.3)</w:t>
      </w:r>
    </w:p>
    <w:p>
      <w:pPr/>
      <w:r>
        <w:t>Level of Government: Central</w:t>
      </w:r>
    </w:p>
    <w:p>
      <w:pPr/>
      <w:r>
        <w:t>Measures: Federal Labor Law (Ley Federal del Trabajo), Title VI, Chapter V.</w:t>
      </w:r>
    </w:p>
    <w:p>
      <w:pPr/>
      <w:r>
        <w:t>Description: Cross-Border Trade in Services Railway crew members must be Mexican nationals.</w:t>
      </w:r>
    </w:p>
    <w:p>
      <w:pPr>
        <w:pStyle w:val="Normal"/>
      </w:pPr>
      <w:r>
        <w:t/>
      </w:r>
    </w:p>
    <w:p>
      <w:pPr/>
      <w:r>
        <w:t>Sector: Transportation</w:t>
      </w:r>
    </w:p>
    <w:p>
      <w:pPr/>
      <w:r>
        <w:t>Sub-</w:t>
      </w:r>
    </w:p>
    <w:p>
      <w:pPr/>
      <w:r>
        <w:t>Sector: Land transportation Industry Classification: CMAP 711312 Urban and Suburban Passenger Bus and Coach Transport Services CMAP 711315 Motor Vehicle Taxi Transport Services CMAP 711316 Motor Vehicle Fixed Route Transport Services CMAP 711317 Transport Services in Motor Vehicles from Taxi-Ranks CMAP 711318 School and Tourist Transport Services (limited to school transport services)</w:t>
      </w:r>
    </w:p>
    <w:p>
      <w:pPr/>
      <w:r>
        <w:t>Obligations Concerned: National Treatment (Article 14.4 and Article15.3)</w:t>
      </w:r>
    </w:p>
    <w:p>
      <w:pPr/>
      <w:r>
        <w:t>Level of Government: Central</w:t>
      </w:r>
    </w:p>
    <w:p>
      <w:pPr/>
      <w:r>
        <w:t>Measures: Foreign Investment Law (Ley de Inversión Extranjera), Title I, Chapter II. General Means of Communication Law (Ley de Vías Generales de Comunicación), Book I, Chapters I and II. Roads, Bridges and Federal Road Transport Law (Ley de Caminos, Puentes y Autotransporte Federal), Title I, Chapter III. Regulations to the Federal Road Transport and Auxiliary Services (Reglamento de Autotransporte Federal y Servicios Auxiliares), Chapter I.</w:t>
      </w:r>
    </w:p>
    <w:p>
      <w:pPr/>
      <w:r>
        <w:t>Description: Investment and Cross-Border Trade in Services Only a Mexican national or a Mexican enterprise with a foreigners’ exclusion clause may supply local urban and suburban passenger bus services, school bus services, and taxi and other collective transportation services.</w:t>
      </w:r>
    </w:p>
    <w:p>
      <w:pPr>
        <w:pStyle w:val="Normal"/>
      </w:pPr>
      <w:r>
        <w:t/>
      </w:r>
    </w:p>
    <w:p>
      <w:pPr/>
      <w:r>
        <w:t>Sector: Communications</w:t>
      </w:r>
    </w:p>
    <w:p>
      <w:pPr/>
      <w:r>
        <w:t>Sub-</w:t>
      </w:r>
    </w:p>
    <w:p>
      <w:pPr/>
      <w:r>
        <w:t>Sector: Entertainment services (Cinema) Industry Classification: CMAP 941103 Private Exhibition of Films</w:t>
      </w:r>
    </w:p>
    <w:p>
      <w:pPr/>
      <w:r>
        <w:t>Obligations Concerned: Most-Favored-Nation Treatment (Article 14.5 and Article 15.4) National Treatment (Article 15.3)</w:t>
      </w:r>
    </w:p>
    <w:p>
      <w:pPr/>
      <w:r>
        <w:t>Level of Government: Central</w:t>
      </w:r>
    </w:p>
    <w:p>
      <w:pPr/>
      <w:r>
        <w:t>Measures: Federal Cinematography Law (Ley Federal de Cinematografía), Chapter III. Regulations to the Federal Cinematography Law (Reglamento de la Ley Federal de Cinematografía), Chapter V.</w:t>
      </w:r>
    </w:p>
    <w:p>
      <w:pPr/>
      <w:r>
        <w:t>Description: Investment and Cross-Border Trade in Services Exhibitors shall reserve 10 percent of the total screen time to the projection of national films.</w:t>
      </w:r>
    </w:p>
    <w:p>
      <w:pPr>
        <w:pStyle w:val="Normal"/>
      </w:pPr>
      <w:r>
        <w:t/>
      </w:r>
    </w:p>
    <w:p>
      <w:pPr/>
      <w:r>
        <w:t>Sector: All</w:t>
      </w:r>
    </w:p>
    <w:p>
      <w:pPr/>
      <w:r>
        <w:t>Sub-</w:t>
      </w:r>
    </w:p>
    <w:p>
      <w:pPr/>
      <w:r>
        <w:t>Sector: Industry Classification:</w:t>
      </w:r>
    </w:p>
    <w:p>
      <w:pPr/>
      <w:r>
        <w:t>Obligations Concerned: National Treatment (Article 14.4 and Article 15.3) Most-Favored-Nation Treatment (Article 14.5 and Article 15.4) Performance Requirements (Article 14.10) Senior Management and Boards of Directors (Article 14.11) Local Presence (Article 15.6)</w:t>
      </w:r>
    </w:p>
    <w:p>
      <w:pPr/>
      <w:r>
        <w:t>Level of Government: Regional</w:t>
      </w:r>
    </w:p>
    <w:p>
      <w:pPr/>
      <w:r>
        <w:t>Measures: All existing non-conforming measures of all states of the United Mexican States.</w:t>
      </w:r>
    </w:p>
    <w:p>
      <w:pPr/>
      <w:r>
        <w:t>Description: Investment and Cross-Border Trade in Services</w:t>
      </w:r>
    </w:p>
    <w:p>
      <w:pPr>
        <w:pStyle w:val="Heading1"/>
      </w:pPr>
      <w:bookmarkStart w:id="901527" w:name="_Toc300001526"/>
      <w:r>
        <w:t/>
      </w:r>
      <w:bookmarkEnd w:id="901527"/>
    </w:p>
    <w:p>
      <w:pPr>
        <w:pStyle w:val="Normal"/>
      </w:pPr>
      <w:r>
        <w:t>ANNEX I INTRODUCTORY NOTE 1. Description provides a general, nonbinding description of the measure for which the entry is made. 2. In accordance with Articles 14.12 (Non-Conforming Measures) and 15.7 (Non- Conforming Measures), the articles of this Agreement specified in the Obligations Concerned element of an entry do not apply to the non-conforming aspects of the law, regulation, or other measure identified in the Measures element of that entry.</w:t>
      </w:r>
    </w:p>
    <w:p>
      <w:pPr>
        <w:pStyle w:val="Heading1"/>
      </w:pPr>
      <w:bookmarkStart w:id="901528" w:name="_Toc300001527"/>
      <w:r>
        <w:t/>
      </w:r>
      <w:bookmarkEnd w:id="901528"/>
    </w:p>
    <w:p>
      <w:pPr>
        <w:pStyle w:val="Normal"/>
      </w:pPr>
      <w:r>
        <w:t>ANNEX I SCHEDULE OF THE UNITED STATES</w:t>
      </w:r>
    </w:p>
    <w:p>
      <w:pPr/>
      <w:r>
        <w:t>Sector: Atomic Energy</w:t>
      </w:r>
    </w:p>
    <w:p>
      <w:pPr/>
      <w:r>
        <w:t>Sub-</w:t>
      </w:r>
    </w:p>
    <w:p>
      <w:pPr/>
      <w:r>
        <w:t>Sector:</w:t>
      </w:r>
    </w:p>
    <w:p>
      <w:pPr/>
      <w:r>
        <w:t>Obligations Concerned: National Treatment (Article 14.4)</w:t>
      </w:r>
    </w:p>
    <w:p>
      <w:pPr/>
      <w:r>
        <w:t>Level of Government: Central</w:t>
      </w:r>
    </w:p>
    <w:p>
      <w:pPr/>
      <w:r>
        <w:t>Measures: Atomic Energy Act of 1954, 42 U.S.C. §§ 2011 et seq.</w:t>
      </w:r>
    </w:p>
    <w:p>
      <w:pPr/>
      <w:r>
        <w:t>Description: Investment A license issued by the United States Nuclear Regulatory Commission is required for any person in the United States to transfer or receive in interstate commerce, manufacture, produce, transfer, use, import, or export any nuclear “utilization or production facilities” for commercial or industrial purposes. Such a license may not be issued to any entity known or believed to be owned, controlled, or dominated by an alien, a foreign corporation, or a foreign government (42 U.S.C. § 2133(d)). A license issued by the United States Nuclear Regulatory Commission is also required for nuclear “utilization and production facilities”, for use in medical therapy, or for research and development activities. The issuance of such a license to any entity known or believed to be owned, controlled, or dominated by an alien, a foreign corporation, or a foreign government is also prohibited (42 U.S.C. § 2134(d)).</w:t>
      </w:r>
    </w:p>
    <w:p>
      <w:pPr>
        <w:pStyle w:val="Normal"/>
      </w:pPr>
      <w:r>
        <w:t/>
      </w:r>
    </w:p>
    <w:p>
      <w:pPr/>
      <w:r>
        <w:t>Sector:</w:t>
      </w:r>
    </w:p>
    <w:p>
      <w:pPr/>
      <w:r>
        <w:t>Sub-</w:t>
      </w:r>
    </w:p>
    <w:p>
      <w:pPr/>
      <w:r>
        <w:t>Sector:</w:t>
      </w:r>
    </w:p>
    <w:p>
      <w:pPr/>
      <w:r>
        <w:t>Obligations Concerned:</w:t>
      </w:r>
    </w:p>
    <w:p>
      <w:pPr/>
      <w:r>
        <w:t>Level of Government:</w:t>
      </w:r>
    </w:p>
    <w:p>
      <w:pPr/>
      <w:r>
        <w:t>Measures:</w:t>
      </w:r>
    </w:p>
    <w:p>
      <w:pPr/>
      <w:r>
        <w:t>Description: Business Services National Treatment (Article 15.3) Local Presence (Article 15.6) Central Export Trading Company Act of 1982, 15 U.S.C. §§ 4011-4021 Export Trade Certificates of Review, 15 C.F.R. Part 325 Cross-Border Trade in Services Title III of the Export Trading Company Act of 1982 authorizes the Secretary of Commerce to issue “certificates of review” with respect to export conduct. The Act provides for the issuance of a certificate of review where the Secretary determines, and the Attorney General concurs, that the export conduct specified in an application will not have the anticompetitive effects proscribed by the Act. A certificate of review limits the liability under federal and state antitrust laws in engaging in the export conduct certified. Only a “person” as defined by the Act can apply for a certificate of review.</w:t>
      </w:r>
    </w:p>
    <w:p>
      <w:pPr>
        <w:pStyle w:val="Normal"/>
      </w:pPr>
      <w:r>
        <w:t>“</w:t>
      </w:r>
      <w:r>
        <w:t>Person” means “an individual who is a resident of the United States; a partnership that is created under and exists pursuant to the laws of any State or of the United States; a State or local government entity; a corporation, whether organized as a profit or nonprofit corporation, that is created under and exists pursuant to the laws of any State or of the United States; or any association or combination, by contract or other arrangement, between such persons”.</w:t>
      </w:r>
    </w:p>
    <w:p>
      <w:pPr>
        <w:pStyle w:val="Normal"/>
      </w:pPr>
      <w:r>
        <w:t>A foreign national or enterprise may receive the protection provided by a certificate of review by becoming a “member” of a qualified applicant. The regulations define “member” to mean “an entity (U.S. or foreign) that is seeking protection under the certificate with the applicant. A member may be a partner in a partnership or a joint venture; a shareholder of a corporation; or a participant in an association, cooperative, or other form of profit or nonprofit organization or relationship, by contract or other arrangement”.</w:t>
      </w:r>
    </w:p>
    <w:p>
      <w:pPr>
        <w:pStyle w:val="Normal"/>
      </w:pPr>
      <w:r>
        <w:t/>
      </w:r>
    </w:p>
    <w:p>
      <w:pPr/>
      <w:r>
        <w:t>Sector: Business Services</w:t>
      </w:r>
    </w:p>
    <w:p>
      <w:pPr/>
      <w:r>
        <w:t>Sub-</w:t>
      </w:r>
    </w:p>
    <w:p>
      <w:pPr/>
      <w:r>
        <w:t>Sector:</w:t>
      </w:r>
    </w:p>
    <w:p>
      <w:pPr/>
      <w:r>
        <w:t>Obligations Concerned: National Treatment (Article 15.3) Local Presence (Article 15.6)</w:t>
      </w:r>
    </w:p>
    <w:p>
      <w:pPr/>
      <w:r>
        <w:t>Level of Government: Central</w:t>
      </w:r>
    </w:p>
    <w:p>
      <w:pPr/>
      <w:r>
        <w:t>Measures: Export Administration Act of 1979, as amended, 50 U.S.C. App. §§ 2401-2420 International Emergency Economic Powers Act, 50 U.S.C. §§ 1701-1706 Export Administration Regulations, 15 C.F.R. Parts 730-774 Export Control Reform Act of 2018, Pub. L. 115-232, Title 17, subtitle B, 132 Stat. 2208 (2018)</w:t>
      </w:r>
    </w:p>
    <w:p>
      <w:pPr/>
      <w:r>
        <w:t>Description: Cross-Border Trade in Services Certain exports and re-exports of commodities, software, and technology subject to the Export Administration Regulations require a license from the Bureau of Industry and Security, U.S. Department of Commerce (BIS). Certain activities of U.S. persons, wherever located, also require a license from BIS. An application for a license must be made by a person in the United States. In addition, release of controlled technology to a foreign national in the United States is deemed to be an export to the home country of the foreign national and requires the same written authorization from BIS as an export from the territory of the United States.</w:t>
      </w:r>
    </w:p>
    <w:p>
      <w:pPr>
        <w:pStyle w:val="Normal"/>
      </w:pPr>
      <w:r>
        <w:t/>
      </w:r>
    </w:p>
    <w:p>
      <w:pPr/>
      <w:r>
        <w:t>Sector:</w:t>
      </w:r>
    </w:p>
    <w:p>
      <w:pPr/>
      <w:r>
        <w:t>Sub-</w:t>
      </w:r>
    </w:p>
    <w:p>
      <w:pPr/>
      <w:r>
        <w:t>Sector:</w:t>
      </w:r>
    </w:p>
    <w:p>
      <w:pPr/>
      <w:r>
        <w:t>Obligations Concerned:</w:t>
      </w:r>
    </w:p>
    <w:p>
      <w:pPr/>
      <w:r>
        <w:t>Level of Government:</w:t>
      </w:r>
    </w:p>
    <w:p>
      <w:pPr/>
      <w:r>
        <w:t>Measures:</w:t>
      </w:r>
    </w:p>
    <w:p>
      <w:pPr/>
      <w:r>
        <w:t>Description: Mining National Treatment (Article 14.4) Most-Favored-Nation Treatment (Article 14.5) Central Mineral Lands Leasing Act of 1920, 30 U.S.C. Chapter 3A 10 U.S.C. § 7435 Investment Under the Mineral Lands Leasing Act of 1920, aliens and foreign corporations may not acquire rights-of-way for oil or gas pipelines, or pipelines carrying products refined from oil and gas, across on shore federal lands or acquire leases or interests in certain minerals on on-shore federal lands, such as coal or oil. Non-U.S. citizens may own a 100 percent interest in a domestic corporation that acquires a right-of-way for oil or gas pipelines across on-shore federal lands, or that acquires a lease to develop mineral resources on on-shore federal lands, unless the foreign investor’s home country denies similar or like privileges for the mineral or access in question to U.S. citizens or corporations, as compared with the privileges it accords to its own citizens or corporations or to the citizens or corporations of other countries (30 U.S.C. §§ 181, 185(a)). Nationalization is not considered to be denial of similar or like privileges.</w:t>
      </w:r>
    </w:p>
    <w:p>
      <w:pPr>
        <w:pStyle w:val="Normal"/>
      </w:pPr>
      <w:r>
        <w:t>Foreign citizens, or corporations controlled by them, are restricted from obtaining access to federal leases on Naval Petroleum Reserves if the laws, customs, or regulations of their country deny the privilege of leasing public lands to citizens or corporations of the United States (10 U.S.C. § 7435).</w:t>
      </w:r>
    </w:p>
    <w:p>
      <w:pPr>
        <w:pStyle w:val="Normal"/>
      </w:pPr>
      <w:r>
        <w:t/>
      </w:r>
    </w:p>
    <w:p>
      <w:pPr/>
      <w:r>
        <w:t>Sector:</w:t>
      </w:r>
    </w:p>
    <w:p>
      <w:pPr/>
      <w:r>
        <w:t>Sub-</w:t>
      </w:r>
    </w:p>
    <w:p>
      <w:pPr/>
      <w:r>
        <w:t>Sector:</w:t>
      </w:r>
    </w:p>
    <w:p>
      <w:pPr/>
      <w:r>
        <w:t>Obligations Concerned:</w:t>
      </w:r>
    </w:p>
    <w:p>
      <w:pPr/>
      <w:r>
        <w:t>Level of Government:</w:t>
      </w:r>
    </w:p>
    <w:p>
      <w:pPr/>
      <w:r>
        <w:t>Measures:</w:t>
      </w:r>
    </w:p>
    <w:p>
      <w:pPr/>
      <w:r>
        <w:t>Description: All Sectors National Treatment (Article 14.4) Most-Favored-Nation Treatment (Article 14.5) Central 22 U.S.C. §§ 2194 and 2198(c) Investment Overseas Private Investment Corporation (OPIC) programs are not available to non-U.S. citizens as individuals. The availability of these programs to foreign enterprises and foreign owned or controlled domestic enterprises depends upon the extent of U.S. ownership or other U.S. participation, as well as the form of business organization. OPIC insurance and loan guaranties are available only to eligible investors, which are: (i) United States citizens; (ii) corporations, partnerships, or other associations, including non-profit associations, created under the laws of the United States, any state or territory thereof, or the District of Columbia, and substantially beneficially owned by United States citizens; and (iii) foreign partnerships or associations 100 percent owned, or foreign corporations at least 95 percent owned, by one or more such United States citizens, corporations, partnerships, or associations.</w:t>
      </w:r>
    </w:p>
    <w:p>
      <w:pPr>
        <w:pStyle w:val="Normal"/>
      </w:pPr>
      <w:r>
        <w:t>OPIC may issue insurance to investors not otherwise eligible in connection with arrangements with foreign governments (including agencies, instrumentalities, or political subdivisions thereof) or with multilateral organizations and institutions, such as the Multilateral Investment Guarantee Agency, for sharing liabilities assumed under such investment insurance, except that the maximum share of liabilities so assumed may not exceed the proportionate participation by eligible investors in the project.</w:t>
      </w:r>
    </w:p>
    <w:p>
      <w:pPr>
        <w:pStyle w:val="Normal"/>
      </w:pPr>
      <w:r>
        <w:t/>
      </w:r>
    </w:p>
    <w:p>
      <w:pPr/>
      <w:r>
        <w:t>Sector:</w:t>
      </w:r>
    </w:p>
    <w:p>
      <w:pPr/>
      <w:r>
        <w:t>Sub-</w:t>
      </w:r>
    </w:p>
    <w:p>
      <w:pPr/>
      <w:r>
        <w:t>Sector:</w:t>
      </w:r>
    </w:p>
    <w:p>
      <w:pPr/>
      <w:r>
        <w:t>Obligations Concerned:</w:t>
      </w:r>
    </w:p>
    <w:p>
      <w:pPr/>
      <w:r>
        <w:t>Level of Government:</w:t>
      </w:r>
    </w:p>
    <w:p>
      <w:pPr/>
      <w:r>
        <w:t>Measures:</w:t>
      </w:r>
    </w:p>
    <w:p>
      <w:pPr/>
      <w:r>
        <w:t>Description: Air Transportation National Treatment (Article 14.4) Most-Favored-Nation Treatment (Article 14.5) Senior Management and Boards of Directors (Article 14.11) Central 49 U.S.C. Subtitle VII, Aviation Programs 14 C.F.R. Part 297 (foreign freight forwarders); 14 C.F.R. Part 380, Subpart E (registration of foreign (passenger) charter operators) Investment Only air carriers that are “citizens of the United States” may operate aircraft in domestic air service (cabotage) and may provide international scheduled and non-scheduled air service as U.S. air carriers. U.S. citizens also have blanket authority to engage in indirect air transportation activities (air freight forwarding and passenger charter activities other than as actual operators of the aircraft). In order to conduct such activities, non-U.S. citizens must obtain authority from the Department of Transportation. Applications for such authority may be rejected for reasons relating to the failure of effective reciprocity, or if the Department of Transportation finds that it is in the public interest to do so.</w:t>
      </w:r>
    </w:p>
    <w:p>
      <w:pPr>
        <w:pStyle w:val="Normal"/>
      </w:pPr>
      <w:r>
        <w:t>Under 49 U.S.C. § 40102(a)(15), a citizen of the United States means an individual who is a U.S. citizen; a partnership in which each member is a U.S. citizen; or a U.S. corporation of which the president and at least two-thirds of the board of directors and other managing officers are U.S.</w:t>
      </w:r>
    </w:p>
    <w:p>
      <w:pPr>
        <w:pStyle w:val="Normal"/>
      </w:pPr>
      <w:r>
        <w:t>citizens, which is under the actual control of U.S. citizens, and in which at least seventy-five percent of the voting interest in the corporation is owned or controlled by U.S. citizens.</w:t>
      </w:r>
    </w:p>
    <w:p>
      <w:pPr>
        <w:pStyle w:val="Normal"/>
      </w:pPr>
      <w:r>
        <w:t/>
      </w:r>
    </w:p>
    <w:p>
      <w:pPr/>
      <w:r>
        <w:t>Sector:</w:t>
      </w:r>
    </w:p>
    <w:p>
      <w:pPr/>
      <w:r>
        <w:t>Sub-</w:t>
      </w:r>
    </w:p>
    <w:p>
      <w:pPr/>
      <w:r>
        <w:t>Sector:</w:t>
      </w:r>
    </w:p>
    <w:p>
      <w:pPr/>
      <w:r>
        <w:t>Obligations Concerned:</w:t>
      </w:r>
    </w:p>
    <w:p>
      <w:pPr/>
      <w:r>
        <w:t>Level of Government:</w:t>
      </w:r>
    </w:p>
    <w:p>
      <w:pPr/>
      <w:r>
        <w:t>Measures:</w:t>
      </w:r>
    </w:p>
    <w:p>
      <w:pPr/>
      <w:r>
        <w:t>Description: Air Transportation National Treatment (Articles 14.4 and 15.3) Most-Favored-Nation Treatment (Articles 14.5 and 15.4) Senior Management and Boards of Directors (Article 14.11) Central 49 U.S.C., Subtitle VII, Aviation Programs 49 U.S.C. § 41703 14 C.F.R. Part 375 Investment “Foreign civil aircraft” require authority from the Department of Transportation to conduct specialty air services in the territory of the United States. In determining whether to grant a particular application, the Department will consider, among other factors, the extent to which the country of the applicant’s nationality accords U.S. civil aircraft operators effective reciprocity. “Foreign civil aircraft” are aircraft of foreign registry or aircraft of U.S. registry that are owned, controlled, or operated by persons who are not citizens or permanent residents of the United States (14 C.F.R. § 375.1).</w:t>
      </w:r>
    </w:p>
    <w:p>
      <w:pPr>
        <w:pStyle w:val="Normal"/>
      </w:pPr>
      <w:r>
        <w:t>Under 49 U.S.C. § 40102(a)(15), a citizen of the United States means an individual who is a U.S. citizen; a partnership in which each member is a U.S. citizen; or a U.S. corporation of which the president and at least two-thirds of the board of directors and other managing officers are U.S. citizens, which is under the actual control of U.S. citizens, and in which at least seventy-five percent of the voting interest in the corporation is owned or controlled by U.S. citizens.</w:t>
      </w:r>
    </w:p>
    <w:p>
      <w:pPr>
        <w:pStyle w:val="Normal"/>
      </w:pPr>
      <w:r>
        <w:t>Cross-Border Trade in Services Authorization from the Department of Transportation is required for the supply of specialty air services in the territory of the United States. A person of a Party will be able to obtain such an authorization if the Party provides effective reciprocity by virtue of this Agreement.</w:t>
      </w:r>
    </w:p>
    <w:p>
      <w:pPr>
        <w:pStyle w:val="Normal"/>
      </w:pPr>
      <w:r>
        <w:t/>
      </w:r>
    </w:p>
    <w:p>
      <w:pPr/>
      <w:r>
        <w:t>Sector: Land Transportation</w:t>
      </w:r>
    </w:p>
    <w:p>
      <w:pPr/>
      <w:r>
        <w:t>Sub-</w:t>
      </w:r>
    </w:p>
    <w:p>
      <w:pPr/>
      <w:r>
        <w:t>Sector:</w:t>
      </w:r>
    </w:p>
    <w:p>
      <w:pPr/>
      <w:r>
        <w:t>Obligations Concerned: National Treatment (Articles 14.4 and 15.3) Most-Favored-Nation Treatment (Article 14.5 and 15.4) Local Presence (Article 15.6)</w:t>
      </w:r>
    </w:p>
    <w:p>
      <w:pPr/>
      <w:r>
        <w:t>Level of Government: Central</w:t>
      </w:r>
    </w:p>
    <w:p>
      <w:pPr/>
      <w:r>
        <w:t>Measures: 49 U.S.C. § 13902(c) 49 U.S.C. § 13102 49 U.S.C. § 13501 49 C.F.R. Subtitle B, Chapter III Sec. 350, P.L. 107-87, as amended Sec. 6901, P.L. 110-28, as amended</w:t>
      </w:r>
    </w:p>
    <w:p>
      <w:pPr/>
      <w:r>
        <w:t>Description: Investment Grants of authority for the provision of truck services by persons of Mexico between points in the United States for the transportation of goods other than international cargo are subject to reciprocity. Cross-Border Trade in Services and Investment Only persons of the United States, using U.S.-registered and either U.S.-built or duty-paid trucks or buses, may provide truck or bus services between points in the territory of the United States. Operating authority from the Department of Transportation is required to provide cross-border bus or truck services in the territory of the United States. For greater certainty, the United States may maintain the regulatory requirements in 49 C.F.R. Subtitle B, Chapter III, or similar successor regulatory requirements.</w:t>
      </w:r>
    </w:p>
    <w:p>
      <w:pPr>
        <w:pStyle w:val="Normal"/>
      </w:pPr>
      <w:r>
        <w:t/>
      </w:r>
    </w:p>
    <w:p>
      <w:pPr/>
      <w:r>
        <w:t>Sector: Transportation Services - Customs Brokers</w:t>
      </w:r>
    </w:p>
    <w:p>
      <w:pPr/>
      <w:r>
        <w:t>Sub-</w:t>
      </w:r>
    </w:p>
    <w:p>
      <w:pPr/>
      <w:r>
        <w:t>Sector:</w:t>
      </w:r>
    </w:p>
    <w:p>
      <w:pPr/>
      <w:r>
        <w:t>Obligations Concerned: National Treatment (Articles 14.4 and 15.3) Local Presence (Article 15.6)</w:t>
      </w:r>
    </w:p>
    <w:p>
      <w:pPr/>
      <w:r>
        <w:t>Level of Government: Central</w:t>
      </w:r>
    </w:p>
    <w:p>
      <w:pPr/>
      <w:r>
        <w:t>Measures: 19 U.S.C. § 1641(b)</w:t>
      </w:r>
    </w:p>
    <w:p>
      <w:pPr/>
      <w:r>
        <w:t>Description: Cross-Border Trade in Services and Investment A customs broker’s license is required to conduct customs business on behalf of another person. An individual may obtain such a license only if that individual is a U.S. citizen. A corporation, association, or partnership may receive a customs broker’s license only if it is established under the laws of any state and at least one officer of the corporation or association, or one member of the partnership, holds a valid customs broker’s license.</w:t>
      </w:r>
    </w:p>
    <w:p>
      <w:pPr>
        <w:pStyle w:val="Normal"/>
      </w:pPr>
      <w:r>
        <w:t/>
      </w:r>
    </w:p>
    <w:p>
      <w:pPr/>
      <w:r>
        <w:t>Sector: All Sectors</w:t>
      </w:r>
    </w:p>
    <w:p>
      <w:pPr/>
      <w:r>
        <w:t>Sub-</w:t>
      </w:r>
    </w:p>
    <w:p>
      <w:pPr/>
      <w:r>
        <w:t>Sector:</w:t>
      </w:r>
    </w:p>
    <w:p>
      <w:pPr/>
      <w:r>
        <w:t>Obligations Concerned: National Treatment (Article 14.4) Most-Favored-Nation Treatment (Article 14.5)</w:t>
      </w:r>
    </w:p>
    <w:p>
      <w:pPr/>
      <w:r>
        <w:t>Level of Government: Central</w:t>
      </w:r>
    </w:p>
    <w:p>
      <w:pPr/>
      <w:r>
        <w:t>Measures: Securities Act of 1933, 15 U.S.C. §§ 77c(b), 77f, 77g, 77h, 77j, and 77s(a) 17 C.F.R. §§ 230.251 and 230.405 Securities Exchange Act of 1934, 15 U.S.C. §§ 78l, 78m, 78o(d), and 78w(a) 17 C.F.R. § 240.12b-2</w:t>
      </w:r>
    </w:p>
    <w:p>
      <w:pPr/>
      <w:r>
        <w:t>Description: Investment Foreign firms, except for certain Canadian issuers, may not use the small business registration forms under the Securities Act of 1933 to register public offerings of securities or the small business registration forms under the Securities Exchange Act of 1934 to register a class of securities or file annual reports.</w:t>
      </w:r>
    </w:p>
    <w:p>
      <w:pPr>
        <w:pStyle w:val="Normal"/>
      </w:pPr>
      <w:r>
        <w:t/>
      </w:r>
    </w:p>
    <w:p>
      <w:pPr/>
      <w:r>
        <w:t>Sector:</w:t>
      </w:r>
    </w:p>
    <w:p>
      <w:pPr/>
      <w:r>
        <w:t>Sub-</w:t>
      </w:r>
    </w:p>
    <w:p>
      <w:pPr/>
      <w:r>
        <w:t>Sector:</w:t>
      </w:r>
    </w:p>
    <w:p>
      <w:pPr/>
      <w:r>
        <w:t>Obligations Concerned:</w:t>
      </w:r>
    </w:p>
    <w:p>
      <w:pPr/>
      <w:r>
        <w:t>Level of Government:</w:t>
      </w:r>
    </w:p>
    <w:p>
      <w:pPr/>
      <w:r>
        <w:t>Measures:</w:t>
      </w:r>
    </w:p>
    <w:p>
      <w:pPr/>
      <w:r>
        <w:t>Description: Communications – Radiocommunications* National Treatment (Article 14.4) Central 47 U.S.C. § 310 (a)-(b) Foreign Participation Order 12 FCC Rcd 23891, paras. 97-118 (1997) Investment The United States restricts ownership of radio licenses in accordance with the above statutory and regulatory provisions, which provide that, inter alia: (a) no station license may be granted to or held by a foreign government or representative thereof; (b) no broadcast or common carrier or aeronautical en route or aeronautical fixed station license may be granted to or held by: (i) an alien or its representative;</w:t>
      </w:r>
    </w:p>
    <w:p>
      <w:pPr>
        <w:pStyle w:val="Normal"/>
      </w:pPr>
      <w:r>
        <w:t>(ii) a corporation organized under the laws of a foreign government; or (iii) a corporation of which more than one fifth of the capital stock is owned of record or voted by an alien or its representative, a foreign government or its representative, or a corporation organized under the laws of a foreign country; and (c) absent a specific finding that that the public interest would be served by permitting foreign ownership of a broadcast license, no broadcast station license shall be granted to any corporation directly or indirectly controlled by another corporation of which more than one fourth of the capital stock is owned of record or voted by an alien or its representative, a foreign government or its representative, or a corporation organized under the laws of a foreign</w:t>
      </w:r>
    </w:p>
    <w:p>
      <w:pPr>
        <w:pStyle w:val="Normal"/>
      </w:pPr>
      <w:r>
        <w:t>country.</w:t>
      </w:r>
    </w:p>
    <w:p>
      <w:pPr>
        <w:pStyle w:val="Normal"/>
      </w:pPr>
      <w:r>
        <w:t>*Radiocommunications consist of all communications by radio, including broadcasting.</w:t>
      </w:r>
    </w:p>
    <w:p>
      <w:pPr>
        <w:pStyle w:val="Normal"/>
      </w:pPr>
      <w:r>
        <w:t/>
      </w:r>
    </w:p>
    <w:p>
      <w:pPr/>
      <w:r>
        <w:t>Sector:</w:t>
      </w:r>
    </w:p>
    <w:p>
      <w:pPr/>
      <w:r>
        <w:t>Sub-</w:t>
      </w:r>
    </w:p>
    <w:p>
      <w:pPr/>
      <w:r>
        <w:t>Sector:</w:t>
      </w:r>
    </w:p>
    <w:p>
      <w:pPr/>
      <w:r>
        <w:t>Obligations Concerned:</w:t>
      </w:r>
    </w:p>
    <w:p>
      <w:pPr/>
      <w:r>
        <w:t>Level of Government:</w:t>
      </w:r>
    </w:p>
    <w:p>
      <w:pPr/>
      <w:r>
        <w:t>Measures:</w:t>
      </w:r>
    </w:p>
    <w:p>
      <w:pPr/>
      <w:r>
        <w:t>Description: Professional Services - Patent Attorneys, Patent Agents, and Other Practice before the Patent and Trademark Office National Treatment (Article 15.3) Most-Favored-Nation Treatment (Article 15.4) Local Presence (Article 15.6) Central 35 U.S.C. Chapter 3 (practice before the U.S. Patent and Trademark Office) 37 C.F.R. Part 11 (representation of others before the U.S. Patent and Trademark Office) Cross-Border Trade in Services As a condition to be registered to practice for others before the U.S. Patent and Trademark Office (USPTO): (a) a patent attorney must be a U.S. citizen or an alien lawfully residing in the United States (37 C.F.R. § 11.6(a)); (b) a patent agent must be a U.S. citizen, an alien lawfully residing in the United States, or a non-resident who is registered to practice in a country that permits patent agents registered to practice before the USPTO to practice in that country; the latter is permitted to practice for the limited purpose of presenting and prosecuting patent applications of applicants located in the country in which he or she resides (37 C.F.R.</w:t>
      </w:r>
    </w:p>
    <w:p>
      <w:pPr>
        <w:pStyle w:val="Normal"/>
      </w:pPr>
      <w:r>
        <w:t>§11.6(c)); and (c) a practitioner in trademark and non-patent cases must be an attorney licensed in the United States, a “grandfathered” agent, an attorney licensed to practice in a country that accords equivalent treatment to attorneys licensed in the United States, or an agent registered to practice in such a country; the latter two are permitted to practice for the limited purpose of representing parties located in the country in which he or she resides (37 C.F.R. § 11.14(a) (c)).</w:t>
      </w:r>
    </w:p>
    <w:p>
      <w:pPr>
        <w:pStyle w:val="Normal"/>
      </w:pPr>
      <w:r>
        <w:t/>
      </w:r>
    </w:p>
    <w:p>
      <w:pPr/>
      <w:r>
        <w:t>Sector: All Sectors</w:t>
      </w:r>
    </w:p>
    <w:p>
      <w:pPr/>
      <w:r>
        <w:t>Sub-</w:t>
      </w:r>
    </w:p>
    <w:p>
      <w:pPr/>
      <w:r>
        <w:t>Sector:</w:t>
      </w:r>
    </w:p>
    <w:p>
      <w:pPr/>
      <w:r>
        <w:t>Obligations Concerned: National Treatment (Articles 14.4 and 15.3) Most-Favored-Nation Treatment (Articles 14.5 and 15.4) Performance Requirements (Article 14.10) Senior Management and Boards of Directors (Article 14.11) Local Presence (Article 15.6)</w:t>
      </w:r>
    </w:p>
    <w:p>
      <w:pPr/>
      <w:r>
        <w:t>Level of Government: Regional</w:t>
      </w:r>
    </w:p>
    <w:p>
      <w:pPr/>
      <w:r>
        <w:t>Measures: All existing non-conforming measures of all states of the United States, the District of Columbia, and Puerto Rico</w:t>
      </w:r>
    </w:p>
    <w:p>
      <w:pPr/>
      <w:r>
        <w:t>Description: Cross-Border Trade in Services and Investment</w:t>
      </w:r>
    </w:p>
    <w:p>
      <w:pPr>
        <w:pStyle w:val="Heading1"/>
      </w:pPr>
      <w:bookmarkStart w:id="901529" w:name="_Toc300001528"/>
      <w:r>
        <w:t>EXPLANATORY NOTE</w:t>
      </w:r>
      <w:bookmarkEnd w:id="901529"/>
    </w:p>
    <w:p>
      <w:pPr>
        <w:pStyle w:val="Normal"/>
      </w:pPr>
      <w:r>
        <w:t>ANNEX II 1. The Schedule of a Party to this Annex sets out, pursuant to Articles 14.12 (Non- Conforming Measures) and 15.7 (Non-Conforming Measures), the specific sectors, subsectors, or activities for which that Party may maintain existing, or adopt new or more restrictive, measures that do not conform with obligations imposed by: (a) Article 14.4 (National Treatment) or 15.3 (National Treatment); (b) Article 14.5 (Most-Favored-Nation Treatment) or 15.4 (Most-Favored-Nation Treatment); (c) Article 14.10 (Performance Requirements); (d) Article 14.11 (Senior Management and Boards of Directors); (e) Article 15.5 (Market Access); or (f) Article 15.6 (Local Presence). 2. Each Schedule entry sets out the following elements: (a) Sector refers to the sector for which the entry is made; (b) Sub-Sector, where referenced, refers to the specific subsector for which the entry is made; (c) Obligations Concerned specifies the obligation(s) referred to in paragraph 1 that, pursuant to Articles 14.12.1(a) (Non-Conforming Measures) and 15.7.1(a) (Non- Conforming Measures), do not apply to the sectors, subsectors, or activities listed in the entry;</w:t>
      </w:r>
    </w:p>
    <w:p>
      <w:pPr>
        <w:pStyle w:val="Normal"/>
      </w:pPr>
      <w:r>
        <w:t>(d) Description sets out the scope or nature of the sectors, subsectors, or activities covered by the entry to which the reservation applies; and (e) Existing Measures identifies, for transparency purposes, a non-exhaustive list of existing measures that apply to the sectors, subsectors, or activities covered by the entry 3.</w:t>
      </w:r>
    </w:p>
    <w:p>
      <w:pPr>
        <w:pStyle w:val="Normal"/>
      </w:pPr>
      <w:r>
        <w:t>In accordance with Articles 14.12.2 (Non-Conforming Measures) and 15.7.2 (Non- Conforming Measures), the articles of this Agreement specified in the Obligations Concerned</w:t>
      </w:r>
    </w:p>
    <w:p>
      <w:pPr>
        <w:pStyle w:val="Normal"/>
      </w:pPr>
      <w:r>
        <w:t>ANNEX II-EXPLANATORY NOTE-1 element of an entry do not apply to the sectors, subsectors, and activities identified in the Description element of that entry.</w:t>
      </w:r>
    </w:p>
    <w:p>
      <w:pPr>
        <w:pStyle w:val="Heading1"/>
      </w:pPr>
      <w:bookmarkStart w:id="901530" w:name="_Toc300001529"/>
      <w:r>
        <w:t>ANNEX II-EXPLANATORY NOTE-2</w:t>
      </w:r>
      <w:bookmarkEnd w:id="901530"/>
    </w:p>
    <w:p>
      <w:pPr>
        <w:pStyle w:val="Normal"/>
      </w:pPr>
      <w:r>
        <w:t>ANNEX II SCHEDULE OF CANADA INTRODUCTORY NOTES In the interpretation of an entry, all elements of the entry shall be considered. The Description element prevails over all other elements.</w:t>
      </w:r>
    </w:p>
    <w:p>
      <w:pPr>
        <w:pStyle w:val="Normal"/>
      </w:pPr>
      <w:r>
        <w:t>Reservation II-C-1</w:t>
      </w:r>
    </w:p>
    <w:p>
      <w:pPr/>
      <w:r>
        <w:t>Sector: Aboriginal Affairs Sub-sector:</w:t>
      </w:r>
    </w:p>
    <w:p>
      <w:pPr/>
      <w:r>
        <w:t>Obligations Concerned: National Treatment (Articles 14.4 and 15.3) Most-Favored-Nation Treatment (Articles 14.5 and 15.4) Performance Requirements (Article 14.10) Senior Management and Boards of Directors (Article 14.11) Local Presence (Article 15.6)</w:t>
      </w:r>
    </w:p>
    <w:p>
      <w:pPr/>
      <w:r>
        <w:t>Description: Investment and Cross-Border Trade in Services Canada reserves the right to adopt or maintain measures conferring rights or preferences to aboriginal peoples. For greater certainty, Canada reserves the right to adopt and maintain measures related to the rights recognized and affirmed by section 35 of the Constitution Act, 1982 or those set out in self-government agreements between a central or regional level of government and indigenous peoples.</w:t>
      </w:r>
    </w:p>
    <w:p>
      <w:pPr/>
      <w:r>
        <w:t>Existing</w:t>
      </w:r>
    </w:p>
    <w:p>
      <w:pPr/>
      <w:r>
        <w:t>Measures: Constitution Act, 1982, being Schedule B of the Canada Act 1982 (U.K.), 1982, c. 11 as well as land claims agreements and self- government agreements that have been implemented by statute.</w:t>
      </w:r>
    </w:p>
    <w:p>
      <w:pPr>
        <w:pStyle w:val="Normal"/>
      </w:pPr>
      <w:r>
        <w:t>Reservation II-C-2</w:t>
      </w:r>
    </w:p>
    <w:p>
      <w:pPr/>
      <w:r>
        <w:t>Sector: All Sectors Sub-sector:</w:t>
      </w:r>
    </w:p>
    <w:p>
      <w:pPr/>
      <w:r>
        <w:t>Obligations Concerned: National Treatment (Article 14.4)</w:t>
      </w:r>
    </w:p>
    <w:p>
      <w:pPr/>
      <w:r>
        <w:t>Description: Investment Canada reserves the right to adopt or maintain a measure relating to residency requirements for the ownership of oceanfront land by an investor of a Party or its investments.</w:t>
      </w:r>
    </w:p>
    <w:p>
      <w:pPr/>
      <w:r>
        <w:t>Existing</w:t>
      </w:r>
    </w:p>
    <w:p>
      <w:pPr/>
      <w:r>
        <w:t>Measures:</w:t>
      </w:r>
    </w:p>
    <w:p>
      <w:pPr>
        <w:pStyle w:val="Normal"/>
      </w:pPr>
      <w:r>
        <w:t>Reservation II-C-3</w:t>
      </w:r>
    </w:p>
    <w:p>
      <w:pPr/>
      <w:r>
        <w:t>Sector: Fisheries</w:t>
      </w:r>
    </w:p>
    <w:p>
      <w:pPr/>
      <w:r>
        <w:t>Sub-</w:t>
      </w:r>
    </w:p>
    <w:p>
      <w:pPr/>
      <w:r>
        <w:t>Sector: Fishing and Services Incidental to Fishing</w:t>
      </w:r>
    </w:p>
    <w:p>
      <w:pPr/>
      <w:r>
        <w:t>Obligations Concerned: National Treatment (Articles 14.4 and 15.3) Most-Favored Nation Treatment (Articles 14.5 and 15.4)</w:t>
      </w:r>
    </w:p>
    <w:p>
      <w:pPr/>
      <w:r>
        <w:t>Description: Investment and Cross-Border Trade in Services Canada reserves the right to adopt or maintain any measure with respect to licensing fishing or fishing related activities, including entry of foreign fishing vessels to Canada’s exclusive economic zone, territorial sea, internal waters or ports, and use of any services therein.</w:t>
      </w:r>
    </w:p>
    <w:p>
      <w:pPr/>
      <w:r>
        <w:t>Existing</w:t>
      </w:r>
    </w:p>
    <w:p>
      <w:pPr/>
      <w:r>
        <w:t>Measures: Fisheries Act, R.S.C. 1985, c. F14 Coastal Fisheries Protection Act, R.S.C. 1985, c.33 Coastal Fisheries Protection Regulations, C.R.C. 1978, c. 413 Commercial Fisheries Licensing Policy Policy on Foreign Investment in the Canadian Fisheries Sector,</w:t>
      </w:r>
    </w:p>
    <w:p>
      <w:pPr>
        <w:pStyle w:val="Normal"/>
      </w:pPr>
      <w:r>
        <w:t>Reservation II-C-4</w:t>
      </w:r>
    </w:p>
    <w:p>
      <w:pPr/>
      <w:r>
        <w:t>Sector: Government Finance Sub-sector: Securities</w:t>
      </w:r>
    </w:p>
    <w:p>
      <w:pPr/>
      <w:r>
        <w:t>Obligations Concerned: National Treatment (Article 14.4)</w:t>
      </w:r>
    </w:p>
    <w:p>
      <w:pPr/>
      <w:r>
        <w:t>Description: Investment Canada reserves the right to adopt or maintain a measure relating to the acquisition, sale or other disposition by a national of a Party of bonds, treasury bills, or other kinds of debt securities issued by the Government of Canada or a Canadian sub-national government.</w:t>
      </w:r>
    </w:p>
    <w:p>
      <w:pPr/>
      <w:r>
        <w:t>Existing</w:t>
      </w:r>
    </w:p>
    <w:p>
      <w:pPr/>
      <w:r>
        <w:t>Measures: Financial Administration Act, R.S.C. 1985, c. F-11</w:t>
      </w:r>
    </w:p>
    <w:p>
      <w:pPr>
        <w:pStyle w:val="Normal"/>
      </w:pPr>
      <w:r>
        <w:t>Reservation II-C-5</w:t>
      </w:r>
    </w:p>
    <w:p>
      <w:pPr/>
      <w:r>
        <w:t>Sector: Minority Affairs Sub-sector:</w:t>
      </w:r>
    </w:p>
    <w:p>
      <w:pPr/>
      <w:r>
        <w:t>Obligations Concerned: National Treatment (Articles 14.4 and 15.3) Performance Requirements (Article 14.10) Senior Management and Boards of Directors (Article 14.11) Local Presence (Article 15.6)</w:t>
      </w:r>
    </w:p>
    <w:p>
      <w:pPr/>
      <w:r>
        <w:t>Description: Investment and Cross-Border Trade in Services Canada reserves the right to conferring rights or privileges disadvantaged minority. adopt or maintain a measure to a socially or economically</w:t>
      </w:r>
    </w:p>
    <w:p>
      <w:pPr/>
      <w:r>
        <w:t>Existing</w:t>
      </w:r>
    </w:p>
    <w:p>
      <w:pPr/>
      <w:r>
        <w:t>Measures:</w:t>
      </w:r>
    </w:p>
    <w:p>
      <w:pPr>
        <w:pStyle w:val="Normal"/>
      </w:pPr>
      <w:r>
        <w:t>Reservation II-C-6</w:t>
      </w:r>
    </w:p>
    <w:p>
      <w:pPr/>
      <w:r>
        <w:t>Sector: Social Services Sub-sector:</w:t>
      </w:r>
    </w:p>
    <w:p>
      <w:pPr/>
      <w:r>
        <w:t>Obligations Concerned: National Treatment (Articles 14.4 and 15.3) Most-Favored-Nation Treatment (Articles 14.5 and 15.4) Performance Requirements (Article 14.10) Senior Management and Boards of Directors (Article 14.11) Local Presence (Article 15.6)</w:t>
      </w:r>
    </w:p>
    <w:p>
      <w:pPr/>
      <w:r>
        <w:t>Description: Investment and Cross-Border Trade in Services Canada reserves the right to adopt or maintain a measure with respect to the supply of public law enforcement and correctional services, as well as the following services to the extent they are social services established or maintained for a public purpose: income security or insurance, social security or insurance, social welfare, public education, public training, health, and child care.</w:t>
      </w:r>
    </w:p>
    <w:p>
      <w:pPr/>
      <w:r>
        <w:t>Existing</w:t>
      </w:r>
    </w:p>
    <w:p>
      <w:pPr/>
      <w:r>
        <w:t>Measures:</w:t>
      </w:r>
    </w:p>
    <w:p>
      <w:pPr>
        <w:pStyle w:val="Normal"/>
      </w:pPr>
      <w:r>
        <w:t>Reservation II-C-7</w:t>
      </w:r>
    </w:p>
    <w:p>
      <w:pPr/>
      <w:r>
        <w:t>Sector: Sub-sector:</w:t>
      </w:r>
    </w:p>
    <w:p>
      <w:pPr/>
      <w:r>
        <w:t>Obligations Concerned:</w:t>
      </w:r>
    </w:p>
    <w:p>
      <w:pPr/>
      <w:r>
        <w:t>Description: Transportation Water Transportation National Treatment (Articles 14.4 and 15.3) Most-Favored-Nation Treatment (Articles 14.5 and 15.4) Performance Requirements (Article 14.10) Senior Management and Boards of Directors (Article 14.11) Local Presence (Article 15.6) Investment and Cross-Border Trade in Services 1. Canada reserves the right to adopt or maintain a measure affecting the investment in or supply of marine cabotage services, including:</w:t>
      </w:r>
    </w:p>
    <w:p>
      <w:pPr>
        <w:pStyle w:val="Normal"/>
      </w:pPr>
      <w:r>
        <w:t>(a) the transportation of goods or passengers by vessel between points in the territory of Canada or above the continental shelf of Canada, directly or by way of a place outside Canada; but with respect to waters above the continental shelf of Canada, the transportation of goods or passengers only in relation to the exploration, exploitation or transportation of the mineral or non-living natural resources of the continental shelf of Canada; and (b) the engaging by vessel in any other marine activity of a commercial nature in the territory of Canada and, with respect to waters above the continental shelf, in such other marine activities of a commercial nature that are in relation to the exploration, exploitation or transportation of the mineral or non-living natural resources of the continental shelf of Canada. 2.</w:t>
      </w:r>
    </w:p>
    <w:p>
      <w:pPr>
        <w:pStyle w:val="Normal"/>
      </w:pPr>
      <w:r>
        <w:t>This reservation relates to, among other things, limitations and conditions for services suppliers entitled to participate in these activities, to criteria for the issuance of a temporary cabotage license to foreign vessels, and to limits on the number of cabotage licenses issued to foreign vessels.</w:t>
      </w:r>
    </w:p>
    <w:p>
      <w:pPr>
        <w:pStyle w:val="Normal"/>
      </w:pPr>
      <w:r>
        <w:t>3. For greater certainty, this reservation applies, among other things, to marine activities of a commercial nature undertaken by or from a vessel, including feeder services and repositioning of empty containers.</w:t>
      </w:r>
    </w:p>
    <w:p>
      <w:pPr/>
      <w:r>
        <w:t>Existing</w:t>
      </w:r>
    </w:p>
    <w:p>
      <w:pPr/>
      <w:r>
        <w:t>Measures: Coasting Trade Act, S.C. 1992, c. 31 Canada Shipping Act, S.C. 2001, c.26 Customs Act, R.S.C. 1985, c.1 (2nd Supp.) Customs and Excise Offshore Application Act, R.S.C. 1985, c. C-53</w:t>
      </w:r>
    </w:p>
    <w:p>
      <w:pPr>
        <w:pStyle w:val="Normal"/>
      </w:pPr>
      <w:r>
        <w:t>Reservation II-C-8</w:t>
      </w:r>
    </w:p>
    <w:p>
      <w:pPr/>
      <w:r>
        <w:t>Sector: Transportation</w:t>
      </w:r>
    </w:p>
    <w:p>
      <w:pPr/>
      <w:r>
        <w:t>Sub-</w:t>
      </w:r>
    </w:p>
    <w:p>
      <w:pPr/>
      <w:r>
        <w:t>Sector: Water Transportation</w:t>
      </w:r>
    </w:p>
    <w:p>
      <w:pPr/>
      <w:r>
        <w:t>Obligations Concerned: Most-Favored-Nation Treatment (Article 15.4)</w:t>
      </w:r>
    </w:p>
    <w:p>
      <w:pPr/>
      <w:r>
        <w:t>Description: Cross-Border Trade in Services Canada reserves the right to adopt or maintain a measure relating to the implementation of an agreement, arrangement, or other formal or informal undertaking with other countries with respect to maritime activities in waters of mutual interest in areas such as pollution control (including double hull requirements for oil tankers), safe navigation, barge inspection standards, water quality, pilotage, salvage, drug abuse control, or maritime communications.</w:t>
      </w:r>
    </w:p>
    <w:p>
      <w:pPr/>
      <w:r>
        <w:t>Existing</w:t>
      </w:r>
    </w:p>
    <w:p>
      <w:pPr/>
      <w:r>
        <w:t>Measures:</w:t>
      </w:r>
    </w:p>
    <w:p>
      <w:pPr>
        <w:pStyle w:val="Normal"/>
      </w:pPr>
      <w:r>
        <w:t>Reservation II-C-9</w:t>
      </w:r>
    </w:p>
    <w:p>
      <w:pPr/>
      <w:r>
        <w:t>Sector: Transportation</w:t>
      </w:r>
    </w:p>
    <w:p>
      <w:pPr/>
      <w:r>
        <w:t>Sub-</w:t>
      </w:r>
    </w:p>
    <w:p>
      <w:pPr/>
      <w:r>
        <w:t>Sector: Water Transportation</w:t>
      </w:r>
    </w:p>
    <w:p>
      <w:pPr/>
      <w:r>
        <w:t>Obligations Concerned: National Treatment (Articles 14.4 and 15.3) Most-Favored-Nation Treatment (Articles 14.5 and 15.4) Performance Requirements (Article 14.10) Senior Management Board of Directors (Article 14.11) Local Presence (Article 15.6)</w:t>
      </w:r>
    </w:p>
    <w:p>
      <w:pPr/>
      <w:r>
        <w:t>Description: Investment and Cross-Border Trade in Services Canada reserves the right to adopt or maintain a measure denying a service provider or investor of the United States, or its investments, the benefits accorded to a service provider or investor of Mexico or any other country, or its investments, in sectors or activities equivalent to those subject to Schedule of the United States, Annex II, page</w:t>
      </w:r>
    </w:p>
    <w:p>
      <w:pPr>
        <w:pStyle w:val="Normal"/>
      </w:pPr>
      <w:bookmarkStart w:id="901531" w:name="_Toc300001530"/>
      <w:r>
        <w:t>.</w:t>
      </w:r>
      <w:bookmarkEnd w:id="901531"/>
    </w:p>
    <w:p>
      <w:pPr/>
      <w:r>
        <w:t>Existing</w:t>
      </w:r>
    </w:p>
    <w:p>
      <w:pPr/>
      <w:r>
        <w:t>Measures:</w:t>
      </w:r>
    </w:p>
    <w:p>
      <w:pPr>
        <w:pStyle w:val="Normal"/>
      </w:pPr>
      <w:r>
        <w:t>Reservation II-C-10</w:t>
      </w:r>
    </w:p>
    <w:p>
      <w:pPr/>
      <w:r>
        <w:t>Sector: Water Transportation Sub-sector: Technical Testing and Analysis Services</w:t>
      </w:r>
    </w:p>
    <w:p>
      <w:pPr/>
      <w:r>
        <w:t>Obligations Concerned: Most-Favored-Nation Treatment (Article 14.5) Local Presence (Article 15.6)</w:t>
      </w:r>
    </w:p>
    <w:p>
      <w:pPr/>
      <w:r>
        <w:t>Description: Investment and Cross-Border Trade in Services 1. Canada reserves the right to adopt or maintain a measure affecting the statutory inspection and certification of a vessel on behalf of Canada. 2. For greater certainty, only a person, classification society or other organization authorized by Canada may carry out statutory inspections and issue Canadian Maritime Documents to Canadian registered vessels and their equipment on behalf of Canada.</w:t>
      </w:r>
    </w:p>
    <w:p>
      <w:pPr/>
      <w:r>
        <w:t>Existing</w:t>
      </w:r>
    </w:p>
    <w:p>
      <w:pPr/>
      <w:r>
        <w:t>Measures:</w:t>
      </w:r>
    </w:p>
    <w:p>
      <w:pPr>
        <w:pStyle w:val="Normal"/>
      </w:pPr>
      <w:r>
        <w:t>Reservation II-C-11</w:t>
      </w:r>
    </w:p>
    <w:p>
      <w:pPr/>
      <w:r>
        <w:t>Sector: All Sectors Sub-sector:</w:t>
      </w:r>
    </w:p>
    <w:p>
      <w:pPr/>
      <w:r>
        <w:t>Obligations Concerned: Most-Favored-Nation Treatment (Articles 14.5 and 15.4)</w:t>
      </w:r>
    </w:p>
    <w:p>
      <w:pPr/>
      <w:r>
        <w:t>Description: Investment and Cross-Border Trade in Services 1. Canada reserves the right to adopt or maintain a measure that accords differential treatment to countries under any bilateral or multilateral international agreement in force or signed prior to the date of entry into force of this Agreement. 2. Canada reserves the right to adopt or maintain a measure that accords differential treatment to countries under any bilateral or multilateral agreement in force or signed after the date of entry into force of this Agreement involving: (a) aviation; (b) fisheries; or (c) maritime matters, including salvage.</w:t>
      </w:r>
    </w:p>
    <w:p>
      <w:pPr/>
      <w:r>
        <w:t>Existing</w:t>
      </w:r>
    </w:p>
    <w:p>
      <w:pPr/>
      <w:r>
        <w:t>Measures:</w:t>
      </w:r>
    </w:p>
    <w:p>
      <w:pPr>
        <w:pStyle w:val="Normal"/>
      </w:pPr>
      <w:r>
        <w:t>Reservation II-C-12</w:t>
      </w:r>
    </w:p>
    <w:p>
      <w:pPr/>
      <w:r>
        <w:t>Sector: All Sub-sector:</w:t>
      </w:r>
    </w:p>
    <w:p>
      <w:pPr/>
      <w:r>
        <w:t>Obligations Concerned: Market Access (Articles 15.5)</w:t>
      </w:r>
    </w:p>
    <w:p>
      <w:pPr/>
      <w:r>
        <w:t>Description: Cross-Border Trade in Services Canada reserves the right to adopt or maintain a measure that is not inconsistent with: (a) Canada’s obligations under Article XVI of GATS; and (b) Canada’s Schedule of Specific Commitments under the GATS (GATS/SC/16, GATS/SC/16/Suppl.1, GATS/SC/16/Suppl.1/Rev.1, GATS/SC/16/Suppl.2, GATS/SC/16/Suppl.2/Rev.1, GATS/SC/16/ Suppl.3, GATS/SC/16/Suppl.4 and GATS/SC/16/Suppl.4/Rev.1). For greater certainty, this entry applies to measures adopted or maintained that affect the supply of a service by a covered investment pursuant to Article 15.5 (Market Access). For purposes of this entry only, Canada’s Schedule of Specific Commitments is modified as indicated in Appendix I.</w:t>
      </w:r>
    </w:p>
    <w:p>
      <w:pPr/>
      <w:r>
        <w:t>Existing</w:t>
      </w:r>
    </w:p>
    <w:p>
      <w:pPr/>
      <w:r>
        <w:t>Measures: 1 For greater certainty, this includes obligations resulting from future amendments to Canada’s Schedule to Article XVI of GATS.</w:t>
      </w:r>
    </w:p>
    <w:p>
      <w:pPr>
        <w:pStyle w:val="Normal"/>
      </w:pPr>
      <w:r>
        <w:t>Appendix I For the following Sectors, Canada’s obligations under Article XVI of GATS are improved as described. Sector/Sub-sector Market Access Improvements Accounting, Auditing, and Under Mode 1 remove: Book-keeping services Auditing - Commercial presence requirement: Nova Scotia. - Citizenship requirement for accreditation: Manitoba and Quebec. - Permanent residence requirement for accreditation: Ontario. Under Mode 2 remove: Auditing - Commercial presence requirement: Nova Scotia. - Citizenship requirement for accreditation: Manitoba and Quebec. - Permanent residence requirement for accreditation: Ontario. Architectural services Under Mode 1 remove: Architects - Citizenship requirement for accreditation: Quebec. Engineering services Under Mode 1 remove: Consulting Engineers - Commercial presence requirement for accreditation: Manitoba. Engineers - Permanent residence requirement for accreditation: Newfoundland and Labrador, Nova Scotia. - Citizenship requirement for accreditation: Quebec. Under Mode 2 remove: Consulting Engineers - Commercial presence requirement for accreditation:</w:t>
      </w:r>
    </w:p>
    <w:p>
      <w:pPr>
        <w:pStyle w:val="Normal"/>
      </w:pPr>
      <w:r>
        <w:t>Manitoba. Engineers - Permanent residence requirement for accreditation: Newfoundland and Labrador, Nova Scotia. - Citizenship requirement for accreditation: Quebec. Integrated engineering services Under Mode 1 remove: Consulting Engineers - Commercial presence requirement for accreditation: Manitoba. Engineers - Permanent residence requirement for accreditation: Newfoundland and Labrador, Nova Scotia. - Citizenship requirement for accreditation: Quebec. Under Mode 2 remove: Consulting Engineers - Commercial presence requirement for accreditation: Manitoba. Engineers - Permanent residence requirement for accreditation: Newfoundland and Labrador, Nova Scotia. - Citizenship requirement for accreditation: Quebec. Urban planning and Under Mode 1 remove: landscape architectural services Community/ Urban Planning - Citizenship requirement for use of title: Quebec. Real estate services Under Mode 1 remove: Chartered Appraisers - Citizenship requirement for use of title: Quebec. Management consulting services Under Mode 1 remove: Agrologists - Citizenship requirement for accreditation: Quebec. Professional Administrators and Certified Management Consultants</w:t>
      </w:r>
    </w:p>
    <w:p>
      <w:pPr>
        <w:pStyle w:val="Normal"/>
      </w:pPr>
      <w:r>
        <w:t>- Citizenship requirement for use of title: Quebec Professional Corporation of Administrators. Industrial Relations Counsellors - Citizenship requirement for use of title: Quebec. Under Mode 2 remove: Agrologists - Citizenship requirement for accreditation: Quebec. Investigation and security services Under Mode 3 remove: Business and Personnel Information Investigations - Foreign ownership restriction to 25 percent in total and 10 percent by any individual holding shares: Ontario. Related scientific and technical consulting services Under Mode 1 remove: Land Surveyors - Citizenship requirement for accreditation: Nova Scotia and Quebec. Subsurface Surveying Services - Citizenship requirement for accreditation: Quebec. Professional Technologist - Citizenship requirement for accreditation: Quebec. Chemists - Citizenship requirement for accreditation: Quebec. Under Mode 2 remove: Land Surveyors - Citizenship requirement for accreditation: Nova Scotia and Quebec. Subsurface Surveying Services - Citizenship requirement for accreditation: Quebec. Other business services Under Mode 1 remove: Certified Translators and Interpreters - Citizenship requirement for use of title: Quebec.</w:t>
      </w:r>
    </w:p>
    <w:p>
      <w:pPr>
        <w:pStyle w:val="Normal"/>
      </w:pPr>
      <w:r>
        <w:t>Under Mode 2 remove: Certified Translators and Interpreters - Citizenship requirement for use of title: Quebec. Under Mode 3 remove: Collection Agencies - Foreign Ownership restriction to 25 percent in total and 10 percent by any individual: Ontario. Courier services Under Mode 3 remove: - Economic needs test (Criteria related to approval include: examination of the adequacy of current levels of service; market conditions establishing the requirement for expanded service; the effect of new entrants on public convenience, including the continuity and quality of service, and the fitness, willingness and ability of the applicant to supply proper service.): Nova Scotia and Manitoba. General construction work Under Mode 3 remove: for civil engineering Construction - An applicant and holder of a water power site development permit must be incorporated in Ontario. Wholesale trade services Under Mode 1 remove: Marketing of Fish Products (Nova Scotia): Nova Scotia residents require ministerial approval to enter into agreements with non-residents.</w:t>
      </w:r>
    </w:p>
    <w:p>
      <w:pPr>
        <w:pStyle w:val="Normal"/>
      </w:pPr>
      <w:r>
        <w:t>Railway passenger and freight transport Under Mode 1 remove: - cabotage limitation Road Passenger Under Mode 3 remove: Transportation Interurban bus transport and scheduled services: - Public convenience and needs test (Criteria related to approval include: examination of the adequacy of current levels of service; market conditions establishing the requirement for expanded service; the effect of new entrants on public convenience, including the continuity and quality of service, and the fitness, willingness and ability of the applicant to supply proper service.): Prince Edward Island.</w:t>
      </w:r>
    </w:p>
    <w:p>
      <w:pPr>
        <w:pStyle w:val="Normal"/>
      </w:pPr>
      <w:r>
        <w:t>Road Freight transportation Under Mode 3 remove: Highway freight transportation - Public convenience and needs test (Criteria related to approval include: examination of the adequacy of current levels of service; market conditions establishing the requirement for expanded service; the effect of new entrants on public convenience, including the continuity and quality of service, and the fitness, willingness and ability of the applicant to supply proper service.): British Columbia, Manitoba, Ontario, Prince Edward Island, Nova Scotia. Telecommunications Under Mode 3 remove: Nova Scotia: no person may vote more than 1,000 shares of Maritime Telegraph and Telephone Ltd.</w:t>
      </w:r>
    </w:p>
    <w:p>
      <w:pPr>
        <w:pStyle w:val="Heading1"/>
      </w:pPr>
      <w:bookmarkStart w:id="901532" w:name="_Toc300001531"/>
      <w:r>
        <w:t/>
      </w:r>
      <w:bookmarkEnd w:id="901532"/>
    </w:p>
    <w:p>
      <w:pPr>
        <w:pStyle w:val="Normal"/>
      </w:pPr>
      <w:r>
        <w:t>ANNEX II SCHEDULE OF MEXICO</w:t>
      </w:r>
    </w:p>
    <w:p>
      <w:pPr/>
      <w:r>
        <w:t>Sector: All</w:t>
      </w:r>
    </w:p>
    <w:p>
      <w:pPr/>
      <w:r>
        <w:t>Sub-</w:t>
      </w:r>
    </w:p>
    <w:p>
      <w:pPr/>
      <w:r>
        <w:t>Sector: Industry Classification:</w:t>
      </w:r>
    </w:p>
    <w:p>
      <w:pPr/>
      <w:r>
        <w:t>Obligations Concerned: National Treatment (Article 15.3)</w:t>
      </w:r>
    </w:p>
    <w:p>
      <w:pPr/>
      <w:r>
        <w:t>Level of Government: Central</w:t>
      </w:r>
    </w:p>
    <w:p>
      <w:pPr/>
      <w:r>
        <w:t>Description: Cross-Border Trade in Services Mexico reserves the right to adopt or maintain any measure restricting the acquisition, sale, or other disposition of bonds, treasury bills, or any other kind of debt security issued by the federal, state, or local governments.</w:t>
      </w:r>
    </w:p>
    <w:p>
      <w:pPr/>
      <w:r>
        <w:t>Existing</w:t>
      </w:r>
    </w:p>
    <w:p>
      <w:pPr/>
      <w:r>
        <w:t>Measures:</w:t>
      </w:r>
    </w:p>
    <w:p>
      <w:pPr>
        <w:pStyle w:val="Normal"/>
      </w:pPr>
      <w:r>
        <w:t/>
      </w:r>
    </w:p>
    <w:p>
      <w:pPr/>
      <w:r>
        <w:t>Sector: Entertainment Services</w:t>
      </w:r>
    </w:p>
    <w:p>
      <w:pPr/>
      <w:r>
        <w:t>Sub-</w:t>
      </w:r>
    </w:p>
    <w:p>
      <w:pPr/>
      <w:r>
        <w:t>Sector: Recreational and leisure services Industry Classification: CMAP 949104 Other Private Recreational and Leisure Services (limited to gambling and betting services)</w:t>
      </w:r>
    </w:p>
    <w:p>
      <w:pPr/>
      <w:r>
        <w:t>Obligations Concerned: National Treatment (Article 14.4 and Article 15.3) Most-Favored-Nation Treatment (Article 14.5 and Article 15.4) Senior Management and Boards of Directors (Article 14.11) Local Presence (Article 15.6)</w:t>
      </w:r>
    </w:p>
    <w:p>
      <w:pPr/>
      <w:r>
        <w:t>Level of Government: Central</w:t>
      </w:r>
    </w:p>
    <w:p>
      <w:pPr/>
      <w:r>
        <w:t>Description: Investment and Cross-Border Trade in Services Mexico reserves the right to adopt or maintain any measure relating to investment in, or the supply of, gambling and betting services.</w:t>
      </w:r>
    </w:p>
    <w:p>
      <w:pPr/>
      <w:r>
        <w:t>Existing</w:t>
      </w:r>
    </w:p>
    <w:p>
      <w:pPr/>
      <w:r>
        <w:t>Measures:</w:t>
      </w:r>
    </w:p>
    <w:p>
      <w:pPr>
        <w:pStyle w:val="Normal"/>
      </w:pPr>
      <w:r>
        <w:t/>
      </w:r>
    </w:p>
    <w:p>
      <w:pPr/>
      <w:r>
        <w:t>Sector: Minority Affairs</w:t>
      </w:r>
    </w:p>
    <w:p>
      <w:pPr/>
      <w:r>
        <w:t>Sub-</w:t>
      </w:r>
    </w:p>
    <w:p>
      <w:pPr/>
      <w:r>
        <w:t>Sector: Industry Classification:</w:t>
      </w:r>
    </w:p>
    <w:p>
      <w:pPr/>
      <w:r>
        <w:t>Obligations Concerned: National Treatment (Article 15.3) Local Presence (Article 15.6)</w:t>
      </w:r>
    </w:p>
    <w:p>
      <w:pPr/>
      <w:r>
        <w:t>Level of Government: Central</w:t>
      </w:r>
    </w:p>
    <w:p>
      <w:pPr/>
      <w:r>
        <w:t>Description: Cross-Border Trade in Services Mexico reserves the right to adopt according rights or preferences to disadvantaged groups. or maintain any measure socially or economically</w:t>
      </w:r>
    </w:p>
    <w:p>
      <w:pPr/>
      <w:r>
        <w:t>Existing</w:t>
      </w:r>
    </w:p>
    <w:p>
      <w:pPr/>
      <w:r>
        <w:t>Measures: Political Constitution of the United Mexican States (Constitución Política de los Estados Unidos Mexicanos), Article 4.</w:t>
      </w:r>
    </w:p>
    <w:p>
      <w:pPr>
        <w:pStyle w:val="Normal"/>
      </w:pPr>
      <w:r>
        <w:t/>
      </w:r>
    </w:p>
    <w:p>
      <w:pPr/>
      <w:r>
        <w:t>Sector: Social Services</w:t>
      </w:r>
    </w:p>
    <w:p>
      <w:pPr/>
      <w:r>
        <w:t>Sub-</w:t>
      </w:r>
    </w:p>
    <w:p>
      <w:pPr/>
      <w:r>
        <w:t>Sector: Industry Classification:</w:t>
      </w:r>
    </w:p>
    <w:p>
      <w:pPr/>
      <w:r>
        <w:t>Obligations Concerned: National Treatment (Article 14.4 and Article 15.3) Most-Favored-Nation Treatment (Article 14.5 and Article 15.4) Performance Requirements (Article 14.10) Senior Management and Boards of Directors (Article 14.11) Local Presence (Article 15.6)</w:t>
      </w:r>
    </w:p>
    <w:p>
      <w:pPr/>
      <w:r>
        <w:t>Level of Government: Central</w:t>
      </w:r>
    </w:p>
    <w:p>
      <w:pPr/>
      <w:r>
        <w:t>Description: Investment and Cross-Border Trade in Services Mexico reserves the right to adopt or maintain any measure with respect to the supply of public law enforcement and correctional services, and the following services to the extent they are social services established or maintained for a public purpose: income security or insurance, social security or insurance, social welfare, public education, public training, health and child care.</w:t>
      </w:r>
    </w:p>
    <w:p>
      <w:pPr/>
      <w:r>
        <w:t>Existing</w:t>
      </w:r>
    </w:p>
    <w:p>
      <w:pPr/>
      <w:r>
        <w:t>Measures: Political Constitution of the United Mexican States (Constitución Política de los Estados Unidos Mexicanos), Articles 4, 17, 18, 25, 26, 28 and 123.</w:t>
      </w:r>
    </w:p>
    <w:p>
      <w:pPr>
        <w:pStyle w:val="Normal"/>
      </w:pPr>
      <w:r>
        <w:t/>
      </w:r>
    </w:p>
    <w:p>
      <w:pPr/>
      <w:r>
        <w:t>Sector:</w:t>
      </w:r>
    </w:p>
    <w:p>
      <w:pPr/>
      <w:r>
        <w:t>Sub-</w:t>
      </w:r>
    </w:p>
    <w:p>
      <w:pPr/>
      <w:r>
        <w:t>Sector: Industry Classification:</w:t>
      </w:r>
    </w:p>
    <w:p>
      <w:pPr/>
      <w:r>
        <w:t>Obligations Concerned:</w:t>
      </w:r>
    </w:p>
    <w:p>
      <w:pPr/>
      <w:r>
        <w:t>Level of Government:</w:t>
      </w:r>
    </w:p>
    <w:p>
      <w:pPr/>
      <w:r>
        <w:t>Description:</w:t>
      </w:r>
    </w:p>
    <w:p>
      <w:pPr/>
      <w:r>
        <w:t>Existing</w:t>
      </w:r>
    </w:p>
    <w:p>
      <w:pPr/>
      <w:r>
        <w:t>Measures:</w:t>
      </w:r>
    </w:p>
    <w:p>
      <w:pPr/>
      <w:r>
        <w:t>Sector:</w:t>
      </w:r>
    </w:p>
    <w:p>
      <w:pPr/>
      <w:r>
        <w:t>Sub-</w:t>
      </w:r>
    </w:p>
    <w:p>
      <w:pPr/>
      <w:r>
        <w:t>Sector: Industry Classification:</w:t>
      </w:r>
    </w:p>
    <w:p>
      <w:pPr/>
      <w:r>
        <w:t>Obligations Concerned: Transportation Specialized personnel CMAP 951023 Other Professional, Technical and Specialized Services (limited to ship captains; aircraft pilots; ship masters; ship machinists; ship mechanics; airport administrators (comandantes de aeródromos); harbor masters; harbor pilots; crew on Mexican flagged vessels or aircrafts) National Treatment (Article 15.3) Most-Favored-Nation Treatment (Article 15.4) Local Presence (Article 15.6) Central Cross-Border Trade in Services Mexico reserves the right to adopt or maintain any measure with respect to specialized personnel. Only Mexican nationals by birth may serve as: (a) captains, pilots, ship masters, machinists, mechanics, and crew members manning vessels or aircraft under the Mexican flag; and (b) harbor pilots, harbor masters, and airport administrators.</w:t>
      </w:r>
    </w:p>
    <w:p>
      <w:pPr>
        <w:pStyle w:val="Normal"/>
      </w:pPr>
      <w:r>
        <w:t>Political Constitution of the United Mexican States (Constitución Política de los Estados Unidos Mexicanos), Article 32 All Telegraph, radiotelegraph and postal services Issuance of bills (currency) and minting of coinage Control, inspection and surveillance of maritime and inland ports Control, inspection and surveillance of airports and heliports National Treatment (Article 14.4) Most-Favored-Nation Treatment (Article 14.5) Performance Requirements (Article 14.10) Senior Management and Boards of Directors (Article 14.11)</w:t>
      </w:r>
    </w:p>
    <w:p>
      <w:pPr>
        <w:pStyle w:val="Normal"/>
      </w:pPr>
      <w:r>
        <w:t/>
      </w:r>
    </w:p>
    <w:p>
      <w:pPr/>
      <w:r>
        <w:t>Level of Government:</w:t>
      </w:r>
    </w:p>
    <w:p>
      <w:pPr/>
      <w:r>
        <w:t>Description:</w:t>
      </w:r>
    </w:p>
    <w:p>
      <w:pPr/>
      <w:r>
        <w:t>Existing</w:t>
      </w:r>
    </w:p>
    <w:p>
      <w:pPr/>
      <w:r>
        <w:t>Measures: Central Investment The activities set out in this list are reserved to the Mexican State, and private equity investment is prohibited under Mexican Law. If Mexico allows private investment to participate in such activities through service contracts, concessions, lending arrangements, or any other type of contractual arrangement, this participation shall not be construed to affect the State’s reservation of those activities. If Mexican law is amended to allow private equity investment in an activity set out in this list, Mexico may impose restrictions on foreign investment participation and those restrictions shall be deemed existing Annex I non-conforming measures and subject to paragraph 1 of Article 14.12 (Non- Conforming Measures). Mexico may also impose restrictions on foreign equity investment participation when selling an asset or ownership interest in an enterprise engaged in activities set out in this list, and those restrictions shall be deemed existing Annex I non-conforming measures and subject to paragraph 1 of Article 14.12 (Non-Conforming Measures). (a) Telegraph, radiotelegraph and postal services;</w:t>
      </w:r>
    </w:p>
    <w:p>
      <w:pPr>
        <w:pStyle w:val="Normal"/>
      </w:pPr>
      <w:r>
        <w:t>(b) Issuance of bills (currency) and minting of coinage; (c) Control, inspection and surveillance of maritime and inland ports; (d) Control, inspection and heliports; and surveillance of airports and (e) Nuclear power. For greater certainty, nuclear power includes radioactive minerals.</w:t>
      </w:r>
    </w:p>
    <w:p>
      <w:pPr>
        <w:pStyle w:val="Normal"/>
      </w:pPr>
      <w:r>
        <w:t>Political Constitution of the United Mexican States (Constitución Política de los Estados Unidos Mexicanos) Articles 25 and 28. Law of the Bank of Mexico (Ley del Banco de México). Law of the House of Currency of Mexico (Ley de la Casa de Moneda de México). United Mexican States Monetary Law (Ley Monetaria de los Estados Unidos Mexicanos).</w:t>
      </w:r>
    </w:p>
    <w:p>
      <w:pPr>
        <w:pStyle w:val="Normal"/>
      </w:pPr>
      <w:r>
        <w:t>Navigation and Maritime Commerce Law (Ley de Navegación y Comercio Marítimos). Ports Law (Ley de Puertos). Airports Law (Ley de Aeropuertos). Federal Telecommunication and Broadcasting Law (Ley Federal de Telecomunicaciones y Radiodifusión). Decree that establish the decentralized agency of Navigation Services in the Mexican Airspace, SENEAM (by its acronym in Spanish) (Decreto que crea el Organismo Desconcentrado de Servicios a la Navegación en el Espacio Aéreo Mexicano, SENEAM). General Means of Communication Law (Ley de Vías Generales de Comunicación). Mexican Postal Service Law (Ley del Servicio Postal Mexicano), Title I, Chapter III. Foreign Investment Law (Ley de Inversión Extranjera).</w:t>
      </w:r>
    </w:p>
    <w:p>
      <w:pPr>
        <w:pStyle w:val="Normal"/>
      </w:pPr>
      <w:r>
        <w:t/>
      </w:r>
    </w:p>
    <w:p>
      <w:pPr/>
      <w:r>
        <w:t>Sector: All</w:t>
      </w:r>
    </w:p>
    <w:p>
      <w:pPr/>
      <w:r>
        <w:t>Sub-</w:t>
      </w:r>
    </w:p>
    <w:p>
      <w:pPr/>
      <w:r>
        <w:t>Sector: Industry Classification:</w:t>
      </w:r>
    </w:p>
    <w:p>
      <w:pPr/>
      <w:r>
        <w:t>Obligations Concerned: Most-Favored-Nation Treatment (Article 14.5)</w:t>
      </w:r>
    </w:p>
    <w:p>
      <w:pPr/>
      <w:r>
        <w:t>Level of Government: Central</w:t>
      </w:r>
    </w:p>
    <w:p>
      <w:pPr/>
      <w:r>
        <w:t>Description: Investment Mexico reserves the right to adopt or maintain any measure granting different treatment to countries accorded under all bilateral or multilateral international agreements in force prior to the date of the entry into force of this Agreement. Mexico reserves the right to adopt or maintain any measure granting different treatment to countries accorded under all international agreements in force or signed after the date of entry into force of this Agreement involving: (a) aviation; (b) fisheries; or (c) maritime matters, including salvage.</w:t>
      </w:r>
    </w:p>
    <w:p>
      <w:pPr/>
      <w:r>
        <w:t>Existing</w:t>
      </w:r>
    </w:p>
    <w:p>
      <w:pPr/>
      <w:r>
        <w:t>Measures:</w:t>
      </w:r>
    </w:p>
    <w:p>
      <w:pPr>
        <w:pStyle w:val="Normal"/>
      </w:pPr>
      <w:r>
        <w:t/>
      </w:r>
    </w:p>
    <w:p>
      <w:pPr/>
      <w:r>
        <w:t>Sector: All</w:t>
      </w:r>
    </w:p>
    <w:p>
      <w:pPr/>
      <w:r>
        <w:t>Sub-</w:t>
      </w:r>
    </w:p>
    <w:p>
      <w:pPr/>
      <w:r>
        <w:t>Sector: Industry Classification:</w:t>
      </w:r>
    </w:p>
    <w:p>
      <w:pPr/>
      <w:r>
        <w:t>Obligations Concerned: Market Access (Article 15.5)</w:t>
      </w:r>
    </w:p>
    <w:p>
      <w:pPr/>
      <w:r>
        <w:t>Level of Government: Central and Regional</w:t>
      </w:r>
    </w:p>
    <w:p>
      <w:pPr/>
      <w:r>
        <w:t>Description: Cross-Border Trade in Services Mexico reserves the right to adopt or maintain any measure related to Article 15.5 (Market Access), except for the following sectors and sub-sectors subject to the limitations and conditions listed below. For the purpose of this entry: (a) “1)” refers to the supply of a service from the territory of one Party into the territory of any other Party; (b) “2)” refers to the supply of a service in the territory of one Party by a person of that Party to a person of the other Party; (c) “3)” refers to the supply of a service in the territory of one Party by an investor of the other Party or a covered investment; and (d) “4)” refers to the supply of a service by a national of one Party, in the territory of any other Party. This entry: (a) applies to the central level of government;</w:t>
      </w:r>
    </w:p>
    <w:p>
      <w:pPr>
        <w:pStyle w:val="Normal"/>
      </w:pPr>
      <w:r>
        <w:t>(b) applies to the regional level of government in accordance with specific commitments of Mexico under the Article XVI of GATS which exist at the date of entry into force of this Agreement; and (c) does not apply to municipal or local level. This entry does not apply to entries listed in Annex I with respect to Article 15.5 (Market Access). Mexico’s limitations on market access in this entry are only those limitations which</w:t>
      </w:r>
    </w:p>
    <w:p>
      <w:pPr>
        <w:pStyle w:val="Normal"/>
      </w:pPr>
      <w:r>
        <w:t>are not discriminatory. Sector or subsector Limitations on market access 1.BUSINESS SERVICES 1. A.</w:t>
      </w:r>
    </w:p>
    <w:p>
      <w:pPr>
        <w:pStyle w:val="Normal"/>
      </w:pPr>
      <w:r>
        <w:t>Professional services a) Legal services (CPC 861) 1), 2) and 3) None 4) Unbound, except as indicated in Chapter 16 (Temporary Entry for Business Persons). b) Accounting, auditing and 1), 2) and 3) None bookkeeping services (CPC 862) 4) Unbound, except as indicated in Chapter 16 (Temporary Entry for Business Persons). d) Consultancy and technical studies 1), 2) and 3) None for architecture (CPC 8671) 4) Unbound, except as indicated in Chapter 16 (Temporary Entry for Business Persons). e) Consultancy and technical services 1), 2) and 3) None for engineering (CPC 8672) 4) Unbound, except as indicated in Chapter 16 (Temporary Entry for Business Persons). f) Integrated engineering services (CPC 1), 2) and 3) None 8673) 4) Unbound, except as indicated in Chapter 16 (Temporary Entry for Business Persons). g) Urban planning and landscape 1), 2) and 3) None architectural services (CPC 8674) 4) Unbound, except as indicated in Chapter 16 (Temporary Entry for Business Persons).</w:t>
      </w:r>
    </w:p>
    <w:p>
      <w:pPr>
        <w:pStyle w:val="Normal"/>
      </w:pPr>
      <w:r>
        <w:t>h) Related scientific and technical 1), 2) and 3) None consulting services (CPC 8675) 4) Unbound, except as indicated in Chapter 16 (Temporary Entry for Business Persons). i) Medical and dental services (CPC 1), 2) and 3) None 9312) 4) Unbound, except as indicated in Chapter 16 (Temporary Entry for Business Persons).</w:t>
      </w:r>
    </w:p>
    <w:p>
      <w:pPr>
        <w:pStyle w:val="Normal"/>
      </w:pPr>
      <w:r>
        <w:t>In order to practice a profession in Mexico, it is necessary to have a degree that has been recognized or confirmed by the Ministry of Public Education (Secretaría de Educación Pública) and also to obtain a profesional license. There are special requirements to be met by engineers, architects, and doctors.</w:t>
      </w:r>
    </w:p>
    <w:p>
      <w:pPr>
        <w:pStyle w:val="Normal"/>
      </w:pPr>
      <w:r>
        <w:t>Sector or subsector Limitations on market access k) Other services Religious services (CPC 95910) 1), 2) and 3) None 4) Unbound, except as indicated in Chapter 16 (Temporary Entry for Business Persons). 1. B. Computer and Related Services a) Consultancy services related to the 1), 2) and 3) None installation of computer hardware (CPC 841) 4) Unbound, except as indicated in Chapter 16 (Temporary Entry for Business Persons). b) Software implementation services 1), 2) and 3) None (CPC 842) 4) Unbound, except as indicated in Chapter 16 (Temporary Entry for Business Persons). c) Data processing services (CPC 843) 1), 2) and 3) None 4) Unbound, except as indicated in Chapter 16 (Temporary Entry for Business Persons). d) Data base services (CPC 844) 1), 2) and 3) None 4) Unbound, except as indicated in Chapter 16 (Temporary Entry for Business Persons). e) Other (CPC 845+849) 1), 2) and 3) None 4) Unbound, except as indicated in Chapter 16 (Temporary Entry for Business Persons). 1. C.</w:t>
      </w:r>
    </w:p>
    <w:p>
      <w:pPr>
        <w:pStyle w:val="Normal"/>
      </w:pPr>
      <w:r>
        <w:t>Research and Development 1), 2) and 3) None Services (CPC 85) (other than research and technological development centres) 4) Unbound, except as indicated in Chapter 16 (Temporary Entry for Business Persons). Research and experimental 1), 2) and 3) None development services on engineering and technology 4) Unbound, except as indicated in Chapter 16 (CPC 85103) (Temporary Entry for Business Persons).</w:t>
      </w:r>
    </w:p>
    <w:p>
      <w:pPr>
        <w:pStyle w:val="Normal"/>
      </w:pPr>
      <w:r>
        <w:t>- Research and development services on 1), 2) and 3) None social sciences and humanities (CPC 852) 4) Unbound, except as indicated in Chapter 16 (Temporary Entry for Business Persons).</w:t>
      </w:r>
    </w:p>
    <w:p>
      <w:pPr>
        <w:pStyle w:val="Normal"/>
      </w:pPr>
      <w:r>
        <w:t>Sector or subsector Limitations on market access 1. D. Real estate services a) Real estate services involving own or 1)Unbound leased property (CPC 821) 2)and 3) None Other than: Real estate services involving own property 4) Unbound, except as indicated in Chapter 16 (Temporary Entry for Business Persons). b) Real estate services on a fee or 1) Unbound contract basis (CPC 822) 2) and 3) None 4) Unbound, except as indicated in Chapter 16 (Temporary Entry for Business Persons). 1. E.</w:t>
      </w:r>
    </w:p>
    <w:p>
      <w:pPr>
        <w:pStyle w:val="Normal"/>
      </w:pPr>
      <w:r>
        <w:t>Rental/Leasing Services without Operators a) Leasing or rental services concerning 1), 2) and 3) None vessels without operator (CPC 83103) 4) Unbound, except as indicated in Chapter 16 (Temporary Entry for Business Persons). b) Leasing or rental services concerning 1), 2) and 3) None aircraft without operator (CPC 83104) 4) Unbound, except as indicated in Chapter 16 (Temporary Entry for Business Persons). c) Leasing or rental services concerning 1)Unbound other means of transport without 2)and 3) None operator (limited to private cars without operator CPC 83101) 4) Unbound, except as indicated in Chapter 16 (Temporary Entry for Business Persons). - Leasing or rental services concerning 1) Unbound means of maritime transport without 2) and 3) None operator 4) Unbound, except as indicated in Chapter 16 (Temporary Entry for Business Persons).</w:t>
      </w:r>
    </w:p>
    <w:p>
      <w:pPr>
        <w:pStyle w:val="Normal"/>
      </w:pPr>
      <w:r>
        <w:t>d) Leasing or rental services concerning 1) Unbound other machinery and equipment without operator: 2) and 3) None 4) Unbound, except as indicated in Chapter 16 (Temporary Entry for Business Persons). Rental services concerning 1), 2) and 3) None agricultural and fishery machinery and equipment (CPC 83106) 4) Unbound, except as indicated in Chapter 16 (Temporary Entry for Business Persons). - Rental services concerning machinery 1), 2) and 3) None</w:t>
      </w:r>
    </w:p>
    <w:p>
      <w:pPr>
        <w:pStyle w:val="Normal"/>
      </w:pPr>
      <w:r>
        <w:t>Sector or subsector Limitations on market access and equipment for industry (CPC 83109) 4) Unbound, except as indicated in Chapter 16 (Temporary Entry for Business Persons). e) Other 1), 2) and 3) None - Rental services concerning electronic 4) Unbound, except as indicated in Chapter 16 equipment for data processing (CPC (Temporary Entry for Business Persons). 83108) - Leasing or rental services concerning 1), 2) and 3) None other personal or household goods (CPC 83209) 4) Unbound, except as indicated in Chapter 16 (Temporary Entry for Business Persons). Rental services concerning office 1), 2) and 3) None equipment and furniture (CPC 83108) 4) Unbound, except as indicated in Chapter 16 (Temporary Entry for Business Persons). Rental services concerning 1), 2) and 3) None televisions, sound equipment, video cassette recorders and musical 4) Unbound, except as indicated in Chapter 16 instruments (CPC 83201) (Temporary Entry for Business Persons).</w:t>
      </w:r>
    </w:p>
    <w:p>
      <w:pPr>
        <w:pStyle w:val="Normal"/>
      </w:pPr>
      <w:r>
        <w:t>Rental services concerning 1), 2) and 3) None professional photographic equipment and projectors (CPC 83209) 4) Unbound, except as indicated in Chapter 16 (Temporary Entry for Business Persons). Rental services concerning other 1), 2) and 3) None machinery, equipment and furniture not mentioned above (CPC 83109) 4) Unbound, except as indicated in Chapter 16 (Temporary Entry for Business Persons). 1. F.</w:t>
      </w:r>
    </w:p>
    <w:p>
      <w:pPr>
        <w:pStyle w:val="Normal"/>
      </w:pPr>
      <w:r>
        <w:t>Other Business Services a) Advertising and related activities 1), 2) and 3) None (excluding broadcasting as well as restricted radio and television services) 4) Unbound, except as indicated in Chapter 16 (CPC 871) (Temporary Entry for Business Persons). b) Market research services (CPC 8640) 1), 2) and 3) None 4) Unbound, except as indicated in Chapter 16 (Temporary Entry for Business Persons). c) Management consulting services 1), 2) and 3) None</w:t>
      </w:r>
    </w:p>
    <w:p>
      <w:pPr>
        <w:pStyle w:val="Normal"/>
      </w:pPr>
      <w:r>
        <w:t>Sector or subsector Limitations on market access (CPC 8650) 4) Unbound, except as indicated in Chapter 16 (Temporary Entry for Business Persons). d) Administrative formalities and 1), 2) and 3) None collection services (CPC 8660) 4) Unbound, except as indicated in Chapter 16 (Temporary Entry for Business Persons). e) Technical testing and analysis 1), 2) and 3) None services (CPC 8676) 4) Unbound, except as indicated in Chapter 16 (Temporary Entry for Business Persons). f) Services incidental to agriculture, 1) and 2) None hunting and forestry 3)None except as indicated in 1.A Unbound, except as indicated in Chapter 16 -Services incidental to agriculture (CPC (Temporary Entry for Business Persons).</w:t>
      </w:r>
    </w:p>
    <w:p>
      <w:pPr>
        <w:pStyle w:val="Normal"/>
      </w:pPr>
      <w:r>
        <w:t>8811 limited to professional services incidental to agriculture) -Services incidental to animal husbandry 1) and 2) None (CPC 8812 limited to professional services incidental to animal husbandry) 3) None except as indicated in 1.A 4) Unbound, except as indicated in Chapter 16 (Temporary Entry for Business Persons). - Services incidental to forestry and logging (CPC 88104) 1) and 2) None 3) None except as indicated in 1.A 4) Unbound, except as indicated in Chapter 16 (Temporary Entry for Business Persons). g) Services incidental to fishing (CPC 1), 2) and 3) None 882) 4) Unbound except as indicated in Temporary Entry for Business Persons Chapter.</w:t>
      </w:r>
    </w:p>
    <w:p>
      <w:pPr>
        <w:pStyle w:val="Normal"/>
      </w:pPr>
      <w:r>
        <w:t>k) Placement and supply of services of 1), 2) and 3) None personnel (CPC 8720) 4) Unbound, except as indicated in Chapter 16 (Temporary Entry for Business Persons).</w:t>
      </w:r>
    </w:p>
    <w:p>
      <w:pPr>
        <w:pStyle w:val="Normal"/>
      </w:pPr>
      <w:r>
        <w:t>Sector or subsector Limitations on market access l) Protection and guard services (CPC 8730) 1) Unbound 2) None. 3)None, except that the requirements laid down for each specific means of transport must be fulfilled. 4) Unbound, except as indicated in Chapter 16 (Temporary Entry for Business Persons). n) Maintenance and repair of equipment 1), 2) and 3) None except maritime vessels, aircraft and other transport equipment: 4) Unbound, except as indicated in Chapter 16 (Temporary Entry for Business Persons). - Repair and maintenance of industrial 1), 2) and 3) None machinery and equipment (CPC 8862) 4) Unbound, except as indicated in Chapter 16 (Temporary Entry for Business Persons). Repair and maintenance of 1), 2) and 3) None professional technical equipment and instruments 4) Unbound, except as indicated in Chapter 16 (CPC 8866) (Temporary Entry for Business Persons). - Repair services incidental to metal 1), 2) and 3) None products, machinery and equipment.</w:t>
      </w:r>
    </w:p>
    <w:p>
      <w:pPr>
        <w:pStyle w:val="Normal"/>
      </w:pPr>
      <w:r>
        <w:t>(CPC886) 4) Unbound, except as indicated in Chapter 16 (Temporary Entry for Business Persons). - Repair and maintenance of machinery 1), 2) and 3) None and equipment for general use, not assignable to any specific activity (CPC 4) Unbound, except as indicated in Chapter 16 886) (Temporary Entry for Business Persons). o) Building-cleaning services (CPC 8740) 1)None 2)Unbound* 3)None 4) Unbound, except as indicated in Chapter 16 (Temporary Entry for Business Persons).</w:t>
      </w:r>
    </w:p>
    <w:p>
      <w:pPr>
        <w:pStyle w:val="Normal"/>
      </w:pPr>
      <w:r>
        <w:t>p) Photographic services Photography and motion-picture 1) None 2) Unbound*</w:t>
      </w:r>
    </w:p>
    <w:p>
      <w:pPr>
        <w:pStyle w:val="Normal"/>
      </w:pPr>
      <w:r>
        <w:t>Sector or subsector Limitations on market access processing services (CPC 87505 and 87506) 3) None 4) Unbound, except as indicated in Chapter 16 (Temporary Entry for Business Persons). r) Printing, publishing (CPC 88442) 1), 2) and 3) None Only includes: 4) Unbound, except as indicated in Chapter 16 Publishing of books and similars (Temporary Entry for Business Persons). Printing and binding (except newsprint for circulation exclusively in the Mexican territory) Auxiliary and related industries with editing and printing (excludes manufacturing for printing types which are classified into 3811 branch, “casting and moulding of ferrous and nonferrous metal parts”). s) Convention services (CPC 87909***) 1)Unbound* 2)None 3)None 4)Unbound, except as indicated in Chapter 16 (Temporary Entry for Business Persons). t) Other - Credit reporting services (CPC 87901) 1)Unbound 2)None 3)None 4) Unbound, except as indicated in Chapter 16 (Temporary Entry for Business Persons). Speciality design services (CPC 1), 2) and 3) None 87907) 4) Unbound, except as indicated in Chapter 16 (Temporary Entry for Business Persons). Industrial design services (CPC 86725) 1), 2) and 3) None</w:t>
      </w:r>
    </w:p>
    <w:p>
      <w:pPr>
        <w:pStyle w:val="Normal"/>
      </w:pPr>
      <w:r>
        <w:t>Sector or subsector Limitations on market access 4) Unbound, except as indicated in Chapter 16 (Temporary Entry for Business Persons). - Photocopying and similar services 1), 2) and 3) None (CPC 87904) 4) Unbound, except as indicated in Chapter 16 (Temporary Entry for Business Persons). - Translation and interpretation services 1), 2) and 3) None (CPC 87905) 4) Unbound, except as indicated in Chapter 16 (Temporary Entry for Business Persons). - Laundry collection services (CPC 97011) 1)Unbound* 2)None 3)None 4)Unbound, except as indicated in Chapter 16 (Temporary Entry for Business Persons). 2.COMMUNICATION SERVICES B. Courier services 1) Unbound -Courier services (CPC 7512) 2) None 3) None, except that the requirements laid down for each specific means of transport must be fulfilled. 4) Unbound, except as indicated in Chapter 16 (Temporary Entry for Business Persons). C.</w:t>
      </w:r>
    </w:p>
    <w:p>
      <w:pPr>
        <w:pStyle w:val="Normal"/>
      </w:pPr>
      <w:r>
        <w:t>Telecommunication Services Telecommunications services supplied by facilities based public telecommunications network (wire based and radioelectric) through any technological medium, included in subparagraphs (a), (b), (c), (f), (g) and (o) 1) The international traffic only may be routed through international ports of a natural person or juridical person with a concession granted by the regulatory agency to install, operate or use a public telecommunication network in the Mexican territory authorized to provide long distance service.</w:t>
      </w:r>
    </w:p>
    <w:p>
      <w:pPr>
        <w:pStyle w:val="Normal"/>
      </w:pPr>
      <w:r>
        <w:t>2) None 3) The Federal Telecommunications Institute (Instituto Federal de telecomunicaciones,</w:t>
      </w:r>
    </w:p>
    <w:p>
      <w:pPr>
        <w:pStyle w:val="Normal"/>
      </w:pPr>
      <w:r>
        <w:t>Sector or subsector Limitations on market access IFT), shall reserve for community indigenous FM radio stations ten per cent of broadcasting band of FM that goes from 88 to 108 MHz. Such percentage shall be granted as concession for the upper part of the referred band. The Institute shall directly assign 90 MHz of the 700 MHz band for the operation and exploitation of a wholesale shared network through a concession for commercial use. Resellers of telecommunications of long distance and international long distance may contract telecommunications services (exclusively) with authorized concessionaires. The economic agent who has been declared preponderant in the telecommunications sector or the concessionaires that are part of the economic group to which the declared preponderant agent belongs to may not participate directly or indirectly in any reseller. 4) Unbound, except as indicated in Chapter 16 (Temporary Entry for Business Persons). a) Telephony Services (CPC 75211, 75212) 1) As indicated in 2.C.1).</w:t>
      </w:r>
    </w:p>
    <w:p>
      <w:pPr>
        <w:pStyle w:val="Normal"/>
      </w:pPr>
      <w:r>
        <w:t>2) None 3) None 4) Unbound, except as indicated in Chapter 16 (Temporary Entry for Business Persons). b) Packet-switched data transmission services (CPC 7523**) 1) As indicated in 2.C.1). 2) None 3) None 4) Unbound, except as indicated in Chapter 16 (Temporary Entry for Business Persons).</w:t>
      </w:r>
    </w:p>
    <w:p>
      <w:pPr>
        <w:pStyle w:val="Normal"/>
      </w:pPr>
      <w:r>
        <w:t>Sector or subsector Limitations on market access c) Circuit-switched data transmission services (CPC 7523) 1) As indicated in 2.C.1). 2) None 3) None 4) Unbound, except as indicated in Chapter 16 (Temporary Entry for Business Persons). f) Facsimile services (CPC 1), 2) and 3) None 7521+7529) 4) Unbound, except as indicated in Chapter 16 (Temporary Entry for Business Persons). g) Private leased circuit services (CPC 7522+7523) 1) As indicated in 2.C.1). In Mexico it is not allowed allow the resale of private leased circuits to private networks. 2) None 3) None 4) Unbound, except as indicated in Chapter 16 (Temporary Entry for Business Persons). o) Others - Paging services (CPC 75291) 1) As indicated in 2.C.1). 2) None 3) As indicated in 2.C.3) 4) Unbound, except as indicated in Chapter 16 (Temporary Entry for Business Persons). - Cellular telephony (75213) 1) As indicated in 2.C.1). 2) None 3) None 4) Unbound, except as indicated in Chapter 16 (Temporary Entry for Business Persons). - Resellers 1) As indicated in 2.C.1). Companies which, without owning transmission means, provide third parties with telecommunications services by using capacity leased from a public network concessionaire.</w:t>
      </w:r>
      <w:r>
        <w:rPr>
          <w:b/>
        </w:rPr>
        <w:t/>
      </w:r>
      <w:r>
        <w:t/>
      </w:r>
      <w:r>
        <w:rPr>
          <w:b/>
        </w:rPr>
        <w:t/>
      </w:r>
      <w:r>
        <w:t/>
      </w:r>
      <w:r>
        <w:rPr>
          <w:b/>
        </w:rPr>
        <w:t/>
      </w:r>
      <w:r>
        <w:t/>
      </w:r>
    </w:p>
    <w:p>
      <w:pPr>
        <w:pStyle w:val="Normal"/>
      </w:pPr>
      <w:r>
        <w:t>Sector or subsector Limitations on market access 2) None 3) None, except that the establishment and operation of resellers is invariably subject to the relevant regulations. The Federal Telecommunications Institue (Instituto Federal de Telecomunicaciones, IFT) will not issue permits for the establishment of a reseller until the corresponding regulations are issued. 4) Unbound, except as indicated in Chapter 16 (Temporary Entry for Business Persons). - Other telecommunication services. Value-added services (Services that use public telecommunication network and have effect on the format, content, code, protocol, storage or similar aspects of the information transmitted by a user and which market users with additional information, different and restructured, or involve interaction user with information stored). 1) Registration before the Federal Telecommunications Institute (Instituto Federal de Telecomunicaciones, IFT) is required to provide Value Added Services. The Value Added Services originated overseas destined to the Mexican territory may only be taken and delivered in Mexico through infrastructure or facilities of a public telecommunications network concessioner. 2) None 3) None 4) Unbound, except as indicated in Chapter 16 (Temporary Entry for Business Persons). 2.D.</w:t>
      </w:r>
    </w:p>
    <w:p>
      <w:pPr>
        <w:pStyle w:val="Normal"/>
      </w:pPr>
      <w:r>
        <w:t>Audiovisual services a) Private production of cinematographic films (CPC 96112) 1), 2) and 3) None, except that film screening requires a permit issued by the Ministry of the Interior (Secretaría de Gobernación). 3 Value Added Services are not those services for which its establishment, operation or exploitation make use of transmission infrastructure owned by the service provider, unless the service provider has the appropriate license or permit to establish, operate or exploit a public telecommunications network. It does not include those value- added services, the provision requiring the obtaining of licenses and permits including, without limitation, the following services: voice telephony, regardless of the technology used (VoIP) in its modalities of local service; long distance telephony; simple resale of leased private circuits, mobile telephony, mobile or fixed radio telephony, cable television, paid television using microwaves and satellite; paging services, trucking services; private or maritime radio-communication: restricted radio; data transmission; videoconferencing and vehicle radiolocation.</w:t>
      </w:r>
    </w:p>
    <w:p>
      <w:pPr>
        <w:pStyle w:val="Normal"/>
      </w:pPr>
      <w:r>
        <w:t>Sector or subsector Limitations on market access 4) Unbound, except as indicated in Chapter 16 (Temporary Entry for Business Persons). b) Private film-screening services 1), 2) and 3) None (CPC 96121) 4) Unbound, except as indicated in Chapter 16 (Temporary Entry for Business Persons). c) Radio and Television Services (CPC9613) - broadcasting (radio and free to air television) 1) None 2) None 3) The Federal Institute of Telecommunications (Instituto Federal de Telecomunicaciones, IFT) shall grant upon request authorizations to access the multiprogramming. In the case of concessionaires belonging to an agent declared preponderant the IFT will not authorize the transmission of a number of channels greater than 50 per cent of the total amount of broadcasted television channels, including the multiprogramming ones, authorized for other concessionaires that are broadcasting in the region covered. Concessionaires of commercial, public and social use providing broadcasting service shall have daily free transmission in each station and for each programming cannel, of duration up to 30 minutes whether continuous or discontinuous, dedicated to disseminate educational, cultural and social interest topics.</w:t>
      </w:r>
    </w:p>
    <w:p>
      <w:pPr>
        <w:pStyle w:val="Normal"/>
      </w:pPr>
      <w:r>
        <w:t>In addition to the time set for the State, all concessionaires of commercial, public and social use providing broadcasting services shall be required to broadcast simultaneously in radio stations and television channels in the country when it comes to transmitting information of concern to the nation, according to the Ministry of Interior (Secretaría de Gobernación). 4) Unbound, except as indicated in Chapter 16 (Temporary Entry for Business Persons).</w:t>
      </w:r>
    </w:p>
    <w:p>
      <w:pPr>
        <w:pStyle w:val="Normal"/>
      </w:pPr>
      <w:r>
        <w:t>Sector or subsector Limitations on market access Restricted radio and television services 1)None 2)None 3)Concessionaires providing restricted or audio services shall reserve at no charge channels for the distribution of federal public institutions’ television signals as indicated by the executive through the Federal Executive branch as follows: I. A channel with the service consists of 31 to 37 channels; II. Two channels, when the service consists of 38 to 45 channels, and III. Three channels, when the service consists of 46 to 64 channels. Beyond this last number, a channel shall be added for every 32 transmission channels. When the service consists of up to 30 channels, The Ministry may require, that a specific cannel dedicates up to six hours daily for transmission of programming as indicated by the Ministry of the Interior (Secretaría de Gobernación). Concessionaires providing broadcasting or restricted television and audio services, as well as programmers and signals operators shall maintain a balance between advertising and programming transmitted daily, and the following rules shall apply:</w:t>
      </w:r>
    </w:p>
    <w:p>
      <w:pPr>
        <w:pStyle w:val="Normal"/>
      </w:pPr>
      <w:r>
        <w:t>I. concessionaires of commercial use broadcasting: a) in television stations, the time spent on commercial advertising shall not exceed 18 percent of the total transmission time per programming channel, and b) in radio stations, the time spent on commercial advertising shall not exceed 40 percent of the total transmission time per programming channel.</w:t>
      </w:r>
    </w:p>
    <w:p>
      <w:pPr>
        <w:pStyle w:val="Normal"/>
      </w:pPr>
      <w:r>
        <w:t>Sector or subsector Limitations on market access The length of commercial advertising does not include transmissions of the station own advertising, nor does it include State time and other Executive Branch provisions or programmes offering products or services; II. concessionaires of restricted television, and audio may transmit, daily and per channel, up to six minutes of advertising for every hour of transmission. For purposes of corresponding calculation, advertising in the broadcast signals that are retransmitted and programming channels own advertising shall not be considered, and the channels exclusively dedicated to programmes of product offerings, shall be exempted from the limit stated in the previous paragraph. 4) Unbound, except as indicated in Chapter 16 (Temporary Entry for Business Persons). 3.CONSTRUCTION AND RELATED ENGINEERING SERVICES General construction work for buildings 1)Unbound -Residential or housing building (CPC 5121 and 5122) 2)Unbound* 3)None 4)Unbound -Non-residential buildings (CPC 5124, 5127 and 5128) 1)Unbound 2)Unbound* 3)None 4)Unbound General construction work for civil engineering 1)Unbound -Construction of urban development 2)Unbound* works (CPC 5131 and 5135) 3)None</w:t>
      </w:r>
    </w:p>
    <w:p>
      <w:pPr>
        <w:pStyle w:val="Normal"/>
      </w:pPr>
      <w:r>
        <w:t>Sector or subsector Limitations on market access 4)Unbound, except as indicated in Chapter 16 (Temporary Entry for Business Persons). Construction of industrial buildings (excluding electric power stations and plants for the piping of oil and oil products (CPC 52121) 1)Unbound 2)Unbound* 3)None 4)Unbound, except as indicated in Chapter 16 (Temporary Entry for Business Persons). Other construction (excluding construction of maritime and river works, highway and transport works and track construction) (CPC 52269) 1)Unbound 2)Unbound* 3)None 4)Unbound, except as indicated in Chapter 16 (Temporary Entry for Business Persons). Building completion and finishing work Electrical, plumbing and drainage 1)Unbound installations in buildings (excluding telecommunication installations and 2)Unbound* other special installations) (CPC 5161 5164) 3)None 4)Unbound, except as indicated in Chapter 16 (Temporary Entry for Business Persons). E. Other 1) Unbound Special work, including earth moving, 2) Unbound* foundations, underground excavation, under-water work, signalling and 3) None, except that services relating to visual protection installations, demolition, and electronic aids for runways are subject to construction of drinking water or water authorization by the Ministry of treatment plants (excluding sinking of Communication and Transports (Secretaría de oil, gas and water wells) (CPC 511 and Comunicaciones y Transportes, SCT).</w:t>
      </w:r>
    </w:p>
    <w:p>
      <w:pPr>
        <w:pStyle w:val="Normal"/>
      </w:pPr>
      <w:r>
        <w:t>515) 4) Unbound, except as indicated in Chapter 16 (Temporary Entry for Business Persons). DISTRIBUTION SERVICES</w:t>
      </w:r>
    </w:p>
    <w:p>
      <w:pPr>
        <w:pStyle w:val="Normal"/>
      </w:pPr>
      <w:r>
        <w:t>Sector or subsector Limitations on market access A Trade intermediary services (CPC 621) 1), 2) and 3) None (includes sales agents who are not considered within the paid staff of any 4) Unbound, except as indicated in Chapter 16 establishment in particular). (Temporary Entry for Business Persons). 4. B. Wholesale trade services 1), 2) and 3) None -Wholesale trade of non-food products, 4) Unbound, except as indicated in Chapter 16 including animal feed (excluding (Temporary Entry for Business Persons). petroleum-based fuels, coal, firearms, cartridges and ammunition) (CPC 622) - Commission agents´ services (CPC 1), 2) and 3) None 62113 – 621118) 4) Unbound, except as indicated in Chapter 16 (Temporary Entry for Business Persons). -Wholesale trade of food, beverages 1), 2) and 3) None and tobacco (CPC 6222) 4) Unbound, except as indicated in Chapter 16 (Temporary Entry for Business Persons). - Wholesale trade services (CPC 622) 1), 2) and 3) None 4) Unbound, except as indicated in Chapter 16 (Temporary Entry for Business Persons). 4. C. Retail trade services:</w:t>
      </w:r>
    </w:p>
    <w:p>
      <w:pPr>
        <w:pStyle w:val="Normal"/>
      </w:pPr>
      <w:r>
        <w:t>1), 2) and 3) None -Retail sales of food, beverages and 4) Unbound, except as indicated in Chapter 16 tobacco in specialized establishments (Temporary Entry for Business Persons). (CPC 6310) - Retail sales of food products in 1), 2) and 3) None supermarkets, self-service stores and shops (CPC 6310) 4) Unbound, except as indicated in Chapter 16 (Temporary Entry for Business Persons).</w:t>
      </w:r>
    </w:p>
    <w:p>
      <w:pPr>
        <w:pStyle w:val="Normal"/>
      </w:pPr>
      <w:r>
        <w:t>-Retail sales of non-food products in 1), 2) and 3) None department stores and shops (CPC 632) 4) Unbound, except as indicated in Chapter 16 (Temporary Entry for Business Persons). -Retail sales of motor vehicles, 1), 2) and 3) None including tyres and spare parts (CPC 61112) 4) Unbound, except as indicated in Chapter 16 (Temporary Entry for Business Persons).</w:t>
      </w:r>
    </w:p>
    <w:p>
      <w:pPr>
        <w:pStyle w:val="Normal"/>
      </w:pPr>
      <w:r>
        <w:t>Sector or subsector Limitations on market access - Retail sales of non-food products in 1), 2) and 3) None specialised establishments (excluding retail sales of liquefied fuel gas, 4) Unbound, except as indicated in Chapter 16 charcoal, coal and other non (Temporary Entry for Business Persons). petroleum-based fuels, paraffin, fuel, and tractor vaporising oil (TVO), gasoline and diesel, firearms, cartridges and ammunition) (CPC 6329) 4.D. Franchise services 1), 2) and 3) None 4) Unbound, except as indicated in Chapter 16 (Temporary Entry for Business Persons). 5.PRIVATE EDUCATION SERVICES 5. A. Primary education services (CPC 921) 1) and 2) None 3) None except that prior authorization is required from the Ministry of Public Education (Secretaría de Educación Pública, SEP) or the State authority. 4) Unbound, except as indicated in Chapter 16 (Temporary Entry for Business Persons). 5. B. Secondary education services (CPC 922) 1) and 2) None 3) None except that prior authorization is required from the Ministry of Public Education (Secretaría de Educación Pública, SEP) or the State authority.</w:t>
      </w:r>
    </w:p>
    <w:p>
      <w:pPr>
        <w:pStyle w:val="Normal"/>
      </w:pPr>
      <w:r>
        <w:t>4) Unbound, except as indicated in Chapter 16 (Temporary Entry for Business Persons). 5. C. Higher education services (CPC 923) 1) and 2) None 3) None except that prior authorization is required from the Ministry of Public Education (Secretaría de Educación Pública, SEP) or the State authority. 4) Unbound, except as indicated in Chapter 16</w:t>
      </w:r>
    </w:p>
    <w:p>
      <w:pPr>
        <w:pStyle w:val="Normal"/>
      </w:pPr>
      <w:r>
        <w:t>Sector or subsector Limitations on market access (Temporary Entry for Business Persons). 5. E. Other education services: Language education, special education and commercial training (CPC 9290) 1) and 2) None 3) None, except that prior authorization is required from the Ministry of Public Education (Secretaría de Educación Pública, SEP) or the State authority. 4) Unbound, except as indicated in Chapter 16 (Temporary Entry for Business Persons). 6. ENVIRONMENTAL SERVICES 6. A. Sewage services (CPC 9401) 1)Unbound 2)None 3)None 4)Unbound, except as indicated in Chapter 16 (Temporary Entry for Business Persons). 6. B. Additional environmental services Refuse disposal services (CPC 9402) 1) Unbound 2) None 3) None 4) Unbound, except as indicated in Chapter 16 (Temporary Entry for Business Persons). Protection of ambient air and climate (CPC 9404) 1)Unbound 2)None 3)None 4) Unbound, except as indicated in Chapter 16 (Temporary Entry for Business Persons). Noise abatement services (CPC 9405) 1) Unbound 2) None 3) None 4 The level of disaggregation of each of this sector’s subsectors is interpreted in accordance with Mexico’s domestic legislative framework and may not correspond exactly to the stated CPC classification.</w:t>
      </w:r>
    </w:p>
    <w:p>
      <w:pPr>
        <w:pStyle w:val="Normal"/>
      </w:pPr>
      <w:r>
        <w:t>Sector or subsector Limitations on market access 4) Unbound, except as indicated in Chapter 16 (Temporary Entry for Business Persons). Nature and landscape protection services (CPC 9406) 1) Unbound 2) None 3) None 4) Unbound, except as indicated in Chapter 16 (Temporary Entry for Business Persons). Limited to environmental impact assessments and Consultancy services for environmental protection services (CPC 9409) 1) Unbound 2) None 3) None 4) Unbound, except as indicated in Chapter 16 (Temporary Entry for Business Persons). 6. C. Sanitation services (CPC 94030) 1) Unbound 2) None 3) None 4) Unbound, except as indicated in Chapter 16 (Temporary Entry for Business Persons). 8. HEALTH RELATED AND SOCIAL SERVICES 8. A. Private hospital services (CPC 9311) 1) Unbound* 2) and 3) None 4) Unbound, except as indicated in Chapter 16 (Temporary Entry for Business Persons). 8. B. Other human health services. 1) Unbound Private services of clinical 2) and 3) None laboratories auxiliary to medical diagnosis (CPC 93199) 4) Unbound, except as indicated in Chapter 16 (Temporary Entry for Business Persons).</w:t>
      </w:r>
    </w:p>
    <w:p>
      <w:pPr>
        <w:pStyle w:val="Normal"/>
      </w:pPr>
      <w:r>
        <w:t>Sector or subsector Limitations on market access - Other private services auxiliary to medical treatment (CPC 93191) 1) Unbound 2) and 3) None 4) Unbound, except as indicated in Chapter 16 (Temporary Entry for Business Persons). - Dental prosthesis laboratory services (CPC 93123) 1) Unbound 2) and 3) None 4) Unbound, except as indicated in Chapter 16 (Temporary Entry for Business Persons). 9.TOURISM AND TRAVEL RELATED SERVICES 9. A. Hotel and restaurant services Hotel services (CPC 6411) 1), 2) and 3) None, except for the requirement of holding a permit to engage in the activity from the competent authority (Central, Regional or Local). 4) Unbound, except as indicated in Chapter 16 (Temporary Entry for Business Persons). -Motel services (CPC 6412) 1) Unbound* 2) None 3) None, except a permit from the competent authority (Central, Regional or Local) is required to engage in the activity.</w:t>
      </w:r>
    </w:p>
    <w:p>
      <w:pPr>
        <w:pStyle w:val="Normal"/>
      </w:pPr>
      <w:r>
        <w:t>4) Unbound, except as indicated in Chapter 16 (Temporary Entry for Business Persons). - Board and lodging in guest houses and furnished accommodation (CPC 64192 and 64193) 1) Unbound* 2) None 3) None, except a permit from the competent authority (Central, Regional or Local) is required to engage in the activity. 4) Unbound, except as indicated in Chapter 16 (Temporary Entry for Business Persons).</w:t>
      </w:r>
    </w:p>
    <w:p>
      <w:pPr>
        <w:pStyle w:val="Normal"/>
      </w:pPr>
      <w:r>
        <w:t>Sector or subsector Limitations on market access - Youth hostels and temporary camping facilities (CPC 64194) 1) Unbound* 2) None 3) None, except a permit from the competent authority (Central, Regional or Local) is required to engage in the activity. 4) Unbound, except as indicated in Chapter 16 (Temporary Entry for Business Persons). - Camping facilities for mobile homes (trailer parks) (CPC 64195) 1) Unbound* 2) None 3) None, except a permit from the competent authority (Central, Regional or Local) is required to engage in the activity. 4) Unbound, except as indicated in Chapter 16 (Temporary Entry for Business Persons). -Restaurant services (CPC 642) 1), 2) and 3) None, except for the requirement of holding a permit to engage in the activity from the competent authority (Central, Regional or Local). 4) Unbound, except as indicated in Chapter 16 (Temporary Entry for Business Persons). - Cabarets and night clubs (CPC 6432) 1) Unbound* 2) None 3) None, except a permit from the competent authority (Central, Regional or Local) is required to engage in the activity.</w:t>
      </w:r>
    </w:p>
    <w:p>
      <w:pPr>
        <w:pStyle w:val="Normal"/>
      </w:pPr>
      <w:r>
        <w:t>4) Unbound, except as indicated in Chapter 16 (Temporary Entry for Business Persons). - Canteens, bars and taverns (CPC 6431) 1) Unbound* 2) None 3) None, except a permit from the competent</w:t>
      </w:r>
    </w:p>
    <w:p>
      <w:pPr>
        <w:pStyle w:val="Normal"/>
      </w:pPr>
      <w:r>
        <w:t>Sector or subsector Limitations on market access authority (Central, Regional or Local) is required to engage in the activity. 4) Unbound, except as indicated in Chapter 16 (Temporary Entry for Business Persons). B. Travel agencies and tour operators (CPC 7471) 1) None 2) None 3) None, except a permit from the competent authority (Central, Regional or Local) is required to engage in the activity. 4) Unbound, except as indicated in Chapter 16 (Temporary Entry for Business Persons). C. Tourist guide services (CPC 7472) 1) Unbound* 2) None 3) None, except a permit from the competent authority (Central, Regional or Local) is required to engage in the activity. 4) Unbound, except as indicated in Chapter 16 (Temporary Entry for Business Persons). 9. D. Others - Spa services (CPC 97029) 1), 2) and 3) None Only includes: 4) Unbound, except as indicated in Chapter 16 Private services in social centres, (Temporary Entry for Business Persons). recreational and sports. Also, sports clubs services, gyms, spas, swimming pools, sports fields, billiards, bowling, horses and bicycles. Excludes boats rental.</w:t>
      </w:r>
    </w:p>
    <w:p>
      <w:pPr>
        <w:pStyle w:val="Normal"/>
      </w:pPr>
      <w:r>
        <w:t>Catering services, providing meals to 1) Unbound* outside (CPC 6423) (other than service on aircraft and in airports) 2) None 3) None, except a permit from the competent authority (Central, Regional or Local) is</w:t>
      </w:r>
    </w:p>
    <w:p>
      <w:pPr>
        <w:pStyle w:val="Normal"/>
      </w:pPr>
      <w:r>
        <w:t>Sector or subsector Limitations on market access required to engage in the activity. 4) Unbound, except as indicated in Chapter 16 (Temporary Entry for Business Persons). Bar services with entertainment (only 1) Unbound* in hotels and other lodging places) 2) None 3) None, except a permit from the competent authority (Central, Regional or Local) is required to engage in the activity. 4) Unbound, except as indicated in Chapter 16 (Temporary Entry for Business Persons). Public house services without entertainment (CPC 6431) (except in hotels, other lodging places and other means of transport) 1) Unbound* 2) None 3) None, except a permit from the competent authority (Central, Regional or Local) is required to engage in the activity. 4) Unbound, except as indicated in Chapter 16 (Temporary Entry for Business Persons). 10.RECREATIONAL, CULTURAL AND SPORTING SERVICES (other than audiovisual services) 10. A. Entertainment services 1), 2) and 3) None (including theatre, live bands and circus) (CPC 9619) 4) Unbound, except as indicated in Chapter 16 (Temporary Entry for Business Persons). 10. B.</w:t>
      </w:r>
    </w:p>
    <w:p>
      <w:pPr>
        <w:pStyle w:val="Normal"/>
      </w:pPr>
      <w:r>
        <w:t>News agency services (CPC 1), 2) and 3) None 962) 4) Unbound, except as indicated in Chapter 16 (Temporary Entry for Business Persons). 10. C. Libraries, archives, museums 1), 2) and 3) None and other cultural services (CPC 963) 4) Unbound, except as indicated in Chapter 16 (Temporary Entry for Business Persons). 10. D. Sporting and other recreational</w:t>
      </w:r>
    </w:p>
    <w:p>
      <w:pPr>
        <w:pStyle w:val="Normal"/>
      </w:pPr>
      <w:r>
        <w:t>Sector or subsector Limitations on market access services (CPC 964) - Sports event organization services (CPC 96412) 1) Unbound* 2) and 3) None 4) Unbound, except as indicated in Chapter 16 (Temporary Entry for Business Persons). - Sports facility operation services (CPC 96413) 1) Unbound* 2) and 3) None 4) Unbound, except as indicated in Chapter 16 (Temporary Entry for Business Persons). - Other sporting services (only services 1) Unbound* provided by sport and game schools) (CPC 96419) 2) and 3) None 4) Unbound, except as indicated in Chapter 16 (Temporary Entry for Business Persons). -Promotion of sports services (CPC 1), 2) and 3) None 96411) 4) Unbound, except as indicated in Chapter 16 (Temporary Entry for Business Persons). 11.TRANSPORT SERVICES A. Maritime transport services International Transport (freight and passengers) (CPC 7211 and 7212, other than cabotage transport) 1) Scheduled, bulk, tramp and other international maritime transport, including passenger transport.</w:t>
      </w:r>
    </w:p>
    <w:p>
      <w:pPr>
        <w:pStyle w:val="Normal"/>
      </w:pPr>
      <w:r>
        <w:t>Specific international high-sea transport may be reserved wholly or partly for shipping companies which are Mexican, or recognized as such, when the principles of free competition are not observed and the national economy is affected. 2) and 3) None 4) Unbound, except as indicated in Chapter 16 (Temporary Entry for Business Persons).</w:t>
      </w:r>
    </w:p>
    <w:p>
      <w:pPr>
        <w:pStyle w:val="Normal"/>
      </w:pPr>
      <w:r>
        <w:t>Supporting services for water transport (CPC 745) (includes operation and maintenance of docks; loading and unloading of vessels at 1), 2) and 3) None 4) Unbound, except as indicated in Chapter 16 (Temporary Entry for Business Persons).</w:t>
      </w:r>
    </w:p>
    <w:p>
      <w:pPr>
        <w:pStyle w:val="Normal"/>
      </w:pPr>
      <w:r>
        <w:t>Sector or subsector Limitations on market access shore-side; marine cargo handling, operation and maintenance of piers; ship and boat cleaning; stevedoring; transfer of cargo between ships and trucks, trains, pipelines and wharves; waterfront terminal operations) -Supporting services for water transport 1), 2) and 3) None (CPC 745) (limited to Maritime Port Administration, Lake and Rivers) 4) Unbound, except as indicated in Chapter 16 (Temporary Entry for Business Persons). -Maritime cargo handling services 1) Unbound* 2) and 3) None 4) Unbound, except as indicated in Chapter 16 (Temporary Entry for Business Persons). -Storage and warehousing services, 1) Unbound* except general bonded warehouses (CPC 742) 2) and 3) None 4) Unbound, except as indicated in Chapter 16 (Temporary Entry for Business Persons). - Container station and depot services 1) Unbound* 2) and 3) None 4) Unbound, except as indicated in Chapter 16 (Temporary Entry for Business Persons). -Maritime agency services 1) Unbound* 2) and 3) None 4) Unbound, except as indicated in Chapter 16 (Temporary Entry for Business Persons). -Maritime freight forwarding services 1) Unbound* 2) and 3) None 4) Unbound, except as indicated in Chapter 16 (Temporary Entry for Business Persons).</w:t>
      </w:r>
    </w:p>
    <w:p>
      <w:pPr>
        <w:pStyle w:val="Normal"/>
      </w:pPr>
      <w:r>
        <w:t>Sector or subsector Limitations on market access -Vessel maintenance and repair 1) Unbound* 2) and 3) None 4) Unbound, except as indicated in Chapter 16 (Temporary Entry for Business Persons). 11. C. Air transport services e) Supporting services for air transport -Airport and heliport administration services 1) Unbound 2) None 3) None, except that a concession from the Ministry of Communications and Transport (Secretaría de Comunicaciones y Transportes, SCT) is required to operate an airport. 4) Unbound, except as indicated in Chapter 16 (Temporary Entry for Business Persons). 11. E. Rail transport services 1) Unbound* c. Pushing or towing services (CPC 2) and 3) None 7113) 4) Unbound, except as indicated in Chapter 16 (Temporary Entry for Business Persons). e. Supporting services for railway transport (CPC 743) 1) Unbound* 2) and 3) None 4) Unbound, except as indicated in Chapter 16 (Temporary Entry for Business Persons). 11. F. Road transport services 1), 2) and 3) None d) Maintenance and repair of road 4) Unbound, except as indicated in Chapter 16 transport equipment.</w:t>
      </w:r>
    </w:p>
    <w:p>
      <w:pPr>
        <w:pStyle w:val="Normal"/>
      </w:pPr>
      <w:r>
        <w:t>(Temporary Entry for Business Persons). -Motor vehicle maintenance and repair services (CPC 6112 and 8867) Other supporting services for road transport (CPC 74490) (limited to main bus and truck terminals and bus and 1), 2) and 3) None 4) Unbound, except as indicated in Chapter 16</w:t>
      </w:r>
    </w:p>
    <w:p>
      <w:pPr>
        <w:pStyle w:val="Normal"/>
      </w:pPr>
      <w:r>
        <w:t>Sector or subsector Limitations on market access truck stations) (Temporary Entry for Business Persons). e) Supporting services for road 1), 2) and 3) None transport services (CPC 744) limited to Management Services of Roads, 4) Unbound, except as indicated in Chapter 16 Bridges and Auxiliary Services (Temporary Entry for Business Persons). 11. G. Pipeline transport. b) Transportation of other goods (CPC 7139) limited to Non-energy Pipelines) 1), 2) and 3) None 4) Unbound, except as indicated in Chapter 16 (Temporary Entry for Business Persons). 11. H. Services auxiliary to all modes of transport - Weighbridge services for transport purposes (CPC 7490) 1), 2) and 3) None 4) Unbound, except as indicated in Chapter 16 (Temporary Entry for Business Persons). - Supporting services for air transport 1), 2) and 3) None 4) Unbound, except as indicated in Chapter 16 (Temporary Entry for Business Persons). 11.I.</w:t>
      </w:r>
    </w:p>
    <w:p>
      <w:pPr>
        <w:pStyle w:val="Normal"/>
      </w:pPr>
      <w:r>
        <w:t>Other transport services 1) Unbound - Tramway transport (CPC 71211) 2) and 3) None 4) Unbound, except as indicated in Chapter 16 (Temporary Entry for Business Persons). -Subway transport (CPC 71211) 1) Unbound except as indicated in the horizontal section 2) and 3) None 4) Unbound, except as indicated in Chapter 16 (Temporary Entry for Business Persons). - Rental of commercial vehicles with 1) Unbound except as indicated in the operator (CPC 7124) horizontal section 2) and 3) None 4) Unbound, except as indicated in Chapter 16</w:t>
      </w:r>
    </w:p>
    <w:p>
      <w:pPr>
        <w:pStyle w:val="Normal"/>
      </w:pPr>
      <w:r>
        <w:t>Sector or subsector Limitations on market access (Temporary Entry for Business Persons). 12. OTHER SERVICES -Repair of footwear and other articles of 1), 2) and 3) None leather and skins -Footwear and leather goods repair 4) Unbound, except as indicated in Chapter 16 services (CPC 63301) (Temporary Entry for Business Persons). -Repair of electronic appliances mainly 1), 2) and 3) None for household use (CPC 63302) - Repair services of electrical household 4) Unbound, except as indicated in Chapter 16 appliances (CPC 63302) (Temporary Entry for Business Persons). -Repair of clocks, watches and jewelry 1), 2) and 3) None (CPC 63303) Watch, clock and jewelry repair 4) Unbound, except as indicated in Chapter 16 services (CPC 63303) (Temporary Entry for Business Persons).</w:t>
      </w:r>
    </w:p>
    <w:p>
      <w:pPr>
        <w:pStyle w:val="Normal"/>
      </w:pPr>
      <w:r>
        <w:t>Repair and cleaning of headgear 1), 2) and 3) None (CPC 63304) 4) Unbound, except as indicated in Chapter 16 (Temporary Entry for Business Persons). -Repair of bicycles (CPC 63309) - Bicycle repair (CPC 63309) 1), 2) and 3) None 4) Unbound, except as indicated in Chapter 16 (Temporary Entry for Business Persons). - Locksmiths’ trade (CPC 63309) 1) and 2) None 3) None, except that regional and local authorities are responsible for authorizing these services. 4) Unbound, except as indicated in Chapter 16 (Temporary Entry for Business Persons). * Unbound due to technical unfeasibility.</w:t>
      </w:r>
    </w:p>
    <w:p>
      <w:pPr>
        <w:pStyle w:val="Normal"/>
      </w:pPr>
      <w:r>
        <w:rPr>
          <w:b/>
        </w:rPr>
        <w:t xml:space="preserve"> </w:t>
      </w:r>
      <w:r>
        <w:rPr>
          <w:b/>
        </w:rPr>
        <w:t xml:space="preserve">The specified service constitutes only a part of the total number of activities covered by the corresponding CPC code. </w:t>
      </w:r>
      <w:r>
        <w:t>* The specified service is an element of a bigger CPC code added in another place in the list.</w:t>
      </w:r>
    </w:p>
    <w:p>
      <w:pPr>
        <w:pStyle w:val="Heading1"/>
      </w:pPr>
      <w:bookmarkStart w:id="901533" w:name="_Toc300001532"/>
      <w:r>
        <w:t/>
      </w:r>
      <w:bookmarkEnd w:id="901533"/>
    </w:p>
    <w:p>
      <w:pPr>
        <w:pStyle w:val="Normal"/>
      </w:pPr>
      <w:r>
        <w:t>ANNEX II SCHEDULE OF THE UNITED STATES</w:t>
      </w:r>
    </w:p>
    <w:p>
      <w:pPr/>
      <w:r>
        <w:t>Sector: Communications</w:t>
      </w:r>
    </w:p>
    <w:p>
      <w:pPr/>
      <w:r>
        <w:t>Sub-</w:t>
      </w:r>
    </w:p>
    <w:p>
      <w:pPr/>
      <w:r>
        <w:t>Sector:</w:t>
      </w:r>
    </w:p>
    <w:p>
      <w:pPr/>
      <w:r>
        <w:t>Obligations Concerned: National Treatment (Articles 14.4 and 15.3) Most-Favored-Nation Treatment (Articles 14.5 and 15.4)</w:t>
      </w:r>
    </w:p>
    <w:p>
      <w:pPr/>
      <w:r>
        <w:t>Description: Investment and Cross-Border Trade in Services With respect to Canada, the United States reserves the right to: (a) adopt or maintain any measure that accords differential treatment to persons of other countries due to application of reciprocity measures or through international agreements involving sharing of the radio spectrum, guaranteeing market access, or national treatment with respect to the one-way satellite transmission of direct-to-home (DTH) and direct broadcasting satellite (DBS) television services and digital audio services; and (b) prohibit a person of a Party from offering DTH or DBS television and digital audio services into the territory of the United States unless that person establishes that the Party of which it is a person: (i) permits U.S. persons to obtain a license for such services in that Party in similar circumstances; and (ii) treats the supply of audio or video content originating in the Party no more favorably than the supply of audio or video content originating in a non-Party or any other Party.</w:t>
      </w:r>
    </w:p>
    <w:p>
      <w:pPr/>
      <w:r>
        <w:t>Existing</w:t>
      </w:r>
    </w:p>
    <w:p>
      <w:pPr/>
      <w:r>
        <w:t>Measures:</w:t>
      </w:r>
    </w:p>
    <w:p>
      <w:pPr>
        <w:pStyle w:val="Normal"/>
      </w:pPr>
      <w:r>
        <w:t/>
      </w:r>
    </w:p>
    <w:p>
      <w:pPr/>
      <w:r>
        <w:t>Sector: Communications - Cable Television</w:t>
      </w:r>
    </w:p>
    <w:p>
      <w:pPr/>
      <w:r>
        <w:t>Sub-</w:t>
      </w:r>
    </w:p>
    <w:p>
      <w:pPr/>
      <w:r>
        <w:t>Sector:</w:t>
      </w:r>
    </w:p>
    <w:p>
      <w:pPr/>
      <w:r>
        <w:t>Obligations Concerned: National Treatment (Article 14.4) Senior Management and Boards of Directors (Article 14.11)</w:t>
      </w:r>
    </w:p>
    <w:p>
      <w:pPr/>
      <w:r>
        <w:t>Description: Investment The United States reserves the right to adopt or maintain any measure that prohibits a person of a Party from owning or operating a cable television system in the territory of the United States unless that person establishes that the Party: (a) permits U.S. persons to own or operate such systems in the territory of the Party under similar circumstances; and (b) treats the supply of video content originating in the Party no more favorably than the supply of content of any other Party or non-Party. A measure may be deemed to treat content of a Party more favorably if it applies preferential treatment on the basis that the director, producer, publisher, actors, or owner of such content is a person of that Party, or the production, editing or distribution of such content took place in the territory of that Party, or on any other basis that affords protection to local production.</w:t>
      </w:r>
    </w:p>
    <w:p>
      <w:pPr/>
      <w:r>
        <w:t>Existing</w:t>
      </w:r>
    </w:p>
    <w:p>
      <w:pPr/>
      <w:r>
        <w:t>Measures:</w:t>
      </w:r>
    </w:p>
    <w:p>
      <w:pPr>
        <w:pStyle w:val="Normal"/>
      </w:pPr>
      <w:r>
        <w:t/>
      </w:r>
    </w:p>
    <w:p>
      <w:pPr/>
      <w:r>
        <w:t>Sector: Social Services</w:t>
      </w:r>
    </w:p>
    <w:p>
      <w:pPr/>
      <w:r>
        <w:t>Sub-</w:t>
      </w:r>
    </w:p>
    <w:p>
      <w:pPr/>
      <w:r>
        <w:t>Sector:</w:t>
      </w:r>
    </w:p>
    <w:p>
      <w:pPr/>
      <w:r>
        <w:t>Obligations Concerned: National Treatment (Articles 14.4 and 15.3) Most-Favored-Nation Treatment (Articles 14.5 and 15.4) Performance Requirements (Article 14.10) Senior Management and Boards of Directors (Article 14.11) Local Presence (Article 15.6)</w:t>
      </w:r>
    </w:p>
    <w:p>
      <w:pPr/>
      <w:r>
        <w:t>Description: Investment and Cross-Border Trade in Services The United States reserves the right to adopt or maintain any measure with respect to the provision of law enforcement and correctional services, and the following services to the extent they are social services established or maintained for a public purpose: income security or insurance, social security or insurance, social welfare, public education, public training, health, and child care.</w:t>
      </w:r>
    </w:p>
    <w:p>
      <w:pPr/>
      <w:r>
        <w:t>Existing</w:t>
      </w:r>
    </w:p>
    <w:p>
      <w:pPr/>
      <w:r>
        <w:t>Measures:</w:t>
      </w:r>
    </w:p>
    <w:p>
      <w:pPr>
        <w:pStyle w:val="Normal"/>
      </w:pPr>
      <w:r>
        <w:t/>
      </w:r>
    </w:p>
    <w:p>
      <w:pPr/>
      <w:r>
        <w:t>Sector: Minority Affairs</w:t>
      </w:r>
    </w:p>
    <w:p>
      <w:pPr/>
      <w:r>
        <w:t>Sub-</w:t>
      </w:r>
    </w:p>
    <w:p>
      <w:pPr/>
      <w:r>
        <w:t>Sector:</w:t>
      </w:r>
    </w:p>
    <w:p>
      <w:pPr/>
      <w:r>
        <w:t>Obligations Concerned: National Treatment (Articles 14.4 and 15.3) Performance Requirements (Article 14.10) Senior Management and Boards of Directors (Article 14.11) Local Presence (Article 15.6)</w:t>
      </w:r>
    </w:p>
    <w:p>
      <w:pPr/>
      <w:r>
        <w:t>Description: Investment and Cross-Border Trade in Services The United States reserves the right to adopt or maintain any measure according rights or preferences to socially or economically disadvantaged minorities, including corporations organized under the laws of the State of Alaska in accordance with the Alaska Native Claims Settlement Act.</w:t>
      </w:r>
    </w:p>
    <w:p>
      <w:pPr/>
      <w:r>
        <w:t>Existing</w:t>
      </w:r>
    </w:p>
    <w:p>
      <w:pPr/>
      <w:r>
        <w:t>Measures: Alaska Native Claims Settlement Act, 43 U.S.C. §§ 1601 et seq.</w:t>
      </w:r>
    </w:p>
    <w:p>
      <w:pPr>
        <w:pStyle w:val="Normal"/>
      </w:pPr>
      <w:r>
        <w:t/>
      </w:r>
    </w:p>
    <w:p>
      <w:pPr/>
      <w:r>
        <w:t>Sector: Transportation</w:t>
      </w:r>
    </w:p>
    <w:p>
      <w:pPr/>
      <w:r>
        <w:t>Sub-</w:t>
      </w:r>
    </w:p>
    <w:p>
      <w:pPr/>
      <w:r>
        <w:t>Sector:</w:t>
      </w:r>
    </w:p>
    <w:p>
      <w:pPr/>
      <w:r>
        <w:t>Obligations Concerned: National Treatment (Articles 14.4 and 15.3) Most-Favored-Nation Treatment (Articles 14.5 and 15.4) Performance Requirements (Article 14.10) Senior Management and Boards of Directors (Article 14.11) Local Presence (Article 15.6)</w:t>
      </w:r>
    </w:p>
    <w:p>
      <w:pPr/>
      <w:r>
        <w:t>Description: Investment and Cross-Border Trade in Services The United States reserves the right to adopt or maintain any measure relating to the provision of maritime transportation services and the operation of U.S.-flagged vessels, including the following: (a) requirements for investment in, ownership and control of, and operation of vessels and other marine structures, including drill rigs, in maritime cabotage services, including maritime cabotage services performed in the domestic offshore trades, the coastwise trades, U.S. territorial waters, waters above the continental shelf, and in the inland waterways; (b) requirements for investment in, ownership and control of, and operation of U.S.-flagged vessels in foreign trades; (c) requirements for investment in, ownership or control of, and operation of vessels engaged in fishing and related activities in U.S. territorial waters and the Exclusive Economic Zone; (d) requirements related to documenting a vessel under the U.S.</w:t>
      </w:r>
    </w:p>
    <w:p>
      <w:pPr>
        <w:pStyle w:val="Normal"/>
      </w:pPr>
      <w:r>
        <w:t>flag; (e) promotional programs, including tax benefits, available for shipowners, operators, and vessels meeting certain requirements; (f) certification, licensing, and citizenship requirements for crew members on U.S.-flagged vessels; (g) manning requirements for U.S.-flagged vessels; (h) all matters under the jurisdiction of the Federal Maritime</w:t>
      </w:r>
    </w:p>
    <w:p>
      <w:pPr>
        <w:pStyle w:val="Normal"/>
      </w:pPr>
      <w:r>
        <w:t>Commission; (i) negotiation and implementation of bilateral and other international maritime agreements and understandings; (j) limitations on longshore work performed by crew members; (k) tonnage duties and light money assessments for entering U.S. waters; and (l) certification, licensing, and citizenship requirements for pilots performing pilotage services in U.S. territorial waters. The following activities are not included in this reservation. However, the treatment provided to a Party in (b) is conditional upon obtaining comparable market access in these sectors from that Party: (a) vessel construction and repair; and (b) landside aspects of port activities, including operation and maintenance of docks; loading and unloading of vessels directly to or from land; marine cargo handling; operation and maintenance of piers; ship cleaning; stevedoring; transfer of cargo between vessels and trucks, trains, pipelines, and wharves; waterfront terminal operations; boat cleaning; canal operation; dismantling of vessels; operation of marine railways for drydocking; marine surveyors, except cargo; marine wrecking of vessels for scrap; and ship classification societies.</w:t>
      </w:r>
    </w:p>
    <w:p>
      <w:pPr/>
      <w:r>
        <w:t>Existing</w:t>
      </w:r>
    </w:p>
    <w:p>
      <w:pPr/>
      <w:r>
        <w:t>Measures:</w:t>
      </w:r>
    </w:p>
    <w:p>
      <w:pPr>
        <w:pStyle w:val="Normal"/>
      </w:pPr>
      <w:r>
        <w:t>Merchant Marine Act of 1920, §§ 19 and 27, 46 U.S.C. §§ 12101, 12118, 12120, 12132, 12139, 12151, 42101-42109, 55102, 55105 55110, 55115-55119, 58108 Waiver of the Navigation and Vessel-Inspection Laws, 46 U.S.C. § Shipping Act of 1916, 46 U.S.C.</w:t>
      </w:r>
    </w:p>
    <w:p>
      <w:pPr>
        <w:pStyle w:val="Normal"/>
      </w:pPr>
      <w:r>
        <w:t>§§ 50501, 56101, 57109, 50111 Merchant Marine Act of 1936, 46 U.S.C. §§ 109, 114, 50111, 50501, 53101 note, 53301-53312, 53501-53517, 53701-53718, 53721-53725, 53731-53735, 55304-55305, 57101-57104, 57301-57308 Merchant Ship Sales Act of 1946, 50 U.S.C. App. 1738 46 U.S.C. §§ 55109, 55111, 55118, 60301-60302, 60304-60306, 60312, 80104 46 U.S.C. §§ 12101 et seq., 12112, 12121, and 31301 et seq.</w:t>
      </w:r>
    </w:p>
    <w:p>
      <w:pPr>
        <w:pStyle w:val="Normal"/>
      </w:pPr>
      <w:r>
        <w:t>46 U.S.C. § 8904 Passenger Vessel Services Act, 46 U.S.C. § 55103 42 U.S.C. §§ 9601 et seq.; 33 U.S.C. §§ 2701 et seq.; 33 U.S.C. §§ 1251 et seq. 46 U.S.C. §§ 3301 et seq., 3701 et seq., 8103, and 12107(b) The Foreign Shipping Practices Act of 1988, 46 U.S.C. §§ 306, 41108, 42101, 42301-42307 Merchant Marine Act, 1920, 46 U.S.C. §§ 50101, 50302, 53101 note, Shipping Act of 1984, 46 U.S.C. §§ 305-306, 40101 note, 40101 40104, 40301-40307, 40501-40503, 40701-40706, 40901-40904, 41101-41109, 41301-41309, 42101, 42301-42307 Exports of Alaskan North Slope Oil, 104 P. L. 58, Title II; 109 Stat. 557, 560-63; codified at 30 U.S.C. §§ 185(s), 185 note Limitations on performance of longshore work by alien crewmen, 8 U.S.C. § 1288 Maritime Transportation Security Act of 2002, P. L. 107-295, § 404; 116 Stat. 2064, 2114-15, codified at 46 U.S.C. § 55112 Nicholson Act, 46 U.S.C. §55114 Commercial Fishing Industry Vessel Anti-Reflagging Act of 1987, P. L. 100-239; 101 Stat.</w:t>
      </w:r>
    </w:p>
    <w:p>
      <w:pPr>
        <w:pStyle w:val="Normal"/>
      </w:pPr>
      <w:r>
        <w:t>1778, codified in part at 46 U.S.C. §§ 108, 2101, 2101 note, 12113 43 U.S.C. § 1841 22 U.S.C. § 1980 46 U.S.C. § 9302, 46 U.S.C. § 8502; Agreement Governing the Operation of Pilotage on the Great Lakes, Exchange of Notes at Ottawa, August 23, 1978, and March 29, 1979, TIAS 9445 Magnuson Fishery Conservation and Management Act, 16 U.S.C. §§ 1801 et seq. Equipment and Repair of Vessels, 19 U.S.C. § 1466 North Pacific Anadromous Stocks Act of 1992, P. L. 102-567; Oceans Act of 1992, P. L.</w:t>
      </w:r>
    </w:p>
    <w:p>
      <w:pPr>
        <w:pStyle w:val="Normal"/>
      </w:pPr>
      <w:r>
        <w:t>102-587 Tuna Convention Act, 16 U.S.C. §§ 951 et seq. South Pacific Tuna Act of 1988, 16 U.S.C. §§ 973 et seq. Northern Pacific Halibut Act of 1982, 16 U.S.C. §§ 773 et seq. Atlantic Tunas Convention Act, 16 U.S.C. §§ 971 et seq. Antarctic Marine Living Resources Convention Act of 1984, 16 U.S.C. §§ 2431 et seq. Pacific Salmon Treaty Act of 1985, 16 U.S.C. §§ 3631 et seq. American Fisheries Act, 46 U.S.C. § 12113 and 46 U.S.C. § 31322</w:t>
      </w:r>
    </w:p>
    <w:p>
      <w:pPr>
        <w:pStyle w:val="Normal"/>
      </w:pPr>
      <w:r>
        <w:t/>
      </w:r>
    </w:p>
    <w:p>
      <w:pPr/>
      <w:r>
        <w:t>Sector: Land Transportation</w:t>
      </w:r>
    </w:p>
    <w:p>
      <w:pPr/>
      <w:r>
        <w:t>Sub-</w:t>
      </w:r>
    </w:p>
    <w:p>
      <w:pPr/>
      <w:r>
        <w:t>Sector:</w:t>
      </w:r>
    </w:p>
    <w:p>
      <w:pPr/>
      <w:r>
        <w:t>Obligations Concerned: National Treatment (Article 15.3) Most-Favored-Nation Treatment (Article 15.4) Local Presence (Article 15.6)</w:t>
      </w:r>
    </w:p>
    <w:p>
      <w:pPr/>
      <w:r>
        <w:t>Description: Cross Border Trade in Services Notwithstanding the entry at</w:t>
      </w:r>
    </w:p>
    <w:p>
      <w:pPr>
        <w:pStyle w:val="Normal"/>
      </w:pPr>
      <w:r>
        <w:t>, the United States reserves the right to adopt or maintain limitations on grants of authority for persons of Mexico to provide cross- border long-haul truck services in the territory of the United States outside the border commercial zones if the United States determines that limitations are required to address material harm or the threat of material harm to U.S. suppliers, operators, or drivers. The United States may only adopt such limitations on existing grants of authority if it determines that a change in circumstances warrants the limitation and if the limitation is required to address material harm. The Parties shall meet no later than five years after the entry into force of this agreement to exchange views on the operation of this entry.</w:t>
      </w:r>
    </w:p>
    <w:p>
      <w:pPr/>
      <w:r>
        <w:t>Existing</w:t>
      </w:r>
    </w:p>
    <w:p>
      <w:pPr/>
      <w:r>
        <w:t>Measures: 1 For purposes of this entry, “material harm” means a significant loss in the share of the U.S. market for long-haul truck services held by persons of the United States caused by or attributable to persons of Mexico.</w:t>
      </w:r>
    </w:p>
    <w:p>
      <w:pPr>
        <w:pStyle w:val="Normal"/>
      </w:pPr>
      <w:r>
        <w:t>2 For greater certainty, a substantial increase in services supplied by the grantee may constitute a change in circumstances. 3 The Parties confirm their shared understanding that current operations under existing grants of authority as of the date of entry into force of this Agreement are not causing material harm.</w:t>
      </w:r>
    </w:p>
    <w:p>
      <w:pPr>
        <w:pStyle w:val="Normal"/>
      </w:pPr>
      <w:r>
        <w:t/>
      </w:r>
    </w:p>
    <w:p>
      <w:pPr/>
      <w:r>
        <w:t>Sector: Betting and Gambling</w:t>
      </w:r>
    </w:p>
    <w:p>
      <w:pPr/>
      <w:r>
        <w:t>Sub-</w:t>
      </w:r>
    </w:p>
    <w:p>
      <w:pPr/>
      <w:r>
        <w:t>Sector:</w:t>
      </w:r>
    </w:p>
    <w:p>
      <w:pPr/>
      <w:r>
        <w:t>Obligations Concerned: National Treatment (Articles 14.4 and 15.3) Performance Requirements (Article 14.10) Senior Management and Boards of Directors (Article 14.11) Market Access (Article 15.5) Local Presence (Article 15.6)</w:t>
      </w:r>
    </w:p>
    <w:p>
      <w:pPr/>
      <w:r>
        <w:t>Description: Investment and Cross-Border Trade in Services The United States reserves the right to adopt or measure relating to betting and gambling services. maintain any</w:t>
      </w:r>
    </w:p>
    <w:p>
      <w:pPr/>
      <w:r>
        <w:t>Existing</w:t>
      </w:r>
    </w:p>
    <w:p>
      <w:pPr/>
      <w:r>
        <w:t>Measures:</w:t>
      </w:r>
    </w:p>
    <w:p>
      <w:pPr>
        <w:pStyle w:val="Normal"/>
      </w:pPr>
      <w:r>
        <w:t/>
      </w:r>
    </w:p>
    <w:p>
      <w:pPr/>
      <w:r>
        <w:t>Sector: All</w:t>
      </w:r>
    </w:p>
    <w:p>
      <w:pPr/>
      <w:r>
        <w:t>Sub-</w:t>
      </w:r>
    </w:p>
    <w:p>
      <w:pPr/>
      <w:r>
        <w:t>Sector:</w:t>
      </w:r>
    </w:p>
    <w:p>
      <w:pPr/>
      <w:r>
        <w:t>Obligations Concerned: Market Access (Article 15.5)</w:t>
      </w:r>
    </w:p>
    <w:p>
      <w:pPr/>
      <w:r>
        <w:t>Description: Cross-Border Trade in Services The United States reserves the right to adopt or maintain any measure that is not inconsistent with the United States’ obligations under Article XVI of the General Agreement on Trade in Services as set out in the U.S. Schedule of Specific Commitments under the GATS (GATS/SC/90, GATS/SC/90/Suppl.1, GATS/SC/90/Suppl.2, and GATS/SC/90/Suppl.3). For purposes of this entry only, the U.S. Schedule of Specific Commitments is modified as indicated in Appendix II-A.</w:t>
      </w:r>
    </w:p>
    <w:p>
      <w:pPr/>
      <w:r>
        <w:t>Existing</w:t>
      </w:r>
    </w:p>
    <w:p>
      <w:pPr/>
      <w:r>
        <w:t>Measures:</w:t>
      </w:r>
    </w:p>
    <w:p>
      <w:pPr>
        <w:pStyle w:val="Normal"/>
      </w:pPr>
      <w:r>
        <w:t/>
      </w:r>
    </w:p>
    <w:p>
      <w:pPr/>
      <w:r>
        <w:t>Sector: All</w:t>
      </w:r>
    </w:p>
    <w:p>
      <w:pPr/>
      <w:r>
        <w:t>Sub-</w:t>
      </w:r>
    </w:p>
    <w:p>
      <w:pPr/>
      <w:r>
        <w:t>Sector:</w:t>
      </w:r>
    </w:p>
    <w:p>
      <w:pPr/>
      <w:r>
        <w:t>Obligations Concerned: Most-Favored-Nation Treatment (Articles 14.5 and 15.4)</w:t>
      </w:r>
    </w:p>
    <w:p>
      <w:pPr/>
      <w:r>
        <w:t>Description: Investment and Cross-Border Trade in Services The United States reserves the right to adopt or maintain any measure that accords differential treatment to countries under any bilateral or multilateral international agreement in force or signed prior to the date of entry into force of this Agreement. The United States reserves the right to adopt or maintain any measure that accords differential treatment to countries under any bilateral or multilateral international agreement in force or signed after the date of entry into force of this Agreement involving: (a) aviation; (b) fisheries; or (c) maritime matters, including salvage.</w:t>
      </w:r>
    </w:p>
    <w:p>
      <w:pPr/>
      <w:r>
        <w:t>Existing</w:t>
      </w:r>
    </w:p>
    <w:p>
      <w:pPr/>
      <w:r>
        <w:t>Measures:</w:t>
      </w:r>
    </w:p>
    <w:p>
      <w:pPr>
        <w:pStyle w:val="Normal"/>
      </w:pPr>
      <w:r>
        <w:t>Appendix II-A For the following Sectors, U.S. obligations under Article XVI of the GATS as set out in the U.S. Schedule of Specific Commitments under the GATS (GATS/SC/90, GATS/SC/90/Suppl.1, GATS/SC/90/Suppl.2, and GATS/SC/90/Suppl.3) are improved as described. Sector/Subsector Market Access Improvements Foreign Legal Consulting Services Insert new commitments for the following states: Louisiana, New Mexico: No limitations for modes 1-3 and mode 4 “Unbound, except as indicated in the horizontal section”. Arizona, Indiana, Massachusetts, North Carolina, Utah: No limitations modes 1-2; for mode 3 “in-state law office required”, and mode 4 “Unbound, except as indicated in the horizontal section. Additionally, an in-state law office required”. Missouri: No limitations modes 1-2; for mode 3 “Association with in-state law office required”, and mode 4 “Unbound, except as indicated in the horizontal section. Additionally, association with an in-state law office required”.</w:t>
      </w:r>
    </w:p>
    <w:p>
      <w:pPr>
        <w:pStyle w:val="Normal"/>
      </w:pPr>
      <w:r>
        <w:t>Accounting, Auditing, and Bookkeeping Services Modify mode 3 limitation as follows: Sole proprietorships or partnerships are limited to persons licensed as accountants, except in Iowa where accounting firms must incorporate Modify mode 4 limitation as follows: In addition, an in-state office must be maintained for licensure in to receive a license to perform audits in: Engineering Services Integrated Engineering Services Replace existing description of Mode 4 with “Unbound, except as indicated in the horizontal section”. Research and development services: R&amp;D services on natural sciences, social sciences and humanities, and interdisciplinary R&amp;D services, excluding R&amp;D financed in whole or in part by public funds Insert new commitments with no limitations for modes 1-3 and mode 4 “Unbound, except as indicated in the horizontal section”. Technical testing and analysis services, other Insert new commitments with no limitations for</w:t>
      </w:r>
    </w:p>
    <w:p>
      <w:pPr>
        <w:pStyle w:val="Normal"/>
      </w:pPr>
      <w:r>
        <w:t>Sector/Subsector Market Access Improvements than government-mandated services or services financed in whole or in part by public funds modes 1-3 and mode 4 “Unbound, except as indicated in the horizontal section”. Other business services: Other Insert new commitments for “Other” under “Other business services” with no limitations for modes 1-3 and mode 4 “Unbound, except as indicated in the horizontal section”. Express Delivery Services Insert new commitments with no limitations for modes 1-3 and mode 4 “Unbound, except as indicated in the horizontal section”. Other Delivery Services Insert new commitments with no limitations for modes 1-3 and mode 4 “Unbound, except as indicated in the horizontal section”. Multi-channel video services over provider- owned cable systems Insert new commitments with no limitations for modes 1-3 and mode 4 “Unbound, except as indicated in the horizontal section”.</w:t>
      </w:r>
    </w:p>
    <w:p>
      <w:pPr>
        <w:pStyle w:val="Normal"/>
      </w:pPr>
      <w:r>
        <w:t>Information services (the offering of a capability for generating, acquiring, storing transforming, processing, retrieving, utilizing, or making available information via telecommunications, and includes electronic publishing) Insert new commitments with no limitations for modes 1-3 and mode 4 “Unbound, except as indicated in the horizontal section”. Higher Education Services (except flying instruction) Insert new commitments with no limitations for modes 1-3 and mode 4 “Unbound, except as indicated in the horizontal section”.</w:t>
      </w:r>
    </w:p>
    <w:p>
      <w:pPr>
        <w:pStyle w:val="Normal"/>
      </w:pPr>
      <w:r>
        <w:t>Motion Picture &amp; Video Tape Home Video Entertainment Production and Distribution Promotion or advertising services Motion picture or video tape production Insert commitments according to this revised classification with no limitations for modes 1-3 and mode 4 “Unbound, except as indicated in the horizontal section”. 4 For transparency purposes, individual U.S. institutions maintain autonomy in admission policies, in setting tuition rates, and in the development of curricula or course content. Educational and training entities must comply with requirements of the jurisdiction in which the facility is established. In some jurisdictions, accreditation of institutions or programs may be required. Institutions maintain autonomy in selecting the jurisdiction in which they will operate, and institutions and programs maintain autonomy in choosing to meet standards set by accrediting organizations as well as to continue accredited status. Accrediting organizations maintain autonomy in setting accreditation standards. Tuition rates may vary for in-state and out-of-state residents. Additionally, admissions policies include considerations of equal opportunity for students (regardless of race, ethnicity, or gender), as permitted by domestic law, as well as recognition by regional, national, or specialty organizations; and required standards must be met to obtain and maintain accreditation. To participate in the U.S.</w:t>
      </w:r>
    </w:p>
    <w:p>
      <w:pPr>
        <w:pStyle w:val="Normal"/>
      </w:pPr>
      <w:r>
        <w:t>student loan program, foreign institutions established in the United States are subject to the same requirements as U.S. institutions. 5 For purposes of clarity, this class refers to theatrical and non-theatrical motion pictures, whether provided on fixed media or electronically.</w:t>
      </w:r>
    </w:p>
    <w:p>
      <w:pPr>
        <w:pStyle w:val="Normal"/>
      </w:pPr>
      <w:r>
        <w:t>Sector/Subsector Market Access Improvements services Motion picture or video tape distribution services Other services in connection with motion pictures and video tape production and distribution Motion Picture Projection Services Radio and Television Services Radio and Television Distribution Services Other services in connection with motion pictures and video tape production and distribution Environmental Services Insert commitments according to this revised classification with no limitations for modes 1-3 Wastewater Management, excluding Water for and mode 4 “Unbound, except as indicated in Human Use (Wastewater services (contracted by the horizontal section”. private industry)) Solid/hazardous waste management (contracted by private industry) Refuse disposal services Sanitation and Similar Services Protection of ambient air and climate (Services to reduce exhaust gases and other emissions to improve air quality) Remediation and cleanup of soil and water (Treatment, remediation of contaminated/ polluted soil and water) Noise and vibration abatement (Noise abatement 6 For greater clarity, distribution services in this context may include the licensing of motion pictures or video tapes to other service providers for exhibition, broadcasting, or other transmission, rental, sale or other use.</w:t>
      </w:r>
    </w:p>
    <w:p>
      <w:pPr>
        <w:pStyle w:val="Normal"/>
      </w:pPr>
      <w:r>
        <w:t>Sector/Subsector Market Access Improvements services) Protection of biodiversity and landscape (Nature and landscape protection services) Other environmental and ancillary services (Other services not classified elsewhere) 7, 8 Physical well-being services Insert new commitments with no limitations for modes 1-3 and mode 4 “Unbound, except as indicated in the horizontal section”. Road freight transport Insert new commitments for domestic transportation with no limitations for modes 1-3 and mode 4 “Unbound, except as indicated in the horizontal section”. Cargo-handling services, Storage and warehouse services, and Freight transport agency services, except maritime or air transport services Insert new commitments with no limitations for modes 1-3 and mode 4 “Unbound, except as indicated in the horizontal section”. 7 For transparency purposes, this subsector includes physical well-being services such as delivered by, inter alia, fitness centers, spas, salons, massage (excluding therapeutic massage), and ayurvedics. This subsector does not include regulated medical services. 8 For greater certainty, nothing in this commitment authorizes the provision of unregulated substances or affects the ability of state authorities to regulate substances that may be affiliated with these services.</w:t>
      </w:r>
    </w:p>
    <w:p>
      <w:pPr>
        <w:pStyle w:val="Heading1"/>
      </w:pPr>
      <w:bookmarkStart w:id="901534" w:name="_Toc300001533"/>
      <w:r>
        <w:t/>
      </w:r>
      <w:bookmarkEnd w:id="901534"/>
    </w:p>
    <w:p>
      <w:pPr>
        <w:pStyle w:val="Normal"/>
      </w:pPr>
      <w:r>
        <w:t>ANNEX III EXPLANATORY NOTE 1. The Schedule of a Party to this Annex sets out: (a) headnotes or introductory notes that limit or clarify the commitments of a Party with respect to the obligations described in paragraphs 1(b) and 1(c); (b) in Section A, pursuant to Article 17.10.1 (Non-Conforming Measures), a Party’s existing measures that are not subject to some or all of the obligations imposed by: (i) Article 17.3 (National Treatment), (ii) Article 17.4 (Most-Favored-Nation Treatment), (iii) Article 17.5 (Market Access), or (iv) Article 17.9 (Senior Management and Boards of Directors); and (c) in Section B, pursuant to Article 17.10.2 (Non-Conforming Measures), the specific sectors, subsectors or activities for which a Party may maintain existing, or adopt new or more restrictive, measures that do not conform with obligations imposed by: (i) Article 17.3 (National Treatment), (ii) Article 17.4 (Most-Favored-Nation Treatment), (iii) Article 17.5 (Market Access), (iv) Article 17.6 (Cross-Border Trade Standstill), or (v) Article 17.9 (Senior Management and Boards of Directors). 2. Each Schedule entry in Section A sets out the following elements:</w:t>
      </w:r>
    </w:p>
    <w:p>
      <w:pPr>
        <w:pStyle w:val="Normal"/>
      </w:pPr>
      <w:r>
        <w:t>(a) Sector refers to the sector for which the entry is made; (b) Sub-Sector, where referenced, refers to the specific subsector for which the entry is made; (c) Obligations Concerned specifies the obligations referred to in paragraph 1(b) that, pursuant to Article 17.10.1(a) (Non-Conforming Measures), do not apply</w:t>
      </w:r>
    </w:p>
    <w:p>
      <w:pPr>
        <w:pStyle w:val="Normal"/>
      </w:pPr>
      <w:r>
        <w:t>ANNEX III – EXPLANATORY NOTE – 1 to the listed measures as indicated in the headnote or introductory note for each Party’s Schedule; (d) Level of Government indicates the level of government maintaining the listed measures; (e) Measures identifies the laws, regulations or other measures for which the entry is made. A measure cited in the Measures element: (i) means the measure as amended, continued or renewed as of the date of entry into force of this Agreement, and (ii) includes any subordinate measure adopted or maintained under the authority of and consistent with the measure; and (f) Description, as indicated in the headnote or introductory note for each Party’s Schedule, either sets out the non-conforming measure or provides a general non-binding description of the measure for which the entry is made. 3.</w:t>
      </w:r>
    </w:p>
    <w:p>
      <w:pPr>
        <w:pStyle w:val="Normal"/>
      </w:pPr>
      <w:r>
        <w:t>Each Schedule entry in Section B sets out the following elements: (a) Sector refers to the sector for which the entry is made; (b) Sub-Sector, where referenced, refers to the specific subsector for which the entry is made; (c) Obligations Concerned specifies the obligations referred to in paragraph 1(c) that, pursuant to Article 17.10.2 (Non-Conforming Measures), do not apply to the sectors, subsectors or activities listed in the entry; (d) Level of Government indicates the level of government maintaining the listed measures; (e) Description sets out the scope or nature of the sectors, subsectors or activities covered by the entry to which the reservation applies; and (f) Existing Measures identifies, for transparency purposes, a non-exhaustive list of existing measures that apply to the sectors, subsectors or activities covered by the entry. 4. Parties recognize that measures falling under exceptions applicable to this Chapter, such as those in Article 17.11 (Exceptions), need not be scheduled. Nevertheless, some Parties have listed measures that may fall within applicable exceptions. For greater certainty, the listing of a measure in a Party’s Schedule to Annex III is without prejudice to whether that measure or any other measure: (a) adopted or maintained by the Party; or</w:t>
      </w:r>
    </w:p>
    <w:p>
      <w:pPr>
        <w:pStyle w:val="Normal"/>
      </w:pPr>
      <w:r>
        <w:t>ANNEX III – EXPLANATORY NOTE – 2 (b) adopted or maintained by any other Party; is covered by exceptions such as those in Article 17.11 (Exceptions).</w:t>
      </w:r>
    </w:p>
    <w:p>
      <w:pPr>
        <w:pStyle w:val="Heading1"/>
      </w:pPr>
      <w:bookmarkStart w:id="901535" w:name="_Toc300001534"/>
      <w:r>
        <w:t>ANNEX III – EXPLANATORY NOTE – 3</w:t>
      </w:r>
      <w:bookmarkEnd w:id="901535"/>
    </w:p>
    <w:p>
      <w:pPr>
        <w:pStyle w:val="Normal"/>
      </w:pPr>
      <w:r>
        <w:t>ANNEX III SCHEDULE OF CANADA INTRODUCTORY NOTES 1. For Canada, in the interpretation of a reservation in Section A, all elements of the reservation shall be considered. A reservation shall be interpreted in light of the relevant provisions of the Chapter against which the reservation is taken. To the extent that: (a) the Measures element is qualified by a specific reference in the Description element, the Measures element as so qualified prevails over all other elements; and (b) the Measures element is not so qualified, the Measures element prevails over all other elements, unless any discrepancy between the Measures element and the other elements considered in their totality is so substantial and material that it would be unreasonable to conclude that the Measures element should prevail, in which case the other elements prevail to the extent of that discrepancy. 2. For Canada, in the interpretation of a reservation in Section B, all elements of the reservation shall be considered. The Description element prevails over all other elements.</w:t>
      </w:r>
    </w:p>
    <w:p>
      <w:pPr>
        <w:pStyle w:val="Normal"/>
      </w:pPr>
      <w:r>
        <w:t>Headnotes 1. Commitments under this Agreement, in the subsectors listed in this Schedule, are undertaken subject to the limitations and conditions set forth in these headnotes and in the Schedule below. 2. To clarify Canada’s commitment with respect to Article 17.5 (Market Access), a juridical person supplying a financial service and constituted under the laws of Canada is subject to non discriminatory limitations on juridical form.1 3. Article 17.10.1(c) (Non-Conforming Measures) shall not apply to non-conforming measures relating to Article 17.5.1(e) (Market Access). For example, partnerships and sole proprietorships are generally not acceptable juridical forms for a financial institution in Canada. This headnote is not itself intended to affect, or otherwise limit, a choice by a financial institution of the other Party between branches or subsidiaries.</w:t>
      </w:r>
    </w:p>
    <w:p>
      <w:pPr>
        <w:pStyle w:val="Normal"/>
      </w:pPr>
      <w:r>
        <w:t>Section A A-1</w:t>
      </w:r>
    </w:p>
    <w:p>
      <w:pPr/>
      <w:r>
        <w:t>Sector: Financial Services Subsector: Banking and Other Financial Services (Excluding Insurance)</w:t>
      </w:r>
    </w:p>
    <w:p>
      <w:pPr/>
      <w:r>
        <w:t>Obligations Concerned: Market Access (Article 17.5.1(a))</w:t>
      </w:r>
    </w:p>
    <w:p>
      <w:pPr/>
      <w:r>
        <w:t>Level of Government: Central</w:t>
      </w:r>
    </w:p>
    <w:p>
      <w:pPr/>
      <w:r>
        <w:t>Measures: Bank Act, S.C. 1991, c.46, s. 524</w:t>
      </w:r>
    </w:p>
    <w:p>
      <w:pPr/>
      <w:r>
        <w:t>Description: In order to establish a bank branch, a foreign bank must be a bank in the jurisdiction under whose laws it is incorporated.</w:t>
      </w:r>
    </w:p>
    <w:p>
      <w:pPr>
        <w:pStyle w:val="Normal"/>
      </w:pPr>
      <w:r>
        <w:t>A-2</w:t>
      </w:r>
    </w:p>
    <w:p>
      <w:pPr/>
      <w:r>
        <w:t>Sector: Financial Services Subsector: Banking and Other Financial Services (Excluding Insurance)</w:t>
      </w:r>
    </w:p>
    <w:p>
      <w:pPr/>
      <w:r>
        <w:t>Obligations Concerned: National Treatment (Articles 17.3.1 and 17.3.2) Market Access (Article 17.5.1(a))</w:t>
      </w:r>
    </w:p>
    <w:p>
      <w:pPr/>
      <w:r>
        <w:t>Level of Government: Central</w:t>
      </w:r>
    </w:p>
    <w:p>
      <w:pPr/>
      <w:r>
        <w:t>Measures: Bank Act, S.C. 1991, c.46 s. 520, 524, 540, 545 Sales or Trades (Authorized Foreign Banks) Regulations, SOR/2000-52</w:t>
      </w:r>
    </w:p>
    <w:p>
      <w:pPr/>
      <w:r>
        <w:t>Description: A foreign bank must establish accepting retail deposits. a subsidiary as a condition for A foreign lending branch may not accept deposits.</w:t>
      </w:r>
    </w:p>
    <w:p>
      <w:pPr>
        <w:pStyle w:val="Normal"/>
      </w:pPr>
      <w:r>
        <w:t>A-3</w:t>
      </w:r>
    </w:p>
    <w:p>
      <w:pPr/>
      <w:r>
        <w:t>Sector: Financial Services</w:t>
      </w:r>
    </w:p>
    <w:p>
      <w:pPr/>
      <w:r>
        <w:t>Sub-</w:t>
      </w:r>
    </w:p>
    <w:p>
      <w:pPr/>
      <w:r>
        <w:t>Sector: All</w:t>
      </w:r>
    </w:p>
    <w:p>
      <w:pPr/>
      <w:r>
        <w:t>Obligations Concerned: Market Access (Article 17.5.1(a))</w:t>
      </w:r>
    </w:p>
    <w:p>
      <w:pPr/>
      <w:r>
        <w:t>Level of Government: Central</w:t>
      </w:r>
    </w:p>
    <w:p>
      <w:pPr/>
      <w:r>
        <w:t>Measures: Trust and Loan Companies Act, S.C. 1991, c.45 Bank Act, S.C. 1991, c.46 Cooperative Credit Associations Act, S.C. 1991, c.48 Insurance Companies Act, S.C. 1991, c.47</w:t>
      </w:r>
    </w:p>
    <w:p>
      <w:pPr/>
      <w:r>
        <w:t>Description: Federal laws do not permit a company established under the Trust and Loan Companies Act, a cooperative credit Association, or a fraternal benefit society in Canada to be established through a branch of corporations organized under a foreign country’s law.</w:t>
      </w:r>
    </w:p>
    <w:p>
      <w:pPr>
        <w:pStyle w:val="Normal"/>
      </w:pPr>
      <w:r>
        <w:t>A-4</w:t>
      </w:r>
    </w:p>
    <w:p>
      <w:pPr/>
      <w:r>
        <w:t>Sector: Financial Services Subsector: All</w:t>
      </w:r>
    </w:p>
    <w:p>
      <w:pPr/>
      <w:r>
        <w:t>Obligations Concerned: Market Access (Article 17.5.1(a))</w:t>
      </w:r>
    </w:p>
    <w:p>
      <w:pPr/>
      <w:r>
        <w:t>Level of Government: Central</w:t>
      </w:r>
    </w:p>
    <w:p>
      <w:pPr/>
      <w:r>
        <w:t>Measures: Bank Act, S.C. 1991, c.46 s. 510, 522.16, 524 Insurance Companies Act, S.C. 1991, c.47 s. 573, 574, 581</w:t>
      </w:r>
    </w:p>
    <w:p>
      <w:pPr/>
      <w:r>
        <w:t>Description: A bank branch must be established directly under the authorized foreign bank incorporated in the jurisdiction where the authorized foreign bank principally carries on business. A foreign entity authorized to insure, in Canada, risks must be established directly under the foreign insurance company incorporated in the jurisdiction where the foreign insurance company, either directly or through a subsidiary, principally carries on business.</w:t>
      </w:r>
    </w:p>
    <w:p>
      <w:pPr>
        <w:pStyle w:val="Normal"/>
      </w:pPr>
      <w:r>
        <w:t>A-5</w:t>
      </w:r>
    </w:p>
    <w:p>
      <w:pPr/>
      <w:r>
        <w:t>Sector: Financial Services Subsector: Banking and Other Financial Services (Excluding Insurance)</w:t>
      </w:r>
    </w:p>
    <w:p>
      <w:pPr/>
      <w:r>
        <w:t>Obligations Concerned: National Treatment (Articles 17.3.1 and 17.3.2) Market Access (Article 17.5.1(a))</w:t>
      </w:r>
    </w:p>
    <w:p>
      <w:pPr/>
      <w:r>
        <w:t>Level of Government: Central</w:t>
      </w:r>
    </w:p>
    <w:p>
      <w:pPr/>
      <w:r>
        <w:t>Measures: Bank Act, S.C. 1991, c.46 s. 520, 540, 545 Schedule I and Schedule II to the Bank Act Canada Deposit Insurance Corporation Act, R.S.C. 1985, c. C-3 s. 2, 8, 17</w:t>
      </w:r>
    </w:p>
    <w:p>
      <w:pPr/>
      <w:r>
        <w:t>Description: Full service foreign bank branches and lending foreign bank branches are prohibited from becoming member institutions of the Canada Deposit Insurance Corporation.</w:t>
      </w:r>
    </w:p>
    <w:p>
      <w:pPr>
        <w:pStyle w:val="Normal"/>
      </w:pPr>
      <w:r>
        <w:t>A-6</w:t>
      </w:r>
    </w:p>
    <w:p>
      <w:pPr/>
      <w:r>
        <w:t>Sector: Financial Services Subsector: Banking and Other Financial Services (Excluding Insurance)</w:t>
      </w:r>
    </w:p>
    <w:p>
      <w:pPr/>
      <w:r>
        <w:t>Obligations Concerned: National Treatment (Articles 17.3.1 and 17.3.2) Market Access (Article 17.5.1(a))</w:t>
      </w:r>
    </w:p>
    <w:p>
      <w:pPr/>
      <w:r>
        <w:t>Level of Government: Central</w:t>
      </w:r>
    </w:p>
    <w:p>
      <w:pPr/>
      <w:r>
        <w:t>Measures: Canadian Payments Act, R.S.C. 1985, c. C-21 s. 2, 4 Bank Act, S.C. 1991, c.46 s. 524, 540</w:t>
      </w:r>
    </w:p>
    <w:p>
      <w:pPr/>
      <w:r>
        <w:t>Description: Lending branches of foreign members of Payments Canada. banks are prohibited from being</w:t>
      </w:r>
    </w:p>
    <w:p>
      <w:pPr>
        <w:pStyle w:val="Normal"/>
      </w:pPr>
      <w:r>
        <w:t>A-7</w:t>
      </w:r>
    </w:p>
    <w:p>
      <w:pPr/>
      <w:r>
        <w:t>Sector: Financial Services Subsector: All</w:t>
      </w:r>
    </w:p>
    <w:p>
      <w:pPr/>
      <w:r>
        <w:t>Obligations Concerned: National Treatment (Article 17.3) Most Favored Nation Treatment (Article 17.4) Senior Management and Boards of Directors (Article 17.9)</w:t>
      </w:r>
    </w:p>
    <w:p>
      <w:pPr/>
      <w:r>
        <w:t>Level of Government: Regional</w:t>
      </w:r>
    </w:p>
    <w:p>
      <w:pPr/>
      <w:r>
        <w:t>Description: All existing Territories. non-conforming measures of all Provinces and</w:t>
      </w:r>
    </w:p>
    <w:p>
      <w:pPr>
        <w:pStyle w:val="Normal"/>
      </w:pPr>
      <w:r>
        <w:t>Section B B-1</w:t>
      </w:r>
    </w:p>
    <w:p>
      <w:pPr/>
      <w:r>
        <w:t>Sector: Financial Services Subsector: All</w:t>
      </w:r>
    </w:p>
    <w:p>
      <w:pPr/>
      <w:r>
        <w:t>Obligations Concerned: National Treatment (Article 17.3.1 and 17.3.2)</w:t>
      </w:r>
    </w:p>
    <w:p>
      <w:pPr/>
      <w:r>
        <w:t>Level of Government: Central</w:t>
      </w:r>
    </w:p>
    <w:p>
      <w:pPr/>
      <w:r>
        <w:t>Description: With regard to the Canada Mortgage and Housing Corporation and Canada Housing Trusts, Canada reserves the right to adopt or maintain a measure that grants advantages to these entities or any new, reorganized, or transferee entities having similar functions and objectives with respect to housing finance.</w:t>
      </w:r>
    </w:p>
    <w:p>
      <w:pPr>
        <w:pStyle w:val="Normal"/>
      </w:pPr>
      <w:r>
        <w:t>B-2</w:t>
      </w:r>
    </w:p>
    <w:p>
      <w:pPr/>
      <w:r>
        <w:t>Sector: Financial Services Subsector: All</w:t>
      </w:r>
    </w:p>
    <w:p>
      <w:pPr/>
      <w:r>
        <w:t>Obligations Concerned: Market Access (Article 17.5), except Article 17.5.1(b)</w:t>
      </w:r>
    </w:p>
    <w:p>
      <w:pPr/>
      <w:r>
        <w:t>Level of Government: Regional</w:t>
      </w:r>
    </w:p>
    <w:p>
      <w:pPr/>
      <w:r>
        <w:t>Description: Canada reserves the right to adopt or maintain a measure that is not inconsistent with Canada’s obligations under the General Agreement on Trade in Services.</w:t>
      </w:r>
    </w:p>
    <w:p>
      <w:pPr>
        <w:pStyle w:val="Normal"/>
      </w:pPr>
      <w:r>
        <w:t>B-3</w:t>
      </w:r>
    </w:p>
    <w:p>
      <w:pPr/>
      <w:r>
        <w:t>Sector: Financial Services Subsector: All, except services under Canada’s paragraph 2(c) and (d) of Annex 17-A</w:t>
      </w:r>
    </w:p>
    <w:p>
      <w:pPr/>
      <w:r>
        <w:t>Obligations Concerned: Market Access (Article 17.5.1(b))</w:t>
      </w:r>
    </w:p>
    <w:p>
      <w:pPr/>
      <w:r>
        <w:t>Level of Government: Regional</w:t>
      </w:r>
    </w:p>
    <w:p>
      <w:pPr/>
      <w:r>
        <w:t>Description: Canada reserves the right to adopt or maintain a measure that is not inconsistent with the Canada-European Union Comprehensive Economic and Trade Agreement (“CETA”) done at Brussels, on October 30, 2016. The reference to CETA in this reservation is to the agreement as signed and this reservation is applicable even if CETA is terminated.</w:t>
      </w:r>
    </w:p>
    <w:p>
      <w:pPr>
        <w:pStyle w:val="Normal"/>
      </w:pPr>
      <w:r>
        <w:t>B.4</w:t>
      </w:r>
    </w:p>
    <w:p>
      <w:pPr/>
      <w:r>
        <w:t>Sector: Financial Services Subsector: Banking and Other Financial Services (Excluding Insurance)</w:t>
      </w:r>
    </w:p>
    <w:p>
      <w:pPr/>
      <w:r>
        <w:t>Obligations Concerned: Cross-Border Trade Standstill (Article 17.6)</w:t>
      </w:r>
    </w:p>
    <w:p>
      <w:pPr/>
      <w:r>
        <w:t>Level of Government: Regional</w:t>
      </w:r>
    </w:p>
    <w:p>
      <w:pPr/>
      <w:r>
        <w:t>Description: Canada reserves the right to adopt or maintain a measure relating to cross-border trade in securities and derivatives services.</w:t>
      </w:r>
    </w:p>
    <w:p>
      <w:pPr>
        <w:pStyle w:val="Heading1"/>
      </w:pPr>
      <w:bookmarkStart w:id="901536" w:name="_Toc300001535"/>
      <w:r>
        <w:t/>
      </w:r>
      <w:bookmarkEnd w:id="901536"/>
    </w:p>
    <w:p>
      <w:pPr>
        <w:pStyle w:val="Normal"/>
      </w:pPr>
      <w:r>
        <w:t>ANNEX III SCHEDULE OF MEXICO HEADNOTES 1. Commitments in the financial services sector under this Agreement are undertaken subject to the limitations and conditions set forth in these headnotes and in the Schedule below. 2. With respect to Article 17.5 (Market Access), a juridical persons supplying financial services and constituted under the laws of Mexico is subject to non-discriminatory limitations on juridical form. 3. Paragraph 1(c) of Article 17.10 (Non-Conforming Measures) shall not apply to those non-conforming measures relating to paragraph 1(e) of Article 17.5 (Market Access). 4. Description, provides a general non-binding description of the measure for which the entry is made. 5. In the interpretation of a reservation in Section A, all elements of the entry shall be considered. The Measures element shall prevail over all other elements. 6. In the interpretation of a reservation in Section B, all elements of the entry shall be considered. The Description element shall prevail over all other elements.</w:t>
      </w:r>
    </w:p>
    <w:p>
      <w:pPr>
        <w:pStyle w:val="Normal"/>
      </w:pPr>
      <w:r>
        <w:t>SECTION A A-1</w:t>
      </w:r>
    </w:p>
    <w:p>
      <w:pPr/>
      <w:r>
        <w:t>Sector: Financial Services</w:t>
      </w:r>
    </w:p>
    <w:p>
      <w:pPr/>
      <w:r>
        <w:t>Sub-</w:t>
      </w:r>
    </w:p>
    <w:p>
      <w:pPr/>
      <w:r>
        <w:t>Sector: Banking and other Financial Services (excluding Insurance)</w:t>
      </w:r>
    </w:p>
    <w:p>
      <w:pPr/>
      <w:r>
        <w:t>Obligations Concerned: National Treatment (Article 17.3.1 and 17.3.2)</w:t>
      </w:r>
    </w:p>
    <w:p>
      <w:pPr/>
      <w:r>
        <w:t>Level of Government: Central</w:t>
      </w:r>
    </w:p>
    <w:p>
      <w:pPr/>
      <w:r>
        <w:t>Measures: Credit Unions Law (Ley de Uniones de Crédito); Article 21 General Law of Credit Organizations and Auxiliary Activities (Ley General de Organizaciones y Actividades Auxiliares del Crédito); Article 87-D</w:t>
      </w:r>
    </w:p>
    <w:p>
      <w:pPr/>
      <w:r>
        <w:t>Description: Participation by an individual or legal entity, whether direct or indirect, in the capital stock of a credit union or a regulated multiple purpose financial entity linked to a credit union shall not exceed 15 percent, unless authorized by the National Banking and Securities Commission (Comisión Nacional Bancaria y de Valores) (CNBV). Without prejudice to the preceding paragraph, a foreign individual or legal entity, including a foreign legal entity with no legal personality, may participate indirectly in the capital stock of a credit union or a regulated multiple purpose financial entity linked to a credit union up to 15 percent, provided that the respective shares of the credit union are purchased by a Mexican legal entity in which such foreign individual or legal entity holds a participation.</w:t>
      </w:r>
    </w:p>
    <w:p>
      <w:pPr>
        <w:pStyle w:val="Normal"/>
      </w:pPr>
      <w:r>
        <w:t>A-2</w:t>
      </w:r>
    </w:p>
    <w:p>
      <w:pPr/>
      <w:r>
        <w:t>Sector:</w:t>
      </w:r>
    </w:p>
    <w:p>
      <w:pPr/>
      <w:r>
        <w:t>Sub-</w:t>
      </w:r>
    </w:p>
    <w:p>
      <w:pPr/>
      <w:r>
        <w:t>Sector:</w:t>
      </w:r>
    </w:p>
    <w:p>
      <w:pPr/>
      <w:r>
        <w:t>Obligations Concerned:</w:t>
      </w:r>
    </w:p>
    <w:p>
      <w:pPr/>
      <w:r>
        <w:t>Level of Government:</w:t>
      </w:r>
    </w:p>
    <w:p>
      <w:pPr/>
      <w:r>
        <w:t>Measures:</w:t>
      </w:r>
    </w:p>
    <w:p>
      <w:pPr/>
      <w:r>
        <w:t>Description: Financial Services All Services National Treatment (Article 17.3.1 and 17.3.2) Market Access (Article 17.5.1(a)) Central Law to Regulate Financial Groups (Ley para Regular las Agrupaciones Financieras); Articles 67, 68, 70, 72, 74 and 76 Credit Institutions Law (Ley de Instituciones de Crédito); Articles 45-A, 45-B, 45-C 45-E, 45-G and 45-I Securities Market Law (Ley del Mercado de Valores); Articles 2, 160, 161, 163, 165 and 167 Insurance and Surety Institutions Law (Ley de Instituciones de Seguros y Fianzas); Articles 2, 74, 75, 77, 78, 79 and 81. General Law of Credit Organizations and Auxiliary Activities (Ley General de Organizaciones y Actividades Auxiliares del Crédito); Articles 45 Bis 1, 45 Bis 2, 45 Bis 3, 45 Bis 5 45 Bis 7 and 45 Bis 9 Investment Funds Law (Ley de Fondos de Inversión); Articles 62, 63, 64, 66, 68 and 70 Retirement Savings Systems Law (Ley de los Sistemas de Ahorro para el Retiro);</w:t>
      </w:r>
    </w:p>
    <w:p>
      <w:pPr>
        <w:pStyle w:val="Normal"/>
      </w:pPr>
      <w:r>
        <w:t>Article 21 Rules for the Establishment of Foreign Financial Institution Subsidiaries (Reglas para el establecimiento de Filiales de Instituciones Financieras del Exterior); First, Eighth and Ninth Rules A financial institution of another Party may invest in the capital stock of a holding company of a financial group, a commercial bank, a securities firm, a surety institution, an insurance institution, a foreign exchange firm, a general deposit warehouse, a</w:t>
      </w:r>
    </w:p>
    <w:p>
      <w:pPr>
        <w:pStyle w:val="Normal"/>
      </w:pPr>
      <w:r>
        <w:t>managing company of investment funds, a distributing company of investment fund shares, and a retirement funds management company, organized as a Mexican subsidiary (filial) of a foreign financial institution, if that financial institution of the other Party meets the following conditions: (a) directly or indirectly carries out in the territory of that other Party, in accordance with applicable law, the same type of financial service that the respective subsidiary is allowed</w:t>
      </w:r>
    </w:p>
    <w:p>
      <w:pPr>
        <w:pStyle w:val="Normal"/>
      </w:pPr>
      <w:r>
        <w:t>to carry out in Mexico; (b) is incorporated in and under the laws of that other Party provided further that such Party remains as a party to this Agreement, and (c) obtains prior authorization from the competent Mexican financial authorities and complies with the requirements set out in the respective law. A financial institution of another Party must own at least 51 percent of the subsidiary’s capital stock.</w:t>
      </w:r>
    </w:p>
    <w:p>
      <w:pPr>
        <w:pStyle w:val="Normal"/>
      </w:pPr>
      <w:r>
        <w:t>A-3</w:t>
      </w:r>
    </w:p>
    <w:p>
      <w:pPr/>
      <w:r>
        <w:t>Sector: Financial Services</w:t>
      </w:r>
    </w:p>
    <w:p>
      <w:pPr/>
      <w:r>
        <w:t>Sub-</w:t>
      </w:r>
    </w:p>
    <w:p>
      <w:pPr/>
      <w:r>
        <w:t>Sector: All Services</w:t>
      </w:r>
    </w:p>
    <w:p>
      <w:pPr/>
      <w:r>
        <w:t>Obligations Concerned: Market Access (Article 17.5.1(a))</w:t>
      </w:r>
    </w:p>
    <w:p>
      <w:pPr/>
      <w:r>
        <w:t>Level of Government: Central</w:t>
      </w:r>
    </w:p>
    <w:p>
      <w:pPr/>
      <w:r>
        <w:t>Measures: Law to Regulate Financial Groups (Ley para Regular las Agrupaciones Financieras); Article 67 Credit Institutions Law (Ley de Instituciones de Crédito); Article 45-A Securities Market Law (Ley del Mercado de Valores); Article 2 Insurance and Surety Institutions Law (Ley de Instituciones de Seguros y Fianzas); Article 2 General Law of Credit Organizations and Auxiliary Activities (Ley General de Organizaciones y Actividades Auxiliares del Crédito); Article 45 Bis 1 Investment Funds Law (Ley de Fondos de Inversión); Article 62 Retirement Savings Systems Law (Ley de los Sistemas de Ahorro para el Retiro); Article 21 Rules for the Establishment of Foreign Financial Institution Subsidiaries (Reglas para el establecimiento de Filiales de Instituciones Financieras del Exterior); First Rule</w:t>
      </w:r>
    </w:p>
    <w:p>
      <w:pPr/>
      <w:r>
        <w:t>Description: A financial institution of another Party, as any other foreign financial institution, is not permitted to establish branches within Mexican territory.1 For clarification purposes, this wording should not be considered as a departure from Mexico’s position in other international agreements it has entered into.</w:t>
      </w:r>
    </w:p>
    <w:p>
      <w:pPr>
        <w:pStyle w:val="Normal"/>
      </w:pPr>
      <w:r>
        <w:t>A-4</w:t>
      </w:r>
    </w:p>
    <w:p>
      <w:pPr/>
      <w:r>
        <w:t>Sector:</w:t>
      </w:r>
    </w:p>
    <w:p>
      <w:pPr/>
      <w:r>
        <w:t>Sub-</w:t>
      </w:r>
    </w:p>
    <w:p>
      <w:pPr/>
      <w:r>
        <w:t>Sector:</w:t>
      </w:r>
    </w:p>
    <w:p>
      <w:pPr/>
      <w:r>
        <w:t>Obligations Concerned:</w:t>
      </w:r>
    </w:p>
    <w:p>
      <w:pPr/>
      <w:r>
        <w:t>Level of Government:</w:t>
      </w:r>
    </w:p>
    <w:p>
      <w:pPr/>
      <w:r>
        <w:t>Measures:</w:t>
      </w:r>
    </w:p>
    <w:p>
      <w:pPr/>
      <w:r>
        <w:t>Description: Financial Services All Services National Treatment (Article 17.3.1 and 17.3.2) Market Access (Article 17.5.1(a)) Central Law to Regulate Financial Groups (Ley para Regular las Agrupaciones Financieras); Article 24 Credit Institutions Law (Ley de Instituciones de Crédito); Article 13 Securities Market Law (Ley del Mercado de Valores); Articles 117 and 237 Law to Regulate Credit Information Corporations (Ley para Regular las Sociedades de Información Crediticia); Article 8 Insurance and Surety Institutions Law (Ley de Instituciones de Seguros y Fianzas); Article 50 Retirement Saving Systems Law (Ley de los Sistemas de Ahorro para el Retiro); Article 21 General Law of Credit Organizations and Auxiliary Activities (Ley General de Organizaciones y Actividades Auxiliares de Crédito); Articles 8 and 87-D Investment Funds Law (Ley de Fondos de Inversión); Article 37 Credit Unions Law (Ley de Uniones de Crédito);</w:t>
      </w:r>
    </w:p>
    <w:p>
      <w:pPr>
        <w:pStyle w:val="Normal"/>
      </w:pPr>
      <w:r>
        <w:t>Article 21 A foreign government is not allowed to participate, directly or indirectly, in the capital stock of a holding company of financial groups, commercial bank, securities firm, stock exchange, credit information corporation, surety institution, insurance institution, retirement funds management company, foreign exchange firm, auxiliary credit organization, general deposit warehouse, managing company of investment funds, distributing company of investment</w:t>
      </w:r>
    </w:p>
    <w:p>
      <w:pPr>
        <w:pStyle w:val="Normal"/>
      </w:pPr>
      <w:r>
        <w:t>fund shares, value assessment company of investment fund shares, credit unions regulated multiple purpose financial entity linked to a credit institution except: (a) In case that participation is done it should be only as a temporary prudential measure, such as financial support or aid. The financial institution that falls in this situation must submit to the competent financial authority the relevant information and</w:t>
      </w:r>
    </w:p>
    <w:p>
      <w:pPr>
        <w:pStyle w:val="Normal"/>
      </w:pPr>
      <w:r>
        <w:t>documents to prove that situation. (b) In case that participation implies that the foreign government takes control2 over that financial institution, and it is carried out through an official legal entity, such as a sovereign fund or public development entity, provided that an authorization is previously granted, on a discretionary basis, by the competent financial authority, subject to the condition that such authority is satisfied that such legal entity proves that: (i) it does not exercise any government function, and (ii) its managing board is independent from the respective foreign government. (c). When such participation is indirect and does not imply the control of the financial institution. 2 The term “control” is defined in each of the laws indicated in this entry.</w:t>
      </w:r>
    </w:p>
    <w:p>
      <w:pPr>
        <w:pStyle w:val="Normal"/>
      </w:pPr>
      <w:r>
        <w:t>A-5</w:t>
      </w:r>
    </w:p>
    <w:p>
      <w:pPr/>
      <w:r>
        <w:t>Sector: Financial Services</w:t>
      </w:r>
    </w:p>
    <w:p>
      <w:pPr/>
      <w:r>
        <w:t>Sub-</w:t>
      </w:r>
    </w:p>
    <w:p>
      <w:pPr/>
      <w:r>
        <w:t>Sector: All Services</w:t>
      </w:r>
    </w:p>
    <w:p>
      <w:pPr/>
      <w:r>
        <w:t>Obligations Concerned: Senior Management and Boards of Directors (Article 17.9)</w:t>
      </w:r>
    </w:p>
    <w:p>
      <w:pPr/>
      <w:r>
        <w:t>Level of Government: Central</w:t>
      </w:r>
    </w:p>
    <w:p>
      <w:pPr/>
      <w:r>
        <w:t>Measures: Cooperative Companies General Law (Ley General de Sociedades Cooperativas); Article 7</w:t>
      </w:r>
    </w:p>
    <w:p>
      <w:pPr/>
      <w:r>
        <w:t>Description: Directors and managers of savings and loans cooperative companies must be Mexican.</w:t>
      </w:r>
    </w:p>
    <w:p>
      <w:pPr>
        <w:pStyle w:val="Normal"/>
      </w:pPr>
      <w:r>
        <w:t>A-6</w:t>
      </w:r>
    </w:p>
    <w:p>
      <w:pPr/>
      <w:r>
        <w:t>Sector: Financial Services</w:t>
      </w:r>
    </w:p>
    <w:p>
      <w:pPr/>
      <w:r>
        <w:t>Sub-</w:t>
      </w:r>
    </w:p>
    <w:p>
      <w:pPr/>
      <w:r>
        <w:t>Sector: Banking and other Financial Services (excluding Insurance)</w:t>
      </w:r>
    </w:p>
    <w:p>
      <w:pPr/>
      <w:r>
        <w:t>Obligations Concerned: National Treatment (Article 17.3.1 and 17.3.2) Market Access (Article 17.5.1(a))</w:t>
      </w:r>
    </w:p>
    <w:p>
      <w:pPr/>
      <w:r>
        <w:t>Level of Government: Central</w:t>
      </w:r>
    </w:p>
    <w:p>
      <w:pPr/>
      <w:r>
        <w:t>Measures: Securities Market Law (Ley del Mercado de Valores); Article</w:t>
      </w:r>
    </w:p>
    <w:p>
      <w:pPr/>
      <w:r>
        <w:t>Description: If a securities firm organized as a subsidiary (filial) of a financial institution of another Party acquires shares of a Mexican securities firm, which shall not be below 51 percent of its capital stock, such subsidiary must merge with the securities firm.</w:t>
      </w:r>
    </w:p>
    <w:p>
      <w:pPr>
        <w:pStyle w:val="Normal"/>
      </w:pPr>
      <w:r>
        <w:t>A-7</w:t>
      </w:r>
    </w:p>
    <w:p>
      <w:pPr/>
      <w:r>
        <w:t>Sector: Financial Services</w:t>
      </w:r>
    </w:p>
    <w:p>
      <w:pPr/>
      <w:r>
        <w:t>Sub-</w:t>
      </w:r>
    </w:p>
    <w:p>
      <w:pPr/>
      <w:r>
        <w:t>Sector: Banking and other Financial Services (excluding Insurance)</w:t>
      </w:r>
    </w:p>
    <w:p>
      <w:pPr/>
      <w:r>
        <w:t>Obligations Concerned: Market Access (Article 17.5.1(a))</w:t>
      </w:r>
    </w:p>
    <w:p>
      <w:pPr/>
      <w:r>
        <w:t>Level of Government: Central</w:t>
      </w:r>
    </w:p>
    <w:p>
      <w:pPr/>
      <w:r>
        <w:t>Measures: Retirement Savings Systems Law Ahorro para el Retiro); Article 26 (Ley de los Sistemas de</w:t>
      </w:r>
    </w:p>
    <w:p>
      <w:pPr/>
      <w:r>
        <w:t>Description: A retirement fund management company may not own more than 20 percent share of the retirement savings systems market. The Retirement Savings System National Commission (Comisión Nacional del Sistema de Ahorro para el Retiro) (CONSAR) may authorize a limit beyond 20 percent, provided that this does not constitute prejudice to the interests of workers. 3 The term “market” refers to the total amount of individual retirement accounts.</w:t>
      </w:r>
    </w:p>
    <w:p>
      <w:pPr>
        <w:pStyle w:val="Normal"/>
      </w:pPr>
      <w:r>
        <w:t>A-8</w:t>
      </w:r>
    </w:p>
    <w:p>
      <w:pPr/>
      <w:r>
        <w:t>Sector: Financial Services</w:t>
      </w:r>
    </w:p>
    <w:p>
      <w:pPr/>
      <w:r>
        <w:t>Sub-</w:t>
      </w:r>
    </w:p>
    <w:p>
      <w:pPr/>
      <w:r>
        <w:t>Sector: Banking and other Financial Services (excluding Insurance)</w:t>
      </w:r>
    </w:p>
    <w:p>
      <w:pPr/>
      <w:r>
        <w:t>Obligations Concerned: Market Access (Article 17.5.1(a))</w:t>
      </w:r>
    </w:p>
    <w:p>
      <w:pPr/>
      <w:r>
        <w:t>Level of Government: Central</w:t>
      </w:r>
    </w:p>
    <w:p>
      <w:pPr/>
      <w:r>
        <w:t>Measures: Securities Market Law (Ley del Mercado de Valores); Article</w:t>
      </w:r>
    </w:p>
    <w:p>
      <w:pPr/>
      <w:r>
        <w:t>Description: The organization of a stock exchange is subject to a concession previously granted, on a discretionary basis, by the Federal Government. The decision to grant that concession will be subject to considerations regarding the market’s development.</w:t>
      </w:r>
    </w:p>
    <w:p>
      <w:pPr>
        <w:pStyle w:val="Normal"/>
      </w:pPr>
      <w:r>
        <w:t>A-9</w:t>
      </w:r>
    </w:p>
    <w:p>
      <w:pPr/>
      <w:r>
        <w:t>Sector: Financial Services</w:t>
      </w:r>
    </w:p>
    <w:p>
      <w:pPr/>
      <w:r>
        <w:t>Sub-</w:t>
      </w:r>
    </w:p>
    <w:p>
      <w:pPr/>
      <w:r>
        <w:t>Sector: Insurance and insurance-related services</w:t>
      </w:r>
    </w:p>
    <w:p>
      <w:pPr/>
      <w:r>
        <w:t>Obligations Concerned: National Treatment (Article 17.3.3(b)) Market Access (Article 17.5.1(c))</w:t>
      </w:r>
    </w:p>
    <w:p>
      <w:pPr/>
      <w:r>
        <w:t>Level of Government: Central</w:t>
      </w:r>
    </w:p>
    <w:p>
      <w:pPr/>
      <w:r>
        <w:t>Measures: Insurance and Surety Institutions Law (Ley de Instituciones de Seguros y Fianzas); Articles 20, 21, 22, 23, and 24</w:t>
      </w:r>
    </w:p>
    <w:p>
      <w:pPr/>
      <w:r>
        <w:t>Description: No person may contract with foreign entities the insurance of: (a) maritime or aircraft hulls, and any kind of vehicle, for risks inherent to the maritime and transportation industries, provided that such hulls and vehicles have Mexican registration or are owned by persons domiciled in Mexico; (b) credit, housing credit, surety and financial guarantee 4, if the insured is subject to Mexican law. (c) third party liability derived from events that may take place in the territory of Mexico; and (d) other risks that may take place in Mexican territory, except for insurance contracted outside such territory with respect to goods transported from the territory of Mexico to a foreign territory or vice versa, and insurance contracted by non-residents in Mexico for their persons or vehicles to cover risks during their temporary entries into the territory of Mexico.</w:t>
      </w:r>
    </w:p>
    <w:p>
      <w:pPr>
        <w:pStyle w:val="Normal"/>
      </w:pPr>
      <w:r>
        <w:t>For greater certainty, no person may contract with entities of another Party the insurance of persons provided that the person is located in the territory of Mexico at the moment of the execution of the insurance agreement if that person is an individual, or that the insured resides in Mexico if the insurance 4 The prohibition for insurance of financial guarantee will not apply when the securities or documents matter of the insurance participate in foreign markets exclusively.</w:t>
      </w:r>
    </w:p>
    <w:p>
      <w:pPr>
        <w:pStyle w:val="Normal"/>
      </w:pPr>
      <w:r>
        <w:t>is contracted by a legal entity.5 As an exception to the prohibitions indicated above, the National Insurance and Surety Commission (Comisión Nacional de Seguros y Fianzas) (CNSF) may authorize a person to contract any of the insurance described above provided that such person demonstrates that none of the insurance institutions authorized to operate in Mexico is able or deems convenient to enter into a given insurance operation proposed to it. For clarification purposes, this wording should not be considered as a departure from Mexico’s position in other international agreements it has entered into.</w:t>
      </w:r>
    </w:p>
    <w:p>
      <w:pPr>
        <w:pStyle w:val="Normal"/>
      </w:pPr>
      <w:r>
        <w:t>A-10</w:t>
      </w:r>
    </w:p>
    <w:p>
      <w:pPr/>
      <w:r>
        <w:t>Sector: Financial Services</w:t>
      </w:r>
    </w:p>
    <w:p>
      <w:pPr/>
      <w:r>
        <w:t>Sub-</w:t>
      </w:r>
    </w:p>
    <w:p>
      <w:pPr/>
      <w:r>
        <w:t>Sector: Banking and other Financial Services (excluding Insurance)</w:t>
      </w:r>
    </w:p>
    <w:p>
      <w:pPr/>
      <w:r>
        <w:t>Obligations Concerned: National Treatment (Article 17.3.3(b)) Market Access (Article 17.5.1(a))</w:t>
      </w:r>
    </w:p>
    <w:p>
      <w:pPr/>
      <w:r>
        <w:t>Level of Government: Central</w:t>
      </w:r>
    </w:p>
    <w:p>
      <w:pPr/>
      <w:r>
        <w:t>Measures: Insurance and Surety Institutions Law (Ley de Instituciones de Seguros y Fianzas); Articles 34 and 35</w:t>
      </w:r>
    </w:p>
    <w:p>
      <w:pPr/>
      <w:r>
        <w:t>Description: No person may contract with foreign entities sureties to guarantee acts of individuals and legal entities bound to fulfil obligations in Mexican territory, except for rebonding or in case such sureties are received by Mexican surety institutions as counter guarantee. As an exception to the prohibitions indicated above, the National Insurance and Surety Commission (Comisión Nacional de Seguros y Fianzas) (CNSF) may authorize a person to contract any of the sureties described above provided that none of the financial institutions authorized to operate in Mexico is able or deems it convenient to undertake a surety operation proposed to it, upon prior verification of such circumstances have been proved to it.</w:t>
      </w:r>
    </w:p>
    <w:p>
      <w:pPr>
        <w:pStyle w:val="Normal"/>
      </w:pPr>
      <w:r>
        <w:t>A-11</w:t>
      </w:r>
    </w:p>
    <w:p>
      <w:pPr/>
      <w:r>
        <w:t>Sector: Financial Services</w:t>
      </w:r>
    </w:p>
    <w:p>
      <w:pPr/>
      <w:r>
        <w:t>Sub-</w:t>
      </w:r>
    </w:p>
    <w:p>
      <w:pPr/>
      <w:r>
        <w:t>Sector: All</w:t>
      </w:r>
    </w:p>
    <w:p>
      <w:pPr/>
      <w:r>
        <w:t>Obligations Concerned: National Treatment (Article 17.3.1 and 17.3.2) Market Access (Article 17.5.1(a))</w:t>
      </w:r>
    </w:p>
    <w:p>
      <w:pPr/>
      <w:r>
        <w:t>Level of Government: Central</w:t>
      </w:r>
    </w:p>
    <w:p>
      <w:pPr/>
      <w:r>
        <w:t>Measures: Insurance and Surety Institutions Law (Ley de Instituciones de Seguros y Fianzas); Article 337 Regulation of Insurance and Surety Agents (Reglamento de Agentes de Seguros y de Fianzas); Article 12 Rules for the authorization and operation of reinsurance brokers (Reglas para la autorización y operación de intermediarios de reaseguros); Rule Fourth</w:t>
      </w:r>
    </w:p>
    <w:p>
      <w:pPr/>
      <w:r>
        <w:t>Description: A foreign government or official foreign entity may not participate in a mutual insurance society, in the capital stock of an insurance and surety agency, or in the capital stock of a reinsurance broker, either directly or indirectly. A foreign financial entity may not participate in the capital stock of an insurance or surety agency, or in a mutual insurance society. A group of foreign individuals or legal entities, regardless of the form they adopt, may not participate in a mutual insurance society, either directly or indirectly. For clarification purposes, a foreign individual may participate in mutual insurance societies as long as they do so individually and not as part of a group or entity.</w:t>
      </w:r>
    </w:p>
    <w:p>
      <w:pPr>
        <w:pStyle w:val="Normal"/>
      </w:pPr>
      <w:r>
        <w:t>A-12</w:t>
      </w:r>
    </w:p>
    <w:p>
      <w:pPr/>
      <w:r>
        <w:t>Sector: Financial Services</w:t>
      </w:r>
    </w:p>
    <w:p>
      <w:pPr/>
      <w:r>
        <w:t>Sub-</w:t>
      </w:r>
    </w:p>
    <w:p>
      <w:pPr/>
      <w:r>
        <w:t>Sector: Insurance</w:t>
      </w:r>
    </w:p>
    <w:p>
      <w:pPr/>
      <w:r>
        <w:t>Obligations Concerned: National Treatment (Article 17.3.1 and 17.3.2) Market Access (Article 17.5.1(a))</w:t>
      </w:r>
    </w:p>
    <w:p>
      <w:pPr/>
      <w:r>
        <w:t>Level of Government: Central</w:t>
      </w:r>
    </w:p>
    <w:p>
      <w:pPr/>
      <w:r>
        <w:t>Measures: Agricultural and Rural Insurance Funds Law (Ley de Fondos de Aseguramiento Agropecuario y Rural); Article 26</w:t>
      </w:r>
    </w:p>
    <w:p>
      <w:pPr/>
      <w:r>
        <w:t>Description: Only a Mexican exclusion clause Insurance Funds. or a Mexican legal entity with a foreigners may participate in Agricultural and Rural</w:t>
      </w:r>
    </w:p>
    <w:p>
      <w:pPr>
        <w:pStyle w:val="Normal"/>
      </w:pPr>
      <w:r>
        <w:t>B-1 SECTION B</w:t>
      </w:r>
    </w:p>
    <w:p>
      <w:pPr/>
      <w:r>
        <w:t>Sector:</w:t>
      </w:r>
    </w:p>
    <w:p>
      <w:pPr/>
      <w:r>
        <w:t>Sub-</w:t>
      </w:r>
    </w:p>
    <w:p>
      <w:pPr/>
      <w:r>
        <w:t>Sector:</w:t>
      </w:r>
    </w:p>
    <w:p>
      <w:pPr/>
      <w:r>
        <w:t>Obligations Concerned:</w:t>
      </w:r>
    </w:p>
    <w:p>
      <w:pPr/>
      <w:r>
        <w:t>Level of Government:</w:t>
      </w:r>
    </w:p>
    <w:p>
      <w:pPr/>
      <w:r>
        <w:t>Description: Financial Services All Services Market Access (Article 17.5.1(a) and (c)) Senior Management and Boards of Directors (Article 17.9) Central Mexico, when selling or disposing of its equity interest in, or the assets of, an existing state enterprise or an existing governmental entity, may prohibit or impose a limitation on the ownership of such interest or assets, and on the ability of owners of such interest or assets to control any resulting enterprise, by investors of Mexico of another Party or of a non- Party or their investments. Additionally, Mexico may impose a limitation on the supply of the services related to such investments. With respect to such a sale or other disposition, Mexico may adopt or maintain any measure relating to the nationality of individuals appointed to senior management positions of members of the board of directors.</w:t>
      </w:r>
    </w:p>
    <w:p>
      <w:pPr>
        <w:pStyle w:val="Normal"/>
      </w:pPr>
      <w:r>
        <w:t>For the purposes of this reservation: (a) A measure maintained or adopted after the date of entry into force of this Agreement that, at the time of sale or other disposition, prohibits or imposes limitations on the ownership of equity interest or assets or imposes nationality requirements described in this reservation shall be deemed to be an existing measure; and (b) state enterprise means an enterprise owned or controlled through ownership interest by Mexico and includes an enterprise established after the date of entry into force of this agreement solely for the purposes of selling or disposing of equity interest in, or the assets of, an existing state enterprise or governmental entity.</w:t>
      </w:r>
    </w:p>
    <w:p>
      <w:pPr>
        <w:pStyle w:val="Heading1"/>
      </w:pPr>
      <w:bookmarkStart w:id="901537" w:name="_Toc300001536"/>
      <w:r>
        <w:t/>
      </w:r>
      <w:bookmarkEnd w:id="901537"/>
    </w:p>
    <w:p>
      <w:pPr>
        <w:pStyle w:val="Normal"/>
      </w:pPr>
      <w:r>
        <w:t>B-2</w:t>
      </w:r>
    </w:p>
    <w:p>
      <w:pPr/>
      <w:r>
        <w:t>Sector: Financial Services</w:t>
      </w:r>
    </w:p>
    <w:p>
      <w:pPr/>
      <w:r>
        <w:t>Sub-</w:t>
      </w:r>
    </w:p>
    <w:p>
      <w:pPr/>
      <w:r>
        <w:t>Sector: Banking and other Financial Services (excluding Insurance)</w:t>
      </w:r>
    </w:p>
    <w:p>
      <w:pPr/>
      <w:r>
        <w:t>Obligations Concerned: National Treatment (Article 17.3)</w:t>
      </w:r>
    </w:p>
    <w:p>
      <w:pPr/>
      <w:r>
        <w:t>Level of Government: Central</w:t>
      </w:r>
    </w:p>
    <w:p>
      <w:pPr/>
      <w:r>
        <w:t>Description: Mexico reserves the right to adopt or maintain a measure that grants advantages, including exclusive rights, to development banks, decentralized entities, or public funds for the economic development already established at the time that this Agreement enters into force, as well as any new, reorganized or transferee development bank, decentralized entity, or public fund for the economic development with similar functions and objectives with respect to development banking. The institutions of development banking include: (a) National Financial Institution, S.N.C. (Nacional Financiera, S.N.C.); (b) National Bank of Public Works and Services, S.N.C. (Banco Nacional de Obras y Servicios Públicos, S.N.C.); (c) National Bank of Foreign Trade, S.N.C. (Banco Nacional de Comercio Exterior, S.N.C.); (d) Federal Mortgage Corporation, S.N.C. (Sociedad Hipotecaria Federal, S.N.C.); (e) National Savings and Financial Services Bank, S.N.C (Banco del Ahorro Nacional y Servicios Financieros, S.N.C.); (f) National Bank of the Army, Air Force and Navy, S.N.C. (Banco Nacional del Ejército, Fuerza Aérea y Armada, S.N.C.), or their respective successors.</w:t>
      </w:r>
    </w:p>
    <w:p>
      <w:pPr>
        <w:pStyle w:val="Normal"/>
      </w:pPr>
      <w:r>
        <w:t>B-3</w:t>
      </w:r>
    </w:p>
    <w:p>
      <w:pPr/>
      <w:r>
        <w:t>Sector: Financial Services</w:t>
      </w:r>
    </w:p>
    <w:p>
      <w:pPr/>
      <w:r>
        <w:t>Sub-</w:t>
      </w:r>
    </w:p>
    <w:p>
      <w:pPr/>
      <w:r>
        <w:t>Sector: All Services</w:t>
      </w:r>
    </w:p>
    <w:p>
      <w:pPr/>
      <w:r>
        <w:t>Obligations Concerned: National Treatment (Article 17.3)</w:t>
      </w:r>
    </w:p>
    <w:p>
      <w:pPr/>
      <w:r>
        <w:t>Level of Government: Central</w:t>
      </w:r>
    </w:p>
    <w:p>
      <w:pPr/>
      <w:r>
        <w:t>Description: Mexico reserves the right to adopt or maintain a measure that grants advantages, including exclusive rights, to the national insurance institutions, national surety institutions, a national pension fund, or national auxiliary organizations of credit in existence at the date of entry into force of this Agreement, as well as a new, reorganized, or transferee national insurance institution, national surety institution, a national pension fund or national auxiliary organization of credit with similar functions and objectives with respect to public policy purposes.</w:t>
      </w:r>
    </w:p>
    <w:p>
      <w:pPr>
        <w:pStyle w:val="Normal"/>
      </w:pPr>
      <w:r>
        <w:t>B-4</w:t>
      </w:r>
    </w:p>
    <w:p>
      <w:pPr/>
      <w:r>
        <w:t>Sector: Financial Services</w:t>
      </w:r>
    </w:p>
    <w:p>
      <w:pPr/>
      <w:r>
        <w:t>Sub-</w:t>
      </w:r>
    </w:p>
    <w:p>
      <w:pPr/>
      <w:r>
        <w:t>Sector: All Services</w:t>
      </w:r>
    </w:p>
    <w:p>
      <w:pPr/>
      <w:r>
        <w:t>Obligations Concerned: Market Access (Article 17.5.1(a) and (c)) Senior Management and Boards of Directors (Article 17.9)</w:t>
      </w:r>
    </w:p>
    <w:p>
      <w:pPr/>
      <w:r>
        <w:t>Level of Government: Central</w:t>
      </w:r>
    </w:p>
    <w:p>
      <w:pPr/>
      <w:r>
        <w:t>Description: With respect to the supply of a financial service that Mexico does not require to be supplied by a financial institution on or before the date of entry into force of this Agreement but requires to be supplied by a financial institution after the date of entry into force of this Agreement, Mexico reserves the right to adopt after the date of entry into force of this Agreement a measure or maintain any such measure that: (a) imposes limitations on the number of financial institutions that may supply the financial service in Mexico, subject to an economic needs test;</w:t>
      </w:r>
    </w:p>
    <w:p>
      <w:pPr>
        <w:pStyle w:val="Normal"/>
      </w:pPr>
      <w:r>
        <w:t>(b) imposes limitations in the form of numerical quotas on the total value of financial service transactions or assets, subject to an economic needs test with respect to the financial service that may be supplied in Mexico; or (c) imposes requirements related to the nationality or residency in Mexico of individuals appointed to senior management positions or members of the board of directors that are inconsistent with Article 17.9 (Senior Management and Boards of Directors), provided that: (d) any amendment to the measure, or adoption of any other measure as described in paragraphs 1(a) through 1(c) applied to the financial service, does not decrease the conformity of</w:t>
      </w:r>
    </w:p>
    <w:p>
      <w:pPr>
        <w:pStyle w:val="Normal"/>
      </w:pPr>
      <w:r>
        <w:t>Mexico’s measures as they existed when Mexico first adopted a measure inconsistent with Article 17.5.1(a) (Market Access) and Article 17.9 (Senior Management and Boards of</w:t>
      </w:r>
    </w:p>
    <w:p>
      <w:pPr>
        <w:pStyle w:val="Normal"/>
      </w:pPr>
      <w:r>
        <w:t>Directors); (e) the measure described in paragraphs 1(a) through (c) is not applied to withdraw a tangible or intangible asset from a covered investment; and, (f) the amendment to the measure, or adoption of any other measure described in paragraphs 1(a) through 1(c) is not applied to withdraw a tangible or intangible asset from (1) a financial institution of another Party; or (2) an investor of another Party, or an investment of such an investor, in a financial institution of another Party.</w:t>
      </w:r>
    </w:p>
    <w:p>
      <w:pPr>
        <w:pStyle w:val="Normal"/>
      </w:pPr>
      <w:r>
        <w:t>B-5</w:t>
      </w:r>
    </w:p>
    <w:p>
      <w:pPr/>
      <w:r>
        <w:t>Sector: Financial Services</w:t>
      </w:r>
    </w:p>
    <w:p>
      <w:pPr/>
      <w:r>
        <w:t>Sub-</w:t>
      </w:r>
    </w:p>
    <w:p>
      <w:pPr/>
      <w:r>
        <w:t>Sector: Banking and other Financial Services (excluding Insurance)</w:t>
      </w:r>
    </w:p>
    <w:p>
      <w:pPr/>
      <w:r>
        <w:t>Obligations Concerned: Market Access (Article 17.5.1(b)) National Treatment (Article 17.3.3(a))</w:t>
      </w:r>
    </w:p>
    <w:p>
      <w:pPr/>
      <w:r>
        <w:t>Level of Government: Central</w:t>
      </w:r>
    </w:p>
    <w:p>
      <w:pPr/>
      <w:r>
        <w:t>Description: A cross-border service supplier of another Party may supply the electronic payments services into Mexico specified in Annex 17-A, provided that the cross-border service supplier supplies such services in the territory of that other Party. In addition, such cross-border supply of electronic payment services into Mexico must be supplied on a contractual relationship between a cross-border service supplier of another Party and an affiliate of that supplier established and authorized as a payments network participant under Mexican law in the territory of Mexico.</w:t>
      </w:r>
    </w:p>
    <w:p>
      <w:pPr>
        <w:pStyle w:val="Heading1"/>
      </w:pPr>
      <w:bookmarkStart w:id="901538" w:name="_Toc300001537"/>
      <w:r>
        <w:t/>
      </w:r>
      <w:bookmarkEnd w:id="901538"/>
    </w:p>
    <w:p>
      <w:pPr>
        <w:pStyle w:val="Normal"/>
      </w:pPr>
      <w:r>
        <w:t>ANNEX III SCHEDULE OF THE UNITED STATES HEADNOTES 1. Commitments in these sub-sectors under Chapter 17 (Financial Services) are undertaken subject to the limitations and conditions set forth in these headnotes and in the Schedule below. 2. National treatment commitments in these sub-sectors are subject to the following limitations: (a) National treatment with respect to banking will be provided based upon the foreign bank’s “home state” in the United States, as that term is defined under the International Banking Act, when that Act is applicable. A domestic bank subsidiary of a foreign firm will have its own “home state”, and national treatment will be provided based upon the subsidiary’s home state, as determined under applicable law.1 (b) National treatment with respect to insurance financial institutions will be provided according to a non-U.S. insurance financial institution’s state of domicile, when applicable, in the United States. State of domicile is defined by individual states, and is generally the state in which an insurer either is incorporated, is organized or maintains its principal office in the United States. 3.</w:t>
      </w:r>
    </w:p>
    <w:p>
      <w:pPr>
        <w:pStyle w:val="Normal"/>
      </w:pPr>
      <w:r>
        <w:t>To clarify the U.S. commitment with respect to Article 17.5 (Market Access), juridical persons supplying banking or other financial services (excluding insurance) and constituted under the laws of the United States are subject to non-discriminatory limitations on juridical form.2 4.</w:t>
      </w:r>
    </w:p>
    <w:p>
      <w:pPr>
        <w:pStyle w:val="Normal"/>
      </w:pPr>
      <w:r>
        <w:t>For entries in Section A, in accordance with Article 17.10.1(a) (Non-Conforming Measures), and subject to Article 17.10.1(c) (Non-Conforming Measures), the Articles specified 1 Foreign banking organizations are generally subject to geographic and other limitations in the United States on a national treatment basis. If the limitations do not conform to national treatment, they have been listed as non conforming measures. For purposes of illustration, under this approach, the following situation does not accord national treatment and would therefore be listed as a non-conforming measure: a foreign bank from a particular home state is accorded less favorable treatment than that accorded to a domestic bank from that state with respect to expansion by branching. For greater certainty, a bank that is incorporated in the United States, including a U.S. bank subsidiary of a foreign bank, is considered a “domestic bank” and not a “foreign bank”. The referenced measures include the relevant comprehensive definitions. 2 For example, partnerships and sole proprietorships are generally not acceptable juridical forms for depository financial institutions in the United States. This headnote is not itself intended to affect, or otherwise limit, a choice by a financial institution of the other Party between branches or subsidiaries.</w:t>
      </w:r>
    </w:p>
    <w:p>
      <w:pPr>
        <w:pStyle w:val="Normal"/>
      </w:pPr>
      <w:r>
        <w:t>in the Obligations Concerned element of an entry do not apply to the non-conforming aspects of the law, regulation or other measure identified in the Measures element of that entry. In addition, Description provides a general, non-binding description of the measure for which the entry is made. 5. For entries in Section B, in accordance with Article 17.10.2 (Non-Conforming Measures), the articles of this Agreement specified in the Obligations Concerned element of an entry do not apply to the sectors, sub-sectors and activities identified in the Description element of that entry. 6. Article 17.10.1(c) (Non-Conforming Measures) does not apply to non-conforming measures relating to Article 17.5.1(e) (Market Access).</w:t>
      </w:r>
    </w:p>
    <w:p>
      <w:pPr>
        <w:pStyle w:val="Heading1"/>
      </w:pPr>
      <w:bookmarkStart w:id="901539" w:name="_Toc300001538"/>
      <w:r>
        <w:t/>
      </w:r>
      <w:bookmarkEnd w:id="901539"/>
    </w:p>
    <w:p>
      <w:pPr>
        <w:pStyle w:val="Normal"/>
      </w:pPr>
      <w:r>
        <w:t>ANNEX III Section A</w:t>
      </w:r>
    </w:p>
    <w:p>
      <w:pPr/>
      <w:r>
        <w:t>Sector: Financial Services</w:t>
      </w:r>
    </w:p>
    <w:p>
      <w:pPr/>
      <w:r>
        <w:t>Sub-</w:t>
      </w:r>
    </w:p>
    <w:p>
      <w:pPr/>
      <w:r>
        <w:t>Sector: Banking and other financial services (excluding insurance)</w:t>
      </w:r>
    </w:p>
    <w:p>
      <w:pPr/>
      <w:r>
        <w:t>Obligations Concerned: Senior Management and Boards of Directors (Article 17.9)</w:t>
      </w:r>
    </w:p>
    <w:p>
      <w:pPr/>
      <w:r>
        <w:t>Level of Government: Central</w:t>
      </w:r>
    </w:p>
    <w:p>
      <w:pPr/>
      <w:r>
        <w:t>Measures: 12 U.S.C. § 72</w:t>
      </w:r>
    </w:p>
    <w:p>
      <w:pPr/>
      <w:r>
        <w:t>Description: All directors of a national bank must be U.S. citizens except that the Comptroller of the Currency may waive the citizenship requirement for not more than a minority of the total number of directors.</w:t>
      </w:r>
    </w:p>
    <w:p>
      <w:pPr>
        <w:pStyle w:val="Normal"/>
      </w:pPr>
      <w:r>
        <w:t/>
      </w:r>
    </w:p>
    <w:p>
      <w:pPr/>
      <w:r>
        <w:t>Sector: Financial Services</w:t>
      </w:r>
    </w:p>
    <w:p>
      <w:pPr/>
      <w:r>
        <w:t>Sub-</w:t>
      </w:r>
    </w:p>
    <w:p>
      <w:pPr/>
      <w:r>
        <w:t>Sector: Banking and other financial services (excluding insurance)</w:t>
      </w:r>
    </w:p>
    <w:p>
      <w:pPr/>
      <w:r>
        <w:t>Obligations Concerned: National Treatment (Articles 17.3.1 and 17.3.2) Market Access (Article 17.5.1(a))</w:t>
      </w:r>
    </w:p>
    <w:p>
      <w:pPr/>
      <w:r>
        <w:t>Level of Government: Central</w:t>
      </w:r>
    </w:p>
    <w:p>
      <w:pPr/>
      <w:r>
        <w:t>Measures: 12 U.S.C. § 619</w:t>
      </w:r>
    </w:p>
    <w:p>
      <w:pPr/>
      <w:r>
        <w:t>Description: Foreign ownership of Edge Act corporations is limited to foreign banks and U.S. subsidiaries of foreign banks, while domestic non- bank firms may own such corporations.</w:t>
      </w:r>
    </w:p>
    <w:p>
      <w:pPr>
        <w:pStyle w:val="Normal"/>
      </w:pPr>
      <w:r>
        <w:t/>
      </w:r>
    </w:p>
    <w:p>
      <w:pPr/>
      <w:r>
        <w:t>Sector: Financial Services</w:t>
      </w:r>
    </w:p>
    <w:p>
      <w:pPr/>
      <w:r>
        <w:t>Sub-</w:t>
      </w:r>
    </w:p>
    <w:p>
      <w:pPr/>
      <w:r>
        <w:t>Sector: Banking and other financial services (excluding insurance)</w:t>
      </w:r>
    </w:p>
    <w:p>
      <w:pPr/>
      <w:r>
        <w:t>Obligations Concerned: National Treatment (Articles 17.3.1 and 17.3.2) Market Access (Article 17.5.1(a))</w:t>
      </w:r>
    </w:p>
    <w:p>
      <w:pPr/>
      <w:r>
        <w:t>Level of Government: Central</w:t>
      </w:r>
    </w:p>
    <w:p>
      <w:pPr/>
      <w:r>
        <w:t>Measures: 12 U.S.C. §§ 1463 et seq. 12 U.S.C. §§ 1751 et seq.</w:t>
      </w:r>
    </w:p>
    <w:p>
      <w:pPr/>
      <w:r>
        <w:t>Description: Federal and state laws do not permit a credit union, savings bank, or savings association (both of the latter two entities may be also called thrift institutions) in the United States to be established through branches of corporations organized under a foreign country’s law.</w:t>
      </w:r>
    </w:p>
    <w:p>
      <w:pPr>
        <w:pStyle w:val="Normal"/>
      </w:pPr>
      <w:r>
        <w:t/>
      </w:r>
    </w:p>
    <w:p>
      <w:pPr/>
      <w:r>
        <w:t>Sector: Financial Services</w:t>
      </w:r>
    </w:p>
    <w:p>
      <w:pPr/>
      <w:r>
        <w:t>Sub-</w:t>
      </w:r>
    </w:p>
    <w:p>
      <w:pPr/>
      <w:r>
        <w:t>Sector: Banking and other financial services (excluding insurance)</w:t>
      </w:r>
    </w:p>
    <w:p>
      <w:pPr/>
      <w:r>
        <w:t>Obligations Concerned: National Treatment (Articles 17.3.1 and 17.3.2) Market Access (Article 17.5.1(a))</w:t>
      </w:r>
    </w:p>
    <w:p>
      <w:pPr/>
      <w:r>
        <w:t>Level of Government: Central</w:t>
      </w:r>
    </w:p>
    <w:p>
      <w:pPr/>
      <w:r>
        <w:t>Measures: 12 U.S.C. § 3104(d)</w:t>
      </w:r>
    </w:p>
    <w:p>
      <w:pPr/>
      <w:r>
        <w:t>Description: In order to accept or maintain domestic retail deposits of less than the standard maximum deposit insurance amount, and requiring deposit insurance protection, a foreign bank must establish an insured banking subsidiary. This requirement does not apply to a foreign bank branch that was engaged in insured deposit-taking activities on December 19, 1991.</w:t>
      </w:r>
    </w:p>
    <w:p>
      <w:pPr>
        <w:pStyle w:val="Normal"/>
      </w:pPr>
      <w:r>
        <w:t/>
      </w:r>
    </w:p>
    <w:p>
      <w:pPr/>
      <w:r>
        <w:t>Sector: Financial Services</w:t>
      </w:r>
    </w:p>
    <w:p>
      <w:pPr/>
      <w:r>
        <w:t>Sub-</w:t>
      </w:r>
    </w:p>
    <w:p>
      <w:pPr/>
      <w:r>
        <w:t>Sector: Banking and other financial services (excluding insurance)</w:t>
      </w:r>
    </w:p>
    <w:p>
      <w:pPr/>
      <w:r>
        <w:t>Obligations Concerned: National Treatment (Article 17.3)</w:t>
      </w:r>
    </w:p>
    <w:p>
      <w:pPr/>
      <w:r>
        <w:t>Level of Government: Central</w:t>
      </w:r>
    </w:p>
    <w:p>
      <w:pPr/>
      <w:r>
        <w:t>Measures: 15 U.S.C. §§ 80b-2 and 80b-3</w:t>
      </w:r>
    </w:p>
    <w:p>
      <w:pPr/>
      <w:r>
        <w:t>Description: Foreign banks are required to register as investment advisers under the Investment Advisers Act of 1940 to engage in securities advisory and investment management services in the United States, while domestic banks (or a separately identifiable department or division of the bank) do not have to register unless they advise registered investment companies. The registration requirement involves record maintenance, inspections, submission of reports, and payment of a fee. 3 For greater certainty, “domestic banks” include U.S. bank subsidiaries of foreign banks.</w:t>
      </w:r>
    </w:p>
    <w:p>
      <w:pPr>
        <w:pStyle w:val="Normal"/>
      </w:pPr>
      <w:r>
        <w:t/>
      </w:r>
    </w:p>
    <w:p>
      <w:pPr/>
      <w:r>
        <w:t>Sector: Financial Services</w:t>
      </w:r>
    </w:p>
    <w:p>
      <w:pPr/>
      <w:r>
        <w:t>Sub-</w:t>
      </w:r>
    </w:p>
    <w:p>
      <w:pPr/>
      <w:r>
        <w:t>Sector: Banking and other financial services (excluding insurance)</w:t>
      </w:r>
    </w:p>
    <w:p>
      <w:pPr/>
      <w:r>
        <w:t>Obligations Concerned: National Treatment (Articles 17.3.1 and 17.3.2)</w:t>
      </w:r>
    </w:p>
    <w:p>
      <w:pPr/>
      <w:r>
        <w:t>Level of Government: Central</w:t>
      </w:r>
    </w:p>
    <w:p>
      <w:pPr/>
      <w:r>
        <w:t>Measures: 12 U.S.C. §§ 221, 302, and 321</w:t>
      </w:r>
    </w:p>
    <w:p>
      <w:pPr/>
      <w:r>
        <w:t>Description: Foreign banks cannot be members of the Federal Reserve System, and thus may not vote for directors of a Federal Reserve Bank. U.S. bank subsidiaries of foreign banks are not subject to this measure.</w:t>
      </w:r>
    </w:p>
    <w:p>
      <w:pPr>
        <w:pStyle w:val="Normal"/>
      </w:pPr>
      <w:r>
        <w:t/>
      </w:r>
    </w:p>
    <w:p>
      <w:pPr/>
      <w:r>
        <w:t>Sector: Financial Services</w:t>
      </w:r>
    </w:p>
    <w:p>
      <w:pPr/>
      <w:r>
        <w:t>Sub-</w:t>
      </w:r>
    </w:p>
    <w:p>
      <w:pPr/>
      <w:r>
        <w:t>Sector: Banking and other financial services (excluding insurance)</w:t>
      </w:r>
    </w:p>
    <w:p>
      <w:pPr/>
      <w:r>
        <w:t>Obligations Concerned: Market Access (Article 17.5.1(a))</w:t>
      </w:r>
    </w:p>
    <w:p>
      <w:pPr/>
      <w:r>
        <w:t>Level of Government: Central</w:t>
      </w:r>
    </w:p>
    <w:p>
      <w:pPr/>
      <w:r>
        <w:t>Measures: 12 U.S.C. § 36(g) 12 U.S.C. § 1828(d)(4) 12 U.S.C. § 1831u</w:t>
      </w:r>
    </w:p>
    <w:p>
      <w:pPr/>
      <w:r>
        <w:t>Description: The United States undertakes no commitment with respect to Article 17.5.1(e) (Market Access) in relation to the expansion, by a foreign bank into another state from its “home state,” as that term is defined under applicable law, via: (a) the establishment of a “de novo” branch in another state; (b) the establishment of branches by merger with a bank in another state; or (c) the acquisition of one or more branches of a bank another state without the acquisition of the entire bank, in if not permitted by the state in which the resulting branch is or would be located. Except as provided elsewhere in this Schedule, such expansion shall be accorded on a national treatment basis in accordance with paragraph 2(a) of the headnote.</w:t>
      </w:r>
    </w:p>
    <w:p>
      <w:pPr>
        <w:pStyle w:val="Normal"/>
      </w:pPr>
      <w:r>
        <w:t/>
      </w:r>
    </w:p>
    <w:p>
      <w:pPr/>
      <w:r>
        <w:t>Sector: Financial Services</w:t>
      </w:r>
    </w:p>
    <w:p>
      <w:pPr/>
      <w:r>
        <w:t>Sub-</w:t>
      </w:r>
    </w:p>
    <w:p>
      <w:pPr/>
      <w:r>
        <w:t>Sector: Banking and other financial services (excluding insurance)</w:t>
      </w:r>
    </w:p>
    <w:p>
      <w:pPr/>
      <w:r>
        <w:t>Obligations Concerned: National Treatment (Articles 17.3.1 and 17.3.2) Market Access (Article 17.5.1(a))</w:t>
      </w:r>
    </w:p>
    <w:p>
      <w:pPr/>
      <w:r>
        <w:t>Level of Government: Central</w:t>
      </w:r>
    </w:p>
    <w:p>
      <w:pPr/>
      <w:r>
        <w:t>Measures: 12 U.S.C. § 3102(a)(1) 12 U.S.C. § 3102(d) 12 U.S.C. § 3103(a)</w:t>
      </w:r>
    </w:p>
    <w:p>
      <w:pPr/>
      <w:r>
        <w:t>Description: Establishment of a federal branch or agency by a foreign bank is not available in the following states that may prohibit establishment of a branch or agency by a foreign bank: (a) branches and agencies may be Maryland, and North Dakota; and prohibited in Kansas, (b) branches, but not agencies, may be prohibited in Georgia, Missouri and Oklahoma. Certain restrictions on fiduciary powers apply to federal agencies. Note: The cited federal measures provide that certain state law restrictions apply to the establishment of federal branches or agencies.</w:t>
      </w:r>
    </w:p>
    <w:p>
      <w:pPr>
        <w:pStyle w:val="Normal"/>
      </w:pPr>
      <w:r>
        <w:t/>
      </w:r>
    </w:p>
    <w:p>
      <w:pPr/>
      <w:r>
        <w:t>Sector: Financial Services</w:t>
      </w:r>
    </w:p>
    <w:p>
      <w:pPr/>
      <w:r>
        <w:t>Sub-</w:t>
      </w:r>
    </w:p>
    <w:p>
      <w:pPr/>
      <w:r>
        <w:t>Sector: Banking and other financial services (excluding insurance)</w:t>
      </w:r>
    </w:p>
    <w:p>
      <w:pPr/>
      <w:r>
        <w:t>Obligations Concerned: Most-Favored-Nation Treatment (Article 17.4) Market Access (Articles 17.5.1(a), 17.5.1(b), and 17.5.1(c))</w:t>
      </w:r>
    </w:p>
    <w:p>
      <w:pPr/>
      <w:r>
        <w:t>Level of Government: Central</w:t>
      </w:r>
    </w:p>
    <w:p>
      <w:pPr/>
      <w:r>
        <w:t>Measures: 15 U.S.C. § 77jjj(a)(1)</w:t>
      </w:r>
    </w:p>
    <w:p>
      <w:pPr/>
      <w:r>
        <w:t>Description: The authority to act as a sole trustee of an indenture for a bond offering in the United States is subject to a reciprocity test.</w:t>
      </w:r>
    </w:p>
    <w:p>
      <w:pPr>
        <w:pStyle w:val="Normal"/>
      </w:pPr>
      <w:r>
        <w:t/>
      </w:r>
    </w:p>
    <w:p>
      <w:pPr/>
      <w:r>
        <w:t>Sector: Financial Services</w:t>
      </w:r>
    </w:p>
    <w:p>
      <w:pPr/>
      <w:r>
        <w:t>Sub-</w:t>
      </w:r>
    </w:p>
    <w:p>
      <w:pPr/>
      <w:r>
        <w:t>Sector: Banking and other financial services (excluding insurance)</w:t>
      </w:r>
    </w:p>
    <w:p>
      <w:pPr/>
      <w:r>
        <w:t>Obligations Concerned: Most-Favored-Nation Treatment (Article 17.4) Market Access (Article 17.5.1(a))</w:t>
      </w:r>
    </w:p>
    <w:p>
      <w:pPr/>
      <w:r>
        <w:t>Level of Government: Central</w:t>
      </w:r>
    </w:p>
    <w:p>
      <w:pPr/>
      <w:r>
        <w:t>Measures: 22 U.S.C. §§ 5341 and 5342</w:t>
      </w:r>
    </w:p>
    <w:p>
      <w:pPr/>
      <w:r>
        <w:t>Description: Designation as a primary dealer in U.S. government debt securities is conditioned on reciprocity. A foreign-owned firm from any country that accords to United States companies the same competitive opportunities in the underwriting and distribution of government debt instruments as the country accords to a domestic company will be entitled to be designated as a primary dealer, assuming the firm meets applicable business requirements established by the Federal Reserve. If such country has entered into a Free Trade Agreement with the United States and the country has undertaken an obligation to provide national treatment for its government debt market, that fact shall be a positive factor in the consideration of such firm’s request for designation.</w:t>
      </w:r>
    </w:p>
    <w:p>
      <w:pPr>
        <w:pStyle w:val="Normal"/>
      </w:pPr>
      <w:r>
        <w:t/>
      </w:r>
    </w:p>
    <w:p>
      <w:pPr/>
      <w:r>
        <w:t>Sector: Financial Services</w:t>
      </w:r>
    </w:p>
    <w:p>
      <w:pPr/>
      <w:r>
        <w:t>Sub-</w:t>
      </w:r>
    </w:p>
    <w:p>
      <w:pPr/>
      <w:r>
        <w:t>Sector: Banking and other financial services (excluding insurance)</w:t>
      </w:r>
    </w:p>
    <w:p>
      <w:pPr/>
      <w:r>
        <w:t>Obligations Concerned: Most-Favored-Nation Treatment (Article 17.4)</w:t>
      </w:r>
    </w:p>
    <w:p>
      <w:pPr/>
      <w:r>
        <w:t>Level of Government: Central</w:t>
      </w:r>
    </w:p>
    <w:p>
      <w:pPr/>
      <w:r>
        <w:t>Measures: 15 U.S.C. § 78o(c)</w:t>
      </w:r>
    </w:p>
    <w:p>
      <w:pPr/>
      <w:r>
        <w:t>Description: A broker-dealer registered under U.S. law that has its principal place of business in Canada may maintain its required reserves in a bank in Canada subject to the supervision of Canada.</w:t>
      </w:r>
    </w:p>
    <w:p>
      <w:pPr>
        <w:pStyle w:val="Normal"/>
      </w:pPr>
      <w:r>
        <w:t/>
      </w:r>
    </w:p>
    <w:p>
      <w:pPr/>
      <w:r>
        <w:t>Sector: Financial Services</w:t>
      </w:r>
    </w:p>
    <w:p>
      <w:pPr/>
      <w:r>
        <w:t>Sub-</w:t>
      </w:r>
    </w:p>
    <w:p>
      <w:pPr/>
      <w:r>
        <w:t>Sector: Banking and other financial services (excluding insurance)</w:t>
      </w:r>
    </w:p>
    <w:p>
      <w:pPr/>
      <w:r>
        <w:t>Obligations Concerned: National Treatment (Article 17.3)</w:t>
      </w:r>
    </w:p>
    <w:p>
      <w:pPr/>
      <w:r>
        <w:t>Level of Government: Central</w:t>
      </w:r>
    </w:p>
    <w:p>
      <w:pPr/>
      <w:r>
        <w:t>Measures: 12 U.S.C. §§ 1421 et seq. (Federal Home Loan Banks) 12 U.S.C. §§ 1451 et seq. (Federal Home Loan Mortgage Corporation) 12 U.S.C. §§ 1717 et seq. (Federal National Mortgage Association) 12 U.S.C. §§ 2011 et seq. (Farm Credit Banks) 12 U.S.C. §§ 2279aa-1 et seq. (Federal Agricultural Mortgage Corporation) 20 U.S.C. §§ 1087-2 et seq. (Student Loan Marketing Association)</w:t>
      </w:r>
    </w:p>
    <w:p>
      <w:pPr/>
      <w:r>
        <w:t>Description: The United States may grant advantages, including but not limited to the following, to one or more of the Government-Sponsored Enterprises (GSEs) listed above: (a) Capital, reserves and income of the GSE are exempt from certain taxation. (b) Securities issued by the GSE are exempt from registration and periodic reporting requirements under federal securities laws. (c) The U.S. Treasury may, in its discretion, purchase obligations issued by the GSE.</w:t>
      </w:r>
    </w:p>
    <w:p>
      <w:pPr>
        <w:pStyle w:val="Normal"/>
      </w:pPr>
      <w:r>
        <w:t/>
      </w:r>
    </w:p>
    <w:p>
      <w:pPr/>
      <w:r>
        <w:t>Sector: Financial Services</w:t>
      </w:r>
    </w:p>
    <w:p>
      <w:pPr/>
      <w:r>
        <w:t>Sub-</w:t>
      </w:r>
    </w:p>
    <w:p>
      <w:pPr/>
      <w:r>
        <w:t>Sector: Banking and other financial services (excluding insurance)</w:t>
      </w:r>
    </w:p>
    <w:p>
      <w:pPr/>
      <w:r>
        <w:t>Obligations Concerned: National Treatment (Articles 17.3.1 and 17.3.2) Most-Favored-Nation Treatment (Article 17.4) Market Access (Article 17.5.1(a)) Senior Management and Boards of Directors (Article 17.9)</w:t>
      </w:r>
    </w:p>
    <w:p>
      <w:pPr/>
      <w:r>
        <w:t>Level of Government: Regional</w:t>
      </w:r>
    </w:p>
    <w:p>
      <w:pPr/>
      <w:r>
        <w:t>Measures: All existing non-conforming measures of all states, the District of Columbia, and Puerto Rico</w:t>
      </w:r>
    </w:p>
    <w:p>
      <w:pPr/>
      <w:r>
        <w:t>Description: Pursuant to the measures referred to above, some U.S. states may, among other things: (a) restrict or fail to provide an explicit mechanism for initial entry for the various juridical forms (for example, subsidiary, branch, agency, representative office) through which foreign banks may obtain a state license to conduct business activities within their territory;5 and (b) impose citizenship requirements on some or all members of the boards of directors of state- chartered depository institutions. Additionally, states may impose restrictions or conditions upon the business activities with respect to juridical form; that is, with respect to a foreign bank operating in the state as a state-licensed or state-chartered incorporated entity, branch, agency or representative office. Some of the above limitations may reflect state reciprocity requirements.</w:t>
      </w:r>
    </w:p>
    <w:p>
      <w:pPr>
        <w:pStyle w:val="Normal"/>
      </w:pPr>
      <w:r>
        <w:t>5 For the purposes of transparency, Appendix III-A sets out an illustrative, non-binding list of foreign bank structures explicitly provided for at the regional level of government.</w:t>
      </w:r>
    </w:p>
    <w:p>
      <w:pPr>
        <w:pStyle w:val="Normal"/>
      </w:pPr>
      <w:r>
        <w:t/>
      </w:r>
    </w:p>
    <w:p>
      <w:pPr/>
      <w:r>
        <w:t>Sector: Financial Services</w:t>
      </w:r>
    </w:p>
    <w:p>
      <w:pPr/>
      <w:r>
        <w:t>Sub-</w:t>
      </w:r>
    </w:p>
    <w:p>
      <w:pPr/>
      <w:r>
        <w:t>Sector: Insurance</w:t>
      </w:r>
    </w:p>
    <w:p>
      <w:pPr/>
      <w:r>
        <w:t>Obligations Concerned: National Treatment (Article 17.3) Market Access (Articles 17.5.1(a), 17.5.1(b), and 17.5.1(c))</w:t>
      </w:r>
    </w:p>
    <w:p>
      <w:pPr/>
      <w:r>
        <w:t>Level of Government: Central</w:t>
      </w:r>
    </w:p>
    <w:p>
      <w:pPr/>
      <w:r>
        <w:t>Measures: 31 U.S.C. § 9304</w:t>
      </w:r>
    </w:p>
    <w:p>
      <w:pPr/>
      <w:r>
        <w:t>Description: Branches of foreign insurance companies are not provide surety bonds for U.S. Government contracts. permitted to</w:t>
      </w:r>
    </w:p>
    <w:p>
      <w:pPr>
        <w:pStyle w:val="Normal"/>
      </w:pPr>
      <w:r>
        <w:t/>
      </w:r>
    </w:p>
    <w:p>
      <w:pPr/>
      <w:r>
        <w:t>Sector: Financial Services</w:t>
      </w:r>
    </w:p>
    <w:p>
      <w:pPr/>
      <w:r>
        <w:t>Sub-</w:t>
      </w:r>
    </w:p>
    <w:p>
      <w:pPr/>
      <w:r>
        <w:t>Sector: Insurance</w:t>
      </w:r>
    </w:p>
    <w:p>
      <w:pPr/>
      <w:r>
        <w:t>Obligations Concerned: National Treatment (Article 17.3.3)</w:t>
      </w:r>
    </w:p>
    <w:p>
      <w:pPr/>
      <w:r>
        <w:t>Level of Government: Central</w:t>
      </w:r>
    </w:p>
    <w:p>
      <w:pPr/>
      <w:r>
        <w:t>Measures: 46 C.F.R. 249.9</w:t>
      </w:r>
    </w:p>
    <w:p>
      <w:pPr/>
      <w:r>
        <w:t>Description: When more than 50 percent of the value of a maritime vessel whose hull was built under federally guaranteed mortgage funds is insured by a non-U.S. insurer, the insured must demonstrate that the risk was substantially first offered in the U.S. market.</w:t>
      </w:r>
    </w:p>
    <w:p>
      <w:pPr>
        <w:pStyle w:val="Normal"/>
      </w:pPr>
      <w:r>
        <w:t/>
      </w:r>
    </w:p>
    <w:p>
      <w:pPr/>
      <w:r>
        <w:t>Sector: Financial Services</w:t>
      </w:r>
    </w:p>
    <w:p>
      <w:pPr/>
      <w:r>
        <w:t>Sub-</w:t>
      </w:r>
    </w:p>
    <w:p>
      <w:pPr/>
      <w:r>
        <w:t>Sector: Insurance</w:t>
      </w:r>
    </w:p>
    <w:p>
      <w:pPr/>
      <w:r>
        <w:t>Obligations Concerned: National Treatment (Article 17.3) Most-Favored-Nation Treatment (Article 17.4) Market Access (Article 17.5) Senior Management and Boards of Directors (Article 17.9)</w:t>
      </w:r>
    </w:p>
    <w:p>
      <w:pPr/>
      <w:r>
        <w:t>Level of Government: Regional</w:t>
      </w:r>
    </w:p>
    <w:p>
      <w:pPr/>
      <w:r>
        <w:t>Measures: All existing non-conforming measures of all states, the District of Columbia and Puerto Rico. For the purposes of transparency, Appendix III-B sets out an illustrative, non-binding list of non conforming measures maintained at the regional level of government.</w:t>
      </w:r>
    </w:p>
    <w:p>
      <w:pPr>
        <w:pStyle w:val="Normal"/>
      </w:pPr>
      <w:r>
        <w:t>APPENDIX III-A: LIST OF FOREIGN BANK STRUCTURES EXPLICITLY PROVIDED FOR AT THE REGIONAL LEVEL OF GOVERNMENT</w:t>
      </w:r>
    </w:p>
    <w:tbl>
      <w:tblPr>
        <w:tblStyle w:val="TableGrid"/>
        <w:tblW w:type="pct"/>
      </w:tblPr>
      <w:tblGrid>
        <w:gridCol w:w="2300"/>
        <w:gridCol w:w="1600"/>
        <w:gridCol w:w="1150"/>
        <w:gridCol w:w="1150"/>
        <w:gridCol w:w="1900"/>
      </w:tblGrid>
      <w:tr>
        <w:trPr>
          <w:cantSplit/>
          <w:tblHeader/>
        </w:trPr>
        <w:tc>
          <w:tcPr>
            <w:tcW w:w="2300" w:type="dxa"/>
          </w:tcPr>
          <w:p>
            <w:r>
              <w:rPr>
                <w:sz w:val="18"/>
                <w:szCs w:val="18"/>
              </w:rPr>
              <w:t>Jurisdiction</w:t>
            </w:r>
          </w:p>
        </w:tc>
        <w:tc>
          <w:tcPr>
            <w:tcW w:w="1600" w:type="dxa"/>
          </w:tcPr>
          <w:p>
            <w:r>
              <w:rPr>
                <w:sz w:val="18"/>
                <w:szCs w:val="18"/>
              </w:rPr>
              <w:t>Commercial bank ownership</w:t>
            </w:r>
          </w:p>
        </w:tc>
        <w:tc>
          <w:tcPr>
            <w:tcW w:w="1150" w:type="dxa"/>
          </w:tcPr>
          <w:p>
            <w:r>
              <w:rPr>
                <w:sz w:val="18"/>
                <w:szCs w:val="18"/>
              </w:rPr>
              <w:t>Branches</w:t>
            </w:r>
          </w:p>
        </w:tc>
        <w:tc>
          <w:tcPr>
            <w:tcW w:w="1150" w:type="dxa"/>
          </w:tcPr>
          <w:p>
            <w:r>
              <w:rPr>
                <w:sz w:val="18"/>
                <w:szCs w:val="18"/>
              </w:rPr>
              <w:t>Agencies</w:t>
            </w:r>
          </w:p>
        </w:tc>
        <w:tc>
          <w:tcPr>
            <w:tcW w:w="1900" w:type="dxa"/>
          </w:tcPr>
          <w:p>
            <w:r>
              <w:rPr>
                <w:sz w:val="18"/>
              </w:rPr>
              <w:t>Representative</w:t>
              <w:br/>
              <w:t>offices</w:t>
            </w:r>
          </w:p>
        </w:tc>
      </w:tr>
      <w:tr>
        <w:trPr>
          <w:cantSplit/>
        </w:trPr>
        <w:tc>
          <w:tcPr>
            <w:tcW w:w="2300" w:type="dxa"/>
          </w:tcPr>
          <w:p>
            <w:r>
              <w:t>Alabama</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Alaska</w:t>
            </w:r>
          </w:p>
        </w:tc>
        <w:tc>
          <w:tcPr>
            <w:tcW w:w="1600" w:type="dxa"/>
          </w:tcPr>
          <w:p>
            <w:r>
              <w:t>Yes</w:t>
            </w:r>
          </w:p>
        </w:tc>
        <w:tc>
          <w:tcPr>
            <w:tcW w:w="1150" w:type="dxa"/>
          </w:tcPr>
          <w:p>
            <w:r>
              <w:t>Yes</w:t>
            </w:r>
          </w:p>
        </w:tc>
        <w:tc>
          <w:tcPr>
            <w:tcW w:w="1150" w:type="dxa"/>
          </w:tcPr>
          <w:p>
            <w:r>
              <w:t>No</w:t>
            </w:r>
          </w:p>
        </w:tc>
        <w:tc>
          <w:tcPr>
            <w:tcW w:w="1900" w:type="dxa"/>
          </w:tcPr>
          <w:p>
            <w:r>
              <w:t>No</w:t>
            </w:r>
          </w:p>
        </w:tc>
      </w:tr>
      <w:tr>
        <w:trPr>
          <w:cantSplit/>
        </w:trPr>
        <w:tc>
          <w:tcPr>
            <w:tcW w:w="2300" w:type="dxa"/>
          </w:tcPr>
          <w:p>
            <w:r>
              <w:t>Arizona</w:t>
            </w:r>
          </w:p>
        </w:tc>
        <w:tc>
          <w:tcPr>
            <w:tcW w:w="1600" w:type="dxa"/>
          </w:tcPr>
          <w:p>
            <w:r>
              <w:t>No</w:t>
            </w:r>
          </w:p>
        </w:tc>
        <w:tc>
          <w:tcPr>
            <w:tcW w:w="1150" w:type="dxa"/>
          </w:tcPr>
          <w:p>
            <w:r>
              <w:t>No</w:t>
            </w:r>
          </w:p>
        </w:tc>
        <w:tc>
          <w:tcPr>
            <w:tcW w:w="1150" w:type="dxa"/>
          </w:tcPr>
          <w:p>
            <w:r>
              <w:t>No</w:t>
            </w:r>
          </w:p>
        </w:tc>
        <w:tc>
          <w:tcPr>
            <w:tcW w:w="1900" w:type="dxa"/>
          </w:tcPr>
          <w:p>
            <w:r>
              <w:t>No</w:t>
            </w:r>
          </w:p>
        </w:tc>
      </w:tr>
      <w:tr>
        <w:trPr>
          <w:cantSplit/>
        </w:trPr>
        <w:tc>
          <w:tcPr>
            <w:tcW w:w="2300" w:type="dxa"/>
          </w:tcPr>
          <w:p>
            <w:r>
              <w:t>Arkansas</w:t>
            </w:r>
          </w:p>
        </w:tc>
        <w:tc>
          <w:tcPr>
            <w:tcW w:w="1600" w:type="dxa"/>
          </w:tcPr>
          <w:p>
            <w:r>
              <w:t>No</w:t>
            </w:r>
          </w:p>
        </w:tc>
        <w:tc>
          <w:tcPr>
            <w:tcW w:w="1150" w:type="dxa"/>
          </w:tcPr>
          <w:p>
            <w:r>
              <w:t>No</w:t>
            </w:r>
          </w:p>
        </w:tc>
        <w:tc>
          <w:tcPr>
            <w:tcW w:w="1150" w:type="dxa"/>
          </w:tcPr>
          <w:p>
            <w:r>
              <w:t>No</w:t>
            </w:r>
          </w:p>
        </w:tc>
        <w:tc>
          <w:tcPr>
            <w:tcW w:w="1900" w:type="dxa"/>
          </w:tcPr>
          <w:p>
            <w:r>
              <w:t>No</w:t>
            </w:r>
          </w:p>
        </w:tc>
      </w:tr>
      <w:tr>
        <w:trPr>
          <w:cantSplit/>
        </w:trPr>
        <w:tc>
          <w:tcPr>
            <w:tcW w:w="2300" w:type="dxa"/>
          </w:tcPr>
          <w:p>
            <w:r>
              <w:t>California</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Colorado</w:t>
            </w:r>
          </w:p>
        </w:tc>
        <w:tc>
          <w:tcPr>
            <w:tcW w:w="1600" w:type="dxa"/>
          </w:tcPr>
          <w:p>
            <w:r>
              <w:t>No</w:t>
            </w:r>
          </w:p>
        </w:tc>
        <w:tc>
          <w:tcPr>
            <w:tcW w:w="1150" w:type="dxa"/>
          </w:tcPr>
          <w:p>
            <w:r>
              <w:t>No</w:t>
            </w:r>
          </w:p>
        </w:tc>
        <w:tc>
          <w:tcPr>
            <w:tcW w:w="1150" w:type="dxa"/>
          </w:tcPr>
          <w:p>
            <w:r>
              <w:t>No</w:t>
            </w:r>
          </w:p>
        </w:tc>
        <w:tc>
          <w:tcPr>
            <w:tcW w:w="1900" w:type="dxa"/>
          </w:tcPr>
          <w:p>
            <w:r>
              <w:t>No</w:t>
            </w:r>
          </w:p>
        </w:tc>
      </w:tr>
      <w:tr>
        <w:trPr>
          <w:cantSplit/>
        </w:trPr>
        <w:tc>
          <w:tcPr>
            <w:tcW w:w="2300" w:type="dxa"/>
          </w:tcPr>
          <w:p>
            <w:r>
              <w:t>Connecticut</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Delaware</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District of Columbia</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Florida</w:t>
            </w:r>
          </w:p>
        </w:tc>
        <w:tc>
          <w:tcPr>
            <w:tcW w:w="1600" w:type="dxa"/>
          </w:tcPr>
          <w:p>
            <w:r>
              <w:t>No</w:t>
            </w:r>
          </w:p>
        </w:tc>
        <w:tc>
          <w:tcPr>
            <w:tcW w:w="1150" w:type="dxa"/>
          </w:tcPr>
          <w:p>
            <w:r>
              <w:t>Yes</w:t>
            </w:r>
          </w:p>
        </w:tc>
        <w:tc>
          <w:tcPr>
            <w:tcW w:w="1150" w:type="dxa"/>
          </w:tcPr>
          <w:p>
            <w:r>
              <w:t>Yes</w:t>
            </w:r>
          </w:p>
        </w:tc>
        <w:tc>
          <w:tcPr>
            <w:tcW w:w="1900" w:type="dxa"/>
          </w:tcPr>
          <w:p>
            <w:r>
              <w:t>Yes</w:t>
            </w:r>
          </w:p>
        </w:tc>
      </w:tr>
      <w:tr>
        <w:trPr>
          <w:cantSplit/>
        </w:trPr>
        <w:tc>
          <w:tcPr>
            <w:tcW w:w="2300" w:type="dxa"/>
          </w:tcPr>
          <w:p>
            <w:r>
              <w:t>Georgia</w:t>
            </w:r>
          </w:p>
        </w:tc>
        <w:tc>
          <w:tcPr>
            <w:tcW w:w="1600" w:type="dxa"/>
          </w:tcPr>
          <w:p>
            <w:r>
              <w:t>No</w:t>
            </w:r>
          </w:p>
        </w:tc>
        <w:tc>
          <w:tcPr>
            <w:tcW w:w="1150" w:type="dxa"/>
          </w:tcPr>
          <w:p>
            <w:r>
              <w:t>No</w:t>
            </w:r>
          </w:p>
        </w:tc>
        <w:tc>
          <w:tcPr>
            <w:tcW w:w="1150" w:type="dxa"/>
          </w:tcPr>
          <w:p>
            <w:r>
              <w:t>Yes</w:t>
            </w:r>
          </w:p>
        </w:tc>
        <w:tc>
          <w:tcPr>
            <w:tcW w:w="1900" w:type="dxa"/>
          </w:tcPr>
          <w:p>
            <w:r>
              <w:t>Yes</w:t>
            </w:r>
          </w:p>
        </w:tc>
      </w:tr>
      <w:tr>
        <w:trPr>
          <w:cantSplit/>
        </w:trPr>
        <w:tc>
          <w:tcPr>
            <w:tcW w:w="2300" w:type="dxa"/>
          </w:tcPr>
          <w:p>
            <w:r>
              <w:t>Hawaii</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Idaho</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Illinois</w:t>
            </w:r>
          </w:p>
        </w:tc>
        <w:tc>
          <w:tcPr>
            <w:tcW w:w="1600" w:type="dxa"/>
          </w:tcPr>
          <w:p>
            <w:r>
              <w:t>No</w:t>
            </w:r>
          </w:p>
        </w:tc>
        <w:tc>
          <w:tcPr>
            <w:tcW w:w="1150" w:type="dxa"/>
          </w:tcPr>
          <w:p>
            <w:r>
              <w:t>Yes</w:t>
            </w:r>
          </w:p>
        </w:tc>
        <w:tc>
          <w:tcPr>
            <w:tcW w:w="1150" w:type="dxa"/>
          </w:tcPr>
          <w:p>
            <w:r>
              <w:t>No</w:t>
            </w:r>
          </w:p>
        </w:tc>
        <w:tc>
          <w:tcPr>
            <w:tcW w:w="1900" w:type="dxa"/>
          </w:tcPr>
          <w:p>
            <w:r>
              <w:t>Yes</w:t>
            </w:r>
          </w:p>
        </w:tc>
      </w:tr>
      <w:tr>
        <w:trPr>
          <w:cantSplit/>
        </w:trPr>
        <w:tc>
          <w:tcPr>
            <w:tcW w:w="2300" w:type="dxa"/>
          </w:tcPr>
          <w:p>
            <w:r>
              <w:t>Indiana</w:t>
            </w:r>
          </w:p>
        </w:tc>
        <w:tc>
          <w:tcPr>
            <w:tcW w:w="1600" w:type="dxa"/>
          </w:tcPr>
          <w:p>
            <w:r>
              <w:t>Yes</w:t>
            </w:r>
          </w:p>
        </w:tc>
        <w:tc>
          <w:tcPr>
            <w:tcW w:w="1150" w:type="dxa"/>
          </w:tcPr>
          <w:p>
            <w:r>
              <w:t>No</w:t>
            </w:r>
          </w:p>
        </w:tc>
        <w:tc>
          <w:tcPr>
            <w:tcW w:w="1150" w:type="dxa"/>
          </w:tcPr>
          <w:p>
            <w:r>
              <w:t>No</w:t>
            </w:r>
          </w:p>
        </w:tc>
        <w:tc>
          <w:tcPr>
            <w:tcW w:w="1900" w:type="dxa"/>
          </w:tcPr>
          <w:p>
            <w:r>
              <w:t>No</w:t>
            </w:r>
          </w:p>
        </w:tc>
      </w:tr>
      <w:tr>
        <w:trPr>
          <w:cantSplit/>
        </w:trPr>
        <w:tc>
          <w:tcPr>
            <w:tcW w:w="2300" w:type="dxa"/>
          </w:tcPr>
          <w:p>
            <w:r>
              <w:t>Iowa</w:t>
            </w:r>
          </w:p>
        </w:tc>
        <w:tc>
          <w:tcPr>
            <w:tcW w:w="1600" w:type="dxa"/>
          </w:tcPr>
          <w:p>
            <w:r>
              <w:t>No</w:t>
            </w:r>
          </w:p>
        </w:tc>
        <w:tc>
          <w:tcPr>
            <w:tcW w:w="1150" w:type="dxa"/>
          </w:tcPr>
          <w:p>
            <w:r>
              <w:t>No</w:t>
            </w:r>
          </w:p>
        </w:tc>
        <w:tc>
          <w:tcPr>
            <w:tcW w:w="1150" w:type="dxa"/>
          </w:tcPr>
          <w:p>
            <w:r>
              <w:t>No</w:t>
            </w:r>
          </w:p>
        </w:tc>
        <w:tc>
          <w:tcPr>
            <w:tcW w:w="1900" w:type="dxa"/>
          </w:tcPr>
          <w:p>
            <w:r>
              <w:t>No</w:t>
            </w:r>
          </w:p>
        </w:tc>
      </w:tr>
      <w:tr>
        <w:trPr>
          <w:cantSplit/>
        </w:trPr>
        <w:tc>
          <w:tcPr>
            <w:tcW w:w="2300" w:type="dxa"/>
          </w:tcPr>
          <w:p>
            <w:r>
              <w:t>Kansas</w:t>
            </w:r>
          </w:p>
        </w:tc>
        <w:tc>
          <w:tcPr>
            <w:tcW w:w="1600" w:type="dxa"/>
          </w:tcPr>
          <w:p>
            <w:r>
              <w:t>No</w:t>
            </w:r>
          </w:p>
        </w:tc>
        <w:tc>
          <w:tcPr>
            <w:tcW w:w="1150" w:type="dxa"/>
          </w:tcPr>
          <w:p>
            <w:r>
              <w:t>No</w:t>
            </w:r>
          </w:p>
        </w:tc>
        <w:tc>
          <w:tcPr>
            <w:tcW w:w="1150" w:type="dxa"/>
          </w:tcPr>
          <w:p>
            <w:r>
              <w:t>No</w:t>
            </w:r>
          </w:p>
        </w:tc>
        <w:tc>
          <w:tcPr>
            <w:tcW w:w="1900" w:type="dxa"/>
          </w:tcPr>
          <w:p>
            <w:r>
              <w:t>No</w:t>
            </w:r>
          </w:p>
        </w:tc>
      </w:tr>
      <w:tr>
        <w:trPr>
          <w:cantSplit/>
        </w:trPr>
        <w:tc>
          <w:tcPr>
            <w:tcW w:w="2300" w:type="dxa"/>
          </w:tcPr>
          <w:p>
            <w:r>
              <w:t>Kentucky</w:t>
            </w:r>
          </w:p>
        </w:tc>
        <w:tc>
          <w:tcPr>
            <w:tcW w:w="1600" w:type="dxa"/>
          </w:tcPr>
          <w:p>
            <w:r>
              <w:t>No</w:t>
            </w:r>
          </w:p>
        </w:tc>
        <w:tc>
          <w:tcPr>
            <w:tcW w:w="1150" w:type="dxa"/>
          </w:tcPr>
          <w:p>
            <w:r>
              <w:t>No</w:t>
            </w:r>
          </w:p>
        </w:tc>
        <w:tc>
          <w:tcPr>
            <w:tcW w:w="1150" w:type="dxa"/>
          </w:tcPr>
          <w:p>
            <w:r>
              <w:t>No</w:t>
            </w:r>
          </w:p>
        </w:tc>
        <w:tc>
          <w:tcPr>
            <w:tcW w:w="1900" w:type="dxa"/>
          </w:tcPr>
          <w:p>
            <w:r>
              <w:t>Yes</w:t>
            </w:r>
          </w:p>
        </w:tc>
      </w:tr>
      <w:tr>
        <w:trPr>
          <w:cantSplit/>
        </w:trPr>
        <w:tc>
          <w:tcPr>
            <w:tcW w:w="2300" w:type="dxa"/>
          </w:tcPr>
          <w:p>
            <w:r>
              <w:t>Louisiana</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Maine</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Maryland</w:t>
            </w:r>
          </w:p>
        </w:tc>
        <w:tc>
          <w:tcPr>
            <w:tcW w:w="1600" w:type="dxa"/>
          </w:tcPr>
          <w:p>
            <w:r>
              <w:t>No</w:t>
            </w:r>
          </w:p>
        </w:tc>
        <w:tc>
          <w:tcPr>
            <w:tcW w:w="1150" w:type="dxa"/>
          </w:tcPr>
          <w:p>
            <w:r>
              <w:t>No</w:t>
            </w:r>
          </w:p>
        </w:tc>
        <w:tc>
          <w:tcPr>
            <w:tcW w:w="1150" w:type="dxa"/>
          </w:tcPr>
          <w:p>
            <w:r>
              <w:t>No</w:t>
            </w:r>
          </w:p>
        </w:tc>
        <w:tc>
          <w:tcPr>
            <w:tcW w:w="1900" w:type="dxa"/>
          </w:tcPr>
          <w:p>
            <w:r>
              <w:t>No</w:t>
            </w:r>
          </w:p>
        </w:tc>
      </w:tr>
      <w:tr>
        <w:trPr>
          <w:cantSplit/>
        </w:trPr>
        <w:tc>
          <w:tcPr>
            <w:tcW w:w="2300" w:type="dxa"/>
          </w:tcPr>
          <w:p>
            <w:r>
              <w:t>Massachusetts</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Michigan</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Minnesota</w:t>
            </w:r>
          </w:p>
        </w:tc>
        <w:tc>
          <w:tcPr>
            <w:tcW w:w="1600" w:type="dxa"/>
          </w:tcPr>
          <w:p>
            <w:r>
              <w:t>Yes</w:t>
            </w:r>
          </w:p>
        </w:tc>
        <w:tc>
          <w:tcPr>
            <w:tcW w:w="1150" w:type="dxa"/>
          </w:tcPr>
          <w:p>
            <w:r>
              <w:t>No</w:t>
            </w:r>
          </w:p>
        </w:tc>
        <w:tc>
          <w:tcPr>
            <w:tcW w:w="1150" w:type="dxa"/>
          </w:tcPr>
          <w:p>
            <w:r>
              <w:t>No</w:t>
            </w:r>
          </w:p>
        </w:tc>
        <w:tc>
          <w:tcPr>
            <w:tcW w:w="1900" w:type="dxa"/>
          </w:tcPr>
          <w:p>
            <w:r>
              <w:t>Yes</w:t>
            </w:r>
          </w:p>
        </w:tc>
      </w:tr>
      <w:tr>
        <w:trPr>
          <w:cantSplit/>
        </w:trPr>
        <w:tc>
          <w:tcPr>
            <w:tcW w:w="2300" w:type="dxa"/>
          </w:tcPr>
          <w:p>
            <w:r>
              <w:t>Mississippi</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Missouri</w:t>
            </w:r>
          </w:p>
        </w:tc>
        <w:tc>
          <w:tcPr>
            <w:tcW w:w="1600" w:type="dxa"/>
          </w:tcPr>
          <w:p>
            <w:r>
              <w:t>Yes</w:t>
            </w:r>
          </w:p>
        </w:tc>
        <w:tc>
          <w:tcPr>
            <w:tcW w:w="1150" w:type="dxa"/>
          </w:tcPr>
          <w:p>
            <w:r>
              <w:t>No</w:t>
            </w:r>
          </w:p>
        </w:tc>
        <w:tc>
          <w:tcPr>
            <w:tcW w:w="1150" w:type="dxa"/>
          </w:tcPr>
          <w:p>
            <w:r>
              <w:t>Yes</w:t>
            </w:r>
          </w:p>
        </w:tc>
        <w:tc>
          <w:tcPr>
            <w:tcW w:w="1900" w:type="dxa"/>
          </w:tcPr>
          <w:p>
            <w:r>
              <w:t>Yes</w:t>
            </w:r>
          </w:p>
        </w:tc>
      </w:tr>
      <w:tr>
        <w:trPr>
          <w:cantSplit/>
        </w:trPr>
        <w:tc>
          <w:tcPr>
            <w:tcW w:w="2300" w:type="dxa"/>
          </w:tcPr>
          <w:p>
            <w:r>
              <w:t>Montana</w:t>
            </w:r>
          </w:p>
        </w:tc>
        <w:tc>
          <w:tcPr>
            <w:tcW w:w="1600" w:type="dxa"/>
          </w:tcPr>
          <w:p>
            <w:r>
              <w:t>Yes</w:t>
            </w:r>
          </w:p>
        </w:tc>
        <w:tc>
          <w:tcPr>
            <w:tcW w:w="1150" w:type="dxa"/>
          </w:tcPr>
          <w:p>
            <w:r>
              <w:t>No</w:t>
            </w:r>
          </w:p>
        </w:tc>
        <w:tc>
          <w:tcPr>
            <w:tcW w:w="1150" w:type="dxa"/>
          </w:tcPr>
          <w:p>
            <w:r>
              <w:t>No</w:t>
            </w:r>
          </w:p>
        </w:tc>
        <w:tc>
          <w:tcPr>
            <w:tcW w:w="1900" w:type="dxa"/>
          </w:tcPr>
          <w:p>
            <w:r>
              <w:t>No</w:t>
            </w:r>
          </w:p>
        </w:tc>
      </w:tr>
      <w:tr>
        <w:trPr>
          <w:cantSplit/>
        </w:trPr>
        <w:tc>
          <w:tcPr>
            <w:tcW w:w="2300" w:type="dxa"/>
          </w:tcPr>
          <w:p>
            <w:r>
              <w:t>Nebraska</w:t>
            </w:r>
          </w:p>
        </w:tc>
        <w:tc>
          <w:tcPr>
            <w:tcW w:w="1600" w:type="dxa"/>
          </w:tcPr>
          <w:p>
            <w:r>
              <w:t>No</w:t>
            </w:r>
          </w:p>
        </w:tc>
        <w:tc>
          <w:tcPr>
            <w:tcW w:w="1150" w:type="dxa"/>
          </w:tcPr>
          <w:p>
            <w:r>
              <w:t>No</w:t>
            </w:r>
          </w:p>
        </w:tc>
        <w:tc>
          <w:tcPr>
            <w:tcW w:w="1150" w:type="dxa"/>
          </w:tcPr>
          <w:p>
            <w:r>
              <w:t>No</w:t>
            </w:r>
          </w:p>
        </w:tc>
        <w:tc>
          <w:tcPr>
            <w:tcW w:w="1900" w:type="dxa"/>
          </w:tcPr>
          <w:p>
            <w:r>
              <w:t>No</w:t>
            </w:r>
          </w:p>
        </w:tc>
      </w:tr>
      <w:tr>
        <w:trPr>
          <w:cantSplit/>
        </w:trPr>
        <w:tc>
          <w:tcPr>
            <w:tcW w:w="2300" w:type="dxa"/>
          </w:tcPr>
          <w:p>
            <w:r>
              <w:t>Nevada</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New Hampshire</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New Jersey</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New Mexico</w:t>
            </w:r>
          </w:p>
        </w:tc>
        <w:tc>
          <w:tcPr>
            <w:tcW w:w="1600" w:type="dxa"/>
          </w:tcPr>
          <w:p>
            <w:r>
              <w:t>No</w:t>
            </w:r>
          </w:p>
        </w:tc>
        <w:tc>
          <w:tcPr>
            <w:tcW w:w="1150" w:type="dxa"/>
          </w:tcPr>
          <w:p>
            <w:r>
              <w:t>No</w:t>
            </w:r>
          </w:p>
        </w:tc>
        <w:tc>
          <w:tcPr>
            <w:tcW w:w="1150" w:type="dxa"/>
          </w:tcPr>
          <w:p>
            <w:r>
              <w:t>No</w:t>
            </w:r>
          </w:p>
        </w:tc>
        <w:tc>
          <w:tcPr>
            <w:tcW w:w="1900" w:type="dxa"/>
          </w:tcPr>
          <w:p>
            <w:r>
              <w:t>No</w:t>
            </w:r>
          </w:p>
        </w:tc>
      </w:tr>
      <w:tr>
        <w:trPr>
          <w:cantSplit/>
        </w:trPr>
        <w:tc>
          <w:tcPr>
            <w:tcW w:w="2300" w:type="dxa"/>
          </w:tcPr>
          <w:p>
            <w:r>
              <w:t>New York</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North Carolina</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North Dakota</w:t>
            </w:r>
          </w:p>
        </w:tc>
        <w:tc>
          <w:tcPr>
            <w:tcW w:w="1600" w:type="dxa"/>
          </w:tcPr>
          <w:p>
            <w:r>
              <w:t>No</w:t>
            </w:r>
          </w:p>
        </w:tc>
        <w:tc>
          <w:tcPr>
            <w:tcW w:w="1150" w:type="dxa"/>
          </w:tcPr>
          <w:p>
            <w:r>
              <w:t>No</w:t>
            </w:r>
          </w:p>
        </w:tc>
        <w:tc>
          <w:tcPr>
            <w:tcW w:w="1150" w:type="dxa"/>
          </w:tcPr>
          <w:p>
            <w:r>
              <w:t>No</w:t>
            </w:r>
          </w:p>
        </w:tc>
        <w:tc>
          <w:tcPr>
            <w:tcW w:w="1900" w:type="dxa"/>
          </w:tcPr>
          <w:p>
            <w:r>
              <w:t>No</w:t>
            </w:r>
          </w:p>
        </w:tc>
      </w:tr>
      <w:tr>
        <w:trPr>
          <w:cantSplit/>
        </w:trPr>
        <w:tc>
          <w:tcPr>
            <w:tcW w:w="2300" w:type="dxa"/>
          </w:tcPr>
          <w:p>
            <w:r>
              <w:t>Ohio</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Oklahoma</w:t>
            </w:r>
          </w:p>
        </w:tc>
        <w:tc>
          <w:tcPr>
            <w:tcW w:w="1600" w:type="dxa"/>
          </w:tcPr>
          <w:p>
            <w:r>
              <w:t>No</w:t>
            </w:r>
          </w:p>
        </w:tc>
        <w:tc>
          <w:tcPr>
            <w:tcW w:w="1150" w:type="dxa"/>
          </w:tcPr>
          <w:p>
            <w:r>
              <w:t>No</w:t>
            </w:r>
          </w:p>
        </w:tc>
        <w:tc>
          <w:tcPr>
            <w:tcW w:w="1150" w:type="dxa"/>
          </w:tcPr>
          <w:p>
            <w:r>
              <w:t>Yes</w:t>
            </w:r>
          </w:p>
        </w:tc>
        <w:tc>
          <w:tcPr>
            <w:tcW w:w="1900" w:type="dxa"/>
          </w:tcPr>
          <w:p>
            <w:r>
              <w:t>Yes</w:t>
            </w:r>
          </w:p>
        </w:tc>
      </w:tr>
      <w:tr>
        <w:trPr>
          <w:cantSplit/>
        </w:trPr>
        <w:tc>
          <w:tcPr>
            <w:tcW w:w="2300" w:type="dxa"/>
          </w:tcPr>
          <w:p>
            <w:r>
              <w:t>Oregon</w:t>
            </w:r>
          </w:p>
        </w:tc>
        <w:tc>
          <w:tcPr>
            <w:tcW w:w="1600" w:type="dxa"/>
          </w:tcPr>
          <w:p>
            <w:r>
              <w:t>No</w:t>
            </w:r>
          </w:p>
        </w:tc>
        <w:tc>
          <w:tcPr>
            <w:tcW w:w="1150" w:type="dxa"/>
          </w:tcPr>
          <w:p>
            <w:r>
              <w:t>Yes</w:t>
            </w:r>
          </w:p>
        </w:tc>
        <w:tc>
          <w:tcPr>
            <w:tcW w:w="1150" w:type="dxa"/>
          </w:tcPr>
          <w:p>
            <w:r>
              <w:t>No</w:t>
            </w:r>
          </w:p>
        </w:tc>
        <w:tc>
          <w:tcPr>
            <w:tcW w:w="1900" w:type="dxa"/>
          </w:tcPr>
          <w:p>
            <w:r>
              <w:t>No</w:t>
            </w:r>
          </w:p>
        </w:tc>
      </w:tr>
      <w:tr>
        <w:trPr>
          <w:cantSplit/>
        </w:trPr>
        <w:tc>
          <w:tcPr>
            <w:tcW w:w="2300" w:type="dxa"/>
          </w:tcPr>
          <w:p>
            <w:r>
              <w:t>Pennsylvania</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Puerto Rico</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Rhode Island</w:t>
            </w:r>
          </w:p>
        </w:tc>
        <w:tc>
          <w:tcPr>
            <w:tcW w:w="1600" w:type="dxa"/>
          </w:tcPr>
          <w:p>
            <w:r>
              <w:t>Yes</w:t>
            </w:r>
          </w:p>
        </w:tc>
        <w:tc>
          <w:tcPr>
            <w:tcW w:w="1150" w:type="dxa"/>
          </w:tcPr>
          <w:p>
            <w:r>
              <w:t>No</w:t>
            </w:r>
          </w:p>
        </w:tc>
        <w:tc>
          <w:tcPr>
            <w:tcW w:w="1150" w:type="dxa"/>
          </w:tcPr>
          <w:p>
            <w:r>
              <w:t>No</w:t>
            </w:r>
          </w:p>
        </w:tc>
        <w:tc>
          <w:tcPr>
            <w:tcW w:w="1900" w:type="dxa"/>
          </w:tcPr>
          <w:p>
            <w:r>
              <w:t>No</w:t>
            </w:r>
          </w:p>
        </w:tc>
      </w:tr>
      <w:tr>
        <w:trPr>
          <w:cantSplit/>
        </w:trPr>
        <w:tc>
          <w:tcPr>
            <w:tcW w:w="2300" w:type="dxa"/>
          </w:tcPr>
          <w:p>
            <w:r>
              <w:t>South Carolina</w:t>
            </w:r>
          </w:p>
        </w:tc>
        <w:tc>
          <w:tcPr>
            <w:tcW w:w="1600" w:type="dxa"/>
          </w:tcPr>
          <w:p>
            <w:r>
              <w:t>No</w:t>
            </w:r>
          </w:p>
        </w:tc>
        <w:tc>
          <w:tcPr>
            <w:tcW w:w="1150" w:type="dxa"/>
          </w:tcPr>
          <w:p>
            <w:r>
              <w:t>No</w:t>
            </w:r>
          </w:p>
        </w:tc>
        <w:tc>
          <w:tcPr>
            <w:tcW w:w="1150" w:type="dxa"/>
          </w:tcPr>
          <w:p>
            <w:r>
              <w:t>No</w:t>
            </w:r>
          </w:p>
        </w:tc>
        <w:tc>
          <w:tcPr>
            <w:tcW w:w="1900" w:type="dxa"/>
          </w:tcPr>
          <w:p>
            <w:r>
              <w:t>No</w:t>
            </w:r>
          </w:p>
        </w:tc>
      </w:tr>
      <w:tr>
        <w:trPr>
          <w:cantSplit/>
        </w:trPr>
        <w:tc>
          <w:tcPr>
            <w:tcW w:w="2300" w:type="dxa"/>
          </w:tcPr>
          <w:p>
            <w:r>
              <w:t>South Dakota</w:t>
            </w:r>
          </w:p>
        </w:tc>
        <w:tc>
          <w:tcPr>
            <w:tcW w:w="1600" w:type="dxa"/>
          </w:tcPr>
          <w:p>
            <w:r>
              <w:t>No</w:t>
            </w:r>
          </w:p>
        </w:tc>
        <w:tc>
          <w:tcPr>
            <w:tcW w:w="1150" w:type="dxa"/>
          </w:tcPr>
          <w:p>
            <w:r>
              <w:t>No</w:t>
            </w:r>
          </w:p>
        </w:tc>
        <w:tc>
          <w:tcPr>
            <w:tcW w:w="1150" w:type="dxa"/>
          </w:tcPr>
          <w:p>
            <w:r>
              <w:t>No</w:t>
            </w:r>
          </w:p>
        </w:tc>
        <w:tc>
          <w:tcPr>
            <w:tcW w:w="1900" w:type="dxa"/>
          </w:tcPr>
          <w:p>
            <w:r>
              <w:t>No</w:t>
            </w:r>
          </w:p>
        </w:tc>
      </w:tr>
      <w:tr>
        <w:trPr>
          <w:cantSplit/>
        </w:trPr>
        <w:tc>
          <w:tcPr>
            <w:tcW w:w="2300" w:type="dxa"/>
          </w:tcPr>
          <w:p>
            <w:r>
              <w:t>Tennessee</w:t>
            </w:r>
          </w:p>
        </w:tc>
        <w:tc>
          <w:tcPr>
            <w:tcW w:w="1600" w:type="dxa"/>
          </w:tcPr>
          <w:p>
            <w:r>
              <w:t>No</w:t>
            </w:r>
          </w:p>
        </w:tc>
        <w:tc>
          <w:tcPr>
            <w:tcW w:w="1150" w:type="dxa"/>
          </w:tcPr>
          <w:p>
            <w:r>
              <w:t>No</w:t>
            </w:r>
          </w:p>
        </w:tc>
        <w:tc>
          <w:tcPr>
            <w:tcW w:w="1150" w:type="dxa"/>
          </w:tcPr>
          <w:p>
            <w:r>
              <w:t>No</w:t>
            </w:r>
          </w:p>
        </w:tc>
        <w:tc>
          <w:tcPr>
            <w:tcW w:w="1900" w:type="dxa"/>
          </w:tcPr>
          <w:p>
            <w:r>
              <w:t>No</w:t>
            </w:r>
          </w:p>
        </w:tc>
      </w:tr>
      <w:tr>
        <w:trPr>
          <w:cantSplit/>
        </w:trPr>
        <w:tc>
          <w:tcPr>
            <w:tcW w:w="2300" w:type="dxa"/>
          </w:tcPr>
          <w:p>
            <w:r>
              <w:t>Texas</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Utah</w:t>
            </w:r>
          </w:p>
        </w:tc>
        <w:tc>
          <w:tcPr>
            <w:tcW w:w="1600" w:type="dxa"/>
          </w:tcPr>
          <w:p>
            <w:r>
              <w:t>No</w:t>
            </w:r>
          </w:p>
        </w:tc>
        <w:tc>
          <w:tcPr>
            <w:tcW w:w="1150" w:type="dxa"/>
          </w:tcPr>
          <w:p>
            <w:r>
              <w:t>Yes</w:t>
            </w:r>
          </w:p>
        </w:tc>
        <w:tc>
          <w:tcPr>
            <w:tcW w:w="1150" w:type="dxa"/>
          </w:tcPr>
          <w:p>
            <w:r>
              <w:t>Yes</w:t>
            </w:r>
          </w:p>
        </w:tc>
        <w:tc>
          <w:tcPr>
            <w:tcW w:w="1900" w:type="dxa"/>
          </w:tcPr>
          <w:p>
            <w:r>
              <w:t>Yes</w:t>
            </w:r>
          </w:p>
        </w:tc>
      </w:tr>
      <w:tr>
        <w:trPr>
          <w:cantSplit/>
        </w:trPr>
        <w:tc>
          <w:tcPr>
            <w:tcW w:w="2300" w:type="dxa"/>
          </w:tcPr>
          <w:p>
            <w:r>
              <w:t>Vermont</w:t>
            </w:r>
          </w:p>
        </w:tc>
        <w:tc>
          <w:tcPr>
            <w:tcW w:w="1600" w:type="dxa"/>
          </w:tcPr>
          <w:p>
            <w:r>
              <w:t>Yes</w:t>
            </w:r>
          </w:p>
        </w:tc>
        <w:tc>
          <w:tcPr>
            <w:tcW w:w="1150" w:type="dxa"/>
          </w:tcPr>
          <w:p>
            <w:r>
              <w:t>Yes</w:t>
            </w:r>
          </w:p>
        </w:tc>
        <w:tc>
          <w:tcPr>
            <w:tcW w:w="1150" w:type="dxa"/>
          </w:tcPr>
          <w:p>
            <w:r>
              <w:t>No</w:t>
            </w:r>
          </w:p>
        </w:tc>
        <w:tc>
          <w:tcPr>
            <w:tcW w:w="1900" w:type="dxa"/>
          </w:tcPr>
          <w:p>
            <w:r>
              <w:t>No</w:t>
            </w:r>
          </w:p>
        </w:tc>
      </w:tr>
      <w:tr>
        <w:trPr>
          <w:cantSplit/>
        </w:trPr>
        <w:tc>
          <w:tcPr>
            <w:tcW w:w="2300" w:type="dxa"/>
          </w:tcPr>
          <w:p>
            <w:r>
              <w:t>Virginia</w:t>
            </w:r>
          </w:p>
        </w:tc>
        <w:tc>
          <w:tcPr>
            <w:tcW w:w="1600" w:type="dxa"/>
          </w:tcPr>
          <w:p>
            <w:r>
              <w:t>No</w:t>
            </w:r>
          </w:p>
        </w:tc>
        <w:tc>
          <w:tcPr>
            <w:tcW w:w="1150" w:type="dxa"/>
          </w:tcPr>
          <w:p>
            <w:r>
              <w:t>No</w:t>
            </w:r>
          </w:p>
        </w:tc>
        <w:tc>
          <w:tcPr>
            <w:tcW w:w="1150" w:type="dxa"/>
          </w:tcPr>
          <w:p>
            <w:r>
              <w:t>No</w:t>
            </w:r>
          </w:p>
        </w:tc>
        <w:tc>
          <w:tcPr>
            <w:tcW w:w="1900" w:type="dxa"/>
          </w:tcPr>
          <w:p>
            <w:r>
              <w:t>No</w:t>
            </w:r>
          </w:p>
        </w:tc>
      </w:tr>
      <w:tr>
        <w:trPr>
          <w:cantSplit/>
        </w:trPr>
        <w:tc>
          <w:tcPr>
            <w:tcW w:w="2300" w:type="dxa"/>
          </w:tcPr>
          <w:p>
            <w:r>
              <w:t>Washington</w:t>
            </w:r>
          </w:p>
        </w:tc>
        <w:tc>
          <w:tcPr>
            <w:tcW w:w="1600" w:type="dxa"/>
          </w:tcPr>
          <w:p>
            <w:r>
              <w:t>No</w:t>
            </w:r>
          </w:p>
        </w:tc>
        <w:tc>
          <w:tcPr>
            <w:tcW w:w="1150" w:type="dxa"/>
          </w:tcPr>
          <w:p>
            <w:r>
              <w:t>Yes</w:t>
            </w:r>
          </w:p>
        </w:tc>
        <w:tc>
          <w:tcPr>
            <w:tcW w:w="1150" w:type="dxa"/>
          </w:tcPr>
          <w:p>
            <w:r>
              <w:t>Yes</w:t>
            </w:r>
          </w:p>
        </w:tc>
        <w:tc>
          <w:tcPr>
            <w:tcW w:w="1900" w:type="dxa"/>
          </w:tcPr>
          <w:p>
            <w:r>
              <w:t>Yes</w:t>
            </w:r>
          </w:p>
        </w:tc>
      </w:tr>
      <w:tr>
        <w:trPr>
          <w:cantSplit/>
        </w:trPr>
        <w:tc>
          <w:tcPr>
            <w:tcW w:w="2300" w:type="dxa"/>
          </w:tcPr>
          <w:p>
            <w:r>
              <w:t>West Virginia</w:t>
            </w:r>
          </w:p>
        </w:tc>
        <w:tc>
          <w:tcPr>
            <w:tcW w:w="1600" w:type="dxa"/>
          </w:tcPr>
          <w:p>
            <w:r>
              <w:t>Yes</w:t>
            </w:r>
          </w:p>
        </w:tc>
        <w:tc>
          <w:tcPr>
            <w:tcW w:w="1150" w:type="dxa"/>
          </w:tcPr>
          <w:p>
            <w:r>
              <w:t>Yes</w:t>
            </w:r>
          </w:p>
        </w:tc>
        <w:tc>
          <w:tcPr>
            <w:tcW w:w="1150" w:type="dxa"/>
          </w:tcPr>
          <w:p>
            <w:r>
              <w:t>Yes</w:t>
            </w:r>
          </w:p>
        </w:tc>
        <w:tc>
          <w:tcPr>
            <w:tcW w:w="1900" w:type="dxa"/>
          </w:tcPr>
          <w:p>
            <w:r>
              <w:t>Yes</w:t>
            </w:r>
          </w:p>
        </w:tc>
      </w:tr>
      <w:tr>
        <w:trPr>
          <w:cantSplit/>
        </w:trPr>
        <w:tc>
          <w:tcPr>
            <w:tcW w:w="2300" w:type="dxa"/>
          </w:tcPr>
          <w:p>
            <w:r>
              <w:t>Wisconsin</w:t>
            </w:r>
          </w:p>
        </w:tc>
        <w:tc>
          <w:tcPr>
            <w:tcW w:w="1600" w:type="dxa"/>
          </w:tcPr>
          <w:p>
            <w:r>
              <w:t>Yes</w:t>
            </w:r>
          </w:p>
        </w:tc>
        <w:tc>
          <w:tcPr>
            <w:tcW w:w="1150" w:type="dxa"/>
          </w:tcPr>
          <w:p>
            <w:r>
              <w:t>No</w:t>
            </w:r>
          </w:p>
        </w:tc>
        <w:tc>
          <w:tcPr>
            <w:tcW w:w="1150" w:type="dxa"/>
          </w:tcPr>
          <w:p>
            <w:r>
              <w:t>No</w:t>
            </w:r>
          </w:p>
        </w:tc>
        <w:tc>
          <w:tcPr>
            <w:tcW w:w="1900" w:type="dxa"/>
          </w:tcPr>
          <w:p>
            <w:r>
              <w:t>No</w:t>
            </w:r>
          </w:p>
        </w:tc>
      </w:tr>
      <w:tr>
        <w:trPr>
          <w:cantSplit/>
        </w:trPr>
        <w:tc>
          <w:tcPr>
            <w:tcW w:w="2300" w:type="dxa"/>
          </w:tcPr>
          <w:p>
            <w:r>
              <w:t>Wyoming</w:t>
            </w:r>
          </w:p>
        </w:tc>
        <w:tc>
          <w:tcPr>
            <w:tcW w:w="1600" w:type="dxa"/>
          </w:tcPr>
          <w:p>
            <w:r>
              <w:t>No</w:t>
            </w:r>
          </w:p>
        </w:tc>
        <w:tc>
          <w:tcPr>
            <w:tcW w:w="1150" w:type="dxa"/>
          </w:tcPr>
          <w:p>
            <w:r>
              <w:t>No</w:t>
            </w:r>
          </w:p>
        </w:tc>
        <w:tc>
          <w:tcPr>
            <w:tcW w:w="1150" w:type="dxa"/>
          </w:tcPr>
          <w:p>
            <w:r>
              <w:t>No</w:t>
            </w:r>
          </w:p>
        </w:tc>
        <w:tc>
          <w:tcPr>
            <w:tcW w:w="1900" w:type="dxa"/>
          </w:tcPr>
          <w:p>
            <w:r>
              <w:t>No</w:t>
            </w:r>
          </w:p>
        </w:tc>
      </w:tr>
    </w:tbl>
    <w:p>
      <w:pPr>
        <w:pStyle w:val="Normal"/>
      </w:pPr>
      <w:r>
        <w:t>Footnote 6. This list provides illustrative examples for transparency purposes only; it is neither exhaustive nor binding.</w:t>
      </w:r>
    </w:p>
    <w:p>
      <w:pPr>
        <w:pStyle w:val="Normal"/>
      </w:pPr>
      <w:r>
        <w:t/>
      </w:r>
    </w:p>
    <w:p>
      <w:pPr>
        <w:pStyle w:val="Normal"/>
      </w:pPr>
      <w:r>
        <w:t>APPENDIX III-B ILLUSTRATIVE LIST OF U.S. REGIONAL NON-CONFORMING MEASURES AFFECTING INSURANCE Part I: Measures affecting a commercial presence Juridical Form Senior Management and Boards of Directors Government Ownership or Control Direct insurance The following states have no mechanism for licensing initial entry of a non-U.S. insurance company as a subsidiary, unless that company is already licensed in some other U.S. state: Minnesota, Mississippi and Tennessee. The following states have no mechanism for licensing initial entry of a non-U.S. insurance company as a branch, unless that company is already licensed in some other U.S. state: Arkansas, Arizona, Connecticut, Georgia, Kansas, Maryland, Minnesota, Nebraska, New Jersey, North Carolina, Tennessee, Vermont, and Wyoming. Citizenship requirement (for board of directors): Louisiana, Washington, Oklahoma, Pennsylvania, California, Florida, Georgia, Idaho, Indiana, Mississippi, Oregon, New York, South Dakota, Wyoming, Tennessee, Illinois, and Missouri. Citizenship requirement (for incorporators): Hawaii, Idaho, Indiana, South Dakota, Washington, Georgia, Alaska, Florida, Kansas, Kentucky, Maine, Missouri, Montana, Texas, and Wyoming. Residency requirement (for organizing members of mutuals): Arkansas, California; Idaho; Kansas; North Dakota, Minnesota, Mississippi, Montana, Vermont, and Wyoming.</w:t>
      </w:r>
    </w:p>
    <w:p>
      <w:pPr>
        <w:pStyle w:val="Normal"/>
      </w:pPr>
      <w:r>
        <w:t>Government-owned or  controlled insurance companies are not authorized to conduct business: Alabama, Alaska, Arkansas, California, Colorado, Connecticut, Delaware, Georgia, Hawaii, Idaho, Kansas, Kentucky, Maine, Maryland, Montana, Nevada, New Jersey, New York, North Carolina, North Dakota, Oklahoma, Oregon, Rhode Island, South Dakota, Tennessee, Washington, and Wyoming. 7 This list is provided for transparency purposes only, and is neither exhaustive nor binding.</w:t>
      </w:r>
    </w:p>
    <w:p>
      <w:pPr>
        <w:pStyle w:val="Normal"/>
      </w:pPr>
      <w:r>
        <w:t>Part I: Measures affecting a commercial presence Juridical Form Senior Management and Boards of Directors Government Ownership or Control Direct Insurance Citizenship/residency (continued) requirement (for organizers of fraternal benefit societies): Alaska, Arizona, Arkansas, California, Delaware, Florida, Hawaii, Idaho, Illinois, Indiana, Iowa, Kansas, Kentucky, Maine, Maryland, Michigan, Minnesota, Mississippi, Missouri, Montana, Nebraska, New Jersey, North Dakota, Oklahoma, Oregon, Pennsylvania, South Dakota, Virginia, Vermont, Washington, West Virginia, and Wyoming. Residency requirement (for organizers of domestic reciprocal insurers): Arizona, Arkansas, California, Delaware, Georgia, Idaho, Indiana, Kentucky, Maine, Maryland, Mississippi, Montana, Pennsylvania, South Dakota, Tennessee, Virginia, Washington, and Wyoming.</w:t>
      </w:r>
    </w:p>
    <w:p>
      <w:pPr>
        <w:pStyle w:val="Normal"/>
      </w:pPr>
      <w:r>
        <w:t>Part I: Measures affecting a commercial presence Juridical Form Senior Management and Boards of Directors Government Ownership or Control Reinsurance The following states Government-owned or  and retrocession have no mechanism for licensing initial entry of a non-U.S. insurance company as a subsidiary, unless that company is already licensed in some other U.S. state: Maryland, Minnesota, and Mississippi. The following states have no mechanism for licensing initial entry of a non-U.S. insurance company as a branch, unless that company is already licensed in some other U.S. state: Arkansas, Arizona, Connecticut, Georgia, Kansas, Maryland, Minnesota, Nebraska, New Jersey, North Carolina, Pennsylvania, Tennessee, Vermont, and Wyoming. controlled insurance companies are not authorized to conduct business: Alabama, Alaska, Arkansas, Colorado, Connecticut, Delaware, Georgia, Hawaii, Idaho, Kansas, Kentucky, Maine, Maryland, Montana, Nevada, New York, North Carolina, North Dakota, Oklahoma, Oregon, Pennsylvania, Rhode Island, South Dakota, Tennessee, Washington, and Wyoming. Part II: Measures affecting a natural person Residency Citizenship Differential license fees</w:t>
      </w:r>
    </w:p>
    <w:p>
      <w:pPr>
        <w:pStyle w:val="Normal"/>
      </w:pPr>
      <w:r>
        <w:t>Part I: Measures affecting a commercial presence Juridical Form Senior Management and Boards of Directors Government Ownership or Control Insurance Non-resident licenses intermediation, are not issued to and services individuals not auxiliary to licensed in another insurance U.S. state in: Connecticut, Colorado, California, Delaware, Georgia, Florida, Hawaii, Illinois, Indiana, Kansas, Louisiana, Maine, Maryland, Mississippi, Montana, Nevada, New Jersey, North Dakota, Nebraska, New York, North Carolina, Oregon, Pennsylvania, South Dakota, Virginia, West Virginia, Texas, and Washington. Brokerage Residency Differential license fees services requirement: Alabama, Arkansas, California, and Louisiana. Residency requirement (for surplus lines brokers): All states except California, Idaho, Maine, Mississippi, Missouri, Nebraska, New Mexico, North Carolina, North for non- residents: Alaska, California, Colorado, Georgia, Indiana, Louisiana, Maine, Montana, New Hampshire, North Dakota, Oklahoma, Rhode Island, and Vermont.</w:t>
      </w:r>
    </w:p>
    <w:p>
      <w:pPr>
        <w:pStyle w:val="Normal"/>
      </w:pPr>
      <w:r>
        <w:t>Part I: Measures affecting a commercial presence Juridical Form Senior Management and Boards of Directors Government Ownership or Control Dakota, Ohio, Oregon, South Dakota, Texas, Vermont, West Virginia, and Wyoming. Agency services Residency requirement: California, Florida, Kansas, Louisiana, Oregon, Rhode Island, and Texas. Residency requirement (for surplus lines brokers): All states except Alaska, Arkansas, Florida, Idaho, Kentucky, Louisiana, Nevada, New Mexico, Ohio, Oregon, South Dakota, Texas, West Virginia, and Wyoming. Differential license fees for non- residents: Alaska, California, Colorado, Indiana, Iowa, Kansas, Kentucky, Louisiana, Maine, Mississippi, Montana, New Hampshire, New Jersey, North Dakota, Oklahoma, Rhode Island, South Dakota, Tennessee, Vermont, Wisconsin, and Wyoming.</w:t>
      </w:r>
    </w:p>
    <w:p>
      <w:pPr>
        <w:pStyle w:val="Normal"/>
      </w:pPr>
      <w:r>
        <w:t>Part I: Measures affecting a commercial presence Juridical Form Senior Management and Boards of Directors Government Ownership or Control Consultancy, Residency Citizenship actuarial, risk requirement: requirement: Alabama, assessment, Alabama, California, Missouri, New Mexico, and claim Florida, Georgia, and Oklahoma. settlement Indiana, Illinois, services Kentucky, Maryland, Michigan, Mississippi, Montana, Nevada, North Carolina, Oklahoma, Oregon, Pennsylvania, and Washington.</w:t>
      </w:r>
    </w:p>
    <w:p>
      <w:pPr>
        <w:pStyle w:val="Heading1"/>
      </w:pPr>
      <w:bookmarkStart w:id="901540" w:name="_Toc300001539"/>
      <w:r>
        <w:t/>
      </w:r>
      <w:bookmarkEnd w:id="901540"/>
    </w:p>
    <w:p>
      <w:pPr>
        <w:pStyle w:val="Normal"/>
      </w:pPr>
      <w:r>
        <w:t>ANNEX III Section B</w:t>
      </w:r>
    </w:p>
    <w:p>
      <w:pPr/>
      <w:r>
        <w:t>Sector: Financial Services</w:t>
      </w:r>
    </w:p>
    <w:p>
      <w:pPr/>
      <w:r>
        <w:t>Sub-</w:t>
      </w:r>
    </w:p>
    <w:p>
      <w:pPr/>
      <w:r>
        <w:t>Sector: Banking and other financial services (excluding insurance)</w:t>
      </w:r>
    </w:p>
    <w:p>
      <w:pPr/>
      <w:r>
        <w:t>Obligations Concerned: National Treatment (Article 17.3)</w:t>
      </w:r>
    </w:p>
    <w:p>
      <w:pPr/>
      <w:r>
        <w:t>Level of Government: Central</w:t>
      </w:r>
    </w:p>
    <w:p>
      <w:pPr/>
      <w:r>
        <w:t>Description: With regard to the Federal Home Loan Banks, Federal Home Loan Mortgage Corporation and Federal National Mortgage Association, the United States reserves the right to adopt or maintain measures that grant advantages, including those described in the entry on page Annex III – US – 14 to that entity, or any new, reorganized or transferee entity with similar functions and objectives with respect to housing finance.</w:t>
      </w:r>
    </w:p>
    <w:p>
      <w:pPr/>
      <w:r>
        <w:t>Existing</w:t>
      </w:r>
    </w:p>
    <w:p>
      <w:pPr/>
      <w:r>
        <w:t>Measures: 12 U.S.C. §§ 1421 et seq. (Federal Home Loan Banks) 12 U.S.C. §§ 1451 et seq. (Federal Home Loan Mortgage Corporation) 12 U.S.C. §§ 1717 et seq. (Federal National Mortgage Association)</w:t>
      </w:r>
    </w:p>
    <w:p>
      <w:pPr>
        <w:pStyle w:val="Normal"/>
      </w:pPr>
      <w:r>
        <w:t/>
      </w:r>
    </w:p>
    <w:p>
      <w:pPr/>
      <w:r>
        <w:t>Sector: Financial Services</w:t>
      </w:r>
    </w:p>
    <w:p>
      <w:pPr/>
      <w:r>
        <w:t>Sub-</w:t>
      </w:r>
    </w:p>
    <w:p>
      <w:pPr/>
      <w:r>
        <w:t>Sector: Banking and other financial services (excluding insurance)</w:t>
      </w:r>
    </w:p>
    <w:p>
      <w:pPr/>
      <w:r>
        <w:t>Obligations Concerned: Cross-Border Trade Standstill (Article 17.6)</w:t>
      </w:r>
    </w:p>
    <w:p>
      <w:pPr/>
      <w:r>
        <w:t>Level of Government: Central Regional</w:t>
      </w:r>
    </w:p>
    <w:p>
      <w:pPr/>
      <w:r>
        <w:t>Description: With respect to Canada, the United States reserves the right to adopt or maintain any measure relating to cross-border trade in securities and derivatives services.</w:t>
      </w:r>
    </w:p>
    <w:p>
      <w:pPr>
        <w:pStyle w:val="Heading1"/>
      </w:pPr>
      <w:bookmarkStart w:id="901541" w:name="_Toc300001540"/>
      <w:r>
        <w:t/>
      </w:r>
      <w:bookmarkEnd w:id="901541"/>
    </w:p>
    <w:p>
      <w:pPr>
        <w:pStyle w:val="Normal"/>
      </w:pPr>
      <w:r>
        <w:t>ANNEX IV NON-CONFORMING ACTIVITIES EXPLANATORY NOTE 1. The Schedule of a Party to this Annex sets out, pursuant to Article 22.9.1 (Party-Specific Annexes), the non-conforming activities of a state-owned enterprise or designated monopoly, with respect to which some or all of the following obligations shall not apply: (a) Article 22.4 (Non-Discriminatory Treatment and Commercial Considerations); and (b) Article 22.6 (Non-Commercial Assistance). 2. Each Schedule entry sets out the following elements: (a) Obligations Concerned specifies the obligations referred to in paragraph 1 that, pursuant to Article 22.9.1 (Party-Specific Annexes), shall not apply to the non conforming activities of the state-owned enterprises or designated monopoly, as set out in paragraph 3; (b) Entity identifies the state-owned enterprise or designated monopoly that undertakes the non-conforming activities for which the entry is made; (c) Scope of Non-conforming Activities provides a description of the scope of non conforming activities of the state-owned enterprise or designated monopoly for which the entry is made; and (d) Measures identifies, for transparency purposes, a non-exhaustive list of the laws, regulations, or other measures pursuant to which the state-owned enterprise or designated monopoly engages in the non-conforming activities for which the entry is made. 3.</w:t>
      </w:r>
    </w:p>
    <w:p>
      <w:pPr>
        <w:pStyle w:val="Normal"/>
      </w:pPr>
      <w:r>
        <w:t>In accordance with Article 22.9.1 (Party-Specific Annexes), the articles of this Agreement specified in the Obligations Concerned element of an entry shall not apply to the non-conforming activities (identified in the Scope of Non-conforming Activities element of that entry) of the state-owned enterprise or designated monopoly (identified in the Entity element of that entry).</w:t>
      </w:r>
    </w:p>
    <w:p>
      <w:pPr>
        <w:pStyle w:val="Normal"/>
      </w:pPr>
      <w:r>
        <w:t>ANNEX IV – EXPLANATORY NOTE – 1 SCHEDULE OF CANADA</w:t>
      </w:r>
    </w:p>
    <w:p>
      <w:pPr/>
      <w:r>
        <w:t>Obligations Concerned: Article 22.6.4(b) (Non-Commercial Assistance) Article 22.6.4(c) (Non-Commercial Assistance) Article 22.6.5(b) (Non-Commercial Assistance) Article 22.6.5(c) (Non-Commercial Assistance)</w:t>
      </w:r>
    </w:p>
    <w:p>
      <w:pPr/>
      <w:r>
        <w:t>Entity: Bridge Authorities that manage international crossings, or any new, reorganized, or transferee enterprise, with similar functions and objectives. The Bridge Authorities that currently manage international crossings are the Federal Bridge Corporation Limited and the Windsor-Detroit Bridge Authority. Scope of Non- Canada, its state enterprises, or state-owned enterprises may Conforming Activities: provide the Entity or Entities with appropriations or assistance from funding programs to manage international crossings, including the design, construction, operation, and maintenance of the Entity or Entities’ crossings and any related infrastructure, to the extent that this involves the supply of services from the territory of Canada into the territory of another Party, or through an enterprise that is a covered investment in the territory of that other Party or any other Party.</w:t>
      </w:r>
    </w:p>
    <w:p>
      <w:pPr/>
      <w:r>
        <w:t>Measures: International Bridges and Tunnels Act, S.C. 2007, c. 1 (and regulations thereof) And including any future amendments.</w:t>
      </w:r>
    </w:p>
    <w:p>
      <w:pPr>
        <w:pStyle w:val="Normal"/>
      </w:pPr>
      <w:r>
        <w:t/>
      </w:r>
    </w:p>
    <w:p>
      <w:pPr/>
      <w:r>
        <w:t>Obligations Concerned: Article 22.4.1(a) (Non-Discriminatory Treatment and Commercial Considerations) Article 22.4.1(c)(i) (Non-Discriminatory Treatment and Commercial Considerations) Article 22.6.4(b) (Non-Commercial Assistance)</w:t>
      </w:r>
    </w:p>
    <w:p>
      <w:pPr/>
      <w:r>
        <w:t>Entity: Canadian Commercial Corporation, or any new, reorganized, or transferee enterprise, with similar functions and objectives. Scope of Non- With respect to Article 22.4.1(a) (Non-Discriminatory Treatment Conforming Activities: and Commercial Considerations), the Entity or Entities may restrict the sale of services associated with facilitating the import or export of goods or services to enterprises located within Canada as set out in applicable laws, regulations, policies, and practices. With respect to Article 22.4.1(c)(i) (Non-Discriminatory Treatment and Commercial Considerations), the Entity or Entities may accord preferences in the sale of services associated with facilitating the import or export of goods or services to or from certain countries based on bilateral arrangements with the relevant country. With respect to Article 22.6.4(b) (Non-Commercial Assistance), Canada may provide the Entity or Entities with non-commercial assistance with respect to its supply of a service from Canada into the territory of another Party associated with facilitating the import or export of goods and services, as set out in applicable laws, regulations, and policies.</w:t>
      </w:r>
    </w:p>
    <w:p>
      <w:pPr/>
      <w:r>
        <w:t>Measures: Canadian Commercial Corporation Act, R.S.C. 1985, c.</w:t>
      </w:r>
    </w:p>
    <w:p>
      <w:pPr>
        <w:pStyle w:val="Normal"/>
      </w:pPr>
      <w:r>
        <w:t>C-14 (and regulations thereof) And including any future amendments.</w:t>
      </w:r>
    </w:p>
    <w:p>
      <w:pPr>
        <w:pStyle w:val="Normal"/>
      </w:pPr>
      <w:r>
        <w:t/>
      </w:r>
    </w:p>
    <w:p>
      <w:pPr/>
      <w:r>
        <w:t>Obligations Concerned:</w:t>
      </w:r>
    </w:p>
    <w:p>
      <w:pPr/>
      <w:r>
        <w:t>Entity: Scope of Non- Conforming Activities: Article 22.6.1(a) (Non-Commercial Assistance) Article 22.6.1(c) (Non-Commercial Assistance) Article 22.6.2 (Non-Commercial Assistance) Article 22.6.3 (Non-Commercial Assistance) Article 22.6.4(a) (Non-Commercial Assistance) Article 22.6.4(b) (Non-Commercial Assistance) Canadian Dairy Commission, or any new, reorganized, or transferee enterprise, with similar functions and objectives. With respect to Article 22.6.1(a) (Non-Commercial Assistance), the Entity or Entities may receive non-commercial assistance with respect to loans or loan guarantees, in circumstances that jeopardize the continued viability of the recipient enterprise, and for the sole purpose of enabling the enterprise to return to viability and fulfil its mandate pursuant to the Canadian Dairy Commission Act. With respect to Article 22.6.1(c) (Non-Commercial Assistance), Canada may provide non-commercial assistance to the Entity or Entities with respect to the conversion of debt to equity, in circumstances that jeopardize the continued viability of the recipient enterprise, and for the sole purpose of enabling the enterprise to return to viability and fulfil its mandate pursuant to the Canadian Dairy Commission Act. With respect to Article 22.6.2 (Non-Commercial Assistance), Canada may provide the Entity or Entities with non-commercial assistance referred to in Article 22.6.1(c).</w:t>
      </w:r>
    </w:p>
    <w:p>
      <w:pPr>
        <w:pStyle w:val="Normal"/>
      </w:pPr>
      <w:r>
        <w:t>With respect to Article 22.6.3 (Non-Commercial Assistance), the Entity or Entities may provide Canada’s state-owned enterprises with non-commercial assistance referred to in Article 22.6.1(a), or Article 22.6.1(c). With respect to Article 22.6.4(a) (Non-Commercial Assistance), Canada may provide the Entity or Entities with non-commercial assistance that may cause adverse effects to the interests of another Party with respect to the production and sale of dairy products in the territory of Canada pursuant to the Canadian Dairy Commission Act. With respect to Article 22.6.4(b) (Non-Commercial Assistance), Canada may provide the Entity or Entities with non-commercial</w:t>
      </w:r>
    </w:p>
    <w:p>
      <w:pPr>
        <w:pStyle w:val="Normal"/>
      </w:pPr>
      <w:r>
        <w:t>assistance that may cause adverse effects to the interests of another Party regarding services related to the cross-border trade of dairy products (export and import) such as shipping, insuring, and wholesale trade and distribution, pursuant to the Canadian Dairy Commission Act.</w:t>
      </w:r>
    </w:p>
    <w:p>
      <w:pPr/>
      <w:r>
        <w:t>Measures: Canadian Dairy Commission Act, R.S.C. 1985, c. C-15 (and regulations thereof) And including any future amendments.</w:t>
      </w:r>
    </w:p>
    <w:p>
      <w:pPr>
        <w:pStyle w:val="Normal"/>
      </w:pPr>
      <w:r>
        <w:t/>
      </w:r>
    </w:p>
    <w:p>
      <w:pPr/>
      <w:r>
        <w:t>Obligations Concerned:</w:t>
      </w:r>
    </w:p>
    <w:p>
      <w:pPr/>
      <w:r>
        <w:t>Entity: Scope of Non- Conforming Activities: Article 22.4.1(a) (Non-Discriminatory Treatment and Commercial Considerations) Article 22.4.1(b)(i) (Non-Discriminatory Treatment and Commercial Considerations) Article 22.4.1(c)(i) (Non-Discriminatory Treatment and Commercial Considerations) Article 22.6.4(b) (Non-Commercial Assistance) Canada Mortgage and Housing Corporation and Canada Housing Trusts, or any new, reorganized, or transferee enterprise, with similar functions and objectives. With respect to Article 22.4.1(a) (Non-Discriminatory Treatment and Commercial Considerations), the Entity or Entities may take into account factors other than commercial considerations in the provision of financial or housing-related services such as: (a) guarantees, mortgage insurance, loans, and mortgage- backed securities; and (b) management of nursing homes, retirement homes, on- reserve and rental housing, and ancillary infrastructure, in furtherance of the mandate to support housing needs and housing affordability in Canada as set out in laws, regulations, policies, or programs.</w:t>
      </w:r>
    </w:p>
    <w:p>
      <w:pPr>
        <w:pStyle w:val="Normal"/>
      </w:pPr>
      <w:r>
        <w:t>With respect to Article 22.4.1(b)(i) and Article 22.4.1(c)(i) (Non-Discriminatory Treatment and Commercial Considerations), and as set out in applicable laws, regulations, policies, or programs, the Entity or Entities may: (a) provide financial or housing-related services such as mortgage insurance, loans, and advisory services only to enterprises in Canada or provide such services to enterprises in certain other countries; and (b) purchase financial or housing-related services from enterprises in certain other countries. With respect to Article 22.6.4(b) (Non-Commercial Assistance), Canada may provide the Entity or Entities with non-commercial assistance with respect to its supply of</w:t>
      </w:r>
    </w:p>
    <w:p>
      <w:pPr>
        <w:pStyle w:val="Normal"/>
      </w:pPr>
      <w:r>
        <w:t>financial or housing-related services from Canada into the territory of another Party as set out in applicable laws, regulations, policies, or programs.</w:t>
      </w:r>
    </w:p>
    <w:p>
      <w:pPr/>
      <w:r>
        <w:t>Measures: Canada Mortgage and Housing Corporation Act, R.S.C. 1985, c. C-7 (and regulations thereof) And including any future amendments. National Housing Act, R.S.C. 1985, c. N-11</w:t>
      </w:r>
    </w:p>
    <w:p>
      <w:pPr>
        <w:pStyle w:val="Normal"/>
      </w:pPr>
      <w:r>
        <w:t/>
      </w:r>
    </w:p>
    <w:p>
      <w:pPr/>
      <w:r>
        <w:t>Obligations Concerned:</w:t>
      </w:r>
    </w:p>
    <w:p>
      <w:pPr/>
      <w:r>
        <w:t>Entity: Scope of Non- Conforming Activities: Article 22.6.1(b) (Non-Commercial Assistance) Article 22.6.1(c) (Non-Commercial Assistance) Article 22.6.2 (Non-Commercial Assistance) Article 22.6.4(b) (Non-Commercial Assistance) Article 22.6.4(c) (Non-Commercial Assistance) Trans Mountain Corporation, or any new, reorganized, or transferee enterprise, with similar functions and objectives. With respect to Article 22.6.1(b) and Article 22.6.2 (Non- Commercial Assistance), Canada may provide the Entity or Entities with non-commercial assistance, in circumstances that jeopardize the continued viability of the recipient enterprise, and for the sole purpose of enabling the enterprise to return to viability and fulfil its mandate. Canada may provide this assistance until either the privatization of the Entity or Entities occurs or ten years has elapsed from July 1, 2020, the original date of entry into force of this Agreement, whichever is earlier. With respect to Article 22.6.1(c) and Article 22.6.2 (Non- Commercial Assistance), Canada may provide the Entity or Entities with non-commercial assistance with respect to the conversion of debt to equity, in circumstances that jeopardize the continued viability of the recipient enterprise, and for the sole purpose of enabling the enterprise to return to viability and fulfil its mandate.</w:t>
      </w:r>
    </w:p>
    <w:p>
      <w:pPr>
        <w:pStyle w:val="Normal"/>
      </w:pPr>
      <w:r>
        <w:t>Canada may provide this assistance until either the privatization of the Entity or Entities occurs or ten years has elapsed from July 1, 2020, the original date of entry into force of this Agreement, whichever is earlier. With respect to Article 22.6.4(b) (Non-Commercial Assistance), Canada may provide the Entity or Entities with non-commercial assistance until the privatization of the Entity or Entities, where that assistance may cause adverse effects to the interests of another Party with respect to the supply of pipeline operation services from the territory of Canada into the territory of another Party. With respect to Article 22.6.4(c) (Non-Commercial Assistance), Canada may provide the Entity or Entities with non-commercial assistance until the privatization of the Entity or Entities, where that assistance may cause adverse effects to the interests of another Party with respect to the supply of pipeline operation services in the territory of another Party through an enterprise</w:t>
      </w:r>
    </w:p>
    <w:p>
      <w:pPr>
        <w:pStyle w:val="Normal"/>
      </w:pPr>
      <w:r>
        <w:t>that is a covered investment in the territory of that other Party or any other Party.</w:t>
      </w:r>
    </w:p>
    <w:p>
      <w:pPr/>
      <w:r>
        <w:t>Measures: Canada Business Corporations Act, R.S.C. 1985, c. C-44 (and regulations thereof) And including any future amendments.</w:t>
      </w:r>
    </w:p>
    <w:p>
      <w:pPr/>
      <w:r>
        <w:t>Entity: All existing and future state-owned enterprises Scope of Non- With respect to Article 22.4.1(a) (Non-Discriminatory Treatment Conforming Activities: and Commercial Considerations), the Entity or Entities may accord more favorable treatment to aboriginal persons and organizations in the purchase of a good or service. With respect to Article 22.4.1(b) (Non-Discriminatory Treatment and Commercial Considerations), the Entity or Entities may accord more favorable treatment to aboriginal persons and organizations in the purchase of a good or service.</w:t>
      </w:r>
    </w:p>
    <w:p>
      <w:pPr/>
      <w:r>
        <w:t>Measures: Constitution Act, 1982, being Schedule B of the Canada Act 1982 (U.K.), 1982, c. 11</w:t>
      </w:r>
    </w:p>
    <w:p>
      <w:pPr>
        <w:pStyle w:val="Normal"/>
      </w:pPr>
      <w:r>
        <w:t/>
      </w:r>
    </w:p>
    <w:p>
      <w:pPr/>
      <w:r>
        <w:t>Obligations Concerned:</w:t>
      </w:r>
    </w:p>
    <w:p>
      <w:pPr/>
      <w:r>
        <w:t>Entity: Scope of Non- Conforming Activities: SCHEDULE OF MEXICO Article 22.4.1(a) (Non-Discriminatory Treatment and Commercial Considerations), Article 22.4.1(b), and Article 22.4.1(c) Article 22.6.4(b) (Non-Commercial Assistance) Article 22.6.5(b) (Non-Commercial Assistance) Banco Nacional de Obras y Servicios Públicos, S.N.C., or any new, reorganized, or successor enterprise, with similar functions and objectives. The purpose of the Entity, as a development bank, is to finance or refinance projects that are directly or indirectly related to public or private investment in infrastructure and public services, and supporting the institutional strengthening of the Government (Federal, State, and Municipal levels).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w:t>
      </w:r>
    </w:p>
    <w:p>
      <w:pPr>
        <w:pStyle w:val="Normal"/>
      </w:pPr>
      <w:r>
        <w:t>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 With respect to Article 22.6.4(b) (Non-Commercial Assistance) and Article 22.6.5(b) (Non-Commercial Assistance) the Entity may receive government guarantees for banking services in order to comply with the Entity’s purpose referred to in the first paragraph above and pursuant to considerations consistent with its laws and regulations.</w:t>
      </w:r>
    </w:p>
    <w:p>
      <w:pPr>
        <w:pStyle w:val="Normal"/>
      </w:pPr>
      <w:r>
        <w:t>The services provided by the Entity are not intended to displace or impede financial services provided by privately owned enterprises from the relevant market.</w:t>
      </w:r>
    </w:p>
    <w:p>
      <w:pPr/>
      <w:r>
        <w:t>Measures: Ley de Instituciones de Crédito, Articles 30 to 44 Bis 2, 46, 46 Bis 1, 47, and 75. Ley Orgánica del Banco Nacional de Obras y Servicios Públicos, Articles 2, 3, 4, 6, 7, 8, 11, 29, and 31. Disposiciones de Carácter General Aplicables a las Instituciones de Crédito, Chapter XI.</w:t>
      </w:r>
    </w:p>
    <w:p>
      <w:pPr>
        <w:pStyle w:val="Normal"/>
      </w:pPr>
      <w:r>
        <w:t/>
      </w:r>
    </w:p>
    <w:p>
      <w:pPr/>
      <w:r>
        <w:t>Obligations Concerned:</w:t>
      </w:r>
    </w:p>
    <w:p>
      <w:pPr/>
      <w:r>
        <w:t>Entity: Scope of Non- Conforming Activities: Article 22.4.1(a) (Non-Discriminatory Treatment and Commercial Considerations), Article 22.4.1(b), and Article 22.4.1(c) Article 22.6.4(b) (Non-Commercial Assistance) Article 22.6.5(b) (Non-Commercial Assistance) Banco del Ahorro Nacional y Servicios Financieros, S.N.C., or any new, reorganized or successor enterprise, with similar functions and objectives. The purpose of the Entity, as a development bank, is to promote savings, financing, and investment among the members of the Banking sector, offer financial services and instruments among such members, and channel financial and technical aids that are necessary to promote savings habits and sound development of the Banking sector.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w:t>
      </w:r>
    </w:p>
    <w:p>
      <w:pPr>
        <w:pStyle w:val="Normal"/>
      </w:pPr>
      <w:r>
        <w:t>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 With respect to Article 22.6.4(b) (Non-Commercial Assistance) and Article 22.6.5(b) (Non-Commercial Assistance), the Entity may receive government guarantees on banking services in order to comply with the Entity’s purpose referred to in the first paragraph above and pursuant to considerations consistent with its laws and regulations. The services provided by the Entity are not intended to</w:t>
      </w:r>
    </w:p>
    <w:p>
      <w:pPr>
        <w:pStyle w:val="Normal"/>
      </w:pPr>
      <w:r>
        <w:t>displace or impede financial services provided by privately</w:t>
      </w:r>
    </w:p>
    <w:p>
      <w:pPr>
        <w:pStyle w:val="Normal"/>
      </w:pPr>
      <w:r>
        <w:t>owned enterprises from the relevant market.</w:t>
      </w:r>
    </w:p>
    <w:p>
      <w:pPr/>
      <w:r>
        <w:t>Measures: Ley de Instituciones de Crédito, Articles 30 to 44 Bis 2, 46, 46 Bis 1, 47, and 75. Ley Orgánica del Banco del Ahorro Nacional y Servicios Financieros, Articles 3, 4, 7, 8, 10, 32, and 36. Disposiciones de Carácter General Aplicables a las Instituciones de Crédito, Chapter XI.</w:t>
      </w:r>
    </w:p>
    <w:p>
      <w:pPr>
        <w:pStyle w:val="Normal"/>
      </w:pPr>
      <w:r>
        <w:t/>
      </w:r>
    </w:p>
    <w:p>
      <w:pPr/>
      <w:r>
        <w:t>Obligations Concerned:</w:t>
      </w:r>
    </w:p>
    <w:p>
      <w:pPr/>
      <w:r>
        <w:t>Entity:</w:t>
      </w:r>
    </w:p>
    <w:p>
      <w:pPr/>
      <w:r>
        <w:t>Scope of Non-Conforming Activities: Article 22.4.1(a) (Non-Discriminatory Treatment and Commercial Considerations), Article 22.4.1(b), and Article 22.4.1(c) Article 22.6.4(b) (Non-Commercial Assistance) Article 22.6.5(b) (Non-Commercial Assistance) Banco Nacional del Ejército, Fuerza Aérea y Armada, S.N.C., or any new, reorganized or successor enterprise, with similar functions and objectives. The purpose of the Entity, as a development bank, is to grant financial aid mainly to the members of the Mexican Army, Air Force, and Navy.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 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w:t>
      </w:r>
    </w:p>
    <w:p>
      <w:pPr>
        <w:pStyle w:val="Normal"/>
      </w:pPr>
      <w:r>
        <w:t>With respect to Article 22.6.4(b) (Non-Commercial Assistance) and Article 22.6.5(b) (Non-Commercial Assistance), the Entity may receive government guarantees on banking services in order to comply with the Entity’s purpose referred to in the first paragraph above and pursuant to considerations consistent with its laws and regulations. The services provided by the Entity are not intended to displace or impede financial services provided by privately owned enterprises from the relevant market.</w:t>
      </w:r>
    </w:p>
    <w:p>
      <w:pPr/>
      <w:r>
        <w:t>Measures: Ley de Instituciones de Crédito, Articles 30 to 44 Bis 2, 46,</w:t>
      </w:r>
    </w:p>
    <w:p>
      <w:pPr>
        <w:pStyle w:val="Normal"/>
      </w:pPr>
      <w:r>
        <w:t>46 Bis 1, 47, and 75.</w:t>
      </w:r>
    </w:p>
    <w:p>
      <w:pPr>
        <w:pStyle w:val="Normal"/>
      </w:pPr>
      <w:r>
        <w:t>Ley Orgánica del Banco Nacional del Ejército, Fuerza Aérea y Armada, Articles 2, 3, 4, 6, 7, 9, and 52. Disposiciones de Carácter General Aplicables a las Instituciones de Crédito, Chapter XI.</w:t>
      </w:r>
    </w:p>
    <w:p>
      <w:pPr>
        <w:pStyle w:val="Normal"/>
      </w:pPr>
      <w:r>
        <w:t/>
      </w:r>
    </w:p>
    <w:p>
      <w:pPr/>
      <w:r>
        <w:t>Obligations Concerned:</w:t>
      </w:r>
    </w:p>
    <w:p>
      <w:pPr/>
      <w:r>
        <w:t>Entity: Scope of Non- Conforming Activities: Article 22.4.1(a) (Non-Discriminatory Treatment and Commercial Considerations), Article 22.4.1(b), and Article 22.4.1(c) Article 22.6.4(b) (Non-Commercial Assistance) Article 22.6.5(b) (Non-Commercial Assistance) Nacional Financiera, S.N.C., or any new, reorganized or successor enterprise, with similar functions and objectives. The purpose of the Entity, as a development bank, is to promote savings and investment, and to channel financial and technical resources for the industrial development and national and regional economic development.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 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w:t>
      </w:r>
    </w:p>
    <w:p>
      <w:pPr>
        <w:pStyle w:val="Normal"/>
      </w:pPr>
      <w:r>
        <w:t>With respect to Article 22.6.4(b) (Non-Commercial Assistance) and Article 22.6.5(b) (Non-Commercial Assistance), the Entity may receive government guarantees on banking services in order to comply with the Entity’s purpose referred to in the first paragraph above and pursuant to considerations consistent with its laws and regulations. The services provided by the Entity are not intended to displace or impede financial services provided by privately owned enterprises from the relevant market.</w:t>
      </w:r>
    </w:p>
    <w:p>
      <w:pPr/>
      <w:r>
        <w:t>Measures: Ley de Instituciones de Crédito, Articles 30 to 44 Bis 2, 46,</w:t>
      </w:r>
    </w:p>
    <w:p>
      <w:pPr>
        <w:pStyle w:val="Normal"/>
      </w:pPr>
      <w:r>
        <w:t>46 Bis 1, 47, and 75.</w:t>
      </w:r>
    </w:p>
    <w:p>
      <w:pPr>
        <w:pStyle w:val="Normal"/>
      </w:pPr>
      <w:r>
        <w:t>Ley Orgánica de Nacional Financiera, Articles 2, 3, 5, 6, 10, 29, 30, 32, 33, and 36. Disposiciones de Carácter General Aplicables a las Instituciones de Crédito, Chapter XI.</w:t>
      </w:r>
    </w:p>
    <w:p>
      <w:pPr>
        <w:pStyle w:val="Normal"/>
      </w:pPr>
      <w:r>
        <w:t/>
      </w:r>
    </w:p>
    <w:p>
      <w:pPr/>
      <w:r>
        <w:t>Obligations Concerned:</w:t>
      </w:r>
    </w:p>
    <w:p>
      <w:pPr/>
      <w:r>
        <w:t>Entity: Scope of Non- Conforming Activities: Article 22.4.1(a) (Non-Discriminatory Treatment and Commercial Considerations), Article 22.4.1(b), and Article 22.4.1(c) Article 22.6.4(b) (Non-Commercial Assistance) Article 22.6.5(b) (Non-Commercial Assistance) Sociedad Hipotecaria Federal, S.N.C, or any new, reorganized or successor enterprise, with similar functions and objectives. The purpose of the Entity, as a development bank, is to foster the development of primary and secondary mortgage markets, by granting credit and guarantees for the construction, acquisition, and improvement of housing, preferably social interest housing, as well as increase production capacity and technological development related to housing. It could also guarantee funding related to the equipment of housing complexes.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w:t>
      </w:r>
    </w:p>
    <w:p>
      <w:pPr>
        <w:pStyle w:val="Normal"/>
      </w:pPr>
      <w:r>
        <w:t>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 With respect to Article 22.6.4(b) (Non-Commercial Assistance) and Article 22.6.5(b) (Non-Commercial Assistance) the Entity may receive government guarantees, in order to provide banking services in order to comply with the Entity’s purpose referred to in the first paragraph above and pursuant to considerations consistent with its laws and regulations.</w:t>
      </w:r>
    </w:p>
    <w:p>
      <w:pPr>
        <w:pStyle w:val="Normal"/>
      </w:pPr>
      <w:r>
        <w:t>The services provided by the Entity are not intended to</w:t>
      </w:r>
    </w:p>
    <w:p>
      <w:pPr>
        <w:pStyle w:val="Normal"/>
      </w:pPr>
      <w:r>
        <w:t>displace or impede financial services provided by privately owned enterprises from the relevant market.</w:t>
      </w:r>
    </w:p>
    <w:p>
      <w:pPr/>
      <w:r>
        <w:t>Measures: Ley de Instituciones de Crédito, Articles 30 to 44 Bis 2, 46, 46 Bis 1, 47, and 75. Ley Orgánica de Sociedad Hipotecaria Federal, Articles 2, 4, 5, 8, 8 Bis, 24 Bis, 24 Ter, and 28. Disposiciones de Carácter General Aplicables a las Instituciones de Crédito, Chapter XI.</w:t>
      </w:r>
    </w:p>
    <w:p>
      <w:pPr>
        <w:pStyle w:val="Normal"/>
      </w:pPr>
      <w:r>
        <w:t>SCHEDULE OF THE UNITED STATES OF AMERICA</w:t>
      </w:r>
    </w:p>
    <w:p>
      <w:pPr/>
      <w:r>
        <w:t>Obligations Concerned:</w:t>
      </w:r>
    </w:p>
    <w:p>
      <w:pPr/>
      <w:r>
        <w:t>Entity: Scope of Non- Conforming Activities: Article 22.4.1(a) Non-Discriminatory Treatment and Commercial Considerations), with respect to the supply of financial services Article 22.4.1(c)(i) (Non-Discriminatory Treatment and Commercial Considerations), with respect to the supply of financial services Article 22.6.4(b) (Non-Commercial Assistance) Federal National Mortgage Association, Federal Home Loan Mortgage Corporation, and the Government National Mortgage Association, or any new, reorganized or transferee enterprises, with similar functions and objectives. With respect to Article 22.4.1(a) (Non-Discriminatory Treatment and Commercial Considerations) and Article 22.6.4(b) (Non-Commercial Assistance), to facilitate housing finance in the United States, the Entity, pursuant to considerations, consistent with laws and regulations: (a) purchases, sells, or trades single-family, multi-family, and commercial mortgage loans, and assets underlying these loans as a consequence of foreclosure or a similar action in connection with defaulted debt; (b) issues mortgage-backed securities and direct debt or other obligations related to risks associated with those securities; (c) guarantees or insures the timely payment of principal and interest on mortgage-backed securities; (d) administers payments associated with mortgage- backed securities; and (e) purchases, sells, or trades mortgage-backed</w:t>
      </w:r>
    </w:p>
    <w:p>
      <w:pPr>
        <w:pStyle w:val="Normal"/>
      </w:pPr>
      <w:r>
        <w:t>securities and direct debt or other obligations related to risks associated with those securities. With respect to Article 22.4.1(c)(i) (Non-Discriminatory Treatment and Commercial Considerations), to facilitate</w:t>
      </w:r>
    </w:p>
    <w:p>
      <w:pPr>
        <w:pStyle w:val="Normal"/>
      </w:pPr>
      <w:r>
        <w:t>housing finance in the United States, the Entity may, in certain circumstances, pursuant to considerations consistent with laws and regulations such as 12 U.S.C. 1451-1459 and 12 U.S.C. 1763-1723i: (a) purchase, sell, trade single-family, multi-family, and commercial mortgage loans, and assets underlying such loans as a consequence of foreclosure or a similar action in connection with defaulted debt, and administer payments associated with such loans or assets, only with enterprises in the territory of the United States; and (b) guarantee or insure the timely payment of principal and interest only on mortgage-backed securities that are issued by enterprises in the territory of the United States. The scope of non-conforming activities listed with respect to Article 22.4.1(a) and Article 22.4.1(c)(i) (Non-Discriminatory Treatment and Commercial Considerations) includes the purchase of associated financial services.</w:t>
      </w:r>
    </w:p>
    <w:p>
      <w:pPr/>
      <w:r>
        <w:t>Measures: 12 U.S.C. 1451-1459 12 U.S.C. 1716-1723i</w:t>
      </w:r>
    </w:p>
    <w:p>
      <w:pPr>
        <w:pStyle w:val="Normal"/>
      </w:pPr>
      <w:r>
        <w:t/>
      </w:r>
    </w:p>
    <w:p>
      <w:pPr/>
      <w:r>
        <w:t>Obligations Concerned: Article 22.4.1(a) (Non-Discriminatory Treatment and Commercial Considerations), with respect to the supply of financial services Article 22.4.1(c)(i) (Non-Discriminatory Treatment and Commercial Considerations), with respect to the supply of financial services Article 22.6.4(b) (Non-Commercial Assistance)</w:t>
      </w:r>
    </w:p>
    <w:p>
      <w:pPr/>
      <w:r>
        <w:t>Entity: Federal Financing Bank, or any new, reorganized, or transferee enterprise, with similar functions and objectives. Scope of Non- With respect to Article 22.4.1(a) (Non- Conforming Activities: Discriminatory Treatment and Commercial Considerations) and Article 22.6.4(b) (Non-Commercial Assistance), the Entity may, pursuant to considerations set out in laws and regulations: (a) provide loans (including through the purchase of obligations, such as bonds or notes) that are guaranteed by U.S. federal agencies or by U.S. federal government-authorized entities to (i) enterprises, or to (ii) a government of another Party; and (b) issue or sell obligations to privately owned enterprises. With respect to Article 22.4.1(c)(i) (Non-Discriminatory Treatment and Commercial Considerations), the Entity may, in certain circumstances and pursuant to considerations set out in laws and regulations: (a) provide loans (including through the purchase of obligations, such as bonds or notes) that are guaranteed by U.S. federal agencies or by U.S.</w:t>
      </w:r>
    </w:p>
    <w:p>
      <w:pPr>
        <w:pStyle w:val="Normal"/>
      </w:pPr>
      <w:r>
        <w:t>federal government-authorized entities only to (i) privately owned enterprises in the territory of the United States, (ii) enterprises in the territories of certain other countries, or (iii) governments of certain other countries as determined by the United States; and (b) issue or sell obligations only to (i) privately owned enterprises in the territory of the United States, or (ii) enterprises in the territories of certain other countries as determined by the United States.</w:t>
      </w:r>
    </w:p>
    <w:p>
      <w:pPr>
        <w:pStyle w:val="Normal"/>
      </w:pPr>
      <w:r>
        <w:t>The scope of non-conforming activities listed with respect to Article 22.4.1(a) and Article 22.4.1(c)(i) (Non-Discriminatory Treatment and Commercial Considerations) includes the purchase of associated financial services.</w:t>
      </w:r>
    </w:p>
    <w:p>
      <w:pPr/>
      <w:r>
        <w:t>Measures: 12 U.S.C. 2285</w:t>
      </w:r>
    </w:p>
    <w:p>
      <w:pPr>
        <w:pStyle w:val="Normal"/>
      </w:pPr>
      <w:bookmarkStart w:id="901542" w:name="_Toc300001541"/>
      <w:r>
        <w:t/>
      </w:r>
      <w:bookmarkEnd w:id="901542"/>
    </w:p>
    <w:sectPr>
      <w:headerReference w:type="default" r:id="rId3"/>
      <w:footerReference w:type="default" r:id="rId6"/>
      <w:pgSz w:w="12240" w:h="15840"/>
      <w:pgMar w:top="1134" w:right="1440" w:bottom="1134" w:left="1440" w:header="720" w:footer="720" w:gutter="0"/>
      <w:pgNumType w:start="1"/>
      <w:cols w:space="72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Georg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t xml:space="preserve">Page </w:t>
    </w:r>
    <w:r>
      <w:rPr/>
      <w:fldChar w:fldCharType="begin"/>
    </w:r>
    <w:r>
      <w:rPr/>
      <w:instrText xml:space="preserve"> PAGE </w:instrText>
    </w:r>
    <w:r>
      <w:rPr/>
      <w:fldChar w:fldCharType="separate"/>
    </w:r>
    <w:r>
      <w:rPr/>
      <w:t>0</w:t>
    </w:r>
    <w:r>
      <w:rPr/>
      <w:fldChar w:fldCharType="end"/>
    </w:r>
    <w:r>
      <w:rPr/>
      <w:t xml:space="preserve"> of </w:t>
    </w:r>
    <w:r>
      <w:rPr/>
      <w:fldChar w:fldCharType="begin"/>
    </w:r>
    <w:r>
      <w:rPr/>
      <w:instrText xml:space="preserve"> NUMPAGES </w:instrText>
    </w:r>
    <w:r>
      <w:rPr/>
      <w:fldChar w:fldCharType="separate"/>
    </w:r>
    <w:r>
      <w:rPr/>
      <w:t>2224</w:t>
    </w:r>
    <w:r>
      <w:rPr/>
      <w:fldChar w:fldCharType="end"/>
    </w:r>
  </w:p>
</w:ftr>
</file>

<file path=word/footer2.xml><?xml version="1.0" encoding="utf-8"?>
<w:ftr xmlns:w="http://schemas.openxmlformats.org/wordprocessingml/2006/main">
  <w:p>
    <w:pPr>
      <w:pBdr>
        <w:top w:val="single" w:sz="2" w:space="4" w:color="B0BEC5"/>
      </w:pBdr>
      <w:spacing w:after="0"/>
      <w:jc w:val="center"/>
    </w:pPr>
    <w:r>
      <w:rPr>
        <w:rFonts w:ascii="Calibri" w:hAnsi="Calibri"/>
        <w:color w:val="78909C"/>
        <w:sz w:val="18"/>
      </w:rPr>
      <w:t xml:space="preserve">Page </w:t>
    </w:r>
    <w:r>
      <w:rPr>
        <w:rFonts w:ascii="Calibri" w:hAnsi="Calibri"/>
        <w:color w:val="78909C"/>
        <w:sz w:val="18"/>
      </w:rPr>
      <w:fldChar w:fldCharType="begin"/>
    </w:r>
    <w:r>
      <w:rPr>
        <w:rFonts w:ascii="Calibri" w:hAnsi="Calibri"/>
        <w:color w:val="78909C"/>
        <w:sz w:val="18"/>
      </w:rPr>
      <w:instrText xml:space="preserve"> PAGE </w:instrText>
    </w:r>
    <w:r>
      <w:rPr>
        <w:rFonts w:ascii="Calibri" w:hAnsi="Calibri"/>
        <w:color w:val="78909C"/>
        <w:sz w:val="18"/>
      </w:rPr>
      <w:fldChar w:fldCharType="separate"/>
    </w:r>
    <w:r>
      <w:rPr>
        <w:rFonts w:ascii="Calibri" w:hAnsi="Calibri"/>
        <w:color w:val="78909C"/>
        <w:sz w:val="18"/>
      </w:rPr>
      <w:t>1</w:t>
    </w:r>
    <w:r>
      <w:rPr>
        <w:rFonts w:ascii="Calibri" w:hAnsi="Calibri"/>
        <w:color w:val="78909C"/>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w="http://schemas.openxmlformats.org/wordprocessingml/2006/main">
  <w:p>
    <w:pPr>
      <w:pBdr>
        <w:bottom w:val="single" w:sz="2" w:space="4" w:color="B0BEC5"/>
      </w:pBdr>
      <w:spacing w:after="0"/>
      <w:jc w:val="right"/>
    </w:pPr>
    <w:r>
      <w:rPr>
        <w:rFonts w:ascii="Calibri" w:hAnsi="Calibri"/>
        <w:caps/>
        <w:color w:val="78909C"/>
        <w:sz w:val="16"/>
      </w:rPr>
      <w:t xml:space="preserve">North American Economic Security and Trade Modernization Agreement  ·  Consolidated Treaty Text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6"/>
  <w:defaultTabStop w:val="720"/>
  <w:autoHyphenation w:val="true"/>
  <w:hyphenationZone w:val="36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before="0" w:after="120" w:line="300" w:lineRule="auto"/>
      <w:jc w:val="both"/>
    </w:pPr>
    <w:rPr>
      <w:rFonts w:ascii="Georgia" w:hAnsi="Georgia" w:eastAsia="Georgia" w:cs="Georgia"/>
      <w:color w:val="212121"/>
      <w:sz w:val="21"/>
      <w:szCs w:val="21"/>
      <w:lang w:val="en-CA" w:eastAsia="en-US" w:bidi="ar-SA"/>
    </w:rPr>
  </w:style>
  <w:style w:type="paragraph" w:styleId="Heading1">
    <w:name w:val="heading 1"/>
    <w:basedOn w:val="Normal"/>
    <w:next w:val="Normal"/>
    <w:uiPriority w:val="9"/>
    <w:qFormat/>
    <w:pPr>
      <w:keepNext/>
      <w:keepLines/>
      <w:pageBreakBefore/>
      <w:spacing w:before="0" w:after="280" w:line="276" w:lineRule="auto"/>
      <w:jc w:val="left"/>
      <w:outlineLvl w:val="0"/>
    </w:pPr>
    <w:rPr>
      <w:rFonts w:ascii="Calibri" w:hAnsi="Calibri" w:eastAsia="Calibri" w:cs="Calibri"/>
      <w:b/>
      <w:bCs/>
      <w:caps/>
      <w:color w:val="37474F"/>
      <w:spacing w:val="12"/>
      <w:sz w:val="32"/>
      <w:szCs w:val="32"/>
    </w:rPr>
  </w:style>
  <w:style w:type="paragraph" w:styleId="Heading2">
    <w:name w:val="heading 2"/>
    <w:basedOn w:val="Normal"/>
    <w:next w:val="Normal"/>
    <w:uiPriority w:val="9"/>
    <w:unhideWhenUsed/>
    <w:qFormat/>
    <w:pPr>
      <w:keepNext/>
      <w:keepLines/>
      <w:spacing w:before="360" w:after="160" w:line="264" w:lineRule="auto"/>
      <w:jc w:val="left"/>
      <w:outlineLvl w:val="1"/>
    </w:pPr>
    <w:rPr>
      <w:rFonts w:ascii="Calibri" w:hAnsi="Calibri" w:eastAsia="Calibri" w:cs="Calibri"/>
      <w:b/>
      <w:bCs/>
      <w:color w:val="37474F"/>
      <w:spacing w:val="12"/>
      <w:sz w:val="26"/>
      <w:szCs w:val="26"/>
    </w:rPr>
  </w:style>
  <w:style w:type="paragraph" w:styleId="Heading3">
    <w:name w:val="heading 3"/>
    <w:basedOn w:val="Normal"/>
    <w:next w:val="Normal"/>
    <w:uiPriority w:val="9"/>
    <w:unhideWhenUsed/>
    <w:qFormat/>
    <w:pPr>
      <w:keepNext/>
      <w:keepLines/>
      <w:spacing w:before="280" w:after="100" w:line="264" w:lineRule="auto"/>
      <w:jc w:val="left"/>
      <w:outlineLvl w:val="2"/>
    </w:pPr>
    <w:rPr>
      <w:rFonts w:ascii="Calibri" w:hAnsi="Calibri" w:eastAsia="Calibri" w:cs="Calibri"/>
      <w:b/>
      <w:bCs/>
      <w:color w:val="546E7A"/>
      <w:spacing w:val="12"/>
      <w:sz w:val="22"/>
      <w:szCs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IndexLink" w:customStyle="1">
    <w:name w:val="Index Link"/>
    <w:qFormat/>
    <w:rPr/>
  </w:style>
  <w:style w:type="character" w:styleId="Hyperlink">
    <w:name w:val="Hyperlink"/>
    <w:uiPriority w:val="99"/>
    <w:unhideWhenUsed/>
    <w:rPr>
      <w:color w:val="37474F"/>
      <w:u w:val="single"/>
    </w:rPr>
  </w:style>
  <w:style w:type="character" w:styleId="UnresolvedMention">
    <w:name w:val="Unresolved Mention"/>
    <w:basedOn w:val="DefaultParagraphFont"/>
    <w:uiPriority w:val="99"/>
    <w:semiHidden/>
    <w:unhideWhenUsed/>
    <w:qFormat/>
    <w:rsid w:val="001b7c25"/>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customStyle="1">
    <w:name w:val="Index"/>
    <w:basedOn w:val="Normal"/>
    <w:qFormat/>
    <w:pPr>
      <w:suppressLineNumbers/>
    </w:pPr>
    <w:rPr>
      <w:rFonts w:cs="FreeSan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Bullet3">
    <w:name w:val="List Bullet 3"/>
    <w:basedOn w:val="Normal"/>
    <w:uiPriority w:val="99"/>
    <w:unhideWhenUsed/>
    <w:qFormat/>
    <w:rsid w:val="00326f90"/>
    <w:pPr>
      <w:numPr>
        <w:ilvl w:val="0"/>
        <w:numId w:val="3"/>
      </w:numPr>
      <w:spacing w:before="0" w:after="80"/>
      <w:contextualSpacing/>
    </w:pPr>
    <w:rPr/>
  </w:style>
  <w:style w:type="paragraph" w:styleId="ListBullet4">
    <w:name w:val="List Bullet 4"/>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qFormat/>
    <w:pPr>
      <w:numPr>
        <w:ilvl w:val="0"/>
        <w:numId w:val="1"/>
      </w:numPr>
      <w:spacing w:before="0" w:after="60"/>
      <w:contextualSpacing/>
    </w:pPr>
    <w:rPr/>
  </w:style>
  <w:style w:type="paragraph" w:styleId="ListBullet2">
    <w:name w:val="List Bullet 2"/>
    <w:basedOn w:val="Normal"/>
    <w:uiPriority w:val="99"/>
    <w:unhideWhenUsed/>
    <w:qFormat/>
    <w:rsid w:val="00326f90"/>
    <w:pPr>
      <w:numPr>
        <w:ilvl w:val="0"/>
        <w:numId w:val="2"/>
      </w:numPr>
      <w:spacing w:before="0" w:after="80"/>
      <w:contextualSpacing/>
    </w:pPr>
    <w:rPr/>
  </w:style>
  <w:style w:type="paragraph" w:styleId="ListNumber">
    <w:name w:val="List Number"/>
    <w:basedOn w:val="Normal"/>
    <w:uiPriority w:val="99"/>
    <w:unhideWhenUsed/>
    <w:qFormat/>
    <w:rsid w:val="00326f90"/>
    <w:pPr>
      <w:numPr>
        <w:ilvl w:val="0"/>
        <w:numId w:val="4"/>
      </w:numPr>
      <w:spacing w:before="0" w:after="60"/>
      <w:contextualSpacing/>
    </w:pPr>
    <w:rPr>
      <w:rFonts w:ascii="Arial" w:hAnsi="Arial"/>
      <w:sz w:val="19"/>
    </w:rPr>
  </w:style>
  <w:style w:type="paragraph" w:styleId="ListNumber2">
    <w:name w:val="List Number 2"/>
    <w:basedOn w:val="Normal"/>
    <w:uiPriority w:val="99"/>
    <w:unhideWhenUsed/>
    <w:qFormat/>
    <w:rsid w:val="0029639d"/>
    <w:pPr>
      <w:numPr>
        <w:ilvl w:val="0"/>
        <w:numId w:val="5"/>
      </w:numPr>
      <w:spacing w:before="0" w:after="80"/>
      <w:contextualSpacing/>
    </w:pPr>
    <w:rPr/>
  </w:style>
  <w:style w:type="paragraph" w:styleId="ListNumber3">
    <w:name w:val="List Number 3"/>
    <w:basedOn w:val="Normal"/>
    <w:uiPriority w:val="99"/>
    <w:unhideWhenUsed/>
    <w:qFormat/>
    <w:rsid w:val="0029639d"/>
    <w:pPr>
      <w:numPr>
        <w:ilvl w:val="0"/>
        <w:numId w:val="6"/>
      </w:numPr>
      <w:spacing w:before="0" w:after="80"/>
      <w:contextualSpacing/>
    </w:pPr>
    <w:rPr/>
  </w:style>
  <w:style w:type="paragraph" w:styleId="ListContinue">
    <w:name w:val="List Continue"/>
    <w:basedOn w:val="Normal"/>
    <w:uiPriority w:val="99"/>
    <w:unhideWhenUsed/>
    <w:qFormat/>
    <w:rsid w:val="0029639d"/>
    <w:pPr>
      <w:spacing w:before="0" w:after="120"/>
      <w:ind w:left="360"/>
      <w:contextualSpacing/>
    </w:pPr>
    <w:rPr/>
  </w:style>
  <w:style w:type="paragraph" w:styleId="ListContinue2">
    <w:name w:val="List Continue 2"/>
    <w:basedOn w:val="Normal"/>
    <w:uiPriority w:val="99"/>
    <w:unhideWhenUsed/>
    <w:qFormat/>
    <w:rsid w:val="0029639d"/>
    <w:pPr>
      <w:spacing w:before="0" w:after="120"/>
      <w:ind w:left="720"/>
      <w:contextualSpacing/>
    </w:pPr>
    <w:rPr/>
  </w:style>
  <w:style w:type="paragraph" w:styleId="ListContinue3">
    <w:name w:val="List Continue 3"/>
    <w:basedOn w:val="Normal"/>
    <w:uiPriority w:val="99"/>
    <w:unhideWhenUsed/>
    <w:qFormat/>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Normal"/>
    <w:next w:val="Normal"/>
    <w:uiPriority w:val="39"/>
    <w:pPr>
      <w:keepLines/>
      <w:tabs>
        <w:tab w:val="right" w:leader="dot" w:pos="9360"/>
      </w:tabs>
      <w:spacing w:before="120" w:after="40" w:line="240" w:lineRule="auto"/>
      <w:ind w:left="360" w:right="720" w:hanging="360"/>
      <w:jc w:val="left"/>
    </w:pPr>
    <w:rPr>
      <w:rFonts w:ascii="Calibri" w:hAnsi="Calibri" w:eastAsia="Calibri" w:cs="Calibri"/>
      <w:b/>
      <w:color w:val="37474F"/>
      <w:sz w:val="21"/>
      <w:szCs w:val="21"/>
    </w:rPr>
  </w:style>
  <w:style w:type="paragraph" w:styleId="TOC2">
    <w:name w:val="toc 2"/>
    <w:basedOn w:val="Normal"/>
    <w:next w:val="Normal"/>
    <w:uiPriority w:val="39"/>
    <w:pPr>
      <w:keepLines/>
      <w:tabs>
        <w:tab w:val="right" w:leader="dot" w:pos="9360"/>
      </w:tabs>
      <w:spacing w:before="0" w:after="20" w:line="240" w:lineRule="auto"/>
      <w:ind w:left="720" w:right="720" w:hanging="360"/>
      <w:jc w:val="left"/>
    </w:pPr>
    <w:rPr>
      <w:rFonts w:ascii="Calibri" w:hAnsi="Calibri" w:eastAsia="Calibri" w:cs="Calibri"/>
      <w:color w:val="212121"/>
      <w:sz w:val="20"/>
      <w:szCs w:val="20"/>
    </w:rPr>
  </w:style>
  <w:style w:type="paragraph" w:customStyle="1" w:styleId="ModHeading">
    <w:name w:val="Mod Heading"/>
    <w:basedOn w:val="Heading2"/>
    <w:next w:val="Normal"/>
    <w:qFormat/>
    <w:pPr>
      <w:pBdr>
        <w:top w:val="single" w:sz="6" w:space="6" w:color="B0BEC5"/>
      </w:pBdr>
      <w:spacing w:before="480" w:after="200"/>
      <w:outlineLvl w:val="1"/>
    </w:pPr>
    <w:rPr>
      <w:caps/>
      <w:color w:val="546E7A"/>
      <w:sz w:val="24"/>
      <w:szCs w:val="24"/>
    </w:rPr>
  </w:style>
  <w:style w:type="paragraph" w:styleId="TOC3">
    <w:name w:val="toc 3"/>
    <w:basedOn w:val="Normal"/>
    <w:next w:val="Normal"/>
    <w:uiPriority w:val="39"/>
    <w:pPr>
      <w:keepLines/>
      <w:tabs>
        <w:tab w:val="right" w:leader="dot" w:pos="9360"/>
      </w:tabs>
      <w:spacing w:before="0" w:after="20" w:line="240" w:lineRule="auto"/>
      <w:ind w:left="1080" w:right="720" w:hanging="360"/>
      <w:jc w:val="left"/>
    </w:pPr>
    <w:rPr>
      <w:rFonts w:ascii="Calibri" w:hAnsi="Calibri" w:eastAsia="Calibri" w:cs="Calibri"/>
      <w:i/>
      <w:color w:val="37474F"/>
      <w:sz w:val="19"/>
      <w:szCs w:val="19"/>
    </w:rPr>
  </w:style>
  <w:style w:type="paragraph" w:styleId="TOC4">
    <w:name w:val="toc 4"/>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950"/>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5">
    <w:name w:val="toc 5"/>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1267"/>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6">
    <w:name w:val="toc 6"/>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1584"/>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7">
    <w:name w:val="toc 7"/>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1757"/>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8">
    <w:name w:val="toc 8"/>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1901"/>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9">
    <w:name w:val="toc 9"/>
    <w:basedOn w:val="Normal"/>
    <w:next w:val="Normal"/>
    <w:autoRedefine/>
    <w:uiPriority w:val="39"/>
    <w:unhideWhenUsed/>
    <w:rsid w:val="001b7c25"/>
    <w:pPr>
      <w:keepLines/>
      <w:tabs>
        <w:tab w:val="clear" w:pos="720"/>
        <w:tab w:val="right" w:pos="9360" w:leader="dot"/>
      </w:tabs>
      <w:suppressAutoHyphens w:val="false"/>
      <w:spacing w:lineRule="auto" w:line="240" w:before="0" w:after="10"/>
      <w:ind w:left="2045"/>
    </w:pPr>
    <w:rPr>
      <w:rFonts w:ascii="Cambria" w:hAnsi="Cambria" w:eastAsia="ＭＳ 明朝" w:asciiTheme="minorHAnsi" w:eastAsiaTheme="minorEastAsia" w:hAnsiTheme="minorHAnsi"/>
      <w:kern w:val="2"/>
      <w:sz w:val="18"/>
      <w:szCs w:val="24"/>
      <w:lang w:val="en-CA" w:eastAsia="en-CA"/>
      <w14:ligatures w14:val="standardContextual"/>
    </w:rPr>
  </w:style>
  <w:style w:type="paragraph" w:styleId="TOCExcludedHeading1" w:customStyle="1">
    <w:name w:val="TOC Excluded Heading 1"/>
    <w:qFormat/>
    <w:pPr>
      <w:keepNext w:val="true"/>
      <w:keepLines/>
      <w:pageBreakBefore/>
      <w:widowControl/>
      <w:suppressAutoHyphens w:val="true"/>
      <w:bidi w:val="0"/>
      <w:spacing w:before="280" w:after="160"/>
      <w:jc w:val="left"/>
    </w:pPr>
    <w:rPr>
      <w:rFonts w:ascii="Calibri" w:hAnsi="Calibri" w:eastAsia="ＭＳ ゴシック" w:cs="" w:asciiTheme="majorHAnsi" w:cstheme="majorBidi" w:eastAsiaTheme="majorEastAsia" w:hAnsiTheme="majorHAnsi"/>
      <w:b/>
      <w:bCs/>
      <w:color w:val="1F3A5F"/>
      <w:kern w:val="0"/>
      <w:sz w:val="30"/>
      <w:szCs w:val="28"/>
      <w:lang w:val="en-US" w:eastAsia="en-US" w:bidi="ar-SA"/>
    </w:rPr>
  </w:style>
  <w:style w:type="paragraph" w:styleId="TOCExcludedHeading2" w:customStyle="1">
    <w:name w:val="TOC Excluded Heading 2"/>
    <w:qFormat/>
    <w:pPr>
      <w:keepNext w:val="true"/>
      <w:keepLines/>
      <w:widowControl/>
      <w:suppressAutoHyphens w:val="true"/>
      <w:bidi w:val="0"/>
      <w:spacing w:before="200" w:after="100"/>
      <w:jc w:val="left"/>
    </w:pPr>
    <w:rPr>
      <w:rFonts w:ascii="Calibri" w:hAnsi="Calibri" w:eastAsia="ＭＳ ゴシック" w:cs="" w:asciiTheme="majorHAnsi" w:cstheme="majorBidi" w:eastAsiaTheme="majorEastAsia" w:hAnsiTheme="majorHAnsi"/>
      <w:b/>
      <w:bCs/>
      <w:color w:val="2A4D73"/>
      <w:kern w:val="0"/>
      <w:sz w:val="24"/>
      <w:szCs w:val="26"/>
      <w:lang w:val="en-US" w:eastAsia="en-US" w:bidi="ar-SA"/>
    </w:rPr>
  </w:style>
  <w:style w:type="paragraph" w:styleId="TOCExcludedHeading3" w:customStyle="1">
    <w:name w:val="TOC Excluded Heading 3"/>
    <w:qFormat/>
    <w:pPr>
      <w:keepNext w:val="true"/>
      <w:keepLines/>
      <w:widowControl/>
      <w:suppressAutoHyphens w:val="true"/>
      <w:bidi w:val="0"/>
      <w:spacing w:before="160" w:after="80"/>
      <w:jc w:val="left"/>
    </w:pPr>
    <w:rPr>
      <w:rFonts w:ascii="Calibri" w:hAnsi="Calibri" w:eastAsia="ＭＳ ゴシック" w:cs="" w:asciiTheme="majorHAnsi" w:cstheme="majorBidi" w:eastAsiaTheme="majorEastAsia" w:hAnsiTheme="majorHAnsi"/>
      <w:b/>
      <w:bCs/>
      <w:color w:val="3D5A80"/>
      <w:kern w:val="0"/>
      <w:sz w:val="21"/>
      <w:szCs w:val="22"/>
      <w:lang w:val="en-US" w:eastAsia="en-US" w:bidi="ar-SA"/>
    </w:rPr>
  </w:style>
  <w:style w:type="paragraph" w:customStyle="1" w:styleId="TrumpVisibilityHeadline">
    <w:name w:val="Trump Visibility Headline"/>
    <w:basedOn w:val="Heading2"/>
    <w:next w:val="Normal"/>
    <w:qFormat/>
    <w:pPr>
      <w:outlineLvl w:val="9"/>
    </w:pPr>
    <w:rPr>
      <w:caps/>
      <w:color w:val="37474F"/>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val="auto"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auto"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auto"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auto"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auto"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auto"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auto"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auto"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auto"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auto"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auto"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auto"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auto"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auto"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auto"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auto"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auto"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auto"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auto"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auto"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auto"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auto"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auto"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auto"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auto"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auto"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auto"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auto"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auto"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auto"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auto"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auto"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auto"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auto"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auto"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auto"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auto"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auto"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auto"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auto"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auto"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auto"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auto"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auto"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auto"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auto"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auto"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auto"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auto"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val="auto"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auto"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auto"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auto"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auto"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auto"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auto"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auto"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auto"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auto"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auto"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auto"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auto"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auto"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val="auto"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val="auto"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val="auto"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val="auto"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val="auto"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val="auto"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val="auto"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val="auto"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auto" w:themeColor="text1"/>
      </w:rPr>
      <w:tblPr/>
      <w:tcPr>
        <w:shd w:val="clear" w:color="auto" w:fill="E6E6E6" w:themeFill="text1" w:themeFillTint="19"/>
      </w:tcPr>
    </w:tblStylePr>
    <w:tblStylePr w:type="lastRow">
      <w:rPr>
        <w:b/>
        <w:bCs/>
        <w:color w:val="auto"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val="auto"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auto" w:themeColor="text1"/>
      </w:rPr>
      <w:tblPr/>
      <w:tcPr>
        <w:shd w:val="clear" w:color="auto" w:fill="EDF2F8" w:themeFill="accent1" w:themeFillTint="19"/>
      </w:tcPr>
    </w:tblStylePr>
    <w:tblStylePr w:type="lastRow">
      <w:rPr>
        <w:b/>
        <w:bCs/>
        <w:color w:val="auto"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val="auto"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auto" w:themeColor="text1"/>
      </w:rPr>
      <w:tblPr/>
      <w:tcPr>
        <w:shd w:val="clear" w:color="auto" w:fill="F8EDED" w:themeFill="accent2" w:themeFillTint="19"/>
      </w:tcPr>
    </w:tblStylePr>
    <w:tblStylePr w:type="lastRow">
      <w:rPr>
        <w:b/>
        <w:bCs/>
        <w:color w:val="auto"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val="auto"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auto" w:themeColor="text1"/>
      </w:rPr>
      <w:tblPr/>
      <w:tcPr>
        <w:shd w:val="clear" w:color="auto" w:fill="F5F8EE" w:themeFill="accent3" w:themeFillTint="19"/>
      </w:tcPr>
    </w:tblStylePr>
    <w:tblStylePr w:type="lastRow">
      <w:rPr>
        <w:b/>
        <w:bCs/>
        <w:color w:val="auto"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val="auto"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auto" w:themeColor="text1"/>
      </w:rPr>
      <w:tblPr/>
      <w:tcPr>
        <w:shd w:val="clear" w:color="auto" w:fill="F2EFF6" w:themeFill="accent4" w:themeFillTint="19"/>
      </w:tcPr>
    </w:tblStylePr>
    <w:tblStylePr w:type="lastRow">
      <w:rPr>
        <w:b/>
        <w:bCs/>
        <w:color w:val="auto"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val="auto"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auto" w:themeColor="text1"/>
      </w:rPr>
      <w:tblPr/>
      <w:tcPr>
        <w:shd w:val="clear" w:color="auto" w:fill="EDF6F9" w:themeFill="accent5" w:themeFillTint="19"/>
      </w:tcPr>
    </w:tblStylePr>
    <w:tblStylePr w:type="lastRow">
      <w:rPr>
        <w:b/>
        <w:bCs/>
        <w:color w:val="auto"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val="auto"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auto" w:themeColor="text1"/>
      </w:rPr>
      <w:tblPr/>
      <w:tcPr>
        <w:shd w:val="clear" w:color="auto" w:fill="FEF4EC" w:themeFill="accent6" w:themeFillTint="19"/>
      </w:tcPr>
    </w:tblStylePr>
    <w:tblStylePr w:type="lastRow">
      <w:rPr>
        <w:b/>
        <w:bCs/>
        <w:color w:val="auto"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auto"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auto"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auto"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auto"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auto"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auto"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auto"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auto"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auto"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auto"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auto"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auto"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auto"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auto"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auto"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auto"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auto"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auto"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auto"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auto"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auto"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auto"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auto"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auto"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auto"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auto"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auto"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auto"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auto"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auto"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val="auto"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auto"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auto"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auto"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auto"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auto"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auto"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auto"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auto" w:themeColor="background1"/>
      </w:rPr>
      <w:tblPr/>
      <w:tcPr>
        <w:tcBorders>
          <w:top w:val="single" w:color="FFFFFF" w:themeColor="background1" w:sz="6" w:space="0"/>
        </w:tcBorders>
        <w:shd w:val="clear" w:color="auto" w:fill="000000" w:themeFill="text1" w:themeFillShade="99"/>
      </w:tcPr>
    </w:tblStylePr>
    <w:tblStylePr w:type="firstCol">
      <w:rPr>
        <w:color w:val="auto"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auto"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auto" w:themeColor="text1"/>
      </w:rPr>
      <w:tblPr/>
    </w:tblStylePr>
    <w:tblStylePr w:type="nwCell">
      <w:rPr>
        <w:color w:val="auto" w:themeColor="text1"/>
      </w:rPr>
      <w:tblPr/>
    </w:tblStylePr>
  </w:style>
  <w:style w:type="table" w:styleId="ColorfulShading-Accent1">
    <w:name w:val="Colorful Shading Accent 1"/>
    <w:basedOn w:val="TableNormal"/>
    <w:uiPriority w:val="71"/>
    <w:rsid w:val="00cb0664"/>
    <w:rPr>
      <w:color w:val="auto"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auto" w:themeColor="background1"/>
      </w:rPr>
      <w:tblPr/>
      <w:tcPr>
        <w:tcBorders>
          <w:top w:val="single" w:color="FFFFFF" w:themeColor="background1" w:sz="6" w:space="0"/>
        </w:tcBorders>
        <w:shd w:val="clear" w:color="auto" w:fill="2C4C74" w:themeFill="accent1" w:themeFillShade="99"/>
      </w:tcPr>
    </w:tblStylePr>
    <w:tblStylePr w:type="firstCol">
      <w:rPr>
        <w:color w:val="auto"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auto"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auto" w:themeColor="text1"/>
      </w:rPr>
      <w:tblPr/>
    </w:tblStylePr>
    <w:tblStylePr w:type="nwCell">
      <w:rPr>
        <w:color w:val="auto" w:themeColor="text1"/>
      </w:rPr>
      <w:tblPr/>
    </w:tblStylePr>
  </w:style>
  <w:style w:type="table" w:styleId="ColorfulShading-Accent2">
    <w:name w:val="Colorful Shading Accent 2"/>
    <w:basedOn w:val="TableNormal"/>
    <w:uiPriority w:val="71"/>
    <w:rsid w:val="00cb0664"/>
    <w:rPr>
      <w:color w:val="auto"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auto" w:themeColor="background1"/>
      </w:rPr>
      <w:tblPr/>
      <w:tcPr>
        <w:tcBorders>
          <w:top w:val="single" w:color="FFFFFF" w:themeColor="background1" w:sz="6" w:space="0"/>
        </w:tcBorders>
        <w:shd w:val="clear" w:color="auto" w:fill="772C2A" w:themeFill="accent2" w:themeFillShade="99"/>
      </w:tcPr>
    </w:tblStylePr>
    <w:tblStylePr w:type="firstCol">
      <w:rPr>
        <w:color w:val="auto"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auto"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auto" w:themeColor="text1"/>
      </w:rPr>
      <w:tblPr/>
    </w:tblStylePr>
    <w:tblStylePr w:type="nwCell">
      <w:rPr>
        <w:color w:val="auto" w:themeColor="text1"/>
      </w:rPr>
      <w:tblPr/>
    </w:tblStylePr>
  </w:style>
  <w:style w:type="table" w:styleId="ColorfulShading-Accent3">
    <w:name w:val="Colorful Shading Accent 3"/>
    <w:basedOn w:val="TableNormal"/>
    <w:uiPriority w:val="71"/>
    <w:rsid w:val="00cb0664"/>
    <w:rPr>
      <w:color w:val="auto"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auto" w:themeColor="background1"/>
      </w:rPr>
      <w:tblPr/>
      <w:tcPr>
        <w:tcBorders>
          <w:top w:val="single" w:color="FFFFFF" w:themeColor="background1" w:sz="6" w:space="0"/>
        </w:tcBorders>
        <w:shd w:val="clear" w:color="auto" w:fill="5E7530" w:themeFill="accent3" w:themeFillShade="99"/>
      </w:tcPr>
    </w:tblStylePr>
    <w:tblStylePr w:type="firstCol">
      <w:rPr>
        <w:color w:val="auto"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auto"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auto"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auto" w:themeColor="background1"/>
      </w:rPr>
      <w:tblPr/>
      <w:tcPr>
        <w:tcBorders>
          <w:top w:val="single" w:color="FFFFFF" w:themeColor="background1" w:sz="6" w:space="0"/>
        </w:tcBorders>
        <w:shd w:val="clear" w:color="auto" w:fill="4C3B62" w:themeFill="accent4" w:themeFillShade="99"/>
      </w:tcPr>
    </w:tblStylePr>
    <w:tblStylePr w:type="firstCol">
      <w:rPr>
        <w:color w:val="auto"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auto"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auto" w:themeColor="text1"/>
      </w:rPr>
      <w:tblPr/>
    </w:tblStylePr>
    <w:tblStylePr w:type="nwCell">
      <w:rPr>
        <w:color w:val="auto" w:themeColor="text1"/>
      </w:rPr>
      <w:tblPr/>
    </w:tblStylePr>
  </w:style>
  <w:style w:type="table" w:styleId="ColorfulShading-Accent5">
    <w:name w:val="Colorful Shading Accent 5"/>
    <w:basedOn w:val="TableNormal"/>
    <w:uiPriority w:val="71"/>
    <w:rsid w:val="00cb0664"/>
    <w:rPr>
      <w:color w:val="auto"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auto" w:themeColor="background1"/>
      </w:rPr>
      <w:tblPr/>
      <w:tcPr>
        <w:tcBorders>
          <w:top w:val="single" w:color="FFFFFF" w:themeColor="background1" w:sz="6" w:space="0"/>
        </w:tcBorders>
        <w:shd w:val="clear" w:color="auto" w:fill="276A7C" w:themeFill="accent5" w:themeFillShade="99"/>
      </w:tcPr>
    </w:tblStylePr>
    <w:tblStylePr w:type="firstCol">
      <w:rPr>
        <w:color w:val="auto"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auto"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auto" w:themeColor="text1"/>
      </w:rPr>
      <w:tblPr/>
    </w:tblStylePr>
    <w:tblStylePr w:type="nwCell">
      <w:rPr>
        <w:color w:val="auto" w:themeColor="text1"/>
      </w:rPr>
      <w:tblPr/>
    </w:tblStylePr>
  </w:style>
  <w:style w:type="table" w:styleId="ColorfulShading-Accent6">
    <w:name w:val="Colorful Shading Accent 6"/>
    <w:basedOn w:val="TableNormal"/>
    <w:uiPriority w:val="71"/>
    <w:rsid w:val="00cb0664"/>
    <w:rPr>
      <w:color w:val="auto"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auto" w:themeColor="background1"/>
      </w:rPr>
      <w:tblPr/>
      <w:tcPr>
        <w:tcBorders>
          <w:top w:val="single" w:color="FFFFFF" w:themeColor="background1" w:sz="6" w:space="0"/>
        </w:tcBorders>
        <w:shd w:val="clear" w:color="auto" w:fill="B65608" w:themeFill="accent6" w:themeFillShade="99"/>
      </w:tcPr>
    </w:tblStylePr>
    <w:tblStylePr w:type="firstCol">
      <w:rPr>
        <w:color w:val="auto"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auto"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auto" w:themeColor="text1"/>
      </w:rPr>
      <w:tblPr/>
    </w:tblStylePr>
    <w:tblStylePr w:type="nwCell">
      <w:rPr>
        <w:color w:val="auto" w:themeColor="text1"/>
      </w:rPr>
      <w:tblPr/>
    </w:tblStylePr>
  </w:style>
  <w:style w:type="table" w:styleId="ColorfulList">
    <w:name w:val="Colorful List"/>
    <w:basedOn w:val="TableNormal"/>
    <w:uiPriority w:val="72"/>
    <w:rsid w:val="00cb0664"/>
    <w:rPr>
      <w:color w:val="auto" w:themeColor="text1"/>
    </w:rPr>
    <w:tblPr>
      <w:tblStyleRowBandSize w:val="1"/>
      <w:tblStyleColBandSize w:val="1"/>
    </w:tblPr>
    <w:tcPr>
      <w:shd w:val="clear" w:color="auto" w:fill="E6E6E6" w:themeFill="text1" w:themeFillTint="19"/>
    </w:tcPr>
    <w:tblStylePr w:type="firstRow">
      <w:rPr>
        <w:b/>
        <w:bCs/>
        <w:color w:val="auto" w:themeColor="background1"/>
      </w:rPr>
      <w:tblPr/>
      <w:tcPr>
        <w:tcBorders>
          <w:bottom w:val="single" w:color="FFFFFF" w:themeColor="background1" w:sz="12" w:space="0"/>
        </w:tcBorders>
        <w:shd w:val="clear" w:color="auto" w:fill="9E3A38" w:themeFill="accent2" w:themeFillShade="cc"/>
      </w:tcPr>
    </w:tblStylePr>
    <w:tblStylePr w:type="lastRow">
      <w:rPr>
        <w:b/>
        <w:bCs/>
        <w:color w:val="auto"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auto" w:themeColor="text1"/>
    </w:rPr>
    <w:tblPr>
      <w:tblStyleRowBandSize w:val="1"/>
      <w:tblStyleColBandSize w:val="1"/>
    </w:tblPr>
    <w:tcPr>
      <w:shd w:val="clear" w:color="auto" w:fill="EDF2F8" w:themeFill="accent1" w:themeFillTint="19"/>
    </w:tcPr>
    <w:tblStylePr w:type="firstRow">
      <w:rPr>
        <w:b/>
        <w:bCs/>
        <w:color w:val="auto" w:themeColor="background1"/>
      </w:rPr>
      <w:tblPr/>
      <w:tcPr>
        <w:tcBorders>
          <w:bottom w:val="single" w:color="FFFFFF" w:themeColor="background1" w:sz="12" w:space="0"/>
        </w:tcBorders>
        <w:shd w:val="clear" w:color="auto" w:fill="9E3A38" w:themeFill="accent2" w:themeFillShade="cc"/>
      </w:tcPr>
    </w:tblStylePr>
    <w:tblStylePr w:type="lastRow">
      <w:rPr>
        <w:b/>
        <w:bCs/>
        <w:color w:val="auto"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auto" w:themeColor="text1"/>
    </w:rPr>
    <w:tblPr>
      <w:tblStyleRowBandSize w:val="1"/>
      <w:tblStyleColBandSize w:val="1"/>
    </w:tblPr>
    <w:tcPr>
      <w:shd w:val="clear" w:color="auto" w:fill="F8EDED" w:themeFill="accent2" w:themeFillTint="19"/>
    </w:tcPr>
    <w:tblStylePr w:type="firstRow">
      <w:rPr>
        <w:b/>
        <w:bCs/>
        <w:color w:val="auto" w:themeColor="background1"/>
      </w:rPr>
      <w:tblPr/>
      <w:tcPr>
        <w:tcBorders>
          <w:bottom w:val="single" w:color="FFFFFF" w:themeColor="background1" w:sz="12" w:space="0"/>
        </w:tcBorders>
        <w:shd w:val="clear" w:color="auto" w:fill="9E3A38" w:themeFill="accent2" w:themeFillShade="cc"/>
      </w:tcPr>
    </w:tblStylePr>
    <w:tblStylePr w:type="lastRow">
      <w:rPr>
        <w:b/>
        <w:bCs/>
        <w:color w:val="auto"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auto" w:themeColor="text1"/>
    </w:rPr>
    <w:tblPr>
      <w:tblStyleRowBandSize w:val="1"/>
      <w:tblStyleColBandSize w:val="1"/>
    </w:tblPr>
    <w:tcPr>
      <w:shd w:val="clear" w:color="auto" w:fill="F5F8EE" w:themeFill="accent3" w:themeFillTint="19"/>
    </w:tcPr>
    <w:tblStylePr w:type="firstRow">
      <w:rPr>
        <w:b/>
        <w:bCs/>
        <w:color w:val="auto" w:themeColor="background1"/>
      </w:rPr>
      <w:tblPr/>
      <w:tcPr>
        <w:tcBorders>
          <w:bottom w:val="single" w:color="FFFFFF" w:themeColor="background1" w:sz="12" w:space="0"/>
        </w:tcBorders>
        <w:shd w:val="clear" w:color="auto" w:fill="664E82" w:themeFill="accent4" w:themeFillShade="cc"/>
      </w:tcPr>
    </w:tblStylePr>
    <w:tblStylePr w:type="lastRow">
      <w:rPr>
        <w:b/>
        <w:bCs/>
        <w:color w:val="auto"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auto" w:themeColor="text1"/>
    </w:rPr>
    <w:tblPr>
      <w:tblStyleRowBandSize w:val="1"/>
      <w:tblStyleColBandSize w:val="1"/>
    </w:tblPr>
    <w:tcPr>
      <w:shd w:val="clear" w:color="auto" w:fill="F2EFF6" w:themeFill="accent4" w:themeFillTint="19"/>
    </w:tcPr>
    <w:tblStylePr w:type="firstRow">
      <w:rPr>
        <w:b/>
        <w:bCs/>
        <w:color w:val="auto" w:themeColor="background1"/>
      </w:rPr>
      <w:tblPr/>
      <w:tcPr>
        <w:tcBorders>
          <w:bottom w:val="single" w:color="FFFFFF" w:themeColor="background1" w:sz="12" w:space="0"/>
        </w:tcBorders>
        <w:shd w:val="clear" w:color="auto" w:fill="7E9C40" w:themeFill="accent3" w:themeFillShade="cc"/>
      </w:tcPr>
    </w:tblStylePr>
    <w:tblStylePr w:type="lastRow">
      <w:rPr>
        <w:b/>
        <w:bCs/>
        <w:color w:val="auto"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auto" w:themeColor="text1"/>
    </w:rPr>
    <w:tblPr>
      <w:tblStyleRowBandSize w:val="1"/>
      <w:tblStyleColBandSize w:val="1"/>
    </w:tblPr>
    <w:tcPr>
      <w:shd w:val="clear" w:color="auto" w:fill="EDF6F9" w:themeFill="accent5" w:themeFillTint="19"/>
    </w:tcPr>
    <w:tblStylePr w:type="firstRow">
      <w:rPr>
        <w:b/>
        <w:bCs/>
        <w:color w:val="auto" w:themeColor="background1"/>
      </w:rPr>
      <w:tblPr/>
      <w:tcPr>
        <w:tcBorders>
          <w:bottom w:val="single" w:color="FFFFFF" w:themeColor="background1" w:sz="12" w:space="0"/>
        </w:tcBorders>
        <w:shd w:val="clear" w:color="auto" w:fill="F2730A" w:themeFill="accent6" w:themeFillShade="cc"/>
      </w:tcPr>
    </w:tblStylePr>
    <w:tblStylePr w:type="lastRow">
      <w:rPr>
        <w:b/>
        <w:bCs/>
        <w:color w:val="auto"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auto" w:themeColor="text1"/>
    </w:rPr>
    <w:tblPr>
      <w:tblStyleRowBandSize w:val="1"/>
      <w:tblStyleColBandSize w:val="1"/>
    </w:tblPr>
    <w:tcPr>
      <w:shd w:val="clear" w:color="auto" w:fill="FEF4EC" w:themeFill="accent6" w:themeFillTint="19"/>
    </w:tcPr>
    <w:tblStylePr w:type="firstRow">
      <w:rPr>
        <w:b/>
        <w:bCs/>
        <w:color w:val="auto" w:themeColor="background1"/>
      </w:rPr>
      <w:tblPr/>
      <w:tcPr>
        <w:tcBorders>
          <w:bottom w:val="single" w:color="FFFFFF" w:themeColor="background1" w:sz="12" w:space="0"/>
        </w:tcBorders>
        <w:shd w:val="clear" w:color="auto" w:fill="348DA5" w:themeFill="accent5" w:themeFillShade="cc"/>
      </w:tcPr>
    </w:tblStylePr>
    <w:tblStylePr w:type="lastRow">
      <w:rPr>
        <w:b/>
        <w:bCs/>
        <w:color w:val="auto"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auto"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auto" w:themeColor="text1"/>
      </w:rPr>
      <w:tblPr/>
      <w:tcPr>
        <w:shd w:val="clear" w:color="auto" w:fill="999999" w:themeFill="text1" w:themeFillTint="66"/>
      </w:tcPr>
    </w:tblStylePr>
    <w:tblStylePr w:type="firstCol">
      <w:rPr>
        <w:color w:val="auto" w:themeColor="background1"/>
      </w:rPr>
      <w:tblPr/>
      <w:tcPr>
        <w:shd w:val="clear" w:color="auto" w:fill="000000" w:themeFill="text1" w:themeFillShade="bf"/>
      </w:tcPr>
    </w:tblStylePr>
    <w:tblStylePr w:type="lastCol">
      <w:rPr>
        <w:color w:val="auto"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auto"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auto" w:themeColor="text1"/>
      </w:rPr>
      <w:tblPr/>
      <w:tcPr>
        <w:shd w:val="clear" w:color="auto" w:fill="B8CCE4" w:themeFill="accent1" w:themeFillTint="66"/>
      </w:tcPr>
    </w:tblStylePr>
    <w:tblStylePr w:type="firstCol">
      <w:rPr>
        <w:color w:val="auto" w:themeColor="background1"/>
      </w:rPr>
      <w:tblPr/>
      <w:tcPr>
        <w:shd w:val="clear" w:color="auto" w:fill="365F91" w:themeFill="accent1" w:themeFillShade="bf"/>
      </w:tcPr>
    </w:tblStylePr>
    <w:tblStylePr w:type="lastCol">
      <w:rPr>
        <w:color w:val="auto"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auto"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auto" w:themeColor="text1"/>
      </w:rPr>
      <w:tblPr/>
      <w:tcPr>
        <w:shd w:val="clear" w:color="auto" w:fill="E5B8B7" w:themeFill="accent2" w:themeFillTint="66"/>
      </w:tcPr>
    </w:tblStylePr>
    <w:tblStylePr w:type="firstCol">
      <w:rPr>
        <w:color w:val="auto" w:themeColor="background1"/>
      </w:rPr>
      <w:tblPr/>
      <w:tcPr>
        <w:shd w:val="clear" w:color="auto" w:fill="943634" w:themeFill="accent2" w:themeFillShade="bf"/>
      </w:tcPr>
    </w:tblStylePr>
    <w:tblStylePr w:type="lastCol">
      <w:rPr>
        <w:color w:val="auto"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auto"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auto" w:themeColor="text1"/>
      </w:rPr>
      <w:tblPr/>
      <w:tcPr>
        <w:shd w:val="clear" w:color="auto" w:fill="D6E3BC" w:themeFill="accent3" w:themeFillTint="66"/>
      </w:tcPr>
    </w:tblStylePr>
    <w:tblStylePr w:type="firstCol">
      <w:rPr>
        <w:color w:val="auto" w:themeColor="background1"/>
      </w:rPr>
      <w:tblPr/>
      <w:tcPr>
        <w:shd w:val="clear" w:color="auto" w:fill="76923C" w:themeFill="accent3" w:themeFillShade="bf"/>
      </w:tcPr>
    </w:tblStylePr>
    <w:tblStylePr w:type="lastCol">
      <w:rPr>
        <w:color w:val="auto"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auto"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auto" w:themeColor="text1"/>
      </w:rPr>
      <w:tblPr/>
      <w:tcPr>
        <w:shd w:val="clear" w:color="auto" w:fill="CCC0D9" w:themeFill="accent4" w:themeFillTint="66"/>
      </w:tcPr>
    </w:tblStylePr>
    <w:tblStylePr w:type="firstCol">
      <w:rPr>
        <w:color w:val="auto" w:themeColor="background1"/>
      </w:rPr>
      <w:tblPr/>
      <w:tcPr>
        <w:shd w:val="clear" w:color="auto" w:fill="5F497A" w:themeFill="accent4" w:themeFillShade="bf"/>
      </w:tcPr>
    </w:tblStylePr>
    <w:tblStylePr w:type="lastCol">
      <w:rPr>
        <w:color w:val="auto"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auto"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auto" w:themeColor="text1"/>
      </w:rPr>
      <w:tblPr/>
      <w:tcPr>
        <w:shd w:val="clear" w:color="auto" w:fill="B6DDE8" w:themeFill="accent5" w:themeFillTint="66"/>
      </w:tcPr>
    </w:tblStylePr>
    <w:tblStylePr w:type="firstCol">
      <w:rPr>
        <w:color w:val="auto" w:themeColor="background1"/>
      </w:rPr>
      <w:tblPr/>
      <w:tcPr>
        <w:shd w:val="clear" w:color="auto" w:fill="31849B" w:themeFill="accent5" w:themeFillShade="bf"/>
      </w:tcPr>
    </w:tblStylePr>
    <w:tblStylePr w:type="lastCol">
      <w:rPr>
        <w:color w:val="auto"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auto"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auto" w:themeColor="text1"/>
      </w:rPr>
      <w:tblPr/>
      <w:tcPr>
        <w:shd w:val="clear" w:color="auto" w:fill="FBD4B4" w:themeFill="accent6" w:themeFillTint="66"/>
      </w:tcPr>
    </w:tblStylePr>
    <w:tblStylePr w:type="firstCol">
      <w:rPr>
        <w:color w:val="auto" w:themeColor="background1"/>
      </w:rPr>
      <w:tblPr/>
      <w:tcPr>
        <w:shd w:val="clear" w:color="auto" w:fill="E36C0A" w:themeFill="accent6" w:themeFillShade="bf"/>
      </w:tcPr>
    </w:tblStylePr>
    <w:tblStylePr w:type="lastCol">
      <w:rPr>
        <w:color w:val="auto"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Label">
    <w:name w:val="Clause Label"/>
    <w:basedOn w:val="Normal"/>
    <w:next w:val="Normal"/>
    <w:qFormat/>
    <w:pPr>
      <w:keepNext/>
      <w:keepLines/>
      <w:spacing w:before="200" w:after="60"/>
      <w:jc w:val="left"/>
    </w:pPr>
    <w:rPr>
      <w:rFonts w:ascii="Calibri" w:hAnsi="Calibri" w:eastAsia="Calibri" w:cs="Calibri"/>
      <w:b/>
      <w:bCs/>
      <w:color w:val="37474F"/>
      <w:sz w:val="21"/>
      <w:szCs w:val="21"/>
    </w:rPr>
  </w:style>
  <w:style w:type="paragraph" w:customStyle="1" w:styleId="TableText">
    <w:name w:val="Table Text"/>
    <w:basedOn w:val="Normal"/>
    <w:qFormat/>
    <w:pPr>
      <w:spacing w:before="0" w:after="0" w:line="260" w:lineRule="auto"/>
      <w:jc w:val="left"/>
    </w:pPr>
    <w:rPr>
      <w:rFonts w:ascii="Calibri" w:hAnsi="Calibri" w:eastAsia="Calibri" w:cs="Calibri"/>
      <w:color w:val="212121"/>
      <w:sz w:val="19"/>
      <w:szCs w:val="19"/>
    </w:rPr>
  </w:style>
  <w:style w:type="paragraph" w:customStyle="1" w:styleId="InstrumentArticle">
    <w:name w:val="Instrument Article"/>
    <w:basedOn w:val="Heading3"/>
    <w:next w:val="Normal"/>
    <w:qFormat/>
    <w:pPr>
      <w:outlineLvl w:val="2"/>
    </w:pPr>
    <w:rPr/>
  </w:style>
  <w:style w:type="paragraph" w:customStyle="1" w:styleId="AnnexSection">
    <w:name w:val="Annex Section"/>
    <w:basedOn w:val="Heading3"/>
    <w:next w:val="Normal"/>
    <w:qFormat/>
    <w:pPr>
      <w:outlineLvl w:val="2"/>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LibreOffice/25.2.3.2$Linux_X86_64 LibreOffice_project/520$Build-2</Application>
  <AppVersion>15.0000</AppVersion>
  <Pages>1531</Pages>
  <Words>442210</Words>
  <Characters>2929601</Characters>
  <CharactersWithSpaces>3360846</CharactersWithSpaces>
  <Paragraphs>12351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Formatting, navigation, verified truncation repair, and table reconstruction; substantive provisions preserved.</dc:description>
  <dc:language>en-US</dc:language>
  <cp:lastModifiedBy>Heather Leblanc</cp:lastModifiedBy>
  <dcterms:modified xsi:type="dcterms:W3CDTF">2026-08-18T13:53:00Z</dcterms:modified>
  <cp:revision>7</cp:revision>
  <dc:subject>NAESTMA Version 9.7A: Government Formatting Edition</dc:subject>
  <dc:title>NAESTMA v9.8R1 - Chapters 1-10 Kintsugi Repair Pass</dc:title>
  <cp:version>8.9</cp:version>
</cp:coreProperties>
</file>

<file path=docProps/custom.xml><?xml version="1.0" encoding="utf-8"?>
<Properties xmlns="http://schemas.openxmlformats.org/officeDocument/2006/custom-properties" xmlns:vt="http://schemas.openxmlformats.org/officeDocument/2006/docPropsVTypes"/>
</file>